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png" ContentType="image/png"/>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19"/>
        </w:rPr>
      </w:pPr>
    </w:p>
    <w:p>
      <w:pPr>
        <w:pStyle w:val="Heading3"/>
        <w:ind w:left="1035"/>
      </w:pPr>
      <w:r>
        <w:rPr/>
        <w:pict>
          <v:group style="position:absolute;margin-left:28.560001pt;margin-top:-13.998106pt;width:554.65pt;height:445.8pt;mso-position-horizontal-relative:page;mso-position-vertical-relative:paragraph;z-index:-314702848" coordorigin="571,-280" coordsize="11093,8916">
            <v:shape style="position:absolute;left:571;top:-280;width:11093;height:490" type="#_x0000_t75" stroked="false">
              <v:imagedata r:id="rId7" o:title=""/>
            </v:shape>
            <v:shape style="position:absolute;left:799;top:1167;width:368;height:269" type="#_x0000_t75" stroked="false">
              <v:imagedata r:id="rId8" o:title=""/>
            </v:shape>
            <v:shape style="position:absolute;left:799;top:2621;width:368;height:255" type="#_x0000_t75" stroked="false">
              <v:imagedata r:id="rId9" o:title=""/>
            </v:shape>
            <v:shape style="position:absolute;left:571;top:-33;width:11093;height:7217" type="#_x0000_t75" stroked="false">
              <v:imagedata r:id="rId10" o:title=""/>
            </v:shape>
            <v:shape style="position:absolute;left:2952;top:4781;width:3694;height:8" type="#_x0000_t75" stroked="false">
              <v:imagedata r:id="rId11" o:title=""/>
            </v:shape>
            <v:shape style="position:absolute;left:2952;top:5021;width:3694;height:8" type="#_x0000_t75" stroked="false">
              <v:imagedata r:id="rId11" o:title=""/>
            </v:shape>
            <v:shape style="position:absolute;left:7965;top:4781;width:3029;height:8" type="#_x0000_t75" stroked="false">
              <v:imagedata r:id="rId12" o:title=""/>
            </v:shape>
            <v:shape style="position:absolute;left:7965;top:5021;width:3029;height:8" type="#_x0000_t75" stroked="false">
              <v:imagedata r:id="rId12" o:title=""/>
            </v:shape>
            <v:shape style="position:absolute;left:7965;top:5261;width:3029;height:8" type="#_x0000_t75" stroked="false">
              <v:imagedata r:id="rId12" o:title=""/>
            </v:shape>
            <v:shape style="position:absolute;left:2952;top:5501;width:3694;height:8" type="#_x0000_t75" stroked="false">
              <v:imagedata r:id="rId11" o:title=""/>
            </v:shape>
            <v:shape style="position:absolute;left:2952;top:5981;width:3694;height:8" type="#_x0000_t75" stroked="false">
              <v:imagedata r:id="rId11" o:title=""/>
            </v:shape>
            <v:shape style="position:absolute;left:2952;top:7661;width:3694;height:8" type="#_x0000_t75" stroked="false">
              <v:imagedata r:id="rId11" o:title=""/>
            </v:shape>
            <v:shape style="position:absolute;left:7965;top:7661;width:3029;height:8" type="#_x0000_t75" stroked="false">
              <v:imagedata r:id="rId12" o:title=""/>
            </v:shape>
            <v:shape style="position:absolute;left:2952;top:8141;width:3694;height:8" type="#_x0000_t75" stroked="false">
              <v:imagedata r:id="rId11" o:title=""/>
            </v:shape>
            <v:shape style="position:absolute;left:7965;top:8141;width:3029;height:8" type="#_x0000_t75" stroked="false">
              <v:imagedata r:id="rId12" o:title=""/>
            </v:shape>
            <v:shape style="position:absolute;left:571;top:6941;width:11093;height:1695" type="#_x0000_t75" stroked="false">
              <v:imagedata r:id="rId13" o:title=""/>
            </v:shape>
            <w10:wrap type="none"/>
          </v:group>
        </w:pict>
      </w:r>
      <w:bookmarkStart w:name="FORM cb" w:id="1"/>
      <w:bookmarkEnd w:id="1"/>
      <w:r>
        <w:rPr/>
      </w:r>
      <w:r>
        <w:rPr>
          <w:w w:val="105"/>
        </w:rPr>
        <w:t>ANNUAL BUDGET REPORT:</w:t>
      </w:r>
    </w:p>
    <w:p>
      <w:pPr>
        <w:spacing w:before="33"/>
        <w:ind w:left="1035" w:right="0" w:firstLine="0"/>
        <w:jc w:val="left"/>
        <w:rPr>
          <w:sz w:val="18"/>
        </w:rPr>
      </w:pPr>
      <w:r>
        <w:rPr>
          <w:w w:val="105"/>
          <w:sz w:val="18"/>
        </w:rPr>
        <w:t>July 1, 2021 Budget Adoption</w:t>
      </w:r>
    </w:p>
    <w:p>
      <w:pPr>
        <w:pStyle w:val="BodyText"/>
        <w:rPr>
          <w:sz w:val="15"/>
        </w:rPr>
      </w:pPr>
    </w:p>
    <w:p>
      <w:pPr>
        <w:spacing w:before="101"/>
        <w:ind w:left="1419" w:right="0" w:firstLine="0"/>
        <w:jc w:val="left"/>
        <w:rPr>
          <w:sz w:val="18"/>
        </w:rPr>
      </w:pPr>
      <w:r>
        <w:rPr>
          <w:w w:val="105"/>
          <w:sz w:val="18"/>
        </w:rPr>
        <w:t>Insert "X" in applicable boxes:</w:t>
      </w:r>
    </w:p>
    <w:p>
      <w:pPr>
        <w:pStyle w:val="BodyText"/>
        <w:spacing w:before="3"/>
        <w:rPr>
          <w:sz w:val="16"/>
        </w:rPr>
      </w:pPr>
    </w:p>
    <w:p>
      <w:pPr>
        <w:tabs>
          <w:tab w:pos="1419" w:val="left" w:leader="none"/>
        </w:tabs>
        <w:spacing w:line="278" w:lineRule="auto" w:before="100"/>
        <w:ind w:left="1419" w:right="1487" w:hanging="646"/>
        <w:jc w:val="left"/>
        <w:rPr>
          <w:sz w:val="18"/>
        </w:rPr>
      </w:pPr>
      <w:r>
        <w:rPr>
          <w:w w:val="105"/>
          <w:sz w:val="18"/>
        </w:rPr>
        <w:t>x</w:t>
        <w:tab/>
        <w:t>This budget was developed using the state-adopted Criteria and Standards. It includes the expenditures necessary</w:t>
      </w:r>
      <w:r>
        <w:rPr>
          <w:spacing w:val="-13"/>
          <w:w w:val="105"/>
          <w:sz w:val="18"/>
        </w:rPr>
        <w:t> </w:t>
      </w:r>
      <w:r>
        <w:rPr>
          <w:w w:val="105"/>
          <w:sz w:val="18"/>
        </w:rPr>
        <w:t>to</w:t>
      </w:r>
      <w:r>
        <w:rPr>
          <w:spacing w:val="-10"/>
          <w:w w:val="105"/>
          <w:sz w:val="18"/>
        </w:rPr>
        <w:t> </w:t>
      </w:r>
      <w:r>
        <w:rPr>
          <w:w w:val="105"/>
          <w:sz w:val="18"/>
        </w:rPr>
        <w:t>implement</w:t>
      </w:r>
      <w:r>
        <w:rPr>
          <w:spacing w:val="-8"/>
          <w:w w:val="105"/>
          <w:sz w:val="18"/>
        </w:rPr>
        <w:t> </w:t>
      </w:r>
      <w:r>
        <w:rPr>
          <w:w w:val="105"/>
          <w:sz w:val="18"/>
        </w:rPr>
        <w:t>the</w:t>
      </w:r>
      <w:r>
        <w:rPr>
          <w:spacing w:val="-10"/>
          <w:w w:val="105"/>
          <w:sz w:val="18"/>
        </w:rPr>
        <w:t> </w:t>
      </w:r>
      <w:r>
        <w:rPr>
          <w:w w:val="105"/>
          <w:sz w:val="18"/>
        </w:rPr>
        <w:t>Local</w:t>
      </w:r>
      <w:r>
        <w:rPr>
          <w:spacing w:val="-11"/>
          <w:w w:val="105"/>
          <w:sz w:val="18"/>
        </w:rPr>
        <w:t> </w:t>
      </w:r>
      <w:r>
        <w:rPr>
          <w:w w:val="105"/>
          <w:sz w:val="18"/>
        </w:rPr>
        <w:t>Control</w:t>
      </w:r>
      <w:r>
        <w:rPr>
          <w:spacing w:val="-10"/>
          <w:w w:val="105"/>
          <w:sz w:val="18"/>
        </w:rPr>
        <w:t> </w:t>
      </w:r>
      <w:r>
        <w:rPr>
          <w:w w:val="105"/>
          <w:sz w:val="18"/>
        </w:rPr>
        <w:t>and</w:t>
      </w:r>
      <w:r>
        <w:rPr>
          <w:spacing w:val="-8"/>
          <w:w w:val="105"/>
          <w:sz w:val="18"/>
        </w:rPr>
        <w:t> </w:t>
      </w:r>
      <w:r>
        <w:rPr>
          <w:w w:val="105"/>
          <w:sz w:val="18"/>
        </w:rPr>
        <w:t>Accountability</w:t>
      </w:r>
      <w:r>
        <w:rPr>
          <w:spacing w:val="-13"/>
          <w:w w:val="105"/>
          <w:sz w:val="18"/>
        </w:rPr>
        <w:t> </w:t>
      </w:r>
      <w:r>
        <w:rPr>
          <w:w w:val="105"/>
          <w:sz w:val="18"/>
        </w:rPr>
        <w:t>Plan</w:t>
      </w:r>
      <w:r>
        <w:rPr>
          <w:spacing w:val="-10"/>
          <w:w w:val="105"/>
          <w:sz w:val="18"/>
        </w:rPr>
        <w:t> </w:t>
      </w:r>
      <w:r>
        <w:rPr>
          <w:w w:val="105"/>
          <w:sz w:val="18"/>
        </w:rPr>
        <w:t>(LCAP)</w:t>
      </w:r>
      <w:r>
        <w:rPr>
          <w:spacing w:val="-9"/>
          <w:w w:val="105"/>
          <w:sz w:val="18"/>
        </w:rPr>
        <w:t> </w:t>
      </w:r>
      <w:r>
        <w:rPr>
          <w:w w:val="105"/>
          <w:sz w:val="18"/>
        </w:rPr>
        <w:t>or</w:t>
      </w:r>
      <w:r>
        <w:rPr>
          <w:spacing w:val="-8"/>
          <w:w w:val="105"/>
          <w:sz w:val="18"/>
        </w:rPr>
        <w:t> </w:t>
      </w:r>
      <w:r>
        <w:rPr>
          <w:w w:val="105"/>
          <w:sz w:val="18"/>
        </w:rPr>
        <w:t>annual</w:t>
      </w:r>
      <w:r>
        <w:rPr>
          <w:spacing w:val="-11"/>
          <w:w w:val="105"/>
          <w:sz w:val="18"/>
        </w:rPr>
        <w:t> </w:t>
      </w:r>
      <w:r>
        <w:rPr>
          <w:w w:val="105"/>
          <w:sz w:val="18"/>
        </w:rPr>
        <w:t>update</w:t>
      </w:r>
      <w:r>
        <w:rPr>
          <w:spacing w:val="-10"/>
          <w:w w:val="105"/>
          <w:sz w:val="18"/>
        </w:rPr>
        <w:t> </w:t>
      </w:r>
      <w:r>
        <w:rPr>
          <w:w w:val="105"/>
          <w:sz w:val="18"/>
        </w:rPr>
        <w:t>to</w:t>
      </w:r>
      <w:r>
        <w:rPr>
          <w:spacing w:val="-11"/>
          <w:w w:val="105"/>
          <w:sz w:val="18"/>
        </w:rPr>
        <w:t> </w:t>
      </w:r>
      <w:r>
        <w:rPr>
          <w:w w:val="105"/>
          <w:sz w:val="18"/>
        </w:rPr>
        <w:t>the</w:t>
      </w:r>
      <w:r>
        <w:rPr>
          <w:spacing w:val="-11"/>
          <w:w w:val="105"/>
          <w:sz w:val="18"/>
        </w:rPr>
        <w:t> </w:t>
      </w:r>
      <w:r>
        <w:rPr>
          <w:w w:val="105"/>
          <w:sz w:val="18"/>
        </w:rPr>
        <w:t>LCAP</w:t>
      </w:r>
      <w:r>
        <w:rPr>
          <w:spacing w:val="-8"/>
          <w:w w:val="105"/>
          <w:sz w:val="18"/>
        </w:rPr>
        <w:t> </w:t>
      </w:r>
      <w:r>
        <w:rPr>
          <w:w w:val="105"/>
          <w:sz w:val="18"/>
        </w:rPr>
        <w:t>that will</w:t>
      </w:r>
      <w:r>
        <w:rPr>
          <w:spacing w:val="-11"/>
          <w:w w:val="105"/>
          <w:sz w:val="18"/>
        </w:rPr>
        <w:t> </w:t>
      </w:r>
      <w:r>
        <w:rPr>
          <w:w w:val="105"/>
          <w:sz w:val="18"/>
        </w:rPr>
        <w:t>be</w:t>
      </w:r>
      <w:r>
        <w:rPr>
          <w:spacing w:val="-6"/>
          <w:w w:val="105"/>
          <w:sz w:val="18"/>
        </w:rPr>
        <w:t> </w:t>
      </w:r>
      <w:r>
        <w:rPr>
          <w:w w:val="105"/>
          <w:sz w:val="18"/>
        </w:rPr>
        <w:t>effective</w:t>
      </w:r>
      <w:r>
        <w:rPr>
          <w:spacing w:val="-10"/>
          <w:w w:val="105"/>
          <w:sz w:val="18"/>
        </w:rPr>
        <w:t> </w:t>
      </w:r>
      <w:r>
        <w:rPr>
          <w:w w:val="105"/>
          <w:sz w:val="18"/>
        </w:rPr>
        <w:t>for</w:t>
      </w:r>
      <w:r>
        <w:rPr>
          <w:spacing w:val="-8"/>
          <w:w w:val="105"/>
          <w:sz w:val="18"/>
        </w:rPr>
        <w:t> </w:t>
      </w:r>
      <w:r>
        <w:rPr>
          <w:w w:val="105"/>
          <w:sz w:val="18"/>
        </w:rPr>
        <w:t>the</w:t>
      </w:r>
      <w:r>
        <w:rPr>
          <w:spacing w:val="-9"/>
          <w:w w:val="105"/>
          <w:sz w:val="18"/>
        </w:rPr>
        <w:t> </w:t>
      </w:r>
      <w:r>
        <w:rPr>
          <w:w w:val="105"/>
          <w:sz w:val="18"/>
        </w:rPr>
        <w:t>budget</w:t>
      </w:r>
      <w:r>
        <w:rPr>
          <w:spacing w:val="-6"/>
          <w:w w:val="105"/>
          <w:sz w:val="18"/>
        </w:rPr>
        <w:t> </w:t>
      </w:r>
      <w:r>
        <w:rPr>
          <w:w w:val="105"/>
          <w:sz w:val="18"/>
        </w:rPr>
        <w:t>year.</w:t>
      </w:r>
      <w:r>
        <w:rPr>
          <w:spacing w:val="-9"/>
          <w:w w:val="105"/>
          <w:sz w:val="18"/>
        </w:rPr>
        <w:t> </w:t>
      </w:r>
      <w:r>
        <w:rPr>
          <w:w w:val="105"/>
          <w:sz w:val="18"/>
        </w:rPr>
        <w:t>The</w:t>
      </w:r>
      <w:r>
        <w:rPr>
          <w:spacing w:val="-9"/>
          <w:w w:val="105"/>
          <w:sz w:val="18"/>
        </w:rPr>
        <w:t> </w:t>
      </w:r>
      <w:r>
        <w:rPr>
          <w:w w:val="105"/>
          <w:sz w:val="18"/>
        </w:rPr>
        <w:t>budget</w:t>
      </w:r>
      <w:r>
        <w:rPr>
          <w:spacing w:val="-6"/>
          <w:w w:val="105"/>
          <w:sz w:val="18"/>
        </w:rPr>
        <w:t> </w:t>
      </w:r>
      <w:r>
        <w:rPr>
          <w:w w:val="105"/>
          <w:sz w:val="18"/>
        </w:rPr>
        <w:t>was</w:t>
      </w:r>
      <w:r>
        <w:rPr>
          <w:spacing w:val="-5"/>
          <w:w w:val="105"/>
          <w:sz w:val="18"/>
        </w:rPr>
        <w:t> </w:t>
      </w:r>
      <w:r>
        <w:rPr>
          <w:w w:val="105"/>
          <w:sz w:val="18"/>
        </w:rPr>
        <w:t>filed</w:t>
      </w:r>
      <w:r>
        <w:rPr>
          <w:spacing w:val="-10"/>
          <w:w w:val="105"/>
          <w:sz w:val="18"/>
        </w:rPr>
        <w:t> </w:t>
      </w:r>
      <w:r>
        <w:rPr>
          <w:w w:val="105"/>
          <w:sz w:val="18"/>
        </w:rPr>
        <w:t>and</w:t>
      </w:r>
      <w:r>
        <w:rPr>
          <w:spacing w:val="-8"/>
          <w:w w:val="105"/>
          <w:sz w:val="18"/>
        </w:rPr>
        <w:t> </w:t>
      </w:r>
      <w:r>
        <w:rPr>
          <w:w w:val="105"/>
          <w:sz w:val="18"/>
        </w:rPr>
        <w:t>adopted</w:t>
      </w:r>
      <w:r>
        <w:rPr>
          <w:spacing w:val="-9"/>
          <w:w w:val="105"/>
          <w:sz w:val="18"/>
        </w:rPr>
        <w:t> </w:t>
      </w:r>
      <w:r>
        <w:rPr>
          <w:w w:val="105"/>
          <w:sz w:val="18"/>
        </w:rPr>
        <w:t>subsequent</w:t>
      </w:r>
      <w:r>
        <w:rPr>
          <w:spacing w:val="-5"/>
          <w:w w:val="105"/>
          <w:sz w:val="18"/>
        </w:rPr>
        <w:t> </w:t>
      </w:r>
      <w:r>
        <w:rPr>
          <w:w w:val="105"/>
          <w:sz w:val="18"/>
        </w:rPr>
        <w:t>to</w:t>
      </w:r>
      <w:r>
        <w:rPr>
          <w:spacing w:val="-10"/>
          <w:w w:val="105"/>
          <w:sz w:val="18"/>
        </w:rPr>
        <w:t> </w:t>
      </w:r>
      <w:r>
        <w:rPr>
          <w:w w:val="105"/>
          <w:sz w:val="18"/>
        </w:rPr>
        <w:t>a</w:t>
      </w:r>
      <w:r>
        <w:rPr>
          <w:spacing w:val="-8"/>
          <w:w w:val="105"/>
          <w:sz w:val="18"/>
        </w:rPr>
        <w:t> </w:t>
      </w:r>
      <w:r>
        <w:rPr>
          <w:w w:val="105"/>
          <w:sz w:val="18"/>
        </w:rPr>
        <w:t>public</w:t>
      </w:r>
      <w:r>
        <w:rPr>
          <w:spacing w:val="-9"/>
          <w:w w:val="105"/>
          <w:sz w:val="18"/>
        </w:rPr>
        <w:t> </w:t>
      </w:r>
      <w:r>
        <w:rPr>
          <w:w w:val="105"/>
          <w:sz w:val="18"/>
        </w:rPr>
        <w:t>hearing</w:t>
      </w:r>
      <w:r>
        <w:rPr>
          <w:spacing w:val="-9"/>
          <w:w w:val="105"/>
          <w:sz w:val="18"/>
        </w:rPr>
        <w:t> </w:t>
      </w:r>
      <w:r>
        <w:rPr>
          <w:w w:val="105"/>
          <w:sz w:val="18"/>
        </w:rPr>
        <w:t>by</w:t>
      </w:r>
      <w:r>
        <w:rPr>
          <w:spacing w:val="-11"/>
          <w:w w:val="105"/>
          <w:sz w:val="18"/>
        </w:rPr>
        <w:t> </w:t>
      </w:r>
      <w:r>
        <w:rPr>
          <w:w w:val="105"/>
          <w:sz w:val="18"/>
        </w:rPr>
        <w:t>the governing</w:t>
      </w:r>
      <w:r>
        <w:rPr>
          <w:spacing w:val="-13"/>
          <w:w w:val="105"/>
          <w:sz w:val="18"/>
        </w:rPr>
        <w:t> </w:t>
      </w:r>
      <w:r>
        <w:rPr>
          <w:w w:val="105"/>
          <w:sz w:val="18"/>
        </w:rPr>
        <w:t>board</w:t>
      </w:r>
      <w:r>
        <w:rPr>
          <w:spacing w:val="-13"/>
          <w:w w:val="105"/>
          <w:sz w:val="18"/>
        </w:rPr>
        <w:t> </w:t>
      </w:r>
      <w:r>
        <w:rPr>
          <w:w w:val="105"/>
          <w:sz w:val="18"/>
        </w:rPr>
        <w:t>of</w:t>
      </w:r>
      <w:r>
        <w:rPr>
          <w:spacing w:val="-10"/>
          <w:w w:val="105"/>
          <w:sz w:val="18"/>
        </w:rPr>
        <w:t> </w:t>
      </w:r>
      <w:r>
        <w:rPr>
          <w:w w:val="105"/>
          <w:sz w:val="18"/>
        </w:rPr>
        <w:t>the</w:t>
      </w:r>
      <w:r>
        <w:rPr>
          <w:spacing w:val="-12"/>
          <w:w w:val="105"/>
          <w:sz w:val="18"/>
        </w:rPr>
        <w:t> </w:t>
      </w:r>
      <w:r>
        <w:rPr>
          <w:w w:val="105"/>
          <w:sz w:val="18"/>
        </w:rPr>
        <w:t>school</w:t>
      </w:r>
      <w:r>
        <w:rPr>
          <w:spacing w:val="-12"/>
          <w:w w:val="105"/>
          <w:sz w:val="18"/>
        </w:rPr>
        <w:t> </w:t>
      </w:r>
      <w:r>
        <w:rPr>
          <w:w w:val="105"/>
          <w:sz w:val="18"/>
        </w:rPr>
        <w:t>district</w:t>
      </w:r>
      <w:r>
        <w:rPr>
          <w:spacing w:val="-12"/>
          <w:w w:val="105"/>
          <w:sz w:val="18"/>
        </w:rPr>
        <w:t> </w:t>
      </w:r>
      <w:r>
        <w:rPr>
          <w:w w:val="105"/>
          <w:sz w:val="18"/>
        </w:rPr>
        <w:t>pursuant</w:t>
      </w:r>
      <w:r>
        <w:rPr>
          <w:spacing w:val="-9"/>
          <w:w w:val="105"/>
          <w:sz w:val="18"/>
        </w:rPr>
        <w:t> </w:t>
      </w:r>
      <w:r>
        <w:rPr>
          <w:w w:val="105"/>
          <w:sz w:val="18"/>
        </w:rPr>
        <w:t>to</w:t>
      </w:r>
      <w:r>
        <w:rPr>
          <w:spacing w:val="-11"/>
          <w:w w:val="105"/>
          <w:sz w:val="18"/>
        </w:rPr>
        <w:t> </w:t>
      </w:r>
      <w:r>
        <w:rPr>
          <w:w w:val="105"/>
          <w:sz w:val="18"/>
        </w:rPr>
        <w:t>Education</w:t>
      </w:r>
      <w:r>
        <w:rPr>
          <w:spacing w:val="-10"/>
          <w:w w:val="105"/>
          <w:sz w:val="18"/>
        </w:rPr>
        <w:t> </w:t>
      </w:r>
      <w:r>
        <w:rPr>
          <w:w w:val="105"/>
          <w:sz w:val="18"/>
        </w:rPr>
        <w:t>Code</w:t>
      </w:r>
      <w:r>
        <w:rPr>
          <w:spacing w:val="-10"/>
          <w:w w:val="105"/>
          <w:sz w:val="18"/>
        </w:rPr>
        <w:t> </w:t>
      </w:r>
      <w:r>
        <w:rPr>
          <w:w w:val="105"/>
          <w:sz w:val="18"/>
        </w:rPr>
        <w:t>sections</w:t>
      </w:r>
      <w:r>
        <w:rPr>
          <w:spacing w:val="-10"/>
          <w:w w:val="105"/>
          <w:sz w:val="18"/>
        </w:rPr>
        <w:t> </w:t>
      </w:r>
      <w:r>
        <w:rPr>
          <w:w w:val="105"/>
          <w:sz w:val="18"/>
        </w:rPr>
        <w:t>33129,</w:t>
      </w:r>
      <w:r>
        <w:rPr>
          <w:spacing w:val="-10"/>
          <w:w w:val="105"/>
          <w:sz w:val="18"/>
        </w:rPr>
        <w:t> </w:t>
      </w:r>
      <w:r>
        <w:rPr>
          <w:w w:val="105"/>
          <w:sz w:val="18"/>
        </w:rPr>
        <w:t>42127,</w:t>
      </w:r>
      <w:r>
        <w:rPr>
          <w:spacing w:val="-9"/>
          <w:w w:val="105"/>
          <w:sz w:val="18"/>
        </w:rPr>
        <w:t> </w:t>
      </w:r>
      <w:r>
        <w:rPr>
          <w:w w:val="105"/>
          <w:sz w:val="18"/>
        </w:rPr>
        <w:t>52060,</w:t>
      </w:r>
      <w:r>
        <w:rPr>
          <w:spacing w:val="-10"/>
          <w:w w:val="105"/>
          <w:sz w:val="18"/>
        </w:rPr>
        <w:t> </w:t>
      </w:r>
      <w:r>
        <w:rPr>
          <w:w w:val="105"/>
          <w:sz w:val="18"/>
        </w:rPr>
        <w:t>52061,</w:t>
      </w:r>
      <w:r>
        <w:rPr>
          <w:spacing w:val="-9"/>
          <w:w w:val="105"/>
          <w:sz w:val="18"/>
        </w:rPr>
        <w:t> </w:t>
      </w:r>
      <w:r>
        <w:rPr>
          <w:w w:val="105"/>
          <w:sz w:val="18"/>
        </w:rPr>
        <w:t>and 52062.</w:t>
      </w:r>
    </w:p>
    <w:p>
      <w:pPr>
        <w:pStyle w:val="BodyText"/>
        <w:spacing w:before="1"/>
        <w:rPr>
          <w:sz w:val="12"/>
        </w:rPr>
      </w:pPr>
    </w:p>
    <w:p>
      <w:pPr>
        <w:tabs>
          <w:tab w:pos="1419" w:val="left" w:leader="none"/>
        </w:tabs>
        <w:spacing w:line="278" w:lineRule="auto" w:before="101"/>
        <w:ind w:left="1419" w:right="1946" w:hanging="646"/>
        <w:jc w:val="left"/>
        <w:rPr>
          <w:sz w:val="18"/>
        </w:rPr>
      </w:pPr>
      <w:r>
        <w:rPr>
          <w:w w:val="105"/>
          <w:sz w:val="18"/>
        </w:rPr>
        <w:t>x</w:t>
        <w:tab/>
        <w:t>If the budget includes a combined assigned and unassigned ending fund balance above the minimum recommended</w:t>
      </w:r>
      <w:r>
        <w:rPr>
          <w:spacing w:val="-11"/>
          <w:w w:val="105"/>
          <w:sz w:val="18"/>
        </w:rPr>
        <w:t> </w:t>
      </w:r>
      <w:r>
        <w:rPr>
          <w:w w:val="105"/>
          <w:sz w:val="18"/>
        </w:rPr>
        <w:t>reserve</w:t>
      </w:r>
      <w:r>
        <w:rPr>
          <w:spacing w:val="-12"/>
          <w:w w:val="105"/>
          <w:sz w:val="18"/>
        </w:rPr>
        <w:t> </w:t>
      </w:r>
      <w:r>
        <w:rPr>
          <w:w w:val="105"/>
          <w:sz w:val="18"/>
        </w:rPr>
        <w:t>for</w:t>
      </w:r>
      <w:r>
        <w:rPr>
          <w:spacing w:val="-12"/>
          <w:w w:val="105"/>
          <w:sz w:val="18"/>
        </w:rPr>
        <w:t> </w:t>
      </w:r>
      <w:r>
        <w:rPr>
          <w:w w:val="105"/>
          <w:sz w:val="18"/>
        </w:rPr>
        <w:t>economic</w:t>
      </w:r>
      <w:r>
        <w:rPr>
          <w:spacing w:val="-11"/>
          <w:w w:val="105"/>
          <w:sz w:val="18"/>
        </w:rPr>
        <w:t> </w:t>
      </w:r>
      <w:r>
        <w:rPr>
          <w:w w:val="105"/>
          <w:sz w:val="18"/>
        </w:rPr>
        <w:t>uncertainties,</w:t>
      </w:r>
      <w:r>
        <w:rPr>
          <w:spacing w:val="-12"/>
          <w:w w:val="105"/>
          <w:sz w:val="18"/>
        </w:rPr>
        <w:t> </w:t>
      </w:r>
      <w:r>
        <w:rPr>
          <w:w w:val="105"/>
          <w:sz w:val="18"/>
        </w:rPr>
        <w:t>at</w:t>
      </w:r>
      <w:r>
        <w:rPr>
          <w:spacing w:val="-9"/>
          <w:w w:val="105"/>
          <w:sz w:val="18"/>
        </w:rPr>
        <w:t> </w:t>
      </w:r>
      <w:r>
        <w:rPr>
          <w:w w:val="105"/>
          <w:sz w:val="18"/>
        </w:rPr>
        <w:t>its</w:t>
      </w:r>
      <w:r>
        <w:rPr>
          <w:spacing w:val="-12"/>
          <w:w w:val="105"/>
          <w:sz w:val="18"/>
        </w:rPr>
        <w:t> </w:t>
      </w:r>
      <w:r>
        <w:rPr>
          <w:w w:val="105"/>
          <w:sz w:val="18"/>
        </w:rPr>
        <w:t>public</w:t>
      </w:r>
      <w:r>
        <w:rPr>
          <w:spacing w:val="-11"/>
          <w:w w:val="105"/>
          <w:sz w:val="18"/>
        </w:rPr>
        <w:t> </w:t>
      </w:r>
      <w:r>
        <w:rPr>
          <w:w w:val="105"/>
          <w:sz w:val="18"/>
        </w:rPr>
        <w:t>hearing,</w:t>
      </w:r>
      <w:r>
        <w:rPr>
          <w:spacing w:val="-11"/>
          <w:w w:val="105"/>
          <w:sz w:val="18"/>
        </w:rPr>
        <w:t> </w:t>
      </w:r>
      <w:r>
        <w:rPr>
          <w:w w:val="105"/>
          <w:sz w:val="18"/>
        </w:rPr>
        <w:t>the</w:t>
      </w:r>
      <w:r>
        <w:rPr>
          <w:spacing w:val="-11"/>
          <w:w w:val="105"/>
          <w:sz w:val="18"/>
        </w:rPr>
        <w:t> </w:t>
      </w:r>
      <w:r>
        <w:rPr>
          <w:w w:val="105"/>
          <w:sz w:val="18"/>
        </w:rPr>
        <w:t>school</w:t>
      </w:r>
      <w:r>
        <w:rPr>
          <w:spacing w:val="-11"/>
          <w:w w:val="105"/>
          <w:sz w:val="18"/>
        </w:rPr>
        <w:t> </w:t>
      </w:r>
      <w:r>
        <w:rPr>
          <w:w w:val="105"/>
          <w:sz w:val="18"/>
        </w:rPr>
        <w:t>district</w:t>
      </w:r>
      <w:r>
        <w:rPr>
          <w:spacing w:val="-12"/>
          <w:w w:val="105"/>
          <w:sz w:val="18"/>
        </w:rPr>
        <w:t> </w:t>
      </w:r>
      <w:r>
        <w:rPr>
          <w:w w:val="105"/>
          <w:sz w:val="18"/>
        </w:rPr>
        <w:t>complied</w:t>
      </w:r>
      <w:r>
        <w:rPr>
          <w:spacing w:val="-12"/>
          <w:w w:val="105"/>
          <w:sz w:val="18"/>
        </w:rPr>
        <w:t> </w:t>
      </w:r>
      <w:r>
        <w:rPr>
          <w:w w:val="105"/>
          <w:sz w:val="18"/>
        </w:rPr>
        <w:t>with the requirements of subparagraphs (B) and (C) of paragraph (2) of subdivision (a) of Education Code Section</w:t>
      </w:r>
      <w:r>
        <w:rPr>
          <w:spacing w:val="-2"/>
          <w:w w:val="105"/>
          <w:sz w:val="18"/>
        </w:rPr>
        <w:t> </w:t>
      </w:r>
      <w:r>
        <w:rPr>
          <w:w w:val="105"/>
          <w:sz w:val="18"/>
        </w:rPr>
        <w:t>42127.</w:t>
      </w:r>
    </w:p>
    <w:p>
      <w:pPr>
        <w:pStyle w:val="BodyText"/>
        <w:rPr>
          <w:sz w:val="20"/>
        </w:rPr>
      </w:pPr>
    </w:p>
    <w:p>
      <w:pPr>
        <w:pStyle w:val="BodyText"/>
        <w:spacing w:before="8"/>
        <w:rPr>
          <w:sz w:val="21"/>
        </w:rPr>
      </w:pPr>
    </w:p>
    <w:p>
      <w:pPr>
        <w:tabs>
          <w:tab w:pos="6507" w:val="left" w:leader="none"/>
        </w:tabs>
        <w:spacing w:before="0"/>
        <w:ind w:left="1419" w:right="0" w:firstLine="0"/>
        <w:jc w:val="left"/>
        <w:rPr>
          <w:sz w:val="18"/>
        </w:rPr>
      </w:pPr>
      <w:r>
        <w:rPr>
          <w:w w:val="105"/>
          <w:sz w:val="18"/>
        </w:rPr>
        <w:t>Budget available for</w:t>
      </w:r>
      <w:r>
        <w:rPr>
          <w:spacing w:val="-27"/>
          <w:w w:val="105"/>
          <w:sz w:val="18"/>
        </w:rPr>
        <w:t> </w:t>
      </w:r>
      <w:r>
        <w:rPr>
          <w:w w:val="105"/>
          <w:sz w:val="18"/>
        </w:rPr>
        <w:t>inspection</w:t>
      </w:r>
      <w:r>
        <w:rPr>
          <w:spacing w:val="-10"/>
          <w:w w:val="105"/>
          <w:sz w:val="18"/>
        </w:rPr>
        <w:t> </w:t>
      </w:r>
      <w:r>
        <w:rPr>
          <w:w w:val="105"/>
          <w:sz w:val="18"/>
        </w:rPr>
        <w:t>at:</w:t>
        <w:tab/>
        <w:t>Public</w:t>
      </w:r>
      <w:r>
        <w:rPr>
          <w:spacing w:val="-2"/>
          <w:w w:val="105"/>
          <w:sz w:val="18"/>
        </w:rPr>
        <w:t> </w:t>
      </w:r>
      <w:r>
        <w:rPr>
          <w:w w:val="105"/>
          <w:sz w:val="18"/>
        </w:rPr>
        <w:t>Hearing:</w:t>
      </w:r>
    </w:p>
    <w:p>
      <w:pPr>
        <w:pStyle w:val="BodyText"/>
        <w:rPr>
          <w:sz w:val="15"/>
        </w:rPr>
      </w:pPr>
    </w:p>
    <w:p>
      <w:pPr>
        <w:tabs>
          <w:tab w:pos="7251" w:val="left" w:leader="none"/>
        </w:tabs>
        <w:spacing w:before="101"/>
        <w:ind w:left="2237" w:right="0" w:firstLine="0"/>
        <w:jc w:val="left"/>
        <w:rPr>
          <w:sz w:val="18"/>
        </w:rPr>
      </w:pPr>
      <w:r>
        <w:rPr>
          <w:w w:val="105"/>
          <w:sz w:val="18"/>
        </w:rPr>
        <w:t>Place: Robbins Elementary</w:t>
      </w:r>
      <w:r>
        <w:rPr>
          <w:spacing w:val="-13"/>
          <w:w w:val="105"/>
          <w:sz w:val="18"/>
        </w:rPr>
        <w:t> </w:t>
      </w:r>
      <w:r>
        <w:rPr>
          <w:w w:val="105"/>
          <w:sz w:val="18"/>
        </w:rPr>
        <w:t>School</w:t>
        <w:tab/>
        <w:t>Place: Robbins Elementary</w:t>
      </w:r>
      <w:r>
        <w:rPr>
          <w:spacing w:val="-36"/>
          <w:w w:val="105"/>
          <w:sz w:val="18"/>
        </w:rPr>
        <w:t> </w:t>
      </w:r>
      <w:r>
        <w:rPr>
          <w:w w:val="105"/>
          <w:sz w:val="18"/>
        </w:rPr>
        <w:t>School</w:t>
      </w:r>
    </w:p>
    <w:p>
      <w:pPr>
        <w:tabs>
          <w:tab w:pos="7323" w:val="left" w:leader="none"/>
        </w:tabs>
        <w:spacing w:before="33"/>
        <w:ind w:left="2309" w:right="0" w:firstLine="0"/>
        <w:jc w:val="left"/>
        <w:rPr>
          <w:sz w:val="18"/>
        </w:rPr>
      </w:pPr>
      <w:r>
        <w:rPr>
          <w:w w:val="105"/>
          <w:sz w:val="18"/>
        </w:rPr>
        <w:t>Date: June</w:t>
      </w:r>
      <w:r>
        <w:rPr>
          <w:spacing w:val="12"/>
          <w:w w:val="105"/>
          <w:sz w:val="18"/>
        </w:rPr>
        <w:t> </w:t>
      </w:r>
      <w:r>
        <w:rPr>
          <w:w w:val="105"/>
          <w:sz w:val="18"/>
        </w:rPr>
        <w:t>04,</w:t>
      </w:r>
      <w:r>
        <w:rPr>
          <w:spacing w:val="-4"/>
          <w:w w:val="105"/>
          <w:sz w:val="18"/>
        </w:rPr>
        <w:t> </w:t>
      </w:r>
      <w:r>
        <w:rPr>
          <w:w w:val="105"/>
          <w:sz w:val="18"/>
        </w:rPr>
        <w:t>2021</w:t>
        <w:tab/>
        <w:t>Date: June 09,</w:t>
      </w:r>
      <w:r>
        <w:rPr>
          <w:spacing w:val="-26"/>
          <w:w w:val="105"/>
          <w:sz w:val="18"/>
        </w:rPr>
        <w:t> </w:t>
      </w:r>
      <w:r>
        <w:rPr>
          <w:w w:val="105"/>
          <w:sz w:val="18"/>
        </w:rPr>
        <w:t>2021</w:t>
      </w:r>
    </w:p>
    <w:p>
      <w:pPr>
        <w:spacing w:before="33"/>
        <w:ind w:left="7304" w:right="0" w:firstLine="0"/>
        <w:jc w:val="left"/>
        <w:rPr>
          <w:sz w:val="18"/>
        </w:rPr>
      </w:pPr>
      <w:r>
        <w:rPr>
          <w:w w:val="105"/>
          <w:sz w:val="18"/>
        </w:rPr>
        <w:t>Time: 09:00 AM</w:t>
      </w:r>
    </w:p>
    <w:p>
      <w:pPr>
        <w:spacing w:before="33"/>
        <w:ind w:left="1522" w:right="0" w:firstLine="0"/>
        <w:jc w:val="left"/>
        <w:rPr>
          <w:sz w:val="18"/>
        </w:rPr>
      </w:pPr>
      <w:r>
        <w:rPr>
          <w:w w:val="105"/>
          <w:sz w:val="18"/>
        </w:rPr>
        <w:t>Adoption Date: June 16, 2021</w:t>
      </w:r>
    </w:p>
    <w:p>
      <w:pPr>
        <w:pStyle w:val="BodyText"/>
        <w:rPr>
          <w:sz w:val="15"/>
        </w:rPr>
      </w:pPr>
    </w:p>
    <w:p>
      <w:pPr>
        <w:spacing w:before="100"/>
        <w:ind w:left="2124" w:right="0" w:firstLine="0"/>
        <w:jc w:val="left"/>
        <w:rPr>
          <w:sz w:val="18"/>
        </w:rPr>
      </w:pPr>
      <w:r>
        <w:rPr>
          <w:w w:val="105"/>
          <w:sz w:val="18"/>
        </w:rPr>
        <w:t>Signed:</w:t>
      </w:r>
    </w:p>
    <w:p>
      <w:pPr>
        <w:pStyle w:val="Heading7"/>
        <w:spacing w:line="333" w:lineRule="auto" w:before="69"/>
        <w:ind w:left="3696" w:right="5417" w:hanging="387"/>
      </w:pPr>
      <w:r>
        <w:rPr/>
        <w:t>Clerk/Secretary of the Governing Board (Original signature required)</w:t>
      </w:r>
    </w:p>
    <w:p>
      <w:pPr>
        <w:pStyle w:val="BodyText"/>
        <w:spacing w:before="11"/>
        <w:rPr>
          <w:sz w:val="29"/>
        </w:rPr>
      </w:pPr>
    </w:p>
    <w:p>
      <w:pPr>
        <w:spacing w:before="100"/>
        <w:ind w:left="1419" w:right="0" w:firstLine="0"/>
        <w:jc w:val="left"/>
        <w:rPr>
          <w:sz w:val="18"/>
        </w:rPr>
      </w:pPr>
      <w:r>
        <w:rPr>
          <w:w w:val="105"/>
          <w:sz w:val="18"/>
        </w:rPr>
        <w:t>Contact person for additional information on the budget reports:</w:t>
      </w:r>
    </w:p>
    <w:p>
      <w:pPr>
        <w:pStyle w:val="BodyText"/>
        <w:rPr>
          <w:sz w:val="15"/>
        </w:rPr>
      </w:pPr>
    </w:p>
    <w:p>
      <w:pPr>
        <w:tabs>
          <w:tab w:pos="6840" w:val="left" w:leader="none"/>
        </w:tabs>
        <w:spacing w:before="101"/>
        <w:ind w:left="2206" w:right="0" w:firstLine="0"/>
        <w:jc w:val="left"/>
        <w:rPr>
          <w:sz w:val="18"/>
        </w:rPr>
      </w:pPr>
      <w:r>
        <w:rPr>
          <w:w w:val="105"/>
          <w:sz w:val="18"/>
        </w:rPr>
        <w:t>Name:</w:t>
      </w:r>
      <w:r>
        <w:rPr>
          <w:spacing w:val="19"/>
          <w:w w:val="105"/>
          <w:sz w:val="18"/>
        </w:rPr>
        <w:t> </w:t>
      </w:r>
      <w:r>
        <w:rPr>
          <w:w w:val="105"/>
          <w:sz w:val="18"/>
        </w:rPr>
        <w:t>Dawn</w:t>
      </w:r>
      <w:r>
        <w:rPr>
          <w:spacing w:val="-5"/>
          <w:w w:val="105"/>
          <w:sz w:val="18"/>
        </w:rPr>
        <w:t> </w:t>
      </w:r>
      <w:r>
        <w:rPr>
          <w:w w:val="105"/>
          <w:sz w:val="18"/>
        </w:rPr>
        <w:t>Carl</w:t>
        <w:tab/>
        <w:t>Telephone:</w:t>
      </w:r>
      <w:r>
        <w:rPr>
          <w:spacing w:val="26"/>
          <w:w w:val="105"/>
          <w:sz w:val="18"/>
        </w:rPr>
        <w:t> </w:t>
      </w:r>
      <w:r>
        <w:rPr>
          <w:w w:val="105"/>
          <w:sz w:val="18"/>
        </w:rPr>
        <w:t>530-738-4386</w:t>
      </w:r>
    </w:p>
    <w:p>
      <w:pPr>
        <w:pStyle w:val="BodyText"/>
        <w:rPr>
          <w:sz w:val="15"/>
        </w:rPr>
      </w:pPr>
    </w:p>
    <w:p>
      <w:pPr>
        <w:tabs>
          <w:tab w:pos="5188" w:val="left" w:leader="none"/>
        </w:tabs>
        <w:spacing w:before="100"/>
        <w:ind w:left="352" w:right="0" w:firstLine="0"/>
        <w:jc w:val="center"/>
        <w:rPr>
          <w:sz w:val="18"/>
        </w:rPr>
      </w:pPr>
      <w:r>
        <w:rPr>
          <w:w w:val="105"/>
          <w:sz w:val="18"/>
        </w:rPr>
        <w:t>Title:</w:t>
      </w:r>
      <w:r>
        <w:rPr>
          <w:spacing w:val="5"/>
          <w:w w:val="105"/>
          <w:sz w:val="18"/>
        </w:rPr>
        <w:t> </w:t>
      </w:r>
      <w:r>
        <w:rPr>
          <w:w w:val="105"/>
          <w:sz w:val="18"/>
        </w:rPr>
        <w:t>Superintendent/Principal</w:t>
        <w:tab/>
        <w:t>E-mail:</w:t>
      </w:r>
      <w:r>
        <w:rPr>
          <w:spacing w:val="25"/>
          <w:w w:val="105"/>
          <w:sz w:val="18"/>
        </w:rPr>
        <w:t> </w:t>
      </w:r>
      <w:hyperlink r:id="rId14">
        <w:r>
          <w:rPr>
            <w:w w:val="105"/>
            <w:sz w:val="18"/>
          </w:rPr>
          <w:t>dawnc@sutter.k12.ca.us</w:t>
        </w:r>
      </w:hyperlink>
    </w:p>
    <w:p>
      <w:pPr>
        <w:pStyle w:val="BodyText"/>
        <w:rPr>
          <w:sz w:val="20"/>
        </w:rPr>
      </w:pPr>
    </w:p>
    <w:p>
      <w:pPr>
        <w:pStyle w:val="BodyText"/>
        <w:rPr>
          <w:sz w:val="20"/>
        </w:rPr>
      </w:pPr>
    </w:p>
    <w:p>
      <w:pPr>
        <w:pStyle w:val="BodyText"/>
        <w:rPr>
          <w:sz w:val="20"/>
        </w:rPr>
      </w:pPr>
    </w:p>
    <w:p>
      <w:pPr>
        <w:pStyle w:val="BodyText"/>
        <w:spacing w:before="1"/>
        <w:rPr>
          <w:sz w:val="20"/>
        </w:rPr>
      </w:pPr>
    </w:p>
    <w:p>
      <w:pPr>
        <w:spacing w:before="97"/>
        <w:ind w:left="237" w:right="0" w:firstLine="0"/>
        <w:jc w:val="center"/>
        <w:rPr>
          <w:b/>
          <w:sz w:val="22"/>
        </w:rPr>
      </w:pPr>
      <w:r>
        <w:rPr>
          <w:b/>
          <w:sz w:val="22"/>
        </w:rPr>
        <w:t>Criteria and Standards Review Summary</w:t>
      </w:r>
    </w:p>
    <w:p>
      <w:pPr>
        <w:pStyle w:val="BodyText"/>
        <w:spacing w:before="3"/>
        <w:rPr>
          <w:b/>
          <w:sz w:val="34"/>
        </w:rPr>
      </w:pPr>
    </w:p>
    <w:p>
      <w:pPr>
        <w:pStyle w:val="Heading3"/>
        <w:ind w:left="1419" w:right="840"/>
      </w:pPr>
      <w:r>
        <w:rPr>
          <w:w w:val="105"/>
        </w:rPr>
        <w:t>The</w:t>
      </w:r>
      <w:r>
        <w:rPr>
          <w:spacing w:val="-12"/>
          <w:w w:val="105"/>
        </w:rPr>
        <w:t> </w:t>
      </w:r>
      <w:r>
        <w:rPr>
          <w:w w:val="105"/>
        </w:rPr>
        <w:t>following</w:t>
      </w:r>
      <w:r>
        <w:rPr>
          <w:spacing w:val="-12"/>
          <w:w w:val="105"/>
        </w:rPr>
        <w:t> </w:t>
      </w:r>
      <w:r>
        <w:rPr>
          <w:w w:val="105"/>
        </w:rPr>
        <w:t>summary</w:t>
      </w:r>
      <w:r>
        <w:rPr>
          <w:spacing w:val="-15"/>
          <w:w w:val="105"/>
        </w:rPr>
        <w:t> </w:t>
      </w:r>
      <w:r>
        <w:rPr>
          <w:w w:val="105"/>
        </w:rPr>
        <w:t>is</w:t>
      </w:r>
      <w:r>
        <w:rPr>
          <w:spacing w:val="-11"/>
          <w:w w:val="105"/>
        </w:rPr>
        <w:t> </w:t>
      </w:r>
      <w:r>
        <w:rPr>
          <w:w w:val="105"/>
        </w:rPr>
        <w:t>automatically</w:t>
      </w:r>
      <w:r>
        <w:rPr>
          <w:spacing w:val="-15"/>
          <w:w w:val="105"/>
        </w:rPr>
        <w:t> </w:t>
      </w:r>
      <w:r>
        <w:rPr>
          <w:w w:val="105"/>
        </w:rPr>
        <w:t>completed</w:t>
      </w:r>
      <w:r>
        <w:rPr>
          <w:spacing w:val="-12"/>
          <w:w w:val="105"/>
        </w:rPr>
        <w:t> </w:t>
      </w:r>
      <w:r>
        <w:rPr>
          <w:w w:val="105"/>
        </w:rPr>
        <w:t>based</w:t>
      </w:r>
      <w:r>
        <w:rPr>
          <w:spacing w:val="-11"/>
          <w:w w:val="105"/>
        </w:rPr>
        <w:t> </w:t>
      </w:r>
      <w:r>
        <w:rPr>
          <w:w w:val="105"/>
        </w:rPr>
        <w:t>on</w:t>
      </w:r>
      <w:r>
        <w:rPr>
          <w:spacing w:val="-11"/>
          <w:w w:val="105"/>
        </w:rPr>
        <w:t> </w:t>
      </w:r>
      <w:r>
        <w:rPr>
          <w:w w:val="105"/>
        </w:rPr>
        <w:t>data</w:t>
      </w:r>
      <w:r>
        <w:rPr>
          <w:spacing w:val="-12"/>
          <w:w w:val="105"/>
        </w:rPr>
        <w:t> </w:t>
      </w:r>
      <w:r>
        <w:rPr>
          <w:w w:val="105"/>
        </w:rPr>
        <w:t>provided</w:t>
      </w:r>
      <w:r>
        <w:rPr>
          <w:spacing w:val="-9"/>
          <w:w w:val="105"/>
        </w:rPr>
        <w:t> </w:t>
      </w:r>
      <w:r>
        <w:rPr>
          <w:w w:val="105"/>
        </w:rPr>
        <w:t>in</w:t>
      </w:r>
      <w:r>
        <w:rPr>
          <w:spacing w:val="-11"/>
          <w:w w:val="105"/>
        </w:rPr>
        <w:t> </w:t>
      </w:r>
      <w:r>
        <w:rPr>
          <w:w w:val="105"/>
        </w:rPr>
        <w:t>the</w:t>
      </w:r>
      <w:r>
        <w:rPr>
          <w:spacing w:val="-12"/>
          <w:w w:val="105"/>
        </w:rPr>
        <w:t> </w:t>
      </w:r>
      <w:r>
        <w:rPr>
          <w:w w:val="105"/>
        </w:rPr>
        <w:t>Criteria</w:t>
      </w:r>
      <w:r>
        <w:rPr>
          <w:spacing w:val="-12"/>
          <w:w w:val="105"/>
        </w:rPr>
        <w:t> </w:t>
      </w:r>
      <w:r>
        <w:rPr>
          <w:w w:val="105"/>
        </w:rPr>
        <w:t>and</w:t>
      </w:r>
      <w:r>
        <w:rPr>
          <w:spacing w:val="-11"/>
          <w:w w:val="105"/>
        </w:rPr>
        <w:t> </w:t>
      </w:r>
      <w:r>
        <w:rPr>
          <w:w w:val="105"/>
        </w:rPr>
        <w:t>Standards</w:t>
      </w:r>
      <w:r>
        <w:rPr>
          <w:spacing w:val="-11"/>
          <w:w w:val="105"/>
        </w:rPr>
        <w:t> </w:t>
      </w:r>
      <w:r>
        <w:rPr>
          <w:w w:val="105"/>
        </w:rPr>
        <w:t>Review (Form 01CS). Criteria and standards that are "Not Met," and supplemental information and additional fiscal indicators that are "Yes," may indicate areas of potential concern for fiscal solvency purposes and should be carefully</w:t>
      </w:r>
      <w:r>
        <w:rPr>
          <w:spacing w:val="-5"/>
          <w:w w:val="105"/>
        </w:rPr>
        <w:t> </w:t>
      </w:r>
      <w:r>
        <w:rPr>
          <w:w w:val="105"/>
        </w:rPr>
        <w:t>reviewed.</w:t>
      </w:r>
    </w:p>
    <w:p>
      <w:pPr>
        <w:pStyle w:val="BodyText"/>
        <w:rPr>
          <w:sz w:val="18"/>
        </w:rPr>
      </w:pPr>
      <w:r>
        <w:rPr/>
        <w:pict>
          <v:group style="position:absolute;margin-left:39.959999pt;margin-top:12.321pt;width:542.9pt;height:59.65pt;mso-position-horizontal-relative:page;mso-position-vertical-relative:paragraph;z-index:-251653120;mso-wrap-distance-left:0;mso-wrap-distance-right:0" coordorigin="799,246" coordsize="10858,1193">
            <v:shape style="position:absolute;left:799;top:246;width:3339;height:473" type="#_x0000_t75" stroked="false">
              <v:imagedata r:id="rId15" o:title=""/>
            </v:shape>
            <v:shape style="position:absolute;left:1536;top:246;width:10121;height:1193" type="#_x0000_t75" stroked="false">
              <v:imagedata r:id="rId16" o:title=""/>
            </v:shape>
            <v:shape style="position:absolute;left:799;top:712;width:744;height:728" type="#_x0000_t75" stroked="false">
              <v:imagedata r:id="rId17" o:title=""/>
            </v:shape>
            <v:shape style="position:absolute;left:4336;top:712;width:7320;height:728" type="#_x0000_t75" stroked="false">
              <v:imagedata r:id="rId18" o:title=""/>
            </v:shape>
            <v:shape style="position:absolute;left:842;top:502;width:2549;height:209" type="#_x0000_t202" filled="false" stroked="false">
              <v:textbox inset="0,0,0,0">
                <w:txbxContent>
                  <w:p>
                    <w:pPr>
                      <w:spacing w:before="0"/>
                      <w:ind w:left="0" w:right="0" w:firstLine="0"/>
                      <w:jc w:val="left"/>
                      <w:rPr>
                        <w:b/>
                        <w:sz w:val="18"/>
                      </w:rPr>
                    </w:pPr>
                    <w:r>
                      <w:rPr>
                        <w:b/>
                        <w:w w:val="105"/>
                        <w:sz w:val="18"/>
                      </w:rPr>
                      <w:t>CRITERIA </w:t>
                    </w:r>
                    <w:r>
                      <w:rPr>
                        <w:b/>
                        <w:spacing w:val="-3"/>
                        <w:w w:val="105"/>
                        <w:sz w:val="18"/>
                      </w:rPr>
                      <w:t>AND</w:t>
                    </w:r>
                    <w:r>
                      <w:rPr>
                        <w:b/>
                        <w:spacing w:val="-29"/>
                        <w:w w:val="105"/>
                        <w:sz w:val="18"/>
                      </w:rPr>
                      <w:t> </w:t>
                    </w:r>
                    <w:r>
                      <w:rPr>
                        <w:b/>
                        <w:spacing w:val="-3"/>
                        <w:w w:val="105"/>
                        <w:sz w:val="18"/>
                      </w:rPr>
                      <w:t>STANDARDS</w:t>
                    </w:r>
                  </w:p>
                </w:txbxContent>
              </v:textbox>
              <w10:wrap type="none"/>
            </v:shape>
            <v:shape style="position:absolute;left:10500;top:283;width:1011;height:428" type="#_x0000_t202" filled="false" stroked="false">
              <v:textbox inset="0,0,0,0">
                <w:txbxContent>
                  <w:p>
                    <w:pPr>
                      <w:spacing w:before="0"/>
                      <w:ind w:left="0" w:right="22" w:firstLine="0"/>
                      <w:jc w:val="right"/>
                      <w:rPr>
                        <w:b/>
                        <w:sz w:val="18"/>
                      </w:rPr>
                    </w:pPr>
                    <w:r>
                      <w:rPr>
                        <w:b/>
                        <w:sz w:val="18"/>
                      </w:rPr>
                      <w:t>Not</w:t>
                    </w:r>
                  </w:p>
                  <w:p>
                    <w:pPr>
                      <w:tabs>
                        <w:tab w:pos="669" w:val="left" w:leader="none"/>
                      </w:tabs>
                      <w:spacing w:before="11"/>
                      <w:ind w:left="0" w:right="18" w:firstLine="0"/>
                      <w:jc w:val="right"/>
                      <w:rPr>
                        <w:b/>
                        <w:sz w:val="18"/>
                      </w:rPr>
                    </w:pPr>
                    <w:r>
                      <w:rPr>
                        <w:b/>
                        <w:w w:val="105"/>
                        <w:sz w:val="18"/>
                      </w:rPr>
                      <w:t>Met</w:t>
                      <w:tab/>
                    </w:r>
                    <w:r>
                      <w:rPr>
                        <w:b/>
                        <w:spacing w:val="-7"/>
                        <w:sz w:val="18"/>
                      </w:rPr>
                      <w:t>Met</w:t>
                    </w:r>
                  </w:p>
                </w:txbxContent>
              </v:textbox>
              <w10:wrap type="none"/>
            </v:shape>
            <v:shape style="position:absolute;left:1120;top:715;width:2836;height:209" type="#_x0000_t202" filled="false" stroked="false">
              <v:textbox inset="0,0,0,0">
                <w:txbxContent>
                  <w:p>
                    <w:pPr>
                      <w:tabs>
                        <w:tab w:pos="664" w:val="left" w:leader="none"/>
                      </w:tabs>
                      <w:spacing w:before="0"/>
                      <w:ind w:left="0" w:right="0" w:firstLine="0"/>
                      <w:jc w:val="left"/>
                      <w:rPr>
                        <w:sz w:val="18"/>
                      </w:rPr>
                    </w:pPr>
                    <w:r>
                      <w:rPr>
                        <w:w w:val="105"/>
                        <w:sz w:val="18"/>
                      </w:rPr>
                      <w:t>1</w:t>
                      <w:tab/>
                      <w:t>Average Daily</w:t>
                    </w:r>
                    <w:r>
                      <w:rPr>
                        <w:spacing w:val="-35"/>
                        <w:w w:val="105"/>
                        <w:sz w:val="18"/>
                      </w:rPr>
                      <w:t> </w:t>
                    </w:r>
                    <w:r>
                      <w:rPr>
                        <w:w w:val="105"/>
                        <w:sz w:val="18"/>
                      </w:rPr>
                      <w:t>Attendance</w:t>
                    </w:r>
                  </w:p>
                </w:txbxContent>
              </v:textbox>
              <w10:wrap type="none"/>
            </v:shape>
            <v:shape style="position:absolute;left:4380;top:715;width:5799;height:627" type="#_x0000_t202" filled="false" stroked="false">
              <v:textbox inset="0,0,0,0">
                <w:txbxContent>
                  <w:p>
                    <w:pPr>
                      <w:spacing w:before="0"/>
                      <w:ind w:left="0" w:right="0" w:firstLine="0"/>
                      <w:jc w:val="left"/>
                      <w:rPr>
                        <w:sz w:val="18"/>
                      </w:rPr>
                    </w:pPr>
                    <w:r>
                      <w:rPr>
                        <w:w w:val="105"/>
                        <w:sz w:val="18"/>
                      </w:rPr>
                      <w:t>Budgeted</w:t>
                    </w:r>
                    <w:r>
                      <w:rPr>
                        <w:spacing w:val="-9"/>
                        <w:w w:val="105"/>
                        <w:sz w:val="18"/>
                      </w:rPr>
                      <w:t> </w:t>
                    </w:r>
                    <w:r>
                      <w:rPr>
                        <w:w w:val="105"/>
                        <w:sz w:val="18"/>
                      </w:rPr>
                      <w:t>(funded)</w:t>
                    </w:r>
                    <w:r>
                      <w:rPr>
                        <w:spacing w:val="-11"/>
                        <w:w w:val="105"/>
                        <w:sz w:val="18"/>
                      </w:rPr>
                      <w:t> </w:t>
                    </w:r>
                    <w:r>
                      <w:rPr>
                        <w:w w:val="105"/>
                        <w:sz w:val="18"/>
                      </w:rPr>
                      <w:t>ADA</w:t>
                    </w:r>
                    <w:r>
                      <w:rPr>
                        <w:spacing w:val="-10"/>
                        <w:w w:val="105"/>
                        <w:sz w:val="18"/>
                      </w:rPr>
                      <w:t> </w:t>
                    </w:r>
                    <w:r>
                      <w:rPr>
                        <w:w w:val="105"/>
                        <w:sz w:val="18"/>
                      </w:rPr>
                      <w:t>has</w:t>
                    </w:r>
                    <w:r>
                      <w:rPr>
                        <w:spacing w:val="-10"/>
                        <w:w w:val="105"/>
                        <w:sz w:val="18"/>
                      </w:rPr>
                      <w:t> </w:t>
                    </w:r>
                    <w:r>
                      <w:rPr>
                        <w:w w:val="105"/>
                        <w:sz w:val="18"/>
                      </w:rPr>
                      <w:t>not</w:t>
                    </w:r>
                    <w:r>
                      <w:rPr>
                        <w:spacing w:val="-8"/>
                        <w:w w:val="105"/>
                        <w:sz w:val="18"/>
                      </w:rPr>
                      <w:t> </w:t>
                    </w:r>
                    <w:r>
                      <w:rPr>
                        <w:w w:val="105"/>
                        <w:sz w:val="18"/>
                      </w:rPr>
                      <w:t>been</w:t>
                    </w:r>
                    <w:r>
                      <w:rPr>
                        <w:spacing w:val="-10"/>
                        <w:w w:val="105"/>
                        <w:sz w:val="18"/>
                      </w:rPr>
                      <w:t> </w:t>
                    </w:r>
                    <w:r>
                      <w:rPr>
                        <w:w w:val="105"/>
                        <w:sz w:val="18"/>
                      </w:rPr>
                      <w:t>overestimated</w:t>
                    </w:r>
                    <w:r>
                      <w:rPr>
                        <w:spacing w:val="-12"/>
                        <w:w w:val="105"/>
                        <w:sz w:val="18"/>
                      </w:rPr>
                      <w:t> </w:t>
                    </w:r>
                    <w:r>
                      <w:rPr>
                        <w:w w:val="105"/>
                        <w:sz w:val="18"/>
                      </w:rPr>
                      <w:t>by</w:t>
                    </w:r>
                    <w:r>
                      <w:rPr>
                        <w:spacing w:val="-12"/>
                        <w:w w:val="105"/>
                        <w:sz w:val="18"/>
                      </w:rPr>
                      <w:t> </w:t>
                    </w:r>
                    <w:r>
                      <w:rPr>
                        <w:w w:val="105"/>
                        <w:sz w:val="18"/>
                      </w:rPr>
                      <w:t>more</w:t>
                    </w:r>
                    <w:r>
                      <w:rPr>
                        <w:spacing w:val="-11"/>
                        <w:w w:val="105"/>
                        <w:sz w:val="18"/>
                      </w:rPr>
                      <w:t> </w:t>
                    </w:r>
                    <w:r>
                      <w:rPr>
                        <w:w w:val="105"/>
                        <w:sz w:val="18"/>
                      </w:rPr>
                      <w:t>than</w:t>
                    </w:r>
                    <w:r>
                      <w:rPr>
                        <w:spacing w:val="-9"/>
                        <w:w w:val="105"/>
                        <w:sz w:val="18"/>
                      </w:rPr>
                      <w:t> </w:t>
                    </w:r>
                    <w:r>
                      <w:rPr>
                        <w:w w:val="105"/>
                        <w:sz w:val="18"/>
                      </w:rPr>
                      <w:t>the standard for the prior fiscal year, or two or more of the previous three fiscal</w:t>
                    </w:r>
                    <w:r>
                      <w:rPr>
                        <w:spacing w:val="-2"/>
                        <w:w w:val="105"/>
                        <w:sz w:val="18"/>
                      </w:rPr>
                      <w:t> </w:t>
                    </w:r>
                    <w:r>
                      <w:rPr>
                        <w:w w:val="105"/>
                        <w:sz w:val="18"/>
                      </w:rPr>
                      <w:t>years.</w:t>
                    </w:r>
                  </w:p>
                </w:txbxContent>
              </v:textbox>
              <w10:wrap type="none"/>
            </v:shape>
            <v:shape style="position:absolute;left:10598;top:972;width:145;height:209" type="#_x0000_t202" filled="false" stroked="false">
              <v:textbox inset="0,0,0,0">
                <w:txbxContent>
                  <w:p>
                    <w:pPr>
                      <w:spacing w:before="0"/>
                      <w:ind w:left="0" w:right="0" w:firstLine="0"/>
                      <w:jc w:val="left"/>
                      <w:rPr>
                        <w:b/>
                        <w:sz w:val="18"/>
                      </w:rPr>
                    </w:pPr>
                    <w:r>
                      <w:rPr>
                        <w:b/>
                        <w:w w:val="103"/>
                        <w:sz w:val="18"/>
                      </w:rPr>
                      <w:t>X</w:t>
                    </w:r>
                  </w:p>
                </w:txbxContent>
              </v:textbox>
              <w10:wrap type="none"/>
            </v:shape>
            <w10:wrap type="topAndBottom"/>
          </v:group>
        </w:pict>
      </w:r>
    </w:p>
    <w:p>
      <w:pPr>
        <w:spacing w:after="0"/>
        <w:rPr>
          <w:sz w:val="18"/>
        </w:rPr>
        <w:sectPr>
          <w:headerReference w:type="default" r:id="rId5"/>
          <w:footerReference w:type="default" r:id="rId6"/>
          <w:type w:val="continuous"/>
          <w:pgSz w:w="12240" w:h="15840"/>
          <w:pgMar w:header="676" w:footer="649" w:top="1500" w:bottom="840" w:left="160" w:right="180"/>
          <w:pgNumType w:start="1"/>
        </w:sectPr>
      </w:pPr>
    </w:p>
    <w:p>
      <w:pPr>
        <w:pStyle w:val="BodyText"/>
        <w:spacing w:before="1"/>
        <w:rPr>
          <w:sz w:val="11"/>
        </w:rPr>
      </w:pPr>
    </w:p>
    <w:p>
      <w:pPr>
        <w:spacing w:after="0"/>
        <w:rPr>
          <w:sz w:val="11"/>
        </w:rPr>
        <w:sectPr>
          <w:pgSz w:w="12240" w:h="15840"/>
          <w:pgMar w:header="676" w:footer="649" w:top="1500" w:bottom="840" w:left="160" w:right="180"/>
        </w:sectPr>
      </w:pPr>
    </w:p>
    <w:p>
      <w:pPr>
        <w:pStyle w:val="BodyText"/>
        <w:spacing w:before="8"/>
        <w:rPr>
          <w:sz w:val="27"/>
        </w:rPr>
      </w:pPr>
    </w:p>
    <w:p>
      <w:pPr>
        <w:tabs>
          <w:tab w:pos="10339" w:val="left" w:leader="none"/>
        </w:tabs>
        <w:spacing w:before="1"/>
        <w:ind w:left="682" w:right="0" w:firstLine="0"/>
        <w:jc w:val="left"/>
        <w:rPr>
          <w:b/>
          <w:sz w:val="18"/>
        </w:rPr>
      </w:pPr>
      <w:r>
        <w:rPr>
          <w:b/>
          <w:w w:val="105"/>
          <w:sz w:val="18"/>
        </w:rPr>
        <w:t>CRITERIA </w:t>
      </w:r>
      <w:r>
        <w:rPr>
          <w:b/>
          <w:spacing w:val="-3"/>
          <w:w w:val="105"/>
          <w:sz w:val="18"/>
        </w:rPr>
        <w:t>AND</w:t>
      </w:r>
      <w:r>
        <w:rPr>
          <w:b/>
          <w:spacing w:val="-22"/>
          <w:w w:val="105"/>
          <w:sz w:val="18"/>
        </w:rPr>
        <w:t> </w:t>
      </w:r>
      <w:r>
        <w:rPr>
          <w:b/>
          <w:spacing w:val="-3"/>
          <w:w w:val="105"/>
          <w:sz w:val="18"/>
        </w:rPr>
        <w:t>STANDARDS</w:t>
      </w:r>
      <w:r>
        <w:rPr>
          <w:b/>
          <w:spacing w:val="-10"/>
          <w:w w:val="105"/>
          <w:sz w:val="18"/>
        </w:rPr>
        <w:t> </w:t>
      </w:r>
      <w:r>
        <w:rPr>
          <w:b/>
          <w:w w:val="105"/>
          <w:sz w:val="18"/>
        </w:rPr>
        <w:t>(continued)</w:t>
        <w:tab/>
      </w:r>
      <w:r>
        <w:rPr>
          <w:b/>
          <w:spacing w:val="-8"/>
          <w:w w:val="105"/>
          <w:sz w:val="18"/>
        </w:rPr>
        <w:t>Met</w:t>
      </w:r>
    </w:p>
    <w:p>
      <w:pPr>
        <w:pStyle w:val="ListParagraph"/>
        <w:numPr>
          <w:ilvl w:val="0"/>
          <w:numId w:val="1"/>
        </w:numPr>
        <w:tabs>
          <w:tab w:pos="1625" w:val="left" w:leader="none"/>
          <w:tab w:pos="1626" w:val="left" w:leader="none"/>
          <w:tab w:pos="4219" w:val="left" w:leader="none"/>
        </w:tabs>
        <w:spacing w:line="240" w:lineRule="auto" w:before="6" w:after="0"/>
        <w:ind w:left="1625" w:right="0" w:hanging="666"/>
        <w:jc w:val="left"/>
        <w:rPr>
          <w:sz w:val="18"/>
        </w:rPr>
      </w:pPr>
      <w:r>
        <w:rPr>
          <w:w w:val="105"/>
          <w:sz w:val="18"/>
        </w:rPr>
        <w:t>Enrollment</w:t>
        <w:tab/>
        <w:t>Enrollment has not been overestimated by more than the</w:t>
      </w:r>
      <w:r>
        <w:rPr>
          <w:spacing w:val="-38"/>
          <w:w w:val="105"/>
          <w:sz w:val="18"/>
        </w:rPr>
        <w:t> </w:t>
      </w:r>
      <w:r>
        <w:rPr>
          <w:w w:val="105"/>
          <w:sz w:val="18"/>
        </w:rPr>
        <w:t>standard</w:t>
      </w:r>
    </w:p>
    <w:p>
      <w:pPr>
        <w:spacing w:line="254" w:lineRule="auto" w:before="101"/>
        <w:ind w:left="308" w:right="552" w:firstLine="4"/>
        <w:jc w:val="left"/>
        <w:rPr>
          <w:b/>
          <w:sz w:val="18"/>
        </w:rPr>
      </w:pPr>
      <w:r>
        <w:rPr/>
        <w:br w:type="column"/>
      </w:r>
      <w:r>
        <w:rPr>
          <w:b/>
          <w:w w:val="105"/>
          <w:sz w:val="18"/>
        </w:rPr>
        <w:t>Not </w:t>
      </w:r>
      <w:r>
        <w:rPr>
          <w:b/>
          <w:sz w:val="18"/>
        </w:rPr>
        <w:t>Met</w:t>
      </w:r>
    </w:p>
    <w:p>
      <w:pPr>
        <w:spacing w:after="0" w:line="254" w:lineRule="auto"/>
        <w:jc w:val="left"/>
        <w:rPr>
          <w:sz w:val="18"/>
        </w:rPr>
        <w:sectPr>
          <w:type w:val="continuous"/>
          <w:pgSz w:w="12240" w:h="15840"/>
          <w:pgMar w:top="1500" w:bottom="840" w:left="160" w:right="180"/>
          <w:cols w:num="2" w:equalWidth="0">
            <w:col w:w="10661" w:space="40"/>
            <w:col w:w="1199"/>
          </w:cols>
        </w:sectPr>
      </w:pPr>
    </w:p>
    <w:p>
      <w:pPr>
        <w:tabs>
          <w:tab w:pos="10438" w:val="left" w:leader="none"/>
        </w:tabs>
        <w:spacing w:line="233" w:lineRule="exact" w:before="2"/>
        <w:ind w:left="4220" w:right="0" w:firstLine="0"/>
        <w:jc w:val="left"/>
        <w:rPr>
          <w:b/>
          <w:sz w:val="18"/>
        </w:rPr>
      </w:pPr>
      <w:r>
        <w:rPr>
          <w:w w:val="105"/>
          <w:sz w:val="18"/>
        </w:rPr>
        <w:t>for</w:t>
      </w:r>
      <w:r>
        <w:rPr>
          <w:spacing w:val="-7"/>
          <w:w w:val="105"/>
          <w:sz w:val="18"/>
        </w:rPr>
        <w:t> </w:t>
      </w:r>
      <w:r>
        <w:rPr>
          <w:w w:val="105"/>
          <w:sz w:val="18"/>
        </w:rPr>
        <w:t>the</w:t>
      </w:r>
      <w:r>
        <w:rPr>
          <w:spacing w:val="-7"/>
          <w:w w:val="105"/>
          <w:sz w:val="18"/>
        </w:rPr>
        <w:t> </w:t>
      </w:r>
      <w:r>
        <w:rPr>
          <w:w w:val="105"/>
          <w:sz w:val="18"/>
        </w:rPr>
        <w:t>prior</w:t>
      </w:r>
      <w:r>
        <w:rPr>
          <w:spacing w:val="-7"/>
          <w:w w:val="105"/>
          <w:sz w:val="18"/>
        </w:rPr>
        <w:t> </w:t>
      </w:r>
      <w:r>
        <w:rPr>
          <w:w w:val="105"/>
          <w:sz w:val="18"/>
        </w:rPr>
        <w:t>fiscal</w:t>
      </w:r>
      <w:r>
        <w:rPr>
          <w:spacing w:val="-6"/>
          <w:w w:val="105"/>
          <w:sz w:val="18"/>
        </w:rPr>
        <w:t> </w:t>
      </w:r>
      <w:r>
        <w:rPr>
          <w:w w:val="105"/>
          <w:sz w:val="18"/>
        </w:rPr>
        <w:t>year,</w:t>
      </w:r>
      <w:r>
        <w:rPr>
          <w:spacing w:val="-4"/>
          <w:w w:val="105"/>
          <w:sz w:val="18"/>
        </w:rPr>
        <w:t> </w:t>
      </w:r>
      <w:r>
        <w:rPr>
          <w:w w:val="105"/>
          <w:sz w:val="18"/>
        </w:rPr>
        <w:t>or</w:t>
      </w:r>
      <w:r>
        <w:rPr>
          <w:spacing w:val="-7"/>
          <w:w w:val="105"/>
          <w:sz w:val="18"/>
        </w:rPr>
        <w:t> </w:t>
      </w:r>
      <w:r>
        <w:rPr>
          <w:w w:val="105"/>
          <w:sz w:val="18"/>
        </w:rPr>
        <w:t>two</w:t>
      </w:r>
      <w:r>
        <w:rPr>
          <w:spacing w:val="-7"/>
          <w:w w:val="105"/>
          <w:sz w:val="18"/>
        </w:rPr>
        <w:t> </w:t>
      </w:r>
      <w:r>
        <w:rPr>
          <w:w w:val="105"/>
          <w:sz w:val="18"/>
        </w:rPr>
        <w:t>or</w:t>
      </w:r>
      <w:r>
        <w:rPr>
          <w:spacing w:val="-7"/>
          <w:w w:val="105"/>
          <w:sz w:val="18"/>
        </w:rPr>
        <w:t> </w:t>
      </w:r>
      <w:r>
        <w:rPr>
          <w:w w:val="105"/>
          <w:sz w:val="18"/>
        </w:rPr>
        <w:t>more</w:t>
      </w:r>
      <w:r>
        <w:rPr>
          <w:spacing w:val="-7"/>
          <w:w w:val="105"/>
          <w:sz w:val="18"/>
        </w:rPr>
        <w:t> </w:t>
      </w:r>
      <w:r>
        <w:rPr>
          <w:w w:val="105"/>
          <w:sz w:val="18"/>
        </w:rPr>
        <w:t>of</w:t>
      </w:r>
      <w:r>
        <w:rPr>
          <w:spacing w:val="-4"/>
          <w:w w:val="105"/>
          <w:sz w:val="18"/>
        </w:rPr>
        <w:t> </w:t>
      </w:r>
      <w:r>
        <w:rPr>
          <w:w w:val="105"/>
          <w:sz w:val="18"/>
        </w:rPr>
        <w:t>the</w:t>
      </w:r>
      <w:r>
        <w:rPr>
          <w:spacing w:val="-5"/>
          <w:w w:val="105"/>
          <w:sz w:val="18"/>
        </w:rPr>
        <w:t> </w:t>
      </w:r>
      <w:r>
        <w:rPr>
          <w:w w:val="105"/>
          <w:sz w:val="18"/>
        </w:rPr>
        <w:t>previous</w:t>
      </w:r>
      <w:r>
        <w:rPr>
          <w:spacing w:val="-6"/>
          <w:w w:val="105"/>
          <w:sz w:val="18"/>
        </w:rPr>
        <w:t> </w:t>
      </w:r>
      <w:r>
        <w:rPr>
          <w:w w:val="105"/>
          <w:sz w:val="18"/>
        </w:rPr>
        <w:t>three</w:t>
      </w:r>
      <w:r>
        <w:rPr>
          <w:spacing w:val="-7"/>
          <w:w w:val="105"/>
          <w:sz w:val="18"/>
        </w:rPr>
        <w:t> </w:t>
      </w:r>
      <w:r>
        <w:rPr>
          <w:w w:val="105"/>
          <w:sz w:val="18"/>
        </w:rPr>
        <w:t>fiscal</w:t>
        <w:tab/>
      </w:r>
      <w:r>
        <w:rPr>
          <w:b/>
          <w:w w:val="105"/>
          <w:position w:val="-4"/>
          <w:sz w:val="18"/>
        </w:rPr>
        <w:t>X</w:t>
      </w:r>
    </w:p>
    <w:p>
      <w:pPr>
        <w:spacing w:line="183" w:lineRule="exact" w:before="0"/>
        <w:ind w:left="4220" w:right="0" w:firstLine="0"/>
        <w:jc w:val="left"/>
        <w:rPr>
          <w:sz w:val="18"/>
        </w:rPr>
      </w:pPr>
      <w:r>
        <w:rPr>
          <w:w w:val="105"/>
          <w:sz w:val="18"/>
        </w:rPr>
        <w:t>years.</w:t>
      </w:r>
    </w:p>
    <w:p>
      <w:pPr>
        <w:pStyle w:val="ListParagraph"/>
        <w:numPr>
          <w:ilvl w:val="0"/>
          <w:numId w:val="1"/>
        </w:numPr>
        <w:tabs>
          <w:tab w:pos="1625" w:val="left" w:leader="none"/>
          <w:tab w:pos="1626" w:val="left" w:leader="none"/>
          <w:tab w:pos="4219" w:val="left" w:leader="none"/>
        </w:tabs>
        <w:spacing w:line="144" w:lineRule="exact" w:before="95" w:after="0"/>
        <w:ind w:left="1625" w:right="0" w:hanging="666"/>
        <w:jc w:val="left"/>
        <w:rPr>
          <w:sz w:val="18"/>
        </w:rPr>
      </w:pPr>
      <w:r>
        <w:rPr>
          <w:w w:val="105"/>
          <w:sz w:val="18"/>
        </w:rPr>
        <w:t>ADA</w:t>
      </w:r>
      <w:r>
        <w:rPr>
          <w:spacing w:val="-8"/>
          <w:w w:val="105"/>
          <w:sz w:val="18"/>
        </w:rPr>
        <w:t> </w:t>
      </w:r>
      <w:r>
        <w:rPr>
          <w:w w:val="105"/>
          <w:sz w:val="18"/>
        </w:rPr>
        <w:t>to</w:t>
      </w:r>
      <w:r>
        <w:rPr>
          <w:spacing w:val="-6"/>
          <w:w w:val="105"/>
          <w:sz w:val="18"/>
        </w:rPr>
        <w:t> </w:t>
      </w:r>
      <w:r>
        <w:rPr>
          <w:w w:val="105"/>
          <w:sz w:val="18"/>
        </w:rPr>
        <w:t>Enrollment</w:t>
        <w:tab/>
        <w:t>Projected second period (P-2) ADA to enrollment ratio is consistent</w:t>
      </w:r>
      <w:r>
        <w:rPr>
          <w:spacing w:val="-29"/>
          <w:w w:val="105"/>
          <w:sz w:val="18"/>
        </w:rPr>
        <w:t> </w:t>
      </w:r>
      <w:r>
        <w:rPr>
          <w:w w:val="105"/>
          <w:sz w:val="18"/>
        </w:rPr>
        <w:t>with</w:t>
      </w:r>
    </w:p>
    <w:p>
      <w:pPr>
        <w:spacing w:after="0" w:line="144" w:lineRule="exact"/>
        <w:jc w:val="left"/>
        <w:rPr>
          <w:sz w:val="18"/>
        </w:rPr>
        <w:sectPr>
          <w:type w:val="continuous"/>
          <w:pgSz w:w="12240" w:h="15840"/>
          <w:pgMar w:top="1500" w:bottom="840" w:left="160" w:right="180"/>
        </w:sectPr>
      </w:pPr>
    </w:p>
    <w:p>
      <w:pPr>
        <w:pStyle w:val="BodyText"/>
        <w:rPr>
          <w:sz w:val="20"/>
        </w:rPr>
      </w:pPr>
    </w:p>
    <w:p>
      <w:pPr>
        <w:pStyle w:val="ListParagraph"/>
        <w:numPr>
          <w:ilvl w:val="0"/>
          <w:numId w:val="1"/>
        </w:numPr>
        <w:tabs>
          <w:tab w:pos="1625" w:val="left" w:leader="none"/>
          <w:tab w:pos="1626" w:val="left" w:leader="none"/>
        </w:tabs>
        <w:spacing w:line="240" w:lineRule="auto" w:before="121" w:after="0"/>
        <w:ind w:left="1625" w:right="0" w:hanging="665"/>
        <w:jc w:val="left"/>
        <w:rPr>
          <w:sz w:val="18"/>
        </w:rPr>
      </w:pPr>
      <w:r>
        <w:rPr>
          <w:w w:val="105"/>
          <w:sz w:val="18"/>
        </w:rPr>
        <w:t>Local Control Funding Formula (LCFF)</w:t>
      </w:r>
      <w:r>
        <w:rPr>
          <w:spacing w:val="-23"/>
          <w:w w:val="105"/>
          <w:sz w:val="18"/>
        </w:rPr>
        <w:t> </w:t>
      </w:r>
      <w:r>
        <w:rPr>
          <w:spacing w:val="-3"/>
          <w:w w:val="105"/>
          <w:sz w:val="18"/>
        </w:rPr>
        <w:t>Revenue</w:t>
      </w:r>
    </w:p>
    <w:p>
      <w:pPr>
        <w:tabs>
          <w:tab w:pos="6647" w:val="left" w:leader="none"/>
        </w:tabs>
        <w:spacing w:before="5"/>
        <w:ind w:left="429" w:right="0" w:firstLine="0"/>
        <w:jc w:val="left"/>
        <w:rPr>
          <w:b/>
          <w:sz w:val="18"/>
        </w:rPr>
      </w:pPr>
      <w:r>
        <w:rPr/>
        <w:br w:type="column"/>
      </w:r>
      <w:r>
        <w:rPr>
          <w:w w:val="105"/>
          <w:sz w:val="18"/>
        </w:rPr>
        <w:t>historical</w:t>
      </w:r>
      <w:r>
        <w:rPr>
          <w:spacing w:val="-10"/>
          <w:w w:val="105"/>
          <w:sz w:val="18"/>
        </w:rPr>
        <w:t> </w:t>
      </w:r>
      <w:r>
        <w:rPr>
          <w:w w:val="105"/>
          <w:sz w:val="18"/>
        </w:rPr>
        <w:t>ratios</w:t>
      </w:r>
      <w:r>
        <w:rPr>
          <w:spacing w:val="-9"/>
          <w:w w:val="105"/>
          <w:sz w:val="18"/>
        </w:rPr>
        <w:t> </w:t>
      </w:r>
      <w:r>
        <w:rPr>
          <w:w w:val="105"/>
          <w:sz w:val="18"/>
        </w:rPr>
        <w:t>for</w:t>
      </w:r>
      <w:r>
        <w:rPr>
          <w:spacing w:val="-10"/>
          <w:w w:val="105"/>
          <w:sz w:val="18"/>
        </w:rPr>
        <w:t> </w:t>
      </w:r>
      <w:r>
        <w:rPr>
          <w:w w:val="105"/>
          <w:sz w:val="18"/>
        </w:rPr>
        <w:t>the</w:t>
      </w:r>
      <w:r>
        <w:rPr>
          <w:spacing w:val="-8"/>
          <w:w w:val="105"/>
          <w:sz w:val="18"/>
        </w:rPr>
        <w:t> </w:t>
      </w:r>
      <w:r>
        <w:rPr>
          <w:w w:val="105"/>
          <w:sz w:val="18"/>
        </w:rPr>
        <w:t>budget</w:t>
      </w:r>
      <w:r>
        <w:rPr>
          <w:spacing w:val="-6"/>
          <w:w w:val="105"/>
          <w:sz w:val="18"/>
        </w:rPr>
        <w:t> </w:t>
      </w:r>
      <w:r>
        <w:rPr>
          <w:w w:val="105"/>
          <w:sz w:val="18"/>
        </w:rPr>
        <w:t>and</w:t>
      </w:r>
      <w:r>
        <w:rPr>
          <w:spacing w:val="-8"/>
          <w:w w:val="105"/>
          <w:sz w:val="18"/>
        </w:rPr>
        <w:t> </w:t>
      </w:r>
      <w:r>
        <w:rPr>
          <w:w w:val="105"/>
          <w:sz w:val="18"/>
        </w:rPr>
        <w:t>two</w:t>
      </w:r>
      <w:r>
        <w:rPr>
          <w:spacing w:val="-8"/>
          <w:w w:val="105"/>
          <w:sz w:val="18"/>
        </w:rPr>
        <w:t> </w:t>
      </w:r>
      <w:r>
        <w:rPr>
          <w:w w:val="105"/>
          <w:sz w:val="18"/>
        </w:rPr>
        <w:t>subsequent</w:t>
      </w:r>
      <w:r>
        <w:rPr>
          <w:spacing w:val="-7"/>
          <w:w w:val="105"/>
          <w:sz w:val="18"/>
        </w:rPr>
        <w:t> </w:t>
      </w:r>
      <w:r>
        <w:rPr>
          <w:w w:val="105"/>
          <w:sz w:val="18"/>
        </w:rPr>
        <w:t>fiscal</w:t>
      </w:r>
      <w:r>
        <w:rPr>
          <w:spacing w:val="-9"/>
          <w:w w:val="105"/>
          <w:sz w:val="18"/>
        </w:rPr>
        <w:t> </w:t>
      </w:r>
      <w:r>
        <w:rPr>
          <w:w w:val="105"/>
          <w:sz w:val="18"/>
        </w:rPr>
        <w:t>years.</w:t>
        <w:tab/>
      </w:r>
      <w:r>
        <w:rPr>
          <w:b/>
          <w:w w:val="105"/>
          <w:position w:val="6"/>
          <w:sz w:val="18"/>
        </w:rPr>
        <w:t>X</w:t>
      </w:r>
    </w:p>
    <w:p>
      <w:pPr>
        <w:spacing w:line="178" w:lineRule="exact" w:before="79"/>
        <w:ind w:left="429" w:right="0" w:firstLine="0"/>
        <w:jc w:val="left"/>
        <w:rPr>
          <w:sz w:val="18"/>
        </w:rPr>
      </w:pPr>
      <w:r>
        <w:rPr>
          <w:w w:val="105"/>
          <w:sz w:val="18"/>
        </w:rPr>
        <w:t>Projected change in LCFF revenue is within the standard for the</w:t>
      </w:r>
    </w:p>
    <w:p>
      <w:pPr>
        <w:tabs>
          <w:tab w:pos="7309" w:val="left" w:leader="none"/>
        </w:tabs>
        <w:spacing w:line="238" w:lineRule="exact" w:before="0"/>
        <w:ind w:left="429" w:right="0" w:firstLine="0"/>
        <w:jc w:val="left"/>
        <w:rPr>
          <w:b/>
          <w:sz w:val="18"/>
        </w:rPr>
      </w:pPr>
      <w:r>
        <w:rPr>
          <w:w w:val="105"/>
          <w:sz w:val="18"/>
        </w:rPr>
        <w:t>budget and two subsequent</w:t>
      </w:r>
      <w:r>
        <w:rPr>
          <w:spacing w:val="-35"/>
          <w:w w:val="105"/>
          <w:sz w:val="18"/>
        </w:rPr>
        <w:t> </w:t>
      </w:r>
      <w:r>
        <w:rPr>
          <w:w w:val="105"/>
          <w:sz w:val="18"/>
        </w:rPr>
        <w:t>fiscal</w:t>
      </w:r>
      <w:r>
        <w:rPr>
          <w:spacing w:val="-9"/>
          <w:w w:val="105"/>
          <w:sz w:val="18"/>
        </w:rPr>
        <w:t> </w:t>
      </w:r>
      <w:r>
        <w:rPr>
          <w:w w:val="105"/>
          <w:sz w:val="18"/>
        </w:rPr>
        <w:t>years.</w:t>
        <w:tab/>
      </w:r>
      <w:r>
        <w:rPr>
          <w:b/>
          <w:w w:val="105"/>
          <w:position w:val="6"/>
          <w:sz w:val="18"/>
        </w:rPr>
        <w:t>X</w:t>
      </w:r>
    </w:p>
    <w:p>
      <w:pPr>
        <w:spacing w:after="0" w:line="238" w:lineRule="exact"/>
        <w:jc w:val="left"/>
        <w:rPr>
          <w:sz w:val="18"/>
        </w:rPr>
        <w:sectPr>
          <w:type w:val="continuous"/>
          <w:pgSz w:w="12240" w:h="15840"/>
          <w:pgMar w:top="1500" w:bottom="840" w:left="160" w:right="180"/>
          <w:cols w:num="2" w:equalWidth="0">
            <w:col w:w="3751" w:space="40"/>
            <w:col w:w="8109"/>
          </w:cols>
        </w:sectPr>
      </w:pPr>
    </w:p>
    <w:p>
      <w:pPr>
        <w:pStyle w:val="ListParagraph"/>
        <w:numPr>
          <w:ilvl w:val="0"/>
          <w:numId w:val="1"/>
        </w:numPr>
        <w:tabs>
          <w:tab w:pos="1625" w:val="left" w:leader="none"/>
          <w:tab w:pos="1626" w:val="left" w:leader="none"/>
          <w:tab w:pos="4219" w:val="left" w:leader="none"/>
        </w:tabs>
        <w:spacing w:line="240" w:lineRule="auto" w:before="79" w:after="0"/>
        <w:ind w:left="1625" w:right="0" w:hanging="666"/>
        <w:jc w:val="left"/>
        <w:rPr>
          <w:sz w:val="18"/>
        </w:rPr>
      </w:pPr>
      <w:r>
        <w:rPr>
          <w:w w:val="105"/>
          <w:sz w:val="18"/>
        </w:rPr>
        <w:t>Salaries</w:t>
      </w:r>
      <w:r>
        <w:rPr>
          <w:spacing w:val="-10"/>
          <w:w w:val="105"/>
          <w:sz w:val="18"/>
        </w:rPr>
        <w:t> </w:t>
      </w:r>
      <w:r>
        <w:rPr>
          <w:w w:val="105"/>
          <w:sz w:val="18"/>
        </w:rPr>
        <w:t>and</w:t>
      </w:r>
      <w:r>
        <w:rPr>
          <w:spacing w:val="-8"/>
          <w:w w:val="105"/>
          <w:sz w:val="18"/>
        </w:rPr>
        <w:t> </w:t>
      </w:r>
      <w:r>
        <w:rPr>
          <w:w w:val="105"/>
          <w:sz w:val="18"/>
        </w:rPr>
        <w:t>Benefits</w:t>
        <w:tab/>
        <w:t>Projected ratios of total unrestricted salaries and benefits to</w:t>
      </w:r>
      <w:r>
        <w:rPr>
          <w:spacing w:val="-23"/>
          <w:w w:val="105"/>
          <w:sz w:val="18"/>
        </w:rPr>
        <w:t> </w:t>
      </w:r>
      <w:r>
        <w:rPr>
          <w:w w:val="105"/>
          <w:sz w:val="18"/>
        </w:rPr>
        <w:t>total</w:t>
      </w:r>
    </w:p>
    <w:p>
      <w:pPr>
        <w:tabs>
          <w:tab w:pos="11100" w:val="left" w:leader="none"/>
        </w:tabs>
        <w:spacing w:line="163" w:lineRule="auto" w:before="33"/>
        <w:ind w:left="4220" w:right="0" w:firstLine="0"/>
        <w:jc w:val="left"/>
        <w:rPr>
          <w:b/>
          <w:sz w:val="18"/>
        </w:rPr>
      </w:pPr>
      <w:r>
        <w:rPr>
          <w:w w:val="105"/>
          <w:sz w:val="18"/>
        </w:rPr>
        <w:t>unrestricted</w:t>
      </w:r>
      <w:r>
        <w:rPr>
          <w:spacing w:val="-10"/>
          <w:w w:val="105"/>
          <w:sz w:val="18"/>
        </w:rPr>
        <w:t> </w:t>
      </w:r>
      <w:r>
        <w:rPr>
          <w:w w:val="105"/>
          <w:sz w:val="18"/>
        </w:rPr>
        <w:t>general</w:t>
      </w:r>
      <w:r>
        <w:rPr>
          <w:spacing w:val="-12"/>
          <w:w w:val="105"/>
          <w:sz w:val="18"/>
        </w:rPr>
        <w:t> </w:t>
      </w:r>
      <w:r>
        <w:rPr>
          <w:w w:val="105"/>
          <w:sz w:val="18"/>
        </w:rPr>
        <w:t>fund</w:t>
      </w:r>
      <w:r>
        <w:rPr>
          <w:spacing w:val="-11"/>
          <w:w w:val="105"/>
          <w:sz w:val="18"/>
        </w:rPr>
        <w:t> </w:t>
      </w:r>
      <w:r>
        <w:rPr>
          <w:w w:val="105"/>
          <w:sz w:val="18"/>
        </w:rPr>
        <w:t>expenditures</w:t>
      </w:r>
      <w:r>
        <w:rPr>
          <w:spacing w:val="-9"/>
          <w:w w:val="105"/>
          <w:sz w:val="18"/>
        </w:rPr>
        <w:t> </w:t>
      </w:r>
      <w:r>
        <w:rPr>
          <w:w w:val="105"/>
          <w:sz w:val="18"/>
        </w:rPr>
        <w:t>are</w:t>
      </w:r>
      <w:r>
        <w:rPr>
          <w:spacing w:val="-13"/>
          <w:w w:val="105"/>
          <w:sz w:val="18"/>
        </w:rPr>
        <w:t> </w:t>
      </w:r>
      <w:r>
        <w:rPr>
          <w:w w:val="105"/>
          <w:sz w:val="18"/>
        </w:rPr>
        <w:t>consistent</w:t>
      </w:r>
      <w:r>
        <w:rPr>
          <w:spacing w:val="-9"/>
          <w:w w:val="105"/>
          <w:sz w:val="18"/>
        </w:rPr>
        <w:t> </w:t>
      </w:r>
      <w:r>
        <w:rPr>
          <w:w w:val="105"/>
          <w:sz w:val="18"/>
        </w:rPr>
        <w:t>with</w:t>
      </w:r>
      <w:r>
        <w:rPr>
          <w:spacing w:val="-11"/>
          <w:w w:val="105"/>
          <w:sz w:val="18"/>
        </w:rPr>
        <w:t> </w:t>
      </w:r>
      <w:r>
        <w:rPr>
          <w:w w:val="105"/>
          <w:sz w:val="18"/>
        </w:rPr>
        <w:t>historical</w:t>
        <w:tab/>
      </w:r>
      <w:r>
        <w:rPr>
          <w:b/>
          <w:w w:val="105"/>
          <w:position w:val="-6"/>
          <w:sz w:val="18"/>
        </w:rPr>
        <w:t>X</w:t>
      </w:r>
    </w:p>
    <w:p>
      <w:pPr>
        <w:spacing w:line="173" w:lineRule="exact" w:before="0"/>
        <w:ind w:left="4220" w:right="0" w:firstLine="0"/>
        <w:jc w:val="left"/>
        <w:rPr>
          <w:sz w:val="18"/>
        </w:rPr>
      </w:pPr>
      <w:r>
        <w:rPr>
          <w:w w:val="105"/>
          <w:sz w:val="18"/>
        </w:rPr>
        <w:t>ratios for the budget and two subsequent fiscal years.</w:t>
      </w:r>
    </w:p>
    <w:p>
      <w:pPr>
        <w:tabs>
          <w:tab w:pos="1625" w:val="left" w:leader="none"/>
          <w:tab w:pos="4219" w:val="left" w:leader="none"/>
        </w:tabs>
        <w:spacing w:before="136"/>
        <w:ind w:left="907" w:right="0" w:firstLine="0"/>
        <w:jc w:val="left"/>
        <w:rPr>
          <w:sz w:val="18"/>
        </w:rPr>
      </w:pPr>
      <w:r>
        <w:rPr>
          <w:w w:val="105"/>
          <w:sz w:val="18"/>
        </w:rPr>
        <w:t>6a</w:t>
        <w:tab/>
        <w:t>Other</w:t>
      </w:r>
      <w:r>
        <w:rPr>
          <w:spacing w:val="-8"/>
          <w:w w:val="105"/>
          <w:sz w:val="18"/>
        </w:rPr>
        <w:t> </w:t>
      </w:r>
      <w:r>
        <w:rPr>
          <w:w w:val="105"/>
          <w:sz w:val="18"/>
        </w:rPr>
        <w:t>Revenues</w:t>
        <w:tab/>
        <w:t>Projected operating revenues (e.g., federal, other state, and</w:t>
      </w:r>
      <w:r>
        <w:rPr>
          <w:spacing w:val="-18"/>
          <w:w w:val="105"/>
          <w:sz w:val="18"/>
        </w:rPr>
        <w:t> </w:t>
      </w:r>
      <w:r>
        <w:rPr>
          <w:w w:val="105"/>
          <w:sz w:val="18"/>
        </w:rPr>
        <w:t>other</w:t>
      </w:r>
    </w:p>
    <w:p>
      <w:pPr>
        <w:tabs>
          <w:tab w:pos="11100" w:val="left" w:leader="none"/>
        </w:tabs>
        <w:spacing w:line="163" w:lineRule="auto" w:before="34"/>
        <w:ind w:left="4220" w:right="0" w:firstLine="0"/>
        <w:jc w:val="left"/>
        <w:rPr>
          <w:b/>
          <w:sz w:val="18"/>
        </w:rPr>
      </w:pPr>
      <w:r>
        <w:rPr>
          <w:w w:val="105"/>
          <w:sz w:val="18"/>
        </w:rPr>
        <w:t>local)</w:t>
      </w:r>
      <w:r>
        <w:rPr>
          <w:spacing w:val="-9"/>
          <w:w w:val="105"/>
          <w:sz w:val="18"/>
        </w:rPr>
        <w:t> </w:t>
      </w:r>
      <w:r>
        <w:rPr>
          <w:w w:val="105"/>
          <w:sz w:val="18"/>
        </w:rPr>
        <w:t>are</w:t>
      </w:r>
      <w:r>
        <w:rPr>
          <w:spacing w:val="-9"/>
          <w:w w:val="105"/>
          <w:sz w:val="18"/>
        </w:rPr>
        <w:t> </w:t>
      </w:r>
      <w:r>
        <w:rPr>
          <w:w w:val="105"/>
          <w:sz w:val="18"/>
        </w:rPr>
        <w:t>within</w:t>
      </w:r>
      <w:r>
        <w:rPr>
          <w:spacing w:val="-9"/>
          <w:w w:val="105"/>
          <w:sz w:val="18"/>
        </w:rPr>
        <w:t> </w:t>
      </w:r>
      <w:r>
        <w:rPr>
          <w:w w:val="105"/>
          <w:sz w:val="18"/>
        </w:rPr>
        <w:t>the</w:t>
      </w:r>
      <w:r>
        <w:rPr>
          <w:spacing w:val="-6"/>
          <w:w w:val="105"/>
          <w:sz w:val="18"/>
        </w:rPr>
        <w:t> </w:t>
      </w:r>
      <w:r>
        <w:rPr>
          <w:w w:val="105"/>
          <w:sz w:val="18"/>
        </w:rPr>
        <w:t>standard</w:t>
      </w:r>
      <w:r>
        <w:rPr>
          <w:spacing w:val="-9"/>
          <w:w w:val="105"/>
          <w:sz w:val="18"/>
        </w:rPr>
        <w:t> </w:t>
      </w:r>
      <w:r>
        <w:rPr>
          <w:w w:val="105"/>
          <w:sz w:val="18"/>
        </w:rPr>
        <w:t>for</w:t>
      </w:r>
      <w:r>
        <w:rPr>
          <w:spacing w:val="-9"/>
          <w:w w:val="105"/>
          <w:sz w:val="18"/>
        </w:rPr>
        <w:t> </w:t>
      </w:r>
      <w:r>
        <w:rPr>
          <w:w w:val="105"/>
          <w:sz w:val="18"/>
        </w:rPr>
        <w:t>the</w:t>
      </w:r>
      <w:r>
        <w:rPr>
          <w:spacing w:val="-6"/>
          <w:w w:val="105"/>
          <w:sz w:val="18"/>
        </w:rPr>
        <w:t> </w:t>
      </w:r>
      <w:r>
        <w:rPr>
          <w:w w:val="105"/>
          <w:sz w:val="18"/>
        </w:rPr>
        <w:t>budget</w:t>
      </w:r>
      <w:r>
        <w:rPr>
          <w:spacing w:val="-6"/>
          <w:w w:val="105"/>
          <w:sz w:val="18"/>
        </w:rPr>
        <w:t> </w:t>
      </w:r>
      <w:r>
        <w:rPr>
          <w:w w:val="105"/>
          <w:sz w:val="18"/>
        </w:rPr>
        <w:t>and</w:t>
      </w:r>
      <w:r>
        <w:rPr>
          <w:spacing w:val="-6"/>
          <w:w w:val="105"/>
          <w:sz w:val="18"/>
        </w:rPr>
        <w:t> </w:t>
      </w:r>
      <w:r>
        <w:rPr>
          <w:w w:val="105"/>
          <w:sz w:val="18"/>
        </w:rPr>
        <w:t>two</w:t>
      </w:r>
      <w:r>
        <w:rPr>
          <w:spacing w:val="-8"/>
          <w:w w:val="105"/>
          <w:sz w:val="18"/>
        </w:rPr>
        <w:t> </w:t>
      </w:r>
      <w:r>
        <w:rPr>
          <w:w w:val="105"/>
          <w:sz w:val="18"/>
        </w:rPr>
        <w:t>subsequent</w:t>
        <w:tab/>
      </w:r>
      <w:r>
        <w:rPr>
          <w:b/>
          <w:w w:val="105"/>
          <w:position w:val="-6"/>
          <w:sz w:val="18"/>
        </w:rPr>
        <w:t>X</w:t>
      </w:r>
    </w:p>
    <w:p>
      <w:pPr>
        <w:spacing w:line="173" w:lineRule="exact" w:before="0"/>
        <w:ind w:left="4220" w:right="0" w:firstLine="0"/>
        <w:jc w:val="left"/>
        <w:rPr>
          <w:sz w:val="18"/>
        </w:rPr>
      </w:pPr>
      <w:r>
        <w:rPr>
          <w:w w:val="105"/>
          <w:sz w:val="18"/>
        </w:rPr>
        <w:t>fiscal years.</w:t>
      </w:r>
    </w:p>
    <w:p>
      <w:pPr>
        <w:tabs>
          <w:tab w:pos="1625" w:val="left" w:leader="none"/>
          <w:tab w:pos="4219" w:val="left" w:leader="none"/>
        </w:tabs>
        <w:spacing w:before="136"/>
        <w:ind w:left="907" w:right="0" w:firstLine="0"/>
        <w:jc w:val="left"/>
        <w:rPr>
          <w:sz w:val="18"/>
        </w:rPr>
      </w:pPr>
      <w:r>
        <w:rPr>
          <w:w w:val="105"/>
          <w:sz w:val="18"/>
        </w:rPr>
        <w:t>6b</w:t>
        <w:tab/>
        <w:t>Other</w:t>
      </w:r>
      <w:r>
        <w:rPr>
          <w:spacing w:val="-10"/>
          <w:w w:val="105"/>
          <w:sz w:val="18"/>
        </w:rPr>
        <w:t> </w:t>
      </w:r>
      <w:r>
        <w:rPr>
          <w:w w:val="105"/>
          <w:sz w:val="18"/>
        </w:rPr>
        <w:t>Expenditures</w:t>
        <w:tab/>
        <w:t>Projected operating expenditures (e.g., books and supplies,</w:t>
      </w:r>
      <w:r>
        <w:rPr>
          <w:spacing w:val="-16"/>
          <w:w w:val="105"/>
          <w:sz w:val="18"/>
        </w:rPr>
        <w:t> </w:t>
      </w:r>
      <w:r>
        <w:rPr>
          <w:w w:val="105"/>
          <w:sz w:val="18"/>
        </w:rPr>
        <w:t>and</w:t>
      </w:r>
    </w:p>
    <w:p>
      <w:pPr>
        <w:tabs>
          <w:tab w:pos="11100" w:val="left" w:leader="none"/>
        </w:tabs>
        <w:spacing w:line="238" w:lineRule="exact" w:before="2"/>
        <w:ind w:left="4220" w:right="0" w:firstLine="0"/>
        <w:jc w:val="left"/>
        <w:rPr>
          <w:b/>
          <w:sz w:val="18"/>
        </w:rPr>
      </w:pPr>
      <w:r>
        <w:rPr>
          <w:w w:val="105"/>
          <w:sz w:val="18"/>
        </w:rPr>
        <w:t>services</w:t>
      </w:r>
      <w:r>
        <w:rPr>
          <w:spacing w:val="-9"/>
          <w:w w:val="105"/>
          <w:sz w:val="18"/>
        </w:rPr>
        <w:t> </w:t>
      </w:r>
      <w:r>
        <w:rPr>
          <w:w w:val="105"/>
          <w:sz w:val="18"/>
        </w:rPr>
        <w:t>and</w:t>
      </w:r>
      <w:r>
        <w:rPr>
          <w:spacing w:val="-9"/>
          <w:w w:val="105"/>
          <w:sz w:val="18"/>
        </w:rPr>
        <w:t> </w:t>
      </w:r>
      <w:r>
        <w:rPr>
          <w:w w:val="105"/>
          <w:sz w:val="18"/>
        </w:rPr>
        <w:t>other</w:t>
      </w:r>
      <w:r>
        <w:rPr>
          <w:spacing w:val="-7"/>
          <w:w w:val="105"/>
          <w:sz w:val="18"/>
        </w:rPr>
        <w:t> </w:t>
      </w:r>
      <w:r>
        <w:rPr>
          <w:w w:val="105"/>
          <w:sz w:val="18"/>
        </w:rPr>
        <w:t>operating)</w:t>
      </w:r>
      <w:r>
        <w:rPr>
          <w:spacing w:val="-7"/>
          <w:w w:val="105"/>
          <w:sz w:val="18"/>
        </w:rPr>
        <w:t> </w:t>
      </w:r>
      <w:r>
        <w:rPr>
          <w:w w:val="105"/>
          <w:sz w:val="18"/>
        </w:rPr>
        <w:t>are</w:t>
      </w:r>
      <w:r>
        <w:rPr>
          <w:spacing w:val="-9"/>
          <w:w w:val="105"/>
          <w:sz w:val="18"/>
        </w:rPr>
        <w:t> </w:t>
      </w:r>
      <w:r>
        <w:rPr>
          <w:w w:val="105"/>
          <w:sz w:val="18"/>
        </w:rPr>
        <w:t>within</w:t>
      </w:r>
      <w:r>
        <w:rPr>
          <w:spacing w:val="-9"/>
          <w:w w:val="105"/>
          <w:sz w:val="18"/>
        </w:rPr>
        <w:t> </w:t>
      </w:r>
      <w:r>
        <w:rPr>
          <w:w w:val="105"/>
          <w:sz w:val="18"/>
        </w:rPr>
        <w:t>the</w:t>
      </w:r>
      <w:r>
        <w:rPr>
          <w:spacing w:val="-7"/>
          <w:w w:val="105"/>
          <w:sz w:val="18"/>
        </w:rPr>
        <w:t> </w:t>
      </w:r>
      <w:r>
        <w:rPr>
          <w:w w:val="105"/>
          <w:sz w:val="18"/>
        </w:rPr>
        <w:t>standard</w:t>
      </w:r>
      <w:r>
        <w:rPr>
          <w:spacing w:val="-9"/>
          <w:w w:val="105"/>
          <w:sz w:val="18"/>
        </w:rPr>
        <w:t> </w:t>
      </w:r>
      <w:r>
        <w:rPr>
          <w:w w:val="105"/>
          <w:sz w:val="18"/>
        </w:rPr>
        <w:t>for</w:t>
      </w:r>
      <w:r>
        <w:rPr>
          <w:spacing w:val="-7"/>
          <w:w w:val="105"/>
          <w:sz w:val="18"/>
        </w:rPr>
        <w:t> </w:t>
      </w:r>
      <w:r>
        <w:rPr>
          <w:w w:val="105"/>
          <w:sz w:val="18"/>
        </w:rPr>
        <w:t>the</w:t>
      </w:r>
      <w:r>
        <w:rPr>
          <w:spacing w:val="-9"/>
          <w:w w:val="105"/>
          <w:sz w:val="18"/>
        </w:rPr>
        <w:t> </w:t>
      </w:r>
      <w:r>
        <w:rPr>
          <w:w w:val="105"/>
          <w:sz w:val="18"/>
        </w:rPr>
        <w:t>budget</w:t>
        <w:tab/>
      </w:r>
      <w:r>
        <w:rPr>
          <w:b/>
          <w:w w:val="105"/>
          <w:position w:val="-5"/>
          <w:sz w:val="18"/>
        </w:rPr>
        <w:t>X</w:t>
      </w:r>
    </w:p>
    <w:p>
      <w:pPr>
        <w:spacing w:line="178" w:lineRule="exact" w:before="0"/>
        <w:ind w:left="4220" w:right="0" w:firstLine="0"/>
        <w:jc w:val="left"/>
        <w:rPr>
          <w:sz w:val="18"/>
        </w:rPr>
      </w:pPr>
      <w:r>
        <w:rPr>
          <w:w w:val="105"/>
          <w:sz w:val="18"/>
        </w:rPr>
        <w:t>and two subsequent fiscal years.</w:t>
      </w:r>
    </w:p>
    <w:p>
      <w:pPr>
        <w:spacing w:after="0" w:line="178" w:lineRule="exact"/>
        <w:jc w:val="left"/>
        <w:rPr>
          <w:sz w:val="18"/>
        </w:rPr>
        <w:sectPr>
          <w:type w:val="continuous"/>
          <w:pgSz w:w="12240" w:h="15840"/>
          <w:pgMar w:top="1500" w:bottom="840" w:left="160" w:right="180"/>
        </w:sectPr>
      </w:pPr>
    </w:p>
    <w:p>
      <w:pPr>
        <w:pStyle w:val="ListParagraph"/>
        <w:numPr>
          <w:ilvl w:val="0"/>
          <w:numId w:val="2"/>
        </w:numPr>
        <w:tabs>
          <w:tab w:pos="1625" w:val="left" w:leader="none"/>
          <w:tab w:pos="1626" w:val="left" w:leader="none"/>
        </w:tabs>
        <w:spacing w:line="240" w:lineRule="auto" w:before="110" w:after="0"/>
        <w:ind w:left="1625" w:right="0" w:hanging="665"/>
        <w:jc w:val="left"/>
        <w:rPr>
          <w:sz w:val="18"/>
        </w:rPr>
      </w:pPr>
      <w:r>
        <w:rPr>
          <w:w w:val="105"/>
          <w:sz w:val="18"/>
        </w:rPr>
        <w:t>Ongoing and Major Maintenance</w:t>
      </w:r>
      <w:r>
        <w:rPr>
          <w:spacing w:val="-20"/>
          <w:w w:val="105"/>
          <w:sz w:val="18"/>
        </w:rPr>
        <w:t> </w:t>
      </w:r>
      <w:r>
        <w:rPr>
          <w:spacing w:val="-3"/>
          <w:w w:val="105"/>
          <w:sz w:val="18"/>
        </w:rPr>
        <w:t>Account</w:t>
      </w:r>
    </w:p>
    <w:p>
      <w:pPr>
        <w:spacing w:before="110"/>
        <w:ind w:left="764" w:right="36" w:firstLine="0"/>
        <w:jc w:val="left"/>
        <w:rPr>
          <w:sz w:val="18"/>
        </w:rPr>
      </w:pPr>
      <w:r>
        <w:rPr/>
        <w:br w:type="column"/>
      </w:r>
      <w:r>
        <w:rPr>
          <w:w w:val="105"/>
          <w:sz w:val="18"/>
        </w:rPr>
        <w:t>If applicable, required contribution to the ongoing and major maintenance</w:t>
      </w:r>
      <w:r>
        <w:rPr>
          <w:spacing w:val="-16"/>
          <w:w w:val="105"/>
          <w:sz w:val="18"/>
        </w:rPr>
        <w:t> </w:t>
      </w:r>
      <w:r>
        <w:rPr>
          <w:w w:val="105"/>
          <w:sz w:val="18"/>
        </w:rPr>
        <w:t>account</w:t>
      </w:r>
      <w:r>
        <w:rPr>
          <w:spacing w:val="-12"/>
          <w:w w:val="105"/>
          <w:sz w:val="18"/>
        </w:rPr>
        <w:t> </w:t>
      </w:r>
      <w:r>
        <w:rPr>
          <w:w w:val="105"/>
          <w:sz w:val="18"/>
        </w:rPr>
        <w:t>(i.e.,</w:t>
      </w:r>
      <w:r>
        <w:rPr>
          <w:spacing w:val="-13"/>
          <w:w w:val="105"/>
          <w:sz w:val="18"/>
        </w:rPr>
        <w:t> </w:t>
      </w:r>
      <w:r>
        <w:rPr>
          <w:w w:val="105"/>
          <w:sz w:val="18"/>
        </w:rPr>
        <w:t>restricted</w:t>
      </w:r>
      <w:r>
        <w:rPr>
          <w:spacing w:val="-13"/>
          <w:w w:val="105"/>
          <w:sz w:val="18"/>
        </w:rPr>
        <w:t> </w:t>
      </w:r>
      <w:r>
        <w:rPr>
          <w:w w:val="105"/>
          <w:sz w:val="18"/>
        </w:rPr>
        <w:t>maintenance</w:t>
      </w:r>
      <w:r>
        <w:rPr>
          <w:spacing w:val="-15"/>
          <w:w w:val="105"/>
          <w:sz w:val="18"/>
        </w:rPr>
        <w:t> </w:t>
      </w:r>
      <w:r>
        <w:rPr>
          <w:w w:val="105"/>
          <w:sz w:val="18"/>
        </w:rPr>
        <w:t>account)</w:t>
      </w:r>
      <w:r>
        <w:rPr>
          <w:spacing w:val="-15"/>
          <w:w w:val="105"/>
          <w:sz w:val="18"/>
        </w:rPr>
        <w:t> </w:t>
      </w:r>
      <w:r>
        <w:rPr>
          <w:w w:val="105"/>
          <w:sz w:val="18"/>
        </w:rPr>
        <w:t>is included in the</w:t>
      </w:r>
      <w:r>
        <w:rPr>
          <w:spacing w:val="-6"/>
          <w:w w:val="105"/>
          <w:sz w:val="18"/>
        </w:rPr>
        <w:t> </w:t>
      </w:r>
      <w:r>
        <w:rPr>
          <w:w w:val="105"/>
          <w:sz w:val="18"/>
        </w:rPr>
        <w:t>budget.</w:t>
      </w:r>
    </w:p>
    <w:p>
      <w:pPr>
        <w:pStyle w:val="BodyText"/>
        <w:rPr>
          <w:sz w:val="20"/>
        </w:rPr>
      </w:pPr>
      <w:r>
        <w:rPr/>
        <w:br w:type="column"/>
      </w:r>
      <w:r>
        <w:rPr>
          <w:sz w:val="20"/>
        </w:rPr>
      </w:r>
    </w:p>
    <w:p>
      <w:pPr>
        <w:spacing w:before="158"/>
        <w:ind w:left="941" w:right="1240" w:firstLine="0"/>
        <w:jc w:val="center"/>
        <w:rPr>
          <w:b/>
          <w:sz w:val="18"/>
        </w:rPr>
      </w:pPr>
      <w:r>
        <w:rPr>
          <w:b/>
          <w:w w:val="105"/>
          <w:sz w:val="18"/>
        </w:rPr>
        <w:t>n/a</w:t>
      </w:r>
    </w:p>
    <w:p>
      <w:pPr>
        <w:spacing w:after="0"/>
        <w:jc w:val="center"/>
        <w:rPr>
          <w:sz w:val="18"/>
        </w:rPr>
        <w:sectPr>
          <w:type w:val="continuous"/>
          <w:pgSz w:w="12240" w:h="15840"/>
          <w:pgMar w:top="1500" w:bottom="840" w:left="160" w:right="180"/>
          <w:cols w:num="3" w:equalWidth="0">
            <w:col w:w="3416" w:space="40"/>
            <w:col w:w="5884" w:space="65"/>
            <w:col w:w="2495"/>
          </w:cols>
        </w:sectPr>
      </w:pPr>
    </w:p>
    <w:p>
      <w:pPr>
        <w:pStyle w:val="ListParagraph"/>
        <w:numPr>
          <w:ilvl w:val="0"/>
          <w:numId w:val="2"/>
        </w:numPr>
        <w:tabs>
          <w:tab w:pos="1625" w:val="left" w:leader="none"/>
          <w:tab w:pos="1626" w:val="left" w:leader="none"/>
          <w:tab w:pos="4219" w:val="left" w:leader="none"/>
        </w:tabs>
        <w:spacing w:line="178" w:lineRule="exact" w:before="140" w:after="0"/>
        <w:ind w:left="1625" w:right="0" w:hanging="666"/>
        <w:jc w:val="left"/>
        <w:rPr>
          <w:sz w:val="18"/>
        </w:rPr>
      </w:pPr>
      <w:r>
        <w:rPr/>
        <w:pict>
          <v:group style="position:absolute;margin-left:39.959999pt;margin-top:84.360001pt;width:542.9pt;height:361.45pt;mso-position-horizontal-relative:page;mso-position-vertical-relative:page;z-index:-314683392" coordorigin="799,1687" coordsize="10858,7229">
            <v:shape style="position:absolute;left:799;top:1687;width:3826;height:488" type="#_x0000_t75" stroked="false">
              <v:imagedata r:id="rId19" o:title=""/>
            </v:shape>
            <v:shape style="position:absolute;left:4617;top:1687;width:7040;height:488" type="#_x0000_t75" stroked="false">
              <v:imagedata r:id="rId20" o:title=""/>
            </v:shape>
            <v:shape style="position:absolute;left:799;top:2167;width:744;height:728" type="#_x0000_t75" stroked="false">
              <v:imagedata r:id="rId17" o:title=""/>
            </v:shape>
            <v:shape style="position:absolute;left:799;top:2167;width:10858;height:1222" type="#_x0000_t75" stroked="false">
              <v:imagedata r:id="rId21" o:title=""/>
            </v:shape>
            <v:shape style="position:absolute;left:799;top:2887;width:10858;height:996" type="#_x0000_t75" stroked="false">
              <v:imagedata r:id="rId22" o:title=""/>
            </v:shape>
            <v:shape style="position:absolute;left:799;top:3381;width:10858;height:1263" type="#_x0000_t75" stroked="false">
              <v:imagedata r:id="rId23" o:title=""/>
            </v:shape>
            <v:shape style="position:absolute;left:799;top:3876;width:10858;height:1529" type="#_x0000_t75" stroked="false">
              <v:imagedata r:id="rId24" o:title=""/>
            </v:shape>
            <v:shape style="position:absolute;left:799;top:4636;width:10858;height:1503" type="#_x0000_t75" stroked="false">
              <v:imagedata r:id="rId25" o:title=""/>
            </v:shape>
            <v:shape style="position:absolute;left:799;top:5397;width:10858;height:1503" type="#_x0000_t75" stroked="false">
              <v:imagedata r:id="rId26" o:title=""/>
            </v:shape>
            <v:shape style="position:absolute;left:799;top:6132;width:10858;height:1263" type="#_x0000_t75" stroked="false">
              <v:imagedata r:id="rId27" o:title=""/>
            </v:shape>
            <v:shape style="position:absolute;left:799;top:6892;width:10858;height:1263" type="#_x0000_t75" stroked="false">
              <v:imagedata r:id="rId23" o:title=""/>
            </v:shape>
            <v:shape style="position:absolute;left:799;top:7387;width:10858;height:1529" type="#_x0000_t75" stroked="false">
              <v:imagedata r:id="rId24" o:title=""/>
            </v:shape>
            <v:shape style="position:absolute;left:1536;top:8148;width:10121;height:768" type="#_x0000_t75" stroked="false">
              <v:imagedata r:id="rId28" o:title=""/>
            </v:shape>
            <w10:wrap type="none"/>
          </v:group>
        </w:pict>
      </w:r>
      <w:r>
        <w:rPr>
          <w:w w:val="105"/>
          <w:sz w:val="18"/>
        </w:rPr>
        <w:t>Deficit</w:t>
      </w:r>
      <w:r>
        <w:rPr>
          <w:spacing w:val="-10"/>
          <w:w w:val="105"/>
          <w:sz w:val="18"/>
        </w:rPr>
        <w:t> </w:t>
      </w:r>
      <w:r>
        <w:rPr>
          <w:w w:val="105"/>
          <w:sz w:val="18"/>
        </w:rPr>
        <w:t>Spending</w:t>
        <w:tab/>
        <w:t>Unrestricted deficit spending, if any, has not exceeded the</w:t>
      </w:r>
      <w:r>
        <w:rPr>
          <w:spacing w:val="-19"/>
          <w:w w:val="105"/>
          <w:sz w:val="18"/>
        </w:rPr>
        <w:t> </w:t>
      </w:r>
      <w:r>
        <w:rPr>
          <w:w w:val="105"/>
          <w:sz w:val="18"/>
        </w:rPr>
        <w:t>standard</w:t>
      </w:r>
    </w:p>
    <w:p>
      <w:pPr>
        <w:tabs>
          <w:tab w:pos="10438" w:val="left" w:leader="none"/>
        </w:tabs>
        <w:spacing w:line="238" w:lineRule="exact" w:before="0"/>
        <w:ind w:left="4220" w:right="0" w:firstLine="0"/>
        <w:jc w:val="left"/>
        <w:rPr>
          <w:b/>
          <w:sz w:val="18"/>
        </w:rPr>
      </w:pPr>
      <w:r>
        <w:rPr>
          <w:w w:val="105"/>
          <w:sz w:val="18"/>
        </w:rPr>
        <w:t>for</w:t>
      </w:r>
      <w:r>
        <w:rPr>
          <w:spacing w:val="-6"/>
          <w:w w:val="105"/>
          <w:sz w:val="18"/>
        </w:rPr>
        <w:t> </w:t>
      </w:r>
      <w:r>
        <w:rPr>
          <w:w w:val="105"/>
          <w:sz w:val="18"/>
        </w:rPr>
        <w:t>two</w:t>
      </w:r>
      <w:r>
        <w:rPr>
          <w:spacing w:val="-7"/>
          <w:w w:val="105"/>
          <w:sz w:val="18"/>
        </w:rPr>
        <w:t> </w:t>
      </w:r>
      <w:r>
        <w:rPr>
          <w:w w:val="105"/>
          <w:sz w:val="18"/>
        </w:rPr>
        <w:t>or</w:t>
      </w:r>
      <w:r>
        <w:rPr>
          <w:spacing w:val="-6"/>
          <w:w w:val="105"/>
          <w:sz w:val="18"/>
        </w:rPr>
        <w:t> </w:t>
      </w:r>
      <w:r>
        <w:rPr>
          <w:w w:val="105"/>
          <w:sz w:val="18"/>
        </w:rPr>
        <w:t>more</w:t>
      </w:r>
      <w:r>
        <w:rPr>
          <w:spacing w:val="-6"/>
          <w:w w:val="105"/>
          <w:sz w:val="18"/>
        </w:rPr>
        <w:t> </w:t>
      </w:r>
      <w:r>
        <w:rPr>
          <w:w w:val="105"/>
          <w:sz w:val="18"/>
        </w:rPr>
        <w:t>of</w:t>
      </w:r>
      <w:r>
        <w:rPr>
          <w:spacing w:val="-3"/>
          <w:w w:val="105"/>
          <w:sz w:val="18"/>
        </w:rPr>
        <w:t> </w:t>
      </w:r>
      <w:r>
        <w:rPr>
          <w:w w:val="105"/>
          <w:sz w:val="18"/>
        </w:rPr>
        <w:t>the</w:t>
      </w:r>
      <w:r>
        <w:rPr>
          <w:spacing w:val="-4"/>
          <w:w w:val="105"/>
          <w:sz w:val="18"/>
        </w:rPr>
        <w:t> </w:t>
      </w:r>
      <w:r>
        <w:rPr>
          <w:w w:val="105"/>
          <w:sz w:val="18"/>
        </w:rPr>
        <w:t>last</w:t>
      </w:r>
      <w:r>
        <w:rPr>
          <w:spacing w:val="-3"/>
          <w:w w:val="105"/>
          <w:sz w:val="18"/>
        </w:rPr>
        <w:t> </w:t>
      </w:r>
      <w:r>
        <w:rPr>
          <w:w w:val="105"/>
          <w:sz w:val="18"/>
        </w:rPr>
        <w:t>three</w:t>
      </w:r>
      <w:r>
        <w:rPr>
          <w:spacing w:val="-7"/>
          <w:w w:val="105"/>
          <w:sz w:val="18"/>
        </w:rPr>
        <w:t> </w:t>
      </w:r>
      <w:r>
        <w:rPr>
          <w:w w:val="105"/>
          <w:sz w:val="18"/>
        </w:rPr>
        <w:t>fiscal</w:t>
      </w:r>
      <w:r>
        <w:rPr>
          <w:spacing w:val="-6"/>
          <w:w w:val="105"/>
          <w:sz w:val="18"/>
        </w:rPr>
        <w:t> </w:t>
      </w:r>
      <w:r>
        <w:rPr>
          <w:w w:val="105"/>
          <w:sz w:val="18"/>
        </w:rPr>
        <w:t>years.</w:t>
        <w:tab/>
      </w:r>
      <w:r>
        <w:rPr>
          <w:b/>
          <w:w w:val="105"/>
          <w:position w:val="6"/>
          <w:sz w:val="18"/>
        </w:rPr>
        <w:t>X</w:t>
      </w:r>
    </w:p>
    <w:p>
      <w:pPr>
        <w:pStyle w:val="ListParagraph"/>
        <w:numPr>
          <w:ilvl w:val="0"/>
          <w:numId w:val="2"/>
        </w:numPr>
        <w:tabs>
          <w:tab w:pos="1625" w:val="left" w:leader="none"/>
          <w:tab w:pos="1626" w:val="left" w:leader="none"/>
          <w:tab w:pos="4219" w:val="left" w:leader="none"/>
        </w:tabs>
        <w:spacing w:line="240" w:lineRule="auto" w:before="78" w:after="0"/>
        <w:ind w:left="1625" w:right="0" w:hanging="666"/>
        <w:jc w:val="left"/>
        <w:rPr>
          <w:sz w:val="18"/>
        </w:rPr>
      </w:pPr>
      <w:r>
        <w:rPr>
          <w:w w:val="105"/>
          <w:sz w:val="18"/>
        </w:rPr>
        <w:t>Fund</w:t>
      </w:r>
      <w:r>
        <w:rPr>
          <w:spacing w:val="-7"/>
          <w:w w:val="105"/>
          <w:sz w:val="18"/>
        </w:rPr>
        <w:t> </w:t>
      </w:r>
      <w:r>
        <w:rPr>
          <w:w w:val="105"/>
          <w:sz w:val="18"/>
        </w:rPr>
        <w:t>Balance</w:t>
        <w:tab/>
        <w:t>Unrestricted general fund beginning balance has not</w:t>
      </w:r>
      <w:r>
        <w:rPr>
          <w:spacing w:val="-12"/>
          <w:w w:val="105"/>
          <w:sz w:val="18"/>
        </w:rPr>
        <w:t> </w:t>
      </w:r>
      <w:r>
        <w:rPr>
          <w:w w:val="105"/>
          <w:sz w:val="18"/>
        </w:rPr>
        <w:t>been</w:t>
      </w:r>
    </w:p>
    <w:p>
      <w:pPr>
        <w:tabs>
          <w:tab w:pos="10438" w:val="left" w:leader="none"/>
        </w:tabs>
        <w:spacing w:line="163" w:lineRule="auto" w:before="34"/>
        <w:ind w:left="4220" w:right="0" w:firstLine="0"/>
        <w:jc w:val="left"/>
        <w:rPr>
          <w:b/>
          <w:sz w:val="18"/>
        </w:rPr>
      </w:pPr>
      <w:r>
        <w:rPr>
          <w:w w:val="105"/>
          <w:sz w:val="18"/>
        </w:rPr>
        <w:t>overestimated</w:t>
      </w:r>
      <w:r>
        <w:rPr>
          <w:spacing w:val="-7"/>
          <w:w w:val="105"/>
          <w:sz w:val="18"/>
        </w:rPr>
        <w:t> </w:t>
      </w:r>
      <w:r>
        <w:rPr>
          <w:w w:val="105"/>
          <w:sz w:val="18"/>
        </w:rPr>
        <w:t>by</w:t>
      </w:r>
      <w:r>
        <w:rPr>
          <w:spacing w:val="-9"/>
          <w:w w:val="105"/>
          <w:sz w:val="18"/>
        </w:rPr>
        <w:t> </w:t>
      </w:r>
      <w:r>
        <w:rPr>
          <w:w w:val="105"/>
          <w:sz w:val="18"/>
        </w:rPr>
        <w:t>more</w:t>
      </w:r>
      <w:r>
        <w:rPr>
          <w:spacing w:val="-8"/>
          <w:w w:val="105"/>
          <w:sz w:val="18"/>
        </w:rPr>
        <w:t> </w:t>
      </w:r>
      <w:r>
        <w:rPr>
          <w:w w:val="105"/>
          <w:sz w:val="18"/>
        </w:rPr>
        <w:t>than</w:t>
      </w:r>
      <w:r>
        <w:rPr>
          <w:spacing w:val="-6"/>
          <w:w w:val="105"/>
          <w:sz w:val="18"/>
        </w:rPr>
        <w:t> </w:t>
      </w:r>
      <w:r>
        <w:rPr>
          <w:w w:val="105"/>
          <w:sz w:val="18"/>
        </w:rPr>
        <w:t>the</w:t>
      </w:r>
      <w:r>
        <w:rPr>
          <w:spacing w:val="-8"/>
          <w:w w:val="105"/>
          <w:sz w:val="18"/>
        </w:rPr>
        <w:t> </w:t>
      </w:r>
      <w:r>
        <w:rPr>
          <w:w w:val="105"/>
          <w:sz w:val="18"/>
        </w:rPr>
        <w:t>standard</w:t>
      </w:r>
      <w:r>
        <w:rPr>
          <w:spacing w:val="-8"/>
          <w:w w:val="105"/>
          <w:sz w:val="18"/>
        </w:rPr>
        <w:t> </w:t>
      </w:r>
      <w:r>
        <w:rPr>
          <w:w w:val="105"/>
          <w:sz w:val="18"/>
        </w:rPr>
        <w:t>for</w:t>
      </w:r>
      <w:r>
        <w:rPr>
          <w:spacing w:val="-6"/>
          <w:w w:val="105"/>
          <w:sz w:val="18"/>
        </w:rPr>
        <w:t> </w:t>
      </w:r>
      <w:r>
        <w:rPr>
          <w:w w:val="105"/>
          <w:sz w:val="18"/>
        </w:rPr>
        <w:t>two</w:t>
      </w:r>
      <w:r>
        <w:rPr>
          <w:spacing w:val="-8"/>
          <w:w w:val="105"/>
          <w:sz w:val="18"/>
        </w:rPr>
        <w:t> </w:t>
      </w:r>
      <w:r>
        <w:rPr>
          <w:w w:val="105"/>
          <w:sz w:val="18"/>
        </w:rPr>
        <w:t>or</w:t>
      </w:r>
      <w:r>
        <w:rPr>
          <w:spacing w:val="-6"/>
          <w:w w:val="105"/>
          <w:sz w:val="18"/>
        </w:rPr>
        <w:t> </w:t>
      </w:r>
      <w:r>
        <w:rPr>
          <w:w w:val="105"/>
          <w:sz w:val="18"/>
        </w:rPr>
        <w:t>more</w:t>
      </w:r>
      <w:r>
        <w:rPr>
          <w:spacing w:val="-8"/>
          <w:w w:val="105"/>
          <w:sz w:val="18"/>
        </w:rPr>
        <w:t> </w:t>
      </w:r>
      <w:r>
        <w:rPr>
          <w:w w:val="105"/>
          <w:sz w:val="18"/>
        </w:rPr>
        <w:t>of</w:t>
      </w:r>
      <w:r>
        <w:rPr>
          <w:spacing w:val="-4"/>
          <w:w w:val="105"/>
          <w:sz w:val="18"/>
        </w:rPr>
        <w:t> </w:t>
      </w:r>
      <w:r>
        <w:rPr>
          <w:w w:val="105"/>
          <w:sz w:val="18"/>
        </w:rPr>
        <w:t>the</w:t>
      </w:r>
      <w:r>
        <w:rPr>
          <w:spacing w:val="-4"/>
          <w:w w:val="105"/>
          <w:sz w:val="18"/>
        </w:rPr>
        <w:t> </w:t>
      </w:r>
      <w:r>
        <w:rPr>
          <w:w w:val="105"/>
          <w:sz w:val="18"/>
        </w:rPr>
        <w:t>last</w:t>
        <w:tab/>
      </w:r>
      <w:r>
        <w:rPr>
          <w:b/>
          <w:w w:val="105"/>
          <w:position w:val="-6"/>
          <w:sz w:val="18"/>
        </w:rPr>
        <w:t>X</w:t>
      </w:r>
    </w:p>
    <w:p>
      <w:pPr>
        <w:spacing w:line="173" w:lineRule="exact" w:before="0"/>
        <w:ind w:left="4220" w:right="0" w:firstLine="0"/>
        <w:jc w:val="left"/>
        <w:rPr>
          <w:sz w:val="18"/>
        </w:rPr>
      </w:pPr>
      <w:r>
        <w:rPr>
          <w:w w:val="105"/>
          <w:sz w:val="18"/>
        </w:rPr>
        <w:t>three fiscal years.</w:t>
      </w:r>
    </w:p>
    <w:p>
      <w:pPr>
        <w:pStyle w:val="ListParagraph"/>
        <w:numPr>
          <w:ilvl w:val="0"/>
          <w:numId w:val="2"/>
        </w:numPr>
        <w:tabs>
          <w:tab w:pos="1625" w:val="left" w:leader="none"/>
          <w:tab w:pos="1626" w:val="left" w:leader="none"/>
          <w:tab w:pos="4219" w:val="left" w:leader="none"/>
        </w:tabs>
        <w:spacing w:line="240" w:lineRule="auto" w:before="136" w:after="0"/>
        <w:ind w:left="1625" w:right="0" w:hanging="719"/>
        <w:jc w:val="left"/>
        <w:rPr>
          <w:sz w:val="18"/>
        </w:rPr>
      </w:pPr>
      <w:r>
        <w:rPr>
          <w:w w:val="105"/>
          <w:sz w:val="18"/>
        </w:rPr>
        <w:t>Reserves</w:t>
        <w:tab/>
        <w:t>Projected available reserves (e.g., reserve for</w:t>
      </w:r>
      <w:r>
        <w:rPr>
          <w:spacing w:val="-13"/>
          <w:w w:val="105"/>
          <w:sz w:val="18"/>
        </w:rPr>
        <w:t> </w:t>
      </w:r>
      <w:r>
        <w:rPr>
          <w:w w:val="105"/>
          <w:sz w:val="18"/>
        </w:rPr>
        <w:t>economic</w:t>
      </w:r>
    </w:p>
    <w:p>
      <w:pPr>
        <w:tabs>
          <w:tab w:pos="10438" w:val="left" w:leader="none"/>
        </w:tabs>
        <w:spacing w:line="163" w:lineRule="auto" w:before="33"/>
        <w:ind w:left="4220" w:right="0" w:firstLine="0"/>
        <w:jc w:val="left"/>
        <w:rPr>
          <w:b/>
          <w:sz w:val="18"/>
        </w:rPr>
      </w:pPr>
      <w:r>
        <w:rPr>
          <w:w w:val="105"/>
          <w:sz w:val="18"/>
        </w:rPr>
        <w:t>uncertainties,</w:t>
      </w:r>
      <w:r>
        <w:rPr>
          <w:spacing w:val="-16"/>
          <w:w w:val="105"/>
          <w:sz w:val="18"/>
        </w:rPr>
        <w:t> </w:t>
      </w:r>
      <w:r>
        <w:rPr>
          <w:w w:val="105"/>
          <w:sz w:val="18"/>
        </w:rPr>
        <w:t>unassigned/unappropriated</w:t>
      </w:r>
      <w:r>
        <w:rPr>
          <w:spacing w:val="-17"/>
          <w:w w:val="105"/>
          <w:sz w:val="18"/>
        </w:rPr>
        <w:t> </w:t>
      </w:r>
      <w:r>
        <w:rPr>
          <w:w w:val="105"/>
          <w:sz w:val="18"/>
        </w:rPr>
        <w:t>amounts)</w:t>
      </w:r>
      <w:r>
        <w:rPr>
          <w:spacing w:val="-17"/>
          <w:w w:val="105"/>
          <w:sz w:val="18"/>
        </w:rPr>
        <w:t> </w:t>
      </w:r>
      <w:r>
        <w:rPr>
          <w:w w:val="105"/>
          <w:sz w:val="18"/>
        </w:rPr>
        <w:t>meet</w:t>
      </w:r>
      <w:r>
        <w:rPr>
          <w:spacing w:val="-15"/>
          <w:w w:val="105"/>
          <w:sz w:val="18"/>
        </w:rPr>
        <w:t> </w:t>
      </w:r>
      <w:r>
        <w:rPr>
          <w:w w:val="105"/>
          <w:sz w:val="18"/>
        </w:rPr>
        <w:t>minimum</w:t>
        <w:tab/>
      </w:r>
      <w:r>
        <w:rPr>
          <w:b/>
          <w:w w:val="105"/>
          <w:position w:val="-6"/>
          <w:sz w:val="18"/>
        </w:rPr>
        <w:t>X</w:t>
      </w:r>
    </w:p>
    <w:p>
      <w:pPr>
        <w:spacing w:line="173" w:lineRule="exact" w:before="0"/>
        <w:ind w:left="4220" w:right="0" w:firstLine="0"/>
        <w:jc w:val="left"/>
        <w:rPr>
          <w:sz w:val="18"/>
        </w:rPr>
      </w:pPr>
      <w:r>
        <w:rPr>
          <w:w w:val="105"/>
          <w:sz w:val="18"/>
        </w:rPr>
        <w:t>requirements for the budget and two subsequent fiscal years.</w:t>
      </w:r>
    </w:p>
    <w:p>
      <w:pPr>
        <w:pStyle w:val="BodyText"/>
        <w:rPr>
          <w:sz w:val="20"/>
        </w:rPr>
      </w:pPr>
    </w:p>
    <w:p>
      <w:pPr>
        <w:pStyle w:val="BodyText"/>
        <w:spacing w:before="10"/>
        <w:rPr>
          <w:sz w:val="29"/>
        </w:rPr>
      </w:pPr>
      <w:r>
        <w:rPr/>
        <w:pict>
          <v:group style="position:absolute;margin-left:39.959999pt;margin-top:19.140764pt;width:542.9pt;height:235.8pt;mso-position-horizontal-relative:page;mso-position-vertical-relative:paragraph;z-index:-251633664;mso-wrap-distance-left:0;mso-wrap-distance-right:0" coordorigin="799,383" coordsize="10858,4716">
            <v:shape style="position:absolute;left:799;top:382;width:3339;height:502" type="#_x0000_t75" stroked="false">
              <v:imagedata r:id="rId29" o:title=""/>
            </v:shape>
            <v:shape style="position:absolute;left:1536;top:382;width:10121;height:1263" type="#_x0000_t75" stroked="false">
              <v:imagedata r:id="rId30" o:title=""/>
            </v:shape>
            <v:shape style="position:absolute;left:799;top:877;width:744;height:768" type="#_x0000_t75" stroked="false">
              <v:imagedata r:id="rId31" o:title=""/>
            </v:shape>
            <v:shape style="position:absolute;left:799;top:1638;width:744;height:783" type="#_x0000_t75" stroked="false">
              <v:imagedata r:id="rId32" o:title=""/>
            </v:shape>
            <v:shape style="position:absolute;left:1536;top:877;width:10121;height:1544" type="#_x0000_t75" stroked="false">
              <v:imagedata r:id="rId33" o:title=""/>
            </v:shape>
            <v:shape style="position:absolute;left:4336;top:1638;width:7320;height:783" type="#_x0000_t75" stroked="false">
              <v:imagedata r:id="rId34" o:title=""/>
            </v:shape>
            <v:shape style="position:absolute;left:799;top:2413;width:744;height:754" type="#_x0000_t75" stroked="false">
              <v:imagedata r:id="rId35" o:title=""/>
            </v:shape>
            <v:shape style="position:absolute;left:799;top:2413;width:10858;height:1700" type="#_x0000_t75" stroked="false">
              <v:imagedata r:id="rId36" o:title=""/>
            </v:shape>
            <v:shape style="position:absolute;left:799;top:3159;width:10858;height:1940" type="#_x0000_t75" stroked="false">
              <v:imagedata r:id="rId37" o:title=""/>
            </v:shape>
            <v:shape style="position:absolute;left:1536;top:4105;width:10121;height:994" type="#_x0000_t75" stroked="false">
              <v:imagedata r:id="rId38" o:title=""/>
            </v:shape>
            <v:shape style="position:absolute;left:842;top:667;width:2903;height:209" type="#_x0000_t202" filled="false" stroked="false">
              <v:textbox inset="0,0,0,0">
                <w:txbxContent>
                  <w:p>
                    <w:pPr>
                      <w:spacing w:before="0"/>
                      <w:ind w:left="0" w:right="0" w:firstLine="0"/>
                      <w:jc w:val="left"/>
                      <w:rPr>
                        <w:b/>
                        <w:sz w:val="18"/>
                      </w:rPr>
                    </w:pPr>
                    <w:r>
                      <w:rPr>
                        <w:b/>
                        <w:sz w:val="18"/>
                      </w:rPr>
                      <w:t>SUPPLEMENTAL INFORMATION</w:t>
                    </w:r>
                  </w:p>
                </w:txbxContent>
              </v:textbox>
              <w10:wrap type="none"/>
            </v:shape>
            <v:shape style="position:absolute;left:10536;top:667;width:974;height:209" type="#_x0000_t202" filled="false" stroked="false">
              <v:textbox inset="0,0,0,0">
                <w:txbxContent>
                  <w:p>
                    <w:pPr>
                      <w:tabs>
                        <w:tab w:pos="623" w:val="left" w:leader="none"/>
                      </w:tabs>
                      <w:spacing w:before="0"/>
                      <w:ind w:left="0" w:right="0" w:firstLine="0"/>
                      <w:jc w:val="left"/>
                      <w:rPr>
                        <w:b/>
                        <w:sz w:val="18"/>
                      </w:rPr>
                    </w:pPr>
                    <w:r>
                      <w:rPr>
                        <w:b/>
                        <w:w w:val="105"/>
                        <w:sz w:val="18"/>
                      </w:rPr>
                      <w:t>No</w:t>
                      <w:tab/>
                      <w:t>Yes</w:t>
                    </w:r>
                  </w:p>
                </w:txbxContent>
              </v:textbox>
              <w10:wrap type="none"/>
            </v:shape>
            <v:shape style="position:absolute;left:1058;top:880;width:2462;height:209" type="#_x0000_t202" filled="false" stroked="false">
              <v:textbox inset="0,0,0,0">
                <w:txbxContent>
                  <w:p>
                    <w:pPr>
                      <w:tabs>
                        <w:tab w:pos="727" w:val="left" w:leader="none"/>
                      </w:tabs>
                      <w:spacing w:before="0"/>
                      <w:ind w:left="0" w:right="0" w:firstLine="0"/>
                      <w:jc w:val="left"/>
                      <w:rPr>
                        <w:sz w:val="18"/>
                      </w:rPr>
                    </w:pPr>
                    <w:r>
                      <w:rPr>
                        <w:w w:val="105"/>
                        <w:sz w:val="18"/>
                      </w:rPr>
                      <w:t>S1</w:t>
                      <w:tab/>
                      <w:t>Contingent</w:t>
                    </w:r>
                    <w:r>
                      <w:rPr>
                        <w:spacing w:val="-25"/>
                        <w:w w:val="105"/>
                        <w:sz w:val="18"/>
                      </w:rPr>
                      <w:t> </w:t>
                    </w:r>
                    <w:r>
                      <w:rPr>
                        <w:w w:val="105"/>
                        <w:sz w:val="18"/>
                      </w:rPr>
                      <w:t>Liabilities</w:t>
                    </w:r>
                  </w:p>
                </w:txbxContent>
              </v:textbox>
              <w10:wrap type="none"/>
            </v:shape>
            <v:shape style="position:absolute;left:4380;top:880;width:5465;height:1954" type="#_x0000_t202" filled="false" stroked="false">
              <v:textbox inset="0,0,0,0">
                <w:txbxContent>
                  <w:p>
                    <w:pPr>
                      <w:spacing w:before="0"/>
                      <w:ind w:left="0" w:right="18" w:firstLine="0"/>
                      <w:jc w:val="left"/>
                      <w:rPr>
                        <w:sz w:val="18"/>
                      </w:rPr>
                    </w:pPr>
                    <w:r>
                      <w:rPr>
                        <w:w w:val="105"/>
                        <w:sz w:val="18"/>
                      </w:rPr>
                      <w:t>Are</w:t>
                    </w:r>
                    <w:r>
                      <w:rPr>
                        <w:spacing w:val="-12"/>
                        <w:w w:val="105"/>
                        <w:sz w:val="18"/>
                      </w:rPr>
                      <w:t> </w:t>
                    </w:r>
                    <w:r>
                      <w:rPr>
                        <w:w w:val="105"/>
                        <w:sz w:val="18"/>
                      </w:rPr>
                      <w:t>there</w:t>
                    </w:r>
                    <w:r>
                      <w:rPr>
                        <w:spacing w:val="-12"/>
                        <w:w w:val="105"/>
                        <w:sz w:val="18"/>
                      </w:rPr>
                      <w:t> </w:t>
                    </w:r>
                    <w:r>
                      <w:rPr>
                        <w:w w:val="105"/>
                        <w:sz w:val="18"/>
                      </w:rPr>
                      <w:t>known</w:t>
                    </w:r>
                    <w:r>
                      <w:rPr>
                        <w:spacing w:val="-11"/>
                        <w:w w:val="105"/>
                        <w:sz w:val="18"/>
                      </w:rPr>
                      <w:t> </w:t>
                    </w:r>
                    <w:r>
                      <w:rPr>
                        <w:w w:val="105"/>
                        <w:sz w:val="18"/>
                      </w:rPr>
                      <w:t>or</w:t>
                    </w:r>
                    <w:r>
                      <w:rPr>
                        <w:spacing w:val="-11"/>
                        <w:w w:val="105"/>
                        <w:sz w:val="18"/>
                      </w:rPr>
                      <w:t> </w:t>
                    </w:r>
                    <w:r>
                      <w:rPr>
                        <w:w w:val="105"/>
                        <w:sz w:val="18"/>
                      </w:rPr>
                      <w:t>contingent</w:t>
                    </w:r>
                    <w:r>
                      <w:rPr>
                        <w:spacing w:val="-9"/>
                        <w:w w:val="105"/>
                        <w:sz w:val="18"/>
                      </w:rPr>
                      <w:t> </w:t>
                    </w:r>
                    <w:r>
                      <w:rPr>
                        <w:w w:val="105"/>
                        <w:sz w:val="18"/>
                      </w:rPr>
                      <w:t>liabilities</w:t>
                    </w:r>
                    <w:r>
                      <w:rPr>
                        <w:spacing w:val="-9"/>
                        <w:w w:val="105"/>
                        <w:sz w:val="18"/>
                      </w:rPr>
                      <w:t> </w:t>
                    </w:r>
                    <w:r>
                      <w:rPr>
                        <w:w w:val="105"/>
                        <w:sz w:val="18"/>
                      </w:rPr>
                      <w:t>(e.g.,</w:t>
                    </w:r>
                    <w:r>
                      <w:rPr>
                        <w:spacing w:val="-9"/>
                        <w:w w:val="105"/>
                        <w:sz w:val="18"/>
                      </w:rPr>
                      <w:t> </w:t>
                    </w:r>
                    <w:r>
                      <w:rPr>
                        <w:w w:val="105"/>
                        <w:sz w:val="18"/>
                      </w:rPr>
                      <w:t>financial</w:t>
                    </w:r>
                    <w:r>
                      <w:rPr>
                        <w:spacing w:val="-11"/>
                        <w:w w:val="105"/>
                        <w:sz w:val="18"/>
                      </w:rPr>
                      <w:t> </w:t>
                    </w:r>
                    <w:r>
                      <w:rPr>
                        <w:w w:val="105"/>
                        <w:sz w:val="18"/>
                      </w:rPr>
                      <w:t>or</w:t>
                    </w:r>
                    <w:r>
                      <w:rPr>
                        <w:spacing w:val="-9"/>
                        <w:w w:val="105"/>
                        <w:sz w:val="18"/>
                      </w:rPr>
                      <w:t> </w:t>
                    </w:r>
                    <w:r>
                      <w:rPr>
                        <w:w w:val="105"/>
                        <w:sz w:val="18"/>
                      </w:rPr>
                      <w:t>program audits, litigation, state compliance reviews) that may impact the budget?</w:t>
                    </w:r>
                  </w:p>
                  <w:p>
                    <w:pPr>
                      <w:spacing w:before="140"/>
                      <w:ind w:left="0" w:right="18" w:firstLine="0"/>
                      <w:jc w:val="left"/>
                      <w:rPr>
                        <w:sz w:val="18"/>
                      </w:rPr>
                    </w:pPr>
                    <w:r>
                      <w:rPr>
                        <w:w w:val="105"/>
                        <w:sz w:val="18"/>
                      </w:rPr>
                      <w:t>Are there ongoing general fund expenditures in excess of one percent</w:t>
                    </w:r>
                    <w:r>
                      <w:rPr>
                        <w:spacing w:val="-8"/>
                        <w:w w:val="105"/>
                        <w:sz w:val="18"/>
                      </w:rPr>
                      <w:t> </w:t>
                    </w:r>
                    <w:r>
                      <w:rPr>
                        <w:w w:val="105"/>
                        <w:sz w:val="18"/>
                      </w:rPr>
                      <w:t>of</w:t>
                    </w:r>
                    <w:r>
                      <w:rPr>
                        <w:spacing w:val="-7"/>
                        <w:w w:val="105"/>
                        <w:sz w:val="18"/>
                      </w:rPr>
                      <w:t> </w:t>
                    </w:r>
                    <w:r>
                      <w:rPr>
                        <w:w w:val="105"/>
                        <w:sz w:val="18"/>
                      </w:rPr>
                      <w:t>the</w:t>
                    </w:r>
                    <w:r>
                      <w:rPr>
                        <w:spacing w:val="-11"/>
                        <w:w w:val="105"/>
                        <w:sz w:val="18"/>
                      </w:rPr>
                      <w:t> </w:t>
                    </w:r>
                    <w:r>
                      <w:rPr>
                        <w:w w:val="105"/>
                        <w:sz w:val="18"/>
                      </w:rPr>
                      <w:t>total</w:t>
                    </w:r>
                    <w:r>
                      <w:rPr>
                        <w:spacing w:val="-10"/>
                        <w:w w:val="105"/>
                        <w:sz w:val="18"/>
                      </w:rPr>
                      <w:t> </w:t>
                    </w:r>
                    <w:r>
                      <w:rPr>
                        <w:w w:val="105"/>
                        <w:sz w:val="18"/>
                      </w:rPr>
                      <w:t>general</w:t>
                    </w:r>
                    <w:r>
                      <w:rPr>
                        <w:spacing w:val="-9"/>
                        <w:w w:val="105"/>
                        <w:sz w:val="18"/>
                      </w:rPr>
                      <w:t> </w:t>
                    </w:r>
                    <w:r>
                      <w:rPr>
                        <w:w w:val="105"/>
                        <w:sz w:val="18"/>
                      </w:rPr>
                      <w:t>fund</w:t>
                    </w:r>
                    <w:r>
                      <w:rPr>
                        <w:spacing w:val="-11"/>
                        <w:w w:val="105"/>
                        <w:sz w:val="18"/>
                      </w:rPr>
                      <w:t> </w:t>
                    </w:r>
                    <w:r>
                      <w:rPr>
                        <w:w w:val="105"/>
                        <w:sz w:val="18"/>
                      </w:rPr>
                      <w:t>expenditures</w:t>
                    </w:r>
                    <w:r>
                      <w:rPr>
                        <w:spacing w:val="-10"/>
                        <w:w w:val="105"/>
                        <w:sz w:val="18"/>
                      </w:rPr>
                      <w:t> </w:t>
                    </w:r>
                    <w:r>
                      <w:rPr>
                        <w:w w:val="105"/>
                        <w:sz w:val="18"/>
                      </w:rPr>
                      <w:t>that</w:t>
                    </w:r>
                    <w:r>
                      <w:rPr>
                        <w:spacing w:val="-7"/>
                        <w:w w:val="105"/>
                        <w:sz w:val="18"/>
                      </w:rPr>
                      <w:t> </w:t>
                    </w:r>
                    <w:r>
                      <w:rPr>
                        <w:w w:val="105"/>
                        <w:sz w:val="18"/>
                      </w:rPr>
                      <w:t>are</w:t>
                    </w:r>
                    <w:r>
                      <w:rPr>
                        <w:spacing w:val="-11"/>
                        <w:w w:val="105"/>
                        <w:sz w:val="18"/>
                      </w:rPr>
                      <w:t> </w:t>
                    </w:r>
                    <w:r>
                      <w:rPr>
                        <w:w w:val="105"/>
                        <w:sz w:val="18"/>
                      </w:rPr>
                      <w:t>funded</w:t>
                    </w:r>
                    <w:r>
                      <w:rPr>
                        <w:spacing w:val="-8"/>
                        <w:w w:val="105"/>
                        <w:sz w:val="18"/>
                      </w:rPr>
                      <w:t> </w:t>
                    </w:r>
                    <w:r>
                      <w:rPr>
                        <w:w w:val="105"/>
                        <w:sz w:val="18"/>
                      </w:rPr>
                      <w:t>with one-time</w:t>
                    </w:r>
                    <w:r>
                      <w:rPr>
                        <w:spacing w:val="-3"/>
                        <w:w w:val="105"/>
                        <w:sz w:val="18"/>
                      </w:rPr>
                      <w:t> </w:t>
                    </w:r>
                    <w:r>
                      <w:rPr>
                        <w:w w:val="105"/>
                        <w:sz w:val="18"/>
                      </w:rPr>
                      <w:t>resources?</w:t>
                    </w:r>
                  </w:p>
                  <w:p>
                    <w:pPr>
                      <w:spacing w:before="154"/>
                      <w:ind w:left="0" w:right="86" w:firstLine="0"/>
                      <w:jc w:val="left"/>
                      <w:rPr>
                        <w:sz w:val="18"/>
                      </w:rPr>
                    </w:pPr>
                    <w:r>
                      <w:rPr>
                        <w:w w:val="105"/>
                        <w:sz w:val="18"/>
                      </w:rPr>
                      <w:t>Are there large non-recurring general fund expenditures that are funded with ongoing general fund revenues?</w:t>
                    </w:r>
                  </w:p>
                </w:txbxContent>
              </v:textbox>
              <w10:wrap type="none"/>
            </v:shape>
            <v:shape style="position:absolute;left:10598;top:1159;width:145;height:209" type="#_x0000_t202" filled="false" stroked="false">
              <v:textbox inset="0,0,0,0">
                <w:txbxContent>
                  <w:p>
                    <w:pPr>
                      <w:spacing w:before="0"/>
                      <w:ind w:left="0" w:right="0" w:firstLine="0"/>
                      <w:jc w:val="left"/>
                      <w:rPr>
                        <w:b/>
                        <w:sz w:val="18"/>
                      </w:rPr>
                    </w:pPr>
                    <w:r>
                      <w:rPr>
                        <w:b/>
                        <w:w w:val="103"/>
                        <w:sz w:val="18"/>
                      </w:rPr>
                      <w:t>X</w:t>
                    </w:r>
                  </w:p>
                </w:txbxContent>
              </v:textbox>
              <w10:wrap type="none"/>
            </v:shape>
            <v:shape style="position:absolute;left:1058;top:1641;width:249;height:209" type="#_x0000_t202" filled="false" stroked="false">
              <v:textbox inset="0,0,0,0">
                <w:txbxContent>
                  <w:p>
                    <w:pPr>
                      <w:spacing w:before="0"/>
                      <w:ind w:left="0" w:right="0" w:firstLine="0"/>
                      <w:jc w:val="left"/>
                      <w:rPr>
                        <w:sz w:val="18"/>
                      </w:rPr>
                    </w:pPr>
                    <w:r>
                      <w:rPr>
                        <w:w w:val="105"/>
                        <w:sz w:val="18"/>
                      </w:rPr>
                      <w:t>S2</w:t>
                    </w:r>
                  </w:p>
                </w:txbxContent>
              </v:textbox>
              <w10:wrap type="none"/>
            </v:shape>
            <v:shape style="position:absolute;left:1785;top:1641;width:2205;height:1731" type="#_x0000_t202" filled="false" stroked="false">
              <v:textbox inset="0,0,0,0">
                <w:txbxContent>
                  <w:p>
                    <w:pPr>
                      <w:spacing w:before="0"/>
                      <w:ind w:left="0" w:right="15" w:firstLine="0"/>
                      <w:jc w:val="left"/>
                      <w:rPr>
                        <w:sz w:val="18"/>
                      </w:rPr>
                    </w:pPr>
                    <w:r>
                      <w:rPr>
                        <w:w w:val="105"/>
                        <w:sz w:val="18"/>
                      </w:rPr>
                      <w:t>Using One-time</w:t>
                    </w:r>
                    <w:r>
                      <w:rPr>
                        <w:spacing w:val="-23"/>
                        <w:w w:val="105"/>
                        <w:sz w:val="18"/>
                      </w:rPr>
                      <w:t> </w:t>
                    </w:r>
                    <w:r>
                      <w:rPr>
                        <w:spacing w:val="-3"/>
                        <w:w w:val="105"/>
                        <w:sz w:val="18"/>
                      </w:rPr>
                      <w:t>Revenues </w:t>
                    </w:r>
                    <w:r>
                      <w:rPr>
                        <w:w w:val="105"/>
                        <w:sz w:val="18"/>
                      </w:rPr>
                      <w:t>to Fund Ongoing Expenditures</w:t>
                    </w:r>
                  </w:p>
                  <w:p>
                    <w:pPr>
                      <w:spacing w:before="154"/>
                      <w:ind w:left="0" w:right="71" w:firstLine="0"/>
                      <w:jc w:val="left"/>
                      <w:rPr>
                        <w:sz w:val="18"/>
                      </w:rPr>
                    </w:pPr>
                    <w:r>
                      <w:rPr>
                        <w:w w:val="105"/>
                        <w:sz w:val="18"/>
                      </w:rPr>
                      <w:t>Using Ongoing</w:t>
                    </w:r>
                    <w:r>
                      <w:rPr>
                        <w:spacing w:val="-40"/>
                        <w:w w:val="105"/>
                        <w:sz w:val="18"/>
                      </w:rPr>
                      <w:t> </w:t>
                    </w:r>
                    <w:r>
                      <w:rPr>
                        <w:w w:val="105"/>
                        <w:sz w:val="18"/>
                      </w:rPr>
                      <w:t>Revenues to Fund One-time Expenditures</w:t>
                    </w:r>
                  </w:p>
                  <w:p>
                    <w:pPr>
                      <w:spacing w:before="126"/>
                      <w:ind w:left="0" w:right="0" w:firstLine="0"/>
                      <w:jc w:val="left"/>
                      <w:rPr>
                        <w:sz w:val="18"/>
                      </w:rPr>
                    </w:pPr>
                    <w:r>
                      <w:rPr>
                        <w:w w:val="105"/>
                        <w:sz w:val="18"/>
                      </w:rPr>
                      <w:t>Contingent Revenues</w:t>
                    </w:r>
                  </w:p>
                </w:txbxContent>
              </v:textbox>
              <w10:wrap type="none"/>
            </v:shape>
            <v:shape style="position:absolute;left:10598;top:1927;width:145;height:209" type="#_x0000_t202" filled="false" stroked="false">
              <v:textbox inset="0,0,0,0">
                <w:txbxContent>
                  <w:p>
                    <w:pPr>
                      <w:spacing w:before="0"/>
                      <w:ind w:left="0" w:right="0" w:firstLine="0"/>
                      <w:jc w:val="left"/>
                      <w:rPr>
                        <w:b/>
                        <w:sz w:val="18"/>
                      </w:rPr>
                    </w:pPr>
                    <w:r>
                      <w:rPr>
                        <w:b/>
                        <w:w w:val="103"/>
                        <w:sz w:val="18"/>
                      </w:rPr>
                      <w:t>X</w:t>
                    </w:r>
                  </w:p>
                </w:txbxContent>
              </v:textbox>
              <w10:wrap type="none"/>
            </v:shape>
            <v:shape style="position:absolute;left:1058;top:2416;width:249;height:209" type="#_x0000_t202" filled="false" stroked="false">
              <v:textbox inset="0,0,0,0">
                <w:txbxContent>
                  <w:p>
                    <w:pPr>
                      <w:spacing w:before="0"/>
                      <w:ind w:left="0" w:right="0" w:firstLine="0"/>
                      <w:jc w:val="left"/>
                      <w:rPr>
                        <w:sz w:val="18"/>
                      </w:rPr>
                    </w:pPr>
                    <w:r>
                      <w:rPr>
                        <w:w w:val="105"/>
                        <w:sz w:val="18"/>
                      </w:rPr>
                      <w:t>S3</w:t>
                    </w:r>
                  </w:p>
                </w:txbxContent>
              </v:textbox>
              <w10:wrap type="none"/>
            </v:shape>
            <v:shape style="position:absolute;left:10598;top:2688;width:145;height:209" type="#_x0000_t202" filled="false" stroked="false">
              <v:textbox inset="0,0,0,0">
                <w:txbxContent>
                  <w:p>
                    <w:pPr>
                      <w:spacing w:before="0"/>
                      <w:ind w:left="0" w:right="0" w:firstLine="0"/>
                      <w:jc w:val="left"/>
                      <w:rPr>
                        <w:b/>
                        <w:sz w:val="18"/>
                      </w:rPr>
                    </w:pPr>
                    <w:r>
                      <w:rPr>
                        <w:b/>
                        <w:w w:val="103"/>
                        <w:sz w:val="18"/>
                      </w:rPr>
                      <w:t>X</w:t>
                    </w:r>
                  </w:p>
                </w:txbxContent>
              </v:textbox>
              <w10:wrap type="none"/>
            </v:shape>
            <v:shape style="position:absolute;left:1058;top:3163;width:249;height:209" type="#_x0000_t202" filled="false" stroked="false">
              <v:textbox inset="0,0,0,0">
                <w:txbxContent>
                  <w:p>
                    <w:pPr>
                      <w:spacing w:before="0"/>
                      <w:ind w:left="0" w:right="0" w:firstLine="0"/>
                      <w:jc w:val="left"/>
                      <w:rPr>
                        <w:sz w:val="18"/>
                      </w:rPr>
                    </w:pPr>
                    <w:r>
                      <w:rPr>
                        <w:w w:val="105"/>
                        <w:sz w:val="18"/>
                      </w:rPr>
                      <w:t>S4</w:t>
                    </w:r>
                  </w:p>
                </w:txbxContent>
              </v:textbox>
              <w10:wrap type="none"/>
            </v:shape>
            <v:shape style="position:absolute;left:4380;top:3163;width:5727;height:627" type="#_x0000_t202" filled="false" stroked="false">
              <v:textbox inset="0,0,0,0">
                <w:txbxContent>
                  <w:p>
                    <w:pPr>
                      <w:spacing w:before="0"/>
                      <w:ind w:left="0" w:right="2" w:firstLine="0"/>
                      <w:jc w:val="left"/>
                      <w:rPr>
                        <w:sz w:val="18"/>
                      </w:rPr>
                    </w:pPr>
                    <w:r>
                      <w:rPr>
                        <w:w w:val="105"/>
                        <w:sz w:val="18"/>
                      </w:rPr>
                      <w:t>Are any projected revenues for the budget or two subsequent fiscal years contingent on reauthorization by the local government, special legislation,</w:t>
                    </w:r>
                    <w:r>
                      <w:rPr>
                        <w:spacing w:val="-10"/>
                        <w:w w:val="105"/>
                        <w:sz w:val="18"/>
                      </w:rPr>
                      <w:t> </w:t>
                    </w:r>
                    <w:r>
                      <w:rPr>
                        <w:w w:val="105"/>
                        <w:sz w:val="18"/>
                      </w:rPr>
                      <w:t>or</w:t>
                    </w:r>
                    <w:r>
                      <w:rPr>
                        <w:spacing w:val="-10"/>
                        <w:w w:val="105"/>
                        <w:sz w:val="18"/>
                      </w:rPr>
                      <w:t> </w:t>
                    </w:r>
                    <w:r>
                      <w:rPr>
                        <w:w w:val="105"/>
                        <w:sz w:val="18"/>
                      </w:rPr>
                      <w:t>other</w:t>
                    </w:r>
                    <w:r>
                      <w:rPr>
                        <w:spacing w:val="-10"/>
                        <w:w w:val="105"/>
                        <w:sz w:val="18"/>
                      </w:rPr>
                      <w:t> </w:t>
                    </w:r>
                    <w:r>
                      <w:rPr>
                        <w:w w:val="105"/>
                        <w:sz w:val="18"/>
                      </w:rPr>
                      <w:t>definitive</w:t>
                    </w:r>
                    <w:r>
                      <w:rPr>
                        <w:spacing w:val="-10"/>
                        <w:w w:val="105"/>
                        <w:sz w:val="18"/>
                      </w:rPr>
                      <w:t> </w:t>
                    </w:r>
                    <w:r>
                      <w:rPr>
                        <w:w w:val="105"/>
                        <w:sz w:val="18"/>
                      </w:rPr>
                      <w:t>act</w:t>
                    </w:r>
                    <w:r>
                      <w:rPr>
                        <w:spacing w:val="-12"/>
                        <w:w w:val="105"/>
                        <w:sz w:val="18"/>
                      </w:rPr>
                      <w:t> </w:t>
                    </w:r>
                    <w:r>
                      <w:rPr>
                        <w:w w:val="105"/>
                        <w:sz w:val="18"/>
                      </w:rPr>
                      <w:t>(e.g.,</w:t>
                    </w:r>
                    <w:r>
                      <w:rPr>
                        <w:spacing w:val="-9"/>
                        <w:w w:val="105"/>
                        <w:sz w:val="18"/>
                      </w:rPr>
                      <w:t> </w:t>
                    </w:r>
                    <w:r>
                      <w:rPr>
                        <w:w w:val="105"/>
                        <w:sz w:val="18"/>
                      </w:rPr>
                      <w:t>parcel</w:t>
                    </w:r>
                    <w:r>
                      <w:rPr>
                        <w:spacing w:val="-12"/>
                        <w:w w:val="105"/>
                        <w:sz w:val="18"/>
                      </w:rPr>
                      <w:t> </w:t>
                    </w:r>
                    <w:r>
                      <w:rPr>
                        <w:w w:val="105"/>
                        <w:sz w:val="18"/>
                      </w:rPr>
                      <w:t>taxes,</w:t>
                    </w:r>
                    <w:r>
                      <w:rPr>
                        <w:spacing w:val="-9"/>
                        <w:w w:val="105"/>
                        <w:sz w:val="18"/>
                      </w:rPr>
                      <w:t> </w:t>
                    </w:r>
                    <w:r>
                      <w:rPr>
                        <w:w w:val="105"/>
                        <w:sz w:val="18"/>
                      </w:rPr>
                      <w:t>forest</w:t>
                    </w:r>
                    <w:r>
                      <w:rPr>
                        <w:spacing w:val="-10"/>
                        <w:w w:val="105"/>
                        <w:sz w:val="18"/>
                      </w:rPr>
                      <w:t> </w:t>
                    </w:r>
                    <w:r>
                      <w:rPr>
                        <w:w w:val="105"/>
                        <w:sz w:val="18"/>
                      </w:rPr>
                      <w:t>reserves)?</w:t>
                    </w:r>
                  </w:p>
                </w:txbxContent>
              </v:textbox>
              <w10:wrap type="none"/>
            </v:shape>
            <v:shape style="position:absolute;left:10598;top:3532;width:145;height:209" type="#_x0000_t202" filled="false" stroked="false">
              <v:textbox inset="0,0,0,0">
                <w:txbxContent>
                  <w:p>
                    <w:pPr>
                      <w:spacing w:before="0"/>
                      <w:ind w:left="0" w:right="0" w:firstLine="0"/>
                      <w:jc w:val="left"/>
                      <w:rPr>
                        <w:b/>
                        <w:sz w:val="18"/>
                      </w:rPr>
                    </w:pPr>
                    <w:r>
                      <w:rPr>
                        <w:b/>
                        <w:w w:val="103"/>
                        <w:sz w:val="18"/>
                      </w:rPr>
                      <w:t>X</w:t>
                    </w:r>
                  </w:p>
                </w:txbxContent>
              </v:textbox>
              <w10:wrap type="none"/>
            </v:shape>
            <v:shape style="position:absolute;left:1058;top:4108;width:249;height:209" type="#_x0000_t202" filled="false" stroked="false">
              <v:textbox inset="0,0,0,0">
                <w:txbxContent>
                  <w:p>
                    <w:pPr>
                      <w:spacing w:before="0"/>
                      <w:ind w:left="0" w:right="0" w:firstLine="0"/>
                      <w:jc w:val="left"/>
                      <w:rPr>
                        <w:sz w:val="18"/>
                      </w:rPr>
                    </w:pPr>
                    <w:r>
                      <w:rPr>
                        <w:w w:val="105"/>
                        <w:sz w:val="18"/>
                      </w:rPr>
                      <w:t>S5</w:t>
                    </w:r>
                  </w:p>
                </w:txbxContent>
              </v:textbox>
              <w10:wrap type="none"/>
            </v:shape>
            <v:shape style="position:absolute;left:1785;top:4108;width:1116;height:209" type="#_x0000_t202" filled="false" stroked="false">
              <v:textbox inset="0,0,0,0">
                <w:txbxContent>
                  <w:p>
                    <w:pPr>
                      <w:spacing w:before="0"/>
                      <w:ind w:left="0" w:right="0" w:firstLine="0"/>
                      <w:jc w:val="left"/>
                      <w:rPr>
                        <w:sz w:val="18"/>
                      </w:rPr>
                    </w:pPr>
                    <w:r>
                      <w:rPr>
                        <w:sz w:val="18"/>
                      </w:rPr>
                      <w:t>Contributions</w:t>
                    </w:r>
                  </w:p>
                </w:txbxContent>
              </v:textbox>
              <w10:wrap type="none"/>
            </v:shape>
            <v:shape style="position:absolute;left:4380;top:4108;width:5227;height:836" type="#_x0000_t202" filled="false" stroked="false">
              <v:textbox inset="0,0,0,0">
                <w:txbxContent>
                  <w:p>
                    <w:pPr>
                      <w:spacing w:before="0"/>
                      <w:ind w:left="0" w:right="0" w:firstLine="0"/>
                      <w:jc w:val="left"/>
                      <w:rPr>
                        <w:sz w:val="18"/>
                      </w:rPr>
                    </w:pPr>
                    <w:r>
                      <w:rPr>
                        <w:w w:val="105"/>
                        <w:sz w:val="18"/>
                      </w:rPr>
                      <w:t>Have</w:t>
                    </w:r>
                    <w:r>
                      <w:rPr>
                        <w:spacing w:val="-13"/>
                        <w:w w:val="105"/>
                        <w:sz w:val="18"/>
                      </w:rPr>
                      <w:t> </w:t>
                    </w:r>
                    <w:r>
                      <w:rPr>
                        <w:w w:val="105"/>
                        <w:sz w:val="18"/>
                      </w:rPr>
                      <w:t>contributions</w:t>
                    </w:r>
                    <w:r>
                      <w:rPr>
                        <w:spacing w:val="-9"/>
                        <w:w w:val="105"/>
                        <w:sz w:val="18"/>
                      </w:rPr>
                      <w:t> </w:t>
                    </w:r>
                    <w:r>
                      <w:rPr>
                        <w:w w:val="105"/>
                        <w:sz w:val="18"/>
                      </w:rPr>
                      <w:t>from</w:t>
                    </w:r>
                    <w:r>
                      <w:rPr>
                        <w:spacing w:val="-10"/>
                        <w:w w:val="105"/>
                        <w:sz w:val="18"/>
                      </w:rPr>
                      <w:t> </w:t>
                    </w:r>
                    <w:r>
                      <w:rPr>
                        <w:w w:val="105"/>
                        <w:sz w:val="18"/>
                      </w:rPr>
                      <w:t>unrestricted</w:t>
                    </w:r>
                    <w:r>
                      <w:rPr>
                        <w:spacing w:val="-12"/>
                        <w:w w:val="105"/>
                        <w:sz w:val="18"/>
                      </w:rPr>
                      <w:t> </w:t>
                    </w:r>
                    <w:r>
                      <w:rPr>
                        <w:w w:val="105"/>
                        <w:sz w:val="18"/>
                      </w:rPr>
                      <w:t>to</w:t>
                    </w:r>
                    <w:r>
                      <w:rPr>
                        <w:spacing w:val="-11"/>
                        <w:w w:val="105"/>
                        <w:sz w:val="18"/>
                      </w:rPr>
                      <w:t> </w:t>
                    </w:r>
                    <w:r>
                      <w:rPr>
                        <w:w w:val="105"/>
                        <w:sz w:val="18"/>
                      </w:rPr>
                      <w:t>restricted</w:t>
                    </w:r>
                    <w:r>
                      <w:rPr>
                        <w:spacing w:val="-10"/>
                        <w:w w:val="105"/>
                        <w:sz w:val="18"/>
                      </w:rPr>
                      <w:t> </w:t>
                    </w:r>
                    <w:r>
                      <w:rPr>
                        <w:w w:val="105"/>
                        <w:sz w:val="18"/>
                      </w:rPr>
                      <w:t>resources,</w:t>
                    </w:r>
                    <w:r>
                      <w:rPr>
                        <w:spacing w:val="-10"/>
                        <w:w w:val="105"/>
                        <w:sz w:val="18"/>
                      </w:rPr>
                      <w:t> </w:t>
                    </w:r>
                    <w:r>
                      <w:rPr>
                        <w:w w:val="105"/>
                        <w:sz w:val="18"/>
                      </w:rPr>
                      <w:t>or transfers</w:t>
                    </w:r>
                    <w:r>
                      <w:rPr>
                        <w:spacing w:val="-9"/>
                        <w:w w:val="105"/>
                        <w:sz w:val="18"/>
                      </w:rPr>
                      <w:t> </w:t>
                    </w:r>
                    <w:r>
                      <w:rPr>
                        <w:w w:val="105"/>
                        <w:sz w:val="18"/>
                      </w:rPr>
                      <w:t>to</w:t>
                    </w:r>
                    <w:r>
                      <w:rPr>
                        <w:spacing w:val="-9"/>
                        <w:w w:val="105"/>
                        <w:sz w:val="18"/>
                      </w:rPr>
                      <w:t> </w:t>
                    </w:r>
                    <w:r>
                      <w:rPr>
                        <w:w w:val="105"/>
                        <w:sz w:val="18"/>
                      </w:rPr>
                      <w:t>or</w:t>
                    </w:r>
                    <w:r>
                      <w:rPr>
                        <w:spacing w:val="-9"/>
                        <w:w w:val="105"/>
                        <w:sz w:val="18"/>
                      </w:rPr>
                      <w:t> </w:t>
                    </w:r>
                    <w:r>
                      <w:rPr>
                        <w:w w:val="105"/>
                        <w:sz w:val="18"/>
                      </w:rPr>
                      <w:t>from</w:t>
                    </w:r>
                    <w:r>
                      <w:rPr>
                        <w:spacing w:val="-7"/>
                        <w:w w:val="105"/>
                        <w:sz w:val="18"/>
                      </w:rPr>
                      <w:t> </w:t>
                    </w:r>
                    <w:r>
                      <w:rPr>
                        <w:w w:val="105"/>
                        <w:sz w:val="18"/>
                      </w:rPr>
                      <w:t>the</w:t>
                    </w:r>
                    <w:r>
                      <w:rPr>
                        <w:spacing w:val="-10"/>
                        <w:w w:val="105"/>
                        <w:sz w:val="18"/>
                      </w:rPr>
                      <w:t> </w:t>
                    </w:r>
                    <w:r>
                      <w:rPr>
                        <w:w w:val="105"/>
                        <w:sz w:val="18"/>
                      </w:rPr>
                      <w:t>general</w:t>
                    </w:r>
                    <w:r>
                      <w:rPr>
                        <w:spacing w:val="-9"/>
                        <w:w w:val="105"/>
                        <w:sz w:val="18"/>
                      </w:rPr>
                      <w:t> </w:t>
                    </w:r>
                    <w:r>
                      <w:rPr>
                        <w:w w:val="105"/>
                        <w:sz w:val="18"/>
                      </w:rPr>
                      <w:t>fund</w:t>
                    </w:r>
                    <w:r>
                      <w:rPr>
                        <w:spacing w:val="-7"/>
                        <w:w w:val="105"/>
                        <w:sz w:val="18"/>
                      </w:rPr>
                      <w:t> </w:t>
                    </w:r>
                    <w:r>
                      <w:rPr>
                        <w:w w:val="105"/>
                        <w:sz w:val="18"/>
                      </w:rPr>
                      <w:t>to</w:t>
                    </w:r>
                    <w:r>
                      <w:rPr>
                        <w:spacing w:val="-10"/>
                        <w:w w:val="105"/>
                        <w:sz w:val="18"/>
                      </w:rPr>
                      <w:t> </w:t>
                    </w:r>
                    <w:r>
                      <w:rPr>
                        <w:w w:val="105"/>
                        <w:sz w:val="18"/>
                      </w:rPr>
                      <w:t>cover</w:t>
                    </w:r>
                    <w:r>
                      <w:rPr>
                        <w:spacing w:val="-7"/>
                        <w:w w:val="105"/>
                        <w:sz w:val="18"/>
                      </w:rPr>
                      <w:t> </w:t>
                    </w:r>
                    <w:r>
                      <w:rPr>
                        <w:w w:val="105"/>
                        <w:sz w:val="18"/>
                      </w:rPr>
                      <w:t>operating</w:t>
                    </w:r>
                    <w:r>
                      <w:rPr>
                        <w:spacing w:val="-10"/>
                        <w:w w:val="105"/>
                        <w:sz w:val="18"/>
                      </w:rPr>
                      <w:t> </w:t>
                    </w:r>
                    <w:r>
                      <w:rPr>
                        <w:w w:val="105"/>
                        <w:sz w:val="18"/>
                      </w:rPr>
                      <w:t>deficits, changed by more than the standard for the budget or two subsequent fiscal</w:t>
                    </w:r>
                    <w:r>
                      <w:rPr>
                        <w:spacing w:val="-2"/>
                        <w:w w:val="105"/>
                        <w:sz w:val="18"/>
                      </w:rPr>
                      <w:t> </w:t>
                    </w:r>
                    <w:r>
                      <w:rPr>
                        <w:w w:val="105"/>
                        <w:sz w:val="18"/>
                      </w:rPr>
                      <w:t>years?</w:t>
                    </w:r>
                  </w:p>
                </w:txbxContent>
              </v:textbox>
              <w10:wrap type="none"/>
            </v:shape>
            <v:shape style="position:absolute;left:11260;top:4500;width:145;height:209" type="#_x0000_t202" filled="false" stroked="false">
              <v:textbox inset="0,0,0,0">
                <w:txbxContent>
                  <w:p>
                    <w:pPr>
                      <w:spacing w:before="0"/>
                      <w:ind w:left="0" w:right="0" w:firstLine="0"/>
                      <w:jc w:val="left"/>
                      <w:rPr>
                        <w:b/>
                        <w:sz w:val="18"/>
                      </w:rPr>
                    </w:pPr>
                    <w:r>
                      <w:rPr>
                        <w:b/>
                        <w:w w:val="103"/>
                        <w:sz w:val="18"/>
                      </w:rPr>
                      <w:t>X</w:t>
                    </w:r>
                  </w:p>
                </w:txbxContent>
              </v:textbox>
              <w10:wrap type="none"/>
            </v:shape>
            <w10:wrap type="topAndBottom"/>
          </v:group>
        </w:pict>
      </w:r>
    </w:p>
    <w:p>
      <w:pPr>
        <w:spacing w:after="0"/>
        <w:rPr>
          <w:sz w:val="29"/>
        </w:rPr>
        <w:sectPr>
          <w:type w:val="continuous"/>
          <w:pgSz w:w="12240" w:h="15840"/>
          <w:pgMar w:top="1500" w:bottom="840" w:left="160" w:right="180"/>
        </w:sectPr>
      </w:pPr>
    </w:p>
    <w:p>
      <w:pPr>
        <w:pStyle w:val="BodyText"/>
        <w:rPr>
          <w:sz w:val="20"/>
        </w:rPr>
      </w:pPr>
    </w:p>
    <w:p>
      <w:pPr>
        <w:pStyle w:val="BodyText"/>
        <w:spacing w:before="1"/>
        <w:rPr>
          <w:sz w:val="20"/>
        </w:rPr>
      </w:pPr>
    </w:p>
    <w:p>
      <w:pPr>
        <w:tabs>
          <w:tab w:pos="10375" w:val="left" w:leader="none"/>
          <w:tab w:pos="10999" w:val="left" w:leader="none"/>
        </w:tabs>
        <w:spacing w:before="0"/>
        <w:ind w:left="682" w:right="0" w:firstLine="0"/>
        <w:jc w:val="left"/>
        <w:rPr>
          <w:b/>
          <w:sz w:val="18"/>
        </w:rPr>
      </w:pPr>
      <w:r>
        <w:rPr/>
        <w:pict>
          <v:group style="position:absolute;margin-left:39.959999pt;margin-top:-14.238081pt;width:542.9pt;height:332.05pt;mso-position-horizontal-relative:page;mso-position-vertical-relative:paragraph;z-index:-314665984" coordorigin="799,-285" coordsize="10858,6641">
            <v:shape style="position:absolute;left:799;top:-285;width:5847;height:502" type="#_x0000_t75" stroked="false">
              <v:imagedata r:id="rId39" o:title=""/>
            </v:shape>
            <v:shape style="position:absolute;left:6638;top:-285;width:5019;height:502" type="#_x0000_t75" stroked="false">
              <v:imagedata r:id="rId40" o:title=""/>
            </v:shape>
            <v:shape style="position:absolute;left:799;top:209;width:744;height:497" type="#_x0000_t75" stroked="false">
              <v:imagedata r:id="rId41" o:title=""/>
            </v:shape>
            <v:shape style="position:absolute;left:799;top:209;width:10858;height:1263" type="#_x0000_t75" stroked="false">
              <v:imagedata r:id="rId42" o:title=""/>
            </v:shape>
            <v:shape style="position:absolute;left:1536;top:704;width:10121;height:1272" type="#_x0000_t75" stroked="false">
              <v:imagedata r:id="rId43" o:title=""/>
            </v:shape>
            <v:shape style="position:absolute;left:799;top:1464;width:744;height:512" type="#_x0000_t75" stroked="false">
              <v:imagedata r:id="rId44" o:title=""/>
            </v:shape>
            <v:shape style="position:absolute;left:4336;top:1464;width:7320;height:516" type="#_x0000_t75" stroked="false">
              <v:imagedata r:id="rId45" o:title=""/>
            </v:shape>
            <v:shape style="position:absolute;left:10324;top:1973;width:1332;height:545" type="#_x0000_t75" stroked="false">
              <v:imagedata r:id="rId46" o:title=""/>
            </v:shape>
            <v:shape style="position:absolute;left:799;top:1973;width:744;height:1316" type="#_x0000_t75" stroked="false">
              <v:imagedata r:id="rId47" o:title=""/>
            </v:shape>
            <v:shape style="position:absolute;left:1536;top:1973;width:10121;height:1316" type="#_x0000_t75" stroked="false">
              <v:imagedata r:id="rId48" o:title=""/>
            </v:shape>
            <v:shape style="position:absolute;left:10324;top:2787;width:1332;height:1013" type="#_x0000_t75" stroked="false">
              <v:imagedata r:id="rId49" o:title=""/>
            </v:shape>
            <v:shape style="position:absolute;left:10324;top:3552;width:1332;height:488" type="#_x0000_t75" stroked="false">
              <v:imagedata r:id="rId50" o:title=""/>
            </v:shape>
            <v:shape style="position:absolute;left:799;top:3281;width:3826;height:1517" type="#_x0000_t75" stroked="false">
              <v:imagedata r:id="rId51" o:title=""/>
            </v:shape>
            <v:shape style="position:absolute;left:4617;top:3792;width:7040;height:1006" type="#_x0000_t75" stroked="false">
              <v:imagedata r:id="rId52" o:title=""/>
            </v:shape>
            <v:shape style="position:absolute;left:10324;top:4316;width:1332;height:850" type="#_x0000_t75" stroked="false">
              <v:imagedata r:id="rId53" o:title=""/>
            </v:shape>
            <v:shape style="position:absolute;left:799;top:4316;width:3339;height:2040" type="#_x0000_t75" stroked="false">
              <v:imagedata r:id="rId54" o:title=""/>
            </v:shape>
            <v:shape style="position:absolute;left:4130;top:4796;width:7527;height:1560" type="#_x0000_t75" stroked="false">
              <v:imagedata r:id="rId55" o:title=""/>
            </v:shape>
            <v:shape style="position:absolute;left:10987;top:5163;width:670;height:1193" type="#_x0000_t75" stroked="false">
              <v:imagedata r:id="rId56" o:title=""/>
            </v:shape>
            <w10:wrap type="none"/>
          </v:group>
        </w:pict>
      </w:r>
      <w:r>
        <w:rPr>
          <w:b/>
          <w:w w:val="105"/>
          <w:sz w:val="18"/>
        </w:rPr>
        <w:t>SUPPLEMENTAL</w:t>
      </w:r>
      <w:r>
        <w:rPr>
          <w:b/>
          <w:spacing w:val="-16"/>
          <w:w w:val="105"/>
          <w:sz w:val="18"/>
        </w:rPr>
        <w:t> </w:t>
      </w:r>
      <w:r>
        <w:rPr>
          <w:b/>
          <w:w w:val="105"/>
          <w:sz w:val="18"/>
        </w:rPr>
        <w:t>INFORMATION</w:t>
      </w:r>
      <w:r>
        <w:rPr>
          <w:b/>
          <w:spacing w:val="-18"/>
          <w:w w:val="105"/>
          <w:sz w:val="18"/>
        </w:rPr>
        <w:t> </w:t>
      </w:r>
      <w:r>
        <w:rPr>
          <w:b/>
          <w:w w:val="105"/>
          <w:sz w:val="18"/>
        </w:rPr>
        <w:t>(continued)</w:t>
        <w:tab/>
        <w:t>No</w:t>
        <w:tab/>
        <w:t>Yes</w:t>
      </w:r>
    </w:p>
    <w:p>
      <w:pPr>
        <w:tabs>
          <w:tab w:pos="1625" w:val="left" w:leader="none"/>
          <w:tab w:pos="4219" w:val="left" w:leader="none"/>
        </w:tabs>
        <w:spacing w:line="178" w:lineRule="exact" w:before="7"/>
        <w:ind w:left="898" w:right="0" w:firstLine="0"/>
        <w:jc w:val="left"/>
        <w:rPr>
          <w:sz w:val="18"/>
        </w:rPr>
      </w:pPr>
      <w:r>
        <w:rPr>
          <w:w w:val="105"/>
          <w:sz w:val="18"/>
        </w:rPr>
        <w:t>S6</w:t>
        <w:tab/>
        <w:t>Long-term</w:t>
      </w:r>
      <w:r>
        <w:rPr>
          <w:spacing w:val="-13"/>
          <w:w w:val="105"/>
          <w:sz w:val="18"/>
        </w:rPr>
        <w:t> </w:t>
      </w:r>
      <w:r>
        <w:rPr>
          <w:w w:val="105"/>
          <w:sz w:val="18"/>
        </w:rPr>
        <w:t>Commitments</w:t>
        <w:tab/>
        <w:t>Does the district have long-term (multiyear) commitments or</w:t>
      </w:r>
      <w:r>
        <w:rPr>
          <w:spacing w:val="-22"/>
          <w:w w:val="105"/>
          <w:sz w:val="18"/>
        </w:rPr>
        <w:t> </w:t>
      </w:r>
      <w:r>
        <w:rPr>
          <w:w w:val="105"/>
          <w:sz w:val="18"/>
        </w:rPr>
        <w:t>debt</w:t>
      </w:r>
    </w:p>
    <w:p>
      <w:pPr>
        <w:tabs>
          <w:tab w:pos="11100" w:val="left" w:leader="none"/>
        </w:tabs>
        <w:spacing w:line="238" w:lineRule="exact" w:before="0"/>
        <w:ind w:left="4220" w:right="0" w:firstLine="0"/>
        <w:jc w:val="left"/>
        <w:rPr>
          <w:b/>
          <w:sz w:val="18"/>
        </w:rPr>
      </w:pPr>
      <w:r>
        <w:rPr>
          <w:w w:val="105"/>
          <w:sz w:val="18"/>
        </w:rPr>
        <w:t>agreements?</w:t>
        <w:tab/>
      </w:r>
      <w:r>
        <w:rPr>
          <w:b/>
          <w:w w:val="105"/>
          <w:position w:val="6"/>
          <w:sz w:val="18"/>
        </w:rPr>
        <w:t>X</w:t>
      </w:r>
    </w:p>
    <w:p>
      <w:pPr>
        <w:pStyle w:val="ListParagraph"/>
        <w:numPr>
          <w:ilvl w:val="1"/>
          <w:numId w:val="2"/>
        </w:numPr>
        <w:tabs>
          <w:tab w:pos="4500" w:val="left" w:leader="none"/>
          <w:tab w:pos="4501" w:val="left" w:leader="none"/>
        </w:tabs>
        <w:spacing w:line="240" w:lineRule="auto" w:before="78" w:after="0"/>
        <w:ind w:left="4500" w:right="0" w:hanging="281"/>
        <w:jc w:val="left"/>
        <w:rPr>
          <w:sz w:val="18"/>
        </w:rPr>
      </w:pPr>
      <w:r>
        <w:rPr>
          <w:w w:val="105"/>
          <w:sz w:val="18"/>
        </w:rPr>
        <w:t>If yes, have annual payments for the budget or two</w:t>
      </w:r>
      <w:r>
        <w:rPr>
          <w:spacing w:val="-23"/>
          <w:w w:val="105"/>
          <w:sz w:val="18"/>
        </w:rPr>
        <w:t> </w:t>
      </w:r>
      <w:r>
        <w:rPr>
          <w:w w:val="105"/>
          <w:sz w:val="18"/>
        </w:rPr>
        <w:t>subsequent</w:t>
      </w:r>
    </w:p>
    <w:p>
      <w:pPr>
        <w:spacing w:after="0" w:line="240" w:lineRule="auto"/>
        <w:jc w:val="left"/>
        <w:rPr>
          <w:sz w:val="18"/>
        </w:rPr>
        <w:sectPr>
          <w:pgSz w:w="12240" w:h="15840"/>
          <w:pgMar w:header="676" w:footer="649" w:top="1500" w:bottom="840" w:left="160" w:right="180"/>
        </w:sectPr>
      </w:pPr>
    </w:p>
    <w:p>
      <w:pPr>
        <w:pStyle w:val="BodyText"/>
        <w:rPr>
          <w:sz w:val="20"/>
        </w:rPr>
      </w:pPr>
    </w:p>
    <w:p>
      <w:pPr>
        <w:pStyle w:val="BodyText"/>
        <w:spacing w:before="2"/>
        <w:rPr>
          <w:sz w:val="28"/>
        </w:rPr>
      </w:pPr>
    </w:p>
    <w:p>
      <w:pPr>
        <w:tabs>
          <w:tab w:pos="1625" w:val="left" w:leader="none"/>
        </w:tabs>
        <w:spacing w:before="0"/>
        <w:ind w:left="1625" w:right="0" w:hanging="780"/>
        <w:jc w:val="left"/>
        <w:rPr>
          <w:sz w:val="18"/>
        </w:rPr>
      </w:pPr>
      <w:r>
        <w:rPr>
          <w:w w:val="105"/>
          <w:sz w:val="18"/>
        </w:rPr>
        <w:t>S7a</w:t>
        <w:tab/>
        <w:t>Postemployment</w:t>
      </w:r>
      <w:r>
        <w:rPr>
          <w:spacing w:val="-20"/>
          <w:w w:val="105"/>
          <w:sz w:val="18"/>
        </w:rPr>
        <w:t> </w:t>
      </w:r>
      <w:r>
        <w:rPr>
          <w:spacing w:val="-3"/>
          <w:w w:val="105"/>
          <w:sz w:val="18"/>
        </w:rPr>
        <w:t>Benefits </w:t>
      </w:r>
      <w:r>
        <w:rPr>
          <w:w w:val="105"/>
          <w:sz w:val="18"/>
        </w:rPr>
        <w:t>Other than</w:t>
      </w:r>
      <w:r>
        <w:rPr>
          <w:spacing w:val="-6"/>
          <w:w w:val="105"/>
          <w:sz w:val="18"/>
        </w:rPr>
        <w:t> </w:t>
      </w:r>
      <w:r>
        <w:rPr>
          <w:w w:val="105"/>
          <w:sz w:val="18"/>
        </w:rPr>
        <w:t>Pensions</w:t>
      </w:r>
    </w:p>
    <w:p>
      <w:pPr>
        <w:pStyle w:val="BodyText"/>
        <w:rPr>
          <w:sz w:val="20"/>
        </w:rPr>
      </w:pPr>
    </w:p>
    <w:p>
      <w:pPr>
        <w:pStyle w:val="BodyText"/>
        <w:rPr>
          <w:sz w:val="20"/>
        </w:rPr>
      </w:pPr>
    </w:p>
    <w:p>
      <w:pPr>
        <w:pStyle w:val="BodyText"/>
        <w:rPr>
          <w:sz w:val="20"/>
        </w:rPr>
      </w:pPr>
    </w:p>
    <w:p>
      <w:pPr>
        <w:pStyle w:val="BodyText"/>
        <w:rPr>
          <w:sz w:val="19"/>
        </w:rPr>
      </w:pPr>
    </w:p>
    <w:p>
      <w:pPr>
        <w:tabs>
          <w:tab w:pos="1225" w:val="left" w:leader="none"/>
        </w:tabs>
        <w:spacing w:before="0"/>
        <w:ind w:left="445" w:right="0" w:firstLine="0"/>
        <w:jc w:val="center"/>
        <w:rPr>
          <w:sz w:val="18"/>
        </w:rPr>
      </w:pPr>
      <w:r>
        <w:rPr>
          <w:w w:val="105"/>
          <w:sz w:val="18"/>
        </w:rPr>
        <w:t>S7b</w:t>
        <w:tab/>
        <w:t>Other</w:t>
      </w:r>
      <w:r>
        <w:rPr>
          <w:spacing w:val="-30"/>
          <w:w w:val="105"/>
          <w:sz w:val="18"/>
        </w:rPr>
        <w:t> </w:t>
      </w:r>
      <w:r>
        <w:rPr>
          <w:w w:val="105"/>
          <w:sz w:val="18"/>
        </w:rPr>
        <w:t>Self-insurance</w:t>
      </w:r>
    </w:p>
    <w:p>
      <w:pPr>
        <w:spacing w:before="2"/>
        <w:ind w:left="187" w:right="0" w:firstLine="0"/>
        <w:jc w:val="center"/>
        <w:rPr>
          <w:sz w:val="18"/>
        </w:rPr>
      </w:pPr>
      <w:r>
        <w:rPr>
          <w:w w:val="105"/>
          <w:sz w:val="18"/>
        </w:rPr>
        <w:t>Benefits</w:t>
      </w:r>
    </w:p>
    <w:p>
      <w:pPr>
        <w:tabs>
          <w:tab w:pos="6661" w:val="left" w:leader="none"/>
        </w:tabs>
        <w:spacing w:line="163" w:lineRule="auto" w:before="34"/>
        <w:ind w:left="724" w:right="0" w:firstLine="0"/>
        <w:jc w:val="left"/>
        <w:rPr>
          <w:b/>
          <w:sz w:val="18"/>
        </w:rPr>
      </w:pPr>
      <w:r>
        <w:rPr/>
        <w:br w:type="column"/>
      </w:r>
      <w:r>
        <w:rPr>
          <w:w w:val="105"/>
          <w:sz w:val="18"/>
        </w:rPr>
        <w:t>fiscal</w:t>
      </w:r>
      <w:r>
        <w:rPr>
          <w:spacing w:val="-11"/>
          <w:w w:val="105"/>
          <w:sz w:val="18"/>
        </w:rPr>
        <w:t> </w:t>
      </w:r>
      <w:r>
        <w:rPr>
          <w:w w:val="105"/>
          <w:sz w:val="18"/>
        </w:rPr>
        <w:t>years</w:t>
      </w:r>
      <w:r>
        <w:rPr>
          <w:spacing w:val="-11"/>
          <w:w w:val="105"/>
          <w:sz w:val="18"/>
        </w:rPr>
        <w:t> </w:t>
      </w:r>
      <w:r>
        <w:rPr>
          <w:w w:val="105"/>
          <w:sz w:val="18"/>
        </w:rPr>
        <w:t>increased</w:t>
      </w:r>
      <w:r>
        <w:rPr>
          <w:spacing w:val="-12"/>
          <w:w w:val="105"/>
          <w:sz w:val="18"/>
        </w:rPr>
        <w:t> </w:t>
      </w:r>
      <w:r>
        <w:rPr>
          <w:w w:val="105"/>
          <w:sz w:val="18"/>
        </w:rPr>
        <w:t>over</w:t>
      </w:r>
      <w:r>
        <w:rPr>
          <w:spacing w:val="-9"/>
          <w:w w:val="105"/>
          <w:sz w:val="18"/>
        </w:rPr>
        <w:t> </w:t>
      </w:r>
      <w:r>
        <w:rPr>
          <w:w w:val="105"/>
          <w:sz w:val="18"/>
        </w:rPr>
        <w:t>prior</w:t>
      </w:r>
      <w:r>
        <w:rPr>
          <w:spacing w:val="-11"/>
          <w:w w:val="105"/>
          <w:sz w:val="18"/>
        </w:rPr>
        <w:t> </w:t>
      </w:r>
      <w:r>
        <w:rPr>
          <w:w w:val="105"/>
          <w:sz w:val="18"/>
        </w:rPr>
        <w:t>year's</w:t>
      </w:r>
      <w:r>
        <w:rPr>
          <w:spacing w:val="-11"/>
          <w:w w:val="105"/>
          <w:sz w:val="18"/>
        </w:rPr>
        <w:t> </w:t>
      </w:r>
      <w:r>
        <w:rPr>
          <w:w w:val="105"/>
          <w:sz w:val="18"/>
        </w:rPr>
        <w:t>(2020-21)</w:t>
      </w:r>
      <w:r>
        <w:rPr>
          <w:spacing w:val="-11"/>
          <w:w w:val="105"/>
          <w:sz w:val="18"/>
        </w:rPr>
        <w:t> </w:t>
      </w:r>
      <w:r>
        <w:rPr>
          <w:w w:val="105"/>
          <w:sz w:val="18"/>
        </w:rPr>
        <w:t>annual</w:t>
        <w:tab/>
      </w:r>
      <w:r>
        <w:rPr>
          <w:b/>
          <w:w w:val="105"/>
          <w:position w:val="-6"/>
          <w:sz w:val="18"/>
        </w:rPr>
        <w:t>X</w:t>
      </w:r>
    </w:p>
    <w:p>
      <w:pPr>
        <w:spacing w:line="173" w:lineRule="exact" w:before="0"/>
        <w:ind w:left="724" w:right="0" w:firstLine="0"/>
        <w:jc w:val="left"/>
        <w:rPr>
          <w:sz w:val="18"/>
        </w:rPr>
      </w:pPr>
      <w:r>
        <w:rPr>
          <w:w w:val="105"/>
          <w:sz w:val="18"/>
        </w:rPr>
        <w:t>payment?</w:t>
      </w:r>
    </w:p>
    <w:p>
      <w:pPr>
        <w:spacing w:line="178" w:lineRule="exact" w:before="136"/>
        <w:ind w:left="443" w:right="0" w:firstLine="0"/>
        <w:jc w:val="left"/>
        <w:rPr>
          <w:sz w:val="18"/>
        </w:rPr>
      </w:pPr>
      <w:r>
        <w:rPr>
          <w:w w:val="105"/>
          <w:sz w:val="18"/>
        </w:rPr>
        <w:t>Does the district provide postemployment benefits other than</w:t>
      </w:r>
    </w:p>
    <w:p>
      <w:pPr>
        <w:tabs>
          <w:tab w:pos="6661" w:val="left" w:leader="none"/>
        </w:tabs>
        <w:spacing w:line="238" w:lineRule="exact" w:before="0"/>
        <w:ind w:left="443" w:right="0" w:firstLine="0"/>
        <w:jc w:val="left"/>
        <w:rPr>
          <w:b/>
          <w:sz w:val="18"/>
        </w:rPr>
      </w:pPr>
      <w:r>
        <w:rPr>
          <w:w w:val="105"/>
          <w:sz w:val="18"/>
        </w:rPr>
        <w:t>pensions</w:t>
      </w:r>
      <w:r>
        <w:rPr>
          <w:spacing w:val="-9"/>
          <w:w w:val="105"/>
          <w:sz w:val="18"/>
        </w:rPr>
        <w:t> </w:t>
      </w:r>
      <w:r>
        <w:rPr>
          <w:w w:val="105"/>
          <w:sz w:val="18"/>
        </w:rPr>
        <w:t>(OPEB)?</w:t>
        <w:tab/>
      </w:r>
      <w:r>
        <w:rPr>
          <w:b/>
          <w:w w:val="105"/>
          <w:position w:val="6"/>
          <w:sz w:val="18"/>
        </w:rPr>
        <w:t>X</w:t>
      </w:r>
    </w:p>
    <w:p>
      <w:pPr>
        <w:pStyle w:val="ListParagraph"/>
        <w:numPr>
          <w:ilvl w:val="0"/>
          <w:numId w:val="3"/>
        </w:numPr>
        <w:tabs>
          <w:tab w:pos="724" w:val="left" w:leader="none"/>
          <w:tab w:pos="725" w:val="left" w:leader="none"/>
          <w:tab w:pos="6589" w:val="left" w:leader="none"/>
        </w:tabs>
        <w:spacing w:line="240" w:lineRule="auto" w:before="93" w:after="0"/>
        <w:ind w:left="724" w:right="0" w:hanging="282"/>
        <w:jc w:val="left"/>
        <w:rPr>
          <w:b/>
          <w:sz w:val="18"/>
        </w:rPr>
      </w:pPr>
      <w:r>
        <w:rPr>
          <w:w w:val="105"/>
          <w:sz w:val="18"/>
        </w:rPr>
        <w:t>If yes, are they</w:t>
      </w:r>
      <w:r>
        <w:rPr>
          <w:spacing w:val="-28"/>
          <w:w w:val="105"/>
          <w:sz w:val="18"/>
        </w:rPr>
        <w:t> </w:t>
      </w:r>
      <w:r>
        <w:rPr>
          <w:w w:val="105"/>
          <w:sz w:val="18"/>
        </w:rPr>
        <w:t>lifetime</w:t>
      </w:r>
      <w:r>
        <w:rPr>
          <w:spacing w:val="-8"/>
          <w:w w:val="105"/>
          <w:sz w:val="18"/>
        </w:rPr>
        <w:t> </w:t>
      </w:r>
      <w:r>
        <w:rPr>
          <w:w w:val="105"/>
          <w:sz w:val="18"/>
        </w:rPr>
        <w:t>benefits?</w:t>
        <w:tab/>
      </w:r>
      <w:r>
        <w:rPr>
          <w:b/>
          <w:w w:val="105"/>
          <w:position w:val="-2"/>
          <w:sz w:val="18"/>
        </w:rPr>
        <w:t>n/a</w:t>
      </w:r>
    </w:p>
    <w:p>
      <w:pPr>
        <w:pStyle w:val="ListParagraph"/>
        <w:numPr>
          <w:ilvl w:val="0"/>
          <w:numId w:val="3"/>
        </w:numPr>
        <w:tabs>
          <w:tab w:pos="724" w:val="left" w:leader="none"/>
          <w:tab w:pos="725" w:val="left" w:leader="none"/>
          <w:tab w:pos="6589" w:val="left" w:leader="none"/>
        </w:tabs>
        <w:spacing w:line="240" w:lineRule="auto" w:before="34" w:after="0"/>
        <w:ind w:left="724" w:right="0" w:hanging="282"/>
        <w:jc w:val="left"/>
        <w:rPr>
          <w:b/>
          <w:sz w:val="18"/>
        </w:rPr>
      </w:pPr>
      <w:r>
        <w:rPr>
          <w:w w:val="105"/>
          <w:sz w:val="18"/>
        </w:rPr>
        <w:t>If</w:t>
      </w:r>
      <w:r>
        <w:rPr>
          <w:spacing w:val="-7"/>
          <w:w w:val="105"/>
          <w:sz w:val="18"/>
        </w:rPr>
        <w:t> </w:t>
      </w:r>
      <w:r>
        <w:rPr>
          <w:w w:val="105"/>
          <w:sz w:val="18"/>
        </w:rPr>
        <w:t>yes,</w:t>
      </w:r>
      <w:r>
        <w:rPr>
          <w:spacing w:val="-7"/>
          <w:w w:val="105"/>
          <w:sz w:val="18"/>
        </w:rPr>
        <w:t> </w:t>
      </w:r>
      <w:r>
        <w:rPr>
          <w:w w:val="105"/>
          <w:sz w:val="18"/>
        </w:rPr>
        <w:t>do</w:t>
      </w:r>
      <w:r>
        <w:rPr>
          <w:spacing w:val="-10"/>
          <w:w w:val="105"/>
          <w:sz w:val="18"/>
        </w:rPr>
        <w:t> </w:t>
      </w:r>
      <w:r>
        <w:rPr>
          <w:w w:val="105"/>
          <w:sz w:val="18"/>
        </w:rPr>
        <w:t>benefits</w:t>
      </w:r>
      <w:r>
        <w:rPr>
          <w:spacing w:val="-6"/>
          <w:w w:val="105"/>
          <w:sz w:val="18"/>
        </w:rPr>
        <w:t> </w:t>
      </w:r>
      <w:r>
        <w:rPr>
          <w:w w:val="105"/>
          <w:sz w:val="18"/>
        </w:rPr>
        <w:t>continue</w:t>
      </w:r>
      <w:r>
        <w:rPr>
          <w:spacing w:val="-10"/>
          <w:w w:val="105"/>
          <w:sz w:val="18"/>
        </w:rPr>
        <w:t> </w:t>
      </w:r>
      <w:r>
        <w:rPr>
          <w:w w:val="105"/>
          <w:sz w:val="18"/>
        </w:rPr>
        <w:t>beyond</w:t>
      </w:r>
      <w:r>
        <w:rPr>
          <w:spacing w:val="-8"/>
          <w:w w:val="105"/>
          <w:sz w:val="18"/>
        </w:rPr>
        <w:t> </w:t>
      </w:r>
      <w:r>
        <w:rPr>
          <w:w w:val="105"/>
          <w:sz w:val="18"/>
        </w:rPr>
        <w:t>age</w:t>
      </w:r>
      <w:r>
        <w:rPr>
          <w:spacing w:val="-7"/>
          <w:w w:val="105"/>
          <w:sz w:val="18"/>
        </w:rPr>
        <w:t> </w:t>
      </w:r>
      <w:r>
        <w:rPr>
          <w:w w:val="105"/>
          <w:sz w:val="18"/>
        </w:rPr>
        <w:t>65?</w:t>
        <w:tab/>
      </w:r>
      <w:r>
        <w:rPr>
          <w:b/>
          <w:w w:val="105"/>
          <w:position w:val="-2"/>
          <w:sz w:val="18"/>
        </w:rPr>
        <w:t>n/a</w:t>
      </w:r>
    </w:p>
    <w:p>
      <w:pPr>
        <w:pStyle w:val="ListParagraph"/>
        <w:numPr>
          <w:ilvl w:val="0"/>
          <w:numId w:val="3"/>
        </w:numPr>
        <w:tabs>
          <w:tab w:pos="724" w:val="left" w:leader="none"/>
          <w:tab w:pos="725" w:val="left" w:leader="none"/>
          <w:tab w:pos="6589" w:val="left" w:leader="none"/>
        </w:tabs>
        <w:spacing w:line="240" w:lineRule="auto" w:before="34" w:after="0"/>
        <w:ind w:left="724" w:right="0" w:hanging="282"/>
        <w:jc w:val="left"/>
        <w:rPr>
          <w:b/>
          <w:sz w:val="18"/>
        </w:rPr>
      </w:pPr>
      <w:r>
        <w:rPr>
          <w:w w:val="105"/>
          <w:sz w:val="18"/>
        </w:rPr>
        <w:t>If</w:t>
      </w:r>
      <w:r>
        <w:rPr>
          <w:spacing w:val="-9"/>
          <w:w w:val="105"/>
          <w:sz w:val="18"/>
        </w:rPr>
        <w:t> </w:t>
      </w:r>
      <w:r>
        <w:rPr>
          <w:w w:val="105"/>
          <w:sz w:val="18"/>
        </w:rPr>
        <w:t>yes,</w:t>
      </w:r>
      <w:r>
        <w:rPr>
          <w:spacing w:val="-8"/>
          <w:w w:val="105"/>
          <w:sz w:val="18"/>
        </w:rPr>
        <w:t> </w:t>
      </w:r>
      <w:r>
        <w:rPr>
          <w:w w:val="105"/>
          <w:sz w:val="18"/>
        </w:rPr>
        <w:t>are</w:t>
      </w:r>
      <w:r>
        <w:rPr>
          <w:spacing w:val="-12"/>
          <w:w w:val="105"/>
          <w:sz w:val="18"/>
        </w:rPr>
        <w:t> </w:t>
      </w:r>
      <w:r>
        <w:rPr>
          <w:w w:val="105"/>
          <w:sz w:val="18"/>
        </w:rPr>
        <w:t>benefits</w:t>
      </w:r>
      <w:r>
        <w:rPr>
          <w:spacing w:val="-8"/>
          <w:w w:val="105"/>
          <w:sz w:val="18"/>
        </w:rPr>
        <w:t> </w:t>
      </w:r>
      <w:r>
        <w:rPr>
          <w:w w:val="105"/>
          <w:sz w:val="18"/>
        </w:rPr>
        <w:t>funded</w:t>
      </w:r>
      <w:r>
        <w:rPr>
          <w:spacing w:val="-11"/>
          <w:w w:val="105"/>
          <w:sz w:val="18"/>
        </w:rPr>
        <w:t> </w:t>
      </w:r>
      <w:r>
        <w:rPr>
          <w:w w:val="105"/>
          <w:sz w:val="18"/>
        </w:rPr>
        <w:t>by</w:t>
      </w:r>
      <w:r>
        <w:rPr>
          <w:spacing w:val="-13"/>
          <w:w w:val="105"/>
          <w:sz w:val="18"/>
        </w:rPr>
        <w:t> </w:t>
      </w:r>
      <w:r>
        <w:rPr>
          <w:w w:val="105"/>
          <w:sz w:val="18"/>
        </w:rPr>
        <w:t>pay-as-you-go?</w:t>
        <w:tab/>
      </w:r>
      <w:r>
        <w:rPr>
          <w:b/>
          <w:w w:val="105"/>
          <w:position w:val="-2"/>
          <w:sz w:val="18"/>
        </w:rPr>
        <w:t>n/a</w:t>
      </w:r>
    </w:p>
    <w:p>
      <w:pPr>
        <w:tabs>
          <w:tab w:pos="6661" w:val="left" w:leader="none"/>
        </w:tabs>
        <w:spacing w:line="187" w:lineRule="auto" w:before="72"/>
        <w:ind w:left="443" w:right="1334" w:firstLine="0"/>
        <w:jc w:val="left"/>
        <w:rPr>
          <w:b/>
          <w:sz w:val="18"/>
        </w:rPr>
      </w:pPr>
      <w:r>
        <w:rPr>
          <w:w w:val="105"/>
          <w:sz w:val="18"/>
        </w:rPr>
        <w:t>Does the district provide other self-insurance benefits (e.g., workers' compensation)?</w:t>
        <w:tab/>
      </w:r>
      <w:r>
        <w:rPr>
          <w:b/>
          <w:spacing w:val="-17"/>
          <w:w w:val="105"/>
          <w:position w:val="6"/>
          <w:sz w:val="18"/>
        </w:rPr>
        <w:t>X</w:t>
      </w:r>
    </w:p>
    <w:p>
      <w:pPr>
        <w:spacing w:after="0" w:line="187" w:lineRule="auto"/>
        <w:jc w:val="left"/>
        <w:rPr>
          <w:sz w:val="18"/>
        </w:rPr>
        <w:sectPr>
          <w:type w:val="continuous"/>
          <w:pgSz w:w="12240" w:h="15840"/>
          <w:pgMar w:top="1500" w:bottom="840" w:left="160" w:right="180"/>
          <w:cols w:num="2" w:equalWidth="0">
            <w:col w:w="3737" w:space="40"/>
            <w:col w:w="8123"/>
          </w:cols>
        </w:sectPr>
      </w:pPr>
    </w:p>
    <w:p>
      <w:pPr>
        <w:tabs>
          <w:tab w:pos="1625" w:val="left" w:leader="none"/>
          <w:tab w:pos="4219" w:val="left" w:leader="none"/>
        </w:tabs>
        <w:spacing w:before="74"/>
        <w:ind w:left="898" w:right="0" w:firstLine="0"/>
        <w:jc w:val="left"/>
        <w:rPr>
          <w:sz w:val="18"/>
        </w:rPr>
      </w:pPr>
      <w:r>
        <w:rPr>
          <w:w w:val="105"/>
          <w:sz w:val="18"/>
        </w:rPr>
        <w:t>S8</w:t>
        <w:tab/>
        <w:t>Status</w:t>
      </w:r>
      <w:r>
        <w:rPr>
          <w:spacing w:val="-7"/>
          <w:w w:val="105"/>
          <w:sz w:val="18"/>
        </w:rPr>
        <w:t> </w:t>
      </w:r>
      <w:r>
        <w:rPr>
          <w:w w:val="105"/>
          <w:sz w:val="18"/>
        </w:rPr>
        <w:t>of</w:t>
      </w:r>
      <w:r>
        <w:rPr>
          <w:spacing w:val="-4"/>
          <w:w w:val="105"/>
          <w:sz w:val="18"/>
        </w:rPr>
        <w:t> </w:t>
      </w:r>
      <w:r>
        <w:rPr>
          <w:w w:val="105"/>
          <w:sz w:val="18"/>
        </w:rPr>
        <w:t>Labor</w:t>
        <w:tab/>
        <w:t>Are salary and benefit negotiations still open</w:t>
      </w:r>
      <w:r>
        <w:rPr>
          <w:spacing w:val="-17"/>
          <w:w w:val="105"/>
          <w:sz w:val="18"/>
        </w:rPr>
        <w:t> </w:t>
      </w:r>
      <w:r>
        <w:rPr>
          <w:w w:val="105"/>
          <w:sz w:val="18"/>
        </w:rPr>
        <w:t>for:</w:t>
      </w:r>
    </w:p>
    <w:p>
      <w:pPr>
        <w:tabs>
          <w:tab w:pos="4219" w:val="left" w:leader="none"/>
          <w:tab w:pos="4500" w:val="left" w:leader="none"/>
          <w:tab w:pos="11100" w:val="left" w:leader="none"/>
        </w:tabs>
        <w:spacing w:before="64"/>
        <w:ind w:left="1625" w:right="0" w:firstLine="0"/>
        <w:jc w:val="left"/>
        <w:rPr>
          <w:b/>
          <w:sz w:val="18"/>
        </w:rPr>
      </w:pPr>
      <w:r>
        <w:rPr>
          <w:w w:val="105"/>
          <w:position w:val="-2"/>
          <w:sz w:val="18"/>
        </w:rPr>
        <w:t>Agreements</w:t>
        <w:tab/>
      </w:r>
      <w:r>
        <w:rPr>
          <w:w w:val="105"/>
          <w:sz w:val="18"/>
        </w:rPr>
        <w:t>•</w:t>
        <w:tab/>
        <w:t>Certificated? (Section S8A,</w:t>
      </w:r>
      <w:r>
        <w:rPr>
          <w:spacing w:val="-21"/>
          <w:w w:val="105"/>
          <w:sz w:val="18"/>
        </w:rPr>
        <w:t> </w:t>
      </w:r>
      <w:r>
        <w:rPr>
          <w:w w:val="105"/>
          <w:sz w:val="18"/>
        </w:rPr>
        <w:t>Line</w:t>
      </w:r>
      <w:r>
        <w:rPr>
          <w:spacing w:val="-9"/>
          <w:w w:val="105"/>
          <w:sz w:val="18"/>
        </w:rPr>
        <w:t> </w:t>
      </w:r>
      <w:r>
        <w:rPr>
          <w:w w:val="105"/>
          <w:sz w:val="18"/>
        </w:rPr>
        <w:t>1)</w:t>
        <w:tab/>
      </w:r>
      <w:r>
        <w:rPr>
          <w:b/>
          <w:w w:val="105"/>
          <w:position w:val="-1"/>
          <w:sz w:val="18"/>
        </w:rPr>
        <w:t>X</w:t>
      </w:r>
    </w:p>
    <w:p>
      <w:pPr>
        <w:pStyle w:val="ListParagraph"/>
        <w:numPr>
          <w:ilvl w:val="1"/>
          <w:numId w:val="3"/>
        </w:numPr>
        <w:tabs>
          <w:tab w:pos="4500" w:val="left" w:leader="none"/>
          <w:tab w:pos="4501" w:val="left" w:leader="none"/>
          <w:tab w:pos="11100" w:val="left" w:leader="none"/>
        </w:tabs>
        <w:spacing w:line="240" w:lineRule="auto" w:before="0" w:after="0"/>
        <w:ind w:left="4500" w:right="0" w:hanging="281"/>
        <w:jc w:val="left"/>
        <w:rPr>
          <w:b/>
          <w:sz w:val="18"/>
        </w:rPr>
      </w:pPr>
      <w:r>
        <w:rPr>
          <w:w w:val="105"/>
          <w:position w:val="2"/>
          <w:sz w:val="18"/>
        </w:rPr>
        <w:t>Classified? (Section S8B,</w:t>
      </w:r>
      <w:r>
        <w:rPr>
          <w:spacing w:val="-25"/>
          <w:w w:val="105"/>
          <w:position w:val="2"/>
          <w:sz w:val="18"/>
        </w:rPr>
        <w:t> </w:t>
      </w:r>
      <w:r>
        <w:rPr>
          <w:w w:val="105"/>
          <w:position w:val="2"/>
          <w:sz w:val="18"/>
        </w:rPr>
        <w:t>Line</w:t>
      </w:r>
      <w:r>
        <w:rPr>
          <w:spacing w:val="-9"/>
          <w:w w:val="105"/>
          <w:position w:val="2"/>
          <w:sz w:val="18"/>
        </w:rPr>
        <w:t> </w:t>
      </w:r>
      <w:r>
        <w:rPr>
          <w:w w:val="105"/>
          <w:position w:val="2"/>
          <w:sz w:val="18"/>
        </w:rPr>
        <w:t>1)</w:t>
        <w:tab/>
      </w:r>
      <w:r>
        <w:rPr>
          <w:b/>
          <w:w w:val="105"/>
          <w:sz w:val="18"/>
        </w:rPr>
        <w:t>X</w:t>
      </w:r>
    </w:p>
    <w:p>
      <w:pPr>
        <w:pStyle w:val="ListParagraph"/>
        <w:numPr>
          <w:ilvl w:val="1"/>
          <w:numId w:val="3"/>
        </w:numPr>
        <w:tabs>
          <w:tab w:pos="4500" w:val="left" w:leader="none"/>
          <w:tab w:pos="4501" w:val="left" w:leader="none"/>
          <w:tab w:pos="10366" w:val="left" w:leader="none"/>
        </w:tabs>
        <w:spacing w:line="240" w:lineRule="auto" w:before="16" w:after="0"/>
        <w:ind w:left="4500" w:right="0" w:hanging="281"/>
        <w:jc w:val="left"/>
        <w:rPr>
          <w:b/>
          <w:sz w:val="18"/>
        </w:rPr>
      </w:pPr>
      <w:r>
        <w:rPr>
          <w:w w:val="105"/>
          <w:sz w:val="18"/>
        </w:rPr>
        <w:t>Management/supervisor/confidential?</w:t>
      </w:r>
      <w:r>
        <w:rPr>
          <w:spacing w:val="-16"/>
          <w:w w:val="105"/>
          <w:sz w:val="18"/>
        </w:rPr>
        <w:t> </w:t>
      </w:r>
      <w:r>
        <w:rPr>
          <w:w w:val="105"/>
          <w:sz w:val="18"/>
        </w:rPr>
        <w:t>(Section</w:t>
      </w:r>
      <w:r>
        <w:rPr>
          <w:spacing w:val="-15"/>
          <w:w w:val="105"/>
          <w:sz w:val="18"/>
        </w:rPr>
        <w:t> </w:t>
      </w:r>
      <w:r>
        <w:rPr>
          <w:w w:val="105"/>
          <w:sz w:val="18"/>
        </w:rPr>
        <w:t>S8C,</w:t>
      </w:r>
      <w:r>
        <w:rPr>
          <w:spacing w:val="-15"/>
          <w:w w:val="105"/>
          <w:sz w:val="18"/>
        </w:rPr>
        <w:t> </w:t>
      </w:r>
      <w:r>
        <w:rPr>
          <w:w w:val="105"/>
          <w:sz w:val="18"/>
        </w:rPr>
        <w:t>Line</w:t>
      </w:r>
      <w:r>
        <w:rPr>
          <w:spacing w:val="-15"/>
          <w:w w:val="105"/>
          <w:sz w:val="18"/>
        </w:rPr>
        <w:t> </w:t>
      </w:r>
      <w:r>
        <w:rPr>
          <w:w w:val="105"/>
          <w:sz w:val="18"/>
        </w:rPr>
        <w:t>1)</w:t>
        <w:tab/>
      </w:r>
      <w:r>
        <w:rPr>
          <w:b/>
          <w:w w:val="105"/>
          <w:position w:val="-3"/>
          <w:sz w:val="18"/>
        </w:rPr>
        <w:t>n/a</w:t>
      </w:r>
    </w:p>
    <w:p>
      <w:pPr>
        <w:spacing w:after="0" w:line="240" w:lineRule="auto"/>
        <w:jc w:val="left"/>
        <w:rPr>
          <w:sz w:val="18"/>
        </w:rPr>
        <w:sectPr>
          <w:type w:val="continuous"/>
          <w:pgSz w:w="12240" w:h="15840"/>
          <w:pgMar w:top="1500" w:bottom="840" w:left="160" w:right="180"/>
        </w:sectPr>
      </w:pPr>
    </w:p>
    <w:p>
      <w:pPr>
        <w:tabs>
          <w:tab w:pos="1625" w:val="left" w:leader="none"/>
        </w:tabs>
        <w:spacing w:before="36"/>
        <w:ind w:left="1625" w:right="0" w:hanging="728"/>
        <w:jc w:val="left"/>
        <w:rPr>
          <w:sz w:val="18"/>
        </w:rPr>
      </w:pPr>
      <w:r>
        <w:rPr>
          <w:w w:val="105"/>
          <w:sz w:val="18"/>
        </w:rPr>
        <w:t>S9</w:t>
        <w:tab/>
        <w:t>Local Control and Accountability Plan</w:t>
      </w:r>
      <w:r>
        <w:rPr>
          <w:spacing w:val="-29"/>
          <w:w w:val="105"/>
          <w:sz w:val="18"/>
        </w:rPr>
        <w:t> </w:t>
      </w:r>
      <w:r>
        <w:rPr>
          <w:spacing w:val="-4"/>
          <w:w w:val="105"/>
          <w:sz w:val="18"/>
        </w:rPr>
        <w:t>(LCAP)</w:t>
      </w:r>
    </w:p>
    <w:p>
      <w:pPr>
        <w:pStyle w:val="ListParagraph"/>
        <w:numPr>
          <w:ilvl w:val="0"/>
          <w:numId w:val="4"/>
        </w:numPr>
        <w:tabs>
          <w:tab w:pos="603" w:val="left" w:leader="none"/>
          <w:tab w:pos="604" w:val="left" w:leader="none"/>
        </w:tabs>
        <w:spacing w:line="173" w:lineRule="exact" w:before="36" w:after="0"/>
        <w:ind w:left="603" w:right="0" w:hanging="281"/>
        <w:jc w:val="left"/>
        <w:rPr>
          <w:sz w:val="18"/>
        </w:rPr>
      </w:pPr>
      <w:r>
        <w:rPr>
          <w:w w:val="103"/>
          <w:sz w:val="18"/>
        </w:rPr>
        <w:br w:type="column"/>
      </w:r>
      <w:r>
        <w:rPr>
          <w:w w:val="105"/>
          <w:sz w:val="18"/>
        </w:rPr>
        <w:t>Did or will the school district's governing board adopt an LCAP</w:t>
      </w:r>
      <w:r>
        <w:rPr>
          <w:spacing w:val="-33"/>
          <w:w w:val="105"/>
          <w:sz w:val="18"/>
        </w:rPr>
        <w:t> </w:t>
      </w:r>
      <w:r>
        <w:rPr>
          <w:w w:val="105"/>
          <w:sz w:val="18"/>
        </w:rPr>
        <w:t>or</w:t>
      </w:r>
    </w:p>
    <w:p>
      <w:pPr>
        <w:tabs>
          <w:tab w:pos="7203" w:val="left" w:leader="none"/>
        </w:tabs>
        <w:spacing w:line="243" w:lineRule="exact" w:before="0"/>
        <w:ind w:left="603" w:right="0" w:firstLine="0"/>
        <w:jc w:val="left"/>
        <w:rPr>
          <w:b/>
          <w:sz w:val="18"/>
        </w:rPr>
      </w:pPr>
      <w:r>
        <w:rPr>
          <w:w w:val="105"/>
          <w:sz w:val="18"/>
        </w:rPr>
        <w:t>an</w:t>
      </w:r>
      <w:r>
        <w:rPr>
          <w:spacing w:val="-6"/>
          <w:w w:val="105"/>
          <w:sz w:val="18"/>
        </w:rPr>
        <w:t> </w:t>
      </w:r>
      <w:r>
        <w:rPr>
          <w:w w:val="105"/>
          <w:sz w:val="18"/>
        </w:rPr>
        <w:t>update</w:t>
      </w:r>
      <w:r>
        <w:rPr>
          <w:spacing w:val="-8"/>
          <w:w w:val="105"/>
          <w:sz w:val="18"/>
        </w:rPr>
        <w:t> </w:t>
      </w:r>
      <w:r>
        <w:rPr>
          <w:w w:val="105"/>
          <w:sz w:val="18"/>
        </w:rPr>
        <w:t>to</w:t>
      </w:r>
      <w:r>
        <w:rPr>
          <w:spacing w:val="-8"/>
          <w:w w:val="105"/>
          <w:sz w:val="18"/>
        </w:rPr>
        <w:t> </w:t>
      </w:r>
      <w:r>
        <w:rPr>
          <w:w w:val="105"/>
          <w:sz w:val="18"/>
        </w:rPr>
        <w:t>the</w:t>
      </w:r>
      <w:r>
        <w:rPr>
          <w:spacing w:val="-6"/>
          <w:w w:val="105"/>
          <w:sz w:val="18"/>
        </w:rPr>
        <w:t> </w:t>
      </w:r>
      <w:r>
        <w:rPr>
          <w:w w:val="105"/>
          <w:sz w:val="18"/>
        </w:rPr>
        <w:t>LCAP</w:t>
      </w:r>
      <w:r>
        <w:rPr>
          <w:spacing w:val="-7"/>
          <w:w w:val="105"/>
          <w:sz w:val="18"/>
        </w:rPr>
        <w:t> </w:t>
      </w:r>
      <w:r>
        <w:rPr>
          <w:w w:val="105"/>
          <w:sz w:val="18"/>
        </w:rPr>
        <w:t>effective</w:t>
      </w:r>
      <w:r>
        <w:rPr>
          <w:spacing w:val="-6"/>
          <w:w w:val="105"/>
          <w:sz w:val="18"/>
        </w:rPr>
        <w:t> </w:t>
      </w:r>
      <w:r>
        <w:rPr>
          <w:w w:val="105"/>
          <w:sz w:val="18"/>
        </w:rPr>
        <w:t>for</w:t>
      </w:r>
      <w:r>
        <w:rPr>
          <w:spacing w:val="-6"/>
          <w:w w:val="105"/>
          <w:sz w:val="18"/>
        </w:rPr>
        <w:t> </w:t>
      </w:r>
      <w:r>
        <w:rPr>
          <w:w w:val="105"/>
          <w:sz w:val="18"/>
        </w:rPr>
        <w:t>the</w:t>
      </w:r>
      <w:r>
        <w:rPr>
          <w:spacing w:val="-8"/>
          <w:w w:val="105"/>
          <w:sz w:val="18"/>
        </w:rPr>
        <w:t> </w:t>
      </w:r>
      <w:r>
        <w:rPr>
          <w:w w:val="105"/>
          <w:sz w:val="18"/>
        </w:rPr>
        <w:t>budget</w:t>
      </w:r>
      <w:r>
        <w:rPr>
          <w:spacing w:val="-5"/>
          <w:w w:val="105"/>
          <w:sz w:val="18"/>
        </w:rPr>
        <w:t> </w:t>
      </w:r>
      <w:r>
        <w:rPr>
          <w:w w:val="105"/>
          <w:sz w:val="18"/>
        </w:rPr>
        <w:t>year?</w:t>
        <w:tab/>
      </w:r>
      <w:r>
        <w:rPr>
          <w:b/>
          <w:w w:val="105"/>
          <w:position w:val="7"/>
          <w:sz w:val="18"/>
        </w:rPr>
        <w:t>X</w:t>
      </w:r>
    </w:p>
    <w:p>
      <w:pPr>
        <w:spacing w:after="0" w:line="243" w:lineRule="exact"/>
        <w:jc w:val="left"/>
        <w:rPr>
          <w:sz w:val="18"/>
        </w:rPr>
        <w:sectPr>
          <w:type w:val="continuous"/>
          <w:pgSz w:w="12240" w:h="15840"/>
          <w:pgMar w:top="1500" w:bottom="840" w:left="160" w:right="180"/>
          <w:cols w:num="2" w:equalWidth="0">
            <w:col w:w="3857" w:space="40"/>
            <w:col w:w="8003"/>
          </w:cols>
        </w:sectPr>
      </w:pPr>
    </w:p>
    <w:p>
      <w:pPr>
        <w:pStyle w:val="ListParagraph"/>
        <w:numPr>
          <w:ilvl w:val="1"/>
          <w:numId w:val="4"/>
        </w:numPr>
        <w:tabs>
          <w:tab w:pos="4500" w:val="left" w:leader="none"/>
          <w:tab w:pos="4501" w:val="left" w:leader="none"/>
          <w:tab w:pos="10169" w:val="left" w:leader="none"/>
        </w:tabs>
        <w:spacing w:line="240" w:lineRule="auto" w:before="65" w:after="0"/>
        <w:ind w:left="4500" w:right="0" w:hanging="281"/>
        <w:jc w:val="left"/>
        <w:rPr>
          <w:b/>
          <w:sz w:val="18"/>
        </w:rPr>
      </w:pPr>
      <w:r>
        <w:rPr/>
        <w:pict>
          <v:shape style="position:absolute;margin-left:521.880005pt;margin-top:7.314553pt;width:55.6pt;height:10.45pt;mso-position-horizontal-relative:page;mso-position-vertical-relative:paragraph;z-index:-314667008" type="#_x0000_t202" filled="false" stroked="false">
            <v:textbox inset="0,0,0,0">
              <w:txbxContent>
                <w:p>
                  <w:pPr>
                    <w:spacing w:before="0"/>
                    <w:ind w:left="0" w:right="0" w:firstLine="0"/>
                    <w:jc w:val="left"/>
                    <w:rPr>
                      <w:b/>
                      <w:sz w:val="18"/>
                    </w:rPr>
                  </w:pPr>
                  <w:r>
                    <w:rPr>
                      <w:b/>
                      <w:w w:val="105"/>
                      <w:sz w:val="18"/>
                    </w:rPr>
                    <w:t>Jun 16, </w:t>
                  </w:r>
                  <w:r>
                    <w:rPr>
                      <w:b/>
                      <w:spacing w:val="-5"/>
                      <w:w w:val="105"/>
                      <w:sz w:val="18"/>
                    </w:rPr>
                    <w:t>2021</w:t>
                  </w:r>
                </w:p>
              </w:txbxContent>
            </v:textbox>
            <w10:wrap type="none"/>
          </v:shape>
        </w:pict>
      </w:r>
      <w:r>
        <w:rPr>
          <w:w w:val="105"/>
          <w:sz w:val="18"/>
        </w:rPr>
        <w:t>Adoption</w:t>
      </w:r>
      <w:r>
        <w:rPr>
          <w:spacing w:val="-5"/>
          <w:w w:val="105"/>
          <w:sz w:val="18"/>
        </w:rPr>
        <w:t> </w:t>
      </w:r>
      <w:r>
        <w:rPr>
          <w:w w:val="105"/>
          <w:sz w:val="18"/>
        </w:rPr>
        <w:t>date</w:t>
      </w:r>
      <w:r>
        <w:rPr>
          <w:spacing w:val="-7"/>
          <w:w w:val="105"/>
          <w:sz w:val="18"/>
        </w:rPr>
        <w:t> </w:t>
      </w:r>
      <w:r>
        <w:rPr>
          <w:w w:val="105"/>
          <w:sz w:val="18"/>
        </w:rPr>
        <w:t>of</w:t>
      </w:r>
      <w:r>
        <w:rPr>
          <w:spacing w:val="-4"/>
          <w:w w:val="105"/>
          <w:sz w:val="18"/>
        </w:rPr>
        <w:t> </w:t>
      </w:r>
      <w:r>
        <w:rPr>
          <w:w w:val="105"/>
          <w:sz w:val="18"/>
        </w:rPr>
        <w:t>the</w:t>
      </w:r>
      <w:r>
        <w:rPr>
          <w:spacing w:val="-6"/>
          <w:w w:val="105"/>
          <w:sz w:val="18"/>
        </w:rPr>
        <w:t> </w:t>
      </w:r>
      <w:r>
        <w:rPr>
          <w:w w:val="105"/>
          <w:sz w:val="18"/>
        </w:rPr>
        <w:t>LCAP</w:t>
      </w:r>
      <w:r>
        <w:rPr>
          <w:spacing w:val="-7"/>
          <w:w w:val="105"/>
          <w:sz w:val="18"/>
        </w:rPr>
        <w:t> </w:t>
      </w:r>
      <w:r>
        <w:rPr>
          <w:w w:val="105"/>
          <w:sz w:val="18"/>
        </w:rPr>
        <w:t>or</w:t>
      </w:r>
      <w:r>
        <w:rPr>
          <w:spacing w:val="-6"/>
          <w:w w:val="105"/>
          <w:sz w:val="18"/>
        </w:rPr>
        <w:t> </w:t>
      </w:r>
      <w:r>
        <w:rPr>
          <w:w w:val="105"/>
          <w:sz w:val="18"/>
        </w:rPr>
        <w:t>an</w:t>
      </w:r>
      <w:r>
        <w:rPr>
          <w:spacing w:val="-5"/>
          <w:w w:val="105"/>
          <w:sz w:val="18"/>
        </w:rPr>
        <w:t> </w:t>
      </w:r>
      <w:r>
        <w:rPr>
          <w:w w:val="105"/>
          <w:sz w:val="18"/>
        </w:rPr>
        <w:t>update</w:t>
      </w:r>
      <w:r>
        <w:rPr>
          <w:spacing w:val="-7"/>
          <w:w w:val="105"/>
          <w:sz w:val="18"/>
        </w:rPr>
        <w:t> </w:t>
      </w:r>
      <w:r>
        <w:rPr>
          <w:w w:val="105"/>
          <w:sz w:val="18"/>
        </w:rPr>
        <w:t>to</w:t>
      </w:r>
      <w:r>
        <w:rPr>
          <w:spacing w:val="-8"/>
          <w:w w:val="105"/>
          <w:sz w:val="18"/>
        </w:rPr>
        <w:t> </w:t>
      </w:r>
      <w:r>
        <w:rPr>
          <w:w w:val="105"/>
          <w:sz w:val="18"/>
        </w:rPr>
        <w:t>the</w:t>
      </w:r>
      <w:r>
        <w:rPr>
          <w:spacing w:val="-7"/>
          <w:w w:val="105"/>
          <w:sz w:val="18"/>
        </w:rPr>
        <w:t> </w:t>
      </w:r>
      <w:r>
        <w:rPr>
          <w:w w:val="105"/>
          <w:sz w:val="18"/>
        </w:rPr>
        <w:t>LCAP:</w:t>
        <w:tab/>
      </w:r>
      <w:r>
        <w:rPr>
          <w:b/>
          <w:w w:val="105"/>
          <w:position w:val="-7"/>
          <w:sz w:val="18"/>
          <w:shd w:fill="FFFFFF" w:color="auto" w:val="clear"/>
        </w:rPr>
        <w:t>Jun 16,</w:t>
      </w:r>
      <w:r>
        <w:rPr>
          <w:b/>
          <w:spacing w:val="-2"/>
          <w:w w:val="105"/>
          <w:position w:val="-7"/>
          <w:sz w:val="18"/>
          <w:shd w:fill="FFFFFF" w:color="auto" w:val="clear"/>
        </w:rPr>
        <w:t> </w:t>
      </w:r>
      <w:r>
        <w:rPr>
          <w:b/>
          <w:w w:val="105"/>
          <w:position w:val="-7"/>
          <w:sz w:val="18"/>
          <w:shd w:fill="FFFFFF" w:color="auto" w:val="clear"/>
        </w:rPr>
        <w:t>2021</w:t>
      </w:r>
      <w:r>
        <w:rPr>
          <w:b/>
          <w:spacing w:val="-5"/>
          <w:position w:val="-7"/>
          <w:sz w:val="18"/>
          <w:shd w:fill="FFFFFF" w:color="auto" w:val="clear"/>
        </w:rPr>
        <w:t> </w:t>
      </w:r>
    </w:p>
    <w:p>
      <w:pPr>
        <w:tabs>
          <w:tab w:pos="1625" w:val="left" w:leader="none"/>
          <w:tab w:pos="4219" w:val="left" w:leader="none"/>
        </w:tabs>
        <w:spacing w:before="80"/>
        <w:ind w:left="845" w:right="0" w:firstLine="0"/>
        <w:jc w:val="left"/>
        <w:rPr>
          <w:sz w:val="18"/>
        </w:rPr>
      </w:pPr>
      <w:r>
        <w:rPr>
          <w:w w:val="105"/>
          <w:sz w:val="18"/>
        </w:rPr>
        <w:t>S10</w:t>
        <w:tab/>
        <w:t>LCAP</w:t>
      </w:r>
      <w:r>
        <w:rPr>
          <w:spacing w:val="-11"/>
          <w:w w:val="105"/>
          <w:sz w:val="18"/>
        </w:rPr>
        <w:t> </w:t>
      </w:r>
      <w:r>
        <w:rPr>
          <w:w w:val="105"/>
          <w:sz w:val="18"/>
        </w:rPr>
        <w:t>Expenditures</w:t>
        <w:tab/>
        <w:t>Does the school district's budget include the expenditures</w:t>
      </w:r>
      <w:r>
        <w:rPr>
          <w:spacing w:val="-28"/>
          <w:w w:val="105"/>
          <w:sz w:val="18"/>
        </w:rPr>
        <w:t> </w:t>
      </w:r>
      <w:r>
        <w:rPr>
          <w:w w:val="105"/>
          <w:sz w:val="18"/>
        </w:rPr>
        <w:t>necessary</w:t>
      </w:r>
    </w:p>
    <w:p>
      <w:pPr>
        <w:spacing w:before="2"/>
        <w:ind w:left="4220" w:right="0" w:firstLine="0"/>
        <w:jc w:val="left"/>
        <w:rPr>
          <w:sz w:val="18"/>
        </w:rPr>
      </w:pPr>
      <w:r>
        <w:rPr>
          <w:w w:val="105"/>
          <w:sz w:val="18"/>
        </w:rPr>
        <w:t>to implement the LCAP or annual update to the LCAP as described</w:t>
      </w:r>
    </w:p>
    <w:p>
      <w:pPr>
        <w:tabs>
          <w:tab w:pos="11100" w:val="left" w:leader="none"/>
        </w:tabs>
        <w:spacing w:line="163" w:lineRule="auto" w:before="33"/>
        <w:ind w:left="4220" w:right="0" w:firstLine="0"/>
        <w:jc w:val="left"/>
        <w:rPr>
          <w:b/>
          <w:sz w:val="18"/>
        </w:rPr>
      </w:pPr>
      <w:r>
        <w:rPr>
          <w:w w:val="105"/>
          <w:sz w:val="18"/>
        </w:rPr>
        <w:t>in</w:t>
      </w:r>
      <w:r>
        <w:rPr>
          <w:spacing w:val="-11"/>
          <w:w w:val="105"/>
          <w:sz w:val="18"/>
        </w:rPr>
        <w:t> </w:t>
      </w:r>
      <w:r>
        <w:rPr>
          <w:w w:val="105"/>
          <w:sz w:val="18"/>
        </w:rPr>
        <w:t>the</w:t>
      </w:r>
      <w:r>
        <w:rPr>
          <w:spacing w:val="-8"/>
          <w:w w:val="105"/>
          <w:sz w:val="18"/>
        </w:rPr>
        <w:t> </w:t>
      </w:r>
      <w:r>
        <w:rPr>
          <w:w w:val="105"/>
          <w:sz w:val="18"/>
        </w:rPr>
        <w:t>Local</w:t>
      </w:r>
      <w:r>
        <w:rPr>
          <w:spacing w:val="-10"/>
          <w:w w:val="105"/>
          <w:sz w:val="18"/>
        </w:rPr>
        <w:t> </w:t>
      </w:r>
      <w:r>
        <w:rPr>
          <w:w w:val="105"/>
          <w:sz w:val="18"/>
        </w:rPr>
        <w:t>Control</w:t>
      </w:r>
      <w:r>
        <w:rPr>
          <w:spacing w:val="-9"/>
          <w:w w:val="105"/>
          <w:sz w:val="18"/>
        </w:rPr>
        <w:t> </w:t>
      </w:r>
      <w:r>
        <w:rPr>
          <w:w w:val="105"/>
          <w:sz w:val="18"/>
        </w:rPr>
        <w:t>and</w:t>
      </w:r>
      <w:r>
        <w:rPr>
          <w:spacing w:val="-10"/>
          <w:w w:val="105"/>
          <w:sz w:val="18"/>
        </w:rPr>
        <w:t> </w:t>
      </w:r>
      <w:r>
        <w:rPr>
          <w:w w:val="105"/>
          <w:sz w:val="18"/>
        </w:rPr>
        <w:t>Accountability</w:t>
      </w:r>
      <w:r>
        <w:rPr>
          <w:spacing w:val="-12"/>
          <w:w w:val="105"/>
          <w:sz w:val="18"/>
        </w:rPr>
        <w:t> </w:t>
      </w:r>
      <w:r>
        <w:rPr>
          <w:w w:val="105"/>
          <w:sz w:val="18"/>
        </w:rPr>
        <w:t>Plan</w:t>
      </w:r>
      <w:r>
        <w:rPr>
          <w:spacing w:val="-8"/>
          <w:w w:val="105"/>
          <w:sz w:val="18"/>
        </w:rPr>
        <w:t> </w:t>
      </w:r>
      <w:r>
        <w:rPr>
          <w:w w:val="105"/>
          <w:sz w:val="18"/>
        </w:rPr>
        <w:t>and</w:t>
      </w:r>
      <w:r>
        <w:rPr>
          <w:spacing w:val="-8"/>
          <w:w w:val="105"/>
          <w:sz w:val="18"/>
        </w:rPr>
        <w:t> </w:t>
      </w:r>
      <w:r>
        <w:rPr>
          <w:w w:val="105"/>
          <w:sz w:val="18"/>
        </w:rPr>
        <w:t>Annual</w:t>
      </w:r>
      <w:r>
        <w:rPr>
          <w:spacing w:val="-10"/>
          <w:w w:val="105"/>
          <w:sz w:val="18"/>
        </w:rPr>
        <w:t> </w:t>
      </w:r>
      <w:r>
        <w:rPr>
          <w:w w:val="105"/>
          <w:sz w:val="18"/>
        </w:rPr>
        <w:t>Update</w:t>
        <w:tab/>
      </w:r>
      <w:r>
        <w:rPr>
          <w:b/>
          <w:w w:val="105"/>
          <w:position w:val="-6"/>
          <w:sz w:val="18"/>
        </w:rPr>
        <w:t>X</w:t>
      </w:r>
    </w:p>
    <w:p>
      <w:pPr>
        <w:spacing w:line="173" w:lineRule="exact" w:before="0"/>
        <w:ind w:left="4220" w:right="0" w:firstLine="0"/>
        <w:jc w:val="left"/>
        <w:rPr>
          <w:sz w:val="18"/>
        </w:rPr>
      </w:pPr>
      <w:r>
        <w:rPr>
          <w:w w:val="105"/>
          <w:sz w:val="18"/>
        </w:rPr>
        <w:t>Template?</w:t>
      </w:r>
    </w:p>
    <w:p>
      <w:pPr>
        <w:pStyle w:val="BodyText"/>
        <w:rPr>
          <w:sz w:val="20"/>
        </w:rPr>
      </w:pPr>
    </w:p>
    <w:p>
      <w:pPr>
        <w:pStyle w:val="BodyText"/>
        <w:rPr>
          <w:sz w:val="20"/>
        </w:rPr>
      </w:pPr>
    </w:p>
    <w:p>
      <w:pPr>
        <w:pStyle w:val="BodyText"/>
        <w:spacing w:before="7"/>
        <w:rPr>
          <w:sz w:val="28"/>
        </w:rPr>
      </w:pPr>
      <w:r>
        <w:rPr/>
        <w:pict>
          <v:group style="position:absolute;margin-left:39.959999pt;margin-top:18.437170pt;width:542.9pt;height:185.9pt;mso-position-horizontal-relative:page;mso-position-vertical-relative:paragraph;z-index:-251617280;mso-wrap-distance-left:0;mso-wrap-distance-right:0" coordorigin="799,369" coordsize="10858,3718">
            <v:shape style="position:absolute;left:799;top:368;width:3339;height:502" type="#_x0000_t75" stroked="false">
              <v:imagedata r:id="rId29" o:title=""/>
            </v:shape>
            <v:shape style="position:absolute;left:1536;top:368;width:10121;height:996" type="#_x0000_t75" stroked="false">
              <v:imagedata r:id="rId57" o:title=""/>
            </v:shape>
            <v:shape style="position:absolute;left:799;top:863;width:744;height:502" type="#_x0000_t75" stroked="false">
              <v:imagedata r:id="rId58" o:title=""/>
            </v:shape>
            <v:shape style="position:absolute;left:1536;top:863;width:10121;height:996" type="#_x0000_t75" stroked="false">
              <v:imagedata r:id="rId59" o:title=""/>
            </v:shape>
            <v:shape style="position:absolute;left:799;top:1357;width:744;height:502" type="#_x0000_t75" stroked="false">
              <v:imagedata r:id="rId58" o:title=""/>
            </v:shape>
            <v:shape style="position:absolute;left:1536;top:1357;width:10121;height:996" type="#_x0000_t75" stroked="false">
              <v:imagedata r:id="rId59" o:title=""/>
            </v:shape>
            <v:shape style="position:absolute;left:799;top:1851;width:744;height:502" type="#_x0000_t75" stroked="false">
              <v:imagedata r:id="rId58" o:title=""/>
            </v:shape>
            <v:shape style="position:absolute;left:1536;top:1851;width:10121;height:1258" type="#_x0000_t75" stroked="false">
              <v:imagedata r:id="rId60" o:title=""/>
            </v:shape>
            <v:shape style="position:absolute;left:799;top:2346;width:744;height:764" type="#_x0000_t75" stroked="false">
              <v:imagedata r:id="rId61" o:title=""/>
            </v:shape>
            <v:shape style="position:absolute;left:799;top:3107;width:744;height:980" type="#_x0000_t75" stroked="false">
              <v:imagedata r:id="rId62" o:title=""/>
            </v:shape>
            <v:shape style="position:absolute;left:1536;top:2346;width:10121;height:1740" type="#_x0000_t75" stroked="false">
              <v:imagedata r:id="rId63" o:title=""/>
            </v:shape>
            <v:shape style="position:absolute;left:4336;top:3107;width:7320;height:980" type="#_x0000_t75" stroked="false">
              <v:imagedata r:id="rId64" o:title=""/>
            </v:shape>
            <v:shape style="position:absolute;left:842;top:653;width:3084;height:423" type="#_x0000_t202" filled="false" stroked="false">
              <v:textbox inset="0,0,0,0">
                <w:txbxContent>
                  <w:p>
                    <w:pPr>
                      <w:spacing w:before="0"/>
                      <w:ind w:left="0" w:right="0" w:firstLine="0"/>
                      <w:jc w:val="left"/>
                      <w:rPr>
                        <w:b/>
                        <w:sz w:val="18"/>
                      </w:rPr>
                    </w:pPr>
                    <w:r>
                      <w:rPr>
                        <w:b/>
                        <w:w w:val="105"/>
                        <w:sz w:val="18"/>
                      </w:rPr>
                      <w:t>ADDITIONAL</w:t>
                    </w:r>
                    <w:r>
                      <w:rPr>
                        <w:b/>
                        <w:spacing w:val="-29"/>
                        <w:w w:val="105"/>
                        <w:sz w:val="18"/>
                      </w:rPr>
                      <w:t> </w:t>
                    </w:r>
                    <w:r>
                      <w:rPr>
                        <w:b/>
                        <w:w w:val="105"/>
                        <w:sz w:val="18"/>
                      </w:rPr>
                      <w:t>FISCAL</w:t>
                    </w:r>
                    <w:r>
                      <w:rPr>
                        <w:b/>
                        <w:spacing w:val="-28"/>
                        <w:w w:val="105"/>
                        <w:sz w:val="18"/>
                      </w:rPr>
                      <w:t> </w:t>
                    </w:r>
                    <w:r>
                      <w:rPr>
                        <w:b/>
                        <w:w w:val="105"/>
                        <w:sz w:val="18"/>
                      </w:rPr>
                      <w:t>INDICATORS</w:t>
                    </w:r>
                  </w:p>
                  <w:p>
                    <w:pPr>
                      <w:spacing w:before="7"/>
                      <w:ind w:left="943" w:right="0" w:firstLine="0"/>
                      <w:jc w:val="left"/>
                      <w:rPr>
                        <w:sz w:val="18"/>
                      </w:rPr>
                    </w:pPr>
                    <w:r>
                      <w:rPr>
                        <w:w w:val="105"/>
                        <w:sz w:val="18"/>
                      </w:rPr>
                      <w:t>Negative Cash Flow</w:t>
                    </w:r>
                  </w:p>
                </w:txbxContent>
              </v:textbox>
              <w10:wrap type="none"/>
            </v:shape>
            <v:shape style="position:absolute;left:10536;top:653;width:974;height:567" type="#_x0000_t202" filled="false" stroked="false">
              <v:textbox inset="0,0,0,0">
                <w:txbxContent>
                  <w:p>
                    <w:pPr>
                      <w:tabs>
                        <w:tab w:pos="623" w:val="left" w:leader="none"/>
                      </w:tabs>
                      <w:spacing w:before="0"/>
                      <w:ind w:left="0" w:right="0" w:firstLine="0"/>
                      <w:jc w:val="left"/>
                      <w:rPr>
                        <w:b/>
                        <w:sz w:val="18"/>
                      </w:rPr>
                    </w:pPr>
                    <w:r>
                      <w:rPr>
                        <w:b/>
                        <w:w w:val="105"/>
                        <w:sz w:val="18"/>
                      </w:rPr>
                      <w:t>No</w:t>
                      <w:tab/>
                      <w:t>Yes</w:t>
                    </w:r>
                  </w:p>
                  <w:p>
                    <w:pPr>
                      <w:spacing w:before="151"/>
                      <w:ind w:left="62" w:right="0" w:firstLine="0"/>
                      <w:jc w:val="left"/>
                      <w:rPr>
                        <w:b/>
                        <w:sz w:val="18"/>
                      </w:rPr>
                    </w:pPr>
                    <w:r>
                      <w:rPr>
                        <w:b/>
                        <w:w w:val="103"/>
                        <w:sz w:val="18"/>
                      </w:rPr>
                      <w:t>X</w:t>
                    </w:r>
                  </w:p>
                </w:txbxContent>
              </v:textbox>
              <w10:wrap type="none"/>
            </v:shape>
            <v:shape style="position:absolute;left:1058;top:866;width:249;height:704" type="#_x0000_t202" filled="false" stroked="false">
              <v:textbox inset="0,0,0,0">
                <w:txbxContent>
                  <w:p>
                    <w:pPr>
                      <w:spacing w:before="0"/>
                      <w:ind w:left="0" w:right="0" w:firstLine="0"/>
                      <w:jc w:val="left"/>
                      <w:rPr>
                        <w:sz w:val="18"/>
                      </w:rPr>
                    </w:pPr>
                    <w:r>
                      <w:rPr>
                        <w:w w:val="105"/>
                        <w:sz w:val="18"/>
                      </w:rPr>
                      <w:t>A1</w:t>
                    </w:r>
                  </w:p>
                  <w:p>
                    <w:pPr>
                      <w:spacing w:line="240" w:lineRule="auto" w:before="0"/>
                      <w:rPr>
                        <w:sz w:val="25"/>
                      </w:rPr>
                    </w:pPr>
                  </w:p>
                  <w:p>
                    <w:pPr>
                      <w:spacing w:before="0"/>
                      <w:ind w:left="0" w:right="0" w:firstLine="0"/>
                      <w:jc w:val="left"/>
                      <w:rPr>
                        <w:sz w:val="18"/>
                      </w:rPr>
                    </w:pPr>
                    <w:r>
                      <w:rPr>
                        <w:w w:val="105"/>
                        <w:sz w:val="18"/>
                      </w:rPr>
                      <w:t>A2</w:t>
                    </w:r>
                  </w:p>
                </w:txbxContent>
              </v:textbox>
              <w10:wrap type="none"/>
            </v:shape>
            <v:shape style="position:absolute;left:1785;top:1361;width:1769;height:704" type="#_x0000_t202" filled="false" stroked="false">
              <v:textbox inset="0,0,0,0">
                <w:txbxContent>
                  <w:p>
                    <w:pPr>
                      <w:spacing w:before="0"/>
                      <w:ind w:left="0" w:right="-3" w:firstLine="0"/>
                      <w:jc w:val="left"/>
                      <w:rPr>
                        <w:sz w:val="18"/>
                      </w:rPr>
                    </w:pPr>
                    <w:r>
                      <w:rPr>
                        <w:w w:val="105"/>
                        <w:sz w:val="18"/>
                      </w:rPr>
                      <w:t>Independent </w:t>
                    </w:r>
                    <w:r>
                      <w:rPr>
                        <w:spacing w:val="-3"/>
                        <w:w w:val="105"/>
                        <w:sz w:val="18"/>
                      </w:rPr>
                      <w:t>Position </w:t>
                    </w:r>
                    <w:r>
                      <w:rPr>
                        <w:w w:val="105"/>
                        <w:sz w:val="18"/>
                      </w:rPr>
                      <w:t>Control</w:t>
                    </w:r>
                  </w:p>
                  <w:p>
                    <w:pPr>
                      <w:spacing w:before="80"/>
                      <w:ind w:left="0" w:right="0" w:firstLine="0"/>
                      <w:jc w:val="left"/>
                      <w:rPr>
                        <w:sz w:val="18"/>
                      </w:rPr>
                    </w:pPr>
                    <w:r>
                      <w:rPr>
                        <w:w w:val="105"/>
                        <w:sz w:val="18"/>
                      </w:rPr>
                      <w:t>Declining Enrollment</w:t>
                    </w:r>
                  </w:p>
                </w:txbxContent>
              </v:textbox>
              <w10:wrap type="none"/>
            </v:shape>
            <v:shape style="position:absolute;left:4380;top:866;width:5492;height:704" type="#_x0000_t202" filled="false" stroked="false">
              <v:textbox inset="0,0,0,0">
                <w:txbxContent>
                  <w:p>
                    <w:pPr>
                      <w:spacing w:before="0"/>
                      <w:ind w:left="0" w:right="19" w:firstLine="0"/>
                      <w:jc w:val="left"/>
                      <w:rPr>
                        <w:sz w:val="18"/>
                      </w:rPr>
                    </w:pPr>
                    <w:r>
                      <w:rPr>
                        <w:w w:val="105"/>
                        <w:sz w:val="18"/>
                      </w:rPr>
                      <w:t>Do cash flow projections show that the district will end the budget year with a negative cash balance in the general fund?</w:t>
                    </w:r>
                  </w:p>
                  <w:p>
                    <w:pPr>
                      <w:spacing w:before="80"/>
                      <w:ind w:left="0" w:right="0" w:firstLine="0"/>
                      <w:jc w:val="left"/>
                      <w:rPr>
                        <w:sz w:val="18"/>
                      </w:rPr>
                    </w:pPr>
                    <w:r>
                      <w:rPr>
                        <w:w w:val="105"/>
                        <w:sz w:val="18"/>
                      </w:rPr>
                      <w:t>Is</w:t>
                    </w:r>
                    <w:r>
                      <w:rPr>
                        <w:spacing w:val="-12"/>
                        <w:w w:val="105"/>
                        <w:sz w:val="18"/>
                      </w:rPr>
                      <w:t> </w:t>
                    </w:r>
                    <w:r>
                      <w:rPr>
                        <w:w w:val="105"/>
                        <w:sz w:val="18"/>
                      </w:rPr>
                      <w:t>personnel</w:t>
                    </w:r>
                    <w:r>
                      <w:rPr>
                        <w:spacing w:val="-14"/>
                        <w:w w:val="105"/>
                        <w:sz w:val="18"/>
                      </w:rPr>
                      <w:t> </w:t>
                    </w:r>
                    <w:r>
                      <w:rPr>
                        <w:w w:val="105"/>
                        <w:sz w:val="18"/>
                      </w:rPr>
                      <w:t>position</w:t>
                    </w:r>
                    <w:r>
                      <w:rPr>
                        <w:spacing w:val="-13"/>
                        <w:w w:val="105"/>
                        <w:sz w:val="18"/>
                      </w:rPr>
                      <w:t> </w:t>
                    </w:r>
                    <w:r>
                      <w:rPr>
                        <w:w w:val="105"/>
                        <w:sz w:val="18"/>
                      </w:rPr>
                      <w:t>control</w:t>
                    </w:r>
                    <w:r>
                      <w:rPr>
                        <w:spacing w:val="-13"/>
                        <w:w w:val="105"/>
                        <w:sz w:val="18"/>
                      </w:rPr>
                      <w:t> </w:t>
                    </w:r>
                    <w:r>
                      <w:rPr>
                        <w:w w:val="105"/>
                        <w:sz w:val="18"/>
                      </w:rPr>
                      <w:t>independent</w:t>
                    </w:r>
                    <w:r>
                      <w:rPr>
                        <w:spacing w:val="-12"/>
                        <w:w w:val="105"/>
                        <w:sz w:val="18"/>
                      </w:rPr>
                      <w:t> </w:t>
                    </w:r>
                    <w:r>
                      <w:rPr>
                        <w:w w:val="105"/>
                        <w:sz w:val="18"/>
                      </w:rPr>
                      <w:t>from</w:t>
                    </w:r>
                    <w:r>
                      <w:rPr>
                        <w:spacing w:val="-13"/>
                        <w:w w:val="105"/>
                        <w:sz w:val="18"/>
                      </w:rPr>
                      <w:t> </w:t>
                    </w:r>
                    <w:r>
                      <w:rPr>
                        <w:w w:val="105"/>
                        <w:sz w:val="18"/>
                      </w:rPr>
                      <w:t>the</w:t>
                    </w:r>
                    <w:r>
                      <w:rPr>
                        <w:spacing w:val="-14"/>
                        <w:w w:val="105"/>
                        <w:sz w:val="18"/>
                      </w:rPr>
                      <w:t> </w:t>
                    </w:r>
                    <w:r>
                      <w:rPr>
                        <w:w w:val="105"/>
                        <w:sz w:val="18"/>
                      </w:rPr>
                      <w:t>payroll</w:t>
                    </w:r>
                    <w:r>
                      <w:rPr>
                        <w:spacing w:val="-13"/>
                        <w:w w:val="105"/>
                        <w:sz w:val="18"/>
                      </w:rPr>
                      <w:t> </w:t>
                    </w:r>
                    <w:r>
                      <w:rPr>
                        <w:w w:val="105"/>
                        <w:sz w:val="18"/>
                      </w:rPr>
                      <w:t>system?</w:t>
                    </w:r>
                  </w:p>
                </w:txbxContent>
              </v:textbox>
              <w10:wrap type="none"/>
            </v:shape>
            <v:shape style="position:absolute;left:10598;top:1505;width:145;height:209" type="#_x0000_t202" filled="false" stroked="false">
              <v:textbox inset="0,0,0,0">
                <w:txbxContent>
                  <w:p>
                    <w:pPr>
                      <w:spacing w:before="0"/>
                      <w:ind w:left="0" w:right="0" w:firstLine="0"/>
                      <w:jc w:val="left"/>
                      <w:rPr>
                        <w:b/>
                        <w:sz w:val="18"/>
                      </w:rPr>
                    </w:pPr>
                    <w:r>
                      <w:rPr>
                        <w:b/>
                        <w:w w:val="103"/>
                        <w:sz w:val="18"/>
                      </w:rPr>
                      <w:t>X</w:t>
                    </w:r>
                  </w:p>
                </w:txbxContent>
              </v:textbox>
              <w10:wrap type="none"/>
            </v:shape>
            <v:shape style="position:absolute;left:1058;top:1855;width:249;height:209" type="#_x0000_t202" filled="false" stroked="false">
              <v:textbox inset="0,0,0,0">
                <w:txbxContent>
                  <w:p>
                    <w:pPr>
                      <w:spacing w:before="0"/>
                      <w:ind w:left="0" w:right="0" w:firstLine="0"/>
                      <w:jc w:val="left"/>
                      <w:rPr>
                        <w:sz w:val="18"/>
                      </w:rPr>
                    </w:pPr>
                    <w:r>
                      <w:rPr>
                        <w:w w:val="105"/>
                        <w:sz w:val="18"/>
                      </w:rPr>
                      <w:t>A3</w:t>
                    </w:r>
                  </w:p>
                </w:txbxContent>
              </v:textbox>
              <w10:wrap type="none"/>
            </v:shape>
            <v:shape style="position:absolute;left:1058;top:2350;width:249;height:209" type="#_x0000_t202" filled="false" stroked="false">
              <v:textbox inset="0,0,0,0">
                <w:txbxContent>
                  <w:p>
                    <w:pPr>
                      <w:spacing w:before="0"/>
                      <w:ind w:left="0" w:right="0" w:firstLine="0"/>
                      <w:jc w:val="left"/>
                      <w:rPr>
                        <w:sz w:val="18"/>
                      </w:rPr>
                    </w:pPr>
                    <w:r>
                      <w:rPr>
                        <w:w w:val="105"/>
                        <w:sz w:val="18"/>
                      </w:rPr>
                      <w:t>A4</w:t>
                    </w:r>
                  </w:p>
                </w:txbxContent>
              </v:textbox>
              <w10:wrap type="none"/>
            </v:shape>
            <v:shape style="position:absolute;left:1785;top:2350;width:2078;height:1179" type="#_x0000_t202" filled="false" stroked="false">
              <v:textbox inset="0,0,0,0">
                <w:txbxContent>
                  <w:p>
                    <w:pPr>
                      <w:spacing w:before="0"/>
                      <w:ind w:left="0" w:right="-15" w:firstLine="0"/>
                      <w:jc w:val="left"/>
                      <w:rPr>
                        <w:sz w:val="18"/>
                      </w:rPr>
                    </w:pPr>
                    <w:r>
                      <w:rPr>
                        <w:w w:val="105"/>
                        <w:sz w:val="18"/>
                      </w:rPr>
                      <w:t>New Charter Schools Impacting District Enrollment</w:t>
                    </w:r>
                  </w:p>
                  <w:p>
                    <w:pPr>
                      <w:spacing w:before="140"/>
                      <w:ind w:left="0" w:right="-15" w:firstLine="0"/>
                      <w:jc w:val="left"/>
                      <w:rPr>
                        <w:sz w:val="18"/>
                      </w:rPr>
                    </w:pPr>
                    <w:r>
                      <w:rPr>
                        <w:w w:val="105"/>
                        <w:sz w:val="18"/>
                      </w:rPr>
                      <w:t>Salary Increases </w:t>
                    </w:r>
                    <w:r>
                      <w:rPr>
                        <w:spacing w:val="-3"/>
                        <w:w w:val="105"/>
                        <w:sz w:val="18"/>
                      </w:rPr>
                      <w:t>Exceed </w:t>
                    </w:r>
                    <w:r>
                      <w:rPr>
                        <w:w w:val="105"/>
                        <w:sz w:val="18"/>
                      </w:rPr>
                      <w:t>COLA</w:t>
                    </w:r>
                  </w:p>
                </w:txbxContent>
              </v:textbox>
              <w10:wrap type="none"/>
            </v:shape>
            <v:shape style="position:absolute;left:4380;top:1855;width:5738;height:2091" type="#_x0000_t202" filled="false" stroked="false">
              <v:textbox inset="0,0,0,0">
                <w:txbxContent>
                  <w:p>
                    <w:pPr>
                      <w:spacing w:before="0"/>
                      <w:ind w:left="0" w:right="391" w:firstLine="0"/>
                      <w:jc w:val="left"/>
                      <w:rPr>
                        <w:sz w:val="18"/>
                      </w:rPr>
                    </w:pPr>
                    <w:r>
                      <w:rPr>
                        <w:w w:val="105"/>
                        <w:sz w:val="18"/>
                      </w:rPr>
                      <w:t>Is enrollment decreasing in both the prior fiscal year and budget year?</w:t>
                    </w:r>
                  </w:p>
                  <w:p>
                    <w:pPr>
                      <w:spacing w:before="80"/>
                      <w:ind w:left="0" w:right="13" w:firstLine="0"/>
                      <w:jc w:val="left"/>
                      <w:rPr>
                        <w:sz w:val="18"/>
                      </w:rPr>
                    </w:pPr>
                    <w:r>
                      <w:rPr>
                        <w:w w:val="105"/>
                        <w:sz w:val="18"/>
                      </w:rPr>
                      <w:t>Are any new charter schools operating in district boundaries that are impacting the district's enrollment, either in the prior fiscal year or budget year?</w:t>
                    </w:r>
                  </w:p>
                  <w:p>
                    <w:pPr>
                      <w:spacing w:before="140"/>
                      <w:ind w:left="0" w:right="13" w:firstLine="0"/>
                      <w:jc w:val="left"/>
                      <w:rPr>
                        <w:sz w:val="18"/>
                      </w:rPr>
                    </w:pPr>
                    <w:r>
                      <w:rPr>
                        <w:w w:val="105"/>
                        <w:sz w:val="18"/>
                      </w:rPr>
                      <w:t>Has</w:t>
                    </w:r>
                    <w:r>
                      <w:rPr>
                        <w:spacing w:val="-10"/>
                        <w:w w:val="105"/>
                        <w:sz w:val="18"/>
                      </w:rPr>
                      <w:t> </w:t>
                    </w:r>
                    <w:r>
                      <w:rPr>
                        <w:w w:val="105"/>
                        <w:sz w:val="18"/>
                      </w:rPr>
                      <w:t>the</w:t>
                    </w:r>
                    <w:r>
                      <w:rPr>
                        <w:spacing w:val="-8"/>
                        <w:w w:val="105"/>
                        <w:sz w:val="18"/>
                      </w:rPr>
                      <w:t> </w:t>
                    </w:r>
                    <w:r>
                      <w:rPr>
                        <w:w w:val="105"/>
                        <w:sz w:val="18"/>
                      </w:rPr>
                      <w:t>district</w:t>
                    </w:r>
                    <w:r>
                      <w:rPr>
                        <w:spacing w:val="-10"/>
                        <w:w w:val="105"/>
                        <w:sz w:val="18"/>
                      </w:rPr>
                      <w:t> </w:t>
                    </w:r>
                    <w:r>
                      <w:rPr>
                        <w:w w:val="105"/>
                        <w:sz w:val="18"/>
                      </w:rPr>
                      <w:t>entered</w:t>
                    </w:r>
                    <w:r>
                      <w:rPr>
                        <w:spacing w:val="-10"/>
                        <w:w w:val="105"/>
                        <w:sz w:val="18"/>
                      </w:rPr>
                      <w:t> </w:t>
                    </w:r>
                    <w:r>
                      <w:rPr>
                        <w:w w:val="105"/>
                        <w:sz w:val="18"/>
                      </w:rPr>
                      <w:t>into</w:t>
                    </w:r>
                    <w:r>
                      <w:rPr>
                        <w:spacing w:val="-10"/>
                        <w:w w:val="105"/>
                        <w:sz w:val="18"/>
                      </w:rPr>
                      <w:t> </w:t>
                    </w:r>
                    <w:r>
                      <w:rPr>
                        <w:w w:val="105"/>
                        <w:sz w:val="18"/>
                      </w:rPr>
                      <w:t>a</w:t>
                    </w:r>
                    <w:r>
                      <w:rPr>
                        <w:spacing w:val="-9"/>
                        <w:w w:val="105"/>
                        <w:sz w:val="18"/>
                      </w:rPr>
                      <w:t> </w:t>
                    </w:r>
                    <w:r>
                      <w:rPr>
                        <w:w w:val="105"/>
                        <w:sz w:val="18"/>
                      </w:rPr>
                      <w:t>bargaining</w:t>
                    </w:r>
                    <w:r>
                      <w:rPr>
                        <w:spacing w:val="-9"/>
                        <w:w w:val="105"/>
                        <w:sz w:val="18"/>
                      </w:rPr>
                      <w:t> </w:t>
                    </w:r>
                    <w:r>
                      <w:rPr>
                        <w:w w:val="105"/>
                        <w:sz w:val="18"/>
                      </w:rPr>
                      <w:t>agreement</w:t>
                    </w:r>
                    <w:r>
                      <w:rPr>
                        <w:spacing w:val="-7"/>
                        <w:w w:val="105"/>
                        <w:sz w:val="18"/>
                      </w:rPr>
                      <w:t> </w:t>
                    </w:r>
                    <w:r>
                      <w:rPr>
                        <w:w w:val="105"/>
                        <w:sz w:val="18"/>
                      </w:rPr>
                      <w:t>where</w:t>
                    </w:r>
                    <w:r>
                      <w:rPr>
                        <w:spacing w:val="-8"/>
                        <w:w w:val="105"/>
                        <w:sz w:val="18"/>
                      </w:rPr>
                      <w:t> </w:t>
                    </w:r>
                    <w:r>
                      <w:rPr>
                        <w:w w:val="105"/>
                        <w:sz w:val="18"/>
                      </w:rPr>
                      <w:t>any</w:t>
                    </w:r>
                    <w:r>
                      <w:rPr>
                        <w:spacing w:val="-12"/>
                        <w:w w:val="105"/>
                        <w:sz w:val="18"/>
                      </w:rPr>
                      <w:t> </w:t>
                    </w:r>
                    <w:r>
                      <w:rPr>
                        <w:w w:val="105"/>
                        <w:sz w:val="18"/>
                      </w:rPr>
                      <w:t>of</w:t>
                    </w:r>
                    <w:r>
                      <w:rPr>
                        <w:spacing w:val="-8"/>
                        <w:w w:val="105"/>
                        <w:sz w:val="18"/>
                      </w:rPr>
                      <w:t> </w:t>
                    </w:r>
                    <w:r>
                      <w:rPr>
                        <w:w w:val="105"/>
                        <w:sz w:val="18"/>
                      </w:rPr>
                      <w:t>the budget or subsequent fiscal years of the agreement would result in salary increases that are expected to exceed the projected state funded cost-of-living</w:t>
                    </w:r>
                    <w:r>
                      <w:rPr>
                        <w:spacing w:val="-7"/>
                        <w:w w:val="105"/>
                        <w:sz w:val="18"/>
                      </w:rPr>
                      <w:t> </w:t>
                    </w:r>
                    <w:r>
                      <w:rPr>
                        <w:w w:val="105"/>
                        <w:sz w:val="18"/>
                      </w:rPr>
                      <w:t>adjustment?</w:t>
                    </w:r>
                  </w:p>
                </w:txbxContent>
              </v:textbox>
              <w10:wrap type="none"/>
            </v:shape>
            <v:shape style="position:absolute;left:10598;top:1999;width:145;height:209" type="#_x0000_t202" filled="false" stroked="false">
              <v:textbox inset="0,0,0,0">
                <w:txbxContent>
                  <w:p>
                    <w:pPr>
                      <w:spacing w:before="0"/>
                      <w:ind w:left="0" w:right="0" w:firstLine="0"/>
                      <w:jc w:val="left"/>
                      <w:rPr>
                        <w:b/>
                        <w:sz w:val="18"/>
                      </w:rPr>
                    </w:pPr>
                    <w:r>
                      <w:rPr>
                        <w:b/>
                        <w:w w:val="103"/>
                        <w:sz w:val="18"/>
                      </w:rPr>
                      <w:t>X</w:t>
                    </w:r>
                  </w:p>
                </w:txbxContent>
              </v:textbox>
              <w10:wrap type="none"/>
            </v:shape>
            <v:shape style="position:absolute;left:10598;top:2628;width:145;height:209" type="#_x0000_t202" filled="false" stroked="false">
              <v:textbox inset="0,0,0,0">
                <w:txbxContent>
                  <w:p>
                    <w:pPr>
                      <w:spacing w:before="0"/>
                      <w:ind w:left="0" w:right="0" w:firstLine="0"/>
                      <w:jc w:val="left"/>
                      <w:rPr>
                        <w:b/>
                        <w:sz w:val="18"/>
                      </w:rPr>
                    </w:pPr>
                    <w:r>
                      <w:rPr>
                        <w:b/>
                        <w:w w:val="103"/>
                        <w:sz w:val="18"/>
                      </w:rPr>
                      <w:t>X</w:t>
                    </w:r>
                  </w:p>
                </w:txbxContent>
              </v:textbox>
              <w10:wrap type="none"/>
            </v:shape>
            <v:shape style="position:absolute;left:1058;top:3110;width:249;height:209" type="#_x0000_t202" filled="false" stroked="false">
              <v:textbox inset="0,0,0,0">
                <w:txbxContent>
                  <w:p>
                    <w:pPr>
                      <w:spacing w:before="0"/>
                      <w:ind w:left="0" w:right="0" w:firstLine="0"/>
                      <w:jc w:val="left"/>
                      <w:rPr>
                        <w:sz w:val="18"/>
                      </w:rPr>
                    </w:pPr>
                    <w:r>
                      <w:rPr>
                        <w:w w:val="105"/>
                        <w:sz w:val="18"/>
                      </w:rPr>
                      <w:t>A5</w:t>
                    </w:r>
                  </w:p>
                </w:txbxContent>
              </v:textbox>
              <w10:wrap type="none"/>
            </v:shape>
            <v:shape style="position:absolute;left:10598;top:3494;width:145;height:209" type="#_x0000_t202" filled="false" stroked="false">
              <v:textbox inset="0,0,0,0">
                <w:txbxContent>
                  <w:p>
                    <w:pPr>
                      <w:spacing w:before="0"/>
                      <w:ind w:left="0" w:right="0" w:firstLine="0"/>
                      <w:jc w:val="left"/>
                      <w:rPr>
                        <w:b/>
                        <w:sz w:val="18"/>
                      </w:rPr>
                    </w:pPr>
                    <w:r>
                      <w:rPr>
                        <w:b/>
                        <w:w w:val="103"/>
                        <w:sz w:val="18"/>
                      </w:rPr>
                      <w:t>X</w:t>
                    </w:r>
                  </w:p>
                </w:txbxContent>
              </v:textbox>
              <w10:wrap type="none"/>
            </v:shape>
            <w10:wrap type="topAndBottom"/>
          </v:group>
        </w:pict>
      </w:r>
    </w:p>
    <w:p>
      <w:pPr>
        <w:spacing w:after="0"/>
        <w:rPr>
          <w:sz w:val="28"/>
        </w:rPr>
        <w:sectPr>
          <w:type w:val="continuous"/>
          <w:pgSz w:w="12240" w:h="15840"/>
          <w:pgMar w:top="1500" w:bottom="840" w:left="160" w:right="180"/>
        </w:sectPr>
      </w:pPr>
    </w:p>
    <w:p>
      <w:pPr>
        <w:pStyle w:val="BodyText"/>
        <w:spacing w:before="3" w:after="1"/>
        <w:rPr>
          <w:sz w:val="15"/>
        </w:rPr>
      </w:pPr>
    </w:p>
    <w:p>
      <w:pPr>
        <w:pStyle w:val="BodyText"/>
        <w:ind w:left="639"/>
        <w:rPr>
          <w:sz w:val="20"/>
        </w:rPr>
      </w:pPr>
      <w:r>
        <w:rPr>
          <w:sz w:val="20"/>
        </w:rPr>
        <w:pict>
          <v:group style="width:542.9pt;height:123.85pt;mso-position-horizontal-relative:char;mso-position-vertical-relative:line" coordorigin="0,0" coordsize="10858,2477">
            <v:shape style="position:absolute;left:0;top:0;width:5847;height:500" type="#_x0000_t75" stroked="false">
              <v:imagedata r:id="rId65" o:title=""/>
            </v:shape>
            <v:shape style="position:absolute;left:5839;top:0;width:5019;height:500" type="#_x0000_t75" stroked="false">
              <v:imagedata r:id="rId66" o:title=""/>
            </v:shape>
            <v:shape style="position:absolute;left:0;top:492;width:744;height:502" type="#_x0000_t75" stroked="false">
              <v:imagedata r:id="rId67" o:title=""/>
            </v:shape>
            <v:shape style="position:absolute;left:0;top:492;width:10858;height:996" type="#_x0000_t75" stroked="false">
              <v:imagedata r:id="rId68" o:title=""/>
            </v:shape>
            <v:shape style="position:absolute;left:0;top:986;width:10858;height:996" type="#_x0000_t75" stroked="false">
              <v:imagedata r:id="rId69" o:title=""/>
            </v:shape>
            <v:shape style="position:absolute;left:0;top:1480;width:10858;height:996" type="#_x0000_t75" stroked="false">
              <v:imagedata r:id="rId70" o:title=""/>
            </v:shape>
            <v:shape style="position:absolute;left:736;top:1975;width:10121;height:502" type="#_x0000_t75" stroked="false">
              <v:imagedata r:id="rId71" o:title=""/>
            </v:shape>
            <v:shape style="position:absolute;left:43;top:282;width:4158;height:423" type="#_x0000_t202" filled="false" stroked="false">
              <v:textbox inset="0,0,0,0">
                <w:txbxContent>
                  <w:p>
                    <w:pPr>
                      <w:spacing w:before="0"/>
                      <w:ind w:left="0" w:right="0" w:firstLine="0"/>
                      <w:jc w:val="left"/>
                      <w:rPr>
                        <w:b/>
                        <w:sz w:val="18"/>
                      </w:rPr>
                    </w:pPr>
                    <w:r>
                      <w:rPr>
                        <w:b/>
                        <w:w w:val="105"/>
                        <w:sz w:val="18"/>
                      </w:rPr>
                      <w:t>ADDITIONAL</w:t>
                    </w:r>
                    <w:r>
                      <w:rPr>
                        <w:b/>
                        <w:spacing w:val="-23"/>
                        <w:w w:val="105"/>
                        <w:sz w:val="18"/>
                      </w:rPr>
                      <w:t> </w:t>
                    </w:r>
                    <w:r>
                      <w:rPr>
                        <w:b/>
                        <w:w w:val="105"/>
                        <w:sz w:val="18"/>
                      </w:rPr>
                      <w:t>FISCAL</w:t>
                    </w:r>
                    <w:r>
                      <w:rPr>
                        <w:b/>
                        <w:spacing w:val="-23"/>
                        <w:w w:val="105"/>
                        <w:sz w:val="18"/>
                      </w:rPr>
                      <w:t> </w:t>
                    </w:r>
                    <w:r>
                      <w:rPr>
                        <w:b/>
                        <w:w w:val="105"/>
                        <w:sz w:val="18"/>
                      </w:rPr>
                      <w:t>INDICATORS</w:t>
                    </w:r>
                    <w:r>
                      <w:rPr>
                        <w:b/>
                        <w:spacing w:val="-23"/>
                        <w:w w:val="105"/>
                        <w:sz w:val="18"/>
                      </w:rPr>
                      <w:t> </w:t>
                    </w:r>
                    <w:r>
                      <w:rPr>
                        <w:b/>
                        <w:w w:val="105"/>
                        <w:sz w:val="18"/>
                      </w:rPr>
                      <w:t>(continued)</w:t>
                    </w:r>
                  </w:p>
                  <w:p>
                    <w:pPr>
                      <w:tabs>
                        <w:tab w:pos="943" w:val="left" w:leader="none"/>
                      </w:tabs>
                      <w:spacing w:before="7"/>
                      <w:ind w:left="215" w:right="0" w:firstLine="0"/>
                      <w:jc w:val="left"/>
                      <w:rPr>
                        <w:sz w:val="18"/>
                      </w:rPr>
                    </w:pPr>
                    <w:r>
                      <w:rPr>
                        <w:w w:val="105"/>
                        <w:sz w:val="18"/>
                      </w:rPr>
                      <w:t>A6</w:t>
                      <w:tab/>
                      <w:t>Uncapped Health</w:t>
                    </w:r>
                    <w:r>
                      <w:rPr>
                        <w:spacing w:val="-3"/>
                        <w:w w:val="105"/>
                        <w:sz w:val="18"/>
                      </w:rPr>
                      <w:t> </w:t>
                    </w:r>
                    <w:r>
                      <w:rPr>
                        <w:w w:val="105"/>
                        <w:sz w:val="18"/>
                      </w:rPr>
                      <w:t>Benefits</w:t>
                    </w:r>
                  </w:p>
                </w:txbxContent>
              </v:textbox>
              <w10:wrap type="none"/>
            </v:shape>
            <v:shape style="position:absolute;left:9736;top:282;width:974;height:567" type="#_x0000_t202" filled="false" stroked="false">
              <v:textbox inset="0,0,0,0">
                <w:txbxContent>
                  <w:p>
                    <w:pPr>
                      <w:tabs>
                        <w:tab w:pos="623" w:val="left" w:leader="none"/>
                      </w:tabs>
                      <w:spacing w:before="0"/>
                      <w:ind w:left="0" w:right="0" w:firstLine="0"/>
                      <w:jc w:val="left"/>
                      <w:rPr>
                        <w:b/>
                        <w:sz w:val="18"/>
                      </w:rPr>
                    </w:pPr>
                    <w:r>
                      <w:rPr>
                        <w:b/>
                        <w:w w:val="105"/>
                        <w:sz w:val="18"/>
                      </w:rPr>
                      <w:t>No</w:t>
                      <w:tab/>
                      <w:t>Yes</w:t>
                    </w:r>
                  </w:p>
                  <w:p>
                    <w:pPr>
                      <w:spacing w:before="151"/>
                      <w:ind w:left="62" w:right="0" w:firstLine="0"/>
                      <w:jc w:val="left"/>
                      <w:rPr>
                        <w:b/>
                        <w:sz w:val="18"/>
                      </w:rPr>
                    </w:pPr>
                    <w:r>
                      <w:rPr>
                        <w:b/>
                        <w:w w:val="103"/>
                        <w:sz w:val="18"/>
                      </w:rPr>
                      <w:t>X</w:t>
                    </w:r>
                  </w:p>
                </w:txbxContent>
              </v:textbox>
              <w10:wrap type="none"/>
            </v:shape>
            <v:shape style="position:absolute;left:259;top:990;width:2665;height:704" type="#_x0000_t202" filled="false" stroked="false">
              <v:textbox inset="0,0,0,0">
                <w:txbxContent>
                  <w:p>
                    <w:pPr>
                      <w:tabs>
                        <w:tab w:pos="727" w:val="left" w:leader="none"/>
                      </w:tabs>
                      <w:spacing w:before="0"/>
                      <w:ind w:left="727" w:right="104" w:hanging="728"/>
                      <w:jc w:val="left"/>
                      <w:rPr>
                        <w:sz w:val="18"/>
                      </w:rPr>
                    </w:pPr>
                    <w:r>
                      <w:rPr>
                        <w:w w:val="105"/>
                        <w:sz w:val="18"/>
                      </w:rPr>
                      <w:t>A7</w:t>
                      <w:tab/>
                      <w:t>Independent</w:t>
                    </w:r>
                    <w:r>
                      <w:rPr>
                        <w:spacing w:val="-31"/>
                        <w:w w:val="105"/>
                        <w:sz w:val="18"/>
                      </w:rPr>
                      <w:t> </w:t>
                    </w:r>
                    <w:r>
                      <w:rPr>
                        <w:w w:val="105"/>
                        <w:sz w:val="18"/>
                      </w:rPr>
                      <w:t>Financial System</w:t>
                    </w:r>
                  </w:p>
                  <w:p>
                    <w:pPr>
                      <w:spacing w:before="80"/>
                      <w:ind w:left="727" w:right="0" w:firstLine="0"/>
                      <w:jc w:val="left"/>
                      <w:rPr>
                        <w:sz w:val="18"/>
                      </w:rPr>
                    </w:pPr>
                    <w:r>
                      <w:rPr>
                        <w:w w:val="105"/>
                        <w:sz w:val="18"/>
                      </w:rPr>
                      <w:t>Fiscal Distress</w:t>
                    </w:r>
                    <w:r>
                      <w:rPr>
                        <w:spacing w:val="-27"/>
                        <w:w w:val="105"/>
                        <w:sz w:val="18"/>
                      </w:rPr>
                      <w:t> </w:t>
                    </w:r>
                    <w:r>
                      <w:rPr>
                        <w:w w:val="105"/>
                        <w:sz w:val="18"/>
                      </w:rPr>
                      <w:t>Reports</w:t>
                    </w:r>
                  </w:p>
                </w:txbxContent>
              </v:textbox>
              <w10:wrap type="none"/>
            </v:shape>
            <v:shape style="position:absolute;left:3580;top:495;width:5676;height:1901" type="#_x0000_t202" filled="false" stroked="false">
              <v:textbox inset="0,0,0,0">
                <w:txbxContent>
                  <w:p>
                    <w:pPr>
                      <w:spacing w:before="0"/>
                      <w:ind w:left="0" w:right="109" w:firstLine="0"/>
                      <w:jc w:val="left"/>
                      <w:rPr>
                        <w:sz w:val="18"/>
                      </w:rPr>
                    </w:pPr>
                    <w:r>
                      <w:rPr>
                        <w:w w:val="105"/>
                        <w:sz w:val="18"/>
                      </w:rPr>
                      <w:t>Does</w:t>
                    </w:r>
                    <w:r>
                      <w:rPr>
                        <w:spacing w:val="-13"/>
                        <w:w w:val="105"/>
                        <w:sz w:val="18"/>
                      </w:rPr>
                      <w:t> </w:t>
                    </w:r>
                    <w:r>
                      <w:rPr>
                        <w:w w:val="105"/>
                        <w:sz w:val="18"/>
                      </w:rPr>
                      <w:t>the</w:t>
                    </w:r>
                    <w:r>
                      <w:rPr>
                        <w:spacing w:val="-14"/>
                        <w:w w:val="105"/>
                        <w:sz w:val="18"/>
                      </w:rPr>
                      <w:t> </w:t>
                    </w:r>
                    <w:r>
                      <w:rPr>
                        <w:w w:val="105"/>
                        <w:sz w:val="18"/>
                      </w:rPr>
                      <w:t>district</w:t>
                    </w:r>
                    <w:r>
                      <w:rPr>
                        <w:spacing w:val="-11"/>
                        <w:w w:val="105"/>
                        <w:sz w:val="18"/>
                      </w:rPr>
                      <w:t> </w:t>
                    </w:r>
                    <w:r>
                      <w:rPr>
                        <w:w w:val="105"/>
                        <w:sz w:val="18"/>
                      </w:rPr>
                      <w:t>provide</w:t>
                    </w:r>
                    <w:r>
                      <w:rPr>
                        <w:spacing w:val="-14"/>
                        <w:w w:val="105"/>
                        <w:sz w:val="18"/>
                      </w:rPr>
                      <w:t> </w:t>
                    </w:r>
                    <w:r>
                      <w:rPr>
                        <w:w w:val="105"/>
                        <w:sz w:val="18"/>
                      </w:rPr>
                      <w:t>uncapped</w:t>
                    </w:r>
                    <w:r>
                      <w:rPr>
                        <w:spacing w:val="-13"/>
                        <w:w w:val="105"/>
                        <w:sz w:val="18"/>
                      </w:rPr>
                      <w:t> </w:t>
                    </w:r>
                    <w:r>
                      <w:rPr>
                        <w:w w:val="105"/>
                        <w:sz w:val="18"/>
                      </w:rPr>
                      <w:t>(100%</w:t>
                    </w:r>
                    <w:r>
                      <w:rPr>
                        <w:spacing w:val="-13"/>
                        <w:w w:val="105"/>
                        <w:sz w:val="18"/>
                      </w:rPr>
                      <w:t> </w:t>
                    </w:r>
                    <w:r>
                      <w:rPr>
                        <w:w w:val="105"/>
                        <w:sz w:val="18"/>
                      </w:rPr>
                      <w:t>employer</w:t>
                    </w:r>
                    <w:r>
                      <w:rPr>
                        <w:spacing w:val="-13"/>
                        <w:w w:val="105"/>
                        <w:sz w:val="18"/>
                      </w:rPr>
                      <w:t> </w:t>
                    </w:r>
                    <w:r>
                      <w:rPr>
                        <w:w w:val="105"/>
                        <w:sz w:val="18"/>
                      </w:rPr>
                      <w:t>paid)</w:t>
                    </w:r>
                    <w:r>
                      <w:rPr>
                        <w:spacing w:val="-13"/>
                        <w:w w:val="105"/>
                        <w:sz w:val="18"/>
                      </w:rPr>
                      <w:t> </w:t>
                    </w:r>
                    <w:r>
                      <w:rPr>
                        <w:w w:val="105"/>
                        <w:sz w:val="18"/>
                      </w:rPr>
                      <w:t>health benefits for current or retired</w:t>
                    </w:r>
                    <w:r>
                      <w:rPr>
                        <w:spacing w:val="-7"/>
                        <w:w w:val="105"/>
                        <w:sz w:val="18"/>
                      </w:rPr>
                      <w:t> </w:t>
                    </w:r>
                    <w:r>
                      <w:rPr>
                        <w:w w:val="105"/>
                        <w:sz w:val="18"/>
                      </w:rPr>
                      <w:t>employees?</w:t>
                    </w:r>
                  </w:p>
                  <w:p>
                    <w:pPr>
                      <w:spacing w:before="80"/>
                      <w:ind w:left="0" w:right="109" w:firstLine="0"/>
                      <w:jc w:val="left"/>
                      <w:rPr>
                        <w:sz w:val="18"/>
                      </w:rPr>
                    </w:pPr>
                    <w:r>
                      <w:rPr>
                        <w:w w:val="105"/>
                        <w:sz w:val="18"/>
                      </w:rPr>
                      <w:t>Is the district’s financial system independent from the county office system?</w:t>
                    </w:r>
                  </w:p>
                  <w:p>
                    <w:pPr>
                      <w:spacing w:before="81"/>
                      <w:ind w:left="0" w:right="0" w:firstLine="0"/>
                      <w:jc w:val="left"/>
                      <w:rPr>
                        <w:sz w:val="18"/>
                      </w:rPr>
                    </w:pPr>
                    <w:r>
                      <w:rPr>
                        <w:w w:val="105"/>
                        <w:sz w:val="18"/>
                      </w:rPr>
                      <w:t>Does</w:t>
                    </w:r>
                    <w:r>
                      <w:rPr>
                        <w:spacing w:val="-10"/>
                        <w:w w:val="105"/>
                        <w:sz w:val="18"/>
                      </w:rPr>
                      <w:t> </w:t>
                    </w:r>
                    <w:r>
                      <w:rPr>
                        <w:w w:val="105"/>
                        <w:sz w:val="18"/>
                      </w:rPr>
                      <w:t>the</w:t>
                    </w:r>
                    <w:r>
                      <w:rPr>
                        <w:spacing w:val="-10"/>
                        <w:w w:val="105"/>
                        <w:sz w:val="18"/>
                      </w:rPr>
                      <w:t> </w:t>
                    </w:r>
                    <w:r>
                      <w:rPr>
                        <w:w w:val="105"/>
                        <w:sz w:val="18"/>
                      </w:rPr>
                      <w:t>district</w:t>
                    </w:r>
                    <w:r>
                      <w:rPr>
                        <w:spacing w:val="-7"/>
                        <w:w w:val="105"/>
                        <w:sz w:val="18"/>
                      </w:rPr>
                      <w:t> </w:t>
                    </w:r>
                    <w:r>
                      <w:rPr>
                        <w:w w:val="105"/>
                        <w:sz w:val="18"/>
                      </w:rPr>
                      <w:t>have</w:t>
                    </w:r>
                    <w:r>
                      <w:rPr>
                        <w:spacing w:val="-10"/>
                        <w:w w:val="105"/>
                        <w:sz w:val="18"/>
                      </w:rPr>
                      <w:t> </w:t>
                    </w:r>
                    <w:r>
                      <w:rPr>
                        <w:w w:val="105"/>
                        <w:sz w:val="18"/>
                      </w:rPr>
                      <w:t>any</w:t>
                    </w:r>
                    <w:r>
                      <w:rPr>
                        <w:spacing w:val="-12"/>
                        <w:w w:val="105"/>
                        <w:sz w:val="18"/>
                      </w:rPr>
                      <w:t> </w:t>
                    </w:r>
                    <w:r>
                      <w:rPr>
                        <w:w w:val="105"/>
                        <w:sz w:val="18"/>
                      </w:rPr>
                      <w:t>reports</w:t>
                    </w:r>
                    <w:r>
                      <w:rPr>
                        <w:spacing w:val="-9"/>
                        <w:w w:val="105"/>
                        <w:sz w:val="18"/>
                      </w:rPr>
                      <w:t> </w:t>
                    </w:r>
                    <w:r>
                      <w:rPr>
                        <w:w w:val="105"/>
                        <w:sz w:val="18"/>
                      </w:rPr>
                      <w:t>that</w:t>
                    </w:r>
                    <w:r>
                      <w:rPr>
                        <w:spacing w:val="-7"/>
                        <w:w w:val="105"/>
                        <w:sz w:val="18"/>
                      </w:rPr>
                      <w:t> </w:t>
                    </w:r>
                    <w:r>
                      <w:rPr>
                        <w:w w:val="105"/>
                        <w:sz w:val="18"/>
                      </w:rPr>
                      <w:t>indicate</w:t>
                    </w:r>
                    <w:r>
                      <w:rPr>
                        <w:spacing w:val="-7"/>
                        <w:w w:val="105"/>
                        <w:sz w:val="18"/>
                      </w:rPr>
                      <w:t> </w:t>
                    </w:r>
                    <w:r>
                      <w:rPr>
                        <w:w w:val="105"/>
                        <w:sz w:val="18"/>
                      </w:rPr>
                      <w:t>fiscal</w:t>
                    </w:r>
                    <w:r>
                      <w:rPr>
                        <w:spacing w:val="-9"/>
                        <w:w w:val="105"/>
                        <w:sz w:val="18"/>
                      </w:rPr>
                      <w:t> </w:t>
                    </w:r>
                    <w:r>
                      <w:rPr>
                        <w:w w:val="105"/>
                        <w:sz w:val="18"/>
                      </w:rPr>
                      <w:t>distress?</w:t>
                    </w:r>
                    <w:r>
                      <w:rPr>
                        <w:spacing w:val="-10"/>
                        <w:w w:val="105"/>
                        <w:sz w:val="18"/>
                      </w:rPr>
                      <w:t> </w:t>
                    </w:r>
                    <w:r>
                      <w:rPr>
                        <w:w w:val="105"/>
                        <w:sz w:val="18"/>
                      </w:rPr>
                      <w:t>If</w:t>
                    </w:r>
                    <w:r>
                      <w:rPr>
                        <w:spacing w:val="-10"/>
                        <w:w w:val="105"/>
                        <w:sz w:val="18"/>
                      </w:rPr>
                      <w:t> </w:t>
                    </w:r>
                    <w:r>
                      <w:rPr>
                        <w:w w:val="105"/>
                        <w:sz w:val="18"/>
                      </w:rPr>
                      <w:t>yes, provide copies to the COE, pursuant to EC</w:t>
                    </w:r>
                    <w:r>
                      <w:rPr>
                        <w:spacing w:val="-25"/>
                        <w:w w:val="105"/>
                        <w:sz w:val="18"/>
                      </w:rPr>
                      <w:t> </w:t>
                    </w:r>
                    <w:r>
                      <w:rPr>
                        <w:w w:val="105"/>
                        <w:sz w:val="18"/>
                      </w:rPr>
                      <w:t>42127.6(a).</w:t>
                    </w:r>
                  </w:p>
                  <w:p>
                    <w:pPr>
                      <w:spacing w:before="80"/>
                      <w:ind w:left="0" w:right="118" w:firstLine="0"/>
                      <w:jc w:val="left"/>
                      <w:rPr>
                        <w:sz w:val="18"/>
                      </w:rPr>
                    </w:pPr>
                    <w:r>
                      <w:rPr>
                        <w:w w:val="105"/>
                        <w:sz w:val="18"/>
                      </w:rPr>
                      <w:t>Have there been personnel changes in the superintendent or chief business official (CBO) positions within the last 12 months?</w:t>
                    </w:r>
                  </w:p>
                </w:txbxContent>
              </v:textbox>
              <w10:wrap type="none"/>
            </v:shape>
            <v:shape style="position:absolute;left:9799;top:1134;width:145;height:209" type="#_x0000_t202" filled="false" stroked="false">
              <v:textbox inset="0,0,0,0">
                <w:txbxContent>
                  <w:p>
                    <w:pPr>
                      <w:spacing w:before="0"/>
                      <w:ind w:left="0" w:right="0" w:firstLine="0"/>
                      <w:jc w:val="left"/>
                      <w:rPr>
                        <w:b/>
                        <w:sz w:val="18"/>
                      </w:rPr>
                    </w:pPr>
                    <w:r>
                      <w:rPr>
                        <w:b/>
                        <w:w w:val="103"/>
                        <w:sz w:val="18"/>
                      </w:rPr>
                      <w:t>X</w:t>
                    </w:r>
                  </w:p>
                </w:txbxContent>
              </v:textbox>
              <w10:wrap type="none"/>
            </v:shape>
            <v:shape style="position:absolute;left:259;top:1484;width:249;height:209" type="#_x0000_t202" filled="false" stroked="false">
              <v:textbox inset="0,0,0,0">
                <w:txbxContent>
                  <w:p>
                    <w:pPr>
                      <w:spacing w:before="0"/>
                      <w:ind w:left="0" w:right="0" w:firstLine="0"/>
                      <w:jc w:val="left"/>
                      <w:rPr>
                        <w:sz w:val="18"/>
                      </w:rPr>
                    </w:pPr>
                    <w:r>
                      <w:rPr>
                        <w:w w:val="105"/>
                        <w:sz w:val="18"/>
                      </w:rPr>
                      <w:t>A8</w:t>
                    </w:r>
                  </w:p>
                </w:txbxContent>
              </v:textbox>
              <w10:wrap type="none"/>
            </v:shape>
            <v:shape style="position:absolute;left:9799;top:1628;width:145;height:209" type="#_x0000_t202" filled="false" stroked="false">
              <v:textbox inset="0,0,0,0">
                <w:txbxContent>
                  <w:p>
                    <w:pPr>
                      <w:spacing w:before="0"/>
                      <w:ind w:left="0" w:right="0" w:firstLine="0"/>
                      <w:jc w:val="left"/>
                      <w:rPr>
                        <w:b/>
                        <w:sz w:val="18"/>
                      </w:rPr>
                    </w:pPr>
                    <w:r>
                      <w:rPr>
                        <w:b/>
                        <w:w w:val="103"/>
                        <w:sz w:val="18"/>
                      </w:rPr>
                      <w:t>X</w:t>
                    </w:r>
                  </w:p>
                </w:txbxContent>
              </v:textbox>
              <w10:wrap type="none"/>
            </v:shape>
            <v:shape style="position:absolute;left:259;top:1978;width:249;height:209" type="#_x0000_t202" filled="false" stroked="false">
              <v:textbox inset="0,0,0,0">
                <w:txbxContent>
                  <w:p>
                    <w:pPr>
                      <w:spacing w:before="0"/>
                      <w:ind w:left="0" w:right="0" w:firstLine="0"/>
                      <w:jc w:val="left"/>
                      <w:rPr>
                        <w:sz w:val="18"/>
                      </w:rPr>
                    </w:pPr>
                    <w:r>
                      <w:rPr>
                        <w:w w:val="105"/>
                        <w:sz w:val="18"/>
                      </w:rPr>
                      <w:t>A9</w:t>
                    </w:r>
                  </w:p>
                </w:txbxContent>
              </v:textbox>
              <w10:wrap type="none"/>
            </v:shape>
            <v:shape style="position:absolute;left:986;top:1978;width:1555;height:418" type="#_x0000_t202" filled="false" stroked="false">
              <v:textbox inset="0,0,0,0">
                <w:txbxContent>
                  <w:p>
                    <w:pPr>
                      <w:spacing w:before="0"/>
                      <w:ind w:left="0" w:right="-20" w:firstLine="0"/>
                      <w:jc w:val="left"/>
                      <w:rPr>
                        <w:sz w:val="18"/>
                      </w:rPr>
                    </w:pPr>
                    <w:r>
                      <w:rPr>
                        <w:w w:val="105"/>
                        <w:sz w:val="18"/>
                      </w:rPr>
                      <w:t>Change of CBO or Superintendent</w:t>
                    </w:r>
                  </w:p>
                </w:txbxContent>
              </v:textbox>
              <w10:wrap type="none"/>
            </v:shape>
            <v:shape style="position:absolute;left:9799;top:2122;width:145;height:209" type="#_x0000_t202" filled="false" stroked="false">
              <v:textbox inset="0,0,0,0">
                <w:txbxContent>
                  <w:p>
                    <w:pPr>
                      <w:spacing w:before="0"/>
                      <w:ind w:left="0" w:right="0" w:firstLine="0"/>
                      <w:jc w:val="left"/>
                      <w:rPr>
                        <w:b/>
                        <w:sz w:val="18"/>
                      </w:rPr>
                    </w:pPr>
                    <w:r>
                      <w:rPr>
                        <w:b/>
                        <w:w w:val="103"/>
                        <w:sz w:val="18"/>
                      </w:rPr>
                      <w:t>X</w:t>
                    </w:r>
                  </w:p>
                </w:txbxContent>
              </v:textbox>
              <w10:wrap type="none"/>
            </v:shape>
          </v:group>
        </w:pict>
      </w:r>
      <w:r>
        <w:rPr>
          <w:sz w:val="20"/>
        </w:rPr>
      </w:r>
    </w:p>
    <w:p>
      <w:pPr>
        <w:spacing w:after="0"/>
        <w:rPr>
          <w:sz w:val="20"/>
        </w:rPr>
        <w:sectPr>
          <w:pgSz w:w="12240" w:h="15840"/>
          <w:pgMar w:header="676" w:footer="649" w:top="1500" w:bottom="840" w:left="160" w:right="180"/>
        </w:sectPr>
      </w:pPr>
    </w:p>
    <w:p>
      <w:pPr>
        <w:pStyle w:val="BodyText"/>
        <w:spacing w:before="6"/>
        <w:rPr>
          <w:sz w:val="23"/>
        </w:rPr>
      </w:pPr>
    </w:p>
    <w:p>
      <w:pPr>
        <w:spacing w:before="0"/>
        <w:ind w:left="480" w:right="14" w:firstLine="0"/>
        <w:jc w:val="left"/>
        <w:rPr>
          <w:sz w:val="17"/>
        </w:rPr>
      </w:pPr>
      <w:bookmarkStart w:name="FORM CC" w:id="2"/>
      <w:bookmarkEnd w:id="2"/>
      <w:r>
        <w:rPr/>
      </w:r>
      <w:r>
        <w:rPr>
          <w:w w:val="105"/>
          <w:sz w:val="17"/>
        </w:rPr>
        <w:t>Winship-Robbins Elementary Sutter County</w:t>
      </w:r>
    </w:p>
    <w:p>
      <w:pPr>
        <w:spacing w:before="74"/>
        <w:ind w:left="458" w:right="17" w:firstLine="0"/>
        <w:jc w:val="center"/>
        <w:rPr>
          <w:sz w:val="17"/>
        </w:rPr>
      </w:pPr>
      <w:r>
        <w:rPr/>
        <w:br w:type="column"/>
      </w:r>
      <w:r>
        <w:rPr>
          <w:w w:val="105"/>
          <w:sz w:val="17"/>
        </w:rPr>
        <w:t>July 1 Budget</w:t>
      </w:r>
    </w:p>
    <w:p>
      <w:pPr>
        <w:spacing w:before="1"/>
        <w:ind w:left="458" w:right="18" w:firstLine="0"/>
        <w:jc w:val="center"/>
        <w:rPr>
          <w:sz w:val="17"/>
        </w:rPr>
      </w:pPr>
      <w:r>
        <w:rPr>
          <w:w w:val="105"/>
          <w:sz w:val="17"/>
        </w:rPr>
        <w:t>2021-22 Budget</w:t>
      </w:r>
    </w:p>
    <w:p>
      <w:pPr>
        <w:spacing w:before="1"/>
        <w:ind w:left="458" w:right="18" w:firstLine="0"/>
        <w:jc w:val="center"/>
        <w:rPr>
          <w:sz w:val="17"/>
        </w:rPr>
      </w:pPr>
      <w:r>
        <w:rPr>
          <w:w w:val="105"/>
          <w:sz w:val="17"/>
        </w:rPr>
        <w:t>Workers' Compensation Certification</w:t>
      </w:r>
    </w:p>
    <w:p>
      <w:pPr>
        <w:pStyle w:val="BodyText"/>
        <w:spacing w:before="6"/>
        <w:rPr>
          <w:sz w:val="23"/>
        </w:rPr>
      </w:pPr>
      <w:r>
        <w:rPr/>
        <w:br w:type="column"/>
      </w:r>
      <w:r>
        <w:rPr>
          <w:sz w:val="23"/>
        </w:rPr>
      </w:r>
    </w:p>
    <w:p>
      <w:pPr>
        <w:spacing w:before="0"/>
        <w:ind w:left="480" w:right="0" w:firstLine="0"/>
        <w:jc w:val="left"/>
        <w:rPr>
          <w:sz w:val="17"/>
        </w:rPr>
      </w:pPr>
      <w:r>
        <w:rPr>
          <w:w w:val="105"/>
          <w:sz w:val="17"/>
        </w:rPr>
        <w:t>51 71456</w:t>
      </w:r>
      <w:r>
        <w:rPr>
          <w:spacing w:val="-18"/>
          <w:w w:val="105"/>
          <w:sz w:val="17"/>
        </w:rPr>
        <w:t> </w:t>
      </w:r>
      <w:r>
        <w:rPr>
          <w:w w:val="105"/>
          <w:sz w:val="17"/>
        </w:rPr>
        <w:t>0000000</w:t>
      </w:r>
    </w:p>
    <w:p>
      <w:pPr>
        <w:spacing w:before="1"/>
        <w:ind w:left="1236" w:right="0" w:firstLine="0"/>
        <w:jc w:val="left"/>
        <w:rPr>
          <w:sz w:val="17"/>
        </w:rPr>
      </w:pPr>
      <w:r>
        <w:rPr>
          <w:w w:val="105"/>
          <w:sz w:val="17"/>
        </w:rPr>
        <w:t>Form</w:t>
      </w:r>
      <w:r>
        <w:rPr>
          <w:spacing w:val="-2"/>
          <w:w w:val="105"/>
          <w:sz w:val="17"/>
        </w:rPr>
        <w:t> </w:t>
      </w:r>
      <w:r>
        <w:rPr>
          <w:w w:val="105"/>
          <w:sz w:val="17"/>
        </w:rPr>
        <w:t>CC</w:t>
      </w:r>
    </w:p>
    <w:p>
      <w:pPr>
        <w:spacing w:after="0"/>
        <w:jc w:val="left"/>
        <w:rPr>
          <w:sz w:val="17"/>
        </w:rPr>
        <w:sectPr>
          <w:headerReference w:type="default" r:id="rId72"/>
          <w:footerReference w:type="default" r:id="rId73"/>
          <w:pgSz w:w="12240" w:h="15840"/>
          <w:pgMar w:header="0" w:footer="239" w:top="820" w:bottom="420" w:left="160" w:right="180"/>
          <w:cols w:num="3" w:equalWidth="0">
            <w:col w:w="2816" w:space="1219"/>
            <w:col w:w="3408" w:space="2037"/>
            <w:col w:w="2420"/>
          </w:cols>
        </w:sectPr>
      </w:pPr>
    </w:p>
    <w:p>
      <w:pPr>
        <w:pStyle w:val="BodyText"/>
        <w:rPr>
          <w:sz w:val="20"/>
        </w:rPr>
      </w:pPr>
    </w:p>
    <w:p>
      <w:pPr>
        <w:pStyle w:val="BodyText"/>
        <w:rPr>
          <w:sz w:val="20"/>
        </w:rPr>
      </w:pPr>
    </w:p>
    <w:p>
      <w:pPr>
        <w:pStyle w:val="BodyText"/>
        <w:rPr>
          <w:sz w:val="20"/>
        </w:rPr>
      </w:pPr>
    </w:p>
    <w:p>
      <w:pPr>
        <w:pStyle w:val="BodyText"/>
        <w:spacing w:before="3"/>
        <w:rPr>
          <w:sz w:val="20"/>
        </w:rPr>
      </w:pPr>
    </w:p>
    <w:p>
      <w:pPr>
        <w:spacing w:before="0"/>
        <w:ind w:left="1176" w:right="0" w:firstLine="0"/>
        <w:jc w:val="left"/>
        <w:rPr>
          <w:sz w:val="17"/>
        </w:rPr>
      </w:pPr>
      <w:r>
        <w:rPr/>
        <w:pict>
          <v:group style="position:absolute;margin-left:34.079998pt;margin-top:-8.707066pt;width:536.2pt;height:455.55pt;mso-position-horizontal-relative:page;mso-position-vertical-relative:paragraph;z-index:-314653696" coordorigin="682,-174" coordsize="10724,9111">
            <v:shape style="position:absolute;left:681;top:-175;width:10724;height:372" type="#_x0000_t75" stroked="false">
              <v:imagedata r:id="rId74" o:title=""/>
            </v:shape>
            <v:shape style="position:absolute;left:1298;top:2374;width:238;height:8" type="#_x0000_t75" stroked="false">
              <v:imagedata r:id="rId75" o:title=""/>
            </v:shape>
            <v:shape style="position:absolute;left:8208;top:2950;width:1565;height:8" type="#_x0000_t75" stroked="false">
              <v:imagedata r:id="rId76" o:title=""/>
            </v:shape>
            <v:shape style="position:absolute;left:8208;top:3178;width:1565;height:8" type="#_x0000_t75" stroked="false">
              <v:imagedata r:id="rId76" o:title=""/>
            </v:shape>
            <v:shape style="position:absolute;left:8208;top:3406;width:1565;height:8" type="#_x0000_t75" stroked="false">
              <v:imagedata r:id="rId76" o:title=""/>
            </v:shape>
            <v:shape style="position:absolute;left:1298;top:3874;width:238;height:8" type="#_x0000_t75" stroked="false">
              <v:imagedata r:id="rId75" o:title=""/>
            </v:shape>
            <v:shape style="position:absolute;left:1696;top:4330;width:8076;height:8" type="#_x0000_t75" stroked="false">
              <v:imagedata r:id="rId77" o:title=""/>
            </v:shape>
            <v:shape style="position:absolute;left:1696;top:4558;width:8076;height:8" type="#_x0000_t75" stroked="false">
              <v:imagedata r:id="rId77" o:title=""/>
            </v:shape>
            <v:shape style="position:absolute;left:1298;top:5014;width:238;height:8" type="#_x0000_t75" stroked="false">
              <v:imagedata r:id="rId75" o:title=""/>
            </v:shape>
            <v:shape style="position:absolute;left:681;top:-33;width:10724;height:6658" type="#_x0000_t75" stroked="false">
              <v:imagedata r:id="rId78" o:title=""/>
            </v:shape>
            <v:shape style="position:absolute;left:1696;top:5470;width:2976;height:8" type="#_x0000_t75" stroked="false">
              <v:imagedata r:id="rId79" o:title=""/>
            </v:shape>
            <v:shape style="position:absolute;left:8208;top:5470;width:1565;height:8" type="#_x0000_t75" stroked="false">
              <v:imagedata r:id="rId76" o:title=""/>
            </v:shape>
            <v:shape style="position:absolute;left:1696;top:7433;width:2976;height:8" type="#_x0000_t75" stroked="false">
              <v:imagedata r:id="rId79" o:title=""/>
            </v:shape>
            <v:shape style="position:absolute;left:1696;top:7889;width:2976;height:8" type="#_x0000_t75" stroked="false">
              <v:imagedata r:id="rId79" o:title=""/>
            </v:shape>
            <v:shape style="position:absolute;left:1696;top:8345;width:2976;height:8" type="#_x0000_t75" stroked="false">
              <v:imagedata r:id="rId79" o:title=""/>
            </v:shape>
            <v:shape style="position:absolute;left:681;top:6394;width:10724;height:2542" type="#_x0000_t75" stroked="false">
              <v:imagedata r:id="rId80" o:title=""/>
            </v:shape>
            <v:shape style="position:absolute;left:1696;top:8801;width:2976;height:8" type="#_x0000_t75" stroked="false">
              <v:imagedata r:id="rId79" o:title=""/>
            </v:shape>
            <w10:wrap type="none"/>
          </v:group>
        </w:pict>
      </w:r>
      <w:r>
        <w:rPr>
          <w:w w:val="105"/>
          <w:sz w:val="17"/>
        </w:rPr>
        <w:t>ANNUAL CERTIFICATION REGARDING SELF-INSURED WORKERS' COMPENSATION CLAIMS</w:t>
      </w:r>
    </w:p>
    <w:p>
      <w:pPr>
        <w:pStyle w:val="BodyText"/>
        <w:spacing w:before="10"/>
      </w:pPr>
    </w:p>
    <w:p>
      <w:pPr>
        <w:spacing w:line="280" w:lineRule="auto" w:before="101"/>
        <w:ind w:left="1176" w:right="1475" w:firstLine="0"/>
        <w:jc w:val="left"/>
        <w:rPr>
          <w:sz w:val="17"/>
        </w:rPr>
      </w:pPr>
      <w:r>
        <w:rPr>
          <w:w w:val="105"/>
          <w:sz w:val="17"/>
        </w:rPr>
        <w:t>Pursuant to EC Section 42141, if a school district, either individually or as a member of a joint powers agency, is self- insured for workers' compensation claims, the superintendent of the school district annually shall provide information to the governing board of the school district regarding the estimated accrued but unfunded cost of those claims. The governing board annually shall certify to the county superintendent of schools the amount of money, if any, that it has decided to reserve in its budget for the cost of those claims.</w:t>
      </w:r>
    </w:p>
    <w:p>
      <w:pPr>
        <w:pStyle w:val="BodyText"/>
        <w:spacing w:before="9"/>
        <w:rPr>
          <w:sz w:val="10"/>
        </w:rPr>
      </w:pPr>
    </w:p>
    <w:p>
      <w:pPr>
        <w:spacing w:before="101"/>
        <w:ind w:left="1176" w:right="0" w:firstLine="0"/>
        <w:jc w:val="left"/>
        <w:rPr>
          <w:sz w:val="17"/>
        </w:rPr>
      </w:pPr>
      <w:r>
        <w:rPr>
          <w:w w:val="105"/>
          <w:sz w:val="17"/>
        </w:rPr>
        <w:t>To the County Superintendent of Schools:</w:t>
      </w:r>
    </w:p>
    <w:p>
      <w:pPr>
        <w:tabs>
          <w:tab w:pos="1407" w:val="left" w:leader="none"/>
        </w:tabs>
        <w:spacing w:line="280" w:lineRule="auto" w:before="160"/>
        <w:ind w:left="1575" w:right="3278" w:hanging="528"/>
        <w:jc w:val="left"/>
        <w:rPr>
          <w:sz w:val="17"/>
        </w:rPr>
      </w:pPr>
      <w:r>
        <w:rPr>
          <w:w w:val="105"/>
          <w:sz w:val="17"/>
        </w:rPr>
        <w:t>(</w:t>
        <w:tab/>
        <w:t>)</w:t>
      </w:r>
      <w:r>
        <w:rPr>
          <w:spacing w:val="5"/>
          <w:w w:val="105"/>
          <w:sz w:val="17"/>
        </w:rPr>
        <w:t> </w:t>
      </w:r>
      <w:r>
        <w:rPr>
          <w:w w:val="105"/>
          <w:sz w:val="17"/>
        </w:rPr>
        <w:t>Our district is self-insured for workers' compensation claims as defined in Education Code Section</w:t>
      </w:r>
      <w:r>
        <w:rPr>
          <w:spacing w:val="-1"/>
          <w:w w:val="105"/>
          <w:sz w:val="17"/>
        </w:rPr>
        <w:t> </w:t>
      </w:r>
      <w:r>
        <w:rPr>
          <w:w w:val="105"/>
          <w:sz w:val="17"/>
        </w:rPr>
        <w:t>42141(a):</w:t>
      </w:r>
    </w:p>
    <w:p>
      <w:pPr>
        <w:tabs>
          <w:tab w:pos="7918" w:val="left" w:leader="none"/>
        </w:tabs>
        <w:spacing w:before="118"/>
        <w:ind w:left="1575" w:right="0" w:firstLine="0"/>
        <w:jc w:val="left"/>
        <w:rPr>
          <w:sz w:val="17"/>
        </w:rPr>
      </w:pPr>
      <w:r>
        <w:rPr>
          <w:w w:val="105"/>
          <w:sz w:val="17"/>
        </w:rPr>
        <w:t>Total liabilities</w:t>
      </w:r>
      <w:r>
        <w:rPr>
          <w:spacing w:val="-14"/>
          <w:w w:val="105"/>
          <w:sz w:val="17"/>
        </w:rPr>
        <w:t> </w:t>
      </w:r>
      <w:r>
        <w:rPr>
          <w:w w:val="105"/>
          <w:sz w:val="17"/>
        </w:rPr>
        <w:t>actuarially</w:t>
      </w:r>
      <w:r>
        <w:rPr>
          <w:spacing w:val="-11"/>
          <w:w w:val="105"/>
          <w:sz w:val="17"/>
        </w:rPr>
        <w:t> </w:t>
      </w:r>
      <w:r>
        <w:rPr>
          <w:w w:val="105"/>
          <w:sz w:val="17"/>
        </w:rPr>
        <w:t>determined:</w:t>
        <w:tab/>
        <w:t>$</w:t>
      </w:r>
    </w:p>
    <w:p>
      <w:pPr>
        <w:tabs>
          <w:tab w:pos="7918" w:val="left" w:leader="none"/>
        </w:tabs>
        <w:spacing w:before="33"/>
        <w:ind w:left="1575" w:right="0" w:firstLine="0"/>
        <w:jc w:val="left"/>
        <w:rPr>
          <w:sz w:val="17"/>
        </w:rPr>
      </w:pPr>
      <w:r>
        <w:rPr>
          <w:w w:val="105"/>
          <w:sz w:val="17"/>
        </w:rPr>
        <w:t>Less: Amount of total liabilities reserved</w:t>
      </w:r>
      <w:r>
        <w:rPr>
          <w:spacing w:val="-22"/>
          <w:w w:val="105"/>
          <w:sz w:val="17"/>
        </w:rPr>
        <w:t> </w:t>
      </w:r>
      <w:r>
        <w:rPr>
          <w:w w:val="105"/>
          <w:sz w:val="17"/>
        </w:rPr>
        <w:t>in</w:t>
      </w:r>
      <w:r>
        <w:rPr>
          <w:spacing w:val="-3"/>
          <w:w w:val="105"/>
          <w:sz w:val="17"/>
        </w:rPr>
        <w:t> </w:t>
      </w:r>
      <w:r>
        <w:rPr>
          <w:w w:val="105"/>
          <w:sz w:val="17"/>
        </w:rPr>
        <w:t>budget:</w:t>
        <w:tab/>
        <w:t>$</w:t>
      </w:r>
    </w:p>
    <w:p>
      <w:pPr>
        <w:tabs>
          <w:tab w:pos="7918" w:val="left" w:leader="none"/>
          <w:tab w:pos="9168" w:val="left" w:leader="none"/>
        </w:tabs>
        <w:spacing w:before="32"/>
        <w:ind w:left="1575" w:right="0" w:firstLine="0"/>
        <w:jc w:val="left"/>
        <w:rPr>
          <w:sz w:val="17"/>
        </w:rPr>
      </w:pPr>
      <w:r>
        <w:rPr>
          <w:w w:val="105"/>
          <w:sz w:val="17"/>
        </w:rPr>
        <w:t>Estimated accrued but</w:t>
      </w:r>
      <w:r>
        <w:rPr>
          <w:spacing w:val="-18"/>
          <w:w w:val="105"/>
          <w:sz w:val="17"/>
        </w:rPr>
        <w:t> </w:t>
      </w:r>
      <w:r>
        <w:rPr>
          <w:w w:val="105"/>
          <w:sz w:val="17"/>
        </w:rPr>
        <w:t>unfunded</w:t>
      </w:r>
      <w:r>
        <w:rPr>
          <w:spacing w:val="-4"/>
          <w:w w:val="105"/>
          <w:sz w:val="17"/>
        </w:rPr>
        <w:t> </w:t>
      </w:r>
      <w:r>
        <w:rPr>
          <w:w w:val="105"/>
          <w:sz w:val="17"/>
        </w:rPr>
        <w:t>liabilities:</w:t>
        <w:tab/>
        <w:t>$</w:t>
        <w:tab/>
        <w:t>0.00</w:t>
      </w:r>
    </w:p>
    <w:p>
      <w:pPr>
        <w:pStyle w:val="BodyText"/>
        <w:spacing w:before="11"/>
        <w:rPr>
          <w:sz w:val="14"/>
        </w:rPr>
      </w:pPr>
    </w:p>
    <w:p>
      <w:pPr>
        <w:spacing w:line="280" w:lineRule="auto" w:before="101"/>
        <w:ind w:left="1575" w:right="4579" w:hanging="528"/>
        <w:jc w:val="left"/>
        <w:rPr>
          <w:sz w:val="17"/>
        </w:rPr>
      </w:pPr>
      <w:r>
        <w:rPr>
          <w:w w:val="105"/>
          <w:sz w:val="17"/>
        </w:rPr>
        <w:t>( X ) This school district is self-insured for workers' compensation claims through a JPA, and offers the following information:</w:t>
      </w:r>
    </w:p>
    <w:p>
      <w:pPr>
        <w:pStyle w:val="BodyText"/>
        <w:rPr>
          <w:sz w:val="20"/>
        </w:rPr>
      </w:pPr>
    </w:p>
    <w:p>
      <w:pPr>
        <w:pStyle w:val="BodyText"/>
        <w:rPr>
          <w:sz w:val="20"/>
        </w:rPr>
      </w:pPr>
    </w:p>
    <w:p>
      <w:pPr>
        <w:pStyle w:val="BodyText"/>
        <w:spacing w:before="4"/>
        <w:rPr>
          <w:sz w:val="19"/>
        </w:rPr>
      </w:pPr>
    </w:p>
    <w:p>
      <w:pPr>
        <w:tabs>
          <w:tab w:pos="1407" w:val="left" w:leader="none"/>
        </w:tabs>
        <w:spacing w:before="0"/>
        <w:ind w:left="1047" w:right="0" w:firstLine="0"/>
        <w:jc w:val="left"/>
        <w:rPr>
          <w:sz w:val="17"/>
        </w:rPr>
      </w:pPr>
      <w:r>
        <w:rPr>
          <w:w w:val="105"/>
          <w:sz w:val="17"/>
        </w:rPr>
        <w:t>(</w:t>
        <w:tab/>
        <w:t>) This school district is not self-insured for workers' compensation</w:t>
      </w:r>
      <w:r>
        <w:rPr>
          <w:spacing w:val="8"/>
          <w:w w:val="105"/>
          <w:sz w:val="17"/>
        </w:rPr>
        <w:t> </w:t>
      </w:r>
      <w:r>
        <w:rPr>
          <w:w w:val="105"/>
          <w:sz w:val="17"/>
        </w:rPr>
        <w:t>claims.</w:t>
      </w:r>
    </w:p>
    <w:p>
      <w:pPr>
        <w:pStyle w:val="BodyText"/>
        <w:spacing w:before="10"/>
      </w:pPr>
    </w:p>
    <w:p>
      <w:pPr>
        <w:tabs>
          <w:tab w:pos="6713" w:val="left" w:leader="none"/>
        </w:tabs>
        <w:spacing w:before="101"/>
        <w:ind w:left="956" w:right="0" w:firstLine="0"/>
        <w:jc w:val="left"/>
        <w:rPr>
          <w:sz w:val="17"/>
        </w:rPr>
      </w:pPr>
      <w:r>
        <w:rPr>
          <w:w w:val="105"/>
          <w:sz w:val="17"/>
        </w:rPr>
        <w:t>Signed</w:t>
        <w:tab/>
        <w:t>Date of</w:t>
      </w:r>
      <w:r>
        <w:rPr>
          <w:spacing w:val="2"/>
          <w:w w:val="105"/>
          <w:sz w:val="17"/>
        </w:rPr>
        <w:t> </w:t>
      </w:r>
      <w:r>
        <w:rPr>
          <w:w w:val="105"/>
          <w:sz w:val="17"/>
        </w:rPr>
        <w:t>Meeting:</w:t>
      </w:r>
    </w:p>
    <w:p>
      <w:pPr>
        <w:pStyle w:val="Heading9"/>
        <w:spacing w:line="340" w:lineRule="auto" w:before="68"/>
        <w:ind w:left="2139" w:right="7177" w:hanging="377"/>
      </w:pPr>
      <w:r>
        <w:rPr/>
        <w:t>Clerk/Secretary of the Governing Board (Original signature required)</w:t>
      </w:r>
    </w:p>
    <w:p>
      <w:pPr>
        <w:pStyle w:val="BodyText"/>
        <w:spacing w:before="8"/>
        <w:rPr>
          <w:sz w:val="28"/>
        </w:rPr>
      </w:pPr>
    </w:p>
    <w:p>
      <w:pPr>
        <w:spacing w:before="101"/>
        <w:ind w:left="1575" w:right="0" w:firstLine="0"/>
        <w:jc w:val="left"/>
        <w:rPr>
          <w:sz w:val="17"/>
        </w:rPr>
      </w:pPr>
      <w:r>
        <w:rPr>
          <w:w w:val="105"/>
          <w:sz w:val="17"/>
        </w:rPr>
        <w:t>For additional information on this certification, please contact:</w:t>
      </w:r>
    </w:p>
    <w:p>
      <w:pPr>
        <w:pStyle w:val="BodyText"/>
        <w:rPr>
          <w:sz w:val="20"/>
        </w:rPr>
      </w:pPr>
    </w:p>
    <w:p>
      <w:pPr>
        <w:pStyle w:val="BodyText"/>
        <w:spacing w:before="9"/>
        <w:rPr>
          <w:sz w:val="24"/>
        </w:rPr>
      </w:pPr>
    </w:p>
    <w:p>
      <w:pPr>
        <w:tabs>
          <w:tab w:pos="1575" w:val="left" w:leader="none"/>
        </w:tabs>
        <w:spacing w:before="101"/>
        <w:ind w:left="616" w:right="0" w:firstLine="0"/>
        <w:jc w:val="left"/>
        <w:rPr>
          <w:sz w:val="17"/>
        </w:rPr>
      </w:pPr>
      <w:r>
        <w:rPr>
          <w:w w:val="105"/>
          <w:sz w:val="17"/>
        </w:rPr>
        <w:t>Name:</w:t>
        <w:tab/>
        <w:t>Dawn</w:t>
      </w:r>
      <w:r>
        <w:rPr>
          <w:spacing w:val="-3"/>
          <w:w w:val="105"/>
          <w:sz w:val="17"/>
        </w:rPr>
        <w:t> </w:t>
      </w:r>
      <w:r>
        <w:rPr>
          <w:w w:val="105"/>
          <w:sz w:val="17"/>
        </w:rPr>
        <w:t>Carl</w:t>
      </w:r>
    </w:p>
    <w:p>
      <w:pPr>
        <w:pStyle w:val="BodyText"/>
        <w:spacing w:before="10"/>
      </w:pPr>
    </w:p>
    <w:p>
      <w:pPr>
        <w:tabs>
          <w:tab w:pos="1575" w:val="left" w:leader="none"/>
        </w:tabs>
        <w:spacing w:before="101"/>
        <w:ind w:left="616" w:right="0" w:firstLine="0"/>
        <w:jc w:val="left"/>
        <w:rPr>
          <w:sz w:val="17"/>
        </w:rPr>
      </w:pPr>
      <w:r>
        <w:rPr>
          <w:w w:val="105"/>
          <w:sz w:val="17"/>
        </w:rPr>
        <w:t>Title:</w:t>
        <w:tab/>
        <w:t>Superintendent/Principal</w:t>
      </w:r>
    </w:p>
    <w:p>
      <w:pPr>
        <w:pStyle w:val="BodyText"/>
        <w:spacing w:before="10"/>
      </w:pPr>
    </w:p>
    <w:p>
      <w:pPr>
        <w:spacing w:before="101"/>
        <w:ind w:left="616" w:right="0" w:firstLine="0"/>
        <w:jc w:val="left"/>
        <w:rPr>
          <w:sz w:val="17"/>
        </w:rPr>
      </w:pPr>
      <w:r>
        <w:rPr>
          <w:w w:val="105"/>
          <w:sz w:val="17"/>
        </w:rPr>
        <w:t>Telephone: 530-738-4386</w:t>
      </w:r>
    </w:p>
    <w:p>
      <w:pPr>
        <w:pStyle w:val="BodyText"/>
        <w:spacing w:before="10"/>
      </w:pPr>
    </w:p>
    <w:p>
      <w:pPr>
        <w:tabs>
          <w:tab w:pos="1575" w:val="left" w:leader="none"/>
        </w:tabs>
        <w:spacing w:before="101"/>
        <w:ind w:left="616" w:right="0" w:firstLine="0"/>
        <w:jc w:val="left"/>
        <w:rPr>
          <w:sz w:val="17"/>
        </w:rPr>
      </w:pPr>
      <w:r>
        <w:rPr>
          <w:w w:val="105"/>
          <w:sz w:val="17"/>
        </w:rPr>
        <w:t>E-mail:</w:t>
        <w:tab/>
      </w:r>
      <w:hyperlink r:id="rId14">
        <w:r>
          <w:rPr>
            <w:w w:val="105"/>
            <w:sz w:val="17"/>
          </w:rPr>
          <w:t>dawnc@sutter.k12.ca.us</w:t>
        </w:r>
      </w:hyperlink>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3"/>
        </w:rPr>
      </w:pPr>
    </w:p>
    <w:p>
      <w:pPr>
        <w:spacing w:before="0"/>
        <w:ind w:left="480" w:right="0" w:firstLine="0"/>
        <w:jc w:val="left"/>
        <w:rPr>
          <w:sz w:val="17"/>
        </w:rPr>
      </w:pPr>
      <w:r>
        <w:rPr>
          <w:w w:val="105"/>
          <w:sz w:val="17"/>
        </w:rPr>
        <w:t>California Dept of Education</w:t>
      </w:r>
    </w:p>
    <w:p>
      <w:pPr>
        <w:spacing w:before="1"/>
        <w:ind w:left="480" w:right="0" w:firstLine="0"/>
        <w:jc w:val="left"/>
        <w:rPr>
          <w:sz w:val="17"/>
        </w:rPr>
      </w:pPr>
      <w:r>
        <w:rPr>
          <w:w w:val="105"/>
          <w:sz w:val="17"/>
        </w:rPr>
        <w:t>SACS Financial Reporting Software - 2021.1.0</w:t>
      </w:r>
    </w:p>
    <w:p>
      <w:pPr>
        <w:spacing w:after="0"/>
        <w:jc w:val="left"/>
        <w:rPr>
          <w:sz w:val="17"/>
        </w:rPr>
        <w:sectPr>
          <w:type w:val="continuous"/>
          <w:pgSz w:w="12240" w:h="15840"/>
          <w:pgMar w:top="1500" w:bottom="840" w:left="160" w:right="180"/>
        </w:sectPr>
      </w:pPr>
    </w:p>
    <w:p>
      <w:pPr>
        <w:pStyle w:val="BodyText"/>
        <w:spacing w:before="5"/>
        <w:rPr>
          <w:sz w:val="23"/>
        </w:rPr>
      </w:pPr>
      <w:r>
        <w:rPr/>
        <w:pict>
          <v:group style="position:absolute;margin-left:14.280001pt;margin-top:40.079998pt;width:581.3pt;height:366.5pt;mso-position-horizontal-relative:page;mso-position-vertical-relative:page;z-index:-314649600" coordorigin="286,802" coordsize="11626,7330">
            <v:shape style="position:absolute;left:285;top:801;width:11626;height:168" type="#_x0000_t75" stroked="false">
              <v:imagedata r:id="rId83" o:title=""/>
            </v:shape>
            <v:shape style="position:absolute;left:285;top:964;width:2542;height:507" type="#_x0000_t75" stroked="false">
              <v:imagedata r:id="rId84" o:title=""/>
            </v:shape>
            <v:shape style="position:absolute;left:2824;top:832;width:9087;height:639" type="#_x0000_t75" stroked="false">
              <v:imagedata r:id="rId85" o:title=""/>
            </v:shape>
            <v:shape style="position:absolute;left:4648;top:964;width:7263;height:1116" type="#_x0000_t75" stroked="false">
              <v:imagedata r:id="rId86" o:title=""/>
            </v:shape>
            <v:shape style="position:absolute;left:4648;top:1848;width:7263;height:464" type="#_x0000_t75" stroked="false">
              <v:imagedata r:id="rId87" o:title=""/>
            </v:shape>
            <v:shape style="position:absolute;left:4648;top:2078;width:7263;height:464" type="#_x0000_t75" stroked="false">
              <v:imagedata r:id="rId88" o:title=""/>
            </v:shape>
            <v:shape style="position:absolute;left:7972;top:2308;width:3939;height:464" type="#_x0000_t75" stroked="false">
              <v:imagedata r:id="rId89" o:title=""/>
            </v:shape>
            <v:shape style="position:absolute;left:285;top:1466;width:2542;height:1539" type="#_x0000_t75" stroked="false">
              <v:imagedata r:id="rId90" o:title=""/>
            </v:shape>
            <v:shape style="position:absolute;left:2824;top:2539;width:4044;height:466" type="#_x0000_t75" stroked="false">
              <v:imagedata r:id="rId91" o:title=""/>
            </v:shape>
            <v:shape style="position:absolute;left:5757;top:2539;width:4438;height:466" type="#_x0000_t75" stroked="false">
              <v:imagedata r:id="rId92" o:title=""/>
            </v:shape>
            <v:shape style="position:absolute;left:9084;top:2539;width:2828;height:466" type="#_x0000_t75" stroked="false">
              <v:imagedata r:id="rId93" o:title=""/>
            </v:shape>
            <v:shape style="position:absolute;left:4648;top:2769;width:7263;height:1076" type="#_x0000_t75" stroked="false">
              <v:imagedata r:id="rId94" o:title=""/>
            </v:shape>
            <v:shape style="position:absolute;left:285;top:3000;width:2542;height:2612" type="#_x0000_t75" stroked="false">
              <v:imagedata r:id="rId95" o:title=""/>
            </v:shape>
            <v:shape style="position:absolute;left:4648;top:3612;width:7263;height:464" type="#_x0000_t75" stroked="false">
              <v:imagedata r:id="rId96" o:title=""/>
            </v:shape>
            <v:shape style="position:absolute;left:4648;top:3842;width:7263;height:464" type="#_x0000_t75" stroked="false">
              <v:imagedata r:id="rId96" o:title=""/>
            </v:shape>
            <v:shape style="position:absolute;left:4648;top:4072;width:7263;height:464" type="#_x0000_t75" stroked="false">
              <v:imagedata r:id="rId96" o:title=""/>
            </v:shape>
            <v:shape style="position:absolute;left:4648;top:4303;width:7263;height:464" type="#_x0000_t75" stroked="false">
              <v:imagedata r:id="rId96" o:title=""/>
            </v:shape>
            <v:shape style="position:absolute;left:4648;top:4533;width:7263;height:615" type="#_x0000_t75" stroked="false">
              <v:imagedata r:id="rId97" o:title=""/>
            </v:shape>
            <v:shape style="position:absolute;left:4648;top:4994;width:7263;height:384" type="#_x0000_t75" stroked="false">
              <v:imagedata r:id="rId98" o:title=""/>
            </v:shape>
            <v:shape style="position:absolute;left:2824;top:5145;width:4044;height:466" type="#_x0000_t75" stroked="false">
              <v:imagedata r:id="rId99" o:title=""/>
            </v:shape>
            <v:shape style="position:absolute;left:5757;top:5145;width:4438;height:466" type="#_x0000_t75" stroked="false">
              <v:imagedata r:id="rId100" o:title=""/>
            </v:shape>
            <v:shape style="position:absolute;left:7972;top:5145;width:3939;height:466" type="#_x0000_t75" stroked="false">
              <v:imagedata r:id="rId101" o:title=""/>
            </v:shape>
            <v:shape style="position:absolute;left:285;top:5606;width:2542;height:538" type="#_x0000_t75" stroked="false">
              <v:imagedata r:id="rId102" o:title=""/>
            </v:shape>
            <v:shape style="position:absolute;left:2824;top:5376;width:9087;height:1450" type="#_x0000_t75" stroked="false">
              <v:imagedata r:id="rId103" o:title=""/>
            </v:shape>
            <v:shape style="position:absolute;left:285;top:6139;width:3641;height:1992" type="#_x0000_t75" stroked="false">
              <v:imagedata r:id="rId104" o:title=""/>
            </v:shape>
            <v:shape style="position:absolute;left:304;top:3102;width:1036;height:126" type="#_x0000_t202" filled="false" stroked="false">
              <v:textbox inset="0,0,0,0">
                <w:txbxContent>
                  <w:p>
                    <w:pPr>
                      <w:spacing w:line="125" w:lineRule="exact" w:before="0"/>
                      <w:ind w:left="0" w:right="0" w:firstLine="0"/>
                      <w:jc w:val="left"/>
                      <w:rPr>
                        <w:b/>
                        <w:sz w:val="11"/>
                      </w:rPr>
                    </w:pPr>
                    <w:r>
                      <w:rPr>
                        <w:b/>
                        <w:sz w:val="11"/>
                      </w:rPr>
                      <w:t>B. EXPENDITURES</w:t>
                    </w:r>
                  </w:p>
                </w:txbxContent>
              </v:textbox>
              <w10:wrap type="none"/>
            </v:shape>
            <v:shape style="position:absolute;left:304;top:5708;width:133;height:126" type="#_x0000_t202" filled="false" stroked="false">
              <v:textbox inset="0,0,0,0">
                <w:txbxContent>
                  <w:p>
                    <w:pPr>
                      <w:spacing w:line="125" w:lineRule="exact" w:before="0"/>
                      <w:ind w:left="0" w:right="0" w:firstLine="0"/>
                      <w:jc w:val="left"/>
                      <w:rPr>
                        <w:b/>
                        <w:sz w:val="11"/>
                      </w:rPr>
                    </w:pPr>
                    <w:r>
                      <w:rPr>
                        <w:b/>
                        <w:sz w:val="11"/>
                      </w:rPr>
                      <w:t>C.</w:t>
                    </w:r>
                  </w:p>
                </w:txbxContent>
              </v:textbox>
              <w10:wrap type="none"/>
            </v:shape>
            <v:shape style="position:absolute;left:304;top:6241;width:2130;height:126" type="#_x0000_t202" filled="false" stroked="false">
              <v:textbox inset="0,0,0,0">
                <w:txbxContent>
                  <w:p>
                    <w:pPr>
                      <w:spacing w:line="125" w:lineRule="exact" w:before="0"/>
                      <w:ind w:left="0" w:right="0" w:firstLine="0"/>
                      <w:jc w:val="left"/>
                      <w:rPr>
                        <w:b/>
                        <w:sz w:val="11"/>
                      </w:rPr>
                    </w:pPr>
                    <w:r>
                      <w:rPr>
                        <w:b/>
                        <w:sz w:val="11"/>
                      </w:rPr>
                      <w:t>D. OTHER FINANCING SOURCES/USES</w:t>
                    </w:r>
                  </w:p>
                </w:txbxContent>
              </v:textbox>
              <w10:wrap type="none"/>
            </v:shape>
            <w10:wrap type="none"/>
          </v:group>
        </w:pict>
      </w:r>
      <w:r>
        <w:rPr/>
        <w:pict>
          <v:group style="position:absolute;margin-left:196.199997pt;margin-top:333.600006pt;width:399.4pt;height:73pt;mso-position-horizontal-relative:page;mso-position-vertical-relative:page;z-index:-314648576" coordorigin="3924,6672" coordsize="7988,1460">
            <v:shape style="position:absolute;left:4648;top:6672;width:7263;height:384" type="#_x0000_t75" stroked="false">
              <v:imagedata r:id="rId105" o:title=""/>
            </v:shape>
            <v:shape style="position:absolute;left:4648;top:6823;width:7263;height:845" type="#_x0000_t75" stroked="false">
              <v:imagedata r:id="rId106" o:title=""/>
            </v:shape>
            <v:shape style="position:absolute;left:3924;top:7665;width:2945;height:466" type="#_x0000_t75" stroked="false">
              <v:imagedata r:id="rId107" o:title=""/>
            </v:shape>
            <v:shape style="position:absolute;left:5757;top:7665;width:4438;height:466" type="#_x0000_t75" stroked="false">
              <v:imagedata r:id="rId100" o:title=""/>
            </v:shape>
            <v:shape style="position:absolute;left:7972;top:7435;width:3939;height:696" type="#_x0000_t75" stroked="false">
              <v:imagedata r:id="rId108" o:title=""/>
            </v:shape>
            <v:shape style="position:absolute;left:11299;top:7896;width:612;height:236" type="#_x0000_t75" stroked="false">
              <v:imagedata r:id="rId109" o:title=""/>
            </v:shape>
            <w10:wrap type="none"/>
          </v:group>
        </w:pict>
      </w:r>
    </w:p>
    <w:tbl>
      <w:tblPr>
        <w:tblW w:w="0" w:type="auto"/>
        <w:jc w:val="left"/>
        <w:tblInd w:w="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04"/>
        <w:gridCol w:w="1641"/>
        <w:gridCol w:w="796"/>
        <w:gridCol w:w="855"/>
        <w:gridCol w:w="408"/>
        <w:gridCol w:w="1101"/>
        <w:gridCol w:w="985"/>
        <w:gridCol w:w="1065"/>
        <w:gridCol w:w="1173"/>
        <w:gridCol w:w="1024"/>
        <w:gridCol w:w="597"/>
      </w:tblGrid>
      <w:tr>
        <w:trPr>
          <w:trHeight w:val="498" w:hRule="atLeast"/>
        </w:trPr>
        <w:tc>
          <w:tcPr>
            <w:tcW w:w="3645" w:type="dxa"/>
            <w:gridSpan w:val="2"/>
          </w:tcPr>
          <w:p>
            <w:pPr>
              <w:pStyle w:val="TableParagraph"/>
              <w:rPr>
                <w:rFonts w:ascii="Times New Roman"/>
                <w:sz w:val="10"/>
              </w:rPr>
            </w:pPr>
          </w:p>
        </w:tc>
        <w:tc>
          <w:tcPr>
            <w:tcW w:w="796" w:type="dxa"/>
          </w:tcPr>
          <w:p>
            <w:pPr>
              <w:pStyle w:val="TableParagraph"/>
              <w:rPr>
                <w:sz w:val="12"/>
              </w:rPr>
            </w:pPr>
          </w:p>
          <w:p>
            <w:pPr>
              <w:pStyle w:val="TableParagraph"/>
              <w:rPr>
                <w:sz w:val="12"/>
              </w:rPr>
            </w:pPr>
          </w:p>
          <w:p>
            <w:pPr>
              <w:pStyle w:val="TableParagraph"/>
              <w:spacing w:line="110" w:lineRule="exact" w:before="92"/>
              <w:ind w:left="191"/>
              <w:rPr>
                <w:b/>
                <w:sz w:val="11"/>
              </w:rPr>
            </w:pPr>
            <w:bookmarkStart w:name="FORM 01" w:id="3"/>
            <w:bookmarkEnd w:id="3"/>
            <w:r>
              <w:rPr/>
            </w:r>
            <w:r>
              <w:rPr>
                <w:b/>
                <w:sz w:val="11"/>
              </w:rPr>
              <w:t>Object</w:t>
            </w:r>
          </w:p>
        </w:tc>
        <w:tc>
          <w:tcPr>
            <w:tcW w:w="855" w:type="dxa"/>
          </w:tcPr>
          <w:p>
            <w:pPr>
              <w:pStyle w:val="TableParagraph"/>
              <w:rPr>
                <w:sz w:val="12"/>
              </w:rPr>
            </w:pPr>
          </w:p>
          <w:p>
            <w:pPr>
              <w:pStyle w:val="TableParagraph"/>
              <w:rPr>
                <w:sz w:val="12"/>
              </w:rPr>
            </w:pPr>
          </w:p>
          <w:p>
            <w:pPr>
              <w:pStyle w:val="TableParagraph"/>
              <w:spacing w:line="110" w:lineRule="exact" w:before="92"/>
              <w:ind w:left="145" w:right="21"/>
              <w:jc w:val="center"/>
              <w:rPr>
                <w:b/>
                <w:sz w:val="11"/>
              </w:rPr>
            </w:pPr>
            <w:r>
              <w:rPr>
                <w:b/>
                <w:sz w:val="11"/>
              </w:rPr>
              <w:t>Unrestricted</w:t>
            </w:r>
          </w:p>
        </w:tc>
        <w:tc>
          <w:tcPr>
            <w:tcW w:w="1509" w:type="dxa"/>
            <w:gridSpan w:val="2"/>
          </w:tcPr>
          <w:p>
            <w:pPr>
              <w:pStyle w:val="TableParagraph"/>
              <w:spacing w:line="125" w:lineRule="exact"/>
              <w:ind w:left="29" w:right="52"/>
              <w:jc w:val="center"/>
              <w:rPr>
                <w:b/>
                <w:sz w:val="11"/>
              </w:rPr>
            </w:pPr>
            <w:r>
              <w:rPr>
                <w:b/>
                <w:sz w:val="11"/>
              </w:rPr>
              <w:t>2020-21 Estimated Actuals</w:t>
            </w:r>
          </w:p>
          <w:p>
            <w:pPr>
              <w:pStyle w:val="TableParagraph"/>
              <w:rPr>
                <w:sz w:val="12"/>
              </w:rPr>
            </w:pPr>
          </w:p>
          <w:p>
            <w:pPr>
              <w:pStyle w:val="TableParagraph"/>
              <w:spacing w:line="110" w:lineRule="exact" w:before="105"/>
              <w:ind w:left="29" w:right="49"/>
              <w:jc w:val="center"/>
              <w:rPr>
                <w:b/>
                <w:sz w:val="11"/>
              </w:rPr>
            </w:pPr>
            <w:r>
              <w:rPr>
                <w:b/>
                <w:sz w:val="11"/>
              </w:rPr>
              <w:t>Restricted</w:t>
            </w:r>
          </w:p>
        </w:tc>
        <w:tc>
          <w:tcPr>
            <w:tcW w:w="985" w:type="dxa"/>
          </w:tcPr>
          <w:p>
            <w:pPr>
              <w:pStyle w:val="TableParagraph"/>
              <w:rPr>
                <w:sz w:val="12"/>
              </w:rPr>
            </w:pPr>
          </w:p>
          <w:p>
            <w:pPr>
              <w:pStyle w:val="TableParagraph"/>
              <w:spacing w:line="130" w:lineRule="atLeast" w:before="95"/>
              <w:ind w:left="87" w:right="202" w:hanging="36"/>
              <w:rPr>
                <w:b/>
                <w:sz w:val="11"/>
              </w:rPr>
            </w:pPr>
            <w:r>
              <w:rPr>
                <w:b/>
                <w:sz w:val="11"/>
              </w:rPr>
              <w:t>Total Fund col. A + B</w:t>
            </w:r>
          </w:p>
        </w:tc>
        <w:tc>
          <w:tcPr>
            <w:tcW w:w="1065" w:type="dxa"/>
          </w:tcPr>
          <w:p>
            <w:pPr>
              <w:pStyle w:val="TableParagraph"/>
              <w:rPr>
                <w:sz w:val="12"/>
              </w:rPr>
            </w:pPr>
          </w:p>
          <w:p>
            <w:pPr>
              <w:pStyle w:val="TableParagraph"/>
              <w:rPr>
                <w:sz w:val="12"/>
              </w:rPr>
            </w:pPr>
          </w:p>
          <w:p>
            <w:pPr>
              <w:pStyle w:val="TableParagraph"/>
              <w:spacing w:line="110" w:lineRule="exact" w:before="92"/>
              <w:ind w:left="136"/>
              <w:rPr>
                <w:b/>
                <w:sz w:val="11"/>
              </w:rPr>
            </w:pPr>
            <w:r>
              <w:rPr>
                <w:b/>
                <w:sz w:val="11"/>
              </w:rPr>
              <w:t>Unrestricted</w:t>
            </w:r>
          </w:p>
        </w:tc>
        <w:tc>
          <w:tcPr>
            <w:tcW w:w="1173" w:type="dxa"/>
          </w:tcPr>
          <w:p>
            <w:pPr>
              <w:pStyle w:val="TableParagraph"/>
              <w:spacing w:line="125" w:lineRule="exact"/>
              <w:ind w:left="82" w:right="236"/>
              <w:jc w:val="center"/>
              <w:rPr>
                <w:b/>
                <w:sz w:val="11"/>
              </w:rPr>
            </w:pPr>
            <w:r>
              <w:rPr>
                <w:b/>
                <w:sz w:val="11"/>
              </w:rPr>
              <w:t>2021-22 Budget</w:t>
            </w:r>
          </w:p>
          <w:p>
            <w:pPr>
              <w:pStyle w:val="TableParagraph"/>
              <w:rPr>
                <w:sz w:val="12"/>
              </w:rPr>
            </w:pPr>
          </w:p>
          <w:p>
            <w:pPr>
              <w:pStyle w:val="TableParagraph"/>
              <w:spacing w:line="110" w:lineRule="exact" w:before="105"/>
              <w:ind w:left="82" w:right="231"/>
              <w:jc w:val="center"/>
              <w:rPr>
                <w:b/>
                <w:sz w:val="11"/>
              </w:rPr>
            </w:pPr>
            <w:r>
              <w:rPr>
                <w:b/>
                <w:sz w:val="11"/>
              </w:rPr>
              <w:t>Restricted</w:t>
            </w:r>
          </w:p>
        </w:tc>
        <w:tc>
          <w:tcPr>
            <w:tcW w:w="1024" w:type="dxa"/>
          </w:tcPr>
          <w:p>
            <w:pPr>
              <w:pStyle w:val="TableParagraph"/>
              <w:rPr>
                <w:sz w:val="12"/>
              </w:rPr>
            </w:pPr>
          </w:p>
          <w:p>
            <w:pPr>
              <w:pStyle w:val="TableParagraph"/>
              <w:spacing w:line="130" w:lineRule="atLeast" w:before="95"/>
              <w:ind w:left="192" w:right="139" w:hanging="39"/>
              <w:rPr>
                <w:b/>
                <w:sz w:val="11"/>
              </w:rPr>
            </w:pPr>
            <w:r>
              <w:rPr>
                <w:b/>
                <w:sz w:val="11"/>
              </w:rPr>
              <w:t>Total Fund col. D + E</w:t>
            </w:r>
          </w:p>
        </w:tc>
        <w:tc>
          <w:tcPr>
            <w:tcW w:w="597" w:type="dxa"/>
          </w:tcPr>
          <w:p>
            <w:pPr>
              <w:pStyle w:val="TableParagraph"/>
              <w:rPr>
                <w:sz w:val="12"/>
              </w:rPr>
            </w:pPr>
          </w:p>
          <w:p>
            <w:pPr>
              <w:pStyle w:val="TableParagraph"/>
              <w:spacing w:line="130" w:lineRule="atLeast" w:before="95"/>
              <w:ind w:left="68" w:right="99" w:firstLine="50"/>
              <w:rPr>
                <w:b/>
                <w:sz w:val="11"/>
              </w:rPr>
            </w:pPr>
            <w:r>
              <w:rPr>
                <w:b/>
                <w:sz w:val="11"/>
              </w:rPr>
              <w:t>% Diff Column</w:t>
            </w:r>
          </w:p>
        </w:tc>
      </w:tr>
      <w:tr>
        <w:trPr>
          <w:trHeight w:val="181" w:hRule="atLeast"/>
        </w:trPr>
        <w:tc>
          <w:tcPr>
            <w:tcW w:w="2004" w:type="dxa"/>
          </w:tcPr>
          <w:p>
            <w:pPr>
              <w:pStyle w:val="TableParagraph"/>
              <w:spacing w:before="2"/>
              <w:ind w:left="28"/>
              <w:rPr>
                <w:b/>
                <w:sz w:val="11"/>
              </w:rPr>
            </w:pPr>
            <w:r>
              <w:rPr>
                <w:b/>
                <w:sz w:val="11"/>
              </w:rPr>
              <w:t>Description</w:t>
            </w:r>
          </w:p>
        </w:tc>
        <w:tc>
          <w:tcPr>
            <w:tcW w:w="1641" w:type="dxa"/>
          </w:tcPr>
          <w:p>
            <w:pPr>
              <w:pStyle w:val="TableParagraph"/>
              <w:spacing w:before="2"/>
              <w:ind w:left="652"/>
              <w:rPr>
                <w:b/>
                <w:sz w:val="11"/>
              </w:rPr>
            </w:pPr>
            <w:r>
              <w:rPr>
                <w:b/>
                <w:sz w:val="11"/>
              </w:rPr>
              <w:t>Resource Codes</w:t>
            </w:r>
          </w:p>
        </w:tc>
        <w:tc>
          <w:tcPr>
            <w:tcW w:w="796" w:type="dxa"/>
          </w:tcPr>
          <w:p>
            <w:pPr>
              <w:pStyle w:val="TableParagraph"/>
              <w:spacing w:before="2"/>
              <w:ind w:left="196"/>
              <w:rPr>
                <w:b/>
                <w:sz w:val="11"/>
              </w:rPr>
            </w:pPr>
            <w:r>
              <w:rPr>
                <w:b/>
                <w:sz w:val="11"/>
              </w:rPr>
              <w:t>Codes</w:t>
            </w:r>
          </w:p>
        </w:tc>
        <w:tc>
          <w:tcPr>
            <w:tcW w:w="855" w:type="dxa"/>
          </w:tcPr>
          <w:p>
            <w:pPr>
              <w:pStyle w:val="TableParagraph"/>
              <w:spacing w:before="2"/>
              <w:ind w:left="142" w:right="21"/>
              <w:jc w:val="center"/>
              <w:rPr>
                <w:b/>
                <w:sz w:val="11"/>
              </w:rPr>
            </w:pPr>
            <w:r>
              <w:rPr>
                <w:b/>
                <w:sz w:val="11"/>
              </w:rPr>
              <w:t>(A)</w:t>
            </w:r>
          </w:p>
        </w:tc>
        <w:tc>
          <w:tcPr>
            <w:tcW w:w="1509" w:type="dxa"/>
            <w:gridSpan w:val="2"/>
          </w:tcPr>
          <w:p>
            <w:pPr>
              <w:pStyle w:val="TableParagraph"/>
              <w:spacing w:before="2"/>
              <w:ind w:left="29" w:right="48"/>
              <w:jc w:val="center"/>
              <w:rPr>
                <w:b/>
                <w:sz w:val="11"/>
              </w:rPr>
            </w:pPr>
            <w:r>
              <w:rPr>
                <w:b/>
                <w:sz w:val="11"/>
              </w:rPr>
              <w:t>(B)</w:t>
            </w:r>
          </w:p>
        </w:tc>
        <w:tc>
          <w:tcPr>
            <w:tcW w:w="985" w:type="dxa"/>
          </w:tcPr>
          <w:p>
            <w:pPr>
              <w:pStyle w:val="TableParagraph"/>
              <w:spacing w:before="2"/>
              <w:ind w:left="264"/>
              <w:rPr>
                <w:b/>
                <w:sz w:val="11"/>
              </w:rPr>
            </w:pPr>
            <w:r>
              <w:rPr>
                <w:b/>
                <w:sz w:val="11"/>
              </w:rPr>
              <w:t>(C)</w:t>
            </w:r>
          </w:p>
        </w:tc>
        <w:tc>
          <w:tcPr>
            <w:tcW w:w="1065" w:type="dxa"/>
          </w:tcPr>
          <w:p>
            <w:pPr>
              <w:pStyle w:val="TableParagraph"/>
              <w:spacing w:before="2"/>
              <w:ind w:left="372" w:right="499"/>
              <w:jc w:val="center"/>
              <w:rPr>
                <w:b/>
                <w:sz w:val="11"/>
              </w:rPr>
            </w:pPr>
            <w:r>
              <w:rPr>
                <w:b/>
                <w:sz w:val="11"/>
              </w:rPr>
              <w:t>(D)</w:t>
            </w:r>
          </w:p>
        </w:tc>
        <w:tc>
          <w:tcPr>
            <w:tcW w:w="1173" w:type="dxa"/>
          </w:tcPr>
          <w:p>
            <w:pPr>
              <w:pStyle w:val="TableParagraph"/>
              <w:spacing w:before="2"/>
              <w:ind w:left="82" w:right="233"/>
              <w:jc w:val="center"/>
              <w:rPr>
                <w:b/>
                <w:sz w:val="11"/>
              </w:rPr>
            </w:pPr>
            <w:r>
              <w:rPr>
                <w:b/>
                <w:sz w:val="11"/>
              </w:rPr>
              <w:t>(E)</w:t>
            </w:r>
          </w:p>
        </w:tc>
        <w:tc>
          <w:tcPr>
            <w:tcW w:w="1024" w:type="dxa"/>
          </w:tcPr>
          <w:p>
            <w:pPr>
              <w:pStyle w:val="TableParagraph"/>
              <w:spacing w:before="2"/>
              <w:ind w:left="356" w:right="486"/>
              <w:jc w:val="center"/>
              <w:rPr>
                <w:b/>
                <w:sz w:val="11"/>
              </w:rPr>
            </w:pPr>
            <w:r>
              <w:rPr>
                <w:b/>
                <w:sz w:val="11"/>
              </w:rPr>
              <w:t>(F)</w:t>
            </w:r>
          </w:p>
        </w:tc>
        <w:tc>
          <w:tcPr>
            <w:tcW w:w="597" w:type="dxa"/>
          </w:tcPr>
          <w:p>
            <w:pPr>
              <w:pStyle w:val="TableParagraph"/>
              <w:spacing w:before="2"/>
              <w:ind w:left="131"/>
              <w:rPr>
                <w:b/>
                <w:sz w:val="11"/>
              </w:rPr>
            </w:pPr>
            <w:r>
              <w:rPr>
                <w:b/>
                <w:sz w:val="11"/>
              </w:rPr>
              <w:t>C &amp; F</w:t>
            </w:r>
          </w:p>
        </w:tc>
      </w:tr>
      <w:tr>
        <w:trPr>
          <w:trHeight w:val="178" w:hRule="atLeast"/>
        </w:trPr>
        <w:tc>
          <w:tcPr>
            <w:tcW w:w="2004" w:type="dxa"/>
          </w:tcPr>
          <w:p>
            <w:pPr>
              <w:pStyle w:val="TableParagraph"/>
              <w:spacing w:line="107" w:lineRule="exact" w:before="51"/>
              <w:ind w:left="28"/>
              <w:rPr>
                <w:b/>
                <w:sz w:val="11"/>
              </w:rPr>
            </w:pPr>
            <w:r>
              <w:rPr>
                <w:b/>
                <w:sz w:val="11"/>
              </w:rPr>
              <w:t>A. REVENUES</w:t>
            </w:r>
          </w:p>
        </w:tc>
        <w:tc>
          <w:tcPr>
            <w:tcW w:w="1641" w:type="dxa"/>
          </w:tcPr>
          <w:p>
            <w:pPr>
              <w:pStyle w:val="TableParagraph"/>
              <w:rPr>
                <w:rFonts w:ascii="Times New Roman"/>
                <w:sz w:val="10"/>
              </w:rPr>
            </w:pPr>
          </w:p>
        </w:tc>
        <w:tc>
          <w:tcPr>
            <w:tcW w:w="796" w:type="dxa"/>
          </w:tcPr>
          <w:p>
            <w:pPr>
              <w:pStyle w:val="TableParagraph"/>
              <w:rPr>
                <w:rFonts w:ascii="Times New Roman"/>
                <w:sz w:val="10"/>
              </w:rPr>
            </w:pPr>
          </w:p>
        </w:tc>
        <w:tc>
          <w:tcPr>
            <w:tcW w:w="855" w:type="dxa"/>
          </w:tcPr>
          <w:p>
            <w:pPr>
              <w:pStyle w:val="TableParagraph"/>
              <w:rPr>
                <w:rFonts w:ascii="Times New Roman"/>
                <w:sz w:val="10"/>
              </w:rPr>
            </w:pPr>
          </w:p>
        </w:tc>
        <w:tc>
          <w:tcPr>
            <w:tcW w:w="1509" w:type="dxa"/>
            <w:gridSpan w:val="2"/>
          </w:tcPr>
          <w:p>
            <w:pPr>
              <w:pStyle w:val="TableParagraph"/>
              <w:rPr>
                <w:rFonts w:ascii="Times New Roman"/>
                <w:sz w:val="10"/>
              </w:rPr>
            </w:pPr>
          </w:p>
        </w:tc>
        <w:tc>
          <w:tcPr>
            <w:tcW w:w="985" w:type="dxa"/>
          </w:tcPr>
          <w:p>
            <w:pPr>
              <w:pStyle w:val="TableParagraph"/>
              <w:rPr>
                <w:rFonts w:ascii="Times New Roman"/>
                <w:sz w:val="10"/>
              </w:rPr>
            </w:pPr>
          </w:p>
        </w:tc>
        <w:tc>
          <w:tcPr>
            <w:tcW w:w="1065" w:type="dxa"/>
          </w:tcPr>
          <w:p>
            <w:pPr>
              <w:pStyle w:val="TableParagraph"/>
              <w:rPr>
                <w:rFonts w:ascii="Times New Roman"/>
                <w:sz w:val="10"/>
              </w:rPr>
            </w:pPr>
          </w:p>
        </w:tc>
        <w:tc>
          <w:tcPr>
            <w:tcW w:w="1173" w:type="dxa"/>
          </w:tcPr>
          <w:p>
            <w:pPr>
              <w:pStyle w:val="TableParagraph"/>
              <w:rPr>
                <w:rFonts w:ascii="Times New Roman"/>
                <w:sz w:val="10"/>
              </w:rPr>
            </w:pPr>
          </w:p>
        </w:tc>
        <w:tc>
          <w:tcPr>
            <w:tcW w:w="1024" w:type="dxa"/>
          </w:tcPr>
          <w:p>
            <w:pPr>
              <w:pStyle w:val="TableParagraph"/>
              <w:rPr>
                <w:rFonts w:ascii="Times New Roman"/>
                <w:sz w:val="10"/>
              </w:rPr>
            </w:pPr>
          </w:p>
        </w:tc>
        <w:tc>
          <w:tcPr>
            <w:tcW w:w="597" w:type="dxa"/>
          </w:tcPr>
          <w:p>
            <w:pPr>
              <w:pStyle w:val="TableParagraph"/>
              <w:rPr>
                <w:rFonts w:ascii="Times New Roman"/>
                <w:sz w:val="10"/>
              </w:rPr>
            </w:pPr>
          </w:p>
        </w:tc>
      </w:tr>
      <w:tr>
        <w:trPr>
          <w:trHeight w:val="436" w:hRule="atLeast"/>
        </w:trPr>
        <w:tc>
          <w:tcPr>
            <w:tcW w:w="2004" w:type="dxa"/>
          </w:tcPr>
          <w:p>
            <w:pPr>
              <w:pStyle w:val="TableParagraph"/>
              <w:rPr>
                <w:sz w:val="12"/>
              </w:rPr>
            </w:pPr>
          </w:p>
          <w:p>
            <w:pPr>
              <w:pStyle w:val="TableParagraph"/>
              <w:spacing w:before="3"/>
              <w:rPr>
                <w:sz w:val="10"/>
              </w:rPr>
            </w:pPr>
          </w:p>
          <w:p>
            <w:pPr>
              <w:pStyle w:val="TableParagraph"/>
              <w:spacing w:before="1"/>
              <w:ind w:left="152"/>
              <w:rPr>
                <w:sz w:val="11"/>
              </w:rPr>
            </w:pPr>
            <w:r>
              <w:rPr>
                <w:sz w:val="11"/>
              </w:rPr>
              <w:t>1) LCFF Sources</w:t>
            </w:r>
          </w:p>
        </w:tc>
        <w:tc>
          <w:tcPr>
            <w:tcW w:w="2437" w:type="dxa"/>
            <w:gridSpan w:val="2"/>
          </w:tcPr>
          <w:p>
            <w:pPr>
              <w:pStyle w:val="TableParagraph"/>
              <w:rPr>
                <w:sz w:val="12"/>
              </w:rPr>
            </w:pPr>
          </w:p>
          <w:p>
            <w:pPr>
              <w:pStyle w:val="TableParagraph"/>
              <w:spacing w:before="3"/>
              <w:rPr>
                <w:sz w:val="10"/>
              </w:rPr>
            </w:pPr>
          </w:p>
          <w:p>
            <w:pPr>
              <w:pStyle w:val="TableParagraph"/>
              <w:spacing w:before="1"/>
              <w:ind w:right="158"/>
              <w:jc w:val="right"/>
              <w:rPr>
                <w:sz w:val="11"/>
              </w:rPr>
            </w:pPr>
            <w:r>
              <w:rPr>
                <w:sz w:val="11"/>
              </w:rPr>
              <w:t>8010-8099</w:t>
            </w:r>
          </w:p>
        </w:tc>
        <w:tc>
          <w:tcPr>
            <w:tcW w:w="1263" w:type="dxa"/>
            <w:gridSpan w:val="2"/>
          </w:tcPr>
          <w:p>
            <w:pPr>
              <w:pStyle w:val="TableParagraph"/>
              <w:rPr>
                <w:sz w:val="12"/>
              </w:rPr>
            </w:pPr>
          </w:p>
          <w:p>
            <w:pPr>
              <w:pStyle w:val="TableParagraph"/>
              <w:spacing w:before="3"/>
              <w:rPr>
                <w:sz w:val="10"/>
              </w:rPr>
            </w:pPr>
          </w:p>
          <w:p>
            <w:pPr>
              <w:pStyle w:val="TableParagraph"/>
              <w:spacing w:before="1"/>
              <w:ind w:left="331"/>
              <w:rPr>
                <w:sz w:val="11"/>
              </w:rPr>
            </w:pPr>
            <w:r>
              <w:rPr>
                <w:sz w:val="11"/>
              </w:rPr>
              <w:t>1,298,129.00</w:t>
            </w:r>
          </w:p>
        </w:tc>
        <w:tc>
          <w:tcPr>
            <w:tcW w:w="1101" w:type="dxa"/>
          </w:tcPr>
          <w:p>
            <w:pPr>
              <w:pStyle w:val="TableParagraph"/>
              <w:rPr>
                <w:sz w:val="12"/>
              </w:rPr>
            </w:pPr>
          </w:p>
          <w:p>
            <w:pPr>
              <w:pStyle w:val="TableParagraph"/>
              <w:spacing w:before="3"/>
              <w:rPr>
                <w:sz w:val="10"/>
              </w:rPr>
            </w:pPr>
          </w:p>
          <w:p>
            <w:pPr>
              <w:pStyle w:val="TableParagraph"/>
              <w:spacing w:before="1"/>
              <w:ind w:right="266"/>
              <w:jc w:val="right"/>
              <w:rPr>
                <w:sz w:val="11"/>
              </w:rPr>
            </w:pPr>
            <w:r>
              <w:rPr>
                <w:sz w:val="11"/>
              </w:rPr>
              <w:t>0.00</w:t>
            </w:r>
          </w:p>
        </w:tc>
        <w:tc>
          <w:tcPr>
            <w:tcW w:w="985" w:type="dxa"/>
          </w:tcPr>
          <w:p>
            <w:pPr>
              <w:pStyle w:val="TableParagraph"/>
              <w:rPr>
                <w:sz w:val="12"/>
              </w:rPr>
            </w:pPr>
          </w:p>
          <w:p>
            <w:pPr>
              <w:pStyle w:val="TableParagraph"/>
              <w:spacing w:before="3"/>
              <w:rPr>
                <w:sz w:val="10"/>
              </w:rPr>
            </w:pPr>
          </w:p>
          <w:p>
            <w:pPr>
              <w:pStyle w:val="TableParagraph"/>
              <w:spacing w:before="1"/>
              <w:ind w:right="142"/>
              <w:jc w:val="right"/>
              <w:rPr>
                <w:sz w:val="11"/>
              </w:rPr>
            </w:pPr>
            <w:r>
              <w:rPr>
                <w:sz w:val="11"/>
              </w:rPr>
              <w:t>1,298,129.00</w:t>
            </w:r>
          </w:p>
        </w:tc>
        <w:tc>
          <w:tcPr>
            <w:tcW w:w="1065" w:type="dxa"/>
          </w:tcPr>
          <w:p>
            <w:pPr>
              <w:pStyle w:val="TableParagraph"/>
              <w:rPr>
                <w:sz w:val="12"/>
              </w:rPr>
            </w:pPr>
          </w:p>
          <w:p>
            <w:pPr>
              <w:pStyle w:val="TableParagraph"/>
              <w:spacing w:before="3"/>
              <w:rPr>
                <w:sz w:val="10"/>
              </w:rPr>
            </w:pPr>
          </w:p>
          <w:p>
            <w:pPr>
              <w:pStyle w:val="TableParagraph"/>
              <w:spacing w:before="1"/>
              <w:ind w:right="99"/>
              <w:jc w:val="right"/>
              <w:rPr>
                <w:sz w:val="11"/>
              </w:rPr>
            </w:pPr>
            <w:r>
              <w:rPr>
                <w:sz w:val="11"/>
              </w:rPr>
              <w:t>1,369,520.00</w:t>
            </w:r>
          </w:p>
        </w:tc>
        <w:tc>
          <w:tcPr>
            <w:tcW w:w="1173" w:type="dxa"/>
          </w:tcPr>
          <w:p>
            <w:pPr>
              <w:pStyle w:val="TableParagraph"/>
              <w:rPr>
                <w:sz w:val="12"/>
              </w:rPr>
            </w:pPr>
          </w:p>
          <w:p>
            <w:pPr>
              <w:pStyle w:val="TableParagraph"/>
              <w:spacing w:before="3"/>
              <w:rPr>
                <w:sz w:val="10"/>
              </w:rPr>
            </w:pPr>
          </w:p>
          <w:p>
            <w:pPr>
              <w:pStyle w:val="TableParagraph"/>
              <w:spacing w:before="1"/>
              <w:ind w:right="162"/>
              <w:jc w:val="right"/>
              <w:rPr>
                <w:sz w:val="11"/>
              </w:rPr>
            </w:pPr>
            <w:r>
              <w:rPr>
                <w:sz w:val="11"/>
              </w:rPr>
              <w:t>0.00</w:t>
            </w:r>
          </w:p>
        </w:tc>
        <w:tc>
          <w:tcPr>
            <w:tcW w:w="1024" w:type="dxa"/>
          </w:tcPr>
          <w:p>
            <w:pPr>
              <w:pStyle w:val="TableParagraph"/>
              <w:rPr>
                <w:sz w:val="12"/>
              </w:rPr>
            </w:pPr>
          </w:p>
          <w:p>
            <w:pPr>
              <w:pStyle w:val="TableParagraph"/>
              <w:spacing w:before="3"/>
              <w:rPr>
                <w:sz w:val="10"/>
              </w:rPr>
            </w:pPr>
          </w:p>
          <w:p>
            <w:pPr>
              <w:pStyle w:val="TableParagraph"/>
              <w:spacing w:before="1"/>
              <w:ind w:right="78"/>
              <w:jc w:val="right"/>
              <w:rPr>
                <w:sz w:val="11"/>
              </w:rPr>
            </w:pPr>
            <w:r>
              <w:rPr>
                <w:sz w:val="11"/>
              </w:rPr>
              <w:t>1,369,520.00</w:t>
            </w:r>
          </w:p>
        </w:tc>
        <w:tc>
          <w:tcPr>
            <w:tcW w:w="597" w:type="dxa"/>
          </w:tcPr>
          <w:p>
            <w:pPr>
              <w:pStyle w:val="TableParagraph"/>
              <w:rPr>
                <w:sz w:val="12"/>
              </w:rPr>
            </w:pPr>
          </w:p>
          <w:p>
            <w:pPr>
              <w:pStyle w:val="TableParagraph"/>
              <w:spacing w:before="3"/>
              <w:rPr>
                <w:sz w:val="10"/>
              </w:rPr>
            </w:pPr>
          </w:p>
          <w:p>
            <w:pPr>
              <w:pStyle w:val="TableParagraph"/>
              <w:spacing w:before="1"/>
              <w:ind w:right="32"/>
              <w:jc w:val="right"/>
              <w:rPr>
                <w:sz w:val="11"/>
              </w:rPr>
            </w:pPr>
            <w:r>
              <w:rPr>
                <w:sz w:val="11"/>
              </w:rPr>
              <w:t>5.5%</w:t>
            </w:r>
          </w:p>
        </w:tc>
      </w:tr>
      <w:tr>
        <w:trPr>
          <w:trHeight w:val="230" w:hRule="atLeast"/>
        </w:trPr>
        <w:tc>
          <w:tcPr>
            <w:tcW w:w="2004" w:type="dxa"/>
          </w:tcPr>
          <w:p>
            <w:pPr>
              <w:pStyle w:val="TableParagraph"/>
              <w:spacing w:before="51"/>
              <w:ind w:left="152"/>
              <w:rPr>
                <w:sz w:val="11"/>
              </w:rPr>
            </w:pPr>
            <w:r>
              <w:rPr>
                <w:sz w:val="11"/>
              </w:rPr>
              <w:t>2) Federal Revenue</w:t>
            </w:r>
          </w:p>
        </w:tc>
        <w:tc>
          <w:tcPr>
            <w:tcW w:w="2437" w:type="dxa"/>
            <w:gridSpan w:val="2"/>
          </w:tcPr>
          <w:p>
            <w:pPr>
              <w:pStyle w:val="TableParagraph"/>
              <w:spacing w:before="51"/>
              <w:ind w:right="158"/>
              <w:jc w:val="right"/>
              <w:rPr>
                <w:sz w:val="11"/>
              </w:rPr>
            </w:pPr>
            <w:r>
              <w:rPr>
                <w:sz w:val="11"/>
              </w:rPr>
              <w:t>8100-8299</w:t>
            </w:r>
          </w:p>
        </w:tc>
        <w:tc>
          <w:tcPr>
            <w:tcW w:w="1263" w:type="dxa"/>
            <w:gridSpan w:val="2"/>
          </w:tcPr>
          <w:p>
            <w:pPr>
              <w:pStyle w:val="TableParagraph"/>
              <w:spacing w:before="51"/>
              <w:ind w:left="550"/>
              <w:rPr>
                <w:sz w:val="11"/>
              </w:rPr>
            </w:pPr>
            <w:r>
              <w:rPr>
                <w:sz w:val="11"/>
              </w:rPr>
              <w:t>4,500.00</w:t>
            </w:r>
          </w:p>
        </w:tc>
        <w:tc>
          <w:tcPr>
            <w:tcW w:w="1101" w:type="dxa"/>
          </w:tcPr>
          <w:p>
            <w:pPr>
              <w:pStyle w:val="TableParagraph"/>
              <w:spacing w:before="51"/>
              <w:ind w:right="266"/>
              <w:jc w:val="right"/>
              <w:rPr>
                <w:sz w:val="11"/>
              </w:rPr>
            </w:pPr>
            <w:r>
              <w:rPr>
                <w:sz w:val="11"/>
              </w:rPr>
              <w:t>271,802.00</w:t>
            </w:r>
          </w:p>
        </w:tc>
        <w:tc>
          <w:tcPr>
            <w:tcW w:w="985" w:type="dxa"/>
          </w:tcPr>
          <w:p>
            <w:pPr>
              <w:pStyle w:val="TableParagraph"/>
              <w:spacing w:before="51"/>
              <w:ind w:right="142"/>
              <w:jc w:val="right"/>
              <w:rPr>
                <w:sz w:val="11"/>
              </w:rPr>
            </w:pPr>
            <w:r>
              <w:rPr>
                <w:sz w:val="11"/>
              </w:rPr>
              <w:t>276,302.00</w:t>
            </w:r>
          </w:p>
        </w:tc>
        <w:tc>
          <w:tcPr>
            <w:tcW w:w="1065" w:type="dxa"/>
          </w:tcPr>
          <w:p>
            <w:pPr>
              <w:pStyle w:val="TableParagraph"/>
              <w:spacing w:before="51"/>
              <w:ind w:right="98"/>
              <w:jc w:val="right"/>
              <w:rPr>
                <w:sz w:val="11"/>
              </w:rPr>
            </w:pPr>
            <w:r>
              <w:rPr>
                <w:sz w:val="11"/>
              </w:rPr>
              <w:t>0.00</w:t>
            </w:r>
          </w:p>
        </w:tc>
        <w:tc>
          <w:tcPr>
            <w:tcW w:w="1173" w:type="dxa"/>
          </w:tcPr>
          <w:p>
            <w:pPr>
              <w:pStyle w:val="TableParagraph"/>
              <w:spacing w:before="51"/>
              <w:ind w:right="162"/>
              <w:jc w:val="right"/>
              <w:rPr>
                <w:sz w:val="11"/>
              </w:rPr>
            </w:pPr>
            <w:r>
              <w:rPr>
                <w:sz w:val="11"/>
              </w:rPr>
              <w:t>166,779.00</w:t>
            </w:r>
          </w:p>
        </w:tc>
        <w:tc>
          <w:tcPr>
            <w:tcW w:w="1024" w:type="dxa"/>
          </w:tcPr>
          <w:p>
            <w:pPr>
              <w:pStyle w:val="TableParagraph"/>
              <w:spacing w:before="51"/>
              <w:ind w:right="78"/>
              <w:jc w:val="right"/>
              <w:rPr>
                <w:sz w:val="11"/>
              </w:rPr>
            </w:pPr>
            <w:r>
              <w:rPr>
                <w:sz w:val="11"/>
              </w:rPr>
              <w:t>166,779.00</w:t>
            </w:r>
          </w:p>
        </w:tc>
        <w:tc>
          <w:tcPr>
            <w:tcW w:w="597" w:type="dxa"/>
          </w:tcPr>
          <w:p>
            <w:pPr>
              <w:pStyle w:val="TableParagraph"/>
              <w:spacing w:before="51"/>
              <w:ind w:right="32"/>
              <w:jc w:val="right"/>
              <w:rPr>
                <w:sz w:val="11"/>
              </w:rPr>
            </w:pPr>
            <w:r>
              <w:rPr>
                <w:sz w:val="11"/>
              </w:rPr>
              <w:t>-39.6%</w:t>
            </w:r>
          </w:p>
        </w:tc>
      </w:tr>
      <w:tr>
        <w:trPr>
          <w:trHeight w:val="230" w:hRule="atLeast"/>
        </w:trPr>
        <w:tc>
          <w:tcPr>
            <w:tcW w:w="2004" w:type="dxa"/>
          </w:tcPr>
          <w:p>
            <w:pPr>
              <w:pStyle w:val="TableParagraph"/>
              <w:spacing w:before="51"/>
              <w:ind w:left="152"/>
              <w:rPr>
                <w:sz w:val="11"/>
              </w:rPr>
            </w:pPr>
            <w:r>
              <w:rPr>
                <w:sz w:val="11"/>
              </w:rPr>
              <w:t>3) Other State Revenue</w:t>
            </w:r>
          </w:p>
        </w:tc>
        <w:tc>
          <w:tcPr>
            <w:tcW w:w="2437" w:type="dxa"/>
            <w:gridSpan w:val="2"/>
          </w:tcPr>
          <w:p>
            <w:pPr>
              <w:pStyle w:val="TableParagraph"/>
              <w:spacing w:before="51"/>
              <w:ind w:right="158"/>
              <w:jc w:val="right"/>
              <w:rPr>
                <w:sz w:val="11"/>
              </w:rPr>
            </w:pPr>
            <w:r>
              <w:rPr>
                <w:sz w:val="11"/>
              </w:rPr>
              <w:t>8300-8599</w:t>
            </w:r>
          </w:p>
        </w:tc>
        <w:tc>
          <w:tcPr>
            <w:tcW w:w="1263" w:type="dxa"/>
            <w:gridSpan w:val="2"/>
          </w:tcPr>
          <w:p>
            <w:pPr>
              <w:pStyle w:val="TableParagraph"/>
              <w:spacing w:before="51"/>
              <w:ind w:left="487"/>
              <w:rPr>
                <w:sz w:val="11"/>
              </w:rPr>
            </w:pPr>
            <w:r>
              <w:rPr>
                <w:sz w:val="11"/>
              </w:rPr>
              <w:t>21,029.00</w:t>
            </w:r>
          </w:p>
        </w:tc>
        <w:tc>
          <w:tcPr>
            <w:tcW w:w="1101" w:type="dxa"/>
          </w:tcPr>
          <w:p>
            <w:pPr>
              <w:pStyle w:val="TableParagraph"/>
              <w:spacing w:before="51"/>
              <w:ind w:right="266"/>
              <w:jc w:val="right"/>
              <w:rPr>
                <w:sz w:val="11"/>
              </w:rPr>
            </w:pPr>
            <w:r>
              <w:rPr>
                <w:sz w:val="11"/>
              </w:rPr>
              <w:t>311,903.00</w:t>
            </w:r>
          </w:p>
        </w:tc>
        <w:tc>
          <w:tcPr>
            <w:tcW w:w="985" w:type="dxa"/>
          </w:tcPr>
          <w:p>
            <w:pPr>
              <w:pStyle w:val="TableParagraph"/>
              <w:spacing w:before="51"/>
              <w:ind w:right="142"/>
              <w:jc w:val="right"/>
              <w:rPr>
                <w:sz w:val="11"/>
              </w:rPr>
            </w:pPr>
            <w:r>
              <w:rPr>
                <w:sz w:val="11"/>
              </w:rPr>
              <w:t>332,932.00</w:t>
            </w:r>
          </w:p>
        </w:tc>
        <w:tc>
          <w:tcPr>
            <w:tcW w:w="1065" w:type="dxa"/>
          </w:tcPr>
          <w:p>
            <w:pPr>
              <w:pStyle w:val="TableParagraph"/>
              <w:spacing w:before="51"/>
              <w:ind w:right="98"/>
              <w:jc w:val="right"/>
              <w:rPr>
                <w:sz w:val="11"/>
              </w:rPr>
            </w:pPr>
            <w:r>
              <w:rPr>
                <w:sz w:val="11"/>
              </w:rPr>
              <w:t>21,006.00</w:t>
            </w:r>
          </w:p>
        </w:tc>
        <w:tc>
          <w:tcPr>
            <w:tcW w:w="1173" w:type="dxa"/>
          </w:tcPr>
          <w:p>
            <w:pPr>
              <w:pStyle w:val="TableParagraph"/>
              <w:spacing w:before="51"/>
              <w:ind w:right="162"/>
              <w:jc w:val="right"/>
              <w:rPr>
                <w:sz w:val="11"/>
              </w:rPr>
            </w:pPr>
            <w:r>
              <w:rPr>
                <w:sz w:val="11"/>
              </w:rPr>
              <w:t>163,762.00</w:t>
            </w:r>
          </w:p>
        </w:tc>
        <w:tc>
          <w:tcPr>
            <w:tcW w:w="1024" w:type="dxa"/>
          </w:tcPr>
          <w:p>
            <w:pPr>
              <w:pStyle w:val="TableParagraph"/>
              <w:spacing w:before="51"/>
              <w:ind w:right="78"/>
              <w:jc w:val="right"/>
              <w:rPr>
                <w:sz w:val="11"/>
              </w:rPr>
            </w:pPr>
            <w:r>
              <w:rPr>
                <w:sz w:val="11"/>
              </w:rPr>
              <w:t>184,768.00</w:t>
            </w:r>
          </w:p>
        </w:tc>
        <w:tc>
          <w:tcPr>
            <w:tcW w:w="597" w:type="dxa"/>
          </w:tcPr>
          <w:p>
            <w:pPr>
              <w:pStyle w:val="TableParagraph"/>
              <w:spacing w:before="51"/>
              <w:ind w:right="32"/>
              <w:jc w:val="right"/>
              <w:rPr>
                <w:sz w:val="11"/>
              </w:rPr>
            </w:pPr>
            <w:r>
              <w:rPr>
                <w:sz w:val="11"/>
              </w:rPr>
              <w:t>-44.5%</w:t>
            </w:r>
          </w:p>
        </w:tc>
      </w:tr>
      <w:tr>
        <w:trPr>
          <w:trHeight w:val="230" w:hRule="atLeast"/>
        </w:trPr>
        <w:tc>
          <w:tcPr>
            <w:tcW w:w="2004" w:type="dxa"/>
          </w:tcPr>
          <w:p>
            <w:pPr>
              <w:pStyle w:val="TableParagraph"/>
              <w:spacing w:before="51"/>
              <w:ind w:left="152"/>
              <w:rPr>
                <w:sz w:val="11"/>
              </w:rPr>
            </w:pPr>
            <w:r>
              <w:rPr>
                <w:sz w:val="11"/>
              </w:rPr>
              <w:t>4) Other Local Revenue</w:t>
            </w:r>
          </w:p>
        </w:tc>
        <w:tc>
          <w:tcPr>
            <w:tcW w:w="2437" w:type="dxa"/>
            <w:gridSpan w:val="2"/>
          </w:tcPr>
          <w:p>
            <w:pPr>
              <w:pStyle w:val="TableParagraph"/>
              <w:spacing w:before="51"/>
              <w:ind w:right="158"/>
              <w:jc w:val="right"/>
              <w:rPr>
                <w:sz w:val="11"/>
              </w:rPr>
            </w:pPr>
            <w:r>
              <w:rPr>
                <w:sz w:val="11"/>
              </w:rPr>
              <w:t>8600-8799</w:t>
            </w:r>
          </w:p>
        </w:tc>
        <w:tc>
          <w:tcPr>
            <w:tcW w:w="1263" w:type="dxa"/>
            <w:gridSpan w:val="2"/>
          </w:tcPr>
          <w:p>
            <w:pPr>
              <w:pStyle w:val="TableParagraph"/>
              <w:spacing w:before="51"/>
              <w:ind w:left="425"/>
              <w:rPr>
                <w:sz w:val="11"/>
              </w:rPr>
            </w:pPr>
            <w:r>
              <w:rPr>
                <w:sz w:val="11"/>
              </w:rPr>
              <w:t>333,871.00</w:t>
            </w:r>
          </w:p>
        </w:tc>
        <w:tc>
          <w:tcPr>
            <w:tcW w:w="1101" w:type="dxa"/>
          </w:tcPr>
          <w:p>
            <w:pPr>
              <w:pStyle w:val="TableParagraph"/>
              <w:spacing w:before="51"/>
              <w:ind w:right="266"/>
              <w:jc w:val="right"/>
              <w:rPr>
                <w:sz w:val="11"/>
              </w:rPr>
            </w:pPr>
            <w:r>
              <w:rPr>
                <w:sz w:val="11"/>
              </w:rPr>
              <w:t>42,824.00</w:t>
            </w:r>
          </w:p>
        </w:tc>
        <w:tc>
          <w:tcPr>
            <w:tcW w:w="985" w:type="dxa"/>
          </w:tcPr>
          <w:p>
            <w:pPr>
              <w:pStyle w:val="TableParagraph"/>
              <w:spacing w:before="51"/>
              <w:ind w:right="142"/>
              <w:jc w:val="right"/>
              <w:rPr>
                <w:sz w:val="11"/>
              </w:rPr>
            </w:pPr>
            <w:r>
              <w:rPr>
                <w:sz w:val="11"/>
              </w:rPr>
              <w:t>376,695.00</w:t>
            </w:r>
          </w:p>
        </w:tc>
        <w:tc>
          <w:tcPr>
            <w:tcW w:w="1065" w:type="dxa"/>
          </w:tcPr>
          <w:p>
            <w:pPr>
              <w:pStyle w:val="TableParagraph"/>
              <w:spacing w:before="51"/>
              <w:ind w:right="98"/>
              <w:jc w:val="right"/>
              <w:rPr>
                <w:sz w:val="11"/>
              </w:rPr>
            </w:pPr>
            <w:r>
              <w:rPr>
                <w:sz w:val="11"/>
              </w:rPr>
              <w:t>337,294.00</w:t>
            </w:r>
          </w:p>
        </w:tc>
        <w:tc>
          <w:tcPr>
            <w:tcW w:w="1173" w:type="dxa"/>
          </w:tcPr>
          <w:p>
            <w:pPr>
              <w:pStyle w:val="TableParagraph"/>
              <w:spacing w:before="51"/>
              <w:ind w:right="163"/>
              <w:jc w:val="right"/>
              <w:rPr>
                <w:sz w:val="11"/>
              </w:rPr>
            </w:pPr>
            <w:r>
              <w:rPr>
                <w:sz w:val="11"/>
              </w:rPr>
              <w:t>40,372.00</w:t>
            </w:r>
          </w:p>
        </w:tc>
        <w:tc>
          <w:tcPr>
            <w:tcW w:w="1024" w:type="dxa"/>
          </w:tcPr>
          <w:p>
            <w:pPr>
              <w:pStyle w:val="TableParagraph"/>
              <w:spacing w:before="51"/>
              <w:ind w:right="78"/>
              <w:jc w:val="right"/>
              <w:rPr>
                <w:sz w:val="11"/>
              </w:rPr>
            </w:pPr>
            <w:r>
              <w:rPr>
                <w:sz w:val="11"/>
              </w:rPr>
              <w:t>377,666.00</w:t>
            </w:r>
          </w:p>
        </w:tc>
        <w:tc>
          <w:tcPr>
            <w:tcW w:w="597" w:type="dxa"/>
          </w:tcPr>
          <w:p>
            <w:pPr>
              <w:pStyle w:val="TableParagraph"/>
              <w:spacing w:before="51"/>
              <w:ind w:right="32"/>
              <w:jc w:val="right"/>
              <w:rPr>
                <w:sz w:val="11"/>
              </w:rPr>
            </w:pPr>
            <w:r>
              <w:rPr>
                <w:sz w:val="11"/>
              </w:rPr>
              <w:t>0.3%</w:t>
            </w:r>
          </w:p>
        </w:tc>
      </w:tr>
      <w:tr>
        <w:trPr>
          <w:trHeight w:val="178" w:hRule="atLeast"/>
        </w:trPr>
        <w:tc>
          <w:tcPr>
            <w:tcW w:w="2004" w:type="dxa"/>
          </w:tcPr>
          <w:p>
            <w:pPr>
              <w:pStyle w:val="TableParagraph"/>
              <w:spacing w:line="107" w:lineRule="exact" w:before="51"/>
              <w:ind w:left="152"/>
              <w:rPr>
                <w:sz w:val="11"/>
              </w:rPr>
            </w:pPr>
            <w:r>
              <w:rPr>
                <w:sz w:val="11"/>
              </w:rPr>
              <w:t>5) TOTAL, REVENUES</w:t>
            </w:r>
          </w:p>
        </w:tc>
        <w:tc>
          <w:tcPr>
            <w:tcW w:w="2437" w:type="dxa"/>
            <w:gridSpan w:val="2"/>
          </w:tcPr>
          <w:p>
            <w:pPr>
              <w:pStyle w:val="TableParagraph"/>
              <w:rPr>
                <w:rFonts w:ascii="Times New Roman"/>
                <w:sz w:val="10"/>
              </w:rPr>
            </w:pPr>
          </w:p>
        </w:tc>
        <w:tc>
          <w:tcPr>
            <w:tcW w:w="1263" w:type="dxa"/>
            <w:gridSpan w:val="2"/>
          </w:tcPr>
          <w:p>
            <w:pPr>
              <w:pStyle w:val="TableParagraph"/>
              <w:spacing w:line="107" w:lineRule="exact" w:before="51"/>
              <w:ind w:left="331"/>
              <w:rPr>
                <w:sz w:val="11"/>
              </w:rPr>
            </w:pPr>
            <w:r>
              <w:rPr>
                <w:sz w:val="11"/>
              </w:rPr>
              <w:t>1,657,529.00</w:t>
            </w:r>
          </w:p>
        </w:tc>
        <w:tc>
          <w:tcPr>
            <w:tcW w:w="1101" w:type="dxa"/>
          </w:tcPr>
          <w:p>
            <w:pPr>
              <w:pStyle w:val="TableParagraph"/>
              <w:spacing w:line="107" w:lineRule="exact" w:before="51"/>
              <w:ind w:right="266"/>
              <w:jc w:val="right"/>
              <w:rPr>
                <w:sz w:val="11"/>
              </w:rPr>
            </w:pPr>
            <w:r>
              <w:rPr>
                <w:sz w:val="11"/>
              </w:rPr>
              <w:t>626,529.00</w:t>
            </w:r>
          </w:p>
        </w:tc>
        <w:tc>
          <w:tcPr>
            <w:tcW w:w="985" w:type="dxa"/>
          </w:tcPr>
          <w:p>
            <w:pPr>
              <w:pStyle w:val="TableParagraph"/>
              <w:spacing w:line="107" w:lineRule="exact" w:before="51"/>
              <w:ind w:right="142"/>
              <w:jc w:val="right"/>
              <w:rPr>
                <w:sz w:val="11"/>
              </w:rPr>
            </w:pPr>
            <w:r>
              <w:rPr>
                <w:sz w:val="11"/>
              </w:rPr>
              <w:t>2,284,058.00</w:t>
            </w:r>
          </w:p>
        </w:tc>
        <w:tc>
          <w:tcPr>
            <w:tcW w:w="1065" w:type="dxa"/>
          </w:tcPr>
          <w:p>
            <w:pPr>
              <w:pStyle w:val="TableParagraph"/>
              <w:spacing w:line="107" w:lineRule="exact" w:before="51"/>
              <w:ind w:right="99"/>
              <w:jc w:val="right"/>
              <w:rPr>
                <w:sz w:val="11"/>
              </w:rPr>
            </w:pPr>
            <w:r>
              <w:rPr>
                <w:sz w:val="11"/>
              </w:rPr>
              <w:t>1,727,820.00</w:t>
            </w:r>
          </w:p>
        </w:tc>
        <w:tc>
          <w:tcPr>
            <w:tcW w:w="1173" w:type="dxa"/>
          </w:tcPr>
          <w:p>
            <w:pPr>
              <w:pStyle w:val="TableParagraph"/>
              <w:spacing w:line="107" w:lineRule="exact" w:before="51"/>
              <w:ind w:right="162"/>
              <w:jc w:val="right"/>
              <w:rPr>
                <w:sz w:val="11"/>
              </w:rPr>
            </w:pPr>
            <w:r>
              <w:rPr>
                <w:sz w:val="11"/>
              </w:rPr>
              <w:t>370,913.00</w:t>
            </w:r>
          </w:p>
        </w:tc>
        <w:tc>
          <w:tcPr>
            <w:tcW w:w="1024" w:type="dxa"/>
          </w:tcPr>
          <w:p>
            <w:pPr>
              <w:pStyle w:val="TableParagraph"/>
              <w:spacing w:line="107" w:lineRule="exact" w:before="51"/>
              <w:ind w:right="78"/>
              <w:jc w:val="right"/>
              <w:rPr>
                <w:sz w:val="11"/>
              </w:rPr>
            </w:pPr>
            <w:r>
              <w:rPr>
                <w:sz w:val="11"/>
              </w:rPr>
              <w:t>2,098,733.00</w:t>
            </w:r>
          </w:p>
        </w:tc>
        <w:tc>
          <w:tcPr>
            <w:tcW w:w="597" w:type="dxa"/>
          </w:tcPr>
          <w:p>
            <w:pPr>
              <w:pStyle w:val="TableParagraph"/>
              <w:spacing w:line="107" w:lineRule="exact" w:before="51"/>
              <w:ind w:right="32"/>
              <w:jc w:val="right"/>
              <w:rPr>
                <w:sz w:val="11"/>
              </w:rPr>
            </w:pPr>
            <w:r>
              <w:rPr>
                <w:sz w:val="11"/>
              </w:rPr>
              <w:t>-8.1%</w:t>
            </w:r>
          </w:p>
        </w:tc>
      </w:tr>
    </w:tbl>
    <w:p>
      <w:pPr>
        <w:pStyle w:val="BodyText"/>
        <w:rPr>
          <w:sz w:val="20"/>
        </w:rPr>
      </w:pPr>
    </w:p>
    <w:p>
      <w:pPr>
        <w:pStyle w:val="BodyText"/>
        <w:spacing w:before="3"/>
        <w:rPr>
          <w:sz w:val="22"/>
        </w:rPr>
      </w:pPr>
    </w:p>
    <w:tbl>
      <w:tblPr>
        <w:tblW w:w="0" w:type="auto"/>
        <w:jc w:val="left"/>
        <w:tblInd w:w="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91"/>
        <w:gridCol w:w="1412"/>
        <w:gridCol w:w="1156"/>
        <w:gridCol w:w="1100"/>
        <w:gridCol w:w="1091"/>
        <w:gridCol w:w="1137"/>
        <w:gridCol w:w="1100"/>
        <w:gridCol w:w="994"/>
        <w:gridCol w:w="541"/>
      </w:tblGrid>
      <w:tr>
        <w:trPr>
          <w:trHeight w:val="178" w:hRule="atLeast"/>
        </w:trPr>
        <w:tc>
          <w:tcPr>
            <w:tcW w:w="2991" w:type="dxa"/>
          </w:tcPr>
          <w:p>
            <w:pPr>
              <w:pStyle w:val="TableParagraph"/>
              <w:spacing w:line="125" w:lineRule="exact"/>
              <w:ind w:left="28"/>
              <w:rPr>
                <w:sz w:val="11"/>
              </w:rPr>
            </w:pPr>
            <w:r>
              <w:rPr>
                <w:sz w:val="11"/>
              </w:rPr>
              <w:t>1) Certificated Salaries</w:t>
            </w:r>
          </w:p>
        </w:tc>
        <w:tc>
          <w:tcPr>
            <w:tcW w:w="1412" w:type="dxa"/>
          </w:tcPr>
          <w:p>
            <w:pPr>
              <w:pStyle w:val="TableParagraph"/>
              <w:spacing w:line="125" w:lineRule="exact"/>
              <w:ind w:right="244"/>
              <w:jc w:val="right"/>
              <w:rPr>
                <w:sz w:val="11"/>
              </w:rPr>
            </w:pPr>
            <w:r>
              <w:rPr>
                <w:sz w:val="11"/>
              </w:rPr>
              <w:t>1000-1999</w:t>
            </w:r>
          </w:p>
        </w:tc>
        <w:tc>
          <w:tcPr>
            <w:tcW w:w="1156" w:type="dxa"/>
          </w:tcPr>
          <w:p>
            <w:pPr>
              <w:pStyle w:val="TableParagraph"/>
              <w:spacing w:line="125" w:lineRule="exact"/>
              <w:ind w:right="253"/>
              <w:jc w:val="right"/>
              <w:rPr>
                <w:sz w:val="11"/>
              </w:rPr>
            </w:pPr>
            <w:r>
              <w:rPr>
                <w:sz w:val="11"/>
              </w:rPr>
              <w:t>465,481.00</w:t>
            </w:r>
          </w:p>
        </w:tc>
        <w:tc>
          <w:tcPr>
            <w:tcW w:w="1100" w:type="dxa"/>
          </w:tcPr>
          <w:p>
            <w:pPr>
              <w:pStyle w:val="TableParagraph"/>
              <w:spacing w:line="125" w:lineRule="exact"/>
              <w:ind w:right="244"/>
              <w:jc w:val="right"/>
              <w:rPr>
                <w:sz w:val="11"/>
              </w:rPr>
            </w:pPr>
            <w:r>
              <w:rPr>
                <w:sz w:val="11"/>
              </w:rPr>
              <w:t>22,211.00</w:t>
            </w:r>
          </w:p>
        </w:tc>
        <w:tc>
          <w:tcPr>
            <w:tcW w:w="1091" w:type="dxa"/>
          </w:tcPr>
          <w:p>
            <w:pPr>
              <w:pStyle w:val="TableParagraph"/>
              <w:spacing w:line="125" w:lineRule="exact"/>
              <w:ind w:right="226"/>
              <w:jc w:val="right"/>
              <w:rPr>
                <w:sz w:val="11"/>
              </w:rPr>
            </w:pPr>
            <w:r>
              <w:rPr>
                <w:sz w:val="11"/>
              </w:rPr>
              <w:t>487,692.00</w:t>
            </w:r>
          </w:p>
        </w:tc>
        <w:tc>
          <w:tcPr>
            <w:tcW w:w="1137" w:type="dxa"/>
          </w:tcPr>
          <w:p>
            <w:pPr>
              <w:pStyle w:val="TableParagraph"/>
              <w:spacing w:line="125" w:lineRule="exact"/>
              <w:ind w:right="254"/>
              <w:jc w:val="right"/>
              <w:rPr>
                <w:sz w:val="11"/>
              </w:rPr>
            </w:pPr>
            <w:r>
              <w:rPr>
                <w:sz w:val="11"/>
              </w:rPr>
              <w:t>507,758.00</w:t>
            </w:r>
          </w:p>
        </w:tc>
        <w:tc>
          <w:tcPr>
            <w:tcW w:w="1100" w:type="dxa"/>
          </w:tcPr>
          <w:p>
            <w:pPr>
              <w:pStyle w:val="TableParagraph"/>
              <w:spacing w:line="125" w:lineRule="exact"/>
              <w:ind w:right="246"/>
              <w:jc w:val="right"/>
              <w:rPr>
                <w:sz w:val="11"/>
              </w:rPr>
            </w:pPr>
            <w:r>
              <w:rPr>
                <w:sz w:val="11"/>
              </w:rPr>
              <w:t>85,930.00</w:t>
            </w:r>
          </w:p>
        </w:tc>
        <w:tc>
          <w:tcPr>
            <w:tcW w:w="994" w:type="dxa"/>
          </w:tcPr>
          <w:p>
            <w:pPr>
              <w:pStyle w:val="TableParagraph"/>
              <w:spacing w:line="125" w:lineRule="exact"/>
              <w:ind w:right="131"/>
              <w:jc w:val="right"/>
              <w:rPr>
                <w:sz w:val="11"/>
              </w:rPr>
            </w:pPr>
            <w:r>
              <w:rPr>
                <w:sz w:val="11"/>
              </w:rPr>
              <w:t>593,688.00</w:t>
            </w:r>
          </w:p>
        </w:tc>
        <w:tc>
          <w:tcPr>
            <w:tcW w:w="541" w:type="dxa"/>
          </w:tcPr>
          <w:p>
            <w:pPr>
              <w:pStyle w:val="TableParagraph"/>
              <w:spacing w:line="125" w:lineRule="exact"/>
              <w:ind w:right="30"/>
              <w:jc w:val="right"/>
              <w:rPr>
                <w:sz w:val="11"/>
              </w:rPr>
            </w:pPr>
            <w:r>
              <w:rPr>
                <w:sz w:val="11"/>
              </w:rPr>
              <w:t>21.7%</w:t>
            </w:r>
          </w:p>
        </w:tc>
      </w:tr>
      <w:tr>
        <w:trPr>
          <w:trHeight w:val="230" w:hRule="atLeast"/>
        </w:trPr>
        <w:tc>
          <w:tcPr>
            <w:tcW w:w="2991" w:type="dxa"/>
          </w:tcPr>
          <w:p>
            <w:pPr>
              <w:pStyle w:val="TableParagraph"/>
              <w:spacing w:before="51"/>
              <w:ind w:left="28"/>
              <w:rPr>
                <w:sz w:val="11"/>
              </w:rPr>
            </w:pPr>
            <w:r>
              <w:rPr>
                <w:sz w:val="11"/>
              </w:rPr>
              <w:t>2) Classified Salaries</w:t>
            </w:r>
          </w:p>
        </w:tc>
        <w:tc>
          <w:tcPr>
            <w:tcW w:w="1412" w:type="dxa"/>
          </w:tcPr>
          <w:p>
            <w:pPr>
              <w:pStyle w:val="TableParagraph"/>
              <w:spacing w:before="51"/>
              <w:ind w:right="244"/>
              <w:jc w:val="right"/>
              <w:rPr>
                <w:sz w:val="11"/>
              </w:rPr>
            </w:pPr>
            <w:r>
              <w:rPr>
                <w:sz w:val="11"/>
              </w:rPr>
              <w:t>2000-2999</w:t>
            </w:r>
          </w:p>
        </w:tc>
        <w:tc>
          <w:tcPr>
            <w:tcW w:w="1156" w:type="dxa"/>
          </w:tcPr>
          <w:p>
            <w:pPr>
              <w:pStyle w:val="TableParagraph"/>
              <w:spacing w:before="51"/>
              <w:ind w:right="253"/>
              <w:jc w:val="right"/>
              <w:rPr>
                <w:sz w:val="11"/>
              </w:rPr>
            </w:pPr>
            <w:r>
              <w:rPr>
                <w:sz w:val="11"/>
              </w:rPr>
              <w:t>208,616.00</w:t>
            </w:r>
          </w:p>
        </w:tc>
        <w:tc>
          <w:tcPr>
            <w:tcW w:w="1100" w:type="dxa"/>
          </w:tcPr>
          <w:p>
            <w:pPr>
              <w:pStyle w:val="TableParagraph"/>
              <w:spacing w:before="51"/>
              <w:ind w:right="244"/>
              <w:jc w:val="right"/>
              <w:rPr>
                <w:sz w:val="11"/>
              </w:rPr>
            </w:pPr>
            <w:r>
              <w:rPr>
                <w:sz w:val="11"/>
              </w:rPr>
              <w:t>257,547.00</w:t>
            </w:r>
          </w:p>
        </w:tc>
        <w:tc>
          <w:tcPr>
            <w:tcW w:w="1091" w:type="dxa"/>
          </w:tcPr>
          <w:p>
            <w:pPr>
              <w:pStyle w:val="TableParagraph"/>
              <w:spacing w:before="51"/>
              <w:ind w:right="226"/>
              <w:jc w:val="right"/>
              <w:rPr>
                <w:sz w:val="11"/>
              </w:rPr>
            </w:pPr>
            <w:r>
              <w:rPr>
                <w:sz w:val="11"/>
              </w:rPr>
              <w:t>466,163.00</w:t>
            </w:r>
          </w:p>
        </w:tc>
        <w:tc>
          <w:tcPr>
            <w:tcW w:w="1137" w:type="dxa"/>
          </w:tcPr>
          <w:p>
            <w:pPr>
              <w:pStyle w:val="TableParagraph"/>
              <w:spacing w:before="51"/>
              <w:ind w:right="254"/>
              <w:jc w:val="right"/>
              <w:rPr>
                <w:sz w:val="11"/>
              </w:rPr>
            </w:pPr>
            <w:r>
              <w:rPr>
                <w:sz w:val="11"/>
              </w:rPr>
              <w:t>239,400.00</w:t>
            </w:r>
          </w:p>
        </w:tc>
        <w:tc>
          <w:tcPr>
            <w:tcW w:w="1100" w:type="dxa"/>
          </w:tcPr>
          <w:p>
            <w:pPr>
              <w:pStyle w:val="TableParagraph"/>
              <w:spacing w:before="51"/>
              <w:ind w:right="246"/>
              <w:jc w:val="right"/>
              <w:rPr>
                <w:sz w:val="11"/>
              </w:rPr>
            </w:pPr>
            <w:r>
              <w:rPr>
                <w:sz w:val="11"/>
              </w:rPr>
              <w:t>224,973.00</w:t>
            </w:r>
          </w:p>
        </w:tc>
        <w:tc>
          <w:tcPr>
            <w:tcW w:w="994" w:type="dxa"/>
          </w:tcPr>
          <w:p>
            <w:pPr>
              <w:pStyle w:val="TableParagraph"/>
              <w:spacing w:before="51"/>
              <w:ind w:right="131"/>
              <w:jc w:val="right"/>
              <w:rPr>
                <w:sz w:val="11"/>
              </w:rPr>
            </w:pPr>
            <w:r>
              <w:rPr>
                <w:sz w:val="11"/>
              </w:rPr>
              <w:t>464,373.00</w:t>
            </w:r>
          </w:p>
        </w:tc>
        <w:tc>
          <w:tcPr>
            <w:tcW w:w="541" w:type="dxa"/>
          </w:tcPr>
          <w:p>
            <w:pPr>
              <w:pStyle w:val="TableParagraph"/>
              <w:spacing w:before="51"/>
              <w:ind w:right="29"/>
              <w:jc w:val="right"/>
              <w:rPr>
                <w:sz w:val="11"/>
              </w:rPr>
            </w:pPr>
            <w:r>
              <w:rPr>
                <w:sz w:val="11"/>
              </w:rPr>
              <w:t>-0.4%</w:t>
            </w:r>
          </w:p>
        </w:tc>
      </w:tr>
      <w:tr>
        <w:trPr>
          <w:trHeight w:val="230" w:hRule="atLeast"/>
        </w:trPr>
        <w:tc>
          <w:tcPr>
            <w:tcW w:w="2991" w:type="dxa"/>
          </w:tcPr>
          <w:p>
            <w:pPr>
              <w:pStyle w:val="TableParagraph"/>
              <w:spacing w:before="51"/>
              <w:ind w:left="28"/>
              <w:rPr>
                <w:sz w:val="11"/>
              </w:rPr>
            </w:pPr>
            <w:r>
              <w:rPr>
                <w:sz w:val="11"/>
              </w:rPr>
              <w:t>3) Employee Benefits</w:t>
            </w:r>
          </w:p>
        </w:tc>
        <w:tc>
          <w:tcPr>
            <w:tcW w:w="1412" w:type="dxa"/>
          </w:tcPr>
          <w:p>
            <w:pPr>
              <w:pStyle w:val="TableParagraph"/>
              <w:spacing w:before="51"/>
              <w:ind w:right="244"/>
              <w:jc w:val="right"/>
              <w:rPr>
                <w:sz w:val="11"/>
              </w:rPr>
            </w:pPr>
            <w:r>
              <w:rPr>
                <w:sz w:val="11"/>
              </w:rPr>
              <w:t>3000-3999</w:t>
            </w:r>
          </w:p>
        </w:tc>
        <w:tc>
          <w:tcPr>
            <w:tcW w:w="1156" w:type="dxa"/>
          </w:tcPr>
          <w:p>
            <w:pPr>
              <w:pStyle w:val="TableParagraph"/>
              <w:spacing w:before="51"/>
              <w:ind w:right="253"/>
              <w:jc w:val="right"/>
              <w:rPr>
                <w:sz w:val="11"/>
              </w:rPr>
            </w:pPr>
            <w:r>
              <w:rPr>
                <w:sz w:val="11"/>
              </w:rPr>
              <w:t>219,504.00</w:t>
            </w:r>
          </w:p>
        </w:tc>
        <w:tc>
          <w:tcPr>
            <w:tcW w:w="1100" w:type="dxa"/>
          </w:tcPr>
          <w:p>
            <w:pPr>
              <w:pStyle w:val="TableParagraph"/>
              <w:spacing w:before="51"/>
              <w:ind w:right="244"/>
              <w:jc w:val="right"/>
              <w:rPr>
                <w:sz w:val="11"/>
              </w:rPr>
            </w:pPr>
            <w:r>
              <w:rPr>
                <w:sz w:val="11"/>
              </w:rPr>
              <w:t>157,503.00</w:t>
            </w:r>
          </w:p>
        </w:tc>
        <w:tc>
          <w:tcPr>
            <w:tcW w:w="1091" w:type="dxa"/>
          </w:tcPr>
          <w:p>
            <w:pPr>
              <w:pStyle w:val="TableParagraph"/>
              <w:spacing w:before="51"/>
              <w:ind w:right="226"/>
              <w:jc w:val="right"/>
              <w:rPr>
                <w:sz w:val="11"/>
              </w:rPr>
            </w:pPr>
            <w:r>
              <w:rPr>
                <w:sz w:val="11"/>
              </w:rPr>
              <w:t>377,007.00</w:t>
            </w:r>
          </w:p>
        </w:tc>
        <w:tc>
          <w:tcPr>
            <w:tcW w:w="1137" w:type="dxa"/>
          </w:tcPr>
          <w:p>
            <w:pPr>
              <w:pStyle w:val="TableParagraph"/>
              <w:spacing w:before="51"/>
              <w:ind w:right="254"/>
              <w:jc w:val="right"/>
              <w:rPr>
                <w:sz w:val="11"/>
              </w:rPr>
            </w:pPr>
            <w:r>
              <w:rPr>
                <w:sz w:val="11"/>
              </w:rPr>
              <w:t>240,012.00</w:t>
            </w:r>
          </w:p>
        </w:tc>
        <w:tc>
          <w:tcPr>
            <w:tcW w:w="1100" w:type="dxa"/>
          </w:tcPr>
          <w:p>
            <w:pPr>
              <w:pStyle w:val="TableParagraph"/>
              <w:spacing w:before="51"/>
              <w:ind w:right="246"/>
              <w:jc w:val="right"/>
              <w:rPr>
                <w:sz w:val="11"/>
              </w:rPr>
            </w:pPr>
            <w:r>
              <w:rPr>
                <w:sz w:val="11"/>
              </w:rPr>
              <w:t>179,309.00</w:t>
            </w:r>
          </w:p>
        </w:tc>
        <w:tc>
          <w:tcPr>
            <w:tcW w:w="994" w:type="dxa"/>
          </w:tcPr>
          <w:p>
            <w:pPr>
              <w:pStyle w:val="TableParagraph"/>
              <w:spacing w:before="51"/>
              <w:ind w:right="131"/>
              <w:jc w:val="right"/>
              <w:rPr>
                <w:sz w:val="11"/>
              </w:rPr>
            </w:pPr>
            <w:r>
              <w:rPr>
                <w:sz w:val="11"/>
              </w:rPr>
              <w:t>419,321.00</w:t>
            </w:r>
          </w:p>
        </w:tc>
        <w:tc>
          <w:tcPr>
            <w:tcW w:w="541" w:type="dxa"/>
          </w:tcPr>
          <w:p>
            <w:pPr>
              <w:pStyle w:val="TableParagraph"/>
              <w:spacing w:before="51"/>
              <w:ind w:right="30"/>
              <w:jc w:val="right"/>
              <w:rPr>
                <w:sz w:val="11"/>
              </w:rPr>
            </w:pPr>
            <w:r>
              <w:rPr>
                <w:sz w:val="11"/>
              </w:rPr>
              <w:t>11.2%</w:t>
            </w:r>
          </w:p>
        </w:tc>
      </w:tr>
      <w:tr>
        <w:trPr>
          <w:trHeight w:val="230" w:hRule="atLeast"/>
        </w:trPr>
        <w:tc>
          <w:tcPr>
            <w:tcW w:w="2991" w:type="dxa"/>
          </w:tcPr>
          <w:p>
            <w:pPr>
              <w:pStyle w:val="TableParagraph"/>
              <w:spacing w:before="51"/>
              <w:ind w:left="28"/>
              <w:rPr>
                <w:sz w:val="11"/>
              </w:rPr>
            </w:pPr>
            <w:r>
              <w:rPr>
                <w:sz w:val="11"/>
              </w:rPr>
              <w:t>4) Books and Supplies</w:t>
            </w:r>
          </w:p>
        </w:tc>
        <w:tc>
          <w:tcPr>
            <w:tcW w:w="1412" w:type="dxa"/>
          </w:tcPr>
          <w:p>
            <w:pPr>
              <w:pStyle w:val="TableParagraph"/>
              <w:spacing w:before="51"/>
              <w:ind w:right="244"/>
              <w:jc w:val="right"/>
              <w:rPr>
                <w:sz w:val="11"/>
              </w:rPr>
            </w:pPr>
            <w:r>
              <w:rPr>
                <w:sz w:val="11"/>
              </w:rPr>
              <w:t>4000-4999</w:t>
            </w:r>
          </w:p>
        </w:tc>
        <w:tc>
          <w:tcPr>
            <w:tcW w:w="1156" w:type="dxa"/>
          </w:tcPr>
          <w:p>
            <w:pPr>
              <w:pStyle w:val="TableParagraph"/>
              <w:spacing w:before="51"/>
              <w:ind w:right="253"/>
              <w:jc w:val="right"/>
              <w:rPr>
                <w:sz w:val="11"/>
              </w:rPr>
            </w:pPr>
            <w:r>
              <w:rPr>
                <w:sz w:val="11"/>
              </w:rPr>
              <w:t>42,476.00</w:t>
            </w:r>
          </w:p>
        </w:tc>
        <w:tc>
          <w:tcPr>
            <w:tcW w:w="1100" w:type="dxa"/>
          </w:tcPr>
          <w:p>
            <w:pPr>
              <w:pStyle w:val="TableParagraph"/>
              <w:spacing w:before="51"/>
              <w:ind w:right="244"/>
              <w:jc w:val="right"/>
              <w:rPr>
                <w:sz w:val="11"/>
              </w:rPr>
            </w:pPr>
            <w:r>
              <w:rPr>
                <w:sz w:val="11"/>
              </w:rPr>
              <w:t>179,912.00</w:t>
            </w:r>
          </w:p>
        </w:tc>
        <w:tc>
          <w:tcPr>
            <w:tcW w:w="1091" w:type="dxa"/>
          </w:tcPr>
          <w:p>
            <w:pPr>
              <w:pStyle w:val="TableParagraph"/>
              <w:spacing w:before="51"/>
              <w:ind w:right="226"/>
              <w:jc w:val="right"/>
              <w:rPr>
                <w:sz w:val="11"/>
              </w:rPr>
            </w:pPr>
            <w:r>
              <w:rPr>
                <w:sz w:val="11"/>
              </w:rPr>
              <w:t>222,388.00</w:t>
            </w:r>
          </w:p>
        </w:tc>
        <w:tc>
          <w:tcPr>
            <w:tcW w:w="1137" w:type="dxa"/>
          </w:tcPr>
          <w:p>
            <w:pPr>
              <w:pStyle w:val="TableParagraph"/>
              <w:spacing w:before="51"/>
              <w:ind w:right="255"/>
              <w:jc w:val="right"/>
              <w:rPr>
                <w:sz w:val="11"/>
              </w:rPr>
            </w:pPr>
            <w:r>
              <w:rPr>
                <w:sz w:val="11"/>
              </w:rPr>
              <w:t>71,691.00</w:t>
            </w:r>
          </w:p>
        </w:tc>
        <w:tc>
          <w:tcPr>
            <w:tcW w:w="1100" w:type="dxa"/>
          </w:tcPr>
          <w:p>
            <w:pPr>
              <w:pStyle w:val="TableParagraph"/>
              <w:spacing w:before="51"/>
              <w:ind w:right="246"/>
              <w:jc w:val="right"/>
              <w:rPr>
                <w:sz w:val="11"/>
              </w:rPr>
            </w:pPr>
            <w:r>
              <w:rPr>
                <w:sz w:val="11"/>
              </w:rPr>
              <w:t>67,059.00</w:t>
            </w:r>
          </w:p>
        </w:tc>
        <w:tc>
          <w:tcPr>
            <w:tcW w:w="994" w:type="dxa"/>
          </w:tcPr>
          <w:p>
            <w:pPr>
              <w:pStyle w:val="TableParagraph"/>
              <w:spacing w:before="51"/>
              <w:ind w:right="131"/>
              <w:jc w:val="right"/>
              <w:rPr>
                <w:sz w:val="11"/>
              </w:rPr>
            </w:pPr>
            <w:r>
              <w:rPr>
                <w:sz w:val="11"/>
              </w:rPr>
              <w:t>138,750.00</w:t>
            </w:r>
          </w:p>
        </w:tc>
        <w:tc>
          <w:tcPr>
            <w:tcW w:w="541" w:type="dxa"/>
          </w:tcPr>
          <w:p>
            <w:pPr>
              <w:pStyle w:val="TableParagraph"/>
              <w:spacing w:before="51"/>
              <w:ind w:right="29"/>
              <w:jc w:val="right"/>
              <w:rPr>
                <w:sz w:val="11"/>
              </w:rPr>
            </w:pPr>
            <w:r>
              <w:rPr>
                <w:sz w:val="11"/>
              </w:rPr>
              <w:t>-37.6%</w:t>
            </w:r>
          </w:p>
        </w:tc>
      </w:tr>
      <w:tr>
        <w:trPr>
          <w:trHeight w:val="230" w:hRule="atLeast"/>
        </w:trPr>
        <w:tc>
          <w:tcPr>
            <w:tcW w:w="2991" w:type="dxa"/>
          </w:tcPr>
          <w:p>
            <w:pPr>
              <w:pStyle w:val="TableParagraph"/>
              <w:spacing w:before="51"/>
              <w:ind w:left="28"/>
              <w:rPr>
                <w:sz w:val="11"/>
              </w:rPr>
            </w:pPr>
            <w:r>
              <w:rPr>
                <w:sz w:val="11"/>
              </w:rPr>
              <w:t>5) Services and Other Operating Expenditures</w:t>
            </w:r>
          </w:p>
        </w:tc>
        <w:tc>
          <w:tcPr>
            <w:tcW w:w="1412" w:type="dxa"/>
          </w:tcPr>
          <w:p>
            <w:pPr>
              <w:pStyle w:val="TableParagraph"/>
              <w:spacing w:before="51"/>
              <w:ind w:right="244"/>
              <w:jc w:val="right"/>
              <w:rPr>
                <w:sz w:val="11"/>
              </w:rPr>
            </w:pPr>
            <w:r>
              <w:rPr>
                <w:sz w:val="11"/>
              </w:rPr>
              <w:t>5000-5999</w:t>
            </w:r>
          </w:p>
        </w:tc>
        <w:tc>
          <w:tcPr>
            <w:tcW w:w="1156" w:type="dxa"/>
          </w:tcPr>
          <w:p>
            <w:pPr>
              <w:pStyle w:val="TableParagraph"/>
              <w:spacing w:before="51"/>
              <w:ind w:right="253"/>
              <w:jc w:val="right"/>
              <w:rPr>
                <w:sz w:val="11"/>
              </w:rPr>
            </w:pPr>
            <w:r>
              <w:rPr>
                <w:sz w:val="11"/>
              </w:rPr>
              <w:t>350,326.00</w:t>
            </w:r>
          </w:p>
        </w:tc>
        <w:tc>
          <w:tcPr>
            <w:tcW w:w="1100" w:type="dxa"/>
          </w:tcPr>
          <w:p>
            <w:pPr>
              <w:pStyle w:val="TableParagraph"/>
              <w:spacing w:before="51"/>
              <w:ind w:right="244"/>
              <w:jc w:val="right"/>
              <w:rPr>
                <w:sz w:val="11"/>
              </w:rPr>
            </w:pPr>
            <w:r>
              <w:rPr>
                <w:sz w:val="11"/>
              </w:rPr>
              <w:t>79,458.00</w:t>
            </w:r>
          </w:p>
        </w:tc>
        <w:tc>
          <w:tcPr>
            <w:tcW w:w="1091" w:type="dxa"/>
          </w:tcPr>
          <w:p>
            <w:pPr>
              <w:pStyle w:val="TableParagraph"/>
              <w:spacing w:before="51"/>
              <w:ind w:right="226"/>
              <w:jc w:val="right"/>
              <w:rPr>
                <w:sz w:val="11"/>
              </w:rPr>
            </w:pPr>
            <w:r>
              <w:rPr>
                <w:sz w:val="11"/>
              </w:rPr>
              <w:t>429,784.00</w:t>
            </w:r>
          </w:p>
        </w:tc>
        <w:tc>
          <w:tcPr>
            <w:tcW w:w="1137" w:type="dxa"/>
          </w:tcPr>
          <w:p>
            <w:pPr>
              <w:pStyle w:val="TableParagraph"/>
              <w:spacing w:before="51"/>
              <w:ind w:right="254"/>
              <w:jc w:val="right"/>
              <w:rPr>
                <w:sz w:val="11"/>
              </w:rPr>
            </w:pPr>
            <w:r>
              <w:rPr>
                <w:sz w:val="11"/>
              </w:rPr>
              <w:t>341,793.00</w:t>
            </w:r>
          </w:p>
        </w:tc>
        <w:tc>
          <w:tcPr>
            <w:tcW w:w="1100" w:type="dxa"/>
          </w:tcPr>
          <w:p>
            <w:pPr>
              <w:pStyle w:val="TableParagraph"/>
              <w:spacing w:before="51"/>
              <w:ind w:right="246"/>
              <w:jc w:val="right"/>
              <w:rPr>
                <w:sz w:val="11"/>
              </w:rPr>
            </w:pPr>
            <w:r>
              <w:rPr>
                <w:sz w:val="11"/>
              </w:rPr>
              <w:t>20,449.00</w:t>
            </w:r>
          </w:p>
        </w:tc>
        <w:tc>
          <w:tcPr>
            <w:tcW w:w="994" w:type="dxa"/>
          </w:tcPr>
          <w:p>
            <w:pPr>
              <w:pStyle w:val="TableParagraph"/>
              <w:spacing w:before="51"/>
              <w:ind w:right="131"/>
              <w:jc w:val="right"/>
              <w:rPr>
                <w:sz w:val="11"/>
              </w:rPr>
            </w:pPr>
            <w:r>
              <w:rPr>
                <w:sz w:val="11"/>
              </w:rPr>
              <w:t>362,242.00</w:t>
            </w:r>
          </w:p>
        </w:tc>
        <w:tc>
          <w:tcPr>
            <w:tcW w:w="541" w:type="dxa"/>
          </w:tcPr>
          <w:p>
            <w:pPr>
              <w:pStyle w:val="TableParagraph"/>
              <w:spacing w:before="51"/>
              <w:ind w:right="29"/>
              <w:jc w:val="right"/>
              <w:rPr>
                <w:sz w:val="11"/>
              </w:rPr>
            </w:pPr>
            <w:r>
              <w:rPr>
                <w:sz w:val="11"/>
              </w:rPr>
              <w:t>-15.7%</w:t>
            </w:r>
          </w:p>
        </w:tc>
      </w:tr>
      <w:tr>
        <w:trPr>
          <w:trHeight w:val="230" w:hRule="atLeast"/>
        </w:trPr>
        <w:tc>
          <w:tcPr>
            <w:tcW w:w="2991" w:type="dxa"/>
          </w:tcPr>
          <w:p>
            <w:pPr>
              <w:pStyle w:val="TableParagraph"/>
              <w:spacing w:before="51"/>
              <w:ind w:left="28"/>
              <w:rPr>
                <w:sz w:val="11"/>
              </w:rPr>
            </w:pPr>
            <w:r>
              <w:rPr>
                <w:sz w:val="11"/>
              </w:rPr>
              <w:t>6) Capital Outlay</w:t>
            </w:r>
          </w:p>
        </w:tc>
        <w:tc>
          <w:tcPr>
            <w:tcW w:w="1412" w:type="dxa"/>
          </w:tcPr>
          <w:p>
            <w:pPr>
              <w:pStyle w:val="TableParagraph"/>
              <w:spacing w:before="51"/>
              <w:ind w:right="244"/>
              <w:jc w:val="right"/>
              <w:rPr>
                <w:sz w:val="11"/>
              </w:rPr>
            </w:pPr>
            <w:r>
              <w:rPr>
                <w:sz w:val="11"/>
              </w:rPr>
              <w:t>6000-6999</w:t>
            </w:r>
          </w:p>
        </w:tc>
        <w:tc>
          <w:tcPr>
            <w:tcW w:w="1156" w:type="dxa"/>
          </w:tcPr>
          <w:p>
            <w:pPr>
              <w:pStyle w:val="TableParagraph"/>
              <w:spacing w:before="51"/>
              <w:ind w:right="253"/>
              <w:jc w:val="right"/>
              <w:rPr>
                <w:sz w:val="11"/>
              </w:rPr>
            </w:pPr>
            <w:r>
              <w:rPr>
                <w:sz w:val="11"/>
              </w:rPr>
              <w:t>16,000.00</w:t>
            </w:r>
          </w:p>
        </w:tc>
        <w:tc>
          <w:tcPr>
            <w:tcW w:w="1100" w:type="dxa"/>
          </w:tcPr>
          <w:p>
            <w:pPr>
              <w:pStyle w:val="TableParagraph"/>
              <w:spacing w:before="51"/>
              <w:ind w:right="244"/>
              <w:jc w:val="right"/>
              <w:rPr>
                <w:sz w:val="11"/>
              </w:rPr>
            </w:pPr>
            <w:r>
              <w:rPr>
                <w:sz w:val="11"/>
              </w:rPr>
              <w:t>120,000.00</w:t>
            </w:r>
          </w:p>
        </w:tc>
        <w:tc>
          <w:tcPr>
            <w:tcW w:w="1091" w:type="dxa"/>
          </w:tcPr>
          <w:p>
            <w:pPr>
              <w:pStyle w:val="TableParagraph"/>
              <w:spacing w:before="51"/>
              <w:ind w:right="226"/>
              <w:jc w:val="right"/>
              <w:rPr>
                <w:sz w:val="11"/>
              </w:rPr>
            </w:pPr>
            <w:r>
              <w:rPr>
                <w:sz w:val="11"/>
              </w:rPr>
              <w:t>136,000.00</w:t>
            </w:r>
          </w:p>
        </w:tc>
        <w:tc>
          <w:tcPr>
            <w:tcW w:w="1137" w:type="dxa"/>
          </w:tcPr>
          <w:p>
            <w:pPr>
              <w:pStyle w:val="TableParagraph"/>
              <w:spacing w:before="51"/>
              <w:ind w:right="255"/>
              <w:jc w:val="right"/>
              <w:rPr>
                <w:sz w:val="11"/>
              </w:rPr>
            </w:pPr>
            <w:r>
              <w:rPr>
                <w:sz w:val="11"/>
              </w:rPr>
              <w:t>64,027.00</w:t>
            </w:r>
          </w:p>
        </w:tc>
        <w:tc>
          <w:tcPr>
            <w:tcW w:w="1100" w:type="dxa"/>
          </w:tcPr>
          <w:p>
            <w:pPr>
              <w:pStyle w:val="TableParagraph"/>
              <w:spacing w:before="51"/>
              <w:ind w:right="246"/>
              <w:jc w:val="right"/>
              <w:rPr>
                <w:sz w:val="11"/>
              </w:rPr>
            </w:pPr>
            <w:r>
              <w:rPr>
                <w:sz w:val="11"/>
              </w:rPr>
              <w:t>74,973.00</w:t>
            </w:r>
          </w:p>
        </w:tc>
        <w:tc>
          <w:tcPr>
            <w:tcW w:w="994" w:type="dxa"/>
          </w:tcPr>
          <w:p>
            <w:pPr>
              <w:pStyle w:val="TableParagraph"/>
              <w:spacing w:before="51"/>
              <w:ind w:right="131"/>
              <w:jc w:val="right"/>
              <w:rPr>
                <w:sz w:val="11"/>
              </w:rPr>
            </w:pPr>
            <w:r>
              <w:rPr>
                <w:sz w:val="11"/>
              </w:rPr>
              <w:t>139,000.00</w:t>
            </w:r>
          </w:p>
        </w:tc>
        <w:tc>
          <w:tcPr>
            <w:tcW w:w="541" w:type="dxa"/>
          </w:tcPr>
          <w:p>
            <w:pPr>
              <w:pStyle w:val="TableParagraph"/>
              <w:spacing w:before="51"/>
              <w:ind w:right="29"/>
              <w:jc w:val="right"/>
              <w:rPr>
                <w:sz w:val="11"/>
              </w:rPr>
            </w:pPr>
            <w:r>
              <w:rPr>
                <w:sz w:val="11"/>
              </w:rPr>
              <w:t>2.2%</w:t>
            </w:r>
          </w:p>
        </w:tc>
      </w:tr>
      <w:tr>
        <w:trPr>
          <w:trHeight w:val="190" w:hRule="atLeast"/>
        </w:trPr>
        <w:tc>
          <w:tcPr>
            <w:tcW w:w="2991" w:type="dxa"/>
          </w:tcPr>
          <w:p>
            <w:pPr>
              <w:pStyle w:val="TableParagraph"/>
              <w:spacing w:line="120" w:lineRule="exact" w:before="51"/>
              <w:ind w:left="28"/>
              <w:rPr>
                <w:sz w:val="11"/>
              </w:rPr>
            </w:pPr>
            <w:r>
              <w:rPr>
                <w:sz w:val="11"/>
              </w:rPr>
              <w:t>7) Other Outgo (excluding Transfers of Indirect</w:t>
            </w:r>
          </w:p>
        </w:tc>
        <w:tc>
          <w:tcPr>
            <w:tcW w:w="1412" w:type="dxa"/>
          </w:tcPr>
          <w:p>
            <w:pPr>
              <w:pStyle w:val="TableParagraph"/>
              <w:spacing w:line="120" w:lineRule="exact" w:before="51"/>
              <w:ind w:right="244"/>
              <w:jc w:val="right"/>
              <w:rPr>
                <w:sz w:val="11"/>
              </w:rPr>
            </w:pPr>
            <w:r>
              <w:rPr>
                <w:sz w:val="11"/>
              </w:rPr>
              <w:t>7100-7299</w:t>
            </w:r>
          </w:p>
        </w:tc>
        <w:tc>
          <w:tcPr>
            <w:tcW w:w="1156" w:type="dxa"/>
          </w:tcPr>
          <w:p>
            <w:pPr>
              <w:pStyle w:val="TableParagraph"/>
              <w:rPr>
                <w:rFonts w:ascii="Times New Roman"/>
                <w:sz w:val="10"/>
              </w:rPr>
            </w:pPr>
          </w:p>
        </w:tc>
        <w:tc>
          <w:tcPr>
            <w:tcW w:w="1100" w:type="dxa"/>
          </w:tcPr>
          <w:p>
            <w:pPr>
              <w:pStyle w:val="TableParagraph"/>
              <w:rPr>
                <w:rFonts w:ascii="Times New Roman"/>
                <w:sz w:val="10"/>
              </w:rPr>
            </w:pPr>
          </w:p>
        </w:tc>
        <w:tc>
          <w:tcPr>
            <w:tcW w:w="1091" w:type="dxa"/>
          </w:tcPr>
          <w:p>
            <w:pPr>
              <w:pStyle w:val="TableParagraph"/>
              <w:rPr>
                <w:rFonts w:ascii="Times New Roman"/>
                <w:sz w:val="10"/>
              </w:rPr>
            </w:pPr>
          </w:p>
        </w:tc>
        <w:tc>
          <w:tcPr>
            <w:tcW w:w="1137" w:type="dxa"/>
          </w:tcPr>
          <w:p>
            <w:pPr>
              <w:pStyle w:val="TableParagraph"/>
              <w:rPr>
                <w:rFonts w:ascii="Times New Roman"/>
                <w:sz w:val="10"/>
              </w:rPr>
            </w:pPr>
          </w:p>
        </w:tc>
        <w:tc>
          <w:tcPr>
            <w:tcW w:w="1100" w:type="dxa"/>
          </w:tcPr>
          <w:p>
            <w:pPr>
              <w:pStyle w:val="TableParagraph"/>
              <w:rPr>
                <w:rFonts w:ascii="Times New Roman"/>
                <w:sz w:val="10"/>
              </w:rPr>
            </w:pPr>
          </w:p>
        </w:tc>
        <w:tc>
          <w:tcPr>
            <w:tcW w:w="994" w:type="dxa"/>
          </w:tcPr>
          <w:p>
            <w:pPr>
              <w:pStyle w:val="TableParagraph"/>
              <w:rPr>
                <w:rFonts w:ascii="Times New Roman"/>
                <w:sz w:val="10"/>
              </w:rPr>
            </w:pPr>
          </w:p>
        </w:tc>
        <w:tc>
          <w:tcPr>
            <w:tcW w:w="541" w:type="dxa"/>
          </w:tcPr>
          <w:p>
            <w:pPr>
              <w:pStyle w:val="TableParagraph"/>
              <w:rPr>
                <w:rFonts w:ascii="Times New Roman"/>
                <w:sz w:val="10"/>
              </w:rPr>
            </w:pPr>
          </w:p>
        </w:tc>
      </w:tr>
      <w:tr>
        <w:trPr>
          <w:trHeight w:val="190" w:hRule="atLeast"/>
        </w:trPr>
        <w:tc>
          <w:tcPr>
            <w:tcW w:w="2991" w:type="dxa"/>
          </w:tcPr>
          <w:p>
            <w:pPr>
              <w:pStyle w:val="TableParagraph"/>
              <w:spacing w:before="11"/>
              <w:ind w:left="246"/>
              <w:rPr>
                <w:sz w:val="11"/>
              </w:rPr>
            </w:pPr>
            <w:r>
              <w:rPr>
                <w:sz w:val="11"/>
              </w:rPr>
              <w:t>Costs)</w:t>
            </w:r>
          </w:p>
        </w:tc>
        <w:tc>
          <w:tcPr>
            <w:tcW w:w="1412" w:type="dxa"/>
          </w:tcPr>
          <w:p>
            <w:pPr>
              <w:pStyle w:val="TableParagraph"/>
              <w:spacing w:before="11"/>
              <w:ind w:right="244"/>
              <w:jc w:val="right"/>
              <w:rPr>
                <w:sz w:val="11"/>
              </w:rPr>
            </w:pPr>
            <w:r>
              <w:rPr>
                <w:sz w:val="11"/>
              </w:rPr>
              <w:t>7400-7499</w:t>
            </w:r>
          </w:p>
        </w:tc>
        <w:tc>
          <w:tcPr>
            <w:tcW w:w="1156" w:type="dxa"/>
          </w:tcPr>
          <w:p>
            <w:pPr>
              <w:pStyle w:val="TableParagraph"/>
              <w:spacing w:before="11"/>
              <w:ind w:right="253"/>
              <w:jc w:val="right"/>
              <w:rPr>
                <w:sz w:val="11"/>
              </w:rPr>
            </w:pPr>
            <w:r>
              <w:rPr>
                <w:sz w:val="11"/>
              </w:rPr>
              <w:t>0.00</w:t>
            </w:r>
          </w:p>
        </w:tc>
        <w:tc>
          <w:tcPr>
            <w:tcW w:w="1100" w:type="dxa"/>
          </w:tcPr>
          <w:p>
            <w:pPr>
              <w:pStyle w:val="TableParagraph"/>
              <w:spacing w:before="11"/>
              <w:ind w:right="244"/>
              <w:jc w:val="right"/>
              <w:rPr>
                <w:sz w:val="11"/>
              </w:rPr>
            </w:pPr>
            <w:r>
              <w:rPr>
                <w:sz w:val="11"/>
              </w:rPr>
              <w:t>0.00</w:t>
            </w:r>
          </w:p>
        </w:tc>
        <w:tc>
          <w:tcPr>
            <w:tcW w:w="1091" w:type="dxa"/>
          </w:tcPr>
          <w:p>
            <w:pPr>
              <w:pStyle w:val="TableParagraph"/>
              <w:spacing w:before="11"/>
              <w:ind w:right="226"/>
              <w:jc w:val="right"/>
              <w:rPr>
                <w:sz w:val="11"/>
              </w:rPr>
            </w:pPr>
            <w:r>
              <w:rPr>
                <w:sz w:val="11"/>
              </w:rPr>
              <w:t>0.00</w:t>
            </w:r>
          </w:p>
        </w:tc>
        <w:tc>
          <w:tcPr>
            <w:tcW w:w="1137" w:type="dxa"/>
          </w:tcPr>
          <w:p>
            <w:pPr>
              <w:pStyle w:val="TableParagraph"/>
              <w:spacing w:before="11"/>
              <w:ind w:right="254"/>
              <w:jc w:val="right"/>
              <w:rPr>
                <w:sz w:val="11"/>
              </w:rPr>
            </w:pPr>
            <w:r>
              <w:rPr>
                <w:sz w:val="11"/>
              </w:rPr>
              <w:t>0.00</w:t>
            </w:r>
          </w:p>
        </w:tc>
        <w:tc>
          <w:tcPr>
            <w:tcW w:w="1100" w:type="dxa"/>
          </w:tcPr>
          <w:p>
            <w:pPr>
              <w:pStyle w:val="TableParagraph"/>
              <w:spacing w:before="11"/>
              <w:ind w:right="245"/>
              <w:jc w:val="right"/>
              <w:rPr>
                <w:sz w:val="11"/>
              </w:rPr>
            </w:pPr>
            <w:r>
              <w:rPr>
                <w:sz w:val="11"/>
              </w:rPr>
              <w:t>0.00</w:t>
            </w:r>
          </w:p>
        </w:tc>
        <w:tc>
          <w:tcPr>
            <w:tcW w:w="994" w:type="dxa"/>
          </w:tcPr>
          <w:p>
            <w:pPr>
              <w:pStyle w:val="TableParagraph"/>
              <w:spacing w:before="11"/>
              <w:ind w:right="131"/>
              <w:jc w:val="right"/>
              <w:rPr>
                <w:sz w:val="11"/>
              </w:rPr>
            </w:pPr>
            <w:r>
              <w:rPr>
                <w:sz w:val="11"/>
              </w:rPr>
              <w:t>0.00</w:t>
            </w:r>
          </w:p>
        </w:tc>
        <w:tc>
          <w:tcPr>
            <w:tcW w:w="541" w:type="dxa"/>
          </w:tcPr>
          <w:p>
            <w:pPr>
              <w:pStyle w:val="TableParagraph"/>
              <w:spacing w:before="11"/>
              <w:ind w:right="29"/>
              <w:jc w:val="right"/>
              <w:rPr>
                <w:sz w:val="11"/>
              </w:rPr>
            </w:pPr>
            <w:r>
              <w:rPr>
                <w:sz w:val="11"/>
              </w:rPr>
              <w:t>0.0%</w:t>
            </w:r>
          </w:p>
        </w:tc>
      </w:tr>
      <w:tr>
        <w:trPr>
          <w:trHeight w:val="230" w:hRule="atLeast"/>
        </w:trPr>
        <w:tc>
          <w:tcPr>
            <w:tcW w:w="2991" w:type="dxa"/>
          </w:tcPr>
          <w:p>
            <w:pPr>
              <w:pStyle w:val="TableParagraph"/>
              <w:spacing w:before="51"/>
              <w:ind w:left="28"/>
              <w:rPr>
                <w:sz w:val="11"/>
              </w:rPr>
            </w:pPr>
            <w:r>
              <w:rPr>
                <w:sz w:val="11"/>
              </w:rPr>
              <w:t>8) Other Outgo - Transfers of Indirect Costs</w:t>
            </w:r>
          </w:p>
        </w:tc>
        <w:tc>
          <w:tcPr>
            <w:tcW w:w="1412" w:type="dxa"/>
          </w:tcPr>
          <w:p>
            <w:pPr>
              <w:pStyle w:val="TableParagraph"/>
              <w:spacing w:before="51"/>
              <w:ind w:right="244"/>
              <w:jc w:val="right"/>
              <w:rPr>
                <w:sz w:val="11"/>
              </w:rPr>
            </w:pPr>
            <w:r>
              <w:rPr>
                <w:sz w:val="11"/>
              </w:rPr>
              <w:t>7300-7399</w:t>
            </w:r>
          </w:p>
        </w:tc>
        <w:tc>
          <w:tcPr>
            <w:tcW w:w="1156" w:type="dxa"/>
          </w:tcPr>
          <w:p>
            <w:pPr>
              <w:pStyle w:val="TableParagraph"/>
              <w:spacing w:before="51"/>
              <w:ind w:right="253"/>
              <w:jc w:val="right"/>
              <w:rPr>
                <w:sz w:val="11"/>
              </w:rPr>
            </w:pPr>
            <w:r>
              <w:rPr>
                <w:sz w:val="11"/>
              </w:rPr>
              <w:t>0.00</w:t>
            </w:r>
          </w:p>
        </w:tc>
        <w:tc>
          <w:tcPr>
            <w:tcW w:w="1100" w:type="dxa"/>
          </w:tcPr>
          <w:p>
            <w:pPr>
              <w:pStyle w:val="TableParagraph"/>
              <w:spacing w:before="51"/>
              <w:ind w:right="244"/>
              <w:jc w:val="right"/>
              <w:rPr>
                <w:sz w:val="11"/>
              </w:rPr>
            </w:pPr>
            <w:r>
              <w:rPr>
                <w:sz w:val="11"/>
              </w:rPr>
              <w:t>0.00</w:t>
            </w:r>
          </w:p>
        </w:tc>
        <w:tc>
          <w:tcPr>
            <w:tcW w:w="1091" w:type="dxa"/>
          </w:tcPr>
          <w:p>
            <w:pPr>
              <w:pStyle w:val="TableParagraph"/>
              <w:spacing w:before="51"/>
              <w:ind w:right="226"/>
              <w:jc w:val="right"/>
              <w:rPr>
                <w:sz w:val="11"/>
              </w:rPr>
            </w:pPr>
            <w:r>
              <w:rPr>
                <w:sz w:val="11"/>
              </w:rPr>
              <w:t>0.00</w:t>
            </w:r>
          </w:p>
        </w:tc>
        <w:tc>
          <w:tcPr>
            <w:tcW w:w="1137" w:type="dxa"/>
          </w:tcPr>
          <w:p>
            <w:pPr>
              <w:pStyle w:val="TableParagraph"/>
              <w:spacing w:before="51"/>
              <w:ind w:right="254"/>
              <w:jc w:val="right"/>
              <w:rPr>
                <w:sz w:val="11"/>
              </w:rPr>
            </w:pPr>
            <w:r>
              <w:rPr>
                <w:sz w:val="11"/>
              </w:rPr>
              <w:t>0.00</w:t>
            </w:r>
          </w:p>
        </w:tc>
        <w:tc>
          <w:tcPr>
            <w:tcW w:w="1100" w:type="dxa"/>
          </w:tcPr>
          <w:p>
            <w:pPr>
              <w:pStyle w:val="TableParagraph"/>
              <w:spacing w:before="51"/>
              <w:ind w:right="245"/>
              <w:jc w:val="right"/>
              <w:rPr>
                <w:sz w:val="11"/>
              </w:rPr>
            </w:pPr>
            <w:r>
              <w:rPr>
                <w:sz w:val="11"/>
              </w:rPr>
              <w:t>0.00</w:t>
            </w:r>
          </w:p>
        </w:tc>
        <w:tc>
          <w:tcPr>
            <w:tcW w:w="994" w:type="dxa"/>
          </w:tcPr>
          <w:p>
            <w:pPr>
              <w:pStyle w:val="TableParagraph"/>
              <w:spacing w:before="51"/>
              <w:ind w:right="131"/>
              <w:jc w:val="right"/>
              <w:rPr>
                <w:sz w:val="11"/>
              </w:rPr>
            </w:pPr>
            <w:r>
              <w:rPr>
                <w:sz w:val="11"/>
              </w:rPr>
              <w:t>0.00</w:t>
            </w:r>
          </w:p>
        </w:tc>
        <w:tc>
          <w:tcPr>
            <w:tcW w:w="541" w:type="dxa"/>
          </w:tcPr>
          <w:p>
            <w:pPr>
              <w:pStyle w:val="TableParagraph"/>
              <w:spacing w:before="51"/>
              <w:ind w:right="29"/>
              <w:jc w:val="right"/>
              <w:rPr>
                <w:sz w:val="11"/>
              </w:rPr>
            </w:pPr>
            <w:r>
              <w:rPr>
                <w:sz w:val="11"/>
              </w:rPr>
              <w:t>0.0%</w:t>
            </w:r>
          </w:p>
        </w:tc>
      </w:tr>
      <w:tr>
        <w:trPr>
          <w:trHeight w:val="178" w:hRule="atLeast"/>
        </w:trPr>
        <w:tc>
          <w:tcPr>
            <w:tcW w:w="2991" w:type="dxa"/>
          </w:tcPr>
          <w:p>
            <w:pPr>
              <w:pStyle w:val="TableParagraph"/>
              <w:spacing w:line="107" w:lineRule="exact" w:before="51"/>
              <w:ind w:left="28"/>
              <w:rPr>
                <w:sz w:val="11"/>
              </w:rPr>
            </w:pPr>
            <w:r>
              <w:rPr>
                <w:sz w:val="11"/>
              </w:rPr>
              <w:t>9) TOTAL, EXPENDITURES</w:t>
            </w:r>
          </w:p>
        </w:tc>
        <w:tc>
          <w:tcPr>
            <w:tcW w:w="1412" w:type="dxa"/>
          </w:tcPr>
          <w:p>
            <w:pPr>
              <w:pStyle w:val="TableParagraph"/>
              <w:rPr>
                <w:rFonts w:ascii="Times New Roman"/>
                <w:sz w:val="10"/>
              </w:rPr>
            </w:pPr>
          </w:p>
        </w:tc>
        <w:tc>
          <w:tcPr>
            <w:tcW w:w="1156" w:type="dxa"/>
          </w:tcPr>
          <w:p>
            <w:pPr>
              <w:pStyle w:val="TableParagraph"/>
              <w:spacing w:line="107" w:lineRule="exact" w:before="51"/>
              <w:ind w:right="253"/>
              <w:jc w:val="right"/>
              <w:rPr>
                <w:sz w:val="11"/>
              </w:rPr>
            </w:pPr>
            <w:r>
              <w:rPr>
                <w:sz w:val="11"/>
              </w:rPr>
              <w:t>1,302,403.00</w:t>
            </w:r>
          </w:p>
        </w:tc>
        <w:tc>
          <w:tcPr>
            <w:tcW w:w="1100" w:type="dxa"/>
          </w:tcPr>
          <w:p>
            <w:pPr>
              <w:pStyle w:val="TableParagraph"/>
              <w:spacing w:line="107" w:lineRule="exact" w:before="51"/>
              <w:ind w:right="244"/>
              <w:jc w:val="right"/>
              <w:rPr>
                <w:sz w:val="11"/>
              </w:rPr>
            </w:pPr>
            <w:r>
              <w:rPr>
                <w:sz w:val="11"/>
              </w:rPr>
              <w:t>816,631.00</w:t>
            </w:r>
          </w:p>
        </w:tc>
        <w:tc>
          <w:tcPr>
            <w:tcW w:w="1091" w:type="dxa"/>
          </w:tcPr>
          <w:p>
            <w:pPr>
              <w:pStyle w:val="TableParagraph"/>
              <w:spacing w:line="107" w:lineRule="exact" w:before="51"/>
              <w:ind w:right="227"/>
              <w:jc w:val="right"/>
              <w:rPr>
                <w:sz w:val="11"/>
              </w:rPr>
            </w:pPr>
            <w:r>
              <w:rPr>
                <w:sz w:val="11"/>
              </w:rPr>
              <w:t>2,119,034.00</w:t>
            </w:r>
          </w:p>
        </w:tc>
        <w:tc>
          <w:tcPr>
            <w:tcW w:w="1137" w:type="dxa"/>
          </w:tcPr>
          <w:p>
            <w:pPr>
              <w:pStyle w:val="TableParagraph"/>
              <w:spacing w:line="107" w:lineRule="exact" w:before="51"/>
              <w:ind w:right="255"/>
              <w:jc w:val="right"/>
              <w:rPr>
                <w:sz w:val="11"/>
              </w:rPr>
            </w:pPr>
            <w:r>
              <w:rPr>
                <w:sz w:val="11"/>
              </w:rPr>
              <w:t>1,464,681.00</w:t>
            </w:r>
          </w:p>
        </w:tc>
        <w:tc>
          <w:tcPr>
            <w:tcW w:w="1100" w:type="dxa"/>
          </w:tcPr>
          <w:p>
            <w:pPr>
              <w:pStyle w:val="TableParagraph"/>
              <w:spacing w:line="107" w:lineRule="exact" w:before="51"/>
              <w:ind w:right="246"/>
              <w:jc w:val="right"/>
              <w:rPr>
                <w:sz w:val="11"/>
              </w:rPr>
            </w:pPr>
            <w:r>
              <w:rPr>
                <w:sz w:val="11"/>
              </w:rPr>
              <w:t>652,693.00</w:t>
            </w:r>
          </w:p>
        </w:tc>
        <w:tc>
          <w:tcPr>
            <w:tcW w:w="994" w:type="dxa"/>
          </w:tcPr>
          <w:p>
            <w:pPr>
              <w:pStyle w:val="TableParagraph"/>
              <w:spacing w:line="107" w:lineRule="exact" w:before="51"/>
              <w:ind w:right="131"/>
              <w:jc w:val="right"/>
              <w:rPr>
                <w:sz w:val="11"/>
              </w:rPr>
            </w:pPr>
            <w:r>
              <w:rPr>
                <w:sz w:val="11"/>
              </w:rPr>
              <w:t>2,117,374.00</w:t>
            </w:r>
          </w:p>
        </w:tc>
        <w:tc>
          <w:tcPr>
            <w:tcW w:w="541" w:type="dxa"/>
          </w:tcPr>
          <w:p>
            <w:pPr>
              <w:pStyle w:val="TableParagraph"/>
              <w:spacing w:line="107" w:lineRule="exact" w:before="51"/>
              <w:ind w:right="29"/>
              <w:jc w:val="right"/>
              <w:rPr>
                <w:sz w:val="11"/>
              </w:rPr>
            </w:pPr>
            <w:r>
              <w:rPr>
                <w:sz w:val="11"/>
              </w:rPr>
              <w:t>-0.1%</w:t>
            </w:r>
          </w:p>
        </w:tc>
      </w:tr>
      <w:tr>
        <w:trPr>
          <w:trHeight w:val="532" w:hRule="atLeast"/>
        </w:trPr>
        <w:tc>
          <w:tcPr>
            <w:tcW w:w="2991" w:type="dxa"/>
          </w:tcPr>
          <w:p>
            <w:pPr>
              <w:pStyle w:val="TableParagraph"/>
              <w:spacing w:line="150" w:lineRule="atLeast" w:before="77"/>
              <w:ind w:left="28" w:right="616" w:firstLine="19"/>
              <w:rPr>
                <w:b/>
                <w:sz w:val="11"/>
              </w:rPr>
            </w:pPr>
            <w:r>
              <w:rPr>
                <w:b/>
                <w:sz w:val="11"/>
              </w:rPr>
              <w:t>EXCESS (DEFICIENCY) OF REVENUES OVER EXPENDITURES BEFORE OTHER FINANCING SOURCES AND USES (A5 - B9)</w:t>
            </w:r>
          </w:p>
        </w:tc>
        <w:tc>
          <w:tcPr>
            <w:tcW w:w="2568" w:type="dxa"/>
            <w:gridSpan w:val="2"/>
          </w:tcPr>
          <w:p>
            <w:pPr>
              <w:pStyle w:val="TableParagraph"/>
              <w:rPr>
                <w:sz w:val="12"/>
              </w:rPr>
            </w:pPr>
          </w:p>
          <w:p>
            <w:pPr>
              <w:pStyle w:val="TableParagraph"/>
              <w:rPr>
                <w:sz w:val="12"/>
              </w:rPr>
            </w:pPr>
          </w:p>
          <w:p>
            <w:pPr>
              <w:pStyle w:val="TableParagraph"/>
              <w:spacing w:before="3"/>
              <w:rPr>
                <w:sz w:val="11"/>
              </w:rPr>
            </w:pPr>
          </w:p>
          <w:p>
            <w:pPr>
              <w:pStyle w:val="TableParagraph"/>
              <w:spacing w:line="107" w:lineRule="exact"/>
              <w:ind w:right="253"/>
              <w:jc w:val="right"/>
              <w:rPr>
                <w:sz w:val="11"/>
              </w:rPr>
            </w:pPr>
            <w:r>
              <w:rPr>
                <w:sz w:val="11"/>
              </w:rPr>
              <w:t>355,126.00</w:t>
            </w:r>
          </w:p>
        </w:tc>
        <w:tc>
          <w:tcPr>
            <w:tcW w:w="1100" w:type="dxa"/>
          </w:tcPr>
          <w:p>
            <w:pPr>
              <w:pStyle w:val="TableParagraph"/>
              <w:rPr>
                <w:sz w:val="12"/>
              </w:rPr>
            </w:pPr>
          </w:p>
          <w:p>
            <w:pPr>
              <w:pStyle w:val="TableParagraph"/>
              <w:rPr>
                <w:sz w:val="12"/>
              </w:rPr>
            </w:pPr>
          </w:p>
          <w:p>
            <w:pPr>
              <w:pStyle w:val="TableParagraph"/>
              <w:spacing w:before="3"/>
              <w:rPr>
                <w:sz w:val="11"/>
              </w:rPr>
            </w:pPr>
          </w:p>
          <w:p>
            <w:pPr>
              <w:pStyle w:val="TableParagraph"/>
              <w:spacing w:line="107" w:lineRule="exact"/>
              <w:ind w:right="207"/>
              <w:jc w:val="right"/>
              <w:rPr>
                <w:sz w:val="11"/>
              </w:rPr>
            </w:pPr>
            <w:r>
              <w:rPr>
                <w:sz w:val="11"/>
              </w:rPr>
              <w:t>(190,102.00)</w:t>
            </w:r>
          </w:p>
        </w:tc>
        <w:tc>
          <w:tcPr>
            <w:tcW w:w="1091" w:type="dxa"/>
          </w:tcPr>
          <w:p>
            <w:pPr>
              <w:pStyle w:val="TableParagraph"/>
              <w:rPr>
                <w:sz w:val="12"/>
              </w:rPr>
            </w:pPr>
          </w:p>
          <w:p>
            <w:pPr>
              <w:pStyle w:val="TableParagraph"/>
              <w:rPr>
                <w:sz w:val="12"/>
              </w:rPr>
            </w:pPr>
          </w:p>
          <w:p>
            <w:pPr>
              <w:pStyle w:val="TableParagraph"/>
              <w:spacing w:before="3"/>
              <w:rPr>
                <w:sz w:val="11"/>
              </w:rPr>
            </w:pPr>
          </w:p>
          <w:p>
            <w:pPr>
              <w:pStyle w:val="TableParagraph"/>
              <w:spacing w:line="107" w:lineRule="exact"/>
              <w:ind w:right="226"/>
              <w:jc w:val="right"/>
              <w:rPr>
                <w:sz w:val="11"/>
              </w:rPr>
            </w:pPr>
            <w:r>
              <w:rPr>
                <w:sz w:val="11"/>
              </w:rPr>
              <w:t>165,024.00</w:t>
            </w:r>
          </w:p>
        </w:tc>
        <w:tc>
          <w:tcPr>
            <w:tcW w:w="1137" w:type="dxa"/>
          </w:tcPr>
          <w:p>
            <w:pPr>
              <w:pStyle w:val="TableParagraph"/>
              <w:rPr>
                <w:sz w:val="12"/>
              </w:rPr>
            </w:pPr>
          </w:p>
          <w:p>
            <w:pPr>
              <w:pStyle w:val="TableParagraph"/>
              <w:rPr>
                <w:sz w:val="12"/>
              </w:rPr>
            </w:pPr>
          </w:p>
          <w:p>
            <w:pPr>
              <w:pStyle w:val="TableParagraph"/>
              <w:spacing w:before="3"/>
              <w:rPr>
                <w:sz w:val="11"/>
              </w:rPr>
            </w:pPr>
          </w:p>
          <w:p>
            <w:pPr>
              <w:pStyle w:val="TableParagraph"/>
              <w:spacing w:line="107" w:lineRule="exact"/>
              <w:ind w:right="254"/>
              <w:jc w:val="right"/>
              <w:rPr>
                <w:sz w:val="11"/>
              </w:rPr>
            </w:pPr>
            <w:r>
              <w:rPr>
                <w:sz w:val="11"/>
              </w:rPr>
              <w:t>263,139.00</w:t>
            </w:r>
          </w:p>
        </w:tc>
        <w:tc>
          <w:tcPr>
            <w:tcW w:w="1100" w:type="dxa"/>
          </w:tcPr>
          <w:p>
            <w:pPr>
              <w:pStyle w:val="TableParagraph"/>
              <w:rPr>
                <w:sz w:val="12"/>
              </w:rPr>
            </w:pPr>
          </w:p>
          <w:p>
            <w:pPr>
              <w:pStyle w:val="TableParagraph"/>
              <w:rPr>
                <w:sz w:val="12"/>
              </w:rPr>
            </w:pPr>
          </w:p>
          <w:p>
            <w:pPr>
              <w:pStyle w:val="TableParagraph"/>
              <w:spacing w:before="3"/>
              <w:rPr>
                <w:sz w:val="11"/>
              </w:rPr>
            </w:pPr>
          </w:p>
          <w:p>
            <w:pPr>
              <w:pStyle w:val="TableParagraph"/>
              <w:spacing w:line="107" w:lineRule="exact"/>
              <w:ind w:right="209"/>
              <w:jc w:val="right"/>
              <w:rPr>
                <w:sz w:val="11"/>
              </w:rPr>
            </w:pPr>
            <w:r>
              <w:rPr>
                <w:sz w:val="11"/>
              </w:rPr>
              <w:t>(281,780.00)</w:t>
            </w:r>
          </w:p>
        </w:tc>
        <w:tc>
          <w:tcPr>
            <w:tcW w:w="994" w:type="dxa"/>
          </w:tcPr>
          <w:p>
            <w:pPr>
              <w:pStyle w:val="TableParagraph"/>
              <w:rPr>
                <w:sz w:val="12"/>
              </w:rPr>
            </w:pPr>
          </w:p>
          <w:p>
            <w:pPr>
              <w:pStyle w:val="TableParagraph"/>
              <w:rPr>
                <w:sz w:val="12"/>
              </w:rPr>
            </w:pPr>
          </w:p>
          <w:p>
            <w:pPr>
              <w:pStyle w:val="TableParagraph"/>
              <w:spacing w:before="3"/>
              <w:rPr>
                <w:sz w:val="11"/>
              </w:rPr>
            </w:pPr>
          </w:p>
          <w:p>
            <w:pPr>
              <w:pStyle w:val="TableParagraph"/>
              <w:spacing w:line="107" w:lineRule="exact"/>
              <w:ind w:right="94"/>
              <w:jc w:val="right"/>
              <w:rPr>
                <w:sz w:val="11"/>
              </w:rPr>
            </w:pPr>
            <w:r>
              <w:rPr>
                <w:sz w:val="11"/>
              </w:rPr>
              <w:t>(18,641.00)</w:t>
            </w:r>
          </w:p>
        </w:tc>
        <w:tc>
          <w:tcPr>
            <w:tcW w:w="541" w:type="dxa"/>
          </w:tcPr>
          <w:p>
            <w:pPr>
              <w:pStyle w:val="TableParagraph"/>
              <w:rPr>
                <w:sz w:val="12"/>
              </w:rPr>
            </w:pPr>
          </w:p>
          <w:p>
            <w:pPr>
              <w:pStyle w:val="TableParagraph"/>
              <w:rPr>
                <w:sz w:val="12"/>
              </w:rPr>
            </w:pPr>
          </w:p>
          <w:p>
            <w:pPr>
              <w:pStyle w:val="TableParagraph"/>
              <w:spacing w:before="3"/>
              <w:rPr>
                <w:sz w:val="11"/>
              </w:rPr>
            </w:pPr>
          </w:p>
          <w:p>
            <w:pPr>
              <w:pStyle w:val="TableParagraph"/>
              <w:spacing w:line="107" w:lineRule="exact"/>
              <w:ind w:right="30"/>
              <w:jc w:val="right"/>
              <w:rPr>
                <w:sz w:val="11"/>
              </w:rPr>
            </w:pPr>
            <w:r>
              <w:rPr>
                <w:sz w:val="11"/>
              </w:rPr>
              <w:t>-111.3%</w:t>
            </w:r>
          </w:p>
        </w:tc>
      </w:tr>
    </w:tbl>
    <w:p>
      <w:pPr>
        <w:pStyle w:val="BodyText"/>
        <w:rPr>
          <w:sz w:val="20"/>
        </w:rPr>
      </w:pPr>
    </w:p>
    <w:p>
      <w:pPr>
        <w:pStyle w:val="BodyText"/>
        <w:spacing w:before="4"/>
        <w:rPr>
          <w:sz w:val="15"/>
        </w:rPr>
      </w:pPr>
    </w:p>
    <w:tbl>
      <w:tblPr>
        <w:tblW w:w="0" w:type="auto"/>
        <w:jc w:val="left"/>
        <w:tblInd w:w="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83"/>
        <w:gridCol w:w="1347"/>
        <w:gridCol w:w="1166"/>
        <w:gridCol w:w="1262"/>
        <w:gridCol w:w="918"/>
        <w:gridCol w:w="1146"/>
        <w:gridCol w:w="1262"/>
        <w:gridCol w:w="857"/>
        <w:gridCol w:w="477"/>
      </w:tblGrid>
      <w:tr>
        <w:trPr>
          <w:trHeight w:val="329" w:hRule="atLeast"/>
        </w:trPr>
        <w:tc>
          <w:tcPr>
            <w:tcW w:w="3083" w:type="dxa"/>
          </w:tcPr>
          <w:p>
            <w:pPr>
              <w:pStyle w:val="TableParagraph"/>
              <w:numPr>
                <w:ilvl w:val="0"/>
                <w:numId w:val="5"/>
              </w:numPr>
              <w:tabs>
                <w:tab w:pos="161" w:val="left" w:leader="none"/>
              </w:tabs>
              <w:spacing w:line="125" w:lineRule="exact" w:before="0" w:after="0"/>
              <w:ind w:left="160" w:right="0" w:hanging="133"/>
              <w:jc w:val="left"/>
              <w:rPr>
                <w:sz w:val="11"/>
              </w:rPr>
            </w:pPr>
            <w:r>
              <w:rPr>
                <w:sz w:val="11"/>
              </w:rPr>
              <w:t>Interfund Transfers</w:t>
            </w:r>
          </w:p>
          <w:p>
            <w:pPr>
              <w:pStyle w:val="TableParagraph"/>
              <w:numPr>
                <w:ilvl w:val="1"/>
                <w:numId w:val="5"/>
              </w:numPr>
              <w:tabs>
                <w:tab w:pos="285" w:val="left" w:leader="none"/>
              </w:tabs>
              <w:spacing w:line="240" w:lineRule="auto" w:before="24" w:after="0"/>
              <w:ind w:left="284" w:right="0" w:hanging="132"/>
              <w:jc w:val="left"/>
              <w:rPr>
                <w:sz w:val="11"/>
              </w:rPr>
            </w:pPr>
            <w:r>
              <w:rPr>
                <w:sz w:val="11"/>
              </w:rPr>
              <w:t>Transfers</w:t>
            </w:r>
            <w:r>
              <w:rPr>
                <w:spacing w:val="1"/>
                <w:sz w:val="11"/>
              </w:rPr>
              <w:t> </w:t>
            </w:r>
            <w:r>
              <w:rPr>
                <w:sz w:val="11"/>
              </w:rPr>
              <w:t>In</w:t>
            </w:r>
          </w:p>
        </w:tc>
        <w:tc>
          <w:tcPr>
            <w:tcW w:w="1347" w:type="dxa"/>
          </w:tcPr>
          <w:p>
            <w:pPr>
              <w:pStyle w:val="TableParagraph"/>
              <w:rPr>
                <w:sz w:val="13"/>
              </w:rPr>
            </w:pPr>
          </w:p>
          <w:p>
            <w:pPr>
              <w:pStyle w:val="TableParagraph"/>
              <w:ind w:right="271"/>
              <w:jc w:val="right"/>
              <w:rPr>
                <w:sz w:val="11"/>
              </w:rPr>
            </w:pPr>
            <w:r>
              <w:rPr>
                <w:sz w:val="11"/>
              </w:rPr>
              <w:t>8900-8929</w:t>
            </w:r>
          </w:p>
        </w:tc>
        <w:tc>
          <w:tcPr>
            <w:tcW w:w="1166" w:type="dxa"/>
          </w:tcPr>
          <w:p>
            <w:pPr>
              <w:pStyle w:val="TableParagraph"/>
              <w:rPr>
                <w:sz w:val="13"/>
              </w:rPr>
            </w:pPr>
          </w:p>
          <w:p>
            <w:pPr>
              <w:pStyle w:val="TableParagraph"/>
              <w:ind w:right="290"/>
              <w:jc w:val="right"/>
              <w:rPr>
                <w:sz w:val="11"/>
              </w:rPr>
            </w:pPr>
            <w:r>
              <w:rPr>
                <w:sz w:val="11"/>
              </w:rPr>
              <w:t>0.00</w:t>
            </w:r>
          </w:p>
        </w:tc>
        <w:tc>
          <w:tcPr>
            <w:tcW w:w="1262" w:type="dxa"/>
          </w:tcPr>
          <w:p>
            <w:pPr>
              <w:pStyle w:val="TableParagraph"/>
              <w:rPr>
                <w:sz w:val="13"/>
              </w:rPr>
            </w:pPr>
          </w:p>
          <w:p>
            <w:pPr>
              <w:pStyle w:val="TableParagraph"/>
              <w:ind w:right="443"/>
              <w:jc w:val="right"/>
              <w:rPr>
                <w:sz w:val="11"/>
              </w:rPr>
            </w:pPr>
            <w:r>
              <w:rPr>
                <w:sz w:val="11"/>
              </w:rPr>
              <w:t>0.00</w:t>
            </w:r>
          </w:p>
        </w:tc>
        <w:tc>
          <w:tcPr>
            <w:tcW w:w="918" w:type="dxa"/>
          </w:tcPr>
          <w:p>
            <w:pPr>
              <w:pStyle w:val="TableParagraph"/>
              <w:rPr>
                <w:sz w:val="13"/>
              </w:rPr>
            </w:pPr>
          </w:p>
          <w:p>
            <w:pPr>
              <w:pStyle w:val="TableParagraph"/>
              <w:ind w:right="252"/>
              <w:jc w:val="right"/>
              <w:rPr>
                <w:sz w:val="11"/>
              </w:rPr>
            </w:pPr>
            <w:r>
              <w:rPr>
                <w:sz w:val="11"/>
              </w:rPr>
              <w:t>0.00</w:t>
            </w:r>
          </w:p>
        </w:tc>
        <w:tc>
          <w:tcPr>
            <w:tcW w:w="1146" w:type="dxa"/>
          </w:tcPr>
          <w:p>
            <w:pPr>
              <w:pStyle w:val="TableParagraph"/>
              <w:rPr>
                <w:sz w:val="13"/>
              </w:rPr>
            </w:pPr>
          </w:p>
          <w:p>
            <w:pPr>
              <w:pStyle w:val="TableParagraph"/>
              <w:ind w:right="289"/>
              <w:jc w:val="right"/>
              <w:rPr>
                <w:sz w:val="11"/>
              </w:rPr>
            </w:pPr>
            <w:r>
              <w:rPr>
                <w:sz w:val="11"/>
              </w:rPr>
              <w:t>0.00</w:t>
            </w:r>
          </w:p>
        </w:tc>
        <w:tc>
          <w:tcPr>
            <w:tcW w:w="1262" w:type="dxa"/>
          </w:tcPr>
          <w:p>
            <w:pPr>
              <w:pStyle w:val="TableParagraph"/>
              <w:rPr>
                <w:sz w:val="13"/>
              </w:rPr>
            </w:pPr>
          </w:p>
          <w:p>
            <w:pPr>
              <w:pStyle w:val="TableParagraph"/>
              <w:ind w:right="442"/>
              <w:jc w:val="right"/>
              <w:rPr>
                <w:sz w:val="11"/>
              </w:rPr>
            </w:pPr>
            <w:r>
              <w:rPr>
                <w:sz w:val="11"/>
              </w:rPr>
              <w:t>0.00</w:t>
            </w:r>
          </w:p>
        </w:tc>
        <w:tc>
          <w:tcPr>
            <w:tcW w:w="857" w:type="dxa"/>
          </w:tcPr>
          <w:p>
            <w:pPr>
              <w:pStyle w:val="TableParagraph"/>
              <w:rPr>
                <w:sz w:val="13"/>
              </w:rPr>
            </w:pPr>
          </w:p>
          <w:p>
            <w:pPr>
              <w:pStyle w:val="TableParagraph"/>
              <w:ind w:right="191"/>
              <w:jc w:val="right"/>
              <w:rPr>
                <w:sz w:val="11"/>
              </w:rPr>
            </w:pPr>
            <w:r>
              <w:rPr>
                <w:sz w:val="11"/>
              </w:rPr>
              <w:t>0.00</w:t>
            </w:r>
          </w:p>
        </w:tc>
        <w:tc>
          <w:tcPr>
            <w:tcW w:w="477" w:type="dxa"/>
          </w:tcPr>
          <w:p>
            <w:pPr>
              <w:pStyle w:val="TableParagraph"/>
              <w:rPr>
                <w:sz w:val="13"/>
              </w:rPr>
            </w:pPr>
          </w:p>
          <w:p>
            <w:pPr>
              <w:pStyle w:val="TableParagraph"/>
              <w:ind w:right="25"/>
              <w:jc w:val="right"/>
              <w:rPr>
                <w:sz w:val="11"/>
              </w:rPr>
            </w:pPr>
            <w:r>
              <w:rPr>
                <w:sz w:val="11"/>
              </w:rPr>
              <w:t>0.0%</w:t>
            </w:r>
          </w:p>
        </w:tc>
      </w:tr>
      <w:tr>
        <w:trPr>
          <w:trHeight w:val="230" w:hRule="atLeast"/>
        </w:trPr>
        <w:tc>
          <w:tcPr>
            <w:tcW w:w="3083" w:type="dxa"/>
          </w:tcPr>
          <w:p>
            <w:pPr>
              <w:pStyle w:val="TableParagraph"/>
              <w:spacing w:before="51"/>
              <w:ind w:left="153"/>
              <w:rPr>
                <w:sz w:val="11"/>
              </w:rPr>
            </w:pPr>
            <w:r>
              <w:rPr>
                <w:sz w:val="11"/>
              </w:rPr>
              <w:t>b) Transfers Out</w:t>
            </w:r>
          </w:p>
        </w:tc>
        <w:tc>
          <w:tcPr>
            <w:tcW w:w="1347" w:type="dxa"/>
          </w:tcPr>
          <w:p>
            <w:pPr>
              <w:pStyle w:val="TableParagraph"/>
              <w:spacing w:before="51"/>
              <w:ind w:right="271"/>
              <w:jc w:val="right"/>
              <w:rPr>
                <w:sz w:val="11"/>
              </w:rPr>
            </w:pPr>
            <w:r>
              <w:rPr>
                <w:sz w:val="11"/>
              </w:rPr>
              <w:t>7600-7629</w:t>
            </w:r>
          </w:p>
        </w:tc>
        <w:tc>
          <w:tcPr>
            <w:tcW w:w="1166" w:type="dxa"/>
          </w:tcPr>
          <w:p>
            <w:pPr>
              <w:pStyle w:val="TableParagraph"/>
              <w:spacing w:before="51"/>
              <w:ind w:right="290"/>
              <w:jc w:val="right"/>
              <w:rPr>
                <w:sz w:val="11"/>
              </w:rPr>
            </w:pPr>
            <w:r>
              <w:rPr>
                <w:sz w:val="11"/>
              </w:rPr>
              <w:t>0.00</w:t>
            </w:r>
          </w:p>
        </w:tc>
        <w:tc>
          <w:tcPr>
            <w:tcW w:w="1262" w:type="dxa"/>
          </w:tcPr>
          <w:p>
            <w:pPr>
              <w:pStyle w:val="TableParagraph"/>
              <w:spacing w:before="51"/>
              <w:ind w:right="443"/>
              <w:jc w:val="right"/>
              <w:rPr>
                <w:sz w:val="11"/>
              </w:rPr>
            </w:pPr>
            <w:r>
              <w:rPr>
                <w:sz w:val="11"/>
              </w:rPr>
              <w:t>0.00</w:t>
            </w:r>
          </w:p>
        </w:tc>
        <w:tc>
          <w:tcPr>
            <w:tcW w:w="918" w:type="dxa"/>
          </w:tcPr>
          <w:p>
            <w:pPr>
              <w:pStyle w:val="TableParagraph"/>
              <w:spacing w:before="51"/>
              <w:ind w:right="252"/>
              <w:jc w:val="right"/>
              <w:rPr>
                <w:sz w:val="11"/>
              </w:rPr>
            </w:pPr>
            <w:r>
              <w:rPr>
                <w:sz w:val="11"/>
              </w:rPr>
              <w:t>0.00</w:t>
            </w:r>
          </w:p>
        </w:tc>
        <w:tc>
          <w:tcPr>
            <w:tcW w:w="1146" w:type="dxa"/>
          </w:tcPr>
          <w:p>
            <w:pPr>
              <w:pStyle w:val="TableParagraph"/>
              <w:spacing w:before="51"/>
              <w:ind w:right="289"/>
              <w:jc w:val="right"/>
              <w:rPr>
                <w:sz w:val="11"/>
              </w:rPr>
            </w:pPr>
            <w:r>
              <w:rPr>
                <w:sz w:val="11"/>
              </w:rPr>
              <w:t>0.00</w:t>
            </w:r>
          </w:p>
        </w:tc>
        <w:tc>
          <w:tcPr>
            <w:tcW w:w="1262" w:type="dxa"/>
          </w:tcPr>
          <w:p>
            <w:pPr>
              <w:pStyle w:val="TableParagraph"/>
              <w:spacing w:before="51"/>
              <w:ind w:right="442"/>
              <w:jc w:val="right"/>
              <w:rPr>
                <w:sz w:val="11"/>
              </w:rPr>
            </w:pPr>
            <w:r>
              <w:rPr>
                <w:sz w:val="11"/>
              </w:rPr>
              <w:t>0.00</w:t>
            </w:r>
          </w:p>
        </w:tc>
        <w:tc>
          <w:tcPr>
            <w:tcW w:w="857" w:type="dxa"/>
          </w:tcPr>
          <w:p>
            <w:pPr>
              <w:pStyle w:val="TableParagraph"/>
              <w:spacing w:before="51"/>
              <w:ind w:right="191"/>
              <w:jc w:val="right"/>
              <w:rPr>
                <w:sz w:val="11"/>
              </w:rPr>
            </w:pPr>
            <w:r>
              <w:rPr>
                <w:sz w:val="11"/>
              </w:rPr>
              <w:t>0.00</w:t>
            </w:r>
          </w:p>
        </w:tc>
        <w:tc>
          <w:tcPr>
            <w:tcW w:w="477" w:type="dxa"/>
          </w:tcPr>
          <w:p>
            <w:pPr>
              <w:pStyle w:val="TableParagraph"/>
              <w:spacing w:before="51"/>
              <w:ind w:right="25"/>
              <w:jc w:val="right"/>
              <w:rPr>
                <w:sz w:val="11"/>
              </w:rPr>
            </w:pPr>
            <w:r>
              <w:rPr>
                <w:sz w:val="11"/>
              </w:rPr>
              <w:t>0.0%</w:t>
            </w:r>
          </w:p>
        </w:tc>
      </w:tr>
      <w:tr>
        <w:trPr>
          <w:trHeight w:val="381" w:hRule="atLeast"/>
        </w:trPr>
        <w:tc>
          <w:tcPr>
            <w:tcW w:w="3083" w:type="dxa"/>
          </w:tcPr>
          <w:p>
            <w:pPr>
              <w:pStyle w:val="TableParagraph"/>
              <w:numPr>
                <w:ilvl w:val="0"/>
                <w:numId w:val="6"/>
              </w:numPr>
              <w:tabs>
                <w:tab w:pos="161" w:val="left" w:leader="none"/>
              </w:tabs>
              <w:spacing w:line="240" w:lineRule="auto" w:before="51" w:after="0"/>
              <w:ind w:left="160" w:right="0" w:hanging="133"/>
              <w:jc w:val="left"/>
              <w:rPr>
                <w:sz w:val="11"/>
              </w:rPr>
            </w:pPr>
            <w:r>
              <w:rPr>
                <w:sz w:val="11"/>
              </w:rPr>
              <w:t>Other</w:t>
            </w:r>
            <w:r>
              <w:rPr>
                <w:spacing w:val="1"/>
                <w:sz w:val="11"/>
              </w:rPr>
              <w:t> </w:t>
            </w:r>
            <w:r>
              <w:rPr>
                <w:sz w:val="11"/>
              </w:rPr>
              <w:t>Sources/Uses</w:t>
            </w:r>
          </w:p>
          <w:p>
            <w:pPr>
              <w:pStyle w:val="TableParagraph"/>
              <w:numPr>
                <w:ilvl w:val="1"/>
                <w:numId w:val="6"/>
              </w:numPr>
              <w:tabs>
                <w:tab w:pos="285" w:val="left" w:leader="none"/>
              </w:tabs>
              <w:spacing w:line="240" w:lineRule="auto" w:before="24" w:after="0"/>
              <w:ind w:left="284" w:right="0" w:hanging="132"/>
              <w:jc w:val="left"/>
              <w:rPr>
                <w:sz w:val="11"/>
              </w:rPr>
            </w:pPr>
            <w:r>
              <w:rPr>
                <w:sz w:val="11"/>
              </w:rPr>
              <w:t>Sources</w:t>
            </w:r>
          </w:p>
        </w:tc>
        <w:tc>
          <w:tcPr>
            <w:tcW w:w="1347" w:type="dxa"/>
          </w:tcPr>
          <w:p>
            <w:pPr>
              <w:pStyle w:val="TableParagraph"/>
              <w:spacing w:before="6"/>
              <w:rPr>
                <w:sz w:val="17"/>
              </w:rPr>
            </w:pPr>
          </w:p>
          <w:p>
            <w:pPr>
              <w:pStyle w:val="TableParagraph"/>
              <w:ind w:right="271"/>
              <w:jc w:val="right"/>
              <w:rPr>
                <w:sz w:val="11"/>
              </w:rPr>
            </w:pPr>
            <w:r>
              <w:rPr>
                <w:sz w:val="11"/>
              </w:rPr>
              <w:t>8930-8979</w:t>
            </w:r>
          </w:p>
        </w:tc>
        <w:tc>
          <w:tcPr>
            <w:tcW w:w="1166" w:type="dxa"/>
          </w:tcPr>
          <w:p>
            <w:pPr>
              <w:pStyle w:val="TableParagraph"/>
              <w:spacing w:before="6"/>
              <w:rPr>
                <w:sz w:val="17"/>
              </w:rPr>
            </w:pPr>
          </w:p>
          <w:p>
            <w:pPr>
              <w:pStyle w:val="TableParagraph"/>
              <w:ind w:right="290"/>
              <w:jc w:val="right"/>
              <w:rPr>
                <w:sz w:val="11"/>
              </w:rPr>
            </w:pPr>
            <w:r>
              <w:rPr>
                <w:sz w:val="11"/>
              </w:rPr>
              <w:t>0.00</w:t>
            </w:r>
          </w:p>
        </w:tc>
        <w:tc>
          <w:tcPr>
            <w:tcW w:w="1262" w:type="dxa"/>
          </w:tcPr>
          <w:p>
            <w:pPr>
              <w:pStyle w:val="TableParagraph"/>
              <w:spacing w:before="6"/>
              <w:rPr>
                <w:sz w:val="17"/>
              </w:rPr>
            </w:pPr>
          </w:p>
          <w:p>
            <w:pPr>
              <w:pStyle w:val="TableParagraph"/>
              <w:ind w:right="443"/>
              <w:jc w:val="right"/>
              <w:rPr>
                <w:sz w:val="11"/>
              </w:rPr>
            </w:pPr>
            <w:r>
              <w:rPr>
                <w:sz w:val="11"/>
              </w:rPr>
              <w:t>0.00</w:t>
            </w:r>
          </w:p>
        </w:tc>
        <w:tc>
          <w:tcPr>
            <w:tcW w:w="918" w:type="dxa"/>
          </w:tcPr>
          <w:p>
            <w:pPr>
              <w:pStyle w:val="TableParagraph"/>
              <w:spacing w:before="6"/>
              <w:rPr>
                <w:sz w:val="17"/>
              </w:rPr>
            </w:pPr>
          </w:p>
          <w:p>
            <w:pPr>
              <w:pStyle w:val="TableParagraph"/>
              <w:ind w:right="252"/>
              <w:jc w:val="right"/>
              <w:rPr>
                <w:sz w:val="11"/>
              </w:rPr>
            </w:pPr>
            <w:r>
              <w:rPr>
                <w:sz w:val="11"/>
              </w:rPr>
              <w:t>0.00</w:t>
            </w:r>
          </w:p>
        </w:tc>
        <w:tc>
          <w:tcPr>
            <w:tcW w:w="1146" w:type="dxa"/>
          </w:tcPr>
          <w:p>
            <w:pPr>
              <w:pStyle w:val="TableParagraph"/>
              <w:spacing w:before="6"/>
              <w:rPr>
                <w:sz w:val="17"/>
              </w:rPr>
            </w:pPr>
          </w:p>
          <w:p>
            <w:pPr>
              <w:pStyle w:val="TableParagraph"/>
              <w:ind w:right="289"/>
              <w:jc w:val="right"/>
              <w:rPr>
                <w:sz w:val="11"/>
              </w:rPr>
            </w:pPr>
            <w:r>
              <w:rPr>
                <w:sz w:val="11"/>
              </w:rPr>
              <w:t>0.00</w:t>
            </w:r>
          </w:p>
        </w:tc>
        <w:tc>
          <w:tcPr>
            <w:tcW w:w="1262" w:type="dxa"/>
          </w:tcPr>
          <w:p>
            <w:pPr>
              <w:pStyle w:val="TableParagraph"/>
              <w:spacing w:before="6"/>
              <w:rPr>
                <w:sz w:val="17"/>
              </w:rPr>
            </w:pPr>
          </w:p>
          <w:p>
            <w:pPr>
              <w:pStyle w:val="TableParagraph"/>
              <w:ind w:right="442"/>
              <w:jc w:val="right"/>
              <w:rPr>
                <w:sz w:val="11"/>
              </w:rPr>
            </w:pPr>
            <w:r>
              <w:rPr>
                <w:sz w:val="11"/>
              </w:rPr>
              <w:t>0.00</w:t>
            </w:r>
          </w:p>
        </w:tc>
        <w:tc>
          <w:tcPr>
            <w:tcW w:w="857" w:type="dxa"/>
          </w:tcPr>
          <w:p>
            <w:pPr>
              <w:pStyle w:val="TableParagraph"/>
              <w:spacing w:before="6"/>
              <w:rPr>
                <w:sz w:val="17"/>
              </w:rPr>
            </w:pPr>
          </w:p>
          <w:p>
            <w:pPr>
              <w:pStyle w:val="TableParagraph"/>
              <w:ind w:right="191"/>
              <w:jc w:val="right"/>
              <w:rPr>
                <w:sz w:val="11"/>
              </w:rPr>
            </w:pPr>
            <w:r>
              <w:rPr>
                <w:sz w:val="11"/>
              </w:rPr>
              <w:t>0.00</w:t>
            </w:r>
          </w:p>
        </w:tc>
        <w:tc>
          <w:tcPr>
            <w:tcW w:w="477" w:type="dxa"/>
          </w:tcPr>
          <w:p>
            <w:pPr>
              <w:pStyle w:val="TableParagraph"/>
              <w:spacing w:before="6"/>
              <w:rPr>
                <w:sz w:val="17"/>
              </w:rPr>
            </w:pPr>
          </w:p>
          <w:p>
            <w:pPr>
              <w:pStyle w:val="TableParagraph"/>
              <w:ind w:right="25"/>
              <w:jc w:val="right"/>
              <w:rPr>
                <w:sz w:val="11"/>
              </w:rPr>
            </w:pPr>
            <w:r>
              <w:rPr>
                <w:sz w:val="11"/>
              </w:rPr>
              <w:t>0.0%</w:t>
            </w:r>
          </w:p>
        </w:tc>
      </w:tr>
      <w:tr>
        <w:trPr>
          <w:trHeight w:val="230" w:hRule="atLeast"/>
        </w:trPr>
        <w:tc>
          <w:tcPr>
            <w:tcW w:w="3083" w:type="dxa"/>
          </w:tcPr>
          <w:p>
            <w:pPr>
              <w:pStyle w:val="TableParagraph"/>
              <w:spacing w:before="51"/>
              <w:ind w:left="153"/>
              <w:rPr>
                <w:sz w:val="11"/>
              </w:rPr>
            </w:pPr>
            <w:r>
              <w:rPr>
                <w:sz w:val="11"/>
              </w:rPr>
              <w:t>b) Uses</w:t>
            </w:r>
          </w:p>
        </w:tc>
        <w:tc>
          <w:tcPr>
            <w:tcW w:w="1347" w:type="dxa"/>
          </w:tcPr>
          <w:p>
            <w:pPr>
              <w:pStyle w:val="TableParagraph"/>
              <w:spacing w:before="51"/>
              <w:ind w:right="271"/>
              <w:jc w:val="right"/>
              <w:rPr>
                <w:sz w:val="11"/>
              </w:rPr>
            </w:pPr>
            <w:r>
              <w:rPr>
                <w:sz w:val="11"/>
              </w:rPr>
              <w:t>7630-7699</w:t>
            </w:r>
          </w:p>
        </w:tc>
        <w:tc>
          <w:tcPr>
            <w:tcW w:w="1166" w:type="dxa"/>
          </w:tcPr>
          <w:p>
            <w:pPr>
              <w:pStyle w:val="TableParagraph"/>
              <w:spacing w:before="51"/>
              <w:ind w:right="290"/>
              <w:jc w:val="right"/>
              <w:rPr>
                <w:sz w:val="11"/>
              </w:rPr>
            </w:pPr>
            <w:r>
              <w:rPr>
                <w:sz w:val="11"/>
              </w:rPr>
              <w:t>0.00</w:t>
            </w:r>
          </w:p>
        </w:tc>
        <w:tc>
          <w:tcPr>
            <w:tcW w:w="1262" w:type="dxa"/>
          </w:tcPr>
          <w:p>
            <w:pPr>
              <w:pStyle w:val="TableParagraph"/>
              <w:spacing w:before="51"/>
              <w:ind w:right="443"/>
              <w:jc w:val="right"/>
              <w:rPr>
                <w:sz w:val="11"/>
              </w:rPr>
            </w:pPr>
            <w:r>
              <w:rPr>
                <w:sz w:val="11"/>
              </w:rPr>
              <w:t>0.00</w:t>
            </w:r>
          </w:p>
        </w:tc>
        <w:tc>
          <w:tcPr>
            <w:tcW w:w="918" w:type="dxa"/>
          </w:tcPr>
          <w:p>
            <w:pPr>
              <w:pStyle w:val="TableParagraph"/>
              <w:spacing w:before="51"/>
              <w:ind w:right="252"/>
              <w:jc w:val="right"/>
              <w:rPr>
                <w:sz w:val="11"/>
              </w:rPr>
            </w:pPr>
            <w:r>
              <w:rPr>
                <w:sz w:val="11"/>
              </w:rPr>
              <w:t>0.00</w:t>
            </w:r>
          </w:p>
        </w:tc>
        <w:tc>
          <w:tcPr>
            <w:tcW w:w="1146" w:type="dxa"/>
          </w:tcPr>
          <w:p>
            <w:pPr>
              <w:pStyle w:val="TableParagraph"/>
              <w:spacing w:before="51"/>
              <w:ind w:right="289"/>
              <w:jc w:val="right"/>
              <w:rPr>
                <w:sz w:val="11"/>
              </w:rPr>
            </w:pPr>
            <w:r>
              <w:rPr>
                <w:sz w:val="11"/>
              </w:rPr>
              <w:t>0.00</w:t>
            </w:r>
          </w:p>
        </w:tc>
        <w:tc>
          <w:tcPr>
            <w:tcW w:w="1262" w:type="dxa"/>
          </w:tcPr>
          <w:p>
            <w:pPr>
              <w:pStyle w:val="TableParagraph"/>
              <w:spacing w:before="51"/>
              <w:ind w:right="442"/>
              <w:jc w:val="right"/>
              <w:rPr>
                <w:sz w:val="11"/>
              </w:rPr>
            </w:pPr>
            <w:r>
              <w:rPr>
                <w:sz w:val="11"/>
              </w:rPr>
              <w:t>0.00</w:t>
            </w:r>
          </w:p>
        </w:tc>
        <w:tc>
          <w:tcPr>
            <w:tcW w:w="857" w:type="dxa"/>
          </w:tcPr>
          <w:p>
            <w:pPr>
              <w:pStyle w:val="TableParagraph"/>
              <w:spacing w:before="51"/>
              <w:ind w:right="191"/>
              <w:jc w:val="right"/>
              <w:rPr>
                <w:sz w:val="11"/>
              </w:rPr>
            </w:pPr>
            <w:r>
              <w:rPr>
                <w:sz w:val="11"/>
              </w:rPr>
              <w:t>0.00</w:t>
            </w:r>
          </w:p>
        </w:tc>
        <w:tc>
          <w:tcPr>
            <w:tcW w:w="477" w:type="dxa"/>
          </w:tcPr>
          <w:p>
            <w:pPr>
              <w:pStyle w:val="TableParagraph"/>
              <w:spacing w:before="51"/>
              <w:ind w:right="25"/>
              <w:jc w:val="right"/>
              <w:rPr>
                <w:sz w:val="11"/>
              </w:rPr>
            </w:pPr>
            <w:r>
              <w:rPr>
                <w:sz w:val="11"/>
              </w:rPr>
              <w:t>0.0%</w:t>
            </w:r>
          </w:p>
        </w:tc>
      </w:tr>
      <w:tr>
        <w:trPr>
          <w:trHeight w:val="230" w:hRule="atLeast"/>
        </w:trPr>
        <w:tc>
          <w:tcPr>
            <w:tcW w:w="3083" w:type="dxa"/>
          </w:tcPr>
          <w:p>
            <w:pPr>
              <w:pStyle w:val="TableParagraph"/>
              <w:spacing w:before="51"/>
              <w:ind w:left="28"/>
              <w:rPr>
                <w:sz w:val="11"/>
              </w:rPr>
            </w:pPr>
            <w:r>
              <w:rPr>
                <w:sz w:val="11"/>
              </w:rPr>
              <w:t>3) Contributions</w:t>
            </w:r>
          </w:p>
        </w:tc>
        <w:tc>
          <w:tcPr>
            <w:tcW w:w="1347" w:type="dxa"/>
          </w:tcPr>
          <w:p>
            <w:pPr>
              <w:pStyle w:val="TableParagraph"/>
              <w:spacing w:before="51"/>
              <w:ind w:right="271"/>
              <w:jc w:val="right"/>
              <w:rPr>
                <w:sz w:val="11"/>
              </w:rPr>
            </w:pPr>
            <w:r>
              <w:rPr>
                <w:sz w:val="11"/>
              </w:rPr>
              <w:t>8980-8999</w:t>
            </w:r>
          </w:p>
        </w:tc>
        <w:tc>
          <w:tcPr>
            <w:tcW w:w="1166" w:type="dxa"/>
          </w:tcPr>
          <w:p>
            <w:pPr>
              <w:pStyle w:val="TableParagraph"/>
              <w:spacing w:before="51"/>
              <w:ind w:right="253"/>
              <w:jc w:val="right"/>
              <w:rPr>
                <w:sz w:val="11"/>
              </w:rPr>
            </w:pPr>
            <w:r>
              <w:rPr>
                <w:sz w:val="11"/>
              </w:rPr>
              <w:t>(241,529.00)</w:t>
            </w:r>
          </w:p>
        </w:tc>
        <w:tc>
          <w:tcPr>
            <w:tcW w:w="1262" w:type="dxa"/>
          </w:tcPr>
          <w:p>
            <w:pPr>
              <w:pStyle w:val="TableParagraph"/>
              <w:spacing w:before="51"/>
              <w:ind w:right="443"/>
              <w:jc w:val="right"/>
              <w:rPr>
                <w:sz w:val="11"/>
              </w:rPr>
            </w:pPr>
            <w:r>
              <w:rPr>
                <w:sz w:val="11"/>
              </w:rPr>
              <w:t>241,529.00</w:t>
            </w:r>
          </w:p>
        </w:tc>
        <w:tc>
          <w:tcPr>
            <w:tcW w:w="918" w:type="dxa"/>
          </w:tcPr>
          <w:p>
            <w:pPr>
              <w:pStyle w:val="TableParagraph"/>
              <w:spacing w:before="51"/>
              <w:ind w:right="252"/>
              <w:jc w:val="right"/>
              <w:rPr>
                <w:sz w:val="11"/>
              </w:rPr>
            </w:pPr>
            <w:r>
              <w:rPr>
                <w:sz w:val="11"/>
              </w:rPr>
              <w:t>0.00</w:t>
            </w:r>
          </w:p>
        </w:tc>
        <w:tc>
          <w:tcPr>
            <w:tcW w:w="1146" w:type="dxa"/>
          </w:tcPr>
          <w:p>
            <w:pPr>
              <w:pStyle w:val="TableParagraph"/>
              <w:spacing w:before="51"/>
              <w:ind w:right="253"/>
              <w:jc w:val="right"/>
              <w:rPr>
                <w:sz w:val="11"/>
              </w:rPr>
            </w:pPr>
            <w:r>
              <w:rPr>
                <w:sz w:val="11"/>
              </w:rPr>
              <w:t>(221,691.00)</w:t>
            </w:r>
          </w:p>
        </w:tc>
        <w:tc>
          <w:tcPr>
            <w:tcW w:w="1262" w:type="dxa"/>
          </w:tcPr>
          <w:p>
            <w:pPr>
              <w:pStyle w:val="TableParagraph"/>
              <w:spacing w:before="51"/>
              <w:ind w:right="443"/>
              <w:jc w:val="right"/>
              <w:rPr>
                <w:sz w:val="11"/>
              </w:rPr>
            </w:pPr>
            <w:r>
              <w:rPr>
                <w:sz w:val="11"/>
              </w:rPr>
              <w:t>221,691.00</w:t>
            </w:r>
          </w:p>
        </w:tc>
        <w:tc>
          <w:tcPr>
            <w:tcW w:w="857" w:type="dxa"/>
          </w:tcPr>
          <w:p>
            <w:pPr>
              <w:pStyle w:val="TableParagraph"/>
              <w:spacing w:before="51"/>
              <w:ind w:right="191"/>
              <w:jc w:val="right"/>
              <w:rPr>
                <w:sz w:val="11"/>
              </w:rPr>
            </w:pPr>
            <w:r>
              <w:rPr>
                <w:sz w:val="11"/>
              </w:rPr>
              <w:t>0.00</w:t>
            </w:r>
          </w:p>
        </w:tc>
        <w:tc>
          <w:tcPr>
            <w:tcW w:w="477" w:type="dxa"/>
          </w:tcPr>
          <w:p>
            <w:pPr>
              <w:pStyle w:val="TableParagraph"/>
              <w:spacing w:before="51"/>
              <w:ind w:right="25"/>
              <w:jc w:val="right"/>
              <w:rPr>
                <w:sz w:val="11"/>
              </w:rPr>
            </w:pPr>
            <w:r>
              <w:rPr>
                <w:sz w:val="11"/>
              </w:rPr>
              <w:t>0.0%</w:t>
            </w:r>
          </w:p>
        </w:tc>
      </w:tr>
      <w:tr>
        <w:trPr>
          <w:trHeight w:val="178" w:hRule="atLeast"/>
        </w:trPr>
        <w:tc>
          <w:tcPr>
            <w:tcW w:w="3083" w:type="dxa"/>
          </w:tcPr>
          <w:p>
            <w:pPr>
              <w:pStyle w:val="TableParagraph"/>
              <w:spacing w:line="107" w:lineRule="exact" w:before="51"/>
              <w:ind w:left="28"/>
              <w:rPr>
                <w:sz w:val="11"/>
              </w:rPr>
            </w:pPr>
            <w:r>
              <w:rPr>
                <w:sz w:val="11"/>
              </w:rPr>
              <w:t>4) TOTAL, OTHER FINANCING SOURCES/USES</w:t>
            </w:r>
          </w:p>
        </w:tc>
        <w:tc>
          <w:tcPr>
            <w:tcW w:w="1347" w:type="dxa"/>
          </w:tcPr>
          <w:p>
            <w:pPr>
              <w:pStyle w:val="TableParagraph"/>
              <w:rPr>
                <w:rFonts w:ascii="Times New Roman"/>
                <w:sz w:val="10"/>
              </w:rPr>
            </w:pPr>
          </w:p>
        </w:tc>
        <w:tc>
          <w:tcPr>
            <w:tcW w:w="1166" w:type="dxa"/>
          </w:tcPr>
          <w:p>
            <w:pPr>
              <w:pStyle w:val="TableParagraph"/>
              <w:spacing w:line="107" w:lineRule="exact" w:before="51"/>
              <w:ind w:right="253"/>
              <w:jc w:val="right"/>
              <w:rPr>
                <w:sz w:val="11"/>
              </w:rPr>
            </w:pPr>
            <w:r>
              <w:rPr>
                <w:sz w:val="11"/>
              </w:rPr>
              <w:t>(241,529.00)</w:t>
            </w:r>
          </w:p>
        </w:tc>
        <w:tc>
          <w:tcPr>
            <w:tcW w:w="1262" w:type="dxa"/>
          </w:tcPr>
          <w:p>
            <w:pPr>
              <w:pStyle w:val="TableParagraph"/>
              <w:spacing w:line="107" w:lineRule="exact" w:before="51"/>
              <w:ind w:right="443"/>
              <w:jc w:val="right"/>
              <w:rPr>
                <w:sz w:val="11"/>
              </w:rPr>
            </w:pPr>
            <w:r>
              <w:rPr>
                <w:sz w:val="11"/>
              </w:rPr>
              <w:t>241,529.00</w:t>
            </w:r>
          </w:p>
        </w:tc>
        <w:tc>
          <w:tcPr>
            <w:tcW w:w="918" w:type="dxa"/>
          </w:tcPr>
          <w:p>
            <w:pPr>
              <w:pStyle w:val="TableParagraph"/>
              <w:spacing w:line="107" w:lineRule="exact" w:before="51"/>
              <w:ind w:right="252"/>
              <w:jc w:val="right"/>
              <w:rPr>
                <w:sz w:val="11"/>
              </w:rPr>
            </w:pPr>
            <w:r>
              <w:rPr>
                <w:sz w:val="11"/>
              </w:rPr>
              <w:t>0.00</w:t>
            </w:r>
          </w:p>
        </w:tc>
        <w:tc>
          <w:tcPr>
            <w:tcW w:w="1146" w:type="dxa"/>
          </w:tcPr>
          <w:p>
            <w:pPr>
              <w:pStyle w:val="TableParagraph"/>
              <w:spacing w:line="107" w:lineRule="exact" w:before="51"/>
              <w:ind w:right="253"/>
              <w:jc w:val="right"/>
              <w:rPr>
                <w:sz w:val="11"/>
              </w:rPr>
            </w:pPr>
            <w:r>
              <w:rPr>
                <w:sz w:val="11"/>
              </w:rPr>
              <w:t>(221,691.00)</w:t>
            </w:r>
          </w:p>
        </w:tc>
        <w:tc>
          <w:tcPr>
            <w:tcW w:w="1262" w:type="dxa"/>
          </w:tcPr>
          <w:p>
            <w:pPr>
              <w:pStyle w:val="TableParagraph"/>
              <w:spacing w:line="107" w:lineRule="exact" w:before="51"/>
              <w:ind w:right="443"/>
              <w:jc w:val="right"/>
              <w:rPr>
                <w:sz w:val="11"/>
              </w:rPr>
            </w:pPr>
            <w:r>
              <w:rPr>
                <w:sz w:val="11"/>
              </w:rPr>
              <w:t>221,691.00</w:t>
            </w:r>
          </w:p>
        </w:tc>
        <w:tc>
          <w:tcPr>
            <w:tcW w:w="857" w:type="dxa"/>
          </w:tcPr>
          <w:p>
            <w:pPr>
              <w:pStyle w:val="TableParagraph"/>
              <w:spacing w:line="107" w:lineRule="exact" w:before="51"/>
              <w:ind w:right="191"/>
              <w:jc w:val="right"/>
              <w:rPr>
                <w:sz w:val="11"/>
              </w:rPr>
            </w:pPr>
            <w:r>
              <w:rPr>
                <w:sz w:val="11"/>
              </w:rPr>
              <w:t>0.00</w:t>
            </w:r>
          </w:p>
        </w:tc>
        <w:tc>
          <w:tcPr>
            <w:tcW w:w="477" w:type="dxa"/>
          </w:tcPr>
          <w:p>
            <w:pPr>
              <w:pStyle w:val="TableParagraph"/>
              <w:spacing w:line="107" w:lineRule="exact" w:before="51"/>
              <w:ind w:right="25"/>
              <w:jc w:val="right"/>
              <w:rPr>
                <w:sz w:val="11"/>
              </w:rPr>
            </w:pPr>
            <w:r>
              <w:rPr>
                <w:sz w:val="11"/>
              </w:rPr>
              <w:t>0.0%</w:t>
            </w:r>
          </w:p>
        </w:tc>
      </w:tr>
    </w:tbl>
    <w:p>
      <w:pPr>
        <w:spacing w:after="0" w:line="107" w:lineRule="exact"/>
        <w:jc w:val="right"/>
        <w:rPr>
          <w:sz w:val="11"/>
        </w:rPr>
        <w:sectPr>
          <w:headerReference w:type="default" r:id="rId81"/>
          <w:footerReference w:type="default" r:id="rId82"/>
          <w:pgSz w:w="12240" w:h="15840"/>
          <w:pgMar w:header="59" w:footer="240" w:top="560" w:bottom="440" w:left="160" w:right="180"/>
          <w:pgNumType w:start="1"/>
        </w:sectPr>
      </w:pPr>
    </w:p>
    <w:p>
      <w:pPr>
        <w:pStyle w:val="BodyText"/>
        <w:rPr>
          <w:sz w:val="20"/>
        </w:rPr>
      </w:pPr>
      <w:r>
        <w:rPr/>
        <w:pict>
          <v:group style="position:absolute;margin-left:14.280001pt;margin-top:40.079998pt;width:581.3pt;height:356.9pt;mso-position-horizontal-relative:page;mso-position-vertical-relative:page;z-index:-314627072" coordorigin="286,802" coordsize="11626,7138">
            <v:shape style="position:absolute;left:285;top:801;width:11626;height:168" type="#_x0000_t75" stroked="false">
              <v:imagedata r:id="rId83" o:title=""/>
            </v:shape>
            <v:shape style="position:absolute;left:285;top:964;width:2542;height:507" type="#_x0000_t75" stroked="false">
              <v:imagedata r:id="rId84" o:title=""/>
            </v:shape>
            <v:shape style="position:absolute;left:2824;top:832;width:9087;height:639" type="#_x0000_t75" stroked="false">
              <v:imagedata r:id="rId85" o:title=""/>
            </v:shape>
            <v:shape style="position:absolute;left:285;top:1466;width:2542;height:387" type="#_x0000_t75" stroked="false">
              <v:imagedata r:id="rId110" o:title=""/>
            </v:shape>
            <v:shape style="position:absolute;left:2824;top:964;width:9087;height:888" type="#_x0000_t75" stroked="false">
              <v:imagedata r:id="rId111" o:title=""/>
            </v:shape>
            <v:shape style="position:absolute;left:4648;top:1696;width:7263;height:838" type="#_x0000_t75" stroked="false">
              <v:imagedata r:id="rId112" o:title=""/>
            </v:shape>
            <v:shape style="position:absolute;left:285;top:1848;width:2542;height:6092" type="#_x0000_t75" stroked="false">
              <v:imagedata r:id="rId113" o:title=""/>
            </v:shape>
            <v:shape style="position:absolute;left:5604;top:836;width:1441;height:126" type="#_x0000_t202" filled="false" stroked="false">
              <v:textbox inset="0,0,0,0">
                <w:txbxContent>
                  <w:p>
                    <w:pPr>
                      <w:spacing w:line="125" w:lineRule="exact" w:before="0"/>
                      <w:ind w:left="0" w:right="0" w:firstLine="0"/>
                      <w:jc w:val="left"/>
                      <w:rPr>
                        <w:b/>
                        <w:sz w:val="11"/>
                      </w:rPr>
                    </w:pPr>
                    <w:r>
                      <w:rPr>
                        <w:b/>
                        <w:sz w:val="11"/>
                      </w:rPr>
                      <w:t>2020-21 Estimated Actuals</w:t>
                    </w:r>
                  </w:p>
                </w:txbxContent>
              </v:textbox>
              <w10:wrap type="none"/>
            </v:shape>
            <v:shape style="position:absolute;left:9223;top:836;width:854;height:126" type="#_x0000_t202" filled="false" stroked="false">
              <v:textbox inset="0,0,0,0">
                <w:txbxContent>
                  <w:p>
                    <w:pPr>
                      <w:spacing w:line="125" w:lineRule="exact" w:before="0"/>
                      <w:ind w:left="0" w:right="0" w:firstLine="0"/>
                      <w:jc w:val="left"/>
                      <w:rPr>
                        <w:b/>
                        <w:sz w:val="11"/>
                      </w:rPr>
                    </w:pPr>
                    <w:r>
                      <w:rPr>
                        <w:b/>
                        <w:sz w:val="11"/>
                      </w:rPr>
                      <w:t>2021-22 Budget</w:t>
                    </w:r>
                  </w:p>
                </w:txbxContent>
              </v:textbox>
              <w10:wrap type="none"/>
            </v:shape>
            <v:shape style="position:absolute;left:304;top:1338;width:2201;height:508" type="#_x0000_t202" filled="false" stroked="false">
              <v:textbox inset="0,0,0,0">
                <w:txbxContent>
                  <w:p>
                    <w:pPr>
                      <w:spacing w:line="125" w:lineRule="exact" w:before="0"/>
                      <w:ind w:left="0" w:right="0" w:firstLine="0"/>
                      <w:jc w:val="left"/>
                      <w:rPr>
                        <w:b/>
                        <w:sz w:val="11"/>
                      </w:rPr>
                    </w:pPr>
                    <w:r>
                      <w:rPr>
                        <w:b/>
                        <w:sz w:val="11"/>
                      </w:rPr>
                      <w:t>Description</w:t>
                    </w:r>
                  </w:p>
                  <w:p>
                    <w:pPr>
                      <w:spacing w:line="288" w:lineRule="auto" w:before="104"/>
                      <w:ind w:left="124" w:right="0" w:hanging="125"/>
                      <w:jc w:val="left"/>
                      <w:rPr>
                        <w:b/>
                        <w:sz w:val="11"/>
                      </w:rPr>
                    </w:pPr>
                    <w:r>
                      <w:rPr>
                        <w:b/>
                        <w:sz w:val="11"/>
                      </w:rPr>
                      <w:t>E. NET INCREASE (DECREASE) IN FUND BALANCE (C + D4)</w:t>
                    </w:r>
                  </w:p>
                </w:txbxContent>
              </v:textbox>
              <w10:wrap type="none"/>
            </v:shape>
            <v:shape style="position:absolute;left:2932;top:1338;width:911;height:126" type="#_x0000_t202" filled="false" stroked="false">
              <v:textbox inset="0,0,0,0">
                <w:txbxContent>
                  <w:p>
                    <w:pPr>
                      <w:spacing w:line="125" w:lineRule="exact" w:before="0"/>
                      <w:ind w:left="0" w:right="0" w:firstLine="0"/>
                      <w:jc w:val="left"/>
                      <w:rPr>
                        <w:b/>
                        <w:sz w:val="11"/>
                      </w:rPr>
                    </w:pPr>
                    <w:r>
                      <w:rPr>
                        <w:b/>
                        <w:sz w:val="11"/>
                      </w:rPr>
                      <w:t>Resource Codes</w:t>
                    </w:r>
                  </w:p>
                </w:txbxContent>
              </v:textbox>
              <w10:wrap type="none"/>
            </v:shape>
            <v:shape style="position:absolute;left:4113;top:1206;width:372;height:258" type="#_x0000_t202" filled="false" stroked="false">
              <v:textbox inset="0,0,0,0">
                <w:txbxContent>
                  <w:p>
                    <w:pPr>
                      <w:spacing w:line="249" w:lineRule="auto" w:before="0"/>
                      <w:ind w:left="4" w:right="10" w:hanging="5"/>
                      <w:jc w:val="left"/>
                      <w:rPr>
                        <w:b/>
                        <w:sz w:val="11"/>
                      </w:rPr>
                    </w:pPr>
                    <w:r>
                      <w:rPr>
                        <w:b/>
                        <w:sz w:val="11"/>
                      </w:rPr>
                      <w:t>Object Codes</w:t>
                    </w:r>
                  </w:p>
                </w:txbxContent>
              </v:textbox>
              <w10:wrap type="none"/>
            </v:shape>
            <v:shape style="position:absolute;left:4876;top:1206;width:682;height:258" type="#_x0000_t202" filled="false" stroked="false">
              <v:textbox inset="0,0,0,0">
                <w:txbxContent>
                  <w:p>
                    <w:pPr>
                      <w:spacing w:line="249" w:lineRule="auto" w:before="0"/>
                      <w:ind w:left="252" w:right="14" w:hanging="252"/>
                      <w:jc w:val="left"/>
                      <w:rPr>
                        <w:b/>
                        <w:sz w:val="11"/>
                      </w:rPr>
                    </w:pPr>
                    <w:r>
                      <w:rPr>
                        <w:b/>
                        <w:sz w:val="11"/>
                      </w:rPr>
                      <w:t>Unrestricted (A)</w:t>
                    </w:r>
                  </w:p>
                </w:txbxContent>
              </v:textbox>
              <w10:wrap type="none"/>
            </v:shape>
            <v:shape style="position:absolute;left:6040;top:1206;width:571;height:258" type="#_x0000_t202" filled="false" stroked="false">
              <v:textbox inset="0,0,0,0">
                <w:txbxContent>
                  <w:p>
                    <w:pPr>
                      <w:spacing w:line="249" w:lineRule="auto" w:before="0"/>
                      <w:ind w:left="196" w:right="14" w:hanging="197"/>
                      <w:jc w:val="left"/>
                      <w:rPr>
                        <w:b/>
                        <w:sz w:val="11"/>
                      </w:rPr>
                    </w:pPr>
                    <w:r>
                      <w:rPr>
                        <w:b/>
                        <w:sz w:val="11"/>
                      </w:rPr>
                      <w:t>Restricted (B)</w:t>
                    </w:r>
                  </w:p>
                </w:txbxContent>
              </v:textbox>
              <w10:wrap type="none"/>
            </v:shape>
            <v:shape style="position:absolute;left:7132;top:1074;width:603;height:390" type="#_x0000_t202" filled="false" stroked="false">
              <v:textbox inset="0,0,0,0">
                <w:txbxContent>
                  <w:p>
                    <w:pPr>
                      <w:spacing w:line="249" w:lineRule="auto" w:before="0"/>
                      <w:ind w:left="-1" w:right="18" w:firstLine="0"/>
                      <w:jc w:val="center"/>
                      <w:rPr>
                        <w:b/>
                        <w:sz w:val="11"/>
                      </w:rPr>
                    </w:pPr>
                    <w:r>
                      <w:rPr>
                        <w:b/>
                        <w:sz w:val="11"/>
                      </w:rPr>
                      <w:t>Total </w:t>
                    </w:r>
                    <w:r>
                      <w:rPr>
                        <w:b/>
                        <w:spacing w:val="-4"/>
                        <w:sz w:val="11"/>
                      </w:rPr>
                      <w:t>Fund </w:t>
                    </w:r>
                    <w:r>
                      <w:rPr>
                        <w:b/>
                        <w:sz w:val="11"/>
                      </w:rPr>
                      <w:t>col. A + B (C)</w:t>
                    </w:r>
                  </w:p>
                </w:txbxContent>
              </v:textbox>
              <w10:wrap type="none"/>
            </v:shape>
            <v:shape style="position:absolute;left:8203;top:1206;width:682;height:258" type="#_x0000_t202" filled="false" stroked="false">
              <v:textbox inset="0,0,0,0">
                <w:txbxContent>
                  <w:p>
                    <w:pPr>
                      <w:spacing w:line="249" w:lineRule="auto" w:before="0"/>
                      <w:ind w:left="251" w:right="15" w:hanging="252"/>
                      <w:jc w:val="left"/>
                      <w:rPr>
                        <w:b/>
                        <w:sz w:val="11"/>
                      </w:rPr>
                    </w:pPr>
                    <w:r>
                      <w:rPr>
                        <w:b/>
                        <w:sz w:val="11"/>
                      </w:rPr>
                      <w:t>Unrestricted (D)</w:t>
                    </w:r>
                  </w:p>
                </w:txbxContent>
              </v:textbox>
              <w10:wrap type="none"/>
            </v:shape>
            <v:shape style="position:absolute;left:9367;top:1206;width:571;height:258" type="#_x0000_t202" filled="false" stroked="false">
              <v:textbox inset="0,0,0,0">
                <w:txbxContent>
                  <w:p>
                    <w:pPr>
                      <w:spacing w:line="249" w:lineRule="auto" w:before="0"/>
                      <w:ind w:left="199" w:right="14" w:hanging="200"/>
                      <w:jc w:val="left"/>
                      <w:rPr>
                        <w:b/>
                        <w:sz w:val="11"/>
                      </w:rPr>
                    </w:pPr>
                    <w:r>
                      <w:rPr>
                        <w:b/>
                        <w:sz w:val="11"/>
                      </w:rPr>
                      <w:t>Restricted (E)</w:t>
                    </w:r>
                  </w:p>
                </w:txbxContent>
              </v:textbox>
              <w10:wrap type="none"/>
            </v:shape>
            <v:shape style="position:absolute;left:10459;top:1074;width:603;height:390" type="#_x0000_t202" filled="false" stroked="false">
              <v:textbox inset="0,0,0,0">
                <w:txbxContent>
                  <w:p>
                    <w:pPr>
                      <w:spacing w:line="249" w:lineRule="auto" w:before="0"/>
                      <w:ind w:left="-1" w:right="18" w:firstLine="0"/>
                      <w:jc w:val="center"/>
                      <w:rPr>
                        <w:b/>
                        <w:sz w:val="11"/>
                      </w:rPr>
                    </w:pPr>
                    <w:r>
                      <w:rPr>
                        <w:b/>
                        <w:sz w:val="11"/>
                      </w:rPr>
                      <w:t>Total </w:t>
                    </w:r>
                    <w:r>
                      <w:rPr>
                        <w:b/>
                        <w:spacing w:val="-4"/>
                        <w:sz w:val="11"/>
                      </w:rPr>
                      <w:t>Fund </w:t>
                    </w:r>
                    <w:r>
                      <w:rPr>
                        <w:b/>
                        <w:sz w:val="11"/>
                      </w:rPr>
                      <w:t>col. D + E (F)</w:t>
                    </w:r>
                  </w:p>
                </w:txbxContent>
              </v:textbox>
              <w10:wrap type="none"/>
            </v:shape>
            <v:shape style="position:absolute;left:11397;top:1074;width:442;height:390" type="#_x0000_t202" filled="false" stroked="false">
              <v:textbox inset="0,0,0,0">
                <w:txbxContent>
                  <w:p>
                    <w:pPr>
                      <w:spacing w:line="249" w:lineRule="auto" w:before="0"/>
                      <w:ind w:left="0" w:right="18" w:firstLine="0"/>
                      <w:jc w:val="center"/>
                      <w:rPr>
                        <w:b/>
                        <w:sz w:val="11"/>
                      </w:rPr>
                    </w:pPr>
                    <w:r>
                      <w:rPr>
                        <w:b/>
                        <w:sz w:val="11"/>
                      </w:rPr>
                      <w:t>% Diff Column C &amp; F</w:t>
                    </w:r>
                  </w:p>
                </w:txbxContent>
              </v:textbox>
              <w10:wrap type="none"/>
            </v:shape>
            <v:shape style="position:absolute;left:5143;top:1722;width:582;height:126" type="#_x0000_t202" filled="false" stroked="false">
              <v:textbox inset="0,0,0,0">
                <w:txbxContent>
                  <w:p>
                    <w:pPr>
                      <w:spacing w:line="125" w:lineRule="exact" w:before="0"/>
                      <w:ind w:left="0" w:right="0" w:firstLine="0"/>
                      <w:jc w:val="left"/>
                      <w:rPr>
                        <w:sz w:val="11"/>
                      </w:rPr>
                    </w:pPr>
                    <w:r>
                      <w:rPr>
                        <w:sz w:val="11"/>
                      </w:rPr>
                      <w:t>113,597.00</w:t>
                    </w:r>
                  </w:p>
                </w:txbxContent>
              </v:textbox>
              <w10:wrap type="none"/>
            </v:shape>
            <v:shape style="position:absolute;left:6314;top:1722;width:519;height:126" type="#_x0000_t202" filled="false" stroked="false">
              <v:textbox inset="0,0,0,0">
                <w:txbxContent>
                  <w:p>
                    <w:pPr>
                      <w:spacing w:line="125" w:lineRule="exact" w:before="0"/>
                      <w:ind w:left="0" w:right="0" w:firstLine="0"/>
                      <w:jc w:val="left"/>
                      <w:rPr>
                        <w:sz w:val="11"/>
                      </w:rPr>
                    </w:pPr>
                    <w:r>
                      <w:rPr>
                        <w:sz w:val="11"/>
                      </w:rPr>
                      <w:t>51,427.00</w:t>
                    </w:r>
                  </w:p>
                </w:txbxContent>
              </v:textbox>
              <w10:wrap type="none"/>
            </v:shape>
            <v:shape style="position:absolute;left:7360;top:1722;width:582;height:126" type="#_x0000_t202" filled="false" stroked="false">
              <v:textbox inset="0,0,0,0">
                <w:txbxContent>
                  <w:p>
                    <w:pPr>
                      <w:spacing w:line="125" w:lineRule="exact" w:before="0"/>
                      <w:ind w:left="0" w:right="0" w:firstLine="0"/>
                      <w:jc w:val="left"/>
                      <w:rPr>
                        <w:sz w:val="11"/>
                      </w:rPr>
                    </w:pPr>
                    <w:r>
                      <w:rPr>
                        <w:sz w:val="11"/>
                      </w:rPr>
                      <w:t>165,024.00</w:t>
                    </w:r>
                  </w:p>
                </w:txbxContent>
              </v:textbox>
              <w10:wrap type="none"/>
            </v:shape>
            <v:shape style="position:absolute;left:8532;top:1722;width:519;height:126" type="#_x0000_t202" filled="false" stroked="false">
              <v:textbox inset="0,0,0,0">
                <w:txbxContent>
                  <w:p>
                    <w:pPr>
                      <w:spacing w:line="125" w:lineRule="exact" w:before="0"/>
                      <w:ind w:left="0" w:right="0" w:firstLine="0"/>
                      <w:jc w:val="left"/>
                      <w:rPr>
                        <w:sz w:val="11"/>
                      </w:rPr>
                    </w:pPr>
                    <w:r>
                      <w:rPr>
                        <w:sz w:val="11"/>
                      </w:rPr>
                      <w:t>41,448.00</w:t>
                    </w:r>
                  </w:p>
                </w:txbxContent>
              </v:textbox>
              <w10:wrap type="none"/>
            </v:shape>
            <v:shape style="position:absolute;left:9602;top:1722;width:595;height:126" type="#_x0000_t202" filled="false" stroked="false">
              <v:textbox inset="0,0,0,0">
                <w:txbxContent>
                  <w:p>
                    <w:pPr>
                      <w:spacing w:line="125" w:lineRule="exact" w:before="0"/>
                      <w:ind w:left="0" w:right="0" w:firstLine="0"/>
                      <w:jc w:val="left"/>
                      <w:rPr>
                        <w:sz w:val="11"/>
                      </w:rPr>
                    </w:pPr>
                    <w:r>
                      <w:rPr>
                        <w:sz w:val="11"/>
                      </w:rPr>
                      <w:t>(60,089.00)</w:t>
                    </w:r>
                  </w:p>
                </w:txbxContent>
              </v:textbox>
              <w10:wrap type="none"/>
            </v:shape>
            <v:shape style="position:absolute;left:10711;top:1722;width:595;height:126" type="#_x0000_t202" filled="false" stroked="false">
              <v:textbox inset="0,0,0,0">
                <w:txbxContent>
                  <w:p>
                    <w:pPr>
                      <w:spacing w:line="125" w:lineRule="exact" w:before="0"/>
                      <w:ind w:left="0" w:right="0" w:firstLine="0"/>
                      <w:jc w:val="left"/>
                      <w:rPr>
                        <w:sz w:val="11"/>
                      </w:rPr>
                    </w:pPr>
                    <w:r>
                      <w:rPr>
                        <w:sz w:val="11"/>
                      </w:rPr>
                      <w:t>(18,641.00)</w:t>
                    </w:r>
                  </w:p>
                </w:txbxContent>
              </v:textbox>
              <w10:wrap type="none"/>
            </v:shape>
            <v:shape style="position:absolute;left:11472;top:1722;width:439;height:126" type="#_x0000_t202" filled="false" stroked="false">
              <v:textbox inset="0,0,0,0">
                <w:txbxContent>
                  <w:p>
                    <w:pPr>
                      <w:spacing w:line="125" w:lineRule="exact" w:before="0"/>
                      <w:ind w:left="0" w:right="0" w:firstLine="0"/>
                      <w:jc w:val="left"/>
                      <w:rPr>
                        <w:sz w:val="11"/>
                      </w:rPr>
                    </w:pPr>
                    <w:r>
                      <w:rPr>
                        <w:sz w:val="11"/>
                      </w:rPr>
                      <w:t>-111.3%</w:t>
                    </w:r>
                  </w:p>
                </w:txbxContent>
              </v:textbox>
              <w10:wrap type="none"/>
            </v:shape>
            <v:shape style="position:absolute;left:304;top:1950;width:1710;height:431" type="#_x0000_t202" filled="false" stroked="false">
              <v:textbox inset="0,0,0,0">
                <w:txbxContent>
                  <w:p>
                    <w:pPr>
                      <w:spacing w:line="125" w:lineRule="exact" w:before="0"/>
                      <w:ind w:left="0" w:right="0" w:firstLine="0"/>
                      <w:jc w:val="left"/>
                      <w:rPr>
                        <w:b/>
                        <w:sz w:val="11"/>
                      </w:rPr>
                    </w:pPr>
                    <w:r>
                      <w:rPr>
                        <w:b/>
                        <w:sz w:val="11"/>
                      </w:rPr>
                      <w:t>F. FUND BALANCE, RESERVES</w:t>
                    </w:r>
                  </w:p>
                  <w:p>
                    <w:pPr>
                      <w:spacing w:line="240" w:lineRule="auto" w:before="5"/>
                      <w:rPr>
                        <w:b/>
                        <w:sz w:val="15"/>
                      </w:rPr>
                    </w:pPr>
                  </w:p>
                  <w:p>
                    <w:pPr>
                      <w:numPr>
                        <w:ilvl w:val="0"/>
                        <w:numId w:val="7"/>
                      </w:numPr>
                      <w:tabs>
                        <w:tab w:pos="257" w:val="left" w:leader="none"/>
                      </w:tabs>
                      <w:spacing w:before="1"/>
                      <w:ind w:left="256" w:right="0" w:hanging="133"/>
                      <w:jc w:val="left"/>
                      <w:rPr>
                        <w:sz w:val="11"/>
                      </w:rPr>
                    </w:pPr>
                    <w:r>
                      <w:rPr>
                        <w:sz w:val="11"/>
                      </w:rPr>
                      <w:t>Beginning Fund</w:t>
                    </w:r>
                    <w:r>
                      <w:rPr>
                        <w:spacing w:val="3"/>
                        <w:sz w:val="11"/>
                      </w:rPr>
                      <w:t> </w:t>
                    </w:r>
                    <w:r>
                      <w:rPr>
                        <w:sz w:val="11"/>
                      </w:rPr>
                      <w:t>Balance</w:t>
                    </w:r>
                  </w:p>
                </w:txbxContent>
              </v:textbox>
              <w10:wrap type="none"/>
            </v:shape>
            <w10:wrap type="none"/>
          </v:group>
        </w:pict>
      </w:r>
      <w:r>
        <w:rPr/>
        <w:pict>
          <v:group style="position:absolute;margin-left:141.240005pt;margin-top:119.040009pt;width:454.35pt;height:277.95pt;mso-position-horizontal-relative:page;mso-position-vertical-relative:page;z-index:-314626048" coordorigin="2825,2381" coordsize="9087,5559">
            <v:shape style="position:absolute;left:4648;top:2380;width:7263;height:382" type="#_x0000_t75" stroked="false">
              <v:imagedata r:id="rId114" o:title=""/>
            </v:shape>
            <v:shape style="position:absolute;left:4648;top:2532;width:7263;height:461" type="#_x0000_t75" stroked="false">
              <v:imagedata r:id="rId115" o:title=""/>
            </v:shape>
            <v:shape style="position:absolute;left:4648;top:2760;width:7263;height:464" type="#_x0000_t75" stroked="false">
              <v:imagedata r:id="rId116" o:title=""/>
            </v:shape>
            <v:shape style="position:absolute;left:4648;top:2990;width:7263;height:464" type="#_x0000_t75" stroked="false">
              <v:imagedata r:id="rId117" o:title=""/>
            </v:shape>
            <v:shape style="position:absolute;left:9084;top:3220;width:2223;height:464" type="#_x0000_t75" stroked="false">
              <v:imagedata r:id="rId118" o:title=""/>
            </v:shape>
            <v:shape style="position:absolute;left:4648;top:3220;width:7263;height:766" type="#_x0000_t75" stroked="false">
              <v:imagedata r:id="rId119" o:title=""/>
            </v:shape>
            <v:shape style="position:absolute;left:5757;top:3832;width:6154;height:687" type="#_x0000_t75" stroked="false">
              <v:imagedata r:id="rId120" o:title=""/>
            </v:shape>
            <v:shape style="position:absolute;left:4648;top:3832;width:2220;height:687" type="#_x0000_t75" stroked="false">
              <v:imagedata r:id="rId121" o:title=""/>
            </v:shape>
            <v:shape style="position:absolute;left:4648;top:4286;width:7263;height:464" type="#_x0000_t75" stroked="false">
              <v:imagedata r:id="rId122" o:title=""/>
            </v:shape>
            <v:shape style="position:absolute;left:5757;top:4516;width:6154;height:464" type="#_x0000_t75" stroked="false">
              <v:imagedata r:id="rId123" o:title=""/>
            </v:shape>
            <v:rect style="position:absolute;left:4651;top:4980;width:1109;height:231" filled="true" fillcolor="#dfdfdf" stroked="false">
              <v:fill type="solid"/>
            </v:rect>
            <v:shape style="position:absolute;left:6866;top:4747;width:5045;height:464" type="#_x0000_t75" stroked="false">
              <v:imagedata r:id="rId124" o:title=""/>
            </v:shape>
            <v:shape style="position:absolute;left:4648;top:4747;width:2220;height:840" type="#_x0000_t75" stroked="false">
              <v:imagedata r:id="rId125" o:title=""/>
            </v:shape>
            <v:shape style="position:absolute;left:9084;top:4977;width:2828;height:610" type="#_x0000_t75" stroked="false">
              <v:imagedata r:id="rId126" o:title=""/>
            </v:shape>
            <v:shape style="position:absolute;left:4648;top:5440;width:2220;height:380" type="#_x0000_t75" stroked="false">
              <v:imagedata r:id="rId127" o:title=""/>
            </v:shape>
            <v:shape style="position:absolute;left:5757;top:5208;width:6154;height:612" type="#_x0000_t75" stroked="false">
              <v:imagedata r:id="rId128" o:title=""/>
            </v:shape>
            <v:shape style="position:absolute;left:4648;top:5584;width:7263;height:696" type="#_x0000_t75" stroked="false">
              <v:imagedata r:id="rId129" o:title=""/>
            </v:shape>
            <v:shape style="position:absolute;left:4648;top:6048;width:7263;height:394" type="#_x0000_t75" stroked="false">
              <v:imagedata r:id="rId130" o:title=""/>
            </v:shape>
            <v:shape style="position:absolute;left:4648;top:6278;width:6658;height:324" type="#_x0000_t75" stroked="false">
              <v:imagedata r:id="rId131" o:title=""/>
            </v:shape>
            <v:shape style="position:absolute;left:4648;top:6439;width:6658;height:324" type="#_x0000_t75" stroked="false">
              <v:imagedata r:id="rId131" o:title=""/>
            </v:shape>
            <v:shape style="position:absolute;left:4648;top:6600;width:6658;height:324" type="#_x0000_t75" stroked="false">
              <v:imagedata r:id="rId131" o:title=""/>
            </v:shape>
            <v:shape style="position:absolute;left:4648;top:6760;width:6658;height:324" type="#_x0000_t75" stroked="false">
              <v:imagedata r:id="rId131" o:title=""/>
            </v:shape>
            <v:shape style="position:absolute;left:4648;top:6921;width:6658;height:324" type="#_x0000_t75" stroked="false">
              <v:imagedata r:id="rId131" o:title=""/>
            </v:shape>
            <v:shape style="position:absolute;left:4648;top:6278;width:7263;height:1428" type="#_x0000_t75" stroked="false">
              <v:imagedata r:id="rId132" o:title=""/>
            </v:shape>
            <v:shape style="position:absolute;left:2824;top:7473;width:9087;height:466" type="#_x0000_t75" stroked="false">
              <v:imagedata r:id="rId133" o:title=""/>
            </v:shape>
            <v:shape style="position:absolute;left:5757;top:7704;width:6154;height:236" type="#_x0000_t75" stroked="false">
              <v:imagedata r:id="rId134" o:titl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19"/>
        </w:rPr>
      </w:pPr>
    </w:p>
    <w:tbl>
      <w:tblPr>
        <w:tblW w:w="0" w:type="auto"/>
        <w:jc w:val="left"/>
        <w:tblInd w:w="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63"/>
        <w:gridCol w:w="1272"/>
        <w:gridCol w:w="404"/>
        <w:gridCol w:w="1220"/>
        <w:gridCol w:w="1108"/>
        <w:gridCol w:w="1108"/>
        <w:gridCol w:w="1108"/>
        <w:gridCol w:w="1108"/>
        <w:gridCol w:w="1108"/>
        <w:gridCol w:w="623"/>
      </w:tblGrid>
      <w:tr>
        <w:trPr>
          <w:trHeight w:val="176" w:hRule="atLeast"/>
        </w:trPr>
        <w:tc>
          <w:tcPr>
            <w:tcW w:w="3735" w:type="dxa"/>
            <w:gridSpan w:val="2"/>
          </w:tcPr>
          <w:p>
            <w:pPr>
              <w:pStyle w:val="TableParagraph"/>
              <w:spacing w:line="125" w:lineRule="exact"/>
              <w:ind w:left="153"/>
              <w:rPr>
                <w:sz w:val="11"/>
              </w:rPr>
            </w:pPr>
            <w:r>
              <w:rPr>
                <w:sz w:val="11"/>
              </w:rPr>
              <w:t>a) As of July 1 - Unaudited</w:t>
            </w:r>
          </w:p>
        </w:tc>
        <w:tc>
          <w:tcPr>
            <w:tcW w:w="404" w:type="dxa"/>
          </w:tcPr>
          <w:p>
            <w:pPr>
              <w:pStyle w:val="TableParagraph"/>
              <w:spacing w:line="125" w:lineRule="exact"/>
              <w:ind w:left="28"/>
              <w:rPr>
                <w:sz w:val="11"/>
              </w:rPr>
            </w:pPr>
            <w:r>
              <w:rPr>
                <w:sz w:val="11"/>
              </w:rPr>
              <w:t>9791</w:t>
            </w:r>
          </w:p>
        </w:tc>
        <w:tc>
          <w:tcPr>
            <w:tcW w:w="1220" w:type="dxa"/>
          </w:tcPr>
          <w:p>
            <w:pPr>
              <w:pStyle w:val="TableParagraph"/>
              <w:spacing w:line="125" w:lineRule="exact"/>
              <w:ind w:right="53"/>
              <w:jc w:val="right"/>
              <w:rPr>
                <w:sz w:val="11"/>
              </w:rPr>
            </w:pPr>
            <w:r>
              <w:rPr>
                <w:sz w:val="11"/>
              </w:rPr>
              <w:t>2,386,933.00</w:t>
            </w:r>
          </w:p>
        </w:tc>
        <w:tc>
          <w:tcPr>
            <w:tcW w:w="1108" w:type="dxa"/>
          </w:tcPr>
          <w:p>
            <w:pPr>
              <w:pStyle w:val="TableParagraph"/>
              <w:spacing w:line="125" w:lineRule="exact"/>
              <w:ind w:right="52"/>
              <w:jc w:val="right"/>
              <w:rPr>
                <w:sz w:val="11"/>
              </w:rPr>
            </w:pPr>
            <w:r>
              <w:rPr>
                <w:sz w:val="11"/>
              </w:rPr>
              <w:t>33,952.00</w:t>
            </w:r>
          </w:p>
        </w:tc>
        <w:tc>
          <w:tcPr>
            <w:tcW w:w="1108" w:type="dxa"/>
          </w:tcPr>
          <w:p>
            <w:pPr>
              <w:pStyle w:val="TableParagraph"/>
              <w:spacing w:line="125" w:lineRule="exact"/>
              <w:ind w:right="52"/>
              <w:jc w:val="right"/>
              <w:rPr>
                <w:sz w:val="11"/>
              </w:rPr>
            </w:pPr>
            <w:r>
              <w:rPr>
                <w:sz w:val="11"/>
              </w:rPr>
              <w:t>2,420,885.00</w:t>
            </w:r>
          </w:p>
        </w:tc>
        <w:tc>
          <w:tcPr>
            <w:tcW w:w="1108" w:type="dxa"/>
          </w:tcPr>
          <w:p>
            <w:pPr>
              <w:pStyle w:val="TableParagraph"/>
              <w:spacing w:line="125" w:lineRule="exact"/>
              <w:ind w:right="51"/>
              <w:jc w:val="right"/>
              <w:rPr>
                <w:sz w:val="11"/>
              </w:rPr>
            </w:pPr>
            <w:r>
              <w:rPr>
                <w:sz w:val="11"/>
              </w:rPr>
              <w:t>2,500,530.00</w:t>
            </w:r>
          </w:p>
        </w:tc>
        <w:tc>
          <w:tcPr>
            <w:tcW w:w="1108" w:type="dxa"/>
          </w:tcPr>
          <w:p>
            <w:pPr>
              <w:pStyle w:val="TableParagraph"/>
              <w:spacing w:line="125" w:lineRule="exact"/>
              <w:ind w:right="50"/>
              <w:jc w:val="right"/>
              <w:rPr>
                <w:sz w:val="11"/>
              </w:rPr>
            </w:pPr>
            <w:r>
              <w:rPr>
                <w:sz w:val="11"/>
              </w:rPr>
              <w:t>85,379.00</w:t>
            </w:r>
          </w:p>
        </w:tc>
        <w:tc>
          <w:tcPr>
            <w:tcW w:w="1108" w:type="dxa"/>
          </w:tcPr>
          <w:p>
            <w:pPr>
              <w:pStyle w:val="TableParagraph"/>
              <w:spacing w:line="125" w:lineRule="exact"/>
              <w:ind w:right="49"/>
              <w:jc w:val="right"/>
              <w:rPr>
                <w:sz w:val="11"/>
              </w:rPr>
            </w:pPr>
            <w:r>
              <w:rPr>
                <w:sz w:val="11"/>
              </w:rPr>
              <w:t>2,585,909.00</w:t>
            </w:r>
          </w:p>
        </w:tc>
        <w:tc>
          <w:tcPr>
            <w:tcW w:w="623" w:type="dxa"/>
          </w:tcPr>
          <w:p>
            <w:pPr>
              <w:pStyle w:val="TableParagraph"/>
              <w:spacing w:line="125" w:lineRule="exact"/>
              <w:ind w:right="29"/>
              <w:jc w:val="right"/>
              <w:rPr>
                <w:sz w:val="11"/>
              </w:rPr>
            </w:pPr>
            <w:r>
              <w:rPr>
                <w:sz w:val="11"/>
              </w:rPr>
              <w:t>6.8%</w:t>
            </w:r>
          </w:p>
        </w:tc>
      </w:tr>
      <w:tr>
        <w:trPr>
          <w:trHeight w:val="229" w:hRule="atLeast"/>
        </w:trPr>
        <w:tc>
          <w:tcPr>
            <w:tcW w:w="3735" w:type="dxa"/>
            <w:gridSpan w:val="2"/>
          </w:tcPr>
          <w:p>
            <w:pPr>
              <w:pStyle w:val="TableParagraph"/>
              <w:spacing w:before="50"/>
              <w:ind w:left="153"/>
              <w:rPr>
                <w:sz w:val="11"/>
              </w:rPr>
            </w:pPr>
            <w:r>
              <w:rPr>
                <w:sz w:val="11"/>
              </w:rPr>
              <w:t>b) Audit Adjustments</w:t>
            </w:r>
          </w:p>
        </w:tc>
        <w:tc>
          <w:tcPr>
            <w:tcW w:w="404" w:type="dxa"/>
          </w:tcPr>
          <w:p>
            <w:pPr>
              <w:pStyle w:val="TableParagraph"/>
              <w:spacing w:before="50"/>
              <w:ind w:left="28"/>
              <w:rPr>
                <w:sz w:val="11"/>
              </w:rPr>
            </w:pPr>
            <w:r>
              <w:rPr>
                <w:sz w:val="11"/>
              </w:rPr>
              <w:t>9793</w:t>
            </w:r>
          </w:p>
        </w:tc>
        <w:tc>
          <w:tcPr>
            <w:tcW w:w="1220" w:type="dxa"/>
          </w:tcPr>
          <w:p>
            <w:pPr>
              <w:pStyle w:val="TableParagraph"/>
              <w:spacing w:before="50"/>
              <w:ind w:right="53"/>
              <w:jc w:val="right"/>
              <w:rPr>
                <w:sz w:val="11"/>
              </w:rPr>
            </w:pPr>
            <w:r>
              <w:rPr>
                <w:sz w:val="11"/>
              </w:rPr>
              <w:t>0.00</w:t>
            </w:r>
          </w:p>
        </w:tc>
        <w:tc>
          <w:tcPr>
            <w:tcW w:w="1108" w:type="dxa"/>
          </w:tcPr>
          <w:p>
            <w:pPr>
              <w:pStyle w:val="TableParagraph"/>
              <w:spacing w:before="50"/>
              <w:ind w:right="52"/>
              <w:jc w:val="right"/>
              <w:rPr>
                <w:sz w:val="11"/>
              </w:rPr>
            </w:pPr>
            <w:r>
              <w:rPr>
                <w:sz w:val="11"/>
              </w:rPr>
              <w:t>0.00</w:t>
            </w:r>
          </w:p>
        </w:tc>
        <w:tc>
          <w:tcPr>
            <w:tcW w:w="1108" w:type="dxa"/>
          </w:tcPr>
          <w:p>
            <w:pPr>
              <w:pStyle w:val="TableParagraph"/>
              <w:spacing w:before="50"/>
              <w:ind w:right="51"/>
              <w:jc w:val="right"/>
              <w:rPr>
                <w:sz w:val="11"/>
              </w:rPr>
            </w:pPr>
            <w:r>
              <w:rPr>
                <w:sz w:val="11"/>
              </w:rPr>
              <w:t>0.00</w:t>
            </w:r>
          </w:p>
        </w:tc>
        <w:tc>
          <w:tcPr>
            <w:tcW w:w="1108" w:type="dxa"/>
          </w:tcPr>
          <w:p>
            <w:pPr>
              <w:pStyle w:val="TableParagraph"/>
              <w:spacing w:before="50"/>
              <w:ind w:right="50"/>
              <w:jc w:val="right"/>
              <w:rPr>
                <w:sz w:val="11"/>
              </w:rPr>
            </w:pPr>
            <w:r>
              <w:rPr>
                <w:sz w:val="11"/>
              </w:rPr>
              <w:t>0.00</w:t>
            </w:r>
          </w:p>
        </w:tc>
        <w:tc>
          <w:tcPr>
            <w:tcW w:w="1108" w:type="dxa"/>
          </w:tcPr>
          <w:p>
            <w:pPr>
              <w:pStyle w:val="TableParagraph"/>
              <w:spacing w:before="50"/>
              <w:ind w:right="49"/>
              <w:jc w:val="right"/>
              <w:rPr>
                <w:sz w:val="11"/>
              </w:rPr>
            </w:pPr>
            <w:r>
              <w:rPr>
                <w:sz w:val="11"/>
              </w:rPr>
              <w:t>0.00</w:t>
            </w:r>
          </w:p>
        </w:tc>
        <w:tc>
          <w:tcPr>
            <w:tcW w:w="1108" w:type="dxa"/>
          </w:tcPr>
          <w:p>
            <w:pPr>
              <w:pStyle w:val="TableParagraph"/>
              <w:spacing w:before="50"/>
              <w:ind w:right="49"/>
              <w:jc w:val="right"/>
              <w:rPr>
                <w:sz w:val="11"/>
              </w:rPr>
            </w:pPr>
            <w:r>
              <w:rPr>
                <w:sz w:val="11"/>
              </w:rPr>
              <w:t>0.00</w:t>
            </w:r>
          </w:p>
        </w:tc>
        <w:tc>
          <w:tcPr>
            <w:tcW w:w="623" w:type="dxa"/>
          </w:tcPr>
          <w:p>
            <w:pPr>
              <w:pStyle w:val="TableParagraph"/>
              <w:spacing w:before="50"/>
              <w:ind w:right="29"/>
              <w:jc w:val="right"/>
              <w:rPr>
                <w:sz w:val="11"/>
              </w:rPr>
            </w:pPr>
            <w:r>
              <w:rPr>
                <w:sz w:val="11"/>
              </w:rPr>
              <w:t>0.0%</w:t>
            </w:r>
          </w:p>
        </w:tc>
      </w:tr>
      <w:tr>
        <w:trPr>
          <w:trHeight w:val="230" w:hRule="atLeast"/>
        </w:trPr>
        <w:tc>
          <w:tcPr>
            <w:tcW w:w="3735" w:type="dxa"/>
            <w:gridSpan w:val="2"/>
          </w:tcPr>
          <w:p>
            <w:pPr>
              <w:pStyle w:val="TableParagraph"/>
              <w:spacing w:before="51"/>
              <w:ind w:left="153"/>
              <w:rPr>
                <w:sz w:val="11"/>
              </w:rPr>
            </w:pPr>
            <w:r>
              <w:rPr>
                <w:sz w:val="11"/>
              </w:rPr>
              <w:t>c) As of July 1 - Audited (F1a + F1b)</w:t>
            </w:r>
          </w:p>
        </w:tc>
        <w:tc>
          <w:tcPr>
            <w:tcW w:w="404" w:type="dxa"/>
          </w:tcPr>
          <w:p>
            <w:pPr>
              <w:pStyle w:val="TableParagraph"/>
              <w:rPr>
                <w:rFonts w:ascii="Times New Roman"/>
                <w:sz w:val="10"/>
              </w:rPr>
            </w:pPr>
          </w:p>
        </w:tc>
        <w:tc>
          <w:tcPr>
            <w:tcW w:w="1220" w:type="dxa"/>
          </w:tcPr>
          <w:p>
            <w:pPr>
              <w:pStyle w:val="TableParagraph"/>
              <w:spacing w:before="51"/>
              <w:ind w:right="53"/>
              <w:jc w:val="right"/>
              <w:rPr>
                <w:sz w:val="11"/>
              </w:rPr>
            </w:pPr>
            <w:r>
              <w:rPr>
                <w:sz w:val="11"/>
              </w:rPr>
              <w:t>2,386,933.00</w:t>
            </w:r>
          </w:p>
        </w:tc>
        <w:tc>
          <w:tcPr>
            <w:tcW w:w="1108" w:type="dxa"/>
          </w:tcPr>
          <w:p>
            <w:pPr>
              <w:pStyle w:val="TableParagraph"/>
              <w:spacing w:before="51"/>
              <w:ind w:right="52"/>
              <w:jc w:val="right"/>
              <w:rPr>
                <w:sz w:val="11"/>
              </w:rPr>
            </w:pPr>
            <w:r>
              <w:rPr>
                <w:sz w:val="11"/>
              </w:rPr>
              <w:t>33,952.00</w:t>
            </w:r>
          </w:p>
        </w:tc>
        <w:tc>
          <w:tcPr>
            <w:tcW w:w="1108" w:type="dxa"/>
          </w:tcPr>
          <w:p>
            <w:pPr>
              <w:pStyle w:val="TableParagraph"/>
              <w:spacing w:before="51"/>
              <w:ind w:right="52"/>
              <w:jc w:val="right"/>
              <w:rPr>
                <w:sz w:val="11"/>
              </w:rPr>
            </w:pPr>
            <w:r>
              <w:rPr>
                <w:sz w:val="11"/>
              </w:rPr>
              <w:t>2,420,885.00</w:t>
            </w:r>
          </w:p>
        </w:tc>
        <w:tc>
          <w:tcPr>
            <w:tcW w:w="1108" w:type="dxa"/>
          </w:tcPr>
          <w:p>
            <w:pPr>
              <w:pStyle w:val="TableParagraph"/>
              <w:spacing w:before="51"/>
              <w:ind w:right="51"/>
              <w:jc w:val="right"/>
              <w:rPr>
                <w:sz w:val="11"/>
              </w:rPr>
            </w:pPr>
            <w:r>
              <w:rPr>
                <w:sz w:val="11"/>
              </w:rPr>
              <w:t>2,500,530.00</w:t>
            </w:r>
          </w:p>
        </w:tc>
        <w:tc>
          <w:tcPr>
            <w:tcW w:w="1108" w:type="dxa"/>
          </w:tcPr>
          <w:p>
            <w:pPr>
              <w:pStyle w:val="TableParagraph"/>
              <w:spacing w:before="51"/>
              <w:ind w:right="50"/>
              <w:jc w:val="right"/>
              <w:rPr>
                <w:sz w:val="11"/>
              </w:rPr>
            </w:pPr>
            <w:r>
              <w:rPr>
                <w:sz w:val="11"/>
              </w:rPr>
              <w:t>85,379.00</w:t>
            </w:r>
          </w:p>
        </w:tc>
        <w:tc>
          <w:tcPr>
            <w:tcW w:w="1108" w:type="dxa"/>
          </w:tcPr>
          <w:p>
            <w:pPr>
              <w:pStyle w:val="TableParagraph"/>
              <w:spacing w:before="51"/>
              <w:ind w:right="49"/>
              <w:jc w:val="right"/>
              <w:rPr>
                <w:sz w:val="11"/>
              </w:rPr>
            </w:pPr>
            <w:r>
              <w:rPr>
                <w:sz w:val="11"/>
              </w:rPr>
              <w:t>2,585,909.00</w:t>
            </w:r>
          </w:p>
        </w:tc>
        <w:tc>
          <w:tcPr>
            <w:tcW w:w="623" w:type="dxa"/>
          </w:tcPr>
          <w:p>
            <w:pPr>
              <w:pStyle w:val="TableParagraph"/>
              <w:spacing w:before="51"/>
              <w:ind w:right="29"/>
              <w:jc w:val="right"/>
              <w:rPr>
                <w:sz w:val="11"/>
              </w:rPr>
            </w:pPr>
            <w:r>
              <w:rPr>
                <w:sz w:val="11"/>
              </w:rPr>
              <w:t>6.8%</w:t>
            </w:r>
          </w:p>
        </w:tc>
      </w:tr>
      <w:tr>
        <w:trPr>
          <w:trHeight w:val="230" w:hRule="atLeast"/>
        </w:trPr>
        <w:tc>
          <w:tcPr>
            <w:tcW w:w="3735" w:type="dxa"/>
            <w:gridSpan w:val="2"/>
          </w:tcPr>
          <w:p>
            <w:pPr>
              <w:pStyle w:val="TableParagraph"/>
              <w:spacing w:before="51"/>
              <w:ind w:left="153"/>
              <w:rPr>
                <w:sz w:val="11"/>
              </w:rPr>
            </w:pPr>
            <w:r>
              <w:rPr>
                <w:sz w:val="11"/>
              </w:rPr>
              <w:t>d) Other Restatements</w:t>
            </w:r>
          </w:p>
        </w:tc>
        <w:tc>
          <w:tcPr>
            <w:tcW w:w="404" w:type="dxa"/>
          </w:tcPr>
          <w:p>
            <w:pPr>
              <w:pStyle w:val="TableParagraph"/>
              <w:spacing w:before="51"/>
              <w:ind w:left="28"/>
              <w:rPr>
                <w:sz w:val="11"/>
              </w:rPr>
            </w:pPr>
            <w:r>
              <w:rPr>
                <w:sz w:val="11"/>
              </w:rPr>
              <w:t>9795</w:t>
            </w:r>
          </w:p>
        </w:tc>
        <w:tc>
          <w:tcPr>
            <w:tcW w:w="1220" w:type="dxa"/>
          </w:tcPr>
          <w:p>
            <w:pPr>
              <w:pStyle w:val="TableParagraph"/>
              <w:spacing w:before="51"/>
              <w:ind w:right="53"/>
              <w:jc w:val="right"/>
              <w:rPr>
                <w:sz w:val="11"/>
              </w:rPr>
            </w:pPr>
            <w:r>
              <w:rPr>
                <w:sz w:val="11"/>
              </w:rPr>
              <w:t>0.00</w:t>
            </w:r>
          </w:p>
        </w:tc>
        <w:tc>
          <w:tcPr>
            <w:tcW w:w="1108" w:type="dxa"/>
          </w:tcPr>
          <w:p>
            <w:pPr>
              <w:pStyle w:val="TableParagraph"/>
              <w:spacing w:before="51"/>
              <w:ind w:right="52"/>
              <w:jc w:val="right"/>
              <w:rPr>
                <w:sz w:val="11"/>
              </w:rPr>
            </w:pPr>
            <w:r>
              <w:rPr>
                <w:sz w:val="11"/>
              </w:rPr>
              <w:t>0.00</w:t>
            </w:r>
          </w:p>
        </w:tc>
        <w:tc>
          <w:tcPr>
            <w:tcW w:w="1108" w:type="dxa"/>
          </w:tcPr>
          <w:p>
            <w:pPr>
              <w:pStyle w:val="TableParagraph"/>
              <w:spacing w:before="51"/>
              <w:ind w:right="51"/>
              <w:jc w:val="right"/>
              <w:rPr>
                <w:sz w:val="11"/>
              </w:rPr>
            </w:pPr>
            <w:r>
              <w:rPr>
                <w:sz w:val="11"/>
              </w:rPr>
              <w:t>0.00</w:t>
            </w:r>
          </w:p>
        </w:tc>
        <w:tc>
          <w:tcPr>
            <w:tcW w:w="1108" w:type="dxa"/>
          </w:tcPr>
          <w:p>
            <w:pPr>
              <w:pStyle w:val="TableParagraph"/>
              <w:spacing w:before="51"/>
              <w:ind w:right="50"/>
              <w:jc w:val="right"/>
              <w:rPr>
                <w:sz w:val="11"/>
              </w:rPr>
            </w:pPr>
            <w:r>
              <w:rPr>
                <w:sz w:val="11"/>
              </w:rPr>
              <w:t>0.00</w:t>
            </w:r>
          </w:p>
        </w:tc>
        <w:tc>
          <w:tcPr>
            <w:tcW w:w="1108" w:type="dxa"/>
          </w:tcPr>
          <w:p>
            <w:pPr>
              <w:pStyle w:val="TableParagraph"/>
              <w:spacing w:before="51"/>
              <w:ind w:right="49"/>
              <w:jc w:val="right"/>
              <w:rPr>
                <w:sz w:val="11"/>
              </w:rPr>
            </w:pPr>
            <w:r>
              <w:rPr>
                <w:sz w:val="11"/>
              </w:rPr>
              <w:t>0.00</w:t>
            </w:r>
          </w:p>
        </w:tc>
        <w:tc>
          <w:tcPr>
            <w:tcW w:w="1108" w:type="dxa"/>
          </w:tcPr>
          <w:p>
            <w:pPr>
              <w:pStyle w:val="TableParagraph"/>
              <w:spacing w:before="51"/>
              <w:ind w:right="49"/>
              <w:jc w:val="right"/>
              <w:rPr>
                <w:sz w:val="11"/>
              </w:rPr>
            </w:pPr>
            <w:r>
              <w:rPr>
                <w:sz w:val="11"/>
              </w:rPr>
              <w:t>0.00</w:t>
            </w:r>
          </w:p>
        </w:tc>
        <w:tc>
          <w:tcPr>
            <w:tcW w:w="623" w:type="dxa"/>
          </w:tcPr>
          <w:p>
            <w:pPr>
              <w:pStyle w:val="TableParagraph"/>
              <w:spacing w:before="51"/>
              <w:ind w:right="29"/>
              <w:jc w:val="right"/>
              <w:rPr>
                <w:sz w:val="11"/>
              </w:rPr>
            </w:pPr>
            <w:r>
              <w:rPr>
                <w:sz w:val="11"/>
              </w:rPr>
              <w:t>0.0%</w:t>
            </w:r>
          </w:p>
        </w:tc>
      </w:tr>
      <w:tr>
        <w:trPr>
          <w:trHeight w:val="230" w:hRule="atLeast"/>
        </w:trPr>
        <w:tc>
          <w:tcPr>
            <w:tcW w:w="3735" w:type="dxa"/>
            <w:gridSpan w:val="2"/>
          </w:tcPr>
          <w:p>
            <w:pPr>
              <w:pStyle w:val="TableParagraph"/>
              <w:spacing w:before="51"/>
              <w:ind w:left="153"/>
              <w:rPr>
                <w:sz w:val="11"/>
              </w:rPr>
            </w:pPr>
            <w:r>
              <w:rPr>
                <w:sz w:val="11"/>
              </w:rPr>
              <w:t>e) Adjusted Beginning Balance (F1c + F1d)</w:t>
            </w:r>
          </w:p>
        </w:tc>
        <w:tc>
          <w:tcPr>
            <w:tcW w:w="404" w:type="dxa"/>
          </w:tcPr>
          <w:p>
            <w:pPr>
              <w:pStyle w:val="TableParagraph"/>
              <w:rPr>
                <w:rFonts w:ascii="Times New Roman"/>
                <w:sz w:val="10"/>
              </w:rPr>
            </w:pPr>
          </w:p>
        </w:tc>
        <w:tc>
          <w:tcPr>
            <w:tcW w:w="1220" w:type="dxa"/>
          </w:tcPr>
          <w:p>
            <w:pPr>
              <w:pStyle w:val="TableParagraph"/>
              <w:spacing w:before="51"/>
              <w:ind w:right="53"/>
              <w:jc w:val="right"/>
              <w:rPr>
                <w:sz w:val="11"/>
              </w:rPr>
            </w:pPr>
            <w:r>
              <w:rPr>
                <w:sz w:val="11"/>
              </w:rPr>
              <w:t>2,386,933.00</w:t>
            </w:r>
          </w:p>
        </w:tc>
        <w:tc>
          <w:tcPr>
            <w:tcW w:w="1108" w:type="dxa"/>
          </w:tcPr>
          <w:p>
            <w:pPr>
              <w:pStyle w:val="TableParagraph"/>
              <w:spacing w:before="51"/>
              <w:ind w:right="52"/>
              <w:jc w:val="right"/>
              <w:rPr>
                <w:sz w:val="11"/>
              </w:rPr>
            </w:pPr>
            <w:r>
              <w:rPr>
                <w:sz w:val="11"/>
              </w:rPr>
              <w:t>33,952.00</w:t>
            </w:r>
          </w:p>
        </w:tc>
        <w:tc>
          <w:tcPr>
            <w:tcW w:w="1108" w:type="dxa"/>
          </w:tcPr>
          <w:p>
            <w:pPr>
              <w:pStyle w:val="TableParagraph"/>
              <w:spacing w:before="51"/>
              <w:ind w:right="52"/>
              <w:jc w:val="right"/>
              <w:rPr>
                <w:sz w:val="11"/>
              </w:rPr>
            </w:pPr>
            <w:r>
              <w:rPr>
                <w:sz w:val="11"/>
              </w:rPr>
              <w:t>2,420,885.00</w:t>
            </w:r>
          </w:p>
        </w:tc>
        <w:tc>
          <w:tcPr>
            <w:tcW w:w="1108" w:type="dxa"/>
          </w:tcPr>
          <w:p>
            <w:pPr>
              <w:pStyle w:val="TableParagraph"/>
              <w:spacing w:before="51"/>
              <w:ind w:right="51"/>
              <w:jc w:val="right"/>
              <w:rPr>
                <w:sz w:val="11"/>
              </w:rPr>
            </w:pPr>
            <w:r>
              <w:rPr>
                <w:sz w:val="11"/>
              </w:rPr>
              <w:t>2,500,530.00</w:t>
            </w:r>
          </w:p>
        </w:tc>
        <w:tc>
          <w:tcPr>
            <w:tcW w:w="1108" w:type="dxa"/>
          </w:tcPr>
          <w:p>
            <w:pPr>
              <w:pStyle w:val="TableParagraph"/>
              <w:spacing w:before="51"/>
              <w:ind w:right="50"/>
              <w:jc w:val="right"/>
              <w:rPr>
                <w:sz w:val="11"/>
              </w:rPr>
            </w:pPr>
            <w:r>
              <w:rPr>
                <w:sz w:val="11"/>
              </w:rPr>
              <w:t>85,379.00</w:t>
            </w:r>
          </w:p>
        </w:tc>
        <w:tc>
          <w:tcPr>
            <w:tcW w:w="1108" w:type="dxa"/>
          </w:tcPr>
          <w:p>
            <w:pPr>
              <w:pStyle w:val="TableParagraph"/>
              <w:spacing w:before="51"/>
              <w:ind w:right="49"/>
              <w:jc w:val="right"/>
              <w:rPr>
                <w:sz w:val="11"/>
              </w:rPr>
            </w:pPr>
            <w:r>
              <w:rPr>
                <w:sz w:val="11"/>
              </w:rPr>
              <w:t>2,585,909.00</w:t>
            </w:r>
          </w:p>
        </w:tc>
        <w:tc>
          <w:tcPr>
            <w:tcW w:w="623" w:type="dxa"/>
          </w:tcPr>
          <w:p>
            <w:pPr>
              <w:pStyle w:val="TableParagraph"/>
              <w:spacing w:before="51"/>
              <w:ind w:right="29"/>
              <w:jc w:val="right"/>
              <w:rPr>
                <w:sz w:val="11"/>
              </w:rPr>
            </w:pPr>
            <w:r>
              <w:rPr>
                <w:sz w:val="11"/>
              </w:rPr>
              <w:t>6.8%</w:t>
            </w:r>
          </w:p>
        </w:tc>
      </w:tr>
      <w:tr>
        <w:trPr>
          <w:trHeight w:val="180" w:hRule="atLeast"/>
        </w:trPr>
        <w:tc>
          <w:tcPr>
            <w:tcW w:w="3735" w:type="dxa"/>
            <w:gridSpan w:val="2"/>
          </w:tcPr>
          <w:p>
            <w:pPr>
              <w:pStyle w:val="TableParagraph"/>
              <w:spacing w:line="110" w:lineRule="exact" w:before="51"/>
              <w:ind w:left="28"/>
              <w:rPr>
                <w:sz w:val="11"/>
              </w:rPr>
            </w:pPr>
            <w:r>
              <w:rPr>
                <w:sz w:val="11"/>
              </w:rPr>
              <w:t>2) Ending Balance, June 30 (E + F1e)</w:t>
            </w:r>
          </w:p>
        </w:tc>
        <w:tc>
          <w:tcPr>
            <w:tcW w:w="404" w:type="dxa"/>
          </w:tcPr>
          <w:p>
            <w:pPr>
              <w:pStyle w:val="TableParagraph"/>
              <w:rPr>
                <w:rFonts w:ascii="Times New Roman"/>
                <w:sz w:val="10"/>
              </w:rPr>
            </w:pPr>
          </w:p>
        </w:tc>
        <w:tc>
          <w:tcPr>
            <w:tcW w:w="1220" w:type="dxa"/>
          </w:tcPr>
          <w:p>
            <w:pPr>
              <w:pStyle w:val="TableParagraph"/>
              <w:spacing w:line="110" w:lineRule="exact" w:before="51"/>
              <w:ind w:right="53"/>
              <w:jc w:val="right"/>
              <w:rPr>
                <w:sz w:val="11"/>
              </w:rPr>
            </w:pPr>
            <w:r>
              <w:rPr>
                <w:sz w:val="11"/>
              </w:rPr>
              <w:t>2,500,530.00</w:t>
            </w:r>
          </w:p>
        </w:tc>
        <w:tc>
          <w:tcPr>
            <w:tcW w:w="1108" w:type="dxa"/>
          </w:tcPr>
          <w:p>
            <w:pPr>
              <w:pStyle w:val="TableParagraph"/>
              <w:spacing w:line="110" w:lineRule="exact" w:before="51"/>
              <w:ind w:right="52"/>
              <w:jc w:val="right"/>
              <w:rPr>
                <w:sz w:val="11"/>
              </w:rPr>
            </w:pPr>
            <w:r>
              <w:rPr>
                <w:sz w:val="11"/>
              </w:rPr>
              <w:t>85,379.00</w:t>
            </w:r>
          </w:p>
        </w:tc>
        <w:tc>
          <w:tcPr>
            <w:tcW w:w="1108" w:type="dxa"/>
          </w:tcPr>
          <w:p>
            <w:pPr>
              <w:pStyle w:val="TableParagraph"/>
              <w:spacing w:line="110" w:lineRule="exact" w:before="51"/>
              <w:ind w:right="52"/>
              <w:jc w:val="right"/>
              <w:rPr>
                <w:sz w:val="11"/>
              </w:rPr>
            </w:pPr>
            <w:r>
              <w:rPr>
                <w:sz w:val="11"/>
              </w:rPr>
              <w:t>2,585,909.00</w:t>
            </w:r>
          </w:p>
        </w:tc>
        <w:tc>
          <w:tcPr>
            <w:tcW w:w="1108" w:type="dxa"/>
          </w:tcPr>
          <w:p>
            <w:pPr>
              <w:pStyle w:val="TableParagraph"/>
              <w:spacing w:line="110" w:lineRule="exact" w:before="51"/>
              <w:ind w:right="51"/>
              <w:jc w:val="right"/>
              <w:rPr>
                <w:sz w:val="11"/>
              </w:rPr>
            </w:pPr>
            <w:r>
              <w:rPr>
                <w:sz w:val="11"/>
              </w:rPr>
              <w:t>2,541,978.00</w:t>
            </w:r>
          </w:p>
        </w:tc>
        <w:tc>
          <w:tcPr>
            <w:tcW w:w="1108" w:type="dxa"/>
          </w:tcPr>
          <w:p>
            <w:pPr>
              <w:pStyle w:val="TableParagraph"/>
              <w:spacing w:line="110" w:lineRule="exact" w:before="51"/>
              <w:ind w:right="50"/>
              <w:jc w:val="right"/>
              <w:rPr>
                <w:sz w:val="11"/>
              </w:rPr>
            </w:pPr>
            <w:r>
              <w:rPr>
                <w:sz w:val="11"/>
              </w:rPr>
              <w:t>25,290.00</w:t>
            </w:r>
          </w:p>
        </w:tc>
        <w:tc>
          <w:tcPr>
            <w:tcW w:w="1108" w:type="dxa"/>
          </w:tcPr>
          <w:p>
            <w:pPr>
              <w:pStyle w:val="TableParagraph"/>
              <w:spacing w:line="110" w:lineRule="exact" w:before="51"/>
              <w:ind w:right="49"/>
              <w:jc w:val="right"/>
              <w:rPr>
                <w:sz w:val="11"/>
              </w:rPr>
            </w:pPr>
            <w:r>
              <w:rPr>
                <w:sz w:val="11"/>
              </w:rPr>
              <w:t>2,567,268.00</w:t>
            </w:r>
          </w:p>
        </w:tc>
        <w:tc>
          <w:tcPr>
            <w:tcW w:w="623" w:type="dxa"/>
          </w:tcPr>
          <w:p>
            <w:pPr>
              <w:pStyle w:val="TableParagraph"/>
              <w:spacing w:line="110" w:lineRule="exact" w:before="51"/>
              <w:ind w:right="29"/>
              <w:jc w:val="right"/>
              <w:rPr>
                <w:sz w:val="11"/>
              </w:rPr>
            </w:pPr>
            <w:r>
              <w:rPr>
                <w:sz w:val="11"/>
              </w:rPr>
              <w:t>-0.7%</w:t>
            </w:r>
          </w:p>
        </w:tc>
      </w:tr>
      <w:tr>
        <w:trPr>
          <w:trHeight w:val="312" w:hRule="atLeast"/>
        </w:trPr>
        <w:tc>
          <w:tcPr>
            <w:tcW w:w="3735" w:type="dxa"/>
            <w:gridSpan w:val="2"/>
          </w:tcPr>
          <w:p>
            <w:pPr>
              <w:pStyle w:val="TableParagraph"/>
              <w:rPr>
                <w:sz w:val="15"/>
              </w:rPr>
            </w:pPr>
          </w:p>
          <w:p>
            <w:pPr>
              <w:pStyle w:val="TableParagraph"/>
              <w:spacing w:line="120" w:lineRule="exact"/>
              <w:ind w:left="153"/>
              <w:rPr>
                <w:sz w:val="11"/>
              </w:rPr>
            </w:pPr>
            <w:r>
              <w:rPr>
                <w:sz w:val="11"/>
              </w:rPr>
              <w:t>Components of Ending Fund Balance</w:t>
            </w:r>
          </w:p>
        </w:tc>
        <w:tc>
          <w:tcPr>
            <w:tcW w:w="404" w:type="dxa"/>
          </w:tcPr>
          <w:p>
            <w:pPr>
              <w:pStyle w:val="TableParagraph"/>
              <w:rPr>
                <w:rFonts w:ascii="Times New Roman"/>
                <w:sz w:val="10"/>
              </w:rPr>
            </w:pPr>
          </w:p>
        </w:tc>
        <w:tc>
          <w:tcPr>
            <w:tcW w:w="1220" w:type="dxa"/>
          </w:tcPr>
          <w:p>
            <w:pPr>
              <w:pStyle w:val="TableParagraph"/>
              <w:rPr>
                <w:rFonts w:ascii="Times New Roman"/>
                <w:sz w:val="10"/>
              </w:rPr>
            </w:pPr>
          </w:p>
        </w:tc>
        <w:tc>
          <w:tcPr>
            <w:tcW w:w="1108" w:type="dxa"/>
            <w:shd w:val="clear" w:color="auto" w:fill="DFDFDF"/>
          </w:tcPr>
          <w:p>
            <w:pPr>
              <w:pStyle w:val="TableParagraph"/>
              <w:rPr>
                <w:rFonts w:ascii="Times New Roman"/>
                <w:sz w:val="10"/>
              </w:rPr>
            </w:pPr>
          </w:p>
        </w:tc>
        <w:tc>
          <w:tcPr>
            <w:tcW w:w="1108" w:type="dxa"/>
          </w:tcPr>
          <w:p>
            <w:pPr>
              <w:pStyle w:val="TableParagraph"/>
              <w:rPr>
                <w:rFonts w:ascii="Times New Roman"/>
                <w:sz w:val="10"/>
              </w:rPr>
            </w:pPr>
          </w:p>
        </w:tc>
        <w:tc>
          <w:tcPr>
            <w:tcW w:w="1108" w:type="dxa"/>
          </w:tcPr>
          <w:p>
            <w:pPr>
              <w:pStyle w:val="TableParagraph"/>
              <w:rPr>
                <w:rFonts w:ascii="Times New Roman"/>
                <w:sz w:val="10"/>
              </w:rPr>
            </w:pPr>
          </w:p>
        </w:tc>
        <w:tc>
          <w:tcPr>
            <w:tcW w:w="1108" w:type="dxa"/>
            <w:shd w:val="clear" w:color="auto" w:fill="DFDFDF"/>
          </w:tcPr>
          <w:p>
            <w:pPr>
              <w:pStyle w:val="TableParagraph"/>
              <w:rPr>
                <w:rFonts w:ascii="Times New Roman"/>
                <w:sz w:val="10"/>
              </w:rPr>
            </w:pPr>
          </w:p>
        </w:tc>
        <w:tc>
          <w:tcPr>
            <w:tcW w:w="1108" w:type="dxa"/>
          </w:tcPr>
          <w:p>
            <w:pPr>
              <w:pStyle w:val="TableParagraph"/>
              <w:rPr>
                <w:rFonts w:ascii="Times New Roman"/>
                <w:sz w:val="10"/>
              </w:rPr>
            </w:pPr>
          </w:p>
        </w:tc>
        <w:tc>
          <w:tcPr>
            <w:tcW w:w="623" w:type="dxa"/>
          </w:tcPr>
          <w:p>
            <w:pPr>
              <w:pStyle w:val="TableParagraph"/>
              <w:rPr>
                <w:rFonts w:ascii="Times New Roman"/>
                <w:sz w:val="10"/>
              </w:rPr>
            </w:pPr>
          </w:p>
        </w:tc>
      </w:tr>
      <w:tr>
        <w:trPr>
          <w:trHeight w:val="151" w:hRule="atLeast"/>
        </w:trPr>
        <w:tc>
          <w:tcPr>
            <w:tcW w:w="3735" w:type="dxa"/>
            <w:gridSpan w:val="2"/>
          </w:tcPr>
          <w:p>
            <w:pPr>
              <w:pStyle w:val="TableParagraph"/>
              <w:spacing w:line="120" w:lineRule="exact" w:before="11"/>
              <w:ind w:left="153"/>
              <w:rPr>
                <w:sz w:val="11"/>
              </w:rPr>
            </w:pPr>
            <w:r>
              <w:rPr>
                <w:sz w:val="11"/>
              </w:rPr>
              <w:t>a) Nonspendable</w:t>
            </w:r>
          </w:p>
        </w:tc>
        <w:tc>
          <w:tcPr>
            <w:tcW w:w="404" w:type="dxa"/>
          </w:tcPr>
          <w:p>
            <w:pPr>
              <w:pStyle w:val="TableParagraph"/>
              <w:rPr>
                <w:rFonts w:ascii="Times New Roman"/>
                <w:sz w:val="8"/>
              </w:rPr>
            </w:pPr>
          </w:p>
        </w:tc>
        <w:tc>
          <w:tcPr>
            <w:tcW w:w="1220" w:type="dxa"/>
          </w:tcPr>
          <w:p>
            <w:pPr>
              <w:pStyle w:val="TableParagraph"/>
              <w:rPr>
                <w:rFonts w:ascii="Times New Roman"/>
                <w:sz w:val="8"/>
              </w:rPr>
            </w:pPr>
          </w:p>
        </w:tc>
        <w:tc>
          <w:tcPr>
            <w:tcW w:w="1108" w:type="dxa"/>
            <w:shd w:val="clear" w:color="auto" w:fill="DFDFDF"/>
          </w:tcPr>
          <w:p>
            <w:pPr>
              <w:pStyle w:val="TableParagraph"/>
              <w:rPr>
                <w:rFonts w:ascii="Times New Roman"/>
                <w:sz w:val="8"/>
              </w:rPr>
            </w:pPr>
          </w:p>
        </w:tc>
        <w:tc>
          <w:tcPr>
            <w:tcW w:w="1108" w:type="dxa"/>
          </w:tcPr>
          <w:p>
            <w:pPr>
              <w:pStyle w:val="TableParagraph"/>
              <w:rPr>
                <w:rFonts w:ascii="Times New Roman"/>
                <w:sz w:val="8"/>
              </w:rPr>
            </w:pPr>
          </w:p>
        </w:tc>
        <w:tc>
          <w:tcPr>
            <w:tcW w:w="1108" w:type="dxa"/>
          </w:tcPr>
          <w:p>
            <w:pPr>
              <w:pStyle w:val="TableParagraph"/>
              <w:rPr>
                <w:rFonts w:ascii="Times New Roman"/>
                <w:sz w:val="8"/>
              </w:rPr>
            </w:pPr>
          </w:p>
        </w:tc>
        <w:tc>
          <w:tcPr>
            <w:tcW w:w="1108" w:type="dxa"/>
            <w:shd w:val="clear" w:color="auto" w:fill="DFDFDF"/>
          </w:tcPr>
          <w:p>
            <w:pPr>
              <w:pStyle w:val="TableParagraph"/>
              <w:rPr>
                <w:rFonts w:ascii="Times New Roman"/>
                <w:sz w:val="8"/>
              </w:rPr>
            </w:pPr>
          </w:p>
        </w:tc>
        <w:tc>
          <w:tcPr>
            <w:tcW w:w="1108" w:type="dxa"/>
          </w:tcPr>
          <w:p>
            <w:pPr>
              <w:pStyle w:val="TableParagraph"/>
              <w:rPr>
                <w:rFonts w:ascii="Times New Roman"/>
                <w:sz w:val="8"/>
              </w:rPr>
            </w:pPr>
          </w:p>
        </w:tc>
        <w:tc>
          <w:tcPr>
            <w:tcW w:w="623" w:type="dxa"/>
          </w:tcPr>
          <w:p>
            <w:pPr>
              <w:pStyle w:val="TableParagraph"/>
              <w:rPr>
                <w:rFonts w:ascii="Times New Roman"/>
                <w:sz w:val="8"/>
              </w:rPr>
            </w:pPr>
          </w:p>
        </w:tc>
      </w:tr>
      <w:tr>
        <w:trPr>
          <w:trHeight w:val="141" w:hRule="atLeast"/>
        </w:trPr>
        <w:tc>
          <w:tcPr>
            <w:tcW w:w="3735" w:type="dxa"/>
            <w:gridSpan w:val="2"/>
          </w:tcPr>
          <w:p>
            <w:pPr>
              <w:pStyle w:val="TableParagraph"/>
              <w:spacing w:line="110" w:lineRule="exact" w:before="11"/>
              <w:ind w:left="277"/>
              <w:rPr>
                <w:sz w:val="11"/>
              </w:rPr>
            </w:pPr>
            <w:r>
              <w:rPr>
                <w:sz w:val="11"/>
              </w:rPr>
              <w:t>Revolving Cash</w:t>
            </w:r>
          </w:p>
        </w:tc>
        <w:tc>
          <w:tcPr>
            <w:tcW w:w="404" w:type="dxa"/>
          </w:tcPr>
          <w:p>
            <w:pPr>
              <w:pStyle w:val="TableParagraph"/>
              <w:spacing w:line="110" w:lineRule="exact" w:before="11"/>
              <w:ind w:left="28"/>
              <w:rPr>
                <w:sz w:val="11"/>
              </w:rPr>
            </w:pPr>
            <w:r>
              <w:rPr>
                <w:sz w:val="11"/>
              </w:rPr>
              <w:t>9711</w:t>
            </w:r>
          </w:p>
        </w:tc>
        <w:tc>
          <w:tcPr>
            <w:tcW w:w="1220" w:type="dxa"/>
          </w:tcPr>
          <w:p>
            <w:pPr>
              <w:pStyle w:val="TableParagraph"/>
              <w:spacing w:line="110" w:lineRule="exact" w:before="11"/>
              <w:ind w:right="53"/>
              <w:jc w:val="right"/>
              <w:rPr>
                <w:sz w:val="11"/>
              </w:rPr>
            </w:pPr>
            <w:r>
              <w:rPr>
                <w:sz w:val="11"/>
              </w:rPr>
              <w:t>100.00</w:t>
            </w:r>
          </w:p>
        </w:tc>
        <w:tc>
          <w:tcPr>
            <w:tcW w:w="1108" w:type="dxa"/>
            <w:shd w:val="clear" w:color="auto" w:fill="DFDFDF"/>
          </w:tcPr>
          <w:p>
            <w:pPr>
              <w:pStyle w:val="TableParagraph"/>
              <w:spacing w:line="110" w:lineRule="exact" w:before="11"/>
              <w:ind w:right="52"/>
              <w:jc w:val="right"/>
              <w:rPr>
                <w:sz w:val="11"/>
              </w:rPr>
            </w:pPr>
            <w:r>
              <w:rPr>
                <w:sz w:val="11"/>
              </w:rPr>
              <w:t>0.00</w:t>
            </w:r>
          </w:p>
        </w:tc>
        <w:tc>
          <w:tcPr>
            <w:tcW w:w="1108" w:type="dxa"/>
          </w:tcPr>
          <w:p>
            <w:pPr>
              <w:pStyle w:val="TableParagraph"/>
              <w:spacing w:line="110" w:lineRule="exact" w:before="11"/>
              <w:ind w:right="51"/>
              <w:jc w:val="right"/>
              <w:rPr>
                <w:sz w:val="11"/>
              </w:rPr>
            </w:pPr>
            <w:r>
              <w:rPr>
                <w:sz w:val="11"/>
              </w:rPr>
              <w:t>100.00</w:t>
            </w:r>
          </w:p>
        </w:tc>
        <w:tc>
          <w:tcPr>
            <w:tcW w:w="1108" w:type="dxa"/>
          </w:tcPr>
          <w:p>
            <w:pPr>
              <w:pStyle w:val="TableParagraph"/>
              <w:spacing w:line="110" w:lineRule="exact" w:before="11"/>
              <w:ind w:right="50"/>
              <w:jc w:val="right"/>
              <w:rPr>
                <w:sz w:val="11"/>
              </w:rPr>
            </w:pPr>
            <w:r>
              <w:rPr>
                <w:sz w:val="11"/>
              </w:rPr>
              <w:t>0.00</w:t>
            </w:r>
          </w:p>
        </w:tc>
        <w:tc>
          <w:tcPr>
            <w:tcW w:w="1108" w:type="dxa"/>
            <w:shd w:val="clear" w:color="auto" w:fill="DFDFDF"/>
          </w:tcPr>
          <w:p>
            <w:pPr>
              <w:pStyle w:val="TableParagraph"/>
              <w:spacing w:line="110" w:lineRule="exact" w:before="11"/>
              <w:ind w:right="49"/>
              <w:jc w:val="right"/>
              <w:rPr>
                <w:sz w:val="11"/>
              </w:rPr>
            </w:pPr>
            <w:r>
              <w:rPr>
                <w:sz w:val="11"/>
              </w:rPr>
              <w:t>0.00</w:t>
            </w:r>
          </w:p>
        </w:tc>
        <w:tc>
          <w:tcPr>
            <w:tcW w:w="1108" w:type="dxa"/>
          </w:tcPr>
          <w:p>
            <w:pPr>
              <w:pStyle w:val="TableParagraph"/>
              <w:spacing w:line="110" w:lineRule="exact" w:before="11"/>
              <w:ind w:right="49"/>
              <w:jc w:val="right"/>
              <w:rPr>
                <w:sz w:val="11"/>
              </w:rPr>
            </w:pPr>
            <w:r>
              <w:rPr>
                <w:sz w:val="11"/>
              </w:rPr>
              <w:t>0.00</w:t>
            </w:r>
          </w:p>
        </w:tc>
        <w:tc>
          <w:tcPr>
            <w:tcW w:w="623" w:type="dxa"/>
          </w:tcPr>
          <w:p>
            <w:pPr>
              <w:pStyle w:val="TableParagraph"/>
              <w:spacing w:line="110" w:lineRule="exact" w:before="11"/>
              <w:ind w:right="30"/>
              <w:jc w:val="right"/>
              <w:rPr>
                <w:sz w:val="11"/>
              </w:rPr>
            </w:pPr>
            <w:r>
              <w:rPr>
                <w:sz w:val="11"/>
              </w:rPr>
              <w:t>-100.0%</w:t>
            </w:r>
          </w:p>
        </w:tc>
      </w:tr>
      <w:tr>
        <w:trPr>
          <w:trHeight w:val="280" w:hRule="atLeast"/>
        </w:trPr>
        <w:tc>
          <w:tcPr>
            <w:tcW w:w="3735" w:type="dxa"/>
            <w:gridSpan w:val="2"/>
          </w:tcPr>
          <w:p>
            <w:pPr>
              <w:pStyle w:val="TableParagraph"/>
              <w:spacing w:before="101"/>
              <w:ind w:left="277"/>
              <w:rPr>
                <w:sz w:val="11"/>
              </w:rPr>
            </w:pPr>
            <w:r>
              <w:rPr>
                <w:sz w:val="11"/>
              </w:rPr>
              <w:t>Stores</w:t>
            </w:r>
          </w:p>
        </w:tc>
        <w:tc>
          <w:tcPr>
            <w:tcW w:w="404" w:type="dxa"/>
          </w:tcPr>
          <w:p>
            <w:pPr>
              <w:pStyle w:val="TableParagraph"/>
              <w:spacing w:before="101"/>
              <w:ind w:left="28"/>
              <w:rPr>
                <w:sz w:val="11"/>
              </w:rPr>
            </w:pPr>
            <w:r>
              <w:rPr>
                <w:sz w:val="11"/>
              </w:rPr>
              <w:t>9712</w:t>
            </w:r>
          </w:p>
        </w:tc>
        <w:tc>
          <w:tcPr>
            <w:tcW w:w="1220" w:type="dxa"/>
          </w:tcPr>
          <w:p>
            <w:pPr>
              <w:pStyle w:val="TableParagraph"/>
              <w:spacing w:before="101"/>
              <w:ind w:right="53"/>
              <w:jc w:val="right"/>
              <w:rPr>
                <w:sz w:val="11"/>
              </w:rPr>
            </w:pPr>
            <w:r>
              <w:rPr>
                <w:sz w:val="11"/>
              </w:rPr>
              <w:t>0.00</w:t>
            </w:r>
          </w:p>
        </w:tc>
        <w:tc>
          <w:tcPr>
            <w:tcW w:w="1108" w:type="dxa"/>
          </w:tcPr>
          <w:p>
            <w:pPr>
              <w:pStyle w:val="TableParagraph"/>
              <w:spacing w:before="101"/>
              <w:ind w:right="52"/>
              <w:jc w:val="right"/>
              <w:rPr>
                <w:sz w:val="11"/>
              </w:rPr>
            </w:pPr>
            <w:r>
              <w:rPr>
                <w:sz w:val="11"/>
              </w:rPr>
              <w:t>0.00</w:t>
            </w:r>
          </w:p>
        </w:tc>
        <w:tc>
          <w:tcPr>
            <w:tcW w:w="1108" w:type="dxa"/>
          </w:tcPr>
          <w:p>
            <w:pPr>
              <w:pStyle w:val="TableParagraph"/>
              <w:spacing w:before="101"/>
              <w:ind w:right="51"/>
              <w:jc w:val="right"/>
              <w:rPr>
                <w:sz w:val="11"/>
              </w:rPr>
            </w:pPr>
            <w:r>
              <w:rPr>
                <w:sz w:val="11"/>
              </w:rPr>
              <w:t>0.00</w:t>
            </w:r>
          </w:p>
        </w:tc>
        <w:tc>
          <w:tcPr>
            <w:tcW w:w="1108" w:type="dxa"/>
          </w:tcPr>
          <w:p>
            <w:pPr>
              <w:pStyle w:val="TableParagraph"/>
              <w:spacing w:before="101"/>
              <w:ind w:right="50"/>
              <w:jc w:val="right"/>
              <w:rPr>
                <w:sz w:val="11"/>
              </w:rPr>
            </w:pPr>
            <w:r>
              <w:rPr>
                <w:sz w:val="11"/>
              </w:rPr>
              <w:t>0.00</w:t>
            </w:r>
          </w:p>
        </w:tc>
        <w:tc>
          <w:tcPr>
            <w:tcW w:w="1108" w:type="dxa"/>
          </w:tcPr>
          <w:p>
            <w:pPr>
              <w:pStyle w:val="TableParagraph"/>
              <w:spacing w:before="101"/>
              <w:ind w:right="49"/>
              <w:jc w:val="right"/>
              <w:rPr>
                <w:sz w:val="11"/>
              </w:rPr>
            </w:pPr>
            <w:r>
              <w:rPr>
                <w:sz w:val="11"/>
              </w:rPr>
              <w:t>0.00</w:t>
            </w:r>
          </w:p>
        </w:tc>
        <w:tc>
          <w:tcPr>
            <w:tcW w:w="1108" w:type="dxa"/>
          </w:tcPr>
          <w:p>
            <w:pPr>
              <w:pStyle w:val="TableParagraph"/>
              <w:spacing w:before="101"/>
              <w:ind w:right="49"/>
              <w:jc w:val="right"/>
              <w:rPr>
                <w:sz w:val="11"/>
              </w:rPr>
            </w:pPr>
            <w:r>
              <w:rPr>
                <w:sz w:val="11"/>
              </w:rPr>
              <w:t>0.00</w:t>
            </w:r>
          </w:p>
        </w:tc>
        <w:tc>
          <w:tcPr>
            <w:tcW w:w="623" w:type="dxa"/>
          </w:tcPr>
          <w:p>
            <w:pPr>
              <w:pStyle w:val="TableParagraph"/>
              <w:spacing w:before="101"/>
              <w:ind w:right="29"/>
              <w:jc w:val="right"/>
              <w:rPr>
                <w:sz w:val="11"/>
              </w:rPr>
            </w:pPr>
            <w:r>
              <w:rPr>
                <w:sz w:val="11"/>
              </w:rPr>
              <w:t>0.0%</w:t>
            </w:r>
          </w:p>
        </w:tc>
      </w:tr>
      <w:tr>
        <w:trPr>
          <w:trHeight w:val="230" w:hRule="atLeast"/>
        </w:trPr>
        <w:tc>
          <w:tcPr>
            <w:tcW w:w="3735" w:type="dxa"/>
            <w:gridSpan w:val="2"/>
          </w:tcPr>
          <w:p>
            <w:pPr>
              <w:pStyle w:val="TableParagraph"/>
              <w:spacing w:before="51"/>
              <w:ind w:left="277"/>
              <w:rPr>
                <w:sz w:val="11"/>
              </w:rPr>
            </w:pPr>
            <w:r>
              <w:rPr>
                <w:sz w:val="11"/>
              </w:rPr>
              <w:t>Prepaid Items</w:t>
            </w:r>
          </w:p>
        </w:tc>
        <w:tc>
          <w:tcPr>
            <w:tcW w:w="404" w:type="dxa"/>
          </w:tcPr>
          <w:p>
            <w:pPr>
              <w:pStyle w:val="TableParagraph"/>
              <w:spacing w:before="51"/>
              <w:ind w:left="28"/>
              <w:rPr>
                <w:sz w:val="11"/>
              </w:rPr>
            </w:pPr>
            <w:r>
              <w:rPr>
                <w:sz w:val="11"/>
              </w:rPr>
              <w:t>9713</w:t>
            </w:r>
          </w:p>
        </w:tc>
        <w:tc>
          <w:tcPr>
            <w:tcW w:w="1220" w:type="dxa"/>
          </w:tcPr>
          <w:p>
            <w:pPr>
              <w:pStyle w:val="TableParagraph"/>
              <w:spacing w:before="51"/>
              <w:ind w:right="53"/>
              <w:jc w:val="right"/>
              <w:rPr>
                <w:sz w:val="11"/>
              </w:rPr>
            </w:pPr>
            <w:r>
              <w:rPr>
                <w:sz w:val="11"/>
              </w:rPr>
              <w:t>0.00</w:t>
            </w:r>
          </w:p>
        </w:tc>
        <w:tc>
          <w:tcPr>
            <w:tcW w:w="1108" w:type="dxa"/>
          </w:tcPr>
          <w:p>
            <w:pPr>
              <w:pStyle w:val="TableParagraph"/>
              <w:spacing w:before="51"/>
              <w:ind w:right="52"/>
              <w:jc w:val="right"/>
              <w:rPr>
                <w:sz w:val="11"/>
              </w:rPr>
            </w:pPr>
            <w:r>
              <w:rPr>
                <w:sz w:val="11"/>
              </w:rPr>
              <w:t>0.00</w:t>
            </w:r>
          </w:p>
        </w:tc>
        <w:tc>
          <w:tcPr>
            <w:tcW w:w="1108" w:type="dxa"/>
          </w:tcPr>
          <w:p>
            <w:pPr>
              <w:pStyle w:val="TableParagraph"/>
              <w:spacing w:before="51"/>
              <w:ind w:right="51"/>
              <w:jc w:val="right"/>
              <w:rPr>
                <w:sz w:val="11"/>
              </w:rPr>
            </w:pPr>
            <w:r>
              <w:rPr>
                <w:sz w:val="11"/>
              </w:rPr>
              <w:t>0.00</w:t>
            </w:r>
          </w:p>
        </w:tc>
        <w:tc>
          <w:tcPr>
            <w:tcW w:w="1108" w:type="dxa"/>
          </w:tcPr>
          <w:p>
            <w:pPr>
              <w:pStyle w:val="TableParagraph"/>
              <w:spacing w:before="51"/>
              <w:ind w:right="50"/>
              <w:jc w:val="right"/>
              <w:rPr>
                <w:sz w:val="11"/>
              </w:rPr>
            </w:pPr>
            <w:r>
              <w:rPr>
                <w:sz w:val="11"/>
              </w:rPr>
              <w:t>0.00</w:t>
            </w:r>
          </w:p>
        </w:tc>
        <w:tc>
          <w:tcPr>
            <w:tcW w:w="1108" w:type="dxa"/>
          </w:tcPr>
          <w:p>
            <w:pPr>
              <w:pStyle w:val="TableParagraph"/>
              <w:spacing w:before="51"/>
              <w:ind w:right="49"/>
              <w:jc w:val="right"/>
              <w:rPr>
                <w:sz w:val="11"/>
              </w:rPr>
            </w:pPr>
            <w:r>
              <w:rPr>
                <w:sz w:val="11"/>
              </w:rPr>
              <w:t>0.00</w:t>
            </w:r>
          </w:p>
        </w:tc>
        <w:tc>
          <w:tcPr>
            <w:tcW w:w="1108" w:type="dxa"/>
          </w:tcPr>
          <w:p>
            <w:pPr>
              <w:pStyle w:val="TableParagraph"/>
              <w:spacing w:before="51"/>
              <w:ind w:right="49"/>
              <w:jc w:val="right"/>
              <w:rPr>
                <w:sz w:val="11"/>
              </w:rPr>
            </w:pPr>
            <w:r>
              <w:rPr>
                <w:sz w:val="11"/>
              </w:rPr>
              <w:t>0.00</w:t>
            </w:r>
          </w:p>
        </w:tc>
        <w:tc>
          <w:tcPr>
            <w:tcW w:w="623" w:type="dxa"/>
          </w:tcPr>
          <w:p>
            <w:pPr>
              <w:pStyle w:val="TableParagraph"/>
              <w:spacing w:before="51"/>
              <w:ind w:right="29"/>
              <w:jc w:val="right"/>
              <w:rPr>
                <w:sz w:val="11"/>
              </w:rPr>
            </w:pPr>
            <w:r>
              <w:rPr>
                <w:sz w:val="11"/>
              </w:rPr>
              <w:t>0.0%</w:t>
            </w:r>
          </w:p>
        </w:tc>
      </w:tr>
      <w:tr>
        <w:trPr>
          <w:trHeight w:val="178" w:hRule="atLeast"/>
        </w:trPr>
        <w:tc>
          <w:tcPr>
            <w:tcW w:w="3735" w:type="dxa"/>
            <w:gridSpan w:val="2"/>
          </w:tcPr>
          <w:p>
            <w:pPr>
              <w:pStyle w:val="TableParagraph"/>
              <w:spacing w:line="107" w:lineRule="exact" w:before="51"/>
              <w:ind w:left="277"/>
              <w:rPr>
                <w:sz w:val="11"/>
              </w:rPr>
            </w:pPr>
            <w:r>
              <w:rPr>
                <w:sz w:val="11"/>
              </w:rPr>
              <w:t>All Others</w:t>
            </w:r>
          </w:p>
        </w:tc>
        <w:tc>
          <w:tcPr>
            <w:tcW w:w="404" w:type="dxa"/>
          </w:tcPr>
          <w:p>
            <w:pPr>
              <w:pStyle w:val="TableParagraph"/>
              <w:spacing w:line="107" w:lineRule="exact" w:before="51"/>
              <w:ind w:left="28"/>
              <w:rPr>
                <w:sz w:val="11"/>
              </w:rPr>
            </w:pPr>
            <w:r>
              <w:rPr>
                <w:sz w:val="11"/>
              </w:rPr>
              <w:t>9719</w:t>
            </w:r>
          </w:p>
        </w:tc>
        <w:tc>
          <w:tcPr>
            <w:tcW w:w="1220" w:type="dxa"/>
          </w:tcPr>
          <w:p>
            <w:pPr>
              <w:pStyle w:val="TableParagraph"/>
              <w:spacing w:line="107" w:lineRule="exact" w:before="51"/>
              <w:ind w:right="53"/>
              <w:jc w:val="right"/>
              <w:rPr>
                <w:sz w:val="11"/>
              </w:rPr>
            </w:pPr>
            <w:r>
              <w:rPr>
                <w:sz w:val="11"/>
              </w:rPr>
              <w:t>0.00</w:t>
            </w:r>
          </w:p>
        </w:tc>
        <w:tc>
          <w:tcPr>
            <w:tcW w:w="1108" w:type="dxa"/>
          </w:tcPr>
          <w:p>
            <w:pPr>
              <w:pStyle w:val="TableParagraph"/>
              <w:spacing w:line="107" w:lineRule="exact" w:before="51"/>
              <w:ind w:right="52"/>
              <w:jc w:val="right"/>
              <w:rPr>
                <w:sz w:val="11"/>
              </w:rPr>
            </w:pPr>
            <w:r>
              <w:rPr>
                <w:sz w:val="11"/>
              </w:rPr>
              <w:t>0.00</w:t>
            </w:r>
          </w:p>
        </w:tc>
        <w:tc>
          <w:tcPr>
            <w:tcW w:w="1108" w:type="dxa"/>
          </w:tcPr>
          <w:p>
            <w:pPr>
              <w:pStyle w:val="TableParagraph"/>
              <w:spacing w:line="107" w:lineRule="exact" w:before="51"/>
              <w:ind w:right="51"/>
              <w:jc w:val="right"/>
              <w:rPr>
                <w:sz w:val="11"/>
              </w:rPr>
            </w:pPr>
            <w:r>
              <w:rPr>
                <w:sz w:val="11"/>
              </w:rPr>
              <w:t>0.00</w:t>
            </w:r>
          </w:p>
        </w:tc>
        <w:tc>
          <w:tcPr>
            <w:tcW w:w="1108" w:type="dxa"/>
          </w:tcPr>
          <w:p>
            <w:pPr>
              <w:pStyle w:val="TableParagraph"/>
              <w:spacing w:line="107" w:lineRule="exact" w:before="51"/>
              <w:ind w:right="50"/>
              <w:jc w:val="right"/>
              <w:rPr>
                <w:sz w:val="11"/>
              </w:rPr>
            </w:pPr>
            <w:r>
              <w:rPr>
                <w:sz w:val="11"/>
              </w:rPr>
              <w:t>0.00</w:t>
            </w:r>
          </w:p>
        </w:tc>
        <w:tc>
          <w:tcPr>
            <w:tcW w:w="1108" w:type="dxa"/>
          </w:tcPr>
          <w:p>
            <w:pPr>
              <w:pStyle w:val="TableParagraph"/>
              <w:spacing w:line="107" w:lineRule="exact" w:before="51"/>
              <w:ind w:right="49"/>
              <w:jc w:val="right"/>
              <w:rPr>
                <w:sz w:val="11"/>
              </w:rPr>
            </w:pPr>
            <w:r>
              <w:rPr>
                <w:sz w:val="11"/>
              </w:rPr>
              <w:t>0.00</w:t>
            </w:r>
          </w:p>
        </w:tc>
        <w:tc>
          <w:tcPr>
            <w:tcW w:w="1108" w:type="dxa"/>
          </w:tcPr>
          <w:p>
            <w:pPr>
              <w:pStyle w:val="TableParagraph"/>
              <w:spacing w:line="107" w:lineRule="exact" w:before="51"/>
              <w:ind w:right="49"/>
              <w:jc w:val="right"/>
              <w:rPr>
                <w:sz w:val="11"/>
              </w:rPr>
            </w:pPr>
            <w:r>
              <w:rPr>
                <w:sz w:val="11"/>
              </w:rPr>
              <w:t>0.00</w:t>
            </w:r>
          </w:p>
        </w:tc>
        <w:tc>
          <w:tcPr>
            <w:tcW w:w="623" w:type="dxa"/>
          </w:tcPr>
          <w:p>
            <w:pPr>
              <w:pStyle w:val="TableParagraph"/>
              <w:spacing w:line="107" w:lineRule="exact" w:before="51"/>
              <w:ind w:right="29"/>
              <w:jc w:val="right"/>
              <w:rPr>
                <w:sz w:val="11"/>
              </w:rPr>
            </w:pPr>
            <w:r>
              <w:rPr>
                <w:sz w:val="11"/>
              </w:rPr>
              <w:t>0.0%</w:t>
            </w:r>
          </w:p>
        </w:tc>
      </w:tr>
      <w:tr>
        <w:trPr>
          <w:trHeight w:val="337" w:hRule="atLeast"/>
        </w:trPr>
        <w:tc>
          <w:tcPr>
            <w:tcW w:w="4139" w:type="dxa"/>
            <w:gridSpan w:val="3"/>
          </w:tcPr>
          <w:p>
            <w:pPr>
              <w:pStyle w:val="TableParagraph"/>
              <w:tabs>
                <w:tab w:pos="4012" w:val="right" w:leader="none"/>
              </w:tabs>
              <w:spacing w:before="101"/>
              <w:ind w:left="153"/>
              <w:rPr>
                <w:sz w:val="11"/>
              </w:rPr>
            </w:pPr>
            <w:r>
              <w:rPr>
                <w:sz w:val="11"/>
              </w:rPr>
              <w:t>b)</w:t>
            </w:r>
            <w:r>
              <w:rPr>
                <w:spacing w:val="1"/>
                <w:sz w:val="11"/>
              </w:rPr>
              <w:t> </w:t>
            </w:r>
            <w:r>
              <w:rPr>
                <w:sz w:val="11"/>
              </w:rPr>
              <w:t>Restricted</w:t>
              <w:tab/>
              <w:t>9740</w:t>
            </w:r>
          </w:p>
        </w:tc>
        <w:tc>
          <w:tcPr>
            <w:tcW w:w="1220" w:type="dxa"/>
          </w:tcPr>
          <w:p>
            <w:pPr>
              <w:pStyle w:val="TableParagraph"/>
              <w:spacing w:before="101"/>
              <w:ind w:right="53"/>
              <w:jc w:val="right"/>
              <w:rPr>
                <w:sz w:val="11"/>
              </w:rPr>
            </w:pPr>
            <w:r>
              <w:rPr>
                <w:sz w:val="11"/>
              </w:rPr>
              <w:t>0.00</w:t>
            </w:r>
          </w:p>
        </w:tc>
        <w:tc>
          <w:tcPr>
            <w:tcW w:w="1108" w:type="dxa"/>
          </w:tcPr>
          <w:p>
            <w:pPr>
              <w:pStyle w:val="TableParagraph"/>
              <w:spacing w:before="101"/>
              <w:ind w:right="52"/>
              <w:jc w:val="right"/>
              <w:rPr>
                <w:sz w:val="11"/>
              </w:rPr>
            </w:pPr>
            <w:r>
              <w:rPr>
                <w:sz w:val="11"/>
              </w:rPr>
              <w:t>120,976.00</w:t>
            </w:r>
          </w:p>
        </w:tc>
        <w:tc>
          <w:tcPr>
            <w:tcW w:w="1108" w:type="dxa"/>
          </w:tcPr>
          <w:p>
            <w:pPr>
              <w:pStyle w:val="TableParagraph"/>
              <w:spacing w:before="101"/>
              <w:ind w:right="51"/>
              <w:jc w:val="right"/>
              <w:rPr>
                <w:sz w:val="11"/>
              </w:rPr>
            </w:pPr>
            <w:r>
              <w:rPr>
                <w:sz w:val="11"/>
              </w:rPr>
              <w:t>120,976.00</w:t>
            </w:r>
          </w:p>
        </w:tc>
        <w:tc>
          <w:tcPr>
            <w:tcW w:w="1108" w:type="dxa"/>
            <w:shd w:val="clear" w:color="auto" w:fill="DFDFDF"/>
          </w:tcPr>
          <w:p>
            <w:pPr>
              <w:pStyle w:val="TableParagraph"/>
              <w:spacing w:before="101"/>
              <w:ind w:right="50"/>
              <w:jc w:val="right"/>
              <w:rPr>
                <w:sz w:val="11"/>
              </w:rPr>
            </w:pPr>
            <w:r>
              <w:rPr>
                <w:sz w:val="11"/>
              </w:rPr>
              <w:t>0.00</w:t>
            </w:r>
          </w:p>
        </w:tc>
        <w:tc>
          <w:tcPr>
            <w:tcW w:w="1108" w:type="dxa"/>
          </w:tcPr>
          <w:p>
            <w:pPr>
              <w:pStyle w:val="TableParagraph"/>
              <w:spacing w:before="101"/>
              <w:ind w:right="50"/>
              <w:jc w:val="right"/>
              <w:rPr>
                <w:sz w:val="11"/>
              </w:rPr>
            </w:pPr>
            <w:r>
              <w:rPr>
                <w:sz w:val="11"/>
              </w:rPr>
              <w:t>25,290.00</w:t>
            </w:r>
          </w:p>
        </w:tc>
        <w:tc>
          <w:tcPr>
            <w:tcW w:w="1108" w:type="dxa"/>
          </w:tcPr>
          <w:p>
            <w:pPr>
              <w:pStyle w:val="TableParagraph"/>
              <w:spacing w:before="101"/>
              <w:ind w:right="49"/>
              <w:jc w:val="right"/>
              <w:rPr>
                <w:sz w:val="11"/>
              </w:rPr>
            </w:pPr>
            <w:r>
              <w:rPr>
                <w:sz w:val="11"/>
              </w:rPr>
              <w:t>25,290.00</w:t>
            </w:r>
          </w:p>
        </w:tc>
        <w:tc>
          <w:tcPr>
            <w:tcW w:w="623" w:type="dxa"/>
          </w:tcPr>
          <w:p>
            <w:pPr>
              <w:pStyle w:val="TableParagraph"/>
              <w:spacing w:before="101"/>
              <w:ind w:right="29"/>
              <w:jc w:val="right"/>
              <w:rPr>
                <w:sz w:val="11"/>
              </w:rPr>
            </w:pPr>
            <w:r>
              <w:rPr>
                <w:sz w:val="11"/>
              </w:rPr>
              <w:t>-79.1%</w:t>
            </w:r>
          </w:p>
        </w:tc>
      </w:tr>
      <w:tr>
        <w:trPr>
          <w:trHeight w:val="323" w:hRule="atLeast"/>
        </w:trPr>
        <w:tc>
          <w:tcPr>
            <w:tcW w:w="3735" w:type="dxa"/>
            <w:gridSpan w:val="2"/>
          </w:tcPr>
          <w:p>
            <w:pPr>
              <w:pStyle w:val="TableParagraph"/>
              <w:spacing w:line="125" w:lineRule="exact"/>
              <w:ind w:left="153"/>
              <w:rPr>
                <w:sz w:val="11"/>
              </w:rPr>
            </w:pPr>
            <w:r>
              <w:rPr>
                <w:sz w:val="11"/>
              </w:rPr>
              <w:t>c) Committed</w:t>
            </w:r>
          </w:p>
          <w:p>
            <w:pPr>
              <w:pStyle w:val="TableParagraph"/>
              <w:spacing w:before="17"/>
              <w:ind w:left="277"/>
              <w:rPr>
                <w:sz w:val="11"/>
              </w:rPr>
            </w:pPr>
            <w:r>
              <w:rPr>
                <w:sz w:val="11"/>
              </w:rPr>
              <w:t>Stabilization Arrangements</w:t>
            </w:r>
          </w:p>
        </w:tc>
        <w:tc>
          <w:tcPr>
            <w:tcW w:w="404" w:type="dxa"/>
          </w:tcPr>
          <w:p>
            <w:pPr>
              <w:pStyle w:val="TableParagraph"/>
              <w:spacing w:before="4"/>
              <w:rPr>
                <w:sz w:val="12"/>
              </w:rPr>
            </w:pPr>
          </w:p>
          <w:p>
            <w:pPr>
              <w:pStyle w:val="TableParagraph"/>
              <w:ind w:left="28"/>
              <w:rPr>
                <w:sz w:val="11"/>
              </w:rPr>
            </w:pPr>
            <w:r>
              <w:rPr>
                <w:sz w:val="11"/>
              </w:rPr>
              <w:t>9750</w:t>
            </w:r>
          </w:p>
        </w:tc>
        <w:tc>
          <w:tcPr>
            <w:tcW w:w="1220" w:type="dxa"/>
          </w:tcPr>
          <w:p>
            <w:pPr>
              <w:pStyle w:val="TableParagraph"/>
              <w:spacing w:before="4"/>
              <w:rPr>
                <w:sz w:val="12"/>
              </w:rPr>
            </w:pPr>
          </w:p>
          <w:p>
            <w:pPr>
              <w:pStyle w:val="TableParagraph"/>
              <w:ind w:right="53"/>
              <w:jc w:val="right"/>
              <w:rPr>
                <w:sz w:val="11"/>
              </w:rPr>
            </w:pPr>
            <w:r>
              <w:rPr>
                <w:sz w:val="11"/>
              </w:rPr>
              <w:t>0.00</w:t>
            </w:r>
          </w:p>
        </w:tc>
        <w:tc>
          <w:tcPr>
            <w:tcW w:w="1108" w:type="dxa"/>
            <w:shd w:val="clear" w:color="auto" w:fill="DFDFDF"/>
          </w:tcPr>
          <w:p>
            <w:pPr>
              <w:pStyle w:val="TableParagraph"/>
              <w:spacing w:before="4"/>
              <w:rPr>
                <w:sz w:val="12"/>
              </w:rPr>
            </w:pPr>
          </w:p>
          <w:p>
            <w:pPr>
              <w:pStyle w:val="TableParagraph"/>
              <w:ind w:right="52"/>
              <w:jc w:val="right"/>
              <w:rPr>
                <w:sz w:val="11"/>
              </w:rPr>
            </w:pPr>
            <w:r>
              <w:rPr>
                <w:sz w:val="11"/>
              </w:rPr>
              <w:t>0.00</w:t>
            </w:r>
          </w:p>
        </w:tc>
        <w:tc>
          <w:tcPr>
            <w:tcW w:w="1108" w:type="dxa"/>
          </w:tcPr>
          <w:p>
            <w:pPr>
              <w:pStyle w:val="TableParagraph"/>
              <w:spacing w:before="4"/>
              <w:rPr>
                <w:sz w:val="12"/>
              </w:rPr>
            </w:pPr>
          </w:p>
          <w:p>
            <w:pPr>
              <w:pStyle w:val="TableParagraph"/>
              <w:ind w:right="51"/>
              <w:jc w:val="right"/>
              <w:rPr>
                <w:sz w:val="11"/>
              </w:rPr>
            </w:pPr>
            <w:r>
              <w:rPr>
                <w:sz w:val="11"/>
              </w:rPr>
              <w:t>0.00</w:t>
            </w:r>
          </w:p>
        </w:tc>
        <w:tc>
          <w:tcPr>
            <w:tcW w:w="1108" w:type="dxa"/>
          </w:tcPr>
          <w:p>
            <w:pPr>
              <w:pStyle w:val="TableParagraph"/>
              <w:spacing w:before="4"/>
              <w:rPr>
                <w:sz w:val="12"/>
              </w:rPr>
            </w:pPr>
          </w:p>
          <w:p>
            <w:pPr>
              <w:pStyle w:val="TableParagraph"/>
              <w:ind w:right="50"/>
              <w:jc w:val="right"/>
              <w:rPr>
                <w:sz w:val="11"/>
              </w:rPr>
            </w:pPr>
            <w:r>
              <w:rPr>
                <w:sz w:val="11"/>
              </w:rPr>
              <w:t>0.00</w:t>
            </w:r>
          </w:p>
        </w:tc>
        <w:tc>
          <w:tcPr>
            <w:tcW w:w="1108" w:type="dxa"/>
            <w:shd w:val="clear" w:color="auto" w:fill="DFDFDF"/>
          </w:tcPr>
          <w:p>
            <w:pPr>
              <w:pStyle w:val="TableParagraph"/>
              <w:spacing w:before="4"/>
              <w:rPr>
                <w:sz w:val="12"/>
              </w:rPr>
            </w:pPr>
          </w:p>
          <w:p>
            <w:pPr>
              <w:pStyle w:val="TableParagraph"/>
              <w:ind w:right="49"/>
              <w:jc w:val="right"/>
              <w:rPr>
                <w:sz w:val="11"/>
              </w:rPr>
            </w:pPr>
            <w:r>
              <w:rPr>
                <w:sz w:val="11"/>
              </w:rPr>
              <w:t>0.00</w:t>
            </w:r>
          </w:p>
        </w:tc>
        <w:tc>
          <w:tcPr>
            <w:tcW w:w="1108" w:type="dxa"/>
          </w:tcPr>
          <w:p>
            <w:pPr>
              <w:pStyle w:val="TableParagraph"/>
              <w:spacing w:before="4"/>
              <w:rPr>
                <w:sz w:val="12"/>
              </w:rPr>
            </w:pPr>
          </w:p>
          <w:p>
            <w:pPr>
              <w:pStyle w:val="TableParagraph"/>
              <w:ind w:right="49"/>
              <w:jc w:val="right"/>
              <w:rPr>
                <w:sz w:val="11"/>
              </w:rPr>
            </w:pPr>
            <w:r>
              <w:rPr>
                <w:sz w:val="11"/>
              </w:rPr>
              <w:t>0.00</w:t>
            </w:r>
          </w:p>
        </w:tc>
        <w:tc>
          <w:tcPr>
            <w:tcW w:w="623" w:type="dxa"/>
          </w:tcPr>
          <w:p>
            <w:pPr>
              <w:pStyle w:val="TableParagraph"/>
              <w:spacing w:before="4"/>
              <w:rPr>
                <w:sz w:val="12"/>
              </w:rPr>
            </w:pPr>
          </w:p>
          <w:p>
            <w:pPr>
              <w:pStyle w:val="TableParagraph"/>
              <w:ind w:right="29"/>
              <w:jc w:val="right"/>
              <w:rPr>
                <w:sz w:val="11"/>
              </w:rPr>
            </w:pPr>
            <w:r>
              <w:rPr>
                <w:sz w:val="11"/>
              </w:rPr>
              <w:t>0.0%</w:t>
            </w:r>
          </w:p>
        </w:tc>
      </w:tr>
      <w:tr>
        <w:trPr>
          <w:trHeight w:val="231" w:hRule="atLeast"/>
        </w:trPr>
        <w:tc>
          <w:tcPr>
            <w:tcW w:w="3735" w:type="dxa"/>
            <w:gridSpan w:val="2"/>
          </w:tcPr>
          <w:p>
            <w:pPr>
              <w:pStyle w:val="TableParagraph"/>
              <w:spacing w:before="52"/>
              <w:ind w:left="277"/>
              <w:rPr>
                <w:sz w:val="11"/>
              </w:rPr>
            </w:pPr>
            <w:r>
              <w:rPr>
                <w:sz w:val="11"/>
              </w:rPr>
              <w:t>Other Commitments</w:t>
            </w:r>
          </w:p>
        </w:tc>
        <w:tc>
          <w:tcPr>
            <w:tcW w:w="404" w:type="dxa"/>
          </w:tcPr>
          <w:p>
            <w:pPr>
              <w:pStyle w:val="TableParagraph"/>
              <w:spacing w:before="52"/>
              <w:ind w:left="28"/>
              <w:rPr>
                <w:sz w:val="11"/>
              </w:rPr>
            </w:pPr>
            <w:r>
              <w:rPr>
                <w:sz w:val="11"/>
              </w:rPr>
              <w:t>9760</w:t>
            </w:r>
          </w:p>
        </w:tc>
        <w:tc>
          <w:tcPr>
            <w:tcW w:w="1220" w:type="dxa"/>
          </w:tcPr>
          <w:p>
            <w:pPr>
              <w:pStyle w:val="TableParagraph"/>
              <w:spacing w:before="52"/>
              <w:ind w:right="53"/>
              <w:jc w:val="right"/>
              <w:rPr>
                <w:sz w:val="11"/>
              </w:rPr>
            </w:pPr>
            <w:r>
              <w:rPr>
                <w:sz w:val="11"/>
              </w:rPr>
              <w:t>0.00</w:t>
            </w:r>
          </w:p>
        </w:tc>
        <w:tc>
          <w:tcPr>
            <w:tcW w:w="1108" w:type="dxa"/>
            <w:shd w:val="clear" w:color="auto" w:fill="DFDFDF"/>
          </w:tcPr>
          <w:p>
            <w:pPr>
              <w:pStyle w:val="TableParagraph"/>
              <w:spacing w:before="52"/>
              <w:ind w:right="52"/>
              <w:jc w:val="right"/>
              <w:rPr>
                <w:sz w:val="11"/>
              </w:rPr>
            </w:pPr>
            <w:r>
              <w:rPr>
                <w:sz w:val="11"/>
              </w:rPr>
              <w:t>0.00</w:t>
            </w:r>
          </w:p>
        </w:tc>
        <w:tc>
          <w:tcPr>
            <w:tcW w:w="1108" w:type="dxa"/>
          </w:tcPr>
          <w:p>
            <w:pPr>
              <w:pStyle w:val="TableParagraph"/>
              <w:spacing w:before="52"/>
              <w:ind w:right="51"/>
              <w:jc w:val="right"/>
              <w:rPr>
                <w:sz w:val="11"/>
              </w:rPr>
            </w:pPr>
            <w:r>
              <w:rPr>
                <w:sz w:val="11"/>
              </w:rPr>
              <w:t>0.00</w:t>
            </w:r>
          </w:p>
        </w:tc>
        <w:tc>
          <w:tcPr>
            <w:tcW w:w="1108" w:type="dxa"/>
          </w:tcPr>
          <w:p>
            <w:pPr>
              <w:pStyle w:val="TableParagraph"/>
              <w:spacing w:before="52"/>
              <w:ind w:right="50"/>
              <w:jc w:val="right"/>
              <w:rPr>
                <w:sz w:val="11"/>
              </w:rPr>
            </w:pPr>
            <w:r>
              <w:rPr>
                <w:sz w:val="11"/>
              </w:rPr>
              <w:t>0.00</w:t>
            </w:r>
          </w:p>
        </w:tc>
        <w:tc>
          <w:tcPr>
            <w:tcW w:w="1108" w:type="dxa"/>
            <w:shd w:val="clear" w:color="auto" w:fill="DFDFDF"/>
          </w:tcPr>
          <w:p>
            <w:pPr>
              <w:pStyle w:val="TableParagraph"/>
              <w:spacing w:before="52"/>
              <w:ind w:right="49"/>
              <w:jc w:val="right"/>
              <w:rPr>
                <w:sz w:val="11"/>
              </w:rPr>
            </w:pPr>
            <w:r>
              <w:rPr>
                <w:sz w:val="11"/>
              </w:rPr>
              <w:t>0.00</w:t>
            </w:r>
          </w:p>
        </w:tc>
        <w:tc>
          <w:tcPr>
            <w:tcW w:w="1108" w:type="dxa"/>
          </w:tcPr>
          <w:p>
            <w:pPr>
              <w:pStyle w:val="TableParagraph"/>
              <w:spacing w:before="52"/>
              <w:ind w:right="49"/>
              <w:jc w:val="right"/>
              <w:rPr>
                <w:sz w:val="11"/>
              </w:rPr>
            </w:pPr>
            <w:r>
              <w:rPr>
                <w:sz w:val="11"/>
              </w:rPr>
              <w:t>0.00</w:t>
            </w:r>
          </w:p>
        </w:tc>
        <w:tc>
          <w:tcPr>
            <w:tcW w:w="623" w:type="dxa"/>
          </w:tcPr>
          <w:p>
            <w:pPr>
              <w:pStyle w:val="TableParagraph"/>
              <w:spacing w:before="52"/>
              <w:ind w:right="29"/>
              <w:jc w:val="right"/>
              <w:rPr>
                <w:sz w:val="11"/>
              </w:rPr>
            </w:pPr>
            <w:r>
              <w:rPr>
                <w:sz w:val="11"/>
              </w:rPr>
              <w:t>0.0%</w:t>
            </w:r>
          </w:p>
        </w:tc>
      </w:tr>
      <w:tr>
        <w:trPr>
          <w:trHeight w:val="282" w:hRule="atLeast"/>
        </w:trPr>
        <w:tc>
          <w:tcPr>
            <w:tcW w:w="5359" w:type="dxa"/>
            <w:gridSpan w:val="4"/>
          </w:tcPr>
          <w:p>
            <w:pPr>
              <w:pStyle w:val="TableParagraph"/>
              <w:spacing w:before="51"/>
              <w:ind w:left="153"/>
              <w:rPr>
                <w:sz w:val="11"/>
              </w:rPr>
            </w:pPr>
            <w:r>
              <w:rPr>
                <w:sz w:val="11"/>
              </w:rPr>
              <w:t>d) Assigned</w:t>
            </w:r>
          </w:p>
        </w:tc>
        <w:tc>
          <w:tcPr>
            <w:tcW w:w="1108" w:type="dxa"/>
            <w:shd w:val="clear" w:color="auto" w:fill="DFDFDF"/>
          </w:tcPr>
          <w:p>
            <w:pPr>
              <w:pStyle w:val="TableParagraph"/>
              <w:rPr>
                <w:rFonts w:ascii="Times New Roman"/>
                <w:sz w:val="10"/>
              </w:rPr>
            </w:pPr>
          </w:p>
        </w:tc>
        <w:tc>
          <w:tcPr>
            <w:tcW w:w="1108" w:type="dxa"/>
          </w:tcPr>
          <w:p>
            <w:pPr>
              <w:pStyle w:val="TableParagraph"/>
              <w:rPr>
                <w:rFonts w:ascii="Times New Roman"/>
                <w:sz w:val="10"/>
              </w:rPr>
            </w:pPr>
          </w:p>
        </w:tc>
        <w:tc>
          <w:tcPr>
            <w:tcW w:w="1108" w:type="dxa"/>
          </w:tcPr>
          <w:p>
            <w:pPr>
              <w:pStyle w:val="TableParagraph"/>
              <w:rPr>
                <w:rFonts w:ascii="Times New Roman"/>
                <w:sz w:val="10"/>
              </w:rPr>
            </w:pPr>
          </w:p>
        </w:tc>
        <w:tc>
          <w:tcPr>
            <w:tcW w:w="1108" w:type="dxa"/>
            <w:shd w:val="clear" w:color="auto" w:fill="DFDFDF"/>
          </w:tcPr>
          <w:p>
            <w:pPr>
              <w:pStyle w:val="TableParagraph"/>
              <w:rPr>
                <w:rFonts w:ascii="Times New Roman"/>
                <w:sz w:val="10"/>
              </w:rPr>
            </w:pPr>
          </w:p>
        </w:tc>
        <w:tc>
          <w:tcPr>
            <w:tcW w:w="1731" w:type="dxa"/>
            <w:gridSpan w:val="2"/>
          </w:tcPr>
          <w:p>
            <w:pPr>
              <w:pStyle w:val="TableParagraph"/>
              <w:rPr>
                <w:rFonts w:ascii="Times New Roman"/>
                <w:sz w:val="10"/>
              </w:rPr>
            </w:pPr>
          </w:p>
        </w:tc>
      </w:tr>
      <w:tr>
        <w:trPr>
          <w:trHeight w:val="128" w:hRule="atLeast"/>
        </w:trPr>
        <w:tc>
          <w:tcPr>
            <w:tcW w:w="2463" w:type="dxa"/>
          </w:tcPr>
          <w:p>
            <w:pPr>
              <w:pStyle w:val="TableParagraph"/>
              <w:spacing w:line="108" w:lineRule="exact"/>
              <w:ind w:left="277"/>
              <w:rPr>
                <w:sz w:val="11"/>
              </w:rPr>
            </w:pPr>
            <w:r>
              <w:rPr>
                <w:sz w:val="11"/>
              </w:rPr>
              <w:t>Other Assignments</w:t>
            </w:r>
          </w:p>
        </w:tc>
        <w:tc>
          <w:tcPr>
            <w:tcW w:w="1272" w:type="dxa"/>
          </w:tcPr>
          <w:p>
            <w:pPr>
              <w:pStyle w:val="TableParagraph"/>
              <w:rPr>
                <w:rFonts w:ascii="Times New Roman"/>
                <w:sz w:val="6"/>
              </w:rPr>
            </w:pPr>
          </w:p>
        </w:tc>
        <w:tc>
          <w:tcPr>
            <w:tcW w:w="404" w:type="dxa"/>
          </w:tcPr>
          <w:p>
            <w:pPr>
              <w:pStyle w:val="TableParagraph"/>
              <w:spacing w:line="108" w:lineRule="exact"/>
              <w:ind w:left="28"/>
              <w:rPr>
                <w:sz w:val="11"/>
              </w:rPr>
            </w:pPr>
            <w:r>
              <w:rPr>
                <w:sz w:val="11"/>
              </w:rPr>
              <w:t>9780</w:t>
            </w:r>
          </w:p>
        </w:tc>
        <w:tc>
          <w:tcPr>
            <w:tcW w:w="1220" w:type="dxa"/>
          </w:tcPr>
          <w:p>
            <w:pPr>
              <w:pStyle w:val="TableParagraph"/>
              <w:spacing w:line="108" w:lineRule="exact"/>
              <w:ind w:right="53"/>
              <w:jc w:val="right"/>
              <w:rPr>
                <w:sz w:val="11"/>
              </w:rPr>
            </w:pPr>
            <w:r>
              <w:rPr>
                <w:sz w:val="11"/>
              </w:rPr>
              <w:t>1,020,974.00</w:t>
            </w:r>
          </w:p>
        </w:tc>
        <w:tc>
          <w:tcPr>
            <w:tcW w:w="1108" w:type="dxa"/>
            <w:shd w:val="clear" w:color="auto" w:fill="DFDFDF"/>
          </w:tcPr>
          <w:p>
            <w:pPr>
              <w:pStyle w:val="TableParagraph"/>
              <w:spacing w:line="108" w:lineRule="exact"/>
              <w:ind w:right="52"/>
              <w:jc w:val="right"/>
              <w:rPr>
                <w:sz w:val="11"/>
              </w:rPr>
            </w:pPr>
            <w:r>
              <w:rPr>
                <w:sz w:val="11"/>
              </w:rPr>
              <w:t>0.00</w:t>
            </w:r>
          </w:p>
        </w:tc>
        <w:tc>
          <w:tcPr>
            <w:tcW w:w="1108" w:type="dxa"/>
          </w:tcPr>
          <w:p>
            <w:pPr>
              <w:pStyle w:val="TableParagraph"/>
              <w:spacing w:line="108" w:lineRule="exact"/>
              <w:ind w:right="52"/>
              <w:jc w:val="right"/>
              <w:rPr>
                <w:sz w:val="11"/>
              </w:rPr>
            </w:pPr>
            <w:r>
              <w:rPr>
                <w:sz w:val="11"/>
              </w:rPr>
              <w:t>1,020,974.00</w:t>
            </w:r>
          </w:p>
        </w:tc>
        <w:tc>
          <w:tcPr>
            <w:tcW w:w="1108" w:type="dxa"/>
          </w:tcPr>
          <w:p>
            <w:pPr>
              <w:pStyle w:val="TableParagraph"/>
              <w:spacing w:line="108" w:lineRule="exact"/>
              <w:ind w:right="51"/>
              <w:jc w:val="right"/>
              <w:rPr>
                <w:sz w:val="11"/>
              </w:rPr>
            </w:pPr>
            <w:r>
              <w:rPr>
                <w:sz w:val="11"/>
              </w:rPr>
              <w:t>1,020,974.00</w:t>
            </w:r>
          </w:p>
        </w:tc>
        <w:tc>
          <w:tcPr>
            <w:tcW w:w="1108" w:type="dxa"/>
            <w:shd w:val="clear" w:color="auto" w:fill="DFDFDF"/>
          </w:tcPr>
          <w:p>
            <w:pPr>
              <w:pStyle w:val="TableParagraph"/>
              <w:spacing w:line="108" w:lineRule="exact"/>
              <w:ind w:right="49"/>
              <w:jc w:val="right"/>
              <w:rPr>
                <w:sz w:val="11"/>
              </w:rPr>
            </w:pPr>
            <w:r>
              <w:rPr>
                <w:sz w:val="11"/>
              </w:rPr>
              <w:t>0.00</w:t>
            </w:r>
          </w:p>
        </w:tc>
        <w:tc>
          <w:tcPr>
            <w:tcW w:w="1108" w:type="dxa"/>
          </w:tcPr>
          <w:p>
            <w:pPr>
              <w:pStyle w:val="TableParagraph"/>
              <w:spacing w:line="108" w:lineRule="exact"/>
              <w:ind w:right="49"/>
              <w:jc w:val="right"/>
              <w:rPr>
                <w:sz w:val="11"/>
              </w:rPr>
            </w:pPr>
            <w:r>
              <w:rPr>
                <w:sz w:val="11"/>
              </w:rPr>
              <w:t>1,020,974.00</w:t>
            </w:r>
          </w:p>
        </w:tc>
        <w:tc>
          <w:tcPr>
            <w:tcW w:w="623" w:type="dxa"/>
          </w:tcPr>
          <w:p>
            <w:pPr>
              <w:pStyle w:val="TableParagraph"/>
              <w:spacing w:line="108" w:lineRule="exact"/>
              <w:ind w:right="29"/>
              <w:jc w:val="right"/>
              <w:rPr>
                <w:sz w:val="11"/>
              </w:rPr>
            </w:pPr>
            <w:r>
              <w:rPr>
                <w:sz w:val="11"/>
              </w:rPr>
              <w:t>0.0%</w:t>
            </w:r>
          </w:p>
        </w:tc>
      </w:tr>
      <w:tr>
        <w:trPr>
          <w:trHeight w:val="174" w:hRule="atLeast"/>
        </w:trPr>
        <w:tc>
          <w:tcPr>
            <w:tcW w:w="2463" w:type="dxa"/>
          </w:tcPr>
          <w:p>
            <w:pPr>
              <w:pStyle w:val="TableParagraph"/>
              <w:spacing w:line="123" w:lineRule="exact" w:before="31"/>
              <w:ind w:left="398"/>
              <w:rPr>
                <w:sz w:val="11"/>
              </w:rPr>
            </w:pPr>
            <w:r>
              <w:rPr>
                <w:sz w:val="11"/>
              </w:rPr>
              <w:t>Deferred Maintenance</w:t>
            </w:r>
          </w:p>
        </w:tc>
        <w:tc>
          <w:tcPr>
            <w:tcW w:w="1272" w:type="dxa"/>
          </w:tcPr>
          <w:p>
            <w:pPr>
              <w:pStyle w:val="TableParagraph"/>
              <w:spacing w:line="123" w:lineRule="exact" w:before="31"/>
              <w:ind w:left="388"/>
              <w:rPr>
                <w:sz w:val="11"/>
              </w:rPr>
            </w:pPr>
            <w:r>
              <w:rPr>
                <w:sz w:val="11"/>
              </w:rPr>
              <w:t>0000</w:t>
            </w:r>
          </w:p>
        </w:tc>
        <w:tc>
          <w:tcPr>
            <w:tcW w:w="404" w:type="dxa"/>
          </w:tcPr>
          <w:p>
            <w:pPr>
              <w:pStyle w:val="TableParagraph"/>
              <w:spacing w:line="123" w:lineRule="exact" w:before="31"/>
              <w:ind w:left="28"/>
              <w:rPr>
                <w:sz w:val="11"/>
              </w:rPr>
            </w:pPr>
            <w:r>
              <w:rPr>
                <w:sz w:val="11"/>
              </w:rPr>
              <w:t>9780</w:t>
            </w:r>
          </w:p>
        </w:tc>
        <w:tc>
          <w:tcPr>
            <w:tcW w:w="1220" w:type="dxa"/>
          </w:tcPr>
          <w:p>
            <w:pPr>
              <w:pStyle w:val="TableParagraph"/>
              <w:rPr>
                <w:rFonts w:ascii="Times New Roman"/>
                <w:sz w:val="10"/>
              </w:rPr>
            </w:pPr>
          </w:p>
        </w:tc>
        <w:tc>
          <w:tcPr>
            <w:tcW w:w="1108" w:type="dxa"/>
            <w:shd w:val="clear" w:color="auto" w:fill="DFDFDF"/>
          </w:tcPr>
          <w:p>
            <w:pPr>
              <w:pStyle w:val="TableParagraph"/>
              <w:rPr>
                <w:rFonts w:ascii="Times New Roman"/>
                <w:sz w:val="10"/>
              </w:rPr>
            </w:pPr>
          </w:p>
        </w:tc>
        <w:tc>
          <w:tcPr>
            <w:tcW w:w="1108" w:type="dxa"/>
          </w:tcPr>
          <w:p>
            <w:pPr>
              <w:pStyle w:val="TableParagraph"/>
              <w:rPr>
                <w:rFonts w:ascii="Times New Roman"/>
                <w:sz w:val="10"/>
              </w:rPr>
            </w:pPr>
          </w:p>
        </w:tc>
        <w:tc>
          <w:tcPr>
            <w:tcW w:w="1108" w:type="dxa"/>
          </w:tcPr>
          <w:p>
            <w:pPr>
              <w:pStyle w:val="TableParagraph"/>
              <w:spacing w:line="126" w:lineRule="exact" w:before="29"/>
              <w:ind w:left="16"/>
              <w:rPr>
                <w:i/>
                <w:sz w:val="11"/>
              </w:rPr>
            </w:pPr>
            <w:r>
              <w:rPr>
                <w:i/>
                <w:sz w:val="11"/>
              </w:rPr>
              <w:t>400,000.00</w:t>
            </w:r>
          </w:p>
        </w:tc>
        <w:tc>
          <w:tcPr>
            <w:tcW w:w="1108" w:type="dxa"/>
            <w:shd w:val="clear" w:color="auto" w:fill="DFDFDF"/>
          </w:tcPr>
          <w:p>
            <w:pPr>
              <w:pStyle w:val="TableParagraph"/>
              <w:rPr>
                <w:rFonts w:ascii="Times New Roman"/>
                <w:sz w:val="10"/>
              </w:rPr>
            </w:pPr>
          </w:p>
        </w:tc>
        <w:tc>
          <w:tcPr>
            <w:tcW w:w="1108" w:type="dxa"/>
          </w:tcPr>
          <w:p>
            <w:pPr>
              <w:pStyle w:val="TableParagraph"/>
              <w:spacing w:line="126" w:lineRule="exact" w:before="29"/>
              <w:ind w:left="17"/>
              <w:rPr>
                <w:i/>
                <w:sz w:val="11"/>
              </w:rPr>
            </w:pPr>
            <w:r>
              <w:rPr>
                <w:i/>
                <w:sz w:val="11"/>
              </w:rPr>
              <w:t>400,000.00</w:t>
            </w:r>
          </w:p>
        </w:tc>
        <w:tc>
          <w:tcPr>
            <w:tcW w:w="623" w:type="dxa"/>
            <w:shd w:val="clear" w:color="auto" w:fill="DFDFDF"/>
          </w:tcPr>
          <w:p>
            <w:pPr>
              <w:pStyle w:val="TableParagraph"/>
              <w:rPr>
                <w:rFonts w:ascii="Times New Roman"/>
                <w:sz w:val="10"/>
              </w:rPr>
            </w:pPr>
          </w:p>
        </w:tc>
      </w:tr>
      <w:tr>
        <w:trPr>
          <w:trHeight w:val="160" w:hRule="atLeast"/>
        </w:trPr>
        <w:tc>
          <w:tcPr>
            <w:tcW w:w="2463" w:type="dxa"/>
          </w:tcPr>
          <w:p>
            <w:pPr>
              <w:pStyle w:val="TableParagraph"/>
              <w:spacing w:line="123" w:lineRule="exact" w:before="17"/>
              <w:ind w:left="398"/>
              <w:rPr>
                <w:sz w:val="11"/>
              </w:rPr>
            </w:pPr>
            <w:r>
              <w:rPr>
                <w:sz w:val="11"/>
              </w:rPr>
              <w:t>Bus Purchase</w:t>
            </w:r>
          </w:p>
        </w:tc>
        <w:tc>
          <w:tcPr>
            <w:tcW w:w="1272" w:type="dxa"/>
          </w:tcPr>
          <w:p>
            <w:pPr>
              <w:pStyle w:val="TableParagraph"/>
              <w:spacing w:line="123" w:lineRule="exact" w:before="17"/>
              <w:ind w:left="388"/>
              <w:rPr>
                <w:sz w:val="11"/>
              </w:rPr>
            </w:pPr>
            <w:r>
              <w:rPr>
                <w:sz w:val="11"/>
              </w:rPr>
              <w:t>0000</w:t>
            </w:r>
          </w:p>
        </w:tc>
        <w:tc>
          <w:tcPr>
            <w:tcW w:w="404" w:type="dxa"/>
          </w:tcPr>
          <w:p>
            <w:pPr>
              <w:pStyle w:val="TableParagraph"/>
              <w:spacing w:line="123" w:lineRule="exact" w:before="17"/>
              <w:ind w:left="28"/>
              <w:rPr>
                <w:sz w:val="11"/>
              </w:rPr>
            </w:pPr>
            <w:r>
              <w:rPr>
                <w:sz w:val="11"/>
              </w:rPr>
              <w:t>9780</w:t>
            </w:r>
          </w:p>
        </w:tc>
        <w:tc>
          <w:tcPr>
            <w:tcW w:w="1220" w:type="dxa"/>
          </w:tcPr>
          <w:p>
            <w:pPr>
              <w:pStyle w:val="TableParagraph"/>
              <w:rPr>
                <w:rFonts w:ascii="Times New Roman"/>
                <w:sz w:val="10"/>
              </w:rPr>
            </w:pPr>
          </w:p>
        </w:tc>
        <w:tc>
          <w:tcPr>
            <w:tcW w:w="1108" w:type="dxa"/>
            <w:shd w:val="clear" w:color="auto" w:fill="DFDFDF"/>
          </w:tcPr>
          <w:p>
            <w:pPr>
              <w:pStyle w:val="TableParagraph"/>
              <w:rPr>
                <w:rFonts w:ascii="Times New Roman"/>
                <w:sz w:val="10"/>
              </w:rPr>
            </w:pPr>
          </w:p>
        </w:tc>
        <w:tc>
          <w:tcPr>
            <w:tcW w:w="1108" w:type="dxa"/>
          </w:tcPr>
          <w:p>
            <w:pPr>
              <w:pStyle w:val="TableParagraph"/>
              <w:rPr>
                <w:rFonts w:ascii="Times New Roman"/>
                <w:sz w:val="10"/>
              </w:rPr>
            </w:pPr>
          </w:p>
        </w:tc>
        <w:tc>
          <w:tcPr>
            <w:tcW w:w="1108" w:type="dxa"/>
          </w:tcPr>
          <w:p>
            <w:pPr>
              <w:pStyle w:val="TableParagraph"/>
              <w:spacing w:line="126" w:lineRule="exact" w:before="15"/>
              <w:ind w:left="16"/>
              <w:rPr>
                <w:i/>
                <w:sz w:val="11"/>
              </w:rPr>
            </w:pPr>
            <w:r>
              <w:rPr>
                <w:i/>
                <w:sz w:val="11"/>
              </w:rPr>
              <w:t>100,000.00</w:t>
            </w:r>
          </w:p>
        </w:tc>
        <w:tc>
          <w:tcPr>
            <w:tcW w:w="1108" w:type="dxa"/>
            <w:shd w:val="clear" w:color="auto" w:fill="DFDFDF"/>
          </w:tcPr>
          <w:p>
            <w:pPr>
              <w:pStyle w:val="TableParagraph"/>
              <w:rPr>
                <w:rFonts w:ascii="Times New Roman"/>
                <w:sz w:val="10"/>
              </w:rPr>
            </w:pPr>
          </w:p>
        </w:tc>
        <w:tc>
          <w:tcPr>
            <w:tcW w:w="1108" w:type="dxa"/>
          </w:tcPr>
          <w:p>
            <w:pPr>
              <w:pStyle w:val="TableParagraph"/>
              <w:spacing w:line="126" w:lineRule="exact" w:before="15"/>
              <w:ind w:left="17"/>
              <w:rPr>
                <w:i/>
                <w:sz w:val="11"/>
              </w:rPr>
            </w:pPr>
            <w:r>
              <w:rPr>
                <w:i/>
                <w:sz w:val="11"/>
              </w:rPr>
              <w:t>100,000.00</w:t>
            </w:r>
          </w:p>
        </w:tc>
        <w:tc>
          <w:tcPr>
            <w:tcW w:w="623" w:type="dxa"/>
            <w:shd w:val="clear" w:color="auto" w:fill="DFDFDF"/>
          </w:tcPr>
          <w:p>
            <w:pPr>
              <w:pStyle w:val="TableParagraph"/>
              <w:rPr>
                <w:rFonts w:ascii="Times New Roman"/>
                <w:sz w:val="10"/>
              </w:rPr>
            </w:pPr>
          </w:p>
        </w:tc>
      </w:tr>
      <w:tr>
        <w:trPr>
          <w:trHeight w:val="160" w:hRule="atLeast"/>
        </w:trPr>
        <w:tc>
          <w:tcPr>
            <w:tcW w:w="2463" w:type="dxa"/>
          </w:tcPr>
          <w:p>
            <w:pPr>
              <w:pStyle w:val="TableParagraph"/>
              <w:spacing w:line="123" w:lineRule="exact" w:before="17"/>
              <w:ind w:left="398"/>
              <w:rPr>
                <w:sz w:val="11"/>
              </w:rPr>
            </w:pPr>
            <w:r>
              <w:rPr>
                <w:sz w:val="11"/>
              </w:rPr>
              <w:t>2 Years of Charter Oversight</w:t>
            </w:r>
          </w:p>
        </w:tc>
        <w:tc>
          <w:tcPr>
            <w:tcW w:w="1272" w:type="dxa"/>
          </w:tcPr>
          <w:p>
            <w:pPr>
              <w:pStyle w:val="TableParagraph"/>
              <w:spacing w:line="123" w:lineRule="exact" w:before="17"/>
              <w:ind w:left="388"/>
              <w:rPr>
                <w:sz w:val="11"/>
              </w:rPr>
            </w:pPr>
            <w:r>
              <w:rPr>
                <w:sz w:val="11"/>
              </w:rPr>
              <w:t>0000</w:t>
            </w:r>
          </w:p>
        </w:tc>
        <w:tc>
          <w:tcPr>
            <w:tcW w:w="404" w:type="dxa"/>
          </w:tcPr>
          <w:p>
            <w:pPr>
              <w:pStyle w:val="TableParagraph"/>
              <w:spacing w:line="123" w:lineRule="exact" w:before="17"/>
              <w:ind w:left="28"/>
              <w:rPr>
                <w:sz w:val="11"/>
              </w:rPr>
            </w:pPr>
            <w:r>
              <w:rPr>
                <w:sz w:val="11"/>
              </w:rPr>
              <w:t>9780</w:t>
            </w:r>
          </w:p>
        </w:tc>
        <w:tc>
          <w:tcPr>
            <w:tcW w:w="1220" w:type="dxa"/>
          </w:tcPr>
          <w:p>
            <w:pPr>
              <w:pStyle w:val="TableParagraph"/>
              <w:rPr>
                <w:rFonts w:ascii="Times New Roman"/>
                <w:sz w:val="10"/>
              </w:rPr>
            </w:pPr>
          </w:p>
        </w:tc>
        <w:tc>
          <w:tcPr>
            <w:tcW w:w="1108" w:type="dxa"/>
            <w:shd w:val="clear" w:color="auto" w:fill="DFDFDF"/>
          </w:tcPr>
          <w:p>
            <w:pPr>
              <w:pStyle w:val="TableParagraph"/>
              <w:rPr>
                <w:rFonts w:ascii="Times New Roman"/>
                <w:sz w:val="10"/>
              </w:rPr>
            </w:pPr>
          </w:p>
        </w:tc>
        <w:tc>
          <w:tcPr>
            <w:tcW w:w="1108" w:type="dxa"/>
          </w:tcPr>
          <w:p>
            <w:pPr>
              <w:pStyle w:val="TableParagraph"/>
              <w:rPr>
                <w:rFonts w:ascii="Times New Roman"/>
                <w:sz w:val="10"/>
              </w:rPr>
            </w:pPr>
          </w:p>
        </w:tc>
        <w:tc>
          <w:tcPr>
            <w:tcW w:w="1108" w:type="dxa"/>
          </w:tcPr>
          <w:p>
            <w:pPr>
              <w:pStyle w:val="TableParagraph"/>
              <w:spacing w:line="126" w:lineRule="exact" w:before="15"/>
              <w:ind w:left="16"/>
              <w:rPr>
                <w:i/>
                <w:sz w:val="11"/>
              </w:rPr>
            </w:pPr>
            <w:r>
              <w:rPr>
                <w:i/>
                <w:sz w:val="11"/>
              </w:rPr>
              <w:t>520,974.00</w:t>
            </w:r>
          </w:p>
        </w:tc>
        <w:tc>
          <w:tcPr>
            <w:tcW w:w="1108" w:type="dxa"/>
            <w:shd w:val="clear" w:color="auto" w:fill="DFDFDF"/>
          </w:tcPr>
          <w:p>
            <w:pPr>
              <w:pStyle w:val="TableParagraph"/>
              <w:rPr>
                <w:rFonts w:ascii="Times New Roman"/>
                <w:sz w:val="10"/>
              </w:rPr>
            </w:pPr>
          </w:p>
        </w:tc>
        <w:tc>
          <w:tcPr>
            <w:tcW w:w="1108" w:type="dxa"/>
          </w:tcPr>
          <w:p>
            <w:pPr>
              <w:pStyle w:val="TableParagraph"/>
              <w:spacing w:line="126" w:lineRule="exact" w:before="15"/>
              <w:ind w:left="17"/>
              <w:rPr>
                <w:i/>
                <w:sz w:val="11"/>
              </w:rPr>
            </w:pPr>
            <w:r>
              <w:rPr>
                <w:i/>
                <w:sz w:val="11"/>
              </w:rPr>
              <w:t>520,974.00</w:t>
            </w:r>
          </w:p>
        </w:tc>
        <w:tc>
          <w:tcPr>
            <w:tcW w:w="623" w:type="dxa"/>
            <w:shd w:val="clear" w:color="auto" w:fill="DFDFDF"/>
          </w:tcPr>
          <w:p>
            <w:pPr>
              <w:pStyle w:val="TableParagraph"/>
              <w:rPr>
                <w:rFonts w:ascii="Times New Roman"/>
                <w:sz w:val="10"/>
              </w:rPr>
            </w:pPr>
          </w:p>
        </w:tc>
      </w:tr>
      <w:tr>
        <w:trPr>
          <w:trHeight w:val="160" w:hRule="atLeast"/>
        </w:trPr>
        <w:tc>
          <w:tcPr>
            <w:tcW w:w="2463" w:type="dxa"/>
          </w:tcPr>
          <w:p>
            <w:pPr>
              <w:pStyle w:val="TableParagraph"/>
              <w:spacing w:line="123" w:lineRule="exact" w:before="17"/>
              <w:ind w:left="398"/>
              <w:rPr>
                <w:sz w:val="11"/>
              </w:rPr>
            </w:pPr>
            <w:r>
              <w:rPr>
                <w:sz w:val="11"/>
              </w:rPr>
              <w:t>Deferred Maintenance</w:t>
            </w:r>
          </w:p>
        </w:tc>
        <w:tc>
          <w:tcPr>
            <w:tcW w:w="1272" w:type="dxa"/>
          </w:tcPr>
          <w:p>
            <w:pPr>
              <w:pStyle w:val="TableParagraph"/>
              <w:spacing w:line="123" w:lineRule="exact" w:before="17"/>
              <w:ind w:left="388"/>
              <w:rPr>
                <w:sz w:val="11"/>
              </w:rPr>
            </w:pPr>
            <w:r>
              <w:rPr>
                <w:sz w:val="11"/>
              </w:rPr>
              <w:t>0000</w:t>
            </w:r>
          </w:p>
        </w:tc>
        <w:tc>
          <w:tcPr>
            <w:tcW w:w="404" w:type="dxa"/>
          </w:tcPr>
          <w:p>
            <w:pPr>
              <w:pStyle w:val="TableParagraph"/>
              <w:spacing w:line="123" w:lineRule="exact" w:before="17"/>
              <w:ind w:left="28"/>
              <w:rPr>
                <w:sz w:val="11"/>
              </w:rPr>
            </w:pPr>
            <w:r>
              <w:rPr>
                <w:sz w:val="11"/>
              </w:rPr>
              <w:t>9780</w:t>
            </w:r>
          </w:p>
        </w:tc>
        <w:tc>
          <w:tcPr>
            <w:tcW w:w="1220" w:type="dxa"/>
          </w:tcPr>
          <w:p>
            <w:pPr>
              <w:pStyle w:val="TableParagraph"/>
              <w:spacing w:line="126" w:lineRule="exact" w:before="15"/>
              <w:ind w:left="125"/>
              <w:rPr>
                <w:i/>
                <w:sz w:val="11"/>
              </w:rPr>
            </w:pPr>
            <w:r>
              <w:rPr>
                <w:i/>
                <w:sz w:val="11"/>
              </w:rPr>
              <w:t>400,000.00</w:t>
            </w:r>
          </w:p>
        </w:tc>
        <w:tc>
          <w:tcPr>
            <w:tcW w:w="1108" w:type="dxa"/>
            <w:shd w:val="clear" w:color="auto" w:fill="DFDFDF"/>
          </w:tcPr>
          <w:p>
            <w:pPr>
              <w:pStyle w:val="TableParagraph"/>
              <w:rPr>
                <w:rFonts w:ascii="Times New Roman"/>
                <w:sz w:val="10"/>
              </w:rPr>
            </w:pPr>
          </w:p>
        </w:tc>
        <w:tc>
          <w:tcPr>
            <w:tcW w:w="1108" w:type="dxa"/>
          </w:tcPr>
          <w:p>
            <w:pPr>
              <w:pStyle w:val="TableParagraph"/>
              <w:spacing w:line="126" w:lineRule="exact" w:before="15"/>
              <w:ind w:left="15"/>
              <w:rPr>
                <w:i/>
                <w:sz w:val="11"/>
              </w:rPr>
            </w:pPr>
            <w:r>
              <w:rPr>
                <w:i/>
                <w:sz w:val="11"/>
              </w:rPr>
              <w:t>400,000.00</w:t>
            </w:r>
          </w:p>
        </w:tc>
        <w:tc>
          <w:tcPr>
            <w:tcW w:w="1108" w:type="dxa"/>
          </w:tcPr>
          <w:p>
            <w:pPr>
              <w:pStyle w:val="TableParagraph"/>
              <w:rPr>
                <w:rFonts w:ascii="Times New Roman"/>
                <w:sz w:val="10"/>
              </w:rPr>
            </w:pPr>
          </w:p>
        </w:tc>
        <w:tc>
          <w:tcPr>
            <w:tcW w:w="1108" w:type="dxa"/>
            <w:shd w:val="clear" w:color="auto" w:fill="DFDFDF"/>
          </w:tcPr>
          <w:p>
            <w:pPr>
              <w:pStyle w:val="TableParagraph"/>
              <w:rPr>
                <w:rFonts w:ascii="Times New Roman"/>
                <w:sz w:val="10"/>
              </w:rPr>
            </w:pPr>
          </w:p>
        </w:tc>
        <w:tc>
          <w:tcPr>
            <w:tcW w:w="1108" w:type="dxa"/>
          </w:tcPr>
          <w:p>
            <w:pPr>
              <w:pStyle w:val="TableParagraph"/>
              <w:rPr>
                <w:rFonts w:ascii="Times New Roman"/>
                <w:sz w:val="10"/>
              </w:rPr>
            </w:pPr>
          </w:p>
        </w:tc>
        <w:tc>
          <w:tcPr>
            <w:tcW w:w="623" w:type="dxa"/>
            <w:shd w:val="clear" w:color="auto" w:fill="DFDFDF"/>
          </w:tcPr>
          <w:p>
            <w:pPr>
              <w:pStyle w:val="TableParagraph"/>
              <w:rPr>
                <w:rFonts w:ascii="Times New Roman"/>
                <w:sz w:val="10"/>
              </w:rPr>
            </w:pPr>
          </w:p>
        </w:tc>
      </w:tr>
      <w:tr>
        <w:trPr>
          <w:trHeight w:val="160" w:hRule="atLeast"/>
        </w:trPr>
        <w:tc>
          <w:tcPr>
            <w:tcW w:w="2463" w:type="dxa"/>
          </w:tcPr>
          <w:p>
            <w:pPr>
              <w:pStyle w:val="TableParagraph"/>
              <w:spacing w:line="123" w:lineRule="exact" w:before="17"/>
              <w:ind w:left="398"/>
              <w:rPr>
                <w:sz w:val="11"/>
              </w:rPr>
            </w:pPr>
            <w:r>
              <w:rPr>
                <w:sz w:val="11"/>
              </w:rPr>
              <w:t>Bus Purchase</w:t>
            </w:r>
          </w:p>
        </w:tc>
        <w:tc>
          <w:tcPr>
            <w:tcW w:w="1272" w:type="dxa"/>
          </w:tcPr>
          <w:p>
            <w:pPr>
              <w:pStyle w:val="TableParagraph"/>
              <w:spacing w:line="123" w:lineRule="exact" w:before="17"/>
              <w:ind w:left="388"/>
              <w:rPr>
                <w:sz w:val="11"/>
              </w:rPr>
            </w:pPr>
            <w:r>
              <w:rPr>
                <w:sz w:val="11"/>
              </w:rPr>
              <w:t>0000</w:t>
            </w:r>
          </w:p>
        </w:tc>
        <w:tc>
          <w:tcPr>
            <w:tcW w:w="404" w:type="dxa"/>
          </w:tcPr>
          <w:p>
            <w:pPr>
              <w:pStyle w:val="TableParagraph"/>
              <w:spacing w:line="123" w:lineRule="exact" w:before="17"/>
              <w:ind w:left="28"/>
              <w:rPr>
                <w:sz w:val="11"/>
              </w:rPr>
            </w:pPr>
            <w:r>
              <w:rPr>
                <w:sz w:val="11"/>
              </w:rPr>
              <w:t>9780</w:t>
            </w:r>
          </w:p>
        </w:tc>
        <w:tc>
          <w:tcPr>
            <w:tcW w:w="1220" w:type="dxa"/>
          </w:tcPr>
          <w:p>
            <w:pPr>
              <w:pStyle w:val="TableParagraph"/>
              <w:spacing w:line="126" w:lineRule="exact" w:before="15"/>
              <w:ind w:left="125"/>
              <w:rPr>
                <w:i/>
                <w:sz w:val="11"/>
              </w:rPr>
            </w:pPr>
            <w:r>
              <w:rPr>
                <w:i/>
                <w:sz w:val="11"/>
              </w:rPr>
              <w:t>100,000.00</w:t>
            </w:r>
          </w:p>
        </w:tc>
        <w:tc>
          <w:tcPr>
            <w:tcW w:w="1108" w:type="dxa"/>
            <w:shd w:val="clear" w:color="auto" w:fill="DFDFDF"/>
          </w:tcPr>
          <w:p>
            <w:pPr>
              <w:pStyle w:val="TableParagraph"/>
              <w:rPr>
                <w:rFonts w:ascii="Times New Roman"/>
                <w:sz w:val="10"/>
              </w:rPr>
            </w:pPr>
          </w:p>
        </w:tc>
        <w:tc>
          <w:tcPr>
            <w:tcW w:w="1108" w:type="dxa"/>
          </w:tcPr>
          <w:p>
            <w:pPr>
              <w:pStyle w:val="TableParagraph"/>
              <w:spacing w:line="126" w:lineRule="exact" w:before="15"/>
              <w:ind w:left="15"/>
              <w:rPr>
                <w:i/>
                <w:sz w:val="11"/>
              </w:rPr>
            </w:pPr>
            <w:r>
              <w:rPr>
                <w:i/>
                <w:sz w:val="11"/>
              </w:rPr>
              <w:t>100,000.00</w:t>
            </w:r>
          </w:p>
        </w:tc>
        <w:tc>
          <w:tcPr>
            <w:tcW w:w="1108" w:type="dxa"/>
          </w:tcPr>
          <w:p>
            <w:pPr>
              <w:pStyle w:val="TableParagraph"/>
              <w:rPr>
                <w:rFonts w:ascii="Times New Roman"/>
                <w:sz w:val="10"/>
              </w:rPr>
            </w:pPr>
          </w:p>
        </w:tc>
        <w:tc>
          <w:tcPr>
            <w:tcW w:w="1108" w:type="dxa"/>
            <w:shd w:val="clear" w:color="auto" w:fill="DFDFDF"/>
          </w:tcPr>
          <w:p>
            <w:pPr>
              <w:pStyle w:val="TableParagraph"/>
              <w:rPr>
                <w:rFonts w:ascii="Times New Roman"/>
                <w:sz w:val="10"/>
              </w:rPr>
            </w:pPr>
          </w:p>
        </w:tc>
        <w:tc>
          <w:tcPr>
            <w:tcW w:w="1108" w:type="dxa"/>
          </w:tcPr>
          <w:p>
            <w:pPr>
              <w:pStyle w:val="TableParagraph"/>
              <w:rPr>
                <w:rFonts w:ascii="Times New Roman"/>
                <w:sz w:val="10"/>
              </w:rPr>
            </w:pPr>
          </w:p>
        </w:tc>
        <w:tc>
          <w:tcPr>
            <w:tcW w:w="623" w:type="dxa"/>
            <w:shd w:val="clear" w:color="auto" w:fill="DFDFDF"/>
          </w:tcPr>
          <w:p>
            <w:pPr>
              <w:pStyle w:val="TableParagraph"/>
              <w:rPr>
                <w:rFonts w:ascii="Times New Roman"/>
                <w:sz w:val="10"/>
              </w:rPr>
            </w:pPr>
          </w:p>
        </w:tc>
      </w:tr>
      <w:tr>
        <w:trPr>
          <w:trHeight w:val="147" w:hRule="atLeast"/>
        </w:trPr>
        <w:tc>
          <w:tcPr>
            <w:tcW w:w="2463" w:type="dxa"/>
          </w:tcPr>
          <w:p>
            <w:pPr>
              <w:pStyle w:val="TableParagraph"/>
              <w:spacing w:line="110" w:lineRule="exact" w:before="17"/>
              <w:ind w:left="398"/>
              <w:rPr>
                <w:sz w:val="11"/>
              </w:rPr>
            </w:pPr>
            <w:r>
              <w:rPr>
                <w:sz w:val="11"/>
              </w:rPr>
              <w:t>2 Years of Charter Oversight</w:t>
            </w:r>
          </w:p>
        </w:tc>
        <w:tc>
          <w:tcPr>
            <w:tcW w:w="1272" w:type="dxa"/>
          </w:tcPr>
          <w:p>
            <w:pPr>
              <w:pStyle w:val="TableParagraph"/>
              <w:spacing w:line="110" w:lineRule="exact" w:before="17"/>
              <w:ind w:left="388"/>
              <w:rPr>
                <w:sz w:val="11"/>
              </w:rPr>
            </w:pPr>
            <w:r>
              <w:rPr>
                <w:sz w:val="11"/>
              </w:rPr>
              <w:t>0000</w:t>
            </w:r>
          </w:p>
        </w:tc>
        <w:tc>
          <w:tcPr>
            <w:tcW w:w="404" w:type="dxa"/>
          </w:tcPr>
          <w:p>
            <w:pPr>
              <w:pStyle w:val="TableParagraph"/>
              <w:spacing w:line="110" w:lineRule="exact" w:before="17"/>
              <w:ind w:left="28"/>
              <w:rPr>
                <w:sz w:val="11"/>
              </w:rPr>
            </w:pPr>
            <w:r>
              <w:rPr>
                <w:sz w:val="11"/>
              </w:rPr>
              <w:t>9780</w:t>
            </w:r>
          </w:p>
        </w:tc>
        <w:tc>
          <w:tcPr>
            <w:tcW w:w="1220" w:type="dxa"/>
          </w:tcPr>
          <w:p>
            <w:pPr>
              <w:pStyle w:val="TableParagraph"/>
              <w:spacing w:line="112" w:lineRule="exact" w:before="15"/>
              <w:ind w:left="125"/>
              <w:rPr>
                <w:i/>
                <w:sz w:val="11"/>
              </w:rPr>
            </w:pPr>
            <w:r>
              <w:rPr>
                <w:i/>
                <w:sz w:val="11"/>
              </w:rPr>
              <w:t>520,974.00</w:t>
            </w:r>
          </w:p>
        </w:tc>
        <w:tc>
          <w:tcPr>
            <w:tcW w:w="1108" w:type="dxa"/>
            <w:shd w:val="clear" w:color="auto" w:fill="DFDFDF"/>
          </w:tcPr>
          <w:p>
            <w:pPr>
              <w:pStyle w:val="TableParagraph"/>
              <w:rPr>
                <w:rFonts w:ascii="Times New Roman"/>
                <w:sz w:val="8"/>
              </w:rPr>
            </w:pPr>
          </w:p>
        </w:tc>
        <w:tc>
          <w:tcPr>
            <w:tcW w:w="1108" w:type="dxa"/>
          </w:tcPr>
          <w:p>
            <w:pPr>
              <w:pStyle w:val="TableParagraph"/>
              <w:spacing w:line="112" w:lineRule="exact" w:before="15"/>
              <w:ind w:left="15"/>
              <w:rPr>
                <w:i/>
                <w:sz w:val="11"/>
              </w:rPr>
            </w:pPr>
            <w:r>
              <w:rPr>
                <w:i/>
                <w:sz w:val="11"/>
              </w:rPr>
              <w:t>520,974.00</w:t>
            </w:r>
          </w:p>
        </w:tc>
        <w:tc>
          <w:tcPr>
            <w:tcW w:w="1108" w:type="dxa"/>
          </w:tcPr>
          <w:p>
            <w:pPr>
              <w:pStyle w:val="TableParagraph"/>
              <w:rPr>
                <w:rFonts w:ascii="Times New Roman"/>
                <w:sz w:val="8"/>
              </w:rPr>
            </w:pPr>
          </w:p>
        </w:tc>
        <w:tc>
          <w:tcPr>
            <w:tcW w:w="1108" w:type="dxa"/>
            <w:shd w:val="clear" w:color="auto" w:fill="DFDFDF"/>
          </w:tcPr>
          <w:p>
            <w:pPr>
              <w:pStyle w:val="TableParagraph"/>
              <w:rPr>
                <w:rFonts w:ascii="Times New Roman"/>
                <w:sz w:val="8"/>
              </w:rPr>
            </w:pPr>
          </w:p>
        </w:tc>
        <w:tc>
          <w:tcPr>
            <w:tcW w:w="1108" w:type="dxa"/>
          </w:tcPr>
          <w:p>
            <w:pPr>
              <w:pStyle w:val="TableParagraph"/>
              <w:rPr>
                <w:rFonts w:ascii="Times New Roman"/>
                <w:sz w:val="8"/>
              </w:rPr>
            </w:pPr>
          </w:p>
        </w:tc>
        <w:tc>
          <w:tcPr>
            <w:tcW w:w="623" w:type="dxa"/>
            <w:shd w:val="clear" w:color="auto" w:fill="DFDFDF"/>
          </w:tcPr>
          <w:p>
            <w:pPr>
              <w:pStyle w:val="TableParagraph"/>
              <w:rPr>
                <w:rFonts w:ascii="Times New Roman"/>
                <w:sz w:val="8"/>
              </w:rPr>
            </w:pPr>
          </w:p>
        </w:tc>
      </w:tr>
      <w:tr>
        <w:trPr>
          <w:trHeight w:val="332" w:hRule="atLeast"/>
        </w:trPr>
        <w:tc>
          <w:tcPr>
            <w:tcW w:w="5359" w:type="dxa"/>
            <w:gridSpan w:val="4"/>
          </w:tcPr>
          <w:p>
            <w:pPr>
              <w:pStyle w:val="TableParagraph"/>
              <w:spacing w:before="101"/>
              <w:ind w:left="153"/>
              <w:rPr>
                <w:sz w:val="11"/>
              </w:rPr>
            </w:pPr>
            <w:r>
              <w:rPr>
                <w:sz w:val="11"/>
              </w:rPr>
              <w:t>e) Unassigned/Unappropriated</w:t>
            </w:r>
          </w:p>
        </w:tc>
        <w:tc>
          <w:tcPr>
            <w:tcW w:w="1108" w:type="dxa"/>
            <w:shd w:val="clear" w:color="auto" w:fill="DFDFDF"/>
          </w:tcPr>
          <w:p>
            <w:pPr>
              <w:pStyle w:val="TableParagraph"/>
              <w:rPr>
                <w:rFonts w:ascii="Times New Roman"/>
                <w:sz w:val="10"/>
              </w:rPr>
            </w:pPr>
          </w:p>
        </w:tc>
        <w:tc>
          <w:tcPr>
            <w:tcW w:w="1108" w:type="dxa"/>
          </w:tcPr>
          <w:p>
            <w:pPr>
              <w:pStyle w:val="TableParagraph"/>
              <w:rPr>
                <w:rFonts w:ascii="Times New Roman"/>
                <w:sz w:val="10"/>
              </w:rPr>
            </w:pPr>
          </w:p>
        </w:tc>
        <w:tc>
          <w:tcPr>
            <w:tcW w:w="1108" w:type="dxa"/>
          </w:tcPr>
          <w:p>
            <w:pPr>
              <w:pStyle w:val="TableParagraph"/>
              <w:rPr>
                <w:rFonts w:ascii="Times New Roman"/>
                <w:sz w:val="10"/>
              </w:rPr>
            </w:pPr>
          </w:p>
        </w:tc>
        <w:tc>
          <w:tcPr>
            <w:tcW w:w="1108" w:type="dxa"/>
            <w:shd w:val="clear" w:color="auto" w:fill="DFDFDF"/>
          </w:tcPr>
          <w:p>
            <w:pPr>
              <w:pStyle w:val="TableParagraph"/>
              <w:rPr>
                <w:rFonts w:ascii="Times New Roman"/>
                <w:sz w:val="10"/>
              </w:rPr>
            </w:pPr>
          </w:p>
        </w:tc>
        <w:tc>
          <w:tcPr>
            <w:tcW w:w="1731" w:type="dxa"/>
            <w:gridSpan w:val="2"/>
          </w:tcPr>
          <w:p>
            <w:pPr>
              <w:pStyle w:val="TableParagraph"/>
              <w:rPr>
                <w:rFonts w:ascii="Times New Roman"/>
                <w:sz w:val="10"/>
              </w:rPr>
            </w:pPr>
          </w:p>
        </w:tc>
      </w:tr>
      <w:tr>
        <w:trPr>
          <w:trHeight w:val="128" w:hRule="atLeast"/>
        </w:trPr>
        <w:tc>
          <w:tcPr>
            <w:tcW w:w="2463" w:type="dxa"/>
          </w:tcPr>
          <w:p>
            <w:pPr>
              <w:pStyle w:val="TableParagraph"/>
              <w:spacing w:line="108" w:lineRule="exact"/>
              <w:ind w:left="277"/>
              <w:rPr>
                <w:sz w:val="11"/>
              </w:rPr>
            </w:pPr>
            <w:r>
              <w:rPr>
                <w:sz w:val="11"/>
              </w:rPr>
              <w:t>Reserve for Economic Uncertainties</w:t>
            </w:r>
          </w:p>
        </w:tc>
        <w:tc>
          <w:tcPr>
            <w:tcW w:w="1676" w:type="dxa"/>
            <w:gridSpan w:val="2"/>
          </w:tcPr>
          <w:p>
            <w:pPr>
              <w:pStyle w:val="TableParagraph"/>
              <w:spacing w:line="108" w:lineRule="exact"/>
              <w:ind w:right="124"/>
              <w:jc w:val="right"/>
              <w:rPr>
                <w:sz w:val="11"/>
              </w:rPr>
            </w:pPr>
            <w:r>
              <w:rPr>
                <w:sz w:val="11"/>
              </w:rPr>
              <w:t>9789</w:t>
            </w:r>
          </w:p>
        </w:tc>
        <w:tc>
          <w:tcPr>
            <w:tcW w:w="1220" w:type="dxa"/>
          </w:tcPr>
          <w:p>
            <w:pPr>
              <w:pStyle w:val="TableParagraph"/>
              <w:spacing w:line="108" w:lineRule="exact"/>
              <w:ind w:right="53"/>
              <w:jc w:val="right"/>
              <w:rPr>
                <w:sz w:val="11"/>
              </w:rPr>
            </w:pPr>
            <w:r>
              <w:rPr>
                <w:sz w:val="11"/>
              </w:rPr>
              <w:t>105,951.70</w:t>
            </w:r>
          </w:p>
        </w:tc>
        <w:tc>
          <w:tcPr>
            <w:tcW w:w="1108" w:type="dxa"/>
            <w:shd w:val="clear" w:color="auto" w:fill="DFDFDF"/>
          </w:tcPr>
          <w:p>
            <w:pPr>
              <w:pStyle w:val="TableParagraph"/>
              <w:spacing w:line="108" w:lineRule="exact"/>
              <w:ind w:right="52"/>
              <w:jc w:val="right"/>
              <w:rPr>
                <w:sz w:val="11"/>
              </w:rPr>
            </w:pPr>
            <w:r>
              <w:rPr>
                <w:sz w:val="11"/>
              </w:rPr>
              <w:t>0.00</w:t>
            </w:r>
          </w:p>
        </w:tc>
        <w:tc>
          <w:tcPr>
            <w:tcW w:w="1108" w:type="dxa"/>
          </w:tcPr>
          <w:p>
            <w:pPr>
              <w:pStyle w:val="TableParagraph"/>
              <w:spacing w:line="108" w:lineRule="exact"/>
              <w:ind w:right="51"/>
              <w:jc w:val="right"/>
              <w:rPr>
                <w:sz w:val="11"/>
              </w:rPr>
            </w:pPr>
            <w:r>
              <w:rPr>
                <w:sz w:val="11"/>
              </w:rPr>
              <w:t>105,951.70</w:t>
            </w:r>
          </w:p>
        </w:tc>
        <w:tc>
          <w:tcPr>
            <w:tcW w:w="1108" w:type="dxa"/>
          </w:tcPr>
          <w:p>
            <w:pPr>
              <w:pStyle w:val="TableParagraph"/>
              <w:spacing w:line="108" w:lineRule="exact"/>
              <w:ind w:right="50"/>
              <w:jc w:val="right"/>
              <w:rPr>
                <w:sz w:val="11"/>
              </w:rPr>
            </w:pPr>
            <w:r>
              <w:rPr>
                <w:sz w:val="11"/>
              </w:rPr>
              <w:t>105,868.70</w:t>
            </w:r>
          </w:p>
        </w:tc>
        <w:tc>
          <w:tcPr>
            <w:tcW w:w="1108" w:type="dxa"/>
            <w:shd w:val="clear" w:color="auto" w:fill="DFDFDF"/>
          </w:tcPr>
          <w:p>
            <w:pPr>
              <w:pStyle w:val="TableParagraph"/>
              <w:spacing w:line="108" w:lineRule="exact"/>
              <w:ind w:right="49"/>
              <w:jc w:val="right"/>
              <w:rPr>
                <w:sz w:val="11"/>
              </w:rPr>
            </w:pPr>
            <w:r>
              <w:rPr>
                <w:sz w:val="11"/>
              </w:rPr>
              <w:t>0.00</w:t>
            </w:r>
          </w:p>
        </w:tc>
        <w:tc>
          <w:tcPr>
            <w:tcW w:w="1108" w:type="dxa"/>
          </w:tcPr>
          <w:p>
            <w:pPr>
              <w:pStyle w:val="TableParagraph"/>
              <w:spacing w:line="108" w:lineRule="exact"/>
              <w:ind w:right="49"/>
              <w:jc w:val="right"/>
              <w:rPr>
                <w:sz w:val="11"/>
              </w:rPr>
            </w:pPr>
            <w:r>
              <w:rPr>
                <w:sz w:val="11"/>
              </w:rPr>
              <w:t>105,868.70</w:t>
            </w:r>
          </w:p>
        </w:tc>
        <w:tc>
          <w:tcPr>
            <w:tcW w:w="623" w:type="dxa"/>
          </w:tcPr>
          <w:p>
            <w:pPr>
              <w:pStyle w:val="TableParagraph"/>
              <w:spacing w:line="108" w:lineRule="exact"/>
              <w:ind w:right="29"/>
              <w:jc w:val="right"/>
              <w:rPr>
                <w:sz w:val="11"/>
              </w:rPr>
            </w:pPr>
            <w:r>
              <w:rPr>
                <w:sz w:val="11"/>
              </w:rPr>
              <w:t>-0.1%</w:t>
            </w:r>
          </w:p>
        </w:tc>
      </w:tr>
      <w:tr>
        <w:trPr>
          <w:trHeight w:val="227" w:hRule="atLeast"/>
        </w:trPr>
        <w:tc>
          <w:tcPr>
            <w:tcW w:w="2463" w:type="dxa"/>
          </w:tcPr>
          <w:p>
            <w:pPr>
              <w:pStyle w:val="TableParagraph"/>
              <w:spacing w:line="107" w:lineRule="exact" w:before="101"/>
              <w:ind w:left="246"/>
              <w:rPr>
                <w:sz w:val="11"/>
              </w:rPr>
            </w:pPr>
            <w:r>
              <w:rPr>
                <w:sz w:val="11"/>
              </w:rPr>
              <w:t>Unassigned/Unappropriated Amount</w:t>
            </w:r>
          </w:p>
        </w:tc>
        <w:tc>
          <w:tcPr>
            <w:tcW w:w="1676" w:type="dxa"/>
            <w:gridSpan w:val="2"/>
          </w:tcPr>
          <w:p>
            <w:pPr>
              <w:pStyle w:val="TableParagraph"/>
              <w:spacing w:line="107" w:lineRule="exact" w:before="101"/>
              <w:ind w:right="124"/>
              <w:jc w:val="right"/>
              <w:rPr>
                <w:sz w:val="11"/>
              </w:rPr>
            </w:pPr>
            <w:r>
              <w:rPr>
                <w:sz w:val="11"/>
              </w:rPr>
              <w:t>9790</w:t>
            </w:r>
          </w:p>
        </w:tc>
        <w:tc>
          <w:tcPr>
            <w:tcW w:w="1220" w:type="dxa"/>
          </w:tcPr>
          <w:p>
            <w:pPr>
              <w:pStyle w:val="TableParagraph"/>
              <w:spacing w:line="107" w:lineRule="exact" w:before="101"/>
              <w:ind w:right="53"/>
              <w:jc w:val="right"/>
              <w:rPr>
                <w:sz w:val="11"/>
              </w:rPr>
            </w:pPr>
            <w:r>
              <w:rPr>
                <w:sz w:val="11"/>
              </w:rPr>
              <w:t>1,373,504.30</w:t>
            </w:r>
          </w:p>
        </w:tc>
        <w:tc>
          <w:tcPr>
            <w:tcW w:w="1108" w:type="dxa"/>
          </w:tcPr>
          <w:p>
            <w:pPr>
              <w:pStyle w:val="TableParagraph"/>
              <w:spacing w:line="107" w:lineRule="exact" w:before="101"/>
              <w:ind w:right="15"/>
              <w:jc w:val="right"/>
              <w:rPr>
                <w:sz w:val="11"/>
              </w:rPr>
            </w:pPr>
            <w:r>
              <w:rPr>
                <w:sz w:val="11"/>
              </w:rPr>
              <w:t>(35,597.00)</w:t>
            </w:r>
          </w:p>
        </w:tc>
        <w:tc>
          <w:tcPr>
            <w:tcW w:w="1108" w:type="dxa"/>
          </w:tcPr>
          <w:p>
            <w:pPr>
              <w:pStyle w:val="TableParagraph"/>
              <w:spacing w:line="107" w:lineRule="exact" w:before="101"/>
              <w:ind w:right="52"/>
              <w:jc w:val="right"/>
              <w:rPr>
                <w:sz w:val="11"/>
              </w:rPr>
            </w:pPr>
            <w:r>
              <w:rPr>
                <w:sz w:val="11"/>
              </w:rPr>
              <w:t>1,337,907.30</w:t>
            </w:r>
          </w:p>
        </w:tc>
        <w:tc>
          <w:tcPr>
            <w:tcW w:w="1108" w:type="dxa"/>
          </w:tcPr>
          <w:p>
            <w:pPr>
              <w:pStyle w:val="TableParagraph"/>
              <w:spacing w:line="107" w:lineRule="exact" w:before="101"/>
              <w:ind w:right="51"/>
              <w:jc w:val="right"/>
              <w:rPr>
                <w:sz w:val="11"/>
              </w:rPr>
            </w:pPr>
            <w:r>
              <w:rPr>
                <w:sz w:val="11"/>
              </w:rPr>
              <w:t>1,415,135.30</w:t>
            </w:r>
          </w:p>
        </w:tc>
        <w:tc>
          <w:tcPr>
            <w:tcW w:w="1108" w:type="dxa"/>
          </w:tcPr>
          <w:p>
            <w:pPr>
              <w:pStyle w:val="TableParagraph"/>
              <w:spacing w:line="107" w:lineRule="exact" w:before="101"/>
              <w:ind w:right="49"/>
              <w:jc w:val="right"/>
              <w:rPr>
                <w:sz w:val="11"/>
              </w:rPr>
            </w:pPr>
            <w:r>
              <w:rPr>
                <w:sz w:val="11"/>
              </w:rPr>
              <w:t>0.00</w:t>
            </w:r>
          </w:p>
        </w:tc>
        <w:tc>
          <w:tcPr>
            <w:tcW w:w="1108" w:type="dxa"/>
          </w:tcPr>
          <w:p>
            <w:pPr>
              <w:pStyle w:val="TableParagraph"/>
              <w:spacing w:line="107" w:lineRule="exact" w:before="101"/>
              <w:ind w:right="49"/>
              <w:jc w:val="right"/>
              <w:rPr>
                <w:sz w:val="11"/>
              </w:rPr>
            </w:pPr>
            <w:r>
              <w:rPr>
                <w:sz w:val="11"/>
              </w:rPr>
              <w:t>1,415,135.30</w:t>
            </w:r>
          </w:p>
        </w:tc>
        <w:tc>
          <w:tcPr>
            <w:tcW w:w="623" w:type="dxa"/>
          </w:tcPr>
          <w:p>
            <w:pPr>
              <w:pStyle w:val="TableParagraph"/>
              <w:spacing w:line="107" w:lineRule="exact" w:before="101"/>
              <w:ind w:right="29"/>
              <w:jc w:val="right"/>
              <w:rPr>
                <w:sz w:val="11"/>
              </w:rPr>
            </w:pPr>
            <w:r>
              <w:rPr>
                <w:sz w:val="11"/>
              </w:rPr>
              <w:t>5.8%</w:t>
            </w:r>
          </w:p>
        </w:tc>
      </w:tr>
    </w:tbl>
    <w:p>
      <w:pPr>
        <w:spacing w:after="0" w:line="107" w:lineRule="exact"/>
        <w:jc w:val="right"/>
        <w:rPr>
          <w:sz w:val="11"/>
        </w:rPr>
        <w:sectPr>
          <w:pgSz w:w="12240" w:h="15840"/>
          <w:pgMar w:header="59" w:footer="240" w:top="560" w:bottom="440" w:left="160" w:right="180"/>
        </w:sectPr>
      </w:pPr>
    </w:p>
    <w:p>
      <w:pPr>
        <w:pStyle w:val="BodyText"/>
        <w:spacing w:before="5"/>
        <w:rPr>
          <w:sz w:val="23"/>
        </w:rPr>
      </w:pPr>
      <w:r>
        <w:rPr/>
        <w:pict>
          <v:group style="position:absolute;margin-left:14.280001pt;margin-top:40.079998pt;width:581.3pt;height:394.2pt;mso-position-horizontal-relative:page;mso-position-vertical-relative:page;z-index:-314617856" coordorigin="286,802" coordsize="11626,7884">
            <v:shape style="position:absolute;left:285;top:801;width:11626;height:168" type="#_x0000_t75" stroked="false">
              <v:imagedata r:id="rId83" o:title=""/>
            </v:shape>
            <v:shape style="position:absolute;left:285;top:964;width:2542;height:507" type="#_x0000_t75" stroked="false">
              <v:imagedata r:id="rId84" o:title=""/>
            </v:shape>
            <v:shape style="position:absolute;left:2824;top:832;width:9087;height:639" type="#_x0000_t75" stroked="false">
              <v:imagedata r:id="rId85" o:title=""/>
            </v:shape>
            <v:shape style="position:absolute;left:9084;top:964;width:2828;height:507" type="#_x0000_t75" stroked="false">
              <v:imagedata r:id="rId135" o:title=""/>
            </v:shape>
            <v:shape style="position:absolute;left:4648;top:1466;width:3332;height:845" type="#_x0000_t75" stroked="false">
              <v:imagedata r:id="rId136" o:title=""/>
            </v:shape>
            <v:shape style="position:absolute;left:4648;top:2078;width:3332;height:464" type="#_x0000_t75" stroked="false">
              <v:imagedata r:id="rId137" o:title=""/>
            </v:shape>
            <v:shape style="position:absolute;left:4648;top:2308;width:3332;height:464" type="#_x0000_t75" stroked="false">
              <v:imagedata r:id="rId138" o:title=""/>
            </v:shape>
            <v:shape style="position:absolute;left:4648;top:2539;width:3332;height:464" type="#_x0000_t75" stroked="false">
              <v:imagedata r:id="rId139" o:title=""/>
            </v:shape>
            <v:shape style="position:absolute;left:4648;top:2769;width:3332;height:464" type="#_x0000_t75" stroked="false">
              <v:imagedata r:id="rId139" o:title=""/>
            </v:shape>
            <v:shape style="position:absolute;left:4648;top:3000;width:3332;height:464" type="#_x0000_t75" stroked="false">
              <v:imagedata r:id="rId139" o:title=""/>
            </v:shape>
            <v:shape style="position:absolute;left:4648;top:3230;width:3332;height:464" type="#_x0000_t75" stroked="false">
              <v:imagedata r:id="rId139" o:title=""/>
            </v:shape>
            <v:shape style="position:absolute;left:6866;top:3460;width:1114;height:464" type="#_x0000_t75" stroked="false">
              <v:imagedata r:id="rId140" o:title=""/>
            </v:shape>
            <v:shape style="position:absolute;left:285;top:1466;width:2542;height:3612" type="#_x0000_t75" stroked="false">
              <v:imagedata r:id="rId141" o:title=""/>
            </v:shape>
            <v:shape style="position:absolute;left:4648;top:3691;width:3332;height:694" type="#_x0000_t75" stroked="false">
              <v:imagedata r:id="rId142" o:title=""/>
            </v:shape>
            <v:shape style="position:absolute;left:4648;top:4152;width:3332;height:464" type="#_x0000_t75" stroked="false">
              <v:imagedata r:id="rId143" o:title=""/>
            </v:shape>
            <v:shape style="position:absolute;left:2824;top:4382;width:5156;height:696" type="#_x0000_t75" stroked="false">
              <v:imagedata r:id="rId144" o:title=""/>
            </v:shape>
            <v:shape style="position:absolute;left:4648;top:4843;width:3332;height:694" type="#_x0000_t75" stroked="false">
              <v:imagedata r:id="rId145" o:title=""/>
            </v:shape>
            <v:shape style="position:absolute;left:285;top:5073;width:2542;height:696" type="#_x0000_t75" stroked="false">
              <v:imagedata r:id="rId146" o:title=""/>
            </v:shape>
            <v:shape style="position:absolute;left:2824;top:5304;width:4044;height:466" type="#_x0000_t75" stroked="false">
              <v:imagedata r:id="rId147" o:title=""/>
            </v:shape>
            <v:shape style="position:absolute;left:4648;top:5304;width:3332;height:924" type="#_x0000_t75" stroked="false">
              <v:imagedata r:id="rId148" o:title=""/>
            </v:shape>
            <v:shape style="position:absolute;left:4648;top:5995;width:3332;height:464" type="#_x0000_t75" stroked="false">
              <v:imagedata r:id="rId149" o:title=""/>
            </v:shape>
            <v:shape style="position:absolute;left:4648;top:6225;width:3332;height:464" type="#_x0000_t75" stroked="false">
              <v:imagedata r:id="rId149" o:title=""/>
            </v:shape>
            <v:shape style="position:absolute;left:4648;top:6456;width:3332;height:464" type="#_x0000_t75" stroked="false">
              <v:imagedata r:id="rId149" o:title=""/>
            </v:shape>
            <v:shape style="position:absolute;left:285;top:5764;width:2542;height:1618" type="#_x0000_t75" stroked="false">
              <v:imagedata r:id="rId150" o:title=""/>
            </v:shape>
            <v:shape style="position:absolute;left:4648;top:6686;width:3332;height:464" type="#_x0000_t75" stroked="false">
              <v:imagedata r:id="rId149" o:title=""/>
            </v:shape>
            <v:shape style="position:absolute;left:2824;top:6916;width:5156;height:466" type="#_x0000_t75" stroked="false">
              <v:imagedata r:id="rId151" o:title=""/>
            </v:shape>
            <v:shape style="position:absolute;left:4648;top:7147;width:3332;height:694" type="#_x0000_t75" stroked="false">
              <v:imagedata r:id="rId152" o:title=""/>
            </v:shape>
            <v:shape style="position:absolute;left:285;top:7377;width:2542;height:696" type="#_x0000_t75" stroked="false">
              <v:imagedata r:id="rId146" o:title=""/>
            </v:shape>
            <v:shape style="position:absolute;left:2824;top:7608;width:5156;height:1078" type="#_x0000_t75" stroked="false">
              <v:imagedata r:id="rId153" o:title=""/>
            </v:shape>
            <v:shape style="position:absolute;left:285;top:8068;width:2542;height:617" type="#_x0000_t75" stroked="false">
              <v:imagedata r:id="rId154" o:title=""/>
            </v:shape>
            <v:shape style="position:absolute;left:5757;top:8529;width:2223;height:156" type="#_x0000_t75" stroked="false">
              <v:imagedata r:id="rId155" o:title=""/>
            </v:shape>
            <v:shape style="position:absolute;left:304;top:5175;width:2389;height:126" type="#_x0000_t202" filled="false" stroked="false">
              <v:textbox inset="0,0,0,0">
                <w:txbxContent>
                  <w:p>
                    <w:pPr>
                      <w:spacing w:line="125" w:lineRule="exact" w:before="0"/>
                      <w:ind w:left="0" w:right="0" w:firstLine="0"/>
                      <w:jc w:val="left"/>
                      <w:rPr>
                        <w:b/>
                        <w:sz w:val="11"/>
                      </w:rPr>
                    </w:pPr>
                    <w:r>
                      <w:rPr>
                        <w:b/>
                        <w:sz w:val="11"/>
                      </w:rPr>
                      <w:t>H. DEFERRED OUTFLOWS OF RESOURCES</w:t>
                    </w:r>
                  </w:p>
                </w:txbxContent>
              </v:textbox>
              <w10:wrap type="none"/>
            </v:shape>
            <v:shape style="position:absolute;left:304;top:5866;width:760;height:126" type="#_x0000_t202" filled="false" stroked="false">
              <v:textbox inset="0,0,0,0">
                <w:txbxContent>
                  <w:p>
                    <w:pPr>
                      <w:spacing w:line="125" w:lineRule="exact" w:before="0"/>
                      <w:ind w:left="0" w:right="0" w:firstLine="0"/>
                      <w:jc w:val="left"/>
                      <w:rPr>
                        <w:b/>
                        <w:sz w:val="11"/>
                      </w:rPr>
                    </w:pPr>
                    <w:r>
                      <w:rPr>
                        <w:b/>
                        <w:sz w:val="11"/>
                      </w:rPr>
                      <w:t>I. LIABILITIES</w:t>
                    </w:r>
                  </w:p>
                </w:txbxContent>
              </v:textbox>
              <w10:wrap type="none"/>
            </v:shape>
            <v:shape style="position:absolute;left:304;top:7479;width:114;height:126" type="#_x0000_t202" filled="false" stroked="false">
              <v:textbox inset="0,0,0,0">
                <w:txbxContent>
                  <w:p>
                    <w:pPr>
                      <w:spacing w:line="125" w:lineRule="exact" w:before="0"/>
                      <w:ind w:left="0" w:right="0" w:firstLine="0"/>
                      <w:jc w:val="left"/>
                      <w:rPr>
                        <w:b/>
                        <w:sz w:val="11"/>
                      </w:rPr>
                    </w:pPr>
                    <w:r>
                      <w:rPr>
                        <w:b/>
                        <w:sz w:val="11"/>
                      </w:rPr>
                      <w:t>J.</w:t>
                    </w:r>
                  </w:p>
                </w:txbxContent>
              </v:textbox>
              <w10:wrap type="none"/>
            </v:shape>
            <v:shape style="position:absolute;left:304;top:8170;width:1680;height:510" type="#_x0000_t202" filled="false" stroked="false">
              <v:textbox inset="0,0,0,0">
                <w:txbxContent>
                  <w:p>
                    <w:pPr>
                      <w:spacing w:line="125" w:lineRule="exact" w:before="0"/>
                      <w:ind w:left="0" w:right="0" w:firstLine="0"/>
                      <w:jc w:val="left"/>
                      <w:rPr>
                        <w:b/>
                        <w:sz w:val="11"/>
                      </w:rPr>
                    </w:pPr>
                    <w:r>
                      <w:rPr>
                        <w:b/>
                        <w:sz w:val="11"/>
                      </w:rPr>
                      <w:t>K. FUND EQUITY</w:t>
                    </w:r>
                  </w:p>
                  <w:p>
                    <w:pPr>
                      <w:spacing w:line="288" w:lineRule="auto" w:before="106"/>
                      <w:ind w:left="124" w:right="0" w:firstLine="0"/>
                      <w:jc w:val="left"/>
                      <w:rPr>
                        <w:sz w:val="11"/>
                      </w:rPr>
                    </w:pPr>
                    <w:r>
                      <w:rPr>
                        <w:sz w:val="11"/>
                      </w:rPr>
                      <w:t>Ending Fund Balance, June 30 (G9 + H2) - (I6 + J2)</w:t>
                    </w:r>
                  </w:p>
                </w:txbxContent>
              </v:textbox>
              <w10:wrap type="none"/>
            </v:shape>
            <v:shape style="position:absolute;left:5049;top:8554;width:675;height:126" type="#_x0000_t202" filled="false" stroked="false">
              <v:textbox inset="0,0,0,0">
                <w:txbxContent>
                  <w:p>
                    <w:pPr>
                      <w:spacing w:line="125" w:lineRule="exact" w:before="0"/>
                      <w:ind w:left="0" w:right="0" w:firstLine="0"/>
                      <w:jc w:val="left"/>
                      <w:rPr>
                        <w:sz w:val="11"/>
                      </w:rPr>
                    </w:pPr>
                    <w:r>
                      <w:rPr>
                        <w:sz w:val="11"/>
                      </w:rPr>
                      <w:t>2,339,285.53</w:t>
                    </w:r>
                  </w:p>
                </w:txbxContent>
              </v:textbox>
              <w10:wrap type="none"/>
            </v:shape>
            <v:shape style="position:absolute;left:6213;top:8554;width:657;height:126" type="#_x0000_t202" filled="false" stroked="false">
              <v:textbox inset="0,0,0,0">
                <w:txbxContent>
                  <w:p>
                    <w:pPr>
                      <w:spacing w:line="125" w:lineRule="exact" w:before="0"/>
                      <w:ind w:left="0" w:right="0" w:firstLine="0"/>
                      <w:jc w:val="left"/>
                      <w:rPr>
                        <w:sz w:val="11"/>
                      </w:rPr>
                    </w:pPr>
                    <w:r>
                      <w:rPr>
                        <w:sz w:val="11"/>
                      </w:rPr>
                      <w:t>(165,623.90)</w:t>
                    </w:r>
                  </w:p>
                </w:txbxContent>
              </v:textbox>
              <w10:wrap type="none"/>
            </v:shape>
            <v:shape style="position:absolute;left:7267;top:8554;width:675;height:126" type="#_x0000_t202" filled="false" stroked="false">
              <v:textbox inset="0,0,0,0">
                <w:txbxContent>
                  <w:p>
                    <w:pPr>
                      <w:spacing w:line="125" w:lineRule="exact" w:before="0"/>
                      <w:ind w:left="0" w:right="0" w:firstLine="0"/>
                      <w:jc w:val="left"/>
                      <w:rPr>
                        <w:sz w:val="11"/>
                      </w:rPr>
                    </w:pPr>
                    <w:r>
                      <w:rPr>
                        <w:sz w:val="11"/>
                      </w:rPr>
                      <w:t>2,173,661.63</w:t>
                    </w:r>
                  </w:p>
                </w:txbxContent>
              </v:textbox>
              <w10:wrap type="none"/>
            </v:shape>
            <w10:wrap type="none"/>
          </v:group>
        </w:pict>
      </w:r>
    </w:p>
    <w:tbl>
      <w:tblPr>
        <w:tblW w:w="0" w:type="auto"/>
        <w:jc w:val="left"/>
        <w:tblInd w:w="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52"/>
        <w:gridCol w:w="2039"/>
        <w:gridCol w:w="703"/>
        <w:gridCol w:w="900"/>
        <w:gridCol w:w="161"/>
        <w:gridCol w:w="1346"/>
        <w:gridCol w:w="872"/>
        <w:gridCol w:w="1093"/>
        <w:gridCol w:w="1214"/>
        <w:gridCol w:w="961"/>
        <w:gridCol w:w="626"/>
      </w:tblGrid>
      <w:tr>
        <w:trPr>
          <w:trHeight w:val="498" w:hRule="atLeast"/>
        </w:trPr>
        <w:tc>
          <w:tcPr>
            <w:tcW w:w="3691" w:type="dxa"/>
            <w:gridSpan w:val="2"/>
          </w:tcPr>
          <w:p>
            <w:pPr>
              <w:pStyle w:val="TableParagraph"/>
              <w:rPr>
                <w:rFonts w:ascii="Times New Roman"/>
                <w:sz w:val="10"/>
              </w:rPr>
            </w:pPr>
          </w:p>
        </w:tc>
        <w:tc>
          <w:tcPr>
            <w:tcW w:w="703" w:type="dxa"/>
          </w:tcPr>
          <w:p>
            <w:pPr>
              <w:pStyle w:val="TableParagraph"/>
              <w:rPr>
                <w:sz w:val="12"/>
              </w:rPr>
            </w:pPr>
          </w:p>
          <w:p>
            <w:pPr>
              <w:pStyle w:val="TableParagraph"/>
              <w:rPr>
                <w:sz w:val="12"/>
              </w:rPr>
            </w:pPr>
          </w:p>
          <w:p>
            <w:pPr>
              <w:pStyle w:val="TableParagraph"/>
              <w:spacing w:line="110" w:lineRule="exact" w:before="92"/>
              <w:ind w:right="203"/>
              <w:jc w:val="right"/>
              <w:rPr>
                <w:b/>
                <w:sz w:val="11"/>
              </w:rPr>
            </w:pPr>
            <w:r>
              <w:rPr>
                <w:b/>
                <w:sz w:val="11"/>
              </w:rPr>
              <w:t>Object</w:t>
            </w:r>
          </w:p>
        </w:tc>
        <w:tc>
          <w:tcPr>
            <w:tcW w:w="900" w:type="dxa"/>
          </w:tcPr>
          <w:p>
            <w:pPr>
              <w:pStyle w:val="TableParagraph"/>
              <w:rPr>
                <w:sz w:val="12"/>
              </w:rPr>
            </w:pPr>
          </w:p>
          <w:p>
            <w:pPr>
              <w:pStyle w:val="TableParagraph"/>
              <w:rPr>
                <w:sz w:val="12"/>
              </w:rPr>
            </w:pPr>
          </w:p>
          <w:p>
            <w:pPr>
              <w:pStyle w:val="TableParagraph"/>
              <w:spacing w:line="110" w:lineRule="exact" w:before="92"/>
              <w:ind w:left="192" w:right="19"/>
              <w:jc w:val="center"/>
              <w:rPr>
                <w:b/>
                <w:sz w:val="11"/>
              </w:rPr>
            </w:pPr>
            <w:r>
              <w:rPr>
                <w:b/>
                <w:sz w:val="11"/>
              </w:rPr>
              <w:t>Unrestricted</w:t>
            </w:r>
          </w:p>
        </w:tc>
        <w:tc>
          <w:tcPr>
            <w:tcW w:w="1507" w:type="dxa"/>
            <w:gridSpan w:val="2"/>
          </w:tcPr>
          <w:p>
            <w:pPr>
              <w:pStyle w:val="TableParagraph"/>
              <w:spacing w:line="125" w:lineRule="exact"/>
              <w:ind w:left="31" w:right="48"/>
              <w:jc w:val="center"/>
              <w:rPr>
                <w:b/>
                <w:sz w:val="11"/>
              </w:rPr>
            </w:pPr>
            <w:r>
              <w:rPr>
                <w:b/>
                <w:sz w:val="11"/>
              </w:rPr>
              <w:t>2020-21 Estimated Actuals</w:t>
            </w:r>
          </w:p>
          <w:p>
            <w:pPr>
              <w:pStyle w:val="TableParagraph"/>
              <w:rPr>
                <w:sz w:val="12"/>
              </w:rPr>
            </w:pPr>
          </w:p>
          <w:p>
            <w:pPr>
              <w:pStyle w:val="TableParagraph"/>
              <w:spacing w:line="110" w:lineRule="exact" w:before="105"/>
              <w:ind w:left="31" w:right="45"/>
              <w:jc w:val="center"/>
              <w:rPr>
                <w:b/>
                <w:sz w:val="11"/>
              </w:rPr>
            </w:pPr>
            <w:r>
              <w:rPr>
                <w:b/>
                <w:sz w:val="11"/>
              </w:rPr>
              <w:t>Restricted</w:t>
            </w:r>
          </w:p>
        </w:tc>
        <w:tc>
          <w:tcPr>
            <w:tcW w:w="872" w:type="dxa"/>
          </w:tcPr>
          <w:p>
            <w:pPr>
              <w:pStyle w:val="TableParagraph"/>
              <w:rPr>
                <w:sz w:val="12"/>
              </w:rPr>
            </w:pPr>
          </w:p>
          <w:p>
            <w:pPr>
              <w:pStyle w:val="TableParagraph"/>
              <w:spacing w:line="130" w:lineRule="atLeast" w:before="95"/>
              <w:ind w:left="91" w:right="85" w:hanging="36"/>
              <w:rPr>
                <w:b/>
                <w:sz w:val="11"/>
              </w:rPr>
            </w:pPr>
            <w:r>
              <w:rPr>
                <w:b/>
                <w:sz w:val="11"/>
              </w:rPr>
              <w:t>Total Fund col. A + B</w:t>
            </w:r>
          </w:p>
        </w:tc>
        <w:tc>
          <w:tcPr>
            <w:tcW w:w="1093" w:type="dxa"/>
          </w:tcPr>
          <w:p>
            <w:pPr>
              <w:pStyle w:val="TableParagraph"/>
              <w:rPr>
                <w:sz w:val="12"/>
              </w:rPr>
            </w:pPr>
          </w:p>
          <w:p>
            <w:pPr>
              <w:pStyle w:val="TableParagraph"/>
              <w:rPr>
                <w:sz w:val="12"/>
              </w:rPr>
            </w:pPr>
          </w:p>
          <w:p>
            <w:pPr>
              <w:pStyle w:val="TableParagraph"/>
              <w:spacing w:line="110" w:lineRule="exact" w:before="92"/>
              <w:ind w:left="240" w:right="165"/>
              <w:jc w:val="center"/>
              <w:rPr>
                <w:b/>
                <w:sz w:val="11"/>
              </w:rPr>
            </w:pPr>
            <w:r>
              <w:rPr>
                <w:b/>
                <w:sz w:val="11"/>
              </w:rPr>
              <w:t>Unrestricted</w:t>
            </w:r>
          </w:p>
        </w:tc>
        <w:tc>
          <w:tcPr>
            <w:tcW w:w="1214" w:type="dxa"/>
          </w:tcPr>
          <w:p>
            <w:pPr>
              <w:pStyle w:val="TableParagraph"/>
              <w:spacing w:line="125" w:lineRule="exact"/>
              <w:ind w:left="171" w:right="188"/>
              <w:jc w:val="center"/>
              <w:rPr>
                <w:b/>
                <w:sz w:val="11"/>
              </w:rPr>
            </w:pPr>
            <w:r>
              <w:rPr>
                <w:b/>
                <w:sz w:val="11"/>
              </w:rPr>
              <w:t>2021-22 Budget</w:t>
            </w:r>
          </w:p>
          <w:p>
            <w:pPr>
              <w:pStyle w:val="TableParagraph"/>
              <w:rPr>
                <w:sz w:val="12"/>
              </w:rPr>
            </w:pPr>
          </w:p>
          <w:p>
            <w:pPr>
              <w:pStyle w:val="TableParagraph"/>
              <w:spacing w:line="110" w:lineRule="exact" w:before="105"/>
              <w:ind w:left="171" w:right="183"/>
              <w:jc w:val="center"/>
              <w:rPr>
                <w:b/>
                <w:sz w:val="11"/>
              </w:rPr>
            </w:pPr>
            <w:r>
              <w:rPr>
                <w:b/>
                <w:sz w:val="11"/>
              </w:rPr>
              <w:t>Restricted</w:t>
            </w:r>
          </w:p>
        </w:tc>
        <w:tc>
          <w:tcPr>
            <w:tcW w:w="961" w:type="dxa"/>
          </w:tcPr>
          <w:p>
            <w:pPr>
              <w:pStyle w:val="TableParagraph"/>
              <w:rPr>
                <w:sz w:val="12"/>
              </w:rPr>
            </w:pPr>
          </w:p>
          <w:p>
            <w:pPr>
              <w:pStyle w:val="TableParagraph"/>
              <w:spacing w:line="130" w:lineRule="atLeast" w:before="95"/>
              <w:ind w:left="240" w:right="28" w:hanging="39"/>
              <w:rPr>
                <w:b/>
                <w:sz w:val="11"/>
              </w:rPr>
            </w:pPr>
            <w:r>
              <w:rPr>
                <w:b/>
                <w:sz w:val="11"/>
              </w:rPr>
              <w:t>Total Fund col. D + E</w:t>
            </w:r>
          </w:p>
        </w:tc>
        <w:tc>
          <w:tcPr>
            <w:tcW w:w="626" w:type="dxa"/>
          </w:tcPr>
          <w:p>
            <w:pPr>
              <w:pStyle w:val="TableParagraph"/>
              <w:rPr>
                <w:sz w:val="12"/>
              </w:rPr>
            </w:pPr>
          </w:p>
          <w:p>
            <w:pPr>
              <w:pStyle w:val="TableParagraph"/>
              <w:spacing w:line="130" w:lineRule="atLeast" w:before="95"/>
              <w:ind w:left="179" w:right="17" w:firstLine="50"/>
              <w:rPr>
                <w:b/>
                <w:sz w:val="11"/>
              </w:rPr>
            </w:pPr>
            <w:r>
              <w:rPr>
                <w:b/>
                <w:sz w:val="11"/>
              </w:rPr>
              <w:t>% Diff Column</w:t>
            </w:r>
          </w:p>
        </w:tc>
      </w:tr>
      <w:tr>
        <w:trPr>
          <w:trHeight w:val="181" w:hRule="atLeast"/>
        </w:trPr>
        <w:tc>
          <w:tcPr>
            <w:tcW w:w="1652" w:type="dxa"/>
          </w:tcPr>
          <w:p>
            <w:pPr>
              <w:pStyle w:val="TableParagraph"/>
              <w:spacing w:before="2"/>
              <w:ind w:left="28"/>
              <w:rPr>
                <w:b/>
                <w:sz w:val="11"/>
              </w:rPr>
            </w:pPr>
            <w:r>
              <w:rPr>
                <w:b/>
                <w:sz w:val="11"/>
              </w:rPr>
              <w:t>Description</w:t>
            </w:r>
          </w:p>
        </w:tc>
        <w:tc>
          <w:tcPr>
            <w:tcW w:w="2039" w:type="dxa"/>
          </w:tcPr>
          <w:p>
            <w:pPr>
              <w:pStyle w:val="TableParagraph"/>
              <w:spacing w:before="2"/>
              <w:ind w:left="1004"/>
              <w:rPr>
                <w:b/>
                <w:sz w:val="11"/>
              </w:rPr>
            </w:pPr>
            <w:r>
              <w:rPr>
                <w:b/>
                <w:sz w:val="11"/>
              </w:rPr>
              <w:t>Resource Codes</w:t>
            </w:r>
          </w:p>
        </w:tc>
        <w:tc>
          <w:tcPr>
            <w:tcW w:w="703" w:type="dxa"/>
          </w:tcPr>
          <w:p>
            <w:pPr>
              <w:pStyle w:val="TableParagraph"/>
              <w:spacing w:before="2"/>
              <w:ind w:right="204"/>
              <w:jc w:val="right"/>
              <w:rPr>
                <w:b/>
                <w:sz w:val="11"/>
              </w:rPr>
            </w:pPr>
            <w:r>
              <w:rPr>
                <w:b/>
                <w:sz w:val="11"/>
              </w:rPr>
              <w:t>Codes</w:t>
            </w:r>
          </w:p>
        </w:tc>
        <w:tc>
          <w:tcPr>
            <w:tcW w:w="900" w:type="dxa"/>
          </w:tcPr>
          <w:p>
            <w:pPr>
              <w:pStyle w:val="TableParagraph"/>
              <w:spacing w:before="2"/>
              <w:ind w:left="189" w:right="19"/>
              <w:jc w:val="center"/>
              <w:rPr>
                <w:b/>
                <w:sz w:val="11"/>
              </w:rPr>
            </w:pPr>
            <w:r>
              <w:rPr>
                <w:b/>
                <w:sz w:val="11"/>
              </w:rPr>
              <w:t>(A)</w:t>
            </w:r>
          </w:p>
        </w:tc>
        <w:tc>
          <w:tcPr>
            <w:tcW w:w="1507" w:type="dxa"/>
            <w:gridSpan w:val="2"/>
          </w:tcPr>
          <w:p>
            <w:pPr>
              <w:pStyle w:val="TableParagraph"/>
              <w:spacing w:before="2"/>
              <w:ind w:left="31" w:right="44"/>
              <w:jc w:val="center"/>
              <w:rPr>
                <w:b/>
                <w:sz w:val="11"/>
              </w:rPr>
            </w:pPr>
            <w:r>
              <w:rPr>
                <w:b/>
                <w:sz w:val="11"/>
              </w:rPr>
              <w:t>(B)</w:t>
            </w:r>
          </w:p>
        </w:tc>
        <w:tc>
          <w:tcPr>
            <w:tcW w:w="872" w:type="dxa"/>
          </w:tcPr>
          <w:p>
            <w:pPr>
              <w:pStyle w:val="TableParagraph"/>
              <w:spacing w:before="2"/>
              <w:ind w:left="268"/>
              <w:rPr>
                <w:b/>
                <w:sz w:val="11"/>
              </w:rPr>
            </w:pPr>
            <w:r>
              <w:rPr>
                <w:b/>
                <w:sz w:val="11"/>
              </w:rPr>
              <w:t>(C)</w:t>
            </w:r>
          </w:p>
        </w:tc>
        <w:tc>
          <w:tcPr>
            <w:tcW w:w="1093" w:type="dxa"/>
          </w:tcPr>
          <w:p>
            <w:pPr>
              <w:pStyle w:val="TableParagraph"/>
              <w:spacing w:before="2"/>
              <w:ind w:left="240" w:right="164"/>
              <w:jc w:val="center"/>
              <w:rPr>
                <w:b/>
                <w:sz w:val="11"/>
              </w:rPr>
            </w:pPr>
            <w:r>
              <w:rPr>
                <w:b/>
                <w:sz w:val="11"/>
              </w:rPr>
              <w:t>(D)</w:t>
            </w:r>
          </w:p>
        </w:tc>
        <w:tc>
          <w:tcPr>
            <w:tcW w:w="1214" w:type="dxa"/>
          </w:tcPr>
          <w:p>
            <w:pPr>
              <w:pStyle w:val="TableParagraph"/>
              <w:spacing w:before="2"/>
              <w:ind w:left="171" w:right="185"/>
              <w:jc w:val="center"/>
              <w:rPr>
                <w:b/>
                <w:sz w:val="11"/>
              </w:rPr>
            </w:pPr>
            <w:r>
              <w:rPr>
                <w:b/>
                <w:sz w:val="11"/>
              </w:rPr>
              <w:t>(E)</w:t>
            </w:r>
          </w:p>
        </w:tc>
        <w:tc>
          <w:tcPr>
            <w:tcW w:w="961" w:type="dxa"/>
          </w:tcPr>
          <w:p>
            <w:pPr>
              <w:pStyle w:val="TableParagraph"/>
              <w:spacing w:before="2"/>
              <w:ind w:left="329" w:right="303"/>
              <w:jc w:val="center"/>
              <w:rPr>
                <w:b/>
                <w:sz w:val="11"/>
              </w:rPr>
            </w:pPr>
            <w:r>
              <w:rPr>
                <w:b/>
                <w:sz w:val="11"/>
              </w:rPr>
              <w:t>(F)</w:t>
            </w:r>
          </w:p>
        </w:tc>
        <w:tc>
          <w:tcPr>
            <w:tcW w:w="626" w:type="dxa"/>
          </w:tcPr>
          <w:p>
            <w:pPr>
              <w:pStyle w:val="TableParagraph"/>
              <w:spacing w:before="2"/>
              <w:ind w:left="242"/>
              <w:rPr>
                <w:b/>
                <w:sz w:val="11"/>
              </w:rPr>
            </w:pPr>
            <w:r>
              <w:rPr>
                <w:b/>
                <w:sz w:val="11"/>
              </w:rPr>
              <w:t>C &amp; F</w:t>
            </w:r>
          </w:p>
        </w:tc>
      </w:tr>
      <w:tr>
        <w:trPr>
          <w:trHeight w:val="231" w:hRule="atLeast"/>
        </w:trPr>
        <w:tc>
          <w:tcPr>
            <w:tcW w:w="1652" w:type="dxa"/>
          </w:tcPr>
          <w:p>
            <w:pPr>
              <w:pStyle w:val="TableParagraph"/>
              <w:spacing w:before="51"/>
              <w:ind w:left="28"/>
              <w:rPr>
                <w:b/>
                <w:sz w:val="11"/>
              </w:rPr>
            </w:pPr>
            <w:r>
              <w:rPr>
                <w:b/>
                <w:sz w:val="11"/>
              </w:rPr>
              <w:t>G. ASSETS</w:t>
            </w:r>
          </w:p>
        </w:tc>
        <w:tc>
          <w:tcPr>
            <w:tcW w:w="2039" w:type="dxa"/>
          </w:tcPr>
          <w:p>
            <w:pPr>
              <w:pStyle w:val="TableParagraph"/>
              <w:rPr>
                <w:rFonts w:ascii="Times New Roman"/>
                <w:sz w:val="10"/>
              </w:rPr>
            </w:pPr>
          </w:p>
        </w:tc>
        <w:tc>
          <w:tcPr>
            <w:tcW w:w="703" w:type="dxa"/>
          </w:tcPr>
          <w:p>
            <w:pPr>
              <w:pStyle w:val="TableParagraph"/>
              <w:rPr>
                <w:rFonts w:ascii="Times New Roman"/>
                <w:sz w:val="10"/>
              </w:rPr>
            </w:pPr>
          </w:p>
        </w:tc>
        <w:tc>
          <w:tcPr>
            <w:tcW w:w="900" w:type="dxa"/>
          </w:tcPr>
          <w:p>
            <w:pPr>
              <w:pStyle w:val="TableParagraph"/>
              <w:rPr>
                <w:rFonts w:ascii="Times New Roman"/>
                <w:sz w:val="10"/>
              </w:rPr>
            </w:pPr>
          </w:p>
        </w:tc>
        <w:tc>
          <w:tcPr>
            <w:tcW w:w="1507" w:type="dxa"/>
            <w:gridSpan w:val="2"/>
          </w:tcPr>
          <w:p>
            <w:pPr>
              <w:pStyle w:val="TableParagraph"/>
              <w:rPr>
                <w:rFonts w:ascii="Times New Roman"/>
                <w:sz w:val="10"/>
              </w:rPr>
            </w:pPr>
          </w:p>
        </w:tc>
        <w:tc>
          <w:tcPr>
            <w:tcW w:w="872" w:type="dxa"/>
          </w:tcPr>
          <w:p>
            <w:pPr>
              <w:pStyle w:val="TableParagraph"/>
              <w:rPr>
                <w:rFonts w:ascii="Times New Roman"/>
                <w:sz w:val="10"/>
              </w:rPr>
            </w:pPr>
          </w:p>
        </w:tc>
        <w:tc>
          <w:tcPr>
            <w:tcW w:w="1093" w:type="dxa"/>
          </w:tcPr>
          <w:p>
            <w:pPr>
              <w:pStyle w:val="TableParagraph"/>
              <w:rPr>
                <w:rFonts w:ascii="Times New Roman"/>
                <w:sz w:val="10"/>
              </w:rPr>
            </w:pPr>
          </w:p>
        </w:tc>
        <w:tc>
          <w:tcPr>
            <w:tcW w:w="1214" w:type="dxa"/>
          </w:tcPr>
          <w:p>
            <w:pPr>
              <w:pStyle w:val="TableParagraph"/>
              <w:rPr>
                <w:rFonts w:ascii="Times New Roman"/>
                <w:sz w:val="10"/>
              </w:rPr>
            </w:pPr>
          </w:p>
        </w:tc>
        <w:tc>
          <w:tcPr>
            <w:tcW w:w="961" w:type="dxa"/>
          </w:tcPr>
          <w:p>
            <w:pPr>
              <w:pStyle w:val="TableParagraph"/>
              <w:rPr>
                <w:rFonts w:ascii="Times New Roman"/>
                <w:sz w:val="10"/>
              </w:rPr>
            </w:pPr>
          </w:p>
        </w:tc>
        <w:tc>
          <w:tcPr>
            <w:tcW w:w="626" w:type="dxa"/>
          </w:tcPr>
          <w:p>
            <w:pPr>
              <w:pStyle w:val="TableParagraph"/>
              <w:rPr>
                <w:rFonts w:ascii="Times New Roman"/>
                <w:sz w:val="10"/>
              </w:rPr>
            </w:pPr>
          </w:p>
        </w:tc>
      </w:tr>
      <w:tr>
        <w:trPr>
          <w:trHeight w:val="179" w:hRule="atLeast"/>
        </w:trPr>
        <w:tc>
          <w:tcPr>
            <w:tcW w:w="1652" w:type="dxa"/>
          </w:tcPr>
          <w:p>
            <w:pPr>
              <w:pStyle w:val="TableParagraph"/>
              <w:spacing w:line="107" w:lineRule="exact" w:before="52"/>
              <w:ind w:left="152"/>
              <w:rPr>
                <w:sz w:val="11"/>
              </w:rPr>
            </w:pPr>
            <w:r>
              <w:rPr>
                <w:sz w:val="11"/>
              </w:rPr>
              <w:t>1) Cash</w:t>
            </w:r>
          </w:p>
        </w:tc>
        <w:tc>
          <w:tcPr>
            <w:tcW w:w="2039" w:type="dxa"/>
          </w:tcPr>
          <w:p>
            <w:pPr>
              <w:pStyle w:val="TableParagraph"/>
              <w:rPr>
                <w:rFonts w:ascii="Times New Roman"/>
                <w:sz w:val="10"/>
              </w:rPr>
            </w:pPr>
          </w:p>
        </w:tc>
        <w:tc>
          <w:tcPr>
            <w:tcW w:w="703" w:type="dxa"/>
          </w:tcPr>
          <w:p>
            <w:pPr>
              <w:pStyle w:val="TableParagraph"/>
              <w:rPr>
                <w:rFonts w:ascii="Times New Roman"/>
                <w:sz w:val="10"/>
              </w:rPr>
            </w:pPr>
          </w:p>
        </w:tc>
        <w:tc>
          <w:tcPr>
            <w:tcW w:w="900" w:type="dxa"/>
          </w:tcPr>
          <w:p>
            <w:pPr>
              <w:pStyle w:val="TableParagraph"/>
              <w:rPr>
                <w:rFonts w:ascii="Times New Roman"/>
                <w:sz w:val="10"/>
              </w:rPr>
            </w:pPr>
          </w:p>
        </w:tc>
        <w:tc>
          <w:tcPr>
            <w:tcW w:w="1507" w:type="dxa"/>
            <w:gridSpan w:val="2"/>
          </w:tcPr>
          <w:p>
            <w:pPr>
              <w:pStyle w:val="TableParagraph"/>
              <w:rPr>
                <w:rFonts w:ascii="Times New Roman"/>
                <w:sz w:val="10"/>
              </w:rPr>
            </w:pPr>
          </w:p>
        </w:tc>
        <w:tc>
          <w:tcPr>
            <w:tcW w:w="872" w:type="dxa"/>
          </w:tcPr>
          <w:p>
            <w:pPr>
              <w:pStyle w:val="TableParagraph"/>
              <w:rPr>
                <w:rFonts w:ascii="Times New Roman"/>
                <w:sz w:val="10"/>
              </w:rPr>
            </w:pPr>
          </w:p>
        </w:tc>
        <w:tc>
          <w:tcPr>
            <w:tcW w:w="1093" w:type="dxa"/>
          </w:tcPr>
          <w:p>
            <w:pPr>
              <w:pStyle w:val="TableParagraph"/>
              <w:rPr>
                <w:rFonts w:ascii="Times New Roman"/>
                <w:sz w:val="10"/>
              </w:rPr>
            </w:pPr>
          </w:p>
        </w:tc>
        <w:tc>
          <w:tcPr>
            <w:tcW w:w="1214" w:type="dxa"/>
          </w:tcPr>
          <w:p>
            <w:pPr>
              <w:pStyle w:val="TableParagraph"/>
              <w:rPr>
                <w:rFonts w:ascii="Times New Roman"/>
                <w:sz w:val="10"/>
              </w:rPr>
            </w:pPr>
          </w:p>
        </w:tc>
        <w:tc>
          <w:tcPr>
            <w:tcW w:w="961" w:type="dxa"/>
          </w:tcPr>
          <w:p>
            <w:pPr>
              <w:pStyle w:val="TableParagraph"/>
              <w:rPr>
                <w:rFonts w:ascii="Times New Roman"/>
                <w:sz w:val="10"/>
              </w:rPr>
            </w:pPr>
          </w:p>
        </w:tc>
        <w:tc>
          <w:tcPr>
            <w:tcW w:w="626" w:type="dxa"/>
          </w:tcPr>
          <w:p>
            <w:pPr>
              <w:pStyle w:val="TableParagraph"/>
              <w:rPr>
                <w:rFonts w:ascii="Times New Roman"/>
                <w:sz w:val="10"/>
              </w:rPr>
            </w:pPr>
          </w:p>
        </w:tc>
      </w:tr>
      <w:tr>
        <w:trPr>
          <w:trHeight w:val="203" w:hRule="atLeast"/>
        </w:trPr>
        <w:tc>
          <w:tcPr>
            <w:tcW w:w="3691" w:type="dxa"/>
            <w:gridSpan w:val="2"/>
          </w:tcPr>
          <w:p>
            <w:pPr>
              <w:pStyle w:val="TableParagraph"/>
              <w:spacing w:before="24"/>
              <w:ind w:left="277"/>
              <w:rPr>
                <w:sz w:val="11"/>
              </w:rPr>
            </w:pPr>
            <w:r>
              <w:rPr>
                <w:sz w:val="11"/>
              </w:rPr>
              <w:t>a) in County Treasury</w:t>
            </w:r>
          </w:p>
        </w:tc>
        <w:tc>
          <w:tcPr>
            <w:tcW w:w="703" w:type="dxa"/>
          </w:tcPr>
          <w:p>
            <w:pPr>
              <w:pStyle w:val="TableParagraph"/>
              <w:spacing w:before="24"/>
              <w:ind w:right="254"/>
              <w:jc w:val="right"/>
              <w:rPr>
                <w:sz w:val="11"/>
              </w:rPr>
            </w:pPr>
            <w:r>
              <w:rPr>
                <w:sz w:val="11"/>
              </w:rPr>
              <w:t>9110</w:t>
            </w:r>
          </w:p>
        </w:tc>
        <w:tc>
          <w:tcPr>
            <w:tcW w:w="1061" w:type="dxa"/>
            <w:gridSpan w:val="2"/>
          </w:tcPr>
          <w:p>
            <w:pPr>
              <w:pStyle w:val="TableParagraph"/>
              <w:spacing w:before="24"/>
              <w:ind w:left="378"/>
              <w:rPr>
                <w:sz w:val="11"/>
              </w:rPr>
            </w:pPr>
            <w:r>
              <w:rPr>
                <w:sz w:val="11"/>
              </w:rPr>
              <w:t>2,368,035.32</w:t>
            </w:r>
          </w:p>
        </w:tc>
        <w:tc>
          <w:tcPr>
            <w:tcW w:w="1346" w:type="dxa"/>
          </w:tcPr>
          <w:p>
            <w:pPr>
              <w:pStyle w:val="TableParagraph"/>
              <w:spacing w:before="24"/>
              <w:ind w:right="225"/>
              <w:jc w:val="right"/>
              <w:rPr>
                <w:sz w:val="11"/>
              </w:rPr>
            </w:pPr>
            <w:r>
              <w:rPr>
                <w:sz w:val="11"/>
              </w:rPr>
              <w:t>(174,771.29)</w:t>
            </w:r>
          </w:p>
        </w:tc>
        <w:tc>
          <w:tcPr>
            <w:tcW w:w="4766" w:type="dxa"/>
            <w:gridSpan w:val="5"/>
          </w:tcPr>
          <w:p>
            <w:pPr>
              <w:pStyle w:val="TableParagraph"/>
              <w:spacing w:before="24"/>
              <w:ind w:left="189"/>
              <w:rPr>
                <w:sz w:val="11"/>
              </w:rPr>
            </w:pPr>
            <w:r>
              <w:rPr>
                <w:sz w:val="11"/>
              </w:rPr>
              <w:t>2,193,264.03</w:t>
            </w:r>
          </w:p>
        </w:tc>
      </w:tr>
      <w:tr>
        <w:trPr>
          <w:trHeight w:val="230" w:hRule="atLeast"/>
        </w:trPr>
        <w:tc>
          <w:tcPr>
            <w:tcW w:w="3691" w:type="dxa"/>
            <w:gridSpan w:val="2"/>
          </w:tcPr>
          <w:p>
            <w:pPr>
              <w:pStyle w:val="TableParagraph"/>
              <w:spacing w:before="51"/>
              <w:ind w:left="401"/>
              <w:rPr>
                <w:sz w:val="11"/>
              </w:rPr>
            </w:pPr>
            <w:r>
              <w:rPr>
                <w:sz w:val="11"/>
              </w:rPr>
              <w:t>1) Fair Value Adjustment to Cash in County Treasury</w:t>
            </w:r>
          </w:p>
        </w:tc>
        <w:tc>
          <w:tcPr>
            <w:tcW w:w="703" w:type="dxa"/>
          </w:tcPr>
          <w:p>
            <w:pPr>
              <w:pStyle w:val="TableParagraph"/>
              <w:spacing w:before="51"/>
              <w:ind w:right="254"/>
              <w:jc w:val="right"/>
              <w:rPr>
                <w:sz w:val="11"/>
              </w:rPr>
            </w:pPr>
            <w:r>
              <w:rPr>
                <w:sz w:val="11"/>
              </w:rPr>
              <w:t>9111</w:t>
            </w:r>
          </w:p>
        </w:tc>
        <w:tc>
          <w:tcPr>
            <w:tcW w:w="1061" w:type="dxa"/>
            <w:gridSpan w:val="2"/>
          </w:tcPr>
          <w:p>
            <w:pPr>
              <w:pStyle w:val="TableParagraph"/>
              <w:spacing w:before="51"/>
              <w:ind w:right="24"/>
              <w:jc w:val="right"/>
              <w:rPr>
                <w:sz w:val="11"/>
              </w:rPr>
            </w:pPr>
            <w:r>
              <w:rPr>
                <w:sz w:val="11"/>
              </w:rPr>
              <w:t>0.00</w:t>
            </w:r>
          </w:p>
        </w:tc>
        <w:tc>
          <w:tcPr>
            <w:tcW w:w="1346" w:type="dxa"/>
          </w:tcPr>
          <w:p>
            <w:pPr>
              <w:pStyle w:val="TableParagraph"/>
              <w:spacing w:before="51"/>
              <w:ind w:right="262"/>
              <w:jc w:val="right"/>
              <w:rPr>
                <w:sz w:val="11"/>
              </w:rPr>
            </w:pPr>
            <w:r>
              <w:rPr>
                <w:sz w:val="11"/>
              </w:rPr>
              <w:t>0.00</w:t>
            </w:r>
          </w:p>
        </w:tc>
        <w:tc>
          <w:tcPr>
            <w:tcW w:w="4766" w:type="dxa"/>
            <w:gridSpan w:val="5"/>
          </w:tcPr>
          <w:p>
            <w:pPr>
              <w:pStyle w:val="TableParagraph"/>
              <w:spacing w:before="51"/>
              <w:ind w:left="626"/>
              <w:rPr>
                <w:sz w:val="11"/>
              </w:rPr>
            </w:pPr>
            <w:r>
              <w:rPr>
                <w:sz w:val="11"/>
              </w:rPr>
              <w:t>0.00</w:t>
            </w:r>
          </w:p>
        </w:tc>
      </w:tr>
      <w:tr>
        <w:trPr>
          <w:trHeight w:val="230" w:hRule="atLeast"/>
        </w:trPr>
        <w:tc>
          <w:tcPr>
            <w:tcW w:w="3691" w:type="dxa"/>
            <w:gridSpan w:val="2"/>
          </w:tcPr>
          <w:p>
            <w:pPr>
              <w:pStyle w:val="TableParagraph"/>
              <w:spacing w:before="51"/>
              <w:ind w:left="277"/>
              <w:rPr>
                <w:sz w:val="11"/>
              </w:rPr>
            </w:pPr>
            <w:r>
              <w:rPr>
                <w:sz w:val="11"/>
              </w:rPr>
              <w:t>b) in Banks</w:t>
            </w:r>
          </w:p>
        </w:tc>
        <w:tc>
          <w:tcPr>
            <w:tcW w:w="703" w:type="dxa"/>
          </w:tcPr>
          <w:p>
            <w:pPr>
              <w:pStyle w:val="TableParagraph"/>
              <w:spacing w:before="51"/>
              <w:ind w:right="254"/>
              <w:jc w:val="right"/>
              <w:rPr>
                <w:sz w:val="11"/>
              </w:rPr>
            </w:pPr>
            <w:r>
              <w:rPr>
                <w:sz w:val="11"/>
              </w:rPr>
              <w:t>9120</w:t>
            </w:r>
          </w:p>
        </w:tc>
        <w:tc>
          <w:tcPr>
            <w:tcW w:w="1061" w:type="dxa"/>
            <w:gridSpan w:val="2"/>
          </w:tcPr>
          <w:p>
            <w:pPr>
              <w:pStyle w:val="TableParagraph"/>
              <w:spacing w:before="51"/>
              <w:ind w:right="24"/>
              <w:jc w:val="right"/>
              <w:rPr>
                <w:sz w:val="11"/>
              </w:rPr>
            </w:pPr>
            <w:r>
              <w:rPr>
                <w:sz w:val="11"/>
              </w:rPr>
              <w:t>0.00</w:t>
            </w:r>
          </w:p>
        </w:tc>
        <w:tc>
          <w:tcPr>
            <w:tcW w:w="1346" w:type="dxa"/>
          </w:tcPr>
          <w:p>
            <w:pPr>
              <w:pStyle w:val="TableParagraph"/>
              <w:spacing w:before="51"/>
              <w:ind w:right="262"/>
              <w:jc w:val="right"/>
              <w:rPr>
                <w:sz w:val="11"/>
              </w:rPr>
            </w:pPr>
            <w:r>
              <w:rPr>
                <w:sz w:val="11"/>
              </w:rPr>
              <w:t>0.00</w:t>
            </w:r>
          </w:p>
        </w:tc>
        <w:tc>
          <w:tcPr>
            <w:tcW w:w="4766" w:type="dxa"/>
            <w:gridSpan w:val="5"/>
          </w:tcPr>
          <w:p>
            <w:pPr>
              <w:pStyle w:val="TableParagraph"/>
              <w:spacing w:before="51"/>
              <w:ind w:left="626"/>
              <w:rPr>
                <w:sz w:val="11"/>
              </w:rPr>
            </w:pPr>
            <w:r>
              <w:rPr>
                <w:sz w:val="11"/>
              </w:rPr>
              <w:t>0.00</w:t>
            </w:r>
          </w:p>
        </w:tc>
      </w:tr>
      <w:tr>
        <w:trPr>
          <w:trHeight w:val="230" w:hRule="atLeast"/>
        </w:trPr>
        <w:tc>
          <w:tcPr>
            <w:tcW w:w="3691" w:type="dxa"/>
            <w:gridSpan w:val="2"/>
          </w:tcPr>
          <w:p>
            <w:pPr>
              <w:pStyle w:val="TableParagraph"/>
              <w:spacing w:before="51"/>
              <w:ind w:left="277"/>
              <w:rPr>
                <w:sz w:val="11"/>
              </w:rPr>
            </w:pPr>
            <w:r>
              <w:rPr>
                <w:sz w:val="11"/>
              </w:rPr>
              <w:t>c) in Revolving Cash Account</w:t>
            </w:r>
          </w:p>
        </w:tc>
        <w:tc>
          <w:tcPr>
            <w:tcW w:w="703" w:type="dxa"/>
          </w:tcPr>
          <w:p>
            <w:pPr>
              <w:pStyle w:val="TableParagraph"/>
              <w:spacing w:before="51"/>
              <w:ind w:right="254"/>
              <w:jc w:val="right"/>
              <w:rPr>
                <w:sz w:val="11"/>
              </w:rPr>
            </w:pPr>
            <w:r>
              <w:rPr>
                <w:sz w:val="11"/>
              </w:rPr>
              <w:t>9130</w:t>
            </w:r>
          </w:p>
        </w:tc>
        <w:tc>
          <w:tcPr>
            <w:tcW w:w="1061" w:type="dxa"/>
            <w:gridSpan w:val="2"/>
          </w:tcPr>
          <w:p>
            <w:pPr>
              <w:pStyle w:val="TableParagraph"/>
              <w:spacing w:before="51"/>
              <w:ind w:left="690"/>
              <w:rPr>
                <w:sz w:val="11"/>
              </w:rPr>
            </w:pPr>
            <w:r>
              <w:rPr>
                <w:sz w:val="11"/>
              </w:rPr>
              <w:t>100.00</w:t>
            </w:r>
          </w:p>
        </w:tc>
        <w:tc>
          <w:tcPr>
            <w:tcW w:w="1346" w:type="dxa"/>
          </w:tcPr>
          <w:p>
            <w:pPr>
              <w:pStyle w:val="TableParagraph"/>
              <w:tabs>
                <w:tab w:pos="835" w:val="left" w:leader="none"/>
              </w:tabs>
              <w:spacing w:before="51"/>
              <w:ind w:right="206"/>
              <w:jc w:val="right"/>
              <w:rPr>
                <w:sz w:val="11"/>
              </w:rPr>
            </w:pPr>
            <w:r>
              <w:rPr>
                <w:rFonts w:ascii="Times New Roman"/>
                <w:w w:val="102"/>
                <w:sz w:val="11"/>
                <w:shd w:fill="DFDFDF" w:color="auto" w:val="clear"/>
              </w:rPr>
              <w:t> </w:t>
            </w:r>
            <w:r>
              <w:rPr>
                <w:rFonts w:ascii="Times New Roman"/>
                <w:sz w:val="11"/>
                <w:shd w:fill="DFDFDF" w:color="auto" w:val="clear"/>
              </w:rPr>
              <w:tab/>
            </w:r>
            <w:r>
              <w:rPr>
                <w:spacing w:val="-1"/>
                <w:sz w:val="11"/>
                <w:shd w:fill="DFDFDF" w:color="auto" w:val="clear"/>
              </w:rPr>
              <w:t>0.00</w:t>
            </w:r>
            <w:r>
              <w:rPr>
                <w:spacing w:val="-6"/>
                <w:sz w:val="11"/>
                <w:shd w:fill="DFDFDF" w:color="auto" w:val="clear"/>
              </w:rPr>
              <w:t> </w:t>
            </w:r>
          </w:p>
        </w:tc>
        <w:tc>
          <w:tcPr>
            <w:tcW w:w="4766" w:type="dxa"/>
            <w:gridSpan w:val="5"/>
          </w:tcPr>
          <w:p>
            <w:pPr>
              <w:pStyle w:val="TableParagraph"/>
              <w:spacing w:before="51"/>
              <w:ind w:left="501"/>
              <w:rPr>
                <w:sz w:val="11"/>
              </w:rPr>
            </w:pPr>
            <w:r>
              <w:rPr>
                <w:sz w:val="11"/>
              </w:rPr>
              <w:t>100.00</w:t>
            </w:r>
          </w:p>
        </w:tc>
      </w:tr>
      <w:tr>
        <w:trPr>
          <w:trHeight w:val="230" w:hRule="atLeast"/>
        </w:trPr>
        <w:tc>
          <w:tcPr>
            <w:tcW w:w="3691" w:type="dxa"/>
            <w:gridSpan w:val="2"/>
          </w:tcPr>
          <w:p>
            <w:pPr>
              <w:pStyle w:val="TableParagraph"/>
              <w:spacing w:before="51"/>
              <w:ind w:left="277"/>
              <w:rPr>
                <w:sz w:val="11"/>
              </w:rPr>
            </w:pPr>
            <w:r>
              <w:rPr>
                <w:sz w:val="11"/>
              </w:rPr>
              <w:t>d) with Fiscal Agent/Trustee</w:t>
            </w:r>
          </w:p>
        </w:tc>
        <w:tc>
          <w:tcPr>
            <w:tcW w:w="703" w:type="dxa"/>
          </w:tcPr>
          <w:p>
            <w:pPr>
              <w:pStyle w:val="TableParagraph"/>
              <w:spacing w:before="51"/>
              <w:ind w:right="254"/>
              <w:jc w:val="right"/>
              <w:rPr>
                <w:sz w:val="11"/>
              </w:rPr>
            </w:pPr>
            <w:r>
              <w:rPr>
                <w:sz w:val="11"/>
              </w:rPr>
              <w:t>9135</w:t>
            </w:r>
          </w:p>
        </w:tc>
        <w:tc>
          <w:tcPr>
            <w:tcW w:w="1061" w:type="dxa"/>
            <w:gridSpan w:val="2"/>
          </w:tcPr>
          <w:p>
            <w:pPr>
              <w:pStyle w:val="TableParagraph"/>
              <w:spacing w:before="51"/>
              <w:ind w:right="24"/>
              <w:jc w:val="right"/>
              <w:rPr>
                <w:sz w:val="11"/>
              </w:rPr>
            </w:pPr>
            <w:r>
              <w:rPr>
                <w:sz w:val="11"/>
              </w:rPr>
              <w:t>0.00</w:t>
            </w:r>
          </w:p>
        </w:tc>
        <w:tc>
          <w:tcPr>
            <w:tcW w:w="1346" w:type="dxa"/>
          </w:tcPr>
          <w:p>
            <w:pPr>
              <w:pStyle w:val="TableParagraph"/>
              <w:spacing w:before="51"/>
              <w:ind w:right="262"/>
              <w:jc w:val="right"/>
              <w:rPr>
                <w:sz w:val="11"/>
              </w:rPr>
            </w:pPr>
            <w:r>
              <w:rPr>
                <w:sz w:val="11"/>
              </w:rPr>
              <w:t>0.00</w:t>
            </w:r>
          </w:p>
        </w:tc>
        <w:tc>
          <w:tcPr>
            <w:tcW w:w="4766" w:type="dxa"/>
            <w:gridSpan w:val="5"/>
          </w:tcPr>
          <w:p>
            <w:pPr>
              <w:pStyle w:val="TableParagraph"/>
              <w:spacing w:before="51"/>
              <w:ind w:left="626"/>
              <w:rPr>
                <w:sz w:val="11"/>
              </w:rPr>
            </w:pPr>
            <w:r>
              <w:rPr>
                <w:sz w:val="11"/>
              </w:rPr>
              <w:t>0.00</w:t>
            </w:r>
          </w:p>
        </w:tc>
      </w:tr>
      <w:tr>
        <w:trPr>
          <w:trHeight w:val="230" w:hRule="atLeast"/>
        </w:trPr>
        <w:tc>
          <w:tcPr>
            <w:tcW w:w="3691" w:type="dxa"/>
            <w:gridSpan w:val="2"/>
          </w:tcPr>
          <w:p>
            <w:pPr>
              <w:pStyle w:val="TableParagraph"/>
              <w:spacing w:before="51"/>
              <w:ind w:left="277"/>
              <w:rPr>
                <w:sz w:val="11"/>
              </w:rPr>
            </w:pPr>
            <w:r>
              <w:rPr>
                <w:sz w:val="11"/>
              </w:rPr>
              <w:t>e) Collections Awaiting Deposit</w:t>
            </w:r>
          </w:p>
        </w:tc>
        <w:tc>
          <w:tcPr>
            <w:tcW w:w="703" w:type="dxa"/>
          </w:tcPr>
          <w:p>
            <w:pPr>
              <w:pStyle w:val="TableParagraph"/>
              <w:spacing w:before="51"/>
              <w:ind w:right="254"/>
              <w:jc w:val="right"/>
              <w:rPr>
                <w:sz w:val="11"/>
              </w:rPr>
            </w:pPr>
            <w:r>
              <w:rPr>
                <w:sz w:val="11"/>
              </w:rPr>
              <w:t>9140</w:t>
            </w:r>
          </w:p>
        </w:tc>
        <w:tc>
          <w:tcPr>
            <w:tcW w:w="1061" w:type="dxa"/>
            <w:gridSpan w:val="2"/>
          </w:tcPr>
          <w:p>
            <w:pPr>
              <w:pStyle w:val="TableParagraph"/>
              <w:spacing w:before="51"/>
              <w:ind w:right="24"/>
              <w:jc w:val="right"/>
              <w:rPr>
                <w:sz w:val="11"/>
              </w:rPr>
            </w:pPr>
            <w:r>
              <w:rPr>
                <w:sz w:val="11"/>
              </w:rPr>
              <w:t>0.00</w:t>
            </w:r>
          </w:p>
        </w:tc>
        <w:tc>
          <w:tcPr>
            <w:tcW w:w="1346" w:type="dxa"/>
          </w:tcPr>
          <w:p>
            <w:pPr>
              <w:pStyle w:val="TableParagraph"/>
              <w:spacing w:before="51"/>
              <w:ind w:right="262"/>
              <w:jc w:val="right"/>
              <w:rPr>
                <w:sz w:val="11"/>
              </w:rPr>
            </w:pPr>
            <w:r>
              <w:rPr>
                <w:sz w:val="11"/>
              </w:rPr>
              <w:t>0.00</w:t>
            </w:r>
          </w:p>
        </w:tc>
        <w:tc>
          <w:tcPr>
            <w:tcW w:w="4766" w:type="dxa"/>
            <w:gridSpan w:val="5"/>
          </w:tcPr>
          <w:p>
            <w:pPr>
              <w:pStyle w:val="TableParagraph"/>
              <w:spacing w:before="51"/>
              <w:ind w:left="626"/>
              <w:rPr>
                <w:sz w:val="11"/>
              </w:rPr>
            </w:pPr>
            <w:r>
              <w:rPr>
                <w:sz w:val="11"/>
              </w:rPr>
              <w:t>0.00</w:t>
            </w:r>
          </w:p>
        </w:tc>
      </w:tr>
      <w:tr>
        <w:trPr>
          <w:trHeight w:val="230" w:hRule="atLeast"/>
        </w:trPr>
        <w:tc>
          <w:tcPr>
            <w:tcW w:w="3691" w:type="dxa"/>
            <w:gridSpan w:val="2"/>
          </w:tcPr>
          <w:p>
            <w:pPr>
              <w:pStyle w:val="TableParagraph"/>
              <w:spacing w:before="51"/>
              <w:ind w:left="152"/>
              <w:rPr>
                <w:sz w:val="11"/>
              </w:rPr>
            </w:pPr>
            <w:r>
              <w:rPr>
                <w:sz w:val="11"/>
              </w:rPr>
              <w:t>2) Investments</w:t>
            </w:r>
          </w:p>
        </w:tc>
        <w:tc>
          <w:tcPr>
            <w:tcW w:w="703" w:type="dxa"/>
          </w:tcPr>
          <w:p>
            <w:pPr>
              <w:pStyle w:val="TableParagraph"/>
              <w:spacing w:before="51"/>
              <w:ind w:right="254"/>
              <w:jc w:val="right"/>
              <w:rPr>
                <w:sz w:val="11"/>
              </w:rPr>
            </w:pPr>
            <w:r>
              <w:rPr>
                <w:sz w:val="11"/>
              </w:rPr>
              <w:t>9150</w:t>
            </w:r>
          </w:p>
        </w:tc>
        <w:tc>
          <w:tcPr>
            <w:tcW w:w="1061" w:type="dxa"/>
            <w:gridSpan w:val="2"/>
          </w:tcPr>
          <w:p>
            <w:pPr>
              <w:pStyle w:val="TableParagraph"/>
              <w:spacing w:before="51"/>
              <w:ind w:right="24"/>
              <w:jc w:val="right"/>
              <w:rPr>
                <w:sz w:val="11"/>
              </w:rPr>
            </w:pPr>
            <w:r>
              <w:rPr>
                <w:sz w:val="11"/>
              </w:rPr>
              <w:t>0.00</w:t>
            </w:r>
          </w:p>
        </w:tc>
        <w:tc>
          <w:tcPr>
            <w:tcW w:w="1346" w:type="dxa"/>
          </w:tcPr>
          <w:p>
            <w:pPr>
              <w:pStyle w:val="TableParagraph"/>
              <w:spacing w:before="51"/>
              <w:ind w:right="262"/>
              <w:jc w:val="right"/>
              <w:rPr>
                <w:sz w:val="11"/>
              </w:rPr>
            </w:pPr>
            <w:r>
              <w:rPr>
                <w:sz w:val="11"/>
              </w:rPr>
              <w:t>0.00</w:t>
            </w:r>
          </w:p>
        </w:tc>
        <w:tc>
          <w:tcPr>
            <w:tcW w:w="4766" w:type="dxa"/>
            <w:gridSpan w:val="5"/>
          </w:tcPr>
          <w:p>
            <w:pPr>
              <w:pStyle w:val="TableParagraph"/>
              <w:spacing w:before="51"/>
              <w:ind w:left="626"/>
              <w:rPr>
                <w:sz w:val="11"/>
              </w:rPr>
            </w:pPr>
            <w:r>
              <w:rPr>
                <w:sz w:val="11"/>
              </w:rPr>
              <w:t>0.00</w:t>
            </w:r>
          </w:p>
        </w:tc>
      </w:tr>
      <w:tr>
        <w:trPr>
          <w:trHeight w:val="230" w:hRule="atLeast"/>
        </w:trPr>
        <w:tc>
          <w:tcPr>
            <w:tcW w:w="3691" w:type="dxa"/>
            <w:gridSpan w:val="2"/>
          </w:tcPr>
          <w:p>
            <w:pPr>
              <w:pStyle w:val="TableParagraph"/>
              <w:spacing w:before="51"/>
              <w:ind w:left="152"/>
              <w:rPr>
                <w:sz w:val="11"/>
              </w:rPr>
            </w:pPr>
            <w:r>
              <w:rPr>
                <w:sz w:val="11"/>
              </w:rPr>
              <w:t>3) Accounts Receivable</w:t>
            </w:r>
          </w:p>
        </w:tc>
        <w:tc>
          <w:tcPr>
            <w:tcW w:w="703" w:type="dxa"/>
          </w:tcPr>
          <w:p>
            <w:pPr>
              <w:pStyle w:val="TableParagraph"/>
              <w:spacing w:before="51"/>
              <w:ind w:right="254"/>
              <w:jc w:val="right"/>
              <w:rPr>
                <w:sz w:val="11"/>
              </w:rPr>
            </w:pPr>
            <w:r>
              <w:rPr>
                <w:sz w:val="11"/>
              </w:rPr>
              <w:t>9200</w:t>
            </w:r>
          </w:p>
        </w:tc>
        <w:tc>
          <w:tcPr>
            <w:tcW w:w="1061" w:type="dxa"/>
            <w:gridSpan w:val="2"/>
          </w:tcPr>
          <w:p>
            <w:pPr>
              <w:pStyle w:val="TableParagraph"/>
              <w:spacing w:before="51"/>
              <w:ind w:left="690"/>
              <w:rPr>
                <w:sz w:val="11"/>
              </w:rPr>
            </w:pPr>
            <w:r>
              <w:rPr>
                <w:sz w:val="11"/>
              </w:rPr>
              <w:t>545.00</w:t>
            </w:r>
          </w:p>
        </w:tc>
        <w:tc>
          <w:tcPr>
            <w:tcW w:w="1346" w:type="dxa"/>
          </w:tcPr>
          <w:p>
            <w:pPr>
              <w:pStyle w:val="TableParagraph"/>
              <w:spacing w:before="51"/>
              <w:ind w:right="262"/>
              <w:jc w:val="right"/>
              <w:rPr>
                <w:sz w:val="11"/>
              </w:rPr>
            </w:pPr>
            <w:r>
              <w:rPr>
                <w:sz w:val="11"/>
              </w:rPr>
              <w:t>9,147.39</w:t>
            </w:r>
          </w:p>
        </w:tc>
        <w:tc>
          <w:tcPr>
            <w:tcW w:w="4766" w:type="dxa"/>
            <w:gridSpan w:val="5"/>
          </w:tcPr>
          <w:p>
            <w:pPr>
              <w:pStyle w:val="TableParagraph"/>
              <w:spacing w:before="51"/>
              <w:ind w:left="407"/>
              <w:rPr>
                <w:sz w:val="11"/>
              </w:rPr>
            </w:pPr>
            <w:r>
              <w:rPr>
                <w:sz w:val="11"/>
              </w:rPr>
              <w:t>9,692.39</w:t>
            </w:r>
          </w:p>
        </w:tc>
      </w:tr>
      <w:tr>
        <w:trPr>
          <w:trHeight w:val="230" w:hRule="atLeast"/>
        </w:trPr>
        <w:tc>
          <w:tcPr>
            <w:tcW w:w="3691" w:type="dxa"/>
            <w:gridSpan w:val="2"/>
          </w:tcPr>
          <w:p>
            <w:pPr>
              <w:pStyle w:val="TableParagraph"/>
              <w:spacing w:before="51"/>
              <w:ind w:left="152"/>
              <w:rPr>
                <w:sz w:val="11"/>
              </w:rPr>
            </w:pPr>
            <w:r>
              <w:rPr>
                <w:sz w:val="11"/>
              </w:rPr>
              <w:t>4) Due from Grantor Government</w:t>
            </w:r>
          </w:p>
        </w:tc>
        <w:tc>
          <w:tcPr>
            <w:tcW w:w="703" w:type="dxa"/>
          </w:tcPr>
          <w:p>
            <w:pPr>
              <w:pStyle w:val="TableParagraph"/>
              <w:spacing w:before="51"/>
              <w:ind w:right="254"/>
              <w:jc w:val="right"/>
              <w:rPr>
                <w:sz w:val="11"/>
              </w:rPr>
            </w:pPr>
            <w:r>
              <w:rPr>
                <w:sz w:val="11"/>
              </w:rPr>
              <w:t>9290</w:t>
            </w:r>
          </w:p>
        </w:tc>
        <w:tc>
          <w:tcPr>
            <w:tcW w:w="1061" w:type="dxa"/>
            <w:gridSpan w:val="2"/>
          </w:tcPr>
          <w:p>
            <w:pPr>
              <w:pStyle w:val="TableParagraph"/>
              <w:spacing w:before="51"/>
              <w:ind w:right="24"/>
              <w:jc w:val="right"/>
              <w:rPr>
                <w:sz w:val="11"/>
              </w:rPr>
            </w:pPr>
            <w:r>
              <w:rPr>
                <w:sz w:val="11"/>
              </w:rPr>
              <w:t>0.00</w:t>
            </w:r>
          </w:p>
        </w:tc>
        <w:tc>
          <w:tcPr>
            <w:tcW w:w="1346" w:type="dxa"/>
          </w:tcPr>
          <w:p>
            <w:pPr>
              <w:pStyle w:val="TableParagraph"/>
              <w:spacing w:before="51"/>
              <w:ind w:right="262"/>
              <w:jc w:val="right"/>
              <w:rPr>
                <w:sz w:val="11"/>
              </w:rPr>
            </w:pPr>
            <w:r>
              <w:rPr>
                <w:sz w:val="11"/>
              </w:rPr>
              <w:t>0.00</w:t>
            </w:r>
          </w:p>
        </w:tc>
        <w:tc>
          <w:tcPr>
            <w:tcW w:w="4766" w:type="dxa"/>
            <w:gridSpan w:val="5"/>
          </w:tcPr>
          <w:p>
            <w:pPr>
              <w:pStyle w:val="TableParagraph"/>
              <w:spacing w:before="51"/>
              <w:ind w:left="626"/>
              <w:rPr>
                <w:sz w:val="11"/>
              </w:rPr>
            </w:pPr>
            <w:r>
              <w:rPr>
                <w:sz w:val="11"/>
              </w:rPr>
              <w:t>0.00</w:t>
            </w:r>
          </w:p>
        </w:tc>
      </w:tr>
      <w:tr>
        <w:trPr>
          <w:trHeight w:val="230" w:hRule="atLeast"/>
        </w:trPr>
        <w:tc>
          <w:tcPr>
            <w:tcW w:w="3691" w:type="dxa"/>
            <w:gridSpan w:val="2"/>
          </w:tcPr>
          <w:p>
            <w:pPr>
              <w:pStyle w:val="TableParagraph"/>
              <w:spacing w:before="51"/>
              <w:ind w:left="152"/>
              <w:rPr>
                <w:sz w:val="11"/>
              </w:rPr>
            </w:pPr>
            <w:r>
              <w:rPr>
                <w:sz w:val="11"/>
              </w:rPr>
              <w:t>5) Due from Other Funds</w:t>
            </w:r>
          </w:p>
        </w:tc>
        <w:tc>
          <w:tcPr>
            <w:tcW w:w="703" w:type="dxa"/>
          </w:tcPr>
          <w:p>
            <w:pPr>
              <w:pStyle w:val="TableParagraph"/>
              <w:spacing w:before="51"/>
              <w:ind w:right="254"/>
              <w:jc w:val="right"/>
              <w:rPr>
                <w:sz w:val="11"/>
              </w:rPr>
            </w:pPr>
            <w:r>
              <w:rPr>
                <w:sz w:val="11"/>
              </w:rPr>
              <w:t>9310</w:t>
            </w:r>
          </w:p>
        </w:tc>
        <w:tc>
          <w:tcPr>
            <w:tcW w:w="1061" w:type="dxa"/>
            <w:gridSpan w:val="2"/>
          </w:tcPr>
          <w:p>
            <w:pPr>
              <w:pStyle w:val="TableParagraph"/>
              <w:spacing w:before="51"/>
              <w:ind w:right="24"/>
              <w:jc w:val="right"/>
              <w:rPr>
                <w:sz w:val="11"/>
              </w:rPr>
            </w:pPr>
            <w:r>
              <w:rPr>
                <w:sz w:val="11"/>
              </w:rPr>
              <w:t>0.00</w:t>
            </w:r>
          </w:p>
        </w:tc>
        <w:tc>
          <w:tcPr>
            <w:tcW w:w="1346" w:type="dxa"/>
          </w:tcPr>
          <w:p>
            <w:pPr>
              <w:pStyle w:val="TableParagraph"/>
              <w:spacing w:before="51"/>
              <w:ind w:right="262"/>
              <w:jc w:val="right"/>
              <w:rPr>
                <w:sz w:val="11"/>
              </w:rPr>
            </w:pPr>
            <w:r>
              <w:rPr>
                <w:sz w:val="11"/>
              </w:rPr>
              <w:t>0.00</w:t>
            </w:r>
          </w:p>
        </w:tc>
        <w:tc>
          <w:tcPr>
            <w:tcW w:w="4766" w:type="dxa"/>
            <w:gridSpan w:val="5"/>
          </w:tcPr>
          <w:p>
            <w:pPr>
              <w:pStyle w:val="TableParagraph"/>
              <w:spacing w:before="51"/>
              <w:ind w:left="626"/>
              <w:rPr>
                <w:sz w:val="11"/>
              </w:rPr>
            </w:pPr>
            <w:r>
              <w:rPr>
                <w:sz w:val="11"/>
              </w:rPr>
              <w:t>0.00</w:t>
            </w:r>
          </w:p>
        </w:tc>
      </w:tr>
      <w:tr>
        <w:trPr>
          <w:trHeight w:val="230" w:hRule="atLeast"/>
        </w:trPr>
        <w:tc>
          <w:tcPr>
            <w:tcW w:w="3691" w:type="dxa"/>
            <w:gridSpan w:val="2"/>
          </w:tcPr>
          <w:p>
            <w:pPr>
              <w:pStyle w:val="TableParagraph"/>
              <w:spacing w:before="51"/>
              <w:ind w:left="152"/>
              <w:rPr>
                <w:sz w:val="11"/>
              </w:rPr>
            </w:pPr>
            <w:r>
              <w:rPr>
                <w:sz w:val="11"/>
              </w:rPr>
              <w:t>6) Stores</w:t>
            </w:r>
          </w:p>
        </w:tc>
        <w:tc>
          <w:tcPr>
            <w:tcW w:w="703" w:type="dxa"/>
          </w:tcPr>
          <w:p>
            <w:pPr>
              <w:pStyle w:val="TableParagraph"/>
              <w:spacing w:before="51"/>
              <w:ind w:right="254"/>
              <w:jc w:val="right"/>
              <w:rPr>
                <w:sz w:val="11"/>
              </w:rPr>
            </w:pPr>
            <w:r>
              <w:rPr>
                <w:sz w:val="11"/>
              </w:rPr>
              <w:t>9320</w:t>
            </w:r>
          </w:p>
        </w:tc>
        <w:tc>
          <w:tcPr>
            <w:tcW w:w="1061" w:type="dxa"/>
            <w:gridSpan w:val="2"/>
          </w:tcPr>
          <w:p>
            <w:pPr>
              <w:pStyle w:val="TableParagraph"/>
              <w:spacing w:before="51"/>
              <w:ind w:right="24"/>
              <w:jc w:val="right"/>
              <w:rPr>
                <w:sz w:val="11"/>
              </w:rPr>
            </w:pPr>
            <w:r>
              <w:rPr>
                <w:sz w:val="11"/>
              </w:rPr>
              <w:t>0.00</w:t>
            </w:r>
          </w:p>
        </w:tc>
        <w:tc>
          <w:tcPr>
            <w:tcW w:w="1346" w:type="dxa"/>
          </w:tcPr>
          <w:p>
            <w:pPr>
              <w:pStyle w:val="TableParagraph"/>
              <w:spacing w:before="51"/>
              <w:ind w:right="262"/>
              <w:jc w:val="right"/>
              <w:rPr>
                <w:sz w:val="11"/>
              </w:rPr>
            </w:pPr>
            <w:r>
              <w:rPr>
                <w:sz w:val="11"/>
              </w:rPr>
              <w:t>0.00</w:t>
            </w:r>
          </w:p>
        </w:tc>
        <w:tc>
          <w:tcPr>
            <w:tcW w:w="4766" w:type="dxa"/>
            <w:gridSpan w:val="5"/>
          </w:tcPr>
          <w:p>
            <w:pPr>
              <w:pStyle w:val="TableParagraph"/>
              <w:spacing w:before="51"/>
              <w:ind w:left="626"/>
              <w:rPr>
                <w:sz w:val="11"/>
              </w:rPr>
            </w:pPr>
            <w:r>
              <w:rPr>
                <w:sz w:val="11"/>
              </w:rPr>
              <w:t>0.00</w:t>
            </w:r>
          </w:p>
        </w:tc>
      </w:tr>
      <w:tr>
        <w:trPr>
          <w:trHeight w:val="230" w:hRule="atLeast"/>
        </w:trPr>
        <w:tc>
          <w:tcPr>
            <w:tcW w:w="3691" w:type="dxa"/>
            <w:gridSpan w:val="2"/>
          </w:tcPr>
          <w:p>
            <w:pPr>
              <w:pStyle w:val="TableParagraph"/>
              <w:spacing w:before="51"/>
              <w:ind w:left="152"/>
              <w:rPr>
                <w:sz w:val="11"/>
              </w:rPr>
            </w:pPr>
            <w:r>
              <w:rPr>
                <w:sz w:val="11"/>
              </w:rPr>
              <w:t>7) Prepaid Expenditures</w:t>
            </w:r>
          </w:p>
        </w:tc>
        <w:tc>
          <w:tcPr>
            <w:tcW w:w="703" w:type="dxa"/>
          </w:tcPr>
          <w:p>
            <w:pPr>
              <w:pStyle w:val="TableParagraph"/>
              <w:spacing w:before="51"/>
              <w:ind w:right="254"/>
              <w:jc w:val="right"/>
              <w:rPr>
                <w:sz w:val="11"/>
              </w:rPr>
            </w:pPr>
            <w:r>
              <w:rPr>
                <w:sz w:val="11"/>
              </w:rPr>
              <w:t>9330</w:t>
            </w:r>
          </w:p>
        </w:tc>
        <w:tc>
          <w:tcPr>
            <w:tcW w:w="1061" w:type="dxa"/>
            <w:gridSpan w:val="2"/>
          </w:tcPr>
          <w:p>
            <w:pPr>
              <w:pStyle w:val="TableParagraph"/>
              <w:spacing w:before="51"/>
              <w:ind w:right="24"/>
              <w:jc w:val="right"/>
              <w:rPr>
                <w:sz w:val="11"/>
              </w:rPr>
            </w:pPr>
            <w:r>
              <w:rPr>
                <w:sz w:val="11"/>
              </w:rPr>
              <w:t>0.00</w:t>
            </w:r>
          </w:p>
        </w:tc>
        <w:tc>
          <w:tcPr>
            <w:tcW w:w="1346" w:type="dxa"/>
          </w:tcPr>
          <w:p>
            <w:pPr>
              <w:pStyle w:val="TableParagraph"/>
              <w:spacing w:before="51"/>
              <w:ind w:right="262"/>
              <w:jc w:val="right"/>
              <w:rPr>
                <w:sz w:val="11"/>
              </w:rPr>
            </w:pPr>
            <w:r>
              <w:rPr>
                <w:sz w:val="11"/>
              </w:rPr>
              <w:t>0.00</w:t>
            </w:r>
          </w:p>
        </w:tc>
        <w:tc>
          <w:tcPr>
            <w:tcW w:w="4766" w:type="dxa"/>
            <w:gridSpan w:val="5"/>
          </w:tcPr>
          <w:p>
            <w:pPr>
              <w:pStyle w:val="TableParagraph"/>
              <w:spacing w:before="51"/>
              <w:ind w:left="626"/>
              <w:rPr>
                <w:sz w:val="11"/>
              </w:rPr>
            </w:pPr>
            <w:r>
              <w:rPr>
                <w:sz w:val="11"/>
              </w:rPr>
              <w:t>0.00</w:t>
            </w:r>
          </w:p>
        </w:tc>
      </w:tr>
      <w:tr>
        <w:trPr>
          <w:trHeight w:val="230" w:hRule="atLeast"/>
        </w:trPr>
        <w:tc>
          <w:tcPr>
            <w:tcW w:w="3691" w:type="dxa"/>
            <w:gridSpan w:val="2"/>
          </w:tcPr>
          <w:p>
            <w:pPr>
              <w:pStyle w:val="TableParagraph"/>
              <w:spacing w:before="51"/>
              <w:ind w:left="152"/>
              <w:rPr>
                <w:sz w:val="11"/>
              </w:rPr>
            </w:pPr>
            <w:r>
              <w:rPr>
                <w:sz w:val="11"/>
              </w:rPr>
              <w:t>8) Other Current Assets</w:t>
            </w:r>
          </w:p>
        </w:tc>
        <w:tc>
          <w:tcPr>
            <w:tcW w:w="703" w:type="dxa"/>
          </w:tcPr>
          <w:p>
            <w:pPr>
              <w:pStyle w:val="TableParagraph"/>
              <w:spacing w:before="51"/>
              <w:ind w:right="254"/>
              <w:jc w:val="right"/>
              <w:rPr>
                <w:sz w:val="11"/>
              </w:rPr>
            </w:pPr>
            <w:r>
              <w:rPr>
                <w:sz w:val="11"/>
              </w:rPr>
              <w:t>9340</w:t>
            </w:r>
          </w:p>
        </w:tc>
        <w:tc>
          <w:tcPr>
            <w:tcW w:w="1061" w:type="dxa"/>
            <w:gridSpan w:val="2"/>
          </w:tcPr>
          <w:p>
            <w:pPr>
              <w:pStyle w:val="TableParagraph"/>
              <w:spacing w:before="51"/>
              <w:ind w:right="24"/>
              <w:jc w:val="right"/>
              <w:rPr>
                <w:sz w:val="11"/>
              </w:rPr>
            </w:pPr>
            <w:r>
              <w:rPr>
                <w:sz w:val="11"/>
              </w:rPr>
              <w:t>0.00</w:t>
            </w:r>
          </w:p>
        </w:tc>
        <w:tc>
          <w:tcPr>
            <w:tcW w:w="1346" w:type="dxa"/>
          </w:tcPr>
          <w:p>
            <w:pPr>
              <w:pStyle w:val="TableParagraph"/>
              <w:spacing w:before="51"/>
              <w:ind w:right="262"/>
              <w:jc w:val="right"/>
              <w:rPr>
                <w:sz w:val="11"/>
              </w:rPr>
            </w:pPr>
            <w:r>
              <w:rPr>
                <w:sz w:val="11"/>
              </w:rPr>
              <w:t>0.00</w:t>
            </w:r>
          </w:p>
        </w:tc>
        <w:tc>
          <w:tcPr>
            <w:tcW w:w="4766" w:type="dxa"/>
            <w:gridSpan w:val="5"/>
          </w:tcPr>
          <w:p>
            <w:pPr>
              <w:pStyle w:val="TableParagraph"/>
              <w:spacing w:before="51"/>
              <w:ind w:left="626"/>
              <w:rPr>
                <w:sz w:val="11"/>
              </w:rPr>
            </w:pPr>
            <w:r>
              <w:rPr>
                <w:sz w:val="11"/>
              </w:rPr>
              <w:t>0.00</w:t>
            </w:r>
          </w:p>
        </w:tc>
      </w:tr>
      <w:tr>
        <w:trPr>
          <w:trHeight w:val="178" w:hRule="atLeast"/>
        </w:trPr>
        <w:tc>
          <w:tcPr>
            <w:tcW w:w="3691" w:type="dxa"/>
            <w:gridSpan w:val="2"/>
          </w:tcPr>
          <w:p>
            <w:pPr>
              <w:pStyle w:val="TableParagraph"/>
              <w:spacing w:line="107" w:lineRule="exact" w:before="51"/>
              <w:ind w:left="152"/>
              <w:rPr>
                <w:sz w:val="11"/>
              </w:rPr>
            </w:pPr>
            <w:r>
              <w:rPr>
                <w:sz w:val="11"/>
              </w:rPr>
              <w:t>9) TOTAL, ASSETS</w:t>
            </w:r>
          </w:p>
        </w:tc>
        <w:tc>
          <w:tcPr>
            <w:tcW w:w="703" w:type="dxa"/>
          </w:tcPr>
          <w:p>
            <w:pPr>
              <w:pStyle w:val="TableParagraph"/>
              <w:rPr>
                <w:rFonts w:ascii="Times New Roman"/>
                <w:sz w:val="10"/>
              </w:rPr>
            </w:pPr>
          </w:p>
        </w:tc>
        <w:tc>
          <w:tcPr>
            <w:tcW w:w="1061" w:type="dxa"/>
            <w:gridSpan w:val="2"/>
          </w:tcPr>
          <w:p>
            <w:pPr>
              <w:pStyle w:val="TableParagraph"/>
              <w:spacing w:line="107" w:lineRule="exact" w:before="51"/>
              <w:ind w:left="378"/>
              <w:rPr>
                <w:sz w:val="11"/>
              </w:rPr>
            </w:pPr>
            <w:r>
              <w:rPr>
                <w:sz w:val="11"/>
              </w:rPr>
              <w:t>2,368,680.32</w:t>
            </w:r>
          </w:p>
        </w:tc>
        <w:tc>
          <w:tcPr>
            <w:tcW w:w="1346" w:type="dxa"/>
          </w:tcPr>
          <w:p>
            <w:pPr>
              <w:pStyle w:val="TableParagraph"/>
              <w:spacing w:line="107" w:lineRule="exact" w:before="51"/>
              <w:ind w:right="225"/>
              <w:jc w:val="right"/>
              <w:rPr>
                <w:sz w:val="11"/>
              </w:rPr>
            </w:pPr>
            <w:r>
              <w:rPr>
                <w:sz w:val="11"/>
              </w:rPr>
              <w:t>(165,623.90)</w:t>
            </w:r>
          </w:p>
        </w:tc>
        <w:tc>
          <w:tcPr>
            <w:tcW w:w="4766" w:type="dxa"/>
            <w:gridSpan w:val="5"/>
          </w:tcPr>
          <w:p>
            <w:pPr>
              <w:pStyle w:val="TableParagraph"/>
              <w:spacing w:line="107" w:lineRule="exact" w:before="51"/>
              <w:ind w:left="189"/>
              <w:rPr>
                <w:sz w:val="11"/>
              </w:rPr>
            </w:pPr>
            <w:r>
              <w:rPr>
                <w:sz w:val="11"/>
              </w:rPr>
              <w:t>2,203,056.42</w:t>
            </w:r>
          </w:p>
        </w:tc>
      </w:tr>
    </w:tbl>
    <w:p>
      <w:pPr>
        <w:pStyle w:val="BodyText"/>
        <w:spacing w:before="1"/>
        <w:rPr>
          <w:sz w:val="29"/>
        </w:rPr>
      </w:pPr>
    </w:p>
    <w:tbl>
      <w:tblPr>
        <w:tblW w:w="0" w:type="auto"/>
        <w:jc w:val="left"/>
        <w:tblInd w:w="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20"/>
        <w:gridCol w:w="1730"/>
        <w:gridCol w:w="1200"/>
        <w:gridCol w:w="1109"/>
        <w:gridCol w:w="692"/>
      </w:tblGrid>
      <w:tr>
        <w:trPr>
          <w:trHeight w:val="178" w:hRule="atLeast"/>
        </w:trPr>
        <w:tc>
          <w:tcPr>
            <w:tcW w:w="2820" w:type="dxa"/>
          </w:tcPr>
          <w:p>
            <w:pPr>
              <w:pStyle w:val="TableParagraph"/>
              <w:spacing w:line="125" w:lineRule="exact"/>
              <w:ind w:left="28"/>
              <w:rPr>
                <w:sz w:val="11"/>
              </w:rPr>
            </w:pPr>
            <w:r>
              <w:rPr>
                <w:sz w:val="11"/>
              </w:rPr>
              <w:t>1) Deferred Outflows of Resources</w:t>
            </w:r>
          </w:p>
        </w:tc>
        <w:tc>
          <w:tcPr>
            <w:tcW w:w="1730" w:type="dxa"/>
          </w:tcPr>
          <w:p>
            <w:pPr>
              <w:pStyle w:val="TableParagraph"/>
              <w:spacing w:line="125" w:lineRule="exact"/>
              <w:ind w:left="943"/>
              <w:rPr>
                <w:sz w:val="11"/>
              </w:rPr>
            </w:pPr>
            <w:r>
              <w:rPr>
                <w:sz w:val="11"/>
              </w:rPr>
              <w:t>9490</w:t>
            </w:r>
          </w:p>
        </w:tc>
        <w:tc>
          <w:tcPr>
            <w:tcW w:w="1200" w:type="dxa"/>
          </w:tcPr>
          <w:p>
            <w:pPr>
              <w:pStyle w:val="TableParagraph"/>
              <w:spacing w:line="125" w:lineRule="exact"/>
              <w:ind w:right="444"/>
              <w:jc w:val="right"/>
              <w:rPr>
                <w:sz w:val="11"/>
              </w:rPr>
            </w:pPr>
            <w:r>
              <w:rPr>
                <w:sz w:val="11"/>
              </w:rPr>
              <w:t>0.00</w:t>
            </w:r>
          </w:p>
        </w:tc>
        <w:tc>
          <w:tcPr>
            <w:tcW w:w="1109" w:type="dxa"/>
          </w:tcPr>
          <w:p>
            <w:pPr>
              <w:pStyle w:val="TableParagraph"/>
              <w:spacing w:line="125" w:lineRule="exact"/>
              <w:ind w:left="444"/>
              <w:rPr>
                <w:sz w:val="11"/>
              </w:rPr>
            </w:pPr>
            <w:r>
              <w:rPr>
                <w:sz w:val="11"/>
              </w:rPr>
              <w:t>0.00</w:t>
            </w:r>
          </w:p>
        </w:tc>
        <w:tc>
          <w:tcPr>
            <w:tcW w:w="692" w:type="dxa"/>
          </w:tcPr>
          <w:p>
            <w:pPr>
              <w:pStyle w:val="TableParagraph"/>
              <w:spacing w:line="125" w:lineRule="exact"/>
              <w:ind w:right="27"/>
              <w:jc w:val="right"/>
              <w:rPr>
                <w:sz w:val="11"/>
              </w:rPr>
            </w:pPr>
            <w:r>
              <w:rPr>
                <w:sz w:val="11"/>
              </w:rPr>
              <w:t>0.00</w:t>
            </w:r>
          </w:p>
        </w:tc>
      </w:tr>
      <w:tr>
        <w:trPr>
          <w:trHeight w:val="178" w:hRule="atLeast"/>
        </w:trPr>
        <w:tc>
          <w:tcPr>
            <w:tcW w:w="2820" w:type="dxa"/>
          </w:tcPr>
          <w:p>
            <w:pPr>
              <w:pStyle w:val="TableParagraph"/>
              <w:spacing w:line="107" w:lineRule="exact" w:before="51"/>
              <w:ind w:left="28"/>
              <w:rPr>
                <w:sz w:val="11"/>
              </w:rPr>
            </w:pPr>
            <w:r>
              <w:rPr>
                <w:sz w:val="11"/>
              </w:rPr>
              <w:t>2) TOTAL, DEFERRED OUTFLOWS</w:t>
            </w:r>
          </w:p>
        </w:tc>
        <w:tc>
          <w:tcPr>
            <w:tcW w:w="1730" w:type="dxa"/>
          </w:tcPr>
          <w:p>
            <w:pPr>
              <w:pStyle w:val="TableParagraph"/>
              <w:rPr>
                <w:rFonts w:ascii="Times New Roman"/>
                <w:sz w:val="10"/>
              </w:rPr>
            </w:pPr>
          </w:p>
        </w:tc>
        <w:tc>
          <w:tcPr>
            <w:tcW w:w="1200" w:type="dxa"/>
          </w:tcPr>
          <w:p>
            <w:pPr>
              <w:pStyle w:val="TableParagraph"/>
              <w:spacing w:line="107" w:lineRule="exact" w:before="51"/>
              <w:ind w:right="444"/>
              <w:jc w:val="right"/>
              <w:rPr>
                <w:sz w:val="11"/>
              </w:rPr>
            </w:pPr>
            <w:r>
              <w:rPr>
                <w:sz w:val="11"/>
              </w:rPr>
              <w:t>0.00</w:t>
            </w:r>
          </w:p>
        </w:tc>
        <w:tc>
          <w:tcPr>
            <w:tcW w:w="1109" w:type="dxa"/>
          </w:tcPr>
          <w:p>
            <w:pPr>
              <w:pStyle w:val="TableParagraph"/>
              <w:spacing w:line="107" w:lineRule="exact" w:before="51"/>
              <w:ind w:left="444"/>
              <w:rPr>
                <w:sz w:val="11"/>
              </w:rPr>
            </w:pPr>
            <w:r>
              <w:rPr>
                <w:sz w:val="11"/>
              </w:rPr>
              <w:t>0.00</w:t>
            </w:r>
          </w:p>
        </w:tc>
        <w:tc>
          <w:tcPr>
            <w:tcW w:w="692" w:type="dxa"/>
          </w:tcPr>
          <w:p>
            <w:pPr>
              <w:pStyle w:val="TableParagraph"/>
              <w:spacing w:line="107" w:lineRule="exact" w:before="51"/>
              <w:ind w:right="27"/>
              <w:jc w:val="right"/>
              <w:rPr>
                <w:sz w:val="11"/>
              </w:rPr>
            </w:pPr>
            <w:r>
              <w:rPr>
                <w:sz w:val="11"/>
              </w:rPr>
              <w:t>0.00</w:t>
            </w:r>
          </w:p>
        </w:tc>
      </w:tr>
    </w:tbl>
    <w:p>
      <w:pPr>
        <w:pStyle w:val="BodyText"/>
        <w:spacing w:before="1"/>
        <w:rPr>
          <w:sz w:val="29"/>
        </w:rPr>
      </w:pPr>
    </w:p>
    <w:tbl>
      <w:tblPr>
        <w:tblW w:w="0" w:type="auto"/>
        <w:jc w:val="left"/>
        <w:tblInd w:w="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56"/>
        <w:gridCol w:w="1653"/>
        <w:gridCol w:w="1340"/>
        <w:gridCol w:w="968"/>
        <w:gridCol w:w="832"/>
      </w:tblGrid>
      <w:tr>
        <w:trPr>
          <w:trHeight w:val="178" w:hRule="atLeast"/>
        </w:trPr>
        <w:tc>
          <w:tcPr>
            <w:tcW w:w="2756" w:type="dxa"/>
          </w:tcPr>
          <w:p>
            <w:pPr>
              <w:pStyle w:val="TableParagraph"/>
              <w:spacing w:line="125" w:lineRule="exact"/>
              <w:ind w:left="28"/>
              <w:rPr>
                <w:sz w:val="11"/>
              </w:rPr>
            </w:pPr>
            <w:r>
              <w:rPr>
                <w:sz w:val="11"/>
              </w:rPr>
              <w:t>1) Accounts Payable</w:t>
            </w:r>
          </w:p>
        </w:tc>
        <w:tc>
          <w:tcPr>
            <w:tcW w:w="1653" w:type="dxa"/>
          </w:tcPr>
          <w:p>
            <w:pPr>
              <w:pStyle w:val="TableParagraph"/>
              <w:spacing w:line="125" w:lineRule="exact"/>
              <w:ind w:right="394"/>
              <w:jc w:val="right"/>
              <w:rPr>
                <w:sz w:val="11"/>
              </w:rPr>
            </w:pPr>
            <w:r>
              <w:rPr>
                <w:sz w:val="11"/>
              </w:rPr>
              <w:t>9500</w:t>
            </w:r>
          </w:p>
        </w:tc>
        <w:tc>
          <w:tcPr>
            <w:tcW w:w="1340" w:type="dxa"/>
          </w:tcPr>
          <w:p>
            <w:pPr>
              <w:pStyle w:val="TableParagraph"/>
              <w:spacing w:line="125" w:lineRule="exact"/>
              <w:ind w:right="443"/>
              <w:jc w:val="right"/>
              <w:rPr>
                <w:sz w:val="11"/>
              </w:rPr>
            </w:pPr>
            <w:r>
              <w:rPr>
                <w:sz w:val="11"/>
              </w:rPr>
              <w:t>27,238.79</w:t>
            </w:r>
          </w:p>
        </w:tc>
        <w:tc>
          <w:tcPr>
            <w:tcW w:w="968" w:type="dxa"/>
          </w:tcPr>
          <w:p>
            <w:pPr>
              <w:pStyle w:val="TableParagraph"/>
              <w:spacing w:line="125" w:lineRule="exact"/>
              <w:ind w:right="302"/>
              <w:jc w:val="right"/>
              <w:rPr>
                <w:sz w:val="11"/>
              </w:rPr>
            </w:pPr>
            <w:r>
              <w:rPr>
                <w:sz w:val="11"/>
              </w:rPr>
              <w:t>0.00</w:t>
            </w:r>
          </w:p>
        </w:tc>
        <w:tc>
          <w:tcPr>
            <w:tcW w:w="832" w:type="dxa"/>
          </w:tcPr>
          <w:p>
            <w:pPr>
              <w:pStyle w:val="TableParagraph"/>
              <w:spacing w:line="125" w:lineRule="exact"/>
              <w:ind w:right="25"/>
              <w:jc w:val="right"/>
              <w:rPr>
                <w:sz w:val="11"/>
              </w:rPr>
            </w:pPr>
            <w:r>
              <w:rPr>
                <w:sz w:val="11"/>
              </w:rPr>
              <w:t>27,238.79</w:t>
            </w:r>
          </w:p>
        </w:tc>
      </w:tr>
      <w:tr>
        <w:trPr>
          <w:trHeight w:val="230" w:hRule="atLeast"/>
        </w:trPr>
        <w:tc>
          <w:tcPr>
            <w:tcW w:w="2756" w:type="dxa"/>
          </w:tcPr>
          <w:p>
            <w:pPr>
              <w:pStyle w:val="TableParagraph"/>
              <w:spacing w:before="51"/>
              <w:ind w:left="28"/>
              <w:rPr>
                <w:sz w:val="11"/>
              </w:rPr>
            </w:pPr>
            <w:r>
              <w:rPr>
                <w:sz w:val="11"/>
              </w:rPr>
              <w:t>2) Due to Grantor Governments</w:t>
            </w:r>
          </w:p>
        </w:tc>
        <w:tc>
          <w:tcPr>
            <w:tcW w:w="1653" w:type="dxa"/>
          </w:tcPr>
          <w:p>
            <w:pPr>
              <w:pStyle w:val="TableParagraph"/>
              <w:spacing w:before="51"/>
              <w:ind w:right="394"/>
              <w:jc w:val="right"/>
              <w:rPr>
                <w:sz w:val="11"/>
              </w:rPr>
            </w:pPr>
            <w:r>
              <w:rPr>
                <w:sz w:val="11"/>
              </w:rPr>
              <w:t>9590</w:t>
            </w:r>
          </w:p>
        </w:tc>
        <w:tc>
          <w:tcPr>
            <w:tcW w:w="1340" w:type="dxa"/>
          </w:tcPr>
          <w:p>
            <w:pPr>
              <w:pStyle w:val="TableParagraph"/>
              <w:spacing w:before="51"/>
              <w:ind w:right="443"/>
              <w:jc w:val="right"/>
              <w:rPr>
                <w:sz w:val="11"/>
              </w:rPr>
            </w:pPr>
            <w:r>
              <w:rPr>
                <w:sz w:val="11"/>
              </w:rPr>
              <w:t>2,156.00</w:t>
            </w:r>
          </w:p>
        </w:tc>
        <w:tc>
          <w:tcPr>
            <w:tcW w:w="968" w:type="dxa"/>
          </w:tcPr>
          <w:p>
            <w:pPr>
              <w:pStyle w:val="TableParagraph"/>
              <w:spacing w:before="51"/>
              <w:ind w:right="302"/>
              <w:jc w:val="right"/>
              <w:rPr>
                <w:sz w:val="11"/>
              </w:rPr>
            </w:pPr>
            <w:r>
              <w:rPr>
                <w:sz w:val="11"/>
              </w:rPr>
              <w:t>0.00</w:t>
            </w:r>
          </w:p>
        </w:tc>
        <w:tc>
          <w:tcPr>
            <w:tcW w:w="832" w:type="dxa"/>
          </w:tcPr>
          <w:p>
            <w:pPr>
              <w:pStyle w:val="TableParagraph"/>
              <w:spacing w:before="51"/>
              <w:ind w:right="26"/>
              <w:jc w:val="right"/>
              <w:rPr>
                <w:sz w:val="11"/>
              </w:rPr>
            </w:pPr>
            <w:r>
              <w:rPr>
                <w:sz w:val="11"/>
              </w:rPr>
              <w:t>2,156.00</w:t>
            </w:r>
          </w:p>
        </w:tc>
      </w:tr>
      <w:tr>
        <w:trPr>
          <w:trHeight w:val="230" w:hRule="atLeast"/>
        </w:trPr>
        <w:tc>
          <w:tcPr>
            <w:tcW w:w="2756" w:type="dxa"/>
          </w:tcPr>
          <w:p>
            <w:pPr>
              <w:pStyle w:val="TableParagraph"/>
              <w:spacing w:before="51"/>
              <w:ind w:left="28"/>
              <w:rPr>
                <w:sz w:val="11"/>
              </w:rPr>
            </w:pPr>
            <w:r>
              <w:rPr>
                <w:sz w:val="11"/>
              </w:rPr>
              <w:t>3) Due to Other Funds</w:t>
            </w:r>
          </w:p>
        </w:tc>
        <w:tc>
          <w:tcPr>
            <w:tcW w:w="1653" w:type="dxa"/>
          </w:tcPr>
          <w:p>
            <w:pPr>
              <w:pStyle w:val="TableParagraph"/>
              <w:spacing w:before="51"/>
              <w:ind w:right="394"/>
              <w:jc w:val="right"/>
              <w:rPr>
                <w:sz w:val="11"/>
              </w:rPr>
            </w:pPr>
            <w:r>
              <w:rPr>
                <w:sz w:val="11"/>
              </w:rPr>
              <w:t>9610</w:t>
            </w:r>
          </w:p>
        </w:tc>
        <w:tc>
          <w:tcPr>
            <w:tcW w:w="1340" w:type="dxa"/>
          </w:tcPr>
          <w:p>
            <w:pPr>
              <w:pStyle w:val="TableParagraph"/>
              <w:spacing w:before="51"/>
              <w:ind w:right="443"/>
              <w:jc w:val="right"/>
              <w:rPr>
                <w:sz w:val="11"/>
              </w:rPr>
            </w:pPr>
            <w:r>
              <w:rPr>
                <w:sz w:val="11"/>
              </w:rPr>
              <w:t>0.00</w:t>
            </w:r>
          </w:p>
        </w:tc>
        <w:tc>
          <w:tcPr>
            <w:tcW w:w="968" w:type="dxa"/>
          </w:tcPr>
          <w:p>
            <w:pPr>
              <w:pStyle w:val="TableParagraph"/>
              <w:spacing w:before="51"/>
              <w:ind w:right="302"/>
              <w:jc w:val="right"/>
              <w:rPr>
                <w:sz w:val="11"/>
              </w:rPr>
            </w:pPr>
            <w:r>
              <w:rPr>
                <w:sz w:val="11"/>
              </w:rPr>
              <w:t>0.00</w:t>
            </w:r>
          </w:p>
        </w:tc>
        <w:tc>
          <w:tcPr>
            <w:tcW w:w="832" w:type="dxa"/>
          </w:tcPr>
          <w:p>
            <w:pPr>
              <w:pStyle w:val="TableParagraph"/>
              <w:spacing w:before="51"/>
              <w:ind w:right="25"/>
              <w:jc w:val="right"/>
              <w:rPr>
                <w:sz w:val="11"/>
              </w:rPr>
            </w:pPr>
            <w:r>
              <w:rPr>
                <w:sz w:val="11"/>
              </w:rPr>
              <w:t>0.00</w:t>
            </w:r>
          </w:p>
        </w:tc>
      </w:tr>
      <w:tr>
        <w:trPr>
          <w:trHeight w:val="230" w:hRule="atLeast"/>
        </w:trPr>
        <w:tc>
          <w:tcPr>
            <w:tcW w:w="2756" w:type="dxa"/>
          </w:tcPr>
          <w:p>
            <w:pPr>
              <w:pStyle w:val="TableParagraph"/>
              <w:spacing w:before="51"/>
              <w:ind w:left="28"/>
              <w:rPr>
                <w:sz w:val="11"/>
              </w:rPr>
            </w:pPr>
            <w:r>
              <w:rPr>
                <w:sz w:val="11"/>
              </w:rPr>
              <w:t>4) Current Loans</w:t>
            </w:r>
          </w:p>
        </w:tc>
        <w:tc>
          <w:tcPr>
            <w:tcW w:w="1653" w:type="dxa"/>
          </w:tcPr>
          <w:p>
            <w:pPr>
              <w:pStyle w:val="TableParagraph"/>
              <w:spacing w:before="51"/>
              <w:ind w:right="394"/>
              <w:jc w:val="right"/>
              <w:rPr>
                <w:sz w:val="11"/>
              </w:rPr>
            </w:pPr>
            <w:r>
              <w:rPr>
                <w:sz w:val="11"/>
              </w:rPr>
              <w:t>9640</w:t>
            </w:r>
          </w:p>
        </w:tc>
        <w:tc>
          <w:tcPr>
            <w:tcW w:w="1340" w:type="dxa"/>
          </w:tcPr>
          <w:p>
            <w:pPr>
              <w:pStyle w:val="TableParagraph"/>
              <w:spacing w:before="51"/>
              <w:ind w:right="443"/>
              <w:jc w:val="right"/>
              <w:rPr>
                <w:sz w:val="11"/>
              </w:rPr>
            </w:pPr>
            <w:r>
              <w:rPr>
                <w:sz w:val="11"/>
              </w:rPr>
              <w:t>0.00</w:t>
            </w:r>
          </w:p>
        </w:tc>
        <w:tc>
          <w:tcPr>
            <w:tcW w:w="968" w:type="dxa"/>
          </w:tcPr>
          <w:p>
            <w:pPr>
              <w:pStyle w:val="TableParagraph"/>
              <w:spacing w:before="51"/>
              <w:ind w:right="302"/>
              <w:jc w:val="right"/>
              <w:rPr>
                <w:sz w:val="11"/>
              </w:rPr>
            </w:pPr>
            <w:r>
              <w:rPr>
                <w:sz w:val="11"/>
              </w:rPr>
              <w:t>0.00</w:t>
            </w:r>
          </w:p>
        </w:tc>
        <w:tc>
          <w:tcPr>
            <w:tcW w:w="832" w:type="dxa"/>
          </w:tcPr>
          <w:p>
            <w:pPr>
              <w:pStyle w:val="TableParagraph"/>
              <w:spacing w:before="51"/>
              <w:ind w:right="25"/>
              <w:jc w:val="right"/>
              <w:rPr>
                <w:sz w:val="11"/>
              </w:rPr>
            </w:pPr>
            <w:r>
              <w:rPr>
                <w:sz w:val="11"/>
              </w:rPr>
              <w:t>0.00</w:t>
            </w:r>
          </w:p>
        </w:tc>
      </w:tr>
      <w:tr>
        <w:trPr>
          <w:trHeight w:val="230" w:hRule="atLeast"/>
        </w:trPr>
        <w:tc>
          <w:tcPr>
            <w:tcW w:w="2756" w:type="dxa"/>
          </w:tcPr>
          <w:p>
            <w:pPr>
              <w:pStyle w:val="TableParagraph"/>
              <w:spacing w:before="51"/>
              <w:ind w:left="28"/>
              <w:rPr>
                <w:sz w:val="11"/>
              </w:rPr>
            </w:pPr>
            <w:r>
              <w:rPr>
                <w:sz w:val="11"/>
              </w:rPr>
              <w:t>5) Unearned Revenue</w:t>
            </w:r>
          </w:p>
        </w:tc>
        <w:tc>
          <w:tcPr>
            <w:tcW w:w="1653" w:type="dxa"/>
          </w:tcPr>
          <w:p>
            <w:pPr>
              <w:pStyle w:val="TableParagraph"/>
              <w:spacing w:before="51"/>
              <w:ind w:right="394"/>
              <w:jc w:val="right"/>
              <w:rPr>
                <w:sz w:val="11"/>
              </w:rPr>
            </w:pPr>
            <w:r>
              <w:rPr>
                <w:sz w:val="11"/>
              </w:rPr>
              <w:t>9650</w:t>
            </w:r>
          </w:p>
        </w:tc>
        <w:tc>
          <w:tcPr>
            <w:tcW w:w="1340" w:type="dxa"/>
          </w:tcPr>
          <w:p>
            <w:pPr>
              <w:pStyle w:val="TableParagraph"/>
              <w:spacing w:before="51"/>
              <w:ind w:right="443"/>
              <w:jc w:val="right"/>
              <w:rPr>
                <w:sz w:val="11"/>
              </w:rPr>
            </w:pPr>
            <w:r>
              <w:rPr>
                <w:sz w:val="11"/>
              </w:rPr>
              <w:t>0.00</w:t>
            </w:r>
          </w:p>
        </w:tc>
        <w:tc>
          <w:tcPr>
            <w:tcW w:w="968" w:type="dxa"/>
          </w:tcPr>
          <w:p>
            <w:pPr>
              <w:pStyle w:val="TableParagraph"/>
              <w:spacing w:before="51"/>
              <w:ind w:right="302"/>
              <w:jc w:val="right"/>
              <w:rPr>
                <w:sz w:val="11"/>
              </w:rPr>
            </w:pPr>
            <w:r>
              <w:rPr>
                <w:sz w:val="11"/>
              </w:rPr>
              <w:t>0.00</w:t>
            </w:r>
          </w:p>
        </w:tc>
        <w:tc>
          <w:tcPr>
            <w:tcW w:w="832" w:type="dxa"/>
          </w:tcPr>
          <w:p>
            <w:pPr>
              <w:pStyle w:val="TableParagraph"/>
              <w:spacing w:before="51"/>
              <w:ind w:right="25"/>
              <w:jc w:val="right"/>
              <w:rPr>
                <w:sz w:val="11"/>
              </w:rPr>
            </w:pPr>
            <w:r>
              <w:rPr>
                <w:sz w:val="11"/>
              </w:rPr>
              <w:t>0.00</w:t>
            </w:r>
          </w:p>
        </w:tc>
      </w:tr>
      <w:tr>
        <w:trPr>
          <w:trHeight w:val="406" w:hRule="atLeast"/>
        </w:trPr>
        <w:tc>
          <w:tcPr>
            <w:tcW w:w="2756" w:type="dxa"/>
          </w:tcPr>
          <w:p>
            <w:pPr>
              <w:pStyle w:val="TableParagraph"/>
              <w:spacing w:before="51"/>
              <w:ind w:left="28"/>
              <w:rPr>
                <w:sz w:val="11"/>
              </w:rPr>
            </w:pPr>
            <w:r>
              <w:rPr>
                <w:sz w:val="11"/>
              </w:rPr>
              <w:t>6) TOTAL, LIABILITIES</w:t>
            </w:r>
          </w:p>
          <w:p>
            <w:pPr>
              <w:pStyle w:val="TableParagraph"/>
              <w:spacing w:line="107" w:lineRule="exact" w:before="101"/>
              <w:ind w:left="28"/>
              <w:rPr>
                <w:b/>
                <w:sz w:val="11"/>
              </w:rPr>
            </w:pPr>
            <w:r>
              <w:rPr>
                <w:b/>
                <w:sz w:val="11"/>
              </w:rPr>
              <w:t>DEFERRED INFLOWS OF RESOURCES</w:t>
            </w:r>
          </w:p>
        </w:tc>
        <w:tc>
          <w:tcPr>
            <w:tcW w:w="1653" w:type="dxa"/>
          </w:tcPr>
          <w:p>
            <w:pPr>
              <w:pStyle w:val="TableParagraph"/>
              <w:rPr>
                <w:rFonts w:ascii="Times New Roman"/>
                <w:sz w:val="10"/>
              </w:rPr>
            </w:pPr>
          </w:p>
        </w:tc>
        <w:tc>
          <w:tcPr>
            <w:tcW w:w="1340" w:type="dxa"/>
          </w:tcPr>
          <w:p>
            <w:pPr>
              <w:pStyle w:val="TableParagraph"/>
              <w:spacing w:before="51"/>
              <w:ind w:right="443"/>
              <w:jc w:val="right"/>
              <w:rPr>
                <w:sz w:val="11"/>
              </w:rPr>
            </w:pPr>
            <w:r>
              <w:rPr>
                <w:sz w:val="11"/>
              </w:rPr>
              <w:t>29,394.79</w:t>
            </w:r>
          </w:p>
        </w:tc>
        <w:tc>
          <w:tcPr>
            <w:tcW w:w="968" w:type="dxa"/>
          </w:tcPr>
          <w:p>
            <w:pPr>
              <w:pStyle w:val="TableParagraph"/>
              <w:spacing w:before="51"/>
              <w:ind w:right="302"/>
              <w:jc w:val="right"/>
              <w:rPr>
                <w:sz w:val="11"/>
              </w:rPr>
            </w:pPr>
            <w:r>
              <w:rPr>
                <w:sz w:val="11"/>
              </w:rPr>
              <w:t>0.00</w:t>
            </w:r>
          </w:p>
        </w:tc>
        <w:tc>
          <w:tcPr>
            <w:tcW w:w="832" w:type="dxa"/>
          </w:tcPr>
          <w:p>
            <w:pPr>
              <w:pStyle w:val="TableParagraph"/>
              <w:spacing w:before="51"/>
              <w:ind w:right="25"/>
              <w:jc w:val="right"/>
              <w:rPr>
                <w:sz w:val="11"/>
              </w:rPr>
            </w:pPr>
            <w:r>
              <w:rPr>
                <w:sz w:val="11"/>
              </w:rPr>
              <w:t>29,394.79</w:t>
            </w:r>
          </w:p>
        </w:tc>
      </w:tr>
      <w:tr>
        <w:trPr>
          <w:trHeight w:val="285" w:hRule="atLeast"/>
        </w:trPr>
        <w:tc>
          <w:tcPr>
            <w:tcW w:w="2756" w:type="dxa"/>
          </w:tcPr>
          <w:p>
            <w:pPr>
              <w:pStyle w:val="TableParagraph"/>
              <w:spacing w:before="105"/>
              <w:ind w:left="28"/>
              <w:rPr>
                <w:sz w:val="11"/>
              </w:rPr>
            </w:pPr>
            <w:r>
              <w:rPr>
                <w:sz w:val="11"/>
              </w:rPr>
              <w:t>1) Deferred Inflows of Resources</w:t>
            </w:r>
          </w:p>
        </w:tc>
        <w:tc>
          <w:tcPr>
            <w:tcW w:w="1653" w:type="dxa"/>
          </w:tcPr>
          <w:p>
            <w:pPr>
              <w:pStyle w:val="TableParagraph"/>
              <w:spacing w:before="105"/>
              <w:ind w:right="394"/>
              <w:jc w:val="right"/>
              <w:rPr>
                <w:sz w:val="11"/>
              </w:rPr>
            </w:pPr>
            <w:r>
              <w:rPr>
                <w:sz w:val="11"/>
              </w:rPr>
              <w:t>9690</w:t>
            </w:r>
          </w:p>
        </w:tc>
        <w:tc>
          <w:tcPr>
            <w:tcW w:w="1340" w:type="dxa"/>
          </w:tcPr>
          <w:p>
            <w:pPr>
              <w:pStyle w:val="TableParagraph"/>
              <w:spacing w:before="105"/>
              <w:ind w:right="443"/>
              <w:jc w:val="right"/>
              <w:rPr>
                <w:sz w:val="11"/>
              </w:rPr>
            </w:pPr>
            <w:r>
              <w:rPr>
                <w:sz w:val="11"/>
              </w:rPr>
              <w:t>0.00</w:t>
            </w:r>
          </w:p>
        </w:tc>
        <w:tc>
          <w:tcPr>
            <w:tcW w:w="968" w:type="dxa"/>
          </w:tcPr>
          <w:p>
            <w:pPr>
              <w:pStyle w:val="TableParagraph"/>
              <w:spacing w:before="105"/>
              <w:ind w:right="302"/>
              <w:jc w:val="right"/>
              <w:rPr>
                <w:sz w:val="11"/>
              </w:rPr>
            </w:pPr>
            <w:r>
              <w:rPr>
                <w:sz w:val="11"/>
              </w:rPr>
              <w:t>0.00</w:t>
            </w:r>
          </w:p>
        </w:tc>
        <w:tc>
          <w:tcPr>
            <w:tcW w:w="832" w:type="dxa"/>
          </w:tcPr>
          <w:p>
            <w:pPr>
              <w:pStyle w:val="TableParagraph"/>
              <w:spacing w:before="105"/>
              <w:ind w:right="25"/>
              <w:jc w:val="right"/>
              <w:rPr>
                <w:sz w:val="11"/>
              </w:rPr>
            </w:pPr>
            <w:r>
              <w:rPr>
                <w:sz w:val="11"/>
              </w:rPr>
              <w:t>0.00</w:t>
            </w:r>
          </w:p>
        </w:tc>
      </w:tr>
      <w:tr>
        <w:trPr>
          <w:trHeight w:val="178" w:hRule="atLeast"/>
        </w:trPr>
        <w:tc>
          <w:tcPr>
            <w:tcW w:w="2756" w:type="dxa"/>
          </w:tcPr>
          <w:p>
            <w:pPr>
              <w:pStyle w:val="TableParagraph"/>
              <w:spacing w:line="107" w:lineRule="exact" w:before="51"/>
              <w:ind w:left="28"/>
              <w:rPr>
                <w:sz w:val="11"/>
              </w:rPr>
            </w:pPr>
            <w:r>
              <w:rPr>
                <w:sz w:val="11"/>
              </w:rPr>
              <w:t>2) TOTAL, DEFERRED INFLOWS</w:t>
            </w:r>
          </w:p>
        </w:tc>
        <w:tc>
          <w:tcPr>
            <w:tcW w:w="1653" w:type="dxa"/>
          </w:tcPr>
          <w:p>
            <w:pPr>
              <w:pStyle w:val="TableParagraph"/>
              <w:rPr>
                <w:rFonts w:ascii="Times New Roman"/>
                <w:sz w:val="10"/>
              </w:rPr>
            </w:pPr>
          </w:p>
        </w:tc>
        <w:tc>
          <w:tcPr>
            <w:tcW w:w="1340" w:type="dxa"/>
          </w:tcPr>
          <w:p>
            <w:pPr>
              <w:pStyle w:val="TableParagraph"/>
              <w:spacing w:line="107" w:lineRule="exact" w:before="51"/>
              <w:ind w:right="443"/>
              <w:jc w:val="right"/>
              <w:rPr>
                <w:sz w:val="11"/>
              </w:rPr>
            </w:pPr>
            <w:r>
              <w:rPr>
                <w:sz w:val="11"/>
              </w:rPr>
              <w:t>0.00</w:t>
            </w:r>
          </w:p>
        </w:tc>
        <w:tc>
          <w:tcPr>
            <w:tcW w:w="968" w:type="dxa"/>
          </w:tcPr>
          <w:p>
            <w:pPr>
              <w:pStyle w:val="TableParagraph"/>
              <w:spacing w:line="107" w:lineRule="exact" w:before="51"/>
              <w:ind w:right="302"/>
              <w:jc w:val="right"/>
              <w:rPr>
                <w:sz w:val="11"/>
              </w:rPr>
            </w:pPr>
            <w:r>
              <w:rPr>
                <w:sz w:val="11"/>
              </w:rPr>
              <w:t>0.00</w:t>
            </w:r>
          </w:p>
        </w:tc>
        <w:tc>
          <w:tcPr>
            <w:tcW w:w="832" w:type="dxa"/>
          </w:tcPr>
          <w:p>
            <w:pPr>
              <w:pStyle w:val="TableParagraph"/>
              <w:spacing w:line="107" w:lineRule="exact" w:before="51"/>
              <w:ind w:right="25"/>
              <w:jc w:val="right"/>
              <w:rPr>
                <w:sz w:val="11"/>
              </w:rPr>
            </w:pPr>
            <w:r>
              <w:rPr>
                <w:sz w:val="11"/>
              </w:rPr>
              <w:t>0.00</w:t>
            </w:r>
          </w:p>
        </w:tc>
      </w:tr>
    </w:tbl>
    <w:p>
      <w:pPr>
        <w:spacing w:after="0" w:line="107" w:lineRule="exact"/>
        <w:jc w:val="right"/>
        <w:rPr>
          <w:sz w:val="11"/>
        </w:rPr>
        <w:sectPr>
          <w:pgSz w:w="12240" w:h="15840"/>
          <w:pgMar w:header="59" w:footer="240" w:top="560" w:bottom="440" w:left="160" w:right="180"/>
        </w:sectPr>
      </w:pPr>
    </w:p>
    <w:p>
      <w:pPr>
        <w:pStyle w:val="BodyText"/>
        <w:spacing w:before="9"/>
        <w:rPr>
          <w:sz w:val="14"/>
        </w:rPr>
      </w:pPr>
    </w:p>
    <w:p>
      <w:pPr>
        <w:spacing w:after="0"/>
        <w:rPr>
          <w:sz w:val="14"/>
        </w:rPr>
        <w:sectPr>
          <w:pgSz w:w="12240" w:h="15840"/>
          <w:pgMar w:header="59" w:footer="240" w:top="560" w:bottom="440" w:left="160" w:right="180"/>
        </w:sectPr>
      </w:pPr>
    </w:p>
    <w:p>
      <w:pPr>
        <w:tabs>
          <w:tab w:pos="9063" w:val="left" w:leader="none"/>
        </w:tabs>
        <w:spacing w:line="238" w:lineRule="exact" w:before="11"/>
        <w:ind w:left="6972" w:right="0" w:hanging="1529"/>
        <w:jc w:val="left"/>
        <w:rPr>
          <w:b/>
          <w:sz w:val="11"/>
        </w:rPr>
      </w:pPr>
      <w:r>
        <w:rPr/>
        <w:pict>
          <v:group style="position:absolute;margin-left:14.280001pt;margin-top:3.230016pt;width:581.3pt;height:627.75pt;mso-position-horizontal-relative:page;mso-position-vertical-relative:paragraph;z-index:-314616832" coordorigin="286,65" coordsize="11626,12555">
            <v:shape style="position:absolute;left:285;top:64;width:11626;height:168" type="#_x0000_t75" stroked="false">
              <v:imagedata r:id="rId83" o:title=""/>
            </v:shape>
            <v:shape style="position:absolute;left:285;top:227;width:2542;height:507" type="#_x0000_t75" stroked="false">
              <v:imagedata r:id="rId84" o:title=""/>
            </v:shape>
            <v:shape style="position:absolute;left:2824;top:95;width:9087;height:639" type="#_x0000_t75" stroked="false">
              <v:imagedata r:id="rId85" o:title=""/>
            </v:shape>
            <v:shape style="position:absolute;left:7972;top:227;width:3939;height:735" type="#_x0000_t75" stroked="false">
              <v:imagedata r:id="rId156" o:title=""/>
            </v:shape>
            <v:shape style="position:absolute;left:7972;top:727;width:3939;height:689" type="#_x0000_t75" stroked="false">
              <v:imagedata r:id="rId157" o:title=""/>
            </v:shape>
            <v:shape style="position:absolute;left:4648;top:727;width:2220;height:920" type="#_x0000_t75" stroked="false">
              <v:imagedata r:id="rId158" o:title=""/>
            </v:shape>
            <v:shape style="position:absolute;left:5757;top:1262;width:6154;height:384" type="#_x0000_t75" stroked="false">
              <v:imagedata r:id="rId159" o:title=""/>
            </v:shape>
            <v:shape style="position:absolute;left:4648;top:1413;width:7263;height:464" type="#_x0000_t75" stroked="false">
              <v:imagedata r:id="rId160" o:title=""/>
            </v:shape>
            <v:rect style="position:absolute;left:9086;top:1646;width:1109;height:231" filled="true" fillcolor="#dfdfdf" stroked="false">
              <v:fill type="solid"/>
            </v:rect>
            <v:shape style="position:absolute;left:9084;top:1643;width:2828;height:615" type="#_x0000_t75" stroked="false">
              <v:imagedata r:id="rId161" o:title=""/>
            </v:shape>
            <v:rect style="position:absolute;left:9086;top:1876;width:1109;height:231" filled="true" fillcolor="#dfdfdf" stroked="false">
              <v:fill type="solid"/>
            </v:rect>
            <v:shape style="position:absolute;left:4648;top:1874;width:2220;height:615" type="#_x0000_t75" stroked="false">
              <v:imagedata r:id="rId162" o:title=""/>
            </v:shape>
            <v:rect style="position:absolute;left:9086;top:2107;width:1109;height:152" filled="true" fillcolor="#dfdfdf" stroked="false">
              <v:fill type="solid"/>
            </v:rect>
            <v:shape style="position:absolute;left:5757;top:1874;width:6154;height:615" type="#_x0000_t75" stroked="false">
              <v:imagedata r:id="rId163" o:title=""/>
            </v:shape>
            <v:rect style="position:absolute;left:5760;top:2488;width:1109;height:231" filled="true" fillcolor="#dfdfdf" stroked="false">
              <v:fill type="solid"/>
            </v:rect>
            <v:shape style="position:absolute;left:4648;top:2255;width:7263;height:694" type="#_x0000_t75" stroked="false">
              <v:imagedata r:id="rId164" o:title=""/>
            </v:shape>
            <v:shape style="position:absolute;left:5760;top:2488;width:4436;height:613" coordorigin="5760,2489" coordsize="4436,613" path="m6869,2719l5760,2719,5760,2949,5760,3101,6869,3101,6869,2949,6869,2719m10195,2489l9086,2489,9086,2719,9086,2949,10195,2949,10195,2719,10195,2489e" filled="true" fillcolor="#dfdfdf" stroked="false">
              <v:path arrowok="t"/>
              <v:fill type="solid"/>
            </v:shape>
            <v:shape style="position:absolute;left:4648;top:2716;width:7263;height:615" type="#_x0000_t75" stroked="false">
              <v:imagedata r:id="rId165" o:title=""/>
            </v:shape>
            <v:shape style="position:absolute;left:5760;top:2949;width:4436;height:382" coordorigin="5760,2949" coordsize="4436,382" path="m6869,3101l5760,3101,5760,3331,6869,3331,6869,3101m10195,2949l9086,2949,9086,3101,9086,3331,10195,3331,10195,3101,10195,2949e" filled="true" fillcolor="#dfdfdf" stroked="false">
              <v:path arrowok="t"/>
              <v:fill type="solid"/>
            </v:shape>
            <v:shape style="position:absolute;left:4648;top:3098;width:7263;height:464" type="#_x0000_t75" stroked="false">
              <v:imagedata r:id="rId166" o:title=""/>
            </v:shape>
            <v:shape style="position:absolute;left:5760;top:3331;width:4436;height:231" coordorigin="5760,3331" coordsize="4436,231" path="m6869,3331l5760,3331,5760,3561,6869,3561,6869,3331m10195,3331l9086,3331,9086,3561,10195,3561,10195,3331e" filled="true" fillcolor="#dfdfdf" stroked="false">
              <v:path arrowok="t"/>
              <v:fill type="solid"/>
            </v:shape>
            <v:shape style="position:absolute;left:4648;top:3328;width:7263;height:464" type="#_x0000_t75" stroked="false">
              <v:imagedata r:id="rId167" o:title=""/>
            </v:shape>
            <v:rect style="position:absolute;left:5760;top:3561;width:1109;height:231" filled="true" fillcolor="#dfdfdf" stroked="false">
              <v:fill type="solid"/>
            </v:rect>
            <v:shape style="position:absolute;left:285;top:729;width:2542;height:5583" type="#_x0000_t75" stroked="false">
              <v:imagedata r:id="rId168" o:title=""/>
            </v:shape>
            <v:rect style="position:absolute;left:9086;top:3561;width:1109;height:231" filled="true" fillcolor="#dfdfdf" stroked="false">
              <v:fill type="solid"/>
            </v:rect>
            <v:shape style="position:absolute;left:5757;top:3559;width:6154;height:464" type="#_x0000_t75" stroked="false">
              <v:imagedata r:id="rId169" o:title=""/>
            </v:shape>
            <v:shape style="position:absolute;left:5760;top:3791;width:4436;height:382" coordorigin="5760,3792" coordsize="4436,382" path="m6869,3792l5760,3792,5760,4022,5760,4173,6869,4173,6869,4022,6869,3792m10195,3792l9086,3792,9086,4022,10195,4022,10195,3792e" filled="true" fillcolor="#dfdfdf" stroked="false">
              <v:path arrowok="t"/>
              <v:fill type="solid"/>
            </v:shape>
            <v:shape style="position:absolute;left:4648;top:3789;width:7263;height:615" type="#_x0000_t75" stroked="false">
              <v:imagedata r:id="rId170" o:title=""/>
            </v:shape>
            <v:shape style="position:absolute;left:5760;top:4022;width:4436;height:382" coordorigin="5760,4022" coordsize="4436,382" path="m6869,4173l5760,4173,5760,4404,6869,4404,6869,4173m10195,4022l9086,4022,9086,4173,9086,4404,10195,4404,10195,4173,10195,4022e" filled="true" fillcolor="#dfdfdf" stroked="false">
              <v:path arrowok="t"/>
              <v:fill type="solid"/>
            </v:shape>
            <v:shape style="position:absolute;left:4648;top:4171;width:7263;height:615" type="#_x0000_t75" stroked="false">
              <v:imagedata r:id="rId171" o:title=""/>
            </v:shape>
            <v:shape style="position:absolute;left:5760;top:4403;width:4436;height:533" coordorigin="5760,4404" coordsize="4436,533" path="m6869,4404l5760,4404,5760,4555,5760,4785,5760,4937,6869,4937,6869,4785,6869,4555,6869,4404m10195,4404l9086,4404,9086,4555,9086,4785,10195,4785,10195,4555,10195,4404e" filled="true" fillcolor="#dfdfdf" stroked="false">
              <v:path arrowok="t"/>
              <v:fill type="solid"/>
            </v:shape>
            <v:shape style="position:absolute;left:4648;top:4552;width:7263;height:615" type="#_x0000_t75" stroked="false">
              <v:imagedata r:id="rId172" o:title=""/>
            </v:shape>
            <v:shape style="position:absolute;left:5760;top:4785;width:4436;height:533" coordorigin="5760,4785" coordsize="4436,533" path="m6869,4937l5760,4937,5760,5167,5760,5318,6869,5318,6869,5167,6869,4937m10195,4785l9086,4785,9086,4937,9086,5167,9086,5318,10195,5318,10195,5167,10195,4937,10195,4785e" filled="true" fillcolor="#dfdfdf" stroked="false">
              <v:path arrowok="t"/>
              <v:fill type="solid"/>
            </v:shape>
            <v:shape style="position:absolute;left:4648;top:4934;width:2220;height:615" type="#_x0000_t75" stroked="false">
              <v:imagedata r:id="rId173" o:title=""/>
            </v:shape>
            <v:shape style="position:absolute;left:5757;top:4934;width:4438;height:615" type="#_x0000_t75" stroked="false">
              <v:imagedata r:id="rId174" o:title=""/>
            </v:shape>
            <v:rect style="position:absolute;left:5760;top:5318;width:1109;height:231" filled="true" fillcolor="#dfdfdf" stroked="false">
              <v:fill type="solid"/>
            </v:rect>
            <v:shape style="position:absolute;left:9084;top:4934;width:2828;height:615" type="#_x0000_t75" stroked="false">
              <v:imagedata r:id="rId175" o:title=""/>
            </v:shape>
            <v:shape style="position:absolute;left:5760;top:5318;width:4436;height:461" coordorigin="5760,5318" coordsize="4436,461" path="m6869,5549l5760,5549,5760,5779,6869,5779,6869,5549m10195,5318l9086,5318,9086,5549,9086,5779,10195,5779,10195,5549,10195,5318e" filled="true" fillcolor="#dfdfdf" stroked="false">
              <v:path arrowok="t"/>
              <v:fill type="solid"/>
            </v:shape>
            <v:shape style="position:absolute;left:4648;top:5315;width:7263;height:766" type="#_x0000_t75" stroked="false">
              <v:imagedata r:id="rId176" o:title=""/>
            </v:shape>
            <v:shape style="position:absolute;left:5760;top:5779;width:4436;height:533" coordorigin="5760,5779" coordsize="4436,533" path="m6869,5779l5760,5779,5760,5930,5760,6081,5760,6312,6869,6312,6869,6081,6869,5930,6869,5779m10195,5779l9086,5779,9086,5930,9086,6081,10195,6081,10195,5930,10195,5779e" filled="true" fillcolor="#dfdfdf" stroked="false">
              <v:path arrowok="t"/>
              <v:fill type="solid"/>
            </v:shape>
            <v:shape style="position:absolute;left:2824;top:5927;width:9087;height:536" type="#_x0000_t75" stroked="false">
              <v:imagedata r:id="rId177" o:title=""/>
            </v:shape>
            <v:shape style="position:absolute;left:5760;top:6081;width:4436;height:915" coordorigin="5760,6081" coordsize="4436,915" path="m6869,6312l5760,6312,5760,6463,5760,6614,5760,6845,5760,6996,6869,6996,6869,6845,6869,6614,6869,6463,6869,6312m10195,6081l9086,6081,9086,6312,9086,6463,9086,6614,9086,6845,9086,6996,10195,6996,10195,6845,10195,6614,10195,6463,10195,6312,10195,6081e" filled="true" fillcolor="#dfdfdf" stroked="false">
              <v:path arrowok="t"/>
              <v:fill type="solid"/>
            </v:shape>
            <v:shape style="position:absolute;left:4648;top:6309;width:7263;height:1068" type="#_x0000_t75" stroked="false">
              <v:imagedata r:id="rId178" o:title=""/>
            </v:shape>
            <v:shape style="position:absolute;left:4648;top:7223;width:7263;height:384" type="#_x0000_t75" stroked="false">
              <v:imagedata r:id="rId179" o:title=""/>
            </v:shape>
            <v:shape style="position:absolute;left:4648;top:7375;width:7263;height:464" type="#_x0000_t75" stroked="false">
              <v:imagedata r:id="rId180" o:title=""/>
            </v:shape>
            <v:shape style="position:absolute;left:285;top:6309;width:2542;height:1990" type="#_x0000_t75" stroked="false">
              <v:imagedata r:id="rId181" o:title=""/>
            </v:shape>
            <v:shape style="position:absolute;left:4648;top:7605;width:7263;height:464" type="#_x0000_t75" stroked="false">
              <v:imagedata r:id="rId182" o:title=""/>
            </v:shape>
            <v:shape style="position:absolute;left:2824;top:7835;width:9087;height:464" type="#_x0000_t75" stroked="false">
              <v:imagedata r:id="rId183" o:title=""/>
            </v:shape>
            <v:shape style="position:absolute;left:5757;top:8066;width:6154;height:845" type="#_x0000_t75" stroked="false">
              <v:imagedata r:id="rId184" o:title=""/>
            </v:shape>
            <v:shape style="position:absolute;left:4648;top:8296;width:3332;height:845" type="#_x0000_t75" stroked="false">
              <v:imagedata r:id="rId185" o:title=""/>
            </v:shape>
            <v:shape style="position:absolute;left:5757;top:8678;width:6154;height:464" type="#_x0000_t75" stroked="false">
              <v:imagedata r:id="rId186" o:title=""/>
            </v:shape>
            <v:shape style="position:absolute;left:4651;top:8911;width:4436;height:231" coordorigin="4651,8911" coordsize="4436,231" path="m5760,8911l4651,8911,4651,9141,5760,9141,5760,8911m9086,8911l7978,8911,7978,9141,9086,9141,9086,8911e" filled="true" fillcolor="#dfdfdf" stroked="false">
              <v:path arrowok="t"/>
              <v:fill type="solid"/>
            </v:shape>
            <v:shape style="position:absolute;left:7972;top:8908;width:2223;height:464" type="#_x0000_t75" stroked="false">
              <v:imagedata r:id="rId187" o:title=""/>
            </v:shape>
            <v:shape style="position:absolute;left:10192;top:8908;width:1719;height:464" type="#_x0000_t75" stroked="false">
              <v:imagedata r:id="rId188" o:title=""/>
            </v:shape>
            <v:shape style="position:absolute;left:4651;top:9141;width:4436;height:461" coordorigin="4651,9141" coordsize="4436,461" path="m5760,9141l4651,9141,4651,9372,4651,9602,5760,9602,5760,9372,5760,9141m9086,9141l7978,9141,7978,9372,9086,9372,9086,9141e" filled="true" fillcolor="#dfdfdf" stroked="false">
              <v:path arrowok="t"/>
              <v:fill type="solid"/>
            </v:shape>
            <v:shape style="position:absolute;left:4648;top:9139;width:7263;height:464" type="#_x0000_t75" stroked="false">
              <v:imagedata r:id="rId189" o:title=""/>
            </v:shape>
            <v:shape style="position:absolute;left:4651;top:9371;width:4436;height:461" coordorigin="4651,9372" coordsize="4436,461" path="m5760,9602l4651,9602,4651,9833,5760,9833,5760,9602m9086,9372l7978,9372,7978,9602,9086,9602,9086,9372e" filled="true" fillcolor="#dfdfdf" stroked="false">
              <v:path arrowok="t"/>
              <v:fill type="solid"/>
            </v:shape>
            <v:shape style="position:absolute;left:4648;top:9369;width:7263;height:464" type="#_x0000_t75" stroked="false">
              <v:imagedata r:id="rId190" o:title=""/>
            </v:shape>
            <v:shape style="position:absolute;left:5760;top:9602;width:3327;height:461" coordorigin="5760,9602" coordsize="3327,461" path="m6869,9833l5760,9833,5760,10063,6869,10063,6869,9833m9086,9602l7978,9602,7978,9833,9086,9833,9086,9602e" filled="true" fillcolor="#dfdfdf" stroked="false">
              <v:path arrowok="t"/>
              <v:fill type="solid"/>
            </v:shape>
            <v:shape style="position:absolute;left:9084;top:9599;width:2828;height:464" type="#_x0000_t75" stroked="false">
              <v:imagedata r:id="rId191" o:title=""/>
            </v:shape>
            <v:rect style="position:absolute;left:9086;top:9832;width:1109;height:231" filled="true" fillcolor="#dfdfdf" stroked="false">
              <v:fill type="solid"/>
            </v:rect>
            <v:shape style="position:absolute;left:4648;top:9830;width:3332;height:464" type="#_x0000_t75" stroked="false">
              <v:imagedata r:id="rId192" o:title=""/>
            </v:shape>
            <v:rect style="position:absolute;left:5760;top:10063;width:1109;height:231" filled="true" fillcolor="#dfdfdf" stroked="false">
              <v:fill type="solid"/>
            </v:rect>
            <v:shape style="position:absolute;left:5757;top:9830;width:6154;height:464" type="#_x0000_t75" stroked="false">
              <v:imagedata r:id="rId193" o:title=""/>
            </v:shape>
            <v:shape style="position:absolute;left:5760;top:10063;width:4436;height:461" coordorigin="5760,10063" coordsize="4436,461" path="m6869,10293l5760,10293,5760,10524,6869,10524,6869,10293m10195,10063l9086,10063,9086,10293,10195,10293,10195,10063e" filled="true" fillcolor="#dfdfdf" stroked="false">
              <v:path arrowok="t"/>
              <v:fill type="solid"/>
            </v:shape>
            <v:shape style="position:absolute;left:4648;top:10060;width:7263;height:464" type="#_x0000_t75" stroked="false">
              <v:imagedata r:id="rId194" o:title=""/>
            </v:shape>
            <v:rect style="position:absolute;left:9086;top:10293;width:1109;height:231" filled="true" fillcolor="#dfdfdf" stroked="false">
              <v:fill type="solid"/>
            </v:rect>
            <v:shape style="position:absolute;left:4648;top:10291;width:7263;height:464" type="#_x0000_t75" stroked="false">
              <v:imagedata r:id="rId195" o:title=""/>
            </v:shape>
            <v:shape style="position:absolute;left:285;top:8296;width:2542;height:4323" type="#_x0000_t75" stroked="false">
              <v:imagedata r:id="rId196" o:title=""/>
            </v:shape>
            <v:shape style="position:absolute;left:4648;top:10751;width:3332;height:464" type="#_x0000_t75" stroked="false">
              <v:imagedata r:id="rId197" o:title=""/>
            </v:shape>
            <v:shape style="position:absolute;left:7972;top:10521;width:3939;height:845" type="#_x0000_t75" stroked="false">
              <v:imagedata r:id="rId198" o:title=""/>
            </v:shape>
            <v:shape style="position:absolute;left:4651;top:10984;width:4436;height:231" coordorigin="4651,10985" coordsize="4436,231" path="m5760,10985l4651,10985,4651,11215,5760,11215,5760,10985m9086,10985l7978,10985,7978,11215,9086,11215,9086,10985e" filled="true" fillcolor="#dfdfdf" stroked="false">
              <v:path arrowok="t"/>
              <v:fill type="solid"/>
            </v:shape>
            <v:shape style="position:absolute;left:4648;top:11212;width:1112;height:183" type="#_x0000_t75" stroked="false">
              <v:imagedata r:id="rId199" o:title=""/>
            </v:shape>
            <v:rect style="position:absolute;left:7977;top:11215;width:1109;height:152" filled="true" fillcolor="#dfdfdf" stroked="false">
              <v:fill type="solid"/>
            </v:rect>
            <v:rect style="position:absolute;left:4651;top:11366;width:1109;height:29" filled="true" fillcolor="#dfdfdf" stroked="false">
              <v:fill type="solid"/>
            </v:rect>
            <v:shape style="position:absolute;left:9084;top:11212;width:2828;height:413" type="#_x0000_t75" stroked="false">
              <v:imagedata r:id="rId200" o:title=""/>
            </v:shape>
            <v:shape style="position:absolute;left:5757;top:11212;width:2223;height:413" type="#_x0000_t75" stroked="false">
              <v:imagedata r:id="rId201" o:title=""/>
            </v:shape>
            <v:rect style="position:absolute;left:7977;top:11366;width:1109;height:29" filled="true" fillcolor="#dfdfdf" stroked="false">
              <v:fill type="solid"/>
            </v:rect>
            <v:shape style="position:absolute;left:4651;top:11395;width:4436;height:231" coordorigin="4651,11395" coordsize="4436,231" path="m5760,11395l4651,11395,4651,11625,5760,11625,5760,11395m9086,11395l7978,11395,7978,11625,9086,11625,9086,11395e" filled="true" fillcolor="#dfdfdf" stroked="false">
              <v:path arrowok="t"/>
              <v:fill type="solid"/>
            </v:shape>
            <v:shape style="position:absolute;left:4648;top:11363;width:3332;height:492" type="#_x0000_t75" stroked="false">
              <v:imagedata r:id="rId202" o:title=""/>
            </v:shape>
            <v:shape style="position:absolute;left:6866;top:11392;width:5045;height:615" type="#_x0000_t75" stroked="false">
              <v:imagedata r:id="rId203" o:title=""/>
            </v:shape>
            <v:shape style="position:absolute;left:4651;top:11625;width:4436;height:613" coordorigin="4651,11625" coordsize="4436,613" path="m5760,11625l4651,11625,4651,11856,4651,12007,4651,12237,5760,12237,5760,12007,5760,11856,5760,11625m9086,11625l7978,11625,7978,11856,7978,12007,9086,12007,9086,11856,9086,11625e" filled="true" fillcolor="#dfdfdf" stroked="false">
              <v:path arrowok="t"/>
              <v:fill type="solid"/>
            </v:shape>
            <v:shape style="position:absolute;left:4648;top:11853;width:7263;height:384" type="#_x0000_t75" stroked="false">
              <v:imagedata r:id="rId204" o:title=""/>
            </v:shape>
            <v:shape style="position:absolute;left:4651;top:12007;width:4436;height:461" coordorigin="4651,12007" coordsize="4436,461" path="m5760,12237l4651,12237,4651,12468,5760,12468,5760,12237m9086,12007l7978,12007,7978,12237,7978,12468,9086,12468,9086,12237,9086,12007e" filled="true" fillcolor="#dfdfdf" stroked="false">
              <v:path arrowok="t"/>
              <v:fill type="solid"/>
            </v:shape>
            <v:shape style="position:absolute;left:2824;top:12004;width:9087;height:615" type="#_x0000_t75" stroked="false">
              <v:imagedata r:id="rId205" o:title=""/>
            </v:shape>
            <v:shape style="position:absolute;left:4651;top:12467;width:4436;height:152" coordorigin="4651,12468" coordsize="4436,152" path="m5760,12468l4651,12468,4651,12619,5760,12619,5760,12468m9086,12468l7978,12468,7978,12619,9086,12619,9086,12468e" filled="true" fillcolor="#dfdfdf" stroked="false">
              <v:path arrowok="t"/>
              <v:fill type="solid"/>
            </v:shape>
            <v:shape style="position:absolute;left:11301;top:12465;width:610;height:154" type="#_x0000_t75" stroked="false">
              <v:imagedata r:id="rId206" o:title=""/>
            </v:shape>
            <w10:wrap type="none"/>
          </v:group>
        </w:pict>
      </w:r>
      <w:r>
        <w:rPr>
          <w:b/>
          <w:sz w:val="11"/>
        </w:rPr>
        <w:t>2020-21</w:t>
      </w:r>
      <w:r>
        <w:rPr>
          <w:b/>
          <w:spacing w:val="6"/>
          <w:sz w:val="11"/>
        </w:rPr>
        <w:t> </w:t>
      </w:r>
      <w:r>
        <w:rPr>
          <w:b/>
          <w:sz w:val="11"/>
        </w:rPr>
        <w:t>Estimated</w:t>
      </w:r>
      <w:r>
        <w:rPr>
          <w:b/>
          <w:spacing w:val="6"/>
          <w:sz w:val="11"/>
        </w:rPr>
        <w:t> </w:t>
      </w:r>
      <w:r>
        <w:rPr>
          <w:b/>
          <w:sz w:val="11"/>
        </w:rPr>
        <w:t>Actuals</w:t>
        <w:tab/>
        <w:tab/>
        <w:t>2021-22 </w:t>
      </w:r>
      <w:r>
        <w:rPr>
          <w:b/>
          <w:spacing w:val="-3"/>
          <w:sz w:val="11"/>
        </w:rPr>
        <w:t>Budget </w:t>
      </w:r>
      <w:r>
        <w:rPr>
          <w:b/>
          <w:sz w:val="11"/>
        </w:rPr>
        <w:t>Total Fund</w:t>
      </w:r>
    </w:p>
    <w:p>
      <w:pPr>
        <w:pStyle w:val="BodyText"/>
        <w:rPr>
          <w:b/>
          <w:sz w:val="12"/>
        </w:rPr>
      </w:pPr>
      <w:r>
        <w:rPr/>
        <w:br w:type="column"/>
      </w:r>
      <w:r>
        <w:rPr>
          <w:b/>
          <w:sz w:val="12"/>
        </w:rPr>
      </w:r>
    </w:p>
    <w:p>
      <w:pPr>
        <w:pStyle w:val="BodyText"/>
        <w:spacing w:before="3"/>
        <w:rPr>
          <w:b/>
          <w:sz w:val="17"/>
        </w:rPr>
      </w:pPr>
    </w:p>
    <w:p>
      <w:pPr>
        <w:spacing w:before="0"/>
        <w:ind w:left="362" w:right="0" w:firstLine="0"/>
        <w:jc w:val="left"/>
        <w:rPr>
          <w:b/>
          <w:sz w:val="11"/>
        </w:rPr>
      </w:pPr>
      <w:r>
        <w:rPr>
          <w:b/>
          <w:sz w:val="11"/>
        </w:rPr>
        <w:t>Total Fund</w:t>
      </w:r>
    </w:p>
    <w:p>
      <w:pPr>
        <w:pStyle w:val="BodyText"/>
        <w:rPr>
          <w:b/>
          <w:sz w:val="12"/>
        </w:rPr>
      </w:pPr>
      <w:r>
        <w:rPr/>
        <w:br w:type="column"/>
      </w:r>
      <w:r>
        <w:rPr>
          <w:b/>
          <w:sz w:val="12"/>
        </w:rPr>
      </w:r>
    </w:p>
    <w:p>
      <w:pPr>
        <w:pStyle w:val="BodyText"/>
        <w:spacing w:before="3"/>
        <w:rPr>
          <w:b/>
          <w:sz w:val="17"/>
        </w:rPr>
      </w:pPr>
    </w:p>
    <w:p>
      <w:pPr>
        <w:spacing w:before="0"/>
        <w:ind w:left="365" w:right="0" w:firstLine="0"/>
        <w:jc w:val="left"/>
        <w:rPr>
          <w:b/>
          <w:sz w:val="11"/>
        </w:rPr>
      </w:pPr>
      <w:r>
        <w:rPr>
          <w:b/>
          <w:sz w:val="11"/>
        </w:rPr>
        <w:t>% Diff</w:t>
      </w:r>
    </w:p>
    <w:p>
      <w:pPr>
        <w:spacing w:after="0"/>
        <w:jc w:val="left"/>
        <w:rPr>
          <w:sz w:val="11"/>
        </w:rPr>
        <w:sectPr>
          <w:type w:val="continuous"/>
          <w:pgSz w:w="12240" w:h="15840"/>
          <w:pgMar w:top="1500" w:bottom="840" w:left="160" w:right="180"/>
          <w:cols w:num="3" w:equalWidth="0">
            <w:col w:w="9898" w:space="40"/>
            <w:col w:w="945" w:space="39"/>
            <w:col w:w="978"/>
          </w:cols>
        </w:sectPr>
      </w:pPr>
    </w:p>
    <w:p>
      <w:pPr>
        <w:pStyle w:val="BodyText"/>
        <w:spacing w:before="10"/>
        <w:rPr>
          <w:b/>
          <w:sz w:val="9"/>
        </w:rPr>
      </w:pPr>
    </w:p>
    <w:p>
      <w:pPr>
        <w:tabs>
          <w:tab w:pos="2772" w:val="left" w:leader="none"/>
        </w:tabs>
        <w:spacing w:before="0"/>
        <w:ind w:left="144" w:right="0" w:firstLine="0"/>
        <w:jc w:val="left"/>
        <w:rPr>
          <w:b/>
          <w:sz w:val="11"/>
        </w:rPr>
      </w:pPr>
      <w:r>
        <w:rPr>
          <w:b/>
          <w:sz w:val="11"/>
        </w:rPr>
        <w:t>Description</w:t>
        <w:tab/>
        <w:t>Resource</w:t>
      </w:r>
      <w:r>
        <w:rPr>
          <w:b/>
          <w:spacing w:val="8"/>
          <w:sz w:val="11"/>
        </w:rPr>
        <w:t> </w:t>
      </w:r>
      <w:r>
        <w:rPr>
          <w:b/>
          <w:sz w:val="11"/>
        </w:rPr>
        <w:t>Codes</w:t>
      </w:r>
    </w:p>
    <w:p>
      <w:pPr>
        <w:spacing w:before="104"/>
        <w:ind w:left="144" w:right="0" w:firstLine="0"/>
        <w:jc w:val="left"/>
        <w:rPr>
          <w:b/>
          <w:sz w:val="11"/>
        </w:rPr>
      </w:pPr>
      <w:r>
        <w:rPr>
          <w:b/>
          <w:sz w:val="11"/>
        </w:rPr>
        <w:t>LCFF SOURCES</w:t>
      </w:r>
    </w:p>
    <w:p>
      <w:pPr>
        <w:spacing w:line="108" w:lineRule="exact" w:before="0"/>
        <w:ind w:left="144" w:right="0" w:firstLine="0"/>
        <w:jc w:val="left"/>
        <w:rPr>
          <w:b/>
          <w:sz w:val="11"/>
        </w:rPr>
      </w:pPr>
      <w:r>
        <w:rPr/>
        <w:br w:type="column"/>
      </w:r>
      <w:r>
        <w:rPr>
          <w:b/>
          <w:sz w:val="11"/>
        </w:rPr>
        <w:t>Object</w:t>
      </w:r>
    </w:p>
    <w:p>
      <w:pPr>
        <w:spacing w:before="5"/>
        <w:ind w:left="149" w:right="0" w:firstLine="0"/>
        <w:jc w:val="left"/>
        <w:rPr>
          <w:b/>
          <w:sz w:val="11"/>
        </w:rPr>
      </w:pPr>
      <w:r>
        <w:rPr>
          <w:b/>
          <w:sz w:val="11"/>
        </w:rPr>
        <w:t>Codes</w:t>
      </w:r>
    </w:p>
    <w:p>
      <w:pPr>
        <w:spacing w:line="108" w:lineRule="exact" w:before="0"/>
        <w:ind w:left="131" w:right="27" w:firstLine="0"/>
        <w:jc w:val="center"/>
        <w:rPr>
          <w:b/>
          <w:sz w:val="11"/>
        </w:rPr>
      </w:pPr>
      <w:r>
        <w:rPr/>
        <w:br w:type="column"/>
      </w:r>
      <w:r>
        <w:rPr>
          <w:b/>
          <w:sz w:val="11"/>
        </w:rPr>
        <w:t>Unrestricted</w:t>
      </w:r>
    </w:p>
    <w:p>
      <w:pPr>
        <w:spacing w:before="5"/>
        <w:ind w:left="129" w:right="27" w:firstLine="0"/>
        <w:jc w:val="center"/>
        <w:rPr>
          <w:b/>
          <w:sz w:val="11"/>
        </w:rPr>
      </w:pPr>
      <w:r>
        <w:rPr>
          <w:b/>
          <w:sz w:val="11"/>
        </w:rPr>
        <w:t>(A)</w:t>
      </w:r>
    </w:p>
    <w:p>
      <w:pPr>
        <w:spacing w:line="108" w:lineRule="exact" w:before="0"/>
        <w:ind w:left="131" w:right="27" w:firstLine="0"/>
        <w:jc w:val="center"/>
        <w:rPr>
          <w:b/>
          <w:sz w:val="11"/>
        </w:rPr>
      </w:pPr>
      <w:r>
        <w:rPr/>
        <w:br w:type="column"/>
      </w:r>
      <w:r>
        <w:rPr>
          <w:b/>
          <w:sz w:val="11"/>
        </w:rPr>
        <w:t>Restricted</w:t>
      </w:r>
    </w:p>
    <w:p>
      <w:pPr>
        <w:spacing w:before="5"/>
        <w:ind w:left="131" w:right="26" w:firstLine="0"/>
        <w:jc w:val="center"/>
        <w:rPr>
          <w:b/>
          <w:sz w:val="11"/>
        </w:rPr>
      </w:pPr>
      <w:r>
        <w:rPr>
          <w:b/>
          <w:sz w:val="11"/>
        </w:rPr>
        <w:t>(B)</w:t>
      </w:r>
    </w:p>
    <w:p>
      <w:pPr>
        <w:spacing w:line="108" w:lineRule="exact" w:before="0"/>
        <w:ind w:left="128" w:right="24" w:firstLine="0"/>
        <w:jc w:val="center"/>
        <w:rPr>
          <w:b/>
          <w:sz w:val="11"/>
        </w:rPr>
      </w:pPr>
      <w:r>
        <w:rPr/>
        <w:br w:type="column"/>
      </w:r>
      <w:r>
        <w:rPr>
          <w:b/>
          <w:sz w:val="11"/>
        </w:rPr>
        <w:t>col. A + B</w:t>
      </w:r>
    </w:p>
    <w:p>
      <w:pPr>
        <w:spacing w:before="5"/>
        <w:ind w:left="128" w:right="23" w:firstLine="0"/>
        <w:jc w:val="center"/>
        <w:rPr>
          <w:b/>
          <w:sz w:val="11"/>
        </w:rPr>
      </w:pPr>
      <w:r>
        <w:rPr>
          <w:b/>
          <w:sz w:val="11"/>
        </w:rPr>
        <w:t>(C)</w:t>
      </w:r>
    </w:p>
    <w:p>
      <w:pPr>
        <w:spacing w:line="108" w:lineRule="exact" w:before="0"/>
        <w:ind w:left="131" w:right="27" w:firstLine="0"/>
        <w:jc w:val="center"/>
        <w:rPr>
          <w:b/>
          <w:sz w:val="11"/>
        </w:rPr>
      </w:pPr>
      <w:r>
        <w:rPr/>
        <w:br w:type="column"/>
      </w:r>
      <w:r>
        <w:rPr>
          <w:b/>
          <w:sz w:val="11"/>
        </w:rPr>
        <w:t>Unrestricted</w:t>
      </w:r>
    </w:p>
    <w:p>
      <w:pPr>
        <w:spacing w:before="5"/>
        <w:ind w:left="131" w:right="26" w:firstLine="0"/>
        <w:jc w:val="center"/>
        <w:rPr>
          <w:b/>
          <w:sz w:val="11"/>
        </w:rPr>
      </w:pPr>
      <w:r>
        <w:rPr>
          <w:b/>
          <w:sz w:val="11"/>
        </w:rPr>
        <w:t>(D)</w:t>
      </w:r>
    </w:p>
    <w:p>
      <w:pPr>
        <w:spacing w:line="108" w:lineRule="exact" w:before="0"/>
        <w:ind w:left="131" w:right="27" w:firstLine="0"/>
        <w:jc w:val="center"/>
        <w:rPr>
          <w:b/>
          <w:sz w:val="11"/>
        </w:rPr>
      </w:pPr>
      <w:r>
        <w:rPr/>
        <w:br w:type="column"/>
      </w:r>
      <w:r>
        <w:rPr>
          <w:b/>
          <w:sz w:val="11"/>
        </w:rPr>
        <w:t>Restricted</w:t>
      </w:r>
    </w:p>
    <w:p>
      <w:pPr>
        <w:spacing w:before="5"/>
        <w:ind w:left="129" w:right="27" w:firstLine="0"/>
        <w:jc w:val="center"/>
        <w:rPr>
          <w:b/>
          <w:sz w:val="11"/>
        </w:rPr>
      </w:pPr>
      <w:r>
        <w:rPr>
          <w:b/>
          <w:sz w:val="11"/>
        </w:rPr>
        <w:t>(E)</w:t>
      </w:r>
    </w:p>
    <w:p>
      <w:pPr>
        <w:spacing w:line="108" w:lineRule="exact" w:before="0"/>
        <w:ind w:left="129" w:right="25" w:firstLine="0"/>
        <w:jc w:val="center"/>
        <w:rPr>
          <w:b/>
          <w:sz w:val="11"/>
        </w:rPr>
      </w:pPr>
      <w:r>
        <w:rPr/>
        <w:br w:type="column"/>
      </w:r>
      <w:r>
        <w:rPr>
          <w:b/>
          <w:sz w:val="11"/>
        </w:rPr>
        <w:t>col. D + E</w:t>
      </w:r>
    </w:p>
    <w:p>
      <w:pPr>
        <w:spacing w:before="5"/>
        <w:ind w:left="126" w:right="25" w:firstLine="0"/>
        <w:jc w:val="center"/>
        <w:rPr>
          <w:b/>
          <w:sz w:val="11"/>
        </w:rPr>
      </w:pPr>
      <w:r>
        <w:rPr>
          <w:b/>
          <w:sz w:val="11"/>
        </w:rPr>
        <w:t>(F)</w:t>
      </w:r>
    </w:p>
    <w:p>
      <w:pPr>
        <w:spacing w:line="108" w:lineRule="exact" w:before="0"/>
        <w:ind w:left="144" w:right="0" w:firstLine="0"/>
        <w:jc w:val="left"/>
        <w:rPr>
          <w:b/>
          <w:sz w:val="11"/>
        </w:rPr>
      </w:pPr>
      <w:r>
        <w:rPr/>
        <w:br w:type="column"/>
      </w:r>
      <w:r>
        <w:rPr>
          <w:b/>
          <w:sz w:val="11"/>
        </w:rPr>
        <w:t>Column</w:t>
      </w:r>
    </w:p>
    <w:p>
      <w:pPr>
        <w:spacing w:before="5"/>
        <w:ind w:left="207" w:right="0" w:firstLine="0"/>
        <w:jc w:val="left"/>
        <w:rPr>
          <w:b/>
          <w:sz w:val="11"/>
        </w:rPr>
      </w:pPr>
      <w:r>
        <w:rPr>
          <w:b/>
          <w:sz w:val="11"/>
        </w:rPr>
        <w:t>C &amp; F</w:t>
      </w:r>
    </w:p>
    <w:p>
      <w:pPr>
        <w:spacing w:after="0"/>
        <w:jc w:val="left"/>
        <w:rPr>
          <w:sz w:val="11"/>
        </w:rPr>
        <w:sectPr>
          <w:type w:val="continuous"/>
          <w:pgSz w:w="12240" w:h="15840"/>
          <w:pgMar w:top="1500" w:bottom="840" w:left="160" w:right="180"/>
          <w:cols w:num="9" w:equalWidth="0">
            <w:col w:w="3703" w:space="105"/>
            <w:col w:w="537" w:space="227"/>
            <w:col w:w="847" w:space="317"/>
            <w:col w:w="736" w:space="392"/>
            <w:col w:w="698" w:space="336"/>
            <w:col w:w="847" w:space="318"/>
            <w:col w:w="736" w:space="394"/>
            <w:col w:w="694" w:space="206"/>
            <w:col w:w="807"/>
          </w:cols>
        </w:sectPr>
      </w:pPr>
    </w:p>
    <w:p>
      <w:pPr>
        <w:pStyle w:val="BodyText"/>
        <w:spacing w:before="5"/>
        <w:rPr>
          <w:b/>
          <w:sz w:val="15"/>
        </w:rPr>
      </w:pPr>
    </w:p>
    <w:p>
      <w:pPr>
        <w:spacing w:before="1"/>
        <w:ind w:left="207" w:right="0" w:firstLine="0"/>
        <w:jc w:val="both"/>
        <w:rPr>
          <w:sz w:val="11"/>
        </w:rPr>
      </w:pPr>
      <w:r>
        <w:rPr>
          <w:sz w:val="11"/>
        </w:rPr>
        <w:t>Principal Apportionment</w:t>
      </w:r>
    </w:p>
    <w:p>
      <w:pPr>
        <w:tabs>
          <w:tab w:pos="4003" w:val="left" w:leader="none"/>
          <w:tab w:pos="4983" w:val="left" w:leader="none"/>
          <w:tab w:pos="5326" w:val="left" w:leader="none"/>
        </w:tabs>
        <w:spacing w:line="436" w:lineRule="auto" w:before="24"/>
        <w:ind w:left="269" w:right="75" w:firstLine="0"/>
        <w:jc w:val="both"/>
        <w:rPr>
          <w:sz w:val="11"/>
        </w:rPr>
      </w:pPr>
      <w:r>
        <w:rPr>
          <w:sz w:val="11"/>
        </w:rPr>
        <w:t>State Aid -</w:t>
      </w:r>
      <w:r>
        <w:rPr>
          <w:spacing w:val="8"/>
          <w:sz w:val="11"/>
        </w:rPr>
        <w:t> </w:t>
      </w:r>
      <w:r>
        <w:rPr>
          <w:sz w:val="11"/>
        </w:rPr>
        <w:t>Current</w:t>
      </w:r>
      <w:r>
        <w:rPr>
          <w:spacing w:val="2"/>
          <w:sz w:val="11"/>
        </w:rPr>
        <w:t> </w:t>
      </w:r>
      <w:r>
        <w:rPr>
          <w:sz w:val="11"/>
        </w:rPr>
        <w:t>Year</w:t>
        <w:tab/>
        <w:t>8011</w:t>
        <w:tab/>
      </w:r>
      <w:r>
        <w:rPr>
          <w:spacing w:val="-3"/>
          <w:sz w:val="11"/>
        </w:rPr>
        <w:t>961,485.00 </w:t>
      </w:r>
      <w:r>
        <w:rPr>
          <w:sz w:val="11"/>
        </w:rPr>
        <w:t>Education Protection Account State Aid -</w:t>
      </w:r>
      <w:r>
        <w:rPr>
          <w:spacing w:val="28"/>
          <w:sz w:val="11"/>
        </w:rPr>
        <w:t> </w:t>
      </w:r>
      <w:r>
        <w:rPr>
          <w:sz w:val="11"/>
        </w:rPr>
        <w:t>Current</w:t>
      </w:r>
      <w:r>
        <w:rPr>
          <w:spacing w:val="4"/>
          <w:sz w:val="11"/>
        </w:rPr>
        <w:t> </w:t>
      </w:r>
      <w:r>
        <w:rPr>
          <w:sz w:val="11"/>
        </w:rPr>
        <w:t>Year</w:t>
        <w:tab/>
        <w:t>8012</w:t>
        <w:tab/>
      </w:r>
      <w:r>
        <w:rPr>
          <w:spacing w:val="-3"/>
          <w:sz w:val="11"/>
        </w:rPr>
        <w:t>261,483.00 </w:t>
      </w:r>
      <w:r>
        <w:rPr>
          <w:sz w:val="11"/>
        </w:rPr>
        <w:t>State Aid -</w:t>
      </w:r>
      <w:r>
        <w:rPr>
          <w:spacing w:val="6"/>
          <w:sz w:val="11"/>
        </w:rPr>
        <w:t> </w:t>
      </w:r>
      <w:r>
        <w:rPr>
          <w:sz w:val="11"/>
        </w:rPr>
        <w:t>Prior</w:t>
      </w:r>
      <w:r>
        <w:rPr>
          <w:spacing w:val="4"/>
          <w:sz w:val="11"/>
        </w:rPr>
        <w:t> </w:t>
      </w:r>
      <w:r>
        <w:rPr>
          <w:sz w:val="11"/>
        </w:rPr>
        <w:t>Years</w:t>
        <w:tab/>
        <w:t>8019</w:t>
        <w:tab/>
        <w:tab/>
      </w:r>
      <w:r>
        <w:rPr>
          <w:spacing w:val="-6"/>
          <w:sz w:val="11"/>
        </w:rPr>
        <w:t>0.00</w:t>
      </w:r>
    </w:p>
    <w:p>
      <w:pPr>
        <w:spacing w:before="1"/>
        <w:ind w:left="207" w:right="0" w:firstLine="0"/>
        <w:jc w:val="both"/>
        <w:rPr>
          <w:sz w:val="11"/>
        </w:rPr>
      </w:pPr>
      <w:r>
        <w:rPr>
          <w:sz w:val="11"/>
        </w:rPr>
        <w:t>Tax Relief Subventions</w:t>
      </w:r>
    </w:p>
    <w:p>
      <w:pPr>
        <w:tabs>
          <w:tab w:pos="4003" w:val="left" w:leader="none"/>
          <w:tab w:pos="5107" w:val="left" w:leader="none"/>
        </w:tabs>
        <w:spacing w:before="25"/>
        <w:ind w:left="269" w:right="0" w:firstLine="0"/>
        <w:jc w:val="both"/>
        <w:rPr>
          <w:sz w:val="11"/>
        </w:rPr>
      </w:pPr>
      <w:r>
        <w:rPr>
          <w:sz w:val="11"/>
        </w:rPr>
        <w:t>Homeowners'</w:t>
      </w:r>
      <w:r>
        <w:rPr>
          <w:spacing w:val="5"/>
          <w:sz w:val="11"/>
        </w:rPr>
        <w:t> </w:t>
      </w:r>
      <w:r>
        <w:rPr>
          <w:sz w:val="11"/>
        </w:rPr>
        <w:t>Exemptions</w:t>
        <w:tab/>
        <w:t>8021</w:t>
        <w:tab/>
        <w:t>8,022.00</w:t>
      </w:r>
    </w:p>
    <w:p>
      <w:pPr>
        <w:tabs>
          <w:tab w:pos="4003" w:val="left" w:leader="none"/>
          <w:tab w:pos="5326" w:val="left" w:leader="none"/>
        </w:tabs>
        <w:spacing w:before="103"/>
        <w:ind w:left="269" w:right="0" w:firstLine="0"/>
        <w:jc w:val="both"/>
        <w:rPr>
          <w:sz w:val="11"/>
        </w:rPr>
      </w:pPr>
      <w:r>
        <w:rPr>
          <w:sz w:val="11"/>
        </w:rPr>
        <w:t>Timber</w:t>
      </w:r>
      <w:r>
        <w:rPr>
          <w:spacing w:val="1"/>
          <w:sz w:val="11"/>
        </w:rPr>
        <w:t> </w:t>
      </w:r>
      <w:r>
        <w:rPr>
          <w:sz w:val="11"/>
        </w:rPr>
        <w:t>Yield Tax</w:t>
        <w:tab/>
        <w:t>8022</w:t>
        <w:tab/>
        <w:t>0.00</w:t>
      </w:r>
    </w:p>
    <w:p>
      <w:pPr>
        <w:tabs>
          <w:tab w:pos="4003" w:val="left" w:leader="none"/>
          <w:tab w:pos="5201" w:val="left" w:leader="none"/>
        </w:tabs>
        <w:spacing w:before="104"/>
        <w:ind w:left="269" w:right="0" w:firstLine="0"/>
        <w:jc w:val="both"/>
        <w:rPr>
          <w:sz w:val="11"/>
        </w:rPr>
      </w:pPr>
      <w:r>
        <w:rPr>
          <w:sz w:val="11"/>
        </w:rPr>
        <w:t>Other</w:t>
      </w:r>
      <w:r>
        <w:rPr>
          <w:spacing w:val="8"/>
          <w:sz w:val="11"/>
        </w:rPr>
        <w:t> </w:t>
      </w:r>
      <w:r>
        <w:rPr>
          <w:sz w:val="11"/>
        </w:rPr>
        <w:t>Subventions/In-Lieu</w:t>
      </w:r>
      <w:r>
        <w:rPr>
          <w:spacing w:val="6"/>
          <w:sz w:val="11"/>
        </w:rPr>
        <w:t> </w:t>
      </w:r>
      <w:r>
        <w:rPr>
          <w:sz w:val="11"/>
        </w:rPr>
        <w:t>Taxes</w:t>
        <w:tab/>
        <w:t>8029</w:t>
        <w:tab/>
        <w:t>430.00</w:t>
      </w:r>
    </w:p>
    <w:p>
      <w:pPr>
        <w:spacing w:before="104"/>
        <w:ind w:left="207" w:right="0" w:firstLine="0"/>
        <w:jc w:val="both"/>
        <w:rPr>
          <w:sz w:val="11"/>
        </w:rPr>
      </w:pPr>
      <w:r>
        <w:rPr>
          <w:sz w:val="11"/>
        </w:rPr>
        <w:t>County &amp; District Taxes</w:t>
      </w:r>
    </w:p>
    <w:p>
      <w:pPr>
        <w:tabs>
          <w:tab w:pos="4003" w:val="left" w:leader="none"/>
          <w:tab w:pos="4983" w:val="left" w:leader="none"/>
        </w:tabs>
        <w:spacing w:before="25"/>
        <w:ind w:left="269" w:right="0" w:firstLine="0"/>
        <w:jc w:val="both"/>
        <w:rPr>
          <w:sz w:val="11"/>
        </w:rPr>
      </w:pPr>
      <w:r>
        <w:rPr>
          <w:sz w:val="11"/>
        </w:rPr>
        <w:t>Secured</w:t>
      </w:r>
      <w:r>
        <w:rPr>
          <w:spacing w:val="4"/>
          <w:sz w:val="11"/>
        </w:rPr>
        <w:t> </w:t>
      </w:r>
      <w:r>
        <w:rPr>
          <w:sz w:val="11"/>
        </w:rPr>
        <w:t>Roll</w:t>
      </w:r>
      <w:r>
        <w:rPr>
          <w:spacing w:val="2"/>
          <w:sz w:val="11"/>
        </w:rPr>
        <w:t> </w:t>
      </w:r>
      <w:r>
        <w:rPr>
          <w:sz w:val="11"/>
        </w:rPr>
        <w:t>Taxes</w:t>
        <w:tab/>
        <w:t>8041</w:t>
        <w:tab/>
        <w:t>758,648.00</w:t>
      </w:r>
    </w:p>
    <w:p>
      <w:pPr>
        <w:tabs>
          <w:tab w:pos="4003" w:val="left" w:leader="none"/>
          <w:tab w:pos="5045" w:val="left" w:leader="none"/>
        </w:tabs>
        <w:spacing w:before="104"/>
        <w:ind w:left="269" w:right="0" w:firstLine="0"/>
        <w:jc w:val="both"/>
        <w:rPr>
          <w:sz w:val="11"/>
        </w:rPr>
      </w:pPr>
      <w:r>
        <w:rPr>
          <w:sz w:val="11"/>
        </w:rPr>
        <w:t>Unsecured</w:t>
      </w:r>
      <w:r>
        <w:rPr>
          <w:spacing w:val="4"/>
          <w:sz w:val="11"/>
        </w:rPr>
        <w:t> </w:t>
      </w:r>
      <w:r>
        <w:rPr>
          <w:sz w:val="11"/>
        </w:rPr>
        <w:t>Roll</w:t>
      </w:r>
      <w:r>
        <w:rPr>
          <w:spacing w:val="4"/>
          <w:sz w:val="11"/>
        </w:rPr>
        <w:t> </w:t>
      </w:r>
      <w:r>
        <w:rPr>
          <w:sz w:val="11"/>
        </w:rPr>
        <w:t>Taxes</w:t>
        <w:tab/>
        <w:t>8042</w:t>
        <w:tab/>
        <w:t>42,770.00</w:t>
      </w:r>
    </w:p>
    <w:p>
      <w:pPr>
        <w:tabs>
          <w:tab w:pos="4003" w:val="left" w:leader="none"/>
          <w:tab w:pos="5163" w:val="left" w:leader="none"/>
        </w:tabs>
        <w:spacing w:before="104"/>
        <w:ind w:left="269" w:right="0" w:firstLine="0"/>
        <w:jc w:val="both"/>
        <w:rPr>
          <w:sz w:val="11"/>
        </w:rPr>
      </w:pPr>
      <w:r>
        <w:rPr>
          <w:sz w:val="11"/>
        </w:rPr>
        <w:t>Prior</w:t>
      </w:r>
      <w:r>
        <w:rPr>
          <w:spacing w:val="3"/>
          <w:sz w:val="11"/>
        </w:rPr>
        <w:t> </w:t>
      </w:r>
      <w:r>
        <w:rPr>
          <w:sz w:val="11"/>
        </w:rPr>
        <w:t>Years'</w:t>
      </w:r>
      <w:r>
        <w:rPr>
          <w:spacing w:val="2"/>
          <w:sz w:val="11"/>
        </w:rPr>
        <w:t> </w:t>
      </w:r>
      <w:r>
        <w:rPr>
          <w:sz w:val="11"/>
        </w:rPr>
        <w:t>Taxes</w:t>
        <w:tab/>
        <w:t>8043</w:t>
        <w:tab/>
        <w:t>(540.00)</w:t>
      </w:r>
    </w:p>
    <w:p>
      <w:pPr>
        <w:tabs>
          <w:tab w:pos="4003" w:val="left" w:leader="none"/>
          <w:tab w:pos="5045" w:val="left" w:leader="none"/>
        </w:tabs>
        <w:spacing w:before="104"/>
        <w:ind w:left="269" w:right="0" w:firstLine="0"/>
        <w:jc w:val="both"/>
        <w:rPr>
          <w:sz w:val="11"/>
        </w:rPr>
      </w:pPr>
      <w:r>
        <w:rPr>
          <w:sz w:val="11"/>
        </w:rPr>
        <w:t>Supplemental</w:t>
      </w:r>
      <w:r>
        <w:rPr>
          <w:spacing w:val="3"/>
          <w:sz w:val="11"/>
        </w:rPr>
        <w:t> </w:t>
      </w:r>
      <w:r>
        <w:rPr>
          <w:sz w:val="11"/>
        </w:rPr>
        <w:t>Taxes</w:t>
        <w:tab/>
        <w:t>8044</w:t>
        <w:tab/>
        <w:t>46,780.00</w:t>
      </w:r>
    </w:p>
    <w:p>
      <w:pPr>
        <w:spacing w:before="104"/>
        <w:ind w:left="269" w:right="0" w:firstLine="0"/>
        <w:jc w:val="both"/>
        <w:rPr>
          <w:sz w:val="11"/>
        </w:rPr>
      </w:pPr>
      <w:r>
        <w:rPr>
          <w:sz w:val="11"/>
        </w:rPr>
        <w:t>Education Revenue Augmentation</w:t>
      </w:r>
    </w:p>
    <w:p>
      <w:pPr>
        <w:tabs>
          <w:tab w:pos="4003" w:val="left" w:leader="none"/>
          <w:tab w:pos="5326" w:val="left" w:leader="none"/>
        </w:tabs>
        <w:spacing w:before="24"/>
        <w:ind w:left="300" w:right="0" w:firstLine="0"/>
        <w:jc w:val="both"/>
        <w:rPr>
          <w:sz w:val="11"/>
        </w:rPr>
      </w:pPr>
      <w:r>
        <w:rPr>
          <w:sz w:val="11"/>
        </w:rPr>
        <w:t>Fund</w:t>
      </w:r>
      <w:r>
        <w:rPr>
          <w:spacing w:val="4"/>
          <w:sz w:val="11"/>
        </w:rPr>
        <w:t> </w:t>
      </w:r>
      <w:r>
        <w:rPr>
          <w:sz w:val="11"/>
        </w:rPr>
        <w:t>(ERAF)</w:t>
        <w:tab/>
        <w:t>8045</w:t>
        <w:tab/>
        <w:t>0.00</w:t>
      </w:r>
    </w:p>
    <w:p>
      <w:pPr>
        <w:spacing w:before="104"/>
        <w:ind w:left="269" w:right="0" w:firstLine="0"/>
        <w:jc w:val="both"/>
        <w:rPr>
          <w:sz w:val="11"/>
        </w:rPr>
      </w:pPr>
      <w:r>
        <w:rPr>
          <w:sz w:val="11"/>
        </w:rPr>
        <w:t>Community Redevelopment Funds</w:t>
      </w:r>
    </w:p>
    <w:p>
      <w:pPr>
        <w:tabs>
          <w:tab w:pos="4003" w:val="left" w:leader="none"/>
          <w:tab w:pos="5326" w:val="left" w:leader="none"/>
        </w:tabs>
        <w:spacing w:before="25"/>
        <w:ind w:left="300" w:right="0" w:firstLine="0"/>
        <w:jc w:val="both"/>
        <w:rPr>
          <w:sz w:val="11"/>
        </w:rPr>
      </w:pPr>
      <w:r>
        <w:rPr>
          <w:sz w:val="11"/>
        </w:rPr>
        <w:t>(SB</w:t>
      </w:r>
      <w:r>
        <w:rPr>
          <w:spacing w:val="4"/>
          <w:sz w:val="11"/>
        </w:rPr>
        <w:t> </w:t>
      </w:r>
      <w:r>
        <w:rPr>
          <w:sz w:val="11"/>
        </w:rPr>
        <w:t>617/699/1992)</w:t>
        <w:tab/>
        <w:t>8047</w:t>
        <w:tab/>
        <w:t>0.00</w:t>
      </w:r>
    </w:p>
    <w:p>
      <w:pPr>
        <w:spacing w:before="104"/>
        <w:ind w:left="269" w:right="0" w:firstLine="0"/>
        <w:jc w:val="both"/>
        <w:rPr>
          <w:sz w:val="11"/>
        </w:rPr>
      </w:pPr>
      <w:r>
        <w:rPr>
          <w:sz w:val="11"/>
        </w:rPr>
        <w:t>Penalties and Interest from</w:t>
      </w:r>
    </w:p>
    <w:p>
      <w:pPr>
        <w:tabs>
          <w:tab w:pos="4003" w:val="left" w:leader="none"/>
          <w:tab w:pos="5326" w:val="left" w:leader="none"/>
        </w:tabs>
        <w:spacing w:before="25"/>
        <w:ind w:left="300" w:right="0" w:firstLine="0"/>
        <w:jc w:val="both"/>
        <w:rPr>
          <w:sz w:val="11"/>
        </w:rPr>
      </w:pPr>
      <w:r>
        <w:rPr>
          <w:sz w:val="11"/>
        </w:rPr>
        <w:t>Delinquent</w:t>
      </w:r>
      <w:r>
        <w:rPr>
          <w:spacing w:val="3"/>
          <w:sz w:val="11"/>
        </w:rPr>
        <w:t> </w:t>
      </w:r>
      <w:r>
        <w:rPr>
          <w:sz w:val="11"/>
        </w:rPr>
        <w:t>Taxes</w:t>
        <w:tab/>
        <w:t>8048</w:t>
        <w:tab/>
        <w:t>0.00</w:t>
      </w:r>
    </w:p>
    <w:p>
      <w:pPr>
        <w:spacing w:before="103"/>
        <w:ind w:left="207" w:right="0" w:firstLine="0"/>
        <w:jc w:val="both"/>
        <w:rPr>
          <w:sz w:val="11"/>
        </w:rPr>
      </w:pPr>
      <w:r>
        <w:rPr>
          <w:sz w:val="11"/>
        </w:rPr>
        <w:t>Miscellaneous Funds (EC 41604)</w:t>
      </w:r>
    </w:p>
    <w:p>
      <w:pPr>
        <w:tabs>
          <w:tab w:pos="4003" w:val="left" w:leader="none"/>
          <w:tab w:pos="5326" w:val="left" w:leader="none"/>
        </w:tabs>
        <w:spacing w:before="25"/>
        <w:ind w:left="269" w:right="0" w:firstLine="0"/>
        <w:jc w:val="both"/>
        <w:rPr>
          <w:sz w:val="11"/>
        </w:rPr>
      </w:pPr>
      <w:r>
        <w:rPr>
          <w:sz w:val="11"/>
        </w:rPr>
        <w:t>Royalties</w:t>
      </w:r>
      <w:r>
        <w:rPr>
          <w:spacing w:val="4"/>
          <w:sz w:val="11"/>
        </w:rPr>
        <w:t> </w:t>
      </w:r>
      <w:r>
        <w:rPr>
          <w:sz w:val="11"/>
        </w:rPr>
        <w:t>and</w:t>
      </w:r>
      <w:r>
        <w:rPr>
          <w:spacing w:val="4"/>
          <w:sz w:val="11"/>
        </w:rPr>
        <w:t> </w:t>
      </w:r>
      <w:r>
        <w:rPr>
          <w:sz w:val="11"/>
        </w:rPr>
        <w:t>Bonuses</w:t>
        <w:tab/>
        <w:t>8081</w:t>
        <w:tab/>
        <w:t>0.00</w:t>
      </w:r>
    </w:p>
    <w:p>
      <w:pPr>
        <w:tabs>
          <w:tab w:pos="4003" w:val="left" w:leader="none"/>
          <w:tab w:pos="5326" w:val="left" w:leader="none"/>
        </w:tabs>
        <w:spacing w:before="104"/>
        <w:ind w:left="269" w:right="0" w:firstLine="0"/>
        <w:jc w:val="both"/>
        <w:rPr>
          <w:sz w:val="11"/>
        </w:rPr>
      </w:pPr>
      <w:r>
        <w:rPr>
          <w:sz w:val="11"/>
        </w:rPr>
        <w:t>Other</w:t>
      </w:r>
      <w:r>
        <w:rPr>
          <w:spacing w:val="4"/>
          <w:sz w:val="11"/>
        </w:rPr>
        <w:t> </w:t>
      </w:r>
      <w:r>
        <w:rPr>
          <w:sz w:val="11"/>
        </w:rPr>
        <w:t>In-Lieu</w:t>
      </w:r>
      <w:r>
        <w:rPr>
          <w:spacing w:val="4"/>
          <w:sz w:val="11"/>
        </w:rPr>
        <w:t> </w:t>
      </w:r>
      <w:r>
        <w:rPr>
          <w:sz w:val="11"/>
        </w:rPr>
        <w:t>Taxes</w:t>
        <w:tab/>
        <w:t>8082</w:t>
        <w:tab/>
        <w:t>0.00</w:t>
      </w:r>
    </w:p>
    <w:p>
      <w:pPr>
        <w:spacing w:before="104"/>
        <w:ind w:left="269" w:right="0" w:firstLine="0"/>
        <w:jc w:val="both"/>
        <w:rPr>
          <w:sz w:val="11"/>
        </w:rPr>
      </w:pPr>
      <w:r>
        <w:rPr>
          <w:sz w:val="11"/>
        </w:rPr>
        <w:t>Less: Non-LCFF</w:t>
      </w:r>
    </w:p>
    <w:p>
      <w:pPr>
        <w:tabs>
          <w:tab w:pos="4003" w:val="left" w:leader="none"/>
          <w:tab w:pos="5326" w:val="left" w:leader="none"/>
        </w:tabs>
        <w:spacing w:before="25"/>
        <w:ind w:left="455" w:right="0" w:firstLine="0"/>
        <w:jc w:val="left"/>
        <w:rPr>
          <w:sz w:val="11"/>
        </w:rPr>
      </w:pPr>
      <w:r>
        <w:rPr>
          <w:sz w:val="11"/>
        </w:rPr>
        <w:t>(50%)</w:t>
      </w:r>
      <w:r>
        <w:rPr>
          <w:spacing w:val="5"/>
          <w:sz w:val="11"/>
        </w:rPr>
        <w:t> </w:t>
      </w:r>
      <w:r>
        <w:rPr>
          <w:sz w:val="11"/>
        </w:rPr>
        <w:t>Adjustment</w:t>
        <w:tab/>
        <w:t>8089</w:t>
        <w:tab/>
        <w:t>0.00</w:t>
      </w:r>
    </w:p>
    <w:p>
      <w:pPr>
        <w:pStyle w:val="BodyText"/>
        <w:rPr>
          <w:sz w:val="12"/>
        </w:rPr>
      </w:pPr>
      <w:r>
        <w:rPr/>
        <w:br w:type="column"/>
      </w:r>
      <w:r>
        <w:rPr>
          <w:sz w:val="12"/>
        </w:rPr>
      </w:r>
    </w:p>
    <w:p>
      <w:pPr>
        <w:pStyle w:val="BodyText"/>
        <w:spacing w:before="7"/>
        <w:rPr>
          <w:sz w:val="16"/>
        </w:rPr>
      </w:pPr>
    </w:p>
    <w:p>
      <w:pPr>
        <w:spacing w:before="0"/>
        <w:ind w:left="207" w:right="0" w:firstLine="0"/>
        <w:jc w:val="left"/>
        <w:rPr>
          <w:sz w:val="11"/>
        </w:rPr>
      </w:pPr>
      <w:r>
        <w:rPr>
          <w:sz w:val="11"/>
        </w:rPr>
        <w:t>0.00</w:t>
      </w:r>
    </w:p>
    <w:p>
      <w:pPr>
        <w:spacing w:before="104"/>
        <w:ind w:left="207" w:right="0" w:firstLine="0"/>
        <w:jc w:val="left"/>
        <w:rPr>
          <w:sz w:val="11"/>
        </w:rPr>
      </w:pPr>
      <w:r>
        <w:rPr>
          <w:sz w:val="11"/>
        </w:rPr>
        <w:t>0.00</w:t>
      </w:r>
    </w:p>
    <w:p>
      <w:pPr>
        <w:spacing w:before="104"/>
        <w:ind w:left="207" w:right="0" w:firstLine="0"/>
        <w:jc w:val="left"/>
        <w:rPr>
          <w:sz w:val="11"/>
        </w:rPr>
      </w:pPr>
      <w:r>
        <w:rPr>
          <w:sz w:val="11"/>
        </w:rPr>
        <w:t>0.00</w:t>
      </w:r>
    </w:p>
    <w:p>
      <w:pPr>
        <w:pStyle w:val="BodyText"/>
        <w:rPr>
          <w:sz w:val="12"/>
        </w:rPr>
      </w:pPr>
    </w:p>
    <w:p>
      <w:pPr>
        <w:pStyle w:val="BodyText"/>
        <w:spacing w:before="2"/>
        <w:rPr>
          <w:sz w:val="10"/>
        </w:rPr>
      </w:pPr>
    </w:p>
    <w:p>
      <w:pPr>
        <w:spacing w:before="0"/>
        <w:ind w:left="207" w:right="0" w:firstLine="0"/>
        <w:jc w:val="left"/>
        <w:rPr>
          <w:sz w:val="11"/>
        </w:rPr>
      </w:pPr>
      <w:r>
        <w:rPr>
          <w:sz w:val="11"/>
        </w:rPr>
        <w:t>0.00</w:t>
      </w:r>
    </w:p>
    <w:p>
      <w:pPr>
        <w:spacing w:before="104"/>
        <w:ind w:left="207" w:right="0" w:firstLine="0"/>
        <w:jc w:val="left"/>
        <w:rPr>
          <w:sz w:val="11"/>
        </w:rPr>
      </w:pPr>
      <w:r>
        <w:rPr>
          <w:sz w:val="11"/>
        </w:rPr>
        <w:t>0.00</w:t>
      </w:r>
    </w:p>
    <w:p>
      <w:pPr>
        <w:spacing w:before="104"/>
        <w:ind w:left="207" w:right="0" w:firstLine="0"/>
        <w:jc w:val="left"/>
        <w:rPr>
          <w:sz w:val="11"/>
        </w:rPr>
      </w:pPr>
      <w:r>
        <w:rPr>
          <w:sz w:val="11"/>
        </w:rPr>
        <w:t>0.00</w:t>
      </w:r>
    </w:p>
    <w:p>
      <w:pPr>
        <w:pStyle w:val="BodyText"/>
        <w:rPr>
          <w:sz w:val="12"/>
        </w:rPr>
      </w:pPr>
    </w:p>
    <w:p>
      <w:pPr>
        <w:pStyle w:val="BodyText"/>
        <w:spacing w:before="2"/>
        <w:rPr>
          <w:sz w:val="10"/>
        </w:rPr>
      </w:pPr>
    </w:p>
    <w:p>
      <w:pPr>
        <w:spacing w:before="0"/>
        <w:ind w:left="207" w:right="0" w:firstLine="0"/>
        <w:jc w:val="left"/>
        <w:rPr>
          <w:sz w:val="11"/>
        </w:rPr>
      </w:pPr>
      <w:r>
        <w:rPr>
          <w:sz w:val="11"/>
        </w:rPr>
        <w:t>0.00</w:t>
      </w:r>
    </w:p>
    <w:p>
      <w:pPr>
        <w:spacing w:before="104"/>
        <w:ind w:left="207" w:right="0" w:firstLine="0"/>
        <w:jc w:val="left"/>
        <w:rPr>
          <w:sz w:val="11"/>
        </w:rPr>
      </w:pPr>
      <w:r>
        <w:rPr>
          <w:sz w:val="11"/>
        </w:rPr>
        <w:t>0.00</w:t>
      </w:r>
    </w:p>
    <w:p>
      <w:pPr>
        <w:spacing w:before="104"/>
        <w:ind w:left="207" w:right="0" w:firstLine="0"/>
        <w:jc w:val="left"/>
        <w:rPr>
          <w:sz w:val="11"/>
        </w:rPr>
      </w:pPr>
      <w:r>
        <w:rPr>
          <w:sz w:val="11"/>
        </w:rPr>
        <w:t>0.00</w:t>
      </w:r>
    </w:p>
    <w:p>
      <w:pPr>
        <w:spacing w:before="104"/>
        <w:ind w:left="207" w:right="0" w:firstLine="0"/>
        <w:jc w:val="left"/>
        <w:rPr>
          <w:sz w:val="11"/>
        </w:rPr>
      </w:pPr>
      <w:r>
        <w:rPr>
          <w:sz w:val="11"/>
        </w:rPr>
        <w:t>0.00</w:t>
      </w:r>
    </w:p>
    <w:p>
      <w:pPr>
        <w:pStyle w:val="BodyText"/>
        <w:rPr>
          <w:sz w:val="12"/>
        </w:rPr>
      </w:pPr>
    </w:p>
    <w:p>
      <w:pPr>
        <w:pStyle w:val="BodyText"/>
        <w:spacing w:before="2"/>
        <w:rPr>
          <w:sz w:val="10"/>
        </w:rPr>
      </w:pPr>
    </w:p>
    <w:p>
      <w:pPr>
        <w:spacing w:before="0"/>
        <w:ind w:left="207" w:right="0" w:firstLine="0"/>
        <w:jc w:val="left"/>
        <w:rPr>
          <w:sz w:val="11"/>
        </w:rPr>
      </w:pPr>
      <w:r>
        <w:rPr>
          <w:sz w:val="11"/>
        </w:rPr>
        <w:t>0.00</w:t>
      </w:r>
    </w:p>
    <w:p>
      <w:pPr>
        <w:pStyle w:val="BodyText"/>
        <w:rPr>
          <w:sz w:val="12"/>
        </w:rPr>
      </w:pPr>
    </w:p>
    <w:p>
      <w:pPr>
        <w:pStyle w:val="BodyText"/>
        <w:spacing w:before="2"/>
        <w:rPr>
          <w:sz w:val="10"/>
        </w:rPr>
      </w:pPr>
    </w:p>
    <w:p>
      <w:pPr>
        <w:spacing w:before="0"/>
        <w:ind w:left="207" w:right="0" w:firstLine="0"/>
        <w:jc w:val="left"/>
        <w:rPr>
          <w:sz w:val="11"/>
        </w:rPr>
      </w:pPr>
      <w:r>
        <w:rPr>
          <w:sz w:val="11"/>
        </w:rPr>
        <w:t>0.00</w:t>
      </w:r>
    </w:p>
    <w:p>
      <w:pPr>
        <w:pStyle w:val="BodyText"/>
        <w:rPr>
          <w:sz w:val="12"/>
        </w:rPr>
      </w:pPr>
    </w:p>
    <w:p>
      <w:pPr>
        <w:pStyle w:val="BodyText"/>
        <w:spacing w:before="2"/>
        <w:rPr>
          <w:sz w:val="10"/>
        </w:rPr>
      </w:pPr>
    </w:p>
    <w:p>
      <w:pPr>
        <w:spacing w:before="0"/>
        <w:ind w:left="207" w:right="0" w:firstLine="0"/>
        <w:jc w:val="left"/>
        <w:rPr>
          <w:sz w:val="11"/>
        </w:rPr>
      </w:pPr>
      <w:r>
        <w:rPr>
          <w:sz w:val="11"/>
        </w:rPr>
        <w:t>0.00</w:t>
      </w:r>
    </w:p>
    <w:p>
      <w:pPr>
        <w:pStyle w:val="BodyText"/>
        <w:rPr>
          <w:sz w:val="12"/>
        </w:rPr>
      </w:pPr>
    </w:p>
    <w:p>
      <w:pPr>
        <w:pStyle w:val="BodyText"/>
        <w:spacing w:before="2"/>
        <w:rPr>
          <w:sz w:val="10"/>
        </w:rPr>
      </w:pPr>
    </w:p>
    <w:p>
      <w:pPr>
        <w:spacing w:before="0"/>
        <w:ind w:left="207" w:right="0" w:firstLine="0"/>
        <w:jc w:val="left"/>
        <w:rPr>
          <w:sz w:val="11"/>
        </w:rPr>
      </w:pPr>
      <w:r>
        <w:rPr>
          <w:sz w:val="11"/>
        </w:rPr>
        <w:t>0.00</w:t>
      </w:r>
    </w:p>
    <w:p>
      <w:pPr>
        <w:spacing w:before="104"/>
        <w:ind w:left="207" w:right="0" w:firstLine="0"/>
        <w:jc w:val="left"/>
        <w:rPr>
          <w:sz w:val="11"/>
        </w:rPr>
      </w:pPr>
      <w:r>
        <w:rPr>
          <w:sz w:val="11"/>
        </w:rPr>
        <w:t>0.00</w:t>
      </w:r>
    </w:p>
    <w:p>
      <w:pPr>
        <w:pStyle w:val="BodyText"/>
        <w:rPr>
          <w:sz w:val="12"/>
        </w:rPr>
      </w:pPr>
    </w:p>
    <w:p>
      <w:pPr>
        <w:pStyle w:val="BodyText"/>
        <w:spacing w:before="2"/>
        <w:rPr>
          <w:sz w:val="10"/>
        </w:rPr>
      </w:pPr>
    </w:p>
    <w:p>
      <w:pPr>
        <w:spacing w:before="0"/>
        <w:ind w:left="207" w:right="0" w:firstLine="0"/>
        <w:jc w:val="left"/>
        <w:rPr>
          <w:sz w:val="11"/>
        </w:rPr>
      </w:pPr>
      <w:r>
        <w:rPr>
          <w:sz w:val="11"/>
        </w:rPr>
        <w:t>0.00</w:t>
      </w:r>
    </w:p>
    <w:p>
      <w:pPr>
        <w:pStyle w:val="BodyText"/>
        <w:rPr>
          <w:sz w:val="12"/>
        </w:rPr>
      </w:pPr>
      <w:r>
        <w:rPr/>
        <w:br w:type="column"/>
      </w:r>
      <w:r>
        <w:rPr>
          <w:sz w:val="12"/>
        </w:rPr>
      </w:r>
    </w:p>
    <w:p>
      <w:pPr>
        <w:pStyle w:val="BodyText"/>
        <w:spacing w:before="7"/>
        <w:rPr>
          <w:sz w:val="16"/>
        </w:rPr>
      </w:pPr>
    </w:p>
    <w:p>
      <w:pPr>
        <w:tabs>
          <w:tab w:pos="1015" w:val="left" w:leader="none"/>
        </w:tabs>
        <w:spacing w:before="0"/>
        <w:ind w:left="0" w:right="75" w:firstLine="0"/>
        <w:jc w:val="right"/>
        <w:rPr>
          <w:sz w:val="11"/>
        </w:rPr>
      </w:pPr>
      <w:r>
        <w:rPr>
          <w:sz w:val="11"/>
        </w:rPr>
        <w:t>961,485.00</w:t>
        <w:tab/>
      </w:r>
      <w:r>
        <w:rPr>
          <w:spacing w:val="-1"/>
          <w:sz w:val="11"/>
        </w:rPr>
        <w:t>1,032,894.00</w:t>
      </w:r>
    </w:p>
    <w:p>
      <w:pPr>
        <w:tabs>
          <w:tab w:pos="1108" w:val="left" w:leader="none"/>
        </w:tabs>
        <w:spacing w:before="104"/>
        <w:ind w:left="0" w:right="75" w:firstLine="0"/>
        <w:jc w:val="right"/>
        <w:rPr>
          <w:sz w:val="11"/>
        </w:rPr>
      </w:pPr>
      <w:r>
        <w:rPr>
          <w:sz w:val="11"/>
        </w:rPr>
        <w:t>261,483.00</w:t>
        <w:tab/>
      </w:r>
      <w:r>
        <w:rPr>
          <w:spacing w:val="-1"/>
          <w:sz w:val="11"/>
        </w:rPr>
        <w:t>261,465.00</w:t>
      </w:r>
    </w:p>
    <w:p>
      <w:pPr>
        <w:tabs>
          <w:tab w:pos="1108" w:val="left" w:leader="none"/>
        </w:tabs>
        <w:spacing w:before="104"/>
        <w:ind w:left="0" w:right="75" w:firstLine="0"/>
        <w:jc w:val="right"/>
        <w:rPr>
          <w:sz w:val="11"/>
        </w:rPr>
      </w:pPr>
      <w:r>
        <w:rPr>
          <w:sz w:val="11"/>
        </w:rPr>
        <w:t>0.00</w:t>
        <w:tab/>
      </w:r>
      <w:r>
        <w:rPr>
          <w:spacing w:val="-1"/>
          <w:sz w:val="11"/>
        </w:rPr>
        <w:t>0.00</w:t>
      </w:r>
    </w:p>
    <w:p>
      <w:pPr>
        <w:pStyle w:val="BodyText"/>
        <w:rPr>
          <w:sz w:val="12"/>
        </w:rPr>
      </w:pPr>
    </w:p>
    <w:p>
      <w:pPr>
        <w:pStyle w:val="BodyText"/>
        <w:spacing w:before="2"/>
        <w:rPr>
          <w:sz w:val="10"/>
        </w:rPr>
      </w:pPr>
    </w:p>
    <w:p>
      <w:pPr>
        <w:tabs>
          <w:tab w:pos="1108" w:val="left" w:leader="none"/>
        </w:tabs>
        <w:spacing w:before="0"/>
        <w:ind w:left="0" w:right="75" w:firstLine="0"/>
        <w:jc w:val="right"/>
        <w:rPr>
          <w:sz w:val="11"/>
        </w:rPr>
      </w:pPr>
      <w:r>
        <w:rPr>
          <w:sz w:val="11"/>
        </w:rPr>
        <w:t>8,022.00</w:t>
        <w:tab/>
      </w:r>
      <w:r>
        <w:rPr>
          <w:spacing w:val="-1"/>
          <w:sz w:val="11"/>
        </w:rPr>
        <w:t>8,022.00</w:t>
      </w:r>
    </w:p>
    <w:p>
      <w:pPr>
        <w:tabs>
          <w:tab w:pos="1108" w:val="left" w:leader="none"/>
        </w:tabs>
        <w:spacing w:before="104"/>
        <w:ind w:left="0" w:right="75" w:firstLine="0"/>
        <w:jc w:val="right"/>
        <w:rPr>
          <w:sz w:val="11"/>
        </w:rPr>
      </w:pPr>
      <w:r>
        <w:rPr>
          <w:sz w:val="11"/>
        </w:rPr>
        <w:t>0.00</w:t>
        <w:tab/>
      </w:r>
      <w:r>
        <w:rPr>
          <w:spacing w:val="-1"/>
          <w:sz w:val="11"/>
        </w:rPr>
        <w:t>0.00</w:t>
      </w:r>
    </w:p>
    <w:p>
      <w:pPr>
        <w:tabs>
          <w:tab w:pos="1108" w:val="left" w:leader="none"/>
        </w:tabs>
        <w:spacing w:before="104"/>
        <w:ind w:left="0" w:right="75" w:firstLine="0"/>
        <w:jc w:val="right"/>
        <w:rPr>
          <w:sz w:val="11"/>
        </w:rPr>
      </w:pPr>
      <w:r>
        <w:rPr>
          <w:sz w:val="11"/>
        </w:rPr>
        <w:t>430.00</w:t>
        <w:tab/>
      </w:r>
      <w:r>
        <w:rPr>
          <w:spacing w:val="-1"/>
          <w:sz w:val="11"/>
        </w:rPr>
        <w:t>430.00</w:t>
      </w:r>
    </w:p>
    <w:p>
      <w:pPr>
        <w:pStyle w:val="BodyText"/>
        <w:rPr>
          <w:sz w:val="12"/>
        </w:rPr>
      </w:pPr>
    </w:p>
    <w:p>
      <w:pPr>
        <w:pStyle w:val="BodyText"/>
        <w:spacing w:before="2"/>
        <w:rPr>
          <w:sz w:val="10"/>
        </w:rPr>
      </w:pPr>
    </w:p>
    <w:p>
      <w:pPr>
        <w:tabs>
          <w:tab w:pos="1108" w:val="left" w:leader="none"/>
        </w:tabs>
        <w:spacing w:before="0"/>
        <w:ind w:left="0" w:right="75" w:firstLine="0"/>
        <w:jc w:val="right"/>
        <w:rPr>
          <w:sz w:val="11"/>
        </w:rPr>
      </w:pPr>
      <w:r>
        <w:rPr>
          <w:sz w:val="11"/>
        </w:rPr>
        <w:t>758,648.00</w:t>
        <w:tab/>
      </w:r>
      <w:r>
        <w:rPr>
          <w:spacing w:val="-1"/>
          <w:sz w:val="11"/>
        </w:rPr>
        <w:t>758,648.00</w:t>
      </w:r>
    </w:p>
    <w:p>
      <w:pPr>
        <w:tabs>
          <w:tab w:pos="1108" w:val="left" w:leader="none"/>
        </w:tabs>
        <w:spacing w:before="104"/>
        <w:ind w:left="0" w:right="75" w:firstLine="0"/>
        <w:jc w:val="right"/>
        <w:rPr>
          <w:sz w:val="11"/>
        </w:rPr>
      </w:pPr>
      <w:r>
        <w:rPr>
          <w:sz w:val="11"/>
        </w:rPr>
        <w:t>42,770.00</w:t>
        <w:tab/>
      </w:r>
      <w:r>
        <w:rPr>
          <w:spacing w:val="-1"/>
          <w:sz w:val="11"/>
        </w:rPr>
        <w:t>42,770.00</w:t>
      </w:r>
    </w:p>
    <w:p>
      <w:pPr>
        <w:tabs>
          <w:tab w:pos="1108" w:val="left" w:leader="none"/>
        </w:tabs>
        <w:spacing w:before="104"/>
        <w:ind w:left="0" w:right="38" w:firstLine="0"/>
        <w:jc w:val="right"/>
        <w:rPr>
          <w:sz w:val="11"/>
        </w:rPr>
      </w:pPr>
      <w:r>
        <w:rPr>
          <w:sz w:val="11"/>
        </w:rPr>
        <w:t>(540.00)</w:t>
        <w:tab/>
      </w:r>
      <w:r>
        <w:rPr>
          <w:spacing w:val="-1"/>
          <w:sz w:val="11"/>
        </w:rPr>
        <w:t>(540.00)</w:t>
      </w:r>
    </w:p>
    <w:p>
      <w:pPr>
        <w:tabs>
          <w:tab w:pos="1108" w:val="left" w:leader="none"/>
        </w:tabs>
        <w:spacing w:before="104"/>
        <w:ind w:left="0" w:right="75" w:firstLine="0"/>
        <w:jc w:val="right"/>
        <w:rPr>
          <w:sz w:val="11"/>
        </w:rPr>
      </w:pPr>
      <w:r>
        <w:rPr>
          <w:sz w:val="11"/>
        </w:rPr>
        <w:t>46,780.00</w:t>
        <w:tab/>
      </w:r>
      <w:r>
        <w:rPr>
          <w:spacing w:val="-1"/>
          <w:sz w:val="11"/>
        </w:rPr>
        <w:t>46,780.00</w:t>
      </w:r>
    </w:p>
    <w:p>
      <w:pPr>
        <w:pStyle w:val="BodyText"/>
        <w:rPr>
          <w:sz w:val="12"/>
        </w:rPr>
      </w:pPr>
    </w:p>
    <w:p>
      <w:pPr>
        <w:pStyle w:val="BodyText"/>
        <w:spacing w:before="2"/>
        <w:rPr>
          <w:sz w:val="10"/>
        </w:rPr>
      </w:pPr>
    </w:p>
    <w:p>
      <w:pPr>
        <w:tabs>
          <w:tab w:pos="1108" w:val="left" w:leader="none"/>
        </w:tabs>
        <w:spacing w:before="0"/>
        <w:ind w:left="0" w:right="75" w:firstLine="0"/>
        <w:jc w:val="right"/>
        <w:rPr>
          <w:sz w:val="11"/>
        </w:rPr>
      </w:pPr>
      <w:r>
        <w:rPr>
          <w:sz w:val="11"/>
        </w:rPr>
        <w:t>0.00</w:t>
        <w:tab/>
      </w:r>
      <w:r>
        <w:rPr>
          <w:spacing w:val="-1"/>
          <w:sz w:val="11"/>
        </w:rPr>
        <w:t>0.00</w:t>
      </w:r>
    </w:p>
    <w:p>
      <w:pPr>
        <w:pStyle w:val="BodyText"/>
        <w:rPr>
          <w:sz w:val="12"/>
        </w:rPr>
      </w:pPr>
    </w:p>
    <w:p>
      <w:pPr>
        <w:pStyle w:val="BodyText"/>
        <w:spacing w:before="2"/>
        <w:rPr>
          <w:sz w:val="10"/>
        </w:rPr>
      </w:pPr>
    </w:p>
    <w:p>
      <w:pPr>
        <w:tabs>
          <w:tab w:pos="1108" w:val="left" w:leader="none"/>
        </w:tabs>
        <w:spacing w:before="0"/>
        <w:ind w:left="0" w:right="75" w:firstLine="0"/>
        <w:jc w:val="right"/>
        <w:rPr>
          <w:sz w:val="11"/>
        </w:rPr>
      </w:pPr>
      <w:r>
        <w:rPr>
          <w:sz w:val="11"/>
        </w:rPr>
        <w:t>0.00</w:t>
        <w:tab/>
      </w:r>
      <w:r>
        <w:rPr>
          <w:spacing w:val="-1"/>
          <w:sz w:val="11"/>
        </w:rPr>
        <w:t>0.00</w:t>
      </w:r>
    </w:p>
    <w:p>
      <w:pPr>
        <w:pStyle w:val="BodyText"/>
        <w:rPr>
          <w:sz w:val="12"/>
        </w:rPr>
      </w:pPr>
    </w:p>
    <w:p>
      <w:pPr>
        <w:pStyle w:val="BodyText"/>
        <w:spacing w:before="2"/>
        <w:rPr>
          <w:sz w:val="10"/>
        </w:rPr>
      </w:pPr>
    </w:p>
    <w:p>
      <w:pPr>
        <w:tabs>
          <w:tab w:pos="1108" w:val="left" w:leader="none"/>
        </w:tabs>
        <w:spacing w:before="0"/>
        <w:ind w:left="0" w:right="75" w:firstLine="0"/>
        <w:jc w:val="right"/>
        <w:rPr>
          <w:sz w:val="11"/>
        </w:rPr>
      </w:pPr>
      <w:r>
        <w:rPr>
          <w:sz w:val="11"/>
        </w:rPr>
        <w:t>0.00</w:t>
        <w:tab/>
      </w:r>
      <w:r>
        <w:rPr>
          <w:spacing w:val="-1"/>
          <w:sz w:val="11"/>
        </w:rPr>
        <w:t>0.00</w:t>
      </w:r>
    </w:p>
    <w:p>
      <w:pPr>
        <w:pStyle w:val="BodyText"/>
        <w:rPr>
          <w:sz w:val="12"/>
        </w:rPr>
      </w:pPr>
    </w:p>
    <w:p>
      <w:pPr>
        <w:pStyle w:val="BodyText"/>
        <w:spacing w:before="2"/>
        <w:rPr>
          <w:sz w:val="10"/>
        </w:rPr>
      </w:pPr>
    </w:p>
    <w:p>
      <w:pPr>
        <w:tabs>
          <w:tab w:pos="1108" w:val="left" w:leader="none"/>
        </w:tabs>
        <w:spacing w:before="0"/>
        <w:ind w:left="0" w:right="75" w:firstLine="0"/>
        <w:jc w:val="right"/>
        <w:rPr>
          <w:sz w:val="11"/>
        </w:rPr>
      </w:pPr>
      <w:r>
        <w:rPr>
          <w:sz w:val="11"/>
        </w:rPr>
        <w:t>0.00</w:t>
        <w:tab/>
      </w:r>
      <w:r>
        <w:rPr>
          <w:spacing w:val="-1"/>
          <w:sz w:val="11"/>
        </w:rPr>
        <w:t>0.00</w:t>
      </w:r>
    </w:p>
    <w:p>
      <w:pPr>
        <w:tabs>
          <w:tab w:pos="1108" w:val="left" w:leader="none"/>
        </w:tabs>
        <w:spacing w:before="104"/>
        <w:ind w:left="0" w:right="75" w:firstLine="0"/>
        <w:jc w:val="right"/>
        <w:rPr>
          <w:sz w:val="11"/>
        </w:rPr>
      </w:pPr>
      <w:r>
        <w:rPr>
          <w:sz w:val="11"/>
        </w:rPr>
        <w:t>0.00</w:t>
        <w:tab/>
      </w:r>
      <w:r>
        <w:rPr>
          <w:spacing w:val="-1"/>
          <w:sz w:val="11"/>
        </w:rPr>
        <w:t>0.00</w:t>
      </w:r>
    </w:p>
    <w:p>
      <w:pPr>
        <w:pStyle w:val="BodyText"/>
        <w:rPr>
          <w:sz w:val="12"/>
        </w:rPr>
      </w:pPr>
    </w:p>
    <w:p>
      <w:pPr>
        <w:pStyle w:val="BodyText"/>
        <w:spacing w:before="2"/>
        <w:rPr>
          <w:sz w:val="10"/>
        </w:rPr>
      </w:pPr>
    </w:p>
    <w:p>
      <w:pPr>
        <w:tabs>
          <w:tab w:pos="1108" w:val="left" w:leader="none"/>
        </w:tabs>
        <w:spacing w:before="0"/>
        <w:ind w:left="0" w:right="75" w:firstLine="0"/>
        <w:jc w:val="right"/>
        <w:rPr>
          <w:sz w:val="11"/>
        </w:rPr>
      </w:pPr>
      <w:r>
        <w:rPr>
          <w:sz w:val="11"/>
        </w:rPr>
        <w:t>0.00</w:t>
        <w:tab/>
      </w:r>
      <w:r>
        <w:rPr>
          <w:spacing w:val="-1"/>
          <w:sz w:val="11"/>
        </w:rPr>
        <w:t>0.00</w:t>
      </w:r>
    </w:p>
    <w:p>
      <w:pPr>
        <w:pStyle w:val="BodyText"/>
        <w:rPr>
          <w:sz w:val="12"/>
        </w:rPr>
      </w:pPr>
      <w:r>
        <w:rPr/>
        <w:br w:type="column"/>
      </w:r>
      <w:r>
        <w:rPr>
          <w:sz w:val="12"/>
        </w:rPr>
      </w:r>
    </w:p>
    <w:p>
      <w:pPr>
        <w:pStyle w:val="BodyText"/>
        <w:spacing w:before="7"/>
        <w:rPr>
          <w:sz w:val="16"/>
        </w:rPr>
      </w:pPr>
    </w:p>
    <w:p>
      <w:pPr>
        <w:spacing w:before="0"/>
        <w:ind w:left="207" w:right="0" w:firstLine="0"/>
        <w:jc w:val="left"/>
        <w:rPr>
          <w:sz w:val="11"/>
        </w:rPr>
      </w:pPr>
      <w:r>
        <w:rPr>
          <w:sz w:val="11"/>
        </w:rPr>
        <w:t>0.00</w:t>
      </w:r>
    </w:p>
    <w:p>
      <w:pPr>
        <w:spacing w:before="104"/>
        <w:ind w:left="207" w:right="0" w:firstLine="0"/>
        <w:jc w:val="left"/>
        <w:rPr>
          <w:sz w:val="11"/>
        </w:rPr>
      </w:pPr>
      <w:r>
        <w:rPr>
          <w:sz w:val="11"/>
        </w:rPr>
        <w:t>0.00</w:t>
      </w:r>
    </w:p>
    <w:p>
      <w:pPr>
        <w:spacing w:before="104"/>
        <w:ind w:left="207" w:right="0" w:firstLine="0"/>
        <w:jc w:val="left"/>
        <w:rPr>
          <w:sz w:val="11"/>
        </w:rPr>
      </w:pPr>
      <w:r>
        <w:rPr>
          <w:sz w:val="11"/>
        </w:rPr>
        <w:t>0.00</w:t>
      </w:r>
    </w:p>
    <w:p>
      <w:pPr>
        <w:pStyle w:val="BodyText"/>
        <w:rPr>
          <w:sz w:val="12"/>
        </w:rPr>
      </w:pPr>
    </w:p>
    <w:p>
      <w:pPr>
        <w:pStyle w:val="BodyText"/>
        <w:spacing w:before="2"/>
        <w:rPr>
          <w:sz w:val="10"/>
        </w:rPr>
      </w:pPr>
    </w:p>
    <w:p>
      <w:pPr>
        <w:spacing w:before="0"/>
        <w:ind w:left="207" w:right="0" w:firstLine="0"/>
        <w:jc w:val="left"/>
        <w:rPr>
          <w:sz w:val="11"/>
        </w:rPr>
      </w:pPr>
      <w:r>
        <w:rPr>
          <w:sz w:val="11"/>
        </w:rPr>
        <w:t>0.00</w:t>
      </w:r>
    </w:p>
    <w:p>
      <w:pPr>
        <w:spacing w:before="104"/>
        <w:ind w:left="207" w:right="0" w:firstLine="0"/>
        <w:jc w:val="left"/>
        <w:rPr>
          <w:sz w:val="11"/>
        </w:rPr>
      </w:pPr>
      <w:r>
        <w:rPr>
          <w:sz w:val="11"/>
        </w:rPr>
        <w:t>0.00</w:t>
      </w:r>
    </w:p>
    <w:p>
      <w:pPr>
        <w:spacing w:before="104"/>
        <w:ind w:left="207" w:right="0" w:firstLine="0"/>
        <w:jc w:val="left"/>
        <w:rPr>
          <w:sz w:val="11"/>
        </w:rPr>
      </w:pPr>
      <w:r>
        <w:rPr>
          <w:sz w:val="11"/>
        </w:rPr>
        <w:t>0.00</w:t>
      </w:r>
    </w:p>
    <w:p>
      <w:pPr>
        <w:pStyle w:val="BodyText"/>
        <w:rPr>
          <w:sz w:val="12"/>
        </w:rPr>
      </w:pPr>
    </w:p>
    <w:p>
      <w:pPr>
        <w:pStyle w:val="BodyText"/>
        <w:spacing w:before="2"/>
        <w:rPr>
          <w:sz w:val="10"/>
        </w:rPr>
      </w:pPr>
    </w:p>
    <w:p>
      <w:pPr>
        <w:spacing w:before="0"/>
        <w:ind w:left="207" w:right="0" w:firstLine="0"/>
        <w:jc w:val="left"/>
        <w:rPr>
          <w:sz w:val="11"/>
        </w:rPr>
      </w:pPr>
      <w:r>
        <w:rPr>
          <w:sz w:val="11"/>
        </w:rPr>
        <w:t>0.00</w:t>
      </w:r>
    </w:p>
    <w:p>
      <w:pPr>
        <w:spacing w:before="104"/>
        <w:ind w:left="207" w:right="0" w:firstLine="0"/>
        <w:jc w:val="left"/>
        <w:rPr>
          <w:sz w:val="11"/>
        </w:rPr>
      </w:pPr>
      <w:r>
        <w:rPr>
          <w:sz w:val="11"/>
        </w:rPr>
        <w:t>0.00</w:t>
      </w:r>
    </w:p>
    <w:p>
      <w:pPr>
        <w:spacing w:before="104"/>
        <w:ind w:left="207" w:right="0" w:firstLine="0"/>
        <w:jc w:val="left"/>
        <w:rPr>
          <w:sz w:val="11"/>
        </w:rPr>
      </w:pPr>
      <w:r>
        <w:rPr>
          <w:sz w:val="11"/>
        </w:rPr>
        <w:t>0.00</w:t>
      </w:r>
    </w:p>
    <w:p>
      <w:pPr>
        <w:spacing w:before="104"/>
        <w:ind w:left="207" w:right="0" w:firstLine="0"/>
        <w:jc w:val="left"/>
        <w:rPr>
          <w:sz w:val="11"/>
        </w:rPr>
      </w:pPr>
      <w:r>
        <w:rPr>
          <w:sz w:val="11"/>
        </w:rPr>
        <w:t>0.00</w:t>
      </w:r>
    </w:p>
    <w:p>
      <w:pPr>
        <w:pStyle w:val="BodyText"/>
        <w:rPr>
          <w:sz w:val="12"/>
        </w:rPr>
      </w:pPr>
    </w:p>
    <w:p>
      <w:pPr>
        <w:pStyle w:val="BodyText"/>
        <w:spacing w:before="2"/>
        <w:rPr>
          <w:sz w:val="10"/>
        </w:rPr>
      </w:pPr>
    </w:p>
    <w:p>
      <w:pPr>
        <w:spacing w:before="0"/>
        <w:ind w:left="207" w:right="0" w:firstLine="0"/>
        <w:jc w:val="left"/>
        <w:rPr>
          <w:sz w:val="11"/>
        </w:rPr>
      </w:pPr>
      <w:r>
        <w:rPr>
          <w:sz w:val="11"/>
        </w:rPr>
        <w:t>0.00</w:t>
      </w:r>
    </w:p>
    <w:p>
      <w:pPr>
        <w:pStyle w:val="BodyText"/>
        <w:rPr>
          <w:sz w:val="12"/>
        </w:rPr>
      </w:pPr>
    </w:p>
    <w:p>
      <w:pPr>
        <w:pStyle w:val="BodyText"/>
        <w:spacing w:before="2"/>
        <w:rPr>
          <w:sz w:val="10"/>
        </w:rPr>
      </w:pPr>
    </w:p>
    <w:p>
      <w:pPr>
        <w:spacing w:before="0"/>
        <w:ind w:left="207" w:right="0" w:firstLine="0"/>
        <w:jc w:val="left"/>
        <w:rPr>
          <w:sz w:val="11"/>
        </w:rPr>
      </w:pPr>
      <w:r>
        <w:rPr>
          <w:sz w:val="11"/>
        </w:rPr>
        <w:t>0.00</w:t>
      </w:r>
    </w:p>
    <w:p>
      <w:pPr>
        <w:pStyle w:val="BodyText"/>
        <w:rPr>
          <w:sz w:val="12"/>
        </w:rPr>
      </w:pPr>
    </w:p>
    <w:p>
      <w:pPr>
        <w:pStyle w:val="BodyText"/>
        <w:spacing w:before="2"/>
        <w:rPr>
          <w:sz w:val="10"/>
        </w:rPr>
      </w:pPr>
    </w:p>
    <w:p>
      <w:pPr>
        <w:spacing w:before="0"/>
        <w:ind w:left="207" w:right="0" w:firstLine="0"/>
        <w:jc w:val="left"/>
        <w:rPr>
          <w:sz w:val="11"/>
        </w:rPr>
      </w:pPr>
      <w:r>
        <w:rPr>
          <w:sz w:val="11"/>
        </w:rPr>
        <w:t>0.00</w:t>
      </w:r>
    </w:p>
    <w:p>
      <w:pPr>
        <w:pStyle w:val="BodyText"/>
        <w:rPr>
          <w:sz w:val="12"/>
        </w:rPr>
      </w:pPr>
    </w:p>
    <w:p>
      <w:pPr>
        <w:pStyle w:val="BodyText"/>
        <w:spacing w:before="2"/>
        <w:rPr>
          <w:sz w:val="10"/>
        </w:rPr>
      </w:pPr>
    </w:p>
    <w:p>
      <w:pPr>
        <w:spacing w:before="0"/>
        <w:ind w:left="207" w:right="0" w:firstLine="0"/>
        <w:jc w:val="left"/>
        <w:rPr>
          <w:sz w:val="11"/>
        </w:rPr>
      </w:pPr>
      <w:r>
        <w:rPr>
          <w:sz w:val="11"/>
        </w:rPr>
        <w:t>0.00</w:t>
      </w:r>
    </w:p>
    <w:p>
      <w:pPr>
        <w:spacing w:before="104"/>
        <w:ind w:left="207" w:right="0" w:firstLine="0"/>
        <w:jc w:val="left"/>
        <w:rPr>
          <w:sz w:val="11"/>
        </w:rPr>
      </w:pPr>
      <w:r>
        <w:rPr>
          <w:sz w:val="11"/>
        </w:rPr>
        <w:t>0.00</w:t>
      </w:r>
    </w:p>
    <w:p>
      <w:pPr>
        <w:pStyle w:val="BodyText"/>
        <w:rPr>
          <w:sz w:val="12"/>
        </w:rPr>
      </w:pPr>
    </w:p>
    <w:p>
      <w:pPr>
        <w:pStyle w:val="BodyText"/>
        <w:spacing w:before="2"/>
        <w:rPr>
          <w:sz w:val="10"/>
        </w:rPr>
      </w:pPr>
    </w:p>
    <w:p>
      <w:pPr>
        <w:spacing w:before="0"/>
        <w:ind w:left="207" w:right="0" w:firstLine="0"/>
        <w:jc w:val="left"/>
        <w:rPr>
          <w:sz w:val="11"/>
        </w:rPr>
      </w:pPr>
      <w:r>
        <w:rPr>
          <w:sz w:val="11"/>
        </w:rPr>
        <w:t>0.00</w:t>
      </w:r>
    </w:p>
    <w:p>
      <w:pPr>
        <w:pStyle w:val="BodyText"/>
        <w:rPr>
          <w:sz w:val="12"/>
        </w:rPr>
      </w:pPr>
      <w:r>
        <w:rPr/>
        <w:br w:type="column"/>
      </w:r>
      <w:r>
        <w:rPr>
          <w:sz w:val="12"/>
        </w:rPr>
      </w:r>
    </w:p>
    <w:p>
      <w:pPr>
        <w:pStyle w:val="BodyText"/>
        <w:spacing w:before="7"/>
        <w:rPr>
          <w:sz w:val="16"/>
        </w:rPr>
      </w:pPr>
    </w:p>
    <w:p>
      <w:pPr>
        <w:tabs>
          <w:tab w:pos="1041" w:val="left" w:leader="none"/>
        </w:tabs>
        <w:spacing w:before="0"/>
        <w:ind w:left="0" w:right="166" w:firstLine="0"/>
        <w:jc w:val="right"/>
        <w:rPr>
          <w:sz w:val="11"/>
        </w:rPr>
      </w:pPr>
      <w:r>
        <w:rPr>
          <w:sz w:val="11"/>
        </w:rPr>
        <w:t>1,032,894.00</w:t>
        <w:tab/>
      </w:r>
      <w:r>
        <w:rPr>
          <w:spacing w:val="-1"/>
          <w:sz w:val="11"/>
        </w:rPr>
        <w:t>7.4%</w:t>
      </w:r>
    </w:p>
    <w:p>
      <w:pPr>
        <w:tabs>
          <w:tab w:pos="947" w:val="left" w:leader="none"/>
        </w:tabs>
        <w:spacing w:before="104"/>
        <w:ind w:left="0" w:right="166" w:firstLine="0"/>
        <w:jc w:val="right"/>
        <w:rPr>
          <w:sz w:val="11"/>
        </w:rPr>
      </w:pPr>
      <w:r>
        <w:rPr>
          <w:sz w:val="11"/>
        </w:rPr>
        <w:t>261,465.00</w:t>
        <w:tab/>
      </w:r>
      <w:r>
        <w:rPr>
          <w:spacing w:val="-1"/>
          <w:sz w:val="11"/>
        </w:rPr>
        <w:t>0.0%</w:t>
      </w:r>
    </w:p>
    <w:p>
      <w:pPr>
        <w:tabs>
          <w:tab w:pos="604" w:val="left" w:leader="none"/>
        </w:tabs>
        <w:spacing w:before="104"/>
        <w:ind w:left="0" w:right="166" w:firstLine="0"/>
        <w:jc w:val="right"/>
        <w:rPr>
          <w:sz w:val="11"/>
        </w:rPr>
      </w:pPr>
      <w:r>
        <w:rPr>
          <w:sz w:val="11"/>
        </w:rPr>
        <w:t>0.00</w:t>
        <w:tab/>
      </w:r>
      <w:r>
        <w:rPr>
          <w:spacing w:val="-1"/>
          <w:sz w:val="11"/>
        </w:rPr>
        <w:t>0.0%</w:t>
      </w:r>
    </w:p>
    <w:p>
      <w:pPr>
        <w:pStyle w:val="BodyText"/>
        <w:rPr>
          <w:sz w:val="12"/>
        </w:rPr>
      </w:pPr>
    </w:p>
    <w:p>
      <w:pPr>
        <w:pStyle w:val="BodyText"/>
        <w:spacing w:before="2"/>
        <w:rPr>
          <w:sz w:val="10"/>
        </w:rPr>
      </w:pPr>
    </w:p>
    <w:p>
      <w:pPr>
        <w:tabs>
          <w:tab w:pos="823" w:val="left" w:leader="none"/>
        </w:tabs>
        <w:spacing w:before="0"/>
        <w:ind w:left="0" w:right="166" w:firstLine="0"/>
        <w:jc w:val="right"/>
        <w:rPr>
          <w:sz w:val="11"/>
        </w:rPr>
      </w:pPr>
      <w:r>
        <w:rPr>
          <w:sz w:val="11"/>
        </w:rPr>
        <w:t>8,022.00</w:t>
        <w:tab/>
      </w:r>
      <w:r>
        <w:rPr>
          <w:spacing w:val="-1"/>
          <w:sz w:val="11"/>
        </w:rPr>
        <w:t>0.0%</w:t>
      </w:r>
    </w:p>
    <w:p>
      <w:pPr>
        <w:tabs>
          <w:tab w:pos="604" w:val="left" w:leader="none"/>
        </w:tabs>
        <w:spacing w:before="104"/>
        <w:ind w:left="0" w:right="166" w:firstLine="0"/>
        <w:jc w:val="right"/>
        <w:rPr>
          <w:sz w:val="11"/>
        </w:rPr>
      </w:pPr>
      <w:r>
        <w:rPr>
          <w:sz w:val="11"/>
        </w:rPr>
        <w:t>0.00</w:t>
        <w:tab/>
      </w:r>
      <w:r>
        <w:rPr>
          <w:spacing w:val="-1"/>
          <w:sz w:val="11"/>
        </w:rPr>
        <w:t>0.0%</w:t>
      </w:r>
    </w:p>
    <w:p>
      <w:pPr>
        <w:tabs>
          <w:tab w:pos="1248" w:val="left" w:leader="none"/>
        </w:tabs>
        <w:spacing w:before="104"/>
        <w:ind w:left="519" w:right="0" w:firstLine="0"/>
        <w:jc w:val="left"/>
        <w:rPr>
          <w:sz w:val="11"/>
        </w:rPr>
      </w:pPr>
      <w:r>
        <w:rPr>
          <w:sz w:val="11"/>
        </w:rPr>
        <w:t>430.00</w:t>
        <w:tab/>
        <w:t>0.0%</w:t>
      </w:r>
    </w:p>
    <w:p>
      <w:pPr>
        <w:pStyle w:val="BodyText"/>
        <w:rPr>
          <w:sz w:val="12"/>
        </w:rPr>
      </w:pPr>
    </w:p>
    <w:p>
      <w:pPr>
        <w:pStyle w:val="BodyText"/>
        <w:spacing w:before="2"/>
        <w:rPr>
          <w:sz w:val="10"/>
        </w:rPr>
      </w:pPr>
    </w:p>
    <w:p>
      <w:pPr>
        <w:tabs>
          <w:tab w:pos="947" w:val="left" w:leader="none"/>
        </w:tabs>
        <w:spacing w:before="0"/>
        <w:ind w:left="0" w:right="166" w:firstLine="0"/>
        <w:jc w:val="right"/>
        <w:rPr>
          <w:sz w:val="11"/>
        </w:rPr>
      </w:pPr>
      <w:r>
        <w:rPr>
          <w:sz w:val="11"/>
        </w:rPr>
        <w:t>758,648.00</w:t>
        <w:tab/>
      </w:r>
      <w:r>
        <w:rPr>
          <w:spacing w:val="-1"/>
          <w:sz w:val="11"/>
        </w:rPr>
        <w:t>0.0%</w:t>
      </w:r>
    </w:p>
    <w:p>
      <w:pPr>
        <w:tabs>
          <w:tab w:pos="885" w:val="left" w:leader="none"/>
        </w:tabs>
        <w:spacing w:before="104"/>
        <w:ind w:left="0" w:right="166" w:firstLine="0"/>
        <w:jc w:val="right"/>
        <w:rPr>
          <w:sz w:val="11"/>
        </w:rPr>
      </w:pPr>
      <w:r>
        <w:rPr>
          <w:sz w:val="11"/>
        </w:rPr>
        <w:t>42,770.00</w:t>
        <w:tab/>
      </w:r>
      <w:r>
        <w:rPr>
          <w:spacing w:val="-1"/>
          <w:sz w:val="11"/>
        </w:rPr>
        <w:t>0.0%</w:t>
      </w:r>
    </w:p>
    <w:p>
      <w:pPr>
        <w:tabs>
          <w:tab w:pos="767" w:val="left" w:leader="none"/>
        </w:tabs>
        <w:spacing w:before="104"/>
        <w:ind w:left="0" w:right="166" w:firstLine="0"/>
        <w:jc w:val="right"/>
        <w:rPr>
          <w:sz w:val="11"/>
        </w:rPr>
      </w:pPr>
      <w:r>
        <w:rPr>
          <w:sz w:val="11"/>
        </w:rPr>
        <w:t>(540.00)</w:t>
        <w:tab/>
      </w:r>
      <w:r>
        <w:rPr>
          <w:spacing w:val="-1"/>
          <w:sz w:val="11"/>
        </w:rPr>
        <w:t>0.0%</w:t>
      </w:r>
    </w:p>
    <w:p>
      <w:pPr>
        <w:tabs>
          <w:tab w:pos="885" w:val="left" w:leader="none"/>
        </w:tabs>
        <w:spacing w:before="104"/>
        <w:ind w:left="0" w:right="166" w:firstLine="0"/>
        <w:jc w:val="right"/>
        <w:rPr>
          <w:sz w:val="11"/>
        </w:rPr>
      </w:pPr>
      <w:r>
        <w:rPr>
          <w:sz w:val="11"/>
        </w:rPr>
        <w:t>46,780.00</w:t>
        <w:tab/>
      </w:r>
      <w:r>
        <w:rPr>
          <w:spacing w:val="-1"/>
          <w:sz w:val="11"/>
        </w:rPr>
        <w:t>0.0%</w:t>
      </w:r>
    </w:p>
    <w:p>
      <w:pPr>
        <w:pStyle w:val="BodyText"/>
        <w:rPr>
          <w:sz w:val="12"/>
        </w:rPr>
      </w:pPr>
    </w:p>
    <w:p>
      <w:pPr>
        <w:pStyle w:val="BodyText"/>
        <w:spacing w:before="2"/>
        <w:rPr>
          <w:sz w:val="10"/>
        </w:rPr>
      </w:pPr>
    </w:p>
    <w:p>
      <w:pPr>
        <w:tabs>
          <w:tab w:pos="604" w:val="left" w:leader="none"/>
        </w:tabs>
        <w:spacing w:before="0"/>
        <w:ind w:left="0" w:right="166" w:firstLine="0"/>
        <w:jc w:val="right"/>
        <w:rPr>
          <w:sz w:val="11"/>
        </w:rPr>
      </w:pPr>
      <w:r>
        <w:rPr>
          <w:sz w:val="11"/>
        </w:rPr>
        <w:t>0.00</w:t>
        <w:tab/>
      </w:r>
      <w:r>
        <w:rPr>
          <w:spacing w:val="-1"/>
          <w:sz w:val="11"/>
        </w:rPr>
        <w:t>0.0%</w:t>
      </w:r>
    </w:p>
    <w:p>
      <w:pPr>
        <w:pStyle w:val="BodyText"/>
        <w:rPr>
          <w:sz w:val="12"/>
        </w:rPr>
      </w:pPr>
    </w:p>
    <w:p>
      <w:pPr>
        <w:pStyle w:val="BodyText"/>
        <w:spacing w:before="2"/>
        <w:rPr>
          <w:sz w:val="10"/>
        </w:rPr>
      </w:pPr>
    </w:p>
    <w:p>
      <w:pPr>
        <w:tabs>
          <w:tab w:pos="604" w:val="left" w:leader="none"/>
        </w:tabs>
        <w:spacing w:before="0"/>
        <w:ind w:left="0" w:right="166" w:firstLine="0"/>
        <w:jc w:val="right"/>
        <w:rPr>
          <w:sz w:val="11"/>
        </w:rPr>
      </w:pPr>
      <w:r>
        <w:rPr>
          <w:sz w:val="11"/>
        </w:rPr>
        <w:t>0.00</w:t>
        <w:tab/>
      </w:r>
      <w:r>
        <w:rPr>
          <w:spacing w:val="-1"/>
          <w:sz w:val="11"/>
        </w:rPr>
        <w:t>0.0%</w:t>
      </w:r>
    </w:p>
    <w:p>
      <w:pPr>
        <w:pStyle w:val="BodyText"/>
        <w:rPr>
          <w:sz w:val="12"/>
        </w:rPr>
      </w:pPr>
    </w:p>
    <w:p>
      <w:pPr>
        <w:pStyle w:val="BodyText"/>
        <w:spacing w:before="2"/>
        <w:rPr>
          <w:sz w:val="10"/>
        </w:rPr>
      </w:pPr>
    </w:p>
    <w:p>
      <w:pPr>
        <w:tabs>
          <w:tab w:pos="604" w:val="left" w:leader="none"/>
        </w:tabs>
        <w:spacing w:before="0"/>
        <w:ind w:left="0" w:right="166" w:firstLine="0"/>
        <w:jc w:val="right"/>
        <w:rPr>
          <w:sz w:val="11"/>
        </w:rPr>
      </w:pPr>
      <w:r>
        <w:rPr>
          <w:sz w:val="11"/>
        </w:rPr>
        <w:t>0.00</w:t>
        <w:tab/>
      </w:r>
      <w:r>
        <w:rPr>
          <w:spacing w:val="-1"/>
          <w:sz w:val="11"/>
        </w:rPr>
        <w:t>0.0%</w:t>
      </w:r>
    </w:p>
    <w:p>
      <w:pPr>
        <w:pStyle w:val="BodyText"/>
        <w:rPr>
          <w:sz w:val="12"/>
        </w:rPr>
      </w:pPr>
    </w:p>
    <w:p>
      <w:pPr>
        <w:pStyle w:val="BodyText"/>
        <w:spacing w:before="2"/>
        <w:rPr>
          <w:sz w:val="10"/>
        </w:rPr>
      </w:pPr>
    </w:p>
    <w:p>
      <w:pPr>
        <w:tabs>
          <w:tab w:pos="604" w:val="left" w:leader="none"/>
        </w:tabs>
        <w:spacing w:before="0"/>
        <w:ind w:left="0" w:right="166" w:firstLine="0"/>
        <w:jc w:val="right"/>
        <w:rPr>
          <w:sz w:val="11"/>
        </w:rPr>
      </w:pPr>
      <w:r>
        <w:rPr>
          <w:sz w:val="11"/>
        </w:rPr>
        <w:t>0.00</w:t>
        <w:tab/>
      </w:r>
      <w:r>
        <w:rPr>
          <w:spacing w:val="-1"/>
          <w:sz w:val="11"/>
        </w:rPr>
        <w:t>0.0%</w:t>
      </w:r>
    </w:p>
    <w:p>
      <w:pPr>
        <w:tabs>
          <w:tab w:pos="604" w:val="left" w:leader="none"/>
        </w:tabs>
        <w:spacing w:before="104"/>
        <w:ind w:left="0" w:right="166" w:firstLine="0"/>
        <w:jc w:val="right"/>
        <w:rPr>
          <w:sz w:val="11"/>
        </w:rPr>
      </w:pPr>
      <w:r>
        <w:rPr>
          <w:sz w:val="11"/>
        </w:rPr>
        <w:t>0.00</w:t>
        <w:tab/>
      </w:r>
      <w:r>
        <w:rPr>
          <w:spacing w:val="-1"/>
          <w:sz w:val="11"/>
        </w:rPr>
        <w:t>0.0%</w:t>
      </w:r>
    </w:p>
    <w:p>
      <w:pPr>
        <w:pStyle w:val="BodyText"/>
        <w:rPr>
          <w:sz w:val="12"/>
        </w:rPr>
      </w:pPr>
    </w:p>
    <w:p>
      <w:pPr>
        <w:pStyle w:val="BodyText"/>
        <w:spacing w:before="2"/>
        <w:rPr>
          <w:sz w:val="10"/>
        </w:rPr>
      </w:pPr>
    </w:p>
    <w:p>
      <w:pPr>
        <w:tabs>
          <w:tab w:pos="604" w:val="left" w:leader="none"/>
        </w:tabs>
        <w:spacing w:before="0"/>
        <w:ind w:left="0" w:right="166" w:firstLine="0"/>
        <w:jc w:val="right"/>
        <w:rPr>
          <w:sz w:val="11"/>
        </w:rPr>
      </w:pPr>
      <w:r>
        <w:rPr>
          <w:sz w:val="11"/>
        </w:rPr>
        <w:t>0.00</w:t>
        <w:tab/>
      </w:r>
      <w:r>
        <w:rPr>
          <w:spacing w:val="-1"/>
          <w:sz w:val="11"/>
        </w:rPr>
        <w:t>0.0%</w:t>
      </w:r>
    </w:p>
    <w:p>
      <w:pPr>
        <w:spacing w:after="0"/>
        <w:jc w:val="right"/>
        <w:rPr>
          <w:sz w:val="11"/>
        </w:rPr>
        <w:sectPr>
          <w:type w:val="continuous"/>
          <w:pgSz w:w="12240" w:h="15840"/>
          <w:pgMar w:top="1500" w:bottom="840" w:left="160" w:right="180"/>
          <w:cols w:num="5" w:equalWidth="0">
            <w:col w:w="5622" w:space="605"/>
            <w:col w:w="466" w:space="300"/>
            <w:col w:w="1955" w:space="606"/>
            <w:col w:w="466" w:space="206"/>
            <w:col w:w="1674"/>
          </w:cols>
        </w:sectPr>
      </w:pPr>
    </w:p>
    <w:p>
      <w:pPr>
        <w:pStyle w:val="BodyText"/>
        <w:spacing w:before="6"/>
      </w:pPr>
    </w:p>
    <w:p>
      <w:pPr>
        <w:spacing w:after="0"/>
        <w:sectPr>
          <w:type w:val="continuous"/>
          <w:pgSz w:w="12240" w:h="15840"/>
          <w:pgMar w:top="1500" w:bottom="840" w:left="160" w:right="180"/>
        </w:sectPr>
      </w:pPr>
    </w:p>
    <w:p>
      <w:pPr>
        <w:tabs>
          <w:tab w:pos="4889" w:val="left" w:leader="none"/>
        </w:tabs>
        <w:spacing w:before="99"/>
        <w:ind w:left="207" w:right="0" w:firstLine="0"/>
        <w:jc w:val="left"/>
        <w:rPr>
          <w:sz w:val="11"/>
        </w:rPr>
      </w:pPr>
      <w:r>
        <w:rPr>
          <w:sz w:val="11"/>
        </w:rPr>
        <w:t>Subtotal,</w:t>
      </w:r>
      <w:r>
        <w:rPr>
          <w:spacing w:val="4"/>
          <w:sz w:val="11"/>
        </w:rPr>
        <w:t> </w:t>
      </w:r>
      <w:r>
        <w:rPr>
          <w:sz w:val="11"/>
        </w:rPr>
        <w:t>LCFF</w:t>
      </w:r>
      <w:r>
        <w:rPr>
          <w:spacing w:val="5"/>
          <w:sz w:val="11"/>
        </w:rPr>
        <w:t> </w:t>
      </w:r>
      <w:r>
        <w:rPr>
          <w:sz w:val="11"/>
        </w:rPr>
        <w:t>Sources</w:t>
        <w:tab/>
        <w:t>2,079,078.00</w:t>
      </w:r>
    </w:p>
    <w:p>
      <w:pPr>
        <w:spacing w:before="99"/>
        <w:ind w:left="207" w:right="0" w:firstLine="0"/>
        <w:jc w:val="left"/>
        <w:rPr>
          <w:sz w:val="11"/>
        </w:rPr>
      </w:pPr>
      <w:r>
        <w:rPr/>
        <w:br w:type="column"/>
      </w:r>
      <w:r>
        <w:rPr>
          <w:sz w:val="11"/>
        </w:rPr>
        <w:t>0.00</w:t>
      </w:r>
    </w:p>
    <w:p>
      <w:pPr>
        <w:tabs>
          <w:tab w:pos="1316" w:val="left" w:leader="none"/>
        </w:tabs>
        <w:spacing w:before="99"/>
        <w:ind w:left="207" w:right="0" w:firstLine="0"/>
        <w:jc w:val="left"/>
        <w:rPr>
          <w:sz w:val="11"/>
        </w:rPr>
      </w:pPr>
      <w:r>
        <w:rPr/>
        <w:br w:type="column"/>
      </w:r>
      <w:r>
        <w:rPr>
          <w:sz w:val="11"/>
        </w:rPr>
        <w:t>2,079,078.00</w:t>
        <w:tab/>
        <w:t>2,150,469.00</w:t>
      </w:r>
    </w:p>
    <w:p>
      <w:pPr>
        <w:spacing w:before="99"/>
        <w:ind w:left="207" w:right="0" w:firstLine="0"/>
        <w:jc w:val="left"/>
        <w:rPr>
          <w:sz w:val="11"/>
        </w:rPr>
      </w:pPr>
      <w:r>
        <w:rPr/>
        <w:br w:type="column"/>
      </w:r>
      <w:r>
        <w:rPr>
          <w:sz w:val="11"/>
        </w:rPr>
        <w:t>0.00</w:t>
      </w:r>
    </w:p>
    <w:p>
      <w:pPr>
        <w:tabs>
          <w:tab w:pos="1248" w:val="left" w:leader="none"/>
        </w:tabs>
        <w:spacing w:before="99"/>
        <w:ind w:left="207" w:right="0" w:firstLine="0"/>
        <w:jc w:val="left"/>
        <w:rPr>
          <w:sz w:val="11"/>
        </w:rPr>
      </w:pPr>
      <w:r>
        <w:rPr/>
        <w:br w:type="column"/>
      </w:r>
      <w:r>
        <w:rPr>
          <w:sz w:val="11"/>
        </w:rPr>
        <w:t>2,150,469.00</w:t>
        <w:tab/>
        <w:t>3.4%</w:t>
      </w:r>
    </w:p>
    <w:p>
      <w:pPr>
        <w:spacing w:after="0"/>
        <w:jc w:val="left"/>
        <w:rPr>
          <w:sz w:val="11"/>
        </w:rPr>
        <w:sectPr>
          <w:type w:val="continuous"/>
          <w:pgSz w:w="12240" w:h="15840"/>
          <w:pgMar w:top="1500" w:bottom="840" w:left="160" w:right="180"/>
          <w:cols w:num="5" w:equalWidth="0">
            <w:col w:w="5585" w:space="643"/>
            <w:col w:w="466" w:space="206"/>
            <w:col w:w="2011" w:space="643"/>
            <w:col w:w="466" w:space="206"/>
            <w:col w:w="1674"/>
          </w:cols>
        </w:sectPr>
      </w:pPr>
    </w:p>
    <w:p>
      <w:pPr>
        <w:pStyle w:val="BodyText"/>
        <w:spacing w:before="4"/>
        <w:rPr>
          <w:sz w:val="15"/>
        </w:rPr>
      </w:pPr>
    </w:p>
    <w:p>
      <w:pPr>
        <w:spacing w:before="0"/>
        <w:ind w:left="207" w:right="0" w:firstLine="0"/>
        <w:jc w:val="left"/>
        <w:rPr>
          <w:sz w:val="11"/>
        </w:rPr>
      </w:pPr>
      <w:r>
        <w:rPr>
          <w:sz w:val="11"/>
        </w:rPr>
        <w:t>LCFF Transfers</w:t>
      </w:r>
    </w:p>
    <w:p>
      <w:pPr>
        <w:spacing w:before="104"/>
        <w:ind w:left="269" w:right="0" w:firstLine="0"/>
        <w:jc w:val="left"/>
        <w:rPr>
          <w:sz w:val="11"/>
        </w:rPr>
      </w:pPr>
      <w:r>
        <w:rPr>
          <w:sz w:val="11"/>
        </w:rPr>
        <w:t>Unrestricted LCFF Transfers -</w:t>
      </w:r>
    </w:p>
    <w:p>
      <w:pPr>
        <w:tabs>
          <w:tab w:pos="3091" w:val="left" w:leader="none"/>
          <w:tab w:pos="4003" w:val="left" w:leader="none"/>
          <w:tab w:pos="5326" w:val="left" w:leader="none"/>
        </w:tabs>
        <w:spacing w:before="24"/>
        <w:ind w:left="300" w:right="0" w:firstLine="0"/>
        <w:jc w:val="left"/>
        <w:rPr>
          <w:sz w:val="11"/>
        </w:rPr>
      </w:pPr>
      <w:r>
        <w:rPr>
          <w:sz w:val="11"/>
        </w:rPr>
        <w:t>Current</w:t>
      </w:r>
      <w:r>
        <w:rPr>
          <w:spacing w:val="2"/>
          <w:sz w:val="11"/>
        </w:rPr>
        <w:t> </w:t>
      </w:r>
      <w:r>
        <w:rPr>
          <w:sz w:val="11"/>
        </w:rPr>
        <w:t>Year</w:t>
        <w:tab/>
        <w:t>0000</w:t>
        <w:tab/>
        <w:t>8091</w:t>
        <w:tab/>
        <w:t>0.00</w:t>
      </w:r>
    </w:p>
    <w:p>
      <w:pPr>
        <w:spacing w:before="104"/>
        <w:ind w:left="269" w:right="0" w:firstLine="0"/>
        <w:jc w:val="left"/>
        <w:rPr>
          <w:sz w:val="11"/>
        </w:rPr>
      </w:pPr>
      <w:r>
        <w:rPr>
          <w:sz w:val="11"/>
        </w:rPr>
        <w:t>All Other LCFF Transfers -</w:t>
      </w:r>
    </w:p>
    <w:p>
      <w:pPr>
        <w:tabs>
          <w:tab w:pos="2998" w:val="left" w:leader="none"/>
          <w:tab w:pos="4003" w:val="left" w:leader="none"/>
          <w:tab w:pos="5326" w:val="left" w:leader="none"/>
        </w:tabs>
        <w:spacing w:before="25"/>
        <w:ind w:left="300" w:right="0" w:firstLine="0"/>
        <w:jc w:val="left"/>
        <w:rPr>
          <w:sz w:val="11"/>
        </w:rPr>
      </w:pPr>
      <w:r>
        <w:rPr>
          <w:sz w:val="11"/>
        </w:rPr>
        <w:t>Current</w:t>
      </w:r>
      <w:r>
        <w:rPr>
          <w:spacing w:val="2"/>
          <w:sz w:val="11"/>
        </w:rPr>
        <w:t> </w:t>
      </w:r>
      <w:r>
        <w:rPr>
          <w:sz w:val="11"/>
        </w:rPr>
        <w:t>Year</w:t>
        <w:tab/>
        <w:t>All</w:t>
      </w:r>
      <w:r>
        <w:rPr>
          <w:spacing w:val="1"/>
          <w:sz w:val="11"/>
        </w:rPr>
        <w:t> </w:t>
      </w:r>
      <w:r>
        <w:rPr>
          <w:sz w:val="11"/>
        </w:rPr>
        <w:t>Other</w:t>
        <w:tab/>
        <w:t>8091</w:t>
        <w:tab/>
        <w:t>0.00</w:t>
      </w:r>
    </w:p>
    <w:p>
      <w:pPr>
        <w:pStyle w:val="BodyText"/>
        <w:rPr>
          <w:sz w:val="12"/>
        </w:rPr>
      </w:pPr>
      <w:r>
        <w:rPr/>
        <w:br w:type="column"/>
      </w:r>
      <w:r>
        <w:rPr>
          <w:sz w:val="12"/>
        </w:rPr>
      </w: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spacing w:before="8"/>
        <w:rPr>
          <w:sz w:val="9"/>
        </w:rPr>
      </w:pPr>
    </w:p>
    <w:p>
      <w:pPr>
        <w:spacing w:before="0"/>
        <w:ind w:left="207" w:right="0" w:firstLine="0"/>
        <w:jc w:val="left"/>
        <w:rPr>
          <w:sz w:val="11"/>
        </w:rPr>
      </w:pPr>
      <w:r>
        <w:rPr>
          <w:sz w:val="11"/>
        </w:rPr>
        <w:t>0.00</w:t>
      </w:r>
    </w:p>
    <w:p>
      <w:pPr>
        <w:pStyle w:val="BodyText"/>
        <w:rPr>
          <w:sz w:val="12"/>
        </w:rPr>
      </w:pPr>
      <w:r>
        <w:rPr/>
        <w:br w:type="column"/>
      </w:r>
      <w:r>
        <w:rPr>
          <w:sz w:val="12"/>
        </w:rPr>
      </w:r>
    </w:p>
    <w:p>
      <w:pPr>
        <w:pStyle w:val="BodyText"/>
        <w:rPr>
          <w:sz w:val="12"/>
        </w:rPr>
      </w:pPr>
    </w:p>
    <w:p>
      <w:pPr>
        <w:pStyle w:val="BodyText"/>
        <w:rPr>
          <w:sz w:val="12"/>
        </w:rPr>
      </w:pPr>
    </w:p>
    <w:p>
      <w:pPr>
        <w:pStyle w:val="BodyText"/>
        <w:spacing w:before="6"/>
        <w:rPr>
          <w:sz w:val="12"/>
        </w:rPr>
      </w:pPr>
    </w:p>
    <w:p>
      <w:pPr>
        <w:tabs>
          <w:tab w:pos="1316" w:val="left" w:leader="none"/>
        </w:tabs>
        <w:spacing w:before="0"/>
        <w:ind w:left="207" w:right="0" w:firstLine="0"/>
        <w:jc w:val="left"/>
        <w:rPr>
          <w:sz w:val="11"/>
        </w:rPr>
      </w:pPr>
      <w:r>
        <w:rPr>
          <w:sz w:val="11"/>
        </w:rPr>
        <w:t>0.00</w:t>
        <w:tab/>
        <w:t>0.00</w:t>
      </w:r>
    </w:p>
    <w:p>
      <w:pPr>
        <w:pStyle w:val="BodyText"/>
        <w:rPr>
          <w:sz w:val="12"/>
        </w:rPr>
      </w:pPr>
    </w:p>
    <w:p>
      <w:pPr>
        <w:pStyle w:val="BodyText"/>
        <w:spacing w:before="2"/>
        <w:rPr>
          <w:sz w:val="10"/>
        </w:rPr>
      </w:pPr>
    </w:p>
    <w:p>
      <w:pPr>
        <w:tabs>
          <w:tab w:pos="1316" w:val="left" w:leader="none"/>
        </w:tabs>
        <w:spacing w:before="0"/>
        <w:ind w:left="207" w:right="0" w:firstLine="0"/>
        <w:jc w:val="left"/>
        <w:rPr>
          <w:sz w:val="11"/>
        </w:rPr>
      </w:pPr>
      <w:r>
        <w:rPr>
          <w:sz w:val="11"/>
        </w:rPr>
        <w:t>0.00</w:t>
        <w:tab/>
        <w:t>0.00</w:t>
      </w:r>
    </w:p>
    <w:p>
      <w:pPr>
        <w:pStyle w:val="BodyText"/>
        <w:rPr>
          <w:sz w:val="12"/>
        </w:rPr>
      </w:pPr>
      <w:r>
        <w:rPr/>
        <w:br w:type="column"/>
      </w:r>
      <w:r>
        <w:rPr>
          <w:sz w:val="12"/>
        </w:rPr>
      </w: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spacing w:before="8"/>
        <w:rPr>
          <w:sz w:val="9"/>
        </w:rPr>
      </w:pPr>
    </w:p>
    <w:p>
      <w:pPr>
        <w:spacing w:before="0"/>
        <w:ind w:left="207" w:right="0" w:firstLine="0"/>
        <w:jc w:val="left"/>
        <w:rPr>
          <w:sz w:val="11"/>
        </w:rPr>
      </w:pPr>
      <w:r>
        <w:rPr>
          <w:sz w:val="11"/>
        </w:rPr>
        <w:t>0.00</w:t>
      </w:r>
    </w:p>
    <w:p>
      <w:pPr>
        <w:pStyle w:val="BodyText"/>
        <w:rPr>
          <w:sz w:val="12"/>
        </w:rPr>
      </w:pPr>
      <w:r>
        <w:rPr/>
        <w:br w:type="column"/>
      </w:r>
      <w:r>
        <w:rPr>
          <w:sz w:val="12"/>
        </w:rPr>
      </w:r>
    </w:p>
    <w:p>
      <w:pPr>
        <w:pStyle w:val="BodyText"/>
        <w:rPr>
          <w:sz w:val="12"/>
        </w:rPr>
      </w:pPr>
    </w:p>
    <w:p>
      <w:pPr>
        <w:pStyle w:val="BodyText"/>
        <w:rPr>
          <w:sz w:val="12"/>
        </w:rPr>
      </w:pPr>
    </w:p>
    <w:p>
      <w:pPr>
        <w:pStyle w:val="BodyText"/>
        <w:spacing w:before="6"/>
        <w:rPr>
          <w:sz w:val="12"/>
        </w:rPr>
      </w:pPr>
    </w:p>
    <w:p>
      <w:pPr>
        <w:tabs>
          <w:tab w:pos="812" w:val="left" w:leader="none"/>
        </w:tabs>
        <w:spacing w:before="0"/>
        <w:ind w:left="207" w:right="0" w:firstLine="0"/>
        <w:jc w:val="left"/>
        <w:rPr>
          <w:sz w:val="11"/>
        </w:rPr>
      </w:pPr>
      <w:r>
        <w:rPr>
          <w:sz w:val="11"/>
        </w:rPr>
        <w:t>0.00</w:t>
        <w:tab/>
        <w:t>0.0%</w:t>
      </w:r>
    </w:p>
    <w:p>
      <w:pPr>
        <w:pStyle w:val="BodyText"/>
        <w:rPr>
          <w:sz w:val="12"/>
        </w:rPr>
      </w:pPr>
    </w:p>
    <w:p>
      <w:pPr>
        <w:pStyle w:val="BodyText"/>
        <w:spacing w:before="2"/>
        <w:rPr>
          <w:sz w:val="10"/>
        </w:rPr>
      </w:pPr>
    </w:p>
    <w:p>
      <w:pPr>
        <w:tabs>
          <w:tab w:pos="812" w:val="left" w:leader="none"/>
        </w:tabs>
        <w:spacing w:before="0"/>
        <w:ind w:left="207" w:right="0" w:firstLine="0"/>
        <w:jc w:val="left"/>
        <w:rPr>
          <w:sz w:val="11"/>
        </w:rPr>
      </w:pPr>
      <w:r>
        <w:rPr>
          <w:sz w:val="11"/>
        </w:rPr>
        <w:t>0.00</w:t>
        <w:tab/>
        <w:t>0.0%</w:t>
      </w:r>
    </w:p>
    <w:p>
      <w:pPr>
        <w:spacing w:after="0"/>
        <w:jc w:val="left"/>
        <w:rPr>
          <w:sz w:val="11"/>
        </w:rPr>
        <w:sectPr>
          <w:type w:val="continuous"/>
          <w:pgSz w:w="12240" w:h="15840"/>
          <w:pgMar w:top="1500" w:bottom="840" w:left="160" w:right="180"/>
          <w:cols w:num="5" w:equalWidth="0">
            <w:col w:w="5585" w:space="643"/>
            <w:col w:w="466" w:space="642"/>
            <w:col w:w="1575" w:space="643"/>
            <w:col w:w="466" w:space="643"/>
            <w:col w:w="1237"/>
          </w:cols>
        </w:sectPr>
      </w:pPr>
    </w:p>
    <w:p>
      <w:pPr>
        <w:tabs>
          <w:tab w:pos="4003" w:val="left" w:leader="none"/>
          <w:tab w:pos="4944" w:val="left" w:leader="none"/>
          <w:tab w:pos="5326" w:val="left" w:leader="none"/>
          <w:tab w:pos="6435" w:val="left" w:leader="none"/>
          <w:tab w:pos="7162" w:val="left" w:leader="none"/>
          <w:tab w:pos="7543" w:val="left" w:leader="none"/>
          <w:tab w:pos="8271" w:val="left" w:leader="none"/>
          <w:tab w:pos="8652" w:val="left" w:leader="none"/>
          <w:tab w:pos="9761" w:val="left" w:leader="none"/>
          <w:tab w:pos="10488" w:val="left" w:leader="none"/>
          <w:tab w:pos="10870" w:val="left" w:leader="none"/>
          <w:tab w:pos="11475" w:val="left" w:leader="none"/>
        </w:tabs>
        <w:spacing w:line="436" w:lineRule="auto" w:before="104"/>
        <w:ind w:left="269" w:right="166" w:firstLine="0"/>
        <w:jc w:val="left"/>
        <w:rPr>
          <w:sz w:val="11"/>
        </w:rPr>
      </w:pPr>
      <w:r>
        <w:rPr>
          <w:sz w:val="11"/>
        </w:rPr>
        <w:t>Transfers to Charter Schools in Lieu of </w:t>
      </w:r>
      <w:r>
        <w:rPr>
          <w:spacing w:val="3"/>
          <w:sz w:val="11"/>
        </w:rPr>
        <w:t> </w:t>
      </w:r>
      <w:r>
        <w:rPr>
          <w:sz w:val="11"/>
        </w:rPr>
        <w:t>Property</w:t>
      </w:r>
      <w:r>
        <w:rPr>
          <w:spacing w:val="3"/>
          <w:sz w:val="11"/>
        </w:rPr>
        <w:t> </w:t>
      </w:r>
      <w:r>
        <w:rPr>
          <w:sz w:val="11"/>
        </w:rPr>
        <w:t>Taxes</w:t>
        <w:tab/>
        <w:t>8096</w:t>
        <w:tab/>
        <w:t>(780,949.00)</w:t>
      </w:r>
      <w:r>
        <w:rPr>
          <w:sz w:val="11"/>
          <w:shd w:fill="DFDFDF" w:color="auto" w:val="clear"/>
        </w:rPr>
        <w:tab/>
        <w:t>0.00</w:t>
      </w:r>
      <w:r>
        <w:rPr>
          <w:sz w:val="11"/>
        </w:rPr>
        <w:tab/>
        <w:t>(780,949.00)</w:t>
        <w:tab/>
        <w:t>(780,949.00)</w:t>
      </w:r>
      <w:r>
        <w:rPr>
          <w:sz w:val="11"/>
          <w:shd w:fill="DFDFDF" w:color="auto" w:val="clear"/>
        </w:rPr>
        <w:tab/>
        <w:t>0.00</w:t>
      </w:r>
      <w:r>
        <w:rPr>
          <w:sz w:val="11"/>
        </w:rPr>
        <w:tab/>
        <w:t>(780,949.00)</w:t>
        <w:tab/>
      </w:r>
      <w:r>
        <w:rPr>
          <w:spacing w:val="-6"/>
          <w:sz w:val="11"/>
        </w:rPr>
        <w:t>0.0% </w:t>
      </w:r>
      <w:r>
        <w:rPr>
          <w:sz w:val="11"/>
        </w:rPr>
        <w:t>Property</w:t>
      </w:r>
      <w:r>
        <w:rPr>
          <w:spacing w:val="3"/>
          <w:sz w:val="11"/>
        </w:rPr>
        <w:t> </w:t>
      </w:r>
      <w:r>
        <w:rPr>
          <w:sz w:val="11"/>
        </w:rPr>
        <w:t>Taxes</w:t>
      </w:r>
      <w:r>
        <w:rPr>
          <w:spacing w:val="7"/>
          <w:sz w:val="11"/>
        </w:rPr>
        <w:t> </w:t>
      </w:r>
      <w:r>
        <w:rPr>
          <w:sz w:val="11"/>
        </w:rPr>
        <w:t>Transfers</w:t>
        <w:tab/>
        <w:t>8097</w:t>
        <w:tab/>
        <w:tab/>
        <w:t>0.00</w:t>
        <w:tab/>
        <w:t>0.00</w:t>
        <w:tab/>
        <w:tab/>
        <w:t>0.00</w:t>
        <w:tab/>
        <w:tab/>
        <w:t>0.00</w:t>
        <w:tab/>
        <w:t>0.00</w:t>
        <w:tab/>
        <w:tab/>
        <w:t>0.00</w:t>
        <w:tab/>
      </w:r>
      <w:r>
        <w:rPr>
          <w:spacing w:val="-6"/>
          <w:sz w:val="11"/>
        </w:rPr>
        <w:t>0.0%</w:t>
      </w:r>
    </w:p>
    <w:p>
      <w:pPr>
        <w:tabs>
          <w:tab w:pos="4003" w:val="left" w:leader="none"/>
          <w:tab w:pos="5326" w:val="left" w:leader="none"/>
          <w:tab w:pos="6435" w:val="left" w:leader="none"/>
          <w:tab w:pos="7543" w:val="left" w:leader="none"/>
          <w:tab w:pos="8652" w:val="left" w:leader="none"/>
          <w:tab w:pos="9761" w:val="left" w:leader="none"/>
          <w:tab w:pos="10870" w:val="left" w:leader="none"/>
          <w:tab w:pos="11475" w:val="left" w:leader="none"/>
        </w:tabs>
        <w:spacing w:before="0"/>
        <w:ind w:left="269" w:right="0" w:firstLine="0"/>
        <w:jc w:val="left"/>
        <w:rPr>
          <w:sz w:val="11"/>
        </w:rPr>
      </w:pPr>
      <w:r>
        <w:rPr>
          <w:sz w:val="11"/>
        </w:rPr>
        <w:t>LCFF/Revenue Limit Transfers -</w:t>
      </w:r>
      <w:r>
        <w:rPr>
          <w:spacing w:val="21"/>
          <w:sz w:val="11"/>
        </w:rPr>
        <w:t> </w:t>
      </w:r>
      <w:r>
        <w:rPr>
          <w:sz w:val="11"/>
        </w:rPr>
        <w:t>Prior</w:t>
      </w:r>
      <w:r>
        <w:rPr>
          <w:spacing w:val="6"/>
          <w:sz w:val="11"/>
        </w:rPr>
        <w:t> </w:t>
      </w:r>
      <w:r>
        <w:rPr>
          <w:sz w:val="11"/>
        </w:rPr>
        <w:t>Years</w:t>
        <w:tab/>
        <w:t>8099</w:t>
        <w:tab/>
        <w:t>0.00</w:t>
        <w:tab/>
        <w:t>0.00</w:t>
        <w:tab/>
        <w:t>0.00</w:t>
        <w:tab/>
        <w:t>0.00</w:t>
        <w:tab/>
        <w:t>0.00</w:t>
        <w:tab/>
        <w:t>0.00</w:t>
        <w:tab/>
        <w:t>0.0%</w:t>
      </w:r>
    </w:p>
    <w:p>
      <w:pPr>
        <w:tabs>
          <w:tab w:pos="4889" w:val="left" w:leader="none"/>
          <w:tab w:pos="6435" w:val="left" w:leader="none"/>
          <w:tab w:pos="7107" w:val="left" w:leader="none"/>
          <w:tab w:pos="8215" w:val="left" w:leader="none"/>
          <w:tab w:pos="9761" w:val="left" w:leader="none"/>
          <w:tab w:pos="10433" w:val="left" w:leader="none"/>
          <w:tab w:pos="11475" w:val="left" w:leader="none"/>
        </w:tabs>
        <w:spacing w:before="104"/>
        <w:ind w:left="207" w:right="0" w:firstLine="0"/>
        <w:jc w:val="left"/>
        <w:rPr>
          <w:sz w:val="11"/>
        </w:rPr>
      </w:pPr>
      <w:r>
        <w:rPr>
          <w:sz w:val="11"/>
        </w:rPr>
        <w:t>TOTAL,</w:t>
      </w:r>
      <w:r>
        <w:rPr>
          <w:spacing w:val="4"/>
          <w:sz w:val="11"/>
        </w:rPr>
        <w:t> </w:t>
      </w:r>
      <w:r>
        <w:rPr>
          <w:sz w:val="11"/>
        </w:rPr>
        <w:t>LCFF</w:t>
      </w:r>
      <w:r>
        <w:rPr>
          <w:spacing w:val="6"/>
          <w:sz w:val="11"/>
        </w:rPr>
        <w:t> </w:t>
      </w:r>
      <w:r>
        <w:rPr>
          <w:sz w:val="11"/>
        </w:rPr>
        <w:t>SOURCES</w:t>
        <w:tab/>
        <w:t>1,298,129.00</w:t>
        <w:tab/>
        <w:t>0.00</w:t>
        <w:tab/>
        <w:t>1,298,129.00</w:t>
        <w:tab/>
        <w:t>1,369,520.00</w:t>
        <w:tab/>
        <w:t>0.00</w:t>
        <w:tab/>
        <w:t>1,369,520.00</w:t>
        <w:tab/>
        <w:t>5.5%</w:t>
      </w:r>
    </w:p>
    <w:p>
      <w:pPr>
        <w:spacing w:before="102"/>
        <w:ind w:left="144" w:right="0" w:firstLine="0"/>
        <w:jc w:val="left"/>
        <w:rPr>
          <w:b/>
          <w:sz w:val="11"/>
        </w:rPr>
      </w:pPr>
      <w:r>
        <w:rPr>
          <w:b/>
          <w:sz w:val="11"/>
        </w:rPr>
        <w:t>FEDERAL REVENUE</w:t>
      </w:r>
    </w:p>
    <w:p>
      <w:pPr>
        <w:pStyle w:val="BodyText"/>
        <w:spacing w:before="9"/>
        <w:rPr>
          <w:b/>
        </w:rPr>
      </w:pPr>
    </w:p>
    <w:p>
      <w:pPr>
        <w:tabs>
          <w:tab w:pos="4003" w:val="left" w:leader="none"/>
          <w:tab w:pos="5326" w:val="left" w:leader="none"/>
          <w:tab w:pos="6435" w:val="left" w:leader="none"/>
          <w:tab w:pos="7543" w:val="left" w:leader="none"/>
          <w:tab w:pos="8652" w:val="left" w:leader="none"/>
          <w:tab w:pos="9761" w:val="left" w:leader="none"/>
          <w:tab w:pos="10870" w:val="left" w:leader="none"/>
          <w:tab w:pos="11475" w:val="left" w:leader="none"/>
        </w:tabs>
        <w:spacing w:before="99"/>
        <w:ind w:left="207" w:right="0" w:firstLine="0"/>
        <w:jc w:val="left"/>
        <w:rPr>
          <w:sz w:val="11"/>
        </w:rPr>
      </w:pPr>
      <w:r>
        <w:rPr>
          <w:sz w:val="11"/>
        </w:rPr>
        <w:t>Maintenance</w:t>
      </w:r>
      <w:r>
        <w:rPr>
          <w:spacing w:val="5"/>
          <w:sz w:val="11"/>
        </w:rPr>
        <w:t> </w:t>
      </w:r>
      <w:r>
        <w:rPr>
          <w:sz w:val="11"/>
        </w:rPr>
        <w:t>and</w:t>
      </w:r>
      <w:r>
        <w:rPr>
          <w:spacing w:val="6"/>
          <w:sz w:val="11"/>
        </w:rPr>
        <w:t> </w:t>
      </w:r>
      <w:r>
        <w:rPr>
          <w:sz w:val="11"/>
        </w:rPr>
        <w:t>Operations</w:t>
        <w:tab/>
        <w:t>8110</w:t>
        <w:tab/>
        <w:t>0.00</w:t>
        <w:tab/>
        <w:t>0.00</w:t>
        <w:tab/>
        <w:t>0.00</w:t>
        <w:tab/>
        <w:t>0.00</w:t>
        <w:tab/>
        <w:t>0.00</w:t>
        <w:tab/>
        <w:t>0.00</w:t>
        <w:tab/>
        <w:t>0.0%</w:t>
      </w:r>
    </w:p>
    <w:p>
      <w:pPr>
        <w:tabs>
          <w:tab w:pos="4003" w:val="left" w:leader="none"/>
          <w:tab w:pos="5326" w:val="left" w:leader="none"/>
          <w:tab w:pos="6435" w:val="left" w:leader="none"/>
          <w:tab w:pos="7543" w:val="left" w:leader="none"/>
          <w:tab w:pos="8652" w:val="left" w:leader="none"/>
          <w:tab w:pos="9761" w:val="left" w:leader="none"/>
          <w:tab w:pos="10870" w:val="left" w:leader="none"/>
          <w:tab w:pos="11475" w:val="left" w:leader="none"/>
        </w:tabs>
        <w:spacing w:before="104"/>
        <w:ind w:left="207" w:right="0" w:firstLine="0"/>
        <w:jc w:val="left"/>
        <w:rPr>
          <w:sz w:val="11"/>
        </w:rPr>
      </w:pPr>
      <w:r>
        <w:rPr>
          <w:sz w:val="11"/>
        </w:rPr>
        <w:t>Special</w:t>
      </w:r>
      <w:r>
        <w:rPr>
          <w:spacing w:val="3"/>
          <w:sz w:val="11"/>
        </w:rPr>
        <w:t> </w:t>
      </w:r>
      <w:r>
        <w:rPr>
          <w:sz w:val="11"/>
        </w:rPr>
        <w:t>Education</w:t>
      </w:r>
      <w:r>
        <w:rPr>
          <w:spacing w:val="5"/>
          <w:sz w:val="11"/>
        </w:rPr>
        <w:t> </w:t>
      </w:r>
      <w:r>
        <w:rPr>
          <w:sz w:val="11"/>
        </w:rPr>
        <w:t>Entitlement</w:t>
        <w:tab/>
        <w:t>8181</w:t>
        <w:tab/>
        <w:t>0.00</w:t>
        <w:tab/>
        <w:t>0.00</w:t>
        <w:tab/>
        <w:t>0.00</w:t>
        <w:tab/>
        <w:t>0.00</w:t>
        <w:tab/>
        <w:t>0.00</w:t>
        <w:tab/>
        <w:t>0.00</w:t>
        <w:tab/>
        <w:t>0.0%</w:t>
      </w:r>
    </w:p>
    <w:p>
      <w:pPr>
        <w:tabs>
          <w:tab w:pos="4003" w:val="left" w:leader="none"/>
          <w:tab w:pos="5326" w:val="left" w:leader="none"/>
          <w:tab w:pos="6435" w:val="left" w:leader="none"/>
          <w:tab w:pos="7543" w:val="left" w:leader="none"/>
          <w:tab w:pos="8652" w:val="left" w:leader="none"/>
          <w:tab w:pos="9761" w:val="left" w:leader="none"/>
          <w:tab w:pos="10870" w:val="left" w:leader="none"/>
          <w:tab w:pos="11475" w:val="left" w:leader="none"/>
        </w:tabs>
        <w:spacing w:before="104"/>
        <w:ind w:left="207" w:right="0" w:firstLine="0"/>
        <w:jc w:val="left"/>
        <w:rPr>
          <w:sz w:val="11"/>
        </w:rPr>
      </w:pPr>
      <w:r>
        <w:rPr>
          <w:sz w:val="11"/>
        </w:rPr>
        <w:t>Special Education</w:t>
      </w:r>
      <w:r>
        <w:rPr>
          <w:spacing w:val="12"/>
          <w:sz w:val="11"/>
        </w:rPr>
        <w:t> </w:t>
      </w:r>
      <w:r>
        <w:rPr>
          <w:sz w:val="11"/>
        </w:rPr>
        <w:t>Discretionary</w:t>
      </w:r>
      <w:r>
        <w:rPr>
          <w:spacing w:val="6"/>
          <w:sz w:val="11"/>
        </w:rPr>
        <w:t> </w:t>
      </w:r>
      <w:r>
        <w:rPr>
          <w:sz w:val="11"/>
        </w:rPr>
        <w:t>Grants</w:t>
        <w:tab/>
        <w:t>8182</w:t>
        <w:tab/>
        <w:t>0.00</w:t>
        <w:tab/>
        <w:t>0.00</w:t>
        <w:tab/>
        <w:t>0.00</w:t>
        <w:tab/>
        <w:t>0.00</w:t>
        <w:tab/>
        <w:t>0.00</w:t>
        <w:tab/>
        <w:t>0.00</w:t>
        <w:tab/>
        <w:t>0.0%</w:t>
      </w:r>
    </w:p>
    <w:p>
      <w:pPr>
        <w:tabs>
          <w:tab w:pos="4003" w:val="left" w:leader="none"/>
          <w:tab w:pos="5326" w:val="left" w:leader="none"/>
          <w:tab w:pos="6154" w:val="left" w:leader="none"/>
          <w:tab w:pos="7263" w:val="left" w:leader="none"/>
          <w:tab w:pos="8652" w:val="left" w:leader="none"/>
          <w:tab w:pos="9480" w:val="left" w:leader="none"/>
          <w:tab w:pos="10589" w:val="left" w:leader="none"/>
          <w:tab w:pos="11374" w:val="left" w:leader="none"/>
        </w:tabs>
        <w:spacing w:before="103"/>
        <w:ind w:left="207" w:right="0" w:firstLine="0"/>
        <w:jc w:val="left"/>
        <w:rPr>
          <w:sz w:val="11"/>
        </w:rPr>
      </w:pPr>
      <w:r>
        <w:rPr>
          <w:sz w:val="11"/>
        </w:rPr>
        <w:t>Child</w:t>
      </w:r>
      <w:r>
        <w:rPr>
          <w:spacing w:val="3"/>
          <w:sz w:val="11"/>
        </w:rPr>
        <w:t> </w:t>
      </w:r>
      <w:r>
        <w:rPr>
          <w:sz w:val="11"/>
        </w:rPr>
        <w:t>Nutrition</w:t>
      </w:r>
      <w:r>
        <w:rPr>
          <w:spacing w:val="4"/>
          <w:sz w:val="11"/>
        </w:rPr>
        <w:t> </w:t>
      </w:r>
      <w:r>
        <w:rPr>
          <w:sz w:val="11"/>
        </w:rPr>
        <w:t>Programs</w:t>
        <w:tab/>
        <w:t>8220</w:t>
        <w:tab/>
        <w:t>0.00</w:t>
        <w:tab/>
        <w:t>70,000.00</w:t>
        <w:tab/>
        <w:t>70,000.00</w:t>
        <w:tab/>
        <w:t>0.00</w:t>
        <w:tab/>
        <w:t>50,000.00</w:t>
        <w:tab/>
        <w:t>50,000.00</w:t>
        <w:tab/>
        <w:t>-28.6%</w:t>
      </w:r>
    </w:p>
    <w:p>
      <w:pPr>
        <w:tabs>
          <w:tab w:pos="4003" w:val="left" w:leader="none"/>
          <w:tab w:pos="5326" w:val="left" w:leader="none"/>
          <w:tab w:pos="6435" w:val="left" w:leader="none"/>
          <w:tab w:pos="7543" w:val="left" w:leader="none"/>
          <w:tab w:pos="8652" w:val="left" w:leader="none"/>
          <w:tab w:pos="9761" w:val="left" w:leader="none"/>
          <w:tab w:pos="10870" w:val="left" w:leader="none"/>
          <w:tab w:pos="11475" w:val="left" w:leader="none"/>
        </w:tabs>
        <w:spacing w:before="104"/>
        <w:ind w:left="207" w:right="0" w:firstLine="0"/>
        <w:jc w:val="left"/>
        <w:rPr>
          <w:sz w:val="11"/>
        </w:rPr>
      </w:pPr>
      <w:r>
        <w:rPr>
          <w:sz w:val="11"/>
        </w:rPr>
        <w:t>Donated</w:t>
      </w:r>
      <w:r>
        <w:rPr>
          <w:spacing w:val="4"/>
          <w:sz w:val="11"/>
        </w:rPr>
        <w:t> </w:t>
      </w:r>
      <w:r>
        <w:rPr>
          <w:sz w:val="11"/>
        </w:rPr>
        <w:t>Food</w:t>
      </w:r>
      <w:r>
        <w:rPr>
          <w:spacing w:val="4"/>
          <w:sz w:val="11"/>
        </w:rPr>
        <w:t> </w:t>
      </w:r>
      <w:r>
        <w:rPr>
          <w:sz w:val="11"/>
        </w:rPr>
        <w:t>Commodities</w:t>
        <w:tab/>
        <w:t>8221</w:t>
        <w:tab/>
        <w:t>0.00</w:t>
        <w:tab/>
        <w:t>0.00</w:t>
        <w:tab/>
        <w:t>0.00</w:t>
        <w:tab/>
        <w:t>0.00</w:t>
        <w:tab/>
        <w:t>0.00</w:t>
        <w:tab/>
        <w:t>0.00</w:t>
        <w:tab/>
        <w:t>0.0%</w:t>
      </w:r>
    </w:p>
    <w:p>
      <w:pPr>
        <w:tabs>
          <w:tab w:pos="4003" w:val="left" w:leader="none"/>
          <w:tab w:pos="5326" w:val="left" w:leader="none"/>
          <w:tab w:pos="6435" w:val="left" w:leader="none"/>
          <w:tab w:pos="7543" w:val="left" w:leader="none"/>
          <w:tab w:pos="8652" w:val="left" w:leader="none"/>
          <w:tab w:pos="9761" w:val="left" w:leader="none"/>
          <w:tab w:pos="10870" w:val="left" w:leader="none"/>
          <w:tab w:pos="11475" w:val="left" w:leader="none"/>
        </w:tabs>
        <w:spacing w:before="104"/>
        <w:ind w:left="207" w:right="0" w:firstLine="0"/>
        <w:jc w:val="left"/>
        <w:rPr>
          <w:sz w:val="11"/>
        </w:rPr>
      </w:pPr>
      <w:r>
        <w:rPr>
          <w:sz w:val="11"/>
        </w:rPr>
        <w:t>Forest</w:t>
      </w:r>
      <w:r>
        <w:rPr>
          <w:spacing w:val="6"/>
          <w:sz w:val="11"/>
        </w:rPr>
        <w:t> </w:t>
      </w:r>
      <w:r>
        <w:rPr>
          <w:sz w:val="11"/>
        </w:rPr>
        <w:t>Reserve</w:t>
      </w:r>
      <w:r>
        <w:rPr>
          <w:spacing w:val="7"/>
          <w:sz w:val="11"/>
        </w:rPr>
        <w:t> </w:t>
      </w:r>
      <w:r>
        <w:rPr>
          <w:sz w:val="11"/>
        </w:rPr>
        <w:t>Funds</w:t>
        <w:tab/>
        <w:t>8260</w:t>
        <w:tab/>
        <w:t>0.00</w:t>
        <w:tab/>
        <w:t>0.00</w:t>
        <w:tab/>
        <w:t>0.00</w:t>
        <w:tab/>
        <w:t>0.00</w:t>
        <w:tab/>
        <w:t>0.00</w:t>
        <w:tab/>
        <w:t>0.00</w:t>
        <w:tab/>
        <w:t>0.0%</w:t>
      </w:r>
    </w:p>
    <w:p>
      <w:pPr>
        <w:tabs>
          <w:tab w:pos="4003" w:val="left" w:leader="none"/>
          <w:tab w:pos="5326" w:val="left" w:leader="none"/>
          <w:tab w:pos="6435" w:val="left" w:leader="none"/>
          <w:tab w:pos="7543" w:val="left" w:leader="none"/>
          <w:tab w:pos="8652" w:val="left" w:leader="none"/>
          <w:tab w:pos="9761" w:val="left" w:leader="none"/>
          <w:tab w:pos="10870" w:val="left" w:leader="none"/>
          <w:tab w:pos="11475" w:val="left" w:leader="none"/>
        </w:tabs>
        <w:spacing w:before="104"/>
        <w:ind w:left="207" w:right="0" w:firstLine="0"/>
        <w:jc w:val="left"/>
        <w:rPr>
          <w:sz w:val="11"/>
        </w:rPr>
      </w:pPr>
      <w:r>
        <w:rPr>
          <w:sz w:val="11"/>
        </w:rPr>
        <w:t>Flood</w:t>
      </w:r>
      <w:r>
        <w:rPr>
          <w:spacing w:val="4"/>
          <w:sz w:val="11"/>
        </w:rPr>
        <w:t> </w:t>
      </w:r>
      <w:r>
        <w:rPr>
          <w:sz w:val="11"/>
        </w:rPr>
        <w:t>Control</w:t>
      </w:r>
      <w:r>
        <w:rPr>
          <w:spacing w:val="3"/>
          <w:sz w:val="11"/>
        </w:rPr>
        <w:t> </w:t>
      </w:r>
      <w:r>
        <w:rPr>
          <w:sz w:val="11"/>
        </w:rPr>
        <w:t>Funds</w:t>
        <w:tab/>
        <w:t>8270</w:t>
        <w:tab/>
        <w:t>0.00</w:t>
        <w:tab/>
        <w:t>0.00</w:t>
        <w:tab/>
        <w:t>0.00</w:t>
        <w:tab/>
        <w:t>0.00</w:t>
        <w:tab/>
        <w:t>0.00</w:t>
        <w:tab/>
        <w:t>0.00</w:t>
        <w:tab/>
        <w:t>0.0%</w:t>
      </w:r>
    </w:p>
    <w:p>
      <w:pPr>
        <w:tabs>
          <w:tab w:pos="4003" w:val="left" w:leader="none"/>
          <w:tab w:pos="5326" w:val="left" w:leader="none"/>
          <w:tab w:pos="6435" w:val="left" w:leader="none"/>
          <w:tab w:pos="7543" w:val="left" w:leader="none"/>
          <w:tab w:pos="8652" w:val="left" w:leader="none"/>
          <w:tab w:pos="9761" w:val="left" w:leader="none"/>
          <w:tab w:pos="10870" w:val="left" w:leader="none"/>
          <w:tab w:pos="11475" w:val="left" w:leader="none"/>
        </w:tabs>
        <w:spacing w:before="104"/>
        <w:ind w:left="207" w:right="0" w:firstLine="0"/>
        <w:jc w:val="left"/>
        <w:rPr>
          <w:sz w:val="11"/>
        </w:rPr>
      </w:pPr>
      <w:r>
        <w:rPr>
          <w:sz w:val="11"/>
        </w:rPr>
        <w:t>Wildlife</w:t>
      </w:r>
      <w:r>
        <w:rPr>
          <w:spacing w:val="5"/>
          <w:sz w:val="11"/>
        </w:rPr>
        <w:t> </w:t>
      </w:r>
      <w:r>
        <w:rPr>
          <w:sz w:val="11"/>
        </w:rPr>
        <w:t>Reserve</w:t>
      </w:r>
      <w:r>
        <w:rPr>
          <w:spacing w:val="6"/>
          <w:sz w:val="11"/>
        </w:rPr>
        <w:t> </w:t>
      </w:r>
      <w:r>
        <w:rPr>
          <w:sz w:val="11"/>
        </w:rPr>
        <w:t>Funds</w:t>
        <w:tab/>
        <w:t>8280</w:t>
        <w:tab/>
        <w:t>0.00</w:t>
        <w:tab/>
        <w:t>0.00</w:t>
        <w:tab/>
        <w:t>0.00</w:t>
        <w:tab/>
        <w:t>0.00</w:t>
        <w:tab/>
        <w:t>0.00</w:t>
        <w:tab/>
        <w:t>0.00</w:t>
        <w:tab/>
        <w:t>0.0%</w:t>
      </w:r>
    </w:p>
    <w:p>
      <w:pPr>
        <w:tabs>
          <w:tab w:pos="4003" w:val="left" w:leader="none"/>
          <w:tab w:pos="5326" w:val="left" w:leader="none"/>
          <w:tab w:pos="6435" w:val="left" w:leader="none"/>
          <w:tab w:pos="7543" w:val="left" w:leader="none"/>
          <w:tab w:pos="8652" w:val="left" w:leader="none"/>
          <w:tab w:pos="9761" w:val="left" w:leader="none"/>
          <w:tab w:pos="10870" w:val="left" w:leader="none"/>
          <w:tab w:pos="11475" w:val="left" w:leader="none"/>
        </w:tabs>
        <w:spacing w:before="104"/>
        <w:ind w:left="207" w:right="0" w:firstLine="0"/>
        <w:jc w:val="left"/>
        <w:rPr>
          <w:sz w:val="11"/>
        </w:rPr>
      </w:pPr>
      <w:r>
        <w:rPr>
          <w:sz w:val="11"/>
        </w:rPr>
        <w:t>FEMA</w:t>
        <w:tab/>
        <w:t>8281</w:t>
        <w:tab/>
        <w:t>0.00</w:t>
        <w:tab/>
        <w:t>0.00</w:t>
        <w:tab/>
        <w:t>0.00</w:t>
        <w:tab/>
        <w:t>0.00</w:t>
        <w:tab/>
        <w:t>0.00</w:t>
        <w:tab/>
        <w:t>0.00</w:t>
        <w:tab/>
        <w:t>0.0%</w:t>
      </w:r>
    </w:p>
    <w:p>
      <w:pPr>
        <w:tabs>
          <w:tab w:pos="4003" w:val="left" w:leader="none"/>
          <w:tab w:pos="5326" w:val="left" w:leader="none"/>
          <w:tab w:pos="6435" w:val="left" w:leader="none"/>
          <w:tab w:pos="7543" w:val="left" w:leader="none"/>
          <w:tab w:pos="8652" w:val="left" w:leader="none"/>
          <w:tab w:pos="9761" w:val="left" w:leader="none"/>
          <w:tab w:pos="10870" w:val="left" w:leader="none"/>
          <w:tab w:pos="11475" w:val="left" w:leader="none"/>
        </w:tabs>
        <w:spacing w:line="230" w:lineRule="atLeast" w:before="0"/>
        <w:ind w:left="207" w:right="166" w:firstLine="0"/>
        <w:jc w:val="left"/>
        <w:rPr>
          <w:sz w:val="11"/>
        </w:rPr>
      </w:pPr>
      <w:r>
        <w:rPr>
          <w:sz w:val="11"/>
        </w:rPr>
        <w:t>Interagency Contracts</w:t>
      </w:r>
      <w:r>
        <w:rPr>
          <w:spacing w:val="10"/>
          <w:sz w:val="11"/>
        </w:rPr>
        <w:t> </w:t>
      </w:r>
      <w:r>
        <w:rPr>
          <w:sz w:val="11"/>
        </w:rPr>
        <w:t>Between</w:t>
      </w:r>
      <w:r>
        <w:rPr>
          <w:spacing w:val="5"/>
          <w:sz w:val="11"/>
        </w:rPr>
        <w:t> </w:t>
      </w:r>
      <w:r>
        <w:rPr>
          <w:sz w:val="11"/>
        </w:rPr>
        <w:t>LEAs</w:t>
        <w:tab/>
        <w:t>8285</w:t>
        <w:tab/>
        <w:t>0.00</w:t>
        <w:tab/>
        <w:t>0.00</w:t>
        <w:tab/>
        <w:t>0.00</w:t>
        <w:tab/>
        <w:t>0.00</w:t>
        <w:tab/>
        <w:t>0.00</w:t>
        <w:tab/>
        <w:t>0.00</w:t>
        <w:tab/>
      </w:r>
      <w:r>
        <w:rPr>
          <w:spacing w:val="-6"/>
          <w:sz w:val="11"/>
        </w:rPr>
        <w:t>0.0% </w:t>
      </w:r>
      <w:r>
        <w:rPr>
          <w:sz w:val="11"/>
        </w:rPr>
        <w:t>Pass-Through Revenues</w:t>
      </w:r>
      <w:r>
        <w:rPr>
          <w:spacing w:val="2"/>
          <w:sz w:val="11"/>
        </w:rPr>
        <w:t> </w:t>
      </w:r>
      <w:r>
        <w:rPr>
          <w:sz w:val="11"/>
        </w:rPr>
        <w:t>from</w:t>
      </w:r>
    </w:p>
    <w:p>
      <w:pPr>
        <w:tabs>
          <w:tab w:pos="4003" w:val="left" w:leader="none"/>
          <w:tab w:pos="5326" w:val="left" w:leader="none"/>
          <w:tab w:pos="6435" w:val="left" w:leader="none"/>
          <w:tab w:pos="7543" w:val="left" w:leader="none"/>
          <w:tab w:pos="8652" w:val="left" w:leader="none"/>
          <w:tab w:pos="9761" w:val="left" w:leader="none"/>
          <w:tab w:pos="10870" w:val="left" w:leader="none"/>
          <w:tab w:pos="11475" w:val="left" w:leader="none"/>
        </w:tabs>
        <w:spacing w:before="26"/>
        <w:ind w:left="237" w:right="0" w:firstLine="0"/>
        <w:jc w:val="left"/>
        <w:rPr>
          <w:sz w:val="11"/>
        </w:rPr>
      </w:pPr>
      <w:r>
        <w:rPr>
          <w:sz w:val="11"/>
        </w:rPr>
        <w:t>Federal</w:t>
      </w:r>
      <w:r>
        <w:rPr>
          <w:spacing w:val="4"/>
          <w:sz w:val="11"/>
        </w:rPr>
        <w:t> </w:t>
      </w:r>
      <w:r>
        <w:rPr>
          <w:sz w:val="11"/>
        </w:rPr>
        <w:t>Sources</w:t>
        <w:tab/>
        <w:t>8287</w:t>
        <w:tab/>
        <w:t>0.00</w:t>
        <w:tab/>
        <w:t>0.00</w:t>
        <w:tab/>
        <w:t>0.00</w:t>
        <w:tab/>
        <w:t>0.00</w:t>
        <w:tab/>
        <w:t>0.00</w:t>
        <w:tab/>
        <w:t>0.00</w:t>
        <w:tab/>
        <w:t>0.0%</w:t>
      </w:r>
    </w:p>
    <w:p>
      <w:pPr>
        <w:spacing w:after="0"/>
        <w:jc w:val="left"/>
        <w:rPr>
          <w:sz w:val="11"/>
        </w:rPr>
        <w:sectPr>
          <w:type w:val="continuous"/>
          <w:pgSz w:w="12240" w:h="15840"/>
          <w:pgMar w:top="1500" w:bottom="840" w:left="160" w:right="180"/>
        </w:sectPr>
      </w:pPr>
    </w:p>
    <w:p>
      <w:pPr>
        <w:tabs>
          <w:tab w:pos="3091" w:val="left" w:leader="none"/>
          <w:tab w:pos="4253" w:val="right" w:leader="none"/>
        </w:tabs>
        <w:spacing w:before="132"/>
        <w:ind w:left="207" w:right="0" w:firstLine="0"/>
        <w:jc w:val="left"/>
        <w:rPr>
          <w:sz w:val="11"/>
        </w:rPr>
      </w:pPr>
      <w:r>
        <w:rPr>
          <w:sz w:val="11"/>
        </w:rPr>
        <w:t>Title I, Part</w:t>
      </w:r>
      <w:r>
        <w:rPr>
          <w:spacing w:val="3"/>
          <w:sz w:val="11"/>
        </w:rPr>
        <w:t> </w:t>
      </w:r>
      <w:r>
        <w:rPr>
          <w:sz w:val="11"/>
        </w:rPr>
        <w:t>A,</w:t>
      </w:r>
      <w:r>
        <w:rPr>
          <w:spacing w:val="1"/>
          <w:sz w:val="11"/>
        </w:rPr>
        <w:t> </w:t>
      </w:r>
      <w:r>
        <w:rPr>
          <w:sz w:val="11"/>
        </w:rPr>
        <w:t>Basic</w:t>
        <w:tab/>
        <w:t>3010</w:t>
        <w:tab/>
        <w:t>8290</w:t>
      </w:r>
    </w:p>
    <w:p>
      <w:pPr>
        <w:spacing w:before="104"/>
        <w:ind w:left="207" w:right="0" w:firstLine="0"/>
        <w:jc w:val="left"/>
        <w:rPr>
          <w:sz w:val="11"/>
        </w:rPr>
      </w:pPr>
      <w:r>
        <w:rPr>
          <w:sz w:val="11"/>
        </w:rPr>
        <w:t>Title I, Part D, Local Delinquent</w:t>
      </w:r>
    </w:p>
    <w:p>
      <w:pPr>
        <w:tabs>
          <w:tab w:pos="3091" w:val="left" w:leader="none"/>
          <w:tab w:pos="4253" w:val="right" w:leader="none"/>
        </w:tabs>
        <w:spacing w:before="25"/>
        <w:ind w:left="237" w:right="0" w:firstLine="0"/>
        <w:jc w:val="left"/>
        <w:rPr>
          <w:sz w:val="11"/>
        </w:rPr>
      </w:pPr>
      <w:r>
        <w:rPr>
          <w:sz w:val="11"/>
        </w:rPr>
        <w:t>Programs</w:t>
        <w:tab/>
        <w:t>3025</w:t>
        <w:tab/>
        <w:t>8290</w:t>
      </w:r>
    </w:p>
    <w:p>
      <w:pPr>
        <w:tabs>
          <w:tab w:pos="3091" w:val="left" w:leader="none"/>
          <w:tab w:pos="4253" w:val="right" w:leader="none"/>
        </w:tabs>
        <w:spacing w:before="104"/>
        <w:ind w:left="207" w:right="0" w:firstLine="0"/>
        <w:jc w:val="left"/>
        <w:rPr>
          <w:sz w:val="11"/>
        </w:rPr>
      </w:pPr>
      <w:r>
        <w:rPr>
          <w:sz w:val="11"/>
        </w:rPr>
        <w:t>Title II, Part A, Supporting</w:t>
      </w:r>
      <w:r>
        <w:rPr>
          <w:spacing w:val="16"/>
          <w:sz w:val="11"/>
        </w:rPr>
        <w:t> </w:t>
      </w:r>
      <w:r>
        <w:rPr>
          <w:sz w:val="11"/>
        </w:rPr>
        <w:t>Effective</w:t>
      </w:r>
      <w:r>
        <w:rPr>
          <w:spacing w:val="5"/>
          <w:sz w:val="11"/>
        </w:rPr>
        <w:t> </w:t>
      </w:r>
      <w:r>
        <w:rPr>
          <w:sz w:val="11"/>
        </w:rPr>
        <w:t>Instruction</w:t>
        <w:tab/>
        <w:t>4035</w:t>
        <w:tab/>
        <w:t>8290</w:t>
      </w:r>
    </w:p>
    <w:p>
      <w:pPr>
        <w:spacing w:before="104"/>
        <w:ind w:left="207" w:right="0" w:firstLine="0"/>
        <w:jc w:val="left"/>
        <w:rPr>
          <w:sz w:val="11"/>
        </w:rPr>
      </w:pPr>
      <w:r>
        <w:rPr>
          <w:sz w:val="11"/>
        </w:rPr>
        <w:t>Title III, Part A, Immigrant Student</w:t>
      </w:r>
    </w:p>
    <w:p>
      <w:pPr>
        <w:tabs>
          <w:tab w:pos="3091" w:val="left" w:leader="none"/>
          <w:tab w:pos="4253" w:val="right" w:leader="none"/>
        </w:tabs>
        <w:spacing w:before="24"/>
        <w:ind w:left="237" w:right="0" w:firstLine="0"/>
        <w:jc w:val="left"/>
        <w:rPr>
          <w:sz w:val="11"/>
        </w:rPr>
      </w:pPr>
      <w:r>
        <w:rPr>
          <w:sz w:val="11"/>
        </w:rPr>
        <w:t>Program</w:t>
        <w:tab/>
        <w:t>4201</w:t>
        <w:tab/>
        <w:t>8290</w:t>
      </w:r>
    </w:p>
    <w:p>
      <w:pPr>
        <w:pStyle w:val="BodyText"/>
        <w:spacing w:before="6"/>
        <w:rPr>
          <w:sz w:val="11"/>
        </w:rPr>
      </w:pPr>
      <w:r>
        <w:rPr/>
        <w:br w:type="column"/>
      </w:r>
      <w:r>
        <w:rPr>
          <w:sz w:val="11"/>
        </w:rPr>
      </w:r>
    </w:p>
    <w:p>
      <w:pPr>
        <w:tabs>
          <w:tab w:pos="1108" w:val="left" w:leader="none"/>
        </w:tabs>
        <w:spacing w:before="0"/>
        <w:ind w:left="0" w:right="38" w:firstLine="0"/>
        <w:jc w:val="right"/>
        <w:rPr>
          <w:sz w:val="11"/>
        </w:rPr>
      </w:pPr>
      <w:r>
        <w:rPr>
          <w:sz w:val="11"/>
        </w:rPr>
        <w:t>18,020.00</w:t>
        <w:tab/>
      </w:r>
      <w:r>
        <w:rPr>
          <w:spacing w:val="-1"/>
          <w:sz w:val="11"/>
        </w:rPr>
        <w:t>18,020.00</w:t>
      </w:r>
    </w:p>
    <w:p>
      <w:pPr>
        <w:pStyle w:val="BodyText"/>
        <w:rPr>
          <w:sz w:val="12"/>
        </w:rPr>
      </w:pPr>
    </w:p>
    <w:p>
      <w:pPr>
        <w:pStyle w:val="BodyText"/>
        <w:spacing w:before="2"/>
        <w:rPr>
          <w:sz w:val="10"/>
        </w:rPr>
      </w:pPr>
    </w:p>
    <w:p>
      <w:pPr>
        <w:tabs>
          <w:tab w:pos="1108" w:val="left" w:leader="none"/>
        </w:tabs>
        <w:spacing w:before="0"/>
        <w:ind w:left="0" w:right="38" w:firstLine="0"/>
        <w:jc w:val="right"/>
        <w:rPr>
          <w:sz w:val="11"/>
        </w:rPr>
      </w:pPr>
      <w:r>
        <w:rPr>
          <w:sz w:val="11"/>
        </w:rPr>
        <w:t>0.00</w:t>
        <w:tab/>
      </w:r>
      <w:r>
        <w:rPr>
          <w:spacing w:val="-1"/>
          <w:sz w:val="11"/>
        </w:rPr>
        <w:t>0.00</w:t>
      </w:r>
    </w:p>
    <w:p>
      <w:pPr>
        <w:tabs>
          <w:tab w:pos="1108" w:val="left" w:leader="none"/>
        </w:tabs>
        <w:spacing w:before="104"/>
        <w:ind w:left="0" w:right="38" w:firstLine="0"/>
        <w:jc w:val="right"/>
        <w:rPr>
          <w:sz w:val="11"/>
        </w:rPr>
      </w:pPr>
      <w:r>
        <w:rPr>
          <w:sz w:val="11"/>
        </w:rPr>
        <w:t>4,064.00</w:t>
        <w:tab/>
      </w:r>
      <w:r>
        <w:rPr>
          <w:spacing w:val="-1"/>
          <w:sz w:val="11"/>
        </w:rPr>
        <w:t>4,064.00</w:t>
      </w:r>
    </w:p>
    <w:p>
      <w:pPr>
        <w:pStyle w:val="BodyText"/>
        <w:rPr>
          <w:sz w:val="12"/>
        </w:rPr>
      </w:pPr>
    </w:p>
    <w:p>
      <w:pPr>
        <w:pStyle w:val="BodyText"/>
        <w:spacing w:before="2"/>
        <w:rPr>
          <w:sz w:val="10"/>
        </w:rPr>
      </w:pPr>
    </w:p>
    <w:p>
      <w:pPr>
        <w:tabs>
          <w:tab w:pos="1108" w:val="left" w:leader="none"/>
        </w:tabs>
        <w:spacing w:before="0"/>
        <w:ind w:left="0" w:right="38" w:firstLine="0"/>
        <w:jc w:val="right"/>
        <w:rPr>
          <w:sz w:val="11"/>
        </w:rPr>
      </w:pPr>
      <w:r>
        <w:rPr>
          <w:sz w:val="11"/>
        </w:rPr>
        <w:t>0.00</w:t>
        <w:tab/>
      </w:r>
      <w:r>
        <w:rPr>
          <w:spacing w:val="-1"/>
          <w:sz w:val="11"/>
        </w:rPr>
        <w:t>0.00</w:t>
      </w:r>
    </w:p>
    <w:p>
      <w:pPr>
        <w:pStyle w:val="BodyText"/>
        <w:spacing w:before="6"/>
        <w:rPr>
          <w:sz w:val="11"/>
        </w:rPr>
      </w:pPr>
      <w:r>
        <w:rPr/>
        <w:br w:type="column"/>
      </w:r>
      <w:r>
        <w:rPr>
          <w:sz w:val="11"/>
        </w:rPr>
      </w:r>
    </w:p>
    <w:p>
      <w:pPr>
        <w:tabs>
          <w:tab w:pos="1108" w:val="left" w:leader="none"/>
          <w:tab w:pos="1994" w:val="left" w:leader="none"/>
        </w:tabs>
        <w:spacing w:before="0"/>
        <w:ind w:left="0" w:right="166" w:firstLine="0"/>
        <w:jc w:val="right"/>
        <w:rPr>
          <w:sz w:val="11"/>
        </w:rPr>
      </w:pPr>
      <w:r>
        <w:rPr>
          <w:sz w:val="11"/>
        </w:rPr>
        <w:t>18,020.00</w:t>
        <w:tab/>
        <w:t>18,020.00</w:t>
        <w:tab/>
      </w:r>
      <w:r>
        <w:rPr>
          <w:spacing w:val="-1"/>
          <w:sz w:val="11"/>
        </w:rPr>
        <w:t>0.0%</w:t>
      </w:r>
    </w:p>
    <w:p>
      <w:pPr>
        <w:pStyle w:val="BodyText"/>
        <w:rPr>
          <w:sz w:val="12"/>
        </w:rPr>
      </w:pPr>
    </w:p>
    <w:p>
      <w:pPr>
        <w:pStyle w:val="BodyText"/>
        <w:spacing w:before="2"/>
        <w:rPr>
          <w:sz w:val="10"/>
        </w:rPr>
      </w:pPr>
    </w:p>
    <w:p>
      <w:pPr>
        <w:tabs>
          <w:tab w:pos="1108" w:val="left" w:leader="none"/>
          <w:tab w:pos="1713" w:val="left" w:leader="none"/>
        </w:tabs>
        <w:spacing w:before="0"/>
        <w:ind w:left="0" w:right="166" w:firstLine="0"/>
        <w:jc w:val="right"/>
        <w:rPr>
          <w:sz w:val="11"/>
        </w:rPr>
      </w:pPr>
      <w:r>
        <w:rPr>
          <w:sz w:val="11"/>
        </w:rPr>
        <w:t>0.00</w:t>
        <w:tab/>
        <w:t>0.00</w:t>
        <w:tab/>
      </w:r>
      <w:r>
        <w:rPr>
          <w:spacing w:val="-1"/>
          <w:sz w:val="11"/>
        </w:rPr>
        <w:t>0.0%</w:t>
      </w:r>
    </w:p>
    <w:p>
      <w:pPr>
        <w:tabs>
          <w:tab w:pos="1108" w:val="left" w:leader="none"/>
          <w:tab w:pos="1831" w:val="left" w:leader="none"/>
        </w:tabs>
        <w:spacing w:before="104"/>
        <w:ind w:left="0" w:right="166" w:firstLine="0"/>
        <w:jc w:val="right"/>
        <w:rPr>
          <w:sz w:val="11"/>
        </w:rPr>
      </w:pPr>
      <w:r>
        <w:rPr>
          <w:sz w:val="11"/>
        </w:rPr>
        <w:t>2,281.00</w:t>
        <w:tab/>
        <w:t>2,281.00</w:t>
        <w:tab/>
      </w:r>
      <w:r>
        <w:rPr>
          <w:spacing w:val="-1"/>
          <w:sz w:val="11"/>
        </w:rPr>
        <w:t>-43.9%</w:t>
      </w:r>
    </w:p>
    <w:p>
      <w:pPr>
        <w:pStyle w:val="BodyText"/>
        <w:rPr>
          <w:sz w:val="12"/>
        </w:rPr>
      </w:pPr>
    </w:p>
    <w:p>
      <w:pPr>
        <w:pStyle w:val="BodyText"/>
        <w:spacing w:before="2"/>
        <w:rPr>
          <w:sz w:val="10"/>
        </w:rPr>
      </w:pPr>
    </w:p>
    <w:p>
      <w:pPr>
        <w:tabs>
          <w:tab w:pos="1108" w:val="left" w:leader="none"/>
          <w:tab w:pos="1713" w:val="left" w:leader="none"/>
        </w:tabs>
        <w:spacing w:before="0"/>
        <w:ind w:left="0" w:right="166" w:firstLine="0"/>
        <w:jc w:val="right"/>
        <w:rPr>
          <w:sz w:val="11"/>
        </w:rPr>
      </w:pPr>
      <w:r>
        <w:rPr>
          <w:sz w:val="11"/>
        </w:rPr>
        <w:t>0.00</w:t>
        <w:tab/>
        <w:t>0.00</w:t>
        <w:tab/>
      </w:r>
      <w:r>
        <w:rPr>
          <w:spacing w:val="-1"/>
          <w:sz w:val="11"/>
        </w:rPr>
        <w:t>0.0%</w:t>
      </w:r>
    </w:p>
    <w:p>
      <w:pPr>
        <w:spacing w:after="0"/>
        <w:jc w:val="right"/>
        <w:rPr>
          <w:sz w:val="11"/>
        </w:rPr>
        <w:sectPr>
          <w:type w:val="continuous"/>
          <w:pgSz w:w="12240" w:h="15840"/>
          <w:pgMar w:top="1500" w:bottom="840" w:left="160" w:right="180"/>
          <w:cols w:num="3" w:equalWidth="0">
            <w:col w:w="4294" w:space="1653"/>
            <w:col w:w="1856" w:space="1471"/>
            <w:col w:w="2626"/>
          </w:cols>
        </w:sectPr>
      </w:pPr>
    </w:p>
    <w:p>
      <w:pPr>
        <w:pStyle w:val="BodyText"/>
        <w:spacing w:before="5"/>
        <w:rPr>
          <w:sz w:val="23"/>
        </w:rPr>
      </w:pPr>
      <w:r>
        <w:rPr/>
        <w:pict>
          <v:group style="position:absolute;margin-left:14.280001pt;margin-top:40.079998pt;width:581.3pt;height:496pt;mso-position-horizontal-relative:page;mso-position-vertical-relative:page;z-index:-314615808" coordorigin="286,802" coordsize="11626,9920">
            <v:shape style="position:absolute;left:285;top:801;width:11626;height:168" type="#_x0000_t75" stroked="false">
              <v:imagedata r:id="rId83" o:title=""/>
            </v:shape>
            <v:shape style="position:absolute;left:285;top:964;width:2542;height:507" type="#_x0000_t75" stroked="false">
              <v:imagedata r:id="rId84" o:title=""/>
            </v:shape>
            <v:shape style="position:absolute;left:2824;top:832;width:9087;height:639" type="#_x0000_t75" stroked="false">
              <v:imagedata r:id="rId85" o:title=""/>
            </v:shape>
            <v:shape style="position:absolute;left:9084;top:964;width:2828;height:507" type="#_x0000_t75" stroked="false">
              <v:imagedata r:id="rId135" o:title=""/>
            </v:shape>
            <v:shape style="position:absolute;left:4651;top:1468;width:1109;height:459" coordorigin="4651,1469" coordsize="1109,459" path="m5760,1469l4651,1469,4651,1699,4651,1927,5760,1927,5760,1699,5760,1469e" filled="true" fillcolor="#dfdfdf" stroked="false">
              <v:path arrowok="t"/>
              <v:fill type="solid"/>
            </v:shape>
            <v:shape style="position:absolute;left:4648;top:1466;width:7263;height:680" type="#_x0000_t75" stroked="false">
              <v:imagedata r:id="rId207" o:title=""/>
            </v:shape>
            <v:shape style="position:absolute;left:4651;top:1927;width:1109;height:370" coordorigin="4651,1927" coordsize="1109,370" path="m5760,1927l4651,1927,4651,2146,4651,2297,5760,2297,5760,2146,5760,1927e" filled="true" fillcolor="#dfdfdf" stroked="false">
              <v:path arrowok="t"/>
              <v:fill type="solid"/>
            </v:shape>
            <v:shape style="position:absolute;left:4648;top:1924;width:4438;height:1572" type="#_x0000_t75" stroked="false">
              <v:imagedata r:id="rId208" o:title=""/>
            </v:shape>
            <v:rect style="position:absolute;left:4651;top:2296;width:1109;height:1200" filled="true" fillcolor="#dfdfdf" stroked="false">
              <v:fill type="solid"/>
            </v:rect>
            <v:shape style="position:absolute;left:4648;top:1924;width:7263;height:1803" type="#_x0000_t75" stroked="false">
              <v:imagedata r:id="rId209" o:title=""/>
            </v:shape>
            <v:shape style="position:absolute;left:285;top:1466;width:2542;height:2873" type="#_x0000_t75" stroked="false">
              <v:imagedata r:id="rId210" o:title=""/>
            </v:shape>
            <v:rect style="position:absolute;left:4651;top:3496;width:1109;height:231" filled="true" fillcolor="#dfdfdf" stroked="false">
              <v:fill type="solid"/>
            </v:rect>
            <v:shape style="position:absolute;left:4648;top:3494;width:7263;height:384" type="#_x0000_t75" stroked="false">
              <v:imagedata r:id="rId211" o:title=""/>
            </v:shape>
            <v:rect style="position:absolute;left:4651;top:3727;width:1109;height:152" filled="true" fillcolor="#dfdfdf" stroked="false">
              <v:fill type="solid"/>
            </v:rect>
            <v:shape style="position:absolute;left:4648;top:3724;width:6658;height:384" type="#_x0000_t75" stroked="false">
              <v:imagedata r:id="rId212" o:title=""/>
            </v:shape>
            <v:shape style="position:absolute;left:2824;top:3724;width:9087;height:615" type="#_x0000_t75" stroked="false">
              <v:imagedata r:id="rId213" o:title=""/>
            </v:shape>
            <v:shape style="position:absolute;left:285;top:4336;width:2542;height:233" type="#_x0000_t75" stroked="false">
              <v:imagedata r:id="rId214" o:title=""/>
            </v:shape>
            <v:shape style="position:absolute;left:2824;top:4106;width:9087;height:572" type="#_x0000_t75" stroked="false">
              <v:imagedata r:id="rId215" o:title=""/>
            </v:shape>
            <v:rect style="position:absolute;left:4651;top:4339;width:1109;height:231" filled="true" fillcolor="#dfdfdf" stroked="false">
              <v:fill type="solid"/>
            </v:rect>
            <v:rect style="position:absolute;left:4651;top:4569;width:1109;height:108" filled="true" fillcolor="#dfdfdf" stroked="false">
              <v:fill type="solid"/>
            </v:rect>
            <v:shape style="position:absolute;left:4651;top:4677;width:1109;height:612" coordorigin="4651,4678" coordsize="1109,612" path="m5760,4678l4651,4678,4651,4908,4651,5138,4651,5290,5760,5290,5760,5138,5760,4908,5760,4678e" filled="true" fillcolor="#dfdfdf" stroked="false">
              <v:path arrowok="t"/>
              <v:fill type="solid"/>
            </v:shape>
            <v:shape style="position:absolute;left:4648;top:4567;width:3332;height:953" type="#_x0000_t75" stroked="false">
              <v:imagedata r:id="rId216" o:title=""/>
            </v:shape>
            <v:shape style="position:absolute;left:7972;top:4567;width:3939;height:1104" type="#_x0000_t75" stroked="false">
              <v:imagedata r:id="rId217" o:title=""/>
            </v:shape>
            <v:shape style="position:absolute;left:4651;top:5289;width:1109;height:382" coordorigin="4651,5290" coordsize="1109,382" path="m5760,5290l4651,5290,4651,5520,4651,5671,5760,5671,5760,5520,5760,5290e" filled="true" fillcolor="#dfdfdf" stroked="false">
              <v:path arrowok="t"/>
              <v:fill type="solid"/>
            </v:shape>
            <v:shape style="position:absolute;left:4648;top:5517;width:6658;height:384" type="#_x0000_t75" stroked="false">
              <v:imagedata r:id="rId218" o:title=""/>
            </v:shape>
            <v:shape style="position:absolute;left:4651;top:5671;width:1109;height:461" coordorigin="4651,5671" coordsize="1109,461" path="m5760,5671l4651,5671,4651,5902,4651,6132,5760,6132,5760,5902,5760,5671e" filled="true" fillcolor="#dfdfdf" stroked="false">
              <v:path arrowok="t"/>
              <v:fill type="solid"/>
            </v:shape>
            <v:shape style="position:absolute;left:4648;top:5517;width:7263;height:615" type="#_x0000_t75" stroked="false">
              <v:imagedata r:id="rId219" o:title=""/>
            </v:shape>
            <v:rect style="position:absolute;left:4651;top:6132;width:1109;height:231" filled="true" fillcolor="#dfdfdf" stroked="false">
              <v:fill type="solid"/>
            </v:rect>
            <v:shape style="position:absolute;left:4648;top:5899;width:7263;height:464" type="#_x0000_t75" stroked="false">
              <v:imagedata r:id="rId220" o:title=""/>
            </v:shape>
            <v:rect style="position:absolute;left:4651;top:6362;width:1109;height:231" filled="true" fillcolor="#dfdfdf" stroked="false">
              <v:fill type="solid"/>
            </v:rect>
            <v:shape style="position:absolute;left:4648;top:6129;width:7263;height:694" type="#_x0000_t75" stroked="false">
              <v:imagedata r:id="rId221" o:title=""/>
            </v:shape>
            <v:shape style="position:absolute;left:5760;top:6592;width:4436;height:231" coordorigin="5760,6593" coordsize="4436,231" path="m6869,6593l5760,6593,5760,6823,6869,6823,6869,6593m10195,6593l9086,6593,9086,6823,10195,6823,10195,6593e" filled="true" fillcolor="#dfdfdf" stroked="false">
              <v:path arrowok="t"/>
              <v:fill type="solid"/>
            </v:shape>
            <v:shape style="position:absolute;left:4648;top:6590;width:7263;height:464" type="#_x0000_t75" stroked="false">
              <v:imagedata r:id="rId222" o:title=""/>
            </v:shape>
            <v:shape style="position:absolute;left:4648;top:6820;width:7263;height:464" type="#_x0000_t75" stroked="false">
              <v:imagedata r:id="rId223" o:title=""/>
            </v:shape>
            <v:shape style="position:absolute;left:4651;top:7053;width:1109;height:612" coordorigin="4651,7054" coordsize="1109,612" path="m5760,7054l4651,7054,4651,7284,4651,7435,4651,7666,5760,7666,5760,7435,5760,7284,5760,7054e" filled="true" fillcolor="#dfdfdf" stroked="false">
              <v:path arrowok="t"/>
              <v:fill type="solid"/>
            </v:shape>
            <v:shape style="position:absolute;left:4648;top:7051;width:7263;height:845" type="#_x0000_t75" stroked="false">
              <v:imagedata r:id="rId224" o:title=""/>
            </v:shape>
            <v:rect style="position:absolute;left:4651;top:7665;width:1109;height:231" filled="true" fillcolor="#dfdfdf" stroked="false">
              <v:fill type="solid"/>
            </v:rect>
            <v:shape style="position:absolute;left:4648;top:7663;width:7263;height:615" type="#_x0000_t75" stroked="false">
              <v:imagedata r:id="rId225" o:title=""/>
            </v:shape>
            <v:shape style="position:absolute;left:285;top:4567;width:2542;height:6154" type="#_x0000_t75" stroked="false">
              <v:imagedata r:id="rId226" o:title=""/>
            </v:shape>
            <v:shape style="position:absolute;left:4648;top:8124;width:7263;height:384" type="#_x0000_t75" stroked="false">
              <v:imagedata r:id="rId227" o:title=""/>
            </v:shape>
            <v:rect style="position:absolute;left:4651;top:8277;width:1109;height:231" filled="true" fillcolor="#dfdfdf" stroked="false">
              <v:fill type="solid"/>
            </v:rect>
            <v:shape style="position:absolute;left:5757;top:8275;width:6154;height:464" type="#_x0000_t75" stroked="false">
              <v:imagedata r:id="rId228" o:title=""/>
            </v:shape>
            <v:rect style="position:absolute;left:4651;top:8508;width:1109;height:231" filled="true" fillcolor="#dfdfdf" stroked="false">
              <v:fill type="solid"/>
            </v:rect>
            <v:shape style="position:absolute;left:4648;top:8505;width:3332;height:464" type="#_x0000_t75" stroked="false">
              <v:imagedata r:id="rId229" o:title=""/>
            </v:shape>
            <v:shape style="position:absolute;left:6866;top:8505;width:5045;height:464" type="#_x0000_t75" stroked="false">
              <v:imagedata r:id="rId230" o:title=""/>
            </v:shape>
            <v:shape style="position:absolute;left:4651;top:8738;width:1109;height:461" coordorigin="4651,8738" coordsize="1109,461" path="m5760,8738l4651,8738,4651,8969,4651,9199,5760,9199,5760,8969,5760,8738e" filled="true" fillcolor="#dfdfdf" stroked="false">
              <v:path arrowok="t"/>
              <v:fill type="solid"/>
            </v:shape>
            <v:shape style="position:absolute;left:7972;top:8736;width:3939;height:464" type="#_x0000_t75" stroked="false">
              <v:imagedata r:id="rId231" o:title=""/>
            </v:shape>
            <v:shape style="position:absolute;left:4648;top:8966;width:7263;height:615" type="#_x0000_t75" stroked="false">
              <v:imagedata r:id="rId232" o:title=""/>
            </v:shape>
            <v:shape style="position:absolute;left:4651;top:9199;width:1109;height:382" coordorigin="4651,9199" coordsize="1109,382" path="m5760,9199l4651,9199,4651,9430,4651,9581,5760,9581,5760,9430,5760,9199e" filled="true" fillcolor="#dfdfdf" stroked="false">
              <v:path arrowok="t"/>
              <v:fill type="solid"/>
            </v:shape>
            <v:shape style="position:absolute;left:7972;top:9427;width:3939;height:384" type="#_x0000_t75" stroked="false">
              <v:imagedata r:id="rId233" o:title=""/>
            </v:shape>
            <v:rect style="position:absolute;left:4651;top:9580;width:1109;height:231" filled="true" fillcolor="#dfdfdf" stroked="false">
              <v:fill type="solid"/>
            </v:rect>
            <v:shape style="position:absolute;left:4648;top:9427;width:3332;height:384" type="#_x0000_t75" stroked="false">
              <v:imagedata r:id="rId234" o:title=""/>
            </v:shape>
            <v:shape style="position:absolute;left:6866;top:9578;width:5045;height:464" type="#_x0000_t75" stroked="false">
              <v:imagedata r:id="rId235" o:title=""/>
            </v:shape>
            <v:rect style="position:absolute;left:4651;top:9811;width:1109;height:231" filled="true" fillcolor="#dfdfdf" stroked="false">
              <v:fill type="solid"/>
            </v:rect>
            <v:shape style="position:absolute;left:4648;top:9808;width:6658;height:452" type="#_x0000_t75" stroked="false">
              <v:imagedata r:id="rId236" o:title=""/>
            </v:shape>
            <v:rect style="position:absolute;left:4651;top:10041;width:1109;height:219" filled="true" fillcolor="#dfdfdf" stroked="false">
              <v:fill type="solid"/>
            </v:rect>
            <v:shape style="position:absolute;left:4648;top:9808;width:7263;height:682" type="#_x0000_t75" stroked="false">
              <v:imagedata r:id="rId237" o:title=""/>
            </v:shape>
            <v:shape style="position:absolute;left:2824;top:10257;width:9087;height:464" type="#_x0000_t75" stroked="false">
              <v:imagedata r:id="rId238" o:title=""/>
            </v:shape>
            <v:shape style="position:absolute;left:10192;top:10488;width:1719;height:233" type="#_x0000_t75" stroked="false">
              <v:imagedata r:id="rId239" o:title=""/>
            </v:shape>
            <w10:wrap type="none"/>
          </v:group>
        </w:pict>
      </w:r>
    </w:p>
    <w:tbl>
      <w:tblPr>
        <w:tblW w:w="0" w:type="auto"/>
        <w:jc w:val="left"/>
        <w:tblInd w:w="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96"/>
        <w:gridCol w:w="1098"/>
        <w:gridCol w:w="680"/>
        <w:gridCol w:w="1378"/>
        <w:gridCol w:w="1050"/>
        <w:gridCol w:w="899"/>
        <w:gridCol w:w="1109"/>
        <w:gridCol w:w="1213"/>
        <w:gridCol w:w="1004"/>
        <w:gridCol w:w="615"/>
      </w:tblGrid>
      <w:tr>
        <w:trPr>
          <w:trHeight w:val="498" w:hRule="atLeast"/>
        </w:trPr>
        <w:tc>
          <w:tcPr>
            <w:tcW w:w="3694" w:type="dxa"/>
            <w:gridSpan w:val="2"/>
          </w:tcPr>
          <w:p>
            <w:pPr>
              <w:pStyle w:val="TableParagraph"/>
              <w:rPr>
                <w:rFonts w:ascii="Times New Roman"/>
                <w:sz w:val="10"/>
              </w:rPr>
            </w:pPr>
          </w:p>
        </w:tc>
        <w:tc>
          <w:tcPr>
            <w:tcW w:w="680" w:type="dxa"/>
          </w:tcPr>
          <w:p>
            <w:pPr>
              <w:pStyle w:val="TableParagraph"/>
              <w:rPr>
                <w:sz w:val="12"/>
              </w:rPr>
            </w:pPr>
          </w:p>
          <w:p>
            <w:pPr>
              <w:pStyle w:val="TableParagraph"/>
              <w:rPr>
                <w:sz w:val="12"/>
              </w:rPr>
            </w:pPr>
          </w:p>
          <w:p>
            <w:pPr>
              <w:pStyle w:val="TableParagraph"/>
              <w:spacing w:line="110" w:lineRule="exact" w:before="92"/>
              <w:ind w:right="183"/>
              <w:jc w:val="right"/>
              <w:rPr>
                <w:b/>
                <w:sz w:val="11"/>
              </w:rPr>
            </w:pPr>
            <w:r>
              <w:rPr>
                <w:b/>
                <w:sz w:val="11"/>
              </w:rPr>
              <w:t>Object</w:t>
            </w:r>
          </w:p>
        </w:tc>
        <w:tc>
          <w:tcPr>
            <w:tcW w:w="1378" w:type="dxa"/>
          </w:tcPr>
          <w:p>
            <w:pPr>
              <w:pStyle w:val="TableParagraph"/>
              <w:spacing w:line="125" w:lineRule="exact"/>
              <w:ind w:right="10"/>
              <w:jc w:val="right"/>
              <w:rPr>
                <w:b/>
                <w:sz w:val="11"/>
              </w:rPr>
            </w:pPr>
            <w:r>
              <w:rPr>
                <w:b/>
                <w:sz w:val="11"/>
              </w:rPr>
              <w:t>2020-21</w:t>
            </w:r>
          </w:p>
          <w:p>
            <w:pPr>
              <w:pStyle w:val="TableParagraph"/>
              <w:rPr>
                <w:sz w:val="12"/>
              </w:rPr>
            </w:pPr>
          </w:p>
          <w:p>
            <w:pPr>
              <w:pStyle w:val="TableParagraph"/>
              <w:spacing w:line="110" w:lineRule="exact" w:before="105"/>
              <w:ind w:left="226"/>
              <w:rPr>
                <w:b/>
                <w:sz w:val="11"/>
              </w:rPr>
            </w:pPr>
            <w:r>
              <w:rPr>
                <w:b/>
                <w:sz w:val="11"/>
              </w:rPr>
              <w:t>Unrestricted</w:t>
            </w:r>
          </w:p>
        </w:tc>
        <w:tc>
          <w:tcPr>
            <w:tcW w:w="1050" w:type="dxa"/>
          </w:tcPr>
          <w:p>
            <w:pPr>
              <w:pStyle w:val="TableParagraph"/>
              <w:spacing w:line="125" w:lineRule="exact"/>
              <w:ind w:left="18"/>
              <w:rPr>
                <w:b/>
                <w:sz w:val="11"/>
              </w:rPr>
            </w:pPr>
            <w:r>
              <w:rPr>
                <w:b/>
                <w:sz w:val="11"/>
              </w:rPr>
              <w:t>Estimated Actuals</w:t>
            </w:r>
          </w:p>
          <w:p>
            <w:pPr>
              <w:pStyle w:val="TableParagraph"/>
              <w:rPr>
                <w:sz w:val="12"/>
              </w:rPr>
            </w:pPr>
          </w:p>
          <w:p>
            <w:pPr>
              <w:pStyle w:val="TableParagraph"/>
              <w:spacing w:line="110" w:lineRule="exact" w:before="105"/>
              <w:ind w:left="12"/>
              <w:rPr>
                <w:b/>
                <w:sz w:val="11"/>
              </w:rPr>
            </w:pPr>
            <w:r>
              <w:rPr>
                <w:b/>
                <w:sz w:val="11"/>
              </w:rPr>
              <w:t>Restricted</w:t>
            </w:r>
          </w:p>
        </w:tc>
        <w:tc>
          <w:tcPr>
            <w:tcW w:w="899" w:type="dxa"/>
          </w:tcPr>
          <w:p>
            <w:pPr>
              <w:pStyle w:val="TableParagraph"/>
              <w:rPr>
                <w:sz w:val="12"/>
              </w:rPr>
            </w:pPr>
          </w:p>
          <w:p>
            <w:pPr>
              <w:pStyle w:val="TableParagraph"/>
              <w:spacing w:line="130" w:lineRule="atLeast" w:before="95"/>
              <w:ind w:left="90" w:right="113" w:hanging="36"/>
              <w:rPr>
                <w:b/>
                <w:sz w:val="11"/>
              </w:rPr>
            </w:pPr>
            <w:r>
              <w:rPr>
                <w:b/>
                <w:sz w:val="11"/>
              </w:rPr>
              <w:t>Total Fund col. A + B</w:t>
            </w:r>
          </w:p>
        </w:tc>
        <w:tc>
          <w:tcPr>
            <w:tcW w:w="1109" w:type="dxa"/>
          </w:tcPr>
          <w:p>
            <w:pPr>
              <w:pStyle w:val="TableParagraph"/>
              <w:rPr>
                <w:sz w:val="12"/>
              </w:rPr>
            </w:pPr>
          </w:p>
          <w:p>
            <w:pPr>
              <w:pStyle w:val="TableParagraph"/>
              <w:rPr>
                <w:sz w:val="12"/>
              </w:rPr>
            </w:pPr>
          </w:p>
          <w:p>
            <w:pPr>
              <w:pStyle w:val="TableParagraph"/>
              <w:spacing w:line="110" w:lineRule="exact" w:before="92"/>
              <w:ind w:left="225"/>
              <w:rPr>
                <w:b/>
                <w:sz w:val="11"/>
              </w:rPr>
            </w:pPr>
            <w:r>
              <w:rPr>
                <w:b/>
                <w:sz w:val="11"/>
              </w:rPr>
              <w:t>Unrestricted</w:t>
            </w:r>
          </w:p>
        </w:tc>
        <w:tc>
          <w:tcPr>
            <w:tcW w:w="1213" w:type="dxa"/>
          </w:tcPr>
          <w:p>
            <w:pPr>
              <w:pStyle w:val="TableParagraph"/>
              <w:spacing w:line="125" w:lineRule="exact"/>
              <w:ind w:left="127" w:right="231"/>
              <w:jc w:val="center"/>
              <w:rPr>
                <w:b/>
                <w:sz w:val="11"/>
              </w:rPr>
            </w:pPr>
            <w:r>
              <w:rPr>
                <w:b/>
                <w:sz w:val="11"/>
              </w:rPr>
              <w:t>2021-22 Budget</w:t>
            </w:r>
          </w:p>
          <w:p>
            <w:pPr>
              <w:pStyle w:val="TableParagraph"/>
              <w:rPr>
                <w:sz w:val="12"/>
              </w:rPr>
            </w:pPr>
          </w:p>
          <w:p>
            <w:pPr>
              <w:pStyle w:val="TableParagraph"/>
              <w:spacing w:line="110" w:lineRule="exact" w:before="105"/>
              <w:ind w:left="127" w:right="226"/>
              <w:jc w:val="center"/>
              <w:rPr>
                <w:b/>
                <w:sz w:val="11"/>
              </w:rPr>
            </w:pPr>
            <w:r>
              <w:rPr>
                <w:b/>
                <w:sz w:val="11"/>
              </w:rPr>
              <w:t>Restricted</w:t>
            </w:r>
          </w:p>
        </w:tc>
        <w:tc>
          <w:tcPr>
            <w:tcW w:w="1004" w:type="dxa"/>
          </w:tcPr>
          <w:p>
            <w:pPr>
              <w:pStyle w:val="TableParagraph"/>
              <w:rPr>
                <w:sz w:val="12"/>
              </w:rPr>
            </w:pPr>
          </w:p>
          <w:p>
            <w:pPr>
              <w:pStyle w:val="TableParagraph"/>
              <w:spacing w:line="130" w:lineRule="atLeast" w:before="95"/>
              <w:ind w:left="197" w:right="114" w:hanging="39"/>
              <w:rPr>
                <w:b/>
                <w:sz w:val="11"/>
              </w:rPr>
            </w:pPr>
            <w:r>
              <w:rPr>
                <w:b/>
                <w:sz w:val="11"/>
              </w:rPr>
              <w:t>Total Fund col. D + E</w:t>
            </w:r>
          </w:p>
        </w:tc>
        <w:tc>
          <w:tcPr>
            <w:tcW w:w="615" w:type="dxa"/>
          </w:tcPr>
          <w:p>
            <w:pPr>
              <w:pStyle w:val="TableParagraph"/>
              <w:rPr>
                <w:sz w:val="12"/>
              </w:rPr>
            </w:pPr>
          </w:p>
          <w:p>
            <w:pPr>
              <w:pStyle w:val="TableParagraph"/>
              <w:spacing w:line="130" w:lineRule="atLeast" w:before="95"/>
              <w:ind w:left="93" w:right="92" w:firstLine="50"/>
              <w:rPr>
                <w:b/>
                <w:sz w:val="11"/>
              </w:rPr>
            </w:pPr>
            <w:r>
              <w:rPr>
                <w:b/>
                <w:sz w:val="11"/>
              </w:rPr>
              <w:t>% Diff Column</w:t>
            </w:r>
          </w:p>
        </w:tc>
      </w:tr>
      <w:tr>
        <w:trPr>
          <w:trHeight w:val="133" w:hRule="atLeast"/>
        </w:trPr>
        <w:tc>
          <w:tcPr>
            <w:tcW w:w="2596" w:type="dxa"/>
          </w:tcPr>
          <w:p>
            <w:pPr>
              <w:pStyle w:val="TableParagraph"/>
              <w:spacing w:line="112" w:lineRule="exact" w:before="2"/>
              <w:ind w:left="28"/>
              <w:rPr>
                <w:b/>
                <w:sz w:val="11"/>
              </w:rPr>
            </w:pPr>
            <w:r>
              <w:rPr>
                <w:b/>
                <w:sz w:val="11"/>
              </w:rPr>
              <w:t>Description</w:t>
            </w:r>
          </w:p>
        </w:tc>
        <w:tc>
          <w:tcPr>
            <w:tcW w:w="1098" w:type="dxa"/>
          </w:tcPr>
          <w:p>
            <w:pPr>
              <w:pStyle w:val="TableParagraph"/>
              <w:spacing w:line="112" w:lineRule="exact" w:before="2"/>
              <w:ind w:left="42" w:right="127"/>
              <w:jc w:val="center"/>
              <w:rPr>
                <w:b/>
                <w:sz w:val="11"/>
              </w:rPr>
            </w:pPr>
            <w:r>
              <w:rPr>
                <w:b/>
                <w:sz w:val="11"/>
              </w:rPr>
              <w:t>Resource Codes</w:t>
            </w:r>
          </w:p>
        </w:tc>
        <w:tc>
          <w:tcPr>
            <w:tcW w:w="680" w:type="dxa"/>
          </w:tcPr>
          <w:p>
            <w:pPr>
              <w:pStyle w:val="TableParagraph"/>
              <w:spacing w:line="112" w:lineRule="exact" w:before="2"/>
              <w:ind w:right="184"/>
              <w:jc w:val="right"/>
              <w:rPr>
                <w:b/>
                <w:sz w:val="11"/>
              </w:rPr>
            </w:pPr>
            <w:r>
              <w:rPr>
                <w:b/>
                <w:sz w:val="11"/>
              </w:rPr>
              <w:t>Codes</w:t>
            </w:r>
          </w:p>
        </w:tc>
        <w:tc>
          <w:tcPr>
            <w:tcW w:w="1378" w:type="dxa"/>
          </w:tcPr>
          <w:p>
            <w:pPr>
              <w:pStyle w:val="TableParagraph"/>
              <w:spacing w:line="112" w:lineRule="exact" w:before="2"/>
              <w:ind w:left="460" w:right="725"/>
              <w:jc w:val="center"/>
              <w:rPr>
                <w:b/>
                <w:sz w:val="11"/>
              </w:rPr>
            </w:pPr>
            <w:r>
              <w:rPr>
                <w:b/>
                <w:sz w:val="11"/>
              </w:rPr>
              <w:t>(A)</w:t>
            </w:r>
          </w:p>
        </w:tc>
        <w:tc>
          <w:tcPr>
            <w:tcW w:w="1050" w:type="dxa"/>
          </w:tcPr>
          <w:p>
            <w:pPr>
              <w:pStyle w:val="TableParagraph"/>
              <w:spacing w:line="112" w:lineRule="exact" w:before="2"/>
              <w:ind w:left="208"/>
              <w:rPr>
                <w:b/>
                <w:sz w:val="11"/>
              </w:rPr>
            </w:pPr>
            <w:r>
              <w:rPr>
                <w:b/>
                <w:sz w:val="11"/>
              </w:rPr>
              <w:t>(B)</w:t>
            </w:r>
          </w:p>
        </w:tc>
        <w:tc>
          <w:tcPr>
            <w:tcW w:w="899" w:type="dxa"/>
          </w:tcPr>
          <w:p>
            <w:pPr>
              <w:pStyle w:val="TableParagraph"/>
              <w:spacing w:line="112" w:lineRule="exact" w:before="2"/>
              <w:ind w:left="267"/>
              <w:rPr>
                <w:b/>
                <w:sz w:val="11"/>
              </w:rPr>
            </w:pPr>
            <w:r>
              <w:rPr>
                <w:b/>
                <w:sz w:val="11"/>
              </w:rPr>
              <w:t>(C)</w:t>
            </w:r>
          </w:p>
        </w:tc>
        <w:tc>
          <w:tcPr>
            <w:tcW w:w="1109" w:type="dxa"/>
          </w:tcPr>
          <w:p>
            <w:pPr>
              <w:pStyle w:val="TableParagraph"/>
              <w:spacing w:line="112" w:lineRule="exact" w:before="2"/>
              <w:ind w:left="460" w:right="456"/>
              <w:jc w:val="center"/>
              <w:rPr>
                <w:b/>
                <w:sz w:val="11"/>
              </w:rPr>
            </w:pPr>
            <w:r>
              <w:rPr>
                <w:b/>
                <w:sz w:val="11"/>
              </w:rPr>
              <w:t>(D)</w:t>
            </w:r>
          </w:p>
        </w:tc>
        <w:tc>
          <w:tcPr>
            <w:tcW w:w="1213" w:type="dxa"/>
          </w:tcPr>
          <w:p>
            <w:pPr>
              <w:pStyle w:val="TableParagraph"/>
              <w:spacing w:line="112" w:lineRule="exact" w:before="2"/>
              <w:ind w:left="127" w:right="228"/>
              <w:jc w:val="center"/>
              <w:rPr>
                <w:b/>
                <w:sz w:val="11"/>
              </w:rPr>
            </w:pPr>
            <w:r>
              <w:rPr>
                <w:b/>
                <w:sz w:val="11"/>
              </w:rPr>
              <w:t>(E)</w:t>
            </w:r>
          </w:p>
        </w:tc>
        <w:tc>
          <w:tcPr>
            <w:tcW w:w="1004" w:type="dxa"/>
          </w:tcPr>
          <w:p>
            <w:pPr>
              <w:pStyle w:val="TableParagraph"/>
              <w:spacing w:line="112" w:lineRule="exact" w:before="2"/>
              <w:ind w:left="361" w:right="461"/>
              <w:jc w:val="center"/>
              <w:rPr>
                <w:b/>
                <w:sz w:val="11"/>
              </w:rPr>
            </w:pPr>
            <w:r>
              <w:rPr>
                <w:b/>
                <w:sz w:val="11"/>
              </w:rPr>
              <w:t>(F)</w:t>
            </w:r>
          </w:p>
        </w:tc>
        <w:tc>
          <w:tcPr>
            <w:tcW w:w="615" w:type="dxa"/>
          </w:tcPr>
          <w:p>
            <w:pPr>
              <w:pStyle w:val="TableParagraph"/>
              <w:spacing w:line="112" w:lineRule="exact" w:before="2"/>
              <w:ind w:left="156"/>
              <w:rPr>
                <w:b/>
                <w:sz w:val="11"/>
              </w:rPr>
            </w:pPr>
            <w:r>
              <w:rPr>
                <w:b/>
                <w:sz w:val="11"/>
              </w:rPr>
              <w:t>C &amp; F</w:t>
            </w:r>
          </w:p>
        </w:tc>
      </w:tr>
      <w:tr>
        <w:trPr>
          <w:trHeight w:val="278" w:hRule="atLeast"/>
        </w:trPr>
        <w:tc>
          <w:tcPr>
            <w:tcW w:w="2596" w:type="dxa"/>
          </w:tcPr>
          <w:p>
            <w:pPr>
              <w:pStyle w:val="TableParagraph"/>
              <w:spacing w:before="101"/>
              <w:ind w:left="90"/>
              <w:rPr>
                <w:sz w:val="11"/>
              </w:rPr>
            </w:pPr>
            <w:r>
              <w:rPr>
                <w:sz w:val="11"/>
              </w:rPr>
              <w:t>Title III, Part A, English Learner</w:t>
            </w:r>
          </w:p>
        </w:tc>
        <w:tc>
          <w:tcPr>
            <w:tcW w:w="1098" w:type="dxa"/>
          </w:tcPr>
          <w:p>
            <w:pPr>
              <w:pStyle w:val="TableParagraph"/>
              <w:rPr>
                <w:rFonts w:ascii="Times New Roman"/>
                <w:sz w:val="10"/>
              </w:rPr>
            </w:pPr>
          </w:p>
        </w:tc>
        <w:tc>
          <w:tcPr>
            <w:tcW w:w="680" w:type="dxa"/>
          </w:tcPr>
          <w:p>
            <w:pPr>
              <w:pStyle w:val="TableParagraph"/>
              <w:rPr>
                <w:rFonts w:ascii="Times New Roman"/>
                <w:sz w:val="10"/>
              </w:rPr>
            </w:pPr>
          </w:p>
        </w:tc>
        <w:tc>
          <w:tcPr>
            <w:tcW w:w="1378" w:type="dxa"/>
            <w:shd w:val="clear" w:color="auto" w:fill="DFDFDF"/>
          </w:tcPr>
          <w:p>
            <w:pPr>
              <w:pStyle w:val="TableParagraph"/>
              <w:rPr>
                <w:rFonts w:ascii="Times New Roman"/>
                <w:sz w:val="10"/>
              </w:rPr>
            </w:pPr>
          </w:p>
        </w:tc>
        <w:tc>
          <w:tcPr>
            <w:tcW w:w="1050" w:type="dxa"/>
          </w:tcPr>
          <w:p>
            <w:pPr>
              <w:pStyle w:val="TableParagraph"/>
              <w:rPr>
                <w:rFonts w:ascii="Times New Roman"/>
                <w:sz w:val="10"/>
              </w:rPr>
            </w:pPr>
          </w:p>
        </w:tc>
        <w:tc>
          <w:tcPr>
            <w:tcW w:w="899" w:type="dxa"/>
          </w:tcPr>
          <w:p>
            <w:pPr>
              <w:pStyle w:val="TableParagraph"/>
              <w:rPr>
                <w:rFonts w:ascii="Times New Roman"/>
                <w:sz w:val="10"/>
              </w:rPr>
            </w:pPr>
          </w:p>
        </w:tc>
        <w:tc>
          <w:tcPr>
            <w:tcW w:w="1109" w:type="dxa"/>
            <w:shd w:val="clear" w:color="auto" w:fill="DFDFDF"/>
          </w:tcPr>
          <w:p>
            <w:pPr>
              <w:pStyle w:val="TableParagraph"/>
              <w:rPr>
                <w:rFonts w:ascii="Times New Roman"/>
                <w:sz w:val="10"/>
              </w:rPr>
            </w:pPr>
          </w:p>
        </w:tc>
        <w:tc>
          <w:tcPr>
            <w:tcW w:w="1213" w:type="dxa"/>
          </w:tcPr>
          <w:p>
            <w:pPr>
              <w:pStyle w:val="TableParagraph"/>
              <w:rPr>
                <w:rFonts w:ascii="Times New Roman"/>
                <w:sz w:val="10"/>
              </w:rPr>
            </w:pPr>
          </w:p>
        </w:tc>
        <w:tc>
          <w:tcPr>
            <w:tcW w:w="1004" w:type="dxa"/>
          </w:tcPr>
          <w:p>
            <w:pPr>
              <w:pStyle w:val="TableParagraph"/>
              <w:rPr>
                <w:rFonts w:ascii="Times New Roman"/>
                <w:sz w:val="10"/>
              </w:rPr>
            </w:pPr>
          </w:p>
        </w:tc>
        <w:tc>
          <w:tcPr>
            <w:tcW w:w="615" w:type="dxa"/>
          </w:tcPr>
          <w:p>
            <w:pPr>
              <w:pStyle w:val="TableParagraph"/>
              <w:rPr>
                <w:rFonts w:ascii="Times New Roman"/>
                <w:sz w:val="10"/>
              </w:rPr>
            </w:pPr>
          </w:p>
        </w:tc>
      </w:tr>
      <w:tr>
        <w:trPr>
          <w:trHeight w:val="223" w:hRule="atLeast"/>
        </w:trPr>
        <w:tc>
          <w:tcPr>
            <w:tcW w:w="2596" w:type="dxa"/>
          </w:tcPr>
          <w:p>
            <w:pPr>
              <w:pStyle w:val="TableParagraph"/>
              <w:spacing w:before="50"/>
              <w:ind w:left="121"/>
              <w:rPr>
                <w:sz w:val="11"/>
              </w:rPr>
            </w:pPr>
            <w:r>
              <w:rPr>
                <w:sz w:val="11"/>
              </w:rPr>
              <w:t>Program</w:t>
            </w:r>
          </w:p>
        </w:tc>
        <w:tc>
          <w:tcPr>
            <w:tcW w:w="1098" w:type="dxa"/>
          </w:tcPr>
          <w:p>
            <w:pPr>
              <w:pStyle w:val="TableParagraph"/>
              <w:spacing w:before="50"/>
              <w:ind w:left="41" w:right="128"/>
              <w:jc w:val="center"/>
              <w:rPr>
                <w:sz w:val="11"/>
              </w:rPr>
            </w:pPr>
            <w:r>
              <w:rPr>
                <w:sz w:val="11"/>
              </w:rPr>
              <w:t>4203</w:t>
            </w:r>
          </w:p>
        </w:tc>
        <w:tc>
          <w:tcPr>
            <w:tcW w:w="680" w:type="dxa"/>
          </w:tcPr>
          <w:p>
            <w:pPr>
              <w:pStyle w:val="TableParagraph"/>
              <w:spacing w:before="50"/>
              <w:ind w:right="234"/>
              <w:jc w:val="right"/>
              <w:rPr>
                <w:sz w:val="11"/>
              </w:rPr>
            </w:pPr>
            <w:r>
              <w:rPr>
                <w:sz w:val="11"/>
              </w:rPr>
              <w:t>8290</w:t>
            </w:r>
          </w:p>
        </w:tc>
        <w:tc>
          <w:tcPr>
            <w:tcW w:w="1378" w:type="dxa"/>
          </w:tcPr>
          <w:p>
            <w:pPr>
              <w:pStyle w:val="TableParagraph"/>
              <w:rPr>
                <w:rFonts w:ascii="Times New Roman"/>
                <w:sz w:val="10"/>
              </w:rPr>
            </w:pPr>
          </w:p>
        </w:tc>
        <w:tc>
          <w:tcPr>
            <w:tcW w:w="1050" w:type="dxa"/>
          </w:tcPr>
          <w:p>
            <w:pPr>
              <w:pStyle w:val="TableParagraph"/>
              <w:spacing w:before="50"/>
              <w:ind w:right="263"/>
              <w:jc w:val="right"/>
              <w:rPr>
                <w:sz w:val="11"/>
              </w:rPr>
            </w:pPr>
            <w:r>
              <w:rPr>
                <w:sz w:val="11"/>
              </w:rPr>
              <w:t>0.00</w:t>
            </w:r>
          </w:p>
        </w:tc>
        <w:tc>
          <w:tcPr>
            <w:tcW w:w="899" w:type="dxa"/>
          </w:tcPr>
          <w:p>
            <w:pPr>
              <w:pStyle w:val="TableParagraph"/>
              <w:spacing w:before="50"/>
              <w:ind w:right="53"/>
              <w:jc w:val="right"/>
              <w:rPr>
                <w:sz w:val="11"/>
              </w:rPr>
            </w:pPr>
            <w:r>
              <w:rPr>
                <w:sz w:val="11"/>
              </w:rPr>
              <w:t>0.00</w:t>
            </w:r>
          </w:p>
        </w:tc>
        <w:tc>
          <w:tcPr>
            <w:tcW w:w="1109" w:type="dxa"/>
            <w:shd w:val="clear" w:color="auto" w:fill="DFDFDF"/>
          </w:tcPr>
          <w:p>
            <w:pPr>
              <w:pStyle w:val="TableParagraph"/>
              <w:rPr>
                <w:rFonts w:ascii="Times New Roman"/>
                <w:sz w:val="10"/>
              </w:rPr>
            </w:pPr>
          </w:p>
        </w:tc>
        <w:tc>
          <w:tcPr>
            <w:tcW w:w="1213" w:type="dxa"/>
          </w:tcPr>
          <w:p>
            <w:pPr>
              <w:pStyle w:val="TableParagraph"/>
              <w:spacing w:before="50"/>
              <w:ind w:right="157"/>
              <w:jc w:val="right"/>
              <w:rPr>
                <w:sz w:val="11"/>
              </w:rPr>
            </w:pPr>
            <w:r>
              <w:rPr>
                <w:sz w:val="11"/>
              </w:rPr>
              <w:t>0.00</w:t>
            </w:r>
          </w:p>
        </w:tc>
        <w:tc>
          <w:tcPr>
            <w:tcW w:w="1004" w:type="dxa"/>
          </w:tcPr>
          <w:p>
            <w:pPr>
              <w:pStyle w:val="TableParagraph"/>
              <w:spacing w:before="50"/>
              <w:ind w:right="52"/>
              <w:jc w:val="right"/>
              <w:rPr>
                <w:sz w:val="11"/>
              </w:rPr>
            </w:pPr>
            <w:r>
              <w:rPr>
                <w:sz w:val="11"/>
              </w:rPr>
              <w:t>0.00</w:t>
            </w:r>
          </w:p>
        </w:tc>
        <w:tc>
          <w:tcPr>
            <w:tcW w:w="615" w:type="dxa"/>
          </w:tcPr>
          <w:p>
            <w:pPr>
              <w:pStyle w:val="TableParagraph"/>
              <w:spacing w:before="50"/>
              <w:ind w:right="25"/>
              <w:jc w:val="right"/>
              <w:rPr>
                <w:sz w:val="11"/>
              </w:rPr>
            </w:pPr>
            <w:r>
              <w:rPr>
                <w:sz w:val="11"/>
              </w:rPr>
              <w:t>0.0%</w:t>
            </w:r>
          </w:p>
        </w:tc>
      </w:tr>
      <w:tr>
        <w:trPr>
          <w:trHeight w:val="184" w:hRule="atLeast"/>
        </w:trPr>
        <w:tc>
          <w:tcPr>
            <w:tcW w:w="2596" w:type="dxa"/>
          </w:tcPr>
          <w:p>
            <w:pPr>
              <w:pStyle w:val="TableParagraph"/>
              <w:spacing w:line="120" w:lineRule="exact" w:before="45"/>
              <w:ind w:left="90"/>
              <w:rPr>
                <w:sz w:val="11"/>
              </w:rPr>
            </w:pPr>
            <w:r>
              <w:rPr>
                <w:sz w:val="11"/>
              </w:rPr>
              <w:t>Public Charter Schools Grant</w:t>
            </w:r>
          </w:p>
        </w:tc>
        <w:tc>
          <w:tcPr>
            <w:tcW w:w="1098" w:type="dxa"/>
          </w:tcPr>
          <w:p>
            <w:pPr>
              <w:pStyle w:val="TableParagraph"/>
              <w:rPr>
                <w:rFonts w:ascii="Times New Roman"/>
                <w:sz w:val="10"/>
              </w:rPr>
            </w:pPr>
          </w:p>
        </w:tc>
        <w:tc>
          <w:tcPr>
            <w:tcW w:w="680" w:type="dxa"/>
          </w:tcPr>
          <w:p>
            <w:pPr>
              <w:pStyle w:val="TableParagraph"/>
              <w:rPr>
                <w:rFonts w:ascii="Times New Roman"/>
                <w:sz w:val="10"/>
              </w:rPr>
            </w:pPr>
          </w:p>
        </w:tc>
        <w:tc>
          <w:tcPr>
            <w:tcW w:w="1378" w:type="dxa"/>
            <w:shd w:val="clear" w:color="auto" w:fill="DFDFDF"/>
          </w:tcPr>
          <w:p>
            <w:pPr>
              <w:pStyle w:val="TableParagraph"/>
              <w:rPr>
                <w:rFonts w:ascii="Times New Roman"/>
                <w:sz w:val="10"/>
              </w:rPr>
            </w:pPr>
          </w:p>
        </w:tc>
        <w:tc>
          <w:tcPr>
            <w:tcW w:w="1050" w:type="dxa"/>
          </w:tcPr>
          <w:p>
            <w:pPr>
              <w:pStyle w:val="TableParagraph"/>
              <w:rPr>
                <w:rFonts w:ascii="Times New Roman"/>
                <w:sz w:val="10"/>
              </w:rPr>
            </w:pPr>
          </w:p>
        </w:tc>
        <w:tc>
          <w:tcPr>
            <w:tcW w:w="899" w:type="dxa"/>
          </w:tcPr>
          <w:p>
            <w:pPr>
              <w:pStyle w:val="TableParagraph"/>
              <w:rPr>
                <w:rFonts w:ascii="Times New Roman"/>
                <w:sz w:val="10"/>
              </w:rPr>
            </w:pPr>
          </w:p>
        </w:tc>
        <w:tc>
          <w:tcPr>
            <w:tcW w:w="1109" w:type="dxa"/>
            <w:shd w:val="clear" w:color="auto" w:fill="DFDFDF"/>
          </w:tcPr>
          <w:p>
            <w:pPr>
              <w:pStyle w:val="TableParagraph"/>
              <w:rPr>
                <w:rFonts w:ascii="Times New Roman"/>
                <w:sz w:val="10"/>
              </w:rPr>
            </w:pPr>
          </w:p>
        </w:tc>
        <w:tc>
          <w:tcPr>
            <w:tcW w:w="1213" w:type="dxa"/>
          </w:tcPr>
          <w:p>
            <w:pPr>
              <w:pStyle w:val="TableParagraph"/>
              <w:rPr>
                <w:rFonts w:ascii="Times New Roman"/>
                <w:sz w:val="10"/>
              </w:rPr>
            </w:pPr>
          </w:p>
        </w:tc>
        <w:tc>
          <w:tcPr>
            <w:tcW w:w="1004" w:type="dxa"/>
          </w:tcPr>
          <w:p>
            <w:pPr>
              <w:pStyle w:val="TableParagraph"/>
              <w:rPr>
                <w:rFonts w:ascii="Times New Roman"/>
                <w:sz w:val="10"/>
              </w:rPr>
            </w:pPr>
          </w:p>
        </w:tc>
        <w:tc>
          <w:tcPr>
            <w:tcW w:w="615" w:type="dxa"/>
          </w:tcPr>
          <w:p>
            <w:pPr>
              <w:pStyle w:val="TableParagraph"/>
              <w:rPr>
                <w:rFonts w:ascii="Times New Roman"/>
                <w:sz w:val="10"/>
              </w:rPr>
            </w:pPr>
          </w:p>
        </w:tc>
      </w:tr>
      <w:tr>
        <w:trPr>
          <w:trHeight w:val="230" w:hRule="atLeast"/>
        </w:trPr>
        <w:tc>
          <w:tcPr>
            <w:tcW w:w="2596" w:type="dxa"/>
          </w:tcPr>
          <w:p>
            <w:pPr>
              <w:pStyle w:val="TableParagraph"/>
              <w:spacing w:before="11"/>
              <w:ind w:left="121"/>
              <w:rPr>
                <w:sz w:val="11"/>
              </w:rPr>
            </w:pPr>
            <w:r>
              <w:rPr>
                <w:sz w:val="11"/>
              </w:rPr>
              <w:t>Program (PCSGP)</w:t>
            </w:r>
          </w:p>
        </w:tc>
        <w:tc>
          <w:tcPr>
            <w:tcW w:w="1098" w:type="dxa"/>
          </w:tcPr>
          <w:p>
            <w:pPr>
              <w:pStyle w:val="TableParagraph"/>
              <w:spacing w:before="11"/>
              <w:ind w:left="41" w:right="128"/>
              <w:jc w:val="center"/>
              <w:rPr>
                <w:sz w:val="11"/>
              </w:rPr>
            </w:pPr>
            <w:r>
              <w:rPr>
                <w:sz w:val="11"/>
              </w:rPr>
              <w:t>4610</w:t>
            </w:r>
          </w:p>
        </w:tc>
        <w:tc>
          <w:tcPr>
            <w:tcW w:w="680" w:type="dxa"/>
          </w:tcPr>
          <w:p>
            <w:pPr>
              <w:pStyle w:val="TableParagraph"/>
              <w:spacing w:before="11"/>
              <w:ind w:right="234"/>
              <w:jc w:val="right"/>
              <w:rPr>
                <w:sz w:val="11"/>
              </w:rPr>
            </w:pPr>
            <w:r>
              <w:rPr>
                <w:sz w:val="11"/>
              </w:rPr>
              <w:t>8290</w:t>
            </w:r>
          </w:p>
        </w:tc>
        <w:tc>
          <w:tcPr>
            <w:tcW w:w="1378" w:type="dxa"/>
            <w:shd w:val="clear" w:color="auto" w:fill="DFDFDF"/>
          </w:tcPr>
          <w:p>
            <w:pPr>
              <w:pStyle w:val="TableParagraph"/>
              <w:rPr>
                <w:rFonts w:ascii="Times New Roman"/>
                <w:sz w:val="10"/>
              </w:rPr>
            </w:pPr>
          </w:p>
        </w:tc>
        <w:tc>
          <w:tcPr>
            <w:tcW w:w="1050" w:type="dxa"/>
          </w:tcPr>
          <w:p>
            <w:pPr>
              <w:pStyle w:val="TableParagraph"/>
              <w:spacing w:before="11"/>
              <w:ind w:right="263"/>
              <w:jc w:val="right"/>
              <w:rPr>
                <w:sz w:val="11"/>
              </w:rPr>
            </w:pPr>
            <w:r>
              <w:rPr>
                <w:sz w:val="11"/>
              </w:rPr>
              <w:t>0.00</w:t>
            </w:r>
          </w:p>
        </w:tc>
        <w:tc>
          <w:tcPr>
            <w:tcW w:w="899" w:type="dxa"/>
          </w:tcPr>
          <w:p>
            <w:pPr>
              <w:pStyle w:val="TableParagraph"/>
              <w:spacing w:before="11"/>
              <w:ind w:right="53"/>
              <w:jc w:val="right"/>
              <w:rPr>
                <w:sz w:val="11"/>
              </w:rPr>
            </w:pPr>
            <w:r>
              <w:rPr>
                <w:sz w:val="11"/>
              </w:rPr>
              <w:t>0.00</w:t>
            </w:r>
          </w:p>
        </w:tc>
        <w:tc>
          <w:tcPr>
            <w:tcW w:w="1109" w:type="dxa"/>
            <w:shd w:val="clear" w:color="auto" w:fill="DFDFDF"/>
          </w:tcPr>
          <w:p>
            <w:pPr>
              <w:pStyle w:val="TableParagraph"/>
              <w:rPr>
                <w:rFonts w:ascii="Times New Roman"/>
                <w:sz w:val="10"/>
              </w:rPr>
            </w:pPr>
          </w:p>
        </w:tc>
        <w:tc>
          <w:tcPr>
            <w:tcW w:w="1213" w:type="dxa"/>
          </w:tcPr>
          <w:p>
            <w:pPr>
              <w:pStyle w:val="TableParagraph"/>
              <w:spacing w:before="11"/>
              <w:ind w:right="157"/>
              <w:jc w:val="right"/>
              <w:rPr>
                <w:sz w:val="11"/>
              </w:rPr>
            </w:pPr>
            <w:r>
              <w:rPr>
                <w:sz w:val="11"/>
              </w:rPr>
              <w:t>0.00</w:t>
            </w:r>
          </w:p>
        </w:tc>
        <w:tc>
          <w:tcPr>
            <w:tcW w:w="1004" w:type="dxa"/>
          </w:tcPr>
          <w:p>
            <w:pPr>
              <w:pStyle w:val="TableParagraph"/>
              <w:spacing w:before="11"/>
              <w:ind w:right="52"/>
              <w:jc w:val="right"/>
              <w:rPr>
                <w:sz w:val="11"/>
              </w:rPr>
            </w:pPr>
            <w:r>
              <w:rPr>
                <w:sz w:val="11"/>
              </w:rPr>
              <w:t>0.00</w:t>
            </w:r>
          </w:p>
        </w:tc>
        <w:tc>
          <w:tcPr>
            <w:tcW w:w="615" w:type="dxa"/>
          </w:tcPr>
          <w:p>
            <w:pPr>
              <w:pStyle w:val="TableParagraph"/>
              <w:spacing w:before="11"/>
              <w:ind w:right="25"/>
              <w:jc w:val="right"/>
              <w:rPr>
                <w:sz w:val="11"/>
              </w:rPr>
            </w:pPr>
            <w:r>
              <w:rPr>
                <w:sz w:val="11"/>
              </w:rPr>
              <w:t>0.0%</w:t>
            </w:r>
          </w:p>
        </w:tc>
      </w:tr>
      <w:tr>
        <w:trPr>
          <w:trHeight w:val="218" w:hRule="atLeast"/>
        </w:trPr>
        <w:tc>
          <w:tcPr>
            <w:tcW w:w="2596" w:type="dxa"/>
          </w:tcPr>
          <w:p>
            <w:pPr>
              <w:pStyle w:val="TableParagraph"/>
              <w:rPr>
                <w:rFonts w:ascii="Times New Roman"/>
                <w:sz w:val="10"/>
              </w:rPr>
            </w:pPr>
          </w:p>
        </w:tc>
        <w:tc>
          <w:tcPr>
            <w:tcW w:w="1098" w:type="dxa"/>
          </w:tcPr>
          <w:p>
            <w:pPr>
              <w:pStyle w:val="TableParagraph"/>
              <w:spacing w:line="108" w:lineRule="exact" w:before="90"/>
              <w:ind w:left="42" w:right="128"/>
              <w:jc w:val="center"/>
              <w:rPr>
                <w:sz w:val="11"/>
              </w:rPr>
            </w:pPr>
            <w:r>
              <w:rPr>
                <w:sz w:val="11"/>
              </w:rPr>
              <w:t>3020, 3040, 3041,</w:t>
            </w:r>
          </w:p>
        </w:tc>
        <w:tc>
          <w:tcPr>
            <w:tcW w:w="680" w:type="dxa"/>
          </w:tcPr>
          <w:p>
            <w:pPr>
              <w:pStyle w:val="TableParagraph"/>
              <w:rPr>
                <w:rFonts w:ascii="Times New Roman"/>
                <w:sz w:val="10"/>
              </w:rPr>
            </w:pPr>
          </w:p>
        </w:tc>
        <w:tc>
          <w:tcPr>
            <w:tcW w:w="1378" w:type="dxa"/>
            <w:shd w:val="clear" w:color="auto" w:fill="DFDFDF"/>
          </w:tcPr>
          <w:p>
            <w:pPr>
              <w:pStyle w:val="TableParagraph"/>
              <w:rPr>
                <w:rFonts w:ascii="Times New Roman"/>
                <w:sz w:val="10"/>
              </w:rPr>
            </w:pPr>
          </w:p>
        </w:tc>
        <w:tc>
          <w:tcPr>
            <w:tcW w:w="1050" w:type="dxa"/>
          </w:tcPr>
          <w:p>
            <w:pPr>
              <w:pStyle w:val="TableParagraph"/>
              <w:rPr>
                <w:rFonts w:ascii="Times New Roman"/>
                <w:sz w:val="10"/>
              </w:rPr>
            </w:pPr>
          </w:p>
        </w:tc>
        <w:tc>
          <w:tcPr>
            <w:tcW w:w="899" w:type="dxa"/>
          </w:tcPr>
          <w:p>
            <w:pPr>
              <w:pStyle w:val="TableParagraph"/>
              <w:rPr>
                <w:rFonts w:ascii="Times New Roman"/>
                <w:sz w:val="10"/>
              </w:rPr>
            </w:pPr>
          </w:p>
        </w:tc>
        <w:tc>
          <w:tcPr>
            <w:tcW w:w="1109" w:type="dxa"/>
            <w:shd w:val="clear" w:color="auto" w:fill="DFDFDF"/>
          </w:tcPr>
          <w:p>
            <w:pPr>
              <w:pStyle w:val="TableParagraph"/>
              <w:rPr>
                <w:rFonts w:ascii="Times New Roman"/>
                <w:sz w:val="10"/>
              </w:rPr>
            </w:pPr>
          </w:p>
        </w:tc>
        <w:tc>
          <w:tcPr>
            <w:tcW w:w="1213" w:type="dxa"/>
          </w:tcPr>
          <w:p>
            <w:pPr>
              <w:pStyle w:val="TableParagraph"/>
              <w:rPr>
                <w:rFonts w:ascii="Times New Roman"/>
                <w:sz w:val="10"/>
              </w:rPr>
            </w:pPr>
          </w:p>
        </w:tc>
        <w:tc>
          <w:tcPr>
            <w:tcW w:w="1004" w:type="dxa"/>
          </w:tcPr>
          <w:p>
            <w:pPr>
              <w:pStyle w:val="TableParagraph"/>
              <w:rPr>
                <w:rFonts w:ascii="Times New Roman"/>
                <w:sz w:val="10"/>
              </w:rPr>
            </w:pPr>
          </w:p>
        </w:tc>
        <w:tc>
          <w:tcPr>
            <w:tcW w:w="615" w:type="dxa"/>
          </w:tcPr>
          <w:p>
            <w:pPr>
              <w:pStyle w:val="TableParagraph"/>
              <w:rPr>
                <w:rFonts w:ascii="Times New Roman"/>
                <w:sz w:val="10"/>
              </w:rPr>
            </w:pPr>
          </w:p>
        </w:tc>
      </w:tr>
      <w:tr>
        <w:trPr>
          <w:trHeight w:val="127" w:hRule="atLeast"/>
        </w:trPr>
        <w:tc>
          <w:tcPr>
            <w:tcW w:w="2596" w:type="dxa"/>
          </w:tcPr>
          <w:p>
            <w:pPr>
              <w:pStyle w:val="TableParagraph"/>
              <w:rPr>
                <w:rFonts w:ascii="Times New Roman"/>
                <w:sz w:val="6"/>
              </w:rPr>
            </w:pPr>
          </w:p>
        </w:tc>
        <w:tc>
          <w:tcPr>
            <w:tcW w:w="1098" w:type="dxa"/>
          </w:tcPr>
          <w:p>
            <w:pPr>
              <w:pStyle w:val="TableParagraph"/>
              <w:spacing w:line="107" w:lineRule="exact"/>
              <w:ind w:left="42" w:right="128"/>
              <w:jc w:val="center"/>
              <w:rPr>
                <w:sz w:val="11"/>
              </w:rPr>
            </w:pPr>
            <w:r>
              <w:rPr>
                <w:sz w:val="11"/>
              </w:rPr>
              <w:t>3045, 3060, 3061,</w:t>
            </w:r>
          </w:p>
        </w:tc>
        <w:tc>
          <w:tcPr>
            <w:tcW w:w="680" w:type="dxa"/>
          </w:tcPr>
          <w:p>
            <w:pPr>
              <w:pStyle w:val="TableParagraph"/>
              <w:rPr>
                <w:rFonts w:ascii="Times New Roman"/>
                <w:sz w:val="6"/>
              </w:rPr>
            </w:pPr>
          </w:p>
        </w:tc>
        <w:tc>
          <w:tcPr>
            <w:tcW w:w="1378" w:type="dxa"/>
            <w:shd w:val="clear" w:color="auto" w:fill="DFDFDF"/>
          </w:tcPr>
          <w:p>
            <w:pPr>
              <w:pStyle w:val="TableParagraph"/>
              <w:rPr>
                <w:rFonts w:ascii="Times New Roman"/>
                <w:sz w:val="6"/>
              </w:rPr>
            </w:pPr>
          </w:p>
        </w:tc>
        <w:tc>
          <w:tcPr>
            <w:tcW w:w="1050" w:type="dxa"/>
          </w:tcPr>
          <w:p>
            <w:pPr>
              <w:pStyle w:val="TableParagraph"/>
              <w:rPr>
                <w:rFonts w:ascii="Times New Roman"/>
                <w:sz w:val="6"/>
              </w:rPr>
            </w:pPr>
          </w:p>
        </w:tc>
        <w:tc>
          <w:tcPr>
            <w:tcW w:w="899" w:type="dxa"/>
          </w:tcPr>
          <w:p>
            <w:pPr>
              <w:pStyle w:val="TableParagraph"/>
              <w:rPr>
                <w:rFonts w:ascii="Times New Roman"/>
                <w:sz w:val="6"/>
              </w:rPr>
            </w:pPr>
          </w:p>
        </w:tc>
        <w:tc>
          <w:tcPr>
            <w:tcW w:w="1109" w:type="dxa"/>
            <w:shd w:val="clear" w:color="auto" w:fill="DFDFDF"/>
          </w:tcPr>
          <w:p>
            <w:pPr>
              <w:pStyle w:val="TableParagraph"/>
              <w:rPr>
                <w:rFonts w:ascii="Times New Roman"/>
                <w:sz w:val="6"/>
              </w:rPr>
            </w:pPr>
          </w:p>
        </w:tc>
        <w:tc>
          <w:tcPr>
            <w:tcW w:w="1213" w:type="dxa"/>
          </w:tcPr>
          <w:p>
            <w:pPr>
              <w:pStyle w:val="TableParagraph"/>
              <w:rPr>
                <w:rFonts w:ascii="Times New Roman"/>
                <w:sz w:val="6"/>
              </w:rPr>
            </w:pPr>
          </w:p>
        </w:tc>
        <w:tc>
          <w:tcPr>
            <w:tcW w:w="1004" w:type="dxa"/>
          </w:tcPr>
          <w:p>
            <w:pPr>
              <w:pStyle w:val="TableParagraph"/>
              <w:rPr>
                <w:rFonts w:ascii="Times New Roman"/>
                <w:sz w:val="6"/>
              </w:rPr>
            </w:pPr>
          </w:p>
        </w:tc>
        <w:tc>
          <w:tcPr>
            <w:tcW w:w="615" w:type="dxa"/>
          </w:tcPr>
          <w:p>
            <w:pPr>
              <w:pStyle w:val="TableParagraph"/>
              <w:rPr>
                <w:rFonts w:ascii="Times New Roman"/>
                <w:sz w:val="6"/>
              </w:rPr>
            </w:pPr>
          </w:p>
        </w:tc>
      </w:tr>
      <w:tr>
        <w:trPr>
          <w:trHeight w:val="127" w:hRule="atLeast"/>
        </w:trPr>
        <w:tc>
          <w:tcPr>
            <w:tcW w:w="2596" w:type="dxa"/>
          </w:tcPr>
          <w:p>
            <w:pPr>
              <w:pStyle w:val="TableParagraph"/>
              <w:rPr>
                <w:rFonts w:ascii="Times New Roman"/>
                <w:sz w:val="6"/>
              </w:rPr>
            </w:pPr>
          </w:p>
        </w:tc>
        <w:tc>
          <w:tcPr>
            <w:tcW w:w="1098" w:type="dxa"/>
          </w:tcPr>
          <w:p>
            <w:pPr>
              <w:pStyle w:val="TableParagraph"/>
              <w:spacing w:line="107" w:lineRule="exact"/>
              <w:ind w:left="42" w:right="128"/>
              <w:jc w:val="center"/>
              <w:rPr>
                <w:sz w:val="11"/>
              </w:rPr>
            </w:pPr>
            <w:r>
              <w:rPr>
                <w:sz w:val="11"/>
              </w:rPr>
              <w:t>3110, 3150, 3155,</w:t>
            </w:r>
          </w:p>
        </w:tc>
        <w:tc>
          <w:tcPr>
            <w:tcW w:w="680" w:type="dxa"/>
          </w:tcPr>
          <w:p>
            <w:pPr>
              <w:pStyle w:val="TableParagraph"/>
              <w:rPr>
                <w:rFonts w:ascii="Times New Roman"/>
                <w:sz w:val="6"/>
              </w:rPr>
            </w:pPr>
          </w:p>
        </w:tc>
        <w:tc>
          <w:tcPr>
            <w:tcW w:w="1378" w:type="dxa"/>
            <w:shd w:val="clear" w:color="auto" w:fill="DFDFDF"/>
          </w:tcPr>
          <w:p>
            <w:pPr>
              <w:pStyle w:val="TableParagraph"/>
              <w:rPr>
                <w:rFonts w:ascii="Times New Roman"/>
                <w:sz w:val="6"/>
              </w:rPr>
            </w:pPr>
          </w:p>
        </w:tc>
        <w:tc>
          <w:tcPr>
            <w:tcW w:w="1050" w:type="dxa"/>
          </w:tcPr>
          <w:p>
            <w:pPr>
              <w:pStyle w:val="TableParagraph"/>
              <w:rPr>
                <w:rFonts w:ascii="Times New Roman"/>
                <w:sz w:val="6"/>
              </w:rPr>
            </w:pPr>
          </w:p>
        </w:tc>
        <w:tc>
          <w:tcPr>
            <w:tcW w:w="899" w:type="dxa"/>
          </w:tcPr>
          <w:p>
            <w:pPr>
              <w:pStyle w:val="TableParagraph"/>
              <w:rPr>
                <w:rFonts w:ascii="Times New Roman"/>
                <w:sz w:val="6"/>
              </w:rPr>
            </w:pPr>
          </w:p>
        </w:tc>
        <w:tc>
          <w:tcPr>
            <w:tcW w:w="1109" w:type="dxa"/>
            <w:shd w:val="clear" w:color="auto" w:fill="DFDFDF"/>
          </w:tcPr>
          <w:p>
            <w:pPr>
              <w:pStyle w:val="TableParagraph"/>
              <w:rPr>
                <w:rFonts w:ascii="Times New Roman"/>
                <w:sz w:val="6"/>
              </w:rPr>
            </w:pPr>
          </w:p>
        </w:tc>
        <w:tc>
          <w:tcPr>
            <w:tcW w:w="1213" w:type="dxa"/>
          </w:tcPr>
          <w:p>
            <w:pPr>
              <w:pStyle w:val="TableParagraph"/>
              <w:rPr>
                <w:rFonts w:ascii="Times New Roman"/>
                <w:sz w:val="6"/>
              </w:rPr>
            </w:pPr>
          </w:p>
        </w:tc>
        <w:tc>
          <w:tcPr>
            <w:tcW w:w="1004" w:type="dxa"/>
          </w:tcPr>
          <w:p>
            <w:pPr>
              <w:pStyle w:val="TableParagraph"/>
              <w:rPr>
                <w:rFonts w:ascii="Times New Roman"/>
                <w:sz w:val="6"/>
              </w:rPr>
            </w:pPr>
          </w:p>
        </w:tc>
        <w:tc>
          <w:tcPr>
            <w:tcW w:w="615" w:type="dxa"/>
          </w:tcPr>
          <w:p>
            <w:pPr>
              <w:pStyle w:val="TableParagraph"/>
              <w:rPr>
                <w:rFonts w:ascii="Times New Roman"/>
                <w:sz w:val="6"/>
              </w:rPr>
            </w:pPr>
          </w:p>
        </w:tc>
      </w:tr>
      <w:tr>
        <w:trPr>
          <w:trHeight w:val="127" w:hRule="atLeast"/>
        </w:trPr>
        <w:tc>
          <w:tcPr>
            <w:tcW w:w="2596" w:type="dxa"/>
          </w:tcPr>
          <w:p>
            <w:pPr>
              <w:pStyle w:val="TableParagraph"/>
              <w:rPr>
                <w:rFonts w:ascii="Times New Roman"/>
                <w:sz w:val="6"/>
              </w:rPr>
            </w:pPr>
          </w:p>
        </w:tc>
        <w:tc>
          <w:tcPr>
            <w:tcW w:w="1098" w:type="dxa"/>
          </w:tcPr>
          <w:p>
            <w:pPr>
              <w:pStyle w:val="TableParagraph"/>
              <w:spacing w:line="107" w:lineRule="exact"/>
              <w:ind w:left="42" w:right="128"/>
              <w:jc w:val="center"/>
              <w:rPr>
                <w:sz w:val="11"/>
              </w:rPr>
            </w:pPr>
            <w:r>
              <w:rPr>
                <w:sz w:val="11"/>
              </w:rPr>
              <w:t>3177, 3180, 3181,</w:t>
            </w:r>
          </w:p>
        </w:tc>
        <w:tc>
          <w:tcPr>
            <w:tcW w:w="680" w:type="dxa"/>
          </w:tcPr>
          <w:p>
            <w:pPr>
              <w:pStyle w:val="TableParagraph"/>
              <w:rPr>
                <w:rFonts w:ascii="Times New Roman"/>
                <w:sz w:val="6"/>
              </w:rPr>
            </w:pPr>
          </w:p>
        </w:tc>
        <w:tc>
          <w:tcPr>
            <w:tcW w:w="1378" w:type="dxa"/>
            <w:shd w:val="clear" w:color="auto" w:fill="DFDFDF"/>
          </w:tcPr>
          <w:p>
            <w:pPr>
              <w:pStyle w:val="TableParagraph"/>
              <w:rPr>
                <w:rFonts w:ascii="Times New Roman"/>
                <w:sz w:val="6"/>
              </w:rPr>
            </w:pPr>
          </w:p>
        </w:tc>
        <w:tc>
          <w:tcPr>
            <w:tcW w:w="1050" w:type="dxa"/>
          </w:tcPr>
          <w:p>
            <w:pPr>
              <w:pStyle w:val="TableParagraph"/>
              <w:rPr>
                <w:rFonts w:ascii="Times New Roman"/>
                <w:sz w:val="6"/>
              </w:rPr>
            </w:pPr>
          </w:p>
        </w:tc>
        <w:tc>
          <w:tcPr>
            <w:tcW w:w="899" w:type="dxa"/>
          </w:tcPr>
          <w:p>
            <w:pPr>
              <w:pStyle w:val="TableParagraph"/>
              <w:rPr>
                <w:rFonts w:ascii="Times New Roman"/>
                <w:sz w:val="6"/>
              </w:rPr>
            </w:pPr>
          </w:p>
        </w:tc>
        <w:tc>
          <w:tcPr>
            <w:tcW w:w="1109" w:type="dxa"/>
            <w:shd w:val="clear" w:color="auto" w:fill="DFDFDF"/>
          </w:tcPr>
          <w:p>
            <w:pPr>
              <w:pStyle w:val="TableParagraph"/>
              <w:rPr>
                <w:rFonts w:ascii="Times New Roman"/>
                <w:sz w:val="6"/>
              </w:rPr>
            </w:pPr>
          </w:p>
        </w:tc>
        <w:tc>
          <w:tcPr>
            <w:tcW w:w="1213" w:type="dxa"/>
          </w:tcPr>
          <w:p>
            <w:pPr>
              <w:pStyle w:val="TableParagraph"/>
              <w:rPr>
                <w:rFonts w:ascii="Times New Roman"/>
                <w:sz w:val="6"/>
              </w:rPr>
            </w:pPr>
          </w:p>
        </w:tc>
        <w:tc>
          <w:tcPr>
            <w:tcW w:w="1004" w:type="dxa"/>
          </w:tcPr>
          <w:p>
            <w:pPr>
              <w:pStyle w:val="TableParagraph"/>
              <w:rPr>
                <w:rFonts w:ascii="Times New Roman"/>
                <w:sz w:val="6"/>
              </w:rPr>
            </w:pPr>
          </w:p>
        </w:tc>
        <w:tc>
          <w:tcPr>
            <w:tcW w:w="615" w:type="dxa"/>
          </w:tcPr>
          <w:p>
            <w:pPr>
              <w:pStyle w:val="TableParagraph"/>
              <w:rPr>
                <w:rFonts w:ascii="Times New Roman"/>
                <w:sz w:val="6"/>
              </w:rPr>
            </w:pPr>
          </w:p>
        </w:tc>
      </w:tr>
      <w:tr>
        <w:trPr>
          <w:trHeight w:val="127" w:hRule="atLeast"/>
        </w:trPr>
        <w:tc>
          <w:tcPr>
            <w:tcW w:w="2596" w:type="dxa"/>
          </w:tcPr>
          <w:p>
            <w:pPr>
              <w:pStyle w:val="TableParagraph"/>
              <w:rPr>
                <w:rFonts w:ascii="Times New Roman"/>
                <w:sz w:val="6"/>
              </w:rPr>
            </w:pPr>
          </w:p>
        </w:tc>
        <w:tc>
          <w:tcPr>
            <w:tcW w:w="1098" w:type="dxa"/>
          </w:tcPr>
          <w:p>
            <w:pPr>
              <w:pStyle w:val="TableParagraph"/>
              <w:spacing w:line="107" w:lineRule="exact"/>
              <w:ind w:left="42" w:right="128"/>
              <w:jc w:val="center"/>
              <w:rPr>
                <w:sz w:val="11"/>
              </w:rPr>
            </w:pPr>
            <w:r>
              <w:rPr>
                <w:sz w:val="11"/>
              </w:rPr>
              <w:t>3182, 3185, 4037,</w:t>
            </w:r>
          </w:p>
        </w:tc>
        <w:tc>
          <w:tcPr>
            <w:tcW w:w="680" w:type="dxa"/>
          </w:tcPr>
          <w:p>
            <w:pPr>
              <w:pStyle w:val="TableParagraph"/>
              <w:rPr>
                <w:rFonts w:ascii="Times New Roman"/>
                <w:sz w:val="6"/>
              </w:rPr>
            </w:pPr>
          </w:p>
        </w:tc>
        <w:tc>
          <w:tcPr>
            <w:tcW w:w="1378" w:type="dxa"/>
            <w:shd w:val="clear" w:color="auto" w:fill="DFDFDF"/>
          </w:tcPr>
          <w:p>
            <w:pPr>
              <w:pStyle w:val="TableParagraph"/>
              <w:rPr>
                <w:rFonts w:ascii="Times New Roman"/>
                <w:sz w:val="6"/>
              </w:rPr>
            </w:pPr>
          </w:p>
        </w:tc>
        <w:tc>
          <w:tcPr>
            <w:tcW w:w="1050" w:type="dxa"/>
          </w:tcPr>
          <w:p>
            <w:pPr>
              <w:pStyle w:val="TableParagraph"/>
              <w:rPr>
                <w:rFonts w:ascii="Times New Roman"/>
                <w:sz w:val="6"/>
              </w:rPr>
            </w:pPr>
          </w:p>
        </w:tc>
        <w:tc>
          <w:tcPr>
            <w:tcW w:w="899" w:type="dxa"/>
          </w:tcPr>
          <w:p>
            <w:pPr>
              <w:pStyle w:val="TableParagraph"/>
              <w:rPr>
                <w:rFonts w:ascii="Times New Roman"/>
                <w:sz w:val="6"/>
              </w:rPr>
            </w:pPr>
          </w:p>
        </w:tc>
        <w:tc>
          <w:tcPr>
            <w:tcW w:w="1109" w:type="dxa"/>
            <w:shd w:val="clear" w:color="auto" w:fill="DFDFDF"/>
          </w:tcPr>
          <w:p>
            <w:pPr>
              <w:pStyle w:val="TableParagraph"/>
              <w:rPr>
                <w:rFonts w:ascii="Times New Roman"/>
                <w:sz w:val="6"/>
              </w:rPr>
            </w:pPr>
          </w:p>
        </w:tc>
        <w:tc>
          <w:tcPr>
            <w:tcW w:w="1213" w:type="dxa"/>
          </w:tcPr>
          <w:p>
            <w:pPr>
              <w:pStyle w:val="TableParagraph"/>
              <w:rPr>
                <w:rFonts w:ascii="Times New Roman"/>
                <w:sz w:val="6"/>
              </w:rPr>
            </w:pPr>
          </w:p>
        </w:tc>
        <w:tc>
          <w:tcPr>
            <w:tcW w:w="1004" w:type="dxa"/>
          </w:tcPr>
          <w:p>
            <w:pPr>
              <w:pStyle w:val="TableParagraph"/>
              <w:rPr>
                <w:rFonts w:ascii="Times New Roman"/>
                <w:sz w:val="6"/>
              </w:rPr>
            </w:pPr>
          </w:p>
        </w:tc>
        <w:tc>
          <w:tcPr>
            <w:tcW w:w="615" w:type="dxa"/>
          </w:tcPr>
          <w:p>
            <w:pPr>
              <w:pStyle w:val="TableParagraph"/>
              <w:rPr>
                <w:rFonts w:ascii="Times New Roman"/>
                <w:sz w:val="6"/>
              </w:rPr>
            </w:pPr>
          </w:p>
        </w:tc>
      </w:tr>
      <w:tr>
        <w:trPr>
          <w:trHeight w:val="127" w:hRule="atLeast"/>
        </w:trPr>
        <w:tc>
          <w:tcPr>
            <w:tcW w:w="2596" w:type="dxa"/>
          </w:tcPr>
          <w:p>
            <w:pPr>
              <w:pStyle w:val="TableParagraph"/>
              <w:rPr>
                <w:rFonts w:ascii="Times New Roman"/>
                <w:sz w:val="6"/>
              </w:rPr>
            </w:pPr>
          </w:p>
        </w:tc>
        <w:tc>
          <w:tcPr>
            <w:tcW w:w="1098" w:type="dxa"/>
          </w:tcPr>
          <w:p>
            <w:pPr>
              <w:pStyle w:val="TableParagraph"/>
              <w:spacing w:line="107" w:lineRule="exact"/>
              <w:ind w:left="42" w:right="128"/>
              <w:jc w:val="center"/>
              <w:rPr>
                <w:sz w:val="11"/>
              </w:rPr>
            </w:pPr>
            <w:r>
              <w:rPr>
                <w:sz w:val="11"/>
              </w:rPr>
              <w:t>4050, 4123, 4124,</w:t>
            </w:r>
          </w:p>
        </w:tc>
        <w:tc>
          <w:tcPr>
            <w:tcW w:w="680" w:type="dxa"/>
          </w:tcPr>
          <w:p>
            <w:pPr>
              <w:pStyle w:val="TableParagraph"/>
              <w:rPr>
                <w:rFonts w:ascii="Times New Roman"/>
                <w:sz w:val="6"/>
              </w:rPr>
            </w:pPr>
          </w:p>
        </w:tc>
        <w:tc>
          <w:tcPr>
            <w:tcW w:w="1378" w:type="dxa"/>
            <w:shd w:val="clear" w:color="auto" w:fill="DFDFDF"/>
          </w:tcPr>
          <w:p>
            <w:pPr>
              <w:pStyle w:val="TableParagraph"/>
              <w:rPr>
                <w:rFonts w:ascii="Times New Roman"/>
                <w:sz w:val="6"/>
              </w:rPr>
            </w:pPr>
          </w:p>
        </w:tc>
        <w:tc>
          <w:tcPr>
            <w:tcW w:w="1050" w:type="dxa"/>
          </w:tcPr>
          <w:p>
            <w:pPr>
              <w:pStyle w:val="TableParagraph"/>
              <w:rPr>
                <w:rFonts w:ascii="Times New Roman"/>
                <w:sz w:val="6"/>
              </w:rPr>
            </w:pPr>
          </w:p>
        </w:tc>
        <w:tc>
          <w:tcPr>
            <w:tcW w:w="899" w:type="dxa"/>
          </w:tcPr>
          <w:p>
            <w:pPr>
              <w:pStyle w:val="TableParagraph"/>
              <w:rPr>
                <w:rFonts w:ascii="Times New Roman"/>
                <w:sz w:val="6"/>
              </w:rPr>
            </w:pPr>
          </w:p>
        </w:tc>
        <w:tc>
          <w:tcPr>
            <w:tcW w:w="1109" w:type="dxa"/>
            <w:shd w:val="clear" w:color="auto" w:fill="DFDFDF"/>
          </w:tcPr>
          <w:p>
            <w:pPr>
              <w:pStyle w:val="TableParagraph"/>
              <w:rPr>
                <w:rFonts w:ascii="Times New Roman"/>
                <w:sz w:val="6"/>
              </w:rPr>
            </w:pPr>
          </w:p>
        </w:tc>
        <w:tc>
          <w:tcPr>
            <w:tcW w:w="1213" w:type="dxa"/>
          </w:tcPr>
          <w:p>
            <w:pPr>
              <w:pStyle w:val="TableParagraph"/>
              <w:rPr>
                <w:rFonts w:ascii="Times New Roman"/>
                <w:sz w:val="6"/>
              </w:rPr>
            </w:pPr>
          </w:p>
        </w:tc>
        <w:tc>
          <w:tcPr>
            <w:tcW w:w="1004" w:type="dxa"/>
          </w:tcPr>
          <w:p>
            <w:pPr>
              <w:pStyle w:val="TableParagraph"/>
              <w:rPr>
                <w:rFonts w:ascii="Times New Roman"/>
                <w:sz w:val="6"/>
              </w:rPr>
            </w:pPr>
          </w:p>
        </w:tc>
        <w:tc>
          <w:tcPr>
            <w:tcW w:w="615" w:type="dxa"/>
          </w:tcPr>
          <w:p>
            <w:pPr>
              <w:pStyle w:val="TableParagraph"/>
              <w:rPr>
                <w:rFonts w:ascii="Times New Roman"/>
                <w:sz w:val="6"/>
              </w:rPr>
            </w:pPr>
          </w:p>
        </w:tc>
      </w:tr>
      <w:tr>
        <w:trPr>
          <w:trHeight w:val="127" w:hRule="atLeast"/>
        </w:trPr>
        <w:tc>
          <w:tcPr>
            <w:tcW w:w="2596" w:type="dxa"/>
          </w:tcPr>
          <w:p>
            <w:pPr>
              <w:pStyle w:val="TableParagraph"/>
              <w:rPr>
                <w:rFonts w:ascii="Times New Roman"/>
                <w:sz w:val="6"/>
              </w:rPr>
            </w:pPr>
          </w:p>
        </w:tc>
        <w:tc>
          <w:tcPr>
            <w:tcW w:w="1098" w:type="dxa"/>
          </w:tcPr>
          <w:p>
            <w:pPr>
              <w:pStyle w:val="TableParagraph"/>
              <w:spacing w:line="107" w:lineRule="exact"/>
              <w:ind w:left="42" w:right="128"/>
              <w:jc w:val="center"/>
              <w:rPr>
                <w:sz w:val="11"/>
              </w:rPr>
            </w:pPr>
            <w:r>
              <w:rPr>
                <w:sz w:val="11"/>
              </w:rPr>
              <w:t>4126, 4127, 4128,</w:t>
            </w:r>
          </w:p>
        </w:tc>
        <w:tc>
          <w:tcPr>
            <w:tcW w:w="680" w:type="dxa"/>
          </w:tcPr>
          <w:p>
            <w:pPr>
              <w:pStyle w:val="TableParagraph"/>
              <w:rPr>
                <w:rFonts w:ascii="Times New Roman"/>
                <w:sz w:val="6"/>
              </w:rPr>
            </w:pPr>
          </w:p>
        </w:tc>
        <w:tc>
          <w:tcPr>
            <w:tcW w:w="1378" w:type="dxa"/>
            <w:shd w:val="clear" w:color="auto" w:fill="DFDFDF"/>
          </w:tcPr>
          <w:p>
            <w:pPr>
              <w:pStyle w:val="TableParagraph"/>
              <w:rPr>
                <w:rFonts w:ascii="Times New Roman"/>
                <w:sz w:val="6"/>
              </w:rPr>
            </w:pPr>
          </w:p>
        </w:tc>
        <w:tc>
          <w:tcPr>
            <w:tcW w:w="1050" w:type="dxa"/>
          </w:tcPr>
          <w:p>
            <w:pPr>
              <w:pStyle w:val="TableParagraph"/>
              <w:rPr>
                <w:rFonts w:ascii="Times New Roman"/>
                <w:sz w:val="6"/>
              </w:rPr>
            </w:pPr>
          </w:p>
        </w:tc>
        <w:tc>
          <w:tcPr>
            <w:tcW w:w="899" w:type="dxa"/>
          </w:tcPr>
          <w:p>
            <w:pPr>
              <w:pStyle w:val="TableParagraph"/>
              <w:rPr>
                <w:rFonts w:ascii="Times New Roman"/>
                <w:sz w:val="6"/>
              </w:rPr>
            </w:pPr>
          </w:p>
        </w:tc>
        <w:tc>
          <w:tcPr>
            <w:tcW w:w="1109" w:type="dxa"/>
            <w:shd w:val="clear" w:color="auto" w:fill="DFDFDF"/>
          </w:tcPr>
          <w:p>
            <w:pPr>
              <w:pStyle w:val="TableParagraph"/>
              <w:rPr>
                <w:rFonts w:ascii="Times New Roman"/>
                <w:sz w:val="6"/>
              </w:rPr>
            </w:pPr>
          </w:p>
        </w:tc>
        <w:tc>
          <w:tcPr>
            <w:tcW w:w="1213" w:type="dxa"/>
          </w:tcPr>
          <w:p>
            <w:pPr>
              <w:pStyle w:val="TableParagraph"/>
              <w:rPr>
                <w:rFonts w:ascii="Times New Roman"/>
                <w:sz w:val="6"/>
              </w:rPr>
            </w:pPr>
          </w:p>
        </w:tc>
        <w:tc>
          <w:tcPr>
            <w:tcW w:w="1004" w:type="dxa"/>
          </w:tcPr>
          <w:p>
            <w:pPr>
              <w:pStyle w:val="TableParagraph"/>
              <w:rPr>
                <w:rFonts w:ascii="Times New Roman"/>
                <w:sz w:val="6"/>
              </w:rPr>
            </w:pPr>
          </w:p>
        </w:tc>
        <w:tc>
          <w:tcPr>
            <w:tcW w:w="615" w:type="dxa"/>
          </w:tcPr>
          <w:p>
            <w:pPr>
              <w:pStyle w:val="TableParagraph"/>
              <w:rPr>
                <w:rFonts w:ascii="Times New Roman"/>
                <w:sz w:val="6"/>
              </w:rPr>
            </w:pPr>
          </w:p>
        </w:tc>
      </w:tr>
      <w:tr>
        <w:trPr>
          <w:trHeight w:val="178" w:hRule="atLeast"/>
        </w:trPr>
        <w:tc>
          <w:tcPr>
            <w:tcW w:w="2596" w:type="dxa"/>
          </w:tcPr>
          <w:p>
            <w:pPr>
              <w:pStyle w:val="TableParagraph"/>
              <w:spacing w:line="126" w:lineRule="exact"/>
              <w:ind w:left="90"/>
              <w:rPr>
                <w:sz w:val="11"/>
              </w:rPr>
            </w:pPr>
            <w:r>
              <w:rPr>
                <w:sz w:val="11"/>
              </w:rPr>
              <w:t>Other NCLB / Every Student Succeeds Act</w:t>
            </w:r>
          </w:p>
        </w:tc>
        <w:tc>
          <w:tcPr>
            <w:tcW w:w="1098" w:type="dxa"/>
          </w:tcPr>
          <w:p>
            <w:pPr>
              <w:pStyle w:val="TableParagraph"/>
              <w:spacing w:line="126" w:lineRule="exact"/>
              <w:ind w:left="42" w:right="125"/>
              <w:jc w:val="center"/>
              <w:rPr>
                <w:sz w:val="11"/>
              </w:rPr>
            </w:pPr>
            <w:r>
              <w:rPr>
                <w:sz w:val="11"/>
              </w:rPr>
              <w:t>5510, 5630</w:t>
            </w:r>
          </w:p>
        </w:tc>
        <w:tc>
          <w:tcPr>
            <w:tcW w:w="680" w:type="dxa"/>
          </w:tcPr>
          <w:p>
            <w:pPr>
              <w:pStyle w:val="TableParagraph"/>
              <w:spacing w:line="126" w:lineRule="exact"/>
              <w:ind w:right="234"/>
              <w:jc w:val="right"/>
              <w:rPr>
                <w:sz w:val="11"/>
              </w:rPr>
            </w:pPr>
            <w:r>
              <w:rPr>
                <w:sz w:val="11"/>
              </w:rPr>
              <w:t>8290</w:t>
            </w:r>
          </w:p>
        </w:tc>
        <w:tc>
          <w:tcPr>
            <w:tcW w:w="1378" w:type="dxa"/>
            <w:shd w:val="clear" w:color="auto" w:fill="DFDFDF"/>
          </w:tcPr>
          <w:p>
            <w:pPr>
              <w:pStyle w:val="TableParagraph"/>
              <w:rPr>
                <w:rFonts w:ascii="Times New Roman"/>
                <w:sz w:val="10"/>
              </w:rPr>
            </w:pPr>
          </w:p>
        </w:tc>
        <w:tc>
          <w:tcPr>
            <w:tcW w:w="1050" w:type="dxa"/>
          </w:tcPr>
          <w:p>
            <w:pPr>
              <w:pStyle w:val="TableParagraph"/>
              <w:spacing w:line="126" w:lineRule="exact"/>
              <w:ind w:left="285"/>
              <w:rPr>
                <w:sz w:val="11"/>
              </w:rPr>
            </w:pPr>
            <w:r>
              <w:rPr>
                <w:sz w:val="11"/>
              </w:rPr>
              <w:t>10,000.00</w:t>
            </w:r>
          </w:p>
        </w:tc>
        <w:tc>
          <w:tcPr>
            <w:tcW w:w="899" w:type="dxa"/>
          </w:tcPr>
          <w:p>
            <w:pPr>
              <w:pStyle w:val="TableParagraph"/>
              <w:spacing w:line="126" w:lineRule="exact"/>
              <w:ind w:right="53"/>
              <w:jc w:val="right"/>
              <w:rPr>
                <w:sz w:val="11"/>
              </w:rPr>
            </w:pPr>
            <w:r>
              <w:rPr>
                <w:sz w:val="11"/>
              </w:rPr>
              <w:t>10,000.00</w:t>
            </w:r>
          </w:p>
        </w:tc>
        <w:tc>
          <w:tcPr>
            <w:tcW w:w="1109" w:type="dxa"/>
            <w:shd w:val="clear" w:color="auto" w:fill="DFDFDF"/>
          </w:tcPr>
          <w:p>
            <w:pPr>
              <w:pStyle w:val="TableParagraph"/>
              <w:rPr>
                <w:rFonts w:ascii="Times New Roman"/>
                <w:sz w:val="10"/>
              </w:rPr>
            </w:pPr>
          </w:p>
        </w:tc>
        <w:tc>
          <w:tcPr>
            <w:tcW w:w="1213" w:type="dxa"/>
          </w:tcPr>
          <w:p>
            <w:pPr>
              <w:pStyle w:val="TableParagraph"/>
              <w:spacing w:line="126" w:lineRule="exact"/>
              <w:ind w:right="158"/>
              <w:jc w:val="right"/>
              <w:rPr>
                <w:sz w:val="11"/>
              </w:rPr>
            </w:pPr>
            <w:r>
              <w:rPr>
                <w:sz w:val="11"/>
              </w:rPr>
              <w:t>10,000.00</w:t>
            </w:r>
          </w:p>
        </w:tc>
        <w:tc>
          <w:tcPr>
            <w:tcW w:w="1004" w:type="dxa"/>
          </w:tcPr>
          <w:p>
            <w:pPr>
              <w:pStyle w:val="TableParagraph"/>
              <w:spacing w:line="126" w:lineRule="exact"/>
              <w:ind w:right="53"/>
              <w:jc w:val="right"/>
              <w:rPr>
                <w:sz w:val="11"/>
              </w:rPr>
            </w:pPr>
            <w:r>
              <w:rPr>
                <w:sz w:val="11"/>
              </w:rPr>
              <w:t>10,000.00</w:t>
            </w:r>
          </w:p>
        </w:tc>
        <w:tc>
          <w:tcPr>
            <w:tcW w:w="615" w:type="dxa"/>
          </w:tcPr>
          <w:p>
            <w:pPr>
              <w:pStyle w:val="TableParagraph"/>
              <w:spacing w:line="126" w:lineRule="exact"/>
              <w:ind w:right="25"/>
              <w:jc w:val="right"/>
              <w:rPr>
                <w:sz w:val="11"/>
              </w:rPr>
            </w:pPr>
            <w:r>
              <w:rPr>
                <w:sz w:val="11"/>
              </w:rPr>
              <w:t>0.0%</w:t>
            </w:r>
          </w:p>
        </w:tc>
      </w:tr>
      <w:tr>
        <w:trPr>
          <w:trHeight w:val="190" w:hRule="atLeast"/>
        </w:trPr>
        <w:tc>
          <w:tcPr>
            <w:tcW w:w="2596" w:type="dxa"/>
          </w:tcPr>
          <w:p>
            <w:pPr>
              <w:pStyle w:val="TableParagraph"/>
              <w:spacing w:line="120" w:lineRule="exact" w:before="51"/>
              <w:ind w:left="90"/>
              <w:rPr>
                <w:sz w:val="11"/>
              </w:rPr>
            </w:pPr>
            <w:r>
              <w:rPr>
                <w:sz w:val="11"/>
              </w:rPr>
              <w:t>Career and Technical</w:t>
            </w:r>
          </w:p>
        </w:tc>
        <w:tc>
          <w:tcPr>
            <w:tcW w:w="1098" w:type="dxa"/>
          </w:tcPr>
          <w:p>
            <w:pPr>
              <w:pStyle w:val="TableParagraph"/>
              <w:rPr>
                <w:rFonts w:ascii="Times New Roman"/>
                <w:sz w:val="10"/>
              </w:rPr>
            </w:pPr>
          </w:p>
        </w:tc>
        <w:tc>
          <w:tcPr>
            <w:tcW w:w="680" w:type="dxa"/>
          </w:tcPr>
          <w:p>
            <w:pPr>
              <w:pStyle w:val="TableParagraph"/>
              <w:rPr>
                <w:rFonts w:ascii="Times New Roman"/>
                <w:sz w:val="10"/>
              </w:rPr>
            </w:pPr>
          </w:p>
        </w:tc>
        <w:tc>
          <w:tcPr>
            <w:tcW w:w="1378" w:type="dxa"/>
            <w:shd w:val="clear" w:color="auto" w:fill="DFDFDF"/>
          </w:tcPr>
          <w:p>
            <w:pPr>
              <w:pStyle w:val="TableParagraph"/>
              <w:rPr>
                <w:rFonts w:ascii="Times New Roman"/>
                <w:sz w:val="10"/>
              </w:rPr>
            </w:pPr>
          </w:p>
        </w:tc>
        <w:tc>
          <w:tcPr>
            <w:tcW w:w="1050" w:type="dxa"/>
          </w:tcPr>
          <w:p>
            <w:pPr>
              <w:pStyle w:val="TableParagraph"/>
              <w:rPr>
                <w:rFonts w:ascii="Times New Roman"/>
                <w:sz w:val="10"/>
              </w:rPr>
            </w:pPr>
          </w:p>
        </w:tc>
        <w:tc>
          <w:tcPr>
            <w:tcW w:w="899" w:type="dxa"/>
          </w:tcPr>
          <w:p>
            <w:pPr>
              <w:pStyle w:val="TableParagraph"/>
              <w:rPr>
                <w:rFonts w:ascii="Times New Roman"/>
                <w:sz w:val="10"/>
              </w:rPr>
            </w:pPr>
          </w:p>
        </w:tc>
        <w:tc>
          <w:tcPr>
            <w:tcW w:w="1109" w:type="dxa"/>
            <w:shd w:val="clear" w:color="auto" w:fill="DFDFDF"/>
          </w:tcPr>
          <w:p>
            <w:pPr>
              <w:pStyle w:val="TableParagraph"/>
              <w:rPr>
                <w:rFonts w:ascii="Times New Roman"/>
                <w:sz w:val="10"/>
              </w:rPr>
            </w:pPr>
          </w:p>
        </w:tc>
        <w:tc>
          <w:tcPr>
            <w:tcW w:w="1213" w:type="dxa"/>
          </w:tcPr>
          <w:p>
            <w:pPr>
              <w:pStyle w:val="TableParagraph"/>
              <w:rPr>
                <w:rFonts w:ascii="Times New Roman"/>
                <w:sz w:val="10"/>
              </w:rPr>
            </w:pPr>
          </w:p>
        </w:tc>
        <w:tc>
          <w:tcPr>
            <w:tcW w:w="1004" w:type="dxa"/>
          </w:tcPr>
          <w:p>
            <w:pPr>
              <w:pStyle w:val="TableParagraph"/>
              <w:rPr>
                <w:rFonts w:ascii="Times New Roman"/>
                <w:sz w:val="10"/>
              </w:rPr>
            </w:pPr>
          </w:p>
        </w:tc>
        <w:tc>
          <w:tcPr>
            <w:tcW w:w="615" w:type="dxa"/>
          </w:tcPr>
          <w:p>
            <w:pPr>
              <w:pStyle w:val="TableParagraph"/>
              <w:rPr>
                <w:rFonts w:ascii="Times New Roman"/>
                <w:sz w:val="10"/>
              </w:rPr>
            </w:pPr>
          </w:p>
        </w:tc>
      </w:tr>
      <w:tr>
        <w:trPr>
          <w:trHeight w:val="141" w:hRule="atLeast"/>
        </w:trPr>
        <w:tc>
          <w:tcPr>
            <w:tcW w:w="2596" w:type="dxa"/>
          </w:tcPr>
          <w:p>
            <w:pPr>
              <w:pStyle w:val="TableParagraph"/>
              <w:spacing w:line="110" w:lineRule="exact" w:before="11"/>
              <w:ind w:left="121"/>
              <w:rPr>
                <w:sz w:val="11"/>
              </w:rPr>
            </w:pPr>
            <w:r>
              <w:rPr>
                <w:sz w:val="11"/>
              </w:rPr>
              <w:t>Education</w:t>
            </w:r>
          </w:p>
        </w:tc>
        <w:tc>
          <w:tcPr>
            <w:tcW w:w="1098" w:type="dxa"/>
          </w:tcPr>
          <w:p>
            <w:pPr>
              <w:pStyle w:val="TableParagraph"/>
              <w:spacing w:line="110" w:lineRule="exact" w:before="11"/>
              <w:ind w:left="40" w:right="128"/>
              <w:jc w:val="center"/>
              <w:rPr>
                <w:sz w:val="11"/>
              </w:rPr>
            </w:pPr>
            <w:r>
              <w:rPr>
                <w:sz w:val="11"/>
              </w:rPr>
              <w:t>3500-3599</w:t>
            </w:r>
          </w:p>
        </w:tc>
        <w:tc>
          <w:tcPr>
            <w:tcW w:w="680" w:type="dxa"/>
          </w:tcPr>
          <w:p>
            <w:pPr>
              <w:pStyle w:val="TableParagraph"/>
              <w:spacing w:line="110" w:lineRule="exact" w:before="11"/>
              <w:ind w:right="234"/>
              <w:jc w:val="right"/>
              <w:rPr>
                <w:sz w:val="11"/>
              </w:rPr>
            </w:pPr>
            <w:r>
              <w:rPr>
                <w:sz w:val="11"/>
              </w:rPr>
              <w:t>8290</w:t>
            </w:r>
          </w:p>
        </w:tc>
        <w:tc>
          <w:tcPr>
            <w:tcW w:w="1378" w:type="dxa"/>
            <w:shd w:val="clear" w:color="auto" w:fill="DFDFDF"/>
          </w:tcPr>
          <w:p>
            <w:pPr>
              <w:pStyle w:val="TableParagraph"/>
              <w:rPr>
                <w:rFonts w:ascii="Times New Roman"/>
                <w:sz w:val="8"/>
              </w:rPr>
            </w:pPr>
          </w:p>
        </w:tc>
        <w:tc>
          <w:tcPr>
            <w:tcW w:w="1050" w:type="dxa"/>
          </w:tcPr>
          <w:p>
            <w:pPr>
              <w:pStyle w:val="TableParagraph"/>
              <w:spacing w:line="110" w:lineRule="exact" w:before="11"/>
              <w:ind w:right="263"/>
              <w:jc w:val="right"/>
              <w:rPr>
                <w:sz w:val="11"/>
              </w:rPr>
            </w:pPr>
            <w:r>
              <w:rPr>
                <w:sz w:val="11"/>
              </w:rPr>
              <w:t>0.00</w:t>
            </w:r>
          </w:p>
        </w:tc>
        <w:tc>
          <w:tcPr>
            <w:tcW w:w="899" w:type="dxa"/>
          </w:tcPr>
          <w:p>
            <w:pPr>
              <w:pStyle w:val="TableParagraph"/>
              <w:spacing w:line="110" w:lineRule="exact" w:before="11"/>
              <w:ind w:right="53"/>
              <w:jc w:val="right"/>
              <w:rPr>
                <w:sz w:val="11"/>
              </w:rPr>
            </w:pPr>
            <w:r>
              <w:rPr>
                <w:sz w:val="11"/>
              </w:rPr>
              <w:t>0.00</w:t>
            </w:r>
          </w:p>
        </w:tc>
        <w:tc>
          <w:tcPr>
            <w:tcW w:w="1109" w:type="dxa"/>
            <w:shd w:val="clear" w:color="auto" w:fill="DFDFDF"/>
          </w:tcPr>
          <w:p>
            <w:pPr>
              <w:pStyle w:val="TableParagraph"/>
              <w:rPr>
                <w:rFonts w:ascii="Times New Roman"/>
                <w:sz w:val="8"/>
              </w:rPr>
            </w:pPr>
          </w:p>
        </w:tc>
        <w:tc>
          <w:tcPr>
            <w:tcW w:w="1213" w:type="dxa"/>
          </w:tcPr>
          <w:p>
            <w:pPr>
              <w:pStyle w:val="TableParagraph"/>
              <w:spacing w:line="110" w:lineRule="exact" w:before="11"/>
              <w:ind w:right="157"/>
              <w:jc w:val="right"/>
              <w:rPr>
                <w:sz w:val="11"/>
              </w:rPr>
            </w:pPr>
            <w:r>
              <w:rPr>
                <w:sz w:val="11"/>
              </w:rPr>
              <w:t>0.00</w:t>
            </w:r>
          </w:p>
        </w:tc>
        <w:tc>
          <w:tcPr>
            <w:tcW w:w="1004" w:type="dxa"/>
          </w:tcPr>
          <w:p>
            <w:pPr>
              <w:pStyle w:val="TableParagraph"/>
              <w:spacing w:line="110" w:lineRule="exact" w:before="11"/>
              <w:ind w:right="52"/>
              <w:jc w:val="right"/>
              <w:rPr>
                <w:sz w:val="11"/>
              </w:rPr>
            </w:pPr>
            <w:r>
              <w:rPr>
                <w:sz w:val="11"/>
              </w:rPr>
              <w:t>0.00</w:t>
            </w:r>
          </w:p>
        </w:tc>
        <w:tc>
          <w:tcPr>
            <w:tcW w:w="615" w:type="dxa"/>
          </w:tcPr>
          <w:p>
            <w:pPr>
              <w:pStyle w:val="TableParagraph"/>
              <w:spacing w:line="110" w:lineRule="exact" w:before="11"/>
              <w:ind w:right="25"/>
              <w:jc w:val="right"/>
              <w:rPr>
                <w:sz w:val="11"/>
              </w:rPr>
            </w:pPr>
            <w:r>
              <w:rPr>
                <w:sz w:val="11"/>
              </w:rPr>
              <w:t>0.0%</w:t>
            </w:r>
          </w:p>
        </w:tc>
      </w:tr>
      <w:tr>
        <w:trPr>
          <w:trHeight w:val="280" w:hRule="atLeast"/>
        </w:trPr>
        <w:tc>
          <w:tcPr>
            <w:tcW w:w="2596" w:type="dxa"/>
          </w:tcPr>
          <w:p>
            <w:pPr>
              <w:pStyle w:val="TableParagraph"/>
              <w:spacing w:before="101"/>
              <w:ind w:left="90"/>
              <w:rPr>
                <w:sz w:val="11"/>
              </w:rPr>
            </w:pPr>
            <w:r>
              <w:rPr>
                <w:sz w:val="11"/>
              </w:rPr>
              <w:t>All Other Federal Revenue</w:t>
            </w:r>
          </w:p>
        </w:tc>
        <w:tc>
          <w:tcPr>
            <w:tcW w:w="1098" w:type="dxa"/>
          </w:tcPr>
          <w:p>
            <w:pPr>
              <w:pStyle w:val="TableParagraph"/>
              <w:spacing w:before="101"/>
              <w:ind w:left="40" w:right="128"/>
              <w:jc w:val="center"/>
              <w:rPr>
                <w:sz w:val="11"/>
              </w:rPr>
            </w:pPr>
            <w:r>
              <w:rPr>
                <w:sz w:val="11"/>
              </w:rPr>
              <w:t>All Other</w:t>
            </w:r>
          </w:p>
        </w:tc>
        <w:tc>
          <w:tcPr>
            <w:tcW w:w="680" w:type="dxa"/>
          </w:tcPr>
          <w:p>
            <w:pPr>
              <w:pStyle w:val="TableParagraph"/>
              <w:spacing w:before="101"/>
              <w:ind w:right="234"/>
              <w:jc w:val="right"/>
              <w:rPr>
                <w:sz w:val="11"/>
              </w:rPr>
            </w:pPr>
            <w:r>
              <w:rPr>
                <w:sz w:val="11"/>
              </w:rPr>
              <w:t>8290</w:t>
            </w:r>
          </w:p>
        </w:tc>
        <w:tc>
          <w:tcPr>
            <w:tcW w:w="1378" w:type="dxa"/>
          </w:tcPr>
          <w:p>
            <w:pPr>
              <w:pStyle w:val="TableParagraph"/>
              <w:spacing w:before="101"/>
              <w:ind w:right="322"/>
              <w:jc w:val="right"/>
              <w:rPr>
                <w:sz w:val="11"/>
              </w:rPr>
            </w:pPr>
            <w:r>
              <w:rPr>
                <w:sz w:val="11"/>
              </w:rPr>
              <w:t>4,500.00</w:t>
            </w:r>
          </w:p>
        </w:tc>
        <w:tc>
          <w:tcPr>
            <w:tcW w:w="1050" w:type="dxa"/>
          </w:tcPr>
          <w:p>
            <w:pPr>
              <w:pStyle w:val="TableParagraph"/>
              <w:spacing w:before="101"/>
              <w:ind w:left="223"/>
              <w:rPr>
                <w:sz w:val="11"/>
              </w:rPr>
            </w:pPr>
            <w:r>
              <w:rPr>
                <w:sz w:val="11"/>
              </w:rPr>
              <w:t>169,718.00</w:t>
            </w:r>
          </w:p>
        </w:tc>
        <w:tc>
          <w:tcPr>
            <w:tcW w:w="899" w:type="dxa"/>
          </w:tcPr>
          <w:p>
            <w:pPr>
              <w:pStyle w:val="TableParagraph"/>
              <w:spacing w:before="101"/>
              <w:ind w:right="53"/>
              <w:jc w:val="right"/>
              <w:rPr>
                <w:sz w:val="11"/>
              </w:rPr>
            </w:pPr>
            <w:r>
              <w:rPr>
                <w:sz w:val="11"/>
              </w:rPr>
              <w:t>174,218.00</w:t>
            </w:r>
          </w:p>
        </w:tc>
        <w:tc>
          <w:tcPr>
            <w:tcW w:w="1109" w:type="dxa"/>
          </w:tcPr>
          <w:p>
            <w:pPr>
              <w:pStyle w:val="TableParagraph"/>
              <w:spacing w:before="101"/>
              <w:ind w:right="53"/>
              <w:jc w:val="right"/>
              <w:rPr>
                <w:sz w:val="11"/>
              </w:rPr>
            </w:pPr>
            <w:r>
              <w:rPr>
                <w:sz w:val="11"/>
              </w:rPr>
              <w:t>0.00</w:t>
            </w:r>
          </w:p>
        </w:tc>
        <w:tc>
          <w:tcPr>
            <w:tcW w:w="1213" w:type="dxa"/>
          </w:tcPr>
          <w:p>
            <w:pPr>
              <w:pStyle w:val="TableParagraph"/>
              <w:spacing w:before="101"/>
              <w:ind w:right="158"/>
              <w:jc w:val="right"/>
              <w:rPr>
                <w:sz w:val="11"/>
              </w:rPr>
            </w:pPr>
            <w:r>
              <w:rPr>
                <w:sz w:val="11"/>
              </w:rPr>
              <w:t>86,478.00</w:t>
            </w:r>
          </w:p>
        </w:tc>
        <w:tc>
          <w:tcPr>
            <w:tcW w:w="1004" w:type="dxa"/>
          </w:tcPr>
          <w:p>
            <w:pPr>
              <w:pStyle w:val="TableParagraph"/>
              <w:spacing w:before="101"/>
              <w:ind w:right="53"/>
              <w:jc w:val="right"/>
              <w:rPr>
                <w:sz w:val="11"/>
              </w:rPr>
            </w:pPr>
            <w:r>
              <w:rPr>
                <w:sz w:val="11"/>
              </w:rPr>
              <w:t>86,478.00</w:t>
            </w:r>
          </w:p>
        </w:tc>
        <w:tc>
          <w:tcPr>
            <w:tcW w:w="615" w:type="dxa"/>
          </w:tcPr>
          <w:p>
            <w:pPr>
              <w:pStyle w:val="TableParagraph"/>
              <w:spacing w:before="101"/>
              <w:ind w:right="25"/>
              <w:jc w:val="right"/>
              <w:rPr>
                <w:sz w:val="11"/>
              </w:rPr>
            </w:pPr>
            <w:r>
              <w:rPr>
                <w:sz w:val="11"/>
              </w:rPr>
              <w:t>-50.4%</w:t>
            </w:r>
          </w:p>
        </w:tc>
      </w:tr>
      <w:tr>
        <w:trPr>
          <w:trHeight w:val="180" w:hRule="atLeast"/>
        </w:trPr>
        <w:tc>
          <w:tcPr>
            <w:tcW w:w="2596" w:type="dxa"/>
          </w:tcPr>
          <w:p>
            <w:pPr>
              <w:pStyle w:val="TableParagraph"/>
              <w:spacing w:line="110" w:lineRule="exact" w:before="51"/>
              <w:ind w:left="90"/>
              <w:rPr>
                <w:sz w:val="11"/>
              </w:rPr>
            </w:pPr>
            <w:r>
              <w:rPr>
                <w:sz w:val="11"/>
              </w:rPr>
              <w:t>TOTAL, FEDERAL REVENUE</w:t>
            </w:r>
          </w:p>
        </w:tc>
        <w:tc>
          <w:tcPr>
            <w:tcW w:w="1098" w:type="dxa"/>
          </w:tcPr>
          <w:p>
            <w:pPr>
              <w:pStyle w:val="TableParagraph"/>
              <w:rPr>
                <w:rFonts w:ascii="Times New Roman"/>
                <w:sz w:val="10"/>
              </w:rPr>
            </w:pPr>
          </w:p>
        </w:tc>
        <w:tc>
          <w:tcPr>
            <w:tcW w:w="680" w:type="dxa"/>
          </w:tcPr>
          <w:p>
            <w:pPr>
              <w:pStyle w:val="TableParagraph"/>
              <w:rPr>
                <w:rFonts w:ascii="Times New Roman"/>
                <w:sz w:val="10"/>
              </w:rPr>
            </w:pPr>
          </w:p>
        </w:tc>
        <w:tc>
          <w:tcPr>
            <w:tcW w:w="1378" w:type="dxa"/>
          </w:tcPr>
          <w:p>
            <w:pPr>
              <w:pStyle w:val="TableParagraph"/>
              <w:spacing w:line="110" w:lineRule="exact" w:before="51"/>
              <w:ind w:right="322"/>
              <w:jc w:val="right"/>
              <w:rPr>
                <w:sz w:val="11"/>
              </w:rPr>
            </w:pPr>
            <w:r>
              <w:rPr>
                <w:sz w:val="11"/>
              </w:rPr>
              <w:t>4,500.00</w:t>
            </w:r>
          </w:p>
        </w:tc>
        <w:tc>
          <w:tcPr>
            <w:tcW w:w="1050" w:type="dxa"/>
          </w:tcPr>
          <w:p>
            <w:pPr>
              <w:pStyle w:val="TableParagraph"/>
              <w:spacing w:line="110" w:lineRule="exact" w:before="51"/>
              <w:ind w:left="223"/>
              <w:rPr>
                <w:sz w:val="11"/>
              </w:rPr>
            </w:pPr>
            <w:r>
              <w:rPr>
                <w:sz w:val="11"/>
              </w:rPr>
              <w:t>271,802.00</w:t>
            </w:r>
          </w:p>
        </w:tc>
        <w:tc>
          <w:tcPr>
            <w:tcW w:w="899" w:type="dxa"/>
          </w:tcPr>
          <w:p>
            <w:pPr>
              <w:pStyle w:val="TableParagraph"/>
              <w:spacing w:line="110" w:lineRule="exact" w:before="51"/>
              <w:ind w:right="53"/>
              <w:jc w:val="right"/>
              <w:rPr>
                <w:sz w:val="11"/>
              </w:rPr>
            </w:pPr>
            <w:r>
              <w:rPr>
                <w:sz w:val="11"/>
              </w:rPr>
              <w:t>276,302.00</w:t>
            </w:r>
          </w:p>
        </w:tc>
        <w:tc>
          <w:tcPr>
            <w:tcW w:w="1109" w:type="dxa"/>
          </w:tcPr>
          <w:p>
            <w:pPr>
              <w:pStyle w:val="TableParagraph"/>
              <w:spacing w:line="110" w:lineRule="exact" w:before="51"/>
              <w:ind w:right="53"/>
              <w:jc w:val="right"/>
              <w:rPr>
                <w:sz w:val="11"/>
              </w:rPr>
            </w:pPr>
            <w:r>
              <w:rPr>
                <w:sz w:val="11"/>
              </w:rPr>
              <w:t>0.00</w:t>
            </w:r>
          </w:p>
        </w:tc>
        <w:tc>
          <w:tcPr>
            <w:tcW w:w="1213" w:type="dxa"/>
          </w:tcPr>
          <w:p>
            <w:pPr>
              <w:pStyle w:val="TableParagraph"/>
              <w:spacing w:line="110" w:lineRule="exact" w:before="51"/>
              <w:ind w:right="157"/>
              <w:jc w:val="right"/>
              <w:rPr>
                <w:sz w:val="11"/>
              </w:rPr>
            </w:pPr>
            <w:r>
              <w:rPr>
                <w:sz w:val="11"/>
              </w:rPr>
              <w:t>166,779.00</w:t>
            </w:r>
          </w:p>
        </w:tc>
        <w:tc>
          <w:tcPr>
            <w:tcW w:w="1004" w:type="dxa"/>
          </w:tcPr>
          <w:p>
            <w:pPr>
              <w:pStyle w:val="TableParagraph"/>
              <w:spacing w:line="110" w:lineRule="exact" w:before="51"/>
              <w:ind w:right="53"/>
              <w:jc w:val="right"/>
              <w:rPr>
                <w:sz w:val="11"/>
              </w:rPr>
            </w:pPr>
            <w:r>
              <w:rPr>
                <w:sz w:val="11"/>
              </w:rPr>
              <w:t>166,779.00</w:t>
            </w:r>
          </w:p>
        </w:tc>
        <w:tc>
          <w:tcPr>
            <w:tcW w:w="615" w:type="dxa"/>
          </w:tcPr>
          <w:p>
            <w:pPr>
              <w:pStyle w:val="TableParagraph"/>
              <w:spacing w:line="110" w:lineRule="exact" w:before="51"/>
              <w:ind w:right="25"/>
              <w:jc w:val="right"/>
              <w:rPr>
                <w:sz w:val="11"/>
              </w:rPr>
            </w:pPr>
            <w:r>
              <w:rPr>
                <w:sz w:val="11"/>
              </w:rPr>
              <w:t>-39.6%</w:t>
            </w:r>
          </w:p>
        </w:tc>
      </w:tr>
      <w:tr>
        <w:trPr>
          <w:trHeight w:val="332" w:hRule="atLeast"/>
        </w:trPr>
        <w:tc>
          <w:tcPr>
            <w:tcW w:w="2596" w:type="dxa"/>
          </w:tcPr>
          <w:p>
            <w:pPr>
              <w:pStyle w:val="TableParagraph"/>
              <w:spacing w:before="98"/>
              <w:ind w:left="28"/>
              <w:rPr>
                <w:b/>
                <w:sz w:val="11"/>
              </w:rPr>
            </w:pPr>
            <w:r>
              <w:rPr>
                <w:b/>
                <w:sz w:val="11"/>
              </w:rPr>
              <w:t>OTHER STATE REVENUE</w:t>
            </w:r>
          </w:p>
        </w:tc>
        <w:tc>
          <w:tcPr>
            <w:tcW w:w="1098" w:type="dxa"/>
          </w:tcPr>
          <w:p>
            <w:pPr>
              <w:pStyle w:val="TableParagraph"/>
              <w:rPr>
                <w:rFonts w:ascii="Times New Roman"/>
                <w:sz w:val="10"/>
              </w:rPr>
            </w:pPr>
          </w:p>
        </w:tc>
        <w:tc>
          <w:tcPr>
            <w:tcW w:w="680" w:type="dxa"/>
          </w:tcPr>
          <w:p>
            <w:pPr>
              <w:pStyle w:val="TableParagraph"/>
              <w:rPr>
                <w:rFonts w:ascii="Times New Roman"/>
                <w:sz w:val="10"/>
              </w:rPr>
            </w:pPr>
          </w:p>
        </w:tc>
        <w:tc>
          <w:tcPr>
            <w:tcW w:w="1378" w:type="dxa"/>
            <w:shd w:val="clear" w:color="auto" w:fill="DFDFDF"/>
          </w:tcPr>
          <w:p>
            <w:pPr>
              <w:pStyle w:val="TableParagraph"/>
              <w:rPr>
                <w:rFonts w:ascii="Times New Roman"/>
                <w:sz w:val="10"/>
              </w:rPr>
            </w:pPr>
          </w:p>
        </w:tc>
        <w:tc>
          <w:tcPr>
            <w:tcW w:w="1050" w:type="dxa"/>
          </w:tcPr>
          <w:p>
            <w:pPr>
              <w:pStyle w:val="TableParagraph"/>
              <w:rPr>
                <w:rFonts w:ascii="Times New Roman"/>
                <w:sz w:val="10"/>
              </w:rPr>
            </w:pPr>
          </w:p>
        </w:tc>
        <w:tc>
          <w:tcPr>
            <w:tcW w:w="899" w:type="dxa"/>
          </w:tcPr>
          <w:p>
            <w:pPr>
              <w:pStyle w:val="TableParagraph"/>
              <w:rPr>
                <w:rFonts w:ascii="Times New Roman"/>
                <w:sz w:val="10"/>
              </w:rPr>
            </w:pPr>
          </w:p>
        </w:tc>
        <w:tc>
          <w:tcPr>
            <w:tcW w:w="1109" w:type="dxa"/>
            <w:shd w:val="clear" w:color="auto" w:fill="DFDFDF"/>
          </w:tcPr>
          <w:p>
            <w:pPr>
              <w:pStyle w:val="TableParagraph"/>
              <w:rPr>
                <w:rFonts w:ascii="Times New Roman"/>
                <w:sz w:val="10"/>
              </w:rPr>
            </w:pPr>
          </w:p>
        </w:tc>
        <w:tc>
          <w:tcPr>
            <w:tcW w:w="1213" w:type="dxa"/>
          </w:tcPr>
          <w:p>
            <w:pPr>
              <w:pStyle w:val="TableParagraph"/>
              <w:rPr>
                <w:rFonts w:ascii="Times New Roman"/>
                <w:sz w:val="10"/>
              </w:rPr>
            </w:pPr>
          </w:p>
        </w:tc>
        <w:tc>
          <w:tcPr>
            <w:tcW w:w="1004" w:type="dxa"/>
          </w:tcPr>
          <w:p>
            <w:pPr>
              <w:pStyle w:val="TableParagraph"/>
              <w:rPr>
                <w:rFonts w:ascii="Times New Roman"/>
                <w:sz w:val="10"/>
              </w:rPr>
            </w:pPr>
          </w:p>
        </w:tc>
        <w:tc>
          <w:tcPr>
            <w:tcW w:w="615" w:type="dxa"/>
          </w:tcPr>
          <w:p>
            <w:pPr>
              <w:pStyle w:val="TableParagraph"/>
              <w:rPr>
                <w:rFonts w:ascii="Times New Roman"/>
                <w:sz w:val="10"/>
              </w:rPr>
            </w:pPr>
          </w:p>
        </w:tc>
      </w:tr>
      <w:tr>
        <w:trPr>
          <w:trHeight w:val="285" w:hRule="atLeast"/>
        </w:trPr>
        <w:tc>
          <w:tcPr>
            <w:tcW w:w="2596" w:type="dxa"/>
          </w:tcPr>
          <w:p>
            <w:pPr>
              <w:pStyle w:val="TableParagraph"/>
              <w:spacing w:before="106"/>
              <w:ind w:left="90"/>
              <w:rPr>
                <w:sz w:val="11"/>
              </w:rPr>
            </w:pPr>
            <w:r>
              <w:rPr>
                <w:sz w:val="11"/>
              </w:rPr>
              <w:t>Other State Apportionments</w:t>
            </w:r>
          </w:p>
        </w:tc>
        <w:tc>
          <w:tcPr>
            <w:tcW w:w="1098" w:type="dxa"/>
          </w:tcPr>
          <w:p>
            <w:pPr>
              <w:pStyle w:val="TableParagraph"/>
              <w:rPr>
                <w:rFonts w:ascii="Times New Roman"/>
                <w:sz w:val="10"/>
              </w:rPr>
            </w:pPr>
          </w:p>
        </w:tc>
        <w:tc>
          <w:tcPr>
            <w:tcW w:w="680" w:type="dxa"/>
          </w:tcPr>
          <w:p>
            <w:pPr>
              <w:pStyle w:val="TableParagraph"/>
              <w:rPr>
                <w:rFonts w:ascii="Times New Roman"/>
                <w:sz w:val="10"/>
              </w:rPr>
            </w:pPr>
          </w:p>
        </w:tc>
        <w:tc>
          <w:tcPr>
            <w:tcW w:w="1378" w:type="dxa"/>
            <w:shd w:val="clear" w:color="auto" w:fill="DFDFDF"/>
          </w:tcPr>
          <w:p>
            <w:pPr>
              <w:pStyle w:val="TableParagraph"/>
              <w:rPr>
                <w:rFonts w:ascii="Times New Roman"/>
                <w:sz w:val="10"/>
              </w:rPr>
            </w:pPr>
          </w:p>
        </w:tc>
        <w:tc>
          <w:tcPr>
            <w:tcW w:w="1050" w:type="dxa"/>
          </w:tcPr>
          <w:p>
            <w:pPr>
              <w:pStyle w:val="TableParagraph"/>
              <w:rPr>
                <w:rFonts w:ascii="Times New Roman"/>
                <w:sz w:val="10"/>
              </w:rPr>
            </w:pPr>
          </w:p>
        </w:tc>
        <w:tc>
          <w:tcPr>
            <w:tcW w:w="899" w:type="dxa"/>
          </w:tcPr>
          <w:p>
            <w:pPr>
              <w:pStyle w:val="TableParagraph"/>
              <w:rPr>
                <w:rFonts w:ascii="Times New Roman"/>
                <w:sz w:val="10"/>
              </w:rPr>
            </w:pPr>
          </w:p>
        </w:tc>
        <w:tc>
          <w:tcPr>
            <w:tcW w:w="1109" w:type="dxa"/>
            <w:shd w:val="clear" w:color="auto" w:fill="DFDFDF"/>
          </w:tcPr>
          <w:p>
            <w:pPr>
              <w:pStyle w:val="TableParagraph"/>
              <w:rPr>
                <w:rFonts w:ascii="Times New Roman"/>
                <w:sz w:val="10"/>
              </w:rPr>
            </w:pPr>
          </w:p>
        </w:tc>
        <w:tc>
          <w:tcPr>
            <w:tcW w:w="1213" w:type="dxa"/>
          </w:tcPr>
          <w:p>
            <w:pPr>
              <w:pStyle w:val="TableParagraph"/>
              <w:rPr>
                <w:rFonts w:ascii="Times New Roman"/>
                <w:sz w:val="10"/>
              </w:rPr>
            </w:pPr>
          </w:p>
        </w:tc>
        <w:tc>
          <w:tcPr>
            <w:tcW w:w="1004" w:type="dxa"/>
          </w:tcPr>
          <w:p>
            <w:pPr>
              <w:pStyle w:val="TableParagraph"/>
              <w:rPr>
                <w:rFonts w:ascii="Times New Roman"/>
                <w:sz w:val="10"/>
              </w:rPr>
            </w:pPr>
          </w:p>
        </w:tc>
        <w:tc>
          <w:tcPr>
            <w:tcW w:w="615" w:type="dxa"/>
          </w:tcPr>
          <w:p>
            <w:pPr>
              <w:pStyle w:val="TableParagraph"/>
              <w:rPr>
                <w:rFonts w:ascii="Times New Roman"/>
                <w:sz w:val="10"/>
              </w:rPr>
            </w:pPr>
          </w:p>
        </w:tc>
      </w:tr>
      <w:tr>
        <w:trPr>
          <w:trHeight w:val="190" w:hRule="atLeast"/>
        </w:trPr>
        <w:tc>
          <w:tcPr>
            <w:tcW w:w="2596" w:type="dxa"/>
          </w:tcPr>
          <w:p>
            <w:pPr>
              <w:pStyle w:val="TableParagraph"/>
              <w:spacing w:line="120" w:lineRule="exact" w:before="51"/>
              <w:ind w:left="152"/>
              <w:rPr>
                <w:sz w:val="11"/>
              </w:rPr>
            </w:pPr>
            <w:r>
              <w:rPr>
                <w:sz w:val="11"/>
              </w:rPr>
              <w:t>ROC/P Entitlement</w:t>
            </w:r>
          </w:p>
        </w:tc>
        <w:tc>
          <w:tcPr>
            <w:tcW w:w="1098" w:type="dxa"/>
          </w:tcPr>
          <w:p>
            <w:pPr>
              <w:pStyle w:val="TableParagraph"/>
              <w:rPr>
                <w:rFonts w:ascii="Times New Roman"/>
                <w:sz w:val="10"/>
              </w:rPr>
            </w:pPr>
          </w:p>
        </w:tc>
        <w:tc>
          <w:tcPr>
            <w:tcW w:w="680" w:type="dxa"/>
          </w:tcPr>
          <w:p>
            <w:pPr>
              <w:pStyle w:val="TableParagraph"/>
              <w:rPr>
                <w:rFonts w:ascii="Times New Roman"/>
                <w:sz w:val="10"/>
              </w:rPr>
            </w:pPr>
          </w:p>
        </w:tc>
        <w:tc>
          <w:tcPr>
            <w:tcW w:w="1378" w:type="dxa"/>
            <w:shd w:val="clear" w:color="auto" w:fill="DFDFDF"/>
          </w:tcPr>
          <w:p>
            <w:pPr>
              <w:pStyle w:val="TableParagraph"/>
              <w:rPr>
                <w:rFonts w:ascii="Times New Roman"/>
                <w:sz w:val="10"/>
              </w:rPr>
            </w:pPr>
          </w:p>
        </w:tc>
        <w:tc>
          <w:tcPr>
            <w:tcW w:w="1050" w:type="dxa"/>
          </w:tcPr>
          <w:p>
            <w:pPr>
              <w:pStyle w:val="TableParagraph"/>
              <w:rPr>
                <w:rFonts w:ascii="Times New Roman"/>
                <w:sz w:val="10"/>
              </w:rPr>
            </w:pPr>
          </w:p>
        </w:tc>
        <w:tc>
          <w:tcPr>
            <w:tcW w:w="899" w:type="dxa"/>
          </w:tcPr>
          <w:p>
            <w:pPr>
              <w:pStyle w:val="TableParagraph"/>
              <w:rPr>
                <w:rFonts w:ascii="Times New Roman"/>
                <w:sz w:val="10"/>
              </w:rPr>
            </w:pPr>
          </w:p>
        </w:tc>
        <w:tc>
          <w:tcPr>
            <w:tcW w:w="1109" w:type="dxa"/>
            <w:shd w:val="clear" w:color="auto" w:fill="DFDFDF"/>
          </w:tcPr>
          <w:p>
            <w:pPr>
              <w:pStyle w:val="TableParagraph"/>
              <w:rPr>
                <w:rFonts w:ascii="Times New Roman"/>
                <w:sz w:val="10"/>
              </w:rPr>
            </w:pPr>
          </w:p>
        </w:tc>
        <w:tc>
          <w:tcPr>
            <w:tcW w:w="1213" w:type="dxa"/>
          </w:tcPr>
          <w:p>
            <w:pPr>
              <w:pStyle w:val="TableParagraph"/>
              <w:rPr>
                <w:rFonts w:ascii="Times New Roman"/>
                <w:sz w:val="10"/>
              </w:rPr>
            </w:pPr>
          </w:p>
        </w:tc>
        <w:tc>
          <w:tcPr>
            <w:tcW w:w="1004" w:type="dxa"/>
          </w:tcPr>
          <w:p>
            <w:pPr>
              <w:pStyle w:val="TableParagraph"/>
              <w:rPr>
                <w:rFonts w:ascii="Times New Roman"/>
                <w:sz w:val="10"/>
              </w:rPr>
            </w:pPr>
          </w:p>
        </w:tc>
        <w:tc>
          <w:tcPr>
            <w:tcW w:w="615" w:type="dxa"/>
          </w:tcPr>
          <w:p>
            <w:pPr>
              <w:pStyle w:val="TableParagraph"/>
              <w:rPr>
                <w:rFonts w:ascii="Times New Roman"/>
                <w:sz w:val="10"/>
              </w:rPr>
            </w:pPr>
          </w:p>
        </w:tc>
      </w:tr>
      <w:tr>
        <w:trPr>
          <w:trHeight w:val="190" w:hRule="atLeast"/>
        </w:trPr>
        <w:tc>
          <w:tcPr>
            <w:tcW w:w="2596" w:type="dxa"/>
          </w:tcPr>
          <w:p>
            <w:pPr>
              <w:pStyle w:val="TableParagraph"/>
              <w:spacing w:before="11"/>
              <w:ind w:left="214"/>
              <w:rPr>
                <w:sz w:val="11"/>
              </w:rPr>
            </w:pPr>
            <w:r>
              <w:rPr>
                <w:sz w:val="11"/>
              </w:rPr>
              <w:t>Prior Years</w:t>
            </w:r>
          </w:p>
        </w:tc>
        <w:tc>
          <w:tcPr>
            <w:tcW w:w="1098" w:type="dxa"/>
          </w:tcPr>
          <w:p>
            <w:pPr>
              <w:pStyle w:val="TableParagraph"/>
              <w:spacing w:before="11"/>
              <w:ind w:left="41" w:right="128"/>
              <w:jc w:val="center"/>
              <w:rPr>
                <w:sz w:val="11"/>
              </w:rPr>
            </w:pPr>
            <w:r>
              <w:rPr>
                <w:sz w:val="11"/>
              </w:rPr>
              <w:t>6360</w:t>
            </w:r>
          </w:p>
        </w:tc>
        <w:tc>
          <w:tcPr>
            <w:tcW w:w="680" w:type="dxa"/>
          </w:tcPr>
          <w:p>
            <w:pPr>
              <w:pStyle w:val="TableParagraph"/>
              <w:spacing w:before="11"/>
              <w:ind w:right="234"/>
              <w:jc w:val="right"/>
              <w:rPr>
                <w:sz w:val="11"/>
              </w:rPr>
            </w:pPr>
            <w:r>
              <w:rPr>
                <w:sz w:val="11"/>
              </w:rPr>
              <w:t>8319</w:t>
            </w:r>
          </w:p>
        </w:tc>
        <w:tc>
          <w:tcPr>
            <w:tcW w:w="1378" w:type="dxa"/>
            <w:shd w:val="clear" w:color="auto" w:fill="DFDFDF"/>
          </w:tcPr>
          <w:p>
            <w:pPr>
              <w:pStyle w:val="TableParagraph"/>
              <w:rPr>
                <w:rFonts w:ascii="Times New Roman"/>
                <w:sz w:val="10"/>
              </w:rPr>
            </w:pPr>
          </w:p>
        </w:tc>
        <w:tc>
          <w:tcPr>
            <w:tcW w:w="1050" w:type="dxa"/>
          </w:tcPr>
          <w:p>
            <w:pPr>
              <w:pStyle w:val="TableParagraph"/>
              <w:spacing w:before="11"/>
              <w:ind w:right="263"/>
              <w:jc w:val="right"/>
              <w:rPr>
                <w:sz w:val="11"/>
              </w:rPr>
            </w:pPr>
            <w:r>
              <w:rPr>
                <w:sz w:val="11"/>
              </w:rPr>
              <w:t>0.00</w:t>
            </w:r>
          </w:p>
        </w:tc>
        <w:tc>
          <w:tcPr>
            <w:tcW w:w="899" w:type="dxa"/>
          </w:tcPr>
          <w:p>
            <w:pPr>
              <w:pStyle w:val="TableParagraph"/>
              <w:spacing w:before="11"/>
              <w:ind w:right="53"/>
              <w:jc w:val="right"/>
              <w:rPr>
                <w:sz w:val="11"/>
              </w:rPr>
            </w:pPr>
            <w:r>
              <w:rPr>
                <w:sz w:val="11"/>
              </w:rPr>
              <w:t>0.00</w:t>
            </w:r>
          </w:p>
        </w:tc>
        <w:tc>
          <w:tcPr>
            <w:tcW w:w="1109" w:type="dxa"/>
            <w:shd w:val="clear" w:color="auto" w:fill="DFDFDF"/>
          </w:tcPr>
          <w:p>
            <w:pPr>
              <w:pStyle w:val="TableParagraph"/>
              <w:rPr>
                <w:rFonts w:ascii="Times New Roman"/>
                <w:sz w:val="10"/>
              </w:rPr>
            </w:pPr>
          </w:p>
        </w:tc>
        <w:tc>
          <w:tcPr>
            <w:tcW w:w="1213" w:type="dxa"/>
          </w:tcPr>
          <w:p>
            <w:pPr>
              <w:pStyle w:val="TableParagraph"/>
              <w:spacing w:before="11"/>
              <w:ind w:right="157"/>
              <w:jc w:val="right"/>
              <w:rPr>
                <w:sz w:val="11"/>
              </w:rPr>
            </w:pPr>
            <w:r>
              <w:rPr>
                <w:sz w:val="11"/>
              </w:rPr>
              <w:t>0.00</w:t>
            </w:r>
          </w:p>
        </w:tc>
        <w:tc>
          <w:tcPr>
            <w:tcW w:w="1004" w:type="dxa"/>
          </w:tcPr>
          <w:p>
            <w:pPr>
              <w:pStyle w:val="TableParagraph"/>
              <w:spacing w:before="11"/>
              <w:ind w:right="52"/>
              <w:jc w:val="right"/>
              <w:rPr>
                <w:sz w:val="11"/>
              </w:rPr>
            </w:pPr>
            <w:r>
              <w:rPr>
                <w:sz w:val="11"/>
              </w:rPr>
              <w:t>0.00</w:t>
            </w:r>
          </w:p>
        </w:tc>
        <w:tc>
          <w:tcPr>
            <w:tcW w:w="615" w:type="dxa"/>
          </w:tcPr>
          <w:p>
            <w:pPr>
              <w:pStyle w:val="TableParagraph"/>
              <w:spacing w:before="11"/>
              <w:ind w:right="25"/>
              <w:jc w:val="right"/>
              <w:rPr>
                <w:sz w:val="11"/>
              </w:rPr>
            </w:pPr>
            <w:r>
              <w:rPr>
                <w:sz w:val="11"/>
              </w:rPr>
              <w:t>0.0%</w:t>
            </w:r>
          </w:p>
        </w:tc>
      </w:tr>
      <w:tr>
        <w:trPr>
          <w:trHeight w:val="190" w:hRule="atLeast"/>
        </w:trPr>
        <w:tc>
          <w:tcPr>
            <w:tcW w:w="2596" w:type="dxa"/>
          </w:tcPr>
          <w:p>
            <w:pPr>
              <w:pStyle w:val="TableParagraph"/>
              <w:spacing w:line="120" w:lineRule="exact" w:before="51"/>
              <w:ind w:left="152"/>
              <w:rPr>
                <w:sz w:val="11"/>
              </w:rPr>
            </w:pPr>
            <w:r>
              <w:rPr>
                <w:sz w:val="11"/>
              </w:rPr>
              <w:t>Special Education Master Plan</w:t>
            </w:r>
          </w:p>
        </w:tc>
        <w:tc>
          <w:tcPr>
            <w:tcW w:w="1098" w:type="dxa"/>
          </w:tcPr>
          <w:p>
            <w:pPr>
              <w:pStyle w:val="TableParagraph"/>
              <w:rPr>
                <w:rFonts w:ascii="Times New Roman"/>
                <w:sz w:val="10"/>
              </w:rPr>
            </w:pPr>
          </w:p>
        </w:tc>
        <w:tc>
          <w:tcPr>
            <w:tcW w:w="680" w:type="dxa"/>
          </w:tcPr>
          <w:p>
            <w:pPr>
              <w:pStyle w:val="TableParagraph"/>
              <w:rPr>
                <w:rFonts w:ascii="Times New Roman"/>
                <w:sz w:val="10"/>
              </w:rPr>
            </w:pPr>
          </w:p>
        </w:tc>
        <w:tc>
          <w:tcPr>
            <w:tcW w:w="1378" w:type="dxa"/>
            <w:shd w:val="clear" w:color="auto" w:fill="DFDFDF"/>
          </w:tcPr>
          <w:p>
            <w:pPr>
              <w:pStyle w:val="TableParagraph"/>
              <w:rPr>
                <w:rFonts w:ascii="Times New Roman"/>
                <w:sz w:val="10"/>
              </w:rPr>
            </w:pPr>
          </w:p>
        </w:tc>
        <w:tc>
          <w:tcPr>
            <w:tcW w:w="1050" w:type="dxa"/>
          </w:tcPr>
          <w:p>
            <w:pPr>
              <w:pStyle w:val="TableParagraph"/>
              <w:rPr>
                <w:rFonts w:ascii="Times New Roman"/>
                <w:sz w:val="10"/>
              </w:rPr>
            </w:pPr>
          </w:p>
        </w:tc>
        <w:tc>
          <w:tcPr>
            <w:tcW w:w="899" w:type="dxa"/>
          </w:tcPr>
          <w:p>
            <w:pPr>
              <w:pStyle w:val="TableParagraph"/>
              <w:rPr>
                <w:rFonts w:ascii="Times New Roman"/>
                <w:sz w:val="10"/>
              </w:rPr>
            </w:pPr>
          </w:p>
        </w:tc>
        <w:tc>
          <w:tcPr>
            <w:tcW w:w="1109" w:type="dxa"/>
            <w:shd w:val="clear" w:color="auto" w:fill="DFDFDF"/>
          </w:tcPr>
          <w:p>
            <w:pPr>
              <w:pStyle w:val="TableParagraph"/>
              <w:rPr>
                <w:rFonts w:ascii="Times New Roman"/>
                <w:sz w:val="10"/>
              </w:rPr>
            </w:pPr>
          </w:p>
        </w:tc>
        <w:tc>
          <w:tcPr>
            <w:tcW w:w="1213" w:type="dxa"/>
          </w:tcPr>
          <w:p>
            <w:pPr>
              <w:pStyle w:val="TableParagraph"/>
              <w:rPr>
                <w:rFonts w:ascii="Times New Roman"/>
                <w:sz w:val="10"/>
              </w:rPr>
            </w:pPr>
          </w:p>
        </w:tc>
        <w:tc>
          <w:tcPr>
            <w:tcW w:w="1004" w:type="dxa"/>
          </w:tcPr>
          <w:p>
            <w:pPr>
              <w:pStyle w:val="TableParagraph"/>
              <w:rPr>
                <w:rFonts w:ascii="Times New Roman"/>
                <w:sz w:val="10"/>
              </w:rPr>
            </w:pPr>
          </w:p>
        </w:tc>
        <w:tc>
          <w:tcPr>
            <w:tcW w:w="615" w:type="dxa"/>
          </w:tcPr>
          <w:p>
            <w:pPr>
              <w:pStyle w:val="TableParagraph"/>
              <w:rPr>
                <w:rFonts w:ascii="Times New Roman"/>
                <w:sz w:val="10"/>
              </w:rPr>
            </w:pPr>
          </w:p>
        </w:tc>
      </w:tr>
      <w:tr>
        <w:trPr>
          <w:trHeight w:val="190" w:hRule="atLeast"/>
        </w:trPr>
        <w:tc>
          <w:tcPr>
            <w:tcW w:w="2596" w:type="dxa"/>
          </w:tcPr>
          <w:p>
            <w:pPr>
              <w:pStyle w:val="TableParagraph"/>
              <w:spacing w:before="11"/>
              <w:ind w:left="214"/>
              <w:rPr>
                <w:sz w:val="11"/>
              </w:rPr>
            </w:pPr>
            <w:r>
              <w:rPr>
                <w:sz w:val="11"/>
              </w:rPr>
              <w:t>Current Year</w:t>
            </w:r>
          </w:p>
        </w:tc>
        <w:tc>
          <w:tcPr>
            <w:tcW w:w="1098" w:type="dxa"/>
          </w:tcPr>
          <w:p>
            <w:pPr>
              <w:pStyle w:val="TableParagraph"/>
              <w:spacing w:before="11"/>
              <w:ind w:left="41" w:right="128"/>
              <w:jc w:val="center"/>
              <w:rPr>
                <w:sz w:val="11"/>
              </w:rPr>
            </w:pPr>
            <w:r>
              <w:rPr>
                <w:sz w:val="11"/>
              </w:rPr>
              <w:t>6500</w:t>
            </w:r>
          </w:p>
        </w:tc>
        <w:tc>
          <w:tcPr>
            <w:tcW w:w="680" w:type="dxa"/>
          </w:tcPr>
          <w:p>
            <w:pPr>
              <w:pStyle w:val="TableParagraph"/>
              <w:spacing w:before="11"/>
              <w:ind w:right="234"/>
              <w:jc w:val="right"/>
              <w:rPr>
                <w:sz w:val="11"/>
              </w:rPr>
            </w:pPr>
            <w:r>
              <w:rPr>
                <w:sz w:val="11"/>
              </w:rPr>
              <w:t>8311</w:t>
            </w:r>
          </w:p>
        </w:tc>
        <w:tc>
          <w:tcPr>
            <w:tcW w:w="1378" w:type="dxa"/>
            <w:shd w:val="clear" w:color="auto" w:fill="DFDFDF"/>
          </w:tcPr>
          <w:p>
            <w:pPr>
              <w:pStyle w:val="TableParagraph"/>
              <w:rPr>
                <w:rFonts w:ascii="Times New Roman"/>
                <w:sz w:val="10"/>
              </w:rPr>
            </w:pPr>
          </w:p>
        </w:tc>
        <w:tc>
          <w:tcPr>
            <w:tcW w:w="1050" w:type="dxa"/>
          </w:tcPr>
          <w:p>
            <w:pPr>
              <w:pStyle w:val="TableParagraph"/>
              <w:spacing w:before="11"/>
              <w:ind w:right="263"/>
              <w:jc w:val="right"/>
              <w:rPr>
                <w:sz w:val="11"/>
              </w:rPr>
            </w:pPr>
            <w:r>
              <w:rPr>
                <w:sz w:val="11"/>
              </w:rPr>
              <w:t>0.00</w:t>
            </w:r>
          </w:p>
        </w:tc>
        <w:tc>
          <w:tcPr>
            <w:tcW w:w="899" w:type="dxa"/>
          </w:tcPr>
          <w:p>
            <w:pPr>
              <w:pStyle w:val="TableParagraph"/>
              <w:spacing w:before="11"/>
              <w:ind w:right="53"/>
              <w:jc w:val="right"/>
              <w:rPr>
                <w:sz w:val="11"/>
              </w:rPr>
            </w:pPr>
            <w:r>
              <w:rPr>
                <w:sz w:val="11"/>
              </w:rPr>
              <w:t>0.00</w:t>
            </w:r>
          </w:p>
        </w:tc>
        <w:tc>
          <w:tcPr>
            <w:tcW w:w="1109" w:type="dxa"/>
            <w:shd w:val="clear" w:color="auto" w:fill="DFDFDF"/>
          </w:tcPr>
          <w:p>
            <w:pPr>
              <w:pStyle w:val="TableParagraph"/>
              <w:rPr>
                <w:rFonts w:ascii="Times New Roman"/>
                <w:sz w:val="10"/>
              </w:rPr>
            </w:pPr>
          </w:p>
        </w:tc>
        <w:tc>
          <w:tcPr>
            <w:tcW w:w="1213" w:type="dxa"/>
          </w:tcPr>
          <w:p>
            <w:pPr>
              <w:pStyle w:val="TableParagraph"/>
              <w:spacing w:before="11"/>
              <w:ind w:right="157"/>
              <w:jc w:val="right"/>
              <w:rPr>
                <w:sz w:val="11"/>
              </w:rPr>
            </w:pPr>
            <w:r>
              <w:rPr>
                <w:sz w:val="11"/>
              </w:rPr>
              <w:t>0.00</w:t>
            </w:r>
          </w:p>
        </w:tc>
        <w:tc>
          <w:tcPr>
            <w:tcW w:w="1004" w:type="dxa"/>
          </w:tcPr>
          <w:p>
            <w:pPr>
              <w:pStyle w:val="TableParagraph"/>
              <w:spacing w:before="11"/>
              <w:ind w:right="52"/>
              <w:jc w:val="right"/>
              <w:rPr>
                <w:sz w:val="11"/>
              </w:rPr>
            </w:pPr>
            <w:r>
              <w:rPr>
                <w:sz w:val="11"/>
              </w:rPr>
              <w:t>0.00</w:t>
            </w:r>
          </w:p>
        </w:tc>
        <w:tc>
          <w:tcPr>
            <w:tcW w:w="615" w:type="dxa"/>
          </w:tcPr>
          <w:p>
            <w:pPr>
              <w:pStyle w:val="TableParagraph"/>
              <w:spacing w:before="11"/>
              <w:ind w:right="25"/>
              <w:jc w:val="right"/>
              <w:rPr>
                <w:sz w:val="11"/>
              </w:rPr>
            </w:pPr>
            <w:r>
              <w:rPr>
                <w:sz w:val="11"/>
              </w:rPr>
              <w:t>0.0%</w:t>
            </w:r>
          </w:p>
        </w:tc>
      </w:tr>
      <w:tr>
        <w:trPr>
          <w:trHeight w:val="230" w:hRule="atLeast"/>
        </w:trPr>
        <w:tc>
          <w:tcPr>
            <w:tcW w:w="2596" w:type="dxa"/>
          </w:tcPr>
          <w:p>
            <w:pPr>
              <w:pStyle w:val="TableParagraph"/>
              <w:spacing w:before="51"/>
              <w:ind w:left="214"/>
              <w:rPr>
                <w:sz w:val="11"/>
              </w:rPr>
            </w:pPr>
            <w:r>
              <w:rPr>
                <w:sz w:val="11"/>
              </w:rPr>
              <w:t>Prior Years</w:t>
            </w:r>
          </w:p>
        </w:tc>
        <w:tc>
          <w:tcPr>
            <w:tcW w:w="1098" w:type="dxa"/>
          </w:tcPr>
          <w:p>
            <w:pPr>
              <w:pStyle w:val="TableParagraph"/>
              <w:spacing w:before="51"/>
              <w:ind w:left="41" w:right="128"/>
              <w:jc w:val="center"/>
              <w:rPr>
                <w:sz w:val="11"/>
              </w:rPr>
            </w:pPr>
            <w:r>
              <w:rPr>
                <w:sz w:val="11"/>
              </w:rPr>
              <w:t>6500</w:t>
            </w:r>
          </w:p>
        </w:tc>
        <w:tc>
          <w:tcPr>
            <w:tcW w:w="680" w:type="dxa"/>
          </w:tcPr>
          <w:p>
            <w:pPr>
              <w:pStyle w:val="TableParagraph"/>
              <w:spacing w:before="51"/>
              <w:ind w:right="234"/>
              <w:jc w:val="right"/>
              <w:rPr>
                <w:sz w:val="11"/>
              </w:rPr>
            </w:pPr>
            <w:r>
              <w:rPr>
                <w:sz w:val="11"/>
              </w:rPr>
              <w:t>8319</w:t>
            </w:r>
          </w:p>
        </w:tc>
        <w:tc>
          <w:tcPr>
            <w:tcW w:w="1378" w:type="dxa"/>
            <w:shd w:val="clear" w:color="auto" w:fill="DFDFDF"/>
          </w:tcPr>
          <w:p>
            <w:pPr>
              <w:pStyle w:val="TableParagraph"/>
              <w:rPr>
                <w:rFonts w:ascii="Times New Roman"/>
                <w:sz w:val="10"/>
              </w:rPr>
            </w:pPr>
          </w:p>
        </w:tc>
        <w:tc>
          <w:tcPr>
            <w:tcW w:w="1050" w:type="dxa"/>
          </w:tcPr>
          <w:p>
            <w:pPr>
              <w:pStyle w:val="TableParagraph"/>
              <w:spacing w:before="51"/>
              <w:ind w:right="263"/>
              <w:jc w:val="right"/>
              <w:rPr>
                <w:sz w:val="11"/>
              </w:rPr>
            </w:pPr>
            <w:r>
              <w:rPr>
                <w:sz w:val="11"/>
              </w:rPr>
              <w:t>0.00</w:t>
            </w:r>
          </w:p>
        </w:tc>
        <w:tc>
          <w:tcPr>
            <w:tcW w:w="899" w:type="dxa"/>
          </w:tcPr>
          <w:p>
            <w:pPr>
              <w:pStyle w:val="TableParagraph"/>
              <w:spacing w:before="51"/>
              <w:ind w:right="53"/>
              <w:jc w:val="right"/>
              <w:rPr>
                <w:sz w:val="11"/>
              </w:rPr>
            </w:pPr>
            <w:r>
              <w:rPr>
                <w:sz w:val="11"/>
              </w:rPr>
              <w:t>0.00</w:t>
            </w:r>
          </w:p>
        </w:tc>
        <w:tc>
          <w:tcPr>
            <w:tcW w:w="1109" w:type="dxa"/>
            <w:shd w:val="clear" w:color="auto" w:fill="DFDFDF"/>
          </w:tcPr>
          <w:p>
            <w:pPr>
              <w:pStyle w:val="TableParagraph"/>
              <w:rPr>
                <w:rFonts w:ascii="Times New Roman"/>
                <w:sz w:val="10"/>
              </w:rPr>
            </w:pPr>
          </w:p>
        </w:tc>
        <w:tc>
          <w:tcPr>
            <w:tcW w:w="1213" w:type="dxa"/>
          </w:tcPr>
          <w:p>
            <w:pPr>
              <w:pStyle w:val="TableParagraph"/>
              <w:spacing w:before="51"/>
              <w:ind w:right="157"/>
              <w:jc w:val="right"/>
              <w:rPr>
                <w:sz w:val="11"/>
              </w:rPr>
            </w:pPr>
            <w:r>
              <w:rPr>
                <w:sz w:val="11"/>
              </w:rPr>
              <w:t>0.00</w:t>
            </w:r>
          </w:p>
        </w:tc>
        <w:tc>
          <w:tcPr>
            <w:tcW w:w="1004" w:type="dxa"/>
          </w:tcPr>
          <w:p>
            <w:pPr>
              <w:pStyle w:val="TableParagraph"/>
              <w:spacing w:before="51"/>
              <w:ind w:right="52"/>
              <w:jc w:val="right"/>
              <w:rPr>
                <w:sz w:val="11"/>
              </w:rPr>
            </w:pPr>
            <w:r>
              <w:rPr>
                <w:sz w:val="11"/>
              </w:rPr>
              <w:t>0.00</w:t>
            </w:r>
          </w:p>
        </w:tc>
        <w:tc>
          <w:tcPr>
            <w:tcW w:w="615" w:type="dxa"/>
          </w:tcPr>
          <w:p>
            <w:pPr>
              <w:pStyle w:val="TableParagraph"/>
              <w:spacing w:before="51"/>
              <w:ind w:right="25"/>
              <w:jc w:val="right"/>
              <w:rPr>
                <w:sz w:val="11"/>
              </w:rPr>
            </w:pPr>
            <w:r>
              <w:rPr>
                <w:sz w:val="11"/>
              </w:rPr>
              <w:t>0.0%</w:t>
            </w:r>
          </w:p>
        </w:tc>
      </w:tr>
      <w:tr>
        <w:trPr>
          <w:trHeight w:val="230" w:hRule="atLeast"/>
        </w:trPr>
        <w:tc>
          <w:tcPr>
            <w:tcW w:w="2596" w:type="dxa"/>
          </w:tcPr>
          <w:p>
            <w:pPr>
              <w:pStyle w:val="TableParagraph"/>
              <w:spacing w:before="51"/>
              <w:ind w:left="121"/>
              <w:rPr>
                <w:sz w:val="11"/>
              </w:rPr>
            </w:pPr>
            <w:r>
              <w:rPr>
                <w:sz w:val="11"/>
              </w:rPr>
              <w:t>All Other State Apportionments - Current Year</w:t>
            </w:r>
          </w:p>
        </w:tc>
        <w:tc>
          <w:tcPr>
            <w:tcW w:w="1098" w:type="dxa"/>
          </w:tcPr>
          <w:p>
            <w:pPr>
              <w:pStyle w:val="TableParagraph"/>
              <w:spacing w:before="51"/>
              <w:ind w:left="11" w:right="128"/>
              <w:jc w:val="center"/>
              <w:rPr>
                <w:sz w:val="11"/>
              </w:rPr>
            </w:pPr>
            <w:r>
              <w:rPr>
                <w:sz w:val="11"/>
              </w:rPr>
              <w:t>All Other</w:t>
            </w:r>
          </w:p>
        </w:tc>
        <w:tc>
          <w:tcPr>
            <w:tcW w:w="680" w:type="dxa"/>
          </w:tcPr>
          <w:p>
            <w:pPr>
              <w:pStyle w:val="TableParagraph"/>
              <w:spacing w:before="51"/>
              <w:ind w:right="234"/>
              <w:jc w:val="right"/>
              <w:rPr>
                <w:sz w:val="11"/>
              </w:rPr>
            </w:pPr>
            <w:r>
              <w:rPr>
                <w:sz w:val="11"/>
              </w:rPr>
              <w:t>8311</w:t>
            </w:r>
          </w:p>
        </w:tc>
        <w:tc>
          <w:tcPr>
            <w:tcW w:w="1378" w:type="dxa"/>
            <w:shd w:val="clear" w:color="auto" w:fill="DFDFDF"/>
          </w:tcPr>
          <w:p>
            <w:pPr>
              <w:pStyle w:val="TableParagraph"/>
              <w:spacing w:before="51"/>
              <w:ind w:right="321"/>
              <w:jc w:val="right"/>
              <w:rPr>
                <w:sz w:val="11"/>
              </w:rPr>
            </w:pPr>
            <w:r>
              <w:rPr>
                <w:sz w:val="11"/>
              </w:rPr>
              <w:t>0.00</w:t>
            </w:r>
          </w:p>
        </w:tc>
        <w:tc>
          <w:tcPr>
            <w:tcW w:w="1050" w:type="dxa"/>
          </w:tcPr>
          <w:p>
            <w:pPr>
              <w:pStyle w:val="TableParagraph"/>
              <w:spacing w:before="51"/>
              <w:ind w:right="263"/>
              <w:jc w:val="right"/>
              <w:rPr>
                <w:sz w:val="11"/>
              </w:rPr>
            </w:pPr>
            <w:r>
              <w:rPr>
                <w:sz w:val="11"/>
              </w:rPr>
              <w:t>0.00</w:t>
            </w:r>
          </w:p>
        </w:tc>
        <w:tc>
          <w:tcPr>
            <w:tcW w:w="899" w:type="dxa"/>
          </w:tcPr>
          <w:p>
            <w:pPr>
              <w:pStyle w:val="TableParagraph"/>
              <w:spacing w:before="51"/>
              <w:ind w:right="53"/>
              <w:jc w:val="right"/>
              <w:rPr>
                <w:sz w:val="11"/>
              </w:rPr>
            </w:pPr>
            <w:r>
              <w:rPr>
                <w:sz w:val="11"/>
              </w:rPr>
              <w:t>0.00</w:t>
            </w:r>
          </w:p>
        </w:tc>
        <w:tc>
          <w:tcPr>
            <w:tcW w:w="1109" w:type="dxa"/>
            <w:shd w:val="clear" w:color="auto" w:fill="DFDFDF"/>
          </w:tcPr>
          <w:p>
            <w:pPr>
              <w:pStyle w:val="TableParagraph"/>
              <w:spacing w:before="51"/>
              <w:ind w:right="53"/>
              <w:jc w:val="right"/>
              <w:rPr>
                <w:sz w:val="11"/>
              </w:rPr>
            </w:pPr>
            <w:r>
              <w:rPr>
                <w:sz w:val="11"/>
              </w:rPr>
              <w:t>0.00</w:t>
            </w:r>
          </w:p>
        </w:tc>
        <w:tc>
          <w:tcPr>
            <w:tcW w:w="1213" w:type="dxa"/>
          </w:tcPr>
          <w:p>
            <w:pPr>
              <w:pStyle w:val="TableParagraph"/>
              <w:spacing w:before="51"/>
              <w:ind w:right="157"/>
              <w:jc w:val="right"/>
              <w:rPr>
                <w:sz w:val="11"/>
              </w:rPr>
            </w:pPr>
            <w:r>
              <w:rPr>
                <w:sz w:val="11"/>
              </w:rPr>
              <w:t>0.00</w:t>
            </w:r>
          </w:p>
        </w:tc>
        <w:tc>
          <w:tcPr>
            <w:tcW w:w="1004" w:type="dxa"/>
          </w:tcPr>
          <w:p>
            <w:pPr>
              <w:pStyle w:val="TableParagraph"/>
              <w:spacing w:before="51"/>
              <w:ind w:right="52"/>
              <w:jc w:val="right"/>
              <w:rPr>
                <w:sz w:val="11"/>
              </w:rPr>
            </w:pPr>
            <w:r>
              <w:rPr>
                <w:sz w:val="11"/>
              </w:rPr>
              <w:t>0.00</w:t>
            </w:r>
          </w:p>
        </w:tc>
        <w:tc>
          <w:tcPr>
            <w:tcW w:w="615" w:type="dxa"/>
          </w:tcPr>
          <w:p>
            <w:pPr>
              <w:pStyle w:val="TableParagraph"/>
              <w:spacing w:before="51"/>
              <w:ind w:right="25"/>
              <w:jc w:val="right"/>
              <w:rPr>
                <w:sz w:val="11"/>
              </w:rPr>
            </w:pPr>
            <w:r>
              <w:rPr>
                <w:sz w:val="11"/>
              </w:rPr>
              <w:t>0.0%</w:t>
            </w:r>
          </w:p>
        </w:tc>
      </w:tr>
      <w:tr>
        <w:trPr>
          <w:trHeight w:val="230" w:hRule="atLeast"/>
        </w:trPr>
        <w:tc>
          <w:tcPr>
            <w:tcW w:w="2596" w:type="dxa"/>
          </w:tcPr>
          <w:p>
            <w:pPr>
              <w:pStyle w:val="TableParagraph"/>
              <w:spacing w:before="51"/>
              <w:ind w:left="121"/>
              <w:rPr>
                <w:sz w:val="11"/>
              </w:rPr>
            </w:pPr>
            <w:r>
              <w:rPr>
                <w:sz w:val="11"/>
              </w:rPr>
              <w:t>All Other State Apportionments - Prior Years</w:t>
            </w:r>
          </w:p>
        </w:tc>
        <w:tc>
          <w:tcPr>
            <w:tcW w:w="1098" w:type="dxa"/>
          </w:tcPr>
          <w:p>
            <w:pPr>
              <w:pStyle w:val="TableParagraph"/>
              <w:spacing w:before="51"/>
              <w:ind w:left="11" w:right="128"/>
              <w:jc w:val="center"/>
              <w:rPr>
                <w:sz w:val="11"/>
              </w:rPr>
            </w:pPr>
            <w:r>
              <w:rPr>
                <w:sz w:val="11"/>
              </w:rPr>
              <w:t>All Other</w:t>
            </w:r>
          </w:p>
        </w:tc>
        <w:tc>
          <w:tcPr>
            <w:tcW w:w="680" w:type="dxa"/>
          </w:tcPr>
          <w:p>
            <w:pPr>
              <w:pStyle w:val="TableParagraph"/>
              <w:spacing w:before="51"/>
              <w:ind w:right="234"/>
              <w:jc w:val="right"/>
              <w:rPr>
                <w:sz w:val="11"/>
              </w:rPr>
            </w:pPr>
            <w:r>
              <w:rPr>
                <w:sz w:val="11"/>
              </w:rPr>
              <w:t>8319</w:t>
            </w:r>
          </w:p>
        </w:tc>
        <w:tc>
          <w:tcPr>
            <w:tcW w:w="1378" w:type="dxa"/>
            <w:shd w:val="clear" w:color="auto" w:fill="DFDFDF"/>
          </w:tcPr>
          <w:p>
            <w:pPr>
              <w:pStyle w:val="TableParagraph"/>
              <w:spacing w:before="51"/>
              <w:ind w:right="321"/>
              <w:jc w:val="right"/>
              <w:rPr>
                <w:sz w:val="11"/>
              </w:rPr>
            </w:pPr>
            <w:r>
              <w:rPr>
                <w:sz w:val="11"/>
              </w:rPr>
              <w:t>0.00</w:t>
            </w:r>
          </w:p>
        </w:tc>
        <w:tc>
          <w:tcPr>
            <w:tcW w:w="1050" w:type="dxa"/>
          </w:tcPr>
          <w:p>
            <w:pPr>
              <w:pStyle w:val="TableParagraph"/>
              <w:spacing w:before="51"/>
              <w:ind w:right="263"/>
              <w:jc w:val="right"/>
              <w:rPr>
                <w:sz w:val="11"/>
              </w:rPr>
            </w:pPr>
            <w:r>
              <w:rPr>
                <w:sz w:val="11"/>
              </w:rPr>
              <w:t>0.00</w:t>
            </w:r>
          </w:p>
        </w:tc>
        <w:tc>
          <w:tcPr>
            <w:tcW w:w="899" w:type="dxa"/>
          </w:tcPr>
          <w:p>
            <w:pPr>
              <w:pStyle w:val="TableParagraph"/>
              <w:spacing w:before="51"/>
              <w:ind w:right="53"/>
              <w:jc w:val="right"/>
              <w:rPr>
                <w:sz w:val="11"/>
              </w:rPr>
            </w:pPr>
            <w:r>
              <w:rPr>
                <w:sz w:val="11"/>
              </w:rPr>
              <w:t>0.00</w:t>
            </w:r>
          </w:p>
        </w:tc>
        <w:tc>
          <w:tcPr>
            <w:tcW w:w="1109" w:type="dxa"/>
            <w:shd w:val="clear" w:color="auto" w:fill="DFDFDF"/>
          </w:tcPr>
          <w:p>
            <w:pPr>
              <w:pStyle w:val="TableParagraph"/>
              <w:spacing w:before="51"/>
              <w:ind w:right="53"/>
              <w:jc w:val="right"/>
              <w:rPr>
                <w:sz w:val="11"/>
              </w:rPr>
            </w:pPr>
            <w:r>
              <w:rPr>
                <w:sz w:val="11"/>
              </w:rPr>
              <w:t>0.00</w:t>
            </w:r>
          </w:p>
        </w:tc>
        <w:tc>
          <w:tcPr>
            <w:tcW w:w="1213" w:type="dxa"/>
          </w:tcPr>
          <w:p>
            <w:pPr>
              <w:pStyle w:val="TableParagraph"/>
              <w:spacing w:before="51"/>
              <w:ind w:right="157"/>
              <w:jc w:val="right"/>
              <w:rPr>
                <w:sz w:val="11"/>
              </w:rPr>
            </w:pPr>
            <w:r>
              <w:rPr>
                <w:sz w:val="11"/>
              </w:rPr>
              <w:t>0.00</w:t>
            </w:r>
          </w:p>
        </w:tc>
        <w:tc>
          <w:tcPr>
            <w:tcW w:w="1004" w:type="dxa"/>
          </w:tcPr>
          <w:p>
            <w:pPr>
              <w:pStyle w:val="TableParagraph"/>
              <w:spacing w:before="51"/>
              <w:ind w:right="52"/>
              <w:jc w:val="right"/>
              <w:rPr>
                <w:sz w:val="11"/>
              </w:rPr>
            </w:pPr>
            <w:r>
              <w:rPr>
                <w:sz w:val="11"/>
              </w:rPr>
              <w:t>0.00</w:t>
            </w:r>
          </w:p>
        </w:tc>
        <w:tc>
          <w:tcPr>
            <w:tcW w:w="615" w:type="dxa"/>
          </w:tcPr>
          <w:p>
            <w:pPr>
              <w:pStyle w:val="TableParagraph"/>
              <w:spacing w:before="51"/>
              <w:ind w:right="25"/>
              <w:jc w:val="right"/>
              <w:rPr>
                <w:sz w:val="11"/>
              </w:rPr>
            </w:pPr>
            <w:r>
              <w:rPr>
                <w:sz w:val="11"/>
              </w:rPr>
              <w:t>0.0%</w:t>
            </w:r>
          </w:p>
        </w:tc>
      </w:tr>
      <w:tr>
        <w:trPr>
          <w:trHeight w:val="180" w:hRule="atLeast"/>
        </w:trPr>
        <w:tc>
          <w:tcPr>
            <w:tcW w:w="2596" w:type="dxa"/>
          </w:tcPr>
          <w:p>
            <w:pPr>
              <w:pStyle w:val="TableParagraph"/>
              <w:spacing w:line="110" w:lineRule="exact" w:before="51"/>
              <w:ind w:left="152"/>
              <w:rPr>
                <w:sz w:val="11"/>
              </w:rPr>
            </w:pPr>
            <w:r>
              <w:rPr>
                <w:sz w:val="11"/>
              </w:rPr>
              <w:t>Child Nutrition Programs</w:t>
            </w:r>
          </w:p>
        </w:tc>
        <w:tc>
          <w:tcPr>
            <w:tcW w:w="1098" w:type="dxa"/>
          </w:tcPr>
          <w:p>
            <w:pPr>
              <w:pStyle w:val="TableParagraph"/>
              <w:rPr>
                <w:rFonts w:ascii="Times New Roman"/>
                <w:sz w:val="10"/>
              </w:rPr>
            </w:pPr>
          </w:p>
        </w:tc>
        <w:tc>
          <w:tcPr>
            <w:tcW w:w="680" w:type="dxa"/>
          </w:tcPr>
          <w:p>
            <w:pPr>
              <w:pStyle w:val="TableParagraph"/>
              <w:spacing w:line="110" w:lineRule="exact" w:before="51"/>
              <w:ind w:right="234"/>
              <w:jc w:val="right"/>
              <w:rPr>
                <w:sz w:val="11"/>
              </w:rPr>
            </w:pPr>
            <w:r>
              <w:rPr>
                <w:sz w:val="11"/>
              </w:rPr>
              <w:t>8520</w:t>
            </w:r>
          </w:p>
        </w:tc>
        <w:tc>
          <w:tcPr>
            <w:tcW w:w="1378" w:type="dxa"/>
            <w:shd w:val="clear" w:color="auto" w:fill="DFDFDF"/>
          </w:tcPr>
          <w:p>
            <w:pPr>
              <w:pStyle w:val="TableParagraph"/>
              <w:spacing w:line="110" w:lineRule="exact" w:before="51"/>
              <w:ind w:right="321"/>
              <w:jc w:val="right"/>
              <w:rPr>
                <w:sz w:val="11"/>
              </w:rPr>
            </w:pPr>
            <w:r>
              <w:rPr>
                <w:sz w:val="11"/>
              </w:rPr>
              <w:t>0.00</w:t>
            </w:r>
          </w:p>
        </w:tc>
        <w:tc>
          <w:tcPr>
            <w:tcW w:w="1050" w:type="dxa"/>
          </w:tcPr>
          <w:p>
            <w:pPr>
              <w:pStyle w:val="TableParagraph"/>
              <w:spacing w:line="110" w:lineRule="exact" w:before="51"/>
              <w:ind w:left="285"/>
              <w:rPr>
                <w:sz w:val="11"/>
              </w:rPr>
            </w:pPr>
            <w:r>
              <w:rPr>
                <w:sz w:val="11"/>
              </w:rPr>
              <w:t>11,368.00</w:t>
            </w:r>
          </w:p>
        </w:tc>
        <w:tc>
          <w:tcPr>
            <w:tcW w:w="899" w:type="dxa"/>
          </w:tcPr>
          <w:p>
            <w:pPr>
              <w:pStyle w:val="TableParagraph"/>
              <w:spacing w:line="110" w:lineRule="exact" w:before="51"/>
              <w:ind w:right="53"/>
              <w:jc w:val="right"/>
              <w:rPr>
                <w:sz w:val="11"/>
              </w:rPr>
            </w:pPr>
            <w:r>
              <w:rPr>
                <w:sz w:val="11"/>
              </w:rPr>
              <w:t>11,368.00</w:t>
            </w:r>
          </w:p>
        </w:tc>
        <w:tc>
          <w:tcPr>
            <w:tcW w:w="1109" w:type="dxa"/>
            <w:shd w:val="clear" w:color="auto" w:fill="DFDFDF"/>
          </w:tcPr>
          <w:p>
            <w:pPr>
              <w:pStyle w:val="TableParagraph"/>
              <w:spacing w:line="110" w:lineRule="exact" w:before="51"/>
              <w:ind w:right="53"/>
              <w:jc w:val="right"/>
              <w:rPr>
                <w:sz w:val="11"/>
              </w:rPr>
            </w:pPr>
            <w:r>
              <w:rPr>
                <w:sz w:val="11"/>
              </w:rPr>
              <w:t>0.00</w:t>
            </w:r>
          </w:p>
        </w:tc>
        <w:tc>
          <w:tcPr>
            <w:tcW w:w="1213" w:type="dxa"/>
          </w:tcPr>
          <w:p>
            <w:pPr>
              <w:pStyle w:val="TableParagraph"/>
              <w:spacing w:line="110" w:lineRule="exact" w:before="51"/>
              <w:ind w:right="158"/>
              <w:jc w:val="right"/>
              <w:rPr>
                <w:sz w:val="11"/>
              </w:rPr>
            </w:pPr>
            <w:r>
              <w:rPr>
                <w:sz w:val="11"/>
              </w:rPr>
              <w:t>6,350.00</w:t>
            </w:r>
          </w:p>
        </w:tc>
        <w:tc>
          <w:tcPr>
            <w:tcW w:w="1004" w:type="dxa"/>
          </w:tcPr>
          <w:p>
            <w:pPr>
              <w:pStyle w:val="TableParagraph"/>
              <w:spacing w:line="110" w:lineRule="exact" w:before="51"/>
              <w:ind w:right="53"/>
              <w:jc w:val="right"/>
              <w:rPr>
                <w:sz w:val="11"/>
              </w:rPr>
            </w:pPr>
            <w:r>
              <w:rPr>
                <w:sz w:val="11"/>
              </w:rPr>
              <w:t>6,350.00</w:t>
            </w:r>
          </w:p>
        </w:tc>
        <w:tc>
          <w:tcPr>
            <w:tcW w:w="615" w:type="dxa"/>
          </w:tcPr>
          <w:p>
            <w:pPr>
              <w:pStyle w:val="TableParagraph"/>
              <w:spacing w:line="110" w:lineRule="exact" w:before="51"/>
              <w:ind w:right="25"/>
              <w:jc w:val="right"/>
              <w:rPr>
                <w:sz w:val="11"/>
              </w:rPr>
            </w:pPr>
            <w:r>
              <w:rPr>
                <w:sz w:val="11"/>
              </w:rPr>
              <w:t>-44.1%</w:t>
            </w:r>
          </w:p>
        </w:tc>
      </w:tr>
      <w:tr>
        <w:trPr>
          <w:trHeight w:val="280" w:hRule="atLeast"/>
        </w:trPr>
        <w:tc>
          <w:tcPr>
            <w:tcW w:w="2596" w:type="dxa"/>
          </w:tcPr>
          <w:p>
            <w:pPr>
              <w:pStyle w:val="TableParagraph"/>
              <w:spacing w:before="101"/>
              <w:ind w:left="152"/>
              <w:rPr>
                <w:sz w:val="11"/>
              </w:rPr>
            </w:pPr>
            <w:r>
              <w:rPr>
                <w:sz w:val="11"/>
              </w:rPr>
              <w:t>Mandated Costs Reimbursements</w:t>
            </w:r>
          </w:p>
        </w:tc>
        <w:tc>
          <w:tcPr>
            <w:tcW w:w="1098" w:type="dxa"/>
          </w:tcPr>
          <w:p>
            <w:pPr>
              <w:pStyle w:val="TableParagraph"/>
              <w:rPr>
                <w:rFonts w:ascii="Times New Roman"/>
                <w:sz w:val="10"/>
              </w:rPr>
            </w:pPr>
          </w:p>
        </w:tc>
        <w:tc>
          <w:tcPr>
            <w:tcW w:w="680" w:type="dxa"/>
          </w:tcPr>
          <w:p>
            <w:pPr>
              <w:pStyle w:val="TableParagraph"/>
              <w:spacing w:before="101"/>
              <w:ind w:right="234"/>
              <w:jc w:val="right"/>
              <w:rPr>
                <w:sz w:val="11"/>
              </w:rPr>
            </w:pPr>
            <w:r>
              <w:rPr>
                <w:sz w:val="11"/>
              </w:rPr>
              <w:t>8550</w:t>
            </w:r>
          </w:p>
        </w:tc>
        <w:tc>
          <w:tcPr>
            <w:tcW w:w="1378" w:type="dxa"/>
          </w:tcPr>
          <w:p>
            <w:pPr>
              <w:pStyle w:val="TableParagraph"/>
              <w:spacing w:before="101"/>
              <w:ind w:right="322"/>
              <w:jc w:val="right"/>
              <w:rPr>
                <w:sz w:val="11"/>
              </w:rPr>
            </w:pPr>
            <w:r>
              <w:rPr>
                <w:sz w:val="11"/>
              </w:rPr>
              <w:t>3,655.00</w:t>
            </w:r>
          </w:p>
        </w:tc>
        <w:tc>
          <w:tcPr>
            <w:tcW w:w="1050" w:type="dxa"/>
          </w:tcPr>
          <w:p>
            <w:pPr>
              <w:pStyle w:val="TableParagraph"/>
              <w:spacing w:before="101"/>
              <w:ind w:right="263"/>
              <w:jc w:val="right"/>
              <w:rPr>
                <w:sz w:val="11"/>
              </w:rPr>
            </w:pPr>
            <w:r>
              <w:rPr>
                <w:sz w:val="11"/>
              </w:rPr>
              <w:t>0.00</w:t>
            </w:r>
          </w:p>
        </w:tc>
        <w:tc>
          <w:tcPr>
            <w:tcW w:w="899" w:type="dxa"/>
          </w:tcPr>
          <w:p>
            <w:pPr>
              <w:pStyle w:val="TableParagraph"/>
              <w:spacing w:before="101"/>
              <w:ind w:right="53"/>
              <w:jc w:val="right"/>
              <w:rPr>
                <w:sz w:val="11"/>
              </w:rPr>
            </w:pPr>
            <w:r>
              <w:rPr>
                <w:sz w:val="11"/>
              </w:rPr>
              <w:t>3,655.00</w:t>
            </w:r>
          </w:p>
        </w:tc>
        <w:tc>
          <w:tcPr>
            <w:tcW w:w="1109" w:type="dxa"/>
          </w:tcPr>
          <w:p>
            <w:pPr>
              <w:pStyle w:val="TableParagraph"/>
              <w:spacing w:before="101"/>
              <w:ind w:right="54"/>
              <w:jc w:val="right"/>
              <w:rPr>
                <w:sz w:val="11"/>
              </w:rPr>
            </w:pPr>
            <w:r>
              <w:rPr>
                <w:sz w:val="11"/>
              </w:rPr>
              <w:t>3,655.00</w:t>
            </w:r>
          </w:p>
        </w:tc>
        <w:tc>
          <w:tcPr>
            <w:tcW w:w="1213" w:type="dxa"/>
            <w:shd w:val="clear" w:color="auto" w:fill="DFDFDF"/>
          </w:tcPr>
          <w:p>
            <w:pPr>
              <w:pStyle w:val="TableParagraph"/>
              <w:spacing w:before="101"/>
              <w:ind w:right="157"/>
              <w:jc w:val="right"/>
              <w:rPr>
                <w:sz w:val="11"/>
              </w:rPr>
            </w:pPr>
            <w:r>
              <w:rPr>
                <w:sz w:val="11"/>
              </w:rPr>
              <w:t>0.00</w:t>
            </w:r>
          </w:p>
        </w:tc>
        <w:tc>
          <w:tcPr>
            <w:tcW w:w="1004" w:type="dxa"/>
          </w:tcPr>
          <w:p>
            <w:pPr>
              <w:pStyle w:val="TableParagraph"/>
              <w:spacing w:before="101"/>
              <w:ind w:right="53"/>
              <w:jc w:val="right"/>
              <w:rPr>
                <w:sz w:val="11"/>
              </w:rPr>
            </w:pPr>
            <w:r>
              <w:rPr>
                <w:sz w:val="11"/>
              </w:rPr>
              <w:t>3,655.00</w:t>
            </w:r>
          </w:p>
        </w:tc>
        <w:tc>
          <w:tcPr>
            <w:tcW w:w="615" w:type="dxa"/>
          </w:tcPr>
          <w:p>
            <w:pPr>
              <w:pStyle w:val="TableParagraph"/>
              <w:spacing w:before="101"/>
              <w:ind w:right="25"/>
              <w:jc w:val="right"/>
              <w:rPr>
                <w:sz w:val="11"/>
              </w:rPr>
            </w:pPr>
            <w:r>
              <w:rPr>
                <w:sz w:val="11"/>
              </w:rPr>
              <w:t>0.0%</w:t>
            </w:r>
          </w:p>
        </w:tc>
      </w:tr>
      <w:tr>
        <w:trPr>
          <w:trHeight w:val="180" w:hRule="atLeast"/>
        </w:trPr>
        <w:tc>
          <w:tcPr>
            <w:tcW w:w="2596" w:type="dxa"/>
          </w:tcPr>
          <w:p>
            <w:pPr>
              <w:pStyle w:val="TableParagraph"/>
              <w:spacing w:line="110" w:lineRule="exact" w:before="51"/>
              <w:ind w:left="152"/>
              <w:rPr>
                <w:sz w:val="11"/>
              </w:rPr>
            </w:pPr>
            <w:r>
              <w:rPr>
                <w:sz w:val="11"/>
              </w:rPr>
              <w:t>Lottery - Unrestricted and Instructional Materials</w:t>
            </w:r>
          </w:p>
        </w:tc>
        <w:tc>
          <w:tcPr>
            <w:tcW w:w="1098" w:type="dxa"/>
          </w:tcPr>
          <w:p>
            <w:pPr>
              <w:pStyle w:val="TableParagraph"/>
              <w:rPr>
                <w:rFonts w:ascii="Times New Roman"/>
                <w:sz w:val="10"/>
              </w:rPr>
            </w:pPr>
          </w:p>
        </w:tc>
        <w:tc>
          <w:tcPr>
            <w:tcW w:w="680" w:type="dxa"/>
          </w:tcPr>
          <w:p>
            <w:pPr>
              <w:pStyle w:val="TableParagraph"/>
              <w:spacing w:line="110" w:lineRule="exact" w:before="51"/>
              <w:ind w:right="234"/>
              <w:jc w:val="right"/>
              <w:rPr>
                <w:sz w:val="11"/>
              </w:rPr>
            </w:pPr>
            <w:r>
              <w:rPr>
                <w:sz w:val="11"/>
              </w:rPr>
              <w:t>8560</w:t>
            </w:r>
          </w:p>
        </w:tc>
        <w:tc>
          <w:tcPr>
            <w:tcW w:w="1378" w:type="dxa"/>
          </w:tcPr>
          <w:p>
            <w:pPr>
              <w:pStyle w:val="TableParagraph"/>
              <w:spacing w:line="110" w:lineRule="exact" w:before="51"/>
              <w:ind w:right="322"/>
              <w:jc w:val="right"/>
              <w:rPr>
                <w:sz w:val="11"/>
              </w:rPr>
            </w:pPr>
            <w:r>
              <w:rPr>
                <w:sz w:val="11"/>
              </w:rPr>
              <w:t>17,059.00</w:t>
            </w:r>
          </w:p>
        </w:tc>
        <w:tc>
          <w:tcPr>
            <w:tcW w:w="1050" w:type="dxa"/>
          </w:tcPr>
          <w:p>
            <w:pPr>
              <w:pStyle w:val="TableParagraph"/>
              <w:spacing w:line="110" w:lineRule="exact" w:before="51"/>
              <w:ind w:right="263"/>
              <w:jc w:val="right"/>
              <w:rPr>
                <w:sz w:val="11"/>
              </w:rPr>
            </w:pPr>
            <w:r>
              <w:rPr>
                <w:sz w:val="11"/>
              </w:rPr>
              <w:t>5,581.00</w:t>
            </w:r>
          </w:p>
        </w:tc>
        <w:tc>
          <w:tcPr>
            <w:tcW w:w="899" w:type="dxa"/>
          </w:tcPr>
          <w:p>
            <w:pPr>
              <w:pStyle w:val="TableParagraph"/>
              <w:spacing w:line="110" w:lineRule="exact" w:before="51"/>
              <w:ind w:right="53"/>
              <w:jc w:val="right"/>
              <w:rPr>
                <w:sz w:val="11"/>
              </w:rPr>
            </w:pPr>
            <w:r>
              <w:rPr>
                <w:sz w:val="11"/>
              </w:rPr>
              <w:t>22,640.00</w:t>
            </w:r>
          </w:p>
        </w:tc>
        <w:tc>
          <w:tcPr>
            <w:tcW w:w="1109" w:type="dxa"/>
          </w:tcPr>
          <w:p>
            <w:pPr>
              <w:pStyle w:val="TableParagraph"/>
              <w:spacing w:line="110" w:lineRule="exact" w:before="51"/>
              <w:ind w:right="53"/>
              <w:jc w:val="right"/>
              <w:rPr>
                <w:sz w:val="11"/>
              </w:rPr>
            </w:pPr>
            <w:r>
              <w:rPr>
                <w:sz w:val="11"/>
              </w:rPr>
              <w:t>17,036.00</w:t>
            </w:r>
          </w:p>
        </w:tc>
        <w:tc>
          <w:tcPr>
            <w:tcW w:w="1213" w:type="dxa"/>
          </w:tcPr>
          <w:p>
            <w:pPr>
              <w:pStyle w:val="TableParagraph"/>
              <w:spacing w:line="110" w:lineRule="exact" w:before="51"/>
              <w:ind w:right="158"/>
              <w:jc w:val="right"/>
              <w:rPr>
                <w:sz w:val="11"/>
              </w:rPr>
            </w:pPr>
            <w:r>
              <w:rPr>
                <w:sz w:val="11"/>
              </w:rPr>
              <w:t>5,565.00</w:t>
            </w:r>
          </w:p>
        </w:tc>
        <w:tc>
          <w:tcPr>
            <w:tcW w:w="1004" w:type="dxa"/>
          </w:tcPr>
          <w:p>
            <w:pPr>
              <w:pStyle w:val="TableParagraph"/>
              <w:spacing w:line="110" w:lineRule="exact" w:before="51"/>
              <w:ind w:right="53"/>
              <w:jc w:val="right"/>
              <w:rPr>
                <w:sz w:val="11"/>
              </w:rPr>
            </w:pPr>
            <w:r>
              <w:rPr>
                <w:sz w:val="11"/>
              </w:rPr>
              <w:t>22,601.00</w:t>
            </w:r>
          </w:p>
        </w:tc>
        <w:tc>
          <w:tcPr>
            <w:tcW w:w="615" w:type="dxa"/>
          </w:tcPr>
          <w:p>
            <w:pPr>
              <w:pStyle w:val="TableParagraph"/>
              <w:spacing w:line="110" w:lineRule="exact" w:before="51"/>
              <w:ind w:right="25"/>
              <w:jc w:val="right"/>
              <w:rPr>
                <w:sz w:val="11"/>
              </w:rPr>
            </w:pPr>
            <w:r>
              <w:rPr>
                <w:sz w:val="11"/>
              </w:rPr>
              <w:t>-0.2%</w:t>
            </w:r>
          </w:p>
        </w:tc>
      </w:tr>
      <w:tr>
        <w:trPr>
          <w:trHeight w:val="240" w:hRule="atLeast"/>
        </w:trPr>
        <w:tc>
          <w:tcPr>
            <w:tcW w:w="2596" w:type="dxa"/>
          </w:tcPr>
          <w:p>
            <w:pPr>
              <w:pStyle w:val="TableParagraph"/>
              <w:spacing w:line="120" w:lineRule="exact" w:before="101"/>
              <w:ind w:left="152"/>
              <w:rPr>
                <w:sz w:val="11"/>
              </w:rPr>
            </w:pPr>
            <w:r>
              <w:rPr>
                <w:sz w:val="11"/>
              </w:rPr>
              <w:t>Tax Relief Subventions</w:t>
            </w:r>
          </w:p>
        </w:tc>
        <w:tc>
          <w:tcPr>
            <w:tcW w:w="1098" w:type="dxa"/>
          </w:tcPr>
          <w:p>
            <w:pPr>
              <w:pStyle w:val="TableParagraph"/>
              <w:rPr>
                <w:rFonts w:ascii="Times New Roman"/>
                <w:sz w:val="10"/>
              </w:rPr>
            </w:pPr>
          </w:p>
        </w:tc>
        <w:tc>
          <w:tcPr>
            <w:tcW w:w="680" w:type="dxa"/>
          </w:tcPr>
          <w:p>
            <w:pPr>
              <w:pStyle w:val="TableParagraph"/>
              <w:rPr>
                <w:rFonts w:ascii="Times New Roman"/>
                <w:sz w:val="10"/>
              </w:rPr>
            </w:pPr>
          </w:p>
        </w:tc>
        <w:tc>
          <w:tcPr>
            <w:tcW w:w="1378" w:type="dxa"/>
            <w:shd w:val="clear" w:color="auto" w:fill="DFDFDF"/>
          </w:tcPr>
          <w:p>
            <w:pPr>
              <w:pStyle w:val="TableParagraph"/>
              <w:rPr>
                <w:rFonts w:ascii="Times New Roman"/>
                <w:sz w:val="10"/>
              </w:rPr>
            </w:pPr>
          </w:p>
        </w:tc>
        <w:tc>
          <w:tcPr>
            <w:tcW w:w="1050" w:type="dxa"/>
          </w:tcPr>
          <w:p>
            <w:pPr>
              <w:pStyle w:val="TableParagraph"/>
              <w:rPr>
                <w:rFonts w:ascii="Times New Roman"/>
                <w:sz w:val="10"/>
              </w:rPr>
            </w:pPr>
          </w:p>
        </w:tc>
        <w:tc>
          <w:tcPr>
            <w:tcW w:w="899" w:type="dxa"/>
          </w:tcPr>
          <w:p>
            <w:pPr>
              <w:pStyle w:val="TableParagraph"/>
              <w:rPr>
                <w:rFonts w:ascii="Times New Roman"/>
                <w:sz w:val="10"/>
              </w:rPr>
            </w:pPr>
          </w:p>
        </w:tc>
        <w:tc>
          <w:tcPr>
            <w:tcW w:w="1109" w:type="dxa"/>
            <w:shd w:val="clear" w:color="auto" w:fill="DFDFDF"/>
          </w:tcPr>
          <w:p>
            <w:pPr>
              <w:pStyle w:val="TableParagraph"/>
              <w:rPr>
                <w:rFonts w:ascii="Times New Roman"/>
                <w:sz w:val="10"/>
              </w:rPr>
            </w:pPr>
          </w:p>
        </w:tc>
        <w:tc>
          <w:tcPr>
            <w:tcW w:w="1213" w:type="dxa"/>
          </w:tcPr>
          <w:p>
            <w:pPr>
              <w:pStyle w:val="TableParagraph"/>
              <w:rPr>
                <w:rFonts w:ascii="Times New Roman"/>
                <w:sz w:val="10"/>
              </w:rPr>
            </w:pPr>
          </w:p>
        </w:tc>
        <w:tc>
          <w:tcPr>
            <w:tcW w:w="1004" w:type="dxa"/>
          </w:tcPr>
          <w:p>
            <w:pPr>
              <w:pStyle w:val="TableParagraph"/>
              <w:rPr>
                <w:rFonts w:ascii="Times New Roman"/>
                <w:sz w:val="10"/>
              </w:rPr>
            </w:pPr>
          </w:p>
        </w:tc>
        <w:tc>
          <w:tcPr>
            <w:tcW w:w="615" w:type="dxa"/>
          </w:tcPr>
          <w:p>
            <w:pPr>
              <w:pStyle w:val="TableParagraph"/>
              <w:rPr>
                <w:rFonts w:ascii="Times New Roman"/>
                <w:sz w:val="10"/>
              </w:rPr>
            </w:pPr>
          </w:p>
        </w:tc>
      </w:tr>
      <w:tr>
        <w:trPr>
          <w:trHeight w:val="190" w:hRule="atLeast"/>
        </w:trPr>
        <w:tc>
          <w:tcPr>
            <w:tcW w:w="2596" w:type="dxa"/>
          </w:tcPr>
          <w:p>
            <w:pPr>
              <w:pStyle w:val="TableParagraph"/>
              <w:spacing w:before="11"/>
              <w:ind w:left="214"/>
              <w:rPr>
                <w:sz w:val="11"/>
              </w:rPr>
            </w:pPr>
            <w:r>
              <w:rPr>
                <w:sz w:val="11"/>
              </w:rPr>
              <w:t>Restricted Levies - Other</w:t>
            </w:r>
          </w:p>
        </w:tc>
        <w:tc>
          <w:tcPr>
            <w:tcW w:w="1098" w:type="dxa"/>
          </w:tcPr>
          <w:p>
            <w:pPr>
              <w:pStyle w:val="TableParagraph"/>
              <w:rPr>
                <w:rFonts w:ascii="Times New Roman"/>
                <w:sz w:val="10"/>
              </w:rPr>
            </w:pPr>
          </w:p>
        </w:tc>
        <w:tc>
          <w:tcPr>
            <w:tcW w:w="680" w:type="dxa"/>
          </w:tcPr>
          <w:p>
            <w:pPr>
              <w:pStyle w:val="TableParagraph"/>
              <w:rPr>
                <w:rFonts w:ascii="Times New Roman"/>
                <w:sz w:val="10"/>
              </w:rPr>
            </w:pPr>
          </w:p>
        </w:tc>
        <w:tc>
          <w:tcPr>
            <w:tcW w:w="1378" w:type="dxa"/>
            <w:shd w:val="clear" w:color="auto" w:fill="DFDFDF"/>
          </w:tcPr>
          <w:p>
            <w:pPr>
              <w:pStyle w:val="TableParagraph"/>
              <w:rPr>
                <w:rFonts w:ascii="Times New Roman"/>
                <w:sz w:val="10"/>
              </w:rPr>
            </w:pPr>
          </w:p>
        </w:tc>
        <w:tc>
          <w:tcPr>
            <w:tcW w:w="1050" w:type="dxa"/>
          </w:tcPr>
          <w:p>
            <w:pPr>
              <w:pStyle w:val="TableParagraph"/>
              <w:rPr>
                <w:rFonts w:ascii="Times New Roman"/>
                <w:sz w:val="10"/>
              </w:rPr>
            </w:pPr>
          </w:p>
        </w:tc>
        <w:tc>
          <w:tcPr>
            <w:tcW w:w="899" w:type="dxa"/>
          </w:tcPr>
          <w:p>
            <w:pPr>
              <w:pStyle w:val="TableParagraph"/>
              <w:rPr>
                <w:rFonts w:ascii="Times New Roman"/>
                <w:sz w:val="10"/>
              </w:rPr>
            </w:pPr>
          </w:p>
        </w:tc>
        <w:tc>
          <w:tcPr>
            <w:tcW w:w="1109" w:type="dxa"/>
            <w:shd w:val="clear" w:color="auto" w:fill="DFDFDF"/>
          </w:tcPr>
          <w:p>
            <w:pPr>
              <w:pStyle w:val="TableParagraph"/>
              <w:rPr>
                <w:rFonts w:ascii="Times New Roman"/>
                <w:sz w:val="10"/>
              </w:rPr>
            </w:pPr>
          </w:p>
        </w:tc>
        <w:tc>
          <w:tcPr>
            <w:tcW w:w="1213" w:type="dxa"/>
          </w:tcPr>
          <w:p>
            <w:pPr>
              <w:pStyle w:val="TableParagraph"/>
              <w:rPr>
                <w:rFonts w:ascii="Times New Roman"/>
                <w:sz w:val="10"/>
              </w:rPr>
            </w:pPr>
          </w:p>
        </w:tc>
        <w:tc>
          <w:tcPr>
            <w:tcW w:w="1004" w:type="dxa"/>
          </w:tcPr>
          <w:p>
            <w:pPr>
              <w:pStyle w:val="TableParagraph"/>
              <w:rPr>
                <w:rFonts w:ascii="Times New Roman"/>
                <w:sz w:val="10"/>
              </w:rPr>
            </w:pPr>
          </w:p>
        </w:tc>
        <w:tc>
          <w:tcPr>
            <w:tcW w:w="615" w:type="dxa"/>
          </w:tcPr>
          <w:p>
            <w:pPr>
              <w:pStyle w:val="TableParagraph"/>
              <w:rPr>
                <w:rFonts w:ascii="Times New Roman"/>
                <w:sz w:val="10"/>
              </w:rPr>
            </w:pPr>
          </w:p>
        </w:tc>
      </w:tr>
      <w:tr>
        <w:trPr>
          <w:trHeight w:val="230" w:hRule="atLeast"/>
        </w:trPr>
        <w:tc>
          <w:tcPr>
            <w:tcW w:w="2596" w:type="dxa"/>
          </w:tcPr>
          <w:p>
            <w:pPr>
              <w:pStyle w:val="TableParagraph"/>
              <w:spacing w:before="51"/>
              <w:ind w:left="277"/>
              <w:rPr>
                <w:sz w:val="11"/>
              </w:rPr>
            </w:pPr>
            <w:r>
              <w:rPr>
                <w:sz w:val="11"/>
              </w:rPr>
              <w:t>Homeowners' Exemptions</w:t>
            </w:r>
          </w:p>
        </w:tc>
        <w:tc>
          <w:tcPr>
            <w:tcW w:w="1098" w:type="dxa"/>
          </w:tcPr>
          <w:p>
            <w:pPr>
              <w:pStyle w:val="TableParagraph"/>
              <w:rPr>
                <w:rFonts w:ascii="Times New Roman"/>
                <w:sz w:val="10"/>
              </w:rPr>
            </w:pPr>
          </w:p>
        </w:tc>
        <w:tc>
          <w:tcPr>
            <w:tcW w:w="680" w:type="dxa"/>
          </w:tcPr>
          <w:p>
            <w:pPr>
              <w:pStyle w:val="TableParagraph"/>
              <w:spacing w:before="51"/>
              <w:ind w:right="234"/>
              <w:jc w:val="right"/>
              <w:rPr>
                <w:sz w:val="11"/>
              </w:rPr>
            </w:pPr>
            <w:r>
              <w:rPr>
                <w:sz w:val="11"/>
              </w:rPr>
              <w:t>8575</w:t>
            </w:r>
          </w:p>
        </w:tc>
        <w:tc>
          <w:tcPr>
            <w:tcW w:w="1378" w:type="dxa"/>
            <w:shd w:val="clear" w:color="auto" w:fill="DFDFDF"/>
          </w:tcPr>
          <w:p>
            <w:pPr>
              <w:pStyle w:val="TableParagraph"/>
              <w:spacing w:before="51"/>
              <w:ind w:right="321"/>
              <w:jc w:val="right"/>
              <w:rPr>
                <w:sz w:val="11"/>
              </w:rPr>
            </w:pPr>
            <w:r>
              <w:rPr>
                <w:sz w:val="11"/>
              </w:rPr>
              <w:t>0.00</w:t>
            </w:r>
          </w:p>
        </w:tc>
        <w:tc>
          <w:tcPr>
            <w:tcW w:w="1050" w:type="dxa"/>
          </w:tcPr>
          <w:p>
            <w:pPr>
              <w:pStyle w:val="TableParagraph"/>
              <w:spacing w:before="51"/>
              <w:ind w:right="263"/>
              <w:jc w:val="right"/>
              <w:rPr>
                <w:sz w:val="11"/>
              </w:rPr>
            </w:pPr>
            <w:r>
              <w:rPr>
                <w:sz w:val="11"/>
              </w:rPr>
              <w:t>0.00</w:t>
            </w:r>
          </w:p>
        </w:tc>
        <w:tc>
          <w:tcPr>
            <w:tcW w:w="899" w:type="dxa"/>
          </w:tcPr>
          <w:p>
            <w:pPr>
              <w:pStyle w:val="TableParagraph"/>
              <w:spacing w:before="51"/>
              <w:ind w:right="53"/>
              <w:jc w:val="right"/>
              <w:rPr>
                <w:sz w:val="11"/>
              </w:rPr>
            </w:pPr>
            <w:r>
              <w:rPr>
                <w:sz w:val="11"/>
              </w:rPr>
              <w:t>0.00</w:t>
            </w:r>
          </w:p>
        </w:tc>
        <w:tc>
          <w:tcPr>
            <w:tcW w:w="1109" w:type="dxa"/>
            <w:shd w:val="clear" w:color="auto" w:fill="DFDFDF"/>
          </w:tcPr>
          <w:p>
            <w:pPr>
              <w:pStyle w:val="TableParagraph"/>
              <w:spacing w:before="51"/>
              <w:ind w:right="53"/>
              <w:jc w:val="right"/>
              <w:rPr>
                <w:sz w:val="11"/>
              </w:rPr>
            </w:pPr>
            <w:r>
              <w:rPr>
                <w:sz w:val="11"/>
              </w:rPr>
              <w:t>0.00</w:t>
            </w:r>
          </w:p>
        </w:tc>
        <w:tc>
          <w:tcPr>
            <w:tcW w:w="1213" w:type="dxa"/>
          </w:tcPr>
          <w:p>
            <w:pPr>
              <w:pStyle w:val="TableParagraph"/>
              <w:spacing w:before="51"/>
              <w:ind w:right="157"/>
              <w:jc w:val="right"/>
              <w:rPr>
                <w:sz w:val="11"/>
              </w:rPr>
            </w:pPr>
            <w:r>
              <w:rPr>
                <w:sz w:val="11"/>
              </w:rPr>
              <w:t>0.00</w:t>
            </w:r>
          </w:p>
        </w:tc>
        <w:tc>
          <w:tcPr>
            <w:tcW w:w="1004" w:type="dxa"/>
          </w:tcPr>
          <w:p>
            <w:pPr>
              <w:pStyle w:val="TableParagraph"/>
              <w:spacing w:before="51"/>
              <w:ind w:right="52"/>
              <w:jc w:val="right"/>
              <w:rPr>
                <w:sz w:val="11"/>
              </w:rPr>
            </w:pPr>
            <w:r>
              <w:rPr>
                <w:sz w:val="11"/>
              </w:rPr>
              <w:t>0.00</w:t>
            </w:r>
          </w:p>
        </w:tc>
        <w:tc>
          <w:tcPr>
            <w:tcW w:w="615" w:type="dxa"/>
          </w:tcPr>
          <w:p>
            <w:pPr>
              <w:pStyle w:val="TableParagraph"/>
              <w:spacing w:before="51"/>
              <w:ind w:right="25"/>
              <w:jc w:val="right"/>
              <w:rPr>
                <w:sz w:val="11"/>
              </w:rPr>
            </w:pPr>
            <w:r>
              <w:rPr>
                <w:sz w:val="11"/>
              </w:rPr>
              <w:t>0.0%</w:t>
            </w:r>
          </w:p>
        </w:tc>
      </w:tr>
      <w:tr>
        <w:trPr>
          <w:trHeight w:val="180" w:hRule="atLeast"/>
        </w:trPr>
        <w:tc>
          <w:tcPr>
            <w:tcW w:w="2596" w:type="dxa"/>
          </w:tcPr>
          <w:p>
            <w:pPr>
              <w:pStyle w:val="TableParagraph"/>
              <w:spacing w:line="110" w:lineRule="exact" w:before="51"/>
              <w:ind w:left="277"/>
              <w:rPr>
                <w:sz w:val="11"/>
              </w:rPr>
            </w:pPr>
            <w:r>
              <w:rPr>
                <w:sz w:val="11"/>
              </w:rPr>
              <w:t>Other Subventions/In-Lieu Taxes</w:t>
            </w:r>
          </w:p>
        </w:tc>
        <w:tc>
          <w:tcPr>
            <w:tcW w:w="1098" w:type="dxa"/>
          </w:tcPr>
          <w:p>
            <w:pPr>
              <w:pStyle w:val="TableParagraph"/>
              <w:rPr>
                <w:rFonts w:ascii="Times New Roman"/>
                <w:sz w:val="10"/>
              </w:rPr>
            </w:pPr>
          </w:p>
        </w:tc>
        <w:tc>
          <w:tcPr>
            <w:tcW w:w="680" w:type="dxa"/>
          </w:tcPr>
          <w:p>
            <w:pPr>
              <w:pStyle w:val="TableParagraph"/>
              <w:spacing w:line="110" w:lineRule="exact" w:before="51"/>
              <w:ind w:right="234"/>
              <w:jc w:val="right"/>
              <w:rPr>
                <w:sz w:val="11"/>
              </w:rPr>
            </w:pPr>
            <w:r>
              <w:rPr>
                <w:sz w:val="11"/>
              </w:rPr>
              <w:t>8576</w:t>
            </w:r>
          </w:p>
        </w:tc>
        <w:tc>
          <w:tcPr>
            <w:tcW w:w="1378" w:type="dxa"/>
            <w:shd w:val="clear" w:color="auto" w:fill="DFDFDF"/>
          </w:tcPr>
          <w:p>
            <w:pPr>
              <w:pStyle w:val="TableParagraph"/>
              <w:spacing w:line="110" w:lineRule="exact" w:before="51"/>
              <w:ind w:right="321"/>
              <w:jc w:val="right"/>
              <w:rPr>
                <w:sz w:val="11"/>
              </w:rPr>
            </w:pPr>
            <w:r>
              <w:rPr>
                <w:sz w:val="11"/>
              </w:rPr>
              <w:t>0.00</w:t>
            </w:r>
          </w:p>
        </w:tc>
        <w:tc>
          <w:tcPr>
            <w:tcW w:w="1050" w:type="dxa"/>
          </w:tcPr>
          <w:p>
            <w:pPr>
              <w:pStyle w:val="TableParagraph"/>
              <w:spacing w:line="110" w:lineRule="exact" w:before="51"/>
              <w:ind w:right="263"/>
              <w:jc w:val="right"/>
              <w:rPr>
                <w:sz w:val="11"/>
              </w:rPr>
            </w:pPr>
            <w:r>
              <w:rPr>
                <w:sz w:val="11"/>
              </w:rPr>
              <w:t>0.00</w:t>
            </w:r>
          </w:p>
        </w:tc>
        <w:tc>
          <w:tcPr>
            <w:tcW w:w="899" w:type="dxa"/>
          </w:tcPr>
          <w:p>
            <w:pPr>
              <w:pStyle w:val="TableParagraph"/>
              <w:spacing w:line="110" w:lineRule="exact" w:before="51"/>
              <w:ind w:right="53"/>
              <w:jc w:val="right"/>
              <w:rPr>
                <w:sz w:val="11"/>
              </w:rPr>
            </w:pPr>
            <w:r>
              <w:rPr>
                <w:sz w:val="11"/>
              </w:rPr>
              <w:t>0.00</w:t>
            </w:r>
          </w:p>
        </w:tc>
        <w:tc>
          <w:tcPr>
            <w:tcW w:w="1109" w:type="dxa"/>
            <w:shd w:val="clear" w:color="auto" w:fill="DFDFDF"/>
          </w:tcPr>
          <w:p>
            <w:pPr>
              <w:pStyle w:val="TableParagraph"/>
              <w:spacing w:line="110" w:lineRule="exact" w:before="51"/>
              <w:ind w:right="53"/>
              <w:jc w:val="right"/>
              <w:rPr>
                <w:sz w:val="11"/>
              </w:rPr>
            </w:pPr>
            <w:r>
              <w:rPr>
                <w:sz w:val="11"/>
              </w:rPr>
              <w:t>0.00</w:t>
            </w:r>
          </w:p>
        </w:tc>
        <w:tc>
          <w:tcPr>
            <w:tcW w:w="1213" w:type="dxa"/>
          </w:tcPr>
          <w:p>
            <w:pPr>
              <w:pStyle w:val="TableParagraph"/>
              <w:spacing w:line="110" w:lineRule="exact" w:before="51"/>
              <w:ind w:right="157"/>
              <w:jc w:val="right"/>
              <w:rPr>
                <w:sz w:val="11"/>
              </w:rPr>
            </w:pPr>
            <w:r>
              <w:rPr>
                <w:sz w:val="11"/>
              </w:rPr>
              <w:t>0.00</w:t>
            </w:r>
          </w:p>
        </w:tc>
        <w:tc>
          <w:tcPr>
            <w:tcW w:w="1004" w:type="dxa"/>
          </w:tcPr>
          <w:p>
            <w:pPr>
              <w:pStyle w:val="TableParagraph"/>
              <w:spacing w:line="110" w:lineRule="exact" w:before="51"/>
              <w:ind w:right="52"/>
              <w:jc w:val="right"/>
              <w:rPr>
                <w:sz w:val="11"/>
              </w:rPr>
            </w:pPr>
            <w:r>
              <w:rPr>
                <w:sz w:val="11"/>
              </w:rPr>
              <w:t>0.00</w:t>
            </w:r>
          </w:p>
        </w:tc>
        <w:tc>
          <w:tcPr>
            <w:tcW w:w="615" w:type="dxa"/>
          </w:tcPr>
          <w:p>
            <w:pPr>
              <w:pStyle w:val="TableParagraph"/>
              <w:spacing w:line="110" w:lineRule="exact" w:before="51"/>
              <w:ind w:right="25"/>
              <w:jc w:val="right"/>
              <w:rPr>
                <w:sz w:val="11"/>
              </w:rPr>
            </w:pPr>
            <w:r>
              <w:rPr>
                <w:sz w:val="11"/>
              </w:rPr>
              <w:t>0.0%</w:t>
            </w:r>
          </w:p>
        </w:tc>
      </w:tr>
      <w:tr>
        <w:trPr>
          <w:trHeight w:val="240" w:hRule="atLeast"/>
        </w:trPr>
        <w:tc>
          <w:tcPr>
            <w:tcW w:w="2596" w:type="dxa"/>
          </w:tcPr>
          <w:p>
            <w:pPr>
              <w:pStyle w:val="TableParagraph"/>
              <w:spacing w:line="120" w:lineRule="exact" w:before="101"/>
              <w:ind w:left="152"/>
              <w:rPr>
                <w:sz w:val="11"/>
              </w:rPr>
            </w:pPr>
            <w:r>
              <w:rPr>
                <w:sz w:val="11"/>
              </w:rPr>
              <w:t>Pass-Through Revenues from</w:t>
            </w:r>
          </w:p>
        </w:tc>
        <w:tc>
          <w:tcPr>
            <w:tcW w:w="1098" w:type="dxa"/>
          </w:tcPr>
          <w:p>
            <w:pPr>
              <w:pStyle w:val="TableParagraph"/>
              <w:rPr>
                <w:rFonts w:ascii="Times New Roman"/>
                <w:sz w:val="10"/>
              </w:rPr>
            </w:pPr>
          </w:p>
        </w:tc>
        <w:tc>
          <w:tcPr>
            <w:tcW w:w="680" w:type="dxa"/>
          </w:tcPr>
          <w:p>
            <w:pPr>
              <w:pStyle w:val="TableParagraph"/>
              <w:rPr>
                <w:rFonts w:ascii="Times New Roman"/>
                <w:sz w:val="10"/>
              </w:rPr>
            </w:pPr>
          </w:p>
        </w:tc>
        <w:tc>
          <w:tcPr>
            <w:tcW w:w="1378" w:type="dxa"/>
          </w:tcPr>
          <w:p>
            <w:pPr>
              <w:pStyle w:val="TableParagraph"/>
              <w:rPr>
                <w:rFonts w:ascii="Times New Roman"/>
                <w:sz w:val="10"/>
              </w:rPr>
            </w:pPr>
          </w:p>
        </w:tc>
        <w:tc>
          <w:tcPr>
            <w:tcW w:w="1050" w:type="dxa"/>
          </w:tcPr>
          <w:p>
            <w:pPr>
              <w:pStyle w:val="TableParagraph"/>
              <w:rPr>
                <w:rFonts w:ascii="Times New Roman"/>
                <w:sz w:val="10"/>
              </w:rPr>
            </w:pPr>
          </w:p>
        </w:tc>
        <w:tc>
          <w:tcPr>
            <w:tcW w:w="899" w:type="dxa"/>
          </w:tcPr>
          <w:p>
            <w:pPr>
              <w:pStyle w:val="TableParagraph"/>
              <w:rPr>
                <w:rFonts w:ascii="Times New Roman"/>
                <w:sz w:val="10"/>
              </w:rPr>
            </w:pPr>
          </w:p>
        </w:tc>
        <w:tc>
          <w:tcPr>
            <w:tcW w:w="1109" w:type="dxa"/>
          </w:tcPr>
          <w:p>
            <w:pPr>
              <w:pStyle w:val="TableParagraph"/>
              <w:rPr>
                <w:rFonts w:ascii="Times New Roman"/>
                <w:sz w:val="10"/>
              </w:rPr>
            </w:pPr>
          </w:p>
        </w:tc>
        <w:tc>
          <w:tcPr>
            <w:tcW w:w="1213" w:type="dxa"/>
          </w:tcPr>
          <w:p>
            <w:pPr>
              <w:pStyle w:val="TableParagraph"/>
              <w:rPr>
                <w:rFonts w:ascii="Times New Roman"/>
                <w:sz w:val="10"/>
              </w:rPr>
            </w:pPr>
          </w:p>
        </w:tc>
        <w:tc>
          <w:tcPr>
            <w:tcW w:w="1004" w:type="dxa"/>
          </w:tcPr>
          <w:p>
            <w:pPr>
              <w:pStyle w:val="TableParagraph"/>
              <w:rPr>
                <w:rFonts w:ascii="Times New Roman"/>
                <w:sz w:val="10"/>
              </w:rPr>
            </w:pPr>
          </w:p>
        </w:tc>
        <w:tc>
          <w:tcPr>
            <w:tcW w:w="615" w:type="dxa"/>
          </w:tcPr>
          <w:p>
            <w:pPr>
              <w:pStyle w:val="TableParagraph"/>
              <w:rPr>
                <w:rFonts w:ascii="Times New Roman"/>
                <w:sz w:val="10"/>
              </w:rPr>
            </w:pPr>
          </w:p>
        </w:tc>
      </w:tr>
      <w:tr>
        <w:trPr>
          <w:trHeight w:val="141" w:hRule="atLeast"/>
        </w:trPr>
        <w:tc>
          <w:tcPr>
            <w:tcW w:w="2596" w:type="dxa"/>
          </w:tcPr>
          <w:p>
            <w:pPr>
              <w:pStyle w:val="TableParagraph"/>
              <w:spacing w:line="110" w:lineRule="exact" w:before="11"/>
              <w:ind w:left="183"/>
              <w:rPr>
                <w:sz w:val="11"/>
              </w:rPr>
            </w:pPr>
            <w:r>
              <w:rPr>
                <w:sz w:val="11"/>
              </w:rPr>
              <w:t>State Sources</w:t>
            </w:r>
          </w:p>
        </w:tc>
        <w:tc>
          <w:tcPr>
            <w:tcW w:w="1098" w:type="dxa"/>
          </w:tcPr>
          <w:p>
            <w:pPr>
              <w:pStyle w:val="TableParagraph"/>
              <w:rPr>
                <w:rFonts w:ascii="Times New Roman"/>
                <w:sz w:val="8"/>
              </w:rPr>
            </w:pPr>
          </w:p>
        </w:tc>
        <w:tc>
          <w:tcPr>
            <w:tcW w:w="680" w:type="dxa"/>
          </w:tcPr>
          <w:p>
            <w:pPr>
              <w:pStyle w:val="TableParagraph"/>
              <w:spacing w:line="110" w:lineRule="exact" w:before="11"/>
              <w:ind w:right="234"/>
              <w:jc w:val="right"/>
              <w:rPr>
                <w:sz w:val="11"/>
              </w:rPr>
            </w:pPr>
            <w:r>
              <w:rPr>
                <w:sz w:val="11"/>
              </w:rPr>
              <w:t>8587</w:t>
            </w:r>
          </w:p>
        </w:tc>
        <w:tc>
          <w:tcPr>
            <w:tcW w:w="1378" w:type="dxa"/>
          </w:tcPr>
          <w:p>
            <w:pPr>
              <w:pStyle w:val="TableParagraph"/>
              <w:spacing w:line="110" w:lineRule="exact" w:before="11"/>
              <w:ind w:right="321"/>
              <w:jc w:val="right"/>
              <w:rPr>
                <w:sz w:val="11"/>
              </w:rPr>
            </w:pPr>
            <w:r>
              <w:rPr>
                <w:sz w:val="11"/>
              </w:rPr>
              <w:t>0.00</w:t>
            </w:r>
          </w:p>
        </w:tc>
        <w:tc>
          <w:tcPr>
            <w:tcW w:w="1050" w:type="dxa"/>
          </w:tcPr>
          <w:p>
            <w:pPr>
              <w:pStyle w:val="TableParagraph"/>
              <w:spacing w:line="110" w:lineRule="exact" w:before="11"/>
              <w:ind w:right="263"/>
              <w:jc w:val="right"/>
              <w:rPr>
                <w:sz w:val="11"/>
              </w:rPr>
            </w:pPr>
            <w:r>
              <w:rPr>
                <w:sz w:val="11"/>
              </w:rPr>
              <w:t>0.00</w:t>
            </w:r>
          </w:p>
        </w:tc>
        <w:tc>
          <w:tcPr>
            <w:tcW w:w="899" w:type="dxa"/>
          </w:tcPr>
          <w:p>
            <w:pPr>
              <w:pStyle w:val="TableParagraph"/>
              <w:spacing w:line="110" w:lineRule="exact" w:before="11"/>
              <w:ind w:right="53"/>
              <w:jc w:val="right"/>
              <w:rPr>
                <w:sz w:val="11"/>
              </w:rPr>
            </w:pPr>
            <w:r>
              <w:rPr>
                <w:sz w:val="11"/>
              </w:rPr>
              <w:t>0.00</w:t>
            </w:r>
          </w:p>
        </w:tc>
        <w:tc>
          <w:tcPr>
            <w:tcW w:w="1109" w:type="dxa"/>
          </w:tcPr>
          <w:p>
            <w:pPr>
              <w:pStyle w:val="TableParagraph"/>
              <w:spacing w:line="110" w:lineRule="exact" w:before="11"/>
              <w:ind w:right="53"/>
              <w:jc w:val="right"/>
              <w:rPr>
                <w:sz w:val="11"/>
              </w:rPr>
            </w:pPr>
            <w:r>
              <w:rPr>
                <w:sz w:val="11"/>
              </w:rPr>
              <w:t>0.00</w:t>
            </w:r>
          </w:p>
        </w:tc>
        <w:tc>
          <w:tcPr>
            <w:tcW w:w="1213" w:type="dxa"/>
          </w:tcPr>
          <w:p>
            <w:pPr>
              <w:pStyle w:val="TableParagraph"/>
              <w:spacing w:line="110" w:lineRule="exact" w:before="11"/>
              <w:ind w:right="157"/>
              <w:jc w:val="right"/>
              <w:rPr>
                <w:sz w:val="11"/>
              </w:rPr>
            </w:pPr>
            <w:r>
              <w:rPr>
                <w:sz w:val="11"/>
              </w:rPr>
              <w:t>0.00</w:t>
            </w:r>
          </w:p>
        </w:tc>
        <w:tc>
          <w:tcPr>
            <w:tcW w:w="1004" w:type="dxa"/>
          </w:tcPr>
          <w:p>
            <w:pPr>
              <w:pStyle w:val="TableParagraph"/>
              <w:spacing w:line="110" w:lineRule="exact" w:before="11"/>
              <w:ind w:right="52"/>
              <w:jc w:val="right"/>
              <w:rPr>
                <w:sz w:val="11"/>
              </w:rPr>
            </w:pPr>
            <w:r>
              <w:rPr>
                <w:sz w:val="11"/>
              </w:rPr>
              <w:t>0.00</w:t>
            </w:r>
          </w:p>
        </w:tc>
        <w:tc>
          <w:tcPr>
            <w:tcW w:w="615" w:type="dxa"/>
          </w:tcPr>
          <w:p>
            <w:pPr>
              <w:pStyle w:val="TableParagraph"/>
              <w:spacing w:line="110" w:lineRule="exact" w:before="11"/>
              <w:ind w:right="25"/>
              <w:jc w:val="right"/>
              <w:rPr>
                <w:sz w:val="11"/>
              </w:rPr>
            </w:pPr>
            <w:r>
              <w:rPr>
                <w:sz w:val="11"/>
              </w:rPr>
              <w:t>0.0%</w:t>
            </w:r>
          </w:p>
        </w:tc>
      </w:tr>
      <w:tr>
        <w:trPr>
          <w:trHeight w:val="280" w:hRule="atLeast"/>
        </w:trPr>
        <w:tc>
          <w:tcPr>
            <w:tcW w:w="2596" w:type="dxa"/>
          </w:tcPr>
          <w:p>
            <w:pPr>
              <w:pStyle w:val="TableParagraph"/>
              <w:spacing w:before="101"/>
              <w:ind w:left="152"/>
              <w:rPr>
                <w:sz w:val="11"/>
              </w:rPr>
            </w:pPr>
            <w:r>
              <w:rPr>
                <w:sz w:val="11"/>
              </w:rPr>
              <w:t>After School Education and Safety (ASES)</w:t>
            </w:r>
          </w:p>
        </w:tc>
        <w:tc>
          <w:tcPr>
            <w:tcW w:w="1098" w:type="dxa"/>
          </w:tcPr>
          <w:p>
            <w:pPr>
              <w:pStyle w:val="TableParagraph"/>
              <w:spacing w:before="101"/>
              <w:ind w:left="41" w:right="128"/>
              <w:jc w:val="center"/>
              <w:rPr>
                <w:sz w:val="11"/>
              </w:rPr>
            </w:pPr>
            <w:r>
              <w:rPr>
                <w:sz w:val="11"/>
              </w:rPr>
              <w:t>6010</w:t>
            </w:r>
          </w:p>
        </w:tc>
        <w:tc>
          <w:tcPr>
            <w:tcW w:w="680" w:type="dxa"/>
          </w:tcPr>
          <w:p>
            <w:pPr>
              <w:pStyle w:val="TableParagraph"/>
              <w:spacing w:before="101"/>
              <w:ind w:right="234"/>
              <w:jc w:val="right"/>
              <w:rPr>
                <w:sz w:val="11"/>
              </w:rPr>
            </w:pPr>
            <w:r>
              <w:rPr>
                <w:sz w:val="11"/>
              </w:rPr>
              <w:t>8590</w:t>
            </w:r>
          </w:p>
        </w:tc>
        <w:tc>
          <w:tcPr>
            <w:tcW w:w="1378" w:type="dxa"/>
            <w:shd w:val="clear" w:color="auto" w:fill="DFDFDF"/>
          </w:tcPr>
          <w:p>
            <w:pPr>
              <w:pStyle w:val="TableParagraph"/>
              <w:rPr>
                <w:rFonts w:ascii="Times New Roman"/>
                <w:sz w:val="10"/>
              </w:rPr>
            </w:pPr>
          </w:p>
        </w:tc>
        <w:tc>
          <w:tcPr>
            <w:tcW w:w="1050" w:type="dxa"/>
          </w:tcPr>
          <w:p>
            <w:pPr>
              <w:pStyle w:val="TableParagraph"/>
              <w:spacing w:before="101"/>
              <w:ind w:right="263"/>
              <w:jc w:val="right"/>
              <w:rPr>
                <w:sz w:val="11"/>
              </w:rPr>
            </w:pPr>
            <w:r>
              <w:rPr>
                <w:sz w:val="11"/>
              </w:rPr>
              <w:t>0.00</w:t>
            </w:r>
          </w:p>
        </w:tc>
        <w:tc>
          <w:tcPr>
            <w:tcW w:w="899" w:type="dxa"/>
          </w:tcPr>
          <w:p>
            <w:pPr>
              <w:pStyle w:val="TableParagraph"/>
              <w:spacing w:before="101"/>
              <w:ind w:right="53"/>
              <w:jc w:val="right"/>
              <w:rPr>
                <w:sz w:val="11"/>
              </w:rPr>
            </w:pPr>
            <w:r>
              <w:rPr>
                <w:sz w:val="11"/>
              </w:rPr>
              <w:t>0.00</w:t>
            </w:r>
          </w:p>
        </w:tc>
        <w:tc>
          <w:tcPr>
            <w:tcW w:w="1109" w:type="dxa"/>
            <w:shd w:val="clear" w:color="auto" w:fill="DFDFDF"/>
          </w:tcPr>
          <w:p>
            <w:pPr>
              <w:pStyle w:val="TableParagraph"/>
              <w:rPr>
                <w:rFonts w:ascii="Times New Roman"/>
                <w:sz w:val="10"/>
              </w:rPr>
            </w:pPr>
          </w:p>
        </w:tc>
        <w:tc>
          <w:tcPr>
            <w:tcW w:w="1213" w:type="dxa"/>
          </w:tcPr>
          <w:p>
            <w:pPr>
              <w:pStyle w:val="TableParagraph"/>
              <w:spacing w:before="101"/>
              <w:ind w:right="157"/>
              <w:jc w:val="right"/>
              <w:rPr>
                <w:sz w:val="11"/>
              </w:rPr>
            </w:pPr>
            <w:r>
              <w:rPr>
                <w:sz w:val="11"/>
              </w:rPr>
              <w:t>0.00</w:t>
            </w:r>
          </w:p>
        </w:tc>
        <w:tc>
          <w:tcPr>
            <w:tcW w:w="1004" w:type="dxa"/>
          </w:tcPr>
          <w:p>
            <w:pPr>
              <w:pStyle w:val="TableParagraph"/>
              <w:spacing w:before="101"/>
              <w:ind w:right="52"/>
              <w:jc w:val="right"/>
              <w:rPr>
                <w:sz w:val="11"/>
              </w:rPr>
            </w:pPr>
            <w:r>
              <w:rPr>
                <w:sz w:val="11"/>
              </w:rPr>
              <w:t>0.00</w:t>
            </w:r>
          </w:p>
        </w:tc>
        <w:tc>
          <w:tcPr>
            <w:tcW w:w="615" w:type="dxa"/>
          </w:tcPr>
          <w:p>
            <w:pPr>
              <w:pStyle w:val="TableParagraph"/>
              <w:spacing w:before="101"/>
              <w:ind w:right="25"/>
              <w:jc w:val="right"/>
              <w:rPr>
                <w:sz w:val="11"/>
              </w:rPr>
            </w:pPr>
            <w:r>
              <w:rPr>
                <w:sz w:val="11"/>
              </w:rPr>
              <w:t>0.0%</w:t>
            </w:r>
          </w:p>
        </w:tc>
      </w:tr>
      <w:tr>
        <w:trPr>
          <w:trHeight w:val="230" w:hRule="atLeast"/>
        </w:trPr>
        <w:tc>
          <w:tcPr>
            <w:tcW w:w="2596" w:type="dxa"/>
          </w:tcPr>
          <w:p>
            <w:pPr>
              <w:pStyle w:val="TableParagraph"/>
              <w:spacing w:before="51"/>
              <w:ind w:left="152"/>
              <w:rPr>
                <w:sz w:val="11"/>
              </w:rPr>
            </w:pPr>
            <w:r>
              <w:rPr>
                <w:sz w:val="11"/>
              </w:rPr>
              <w:t>Charter School Facility Grant</w:t>
            </w:r>
          </w:p>
        </w:tc>
        <w:tc>
          <w:tcPr>
            <w:tcW w:w="1098" w:type="dxa"/>
          </w:tcPr>
          <w:p>
            <w:pPr>
              <w:pStyle w:val="TableParagraph"/>
              <w:spacing w:before="51"/>
              <w:ind w:left="41" w:right="128"/>
              <w:jc w:val="center"/>
              <w:rPr>
                <w:sz w:val="11"/>
              </w:rPr>
            </w:pPr>
            <w:r>
              <w:rPr>
                <w:sz w:val="11"/>
              </w:rPr>
              <w:t>6030</w:t>
            </w:r>
          </w:p>
        </w:tc>
        <w:tc>
          <w:tcPr>
            <w:tcW w:w="680" w:type="dxa"/>
          </w:tcPr>
          <w:p>
            <w:pPr>
              <w:pStyle w:val="TableParagraph"/>
              <w:spacing w:before="51"/>
              <w:ind w:right="234"/>
              <w:jc w:val="right"/>
              <w:rPr>
                <w:sz w:val="11"/>
              </w:rPr>
            </w:pPr>
            <w:r>
              <w:rPr>
                <w:sz w:val="11"/>
              </w:rPr>
              <w:t>8590</w:t>
            </w:r>
          </w:p>
        </w:tc>
        <w:tc>
          <w:tcPr>
            <w:tcW w:w="1378" w:type="dxa"/>
            <w:shd w:val="clear" w:color="auto" w:fill="DFDFDF"/>
          </w:tcPr>
          <w:p>
            <w:pPr>
              <w:pStyle w:val="TableParagraph"/>
              <w:rPr>
                <w:rFonts w:ascii="Times New Roman"/>
                <w:sz w:val="10"/>
              </w:rPr>
            </w:pPr>
          </w:p>
        </w:tc>
        <w:tc>
          <w:tcPr>
            <w:tcW w:w="1050" w:type="dxa"/>
          </w:tcPr>
          <w:p>
            <w:pPr>
              <w:pStyle w:val="TableParagraph"/>
              <w:spacing w:before="51"/>
              <w:ind w:right="263"/>
              <w:jc w:val="right"/>
              <w:rPr>
                <w:sz w:val="11"/>
              </w:rPr>
            </w:pPr>
            <w:r>
              <w:rPr>
                <w:sz w:val="11"/>
              </w:rPr>
              <w:t>0.00</w:t>
            </w:r>
          </w:p>
        </w:tc>
        <w:tc>
          <w:tcPr>
            <w:tcW w:w="899" w:type="dxa"/>
          </w:tcPr>
          <w:p>
            <w:pPr>
              <w:pStyle w:val="TableParagraph"/>
              <w:spacing w:before="51"/>
              <w:ind w:right="53"/>
              <w:jc w:val="right"/>
              <w:rPr>
                <w:sz w:val="11"/>
              </w:rPr>
            </w:pPr>
            <w:r>
              <w:rPr>
                <w:sz w:val="11"/>
              </w:rPr>
              <w:t>0.00</w:t>
            </w:r>
          </w:p>
        </w:tc>
        <w:tc>
          <w:tcPr>
            <w:tcW w:w="1109" w:type="dxa"/>
            <w:shd w:val="clear" w:color="auto" w:fill="DFDFDF"/>
          </w:tcPr>
          <w:p>
            <w:pPr>
              <w:pStyle w:val="TableParagraph"/>
              <w:rPr>
                <w:rFonts w:ascii="Times New Roman"/>
                <w:sz w:val="10"/>
              </w:rPr>
            </w:pPr>
          </w:p>
        </w:tc>
        <w:tc>
          <w:tcPr>
            <w:tcW w:w="1213" w:type="dxa"/>
          </w:tcPr>
          <w:p>
            <w:pPr>
              <w:pStyle w:val="TableParagraph"/>
              <w:spacing w:before="51"/>
              <w:ind w:right="157"/>
              <w:jc w:val="right"/>
              <w:rPr>
                <w:sz w:val="11"/>
              </w:rPr>
            </w:pPr>
            <w:r>
              <w:rPr>
                <w:sz w:val="11"/>
              </w:rPr>
              <w:t>0.00</w:t>
            </w:r>
          </w:p>
        </w:tc>
        <w:tc>
          <w:tcPr>
            <w:tcW w:w="1004" w:type="dxa"/>
          </w:tcPr>
          <w:p>
            <w:pPr>
              <w:pStyle w:val="TableParagraph"/>
              <w:spacing w:before="51"/>
              <w:ind w:right="52"/>
              <w:jc w:val="right"/>
              <w:rPr>
                <w:sz w:val="11"/>
              </w:rPr>
            </w:pPr>
            <w:r>
              <w:rPr>
                <w:sz w:val="11"/>
              </w:rPr>
              <w:t>0.00</w:t>
            </w:r>
          </w:p>
        </w:tc>
        <w:tc>
          <w:tcPr>
            <w:tcW w:w="615" w:type="dxa"/>
          </w:tcPr>
          <w:p>
            <w:pPr>
              <w:pStyle w:val="TableParagraph"/>
              <w:spacing w:before="51"/>
              <w:ind w:right="25"/>
              <w:jc w:val="right"/>
              <w:rPr>
                <w:sz w:val="11"/>
              </w:rPr>
            </w:pPr>
            <w:r>
              <w:rPr>
                <w:sz w:val="11"/>
              </w:rPr>
              <w:t>0.0%</w:t>
            </w:r>
          </w:p>
        </w:tc>
      </w:tr>
      <w:tr>
        <w:trPr>
          <w:trHeight w:val="230" w:hRule="atLeast"/>
        </w:trPr>
        <w:tc>
          <w:tcPr>
            <w:tcW w:w="2596" w:type="dxa"/>
          </w:tcPr>
          <w:p>
            <w:pPr>
              <w:pStyle w:val="TableParagraph"/>
              <w:spacing w:before="51"/>
              <w:ind w:left="152"/>
              <w:rPr>
                <w:sz w:val="11"/>
              </w:rPr>
            </w:pPr>
            <w:r>
              <w:rPr>
                <w:sz w:val="11"/>
              </w:rPr>
              <w:t>Drug/Alcohol/Tobacco Funds</w:t>
            </w:r>
          </w:p>
        </w:tc>
        <w:tc>
          <w:tcPr>
            <w:tcW w:w="1098" w:type="dxa"/>
          </w:tcPr>
          <w:p>
            <w:pPr>
              <w:pStyle w:val="TableParagraph"/>
              <w:spacing w:before="51"/>
              <w:ind w:left="40" w:right="128"/>
              <w:jc w:val="center"/>
              <w:rPr>
                <w:sz w:val="11"/>
              </w:rPr>
            </w:pPr>
            <w:r>
              <w:rPr>
                <w:sz w:val="11"/>
              </w:rPr>
              <w:t>6650, 6690, 6695</w:t>
            </w:r>
          </w:p>
        </w:tc>
        <w:tc>
          <w:tcPr>
            <w:tcW w:w="680" w:type="dxa"/>
          </w:tcPr>
          <w:p>
            <w:pPr>
              <w:pStyle w:val="TableParagraph"/>
              <w:spacing w:before="51"/>
              <w:ind w:right="234"/>
              <w:jc w:val="right"/>
              <w:rPr>
                <w:sz w:val="11"/>
              </w:rPr>
            </w:pPr>
            <w:r>
              <w:rPr>
                <w:sz w:val="11"/>
              </w:rPr>
              <w:t>8590</w:t>
            </w:r>
          </w:p>
        </w:tc>
        <w:tc>
          <w:tcPr>
            <w:tcW w:w="1378" w:type="dxa"/>
            <w:shd w:val="clear" w:color="auto" w:fill="DFDFDF"/>
          </w:tcPr>
          <w:p>
            <w:pPr>
              <w:pStyle w:val="TableParagraph"/>
              <w:rPr>
                <w:rFonts w:ascii="Times New Roman"/>
                <w:sz w:val="10"/>
              </w:rPr>
            </w:pPr>
          </w:p>
        </w:tc>
        <w:tc>
          <w:tcPr>
            <w:tcW w:w="1050" w:type="dxa"/>
          </w:tcPr>
          <w:p>
            <w:pPr>
              <w:pStyle w:val="TableParagraph"/>
              <w:spacing w:before="51"/>
              <w:ind w:right="263"/>
              <w:jc w:val="right"/>
              <w:rPr>
                <w:sz w:val="11"/>
              </w:rPr>
            </w:pPr>
            <w:r>
              <w:rPr>
                <w:sz w:val="11"/>
              </w:rPr>
              <w:t>0.00</w:t>
            </w:r>
          </w:p>
        </w:tc>
        <w:tc>
          <w:tcPr>
            <w:tcW w:w="899" w:type="dxa"/>
          </w:tcPr>
          <w:p>
            <w:pPr>
              <w:pStyle w:val="TableParagraph"/>
              <w:spacing w:before="51"/>
              <w:ind w:right="53"/>
              <w:jc w:val="right"/>
              <w:rPr>
                <w:sz w:val="11"/>
              </w:rPr>
            </w:pPr>
            <w:r>
              <w:rPr>
                <w:sz w:val="11"/>
              </w:rPr>
              <w:t>0.00</w:t>
            </w:r>
          </w:p>
        </w:tc>
        <w:tc>
          <w:tcPr>
            <w:tcW w:w="1109" w:type="dxa"/>
            <w:shd w:val="clear" w:color="auto" w:fill="DFDFDF"/>
          </w:tcPr>
          <w:p>
            <w:pPr>
              <w:pStyle w:val="TableParagraph"/>
              <w:rPr>
                <w:rFonts w:ascii="Times New Roman"/>
                <w:sz w:val="10"/>
              </w:rPr>
            </w:pPr>
          </w:p>
        </w:tc>
        <w:tc>
          <w:tcPr>
            <w:tcW w:w="1213" w:type="dxa"/>
          </w:tcPr>
          <w:p>
            <w:pPr>
              <w:pStyle w:val="TableParagraph"/>
              <w:spacing w:before="51"/>
              <w:ind w:right="157"/>
              <w:jc w:val="right"/>
              <w:rPr>
                <w:sz w:val="11"/>
              </w:rPr>
            </w:pPr>
            <w:r>
              <w:rPr>
                <w:sz w:val="11"/>
              </w:rPr>
              <w:t>0.00</w:t>
            </w:r>
          </w:p>
        </w:tc>
        <w:tc>
          <w:tcPr>
            <w:tcW w:w="1004" w:type="dxa"/>
          </w:tcPr>
          <w:p>
            <w:pPr>
              <w:pStyle w:val="TableParagraph"/>
              <w:spacing w:before="51"/>
              <w:ind w:right="52"/>
              <w:jc w:val="right"/>
              <w:rPr>
                <w:sz w:val="11"/>
              </w:rPr>
            </w:pPr>
            <w:r>
              <w:rPr>
                <w:sz w:val="11"/>
              </w:rPr>
              <w:t>0.00</w:t>
            </w:r>
          </w:p>
        </w:tc>
        <w:tc>
          <w:tcPr>
            <w:tcW w:w="615" w:type="dxa"/>
          </w:tcPr>
          <w:p>
            <w:pPr>
              <w:pStyle w:val="TableParagraph"/>
              <w:spacing w:before="51"/>
              <w:ind w:right="25"/>
              <w:jc w:val="right"/>
              <w:rPr>
                <w:sz w:val="11"/>
              </w:rPr>
            </w:pPr>
            <w:r>
              <w:rPr>
                <w:sz w:val="11"/>
              </w:rPr>
              <w:t>0.0%</w:t>
            </w:r>
          </w:p>
        </w:tc>
      </w:tr>
      <w:tr>
        <w:trPr>
          <w:trHeight w:val="230" w:hRule="atLeast"/>
        </w:trPr>
        <w:tc>
          <w:tcPr>
            <w:tcW w:w="2596" w:type="dxa"/>
          </w:tcPr>
          <w:p>
            <w:pPr>
              <w:pStyle w:val="TableParagraph"/>
              <w:spacing w:before="51"/>
              <w:ind w:left="152"/>
              <w:rPr>
                <w:sz w:val="11"/>
              </w:rPr>
            </w:pPr>
            <w:r>
              <w:rPr>
                <w:sz w:val="11"/>
              </w:rPr>
              <w:t>California Clean Energy Jobs Act</w:t>
            </w:r>
          </w:p>
        </w:tc>
        <w:tc>
          <w:tcPr>
            <w:tcW w:w="1098" w:type="dxa"/>
          </w:tcPr>
          <w:p>
            <w:pPr>
              <w:pStyle w:val="TableParagraph"/>
              <w:spacing w:before="51"/>
              <w:ind w:left="41" w:right="128"/>
              <w:jc w:val="center"/>
              <w:rPr>
                <w:sz w:val="11"/>
              </w:rPr>
            </w:pPr>
            <w:r>
              <w:rPr>
                <w:sz w:val="11"/>
              </w:rPr>
              <w:t>6230</w:t>
            </w:r>
          </w:p>
        </w:tc>
        <w:tc>
          <w:tcPr>
            <w:tcW w:w="680" w:type="dxa"/>
          </w:tcPr>
          <w:p>
            <w:pPr>
              <w:pStyle w:val="TableParagraph"/>
              <w:spacing w:before="51"/>
              <w:ind w:right="234"/>
              <w:jc w:val="right"/>
              <w:rPr>
                <w:sz w:val="11"/>
              </w:rPr>
            </w:pPr>
            <w:r>
              <w:rPr>
                <w:sz w:val="11"/>
              </w:rPr>
              <w:t>8590</w:t>
            </w:r>
          </w:p>
        </w:tc>
        <w:tc>
          <w:tcPr>
            <w:tcW w:w="1378" w:type="dxa"/>
            <w:shd w:val="clear" w:color="auto" w:fill="DFDFDF"/>
          </w:tcPr>
          <w:p>
            <w:pPr>
              <w:pStyle w:val="TableParagraph"/>
              <w:rPr>
                <w:rFonts w:ascii="Times New Roman"/>
                <w:sz w:val="10"/>
              </w:rPr>
            </w:pPr>
          </w:p>
        </w:tc>
        <w:tc>
          <w:tcPr>
            <w:tcW w:w="1050" w:type="dxa"/>
          </w:tcPr>
          <w:p>
            <w:pPr>
              <w:pStyle w:val="TableParagraph"/>
              <w:spacing w:before="51"/>
              <w:ind w:right="263"/>
              <w:jc w:val="right"/>
              <w:rPr>
                <w:sz w:val="11"/>
              </w:rPr>
            </w:pPr>
            <w:r>
              <w:rPr>
                <w:sz w:val="11"/>
              </w:rPr>
              <w:t>0.00</w:t>
            </w:r>
          </w:p>
        </w:tc>
        <w:tc>
          <w:tcPr>
            <w:tcW w:w="899" w:type="dxa"/>
          </w:tcPr>
          <w:p>
            <w:pPr>
              <w:pStyle w:val="TableParagraph"/>
              <w:spacing w:before="51"/>
              <w:ind w:right="53"/>
              <w:jc w:val="right"/>
              <w:rPr>
                <w:sz w:val="11"/>
              </w:rPr>
            </w:pPr>
            <w:r>
              <w:rPr>
                <w:sz w:val="11"/>
              </w:rPr>
              <w:t>0.00</w:t>
            </w:r>
          </w:p>
        </w:tc>
        <w:tc>
          <w:tcPr>
            <w:tcW w:w="1109" w:type="dxa"/>
            <w:shd w:val="clear" w:color="auto" w:fill="DFDFDF"/>
          </w:tcPr>
          <w:p>
            <w:pPr>
              <w:pStyle w:val="TableParagraph"/>
              <w:rPr>
                <w:rFonts w:ascii="Times New Roman"/>
                <w:sz w:val="10"/>
              </w:rPr>
            </w:pPr>
          </w:p>
        </w:tc>
        <w:tc>
          <w:tcPr>
            <w:tcW w:w="1213" w:type="dxa"/>
          </w:tcPr>
          <w:p>
            <w:pPr>
              <w:pStyle w:val="TableParagraph"/>
              <w:spacing w:before="51"/>
              <w:ind w:right="157"/>
              <w:jc w:val="right"/>
              <w:rPr>
                <w:sz w:val="11"/>
              </w:rPr>
            </w:pPr>
            <w:r>
              <w:rPr>
                <w:sz w:val="11"/>
              </w:rPr>
              <w:t>0.00</w:t>
            </w:r>
          </w:p>
        </w:tc>
        <w:tc>
          <w:tcPr>
            <w:tcW w:w="1004" w:type="dxa"/>
          </w:tcPr>
          <w:p>
            <w:pPr>
              <w:pStyle w:val="TableParagraph"/>
              <w:spacing w:before="51"/>
              <w:ind w:right="52"/>
              <w:jc w:val="right"/>
              <w:rPr>
                <w:sz w:val="11"/>
              </w:rPr>
            </w:pPr>
            <w:r>
              <w:rPr>
                <w:sz w:val="11"/>
              </w:rPr>
              <w:t>0.00</w:t>
            </w:r>
          </w:p>
        </w:tc>
        <w:tc>
          <w:tcPr>
            <w:tcW w:w="615" w:type="dxa"/>
          </w:tcPr>
          <w:p>
            <w:pPr>
              <w:pStyle w:val="TableParagraph"/>
              <w:spacing w:before="51"/>
              <w:ind w:right="25"/>
              <w:jc w:val="right"/>
              <w:rPr>
                <w:sz w:val="11"/>
              </w:rPr>
            </w:pPr>
            <w:r>
              <w:rPr>
                <w:sz w:val="11"/>
              </w:rPr>
              <w:t>0.0%</w:t>
            </w:r>
          </w:p>
        </w:tc>
      </w:tr>
      <w:tr>
        <w:trPr>
          <w:trHeight w:val="190" w:hRule="atLeast"/>
        </w:trPr>
        <w:tc>
          <w:tcPr>
            <w:tcW w:w="2596" w:type="dxa"/>
          </w:tcPr>
          <w:p>
            <w:pPr>
              <w:pStyle w:val="TableParagraph"/>
              <w:spacing w:line="120" w:lineRule="exact" w:before="51"/>
              <w:ind w:left="152"/>
              <w:rPr>
                <w:sz w:val="11"/>
              </w:rPr>
            </w:pPr>
            <w:r>
              <w:rPr>
                <w:sz w:val="11"/>
              </w:rPr>
              <w:t>Career Technical Education Incentive</w:t>
            </w:r>
          </w:p>
        </w:tc>
        <w:tc>
          <w:tcPr>
            <w:tcW w:w="1098" w:type="dxa"/>
          </w:tcPr>
          <w:p>
            <w:pPr>
              <w:pStyle w:val="TableParagraph"/>
              <w:rPr>
                <w:rFonts w:ascii="Times New Roman"/>
                <w:sz w:val="10"/>
              </w:rPr>
            </w:pPr>
          </w:p>
        </w:tc>
        <w:tc>
          <w:tcPr>
            <w:tcW w:w="680" w:type="dxa"/>
          </w:tcPr>
          <w:p>
            <w:pPr>
              <w:pStyle w:val="TableParagraph"/>
              <w:rPr>
                <w:rFonts w:ascii="Times New Roman"/>
                <w:sz w:val="10"/>
              </w:rPr>
            </w:pPr>
          </w:p>
        </w:tc>
        <w:tc>
          <w:tcPr>
            <w:tcW w:w="1378" w:type="dxa"/>
            <w:shd w:val="clear" w:color="auto" w:fill="DFDFDF"/>
          </w:tcPr>
          <w:p>
            <w:pPr>
              <w:pStyle w:val="TableParagraph"/>
              <w:rPr>
                <w:rFonts w:ascii="Times New Roman"/>
                <w:sz w:val="10"/>
              </w:rPr>
            </w:pPr>
          </w:p>
        </w:tc>
        <w:tc>
          <w:tcPr>
            <w:tcW w:w="1050" w:type="dxa"/>
          </w:tcPr>
          <w:p>
            <w:pPr>
              <w:pStyle w:val="TableParagraph"/>
              <w:rPr>
                <w:rFonts w:ascii="Times New Roman"/>
                <w:sz w:val="10"/>
              </w:rPr>
            </w:pPr>
          </w:p>
        </w:tc>
        <w:tc>
          <w:tcPr>
            <w:tcW w:w="899" w:type="dxa"/>
          </w:tcPr>
          <w:p>
            <w:pPr>
              <w:pStyle w:val="TableParagraph"/>
              <w:rPr>
                <w:rFonts w:ascii="Times New Roman"/>
                <w:sz w:val="10"/>
              </w:rPr>
            </w:pPr>
          </w:p>
        </w:tc>
        <w:tc>
          <w:tcPr>
            <w:tcW w:w="1109" w:type="dxa"/>
            <w:shd w:val="clear" w:color="auto" w:fill="DFDFDF"/>
          </w:tcPr>
          <w:p>
            <w:pPr>
              <w:pStyle w:val="TableParagraph"/>
              <w:rPr>
                <w:rFonts w:ascii="Times New Roman"/>
                <w:sz w:val="10"/>
              </w:rPr>
            </w:pPr>
          </w:p>
        </w:tc>
        <w:tc>
          <w:tcPr>
            <w:tcW w:w="1213" w:type="dxa"/>
          </w:tcPr>
          <w:p>
            <w:pPr>
              <w:pStyle w:val="TableParagraph"/>
              <w:rPr>
                <w:rFonts w:ascii="Times New Roman"/>
                <w:sz w:val="10"/>
              </w:rPr>
            </w:pPr>
          </w:p>
        </w:tc>
        <w:tc>
          <w:tcPr>
            <w:tcW w:w="1004" w:type="dxa"/>
          </w:tcPr>
          <w:p>
            <w:pPr>
              <w:pStyle w:val="TableParagraph"/>
              <w:rPr>
                <w:rFonts w:ascii="Times New Roman"/>
                <w:sz w:val="10"/>
              </w:rPr>
            </w:pPr>
          </w:p>
        </w:tc>
        <w:tc>
          <w:tcPr>
            <w:tcW w:w="615" w:type="dxa"/>
          </w:tcPr>
          <w:p>
            <w:pPr>
              <w:pStyle w:val="TableParagraph"/>
              <w:rPr>
                <w:rFonts w:ascii="Times New Roman"/>
                <w:sz w:val="10"/>
              </w:rPr>
            </w:pPr>
          </w:p>
        </w:tc>
      </w:tr>
      <w:tr>
        <w:trPr>
          <w:trHeight w:val="190" w:hRule="atLeast"/>
        </w:trPr>
        <w:tc>
          <w:tcPr>
            <w:tcW w:w="2596" w:type="dxa"/>
          </w:tcPr>
          <w:p>
            <w:pPr>
              <w:pStyle w:val="TableParagraph"/>
              <w:spacing w:before="11"/>
              <w:ind w:left="183"/>
              <w:rPr>
                <w:sz w:val="11"/>
              </w:rPr>
            </w:pPr>
            <w:r>
              <w:rPr>
                <w:sz w:val="11"/>
              </w:rPr>
              <w:t>Grant Program</w:t>
            </w:r>
          </w:p>
        </w:tc>
        <w:tc>
          <w:tcPr>
            <w:tcW w:w="1098" w:type="dxa"/>
          </w:tcPr>
          <w:p>
            <w:pPr>
              <w:pStyle w:val="TableParagraph"/>
              <w:spacing w:before="11"/>
              <w:ind w:left="41" w:right="128"/>
              <w:jc w:val="center"/>
              <w:rPr>
                <w:sz w:val="11"/>
              </w:rPr>
            </w:pPr>
            <w:r>
              <w:rPr>
                <w:sz w:val="11"/>
              </w:rPr>
              <w:t>6387</w:t>
            </w:r>
          </w:p>
        </w:tc>
        <w:tc>
          <w:tcPr>
            <w:tcW w:w="680" w:type="dxa"/>
          </w:tcPr>
          <w:p>
            <w:pPr>
              <w:pStyle w:val="TableParagraph"/>
              <w:spacing w:before="11"/>
              <w:ind w:right="234"/>
              <w:jc w:val="right"/>
              <w:rPr>
                <w:sz w:val="11"/>
              </w:rPr>
            </w:pPr>
            <w:r>
              <w:rPr>
                <w:sz w:val="11"/>
              </w:rPr>
              <w:t>8590</w:t>
            </w:r>
          </w:p>
        </w:tc>
        <w:tc>
          <w:tcPr>
            <w:tcW w:w="1378" w:type="dxa"/>
            <w:shd w:val="clear" w:color="auto" w:fill="DFDFDF"/>
          </w:tcPr>
          <w:p>
            <w:pPr>
              <w:pStyle w:val="TableParagraph"/>
              <w:rPr>
                <w:rFonts w:ascii="Times New Roman"/>
                <w:sz w:val="10"/>
              </w:rPr>
            </w:pPr>
          </w:p>
        </w:tc>
        <w:tc>
          <w:tcPr>
            <w:tcW w:w="1050" w:type="dxa"/>
          </w:tcPr>
          <w:p>
            <w:pPr>
              <w:pStyle w:val="TableParagraph"/>
              <w:spacing w:before="11"/>
              <w:ind w:right="263"/>
              <w:jc w:val="right"/>
              <w:rPr>
                <w:sz w:val="11"/>
              </w:rPr>
            </w:pPr>
            <w:r>
              <w:rPr>
                <w:sz w:val="11"/>
              </w:rPr>
              <w:t>0.00</w:t>
            </w:r>
          </w:p>
        </w:tc>
        <w:tc>
          <w:tcPr>
            <w:tcW w:w="899" w:type="dxa"/>
          </w:tcPr>
          <w:p>
            <w:pPr>
              <w:pStyle w:val="TableParagraph"/>
              <w:spacing w:before="11"/>
              <w:ind w:right="53"/>
              <w:jc w:val="right"/>
              <w:rPr>
                <w:sz w:val="11"/>
              </w:rPr>
            </w:pPr>
            <w:r>
              <w:rPr>
                <w:sz w:val="11"/>
              </w:rPr>
              <w:t>0.00</w:t>
            </w:r>
          </w:p>
        </w:tc>
        <w:tc>
          <w:tcPr>
            <w:tcW w:w="1109" w:type="dxa"/>
            <w:shd w:val="clear" w:color="auto" w:fill="DFDFDF"/>
          </w:tcPr>
          <w:p>
            <w:pPr>
              <w:pStyle w:val="TableParagraph"/>
              <w:rPr>
                <w:rFonts w:ascii="Times New Roman"/>
                <w:sz w:val="10"/>
              </w:rPr>
            </w:pPr>
          </w:p>
        </w:tc>
        <w:tc>
          <w:tcPr>
            <w:tcW w:w="1213" w:type="dxa"/>
          </w:tcPr>
          <w:p>
            <w:pPr>
              <w:pStyle w:val="TableParagraph"/>
              <w:spacing w:before="11"/>
              <w:ind w:right="157"/>
              <w:jc w:val="right"/>
              <w:rPr>
                <w:sz w:val="11"/>
              </w:rPr>
            </w:pPr>
            <w:r>
              <w:rPr>
                <w:sz w:val="11"/>
              </w:rPr>
              <w:t>0.00</w:t>
            </w:r>
          </w:p>
        </w:tc>
        <w:tc>
          <w:tcPr>
            <w:tcW w:w="1004" w:type="dxa"/>
          </w:tcPr>
          <w:p>
            <w:pPr>
              <w:pStyle w:val="TableParagraph"/>
              <w:spacing w:before="11"/>
              <w:ind w:right="52"/>
              <w:jc w:val="right"/>
              <w:rPr>
                <w:sz w:val="11"/>
              </w:rPr>
            </w:pPr>
            <w:r>
              <w:rPr>
                <w:sz w:val="11"/>
              </w:rPr>
              <w:t>0.00</w:t>
            </w:r>
          </w:p>
        </w:tc>
        <w:tc>
          <w:tcPr>
            <w:tcW w:w="615" w:type="dxa"/>
          </w:tcPr>
          <w:p>
            <w:pPr>
              <w:pStyle w:val="TableParagraph"/>
              <w:spacing w:before="11"/>
              <w:ind w:right="25"/>
              <w:jc w:val="right"/>
              <w:rPr>
                <w:sz w:val="11"/>
              </w:rPr>
            </w:pPr>
            <w:r>
              <w:rPr>
                <w:sz w:val="11"/>
              </w:rPr>
              <w:t>0.0%</w:t>
            </w:r>
          </w:p>
        </w:tc>
      </w:tr>
      <w:tr>
        <w:trPr>
          <w:trHeight w:val="230" w:hRule="atLeast"/>
        </w:trPr>
        <w:tc>
          <w:tcPr>
            <w:tcW w:w="2596" w:type="dxa"/>
          </w:tcPr>
          <w:p>
            <w:pPr>
              <w:pStyle w:val="TableParagraph"/>
              <w:spacing w:before="51"/>
              <w:ind w:left="152"/>
              <w:rPr>
                <w:sz w:val="11"/>
              </w:rPr>
            </w:pPr>
            <w:r>
              <w:rPr>
                <w:sz w:val="11"/>
              </w:rPr>
              <w:t>American Indian Early Childhood Education</w:t>
            </w:r>
          </w:p>
        </w:tc>
        <w:tc>
          <w:tcPr>
            <w:tcW w:w="1098" w:type="dxa"/>
          </w:tcPr>
          <w:p>
            <w:pPr>
              <w:pStyle w:val="TableParagraph"/>
              <w:spacing w:before="51"/>
              <w:ind w:left="41" w:right="128"/>
              <w:jc w:val="center"/>
              <w:rPr>
                <w:sz w:val="11"/>
              </w:rPr>
            </w:pPr>
            <w:r>
              <w:rPr>
                <w:sz w:val="11"/>
              </w:rPr>
              <w:t>7210</w:t>
            </w:r>
          </w:p>
        </w:tc>
        <w:tc>
          <w:tcPr>
            <w:tcW w:w="680" w:type="dxa"/>
          </w:tcPr>
          <w:p>
            <w:pPr>
              <w:pStyle w:val="TableParagraph"/>
              <w:spacing w:before="51"/>
              <w:ind w:right="234"/>
              <w:jc w:val="right"/>
              <w:rPr>
                <w:sz w:val="11"/>
              </w:rPr>
            </w:pPr>
            <w:r>
              <w:rPr>
                <w:sz w:val="11"/>
              </w:rPr>
              <w:t>8590</w:t>
            </w:r>
          </w:p>
        </w:tc>
        <w:tc>
          <w:tcPr>
            <w:tcW w:w="1378" w:type="dxa"/>
            <w:shd w:val="clear" w:color="auto" w:fill="DFDFDF"/>
          </w:tcPr>
          <w:p>
            <w:pPr>
              <w:pStyle w:val="TableParagraph"/>
              <w:rPr>
                <w:rFonts w:ascii="Times New Roman"/>
                <w:sz w:val="10"/>
              </w:rPr>
            </w:pPr>
          </w:p>
        </w:tc>
        <w:tc>
          <w:tcPr>
            <w:tcW w:w="1050" w:type="dxa"/>
          </w:tcPr>
          <w:p>
            <w:pPr>
              <w:pStyle w:val="TableParagraph"/>
              <w:spacing w:before="51"/>
              <w:ind w:right="263"/>
              <w:jc w:val="right"/>
              <w:rPr>
                <w:sz w:val="11"/>
              </w:rPr>
            </w:pPr>
            <w:r>
              <w:rPr>
                <w:sz w:val="11"/>
              </w:rPr>
              <w:t>0.00</w:t>
            </w:r>
          </w:p>
        </w:tc>
        <w:tc>
          <w:tcPr>
            <w:tcW w:w="899" w:type="dxa"/>
          </w:tcPr>
          <w:p>
            <w:pPr>
              <w:pStyle w:val="TableParagraph"/>
              <w:spacing w:before="51"/>
              <w:ind w:right="53"/>
              <w:jc w:val="right"/>
              <w:rPr>
                <w:sz w:val="11"/>
              </w:rPr>
            </w:pPr>
            <w:r>
              <w:rPr>
                <w:sz w:val="11"/>
              </w:rPr>
              <w:t>0.00</w:t>
            </w:r>
          </w:p>
        </w:tc>
        <w:tc>
          <w:tcPr>
            <w:tcW w:w="1109" w:type="dxa"/>
            <w:shd w:val="clear" w:color="auto" w:fill="DFDFDF"/>
          </w:tcPr>
          <w:p>
            <w:pPr>
              <w:pStyle w:val="TableParagraph"/>
              <w:rPr>
                <w:rFonts w:ascii="Times New Roman"/>
                <w:sz w:val="10"/>
              </w:rPr>
            </w:pPr>
          </w:p>
        </w:tc>
        <w:tc>
          <w:tcPr>
            <w:tcW w:w="1213" w:type="dxa"/>
          </w:tcPr>
          <w:p>
            <w:pPr>
              <w:pStyle w:val="TableParagraph"/>
              <w:spacing w:before="51"/>
              <w:ind w:right="157"/>
              <w:jc w:val="right"/>
              <w:rPr>
                <w:sz w:val="11"/>
              </w:rPr>
            </w:pPr>
            <w:r>
              <w:rPr>
                <w:sz w:val="11"/>
              </w:rPr>
              <w:t>0.00</w:t>
            </w:r>
          </w:p>
        </w:tc>
        <w:tc>
          <w:tcPr>
            <w:tcW w:w="1004" w:type="dxa"/>
          </w:tcPr>
          <w:p>
            <w:pPr>
              <w:pStyle w:val="TableParagraph"/>
              <w:spacing w:before="51"/>
              <w:ind w:right="52"/>
              <w:jc w:val="right"/>
              <w:rPr>
                <w:sz w:val="11"/>
              </w:rPr>
            </w:pPr>
            <w:r>
              <w:rPr>
                <w:sz w:val="11"/>
              </w:rPr>
              <w:t>0.00</w:t>
            </w:r>
          </w:p>
        </w:tc>
        <w:tc>
          <w:tcPr>
            <w:tcW w:w="615" w:type="dxa"/>
          </w:tcPr>
          <w:p>
            <w:pPr>
              <w:pStyle w:val="TableParagraph"/>
              <w:spacing w:before="51"/>
              <w:ind w:right="25"/>
              <w:jc w:val="right"/>
              <w:rPr>
                <w:sz w:val="11"/>
              </w:rPr>
            </w:pPr>
            <w:r>
              <w:rPr>
                <w:sz w:val="11"/>
              </w:rPr>
              <w:t>0.0%</w:t>
            </w:r>
          </w:p>
        </w:tc>
      </w:tr>
      <w:tr>
        <w:trPr>
          <w:trHeight w:val="224" w:hRule="atLeast"/>
        </w:trPr>
        <w:tc>
          <w:tcPr>
            <w:tcW w:w="2596" w:type="dxa"/>
          </w:tcPr>
          <w:p>
            <w:pPr>
              <w:pStyle w:val="TableParagraph"/>
              <w:spacing w:before="51"/>
              <w:ind w:left="152"/>
              <w:rPr>
                <w:sz w:val="11"/>
              </w:rPr>
            </w:pPr>
            <w:r>
              <w:rPr>
                <w:sz w:val="11"/>
              </w:rPr>
              <w:t>Specialized Secondary</w:t>
            </w:r>
          </w:p>
        </w:tc>
        <w:tc>
          <w:tcPr>
            <w:tcW w:w="1098" w:type="dxa"/>
          </w:tcPr>
          <w:p>
            <w:pPr>
              <w:pStyle w:val="TableParagraph"/>
              <w:spacing w:before="51"/>
              <w:ind w:left="41" w:right="128"/>
              <w:jc w:val="center"/>
              <w:rPr>
                <w:sz w:val="11"/>
              </w:rPr>
            </w:pPr>
            <w:r>
              <w:rPr>
                <w:sz w:val="11"/>
              </w:rPr>
              <w:t>7370</w:t>
            </w:r>
          </w:p>
        </w:tc>
        <w:tc>
          <w:tcPr>
            <w:tcW w:w="680" w:type="dxa"/>
          </w:tcPr>
          <w:p>
            <w:pPr>
              <w:pStyle w:val="TableParagraph"/>
              <w:spacing w:before="51"/>
              <w:ind w:right="234"/>
              <w:jc w:val="right"/>
              <w:rPr>
                <w:sz w:val="11"/>
              </w:rPr>
            </w:pPr>
            <w:r>
              <w:rPr>
                <w:sz w:val="11"/>
              </w:rPr>
              <w:t>8590</w:t>
            </w:r>
          </w:p>
        </w:tc>
        <w:tc>
          <w:tcPr>
            <w:tcW w:w="1378" w:type="dxa"/>
          </w:tcPr>
          <w:p>
            <w:pPr>
              <w:pStyle w:val="TableParagraph"/>
              <w:rPr>
                <w:rFonts w:ascii="Times New Roman"/>
                <w:sz w:val="10"/>
              </w:rPr>
            </w:pPr>
          </w:p>
        </w:tc>
        <w:tc>
          <w:tcPr>
            <w:tcW w:w="1050" w:type="dxa"/>
          </w:tcPr>
          <w:p>
            <w:pPr>
              <w:pStyle w:val="TableParagraph"/>
              <w:spacing w:before="51"/>
              <w:ind w:right="263"/>
              <w:jc w:val="right"/>
              <w:rPr>
                <w:sz w:val="11"/>
              </w:rPr>
            </w:pPr>
            <w:r>
              <w:rPr>
                <w:sz w:val="11"/>
              </w:rPr>
              <w:t>0.00</w:t>
            </w:r>
          </w:p>
        </w:tc>
        <w:tc>
          <w:tcPr>
            <w:tcW w:w="899" w:type="dxa"/>
          </w:tcPr>
          <w:p>
            <w:pPr>
              <w:pStyle w:val="TableParagraph"/>
              <w:spacing w:before="51"/>
              <w:ind w:right="53"/>
              <w:jc w:val="right"/>
              <w:rPr>
                <w:sz w:val="11"/>
              </w:rPr>
            </w:pPr>
            <w:r>
              <w:rPr>
                <w:sz w:val="11"/>
              </w:rPr>
              <w:t>0.00</w:t>
            </w:r>
          </w:p>
        </w:tc>
        <w:tc>
          <w:tcPr>
            <w:tcW w:w="1109" w:type="dxa"/>
            <w:shd w:val="clear" w:color="auto" w:fill="DFDFDF"/>
          </w:tcPr>
          <w:p>
            <w:pPr>
              <w:pStyle w:val="TableParagraph"/>
              <w:rPr>
                <w:rFonts w:ascii="Times New Roman"/>
                <w:sz w:val="10"/>
              </w:rPr>
            </w:pPr>
          </w:p>
        </w:tc>
        <w:tc>
          <w:tcPr>
            <w:tcW w:w="1213" w:type="dxa"/>
          </w:tcPr>
          <w:p>
            <w:pPr>
              <w:pStyle w:val="TableParagraph"/>
              <w:spacing w:before="51"/>
              <w:ind w:right="157"/>
              <w:jc w:val="right"/>
              <w:rPr>
                <w:sz w:val="11"/>
              </w:rPr>
            </w:pPr>
            <w:r>
              <w:rPr>
                <w:sz w:val="11"/>
              </w:rPr>
              <w:t>0.00</w:t>
            </w:r>
          </w:p>
        </w:tc>
        <w:tc>
          <w:tcPr>
            <w:tcW w:w="1004" w:type="dxa"/>
          </w:tcPr>
          <w:p>
            <w:pPr>
              <w:pStyle w:val="TableParagraph"/>
              <w:spacing w:before="51"/>
              <w:ind w:right="52"/>
              <w:jc w:val="right"/>
              <w:rPr>
                <w:sz w:val="11"/>
              </w:rPr>
            </w:pPr>
            <w:r>
              <w:rPr>
                <w:sz w:val="11"/>
              </w:rPr>
              <w:t>0.00</w:t>
            </w:r>
          </w:p>
        </w:tc>
        <w:tc>
          <w:tcPr>
            <w:tcW w:w="615" w:type="dxa"/>
          </w:tcPr>
          <w:p>
            <w:pPr>
              <w:pStyle w:val="TableParagraph"/>
              <w:spacing w:before="51"/>
              <w:ind w:right="25"/>
              <w:jc w:val="right"/>
              <w:rPr>
                <w:sz w:val="11"/>
              </w:rPr>
            </w:pPr>
            <w:r>
              <w:rPr>
                <w:sz w:val="11"/>
              </w:rPr>
              <w:t>0.0%</w:t>
            </w:r>
          </w:p>
        </w:tc>
      </w:tr>
      <w:tr>
        <w:trPr>
          <w:trHeight w:val="174" w:hRule="atLeast"/>
        </w:trPr>
        <w:tc>
          <w:tcPr>
            <w:tcW w:w="2596" w:type="dxa"/>
          </w:tcPr>
          <w:p>
            <w:pPr>
              <w:pStyle w:val="TableParagraph"/>
              <w:spacing w:line="110" w:lineRule="exact" w:before="45"/>
              <w:ind w:left="152"/>
              <w:rPr>
                <w:sz w:val="11"/>
              </w:rPr>
            </w:pPr>
            <w:r>
              <w:rPr>
                <w:sz w:val="11"/>
              </w:rPr>
              <w:t>Quality Education Investment Act</w:t>
            </w:r>
          </w:p>
        </w:tc>
        <w:tc>
          <w:tcPr>
            <w:tcW w:w="1098" w:type="dxa"/>
          </w:tcPr>
          <w:p>
            <w:pPr>
              <w:pStyle w:val="TableParagraph"/>
              <w:spacing w:line="110" w:lineRule="exact" w:before="45"/>
              <w:ind w:left="41" w:right="128"/>
              <w:jc w:val="center"/>
              <w:rPr>
                <w:sz w:val="11"/>
              </w:rPr>
            </w:pPr>
            <w:r>
              <w:rPr>
                <w:sz w:val="11"/>
              </w:rPr>
              <w:t>7400</w:t>
            </w:r>
          </w:p>
        </w:tc>
        <w:tc>
          <w:tcPr>
            <w:tcW w:w="680" w:type="dxa"/>
          </w:tcPr>
          <w:p>
            <w:pPr>
              <w:pStyle w:val="TableParagraph"/>
              <w:spacing w:line="110" w:lineRule="exact" w:before="45"/>
              <w:ind w:right="234"/>
              <w:jc w:val="right"/>
              <w:rPr>
                <w:sz w:val="11"/>
              </w:rPr>
            </w:pPr>
            <w:r>
              <w:rPr>
                <w:sz w:val="11"/>
              </w:rPr>
              <w:t>8590</w:t>
            </w:r>
          </w:p>
        </w:tc>
        <w:tc>
          <w:tcPr>
            <w:tcW w:w="1378" w:type="dxa"/>
            <w:shd w:val="clear" w:color="auto" w:fill="DFDFDF"/>
          </w:tcPr>
          <w:p>
            <w:pPr>
              <w:pStyle w:val="TableParagraph"/>
              <w:rPr>
                <w:rFonts w:ascii="Times New Roman"/>
                <w:sz w:val="10"/>
              </w:rPr>
            </w:pPr>
          </w:p>
        </w:tc>
        <w:tc>
          <w:tcPr>
            <w:tcW w:w="1050" w:type="dxa"/>
          </w:tcPr>
          <w:p>
            <w:pPr>
              <w:pStyle w:val="TableParagraph"/>
              <w:spacing w:line="110" w:lineRule="exact" w:before="45"/>
              <w:ind w:right="263"/>
              <w:jc w:val="right"/>
              <w:rPr>
                <w:sz w:val="11"/>
              </w:rPr>
            </w:pPr>
            <w:r>
              <w:rPr>
                <w:sz w:val="11"/>
              </w:rPr>
              <w:t>0.00</w:t>
            </w:r>
          </w:p>
        </w:tc>
        <w:tc>
          <w:tcPr>
            <w:tcW w:w="899" w:type="dxa"/>
          </w:tcPr>
          <w:p>
            <w:pPr>
              <w:pStyle w:val="TableParagraph"/>
              <w:spacing w:line="110" w:lineRule="exact" w:before="45"/>
              <w:ind w:right="53"/>
              <w:jc w:val="right"/>
              <w:rPr>
                <w:sz w:val="11"/>
              </w:rPr>
            </w:pPr>
            <w:r>
              <w:rPr>
                <w:sz w:val="11"/>
              </w:rPr>
              <w:t>0.00</w:t>
            </w:r>
          </w:p>
        </w:tc>
        <w:tc>
          <w:tcPr>
            <w:tcW w:w="1109" w:type="dxa"/>
            <w:shd w:val="clear" w:color="auto" w:fill="DFDFDF"/>
          </w:tcPr>
          <w:p>
            <w:pPr>
              <w:pStyle w:val="TableParagraph"/>
              <w:rPr>
                <w:rFonts w:ascii="Times New Roman"/>
                <w:sz w:val="10"/>
              </w:rPr>
            </w:pPr>
          </w:p>
        </w:tc>
        <w:tc>
          <w:tcPr>
            <w:tcW w:w="1213" w:type="dxa"/>
            <w:shd w:val="clear" w:color="auto" w:fill="DFDFDF"/>
          </w:tcPr>
          <w:p>
            <w:pPr>
              <w:pStyle w:val="TableParagraph"/>
              <w:spacing w:line="110" w:lineRule="exact" w:before="45"/>
              <w:ind w:right="157"/>
              <w:jc w:val="right"/>
              <w:rPr>
                <w:sz w:val="11"/>
              </w:rPr>
            </w:pPr>
            <w:r>
              <w:rPr>
                <w:sz w:val="11"/>
              </w:rPr>
              <w:t>0.00</w:t>
            </w:r>
          </w:p>
        </w:tc>
        <w:tc>
          <w:tcPr>
            <w:tcW w:w="1004" w:type="dxa"/>
            <w:shd w:val="clear" w:color="auto" w:fill="DFDFDF"/>
          </w:tcPr>
          <w:p>
            <w:pPr>
              <w:pStyle w:val="TableParagraph"/>
              <w:spacing w:line="110" w:lineRule="exact" w:before="45"/>
              <w:ind w:right="52"/>
              <w:jc w:val="right"/>
              <w:rPr>
                <w:sz w:val="11"/>
              </w:rPr>
            </w:pPr>
            <w:r>
              <w:rPr>
                <w:sz w:val="11"/>
              </w:rPr>
              <w:t>0.00</w:t>
            </w:r>
          </w:p>
        </w:tc>
        <w:tc>
          <w:tcPr>
            <w:tcW w:w="615" w:type="dxa"/>
          </w:tcPr>
          <w:p>
            <w:pPr>
              <w:pStyle w:val="TableParagraph"/>
              <w:spacing w:line="110" w:lineRule="exact" w:before="45"/>
              <w:ind w:right="25"/>
              <w:jc w:val="right"/>
              <w:rPr>
                <w:sz w:val="11"/>
              </w:rPr>
            </w:pPr>
            <w:r>
              <w:rPr>
                <w:sz w:val="11"/>
              </w:rPr>
              <w:t>0.0%</w:t>
            </w:r>
          </w:p>
        </w:tc>
      </w:tr>
      <w:tr>
        <w:trPr>
          <w:trHeight w:val="280" w:hRule="atLeast"/>
        </w:trPr>
        <w:tc>
          <w:tcPr>
            <w:tcW w:w="2596" w:type="dxa"/>
          </w:tcPr>
          <w:p>
            <w:pPr>
              <w:pStyle w:val="TableParagraph"/>
              <w:spacing w:before="101"/>
              <w:ind w:left="152"/>
              <w:rPr>
                <w:sz w:val="11"/>
              </w:rPr>
            </w:pPr>
            <w:r>
              <w:rPr>
                <w:sz w:val="11"/>
              </w:rPr>
              <w:t>All Other State Revenue</w:t>
            </w:r>
          </w:p>
        </w:tc>
        <w:tc>
          <w:tcPr>
            <w:tcW w:w="1098" w:type="dxa"/>
          </w:tcPr>
          <w:p>
            <w:pPr>
              <w:pStyle w:val="TableParagraph"/>
              <w:spacing w:before="101"/>
              <w:ind w:left="11" w:right="128"/>
              <w:jc w:val="center"/>
              <w:rPr>
                <w:sz w:val="11"/>
              </w:rPr>
            </w:pPr>
            <w:r>
              <w:rPr>
                <w:sz w:val="11"/>
              </w:rPr>
              <w:t>All Other</w:t>
            </w:r>
          </w:p>
        </w:tc>
        <w:tc>
          <w:tcPr>
            <w:tcW w:w="680" w:type="dxa"/>
          </w:tcPr>
          <w:p>
            <w:pPr>
              <w:pStyle w:val="TableParagraph"/>
              <w:spacing w:before="101"/>
              <w:ind w:right="234"/>
              <w:jc w:val="right"/>
              <w:rPr>
                <w:sz w:val="11"/>
              </w:rPr>
            </w:pPr>
            <w:r>
              <w:rPr>
                <w:sz w:val="11"/>
              </w:rPr>
              <w:t>8590</w:t>
            </w:r>
          </w:p>
        </w:tc>
        <w:tc>
          <w:tcPr>
            <w:tcW w:w="1378" w:type="dxa"/>
          </w:tcPr>
          <w:p>
            <w:pPr>
              <w:pStyle w:val="TableParagraph"/>
              <w:spacing w:before="101"/>
              <w:ind w:right="322"/>
              <w:jc w:val="right"/>
              <w:rPr>
                <w:sz w:val="11"/>
              </w:rPr>
            </w:pPr>
            <w:r>
              <w:rPr>
                <w:sz w:val="11"/>
              </w:rPr>
              <w:t>315.00</w:t>
            </w:r>
          </w:p>
        </w:tc>
        <w:tc>
          <w:tcPr>
            <w:tcW w:w="1050" w:type="dxa"/>
          </w:tcPr>
          <w:p>
            <w:pPr>
              <w:pStyle w:val="TableParagraph"/>
              <w:spacing w:before="101"/>
              <w:ind w:left="223"/>
              <w:rPr>
                <w:sz w:val="11"/>
              </w:rPr>
            </w:pPr>
            <w:r>
              <w:rPr>
                <w:sz w:val="11"/>
              </w:rPr>
              <w:t>294,954.00</w:t>
            </w:r>
          </w:p>
        </w:tc>
        <w:tc>
          <w:tcPr>
            <w:tcW w:w="899" w:type="dxa"/>
          </w:tcPr>
          <w:p>
            <w:pPr>
              <w:pStyle w:val="TableParagraph"/>
              <w:spacing w:before="101"/>
              <w:ind w:right="53"/>
              <w:jc w:val="right"/>
              <w:rPr>
                <w:sz w:val="11"/>
              </w:rPr>
            </w:pPr>
            <w:r>
              <w:rPr>
                <w:sz w:val="11"/>
              </w:rPr>
              <w:t>295,269.00</w:t>
            </w:r>
          </w:p>
        </w:tc>
        <w:tc>
          <w:tcPr>
            <w:tcW w:w="1109" w:type="dxa"/>
          </w:tcPr>
          <w:p>
            <w:pPr>
              <w:pStyle w:val="TableParagraph"/>
              <w:spacing w:before="101"/>
              <w:ind w:right="53"/>
              <w:jc w:val="right"/>
              <w:rPr>
                <w:sz w:val="11"/>
              </w:rPr>
            </w:pPr>
            <w:r>
              <w:rPr>
                <w:sz w:val="11"/>
              </w:rPr>
              <w:t>315.00</w:t>
            </w:r>
          </w:p>
        </w:tc>
        <w:tc>
          <w:tcPr>
            <w:tcW w:w="1213" w:type="dxa"/>
          </w:tcPr>
          <w:p>
            <w:pPr>
              <w:pStyle w:val="TableParagraph"/>
              <w:spacing w:before="101"/>
              <w:ind w:right="157"/>
              <w:jc w:val="right"/>
              <w:rPr>
                <w:sz w:val="11"/>
              </w:rPr>
            </w:pPr>
            <w:r>
              <w:rPr>
                <w:sz w:val="11"/>
              </w:rPr>
              <w:t>151,847.00</w:t>
            </w:r>
          </w:p>
        </w:tc>
        <w:tc>
          <w:tcPr>
            <w:tcW w:w="1004" w:type="dxa"/>
          </w:tcPr>
          <w:p>
            <w:pPr>
              <w:pStyle w:val="TableParagraph"/>
              <w:spacing w:before="101"/>
              <w:ind w:right="53"/>
              <w:jc w:val="right"/>
              <w:rPr>
                <w:sz w:val="11"/>
              </w:rPr>
            </w:pPr>
            <w:r>
              <w:rPr>
                <w:sz w:val="11"/>
              </w:rPr>
              <w:t>152,162.00</w:t>
            </w:r>
          </w:p>
        </w:tc>
        <w:tc>
          <w:tcPr>
            <w:tcW w:w="615" w:type="dxa"/>
          </w:tcPr>
          <w:p>
            <w:pPr>
              <w:pStyle w:val="TableParagraph"/>
              <w:spacing w:before="101"/>
              <w:ind w:right="25"/>
              <w:jc w:val="right"/>
              <w:rPr>
                <w:sz w:val="11"/>
              </w:rPr>
            </w:pPr>
            <w:r>
              <w:rPr>
                <w:sz w:val="11"/>
              </w:rPr>
              <w:t>-48.5%</w:t>
            </w:r>
          </w:p>
        </w:tc>
      </w:tr>
      <w:tr>
        <w:trPr>
          <w:trHeight w:val="178" w:hRule="atLeast"/>
        </w:trPr>
        <w:tc>
          <w:tcPr>
            <w:tcW w:w="2596" w:type="dxa"/>
          </w:tcPr>
          <w:p>
            <w:pPr>
              <w:pStyle w:val="TableParagraph"/>
              <w:spacing w:line="107" w:lineRule="exact" w:before="51"/>
              <w:ind w:left="90"/>
              <w:rPr>
                <w:sz w:val="11"/>
              </w:rPr>
            </w:pPr>
            <w:r>
              <w:rPr>
                <w:sz w:val="11"/>
              </w:rPr>
              <w:t>TOTAL, OTHER STATE REVENUE</w:t>
            </w:r>
          </w:p>
        </w:tc>
        <w:tc>
          <w:tcPr>
            <w:tcW w:w="1098" w:type="dxa"/>
          </w:tcPr>
          <w:p>
            <w:pPr>
              <w:pStyle w:val="TableParagraph"/>
              <w:rPr>
                <w:rFonts w:ascii="Times New Roman"/>
                <w:sz w:val="10"/>
              </w:rPr>
            </w:pPr>
          </w:p>
        </w:tc>
        <w:tc>
          <w:tcPr>
            <w:tcW w:w="680" w:type="dxa"/>
          </w:tcPr>
          <w:p>
            <w:pPr>
              <w:pStyle w:val="TableParagraph"/>
              <w:rPr>
                <w:rFonts w:ascii="Times New Roman"/>
                <w:sz w:val="10"/>
              </w:rPr>
            </w:pPr>
          </w:p>
        </w:tc>
        <w:tc>
          <w:tcPr>
            <w:tcW w:w="1378" w:type="dxa"/>
          </w:tcPr>
          <w:p>
            <w:pPr>
              <w:pStyle w:val="TableParagraph"/>
              <w:spacing w:line="107" w:lineRule="exact" w:before="51"/>
              <w:ind w:right="322"/>
              <w:jc w:val="right"/>
              <w:rPr>
                <w:sz w:val="11"/>
              </w:rPr>
            </w:pPr>
            <w:r>
              <w:rPr>
                <w:sz w:val="11"/>
              </w:rPr>
              <w:t>21,029.00</w:t>
            </w:r>
          </w:p>
        </w:tc>
        <w:tc>
          <w:tcPr>
            <w:tcW w:w="1050" w:type="dxa"/>
          </w:tcPr>
          <w:p>
            <w:pPr>
              <w:pStyle w:val="TableParagraph"/>
              <w:spacing w:line="107" w:lineRule="exact" w:before="51"/>
              <w:ind w:left="223"/>
              <w:rPr>
                <w:sz w:val="11"/>
              </w:rPr>
            </w:pPr>
            <w:r>
              <w:rPr>
                <w:sz w:val="11"/>
              </w:rPr>
              <w:t>311,903.00</w:t>
            </w:r>
          </w:p>
        </w:tc>
        <w:tc>
          <w:tcPr>
            <w:tcW w:w="899" w:type="dxa"/>
          </w:tcPr>
          <w:p>
            <w:pPr>
              <w:pStyle w:val="TableParagraph"/>
              <w:spacing w:line="107" w:lineRule="exact" w:before="51"/>
              <w:ind w:right="53"/>
              <w:jc w:val="right"/>
              <w:rPr>
                <w:sz w:val="11"/>
              </w:rPr>
            </w:pPr>
            <w:r>
              <w:rPr>
                <w:sz w:val="11"/>
              </w:rPr>
              <w:t>332,932.00</w:t>
            </w:r>
          </w:p>
        </w:tc>
        <w:tc>
          <w:tcPr>
            <w:tcW w:w="1109" w:type="dxa"/>
          </w:tcPr>
          <w:p>
            <w:pPr>
              <w:pStyle w:val="TableParagraph"/>
              <w:spacing w:line="107" w:lineRule="exact" w:before="51"/>
              <w:ind w:right="53"/>
              <w:jc w:val="right"/>
              <w:rPr>
                <w:sz w:val="11"/>
              </w:rPr>
            </w:pPr>
            <w:r>
              <w:rPr>
                <w:sz w:val="11"/>
              </w:rPr>
              <w:t>21,006.00</w:t>
            </w:r>
          </w:p>
        </w:tc>
        <w:tc>
          <w:tcPr>
            <w:tcW w:w="1213" w:type="dxa"/>
          </w:tcPr>
          <w:p>
            <w:pPr>
              <w:pStyle w:val="TableParagraph"/>
              <w:spacing w:line="107" w:lineRule="exact" w:before="51"/>
              <w:ind w:right="157"/>
              <w:jc w:val="right"/>
              <w:rPr>
                <w:sz w:val="11"/>
              </w:rPr>
            </w:pPr>
            <w:r>
              <w:rPr>
                <w:sz w:val="11"/>
              </w:rPr>
              <w:t>163,762.00</w:t>
            </w:r>
          </w:p>
        </w:tc>
        <w:tc>
          <w:tcPr>
            <w:tcW w:w="1004" w:type="dxa"/>
          </w:tcPr>
          <w:p>
            <w:pPr>
              <w:pStyle w:val="TableParagraph"/>
              <w:spacing w:line="107" w:lineRule="exact" w:before="51"/>
              <w:ind w:right="53"/>
              <w:jc w:val="right"/>
              <w:rPr>
                <w:sz w:val="11"/>
              </w:rPr>
            </w:pPr>
            <w:r>
              <w:rPr>
                <w:sz w:val="11"/>
              </w:rPr>
              <w:t>184,768.00</w:t>
            </w:r>
          </w:p>
        </w:tc>
        <w:tc>
          <w:tcPr>
            <w:tcW w:w="615" w:type="dxa"/>
          </w:tcPr>
          <w:p>
            <w:pPr>
              <w:pStyle w:val="TableParagraph"/>
              <w:spacing w:line="107" w:lineRule="exact" w:before="51"/>
              <w:ind w:right="25"/>
              <w:jc w:val="right"/>
              <w:rPr>
                <w:sz w:val="11"/>
              </w:rPr>
            </w:pPr>
            <w:r>
              <w:rPr>
                <w:sz w:val="11"/>
              </w:rPr>
              <w:t>-44.5%</w:t>
            </w:r>
          </w:p>
        </w:tc>
      </w:tr>
    </w:tbl>
    <w:p>
      <w:pPr>
        <w:spacing w:after="0" w:line="107" w:lineRule="exact"/>
        <w:jc w:val="right"/>
        <w:rPr>
          <w:sz w:val="11"/>
        </w:rPr>
        <w:sectPr>
          <w:pgSz w:w="12240" w:h="15840"/>
          <w:pgMar w:header="59" w:footer="240" w:top="560" w:bottom="440" w:left="160" w:right="180"/>
        </w:sectPr>
      </w:pPr>
    </w:p>
    <w:p>
      <w:pPr>
        <w:pStyle w:val="BodyText"/>
        <w:spacing w:before="9"/>
        <w:rPr>
          <w:sz w:val="14"/>
        </w:rPr>
      </w:pPr>
    </w:p>
    <w:p>
      <w:pPr>
        <w:spacing w:after="0"/>
        <w:rPr>
          <w:sz w:val="14"/>
        </w:rPr>
        <w:sectPr>
          <w:pgSz w:w="12240" w:h="15840"/>
          <w:pgMar w:header="59" w:footer="240" w:top="560" w:bottom="440" w:left="160" w:right="180"/>
        </w:sectPr>
      </w:pPr>
    </w:p>
    <w:p>
      <w:pPr>
        <w:tabs>
          <w:tab w:pos="9063" w:val="left" w:leader="none"/>
        </w:tabs>
        <w:spacing w:line="238" w:lineRule="exact" w:before="11"/>
        <w:ind w:left="6972" w:right="0" w:hanging="1529"/>
        <w:jc w:val="left"/>
        <w:rPr>
          <w:b/>
          <w:sz w:val="11"/>
        </w:rPr>
      </w:pPr>
      <w:r>
        <w:rPr/>
        <w:pict>
          <v:group style="position:absolute;margin-left:14.280001pt;margin-top:3.230016pt;width:581.3pt;height:630.75pt;mso-position-horizontal-relative:page;mso-position-vertical-relative:paragraph;z-index:-314614784" coordorigin="286,65" coordsize="11626,12615">
            <v:shape style="position:absolute;left:285;top:64;width:11626;height:168" type="#_x0000_t75" stroked="false">
              <v:imagedata r:id="rId83" o:title=""/>
            </v:shape>
            <v:shape style="position:absolute;left:285;top:227;width:2542;height:507" type="#_x0000_t75" stroked="false">
              <v:imagedata r:id="rId84" o:title=""/>
            </v:shape>
            <v:shape style="position:absolute;left:2824;top:95;width:9087;height:639" type="#_x0000_t75" stroked="false">
              <v:imagedata r:id="rId85" o:title=""/>
            </v:shape>
            <v:shape style="position:absolute;left:9084;top:227;width:2828;height:507" type="#_x0000_t75" stroked="false">
              <v:imagedata r:id="rId135" o:title=""/>
            </v:shape>
            <v:shape style="position:absolute;left:285;top:729;width:2542;height:233" type="#_x0000_t75" stroked="false">
              <v:imagedata r:id="rId214" o:title=""/>
            </v:shape>
            <v:shape style="position:absolute;left:4651;top:731;width:4436;height:231" coordorigin="4651,732" coordsize="4436,231" path="m5760,732l4651,732,4651,962,5760,962,5760,732m9086,732l7978,732,7978,962,9086,962,9086,732e" filled="true" fillcolor="#dfdfdf" stroked="false">
              <v:path arrowok="t"/>
              <v:fill type="solid"/>
            </v:shape>
            <v:shape style="position:absolute;left:2824;top:729;width:9087;height:384" type="#_x0000_t75" stroked="false">
              <v:imagedata r:id="rId240" o:title=""/>
            </v:shape>
            <v:shape style="position:absolute;left:4651;top:962;width:4436;height:764" coordorigin="4651,962" coordsize="4436,764" path="m5760,962l4651,962,4651,1113,4651,1344,4651,1495,4651,1725,5760,1725,5760,1495,5760,1344,5760,1113,5760,962m9086,962l7978,962,7978,1113,7978,1344,7978,1495,7978,1725,9086,1725,9086,1495,9086,1344,9086,1113,9086,962e" filled="true" fillcolor="#dfdfdf" stroked="false">
              <v:path arrowok="t"/>
              <v:fill type="solid"/>
            </v:shape>
            <v:shape style="position:absolute;left:4648;top:959;width:3332;height:1148" type="#_x0000_t75" stroked="false">
              <v:imagedata r:id="rId241" o:title=""/>
            </v:shape>
            <v:shape style="position:absolute;left:7972;top:959;width:3939;height:1148" type="#_x0000_t75" stroked="false">
              <v:imagedata r:id="rId242" o:title=""/>
            </v:shape>
            <v:shape style="position:absolute;left:4651;top:1725;width:4436;height:612" coordorigin="4651,1725" coordsize="4436,612" path="m5760,1725l4651,1725,4651,1877,4651,2107,4651,2337,5760,2337,5760,2107,5760,1877,5760,1725m9086,1725l7978,1725,7978,1877,7978,2107,9086,2107,9086,1877,9086,1725e" filled="true" fillcolor="#dfdfdf" stroked="false">
              <v:path arrowok="t"/>
              <v:fill type="solid"/>
            </v:shape>
            <v:shape style="position:absolute;left:4648;top:1874;width:7263;height:464" type="#_x0000_t75" stroked="false">
              <v:imagedata r:id="rId243" o:title=""/>
            </v:shape>
            <v:shape style="position:absolute;left:4651;top:2107;width:4436;height:461" coordorigin="4651,2107" coordsize="4436,461" path="m5760,2337l4651,2337,4651,2568,5760,2568,5760,2337m9086,2107l7978,2107,7978,2337,9086,2337,9086,2107e" filled="true" fillcolor="#dfdfdf" stroked="false">
              <v:path arrowok="t"/>
              <v:fill type="solid"/>
            </v:shape>
            <v:shape style="position:absolute;left:4648;top:2104;width:7263;height:464" type="#_x0000_t75" stroked="false">
              <v:imagedata r:id="rId220" o:title=""/>
            </v:shape>
            <v:rect style="position:absolute;left:7977;top:2337;width:1109;height:231" filled="true" fillcolor="#dfdfdf" stroked="false">
              <v:fill type="solid"/>
            </v:rect>
            <v:shape style="position:absolute;left:4648;top:2335;width:7263;height:845" type="#_x0000_t75" stroked="false">
              <v:imagedata r:id="rId244" o:title=""/>
            </v:shape>
            <v:shape style="position:absolute;left:4651;top:3179;width:4436;height:382" coordorigin="4651,3180" coordsize="4436,382" path="m5760,3180l4651,3180,4651,3410,4651,3561,5760,3561,5760,3410,5760,3180m9086,3180l7978,3180,7978,3410,9086,3410,9086,3180e" filled="true" fillcolor="#dfdfdf" stroked="false">
              <v:path arrowok="t"/>
              <v:fill type="solid"/>
            </v:shape>
            <v:shape style="position:absolute;left:4648;top:2947;width:7263;height:845" type="#_x0000_t75" stroked="false">
              <v:imagedata r:id="rId245" o:title=""/>
            </v:shape>
            <v:shape style="position:absolute;left:4651;top:3410;width:4436;height:684" coordorigin="4651,3410" coordsize="4436,684" path="m5760,3561l4651,3561,4651,3792,4651,3943,4651,4094,5760,4094,5760,3943,5760,3792,5760,3561m9086,3410l7978,3410,7978,3561,7978,3792,7978,3943,9086,3943,9086,3792,9086,3561,9086,3410e" filled="true" fillcolor="#dfdfdf" stroked="false">
              <v:path arrowok="t"/>
              <v:fill type="solid"/>
            </v:shape>
            <v:shape style="position:absolute;left:4648;top:3559;width:7263;height:917" type="#_x0000_t75" stroked="false">
              <v:imagedata r:id="rId246" o:title=""/>
            </v:shape>
            <v:rect style="position:absolute;left:7977;top:3943;width:1109;height:152" filled="true" fillcolor="#dfdfdf" stroked="false">
              <v:fill type="solid"/>
            </v:rect>
            <v:shape style="position:absolute;left:4648;top:4322;width:7263;height:384" type="#_x0000_t75" stroked="false">
              <v:imagedata r:id="rId247" o:title=""/>
            </v:shape>
            <v:shape style="position:absolute;left:4648;top:4473;width:7263;height:464" type="#_x0000_t75" stroked="false">
              <v:imagedata r:id="rId248" o:title=""/>
            </v:shape>
            <v:shape style="position:absolute;left:4648;top:4703;width:7263;height:464" type="#_x0000_t75" stroked="false">
              <v:imagedata r:id="rId248" o:title=""/>
            </v:shape>
            <v:shape style="position:absolute;left:4648;top:4934;width:7263;height:464" type="#_x0000_t75" stroked="false">
              <v:imagedata r:id="rId248" o:title=""/>
            </v:shape>
            <v:shape style="position:absolute;left:4648;top:5164;width:7263;height:464" type="#_x0000_t75" stroked="false">
              <v:imagedata r:id="rId248" o:title=""/>
            </v:shape>
            <v:shape style="position:absolute;left:4648;top:5395;width:7263;height:615" type="#_x0000_t75" stroked="false">
              <v:imagedata r:id="rId249" o:title=""/>
            </v:shape>
            <v:shape style="position:absolute;left:4648;top:5855;width:7263;height:536" type="#_x0000_t75" stroked="false">
              <v:imagedata r:id="rId250" o:title=""/>
            </v:shape>
            <v:shape style="position:absolute;left:5760;top:6009;width:4436;height:382" coordorigin="5760,6009" coordsize="4436,382" path="m6869,6009l5760,6009,5760,6240,5760,6391,6869,6391,6869,6240,6869,6009m10195,6009l9086,6009,9086,6240,9086,6391,10195,6391,10195,6240,10195,6009e" filled="true" fillcolor="#dfdfdf" stroked="false">
              <v:path arrowok="t"/>
              <v:fill type="solid"/>
            </v:shape>
            <v:shape style="position:absolute;left:4648;top:6237;width:4438;height:384" type="#_x0000_t75" stroked="false">
              <v:imagedata r:id="rId251" o:title=""/>
            </v:shape>
            <v:rect style="position:absolute;left:5760;top:6391;width:1109;height:231" filled="true" fillcolor="#dfdfdf" stroked="false">
              <v:fill type="solid"/>
            </v:rect>
            <v:shape style="position:absolute;left:6866;top:6237;width:5045;height:384" type="#_x0000_t75" stroked="false">
              <v:imagedata r:id="rId252" o:title=""/>
            </v:shape>
            <v:rect style="position:absolute;left:9086;top:6391;width:1109;height:231" filled="true" fillcolor="#dfdfdf" stroked="false">
              <v:fill type="solid"/>
            </v:rect>
            <v:shape style="position:absolute;left:10192;top:6388;width:1719;height:464" type="#_x0000_t75" stroked="false">
              <v:imagedata r:id="rId188" o:title=""/>
            </v:shape>
            <v:shape style="position:absolute;left:4648;top:6619;width:7263;height:464" type="#_x0000_t75" stroked="false">
              <v:imagedata r:id="rId253" o:title=""/>
            </v:shape>
            <v:shape style="position:absolute;left:285;top:959;width:2542;height:11338" type="#_x0000_t75" stroked="false">
              <v:imagedata r:id="rId254" o:title=""/>
            </v:shape>
            <v:shape style="position:absolute;left:4648;top:7079;width:4438;height:464" type="#_x0000_t75" stroked="false">
              <v:imagedata r:id="rId255" o:title=""/>
            </v:shape>
            <v:shape style="position:absolute;left:7972;top:6849;width:3939;height:694" type="#_x0000_t75" stroked="false">
              <v:imagedata r:id="rId256" o:title=""/>
            </v:shape>
            <v:shape style="position:absolute;left:5760;top:7543;width:4436;height:533" coordorigin="5760,7543" coordsize="4436,533" path="m6869,7543l5760,7543,5760,7773,5760,7925,5760,8076,6869,8076,6869,7925,6869,7773,6869,7543m10195,7543l9086,7543,9086,7773,9086,7925,10195,7925,10195,7773,10195,7543e" filled="true" fillcolor="#dfdfdf" stroked="false">
              <v:path arrowok="t"/>
              <v:fill type="solid"/>
            </v:shape>
            <v:shape style="position:absolute;left:4648;top:7310;width:7263;height:1148" type="#_x0000_t75" stroked="false">
              <v:imagedata r:id="rId257" o:title=""/>
            </v:shape>
            <v:rect style="position:absolute;left:9086;top:7924;width:1109;height:152" filled="true" fillcolor="#dfdfdf" stroked="false">
              <v:fill type="solid"/>
            </v:rect>
            <v:shape style="position:absolute;left:5757;top:8303;width:6154;height:384" type="#_x0000_t75" stroked="false">
              <v:imagedata r:id="rId258" o:title=""/>
            </v:shape>
            <v:shape style="position:absolute;left:4648;top:8455;width:7263;height:464" type="#_x0000_t75" stroked="false">
              <v:imagedata r:id="rId259" o:title=""/>
            </v:shape>
            <v:shape style="position:absolute;left:4648;top:8685;width:7263;height:694" type="#_x0000_t75" stroked="false">
              <v:imagedata r:id="rId260" o:title=""/>
            </v:shape>
            <v:shape style="position:absolute;left:4651;top:9148;width:4436;height:533" coordorigin="4651,9149" coordsize="4436,533" path="m5760,9149l4651,9149,4651,9379,4651,9530,4651,9681,5760,9681,5760,9530,5760,9379,5760,9149m9086,9149l7978,9149,7978,9379,7978,9530,7978,9681,9086,9681,9086,9530,9086,9379,9086,9149e" filled="true" fillcolor="#dfdfdf" stroked="false">
              <v:path arrowok="t"/>
              <v:fill type="solid"/>
            </v:shape>
            <v:shape style="position:absolute;left:4648;top:9146;width:3332;height:766" type="#_x0000_t75" stroked="false">
              <v:imagedata r:id="rId261" o:title=""/>
            </v:shape>
            <v:shape style="position:absolute;left:7972;top:9146;width:3939;height:766" type="#_x0000_t75" stroked="false">
              <v:imagedata r:id="rId262" o:title=""/>
            </v:shape>
            <v:shape style="position:absolute;left:4651;top:9681;width:4436;height:461" coordorigin="4651,9681" coordsize="4436,461" path="m5760,9681l4651,9681,4651,9912,4651,10142,5760,10142,5760,9912,5760,9681m9086,9681l7978,9681,7978,9912,9086,9912,9086,9681e" filled="true" fillcolor="#dfdfdf" stroked="false">
              <v:path arrowok="t"/>
              <v:fill type="solid"/>
            </v:shape>
            <v:shape style="position:absolute;left:4648;top:9679;width:7263;height:464" type="#_x0000_t75" stroked="false">
              <v:imagedata r:id="rId263" o:title=""/>
            </v:shape>
            <v:shape style="position:absolute;left:4651;top:9911;width:4436;height:612" coordorigin="4651,9912" coordsize="4436,612" path="m5760,10142l4651,10142,4651,10373,4651,10524,5760,10524,5760,10373,5760,10142m9086,9912l7978,9912,7978,10142,7978,10373,7978,10524,9086,10524,9086,10373,9086,10142,9086,9912e" filled="true" fillcolor="#dfdfdf" stroked="false">
              <v:path arrowok="t"/>
              <v:fill type="solid"/>
            </v:shape>
            <v:shape style="position:absolute;left:4648;top:10139;width:4438;height:615" type="#_x0000_t75" stroked="false">
              <v:imagedata r:id="rId264" o:title=""/>
            </v:shape>
            <v:shape style="position:absolute;left:7972;top:9909;width:3939;height:845" type="#_x0000_t75" stroked="false">
              <v:imagedata r:id="rId265" o:title=""/>
            </v:shape>
            <v:shape style="position:absolute;left:4651;top:10523;width:4436;height:461" coordorigin="4651,10524" coordsize="4436,461" path="m5760,10524l4651,10524,4651,10754,4651,10985,5760,10985,5760,10754,5760,10524m9086,10524l7978,10524,7978,10754,9086,10754,9086,10524e" filled="true" fillcolor="#dfdfdf" stroked="false">
              <v:path arrowok="t"/>
              <v:fill type="solid"/>
            </v:shape>
            <v:shape style="position:absolute;left:4648;top:10521;width:7263;height:464" type="#_x0000_t75" stroked="false">
              <v:imagedata r:id="rId220" o:title=""/>
            </v:shape>
            <v:rect style="position:absolute;left:7977;top:10754;width:1109;height:231" filled="true" fillcolor="#dfdfdf" stroked="false">
              <v:fill type="solid"/>
            </v:rect>
            <v:shape style="position:absolute;left:4648;top:10751;width:7263;height:855" type="#_x0000_t75" stroked="false">
              <v:imagedata r:id="rId266" o:title=""/>
            </v:shape>
            <v:shape style="position:absolute;left:4648;top:11373;width:7263;height:464" type="#_x0000_t75" stroked="false">
              <v:imagedata r:id="rId267" o:title=""/>
            </v:shape>
            <v:shape style="position:absolute;left:4648;top:11603;width:7263;height:464" type="#_x0000_t75" stroked="false">
              <v:imagedata r:id="rId220" o:title=""/>
            </v:shape>
            <v:shape style="position:absolute;left:2824;top:11834;width:9087;height:845" type="#_x0000_t75" stroked="false">
              <v:imagedata r:id="rId268" o:title=""/>
            </v:shape>
            <v:shape style="position:absolute;left:285;top:12295;width:2542;height:384" type="#_x0000_t75" stroked="false">
              <v:imagedata r:id="rId269" o:title=""/>
            </v:shape>
            <v:shape style="position:absolute;left:5757;top:12446;width:6154;height:233" type="#_x0000_t75" stroked="false">
              <v:imagedata r:id="rId270" o:title=""/>
            </v:shape>
            <w10:wrap type="none"/>
          </v:group>
        </w:pict>
      </w:r>
      <w:r>
        <w:rPr>
          <w:b/>
          <w:sz w:val="11"/>
        </w:rPr>
        <w:t>2020-21</w:t>
      </w:r>
      <w:r>
        <w:rPr>
          <w:b/>
          <w:spacing w:val="6"/>
          <w:sz w:val="11"/>
        </w:rPr>
        <w:t> </w:t>
      </w:r>
      <w:r>
        <w:rPr>
          <w:b/>
          <w:sz w:val="11"/>
        </w:rPr>
        <w:t>Estimated</w:t>
      </w:r>
      <w:r>
        <w:rPr>
          <w:b/>
          <w:spacing w:val="6"/>
          <w:sz w:val="11"/>
        </w:rPr>
        <w:t> </w:t>
      </w:r>
      <w:r>
        <w:rPr>
          <w:b/>
          <w:sz w:val="11"/>
        </w:rPr>
        <w:t>Actuals</w:t>
        <w:tab/>
        <w:tab/>
        <w:t>2021-22 </w:t>
      </w:r>
      <w:r>
        <w:rPr>
          <w:b/>
          <w:spacing w:val="-3"/>
          <w:sz w:val="11"/>
        </w:rPr>
        <w:t>Budget </w:t>
      </w:r>
      <w:r>
        <w:rPr>
          <w:b/>
          <w:sz w:val="11"/>
        </w:rPr>
        <w:t>Total Fund</w:t>
      </w:r>
    </w:p>
    <w:p>
      <w:pPr>
        <w:pStyle w:val="BodyText"/>
        <w:rPr>
          <w:b/>
          <w:sz w:val="12"/>
        </w:rPr>
      </w:pPr>
      <w:r>
        <w:rPr/>
        <w:br w:type="column"/>
      </w:r>
      <w:r>
        <w:rPr>
          <w:b/>
          <w:sz w:val="12"/>
        </w:rPr>
      </w:r>
    </w:p>
    <w:p>
      <w:pPr>
        <w:pStyle w:val="BodyText"/>
        <w:spacing w:before="3"/>
        <w:rPr>
          <w:b/>
          <w:sz w:val="17"/>
        </w:rPr>
      </w:pPr>
    </w:p>
    <w:p>
      <w:pPr>
        <w:spacing w:before="0"/>
        <w:ind w:left="362" w:right="0" w:firstLine="0"/>
        <w:jc w:val="left"/>
        <w:rPr>
          <w:b/>
          <w:sz w:val="11"/>
        </w:rPr>
      </w:pPr>
      <w:r>
        <w:rPr>
          <w:b/>
          <w:sz w:val="11"/>
        </w:rPr>
        <w:t>Total Fund</w:t>
      </w:r>
    </w:p>
    <w:p>
      <w:pPr>
        <w:pStyle w:val="BodyText"/>
        <w:rPr>
          <w:b/>
          <w:sz w:val="12"/>
        </w:rPr>
      </w:pPr>
      <w:r>
        <w:rPr/>
        <w:br w:type="column"/>
      </w:r>
      <w:r>
        <w:rPr>
          <w:b/>
          <w:sz w:val="12"/>
        </w:rPr>
      </w:r>
    </w:p>
    <w:p>
      <w:pPr>
        <w:pStyle w:val="BodyText"/>
        <w:spacing w:before="3"/>
        <w:rPr>
          <w:b/>
          <w:sz w:val="17"/>
        </w:rPr>
      </w:pPr>
    </w:p>
    <w:p>
      <w:pPr>
        <w:spacing w:before="0"/>
        <w:ind w:left="365" w:right="0" w:firstLine="0"/>
        <w:jc w:val="left"/>
        <w:rPr>
          <w:b/>
          <w:sz w:val="11"/>
        </w:rPr>
      </w:pPr>
      <w:r>
        <w:rPr>
          <w:b/>
          <w:sz w:val="11"/>
        </w:rPr>
        <w:t>% Diff</w:t>
      </w:r>
    </w:p>
    <w:p>
      <w:pPr>
        <w:spacing w:after="0"/>
        <w:jc w:val="left"/>
        <w:rPr>
          <w:sz w:val="11"/>
        </w:rPr>
        <w:sectPr>
          <w:type w:val="continuous"/>
          <w:pgSz w:w="12240" w:h="15840"/>
          <w:pgMar w:top="1500" w:bottom="840" w:left="160" w:right="180"/>
          <w:cols w:num="3" w:equalWidth="0">
            <w:col w:w="9898" w:space="40"/>
            <w:col w:w="945" w:space="39"/>
            <w:col w:w="978"/>
          </w:cols>
        </w:sectPr>
      </w:pPr>
    </w:p>
    <w:p>
      <w:pPr>
        <w:pStyle w:val="BodyText"/>
        <w:spacing w:before="10"/>
        <w:rPr>
          <w:b/>
          <w:sz w:val="9"/>
        </w:rPr>
      </w:pPr>
    </w:p>
    <w:p>
      <w:pPr>
        <w:tabs>
          <w:tab w:pos="2772" w:val="left" w:leader="none"/>
        </w:tabs>
        <w:spacing w:before="0"/>
        <w:ind w:left="144" w:right="0" w:firstLine="0"/>
        <w:jc w:val="left"/>
        <w:rPr>
          <w:b/>
          <w:sz w:val="11"/>
        </w:rPr>
      </w:pPr>
      <w:r>
        <w:rPr>
          <w:b/>
          <w:sz w:val="11"/>
        </w:rPr>
        <w:t>Description</w:t>
        <w:tab/>
        <w:t>Resource</w:t>
      </w:r>
      <w:r>
        <w:rPr>
          <w:b/>
          <w:spacing w:val="8"/>
          <w:sz w:val="11"/>
        </w:rPr>
        <w:t> </w:t>
      </w:r>
      <w:r>
        <w:rPr>
          <w:b/>
          <w:sz w:val="11"/>
        </w:rPr>
        <w:t>Codes</w:t>
      </w:r>
    </w:p>
    <w:p>
      <w:pPr>
        <w:spacing w:before="104"/>
        <w:ind w:left="144" w:right="0" w:firstLine="0"/>
        <w:jc w:val="left"/>
        <w:rPr>
          <w:b/>
          <w:sz w:val="11"/>
        </w:rPr>
      </w:pPr>
      <w:r>
        <w:rPr>
          <w:b/>
          <w:sz w:val="11"/>
        </w:rPr>
        <w:t>OTHER LOCAL REVENUE</w:t>
      </w:r>
    </w:p>
    <w:p>
      <w:pPr>
        <w:spacing w:line="108" w:lineRule="exact" w:before="0"/>
        <w:ind w:left="144" w:right="0" w:firstLine="0"/>
        <w:jc w:val="left"/>
        <w:rPr>
          <w:b/>
          <w:sz w:val="11"/>
        </w:rPr>
      </w:pPr>
      <w:r>
        <w:rPr/>
        <w:br w:type="column"/>
      </w:r>
      <w:r>
        <w:rPr>
          <w:b/>
          <w:sz w:val="11"/>
        </w:rPr>
        <w:t>Object</w:t>
      </w:r>
    </w:p>
    <w:p>
      <w:pPr>
        <w:spacing w:before="5"/>
        <w:ind w:left="149" w:right="0" w:firstLine="0"/>
        <w:jc w:val="left"/>
        <w:rPr>
          <w:b/>
          <w:sz w:val="11"/>
        </w:rPr>
      </w:pPr>
      <w:r>
        <w:rPr>
          <w:b/>
          <w:sz w:val="11"/>
        </w:rPr>
        <w:t>Codes</w:t>
      </w:r>
    </w:p>
    <w:p>
      <w:pPr>
        <w:spacing w:line="108" w:lineRule="exact" w:before="0"/>
        <w:ind w:left="131" w:right="27" w:firstLine="0"/>
        <w:jc w:val="center"/>
        <w:rPr>
          <w:b/>
          <w:sz w:val="11"/>
        </w:rPr>
      </w:pPr>
      <w:r>
        <w:rPr/>
        <w:br w:type="column"/>
      </w:r>
      <w:r>
        <w:rPr>
          <w:b/>
          <w:sz w:val="11"/>
        </w:rPr>
        <w:t>Unrestricted</w:t>
      </w:r>
    </w:p>
    <w:p>
      <w:pPr>
        <w:spacing w:before="5"/>
        <w:ind w:left="129" w:right="27" w:firstLine="0"/>
        <w:jc w:val="center"/>
        <w:rPr>
          <w:b/>
          <w:sz w:val="11"/>
        </w:rPr>
      </w:pPr>
      <w:r>
        <w:rPr>
          <w:b/>
          <w:sz w:val="11"/>
        </w:rPr>
        <w:t>(A)</w:t>
      </w:r>
    </w:p>
    <w:p>
      <w:pPr>
        <w:spacing w:line="108" w:lineRule="exact" w:before="0"/>
        <w:ind w:left="131" w:right="27" w:firstLine="0"/>
        <w:jc w:val="center"/>
        <w:rPr>
          <w:b/>
          <w:sz w:val="11"/>
        </w:rPr>
      </w:pPr>
      <w:r>
        <w:rPr/>
        <w:br w:type="column"/>
      </w:r>
      <w:r>
        <w:rPr>
          <w:b/>
          <w:sz w:val="11"/>
        </w:rPr>
        <w:t>Restricted</w:t>
      </w:r>
    </w:p>
    <w:p>
      <w:pPr>
        <w:spacing w:before="5"/>
        <w:ind w:left="131" w:right="26" w:firstLine="0"/>
        <w:jc w:val="center"/>
        <w:rPr>
          <w:b/>
          <w:sz w:val="11"/>
        </w:rPr>
      </w:pPr>
      <w:r>
        <w:rPr>
          <w:b/>
          <w:sz w:val="11"/>
        </w:rPr>
        <w:t>(B)</w:t>
      </w:r>
    </w:p>
    <w:p>
      <w:pPr>
        <w:spacing w:line="108" w:lineRule="exact" w:before="0"/>
        <w:ind w:left="128" w:right="24" w:firstLine="0"/>
        <w:jc w:val="center"/>
        <w:rPr>
          <w:b/>
          <w:sz w:val="11"/>
        </w:rPr>
      </w:pPr>
      <w:r>
        <w:rPr/>
        <w:br w:type="column"/>
      </w:r>
      <w:r>
        <w:rPr>
          <w:b/>
          <w:sz w:val="11"/>
        </w:rPr>
        <w:t>col. A + B</w:t>
      </w:r>
    </w:p>
    <w:p>
      <w:pPr>
        <w:spacing w:before="5"/>
        <w:ind w:left="128" w:right="23" w:firstLine="0"/>
        <w:jc w:val="center"/>
        <w:rPr>
          <w:b/>
          <w:sz w:val="11"/>
        </w:rPr>
      </w:pPr>
      <w:r>
        <w:rPr>
          <w:b/>
          <w:sz w:val="11"/>
        </w:rPr>
        <w:t>(C)</w:t>
      </w:r>
    </w:p>
    <w:p>
      <w:pPr>
        <w:spacing w:line="108" w:lineRule="exact" w:before="0"/>
        <w:ind w:left="131" w:right="27" w:firstLine="0"/>
        <w:jc w:val="center"/>
        <w:rPr>
          <w:b/>
          <w:sz w:val="11"/>
        </w:rPr>
      </w:pPr>
      <w:r>
        <w:rPr/>
        <w:br w:type="column"/>
      </w:r>
      <w:r>
        <w:rPr>
          <w:b/>
          <w:sz w:val="11"/>
        </w:rPr>
        <w:t>Unrestricted</w:t>
      </w:r>
    </w:p>
    <w:p>
      <w:pPr>
        <w:spacing w:before="5"/>
        <w:ind w:left="131" w:right="26" w:firstLine="0"/>
        <w:jc w:val="center"/>
        <w:rPr>
          <w:b/>
          <w:sz w:val="11"/>
        </w:rPr>
      </w:pPr>
      <w:r>
        <w:rPr>
          <w:b/>
          <w:sz w:val="11"/>
        </w:rPr>
        <w:t>(D)</w:t>
      </w:r>
    </w:p>
    <w:p>
      <w:pPr>
        <w:spacing w:line="108" w:lineRule="exact" w:before="0"/>
        <w:ind w:left="131" w:right="27" w:firstLine="0"/>
        <w:jc w:val="center"/>
        <w:rPr>
          <w:b/>
          <w:sz w:val="11"/>
        </w:rPr>
      </w:pPr>
      <w:r>
        <w:rPr/>
        <w:br w:type="column"/>
      </w:r>
      <w:r>
        <w:rPr>
          <w:b/>
          <w:sz w:val="11"/>
        </w:rPr>
        <w:t>Restricted</w:t>
      </w:r>
    </w:p>
    <w:p>
      <w:pPr>
        <w:spacing w:before="5"/>
        <w:ind w:left="129" w:right="27" w:firstLine="0"/>
        <w:jc w:val="center"/>
        <w:rPr>
          <w:b/>
          <w:sz w:val="11"/>
        </w:rPr>
      </w:pPr>
      <w:r>
        <w:rPr>
          <w:b/>
          <w:sz w:val="11"/>
        </w:rPr>
        <w:t>(E)</w:t>
      </w:r>
    </w:p>
    <w:p>
      <w:pPr>
        <w:spacing w:line="108" w:lineRule="exact" w:before="0"/>
        <w:ind w:left="129" w:right="25" w:firstLine="0"/>
        <w:jc w:val="center"/>
        <w:rPr>
          <w:b/>
          <w:sz w:val="11"/>
        </w:rPr>
      </w:pPr>
      <w:r>
        <w:rPr/>
        <w:br w:type="column"/>
      </w:r>
      <w:r>
        <w:rPr>
          <w:b/>
          <w:sz w:val="11"/>
        </w:rPr>
        <w:t>col. D + E</w:t>
      </w:r>
    </w:p>
    <w:p>
      <w:pPr>
        <w:spacing w:before="5"/>
        <w:ind w:left="126" w:right="25" w:firstLine="0"/>
        <w:jc w:val="center"/>
        <w:rPr>
          <w:b/>
          <w:sz w:val="11"/>
        </w:rPr>
      </w:pPr>
      <w:r>
        <w:rPr>
          <w:b/>
          <w:sz w:val="11"/>
        </w:rPr>
        <w:t>(F)</w:t>
      </w:r>
    </w:p>
    <w:p>
      <w:pPr>
        <w:spacing w:line="108" w:lineRule="exact" w:before="0"/>
        <w:ind w:left="144" w:right="0" w:firstLine="0"/>
        <w:jc w:val="left"/>
        <w:rPr>
          <w:b/>
          <w:sz w:val="11"/>
        </w:rPr>
      </w:pPr>
      <w:r>
        <w:rPr/>
        <w:br w:type="column"/>
      </w:r>
      <w:r>
        <w:rPr>
          <w:b/>
          <w:sz w:val="11"/>
        </w:rPr>
        <w:t>Column</w:t>
      </w:r>
    </w:p>
    <w:p>
      <w:pPr>
        <w:spacing w:before="5"/>
        <w:ind w:left="207" w:right="0" w:firstLine="0"/>
        <w:jc w:val="left"/>
        <w:rPr>
          <w:b/>
          <w:sz w:val="11"/>
        </w:rPr>
      </w:pPr>
      <w:r>
        <w:rPr>
          <w:b/>
          <w:sz w:val="11"/>
        </w:rPr>
        <w:t>C &amp; F</w:t>
      </w:r>
    </w:p>
    <w:p>
      <w:pPr>
        <w:spacing w:after="0"/>
        <w:jc w:val="left"/>
        <w:rPr>
          <w:sz w:val="11"/>
        </w:rPr>
        <w:sectPr>
          <w:type w:val="continuous"/>
          <w:pgSz w:w="12240" w:h="15840"/>
          <w:pgMar w:top="1500" w:bottom="840" w:left="160" w:right="180"/>
          <w:cols w:num="9" w:equalWidth="0">
            <w:col w:w="3703" w:space="105"/>
            <w:col w:w="537" w:space="227"/>
            <w:col w:w="847" w:space="317"/>
            <w:col w:w="736" w:space="392"/>
            <w:col w:w="698" w:space="336"/>
            <w:col w:w="847" w:space="318"/>
            <w:col w:w="736" w:space="394"/>
            <w:col w:w="694" w:space="206"/>
            <w:col w:w="807"/>
          </w:cols>
        </w:sectPr>
      </w:pPr>
    </w:p>
    <w:p>
      <w:pPr>
        <w:pStyle w:val="BodyText"/>
        <w:spacing w:before="9"/>
        <w:rPr>
          <w:b/>
        </w:rPr>
      </w:pPr>
    </w:p>
    <w:p>
      <w:pPr>
        <w:spacing w:after="0"/>
        <w:sectPr>
          <w:type w:val="continuous"/>
          <w:pgSz w:w="12240" w:h="15840"/>
          <w:pgMar w:top="1500" w:bottom="840" w:left="160" w:right="180"/>
        </w:sectPr>
      </w:pPr>
    </w:p>
    <w:p>
      <w:pPr>
        <w:spacing w:line="288" w:lineRule="auto" w:before="99"/>
        <w:ind w:left="269" w:right="2718" w:hanging="62"/>
        <w:jc w:val="left"/>
        <w:rPr>
          <w:sz w:val="11"/>
        </w:rPr>
      </w:pPr>
      <w:r>
        <w:rPr>
          <w:sz w:val="11"/>
        </w:rPr>
        <w:t>Other Local Revenue County and  District</w:t>
      </w:r>
      <w:r>
        <w:rPr>
          <w:spacing w:val="-6"/>
          <w:sz w:val="11"/>
        </w:rPr>
        <w:t> </w:t>
      </w:r>
      <w:r>
        <w:rPr>
          <w:spacing w:val="-3"/>
          <w:sz w:val="11"/>
        </w:rPr>
        <w:t>Taxes</w:t>
      </w:r>
    </w:p>
    <w:p>
      <w:pPr>
        <w:spacing w:before="78"/>
        <w:ind w:left="331" w:right="0" w:firstLine="0"/>
        <w:jc w:val="left"/>
        <w:rPr>
          <w:sz w:val="11"/>
        </w:rPr>
      </w:pPr>
      <w:r>
        <w:rPr>
          <w:sz w:val="11"/>
        </w:rPr>
        <w:t>Other  Restricted</w:t>
      </w:r>
      <w:r>
        <w:rPr>
          <w:spacing w:val="-4"/>
          <w:sz w:val="11"/>
        </w:rPr>
        <w:t> </w:t>
      </w:r>
      <w:r>
        <w:rPr>
          <w:sz w:val="11"/>
        </w:rPr>
        <w:t>Levies</w:t>
      </w:r>
    </w:p>
    <w:p>
      <w:pPr>
        <w:tabs>
          <w:tab w:pos="4253" w:val="right" w:leader="none"/>
        </w:tabs>
        <w:spacing w:before="24"/>
        <w:ind w:left="425" w:right="0" w:firstLine="0"/>
        <w:jc w:val="left"/>
        <w:rPr>
          <w:sz w:val="11"/>
        </w:rPr>
      </w:pPr>
      <w:r>
        <w:rPr>
          <w:sz w:val="11"/>
        </w:rPr>
        <w:t>Secured Roll</w:t>
        <w:tab/>
        <w:t>8615</w:t>
      </w:r>
    </w:p>
    <w:p>
      <w:pPr>
        <w:tabs>
          <w:tab w:pos="4253" w:val="right" w:leader="none"/>
        </w:tabs>
        <w:spacing w:before="104"/>
        <w:ind w:left="425" w:right="0" w:firstLine="0"/>
        <w:jc w:val="left"/>
        <w:rPr>
          <w:sz w:val="11"/>
        </w:rPr>
      </w:pPr>
      <w:r>
        <w:rPr>
          <w:sz w:val="11"/>
        </w:rPr>
        <w:t>Unsecured Roll</w:t>
        <w:tab/>
        <w:t>8616</w:t>
      </w:r>
    </w:p>
    <w:p>
      <w:pPr>
        <w:tabs>
          <w:tab w:pos="4253" w:val="right" w:leader="none"/>
        </w:tabs>
        <w:spacing w:before="104"/>
        <w:ind w:left="425" w:right="0" w:firstLine="0"/>
        <w:jc w:val="left"/>
        <w:rPr>
          <w:sz w:val="11"/>
        </w:rPr>
      </w:pPr>
      <w:r>
        <w:rPr>
          <w:sz w:val="11"/>
        </w:rPr>
        <w:t>Prior</w:t>
      </w:r>
      <w:r>
        <w:rPr>
          <w:spacing w:val="1"/>
          <w:sz w:val="11"/>
        </w:rPr>
        <w:t> </w:t>
      </w:r>
      <w:r>
        <w:rPr>
          <w:sz w:val="11"/>
        </w:rPr>
        <w:t>Years' Taxes</w:t>
        <w:tab/>
        <w:t>8617</w:t>
      </w:r>
    </w:p>
    <w:p>
      <w:pPr>
        <w:tabs>
          <w:tab w:pos="4253" w:val="right" w:leader="none"/>
        </w:tabs>
        <w:spacing w:before="104"/>
        <w:ind w:left="425" w:right="0" w:firstLine="0"/>
        <w:jc w:val="left"/>
        <w:rPr>
          <w:sz w:val="11"/>
        </w:rPr>
      </w:pPr>
      <w:r>
        <w:rPr>
          <w:sz w:val="11"/>
        </w:rPr>
        <w:t>Supplemental</w:t>
      </w:r>
      <w:r>
        <w:rPr>
          <w:spacing w:val="-1"/>
          <w:sz w:val="11"/>
        </w:rPr>
        <w:t> </w:t>
      </w:r>
      <w:r>
        <w:rPr>
          <w:sz w:val="11"/>
        </w:rPr>
        <w:t>Taxes</w:t>
        <w:tab/>
        <w:t>8618</w:t>
      </w:r>
    </w:p>
    <w:p>
      <w:pPr>
        <w:spacing w:before="104"/>
        <w:ind w:left="331" w:right="0" w:firstLine="0"/>
        <w:jc w:val="left"/>
        <w:rPr>
          <w:sz w:val="11"/>
        </w:rPr>
      </w:pPr>
      <w:r>
        <w:rPr>
          <w:sz w:val="11"/>
        </w:rPr>
        <w:t>Non-Ad Valorem Taxes</w:t>
      </w:r>
    </w:p>
    <w:p>
      <w:pPr>
        <w:tabs>
          <w:tab w:pos="4253" w:val="right" w:leader="none"/>
        </w:tabs>
        <w:spacing w:before="25"/>
        <w:ind w:left="425" w:right="0" w:firstLine="0"/>
        <w:jc w:val="left"/>
        <w:rPr>
          <w:sz w:val="11"/>
        </w:rPr>
      </w:pPr>
      <w:r>
        <w:rPr>
          <w:sz w:val="11"/>
        </w:rPr>
        <w:t>Parcel</w:t>
      </w:r>
      <w:r>
        <w:rPr>
          <w:spacing w:val="-1"/>
          <w:sz w:val="11"/>
        </w:rPr>
        <w:t> </w:t>
      </w:r>
      <w:r>
        <w:rPr>
          <w:sz w:val="11"/>
        </w:rPr>
        <w:t>Taxes</w:t>
        <w:tab/>
        <w:t>8621</w:t>
      </w:r>
    </w:p>
    <w:p>
      <w:pPr>
        <w:tabs>
          <w:tab w:pos="4253" w:val="right" w:leader="none"/>
        </w:tabs>
        <w:spacing w:before="104"/>
        <w:ind w:left="425" w:right="0" w:firstLine="0"/>
        <w:jc w:val="left"/>
        <w:rPr>
          <w:sz w:val="11"/>
        </w:rPr>
      </w:pPr>
      <w:r>
        <w:rPr>
          <w:sz w:val="11"/>
        </w:rPr>
        <w:t>Other</w:t>
        <w:tab/>
        <w:t>8622</w:t>
      </w:r>
    </w:p>
    <w:p>
      <w:pPr>
        <w:spacing w:before="104"/>
        <w:ind w:left="331" w:right="0" w:firstLine="0"/>
        <w:jc w:val="left"/>
        <w:rPr>
          <w:sz w:val="11"/>
        </w:rPr>
      </w:pPr>
      <w:r>
        <w:rPr>
          <w:sz w:val="11"/>
        </w:rPr>
        <w:t>Community Redevelopment Funds</w:t>
      </w:r>
    </w:p>
    <w:p>
      <w:pPr>
        <w:tabs>
          <w:tab w:pos="4253" w:val="right" w:leader="none"/>
        </w:tabs>
        <w:spacing w:before="24"/>
        <w:ind w:left="362" w:right="0" w:firstLine="0"/>
        <w:jc w:val="left"/>
        <w:rPr>
          <w:sz w:val="11"/>
        </w:rPr>
      </w:pPr>
      <w:r>
        <w:rPr>
          <w:sz w:val="11"/>
        </w:rPr>
        <w:t>Not Subject to LCFF Deduction</w:t>
        <w:tab/>
        <w:t>8625</w:t>
      </w:r>
    </w:p>
    <w:p>
      <w:pPr>
        <w:spacing w:line="288" w:lineRule="auto" w:before="104"/>
        <w:ind w:left="362" w:right="2143" w:hanging="32"/>
        <w:jc w:val="left"/>
        <w:rPr>
          <w:sz w:val="11"/>
        </w:rPr>
      </w:pPr>
      <w:r>
        <w:rPr>
          <w:sz w:val="11"/>
        </w:rPr>
        <w:t>Penalties and Interest from Delinquent Non-LCFF</w:t>
      </w:r>
    </w:p>
    <w:p>
      <w:pPr>
        <w:tabs>
          <w:tab w:pos="4253" w:val="right" w:leader="none"/>
        </w:tabs>
        <w:spacing w:line="125" w:lineRule="exact" w:before="0"/>
        <w:ind w:left="362" w:right="0" w:firstLine="0"/>
        <w:jc w:val="left"/>
        <w:rPr>
          <w:sz w:val="11"/>
        </w:rPr>
      </w:pPr>
      <w:r>
        <w:rPr>
          <w:sz w:val="11"/>
        </w:rPr>
        <w:t>Taxes</w:t>
        <w:tab/>
        <w:t>8629</w:t>
      </w:r>
    </w:p>
    <w:p>
      <w:pPr>
        <w:spacing w:before="104"/>
        <w:ind w:left="269" w:right="0" w:firstLine="0"/>
        <w:jc w:val="left"/>
        <w:rPr>
          <w:sz w:val="11"/>
        </w:rPr>
      </w:pPr>
      <w:r>
        <w:rPr>
          <w:sz w:val="11"/>
        </w:rPr>
        <w:t>Sales</w:t>
      </w:r>
    </w:p>
    <w:p>
      <w:pPr>
        <w:tabs>
          <w:tab w:pos="4253" w:val="right" w:leader="none"/>
        </w:tabs>
        <w:spacing w:before="25"/>
        <w:ind w:left="331" w:right="0" w:firstLine="0"/>
        <w:jc w:val="left"/>
        <w:rPr>
          <w:sz w:val="11"/>
        </w:rPr>
      </w:pPr>
      <w:r>
        <w:rPr>
          <w:sz w:val="11"/>
        </w:rPr>
        <w:t>Sale of Equipment/Supplies</w:t>
        <w:tab/>
        <w:t>8631</w:t>
      </w:r>
    </w:p>
    <w:p>
      <w:pPr>
        <w:tabs>
          <w:tab w:pos="4253" w:val="right" w:leader="none"/>
        </w:tabs>
        <w:spacing w:before="104"/>
        <w:ind w:left="331" w:right="0" w:firstLine="0"/>
        <w:jc w:val="left"/>
        <w:rPr>
          <w:sz w:val="11"/>
        </w:rPr>
      </w:pPr>
      <w:r>
        <w:rPr>
          <w:sz w:val="11"/>
        </w:rPr>
        <w:t>Sale of Publications</w:t>
        <w:tab/>
        <w:t>8632</w:t>
      </w:r>
    </w:p>
    <w:p>
      <w:pPr>
        <w:tabs>
          <w:tab w:pos="4253" w:val="right" w:leader="none"/>
        </w:tabs>
        <w:spacing w:before="104"/>
        <w:ind w:left="331" w:right="0" w:firstLine="0"/>
        <w:jc w:val="left"/>
        <w:rPr>
          <w:sz w:val="11"/>
        </w:rPr>
      </w:pPr>
      <w:r>
        <w:rPr>
          <w:sz w:val="11"/>
        </w:rPr>
        <w:t>Food Service Sales</w:t>
        <w:tab/>
        <w:t>8634</w:t>
      </w:r>
    </w:p>
    <w:p>
      <w:pPr>
        <w:tabs>
          <w:tab w:pos="4253" w:val="right" w:leader="none"/>
        </w:tabs>
        <w:spacing w:before="104"/>
        <w:ind w:left="331" w:right="0" w:firstLine="0"/>
        <w:jc w:val="left"/>
        <w:rPr>
          <w:sz w:val="11"/>
        </w:rPr>
      </w:pPr>
      <w:r>
        <w:rPr>
          <w:sz w:val="11"/>
        </w:rPr>
        <w:t>All</w:t>
      </w:r>
      <w:r>
        <w:rPr>
          <w:spacing w:val="-1"/>
          <w:sz w:val="11"/>
        </w:rPr>
        <w:t> </w:t>
      </w:r>
      <w:r>
        <w:rPr>
          <w:sz w:val="11"/>
        </w:rPr>
        <w:t>Other</w:t>
      </w:r>
      <w:r>
        <w:rPr>
          <w:spacing w:val="1"/>
          <w:sz w:val="11"/>
        </w:rPr>
        <w:t> </w:t>
      </w:r>
      <w:r>
        <w:rPr>
          <w:sz w:val="11"/>
        </w:rPr>
        <w:t>Sales</w:t>
        <w:tab/>
        <w:t>8639</w:t>
      </w:r>
    </w:p>
    <w:p>
      <w:pPr>
        <w:tabs>
          <w:tab w:pos="4253" w:val="right" w:leader="none"/>
        </w:tabs>
        <w:spacing w:before="104"/>
        <w:ind w:left="269" w:right="0" w:firstLine="0"/>
        <w:jc w:val="left"/>
        <w:rPr>
          <w:sz w:val="11"/>
        </w:rPr>
      </w:pPr>
      <w:r>
        <w:rPr>
          <w:sz w:val="11"/>
        </w:rPr>
        <w:t>Leases</w:t>
      </w:r>
      <w:r>
        <w:rPr>
          <w:spacing w:val="1"/>
          <w:sz w:val="11"/>
        </w:rPr>
        <w:t> </w:t>
      </w:r>
      <w:r>
        <w:rPr>
          <w:sz w:val="11"/>
        </w:rPr>
        <w:t>and Rentals</w:t>
        <w:tab/>
        <w:t>8650</w:t>
      </w:r>
    </w:p>
    <w:p>
      <w:pPr>
        <w:tabs>
          <w:tab w:pos="4253" w:val="right" w:leader="none"/>
        </w:tabs>
        <w:spacing w:before="103"/>
        <w:ind w:left="269" w:right="0" w:firstLine="0"/>
        <w:jc w:val="left"/>
        <w:rPr>
          <w:sz w:val="11"/>
        </w:rPr>
      </w:pPr>
      <w:r>
        <w:rPr>
          <w:sz w:val="11"/>
        </w:rPr>
        <w:t>Interest</w:t>
        <w:tab/>
        <w:t>8660</w:t>
      </w:r>
    </w:p>
    <w:p>
      <w:pPr>
        <w:spacing w:before="104"/>
        <w:ind w:left="269" w:right="0" w:firstLine="0"/>
        <w:jc w:val="left"/>
        <w:rPr>
          <w:sz w:val="11"/>
        </w:rPr>
      </w:pPr>
      <w:r>
        <w:rPr>
          <w:sz w:val="11"/>
        </w:rPr>
        <w:t>Net Increase (Decrease) in the Fair Value</w:t>
      </w:r>
    </w:p>
    <w:p>
      <w:pPr>
        <w:tabs>
          <w:tab w:pos="4253" w:val="right" w:leader="none"/>
        </w:tabs>
        <w:spacing w:before="25"/>
        <w:ind w:left="331" w:right="0" w:firstLine="0"/>
        <w:jc w:val="left"/>
        <w:rPr>
          <w:sz w:val="11"/>
        </w:rPr>
      </w:pPr>
      <w:r>
        <w:rPr>
          <w:sz w:val="11"/>
        </w:rPr>
        <w:t>of</w:t>
      </w:r>
      <w:r>
        <w:rPr>
          <w:spacing w:val="-1"/>
          <w:sz w:val="11"/>
        </w:rPr>
        <w:t> </w:t>
      </w:r>
      <w:r>
        <w:rPr>
          <w:sz w:val="11"/>
        </w:rPr>
        <w:t>Investments</w:t>
        <w:tab/>
        <w:t>8662</w:t>
      </w:r>
    </w:p>
    <w:p>
      <w:pPr>
        <w:spacing w:before="104"/>
        <w:ind w:left="269" w:right="0" w:firstLine="0"/>
        <w:jc w:val="left"/>
        <w:rPr>
          <w:sz w:val="11"/>
        </w:rPr>
      </w:pPr>
      <w:r>
        <w:rPr>
          <w:sz w:val="11"/>
        </w:rPr>
        <w:t>Fees and Contracts</w:t>
      </w:r>
    </w:p>
    <w:p>
      <w:pPr>
        <w:tabs>
          <w:tab w:pos="4253" w:val="right" w:leader="none"/>
        </w:tabs>
        <w:spacing w:before="25"/>
        <w:ind w:left="331" w:right="0" w:firstLine="0"/>
        <w:jc w:val="left"/>
        <w:rPr>
          <w:sz w:val="11"/>
        </w:rPr>
      </w:pPr>
      <w:r>
        <w:rPr>
          <w:sz w:val="11"/>
        </w:rPr>
        <w:t>Adult</w:t>
      </w:r>
      <w:r>
        <w:rPr>
          <w:spacing w:val="-1"/>
          <w:sz w:val="11"/>
        </w:rPr>
        <w:t> </w:t>
      </w:r>
      <w:r>
        <w:rPr>
          <w:sz w:val="11"/>
        </w:rPr>
        <w:t>Education Fees</w:t>
        <w:tab/>
        <w:t>8671</w:t>
      </w:r>
    </w:p>
    <w:p>
      <w:pPr>
        <w:tabs>
          <w:tab w:pos="4253" w:val="right" w:leader="none"/>
        </w:tabs>
        <w:spacing w:before="104"/>
        <w:ind w:left="331" w:right="0" w:firstLine="0"/>
        <w:jc w:val="left"/>
        <w:rPr>
          <w:sz w:val="11"/>
        </w:rPr>
      </w:pPr>
      <w:r>
        <w:rPr>
          <w:sz w:val="11"/>
        </w:rPr>
        <w:t>Non-Resident</w:t>
      </w:r>
      <w:r>
        <w:rPr>
          <w:spacing w:val="-1"/>
          <w:sz w:val="11"/>
        </w:rPr>
        <w:t> </w:t>
      </w:r>
      <w:r>
        <w:rPr>
          <w:sz w:val="11"/>
        </w:rPr>
        <w:t>Students</w:t>
        <w:tab/>
        <w:t>8672</w:t>
      </w:r>
    </w:p>
    <w:p>
      <w:pPr>
        <w:tabs>
          <w:tab w:pos="4253" w:val="right" w:leader="none"/>
        </w:tabs>
        <w:spacing w:before="103"/>
        <w:ind w:left="331" w:right="0" w:firstLine="0"/>
        <w:jc w:val="left"/>
        <w:rPr>
          <w:sz w:val="11"/>
        </w:rPr>
      </w:pPr>
      <w:r>
        <w:rPr>
          <w:sz w:val="11"/>
        </w:rPr>
        <w:t>Transportation Fees</w:t>
      </w:r>
      <w:r>
        <w:rPr>
          <w:spacing w:val="2"/>
          <w:sz w:val="11"/>
        </w:rPr>
        <w:t> </w:t>
      </w:r>
      <w:r>
        <w:rPr>
          <w:sz w:val="11"/>
        </w:rPr>
        <w:t>From</w:t>
      </w:r>
      <w:r>
        <w:rPr>
          <w:spacing w:val="-2"/>
          <w:sz w:val="11"/>
        </w:rPr>
        <w:t> </w:t>
      </w:r>
      <w:r>
        <w:rPr>
          <w:sz w:val="11"/>
        </w:rPr>
        <w:t>Individuals</w:t>
        <w:tab/>
        <w:t>8675</w:t>
      </w:r>
    </w:p>
    <w:p>
      <w:pPr>
        <w:tabs>
          <w:tab w:pos="4253" w:val="right" w:leader="none"/>
        </w:tabs>
        <w:spacing w:before="104"/>
        <w:ind w:left="331" w:right="0" w:firstLine="0"/>
        <w:jc w:val="left"/>
        <w:rPr>
          <w:sz w:val="11"/>
        </w:rPr>
      </w:pPr>
      <w:r>
        <w:rPr>
          <w:sz w:val="11"/>
        </w:rPr>
        <w:t>Interagency</w:t>
      </w:r>
      <w:r>
        <w:rPr>
          <w:spacing w:val="-2"/>
          <w:sz w:val="11"/>
        </w:rPr>
        <w:t> </w:t>
      </w:r>
      <w:r>
        <w:rPr>
          <w:sz w:val="11"/>
        </w:rPr>
        <w:t>Services</w:t>
        <w:tab/>
        <w:t>8677</w:t>
      </w:r>
    </w:p>
    <w:p>
      <w:pPr>
        <w:pStyle w:val="BodyText"/>
        <w:rPr>
          <w:sz w:val="12"/>
        </w:rPr>
      </w:pPr>
      <w:r>
        <w:rPr/>
        <w:br w:type="column"/>
      </w:r>
      <w:r>
        <w:rPr>
          <w:sz w:val="12"/>
        </w:rPr>
      </w:r>
    </w:p>
    <w:p>
      <w:pPr>
        <w:pStyle w:val="BodyText"/>
        <w:rPr>
          <w:sz w:val="12"/>
        </w:rPr>
      </w:pPr>
    </w:p>
    <w:p>
      <w:pPr>
        <w:pStyle w:val="BodyText"/>
        <w:rPr>
          <w:sz w:val="12"/>
        </w:rPr>
      </w:pPr>
    </w:p>
    <w:p>
      <w:pPr>
        <w:pStyle w:val="BodyText"/>
        <w:rPr>
          <w:sz w:val="12"/>
        </w:rPr>
      </w:pPr>
    </w:p>
    <w:p>
      <w:pPr>
        <w:spacing w:before="80"/>
        <w:ind w:left="0" w:right="38" w:firstLine="0"/>
        <w:jc w:val="right"/>
        <w:rPr>
          <w:sz w:val="11"/>
        </w:rPr>
      </w:pPr>
      <w:r>
        <w:rPr>
          <w:spacing w:val="-1"/>
          <w:sz w:val="11"/>
        </w:rPr>
        <w:t>0.00</w:t>
      </w:r>
    </w:p>
    <w:p>
      <w:pPr>
        <w:spacing w:before="103"/>
        <w:ind w:left="0" w:right="38" w:firstLine="0"/>
        <w:jc w:val="right"/>
        <w:rPr>
          <w:sz w:val="11"/>
        </w:rPr>
      </w:pPr>
      <w:r>
        <w:rPr>
          <w:spacing w:val="-1"/>
          <w:sz w:val="11"/>
        </w:rPr>
        <w:t>0.00</w:t>
      </w:r>
    </w:p>
    <w:p>
      <w:pPr>
        <w:spacing w:before="104"/>
        <w:ind w:left="0" w:right="38" w:firstLine="0"/>
        <w:jc w:val="right"/>
        <w:rPr>
          <w:sz w:val="11"/>
        </w:rPr>
      </w:pPr>
      <w:r>
        <w:rPr>
          <w:spacing w:val="-1"/>
          <w:sz w:val="11"/>
        </w:rPr>
        <w:t>0.00</w:t>
      </w:r>
    </w:p>
    <w:p>
      <w:pPr>
        <w:spacing w:before="104"/>
        <w:ind w:left="0" w:right="38" w:firstLine="0"/>
        <w:jc w:val="right"/>
        <w:rPr>
          <w:sz w:val="11"/>
        </w:rPr>
      </w:pPr>
      <w:r>
        <w:rPr>
          <w:spacing w:val="-1"/>
          <w:sz w:val="11"/>
        </w:rPr>
        <w:t>0.00</w:t>
      </w:r>
    </w:p>
    <w:p>
      <w:pPr>
        <w:pStyle w:val="BodyText"/>
        <w:rPr>
          <w:sz w:val="12"/>
        </w:rPr>
      </w:pPr>
    </w:p>
    <w:p>
      <w:pPr>
        <w:pStyle w:val="BodyText"/>
        <w:spacing w:before="2"/>
        <w:rPr>
          <w:sz w:val="10"/>
        </w:rPr>
      </w:pPr>
    </w:p>
    <w:p>
      <w:pPr>
        <w:spacing w:before="0"/>
        <w:ind w:left="0" w:right="38" w:firstLine="0"/>
        <w:jc w:val="right"/>
        <w:rPr>
          <w:sz w:val="11"/>
        </w:rPr>
      </w:pPr>
      <w:r>
        <w:rPr>
          <w:spacing w:val="-1"/>
          <w:sz w:val="11"/>
        </w:rPr>
        <w:t>0.00</w:t>
      </w:r>
    </w:p>
    <w:p>
      <w:pPr>
        <w:spacing w:before="104"/>
        <w:ind w:left="0" w:right="38" w:firstLine="0"/>
        <w:jc w:val="right"/>
        <w:rPr>
          <w:sz w:val="11"/>
        </w:rPr>
      </w:pPr>
      <w:r>
        <w:rPr>
          <w:spacing w:val="-1"/>
          <w:sz w:val="11"/>
        </w:rPr>
        <w:t>0.00</w:t>
      </w:r>
    </w:p>
    <w:p>
      <w:pPr>
        <w:pStyle w:val="BodyText"/>
        <w:rPr>
          <w:sz w:val="12"/>
        </w:rPr>
      </w:pPr>
    </w:p>
    <w:p>
      <w:pPr>
        <w:pStyle w:val="BodyText"/>
        <w:spacing w:before="2"/>
        <w:rPr>
          <w:sz w:val="10"/>
        </w:rPr>
      </w:pPr>
    </w:p>
    <w:p>
      <w:pPr>
        <w:spacing w:before="0"/>
        <w:ind w:left="0" w:right="38" w:firstLine="0"/>
        <w:jc w:val="right"/>
        <w:rPr>
          <w:sz w:val="11"/>
        </w:rPr>
      </w:pPr>
      <w:r>
        <w:rPr>
          <w:spacing w:val="-1"/>
          <w:sz w:val="11"/>
        </w:rPr>
        <w:t>0.00</w:t>
      </w:r>
    </w:p>
    <w:p>
      <w:pPr>
        <w:pStyle w:val="BodyText"/>
        <w:rPr>
          <w:sz w:val="12"/>
        </w:rPr>
      </w:pPr>
    </w:p>
    <w:p>
      <w:pPr>
        <w:pStyle w:val="BodyText"/>
        <w:rPr>
          <w:sz w:val="12"/>
        </w:rPr>
      </w:pPr>
    </w:p>
    <w:p>
      <w:pPr>
        <w:pStyle w:val="BodyText"/>
        <w:spacing w:before="4"/>
        <w:rPr>
          <w:sz w:val="11"/>
        </w:rPr>
      </w:pPr>
    </w:p>
    <w:p>
      <w:pPr>
        <w:spacing w:before="0"/>
        <w:ind w:left="0" w:right="38" w:firstLine="0"/>
        <w:jc w:val="right"/>
        <w:rPr>
          <w:sz w:val="11"/>
        </w:rPr>
      </w:pPr>
      <w:r>
        <w:rPr>
          <w:spacing w:val="-1"/>
          <w:sz w:val="11"/>
        </w:rPr>
        <w:t>0.00</w:t>
      </w:r>
    </w:p>
    <w:p>
      <w:pPr>
        <w:pStyle w:val="BodyText"/>
        <w:rPr>
          <w:sz w:val="12"/>
        </w:rPr>
      </w:pPr>
    </w:p>
    <w:p>
      <w:pPr>
        <w:pStyle w:val="BodyText"/>
        <w:spacing w:before="2"/>
        <w:rPr>
          <w:sz w:val="10"/>
        </w:rPr>
      </w:pPr>
    </w:p>
    <w:p>
      <w:pPr>
        <w:spacing w:before="0"/>
        <w:ind w:left="0" w:right="38" w:firstLine="0"/>
        <w:jc w:val="right"/>
        <w:rPr>
          <w:sz w:val="11"/>
        </w:rPr>
      </w:pPr>
      <w:r>
        <w:rPr>
          <w:spacing w:val="-1"/>
          <w:sz w:val="11"/>
        </w:rPr>
        <w:t>0.00</w:t>
      </w:r>
    </w:p>
    <w:p>
      <w:pPr>
        <w:spacing w:before="104"/>
        <w:ind w:left="0" w:right="38" w:firstLine="0"/>
        <w:jc w:val="right"/>
        <w:rPr>
          <w:sz w:val="11"/>
        </w:rPr>
      </w:pPr>
      <w:r>
        <w:rPr>
          <w:spacing w:val="-1"/>
          <w:sz w:val="11"/>
        </w:rPr>
        <w:t>0.00</w:t>
      </w:r>
    </w:p>
    <w:p>
      <w:pPr>
        <w:spacing w:before="104"/>
        <w:ind w:left="0" w:right="38" w:firstLine="0"/>
        <w:jc w:val="right"/>
        <w:rPr>
          <w:sz w:val="11"/>
        </w:rPr>
      </w:pPr>
      <w:r>
        <w:rPr>
          <w:spacing w:val="-1"/>
          <w:sz w:val="11"/>
        </w:rPr>
        <w:t>0.00</w:t>
      </w:r>
    </w:p>
    <w:p>
      <w:pPr>
        <w:spacing w:before="104"/>
        <w:ind w:left="0" w:right="38" w:firstLine="0"/>
        <w:jc w:val="right"/>
        <w:rPr>
          <w:sz w:val="11"/>
        </w:rPr>
      </w:pPr>
      <w:r>
        <w:rPr>
          <w:spacing w:val="-1"/>
          <w:sz w:val="11"/>
        </w:rPr>
        <w:t>0.00</w:t>
      </w:r>
    </w:p>
    <w:p>
      <w:pPr>
        <w:spacing w:before="104"/>
        <w:ind w:left="0" w:right="38" w:firstLine="0"/>
        <w:jc w:val="right"/>
        <w:rPr>
          <w:sz w:val="11"/>
        </w:rPr>
      </w:pPr>
      <w:r>
        <w:rPr>
          <w:spacing w:val="-1"/>
          <w:sz w:val="11"/>
        </w:rPr>
        <w:t>5,400.00</w:t>
      </w:r>
    </w:p>
    <w:p>
      <w:pPr>
        <w:spacing w:before="104"/>
        <w:ind w:left="0" w:right="38" w:firstLine="0"/>
        <w:jc w:val="right"/>
        <w:rPr>
          <w:sz w:val="11"/>
        </w:rPr>
      </w:pPr>
      <w:r>
        <w:rPr>
          <w:spacing w:val="-1"/>
          <w:sz w:val="11"/>
        </w:rPr>
        <w:t>34,485.00</w:t>
      </w:r>
    </w:p>
    <w:p>
      <w:pPr>
        <w:pStyle w:val="BodyText"/>
        <w:rPr>
          <w:sz w:val="12"/>
        </w:rPr>
      </w:pPr>
    </w:p>
    <w:p>
      <w:pPr>
        <w:pStyle w:val="BodyText"/>
        <w:spacing w:before="2"/>
        <w:rPr>
          <w:sz w:val="10"/>
        </w:rPr>
      </w:pPr>
    </w:p>
    <w:p>
      <w:pPr>
        <w:spacing w:before="0"/>
        <w:ind w:left="0" w:right="38" w:firstLine="0"/>
        <w:jc w:val="right"/>
        <w:rPr>
          <w:sz w:val="11"/>
        </w:rPr>
      </w:pPr>
      <w:r>
        <w:rPr>
          <w:spacing w:val="-1"/>
          <w:sz w:val="11"/>
        </w:rPr>
        <w:t>0.00</w:t>
      </w:r>
    </w:p>
    <w:p>
      <w:pPr>
        <w:pStyle w:val="BodyText"/>
        <w:rPr>
          <w:sz w:val="12"/>
        </w:rPr>
      </w:pPr>
    </w:p>
    <w:p>
      <w:pPr>
        <w:pStyle w:val="BodyText"/>
        <w:spacing w:before="2"/>
        <w:rPr>
          <w:sz w:val="10"/>
        </w:rPr>
      </w:pPr>
    </w:p>
    <w:p>
      <w:pPr>
        <w:spacing w:before="0"/>
        <w:ind w:left="0" w:right="38" w:firstLine="0"/>
        <w:jc w:val="right"/>
        <w:rPr>
          <w:sz w:val="11"/>
        </w:rPr>
      </w:pPr>
      <w:r>
        <w:rPr>
          <w:spacing w:val="-1"/>
          <w:sz w:val="11"/>
        </w:rPr>
        <w:t>0.00</w:t>
      </w:r>
    </w:p>
    <w:p>
      <w:pPr>
        <w:spacing w:before="104"/>
        <w:ind w:left="0" w:right="38" w:firstLine="0"/>
        <w:jc w:val="right"/>
        <w:rPr>
          <w:sz w:val="11"/>
        </w:rPr>
      </w:pPr>
      <w:r>
        <w:rPr>
          <w:spacing w:val="-1"/>
          <w:sz w:val="11"/>
        </w:rPr>
        <w:t>0.00</w:t>
      </w:r>
    </w:p>
    <w:p>
      <w:pPr>
        <w:spacing w:before="104"/>
        <w:ind w:left="0" w:right="38" w:firstLine="0"/>
        <w:jc w:val="right"/>
        <w:rPr>
          <w:sz w:val="11"/>
        </w:rPr>
      </w:pPr>
      <w:r>
        <w:rPr>
          <w:spacing w:val="-1"/>
          <w:sz w:val="11"/>
        </w:rPr>
        <w:t>0.00</w:t>
      </w:r>
    </w:p>
    <w:p>
      <w:pPr>
        <w:spacing w:before="104"/>
        <w:ind w:left="0" w:right="38" w:firstLine="0"/>
        <w:jc w:val="right"/>
        <w:rPr>
          <w:sz w:val="11"/>
        </w:rPr>
      </w:pPr>
      <w:r>
        <w:rPr>
          <w:spacing w:val="-1"/>
          <w:sz w:val="11"/>
        </w:rPr>
        <w:t>284,487.00</w:t>
      </w:r>
    </w:p>
    <w:p>
      <w:pPr>
        <w:pStyle w:val="BodyText"/>
        <w:rPr>
          <w:sz w:val="12"/>
        </w:rPr>
      </w:pPr>
      <w:r>
        <w:rPr/>
        <w:br w:type="column"/>
      </w:r>
      <w:r>
        <w:rPr>
          <w:sz w:val="12"/>
        </w:rPr>
      </w:r>
    </w:p>
    <w:p>
      <w:pPr>
        <w:pStyle w:val="BodyText"/>
        <w:rPr>
          <w:sz w:val="12"/>
        </w:rPr>
      </w:pPr>
    </w:p>
    <w:p>
      <w:pPr>
        <w:pStyle w:val="BodyText"/>
        <w:rPr>
          <w:sz w:val="12"/>
        </w:rPr>
      </w:pPr>
    </w:p>
    <w:p>
      <w:pPr>
        <w:pStyle w:val="BodyText"/>
        <w:rPr>
          <w:sz w:val="12"/>
        </w:rPr>
      </w:pPr>
    </w:p>
    <w:p>
      <w:pPr>
        <w:tabs>
          <w:tab w:pos="1316" w:val="left" w:leader="none"/>
        </w:tabs>
        <w:spacing w:before="80"/>
        <w:ind w:left="207" w:right="0" w:firstLine="0"/>
        <w:jc w:val="left"/>
        <w:rPr>
          <w:sz w:val="11"/>
        </w:rPr>
      </w:pPr>
      <w:r>
        <w:rPr>
          <w:sz w:val="11"/>
        </w:rPr>
        <w:t>0.00</w:t>
        <w:tab/>
        <w:t>0.00</w:t>
      </w:r>
    </w:p>
    <w:p>
      <w:pPr>
        <w:tabs>
          <w:tab w:pos="1316" w:val="left" w:leader="none"/>
        </w:tabs>
        <w:spacing w:before="103"/>
        <w:ind w:left="207" w:right="0" w:firstLine="0"/>
        <w:jc w:val="left"/>
        <w:rPr>
          <w:sz w:val="11"/>
        </w:rPr>
      </w:pPr>
      <w:r>
        <w:rPr>
          <w:sz w:val="11"/>
        </w:rPr>
        <w:t>0.00</w:t>
        <w:tab/>
        <w:t>0.00</w:t>
      </w:r>
    </w:p>
    <w:p>
      <w:pPr>
        <w:tabs>
          <w:tab w:pos="1316" w:val="left" w:leader="none"/>
        </w:tabs>
        <w:spacing w:before="104"/>
        <w:ind w:left="207" w:right="0" w:firstLine="0"/>
        <w:jc w:val="left"/>
        <w:rPr>
          <w:sz w:val="11"/>
        </w:rPr>
      </w:pPr>
      <w:r>
        <w:rPr>
          <w:sz w:val="11"/>
        </w:rPr>
        <w:t>0.00</w:t>
        <w:tab/>
        <w:t>0.00</w:t>
      </w:r>
    </w:p>
    <w:p>
      <w:pPr>
        <w:tabs>
          <w:tab w:pos="1316" w:val="left" w:leader="none"/>
        </w:tabs>
        <w:spacing w:before="104"/>
        <w:ind w:left="207" w:right="0" w:firstLine="0"/>
        <w:jc w:val="left"/>
        <w:rPr>
          <w:sz w:val="11"/>
        </w:rPr>
      </w:pPr>
      <w:r>
        <w:rPr>
          <w:sz w:val="11"/>
        </w:rPr>
        <w:t>0.00</w:t>
        <w:tab/>
        <w:t>0.00</w:t>
      </w:r>
    </w:p>
    <w:p>
      <w:pPr>
        <w:pStyle w:val="BodyText"/>
        <w:rPr>
          <w:sz w:val="12"/>
        </w:rPr>
      </w:pPr>
    </w:p>
    <w:p>
      <w:pPr>
        <w:pStyle w:val="BodyText"/>
        <w:spacing w:before="2"/>
        <w:rPr>
          <w:sz w:val="10"/>
        </w:rPr>
      </w:pPr>
    </w:p>
    <w:p>
      <w:pPr>
        <w:tabs>
          <w:tab w:pos="1316" w:val="left" w:leader="none"/>
        </w:tabs>
        <w:spacing w:before="0"/>
        <w:ind w:left="207" w:right="0" w:firstLine="0"/>
        <w:jc w:val="left"/>
        <w:rPr>
          <w:sz w:val="11"/>
        </w:rPr>
      </w:pPr>
      <w:r>
        <w:rPr>
          <w:sz w:val="11"/>
        </w:rPr>
        <w:t>0.00</w:t>
        <w:tab/>
        <w:t>0.00</w:t>
      </w:r>
    </w:p>
    <w:p>
      <w:pPr>
        <w:tabs>
          <w:tab w:pos="1316" w:val="left" w:leader="none"/>
        </w:tabs>
        <w:spacing w:before="104"/>
        <w:ind w:left="207" w:right="0" w:firstLine="0"/>
        <w:jc w:val="left"/>
        <w:rPr>
          <w:sz w:val="11"/>
        </w:rPr>
      </w:pPr>
      <w:r>
        <w:rPr>
          <w:sz w:val="11"/>
        </w:rPr>
        <w:t>0.00</w:t>
        <w:tab/>
        <w:t>0.00</w:t>
      </w:r>
    </w:p>
    <w:p>
      <w:pPr>
        <w:pStyle w:val="BodyText"/>
        <w:rPr>
          <w:sz w:val="12"/>
        </w:rPr>
      </w:pPr>
    </w:p>
    <w:p>
      <w:pPr>
        <w:pStyle w:val="BodyText"/>
        <w:spacing w:before="2"/>
        <w:rPr>
          <w:sz w:val="10"/>
        </w:rPr>
      </w:pPr>
    </w:p>
    <w:p>
      <w:pPr>
        <w:tabs>
          <w:tab w:pos="1316" w:val="left" w:leader="none"/>
        </w:tabs>
        <w:spacing w:before="0"/>
        <w:ind w:left="207" w:right="0" w:firstLine="0"/>
        <w:jc w:val="left"/>
        <w:rPr>
          <w:sz w:val="11"/>
        </w:rPr>
      </w:pPr>
      <w:r>
        <w:rPr>
          <w:sz w:val="11"/>
        </w:rPr>
        <w:t>0.00</w:t>
        <w:tab/>
        <w:t>0.00</w:t>
      </w:r>
    </w:p>
    <w:p>
      <w:pPr>
        <w:pStyle w:val="BodyText"/>
        <w:rPr>
          <w:sz w:val="12"/>
        </w:rPr>
      </w:pPr>
    </w:p>
    <w:p>
      <w:pPr>
        <w:pStyle w:val="BodyText"/>
        <w:rPr>
          <w:sz w:val="12"/>
        </w:rPr>
      </w:pPr>
    </w:p>
    <w:p>
      <w:pPr>
        <w:pStyle w:val="BodyText"/>
        <w:spacing w:before="4"/>
        <w:rPr>
          <w:sz w:val="11"/>
        </w:rPr>
      </w:pPr>
    </w:p>
    <w:p>
      <w:pPr>
        <w:tabs>
          <w:tab w:pos="1316" w:val="left" w:leader="none"/>
        </w:tabs>
        <w:spacing w:before="0"/>
        <w:ind w:left="207" w:right="0" w:firstLine="0"/>
        <w:jc w:val="left"/>
        <w:rPr>
          <w:sz w:val="11"/>
        </w:rPr>
      </w:pPr>
      <w:r>
        <w:rPr>
          <w:sz w:val="11"/>
        </w:rPr>
        <w:t>0.00</w:t>
        <w:tab/>
        <w:t>0.00</w:t>
      </w:r>
    </w:p>
    <w:p>
      <w:pPr>
        <w:pStyle w:val="BodyText"/>
        <w:rPr>
          <w:sz w:val="12"/>
        </w:rPr>
      </w:pPr>
    </w:p>
    <w:p>
      <w:pPr>
        <w:pStyle w:val="BodyText"/>
        <w:spacing w:before="2"/>
        <w:rPr>
          <w:sz w:val="10"/>
        </w:rPr>
      </w:pPr>
    </w:p>
    <w:p>
      <w:pPr>
        <w:tabs>
          <w:tab w:pos="1316" w:val="left" w:leader="none"/>
        </w:tabs>
        <w:spacing w:before="0"/>
        <w:ind w:left="207" w:right="0" w:firstLine="0"/>
        <w:jc w:val="left"/>
        <w:rPr>
          <w:sz w:val="11"/>
        </w:rPr>
      </w:pPr>
      <w:r>
        <w:rPr>
          <w:sz w:val="11"/>
        </w:rPr>
        <w:t>0.00</w:t>
        <w:tab/>
        <w:t>0.00</w:t>
      </w:r>
    </w:p>
    <w:p>
      <w:pPr>
        <w:tabs>
          <w:tab w:pos="1316" w:val="left" w:leader="none"/>
        </w:tabs>
        <w:spacing w:before="104"/>
        <w:ind w:left="207" w:right="0" w:firstLine="0"/>
        <w:jc w:val="left"/>
        <w:rPr>
          <w:sz w:val="11"/>
        </w:rPr>
      </w:pPr>
      <w:r>
        <w:rPr>
          <w:sz w:val="11"/>
        </w:rPr>
        <w:t>0.00</w:t>
        <w:tab/>
        <w:t>0.00</w:t>
      </w:r>
    </w:p>
    <w:p>
      <w:pPr>
        <w:tabs>
          <w:tab w:pos="1316" w:val="left" w:leader="none"/>
        </w:tabs>
        <w:spacing w:before="104"/>
        <w:ind w:left="207" w:right="0" w:firstLine="0"/>
        <w:jc w:val="left"/>
        <w:rPr>
          <w:sz w:val="11"/>
        </w:rPr>
      </w:pPr>
      <w:r>
        <w:rPr>
          <w:sz w:val="11"/>
        </w:rPr>
        <w:t>0.00</w:t>
        <w:tab/>
        <w:t>0.00</w:t>
      </w:r>
    </w:p>
    <w:p>
      <w:pPr>
        <w:tabs>
          <w:tab w:pos="1316" w:val="left" w:leader="none"/>
        </w:tabs>
        <w:spacing w:before="104"/>
        <w:ind w:left="207" w:right="0" w:firstLine="0"/>
        <w:jc w:val="left"/>
        <w:rPr>
          <w:sz w:val="11"/>
        </w:rPr>
      </w:pPr>
      <w:r>
        <w:rPr>
          <w:sz w:val="11"/>
        </w:rPr>
        <w:t>0.00</w:t>
        <w:tab/>
        <w:t>0.00</w:t>
      </w:r>
    </w:p>
    <w:p>
      <w:pPr>
        <w:tabs>
          <w:tab w:pos="1097" w:val="left" w:leader="none"/>
        </w:tabs>
        <w:spacing w:before="104"/>
        <w:ind w:left="207" w:right="0" w:firstLine="0"/>
        <w:jc w:val="left"/>
        <w:rPr>
          <w:sz w:val="11"/>
        </w:rPr>
      </w:pPr>
      <w:r>
        <w:rPr>
          <w:sz w:val="11"/>
        </w:rPr>
        <w:t>0.00</w:t>
        <w:tab/>
        <w:t>5,400.00</w:t>
      </w:r>
    </w:p>
    <w:p>
      <w:pPr>
        <w:tabs>
          <w:tab w:pos="1035" w:val="left" w:leader="none"/>
        </w:tabs>
        <w:spacing w:before="104"/>
        <w:ind w:left="207" w:right="0" w:firstLine="0"/>
        <w:jc w:val="left"/>
        <w:rPr>
          <w:sz w:val="11"/>
        </w:rPr>
      </w:pPr>
      <w:r>
        <w:rPr>
          <w:sz w:val="11"/>
        </w:rPr>
        <w:t>0.00</w:t>
        <w:tab/>
        <w:t>34,485.00</w:t>
      </w:r>
    </w:p>
    <w:p>
      <w:pPr>
        <w:pStyle w:val="BodyText"/>
        <w:rPr>
          <w:sz w:val="12"/>
        </w:rPr>
      </w:pPr>
    </w:p>
    <w:p>
      <w:pPr>
        <w:pStyle w:val="BodyText"/>
        <w:spacing w:before="2"/>
        <w:rPr>
          <w:sz w:val="10"/>
        </w:rPr>
      </w:pPr>
    </w:p>
    <w:p>
      <w:pPr>
        <w:tabs>
          <w:tab w:pos="1316" w:val="left" w:leader="none"/>
        </w:tabs>
        <w:spacing w:before="0"/>
        <w:ind w:left="207" w:right="0" w:firstLine="0"/>
        <w:jc w:val="left"/>
        <w:rPr>
          <w:sz w:val="11"/>
        </w:rPr>
      </w:pPr>
      <w:r>
        <w:rPr>
          <w:sz w:val="11"/>
        </w:rPr>
        <w:t>0.00</w:t>
        <w:tab/>
        <w:t>0.00</w:t>
      </w:r>
    </w:p>
    <w:p>
      <w:pPr>
        <w:pStyle w:val="BodyText"/>
        <w:rPr>
          <w:sz w:val="12"/>
        </w:rPr>
      </w:pPr>
    </w:p>
    <w:p>
      <w:pPr>
        <w:pStyle w:val="BodyText"/>
        <w:spacing w:before="2"/>
        <w:rPr>
          <w:sz w:val="10"/>
        </w:rPr>
      </w:pPr>
    </w:p>
    <w:p>
      <w:pPr>
        <w:tabs>
          <w:tab w:pos="1316" w:val="left" w:leader="none"/>
        </w:tabs>
        <w:spacing w:before="0"/>
        <w:ind w:left="207" w:right="0" w:firstLine="0"/>
        <w:jc w:val="left"/>
        <w:rPr>
          <w:sz w:val="11"/>
        </w:rPr>
      </w:pPr>
      <w:r>
        <w:rPr>
          <w:sz w:val="11"/>
        </w:rPr>
        <w:t>0.00</w:t>
        <w:tab/>
        <w:t>0.00</w:t>
      </w:r>
    </w:p>
    <w:p>
      <w:pPr>
        <w:tabs>
          <w:tab w:pos="1316" w:val="left" w:leader="none"/>
        </w:tabs>
        <w:spacing w:before="104"/>
        <w:ind w:left="207" w:right="0" w:firstLine="0"/>
        <w:jc w:val="left"/>
        <w:rPr>
          <w:sz w:val="11"/>
        </w:rPr>
      </w:pPr>
      <w:r>
        <w:rPr>
          <w:sz w:val="11"/>
        </w:rPr>
        <w:t>0.00</w:t>
        <w:tab/>
        <w:t>0.00</w:t>
      </w:r>
    </w:p>
    <w:p>
      <w:pPr>
        <w:tabs>
          <w:tab w:pos="1316" w:val="left" w:leader="none"/>
        </w:tabs>
        <w:spacing w:before="104"/>
        <w:ind w:left="207" w:right="0" w:firstLine="0"/>
        <w:jc w:val="left"/>
        <w:rPr>
          <w:sz w:val="11"/>
        </w:rPr>
      </w:pPr>
      <w:r>
        <w:rPr>
          <w:sz w:val="11"/>
        </w:rPr>
        <w:t>0.00</w:t>
        <w:tab/>
        <w:t>0.00</w:t>
      </w:r>
    </w:p>
    <w:p>
      <w:pPr>
        <w:tabs>
          <w:tab w:pos="972" w:val="left" w:leader="none"/>
        </w:tabs>
        <w:spacing w:before="104"/>
        <w:ind w:left="207" w:right="0" w:firstLine="0"/>
        <w:jc w:val="left"/>
        <w:rPr>
          <w:sz w:val="11"/>
        </w:rPr>
      </w:pPr>
      <w:r>
        <w:rPr>
          <w:sz w:val="11"/>
        </w:rPr>
        <w:t>0.00</w:t>
        <w:tab/>
        <w:t>284,487.00</w:t>
      </w:r>
    </w:p>
    <w:p>
      <w:pPr>
        <w:pStyle w:val="BodyText"/>
        <w:rPr>
          <w:sz w:val="12"/>
        </w:rPr>
      </w:pPr>
      <w:r>
        <w:rPr/>
        <w:br w:type="column"/>
      </w:r>
      <w:r>
        <w:rPr>
          <w:sz w:val="12"/>
        </w:rPr>
      </w:r>
    </w:p>
    <w:p>
      <w:pPr>
        <w:pStyle w:val="BodyText"/>
        <w:rPr>
          <w:sz w:val="12"/>
        </w:rPr>
      </w:pPr>
    </w:p>
    <w:p>
      <w:pPr>
        <w:pStyle w:val="BodyText"/>
        <w:rPr>
          <w:sz w:val="12"/>
        </w:rPr>
      </w:pPr>
    </w:p>
    <w:p>
      <w:pPr>
        <w:pStyle w:val="BodyText"/>
        <w:rPr>
          <w:sz w:val="12"/>
        </w:rPr>
      </w:pPr>
    </w:p>
    <w:p>
      <w:pPr>
        <w:spacing w:before="80"/>
        <w:ind w:left="0" w:right="38" w:firstLine="0"/>
        <w:jc w:val="right"/>
        <w:rPr>
          <w:sz w:val="11"/>
        </w:rPr>
      </w:pPr>
      <w:r>
        <w:rPr>
          <w:spacing w:val="-1"/>
          <w:sz w:val="11"/>
        </w:rPr>
        <w:t>0.00</w:t>
      </w:r>
    </w:p>
    <w:p>
      <w:pPr>
        <w:spacing w:before="103"/>
        <w:ind w:left="0" w:right="38" w:firstLine="0"/>
        <w:jc w:val="right"/>
        <w:rPr>
          <w:sz w:val="11"/>
        </w:rPr>
      </w:pPr>
      <w:r>
        <w:rPr>
          <w:spacing w:val="-1"/>
          <w:sz w:val="11"/>
        </w:rPr>
        <w:t>0.00</w:t>
      </w:r>
    </w:p>
    <w:p>
      <w:pPr>
        <w:spacing w:before="104"/>
        <w:ind w:left="0" w:right="38" w:firstLine="0"/>
        <w:jc w:val="right"/>
        <w:rPr>
          <w:sz w:val="11"/>
        </w:rPr>
      </w:pPr>
      <w:r>
        <w:rPr>
          <w:spacing w:val="-1"/>
          <w:sz w:val="11"/>
        </w:rPr>
        <w:t>0.00</w:t>
      </w:r>
    </w:p>
    <w:p>
      <w:pPr>
        <w:spacing w:before="104"/>
        <w:ind w:left="0" w:right="38" w:firstLine="0"/>
        <w:jc w:val="right"/>
        <w:rPr>
          <w:sz w:val="11"/>
        </w:rPr>
      </w:pPr>
      <w:r>
        <w:rPr>
          <w:spacing w:val="-1"/>
          <w:sz w:val="11"/>
        </w:rPr>
        <w:t>0.00</w:t>
      </w:r>
    </w:p>
    <w:p>
      <w:pPr>
        <w:pStyle w:val="BodyText"/>
        <w:rPr>
          <w:sz w:val="12"/>
        </w:rPr>
      </w:pPr>
    </w:p>
    <w:p>
      <w:pPr>
        <w:pStyle w:val="BodyText"/>
        <w:spacing w:before="2"/>
        <w:rPr>
          <w:sz w:val="10"/>
        </w:rPr>
      </w:pPr>
    </w:p>
    <w:p>
      <w:pPr>
        <w:spacing w:before="0"/>
        <w:ind w:left="0" w:right="38" w:firstLine="0"/>
        <w:jc w:val="right"/>
        <w:rPr>
          <w:sz w:val="11"/>
        </w:rPr>
      </w:pPr>
      <w:r>
        <w:rPr>
          <w:spacing w:val="-1"/>
          <w:sz w:val="11"/>
        </w:rPr>
        <w:t>0.00</w:t>
      </w:r>
    </w:p>
    <w:p>
      <w:pPr>
        <w:spacing w:before="104"/>
        <w:ind w:left="0" w:right="38" w:firstLine="0"/>
        <w:jc w:val="right"/>
        <w:rPr>
          <w:sz w:val="11"/>
        </w:rPr>
      </w:pPr>
      <w:r>
        <w:rPr>
          <w:spacing w:val="-1"/>
          <w:sz w:val="11"/>
        </w:rPr>
        <w:t>0.00</w:t>
      </w:r>
    </w:p>
    <w:p>
      <w:pPr>
        <w:pStyle w:val="BodyText"/>
        <w:rPr>
          <w:sz w:val="12"/>
        </w:rPr>
      </w:pPr>
    </w:p>
    <w:p>
      <w:pPr>
        <w:pStyle w:val="BodyText"/>
        <w:spacing w:before="2"/>
        <w:rPr>
          <w:sz w:val="10"/>
        </w:rPr>
      </w:pPr>
    </w:p>
    <w:p>
      <w:pPr>
        <w:spacing w:before="0"/>
        <w:ind w:left="0" w:right="38" w:firstLine="0"/>
        <w:jc w:val="right"/>
        <w:rPr>
          <w:sz w:val="11"/>
        </w:rPr>
      </w:pPr>
      <w:r>
        <w:rPr>
          <w:spacing w:val="-1"/>
          <w:sz w:val="11"/>
        </w:rPr>
        <w:t>0.00</w:t>
      </w:r>
    </w:p>
    <w:p>
      <w:pPr>
        <w:pStyle w:val="BodyText"/>
        <w:rPr>
          <w:sz w:val="12"/>
        </w:rPr>
      </w:pPr>
    </w:p>
    <w:p>
      <w:pPr>
        <w:pStyle w:val="BodyText"/>
        <w:rPr>
          <w:sz w:val="12"/>
        </w:rPr>
      </w:pPr>
    </w:p>
    <w:p>
      <w:pPr>
        <w:pStyle w:val="BodyText"/>
        <w:spacing w:before="4"/>
        <w:rPr>
          <w:sz w:val="11"/>
        </w:rPr>
      </w:pPr>
    </w:p>
    <w:p>
      <w:pPr>
        <w:spacing w:before="0"/>
        <w:ind w:left="0" w:right="38" w:firstLine="0"/>
        <w:jc w:val="right"/>
        <w:rPr>
          <w:sz w:val="11"/>
        </w:rPr>
      </w:pPr>
      <w:r>
        <w:rPr>
          <w:spacing w:val="-1"/>
          <w:sz w:val="11"/>
        </w:rPr>
        <w:t>0.00</w:t>
      </w:r>
    </w:p>
    <w:p>
      <w:pPr>
        <w:pStyle w:val="BodyText"/>
        <w:rPr>
          <w:sz w:val="12"/>
        </w:rPr>
      </w:pPr>
    </w:p>
    <w:p>
      <w:pPr>
        <w:pStyle w:val="BodyText"/>
        <w:spacing w:before="2"/>
        <w:rPr>
          <w:sz w:val="10"/>
        </w:rPr>
      </w:pPr>
    </w:p>
    <w:p>
      <w:pPr>
        <w:spacing w:before="0"/>
        <w:ind w:left="0" w:right="38" w:firstLine="0"/>
        <w:jc w:val="right"/>
        <w:rPr>
          <w:sz w:val="11"/>
        </w:rPr>
      </w:pPr>
      <w:r>
        <w:rPr>
          <w:spacing w:val="-1"/>
          <w:sz w:val="11"/>
        </w:rPr>
        <w:t>0.00</w:t>
      </w:r>
    </w:p>
    <w:p>
      <w:pPr>
        <w:spacing w:before="104"/>
        <w:ind w:left="0" w:right="38" w:firstLine="0"/>
        <w:jc w:val="right"/>
        <w:rPr>
          <w:sz w:val="11"/>
        </w:rPr>
      </w:pPr>
      <w:r>
        <w:rPr>
          <w:spacing w:val="-1"/>
          <w:sz w:val="11"/>
        </w:rPr>
        <w:t>0.00</w:t>
      </w:r>
    </w:p>
    <w:p>
      <w:pPr>
        <w:spacing w:before="104"/>
        <w:ind w:left="0" w:right="38" w:firstLine="0"/>
        <w:jc w:val="right"/>
        <w:rPr>
          <w:sz w:val="11"/>
        </w:rPr>
      </w:pPr>
      <w:r>
        <w:rPr>
          <w:spacing w:val="-1"/>
          <w:sz w:val="11"/>
        </w:rPr>
        <w:t>0.00</w:t>
      </w:r>
    </w:p>
    <w:p>
      <w:pPr>
        <w:spacing w:before="104"/>
        <w:ind w:left="0" w:right="38" w:firstLine="0"/>
        <w:jc w:val="right"/>
        <w:rPr>
          <w:sz w:val="11"/>
        </w:rPr>
      </w:pPr>
      <w:r>
        <w:rPr>
          <w:spacing w:val="-1"/>
          <w:sz w:val="11"/>
        </w:rPr>
        <w:t>0.00</w:t>
      </w:r>
    </w:p>
    <w:p>
      <w:pPr>
        <w:spacing w:before="104"/>
        <w:ind w:left="0" w:right="38" w:firstLine="0"/>
        <w:jc w:val="right"/>
        <w:rPr>
          <w:sz w:val="11"/>
        </w:rPr>
      </w:pPr>
      <w:r>
        <w:rPr>
          <w:spacing w:val="-1"/>
          <w:sz w:val="11"/>
        </w:rPr>
        <w:t>5,400.00</w:t>
      </w:r>
    </w:p>
    <w:p>
      <w:pPr>
        <w:spacing w:before="104"/>
        <w:ind w:left="0" w:right="38" w:firstLine="0"/>
        <w:jc w:val="right"/>
        <w:rPr>
          <w:sz w:val="11"/>
        </w:rPr>
      </w:pPr>
      <w:r>
        <w:rPr>
          <w:spacing w:val="-1"/>
          <w:sz w:val="11"/>
        </w:rPr>
        <w:t>33,883.00</w:t>
      </w:r>
    </w:p>
    <w:p>
      <w:pPr>
        <w:pStyle w:val="BodyText"/>
        <w:rPr>
          <w:sz w:val="12"/>
        </w:rPr>
      </w:pPr>
    </w:p>
    <w:p>
      <w:pPr>
        <w:pStyle w:val="BodyText"/>
        <w:spacing w:before="2"/>
        <w:rPr>
          <w:sz w:val="10"/>
        </w:rPr>
      </w:pPr>
    </w:p>
    <w:p>
      <w:pPr>
        <w:spacing w:before="0"/>
        <w:ind w:left="0" w:right="38" w:firstLine="0"/>
        <w:jc w:val="right"/>
        <w:rPr>
          <w:sz w:val="11"/>
        </w:rPr>
      </w:pPr>
      <w:r>
        <w:rPr>
          <w:spacing w:val="-1"/>
          <w:sz w:val="11"/>
        </w:rPr>
        <w:t>0.00</w:t>
      </w:r>
    </w:p>
    <w:p>
      <w:pPr>
        <w:pStyle w:val="BodyText"/>
        <w:rPr>
          <w:sz w:val="12"/>
        </w:rPr>
      </w:pPr>
    </w:p>
    <w:p>
      <w:pPr>
        <w:pStyle w:val="BodyText"/>
        <w:spacing w:before="2"/>
        <w:rPr>
          <w:sz w:val="10"/>
        </w:rPr>
      </w:pPr>
    </w:p>
    <w:p>
      <w:pPr>
        <w:spacing w:before="0"/>
        <w:ind w:left="0" w:right="38" w:firstLine="0"/>
        <w:jc w:val="right"/>
        <w:rPr>
          <w:sz w:val="11"/>
        </w:rPr>
      </w:pPr>
      <w:r>
        <w:rPr>
          <w:spacing w:val="-1"/>
          <w:sz w:val="11"/>
        </w:rPr>
        <w:t>0.00</w:t>
      </w:r>
    </w:p>
    <w:p>
      <w:pPr>
        <w:spacing w:before="104"/>
        <w:ind w:left="0" w:right="38" w:firstLine="0"/>
        <w:jc w:val="right"/>
        <w:rPr>
          <w:sz w:val="11"/>
        </w:rPr>
      </w:pPr>
      <w:r>
        <w:rPr>
          <w:spacing w:val="-1"/>
          <w:sz w:val="11"/>
        </w:rPr>
        <w:t>0.00</w:t>
      </w:r>
    </w:p>
    <w:p>
      <w:pPr>
        <w:spacing w:before="104"/>
        <w:ind w:left="0" w:right="38" w:firstLine="0"/>
        <w:jc w:val="right"/>
        <w:rPr>
          <w:sz w:val="11"/>
        </w:rPr>
      </w:pPr>
      <w:r>
        <w:rPr>
          <w:spacing w:val="-1"/>
          <w:sz w:val="11"/>
        </w:rPr>
        <w:t>0.00</w:t>
      </w:r>
    </w:p>
    <w:p>
      <w:pPr>
        <w:spacing w:before="104"/>
        <w:ind w:left="0" w:right="38" w:firstLine="0"/>
        <w:jc w:val="right"/>
        <w:rPr>
          <w:sz w:val="11"/>
        </w:rPr>
      </w:pPr>
      <w:r>
        <w:rPr>
          <w:spacing w:val="-1"/>
          <w:sz w:val="11"/>
        </w:rPr>
        <w:t>284,487.00</w:t>
      </w:r>
    </w:p>
    <w:p>
      <w:pPr>
        <w:pStyle w:val="BodyText"/>
        <w:rPr>
          <w:sz w:val="12"/>
        </w:rPr>
      </w:pPr>
      <w:r>
        <w:rPr/>
        <w:br w:type="column"/>
      </w:r>
      <w:r>
        <w:rPr>
          <w:sz w:val="12"/>
        </w:rPr>
      </w:r>
    </w:p>
    <w:p>
      <w:pPr>
        <w:pStyle w:val="BodyText"/>
        <w:rPr>
          <w:sz w:val="12"/>
        </w:rPr>
      </w:pPr>
    </w:p>
    <w:p>
      <w:pPr>
        <w:pStyle w:val="BodyText"/>
        <w:rPr>
          <w:sz w:val="12"/>
        </w:rPr>
      </w:pPr>
    </w:p>
    <w:p>
      <w:pPr>
        <w:pStyle w:val="BodyText"/>
        <w:rPr>
          <w:sz w:val="12"/>
        </w:rPr>
      </w:pPr>
    </w:p>
    <w:p>
      <w:pPr>
        <w:tabs>
          <w:tab w:pos="1316" w:val="left" w:leader="none"/>
          <w:tab w:pos="1920" w:val="left" w:leader="none"/>
        </w:tabs>
        <w:spacing w:before="80"/>
        <w:ind w:left="207" w:right="0" w:firstLine="0"/>
        <w:jc w:val="left"/>
        <w:rPr>
          <w:sz w:val="11"/>
        </w:rPr>
      </w:pPr>
      <w:r>
        <w:rPr>
          <w:sz w:val="11"/>
        </w:rPr>
        <w:t>0.00</w:t>
        <w:tab/>
        <w:t>0.00</w:t>
        <w:tab/>
        <w:t>0.0%</w:t>
      </w:r>
    </w:p>
    <w:p>
      <w:pPr>
        <w:tabs>
          <w:tab w:pos="1316" w:val="left" w:leader="none"/>
          <w:tab w:pos="1920" w:val="left" w:leader="none"/>
        </w:tabs>
        <w:spacing w:before="103"/>
        <w:ind w:left="207" w:right="0" w:firstLine="0"/>
        <w:jc w:val="left"/>
        <w:rPr>
          <w:sz w:val="11"/>
        </w:rPr>
      </w:pPr>
      <w:r>
        <w:rPr>
          <w:sz w:val="11"/>
        </w:rPr>
        <w:t>0.00</w:t>
        <w:tab/>
        <w:t>0.00</w:t>
        <w:tab/>
        <w:t>0.0%</w:t>
      </w:r>
    </w:p>
    <w:p>
      <w:pPr>
        <w:tabs>
          <w:tab w:pos="1316" w:val="left" w:leader="none"/>
          <w:tab w:pos="1920" w:val="left" w:leader="none"/>
        </w:tabs>
        <w:spacing w:before="104"/>
        <w:ind w:left="207" w:right="0" w:firstLine="0"/>
        <w:jc w:val="left"/>
        <w:rPr>
          <w:sz w:val="11"/>
        </w:rPr>
      </w:pPr>
      <w:r>
        <w:rPr>
          <w:sz w:val="11"/>
        </w:rPr>
        <w:t>0.00</w:t>
        <w:tab/>
        <w:t>0.00</w:t>
        <w:tab/>
        <w:t>0.0%</w:t>
      </w:r>
    </w:p>
    <w:p>
      <w:pPr>
        <w:tabs>
          <w:tab w:pos="1316" w:val="left" w:leader="none"/>
          <w:tab w:pos="1920" w:val="left" w:leader="none"/>
        </w:tabs>
        <w:spacing w:before="104"/>
        <w:ind w:left="207" w:right="0" w:firstLine="0"/>
        <w:jc w:val="left"/>
        <w:rPr>
          <w:sz w:val="11"/>
        </w:rPr>
      </w:pPr>
      <w:r>
        <w:rPr>
          <w:sz w:val="11"/>
        </w:rPr>
        <w:t>0.00</w:t>
        <w:tab/>
        <w:t>0.00</w:t>
        <w:tab/>
        <w:t>0.0%</w:t>
      </w:r>
    </w:p>
    <w:p>
      <w:pPr>
        <w:pStyle w:val="BodyText"/>
        <w:rPr>
          <w:sz w:val="12"/>
        </w:rPr>
      </w:pPr>
    </w:p>
    <w:p>
      <w:pPr>
        <w:pStyle w:val="BodyText"/>
        <w:spacing w:before="2"/>
        <w:rPr>
          <w:sz w:val="10"/>
        </w:rPr>
      </w:pPr>
    </w:p>
    <w:p>
      <w:pPr>
        <w:tabs>
          <w:tab w:pos="1316" w:val="left" w:leader="none"/>
          <w:tab w:pos="1920" w:val="left" w:leader="none"/>
        </w:tabs>
        <w:spacing w:before="0"/>
        <w:ind w:left="207" w:right="0" w:firstLine="0"/>
        <w:jc w:val="left"/>
        <w:rPr>
          <w:sz w:val="11"/>
        </w:rPr>
      </w:pPr>
      <w:r>
        <w:rPr>
          <w:sz w:val="11"/>
        </w:rPr>
        <w:t>0.00</w:t>
        <w:tab/>
        <w:t>0.00</w:t>
        <w:tab/>
        <w:t>0.0%</w:t>
      </w:r>
    </w:p>
    <w:p>
      <w:pPr>
        <w:tabs>
          <w:tab w:pos="1316" w:val="left" w:leader="none"/>
          <w:tab w:pos="1920" w:val="left" w:leader="none"/>
        </w:tabs>
        <w:spacing w:before="104"/>
        <w:ind w:left="207" w:right="0" w:firstLine="0"/>
        <w:jc w:val="left"/>
        <w:rPr>
          <w:sz w:val="11"/>
        </w:rPr>
      </w:pPr>
      <w:r>
        <w:rPr>
          <w:sz w:val="11"/>
        </w:rPr>
        <w:t>0.00</w:t>
        <w:tab/>
        <w:t>0.00</w:t>
        <w:tab/>
        <w:t>0.0%</w:t>
      </w:r>
    </w:p>
    <w:p>
      <w:pPr>
        <w:pStyle w:val="BodyText"/>
        <w:rPr>
          <w:sz w:val="12"/>
        </w:rPr>
      </w:pPr>
    </w:p>
    <w:p>
      <w:pPr>
        <w:pStyle w:val="BodyText"/>
        <w:spacing w:before="2"/>
        <w:rPr>
          <w:sz w:val="10"/>
        </w:rPr>
      </w:pPr>
    </w:p>
    <w:p>
      <w:pPr>
        <w:tabs>
          <w:tab w:pos="1316" w:val="left" w:leader="none"/>
          <w:tab w:pos="1920" w:val="left" w:leader="none"/>
        </w:tabs>
        <w:spacing w:before="0"/>
        <w:ind w:left="207" w:right="0" w:firstLine="0"/>
        <w:jc w:val="left"/>
        <w:rPr>
          <w:sz w:val="11"/>
        </w:rPr>
      </w:pPr>
      <w:r>
        <w:rPr>
          <w:sz w:val="11"/>
        </w:rPr>
        <w:t>0.00</w:t>
        <w:tab/>
        <w:t>0.00</w:t>
        <w:tab/>
        <w:t>0.0%</w:t>
      </w:r>
    </w:p>
    <w:p>
      <w:pPr>
        <w:pStyle w:val="BodyText"/>
        <w:rPr>
          <w:sz w:val="12"/>
        </w:rPr>
      </w:pPr>
    </w:p>
    <w:p>
      <w:pPr>
        <w:pStyle w:val="BodyText"/>
        <w:rPr>
          <w:sz w:val="12"/>
        </w:rPr>
      </w:pPr>
    </w:p>
    <w:p>
      <w:pPr>
        <w:pStyle w:val="BodyText"/>
        <w:spacing w:before="4"/>
        <w:rPr>
          <w:sz w:val="11"/>
        </w:rPr>
      </w:pPr>
    </w:p>
    <w:p>
      <w:pPr>
        <w:tabs>
          <w:tab w:pos="1316" w:val="left" w:leader="none"/>
          <w:tab w:pos="1920" w:val="left" w:leader="none"/>
        </w:tabs>
        <w:spacing w:before="0"/>
        <w:ind w:left="207" w:right="0" w:firstLine="0"/>
        <w:jc w:val="left"/>
        <w:rPr>
          <w:sz w:val="11"/>
        </w:rPr>
      </w:pPr>
      <w:r>
        <w:rPr>
          <w:sz w:val="11"/>
        </w:rPr>
        <w:t>0.00</w:t>
        <w:tab/>
        <w:t>0.00</w:t>
        <w:tab/>
        <w:t>0.0%</w:t>
      </w:r>
    </w:p>
    <w:p>
      <w:pPr>
        <w:pStyle w:val="BodyText"/>
        <w:rPr>
          <w:sz w:val="12"/>
        </w:rPr>
      </w:pPr>
    </w:p>
    <w:p>
      <w:pPr>
        <w:pStyle w:val="BodyText"/>
        <w:spacing w:before="2"/>
        <w:rPr>
          <w:sz w:val="10"/>
        </w:rPr>
      </w:pPr>
    </w:p>
    <w:p>
      <w:pPr>
        <w:tabs>
          <w:tab w:pos="1316" w:val="left" w:leader="none"/>
          <w:tab w:pos="1920" w:val="left" w:leader="none"/>
        </w:tabs>
        <w:spacing w:before="0"/>
        <w:ind w:left="207" w:right="0" w:firstLine="0"/>
        <w:jc w:val="left"/>
        <w:rPr>
          <w:sz w:val="11"/>
        </w:rPr>
      </w:pPr>
      <w:r>
        <w:rPr>
          <w:sz w:val="11"/>
        </w:rPr>
        <w:t>0.00</w:t>
        <w:tab/>
        <w:t>0.00</w:t>
        <w:tab/>
        <w:t>0.0%</w:t>
      </w:r>
    </w:p>
    <w:p>
      <w:pPr>
        <w:tabs>
          <w:tab w:pos="1316" w:val="left" w:leader="none"/>
          <w:tab w:pos="1920" w:val="left" w:leader="none"/>
        </w:tabs>
        <w:spacing w:before="104"/>
        <w:ind w:left="207" w:right="0" w:firstLine="0"/>
        <w:jc w:val="left"/>
        <w:rPr>
          <w:sz w:val="11"/>
        </w:rPr>
      </w:pPr>
      <w:r>
        <w:rPr>
          <w:sz w:val="11"/>
        </w:rPr>
        <w:t>0.00</w:t>
        <w:tab/>
        <w:t>0.00</w:t>
        <w:tab/>
        <w:t>0.0%</w:t>
      </w:r>
    </w:p>
    <w:p>
      <w:pPr>
        <w:tabs>
          <w:tab w:pos="1316" w:val="left" w:leader="none"/>
          <w:tab w:pos="1920" w:val="left" w:leader="none"/>
        </w:tabs>
        <w:spacing w:before="104"/>
        <w:ind w:left="207" w:right="0" w:firstLine="0"/>
        <w:jc w:val="left"/>
        <w:rPr>
          <w:sz w:val="11"/>
        </w:rPr>
      </w:pPr>
      <w:r>
        <w:rPr>
          <w:sz w:val="11"/>
        </w:rPr>
        <w:t>0.00</w:t>
        <w:tab/>
        <w:t>0.00</w:t>
        <w:tab/>
        <w:t>0.0%</w:t>
      </w:r>
    </w:p>
    <w:p>
      <w:pPr>
        <w:tabs>
          <w:tab w:pos="1316" w:val="left" w:leader="none"/>
          <w:tab w:pos="1920" w:val="left" w:leader="none"/>
        </w:tabs>
        <w:spacing w:before="104"/>
        <w:ind w:left="207" w:right="0" w:firstLine="0"/>
        <w:jc w:val="left"/>
        <w:rPr>
          <w:sz w:val="11"/>
        </w:rPr>
      </w:pPr>
      <w:r>
        <w:rPr>
          <w:sz w:val="11"/>
        </w:rPr>
        <w:t>0.00</w:t>
        <w:tab/>
        <w:t>0.00</w:t>
        <w:tab/>
        <w:t>0.0%</w:t>
      </w:r>
    </w:p>
    <w:p>
      <w:pPr>
        <w:tabs>
          <w:tab w:pos="1097" w:val="left" w:leader="none"/>
          <w:tab w:pos="1920" w:val="left" w:leader="none"/>
        </w:tabs>
        <w:spacing w:before="104"/>
        <w:ind w:left="207" w:right="0" w:firstLine="0"/>
        <w:jc w:val="left"/>
        <w:rPr>
          <w:sz w:val="11"/>
        </w:rPr>
      </w:pPr>
      <w:r>
        <w:rPr>
          <w:sz w:val="11"/>
        </w:rPr>
        <w:t>0.00</w:t>
        <w:tab/>
        <w:t>5,400.00</w:t>
        <w:tab/>
        <w:t>0.0%</w:t>
      </w:r>
    </w:p>
    <w:p>
      <w:pPr>
        <w:tabs>
          <w:tab w:pos="1035" w:val="left" w:leader="none"/>
          <w:tab w:pos="1882" w:val="left" w:leader="none"/>
        </w:tabs>
        <w:spacing w:before="104"/>
        <w:ind w:left="207" w:right="0" w:firstLine="0"/>
        <w:jc w:val="left"/>
        <w:rPr>
          <w:sz w:val="11"/>
        </w:rPr>
      </w:pPr>
      <w:r>
        <w:rPr>
          <w:sz w:val="11"/>
        </w:rPr>
        <w:t>0.00</w:t>
        <w:tab/>
        <w:t>33,883.00</w:t>
        <w:tab/>
        <w:t>-1.7%</w:t>
      </w:r>
    </w:p>
    <w:p>
      <w:pPr>
        <w:pStyle w:val="BodyText"/>
        <w:rPr>
          <w:sz w:val="12"/>
        </w:rPr>
      </w:pPr>
    </w:p>
    <w:p>
      <w:pPr>
        <w:pStyle w:val="BodyText"/>
        <w:spacing w:before="2"/>
        <w:rPr>
          <w:sz w:val="10"/>
        </w:rPr>
      </w:pPr>
    </w:p>
    <w:p>
      <w:pPr>
        <w:tabs>
          <w:tab w:pos="1316" w:val="left" w:leader="none"/>
          <w:tab w:pos="1920" w:val="left" w:leader="none"/>
        </w:tabs>
        <w:spacing w:before="0"/>
        <w:ind w:left="207" w:right="0" w:firstLine="0"/>
        <w:jc w:val="left"/>
        <w:rPr>
          <w:sz w:val="11"/>
        </w:rPr>
      </w:pPr>
      <w:r>
        <w:rPr>
          <w:sz w:val="11"/>
        </w:rPr>
        <w:t>0.00</w:t>
        <w:tab/>
        <w:t>0.00</w:t>
        <w:tab/>
        <w:t>0.0%</w:t>
      </w:r>
    </w:p>
    <w:p>
      <w:pPr>
        <w:pStyle w:val="BodyText"/>
        <w:rPr>
          <w:sz w:val="12"/>
        </w:rPr>
      </w:pPr>
    </w:p>
    <w:p>
      <w:pPr>
        <w:pStyle w:val="BodyText"/>
        <w:spacing w:before="2"/>
        <w:rPr>
          <w:sz w:val="10"/>
        </w:rPr>
      </w:pPr>
    </w:p>
    <w:p>
      <w:pPr>
        <w:tabs>
          <w:tab w:pos="1316" w:val="left" w:leader="none"/>
          <w:tab w:pos="1920" w:val="left" w:leader="none"/>
        </w:tabs>
        <w:spacing w:before="0"/>
        <w:ind w:left="207" w:right="0" w:firstLine="0"/>
        <w:jc w:val="left"/>
        <w:rPr>
          <w:sz w:val="11"/>
        </w:rPr>
      </w:pPr>
      <w:r>
        <w:rPr>
          <w:sz w:val="11"/>
        </w:rPr>
        <w:t>0.00</w:t>
        <w:tab/>
        <w:t>0.00</w:t>
        <w:tab/>
        <w:t>0.0%</w:t>
      </w:r>
    </w:p>
    <w:p>
      <w:pPr>
        <w:tabs>
          <w:tab w:pos="1316" w:val="left" w:leader="none"/>
          <w:tab w:pos="1920" w:val="left" w:leader="none"/>
        </w:tabs>
        <w:spacing w:before="104"/>
        <w:ind w:left="207" w:right="0" w:firstLine="0"/>
        <w:jc w:val="left"/>
        <w:rPr>
          <w:sz w:val="11"/>
        </w:rPr>
      </w:pPr>
      <w:r>
        <w:rPr>
          <w:sz w:val="11"/>
        </w:rPr>
        <w:t>0.00</w:t>
        <w:tab/>
        <w:t>0.00</w:t>
        <w:tab/>
        <w:t>0.0%</w:t>
      </w:r>
    </w:p>
    <w:p>
      <w:pPr>
        <w:tabs>
          <w:tab w:pos="1316" w:val="left" w:leader="none"/>
          <w:tab w:pos="1920" w:val="left" w:leader="none"/>
        </w:tabs>
        <w:spacing w:before="104"/>
        <w:ind w:left="207" w:right="0" w:firstLine="0"/>
        <w:jc w:val="left"/>
        <w:rPr>
          <w:sz w:val="11"/>
        </w:rPr>
      </w:pPr>
      <w:r>
        <w:rPr>
          <w:sz w:val="11"/>
        </w:rPr>
        <w:t>0.00</w:t>
        <w:tab/>
        <w:t>0.00</w:t>
        <w:tab/>
        <w:t>0.0%</w:t>
      </w:r>
    </w:p>
    <w:p>
      <w:pPr>
        <w:tabs>
          <w:tab w:pos="972" w:val="left" w:leader="none"/>
          <w:tab w:pos="1920" w:val="left" w:leader="none"/>
        </w:tabs>
        <w:spacing w:before="104"/>
        <w:ind w:left="207" w:right="0" w:firstLine="0"/>
        <w:jc w:val="left"/>
        <w:rPr>
          <w:sz w:val="11"/>
        </w:rPr>
      </w:pPr>
      <w:r>
        <w:rPr>
          <w:sz w:val="11"/>
        </w:rPr>
        <w:t>0.00</w:t>
        <w:tab/>
        <w:t>284,487.00</w:t>
        <w:tab/>
        <w:t>0.0%</w:t>
      </w:r>
    </w:p>
    <w:p>
      <w:pPr>
        <w:spacing w:after="0"/>
        <w:jc w:val="left"/>
        <w:rPr>
          <w:sz w:val="11"/>
        </w:rPr>
        <w:sectPr>
          <w:type w:val="continuous"/>
          <w:pgSz w:w="12240" w:h="15840"/>
          <w:pgMar w:top="1500" w:bottom="840" w:left="160" w:right="180"/>
          <w:cols w:num="5" w:equalWidth="0">
            <w:col w:w="4294" w:space="482"/>
            <w:col w:w="809" w:space="642"/>
            <w:col w:w="1575" w:space="300"/>
            <w:col w:w="809" w:space="643"/>
            <w:col w:w="2346"/>
          </w:cols>
        </w:sectPr>
      </w:pPr>
    </w:p>
    <w:p>
      <w:pPr>
        <w:tabs>
          <w:tab w:pos="4003" w:val="left" w:leader="none"/>
          <w:tab w:pos="4491" w:val="left" w:leader="none"/>
          <w:tab w:pos="5326" w:val="left" w:leader="none"/>
          <w:tab w:pos="6435" w:val="left" w:leader="none"/>
          <w:tab w:pos="7543" w:val="left" w:leader="none"/>
          <w:tab w:pos="8652" w:val="left" w:leader="none"/>
          <w:tab w:pos="9761" w:val="left" w:leader="none"/>
          <w:tab w:pos="10870" w:val="left" w:leader="none"/>
          <w:tab w:pos="11475" w:val="left" w:leader="none"/>
        </w:tabs>
        <w:spacing w:before="104"/>
        <w:ind w:left="331" w:right="0" w:firstLine="0"/>
        <w:jc w:val="left"/>
        <w:rPr>
          <w:sz w:val="11"/>
        </w:rPr>
      </w:pPr>
      <w:r>
        <w:rPr>
          <w:sz w:val="11"/>
        </w:rPr>
        <w:t>Mitigation/Developer</w:t>
      </w:r>
      <w:r>
        <w:rPr>
          <w:spacing w:val="8"/>
          <w:sz w:val="11"/>
        </w:rPr>
        <w:t> </w:t>
      </w:r>
      <w:r>
        <w:rPr>
          <w:sz w:val="11"/>
        </w:rPr>
        <w:t>Fees</w:t>
        <w:tab/>
        <w:t>8681</w:t>
        <w:tab/>
      </w:r>
      <w:r>
        <w:rPr>
          <w:sz w:val="11"/>
          <w:shd w:fill="DFDFDF" w:color="auto" w:val="clear"/>
        </w:rPr>
        <w:tab/>
        <w:t>0.00</w:t>
      </w:r>
      <w:r>
        <w:rPr>
          <w:sz w:val="11"/>
        </w:rPr>
        <w:tab/>
        <w:t>0.00</w:t>
        <w:tab/>
        <w:t>0.00</w:t>
      </w:r>
      <w:r>
        <w:rPr>
          <w:sz w:val="11"/>
          <w:shd w:fill="DFDFDF" w:color="auto" w:val="clear"/>
        </w:rPr>
        <w:tab/>
        <w:t>0.00</w:t>
      </w:r>
      <w:r>
        <w:rPr>
          <w:sz w:val="11"/>
        </w:rPr>
        <w:tab/>
        <w:t>0.00</w:t>
        <w:tab/>
        <w:t>0.00</w:t>
        <w:tab/>
        <w:t>0.0%</w:t>
      </w:r>
    </w:p>
    <w:p>
      <w:pPr>
        <w:tabs>
          <w:tab w:pos="4003" w:val="left" w:leader="none"/>
          <w:tab w:pos="5201" w:val="left" w:leader="none"/>
          <w:tab w:pos="6435" w:val="left" w:leader="none"/>
          <w:tab w:pos="7419" w:val="left" w:leader="none"/>
          <w:tab w:pos="8652" w:val="left" w:leader="none"/>
          <w:tab w:pos="9761" w:val="left" w:leader="none"/>
          <w:tab w:pos="10870" w:val="left" w:leader="none"/>
          <w:tab w:pos="11311" w:val="left" w:leader="none"/>
        </w:tabs>
        <w:spacing w:line="230" w:lineRule="atLeast" w:before="0"/>
        <w:ind w:left="269" w:right="167" w:firstLine="62"/>
        <w:jc w:val="left"/>
        <w:rPr>
          <w:sz w:val="11"/>
        </w:rPr>
      </w:pPr>
      <w:r>
        <w:rPr>
          <w:sz w:val="11"/>
        </w:rPr>
        <w:t>All Other Fees</w:t>
      </w:r>
      <w:r>
        <w:rPr>
          <w:spacing w:val="13"/>
          <w:sz w:val="11"/>
        </w:rPr>
        <w:t> </w:t>
      </w:r>
      <w:r>
        <w:rPr>
          <w:sz w:val="11"/>
        </w:rPr>
        <w:t>and</w:t>
      </w:r>
      <w:r>
        <w:rPr>
          <w:spacing w:val="4"/>
          <w:sz w:val="11"/>
        </w:rPr>
        <w:t> </w:t>
      </w:r>
      <w:r>
        <w:rPr>
          <w:sz w:val="11"/>
        </w:rPr>
        <w:t>Contracts</w:t>
        <w:tab/>
        <w:t>8689</w:t>
        <w:tab/>
        <w:t>475.00</w:t>
        <w:tab/>
        <w:t>0.00</w:t>
        <w:tab/>
        <w:t>475.00</w:t>
        <w:tab/>
        <w:t>0.00</w:t>
        <w:tab/>
        <w:t>0.00</w:t>
        <w:tab/>
        <w:t>0.00</w:t>
        <w:tab/>
      </w:r>
      <w:r>
        <w:rPr>
          <w:spacing w:val="-4"/>
          <w:sz w:val="11"/>
        </w:rPr>
        <w:t>-100.0% </w:t>
      </w:r>
      <w:r>
        <w:rPr>
          <w:sz w:val="11"/>
        </w:rPr>
        <w:t>Other Local Revenue</w:t>
      </w:r>
    </w:p>
    <w:p>
      <w:pPr>
        <w:spacing w:before="25"/>
        <w:ind w:left="331" w:right="0" w:firstLine="0"/>
        <w:jc w:val="left"/>
        <w:rPr>
          <w:sz w:val="11"/>
        </w:rPr>
      </w:pPr>
      <w:r>
        <w:rPr>
          <w:sz w:val="11"/>
        </w:rPr>
        <w:t>Plus: Misc Funds Non-LCFF</w:t>
      </w:r>
    </w:p>
    <w:p>
      <w:pPr>
        <w:tabs>
          <w:tab w:pos="3485" w:val="left" w:leader="none"/>
          <w:tab w:pos="4807" w:val="left" w:leader="none"/>
          <w:tab w:pos="5916" w:val="left" w:leader="none"/>
          <w:tab w:pos="7025" w:val="left" w:leader="none"/>
          <w:tab w:pos="8134" w:val="left" w:leader="none"/>
          <w:tab w:pos="9243" w:val="left" w:leader="none"/>
          <w:tab w:pos="10351" w:val="left" w:leader="none"/>
          <w:tab w:pos="10956" w:val="left" w:leader="none"/>
        </w:tabs>
        <w:spacing w:before="25"/>
        <w:ind w:left="0" w:right="166" w:firstLine="0"/>
        <w:jc w:val="right"/>
        <w:rPr>
          <w:sz w:val="11"/>
        </w:rPr>
      </w:pPr>
      <w:r>
        <w:rPr>
          <w:sz w:val="11"/>
        </w:rPr>
        <w:t>(50%)</w:t>
      </w:r>
      <w:r>
        <w:rPr>
          <w:spacing w:val="5"/>
          <w:sz w:val="11"/>
        </w:rPr>
        <w:t> </w:t>
      </w:r>
      <w:r>
        <w:rPr>
          <w:sz w:val="11"/>
        </w:rPr>
        <w:t>Adjustment</w:t>
        <w:tab/>
        <w:t>8691</w:t>
        <w:tab/>
        <w:t>0.00</w:t>
        <w:tab/>
        <w:t>0.00</w:t>
        <w:tab/>
        <w:t>0.00</w:t>
        <w:tab/>
        <w:t>0.00</w:t>
        <w:tab/>
        <w:t>0.00</w:t>
        <w:tab/>
        <w:t>0.00</w:t>
        <w:tab/>
      </w:r>
      <w:r>
        <w:rPr>
          <w:spacing w:val="-1"/>
          <w:sz w:val="11"/>
        </w:rPr>
        <w:t>0.0%</w:t>
      </w:r>
    </w:p>
    <w:p>
      <w:pPr>
        <w:spacing w:before="104"/>
        <w:ind w:left="331" w:right="0" w:firstLine="0"/>
        <w:jc w:val="left"/>
        <w:rPr>
          <w:sz w:val="11"/>
        </w:rPr>
      </w:pPr>
      <w:r>
        <w:rPr>
          <w:sz w:val="11"/>
        </w:rPr>
        <w:t>Pass-Through Revenues From</w:t>
      </w:r>
    </w:p>
    <w:p>
      <w:pPr>
        <w:tabs>
          <w:tab w:pos="4003" w:val="left" w:leader="none"/>
          <w:tab w:pos="5326" w:val="left" w:leader="none"/>
          <w:tab w:pos="6435" w:val="left" w:leader="none"/>
          <w:tab w:pos="7543" w:val="left" w:leader="none"/>
          <w:tab w:pos="8652" w:val="left" w:leader="none"/>
          <w:tab w:pos="9761" w:val="left" w:leader="none"/>
          <w:tab w:pos="10870" w:val="left" w:leader="none"/>
          <w:tab w:pos="11475" w:val="left" w:leader="none"/>
        </w:tabs>
        <w:spacing w:before="25"/>
        <w:ind w:left="362" w:right="0" w:firstLine="0"/>
        <w:jc w:val="left"/>
        <w:rPr>
          <w:sz w:val="11"/>
        </w:rPr>
      </w:pPr>
      <w:r>
        <w:rPr>
          <w:sz w:val="11"/>
        </w:rPr>
        <w:t>Local</w:t>
      </w:r>
      <w:r>
        <w:rPr>
          <w:spacing w:val="3"/>
          <w:sz w:val="11"/>
        </w:rPr>
        <w:t> </w:t>
      </w:r>
      <w:r>
        <w:rPr>
          <w:sz w:val="11"/>
        </w:rPr>
        <w:t>Sources</w:t>
        <w:tab/>
        <w:t>8697</w:t>
        <w:tab/>
        <w:t>0.00</w:t>
        <w:tab/>
        <w:t>0.00</w:t>
        <w:tab/>
        <w:t>0.00</w:t>
        <w:tab/>
        <w:t>0.00</w:t>
        <w:tab/>
        <w:t>0.00</w:t>
        <w:tab/>
        <w:t>0.00</w:t>
        <w:tab/>
        <w:t>0.0%</w:t>
      </w:r>
    </w:p>
    <w:p>
      <w:pPr>
        <w:tabs>
          <w:tab w:pos="3672" w:val="left" w:leader="none"/>
          <w:tab w:pos="4776" w:val="left" w:leader="none"/>
          <w:tab w:pos="5885" w:val="left" w:leader="none"/>
          <w:tab w:pos="6931" w:val="left" w:leader="none"/>
          <w:tab w:pos="8040" w:val="left" w:leader="none"/>
          <w:tab w:pos="9149" w:val="left" w:leader="none"/>
          <w:tab w:pos="10257" w:val="left" w:leader="none"/>
          <w:tab w:pos="11018" w:val="left" w:leader="none"/>
        </w:tabs>
        <w:spacing w:before="104"/>
        <w:ind w:left="0" w:right="167" w:firstLine="0"/>
        <w:jc w:val="right"/>
        <w:rPr>
          <w:sz w:val="11"/>
        </w:rPr>
      </w:pPr>
      <w:r>
        <w:rPr>
          <w:sz w:val="11"/>
        </w:rPr>
        <w:t>All Other</w:t>
      </w:r>
      <w:r>
        <w:rPr>
          <w:spacing w:val="9"/>
          <w:sz w:val="11"/>
        </w:rPr>
        <w:t> </w:t>
      </w:r>
      <w:r>
        <w:rPr>
          <w:sz w:val="11"/>
        </w:rPr>
        <w:t>Local</w:t>
      </w:r>
      <w:r>
        <w:rPr>
          <w:spacing w:val="4"/>
          <w:sz w:val="11"/>
        </w:rPr>
        <w:t> </w:t>
      </w:r>
      <w:r>
        <w:rPr>
          <w:sz w:val="11"/>
        </w:rPr>
        <w:t>Revenue</w:t>
        <w:tab/>
        <w:t>8699</w:t>
        <w:tab/>
        <w:t>9,024.00</w:t>
        <w:tab/>
        <w:t>4,000.00</w:t>
        <w:tab/>
        <w:t>13,024.00</w:t>
        <w:tab/>
        <w:t>13,524.00</w:t>
        <w:tab/>
        <w:t>15,000.00</w:t>
        <w:tab/>
        <w:t>28,524.00</w:t>
        <w:tab/>
      </w:r>
      <w:r>
        <w:rPr>
          <w:spacing w:val="-1"/>
          <w:sz w:val="11"/>
        </w:rPr>
        <w:t>119.0%</w:t>
      </w:r>
    </w:p>
    <w:p>
      <w:pPr>
        <w:tabs>
          <w:tab w:pos="3796" w:val="left" w:leader="none"/>
          <w:tab w:pos="5118" w:val="left" w:leader="none"/>
          <w:tab w:pos="6227" w:val="left" w:leader="none"/>
          <w:tab w:pos="7336" w:val="left" w:leader="none"/>
          <w:tab w:pos="8445" w:val="left" w:leader="none"/>
          <w:tab w:pos="9554" w:val="left" w:leader="none"/>
          <w:tab w:pos="10662" w:val="left" w:leader="none"/>
          <w:tab w:pos="11267" w:val="left" w:leader="none"/>
        </w:tabs>
        <w:spacing w:before="104"/>
        <w:ind w:left="0" w:right="166" w:firstLine="0"/>
        <w:jc w:val="right"/>
        <w:rPr>
          <w:sz w:val="11"/>
        </w:rPr>
      </w:pPr>
      <w:r>
        <w:rPr>
          <w:sz w:val="11"/>
        </w:rPr>
        <w:t>Tuition</w:t>
        <w:tab/>
        <w:t>8710</w:t>
        <w:tab/>
        <w:t>0.00</w:t>
        <w:tab/>
        <w:t>0.00</w:t>
        <w:tab/>
        <w:t>0.00</w:t>
        <w:tab/>
        <w:t>0.00</w:t>
        <w:tab/>
        <w:t>0.00</w:t>
        <w:tab/>
        <w:t>0.00</w:t>
        <w:tab/>
      </w:r>
      <w:r>
        <w:rPr>
          <w:spacing w:val="-1"/>
          <w:sz w:val="11"/>
        </w:rPr>
        <w:t>0.0%</w:t>
      </w:r>
    </w:p>
    <w:p>
      <w:pPr>
        <w:tabs>
          <w:tab w:pos="3652" w:val="left" w:leader="none"/>
          <w:tab w:pos="5118" w:val="left" w:leader="none"/>
          <w:tab w:pos="6227" w:val="left" w:leader="none"/>
          <w:tab w:pos="7336" w:val="left" w:leader="none"/>
          <w:tab w:pos="8445" w:val="left" w:leader="none"/>
          <w:tab w:pos="9554" w:val="left" w:leader="none"/>
          <w:tab w:pos="10662" w:val="left" w:leader="none"/>
          <w:tab w:pos="11267" w:val="left" w:leader="none"/>
        </w:tabs>
        <w:spacing w:before="103"/>
        <w:ind w:left="0" w:right="166" w:firstLine="0"/>
        <w:jc w:val="right"/>
        <w:rPr>
          <w:sz w:val="11"/>
        </w:rPr>
      </w:pPr>
      <w:r>
        <w:rPr>
          <w:sz w:val="11"/>
        </w:rPr>
        <w:t>All Other</w:t>
      </w:r>
      <w:r>
        <w:rPr>
          <w:spacing w:val="6"/>
          <w:sz w:val="11"/>
        </w:rPr>
        <w:t> </w:t>
      </w:r>
      <w:r>
        <w:rPr>
          <w:sz w:val="11"/>
        </w:rPr>
        <w:t>Transfers</w:t>
      </w:r>
      <w:r>
        <w:rPr>
          <w:spacing w:val="4"/>
          <w:sz w:val="11"/>
        </w:rPr>
        <w:t> </w:t>
      </w:r>
      <w:r>
        <w:rPr>
          <w:sz w:val="11"/>
        </w:rPr>
        <w:t>In</w:t>
        <w:tab/>
        <w:t>8781-8783</w:t>
        <w:tab/>
        <w:t>0.00</w:t>
        <w:tab/>
        <w:t>0.00</w:t>
        <w:tab/>
        <w:t>0.00</w:t>
        <w:tab/>
        <w:t>0.00</w:t>
        <w:tab/>
        <w:t>0.00</w:t>
        <w:tab/>
        <w:t>0.00</w:t>
        <w:tab/>
      </w:r>
      <w:r>
        <w:rPr>
          <w:spacing w:val="-1"/>
          <w:sz w:val="11"/>
        </w:rPr>
        <w:t>0.0%</w:t>
      </w:r>
    </w:p>
    <w:p>
      <w:pPr>
        <w:spacing w:before="104"/>
        <w:ind w:left="207" w:right="0" w:firstLine="0"/>
        <w:jc w:val="left"/>
        <w:rPr>
          <w:sz w:val="11"/>
        </w:rPr>
      </w:pPr>
      <w:r>
        <w:rPr>
          <w:sz w:val="11"/>
        </w:rPr>
        <w:t>Transfers of Apportionments</w:t>
      </w:r>
    </w:p>
    <w:p>
      <w:pPr>
        <w:spacing w:before="25"/>
        <w:ind w:left="331" w:right="0" w:firstLine="0"/>
        <w:jc w:val="left"/>
        <w:rPr>
          <w:sz w:val="11"/>
        </w:rPr>
      </w:pPr>
      <w:r>
        <w:rPr>
          <w:sz w:val="11"/>
        </w:rPr>
        <w:t>Special Education SELPA Transfers</w:t>
      </w:r>
    </w:p>
    <w:p>
      <w:pPr>
        <w:tabs>
          <w:tab w:pos="3091" w:val="left" w:leader="none"/>
          <w:tab w:pos="4003" w:val="left" w:leader="none"/>
          <w:tab w:pos="6435" w:val="left" w:leader="none"/>
          <w:tab w:pos="7543" w:val="left" w:leader="none"/>
          <w:tab w:pos="9761" w:val="left" w:leader="none"/>
          <w:tab w:pos="10870" w:val="left" w:leader="none"/>
          <w:tab w:pos="11475" w:val="left" w:leader="none"/>
        </w:tabs>
        <w:spacing w:before="25"/>
        <w:ind w:left="394" w:right="0" w:firstLine="0"/>
        <w:jc w:val="left"/>
        <w:rPr>
          <w:sz w:val="11"/>
        </w:rPr>
      </w:pPr>
      <w:r>
        <w:rPr>
          <w:sz w:val="11"/>
        </w:rPr>
        <w:t>From Districts or</w:t>
      </w:r>
      <w:r>
        <w:rPr>
          <w:spacing w:val="15"/>
          <w:sz w:val="11"/>
        </w:rPr>
        <w:t> </w:t>
      </w:r>
      <w:r>
        <w:rPr>
          <w:sz w:val="11"/>
        </w:rPr>
        <w:t>Charter</w:t>
      </w:r>
      <w:r>
        <w:rPr>
          <w:spacing w:val="6"/>
          <w:sz w:val="11"/>
        </w:rPr>
        <w:t> </w:t>
      </w:r>
      <w:r>
        <w:rPr>
          <w:sz w:val="11"/>
        </w:rPr>
        <w:t>Schools</w:t>
        <w:tab/>
        <w:t>6500</w:t>
        <w:tab/>
        <w:t>8791</w:t>
        <w:tab/>
        <w:t>0.00</w:t>
        <w:tab/>
        <w:t>0.00</w:t>
        <w:tab/>
        <w:t>0.00</w:t>
        <w:tab/>
        <w:t>0.00</w:t>
        <w:tab/>
        <w:t>0.0%</w:t>
      </w:r>
    </w:p>
    <w:p>
      <w:pPr>
        <w:tabs>
          <w:tab w:pos="2697" w:val="left" w:leader="none"/>
          <w:tab w:pos="3609" w:val="left" w:leader="none"/>
          <w:tab w:pos="5760" w:val="left" w:leader="none"/>
          <w:tab w:pos="6868" w:val="left" w:leader="none"/>
          <w:tab w:pos="9086" w:val="left" w:leader="none"/>
          <w:tab w:pos="10195" w:val="left" w:leader="none"/>
          <w:tab w:pos="10980" w:val="left" w:leader="none"/>
        </w:tabs>
        <w:spacing w:before="104"/>
        <w:ind w:left="0" w:right="166" w:firstLine="0"/>
        <w:jc w:val="right"/>
        <w:rPr>
          <w:sz w:val="11"/>
        </w:rPr>
      </w:pPr>
      <w:r>
        <w:rPr>
          <w:sz w:val="11"/>
        </w:rPr>
        <w:t>From</w:t>
      </w:r>
      <w:r>
        <w:rPr>
          <w:spacing w:val="2"/>
          <w:sz w:val="11"/>
        </w:rPr>
        <w:t> </w:t>
      </w:r>
      <w:r>
        <w:rPr>
          <w:sz w:val="11"/>
        </w:rPr>
        <w:t>County</w:t>
      </w:r>
      <w:r>
        <w:rPr>
          <w:spacing w:val="4"/>
          <w:sz w:val="11"/>
        </w:rPr>
        <w:t> </w:t>
      </w:r>
      <w:r>
        <w:rPr>
          <w:sz w:val="11"/>
        </w:rPr>
        <w:t>Offices</w:t>
        <w:tab/>
        <w:t>6500</w:t>
        <w:tab/>
        <w:t>8792</w:t>
        <w:tab/>
        <w:t>38,824.00</w:t>
        <w:tab/>
        <w:t>38,824.00</w:t>
        <w:tab/>
        <w:t>25,372.00</w:t>
        <w:tab/>
        <w:t>25,372.00</w:t>
        <w:tab/>
      </w:r>
      <w:r>
        <w:rPr>
          <w:spacing w:val="-1"/>
          <w:sz w:val="11"/>
        </w:rPr>
        <w:t>-34.6%</w:t>
      </w:r>
    </w:p>
    <w:p>
      <w:pPr>
        <w:tabs>
          <w:tab w:pos="2697" w:val="left" w:leader="none"/>
          <w:tab w:pos="3609" w:val="left" w:leader="none"/>
          <w:tab w:pos="6040" w:val="left" w:leader="none"/>
          <w:tab w:pos="7149" w:val="left" w:leader="none"/>
          <w:tab w:pos="9367" w:val="left" w:leader="none"/>
          <w:tab w:pos="10476" w:val="left" w:leader="none"/>
          <w:tab w:pos="11080" w:val="left" w:leader="none"/>
        </w:tabs>
        <w:spacing w:before="104"/>
        <w:ind w:left="0" w:right="166" w:firstLine="0"/>
        <w:jc w:val="right"/>
        <w:rPr>
          <w:sz w:val="11"/>
        </w:rPr>
      </w:pPr>
      <w:r>
        <w:rPr>
          <w:sz w:val="11"/>
        </w:rPr>
        <w:t>From</w:t>
      </w:r>
      <w:r>
        <w:rPr>
          <w:spacing w:val="1"/>
          <w:sz w:val="11"/>
        </w:rPr>
        <w:t> </w:t>
      </w:r>
      <w:r>
        <w:rPr>
          <w:sz w:val="11"/>
        </w:rPr>
        <w:t>JPAs</w:t>
        <w:tab/>
        <w:t>6500</w:t>
        <w:tab/>
        <w:t>8793</w:t>
        <w:tab/>
        <w:t>0.00</w:t>
        <w:tab/>
        <w:t>0.00</w:t>
        <w:tab/>
        <w:t>0.00</w:t>
        <w:tab/>
        <w:t>0.00</w:t>
        <w:tab/>
      </w:r>
      <w:r>
        <w:rPr>
          <w:spacing w:val="-1"/>
          <w:sz w:val="11"/>
        </w:rPr>
        <w:t>0.0%</w:t>
      </w:r>
    </w:p>
    <w:p>
      <w:pPr>
        <w:spacing w:before="104"/>
        <w:ind w:left="331" w:right="0" w:firstLine="0"/>
        <w:jc w:val="left"/>
        <w:rPr>
          <w:sz w:val="11"/>
        </w:rPr>
      </w:pPr>
      <w:r>
        <w:rPr>
          <w:sz w:val="11"/>
        </w:rPr>
        <w:t>ROC/P Transfers</w:t>
      </w:r>
    </w:p>
    <w:p>
      <w:pPr>
        <w:tabs>
          <w:tab w:pos="2697" w:val="left" w:leader="none"/>
          <w:tab w:pos="3609" w:val="left" w:leader="none"/>
          <w:tab w:pos="6040" w:val="left" w:leader="none"/>
          <w:tab w:pos="7149" w:val="left" w:leader="none"/>
          <w:tab w:pos="9367" w:val="left" w:leader="none"/>
          <w:tab w:pos="10476" w:val="left" w:leader="none"/>
          <w:tab w:pos="11080" w:val="left" w:leader="none"/>
        </w:tabs>
        <w:spacing w:before="24"/>
        <w:ind w:left="0" w:right="166" w:firstLine="0"/>
        <w:jc w:val="right"/>
        <w:rPr>
          <w:sz w:val="11"/>
        </w:rPr>
      </w:pPr>
      <w:r>
        <w:rPr>
          <w:sz w:val="11"/>
        </w:rPr>
        <w:t>From Districts or</w:t>
      </w:r>
      <w:r>
        <w:rPr>
          <w:spacing w:val="15"/>
          <w:sz w:val="11"/>
        </w:rPr>
        <w:t> </w:t>
      </w:r>
      <w:r>
        <w:rPr>
          <w:sz w:val="11"/>
        </w:rPr>
        <w:t>Charter</w:t>
      </w:r>
      <w:r>
        <w:rPr>
          <w:spacing w:val="6"/>
          <w:sz w:val="11"/>
        </w:rPr>
        <w:t> </w:t>
      </w:r>
      <w:r>
        <w:rPr>
          <w:sz w:val="11"/>
        </w:rPr>
        <w:t>Schools</w:t>
        <w:tab/>
        <w:t>6360</w:t>
        <w:tab/>
        <w:t>8791</w:t>
        <w:tab/>
        <w:t>0.00</w:t>
        <w:tab/>
        <w:t>0.00</w:t>
        <w:tab/>
        <w:t>0.00</w:t>
        <w:tab/>
        <w:t>0.00</w:t>
        <w:tab/>
      </w:r>
      <w:r>
        <w:rPr>
          <w:spacing w:val="-1"/>
          <w:sz w:val="11"/>
        </w:rPr>
        <w:t>0.0%</w:t>
      </w:r>
    </w:p>
    <w:p>
      <w:pPr>
        <w:tabs>
          <w:tab w:pos="2697" w:val="left" w:leader="none"/>
          <w:tab w:pos="3609" w:val="left" w:leader="none"/>
          <w:tab w:pos="6040" w:val="left" w:leader="none"/>
          <w:tab w:pos="7149" w:val="left" w:leader="none"/>
          <w:tab w:pos="9367" w:val="left" w:leader="none"/>
          <w:tab w:pos="10476" w:val="left" w:leader="none"/>
          <w:tab w:pos="11080" w:val="left" w:leader="none"/>
        </w:tabs>
        <w:spacing w:before="104"/>
        <w:ind w:left="0" w:right="166" w:firstLine="0"/>
        <w:jc w:val="right"/>
        <w:rPr>
          <w:sz w:val="11"/>
        </w:rPr>
      </w:pPr>
      <w:r>
        <w:rPr>
          <w:sz w:val="11"/>
        </w:rPr>
        <w:t>From</w:t>
      </w:r>
      <w:r>
        <w:rPr>
          <w:spacing w:val="2"/>
          <w:sz w:val="11"/>
        </w:rPr>
        <w:t> </w:t>
      </w:r>
      <w:r>
        <w:rPr>
          <w:sz w:val="11"/>
        </w:rPr>
        <w:t>County</w:t>
      </w:r>
      <w:r>
        <w:rPr>
          <w:spacing w:val="4"/>
          <w:sz w:val="11"/>
        </w:rPr>
        <w:t> </w:t>
      </w:r>
      <w:r>
        <w:rPr>
          <w:sz w:val="11"/>
        </w:rPr>
        <w:t>Offices</w:t>
        <w:tab/>
        <w:t>6360</w:t>
        <w:tab/>
        <w:t>8792</w:t>
        <w:tab/>
        <w:t>0.00</w:t>
        <w:tab/>
        <w:t>0.00</w:t>
        <w:tab/>
        <w:t>0.00</w:t>
        <w:tab/>
        <w:t>0.00</w:t>
        <w:tab/>
      </w:r>
      <w:r>
        <w:rPr>
          <w:spacing w:val="-1"/>
          <w:sz w:val="11"/>
        </w:rPr>
        <w:t>0.0%</w:t>
      </w:r>
    </w:p>
    <w:p>
      <w:pPr>
        <w:tabs>
          <w:tab w:pos="2697" w:val="left" w:leader="none"/>
          <w:tab w:pos="3609" w:val="left" w:leader="none"/>
          <w:tab w:pos="6040" w:val="left" w:leader="none"/>
          <w:tab w:pos="7149" w:val="left" w:leader="none"/>
          <w:tab w:pos="9367" w:val="left" w:leader="none"/>
          <w:tab w:pos="10476" w:val="left" w:leader="none"/>
          <w:tab w:pos="11080" w:val="left" w:leader="none"/>
        </w:tabs>
        <w:spacing w:before="104"/>
        <w:ind w:left="0" w:right="166" w:firstLine="0"/>
        <w:jc w:val="right"/>
        <w:rPr>
          <w:sz w:val="11"/>
        </w:rPr>
      </w:pPr>
      <w:r>
        <w:rPr>
          <w:sz w:val="11"/>
        </w:rPr>
        <w:t>From</w:t>
      </w:r>
      <w:r>
        <w:rPr>
          <w:spacing w:val="1"/>
          <w:sz w:val="11"/>
        </w:rPr>
        <w:t> </w:t>
      </w:r>
      <w:r>
        <w:rPr>
          <w:sz w:val="11"/>
        </w:rPr>
        <w:t>JPAs</w:t>
        <w:tab/>
        <w:t>6360</w:t>
        <w:tab/>
        <w:t>8793</w:t>
        <w:tab/>
        <w:t>0.00</w:t>
        <w:tab/>
        <w:t>0.00</w:t>
        <w:tab/>
        <w:t>0.00</w:t>
        <w:tab/>
        <w:t>0.00</w:t>
        <w:tab/>
      </w:r>
      <w:r>
        <w:rPr>
          <w:spacing w:val="-1"/>
          <w:sz w:val="11"/>
        </w:rPr>
        <w:t>0.0%</w:t>
      </w:r>
    </w:p>
    <w:p>
      <w:pPr>
        <w:spacing w:before="104"/>
        <w:ind w:left="331" w:right="0" w:firstLine="0"/>
        <w:jc w:val="left"/>
        <w:rPr>
          <w:sz w:val="11"/>
        </w:rPr>
      </w:pPr>
      <w:r>
        <w:rPr>
          <w:sz w:val="11"/>
        </w:rPr>
        <w:t>Other Transfers of Apportionments</w:t>
      </w:r>
    </w:p>
    <w:p>
      <w:pPr>
        <w:tabs>
          <w:tab w:pos="2998" w:val="left" w:leader="none"/>
          <w:tab w:pos="4003" w:val="left" w:leader="none"/>
          <w:tab w:pos="5326" w:val="left" w:leader="none"/>
          <w:tab w:pos="6435" w:val="left" w:leader="none"/>
          <w:tab w:pos="7543" w:val="left" w:leader="none"/>
          <w:tab w:pos="8652" w:val="left" w:leader="none"/>
          <w:tab w:pos="9761" w:val="left" w:leader="none"/>
          <w:tab w:pos="10870" w:val="left" w:leader="none"/>
          <w:tab w:pos="11475" w:val="left" w:leader="none"/>
        </w:tabs>
        <w:spacing w:before="25"/>
        <w:ind w:left="394" w:right="0" w:firstLine="0"/>
        <w:jc w:val="left"/>
        <w:rPr>
          <w:sz w:val="11"/>
        </w:rPr>
      </w:pPr>
      <w:r>
        <w:rPr>
          <w:sz w:val="11"/>
        </w:rPr>
        <w:t>From Districts or</w:t>
      </w:r>
      <w:r>
        <w:rPr>
          <w:spacing w:val="15"/>
          <w:sz w:val="11"/>
        </w:rPr>
        <w:t> </w:t>
      </w:r>
      <w:r>
        <w:rPr>
          <w:sz w:val="11"/>
        </w:rPr>
        <w:t>Charter</w:t>
      </w:r>
      <w:r>
        <w:rPr>
          <w:spacing w:val="6"/>
          <w:sz w:val="11"/>
        </w:rPr>
        <w:t> </w:t>
      </w:r>
      <w:r>
        <w:rPr>
          <w:sz w:val="11"/>
        </w:rPr>
        <w:t>Schools</w:t>
        <w:tab/>
        <w:t>All</w:t>
      </w:r>
      <w:r>
        <w:rPr>
          <w:spacing w:val="1"/>
          <w:sz w:val="11"/>
        </w:rPr>
        <w:t> </w:t>
      </w:r>
      <w:r>
        <w:rPr>
          <w:sz w:val="11"/>
        </w:rPr>
        <w:t>Other</w:t>
        <w:tab/>
        <w:t>8791</w:t>
        <w:tab/>
        <w:t>0.00</w:t>
        <w:tab/>
        <w:t>0.00</w:t>
        <w:tab/>
        <w:t>0.00</w:t>
        <w:tab/>
        <w:t>0.00</w:t>
        <w:tab/>
        <w:t>0.00</w:t>
        <w:tab/>
        <w:t>0.00</w:t>
        <w:tab/>
        <w:t>0.0%</w:t>
      </w:r>
    </w:p>
    <w:p>
      <w:pPr>
        <w:pStyle w:val="BodyText"/>
        <w:spacing w:before="10"/>
        <w:rPr>
          <w:sz w:val="9"/>
        </w:rPr>
      </w:pPr>
    </w:p>
    <w:p>
      <w:pPr>
        <w:tabs>
          <w:tab w:pos="2604" w:val="left" w:leader="none"/>
          <w:tab w:pos="3609" w:val="left" w:leader="none"/>
          <w:tab w:pos="4932" w:val="left" w:leader="none"/>
          <w:tab w:pos="6040" w:val="left" w:leader="none"/>
          <w:tab w:pos="7149" w:val="left" w:leader="none"/>
          <w:tab w:pos="8258" w:val="left" w:leader="none"/>
          <w:tab w:pos="9367" w:val="left" w:leader="none"/>
          <w:tab w:pos="10476" w:val="left" w:leader="none"/>
          <w:tab w:pos="11080" w:val="left" w:leader="none"/>
        </w:tabs>
        <w:spacing w:before="0"/>
        <w:ind w:left="0" w:right="166" w:firstLine="0"/>
        <w:jc w:val="right"/>
        <w:rPr>
          <w:sz w:val="11"/>
        </w:rPr>
      </w:pPr>
      <w:r>
        <w:rPr>
          <w:sz w:val="11"/>
        </w:rPr>
        <w:t>From</w:t>
      </w:r>
      <w:r>
        <w:rPr>
          <w:spacing w:val="2"/>
          <w:sz w:val="11"/>
        </w:rPr>
        <w:t> </w:t>
      </w:r>
      <w:r>
        <w:rPr>
          <w:sz w:val="11"/>
        </w:rPr>
        <w:t>County</w:t>
      </w:r>
      <w:r>
        <w:rPr>
          <w:spacing w:val="4"/>
          <w:sz w:val="11"/>
        </w:rPr>
        <w:t> </w:t>
      </w:r>
      <w:r>
        <w:rPr>
          <w:sz w:val="11"/>
        </w:rPr>
        <w:t>Offices</w:t>
        <w:tab/>
        <w:t>All</w:t>
      </w:r>
      <w:r>
        <w:rPr>
          <w:spacing w:val="1"/>
          <w:sz w:val="11"/>
        </w:rPr>
        <w:t> </w:t>
      </w:r>
      <w:r>
        <w:rPr>
          <w:sz w:val="11"/>
        </w:rPr>
        <w:t>Other</w:t>
        <w:tab/>
        <w:t>8792</w:t>
        <w:tab/>
        <w:t>0.00</w:t>
        <w:tab/>
        <w:t>0.00</w:t>
        <w:tab/>
        <w:t>0.00</w:t>
        <w:tab/>
        <w:t>0.00</w:t>
        <w:tab/>
        <w:t>0.00</w:t>
        <w:tab/>
        <w:t>0.00</w:t>
        <w:tab/>
      </w:r>
      <w:r>
        <w:rPr>
          <w:spacing w:val="-1"/>
          <w:sz w:val="11"/>
        </w:rPr>
        <w:t>0.0%</w:t>
      </w:r>
    </w:p>
    <w:p>
      <w:pPr>
        <w:tabs>
          <w:tab w:pos="2604" w:val="left" w:leader="none"/>
          <w:tab w:pos="3609" w:val="left" w:leader="none"/>
          <w:tab w:pos="4932" w:val="left" w:leader="none"/>
          <w:tab w:pos="6040" w:val="left" w:leader="none"/>
          <w:tab w:pos="7149" w:val="left" w:leader="none"/>
          <w:tab w:pos="8258" w:val="left" w:leader="none"/>
          <w:tab w:pos="9367" w:val="left" w:leader="none"/>
          <w:tab w:pos="10476" w:val="left" w:leader="none"/>
          <w:tab w:pos="11080" w:val="left" w:leader="none"/>
        </w:tabs>
        <w:spacing w:before="104"/>
        <w:ind w:left="0" w:right="166" w:firstLine="0"/>
        <w:jc w:val="right"/>
        <w:rPr>
          <w:sz w:val="11"/>
        </w:rPr>
      </w:pPr>
      <w:r>
        <w:rPr>
          <w:sz w:val="11"/>
        </w:rPr>
        <w:t>From</w:t>
      </w:r>
      <w:r>
        <w:rPr>
          <w:spacing w:val="1"/>
          <w:sz w:val="11"/>
        </w:rPr>
        <w:t> </w:t>
      </w:r>
      <w:r>
        <w:rPr>
          <w:sz w:val="11"/>
        </w:rPr>
        <w:t>JPAs</w:t>
        <w:tab/>
        <w:t>All</w:t>
      </w:r>
      <w:r>
        <w:rPr>
          <w:spacing w:val="1"/>
          <w:sz w:val="11"/>
        </w:rPr>
        <w:t> </w:t>
      </w:r>
      <w:r>
        <w:rPr>
          <w:sz w:val="11"/>
        </w:rPr>
        <w:t>Other</w:t>
        <w:tab/>
        <w:t>8793</w:t>
        <w:tab/>
        <w:t>0.00</w:t>
        <w:tab/>
        <w:t>0.00</w:t>
        <w:tab/>
        <w:t>0.00</w:t>
        <w:tab/>
        <w:t>0.00</w:t>
        <w:tab/>
        <w:t>0.00</w:t>
        <w:tab/>
        <w:t>0.00</w:t>
        <w:tab/>
      </w:r>
      <w:r>
        <w:rPr>
          <w:spacing w:val="-1"/>
          <w:sz w:val="11"/>
        </w:rPr>
        <w:t>0.0%</w:t>
      </w:r>
    </w:p>
    <w:p>
      <w:pPr>
        <w:tabs>
          <w:tab w:pos="3609" w:val="left" w:leader="none"/>
          <w:tab w:pos="4932" w:val="left" w:leader="none"/>
          <w:tab w:pos="6040" w:val="left" w:leader="none"/>
          <w:tab w:pos="7149" w:val="left" w:leader="none"/>
          <w:tab w:pos="8258" w:val="left" w:leader="none"/>
          <w:tab w:pos="9367" w:val="left" w:leader="none"/>
          <w:tab w:pos="10476" w:val="left" w:leader="none"/>
          <w:tab w:pos="11080" w:val="left" w:leader="none"/>
        </w:tabs>
        <w:spacing w:before="104"/>
        <w:ind w:left="0" w:right="166" w:firstLine="0"/>
        <w:jc w:val="right"/>
        <w:rPr>
          <w:sz w:val="11"/>
        </w:rPr>
      </w:pPr>
      <w:r>
        <w:rPr>
          <w:sz w:val="11"/>
        </w:rPr>
        <w:t>All Other Transfers In from</w:t>
      </w:r>
      <w:r>
        <w:rPr>
          <w:spacing w:val="16"/>
          <w:sz w:val="11"/>
        </w:rPr>
        <w:t> </w:t>
      </w:r>
      <w:r>
        <w:rPr>
          <w:sz w:val="11"/>
        </w:rPr>
        <w:t>All</w:t>
      </w:r>
      <w:r>
        <w:rPr>
          <w:spacing w:val="3"/>
          <w:sz w:val="11"/>
        </w:rPr>
        <w:t> </w:t>
      </w:r>
      <w:r>
        <w:rPr>
          <w:sz w:val="11"/>
        </w:rPr>
        <w:t>Others</w:t>
        <w:tab/>
        <w:t>8799</w:t>
        <w:tab/>
        <w:t>0.00</w:t>
        <w:tab/>
        <w:t>0.00</w:t>
        <w:tab/>
        <w:t>0.00</w:t>
        <w:tab/>
        <w:t>0.00</w:t>
        <w:tab/>
        <w:t>0.00</w:t>
        <w:tab/>
        <w:t>0.00</w:t>
        <w:tab/>
      </w:r>
      <w:r>
        <w:rPr>
          <w:spacing w:val="-1"/>
          <w:sz w:val="11"/>
        </w:rPr>
        <w:t>0.0%</w:t>
      </w:r>
    </w:p>
    <w:p>
      <w:pPr>
        <w:tabs>
          <w:tab w:pos="4983" w:val="left" w:leader="none"/>
          <w:tab w:pos="6154" w:val="left" w:leader="none"/>
          <w:tab w:pos="7200" w:val="left" w:leader="none"/>
          <w:tab w:pos="8309" w:val="left" w:leader="none"/>
          <w:tab w:pos="9480" w:val="left" w:leader="none"/>
          <w:tab w:pos="10527" w:val="left" w:leader="none"/>
          <w:tab w:pos="11475" w:val="left" w:leader="none"/>
        </w:tabs>
        <w:spacing w:before="103"/>
        <w:ind w:left="207" w:right="0" w:firstLine="0"/>
        <w:jc w:val="left"/>
        <w:rPr>
          <w:sz w:val="11"/>
        </w:rPr>
      </w:pPr>
      <w:r>
        <w:rPr>
          <w:sz w:val="11"/>
        </w:rPr>
        <w:t>TOTAL, OTHER</w:t>
      </w:r>
      <w:r>
        <w:rPr>
          <w:spacing w:val="10"/>
          <w:sz w:val="11"/>
        </w:rPr>
        <w:t> </w:t>
      </w:r>
      <w:r>
        <w:rPr>
          <w:sz w:val="11"/>
        </w:rPr>
        <w:t>LOCAL</w:t>
      </w:r>
      <w:r>
        <w:rPr>
          <w:spacing w:val="6"/>
          <w:sz w:val="11"/>
        </w:rPr>
        <w:t> </w:t>
      </w:r>
      <w:r>
        <w:rPr>
          <w:sz w:val="11"/>
        </w:rPr>
        <w:t>REVENUE</w:t>
        <w:tab/>
        <w:t>333,871.00</w:t>
        <w:tab/>
        <w:t>42,824.00</w:t>
        <w:tab/>
        <w:t>376,695.00</w:t>
        <w:tab/>
        <w:t>337,294.00</w:t>
        <w:tab/>
        <w:t>40,372.00</w:t>
        <w:tab/>
        <w:t>377,666.00</w:t>
        <w:tab/>
        <w:t>0.3%</w:t>
      </w:r>
    </w:p>
    <w:p>
      <w:pPr>
        <w:pStyle w:val="BodyText"/>
        <w:spacing w:before="7"/>
      </w:pPr>
    </w:p>
    <w:p>
      <w:pPr>
        <w:tabs>
          <w:tab w:pos="4889" w:val="left" w:leader="none"/>
          <w:tab w:pos="6091" w:val="left" w:leader="none"/>
          <w:tab w:pos="7107" w:val="left" w:leader="none"/>
          <w:tab w:pos="8215" w:val="left" w:leader="none"/>
          <w:tab w:pos="9418" w:val="left" w:leader="none"/>
          <w:tab w:pos="10433" w:val="left" w:leader="none"/>
          <w:tab w:pos="11436" w:val="left" w:leader="none"/>
        </w:tabs>
        <w:spacing w:before="99"/>
        <w:ind w:left="144" w:right="0" w:firstLine="0"/>
        <w:jc w:val="left"/>
        <w:rPr>
          <w:sz w:val="11"/>
        </w:rPr>
      </w:pPr>
      <w:r>
        <w:rPr>
          <w:sz w:val="11"/>
        </w:rPr>
        <w:t>TOTAL,</w:t>
      </w:r>
      <w:r>
        <w:rPr>
          <w:spacing w:val="4"/>
          <w:sz w:val="11"/>
        </w:rPr>
        <w:t> </w:t>
      </w:r>
      <w:r>
        <w:rPr>
          <w:sz w:val="11"/>
        </w:rPr>
        <w:t>REVENUES</w:t>
        <w:tab/>
        <w:t>1,657,529.00</w:t>
        <w:tab/>
        <w:t>626,529.00</w:t>
        <w:tab/>
        <w:t>2,284,058.00</w:t>
        <w:tab/>
        <w:t>1,727,820.00</w:t>
        <w:tab/>
        <w:t>370,913.00</w:t>
        <w:tab/>
        <w:t>2,098,733.00</w:t>
        <w:tab/>
        <w:t>-8.1%</w:t>
      </w:r>
    </w:p>
    <w:p>
      <w:pPr>
        <w:spacing w:after="0"/>
        <w:jc w:val="left"/>
        <w:rPr>
          <w:sz w:val="11"/>
        </w:rPr>
        <w:sectPr>
          <w:type w:val="continuous"/>
          <w:pgSz w:w="12240" w:h="15840"/>
          <w:pgMar w:top="1500" w:bottom="840" w:left="160" w:right="180"/>
        </w:sectPr>
      </w:pPr>
    </w:p>
    <w:p>
      <w:pPr>
        <w:pStyle w:val="BodyText"/>
        <w:spacing w:before="5"/>
        <w:rPr>
          <w:sz w:val="23"/>
        </w:rPr>
      </w:pPr>
      <w:r>
        <w:rPr/>
        <w:pict>
          <v:group style="position:absolute;margin-left:14.280001pt;margin-top:40.079998pt;width:581.3pt;height:593.3pt;mso-position-horizontal-relative:page;mso-position-vertical-relative:page;z-index:-314613760" coordorigin="286,802" coordsize="11626,11866">
            <v:shape style="position:absolute;left:285;top:801;width:11626;height:168" type="#_x0000_t75" stroked="false">
              <v:imagedata r:id="rId83" o:title=""/>
            </v:shape>
            <v:shape style="position:absolute;left:285;top:964;width:2542;height:507" type="#_x0000_t75" stroked="false">
              <v:imagedata r:id="rId84" o:title=""/>
            </v:shape>
            <v:shape style="position:absolute;left:2824;top:832;width:9087;height:639" type="#_x0000_t75" stroked="false">
              <v:imagedata r:id="rId85" o:title=""/>
            </v:shape>
            <v:shape style="position:absolute;left:9084;top:964;width:2828;height:1116" type="#_x0000_t75" stroked="false">
              <v:imagedata r:id="rId271" o:title=""/>
            </v:shape>
            <v:shape style="position:absolute;left:4648;top:1466;width:7263;height:845" type="#_x0000_t75" stroked="false">
              <v:imagedata r:id="rId272" o:title=""/>
            </v:shape>
            <v:shape style="position:absolute;left:4648;top:2078;width:7263;height:464" type="#_x0000_t75" stroked="false">
              <v:imagedata r:id="rId273" o:title=""/>
            </v:shape>
            <v:shape style="position:absolute;left:285;top:1466;width:2542;height:1536" type="#_x0000_t75" stroked="false">
              <v:imagedata r:id="rId274" o:title=""/>
            </v:shape>
            <v:shape style="position:absolute;left:4648;top:2308;width:7263;height:464" type="#_x0000_t75" stroked="false">
              <v:imagedata r:id="rId220" o:title=""/>
            </v:shape>
            <v:shape style="position:absolute;left:2824;top:2539;width:9087;height:1076" type="#_x0000_t75" stroked="false">
              <v:imagedata r:id="rId275" o:title=""/>
            </v:shape>
            <v:shape style="position:absolute;left:4648;top:3381;width:7263;height:464" type="#_x0000_t75" stroked="false">
              <v:imagedata r:id="rId267" o:title=""/>
            </v:shape>
            <v:shape style="position:absolute;left:4648;top:3612;width:7263;height:464" type="#_x0000_t75" stroked="false">
              <v:imagedata r:id="rId273" o:title=""/>
            </v:shape>
            <v:shape style="position:absolute;left:285;top:3000;width:2542;height:1767" type="#_x0000_t75" stroked="false">
              <v:imagedata r:id="rId276" o:title=""/>
            </v:shape>
            <v:shape style="position:absolute;left:4648;top:3842;width:7263;height:464" type="#_x0000_t75" stroked="false">
              <v:imagedata r:id="rId273" o:title=""/>
            </v:shape>
            <v:shape style="position:absolute;left:4648;top:4072;width:7263;height:464" type="#_x0000_t75" stroked="false">
              <v:imagedata r:id="rId220" o:title=""/>
            </v:shape>
            <v:shape style="position:absolute;left:2824;top:4303;width:9087;height:1076" type="#_x0000_t75" stroked="false">
              <v:imagedata r:id="rId275" o:title=""/>
            </v:shape>
            <v:shape style="position:absolute;left:4648;top:5145;width:7263;height:464" type="#_x0000_t75" stroked="false">
              <v:imagedata r:id="rId267" o:title=""/>
            </v:shape>
            <v:shape style="position:absolute;left:4648;top:5376;width:7263;height:464" type="#_x0000_t75" stroked="false">
              <v:imagedata r:id="rId273" o:title=""/>
            </v:shape>
            <v:shape style="position:absolute;left:4648;top:5606;width:7263;height:464" type="#_x0000_t75" stroked="false">
              <v:imagedata r:id="rId273" o:title=""/>
            </v:shape>
            <v:shape style="position:absolute;left:4648;top:5836;width:7263;height:464" type="#_x0000_t75" stroked="false">
              <v:imagedata r:id="rId273" o:title=""/>
            </v:shape>
            <v:shape style="position:absolute;left:285;top:4764;width:2542;height:2688" type="#_x0000_t75" stroked="false">
              <v:imagedata r:id="rId277" o:title=""/>
            </v:shape>
            <v:shape style="position:absolute;left:4648;top:6067;width:7263;height:464" type="#_x0000_t75" stroked="false">
              <v:imagedata r:id="rId273" o:title=""/>
            </v:shape>
            <v:shape style="position:absolute;left:4648;top:6297;width:7263;height:694" type="#_x0000_t75" stroked="false">
              <v:imagedata r:id="rId278" o:title=""/>
            </v:shape>
            <v:shape style="position:absolute;left:4648;top:6758;width:7263;height:464" type="#_x0000_t75" stroked="false">
              <v:imagedata r:id="rId279" o:title=""/>
            </v:shape>
            <v:shape style="position:absolute;left:2824;top:6988;width:9087;height:464" type="#_x0000_t75" stroked="false">
              <v:imagedata r:id="rId280" o:title=""/>
            </v:shape>
            <v:shape style="position:absolute;left:5757;top:7219;width:6154;height:845" type="#_x0000_t75" stroked="false">
              <v:imagedata r:id="rId281" o:title=""/>
            </v:shape>
            <v:shape style="position:absolute;left:4648;top:7449;width:7263;height:845" type="#_x0000_t75" stroked="false">
              <v:imagedata r:id="rId282" o:title=""/>
            </v:shape>
            <v:shape style="position:absolute;left:4648;top:8061;width:7263;height:464" type="#_x0000_t75" stroked="false">
              <v:imagedata r:id="rId273" o:title=""/>
            </v:shape>
            <v:shape style="position:absolute;left:285;top:7449;width:2542;height:1767" type="#_x0000_t75" stroked="false">
              <v:imagedata r:id="rId276" o:title=""/>
            </v:shape>
            <v:shape style="position:absolute;left:4648;top:8292;width:7263;height:464" type="#_x0000_t75" stroked="false">
              <v:imagedata r:id="rId273" o:title=""/>
            </v:shape>
            <v:shape style="position:absolute;left:4648;top:8522;width:7263;height:464" type="#_x0000_t75" stroked="false">
              <v:imagedata r:id="rId283" o:title=""/>
            </v:shape>
            <v:shape style="position:absolute;left:2824;top:8752;width:9087;height:996" type="#_x0000_t75" stroked="false">
              <v:imagedata r:id="rId284" o:title=""/>
            </v:shape>
            <v:shape style="position:absolute;left:5757;top:9595;width:6154;height:384" type="#_x0000_t75" stroked="false">
              <v:imagedata r:id="rId258" o:title=""/>
            </v:shape>
            <v:shape style="position:absolute;left:4648;top:9746;width:7263;height:464" type="#_x0000_t75" stroked="false">
              <v:imagedata r:id="rId259" o:title=""/>
            </v:shape>
            <v:shape style="position:absolute;left:4648;top:9976;width:7263;height:464" type="#_x0000_t75" stroked="false">
              <v:imagedata r:id="rId220" o:title=""/>
            </v:shape>
            <v:shape style="position:absolute;left:4648;top:10207;width:7263;height:996" type="#_x0000_t75" stroked="false">
              <v:imagedata r:id="rId285" o:title=""/>
            </v:shape>
            <v:shape style="position:absolute;left:4648;top:11049;width:7263;height:394" type="#_x0000_t75" stroked="false">
              <v:imagedata r:id="rId286" o:title=""/>
            </v:shape>
            <v:shape style="position:absolute;left:285;top:9213;width:2542;height:3454" type="#_x0000_t75" stroked="false">
              <v:imagedata r:id="rId287" o:title=""/>
            </v:shape>
            <v:shape style="position:absolute;left:4648;top:11210;width:7263;height:464" type="#_x0000_t75" stroked="false">
              <v:imagedata r:id="rId288" o:title=""/>
            </v:shape>
            <v:shape style="position:absolute;left:4648;top:11440;width:7263;height:615" type="#_x0000_t75" stroked="false">
              <v:imagedata r:id="rId289" o:title=""/>
            </v:shape>
            <v:shape style="position:absolute;left:4648;top:11901;width:7263;height:384" type="#_x0000_t75" stroked="false">
              <v:imagedata r:id="rId290" o:title=""/>
            </v:shape>
            <v:shape style="position:absolute;left:2824;top:12052;width:9087;height:615" type="#_x0000_t75" stroked="false">
              <v:imagedata r:id="rId291" o:title=""/>
            </v:shape>
            <v:shape style="position:absolute;left:5757;top:12513;width:6154;height:154" type="#_x0000_t75" stroked="false">
              <v:imagedata r:id="rId292" o:title=""/>
            </v:shape>
            <w10:wrap type="none"/>
          </v:group>
        </w:pict>
      </w:r>
    </w:p>
    <w:tbl>
      <w:tblPr>
        <w:tblW w:w="0" w:type="auto"/>
        <w:jc w:val="left"/>
        <w:tblInd w:w="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55"/>
        <w:gridCol w:w="1629"/>
        <w:gridCol w:w="772"/>
        <w:gridCol w:w="838"/>
        <w:gridCol w:w="407"/>
        <w:gridCol w:w="1100"/>
        <w:gridCol w:w="984"/>
        <w:gridCol w:w="1064"/>
        <w:gridCol w:w="1172"/>
        <w:gridCol w:w="1023"/>
        <w:gridCol w:w="596"/>
      </w:tblGrid>
      <w:tr>
        <w:trPr>
          <w:trHeight w:val="498" w:hRule="atLeast"/>
        </w:trPr>
        <w:tc>
          <w:tcPr>
            <w:tcW w:w="3684" w:type="dxa"/>
            <w:gridSpan w:val="2"/>
          </w:tcPr>
          <w:p>
            <w:pPr>
              <w:pStyle w:val="TableParagraph"/>
              <w:rPr>
                <w:rFonts w:ascii="Times New Roman"/>
                <w:sz w:val="10"/>
              </w:rPr>
            </w:pPr>
          </w:p>
        </w:tc>
        <w:tc>
          <w:tcPr>
            <w:tcW w:w="772" w:type="dxa"/>
          </w:tcPr>
          <w:p>
            <w:pPr>
              <w:pStyle w:val="TableParagraph"/>
              <w:rPr>
                <w:sz w:val="12"/>
              </w:rPr>
            </w:pPr>
          </w:p>
          <w:p>
            <w:pPr>
              <w:pStyle w:val="TableParagraph"/>
              <w:rPr>
                <w:sz w:val="12"/>
              </w:rPr>
            </w:pPr>
          </w:p>
          <w:p>
            <w:pPr>
              <w:pStyle w:val="TableParagraph"/>
              <w:spacing w:line="110" w:lineRule="exact" w:before="92"/>
              <w:ind w:left="152"/>
              <w:rPr>
                <w:b/>
                <w:sz w:val="11"/>
              </w:rPr>
            </w:pPr>
            <w:r>
              <w:rPr>
                <w:b/>
                <w:sz w:val="11"/>
              </w:rPr>
              <w:t>Object</w:t>
            </w:r>
          </w:p>
        </w:tc>
        <w:tc>
          <w:tcPr>
            <w:tcW w:w="838" w:type="dxa"/>
          </w:tcPr>
          <w:p>
            <w:pPr>
              <w:pStyle w:val="TableParagraph"/>
              <w:rPr>
                <w:sz w:val="12"/>
              </w:rPr>
            </w:pPr>
          </w:p>
          <w:p>
            <w:pPr>
              <w:pStyle w:val="TableParagraph"/>
              <w:rPr>
                <w:sz w:val="12"/>
              </w:rPr>
            </w:pPr>
          </w:p>
          <w:p>
            <w:pPr>
              <w:pStyle w:val="TableParagraph"/>
              <w:spacing w:line="110" w:lineRule="exact" w:before="92"/>
              <w:ind w:left="130" w:right="19"/>
              <w:jc w:val="center"/>
              <w:rPr>
                <w:b/>
                <w:sz w:val="11"/>
              </w:rPr>
            </w:pPr>
            <w:r>
              <w:rPr>
                <w:b/>
                <w:sz w:val="11"/>
              </w:rPr>
              <w:t>Unrestricted</w:t>
            </w:r>
          </w:p>
        </w:tc>
        <w:tc>
          <w:tcPr>
            <w:tcW w:w="1507" w:type="dxa"/>
            <w:gridSpan w:val="2"/>
          </w:tcPr>
          <w:p>
            <w:pPr>
              <w:pStyle w:val="TableParagraph"/>
              <w:spacing w:line="125" w:lineRule="exact"/>
              <w:ind w:left="31" w:right="48"/>
              <w:jc w:val="center"/>
              <w:rPr>
                <w:b/>
                <w:sz w:val="11"/>
              </w:rPr>
            </w:pPr>
            <w:r>
              <w:rPr>
                <w:b/>
                <w:sz w:val="11"/>
              </w:rPr>
              <w:t>2020-21 Estimated Actuals</w:t>
            </w:r>
          </w:p>
          <w:p>
            <w:pPr>
              <w:pStyle w:val="TableParagraph"/>
              <w:rPr>
                <w:sz w:val="12"/>
              </w:rPr>
            </w:pPr>
          </w:p>
          <w:p>
            <w:pPr>
              <w:pStyle w:val="TableParagraph"/>
              <w:spacing w:line="110" w:lineRule="exact" w:before="105"/>
              <w:ind w:left="31" w:right="45"/>
              <w:jc w:val="center"/>
              <w:rPr>
                <w:b/>
                <w:sz w:val="11"/>
              </w:rPr>
            </w:pPr>
            <w:r>
              <w:rPr>
                <w:b/>
                <w:sz w:val="11"/>
              </w:rPr>
              <w:t>Restricted</w:t>
            </w:r>
          </w:p>
        </w:tc>
        <w:tc>
          <w:tcPr>
            <w:tcW w:w="984" w:type="dxa"/>
          </w:tcPr>
          <w:p>
            <w:pPr>
              <w:pStyle w:val="TableParagraph"/>
              <w:rPr>
                <w:sz w:val="12"/>
              </w:rPr>
            </w:pPr>
          </w:p>
          <w:p>
            <w:pPr>
              <w:pStyle w:val="TableParagraph"/>
              <w:spacing w:line="130" w:lineRule="atLeast" w:before="95"/>
              <w:ind w:left="91" w:right="197" w:hanging="36"/>
              <w:rPr>
                <w:b/>
                <w:sz w:val="11"/>
              </w:rPr>
            </w:pPr>
            <w:r>
              <w:rPr>
                <w:b/>
                <w:sz w:val="11"/>
              </w:rPr>
              <w:t>Total Fund col. A + B</w:t>
            </w:r>
          </w:p>
        </w:tc>
        <w:tc>
          <w:tcPr>
            <w:tcW w:w="1064" w:type="dxa"/>
          </w:tcPr>
          <w:p>
            <w:pPr>
              <w:pStyle w:val="TableParagraph"/>
              <w:rPr>
                <w:sz w:val="12"/>
              </w:rPr>
            </w:pPr>
          </w:p>
          <w:p>
            <w:pPr>
              <w:pStyle w:val="TableParagraph"/>
              <w:rPr>
                <w:sz w:val="12"/>
              </w:rPr>
            </w:pPr>
          </w:p>
          <w:p>
            <w:pPr>
              <w:pStyle w:val="TableParagraph"/>
              <w:spacing w:line="110" w:lineRule="exact" w:before="92"/>
              <w:ind w:left="141"/>
              <w:rPr>
                <w:b/>
                <w:sz w:val="11"/>
              </w:rPr>
            </w:pPr>
            <w:r>
              <w:rPr>
                <w:b/>
                <w:sz w:val="11"/>
              </w:rPr>
              <w:t>Unrestricted</w:t>
            </w:r>
          </w:p>
        </w:tc>
        <w:tc>
          <w:tcPr>
            <w:tcW w:w="1172" w:type="dxa"/>
          </w:tcPr>
          <w:p>
            <w:pPr>
              <w:pStyle w:val="TableParagraph"/>
              <w:spacing w:line="125" w:lineRule="exact"/>
              <w:ind w:left="88" w:right="229"/>
              <w:jc w:val="center"/>
              <w:rPr>
                <w:b/>
                <w:sz w:val="11"/>
              </w:rPr>
            </w:pPr>
            <w:r>
              <w:rPr>
                <w:b/>
                <w:sz w:val="11"/>
              </w:rPr>
              <w:t>2021-22 Budget</w:t>
            </w:r>
          </w:p>
          <w:p>
            <w:pPr>
              <w:pStyle w:val="TableParagraph"/>
              <w:rPr>
                <w:sz w:val="12"/>
              </w:rPr>
            </w:pPr>
          </w:p>
          <w:p>
            <w:pPr>
              <w:pStyle w:val="TableParagraph"/>
              <w:spacing w:line="110" w:lineRule="exact" w:before="105"/>
              <w:ind w:left="88" w:right="224"/>
              <w:jc w:val="center"/>
              <w:rPr>
                <w:b/>
                <w:sz w:val="11"/>
              </w:rPr>
            </w:pPr>
            <w:r>
              <w:rPr>
                <w:b/>
                <w:sz w:val="11"/>
              </w:rPr>
              <w:t>Restricted</w:t>
            </w:r>
          </w:p>
        </w:tc>
        <w:tc>
          <w:tcPr>
            <w:tcW w:w="1023" w:type="dxa"/>
          </w:tcPr>
          <w:p>
            <w:pPr>
              <w:pStyle w:val="TableParagraph"/>
              <w:rPr>
                <w:sz w:val="12"/>
              </w:rPr>
            </w:pPr>
          </w:p>
          <w:p>
            <w:pPr>
              <w:pStyle w:val="TableParagraph"/>
              <w:spacing w:line="130" w:lineRule="atLeast" w:before="95"/>
              <w:ind w:left="199" w:right="131" w:hanging="39"/>
              <w:rPr>
                <w:b/>
                <w:sz w:val="11"/>
              </w:rPr>
            </w:pPr>
            <w:r>
              <w:rPr>
                <w:b/>
                <w:sz w:val="11"/>
              </w:rPr>
              <w:t>Total Fund col. D + E</w:t>
            </w:r>
          </w:p>
        </w:tc>
        <w:tc>
          <w:tcPr>
            <w:tcW w:w="596" w:type="dxa"/>
          </w:tcPr>
          <w:p>
            <w:pPr>
              <w:pStyle w:val="TableParagraph"/>
              <w:rPr>
                <w:sz w:val="12"/>
              </w:rPr>
            </w:pPr>
          </w:p>
          <w:p>
            <w:pPr>
              <w:pStyle w:val="TableParagraph"/>
              <w:spacing w:line="130" w:lineRule="atLeast" w:before="95"/>
              <w:ind w:left="76" w:right="90" w:firstLine="50"/>
              <w:rPr>
                <w:b/>
                <w:sz w:val="11"/>
              </w:rPr>
            </w:pPr>
            <w:r>
              <w:rPr>
                <w:b/>
                <w:sz w:val="11"/>
              </w:rPr>
              <w:t>% Diff Column</w:t>
            </w:r>
          </w:p>
        </w:tc>
      </w:tr>
      <w:tr>
        <w:trPr>
          <w:trHeight w:val="181" w:hRule="atLeast"/>
        </w:trPr>
        <w:tc>
          <w:tcPr>
            <w:tcW w:w="2055" w:type="dxa"/>
          </w:tcPr>
          <w:p>
            <w:pPr>
              <w:pStyle w:val="TableParagraph"/>
              <w:spacing w:before="2"/>
              <w:ind w:left="28"/>
              <w:rPr>
                <w:b/>
                <w:sz w:val="11"/>
              </w:rPr>
            </w:pPr>
            <w:r>
              <w:rPr>
                <w:b/>
                <w:sz w:val="11"/>
              </w:rPr>
              <w:t>Description</w:t>
            </w:r>
          </w:p>
        </w:tc>
        <w:tc>
          <w:tcPr>
            <w:tcW w:w="1629" w:type="dxa"/>
          </w:tcPr>
          <w:p>
            <w:pPr>
              <w:pStyle w:val="TableParagraph"/>
              <w:spacing w:before="2"/>
              <w:ind w:left="601"/>
              <w:rPr>
                <w:b/>
                <w:sz w:val="11"/>
              </w:rPr>
            </w:pPr>
            <w:r>
              <w:rPr>
                <w:b/>
                <w:sz w:val="11"/>
              </w:rPr>
              <w:t>Resource Codes</w:t>
            </w:r>
          </w:p>
        </w:tc>
        <w:tc>
          <w:tcPr>
            <w:tcW w:w="772" w:type="dxa"/>
          </w:tcPr>
          <w:p>
            <w:pPr>
              <w:pStyle w:val="TableParagraph"/>
              <w:spacing w:before="2"/>
              <w:ind w:left="157"/>
              <w:rPr>
                <w:b/>
                <w:sz w:val="11"/>
              </w:rPr>
            </w:pPr>
            <w:r>
              <w:rPr>
                <w:b/>
                <w:sz w:val="11"/>
              </w:rPr>
              <w:t>Codes</w:t>
            </w:r>
          </w:p>
        </w:tc>
        <w:tc>
          <w:tcPr>
            <w:tcW w:w="838" w:type="dxa"/>
          </w:tcPr>
          <w:p>
            <w:pPr>
              <w:pStyle w:val="TableParagraph"/>
              <w:spacing w:before="2"/>
              <w:ind w:left="127" w:right="19"/>
              <w:jc w:val="center"/>
              <w:rPr>
                <w:b/>
                <w:sz w:val="11"/>
              </w:rPr>
            </w:pPr>
            <w:r>
              <w:rPr>
                <w:b/>
                <w:sz w:val="11"/>
              </w:rPr>
              <w:t>(A)</w:t>
            </w:r>
          </w:p>
        </w:tc>
        <w:tc>
          <w:tcPr>
            <w:tcW w:w="1507" w:type="dxa"/>
            <w:gridSpan w:val="2"/>
          </w:tcPr>
          <w:p>
            <w:pPr>
              <w:pStyle w:val="TableParagraph"/>
              <w:spacing w:before="2"/>
              <w:ind w:left="31" w:right="44"/>
              <w:jc w:val="center"/>
              <w:rPr>
                <w:b/>
                <w:sz w:val="11"/>
              </w:rPr>
            </w:pPr>
            <w:r>
              <w:rPr>
                <w:b/>
                <w:sz w:val="11"/>
              </w:rPr>
              <w:t>(B)</w:t>
            </w:r>
          </w:p>
        </w:tc>
        <w:tc>
          <w:tcPr>
            <w:tcW w:w="984" w:type="dxa"/>
          </w:tcPr>
          <w:p>
            <w:pPr>
              <w:pStyle w:val="TableParagraph"/>
              <w:spacing w:before="2"/>
              <w:ind w:left="268"/>
              <w:rPr>
                <w:b/>
                <w:sz w:val="11"/>
              </w:rPr>
            </w:pPr>
            <w:r>
              <w:rPr>
                <w:b/>
                <w:sz w:val="11"/>
              </w:rPr>
              <w:t>(C)</w:t>
            </w:r>
          </w:p>
        </w:tc>
        <w:tc>
          <w:tcPr>
            <w:tcW w:w="1064" w:type="dxa"/>
          </w:tcPr>
          <w:p>
            <w:pPr>
              <w:pStyle w:val="TableParagraph"/>
              <w:spacing w:before="2"/>
              <w:ind w:left="364" w:right="480"/>
              <w:jc w:val="center"/>
              <w:rPr>
                <w:b/>
                <w:sz w:val="11"/>
              </w:rPr>
            </w:pPr>
            <w:r>
              <w:rPr>
                <w:b/>
                <w:sz w:val="11"/>
              </w:rPr>
              <w:t>(D)</w:t>
            </w:r>
          </w:p>
        </w:tc>
        <w:tc>
          <w:tcPr>
            <w:tcW w:w="1172" w:type="dxa"/>
          </w:tcPr>
          <w:p>
            <w:pPr>
              <w:pStyle w:val="TableParagraph"/>
              <w:spacing w:before="2"/>
              <w:ind w:left="88" w:right="226"/>
              <w:jc w:val="center"/>
              <w:rPr>
                <w:b/>
                <w:sz w:val="11"/>
              </w:rPr>
            </w:pPr>
            <w:r>
              <w:rPr>
                <w:b/>
                <w:sz w:val="11"/>
              </w:rPr>
              <w:t>(E)</w:t>
            </w:r>
          </w:p>
        </w:tc>
        <w:tc>
          <w:tcPr>
            <w:tcW w:w="1023" w:type="dxa"/>
          </w:tcPr>
          <w:p>
            <w:pPr>
              <w:pStyle w:val="TableParagraph"/>
              <w:spacing w:before="2"/>
              <w:ind w:left="9" w:right="124"/>
              <w:jc w:val="center"/>
              <w:rPr>
                <w:b/>
                <w:sz w:val="11"/>
              </w:rPr>
            </w:pPr>
            <w:r>
              <w:rPr>
                <w:b/>
                <w:sz w:val="11"/>
              </w:rPr>
              <w:t>(F)</w:t>
            </w:r>
          </w:p>
        </w:tc>
        <w:tc>
          <w:tcPr>
            <w:tcW w:w="596" w:type="dxa"/>
          </w:tcPr>
          <w:p>
            <w:pPr>
              <w:pStyle w:val="TableParagraph"/>
              <w:spacing w:before="2"/>
              <w:ind w:left="139"/>
              <w:rPr>
                <w:b/>
                <w:sz w:val="11"/>
              </w:rPr>
            </w:pPr>
            <w:r>
              <w:rPr>
                <w:b/>
                <w:sz w:val="11"/>
              </w:rPr>
              <w:t>C &amp; F</w:t>
            </w:r>
          </w:p>
        </w:tc>
      </w:tr>
      <w:tr>
        <w:trPr>
          <w:trHeight w:val="178" w:hRule="atLeast"/>
        </w:trPr>
        <w:tc>
          <w:tcPr>
            <w:tcW w:w="2055" w:type="dxa"/>
          </w:tcPr>
          <w:p>
            <w:pPr>
              <w:pStyle w:val="TableParagraph"/>
              <w:spacing w:line="107" w:lineRule="exact" w:before="51"/>
              <w:ind w:left="28"/>
              <w:rPr>
                <w:b/>
                <w:sz w:val="11"/>
              </w:rPr>
            </w:pPr>
            <w:r>
              <w:rPr>
                <w:b/>
                <w:sz w:val="11"/>
              </w:rPr>
              <w:t>CERTIFICATED SALARIES</w:t>
            </w:r>
          </w:p>
        </w:tc>
        <w:tc>
          <w:tcPr>
            <w:tcW w:w="1629" w:type="dxa"/>
          </w:tcPr>
          <w:p>
            <w:pPr>
              <w:pStyle w:val="TableParagraph"/>
              <w:rPr>
                <w:rFonts w:ascii="Times New Roman"/>
                <w:sz w:val="10"/>
              </w:rPr>
            </w:pPr>
          </w:p>
        </w:tc>
        <w:tc>
          <w:tcPr>
            <w:tcW w:w="772" w:type="dxa"/>
          </w:tcPr>
          <w:p>
            <w:pPr>
              <w:pStyle w:val="TableParagraph"/>
              <w:rPr>
                <w:rFonts w:ascii="Times New Roman"/>
                <w:sz w:val="10"/>
              </w:rPr>
            </w:pPr>
          </w:p>
        </w:tc>
        <w:tc>
          <w:tcPr>
            <w:tcW w:w="838" w:type="dxa"/>
          </w:tcPr>
          <w:p>
            <w:pPr>
              <w:pStyle w:val="TableParagraph"/>
              <w:rPr>
                <w:rFonts w:ascii="Times New Roman"/>
                <w:sz w:val="10"/>
              </w:rPr>
            </w:pPr>
          </w:p>
        </w:tc>
        <w:tc>
          <w:tcPr>
            <w:tcW w:w="1507" w:type="dxa"/>
            <w:gridSpan w:val="2"/>
          </w:tcPr>
          <w:p>
            <w:pPr>
              <w:pStyle w:val="TableParagraph"/>
              <w:rPr>
                <w:rFonts w:ascii="Times New Roman"/>
                <w:sz w:val="10"/>
              </w:rPr>
            </w:pPr>
          </w:p>
        </w:tc>
        <w:tc>
          <w:tcPr>
            <w:tcW w:w="984" w:type="dxa"/>
          </w:tcPr>
          <w:p>
            <w:pPr>
              <w:pStyle w:val="TableParagraph"/>
              <w:rPr>
                <w:rFonts w:ascii="Times New Roman"/>
                <w:sz w:val="10"/>
              </w:rPr>
            </w:pPr>
          </w:p>
        </w:tc>
        <w:tc>
          <w:tcPr>
            <w:tcW w:w="1064" w:type="dxa"/>
          </w:tcPr>
          <w:p>
            <w:pPr>
              <w:pStyle w:val="TableParagraph"/>
              <w:rPr>
                <w:rFonts w:ascii="Times New Roman"/>
                <w:sz w:val="10"/>
              </w:rPr>
            </w:pPr>
          </w:p>
        </w:tc>
        <w:tc>
          <w:tcPr>
            <w:tcW w:w="1172" w:type="dxa"/>
          </w:tcPr>
          <w:p>
            <w:pPr>
              <w:pStyle w:val="TableParagraph"/>
              <w:rPr>
                <w:rFonts w:ascii="Times New Roman"/>
                <w:sz w:val="10"/>
              </w:rPr>
            </w:pPr>
          </w:p>
        </w:tc>
        <w:tc>
          <w:tcPr>
            <w:tcW w:w="1023" w:type="dxa"/>
          </w:tcPr>
          <w:p>
            <w:pPr>
              <w:pStyle w:val="TableParagraph"/>
              <w:rPr>
                <w:rFonts w:ascii="Times New Roman"/>
                <w:sz w:val="10"/>
              </w:rPr>
            </w:pPr>
          </w:p>
        </w:tc>
        <w:tc>
          <w:tcPr>
            <w:tcW w:w="596" w:type="dxa"/>
          </w:tcPr>
          <w:p>
            <w:pPr>
              <w:pStyle w:val="TableParagraph"/>
              <w:rPr>
                <w:rFonts w:ascii="Times New Roman"/>
                <w:sz w:val="10"/>
              </w:rPr>
            </w:pPr>
          </w:p>
        </w:tc>
      </w:tr>
      <w:tr>
        <w:trPr>
          <w:trHeight w:val="436" w:hRule="atLeast"/>
        </w:trPr>
        <w:tc>
          <w:tcPr>
            <w:tcW w:w="4456" w:type="dxa"/>
            <w:gridSpan w:val="3"/>
          </w:tcPr>
          <w:p>
            <w:pPr>
              <w:pStyle w:val="TableParagraph"/>
              <w:tabs>
                <w:tab w:pos="4137" w:val="right" w:leader="none"/>
              </w:tabs>
              <w:spacing w:before="257"/>
              <w:ind w:left="90"/>
              <w:rPr>
                <w:sz w:val="11"/>
              </w:rPr>
            </w:pPr>
            <w:r>
              <w:rPr>
                <w:sz w:val="11"/>
              </w:rPr>
              <w:t>Certificated Teachers'</w:t>
            </w:r>
            <w:r>
              <w:rPr>
                <w:spacing w:val="-1"/>
                <w:sz w:val="11"/>
              </w:rPr>
              <w:t> </w:t>
            </w:r>
            <w:r>
              <w:rPr>
                <w:sz w:val="11"/>
              </w:rPr>
              <w:t>Salaries</w:t>
              <w:tab/>
              <w:t>1100</w:t>
            </w:r>
          </w:p>
        </w:tc>
        <w:tc>
          <w:tcPr>
            <w:tcW w:w="1245" w:type="dxa"/>
            <w:gridSpan w:val="2"/>
          </w:tcPr>
          <w:p>
            <w:pPr>
              <w:pStyle w:val="TableParagraph"/>
              <w:rPr>
                <w:sz w:val="12"/>
              </w:rPr>
            </w:pPr>
          </w:p>
          <w:p>
            <w:pPr>
              <w:pStyle w:val="TableParagraph"/>
              <w:spacing w:before="3"/>
              <w:rPr>
                <w:sz w:val="10"/>
              </w:rPr>
            </w:pPr>
          </w:p>
          <w:p>
            <w:pPr>
              <w:pStyle w:val="TableParagraph"/>
              <w:spacing w:before="1"/>
              <w:ind w:left="410"/>
              <w:rPr>
                <w:sz w:val="11"/>
              </w:rPr>
            </w:pPr>
            <w:r>
              <w:rPr>
                <w:sz w:val="11"/>
              </w:rPr>
              <w:t>321,456.00</w:t>
            </w:r>
          </w:p>
        </w:tc>
        <w:tc>
          <w:tcPr>
            <w:tcW w:w="1100" w:type="dxa"/>
          </w:tcPr>
          <w:p>
            <w:pPr>
              <w:pStyle w:val="TableParagraph"/>
              <w:rPr>
                <w:sz w:val="12"/>
              </w:rPr>
            </w:pPr>
          </w:p>
          <w:p>
            <w:pPr>
              <w:pStyle w:val="TableParagraph"/>
              <w:spacing w:before="3"/>
              <w:rPr>
                <w:sz w:val="10"/>
              </w:rPr>
            </w:pPr>
          </w:p>
          <w:p>
            <w:pPr>
              <w:pStyle w:val="TableParagraph"/>
              <w:spacing w:before="1"/>
              <w:ind w:right="262"/>
              <w:jc w:val="right"/>
              <w:rPr>
                <w:sz w:val="11"/>
              </w:rPr>
            </w:pPr>
            <w:r>
              <w:rPr>
                <w:sz w:val="11"/>
              </w:rPr>
              <w:t>20,721.00</w:t>
            </w:r>
          </w:p>
        </w:tc>
        <w:tc>
          <w:tcPr>
            <w:tcW w:w="984" w:type="dxa"/>
          </w:tcPr>
          <w:p>
            <w:pPr>
              <w:pStyle w:val="TableParagraph"/>
              <w:rPr>
                <w:sz w:val="12"/>
              </w:rPr>
            </w:pPr>
          </w:p>
          <w:p>
            <w:pPr>
              <w:pStyle w:val="TableParagraph"/>
              <w:spacing w:before="3"/>
              <w:rPr>
                <w:sz w:val="10"/>
              </w:rPr>
            </w:pPr>
          </w:p>
          <w:p>
            <w:pPr>
              <w:pStyle w:val="TableParagraph"/>
              <w:spacing w:before="1"/>
              <w:ind w:right="137"/>
              <w:jc w:val="right"/>
              <w:rPr>
                <w:sz w:val="11"/>
              </w:rPr>
            </w:pPr>
            <w:r>
              <w:rPr>
                <w:sz w:val="11"/>
              </w:rPr>
              <w:t>342,177.00</w:t>
            </w:r>
          </w:p>
        </w:tc>
        <w:tc>
          <w:tcPr>
            <w:tcW w:w="1064" w:type="dxa"/>
          </w:tcPr>
          <w:p>
            <w:pPr>
              <w:pStyle w:val="TableParagraph"/>
              <w:rPr>
                <w:sz w:val="12"/>
              </w:rPr>
            </w:pPr>
          </w:p>
          <w:p>
            <w:pPr>
              <w:pStyle w:val="TableParagraph"/>
              <w:spacing w:before="3"/>
              <w:rPr>
                <w:sz w:val="10"/>
              </w:rPr>
            </w:pPr>
          </w:p>
          <w:p>
            <w:pPr>
              <w:pStyle w:val="TableParagraph"/>
              <w:spacing w:before="1"/>
              <w:ind w:right="92"/>
              <w:jc w:val="right"/>
              <w:rPr>
                <w:sz w:val="11"/>
              </w:rPr>
            </w:pPr>
            <w:r>
              <w:rPr>
                <w:sz w:val="11"/>
              </w:rPr>
              <w:t>365,082.00</w:t>
            </w:r>
          </w:p>
        </w:tc>
        <w:tc>
          <w:tcPr>
            <w:tcW w:w="1172" w:type="dxa"/>
          </w:tcPr>
          <w:p>
            <w:pPr>
              <w:pStyle w:val="TableParagraph"/>
              <w:rPr>
                <w:sz w:val="12"/>
              </w:rPr>
            </w:pPr>
          </w:p>
          <w:p>
            <w:pPr>
              <w:pStyle w:val="TableParagraph"/>
              <w:spacing w:before="3"/>
              <w:rPr>
                <w:sz w:val="10"/>
              </w:rPr>
            </w:pPr>
          </w:p>
          <w:p>
            <w:pPr>
              <w:pStyle w:val="TableParagraph"/>
              <w:spacing w:before="1"/>
              <w:ind w:right="156"/>
              <w:jc w:val="right"/>
              <w:rPr>
                <w:sz w:val="11"/>
              </w:rPr>
            </w:pPr>
            <w:r>
              <w:rPr>
                <w:sz w:val="11"/>
              </w:rPr>
              <w:t>85,930.00</w:t>
            </w:r>
          </w:p>
        </w:tc>
        <w:tc>
          <w:tcPr>
            <w:tcW w:w="1023" w:type="dxa"/>
          </w:tcPr>
          <w:p>
            <w:pPr>
              <w:pStyle w:val="TableParagraph"/>
              <w:rPr>
                <w:sz w:val="12"/>
              </w:rPr>
            </w:pPr>
          </w:p>
          <w:p>
            <w:pPr>
              <w:pStyle w:val="TableParagraph"/>
              <w:spacing w:before="3"/>
              <w:rPr>
                <w:sz w:val="10"/>
              </w:rPr>
            </w:pPr>
          </w:p>
          <w:p>
            <w:pPr>
              <w:pStyle w:val="TableParagraph"/>
              <w:spacing w:before="1"/>
              <w:ind w:right="70"/>
              <w:jc w:val="right"/>
              <w:rPr>
                <w:sz w:val="11"/>
              </w:rPr>
            </w:pPr>
            <w:r>
              <w:rPr>
                <w:sz w:val="11"/>
              </w:rPr>
              <w:t>451,012.00</w:t>
            </w:r>
          </w:p>
        </w:tc>
        <w:tc>
          <w:tcPr>
            <w:tcW w:w="596" w:type="dxa"/>
          </w:tcPr>
          <w:p>
            <w:pPr>
              <w:pStyle w:val="TableParagraph"/>
              <w:rPr>
                <w:sz w:val="12"/>
              </w:rPr>
            </w:pPr>
          </w:p>
          <w:p>
            <w:pPr>
              <w:pStyle w:val="TableParagraph"/>
              <w:spacing w:before="3"/>
              <w:rPr>
                <w:sz w:val="10"/>
              </w:rPr>
            </w:pPr>
          </w:p>
          <w:p>
            <w:pPr>
              <w:pStyle w:val="TableParagraph"/>
              <w:spacing w:before="1"/>
              <w:ind w:right="24"/>
              <w:jc w:val="right"/>
              <w:rPr>
                <w:sz w:val="11"/>
              </w:rPr>
            </w:pPr>
            <w:r>
              <w:rPr>
                <w:sz w:val="11"/>
              </w:rPr>
              <w:t>31.8%</w:t>
            </w:r>
          </w:p>
        </w:tc>
      </w:tr>
      <w:tr>
        <w:trPr>
          <w:trHeight w:val="230" w:hRule="atLeast"/>
        </w:trPr>
        <w:tc>
          <w:tcPr>
            <w:tcW w:w="4456" w:type="dxa"/>
            <w:gridSpan w:val="3"/>
          </w:tcPr>
          <w:p>
            <w:pPr>
              <w:pStyle w:val="TableParagraph"/>
              <w:tabs>
                <w:tab w:pos="4137" w:val="right" w:leader="none"/>
              </w:tabs>
              <w:spacing w:before="51"/>
              <w:ind w:left="90"/>
              <w:rPr>
                <w:sz w:val="11"/>
              </w:rPr>
            </w:pPr>
            <w:r>
              <w:rPr>
                <w:sz w:val="11"/>
              </w:rPr>
              <w:t>Certificated Pupil</w:t>
            </w:r>
            <w:r>
              <w:rPr>
                <w:spacing w:val="-1"/>
                <w:sz w:val="11"/>
              </w:rPr>
              <w:t> </w:t>
            </w:r>
            <w:r>
              <w:rPr>
                <w:sz w:val="11"/>
              </w:rPr>
              <w:t>Support Salaries</w:t>
              <w:tab/>
              <w:t>1200</w:t>
            </w:r>
          </w:p>
        </w:tc>
        <w:tc>
          <w:tcPr>
            <w:tcW w:w="1245" w:type="dxa"/>
            <w:gridSpan w:val="2"/>
          </w:tcPr>
          <w:p>
            <w:pPr>
              <w:pStyle w:val="TableParagraph"/>
              <w:spacing w:before="51"/>
              <w:ind w:left="753"/>
              <w:rPr>
                <w:sz w:val="11"/>
              </w:rPr>
            </w:pPr>
            <w:r>
              <w:rPr>
                <w:sz w:val="11"/>
              </w:rPr>
              <w:t>0.00</w:t>
            </w:r>
          </w:p>
        </w:tc>
        <w:tc>
          <w:tcPr>
            <w:tcW w:w="1100" w:type="dxa"/>
          </w:tcPr>
          <w:p>
            <w:pPr>
              <w:pStyle w:val="TableParagraph"/>
              <w:spacing w:before="51"/>
              <w:ind w:right="262"/>
              <w:jc w:val="right"/>
              <w:rPr>
                <w:sz w:val="11"/>
              </w:rPr>
            </w:pPr>
            <w:r>
              <w:rPr>
                <w:sz w:val="11"/>
              </w:rPr>
              <w:t>0.00</w:t>
            </w:r>
          </w:p>
        </w:tc>
        <w:tc>
          <w:tcPr>
            <w:tcW w:w="984" w:type="dxa"/>
          </w:tcPr>
          <w:p>
            <w:pPr>
              <w:pStyle w:val="TableParagraph"/>
              <w:spacing w:before="51"/>
              <w:ind w:right="137"/>
              <w:jc w:val="right"/>
              <w:rPr>
                <w:sz w:val="11"/>
              </w:rPr>
            </w:pPr>
            <w:r>
              <w:rPr>
                <w:sz w:val="11"/>
              </w:rPr>
              <w:t>0.00</w:t>
            </w:r>
          </w:p>
        </w:tc>
        <w:tc>
          <w:tcPr>
            <w:tcW w:w="1064" w:type="dxa"/>
          </w:tcPr>
          <w:p>
            <w:pPr>
              <w:pStyle w:val="TableParagraph"/>
              <w:spacing w:before="51"/>
              <w:ind w:right="92"/>
              <w:jc w:val="right"/>
              <w:rPr>
                <w:sz w:val="11"/>
              </w:rPr>
            </w:pPr>
            <w:r>
              <w:rPr>
                <w:sz w:val="11"/>
              </w:rPr>
              <w:t>0.00</w:t>
            </w:r>
          </w:p>
        </w:tc>
        <w:tc>
          <w:tcPr>
            <w:tcW w:w="1172" w:type="dxa"/>
          </w:tcPr>
          <w:p>
            <w:pPr>
              <w:pStyle w:val="TableParagraph"/>
              <w:spacing w:before="51"/>
              <w:ind w:right="155"/>
              <w:jc w:val="right"/>
              <w:rPr>
                <w:sz w:val="11"/>
              </w:rPr>
            </w:pPr>
            <w:r>
              <w:rPr>
                <w:sz w:val="11"/>
              </w:rPr>
              <w:t>0.00</w:t>
            </w:r>
          </w:p>
        </w:tc>
        <w:tc>
          <w:tcPr>
            <w:tcW w:w="1023" w:type="dxa"/>
          </w:tcPr>
          <w:p>
            <w:pPr>
              <w:pStyle w:val="TableParagraph"/>
              <w:spacing w:before="51"/>
              <w:ind w:right="69"/>
              <w:jc w:val="right"/>
              <w:rPr>
                <w:sz w:val="11"/>
              </w:rPr>
            </w:pPr>
            <w:r>
              <w:rPr>
                <w:sz w:val="11"/>
              </w:rPr>
              <w:t>0.00</w:t>
            </w:r>
          </w:p>
        </w:tc>
        <w:tc>
          <w:tcPr>
            <w:tcW w:w="596" w:type="dxa"/>
          </w:tcPr>
          <w:p>
            <w:pPr>
              <w:pStyle w:val="TableParagraph"/>
              <w:spacing w:before="51"/>
              <w:ind w:right="23"/>
              <w:jc w:val="right"/>
              <w:rPr>
                <w:sz w:val="11"/>
              </w:rPr>
            </w:pPr>
            <w:r>
              <w:rPr>
                <w:sz w:val="11"/>
              </w:rPr>
              <w:t>0.0%</w:t>
            </w:r>
          </w:p>
        </w:tc>
      </w:tr>
      <w:tr>
        <w:trPr>
          <w:trHeight w:val="230" w:hRule="atLeast"/>
        </w:trPr>
        <w:tc>
          <w:tcPr>
            <w:tcW w:w="4456" w:type="dxa"/>
            <w:gridSpan w:val="3"/>
          </w:tcPr>
          <w:p>
            <w:pPr>
              <w:pStyle w:val="TableParagraph"/>
              <w:tabs>
                <w:tab w:pos="4137" w:val="right" w:leader="none"/>
              </w:tabs>
              <w:spacing w:before="51"/>
              <w:ind w:left="90"/>
              <w:rPr>
                <w:sz w:val="11"/>
              </w:rPr>
            </w:pPr>
            <w:r>
              <w:rPr>
                <w:sz w:val="11"/>
              </w:rPr>
              <w:t>Certificated Supervisors' and</w:t>
            </w:r>
            <w:r>
              <w:rPr>
                <w:spacing w:val="3"/>
                <w:sz w:val="11"/>
              </w:rPr>
              <w:t> </w:t>
            </w:r>
            <w:r>
              <w:rPr>
                <w:sz w:val="11"/>
              </w:rPr>
              <w:t>Administrators' Salaries</w:t>
              <w:tab/>
              <w:t>1300</w:t>
            </w:r>
          </w:p>
        </w:tc>
        <w:tc>
          <w:tcPr>
            <w:tcW w:w="1245" w:type="dxa"/>
            <w:gridSpan w:val="2"/>
          </w:tcPr>
          <w:p>
            <w:pPr>
              <w:pStyle w:val="TableParagraph"/>
              <w:spacing w:before="51"/>
              <w:ind w:left="410"/>
              <w:rPr>
                <w:sz w:val="11"/>
              </w:rPr>
            </w:pPr>
            <w:r>
              <w:rPr>
                <w:sz w:val="11"/>
              </w:rPr>
              <w:t>127,984.00</w:t>
            </w:r>
          </w:p>
        </w:tc>
        <w:tc>
          <w:tcPr>
            <w:tcW w:w="1100" w:type="dxa"/>
          </w:tcPr>
          <w:p>
            <w:pPr>
              <w:pStyle w:val="TableParagraph"/>
              <w:spacing w:before="51"/>
              <w:ind w:right="262"/>
              <w:jc w:val="right"/>
              <w:rPr>
                <w:sz w:val="11"/>
              </w:rPr>
            </w:pPr>
            <w:r>
              <w:rPr>
                <w:sz w:val="11"/>
              </w:rPr>
              <w:t>0.00</w:t>
            </w:r>
          </w:p>
        </w:tc>
        <w:tc>
          <w:tcPr>
            <w:tcW w:w="984" w:type="dxa"/>
          </w:tcPr>
          <w:p>
            <w:pPr>
              <w:pStyle w:val="TableParagraph"/>
              <w:spacing w:before="51"/>
              <w:ind w:right="137"/>
              <w:jc w:val="right"/>
              <w:rPr>
                <w:sz w:val="11"/>
              </w:rPr>
            </w:pPr>
            <w:r>
              <w:rPr>
                <w:sz w:val="11"/>
              </w:rPr>
              <w:t>127,984.00</w:t>
            </w:r>
          </w:p>
        </w:tc>
        <w:tc>
          <w:tcPr>
            <w:tcW w:w="1064" w:type="dxa"/>
          </w:tcPr>
          <w:p>
            <w:pPr>
              <w:pStyle w:val="TableParagraph"/>
              <w:spacing w:before="51"/>
              <w:ind w:right="92"/>
              <w:jc w:val="right"/>
              <w:rPr>
                <w:sz w:val="11"/>
              </w:rPr>
            </w:pPr>
            <w:r>
              <w:rPr>
                <w:sz w:val="11"/>
              </w:rPr>
              <w:t>130,979.00</w:t>
            </w:r>
          </w:p>
        </w:tc>
        <w:tc>
          <w:tcPr>
            <w:tcW w:w="1172" w:type="dxa"/>
          </w:tcPr>
          <w:p>
            <w:pPr>
              <w:pStyle w:val="TableParagraph"/>
              <w:spacing w:before="51"/>
              <w:ind w:right="155"/>
              <w:jc w:val="right"/>
              <w:rPr>
                <w:sz w:val="11"/>
              </w:rPr>
            </w:pPr>
            <w:r>
              <w:rPr>
                <w:sz w:val="11"/>
              </w:rPr>
              <w:t>0.00</w:t>
            </w:r>
          </w:p>
        </w:tc>
        <w:tc>
          <w:tcPr>
            <w:tcW w:w="1023" w:type="dxa"/>
          </w:tcPr>
          <w:p>
            <w:pPr>
              <w:pStyle w:val="TableParagraph"/>
              <w:spacing w:before="51"/>
              <w:ind w:right="70"/>
              <w:jc w:val="right"/>
              <w:rPr>
                <w:sz w:val="11"/>
              </w:rPr>
            </w:pPr>
            <w:r>
              <w:rPr>
                <w:sz w:val="11"/>
              </w:rPr>
              <w:t>130,979.00</w:t>
            </w:r>
          </w:p>
        </w:tc>
        <w:tc>
          <w:tcPr>
            <w:tcW w:w="596" w:type="dxa"/>
          </w:tcPr>
          <w:p>
            <w:pPr>
              <w:pStyle w:val="TableParagraph"/>
              <w:spacing w:before="51"/>
              <w:ind w:right="23"/>
              <w:jc w:val="right"/>
              <w:rPr>
                <w:sz w:val="11"/>
              </w:rPr>
            </w:pPr>
            <w:r>
              <w:rPr>
                <w:sz w:val="11"/>
              </w:rPr>
              <w:t>2.3%</w:t>
            </w:r>
          </w:p>
        </w:tc>
      </w:tr>
      <w:tr>
        <w:trPr>
          <w:trHeight w:val="230" w:hRule="atLeast"/>
        </w:trPr>
        <w:tc>
          <w:tcPr>
            <w:tcW w:w="4456" w:type="dxa"/>
            <w:gridSpan w:val="3"/>
          </w:tcPr>
          <w:p>
            <w:pPr>
              <w:pStyle w:val="TableParagraph"/>
              <w:tabs>
                <w:tab w:pos="4137" w:val="right" w:leader="none"/>
              </w:tabs>
              <w:spacing w:before="51"/>
              <w:ind w:left="90"/>
              <w:rPr>
                <w:sz w:val="11"/>
              </w:rPr>
            </w:pPr>
            <w:r>
              <w:rPr>
                <w:sz w:val="11"/>
              </w:rPr>
              <w:t>Other</w:t>
            </w:r>
            <w:r>
              <w:rPr>
                <w:spacing w:val="1"/>
                <w:sz w:val="11"/>
              </w:rPr>
              <w:t> </w:t>
            </w:r>
            <w:r>
              <w:rPr>
                <w:sz w:val="11"/>
              </w:rPr>
              <w:t>Certificated Salaries</w:t>
              <w:tab/>
              <w:t>1900</w:t>
            </w:r>
          </w:p>
        </w:tc>
        <w:tc>
          <w:tcPr>
            <w:tcW w:w="1245" w:type="dxa"/>
            <w:gridSpan w:val="2"/>
          </w:tcPr>
          <w:p>
            <w:pPr>
              <w:pStyle w:val="TableParagraph"/>
              <w:spacing w:before="51"/>
              <w:ind w:left="472"/>
              <w:rPr>
                <w:sz w:val="11"/>
              </w:rPr>
            </w:pPr>
            <w:r>
              <w:rPr>
                <w:sz w:val="11"/>
              </w:rPr>
              <w:t>16,041.00</w:t>
            </w:r>
          </w:p>
        </w:tc>
        <w:tc>
          <w:tcPr>
            <w:tcW w:w="1100" w:type="dxa"/>
          </w:tcPr>
          <w:p>
            <w:pPr>
              <w:pStyle w:val="TableParagraph"/>
              <w:spacing w:before="51"/>
              <w:ind w:right="262"/>
              <w:jc w:val="right"/>
              <w:rPr>
                <w:sz w:val="11"/>
              </w:rPr>
            </w:pPr>
            <w:r>
              <w:rPr>
                <w:sz w:val="11"/>
              </w:rPr>
              <w:t>1,490.00</w:t>
            </w:r>
          </w:p>
        </w:tc>
        <w:tc>
          <w:tcPr>
            <w:tcW w:w="984" w:type="dxa"/>
          </w:tcPr>
          <w:p>
            <w:pPr>
              <w:pStyle w:val="TableParagraph"/>
              <w:spacing w:before="51"/>
              <w:ind w:right="137"/>
              <w:jc w:val="right"/>
              <w:rPr>
                <w:sz w:val="11"/>
              </w:rPr>
            </w:pPr>
            <w:r>
              <w:rPr>
                <w:sz w:val="11"/>
              </w:rPr>
              <w:t>17,531.00</w:t>
            </w:r>
          </w:p>
        </w:tc>
        <w:tc>
          <w:tcPr>
            <w:tcW w:w="1064" w:type="dxa"/>
          </w:tcPr>
          <w:p>
            <w:pPr>
              <w:pStyle w:val="TableParagraph"/>
              <w:spacing w:before="51"/>
              <w:ind w:right="92"/>
              <w:jc w:val="right"/>
              <w:rPr>
                <w:sz w:val="11"/>
              </w:rPr>
            </w:pPr>
            <w:r>
              <w:rPr>
                <w:sz w:val="11"/>
              </w:rPr>
              <w:t>11,697.00</w:t>
            </w:r>
          </w:p>
        </w:tc>
        <w:tc>
          <w:tcPr>
            <w:tcW w:w="1172" w:type="dxa"/>
          </w:tcPr>
          <w:p>
            <w:pPr>
              <w:pStyle w:val="TableParagraph"/>
              <w:spacing w:before="51"/>
              <w:ind w:right="155"/>
              <w:jc w:val="right"/>
              <w:rPr>
                <w:sz w:val="11"/>
              </w:rPr>
            </w:pPr>
            <w:r>
              <w:rPr>
                <w:sz w:val="11"/>
              </w:rPr>
              <w:t>0.00</w:t>
            </w:r>
          </w:p>
        </w:tc>
        <w:tc>
          <w:tcPr>
            <w:tcW w:w="1023" w:type="dxa"/>
          </w:tcPr>
          <w:p>
            <w:pPr>
              <w:pStyle w:val="TableParagraph"/>
              <w:spacing w:before="51"/>
              <w:ind w:right="70"/>
              <w:jc w:val="right"/>
              <w:rPr>
                <w:sz w:val="11"/>
              </w:rPr>
            </w:pPr>
            <w:r>
              <w:rPr>
                <w:sz w:val="11"/>
              </w:rPr>
              <w:t>11,697.00</w:t>
            </w:r>
          </w:p>
        </w:tc>
        <w:tc>
          <w:tcPr>
            <w:tcW w:w="596" w:type="dxa"/>
          </w:tcPr>
          <w:p>
            <w:pPr>
              <w:pStyle w:val="TableParagraph"/>
              <w:spacing w:before="51"/>
              <w:ind w:right="23"/>
              <w:jc w:val="right"/>
              <w:rPr>
                <w:sz w:val="11"/>
              </w:rPr>
            </w:pPr>
            <w:r>
              <w:rPr>
                <w:sz w:val="11"/>
              </w:rPr>
              <w:t>-33.3%</w:t>
            </w:r>
          </w:p>
        </w:tc>
      </w:tr>
      <w:tr>
        <w:trPr>
          <w:trHeight w:val="421" w:hRule="atLeast"/>
        </w:trPr>
        <w:tc>
          <w:tcPr>
            <w:tcW w:w="4456" w:type="dxa"/>
            <w:gridSpan w:val="3"/>
          </w:tcPr>
          <w:p>
            <w:pPr>
              <w:pStyle w:val="TableParagraph"/>
              <w:spacing w:before="51"/>
              <w:ind w:left="90"/>
              <w:rPr>
                <w:sz w:val="11"/>
              </w:rPr>
            </w:pPr>
            <w:r>
              <w:rPr>
                <w:sz w:val="11"/>
              </w:rPr>
              <w:t>TOTAL, CERTIFICATED SALARIES</w:t>
            </w:r>
          </w:p>
          <w:p>
            <w:pPr>
              <w:pStyle w:val="TableParagraph"/>
              <w:spacing w:line="122" w:lineRule="exact" w:before="101"/>
              <w:ind w:left="28"/>
              <w:rPr>
                <w:b/>
                <w:sz w:val="11"/>
              </w:rPr>
            </w:pPr>
            <w:r>
              <w:rPr>
                <w:b/>
                <w:sz w:val="11"/>
              </w:rPr>
              <w:t>CLASSIFIED SALARIES</w:t>
            </w:r>
          </w:p>
        </w:tc>
        <w:tc>
          <w:tcPr>
            <w:tcW w:w="1245" w:type="dxa"/>
            <w:gridSpan w:val="2"/>
          </w:tcPr>
          <w:p>
            <w:pPr>
              <w:pStyle w:val="TableParagraph"/>
              <w:spacing w:before="51"/>
              <w:ind w:left="410"/>
              <w:rPr>
                <w:sz w:val="11"/>
              </w:rPr>
            </w:pPr>
            <w:r>
              <w:rPr>
                <w:sz w:val="11"/>
              </w:rPr>
              <w:t>465,481.00</w:t>
            </w:r>
          </w:p>
        </w:tc>
        <w:tc>
          <w:tcPr>
            <w:tcW w:w="1100" w:type="dxa"/>
          </w:tcPr>
          <w:p>
            <w:pPr>
              <w:pStyle w:val="TableParagraph"/>
              <w:spacing w:before="51"/>
              <w:ind w:right="262"/>
              <w:jc w:val="right"/>
              <w:rPr>
                <w:sz w:val="11"/>
              </w:rPr>
            </w:pPr>
            <w:r>
              <w:rPr>
                <w:sz w:val="11"/>
              </w:rPr>
              <w:t>22,211.00</w:t>
            </w:r>
          </w:p>
        </w:tc>
        <w:tc>
          <w:tcPr>
            <w:tcW w:w="984" w:type="dxa"/>
          </w:tcPr>
          <w:p>
            <w:pPr>
              <w:pStyle w:val="TableParagraph"/>
              <w:spacing w:before="51"/>
              <w:ind w:right="137"/>
              <w:jc w:val="right"/>
              <w:rPr>
                <w:sz w:val="11"/>
              </w:rPr>
            </w:pPr>
            <w:r>
              <w:rPr>
                <w:sz w:val="11"/>
              </w:rPr>
              <w:t>487,692.00</w:t>
            </w:r>
          </w:p>
        </w:tc>
        <w:tc>
          <w:tcPr>
            <w:tcW w:w="1064" w:type="dxa"/>
          </w:tcPr>
          <w:p>
            <w:pPr>
              <w:pStyle w:val="TableParagraph"/>
              <w:spacing w:before="51"/>
              <w:ind w:right="92"/>
              <w:jc w:val="right"/>
              <w:rPr>
                <w:sz w:val="11"/>
              </w:rPr>
            </w:pPr>
            <w:r>
              <w:rPr>
                <w:sz w:val="11"/>
              </w:rPr>
              <w:t>507,758.00</w:t>
            </w:r>
          </w:p>
        </w:tc>
        <w:tc>
          <w:tcPr>
            <w:tcW w:w="1172" w:type="dxa"/>
          </w:tcPr>
          <w:p>
            <w:pPr>
              <w:pStyle w:val="TableParagraph"/>
              <w:spacing w:before="51"/>
              <w:ind w:right="156"/>
              <w:jc w:val="right"/>
              <w:rPr>
                <w:sz w:val="11"/>
              </w:rPr>
            </w:pPr>
            <w:r>
              <w:rPr>
                <w:sz w:val="11"/>
              </w:rPr>
              <w:t>85,930.00</w:t>
            </w:r>
          </w:p>
        </w:tc>
        <w:tc>
          <w:tcPr>
            <w:tcW w:w="1023" w:type="dxa"/>
          </w:tcPr>
          <w:p>
            <w:pPr>
              <w:pStyle w:val="TableParagraph"/>
              <w:spacing w:before="51"/>
              <w:ind w:right="70"/>
              <w:jc w:val="right"/>
              <w:rPr>
                <w:sz w:val="11"/>
              </w:rPr>
            </w:pPr>
            <w:r>
              <w:rPr>
                <w:sz w:val="11"/>
              </w:rPr>
              <w:t>593,688.00</w:t>
            </w:r>
          </w:p>
        </w:tc>
        <w:tc>
          <w:tcPr>
            <w:tcW w:w="596" w:type="dxa"/>
          </w:tcPr>
          <w:p>
            <w:pPr>
              <w:pStyle w:val="TableParagraph"/>
              <w:spacing w:before="51"/>
              <w:ind w:right="24"/>
              <w:jc w:val="right"/>
              <w:rPr>
                <w:sz w:val="11"/>
              </w:rPr>
            </w:pPr>
            <w:r>
              <w:rPr>
                <w:sz w:val="11"/>
              </w:rPr>
              <w:t>21.7%</w:t>
            </w:r>
          </w:p>
        </w:tc>
      </w:tr>
      <w:tr>
        <w:trPr>
          <w:trHeight w:val="421" w:hRule="atLeast"/>
        </w:trPr>
        <w:tc>
          <w:tcPr>
            <w:tcW w:w="4456" w:type="dxa"/>
            <w:gridSpan w:val="3"/>
          </w:tcPr>
          <w:p>
            <w:pPr>
              <w:pStyle w:val="TableParagraph"/>
              <w:tabs>
                <w:tab w:pos="4137" w:val="right" w:leader="none"/>
              </w:tabs>
              <w:spacing w:before="242"/>
              <w:ind w:left="90"/>
              <w:rPr>
                <w:sz w:val="11"/>
              </w:rPr>
            </w:pPr>
            <w:r>
              <w:rPr>
                <w:sz w:val="11"/>
              </w:rPr>
              <w:t>Classified Instructional</w:t>
            </w:r>
            <w:r>
              <w:rPr>
                <w:spacing w:val="-1"/>
                <w:sz w:val="11"/>
              </w:rPr>
              <w:t> </w:t>
            </w:r>
            <w:r>
              <w:rPr>
                <w:sz w:val="11"/>
              </w:rPr>
              <w:t>Salaries</w:t>
              <w:tab/>
              <w:t>2100</w:t>
            </w:r>
          </w:p>
        </w:tc>
        <w:tc>
          <w:tcPr>
            <w:tcW w:w="1245" w:type="dxa"/>
            <w:gridSpan w:val="2"/>
          </w:tcPr>
          <w:p>
            <w:pPr>
              <w:pStyle w:val="TableParagraph"/>
              <w:rPr>
                <w:sz w:val="12"/>
              </w:rPr>
            </w:pPr>
          </w:p>
          <w:p>
            <w:pPr>
              <w:pStyle w:val="TableParagraph"/>
              <w:spacing w:before="104"/>
              <w:ind w:left="472"/>
              <w:rPr>
                <w:sz w:val="11"/>
              </w:rPr>
            </w:pPr>
            <w:r>
              <w:rPr>
                <w:sz w:val="11"/>
              </w:rPr>
              <w:t>41,106.00</w:t>
            </w:r>
          </w:p>
        </w:tc>
        <w:tc>
          <w:tcPr>
            <w:tcW w:w="1100" w:type="dxa"/>
          </w:tcPr>
          <w:p>
            <w:pPr>
              <w:pStyle w:val="TableParagraph"/>
              <w:rPr>
                <w:sz w:val="12"/>
              </w:rPr>
            </w:pPr>
          </w:p>
          <w:p>
            <w:pPr>
              <w:pStyle w:val="TableParagraph"/>
              <w:spacing w:before="104"/>
              <w:ind w:right="262"/>
              <w:jc w:val="right"/>
              <w:rPr>
                <w:sz w:val="11"/>
              </w:rPr>
            </w:pPr>
            <w:r>
              <w:rPr>
                <w:sz w:val="11"/>
              </w:rPr>
              <w:t>145,121.00</w:t>
            </w:r>
          </w:p>
        </w:tc>
        <w:tc>
          <w:tcPr>
            <w:tcW w:w="984" w:type="dxa"/>
          </w:tcPr>
          <w:p>
            <w:pPr>
              <w:pStyle w:val="TableParagraph"/>
              <w:rPr>
                <w:sz w:val="12"/>
              </w:rPr>
            </w:pPr>
          </w:p>
          <w:p>
            <w:pPr>
              <w:pStyle w:val="TableParagraph"/>
              <w:spacing w:before="104"/>
              <w:ind w:right="137"/>
              <w:jc w:val="right"/>
              <w:rPr>
                <w:sz w:val="11"/>
              </w:rPr>
            </w:pPr>
            <w:r>
              <w:rPr>
                <w:sz w:val="11"/>
              </w:rPr>
              <w:t>186,227.00</w:t>
            </w:r>
          </w:p>
        </w:tc>
        <w:tc>
          <w:tcPr>
            <w:tcW w:w="1064" w:type="dxa"/>
          </w:tcPr>
          <w:p>
            <w:pPr>
              <w:pStyle w:val="TableParagraph"/>
              <w:rPr>
                <w:sz w:val="12"/>
              </w:rPr>
            </w:pPr>
          </w:p>
          <w:p>
            <w:pPr>
              <w:pStyle w:val="TableParagraph"/>
              <w:spacing w:before="104"/>
              <w:ind w:right="92"/>
              <w:jc w:val="right"/>
              <w:rPr>
                <w:sz w:val="11"/>
              </w:rPr>
            </w:pPr>
            <w:r>
              <w:rPr>
                <w:sz w:val="11"/>
              </w:rPr>
              <w:t>67,710.00</w:t>
            </w:r>
          </w:p>
        </w:tc>
        <w:tc>
          <w:tcPr>
            <w:tcW w:w="1172" w:type="dxa"/>
          </w:tcPr>
          <w:p>
            <w:pPr>
              <w:pStyle w:val="TableParagraph"/>
              <w:rPr>
                <w:sz w:val="12"/>
              </w:rPr>
            </w:pPr>
          </w:p>
          <w:p>
            <w:pPr>
              <w:pStyle w:val="TableParagraph"/>
              <w:spacing w:before="104"/>
              <w:ind w:right="155"/>
              <w:jc w:val="right"/>
              <w:rPr>
                <w:sz w:val="11"/>
              </w:rPr>
            </w:pPr>
            <w:r>
              <w:rPr>
                <w:sz w:val="11"/>
              </w:rPr>
              <w:t>127,035.00</w:t>
            </w:r>
          </w:p>
        </w:tc>
        <w:tc>
          <w:tcPr>
            <w:tcW w:w="1023" w:type="dxa"/>
          </w:tcPr>
          <w:p>
            <w:pPr>
              <w:pStyle w:val="TableParagraph"/>
              <w:rPr>
                <w:sz w:val="12"/>
              </w:rPr>
            </w:pPr>
          </w:p>
          <w:p>
            <w:pPr>
              <w:pStyle w:val="TableParagraph"/>
              <w:spacing w:before="104"/>
              <w:ind w:right="70"/>
              <w:jc w:val="right"/>
              <w:rPr>
                <w:sz w:val="11"/>
              </w:rPr>
            </w:pPr>
            <w:r>
              <w:rPr>
                <w:sz w:val="11"/>
              </w:rPr>
              <w:t>194,745.00</w:t>
            </w:r>
          </w:p>
        </w:tc>
        <w:tc>
          <w:tcPr>
            <w:tcW w:w="596" w:type="dxa"/>
          </w:tcPr>
          <w:p>
            <w:pPr>
              <w:pStyle w:val="TableParagraph"/>
              <w:rPr>
                <w:sz w:val="12"/>
              </w:rPr>
            </w:pPr>
          </w:p>
          <w:p>
            <w:pPr>
              <w:pStyle w:val="TableParagraph"/>
              <w:spacing w:before="104"/>
              <w:ind w:right="23"/>
              <w:jc w:val="right"/>
              <w:rPr>
                <w:sz w:val="11"/>
              </w:rPr>
            </w:pPr>
            <w:r>
              <w:rPr>
                <w:sz w:val="11"/>
              </w:rPr>
              <w:t>4.6%</w:t>
            </w:r>
          </w:p>
        </w:tc>
      </w:tr>
      <w:tr>
        <w:trPr>
          <w:trHeight w:val="230" w:hRule="atLeast"/>
        </w:trPr>
        <w:tc>
          <w:tcPr>
            <w:tcW w:w="4456" w:type="dxa"/>
            <w:gridSpan w:val="3"/>
          </w:tcPr>
          <w:p>
            <w:pPr>
              <w:pStyle w:val="TableParagraph"/>
              <w:tabs>
                <w:tab w:pos="4137" w:val="right" w:leader="none"/>
              </w:tabs>
              <w:spacing w:before="51"/>
              <w:ind w:left="90"/>
              <w:rPr>
                <w:sz w:val="11"/>
              </w:rPr>
            </w:pPr>
            <w:r>
              <w:rPr>
                <w:sz w:val="11"/>
              </w:rPr>
              <w:t>Classified Support Salaries</w:t>
              <w:tab/>
              <w:t>2200</w:t>
            </w:r>
          </w:p>
        </w:tc>
        <w:tc>
          <w:tcPr>
            <w:tcW w:w="1245" w:type="dxa"/>
            <w:gridSpan w:val="2"/>
          </w:tcPr>
          <w:p>
            <w:pPr>
              <w:pStyle w:val="TableParagraph"/>
              <w:spacing w:before="51"/>
              <w:ind w:left="472"/>
              <w:rPr>
                <w:sz w:val="11"/>
              </w:rPr>
            </w:pPr>
            <w:r>
              <w:rPr>
                <w:sz w:val="11"/>
              </w:rPr>
              <w:t>67,509.00</w:t>
            </w:r>
          </w:p>
        </w:tc>
        <w:tc>
          <w:tcPr>
            <w:tcW w:w="1100" w:type="dxa"/>
          </w:tcPr>
          <w:p>
            <w:pPr>
              <w:pStyle w:val="TableParagraph"/>
              <w:spacing w:before="51"/>
              <w:ind w:right="262"/>
              <w:jc w:val="right"/>
              <w:rPr>
                <w:sz w:val="11"/>
              </w:rPr>
            </w:pPr>
            <w:r>
              <w:rPr>
                <w:sz w:val="11"/>
              </w:rPr>
              <w:t>77,257.00</w:t>
            </w:r>
          </w:p>
        </w:tc>
        <w:tc>
          <w:tcPr>
            <w:tcW w:w="984" w:type="dxa"/>
          </w:tcPr>
          <w:p>
            <w:pPr>
              <w:pStyle w:val="TableParagraph"/>
              <w:spacing w:before="51"/>
              <w:ind w:right="137"/>
              <w:jc w:val="right"/>
              <w:rPr>
                <w:sz w:val="11"/>
              </w:rPr>
            </w:pPr>
            <w:r>
              <w:rPr>
                <w:sz w:val="11"/>
              </w:rPr>
              <w:t>144,766.00</w:t>
            </w:r>
          </w:p>
        </w:tc>
        <w:tc>
          <w:tcPr>
            <w:tcW w:w="1064" w:type="dxa"/>
          </w:tcPr>
          <w:p>
            <w:pPr>
              <w:pStyle w:val="TableParagraph"/>
              <w:spacing w:before="51"/>
              <w:ind w:right="92"/>
              <w:jc w:val="right"/>
              <w:rPr>
                <w:sz w:val="11"/>
              </w:rPr>
            </w:pPr>
            <w:r>
              <w:rPr>
                <w:sz w:val="11"/>
              </w:rPr>
              <w:t>66,866.00</w:t>
            </w:r>
          </w:p>
        </w:tc>
        <w:tc>
          <w:tcPr>
            <w:tcW w:w="1172" w:type="dxa"/>
          </w:tcPr>
          <w:p>
            <w:pPr>
              <w:pStyle w:val="TableParagraph"/>
              <w:spacing w:before="51"/>
              <w:ind w:right="156"/>
              <w:jc w:val="right"/>
              <w:rPr>
                <w:sz w:val="11"/>
              </w:rPr>
            </w:pPr>
            <w:r>
              <w:rPr>
                <w:sz w:val="11"/>
              </w:rPr>
              <w:t>97,938.00</w:t>
            </w:r>
          </w:p>
        </w:tc>
        <w:tc>
          <w:tcPr>
            <w:tcW w:w="1023" w:type="dxa"/>
          </w:tcPr>
          <w:p>
            <w:pPr>
              <w:pStyle w:val="TableParagraph"/>
              <w:spacing w:before="51"/>
              <w:ind w:right="70"/>
              <w:jc w:val="right"/>
              <w:rPr>
                <w:sz w:val="11"/>
              </w:rPr>
            </w:pPr>
            <w:r>
              <w:rPr>
                <w:sz w:val="11"/>
              </w:rPr>
              <w:t>164,804.00</w:t>
            </w:r>
          </w:p>
        </w:tc>
        <w:tc>
          <w:tcPr>
            <w:tcW w:w="596" w:type="dxa"/>
          </w:tcPr>
          <w:p>
            <w:pPr>
              <w:pStyle w:val="TableParagraph"/>
              <w:spacing w:before="51"/>
              <w:ind w:right="24"/>
              <w:jc w:val="right"/>
              <w:rPr>
                <w:sz w:val="11"/>
              </w:rPr>
            </w:pPr>
            <w:r>
              <w:rPr>
                <w:sz w:val="11"/>
              </w:rPr>
              <w:t>13.8%</w:t>
            </w:r>
          </w:p>
        </w:tc>
      </w:tr>
      <w:tr>
        <w:trPr>
          <w:trHeight w:val="230" w:hRule="atLeast"/>
        </w:trPr>
        <w:tc>
          <w:tcPr>
            <w:tcW w:w="4456" w:type="dxa"/>
            <w:gridSpan w:val="3"/>
          </w:tcPr>
          <w:p>
            <w:pPr>
              <w:pStyle w:val="TableParagraph"/>
              <w:tabs>
                <w:tab w:pos="4137" w:val="right" w:leader="none"/>
              </w:tabs>
              <w:spacing w:before="51"/>
              <w:ind w:left="90"/>
              <w:rPr>
                <w:sz w:val="11"/>
              </w:rPr>
            </w:pPr>
            <w:r>
              <w:rPr>
                <w:sz w:val="11"/>
              </w:rPr>
              <w:t>Classified Supervisors' and</w:t>
            </w:r>
            <w:r>
              <w:rPr>
                <w:spacing w:val="3"/>
                <w:sz w:val="11"/>
              </w:rPr>
              <w:t> </w:t>
            </w:r>
            <w:r>
              <w:rPr>
                <w:sz w:val="11"/>
              </w:rPr>
              <w:t>Administrators'</w:t>
            </w:r>
            <w:r>
              <w:rPr>
                <w:spacing w:val="1"/>
                <w:sz w:val="11"/>
              </w:rPr>
              <w:t> </w:t>
            </w:r>
            <w:r>
              <w:rPr>
                <w:sz w:val="11"/>
              </w:rPr>
              <w:t>Salaries</w:t>
              <w:tab/>
              <w:t>2300</w:t>
            </w:r>
          </w:p>
        </w:tc>
        <w:tc>
          <w:tcPr>
            <w:tcW w:w="1245" w:type="dxa"/>
            <w:gridSpan w:val="2"/>
          </w:tcPr>
          <w:p>
            <w:pPr>
              <w:pStyle w:val="TableParagraph"/>
              <w:spacing w:before="51"/>
              <w:ind w:left="753"/>
              <w:rPr>
                <w:sz w:val="11"/>
              </w:rPr>
            </w:pPr>
            <w:r>
              <w:rPr>
                <w:sz w:val="11"/>
              </w:rPr>
              <w:t>0.00</w:t>
            </w:r>
          </w:p>
        </w:tc>
        <w:tc>
          <w:tcPr>
            <w:tcW w:w="1100" w:type="dxa"/>
          </w:tcPr>
          <w:p>
            <w:pPr>
              <w:pStyle w:val="TableParagraph"/>
              <w:spacing w:before="51"/>
              <w:ind w:right="262"/>
              <w:jc w:val="right"/>
              <w:rPr>
                <w:sz w:val="11"/>
              </w:rPr>
            </w:pPr>
            <w:r>
              <w:rPr>
                <w:sz w:val="11"/>
              </w:rPr>
              <w:t>0.00</w:t>
            </w:r>
          </w:p>
        </w:tc>
        <w:tc>
          <w:tcPr>
            <w:tcW w:w="984" w:type="dxa"/>
          </w:tcPr>
          <w:p>
            <w:pPr>
              <w:pStyle w:val="TableParagraph"/>
              <w:spacing w:before="51"/>
              <w:ind w:right="137"/>
              <w:jc w:val="right"/>
              <w:rPr>
                <w:sz w:val="11"/>
              </w:rPr>
            </w:pPr>
            <w:r>
              <w:rPr>
                <w:sz w:val="11"/>
              </w:rPr>
              <w:t>0.00</w:t>
            </w:r>
          </w:p>
        </w:tc>
        <w:tc>
          <w:tcPr>
            <w:tcW w:w="1064" w:type="dxa"/>
          </w:tcPr>
          <w:p>
            <w:pPr>
              <w:pStyle w:val="TableParagraph"/>
              <w:spacing w:before="51"/>
              <w:ind w:right="92"/>
              <w:jc w:val="right"/>
              <w:rPr>
                <w:sz w:val="11"/>
              </w:rPr>
            </w:pPr>
            <w:r>
              <w:rPr>
                <w:sz w:val="11"/>
              </w:rPr>
              <w:t>0.00</w:t>
            </w:r>
          </w:p>
        </w:tc>
        <w:tc>
          <w:tcPr>
            <w:tcW w:w="1172" w:type="dxa"/>
          </w:tcPr>
          <w:p>
            <w:pPr>
              <w:pStyle w:val="TableParagraph"/>
              <w:spacing w:before="51"/>
              <w:ind w:right="155"/>
              <w:jc w:val="right"/>
              <w:rPr>
                <w:sz w:val="11"/>
              </w:rPr>
            </w:pPr>
            <w:r>
              <w:rPr>
                <w:sz w:val="11"/>
              </w:rPr>
              <w:t>0.00</w:t>
            </w:r>
          </w:p>
        </w:tc>
        <w:tc>
          <w:tcPr>
            <w:tcW w:w="1023" w:type="dxa"/>
          </w:tcPr>
          <w:p>
            <w:pPr>
              <w:pStyle w:val="TableParagraph"/>
              <w:spacing w:before="51"/>
              <w:ind w:right="69"/>
              <w:jc w:val="right"/>
              <w:rPr>
                <w:sz w:val="11"/>
              </w:rPr>
            </w:pPr>
            <w:r>
              <w:rPr>
                <w:sz w:val="11"/>
              </w:rPr>
              <w:t>0.00</w:t>
            </w:r>
          </w:p>
        </w:tc>
        <w:tc>
          <w:tcPr>
            <w:tcW w:w="596" w:type="dxa"/>
          </w:tcPr>
          <w:p>
            <w:pPr>
              <w:pStyle w:val="TableParagraph"/>
              <w:spacing w:before="51"/>
              <w:ind w:right="23"/>
              <w:jc w:val="right"/>
              <w:rPr>
                <w:sz w:val="11"/>
              </w:rPr>
            </w:pPr>
            <w:r>
              <w:rPr>
                <w:sz w:val="11"/>
              </w:rPr>
              <w:t>0.0%</w:t>
            </w:r>
          </w:p>
        </w:tc>
      </w:tr>
      <w:tr>
        <w:trPr>
          <w:trHeight w:val="230" w:hRule="atLeast"/>
        </w:trPr>
        <w:tc>
          <w:tcPr>
            <w:tcW w:w="4456" w:type="dxa"/>
            <w:gridSpan w:val="3"/>
          </w:tcPr>
          <w:p>
            <w:pPr>
              <w:pStyle w:val="TableParagraph"/>
              <w:tabs>
                <w:tab w:pos="4137" w:val="right" w:leader="none"/>
              </w:tabs>
              <w:spacing w:before="51"/>
              <w:ind w:left="90"/>
              <w:rPr>
                <w:sz w:val="11"/>
              </w:rPr>
            </w:pPr>
            <w:r>
              <w:rPr>
                <w:sz w:val="11"/>
              </w:rPr>
              <w:t>Clerical, Technical and</w:t>
            </w:r>
            <w:r>
              <w:rPr>
                <w:spacing w:val="-1"/>
                <w:sz w:val="11"/>
              </w:rPr>
              <w:t> </w:t>
            </w:r>
            <w:r>
              <w:rPr>
                <w:sz w:val="11"/>
              </w:rPr>
              <w:t>Office</w:t>
            </w:r>
            <w:r>
              <w:rPr>
                <w:spacing w:val="1"/>
                <w:sz w:val="11"/>
              </w:rPr>
              <w:t> </w:t>
            </w:r>
            <w:r>
              <w:rPr>
                <w:sz w:val="11"/>
              </w:rPr>
              <w:t>Salaries</w:t>
              <w:tab/>
              <w:t>2400</w:t>
            </w:r>
          </w:p>
        </w:tc>
        <w:tc>
          <w:tcPr>
            <w:tcW w:w="1245" w:type="dxa"/>
            <w:gridSpan w:val="2"/>
          </w:tcPr>
          <w:p>
            <w:pPr>
              <w:pStyle w:val="TableParagraph"/>
              <w:spacing w:before="51"/>
              <w:ind w:left="472"/>
              <w:rPr>
                <w:sz w:val="11"/>
              </w:rPr>
            </w:pPr>
            <w:r>
              <w:rPr>
                <w:sz w:val="11"/>
              </w:rPr>
              <w:t>96,501.00</w:t>
            </w:r>
          </w:p>
        </w:tc>
        <w:tc>
          <w:tcPr>
            <w:tcW w:w="1100" w:type="dxa"/>
          </w:tcPr>
          <w:p>
            <w:pPr>
              <w:pStyle w:val="TableParagraph"/>
              <w:spacing w:before="51"/>
              <w:ind w:right="262"/>
              <w:jc w:val="right"/>
              <w:rPr>
                <w:sz w:val="11"/>
              </w:rPr>
            </w:pPr>
            <w:r>
              <w:rPr>
                <w:sz w:val="11"/>
              </w:rPr>
              <w:t>0.00</w:t>
            </w:r>
          </w:p>
        </w:tc>
        <w:tc>
          <w:tcPr>
            <w:tcW w:w="984" w:type="dxa"/>
          </w:tcPr>
          <w:p>
            <w:pPr>
              <w:pStyle w:val="TableParagraph"/>
              <w:spacing w:before="51"/>
              <w:ind w:right="137"/>
              <w:jc w:val="right"/>
              <w:rPr>
                <w:sz w:val="11"/>
              </w:rPr>
            </w:pPr>
            <w:r>
              <w:rPr>
                <w:sz w:val="11"/>
              </w:rPr>
              <w:t>96,501.00</w:t>
            </w:r>
          </w:p>
        </w:tc>
        <w:tc>
          <w:tcPr>
            <w:tcW w:w="1064" w:type="dxa"/>
          </w:tcPr>
          <w:p>
            <w:pPr>
              <w:pStyle w:val="TableParagraph"/>
              <w:spacing w:before="51"/>
              <w:ind w:right="92"/>
              <w:jc w:val="right"/>
              <w:rPr>
                <w:sz w:val="11"/>
              </w:rPr>
            </w:pPr>
            <w:r>
              <w:rPr>
                <w:sz w:val="11"/>
              </w:rPr>
              <w:t>101,324.00</w:t>
            </w:r>
          </w:p>
        </w:tc>
        <w:tc>
          <w:tcPr>
            <w:tcW w:w="1172" w:type="dxa"/>
          </w:tcPr>
          <w:p>
            <w:pPr>
              <w:pStyle w:val="TableParagraph"/>
              <w:spacing w:before="51"/>
              <w:ind w:right="155"/>
              <w:jc w:val="right"/>
              <w:rPr>
                <w:sz w:val="11"/>
              </w:rPr>
            </w:pPr>
            <w:r>
              <w:rPr>
                <w:sz w:val="11"/>
              </w:rPr>
              <w:t>0.00</w:t>
            </w:r>
          </w:p>
        </w:tc>
        <w:tc>
          <w:tcPr>
            <w:tcW w:w="1023" w:type="dxa"/>
          </w:tcPr>
          <w:p>
            <w:pPr>
              <w:pStyle w:val="TableParagraph"/>
              <w:spacing w:before="51"/>
              <w:ind w:right="70"/>
              <w:jc w:val="right"/>
              <w:rPr>
                <w:sz w:val="11"/>
              </w:rPr>
            </w:pPr>
            <w:r>
              <w:rPr>
                <w:sz w:val="11"/>
              </w:rPr>
              <w:t>101,324.00</w:t>
            </w:r>
          </w:p>
        </w:tc>
        <w:tc>
          <w:tcPr>
            <w:tcW w:w="596" w:type="dxa"/>
          </w:tcPr>
          <w:p>
            <w:pPr>
              <w:pStyle w:val="TableParagraph"/>
              <w:spacing w:before="51"/>
              <w:ind w:right="23"/>
              <w:jc w:val="right"/>
              <w:rPr>
                <w:sz w:val="11"/>
              </w:rPr>
            </w:pPr>
            <w:r>
              <w:rPr>
                <w:sz w:val="11"/>
              </w:rPr>
              <w:t>5.0%</w:t>
            </w:r>
          </w:p>
        </w:tc>
      </w:tr>
      <w:tr>
        <w:trPr>
          <w:trHeight w:val="230" w:hRule="atLeast"/>
        </w:trPr>
        <w:tc>
          <w:tcPr>
            <w:tcW w:w="4456" w:type="dxa"/>
            <w:gridSpan w:val="3"/>
          </w:tcPr>
          <w:p>
            <w:pPr>
              <w:pStyle w:val="TableParagraph"/>
              <w:tabs>
                <w:tab w:pos="4137" w:val="right" w:leader="none"/>
              </w:tabs>
              <w:spacing w:before="51"/>
              <w:ind w:left="90"/>
              <w:rPr>
                <w:sz w:val="11"/>
              </w:rPr>
            </w:pPr>
            <w:r>
              <w:rPr>
                <w:sz w:val="11"/>
              </w:rPr>
              <w:t>Other</w:t>
            </w:r>
            <w:r>
              <w:rPr>
                <w:spacing w:val="1"/>
                <w:sz w:val="11"/>
              </w:rPr>
              <w:t> </w:t>
            </w:r>
            <w:r>
              <w:rPr>
                <w:sz w:val="11"/>
              </w:rPr>
              <w:t>Classified Salaries</w:t>
              <w:tab/>
              <w:t>2900</w:t>
            </w:r>
          </w:p>
        </w:tc>
        <w:tc>
          <w:tcPr>
            <w:tcW w:w="1245" w:type="dxa"/>
            <w:gridSpan w:val="2"/>
          </w:tcPr>
          <w:p>
            <w:pPr>
              <w:pStyle w:val="TableParagraph"/>
              <w:spacing w:before="51"/>
              <w:ind w:left="535"/>
              <w:rPr>
                <w:sz w:val="11"/>
              </w:rPr>
            </w:pPr>
            <w:r>
              <w:rPr>
                <w:sz w:val="11"/>
              </w:rPr>
              <w:t>3,500.00</w:t>
            </w:r>
          </w:p>
        </w:tc>
        <w:tc>
          <w:tcPr>
            <w:tcW w:w="1100" w:type="dxa"/>
          </w:tcPr>
          <w:p>
            <w:pPr>
              <w:pStyle w:val="TableParagraph"/>
              <w:spacing w:before="51"/>
              <w:ind w:right="262"/>
              <w:jc w:val="right"/>
              <w:rPr>
                <w:sz w:val="11"/>
              </w:rPr>
            </w:pPr>
            <w:r>
              <w:rPr>
                <w:sz w:val="11"/>
              </w:rPr>
              <w:t>35,169.00</w:t>
            </w:r>
          </w:p>
        </w:tc>
        <w:tc>
          <w:tcPr>
            <w:tcW w:w="984" w:type="dxa"/>
          </w:tcPr>
          <w:p>
            <w:pPr>
              <w:pStyle w:val="TableParagraph"/>
              <w:spacing w:before="51"/>
              <w:ind w:right="137"/>
              <w:jc w:val="right"/>
              <w:rPr>
                <w:sz w:val="11"/>
              </w:rPr>
            </w:pPr>
            <w:r>
              <w:rPr>
                <w:sz w:val="11"/>
              </w:rPr>
              <w:t>38,669.00</w:t>
            </w:r>
          </w:p>
        </w:tc>
        <w:tc>
          <w:tcPr>
            <w:tcW w:w="1064" w:type="dxa"/>
          </w:tcPr>
          <w:p>
            <w:pPr>
              <w:pStyle w:val="TableParagraph"/>
              <w:spacing w:before="51"/>
              <w:ind w:right="93"/>
              <w:jc w:val="right"/>
              <w:rPr>
                <w:sz w:val="11"/>
              </w:rPr>
            </w:pPr>
            <w:r>
              <w:rPr>
                <w:sz w:val="11"/>
              </w:rPr>
              <w:t>3,500.00</w:t>
            </w:r>
          </w:p>
        </w:tc>
        <w:tc>
          <w:tcPr>
            <w:tcW w:w="1172" w:type="dxa"/>
          </w:tcPr>
          <w:p>
            <w:pPr>
              <w:pStyle w:val="TableParagraph"/>
              <w:spacing w:before="51"/>
              <w:ind w:right="155"/>
              <w:jc w:val="right"/>
              <w:rPr>
                <w:sz w:val="11"/>
              </w:rPr>
            </w:pPr>
            <w:r>
              <w:rPr>
                <w:sz w:val="11"/>
              </w:rPr>
              <w:t>0.00</w:t>
            </w:r>
          </w:p>
        </w:tc>
        <w:tc>
          <w:tcPr>
            <w:tcW w:w="1023" w:type="dxa"/>
          </w:tcPr>
          <w:p>
            <w:pPr>
              <w:pStyle w:val="TableParagraph"/>
              <w:spacing w:before="51"/>
              <w:ind w:right="70"/>
              <w:jc w:val="right"/>
              <w:rPr>
                <w:sz w:val="11"/>
              </w:rPr>
            </w:pPr>
            <w:r>
              <w:rPr>
                <w:sz w:val="11"/>
              </w:rPr>
              <w:t>3,500.00</w:t>
            </w:r>
          </w:p>
        </w:tc>
        <w:tc>
          <w:tcPr>
            <w:tcW w:w="596" w:type="dxa"/>
          </w:tcPr>
          <w:p>
            <w:pPr>
              <w:pStyle w:val="TableParagraph"/>
              <w:spacing w:before="51"/>
              <w:ind w:right="23"/>
              <w:jc w:val="right"/>
              <w:rPr>
                <w:sz w:val="11"/>
              </w:rPr>
            </w:pPr>
            <w:r>
              <w:rPr>
                <w:sz w:val="11"/>
              </w:rPr>
              <w:t>-90.9%</w:t>
            </w:r>
          </w:p>
        </w:tc>
      </w:tr>
      <w:tr>
        <w:trPr>
          <w:trHeight w:val="421" w:hRule="atLeast"/>
        </w:trPr>
        <w:tc>
          <w:tcPr>
            <w:tcW w:w="4456" w:type="dxa"/>
            <w:gridSpan w:val="3"/>
          </w:tcPr>
          <w:p>
            <w:pPr>
              <w:pStyle w:val="TableParagraph"/>
              <w:spacing w:before="51"/>
              <w:ind w:left="90"/>
              <w:rPr>
                <w:sz w:val="11"/>
              </w:rPr>
            </w:pPr>
            <w:r>
              <w:rPr>
                <w:sz w:val="11"/>
              </w:rPr>
              <w:t>TOTAL, CLASSIFIED SALARIES</w:t>
            </w:r>
          </w:p>
          <w:p>
            <w:pPr>
              <w:pStyle w:val="TableParagraph"/>
              <w:spacing w:line="122" w:lineRule="exact" w:before="101"/>
              <w:ind w:left="28"/>
              <w:rPr>
                <w:b/>
                <w:sz w:val="11"/>
              </w:rPr>
            </w:pPr>
            <w:r>
              <w:rPr>
                <w:b/>
                <w:sz w:val="11"/>
              </w:rPr>
              <w:t>EMPLOYEE BENEFITS</w:t>
            </w:r>
          </w:p>
        </w:tc>
        <w:tc>
          <w:tcPr>
            <w:tcW w:w="1245" w:type="dxa"/>
            <w:gridSpan w:val="2"/>
          </w:tcPr>
          <w:p>
            <w:pPr>
              <w:pStyle w:val="TableParagraph"/>
              <w:spacing w:before="51"/>
              <w:ind w:left="410"/>
              <w:rPr>
                <w:sz w:val="11"/>
              </w:rPr>
            </w:pPr>
            <w:r>
              <w:rPr>
                <w:sz w:val="11"/>
              </w:rPr>
              <w:t>208,616.00</w:t>
            </w:r>
          </w:p>
        </w:tc>
        <w:tc>
          <w:tcPr>
            <w:tcW w:w="1100" w:type="dxa"/>
          </w:tcPr>
          <w:p>
            <w:pPr>
              <w:pStyle w:val="TableParagraph"/>
              <w:spacing w:before="51"/>
              <w:ind w:right="262"/>
              <w:jc w:val="right"/>
              <w:rPr>
                <w:sz w:val="11"/>
              </w:rPr>
            </w:pPr>
            <w:r>
              <w:rPr>
                <w:sz w:val="11"/>
              </w:rPr>
              <w:t>257,547.00</w:t>
            </w:r>
          </w:p>
        </w:tc>
        <w:tc>
          <w:tcPr>
            <w:tcW w:w="984" w:type="dxa"/>
          </w:tcPr>
          <w:p>
            <w:pPr>
              <w:pStyle w:val="TableParagraph"/>
              <w:spacing w:before="51"/>
              <w:ind w:right="137"/>
              <w:jc w:val="right"/>
              <w:rPr>
                <w:sz w:val="11"/>
              </w:rPr>
            </w:pPr>
            <w:r>
              <w:rPr>
                <w:sz w:val="11"/>
              </w:rPr>
              <w:t>466,163.00</w:t>
            </w:r>
          </w:p>
        </w:tc>
        <w:tc>
          <w:tcPr>
            <w:tcW w:w="1064" w:type="dxa"/>
          </w:tcPr>
          <w:p>
            <w:pPr>
              <w:pStyle w:val="TableParagraph"/>
              <w:spacing w:before="51"/>
              <w:ind w:right="92"/>
              <w:jc w:val="right"/>
              <w:rPr>
                <w:sz w:val="11"/>
              </w:rPr>
            </w:pPr>
            <w:r>
              <w:rPr>
                <w:sz w:val="11"/>
              </w:rPr>
              <w:t>239,400.00</w:t>
            </w:r>
          </w:p>
        </w:tc>
        <w:tc>
          <w:tcPr>
            <w:tcW w:w="1172" w:type="dxa"/>
          </w:tcPr>
          <w:p>
            <w:pPr>
              <w:pStyle w:val="TableParagraph"/>
              <w:spacing w:before="51"/>
              <w:ind w:right="155"/>
              <w:jc w:val="right"/>
              <w:rPr>
                <w:sz w:val="11"/>
              </w:rPr>
            </w:pPr>
            <w:r>
              <w:rPr>
                <w:sz w:val="11"/>
              </w:rPr>
              <w:t>224,973.00</w:t>
            </w:r>
          </w:p>
        </w:tc>
        <w:tc>
          <w:tcPr>
            <w:tcW w:w="1023" w:type="dxa"/>
          </w:tcPr>
          <w:p>
            <w:pPr>
              <w:pStyle w:val="TableParagraph"/>
              <w:spacing w:before="51"/>
              <w:ind w:right="70"/>
              <w:jc w:val="right"/>
              <w:rPr>
                <w:sz w:val="11"/>
              </w:rPr>
            </w:pPr>
            <w:r>
              <w:rPr>
                <w:sz w:val="11"/>
              </w:rPr>
              <w:t>464,373.00</w:t>
            </w:r>
          </w:p>
        </w:tc>
        <w:tc>
          <w:tcPr>
            <w:tcW w:w="596" w:type="dxa"/>
          </w:tcPr>
          <w:p>
            <w:pPr>
              <w:pStyle w:val="TableParagraph"/>
              <w:spacing w:before="51"/>
              <w:ind w:right="23"/>
              <w:jc w:val="right"/>
              <w:rPr>
                <w:sz w:val="11"/>
              </w:rPr>
            </w:pPr>
            <w:r>
              <w:rPr>
                <w:sz w:val="11"/>
              </w:rPr>
              <w:t>-0.4%</w:t>
            </w:r>
          </w:p>
        </w:tc>
      </w:tr>
      <w:tr>
        <w:trPr>
          <w:trHeight w:val="421" w:hRule="atLeast"/>
        </w:trPr>
        <w:tc>
          <w:tcPr>
            <w:tcW w:w="4456" w:type="dxa"/>
            <w:gridSpan w:val="3"/>
          </w:tcPr>
          <w:p>
            <w:pPr>
              <w:pStyle w:val="TableParagraph"/>
              <w:tabs>
                <w:tab w:pos="4280" w:val="right" w:leader="none"/>
              </w:tabs>
              <w:spacing w:before="242"/>
              <w:ind w:left="90"/>
              <w:rPr>
                <w:sz w:val="11"/>
              </w:rPr>
            </w:pPr>
            <w:r>
              <w:rPr>
                <w:sz w:val="11"/>
              </w:rPr>
              <w:t>STRS</w:t>
              <w:tab/>
              <w:t>3101-3102</w:t>
            </w:r>
          </w:p>
        </w:tc>
        <w:tc>
          <w:tcPr>
            <w:tcW w:w="1245" w:type="dxa"/>
            <w:gridSpan w:val="2"/>
          </w:tcPr>
          <w:p>
            <w:pPr>
              <w:pStyle w:val="TableParagraph"/>
              <w:rPr>
                <w:sz w:val="12"/>
              </w:rPr>
            </w:pPr>
          </w:p>
          <w:p>
            <w:pPr>
              <w:pStyle w:val="TableParagraph"/>
              <w:spacing w:before="104"/>
              <w:ind w:left="472"/>
              <w:rPr>
                <w:sz w:val="11"/>
              </w:rPr>
            </w:pPr>
            <w:r>
              <w:rPr>
                <w:sz w:val="11"/>
              </w:rPr>
              <w:t>75,177.00</w:t>
            </w:r>
          </w:p>
        </w:tc>
        <w:tc>
          <w:tcPr>
            <w:tcW w:w="1100" w:type="dxa"/>
          </w:tcPr>
          <w:p>
            <w:pPr>
              <w:pStyle w:val="TableParagraph"/>
              <w:rPr>
                <w:sz w:val="12"/>
              </w:rPr>
            </w:pPr>
          </w:p>
          <w:p>
            <w:pPr>
              <w:pStyle w:val="TableParagraph"/>
              <w:spacing w:before="104"/>
              <w:ind w:right="262"/>
              <w:jc w:val="right"/>
              <w:rPr>
                <w:sz w:val="11"/>
              </w:rPr>
            </w:pPr>
            <w:r>
              <w:rPr>
                <w:sz w:val="11"/>
              </w:rPr>
              <w:t>66,924.00</w:t>
            </w:r>
          </w:p>
        </w:tc>
        <w:tc>
          <w:tcPr>
            <w:tcW w:w="984" w:type="dxa"/>
          </w:tcPr>
          <w:p>
            <w:pPr>
              <w:pStyle w:val="TableParagraph"/>
              <w:rPr>
                <w:sz w:val="12"/>
              </w:rPr>
            </w:pPr>
          </w:p>
          <w:p>
            <w:pPr>
              <w:pStyle w:val="TableParagraph"/>
              <w:spacing w:before="104"/>
              <w:ind w:right="137"/>
              <w:jc w:val="right"/>
              <w:rPr>
                <w:sz w:val="11"/>
              </w:rPr>
            </w:pPr>
            <w:r>
              <w:rPr>
                <w:sz w:val="11"/>
              </w:rPr>
              <w:t>142,101.00</w:t>
            </w:r>
          </w:p>
        </w:tc>
        <w:tc>
          <w:tcPr>
            <w:tcW w:w="1064" w:type="dxa"/>
          </w:tcPr>
          <w:p>
            <w:pPr>
              <w:pStyle w:val="TableParagraph"/>
              <w:rPr>
                <w:sz w:val="12"/>
              </w:rPr>
            </w:pPr>
          </w:p>
          <w:p>
            <w:pPr>
              <w:pStyle w:val="TableParagraph"/>
              <w:spacing w:before="104"/>
              <w:ind w:right="92"/>
              <w:jc w:val="right"/>
              <w:rPr>
                <w:sz w:val="11"/>
              </w:rPr>
            </w:pPr>
            <w:r>
              <w:rPr>
                <w:sz w:val="11"/>
              </w:rPr>
              <w:t>80,836.00</w:t>
            </w:r>
          </w:p>
        </w:tc>
        <w:tc>
          <w:tcPr>
            <w:tcW w:w="1172" w:type="dxa"/>
          </w:tcPr>
          <w:p>
            <w:pPr>
              <w:pStyle w:val="TableParagraph"/>
              <w:rPr>
                <w:sz w:val="12"/>
              </w:rPr>
            </w:pPr>
          </w:p>
          <w:p>
            <w:pPr>
              <w:pStyle w:val="TableParagraph"/>
              <w:spacing w:before="104"/>
              <w:ind w:right="156"/>
              <w:jc w:val="right"/>
              <w:rPr>
                <w:sz w:val="11"/>
              </w:rPr>
            </w:pPr>
            <w:r>
              <w:rPr>
                <w:sz w:val="11"/>
              </w:rPr>
              <w:t>79,580.00</w:t>
            </w:r>
          </w:p>
        </w:tc>
        <w:tc>
          <w:tcPr>
            <w:tcW w:w="1023" w:type="dxa"/>
          </w:tcPr>
          <w:p>
            <w:pPr>
              <w:pStyle w:val="TableParagraph"/>
              <w:rPr>
                <w:sz w:val="12"/>
              </w:rPr>
            </w:pPr>
          </w:p>
          <w:p>
            <w:pPr>
              <w:pStyle w:val="TableParagraph"/>
              <w:spacing w:before="104"/>
              <w:ind w:right="70"/>
              <w:jc w:val="right"/>
              <w:rPr>
                <w:sz w:val="11"/>
              </w:rPr>
            </w:pPr>
            <w:r>
              <w:rPr>
                <w:sz w:val="11"/>
              </w:rPr>
              <w:t>160,416.00</w:t>
            </w:r>
          </w:p>
        </w:tc>
        <w:tc>
          <w:tcPr>
            <w:tcW w:w="596" w:type="dxa"/>
          </w:tcPr>
          <w:p>
            <w:pPr>
              <w:pStyle w:val="TableParagraph"/>
              <w:rPr>
                <w:sz w:val="12"/>
              </w:rPr>
            </w:pPr>
          </w:p>
          <w:p>
            <w:pPr>
              <w:pStyle w:val="TableParagraph"/>
              <w:spacing w:before="104"/>
              <w:ind w:right="24"/>
              <w:jc w:val="right"/>
              <w:rPr>
                <w:sz w:val="11"/>
              </w:rPr>
            </w:pPr>
            <w:r>
              <w:rPr>
                <w:sz w:val="11"/>
              </w:rPr>
              <w:t>12.9%</w:t>
            </w:r>
          </w:p>
        </w:tc>
      </w:tr>
      <w:tr>
        <w:trPr>
          <w:trHeight w:val="230" w:hRule="atLeast"/>
        </w:trPr>
        <w:tc>
          <w:tcPr>
            <w:tcW w:w="4456" w:type="dxa"/>
            <w:gridSpan w:val="3"/>
          </w:tcPr>
          <w:p>
            <w:pPr>
              <w:pStyle w:val="TableParagraph"/>
              <w:tabs>
                <w:tab w:pos="4280" w:val="right" w:leader="none"/>
              </w:tabs>
              <w:spacing w:before="51"/>
              <w:ind w:left="90"/>
              <w:rPr>
                <w:sz w:val="11"/>
              </w:rPr>
            </w:pPr>
            <w:r>
              <w:rPr>
                <w:sz w:val="11"/>
              </w:rPr>
              <w:t>PERS</w:t>
              <w:tab/>
              <w:t>3201-3202</w:t>
            </w:r>
          </w:p>
        </w:tc>
        <w:tc>
          <w:tcPr>
            <w:tcW w:w="1245" w:type="dxa"/>
            <w:gridSpan w:val="2"/>
          </w:tcPr>
          <w:p>
            <w:pPr>
              <w:pStyle w:val="TableParagraph"/>
              <w:spacing w:before="51"/>
              <w:ind w:left="472"/>
              <w:rPr>
                <w:sz w:val="11"/>
              </w:rPr>
            </w:pPr>
            <w:r>
              <w:rPr>
                <w:sz w:val="11"/>
              </w:rPr>
              <w:t>42,315.00</w:t>
            </w:r>
          </w:p>
        </w:tc>
        <w:tc>
          <w:tcPr>
            <w:tcW w:w="1100" w:type="dxa"/>
          </w:tcPr>
          <w:p>
            <w:pPr>
              <w:pStyle w:val="TableParagraph"/>
              <w:spacing w:before="51"/>
              <w:ind w:right="262"/>
              <w:jc w:val="right"/>
              <w:rPr>
                <w:sz w:val="11"/>
              </w:rPr>
            </w:pPr>
            <w:r>
              <w:rPr>
                <w:sz w:val="11"/>
              </w:rPr>
              <w:t>53,314.00</w:t>
            </w:r>
          </w:p>
        </w:tc>
        <w:tc>
          <w:tcPr>
            <w:tcW w:w="984" w:type="dxa"/>
          </w:tcPr>
          <w:p>
            <w:pPr>
              <w:pStyle w:val="TableParagraph"/>
              <w:spacing w:before="51"/>
              <w:ind w:right="137"/>
              <w:jc w:val="right"/>
              <w:rPr>
                <w:sz w:val="11"/>
              </w:rPr>
            </w:pPr>
            <w:r>
              <w:rPr>
                <w:sz w:val="11"/>
              </w:rPr>
              <w:t>95,629.00</w:t>
            </w:r>
          </w:p>
        </w:tc>
        <w:tc>
          <w:tcPr>
            <w:tcW w:w="1064" w:type="dxa"/>
          </w:tcPr>
          <w:p>
            <w:pPr>
              <w:pStyle w:val="TableParagraph"/>
              <w:spacing w:before="51"/>
              <w:ind w:right="92"/>
              <w:jc w:val="right"/>
              <w:rPr>
                <w:sz w:val="11"/>
              </w:rPr>
            </w:pPr>
            <w:r>
              <w:rPr>
                <w:sz w:val="11"/>
              </w:rPr>
              <w:t>53,883.00</w:t>
            </w:r>
          </w:p>
        </w:tc>
        <w:tc>
          <w:tcPr>
            <w:tcW w:w="1172" w:type="dxa"/>
          </w:tcPr>
          <w:p>
            <w:pPr>
              <w:pStyle w:val="TableParagraph"/>
              <w:spacing w:before="51"/>
              <w:ind w:right="156"/>
              <w:jc w:val="right"/>
              <w:rPr>
                <w:sz w:val="11"/>
              </w:rPr>
            </w:pPr>
            <w:r>
              <w:rPr>
                <w:sz w:val="11"/>
              </w:rPr>
              <w:t>51,542.00</w:t>
            </w:r>
          </w:p>
        </w:tc>
        <w:tc>
          <w:tcPr>
            <w:tcW w:w="1023" w:type="dxa"/>
          </w:tcPr>
          <w:p>
            <w:pPr>
              <w:pStyle w:val="TableParagraph"/>
              <w:spacing w:before="51"/>
              <w:ind w:right="70"/>
              <w:jc w:val="right"/>
              <w:rPr>
                <w:sz w:val="11"/>
              </w:rPr>
            </w:pPr>
            <w:r>
              <w:rPr>
                <w:sz w:val="11"/>
              </w:rPr>
              <w:t>105,425.00</w:t>
            </w:r>
          </w:p>
        </w:tc>
        <w:tc>
          <w:tcPr>
            <w:tcW w:w="596" w:type="dxa"/>
          </w:tcPr>
          <w:p>
            <w:pPr>
              <w:pStyle w:val="TableParagraph"/>
              <w:spacing w:before="51"/>
              <w:ind w:right="24"/>
              <w:jc w:val="right"/>
              <w:rPr>
                <w:sz w:val="11"/>
              </w:rPr>
            </w:pPr>
            <w:r>
              <w:rPr>
                <w:sz w:val="11"/>
              </w:rPr>
              <w:t>10.2%</w:t>
            </w:r>
          </w:p>
        </w:tc>
      </w:tr>
      <w:tr>
        <w:trPr>
          <w:trHeight w:val="230" w:hRule="atLeast"/>
        </w:trPr>
        <w:tc>
          <w:tcPr>
            <w:tcW w:w="4456" w:type="dxa"/>
            <w:gridSpan w:val="3"/>
          </w:tcPr>
          <w:p>
            <w:pPr>
              <w:pStyle w:val="TableParagraph"/>
              <w:tabs>
                <w:tab w:pos="4280" w:val="right" w:leader="none"/>
              </w:tabs>
              <w:spacing w:before="51"/>
              <w:ind w:left="90"/>
              <w:rPr>
                <w:sz w:val="11"/>
              </w:rPr>
            </w:pPr>
            <w:r>
              <w:rPr>
                <w:sz w:val="11"/>
              </w:rPr>
              <w:t>OASDI/Medicare/Alternative</w:t>
              <w:tab/>
              <w:t>3301-3302</w:t>
            </w:r>
          </w:p>
        </w:tc>
        <w:tc>
          <w:tcPr>
            <w:tcW w:w="1245" w:type="dxa"/>
            <w:gridSpan w:val="2"/>
          </w:tcPr>
          <w:p>
            <w:pPr>
              <w:pStyle w:val="TableParagraph"/>
              <w:spacing w:before="51"/>
              <w:ind w:left="472"/>
              <w:rPr>
                <w:sz w:val="11"/>
              </w:rPr>
            </w:pPr>
            <w:r>
              <w:rPr>
                <w:sz w:val="11"/>
              </w:rPr>
              <w:t>21,283.00</w:t>
            </w:r>
          </w:p>
        </w:tc>
        <w:tc>
          <w:tcPr>
            <w:tcW w:w="1100" w:type="dxa"/>
          </w:tcPr>
          <w:p>
            <w:pPr>
              <w:pStyle w:val="TableParagraph"/>
              <w:spacing w:before="51"/>
              <w:ind w:right="262"/>
              <w:jc w:val="right"/>
              <w:rPr>
                <w:sz w:val="11"/>
              </w:rPr>
            </w:pPr>
            <w:r>
              <w:rPr>
                <w:sz w:val="11"/>
              </w:rPr>
              <w:t>19,551.00</w:t>
            </w:r>
          </w:p>
        </w:tc>
        <w:tc>
          <w:tcPr>
            <w:tcW w:w="984" w:type="dxa"/>
          </w:tcPr>
          <w:p>
            <w:pPr>
              <w:pStyle w:val="TableParagraph"/>
              <w:spacing w:before="51"/>
              <w:ind w:right="137"/>
              <w:jc w:val="right"/>
              <w:rPr>
                <w:sz w:val="11"/>
              </w:rPr>
            </w:pPr>
            <w:r>
              <w:rPr>
                <w:sz w:val="11"/>
              </w:rPr>
              <w:t>40,834.00</w:t>
            </w:r>
          </w:p>
        </w:tc>
        <w:tc>
          <w:tcPr>
            <w:tcW w:w="1064" w:type="dxa"/>
          </w:tcPr>
          <w:p>
            <w:pPr>
              <w:pStyle w:val="TableParagraph"/>
              <w:spacing w:before="51"/>
              <w:ind w:right="92"/>
              <w:jc w:val="right"/>
              <w:rPr>
                <w:sz w:val="11"/>
              </w:rPr>
            </w:pPr>
            <w:r>
              <w:rPr>
                <w:sz w:val="11"/>
              </w:rPr>
              <w:t>25,677.00</w:t>
            </w:r>
          </w:p>
        </w:tc>
        <w:tc>
          <w:tcPr>
            <w:tcW w:w="1172" w:type="dxa"/>
          </w:tcPr>
          <w:p>
            <w:pPr>
              <w:pStyle w:val="TableParagraph"/>
              <w:spacing w:before="51"/>
              <w:ind w:right="156"/>
              <w:jc w:val="right"/>
              <w:rPr>
                <w:sz w:val="11"/>
              </w:rPr>
            </w:pPr>
            <w:r>
              <w:rPr>
                <w:sz w:val="11"/>
              </w:rPr>
              <w:t>17,967.00</w:t>
            </w:r>
          </w:p>
        </w:tc>
        <w:tc>
          <w:tcPr>
            <w:tcW w:w="1023" w:type="dxa"/>
          </w:tcPr>
          <w:p>
            <w:pPr>
              <w:pStyle w:val="TableParagraph"/>
              <w:spacing w:before="51"/>
              <w:ind w:right="70"/>
              <w:jc w:val="right"/>
              <w:rPr>
                <w:sz w:val="11"/>
              </w:rPr>
            </w:pPr>
            <w:r>
              <w:rPr>
                <w:sz w:val="11"/>
              </w:rPr>
              <w:t>43,644.00</w:t>
            </w:r>
          </w:p>
        </w:tc>
        <w:tc>
          <w:tcPr>
            <w:tcW w:w="596" w:type="dxa"/>
          </w:tcPr>
          <w:p>
            <w:pPr>
              <w:pStyle w:val="TableParagraph"/>
              <w:spacing w:before="51"/>
              <w:ind w:right="23"/>
              <w:jc w:val="right"/>
              <w:rPr>
                <w:sz w:val="11"/>
              </w:rPr>
            </w:pPr>
            <w:r>
              <w:rPr>
                <w:sz w:val="11"/>
              </w:rPr>
              <w:t>6.9%</w:t>
            </w:r>
          </w:p>
        </w:tc>
      </w:tr>
      <w:tr>
        <w:trPr>
          <w:trHeight w:val="230" w:hRule="atLeast"/>
        </w:trPr>
        <w:tc>
          <w:tcPr>
            <w:tcW w:w="4456" w:type="dxa"/>
            <w:gridSpan w:val="3"/>
          </w:tcPr>
          <w:p>
            <w:pPr>
              <w:pStyle w:val="TableParagraph"/>
              <w:tabs>
                <w:tab w:pos="4280" w:val="right" w:leader="none"/>
              </w:tabs>
              <w:spacing w:before="51"/>
              <w:ind w:left="90"/>
              <w:rPr>
                <w:sz w:val="11"/>
              </w:rPr>
            </w:pPr>
            <w:r>
              <w:rPr>
                <w:sz w:val="11"/>
              </w:rPr>
              <w:t>Health and Welfare</w:t>
            </w:r>
            <w:r>
              <w:rPr>
                <w:spacing w:val="1"/>
                <w:sz w:val="11"/>
              </w:rPr>
              <w:t> </w:t>
            </w:r>
            <w:r>
              <w:rPr>
                <w:sz w:val="11"/>
              </w:rPr>
              <w:t>Benefits</w:t>
              <w:tab/>
              <w:t>3401-3402</w:t>
            </w:r>
          </w:p>
        </w:tc>
        <w:tc>
          <w:tcPr>
            <w:tcW w:w="1245" w:type="dxa"/>
            <w:gridSpan w:val="2"/>
          </w:tcPr>
          <w:p>
            <w:pPr>
              <w:pStyle w:val="TableParagraph"/>
              <w:spacing w:before="51"/>
              <w:ind w:left="472"/>
              <w:rPr>
                <w:sz w:val="11"/>
              </w:rPr>
            </w:pPr>
            <w:r>
              <w:rPr>
                <w:sz w:val="11"/>
              </w:rPr>
              <w:t>69,737.00</w:t>
            </w:r>
          </w:p>
        </w:tc>
        <w:tc>
          <w:tcPr>
            <w:tcW w:w="1100" w:type="dxa"/>
          </w:tcPr>
          <w:p>
            <w:pPr>
              <w:pStyle w:val="TableParagraph"/>
              <w:spacing w:before="51"/>
              <w:ind w:right="262"/>
              <w:jc w:val="right"/>
              <w:rPr>
                <w:sz w:val="11"/>
              </w:rPr>
            </w:pPr>
            <w:r>
              <w:rPr>
                <w:sz w:val="11"/>
              </w:rPr>
              <w:t>13,145.00</w:t>
            </w:r>
          </w:p>
        </w:tc>
        <w:tc>
          <w:tcPr>
            <w:tcW w:w="984" w:type="dxa"/>
          </w:tcPr>
          <w:p>
            <w:pPr>
              <w:pStyle w:val="TableParagraph"/>
              <w:spacing w:before="51"/>
              <w:ind w:right="137"/>
              <w:jc w:val="right"/>
              <w:rPr>
                <w:sz w:val="11"/>
              </w:rPr>
            </w:pPr>
            <w:r>
              <w:rPr>
                <w:sz w:val="11"/>
              </w:rPr>
              <w:t>82,882.00</w:t>
            </w:r>
          </w:p>
        </w:tc>
        <w:tc>
          <w:tcPr>
            <w:tcW w:w="1064" w:type="dxa"/>
          </w:tcPr>
          <w:p>
            <w:pPr>
              <w:pStyle w:val="TableParagraph"/>
              <w:spacing w:before="51"/>
              <w:ind w:right="92"/>
              <w:jc w:val="right"/>
              <w:rPr>
                <w:sz w:val="11"/>
              </w:rPr>
            </w:pPr>
            <w:r>
              <w:rPr>
                <w:sz w:val="11"/>
              </w:rPr>
              <w:t>58,619.00</w:t>
            </w:r>
          </w:p>
        </w:tc>
        <w:tc>
          <w:tcPr>
            <w:tcW w:w="1172" w:type="dxa"/>
          </w:tcPr>
          <w:p>
            <w:pPr>
              <w:pStyle w:val="TableParagraph"/>
              <w:spacing w:before="51"/>
              <w:ind w:right="156"/>
              <w:jc w:val="right"/>
              <w:rPr>
                <w:sz w:val="11"/>
              </w:rPr>
            </w:pPr>
            <w:r>
              <w:rPr>
                <w:sz w:val="11"/>
              </w:rPr>
              <w:t>21,484.00</w:t>
            </w:r>
          </w:p>
        </w:tc>
        <w:tc>
          <w:tcPr>
            <w:tcW w:w="1023" w:type="dxa"/>
          </w:tcPr>
          <w:p>
            <w:pPr>
              <w:pStyle w:val="TableParagraph"/>
              <w:spacing w:before="51"/>
              <w:ind w:right="70"/>
              <w:jc w:val="right"/>
              <w:rPr>
                <w:sz w:val="11"/>
              </w:rPr>
            </w:pPr>
            <w:r>
              <w:rPr>
                <w:sz w:val="11"/>
              </w:rPr>
              <w:t>80,103.00</w:t>
            </w:r>
          </w:p>
        </w:tc>
        <w:tc>
          <w:tcPr>
            <w:tcW w:w="596" w:type="dxa"/>
          </w:tcPr>
          <w:p>
            <w:pPr>
              <w:pStyle w:val="TableParagraph"/>
              <w:spacing w:before="51"/>
              <w:ind w:right="23"/>
              <w:jc w:val="right"/>
              <w:rPr>
                <w:sz w:val="11"/>
              </w:rPr>
            </w:pPr>
            <w:r>
              <w:rPr>
                <w:sz w:val="11"/>
              </w:rPr>
              <w:t>-3.4%</w:t>
            </w:r>
          </w:p>
        </w:tc>
      </w:tr>
      <w:tr>
        <w:trPr>
          <w:trHeight w:val="230" w:hRule="atLeast"/>
        </w:trPr>
        <w:tc>
          <w:tcPr>
            <w:tcW w:w="4456" w:type="dxa"/>
            <w:gridSpan w:val="3"/>
          </w:tcPr>
          <w:p>
            <w:pPr>
              <w:pStyle w:val="TableParagraph"/>
              <w:tabs>
                <w:tab w:pos="4280" w:val="right" w:leader="none"/>
              </w:tabs>
              <w:spacing w:before="51"/>
              <w:ind w:left="90"/>
              <w:rPr>
                <w:sz w:val="11"/>
              </w:rPr>
            </w:pPr>
            <w:r>
              <w:rPr>
                <w:sz w:val="11"/>
              </w:rPr>
              <w:t>Unemployment Insurance</w:t>
              <w:tab/>
              <w:t>3501-3502</w:t>
            </w:r>
          </w:p>
        </w:tc>
        <w:tc>
          <w:tcPr>
            <w:tcW w:w="1245" w:type="dxa"/>
            <w:gridSpan w:val="2"/>
          </w:tcPr>
          <w:p>
            <w:pPr>
              <w:pStyle w:val="TableParagraph"/>
              <w:spacing w:before="51"/>
              <w:ind w:left="628"/>
              <w:rPr>
                <w:sz w:val="11"/>
              </w:rPr>
            </w:pPr>
            <w:r>
              <w:rPr>
                <w:sz w:val="11"/>
              </w:rPr>
              <w:t>340.00</w:t>
            </w:r>
          </w:p>
        </w:tc>
        <w:tc>
          <w:tcPr>
            <w:tcW w:w="1100" w:type="dxa"/>
          </w:tcPr>
          <w:p>
            <w:pPr>
              <w:pStyle w:val="TableParagraph"/>
              <w:spacing w:before="51"/>
              <w:ind w:right="262"/>
              <w:jc w:val="right"/>
              <w:rPr>
                <w:sz w:val="11"/>
              </w:rPr>
            </w:pPr>
            <w:r>
              <w:rPr>
                <w:sz w:val="11"/>
              </w:rPr>
              <w:t>145.00</w:t>
            </w:r>
          </w:p>
        </w:tc>
        <w:tc>
          <w:tcPr>
            <w:tcW w:w="984" w:type="dxa"/>
          </w:tcPr>
          <w:p>
            <w:pPr>
              <w:pStyle w:val="TableParagraph"/>
              <w:spacing w:before="51"/>
              <w:ind w:right="137"/>
              <w:jc w:val="right"/>
              <w:rPr>
                <w:sz w:val="11"/>
              </w:rPr>
            </w:pPr>
            <w:r>
              <w:rPr>
                <w:sz w:val="11"/>
              </w:rPr>
              <w:t>485.00</w:t>
            </w:r>
          </w:p>
        </w:tc>
        <w:tc>
          <w:tcPr>
            <w:tcW w:w="1064" w:type="dxa"/>
          </w:tcPr>
          <w:p>
            <w:pPr>
              <w:pStyle w:val="TableParagraph"/>
              <w:spacing w:before="51"/>
              <w:ind w:right="93"/>
              <w:jc w:val="right"/>
              <w:rPr>
                <w:sz w:val="11"/>
              </w:rPr>
            </w:pPr>
            <w:r>
              <w:rPr>
                <w:sz w:val="11"/>
              </w:rPr>
              <w:t>9,190.00</w:t>
            </w:r>
          </w:p>
        </w:tc>
        <w:tc>
          <w:tcPr>
            <w:tcW w:w="1172" w:type="dxa"/>
          </w:tcPr>
          <w:p>
            <w:pPr>
              <w:pStyle w:val="TableParagraph"/>
              <w:spacing w:before="51"/>
              <w:ind w:right="156"/>
              <w:jc w:val="right"/>
              <w:rPr>
                <w:sz w:val="11"/>
              </w:rPr>
            </w:pPr>
            <w:r>
              <w:rPr>
                <w:sz w:val="11"/>
              </w:rPr>
              <w:t>3,820.00</w:t>
            </w:r>
          </w:p>
        </w:tc>
        <w:tc>
          <w:tcPr>
            <w:tcW w:w="1023" w:type="dxa"/>
          </w:tcPr>
          <w:p>
            <w:pPr>
              <w:pStyle w:val="TableParagraph"/>
              <w:spacing w:before="51"/>
              <w:ind w:right="70"/>
              <w:jc w:val="right"/>
              <w:rPr>
                <w:sz w:val="11"/>
              </w:rPr>
            </w:pPr>
            <w:r>
              <w:rPr>
                <w:sz w:val="11"/>
              </w:rPr>
              <w:t>13,010.00</w:t>
            </w:r>
          </w:p>
        </w:tc>
        <w:tc>
          <w:tcPr>
            <w:tcW w:w="596" w:type="dxa"/>
          </w:tcPr>
          <w:p>
            <w:pPr>
              <w:pStyle w:val="TableParagraph"/>
              <w:spacing w:before="51"/>
              <w:ind w:right="23"/>
              <w:jc w:val="right"/>
              <w:rPr>
                <w:sz w:val="11"/>
              </w:rPr>
            </w:pPr>
            <w:r>
              <w:rPr>
                <w:sz w:val="11"/>
              </w:rPr>
              <w:t>2582.5%</w:t>
            </w:r>
          </w:p>
        </w:tc>
      </w:tr>
      <w:tr>
        <w:trPr>
          <w:trHeight w:val="230" w:hRule="atLeast"/>
        </w:trPr>
        <w:tc>
          <w:tcPr>
            <w:tcW w:w="4456" w:type="dxa"/>
            <w:gridSpan w:val="3"/>
          </w:tcPr>
          <w:p>
            <w:pPr>
              <w:pStyle w:val="TableParagraph"/>
              <w:tabs>
                <w:tab w:pos="4280" w:val="right" w:leader="none"/>
              </w:tabs>
              <w:spacing w:before="51"/>
              <w:ind w:left="90"/>
              <w:rPr>
                <w:sz w:val="11"/>
              </w:rPr>
            </w:pPr>
            <w:r>
              <w:rPr>
                <w:sz w:val="11"/>
              </w:rPr>
              <w:t>Workers' Compensation</w:t>
              <w:tab/>
              <w:t>3601-3602</w:t>
            </w:r>
          </w:p>
        </w:tc>
        <w:tc>
          <w:tcPr>
            <w:tcW w:w="1245" w:type="dxa"/>
            <w:gridSpan w:val="2"/>
          </w:tcPr>
          <w:p>
            <w:pPr>
              <w:pStyle w:val="TableParagraph"/>
              <w:spacing w:before="51"/>
              <w:ind w:left="472"/>
              <w:rPr>
                <w:sz w:val="11"/>
              </w:rPr>
            </w:pPr>
            <w:r>
              <w:rPr>
                <w:sz w:val="11"/>
              </w:rPr>
              <w:t>10,652.00</w:t>
            </w:r>
          </w:p>
        </w:tc>
        <w:tc>
          <w:tcPr>
            <w:tcW w:w="1100" w:type="dxa"/>
          </w:tcPr>
          <w:p>
            <w:pPr>
              <w:pStyle w:val="TableParagraph"/>
              <w:spacing w:before="51"/>
              <w:ind w:right="262"/>
              <w:jc w:val="right"/>
              <w:rPr>
                <w:sz w:val="11"/>
              </w:rPr>
            </w:pPr>
            <w:r>
              <w:rPr>
                <w:sz w:val="11"/>
              </w:rPr>
              <w:t>4,424.00</w:t>
            </w:r>
          </w:p>
        </w:tc>
        <w:tc>
          <w:tcPr>
            <w:tcW w:w="984" w:type="dxa"/>
          </w:tcPr>
          <w:p>
            <w:pPr>
              <w:pStyle w:val="TableParagraph"/>
              <w:spacing w:before="51"/>
              <w:ind w:right="137"/>
              <w:jc w:val="right"/>
              <w:rPr>
                <w:sz w:val="11"/>
              </w:rPr>
            </w:pPr>
            <w:r>
              <w:rPr>
                <w:sz w:val="11"/>
              </w:rPr>
              <w:t>15,076.00</w:t>
            </w:r>
          </w:p>
        </w:tc>
        <w:tc>
          <w:tcPr>
            <w:tcW w:w="1064" w:type="dxa"/>
          </w:tcPr>
          <w:p>
            <w:pPr>
              <w:pStyle w:val="TableParagraph"/>
              <w:spacing w:before="51"/>
              <w:ind w:right="92"/>
              <w:jc w:val="right"/>
              <w:rPr>
                <w:sz w:val="11"/>
              </w:rPr>
            </w:pPr>
            <w:r>
              <w:rPr>
                <w:sz w:val="11"/>
              </w:rPr>
              <w:t>11,807.00</w:t>
            </w:r>
          </w:p>
        </w:tc>
        <w:tc>
          <w:tcPr>
            <w:tcW w:w="1172" w:type="dxa"/>
          </w:tcPr>
          <w:p>
            <w:pPr>
              <w:pStyle w:val="TableParagraph"/>
              <w:spacing w:before="51"/>
              <w:ind w:right="156"/>
              <w:jc w:val="right"/>
              <w:rPr>
                <w:sz w:val="11"/>
              </w:rPr>
            </w:pPr>
            <w:r>
              <w:rPr>
                <w:sz w:val="11"/>
              </w:rPr>
              <w:t>4,916.00</w:t>
            </w:r>
          </w:p>
        </w:tc>
        <w:tc>
          <w:tcPr>
            <w:tcW w:w="1023" w:type="dxa"/>
          </w:tcPr>
          <w:p>
            <w:pPr>
              <w:pStyle w:val="TableParagraph"/>
              <w:spacing w:before="51"/>
              <w:ind w:right="70"/>
              <w:jc w:val="right"/>
              <w:rPr>
                <w:sz w:val="11"/>
              </w:rPr>
            </w:pPr>
            <w:r>
              <w:rPr>
                <w:sz w:val="11"/>
              </w:rPr>
              <w:t>16,723.00</w:t>
            </w:r>
          </w:p>
        </w:tc>
        <w:tc>
          <w:tcPr>
            <w:tcW w:w="596" w:type="dxa"/>
          </w:tcPr>
          <w:p>
            <w:pPr>
              <w:pStyle w:val="TableParagraph"/>
              <w:spacing w:before="51"/>
              <w:ind w:right="24"/>
              <w:jc w:val="right"/>
              <w:rPr>
                <w:sz w:val="11"/>
              </w:rPr>
            </w:pPr>
            <w:r>
              <w:rPr>
                <w:sz w:val="11"/>
              </w:rPr>
              <w:t>10.9%</w:t>
            </w:r>
          </w:p>
        </w:tc>
      </w:tr>
      <w:tr>
        <w:trPr>
          <w:trHeight w:val="230" w:hRule="atLeast"/>
        </w:trPr>
        <w:tc>
          <w:tcPr>
            <w:tcW w:w="4456" w:type="dxa"/>
            <w:gridSpan w:val="3"/>
          </w:tcPr>
          <w:p>
            <w:pPr>
              <w:pStyle w:val="TableParagraph"/>
              <w:tabs>
                <w:tab w:pos="4280" w:val="right" w:leader="none"/>
              </w:tabs>
              <w:spacing w:before="51"/>
              <w:ind w:left="90"/>
              <w:rPr>
                <w:sz w:val="11"/>
              </w:rPr>
            </w:pPr>
            <w:r>
              <w:rPr>
                <w:sz w:val="11"/>
              </w:rPr>
              <w:t>OPEB,</w:t>
            </w:r>
            <w:r>
              <w:rPr>
                <w:spacing w:val="-1"/>
                <w:sz w:val="11"/>
              </w:rPr>
              <w:t> </w:t>
            </w:r>
            <w:r>
              <w:rPr>
                <w:sz w:val="11"/>
              </w:rPr>
              <w:t>Allocated</w:t>
              <w:tab/>
              <w:t>3701-3702</w:t>
            </w:r>
          </w:p>
        </w:tc>
        <w:tc>
          <w:tcPr>
            <w:tcW w:w="1245" w:type="dxa"/>
            <w:gridSpan w:val="2"/>
          </w:tcPr>
          <w:p>
            <w:pPr>
              <w:pStyle w:val="TableParagraph"/>
              <w:spacing w:before="51"/>
              <w:ind w:left="753"/>
              <w:rPr>
                <w:sz w:val="11"/>
              </w:rPr>
            </w:pPr>
            <w:r>
              <w:rPr>
                <w:sz w:val="11"/>
              </w:rPr>
              <w:t>0.00</w:t>
            </w:r>
          </w:p>
        </w:tc>
        <w:tc>
          <w:tcPr>
            <w:tcW w:w="1100" w:type="dxa"/>
          </w:tcPr>
          <w:p>
            <w:pPr>
              <w:pStyle w:val="TableParagraph"/>
              <w:spacing w:before="51"/>
              <w:ind w:right="262"/>
              <w:jc w:val="right"/>
              <w:rPr>
                <w:sz w:val="11"/>
              </w:rPr>
            </w:pPr>
            <w:r>
              <w:rPr>
                <w:sz w:val="11"/>
              </w:rPr>
              <w:t>0.00</w:t>
            </w:r>
          </w:p>
        </w:tc>
        <w:tc>
          <w:tcPr>
            <w:tcW w:w="984" w:type="dxa"/>
          </w:tcPr>
          <w:p>
            <w:pPr>
              <w:pStyle w:val="TableParagraph"/>
              <w:spacing w:before="51"/>
              <w:ind w:right="137"/>
              <w:jc w:val="right"/>
              <w:rPr>
                <w:sz w:val="11"/>
              </w:rPr>
            </w:pPr>
            <w:r>
              <w:rPr>
                <w:sz w:val="11"/>
              </w:rPr>
              <w:t>0.00</w:t>
            </w:r>
          </w:p>
        </w:tc>
        <w:tc>
          <w:tcPr>
            <w:tcW w:w="1064" w:type="dxa"/>
          </w:tcPr>
          <w:p>
            <w:pPr>
              <w:pStyle w:val="TableParagraph"/>
              <w:spacing w:before="51"/>
              <w:ind w:right="92"/>
              <w:jc w:val="right"/>
              <w:rPr>
                <w:sz w:val="11"/>
              </w:rPr>
            </w:pPr>
            <w:r>
              <w:rPr>
                <w:sz w:val="11"/>
              </w:rPr>
              <w:t>0.00</w:t>
            </w:r>
          </w:p>
        </w:tc>
        <w:tc>
          <w:tcPr>
            <w:tcW w:w="1172" w:type="dxa"/>
          </w:tcPr>
          <w:p>
            <w:pPr>
              <w:pStyle w:val="TableParagraph"/>
              <w:spacing w:before="51"/>
              <w:ind w:right="155"/>
              <w:jc w:val="right"/>
              <w:rPr>
                <w:sz w:val="11"/>
              </w:rPr>
            </w:pPr>
            <w:r>
              <w:rPr>
                <w:sz w:val="11"/>
              </w:rPr>
              <w:t>0.00</w:t>
            </w:r>
          </w:p>
        </w:tc>
        <w:tc>
          <w:tcPr>
            <w:tcW w:w="1023" w:type="dxa"/>
          </w:tcPr>
          <w:p>
            <w:pPr>
              <w:pStyle w:val="TableParagraph"/>
              <w:spacing w:before="51"/>
              <w:ind w:right="69"/>
              <w:jc w:val="right"/>
              <w:rPr>
                <w:sz w:val="11"/>
              </w:rPr>
            </w:pPr>
            <w:r>
              <w:rPr>
                <w:sz w:val="11"/>
              </w:rPr>
              <w:t>0.00</w:t>
            </w:r>
          </w:p>
        </w:tc>
        <w:tc>
          <w:tcPr>
            <w:tcW w:w="596" w:type="dxa"/>
          </w:tcPr>
          <w:p>
            <w:pPr>
              <w:pStyle w:val="TableParagraph"/>
              <w:spacing w:before="51"/>
              <w:ind w:right="23"/>
              <w:jc w:val="right"/>
              <w:rPr>
                <w:sz w:val="11"/>
              </w:rPr>
            </w:pPr>
            <w:r>
              <w:rPr>
                <w:sz w:val="11"/>
              </w:rPr>
              <w:t>0.0%</w:t>
            </w:r>
          </w:p>
        </w:tc>
      </w:tr>
      <w:tr>
        <w:trPr>
          <w:trHeight w:val="230" w:hRule="atLeast"/>
        </w:trPr>
        <w:tc>
          <w:tcPr>
            <w:tcW w:w="4456" w:type="dxa"/>
            <w:gridSpan w:val="3"/>
          </w:tcPr>
          <w:p>
            <w:pPr>
              <w:pStyle w:val="TableParagraph"/>
              <w:tabs>
                <w:tab w:pos="4280" w:val="right" w:leader="none"/>
              </w:tabs>
              <w:spacing w:before="51"/>
              <w:ind w:left="90"/>
              <w:rPr>
                <w:sz w:val="11"/>
              </w:rPr>
            </w:pPr>
            <w:r>
              <w:rPr>
                <w:sz w:val="11"/>
              </w:rPr>
              <w:t>OPEB,</w:t>
            </w:r>
            <w:r>
              <w:rPr>
                <w:spacing w:val="-1"/>
                <w:sz w:val="11"/>
              </w:rPr>
              <w:t> </w:t>
            </w:r>
            <w:r>
              <w:rPr>
                <w:sz w:val="11"/>
              </w:rPr>
              <w:t>Active Employees</w:t>
              <w:tab/>
              <w:t>3751-3752</w:t>
            </w:r>
          </w:p>
        </w:tc>
        <w:tc>
          <w:tcPr>
            <w:tcW w:w="1245" w:type="dxa"/>
            <w:gridSpan w:val="2"/>
          </w:tcPr>
          <w:p>
            <w:pPr>
              <w:pStyle w:val="TableParagraph"/>
              <w:spacing w:before="51"/>
              <w:ind w:left="753"/>
              <w:rPr>
                <w:sz w:val="11"/>
              </w:rPr>
            </w:pPr>
            <w:r>
              <w:rPr>
                <w:sz w:val="11"/>
              </w:rPr>
              <w:t>0.00</w:t>
            </w:r>
          </w:p>
        </w:tc>
        <w:tc>
          <w:tcPr>
            <w:tcW w:w="1100" w:type="dxa"/>
          </w:tcPr>
          <w:p>
            <w:pPr>
              <w:pStyle w:val="TableParagraph"/>
              <w:spacing w:before="51"/>
              <w:ind w:right="262"/>
              <w:jc w:val="right"/>
              <w:rPr>
                <w:sz w:val="11"/>
              </w:rPr>
            </w:pPr>
            <w:r>
              <w:rPr>
                <w:sz w:val="11"/>
              </w:rPr>
              <w:t>0.00</w:t>
            </w:r>
          </w:p>
        </w:tc>
        <w:tc>
          <w:tcPr>
            <w:tcW w:w="984" w:type="dxa"/>
          </w:tcPr>
          <w:p>
            <w:pPr>
              <w:pStyle w:val="TableParagraph"/>
              <w:spacing w:before="51"/>
              <w:ind w:right="137"/>
              <w:jc w:val="right"/>
              <w:rPr>
                <w:sz w:val="11"/>
              </w:rPr>
            </w:pPr>
            <w:r>
              <w:rPr>
                <w:sz w:val="11"/>
              </w:rPr>
              <w:t>0.00</w:t>
            </w:r>
          </w:p>
        </w:tc>
        <w:tc>
          <w:tcPr>
            <w:tcW w:w="1064" w:type="dxa"/>
          </w:tcPr>
          <w:p>
            <w:pPr>
              <w:pStyle w:val="TableParagraph"/>
              <w:spacing w:before="51"/>
              <w:ind w:right="92"/>
              <w:jc w:val="right"/>
              <w:rPr>
                <w:sz w:val="11"/>
              </w:rPr>
            </w:pPr>
            <w:r>
              <w:rPr>
                <w:sz w:val="11"/>
              </w:rPr>
              <w:t>0.00</w:t>
            </w:r>
          </w:p>
        </w:tc>
        <w:tc>
          <w:tcPr>
            <w:tcW w:w="1172" w:type="dxa"/>
          </w:tcPr>
          <w:p>
            <w:pPr>
              <w:pStyle w:val="TableParagraph"/>
              <w:spacing w:before="51"/>
              <w:ind w:right="155"/>
              <w:jc w:val="right"/>
              <w:rPr>
                <w:sz w:val="11"/>
              </w:rPr>
            </w:pPr>
            <w:r>
              <w:rPr>
                <w:sz w:val="11"/>
              </w:rPr>
              <w:t>0.00</w:t>
            </w:r>
          </w:p>
        </w:tc>
        <w:tc>
          <w:tcPr>
            <w:tcW w:w="1023" w:type="dxa"/>
          </w:tcPr>
          <w:p>
            <w:pPr>
              <w:pStyle w:val="TableParagraph"/>
              <w:spacing w:before="51"/>
              <w:ind w:right="69"/>
              <w:jc w:val="right"/>
              <w:rPr>
                <w:sz w:val="11"/>
              </w:rPr>
            </w:pPr>
            <w:r>
              <w:rPr>
                <w:sz w:val="11"/>
              </w:rPr>
              <w:t>0.00</w:t>
            </w:r>
          </w:p>
        </w:tc>
        <w:tc>
          <w:tcPr>
            <w:tcW w:w="596" w:type="dxa"/>
          </w:tcPr>
          <w:p>
            <w:pPr>
              <w:pStyle w:val="TableParagraph"/>
              <w:spacing w:before="51"/>
              <w:ind w:right="23"/>
              <w:jc w:val="right"/>
              <w:rPr>
                <w:sz w:val="11"/>
              </w:rPr>
            </w:pPr>
            <w:r>
              <w:rPr>
                <w:sz w:val="11"/>
              </w:rPr>
              <w:t>0.0%</w:t>
            </w:r>
          </w:p>
        </w:tc>
      </w:tr>
      <w:tr>
        <w:trPr>
          <w:trHeight w:val="230" w:hRule="atLeast"/>
        </w:trPr>
        <w:tc>
          <w:tcPr>
            <w:tcW w:w="4456" w:type="dxa"/>
            <w:gridSpan w:val="3"/>
          </w:tcPr>
          <w:p>
            <w:pPr>
              <w:pStyle w:val="TableParagraph"/>
              <w:tabs>
                <w:tab w:pos="4280" w:val="right" w:leader="none"/>
              </w:tabs>
              <w:spacing w:before="51"/>
              <w:ind w:left="90"/>
              <w:rPr>
                <w:sz w:val="11"/>
              </w:rPr>
            </w:pPr>
            <w:r>
              <w:rPr>
                <w:sz w:val="11"/>
              </w:rPr>
              <w:t>Other</w:t>
            </w:r>
            <w:r>
              <w:rPr>
                <w:spacing w:val="1"/>
                <w:sz w:val="11"/>
              </w:rPr>
              <w:t> </w:t>
            </w:r>
            <w:r>
              <w:rPr>
                <w:sz w:val="11"/>
              </w:rPr>
              <w:t>Employee Benefits</w:t>
              <w:tab/>
              <w:t>3901-3902</w:t>
            </w:r>
          </w:p>
        </w:tc>
        <w:tc>
          <w:tcPr>
            <w:tcW w:w="1245" w:type="dxa"/>
            <w:gridSpan w:val="2"/>
          </w:tcPr>
          <w:p>
            <w:pPr>
              <w:pStyle w:val="TableParagraph"/>
              <w:spacing w:before="51"/>
              <w:ind w:left="753"/>
              <w:rPr>
                <w:sz w:val="11"/>
              </w:rPr>
            </w:pPr>
            <w:r>
              <w:rPr>
                <w:sz w:val="11"/>
              </w:rPr>
              <w:t>0.00</w:t>
            </w:r>
          </w:p>
        </w:tc>
        <w:tc>
          <w:tcPr>
            <w:tcW w:w="1100" w:type="dxa"/>
          </w:tcPr>
          <w:p>
            <w:pPr>
              <w:pStyle w:val="TableParagraph"/>
              <w:spacing w:before="51"/>
              <w:ind w:right="262"/>
              <w:jc w:val="right"/>
              <w:rPr>
                <w:sz w:val="11"/>
              </w:rPr>
            </w:pPr>
            <w:r>
              <w:rPr>
                <w:sz w:val="11"/>
              </w:rPr>
              <w:t>0.00</w:t>
            </w:r>
          </w:p>
        </w:tc>
        <w:tc>
          <w:tcPr>
            <w:tcW w:w="984" w:type="dxa"/>
          </w:tcPr>
          <w:p>
            <w:pPr>
              <w:pStyle w:val="TableParagraph"/>
              <w:spacing w:before="51"/>
              <w:ind w:right="137"/>
              <w:jc w:val="right"/>
              <w:rPr>
                <w:sz w:val="11"/>
              </w:rPr>
            </w:pPr>
            <w:r>
              <w:rPr>
                <w:sz w:val="11"/>
              </w:rPr>
              <w:t>0.00</w:t>
            </w:r>
          </w:p>
        </w:tc>
        <w:tc>
          <w:tcPr>
            <w:tcW w:w="1064" w:type="dxa"/>
          </w:tcPr>
          <w:p>
            <w:pPr>
              <w:pStyle w:val="TableParagraph"/>
              <w:spacing w:before="51"/>
              <w:ind w:right="92"/>
              <w:jc w:val="right"/>
              <w:rPr>
                <w:sz w:val="11"/>
              </w:rPr>
            </w:pPr>
            <w:r>
              <w:rPr>
                <w:sz w:val="11"/>
              </w:rPr>
              <w:t>0.00</w:t>
            </w:r>
          </w:p>
        </w:tc>
        <w:tc>
          <w:tcPr>
            <w:tcW w:w="1172" w:type="dxa"/>
          </w:tcPr>
          <w:p>
            <w:pPr>
              <w:pStyle w:val="TableParagraph"/>
              <w:spacing w:before="51"/>
              <w:ind w:right="155"/>
              <w:jc w:val="right"/>
              <w:rPr>
                <w:sz w:val="11"/>
              </w:rPr>
            </w:pPr>
            <w:r>
              <w:rPr>
                <w:sz w:val="11"/>
              </w:rPr>
              <w:t>0.00</w:t>
            </w:r>
          </w:p>
        </w:tc>
        <w:tc>
          <w:tcPr>
            <w:tcW w:w="1023" w:type="dxa"/>
          </w:tcPr>
          <w:p>
            <w:pPr>
              <w:pStyle w:val="TableParagraph"/>
              <w:spacing w:before="51"/>
              <w:ind w:right="69"/>
              <w:jc w:val="right"/>
              <w:rPr>
                <w:sz w:val="11"/>
              </w:rPr>
            </w:pPr>
            <w:r>
              <w:rPr>
                <w:sz w:val="11"/>
              </w:rPr>
              <w:t>0.00</w:t>
            </w:r>
          </w:p>
        </w:tc>
        <w:tc>
          <w:tcPr>
            <w:tcW w:w="596" w:type="dxa"/>
          </w:tcPr>
          <w:p>
            <w:pPr>
              <w:pStyle w:val="TableParagraph"/>
              <w:spacing w:before="51"/>
              <w:ind w:right="23"/>
              <w:jc w:val="right"/>
              <w:rPr>
                <w:sz w:val="11"/>
              </w:rPr>
            </w:pPr>
            <w:r>
              <w:rPr>
                <w:sz w:val="11"/>
              </w:rPr>
              <w:t>0.0%</w:t>
            </w:r>
          </w:p>
        </w:tc>
      </w:tr>
      <w:tr>
        <w:trPr>
          <w:trHeight w:val="421" w:hRule="atLeast"/>
        </w:trPr>
        <w:tc>
          <w:tcPr>
            <w:tcW w:w="4456" w:type="dxa"/>
            <w:gridSpan w:val="3"/>
          </w:tcPr>
          <w:p>
            <w:pPr>
              <w:pStyle w:val="TableParagraph"/>
              <w:spacing w:before="51"/>
              <w:ind w:left="90"/>
              <w:rPr>
                <w:sz w:val="11"/>
              </w:rPr>
            </w:pPr>
            <w:r>
              <w:rPr>
                <w:sz w:val="11"/>
              </w:rPr>
              <w:t>TOTAL, EMPLOYEE BENEFITS</w:t>
            </w:r>
          </w:p>
          <w:p>
            <w:pPr>
              <w:pStyle w:val="TableParagraph"/>
              <w:spacing w:line="122" w:lineRule="exact" w:before="101"/>
              <w:ind w:left="28"/>
              <w:rPr>
                <w:b/>
                <w:sz w:val="11"/>
              </w:rPr>
            </w:pPr>
            <w:r>
              <w:rPr>
                <w:b/>
                <w:sz w:val="11"/>
              </w:rPr>
              <w:t>BOOKS AND SUPPLIES</w:t>
            </w:r>
          </w:p>
        </w:tc>
        <w:tc>
          <w:tcPr>
            <w:tcW w:w="1245" w:type="dxa"/>
            <w:gridSpan w:val="2"/>
          </w:tcPr>
          <w:p>
            <w:pPr>
              <w:pStyle w:val="TableParagraph"/>
              <w:spacing w:before="51"/>
              <w:ind w:left="410"/>
              <w:rPr>
                <w:sz w:val="11"/>
              </w:rPr>
            </w:pPr>
            <w:r>
              <w:rPr>
                <w:sz w:val="11"/>
              </w:rPr>
              <w:t>219,504.00</w:t>
            </w:r>
          </w:p>
        </w:tc>
        <w:tc>
          <w:tcPr>
            <w:tcW w:w="1100" w:type="dxa"/>
          </w:tcPr>
          <w:p>
            <w:pPr>
              <w:pStyle w:val="TableParagraph"/>
              <w:spacing w:before="51"/>
              <w:ind w:right="262"/>
              <w:jc w:val="right"/>
              <w:rPr>
                <w:sz w:val="11"/>
              </w:rPr>
            </w:pPr>
            <w:r>
              <w:rPr>
                <w:sz w:val="11"/>
              </w:rPr>
              <w:t>157,503.00</w:t>
            </w:r>
          </w:p>
        </w:tc>
        <w:tc>
          <w:tcPr>
            <w:tcW w:w="984" w:type="dxa"/>
          </w:tcPr>
          <w:p>
            <w:pPr>
              <w:pStyle w:val="TableParagraph"/>
              <w:spacing w:before="51"/>
              <w:ind w:right="137"/>
              <w:jc w:val="right"/>
              <w:rPr>
                <w:sz w:val="11"/>
              </w:rPr>
            </w:pPr>
            <w:r>
              <w:rPr>
                <w:sz w:val="11"/>
              </w:rPr>
              <w:t>377,007.00</w:t>
            </w:r>
          </w:p>
        </w:tc>
        <w:tc>
          <w:tcPr>
            <w:tcW w:w="1064" w:type="dxa"/>
          </w:tcPr>
          <w:p>
            <w:pPr>
              <w:pStyle w:val="TableParagraph"/>
              <w:spacing w:before="51"/>
              <w:ind w:right="92"/>
              <w:jc w:val="right"/>
              <w:rPr>
                <w:sz w:val="11"/>
              </w:rPr>
            </w:pPr>
            <w:r>
              <w:rPr>
                <w:sz w:val="11"/>
              </w:rPr>
              <w:t>240,012.00</w:t>
            </w:r>
          </w:p>
        </w:tc>
        <w:tc>
          <w:tcPr>
            <w:tcW w:w="1172" w:type="dxa"/>
          </w:tcPr>
          <w:p>
            <w:pPr>
              <w:pStyle w:val="TableParagraph"/>
              <w:spacing w:before="51"/>
              <w:ind w:right="155"/>
              <w:jc w:val="right"/>
              <w:rPr>
                <w:sz w:val="11"/>
              </w:rPr>
            </w:pPr>
            <w:r>
              <w:rPr>
                <w:sz w:val="11"/>
              </w:rPr>
              <w:t>179,309.00</w:t>
            </w:r>
          </w:p>
        </w:tc>
        <w:tc>
          <w:tcPr>
            <w:tcW w:w="1023" w:type="dxa"/>
          </w:tcPr>
          <w:p>
            <w:pPr>
              <w:pStyle w:val="TableParagraph"/>
              <w:spacing w:before="51"/>
              <w:ind w:right="70"/>
              <w:jc w:val="right"/>
              <w:rPr>
                <w:sz w:val="11"/>
              </w:rPr>
            </w:pPr>
            <w:r>
              <w:rPr>
                <w:sz w:val="11"/>
              </w:rPr>
              <w:t>419,321.00</w:t>
            </w:r>
          </w:p>
        </w:tc>
        <w:tc>
          <w:tcPr>
            <w:tcW w:w="596" w:type="dxa"/>
          </w:tcPr>
          <w:p>
            <w:pPr>
              <w:pStyle w:val="TableParagraph"/>
              <w:spacing w:before="51"/>
              <w:ind w:right="24"/>
              <w:jc w:val="right"/>
              <w:rPr>
                <w:sz w:val="11"/>
              </w:rPr>
            </w:pPr>
            <w:r>
              <w:rPr>
                <w:sz w:val="11"/>
              </w:rPr>
              <w:t>11.2%</w:t>
            </w:r>
          </w:p>
        </w:tc>
      </w:tr>
      <w:tr>
        <w:trPr>
          <w:trHeight w:val="421" w:hRule="atLeast"/>
        </w:trPr>
        <w:tc>
          <w:tcPr>
            <w:tcW w:w="4456" w:type="dxa"/>
            <w:gridSpan w:val="3"/>
          </w:tcPr>
          <w:p>
            <w:pPr>
              <w:pStyle w:val="TableParagraph"/>
              <w:tabs>
                <w:tab w:pos="4137" w:val="right" w:leader="none"/>
              </w:tabs>
              <w:spacing w:before="242"/>
              <w:ind w:left="90"/>
              <w:rPr>
                <w:sz w:val="11"/>
              </w:rPr>
            </w:pPr>
            <w:r>
              <w:rPr>
                <w:sz w:val="11"/>
              </w:rPr>
              <w:t>Approved Textbooks and Core</w:t>
            </w:r>
            <w:r>
              <w:rPr>
                <w:spacing w:val="4"/>
                <w:sz w:val="11"/>
              </w:rPr>
              <w:t> </w:t>
            </w:r>
            <w:r>
              <w:rPr>
                <w:sz w:val="11"/>
              </w:rPr>
              <w:t>Curricula</w:t>
            </w:r>
            <w:r>
              <w:rPr>
                <w:spacing w:val="1"/>
                <w:sz w:val="11"/>
              </w:rPr>
              <w:t> </w:t>
            </w:r>
            <w:r>
              <w:rPr>
                <w:sz w:val="11"/>
              </w:rPr>
              <w:t>Materials</w:t>
              <w:tab/>
              <w:t>4100</w:t>
            </w:r>
          </w:p>
        </w:tc>
        <w:tc>
          <w:tcPr>
            <w:tcW w:w="1245" w:type="dxa"/>
            <w:gridSpan w:val="2"/>
          </w:tcPr>
          <w:p>
            <w:pPr>
              <w:pStyle w:val="TableParagraph"/>
              <w:rPr>
                <w:sz w:val="12"/>
              </w:rPr>
            </w:pPr>
          </w:p>
          <w:p>
            <w:pPr>
              <w:pStyle w:val="TableParagraph"/>
              <w:spacing w:before="104"/>
              <w:ind w:left="753"/>
              <w:rPr>
                <w:sz w:val="11"/>
              </w:rPr>
            </w:pPr>
            <w:r>
              <w:rPr>
                <w:sz w:val="11"/>
              </w:rPr>
              <w:t>0.00</w:t>
            </w:r>
          </w:p>
        </w:tc>
        <w:tc>
          <w:tcPr>
            <w:tcW w:w="1100" w:type="dxa"/>
          </w:tcPr>
          <w:p>
            <w:pPr>
              <w:pStyle w:val="TableParagraph"/>
              <w:rPr>
                <w:sz w:val="12"/>
              </w:rPr>
            </w:pPr>
          </w:p>
          <w:p>
            <w:pPr>
              <w:pStyle w:val="TableParagraph"/>
              <w:spacing w:before="104"/>
              <w:ind w:right="262"/>
              <w:jc w:val="right"/>
              <w:rPr>
                <w:sz w:val="11"/>
              </w:rPr>
            </w:pPr>
            <w:r>
              <w:rPr>
                <w:sz w:val="11"/>
              </w:rPr>
              <w:t>5,581.00</w:t>
            </w:r>
          </w:p>
        </w:tc>
        <w:tc>
          <w:tcPr>
            <w:tcW w:w="984" w:type="dxa"/>
          </w:tcPr>
          <w:p>
            <w:pPr>
              <w:pStyle w:val="TableParagraph"/>
              <w:rPr>
                <w:sz w:val="12"/>
              </w:rPr>
            </w:pPr>
          </w:p>
          <w:p>
            <w:pPr>
              <w:pStyle w:val="TableParagraph"/>
              <w:spacing w:before="104"/>
              <w:ind w:right="137"/>
              <w:jc w:val="right"/>
              <w:rPr>
                <w:sz w:val="11"/>
              </w:rPr>
            </w:pPr>
            <w:r>
              <w:rPr>
                <w:sz w:val="11"/>
              </w:rPr>
              <w:t>5,581.00</w:t>
            </w:r>
          </w:p>
        </w:tc>
        <w:tc>
          <w:tcPr>
            <w:tcW w:w="1064" w:type="dxa"/>
          </w:tcPr>
          <w:p>
            <w:pPr>
              <w:pStyle w:val="TableParagraph"/>
              <w:rPr>
                <w:sz w:val="12"/>
              </w:rPr>
            </w:pPr>
          </w:p>
          <w:p>
            <w:pPr>
              <w:pStyle w:val="TableParagraph"/>
              <w:spacing w:before="104"/>
              <w:ind w:right="92"/>
              <w:jc w:val="right"/>
              <w:rPr>
                <w:sz w:val="11"/>
              </w:rPr>
            </w:pPr>
            <w:r>
              <w:rPr>
                <w:sz w:val="11"/>
              </w:rPr>
              <w:t>17,036.00</w:t>
            </w:r>
          </w:p>
        </w:tc>
        <w:tc>
          <w:tcPr>
            <w:tcW w:w="1172" w:type="dxa"/>
          </w:tcPr>
          <w:p>
            <w:pPr>
              <w:pStyle w:val="TableParagraph"/>
              <w:rPr>
                <w:sz w:val="12"/>
              </w:rPr>
            </w:pPr>
          </w:p>
          <w:p>
            <w:pPr>
              <w:pStyle w:val="TableParagraph"/>
              <w:spacing w:before="104"/>
              <w:ind w:right="156"/>
              <w:jc w:val="right"/>
              <w:rPr>
                <w:sz w:val="11"/>
              </w:rPr>
            </w:pPr>
            <w:r>
              <w:rPr>
                <w:sz w:val="11"/>
              </w:rPr>
              <w:t>7,964.00</w:t>
            </w:r>
          </w:p>
        </w:tc>
        <w:tc>
          <w:tcPr>
            <w:tcW w:w="1023" w:type="dxa"/>
          </w:tcPr>
          <w:p>
            <w:pPr>
              <w:pStyle w:val="TableParagraph"/>
              <w:rPr>
                <w:sz w:val="12"/>
              </w:rPr>
            </w:pPr>
          </w:p>
          <w:p>
            <w:pPr>
              <w:pStyle w:val="TableParagraph"/>
              <w:spacing w:before="104"/>
              <w:ind w:right="70"/>
              <w:jc w:val="right"/>
              <w:rPr>
                <w:sz w:val="11"/>
              </w:rPr>
            </w:pPr>
            <w:r>
              <w:rPr>
                <w:sz w:val="11"/>
              </w:rPr>
              <w:t>25,000.00</w:t>
            </w:r>
          </w:p>
        </w:tc>
        <w:tc>
          <w:tcPr>
            <w:tcW w:w="596" w:type="dxa"/>
          </w:tcPr>
          <w:p>
            <w:pPr>
              <w:pStyle w:val="TableParagraph"/>
              <w:rPr>
                <w:sz w:val="12"/>
              </w:rPr>
            </w:pPr>
          </w:p>
          <w:p>
            <w:pPr>
              <w:pStyle w:val="TableParagraph"/>
              <w:spacing w:before="104"/>
              <w:ind w:right="23"/>
              <w:jc w:val="right"/>
              <w:rPr>
                <w:sz w:val="11"/>
              </w:rPr>
            </w:pPr>
            <w:r>
              <w:rPr>
                <w:sz w:val="11"/>
              </w:rPr>
              <w:t>347.9%</w:t>
            </w:r>
          </w:p>
        </w:tc>
      </w:tr>
      <w:tr>
        <w:trPr>
          <w:trHeight w:val="230" w:hRule="atLeast"/>
        </w:trPr>
        <w:tc>
          <w:tcPr>
            <w:tcW w:w="4456" w:type="dxa"/>
            <w:gridSpan w:val="3"/>
          </w:tcPr>
          <w:p>
            <w:pPr>
              <w:pStyle w:val="TableParagraph"/>
              <w:tabs>
                <w:tab w:pos="4137" w:val="right" w:leader="none"/>
              </w:tabs>
              <w:spacing w:before="51"/>
              <w:ind w:left="90"/>
              <w:rPr>
                <w:sz w:val="11"/>
              </w:rPr>
            </w:pPr>
            <w:r>
              <w:rPr>
                <w:sz w:val="11"/>
              </w:rPr>
              <w:t>Books and Other</w:t>
            </w:r>
            <w:r>
              <w:rPr>
                <w:spacing w:val="3"/>
                <w:sz w:val="11"/>
              </w:rPr>
              <w:t> </w:t>
            </w:r>
            <w:r>
              <w:rPr>
                <w:sz w:val="11"/>
              </w:rPr>
              <w:t>Reference</w:t>
            </w:r>
            <w:r>
              <w:rPr>
                <w:spacing w:val="1"/>
                <w:sz w:val="11"/>
              </w:rPr>
              <w:t> </w:t>
            </w:r>
            <w:r>
              <w:rPr>
                <w:sz w:val="11"/>
              </w:rPr>
              <w:t>Materials</w:t>
              <w:tab/>
              <w:t>4200</w:t>
            </w:r>
          </w:p>
        </w:tc>
        <w:tc>
          <w:tcPr>
            <w:tcW w:w="1245" w:type="dxa"/>
            <w:gridSpan w:val="2"/>
          </w:tcPr>
          <w:p>
            <w:pPr>
              <w:pStyle w:val="TableParagraph"/>
              <w:spacing w:before="51"/>
              <w:ind w:left="753"/>
              <w:rPr>
                <w:sz w:val="11"/>
              </w:rPr>
            </w:pPr>
            <w:r>
              <w:rPr>
                <w:sz w:val="11"/>
              </w:rPr>
              <w:t>0.00</w:t>
            </w:r>
          </w:p>
        </w:tc>
        <w:tc>
          <w:tcPr>
            <w:tcW w:w="1100" w:type="dxa"/>
          </w:tcPr>
          <w:p>
            <w:pPr>
              <w:pStyle w:val="TableParagraph"/>
              <w:spacing w:before="51"/>
              <w:ind w:right="262"/>
              <w:jc w:val="right"/>
              <w:rPr>
                <w:sz w:val="11"/>
              </w:rPr>
            </w:pPr>
            <w:r>
              <w:rPr>
                <w:sz w:val="11"/>
              </w:rPr>
              <w:t>0.00</w:t>
            </w:r>
          </w:p>
        </w:tc>
        <w:tc>
          <w:tcPr>
            <w:tcW w:w="984" w:type="dxa"/>
          </w:tcPr>
          <w:p>
            <w:pPr>
              <w:pStyle w:val="TableParagraph"/>
              <w:spacing w:before="51"/>
              <w:ind w:right="137"/>
              <w:jc w:val="right"/>
              <w:rPr>
                <w:sz w:val="11"/>
              </w:rPr>
            </w:pPr>
            <w:r>
              <w:rPr>
                <w:sz w:val="11"/>
              </w:rPr>
              <w:t>0.00</w:t>
            </w:r>
          </w:p>
        </w:tc>
        <w:tc>
          <w:tcPr>
            <w:tcW w:w="1064" w:type="dxa"/>
          </w:tcPr>
          <w:p>
            <w:pPr>
              <w:pStyle w:val="TableParagraph"/>
              <w:spacing w:before="51"/>
              <w:ind w:right="92"/>
              <w:jc w:val="right"/>
              <w:rPr>
                <w:sz w:val="11"/>
              </w:rPr>
            </w:pPr>
            <w:r>
              <w:rPr>
                <w:sz w:val="11"/>
              </w:rPr>
              <w:t>0.00</w:t>
            </w:r>
          </w:p>
        </w:tc>
        <w:tc>
          <w:tcPr>
            <w:tcW w:w="1172" w:type="dxa"/>
          </w:tcPr>
          <w:p>
            <w:pPr>
              <w:pStyle w:val="TableParagraph"/>
              <w:spacing w:before="51"/>
              <w:ind w:right="155"/>
              <w:jc w:val="right"/>
              <w:rPr>
                <w:sz w:val="11"/>
              </w:rPr>
            </w:pPr>
            <w:r>
              <w:rPr>
                <w:sz w:val="11"/>
              </w:rPr>
              <w:t>0.00</w:t>
            </w:r>
          </w:p>
        </w:tc>
        <w:tc>
          <w:tcPr>
            <w:tcW w:w="1023" w:type="dxa"/>
          </w:tcPr>
          <w:p>
            <w:pPr>
              <w:pStyle w:val="TableParagraph"/>
              <w:spacing w:before="51"/>
              <w:ind w:right="69"/>
              <w:jc w:val="right"/>
              <w:rPr>
                <w:sz w:val="11"/>
              </w:rPr>
            </w:pPr>
            <w:r>
              <w:rPr>
                <w:sz w:val="11"/>
              </w:rPr>
              <w:t>0.00</w:t>
            </w:r>
          </w:p>
        </w:tc>
        <w:tc>
          <w:tcPr>
            <w:tcW w:w="596" w:type="dxa"/>
          </w:tcPr>
          <w:p>
            <w:pPr>
              <w:pStyle w:val="TableParagraph"/>
              <w:spacing w:before="51"/>
              <w:ind w:right="23"/>
              <w:jc w:val="right"/>
              <w:rPr>
                <w:sz w:val="11"/>
              </w:rPr>
            </w:pPr>
            <w:r>
              <w:rPr>
                <w:sz w:val="11"/>
              </w:rPr>
              <w:t>0.0%</w:t>
            </w:r>
          </w:p>
        </w:tc>
      </w:tr>
      <w:tr>
        <w:trPr>
          <w:trHeight w:val="230" w:hRule="atLeast"/>
        </w:trPr>
        <w:tc>
          <w:tcPr>
            <w:tcW w:w="4456" w:type="dxa"/>
            <w:gridSpan w:val="3"/>
          </w:tcPr>
          <w:p>
            <w:pPr>
              <w:pStyle w:val="TableParagraph"/>
              <w:tabs>
                <w:tab w:pos="4137" w:val="right" w:leader="none"/>
              </w:tabs>
              <w:spacing w:before="51"/>
              <w:ind w:left="90"/>
              <w:rPr>
                <w:sz w:val="11"/>
              </w:rPr>
            </w:pPr>
            <w:r>
              <w:rPr>
                <w:sz w:val="11"/>
              </w:rPr>
              <w:t>Materials</w:t>
            </w:r>
            <w:r>
              <w:rPr>
                <w:spacing w:val="1"/>
                <w:sz w:val="11"/>
              </w:rPr>
              <w:t> </w:t>
            </w:r>
            <w:r>
              <w:rPr>
                <w:sz w:val="11"/>
              </w:rPr>
              <w:t>and Supplies</w:t>
              <w:tab/>
              <w:t>4300</w:t>
            </w:r>
          </w:p>
        </w:tc>
        <w:tc>
          <w:tcPr>
            <w:tcW w:w="1245" w:type="dxa"/>
            <w:gridSpan w:val="2"/>
          </w:tcPr>
          <w:p>
            <w:pPr>
              <w:pStyle w:val="TableParagraph"/>
              <w:spacing w:before="51"/>
              <w:ind w:left="472"/>
              <w:rPr>
                <w:sz w:val="11"/>
              </w:rPr>
            </w:pPr>
            <w:r>
              <w:rPr>
                <w:sz w:val="11"/>
              </w:rPr>
              <w:t>37,221.00</w:t>
            </w:r>
          </w:p>
        </w:tc>
        <w:tc>
          <w:tcPr>
            <w:tcW w:w="1100" w:type="dxa"/>
          </w:tcPr>
          <w:p>
            <w:pPr>
              <w:pStyle w:val="TableParagraph"/>
              <w:spacing w:before="51"/>
              <w:ind w:right="262"/>
              <w:jc w:val="right"/>
              <w:rPr>
                <w:sz w:val="11"/>
              </w:rPr>
            </w:pPr>
            <w:r>
              <w:rPr>
                <w:sz w:val="11"/>
              </w:rPr>
              <w:t>60,492.00</w:t>
            </w:r>
          </w:p>
        </w:tc>
        <w:tc>
          <w:tcPr>
            <w:tcW w:w="984" w:type="dxa"/>
          </w:tcPr>
          <w:p>
            <w:pPr>
              <w:pStyle w:val="TableParagraph"/>
              <w:spacing w:before="51"/>
              <w:ind w:right="137"/>
              <w:jc w:val="right"/>
              <w:rPr>
                <w:sz w:val="11"/>
              </w:rPr>
            </w:pPr>
            <w:r>
              <w:rPr>
                <w:sz w:val="11"/>
              </w:rPr>
              <w:t>97,713.00</w:t>
            </w:r>
          </w:p>
        </w:tc>
        <w:tc>
          <w:tcPr>
            <w:tcW w:w="1064" w:type="dxa"/>
          </w:tcPr>
          <w:p>
            <w:pPr>
              <w:pStyle w:val="TableParagraph"/>
              <w:spacing w:before="51"/>
              <w:ind w:right="92"/>
              <w:jc w:val="right"/>
              <w:rPr>
                <w:sz w:val="11"/>
              </w:rPr>
            </w:pPr>
            <w:r>
              <w:rPr>
                <w:sz w:val="11"/>
              </w:rPr>
              <w:t>49,400.00</w:t>
            </w:r>
          </w:p>
        </w:tc>
        <w:tc>
          <w:tcPr>
            <w:tcW w:w="1172" w:type="dxa"/>
          </w:tcPr>
          <w:p>
            <w:pPr>
              <w:pStyle w:val="TableParagraph"/>
              <w:spacing w:before="51"/>
              <w:ind w:right="156"/>
              <w:jc w:val="right"/>
              <w:rPr>
                <w:sz w:val="11"/>
              </w:rPr>
            </w:pPr>
            <w:r>
              <w:rPr>
                <w:sz w:val="11"/>
              </w:rPr>
              <w:t>3,235.00</w:t>
            </w:r>
          </w:p>
        </w:tc>
        <w:tc>
          <w:tcPr>
            <w:tcW w:w="1023" w:type="dxa"/>
          </w:tcPr>
          <w:p>
            <w:pPr>
              <w:pStyle w:val="TableParagraph"/>
              <w:spacing w:before="51"/>
              <w:ind w:right="70"/>
              <w:jc w:val="right"/>
              <w:rPr>
                <w:sz w:val="11"/>
              </w:rPr>
            </w:pPr>
            <w:r>
              <w:rPr>
                <w:sz w:val="11"/>
              </w:rPr>
              <w:t>52,635.00</w:t>
            </w:r>
          </w:p>
        </w:tc>
        <w:tc>
          <w:tcPr>
            <w:tcW w:w="596" w:type="dxa"/>
          </w:tcPr>
          <w:p>
            <w:pPr>
              <w:pStyle w:val="TableParagraph"/>
              <w:spacing w:before="51"/>
              <w:ind w:right="23"/>
              <w:jc w:val="right"/>
              <w:rPr>
                <w:sz w:val="11"/>
              </w:rPr>
            </w:pPr>
            <w:r>
              <w:rPr>
                <w:sz w:val="11"/>
              </w:rPr>
              <w:t>-46.1%</w:t>
            </w:r>
          </w:p>
        </w:tc>
      </w:tr>
      <w:tr>
        <w:trPr>
          <w:trHeight w:val="230" w:hRule="atLeast"/>
        </w:trPr>
        <w:tc>
          <w:tcPr>
            <w:tcW w:w="4456" w:type="dxa"/>
            <w:gridSpan w:val="3"/>
          </w:tcPr>
          <w:p>
            <w:pPr>
              <w:pStyle w:val="TableParagraph"/>
              <w:tabs>
                <w:tab w:pos="4137" w:val="right" w:leader="none"/>
              </w:tabs>
              <w:spacing w:before="51"/>
              <w:ind w:left="90"/>
              <w:rPr>
                <w:sz w:val="11"/>
              </w:rPr>
            </w:pPr>
            <w:r>
              <w:rPr>
                <w:sz w:val="11"/>
              </w:rPr>
              <w:t>Noncapitalized Equipment</w:t>
              <w:tab/>
              <w:t>4400</w:t>
            </w:r>
          </w:p>
        </w:tc>
        <w:tc>
          <w:tcPr>
            <w:tcW w:w="1245" w:type="dxa"/>
            <w:gridSpan w:val="2"/>
          </w:tcPr>
          <w:p>
            <w:pPr>
              <w:pStyle w:val="TableParagraph"/>
              <w:spacing w:before="51"/>
              <w:ind w:left="535"/>
              <w:rPr>
                <w:sz w:val="11"/>
              </w:rPr>
            </w:pPr>
            <w:r>
              <w:rPr>
                <w:sz w:val="11"/>
              </w:rPr>
              <w:t>5,255.00</w:t>
            </w:r>
          </w:p>
        </w:tc>
        <w:tc>
          <w:tcPr>
            <w:tcW w:w="1100" w:type="dxa"/>
          </w:tcPr>
          <w:p>
            <w:pPr>
              <w:pStyle w:val="TableParagraph"/>
              <w:spacing w:before="51"/>
              <w:ind w:right="262"/>
              <w:jc w:val="right"/>
              <w:rPr>
                <w:sz w:val="11"/>
              </w:rPr>
            </w:pPr>
            <w:r>
              <w:rPr>
                <w:sz w:val="11"/>
              </w:rPr>
              <w:t>51,867.00</w:t>
            </w:r>
          </w:p>
        </w:tc>
        <w:tc>
          <w:tcPr>
            <w:tcW w:w="984" w:type="dxa"/>
          </w:tcPr>
          <w:p>
            <w:pPr>
              <w:pStyle w:val="TableParagraph"/>
              <w:spacing w:before="51"/>
              <w:ind w:right="137"/>
              <w:jc w:val="right"/>
              <w:rPr>
                <w:sz w:val="11"/>
              </w:rPr>
            </w:pPr>
            <w:r>
              <w:rPr>
                <w:sz w:val="11"/>
              </w:rPr>
              <w:t>57,122.00</w:t>
            </w:r>
          </w:p>
        </w:tc>
        <w:tc>
          <w:tcPr>
            <w:tcW w:w="1064" w:type="dxa"/>
          </w:tcPr>
          <w:p>
            <w:pPr>
              <w:pStyle w:val="TableParagraph"/>
              <w:spacing w:before="51"/>
              <w:ind w:right="93"/>
              <w:jc w:val="right"/>
              <w:rPr>
                <w:sz w:val="11"/>
              </w:rPr>
            </w:pPr>
            <w:r>
              <w:rPr>
                <w:sz w:val="11"/>
              </w:rPr>
              <w:t>5,255.00</w:t>
            </w:r>
          </w:p>
        </w:tc>
        <w:tc>
          <w:tcPr>
            <w:tcW w:w="1172" w:type="dxa"/>
          </w:tcPr>
          <w:p>
            <w:pPr>
              <w:pStyle w:val="TableParagraph"/>
              <w:spacing w:before="51"/>
              <w:ind w:right="156"/>
              <w:jc w:val="right"/>
              <w:rPr>
                <w:sz w:val="11"/>
              </w:rPr>
            </w:pPr>
            <w:r>
              <w:rPr>
                <w:sz w:val="11"/>
              </w:rPr>
              <w:t>15,860.00</w:t>
            </w:r>
          </w:p>
        </w:tc>
        <w:tc>
          <w:tcPr>
            <w:tcW w:w="1023" w:type="dxa"/>
          </w:tcPr>
          <w:p>
            <w:pPr>
              <w:pStyle w:val="TableParagraph"/>
              <w:spacing w:before="51"/>
              <w:ind w:right="70"/>
              <w:jc w:val="right"/>
              <w:rPr>
                <w:sz w:val="11"/>
              </w:rPr>
            </w:pPr>
            <w:r>
              <w:rPr>
                <w:sz w:val="11"/>
              </w:rPr>
              <w:t>21,115.00</w:t>
            </w:r>
          </w:p>
        </w:tc>
        <w:tc>
          <w:tcPr>
            <w:tcW w:w="596" w:type="dxa"/>
          </w:tcPr>
          <w:p>
            <w:pPr>
              <w:pStyle w:val="TableParagraph"/>
              <w:spacing w:before="51"/>
              <w:ind w:right="23"/>
              <w:jc w:val="right"/>
              <w:rPr>
                <w:sz w:val="11"/>
              </w:rPr>
            </w:pPr>
            <w:r>
              <w:rPr>
                <w:sz w:val="11"/>
              </w:rPr>
              <w:t>-63.0%</w:t>
            </w:r>
          </w:p>
        </w:tc>
      </w:tr>
      <w:tr>
        <w:trPr>
          <w:trHeight w:val="230" w:hRule="atLeast"/>
        </w:trPr>
        <w:tc>
          <w:tcPr>
            <w:tcW w:w="4456" w:type="dxa"/>
            <w:gridSpan w:val="3"/>
          </w:tcPr>
          <w:p>
            <w:pPr>
              <w:pStyle w:val="TableParagraph"/>
              <w:tabs>
                <w:tab w:pos="4137" w:val="right" w:leader="none"/>
              </w:tabs>
              <w:spacing w:before="51"/>
              <w:ind w:left="90"/>
              <w:rPr>
                <w:sz w:val="11"/>
              </w:rPr>
            </w:pPr>
            <w:r>
              <w:rPr>
                <w:sz w:val="11"/>
              </w:rPr>
              <w:t>Food</w:t>
              <w:tab/>
              <w:t>4700</w:t>
            </w:r>
          </w:p>
        </w:tc>
        <w:tc>
          <w:tcPr>
            <w:tcW w:w="1245" w:type="dxa"/>
            <w:gridSpan w:val="2"/>
          </w:tcPr>
          <w:p>
            <w:pPr>
              <w:pStyle w:val="TableParagraph"/>
              <w:spacing w:before="51"/>
              <w:ind w:left="753"/>
              <w:rPr>
                <w:sz w:val="11"/>
              </w:rPr>
            </w:pPr>
            <w:r>
              <w:rPr>
                <w:sz w:val="11"/>
              </w:rPr>
              <w:t>0.00</w:t>
            </w:r>
          </w:p>
        </w:tc>
        <w:tc>
          <w:tcPr>
            <w:tcW w:w="1100" w:type="dxa"/>
          </w:tcPr>
          <w:p>
            <w:pPr>
              <w:pStyle w:val="TableParagraph"/>
              <w:spacing w:before="51"/>
              <w:ind w:right="262"/>
              <w:jc w:val="right"/>
              <w:rPr>
                <w:sz w:val="11"/>
              </w:rPr>
            </w:pPr>
            <w:r>
              <w:rPr>
                <w:sz w:val="11"/>
              </w:rPr>
              <w:t>61,972.00</w:t>
            </w:r>
          </w:p>
        </w:tc>
        <w:tc>
          <w:tcPr>
            <w:tcW w:w="984" w:type="dxa"/>
          </w:tcPr>
          <w:p>
            <w:pPr>
              <w:pStyle w:val="TableParagraph"/>
              <w:spacing w:before="51"/>
              <w:ind w:right="137"/>
              <w:jc w:val="right"/>
              <w:rPr>
                <w:sz w:val="11"/>
              </w:rPr>
            </w:pPr>
            <w:r>
              <w:rPr>
                <w:sz w:val="11"/>
              </w:rPr>
              <w:t>61,972.00</w:t>
            </w:r>
          </w:p>
        </w:tc>
        <w:tc>
          <w:tcPr>
            <w:tcW w:w="1064" w:type="dxa"/>
          </w:tcPr>
          <w:p>
            <w:pPr>
              <w:pStyle w:val="TableParagraph"/>
              <w:spacing w:before="51"/>
              <w:ind w:right="92"/>
              <w:jc w:val="right"/>
              <w:rPr>
                <w:sz w:val="11"/>
              </w:rPr>
            </w:pPr>
            <w:r>
              <w:rPr>
                <w:sz w:val="11"/>
              </w:rPr>
              <w:t>0.00</w:t>
            </w:r>
          </w:p>
        </w:tc>
        <w:tc>
          <w:tcPr>
            <w:tcW w:w="1172" w:type="dxa"/>
          </w:tcPr>
          <w:p>
            <w:pPr>
              <w:pStyle w:val="TableParagraph"/>
              <w:spacing w:before="51"/>
              <w:ind w:right="156"/>
              <w:jc w:val="right"/>
              <w:rPr>
                <w:sz w:val="11"/>
              </w:rPr>
            </w:pPr>
            <w:r>
              <w:rPr>
                <w:sz w:val="11"/>
              </w:rPr>
              <w:t>40,000.00</w:t>
            </w:r>
          </w:p>
        </w:tc>
        <w:tc>
          <w:tcPr>
            <w:tcW w:w="1023" w:type="dxa"/>
          </w:tcPr>
          <w:p>
            <w:pPr>
              <w:pStyle w:val="TableParagraph"/>
              <w:spacing w:before="51"/>
              <w:ind w:right="70"/>
              <w:jc w:val="right"/>
              <w:rPr>
                <w:sz w:val="11"/>
              </w:rPr>
            </w:pPr>
            <w:r>
              <w:rPr>
                <w:sz w:val="11"/>
              </w:rPr>
              <w:t>40,000.00</w:t>
            </w:r>
          </w:p>
        </w:tc>
        <w:tc>
          <w:tcPr>
            <w:tcW w:w="596" w:type="dxa"/>
          </w:tcPr>
          <w:p>
            <w:pPr>
              <w:pStyle w:val="TableParagraph"/>
              <w:spacing w:before="51"/>
              <w:ind w:right="23"/>
              <w:jc w:val="right"/>
              <w:rPr>
                <w:sz w:val="11"/>
              </w:rPr>
            </w:pPr>
            <w:r>
              <w:rPr>
                <w:sz w:val="11"/>
              </w:rPr>
              <w:t>-35.5%</w:t>
            </w:r>
          </w:p>
        </w:tc>
      </w:tr>
      <w:tr>
        <w:trPr>
          <w:trHeight w:val="381" w:hRule="atLeast"/>
        </w:trPr>
        <w:tc>
          <w:tcPr>
            <w:tcW w:w="4456" w:type="dxa"/>
            <w:gridSpan w:val="3"/>
          </w:tcPr>
          <w:p>
            <w:pPr>
              <w:pStyle w:val="TableParagraph"/>
              <w:spacing w:before="51"/>
              <w:ind w:left="90"/>
              <w:rPr>
                <w:sz w:val="11"/>
              </w:rPr>
            </w:pPr>
            <w:r>
              <w:rPr>
                <w:sz w:val="11"/>
              </w:rPr>
              <w:t>TOTAL, BOOKS AND SUPPLIES</w:t>
            </w:r>
          </w:p>
          <w:p>
            <w:pPr>
              <w:pStyle w:val="TableParagraph"/>
              <w:spacing w:line="83" w:lineRule="exact" w:before="101"/>
              <w:ind w:left="28"/>
              <w:rPr>
                <w:b/>
                <w:sz w:val="11"/>
              </w:rPr>
            </w:pPr>
            <w:r>
              <w:rPr>
                <w:b/>
                <w:sz w:val="11"/>
              </w:rPr>
              <w:t>SERVICES AND OTHER OPERATING EXPENDITURES</w:t>
            </w:r>
          </w:p>
        </w:tc>
        <w:tc>
          <w:tcPr>
            <w:tcW w:w="1245" w:type="dxa"/>
            <w:gridSpan w:val="2"/>
          </w:tcPr>
          <w:p>
            <w:pPr>
              <w:pStyle w:val="TableParagraph"/>
              <w:spacing w:before="51"/>
              <w:ind w:left="472"/>
              <w:rPr>
                <w:sz w:val="11"/>
              </w:rPr>
            </w:pPr>
            <w:r>
              <w:rPr>
                <w:sz w:val="11"/>
              </w:rPr>
              <w:t>42,476.00</w:t>
            </w:r>
          </w:p>
        </w:tc>
        <w:tc>
          <w:tcPr>
            <w:tcW w:w="1100" w:type="dxa"/>
          </w:tcPr>
          <w:p>
            <w:pPr>
              <w:pStyle w:val="TableParagraph"/>
              <w:spacing w:before="51"/>
              <w:ind w:right="262"/>
              <w:jc w:val="right"/>
              <w:rPr>
                <w:sz w:val="11"/>
              </w:rPr>
            </w:pPr>
            <w:r>
              <w:rPr>
                <w:sz w:val="11"/>
              </w:rPr>
              <w:t>179,912.00</w:t>
            </w:r>
          </w:p>
        </w:tc>
        <w:tc>
          <w:tcPr>
            <w:tcW w:w="984" w:type="dxa"/>
          </w:tcPr>
          <w:p>
            <w:pPr>
              <w:pStyle w:val="TableParagraph"/>
              <w:spacing w:before="51"/>
              <w:ind w:right="137"/>
              <w:jc w:val="right"/>
              <w:rPr>
                <w:sz w:val="11"/>
              </w:rPr>
            </w:pPr>
            <w:r>
              <w:rPr>
                <w:sz w:val="11"/>
              </w:rPr>
              <w:t>222,388.00</w:t>
            </w:r>
          </w:p>
        </w:tc>
        <w:tc>
          <w:tcPr>
            <w:tcW w:w="1064" w:type="dxa"/>
          </w:tcPr>
          <w:p>
            <w:pPr>
              <w:pStyle w:val="TableParagraph"/>
              <w:spacing w:before="51"/>
              <w:ind w:right="92"/>
              <w:jc w:val="right"/>
              <w:rPr>
                <w:sz w:val="11"/>
              </w:rPr>
            </w:pPr>
            <w:r>
              <w:rPr>
                <w:sz w:val="11"/>
              </w:rPr>
              <w:t>71,691.00</w:t>
            </w:r>
          </w:p>
        </w:tc>
        <w:tc>
          <w:tcPr>
            <w:tcW w:w="1172" w:type="dxa"/>
          </w:tcPr>
          <w:p>
            <w:pPr>
              <w:pStyle w:val="TableParagraph"/>
              <w:spacing w:before="51"/>
              <w:ind w:right="156"/>
              <w:jc w:val="right"/>
              <w:rPr>
                <w:sz w:val="11"/>
              </w:rPr>
            </w:pPr>
            <w:r>
              <w:rPr>
                <w:sz w:val="11"/>
              </w:rPr>
              <w:t>67,059.00</w:t>
            </w:r>
          </w:p>
        </w:tc>
        <w:tc>
          <w:tcPr>
            <w:tcW w:w="1023" w:type="dxa"/>
          </w:tcPr>
          <w:p>
            <w:pPr>
              <w:pStyle w:val="TableParagraph"/>
              <w:spacing w:before="51"/>
              <w:ind w:right="70"/>
              <w:jc w:val="right"/>
              <w:rPr>
                <w:sz w:val="11"/>
              </w:rPr>
            </w:pPr>
            <w:r>
              <w:rPr>
                <w:sz w:val="11"/>
              </w:rPr>
              <w:t>138,750.00</w:t>
            </w:r>
          </w:p>
        </w:tc>
        <w:tc>
          <w:tcPr>
            <w:tcW w:w="596" w:type="dxa"/>
          </w:tcPr>
          <w:p>
            <w:pPr>
              <w:pStyle w:val="TableParagraph"/>
              <w:spacing w:before="51"/>
              <w:ind w:right="23"/>
              <w:jc w:val="right"/>
              <w:rPr>
                <w:sz w:val="11"/>
              </w:rPr>
            </w:pPr>
            <w:r>
              <w:rPr>
                <w:sz w:val="11"/>
              </w:rPr>
              <w:t>-37.6%</w:t>
            </w:r>
          </w:p>
        </w:tc>
      </w:tr>
      <w:tr>
        <w:trPr>
          <w:trHeight w:val="381" w:hRule="atLeast"/>
        </w:trPr>
        <w:tc>
          <w:tcPr>
            <w:tcW w:w="4456" w:type="dxa"/>
            <w:gridSpan w:val="3"/>
          </w:tcPr>
          <w:p>
            <w:pPr>
              <w:pStyle w:val="TableParagraph"/>
              <w:tabs>
                <w:tab w:pos="4137" w:val="right" w:leader="none"/>
              </w:tabs>
              <w:spacing w:before="202"/>
              <w:ind w:left="90"/>
              <w:rPr>
                <w:sz w:val="11"/>
              </w:rPr>
            </w:pPr>
            <w:r>
              <w:rPr>
                <w:sz w:val="11"/>
              </w:rPr>
              <w:t>Subagreements</w:t>
            </w:r>
            <w:r>
              <w:rPr>
                <w:spacing w:val="1"/>
                <w:sz w:val="11"/>
              </w:rPr>
              <w:t> </w:t>
            </w:r>
            <w:r>
              <w:rPr>
                <w:sz w:val="11"/>
              </w:rPr>
              <w:t>for</w:t>
            </w:r>
            <w:r>
              <w:rPr>
                <w:spacing w:val="1"/>
                <w:sz w:val="11"/>
              </w:rPr>
              <w:t> </w:t>
            </w:r>
            <w:r>
              <w:rPr>
                <w:sz w:val="11"/>
              </w:rPr>
              <w:t>Services</w:t>
              <w:tab/>
              <w:t>5100</w:t>
            </w:r>
          </w:p>
        </w:tc>
        <w:tc>
          <w:tcPr>
            <w:tcW w:w="1245" w:type="dxa"/>
            <w:gridSpan w:val="2"/>
          </w:tcPr>
          <w:p>
            <w:pPr>
              <w:pStyle w:val="TableParagraph"/>
              <w:spacing w:before="6"/>
              <w:rPr>
                <w:sz w:val="17"/>
              </w:rPr>
            </w:pPr>
          </w:p>
          <w:p>
            <w:pPr>
              <w:pStyle w:val="TableParagraph"/>
              <w:ind w:left="753"/>
              <w:rPr>
                <w:sz w:val="11"/>
              </w:rPr>
            </w:pPr>
            <w:r>
              <w:rPr>
                <w:sz w:val="11"/>
              </w:rPr>
              <w:t>0.00</w:t>
            </w:r>
          </w:p>
        </w:tc>
        <w:tc>
          <w:tcPr>
            <w:tcW w:w="1100" w:type="dxa"/>
          </w:tcPr>
          <w:p>
            <w:pPr>
              <w:pStyle w:val="TableParagraph"/>
              <w:spacing w:before="6"/>
              <w:rPr>
                <w:sz w:val="17"/>
              </w:rPr>
            </w:pPr>
          </w:p>
          <w:p>
            <w:pPr>
              <w:pStyle w:val="TableParagraph"/>
              <w:ind w:right="262"/>
              <w:jc w:val="right"/>
              <w:rPr>
                <w:sz w:val="11"/>
              </w:rPr>
            </w:pPr>
            <w:r>
              <w:rPr>
                <w:sz w:val="11"/>
              </w:rPr>
              <w:t>0.00</w:t>
            </w:r>
          </w:p>
        </w:tc>
        <w:tc>
          <w:tcPr>
            <w:tcW w:w="984" w:type="dxa"/>
          </w:tcPr>
          <w:p>
            <w:pPr>
              <w:pStyle w:val="TableParagraph"/>
              <w:spacing w:before="6"/>
              <w:rPr>
                <w:sz w:val="17"/>
              </w:rPr>
            </w:pPr>
          </w:p>
          <w:p>
            <w:pPr>
              <w:pStyle w:val="TableParagraph"/>
              <w:ind w:right="137"/>
              <w:jc w:val="right"/>
              <w:rPr>
                <w:sz w:val="11"/>
              </w:rPr>
            </w:pPr>
            <w:r>
              <w:rPr>
                <w:sz w:val="11"/>
              </w:rPr>
              <w:t>0.00</w:t>
            </w:r>
          </w:p>
        </w:tc>
        <w:tc>
          <w:tcPr>
            <w:tcW w:w="1064" w:type="dxa"/>
          </w:tcPr>
          <w:p>
            <w:pPr>
              <w:pStyle w:val="TableParagraph"/>
              <w:spacing w:before="6"/>
              <w:rPr>
                <w:sz w:val="17"/>
              </w:rPr>
            </w:pPr>
          </w:p>
          <w:p>
            <w:pPr>
              <w:pStyle w:val="TableParagraph"/>
              <w:ind w:right="92"/>
              <w:jc w:val="right"/>
              <w:rPr>
                <w:sz w:val="11"/>
              </w:rPr>
            </w:pPr>
            <w:r>
              <w:rPr>
                <w:sz w:val="11"/>
              </w:rPr>
              <w:t>0.00</w:t>
            </w:r>
          </w:p>
        </w:tc>
        <w:tc>
          <w:tcPr>
            <w:tcW w:w="1172" w:type="dxa"/>
          </w:tcPr>
          <w:p>
            <w:pPr>
              <w:pStyle w:val="TableParagraph"/>
              <w:spacing w:before="6"/>
              <w:rPr>
                <w:sz w:val="17"/>
              </w:rPr>
            </w:pPr>
          </w:p>
          <w:p>
            <w:pPr>
              <w:pStyle w:val="TableParagraph"/>
              <w:ind w:right="155"/>
              <w:jc w:val="right"/>
              <w:rPr>
                <w:sz w:val="11"/>
              </w:rPr>
            </w:pPr>
            <w:r>
              <w:rPr>
                <w:sz w:val="11"/>
              </w:rPr>
              <w:t>0.00</w:t>
            </w:r>
          </w:p>
        </w:tc>
        <w:tc>
          <w:tcPr>
            <w:tcW w:w="1023" w:type="dxa"/>
          </w:tcPr>
          <w:p>
            <w:pPr>
              <w:pStyle w:val="TableParagraph"/>
              <w:spacing w:before="6"/>
              <w:rPr>
                <w:sz w:val="17"/>
              </w:rPr>
            </w:pPr>
          </w:p>
          <w:p>
            <w:pPr>
              <w:pStyle w:val="TableParagraph"/>
              <w:ind w:right="69"/>
              <w:jc w:val="right"/>
              <w:rPr>
                <w:sz w:val="11"/>
              </w:rPr>
            </w:pPr>
            <w:r>
              <w:rPr>
                <w:sz w:val="11"/>
              </w:rPr>
              <w:t>0.00</w:t>
            </w:r>
          </w:p>
        </w:tc>
        <w:tc>
          <w:tcPr>
            <w:tcW w:w="596" w:type="dxa"/>
          </w:tcPr>
          <w:p>
            <w:pPr>
              <w:pStyle w:val="TableParagraph"/>
              <w:spacing w:before="6"/>
              <w:rPr>
                <w:sz w:val="17"/>
              </w:rPr>
            </w:pPr>
          </w:p>
          <w:p>
            <w:pPr>
              <w:pStyle w:val="TableParagraph"/>
              <w:ind w:right="23"/>
              <w:jc w:val="right"/>
              <w:rPr>
                <w:sz w:val="11"/>
              </w:rPr>
            </w:pPr>
            <w:r>
              <w:rPr>
                <w:sz w:val="11"/>
              </w:rPr>
              <w:t>0.0%</w:t>
            </w:r>
          </w:p>
        </w:tc>
      </w:tr>
      <w:tr>
        <w:trPr>
          <w:trHeight w:val="230" w:hRule="atLeast"/>
        </w:trPr>
        <w:tc>
          <w:tcPr>
            <w:tcW w:w="4456" w:type="dxa"/>
            <w:gridSpan w:val="3"/>
          </w:tcPr>
          <w:p>
            <w:pPr>
              <w:pStyle w:val="TableParagraph"/>
              <w:tabs>
                <w:tab w:pos="4137" w:val="right" w:leader="none"/>
              </w:tabs>
              <w:spacing w:before="51"/>
              <w:ind w:left="90"/>
              <w:rPr>
                <w:sz w:val="11"/>
              </w:rPr>
            </w:pPr>
            <w:r>
              <w:rPr>
                <w:sz w:val="11"/>
              </w:rPr>
              <w:t>Travel</w:t>
            </w:r>
            <w:r>
              <w:rPr>
                <w:spacing w:val="-1"/>
                <w:sz w:val="11"/>
              </w:rPr>
              <w:t> </w:t>
            </w:r>
            <w:r>
              <w:rPr>
                <w:sz w:val="11"/>
              </w:rPr>
              <w:t>and Conferences</w:t>
              <w:tab/>
              <w:t>5200</w:t>
            </w:r>
          </w:p>
        </w:tc>
        <w:tc>
          <w:tcPr>
            <w:tcW w:w="1245" w:type="dxa"/>
            <w:gridSpan w:val="2"/>
          </w:tcPr>
          <w:p>
            <w:pPr>
              <w:pStyle w:val="TableParagraph"/>
              <w:spacing w:before="51"/>
              <w:ind w:left="535"/>
              <w:rPr>
                <w:sz w:val="11"/>
              </w:rPr>
            </w:pPr>
            <w:r>
              <w:rPr>
                <w:sz w:val="11"/>
              </w:rPr>
              <w:t>4,500.00</w:t>
            </w:r>
          </w:p>
        </w:tc>
        <w:tc>
          <w:tcPr>
            <w:tcW w:w="1100" w:type="dxa"/>
          </w:tcPr>
          <w:p>
            <w:pPr>
              <w:pStyle w:val="TableParagraph"/>
              <w:spacing w:before="51"/>
              <w:ind w:right="262"/>
              <w:jc w:val="right"/>
              <w:rPr>
                <w:sz w:val="11"/>
              </w:rPr>
            </w:pPr>
            <w:r>
              <w:rPr>
                <w:sz w:val="11"/>
              </w:rPr>
              <w:t>6,728.00</w:t>
            </w:r>
          </w:p>
        </w:tc>
        <w:tc>
          <w:tcPr>
            <w:tcW w:w="984" w:type="dxa"/>
          </w:tcPr>
          <w:p>
            <w:pPr>
              <w:pStyle w:val="TableParagraph"/>
              <w:spacing w:before="51"/>
              <w:ind w:right="137"/>
              <w:jc w:val="right"/>
              <w:rPr>
                <w:sz w:val="11"/>
              </w:rPr>
            </w:pPr>
            <w:r>
              <w:rPr>
                <w:sz w:val="11"/>
              </w:rPr>
              <w:t>11,228.00</w:t>
            </w:r>
          </w:p>
        </w:tc>
        <w:tc>
          <w:tcPr>
            <w:tcW w:w="1064" w:type="dxa"/>
          </w:tcPr>
          <w:p>
            <w:pPr>
              <w:pStyle w:val="TableParagraph"/>
              <w:spacing w:before="51"/>
              <w:ind w:right="93"/>
              <w:jc w:val="right"/>
              <w:rPr>
                <w:sz w:val="11"/>
              </w:rPr>
            </w:pPr>
            <w:r>
              <w:rPr>
                <w:sz w:val="11"/>
              </w:rPr>
              <w:t>9,700.00</w:t>
            </w:r>
          </w:p>
        </w:tc>
        <w:tc>
          <w:tcPr>
            <w:tcW w:w="1172" w:type="dxa"/>
          </w:tcPr>
          <w:p>
            <w:pPr>
              <w:pStyle w:val="TableParagraph"/>
              <w:spacing w:before="51"/>
              <w:ind w:right="156"/>
              <w:jc w:val="right"/>
              <w:rPr>
                <w:sz w:val="11"/>
              </w:rPr>
            </w:pPr>
            <w:r>
              <w:rPr>
                <w:sz w:val="11"/>
              </w:rPr>
              <w:t>1,510.00</w:t>
            </w:r>
          </w:p>
        </w:tc>
        <w:tc>
          <w:tcPr>
            <w:tcW w:w="1023" w:type="dxa"/>
          </w:tcPr>
          <w:p>
            <w:pPr>
              <w:pStyle w:val="TableParagraph"/>
              <w:spacing w:before="51"/>
              <w:ind w:right="70"/>
              <w:jc w:val="right"/>
              <w:rPr>
                <w:sz w:val="11"/>
              </w:rPr>
            </w:pPr>
            <w:r>
              <w:rPr>
                <w:sz w:val="11"/>
              </w:rPr>
              <w:t>11,210.00</w:t>
            </w:r>
          </w:p>
        </w:tc>
        <w:tc>
          <w:tcPr>
            <w:tcW w:w="596" w:type="dxa"/>
          </w:tcPr>
          <w:p>
            <w:pPr>
              <w:pStyle w:val="TableParagraph"/>
              <w:spacing w:before="51"/>
              <w:ind w:right="23"/>
              <w:jc w:val="right"/>
              <w:rPr>
                <w:sz w:val="11"/>
              </w:rPr>
            </w:pPr>
            <w:r>
              <w:rPr>
                <w:sz w:val="11"/>
              </w:rPr>
              <w:t>-0.2%</w:t>
            </w:r>
          </w:p>
        </w:tc>
      </w:tr>
      <w:tr>
        <w:trPr>
          <w:trHeight w:val="230" w:hRule="atLeast"/>
        </w:trPr>
        <w:tc>
          <w:tcPr>
            <w:tcW w:w="4456" w:type="dxa"/>
            <w:gridSpan w:val="3"/>
          </w:tcPr>
          <w:p>
            <w:pPr>
              <w:pStyle w:val="TableParagraph"/>
              <w:tabs>
                <w:tab w:pos="4137" w:val="right" w:leader="none"/>
              </w:tabs>
              <w:spacing w:before="51"/>
              <w:ind w:left="90"/>
              <w:rPr>
                <w:sz w:val="11"/>
              </w:rPr>
            </w:pPr>
            <w:r>
              <w:rPr>
                <w:sz w:val="11"/>
              </w:rPr>
              <w:t>Dues</w:t>
            </w:r>
            <w:r>
              <w:rPr>
                <w:spacing w:val="1"/>
                <w:sz w:val="11"/>
              </w:rPr>
              <w:t> </w:t>
            </w:r>
            <w:r>
              <w:rPr>
                <w:sz w:val="11"/>
              </w:rPr>
              <w:t>and Memberships</w:t>
              <w:tab/>
              <w:t>5300</w:t>
            </w:r>
          </w:p>
        </w:tc>
        <w:tc>
          <w:tcPr>
            <w:tcW w:w="1245" w:type="dxa"/>
            <w:gridSpan w:val="2"/>
          </w:tcPr>
          <w:p>
            <w:pPr>
              <w:pStyle w:val="TableParagraph"/>
              <w:spacing w:before="51"/>
              <w:ind w:left="535"/>
              <w:rPr>
                <w:sz w:val="11"/>
              </w:rPr>
            </w:pPr>
            <w:r>
              <w:rPr>
                <w:sz w:val="11"/>
              </w:rPr>
              <w:t>6,102.00</w:t>
            </w:r>
          </w:p>
        </w:tc>
        <w:tc>
          <w:tcPr>
            <w:tcW w:w="1100" w:type="dxa"/>
          </w:tcPr>
          <w:p>
            <w:pPr>
              <w:pStyle w:val="TableParagraph"/>
              <w:spacing w:before="51"/>
              <w:ind w:right="262"/>
              <w:jc w:val="right"/>
              <w:rPr>
                <w:sz w:val="11"/>
              </w:rPr>
            </w:pPr>
            <w:r>
              <w:rPr>
                <w:sz w:val="11"/>
              </w:rPr>
              <w:t>0.00</w:t>
            </w:r>
          </w:p>
        </w:tc>
        <w:tc>
          <w:tcPr>
            <w:tcW w:w="984" w:type="dxa"/>
          </w:tcPr>
          <w:p>
            <w:pPr>
              <w:pStyle w:val="TableParagraph"/>
              <w:spacing w:before="51"/>
              <w:ind w:right="137"/>
              <w:jc w:val="right"/>
              <w:rPr>
                <w:sz w:val="11"/>
              </w:rPr>
            </w:pPr>
            <w:r>
              <w:rPr>
                <w:sz w:val="11"/>
              </w:rPr>
              <w:t>6,102.00</w:t>
            </w:r>
          </w:p>
        </w:tc>
        <w:tc>
          <w:tcPr>
            <w:tcW w:w="1064" w:type="dxa"/>
          </w:tcPr>
          <w:p>
            <w:pPr>
              <w:pStyle w:val="TableParagraph"/>
              <w:spacing w:before="51"/>
              <w:ind w:right="93"/>
              <w:jc w:val="right"/>
              <w:rPr>
                <w:sz w:val="11"/>
              </w:rPr>
            </w:pPr>
            <w:r>
              <w:rPr>
                <w:sz w:val="11"/>
              </w:rPr>
              <w:t>6,102.00</w:t>
            </w:r>
          </w:p>
        </w:tc>
        <w:tc>
          <w:tcPr>
            <w:tcW w:w="1172" w:type="dxa"/>
          </w:tcPr>
          <w:p>
            <w:pPr>
              <w:pStyle w:val="TableParagraph"/>
              <w:spacing w:before="51"/>
              <w:ind w:right="155"/>
              <w:jc w:val="right"/>
              <w:rPr>
                <w:sz w:val="11"/>
              </w:rPr>
            </w:pPr>
            <w:r>
              <w:rPr>
                <w:sz w:val="11"/>
              </w:rPr>
              <w:t>0.00</w:t>
            </w:r>
          </w:p>
        </w:tc>
        <w:tc>
          <w:tcPr>
            <w:tcW w:w="1023" w:type="dxa"/>
          </w:tcPr>
          <w:p>
            <w:pPr>
              <w:pStyle w:val="TableParagraph"/>
              <w:spacing w:before="51"/>
              <w:ind w:right="70"/>
              <w:jc w:val="right"/>
              <w:rPr>
                <w:sz w:val="11"/>
              </w:rPr>
            </w:pPr>
            <w:r>
              <w:rPr>
                <w:sz w:val="11"/>
              </w:rPr>
              <w:t>6,102.00</w:t>
            </w:r>
          </w:p>
        </w:tc>
        <w:tc>
          <w:tcPr>
            <w:tcW w:w="596" w:type="dxa"/>
          </w:tcPr>
          <w:p>
            <w:pPr>
              <w:pStyle w:val="TableParagraph"/>
              <w:spacing w:before="51"/>
              <w:ind w:right="23"/>
              <w:jc w:val="right"/>
              <w:rPr>
                <w:sz w:val="11"/>
              </w:rPr>
            </w:pPr>
            <w:r>
              <w:rPr>
                <w:sz w:val="11"/>
              </w:rPr>
              <w:t>0.0%</w:t>
            </w:r>
          </w:p>
        </w:tc>
      </w:tr>
      <w:tr>
        <w:trPr>
          <w:trHeight w:val="305" w:hRule="atLeast"/>
        </w:trPr>
        <w:tc>
          <w:tcPr>
            <w:tcW w:w="4456" w:type="dxa"/>
            <w:gridSpan w:val="3"/>
          </w:tcPr>
          <w:p>
            <w:pPr>
              <w:pStyle w:val="TableParagraph"/>
              <w:tabs>
                <w:tab w:pos="4311" w:val="right" w:leader="none"/>
              </w:tabs>
              <w:spacing w:before="51"/>
              <w:ind w:left="90"/>
              <w:rPr>
                <w:sz w:val="11"/>
              </w:rPr>
            </w:pPr>
            <w:r>
              <w:rPr>
                <w:sz w:val="11"/>
              </w:rPr>
              <w:t>Insurance</w:t>
              <w:tab/>
              <w:t>5400 -</w:t>
            </w:r>
            <w:r>
              <w:rPr>
                <w:spacing w:val="11"/>
                <w:sz w:val="11"/>
              </w:rPr>
              <w:t> </w:t>
            </w:r>
            <w:r>
              <w:rPr>
                <w:sz w:val="11"/>
              </w:rPr>
              <w:t>5450</w:t>
            </w:r>
          </w:p>
        </w:tc>
        <w:tc>
          <w:tcPr>
            <w:tcW w:w="1245" w:type="dxa"/>
            <w:gridSpan w:val="2"/>
          </w:tcPr>
          <w:p>
            <w:pPr>
              <w:pStyle w:val="TableParagraph"/>
              <w:spacing w:before="51"/>
              <w:ind w:left="472"/>
              <w:rPr>
                <w:sz w:val="11"/>
              </w:rPr>
            </w:pPr>
            <w:r>
              <w:rPr>
                <w:sz w:val="11"/>
              </w:rPr>
              <w:t>57,959.00</w:t>
            </w:r>
          </w:p>
        </w:tc>
        <w:tc>
          <w:tcPr>
            <w:tcW w:w="1100" w:type="dxa"/>
          </w:tcPr>
          <w:p>
            <w:pPr>
              <w:pStyle w:val="TableParagraph"/>
              <w:spacing w:before="51"/>
              <w:ind w:right="262"/>
              <w:jc w:val="right"/>
              <w:rPr>
                <w:sz w:val="11"/>
              </w:rPr>
            </w:pPr>
            <w:r>
              <w:rPr>
                <w:sz w:val="11"/>
              </w:rPr>
              <w:t>0.00</w:t>
            </w:r>
          </w:p>
        </w:tc>
        <w:tc>
          <w:tcPr>
            <w:tcW w:w="984" w:type="dxa"/>
          </w:tcPr>
          <w:p>
            <w:pPr>
              <w:pStyle w:val="TableParagraph"/>
              <w:spacing w:before="51"/>
              <w:ind w:right="137"/>
              <w:jc w:val="right"/>
              <w:rPr>
                <w:sz w:val="11"/>
              </w:rPr>
            </w:pPr>
            <w:r>
              <w:rPr>
                <w:sz w:val="11"/>
              </w:rPr>
              <w:t>57,959.00</w:t>
            </w:r>
          </w:p>
        </w:tc>
        <w:tc>
          <w:tcPr>
            <w:tcW w:w="1064" w:type="dxa"/>
          </w:tcPr>
          <w:p>
            <w:pPr>
              <w:pStyle w:val="TableParagraph"/>
              <w:spacing w:before="51"/>
              <w:ind w:right="92"/>
              <w:jc w:val="right"/>
              <w:rPr>
                <w:sz w:val="11"/>
              </w:rPr>
            </w:pPr>
            <w:r>
              <w:rPr>
                <w:sz w:val="11"/>
              </w:rPr>
              <w:t>43,155.00</w:t>
            </w:r>
          </w:p>
        </w:tc>
        <w:tc>
          <w:tcPr>
            <w:tcW w:w="1172" w:type="dxa"/>
          </w:tcPr>
          <w:p>
            <w:pPr>
              <w:pStyle w:val="TableParagraph"/>
              <w:spacing w:before="51"/>
              <w:ind w:right="155"/>
              <w:jc w:val="right"/>
              <w:rPr>
                <w:sz w:val="11"/>
              </w:rPr>
            </w:pPr>
            <w:r>
              <w:rPr>
                <w:sz w:val="11"/>
              </w:rPr>
              <w:t>0.00</w:t>
            </w:r>
          </w:p>
        </w:tc>
        <w:tc>
          <w:tcPr>
            <w:tcW w:w="1023" w:type="dxa"/>
          </w:tcPr>
          <w:p>
            <w:pPr>
              <w:pStyle w:val="TableParagraph"/>
              <w:spacing w:before="51"/>
              <w:ind w:right="70"/>
              <w:jc w:val="right"/>
              <w:rPr>
                <w:sz w:val="11"/>
              </w:rPr>
            </w:pPr>
            <w:r>
              <w:rPr>
                <w:sz w:val="11"/>
              </w:rPr>
              <w:t>43,155.00</w:t>
            </w:r>
          </w:p>
        </w:tc>
        <w:tc>
          <w:tcPr>
            <w:tcW w:w="596" w:type="dxa"/>
          </w:tcPr>
          <w:p>
            <w:pPr>
              <w:pStyle w:val="TableParagraph"/>
              <w:spacing w:before="51"/>
              <w:ind w:right="23"/>
              <w:jc w:val="right"/>
              <w:rPr>
                <w:sz w:val="11"/>
              </w:rPr>
            </w:pPr>
            <w:r>
              <w:rPr>
                <w:sz w:val="11"/>
              </w:rPr>
              <w:t>-25.5%</w:t>
            </w:r>
          </w:p>
        </w:tc>
      </w:tr>
      <w:tr>
        <w:trPr>
          <w:trHeight w:val="381" w:hRule="atLeast"/>
        </w:trPr>
        <w:tc>
          <w:tcPr>
            <w:tcW w:w="4456" w:type="dxa"/>
            <w:gridSpan w:val="3"/>
          </w:tcPr>
          <w:p>
            <w:pPr>
              <w:pStyle w:val="TableParagraph"/>
              <w:spacing w:line="102" w:lineRule="exact"/>
              <w:ind w:left="90"/>
              <w:rPr>
                <w:sz w:val="11"/>
              </w:rPr>
            </w:pPr>
            <w:r>
              <w:rPr>
                <w:sz w:val="11"/>
              </w:rPr>
              <w:t>Operations and Housekeeping</w:t>
            </w:r>
          </w:p>
          <w:p>
            <w:pPr>
              <w:pStyle w:val="TableParagraph"/>
              <w:tabs>
                <w:tab w:pos="4137" w:val="right" w:leader="none"/>
              </w:tabs>
              <w:spacing w:before="24"/>
              <w:ind w:left="121"/>
              <w:rPr>
                <w:sz w:val="11"/>
              </w:rPr>
            </w:pPr>
            <w:r>
              <w:rPr>
                <w:sz w:val="11"/>
              </w:rPr>
              <w:t>Services</w:t>
              <w:tab/>
              <w:t>5500</w:t>
            </w:r>
          </w:p>
        </w:tc>
        <w:tc>
          <w:tcPr>
            <w:tcW w:w="1245" w:type="dxa"/>
            <w:gridSpan w:val="2"/>
          </w:tcPr>
          <w:p>
            <w:pPr>
              <w:pStyle w:val="TableParagraph"/>
              <w:rPr>
                <w:sz w:val="11"/>
              </w:rPr>
            </w:pPr>
          </w:p>
          <w:p>
            <w:pPr>
              <w:pStyle w:val="TableParagraph"/>
              <w:ind w:left="472"/>
              <w:rPr>
                <w:sz w:val="11"/>
              </w:rPr>
            </w:pPr>
            <w:r>
              <w:rPr>
                <w:sz w:val="11"/>
              </w:rPr>
              <w:t>78,615.00</w:t>
            </w:r>
          </w:p>
        </w:tc>
        <w:tc>
          <w:tcPr>
            <w:tcW w:w="1100" w:type="dxa"/>
          </w:tcPr>
          <w:p>
            <w:pPr>
              <w:pStyle w:val="TableParagraph"/>
              <w:rPr>
                <w:sz w:val="11"/>
              </w:rPr>
            </w:pPr>
          </w:p>
          <w:p>
            <w:pPr>
              <w:pStyle w:val="TableParagraph"/>
              <w:ind w:right="262"/>
              <w:jc w:val="right"/>
              <w:rPr>
                <w:sz w:val="11"/>
              </w:rPr>
            </w:pPr>
            <w:r>
              <w:rPr>
                <w:sz w:val="11"/>
              </w:rPr>
              <w:t>0.00</w:t>
            </w:r>
          </w:p>
        </w:tc>
        <w:tc>
          <w:tcPr>
            <w:tcW w:w="984" w:type="dxa"/>
          </w:tcPr>
          <w:p>
            <w:pPr>
              <w:pStyle w:val="TableParagraph"/>
              <w:rPr>
                <w:sz w:val="11"/>
              </w:rPr>
            </w:pPr>
          </w:p>
          <w:p>
            <w:pPr>
              <w:pStyle w:val="TableParagraph"/>
              <w:ind w:right="137"/>
              <w:jc w:val="right"/>
              <w:rPr>
                <w:sz w:val="11"/>
              </w:rPr>
            </w:pPr>
            <w:r>
              <w:rPr>
                <w:sz w:val="11"/>
              </w:rPr>
              <w:t>78,615.00</w:t>
            </w:r>
          </w:p>
        </w:tc>
        <w:tc>
          <w:tcPr>
            <w:tcW w:w="1064" w:type="dxa"/>
          </w:tcPr>
          <w:p>
            <w:pPr>
              <w:pStyle w:val="TableParagraph"/>
              <w:rPr>
                <w:sz w:val="11"/>
              </w:rPr>
            </w:pPr>
          </w:p>
          <w:p>
            <w:pPr>
              <w:pStyle w:val="TableParagraph"/>
              <w:ind w:right="92"/>
              <w:jc w:val="right"/>
              <w:rPr>
                <w:sz w:val="11"/>
              </w:rPr>
            </w:pPr>
            <w:r>
              <w:rPr>
                <w:sz w:val="11"/>
              </w:rPr>
              <w:t>74,183.00</w:t>
            </w:r>
          </w:p>
        </w:tc>
        <w:tc>
          <w:tcPr>
            <w:tcW w:w="1172" w:type="dxa"/>
          </w:tcPr>
          <w:p>
            <w:pPr>
              <w:pStyle w:val="TableParagraph"/>
              <w:rPr>
                <w:sz w:val="11"/>
              </w:rPr>
            </w:pPr>
          </w:p>
          <w:p>
            <w:pPr>
              <w:pStyle w:val="TableParagraph"/>
              <w:ind w:right="155"/>
              <w:jc w:val="right"/>
              <w:rPr>
                <w:sz w:val="11"/>
              </w:rPr>
            </w:pPr>
            <w:r>
              <w:rPr>
                <w:sz w:val="11"/>
              </w:rPr>
              <w:t>0.00</w:t>
            </w:r>
          </w:p>
        </w:tc>
        <w:tc>
          <w:tcPr>
            <w:tcW w:w="1023" w:type="dxa"/>
          </w:tcPr>
          <w:p>
            <w:pPr>
              <w:pStyle w:val="TableParagraph"/>
              <w:rPr>
                <w:sz w:val="11"/>
              </w:rPr>
            </w:pPr>
          </w:p>
          <w:p>
            <w:pPr>
              <w:pStyle w:val="TableParagraph"/>
              <w:ind w:right="70"/>
              <w:jc w:val="right"/>
              <w:rPr>
                <w:sz w:val="11"/>
              </w:rPr>
            </w:pPr>
            <w:r>
              <w:rPr>
                <w:sz w:val="11"/>
              </w:rPr>
              <w:t>74,183.00</w:t>
            </w:r>
          </w:p>
        </w:tc>
        <w:tc>
          <w:tcPr>
            <w:tcW w:w="596" w:type="dxa"/>
          </w:tcPr>
          <w:p>
            <w:pPr>
              <w:pStyle w:val="TableParagraph"/>
              <w:rPr>
                <w:sz w:val="11"/>
              </w:rPr>
            </w:pPr>
          </w:p>
          <w:p>
            <w:pPr>
              <w:pStyle w:val="TableParagraph"/>
              <w:ind w:right="23"/>
              <w:jc w:val="right"/>
              <w:rPr>
                <w:sz w:val="11"/>
              </w:rPr>
            </w:pPr>
            <w:r>
              <w:rPr>
                <w:sz w:val="11"/>
              </w:rPr>
              <w:t>-5.6%</w:t>
            </w:r>
          </w:p>
        </w:tc>
      </w:tr>
      <w:tr>
        <w:trPr>
          <w:trHeight w:val="310" w:hRule="atLeast"/>
        </w:trPr>
        <w:tc>
          <w:tcPr>
            <w:tcW w:w="4456" w:type="dxa"/>
            <w:gridSpan w:val="3"/>
          </w:tcPr>
          <w:p>
            <w:pPr>
              <w:pStyle w:val="TableParagraph"/>
              <w:spacing w:line="102" w:lineRule="exact"/>
              <w:ind w:left="90"/>
              <w:rPr>
                <w:sz w:val="11"/>
              </w:rPr>
            </w:pPr>
            <w:r>
              <w:rPr>
                <w:sz w:val="11"/>
              </w:rPr>
              <w:t>Rentals, Leases, Repairs, and</w:t>
            </w:r>
          </w:p>
          <w:p>
            <w:pPr>
              <w:pStyle w:val="TableParagraph"/>
              <w:tabs>
                <w:tab w:pos="4137" w:val="right" w:leader="none"/>
              </w:tabs>
              <w:spacing w:before="24"/>
              <w:ind w:left="121"/>
              <w:rPr>
                <w:sz w:val="11"/>
              </w:rPr>
            </w:pPr>
            <w:r>
              <w:rPr>
                <w:sz w:val="11"/>
              </w:rPr>
              <w:t>Noncapitalized Improvements</w:t>
              <w:tab/>
              <w:t>5600</w:t>
            </w:r>
          </w:p>
        </w:tc>
        <w:tc>
          <w:tcPr>
            <w:tcW w:w="1245" w:type="dxa"/>
            <w:gridSpan w:val="2"/>
          </w:tcPr>
          <w:p>
            <w:pPr>
              <w:pStyle w:val="TableParagraph"/>
              <w:rPr>
                <w:sz w:val="11"/>
              </w:rPr>
            </w:pPr>
          </w:p>
          <w:p>
            <w:pPr>
              <w:pStyle w:val="TableParagraph"/>
              <w:ind w:left="472"/>
              <w:rPr>
                <w:sz w:val="11"/>
              </w:rPr>
            </w:pPr>
            <w:r>
              <w:rPr>
                <w:sz w:val="11"/>
              </w:rPr>
              <w:t>36,887.00</w:t>
            </w:r>
          </w:p>
        </w:tc>
        <w:tc>
          <w:tcPr>
            <w:tcW w:w="1100" w:type="dxa"/>
          </w:tcPr>
          <w:p>
            <w:pPr>
              <w:pStyle w:val="TableParagraph"/>
              <w:rPr>
                <w:sz w:val="11"/>
              </w:rPr>
            </w:pPr>
          </w:p>
          <w:p>
            <w:pPr>
              <w:pStyle w:val="TableParagraph"/>
              <w:ind w:right="262"/>
              <w:jc w:val="right"/>
              <w:rPr>
                <w:sz w:val="11"/>
              </w:rPr>
            </w:pPr>
            <w:r>
              <w:rPr>
                <w:sz w:val="11"/>
              </w:rPr>
              <w:t>200.00</w:t>
            </w:r>
          </w:p>
        </w:tc>
        <w:tc>
          <w:tcPr>
            <w:tcW w:w="984" w:type="dxa"/>
          </w:tcPr>
          <w:p>
            <w:pPr>
              <w:pStyle w:val="TableParagraph"/>
              <w:rPr>
                <w:sz w:val="11"/>
              </w:rPr>
            </w:pPr>
          </w:p>
          <w:p>
            <w:pPr>
              <w:pStyle w:val="TableParagraph"/>
              <w:ind w:right="137"/>
              <w:jc w:val="right"/>
              <w:rPr>
                <w:sz w:val="11"/>
              </w:rPr>
            </w:pPr>
            <w:r>
              <w:rPr>
                <w:sz w:val="11"/>
              </w:rPr>
              <w:t>37,087.00</w:t>
            </w:r>
          </w:p>
        </w:tc>
        <w:tc>
          <w:tcPr>
            <w:tcW w:w="1064" w:type="dxa"/>
          </w:tcPr>
          <w:p>
            <w:pPr>
              <w:pStyle w:val="TableParagraph"/>
              <w:rPr>
                <w:sz w:val="11"/>
              </w:rPr>
            </w:pPr>
          </w:p>
          <w:p>
            <w:pPr>
              <w:pStyle w:val="TableParagraph"/>
              <w:ind w:right="92"/>
              <w:jc w:val="right"/>
              <w:rPr>
                <w:sz w:val="11"/>
              </w:rPr>
            </w:pPr>
            <w:r>
              <w:rPr>
                <w:sz w:val="11"/>
              </w:rPr>
              <w:t>46,599.00</w:t>
            </w:r>
          </w:p>
        </w:tc>
        <w:tc>
          <w:tcPr>
            <w:tcW w:w="1172" w:type="dxa"/>
          </w:tcPr>
          <w:p>
            <w:pPr>
              <w:pStyle w:val="TableParagraph"/>
              <w:rPr>
                <w:sz w:val="11"/>
              </w:rPr>
            </w:pPr>
          </w:p>
          <w:p>
            <w:pPr>
              <w:pStyle w:val="TableParagraph"/>
              <w:ind w:right="155"/>
              <w:jc w:val="right"/>
              <w:rPr>
                <w:sz w:val="11"/>
              </w:rPr>
            </w:pPr>
            <w:r>
              <w:rPr>
                <w:sz w:val="11"/>
              </w:rPr>
              <w:t>200.00</w:t>
            </w:r>
          </w:p>
        </w:tc>
        <w:tc>
          <w:tcPr>
            <w:tcW w:w="1023" w:type="dxa"/>
          </w:tcPr>
          <w:p>
            <w:pPr>
              <w:pStyle w:val="TableParagraph"/>
              <w:rPr>
                <w:sz w:val="11"/>
              </w:rPr>
            </w:pPr>
          </w:p>
          <w:p>
            <w:pPr>
              <w:pStyle w:val="TableParagraph"/>
              <w:ind w:right="70"/>
              <w:jc w:val="right"/>
              <w:rPr>
                <w:sz w:val="11"/>
              </w:rPr>
            </w:pPr>
            <w:r>
              <w:rPr>
                <w:sz w:val="11"/>
              </w:rPr>
              <w:t>46,799.00</w:t>
            </w:r>
          </w:p>
        </w:tc>
        <w:tc>
          <w:tcPr>
            <w:tcW w:w="596" w:type="dxa"/>
          </w:tcPr>
          <w:p>
            <w:pPr>
              <w:pStyle w:val="TableParagraph"/>
              <w:rPr>
                <w:sz w:val="11"/>
              </w:rPr>
            </w:pPr>
          </w:p>
          <w:p>
            <w:pPr>
              <w:pStyle w:val="TableParagraph"/>
              <w:ind w:right="24"/>
              <w:jc w:val="right"/>
              <w:rPr>
                <w:sz w:val="11"/>
              </w:rPr>
            </w:pPr>
            <w:r>
              <w:rPr>
                <w:sz w:val="11"/>
              </w:rPr>
              <w:t>26.2%</w:t>
            </w:r>
          </w:p>
        </w:tc>
      </w:tr>
      <w:tr>
        <w:trPr>
          <w:trHeight w:val="235" w:hRule="atLeast"/>
        </w:trPr>
        <w:tc>
          <w:tcPr>
            <w:tcW w:w="4456" w:type="dxa"/>
            <w:gridSpan w:val="3"/>
          </w:tcPr>
          <w:p>
            <w:pPr>
              <w:pStyle w:val="TableParagraph"/>
              <w:tabs>
                <w:tab w:pos="4137" w:val="right" w:leader="none"/>
              </w:tabs>
              <w:spacing w:before="56"/>
              <w:ind w:left="90"/>
              <w:rPr>
                <w:sz w:val="11"/>
              </w:rPr>
            </w:pPr>
            <w:r>
              <w:rPr>
                <w:sz w:val="11"/>
              </w:rPr>
              <w:t>Transfers of Direct Costs</w:t>
              <w:tab/>
              <w:t>5710</w:t>
            </w:r>
          </w:p>
        </w:tc>
        <w:tc>
          <w:tcPr>
            <w:tcW w:w="1245" w:type="dxa"/>
            <w:gridSpan w:val="2"/>
          </w:tcPr>
          <w:p>
            <w:pPr>
              <w:pStyle w:val="TableParagraph"/>
              <w:spacing w:before="56"/>
              <w:ind w:left="753"/>
              <w:rPr>
                <w:sz w:val="11"/>
              </w:rPr>
            </w:pPr>
            <w:r>
              <w:rPr>
                <w:sz w:val="11"/>
              </w:rPr>
              <w:t>0.00</w:t>
            </w:r>
          </w:p>
        </w:tc>
        <w:tc>
          <w:tcPr>
            <w:tcW w:w="1100" w:type="dxa"/>
          </w:tcPr>
          <w:p>
            <w:pPr>
              <w:pStyle w:val="TableParagraph"/>
              <w:spacing w:before="56"/>
              <w:ind w:right="262"/>
              <w:jc w:val="right"/>
              <w:rPr>
                <w:sz w:val="11"/>
              </w:rPr>
            </w:pPr>
            <w:r>
              <w:rPr>
                <w:sz w:val="11"/>
              </w:rPr>
              <w:t>0.00</w:t>
            </w:r>
          </w:p>
        </w:tc>
        <w:tc>
          <w:tcPr>
            <w:tcW w:w="984" w:type="dxa"/>
          </w:tcPr>
          <w:p>
            <w:pPr>
              <w:pStyle w:val="TableParagraph"/>
              <w:spacing w:before="56"/>
              <w:ind w:right="137"/>
              <w:jc w:val="right"/>
              <w:rPr>
                <w:sz w:val="11"/>
              </w:rPr>
            </w:pPr>
            <w:r>
              <w:rPr>
                <w:sz w:val="11"/>
              </w:rPr>
              <w:t>0.00</w:t>
            </w:r>
          </w:p>
        </w:tc>
        <w:tc>
          <w:tcPr>
            <w:tcW w:w="1064" w:type="dxa"/>
          </w:tcPr>
          <w:p>
            <w:pPr>
              <w:pStyle w:val="TableParagraph"/>
              <w:spacing w:before="56"/>
              <w:ind w:right="92"/>
              <w:jc w:val="right"/>
              <w:rPr>
                <w:sz w:val="11"/>
              </w:rPr>
            </w:pPr>
            <w:r>
              <w:rPr>
                <w:sz w:val="11"/>
              </w:rPr>
              <w:t>0.00</w:t>
            </w:r>
          </w:p>
        </w:tc>
        <w:tc>
          <w:tcPr>
            <w:tcW w:w="1172" w:type="dxa"/>
          </w:tcPr>
          <w:p>
            <w:pPr>
              <w:pStyle w:val="TableParagraph"/>
              <w:spacing w:before="56"/>
              <w:ind w:right="155"/>
              <w:jc w:val="right"/>
              <w:rPr>
                <w:sz w:val="11"/>
              </w:rPr>
            </w:pPr>
            <w:r>
              <w:rPr>
                <w:sz w:val="11"/>
              </w:rPr>
              <w:t>0.00</w:t>
            </w:r>
          </w:p>
        </w:tc>
        <w:tc>
          <w:tcPr>
            <w:tcW w:w="1023" w:type="dxa"/>
          </w:tcPr>
          <w:p>
            <w:pPr>
              <w:pStyle w:val="TableParagraph"/>
              <w:spacing w:before="56"/>
              <w:ind w:right="69"/>
              <w:jc w:val="right"/>
              <w:rPr>
                <w:sz w:val="11"/>
              </w:rPr>
            </w:pPr>
            <w:r>
              <w:rPr>
                <w:sz w:val="11"/>
              </w:rPr>
              <w:t>0.00</w:t>
            </w:r>
          </w:p>
        </w:tc>
        <w:tc>
          <w:tcPr>
            <w:tcW w:w="596" w:type="dxa"/>
          </w:tcPr>
          <w:p>
            <w:pPr>
              <w:pStyle w:val="TableParagraph"/>
              <w:spacing w:before="56"/>
              <w:ind w:right="23"/>
              <w:jc w:val="right"/>
              <w:rPr>
                <w:sz w:val="11"/>
              </w:rPr>
            </w:pPr>
            <w:r>
              <w:rPr>
                <w:sz w:val="11"/>
              </w:rPr>
              <w:t>0.0%</w:t>
            </w:r>
          </w:p>
        </w:tc>
      </w:tr>
      <w:tr>
        <w:trPr>
          <w:trHeight w:val="305" w:hRule="atLeast"/>
        </w:trPr>
        <w:tc>
          <w:tcPr>
            <w:tcW w:w="4456" w:type="dxa"/>
            <w:gridSpan w:val="3"/>
          </w:tcPr>
          <w:p>
            <w:pPr>
              <w:pStyle w:val="TableParagraph"/>
              <w:tabs>
                <w:tab w:pos="4137" w:val="right" w:leader="none"/>
              </w:tabs>
              <w:spacing w:before="51"/>
              <w:ind w:left="90"/>
              <w:rPr>
                <w:sz w:val="11"/>
              </w:rPr>
            </w:pPr>
            <w:r>
              <w:rPr>
                <w:sz w:val="11"/>
              </w:rPr>
              <w:t>Transfers of Direct Costs</w:t>
            </w:r>
            <w:r>
              <w:rPr>
                <w:spacing w:val="3"/>
                <w:sz w:val="11"/>
              </w:rPr>
              <w:t> </w:t>
            </w:r>
            <w:r>
              <w:rPr>
                <w:sz w:val="11"/>
              </w:rPr>
              <w:t>-</w:t>
            </w:r>
            <w:r>
              <w:rPr>
                <w:spacing w:val="2"/>
                <w:sz w:val="11"/>
              </w:rPr>
              <w:t> </w:t>
            </w:r>
            <w:r>
              <w:rPr>
                <w:sz w:val="11"/>
              </w:rPr>
              <w:t>Interfund</w:t>
              <w:tab/>
              <w:t>5750</w:t>
            </w:r>
          </w:p>
        </w:tc>
        <w:tc>
          <w:tcPr>
            <w:tcW w:w="1245" w:type="dxa"/>
            <w:gridSpan w:val="2"/>
          </w:tcPr>
          <w:p>
            <w:pPr>
              <w:pStyle w:val="TableParagraph"/>
              <w:spacing w:before="51"/>
              <w:ind w:left="753"/>
              <w:rPr>
                <w:sz w:val="11"/>
              </w:rPr>
            </w:pPr>
            <w:r>
              <w:rPr>
                <w:sz w:val="11"/>
              </w:rPr>
              <w:t>0.00</w:t>
            </w:r>
          </w:p>
        </w:tc>
        <w:tc>
          <w:tcPr>
            <w:tcW w:w="1100" w:type="dxa"/>
          </w:tcPr>
          <w:p>
            <w:pPr>
              <w:pStyle w:val="TableParagraph"/>
              <w:spacing w:before="51"/>
              <w:ind w:right="262"/>
              <w:jc w:val="right"/>
              <w:rPr>
                <w:sz w:val="11"/>
              </w:rPr>
            </w:pPr>
            <w:r>
              <w:rPr>
                <w:sz w:val="11"/>
              </w:rPr>
              <w:t>0.00</w:t>
            </w:r>
          </w:p>
        </w:tc>
        <w:tc>
          <w:tcPr>
            <w:tcW w:w="984" w:type="dxa"/>
          </w:tcPr>
          <w:p>
            <w:pPr>
              <w:pStyle w:val="TableParagraph"/>
              <w:spacing w:before="51"/>
              <w:ind w:right="137"/>
              <w:jc w:val="right"/>
              <w:rPr>
                <w:sz w:val="11"/>
              </w:rPr>
            </w:pPr>
            <w:r>
              <w:rPr>
                <w:sz w:val="11"/>
              </w:rPr>
              <w:t>0.00</w:t>
            </w:r>
          </w:p>
        </w:tc>
        <w:tc>
          <w:tcPr>
            <w:tcW w:w="1064" w:type="dxa"/>
          </w:tcPr>
          <w:p>
            <w:pPr>
              <w:pStyle w:val="TableParagraph"/>
              <w:spacing w:before="51"/>
              <w:ind w:right="92"/>
              <w:jc w:val="right"/>
              <w:rPr>
                <w:sz w:val="11"/>
              </w:rPr>
            </w:pPr>
            <w:r>
              <w:rPr>
                <w:sz w:val="11"/>
              </w:rPr>
              <w:t>0.00</w:t>
            </w:r>
          </w:p>
        </w:tc>
        <w:tc>
          <w:tcPr>
            <w:tcW w:w="1172" w:type="dxa"/>
          </w:tcPr>
          <w:p>
            <w:pPr>
              <w:pStyle w:val="TableParagraph"/>
              <w:spacing w:before="51"/>
              <w:ind w:right="155"/>
              <w:jc w:val="right"/>
              <w:rPr>
                <w:sz w:val="11"/>
              </w:rPr>
            </w:pPr>
            <w:r>
              <w:rPr>
                <w:sz w:val="11"/>
              </w:rPr>
              <w:t>0.00</w:t>
            </w:r>
          </w:p>
        </w:tc>
        <w:tc>
          <w:tcPr>
            <w:tcW w:w="1023" w:type="dxa"/>
          </w:tcPr>
          <w:p>
            <w:pPr>
              <w:pStyle w:val="TableParagraph"/>
              <w:spacing w:before="51"/>
              <w:ind w:right="69"/>
              <w:jc w:val="right"/>
              <w:rPr>
                <w:sz w:val="11"/>
              </w:rPr>
            </w:pPr>
            <w:r>
              <w:rPr>
                <w:sz w:val="11"/>
              </w:rPr>
              <w:t>0.00</w:t>
            </w:r>
          </w:p>
        </w:tc>
        <w:tc>
          <w:tcPr>
            <w:tcW w:w="596" w:type="dxa"/>
          </w:tcPr>
          <w:p>
            <w:pPr>
              <w:pStyle w:val="TableParagraph"/>
              <w:spacing w:before="51"/>
              <w:ind w:right="23"/>
              <w:jc w:val="right"/>
              <w:rPr>
                <w:sz w:val="11"/>
              </w:rPr>
            </w:pPr>
            <w:r>
              <w:rPr>
                <w:sz w:val="11"/>
              </w:rPr>
              <w:t>0.0%</w:t>
            </w:r>
          </w:p>
        </w:tc>
      </w:tr>
      <w:tr>
        <w:trPr>
          <w:trHeight w:val="306" w:hRule="atLeast"/>
        </w:trPr>
        <w:tc>
          <w:tcPr>
            <w:tcW w:w="4456" w:type="dxa"/>
            <w:gridSpan w:val="3"/>
          </w:tcPr>
          <w:p>
            <w:pPr>
              <w:pStyle w:val="TableParagraph"/>
              <w:spacing w:line="102" w:lineRule="exact"/>
              <w:ind w:left="90"/>
              <w:rPr>
                <w:sz w:val="11"/>
              </w:rPr>
            </w:pPr>
            <w:r>
              <w:rPr>
                <w:sz w:val="11"/>
              </w:rPr>
              <w:t>Professional/Consulting Services and</w:t>
            </w:r>
          </w:p>
          <w:p>
            <w:pPr>
              <w:pStyle w:val="TableParagraph"/>
              <w:tabs>
                <w:tab w:pos="4137" w:val="right" w:leader="none"/>
              </w:tabs>
              <w:spacing w:before="24"/>
              <w:ind w:left="121"/>
              <w:rPr>
                <w:sz w:val="11"/>
              </w:rPr>
            </w:pPr>
            <w:r>
              <w:rPr>
                <w:sz w:val="11"/>
              </w:rPr>
              <w:t>Operating Expenditures</w:t>
              <w:tab/>
              <w:t>5800</w:t>
            </w:r>
          </w:p>
        </w:tc>
        <w:tc>
          <w:tcPr>
            <w:tcW w:w="1245" w:type="dxa"/>
            <w:gridSpan w:val="2"/>
          </w:tcPr>
          <w:p>
            <w:pPr>
              <w:pStyle w:val="TableParagraph"/>
              <w:rPr>
                <w:sz w:val="11"/>
              </w:rPr>
            </w:pPr>
          </w:p>
          <w:p>
            <w:pPr>
              <w:pStyle w:val="TableParagraph"/>
              <w:ind w:left="410"/>
              <w:rPr>
                <w:sz w:val="11"/>
              </w:rPr>
            </w:pPr>
            <w:r>
              <w:rPr>
                <w:sz w:val="11"/>
              </w:rPr>
              <w:t>156,168.00</w:t>
            </w:r>
          </w:p>
        </w:tc>
        <w:tc>
          <w:tcPr>
            <w:tcW w:w="1100" w:type="dxa"/>
          </w:tcPr>
          <w:p>
            <w:pPr>
              <w:pStyle w:val="TableParagraph"/>
              <w:rPr>
                <w:sz w:val="11"/>
              </w:rPr>
            </w:pPr>
          </w:p>
          <w:p>
            <w:pPr>
              <w:pStyle w:val="TableParagraph"/>
              <w:ind w:right="262"/>
              <w:jc w:val="right"/>
              <w:rPr>
                <w:sz w:val="11"/>
              </w:rPr>
            </w:pPr>
            <w:r>
              <w:rPr>
                <w:sz w:val="11"/>
              </w:rPr>
              <w:t>48,312.00</w:t>
            </w:r>
          </w:p>
        </w:tc>
        <w:tc>
          <w:tcPr>
            <w:tcW w:w="984" w:type="dxa"/>
          </w:tcPr>
          <w:p>
            <w:pPr>
              <w:pStyle w:val="TableParagraph"/>
              <w:rPr>
                <w:sz w:val="11"/>
              </w:rPr>
            </w:pPr>
          </w:p>
          <w:p>
            <w:pPr>
              <w:pStyle w:val="TableParagraph"/>
              <w:ind w:right="137"/>
              <w:jc w:val="right"/>
              <w:rPr>
                <w:sz w:val="11"/>
              </w:rPr>
            </w:pPr>
            <w:r>
              <w:rPr>
                <w:sz w:val="11"/>
              </w:rPr>
              <w:t>204,480.00</w:t>
            </w:r>
          </w:p>
        </w:tc>
        <w:tc>
          <w:tcPr>
            <w:tcW w:w="1064" w:type="dxa"/>
          </w:tcPr>
          <w:p>
            <w:pPr>
              <w:pStyle w:val="TableParagraph"/>
              <w:rPr>
                <w:sz w:val="11"/>
              </w:rPr>
            </w:pPr>
          </w:p>
          <w:p>
            <w:pPr>
              <w:pStyle w:val="TableParagraph"/>
              <w:ind w:right="92"/>
              <w:jc w:val="right"/>
              <w:rPr>
                <w:sz w:val="11"/>
              </w:rPr>
            </w:pPr>
            <w:r>
              <w:rPr>
                <w:sz w:val="11"/>
              </w:rPr>
              <w:t>154,432.00</w:t>
            </w:r>
          </w:p>
        </w:tc>
        <w:tc>
          <w:tcPr>
            <w:tcW w:w="1172" w:type="dxa"/>
          </w:tcPr>
          <w:p>
            <w:pPr>
              <w:pStyle w:val="TableParagraph"/>
              <w:rPr>
                <w:sz w:val="11"/>
              </w:rPr>
            </w:pPr>
          </w:p>
          <w:p>
            <w:pPr>
              <w:pStyle w:val="TableParagraph"/>
              <w:ind w:right="156"/>
              <w:jc w:val="right"/>
              <w:rPr>
                <w:sz w:val="11"/>
              </w:rPr>
            </w:pPr>
            <w:r>
              <w:rPr>
                <w:sz w:val="11"/>
              </w:rPr>
              <w:t>18,739.00</w:t>
            </w:r>
          </w:p>
        </w:tc>
        <w:tc>
          <w:tcPr>
            <w:tcW w:w="1023" w:type="dxa"/>
          </w:tcPr>
          <w:p>
            <w:pPr>
              <w:pStyle w:val="TableParagraph"/>
              <w:rPr>
                <w:sz w:val="11"/>
              </w:rPr>
            </w:pPr>
          </w:p>
          <w:p>
            <w:pPr>
              <w:pStyle w:val="TableParagraph"/>
              <w:ind w:right="70"/>
              <w:jc w:val="right"/>
              <w:rPr>
                <w:sz w:val="11"/>
              </w:rPr>
            </w:pPr>
            <w:r>
              <w:rPr>
                <w:sz w:val="11"/>
              </w:rPr>
              <w:t>173,171.00</w:t>
            </w:r>
          </w:p>
        </w:tc>
        <w:tc>
          <w:tcPr>
            <w:tcW w:w="596" w:type="dxa"/>
          </w:tcPr>
          <w:p>
            <w:pPr>
              <w:pStyle w:val="TableParagraph"/>
              <w:rPr>
                <w:sz w:val="11"/>
              </w:rPr>
            </w:pPr>
          </w:p>
          <w:p>
            <w:pPr>
              <w:pStyle w:val="TableParagraph"/>
              <w:ind w:right="23"/>
              <w:jc w:val="right"/>
              <w:rPr>
                <w:sz w:val="11"/>
              </w:rPr>
            </w:pPr>
            <w:r>
              <w:rPr>
                <w:sz w:val="11"/>
              </w:rPr>
              <w:t>-15.3%</w:t>
            </w:r>
          </w:p>
        </w:tc>
      </w:tr>
      <w:tr>
        <w:trPr>
          <w:trHeight w:val="305" w:hRule="atLeast"/>
        </w:trPr>
        <w:tc>
          <w:tcPr>
            <w:tcW w:w="4456" w:type="dxa"/>
            <w:gridSpan w:val="3"/>
          </w:tcPr>
          <w:p>
            <w:pPr>
              <w:pStyle w:val="TableParagraph"/>
              <w:tabs>
                <w:tab w:pos="4137" w:val="right" w:leader="none"/>
              </w:tabs>
              <w:spacing w:before="51"/>
              <w:ind w:left="90"/>
              <w:rPr>
                <w:sz w:val="11"/>
              </w:rPr>
            </w:pPr>
            <w:r>
              <w:rPr>
                <w:sz w:val="11"/>
              </w:rPr>
              <w:t>Communications</w:t>
              <w:tab/>
              <w:t>5900</w:t>
            </w:r>
          </w:p>
        </w:tc>
        <w:tc>
          <w:tcPr>
            <w:tcW w:w="1245" w:type="dxa"/>
            <w:gridSpan w:val="2"/>
          </w:tcPr>
          <w:p>
            <w:pPr>
              <w:pStyle w:val="TableParagraph"/>
              <w:spacing w:before="51"/>
              <w:ind w:left="472"/>
              <w:rPr>
                <w:sz w:val="11"/>
              </w:rPr>
            </w:pPr>
            <w:r>
              <w:rPr>
                <w:sz w:val="11"/>
              </w:rPr>
              <w:t>10,095.00</w:t>
            </w:r>
          </w:p>
        </w:tc>
        <w:tc>
          <w:tcPr>
            <w:tcW w:w="1100" w:type="dxa"/>
          </w:tcPr>
          <w:p>
            <w:pPr>
              <w:pStyle w:val="TableParagraph"/>
              <w:spacing w:before="51"/>
              <w:ind w:right="262"/>
              <w:jc w:val="right"/>
              <w:rPr>
                <w:sz w:val="11"/>
              </w:rPr>
            </w:pPr>
            <w:r>
              <w:rPr>
                <w:sz w:val="11"/>
              </w:rPr>
              <w:t>24,218.00</w:t>
            </w:r>
          </w:p>
        </w:tc>
        <w:tc>
          <w:tcPr>
            <w:tcW w:w="984" w:type="dxa"/>
          </w:tcPr>
          <w:p>
            <w:pPr>
              <w:pStyle w:val="TableParagraph"/>
              <w:spacing w:before="51"/>
              <w:ind w:right="137"/>
              <w:jc w:val="right"/>
              <w:rPr>
                <w:sz w:val="11"/>
              </w:rPr>
            </w:pPr>
            <w:r>
              <w:rPr>
                <w:sz w:val="11"/>
              </w:rPr>
              <w:t>34,313.00</w:t>
            </w:r>
          </w:p>
        </w:tc>
        <w:tc>
          <w:tcPr>
            <w:tcW w:w="1064" w:type="dxa"/>
          </w:tcPr>
          <w:p>
            <w:pPr>
              <w:pStyle w:val="TableParagraph"/>
              <w:spacing w:before="51"/>
              <w:ind w:right="93"/>
              <w:jc w:val="right"/>
              <w:rPr>
                <w:sz w:val="11"/>
              </w:rPr>
            </w:pPr>
            <w:r>
              <w:rPr>
                <w:sz w:val="11"/>
              </w:rPr>
              <w:t>7,622.00</w:t>
            </w:r>
          </w:p>
        </w:tc>
        <w:tc>
          <w:tcPr>
            <w:tcW w:w="1172" w:type="dxa"/>
          </w:tcPr>
          <w:p>
            <w:pPr>
              <w:pStyle w:val="TableParagraph"/>
              <w:spacing w:before="51"/>
              <w:ind w:right="155"/>
              <w:jc w:val="right"/>
              <w:rPr>
                <w:sz w:val="11"/>
              </w:rPr>
            </w:pPr>
            <w:r>
              <w:rPr>
                <w:sz w:val="11"/>
              </w:rPr>
              <w:t>0.00</w:t>
            </w:r>
          </w:p>
        </w:tc>
        <w:tc>
          <w:tcPr>
            <w:tcW w:w="1023" w:type="dxa"/>
          </w:tcPr>
          <w:p>
            <w:pPr>
              <w:pStyle w:val="TableParagraph"/>
              <w:spacing w:before="51"/>
              <w:ind w:right="70"/>
              <w:jc w:val="right"/>
              <w:rPr>
                <w:sz w:val="11"/>
              </w:rPr>
            </w:pPr>
            <w:r>
              <w:rPr>
                <w:sz w:val="11"/>
              </w:rPr>
              <w:t>7,622.00</w:t>
            </w:r>
          </w:p>
        </w:tc>
        <w:tc>
          <w:tcPr>
            <w:tcW w:w="596" w:type="dxa"/>
          </w:tcPr>
          <w:p>
            <w:pPr>
              <w:pStyle w:val="TableParagraph"/>
              <w:spacing w:before="51"/>
              <w:ind w:right="23"/>
              <w:jc w:val="right"/>
              <w:rPr>
                <w:sz w:val="11"/>
              </w:rPr>
            </w:pPr>
            <w:r>
              <w:rPr>
                <w:sz w:val="11"/>
              </w:rPr>
              <w:t>-77.8%</w:t>
            </w:r>
          </w:p>
        </w:tc>
      </w:tr>
      <w:tr>
        <w:trPr>
          <w:trHeight w:val="253" w:hRule="atLeast"/>
        </w:trPr>
        <w:tc>
          <w:tcPr>
            <w:tcW w:w="4456" w:type="dxa"/>
            <w:gridSpan w:val="3"/>
          </w:tcPr>
          <w:p>
            <w:pPr>
              <w:pStyle w:val="TableParagraph"/>
              <w:spacing w:line="102" w:lineRule="exact"/>
              <w:ind w:left="90"/>
              <w:rPr>
                <w:sz w:val="11"/>
              </w:rPr>
            </w:pPr>
            <w:r>
              <w:rPr>
                <w:sz w:val="11"/>
              </w:rPr>
              <w:t>TOTAL, SERVICES AND OTHER</w:t>
            </w:r>
          </w:p>
          <w:p>
            <w:pPr>
              <w:pStyle w:val="TableParagraph"/>
              <w:spacing w:line="107" w:lineRule="exact" w:before="24"/>
              <w:ind w:left="90"/>
              <w:rPr>
                <w:sz w:val="11"/>
              </w:rPr>
            </w:pPr>
            <w:r>
              <w:rPr>
                <w:sz w:val="11"/>
              </w:rPr>
              <w:t>OPERATING EXPENDITURES</w:t>
            </w:r>
          </w:p>
        </w:tc>
        <w:tc>
          <w:tcPr>
            <w:tcW w:w="1245" w:type="dxa"/>
            <w:gridSpan w:val="2"/>
          </w:tcPr>
          <w:p>
            <w:pPr>
              <w:pStyle w:val="TableParagraph"/>
              <w:rPr>
                <w:sz w:val="11"/>
              </w:rPr>
            </w:pPr>
          </w:p>
          <w:p>
            <w:pPr>
              <w:pStyle w:val="TableParagraph"/>
              <w:spacing w:line="107" w:lineRule="exact"/>
              <w:ind w:left="410"/>
              <w:rPr>
                <w:sz w:val="11"/>
              </w:rPr>
            </w:pPr>
            <w:r>
              <w:rPr>
                <w:sz w:val="11"/>
              </w:rPr>
              <w:t>350,326.00</w:t>
            </w:r>
          </w:p>
        </w:tc>
        <w:tc>
          <w:tcPr>
            <w:tcW w:w="1100" w:type="dxa"/>
          </w:tcPr>
          <w:p>
            <w:pPr>
              <w:pStyle w:val="TableParagraph"/>
              <w:rPr>
                <w:sz w:val="11"/>
              </w:rPr>
            </w:pPr>
          </w:p>
          <w:p>
            <w:pPr>
              <w:pStyle w:val="TableParagraph"/>
              <w:spacing w:line="107" w:lineRule="exact"/>
              <w:ind w:right="262"/>
              <w:jc w:val="right"/>
              <w:rPr>
                <w:sz w:val="11"/>
              </w:rPr>
            </w:pPr>
            <w:r>
              <w:rPr>
                <w:sz w:val="11"/>
              </w:rPr>
              <w:t>79,458.00</w:t>
            </w:r>
          </w:p>
        </w:tc>
        <w:tc>
          <w:tcPr>
            <w:tcW w:w="984" w:type="dxa"/>
          </w:tcPr>
          <w:p>
            <w:pPr>
              <w:pStyle w:val="TableParagraph"/>
              <w:rPr>
                <w:sz w:val="11"/>
              </w:rPr>
            </w:pPr>
          </w:p>
          <w:p>
            <w:pPr>
              <w:pStyle w:val="TableParagraph"/>
              <w:spacing w:line="107" w:lineRule="exact"/>
              <w:ind w:right="137"/>
              <w:jc w:val="right"/>
              <w:rPr>
                <w:sz w:val="11"/>
              </w:rPr>
            </w:pPr>
            <w:r>
              <w:rPr>
                <w:sz w:val="11"/>
              </w:rPr>
              <w:t>429,784.00</w:t>
            </w:r>
          </w:p>
        </w:tc>
        <w:tc>
          <w:tcPr>
            <w:tcW w:w="1064" w:type="dxa"/>
          </w:tcPr>
          <w:p>
            <w:pPr>
              <w:pStyle w:val="TableParagraph"/>
              <w:rPr>
                <w:sz w:val="11"/>
              </w:rPr>
            </w:pPr>
          </w:p>
          <w:p>
            <w:pPr>
              <w:pStyle w:val="TableParagraph"/>
              <w:spacing w:line="107" w:lineRule="exact"/>
              <w:ind w:right="92"/>
              <w:jc w:val="right"/>
              <w:rPr>
                <w:sz w:val="11"/>
              </w:rPr>
            </w:pPr>
            <w:r>
              <w:rPr>
                <w:sz w:val="11"/>
              </w:rPr>
              <w:t>341,793.00</w:t>
            </w:r>
          </w:p>
        </w:tc>
        <w:tc>
          <w:tcPr>
            <w:tcW w:w="1172" w:type="dxa"/>
          </w:tcPr>
          <w:p>
            <w:pPr>
              <w:pStyle w:val="TableParagraph"/>
              <w:rPr>
                <w:sz w:val="11"/>
              </w:rPr>
            </w:pPr>
          </w:p>
          <w:p>
            <w:pPr>
              <w:pStyle w:val="TableParagraph"/>
              <w:spacing w:line="107" w:lineRule="exact"/>
              <w:ind w:right="156"/>
              <w:jc w:val="right"/>
              <w:rPr>
                <w:sz w:val="11"/>
              </w:rPr>
            </w:pPr>
            <w:r>
              <w:rPr>
                <w:sz w:val="11"/>
              </w:rPr>
              <w:t>20,449.00</w:t>
            </w:r>
          </w:p>
        </w:tc>
        <w:tc>
          <w:tcPr>
            <w:tcW w:w="1023" w:type="dxa"/>
          </w:tcPr>
          <w:p>
            <w:pPr>
              <w:pStyle w:val="TableParagraph"/>
              <w:rPr>
                <w:sz w:val="11"/>
              </w:rPr>
            </w:pPr>
          </w:p>
          <w:p>
            <w:pPr>
              <w:pStyle w:val="TableParagraph"/>
              <w:spacing w:line="107" w:lineRule="exact"/>
              <w:ind w:right="70"/>
              <w:jc w:val="right"/>
              <w:rPr>
                <w:sz w:val="11"/>
              </w:rPr>
            </w:pPr>
            <w:r>
              <w:rPr>
                <w:sz w:val="11"/>
              </w:rPr>
              <w:t>362,242.00</w:t>
            </w:r>
          </w:p>
        </w:tc>
        <w:tc>
          <w:tcPr>
            <w:tcW w:w="596" w:type="dxa"/>
          </w:tcPr>
          <w:p>
            <w:pPr>
              <w:pStyle w:val="TableParagraph"/>
              <w:rPr>
                <w:sz w:val="11"/>
              </w:rPr>
            </w:pPr>
          </w:p>
          <w:p>
            <w:pPr>
              <w:pStyle w:val="TableParagraph"/>
              <w:spacing w:line="107" w:lineRule="exact"/>
              <w:ind w:right="23"/>
              <w:jc w:val="right"/>
              <w:rPr>
                <w:sz w:val="11"/>
              </w:rPr>
            </w:pPr>
            <w:r>
              <w:rPr>
                <w:sz w:val="11"/>
              </w:rPr>
              <w:t>-15.7%</w:t>
            </w:r>
          </w:p>
        </w:tc>
      </w:tr>
    </w:tbl>
    <w:p>
      <w:pPr>
        <w:spacing w:after="0" w:line="107" w:lineRule="exact"/>
        <w:jc w:val="right"/>
        <w:rPr>
          <w:sz w:val="11"/>
        </w:rPr>
        <w:sectPr>
          <w:pgSz w:w="12240" w:h="15840"/>
          <w:pgMar w:header="59" w:footer="240" w:top="560" w:bottom="440" w:left="160" w:right="180"/>
        </w:sectPr>
      </w:pPr>
    </w:p>
    <w:p>
      <w:pPr>
        <w:pStyle w:val="BodyText"/>
        <w:spacing w:before="9"/>
        <w:rPr>
          <w:sz w:val="14"/>
        </w:rPr>
      </w:pPr>
    </w:p>
    <w:p>
      <w:pPr>
        <w:spacing w:after="0"/>
        <w:rPr>
          <w:sz w:val="14"/>
        </w:rPr>
        <w:sectPr>
          <w:pgSz w:w="12240" w:h="15840"/>
          <w:pgMar w:header="59" w:footer="240" w:top="560" w:bottom="440" w:left="160" w:right="180"/>
        </w:sectPr>
      </w:pPr>
    </w:p>
    <w:p>
      <w:pPr>
        <w:tabs>
          <w:tab w:pos="9063" w:val="left" w:leader="none"/>
        </w:tabs>
        <w:spacing w:line="238" w:lineRule="exact" w:before="11"/>
        <w:ind w:left="6972" w:right="0" w:hanging="1529"/>
        <w:jc w:val="left"/>
        <w:rPr>
          <w:b/>
          <w:sz w:val="11"/>
        </w:rPr>
      </w:pPr>
      <w:r>
        <w:rPr/>
        <w:pict>
          <v:group style="position:absolute;margin-left:14.280001pt;margin-top:3.230016pt;width:581.3pt;height:526.7pt;mso-position-horizontal-relative:page;mso-position-vertical-relative:paragraph;z-index:-314612736" coordorigin="286,65" coordsize="11626,10534">
            <v:shape style="position:absolute;left:285;top:64;width:11626;height:168" type="#_x0000_t75" stroked="false">
              <v:imagedata r:id="rId83" o:title=""/>
            </v:shape>
            <v:shape style="position:absolute;left:285;top:227;width:2542;height:507" type="#_x0000_t75" stroked="false">
              <v:imagedata r:id="rId84" o:title=""/>
            </v:shape>
            <v:shape style="position:absolute;left:2824;top:95;width:9087;height:639" type="#_x0000_t75" stroked="false">
              <v:imagedata r:id="rId85" o:title=""/>
            </v:shape>
            <v:shape style="position:absolute;left:4648;top:227;width:7263;height:1116" type="#_x0000_t75" stroked="false">
              <v:imagedata r:id="rId293" o:title=""/>
            </v:shape>
            <v:shape style="position:absolute;left:4648;top:1111;width:7263;height:464" type="#_x0000_t75" stroked="false">
              <v:imagedata r:id="rId117" o:title=""/>
            </v:shape>
            <v:shape style="position:absolute;left:4648;top:1341;width:7263;height:464" type="#_x0000_t75" stroked="false">
              <v:imagedata r:id="rId117" o:title=""/>
            </v:shape>
            <v:shape style="position:absolute;left:9084;top:1571;width:2828;height:615" type="#_x0000_t75" stroked="false">
              <v:imagedata r:id="rId294" o:title=""/>
            </v:shape>
            <v:shape style="position:absolute;left:285;top:729;width:2542;height:2376" type="#_x0000_t75" stroked="false">
              <v:imagedata r:id="rId295" o:title=""/>
            </v:shape>
            <v:shape style="position:absolute;left:4648;top:1802;width:7263;height:615" type="#_x0000_t75" stroked="false">
              <v:imagedata r:id="rId296" o:title=""/>
            </v:shape>
            <v:shape style="position:absolute;left:4648;top:2183;width:7263;height:464" type="#_x0000_t75" stroked="false">
              <v:imagedata r:id="rId283" o:title=""/>
            </v:shape>
            <v:shape style="position:absolute;left:4651;top:2647;width:3327;height:228" coordorigin="4651,2647" coordsize="3327,228" path="m7978,2647l6869,2647,5760,2647,4651,2647,4651,2875,5760,2875,6869,2875,7978,2875,7978,2647e" filled="true" fillcolor="#dfdfdf" stroked="false">
              <v:path arrowok="t"/>
              <v:fill type="solid"/>
            </v:shape>
            <v:shape style="position:absolute;left:4648;top:2414;width:7263;height:461" type="#_x0000_t75" stroked="false">
              <v:imagedata r:id="rId297" o:title=""/>
            </v:shape>
            <v:shape style="position:absolute;left:2824;top:2644;width:9087;height:1376" type="#_x0000_t75" stroked="false">
              <v:imagedata r:id="rId298" o:title=""/>
            </v:shape>
            <v:shape style="position:absolute;left:4648;top:3866;width:7263;height:384" type="#_x0000_t75" stroked="false">
              <v:imagedata r:id="rId299" o:title=""/>
            </v:shape>
            <v:shape style="position:absolute;left:4648;top:4017;width:7263;height:845" type="#_x0000_t75" stroked="false">
              <v:imagedata r:id="rId300" o:title=""/>
            </v:shape>
            <v:shape style="position:absolute;left:4648;top:4629;width:7263;height:464" type="#_x0000_t75" stroked="false">
              <v:imagedata r:id="rId220" o:title=""/>
            </v:shape>
            <v:shape style="position:absolute;left:4648;top:4859;width:7263;height:845" type="#_x0000_t75" stroked="false">
              <v:imagedata r:id="rId300" o:title=""/>
            </v:shape>
            <v:shape style="position:absolute;left:4648;top:5471;width:7263;height:464" type="#_x0000_t75" stroked="false">
              <v:imagedata r:id="rId301" o:title=""/>
            </v:shape>
            <v:shape style="position:absolute;left:4651;top:5935;width:4436;height:382" coordorigin="4651,5935" coordsize="4436,382" path="m5760,5935l4651,5935,4651,6165,4651,6317,5760,6317,5760,6165,5760,5935m9086,5935l7978,5935,7978,6165,7978,6317,9086,6317,9086,6165,9086,5935e" filled="true" fillcolor="#dfdfdf" stroked="false">
              <v:path arrowok="t"/>
              <v:fill type="solid"/>
            </v:shape>
            <v:shape style="position:absolute;left:4648;top:5932;width:4438;height:615" type="#_x0000_t75" stroked="false">
              <v:imagedata r:id="rId264" o:title=""/>
            </v:shape>
            <v:shape style="position:absolute;left:7972;top:5702;width:3939;height:845" type="#_x0000_t75" stroked="false">
              <v:imagedata r:id="rId265" o:title=""/>
            </v:shape>
            <v:shape style="position:absolute;left:4651;top:6316;width:4436;height:461" coordorigin="4651,6317" coordsize="4436,461" path="m5760,6317l4651,6317,4651,6547,4651,6777,5760,6777,5760,6547,5760,6317m9086,6317l7978,6317,7978,6547,9086,6547,9086,6317e" filled="true" fillcolor="#dfdfdf" stroked="false">
              <v:path arrowok="t"/>
              <v:fill type="solid"/>
            </v:shape>
            <v:shape style="position:absolute;left:4648;top:6314;width:7263;height:464" type="#_x0000_t75" stroked="false">
              <v:imagedata r:id="rId220" o:title=""/>
            </v:shape>
            <v:rect style="position:absolute;left:7977;top:6547;width:1109;height:231" filled="true" fillcolor="#dfdfdf" stroked="false">
              <v:fill type="solid"/>
            </v:rect>
            <v:shape style="position:absolute;left:285;top:3103;width:3641;height:6046" type="#_x0000_t75" stroked="false">
              <v:imagedata r:id="rId302" o:title=""/>
            </v:shape>
            <v:shape style="position:absolute;left:4651;top:6777;width:4436;height:382" coordorigin="4651,6777" coordsize="4436,382" path="m5760,6777l4651,6777,4651,7008,4651,7159,5760,7159,5760,7008,5760,6777m9086,6777l7978,6777,7978,7008,7978,7159,9086,7159,9086,7008,9086,6777e" filled="true" fillcolor="#dfdfdf" stroked="false">
              <v:path arrowok="t"/>
              <v:fill type="solid"/>
            </v:shape>
            <v:shape style="position:absolute;left:7972;top:6544;width:3939;height:845" type="#_x0000_t75" stroked="false">
              <v:imagedata r:id="rId303" o:title=""/>
            </v:shape>
            <v:shape style="position:absolute;left:4648;top:6775;width:3332;height:615" type="#_x0000_t75" stroked="false">
              <v:imagedata r:id="rId304" o:title=""/>
            </v:shape>
            <v:shape style="position:absolute;left:4651;top:7159;width:4436;height:461" coordorigin="4651,7159" coordsize="4436,461" path="m5760,7159l4651,7159,4651,7389,4651,7620,5760,7620,5760,7389,5760,7159m9086,7159l7978,7159,7978,7389,9086,7389,9086,7159e" filled="true" fillcolor="#dfdfdf" stroked="false">
              <v:path arrowok="t"/>
              <v:fill type="solid"/>
            </v:shape>
            <v:shape style="position:absolute;left:4648;top:7156;width:7263;height:464" type="#_x0000_t75" stroked="false">
              <v:imagedata r:id="rId305" o:title=""/>
            </v:shape>
            <v:rect style="position:absolute;left:7977;top:7389;width:1109;height:231" filled="true" fillcolor="#dfdfdf" stroked="false">
              <v:fill type="solid"/>
            </v:rect>
            <v:shape style="position:absolute;left:4648;top:7387;width:7263;height:464" type="#_x0000_t75" stroked="false">
              <v:imagedata r:id="rId306" o:title=""/>
            </v:shape>
            <v:shape style="position:absolute;left:4648;top:7617;width:7263;height:692" type="#_x0000_t75" stroked="false">
              <v:imagedata r:id="rId307" o:title=""/>
            </v:shape>
            <v:shape style="position:absolute;left:4648;top:8078;width:7263;height:612" type="#_x0000_t75" stroked="false">
              <v:imagedata r:id="rId308" o:title=""/>
            </v:shape>
            <v:shape style="position:absolute;left:4648;top:8536;width:7263;height:382" type="#_x0000_t75" stroked="false">
              <v:imagedata r:id="rId309" o:title=""/>
            </v:shape>
            <v:shape style="position:absolute;left:3924;top:8687;width:4056;height:461" type="#_x0000_t75" stroked="false">
              <v:imagedata r:id="rId310" o:title=""/>
            </v:shape>
            <v:shape style="position:absolute;left:4648;top:8687;width:7263;height:1071" type="#_x0000_t75" stroked="false">
              <v:imagedata r:id="rId311" o:title=""/>
            </v:shape>
            <v:shape style="position:absolute;left:285;top:9146;width:3641;height:1071" type="#_x0000_t75" stroked="false">
              <v:imagedata r:id="rId312" o:title=""/>
            </v:shape>
            <v:shape style="position:absolute;left:3924;top:9527;width:7988;height:689" type="#_x0000_t75" stroked="false">
              <v:imagedata r:id="rId313" o:title=""/>
            </v:shape>
            <v:shape style="position:absolute;left:2824;top:9983;width:9087;height:615" type="#_x0000_t75" stroked="false">
              <v:imagedata r:id="rId314" o:title=""/>
            </v:shape>
            <v:shape style="position:absolute;left:285;top:10214;width:2542;height:384" type="#_x0000_t75" stroked="false">
              <v:imagedata r:id="rId269" o:title=""/>
            </v:shape>
            <v:shape style="position:absolute;left:5757;top:10365;width:6154;height:233" type="#_x0000_t75" stroked="false">
              <v:imagedata r:id="rId270" o:title=""/>
            </v:shape>
            <w10:wrap type="none"/>
          </v:group>
        </w:pict>
      </w:r>
      <w:r>
        <w:rPr>
          <w:b/>
          <w:sz w:val="11"/>
        </w:rPr>
        <w:t>2020-21</w:t>
      </w:r>
      <w:r>
        <w:rPr>
          <w:b/>
          <w:spacing w:val="6"/>
          <w:sz w:val="11"/>
        </w:rPr>
        <w:t> </w:t>
      </w:r>
      <w:r>
        <w:rPr>
          <w:b/>
          <w:sz w:val="11"/>
        </w:rPr>
        <w:t>Estimated</w:t>
      </w:r>
      <w:r>
        <w:rPr>
          <w:b/>
          <w:spacing w:val="6"/>
          <w:sz w:val="11"/>
        </w:rPr>
        <w:t> </w:t>
      </w:r>
      <w:r>
        <w:rPr>
          <w:b/>
          <w:sz w:val="11"/>
        </w:rPr>
        <w:t>Actuals</w:t>
        <w:tab/>
        <w:tab/>
        <w:t>2021-22 </w:t>
      </w:r>
      <w:r>
        <w:rPr>
          <w:b/>
          <w:spacing w:val="-3"/>
          <w:sz w:val="11"/>
        </w:rPr>
        <w:t>Budget </w:t>
      </w:r>
      <w:r>
        <w:rPr>
          <w:b/>
          <w:sz w:val="11"/>
        </w:rPr>
        <w:t>Total Fund</w:t>
      </w:r>
    </w:p>
    <w:p>
      <w:pPr>
        <w:pStyle w:val="BodyText"/>
        <w:rPr>
          <w:b/>
          <w:sz w:val="12"/>
        </w:rPr>
      </w:pPr>
      <w:r>
        <w:rPr/>
        <w:br w:type="column"/>
      </w:r>
      <w:r>
        <w:rPr>
          <w:b/>
          <w:sz w:val="12"/>
        </w:rPr>
      </w:r>
    </w:p>
    <w:p>
      <w:pPr>
        <w:pStyle w:val="BodyText"/>
        <w:spacing w:before="3"/>
        <w:rPr>
          <w:b/>
          <w:sz w:val="17"/>
        </w:rPr>
      </w:pPr>
    </w:p>
    <w:p>
      <w:pPr>
        <w:spacing w:before="0"/>
        <w:ind w:left="362" w:right="0" w:firstLine="0"/>
        <w:jc w:val="left"/>
        <w:rPr>
          <w:b/>
          <w:sz w:val="11"/>
        </w:rPr>
      </w:pPr>
      <w:r>
        <w:rPr>
          <w:b/>
          <w:sz w:val="11"/>
        </w:rPr>
        <w:t>Total Fund</w:t>
      </w:r>
    </w:p>
    <w:p>
      <w:pPr>
        <w:pStyle w:val="BodyText"/>
        <w:rPr>
          <w:b/>
          <w:sz w:val="12"/>
        </w:rPr>
      </w:pPr>
      <w:r>
        <w:rPr/>
        <w:br w:type="column"/>
      </w:r>
      <w:r>
        <w:rPr>
          <w:b/>
          <w:sz w:val="12"/>
        </w:rPr>
      </w:r>
    </w:p>
    <w:p>
      <w:pPr>
        <w:pStyle w:val="BodyText"/>
        <w:spacing w:before="3"/>
        <w:rPr>
          <w:b/>
          <w:sz w:val="17"/>
        </w:rPr>
      </w:pPr>
    </w:p>
    <w:p>
      <w:pPr>
        <w:spacing w:before="0"/>
        <w:ind w:left="365" w:right="0" w:firstLine="0"/>
        <w:jc w:val="left"/>
        <w:rPr>
          <w:b/>
          <w:sz w:val="11"/>
        </w:rPr>
      </w:pPr>
      <w:r>
        <w:rPr>
          <w:b/>
          <w:sz w:val="11"/>
        </w:rPr>
        <w:t>% Diff</w:t>
      </w:r>
    </w:p>
    <w:p>
      <w:pPr>
        <w:spacing w:after="0"/>
        <w:jc w:val="left"/>
        <w:rPr>
          <w:sz w:val="11"/>
        </w:rPr>
        <w:sectPr>
          <w:type w:val="continuous"/>
          <w:pgSz w:w="12240" w:h="15840"/>
          <w:pgMar w:top="1500" w:bottom="840" w:left="160" w:right="180"/>
          <w:cols w:num="3" w:equalWidth="0">
            <w:col w:w="9898" w:space="40"/>
            <w:col w:w="945" w:space="39"/>
            <w:col w:w="978"/>
          </w:cols>
        </w:sectPr>
      </w:pPr>
    </w:p>
    <w:p>
      <w:pPr>
        <w:pStyle w:val="BodyText"/>
        <w:spacing w:before="10"/>
        <w:rPr>
          <w:b/>
          <w:sz w:val="9"/>
        </w:rPr>
      </w:pPr>
    </w:p>
    <w:p>
      <w:pPr>
        <w:tabs>
          <w:tab w:pos="2772" w:val="left" w:leader="none"/>
        </w:tabs>
        <w:spacing w:before="0"/>
        <w:ind w:left="144" w:right="0" w:firstLine="0"/>
        <w:jc w:val="left"/>
        <w:rPr>
          <w:b/>
          <w:sz w:val="11"/>
        </w:rPr>
      </w:pPr>
      <w:r>
        <w:rPr>
          <w:b/>
          <w:sz w:val="11"/>
        </w:rPr>
        <w:t>Description</w:t>
        <w:tab/>
        <w:t>Resource</w:t>
      </w:r>
      <w:r>
        <w:rPr>
          <w:b/>
          <w:spacing w:val="8"/>
          <w:sz w:val="11"/>
        </w:rPr>
        <w:t> </w:t>
      </w:r>
      <w:r>
        <w:rPr>
          <w:b/>
          <w:sz w:val="11"/>
        </w:rPr>
        <w:t>Codes</w:t>
      </w:r>
    </w:p>
    <w:p>
      <w:pPr>
        <w:spacing w:before="104"/>
        <w:ind w:left="144" w:right="0" w:firstLine="0"/>
        <w:jc w:val="left"/>
        <w:rPr>
          <w:b/>
          <w:sz w:val="11"/>
        </w:rPr>
      </w:pPr>
      <w:r>
        <w:rPr>
          <w:b/>
          <w:sz w:val="11"/>
        </w:rPr>
        <w:t>CAPITAL OUTLAY</w:t>
      </w:r>
    </w:p>
    <w:p>
      <w:pPr>
        <w:spacing w:line="108" w:lineRule="exact" w:before="0"/>
        <w:ind w:left="144" w:right="0" w:firstLine="0"/>
        <w:jc w:val="left"/>
        <w:rPr>
          <w:b/>
          <w:sz w:val="11"/>
        </w:rPr>
      </w:pPr>
      <w:r>
        <w:rPr/>
        <w:br w:type="column"/>
      </w:r>
      <w:r>
        <w:rPr>
          <w:b/>
          <w:sz w:val="11"/>
        </w:rPr>
        <w:t>Object</w:t>
      </w:r>
    </w:p>
    <w:p>
      <w:pPr>
        <w:spacing w:before="5"/>
        <w:ind w:left="149" w:right="0" w:firstLine="0"/>
        <w:jc w:val="left"/>
        <w:rPr>
          <w:b/>
          <w:sz w:val="11"/>
        </w:rPr>
      </w:pPr>
      <w:r>
        <w:rPr>
          <w:b/>
          <w:sz w:val="11"/>
        </w:rPr>
        <w:t>Codes</w:t>
      </w:r>
    </w:p>
    <w:p>
      <w:pPr>
        <w:spacing w:line="108" w:lineRule="exact" w:before="0"/>
        <w:ind w:left="131" w:right="27" w:firstLine="0"/>
        <w:jc w:val="center"/>
        <w:rPr>
          <w:b/>
          <w:sz w:val="11"/>
        </w:rPr>
      </w:pPr>
      <w:r>
        <w:rPr/>
        <w:br w:type="column"/>
      </w:r>
      <w:r>
        <w:rPr>
          <w:b/>
          <w:sz w:val="11"/>
        </w:rPr>
        <w:t>Unrestricted</w:t>
      </w:r>
    </w:p>
    <w:p>
      <w:pPr>
        <w:spacing w:before="5"/>
        <w:ind w:left="129" w:right="27" w:firstLine="0"/>
        <w:jc w:val="center"/>
        <w:rPr>
          <w:b/>
          <w:sz w:val="11"/>
        </w:rPr>
      </w:pPr>
      <w:r>
        <w:rPr>
          <w:b/>
          <w:sz w:val="11"/>
        </w:rPr>
        <w:t>(A)</w:t>
      </w:r>
    </w:p>
    <w:p>
      <w:pPr>
        <w:spacing w:line="108" w:lineRule="exact" w:before="0"/>
        <w:ind w:left="131" w:right="27" w:firstLine="0"/>
        <w:jc w:val="center"/>
        <w:rPr>
          <w:b/>
          <w:sz w:val="11"/>
        </w:rPr>
      </w:pPr>
      <w:r>
        <w:rPr/>
        <w:br w:type="column"/>
      </w:r>
      <w:r>
        <w:rPr>
          <w:b/>
          <w:sz w:val="11"/>
        </w:rPr>
        <w:t>Restricted</w:t>
      </w:r>
    </w:p>
    <w:p>
      <w:pPr>
        <w:spacing w:before="5"/>
        <w:ind w:left="131" w:right="26" w:firstLine="0"/>
        <w:jc w:val="center"/>
        <w:rPr>
          <w:b/>
          <w:sz w:val="11"/>
        </w:rPr>
      </w:pPr>
      <w:r>
        <w:rPr>
          <w:b/>
          <w:sz w:val="11"/>
        </w:rPr>
        <w:t>(B)</w:t>
      </w:r>
    </w:p>
    <w:p>
      <w:pPr>
        <w:spacing w:line="108" w:lineRule="exact" w:before="0"/>
        <w:ind w:left="128" w:right="24" w:firstLine="0"/>
        <w:jc w:val="center"/>
        <w:rPr>
          <w:b/>
          <w:sz w:val="11"/>
        </w:rPr>
      </w:pPr>
      <w:r>
        <w:rPr/>
        <w:br w:type="column"/>
      </w:r>
      <w:r>
        <w:rPr>
          <w:b/>
          <w:sz w:val="11"/>
        </w:rPr>
        <w:t>col. A + B</w:t>
      </w:r>
    </w:p>
    <w:p>
      <w:pPr>
        <w:spacing w:before="5"/>
        <w:ind w:left="128" w:right="23" w:firstLine="0"/>
        <w:jc w:val="center"/>
        <w:rPr>
          <w:b/>
          <w:sz w:val="11"/>
        </w:rPr>
      </w:pPr>
      <w:r>
        <w:rPr>
          <w:b/>
          <w:sz w:val="11"/>
        </w:rPr>
        <w:t>(C)</w:t>
      </w:r>
    </w:p>
    <w:p>
      <w:pPr>
        <w:spacing w:line="108" w:lineRule="exact" w:before="0"/>
        <w:ind w:left="131" w:right="27" w:firstLine="0"/>
        <w:jc w:val="center"/>
        <w:rPr>
          <w:b/>
          <w:sz w:val="11"/>
        </w:rPr>
      </w:pPr>
      <w:r>
        <w:rPr/>
        <w:br w:type="column"/>
      </w:r>
      <w:r>
        <w:rPr>
          <w:b/>
          <w:sz w:val="11"/>
        </w:rPr>
        <w:t>Unrestricted</w:t>
      </w:r>
    </w:p>
    <w:p>
      <w:pPr>
        <w:spacing w:before="5"/>
        <w:ind w:left="131" w:right="26" w:firstLine="0"/>
        <w:jc w:val="center"/>
        <w:rPr>
          <w:b/>
          <w:sz w:val="11"/>
        </w:rPr>
      </w:pPr>
      <w:r>
        <w:rPr>
          <w:b/>
          <w:sz w:val="11"/>
        </w:rPr>
        <w:t>(D)</w:t>
      </w:r>
    </w:p>
    <w:p>
      <w:pPr>
        <w:spacing w:line="108" w:lineRule="exact" w:before="0"/>
        <w:ind w:left="131" w:right="27" w:firstLine="0"/>
        <w:jc w:val="center"/>
        <w:rPr>
          <w:b/>
          <w:sz w:val="11"/>
        </w:rPr>
      </w:pPr>
      <w:r>
        <w:rPr/>
        <w:br w:type="column"/>
      </w:r>
      <w:r>
        <w:rPr>
          <w:b/>
          <w:sz w:val="11"/>
        </w:rPr>
        <w:t>Restricted</w:t>
      </w:r>
    </w:p>
    <w:p>
      <w:pPr>
        <w:spacing w:before="5"/>
        <w:ind w:left="129" w:right="27" w:firstLine="0"/>
        <w:jc w:val="center"/>
        <w:rPr>
          <w:b/>
          <w:sz w:val="11"/>
        </w:rPr>
      </w:pPr>
      <w:r>
        <w:rPr>
          <w:b/>
          <w:sz w:val="11"/>
        </w:rPr>
        <w:t>(E)</w:t>
      </w:r>
    </w:p>
    <w:p>
      <w:pPr>
        <w:spacing w:line="108" w:lineRule="exact" w:before="0"/>
        <w:ind w:left="129" w:right="25" w:firstLine="0"/>
        <w:jc w:val="center"/>
        <w:rPr>
          <w:b/>
          <w:sz w:val="11"/>
        </w:rPr>
      </w:pPr>
      <w:r>
        <w:rPr/>
        <w:br w:type="column"/>
      </w:r>
      <w:r>
        <w:rPr>
          <w:b/>
          <w:sz w:val="11"/>
        </w:rPr>
        <w:t>col. D + E</w:t>
      </w:r>
    </w:p>
    <w:p>
      <w:pPr>
        <w:spacing w:before="5"/>
        <w:ind w:left="126" w:right="25" w:firstLine="0"/>
        <w:jc w:val="center"/>
        <w:rPr>
          <w:b/>
          <w:sz w:val="11"/>
        </w:rPr>
      </w:pPr>
      <w:r>
        <w:rPr>
          <w:b/>
          <w:sz w:val="11"/>
        </w:rPr>
        <w:t>(F)</w:t>
      </w:r>
    </w:p>
    <w:p>
      <w:pPr>
        <w:spacing w:line="108" w:lineRule="exact" w:before="0"/>
        <w:ind w:left="144" w:right="0" w:firstLine="0"/>
        <w:jc w:val="left"/>
        <w:rPr>
          <w:b/>
          <w:sz w:val="11"/>
        </w:rPr>
      </w:pPr>
      <w:r>
        <w:rPr/>
        <w:br w:type="column"/>
      </w:r>
      <w:r>
        <w:rPr>
          <w:b/>
          <w:sz w:val="11"/>
        </w:rPr>
        <w:t>Column</w:t>
      </w:r>
    </w:p>
    <w:p>
      <w:pPr>
        <w:spacing w:before="5"/>
        <w:ind w:left="207" w:right="0" w:firstLine="0"/>
        <w:jc w:val="left"/>
        <w:rPr>
          <w:b/>
          <w:sz w:val="11"/>
        </w:rPr>
      </w:pPr>
      <w:r>
        <w:rPr>
          <w:b/>
          <w:sz w:val="11"/>
        </w:rPr>
        <w:t>C &amp; F</w:t>
      </w:r>
    </w:p>
    <w:p>
      <w:pPr>
        <w:spacing w:after="0"/>
        <w:jc w:val="left"/>
        <w:rPr>
          <w:sz w:val="11"/>
        </w:rPr>
        <w:sectPr>
          <w:type w:val="continuous"/>
          <w:pgSz w:w="12240" w:h="15840"/>
          <w:pgMar w:top="1500" w:bottom="840" w:left="160" w:right="180"/>
          <w:cols w:num="9" w:equalWidth="0">
            <w:col w:w="3703" w:space="105"/>
            <w:col w:w="537" w:space="227"/>
            <w:col w:w="847" w:space="317"/>
            <w:col w:w="736" w:space="392"/>
            <w:col w:w="698" w:space="336"/>
            <w:col w:w="847" w:space="318"/>
            <w:col w:w="736" w:space="394"/>
            <w:col w:w="694" w:space="206"/>
            <w:col w:w="807"/>
          </w:cols>
        </w:sectPr>
      </w:pPr>
    </w:p>
    <w:p>
      <w:pPr>
        <w:pStyle w:val="BodyText"/>
        <w:spacing w:before="9"/>
        <w:rPr>
          <w:b/>
        </w:rPr>
      </w:pPr>
    </w:p>
    <w:p>
      <w:pPr>
        <w:tabs>
          <w:tab w:pos="4003" w:val="left" w:leader="none"/>
          <w:tab w:pos="5326" w:val="left" w:leader="none"/>
          <w:tab w:pos="6091" w:val="left" w:leader="none"/>
          <w:tab w:pos="7200" w:val="left" w:leader="none"/>
          <w:tab w:pos="8371" w:val="left" w:leader="none"/>
          <w:tab w:pos="9480" w:val="left" w:leader="none"/>
          <w:tab w:pos="10589" w:val="left" w:leader="none"/>
          <w:tab w:pos="11374" w:val="left" w:leader="none"/>
        </w:tabs>
        <w:spacing w:before="99"/>
        <w:ind w:left="207" w:right="0" w:firstLine="0"/>
        <w:jc w:val="left"/>
        <w:rPr>
          <w:sz w:val="11"/>
        </w:rPr>
      </w:pPr>
      <w:r>
        <w:rPr>
          <w:sz w:val="11"/>
        </w:rPr>
        <w:t>Land</w:t>
        <w:tab/>
        <w:t>6100</w:t>
        <w:tab/>
        <w:t>0.00</w:t>
        <w:tab/>
        <w:t>120,000.00</w:t>
        <w:tab/>
        <w:t>120,000.00</w:t>
        <w:tab/>
        <w:t>10,000.00</w:t>
        <w:tab/>
        <w:t>50,000.00</w:t>
        <w:tab/>
        <w:t>60,000.00</w:t>
        <w:tab/>
        <w:t>-50.0%</w:t>
      </w:r>
    </w:p>
    <w:p>
      <w:pPr>
        <w:tabs>
          <w:tab w:pos="4003" w:val="left" w:leader="none"/>
          <w:tab w:pos="5045" w:val="left" w:leader="none"/>
          <w:tab w:pos="6435" w:val="left" w:leader="none"/>
          <w:tab w:pos="7263" w:val="left" w:leader="none"/>
          <w:tab w:pos="8652" w:val="left" w:leader="none"/>
          <w:tab w:pos="9761" w:val="left" w:leader="none"/>
          <w:tab w:pos="10870" w:val="left" w:leader="none"/>
          <w:tab w:pos="11311" w:val="left" w:leader="none"/>
        </w:tabs>
        <w:spacing w:before="104"/>
        <w:ind w:left="207" w:right="0" w:firstLine="0"/>
        <w:jc w:val="left"/>
        <w:rPr>
          <w:sz w:val="11"/>
        </w:rPr>
      </w:pPr>
      <w:r>
        <w:rPr>
          <w:sz w:val="11"/>
        </w:rPr>
        <w:t>Land</w:t>
      </w:r>
      <w:r>
        <w:rPr>
          <w:spacing w:val="3"/>
          <w:sz w:val="11"/>
        </w:rPr>
        <w:t> </w:t>
      </w:r>
      <w:r>
        <w:rPr>
          <w:sz w:val="11"/>
        </w:rPr>
        <w:t>Improvements</w:t>
        <w:tab/>
        <w:t>6170</w:t>
        <w:tab/>
        <w:t>10,000.00</w:t>
        <w:tab/>
        <w:t>0.00</w:t>
        <w:tab/>
        <w:t>10,000.00</w:t>
        <w:tab/>
        <w:t>0.00</w:t>
        <w:tab/>
        <w:t>0.00</w:t>
        <w:tab/>
        <w:t>0.00</w:t>
        <w:tab/>
        <w:t>-100.0%</w:t>
      </w:r>
    </w:p>
    <w:p>
      <w:pPr>
        <w:tabs>
          <w:tab w:pos="4003" w:val="left" w:leader="none"/>
          <w:tab w:pos="5107" w:val="left" w:leader="none"/>
          <w:tab w:pos="6435" w:val="left" w:leader="none"/>
          <w:tab w:pos="7325" w:val="left" w:leader="none"/>
          <w:tab w:pos="8371" w:val="left" w:leader="none"/>
          <w:tab w:pos="9480" w:val="left" w:leader="none"/>
          <w:tab w:pos="10589" w:val="left" w:leader="none"/>
        </w:tabs>
        <w:spacing w:before="104"/>
        <w:ind w:left="207" w:right="0" w:firstLine="0"/>
        <w:jc w:val="left"/>
        <w:rPr>
          <w:sz w:val="11"/>
        </w:rPr>
      </w:pPr>
      <w:r>
        <w:rPr>
          <w:sz w:val="11"/>
        </w:rPr>
        <w:t>Buildings and Improvements</w:t>
      </w:r>
      <w:r>
        <w:rPr>
          <w:spacing w:val="12"/>
          <w:sz w:val="11"/>
        </w:rPr>
        <w:t> </w:t>
      </w:r>
      <w:r>
        <w:rPr>
          <w:sz w:val="11"/>
        </w:rPr>
        <w:t>of</w:t>
      </w:r>
      <w:r>
        <w:rPr>
          <w:spacing w:val="3"/>
          <w:sz w:val="11"/>
        </w:rPr>
        <w:t> </w:t>
      </w:r>
      <w:r>
        <w:rPr>
          <w:sz w:val="11"/>
        </w:rPr>
        <w:t>Buildings</w:t>
        <w:tab/>
        <w:t>6200</w:t>
        <w:tab/>
        <w:t>6,000.00</w:t>
        <w:tab/>
        <w:t>0.00</w:t>
        <w:tab/>
        <w:t>6,000.00</w:t>
        <w:tab/>
        <w:t>54,027.00</w:t>
        <w:tab/>
        <w:t>24,973.00</w:t>
        <w:tab/>
        <w:t>79,000.00      </w:t>
      </w:r>
      <w:r>
        <w:rPr>
          <w:spacing w:val="2"/>
          <w:sz w:val="11"/>
        </w:rPr>
        <w:t> </w:t>
      </w:r>
      <w:r>
        <w:rPr>
          <w:sz w:val="11"/>
        </w:rPr>
        <w:t>1216.7%</w:t>
      </w:r>
    </w:p>
    <w:p>
      <w:pPr>
        <w:spacing w:before="103"/>
        <w:ind w:left="207" w:right="0" w:firstLine="0"/>
        <w:jc w:val="left"/>
        <w:rPr>
          <w:sz w:val="11"/>
        </w:rPr>
      </w:pPr>
      <w:r>
        <w:rPr>
          <w:sz w:val="11"/>
        </w:rPr>
        <w:t>Books and Media for New School Libraries</w:t>
      </w:r>
    </w:p>
    <w:p>
      <w:pPr>
        <w:tabs>
          <w:tab w:pos="4003" w:val="left" w:leader="none"/>
          <w:tab w:pos="5326" w:val="left" w:leader="none"/>
          <w:tab w:pos="6435" w:val="left" w:leader="none"/>
          <w:tab w:pos="7543" w:val="left" w:leader="none"/>
          <w:tab w:pos="8652" w:val="left" w:leader="none"/>
          <w:tab w:pos="9761" w:val="left" w:leader="none"/>
          <w:tab w:pos="10870" w:val="left" w:leader="none"/>
          <w:tab w:pos="11475" w:val="left" w:leader="none"/>
        </w:tabs>
        <w:spacing w:before="25"/>
        <w:ind w:left="237" w:right="0" w:firstLine="0"/>
        <w:jc w:val="left"/>
        <w:rPr>
          <w:sz w:val="11"/>
        </w:rPr>
      </w:pPr>
      <w:r>
        <w:rPr>
          <w:sz w:val="11"/>
        </w:rPr>
        <w:t>or Major Expansion of</w:t>
      </w:r>
      <w:r>
        <w:rPr>
          <w:spacing w:val="19"/>
          <w:sz w:val="11"/>
        </w:rPr>
        <w:t> </w:t>
      </w:r>
      <w:r>
        <w:rPr>
          <w:sz w:val="11"/>
        </w:rPr>
        <w:t>School</w:t>
      </w:r>
      <w:r>
        <w:rPr>
          <w:spacing w:val="3"/>
          <w:sz w:val="11"/>
        </w:rPr>
        <w:t> </w:t>
      </w:r>
      <w:r>
        <w:rPr>
          <w:sz w:val="11"/>
        </w:rPr>
        <w:t>Libraries</w:t>
        <w:tab/>
        <w:t>6300</w:t>
        <w:tab/>
        <w:t>0.00</w:t>
        <w:tab/>
        <w:t>0.00</w:t>
        <w:tab/>
        <w:t>0.00</w:t>
        <w:tab/>
        <w:t>0.00</w:t>
        <w:tab/>
        <w:t>0.00</w:t>
        <w:tab/>
        <w:t>0.00</w:t>
        <w:tab/>
        <w:t>0.0%</w:t>
      </w:r>
    </w:p>
    <w:p>
      <w:pPr>
        <w:tabs>
          <w:tab w:pos="4003" w:val="left" w:leader="none"/>
          <w:tab w:pos="5326" w:val="left" w:leader="none"/>
          <w:tab w:pos="6435" w:val="left" w:leader="none"/>
          <w:tab w:pos="7543" w:val="left" w:leader="none"/>
          <w:tab w:pos="8652" w:val="left" w:leader="none"/>
          <w:tab w:pos="9761" w:val="left" w:leader="none"/>
          <w:tab w:pos="10870" w:val="left" w:leader="none"/>
          <w:tab w:pos="11475" w:val="left" w:leader="none"/>
        </w:tabs>
        <w:spacing w:before="104"/>
        <w:ind w:left="207" w:right="0" w:firstLine="0"/>
        <w:jc w:val="left"/>
        <w:rPr>
          <w:sz w:val="11"/>
        </w:rPr>
      </w:pPr>
      <w:r>
        <w:rPr>
          <w:sz w:val="11"/>
        </w:rPr>
        <w:t>Equipment</w:t>
        <w:tab/>
        <w:t>6400</w:t>
        <w:tab/>
        <w:t>0.00</w:t>
        <w:tab/>
        <w:t>0.00</w:t>
        <w:tab/>
        <w:t>0.00</w:t>
        <w:tab/>
        <w:t>0.00</w:t>
        <w:tab/>
        <w:t>0.00</w:t>
        <w:tab/>
        <w:t>0.00</w:t>
        <w:tab/>
        <w:t>0.0%</w:t>
      </w:r>
    </w:p>
    <w:p>
      <w:pPr>
        <w:tabs>
          <w:tab w:pos="4003" w:val="left" w:leader="none"/>
          <w:tab w:pos="5326" w:val="left" w:leader="none"/>
          <w:tab w:pos="6435" w:val="left" w:leader="none"/>
          <w:tab w:pos="7543" w:val="left" w:leader="none"/>
          <w:tab w:pos="8652" w:val="left" w:leader="none"/>
          <w:tab w:pos="9761" w:val="left" w:leader="none"/>
          <w:tab w:pos="10870" w:val="left" w:leader="none"/>
          <w:tab w:pos="11475" w:val="left" w:leader="none"/>
        </w:tabs>
        <w:spacing w:before="104"/>
        <w:ind w:left="207" w:right="0" w:firstLine="0"/>
        <w:jc w:val="left"/>
        <w:rPr>
          <w:sz w:val="11"/>
        </w:rPr>
      </w:pPr>
      <w:r>
        <w:rPr>
          <w:sz w:val="11"/>
        </w:rPr>
        <w:t>Equipment</w:t>
      </w:r>
      <w:r>
        <w:rPr>
          <w:spacing w:val="4"/>
          <w:sz w:val="11"/>
        </w:rPr>
        <w:t> </w:t>
      </w:r>
      <w:r>
        <w:rPr>
          <w:sz w:val="11"/>
        </w:rPr>
        <w:t>Replacement</w:t>
        <w:tab/>
        <w:t>6500</w:t>
        <w:tab/>
        <w:t>0.00</w:t>
        <w:tab/>
        <w:t>0.00</w:t>
        <w:tab/>
        <w:t>0.00</w:t>
        <w:tab/>
        <w:t>0.00</w:t>
        <w:tab/>
        <w:t>0.00</w:t>
        <w:tab/>
        <w:t>0.00</w:t>
        <w:tab/>
        <w:t>0.0%</w:t>
      </w:r>
    </w:p>
    <w:p>
      <w:pPr>
        <w:tabs>
          <w:tab w:pos="4003" w:val="left" w:leader="none"/>
          <w:tab w:pos="5326" w:val="left" w:leader="none"/>
          <w:tab w:pos="6435" w:val="left" w:leader="none"/>
          <w:tab w:pos="7543" w:val="left" w:leader="none"/>
          <w:tab w:pos="8652" w:val="left" w:leader="none"/>
          <w:tab w:pos="9761" w:val="left" w:leader="none"/>
          <w:tab w:pos="10870" w:val="left" w:leader="none"/>
          <w:tab w:pos="11475" w:val="left" w:leader="none"/>
        </w:tabs>
        <w:spacing w:before="101"/>
        <w:ind w:left="207" w:right="0" w:firstLine="0"/>
        <w:jc w:val="left"/>
        <w:rPr>
          <w:sz w:val="11"/>
        </w:rPr>
      </w:pPr>
      <w:r>
        <w:rPr>
          <w:sz w:val="11"/>
        </w:rPr>
        <w:t>Lease</w:t>
      </w:r>
      <w:r>
        <w:rPr>
          <w:spacing w:val="4"/>
          <w:sz w:val="11"/>
        </w:rPr>
        <w:t> </w:t>
      </w:r>
      <w:r>
        <w:rPr>
          <w:sz w:val="11"/>
        </w:rPr>
        <w:t>Assets</w:t>
        <w:tab/>
        <w:t>6600</w:t>
        <w:tab/>
        <w:t>0.00</w:t>
        <w:tab/>
        <w:t>0.00</w:t>
        <w:tab/>
        <w:t>0.00</w:t>
        <w:tab/>
        <w:t>0.00</w:t>
        <w:tab/>
        <w:t>0.00</w:t>
        <w:tab/>
        <w:t>0.00</w:t>
        <w:tab/>
        <w:t>0.0%</w:t>
      </w:r>
    </w:p>
    <w:p>
      <w:pPr>
        <w:tabs>
          <w:tab w:pos="5045" w:val="left" w:leader="none"/>
          <w:tab w:pos="6091" w:val="left" w:leader="none"/>
          <w:tab w:pos="7200" w:val="left" w:leader="none"/>
          <w:tab w:pos="8371" w:val="left" w:leader="none"/>
          <w:tab w:pos="9480" w:val="left" w:leader="none"/>
          <w:tab w:pos="10527" w:val="left" w:leader="none"/>
          <w:tab w:pos="11475" w:val="left" w:leader="none"/>
        </w:tabs>
        <w:spacing w:before="104"/>
        <w:ind w:left="207" w:right="0" w:firstLine="0"/>
        <w:jc w:val="left"/>
        <w:rPr>
          <w:sz w:val="11"/>
        </w:rPr>
      </w:pPr>
      <w:r>
        <w:rPr>
          <w:sz w:val="11"/>
        </w:rPr>
        <w:t>TOTAL,</w:t>
      </w:r>
      <w:r>
        <w:rPr>
          <w:spacing w:val="2"/>
          <w:sz w:val="11"/>
        </w:rPr>
        <w:t> </w:t>
      </w:r>
      <w:r>
        <w:rPr>
          <w:sz w:val="11"/>
        </w:rPr>
        <w:t>CAPITAL</w:t>
      </w:r>
      <w:r>
        <w:rPr>
          <w:spacing w:val="3"/>
          <w:sz w:val="11"/>
        </w:rPr>
        <w:t> </w:t>
      </w:r>
      <w:r>
        <w:rPr>
          <w:sz w:val="11"/>
        </w:rPr>
        <w:t>OUTLAY</w:t>
        <w:tab/>
        <w:t>16,000.00</w:t>
        <w:tab/>
        <w:t>120,000.00</w:t>
        <w:tab/>
        <w:t>136,000.00</w:t>
        <w:tab/>
        <w:t>64,027.00</w:t>
        <w:tab/>
        <w:t>74,973.00</w:t>
        <w:tab/>
        <w:t>139,000.00</w:t>
        <w:tab/>
        <w:t>2.2%</w:t>
      </w:r>
    </w:p>
    <w:p>
      <w:pPr>
        <w:spacing w:before="102"/>
        <w:ind w:left="144" w:right="0" w:firstLine="0"/>
        <w:jc w:val="left"/>
        <w:rPr>
          <w:b/>
          <w:sz w:val="11"/>
        </w:rPr>
      </w:pPr>
      <w:r>
        <w:rPr>
          <w:b/>
          <w:sz w:val="11"/>
        </w:rPr>
        <w:t>OTHER OUTGO (excluding Transfers of Indirect Costs)</w:t>
      </w:r>
    </w:p>
    <w:p>
      <w:pPr>
        <w:pStyle w:val="BodyText"/>
        <w:spacing w:before="9"/>
        <w:rPr>
          <w:b/>
        </w:rPr>
      </w:pPr>
    </w:p>
    <w:p>
      <w:pPr>
        <w:spacing w:before="99"/>
        <w:ind w:left="207" w:right="0" w:firstLine="0"/>
        <w:jc w:val="left"/>
        <w:rPr>
          <w:sz w:val="11"/>
        </w:rPr>
      </w:pPr>
      <w:r>
        <w:rPr>
          <w:sz w:val="11"/>
        </w:rPr>
        <w:t>Tuition</w:t>
      </w:r>
    </w:p>
    <w:p>
      <w:pPr>
        <w:spacing w:before="25"/>
        <w:ind w:left="269" w:right="0" w:firstLine="0"/>
        <w:jc w:val="left"/>
        <w:rPr>
          <w:sz w:val="11"/>
        </w:rPr>
      </w:pPr>
      <w:r>
        <w:rPr>
          <w:sz w:val="11"/>
        </w:rPr>
        <w:t>Tuition for Instruction Under Interdistrict</w:t>
      </w:r>
    </w:p>
    <w:p>
      <w:pPr>
        <w:tabs>
          <w:tab w:pos="4003" w:val="left" w:leader="none"/>
          <w:tab w:pos="5326" w:val="left" w:leader="none"/>
          <w:tab w:pos="6435" w:val="left" w:leader="none"/>
          <w:tab w:pos="7543" w:val="left" w:leader="none"/>
          <w:tab w:pos="8652" w:val="left" w:leader="none"/>
          <w:tab w:pos="9761" w:val="left" w:leader="none"/>
          <w:tab w:pos="10870" w:val="left" w:leader="none"/>
          <w:tab w:pos="11475" w:val="left" w:leader="none"/>
        </w:tabs>
        <w:spacing w:before="24"/>
        <w:ind w:left="300" w:right="0" w:firstLine="0"/>
        <w:jc w:val="left"/>
        <w:rPr>
          <w:sz w:val="11"/>
        </w:rPr>
      </w:pPr>
      <w:r>
        <w:rPr>
          <w:sz w:val="11"/>
        </w:rPr>
        <w:t>Attendance </w:t>
      </w:r>
      <w:r>
        <w:rPr>
          <w:spacing w:val="9"/>
          <w:sz w:val="11"/>
        </w:rPr>
        <w:t> </w:t>
      </w:r>
      <w:r>
        <w:rPr>
          <w:sz w:val="11"/>
        </w:rPr>
        <w:t>Agreements</w:t>
        <w:tab/>
        <w:t>7110</w:t>
        <w:tab/>
        <w:t>0.00</w:t>
        <w:tab/>
        <w:t>0.00</w:t>
        <w:tab/>
        <w:t>0.00</w:t>
        <w:tab/>
        <w:t>0.00</w:t>
        <w:tab/>
        <w:t>0.00</w:t>
        <w:tab/>
        <w:t>0.00</w:t>
        <w:tab/>
        <w:t>0.0%</w:t>
      </w:r>
    </w:p>
    <w:p>
      <w:pPr>
        <w:tabs>
          <w:tab w:pos="4003" w:val="left" w:leader="none"/>
          <w:tab w:pos="5326" w:val="left" w:leader="none"/>
          <w:tab w:pos="6435" w:val="left" w:leader="none"/>
          <w:tab w:pos="7543" w:val="left" w:leader="none"/>
          <w:tab w:pos="8652" w:val="left" w:leader="none"/>
          <w:tab w:pos="9761" w:val="left" w:leader="none"/>
          <w:tab w:pos="10870" w:val="left" w:leader="none"/>
          <w:tab w:pos="11475" w:val="left" w:leader="none"/>
        </w:tabs>
        <w:spacing w:line="230" w:lineRule="atLeast" w:before="1"/>
        <w:ind w:left="269" w:right="166" w:firstLine="0"/>
        <w:jc w:val="left"/>
        <w:rPr>
          <w:sz w:val="11"/>
        </w:rPr>
      </w:pPr>
      <w:r>
        <w:rPr>
          <w:sz w:val="11"/>
        </w:rPr>
        <w:t>State</w:t>
      </w:r>
      <w:r>
        <w:rPr>
          <w:spacing w:val="4"/>
          <w:sz w:val="11"/>
        </w:rPr>
        <w:t> </w:t>
      </w:r>
      <w:r>
        <w:rPr>
          <w:sz w:val="11"/>
        </w:rPr>
        <w:t>Special</w:t>
      </w:r>
      <w:r>
        <w:rPr>
          <w:spacing w:val="3"/>
          <w:sz w:val="11"/>
        </w:rPr>
        <w:t> </w:t>
      </w:r>
      <w:r>
        <w:rPr>
          <w:sz w:val="11"/>
        </w:rPr>
        <w:t>Schools</w:t>
        <w:tab/>
        <w:t>7130</w:t>
        <w:tab/>
        <w:t>0.00</w:t>
        <w:tab/>
        <w:t>0.00</w:t>
        <w:tab/>
        <w:t>0.00</w:t>
        <w:tab/>
        <w:t>0.00</w:t>
        <w:tab/>
        <w:t>0.00</w:t>
        <w:tab/>
        <w:t>0.00</w:t>
        <w:tab/>
      </w:r>
      <w:r>
        <w:rPr>
          <w:spacing w:val="-6"/>
          <w:sz w:val="11"/>
        </w:rPr>
        <w:t>0.0% </w:t>
      </w:r>
      <w:r>
        <w:rPr>
          <w:sz w:val="11"/>
        </w:rPr>
        <w:t>Tuition, Excess Costs, and/or Deficit</w:t>
      </w:r>
      <w:r>
        <w:rPr>
          <w:spacing w:val="1"/>
          <w:sz w:val="11"/>
        </w:rPr>
        <w:t> </w:t>
      </w:r>
      <w:r>
        <w:rPr>
          <w:sz w:val="11"/>
        </w:rPr>
        <w:t>Payments</w:t>
      </w:r>
    </w:p>
    <w:p>
      <w:pPr>
        <w:tabs>
          <w:tab w:pos="4003" w:val="left" w:leader="none"/>
          <w:tab w:pos="5326" w:val="left" w:leader="none"/>
          <w:tab w:pos="6435" w:val="left" w:leader="none"/>
          <w:tab w:pos="7543" w:val="left" w:leader="none"/>
          <w:tab w:pos="8652" w:val="left" w:leader="none"/>
          <w:tab w:pos="9761" w:val="left" w:leader="none"/>
          <w:tab w:pos="10870" w:val="left" w:leader="none"/>
          <w:tab w:pos="11475" w:val="left" w:leader="none"/>
        </w:tabs>
        <w:spacing w:before="25"/>
        <w:ind w:left="331" w:right="0" w:firstLine="0"/>
        <w:jc w:val="left"/>
        <w:rPr>
          <w:sz w:val="11"/>
        </w:rPr>
      </w:pPr>
      <w:r>
        <w:rPr>
          <w:sz w:val="11"/>
        </w:rPr>
        <w:t>Payments to Districts or</w:t>
      </w:r>
      <w:r>
        <w:rPr>
          <w:spacing w:val="20"/>
          <w:sz w:val="11"/>
        </w:rPr>
        <w:t> </w:t>
      </w:r>
      <w:r>
        <w:rPr>
          <w:sz w:val="11"/>
        </w:rPr>
        <w:t>Charter</w:t>
      </w:r>
      <w:r>
        <w:rPr>
          <w:spacing w:val="5"/>
          <w:sz w:val="11"/>
        </w:rPr>
        <w:t> </w:t>
      </w:r>
      <w:r>
        <w:rPr>
          <w:sz w:val="11"/>
        </w:rPr>
        <w:t>Schools</w:t>
        <w:tab/>
        <w:t>7141</w:t>
        <w:tab/>
        <w:t>0.00</w:t>
        <w:tab/>
        <w:t>0.00</w:t>
        <w:tab/>
        <w:t>0.00</w:t>
        <w:tab/>
        <w:t>0.00</w:t>
        <w:tab/>
        <w:t>0.00</w:t>
        <w:tab/>
        <w:t>0.00</w:t>
        <w:tab/>
        <w:t>0.0%</w:t>
      </w:r>
    </w:p>
    <w:p>
      <w:pPr>
        <w:tabs>
          <w:tab w:pos="4003" w:val="left" w:leader="none"/>
          <w:tab w:pos="5326" w:val="left" w:leader="none"/>
          <w:tab w:pos="6435" w:val="left" w:leader="none"/>
          <w:tab w:pos="7543" w:val="left" w:leader="none"/>
          <w:tab w:pos="8652" w:val="left" w:leader="none"/>
          <w:tab w:pos="9761" w:val="left" w:leader="none"/>
          <w:tab w:pos="10870" w:val="left" w:leader="none"/>
          <w:tab w:pos="11475" w:val="left" w:leader="none"/>
        </w:tabs>
        <w:spacing w:before="104"/>
        <w:ind w:left="331" w:right="0" w:firstLine="0"/>
        <w:jc w:val="left"/>
        <w:rPr>
          <w:sz w:val="11"/>
        </w:rPr>
      </w:pPr>
      <w:r>
        <w:rPr>
          <w:sz w:val="11"/>
        </w:rPr>
        <w:t>Payments to</w:t>
      </w:r>
      <w:r>
        <w:rPr>
          <w:spacing w:val="9"/>
          <w:sz w:val="11"/>
        </w:rPr>
        <w:t> </w:t>
      </w:r>
      <w:r>
        <w:rPr>
          <w:sz w:val="11"/>
        </w:rPr>
        <w:t>County</w:t>
      </w:r>
      <w:r>
        <w:rPr>
          <w:spacing w:val="3"/>
          <w:sz w:val="11"/>
        </w:rPr>
        <w:t> </w:t>
      </w:r>
      <w:r>
        <w:rPr>
          <w:sz w:val="11"/>
        </w:rPr>
        <w:t>Offices</w:t>
        <w:tab/>
        <w:t>7142</w:t>
        <w:tab/>
        <w:t>0.00</w:t>
        <w:tab/>
        <w:t>0.00</w:t>
        <w:tab/>
        <w:t>0.00</w:t>
        <w:tab/>
        <w:t>0.00</w:t>
        <w:tab/>
        <w:t>0.00</w:t>
        <w:tab/>
        <w:t>0.00</w:t>
        <w:tab/>
        <w:t>0.0%</w:t>
      </w:r>
    </w:p>
    <w:p>
      <w:pPr>
        <w:tabs>
          <w:tab w:pos="4003" w:val="left" w:leader="none"/>
          <w:tab w:pos="5326" w:val="left" w:leader="none"/>
          <w:tab w:pos="6435" w:val="left" w:leader="none"/>
          <w:tab w:pos="7543" w:val="left" w:leader="none"/>
          <w:tab w:pos="8652" w:val="left" w:leader="none"/>
          <w:tab w:pos="9761" w:val="left" w:leader="none"/>
          <w:tab w:pos="10870" w:val="left" w:leader="none"/>
          <w:tab w:pos="11475" w:val="left" w:leader="none"/>
        </w:tabs>
        <w:spacing w:before="104"/>
        <w:ind w:left="331" w:right="0" w:firstLine="0"/>
        <w:jc w:val="left"/>
        <w:rPr>
          <w:sz w:val="11"/>
        </w:rPr>
      </w:pPr>
      <w:r>
        <w:rPr>
          <w:sz w:val="11"/>
        </w:rPr>
        <w:t>Payments</w:t>
      </w:r>
      <w:r>
        <w:rPr>
          <w:spacing w:val="3"/>
          <w:sz w:val="11"/>
        </w:rPr>
        <w:t> </w:t>
      </w:r>
      <w:r>
        <w:rPr>
          <w:sz w:val="11"/>
        </w:rPr>
        <w:t>to</w:t>
      </w:r>
      <w:r>
        <w:rPr>
          <w:spacing w:val="3"/>
          <w:sz w:val="11"/>
        </w:rPr>
        <w:t> </w:t>
      </w:r>
      <w:r>
        <w:rPr>
          <w:sz w:val="11"/>
        </w:rPr>
        <w:t>JPAs</w:t>
        <w:tab/>
        <w:t>7143</w:t>
        <w:tab/>
        <w:t>0.00</w:t>
        <w:tab/>
        <w:t>0.00</w:t>
        <w:tab/>
        <w:t>0.00</w:t>
        <w:tab/>
        <w:t>0.00</w:t>
        <w:tab/>
        <w:t>0.00</w:t>
        <w:tab/>
        <w:t>0.00</w:t>
        <w:tab/>
        <w:t>0.0%</w:t>
      </w:r>
    </w:p>
    <w:p>
      <w:pPr>
        <w:spacing w:before="104"/>
        <w:ind w:left="269" w:right="0" w:firstLine="0"/>
        <w:jc w:val="left"/>
        <w:rPr>
          <w:sz w:val="11"/>
        </w:rPr>
      </w:pPr>
      <w:r>
        <w:rPr>
          <w:sz w:val="11"/>
        </w:rPr>
        <w:t>Transfers of Pass-Through Revenues</w:t>
      </w:r>
    </w:p>
    <w:p>
      <w:pPr>
        <w:tabs>
          <w:tab w:pos="4003" w:val="left" w:leader="none"/>
          <w:tab w:pos="5326" w:val="left" w:leader="none"/>
          <w:tab w:pos="6435" w:val="left" w:leader="none"/>
          <w:tab w:pos="7543" w:val="left" w:leader="none"/>
          <w:tab w:pos="8652" w:val="left" w:leader="none"/>
          <w:tab w:pos="9761" w:val="left" w:leader="none"/>
          <w:tab w:pos="10870" w:val="left" w:leader="none"/>
          <w:tab w:pos="11475" w:val="left" w:leader="none"/>
        </w:tabs>
        <w:spacing w:before="24"/>
        <w:ind w:left="331" w:right="0" w:firstLine="0"/>
        <w:jc w:val="left"/>
        <w:rPr>
          <w:sz w:val="11"/>
        </w:rPr>
      </w:pPr>
      <w:r>
        <w:rPr>
          <w:sz w:val="11"/>
        </w:rPr>
        <w:t>To Districts or</w:t>
      </w:r>
      <w:r>
        <w:rPr>
          <w:spacing w:val="15"/>
          <w:sz w:val="11"/>
        </w:rPr>
        <w:t> </w:t>
      </w:r>
      <w:r>
        <w:rPr>
          <w:sz w:val="11"/>
        </w:rPr>
        <w:t>Charter</w:t>
      </w:r>
      <w:r>
        <w:rPr>
          <w:spacing w:val="5"/>
          <w:sz w:val="11"/>
        </w:rPr>
        <w:t> </w:t>
      </w:r>
      <w:r>
        <w:rPr>
          <w:sz w:val="11"/>
        </w:rPr>
        <w:t>Schools</w:t>
        <w:tab/>
        <w:t>7211</w:t>
        <w:tab/>
        <w:t>0.00</w:t>
        <w:tab/>
        <w:t>0.00</w:t>
        <w:tab/>
        <w:t>0.00</w:t>
        <w:tab/>
        <w:t>0.00</w:t>
        <w:tab/>
        <w:t>0.00</w:t>
        <w:tab/>
        <w:t>0.00</w:t>
        <w:tab/>
        <w:t>0.0%</w:t>
      </w:r>
    </w:p>
    <w:p>
      <w:pPr>
        <w:tabs>
          <w:tab w:pos="4003" w:val="left" w:leader="none"/>
          <w:tab w:pos="5326" w:val="left" w:leader="none"/>
          <w:tab w:pos="6435" w:val="left" w:leader="none"/>
          <w:tab w:pos="7543" w:val="left" w:leader="none"/>
          <w:tab w:pos="8652" w:val="left" w:leader="none"/>
          <w:tab w:pos="9761" w:val="left" w:leader="none"/>
          <w:tab w:pos="10870" w:val="left" w:leader="none"/>
          <w:tab w:pos="11475" w:val="left" w:leader="none"/>
        </w:tabs>
        <w:spacing w:before="104"/>
        <w:ind w:left="331" w:right="0" w:firstLine="0"/>
        <w:jc w:val="left"/>
        <w:rPr>
          <w:sz w:val="11"/>
        </w:rPr>
      </w:pPr>
      <w:r>
        <w:rPr>
          <w:sz w:val="11"/>
        </w:rPr>
        <w:t>To</w:t>
      </w:r>
      <w:r>
        <w:rPr>
          <w:spacing w:val="3"/>
          <w:sz w:val="11"/>
        </w:rPr>
        <w:t> </w:t>
      </w:r>
      <w:r>
        <w:rPr>
          <w:sz w:val="11"/>
        </w:rPr>
        <w:t>County</w:t>
      </w:r>
      <w:r>
        <w:rPr>
          <w:spacing w:val="3"/>
          <w:sz w:val="11"/>
        </w:rPr>
        <w:t> </w:t>
      </w:r>
      <w:r>
        <w:rPr>
          <w:sz w:val="11"/>
        </w:rPr>
        <w:t>Offices</w:t>
        <w:tab/>
        <w:t>7212</w:t>
        <w:tab/>
        <w:t>0.00</w:t>
        <w:tab/>
        <w:t>0.00</w:t>
        <w:tab/>
        <w:t>0.00</w:t>
        <w:tab/>
        <w:t>0.00</w:t>
        <w:tab/>
        <w:t>0.00</w:t>
        <w:tab/>
        <w:t>0.00</w:t>
        <w:tab/>
        <w:t>0.0%</w:t>
      </w:r>
    </w:p>
    <w:p>
      <w:pPr>
        <w:tabs>
          <w:tab w:pos="4003" w:val="left" w:leader="none"/>
          <w:tab w:pos="5326" w:val="left" w:leader="none"/>
          <w:tab w:pos="6435" w:val="left" w:leader="none"/>
          <w:tab w:pos="7543" w:val="left" w:leader="none"/>
          <w:tab w:pos="8652" w:val="left" w:leader="none"/>
          <w:tab w:pos="9761" w:val="left" w:leader="none"/>
          <w:tab w:pos="10870" w:val="left" w:leader="none"/>
          <w:tab w:pos="11475" w:val="left" w:leader="none"/>
        </w:tabs>
        <w:spacing w:before="104"/>
        <w:ind w:left="331" w:right="0" w:firstLine="0"/>
        <w:jc w:val="left"/>
        <w:rPr>
          <w:sz w:val="11"/>
        </w:rPr>
      </w:pPr>
      <w:r>
        <w:rPr>
          <w:sz w:val="11"/>
        </w:rPr>
        <w:t>To</w:t>
      </w:r>
      <w:r>
        <w:rPr>
          <w:spacing w:val="1"/>
          <w:sz w:val="11"/>
        </w:rPr>
        <w:t> </w:t>
      </w:r>
      <w:r>
        <w:rPr>
          <w:sz w:val="11"/>
        </w:rPr>
        <w:t>JPAs</w:t>
        <w:tab/>
        <w:t>7213</w:t>
        <w:tab/>
        <w:t>0.00</w:t>
        <w:tab/>
        <w:t>0.00</w:t>
        <w:tab/>
        <w:t>0.00</w:t>
        <w:tab/>
        <w:t>0.00</w:t>
        <w:tab/>
        <w:t>0.00</w:t>
        <w:tab/>
        <w:t>0.00</w:t>
        <w:tab/>
        <w:t>0.0%</w:t>
      </w:r>
    </w:p>
    <w:p>
      <w:pPr>
        <w:spacing w:before="104"/>
        <w:ind w:left="269" w:right="0" w:firstLine="0"/>
        <w:jc w:val="left"/>
        <w:rPr>
          <w:sz w:val="11"/>
        </w:rPr>
      </w:pPr>
      <w:r>
        <w:rPr>
          <w:sz w:val="11"/>
        </w:rPr>
        <w:t>Special Education SELPA Transfers of Apportionments</w:t>
      </w:r>
    </w:p>
    <w:p>
      <w:pPr>
        <w:tabs>
          <w:tab w:pos="3091" w:val="left" w:leader="none"/>
          <w:tab w:pos="4003" w:val="left" w:leader="none"/>
          <w:tab w:pos="6435" w:val="left" w:leader="none"/>
          <w:tab w:pos="7543" w:val="left" w:leader="none"/>
          <w:tab w:pos="9761" w:val="left" w:leader="none"/>
          <w:tab w:pos="10870" w:val="left" w:leader="none"/>
          <w:tab w:pos="11475" w:val="left" w:leader="none"/>
        </w:tabs>
        <w:spacing w:before="25"/>
        <w:ind w:left="331" w:right="0" w:firstLine="0"/>
        <w:jc w:val="left"/>
        <w:rPr>
          <w:sz w:val="11"/>
        </w:rPr>
      </w:pPr>
      <w:r>
        <w:rPr>
          <w:sz w:val="11"/>
        </w:rPr>
        <w:t>To Districts or</w:t>
      </w:r>
      <w:r>
        <w:rPr>
          <w:spacing w:val="15"/>
          <w:sz w:val="11"/>
        </w:rPr>
        <w:t> </w:t>
      </w:r>
      <w:r>
        <w:rPr>
          <w:sz w:val="11"/>
        </w:rPr>
        <w:t>Charter</w:t>
      </w:r>
      <w:r>
        <w:rPr>
          <w:spacing w:val="5"/>
          <w:sz w:val="11"/>
        </w:rPr>
        <w:t> </w:t>
      </w:r>
      <w:r>
        <w:rPr>
          <w:sz w:val="11"/>
        </w:rPr>
        <w:t>Schools</w:t>
        <w:tab/>
        <w:t>6500</w:t>
        <w:tab/>
        <w:t>7221</w:t>
        <w:tab/>
        <w:t>0.00</w:t>
        <w:tab/>
        <w:t>0.00</w:t>
        <w:tab/>
        <w:t>0.00</w:t>
        <w:tab/>
        <w:t>0.00</w:t>
        <w:tab/>
        <w:t>0.0%</w:t>
      </w:r>
    </w:p>
    <w:p>
      <w:pPr>
        <w:tabs>
          <w:tab w:pos="3091" w:val="left" w:leader="none"/>
          <w:tab w:pos="4003" w:val="left" w:leader="none"/>
          <w:tab w:pos="6435" w:val="left" w:leader="none"/>
          <w:tab w:pos="7543" w:val="left" w:leader="none"/>
          <w:tab w:pos="9761" w:val="left" w:leader="none"/>
          <w:tab w:pos="10870" w:val="left" w:leader="none"/>
          <w:tab w:pos="11475" w:val="left" w:leader="none"/>
        </w:tabs>
        <w:spacing w:before="104"/>
        <w:ind w:left="331" w:right="0" w:firstLine="0"/>
        <w:jc w:val="left"/>
        <w:rPr>
          <w:sz w:val="11"/>
        </w:rPr>
      </w:pPr>
      <w:r>
        <w:rPr>
          <w:sz w:val="11"/>
        </w:rPr>
        <w:t>To</w:t>
      </w:r>
      <w:r>
        <w:rPr>
          <w:spacing w:val="3"/>
          <w:sz w:val="11"/>
        </w:rPr>
        <w:t> </w:t>
      </w:r>
      <w:r>
        <w:rPr>
          <w:sz w:val="11"/>
        </w:rPr>
        <w:t>County</w:t>
      </w:r>
      <w:r>
        <w:rPr>
          <w:spacing w:val="3"/>
          <w:sz w:val="11"/>
        </w:rPr>
        <w:t> </w:t>
      </w:r>
      <w:r>
        <w:rPr>
          <w:sz w:val="11"/>
        </w:rPr>
        <w:t>Offices</w:t>
        <w:tab/>
        <w:t>6500</w:t>
        <w:tab/>
        <w:t>7222</w:t>
        <w:tab/>
        <w:t>0.00</w:t>
        <w:tab/>
        <w:t>0.00</w:t>
        <w:tab/>
        <w:t>0.00</w:t>
        <w:tab/>
        <w:t>0.00</w:t>
        <w:tab/>
        <w:t>0.0%</w:t>
      </w:r>
    </w:p>
    <w:p>
      <w:pPr>
        <w:tabs>
          <w:tab w:pos="3091" w:val="left" w:leader="none"/>
          <w:tab w:pos="4003" w:val="left" w:leader="none"/>
          <w:tab w:pos="6435" w:val="left" w:leader="none"/>
          <w:tab w:pos="7543" w:val="left" w:leader="none"/>
          <w:tab w:pos="9761" w:val="left" w:leader="none"/>
          <w:tab w:pos="10870" w:val="left" w:leader="none"/>
          <w:tab w:pos="11475" w:val="left" w:leader="none"/>
        </w:tabs>
        <w:spacing w:before="104"/>
        <w:ind w:left="331" w:right="0" w:firstLine="0"/>
        <w:jc w:val="left"/>
        <w:rPr>
          <w:sz w:val="11"/>
        </w:rPr>
      </w:pPr>
      <w:r>
        <w:rPr>
          <w:sz w:val="11"/>
        </w:rPr>
        <w:t>To</w:t>
      </w:r>
      <w:r>
        <w:rPr>
          <w:spacing w:val="1"/>
          <w:sz w:val="11"/>
        </w:rPr>
        <w:t> </w:t>
      </w:r>
      <w:r>
        <w:rPr>
          <w:sz w:val="11"/>
        </w:rPr>
        <w:t>JPAs</w:t>
        <w:tab/>
        <w:t>6500</w:t>
        <w:tab/>
        <w:t>7223</w:t>
        <w:tab/>
        <w:t>0.00</w:t>
        <w:tab/>
        <w:t>0.00</w:t>
        <w:tab/>
        <w:t>0.00</w:t>
        <w:tab/>
        <w:t>0.00</w:t>
        <w:tab/>
        <w:t>0.0%</w:t>
      </w:r>
    </w:p>
    <w:p>
      <w:pPr>
        <w:spacing w:before="103"/>
        <w:ind w:left="269" w:right="0" w:firstLine="0"/>
        <w:jc w:val="left"/>
        <w:rPr>
          <w:sz w:val="11"/>
        </w:rPr>
      </w:pPr>
      <w:r>
        <w:rPr>
          <w:sz w:val="11"/>
        </w:rPr>
        <w:t>ROC/P Transfers of Apportionments</w:t>
      </w:r>
    </w:p>
    <w:p>
      <w:pPr>
        <w:tabs>
          <w:tab w:pos="3091" w:val="left" w:leader="none"/>
          <w:tab w:pos="4003" w:val="left" w:leader="none"/>
          <w:tab w:pos="6435" w:val="left" w:leader="none"/>
          <w:tab w:pos="7543" w:val="left" w:leader="none"/>
          <w:tab w:pos="9761" w:val="left" w:leader="none"/>
          <w:tab w:pos="10870" w:val="left" w:leader="none"/>
          <w:tab w:pos="11475" w:val="left" w:leader="none"/>
        </w:tabs>
        <w:spacing w:before="25"/>
        <w:ind w:left="331" w:right="0" w:firstLine="0"/>
        <w:jc w:val="left"/>
        <w:rPr>
          <w:sz w:val="11"/>
        </w:rPr>
      </w:pPr>
      <w:r>
        <w:rPr>
          <w:sz w:val="11"/>
        </w:rPr>
        <w:t>To Districts or</w:t>
      </w:r>
      <w:r>
        <w:rPr>
          <w:spacing w:val="15"/>
          <w:sz w:val="11"/>
        </w:rPr>
        <w:t> </w:t>
      </w:r>
      <w:r>
        <w:rPr>
          <w:sz w:val="11"/>
        </w:rPr>
        <w:t>Charter</w:t>
      </w:r>
      <w:r>
        <w:rPr>
          <w:spacing w:val="5"/>
          <w:sz w:val="11"/>
        </w:rPr>
        <w:t> </w:t>
      </w:r>
      <w:r>
        <w:rPr>
          <w:sz w:val="11"/>
        </w:rPr>
        <w:t>Schools</w:t>
        <w:tab/>
        <w:t>6360</w:t>
        <w:tab/>
        <w:t>7221</w:t>
        <w:tab/>
        <w:t>0.00</w:t>
        <w:tab/>
        <w:t>0.00</w:t>
        <w:tab/>
        <w:t>0.00</w:t>
        <w:tab/>
        <w:t>0.00</w:t>
        <w:tab/>
        <w:t>0.0%</w:t>
      </w:r>
    </w:p>
    <w:p>
      <w:pPr>
        <w:tabs>
          <w:tab w:pos="3091" w:val="left" w:leader="none"/>
          <w:tab w:pos="4003" w:val="left" w:leader="none"/>
          <w:tab w:pos="6435" w:val="left" w:leader="none"/>
          <w:tab w:pos="7543" w:val="left" w:leader="none"/>
          <w:tab w:pos="9761" w:val="left" w:leader="none"/>
          <w:tab w:pos="10870" w:val="left" w:leader="none"/>
          <w:tab w:pos="11475" w:val="left" w:leader="none"/>
        </w:tabs>
        <w:spacing w:before="104"/>
        <w:ind w:left="331" w:right="0" w:firstLine="0"/>
        <w:jc w:val="left"/>
        <w:rPr>
          <w:sz w:val="11"/>
        </w:rPr>
      </w:pPr>
      <w:r>
        <w:rPr>
          <w:sz w:val="11"/>
        </w:rPr>
        <w:t>To</w:t>
      </w:r>
      <w:r>
        <w:rPr>
          <w:spacing w:val="3"/>
          <w:sz w:val="11"/>
        </w:rPr>
        <w:t> </w:t>
      </w:r>
      <w:r>
        <w:rPr>
          <w:sz w:val="11"/>
        </w:rPr>
        <w:t>County</w:t>
      </w:r>
      <w:r>
        <w:rPr>
          <w:spacing w:val="3"/>
          <w:sz w:val="11"/>
        </w:rPr>
        <w:t> </w:t>
      </w:r>
      <w:r>
        <w:rPr>
          <w:sz w:val="11"/>
        </w:rPr>
        <w:t>Offices</w:t>
        <w:tab/>
        <w:t>6360</w:t>
        <w:tab/>
        <w:t>7222</w:t>
        <w:tab/>
        <w:t>0.00</w:t>
        <w:tab/>
        <w:t>0.00</w:t>
        <w:tab/>
        <w:t>0.00</w:t>
        <w:tab/>
        <w:t>0.00</w:t>
        <w:tab/>
        <w:t>0.0%</w:t>
      </w:r>
    </w:p>
    <w:p>
      <w:pPr>
        <w:tabs>
          <w:tab w:pos="3091" w:val="left" w:leader="none"/>
          <w:tab w:pos="4003" w:val="left" w:leader="none"/>
          <w:tab w:pos="6435" w:val="left" w:leader="none"/>
          <w:tab w:pos="7543" w:val="left" w:leader="none"/>
          <w:tab w:pos="9761" w:val="left" w:leader="none"/>
          <w:tab w:pos="10870" w:val="left" w:leader="none"/>
          <w:tab w:pos="11475" w:val="left" w:leader="none"/>
        </w:tabs>
        <w:spacing w:before="104"/>
        <w:ind w:left="331" w:right="0" w:firstLine="0"/>
        <w:jc w:val="left"/>
        <w:rPr>
          <w:sz w:val="11"/>
        </w:rPr>
      </w:pPr>
      <w:r>
        <w:rPr>
          <w:sz w:val="11"/>
        </w:rPr>
        <w:t>To</w:t>
      </w:r>
      <w:r>
        <w:rPr>
          <w:spacing w:val="1"/>
          <w:sz w:val="11"/>
        </w:rPr>
        <w:t> </w:t>
      </w:r>
      <w:r>
        <w:rPr>
          <w:sz w:val="11"/>
        </w:rPr>
        <w:t>JPAs</w:t>
        <w:tab/>
        <w:t>6360</w:t>
        <w:tab/>
        <w:t>7223</w:t>
        <w:tab/>
        <w:t>0.00</w:t>
        <w:tab/>
        <w:t>0.00</w:t>
        <w:tab/>
        <w:t>0.00</w:t>
        <w:tab/>
        <w:t>0.00</w:t>
        <w:tab/>
        <w:t>0.0%</w:t>
      </w:r>
    </w:p>
    <w:p>
      <w:pPr>
        <w:tabs>
          <w:tab w:pos="2998" w:val="left" w:leader="none"/>
          <w:tab w:pos="3859" w:val="left" w:leader="none"/>
          <w:tab w:pos="5326" w:val="left" w:leader="none"/>
          <w:tab w:pos="6435" w:val="left" w:leader="none"/>
          <w:tab w:pos="7543" w:val="left" w:leader="none"/>
          <w:tab w:pos="8652" w:val="left" w:leader="none"/>
          <w:tab w:pos="9761" w:val="left" w:leader="none"/>
          <w:tab w:pos="10870" w:val="left" w:leader="none"/>
          <w:tab w:pos="11475" w:val="left" w:leader="none"/>
        </w:tabs>
        <w:spacing w:before="104"/>
        <w:ind w:left="269" w:right="0" w:firstLine="0"/>
        <w:jc w:val="left"/>
        <w:rPr>
          <w:sz w:val="11"/>
        </w:rPr>
      </w:pPr>
      <w:r>
        <w:rPr>
          <w:sz w:val="11"/>
        </w:rPr>
        <w:t>Other Transfers</w:t>
      </w:r>
      <w:r>
        <w:rPr>
          <w:spacing w:val="12"/>
          <w:sz w:val="11"/>
        </w:rPr>
        <w:t> </w:t>
      </w:r>
      <w:r>
        <w:rPr>
          <w:sz w:val="11"/>
        </w:rPr>
        <w:t>of</w:t>
      </w:r>
      <w:r>
        <w:rPr>
          <w:spacing w:val="5"/>
          <w:sz w:val="11"/>
        </w:rPr>
        <w:t> </w:t>
      </w:r>
      <w:r>
        <w:rPr>
          <w:sz w:val="11"/>
        </w:rPr>
        <w:t>Apportionments</w:t>
        <w:tab/>
        <w:t>All</w:t>
      </w:r>
      <w:r>
        <w:rPr>
          <w:spacing w:val="1"/>
          <w:sz w:val="11"/>
        </w:rPr>
        <w:t> </w:t>
      </w:r>
      <w:r>
        <w:rPr>
          <w:sz w:val="11"/>
        </w:rPr>
        <w:t>Other</w:t>
        <w:tab/>
        <w:t>7221-7223</w:t>
        <w:tab/>
        <w:t>0.00</w:t>
        <w:tab/>
        <w:t>0.00</w:t>
        <w:tab/>
        <w:t>0.00</w:t>
        <w:tab/>
        <w:t>0.00</w:t>
        <w:tab/>
        <w:t>0.00</w:t>
        <w:tab/>
        <w:t>0.00</w:t>
        <w:tab/>
        <w:t>0.0%</w:t>
      </w:r>
    </w:p>
    <w:p>
      <w:pPr>
        <w:tabs>
          <w:tab w:pos="3859" w:val="left" w:leader="none"/>
          <w:tab w:pos="5326" w:val="left" w:leader="none"/>
          <w:tab w:pos="6435" w:val="left" w:leader="none"/>
          <w:tab w:pos="7543" w:val="left" w:leader="none"/>
          <w:tab w:pos="8652" w:val="left" w:leader="none"/>
          <w:tab w:pos="9761" w:val="left" w:leader="none"/>
          <w:tab w:pos="10870" w:val="left" w:leader="none"/>
          <w:tab w:pos="11475" w:val="left" w:leader="none"/>
        </w:tabs>
        <w:spacing w:before="104"/>
        <w:ind w:left="331" w:right="0" w:firstLine="0"/>
        <w:jc w:val="left"/>
        <w:rPr>
          <w:sz w:val="11"/>
        </w:rPr>
      </w:pPr>
      <w:r>
        <w:rPr>
          <w:sz w:val="11"/>
        </w:rPr>
        <w:t>All</w:t>
      </w:r>
      <w:r>
        <w:rPr>
          <w:spacing w:val="2"/>
          <w:sz w:val="11"/>
        </w:rPr>
        <w:t> </w:t>
      </w:r>
      <w:r>
        <w:rPr>
          <w:sz w:val="11"/>
        </w:rPr>
        <w:t>Other</w:t>
      </w:r>
      <w:r>
        <w:rPr>
          <w:spacing w:val="5"/>
          <w:sz w:val="11"/>
        </w:rPr>
        <w:t> </w:t>
      </w:r>
      <w:r>
        <w:rPr>
          <w:sz w:val="11"/>
        </w:rPr>
        <w:t>Transfers</w:t>
        <w:tab/>
        <w:t>7281-7283</w:t>
        <w:tab/>
        <w:t>0.00</w:t>
        <w:tab/>
        <w:t>0.00</w:t>
        <w:tab/>
        <w:t>0.00</w:t>
        <w:tab/>
        <w:t>0.00</w:t>
        <w:tab/>
        <w:t>0.00</w:t>
        <w:tab/>
        <w:t>0.00</w:t>
        <w:tab/>
        <w:t>0.0%</w:t>
      </w:r>
    </w:p>
    <w:p>
      <w:pPr>
        <w:tabs>
          <w:tab w:pos="4003" w:val="left" w:leader="none"/>
          <w:tab w:pos="5326" w:val="left" w:leader="none"/>
          <w:tab w:pos="6435" w:val="left" w:leader="none"/>
          <w:tab w:pos="7543" w:val="left" w:leader="none"/>
          <w:tab w:pos="8652" w:val="left" w:leader="none"/>
          <w:tab w:pos="9761" w:val="left" w:leader="none"/>
          <w:tab w:pos="10870" w:val="left" w:leader="none"/>
          <w:tab w:pos="11475" w:val="left" w:leader="none"/>
        </w:tabs>
        <w:spacing w:line="230" w:lineRule="exact" w:before="21"/>
        <w:ind w:left="269" w:right="166" w:firstLine="62"/>
        <w:jc w:val="left"/>
        <w:rPr>
          <w:sz w:val="11"/>
        </w:rPr>
      </w:pPr>
      <w:r>
        <w:rPr>
          <w:sz w:val="11"/>
        </w:rPr>
        <w:t>All Other Transfers Out to</w:t>
      </w:r>
      <w:r>
        <w:rPr>
          <w:spacing w:val="20"/>
          <w:sz w:val="11"/>
        </w:rPr>
        <w:t> </w:t>
      </w:r>
      <w:r>
        <w:rPr>
          <w:sz w:val="11"/>
        </w:rPr>
        <w:t>All</w:t>
      </w:r>
      <w:r>
        <w:rPr>
          <w:spacing w:val="2"/>
          <w:sz w:val="11"/>
        </w:rPr>
        <w:t> </w:t>
      </w:r>
      <w:r>
        <w:rPr>
          <w:sz w:val="11"/>
        </w:rPr>
        <w:t>Others</w:t>
        <w:tab/>
        <w:t>7299</w:t>
        <w:tab/>
        <w:t>0.00</w:t>
        <w:tab/>
        <w:t>0.00</w:t>
        <w:tab/>
        <w:t>0.00</w:t>
        <w:tab/>
        <w:t>0.00</w:t>
        <w:tab/>
        <w:t>0.00</w:t>
        <w:tab/>
        <w:t>0.00</w:t>
        <w:tab/>
      </w:r>
      <w:r>
        <w:rPr>
          <w:spacing w:val="-6"/>
          <w:sz w:val="11"/>
        </w:rPr>
        <w:t>0.0% </w:t>
      </w:r>
      <w:r>
        <w:rPr>
          <w:sz w:val="11"/>
        </w:rPr>
        <w:t>Debt Service</w:t>
      </w:r>
    </w:p>
    <w:p>
      <w:pPr>
        <w:tabs>
          <w:tab w:pos="4003" w:val="left" w:leader="none"/>
          <w:tab w:pos="5326" w:val="left" w:leader="none"/>
          <w:tab w:pos="6435" w:val="left" w:leader="none"/>
          <w:tab w:pos="7543" w:val="left" w:leader="none"/>
          <w:tab w:pos="8652" w:val="left" w:leader="none"/>
          <w:tab w:pos="9761" w:val="left" w:leader="none"/>
          <w:tab w:pos="10870" w:val="left" w:leader="none"/>
          <w:tab w:pos="11475" w:val="left" w:leader="none"/>
        </w:tabs>
        <w:spacing w:before="2"/>
        <w:ind w:left="331" w:right="0" w:firstLine="0"/>
        <w:jc w:val="left"/>
        <w:rPr>
          <w:sz w:val="11"/>
        </w:rPr>
      </w:pPr>
      <w:r>
        <w:rPr>
          <w:sz w:val="11"/>
        </w:rPr>
        <w:t>Debt Service</w:t>
      </w:r>
      <w:r>
        <w:rPr>
          <w:spacing w:val="8"/>
          <w:sz w:val="11"/>
        </w:rPr>
        <w:t> </w:t>
      </w:r>
      <w:r>
        <w:rPr>
          <w:sz w:val="11"/>
        </w:rPr>
        <w:t>-</w:t>
      </w:r>
      <w:r>
        <w:rPr>
          <w:spacing w:val="5"/>
          <w:sz w:val="11"/>
        </w:rPr>
        <w:t> </w:t>
      </w:r>
      <w:r>
        <w:rPr>
          <w:sz w:val="11"/>
        </w:rPr>
        <w:t>Interest</w:t>
        <w:tab/>
        <w:t>7438</w:t>
        <w:tab/>
        <w:t>0.00</w:t>
        <w:tab/>
        <w:t>0.00</w:t>
        <w:tab/>
        <w:t>0.00</w:t>
        <w:tab/>
        <w:t>0.00</w:t>
        <w:tab/>
        <w:t>0.00</w:t>
        <w:tab/>
        <w:t>0.00</w:t>
        <w:tab/>
        <w:t>0.0%</w:t>
      </w:r>
    </w:p>
    <w:p>
      <w:pPr>
        <w:tabs>
          <w:tab w:pos="4003" w:val="left" w:leader="none"/>
          <w:tab w:pos="5326" w:val="left" w:leader="none"/>
          <w:tab w:pos="6435" w:val="left" w:leader="none"/>
          <w:tab w:pos="7543" w:val="left" w:leader="none"/>
          <w:tab w:pos="8652" w:val="left" w:leader="none"/>
          <w:tab w:pos="9761" w:val="left" w:leader="none"/>
          <w:tab w:pos="10870" w:val="left" w:leader="none"/>
          <w:tab w:pos="11475" w:val="left" w:leader="none"/>
        </w:tabs>
        <w:spacing w:before="101"/>
        <w:ind w:left="331" w:right="0" w:firstLine="0"/>
        <w:jc w:val="left"/>
        <w:rPr>
          <w:sz w:val="11"/>
        </w:rPr>
      </w:pPr>
      <w:r>
        <w:rPr>
          <w:sz w:val="11"/>
        </w:rPr>
        <w:t>Other Debt Service</w:t>
      </w:r>
      <w:r>
        <w:rPr>
          <w:spacing w:val="14"/>
          <w:sz w:val="11"/>
        </w:rPr>
        <w:t> </w:t>
      </w:r>
      <w:r>
        <w:rPr>
          <w:sz w:val="11"/>
        </w:rPr>
        <w:t>-</w:t>
      </w:r>
      <w:r>
        <w:rPr>
          <w:spacing w:val="6"/>
          <w:sz w:val="11"/>
        </w:rPr>
        <w:t> </w:t>
      </w:r>
      <w:r>
        <w:rPr>
          <w:sz w:val="11"/>
        </w:rPr>
        <w:t>Principal</w:t>
        <w:tab/>
        <w:t>7439</w:t>
        <w:tab/>
        <w:t>0.00</w:t>
        <w:tab/>
        <w:t>0.00</w:t>
        <w:tab/>
        <w:t>0.00</w:t>
        <w:tab/>
        <w:t>0.00</w:t>
        <w:tab/>
        <w:t>0.00</w:t>
        <w:tab/>
        <w:t>0.00</w:t>
        <w:tab/>
        <w:t>0.0%</w:t>
      </w:r>
    </w:p>
    <w:p>
      <w:pPr>
        <w:tabs>
          <w:tab w:pos="5326" w:val="left" w:leader="none"/>
          <w:tab w:pos="6435" w:val="left" w:leader="none"/>
          <w:tab w:pos="7543" w:val="left" w:leader="none"/>
          <w:tab w:pos="8652" w:val="left" w:leader="none"/>
          <w:tab w:pos="9761" w:val="left" w:leader="none"/>
          <w:tab w:pos="10870" w:val="left" w:leader="none"/>
          <w:tab w:pos="11475" w:val="left" w:leader="none"/>
        </w:tabs>
        <w:spacing w:before="104"/>
        <w:ind w:left="207" w:right="0" w:firstLine="0"/>
        <w:jc w:val="left"/>
        <w:rPr>
          <w:sz w:val="11"/>
        </w:rPr>
      </w:pPr>
      <w:r>
        <w:rPr>
          <w:sz w:val="11"/>
        </w:rPr>
        <w:t>TOTAL, OTHER OUTGO (excluding Transfers of </w:t>
      </w:r>
      <w:r>
        <w:rPr>
          <w:spacing w:val="6"/>
          <w:sz w:val="11"/>
        </w:rPr>
        <w:t> </w:t>
      </w:r>
      <w:r>
        <w:rPr>
          <w:sz w:val="11"/>
        </w:rPr>
        <w:t>Indirect</w:t>
      </w:r>
      <w:r>
        <w:rPr>
          <w:spacing w:val="5"/>
          <w:sz w:val="11"/>
        </w:rPr>
        <w:t> </w:t>
      </w:r>
      <w:r>
        <w:rPr>
          <w:sz w:val="11"/>
        </w:rPr>
        <w:t>Costs)</w:t>
        <w:tab/>
        <w:t>0.00</w:t>
        <w:tab/>
        <w:t>0.00</w:t>
        <w:tab/>
        <w:t>0.00</w:t>
        <w:tab/>
        <w:t>0.00</w:t>
        <w:tab/>
        <w:t>0.00</w:t>
        <w:tab/>
        <w:t>0.00</w:t>
        <w:tab/>
        <w:t>0.0%</w:t>
      </w:r>
    </w:p>
    <w:p>
      <w:pPr>
        <w:spacing w:before="102"/>
        <w:ind w:left="144" w:right="0" w:firstLine="0"/>
        <w:jc w:val="left"/>
        <w:rPr>
          <w:b/>
          <w:sz w:val="11"/>
        </w:rPr>
      </w:pPr>
      <w:r>
        <w:rPr>
          <w:b/>
          <w:sz w:val="11"/>
        </w:rPr>
        <w:t>OTHER OUTGO - TRANSFERS OF INDIRECT COSTS</w:t>
      </w:r>
    </w:p>
    <w:p>
      <w:pPr>
        <w:pStyle w:val="BodyText"/>
        <w:spacing w:before="7"/>
        <w:rPr>
          <w:b/>
        </w:rPr>
      </w:pPr>
    </w:p>
    <w:p>
      <w:pPr>
        <w:tabs>
          <w:tab w:pos="4003" w:val="left" w:leader="none"/>
          <w:tab w:pos="5326" w:val="left" w:leader="none"/>
          <w:tab w:pos="6435" w:val="left" w:leader="none"/>
          <w:tab w:pos="7543" w:val="left" w:leader="none"/>
          <w:tab w:pos="8652" w:val="left" w:leader="none"/>
          <w:tab w:pos="9761" w:val="left" w:leader="none"/>
          <w:tab w:pos="10870" w:val="left" w:leader="none"/>
          <w:tab w:pos="11475" w:val="left" w:leader="none"/>
        </w:tabs>
        <w:spacing w:before="99"/>
        <w:ind w:left="237" w:right="0" w:firstLine="0"/>
        <w:jc w:val="left"/>
        <w:rPr>
          <w:sz w:val="11"/>
        </w:rPr>
      </w:pPr>
      <w:r>
        <w:rPr>
          <w:sz w:val="11"/>
        </w:rPr>
        <w:t>Transfers of</w:t>
      </w:r>
      <w:r>
        <w:rPr>
          <w:spacing w:val="8"/>
          <w:sz w:val="11"/>
        </w:rPr>
        <w:t> </w:t>
      </w:r>
      <w:r>
        <w:rPr>
          <w:sz w:val="11"/>
        </w:rPr>
        <w:t>Indirect</w:t>
      </w:r>
      <w:r>
        <w:rPr>
          <w:spacing w:val="5"/>
          <w:sz w:val="11"/>
        </w:rPr>
        <w:t> </w:t>
      </w:r>
      <w:r>
        <w:rPr>
          <w:sz w:val="11"/>
        </w:rPr>
        <w:t>Costs</w:t>
        <w:tab/>
        <w:t>7310</w:t>
        <w:tab/>
        <w:t>0.00</w:t>
        <w:tab/>
        <w:t>0.00</w:t>
        <w:tab/>
        <w:t>0.00</w:t>
        <w:tab/>
        <w:t>0.00</w:t>
        <w:tab/>
        <w:t>0.00</w:t>
        <w:tab/>
        <w:t>0.00</w:t>
        <w:tab/>
        <w:t>0.0%</w:t>
      </w:r>
    </w:p>
    <w:p>
      <w:pPr>
        <w:tabs>
          <w:tab w:pos="4003" w:val="left" w:leader="none"/>
          <w:tab w:pos="5326" w:val="left" w:leader="none"/>
          <w:tab w:pos="6435" w:val="left" w:leader="none"/>
          <w:tab w:pos="7543" w:val="left" w:leader="none"/>
          <w:tab w:pos="8652" w:val="left" w:leader="none"/>
          <w:tab w:pos="9761" w:val="left" w:leader="none"/>
          <w:tab w:pos="10870" w:val="left" w:leader="none"/>
          <w:tab w:pos="11475" w:val="left" w:leader="none"/>
        </w:tabs>
        <w:spacing w:before="101"/>
        <w:ind w:left="237" w:right="0" w:firstLine="0"/>
        <w:jc w:val="left"/>
        <w:rPr>
          <w:sz w:val="11"/>
        </w:rPr>
      </w:pPr>
      <w:r>
        <w:rPr>
          <w:sz w:val="11"/>
        </w:rPr>
        <w:t>Transfers of Indirect Costs</w:t>
      </w:r>
      <w:r>
        <w:rPr>
          <w:spacing w:val="17"/>
          <w:sz w:val="11"/>
        </w:rPr>
        <w:t> </w:t>
      </w:r>
      <w:r>
        <w:rPr>
          <w:sz w:val="11"/>
        </w:rPr>
        <w:t>-</w:t>
      </w:r>
      <w:r>
        <w:rPr>
          <w:spacing w:val="5"/>
          <w:sz w:val="11"/>
        </w:rPr>
        <w:t> </w:t>
      </w:r>
      <w:r>
        <w:rPr>
          <w:sz w:val="11"/>
        </w:rPr>
        <w:t>Interfund</w:t>
        <w:tab/>
        <w:t>7350</w:t>
        <w:tab/>
        <w:t>0.00</w:t>
        <w:tab/>
        <w:t>0.00</w:t>
        <w:tab/>
        <w:t>0.00</w:t>
        <w:tab/>
        <w:t>0.00</w:t>
        <w:tab/>
        <w:t>0.00</w:t>
        <w:tab/>
        <w:t>0.00</w:t>
        <w:tab/>
        <w:t>0.0%</w:t>
      </w:r>
    </w:p>
    <w:p>
      <w:pPr>
        <w:tabs>
          <w:tab w:pos="5326" w:val="left" w:leader="none"/>
          <w:tab w:pos="6435" w:val="left" w:leader="none"/>
          <w:tab w:pos="7543" w:val="left" w:leader="none"/>
          <w:tab w:pos="8652" w:val="left" w:leader="none"/>
          <w:tab w:pos="9761" w:val="left" w:leader="none"/>
          <w:tab w:pos="10870" w:val="left" w:leader="none"/>
          <w:tab w:pos="11475" w:val="left" w:leader="none"/>
        </w:tabs>
        <w:spacing w:before="104"/>
        <w:ind w:left="207" w:right="0" w:firstLine="0"/>
        <w:jc w:val="left"/>
        <w:rPr>
          <w:sz w:val="11"/>
        </w:rPr>
      </w:pPr>
      <w:r>
        <w:rPr>
          <w:sz w:val="11"/>
        </w:rPr>
        <w:t>TOTAL, OTHER OUTGO - TRANSFERS OF </w:t>
      </w:r>
      <w:r>
        <w:rPr>
          <w:spacing w:val="2"/>
          <w:sz w:val="11"/>
        </w:rPr>
        <w:t> </w:t>
      </w:r>
      <w:r>
        <w:rPr>
          <w:sz w:val="11"/>
        </w:rPr>
        <w:t>INDIRECT</w:t>
      </w:r>
      <w:r>
        <w:rPr>
          <w:spacing w:val="3"/>
          <w:sz w:val="11"/>
        </w:rPr>
        <w:t> </w:t>
      </w:r>
      <w:r>
        <w:rPr>
          <w:sz w:val="11"/>
        </w:rPr>
        <w:t>COSTS</w:t>
        <w:tab/>
        <w:t>0.00</w:t>
        <w:tab/>
        <w:t>0.00</w:t>
        <w:tab/>
        <w:t>0.00</w:t>
        <w:tab/>
        <w:t>0.00</w:t>
        <w:tab/>
        <w:t>0.00</w:t>
        <w:tab/>
        <w:t>0.00</w:t>
        <w:tab/>
        <w:t>0.0%</w:t>
      </w:r>
    </w:p>
    <w:p>
      <w:pPr>
        <w:pStyle w:val="BodyText"/>
        <w:spacing w:before="7"/>
      </w:pPr>
    </w:p>
    <w:p>
      <w:pPr>
        <w:tabs>
          <w:tab w:pos="4889" w:val="left" w:leader="none"/>
          <w:tab w:pos="6091" w:val="left" w:leader="none"/>
          <w:tab w:pos="7107" w:val="left" w:leader="none"/>
          <w:tab w:pos="8215" w:val="left" w:leader="none"/>
          <w:tab w:pos="9418" w:val="left" w:leader="none"/>
          <w:tab w:pos="10433" w:val="left" w:leader="none"/>
          <w:tab w:pos="11436" w:val="left" w:leader="none"/>
        </w:tabs>
        <w:spacing w:before="99"/>
        <w:ind w:left="144" w:right="0" w:firstLine="0"/>
        <w:jc w:val="left"/>
        <w:rPr>
          <w:sz w:val="11"/>
        </w:rPr>
      </w:pPr>
      <w:r>
        <w:rPr>
          <w:sz w:val="11"/>
        </w:rPr>
        <w:t>TOTAL,</w:t>
      </w:r>
      <w:r>
        <w:rPr>
          <w:spacing w:val="4"/>
          <w:sz w:val="11"/>
        </w:rPr>
        <w:t> </w:t>
      </w:r>
      <w:r>
        <w:rPr>
          <w:sz w:val="11"/>
        </w:rPr>
        <w:t>EXPENDITURES</w:t>
        <w:tab/>
        <w:t>1,302,403.00</w:t>
        <w:tab/>
        <w:t>816,631.00</w:t>
        <w:tab/>
        <w:t>2,119,034.00</w:t>
        <w:tab/>
        <w:t>1,464,681.00</w:t>
        <w:tab/>
        <w:t>652,693.00</w:t>
        <w:tab/>
        <w:t>2,117,374.00</w:t>
        <w:tab/>
        <w:t>-0.1%</w:t>
      </w:r>
    </w:p>
    <w:p>
      <w:pPr>
        <w:spacing w:after="0"/>
        <w:jc w:val="left"/>
        <w:rPr>
          <w:sz w:val="11"/>
        </w:rPr>
        <w:sectPr>
          <w:type w:val="continuous"/>
          <w:pgSz w:w="12240" w:h="15840"/>
          <w:pgMar w:top="1500" w:bottom="840" w:left="160" w:right="180"/>
        </w:sectPr>
      </w:pPr>
    </w:p>
    <w:p>
      <w:pPr>
        <w:pStyle w:val="BodyText"/>
        <w:rPr>
          <w:sz w:val="20"/>
        </w:rPr>
      </w:pPr>
      <w:r>
        <w:rPr/>
        <w:pict>
          <v:group style="position:absolute;margin-left:14.280001pt;margin-top:40.079998pt;width:581.3pt;height:396.85pt;mso-position-horizontal-relative:page;mso-position-vertical-relative:page;z-index:-314571776" coordorigin="286,802" coordsize="11626,7937">
            <v:shape style="position:absolute;left:285;top:801;width:11626;height:168" type="#_x0000_t75" stroked="false">
              <v:imagedata r:id="rId83" o:title=""/>
            </v:shape>
            <v:shape style="position:absolute;left:285;top:964;width:2542;height:507" type="#_x0000_t75" stroked="false">
              <v:imagedata r:id="rId84" o:title=""/>
            </v:shape>
            <v:shape style="position:absolute;left:2824;top:832;width:9087;height:639" type="#_x0000_t75" stroked="false">
              <v:imagedata r:id="rId85" o:title=""/>
            </v:shape>
            <v:shape style="position:absolute;left:4648;top:964;width:7263;height:1347" type="#_x0000_t75" stroked="false">
              <v:imagedata r:id="rId315" o:title=""/>
            </v:shape>
            <v:shape style="position:absolute;left:5760;top:2311;width:4436;height:231" coordorigin="5760,2311" coordsize="4436,231" path="m6869,2311l5760,2311,5760,2542,6869,2542,6869,2311m10195,2311l9086,2311,9086,2542,10195,2542,10195,2311e" filled="true" fillcolor="#dfdfdf" stroked="false">
              <v:path arrowok="t"/>
              <v:fill type="solid"/>
            </v:shape>
            <v:shape style="position:absolute;left:4648;top:2078;width:7263;height:615" type="#_x0000_t75" stroked="false">
              <v:imagedata r:id="rId316" o:title=""/>
            </v:shape>
            <v:rect style="position:absolute;left:5760;top:2541;width:1109;height:152" filled="true" fillcolor="#dfdfdf" stroked="false">
              <v:fill type="solid"/>
            </v:rect>
            <v:shape style="position:absolute;left:285;top:1466;width:2542;height:1688" type="#_x0000_t75" stroked="false">
              <v:imagedata r:id="rId317" o:title=""/>
            </v:shape>
            <v:rect style="position:absolute;left:9086;top:2541;width:1109;height:152" filled="true" fillcolor="#dfdfdf" stroked="false">
              <v:fill type="solid"/>
            </v:rect>
            <v:shape style="position:absolute;left:4648;top:2539;width:7263;height:384" type="#_x0000_t75" stroked="false">
              <v:imagedata r:id="rId318" o:title=""/>
            </v:shape>
            <v:shape style="position:absolute;left:2824;top:2690;width:9087;height:464" type="#_x0000_t75" stroked="false">
              <v:imagedata r:id="rId319" o:title=""/>
            </v:shape>
            <v:shape style="position:absolute;left:4648;top:2920;width:7263;height:893" type="#_x0000_t75" stroked="false">
              <v:imagedata r:id="rId320" o:title=""/>
            </v:shape>
            <v:shape style="position:absolute;left:4648;top:3580;width:7263;height:464" type="#_x0000_t75" stroked="false">
              <v:imagedata r:id="rId321" o:title=""/>
            </v:shape>
            <v:shape style="position:absolute;left:285;top:3151;width:2542;height:1966" type="#_x0000_t75" stroked="false">
              <v:imagedata r:id="rId322" o:title=""/>
            </v:shape>
            <v:shape style="position:absolute;left:4648;top:3811;width:7263;height:615" type="#_x0000_t75" stroked="false">
              <v:imagedata r:id="rId323" o:title=""/>
            </v:shape>
            <v:shape style="position:absolute;left:4648;top:4272;width:7263;height:384" type="#_x0000_t75" stroked="false">
              <v:imagedata r:id="rId318" o:title=""/>
            </v:shape>
            <v:shape style="position:absolute;left:10192;top:4423;width:1719;height:464" type="#_x0000_t75" stroked="false">
              <v:imagedata r:id="rId188" o:title=""/>
            </v:shape>
            <v:shape style="position:absolute;left:2824;top:4653;width:9087;height:464" type="#_x0000_t75" stroked="false">
              <v:imagedata r:id="rId324" o:title=""/>
            </v:shape>
            <v:shape style="position:absolute;left:4648;top:4884;width:7263;height:1788" type="#_x0000_t75" stroked="false">
              <v:imagedata r:id="rId325" o:title=""/>
            </v:shape>
            <v:shape style="position:absolute;left:4648;top:6518;width:7263;height:766" type="#_x0000_t75" stroked="false">
              <v:imagedata r:id="rId326" o:title=""/>
            </v:shape>
            <v:shape style="position:absolute;left:5757;top:7130;width:6154;height:687" type="#_x0000_t75" stroked="false">
              <v:imagedata r:id="rId327" o:title=""/>
            </v:shape>
            <v:shape style="position:absolute;left:285;top:5114;width:2542;height:3624" type="#_x0000_t75" stroked="false">
              <v:imagedata r:id="rId328" o:title=""/>
            </v:shape>
            <v:shape style="position:absolute;left:4648;top:7281;width:7263;height:766" type="#_x0000_t75" stroked="false">
              <v:imagedata r:id="rId329" o:title=""/>
            </v:shape>
            <v:shape style="position:absolute;left:5604;top:836;width:1441;height:126" type="#_x0000_t202" filled="false" stroked="false">
              <v:textbox inset="0,0,0,0">
                <w:txbxContent>
                  <w:p>
                    <w:pPr>
                      <w:spacing w:line="125" w:lineRule="exact" w:before="0"/>
                      <w:ind w:left="0" w:right="0" w:firstLine="0"/>
                      <w:jc w:val="left"/>
                      <w:rPr>
                        <w:b/>
                        <w:sz w:val="11"/>
                      </w:rPr>
                    </w:pPr>
                    <w:r>
                      <w:rPr>
                        <w:b/>
                        <w:sz w:val="11"/>
                      </w:rPr>
                      <w:t>2020-21 Estimated Actuals</w:t>
                    </w:r>
                  </w:p>
                </w:txbxContent>
              </v:textbox>
              <w10:wrap type="none"/>
            </v:shape>
            <v:shape style="position:absolute;left:9223;top:836;width:854;height:126" type="#_x0000_t202" filled="false" stroked="false">
              <v:textbox inset="0,0,0,0">
                <w:txbxContent>
                  <w:p>
                    <w:pPr>
                      <w:spacing w:line="125" w:lineRule="exact" w:before="0"/>
                      <w:ind w:left="0" w:right="0" w:firstLine="0"/>
                      <w:jc w:val="left"/>
                      <w:rPr>
                        <w:b/>
                        <w:sz w:val="11"/>
                      </w:rPr>
                    </w:pPr>
                    <w:r>
                      <w:rPr>
                        <w:b/>
                        <w:sz w:val="11"/>
                      </w:rPr>
                      <w:t>2021-22 Budget</w:t>
                    </w:r>
                  </w:p>
                </w:txbxContent>
              </v:textbox>
              <w10:wrap type="none"/>
            </v:shape>
            <v:shape style="position:absolute;left:304;top:1338;width:1591;height:587" type="#_x0000_t202" filled="false" stroked="false">
              <v:textbox inset="0,0,0,0">
                <w:txbxContent>
                  <w:p>
                    <w:pPr>
                      <w:spacing w:line="125" w:lineRule="exact" w:before="0"/>
                      <w:ind w:left="0" w:right="0" w:firstLine="0"/>
                      <w:jc w:val="left"/>
                      <w:rPr>
                        <w:b/>
                        <w:sz w:val="11"/>
                      </w:rPr>
                    </w:pPr>
                    <w:r>
                      <w:rPr>
                        <w:b/>
                        <w:sz w:val="11"/>
                      </w:rPr>
                      <w:t>Description</w:t>
                    </w:r>
                  </w:p>
                  <w:p>
                    <w:pPr>
                      <w:spacing w:line="230" w:lineRule="atLeast" w:before="0"/>
                      <w:ind w:left="62" w:right="0" w:hanging="63"/>
                      <w:jc w:val="left"/>
                      <w:rPr>
                        <w:b/>
                        <w:sz w:val="11"/>
                      </w:rPr>
                    </w:pPr>
                    <w:r>
                      <w:rPr>
                        <w:b/>
                        <w:sz w:val="11"/>
                      </w:rPr>
                      <w:t>INTERFUND TRANSFERS INTERFUND TRANSFERS IN</w:t>
                    </w:r>
                  </w:p>
                </w:txbxContent>
              </v:textbox>
              <w10:wrap type="none"/>
            </v:shape>
            <v:shape style="position:absolute;left:2932;top:1338;width:911;height:126" type="#_x0000_t202" filled="false" stroked="false">
              <v:textbox inset="0,0,0,0">
                <w:txbxContent>
                  <w:p>
                    <w:pPr>
                      <w:spacing w:line="125" w:lineRule="exact" w:before="0"/>
                      <w:ind w:left="0" w:right="0" w:firstLine="0"/>
                      <w:jc w:val="left"/>
                      <w:rPr>
                        <w:b/>
                        <w:sz w:val="11"/>
                      </w:rPr>
                    </w:pPr>
                    <w:r>
                      <w:rPr>
                        <w:b/>
                        <w:sz w:val="11"/>
                      </w:rPr>
                      <w:t>Resource Codes</w:t>
                    </w:r>
                  </w:p>
                </w:txbxContent>
              </v:textbox>
              <w10:wrap type="none"/>
            </v:shape>
            <v:shape style="position:absolute;left:4113;top:1206;width:372;height:258" type="#_x0000_t202" filled="false" stroked="false">
              <v:textbox inset="0,0,0,0">
                <w:txbxContent>
                  <w:p>
                    <w:pPr>
                      <w:spacing w:line="249" w:lineRule="auto" w:before="0"/>
                      <w:ind w:left="4" w:right="10" w:hanging="5"/>
                      <w:jc w:val="left"/>
                      <w:rPr>
                        <w:b/>
                        <w:sz w:val="11"/>
                      </w:rPr>
                    </w:pPr>
                    <w:r>
                      <w:rPr>
                        <w:b/>
                        <w:sz w:val="11"/>
                      </w:rPr>
                      <w:t>Object Codes</w:t>
                    </w:r>
                  </w:p>
                </w:txbxContent>
              </v:textbox>
              <w10:wrap type="none"/>
            </v:shape>
            <v:shape style="position:absolute;left:4876;top:1206;width:682;height:258" type="#_x0000_t202" filled="false" stroked="false">
              <v:textbox inset="0,0,0,0">
                <w:txbxContent>
                  <w:p>
                    <w:pPr>
                      <w:spacing w:line="249" w:lineRule="auto" w:before="0"/>
                      <w:ind w:left="252" w:right="14" w:hanging="252"/>
                      <w:jc w:val="left"/>
                      <w:rPr>
                        <w:b/>
                        <w:sz w:val="11"/>
                      </w:rPr>
                    </w:pPr>
                    <w:r>
                      <w:rPr>
                        <w:b/>
                        <w:sz w:val="11"/>
                      </w:rPr>
                      <w:t>Unrestricted (A)</w:t>
                    </w:r>
                  </w:p>
                </w:txbxContent>
              </v:textbox>
              <w10:wrap type="none"/>
            </v:shape>
            <v:shape style="position:absolute;left:6040;top:1206;width:571;height:258" type="#_x0000_t202" filled="false" stroked="false">
              <v:textbox inset="0,0,0,0">
                <w:txbxContent>
                  <w:p>
                    <w:pPr>
                      <w:spacing w:line="249" w:lineRule="auto" w:before="0"/>
                      <w:ind w:left="196" w:right="14" w:hanging="197"/>
                      <w:jc w:val="left"/>
                      <w:rPr>
                        <w:b/>
                        <w:sz w:val="11"/>
                      </w:rPr>
                    </w:pPr>
                    <w:r>
                      <w:rPr>
                        <w:b/>
                        <w:sz w:val="11"/>
                      </w:rPr>
                      <w:t>Restricted (B)</w:t>
                    </w:r>
                  </w:p>
                </w:txbxContent>
              </v:textbox>
              <w10:wrap type="none"/>
            </v:shape>
            <v:shape style="position:absolute;left:7132;top:1074;width:603;height:390" type="#_x0000_t202" filled="false" stroked="false">
              <v:textbox inset="0,0,0,0">
                <w:txbxContent>
                  <w:p>
                    <w:pPr>
                      <w:spacing w:line="249" w:lineRule="auto" w:before="0"/>
                      <w:ind w:left="-1" w:right="18" w:firstLine="0"/>
                      <w:jc w:val="center"/>
                      <w:rPr>
                        <w:b/>
                        <w:sz w:val="11"/>
                      </w:rPr>
                    </w:pPr>
                    <w:r>
                      <w:rPr>
                        <w:b/>
                        <w:sz w:val="11"/>
                      </w:rPr>
                      <w:t>Total </w:t>
                    </w:r>
                    <w:r>
                      <w:rPr>
                        <w:b/>
                        <w:spacing w:val="-4"/>
                        <w:sz w:val="11"/>
                      </w:rPr>
                      <w:t>Fund </w:t>
                    </w:r>
                    <w:r>
                      <w:rPr>
                        <w:b/>
                        <w:sz w:val="11"/>
                      </w:rPr>
                      <w:t>col. A + B (C)</w:t>
                    </w:r>
                  </w:p>
                </w:txbxContent>
              </v:textbox>
              <w10:wrap type="none"/>
            </v:shape>
            <v:shape style="position:absolute;left:8203;top:1206;width:682;height:258" type="#_x0000_t202" filled="false" stroked="false">
              <v:textbox inset="0,0,0,0">
                <w:txbxContent>
                  <w:p>
                    <w:pPr>
                      <w:spacing w:line="249" w:lineRule="auto" w:before="0"/>
                      <w:ind w:left="251" w:right="15" w:hanging="252"/>
                      <w:jc w:val="left"/>
                      <w:rPr>
                        <w:b/>
                        <w:sz w:val="11"/>
                      </w:rPr>
                    </w:pPr>
                    <w:r>
                      <w:rPr>
                        <w:b/>
                        <w:sz w:val="11"/>
                      </w:rPr>
                      <w:t>Unrestricted (D)</w:t>
                    </w:r>
                  </w:p>
                </w:txbxContent>
              </v:textbox>
              <w10:wrap type="none"/>
            </v:shape>
            <v:shape style="position:absolute;left:9367;top:1206;width:571;height:258" type="#_x0000_t202" filled="false" stroked="false">
              <v:textbox inset="0,0,0,0">
                <w:txbxContent>
                  <w:p>
                    <w:pPr>
                      <w:spacing w:line="249" w:lineRule="auto" w:before="0"/>
                      <w:ind w:left="199" w:right="14" w:hanging="200"/>
                      <w:jc w:val="left"/>
                      <w:rPr>
                        <w:b/>
                        <w:sz w:val="11"/>
                      </w:rPr>
                    </w:pPr>
                    <w:r>
                      <w:rPr>
                        <w:b/>
                        <w:sz w:val="11"/>
                      </w:rPr>
                      <w:t>Restricted (E)</w:t>
                    </w:r>
                  </w:p>
                </w:txbxContent>
              </v:textbox>
              <w10:wrap type="none"/>
            </v:shape>
            <v:shape style="position:absolute;left:10459;top:1074;width:603;height:390" type="#_x0000_t202" filled="false" stroked="false">
              <v:textbox inset="0,0,0,0">
                <w:txbxContent>
                  <w:p>
                    <w:pPr>
                      <w:spacing w:line="249" w:lineRule="auto" w:before="0"/>
                      <w:ind w:left="-1" w:right="18" w:firstLine="0"/>
                      <w:jc w:val="center"/>
                      <w:rPr>
                        <w:b/>
                        <w:sz w:val="11"/>
                      </w:rPr>
                    </w:pPr>
                    <w:r>
                      <w:rPr>
                        <w:b/>
                        <w:sz w:val="11"/>
                      </w:rPr>
                      <w:t>Total </w:t>
                    </w:r>
                    <w:r>
                      <w:rPr>
                        <w:b/>
                        <w:spacing w:val="-4"/>
                        <w:sz w:val="11"/>
                      </w:rPr>
                      <w:t>Fund </w:t>
                    </w:r>
                    <w:r>
                      <w:rPr>
                        <w:b/>
                        <w:sz w:val="11"/>
                      </w:rPr>
                      <w:t>col. D + E (F)</w:t>
                    </w:r>
                  </w:p>
                </w:txbxContent>
              </v:textbox>
              <w10:wrap type="none"/>
            </v:shape>
            <v:shape style="position:absolute;left:11397;top:1074;width:442;height:390" type="#_x0000_t202" filled="false" stroked="false">
              <v:textbox inset="0,0,0,0">
                <w:txbxContent>
                  <w:p>
                    <w:pPr>
                      <w:spacing w:line="249" w:lineRule="auto" w:before="0"/>
                      <w:ind w:left="0" w:right="18" w:firstLine="0"/>
                      <w:jc w:val="center"/>
                      <w:rPr>
                        <w:b/>
                        <w:sz w:val="11"/>
                      </w:rPr>
                    </w:pPr>
                    <w:r>
                      <w:rPr>
                        <w:b/>
                        <w:sz w:val="11"/>
                      </w:rPr>
                      <w:t>% Diff Column C &amp; F</w:t>
                    </w:r>
                  </w:p>
                </w:txbxContent>
              </v:textbox>
              <w10:wrap type="none"/>
            </v:shape>
            <v:shape style="position:absolute;left:367;top:2182;width:2111;height:969" type="#_x0000_t202" filled="false" stroked="false">
              <v:textbox inset="0,0,0,0">
                <w:txbxContent>
                  <w:p>
                    <w:pPr>
                      <w:spacing w:line="125" w:lineRule="exact" w:before="0"/>
                      <w:ind w:left="61" w:right="0" w:firstLine="0"/>
                      <w:jc w:val="left"/>
                      <w:rPr>
                        <w:sz w:val="11"/>
                      </w:rPr>
                    </w:pPr>
                    <w:r>
                      <w:rPr>
                        <w:sz w:val="11"/>
                      </w:rPr>
                      <w:t>From: Special Reserve Fund</w:t>
                    </w:r>
                  </w:p>
                  <w:p>
                    <w:pPr>
                      <w:spacing w:line="288" w:lineRule="auto" w:before="104"/>
                      <w:ind w:left="248" w:right="290" w:hanging="187"/>
                      <w:jc w:val="left"/>
                      <w:rPr>
                        <w:sz w:val="11"/>
                      </w:rPr>
                    </w:pPr>
                    <w:r>
                      <w:rPr>
                        <w:sz w:val="11"/>
                      </w:rPr>
                      <w:t>From: Bond Interest and Redemption Fund</w:t>
                    </w:r>
                  </w:p>
                  <w:p>
                    <w:pPr>
                      <w:spacing w:before="78"/>
                      <w:ind w:left="61" w:right="0" w:firstLine="0"/>
                      <w:jc w:val="left"/>
                      <w:rPr>
                        <w:sz w:val="11"/>
                      </w:rPr>
                    </w:pPr>
                    <w:r>
                      <w:rPr>
                        <w:sz w:val="11"/>
                      </w:rPr>
                      <w:t>Other Authorized Interfund Transfers In</w:t>
                    </w:r>
                  </w:p>
                  <w:p>
                    <w:pPr>
                      <w:spacing w:before="104"/>
                      <w:ind w:left="0" w:right="0" w:firstLine="0"/>
                      <w:jc w:val="left"/>
                      <w:rPr>
                        <w:sz w:val="11"/>
                      </w:rPr>
                    </w:pPr>
                    <w:r>
                      <w:rPr>
                        <w:sz w:val="11"/>
                      </w:rPr>
                      <w:t>(a) TOTAL, INTERFUND TRANSFERS IN</w:t>
                    </w:r>
                  </w:p>
                </w:txbxContent>
              </v:textbox>
              <w10:wrap type="none"/>
            </v:shape>
            <v:shape style="position:absolute;left:4164;top:2182;width:270;height:126" type="#_x0000_t202" filled="false" stroked="false">
              <v:textbox inset="0,0,0,0">
                <w:txbxContent>
                  <w:p>
                    <w:pPr>
                      <w:spacing w:line="125" w:lineRule="exact" w:before="0"/>
                      <w:ind w:left="0" w:right="0" w:firstLine="0"/>
                      <w:jc w:val="left"/>
                      <w:rPr>
                        <w:sz w:val="11"/>
                      </w:rPr>
                    </w:pPr>
                    <w:r>
                      <w:rPr>
                        <w:sz w:val="11"/>
                      </w:rPr>
                      <w:t>8912</w:t>
                    </w:r>
                  </w:p>
                </w:txbxContent>
              </v:textbox>
              <w10:wrap type="none"/>
            </v:shape>
            <v:shape style="position:absolute;left:5486;top:2182;width:239;height:126" type="#_x0000_t202" filled="false" stroked="false">
              <v:textbox inset="0,0,0,0">
                <w:txbxContent>
                  <w:p>
                    <w:pPr>
                      <w:spacing w:line="125" w:lineRule="exact" w:before="0"/>
                      <w:ind w:left="0" w:right="0" w:firstLine="0"/>
                      <w:jc w:val="left"/>
                      <w:rPr>
                        <w:sz w:val="11"/>
                      </w:rPr>
                    </w:pPr>
                    <w:r>
                      <w:rPr>
                        <w:sz w:val="11"/>
                      </w:rPr>
                      <w:t>0.00</w:t>
                    </w:r>
                  </w:p>
                </w:txbxContent>
              </v:textbox>
              <w10:wrap type="none"/>
            </v:shape>
            <v:shape style="position:absolute;left:6595;top:2182;width:239;height:126" type="#_x0000_t202" filled="false" stroked="false">
              <v:textbox inset="0,0,0,0">
                <w:txbxContent>
                  <w:p>
                    <w:pPr>
                      <w:spacing w:line="125" w:lineRule="exact" w:before="0"/>
                      <w:ind w:left="0" w:right="0" w:firstLine="0"/>
                      <w:jc w:val="left"/>
                      <w:rPr>
                        <w:sz w:val="11"/>
                      </w:rPr>
                    </w:pPr>
                    <w:r>
                      <w:rPr>
                        <w:sz w:val="11"/>
                      </w:rPr>
                      <w:t>0.00</w:t>
                    </w:r>
                  </w:p>
                </w:txbxContent>
              </v:textbox>
              <w10:wrap type="none"/>
            </v:shape>
            <v:shape style="position:absolute;left:7704;top:2182;width:239;height:126" type="#_x0000_t202" filled="false" stroked="false">
              <v:textbox inset="0,0,0,0">
                <w:txbxContent>
                  <w:p>
                    <w:pPr>
                      <w:spacing w:line="125" w:lineRule="exact" w:before="0"/>
                      <w:ind w:left="0" w:right="0" w:firstLine="0"/>
                      <w:jc w:val="left"/>
                      <w:rPr>
                        <w:sz w:val="11"/>
                      </w:rPr>
                    </w:pPr>
                    <w:r>
                      <w:rPr>
                        <w:sz w:val="11"/>
                      </w:rPr>
                      <w:t>0.00</w:t>
                    </w:r>
                  </w:p>
                </w:txbxContent>
              </v:textbox>
              <w10:wrap type="none"/>
            </v:shape>
            <v:shape style="position:absolute;left:8812;top:2182;width:239;height:126" type="#_x0000_t202" filled="false" stroked="false">
              <v:textbox inset="0,0,0,0">
                <w:txbxContent>
                  <w:p>
                    <w:pPr>
                      <w:spacing w:line="125" w:lineRule="exact" w:before="0"/>
                      <w:ind w:left="0" w:right="0" w:firstLine="0"/>
                      <w:jc w:val="left"/>
                      <w:rPr>
                        <w:sz w:val="11"/>
                      </w:rPr>
                    </w:pPr>
                    <w:r>
                      <w:rPr>
                        <w:sz w:val="11"/>
                      </w:rPr>
                      <w:t>0.00</w:t>
                    </w:r>
                  </w:p>
                </w:txbxContent>
              </v:textbox>
              <w10:wrap type="none"/>
            </v:shape>
            <v:shape style="position:absolute;left:9921;top:2182;width:239;height:126" type="#_x0000_t202" filled="false" stroked="false">
              <v:textbox inset="0,0,0,0">
                <w:txbxContent>
                  <w:p>
                    <w:pPr>
                      <w:spacing w:line="125" w:lineRule="exact" w:before="0"/>
                      <w:ind w:left="0" w:right="0" w:firstLine="0"/>
                      <w:jc w:val="left"/>
                      <w:rPr>
                        <w:sz w:val="11"/>
                      </w:rPr>
                    </w:pPr>
                    <w:r>
                      <w:rPr>
                        <w:sz w:val="11"/>
                      </w:rPr>
                      <w:t>0.00</w:t>
                    </w:r>
                  </w:p>
                </w:txbxContent>
              </v:textbox>
              <w10:wrap type="none"/>
            </v:shape>
            <v:shape style="position:absolute;left:11030;top:2182;width:239;height:126" type="#_x0000_t202" filled="false" stroked="false">
              <v:textbox inset="0,0,0,0">
                <w:txbxContent>
                  <w:p>
                    <w:pPr>
                      <w:spacing w:line="125" w:lineRule="exact" w:before="0"/>
                      <w:ind w:left="0" w:right="0" w:firstLine="0"/>
                      <w:jc w:val="left"/>
                      <w:rPr>
                        <w:sz w:val="11"/>
                      </w:rPr>
                    </w:pPr>
                    <w:r>
                      <w:rPr>
                        <w:sz w:val="11"/>
                      </w:rPr>
                      <w:t>0.00</w:t>
                    </w:r>
                  </w:p>
                </w:txbxContent>
              </v:textbox>
              <w10:wrap type="none"/>
            </v:shape>
            <v:shape style="position:absolute;left:11635;top:2182;width:276;height:126" type="#_x0000_t202" filled="false" stroked="false">
              <v:textbox inset="0,0,0,0">
                <w:txbxContent>
                  <w:p>
                    <w:pPr>
                      <w:spacing w:line="125" w:lineRule="exact" w:before="0"/>
                      <w:ind w:left="0" w:right="0" w:firstLine="0"/>
                      <w:jc w:val="left"/>
                      <w:rPr>
                        <w:sz w:val="11"/>
                      </w:rPr>
                    </w:pPr>
                    <w:r>
                      <w:rPr>
                        <w:sz w:val="11"/>
                      </w:rPr>
                      <w:t>0.0%</w:t>
                    </w:r>
                  </w:p>
                </w:txbxContent>
              </v:textbox>
              <w10:wrap type="none"/>
            </v:shape>
            <v:shape style="position:absolute;left:4164;top:2564;width:270;height:357" type="#_x0000_t202" filled="false" stroked="false">
              <v:textbox inset="0,0,0,0">
                <w:txbxContent>
                  <w:p>
                    <w:pPr>
                      <w:spacing w:line="125" w:lineRule="exact" w:before="0"/>
                      <w:ind w:left="0" w:right="0" w:firstLine="0"/>
                      <w:jc w:val="left"/>
                      <w:rPr>
                        <w:sz w:val="11"/>
                      </w:rPr>
                    </w:pPr>
                    <w:r>
                      <w:rPr>
                        <w:sz w:val="11"/>
                      </w:rPr>
                      <w:t>8914</w:t>
                    </w:r>
                  </w:p>
                  <w:p>
                    <w:pPr>
                      <w:spacing w:before="104"/>
                      <w:ind w:left="0" w:right="0" w:firstLine="0"/>
                      <w:jc w:val="left"/>
                      <w:rPr>
                        <w:sz w:val="11"/>
                      </w:rPr>
                    </w:pPr>
                    <w:r>
                      <w:rPr>
                        <w:sz w:val="11"/>
                      </w:rPr>
                      <w:t>8919</w:t>
                    </w:r>
                  </w:p>
                </w:txbxContent>
              </v:textbox>
              <w10:wrap type="none"/>
            </v:shape>
            <v:shape style="position:absolute;left:5486;top:2564;width:239;height:587" type="#_x0000_t202" filled="false" stroked="false">
              <v:textbox inset="0,0,0,0">
                <w:txbxContent>
                  <w:p>
                    <w:pPr>
                      <w:spacing w:line="125" w:lineRule="exact" w:before="0"/>
                      <w:ind w:left="0" w:right="0" w:firstLine="0"/>
                      <w:jc w:val="left"/>
                      <w:rPr>
                        <w:sz w:val="11"/>
                      </w:rPr>
                    </w:pPr>
                    <w:r>
                      <w:rPr>
                        <w:sz w:val="11"/>
                      </w:rPr>
                      <w:t>0.00</w:t>
                    </w:r>
                  </w:p>
                  <w:p>
                    <w:pPr>
                      <w:spacing w:before="104"/>
                      <w:ind w:left="0" w:right="0" w:firstLine="0"/>
                      <w:jc w:val="left"/>
                      <w:rPr>
                        <w:sz w:val="11"/>
                      </w:rPr>
                    </w:pPr>
                    <w:r>
                      <w:rPr>
                        <w:sz w:val="11"/>
                      </w:rPr>
                      <w:t>0.00</w:t>
                    </w:r>
                  </w:p>
                  <w:p>
                    <w:pPr>
                      <w:spacing w:before="104"/>
                      <w:ind w:left="0" w:right="0" w:firstLine="0"/>
                      <w:jc w:val="left"/>
                      <w:rPr>
                        <w:sz w:val="11"/>
                      </w:rPr>
                    </w:pPr>
                    <w:r>
                      <w:rPr>
                        <w:sz w:val="11"/>
                      </w:rPr>
                      <w:t>0.00</w:t>
                    </w:r>
                  </w:p>
                </w:txbxContent>
              </v:textbox>
              <w10:wrap type="none"/>
            </v:shape>
            <v:shape style="position:absolute;left:6595;top:2564;width:239;height:587" type="#_x0000_t202" filled="false" stroked="false">
              <v:textbox inset="0,0,0,0">
                <w:txbxContent>
                  <w:p>
                    <w:pPr>
                      <w:spacing w:line="125" w:lineRule="exact" w:before="0"/>
                      <w:ind w:left="0" w:right="0" w:firstLine="0"/>
                      <w:jc w:val="left"/>
                      <w:rPr>
                        <w:sz w:val="11"/>
                      </w:rPr>
                    </w:pPr>
                    <w:r>
                      <w:rPr>
                        <w:sz w:val="11"/>
                      </w:rPr>
                      <w:t>0.00</w:t>
                    </w:r>
                  </w:p>
                  <w:p>
                    <w:pPr>
                      <w:spacing w:before="104"/>
                      <w:ind w:left="0" w:right="0" w:firstLine="0"/>
                      <w:jc w:val="left"/>
                      <w:rPr>
                        <w:sz w:val="11"/>
                      </w:rPr>
                    </w:pPr>
                    <w:r>
                      <w:rPr>
                        <w:sz w:val="11"/>
                      </w:rPr>
                      <w:t>0.00</w:t>
                    </w:r>
                  </w:p>
                  <w:p>
                    <w:pPr>
                      <w:spacing w:before="104"/>
                      <w:ind w:left="0" w:right="0" w:firstLine="0"/>
                      <w:jc w:val="left"/>
                      <w:rPr>
                        <w:sz w:val="11"/>
                      </w:rPr>
                    </w:pPr>
                    <w:r>
                      <w:rPr>
                        <w:sz w:val="11"/>
                      </w:rPr>
                      <w:t>0.00</w:t>
                    </w:r>
                  </w:p>
                </w:txbxContent>
              </v:textbox>
              <w10:wrap type="none"/>
            </v:shape>
            <v:shape style="position:absolute;left:7704;top:2564;width:239;height:587" type="#_x0000_t202" filled="false" stroked="false">
              <v:textbox inset="0,0,0,0">
                <w:txbxContent>
                  <w:p>
                    <w:pPr>
                      <w:spacing w:line="125" w:lineRule="exact" w:before="0"/>
                      <w:ind w:left="0" w:right="0" w:firstLine="0"/>
                      <w:jc w:val="left"/>
                      <w:rPr>
                        <w:sz w:val="11"/>
                      </w:rPr>
                    </w:pPr>
                    <w:r>
                      <w:rPr>
                        <w:sz w:val="11"/>
                      </w:rPr>
                      <w:t>0.00</w:t>
                    </w:r>
                  </w:p>
                  <w:p>
                    <w:pPr>
                      <w:spacing w:before="104"/>
                      <w:ind w:left="0" w:right="0" w:firstLine="0"/>
                      <w:jc w:val="left"/>
                      <w:rPr>
                        <w:sz w:val="11"/>
                      </w:rPr>
                    </w:pPr>
                    <w:r>
                      <w:rPr>
                        <w:sz w:val="11"/>
                      </w:rPr>
                      <w:t>0.00</w:t>
                    </w:r>
                  </w:p>
                  <w:p>
                    <w:pPr>
                      <w:spacing w:before="104"/>
                      <w:ind w:left="0" w:right="0" w:firstLine="0"/>
                      <w:jc w:val="left"/>
                      <w:rPr>
                        <w:sz w:val="11"/>
                      </w:rPr>
                    </w:pPr>
                    <w:r>
                      <w:rPr>
                        <w:sz w:val="11"/>
                      </w:rPr>
                      <w:t>0.00</w:t>
                    </w:r>
                  </w:p>
                </w:txbxContent>
              </v:textbox>
              <w10:wrap type="none"/>
            </v:shape>
            <v:shape style="position:absolute;left:8812;top:2564;width:239;height:587" type="#_x0000_t202" filled="false" stroked="false">
              <v:textbox inset="0,0,0,0">
                <w:txbxContent>
                  <w:p>
                    <w:pPr>
                      <w:spacing w:line="125" w:lineRule="exact" w:before="0"/>
                      <w:ind w:left="0" w:right="0" w:firstLine="0"/>
                      <w:jc w:val="left"/>
                      <w:rPr>
                        <w:sz w:val="11"/>
                      </w:rPr>
                    </w:pPr>
                    <w:r>
                      <w:rPr>
                        <w:sz w:val="11"/>
                      </w:rPr>
                      <w:t>0.00</w:t>
                    </w:r>
                  </w:p>
                  <w:p>
                    <w:pPr>
                      <w:spacing w:before="104"/>
                      <w:ind w:left="0" w:right="0" w:firstLine="0"/>
                      <w:jc w:val="left"/>
                      <w:rPr>
                        <w:sz w:val="11"/>
                      </w:rPr>
                    </w:pPr>
                    <w:r>
                      <w:rPr>
                        <w:sz w:val="11"/>
                      </w:rPr>
                      <w:t>0.00</w:t>
                    </w:r>
                  </w:p>
                  <w:p>
                    <w:pPr>
                      <w:spacing w:before="104"/>
                      <w:ind w:left="0" w:right="0" w:firstLine="0"/>
                      <w:jc w:val="left"/>
                      <w:rPr>
                        <w:sz w:val="11"/>
                      </w:rPr>
                    </w:pPr>
                    <w:r>
                      <w:rPr>
                        <w:sz w:val="11"/>
                      </w:rPr>
                      <w:t>0.00</w:t>
                    </w:r>
                  </w:p>
                </w:txbxContent>
              </v:textbox>
              <w10:wrap type="none"/>
            </v:shape>
            <v:shape style="position:absolute;left:9921;top:2564;width:239;height:587" type="#_x0000_t202" filled="false" stroked="false">
              <v:textbox inset="0,0,0,0">
                <w:txbxContent>
                  <w:p>
                    <w:pPr>
                      <w:spacing w:line="125" w:lineRule="exact" w:before="0"/>
                      <w:ind w:left="0" w:right="0" w:firstLine="0"/>
                      <w:jc w:val="left"/>
                      <w:rPr>
                        <w:sz w:val="11"/>
                      </w:rPr>
                    </w:pPr>
                    <w:r>
                      <w:rPr>
                        <w:sz w:val="11"/>
                      </w:rPr>
                      <w:t>0.00</w:t>
                    </w:r>
                  </w:p>
                  <w:p>
                    <w:pPr>
                      <w:spacing w:before="104"/>
                      <w:ind w:left="0" w:right="0" w:firstLine="0"/>
                      <w:jc w:val="left"/>
                      <w:rPr>
                        <w:sz w:val="11"/>
                      </w:rPr>
                    </w:pPr>
                    <w:r>
                      <w:rPr>
                        <w:sz w:val="11"/>
                      </w:rPr>
                      <w:t>0.00</w:t>
                    </w:r>
                  </w:p>
                  <w:p>
                    <w:pPr>
                      <w:spacing w:before="104"/>
                      <w:ind w:left="0" w:right="0" w:firstLine="0"/>
                      <w:jc w:val="left"/>
                      <w:rPr>
                        <w:sz w:val="11"/>
                      </w:rPr>
                    </w:pPr>
                    <w:r>
                      <w:rPr>
                        <w:sz w:val="11"/>
                      </w:rPr>
                      <w:t>0.00</w:t>
                    </w:r>
                  </w:p>
                </w:txbxContent>
              </v:textbox>
              <w10:wrap type="none"/>
            </v:shape>
            <v:shape style="position:absolute;left:11030;top:2564;width:239;height:587" type="#_x0000_t202" filled="false" stroked="false">
              <v:textbox inset="0,0,0,0">
                <w:txbxContent>
                  <w:p>
                    <w:pPr>
                      <w:spacing w:line="125" w:lineRule="exact" w:before="0"/>
                      <w:ind w:left="0" w:right="0" w:firstLine="0"/>
                      <w:jc w:val="left"/>
                      <w:rPr>
                        <w:sz w:val="11"/>
                      </w:rPr>
                    </w:pPr>
                    <w:r>
                      <w:rPr>
                        <w:sz w:val="11"/>
                      </w:rPr>
                      <w:t>0.00</w:t>
                    </w:r>
                  </w:p>
                  <w:p>
                    <w:pPr>
                      <w:spacing w:before="104"/>
                      <w:ind w:left="0" w:right="0" w:firstLine="0"/>
                      <w:jc w:val="left"/>
                      <w:rPr>
                        <w:sz w:val="11"/>
                      </w:rPr>
                    </w:pPr>
                    <w:r>
                      <w:rPr>
                        <w:sz w:val="11"/>
                      </w:rPr>
                      <w:t>0.00</w:t>
                    </w:r>
                  </w:p>
                  <w:p>
                    <w:pPr>
                      <w:spacing w:before="104"/>
                      <w:ind w:left="0" w:right="0" w:firstLine="0"/>
                      <w:jc w:val="left"/>
                      <w:rPr>
                        <w:sz w:val="11"/>
                      </w:rPr>
                    </w:pPr>
                    <w:r>
                      <w:rPr>
                        <w:sz w:val="11"/>
                      </w:rPr>
                      <w:t>0.00</w:t>
                    </w:r>
                  </w:p>
                </w:txbxContent>
              </v:textbox>
              <w10:wrap type="none"/>
            </v:shape>
            <v:shape style="position:absolute;left:11635;top:2564;width:276;height:587" type="#_x0000_t202" filled="false" stroked="false">
              <v:textbox inset="0,0,0,0">
                <w:txbxContent>
                  <w:p>
                    <w:pPr>
                      <w:spacing w:line="125" w:lineRule="exact" w:before="0"/>
                      <w:ind w:left="0" w:right="0" w:firstLine="0"/>
                      <w:jc w:val="left"/>
                      <w:rPr>
                        <w:sz w:val="11"/>
                      </w:rPr>
                    </w:pPr>
                    <w:r>
                      <w:rPr>
                        <w:sz w:val="11"/>
                      </w:rPr>
                      <w:t>0.0%</w:t>
                    </w:r>
                  </w:p>
                  <w:p>
                    <w:pPr>
                      <w:spacing w:before="104"/>
                      <w:ind w:left="0" w:right="0" w:firstLine="0"/>
                      <w:jc w:val="left"/>
                      <w:rPr>
                        <w:sz w:val="11"/>
                      </w:rPr>
                    </w:pPr>
                    <w:r>
                      <w:rPr>
                        <w:sz w:val="11"/>
                      </w:rPr>
                      <w:t>0.0%</w:t>
                    </w:r>
                  </w:p>
                  <w:p>
                    <w:pPr>
                      <w:spacing w:before="104"/>
                      <w:ind w:left="0" w:right="0" w:firstLine="0"/>
                      <w:jc w:val="left"/>
                      <w:rPr>
                        <w:sz w:val="11"/>
                      </w:rPr>
                    </w:pPr>
                    <w:r>
                      <w:rPr>
                        <w:sz w:val="11"/>
                      </w:rPr>
                      <w:t>0.0%</w:t>
                    </w:r>
                  </w:p>
                </w:txbxContent>
              </v:textbox>
              <w10:wrap type="none"/>
            </v:shape>
            <v:shape style="position:absolute;left:367;top:3301;width:1653;height:126" type="#_x0000_t202" filled="false" stroked="false">
              <v:textbox inset="0,0,0,0">
                <w:txbxContent>
                  <w:p>
                    <w:pPr>
                      <w:spacing w:line="125" w:lineRule="exact" w:before="0"/>
                      <w:ind w:left="0" w:right="0" w:firstLine="0"/>
                      <w:jc w:val="left"/>
                      <w:rPr>
                        <w:b/>
                        <w:sz w:val="11"/>
                      </w:rPr>
                    </w:pPr>
                    <w:r>
                      <w:rPr>
                        <w:b/>
                        <w:sz w:val="11"/>
                      </w:rPr>
                      <w:t>INTERFUND TRANSFERS OUT</w:t>
                    </w:r>
                  </w:p>
                </w:txbxContent>
              </v:textbox>
              <w10:wrap type="none"/>
            </v:shape>
            <v:shape style="position:absolute;left:429;top:6774;width:1448;height:889" type="#_x0000_t202" filled="false" stroked="false">
              <v:textbox inset="0,0,0,0">
                <w:txbxContent>
                  <w:p>
                    <w:pPr>
                      <w:spacing w:line="125" w:lineRule="exact" w:before="0"/>
                      <w:ind w:left="0" w:right="0" w:firstLine="0"/>
                      <w:jc w:val="left"/>
                      <w:rPr>
                        <w:sz w:val="11"/>
                      </w:rPr>
                    </w:pPr>
                    <w:r>
                      <w:rPr>
                        <w:sz w:val="11"/>
                      </w:rPr>
                      <w:t>Other Sources</w:t>
                    </w:r>
                  </w:p>
                  <w:p>
                    <w:pPr>
                      <w:spacing w:line="288" w:lineRule="auto" w:before="104"/>
                      <w:ind w:left="93" w:right="0" w:hanging="32"/>
                      <w:jc w:val="left"/>
                      <w:rPr>
                        <w:sz w:val="11"/>
                      </w:rPr>
                    </w:pPr>
                    <w:r>
                      <w:rPr>
                        <w:sz w:val="11"/>
                      </w:rPr>
                      <w:t>Transfers from Funds of Lapsed/Reorganized</w:t>
                    </w:r>
                    <w:r>
                      <w:rPr>
                        <w:spacing w:val="27"/>
                        <w:sz w:val="11"/>
                      </w:rPr>
                      <w:t> </w:t>
                    </w:r>
                    <w:r>
                      <w:rPr>
                        <w:spacing w:val="-5"/>
                        <w:sz w:val="11"/>
                      </w:rPr>
                      <w:t>LEAs</w:t>
                    </w:r>
                  </w:p>
                  <w:p>
                    <w:pPr>
                      <w:spacing w:line="288" w:lineRule="auto" w:before="78"/>
                      <w:ind w:left="62" w:right="0" w:hanging="63"/>
                      <w:jc w:val="left"/>
                      <w:rPr>
                        <w:sz w:val="11"/>
                      </w:rPr>
                    </w:pPr>
                    <w:r>
                      <w:rPr>
                        <w:sz w:val="11"/>
                      </w:rPr>
                      <w:t>Long-Term Debt Proceeds Proceeds from</w:t>
                    </w:r>
                    <w:r>
                      <w:rPr>
                        <w:spacing w:val="11"/>
                        <w:sz w:val="11"/>
                      </w:rPr>
                      <w:t> </w:t>
                    </w:r>
                    <w:r>
                      <w:rPr>
                        <w:sz w:val="11"/>
                      </w:rPr>
                      <w:t>Certificates</w:t>
                    </w:r>
                  </w:p>
                </w:txbxContent>
              </v:textbox>
              <w10:wrap type="none"/>
            </v:shape>
            <v:shape style="position:absolute;left:4164;top:7155;width:270;height:126" type="#_x0000_t202" filled="false" stroked="false">
              <v:textbox inset="0,0,0,0">
                <w:txbxContent>
                  <w:p>
                    <w:pPr>
                      <w:spacing w:line="125" w:lineRule="exact" w:before="0"/>
                      <w:ind w:left="0" w:right="0" w:firstLine="0"/>
                      <w:jc w:val="left"/>
                      <w:rPr>
                        <w:sz w:val="11"/>
                      </w:rPr>
                    </w:pPr>
                    <w:r>
                      <w:rPr>
                        <w:sz w:val="11"/>
                      </w:rPr>
                      <w:t>8965</w:t>
                    </w:r>
                  </w:p>
                </w:txbxContent>
              </v:textbox>
              <w10:wrap type="none"/>
            </v:shape>
            <v:shape style="position:absolute;left:5486;top:7155;width:239;height:126" type="#_x0000_t202" filled="false" stroked="false">
              <v:textbox inset="0,0,0,0">
                <w:txbxContent>
                  <w:p>
                    <w:pPr>
                      <w:spacing w:line="125" w:lineRule="exact" w:before="0"/>
                      <w:ind w:left="0" w:right="0" w:firstLine="0"/>
                      <w:jc w:val="left"/>
                      <w:rPr>
                        <w:sz w:val="11"/>
                      </w:rPr>
                    </w:pPr>
                    <w:r>
                      <w:rPr>
                        <w:sz w:val="11"/>
                      </w:rPr>
                      <w:t>0.00</w:t>
                    </w:r>
                  </w:p>
                </w:txbxContent>
              </v:textbox>
              <w10:wrap type="none"/>
            </v:shape>
            <v:shape style="position:absolute;left:6595;top:7155;width:239;height:126" type="#_x0000_t202" filled="false" stroked="false">
              <v:textbox inset="0,0,0,0">
                <w:txbxContent>
                  <w:p>
                    <w:pPr>
                      <w:spacing w:line="125" w:lineRule="exact" w:before="0"/>
                      <w:ind w:left="0" w:right="0" w:firstLine="0"/>
                      <w:jc w:val="left"/>
                      <w:rPr>
                        <w:sz w:val="11"/>
                      </w:rPr>
                    </w:pPr>
                    <w:r>
                      <w:rPr>
                        <w:sz w:val="11"/>
                      </w:rPr>
                      <w:t>0.00</w:t>
                    </w:r>
                  </w:p>
                </w:txbxContent>
              </v:textbox>
              <w10:wrap type="none"/>
            </v:shape>
            <v:shape style="position:absolute;left:7704;top:7155;width:239;height:126" type="#_x0000_t202" filled="false" stroked="false">
              <v:textbox inset="0,0,0,0">
                <w:txbxContent>
                  <w:p>
                    <w:pPr>
                      <w:spacing w:line="125" w:lineRule="exact" w:before="0"/>
                      <w:ind w:left="0" w:right="0" w:firstLine="0"/>
                      <w:jc w:val="left"/>
                      <w:rPr>
                        <w:sz w:val="11"/>
                      </w:rPr>
                    </w:pPr>
                    <w:r>
                      <w:rPr>
                        <w:sz w:val="11"/>
                      </w:rPr>
                      <w:t>0.00</w:t>
                    </w:r>
                  </w:p>
                </w:txbxContent>
              </v:textbox>
              <w10:wrap type="none"/>
            </v:shape>
            <v:shape style="position:absolute;left:8812;top:7155;width:239;height:126" type="#_x0000_t202" filled="false" stroked="false">
              <v:textbox inset="0,0,0,0">
                <w:txbxContent>
                  <w:p>
                    <w:pPr>
                      <w:spacing w:line="125" w:lineRule="exact" w:before="0"/>
                      <w:ind w:left="0" w:right="0" w:firstLine="0"/>
                      <w:jc w:val="left"/>
                      <w:rPr>
                        <w:sz w:val="11"/>
                      </w:rPr>
                    </w:pPr>
                    <w:r>
                      <w:rPr>
                        <w:sz w:val="11"/>
                      </w:rPr>
                      <w:t>0.00</w:t>
                    </w:r>
                  </w:p>
                </w:txbxContent>
              </v:textbox>
              <w10:wrap type="none"/>
            </v:shape>
            <v:shape style="position:absolute;left:9921;top:7155;width:239;height:126" type="#_x0000_t202" filled="false" stroked="false">
              <v:textbox inset="0,0,0,0">
                <w:txbxContent>
                  <w:p>
                    <w:pPr>
                      <w:spacing w:line="125" w:lineRule="exact" w:before="0"/>
                      <w:ind w:left="0" w:right="0" w:firstLine="0"/>
                      <w:jc w:val="left"/>
                      <w:rPr>
                        <w:sz w:val="11"/>
                      </w:rPr>
                    </w:pPr>
                    <w:r>
                      <w:rPr>
                        <w:sz w:val="11"/>
                      </w:rPr>
                      <w:t>0.00</w:t>
                    </w:r>
                  </w:p>
                </w:txbxContent>
              </v:textbox>
              <w10:wrap type="none"/>
            </v:shape>
            <v:shape style="position:absolute;left:11030;top:7155;width:239;height:126" type="#_x0000_t202" filled="false" stroked="false">
              <v:textbox inset="0,0,0,0">
                <w:txbxContent>
                  <w:p>
                    <w:pPr>
                      <w:spacing w:line="125" w:lineRule="exact" w:before="0"/>
                      <w:ind w:left="0" w:right="0" w:firstLine="0"/>
                      <w:jc w:val="left"/>
                      <w:rPr>
                        <w:sz w:val="11"/>
                      </w:rPr>
                    </w:pPr>
                    <w:r>
                      <w:rPr>
                        <w:sz w:val="11"/>
                      </w:rPr>
                      <w:t>0.00</w:t>
                    </w:r>
                  </w:p>
                </w:txbxContent>
              </v:textbox>
              <w10:wrap type="none"/>
            </v:shape>
            <v:shape style="position:absolute;left:11635;top:7155;width:276;height:126" type="#_x0000_t202" filled="false" stroked="false">
              <v:textbox inset="0,0,0,0">
                <w:txbxContent>
                  <w:p>
                    <w:pPr>
                      <w:spacing w:line="125" w:lineRule="exact" w:before="0"/>
                      <w:ind w:left="0" w:right="0" w:firstLine="0"/>
                      <w:jc w:val="left"/>
                      <w:rPr>
                        <w:sz w:val="11"/>
                      </w:rPr>
                    </w:pPr>
                    <w:r>
                      <w:rPr>
                        <w:sz w:val="11"/>
                      </w:rPr>
                      <w:t>0.0%</w:t>
                    </w:r>
                  </w:p>
                </w:txbxContent>
              </v:textbox>
              <w10:wrap type="none"/>
            </v:shape>
            <w10:wrap type="none"/>
          </v:group>
        </w:pict>
      </w:r>
      <w:r>
        <w:rPr/>
        <w:pict>
          <v:group style="position:absolute;margin-left:14.280001pt;margin-top:390.720032pt;width:581.3pt;height:174.75pt;mso-position-horizontal-relative:page;mso-position-vertical-relative:page;z-index:-314570752" coordorigin="286,7814" coordsize="11626,3495">
            <v:shape style="position:absolute;left:4648;top:7814;width:7263;height:464" type="#_x0000_t75" stroked="false">
              <v:imagedata r:id="rId330" o:title=""/>
            </v:shape>
            <v:shape style="position:absolute;left:4648;top:8044;width:7263;height:464" type="#_x0000_t75" stroked="false">
              <v:imagedata r:id="rId331" o:title=""/>
            </v:shape>
            <v:shape style="position:absolute;left:2824;top:8275;width:9087;height:1143" type="#_x0000_t75" stroked="false">
              <v:imagedata r:id="rId332" o:title=""/>
            </v:shape>
            <v:shape style="position:absolute;left:4648;top:9264;width:7263;height:384" type="#_x0000_t75" stroked="false">
              <v:imagedata r:id="rId290" o:title=""/>
            </v:shape>
            <v:shape style="position:absolute;left:285;top:8736;width:2542;height:1143" type="#_x0000_t75" stroked="false">
              <v:imagedata r:id="rId333" o:title=""/>
            </v:shape>
            <v:shape style="position:absolute;left:2824;top:9415;width:9087;height:464" type="#_x0000_t75" stroked="false">
              <v:imagedata r:id="rId334" o:title=""/>
            </v:shape>
            <v:shape style="position:absolute;left:5757;top:9645;width:6154;height:752" type="#_x0000_t75" stroked="false">
              <v:imagedata r:id="rId335" o:title=""/>
            </v:shape>
            <v:shape style="position:absolute;left:285;top:9876;width:2542;height:982" type="#_x0000_t75" stroked="false">
              <v:imagedata r:id="rId336" o:title=""/>
            </v:shape>
            <v:shape style="position:absolute;left:4648;top:9876;width:7263;height:752" type="#_x0000_t75" stroked="false">
              <v:imagedata r:id="rId337" o:title=""/>
            </v:shape>
            <v:shape style="position:absolute;left:2824;top:10394;width:9087;height:915" type="#_x0000_t75" stroked="false">
              <v:imagedata r:id="rId338" o:title=""/>
            </v:shape>
            <v:shape style="position:absolute;left:285;top:10855;width:2542;height:454" type="#_x0000_t75" stroked="false">
              <v:imagedata r:id="rId339" o:title=""/>
            </v:shape>
            <v:shape style="position:absolute;left:5757;top:11152;width:6154;height:156" type="#_x0000_t75" stroked="false">
              <v:imagedata r:id="rId340" o:titl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1"/>
        </w:rPr>
      </w:pPr>
    </w:p>
    <w:tbl>
      <w:tblPr>
        <w:tblW w:w="0" w:type="auto"/>
        <w:jc w:val="left"/>
        <w:tblInd w:w="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59"/>
        <w:gridCol w:w="814"/>
        <w:gridCol w:w="810"/>
        <w:gridCol w:w="1109"/>
        <w:gridCol w:w="1499"/>
        <w:gridCol w:w="719"/>
        <w:gridCol w:w="1109"/>
        <w:gridCol w:w="1247"/>
        <w:gridCol w:w="477"/>
      </w:tblGrid>
      <w:tr>
        <w:trPr>
          <w:trHeight w:val="178" w:hRule="atLeast"/>
        </w:trPr>
        <w:tc>
          <w:tcPr>
            <w:tcW w:w="3859" w:type="dxa"/>
          </w:tcPr>
          <w:p>
            <w:pPr>
              <w:pStyle w:val="TableParagraph"/>
              <w:spacing w:line="125" w:lineRule="exact"/>
              <w:ind w:left="152"/>
              <w:rPr>
                <w:sz w:val="11"/>
              </w:rPr>
            </w:pPr>
            <w:r>
              <w:rPr>
                <w:sz w:val="11"/>
              </w:rPr>
              <w:t>To: Child Development Fund</w:t>
            </w:r>
          </w:p>
        </w:tc>
        <w:tc>
          <w:tcPr>
            <w:tcW w:w="814" w:type="dxa"/>
          </w:tcPr>
          <w:p>
            <w:pPr>
              <w:pStyle w:val="TableParagraph"/>
              <w:spacing w:line="125" w:lineRule="exact"/>
              <w:ind w:left="28"/>
              <w:rPr>
                <w:sz w:val="11"/>
              </w:rPr>
            </w:pPr>
            <w:r>
              <w:rPr>
                <w:sz w:val="11"/>
              </w:rPr>
              <w:t>7611</w:t>
            </w:r>
          </w:p>
        </w:tc>
        <w:tc>
          <w:tcPr>
            <w:tcW w:w="810" w:type="dxa"/>
          </w:tcPr>
          <w:p>
            <w:pPr>
              <w:pStyle w:val="TableParagraph"/>
              <w:spacing w:line="125" w:lineRule="exact"/>
              <w:ind w:right="52"/>
              <w:jc w:val="right"/>
              <w:rPr>
                <w:sz w:val="11"/>
              </w:rPr>
            </w:pPr>
            <w:r>
              <w:rPr>
                <w:sz w:val="11"/>
              </w:rPr>
              <w:t>0.00</w:t>
            </w:r>
          </w:p>
        </w:tc>
        <w:tc>
          <w:tcPr>
            <w:tcW w:w="1109" w:type="dxa"/>
          </w:tcPr>
          <w:p>
            <w:pPr>
              <w:pStyle w:val="TableParagraph"/>
              <w:spacing w:line="125" w:lineRule="exact"/>
              <w:ind w:right="53"/>
              <w:jc w:val="right"/>
              <w:rPr>
                <w:sz w:val="11"/>
              </w:rPr>
            </w:pPr>
            <w:r>
              <w:rPr>
                <w:sz w:val="11"/>
              </w:rPr>
              <w:t>0.00</w:t>
            </w:r>
          </w:p>
        </w:tc>
        <w:tc>
          <w:tcPr>
            <w:tcW w:w="1499" w:type="dxa"/>
          </w:tcPr>
          <w:p>
            <w:pPr>
              <w:pStyle w:val="TableParagraph"/>
              <w:spacing w:line="125" w:lineRule="exact"/>
              <w:ind w:right="443"/>
              <w:jc w:val="right"/>
              <w:rPr>
                <w:sz w:val="11"/>
              </w:rPr>
            </w:pPr>
            <w:r>
              <w:rPr>
                <w:sz w:val="11"/>
              </w:rPr>
              <w:t>0.00</w:t>
            </w:r>
          </w:p>
        </w:tc>
        <w:tc>
          <w:tcPr>
            <w:tcW w:w="719" w:type="dxa"/>
          </w:tcPr>
          <w:p>
            <w:pPr>
              <w:pStyle w:val="TableParagraph"/>
              <w:spacing w:line="125" w:lineRule="exact"/>
              <w:ind w:right="53"/>
              <w:jc w:val="right"/>
              <w:rPr>
                <w:sz w:val="11"/>
              </w:rPr>
            </w:pPr>
            <w:r>
              <w:rPr>
                <w:sz w:val="11"/>
              </w:rPr>
              <w:t>0.00</w:t>
            </w:r>
          </w:p>
        </w:tc>
        <w:tc>
          <w:tcPr>
            <w:tcW w:w="1109" w:type="dxa"/>
          </w:tcPr>
          <w:p>
            <w:pPr>
              <w:pStyle w:val="TableParagraph"/>
              <w:spacing w:line="125" w:lineRule="exact"/>
              <w:ind w:right="53"/>
              <w:jc w:val="right"/>
              <w:rPr>
                <w:sz w:val="11"/>
              </w:rPr>
            </w:pPr>
            <w:r>
              <w:rPr>
                <w:sz w:val="11"/>
              </w:rPr>
              <w:t>0.00</w:t>
            </w:r>
          </w:p>
        </w:tc>
        <w:tc>
          <w:tcPr>
            <w:tcW w:w="1247" w:type="dxa"/>
          </w:tcPr>
          <w:p>
            <w:pPr>
              <w:pStyle w:val="TableParagraph"/>
              <w:spacing w:line="125" w:lineRule="exact"/>
              <w:ind w:right="191"/>
              <w:jc w:val="right"/>
              <w:rPr>
                <w:sz w:val="11"/>
              </w:rPr>
            </w:pPr>
            <w:r>
              <w:rPr>
                <w:sz w:val="11"/>
              </w:rPr>
              <w:t>0.00</w:t>
            </w:r>
          </w:p>
        </w:tc>
        <w:tc>
          <w:tcPr>
            <w:tcW w:w="477" w:type="dxa"/>
          </w:tcPr>
          <w:p>
            <w:pPr>
              <w:pStyle w:val="TableParagraph"/>
              <w:spacing w:line="125" w:lineRule="exact"/>
              <w:ind w:right="26"/>
              <w:jc w:val="right"/>
              <w:rPr>
                <w:sz w:val="11"/>
              </w:rPr>
            </w:pPr>
            <w:r>
              <w:rPr>
                <w:sz w:val="11"/>
              </w:rPr>
              <w:t>0.0%</w:t>
            </w:r>
          </w:p>
        </w:tc>
      </w:tr>
      <w:tr>
        <w:trPr>
          <w:trHeight w:val="230" w:hRule="atLeast"/>
        </w:trPr>
        <w:tc>
          <w:tcPr>
            <w:tcW w:w="3859" w:type="dxa"/>
          </w:tcPr>
          <w:p>
            <w:pPr>
              <w:pStyle w:val="TableParagraph"/>
              <w:spacing w:before="51"/>
              <w:ind w:left="152"/>
              <w:rPr>
                <w:sz w:val="11"/>
              </w:rPr>
            </w:pPr>
            <w:r>
              <w:rPr>
                <w:sz w:val="11"/>
              </w:rPr>
              <w:t>To: Special Reserve Fund</w:t>
            </w:r>
          </w:p>
        </w:tc>
        <w:tc>
          <w:tcPr>
            <w:tcW w:w="814" w:type="dxa"/>
          </w:tcPr>
          <w:p>
            <w:pPr>
              <w:pStyle w:val="TableParagraph"/>
              <w:spacing w:before="51"/>
              <w:ind w:left="28"/>
              <w:rPr>
                <w:sz w:val="11"/>
              </w:rPr>
            </w:pPr>
            <w:r>
              <w:rPr>
                <w:sz w:val="11"/>
              </w:rPr>
              <w:t>7612</w:t>
            </w:r>
          </w:p>
        </w:tc>
        <w:tc>
          <w:tcPr>
            <w:tcW w:w="810" w:type="dxa"/>
          </w:tcPr>
          <w:p>
            <w:pPr>
              <w:pStyle w:val="TableParagraph"/>
              <w:spacing w:before="51"/>
              <w:ind w:right="52"/>
              <w:jc w:val="right"/>
              <w:rPr>
                <w:sz w:val="11"/>
              </w:rPr>
            </w:pPr>
            <w:r>
              <w:rPr>
                <w:sz w:val="11"/>
              </w:rPr>
              <w:t>0.00</w:t>
            </w:r>
          </w:p>
        </w:tc>
        <w:tc>
          <w:tcPr>
            <w:tcW w:w="1109" w:type="dxa"/>
          </w:tcPr>
          <w:p>
            <w:pPr>
              <w:pStyle w:val="TableParagraph"/>
              <w:spacing w:before="51"/>
              <w:ind w:right="53"/>
              <w:jc w:val="right"/>
              <w:rPr>
                <w:sz w:val="11"/>
              </w:rPr>
            </w:pPr>
            <w:r>
              <w:rPr>
                <w:sz w:val="11"/>
              </w:rPr>
              <w:t>0.00</w:t>
            </w:r>
          </w:p>
        </w:tc>
        <w:tc>
          <w:tcPr>
            <w:tcW w:w="1499" w:type="dxa"/>
          </w:tcPr>
          <w:p>
            <w:pPr>
              <w:pStyle w:val="TableParagraph"/>
              <w:spacing w:before="51"/>
              <w:ind w:right="443"/>
              <w:jc w:val="right"/>
              <w:rPr>
                <w:sz w:val="11"/>
              </w:rPr>
            </w:pPr>
            <w:r>
              <w:rPr>
                <w:sz w:val="11"/>
              </w:rPr>
              <w:t>0.00</w:t>
            </w:r>
          </w:p>
        </w:tc>
        <w:tc>
          <w:tcPr>
            <w:tcW w:w="719" w:type="dxa"/>
          </w:tcPr>
          <w:p>
            <w:pPr>
              <w:pStyle w:val="TableParagraph"/>
              <w:spacing w:before="51"/>
              <w:ind w:right="53"/>
              <w:jc w:val="right"/>
              <w:rPr>
                <w:sz w:val="11"/>
              </w:rPr>
            </w:pPr>
            <w:r>
              <w:rPr>
                <w:sz w:val="11"/>
              </w:rPr>
              <w:t>0.00</w:t>
            </w:r>
          </w:p>
        </w:tc>
        <w:tc>
          <w:tcPr>
            <w:tcW w:w="1109" w:type="dxa"/>
          </w:tcPr>
          <w:p>
            <w:pPr>
              <w:pStyle w:val="TableParagraph"/>
              <w:spacing w:before="51"/>
              <w:ind w:right="53"/>
              <w:jc w:val="right"/>
              <w:rPr>
                <w:sz w:val="11"/>
              </w:rPr>
            </w:pPr>
            <w:r>
              <w:rPr>
                <w:sz w:val="11"/>
              </w:rPr>
              <w:t>0.00</w:t>
            </w:r>
          </w:p>
        </w:tc>
        <w:tc>
          <w:tcPr>
            <w:tcW w:w="1247" w:type="dxa"/>
          </w:tcPr>
          <w:p>
            <w:pPr>
              <w:pStyle w:val="TableParagraph"/>
              <w:spacing w:before="51"/>
              <w:ind w:right="191"/>
              <w:jc w:val="right"/>
              <w:rPr>
                <w:sz w:val="11"/>
              </w:rPr>
            </w:pPr>
            <w:r>
              <w:rPr>
                <w:sz w:val="11"/>
              </w:rPr>
              <w:t>0.00</w:t>
            </w:r>
          </w:p>
        </w:tc>
        <w:tc>
          <w:tcPr>
            <w:tcW w:w="477" w:type="dxa"/>
          </w:tcPr>
          <w:p>
            <w:pPr>
              <w:pStyle w:val="TableParagraph"/>
              <w:spacing w:before="51"/>
              <w:ind w:right="26"/>
              <w:jc w:val="right"/>
              <w:rPr>
                <w:sz w:val="11"/>
              </w:rPr>
            </w:pPr>
            <w:r>
              <w:rPr>
                <w:sz w:val="11"/>
              </w:rPr>
              <w:t>0.0%</w:t>
            </w:r>
          </w:p>
        </w:tc>
      </w:tr>
      <w:tr>
        <w:trPr>
          <w:trHeight w:val="381" w:hRule="atLeast"/>
        </w:trPr>
        <w:tc>
          <w:tcPr>
            <w:tcW w:w="3859" w:type="dxa"/>
          </w:tcPr>
          <w:p>
            <w:pPr>
              <w:pStyle w:val="TableParagraph"/>
              <w:spacing w:line="288" w:lineRule="auto" w:before="51"/>
              <w:ind w:left="183" w:right="1832" w:hanging="32"/>
              <w:rPr>
                <w:sz w:val="11"/>
              </w:rPr>
            </w:pPr>
            <w:r>
              <w:rPr>
                <w:sz w:val="11"/>
              </w:rPr>
              <w:t>To: State School Building Fund/ County School Facilities Fund</w:t>
            </w:r>
          </w:p>
        </w:tc>
        <w:tc>
          <w:tcPr>
            <w:tcW w:w="814" w:type="dxa"/>
          </w:tcPr>
          <w:p>
            <w:pPr>
              <w:pStyle w:val="TableParagraph"/>
              <w:spacing w:before="6"/>
              <w:rPr>
                <w:sz w:val="17"/>
              </w:rPr>
            </w:pPr>
          </w:p>
          <w:p>
            <w:pPr>
              <w:pStyle w:val="TableParagraph"/>
              <w:ind w:left="28"/>
              <w:rPr>
                <w:sz w:val="11"/>
              </w:rPr>
            </w:pPr>
            <w:r>
              <w:rPr>
                <w:sz w:val="11"/>
              </w:rPr>
              <w:t>7613</w:t>
            </w:r>
          </w:p>
        </w:tc>
        <w:tc>
          <w:tcPr>
            <w:tcW w:w="810" w:type="dxa"/>
          </w:tcPr>
          <w:p>
            <w:pPr>
              <w:pStyle w:val="TableParagraph"/>
              <w:spacing w:before="6"/>
              <w:rPr>
                <w:sz w:val="17"/>
              </w:rPr>
            </w:pPr>
          </w:p>
          <w:p>
            <w:pPr>
              <w:pStyle w:val="TableParagraph"/>
              <w:ind w:right="52"/>
              <w:jc w:val="right"/>
              <w:rPr>
                <w:sz w:val="11"/>
              </w:rPr>
            </w:pPr>
            <w:r>
              <w:rPr>
                <w:sz w:val="11"/>
              </w:rPr>
              <w:t>0.00</w:t>
            </w:r>
          </w:p>
        </w:tc>
        <w:tc>
          <w:tcPr>
            <w:tcW w:w="1109" w:type="dxa"/>
          </w:tcPr>
          <w:p>
            <w:pPr>
              <w:pStyle w:val="TableParagraph"/>
              <w:spacing w:before="6"/>
              <w:rPr>
                <w:sz w:val="17"/>
              </w:rPr>
            </w:pPr>
          </w:p>
          <w:p>
            <w:pPr>
              <w:pStyle w:val="TableParagraph"/>
              <w:ind w:right="53"/>
              <w:jc w:val="right"/>
              <w:rPr>
                <w:sz w:val="11"/>
              </w:rPr>
            </w:pPr>
            <w:r>
              <w:rPr>
                <w:sz w:val="11"/>
              </w:rPr>
              <w:t>0.00</w:t>
            </w:r>
          </w:p>
        </w:tc>
        <w:tc>
          <w:tcPr>
            <w:tcW w:w="1499" w:type="dxa"/>
          </w:tcPr>
          <w:p>
            <w:pPr>
              <w:pStyle w:val="TableParagraph"/>
              <w:spacing w:before="6"/>
              <w:rPr>
                <w:sz w:val="17"/>
              </w:rPr>
            </w:pPr>
          </w:p>
          <w:p>
            <w:pPr>
              <w:pStyle w:val="TableParagraph"/>
              <w:ind w:right="443"/>
              <w:jc w:val="right"/>
              <w:rPr>
                <w:sz w:val="11"/>
              </w:rPr>
            </w:pPr>
            <w:r>
              <w:rPr>
                <w:sz w:val="11"/>
              </w:rPr>
              <w:t>0.00</w:t>
            </w:r>
          </w:p>
        </w:tc>
        <w:tc>
          <w:tcPr>
            <w:tcW w:w="719" w:type="dxa"/>
          </w:tcPr>
          <w:p>
            <w:pPr>
              <w:pStyle w:val="TableParagraph"/>
              <w:spacing w:before="6"/>
              <w:rPr>
                <w:sz w:val="17"/>
              </w:rPr>
            </w:pPr>
          </w:p>
          <w:p>
            <w:pPr>
              <w:pStyle w:val="TableParagraph"/>
              <w:ind w:right="53"/>
              <w:jc w:val="right"/>
              <w:rPr>
                <w:sz w:val="11"/>
              </w:rPr>
            </w:pPr>
            <w:r>
              <w:rPr>
                <w:sz w:val="11"/>
              </w:rPr>
              <w:t>0.00</w:t>
            </w:r>
          </w:p>
        </w:tc>
        <w:tc>
          <w:tcPr>
            <w:tcW w:w="1109" w:type="dxa"/>
          </w:tcPr>
          <w:p>
            <w:pPr>
              <w:pStyle w:val="TableParagraph"/>
              <w:spacing w:before="6"/>
              <w:rPr>
                <w:sz w:val="17"/>
              </w:rPr>
            </w:pPr>
          </w:p>
          <w:p>
            <w:pPr>
              <w:pStyle w:val="TableParagraph"/>
              <w:ind w:right="53"/>
              <w:jc w:val="right"/>
              <w:rPr>
                <w:sz w:val="11"/>
              </w:rPr>
            </w:pPr>
            <w:r>
              <w:rPr>
                <w:sz w:val="11"/>
              </w:rPr>
              <w:t>0.00</w:t>
            </w:r>
          </w:p>
        </w:tc>
        <w:tc>
          <w:tcPr>
            <w:tcW w:w="1247" w:type="dxa"/>
          </w:tcPr>
          <w:p>
            <w:pPr>
              <w:pStyle w:val="TableParagraph"/>
              <w:spacing w:before="6"/>
              <w:rPr>
                <w:sz w:val="17"/>
              </w:rPr>
            </w:pPr>
          </w:p>
          <w:p>
            <w:pPr>
              <w:pStyle w:val="TableParagraph"/>
              <w:ind w:right="191"/>
              <w:jc w:val="right"/>
              <w:rPr>
                <w:sz w:val="11"/>
              </w:rPr>
            </w:pPr>
            <w:r>
              <w:rPr>
                <w:sz w:val="11"/>
              </w:rPr>
              <w:t>0.00</w:t>
            </w:r>
          </w:p>
        </w:tc>
        <w:tc>
          <w:tcPr>
            <w:tcW w:w="477" w:type="dxa"/>
          </w:tcPr>
          <w:p>
            <w:pPr>
              <w:pStyle w:val="TableParagraph"/>
              <w:spacing w:before="6"/>
              <w:rPr>
                <w:sz w:val="17"/>
              </w:rPr>
            </w:pPr>
          </w:p>
          <w:p>
            <w:pPr>
              <w:pStyle w:val="TableParagraph"/>
              <w:ind w:right="26"/>
              <w:jc w:val="right"/>
              <w:rPr>
                <w:sz w:val="11"/>
              </w:rPr>
            </w:pPr>
            <w:r>
              <w:rPr>
                <w:sz w:val="11"/>
              </w:rPr>
              <w:t>0.0%</w:t>
            </w:r>
          </w:p>
        </w:tc>
      </w:tr>
      <w:tr>
        <w:trPr>
          <w:trHeight w:val="230" w:hRule="atLeast"/>
        </w:trPr>
        <w:tc>
          <w:tcPr>
            <w:tcW w:w="3859" w:type="dxa"/>
          </w:tcPr>
          <w:p>
            <w:pPr>
              <w:pStyle w:val="TableParagraph"/>
              <w:spacing w:before="51"/>
              <w:ind w:left="152"/>
              <w:rPr>
                <w:sz w:val="11"/>
              </w:rPr>
            </w:pPr>
            <w:r>
              <w:rPr>
                <w:sz w:val="11"/>
              </w:rPr>
              <w:t>To: Cafeteria Fund</w:t>
            </w:r>
          </w:p>
        </w:tc>
        <w:tc>
          <w:tcPr>
            <w:tcW w:w="814" w:type="dxa"/>
          </w:tcPr>
          <w:p>
            <w:pPr>
              <w:pStyle w:val="TableParagraph"/>
              <w:spacing w:before="51"/>
              <w:ind w:left="28"/>
              <w:rPr>
                <w:sz w:val="11"/>
              </w:rPr>
            </w:pPr>
            <w:r>
              <w:rPr>
                <w:sz w:val="11"/>
              </w:rPr>
              <w:t>7616</w:t>
            </w:r>
          </w:p>
        </w:tc>
        <w:tc>
          <w:tcPr>
            <w:tcW w:w="810" w:type="dxa"/>
          </w:tcPr>
          <w:p>
            <w:pPr>
              <w:pStyle w:val="TableParagraph"/>
              <w:spacing w:before="51"/>
              <w:ind w:right="52"/>
              <w:jc w:val="right"/>
              <w:rPr>
                <w:sz w:val="11"/>
              </w:rPr>
            </w:pPr>
            <w:r>
              <w:rPr>
                <w:sz w:val="11"/>
              </w:rPr>
              <w:t>0.00</w:t>
            </w:r>
          </w:p>
        </w:tc>
        <w:tc>
          <w:tcPr>
            <w:tcW w:w="1109" w:type="dxa"/>
          </w:tcPr>
          <w:p>
            <w:pPr>
              <w:pStyle w:val="TableParagraph"/>
              <w:spacing w:before="51"/>
              <w:ind w:right="53"/>
              <w:jc w:val="right"/>
              <w:rPr>
                <w:sz w:val="11"/>
              </w:rPr>
            </w:pPr>
            <w:r>
              <w:rPr>
                <w:sz w:val="11"/>
              </w:rPr>
              <w:t>0.00</w:t>
            </w:r>
          </w:p>
        </w:tc>
        <w:tc>
          <w:tcPr>
            <w:tcW w:w="1499" w:type="dxa"/>
          </w:tcPr>
          <w:p>
            <w:pPr>
              <w:pStyle w:val="TableParagraph"/>
              <w:spacing w:before="51"/>
              <w:ind w:right="443"/>
              <w:jc w:val="right"/>
              <w:rPr>
                <w:sz w:val="11"/>
              </w:rPr>
            </w:pPr>
            <w:r>
              <w:rPr>
                <w:sz w:val="11"/>
              </w:rPr>
              <w:t>0.00</w:t>
            </w:r>
          </w:p>
        </w:tc>
        <w:tc>
          <w:tcPr>
            <w:tcW w:w="719" w:type="dxa"/>
          </w:tcPr>
          <w:p>
            <w:pPr>
              <w:pStyle w:val="TableParagraph"/>
              <w:spacing w:before="51"/>
              <w:ind w:right="53"/>
              <w:jc w:val="right"/>
              <w:rPr>
                <w:sz w:val="11"/>
              </w:rPr>
            </w:pPr>
            <w:r>
              <w:rPr>
                <w:sz w:val="11"/>
              </w:rPr>
              <w:t>0.00</w:t>
            </w:r>
          </w:p>
        </w:tc>
        <w:tc>
          <w:tcPr>
            <w:tcW w:w="1109" w:type="dxa"/>
          </w:tcPr>
          <w:p>
            <w:pPr>
              <w:pStyle w:val="TableParagraph"/>
              <w:spacing w:before="51"/>
              <w:ind w:right="53"/>
              <w:jc w:val="right"/>
              <w:rPr>
                <w:sz w:val="11"/>
              </w:rPr>
            </w:pPr>
            <w:r>
              <w:rPr>
                <w:sz w:val="11"/>
              </w:rPr>
              <w:t>0.00</w:t>
            </w:r>
          </w:p>
        </w:tc>
        <w:tc>
          <w:tcPr>
            <w:tcW w:w="1247" w:type="dxa"/>
          </w:tcPr>
          <w:p>
            <w:pPr>
              <w:pStyle w:val="TableParagraph"/>
              <w:spacing w:before="51"/>
              <w:ind w:right="191"/>
              <w:jc w:val="right"/>
              <w:rPr>
                <w:sz w:val="11"/>
              </w:rPr>
            </w:pPr>
            <w:r>
              <w:rPr>
                <w:sz w:val="11"/>
              </w:rPr>
              <w:t>0.00</w:t>
            </w:r>
          </w:p>
        </w:tc>
        <w:tc>
          <w:tcPr>
            <w:tcW w:w="477" w:type="dxa"/>
          </w:tcPr>
          <w:p>
            <w:pPr>
              <w:pStyle w:val="TableParagraph"/>
              <w:spacing w:before="51"/>
              <w:ind w:right="26"/>
              <w:jc w:val="right"/>
              <w:rPr>
                <w:sz w:val="11"/>
              </w:rPr>
            </w:pPr>
            <w:r>
              <w:rPr>
                <w:sz w:val="11"/>
              </w:rPr>
              <w:t>0.0%</w:t>
            </w:r>
          </w:p>
        </w:tc>
      </w:tr>
      <w:tr>
        <w:trPr>
          <w:trHeight w:val="230" w:hRule="atLeast"/>
        </w:trPr>
        <w:tc>
          <w:tcPr>
            <w:tcW w:w="3859" w:type="dxa"/>
          </w:tcPr>
          <w:p>
            <w:pPr>
              <w:pStyle w:val="TableParagraph"/>
              <w:spacing w:before="51"/>
              <w:ind w:left="152"/>
              <w:rPr>
                <w:sz w:val="11"/>
              </w:rPr>
            </w:pPr>
            <w:r>
              <w:rPr>
                <w:sz w:val="11"/>
              </w:rPr>
              <w:t>Other Authorized Interfund Transfers Out</w:t>
            </w:r>
          </w:p>
        </w:tc>
        <w:tc>
          <w:tcPr>
            <w:tcW w:w="814" w:type="dxa"/>
          </w:tcPr>
          <w:p>
            <w:pPr>
              <w:pStyle w:val="TableParagraph"/>
              <w:spacing w:before="51"/>
              <w:ind w:left="28"/>
              <w:rPr>
                <w:sz w:val="11"/>
              </w:rPr>
            </w:pPr>
            <w:r>
              <w:rPr>
                <w:sz w:val="11"/>
              </w:rPr>
              <w:t>7619</w:t>
            </w:r>
          </w:p>
        </w:tc>
        <w:tc>
          <w:tcPr>
            <w:tcW w:w="810" w:type="dxa"/>
          </w:tcPr>
          <w:p>
            <w:pPr>
              <w:pStyle w:val="TableParagraph"/>
              <w:spacing w:before="51"/>
              <w:ind w:right="52"/>
              <w:jc w:val="right"/>
              <w:rPr>
                <w:sz w:val="11"/>
              </w:rPr>
            </w:pPr>
            <w:r>
              <w:rPr>
                <w:sz w:val="11"/>
              </w:rPr>
              <w:t>0.00</w:t>
            </w:r>
          </w:p>
        </w:tc>
        <w:tc>
          <w:tcPr>
            <w:tcW w:w="1109" w:type="dxa"/>
          </w:tcPr>
          <w:p>
            <w:pPr>
              <w:pStyle w:val="TableParagraph"/>
              <w:spacing w:before="51"/>
              <w:ind w:right="53"/>
              <w:jc w:val="right"/>
              <w:rPr>
                <w:sz w:val="11"/>
              </w:rPr>
            </w:pPr>
            <w:r>
              <w:rPr>
                <w:sz w:val="11"/>
              </w:rPr>
              <w:t>0.00</w:t>
            </w:r>
          </w:p>
        </w:tc>
        <w:tc>
          <w:tcPr>
            <w:tcW w:w="1499" w:type="dxa"/>
          </w:tcPr>
          <w:p>
            <w:pPr>
              <w:pStyle w:val="TableParagraph"/>
              <w:spacing w:before="51"/>
              <w:ind w:right="443"/>
              <w:jc w:val="right"/>
              <w:rPr>
                <w:sz w:val="11"/>
              </w:rPr>
            </w:pPr>
            <w:r>
              <w:rPr>
                <w:sz w:val="11"/>
              </w:rPr>
              <w:t>0.00</w:t>
            </w:r>
          </w:p>
        </w:tc>
        <w:tc>
          <w:tcPr>
            <w:tcW w:w="719" w:type="dxa"/>
          </w:tcPr>
          <w:p>
            <w:pPr>
              <w:pStyle w:val="TableParagraph"/>
              <w:spacing w:before="51"/>
              <w:ind w:right="53"/>
              <w:jc w:val="right"/>
              <w:rPr>
                <w:sz w:val="11"/>
              </w:rPr>
            </w:pPr>
            <w:r>
              <w:rPr>
                <w:sz w:val="11"/>
              </w:rPr>
              <w:t>0.00</w:t>
            </w:r>
          </w:p>
        </w:tc>
        <w:tc>
          <w:tcPr>
            <w:tcW w:w="1109" w:type="dxa"/>
          </w:tcPr>
          <w:p>
            <w:pPr>
              <w:pStyle w:val="TableParagraph"/>
              <w:spacing w:before="51"/>
              <w:ind w:right="53"/>
              <w:jc w:val="right"/>
              <w:rPr>
                <w:sz w:val="11"/>
              </w:rPr>
            </w:pPr>
            <w:r>
              <w:rPr>
                <w:sz w:val="11"/>
              </w:rPr>
              <w:t>0.00</w:t>
            </w:r>
          </w:p>
        </w:tc>
        <w:tc>
          <w:tcPr>
            <w:tcW w:w="1247" w:type="dxa"/>
          </w:tcPr>
          <w:p>
            <w:pPr>
              <w:pStyle w:val="TableParagraph"/>
              <w:spacing w:before="51"/>
              <w:ind w:right="191"/>
              <w:jc w:val="right"/>
              <w:rPr>
                <w:sz w:val="11"/>
              </w:rPr>
            </w:pPr>
            <w:r>
              <w:rPr>
                <w:sz w:val="11"/>
              </w:rPr>
              <w:t>0.00</w:t>
            </w:r>
          </w:p>
        </w:tc>
        <w:tc>
          <w:tcPr>
            <w:tcW w:w="477" w:type="dxa"/>
          </w:tcPr>
          <w:p>
            <w:pPr>
              <w:pStyle w:val="TableParagraph"/>
              <w:spacing w:before="51"/>
              <w:ind w:right="26"/>
              <w:jc w:val="right"/>
              <w:rPr>
                <w:sz w:val="11"/>
              </w:rPr>
            </w:pPr>
            <w:r>
              <w:rPr>
                <w:sz w:val="11"/>
              </w:rPr>
              <w:t>0.0%</w:t>
            </w:r>
          </w:p>
        </w:tc>
      </w:tr>
      <w:tr>
        <w:trPr>
          <w:trHeight w:val="180" w:hRule="atLeast"/>
        </w:trPr>
        <w:tc>
          <w:tcPr>
            <w:tcW w:w="3859" w:type="dxa"/>
          </w:tcPr>
          <w:p>
            <w:pPr>
              <w:pStyle w:val="TableParagraph"/>
              <w:spacing w:line="110" w:lineRule="exact" w:before="51"/>
              <w:ind w:left="90"/>
              <w:rPr>
                <w:sz w:val="11"/>
              </w:rPr>
            </w:pPr>
            <w:r>
              <w:rPr>
                <w:sz w:val="11"/>
              </w:rPr>
              <w:t>(b) TOTAL, INTERFUND TRANSFERS OUT</w:t>
            </w:r>
          </w:p>
        </w:tc>
        <w:tc>
          <w:tcPr>
            <w:tcW w:w="814" w:type="dxa"/>
          </w:tcPr>
          <w:p>
            <w:pPr>
              <w:pStyle w:val="TableParagraph"/>
              <w:rPr>
                <w:rFonts w:ascii="Times New Roman"/>
                <w:sz w:val="10"/>
              </w:rPr>
            </w:pPr>
          </w:p>
        </w:tc>
        <w:tc>
          <w:tcPr>
            <w:tcW w:w="810" w:type="dxa"/>
          </w:tcPr>
          <w:p>
            <w:pPr>
              <w:pStyle w:val="TableParagraph"/>
              <w:spacing w:line="110" w:lineRule="exact" w:before="51"/>
              <w:ind w:right="52"/>
              <w:jc w:val="right"/>
              <w:rPr>
                <w:sz w:val="11"/>
              </w:rPr>
            </w:pPr>
            <w:r>
              <w:rPr>
                <w:sz w:val="11"/>
              </w:rPr>
              <w:t>0.00</w:t>
            </w:r>
          </w:p>
        </w:tc>
        <w:tc>
          <w:tcPr>
            <w:tcW w:w="1109" w:type="dxa"/>
          </w:tcPr>
          <w:p>
            <w:pPr>
              <w:pStyle w:val="TableParagraph"/>
              <w:spacing w:line="110" w:lineRule="exact" w:before="51"/>
              <w:ind w:right="53"/>
              <w:jc w:val="right"/>
              <w:rPr>
                <w:sz w:val="11"/>
              </w:rPr>
            </w:pPr>
            <w:r>
              <w:rPr>
                <w:sz w:val="11"/>
              </w:rPr>
              <w:t>0.00</w:t>
            </w:r>
          </w:p>
        </w:tc>
        <w:tc>
          <w:tcPr>
            <w:tcW w:w="1499" w:type="dxa"/>
          </w:tcPr>
          <w:p>
            <w:pPr>
              <w:pStyle w:val="TableParagraph"/>
              <w:spacing w:line="110" w:lineRule="exact" w:before="51"/>
              <w:ind w:right="443"/>
              <w:jc w:val="right"/>
              <w:rPr>
                <w:sz w:val="11"/>
              </w:rPr>
            </w:pPr>
            <w:r>
              <w:rPr>
                <w:sz w:val="11"/>
              </w:rPr>
              <w:t>0.00</w:t>
            </w:r>
          </w:p>
        </w:tc>
        <w:tc>
          <w:tcPr>
            <w:tcW w:w="719" w:type="dxa"/>
          </w:tcPr>
          <w:p>
            <w:pPr>
              <w:pStyle w:val="TableParagraph"/>
              <w:spacing w:line="110" w:lineRule="exact" w:before="51"/>
              <w:ind w:right="53"/>
              <w:jc w:val="right"/>
              <w:rPr>
                <w:sz w:val="11"/>
              </w:rPr>
            </w:pPr>
            <w:r>
              <w:rPr>
                <w:sz w:val="11"/>
              </w:rPr>
              <w:t>0.00</w:t>
            </w:r>
          </w:p>
        </w:tc>
        <w:tc>
          <w:tcPr>
            <w:tcW w:w="1109" w:type="dxa"/>
          </w:tcPr>
          <w:p>
            <w:pPr>
              <w:pStyle w:val="TableParagraph"/>
              <w:spacing w:line="110" w:lineRule="exact" w:before="51"/>
              <w:ind w:right="53"/>
              <w:jc w:val="right"/>
              <w:rPr>
                <w:sz w:val="11"/>
              </w:rPr>
            </w:pPr>
            <w:r>
              <w:rPr>
                <w:sz w:val="11"/>
              </w:rPr>
              <w:t>0.00</w:t>
            </w:r>
          </w:p>
        </w:tc>
        <w:tc>
          <w:tcPr>
            <w:tcW w:w="1247" w:type="dxa"/>
          </w:tcPr>
          <w:p>
            <w:pPr>
              <w:pStyle w:val="TableParagraph"/>
              <w:spacing w:line="110" w:lineRule="exact" w:before="51"/>
              <w:ind w:right="191"/>
              <w:jc w:val="right"/>
              <w:rPr>
                <w:sz w:val="11"/>
              </w:rPr>
            </w:pPr>
            <w:r>
              <w:rPr>
                <w:sz w:val="11"/>
              </w:rPr>
              <w:t>0.00</w:t>
            </w:r>
          </w:p>
        </w:tc>
        <w:tc>
          <w:tcPr>
            <w:tcW w:w="477" w:type="dxa"/>
          </w:tcPr>
          <w:p>
            <w:pPr>
              <w:pStyle w:val="TableParagraph"/>
              <w:spacing w:line="110" w:lineRule="exact" w:before="51"/>
              <w:ind w:right="26"/>
              <w:jc w:val="right"/>
              <w:rPr>
                <w:sz w:val="11"/>
              </w:rPr>
            </w:pPr>
            <w:r>
              <w:rPr>
                <w:sz w:val="11"/>
              </w:rPr>
              <w:t>0.0%</w:t>
            </w:r>
          </w:p>
        </w:tc>
      </w:tr>
      <w:tr>
        <w:trPr>
          <w:trHeight w:val="277" w:hRule="atLeast"/>
        </w:trPr>
        <w:tc>
          <w:tcPr>
            <w:tcW w:w="3859" w:type="dxa"/>
          </w:tcPr>
          <w:p>
            <w:pPr>
              <w:pStyle w:val="TableParagraph"/>
              <w:spacing w:before="98"/>
              <w:ind w:left="28"/>
              <w:rPr>
                <w:b/>
                <w:sz w:val="11"/>
              </w:rPr>
            </w:pPr>
            <w:r>
              <w:rPr>
                <w:b/>
                <w:sz w:val="11"/>
              </w:rPr>
              <w:t>OTHER SOURCES/USES</w:t>
            </w:r>
          </w:p>
        </w:tc>
        <w:tc>
          <w:tcPr>
            <w:tcW w:w="814" w:type="dxa"/>
          </w:tcPr>
          <w:p>
            <w:pPr>
              <w:pStyle w:val="TableParagraph"/>
              <w:rPr>
                <w:rFonts w:ascii="Times New Roman"/>
                <w:sz w:val="10"/>
              </w:rPr>
            </w:pPr>
          </w:p>
        </w:tc>
        <w:tc>
          <w:tcPr>
            <w:tcW w:w="810" w:type="dxa"/>
          </w:tcPr>
          <w:p>
            <w:pPr>
              <w:pStyle w:val="TableParagraph"/>
              <w:rPr>
                <w:rFonts w:ascii="Times New Roman"/>
                <w:sz w:val="10"/>
              </w:rPr>
            </w:pPr>
          </w:p>
        </w:tc>
        <w:tc>
          <w:tcPr>
            <w:tcW w:w="1109" w:type="dxa"/>
            <w:shd w:val="clear" w:color="auto" w:fill="DFDFDF"/>
          </w:tcPr>
          <w:p>
            <w:pPr>
              <w:pStyle w:val="TableParagraph"/>
              <w:rPr>
                <w:rFonts w:ascii="Times New Roman"/>
                <w:sz w:val="10"/>
              </w:rPr>
            </w:pPr>
          </w:p>
        </w:tc>
        <w:tc>
          <w:tcPr>
            <w:tcW w:w="1499" w:type="dxa"/>
          </w:tcPr>
          <w:p>
            <w:pPr>
              <w:pStyle w:val="TableParagraph"/>
              <w:rPr>
                <w:rFonts w:ascii="Times New Roman"/>
                <w:sz w:val="10"/>
              </w:rPr>
            </w:pPr>
          </w:p>
        </w:tc>
        <w:tc>
          <w:tcPr>
            <w:tcW w:w="719" w:type="dxa"/>
          </w:tcPr>
          <w:p>
            <w:pPr>
              <w:pStyle w:val="TableParagraph"/>
              <w:rPr>
                <w:rFonts w:ascii="Times New Roman"/>
                <w:sz w:val="10"/>
              </w:rPr>
            </w:pPr>
          </w:p>
        </w:tc>
        <w:tc>
          <w:tcPr>
            <w:tcW w:w="1109" w:type="dxa"/>
            <w:shd w:val="clear" w:color="auto" w:fill="DFDFDF"/>
          </w:tcPr>
          <w:p>
            <w:pPr>
              <w:pStyle w:val="TableParagraph"/>
              <w:rPr>
                <w:rFonts w:ascii="Times New Roman"/>
                <w:sz w:val="10"/>
              </w:rPr>
            </w:pPr>
          </w:p>
        </w:tc>
        <w:tc>
          <w:tcPr>
            <w:tcW w:w="1247" w:type="dxa"/>
          </w:tcPr>
          <w:p>
            <w:pPr>
              <w:pStyle w:val="TableParagraph"/>
              <w:rPr>
                <w:rFonts w:ascii="Times New Roman"/>
                <w:sz w:val="10"/>
              </w:rPr>
            </w:pPr>
          </w:p>
        </w:tc>
        <w:tc>
          <w:tcPr>
            <w:tcW w:w="477" w:type="dxa"/>
          </w:tcPr>
          <w:p>
            <w:pPr>
              <w:pStyle w:val="TableParagraph"/>
              <w:rPr>
                <w:rFonts w:ascii="Times New Roman"/>
                <w:sz w:val="10"/>
              </w:rPr>
            </w:pPr>
          </w:p>
        </w:tc>
      </w:tr>
      <w:tr>
        <w:trPr>
          <w:trHeight w:val="282" w:hRule="atLeast"/>
        </w:trPr>
        <w:tc>
          <w:tcPr>
            <w:tcW w:w="3859" w:type="dxa"/>
          </w:tcPr>
          <w:p>
            <w:pPr>
              <w:pStyle w:val="TableParagraph"/>
              <w:spacing w:before="51"/>
              <w:ind w:left="90"/>
              <w:rPr>
                <w:b/>
                <w:sz w:val="11"/>
              </w:rPr>
            </w:pPr>
            <w:r>
              <w:rPr>
                <w:b/>
                <w:sz w:val="11"/>
              </w:rPr>
              <w:t>SOURCES</w:t>
            </w:r>
          </w:p>
        </w:tc>
        <w:tc>
          <w:tcPr>
            <w:tcW w:w="814" w:type="dxa"/>
          </w:tcPr>
          <w:p>
            <w:pPr>
              <w:pStyle w:val="TableParagraph"/>
              <w:rPr>
                <w:rFonts w:ascii="Times New Roman"/>
                <w:sz w:val="10"/>
              </w:rPr>
            </w:pPr>
          </w:p>
        </w:tc>
        <w:tc>
          <w:tcPr>
            <w:tcW w:w="810" w:type="dxa"/>
          </w:tcPr>
          <w:p>
            <w:pPr>
              <w:pStyle w:val="TableParagraph"/>
              <w:rPr>
                <w:rFonts w:ascii="Times New Roman"/>
                <w:sz w:val="10"/>
              </w:rPr>
            </w:pPr>
          </w:p>
        </w:tc>
        <w:tc>
          <w:tcPr>
            <w:tcW w:w="1109" w:type="dxa"/>
            <w:shd w:val="clear" w:color="auto" w:fill="DFDFDF"/>
          </w:tcPr>
          <w:p>
            <w:pPr>
              <w:pStyle w:val="TableParagraph"/>
              <w:rPr>
                <w:rFonts w:ascii="Times New Roman"/>
                <w:sz w:val="10"/>
              </w:rPr>
            </w:pPr>
          </w:p>
        </w:tc>
        <w:tc>
          <w:tcPr>
            <w:tcW w:w="1499" w:type="dxa"/>
          </w:tcPr>
          <w:p>
            <w:pPr>
              <w:pStyle w:val="TableParagraph"/>
              <w:rPr>
                <w:rFonts w:ascii="Times New Roman"/>
                <w:sz w:val="10"/>
              </w:rPr>
            </w:pPr>
          </w:p>
        </w:tc>
        <w:tc>
          <w:tcPr>
            <w:tcW w:w="719" w:type="dxa"/>
          </w:tcPr>
          <w:p>
            <w:pPr>
              <w:pStyle w:val="TableParagraph"/>
              <w:rPr>
                <w:rFonts w:ascii="Times New Roman"/>
                <w:sz w:val="10"/>
              </w:rPr>
            </w:pPr>
          </w:p>
        </w:tc>
        <w:tc>
          <w:tcPr>
            <w:tcW w:w="1109" w:type="dxa"/>
            <w:shd w:val="clear" w:color="auto" w:fill="DFDFDF"/>
          </w:tcPr>
          <w:p>
            <w:pPr>
              <w:pStyle w:val="TableParagraph"/>
              <w:rPr>
                <w:rFonts w:ascii="Times New Roman"/>
                <w:sz w:val="10"/>
              </w:rPr>
            </w:pPr>
          </w:p>
        </w:tc>
        <w:tc>
          <w:tcPr>
            <w:tcW w:w="1247" w:type="dxa"/>
          </w:tcPr>
          <w:p>
            <w:pPr>
              <w:pStyle w:val="TableParagraph"/>
              <w:rPr>
                <w:rFonts w:ascii="Times New Roman"/>
                <w:sz w:val="10"/>
              </w:rPr>
            </w:pPr>
          </w:p>
        </w:tc>
        <w:tc>
          <w:tcPr>
            <w:tcW w:w="477" w:type="dxa"/>
          </w:tcPr>
          <w:p>
            <w:pPr>
              <w:pStyle w:val="TableParagraph"/>
              <w:rPr>
                <w:rFonts w:ascii="Times New Roman"/>
                <w:sz w:val="10"/>
              </w:rPr>
            </w:pPr>
          </w:p>
        </w:tc>
      </w:tr>
      <w:tr>
        <w:trPr>
          <w:trHeight w:val="255" w:hRule="atLeast"/>
        </w:trPr>
        <w:tc>
          <w:tcPr>
            <w:tcW w:w="5483" w:type="dxa"/>
            <w:gridSpan w:val="3"/>
          </w:tcPr>
          <w:p>
            <w:pPr>
              <w:pStyle w:val="TableParagraph"/>
              <w:spacing w:before="102"/>
              <w:ind w:left="152"/>
              <w:rPr>
                <w:sz w:val="11"/>
              </w:rPr>
            </w:pPr>
            <w:r>
              <w:rPr>
                <w:sz w:val="11"/>
              </w:rPr>
              <w:t>State Apportionments</w:t>
            </w:r>
          </w:p>
        </w:tc>
        <w:tc>
          <w:tcPr>
            <w:tcW w:w="1109" w:type="dxa"/>
            <w:shd w:val="clear" w:color="auto" w:fill="DFDFDF"/>
          </w:tcPr>
          <w:p>
            <w:pPr>
              <w:pStyle w:val="TableParagraph"/>
              <w:rPr>
                <w:rFonts w:ascii="Times New Roman"/>
                <w:sz w:val="10"/>
              </w:rPr>
            </w:pPr>
          </w:p>
        </w:tc>
        <w:tc>
          <w:tcPr>
            <w:tcW w:w="2218" w:type="dxa"/>
            <w:gridSpan w:val="2"/>
          </w:tcPr>
          <w:p>
            <w:pPr>
              <w:pStyle w:val="TableParagraph"/>
              <w:rPr>
                <w:rFonts w:ascii="Times New Roman"/>
                <w:sz w:val="10"/>
              </w:rPr>
            </w:pPr>
          </w:p>
        </w:tc>
        <w:tc>
          <w:tcPr>
            <w:tcW w:w="1109" w:type="dxa"/>
            <w:shd w:val="clear" w:color="auto" w:fill="DFDFDF"/>
          </w:tcPr>
          <w:p>
            <w:pPr>
              <w:pStyle w:val="TableParagraph"/>
              <w:rPr>
                <w:rFonts w:ascii="Times New Roman"/>
                <w:sz w:val="10"/>
              </w:rPr>
            </w:pPr>
          </w:p>
        </w:tc>
        <w:tc>
          <w:tcPr>
            <w:tcW w:w="1724" w:type="dxa"/>
            <w:gridSpan w:val="2"/>
          </w:tcPr>
          <w:p>
            <w:pPr>
              <w:pStyle w:val="TableParagraph"/>
              <w:rPr>
                <w:rFonts w:ascii="Times New Roman"/>
                <w:sz w:val="10"/>
              </w:rPr>
            </w:pPr>
          </w:p>
        </w:tc>
      </w:tr>
      <w:tr>
        <w:trPr>
          <w:trHeight w:val="128" w:hRule="atLeast"/>
        </w:trPr>
        <w:tc>
          <w:tcPr>
            <w:tcW w:w="4673" w:type="dxa"/>
            <w:gridSpan w:val="2"/>
          </w:tcPr>
          <w:p>
            <w:pPr>
              <w:pStyle w:val="TableParagraph"/>
              <w:tabs>
                <w:tab w:pos="4137" w:val="right" w:leader="none"/>
              </w:tabs>
              <w:spacing w:line="108" w:lineRule="exact"/>
              <w:ind w:left="214"/>
              <w:rPr>
                <w:sz w:val="11"/>
              </w:rPr>
            </w:pPr>
            <w:r>
              <w:rPr>
                <w:sz w:val="11"/>
              </w:rPr>
              <w:t>Emergency</w:t>
            </w:r>
            <w:r>
              <w:rPr>
                <w:spacing w:val="-1"/>
                <w:sz w:val="11"/>
              </w:rPr>
              <w:t> </w:t>
            </w:r>
            <w:r>
              <w:rPr>
                <w:sz w:val="11"/>
              </w:rPr>
              <w:t>Apportionments</w:t>
              <w:tab/>
              <w:t>8931</w:t>
            </w:r>
          </w:p>
        </w:tc>
        <w:tc>
          <w:tcPr>
            <w:tcW w:w="810" w:type="dxa"/>
          </w:tcPr>
          <w:p>
            <w:pPr>
              <w:pStyle w:val="TableParagraph"/>
              <w:spacing w:line="108" w:lineRule="exact"/>
              <w:ind w:right="52"/>
              <w:jc w:val="right"/>
              <w:rPr>
                <w:sz w:val="11"/>
              </w:rPr>
            </w:pPr>
            <w:r>
              <w:rPr>
                <w:sz w:val="11"/>
              </w:rPr>
              <w:t>0.00</w:t>
            </w:r>
          </w:p>
        </w:tc>
        <w:tc>
          <w:tcPr>
            <w:tcW w:w="1109" w:type="dxa"/>
            <w:shd w:val="clear" w:color="auto" w:fill="DFDFDF"/>
          </w:tcPr>
          <w:p>
            <w:pPr>
              <w:pStyle w:val="TableParagraph"/>
              <w:spacing w:line="108" w:lineRule="exact"/>
              <w:ind w:right="53"/>
              <w:jc w:val="right"/>
              <w:rPr>
                <w:sz w:val="11"/>
              </w:rPr>
            </w:pPr>
            <w:r>
              <w:rPr>
                <w:sz w:val="11"/>
              </w:rPr>
              <w:t>0.00</w:t>
            </w:r>
          </w:p>
        </w:tc>
        <w:tc>
          <w:tcPr>
            <w:tcW w:w="1499" w:type="dxa"/>
          </w:tcPr>
          <w:p>
            <w:pPr>
              <w:pStyle w:val="TableParagraph"/>
              <w:spacing w:line="108" w:lineRule="exact"/>
              <w:ind w:right="443"/>
              <w:jc w:val="right"/>
              <w:rPr>
                <w:sz w:val="11"/>
              </w:rPr>
            </w:pPr>
            <w:r>
              <w:rPr>
                <w:sz w:val="11"/>
              </w:rPr>
              <w:t>0.00</w:t>
            </w:r>
          </w:p>
        </w:tc>
        <w:tc>
          <w:tcPr>
            <w:tcW w:w="719" w:type="dxa"/>
          </w:tcPr>
          <w:p>
            <w:pPr>
              <w:pStyle w:val="TableParagraph"/>
              <w:spacing w:line="108" w:lineRule="exact"/>
              <w:ind w:right="53"/>
              <w:jc w:val="right"/>
              <w:rPr>
                <w:sz w:val="11"/>
              </w:rPr>
            </w:pPr>
            <w:r>
              <w:rPr>
                <w:sz w:val="11"/>
              </w:rPr>
              <w:t>0.00</w:t>
            </w:r>
          </w:p>
        </w:tc>
        <w:tc>
          <w:tcPr>
            <w:tcW w:w="1109" w:type="dxa"/>
            <w:shd w:val="clear" w:color="auto" w:fill="DFDFDF"/>
          </w:tcPr>
          <w:p>
            <w:pPr>
              <w:pStyle w:val="TableParagraph"/>
              <w:spacing w:line="108" w:lineRule="exact"/>
              <w:ind w:right="53"/>
              <w:jc w:val="right"/>
              <w:rPr>
                <w:sz w:val="11"/>
              </w:rPr>
            </w:pPr>
            <w:r>
              <w:rPr>
                <w:sz w:val="11"/>
              </w:rPr>
              <w:t>0.00</w:t>
            </w:r>
          </w:p>
        </w:tc>
        <w:tc>
          <w:tcPr>
            <w:tcW w:w="1247" w:type="dxa"/>
          </w:tcPr>
          <w:p>
            <w:pPr>
              <w:pStyle w:val="TableParagraph"/>
              <w:spacing w:line="108" w:lineRule="exact"/>
              <w:ind w:right="191"/>
              <w:jc w:val="right"/>
              <w:rPr>
                <w:sz w:val="11"/>
              </w:rPr>
            </w:pPr>
            <w:r>
              <w:rPr>
                <w:sz w:val="11"/>
              </w:rPr>
              <w:t>0.00</w:t>
            </w:r>
          </w:p>
        </w:tc>
        <w:tc>
          <w:tcPr>
            <w:tcW w:w="477" w:type="dxa"/>
          </w:tcPr>
          <w:p>
            <w:pPr>
              <w:pStyle w:val="TableParagraph"/>
              <w:spacing w:line="108" w:lineRule="exact"/>
              <w:ind w:right="26"/>
              <w:jc w:val="right"/>
              <w:rPr>
                <w:sz w:val="11"/>
              </w:rPr>
            </w:pPr>
            <w:r>
              <w:rPr>
                <w:sz w:val="11"/>
              </w:rPr>
              <w:t>0.0%</w:t>
            </w:r>
          </w:p>
        </w:tc>
      </w:tr>
      <w:tr>
        <w:trPr>
          <w:trHeight w:val="609" w:hRule="atLeast"/>
        </w:trPr>
        <w:tc>
          <w:tcPr>
            <w:tcW w:w="4673" w:type="dxa"/>
            <w:gridSpan w:val="2"/>
          </w:tcPr>
          <w:p>
            <w:pPr>
              <w:pStyle w:val="TableParagraph"/>
              <w:spacing w:before="101"/>
              <w:ind w:left="152"/>
              <w:rPr>
                <w:sz w:val="11"/>
              </w:rPr>
            </w:pPr>
            <w:r>
              <w:rPr>
                <w:sz w:val="11"/>
              </w:rPr>
              <w:t>Proceeds</w:t>
            </w:r>
          </w:p>
          <w:p>
            <w:pPr>
              <w:pStyle w:val="TableParagraph"/>
              <w:spacing w:before="103"/>
              <w:ind w:left="214"/>
              <w:rPr>
                <w:sz w:val="11"/>
              </w:rPr>
            </w:pPr>
            <w:r>
              <w:rPr>
                <w:sz w:val="11"/>
              </w:rPr>
              <w:t>Proceeds from Disposal of</w:t>
            </w:r>
          </w:p>
          <w:p>
            <w:pPr>
              <w:pStyle w:val="TableParagraph"/>
              <w:tabs>
                <w:tab w:pos="4137" w:val="right" w:leader="none"/>
              </w:tabs>
              <w:spacing w:line="107" w:lineRule="exact" w:before="25"/>
              <w:ind w:left="246"/>
              <w:rPr>
                <w:sz w:val="11"/>
              </w:rPr>
            </w:pPr>
            <w:r>
              <w:rPr>
                <w:sz w:val="11"/>
              </w:rPr>
              <w:t>Capital</w:t>
            </w:r>
            <w:r>
              <w:rPr>
                <w:spacing w:val="-1"/>
                <w:sz w:val="11"/>
              </w:rPr>
              <w:t> </w:t>
            </w:r>
            <w:r>
              <w:rPr>
                <w:sz w:val="11"/>
              </w:rPr>
              <w:t>Assets</w:t>
              <w:tab/>
              <w:t>8953</w:t>
            </w:r>
          </w:p>
        </w:tc>
        <w:tc>
          <w:tcPr>
            <w:tcW w:w="810" w:type="dxa"/>
          </w:tcPr>
          <w:p>
            <w:pPr>
              <w:pStyle w:val="TableParagraph"/>
              <w:rPr>
                <w:sz w:val="12"/>
              </w:rPr>
            </w:pPr>
          </w:p>
          <w:p>
            <w:pPr>
              <w:pStyle w:val="TableParagraph"/>
              <w:rPr>
                <w:sz w:val="12"/>
              </w:rPr>
            </w:pPr>
          </w:p>
          <w:p>
            <w:pPr>
              <w:pStyle w:val="TableParagraph"/>
              <w:spacing w:before="10"/>
              <w:rPr>
                <w:sz w:val="17"/>
              </w:rPr>
            </w:pPr>
          </w:p>
          <w:p>
            <w:pPr>
              <w:pStyle w:val="TableParagraph"/>
              <w:spacing w:line="107" w:lineRule="exact" w:before="1"/>
              <w:ind w:right="52"/>
              <w:jc w:val="right"/>
              <w:rPr>
                <w:sz w:val="11"/>
              </w:rPr>
            </w:pPr>
            <w:r>
              <w:rPr>
                <w:sz w:val="11"/>
              </w:rPr>
              <w:t>0.00</w:t>
            </w:r>
          </w:p>
        </w:tc>
        <w:tc>
          <w:tcPr>
            <w:tcW w:w="1109" w:type="dxa"/>
          </w:tcPr>
          <w:p>
            <w:pPr>
              <w:pStyle w:val="TableParagraph"/>
              <w:rPr>
                <w:sz w:val="12"/>
              </w:rPr>
            </w:pPr>
          </w:p>
          <w:p>
            <w:pPr>
              <w:pStyle w:val="TableParagraph"/>
              <w:rPr>
                <w:sz w:val="12"/>
              </w:rPr>
            </w:pPr>
          </w:p>
          <w:p>
            <w:pPr>
              <w:pStyle w:val="TableParagraph"/>
              <w:spacing w:before="10"/>
              <w:rPr>
                <w:sz w:val="17"/>
              </w:rPr>
            </w:pPr>
          </w:p>
          <w:p>
            <w:pPr>
              <w:pStyle w:val="TableParagraph"/>
              <w:spacing w:line="107" w:lineRule="exact" w:before="1"/>
              <w:ind w:right="53"/>
              <w:jc w:val="right"/>
              <w:rPr>
                <w:sz w:val="11"/>
              </w:rPr>
            </w:pPr>
            <w:r>
              <w:rPr>
                <w:sz w:val="11"/>
              </w:rPr>
              <w:t>0.00</w:t>
            </w:r>
          </w:p>
        </w:tc>
        <w:tc>
          <w:tcPr>
            <w:tcW w:w="1499" w:type="dxa"/>
          </w:tcPr>
          <w:p>
            <w:pPr>
              <w:pStyle w:val="TableParagraph"/>
              <w:rPr>
                <w:sz w:val="12"/>
              </w:rPr>
            </w:pPr>
          </w:p>
          <w:p>
            <w:pPr>
              <w:pStyle w:val="TableParagraph"/>
              <w:rPr>
                <w:sz w:val="12"/>
              </w:rPr>
            </w:pPr>
          </w:p>
          <w:p>
            <w:pPr>
              <w:pStyle w:val="TableParagraph"/>
              <w:spacing w:before="10"/>
              <w:rPr>
                <w:sz w:val="17"/>
              </w:rPr>
            </w:pPr>
          </w:p>
          <w:p>
            <w:pPr>
              <w:pStyle w:val="TableParagraph"/>
              <w:spacing w:line="107" w:lineRule="exact" w:before="1"/>
              <w:ind w:right="443"/>
              <w:jc w:val="right"/>
              <w:rPr>
                <w:sz w:val="11"/>
              </w:rPr>
            </w:pPr>
            <w:r>
              <w:rPr>
                <w:sz w:val="11"/>
              </w:rPr>
              <w:t>0.00</w:t>
            </w:r>
          </w:p>
        </w:tc>
        <w:tc>
          <w:tcPr>
            <w:tcW w:w="719" w:type="dxa"/>
          </w:tcPr>
          <w:p>
            <w:pPr>
              <w:pStyle w:val="TableParagraph"/>
              <w:rPr>
                <w:sz w:val="12"/>
              </w:rPr>
            </w:pPr>
          </w:p>
          <w:p>
            <w:pPr>
              <w:pStyle w:val="TableParagraph"/>
              <w:rPr>
                <w:sz w:val="12"/>
              </w:rPr>
            </w:pPr>
          </w:p>
          <w:p>
            <w:pPr>
              <w:pStyle w:val="TableParagraph"/>
              <w:spacing w:before="10"/>
              <w:rPr>
                <w:sz w:val="17"/>
              </w:rPr>
            </w:pPr>
          </w:p>
          <w:p>
            <w:pPr>
              <w:pStyle w:val="TableParagraph"/>
              <w:spacing w:line="107" w:lineRule="exact" w:before="1"/>
              <w:ind w:right="53"/>
              <w:jc w:val="right"/>
              <w:rPr>
                <w:sz w:val="11"/>
              </w:rPr>
            </w:pPr>
            <w:r>
              <w:rPr>
                <w:sz w:val="11"/>
              </w:rPr>
              <w:t>0.00</w:t>
            </w:r>
          </w:p>
        </w:tc>
        <w:tc>
          <w:tcPr>
            <w:tcW w:w="1109" w:type="dxa"/>
          </w:tcPr>
          <w:p>
            <w:pPr>
              <w:pStyle w:val="TableParagraph"/>
              <w:rPr>
                <w:sz w:val="12"/>
              </w:rPr>
            </w:pPr>
          </w:p>
          <w:p>
            <w:pPr>
              <w:pStyle w:val="TableParagraph"/>
              <w:rPr>
                <w:sz w:val="12"/>
              </w:rPr>
            </w:pPr>
          </w:p>
          <w:p>
            <w:pPr>
              <w:pStyle w:val="TableParagraph"/>
              <w:spacing w:before="10"/>
              <w:rPr>
                <w:sz w:val="17"/>
              </w:rPr>
            </w:pPr>
          </w:p>
          <w:p>
            <w:pPr>
              <w:pStyle w:val="TableParagraph"/>
              <w:spacing w:line="107" w:lineRule="exact" w:before="1"/>
              <w:ind w:right="53"/>
              <w:jc w:val="right"/>
              <w:rPr>
                <w:sz w:val="11"/>
              </w:rPr>
            </w:pPr>
            <w:r>
              <w:rPr>
                <w:sz w:val="11"/>
              </w:rPr>
              <w:t>0.00</w:t>
            </w:r>
          </w:p>
        </w:tc>
        <w:tc>
          <w:tcPr>
            <w:tcW w:w="1247" w:type="dxa"/>
          </w:tcPr>
          <w:p>
            <w:pPr>
              <w:pStyle w:val="TableParagraph"/>
              <w:rPr>
                <w:sz w:val="12"/>
              </w:rPr>
            </w:pPr>
          </w:p>
          <w:p>
            <w:pPr>
              <w:pStyle w:val="TableParagraph"/>
              <w:rPr>
                <w:sz w:val="12"/>
              </w:rPr>
            </w:pPr>
          </w:p>
          <w:p>
            <w:pPr>
              <w:pStyle w:val="TableParagraph"/>
              <w:spacing w:before="10"/>
              <w:rPr>
                <w:sz w:val="17"/>
              </w:rPr>
            </w:pPr>
          </w:p>
          <w:p>
            <w:pPr>
              <w:pStyle w:val="TableParagraph"/>
              <w:spacing w:line="107" w:lineRule="exact" w:before="1"/>
              <w:ind w:right="191"/>
              <w:jc w:val="right"/>
              <w:rPr>
                <w:sz w:val="11"/>
              </w:rPr>
            </w:pPr>
            <w:r>
              <w:rPr>
                <w:sz w:val="11"/>
              </w:rPr>
              <w:t>0.00</w:t>
            </w:r>
          </w:p>
        </w:tc>
        <w:tc>
          <w:tcPr>
            <w:tcW w:w="477" w:type="dxa"/>
          </w:tcPr>
          <w:p>
            <w:pPr>
              <w:pStyle w:val="TableParagraph"/>
              <w:rPr>
                <w:sz w:val="12"/>
              </w:rPr>
            </w:pPr>
          </w:p>
          <w:p>
            <w:pPr>
              <w:pStyle w:val="TableParagraph"/>
              <w:rPr>
                <w:sz w:val="12"/>
              </w:rPr>
            </w:pPr>
          </w:p>
          <w:p>
            <w:pPr>
              <w:pStyle w:val="TableParagraph"/>
              <w:spacing w:before="10"/>
              <w:rPr>
                <w:sz w:val="17"/>
              </w:rPr>
            </w:pPr>
          </w:p>
          <w:p>
            <w:pPr>
              <w:pStyle w:val="TableParagraph"/>
              <w:spacing w:line="107" w:lineRule="exact" w:before="1"/>
              <w:ind w:right="26"/>
              <w:jc w:val="right"/>
              <w:rPr>
                <w:sz w:val="11"/>
              </w:rPr>
            </w:pPr>
            <w:r>
              <w:rPr>
                <w:sz w:val="11"/>
              </w:rPr>
              <w:t>0.0%</w:t>
            </w:r>
          </w:p>
        </w:tc>
      </w:tr>
    </w:tbl>
    <w:p>
      <w:pPr>
        <w:pStyle w:val="BodyText"/>
        <w:rPr>
          <w:sz w:val="20"/>
        </w:rPr>
      </w:pPr>
    </w:p>
    <w:p>
      <w:pPr>
        <w:pStyle w:val="BodyText"/>
        <w:rPr>
          <w:sz w:val="20"/>
        </w:rPr>
      </w:pPr>
    </w:p>
    <w:p>
      <w:pPr>
        <w:pStyle w:val="BodyText"/>
        <w:rPr>
          <w:sz w:val="20"/>
        </w:rPr>
      </w:pPr>
    </w:p>
    <w:p>
      <w:pPr>
        <w:pStyle w:val="BodyText"/>
        <w:spacing w:before="7"/>
        <w:rPr>
          <w:sz w:val="28"/>
        </w:rPr>
      </w:pPr>
    </w:p>
    <w:tbl>
      <w:tblPr>
        <w:tblW w:w="0" w:type="auto"/>
        <w:jc w:val="left"/>
        <w:tblInd w:w="1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59"/>
        <w:gridCol w:w="623"/>
        <w:gridCol w:w="1237"/>
        <w:gridCol w:w="1262"/>
        <w:gridCol w:w="918"/>
        <w:gridCol w:w="1146"/>
        <w:gridCol w:w="1262"/>
        <w:gridCol w:w="857"/>
        <w:gridCol w:w="477"/>
      </w:tblGrid>
      <w:tr>
        <w:trPr>
          <w:trHeight w:val="178" w:hRule="atLeast"/>
        </w:trPr>
        <w:tc>
          <w:tcPr>
            <w:tcW w:w="4482" w:type="dxa"/>
            <w:gridSpan w:val="2"/>
          </w:tcPr>
          <w:p>
            <w:pPr>
              <w:pStyle w:val="TableParagraph"/>
              <w:tabs>
                <w:tab w:pos="4137" w:val="right" w:leader="none"/>
              </w:tabs>
              <w:spacing w:line="125" w:lineRule="exact"/>
              <w:ind w:left="246"/>
              <w:rPr>
                <w:sz w:val="11"/>
              </w:rPr>
            </w:pPr>
            <w:r>
              <w:rPr>
                <w:sz w:val="11"/>
              </w:rPr>
              <w:t>of Participation</w:t>
              <w:tab/>
              <w:t>8971</w:t>
            </w:r>
          </w:p>
        </w:tc>
        <w:tc>
          <w:tcPr>
            <w:tcW w:w="1237" w:type="dxa"/>
          </w:tcPr>
          <w:p>
            <w:pPr>
              <w:pStyle w:val="TableParagraph"/>
              <w:spacing w:line="125" w:lineRule="exact"/>
              <w:ind w:right="288"/>
              <w:jc w:val="right"/>
              <w:rPr>
                <w:sz w:val="11"/>
              </w:rPr>
            </w:pPr>
            <w:r>
              <w:rPr>
                <w:sz w:val="11"/>
              </w:rPr>
              <w:t>0.00</w:t>
            </w:r>
          </w:p>
        </w:tc>
        <w:tc>
          <w:tcPr>
            <w:tcW w:w="1262" w:type="dxa"/>
          </w:tcPr>
          <w:p>
            <w:pPr>
              <w:pStyle w:val="TableParagraph"/>
              <w:spacing w:line="125" w:lineRule="exact"/>
              <w:ind w:right="442"/>
              <w:jc w:val="right"/>
              <w:rPr>
                <w:sz w:val="11"/>
              </w:rPr>
            </w:pPr>
            <w:r>
              <w:rPr>
                <w:sz w:val="11"/>
              </w:rPr>
              <w:t>0.00</w:t>
            </w:r>
          </w:p>
        </w:tc>
        <w:tc>
          <w:tcPr>
            <w:tcW w:w="918" w:type="dxa"/>
          </w:tcPr>
          <w:p>
            <w:pPr>
              <w:pStyle w:val="TableParagraph"/>
              <w:spacing w:line="125" w:lineRule="exact"/>
              <w:ind w:right="251"/>
              <w:jc w:val="right"/>
              <w:rPr>
                <w:sz w:val="11"/>
              </w:rPr>
            </w:pPr>
            <w:r>
              <w:rPr>
                <w:sz w:val="11"/>
              </w:rPr>
              <w:t>0.00</w:t>
            </w:r>
          </w:p>
        </w:tc>
        <w:tc>
          <w:tcPr>
            <w:tcW w:w="1146" w:type="dxa"/>
          </w:tcPr>
          <w:p>
            <w:pPr>
              <w:pStyle w:val="TableParagraph"/>
              <w:spacing w:line="125" w:lineRule="exact"/>
              <w:ind w:right="288"/>
              <w:jc w:val="right"/>
              <w:rPr>
                <w:sz w:val="11"/>
              </w:rPr>
            </w:pPr>
            <w:r>
              <w:rPr>
                <w:sz w:val="11"/>
              </w:rPr>
              <w:t>0.00</w:t>
            </w:r>
          </w:p>
        </w:tc>
        <w:tc>
          <w:tcPr>
            <w:tcW w:w="1262" w:type="dxa"/>
          </w:tcPr>
          <w:p>
            <w:pPr>
              <w:pStyle w:val="TableParagraph"/>
              <w:spacing w:line="125" w:lineRule="exact"/>
              <w:ind w:right="441"/>
              <w:jc w:val="right"/>
              <w:rPr>
                <w:sz w:val="11"/>
              </w:rPr>
            </w:pPr>
            <w:r>
              <w:rPr>
                <w:sz w:val="11"/>
              </w:rPr>
              <w:t>0.00</w:t>
            </w:r>
          </w:p>
        </w:tc>
        <w:tc>
          <w:tcPr>
            <w:tcW w:w="857" w:type="dxa"/>
          </w:tcPr>
          <w:p>
            <w:pPr>
              <w:pStyle w:val="TableParagraph"/>
              <w:spacing w:line="125" w:lineRule="exact"/>
              <w:ind w:right="189"/>
              <w:jc w:val="right"/>
              <w:rPr>
                <w:sz w:val="11"/>
              </w:rPr>
            </w:pPr>
            <w:r>
              <w:rPr>
                <w:sz w:val="11"/>
              </w:rPr>
              <w:t>0.00</w:t>
            </w:r>
          </w:p>
        </w:tc>
        <w:tc>
          <w:tcPr>
            <w:tcW w:w="477" w:type="dxa"/>
          </w:tcPr>
          <w:p>
            <w:pPr>
              <w:pStyle w:val="TableParagraph"/>
              <w:spacing w:line="125" w:lineRule="exact"/>
              <w:ind w:right="24"/>
              <w:jc w:val="right"/>
              <w:rPr>
                <w:sz w:val="11"/>
              </w:rPr>
            </w:pPr>
            <w:r>
              <w:rPr>
                <w:sz w:val="11"/>
              </w:rPr>
              <w:t>0.0%</w:t>
            </w:r>
          </w:p>
        </w:tc>
      </w:tr>
      <w:tr>
        <w:trPr>
          <w:trHeight w:val="230" w:hRule="atLeast"/>
        </w:trPr>
        <w:tc>
          <w:tcPr>
            <w:tcW w:w="4482" w:type="dxa"/>
            <w:gridSpan w:val="2"/>
          </w:tcPr>
          <w:p>
            <w:pPr>
              <w:pStyle w:val="TableParagraph"/>
              <w:tabs>
                <w:tab w:pos="4137" w:val="right" w:leader="none"/>
              </w:tabs>
              <w:spacing w:before="51"/>
              <w:ind w:left="214"/>
              <w:rPr>
                <w:sz w:val="11"/>
              </w:rPr>
            </w:pPr>
            <w:r>
              <w:rPr>
                <w:sz w:val="11"/>
              </w:rPr>
              <w:t>Proceeds</w:t>
            </w:r>
            <w:r>
              <w:rPr>
                <w:spacing w:val="1"/>
                <w:sz w:val="11"/>
              </w:rPr>
              <w:t> </w:t>
            </w:r>
            <w:r>
              <w:rPr>
                <w:sz w:val="11"/>
              </w:rPr>
              <w:t>from</w:t>
            </w:r>
            <w:r>
              <w:rPr>
                <w:spacing w:val="-2"/>
                <w:sz w:val="11"/>
              </w:rPr>
              <w:t> </w:t>
            </w:r>
            <w:r>
              <w:rPr>
                <w:sz w:val="11"/>
              </w:rPr>
              <w:t>Leases</w:t>
              <w:tab/>
              <w:t>8972</w:t>
            </w:r>
          </w:p>
        </w:tc>
        <w:tc>
          <w:tcPr>
            <w:tcW w:w="1237" w:type="dxa"/>
          </w:tcPr>
          <w:p>
            <w:pPr>
              <w:pStyle w:val="TableParagraph"/>
              <w:spacing w:before="51"/>
              <w:ind w:right="288"/>
              <w:jc w:val="right"/>
              <w:rPr>
                <w:sz w:val="11"/>
              </w:rPr>
            </w:pPr>
            <w:r>
              <w:rPr>
                <w:sz w:val="11"/>
              </w:rPr>
              <w:t>0.00</w:t>
            </w:r>
          </w:p>
        </w:tc>
        <w:tc>
          <w:tcPr>
            <w:tcW w:w="1262" w:type="dxa"/>
          </w:tcPr>
          <w:p>
            <w:pPr>
              <w:pStyle w:val="TableParagraph"/>
              <w:spacing w:before="51"/>
              <w:ind w:right="442"/>
              <w:jc w:val="right"/>
              <w:rPr>
                <w:sz w:val="11"/>
              </w:rPr>
            </w:pPr>
            <w:r>
              <w:rPr>
                <w:sz w:val="11"/>
              </w:rPr>
              <w:t>0.00</w:t>
            </w:r>
          </w:p>
        </w:tc>
        <w:tc>
          <w:tcPr>
            <w:tcW w:w="918" w:type="dxa"/>
          </w:tcPr>
          <w:p>
            <w:pPr>
              <w:pStyle w:val="TableParagraph"/>
              <w:spacing w:before="51"/>
              <w:ind w:right="251"/>
              <w:jc w:val="right"/>
              <w:rPr>
                <w:sz w:val="11"/>
              </w:rPr>
            </w:pPr>
            <w:r>
              <w:rPr>
                <w:sz w:val="11"/>
              </w:rPr>
              <w:t>0.00</w:t>
            </w:r>
          </w:p>
        </w:tc>
        <w:tc>
          <w:tcPr>
            <w:tcW w:w="1146" w:type="dxa"/>
          </w:tcPr>
          <w:p>
            <w:pPr>
              <w:pStyle w:val="TableParagraph"/>
              <w:spacing w:before="51"/>
              <w:ind w:right="288"/>
              <w:jc w:val="right"/>
              <w:rPr>
                <w:sz w:val="11"/>
              </w:rPr>
            </w:pPr>
            <w:r>
              <w:rPr>
                <w:sz w:val="11"/>
              </w:rPr>
              <w:t>0.00</w:t>
            </w:r>
          </w:p>
        </w:tc>
        <w:tc>
          <w:tcPr>
            <w:tcW w:w="1262" w:type="dxa"/>
          </w:tcPr>
          <w:p>
            <w:pPr>
              <w:pStyle w:val="TableParagraph"/>
              <w:spacing w:before="51"/>
              <w:ind w:right="441"/>
              <w:jc w:val="right"/>
              <w:rPr>
                <w:sz w:val="11"/>
              </w:rPr>
            </w:pPr>
            <w:r>
              <w:rPr>
                <w:sz w:val="11"/>
              </w:rPr>
              <w:t>0.00</w:t>
            </w:r>
          </w:p>
        </w:tc>
        <w:tc>
          <w:tcPr>
            <w:tcW w:w="857" w:type="dxa"/>
          </w:tcPr>
          <w:p>
            <w:pPr>
              <w:pStyle w:val="TableParagraph"/>
              <w:spacing w:before="51"/>
              <w:ind w:right="189"/>
              <w:jc w:val="right"/>
              <w:rPr>
                <w:sz w:val="11"/>
              </w:rPr>
            </w:pPr>
            <w:r>
              <w:rPr>
                <w:sz w:val="11"/>
              </w:rPr>
              <w:t>0.00</w:t>
            </w:r>
          </w:p>
        </w:tc>
        <w:tc>
          <w:tcPr>
            <w:tcW w:w="477" w:type="dxa"/>
          </w:tcPr>
          <w:p>
            <w:pPr>
              <w:pStyle w:val="TableParagraph"/>
              <w:spacing w:before="51"/>
              <w:ind w:right="24"/>
              <w:jc w:val="right"/>
              <w:rPr>
                <w:sz w:val="11"/>
              </w:rPr>
            </w:pPr>
            <w:r>
              <w:rPr>
                <w:sz w:val="11"/>
              </w:rPr>
              <w:t>0.0%</w:t>
            </w:r>
          </w:p>
        </w:tc>
      </w:tr>
      <w:tr>
        <w:trPr>
          <w:trHeight w:val="230" w:hRule="atLeast"/>
        </w:trPr>
        <w:tc>
          <w:tcPr>
            <w:tcW w:w="4482" w:type="dxa"/>
            <w:gridSpan w:val="2"/>
          </w:tcPr>
          <w:p>
            <w:pPr>
              <w:pStyle w:val="TableParagraph"/>
              <w:tabs>
                <w:tab w:pos="4137" w:val="right" w:leader="none"/>
              </w:tabs>
              <w:spacing w:before="51"/>
              <w:ind w:left="214"/>
              <w:rPr>
                <w:sz w:val="11"/>
              </w:rPr>
            </w:pPr>
            <w:r>
              <w:rPr>
                <w:sz w:val="11"/>
              </w:rPr>
              <w:t>Proceeds from Lease Revenue</w:t>
            </w:r>
            <w:r>
              <w:rPr>
                <w:spacing w:val="1"/>
                <w:sz w:val="11"/>
              </w:rPr>
              <w:t> </w:t>
            </w:r>
            <w:r>
              <w:rPr>
                <w:sz w:val="11"/>
              </w:rPr>
              <w:t>Bonds</w:t>
              <w:tab/>
              <w:t>8973</w:t>
            </w:r>
          </w:p>
        </w:tc>
        <w:tc>
          <w:tcPr>
            <w:tcW w:w="1237" w:type="dxa"/>
          </w:tcPr>
          <w:p>
            <w:pPr>
              <w:pStyle w:val="TableParagraph"/>
              <w:spacing w:before="51"/>
              <w:ind w:right="288"/>
              <w:jc w:val="right"/>
              <w:rPr>
                <w:sz w:val="11"/>
              </w:rPr>
            </w:pPr>
            <w:r>
              <w:rPr>
                <w:sz w:val="11"/>
              </w:rPr>
              <w:t>0.00</w:t>
            </w:r>
          </w:p>
        </w:tc>
        <w:tc>
          <w:tcPr>
            <w:tcW w:w="1262" w:type="dxa"/>
          </w:tcPr>
          <w:p>
            <w:pPr>
              <w:pStyle w:val="TableParagraph"/>
              <w:spacing w:before="51"/>
              <w:ind w:right="442"/>
              <w:jc w:val="right"/>
              <w:rPr>
                <w:sz w:val="11"/>
              </w:rPr>
            </w:pPr>
            <w:r>
              <w:rPr>
                <w:sz w:val="11"/>
              </w:rPr>
              <w:t>0.00</w:t>
            </w:r>
          </w:p>
        </w:tc>
        <w:tc>
          <w:tcPr>
            <w:tcW w:w="918" w:type="dxa"/>
          </w:tcPr>
          <w:p>
            <w:pPr>
              <w:pStyle w:val="TableParagraph"/>
              <w:spacing w:before="51"/>
              <w:ind w:right="251"/>
              <w:jc w:val="right"/>
              <w:rPr>
                <w:sz w:val="11"/>
              </w:rPr>
            </w:pPr>
            <w:r>
              <w:rPr>
                <w:sz w:val="11"/>
              </w:rPr>
              <w:t>0.00</w:t>
            </w:r>
          </w:p>
        </w:tc>
        <w:tc>
          <w:tcPr>
            <w:tcW w:w="1146" w:type="dxa"/>
          </w:tcPr>
          <w:p>
            <w:pPr>
              <w:pStyle w:val="TableParagraph"/>
              <w:spacing w:before="51"/>
              <w:ind w:right="288"/>
              <w:jc w:val="right"/>
              <w:rPr>
                <w:sz w:val="11"/>
              </w:rPr>
            </w:pPr>
            <w:r>
              <w:rPr>
                <w:sz w:val="11"/>
              </w:rPr>
              <w:t>0.00</w:t>
            </w:r>
          </w:p>
        </w:tc>
        <w:tc>
          <w:tcPr>
            <w:tcW w:w="1262" w:type="dxa"/>
          </w:tcPr>
          <w:p>
            <w:pPr>
              <w:pStyle w:val="TableParagraph"/>
              <w:spacing w:before="51"/>
              <w:ind w:right="441"/>
              <w:jc w:val="right"/>
              <w:rPr>
                <w:sz w:val="11"/>
              </w:rPr>
            </w:pPr>
            <w:r>
              <w:rPr>
                <w:sz w:val="11"/>
              </w:rPr>
              <w:t>0.00</w:t>
            </w:r>
          </w:p>
        </w:tc>
        <w:tc>
          <w:tcPr>
            <w:tcW w:w="857" w:type="dxa"/>
          </w:tcPr>
          <w:p>
            <w:pPr>
              <w:pStyle w:val="TableParagraph"/>
              <w:spacing w:before="51"/>
              <w:ind w:right="189"/>
              <w:jc w:val="right"/>
              <w:rPr>
                <w:sz w:val="11"/>
              </w:rPr>
            </w:pPr>
            <w:r>
              <w:rPr>
                <w:sz w:val="11"/>
              </w:rPr>
              <w:t>0.00</w:t>
            </w:r>
          </w:p>
        </w:tc>
        <w:tc>
          <w:tcPr>
            <w:tcW w:w="477" w:type="dxa"/>
          </w:tcPr>
          <w:p>
            <w:pPr>
              <w:pStyle w:val="TableParagraph"/>
              <w:spacing w:before="51"/>
              <w:ind w:right="24"/>
              <w:jc w:val="right"/>
              <w:rPr>
                <w:sz w:val="11"/>
              </w:rPr>
            </w:pPr>
            <w:r>
              <w:rPr>
                <w:sz w:val="11"/>
              </w:rPr>
              <w:t>0.0%</w:t>
            </w:r>
          </w:p>
        </w:tc>
      </w:tr>
      <w:tr>
        <w:trPr>
          <w:trHeight w:val="230" w:hRule="atLeast"/>
        </w:trPr>
        <w:tc>
          <w:tcPr>
            <w:tcW w:w="4482" w:type="dxa"/>
            <w:gridSpan w:val="2"/>
          </w:tcPr>
          <w:p>
            <w:pPr>
              <w:pStyle w:val="TableParagraph"/>
              <w:tabs>
                <w:tab w:pos="4137" w:val="right" w:leader="none"/>
              </w:tabs>
              <w:spacing w:before="51"/>
              <w:ind w:left="152"/>
              <w:rPr>
                <w:sz w:val="11"/>
              </w:rPr>
            </w:pPr>
            <w:r>
              <w:rPr>
                <w:sz w:val="11"/>
              </w:rPr>
              <w:t>All Other Financing</w:t>
            </w:r>
            <w:r>
              <w:rPr>
                <w:spacing w:val="1"/>
                <w:sz w:val="11"/>
              </w:rPr>
              <w:t> </w:t>
            </w:r>
            <w:r>
              <w:rPr>
                <w:sz w:val="11"/>
              </w:rPr>
              <w:t>Sources</w:t>
              <w:tab/>
              <w:t>8979</w:t>
            </w:r>
          </w:p>
        </w:tc>
        <w:tc>
          <w:tcPr>
            <w:tcW w:w="1237" w:type="dxa"/>
          </w:tcPr>
          <w:p>
            <w:pPr>
              <w:pStyle w:val="TableParagraph"/>
              <w:spacing w:before="51"/>
              <w:ind w:right="288"/>
              <w:jc w:val="right"/>
              <w:rPr>
                <w:sz w:val="11"/>
              </w:rPr>
            </w:pPr>
            <w:r>
              <w:rPr>
                <w:sz w:val="11"/>
              </w:rPr>
              <w:t>0.00</w:t>
            </w:r>
          </w:p>
        </w:tc>
        <w:tc>
          <w:tcPr>
            <w:tcW w:w="1262" w:type="dxa"/>
          </w:tcPr>
          <w:p>
            <w:pPr>
              <w:pStyle w:val="TableParagraph"/>
              <w:spacing w:before="51"/>
              <w:ind w:right="442"/>
              <w:jc w:val="right"/>
              <w:rPr>
                <w:sz w:val="11"/>
              </w:rPr>
            </w:pPr>
            <w:r>
              <w:rPr>
                <w:sz w:val="11"/>
              </w:rPr>
              <w:t>0.00</w:t>
            </w:r>
          </w:p>
        </w:tc>
        <w:tc>
          <w:tcPr>
            <w:tcW w:w="918" w:type="dxa"/>
          </w:tcPr>
          <w:p>
            <w:pPr>
              <w:pStyle w:val="TableParagraph"/>
              <w:spacing w:before="51"/>
              <w:ind w:right="251"/>
              <w:jc w:val="right"/>
              <w:rPr>
                <w:sz w:val="11"/>
              </w:rPr>
            </w:pPr>
            <w:r>
              <w:rPr>
                <w:sz w:val="11"/>
              </w:rPr>
              <w:t>0.00</w:t>
            </w:r>
          </w:p>
        </w:tc>
        <w:tc>
          <w:tcPr>
            <w:tcW w:w="1146" w:type="dxa"/>
          </w:tcPr>
          <w:p>
            <w:pPr>
              <w:pStyle w:val="TableParagraph"/>
              <w:spacing w:before="51"/>
              <w:ind w:right="288"/>
              <w:jc w:val="right"/>
              <w:rPr>
                <w:sz w:val="11"/>
              </w:rPr>
            </w:pPr>
            <w:r>
              <w:rPr>
                <w:sz w:val="11"/>
              </w:rPr>
              <w:t>0.00</w:t>
            </w:r>
          </w:p>
        </w:tc>
        <w:tc>
          <w:tcPr>
            <w:tcW w:w="1262" w:type="dxa"/>
          </w:tcPr>
          <w:p>
            <w:pPr>
              <w:pStyle w:val="TableParagraph"/>
              <w:spacing w:before="51"/>
              <w:ind w:right="441"/>
              <w:jc w:val="right"/>
              <w:rPr>
                <w:sz w:val="11"/>
              </w:rPr>
            </w:pPr>
            <w:r>
              <w:rPr>
                <w:sz w:val="11"/>
              </w:rPr>
              <w:t>0.00</w:t>
            </w:r>
          </w:p>
        </w:tc>
        <w:tc>
          <w:tcPr>
            <w:tcW w:w="857" w:type="dxa"/>
          </w:tcPr>
          <w:p>
            <w:pPr>
              <w:pStyle w:val="TableParagraph"/>
              <w:spacing w:before="51"/>
              <w:ind w:right="189"/>
              <w:jc w:val="right"/>
              <w:rPr>
                <w:sz w:val="11"/>
              </w:rPr>
            </w:pPr>
            <w:r>
              <w:rPr>
                <w:sz w:val="11"/>
              </w:rPr>
              <w:t>0.00</w:t>
            </w:r>
          </w:p>
        </w:tc>
        <w:tc>
          <w:tcPr>
            <w:tcW w:w="477" w:type="dxa"/>
          </w:tcPr>
          <w:p>
            <w:pPr>
              <w:pStyle w:val="TableParagraph"/>
              <w:spacing w:before="51"/>
              <w:ind w:right="24"/>
              <w:jc w:val="right"/>
              <w:rPr>
                <w:sz w:val="11"/>
              </w:rPr>
            </w:pPr>
            <w:r>
              <w:rPr>
                <w:sz w:val="11"/>
              </w:rPr>
              <w:t>0.0%</w:t>
            </w:r>
          </w:p>
        </w:tc>
      </w:tr>
      <w:tr>
        <w:trPr>
          <w:trHeight w:val="178" w:hRule="atLeast"/>
        </w:trPr>
        <w:tc>
          <w:tcPr>
            <w:tcW w:w="4482" w:type="dxa"/>
            <w:gridSpan w:val="2"/>
          </w:tcPr>
          <w:p>
            <w:pPr>
              <w:pStyle w:val="TableParagraph"/>
              <w:spacing w:line="107" w:lineRule="exact" w:before="51"/>
              <w:ind w:left="90"/>
              <w:rPr>
                <w:sz w:val="11"/>
              </w:rPr>
            </w:pPr>
            <w:r>
              <w:rPr>
                <w:sz w:val="11"/>
              </w:rPr>
              <w:t>(c) TOTAL, SOURCES</w:t>
            </w:r>
          </w:p>
        </w:tc>
        <w:tc>
          <w:tcPr>
            <w:tcW w:w="1237" w:type="dxa"/>
          </w:tcPr>
          <w:p>
            <w:pPr>
              <w:pStyle w:val="TableParagraph"/>
              <w:spacing w:line="107" w:lineRule="exact" w:before="51"/>
              <w:ind w:right="288"/>
              <w:jc w:val="right"/>
              <w:rPr>
                <w:sz w:val="11"/>
              </w:rPr>
            </w:pPr>
            <w:r>
              <w:rPr>
                <w:sz w:val="11"/>
              </w:rPr>
              <w:t>0.00</w:t>
            </w:r>
          </w:p>
        </w:tc>
        <w:tc>
          <w:tcPr>
            <w:tcW w:w="1262" w:type="dxa"/>
          </w:tcPr>
          <w:p>
            <w:pPr>
              <w:pStyle w:val="TableParagraph"/>
              <w:spacing w:line="107" w:lineRule="exact" w:before="51"/>
              <w:ind w:right="442"/>
              <w:jc w:val="right"/>
              <w:rPr>
                <w:sz w:val="11"/>
              </w:rPr>
            </w:pPr>
            <w:r>
              <w:rPr>
                <w:sz w:val="11"/>
              </w:rPr>
              <w:t>0.00</w:t>
            </w:r>
          </w:p>
        </w:tc>
        <w:tc>
          <w:tcPr>
            <w:tcW w:w="918" w:type="dxa"/>
          </w:tcPr>
          <w:p>
            <w:pPr>
              <w:pStyle w:val="TableParagraph"/>
              <w:spacing w:line="107" w:lineRule="exact" w:before="51"/>
              <w:ind w:right="251"/>
              <w:jc w:val="right"/>
              <w:rPr>
                <w:sz w:val="11"/>
              </w:rPr>
            </w:pPr>
            <w:r>
              <w:rPr>
                <w:sz w:val="11"/>
              </w:rPr>
              <w:t>0.00</w:t>
            </w:r>
          </w:p>
        </w:tc>
        <w:tc>
          <w:tcPr>
            <w:tcW w:w="1146" w:type="dxa"/>
          </w:tcPr>
          <w:p>
            <w:pPr>
              <w:pStyle w:val="TableParagraph"/>
              <w:spacing w:line="107" w:lineRule="exact" w:before="51"/>
              <w:ind w:right="288"/>
              <w:jc w:val="right"/>
              <w:rPr>
                <w:sz w:val="11"/>
              </w:rPr>
            </w:pPr>
            <w:r>
              <w:rPr>
                <w:sz w:val="11"/>
              </w:rPr>
              <w:t>0.00</w:t>
            </w:r>
          </w:p>
        </w:tc>
        <w:tc>
          <w:tcPr>
            <w:tcW w:w="1262" w:type="dxa"/>
          </w:tcPr>
          <w:p>
            <w:pPr>
              <w:pStyle w:val="TableParagraph"/>
              <w:spacing w:line="107" w:lineRule="exact" w:before="51"/>
              <w:ind w:right="441"/>
              <w:jc w:val="right"/>
              <w:rPr>
                <w:sz w:val="11"/>
              </w:rPr>
            </w:pPr>
            <w:r>
              <w:rPr>
                <w:sz w:val="11"/>
              </w:rPr>
              <w:t>0.00</w:t>
            </w:r>
          </w:p>
        </w:tc>
        <w:tc>
          <w:tcPr>
            <w:tcW w:w="857" w:type="dxa"/>
          </w:tcPr>
          <w:p>
            <w:pPr>
              <w:pStyle w:val="TableParagraph"/>
              <w:spacing w:line="107" w:lineRule="exact" w:before="51"/>
              <w:ind w:right="189"/>
              <w:jc w:val="right"/>
              <w:rPr>
                <w:sz w:val="11"/>
              </w:rPr>
            </w:pPr>
            <w:r>
              <w:rPr>
                <w:sz w:val="11"/>
              </w:rPr>
              <w:t>0.00</w:t>
            </w:r>
          </w:p>
        </w:tc>
        <w:tc>
          <w:tcPr>
            <w:tcW w:w="477" w:type="dxa"/>
          </w:tcPr>
          <w:p>
            <w:pPr>
              <w:pStyle w:val="TableParagraph"/>
              <w:spacing w:line="107" w:lineRule="exact" w:before="51"/>
              <w:ind w:right="24"/>
              <w:jc w:val="right"/>
              <w:rPr>
                <w:sz w:val="11"/>
              </w:rPr>
            </w:pPr>
            <w:r>
              <w:rPr>
                <w:sz w:val="11"/>
              </w:rPr>
              <w:t>0.0%</w:t>
            </w:r>
          </w:p>
        </w:tc>
      </w:tr>
      <w:tr>
        <w:trPr>
          <w:trHeight w:val="348" w:hRule="atLeast"/>
        </w:trPr>
        <w:tc>
          <w:tcPr>
            <w:tcW w:w="3859" w:type="dxa"/>
          </w:tcPr>
          <w:p>
            <w:pPr>
              <w:pStyle w:val="TableParagraph"/>
              <w:spacing w:before="7"/>
              <w:rPr>
                <w:sz w:val="14"/>
              </w:rPr>
            </w:pPr>
          </w:p>
          <w:p>
            <w:pPr>
              <w:pStyle w:val="TableParagraph"/>
              <w:ind w:left="90"/>
              <w:rPr>
                <w:b/>
                <w:sz w:val="11"/>
              </w:rPr>
            </w:pPr>
            <w:r>
              <w:rPr>
                <w:b/>
                <w:sz w:val="11"/>
              </w:rPr>
              <w:t>USES</w:t>
            </w:r>
          </w:p>
        </w:tc>
        <w:tc>
          <w:tcPr>
            <w:tcW w:w="623" w:type="dxa"/>
          </w:tcPr>
          <w:p>
            <w:pPr>
              <w:pStyle w:val="TableParagraph"/>
              <w:rPr>
                <w:rFonts w:ascii="Times New Roman"/>
                <w:sz w:val="10"/>
              </w:rPr>
            </w:pPr>
          </w:p>
        </w:tc>
        <w:tc>
          <w:tcPr>
            <w:tcW w:w="1237" w:type="dxa"/>
          </w:tcPr>
          <w:p>
            <w:pPr>
              <w:pStyle w:val="TableParagraph"/>
              <w:rPr>
                <w:rFonts w:ascii="Times New Roman"/>
                <w:sz w:val="10"/>
              </w:rPr>
            </w:pPr>
          </w:p>
        </w:tc>
        <w:tc>
          <w:tcPr>
            <w:tcW w:w="1262" w:type="dxa"/>
          </w:tcPr>
          <w:p>
            <w:pPr>
              <w:pStyle w:val="TableParagraph"/>
              <w:rPr>
                <w:rFonts w:ascii="Times New Roman"/>
                <w:sz w:val="10"/>
              </w:rPr>
            </w:pPr>
          </w:p>
        </w:tc>
        <w:tc>
          <w:tcPr>
            <w:tcW w:w="918" w:type="dxa"/>
          </w:tcPr>
          <w:p>
            <w:pPr>
              <w:pStyle w:val="TableParagraph"/>
              <w:rPr>
                <w:rFonts w:ascii="Times New Roman"/>
                <w:sz w:val="10"/>
              </w:rPr>
            </w:pPr>
          </w:p>
        </w:tc>
        <w:tc>
          <w:tcPr>
            <w:tcW w:w="1146" w:type="dxa"/>
          </w:tcPr>
          <w:p>
            <w:pPr>
              <w:pStyle w:val="TableParagraph"/>
              <w:rPr>
                <w:rFonts w:ascii="Times New Roman"/>
                <w:sz w:val="10"/>
              </w:rPr>
            </w:pPr>
          </w:p>
        </w:tc>
        <w:tc>
          <w:tcPr>
            <w:tcW w:w="1262" w:type="dxa"/>
          </w:tcPr>
          <w:p>
            <w:pPr>
              <w:pStyle w:val="TableParagraph"/>
              <w:rPr>
                <w:rFonts w:ascii="Times New Roman"/>
                <w:sz w:val="10"/>
              </w:rPr>
            </w:pPr>
          </w:p>
        </w:tc>
        <w:tc>
          <w:tcPr>
            <w:tcW w:w="857" w:type="dxa"/>
          </w:tcPr>
          <w:p>
            <w:pPr>
              <w:pStyle w:val="TableParagraph"/>
              <w:rPr>
                <w:rFonts w:ascii="Times New Roman"/>
                <w:sz w:val="10"/>
              </w:rPr>
            </w:pPr>
          </w:p>
        </w:tc>
        <w:tc>
          <w:tcPr>
            <w:tcW w:w="477" w:type="dxa"/>
          </w:tcPr>
          <w:p>
            <w:pPr>
              <w:pStyle w:val="TableParagraph"/>
              <w:rPr>
                <w:rFonts w:ascii="Times New Roman"/>
                <w:sz w:val="10"/>
              </w:rPr>
            </w:pPr>
          </w:p>
        </w:tc>
      </w:tr>
      <w:tr>
        <w:trPr>
          <w:trHeight w:val="382" w:hRule="atLeast"/>
        </w:trPr>
        <w:tc>
          <w:tcPr>
            <w:tcW w:w="3859" w:type="dxa"/>
          </w:tcPr>
          <w:p>
            <w:pPr>
              <w:pStyle w:val="TableParagraph"/>
              <w:spacing w:line="288" w:lineRule="auto" w:before="52"/>
              <w:ind w:left="214" w:right="1832" w:hanging="32"/>
              <w:rPr>
                <w:sz w:val="11"/>
              </w:rPr>
            </w:pPr>
            <w:r>
              <w:rPr>
                <w:sz w:val="11"/>
              </w:rPr>
              <w:t>Transfers of Funds from Lapsed/Reorganized LEAs</w:t>
            </w:r>
          </w:p>
        </w:tc>
        <w:tc>
          <w:tcPr>
            <w:tcW w:w="623" w:type="dxa"/>
          </w:tcPr>
          <w:p>
            <w:pPr>
              <w:pStyle w:val="TableParagraph"/>
              <w:spacing w:before="7"/>
              <w:rPr>
                <w:sz w:val="17"/>
              </w:rPr>
            </w:pPr>
          </w:p>
          <w:p>
            <w:pPr>
              <w:pStyle w:val="TableParagraph"/>
              <w:spacing w:before="1"/>
              <w:ind w:left="28"/>
              <w:rPr>
                <w:sz w:val="11"/>
              </w:rPr>
            </w:pPr>
            <w:r>
              <w:rPr>
                <w:sz w:val="11"/>
              </w:rPr>
              <w:t>7651</w:t>
            </w:r>
          </w:p>
        </w:tc>
        <w:tc>
          <w:tcPr>
            <w:tcW w:w="1237" w:type="dxa"/>
          </w:tcPr>
          <w:p>
            <w:pPr>
              <w:pStyle w:val="TableParagraph"/>
              <w:spacing w:before="7"/>
              <w:rPr>
                <w:sz w:val="17"/>
              </w:rPr>
            </w:pPr>
          </w:p>
          <w:p>
            <w:pPr>
              <w:pStyle w:val="TableParagraph"/>
              <w:spacing w:before="1"/>
              <w:ind w:right="288"/>
              <w:jc w:val="right"/>
              <w:rPr>
                <w:sz w:val="11"/>
              </w:rPr>
            </w:pPr>
            <w:r>
              <w:rPr>
                <w:sz w:val="11"/>
              </w:rPr>
              <w:t>0.00</w:t>
            </w:r>
          </w:p>
        </w:tc>
        <w:tc>
          <w:tcPr>
            <w:tcW w:w="1262" w:type="dxa"/>
          </w:tcPr>
          <w:p>
            <w:pPr>
              <w:pStyle w:val="TableParagraph"/>
              <w:spacing w:before="7"/>
              <w:rPr>
                <w:sz w:val="17"/>
              </w:rPr>
            </w:pPr>
          </w:p>
          <w:p>
            <w:pPr>
              <w:pStyle w:val="TableParagraph"/>
              <w:spacing w:before="1"/>
              <w:ind w:right="442"/>
              <w:jc w:val="right"/>
              <w:rPr>
                <w:sz w:val="11"/>
              </w:rPr>
            </w:pPr>
            <w:r>
              <w:rPr>
                <w:sz w:val="11"/>
              </w:rPr>
              <w:t>0.00</w:t>
            </w:r>
          </w:p>
        </w:tc>
        <w:tc>
          <w:tcPr>
            <w:tcW w:w="918" w:type="dxa"/>
          </w:tcPr>
          <w:p>
            <w:pPr>
              <w:pStyle w:val="TableParagraph"/>
              <w:spacing w:before="7"/>
              <w:rPr>
                <w:sz w:val="17"/>
              </w:rPr>
            </w:pPr>
          </w:p>
          <w:p>
            <w:pPr>
              <w:pStyle w:val="TableParagraph"/>
              <w:spacing w:before="1"/>
              <w:ind w:right="251"/>
              <w:jc w:val="right"/>
              <w:rPr>
                <w:sz w:val="11"/>
              </w:rPr>
            </w:pPr>
            <w:r>
              <w:rPr>
                <w:sz w:val="11"/>
              </w:rPr>
              <w:t>0.00</w:t>
            </w:r>
          </w:p>
        </w:tc>
        <w:tc>
          <w:tcPr>
            <w:tcW w:w="1146" w:type="dxa"/>
          </w:tcPr>
          <w:p>
            <w:pPr>
              <w:pStyle w:val="TableParagraph"/>
              <w:spacing w:before="7"/>
              <w:rPr>
                <w:sz w:val="17"/>
              </w:rPr>
            </w:pPr>
          </w:p>
          <w:p>
            <w:pPr>
              <w:pStyle w:val="TableParagraph"/>
              <w:spacing w:before="1"/>
              <w:ind w:right="288"/>
              <w:jc w:val="right"/>
              <w:rPr>
                <w:sz w:val="11"/>
              </w:rPr>
            </w:pPr>
            <w:r>
              <w:rPr>
                <w:sz w:val="11"/>
              </w:rPr>
              <w:t>0.00</w:t>
            </w:r>
          </w:p>
        </w:tc>
        <w:tc>
          <w:tcPr>
            <w:tcW w:w="1262" w:type="dxa"/>
          </w:tcPr>
          <w:p>
            <w:pPr>
              <w:pStyle w:val="TableParagraph"/>
              <w:spacing w:before="7"/>
              <w:rPr>
                <w:sz w:val="17"/>
              </w:rPr>
            </w:pPr>
          </w:p>
          <w:p>
            <w:pPr>
              <w:pStyle w:val="TableParagraph"/>
              <w:spacing w:before="1"/>
              <w:ind w:right="441"/>
              <w:jc w:val="right"/>
              <w:rPr>
                <w:sz w:val="11"/>
              </w:rPr>
            </w:pPr>
            <w:r>
              <w:rPr>
                <w:sz w:val="11"/>
              </w:rPr>
              <w:t>0.00</w:t>
            </w:r>
          </w:p>
        </w:tc>
        <w:tc>
          <w:tcPr>
            <w:tcW w:w="857" w:type="dxa"/>
          </w:tcPr>
          <w:p>
            <w:pPr>
              <w:pStyle w:val="TableParagraph"/>
              <w:spacing w:before="7"/>
              <w:rPr>
                <w:sz w:val="17"/>
              </w:rPr>
            </w:pPr>
          </w:p>
          <w:p>
            <w:pPr>
              <w:pStyle w:val="TableParagraph"/>
              <w:spacing w:before="1"/>
              <w:ind w:right="189"/>
              <w:jc w:val="right"/>
              <w:rPr>
                <w:sz w:val="11"/>
              </w:rPr>
            </w:pPr>
            <w:r>
              <w:rPr>
                <w:sz w:val="11"/>
              </w:rPr>
              <w:t>0.00</w:t>
            </w:r>
          </w:p>
        </w:tc>
        <w:tc>
          <w:tcPr>
            <w:tcW w:w="477" w:type="dxa"/>
          </w:tcPr>
          <w:p>
            <w:pPr>
              <w:pStyle w:val="TableParagraph"/>
              <w:spacing w:before="7"/>
              <w:rPr>
                <w:sz w:val="17"/>
              </w:rPr>
            </w:pPr>
          </w:p>
          <w:p>
            <w:pPr>
              <w:pStyle w:val="TableParagraph"/>
              <w:spacing w:before="1"/>
              <w:ind w:right="24"/>
              <w:jc w:val="right"/>
              <w:rPr>
                <w:sz w:val="11"/>
              </w:rPr>
            </w:pPr>
            <w:r>
              <w:rPr>
                <w:sz w:val="11"/>
              </w:rPr>
              <w:t>0.0%</w:t>
            </w:r>
          </w:p>
        </w:tc>
      </w:tr>
      <w:tr>
        <w:trPr>
          <w:trHeight w:val="230" w:hRule="atLeast"/>
        </w:trPr>
        <w:tc>
          <w:tcPr>
            <w:tcW w:w="3859" w:type="dxa"/>
          </w:tcPr>
          <w:p>
            <w:pPr>
              <w:pStyle w:val="TableParagraph"/>
              <w:spacing w:before="51"/>
              <w:ind w:left="183"/>
              <w:rPr>
                <w:sz w:val="11"/>
              </w:rPr>
            </w:pPr>
            <w:r>
              <w:rPr>
                <w:sz w:val="11"/>
              </w:rPr>
              <w:t>All Other Financing Uses</w:t>
            </w:r>
          </w:p>
        </w:tc>
        <w:tc>
          <w:tcPr>
            <w:tcW w:w="623" w:type="dxa"/>
          </w:tcPr>
          <w:p>
            <w:pPr>
              <w:pStyle w:val="TableParagraph"/>
              <w:spacing w:before="51"/>
              <w:ind w:left="28"/>
              <w:rPr>
                <w:sz w:val="11"/>
              </w:rPr>
            </w:pPr>
            <w:r>
              <w:rPr>
                <w:sz w:val="11"/>
              </w:rPr>
              <w:t>7699</w:t>
            </w:r>
          </w:p>
        </w:tc>
        <w:tc>
          <w:tcPr>
            <w:tcW w:w="1237" w:type="dxa"/>
          </w:tcPr>
          <w:p>
            <w:pPr>
              <w:pStyle w:val="TableParagraph"/>
              <w:spacing w:before="51"/>
              <w:ind w:right="288"/>
              <w:jc w:val="right"/>
              <w:rPr>
                <w:sz w:val="11"/>
              </w:rPr>
            </w:pPr>
            <w:r>
              <w:rPr>
                <w:sz w:val="11"/>
              </w:rPr>
              <w:t>0.00</w:t>
            </w:r>
          </w:p>
        </w:tc>
        <w:tc>
          <w:tcPr>
            <w:tcW w:w="1262" w:type="dxa"/>
          </w:tcPr>
          <w:p>
            <w:pPr>
              <w:pStyle w:val="TableParagraph"/>
              <w:spacing w:before="51"/>
              <w:ind w:right="442"/>
              <w:jc w:val="right"/>
              <w:rPr>
                <w:sz w:val="11"/>
              </w:rPr>
            </w:pPr>
            <w:r>
              <w:rPr>
                <w:sz w:val="11"/>
              </w:rPr>
              <w:t>0.00</w:t>
            </w:r>
          </w:p>
        </w:tc>
        <w:tc>
          <w:tcPr>
            <w:tcW w:w="918" w:type="dxa"/>
          </w:tcPr>
          <w:p>
            <w:pPr>
              <w:pStyle w:val="TableParagraph"/>
              <w:spacing w:before="51"/>
              <w:ind w:right="251"/>
              <w:jc w:val="right"/>
              <w:rPr>
                <w:sz w:val="11"/>
              </w:rPr>
            </w:pPr>
            <w:r>
              <w:rPr>
                <w:sz w:val="11"/>
              </w:rPr>
              <w:t>0.00</w:t>
            </w:r>
          </w:p>
        </w:tc>
        <w:tc>
          <w:tcPr>
            <w:tcW w:w="1146" w:type="dxa"/>
          </w:tcPr>
          <w:p>
            <w:pPr>
              <w:pStyle w:val="TableParagraph"/>
              <w:spacing w:before="51"/>
              <w:ind w:right="288"/>
              <w:jc w:val="right"/>
              <w:rPr>
                <w:sz w:val="11"/>
              </w:rPr>
            </w:pPr>
            <w:r>
              <w:rPr>
                <w:sz w:val="11"/>
              </w:rPr>
              <w:t>0.00</w:t>
            </w:r>
          </w:p>
        </w:tc>
        <w:tc>
          <w:tcPr>
            <w:tcW w:w="1262" w:type="dxa"/>
          </w:tcPr>
          <w:p>
            <w:pPr>
              <w:pStyle w:val="TableParagraph"/>
              <w:spacing w:before="51"/>
              <w:ind w:right="441"/>
              <w:jc w:val="right"/>
              <w:rPr>
                <w:sz w:val="11"/>
              </w:rPr>
            </w:pPr>
            <w:r>
              <w:rPr>
                <w:sz w:val="11"/>
              </w:rPr>
              <w:t>0.00</w:t>
            </w:r>
          </w:p>
        </w:tc>
        <w:tc>
          <w:tcPr>
            <w:tcW w:w="857" w:type="dxa"/>
          </w:tcPr>
          <w:p>
            <w:pPr>
              <w:pStyle w:val="TableParagraph"/>
              <w:spacing w:before="51"/>
              <w:ind w:right="189"/>
              <w:jc w:val="right"/>
              <w:rPr>
                <w:sz w:val="11"/>
              </w:rPr>
            </w:pPr>
            <w:r>
              <w:rPr>
                <w:sz w:val="11"/>
              </w:rPr>
              <w:t>0.00</w:t>
            </w:r>
          </w:p>
        </w:tc>
        <w:tc>
          <w:tcPr>
            <w:tcW w:w="477" w:type="dxa"/>
          </w:tcPr>
          <w:p>
            <w:pPr>
              <w:pStyle w:val="TableParagraph"/>
              <w:spacing w:before="51"/>
              <w:ind w:right="24"/>
              <w:jc w:val="right"/>
              <w:rPr>
                <w:sz w:val="11"/>
              </w:rPr>
            </w:pPr>
            <w:r>
              <w:rPr>
                <w:sz w:val="11"/>
              </w:rPr>
              <w:t>0.0%</w:t>
            </w:r>
          </w:p>
        </w:tc>
      </w:tr>
      <w:tr>
        <w:trPr>
          <w:trHeight w:val="229" w:hRule="atLeast"/>
        </w:trPr>
        <w:tc>
          <w:tcPr>
            <w:tcW w:w="3859" w:type="dxa"/>
          </w:tcPr>
          <w:p>
            <w:pPr>
              <w:pStyle w:val="TableParagraph"/>
              <w:spacing w:before="51"/>
              <w:ind w:left="90"/>
              <w:rPr>
                <w:sz w:val="11"/>
              </w:rPr>
            </w:pPr>
            <w:r>
              <w:rPr>
                <w:sz w:val="11"/>
              </w:rPr>
              <w:t>(d) TOTAL, USES</w:t>
            </w:r>
          </w:p>
        </w:tc>
        <w:tc>
          <w:tcPr>
            <w:tcW w:w="623" w:type="dxa"/>
          </w:tcPr>
          <w:p>
            <w:pPr>
              <w:pStyle w:val="TableParagraph"/>
              <w:rPr>
                <w:rFonts w:ascii="Times New Roman"/>
                <w:sz w:val="10"/>
              </w:rPr>
            </w:pPr>
          </w:p>
        </w:tc>
        <w:tc>
          <w:tcPr>
            <w:tcW w:w="1237" w:type="dxa"/>
          </w:tcPr>
          <w:p>
            <w:pPr>
              <w:pStyle w:val="TableParagraph"/>
              <w:spacing w:before="51"/>
              <w:ind w:right="288"/>
              <w:jc w:val="right"/>
              <w:rPr>
                <w:sz w:val="11"/>
              </w:rPr>
            </w:pPr>
            <w:r>
              <w:rPr>
                <w:sz w:val="11"/>
              </w:rPr>
              <w:t>0.00</w:t>
            </w:r>
          </w:p>
        </w:tc>
        <w:tc>
          <w:tcPr>
            <w:tcW w:w="1262" w:type="dxa"/>
          </w:tcPr>
          <w:p>
            <w:pPr>
              <w:pStyle w:val="TableParagraph"/>
              <w:spacing w:before="51"/>
              <w:ind w:right="442"/>
              <w:jc w:val="right"/>
              <w:rPr>
                <w:sz w:val="11"/>
              </w:rPr>
            </w:pPr>
            <w:r>
              <w:rPr>
                <w:sz w:val="11"/>
              </w:rPr>
              <w:t>0.00</w:t>
            </w:r>
          </w:p>
        </w:tc>
        <w:tc>
          <w:tcPr>
            <w:tcW w:w="918" w:type="dxa"/>
          </w:tcPr>
          <w:p>
            <w:pPr>
              <w:pStyle w:val="TableParagraph"/>
              <w:spacing w:before="51"/>
              <w:ind w:right="251"/>
              <w:jc w:val="right"/>
              <w:rPr>
                <w:sz w:val="11"/>
              </w:rPr>
            </w:pPr>
            <w:r>
              <w:rPr>
                <w:sz w:val="11"/>
              </w:rPr>
              <w:t>0.00</w:t>
            </w:r>
          </w:p>
        </w:tc>
        <w:tc>
          <w:tcPr>
            <w:tcW w:w="1146" w:type="dxa"/>
          </w:tcPr>
          <w:p>
            <w:pPr>
              <w:pStyle w:val="TableParagraph"/>
              <w:spacing w:before="51"/>
              <w:ind w:right="288"/>
              <w:jc w:val="right"/>
              <w:rPr>
                <w:sz w:val="11"/>
              </w:rPr>
            </w:pPr>
            <w:r>
              <w:rPr>
                <w:sz w:val="11"/>
              </w:rPr>
              <w:t>0.00</w:t>
            </w:r>
          </w:p>
        </w:tc>
        <w:tc>
          <w:tcPr>
            <w:tcW w:w="1262" w:type="dxa"/>
          </w:tcPr>
          <w:p>
            <w:pPr>
              <w:pStyle w:val="TableParagraph"/>
              <w:spacing w:before="51"/>
              <w:ind w:right="441"/>
              <w:jc w:val="right"/>
              <w:rPr>
                <w:sz w:val="11"/>
              </w:rPr>
            </w:pPr>
            <w:r>
              <w:rPr>
                <w:sz w:val="11"/>
              </w:rPr>
              <w:t>0.00</w:t>
            </w:r>
          </w:p>
        </w:tc>
        <w:tc>
          <w:tcPr>
            <w:tcW w:w="857" w:type="dxa"/>
          </w:tcPr>
          <w:p>
            <w:pPr>
              <w:pStyle w:val="TableParagraph"/>
              <w:spacing w:before="51"/>
              <w:ind w:right="189"/>
              <w:jc w:val="right"/>
              <w:rPr>
                <w:sz w:val="11"/>
              </w:rPr>
            </w:pPr>
            <w:r>
              <w:rPr>
                <w:sz w:val="11"/>
              </w:rPr>
              <w:t>0.00</w:t>
            </w:r>
          </w:p>
        </w:tc>
        <w:tc>
          <w:tcPr>
            <w:tcW w:w="477" w:type="dxa"/>
          </w:tcPr>
          <w:p>
            <w:pPr>
              <w:pStyle w:val="TableParagraph"/>
              <w:spacing w:before="51"/>
              <w:ind w:right="24"/>
              <w:jc w:val="right"/>
              <w:rPr>
                <w:sz w:val="11"/>
              </w:rPr>
            </w:pPr>
            <w:r>
              <w:rPr>
                <w:sz w:val="11"/>
              </w:rPr>
              <w:t>0.0%</w:t>
            </w:r>
          </w:p>
        </w:tc>
      </w:tr>
      <w:tr>
        <w:trPr>
          <w:trHeight w:val="259" w:hRule="atLeast"/>
        </w:trPr>
        <w:tc>
          <w:tcPr>
            <w:tcW w:w="3859" w:type="dxa"/>
          </w:tcPr>
          <w:p>
            <w:pPr>
              <w:pStyle w:val="TableParagraph"/>
              <w:spacing w:before="50"/>
              <w:ind w:left="28"/>
              <w:rPr>
                <w:b/>
                <w:sz w:val="11"/>
              </w:rPr>
            </w:pPr>
            <w:r>
              <w:rPr>
                <w:b/>
                <w:sz w:val="11"/>
              </w:rPr>
              <w:t>CONTRIBUTIONS</w:t>
            </w:r>
          </w:p>
        </w:tc>
        <w:tc>
          <w:tcPr>
            <w:tcW w:w="623" w:type="dxa"/>
          </w:tcPr>
          <w:p>
            <w:pPr>
              <w:pStyle w:val="TableParagraph"/>
              <w:rPr>
                <w:rFonts w:ascii="Times New Roman"/>
                <w:sz w:val="10"/>
              </w:rPr>
            </w:pPr>
          </w:p>
        </w:tc>
        <w:tc>
          <w:tcPr>
            <w:tcW w:w="1237" w:type="dxa"/>
          </w:tcPr>
          <w:p>
            <w:pPr>
              <w:pStyle w:val="TableParagraph"/>
              <w:rPr>
                <w:rFonts w:ascii="Times New Roman"/>
                <w:sz w:val="10"/>
              </w:rPr>
            </w:pPr>
          </w:p>
        </w:tc>
        <w:tc>
          <w:tcPr>
            <w:tcW w:w="1262" w:type="dxa"/>
          </w:tcPr>
          <w:p>
            <w:pPr>
              <w:pStyle w:val="TableParagraph"/>
              <w:rPr>
                <w:rFonts w:ascii="Times New Roman"/>
                <w:sz w:val="10"/>
              </w:rPr>
            </w:pPr>
          </w:p>
        </w:tc>
        <w:tc>
          <w:tcPr>
            <w:tcW w:w="918" w:type="dxa"/>
          </w:tcPr>
          <w:p>
            <w:pPr>
              <w:pStyle w:val="TableParagraph"/>
              <w:rPr>
                <w:rFonts w:ascii="Times New Roman"/>
                <w:sz w:val="10"/>
              </w:rPr>
            </w:pPr>
          </w:p>
        </w:tc>
        <w:tc>
          <w:tcPr>
            <w:tcW w:w="1146" w:type="dxa"/>
          </w:tcPr>
          <w:p>
            <w:pPr>
              <w:pStyle w:val="TableParagraph"/>
              <w:rPr>
                <w:rFonts w:ascii="Times New Roman"/>
                <w:sz w:val="10"/>
              </w:rPr>
            </w:pPr>
          </w:p>
        </w:tc>
        <w:tc>
          <w:tcPr>
            <w:tcW w:w="1262" w:type="dxa"/>
          </w:tcPr>
          <w:p>
            <w:pPr>
              <w:pStyle w:val="TableParagraph"/>
              <w:rPr>
                <w:rFonts w:ascii="Times New Roman"/>
                <w:sz w:val="10"/>
              </w:rPr>
            </w:pPr>
          </w:p>
        </w:tc>
        <w:tc>
          <w:tcPr>
            <w:tcW w:w="857" w:type="dxa"/>
          </w:tcPr>
          <w:p>
            <w:pPr>
              <w:pStyle w:val="TableParagraph"/>
              <w:rPr>
                <w:rFonts w:ascii="Times New Roman"/>
                <w:sz w:val="10"/>
              </w:rPr>
            </w:pPr>
          </w:p>
        </w:tc>
        <w:tc>
          <w:tcPr>
            <w:tcW w:w="477" w:type="dxa"/>
          </w:tcPr>
          <w:p>
            <w:pPr>
              <w:pStyle w:val="TableParagraph"/>
              <w:rPr>
                <w:rFonts w:ascii="Times New Roman"/>
                <w:sz w:val="10"/>
              </w:rPr>
            </w:pPr>
          </w:p>
        </w:tc>
      </w:tr>
      <w:tr>
        <w:trPr>
          <w:trHeight w:val="260" w:hRule="atLeast"/>
        </w:trPr>
        <w:tc>
          <w:tcPr>
            <w:tcW w:w="3859" w:type="dxa"/>
          </w:tcPr>
          <w:p>
            <w:pPr>
              <w:pStyle w:val="TableParagraph"/>
              <w:spacing w:before="81"/>
              <w:ind w:left="121"/>
              <w:rPr>
                <w:sz w:val="11"/>
              </w:rPr>
            </w:pPr>
            <w:r>
              <w:rPr>
                <w:sz w:val="11"/>
              </w:rPr>
              <w:t>Contributions from Unrestricted Revenues</w:t>
            </w:r>
          </w:p>
        </w:tc>
        <w:tc>
          <w:tcPr>
            <w:tcW w:w="623" w:type="dxa"/>
          </w:tcPr>
          <w:p>
            <w:pPr>
              <w:pStyle w:val="TableParagraph"/>
              <w:spacing w:before="81"/>
              <w:ind w:left="28"/>
              <w:rPr>
                <w:sz w:val="11"/>
              </w:rPr>
            </w:pPr>
            <w:r>
              <w:rPr>
                <w:sz w:val="11"/>
              </w:rPr>
              <w:t>8980</w:t>
            </w:r>
          </w:p>
        </w:tc>
        <w:tc>
          <w:tcPr>
            <w:tcW w:w="1237" w:type="dxa"/>
          </w:tcPr>
          <w:p>
            <w:pPr>
              <w:pStyle w:val="TableParagraph"/>
              <w:spacing w:before="81"/>
              <w:ind w:right="252"/>
              <w:jc w:val="right"/>
              <w:rPr>
                <w:sz w:val="11"/>
              </w:rPr>
            </w:pPr>
            <w:r>
              <w:rPr>
                <w:sz w:val="11"/>
              </w:rPr>
              <w:t>(241,529.00)</w:t>
            </w:r>
          </w:p>
        </w:tc>
        <w:tc>
          <w:tcPr>
            <w:tcW w:w="1262" w:type="dxa"/>
          </w:tcPr>
          <w:p>
            <w:pPr>
              <w:pStyle w:val="TableParagraph"/>
              <w:spacing w:before="81"/>
              <w:ind w:right="442"/>
              <w:jc w:val="right"/>
              <w:rPr>
                <w:sz w:val="11"/>
              </w:rPr>
            </w:pPr>
            <w:r>
              <w:rPr>
                <w:sz w:val="11"/>
              </w:rPr>
              <w:t>241,529.00</w:t>
            </w:r>
          </w:p>
        </w:tc>
        <w:tc>
          <w:tcPr>
            <w:tcW w:w="918" w:type="dxa"/>
          </w:tcPr>
          <w:p>
            <w:pPr>
              <w:pStyle w:val="TableParagraph"/>
              <w:spacing w:before="81"/>
              <w:ind w:right="251"/>
              <w:jc w:val="right"/>
              <w:rPr>
                <w:sz w:val="11"/>
              </w:rPr>
            </w:pPr>
            <w:r>
              <w:rPr>
                <w:sz w:val="11"/>
              </w:rPr>
              <w:t>0.00</w:t>
            </w:r>
          </w:p>
        </w:tc>
        <w:tc>
          <w:tcPr>
            <w:tcW w:w="1146" w:type="dxa"/>
          </w:tcPr>
          <w:p>
            <w:pPr>
              <w:pStyle w:val="TableParagraph"/>
              <w:spacing w:before="81"/>
              <w:ind w:right="251"/>
              <w:jc w:val="right"/>
              <w:rPr>
                <w:sz w:val="11"/>
              </w:rPr>
            </w:pPr>
            <w:r>
              <w:rPr>
                <w:sz w:val="11"/>
              </w:rPr>
              <w:t>(221,691.00)</w:t>
            </w:r>
          </w:p>
        </w:tc>
        <w:tc>
          <w:tcPr>
            <w:tcW w:w="1262" w:type="dxa"/>
          </w:tcPr>
          <w:p>
            <w:pPr>
              <w:pStyle w:val="TableParagraph"/>
              <w:spacing w:before="81"/>
              <w:ind w:right="441"/>
              <w:jc w:val="right"/>
              <w:rPr>
                <w:sz w:val="11"/>
              </w:rPr>
            </w:pPr>
            <w:r>
              <w:rPr>
                <w:sz w:val="11"/>
              </w:rPr>
              <w:t>221,691.00</w:t>
            </w:r>
          </w:p>
        </w:tc>
        <w:tc>
          <w:tcPr>
            <w:tcW w:w="857" w:type="dxa"/>
          </w:tcPr>
          <w:p>
            <w:pPr>
              <w:pStyle w:val="TableParagraph"/>
              <w:spacing w:before="81"/>
              <w:ind w:right="189"/>
              <w:jc w:val="right"/>
              <w:rPr>
                <w:sz w:val="11"/>
              </w:rPr>
            </w:pPr>
            <w:r>
              <w:rPr>
                <w:sz w:val="11"/>
              </w:rPr>
              <w:t>0.00</w:t>
            </w:r>
          </w:p>
        </w:tc>
        <w:tc>
          <w:tcPr>
            <w:tcW w:w="477" w:type="dxa"/>
          </w:tcPr>
          <w:p>
            <w:pPr>
              <w:pStyle w:val="TableParagraph"/>
              <w:spacing w:before="81"/>
              <w:ind w:right="24"/>
              <w:jc w:val="right"/>
              <w:rPr>
                <w:sz w:val="11"/>
              </w:rPr>
            </w:pPr>
            <w:r>
              <w:rPr>
                <w:sz w:val="11"/>
              </w:rPr>
              <w:t>0.0%</w:t>
            </w:r>
          </w:p>
        </w:tc>
      </w:tr>
      <w:tr>
        <w:trPr>
          <w:trHeight w:val="230" w:hRule="atLeast"/>
        </w:trPr>
        <w:tc>
          <w:tcPr>
            <w:tcW w:w="3859" w:type="dxa"/>
          </w:tcPr>
          <w:p>
            <w:pPr>
              <w:pStyle w:val="TableParagraph"/>
              <w:spacing w:before="51"/>
              <w:ind w:left="121"/>
              <w:rPr>
                <w:sz w:val="11"/>
              </w:rPr>
            </w:pPr>
            <w:r>
              <w:rPr>
                <w:sz w:val="11"/>
              </w:rPr>
              <w:t>Contributions from Restricted Revenues</w:t>
            </w:r>
          </w:p>
        </w:tc>
        <w:tc>
          <w:tcPr>
            <w:tcW w:w="623" w:type="dxa"/>
          </w:tcPr>
          <w:p>
            <w:pPr>
              <w:pStyle w:val="TableParagraph"/>
              <w:spacing w:before="51"/>
              <w:ind w:left="28"/>
              <w:rPr>
                <w:sz w:val="11"/>
              </w:rPr>
            </w:pPr>
            <w:r>
              <w:rPr>
                <w:sz w:val="11"/>
              </w:rPr>
              <w:t>8990</w:t>
            </w:r>
          </w:p>
        </w:tc>
        <w:tc>
          <w:tcPr>
            <w:tcW w:w="1237" w:type="dxa"/>
          </w:tcPr>
          <w:p>
            <w:pPr>
              <w:pStyle w:val="TableParagraph"/>
              <w:spacing w:before="51"/>
              <w:ind w:right="288"/>
              <w:jc w:val="right"/>
              <w:rPr>
                <w:sz w:val="11"/>
              </w:rPr>
            </w:pPr>
            <w:r>
              <w:rPr>
                <w:sz w:val="11"/>
              </w:rPr>
              <w:t>0.00</w:t>
            </w:r>
          </w:p>
        </w:tc>
        <w:tc>
          <w:tcPr>
            <w:tcW w:w="1262" w:type="dxa"/>
          </w:tcPr>
          <w:p>
            <w:pPr>
              <w:pStyle w:val="TableParagraph"/>
              <w:spacing w:before="51"/>
              <w:ind w:right="442"/>
              <w:jc w:val="right"/>
              <w:rPr>
                <w:sz w:val="11"/>
              </w:rPr>
            </w:pPr>
            <w:r>
              <w:rPr>
                <w:sz w:val="11"/>
              </w:rPr>
              <w:t>0.00</w:t>
            </w:r>
          </w:p>
        </w:tc>
        <w:tc>
          <w:tcPr>
            <w:tcW w:w="918" w:type="dxa"/>
          </w:tcPr>
          <w:p>
            <w:pPr>
              <w:pStyle w:val="TableParagraph"/>
              <w:spacing w:before="51"/>
              <w:ind w:right="251"/>
              <w:jc w:val="right"/>
              <w:rPr>
                <w:sz w:val="11"/>
              </w:rPr>
            </w:pPr>
            <w:r>
              <w:rPr>
                <w:sz w:val="11"/>
              </w:rPr>
              <w:t>0.00</w:t>
            </w:r>
          </w:p>
        </w:tc>
        <w:tc>
          <w:tcPr>
            <w:tcW w:w="1146" w:type="dxa"/>
          </w:tcPr>
          <w:p>
            <w:pPr>
              <w:pStyle w:val="TableParagraph"/>
              <w:spacing w:before="51"/>
              <w:ind w:right="288"/>
              <w:jc w:val="right"/>
              <w:rPr>
                <w:sz w:val="11"/>
              </w:rPr>
            </w:pPr>
            <w:r>
              <w:rPr>
                <w:sz w:val="11"/>
              </w:rPr>
              <w:t>0.00</w:t>
            </w:r>
          </w:p>
        </w:tc>
        <w:tc>
          <w:tcPr>
            <w:tcW w:w="1262" w:type="dxa"/>
          </w:tcPr>
          <w:p>
            <w:pPr>
              <w:pStyle w:val="TableParagraph"/>
              <w:spacing w:before="51"/>
              <w:ind w:right="441"/>
              <w:jc w:val="right"/>
              <w:rPr>
                <w:sz w:val="11"/>
              </w:rPr>
            </w:pPr>
            <w:r>
              <w:rPr>
                <w:sz w:val="11"/>
              </w:rPr>
              <w:t>0.00</w:t>
            </w:r>
          </w:p>
        </w:tc>
        <w:tc>
          <w:tcPr>
            <w:tcW w:w="857" w:type="dxa"/>
          </w:tcPr>
          <w:p>
            <w:pPr>
              <w:pStyle w:val="TableParagraph"/>
              <w:spacing w:before="51"/>
              <w:ind w:right="189"/>
              <w:jc w:val="right"/>
              <w:rPr>
                <w:sz w:val="11"/>
              </w:rPr>
            </w:pPr>
            <w:r>
              <w:rPr>
                <w:sz w:val="11"/>
              </w:rPr>
              <w:t>0.00</w:t>
            </w:r>
          </w:p>
        </w:tc>
        <w:tc>
          <w:tcPr>
            <w:tcW w:w="477" w:type="dxa"/>
          </w:tcPr>
          <w:p>
            <w:pPr>
              <w:pStyle w:val="TableParagraph"/>
              <w:spacing w:before="51"/>
              <w:ind w:right="24"/>
              <w:jc w:val="right"/>
              <w:rPr>
                <w:sz w:val="11"/>
              </w:rPr>
            </w:pPr>
            <w:r>
              <w:rPr>
                <w:sz w:val="11"/>
              </w:rPr>
              <w:t>0.0%</w:t>
            </w:r>
          </w:p>
        </w:tc>
      </w:tr>
      <w:tr>
        <w:trPr>
          <w:trHeight w:val="262" w:hRule="atLeast"/>
        </w:trPr>
        <w:tc>
          <w:tcPr>
            <w:tcW w:w="3859" w:type="dxa"/>
          </w:tcPr>
          <w:p>
            <w:pPr>
              <w:pStyle w:val="TableParagraph"/>
              <w:spacing w:before="51"/>
              <w:ind w:left="90"/>
              <w:rPr>
                <w:sz w:val="11"/>
              </w:rPr>
            </w:pPr>
            <w:r>
              <w:rPr>
                <w:sz w:val="11"/>
              </w:rPr>
              <w:t>(e) TOTAL, CONTRIBUTIONS</w:t>
            </w:r>
          </w:p>
        </w:tc>
        <w:tc>
          <w:tcPr>
            <w:tcW w:w="623" w:type="dxa"/>
          </w:tcPr>
          <w:p>
            <w:pPr>
              <w:pStyle w:val="TableParagraph"/>
              <w:rPr>
                <w:rFonts w:ascii="Times New Roman"/>
                <w:sz w:val="10"/>
              </w:rPr>
            </w:pPr>
          </w:p>
        </w:tc>
        <w:tc>
          <w:tcPr>
            <w:tcW w:w="1237" w:type="dxa"/>
          </w:tcPr>
          <w:p>
            <w:pPr>
              <w:pStyle w:val="TableParagraph"/>
              <w:spacing w:before="51"/>
              <w:ind w:right="252"/>
              <w:jc w:val="right"/>
              <w:rPr>
                <w:sz w:val="11"/>
              </w:rPr>
            </w:pPr>
            <w:r>
              <w:rPr>
                <w:sz w:val="11"/>
              </w:rPr>
              <w:t>(241,529.00)</w:t>
            </w:r>
          </w:p>
        </w:tc>
        <w:tc>
          <w:tcPr>
            <w:tcW w:w="1262" w:type="dxa"/>
          </w:tcPr>
          <w:p>
            <w:pPr>
              <w:pStyle w:val="TableParagraph"/>
              <w:spacing w:before="51"/>
              <w:ind w:right="442"/>
              <w:jc w:val="right"/>
              <w:rPr>
                <w:sz w:val="11"/>
              </w:rPr>
            </w:pPr>
            <w:r>
              <w:rPr>
                <w:sz w:val="11"/>
              </w:rPr>
              <w:t>241,529.00</w:t>
            </w:r>
          </w:p>
        </w:tc>
        <w:tc>
          <w:tcPr>
            <w:tcW w:w="918" w:type="dxa"/>
          </w:tcPr>
          <w:p>
            <w:pPr>
              <w:pStyle w:val="TableParagraph"/>
              <w:spacing w:before="51"/>
              <w:ind w:right="251"/>
              <w:jc w:val="right"/>
              <w:rPr>
                <w:sz w:val="11"/>
              </w:rPr>
            </w:pPr>
            <w:r>
              <w:rPr>
                <w:sz w:val="11"/>
              </w:rPr>
              <w:t>0.00</w:t>
            </w:r>
          </w:p>
        </w:tc>
        <w:tc>
          <w:tcPr>
            <w:tcW w:w="1146" w:type="dxa"/>
          </w:tcPr>
          <w:p>
            <w:pPr>
              <w:pStyle w:val="TableParagraph"/>
              <w:spacing w:before="51"/>
              <w:ind w:right="251"/>
              <w:jc w:val="right"/>
              <w:rPr>
                <w:sz w:val="11"/>
              </w:rPr>
            </w:pPr>
            <w:r>
              <w:rPr>
                <w:sz w:val="11"/>
              </w:rPr>
              <w:t>(221,691.00)</w:t>
            </w:r>
          </w:p>
        </w:tc>
        <w:tc>
          <w:tcPr>
            <w:tcW w:w="1262" w:type="dxa"/>
          </w:tcPr>
          <w:p>
            <w:pPr>
              <w:pStyle w:val="TableParagraph"/>
              <w:spacing w:before="51"/>
              <w:ind w:right="441"/>
              <w:jc w:val="right"/>
              <w:rPr>
                <w:sz w:val="11"/>
              </w:rPr>
            </w:pPr>
            <w:r>
              <w:rPr>
                <w:sz w:val="11"/>
              </w:rPr>
              <w:t>221,691.00</w:t>
            </w:r>
          </w:p>
        </w:tc>
        <w:tc>
          <w:tcPr>
            <w:tcW w:w="857" w:type="dxa"/>
          </w:tcPr>
          <w:p>
            <w:pPr>
              <w:pStyle w:val="TableParagraph"/>
              <w:spacing w:before="51"/>
              <w:ind w:right="189"/>
              <w:jc w:val="right"/>
              <w:rPr>
                <w:sz w:val="11"/>
              </w:rPr>
            </w:pPr>
            <w:r>
              <w:rPr>
                <w:sz w:val="11"/>
              </w:rPr>
              <w:t>0.00</w:t>
            </w:r>
          </w:p>
        </w:tc>
        <w:tc>
          <w:tcPr>
            <w:tcW w:w="477" w:type="dxa"/>
          </w:tcPr>
          <w:p>
            <w:pPr>
              <w:pStyle w:val="TableParagraph"/>
              <w:spacing w:before="51"/>
              <w:ind w:right="24"/>
              <w:jc w:val="right"/>
              <w:rPr>
                <w:sz w:val="11"/>
              </w:rPr>
            </w:pPr>
            <w:r>
              <w:rPr>
                <w:sz w:val="11"/>
              </w:rPr>
              <w:t>0.0%</w:t>
            </w:r>
          </w:p>
        </w:tc>
      </w:tr>
      <w:tr>
        <w:trPr>
          <w:trHeight w:val="364" w:hRule="atLeast"/>
        </w:trPr>
        <w:tc>
          <w:tcPr>
            <w:tcW w:w="3859" w:type="dxa"/>
          </w:tcPr>
          <w:p>
            <w:pPr>
              <w:pStyle w:val="TableParagraph"/>
              <w:spacing w:before="83"/>
              <w:ind w:left="28"/>
              <w:rPr>
                <w:b/>
                <w:sz w:val="11"/>
              </w:rPr>
            </w:pPr>
            <w:r>
              <w:rPr>
                <w:b/>
                <w:sz w:val="11"/>
              </w:rPr>
              <w:t>TOTAL, OTHER FINANCING SOURCES/USES</w:t>
            </w:r>
          </w:p>
          <w:p>
            <w:pPr>
              <w:pStyle w:val="TableParagraph"/>
              <w:spacing w:line="107" w:lineRule="exact" w:before="27"/>
              <w:ind w:left="90"/>
              <w:rPr>
                <w:sz w:val="11"/>
              </w:rPr>
            </w:pPr>
            <w:r>
              <w:rPr>
                <w:sz w:val="11"/>
              </w:rPr>
              <w:t>(a - b + c - d + e)</w:t>
            </w:r>
          </w:p>
        </w:tc>
        <w:tc>
          <w:tcPr>
            <w:tcW w:w="623" w:type="dxa"/>
          </w:tcPr>
          <w:p>
            <w:pPr>
              <w:pStyle w:val="TableParagraph"/>
              <w:rPr>
                <w:rFonts w:ascii="Times New Roman"/>
                <w:sz w:val="10"/>
              </w:rPr>
            </w:pPr>
          </w:p>
        </w:tc>
        <w:tc>
          <w:tcPr>
            <w:tcW w:w="1237" w:type="dxa"/>
          </w:tcPr>
          <w:p>
            <w:pPr>
              <w:pStyle w:val="TableParagraph"/>
              <w:rPr>
                <w:sz w:val="12"/>
              </w:rPr>
            </w:pPr>
          </w:p>
          <w:p>
            <w:pPr>
              <w:pStyle w:val="TableParagraph"/>
              <w:spacing w:line="107" w:lineRule="exact" w:before="99"/>
              <w:ind w:right="252"/>
              <w:jc w:val="right"/>
              <w:rPr>
                <w:sz w:val="11"/>
              </w:rPr>
            </w:pPr>
            <w:r>
              <w:rPr>
                <w:sz w:val="11"/>
              </w:rPr>
              <w:t>(241,529.00)</w:t>
            </w:r>
          </w:p>
        </w:tc>
        <w:tc>
          <w:tcPr>
            <w:tcW w:w="1262" w:type="dxa"/>
          </w:tcPr>
          <w:p>
            <w:pPr>
              <w:pStyle w:val="TableParagraph"/>
              <w:rPr>
                <w:sz w:val="12"/>
              </w:rPr>
            </w:pPr>
          </w:p>
          <w:p>
            <w:pPr>
              <w:pStyle w:val="TableParagraph"/>
              <w:spacing w:line="107" w:lineRule="exact" w:before="99"/>
              <w:ind w:right="442"/>
              <w:jc w:val="right"/>
              <w:rPr>
                <w:sz w:val="11"/>
              </w:rPr>
            </w:pPr>
            <w:r>
              <w:rPr>
                <w:sz w:val="11"/>
              </w:rPr>
              <w:t>241,529.00</w:t>
            </w:r>
          </w:p>
        </w:tc>
        <w:tc>
          <w:tcPr>
            <w:tcW w:w="918" w:type="dxa"/>
          </w:tcPr>
          <w:p>
            <w:pPr>
              <w:pStyle w:val="TableParagraph"/>
              <w:rPr>
                <w:sz w:val="12"/>
              </w:rPr>
            </w:pPr>
          </w:p>
          <w:p>
            <w:pPr>
              <w:pStyle w:val="TableParagraph"/>
              <w:spacing w:line="107" w:lineRule="exact" w:before="99"/>
              <w:ind w:right="251"/>
              <w:jc w:val="right"/>
              <w:rPr>
                <w:sz w:val="11"/>
              </w:rPr>
            </w:pPr>
            <w:r>
              <w:rPr>
                <w:sz w:val="11"/>
              </w:rPr>
              <w:t>0.00</w:t>
            </w:r>
          </w:p>
        </w:tc>
        <w:tc>
          <w:tcPr>
            <w:tcW w:w="1146" w:type="dxa"/>
          </w:tcPr>
          <w:p>
            <w:pPr>
              <w:pStyle w:val="TableParagraph"/>
              <w:rPr>
                <w:sz w:val="12"/>
              </w:rPr>
            </w:pPr>
          </w:p>
          <w:p>
            <w:pPr>
              <w:pStyle w:val="TableParagraph"/>
              <w:spacing w:line="107" w:lineRule="exact" w:before="99"/>
              <w:ind w:right="251"/>
              <w:jc w:val="right"/>
              <w:rPr>
                <w:sz w:val="11"/>
              </w:rPr>
            </w:pPr>
            <w:r>
              <w:rPr>
                <w:sz w:val="11"/>
              </w:rPr>
              <w:t>(221,691.00)</w:t>
            </w:r>
          </w:p>
        </w:tc>
        <w:tc>
          <w:tcPr>
            <w:tcW w:w="1262" w:type="dxa"/>
          </w:tcPr>
          <w:p>
            <w:pPr>
              <w:pStyle w:val="TableParagraph"/>
              <w:rPr>
                <w:sz w:val="12"/>
              </w:rPr>
            </w:pPr>
          </w:p>
          <w:p>
            <w:pPr>
              <w:pStyle w:val="TableParagraph"/>
              <w:spacing w:line="107" w:lineRule="exact" w:before="99"/>
              <w:ind w:right="441"/>
              <w:jc w:val="right"/>
              <w:rPr>
                <w:sz w:val="11"/>
              </w:rPr>
            </w:pPr>
            <w:r>
              <w:rPr>
                <w:sz w:val="11"/>
              </w:rPr>
              <w:t>221,691.00</w:t>
            </w:r>
          </w:p>
        </w:tc>
        <w:tc>
          <w:tcPr>
            <w:tcW w:w="857" w:type="dxa"/>
          </w:tcPr>
          <w:p>
            <w:pPr>
              <w:pStyle w:val="TableParagraph"/>
              <w:rPr>
                <w:sz w:val="12"/>
              </w:rPr>
            </w:pPr>
          </w:p>
          <w:p>
            <w:pPr>
              <w:pStyle w:val="TableParagraph"/>
              <w:spacing w:line="107" w:lineRule="exact" w:before="99"/>
              <w:ind w:right="189"/>
              <w:jc w:val="right"/>
              <w:rPr>
                <w:sz w:val="11"/>
              </w:rPr>
            </w:pPr>
            <w:r>
              <w:rPr>
                <w:sz w:val="11"/>
              </w:rPr>
              <w:t>0.00</w:t>
            </w:r>
          </w:p>
        </w:tc>
        <w:tc>
          <w:tcPr>
            <w:tcW w:w="477" w:type="dxa"/>
          </w:tcPr>
          <w:p>
            <w:pPr>
              <w:pStyle w:val="TableParagraph"/>
              <w:rPr>
                <w:sz w:val="12"/>
              </w:rPr>
            </w:pPr>
          </w:p>
          <w:p>
            <w:pPr>
              <w:pStyle w:val="TableParagraph"/>
              <w:spacing w:line="107" w:lineRule="exact" w:before="99"/>
              <w:ind w:right="24"/>
              <w:jc w:val="right"/>
              <w:rPr>
                <w:sz w:val="11"/>
              </w:rPr>
            </w:pPr>
            <w:r>
              <w:rPr>
                <w:sz w:val="11"/>
              </w:rPr>
              <w:t>0.0%</w:t>
            </w:r>
          </w:p>
        </w:tc>
      </w:tr>
    </w:tbl>
    <w:p>
      <w:pPr>
        <w:spacing w:after="0" w:line="107" w:lineRule="exact"/>
        <w:jc w:val="right"/>
        <w:rPr>
          <w:sz w:val="11"/>
        </w:rPr>
        <w:sectPr>
          <w:pgSz w:w="12240" w:h="15840"/>
          <w:pgMar w:header="59" w:footer="240" w:top="560" w:bottom="440" w:left="160" w:right="180"/>
        </w:sectPr>
      </w:pPr>
    </w:p>
    <w:p>
      <w:pPr>
        <w:pStyle w:val="BodyText"/>
        <w:rPr>
          <w:sz w:val="20"/>
        </w:rPr>
      </w:pPr>
      <w:r>
        <w:rPr/>
        <w:pict>
          <v:group style="position:absolute;margin-left:15.36pt;margin-top:47.040001pt;width:579.15pt;height:252.4pt;mso-position-horizontal-relative:page;mso-position-vertical-relative:page;z-index:-314568704" coordorigin="307,941" coordsize="11583,5048">
            <v:shape style="position:absolute;left:307;top:940;width:11583;height:171" type="#_x0000_t75" stroked="false">
              <v:imagedata r:id="rId343" o:title=""/>
            </v:shape>
            <v:shape style="position:absolute;left:307;top:1106;width:2542;height:490" type="#_x0000_t75" stroked="false">
              <v:imagedata r:id="rId344" o:title=""/>
            </v:shape>
            <v:shape style="position:absolute;left:2846;top:972;width:9044;height:624" type="#_x0000_t75" stroked="false">
              <v:imagedata r:id="rId345" o:title=""/>
            </v:shape>
            <v:shape style="position:absolute;left:4627;top:1106;width:7263;height:1114" type="#_x0000_t75" stroked="false">
              <v:imagedata r:id="rId346" o:title=""/>
            </v:shape>
            <v:shape style="position:absolute;left:4627;top:1982;width:7263;height:473" type="#_x0000_t75" stroked="false">
              <v:imagedata r:id="rId347" o:title=""/>
            </v:shape>
            <v:shape style="position:absolute;left:4627;top:2217;width:7263;height:473" type="#_x0000_t75" stroked="false">
              <v:imagedata r:id="rId348" o:title=""/>
            </v:shape>
            <v:shape style="position:absolute;left:307;top:1591;width:2542;height:1572" type="#_x0000_t75" stroked="false">
              <v:imagedata r:id="rId349" o:title=""/>
            </v:shape>
            <v:shape style="position:absolute;left:7951;top:2452;width:3939;height:473" type="#_x0000_t75" stroked="false">
              <v:imagedata r:id="rId350" o:title=""/>
            </v:shape>
            <v:shape style="position:absolute;left:2846;top:2688;width:4001;height:476" type="#_x0000_t75" stroked="false">
              <v:imagedata r:id="rId351" o:title=""/>
            </v:shape>
            <v:shape style="position:absolute;left:5736;top:2688;width:4438;height:476" type="#_x0000_t75" stroked="false">
              <v:imagedata r:id="rId352" o:title=""/>
            </v:shape>
            <v:shape style="position:absolute;left:9062;top:2688;width:2828;height:476" type="#_x0000_t75" stroked="false">
              <v:imagedata r:id="rId353" o:title=""/>
            </v:shape>
            <v:shape style="position:absolute;left:4627;top:2923;width:7263;height:1100" type="#_x0000_t75" stroked="false">
              <v:imagedata r:id="rId354" o:title=""/>
            </v:shape>
            <v:shape style="position:absolute;left:307;top:3158;width:2542;height:2830" type="#_x0000_t75" stroked="false">
              <v:imagedata r:id="rId355" o:title=""/>
            </v:shape>
            <v:shape style="position:absolute;left:326;top:3263;width:2184;height:129" type="#_x0000_t202" filled="false" stroked="false">
              <v:textbox inset="0,0,0,0">
                <w:txbxContent>
                  <w:p>
                    <w:pPr>
                      <w:spacing w:before="1"/>
                      <w:ind w:left="0" w:right="0" w:firstLine="0"/>
                      <w:jc w:val="left"/>
                      <w:rPr>
                        <w:b/>
                        <w:sz w:val="11"/>
                      </w:rPr>
                    </w:pPr>
                    <w:r>
                      <w:rPr>
                        <w:b/>
                        <w:w w:val="105"/>
                        <w:sz w:val="11"/>
                      </w:rPr>
                      <w:t>B. EXPENDITURES (Objects 1000-7999)</w:t>
                    </w:r>
                  </w:p>
                </w:txbxContent>
              </v:textbox>
              <w10:wrap type="none"/>
            </v:shape>
            <w10:wrap type="none"/>
          </v:group>
        </w:pict>
      </w:r>
      <w:r>
        <w:rPr/>
        <w:pict>
          <v:group style="position:absolute;margin-left:15.36pt;margin-top:189.240005pt;width:579.15pt;height:239.3pt;mso-position-horizontal-relative:page;mso-position-vertical-relative:page;z-index:-314567680" coordorigin="307,3785" coordsize="11583,4786">
            <v:shape style="position:absolute;left:5736;top:3784;width:6154;height:473" type="#_x0000_t75" stroked="false">
              <v:imagedata r:id="rId356" o:title=""/>
            </v:shape>
            <v:shape style="position:absolute;left:4627;top:4020;width:7263;height:708" type="#_x0000_t75" stroked="false">
              <v:imagedata r:id="rId357" o:title=""/>
            </v:shape>
            <v:shape style="position:absolute;left:4627;top:4490;width:7263;height:473" type="#_x0000_t75" stroked="false">
              <v:imagedata r:id="rId358" o:title=""/>
            </v:shape>
            <v:shape style="position:absolute;left:4627;top:4725;width:7263;height:473" type="#_x0000_t75" stroked="false">
              <v:imagedata r:id="rId358" o:title=""/>
            </v:shape>
            <v:shape style="position:absolute;left:4627;top:4960;width:7263;height:490" type="#_x0000_t75" stroked="false">
              <v:imagedata r:id="rId359" o:title=""/>
            </v:shape>
            <v:shape style="position:absolute;left:4627;top:5263;width:7263;height:488" type="#_x0000_t75" stroked="false">
              <v:imagedata r:id="rId360" o:title=""/>
            </v:shape>
            <v:shape style="position:absolute;left:2846;top:5448;width:4001;height:540" type="#_x0000_t75" stroked="false">
              <v:imagedata r:id="rId361" o:title=""/>
            </v:shape>
            <v:shape style="position:absolute;left:5736;top:5448;width:4438;height:540" type="#_x0000_t75" stroked="false">
              <v:imagedata r:id="rId362" o:title=""/>
            </v:shape>
            <v:shape style="position:absolute;left:3945;top:5448;width:7944;height:1088" type="#_x0000_t75" stroked="false">
              <v:imagedata r:id="rId363" o:title=""/>
            </v:shape>
            <v:shape style="position:absolute;left:307;top:5983;width:3641;height:552" type="#_x0000_t75" stroked="false">
              <v:imagedata r:id="rId364" o:title=""/>
            </v:shape>
            <v:shape style="position:absolute;left:7951;top:6374;width:3939;height:862" type="#_x0000_t75" stroked="false">
              <v:imagedata r:id="rId365" o:title=""/>
            </v:shape>
            <v:shape style="position:absolute;left:4627;top:6530;width:2220;height:941" type="#_x0000_t75" stroked="false">
              <v:imagedata r:id="rId366" o:title=""/>
            </v:shape>
            <v:shape style="position:absolute;left:5736;top:7077;width:4438;height:394" type="#_x0000_t75" stroked="false">
              <v:imagedata r:id="rId367" o:title=""/>
            </v:shape>
            <v:shape style="position:absolute;left:9062;top:7077;width:2828;height:394" type="#_x0000_t75" stroked="false">
              <v:imagedata r:id="rId368" o:title=""/>
            </v:shape>
            <v:shape style="position:absolute;left:11277;top:7233;width:612;height:629" type="#_x0000_t75" stroked="false">
              <v:imagedata r:id="rId369" o:title=""/>
            </v:shape>
            <v:shape style="position:absolute;left:4627;top:7468;width:7263;height:864" type="#_x0000_t75" stroked="false">
              <v:imagedata r:id="rId370" o:title=""/>
            </v:shape>
            <v:shape style="position:absolute;left:307;top:6530;width:3641;height:2040" type="#_x0000_t75" stroked="false">
              <v:imagedata r:id="rId371" o:title=""/>
            </v:shape>
            <v:shape style="position:absolute;left:3945;top:8095;width:7944;height:476" type="#_x0000_t75" stroked="false">
              <v:imagedata r:id="rId372" o:title=""/>
            </v:shape>
            <v:shape style="position:absolute;left:5736;top:8330;width:6154;height:240" type="#_x0000_t75" stroked="false">
              <v:imagedata r:id="rId373" o:title=""/>
            </v:shape>
            <w10:wrap type="none"/>
          </v:group>
        </w:pict>
      </w:r>
    </w:p>
    <w:p>
      <w:pPr>
        <w:pStyle w:val="BodyText"/>
        <w:spacing w:before="10"/>
      </w:pPr>
    </w:p>
    <w:tbl>
      <w:tblPr>
        <w:tblW w:w="0" w:type="auto"/>
        <w:jc w:val="left"/>
        <w:tblInd w:w="1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024"/>
        <w:gridCol w:w="1598"/>
        <w:gridCol w:w="784"/>
        <w:gridCol w:w="840"/>
        <w:gridCol w:w="399"/>
        <w:gridCol w:w="1117"/>
        <w:gridCol w:w="970"/>
        <w:gridCol w:w="1064"/>
        <w:gridCol w:w="1177"/>
        <w:gridCol w:w="1022"/>
        <w:gridCol w:w="599"/>
      </w:tblGrid>
      <w:tr>
        <w:trPr>
          <w:trHeight w:val="481" w:hRule="atLeast"/>
        </w:trPr>
        <w:tc>
          <w:tcPr>
            <w:tcW w:w="3622" w:type="dxa"/>
            <w:gridSpan w:val="2"/>
          </w:tcPr>
          <w:p>
            <w:pPr>
              <w:pStyle w:val="TableParagraph"/>
              <w:rPr>
                <w:rFonts w:ascii="Times New Roman"/>
                <w:sz w:val="10"/>
              </w:rPr>
            </w:pPr>
          </w:p>
        </w:tc>
        <w:tc>
          <w:tcPr>
            <w:tcW w:w="784" w:type="dxa"/>
          </w:tcPr>
          <w:p>
            <w:pPr>
              <w:pStyle w:val="TableParagraph"/>
              <w:rPr>
                <w:sz w:val="12"/>
              </w:rPr>
            </w:pPr>
          </w:p>
          <w:p>
            <w:pPr>
              <w:pStyle w:val="TableParagraph"/>
              <w:rPr>
                <w:sz w:val="12"/>
              </w:rPr>
            </w:pPr>
          </w:p>
          <w:p>
            <w:pPr>
              <w:pStyle w:val="TableParagraph"/>
              <w:spacing w:line="111" w:lineRule="exact" w:before="75"/>
              <w:ind w:left="191"/>
              <w:rPr>
                <w:b/>
                <w:sz w:val="11"/>
              </w:rPr>
            </w:pPr>
            <w:r>
              <w:rPr>
                <w:b/>
                <w:w w:val="105"/>
                <w:sz w:val="11"/>
              </w:rPr>
              <w:t>Object</w:t>
            </w:r>
          </w:p>
        </w:tc>
        <w:tc>
          <w:tcPr>
            <w:tcW w:w="840" w:type="dxa"/>
          </w:tcPr>
          <w:p>
            <w:pPr>
              <w:pStyle w:val="TableParagraph"/>
              <w:rPr>
                <w:sz w:val="12"/>
              </w:rPr>
            </w:pPr>
          </w:p>
          <w:p>
            <w:pPr>
              <w:pStyle w:val="TableParagraph"/>
              <w:rPr>
                <w:sz w:val="12"/>
              </w:rPr>
            </w:pPr>
          </w:p>
          <w:p>
            <w:pPr>
              <w:pStyle w:val="TableParagraph"/>
              <w:spacing w:line="111" w:lineRule="exact" w:before="75"/>
              <w:ind w:left="124"/>
              <w:jc w:val="center"/>
              <w:rPr>
                <w:b/>
                <w:sz w:val="11"/>
              </w:rPr>
            </w:pPr>
            <w:r>
              <w:rPr>
                <w:b/>
                <w:w w:val="105"/>
                <w:sz w:val="11"/>
              </w:rPr>
              <w:t>Unrestricted</w:t>
            </w:r>
          </w:p>
        </w:tc>
        <w:tc>
          <w:tcPr>
            <w:tcW w:w="1516" w:type="dxa"/>
            <w:gridSpan w:val="2"/>
          </w:tcPr>
          <w:p>
            <w:pPr>
              <w:pStyle w:val="TableParagraph"/>
              <w:spacing w:before="1"/>
              <w:ind w:right="18"/>
              <w:jc w:val="center"/>
              <w:rPr>
                <w:b/>
                <w:sz w:val="11"/>
              </w:rPr>
            </w:pPr>
            <w:r>
              <w:rPr>
                <w:b/>
                <w:w w:val="105"/>
                <w:sz w:val="11"/>
              </w:rPr>
              <w:t>2020-21 Estimated Actuals</w:t>
            </w:r>
          </w:p>
          <w:p>
            <w:pPr>
              <w:pStyle w:val="TableParagraph"/>
              <w:rPr>
                <w:sz w:val="12"/>
              </w:rPr>
            </w:pPr>
          </w:p>
          <w:p>
            <w:pPr>
              <w:pStyle w:val="TableParagraph"/>
              <w:spacing w:line="111" w:lineRule="exact" w:before="86"/>
              <w:ind w:right="11"/>
              <w:jc w:val="center"/>
              <w:rPr>
                <w:b/>
                <w:sz w:val="11"/>
              </w:rPr>
            </w:pPr>
            <w:r>
              <w:rPr>
                <w:b/>
                <w:w w:val="105"/>
                <w:sz w:val="11"/>
              </w:rPr>
              <w:t>Restricted</w:t>
            </w:r>
          </w:p>
        </w:tc>
        <w:tc>
          <w:tcPr>
            <w:tcW w:w="970" w:type="dxa"/>
          </w:tcPr>
          <w:p>
            <w:pPr>
              <w:pStyle w:val="TableParagraph"/>
              <w:rPr>
                <w:sz w:val="12"/>
              </w:rPr>
            </w:pPr>
          </w:p>
          <w:p>
            <w:pPr>
              <w:pStyle w:val="TableParagraph"/>
              <w:spacing w:line="130" w:lineRule="atLeast" w:before="75"/>
              <w:ind w:left="82" w:right="150" w:hanging="32"/>
              <w:rPr>
                <w:b/>
                <w:sz w:val="11"/>
              </w:rPr>
            </w:pPr>
            <w:r>
              <w:rPr>
                <w:b/>
                <w:w w:val="105"/>
                <w:sz w:val="11"/>
              </w:rPr>
              <w:t>Total Fund col. A + B</w:t>
            </w:r>
          </w:p>
        </w:tc>
        <w:tc>
          <w:tcPr>
            <w:tcW w:w="1064" w:type="dxa"/>
          </w:tcPr>
          <w:p>
            <w:pPr>
              <w:pStyle w:val="TableParagraph"/>
              <w:rPr>
                <w:sz w:val="12"/>
              </w:rPr>
            </w:pPr>
          </w:p>
          <w:p>
            <w:pPr>
              <w:pStyle w:val="TableParagraph"/>
              <w:rPr>
                <w:sz w:val="12"/>
              </w:rPr>
            </w:pPr>
          </w:p>
          <w:p>
            <w:pPr>
              <w:pStyle w:val="TableParagraph"/>
              <w:spacing w:line="111" w:lineRule="exact" w:before="75"/>
              <w:ind w:left="142"/>
              <w:rPr>
                <w:b/>
                <w:sz w:val="11"/>
              </w:rPr>
            </w:pPr>
            <w:r>
              <w:rPr>
                <w:b/>
                <w:w w:val="105"/>
                <w:sz w:val="11"/>
              </w:rPr>
              <w:t>Unrestricted</w:t>
            </w:r>
          </w:p>
        </w:tc>
        <w:tc>
          <w:tcPr>
            <w:tcW w:w="1177" w:type="dxa"/>
          </w:tcPr>
          <w:p>
            <w:pPr>
              <w:pStyle w:val="TableParagraph"/>
              <w:spacing w:before="1"/>
              <w:ind w:left="79" w:right="203"/>
              <w:jc w:val="center"/>
              <w:rPr>
                <w:b/>
                <w:sz w:val="11"/>
              </w:rPr>
            </w:pPr>
            <w:r>
              <w:rPr>
                <w:b/>
                <w:w w:val="105"/>
                <w:sz w:val="11"/>
              </w:rPr>
              <w:t>2021-22 Budget</w:t>
            </w:r>
          </w:p>
          <w:p>
            <w:pPr>
              <w:pStyle w:val="TableParagraph"/>
              <w:rPr>
                <w:sz w:val="12"/>
              </w:rPr>
            </w:pPr>
          </w:p>
          <w:p>
            <w:pPr>
              <w:pStyle w:val="TableParagraph"/>
              <w:spacing w:line="111" w:lineRule="exact" w:before="86"/>
              <w:ind w:left="79" w:right="198"/>
              <w:jc w:val="center"/>
              <w:rPr>
                <w:b/>
                <w:sz w:val="11"/>
              </w:rPr>
            </w:pPr>
            <w:r>
              <w:rPr>
                <w:b/>
                <w:w w:val="105"/>
                <w:sz w:val="11"/>
              </w:rPr>
              <w:t>Restricted</w:t>
            </w:r>
          </w:p>
        </w:tc>
        <w:tc>
          <w:tcPr>
            <w:tcW w:w="1022" w:type="dxa"/>
          </w:tcPr>
          <w:p>
            <w:pPr>
              <w:pStyle w:val="TableParagraph"/>
              <w:rPr>
                <w:sz w:val="12"/>
              </w:rPr>
            </w:pPr>
          </w:p>
          <w:p>
            <w:pPr>
              <w:pStyle w:val="TableParagraph"/>
              <w:spacing w:line="130" w:lineRule="atLeast" w:before="75"/>
              <w:ind w:left="200" w:right="86" w:hanging="34"/>
              <w:rPr>
                <w:b/>
                <w:sz w:val="11"/>
              </w:rPr>
            </w:pPr>
            <w:r>
              <w:rPr>
                <w:b/>
                <w:w w:val="105"/>
                <w:sz w:val="11"/>
              </w:rPr>
              <w:t>Total Fund col. D + E</w:t>
            </w:r>
          </w:p>
        </w:tc>
        <w:tc>
          <w:tcPr>
            <w:tcW w:w="599" w:type="dxa"/>
          </w:tcPr>
          <w:p>
            <w:pPr>
              <w:pStyle w:val="TableParagraph"/>
              <w:rPr>
                <w:sz w:val="12"/>
              </w:rPr>
            </w:pPr>
          </w:p>
          <w:p>
            <w:pPr>
              <w:pStyle w:val="TableParagraph"/>
              <w:spacing w:line="130" w:lineRule="atLeast" w:before="75"/>
              <w:ind w:left="80" w:firstLine="50"/>
              <w:rPr>
                <w:b/>
                <w:sz w:val="11"/>
              </w:rPr>
            </w:pPr>
            <w:r>
              <w:rPr>
                <w:b/>
                <w:w w:val="105"/>
                <w:sz w:val="11"/>
              </w:rPr>
              <w:t>% Diff </w:t>
            </w:r>
            <w:r>
              <w:rPr>
                <w:b/>
                <w:sz w:val="11"/>
              </w:rPr>
              <w:t>Column</w:t>
            </w:r>
          </w:p>
        </w:tc>
      </w:tr>
      <w:tr>
        <w:trPr>
          <w:trHeight w:val="184" w:hRule="atLeast"/>
        </w:trPr>
        <w:tc>
          <w:tcPr>
            <w:tcW w:w="2024" w:type="dxa"/>
          </w:tcPr>
          <w:p>
            <w:pPr>
              <w:pStyle w:val="TableParagraph"/>
              <w:spacing w:before="4"/>
              <w:ind w:left="28"/>
              <w:rPr>
                <w:b/>
                <w:sz w:val="11"/>
              </w:rPr>
            </w:pPr>
            <w:r>
              <w:rPr>
                <w:b/>
                <w:w w:val="105"/>
                <w:sz w:val="11"/>
              </w:rPr>
              <w:t>Description</w:t>
            </w:r>
          </w:p>
        </w:tc>
        <w:tc>
          <w:tcPr>
            <w:tcW w:w="1598" w:type="dxa"/>
          </w:tcPr>
          <w:p>
            <w:pPr>
              <w:pStyle w:val="TableParagraph"/>
              <w:spacing w:before="4"/>
              <w:ind w:left="644"/>
              <w:rPr>
                <w:b/>
                <w:sz w:val="11"/>
              </w:rPr>
            </w:pPr>
            <w:r>
              <w:rPr>
                <w:b/>
                <w:w w:val="105"/>
                <w:sz w:val="11"/>
              </w:rPr>
              <w:t>Function Codes</w:t>
            </w:r>
          </w:p>
        </w:tc>
        <w:tc>
          <w:tcPr>
            <w:tcW w:w="784" w:type="dxa"/>
          </w:tcPr>
          <w:p>
            <w:pPr>
              <w:pStyle w:val="TableParagraph"/>
              <w:spacing w:before="4"/>
              <w:ind w:left="193"/>
              <w:rPr>
                <w:b/>
                <w:sz w:val="11"/>
              </w:rPr>
            </w:pPr>
            <w:r>
              <w:rPr>
                <w:b/>
                <w:w w:val="105"/>
                <w:sz w:val="11"/>
              </w:rPr>
              <w:t>Codes</w:t>
            </w:r>
          </w:p>
        </w:tc>
        <w:tc>
          <w:tcPr>
            <w:tcW w:w="840" w:type="dxa"/>
          </w:tcPr>
          <w:p>
            <w:pPr>
              <w:pStyle w:val="TableParagraph"/>
              <w:spacing w:before="4"/>
              <w:ind w:left="123"/>
              <w:jc w:val="center"/>
              <w:rPr>
                <w:b/>
                <w:sz w:val="11"/>
              </w:rPr>
            </w:pPr>
            <w:r>
              <w:rPr>
                <w:b/>
                <w:w w:val="105"/>
                <w:sz w:val="11"/>
              </w:rPr>
              <w:t>(A)</w:t>
            </w:r>
          </w:p>
        </w:tc>
        <w:tc>
          <w:tcPr>
            <w:tcW w:w="1516" w:type="dxa"/>
            <w:gridSpan w:val="2"/>
          </w:tcPr>
          <w:p>
            <w:pPr>
              <w:pStyle w:val="TableParagraph"/>
              <w:spacing w:before="4"/>
              <w:ind w:right="13"/>
              <w:jc w:val="center"/>
              <w:rPr>
                <w:b/>
                <w:sz w:val="11"/>
              </w:rPr>
            </w:pPr>
            <w:r>
              <w:rPr>
                <w:b/>
                <w:w w:val="105"/>
                <w:sz w:val="11"/>
              </w:rPr>
              <w:t>(B)</w:t>
            </w:r>
          </w:p>
        </w:tc>
        <w:tc>
          <w:tcPr>
            <w:tcW w:w="970" w:type="dxa"/>
          </w:tcPr>
          <w:p>
            <w:pPr>
              <w:pStyle w:val="TableParagraph"/>
              <w:spacing w:before="4"/>
              <w:ind w:left="262"/>
              <w:rPr>
                <w:b/>
                <w:sz w:val="11"/>
              </w:rPr>
            </w:pPr>
            <w:r>
              <w:rPr>
                <w:b/>
                <w:w w:val="105"/>
                <w:sz w:val="11"/>
              </w:rPr>
              <w:t>(C)</w:t>
            </w:r>
          </w:p>
        </w:tc>
        <w:tc>
          <w:tcPr>
            <w:tcW w:w="1064" w:type="dxa"/>
          </w:tcPr>
          <w:p>
            <w:pPr>
              <w:pStyle w:val="TableParagraph"/>
              <w:spacing w:before="4"/>
              <w:ind w:left="377" w:right="475"/>
              <w:jc w:val="center"/>
              <w:rPr>
                <w:b/>
                <w:sz w:val="11"/>
              </w:rPr>
            </w:pPr>
            <w:r>
              <w:rPr>
                <w:b/>
                <w:w w:val="105"/>
                <w:sz w:val="11"/>
              </w:rPr>
              <w:t>(D)</w:t>
            </w:r>
          </w:p>
        </w:tc>
        <w:tc>
          <w:tcPr>
            <w:tcW w:w="1177" w:type="dxa"/>
          </w:tcPr>
          <w:p>
            <w:pPr>
              <w:pStyle w:val="TableParagraph"/>
              <w:spacing w:before="4"/>
              <w:ind w:left="79" w:right="198"/>
              <w:jc w:val="center"/>
              <w:rPr>
                <w:b/>
                <w:sz w:val="11"/>
              </w:rPr>
            </w:pPr>
            <w:r>
              <w:rPr>
                <w:b/>
                <w:w w:val="105"/>
                <w:sz w:val="11"/>
              </w:rPr>
              <w:t>(E)</w:t>
            </w:r>
          </w:p>
        </w:tc>
        <w:tc>
          <w:tcPr>
            <w:tcW w:w="1022" w:type="dxa"/>
          </w:tcPr>
          <w:p>
            <w:pPr>
              <w:pStyle w:val="TableParagraph"/>
              <w:spacing w:before="4"/>
              <w:ind w:left="366" w:right="468"/>
              <w:jc w:val="center"/>
              <w:rPr>
                <w:b/>
                <w:sz w:val="11"/>
              </w:rPr>
            </w:pPr>
            <w:r>
              <w:rPr>
                <w:b/>
                <w:w w:val="105"/>
                <w:sz w:val="11"/>
              </w:rPr>
              <w:t>(F)</w:t>
            </w:r>
          </w:p>
        </w:tc>
        <w:tc>
          <w:tcPr>
            <w:tcW w:w="599" w:type="dxa"/>
          </w:tcPr>
          <w:p>
            <w:pPr>
              <w:pStyle w:val="TableParagraph"/>
              <w:spacing w:before="4"/>
              <w:ind w:left="143"/>
              <w:rPr>
                <w:b/>
                <w:sz w:val="11"/>
              </w:rPr>
            </w:pPr>
            <w:r>
              <w:rPr>
                <w:b/>
                <w:w w:val="105"/>
                <w:sz w:val="11"/>
              </w:rPr>
              <w:t>C &amp; F</w:t>
            </w:r>
          </w:p>
        </w:tc>
      </w:tr>
      <w:tr>
        <w:trPr>
          <w:trHeight w:val="181" w:hRule="atLeast"/>
        </w:trPr>
        <w:tc>
          <w:tcPr>
            <w:tcW w:w="2024" w:type="dxa"/>
          </w:tcPr>
          <w:p>
            <w:pPr>
              <w:pStyle w:val="TableParagraph"/>
              <w:spacing w:line="108" w:lineRule="exact" w:before="54"/>
              <w:ind w:left="28"/>
              <w:rPr>
                <w:b/>
                <w:sz w:val="11"/>
              </w:rPr>
            </w:pPr>
            <w:r>
              <w:rPr>
                <w:b/>
                <w:w w:val="105"/>
                <w:sz w:val="11"/>
              </w:rPr>
              <w:t>A. REVENUES</w:t>
            </w:r>
          </w:p>
        </w:tc>
        <w:tc>
          <w:tcPr>
            <w:tcW w:w="1598" w:type="dxa"/>
          </w:tcPr>
          <w:p>
            <w:pPr>
              <w:pStyle w:val="TableParagraph"/>
              <w:rPr>
                <w:rFonts w:ascii="Times New Roman"/>
                <w:sz w:val="10"/>
              </w:rPr>
            </w:pPr>
          </w:p>
        </w:tc>
        <w:tc>
          <w:tcPr>
            <w:tcW w:w="784" w:type="dxa"/>
          </w:tcPr>
          <w:p>
            <w:pPr>
              <w:pStyle w:val="TableParagraph"/>
              <w:rPr>
                <w:rFonts w:ascii="Times New Roman"/>
                <w:sz w:val="10"/>
              </w:rPr>
            </w:pPr>
          </w:p>
        </w:tc>
        <w:tc>
          <w:tcPr>
            <w:tcW w:w="840" w:type="dxa"/>
          </w:tcPr>
          <w:p>
            <w:pPr>
              <w:pStyle w:val="TableParagraph"/>
              <w:rPr>
                <w:rFonts w:ascii="Times New Roman"/>
                <w:sz w:val="10"/>
              </w:rPr>
            </w:pPr>
          </w:p>
        </w:tc>
        <w:tc>
          <w:tcPr>
            <w:tcW w:w="1516" w:type="dxa"/>
            <w:gridSpan w:val="2"/>
          </w:tcPr>
          <w:p>
            <w:pPr>
              <w:pStyle w:val="TableParagraph"/>
              <w:rPr>
                <w:rFonts w:ascii="Times New Roman"/>
                <w:sz w:val="10"/>
              </w:rPr>
            </w:pPr>
          </w:p>
        </w:tc>
        <w:tc>
          <w:tcPr>
            <w:tcW w:w="970" w:type="dxa"/>
          </w:tcPr>
          <w:p>
            <w:pPr>
              <w:pStyle w:val="TableParagraph"/>
              <w:rPr>
                <w:rFonts w:ascii="Times New Roman"/>
                <w:sz w:val="10"/>
              </w:rPr>
            </w:pPr>
          </w:p>
        </w:tc>
        <w:tc>
          <w:tcPr>
            <w:tcW w:w="1064" w:type="dxa"/>
          </w:tcPr>
          <w:p>
            <w:pPr>
              <w:pStyle w:val="TableParagraph"/>
              <w:rPr>
                <w:rFonts w:ascii="Times New Roman"/>
                <w:sz w:val="10"/>
              </w:rPr>
            </w:pPr>
          </w:p>
        </w:tc>
        <w:tc>
          <w:tcPr>
            <w:tcW w:w="1177" w:type="dxa"/>
          </w:tcPr>
          <w:p>
            <w:pPr>
              <w:pStyle w:val="TableParagraph"/>
              <w:rPr>
                <w:rFonts w:ascii="Times New Roman"/>
                <w:sz w:val="10"/>
              </w:rPr>
            </w:pPr>
          </w:p>
        </w:tc>
        <w:tc>
          <w:tcPr>
            <w:tcW w:w="1022" w:type="dxa"/>
          </w:tcPr>
          <w:p>
            <w:pPr>
              <w:pStyle w:val="TableParagraph"/>
              <w:rPr>
                <w:rFonts w:ascii="Times New Roman"/>
                <w:sz w:val="10"/>
              </w:rPr>
            </w:pPr>
          </w:p>
        </w:tc>
        <w:tc>
          <w:tcPr>
            <w:tcW w:w="599" w:type="dxa"/>
          </w:tcPr>
          <w:p>
            <w:pPr>
              <w:pStyle w:val="TableParagraph"/>
              <w:rPr>
                <w:rFonts w:ascii="Times New Roman"/>
                <w:sz w:val="10"/>
              </w:rPr>
            </w:pPr>
          </w:p>
        </w:tc>
      </w:tr>
      <w:tr>
        <w:trPr>
          <w:trHeight w:val="446" w:hRule="atLeast"/>
        </w:trPr>
        <w:tc>
          <w:tcPr>
            <w:tcW w:w="2024" w:type="dxa"/>
          </w:tcPr>
          <w:p>
            <w:pPr>
              <w:pStyle w:val="TableParagraph"/>
              <w:rPr>
                <w:sz w:val="12"/>
              </w:rPr>
            </w:pPr>
          </w:p>
          <w:p>
            <w:pPr>
              <w:pStyle w:val="TableParagraph"/>
              <w:spacing w:before="1"/>
              <w:rPr>
                <w:sz w:val="11"/>
              </w:rPr>
            </w:pPr>
          </w:p>
          <w:p>
            <w:pPr>
              <w:pStyle w:val="TableParagraph"/>
              <w:ind w:left="153"/>
              <w:rPr>
                <w:sz w:val="11"/>
              </w:rPr>
            </w:pPr>
            <w:r>
              <w:rPr>
                <w:w w:val="105"/>
                <w:sz w:val="11"/>
              </w:rPr>
              <w:t>1) LCFF Sources</w:t>
            </w:r>
          </w:p>
        </w:tc>
        <w:tc>
          <w:tcPr>
            <w:tcW w:w="2382" w:type="dxa"/>
            <w:gridSpan w:val="2"/>
          </w:tcPr>
          <w:p>
            <w:pPr>
              <w:pStyle w:val="TableParagraph"/>
              <w:rPr>
                <w:sz w:val="12"/>
              </w:rPr>
            </w:pPr>
          </w:p>
          <w:p>
            <w:pPr>
              <w:pStyle w:val="TableParagraph"/>
              <w:spacing w:before="1"/>
              <w:rPr>
                <w:sz w:val="11"/>
              </w:rPr>
            </w:pPr>
          </w:p>
          <w:p>
            <w:pPr>
              <w:pStyle w:val="TableParagraph"/>
              <w:ind w:right="136"/>
              <w:jc w:val="right"/>
              <w:rPr>
                <w:sz w:val="11"/>
              </w:rPr>
            </w:pPr>
            <w:r>
              <w:rPr>
                <w:w w:val="105"/>
                <w:sz w:val="11"/>
              </w:rPr>
              <w:t>8010-8099</w:t>
            </w:r>
          </w:p>
        </w:tc>
        <w:tc>
          <w:tcPr>
            <w:tcW w:w="1239" w:type="dxa"/>
            <w:gridSpan w:val="2"/>
          </w:tcPr>
          <w:p>
            <w:pPr>
              <w:pStyle w:val="TableParagraph"/>
              <w:rPr>
                <w:sz w:val="12"/>
              </w:rPr>
            </w:pPr>
          </w:p>
          <w:p>
            <w:pPr>
              <w:pStyle w:val="TableParagraph"/>
              <w:spacing w:before="1"/>
              <w:rPr>
                <w:sz w:val="11"/>
              </w:rPr>
            </w:pPr>
          </w:p>
          <w:p>
            <w:pPr>
              <w:pStyle w:val="TableParagraph"/>
              <w:ind w:left="302"/>
              <w:rPr>
                <w:sz w:val="11"/>
              </w:rPr>
            </w:pPr>
            <w:r>
              <w:rPr>
                <w:w w:val="105"/>
                <w:sz w:val="11"/>
              </w:rPr>
              <w:t>1,298,129.00</w:t>
            </w:r>
          </w:p>
        </w:tc>
        <w:tc>
          <w:tcPr>
            <w:tcW w:w="1117" w:type="dxa"/>
          </w:tcPr>
          <w:p>
            <w:pPr>
              <w:pStyle w:val="TableParagraph"/>
              <w:rPr>
                <w:sz w:val="12"/>
              </w:rPr>
            </w:pPr>
          </w:p>
          <w:p>
            <w:pPr>
              <w:pStyle w:val="TableParagraph"/>
              <w:spacing w:before="1"/>
              <w:rPr>
                <w:sz w:val="11"/>
              </w:rPr>
            </w:pPr>
          </w:p>
          <w:p>
            <w:pPr>
              <w:pStyle w:val="TableParagraph"/>
              <w:ind w:right="267"/>
              <w:jc w:val="right"/>
              <w:rPr>
                <w:sz w:val="11"/>
              </w:rPr>
            </w:pPr>
            <w:r>
              <w:rPr>
                <w:sz w:val="11"/>
              </w:rPr>
              <w:t>0.00</w:t>
            </w:r>
          </w:p>
        </w:tc>
        <w:tc>
          <w:tcPr>
            <w:tcW w:w="970" w:type="dxa"/>
          </w:tcPr>
          <w:p>
            <w:pPr>
              <w:pStyle w:val="TableParagraph"/>
              <w:rPr>
                <w:sz w:val="12"/>
              </w:rPr>
            </w:pPr>
          </w:p>
          <w:p>
            <w:pPr>
              <w:pStyle w:val="TableParagraph"/>
              <w:spacing w:before="1"/>
              <w:rPr>
                <w:sz w:val="11"/>
              </w:rPr>
            </w:pPr>
          </w:p>
          <w:p>
            <w:pPr>
              <w:pStyle w:val="TableParagraph"/>
              <w:ind w:right="129"/>
              <w:jc w:val="right"/>
              <w:rPr>
                <w:sz w:val="11"/>
              </w:rPr>
            </w:pPr>
            <w:r>
              <w:rPr>
                <w:sz w:val="11"/>
              </w:rPr>
              <w:t>1,298,129.00</w:t>
            </w:r>
          </w:p>
        </w:tc>
        <w:tc>
          <w:tcPr>
            <w:tcW w:w="1064" w:type="dxa"/>
          </w:tcPr>
          <w:p>
            <w:pPr>
              <w:pStyle w:val="TableParagraph"/>
              <w:rPr>
                <w:sz w:val="12"/>
              </w:rPr>
            </w:pPr>
          </w:p>
          <w:p>
            <w:pPr>
              <w:pStyle w:val="TableParagraph"/>
              <w:spacing w:before="1"/>
              <w:rPr>
                <w:sz w:val="11"/>
              </w:rPr>
            </w:pPr>
          </w:p>
          <w:p>
            <w:pPr>
              <w:pStyle w:val="TableParagraph"/>
              <w:ind w:right="84"/>
              <w:jc w:val="right"/>
              <w:rPr>
                <w:sz w:val="11"/>
              </w:rPr>
            </w:pPr>
            <w:r>
              <w:rPr>
                <w:sz w:val="11"/>
              </w:rPr>
              <w:t>1,369,520.00</w:t>
            </w:r>
          </w:p>
        </w:tc>
        <w:tc>
          <w:tcPr>
            <w:tcW w:w="1177" w:type="dxa"/>
          </w:tcPr>
          <w:p>
            <w:pPr>
              <w:pStyle w:val="TableParagraph"/>
              <w:rPr>
                <w:sz w:val="12"/>
              </w:rPr>
            </w:pPr>
          </w:p>
          <w:p>
            <w:pPr>
              <w:pStyle w:val="TableParagraph"/>
              <w:spacing w:before="1"/>
              <w:rPr>
                <w:sz w:val="11"/>
              </w:rPr>
            </w:pPr>
          </w:p>
          <w:p>
            <w:pPr>
              <w:pStyle w:val="TableParagraph"/>
              <w:ind w:right="152"/>
              <w:jc w:val="right"/>
              <w:rPr>
                <w:sz w:val="11"/>
              </w:rPr>
            </w:pPr>
            <w:r>
              <w:rPr>
                <w:sz w:val="11"/>
              </w:rPr>
              <w:t>0.00</w:t>
            </w:r>
          </w:p>
        </w:tc>
        <w:tc>
          <w:tcPr>
            <w:tcW w:w="1022" w:type="dxa"/>
          </w:tcPr>
          <w:p>
            <w:pPr>
              <w:pStyle w:val="TableParagraph"/>
              <w:rPr>
                <w:sz w:val="12"/>
              </w:rPr>
            </w:pPr>
          </w:p>
          <w:p>
            <w:pPr>
              <w:pStyle w:val="TableParagraph"/>
              <w:spacing w:before="1"/>
              <w:rPr>
                <w:sz w:val="11"/>
              </w:rPr>
            </w:pPr>
          </w:p>
          <w:p>
            <w:pPr>
              <w:pStyle w:val="TableParagraph"/>
              <w:ind w:right="65"/>
              <w:jc w:val="right"/>
              <w:rPr>
                <w:sz w:val="11"/>
              </w:rPr>
            </w:pPr>
            <w:r>
              <w:rPr>
                <w:sz w:val="11"/>
              </w:rPr>
              <w:t>1,369,520.00</w:t>
            </w:r>
          </w:p>
        </w:tc>
        <w:tc>
          <w:tcPr>
            <w:tcW w:w="599" w:type="dxa"/>
          </w:tcPr>
          <w:p>
            <w:pPr>
              <w:pStyle w:val="TableParagraph"/>
              <w:rPr>
                <w:sz w:val="12"/>
              </w:rPr>
            </w:pPr>
          </w:p>
          <w:p>
            <w:pPr>
              <w:pStyle w:val="TableParagraph"/>
              <w:spacing w:before="1"/>
              <w:rPr>
                <w:sz w:val="11"/>
              </w:rPr>
            </w:pPr>
          </w:p>
          <w:p>
            <w:pPr>
              <w:pStyle w:val="TableParagraph"/>
              <w:ind w:right="21"/>
              <w:jc w:val="right"/>
              <w:rPr>
                <w:sz w:val="11"/>
              </w:rPr>
            </w:pPr>
            <w:r>
              <w:rPr>
                <w:sz w:val="11"/>
              </w:rPr>
              <w:t>5.5%</w:t>
            </w:r>
          </w:p>
        </w:tc>
      </w:tr>
      <w:tr>
        <w:trPr>
          <w:trHeight w:val="235" w:hRule="atLeast"/>
        </w:trPr>
        <w:tc>
          <w:tcPr>
            <w:tcW w:w="2024" w:type="dxa"/>
          </w:tcPr>
          <w:p>
            <w:pPr>
              <w:pStyle w:val="TableParagraph"/>
              <w:spacing w:before="54"/>
              <w:ind w:left="153"/>
              <w:rPr>
                <w:sz w:val="11"/>
              </w:rPr>
            </w:pPr>
            <w:r>
              <w:rPr>
                <w:w w:val="105"/>
                <w:sz w:val="11"/>
              </w:rPr>
              <w:t>2) Federal Revenue</w:t>
            </w:r>
          </w:p>
        </w:tc>
        <w:tc>
          <w:tcPr>
            <w:tcW w:w="2382" w:type="dxa"/>
            <w:gridSpan w:val="2"/>
          </w:tcPr>
          <w:p>
            <w:pPr>
              <w:pStyle w:val="TableParagraph"/>
              <w:spacing w:before="54"/>
              <w:ind w:right="136"/>
              <w:jc w:val="right"/>
              <w:rPr>
                <w:sz w:val="11"/>
              </w:rPr>
            </w:pPr>
            <w:r>
              <w:rPr>
                <w:w w:val="105"/>
                <w:sz w:val="11"/>
              </w:rPr>
              <w:t>8100-8299</w:t>
            </w:r>
          </w:p>
        </w:tc>
        <w:tc>
          <w:tcPr>
            <w:tcW w:w="1239" w:type="dxa"/>
            <w:gridSpan w:val="2"/>
          </w:tcPr>
          <w:p>
            <w:pPr>
              <w:pStyle w:val="TableParagraph"/>
              <w:spacing w:before="54"/>
              <w:ind w:left="528"/>
              <w:rPr>
                <w:sz w:val="11"/>
              </w:rPr>
            </w:pPr>
            <w:r>
              <w:rPr>
                <w:w w:val="105"/>
                <w:sz w:val="11"/>
              </w:rPr>
              <w:t>4,500.00</w:t>
            </w:r>
          </w:p>
        </w:tc>
        <w:tc>
          <w:tcPr>
            <w:tcW w:w="1117" w:type="dxa"/>
          </w:tcPr>
          <w:p>
            <w:pPr>
              <w:pStyle w:val="TableParagraph"/>
              <w:spacing w:before="54"/>
              <w:ind w:right="267"/>
              <w:jc w:val="right"/>
              <w:rPr>
                <w:sz w:val="11"/>
              </w:rPr>
            </w:pPr>
            <w:r>
              <w:rPr>
                <w:sz w:val="11"/>
              </w:rPr>
              <w:t>271,802.00</w:t>
            </w:r>
          </w:p>
        </w:tc>
        <w:tc>
          <w:tcPr>
            <w:tcW w:w="970" w:type="dxa"/>
          </w:tcPr>
          <w:p>
            <w:pPr>
              <w:pStyle w:val="TableParagraph"/>
              <w:spacing w:before="54"/>
              <w:ind w:right="130"/>
              <w:jc w:val="right"/>
              <w:rPr>
                <w:sz w:val="11"/>
              </w:rPr>
            </w:pPr>
            <w:r>
              <w:rPr>
                <w:sz w:val="11"/>
              </w:rPr>
              <w:t>276,302.00</w:t>
            </w:r>
          </w:p>
        </w:tc>
        <w:tc>
          <w:tcPr>
            <w:tcW w:w="1064" w:type="dxa"/>
          </w:tcPr>
          <w:p>
            <w:pPr>
              <w:pStyle w:val="TableParagraph"/>
              <w:spacing w:before="54"/>
              <w:ind w:right="83"/>
              <w:jc w:val="right"/>
              <w:rPr>
                <w:sz w:val="11"/>
              </w:rPr>
            </w:pPr>
            <w:r>
              <w:rPr>
                <w:sz w:val="11"/>
              </w:rPr>
              <w:t>0.00</w:t>
            </w:r>
          </w:p>
        </w:tc>
        <w:tc>
          <w:tcPr>
            <w:tcW w:w="1177" w:type="dxa"/>
          </w:tcPr>
          <w:p>
            <w:pPr>
              <w:pStyle w:val="TableParagraph"/>
              <w:spacing w:before="54"/>
              <w:ind w:right="152"/>
              <w:jc w:val="right"/>
              <w:rPr>
                <w:sz w:val="11"/>
              </w:rPr>
            </w:pPr>
            <w:r>
              <w:rPr>
                <w:sz w:val="11"/>
              </w:rPr>
              <w:t>166,779.00</w:t>
            </w:r>
          </w:p>
        </w:tc>
        <w:tc>
          <w:tcPr>
            <w:tcW w:w="1022" w:type="dxa"/>
          </w:tcPr>
          <w:p>
            <w:pPr>
              <w:pStyle w:val="TableParagraph"/>
              <w:spacing w:before="54"/>
              <w:ind w:right="65"/>
              <w:jc w:val="right"/>
              <w:rPr>
                <w:sz w:val="11"/>
              </w:rPr>
            </w:pPr>
            <w:r>
              <w:rPr>
                <w:sz w:val="11"/>
              </w:rPr>
              <w:t>166,779.00</w:t>
            </w:r>
          </w:p>
        </w:tc>
        <w:tc>
          <w:tcPr>
            <w:tcW w:w="599" w:type="dxa"/>
          </w:tcPr>
          <w:p>
            <w:pPr>
              <w:pStyle w:val="TableParagraph"/>
              <w:spacing w:before="54"/>
              <w:ind w:right="19"/>
              <w:jc w:val="right"/>
              <w:rPr>
                <w:sz w:val="11"/>
              </w:rPr>
            </w:pPr>
            <w:r>
              <w:rPr>
                <w:sz w:val="11"/>
              </w:rPr>
              <w:t>-39.6%</w:t>
            </w:r>
          </w:p>
        </w:tc>
      </w:tr>
      <w:tr>
        <w:trPr>
          <w:trHeight w:val="235" w:hRule="atLeast"/>
        </w:trPr>
        <w:tc>
          <w:tcPr>
            <w:tcW w:w="2024" w:type="dxa"/>
          </w:tcPr>
          <w:p>
            <w:pPr>
              <w:pStyle w:val="TableParagraph"/>
              <w:spacing w:before="54"/>
              <w:ind w:right="649"/>
              <w:jc w:val="right"/>
              <w:rPr>
                <w:sz w:val="11"/>
              </w:rPr>
            </w:pPr>
            <w:r>
              <w:rPr>
                <w:w w:val="105"/>
                <w:sz w:val="11"/>
              </w:rPr>
              <w:t>3) Other State Revenue</w:t>
            </w:r>
          </w:p>
        </w:tc>
        <w:tc>
          <w:tcPr>
            <w:tcW w:w="2382" w:type="dxa"/>
            <w:gridSpan w:val="2"/>
          </w:tcPr>
          <w:p>
            <w:pPr>
              <w:pStyle w:val="TableParagraph"/>
              <w:spacing w:before="54"/>
              <w:ind w:right="136"/>
              <w:jc w:val="right"/>
              <w:rPr>
                <w:sz w:val="11"/>
              </w:rPr>
            </w:pPr>
            <w:r>
              <w:rPr>
                <w:w w:val="105"/>
                <w:sz w:val="11"/>
              </w:rPr>
              <w:t>8300-8599</w:t>
            </w:r>
          </w:p>
        </w:tc>
        <w:tc>
          <w:tcPr>
            <w:tcW w:w="1239" w:type="dxa"/>
            <w:gridSpan w:val="2"/>
          </w:tcPr>
          <w:p>
            <w:pPr>
              <w:pStyle w:val="TableParagraph"/>
              <w:spacing w:before="54"/>
              <w:ind w:left="463"/>
              <w:rPr>
                <w:sz w:val="11"/>
              </w:rPr>
            </w:pPr>
            <w:r>
              <w:rPr>
                <w:w w:val="105"/>
                <w:sz w:val="11"/>
              </w:rPr>
              <w:t>21,029.00</w:t>
            </w:r>
          </w:p>
        </w:tc>
        <w:tc>
          <w:tcPr>
            <w:tcW w:w="1117" w:type="dxa"/>
          </w:tcPr>
          <w:p>
            <w:pPr>
              <w:pStyle w:val="TableParagraph"/>
              <w:spacing w:before="54"/>
              <w:ind w:right="267"/>
              <w:jc w:val="right"/>
              <w:rPr>
                <w:sz w:val="11"/>
              </w:rPr>
            </w:pPr>
            <w:r>
              <w:rPr>
                <w:sz w:val="11"/>
              </w:rPr>
              <w:t>311,903.00</w:t>
            </w:r>
          </w:p>
        </w:tc>
        <w:tc>
          <w:tcPr>
            <w:tcW w:w="970" w:type="dxa"/>
          </w:tcPr>
          <w:p>
            <w:pPr>
              <w:pStyle w:val="TableParagraph"/>
              <w:spacing w:before="54"/>
              <w:ind w:right="130"/>
              <w:jc w:val="right"/>
              <w:rPr>
                <w:sz w:val="11"/>
              </w:rPr>
            </w:pPr>
            <w:r>
              <w:rPr>
                <w:sz w:val="11"/>
              </w:rPr>
              <w:t>332,932.00</w:t>
            </w:r>
          </w:p>
        </w:tc>
        <w:tc>
          <w:tcPr>
            <w:tcW w:w="1064" w:type="dxa"/>
          </w:tcPr>
          <w:p>
            <w:pPr>
              <w:pStyle w:val="TableParagraph"/>
              <w:spacing w:before="54"/>
              <w:ind w:right="84"/>
              <w:jc w:val="right"/>
              <w:rPr>
                <w:sz w:val="11"/>
              </w:rPr>
            </w:pPr>
            <w:r>
              <w:rPr>
                <w:sz w:val="11"/>
              </w:rPr>
              <w:t>21,006.00</w:t>
            </w:r>
          </w:p>
        </w:tc>
        <w:tc>
          <w:tcPr>
            <w:tcW w:w="1177" w:type="dxa"/>
          </w:tcPr>
          <w:p>
            <w:pPr>
              <w:pStyle w:val="TableParagraph"/>
              <w:spacing w:before="54"/>
              <w:ind w:right="152"/>
              <w:jc w:val="right"/>
              <w:rPr>
                <w:sz w:val="11"/>
              </w:rPr>
            </w:pPr>
            <w:r>
              <w:rPr>
                <w:sz w:val="11"/>
              </w:rPr>
              <w:t>163,762.00</w:t>
            </w:r>
          </w:p>
        </w:tc>
        <w:tc>
          <w:tcPr>
            <w:tcW w:w="1022" w:type="dxa"/>
          </w:tcPr>
          <w:p>
            <w:pPr>
              <w:pStyle w:val="TableParagraph"/>
              <w:spacing w:before="54"/>
              <w:ind w:right="65"/>
              <w:jc w:val="right"/>
              <w:rPr>
                <w:sz w:val="11"/>
              </w:rPr>
            </w:pPr>
            <w:r>
              <w:rPr>
                <w:sz w:val="11"/>
              </w:rPr>
              <w:t>184,768.00</w:t>
            </w:r>
          </w:p>
        </w:tc>
        <w:tc>
          <w:tcPr>
            <w:tcW w:w="599" w:type="dxa"/>
          </w:tcPr>
          <w:p>
            <w:pPr>
              <w:pStyle w:val="TableParagraph"/>
              <w:spacing w:before="54"/>
              <w:ind w:right="19"/>
              <w:jc w:val="right"/>
              <w:rPr>
                <w:sz w:val="11"/>
              </w:rPr>
            </w:pPr>
            <w:r>
              <w:rPr>
                <w:sz w:val="11"/>
              </w:rPr>
              <w:t>-44.5%</w:t>
            </w:r>
          </w:p>
        </w:tc>
      </w:tr>
      <w:tr>
        <w:trPr>
          <w:trHeight w:val="235" w:hRule="atLeast"/>
        </w:trPr>
        <w:tc>
          <w:tcPr>
            <w:tcW w:w="2024" w:type="dxa"/>
          </w:tcPr>
          <w:p>
            <w:pPr>
              <w:pStyle w:val="TableParagraph"/>
              <w:spacing w:before="54"/>
              <w:ind w:right="642"/>
              <w:jc w:val="right"/>
              <w:rPr>
                <w:sz w:val="11"/>
              </w:rPr>
            </w:pPr>
            <w:r>
              <w:rPr>
                <w:w w:val="105"/>
                <w:sz w:val="11"/>
              </w:rPr>
              <w:t>4) Other Local Revenue</w:t>
            </w:r>
          </w:p>
        </w:tc>
        <w:tc>
          <w:tcPr>
            <w:tcW w:w="2382" w:type="dxa"/>
            <w:gridSpan w:val="2"/>
          </w:tcPr>
          <w:p>
            <w:pPr>
              <w:pStyle w:val="TableParagraph"/>
              <w:spacing w:before="54"/>
              <w:ind w:right="136"/>
              <w:jc w:val="right"/>
              <w:rPr>
                <w:sz w:val="11"/>
              </w:rPr>
            </w:pPr>
            <w:r>
              <w:rPr>
                <w:w w:val="105"/>
                <w:sz w:val="11"/>
              </w:rPr>
              <w:t>8600-8799</w:t>
            </w:r>
          </w:p>
        </w:tc>
        <w:tc>
          <w:tcPr>
            <w:tcW w:w="1239" w:type="dxa"/>
            <w:gridSpan w:val="2"/>
          </w:tcPr>
          <w:p>
            <w:pPr>
              <w:pStyle w:val="TableParagraph"/>
              <w:spacing w:before="54"/>
              <w:ind w:left="398"/>
              <w:rPr>
                <w:sz w:val="11"/>
              </w:rPr>
            </w:pPr>
            <w:r>
              <w:rPr>
                <w:w w:val="105"/>
                <w:sz w:val="11"/>
              </w:rPr>
              <w:t>333,871.00</w:t>
            </w:r>
          </w:p>
        </w:tc>
        <w:tc>
          <w:tcPr>
            <w:tcW w:w="1117" w:type="dxa"/>
          </w:tcPr>
          <w:p>
            <w:pPr>
              <w:pStyle w:val="TableParagraph"/>
              <w:spacing w:before="54"/>
              <w:ind w:right="267"/>
              <w:jc w:val="right"/>
              <w:rPr>
                <w:sz w:val="11"/>
              </w:rPr>
            </w:pPr>
            <w:r>
              <w:rPr>
                <w:sz w:val="11"/>
              </w:rPr>
              <w:t>42,824.00</w:t>
            </w:r>
          </w:p>
        </w:tc>
        <w:tc>
          <w:tcPr>
            <w:tcW w:w="970" w:type="dxa"/>
          </w:tcPr>
          <w:p>
            <w:pPr>
              <w:pStyle w:val="TableParagraph"/>
              <w:spacing w:before="54"/>
              <w:ind w:right="130"/>
              <w:jc w:val="right"/>
              <w:rPr>
                <w:sz w:val="11"/>
              </w:rPr>
            </w:pPr>
            <w:r>
              <w:rPr>
                <w:sz w:val="11"/>
              </w:rPr>
              <w:t>376,695.00</w:t>
            </w:r>
          </w:p>
        </w:tc>
        <w:tc>
          <w:tcPr>
            <w:tcW w:w="1064" w:type="dxa"/>
          </w:tcPr>
          <w:p>
            <w:pPr>
              <w:pStyle w:val="TableParagraph"/>
              <w:spacing w:before="54"/>
              <w:ind w:right="84"/>
              <w:jc w:val="right"/>
              <w:rPr>
                <w:sz w:val="11"/>
              </w:rPr>
            </w:pPr>
            <w:r>
              <w:rPr>
                <w:sz w:val="11"/>
              </w:rPr>
              <w:t>337,294.00</w:t>
            </w:r>
          </w:p>
        </w:tc>
        <w:tc>
          <w:tcPr>
            <w:tcW w:w="1177" w:type="dxa"/>
          </w:tcPr>
          <w:p>
            <w:pPr>
              <w:pStyle w:val="TableParagraph"/>
              <w:spacing w:before="54"/>
              <w:ind w:right="152"/>
              <w:jc w:val="right"/>
              <w:rPr>
                <w:sz w:val="11"/>
              </w:rPr>
            </w:pPr>
            <w:r>
              <w:rPr>
                <w:sz w:val="11"/>
              </w:rPr>
              <w:t>40,372.00</w:t>
            </w:r>
          </w:p>
        </w:tc>
        <w:tc>
          <w:tcPr>
            <w:tcW w:w="1022" w:type="dxa"/>
          </w:tcPr>
          <w:p>
            <w:pPr>
              <w:pStyle w:val="TableParagraph"/>
              <w:spacing w:before="54"/>
              <w:ind w:right="65"/>
              <w:jc w:val="right"/>
              <w:rPr>
                <w:sz w:val="11"/>
              </w:rPr>
            </w:pPr>
            <w:r>
              <w:rPr>
                <w:sz w:val="11"/>
              </w:rPr>
              <w:t>377,666.00</w:t>
            </w:r>
          </w:p>
        </w:tc>
        <w:tc>
          <w:tcPr>
            <w:tcW w:w="599" w:type="dxa"/>
          </w:tcPr>
          <w:p>
            <w:pPr>
              <w:pStyle w:val="TableParagraph"/>
              <w:spacing w:before="54"/>
              <w:ind w:right="21"/>
              <w:jc w:val="right"/>
              <w:rPr>
                <w:sz w:val="11"/>
              </w:rPr>
            </w:pPr>
            <w:r>
              <w:rPr>
                <w:sz w:val="11"/>
              </w:rPr>
              <w:t>0.3%</w:t>
            </w:r>
          </w:p>
        </w:tc>
      </w:tr>
      <w:tr>
        <w:trPr>
          <w:trHeight w:val="181" w:hRule="atLeast"/>
        </w:trPr>
        <w:tc>
          <w:tcPr>
            <w:tcW w:w="2024" w:type="dxa"/>
          </w:tcPr>
          <w:p>
            <w:pPr>
              <w:pStyle w:val="TableParagraph"/>
              <w:spacing w:line="108" w:lineRule="exact" w:before="54"/>
              <w:ind w:right="672"/>
              <w:jc w:val="right"/>
              <w:rPr>
                <w:sz w:val="11"/>
              </w:rPr>
            </w:pPr>
            <w:r>
              <w:rPr>
                <w:w w:val="105"/>
                <w:sz w:val="11"/>
              </w:rPr>
              <w:t>5) TOTAL, REVENUES</w:t>
            </w:r>
          </w:p>
        </w:tc>
        <w:tc>
          <w:tcPr>
            <w:tcW w:w="2382" w:type="dxa"/>
            <w:gridSpan w:val="2"/>
          </w:tcPr>
          <w:p>
            <w:pPr>
              <w:pStyle w:val="TableParagraph"/>
              <w:rPr>
                <w:rFonts w:ascii="Times New Roman"/>
                <w:sz w:val="10"/>
              </w:rPr>
            </w:pPr>
          </w:p>
        </w:tc>
        <w:tc>
          <w:tcPr>
            <w:tcW w:w="1239" w:type="dxa"/>
            <w:gridSpan w:val="2"/>
          </w:tcPr>
          <w:p>
            <w:pPr>
              <w:pStyle w:val="TableParagraph"/>
              <w:spacing w:line="108" w:lineRule="exact" w:before="54"/>
              <w:ind w:left="302"/>
              <w:rPr>
                <w:sz w:val="11"/>
              </w:rPr>
            </w:pPr>
            <w:r>
              <w:rPr>
                <w:w w:val="105"/>
                <w:sz w:val="11"/>
              </w:rPr>
              <w:t>1,657,529.00</w:t>
            </w:r>
          </w:p>
        </w:tc>
        <w:tc>
          <w:tcPr>
            <w:tcW w:w="1117" w:type="dxa"/>
          </w:tcPr>
          <w:p>
            <w:pPr>
              <w:pStyle w:val="TableParagraph"/>
              <w:spacing w:line="108" w:lineRule="exact" w:before="54"/>
              <w:ind w:right="267"/>
              <w:jc w:val="right"/>
              <w:rPr>
                <w:sz w:val="11"/>
              </w:rPr>
            </w:pPr>
            <w:r>
              <w:rPr>
                <w:sz w:val="11"/>
              </w:rPr>
              <w:t>626,529.00</w:t>
            </w:r>
          </w:p>
        </w:tc>
        <w:tc>
          <w:tcPr>
            <w:tcW w:w="970" w:type="dxa"/>
          </w:tcPr>
          <w:p>
            <w:pPr>
              <w:pStyle w:val="TableParagraph"/>
              <w:spacing w:line="108" w:lineRule="exact" w:before="54"/>
              <w:ind w:right="129"/>
              <w:jc w:val="right"/>
              <w:rPr>
                <w:sz w:val="11"/>
              </w:rPr>
            </w:pPr>
            <w:r>
              <w:rPr>
                <w:sz w:val="11"/>
              </w:rPr>
              <w:t>2,284,058.00</w:t>
            </w:r>
          </w:p>
        </w:tc>
        <w:tc>
          <w:tcPr>
            <w:tcW w:w="1064" w:type="dxa"/>
          </w:tcPr>
          <w:p>
            <w:pPr>
              <w:pStyle w:val="TableParagraph"/>
              <w:spacing w:line="108" w:lineRule="exact" w:before="54"/>
              <w:ind w:right="84"/>
              <w:jc w:val="right"/>
              <w:rPr>
                <w:sz w:val="11"/>
              </w:rPr>
            </w:pPr>
            <w:r>
              <w:rPr>
                <w:sz w:val="11"/>
              </w:rPr>
              <w:t>1,727,820.00</w:t>
            </w:r>
          </w:p>
        </w:tc>
        <w:tc>
          <w:tcPr>
            <w:tcW w:w="1177" w:type="dxa"/>
          </w:tcPr>
          <w:p>
            <w:pPr>
              <w:pStyle w:val="TableParagraph"/>
              <w:spacing w:line="108" w:lineRule="exact" w:before="54"/>
              <w:ind w:right="152"/>
              <w:jc w:val="right"/>
              <w:rPr>
                <w:sz w:val="11"/>
              </w:rPr>
            </w:pPr>
            <w:r>
              <w:rPr>
                <w:sz w:val="11"/>
              </w:rPr>
              <w:t>370,913.00</w:t>
            </w:r>
          </w:p>
        </w:tc>
        <w:tc>
          <w:tcPr>
            <w:tcW w:w="1022" w:type="dxa"/>
          </w:tcPr>
          <w:p>
            <w:pPr>
              <w:pStyle w:val="TableParagraph"/>
              <w:spacing w:line="108" w:lineRule="exact" w:before="54"/>
              <w:ind w:right="65"/>
              <w:jc w:val="right"/>
              <w:rPr>
                <w:sz w:val="11"/>
              </w:rPr>
            </w:pPr>
            <w:r>
              <w:rPr>
                <w:sz w:val="11"/>
              </w:rPr>
              <w:t>2,098,733.00</w:t>
            </w:r>
          </w:p>
        </w:tc>
        <w:tc>
          <w:tcPr>
            <w:tcW w:w="599" w:type="dxa"/>
          </w:tcPr>
          <w:p>
            <w:pPr>
              <w:pStyle w:val="TableParagraph"/>
              <w:spacing w:line="108" w:lineRule="exact" w:before="54"/>
              <w:ind w:right="21"/>
              <w:jc w:val="right"/>
              <w:rPr>
                <w:sz w:val="11"/>
              </w:rPr>
            </w:pPr>
            <w:r>
              <w:rPr>
                <w:sz w:val="11"/>
              </w:rPr>
              <w:t>-8.1%</w:t>
            </w:r>
          </w:p>
        </w:tc>
      </w:tr>
    </w:tbl>
    <w:p>
      <w:pPr>
        <w:pStyle w:val="BodyText"/>
        <w:rPr>
          <w:sz w:val="20"/>
        </w:rPr>
      </w:pPr>
    </w:p>
    <w:p>
      <w:pPr>
        <w:pStyle w:val="BodyText"/>
        <w:spacing w:before="3"/>
        <w:rPr>
          <w:sz w:val="23"/>
        </w:rPr>
      </w:pPr>
    </w:p>
    <w:tbl>
      <w:tblPr>
        <w:tblW w:w="0" w:type="auto"/>
        <w:jc w:val="left"/>
        <w:tblInd w:w="1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72"/>
        <w:gridCol w:w="773"/>
        <w:gridCol w:w="944"/>
        <w:gridCol w:w="1159"/>
        <w:gridCol w:w="1079"/>
        <w:gridCol w:w="1088"/>
        <w:gridCol w:w="1156"/>
        <w:gridCol w:w="1079"/>
        <w:gridCol w:w="998"/>
        <w:gridCol w:w="545"/>
      </w:tblGrid>
      <w:tr>
        <w:trPr>
          <w:trHeight w:val="181" w:hRule="atLeast"/>
        </w:trPr>
        <w:tc>
          <w:tcPr>
            <w:tcW w:w="2772" w:type="dxa"/>
          </w:tcPr>
          <w:p>
            <w:pPr>
              <w:pStyle w:val="TableParagraph"/>
              <w:spacing w:before="1"/>
              <w:ind w:left="153"/>
              <w:rPr>
                <w:sz w:val="11"/>
              </w:rPr>
            </w:pPr>
            <w:r>
              <w:rPr>
                <w:w w:val="105"/>
                <w:sz w:val="11"/>
              </w:rPr>
              <w:t>1) Instruction</w:t>
            </w:r>
          </w:p>
        </w:tc>
        <w:tc>
          <w:tcPr>
            <w:tcW w:w="773" w:type="dxa"/>
          </w:tcPr>
          <w:p>
            <w:pPr>
              <w:pStyle w:val="TableParagraph"/>
              <w:spacing w:before="1"/>
              <w:ind w:left="50"/>
              <w:rPr>
                <w:sz w:val="11"/>
              </w:rPr>
            </w:pPr>
            <w:r>
              <w:rPr>
                <w:w w:val="105"/>
                <w:sz w:val="11"/>
              </w:rPr>
              <w:t>1000-1999</w:t>
            </w:r>
          </w:p>
        </w:tc>
        <w:tc>
          <w:tcPr>
            <w:tcW w:w="944" w:type="dxa"/>
          </w:tcPr>
          <w:p>
            <w:pPr>
              <w:pStyle w:val="TableParagraph"/>
              <w:rPr>
                <w:rFonts w:ascii="Times New Roman"/>
                <w:sz w:val="10"/>
              </w:rPr>
            </w:pPr>
          </w:p>
        </w:tc>
        <w:tc>
          <w:tcPr>
            <w:tcW w:w="1159" w:type="dxa"/>
          </w:tcPr>
          <w:p>
            <w:pPr>
              <w:pStyle w:val="TableParagraph"/>
              <w:spacing w:before="1"/>
              <w:ind w:right="262"/>
              <w:jc w:val="right"/>
              <w:rPr>
                <w:sz w:val="11"/>
              </w:rPr>
            </w:pPr>
            <w:r>
              <w:rPr>
                <w:sz w:val="11"/>
              </w:rPr>
              <w:t>517,679.00</w:t>
            </w:r>
          </w:p>
        </w:tc>
        <w:tc>
          <w:tcPr>
            <w:tcW w:w="1079" w:type="dxa"/>
          </w:tcPr>
          <w:p>
            <w:pPr>
              <w:pStyle w:val="TableParagraph"/>
              <w:spacing w:before="1"/>
              <w:ind w:right="232"/>
              <w:jc w:val="right"/>
              <w:rPr>
                <w:sz w:val="11"/>
              </w:rPr>
            </w:pPr>
            <w:r>
              <w:rPr>
                <w:sz w:val="11"/>
              </w:rPr>
              <w:t>476,922.00</w:t>
            </w:r>
          </w:p>
        </w:tc>
        <w:tc>
          <w:tcPr>
            <w:tcW w:w="1088" w:type="dxa"/>
          </w:tcPr>
          <w:p>
            <w:pPr>
              <w:pStyle w:val="TableParagraph"/>
              <w:spacing w:before="1"/>
              <w:ind w:right="213"/>
              <w:jc w:val="right"/>
              <w:rPr>
                <w:sz w:val="11"/>
              </w:rPr>
            </w:pPr>
            <w:r>
              <w:rPr>
                <w:sz w:val="11"/>
              </w:rPr>
              <w:t>994,601.00</w:t>
            </w:r>
          </w:p>
        </w:tc>
        <w:tc>
          <w:tcPr>
            <w:tcW w:w="1156" w:type="dxa"/>
          </w:tcPr>
          <w:p>
            <w:pPr>
              <w:pStyle w:val="TableParagraph"/>
              <w:spacing w:before="1"/>
              <w:ind w:right="259"/>
              <w:jc w:val="right"/>
              <w:rPr>
                <w:sz w:val="11"/>
              </w:rPr>
            </w:pPr>
            <w:r>
              <w:rPr>
                <w:sz w:val="11"/>
              </w:rPr>
              <w:t>618,641.00</w:t>
            </w:r>
          </w:p>
        </w:tc>
        <w:tc>
          <w:tcPr>
            <w:tcW w:w="1079" w:type="dxa"/>
          </w:tcPr>
          <w:p>
            <w:pPr>
              <w:pStyle w:val="TableParagraph"/>
              <w:spacing w:before="1"/>
              <w:ind w:right="229"/>
              <w:jc w:val="right"/>
              <w:rPr>
                <w:sz w:val="11"/>
              </w:rPr>
            </w:pPr>
            <w:r>
              <w:rPr>
                <w:sz w:val="11"/>
              </w:rPr>
              <w:t>364,352.00</w:t>
            </w:r>
          </w:p>
        </w:tc>
        <w:tc>
          <w:tcPr>
            <w:tcW w:w="998" w:type="dxa"/>
          </w:tcPr>
          <w:p>
            <w:pPr>
              <w:pStyle w:val="TableParagraph"/>
              <w:spacing w:before="1"/>
              <w:ind w:right="118"/>
              <w:jc w:val="right"/>
              <w:rPr>
                <w:sz w:val="11"/>
              </w:rPr>
            </w:pPr>
            <w:r>
              <w:rPr>
                <w:sz w:val="11"/>
              </w:rPr>
              <w:t>982,993.00</w:t>
            </w:r>
          </w:p>
        </w:tc>
        <w:tc>
          <w:tcPr>
            <w:tcW w:w="545" w:type="dxa"/>
          </w:tcPr>
          <w:p>
            <w:pPr>
              <w:pStyle w:val="TableParagraph"/>
              <w:spacing w:before="1"/>
              <w:ind w:left="201" w:right="1"/>
              <w:jc w:val="center"/>
              <w:rPr>
                <w:sz w:val="11"/>
              </w:rPr>
            </w:pPr>
            <w:r>
              <w:rPr>
                <w:w w:val="105"/>
                <w:sz w:val="11"/>
              </w:rPr>
              <w:t>-1.2%</w:t>
            </w:r>
          </w:p>
        </w:tc>
      </w:tr>
      <w:tr>
        <w:trPr>
          <w:trHeight w:val="235" w:hRule="atLeast"/>
        </w:trPr>
        <w:tc>
          <w:tcPr>
            <w:tcW w:w="2772" w:type="dxa"/>
          </w:tcPr>
          <w:p>
            <w:pPr>
              <w:pStyle w:val="TableParagraph"/>
              <w:spacing w:before="54"/>
              <w:ind w:left="153"/>
              <w:rPr>
                <w:sz w:val="11"/>
              </w:rPr>
            </w:pPr>
            <w:r>
              <w:rPr>
                <w:w w:val="105"/>
                <w:sz w:val="11"/>
              </w:rPr>
              <w:t>2) Instruction - Related Services</w:t>
            </w:r>
          </w:p>
        </w:tc>
        <w:tc>
          <w:tcPr>
            <w:tcW w:w="773" w:type="dxa"/>
          </w:tcPr>
          <w:p>
            <w:pPr>
              <w:pStyle w:val="TableParagraph"/>
              <w:spacing w:before="54"/>
              <w:ind w:left="50"/>
              <w:rPr>
                <w:sz w:val="11"/>
              </w:rPr>
            </w:pPr>
            <w:r>
              <w:rPr>
                <w:w w:val="105"/>
                <w:sz w:val="11"/>
              </w:rPr>
              <w:t>2000-2999</w:t>
            </w:r>
          </w:p>
        </w:tc>
        <w:tc>
          <w:tcPr>
            <w:tcW w:w="944" w:type="dxa"/>
          </w:tcPr>
          <w:p>
            <w:pPr>
              <w:pStyle w:val="TableParagraph"/>
              <w:rPr>
                <w:rFonts w:ascii="Times New Roman"/>
                <w:sz w:val="10"/>
              </w:rPr>
            </w:pPr>
          </w:p>
        </w:tc>
        <w:tc>
          <w:tcPr>
            <w:tcW w:w="1159" w:type="dxa"/>
          </w:tcPr>
          <w:p>
            <w:pPr>
              <w:pStyle w:val="TableParagraph"/>
              <w:spacing w:before="54"/>
              <w:ind w:right="262"/>
              <w:jc w:val="right"/>
              <w:rPr>
                <w:sz w:val="11"/>
              </w:rPr>
            </w:pPr>
            <w:r>
              <w:rPr>
                <w:sz w:val="11"/>
              </w:rPr>
              <w:t>251,239.00</w:t>
            </w:r>
          </w:p>
        </w:tc>
        <w:tc>
          <w:tcPr>
            <w:tcW w:w="1079" w:type="dxa"/>
          </w:tcPr>
          <w:p>
            <w:pPr>
              <w:pStyle w:val="TableParagraph"/>
              <w:spacing w:before="54"/>
              <w:ind w:right="232"/>
              <w:jc w:val="right"/>
              <w:rPr>
                <w:sz w:val="11"/>
              </w:rPr>
            </w:pPr>
            <w:r>
              <w:rPr>
                <w:sz w:val="11"/>
              </w:rPr>
              <w:t>24,340.00</w:t>
            </w:r>
          </w:p>
        </w:tc>
        <w:tc>
          <w:tcPr>
            <w:tcW w:w="1088" w:type="dxa"/>
          </w:tcPr>
          <w:p>
            <w:pPr>
              <w:pStyle w:val="TableParagraph"/>
              <w:spacing w:before="54"/>
              <w:ind w:right="213"/>
              <w:jc w:val="right"/>
              <w:rPr>
                <w:sz w:val="11"/>
              </w:rPr>
            </w:pPr>
            <w:r>
              <w:rPr>
                <w:sz w:val="11"/>
              </w:rPr>
              <w:t>275,579.00</w:t>
            </w:r>
          </w:p>
        </w:tc>
        <w:tc>
          <w:tcPr>
            <w:tcW w:w="1156" w:type="dxa"/>
          </w:tcPr>
          <w:p>
            <w:pPr>
              <w:pStyle w:val="TableParagraph"/>
              <w:spacing w:before="54"/>
              <w:ind w:right="259"/>
              <w:jc w:val="right"/>
              <w:rPr>
                <w:sz w:val="11"/>
              </w:rPr>
            </w:pPr>
            <w:r>
              <w:rPr>
                <w:sz w:val="11"/>
              </w:rPr>
              <w:t>254,713.00</w:t>
            </w:r>
          </w:p>
        </w:tc>
        <w:tc>
          <w:tcPr>
            <w:tcW w:w="1079" w:type="dxa"/>
          </w:tcPr>
          <w:p>
            <w:pPr>
              <w:pStyle w:val="TableParagraph"/>
              <w:spacing w:before="54"/>
              <w:ind w:right="229"/>
              <w:jc w:val="right"/>
              <w:rPr>
                <w:sz w:val="11"/>
              </w:rPr>
            </w:pPr>
            <w:r>
              <w:rPr>
                <w:sz w:val="11"/>
              </w:rPr>
              <w:t>13,390.00</w:t>
            </w:r>
          </w:p>
        </w:tc>
        <w:tc>
          <w:tcPr>
            <w:tcW w:w="998" w:type="dxa"/>
          </w:tcPr>
          <w:p>
            <w:pPr>
              <w:pStyle w:val="TableParagraph"/>
              <w:spacing w:before="54"/>
              <w:ind w:right="118"/>
              <w:jc w:val="right"/>
              <w:rPr>
                <w:sz w:val="11"/>
              </w:rPr>
            </w:pPr>
            <w:r>
              <w:rPr>
                <w:sz w:val="11"/>
              </w:rPr>
              <w:t>268,103.00</w:t>
            </w:r>
          </w:p>
        </w:tc>
        <w:tc>
          <w:tcPr>
            <w:tcW w:w="545" w:type="dxa"/>
          </w:tcPr>
          <w:p>
            <w:pPr>
              <w:pStyle w:val="TableParagraph"/>
              <w:spacing w:before="54"/>
              <w:ind w:left="201" w:right="1"/>
              <w:jc w:val="center"/>
              <w:rPr>
                <w:sz w:val="11"/>
              </w:rPr>
            </w:pPr>
            <w:r>
              <w:rPr>
                <w:w w:val="105"/>
                <w:sz w:val="11"/>
              </w:rPr>
              <w:t>-2.7%</w:t>
            </w:r>
          </w:p>
        </w:tc>
      </w:tr>
      <w:tr>
        <w:trPr>
          <w:trHeight w:val="235" w:hRule="atLeast"/>
        </w:trPr>
        <w:tc>
          <w:tcPr>
            <w:tcW w:w="2772" w:type="dxa"/>
          </w:tcPr>
          <w:p>
            <w:pPr>
              <w:pStyle w:val="TableParagraph"/>
              <w:spacing w:before="54"/>
              <w:ind w:left="153"/>
              <w:rPr>
                <w:sz w:val="11"/>
              </w:rPr>
            </w:pPr>
            <w:r>
              <w:rPr>
                <w:w w:val="105"/>
                <w:sz w:val="11"/>
              </w:rPr>
              <w:t>3) Pupil Services</w:t>
            </w:r>
          </w:p>
        </w:tc>
        <w:tc>
          <w:tcPr>
            <w:tcW w:w="773" w:type="dxa"/>
          </w:tcPr>
          <w:p>
            <w:pPr>
              <w:pStyle w:val="TableParagraph"/>
              <w:spacing w:before="54"/>
              <w:ind w:left="50"/>
              <w:rPr>
                <w:sz w:val="11"/>
              </w:rPr>
            </w:pPr>
            <w:r>
              <w:rPr>
                <w:w w:val="105"/>
                <w:sz w:val="11"/>
              </w:rPr>
              <w:t>3000-3999</w:t>
            </w:r>
          </w:p>
        </w:tc>
        <w:tc>
          <w:tcPr>
            <w:tcW w:w="944" w:type="dxa"/>
          </w:tcPr>
          <w:p>
            <w:pPr>
              <w:pStyle w:val="TableParagraph"/>
              <w:rPr>
                <w:rFonts w:ascii="Times New Roman"/>
                <w:sz w:val="10"/>
              </w:rPr>
            </w:pPr>
          </w:p>
        </w:tc>
        <w:tc>
          <w:tcPr>
            <w:tcW w:w="1159" w:type="dxa"/>
          </w:tcPr>
          <w:p>
            <w:pPr>
              <w:pStyle w:val="TableParagraph"/>
              <w:spacing w:before="54"/>
              <w:ind w:right="262"/>
              <w:jc w:val="right"/>
              <w:rPr>
                <w:sz w:val="11"/>
              </w:rPr>
            </w:pPr>
            <w:r>
              <w:rPr>
                <w:sz w:val="11"/>
              </w:rPr>
              <w:t>62,920.00</w:t>
            </w:r>
          </w:p>
        </w:tc>
        <w:tc>
          <w:tcPr>
            <w:tcW w:w="1079" w:type="dxa"/>
          </w:tcPr>
          <w:p>
            <w:pPr>
              <w:pStyle w:val="TableParagraph"/>
              <w:spacing w:before="54"/>
              <w:ind w:right="232"/>
              <w:jc w:val="right"/>
              <w:rPr>
                <w:sz w:val="11"/>
              </w:rPr>
            </w:pPr>
            <w:r>
              <w:rPr>
                <w:sz w:val="11"/>
              </w:rPr>
              <w:t>85,582.00</w:t>
            </w:r>
          </w:p>
        </w:tc>
        <w:tc>
          <w:tcPr>
            <w:tcW w:w="1088" w:type="dxa"/>
          </w:tcPr>
          <w:p>
            <w:pPr>
              <w:pStyle w:val="TableParagraph"/>
              <w:spacing w:before="54"/>
              <w:ind w:right="213"/>
              <w:jc w:val="right"/>
              <w:rPr>
                <w:sz w:val="11"/>
              </w:rPr>
            </w:pPr>
            <w:r>
              <w:rPr>
                <w:sz w:val="11"/>
              </w:rPr>
              <w:t>148,502.00</w:t>
            </w:r>
          </w:p>
        </w:tc>
        <w:tc>
          <w:tcPr>
            <w:tcW w:w="1156" w:type="dxa"/>
          </w:tcPr>
          <w:p>
            <w:pPr>
              <w:pStyle w:val="TableParagraph"/>
              <w:spacing w:before="54"/>
              <w:ind w:right="259"/>
              <w:jc w:val="right"/>
              <w:rPr>
                <w:sz w:val="11"/>
              </w:rPr>
            </w:pPr>
            <w:r>
              <w:rPr>
                <w:sz w:val="11"/>
              </w:rPr>
              <w:t>68,692.00</w:t>
            </w:r>
          </w:p>
        </w:tc>
        <w:tc>
          <w:tcPr>
            <w:tcW w:w="1079" w:type="dxa"/>
          </w:tcPr>
          <w:p>
            <w:pPr>
              <w:pStyle w:val="TableParagraph"/>
              <w:spacing w:before="54"/>
              <w:ind w:right="229"/>
              <w:jc w:val="right"/>
              <w:rPr>
                <w:sz w:val="11"/>
              </w:rPr>
            </w:pPr>
            <w:r>
              <w:rPr>
                <w:sz w:val="11"/>
              </w:rPr>
              <w:t>75,609.00</w:t>
            </w:r>
          </w:p>
        </w:tc>
        <w:tc>
          <w:tcPr>
            <w:tcW w:w="998" w:type="dxa"/>
          </w:tcPr>
          <w:p>
            <w:pPr>
              <w:pStyle w:val="TableParagraph"/>
              <w:spacing w:before="54"/>
              <w:ind w:right="118"/>
              <w:jc w:val="right"/>
              <w:rPr>
                <w:sz w:val="11"/>
              </w:rPr>
            </w:pPr>
            <w:r>
              <w:rPr>
                <w:sz w:val="11"/>
              </w:rPr>
              <w:t>144,301.00</w:t>
            </w:r>
          </w:p>
        </w:tc>
        <w:tc>
          <w:tcPr>
            <w:tcW w:w="545" w:type="dxa"/>
          </w:tcPr>
          <w:p>
            <w:pPr>
              <w:pStyle w:val="TableParagraph"/>
              <w:spacing w:before="54"/>
              <w:ind w:left="201" w:right="1"/>
              <w:jc w:val="center"/>
              <w:rPr>
                <w:sz w:val="11"/>
              </w:rPr>
            </w:pPr>
            <w:r>
              <w:rPr>
                <w:w w:val="105"/>
                <w:sz w:val="11"/>
              </w:rPr>
              <w:t>-2.8%</w:t>
            </w:r>
          </w:p>
        </w:tc>
      </w:tr>
      <w:tr>
        <w:trPr>
          <w:trHeight w:val="235" w:hRule="atLeast"/>
        </w:trPr>
        <w:tc>
          <w:tcPr>
            <w:tcW w:w="2772" w:type="dxa"/>
          </w:tcPr>
          <w:p>
            <w:pPr>
              <w:pStyle w:val="TableParagraph"/>
              <w:spacing w:before="54"/>
              <w:ind w:left="153"/>
              <w:rPr>
                <w:sz w:val="11"/>
              </w:rPr>
            </w:pPr>
            <w:r>
              <w:rPr>
                <w:w w:val="105"/>
                <w:sz w:val="11"/>
              </w:rPr>
              <w:t>4) Ancillary Services</w:t>
            </w:r>
          </w:p>
        </w:tc>
        <w:tc>
          <w:tcPr>
            <w:tcW w:w="773" w:type="dxa"/>
          </w:tcPr>
          <w:p>
            <w:pPr>
              <w:pStyle w:val="TableParagraph"/>
              <w:spacing w:before="54"/>
              <w:ind w:left="50"/>
              <w:rPr>
                <w:sz w:val="11"/>
              </w:rPr>
            </w:pPr>
            <w:r>
              <w:rPr>
                <w:w w:val="105"/>
                <w:sz w:val="11"/>
              </w:rPr>
              <w:t>4000-4999</w:t>
            </w:r>
          </w:p>
        </w:tc>
        <w:tc>
          <w:tcPr>
            <w:tcW w:w="944" w:type="dxa"/>
          </w:tcPr>
          <w:p>
            <w:pPr>
              <w:pStyle w:val="TableParagraph"/>
              <w:rPr>
                <w:rFonts w:ascii="Times New Roman"/>
                <w:sz w:val="10"/>
              </w:rPr>
            </w:pPr>
          </w:p>
        </w:tc>
        <w:tc>
          <w:tcPr>
            <w:tcW w:w="1159" w:type="dxa"/>
          </w:tcPr>
          <w:p>
            <w:pPr>
              <w:pStyle w:val="TableParagraph"/>
              <w:spacing w:before="54"/>
              <w:ind w:right="262"/>
              <w:jc w:val="right"/>
              <w:rPr>
                <w:sz w:val="11"/>
              </w:rPr>
            </w:pPr>
            <w:r>
              <w:rPr>
                <w:sz w:val="11"/>
              </w:rPr>
              <w:t>5,911.00</w:t>
            </w:r>
          </w:p>
        </w:tc>
        <w:tc>
          <w:tcPr>
            <w:tcW w:w="1079" w:type="dxa"/>
          </w:tcPr>
          <w:p>
            <w:pPr>
              <w:pStyle w:val="TableParagraph"/>
              <w:spacing w:before="54"/>
              <w:ind w:right="232"/>
              <w:jc w:val="right"/>
              <w:rPr>
                <w:sz w:val="11"/>
              </w:rPr>
            </w:pPr>
            <w:r>
              <w:rPr>
                <w:sz w:val="11"/>
              </w:rPr>
              <w:t>241.00</w:t>
            </w:r>
          </w:p>
        </w:tc>
        <w:tc>
          <w:tcPr>
            <w:tcW w:w="1088" w:type="dxa"/>
          </w:tcPr>
          <w:p>
            <w:pPr>
              <w:pStyle w:val="TableParagraph"/>
              <w:spacing w:before="54"/>
              <w:ind w:right="211"/>
              <w:jc w:val="right"/>
              <w:rPr>
                <w:sz w:val="11"/>
              </w:rPr>
            </w:pPr>
            <w:r>
              <w:rPr>
                <w:sz w:val="11"/>
              </w:rPr>
              <w:t>6,152.00</w:t>
            </w:r>
          </w:p>
        </w:tc>
        <w:tc>
          <w:tcPr>
            <w:tcW w:w="1156" w:type="dxa"/>
          </w:tcPr>
          <w:p>
            <w:pPr>
              <w:pStyle w:val="TableParagraph"/>
              <w:spacing w:before="54"/>
              <w:ind w:right="259"/>
              <w:jc w:val="right"/>
              <w:rPr>
                <w:sz w:val="11"/>
              </w:rPr>
            </w:pPr>
            <w:r>
              <w:rPr>
                <w:sz w:val="11"/>
              </w:rPr>
              <w:t>6,583.00</w:t>
            </w:r>
          </w:p>
        </w:tc>
        <w:tc>
          <w:tcPr>
            <w:tcW w:w="1079" w:type="dxa"/>
          </w:tcPr>
          <w:p>
            <w:pPr>
              <w:pStyle w:val="TableParagraph"/>
              <w:spacing w:before="54"/>
              <w:ind w:right="229"/>
              <w:jc w:val="right"/>
              <w:rPr>
                <w:sz w:val="11"/>
              </w:rPr>
            </w:pPr>
            <w:r>
              <w:rPr>
                <w:sz w:val="11"/>
              </w:rPr>
              <w:t>741.00</w:t>
            </w:r>
          </w:p>
        </w:tc>
        <w:tc>
          <w:tcPr>
            <w:tcW w:w="998" w:type="dxa"/>
          </w:tcPr>
          <w:p>
            <w:pPr>
              <w:pStyle w:val="TableParagraph"/>
              <w:spacing w:before="54"/>
              <w:ind w:right="118"/>
              <w:jc w:val="right"/>
              <w:rPr>
                <w:sz w:val="11"/>
              </w:rPr>
            </w:pPr>
            <w:r>
              <w:rPr>
                <w:sz w:val="11"/>
              </w:rPr>
              <w:t>7,324.00</w:t>
            </w:r>
          </w:p>
        </w:tc>
        <w:tc>
          <w:tcPr>
            <w:tcW w:w="545" w:type="dxa"/>
          </w:tcPr>
          <w:p>
            <w:pPr>
              <w:pStyle w:val="TableParagraph"/>
              <w:spacing w:before="54"/>
              <w:ind w:left="174" w:right="1"/>
              <w:jc w:val="center"/>
              <w:rPr>
                <w:sz w:val="11"/>
              </w:rPr>
            </w:pPr>
            <w:r>
              <w:rPr>
                <w:w w:val="105"/>
                <w:sz w:val="11"/>
              </w:rPr>
              <w:t>19.1%</w:t>
            </w:r>
          </w:p>
        </w:tc>
      </w:tr>
      <w:tr>
        <w:trPr>
          <w:trHeight w:val="235" w:hRule="atLeast"/>
        </w:trPr>
        <w:tc>
          <w:tcPr>
            <w:tcW w:w="2772" w:type="dxa"/>
          </w:tcPr>
          <w:p>
            <w:pPr>
              <w:pStyle w:val="TableParagraph"/>
              <w:spacing w:before="54"/>
              <w:ind w:left="153"/>
              <w:rPr>
                <w:sz w:val="11"/>
              </w:rPr>
            </w:pPr>
            <w:r>
              <w:rPr>
                <w:w w:val="105"/>
                <w:sz w:val="11"/>
              </w:rPr>
              <w:t>5) Community Services</w:t>
            </w:r>
          </w:p>
        </w:tc>
        <w:tc>
          <w:tcPr>
            <w:tcW w:w="773" w:type="dxa"/>
          </w:tcPr>
          <w:p>
            <w:pPr>
              <w:pStyle w:val="TableParagraph"/>
              <w:spacing w:before="54"/>
              <w:ind w:left="50"/>
              <w:rPr>
                <w:sz w:val="11"/>
              </w:rPr>
            </w:pPr>
            <w:r>
              <w:rPr>
                <w:w w:val="105"/>
                <w:sz w:val="11"/>
              </w:rPr>
              <w:t>5000-5999</w:t>
            </w:r>
          </w:p>
        </w:tc>
        <w:tc>
          <w:tcPr>
            <w:tcW w:w="944" w:type="dxa"/>
          </w:tcPr>
          <w:p>
            <w:pPr>
              <w:pStyle w:val="TableParagraph"/>
              <w:rPr>
                <w:rFonts w:ascii="Times New Roman"/>
                <w:sz w:val="10"/>
              </w:rPr>
            </w:pPr>
          </w:p>
        </w:tc>
        <w:tc>
          <w:tcPr>
            <w:tcW w:w="1159" w:type="dxa"/>
          </w:tcPr>
          <w:p>
            <w:pPr>
              <w:pStyle w:val="TableParagraph"/>
              <w:spacing w:before="54"/>
              <w:ind w:right="262"/>
              <w:jc w:val="right"/>
              <w:rPr>
                <w:sz w:val="11"/>
              </w:rPr>
            </w:pPr>
            <w:r>
              <w:rPr>
                <w:sz w:val="11"/>
              </w:rPr>
              <w:t>0.00</w:t>
            </w:r>
          </w:p>
        </w:tc>
        <w:tc>
          <w:tcPr>
            <w:tcW w:w="1079" w:type="dxa"/>
          </w:tcPr>
          <w:p>
            <w:pPr>
              <w:pStyle w:val="TableParagraph"/>
              <w:spacing w:before="54"/>
              <w:ind w:right="232"/>
              <w:jc w:val="right"/>
              <w:rPr>
                <w:sz w:val="11"/>
              </w:rPr>
            </w:pPr>
            <w:r>
              <w:rPr>
                <w:sz w:val="11"/>
              </w:rPr>
              <w:t>0.00</w:t>
            </w:r>
          </w:p>
        </w:tc>
        <w:tc>
          <w:tcPr>
            <w:tcW w:w="1088" w:type="dxa"/>
          </w:tcPr>
          <w:p>
            <w:pPr>
              <w:pStyle w:val="TableParagraph"/>
              <w:spacing w:before="54"/>
              <w:ind w:right="211"/>
              <w:jc w:val="right"/>
              <w:rPr>
                <w:sz w:val="11"/>
              </w:rPr>
            </w:pPr>
            <w:r>
              <w:rPr>
                <w:sz w:val="11"/>
              </w:rPr>
              <w:t>0.00</w:t>
            </w:r>
          </w:p>
        </w:tc>
        <w:tc>
          <w:tcPr>
            <w:tcW w:w="1156" w:type="dxa"/>
          </w:tcPr>
          <w:p>
            <w:pPr>
              <w:pStyle w:val="TableParagraph"/>
              <w:spacing w:before="54"/>
              <w:ind w:right="258"/>
              <w:jc w:val="right"/>
              <w:rPr>
                <w:sz w:val="11"/>
              </w:rPr>
            </w:pPr>
            <w:r>
              <w:rPr>
                <w:sz w:val="11"/>
              </w:rPr>
              <w:t>0.00</w:t>
            </w:r>
          </w:p>
        </w:tc>
        <w:tc>
          <w:tcPr>
            <w:tcW w:w="1079" w:type="dxa"/>
          </w:tcPr>
          <w:p>
            <w:pPr>
              <w:pStyle w:val="TableParagraph"/>
              <w:spacing w:before="54"/>
              <w:ind w:right="229"/>
              <w:jc w:val="right"/>
              <w:rPr>
                <w:sz w:val="11"/>
              </w:rPr>
            </w:pPr>
            <w:r>
              <w:rPr>
                <w:sz w:val="11"/>
              </w:rPr>
              <w:t>0.00</w:t>
            </w:r>
          </w:p>
        </w:tc>
        <w:tc>
          <w:tcPr>
            <w:tcW w:w="998" w:type="dxa"/>
          </w:tcPr>
          <w:p>
            <w:pPr>
              <w:pStyle w:val="TableParagraph"/>
              <w:spacing w:before="54"/>
              <w:ind w:right="118"/>
              <w:jc w:val="right"/>
              <w:rPr>
                <w:sz w:val="11"/>
              </w:rPr>
            </w:pPr>
            <w:r>
              <w:rPr>
                <w:sz w:val="11"/>
              </w:rPr>
              <w:t>0.00</w:t>
            </w:r>
          </w:p>
        </w:tc>
        <w:tc>
          <w:tcPr>
            <w:tcW w:w="545" w:type="dxa"/>
          </w:tcPr>
          <w:p>
            <w:pPr>
              <w:pStyle w:val="TableParagraph"/>
              <w:spacing w:before="54"/>
              <w:ind w:left="239" w:right="1"/>
              <w:jc w:val="center"/>
              <w:rPr>
                <w:sz w:val="11"/>
              </w:rPr>
            </w:pPr>
            <w:r>
              <w:rPr>
                <w:w w:val="105"/>
                <w:sz w:val="11"/>
              </w:rPr>
              <w:t>0.0%</w:t>
            </w:r>
          </w:p>
        </w:tc>
      </w:tr>
      <w:tr>
        <w:trPr>
          <w:trHeight w:val="235" w:hRule="atLeast"/>
        </w:trPr>
        <w:tc>
          <w:tcPr>
            <w:tcW w:w="2772" w:type="dxa"/>
          </w:tcPr>
          <w:p>
            <w:pPr>
              <w:pStyle w:val="TableParagraph"/>
              <w:spacing w:before="54"/>
              <w:ind w:left="153"/>
              <w:rPr>
                <w:sz w:val="11"/>
              </w:rPr>
            </w:pPr>
            <w:r>
              <w:rPr>
                <w:w w:val="105"/>
                <w:sz w:val="11"/>
              </w:rPr>
              <w:t>6) Enterprise</w:t>
            </w:r>
          </w:p>
        </w:tc>
        <w:tc>
          <w:tcPr>
            <w:tcW w:w="773" w:type="dxa"/>
          </w:tcPr>
          <w:p>
            <w:pPr>
              <w:pStyle w:val="TableParagraph"/>
              <w:spacing w:before="54"/>
              <w:ind w:left="50"/>
              <w:rPr>
                <w:sz w:val="11"/>
              </w:rPr>
            </w:pPr>
            <w:r>
              <w:rPr>
                <w:w w:val="105"/>
                <w:sz w:val="11"/>
              </w:rPr>
              <w:t>6000-6999</w:t>
            </w:r>
          </w:p>
        </w:tc>
        <w:tc>
          <w:tcPr>
            <w:tcW w:w="944" w:type="dxa"/>
          </w:tcPr>
          <w:p>
            <w:pPr>
              <w:pStyle w:val="TableParagraph"/>
              <w:rPr>
                <w:rFonts w:ascii="Times New Roman"/>
                <w:sz w:val="10"/>
              </w:rPr>
            </w:pPr>
          </w:p>
        </w:tc>
        <w:tc>
          <w:tcPr>
            <w:tcW w:w="1159" w:type="dxa"/>
          </w:tcPr>
          <w:p>
            <w:pPr>
              <w:pStyle w:val="TableParagraph"/>
              <w:spacing w:before="54"/>
              <w:ind w:right="262"/>
              <w:jc w:val="right"/>
              <w:rPr>
                <w:sz w:val="11"/>
              </w:rPr>
            </w:pPr>
            <w:r>
              <w:rPr>
                <w:sz w:val="11"/>
              </w:rPr>
              <w:t>0.00</w:t>
            </w:r>
          </w:p>
        </w:tc>
        <w:tc>
          <w:tcPr>
            <w:tcW w:w="1079" w:type="dxa"/>
          </w:tcPr>
          <w:p>
            <w:pPr>
              <w:pStyle w:val="TableParagraph"/>
              <w:spacing w:before="54"/>
              <w:ind w:right="232"/>
              <w:jc w:val="right"/>
              <w:rPr>
                <w:sz w:val="11"/>
              </w:rPr>
            </w:pPr>
            <w:r>
              <w:rPr>
                <w:sz w:val="11"/>
              </w:rPr>
              <w:t>0.00</w:t>
            </w:r>
          </w:p>
        </w:tc>
        <w:tc>
          <w:tcPr>
            <w:tcW w:w="1088" w:type="dxa"/>
          </w:tcPr>
          <w:p>
            <w:pPr>
              <w:pStyle w:val="TableParagraph"/>
              <w:spacing w:before="54"/>
              <w:ind w:right="211"/>
              <w:jc w:val="right"/>
              <w:rPr>
                <w:sz w:val="11"/>
              </w:rPr>
            </w:pPr>
            <w:r>
              <w:rPr>
                <w:sz w:val="11"/>
              </w:rPr>
              <w:t>0.00</w:t>
            </w:r>
          </w:p>
        </w:tc>
        <w:tc>
          <w:tcPr>
            <w:tcW w:w="1156" w:type="dxa"/>
          </w:tcPr>
          <w:p>
            <w:pPr>
              <w:pStyle w:val="TableParagraph"/>
              <w:spacing w:before="54"/>
              <w:ind w:right="258"/>
              <w:jc w:val="right"/>
              <w:rPr>
                <w:sz w:val="11"/>
              </w:rPr>
            </w:pPr>
            <w:r>
              <w:rPr>
                <w:sz w:val="11"/>
              </w:rPr>
              <w:t>0.00</w:t>
            </w:r>
          </w:p>
        </w:tc>
        <w:tc>
          <w:tcPr>
            <w:tcW w:w="1079" w:type="dxa"/>
          </w:tcPr>
          <w:p>
            <w:pPr>
              <w:pStyle w:val="TableParagraph"/>
              <w:spacing w:before="54"/>
              <w:ind w:right="229"/>
              <w:jc w:val="right"/>
              <w:rPr>
                <w:sz w:val="11"/>
              </w:rPr>
            </w:pPr>
            <w:r>
              <w:rPr>
                <w:sz w:val="11"/>
              </w:rPr>
              <w:t>0.00</w:t>
            </w:r>
          </w:p>
        </w:tc>
        <w:tc>
          <w:tcPr>
            <w:tcW w:w="998" w:type="dxa"/>
          </w:tcPr>
          <w:p>
            <w:pPr>
              <w:pStyle w:val="TableParagraph"/>
              <w:spacing w:before="54"/>
              <w:ind w:right="118"/>
              <w:jc w:val="right"/>
              <w:rPr>
                <w:sz w:val="11"/>
              </w:rPr>
            </w:pPr>
            <w:r>
              <w:rPr>
                <w:sz w:val="11"/>
              </w:rPr>
              <w:t>0.00</w:t>
            </w:r>
          </w:p>
        </w:tc>
        <w:tc>
          <w:tcPr>
            <w:tcW w:w="545" w:type="dxa"/>
          </w:tcPr>
          <w:p>
            <w:pPr>
              <w:pStyle w:val="TableParagraph"/>
              <w:spacing w:before="54"/>
              <w:ind w:left="239" w:right="1"/>
              <w:jc w:val="center"/>
              <w:rPr>
                <w:sz w:val="11"/>
              </w:rPr>
            </w:pPr>
            <w:r>
              <w:rPr>
                <w:w w:val="105"/>
                <w:sz w:val="11"/>
              </w:rPr>
              <w:t>0.0%</w:t>
            </w:r>
          </w:p>
        </w:tc>
      </w:tr>
      <w:tr>
        <w:trPr>
          <w:trHeight w:val="243" w:hRule="atLeast"/>
        </w:trPr>
        <w:tc>
          <w:tcPr>
            <w:tcW w:w="2772" w:type="dxa"/>
          </w:tcPr>
          <w:p>
            <w:pPr>
              <w:pStyle w:val="TableParagraph"/>
              <w:spacing w:before="54"/>
              <w:ind w:left="153"/>
              <w:rPr>
                <w:sz w:val="11"/>
              </w:rPr>
            </w:pPr>
            <w:r>
              <w:rPr>
                <w:w w:val="105"/>
                <w:sz w:val="11"/>
              </w:rPr>
              <w:t>7) General Administration</w:t>
            </w:r>
          </w:p>
        </w:tc>
        <w:tc>
          <w:tcPr>
            <w:tcW w:w="773" w:type="dxa"/>
          </w:tcPr>
          <w:p>
            <w:pPr>
              <w:pStyle w:val="TableParagraph"/>
              <w:spacing w:before="54"/>
              <w:ind w:left="50"/>
              <w:rPr>
                <w:sz w:val="11"/>
              </w:rPr>
            </w:pPr>
            <w:r>
              <w:rPr>
                <w:w w:val="105"/>
                <w:sz w:val="11"/>
              </w:rPr>
              <w:t>7000-7999</w:t>
            </w:r>
          </w:p>
        </w:tc>
        <w:tc>
          <w:tcPr>
            <w:tcW w:w="944" w:type="dxa"/>
          </w:tcPr>
          <w:p>
            <w:pPr>
              <w:pStyle w:val="TableParagraph"/>
              <w:rPr>
                <w:rFonts w:ascii="Times New Roman"/>
                <w:sz w:val="10"/>
              </w:rPr>
            </w:pPr>
          </w:p>
        </w:tc>
        <w:tc>
          <w:tcPr>
            <w:tcW w:w="1159" w:type="dxa"/>
          </w:tcPr>
          <w:p>
            <w:pPr>
              <w:pStyle w:val="TableParagraph"/>
              <w:spacing w:before="54"/>
              <w:ind w:right="262"/>
              <w:jc w:val="right"/>
              <w:rPr>
                <w:sz w:val="11"/>
              </w:rPr>
            </w:pPr>
            <w:r>
              <w:rPr>
                <w:sz w:val="11"/>
              </w:rPr>
              <w:t>286,110.00</w:t>
            </w:r>
          </w:p>
        </w:tc>
        <w:tc>
          <w:tcPr>
            <w:tcW w:w="1079" w:type="dxa"/>
          </w:tcPr>
          <w:p>
            <w:pPr>
              <w:pStyle w:val="TableParagraph"/>
              <w:spacing w:before="54"/>
              <w:ind w:right="232"/>
              <w:jc w:val="right"/>
              <w:rPr>
                <w:sz w:val="11"/>
              </w:rPr>
            </w:pPr>
            <w:r>
              <w:rPr>
                <w:sz w:val="11"/>
              </w:rPr>
              <w:t>8,019.00</w:t>
            </w:r>
          </w:p>
        </w:tc>
        <w:tc>
          <w:tcPr>
            <w:tcW w:w="1088" w:type="dxa"/>
          </w:tcPr>
          <w:p>
            <w:pPr>
              <w:pStyle w:val="TableParagraph"/>
              <w:spacing w:before="54"/>
              <w:ind w:right="213"/>
              <w:jc w:val="right"/>
              <w:rPr>
                <w:sz w:val="11"/>
              </w:rPr>
            </w:pPr>
            <w:r>
              <w:rPr>
                <w:sz w:val="11"/>
              </w:rPr>
              <w:t>294,129.00</w:t>
            </w:r>
          </w:p>
        </w:tc>
        <w:tc>
          <w:tcPr>
            <w:tcW w:w="1156" w:type="dxa"/>
          </w:tcPr>
          <w:p>
            <w:pPr>
              <w:pStyle w:val="TableParagraph"/>
              <w:spacing w:before="54"/>
              <w:ind w:right="259"/>
              <w:jc w:val="right"/>
              <w:rPr>
                <w:sz w:val="11"/>
              </w:rPr>
            </w:pPr>
            <w:r>
              <w:rPr>
                <w:sz w:val="11"/>
              </w:rPr>
              <w:t>284,879.00</w:t>
            </w:r>
          </w:p>
        </w:tc>
        <w:tc>
          <w:tcPr>
            <w:tcW w:w="1079" w:type="dxa"/>
          </w:tcPr>
          <w:p>
            <w:pPr>
              <w:pStyle w:val="TableParagraph"/>
              <w:spacing w:before="54"/>
              <w:ind w:right="229"/>
              <w:jc w:val="right"/>
              <w:rPr>
                <w:sz w:val="11"/>
              </w:rPr>
            </w:pPr>
            <w:r>
              <w:rPr>
                <w:sz w:val="11"/>
              </w:rPr>
              <w:t>8,519.00</w:t>
            </w:r>
          </w:p>
        </w:tc>
        <w:tc>
          <w:tcPr>
            <w:tcW w:w="998" w:type="dxa"/>
          </w:tcPr>
          <w:p>
            <w:pPr>
              <w:pStyle w:val="TableParagraph"/>
              <w:spacing w:before="54"/>
              <w:ind w:right="118"/>
              <w:jc w:val="right"/>
              <w:rPr>
                <w:sz w:val="11"/>
              </w:rPr>
            </w:pPr>
            <w:r>
              <w:rPr>
                <w:sz w:val="11"/>
              </w:rPr>
              <w:t>293,398.00</w:t>
            </w:r>
          </w:p>
        </w:tc>
        <w:tc>
          <w:tcPr>
            <w:tcW w:w="545" w:type="dxa"/>
          </w:tcPr>
          <w:p>
            <w:pPr>
              <w:pStyle w:val="TableParagraph"/>
              <w:spacing w:before="54"/>
              <w:ind w:left="201" w:right="1"/>
              <w:jc w:val="center"/>
              <w:rPr>
                <w:sz w:val="11"/>
              </w:rPr>
            </w:pPr>
            <w:r>
              <w:rPr>
                <w:w w:val="105"/>
                <w:sz w:val="11"/>
              </w:rPr>
              <w:t>-0.2%</w:t>
            </w:r>
          </w:p>
        </w:tc>
      </w:tr>
      <w:tr>
        <w:trPr>
          <w:trHeight w:val="210" w:hRule="atLeast"/>
        </w:trPr>
        <w:tc>
          <w:tcPr>
            <w:tcW w:w="2772" w:type="dxa"/>
          </w:tcPr>
          <w:p>
            <w:pPr>
              <w:pStyle w:val="TableParagraph"/>
              <w:spacing w:before="62"/>
              <w:ind w:left="153"/>
              <w:rPr>
                <w:sz w:val="11"/>
              </w:rPr>
            </w:pPr>
            <w:r>
              <w:rPr>
                <w:w w:val="105"/>
                <w:sz w:val="11"/>
              </w:rPr>
              <w:t>8) Plant Services</w:t>
            </w:r>
          </w:p>
        </w:tc>
        <w:tc>
          <w:tcPr>
            <w:tcW w:w="773" w:type="dxa"/>
          </w:tcPr>
          <w:p>
            <w:pPr>
              <w:pStyle w:val="TableParagraph"/>
              <w:spacing w:before="62"/>
              <w:ind w:left="50"/>
              <w:rPr>
                <w:sz w:val="11"/>
              </w:rPr>
            </w:pPr>
            <w:r>
              <w:rPr>
                <w:w w:val="105"/>
                <w:sz w:val="11"/>
              </w:rPr>
              <w:t>8000-8999</w:t>
            </w:r>
          </w:p>
        </w:tc>
        <w:tc>
          <w:tcPr>
            <w:tcW w:w="944" w:type="dxa"/>
          </w:tcPr>
          <w:p>
            <w:pPr>
              <w:pStyle w:val="TableParagraph"/>
              <w:rPr>
                <w:rFonts w:ascii="Times New Roman"/>
                <w:sz w:val="10"/>
              </w:rPr>
            </w:pPr>
          </w:p>
        </w:tc>
        <w:tc>
          <w:tcPr>
            <w:tcW w:w="1159" w:type="dxa"/>
          </w:tcPr>
          <w:p>
            <w:pPr>
              <w:pStyle w:val="TableParagraph"/>
              <w:spacing w:before="62"/>
              <w:ind w:right="262"/>
              <w:jc w:val="right"/>
              <w:rPr>
                <w:sz w:val="11"/>
              </w:rPr>
            </w:pPr>
            <w:r>
              <w:rPr>
                <w:sz w:val="11"/>
              </w:rPr>
              <w:t>178,544.00</w:t>
            </w:r>
          </w:p>
        </w:tc>
        <w:tc>
          <w:tcPr>
            <w:tcW w:w="1079" w:type="dxa"/>
          </w:tcPr>
          <w:p>
            <w:pPr>
              <w:pStyle w:val="TableParagraph"/>
              <w:spacing w:before="62"/>
              <w:ind w:right="232"/>
              <w:jc w:val="right"/>
              <w:rPr>
                <w:sz w:val="11"/>
              </w:rPr>
            </w:pPr>
            <w:r>
              <w:rPr>
                <w:sz w:val="11"/>
              </w:rPr>
              <w:t>221,527.00</w:t>
            </w:r>
          </w:p>
        </w:tc>
        <w:tc>
          <w:tcPr>
            <w:tcW w:w="1088" w:type="dxa"/>
          </w:tcPr>
          <w:p>
            <w:pPr>
              <w:pStyle w:val="TableParagraph"/>
              <w:spacing w:before="62"/>
              <w:ind w:right="213"/>
              <w:jc w:val="right"/>
              <w:rPr>
                <w:sz w:val="11"/>
              </w:rPr>
            </w:pPr>
            <w:r>
              <w:rPr>
                <w:sz w:val="11"/>
              </w:rPr>
              <w:t>400,071.00</w:t>
            </w:r>
          </w:p>
        </w:tc>
        <w:tc>
          <w:tcPr>
            <w:tcW w:w="1156" w:type="dxa"/>
          </w:tcPr>
          <w:p>
            <w:pPr>
              <w:pStyle w:val="TableParagraph"/>
              <w:spacing w:before="62"/>
              <w:ind w:right="259"/>
              <w:jc w:val="right"/>
              <w:rPr>
                <w:sz w:val="11"/>
              </w:rPr>
            </w:pPr>
            <w:r>
              <w:rPr>
                <w:sz w:val="11"/>
              </w:rPr>
              <w:t>231,173.00</w:t>
            </w:r>
          </w:p>
        </w:tc>
        <w:tc>
          <w:tcPr>
            <w:tcW w:w="1079" w:type="dxa"/>
          </w:tcPr>
          <w:p>
            <w:pPr>
              <w:pStyle w:val="TableParagraph"/>
              <w:spacing w:before="62"/>
              <w:ind w:right="229"/>
              <w:jc w:val="right"/>
              <w:rPr>
                <w:sz w:val="11"/>
              </w:rPr>
            </w:pPr>
            <w:r>
              <w:rPr>
                <w:sz w:val="11"/>
              </w:rPr>
              <w:t>190,082.00</w:t>
            </w:r>
          </w:p>
        </w:tc>
        <w:tc>
          <w:tcPr>
            <w:tcW w:w="998" w:type="dxa"/>
          </w:tcPr>
          <w:p>
            <w:pPr>
              <w:pStyle w:val="TableParagraph"/>
              <w:spacing w:before="62"/>
              <w:ind w:right="118"/>
              <w:jc w:val="right"/>
              <w:rPr>
                <w:sz w:val="11"/>
              </w:rPr>
            </w:pPr>
            <w:r>
              <w:rPr>
                <w:sz w:val="11"/>
              </w:rPr>
              <w:t>421,255.00</w:t>
            </w:r>
          </w:p>
        </w:tc>
        <w:tc>
          <w:tcPr>
            <w:tcW w:w="545" w:type="dxa"/>
          </w:tcPr>
          <w:p>
            <w:pPr>
              <w:pStyle w:val="TableParagraph"/>
              <w:spacing w:before="62"/>
              <w:ind w:left="239" w:right="1"/>
              <w:jc w:val="center"/>
              <w:rPr>
                <w:sz w:val="11"/>
              </w:rPr>
            </w:pPr>
            <w:r>
              <w:rPr>
                <w:w w:val="105"/>
                <w:sz w:val="11"/>
              </w:rPr>
              <w:t>5.3%</w:t>
            </w:r>
          </w:p>
        </w:tc>
      </w:tr>
      <w:tr>
        <w:trPr>
          <w:trHeight w:val="333" w:hRule="atLeast"/>
        </w:trPr>
        <w:tc>
          <w:tcPr>
            <w:tcW w:w="2772" w:type="dxa"/>
          </w:tcPr>
          <w:p>
            <w:pPr>
              <w:pStyle w:val="TableParagraph"/>
              <w:spacing w:before="3"/>
              <w:rPr>
                <w:sz w:val="13"/>
              </w:rPr>
            </w:pPr>
          </w:p>
          <w:p>
            <w:pPr>
              <w:pStyle w:val="TableParagraph"/>
              <w:ind w:left="153"/>
              <w:rPr>
                <w:sz w:val="11"/>
              </w:rPr>
            </w:pPr>
            <w:r>
              <w:rPr>
                <w:w w:val="105"/>
                <w:sz w:val="11"/>
              </w:rPr>
              <w:t>9) Other Outgo</w:t>
            </w:r>
          </w:p>
        </w:tc>
        <w:tc>
          <w:tcPr>
            <w:tcW w:w="773" w:type="dxa"/>
          </w:tcPr>
          <w:p>
            <w:pPr>
              <w:pStyle w:val="TableParagraph"/>
              <w:spacing w:before="3"/>
              <w:rPr>
                <w:sz w:val="13"/>
              </w:rPr>
            </w:pPr>
          </w:p>
          <w:p>
            <w:pPr>
              <w:pStyle w:val="TableParagraph"/>
              <w:ind w:left="50"/>
              <w:rPr>
                <w:sz w:val="11"/>
              </w:rPr>
            </w:pPr>
            <w:r>
              <w:rPr>
                <w:w w:val="105"/>
                <w:sz w:val="11"/>
              </w:rPr>
              <w:t>9000-9999</w:t>
            </w:r>
          </w:p>
        </w:tc>
        <w:tc>
          <w:tcPr>
            <w:tcW w:w="944" w:type="dxa"/>
          </w:tcPr>
          <w:p>
            <w:pPr>
              <w:pStyle w:val="TableParagraph"/>
              <w:spacing w:line="249" w:lineRule="auto" w:before="20"/>
              <w:ind w:left="170" w:right="217" w:firstLine="100"/>
              <w:rPr>
                <w:sz w:val="11"/>
              </w:rPr>
            </w:pPr>
            <w:r>
              <w:rPr>
                <w:w w:val="105"/>
                <w:sz w:val="11"/>
              </w:rPr>
              <w:t>Except 7600-7699</w:t>
            </w:r>
          </w:p>
        </w:tc>
        <w:tc>
          <w:tcPr>
            <w:tcW w:w="1159" w:type="dxa"/>
          </w:tcPr>
          <w:p>
            <w:pPr>
              <w:pStyle w:val="TableParagraph"/>
              <w:spacing w:before="3"/>
              <w:rPr>
                <w:sz w:val="13"/>
              </w:rPr>
            </w:pPr>
          </w:p>
          <w:p>
            <w:pPr>
              <w:pStyle w:val="TableParagraph"/>
              <w:ind w:right="262"/>
              <w:jc w:val="right"/>
              <w:rPr>
                <w:sz w:val="11"/>
              </w:rPr>
            </w:pPr>
            <w:r>
              <w:rPr>
                <w:sz w:val="11"/>
              </w:rPr>
              <w:t>0.00</w:t>
            </w:r>
          </w:p>
        </w:tc>
        <w:tc>
          <w:tcPr>
            <w:tcW w:w="1079" w:type="dxa"/>
          </w:tcPr>
          <w:p>
            <w:pPr>
              <w:pStyle w:val="TableParagraph"/>
              <w:spacing w:before="3"/>
              <w:rPr>
                <w:sz w:val="13"/>
              </w:rPr>
            </w:pPr>
          </w:p>
          <w:p>
            <w:pPr>
              <w:pStyle w:val="TableParagraph"/>
              <w:ind w:right="232"/>
              <w:jc w:val="right"/>
              <w:rPr>
                <w:sz w:val="11"/>
              </w:rPr>
            </w:pPr>
            <w:r>
              <w:rPr>
                <w:sz w:val="11"/>
              </w:rPr>
              <w:t>0.00</w:t>
            </w:r>
          </w:p>
        </w:tc>
        <w:tc>
          <w:tcPr>
            <w:tcW w:w="1088" w:type="dxa"/>
          </w:tcPr>
          <w:p>
            <w:pPr>
              <w:pStyle w:val="TableParagraph"/>
              <w:spacing w:before="3"/>
              <w:rPr>
                <w:sz w:val="13"/>
              </w:rPr>
            </w:pPr>
          </w:p>
          <w:p>
            <w:pPr>
              <w:pStyle w:val="TableParagraph"/>
              <w:ind w:right="211"/>
              <w:jc w:val="right"/>
              <w:rPr>
                <w:sz w:val="11"/>
              </w:rPr>
            </w:pPr>
            <w:r>
              <w:rPr>
                <w:sz w:val="11"/>
              </w:rPr>
              <w:t>0.00</w:t>
            </w:r>
          </w:p>
        </w:tc>
        <w:tc>
          <w:tcPr>
            <w:tcW w:w="1156" w:type="dxa"/>
          </w:tcPr>
          <w:p>
            <w:pPr>
              <w:pStyle w:val="TableParagraph"/>
              <w:spacing w:before="3"/>
              <w:rPr>
                <w:sz w:val="13"/>
              </w:rPr>
            </w:pPr>
          </w:p>
          <w:p>
            <w:pPr>
              <w:pStyle w:val="TableParagraph"/>
              <w:ind w:right="258"/>
              <w:jc w:val="right"/>
              <w:rPr>
                <w:sz w:val="11"/>
              </w:rPr>
            </w:pPr>
            <w:r>
              <w:rPr>
                <w:sz w:val="11"/>
              </w:rPr>
              <w:t>0.00</w:t>
            </w:r>
          </w:p>
        </w:tc>
        <w:tc>
          <w:tcPr>
            <w:tcW w:w="1079" w:type="dxa"/>
          </w:tcPr>
          <w:p>
            <w:pPr>
              <w:pStyle w:val="TableParagraph"/>
              <w:spacing w:before="3"/>
              <w:rPr>
                <w:sz w:val="13"/>
              </w:rPr>
            </w:pPr>
          </w:p>
          <w:p>
            <w:pPr>
              <w:pStyle w:val="TableParagraph"/>
              <w:ind w:right="229"/>
              <w:jc w:val="right"/>
              <w:rPr>
                <w:sz w:val="11"/>
              </w:rPr>
            </w:pPr>
            <w:r>
              <w:rPr>
                <w:sz w:val="11"/>
              </w:rPr>
              <w:t>0.00</w:t>
            </w:r>
          </w:p>
        </w:tc>
        <w:tc>
          <w:tcPr>
            <w:tcW w:w="998" w:type="dxa"/>
          </w:tcPr>
          <w:p>
            <w:pPr>
              <w:pStyle w:val="TableParagraph"/>
              <w:spacing w:before="3"/>
              <w:rPr>
                <w:sz w:val="13"/>
              </w:rPr>
            </w:pPr>
          </w:p>
          <w:p>
            <w:pPr>
              <w:pStyle w:val="TableParagraph"/>
              <w:ind w:right="118"/>
              <w:jc w:val="right"/>
              <w:rPr>
                <w:sz w:val="11"/>
              </w:rPr>
            </w:pPr>
            <w:r>
              <w:rPr>
                <w:sz w:val="11"/>
              </w:rPr>
              <w:t>0.00</w:t>
            </w:r>
          </w:p>
        </w:tc>
        <w:tc>
          <w:tcPr>
            <w:tcW w:w="545" w:type="dxa"/>
          </w:tcPr>
          <w:p>
            <w:pPr>
              <w:pStyle w:val="TableParagraph"/>
              <w:spacing w:before="3"/>
              <w:rPr>
                <w:sz w:val="13"/>
              </w:rPr>
            </w:pPr>
          </w:p>
          <w:p>
            <w:pPr>
              <w:pStyle w:val="TableParagraph"/>
              <w:ind w:left="239" w:right="1"/>
              <w:jc w:val="center"/>
              <w:rPr>
                <w:sz w:val="11"/>
              </w:rPr>
            </w:pPr>
            <w:r>
              <w:rPr>
                <w:w w:val="105"/>
                <w:sz w:val="11"/>
              </w:rPr>
              <w:t>0.0%</w:t>
            </w:r>
          </w:p>
        </w:tc>
      </w:tr>
      <w:tr>
        <w:trPr>
          <w:trHeight w:val="233" w:hRule="atLeast"/>
        </w:trPr>
        <w:tc>
          <w:tcPr>
            <w:tcW w:w="2772" w:type="dxa"/>
          </w:tcPr>
          <w:p>
            <w:pPr>
              <w:pStyle w:val="TableParagraph"/>
              <w:spacing w:before="54"/>
              <w:ind w:left="121"/>
              <w:rPr>
                <w:sz w:val="11"/>
              </w:rPr>
            </w:pPr>
            <w:r>
              <w:rPr>
                <w:w w:val="105"/>
                <w:sz w:val="11"/>
              </w:rPr>
              <w:t>10) TOTAL, EXPENDITURES</w:t>
            </w:r>
          </w:p>
        </w:tc>
        <w:tc>
          <w:tcPr>
            <w:tcW w:w="773" w:type="dxa"/>
          </w:tcPr>
          <w:p>
            <w:pPr>
              <w:pStyle w:val="TableParagraph"/>
              <w:rPr>
                <w:rFonts w:ascii="Times New Roman"/>
                <w:sz w:val="10"/>
              </w:rPr>
            </w:pPr>
          </w:p>
        </w:tc>
        <w:tc>
          <w:tcPr>
            <w:tcW w:w="944" w:type="dxa"/>
          </w:tcPr>
          <w:p>
            <w:pPr>
              <w:pStyle w:val="TableParagraph"/>
              <w:rPr>
                <w:rFonts w:ascii="Times New Roman"/>
                <w:sz w:val="10"/>
              </w:rPr>
            </w:pPr>
          </w:p>
        </w:tc>
        <w:tc>
          <w:tcPr>
            <w:tcW w:w="1159" w:type="dxa"/>
          </w:tcPr>
          <w:p>
            <w:pPr>
              <w:pStyle w:val="TableParagraph"/>
              <w:spacing w:before="54"/>
              <w:ind w:right="262"/>
              <w:jc w:val="right"/>
              <w:rPr>
                <w:sz w:val="11"/>
              </w:rPr>
            </w:pPr>
            <w:r>
              <w:rPr>
                <w:sz w:val="11"/>
              </w:rPr>
              <w:t>1,302,403.00</w:t>
            </w:r>
          </w:p>
        </w:tc>
        <w:tc>
          <w:tcPr>
            <w:tcW w:w="1079" w:type="dxa"/>
          </w:tcPr>
          <w:p>
            <w:pPr>
              <w:pStyle w:val="TableParagraph"/>
              <w:spacing w:before="54"/>
              <w:ind w:right="232"/>
              <w:jc w:val="right"/>
              <w:rPr>
                <w:sz w:val="11"/>
              </w:rPr>
            </w:pPr>
            <w:r>
              <w:rPr>
                <w:sz w:val="11"/>
              </w:rPr>
              <w:t>816,631.00</w:t>
            </w:r>
          </w:p>
        </w:tc>
        <w:tc>
          <w:tcPr>
            <w:tcW w:w="1088" w:type="dxa"/>
          </w:tcPr>
          <w:p>
            <w:pPr>
              <w:pStyle w:val="TableParagraph"/>
              <w:spacing w:before="54"/>
              <w:ind w:right="212"/>
              <w:jc w:val="right"/>
              <w:rPr>
                <w:sz w:val="11"/>
              </w:rPr>
            </w:pPr>
            <w:r>
              <w:rPr>
                <w:sz w:val="11"/>
              </w:rPr>
              <w:t>2,119,034.00</w:t>
            </w:r>
          </w:p>
        </w:tc>
        <w:tc>
          <w:tcPr>
            <w:tcW w:w="1156" w:type="dxa"/>
          </w:tcPr>
          <w:p>
            <w:pPr>
              <w:pStyle w:val="TableParagraph"/>
              <w:spacing w:before="54"/>
              <w:ind w:right="259"/>
              <w:jc w:val="right"/>
              <w:rPr>
                <w:sz w:val="11"/>
              </w:rPr>
            </w:pPr>
            <w:r>
              <w:rPr>
                <w:sz w:val="11"/>
              </w:rPr>
              <w:t>1,464,681.00</w:t>
            </w:r>
          </w:p>
        </w:tc>
        <w:tc>
          <w:tcPr>
            <w:tcW w:w="1079" w:type="dxa"/>
          </w:tcPr>
          <w:p>
            <w:pPr>
              <w:pStyle w:val="TableParagraph"/>
              <w:spacing w:before="54"/>
              <w:ind w:right="229"/>
              <w:jc w:val="right"/>
              <w:rPr>
                <w:sz w:val="11"/>
              </w:rPr>
            </w:pPr>
            <w:r>
              <w:rPr>
                <w:sz w:val="11"/>
              </w:rPr>
              <w:t>652,693.00</w:t>
            </w:r>
          </w:p>
        </w:tc>
        <w:tc>
          <w:tcPr>
            <w:tcW w:w="998" w:type="dxa"/>
          </w:tcPr>
          <w:p>
            <w:pPr>
              <w:pStyle w:val="TableParagraph"/>
              <w:spacing w:before="54"/>
              <w:ind w:right="118"/>
              <w:jc w:val="right"/>
              <w:rPr>
                <w:sz w:val="11"/>
              </w:rPr>
            </w:pPr>
            <w:r>
              <w:rPr>
                <w:sz w:val="11"/>
              </w:rPr>
              <w:t>2,117,374.00</w:t>
            </w:r>
          </w:p>
        </w:tc>
        <w:tc>
          <w:tcPr>
            <w:tcW w:w="545" w:type="dxa"/>
          </w:tcPr>
          <w:p>
            <w:pPr>
              <w:pStyle w:val="TableParagraph"/>
              <w:spacing w:before="54"/>
              <w:ind w:left="201" w:right="1"/>
              <w:jc w:val="center"/>
              <w:rPr>
                <w:sz w:val="11"/>
              </w:rPr>
            </w:pPr>
            <w:r>
              <w:rPr>
                <w:w w:val="105"/>
                <w:sz w:val="11"/>
              </w:rPr>
              <w:t>-0.1%</w:t>
            </w:r>
          </w:p>
        </w:tc>
      </w:tr>
      <w:tr>
        <w:trPr>
          <w:trHeight w:val="194" w:hRule="atLeast"/>
        </w:trPr>
        <w:tc>
          <w:tcPr>
            <w:tcW w:w="2772" w:type="dxa"/>
          </w:tcPr>
          <w:p>
            <w:pPr>
              <w:pStyle w:val="TableParagraph"/>
              <w:spacing w:line="121" w:lineRule="exact" w:before="53"/>
              <w:ind w:left="28"/>
              <w:rPr>
                <w:b/>
                <w:sz w:val="11"/>
              </w:rPr>
            </w:pPr>
            <w:r>
              <w:rPr>
                <w:b/>
                <w:w w:val="105"/>
                <w:sz w:val="11"/>
              </w:rPr>
              <w:t>C. EXCESS (DEFICIENCY) OF REVENUES</w:t>
            </w:r>
          </w:p>
        </w:tc>
        <w:tc>
          <w:tcPr>
            <w:tcW w:w="773" w:type="dxa"/>
          </w:tcPr>
          <w:p>
            <w:pPr>
              <w:pStyle w:val="TableParagraph"/>
              <w:rPr>
                <w:rFonts w:ascii="Times New Roman"/>
                <w:sz w:val="10"/>
              </w:rPr>
            </w:pPr>
          </w:p>
        </w:tc>
        <w:tc>
          <w:tcPr>
            <w:tcW w:w="944" w:type="dxa"/>
          </w:tcPr>
          <w:p>
            <w:pPr>
              <w:pStyle w:val="TableParagraph"/>
              <w:rPr>
                <w:rFonts w:ascii="Times New Roman"/>
                <w:sz w:val="10"/>
              </w:rPr>
            </w:pPr>
          </w:p>
        </w:tc>
        <w:tc>
          <w:tcPr>
            <w:tcW w:w="1159" w:type="dxa"/>
          </w:tcPr>
          <w:p>
            <w:pPr>
              <w:pStyle w:val="TableParagraph"/>
              <w:rPr>
                <w:rFonts w:ascii="Times New Roman"/>
                <w:sz w:val="10"/>
              </w:rPr>
            </w:pPr>
          </w:p>
        </w:tc>
        <w:tc>
          <w:tcPr>
            <w:tcW w:w="1079" w:type="dxa"/>
          </w:tcPr>
          <w:p>
            <w:pPr>
              <w:pStyle w:val="TableParagraph"/>
              <w:rPr>
                <w:rFonts w:ascii="Times New Roman"/>
                <w:sz w:val="10"/>
              </w:rPr>
            </w:pPr>
          </w:p>
        </w:tc>
        <w:tc>
          <w:tcPr>
            <w:tcW w:w="1088" w:type="dxa"/>
          </w:tcPr>
          <w:p>
            <w:pPr>
              <w:pStyle w:val="TableParagraph"/>
              <w:rPr>
                <w:rFonts w:ascii="Times New Roman"/>
                <w:sz w:val="10"/>
              </w:rPr>
            </w:pPr>
          </w:p>
        </w:tc>
        <w:tc>
          <w:tcPr>
            <w:tcW w:w="1156" w:type="dxa"/>
          </w:tcPr>
          <w:p>
            <w:pPr>
              <w:pStyle w:val="TableParagraph"/>
              <w:rPr>
                <w:rFonts w:ascii="Times New Roman"/>
                <w:sz w:val="10"/>
              </w:rPr>
            </w:pPr>
          </w:p>
        </w:tc>
        <w:tc>
          <w:tcPr>
            <w:tcW w:w="1079" w:type="dxa"/>
          </w:tcPr>
          <w:p>
            <w:pPr>
              <w:pStyle w:val="TableParagraph"/>
              <w:rPr>
                <w:rFonts w:ascii="Times New Roman"/>
                <w:sz w:val="10"/>
              </w:rPr>
            </w:pPr>
          </w:p>
        </w:tc>
        <w:tc>
          <w:tcPr>
            <w:tcW w:w="998" w:type="dxa"/>
          </w:tcPr>
          <w:p>
            <w:pPr>
              <w:pStyle w:val="TableParagraph"/>
              <w:rPr>
                <w:rFonts w:ascii="Times New Roman"/>
                <w:sz w:val="10"/>
              </w:rPr>
            </w:pPr>
          </w:p>
        </w:tc>
        <w:tc>
          <w:tcPr>
            <w:tcW w:w="545" w:type="dxa"/>
          </w:tcPr>
          <w:p>
            <w:pPr>
              <w:pStyle w:val="TableParagraph"/>
              <w:rPr>
                <w:rFonts w:ascii="Times New Roman"/>
                <w:sz w:val="10"/>
              </w:rPr>
            </w:pPr>
          </w:p>
        </w:tc>
      </w:tr>
      <w:tr>
        <w:trPr>
          <w:trHeight w:val="156" w:hRule="atLeast"/>
        </w:trPr>
        <w:tc>
          <w:tcPr>
            <w:tcW w:w="2772" w:type="dxa"/>
          </w:tcPr>
          <w:p>
            <w:pPr>
              <w:pStyle w:val="TableParagraph"/>
              <w:spacing w:line="121" w:lineRule="exact" w:before="14"/>
              <w:ind w:left="153"/>
              <w:rPr>
                <w:b/>
                <w:sz w:val="11"/>
              </w:rPr>
            </w:pPr>
            <w:r>
              <w:rPr>
                <w:b/>
                <w:w w:val="105"/>
                <w:sz w:val="11"/>
              </w:rPr>
              <w:t>OVER EXPENDITURES BEFORE OTHER</w:t>
            </w:r>
          </w:p>
        </w:tc>
        <w:tc>
          <w:tcPr>
            <w:tcW w:w="773" w:type="dxa"/>
          </w:tcPr>
          <w:p>
            <w:pPr>
              <w:pStyle w:val="TableParagraph"/>
              <w:rPr>
                <w:rFonts w:ascii="Times New Roman"/>
                <w:sz w:val="10"/>
              </w:rPr>
            </w:pPr>
          </w:p>
        </w:tc>
        <w:tc>
          <w:tcPr>
            <w:tcW w:w="944" w:type="dxa"/>
          </w:tcPr>
          <w:p>
            <w:pPr>
              <w:pStyle w:val="TableParagraph"/>
              <w:rPr>
                <w:rFonts w:ascii="Times New Roman"/>
                <w:sz w:val="10"/>
              </w:rPr>
            </w:pPr>
          </w:p>
        </w:tc>
        <w:tc>
          <w:tcPr>
            <w:tcW w:w="1159" w:type="dxa"/>
          </w:tcPr>
          <w:p>
            <w:pPr>
              <w:pStyle w:val="TableParagraph"/>
              <w:rPr>
                <w:rFonts w:ascii="Times New Roman"/>
                <w:sz w:val="10"/>
              </w:rPr>
            </w:pPr>
          </w:p>
        </w:tc>
        <w:tc>
          <w:tcPr>
            <w:tcW w:w="1079" w:type="dxa"/>
          </w:tcPr>
          <w:p>
            <w:pPr>
              <w:pStyle w:val="TableParagraph"/>
              <w:rPr>
                <w:rFonts w:ascii="Times New Roman"/>
                <w:sz w:val="10"/>
              </w:rPr>
            </w:pPr>
          </w:p>
        </w:tc>
        <w:tc>
          <w:tcPr>
            <w:tcW w:w="1088" w:type="dxa"/>
          </w:tcPr>
          <w:p>
            <w:pPr>
              <w:pStyle w:val="TableParagraph"/>
              <w:rPr>
                <w:rFonts w:ascii="Times New Roman"/>
                <w:sz w:val="10"/>
              </w:rPr>
            </w:pPr>
          </w:p>
        </w:tc>
        <w:tc>
          <w:tcPr>
            <w:tcW w:w="1156" w:type="dxa"/>
          </w:tcPr>
          <w:p>
            <w:pPr>
              <w:pStyle w:val="TableParagraph"/>
              <w:rPr>
                <w:rFonts w:ascii="Times New Roman"/>
                <w:sz w:val="10"/>
              </w:rPr>
            </w:pPr>
          </w:p>
        </w:tc>
        <w:tc>
          <w:tcPr>
            <w:tcW w:w="1079" w:type="dxa"/>
          </w:tcPr>
          <w:p>
            <w:pPr>
              <w:pStyle w:val="TableParagraph"/>
              <w:rPr>
                <w:rFonts w:ascii="Times New Roman"/>
                <w:sz w:val="10"/>
              </w:rPr>
            </w:pPr>
          </w:p>
        </w:tc>
        <w:tc>
          <w:tcPr>
            <w:tcW w:w="998" w:type="dxa"/>
          </w:tcPr>
          <w:p>
            <w:pPr>
              <w:pStyle w:val="TableParagraph"/>
              <w:rPr>
                <w:rFonts w:ascii="Times New Roman"/>
                <w:sz w:val="10"/>
              </w:rPr>
            </w:pPr>
          </w:p>
        </w:tc>
        <w:tc>
          <w:tcPr>
            <w:tcW w:w="545" w:type="dxa"/>
          </w:tcPr>
          <w:p>
            <w:pPr>
              <w:pStyle w:val="TableParagraph"/>
              <w:rPr>
                <w:rFonts w:ascii="Times New Roman"/>
                <w:sz w:val="10"/>
              </w:rPr>
            </w:pPr>
          </w:p>
        </w:tc>
      </w:tr>
      <w:tr>
        <w:trPr>
          <w:trHeight w:val="196" w:hRule="atLeast"/>
        </w:trPr>
        <w:tc>
          <w:tcPr>
            <w:tcW w:w="2772" w:type="dxa"/>
          </w:tcPr>
          <w:p>
            <w:pPr>
              <w:pStyle w:val="TableParagraph"/>
              <w:spacing w:before="14"/>
              <w:ind w:left="153"/>
              <w:rPr>
                <w:b/>
                <w:sz w:val="11"/>
              </w:rPr>
            </w:pPr>
            <w:r>
              <w:rPr>
                <w:b/>
                <w:w w:val="105"/>
                <w:sz w:val="11"/>
              </w:rPr>
              <w:t>FINANCING SOURCES AND USES (A5 - B10)</w:t>
            </w:r>
          </w:p>
        </w:tc>
        <w:tc>
          <w:tcPr>
            <w:tcW w:w="773" w:type="dxa"/>
          </w:tcPr>
          <w:p>
            <w:pPr>
              <w:pStyle w:val="TableParagraph"/>
              <w:rPr>
                <w:rFonts w:ascii="Times New Roman"/>
                <w:sz w:val="10"/>
              </w:rPr>
            </w:pPr>
          </w:p>
        </w:tc>
        <w:tc>
          <w:tcPr>
            <w:tcW w:w="944" w:type="dxa"/>
          </w:tcPr>
          <w:p>
            <w:pPr>
              <w:pStyle w:val="TableParagraph"/>
              <w:rPr>
                <w:rFonts w:ascii="Times New Roman"/>
                <w:sz w:val="10"/>
              </w:rPr>
            </w:pPr>
          </w:p>
        </w:tc>
        <w:tc>
          <w:tcPr>
            <w:tcW w:w="1159" w:type="dxa"/>
          </w:tcPr>
          <w:p>
            <w:pPr>
              <w:pStyle w:val="TableParagraph"/>
              <w:spacing w:before="17"/>
              <w:ind w:right="262"/>
              <w:jc w:val="right"/>
              <w:rPr>
                <w:sz w:val="11"/>
              </w:rPr>
            </w:pPr>
            <w:r>
              <w:rPr>
                <w:sz w:val="11"/>
              </w:rPr>
              <w:t>355,126.00</w:t>
            </w:r>
          </w:p>
        </w:tc>
        <w:tc>
          <w:tcPr>
            <w:tcW w:w="1079" w:type="dxa"/>
          </w:tcPr>
          <w:p>
            <w:pPr>
              <w:pStyle w:val="TableParagraph"/>
              <w:spacing w:before="17"/>
              <w:ind w:right="193"/>
              <w:jc w:val="right"/>
              <w:rPr>
                <w:sz w:val="11"/>
              </w:rPr>
            </w:pPr>
            <w:r>
              <w:rPr>
                <w:w w:val="105"/>
                <w:sz w:val="11"/>
              </w:rPr>
              <w:t>(190,102.00)</w:t>
            </w:r>
          </w:p>
        </w:tc>
        <w:tc>
          <w:tcPr>
            <w:tcW w:w="1088" w:type="dxa"/>
          </w:tcPr>
          <w:p>
            <w:pPr>
              <w:pStyle w:val="TableParagraph"/>
              <w:spacing w:before="17"/>
              <w:ind w:right="213"/>
              <w:jc w:val="right"/>
              <w:rPr>
                <w:sz w:val="11"/>
              </w:rPr>
            </w:pPr>
            <w:r>
              <w:rPr>
                <w:sz w:val="11"/>
              </w:rPr>
              <w:t>165,024.00</w:t>
            </w:r>
          </w:p>
        </w:tc>
        <w:tc>
          <w:tcPr>
            <w:tcW w:w="1156" w:type="dxa"/>
          </w:tcPr>
          <w:p>
            <w:pPr>
              <w:pStyle w:val="TableParagraph"/>
              <w:spacing w:before="17"/>
              <w:ind w:right="259"/>
              <w:jc w:val="right"/>
              <w:rPr>
                <w:sz w:val="11"/>
              </w:rPr>
            </w:pPr>
            <w:r>
              <w:rPr>
                <w:sz w:val="11"/>
              </w:rPr>
              <w:t>263,139.00</w:t>
            </w:r>
          </w:p>
        </w:tc>
        <w:tc>
          <w:tcPr>
            <w:tcW w:w="1079" w:type="dxa"/>
          </w:tcPr>
          <w:p>
            <w:pPr>
              <w:pStyle w:val="TableParagraph"/>
              <w:spacing w:before="17"/>
              <w:ind w:right="189"/>
              <w:jc w:val="right"/>
              <w:rPr>
                <w:sz w:val="11"/>
              </w:rPr>
            </w:pPr>
            <w:r>
              <w:rPr>
                <w:w w:val="105"/>
                <w:sz w:val="11"/>
              </w:rPr>
              <w:t>(281,780.00)</w:t>
            </w:r>
          </w:p>
        </w:tc>
        <w:tc>
          <w:tcPr>
            <w:tcW w:w="998" w:type="dxa"/>
          </w:tcPr>
          <w:p>
            <w:pPr>
              <w:pStyle w:val="TableParagraph"/>
              <w:spacing w:before="17"/>
              <w:ind w:right="78"/>
              <w:jc w:val="right"/>
              <w:rPr>
                <w:sz w:val="11"/>
              </w:rPr>
            </w:pPr>
            <w:r>
              <w:rPr>
                <w:sz w:val="11"/>
              </w:rPr>
              <w:t>(18,641.00)</w:t>
            </w:r>
          </w:p>
        </w:tc>
        <w:tc>
          <w:tcPr>
            <w:tcW w:w="545" w:type="dxa"/>
          </w:tcPr>
          <w:p>
            <w:pPr>
              <w:pStyle w:val="TableParagraph"/>
              <w:spacing w:before="17"/>
              <w:ind w:left="71" w:right="1"/>
              <w:jc w:val="center"/>
              <w:rPr>
                <w:sz w:val="11"/>
              </w:rPr>
            </w:pPr>
            <w:r>
              <w:rPr>
                <w:w w:val="105"/>
                <w:sz w:val="11"/>
              </w:rPr>
              <w:t>-111.3%</w:t>
            </w:r>
          </w:p>
        </w:tc>
      </w:tr>
      <w:tr>
        <w:trPr>
          <w:trHeight w:val="180" w:hRule="atLeast"/>
        </w:trPr>
        <w:tc>
          <w:tcPr>
            <w:tcW w:w="2772" w:type="dxa"/>
          </w:tcPr>
          <w:p>
            <w:pPr>
              <w:pStyle w:val="TableParagraph"/>
              <w:spacing w:line="108" w:lineRule="exact" w:before="53"/>
              <w:ind w:left="28"/>
              <w:rPr>
                <w:b/>
                <w:sz w:val="11"/>
              </w:rPr>
            </w:pPr>
            <w:r>
              <w:rPr>
                <w:b/>
                <w:w w:val="105"/>
                <w:sz w:val="11"/>
              </w:rPr>
              <w:t>D. OTHER FINANCING SOURCES/USES</w:t>
            </w:r>
          </w:p>
        </w:tc>
        <w:tc>
          <w:tcPr>
            <w:tcW w:w="773" w:type="dxa"/>
          </w:tcPr>
          <w:p>
            <w:pPr>
              <w:pStyle w:val="TableParagraph"/>
              <w:rPr>
                <w:rFonts w:ascii="Times New Roman"/>
                <w:sz w:val="10"/>
              </w:rPr>
            </w:pPr>
          </w:p>
        </w:tc>
        <w:tc>
          <w:tcPr>
            <w:tcW w:w="944" w:type="dxa"/>
          </w:tcPr>
          <w:p>
            <w:pPr>
              <w:pStyle w:val="TableParagraph"/>
              <w:rPr>
                <w:rFonts w:ascii="Times New Roman"/>
                <w:sz w:val="10"/>
              </w:rPr>
            </w:pPr>
          </w:p>
        </w:tc>
        <w:tc>
          <w:tcPr>
            <w:tcW w:w="1159" w:type="dxa"/>
          </w:tcPr>
          <w:p>
            <w:pPr>
              <w:pStyle w:val="TableParagraph"/>
              <w:rPr>
                <w:rFonts w:ascii="Times New Roman"/>
                <w:sz w:val="10"/>
              </w:rPr>
            </w:pPr>
          </w:p>
        </w:tc>
        <w:tc>
          <w:tcPr>
            <w:tcW w:w="1079" w:type="dxa"/>
          </w:tcPr>
          <w:p>
            <w:pPr>
              <w:pStyle w:val="TableParagraph"/>
              <w:rPr>
                <w:rFonts w:ascii="Times New Roman"/>
                <w:sz w:val="10"/>
              </w:rPr>
            </w:pPr>
          </w:p>
        </w:tc>
        <w:tc>
          <w:tcPr>
            <w:tcW w:w="1088" w:type="dxa"/>
          </w:tcPr>
          <w:p>
            <w:pPr>
              <w:pStyle w:val="TableParagraph"/>
              <w:rPr>
                <w:rFonts w:ascii="Times New Roman"/>
                <w:sz w:val="10"/>
              </w:rPr>
            </w:pPr>
          </w:p>
        </w:tc>
        <w:tc>
          <w:tcPr>
            <w:tcW w:w="1156" w:type="dxa"/>
          </w:tcPr>
          <w:p>
            <w:pPr>
              <w:pStyle w:val="TableParagraph"/>
              <w:rPr>
                <w:rFonts w:ascii="Times New Roman"/>
                <w:sz w:val="10"/>
              </w:rPr>
            </w:pPr>
          </w:p>
        </w:tc>
        <w:tc>
          <w:tcPr>
            <w:tcW w:w="1079" w:type="dxa"/>
          </w:tcPr>
          <w:p>
            <w:pPr>
              <w:pStyle w:val="TableParagraph"/>
              <w:rPr>
                <w:rFonts w:ascii="Times New Roman"/>
                <w:sz w:val="10"/>
              </w:rPr>
            </w:pPr>
          </w:p>
        </w:tc>
        <w:tc>
          <w:tcPr>
            <w:tcW w:w="998" w:type="dxa"/>
          </w:tcPr>
          <w:p>
            <w:pPr>
              <w:pStyle w:val="TableParagraph"/>
              <w:rPr>
                <w:rFonts w:ascii="Times New Roman"/>
                <w:sz w:val="10"/>
              </w:rPr>
            </w:pPr>
          </w:p>
        </w:tc>
        <w:tc>
          <w:tcPr>
            <w:tcW w:w="545" w:type="dxa"/>
          </w:tcPr>
          <w:p>
            <w:pPr>
              <w:pStyle w:val="TableParagraph"/>
              <w:rPr>
                <w:rFonts w:ascii="Times New Roman"/>
                <w:sz w:val="10"/>
              </w:rPr>
            </w:pPr>
          </w:p>
        </w:tc>
      </w:tr>
      <w:tr>
        <w:trPr>
          <w:trHeight w:val="328" w:hRule="atLeast"/>
        </w:trPr>
        <w:tc>
          <w:tcPr>
            <w:tcW w:w="2772" w:type="dxa"/>
          </w:tcPr>
          <w:p>
            <w:pPr>
              <w:pStyle w:val="TableParagraph"/>
              <w:spacing w:before="2"/>
              <w:rPr>
                <w:sz w:val="16"/>
              </w:rPr>
            </w:pPr>
          </w:p>
          <w:p>
            <w:pPr>
              <w:pStyle w:val="TableParagraph"/>
              <w:spacing w:line="121" w:lineRule="exact" w:before="1"/>
              <w:ind w:left="153"/>
              <w:rPr>
                <w:sz w:val="11"/>
              </w:rPr>
            </w:pPr>
            <w:r>
              <w:rPr>
                <w:w w:val="105"/>
                <w:sz w:val="11"/>
              </w:rPr>
              <w:t>1) Interfund Transfers</w:t>
            </w:r>
          </w:p>
        </w:tc>
        <w:tc>
          <w:tcPr>
            <w:tcW w:w="1717" w:type="dxa"/>
            <w:gridSpan w:val="2"/>
          </w:tcPr>
          <w:p>
            <w:pPr>
              <w:pStyle w:val="TableParagraph"/>
              <w:rPr>
                <w:rFonts w:ascii="Times New Roman"/>
                <w:sz w:val="10"/>
              </w:rPr>
            </w:pPr>
          </w:p>
        </w:tc>
        <w:tc>
          <w:tcPr>
            <w:tcW w:w="1159" w:type="dxa"/>
          </w:tcPr>
          <w:p>
            <w:pPr>
              <w:pStyle w:val="TableParagraph"/>
              <w:rPr>
                <w:rFonts w:ascii="Times New Roman"/>
                <w:sz w:val="10"/>
              </w:rPr>
            </w:pPr>
          </w:p>
        </w:tc>
        <w:tc>
          <w:tcPr>
            <w:tcW w:w="1079" w:type="dxa"/>
          </w:tcPr>
          <w:p>
            <w:pPr>
              <w:pStyle w:val="TableParagraph"/>
              <w:rPr>
                <w:rFonts w:ascii="Times New Roman"/>
                <w:sz w:val="10"/>
              </w:rPr>
            </w:pPr>
          </w:p>
        </w:tc>
        <w:tc>
          <w:tcPr>
            <w:tcW w:w="1088" w:type="dxa"/>
          </w:tcPr>
          <w:p>
            <w:pPr>
              <w:pStyle w:val="TableParagraph"/>
              <w:rPr>
                <w:rFonts w:ascii="Times New Roman"/>
                <w:sz w:val="10"/>
              </w:rPr>
            </w:pPr>
          </w:p>
        </w:tc>
        <w:tc>
          <w:tcPr>
            <w:tcW w:w="1156" w:type="dxa"/>
          </w:tcPr>
          <w:p>
            <w:pPr>
              <w:pStyle w:val="TableParagraph"/>
              <w:rPr>
                <w:rFonts w:ascii="Times New Roman"/>
                <w:sz w:val="10"/>
              </w:rPr>
            </w:pPr>
          </w:p>
        </w:tc>
        <w:tc>
          <w:tcPr>
            <w:tcW w:w="1079" w:type="dxa"/>
          </w:tcPr>
          <w:p>
            <w:pPr>
              <w:pStyle w:val="TableParagraph"/>
              <w:rPr>
                <w:rFonts w:ascii="Times New Roman"/>
                <w:sz w:val="10"/>
              </w:rPr>
            </w:pPr>
          </w:p>
        </w:tc>
        <w:tc>
          <w:tcPr>
            <w:tcW w:w="998" w:type="dxa"/>
          </w:tcPr>
          <w:p>
            <w:pPr>
              <w:pStyle w:val="TableParagraph"/>
              <w:rPr>
                <w:rFonts w:ascii="Times New Roman"/>
                <w:sz w:val="10"/>
              </w:rPr>
            </w:pPr>
          </w:p>
        </w:tc>
        <w:tc>
          <w:tcPr>
            <w:tcW w:w="545" w:type="dxa"/>
          </w:tcPr>
          <w:p>
            <w:pPr>
              <w:pStyle w:val="TableParagraph"/>
              <w:rPr>
                <w:rFonts w:ascii="Times New Roman"/>
                <w:sz w:val="10"/>
              </w:rPr>
            </w:pPr>
          </w:p>
        </w:tc>
      </w:tr>
      <w:tr>
        <w:trPr>
          <w:trHeight w:val="195" w:hRule="atLeast"/>
        </w:trPr>
        <w:tc>
          <w:tcPr>
            <w:tcW w:w="2772" w:type="dxa"/>
          </w:tcPr>
          <w:p>
            <w:pPr>
              <w:pStyle w:val="TableParagraph"/>
              <w:spacing w:before="14"/>
              <w:ind w:left="278"/>
              <w:rPr>
                <w:sz w:val="11"/>
              </w:rPr>
            </w:pPr>
            <w:r>
              <w:rPr>
                <w:w w:val="105"/>
                <w:sz w:val="11"/>
              </w:rPr>
              <w:t>a) Transfers In</w:t>
            </w:r>
          </w:p>
        </w:tc>
        <w:tc>
          <w:tcPr>
            <w:tcW w:w="1717" w:type="dxa"/>
            <w:gridSpan w:val="2"/>
          </w:tcPr>
          <w:p>
            <w:pPr>
              <w:pStyle w:val="TableParagraph"/>
              <w:spacing w:before="14"/>
              <w:ind w:left="940"/>
              <w:rPr>
                <w:sz w:val="11"/>
              </w:rPr>
            </w:pPr>
            <w:r>
              <w:rPr>
                <w:w w:val="105"/>
                <w:sz w:val="11"/>
              </w:rPr>
              <w:t>8900-8929</w:t>
            </w:r>
          </w:p>
        </w:tc>
        <w:tc>
          <w:tcPr>
            <w:tcW w:w="1159" w:type="dxa"/>
          </w:tcPr>
          <w:p>
            <w:pPr>
              <w:pStyle w:val="TableParagraph"/>
              <w:spacing w:before="14"/>
              <w:ind w:right="262"/>
              <w:jc w:val="right"/>
              <w:rPr>
                <w:sz w:val="11"/>
              </w:rPr>
            </w:pPr>
            <w:r>
              <w:rPr>
                <w:sz w:val="11"/>
              </w:rPr>
              <w:t>0.00</w:t>
            </w:r>
          </w:p>
        </w:tc>
        <w:tc>
          <w:tcPr>
            <w:tcW w:w="1079" w:type="dxa"/>
          </w:tcPr>
          <w:p>
            <w:pPr>
              <w:pStyle w:val="TableParagraph"/>
              <w:spacing w:before="14"/>
              <w:ind w:right="232"/>
              <w:jc w:val="right"/>
              <w:rPr>
                <w:sz w:val="11"/>
              </w:rPr>
            </w:pPr>
            <w:r>
              <w:rPr>
                <w:sz w:val="11"/>
              </w:rPr>
              <w:t>0.00</w:t>
            </w:r>
          </w:p>
        </w:tc>
        <w:tc>
          <w:tcPr>
            <w:tcW w:w="1088" w:type="dxa"/>
          </w:tcPr>
          <w:p>
            <w:pPr>
              <w:pStyle w:val="TableParagraph"/>
              <w:spacing w:before="14"/>
              <w:ind w:right="211"/>
              <w:jc w:val="right"/>
              <w:rPr>
                <w:sz w:val="11"/>
              </w:rPr>
            </w:pPr>
            <w:r>
              <w:rPr>
                <w:sz w:val="11"/>
              </w:rPr>
              <w:t>0.00</w:t>
            </w:r>
          </w:p>
        </w:tc>
        <w:tc>
          <w:tcPr>
            <w:tcW w:w="1156" w:type="dxa"/>
          </w:tcPr>
          <w:p>
            <w:pPr>
              <w:pStyle w:val="TableParagraph"/>
              <w:spacing w:before="14"/>
              <w:ind w:right="258"/>
              <w:jc w:val="right"/>
              <w:rPr>
                <w:sz w:val="11"/>
              </w:rPr>
            </w:pPr>
            <w:r>
              <w:rPr>
                <w:sz w:val="11"/>
              </w:rPr>
              <w:t>0.00</w:t>
            </w:r>
          </w:p>
        </w:tc>
        <w:tc>
          <w:tcPr>
            <w:tcW w:w="1079" w:type="dxa"/>
          </w:tcPr>
          <w:p>
            <w:pPr>
              <w:pStyle w:val="TableParagraph"/>
              <w:spacing w:before="14"/>
              <w:ind w:right="229"/>
              <w:jc w:val="right"/>
              <w:rPr>
                <w:sz w:val="11"/>
              </w:rPr>
            </w:pPr>
            <w:r>
              <w:rPr>
                <w:sz w:val="11"/>
              </w:rPr>
              <w:t>0.00</w:t>
            </w:r>
          </w:p>
        </w:tc>
        <w:tc>
          <w:tcPr>
            <w:tcW w:w="998" w:type="dxa"/>
          </w:tcPr>
          <w:p>
            <w:pPr>
              <w:pStyle w:val="TableParagraph"/>
              <w:spacing w:before="14"/>
              <w:ind w:right="118"/>
              <w:jc w:val="right"/>
              <w:rPr>
                <w:sz w:val="11"/>
              </w:rPr>
            </w:pPr>
            <w:r>
              <w:rPr>
                <w:sz w:val="11"/>
              </w:rPr>
              <w:t>0.00</w:t>
            </w:r>
          </w:p>
        </w:tc>
        <w:tc>
          <w:tcPr>
            <w:tcW w:w="545" w:type="dxa"/>
          </w:tcPr>
          <w:p>
            <w:pPr>
              <w:pStyle w:val="TableParagraph"/>
              <w:spacing w:before="14"/>
              <w:ind w:left="239" w:right="1"/>
              <w:jc w:val="center"/>
              <w:rPr>
                <w:sz w:val="11"/>
              </w:rPr>
            </w:pPr>
            <w:r>
              <w:rPr>
                <w:w w:val="105"/>
                <w:sz w:val="11"/>
              </w:rPr>
              <w:t>0.0%</w:t>
            </w:r>
          </w:p>
        </w:tc>
      </w:tr>
      <w:tr>
        <w:trPr>
          <w:trHeight w:val="235" w:hRule="atLeast"/>
        </w:trPr>
        <w:tc>
          <w:tcPr>
            <w:tcW w:w="2772" w:type="dxa"/>
          </w:tcPr>
          <w:p>
            <w:pPr>
              <w:pStyle w:val="TableParagraph"/>
              <w:spacing w:before="54"/>
              <w:ind w:left="278"/>
              <w:rPr>
                <w:sz w:val="11"/>
              </w:rPr>
            </w:pPr>
            <w:r>
              <w:rPr>
                <w:w w:val="105"/>
                <w:sz w:val="11"/>
              </w:rPr>
              <w:t>b) Transfers Out</w:t>
            </w:r>
          </w:p>
        </w:tc>
        <w:tc>
          <w:tcPr>
            <w:tcW w:w="1717" w:type="dxa"/>
            <w:gridSpan w:val="2"/>
          </w:tcPr>
          <w:p>
            <w:pPr>
              <w:pStyle w:val="TableParagraph"/>
              <w:spacing w:before="54"/>
              <w:ind w:left="940"/>
              <w:rPr>
                <w:sz w:val="11"/>
              </w:rPr>
            </w:pPr>
            <w:r>
              <w:rPr>
                <w:w w:val="105"/>
                <w:sz w:val="11"/>
              </w:rPr>
              <w:t>7600-7629</w:t>
            </w:r>
          </w:p>
        </w:tc>
        <w:tc>
          <w:tcPr>
            <w:tcW w:w="1159" w:type="dxa"/>
          </w:tcPr>
          <w:p>
            <w:pPr>
              <w:pStyle w:val="TableParagraph"/>
              <w:spacing w:before="54"/>
              <w:ind w:right="262"/>
              <w:jc w:val="right"/>
              <w:rPr>
                <w:sz w:val="11"/>
              </w:rPr>
            </w:pPr>
            <w:r>
              <w:rPr>
                <w:sz w:val="11"/>
              </w:rPr>
              <w:t>0.00</w:t>
            </w:r>
          </w:p>
        </w:tc>
        <w:tc>
          <w:tcPr>
            <w:tcW w:w="1079" w:type="dxa"/>
          </w:tcPr>
          <w:p>
            <w:pPr>
              <w:pStyle w:val="TableParagraph"/>
              <w:spacing w:before="54"/>
              <w:ind w:right="232"/>
              <w:jc w:val="right"/>
              <w:rPr>
                <w:sz w:val="11"/>
              </w:rPr>
            </w:pPr>
            <w:r>
              <w:rPr>
                <w:sz w:val="11"/>
              </w:rPr>
              <w:t>0.00</w:t>
            </w:r>
          </w:p>
        </w:tc>
        <w:tc>
          <w:tcPr>
            <w:tcW w:w="1088" w:type="dxa"/>
          </w:tcPr>
          <w:p>
            <w:pPr>
              <w:pStyle w:val="TableParagraph"/>
              <w:spacing w:before="54"/>
              <w:ind w:right="211"/>
              <w:jc w:val="right"/>
              <w:rPr>
                <w:sz w:val="11"/>
              </w:rPr>
            </w:pPr>
            <w:r>
              <w:rPr>
                <w:sz w:val="11"/>
              </w:rPr>
              <w:t>0.00</w:t>
            </w:r>
          </w:p>
        </w:tc>
        <w:tc>
          <w:tcPr>
            <w:tcW w:w="1156" w:type="dxa"/>
          </w:tcPr>
          <w:p>
            <w:pPr>
              <w:pStyle w:val="TableParagraph"/>
              <w:spacing w:before="54"/>
              <w:ind w:right="258"/>
              <w:jc w:val="right"/>
              <w:rPr>
                <w:sz w:val="11"/>
              </w:rPr>
            </w:pPr>
            <w:r>
              <w:rPr>
                <w:sz w:val="11"/>
              </w:rPr>
              <w:t>0.00</w:t>
            </w:r>
          </w:p>
        </w:tc>
        <w:tc>
          <w:tcPr>
            <w:tcW w:w="1079" w:type="dxa"/>
          </w:tcPr>
          <w:p>
            <w:pPr>
              <w:pStyle w:val="TableParagraph"/>
              <w:spacing w:before="54"/>
              <w:ind w:right="229"/>
              <w:jc w:val="right"/>
              <w:rPr>
                <w:sz w:val="11"/>
              </w:rPr>
            </w:pPr>
            <w:r>
              <w:rPr>
                <w:sz w:val="11"/>
              </w:rPr>
              <w:t>0.00</w:t>
            </w:r>
          </w:p>
        </w:tc>
        <w:tc>
          <w:tcPr>
            <w:tcW w:w="998" w:type="dxa"/>
          </w:tcPr>
          <w:p>
            <w:pPr>
              <w:pStyle w:val="TableParagraph"/>
              <w:spacing w:before="54"/>
              <w:ind w:right="118"/>
              <w:jc w:val="right"/>
              <w:rPr>
                <w:sz w:val="11"/>
              </w:rPr>
            </w:pPr>
            <w:r>
              <w:rPr>
                <w:sz w:val="11"/>
              </w:rPr>
              <w:t>0.00</w:t>
            </w:r>
          </w:p>
        </w:tc>
        <w:tc>
          <w:tcPr>
            <w:tcW w:w="545" w:type="dxa"/>
          </w:tcPr>
          <w:p>
            <w:pPr>
              <w:pStyle w:val="TableParagraph"/>
              <w:spacing w:before="54"/>
              <w:ind w:left="239" w:right="1"/>
              <w:jc w:val="center"/>
              <w:rPr>
                <w:sz w:val="11"/>
              </w:rPr>
            </w:pPr>
            <w:r>
              <w:rPr>
                <w:w w:val="105"/>
                <w:sz w:val="11"/>
              </w:rPr>
              <w:t>0.0%</w:t>
            </w:r>
          </w:p>
        </w:tc>
      </w:tr>
      <w:tr>
        <w:trPr>
          <w:trHeight w:val="195" w:hRule="atLeast"/>
        </w:trPr>
        <w:tc>
          <w:tcPr>
            <w:tcW w:w="2772" w:type="dxa"/>
          </w:tcPr>
          <w:p>
            <w:pPr>
              <w:pStyle w:val="TableParagraph"/>
              <w:spacing w:line="121" w:lineRule="exact" w:before="54"/>
              <w:ind w:left="153"/>
              <w:rPr>
                <w:sz w:val="11"/>
              </w:rPr>
            </w:pPr>
            <w:r>
              <w:rPr>
                <w:w w:val="105"/>
                <w:sz w:val="11"/>
              </w:rPr>
              <w:t>2) Other Sources/Uses</w:t>
            </w:r>
          </w:p>
        </w:tc>
        <w:tc>
          <w:tcPr>
            <w:tcW w:w="1717" w:type="dxa"/>
            <w:gridSpan w:val="2"/>
          </w:tcPr>
          <w:p>
            <w:pPr>
              <w:pStyle w:val="TableParagraph"/>
              <w:rPr>
                <w:rFonts w:ascii="Times New Roman"/>
                <w:sz w:val="10"/>
              </w:rPr>
            </w:pPr>
          </w:p>
        </w:tc>
        <w:tc>
          <w:tcPr>
            <w:tcW w:w="1159" w:type="dxa"/>
          </w:tcPr>
          <w:p>
            <w:pPr>
              <w:pStyle w:val="TableParagraph"/>
              <w:rPr>
                <w:rFonts w:ascii="Times New Roman"/>
                <w:sz w:val="10"/>
              </w:rPr>
            </w:pPr>
          </w:p>
        </w:tc>
        <w:tc>
          <w:tcPr>
            <w:tcW w:w="1079" w:type="dxa"/>
          </w:tcPr>
          <w:p>
            <w:pPr>
              <w:pStyle w:val="TableParagraph"/>
              <w:rPr>
                <w:rFonts w:ascii="Times New Roman"/>
                <w:sz w:val="10"/>
              </w:rPr>
            </w:pPr>
          </w:p>
        </w:tc>
        <w:tc>
          <w:tcPr>
            <w:tcW w:w="1088" w:type="dxa"/>
          </w:tcPr>
          <w:p>
            <w:pPr>
              <w:pStyle w:val="TableParagraph"/>
              <w:rPr>
                <w:rFonts w:ascii="Times New Roman"/>
                <w:sz w:val="10"/>
              </w:rPr>
            </w:pPr>
          </w:p>
        </w:tc>
        <w:tc>
          <w:tcPr>
            <w:tcW w:w="1156" w:type="dxa"/>
          </w:tcPr>
          <w:p>
            <w:pPr>
              <w:pStyle w:val="TableParagraph"/>
              <w:rPr>
                <w:rFonts w:ascii="Times New Roman"/>
                <w:sz w:val="10"/>
              </w:rPr>
            </w:pPr>
          </w:p>
        </w:tc>
        <w:tc>
          <w:tcPr>
            <w:tcW w:w="1079" w:type="dxa"/>
          </w:tcPr>
          <w:p>
            <w:pPr>
              <w:pStyle w:val="TableParagraph"/>
              <w:rPr>
                <w:rFonts w:ascii="Times New Roman"/>
                <w:sz w:val="10"/>
              </w:rPr>
            </w:pPr>
          </w:p>
        </w:tc>
        <w:tc>
          <w:tcPr>
            <w:tcW w:w="998" w:type="dxa"/>
          </w:tcPr>
          <w:p>
            <w:pPr>
              <w:pStyle w:val="TableParagraph"/>
              <w:rPr>
                <w:rFonts w:ascii="Times New Roman"/>
                <w:sz w:val="10"/>
              </w:rPr>
            </w:pPr>
          </w:p>
        </w:tc>
        <w:tc>
          <w:tcPr>
            <w:tcW w:w="545" w:type="dxa"/>
          </w:tcPr>
          <w:p>
            <w:pPr>
              <w:pStyle w:val="TableParagraph"/>
              <w:rPr>
                <w:rFonts w:ascii="Times New Roman"/>
                <w:sz w:val="10"/>
              </w:rPr>
            </w:pPr>
          </w:p>
        </w:tc>
      </w:tr>
      <w:tr>
        <w:trPr>
          <w:trHeight w:val="195" w:hRule="atLeast"/>
        </w:trPr>
        <w:tc>
          <w:tcPr>
            <w:tcW w:w="2772" w:type="dxa"/>
          </w:tcPr>
          <w:p>
            <w:pPr>
              <w:pStyle w:val="TableParagraph"/>
              <w:spacing w:before="14"/>
              <w:ind w:left="278"/>
              <w:rPr>
                <w:sz w:val="11"/>
              </w:rPr>
            </w:pPr>
            <w:r>
              <w:rPr>
                <w:w w:val="105"/>
                <w:sz w:val="11"/>
              </w:rPr>
              <w:t>a) Sources</w:t>
            </w:r>
          </w:p>
        </w:tc>
        <w:tc>
          <w:tcPr>
            <w:tcW w:w="1717" w:type="dxa"/>
            <w:gridSpan w:val="2"/>
          </w:tcPr>
          <w:p>
            <w:pPr>
              <w:pStyle w:val="TableParagraph"/>
              <w:spacing w:before="14"/>
              <w:ind w:left="940"/>
              <w:rPr>
                <w:sz w:val="11"/>
              </w:rPr>
            </w:pPr>
            <w:r>
              <w:rPr>
                <w:w w:val="105"/>
                <w:sz w:val="11"/>
              </w:rPr>
              <w:t>8930-8979</w:t>
            </w:r>
          </w:p>
        </w:tc>
        <w:tc>
          <w:tcPr>
            <w:tcW w:w="1159" w:type="dxa"/>
          </w:tcPr>
          <w:p>
            <w:pPr>
              <w:pStyle w:val="TableParagraph"/>
              <w:spacing w:before="14"/>
              <w:ind w:right="262"/>
              <w:jc w:val="right"/>
              <w:rPr>
                <w:sz w:val="11"/>
              </w:rPr>
            </w:pPr>
            <w:r>
              <w:rPr>
                <w:sz w:val="11"/>
              </w:rPr>
              <w:t>0.00</w:t>
            </w:r>
          </w:p>
        </w:tc>
        <w:tc>
          <w:tcPr>
            <w:tcW w:w="1079" w:type="dxa"/>
          </w:tcPr>
          <w:p>
            <w:pPr>
              <w:pStyle w:val="TableParagraph"/>
              <w:spacing w:before="14"/>
              <w:ind w:right="232"/>
              <w:jc w:val="right"/>
              <w:rPr>
                <w:sz w:val="11"/>
              </w:rPr>
            </w:pPr>
            <w:r>
              <w:rPr>
                <w:sz w:val="11"/>
              </w:rPr>
              <w:t>0.00</w:t>
            </w:r>
          </w:p>
        </w:tc>
        <w:tc>
          <w:tcPr>
            <w:tcW w:w="1088" w:type="dxa"/>
          </w:tcPr>
          <w:p>
            <w:pPr>
              <w:pStyle w:val="TableParagraph"/>
              <w:spacing w:before="14"/>
              <w:ind w:right="211"/>
              <w:jc w:val="right"/>
              <w:rPr>
                <w:sz w:val="11"/>
              </w:rPr>
            </w:pPr>
            <w:r>
              <w:rPr>
                <w:sz w:val="11"/>
              </w:rPr>
              <w:t>0.00</w:t>
            </w:r>
          </w:p>
        </w:tc>
        <w:tc>
          <w:tcPr>
            <w:tcW w:w="1156" w:type="dxa"/>
          </w:tcPr>
          <w:p>
            <w:pPr>
              <w:pStyle w:val="TableParagraph"/>
              <w:spacing w:before="14"/>
              <w:ind w:right="258"/>
              <w:jc w:val="right"/>
              <w:rPr>
                <w:sz w:val="11"/>
              </w:rPr>
            </w:pPr>
            <w:r>
              <w:rPr>
                <w:sz w:val="11"/>
              </w:rPr>
              <w:t>0.00</w:t>
            </w:r>
          </w:p>
        </w:tc>
        <w:tc>
          <w:tcPr>
            <w:tcW w:w="1079" w:type="dxa"/>
          </w:tcPr>
          <w:p>
            <w:pPr>
              <w:pStyle w:val="TableParagraph"/>
              <w:spacing w:before="14"/>
              <w:ind w:right="229"/>
              <w:jc w:val="right"/>
              <w:rPr>
                <w:sz w:val="11"/>
              </w:rPr>
            </w:pPr>
            <w:r>
              <w:rPr>
                <w:sz w:val="11"/>
              </w:rPr>
              <w:t>0.00</w:t>
            </w:r>
          </w:p>
        </w:tc>
        <w:tc>
          <w:tcPr>
            <w:tcW w:w="998" w:type="dxa"/>
          </w:tcPr>
          <w:p>
            <w:pPr>
              <w:pStyle w:val="TableParagraph"/>
              <w:spacing w:before="14"/>
              <w:ind w:right="118"/>
              <w:jc w:val="right"/>
              <w:rPr>
                <w:sz w:val="11"/>
              </w:rPr>
            </w:pPr>
            <w:r>
              <w:rPr>
                <w:sz w:val="11"/>
              </w:rPr>
              <w:t>0.00</w:t>
            </w:r>
          </w:p>
        </w:tc>
        <w:tc>
          <w:tcPr>
            <w:tcW w:w="545" w:type="dxa"/>
          </w:tcPr>
          <w:p>
            <w:pPr>
              <w:pStyle w:val="TableParagraph"/>
              <w:spacing w:before="14"/>
              <w:ind w:left="239" w:right="1"/>
              <w:jc w:val="center"/>
              <w:rPr>
                <w:sz w:val="11"/>
              </w:rPr>
            </w:pPr>
            <w:r>
              <w:rPr>
                <w:w w:val="105"/>
                <w:sz w:val="11"/>
              </w:rPr>
              <w:t>0.0%</w:t>
            </w:r>
          </w:p>
        </w:tc>
      </w:tr>
      <w:tr>
        <w:trPr>
          <w:trHeight w:val="235" w:hRule="atLeast"/>
        </w:trPr>
        <w:tc>
          <w:tcPr>
            <w:tcW w:w="2772" w:type="dxa"/>
          </w:tcPr>
          <w:p>
            <w:pPr>
              <w:pStyle w:val="TableParagraph"/>
              <w:spacing w:before="54"/>
              <w:ind w:left="278"/>
              <w:rPr>
                <w:sz w:val="11"/>
              </w:rPr>
            </w:pPr>
            <w:r>
              <w:rPr>
                <w:w w:val="105"/>
                <w:sz w:val="11"/>
              </w:rPr>
              <w:t>b) Uses</w:t>
            </w:r>
          </w:p>
        </w:tc>
        <w:tc>
          <w:tcPr>
            <w:tcW w:w="1717" w:type="dxa"/>
            <w:gridSpan w:val="2"/>
          </w:tcPr>
          <w:p>
            <w:pPr>
              <w:pStyle w:val="TableParagraph"/>
              <w:spacing w:before="54"/>
              <w:ind w:left="940"/>
              <w:rPr>
                <w:sz w:val="11"/>
              </w:rPr>
            </w:pPr>
            <w:r>
              <w:rPr>
                <w:w w:val="105"/>
                <w:sz w:val="11"/>
              </w:rPr>
              <w:t>7630-7699</w:t>
            </w:r>
          </w:p>
        </w:tc>
        <w:tc>
          <w:tcPr>
            <w:tcW w:w="1159" w:type="dxa"/>
          </w:tcPr>
          <w:p>
            <w:pPr>
              <w:pStyle w:val="TableParagraph"/>
              <w:spacing w:before="54"/>
              <w:ind w:right="262"/>
              <w:jc w:val="right"/>
              <w:rPr>
                <w:sz w:val="11"/>
              </w:rPr>
            </w:pPr>
            <w:r>
              <w:rPr>
                <w:sz w:val="11"/>
              </w:rPr>
              <w:t>0.00</w:t>
            </w:r>
          </w:p>
        </w:tc>
        <w:tc>
          <w:tcPr>
            <w:tcW w:w="1079" w:type="dxa"/>
          </w:tcPr>
          <w:p>
            <w:pPr>
              <w:pStyle w:val="TableParagraph"/>
              <w:spacing w:before="54"/>
              <w:ind w:right="232"/>
              <w:jc w:val="right"/>
              <w:rPr>
                <w:sz w:val="11"/>
              </w:rPr>
            </w:pPr>
            <w:r>
              <w:rPr>
                <w:sz w:val="11"/>
              </w:rPr>
              <w:t>0.00</w:t>
            </w:r>
          </w:p>
        </w:tc>
        <w:tc>
          <w:tcPr>
            <w:tcW w:w="1088" w:type="dxa"/>
          </w:tcPr>
          <w:p>
            <w:pPr>
              <w:pStyle w:val="TableParagraph"/>
              <w:spacing w:before="54"/>
              <w:ind w:right="211"/>
              <w:jc w:val="right"/>
              <w:rPr>
                <w:sz w:val="11"/>
              </w:rPr>
            </w:pPr>
            <w:r>
              <w:rPr>
                <w:sz w:val="11"/>
              </w:rPr>
              <w:t>0.00</w:t>
            </w:r>
          </w:p>
        </w:tc>
        <w:tc>
          <w:tcPr>
            <w:tcW w:w="1156" w:type="dxa"/>
          </w:tcPr>
          <w:p>
            <w:pPr>
              <w:pStyle w:val="TableParagraph"/>
              <w:spacing w:before="54"/>
              <w:ind w:right="258"/>
              <w:jc w:val="right"/>
              <w:rPr>
                <w:sz w:val="11"/>
              </w:rPr>
            </w:pPr>
            <w:r>
              <w:rPr>
                <w:sz w:val="11"/>
              </w:rPr>
              <w:t>0.00</w:t>
            </w:r>
          </w:p>
        </w:tc>
        <w:tc>
          <w:tcPr>
            <w:tcW w:w="1079" w:type="dxa"/>
          </w:tcPr>
          <w:p>
            <w:pPr>
              <w:pStyle w:val="TableParagraph"/>
              <w:spacing w:before="54"/>
              <w:ind w:right="229"/>
              <w:jc w:val="right"/>
              <w:rPr>
                <w:sz w:val="11"/>
              </w:rPr>
            </w:pPr>
            <w:r>
              <w:rPr>
                <w:sz w:val="11"/>
              </w:rPr>
              <w:t>0.00</w:t>
            </w:r>
          </w:p>
        </w:tc>
        <w:tc>
          <w:tcPr>
            <w:tcW w:w="998" w:type="dxa"/>
          </w:tcPr>
          <w:p>
            <w:pPr>
              <w:pStyle w:val="TableParagraph"/>
              <w:spacing w:before="54"/>
              <w:ind w:right="118"/>
              <w:jc w:val="right"/>
              <w:rPr>
                <w:sz w:val="11"/>
              </w:rPr>
            </w:pPr>
            <w:r>
              <w:rPr>
                <w:sz w:val="11"/>
              </w:rPr>
              <w:t>0.00</w:t>
            </w:r>
          </w:p>
        </w:tc>
        <w:tc>
          <w:tcPr>
            <w:tcW w:w="545" w:type="dxa"/>
          </w:tcPr>
          <w:p>
            <w:pPr>
              <w:pStyle w:val="TableParagraph"/>
              <w:spacing w:before="54"/>
              <w:ind w:left="239" w:right="1"/>
              <w:jc w:val="center"/>
              <w:rPr>
                <w:sz w:val="11"/>
              </w:rPr>
            </w:pPr>
            <w:r>
              <w:rPr>
                <w:w w:val="105"/>
                <w:sz w:val="11"/>
              </w:rPr>
              <w:t>0.0%</w:t>
            </w:r>
          </w:p>
        </w:tc>
      </w:tr>
      <w:tr>
        <w:trPr>
          <w:trHeight w:val="235" w:hRule="atLeast"/>
        </w:trPr>
        <w:tc>
          <w:tcPr>
            <w:tcW w:w="2772" w:type="dxa"/>
          </w:tcPr>
          <w:p>
            <w:pPr>
              <w:pStyle w:val="TableParagraph"/>
              <w:spacing w:before="54"/>
              <w:ind w:left="153"/>
              <w:rPr>
                <w:sz w:val="11"/>
              </w:rPr>
            </w:pPr>
            <w:r>
              <w:rPr>
                <w:w w:val="105"/>
                <w:sz w:val="11"/>
              </w:rPr>
              <w:t>3) Contributions</w:t>
            </w:r>
          </w:p>
        </w:tc>
        <w:tc>
          <w:tcPr>
            <w:tcW w:w="1717" w:type="dxa"/>
            <w:gridSpan w:val="2"/>
          </w:tcPr>
          <w:p>
            <w:pPr>
              <w:pStyle w:val="TableParagraph"/>
              <w:spacing w:before="54"/>
              <w:ind w:left="940"/>
              <w:rPr>
                <w:sz w:val="11"/>
              </w:rPr>
            </w:pPr>
            <w:r>
              <w:rPr>
                <w:w w:val="105"/>
                <w:sz w:val="11"/>
              </w:rPr>
              <w:t>8980-8999</w:t>
            </w:r>
          </w:p>
        </w:tc>
        <w:tc>
          <w:tcPr>
            <w:tcW w:w="1159" w:type="dxa"/>
          </w:tcPr>
          <w:p>
            <w:pPr>
              <w:pStyle w:val="TableParagraph"/>
              <w:spacing w:before="54"/>
              <w:ind w:right="222"/>
              <w:jc w:val="right"/>
              <w:rPr>
                <w:sz w:val="11"/>
              </w:rPr>
            </w:pPr>
            <w:r>
              <w:rPr>
                <w:w w:val="105"/>
                <w:sz w:val="11"/>
              </w:rPr>
              <w:t>(241,529.00)</w:t>
            </w:r>
          </w:p>
        </w:tc>
        <w:tc>
          <w:tcPr>
            <w:tcW w:w="1079" w:type="dxa"/>
          </w:tcPr>
          <w:p>
            <w:pPr>
              <w:pStyle w:val="TableParagraph"/>
              <w:spacing w:before="54"/>
              <w:ind w:right="232"/>
              <w:jc w:val="right"/>
              <w:rPr>
                <w:sz w:val="11"/>
              </w:rPr>
            </w:pPr>
            <w:r>
              <w:rPr>
                <w:sz w:val="11"/>
              </w:rPr>
              <w:t>241,529.00</w:t>
            </w:r>
          </w:p>
        </w:tc>
        <w:tc>
          <w:tcPr>
            <w:tcW w:w="1088" w:type="dxa"/>
          </w:tcPr>
          <w:p>
            <w:pPr>
              <w:pStyle w:val="TableParagraph"/>
              <w:spacing w:before="54"/>
              <w:ind w:right="211"/>
              <w:jc w:val="right"/>
              <w:rPr>
                <w:sz w:val="11"/>
              </w:rPr>
            </w:pPr>
            <w:r>
              <w:rPr>
                <w:sz w:val="11"/>
              </w:rPr>
              <w:t>0.00</w:t>
            </w:r>
          </w:p>
        </w:tc>
        <w:tc>
          <w:tcPr>
            <w:tcW w:w="1156" w:type="dxa"/>
          </w:tcPr>
          <w:p>
            <w:pPr>
              <w:pStyle w:val="TableParagraph"/>
              <w:spacing w:before="54"/>
              <w:ind w:right="219"/>
              <w:jc w:val="right"/>
              <w:rPr>
                <w:sz w:val="11"/>
              </w:rPr>
            </w:pPr>
            <w:r>
              <w:rPr>
                <w:w w:val="105"/>
                <w:sz w:val="11"/>
              </w:rPr>
              <w:t>(221,691.00)</w:t>
            </w:r>
          </w:p>
        </w:tc>
        <w:tc>
          <w:tcPr>
            <w:tcW w:w="1079" w:type="dxa"/>
          </w:tcPr>
          <w:p>
            <w:pPr>
              <w:pStyle w:val="TableParagraph"/>
              <w:spacing w:before="54"/>
              <w:ind w:right="229"/>
              <w:jc w:val="right"/>
              <w:rPr>
                <w:sz w:val="11"/>
              </w:rPr>
            </w:pPr>
            <w:r>
              <w:rPr>
                <w:sz w:val="11"/>
              </w:rPr>
              <w:t>221,691.00</w:t>
            </w:r>
          </w:p>
        </w:tc>
        <w:tc>
          <w:tcPr>
            <w:tcW w:w="998" w:type="dxa"/>
          </w:tcPr>
          <w:p>
            <w:pPr>
              <w:pStyle w:val="TableParagraph"/>
              <w:spacing w:before="54"/>
              <w:ind w:right="118"/>
              <w:jc w:val="right"/>
              <w:rPr>
                <w:sz w:val="11"/>
              </w:rPr>
            </w:pPr>
            <w:r>
              <w:rPr>
                <w:sz w:val="11"/>
              </w:rPr>
              <w:t>0.00</w:t>
            </w:r>
          </w:p>
        </w:tc>
        <w:tc>
          <w:tcPr>
            <w:tcW w:w="545" w:type="dxa"/>
          </w:tcPr>
          <w:p>
            <w:pPr>
              <w:pStyle w:val="TableParagraph"/>
              <w:spacing w:before="54"/>
              <w:ind w:left="239" w:right="1"/>
              <w:jc w:val="center"/>
              <w:rPr>
                <w:sz w:val="11"/>
              </w:rPr>
            </w:pPr>
            <w:r>
              <w:rPr>
                <w:w w:val="105"/>
                <w:sz w:val="11"/>
              </w:rPr>
              <w:t>0.0%</w:t>
            </w:r>
          </w:p>
        </w:tc>
      </w:tr>
      <w:tr>
        <w:trPr>
          <w:trHeight w:val="181" w:hRule="atLeast"/>
        </w:trPr>
        <w:tc>
          <w:tcPr>
            <w:tcW w:w="2772" w:type="dxa"/>
          </w:tcPr>
          <w:p>
            <w:pPr>
              <w:pStyle w:val="TableParagraph"/>
              <w:spacing w:line="108" w:lineRule="exact" w:before="54"/>
              <w:ind w:left="153"/>
              <w:rPr>
                <w:sz w:val="11"/>
              </w:rPr>
            </w:pPr>
            <w:r>
              <w:rPr>
                <w:w w:val="105"/>
                <w:sz w:val="11"/>
              </w:rPr>
              <w:t>4) TOTAL, OTHER FINANCING SOURCES/USES</w:t>
            </w:r>
          </w:p>
        </w:tc>
        <w:tc>
          <w:tcPr>
            <w:tcW w:w="1717" w:type="dxa"/>
            <w:gridSpan w:val="2"/>
          </w:tcPr>
          <w:p>
            <w:pPr>
              <w:pStyle w:val="TableParagraph"/>
              <w:rPr>
                <w:rFonts w:ascii="Times New Roman"/>
                <w:sz w:val="10"/>
              </w:rPr>
            </w:pPr>
          </w:p>
        </w:tc>
        <w:tc>
          <w:tcPr>
            <w:tcW w:w="1159" w:type="dxa"/>
          </w:tcPr>
          <w:p>
            <w:pPr>
              <w:pStyle w:val="TableParagraph"/>
              <w:spacing w:line="108" w:lineRule="exact" w:before="54"/>
              <w:ind w:right="222"/>
              <w:jc w:val="right"/>
              <w:rPr>
                <w:sz w:val="11"/>
              </w:rPr>
            </w:pPr>
            <w:r>
              <w:rPr>
                <w:w w:val="105"/>
                <w:sz w:val="11"/>
              </w:rPr>
              <w:t>(241,529.00)</w:t>
            </w:r>
          </w:p>
        </w:tc>
        <w:tc>
          <w:tcPr>
            <w:tcW w:w="1079" w:type="dxa"/>
          </w:tcPr>
          <w:p>
            <w:pPr>
              <w:pStyle w:val="TableParagraph"/>
              <w:spacing w:line="108" w:lineRule="exact" w:before="54"/>
              <w:ind w:right="232"/>
              <w:jc w:val="right"/>
              <w:rPr>
                <w:sz w:val="11"/>
              </w:rPr>
            </w:pPr>
            <w:r>
              <w:rPr>
                <w:sz w:val="11"/>
              </w:rPr>
              <w:t>241,529.00</w:t>
            </w:r>
          </w:p>
        </w:tc>
        <w:tc>
          <w:tcPr>
            <w:tcW w:w="1088" w:type="dxa"/>
          </w:tcPr>
          <w:p>
            <w:pPr>
              <w:pStyle w:val="TableParagraph"/>
              <w:spacing w:line="108" w:lineRule="exact" w:before="54"/>
              <w:ind w:right="211"/>
              <w:jc w:val="right"/>
              <w:rPr>
                <w:sz w:val="11"/>
              </w:rPr>
            </w:pPr>
            <w:r>
              <w:rPr>
                <w:sz w:val="11"/>
              </w:rPr>
              <w:t>0.00</w:t>
            </w:r>
          </w:p>
        </w:tc>
        <w:tc>
          <w:tcPr>
            <w:tcW w:w="1156" w:type="dxa"/>
          </w:tcPr>
          <w:p>
            <w:pPr>
              <w:pStyle w:val="TableParagraph"/>
              <w:spacing w:line="108" w:lineRule="exact" w:before="54"/>
              <w:ind w:right="219"/>
              <w:jc w:val="right"/>
              <w:rPr>
                <w:sz w:val="11"/>
              </w:rPr>
            </w:pPr>
            <w:r>
              <w:rPr>
                <w:w w:val="105"/>
                <w:sz w:val="11"/>
              </w:rPr>
              <w:t>(221,691.00)</w:t>
            </w:r>
          </w:p>
        </w:tc>
        <w:tc>
          <w:tcPr>
            <w:tcW w:w="1079" w:type="dxa"/>
          </w:tcPr>
          <w:p>
            <w:pPr>
              <w:pStyle w:val="TableParagraph"/>
              <w:spacing w:line="108" w:lineRule="exact" w:before="54"/>
              <w:ind w:right="229"/>
              <w:jc w:val="right"/>
              <w:rPr>
                <w:sz w:val="11"/>
              </w:rPr>
            </w:pPr>
            <w:r>
              <w:rPr>
                <w:sz w:val="11"/>
              </w:rPr>
              <w:t>221,691.00</w:t>
            </w:r>
          </w:p>
        </w:tc>
        <w:tc>
          <w:tcPr>
            <w:tcW w:w="998" w:type="dxa"/>
          </w:tcPr>
          <w:p>
            <w:pPr>
              <w:pStyle w:val="TableParagraph"/>
              <w:spacing w:line="108" w:lineRule="exact" w:before="54"/>
              <w:ind w:right="118"/>
              <w:jc w:val="right"/>
              <w:rPr>
                <w:sz w:val="11"/>
              </w:rPr>
            </w:pPr>
            <w:r>
              <w:rPr>
                <w:sz w:val="11"/>
              </w:rPr>
              <w:t>0.00</w:t>
            </w:r>
          </w:p>
        </w:tc>
        <w:tc>
          <w:tcPr>
            <w:tcW w:w="545" w:type="dxa"/>
          </w:tcPr>
          <w:p>
            <w:pPr>
              <w:pStyle w:val="TableParagraph"/>
              <w:spacing w:line="108" w:lineRule="exact" w:before="54"/>
              <w:ind w:left="239" w:right="1"/>
              <w:jc w:val="center"/>
              <w:rPr>
                <w:sz w:val="11"/>
              </w:rPr>
            </w:pPr>
            <w:r>
              <w:rPr>
                <w:w w:val="105"/>
                <w:sz w:val="11"/>
              </w:rPr>
              <w:t>0.0%</w:t>
            </w:r>
          </w:p>
        </w:tc>
      </w:tr>
    </w:tbl>
    <w:p>
      <w:pPr>
        <w:spacing w:after="0" w:line="108" w:lineRule="exact"/>
        <w:jc w:val="center"/>
        <w:rPr>
          <w:sz w:val="11"/>
        </w:rPr>
        <w:sectPr>
          <w:headerReference w:type="default" r:id="rId341"/>
          <w:footerReference w:type="default" r:id="rId342"/>
          <w:pgSz w:w="12240" w:h="15840"/>
          <w:pgMar w:header="62" w:footer="252" w:top="580" w:bottom="440" w:left="160" w:right="180"/>
          <w:pgNumType w:start="1"/>
        </w:sectPr>
      </w:pPr>
    </w:p>
    <w:p>
      <w:pPr>
        <w:pStyle w:val="BodyText"/>
        <w:rPr>
          <w:sz w:val="20"/>
        </w:rPr>
      </w:pPr>
      <w:r>
        <w:rPr/>
        <w:pict>
          <v:group style="position:absolute;margin-left:15.36pt;margin-top:47.040001pt;width:579.15pt;height:369.25pt;mso-position-horizontal-relative:page;mso-position-vertical-relative:page;z-index:-314547200" coordorigin="307,941" coordsize="11583,7385">
            <v:shape style="position:absolute;left:307;top:940;width:11583;height:171" type="#_x0000_t75" stroked="false">
              <v:imagedata r:id="rId343" o:title=""/>
            </v:shape>
            <v:shape style="position:absolute;left:307;top:1106;width:2542;height:490" type="#_x0000_t75" stroked="false">
              <v:imagedata r:id="rId344" o:title=""/>
            </v:shape>
            <v:shape style="position:absolute;left:2846;top:972;width:9044;height:624" type="#_x0000_t75" stroked="false">
              <v:imagedata r:id="rId345" o:title=""/>
            </v:shape>
            <v:shape style="position:absolute;left:307;top:1591;width:2542;height:396" type="#_x0000_t75" stroked="false">
              <v:imagedata r:id="rId374" o:title=""/>
            </v:shape>
            <v:shape style="position:absolute;left:2846;top:1106;width:9044;height:881" type="#_x0000_t75" stroked="false">
              <v:imagedata r:id="rId375" o:title=""/>
            </v:shape>
            <v:shape style="position:absolute;left:4627;top:1826;width:7263;height:862" type="#_x0000_t75" stroked="false">
              <v:imagedata r:id="rId376" o:title=""/>
            </v:shape>
            <v:shape style="position:absolute;left:307;top:1982;width:2542;height:6344" type="#_x0000_t75" stroked="false">
              <v:imagedata r:id="rId377" o:title=""/>
            </v:shape>
            <v:shape style="position:absolute;left:5565;top:975;width:1472;height:129" type="#_x0000_t202" filled="false" stroked="false">
              <v:textbox inset="0,0,0,0">
                <w:txbxContent>
                  <w:p>
                    <w:pPr>
                      <w:spacing w:before="1"/>
                      <w:ind w:left="0" w:right="0" w:firstLine="0"/>
                      <w:jc w:val="left"/>
                      <w:rPr>
                        <w:b/>
                        <w:sz w:val="11"/>
                      </w:rPr>
                    </w:pPr>
                    <w:r>
                      <w:rPr>
                        <w:b/>
                        <w:w w:val="105"/>
                        <w:sz w:val="11"/>
                      </w:rPr>
                      <w:t>2020-21 Estimated Actuals</w:t>
                    </w:r>
                  </w:p>
                </w:txbxContent>
              </v:textbox>
              <w10:wrap type="none"/>
            </v:shape>
            <v:shape style="position:absolute;left:9192;top:975;width:874;height:129" type="#_x0000_t202" filled="false" stroked="false">
              <v:textbox inset="0,0,0,0">
                <w:txbxContent>
                  <w:p>
                    <w:pPr>
                      <w:spacing w:before="1"/>
                      <w:ind w:left="0" w:right="0" w:firstLine="0"/>
                      <w:jc w:val="left"/>
                      <w:rPr>
                        <w:b/>
                        <w:sz w:val="11"/>
                      </w:rPr>
                    </w:pPr>
                    <w:r>
                      <w:rPr>
                        <w:b/>
                        <w:w w:val="105"/>
                        <w:sz w:val="11"/>
                      </w:rPr>
                      <w:t>2021-22 Budget</w:t>
                    </w:r>
                  </w:p>
                </w:txbxContent>
              </v:textbox>
              <w10:wrap type="none"/>
            </v:shape>
            <v:shape style="position:absolute;left:326;top:1460;width:2260;height:755" type="#_x0000_t202" filled="false" stroked="false">
              <v:textbox inset="0,0,0,0">
                <w:txbxContent>
                  <w:p>
                    <w:pPr>
                      <w:spacing w:before="1"/>
                      <w:ind w:left="0" w:right="0" w:firstLine="0"/>
                      <w:jc w:val="left"/>
                      <w:rPr>
                        <w:b/>
                        <w:sz w:val="11"/>
                      </w:rPr>
                    </w:pPr>
                    <w:r>
                      <w:rPr>
                        <w:b/>
                        <w:w w:val="105"/>
                        <w:sz w:val="11"/>
                      </w:rPr>
                      <w:t>Description</w:t>
                    </w:r>
                  </w:p>
                  <w:p>
                    <w:pPr>
                      <w:spacing w:line="240" w:lineRule="auto" w:before="5"/>
                      <w:rPr>
                        <w:b/>
                        <w:sz w:val="9"/>
                      </w:rPr>
                    </w:pPr>
                  </w:p>
                  <w:p>
                    <w:pPr>
                      <w:numPr>
                        <w:ilvl w:val="0"/>
                        <w:numId w:val="8"/>
                      </w:numPr>
                      <w:tabs>
                        <w:tab w:pos="139" w:val="left" w:leader="none"/>
                      </w:tabs>
                      <w:spacing w:line="295" w:lineRule="auto" w:before="0"/>
                      <w:ind w:left="125" w:right="18" w:hanging="126"/>
                      <w:jc w:val="left"/>
                      <w:rPr>
                        <w:b/>
                        <w:sz w:val="11"/>
                      </w:rPr>
                    </w:pPr>
                    <w:r>
                      <w:rPr>
                        <w:b/>
                        <w:w w:val="105"/>
                        <w:sz w:val="11"/>
                      </w:rPr>
                      <w:t>NET INCREASE (DECREASE) IN</w:t>
                    </w:r>
                    <w:r>
                      <w:rPr>
                        <w:b/>
                        <w:spacing w:val="-20"/>
                        <w:w w:val="105"/>
                        <w:sz w:val="11"/>
                      </w:rPr>
                      <w:t> </w:t>
                    </w:r>
                    <w:r>
                      <w:rPr>
                        <w:b/>
                        <w:w w:val="105"/>
                        <w:sz w:val="11"/>
                      </w:rPr>
                      <w:t>FUND BALANCE (C +</w:t>
                    </w:r>
                    <w:r>
                      <w:rPr>
                        <w:b/>
                        <w:spacing w:val="-5"/>
                        <w:w w:val="105"/>
                        <w:sz w:val="11"/>
                      </w:rPr>
                      <w:t> </w:t>
                    </w:r>
                    <w:r>
                      <w:rPr>
                        <w:b/>
                        <w:w w:val="105"/>
                        <w:sz w:val="11"/>
                      </w:rPr>
                      <w:t>D4)</w:t>
                    </w:r>
                  </w:p>
                  <w:p>
                    <w:pPr>
                      <w:numPr>
                        <w:ilvl w:val="0"/>
                        <w:numId w:val="8"/>
                      </w:numPr>
                      <w:tabs>
                        <w:tab w:pos="133" w:val="left" w:leader="none"/>
                      </w:tabs>
                      <w:spacing w:before="80"/>
                      <w:ind w:left="132" w:right="0" w:hanging="133"/>
                      <w:jc w:val="left"/>
                      <w:rPr>
                        <w:b/>
                        <w:sz w:val="11"/>
                      </w:rPr>
                    </w:pPr>
                    <w:r>
                      <w:rPr>
                        <w:b/>
                        <w:w w:val="105"/>
                        <w:sz w:val="11"/>
                      </w:rPr>
                      <w:t>FUND BALANCE,</w:t>
                    </w:r>
                    <w:r>
                      <w:rPr>
                        <w:b/>
                        <w:spacing w:val="-4"/>
                        <w:w w:val="105"/>
                        <w:sz w:val="11"/>
                      </w:rPr>
                      <w:t> </w:t>
                    </w:r>
                    <w:r>
                      <w:rPr>
                        <w:b/>
                        <w:w w:val="105"/>
                        <w:sz w:val="11"/>
                      </w:rPr>
                      <w:t>RESERVES</w:t>
                    </w:r>
                  </w:p>
                </w:txbxContent>
              </v:textbox>
              <w10:wrap type="none"/>
            </v:shape>
            <v:shape style="position:absolute;left:2966;top:1460;width:885;height:129" type="#_x0000_t202" filled="false" stroked="false">
              <v:textbox inset="0,0,0,0">
                <w:txbxContent>
                  <w:p>
                    <w:pPr>
                      <w:spacing w:before="1"/>
                      <w:ind w:left="0" w:right="0" w:firstLine="0"/>
                      <w:jc w:val="left"/>
                      <w:rPr>
                        <w:b/>
                        <w:sz w:val="11"/>
                      </w:rPr>
                    </w:pPr>
                    <w:r>
                      <w:rPr>
                        <w:b/>
                        <w:w w:val="105"/>
                        <w:sz w:val="11"/>
                      </w:rPr>
                      <w:t>Function Codes</w:t>
                    </w:r>
                  </w:p>
                </w:txbxContent>
              </v:textbox>
              <w10:wrap type="none"/>
            </v:shape>
            <v:shape style="position:absolute;left:4111;top:1326;width:378;height:263" type="#_x0000_t202" filled="false" stroked="false">
              <v:textbox inset="0,0,0,0">
                <w:txbxContent>
                  <w:p>
                    <w:pPr>
                      <w:spacing w:line="254" w:lineRule="auto" w:before="1"/>
                      <w:ind w:left="2" w:right="-1" w:hanging="3"/>
                      <w:jc w:val="left"/>
                      <w:rPr>
                        <w:b/>
                        <w:sz w:val="11"/>
                      </w:rPr>
                    </w:pPr>
                    <w:r>
                      <w:rPr>
                        <w:b/>
                        <w:w w:val="105"/>
                        <w:sz w:val="11"/>
                      </w:rPr>
                      <w:t>Object</w:t>
                    </w:r>
                    <w:r>
                      <w:rPr>
                        <w:b/>
                        <w:w w:val="104"/>
                        <w:sz w:val="11"/>
                      </w:rPr>
                      <w:t> </w:t>
                    </w:r>
                    <w:r>
                      <w:rPr>
                        <w:b/>
                        <w:w w:val="105"/>
                        <w:sz w:val="11"/>
                      </w:rPr>
                      <w:t>Codes</w:t>
                    </w:r>
                  </w:p>
                </w:txbxContent>
              </v:textbox>
              <w10:wrap type="none"/>
            </v:shape>
            <v:shape style="position:absolute;left:4845;top:1326;width:701;height:263" type="#_x0000_t202" filled="false" stroked="false">
              <v:textbox inset="0,0,0,0">
                <w:txbxContent>
                  <w:p>
                    <w:pPr>
                      <w:spacing w:line="254" w:lineRule="auto" w:before="1"/>
                      <w:ind w:left="261" w:right="1" w:hanging="262"/>
                      <w:jc w:val="left"/>
                      <w:rPr>
                        <w:b/>
                        <w:sz w:val="11"/>
                      </w:rPr>
                    </w:pPr>
                    <w:r>
                      <w:rPr>
                        <w:b/>
                        <w:w w:val="105"/>
                        <w:sz w:val="11"/>
                      </w:rPr>
                      <w:t>Unrestricted (A)</w:t>
                    </w:r>
                  </w:p>
                </w:txbxContent>
              </v:textbox>
              <w10:wrap type="none"/>
            </v:shape>
            <v:shape style="position:absolute;left:6012;top:1326;width:586;height:263" type="#_x0000_t202" filled="false" stroked="false">
              <v:textbox inset="0,0,0,0">
                <w:txbxContent>
                  <w:p>
                    <w:pPr>
                      <w:spacing w:line="254" w:lineRule="auto" w:before="1"/>
                      <w:ind w:left="201" w:right="2" w:hanging="202"/>
                      <w:jc w:val="left"/>
                      <w:rPr>
                        <w:b/>
                        <w:sz w:val="11"/>
                      </w:rPr>
                    </w:pPr>
                    <w:r>
                      <w:rPr>
                        <w:b/>
                        <w:w w:val="105"/>
                        <w:sz w:val="11"/>
                      </w:rPr>
                      <w:t>Restricted (B)</w:t>
                    </w:r>
                  </w:p>
                </w:txbxContent>
              </v:textbox>
              <w10:wrap type="none"/>
            </v:shape>
            <v:shape style="position:absolute;left:7111;top:1191;width:607;height:398" type="#_x0000_t202" filled="false" stroked="false">
              <v:textbox inset="0,0,0,0">
                <w:txbxContent>
                  <w:p>
                    <w:pPr>
                      <w:spacing w:line="254" w:lineRule="auto" w:before="1"/>
                      <w:ind w:left="0" w:right="18" w:firstLine="0"/>
                      <w:jc w:val="center"/>
                      <w:rPr>
                        <w:b/>
                        <w:sz w:val="11"/>
                      </w:rPr>
                    </w:pPr>
                    <w:r>
                      <w:rPr>
                        <w:b/>
                        <w:w w:val="105"/>
                        <w:sz w:val="11"/>
                      </w:rPr>
                      <w:t>Total </w:t>
                    </w:r>
                    <w:r>
                      <w:rPr>
                        <w:b/>
                        <w:spacing w:val="-5"/>
                        <w:w w:val="105"/>
                        <w:sz w:val="11"/>
                      </w:rPr>
                      <w:t>Fund </w:t>
                    </w:r>
                    <w:r>
                      <w:rPr>
                        <w:b/>
                        <w:w w:val="105"/>
                        <w:sz w:val="11"/>
                      </w:rPr>
                      <w:t>col. A + B (C)</w:t>
                    </w:r>
                  </w:p>
                </w:txbxContent>
              </v:textbox>
              <w10:wrap type="none"/>
            </v:shape>
            <v:shape style="position:absolute;left:8172;top:1326;width:701;height:263" type="#_x0000_t202" filled="false" stroked="false">
              <v:textbox inset="0,0,0,0">
                <w:txbxContent>
                  <w:p>
                    <w:pPr>
                      <w:spacing w:line="254" w:lineRule="auto" w:before="1"/>
                      <w:ind w:left="259" w:right="1" w:hanging="260"/>
                      <w:jc w:val="left"/>
                      <w:rPr>
                        <w:b/>
                        <w:sz w:val="11"/>
                      </w:rPr>
                    </w:pPr>
                    <w:r>
                      <w:rPr>
                        <w:b/>
                        <w:w w:val="105"/>
                        <w:sz w:val="11"/>
                      </w:rPr>
                      <w:t>Unrestricted (D)</w:t>
                    </w:r>
                  </w:p>
                </w:txbxContent>
              </v:textbox>
              <w10:wrap type="none"/>
            </v:shape>
            <v:shape style="position:absolute;left:9338;top:1326;width:586;height:263" type="#_x0000_t202" filled="false" stroked="false">
              <v:textbox inset="0,0,0,0">
                <w:txbxContent>
                  <w:p>
                    <w:pPr>
                      <w:spacing w:line="254" w:lineRule="auto" w:before="1"/>
                      <w:ind w:left="206" w:right="2" w:hanging="207"/>
                      <w:jc w:val="left"/>
                      <w:rPr>
                        <w:b/>
                        <w:sz w:val="11"/>
                      </w:rPr>
                    </w:pPr>
                    <w:r>
                      <w:rPr>
                        <w:b/>
                        <w:w w:val="105"/>
                        <w:sz w:val="11"/>
                      </w:rPr>
                      <w:t>Restricted (E)</w:t>
                    </w:r>
                  </w:p>
                </w:txbxContent>
              </v:textbox>
              <w10:wrap type="none"/>
            </v:shape>
            <v:shape style="position:absolute;left:10437;top:1191;width:607;height:398" type="#_x0000_t202" filled="false" stroked="false">
              <v:textbox inset="0,0,0,0">
                <w:txbxContent>
                  <w:p>
                    <w:pPr>
                      <w:spacing w:line="254" w:lineRule="auto" w:before="1"/>
                      <w:ind w:left="-1" w:right="18" w:firstLine="0"/>
                      <w:jc w:val="center"/>
                      <w:rPr>
                        <w:b/>
                        <w:sz w:val="11"/>
                      </w:rPr>
                    </w:pPr>
                    <w:r>
                      <w:rPr>
                        <w:b/>
                        <w:w w:val="105"/>
                        <w:sz w:val="11"/>
                      </w:rPr>
                      <w:t>Total </w:t>
                    </w:r>
                    <w:r>
                      <w:rPr>
                        <w:b/>
                        <w:spacing w:val="-5"/>
                        <w:w w:val="105"/>
                        <w:sz w:val="11"/>
                      </w:rPr>
                      <w:t>Fund </w:t>
                    </w:r>
                    <w:r>
                      <w:rPr>
                        <w:b/>
                        <w:w w:val="105"/>
                        <w:sz w:val="11"/>
                      </w:rPr>
                      <w:t>col. D + E (F)</w:t>
                    </w:r>
                  </w:p>
                </w:txbxContent>
              </v:textbox>
              <w10:wrap type="none"/>
            </v:shape>
            <v:shape style="position:absolute;left:11373;top:1191;width:448;height:398" type="#_x0000_t202" filled="false" stroked="false">
              <v:textbox inset="0,0,0,0">
                <w:txbxContent>
                  <w:p>
                    <w:pPr>
                      <w:spacing w:line="254" w:lineRule="auto" w:before="1"/>
                      <w:ind w:left="-1" w:right="18" w:hanging="4"/>
                      <w:jc w:val="center"/>
                      <w:rPr>
                        <w:b/>
                        <w:sz w:val="11"/>
                      </w:rPr>
                    </w:pPr>
                    <w:r>
                      <w:rPr>
                        <w:b/>
                        <w:w w:val="105"/>
                        <w:sz w:val="11"/>
                      </w:rPr>
                      <w:t>% Diff Column C &amp; F</w:t>
                    </w:r>
                  </w:p>
                </w:txbxContent>
              </v:textbox>
              <w10:wrap type="none"/>
            </v:shape>
            <v:shape style="position:absolute;left:5102;top:1854;width:599;height:129" type="#_x0000_t202" filled="false" stroked="false">
              <v:textbox inset="0,0,0,0">
                <w:txbxContent>
                  <w:p>
                    <w:pPr>
                      <w:spacing w:before="1"/>
                      <w:ind w:left="0" w:right="0" w:firstLine="0"/>
                      <w:jc w:val="left"/>
                      <w:rPr>
                        <w:sz w:val="11"/>
                      </w:rPr>
                    </w:pPr>
                    <w:r>
                      <w:rPr>
                        <w:w w:val="105"/>
                        <w:sz w:val="11"/>
                      </w:rPr>
                      <w:t>113,597.00</w:t>
                    </w:r>
                  </w:p>
                </w:txbxContent>
              </v:textbox>
              <w10:wrap type="none"/>
            </v:shape>
            <v:shape style="position:absolute;left:6276;top:1854;width:534;height:129" type="#_x0000_t202" filled="false" stroked="false">
              <v:textbox inset="0,0,0,0">
                <w:txbxContent>
                  <w:p>
                    <w:pPr>
                      <w:spacing w:before="1"/>
                      <w:ind w:left="0" w:right="0" w:firstLine="0"/>
                      <w:jc w:val="left"/>
                      <w:rPr>
                        <w:sz w:val="11"/>
                      </w:rPr>
                    </w:pPr>
                    <w:r>
                      <w:rPr>
                        <w:w w:val="105"/>
                        <w:sz w:val="11"/>
                      </w:rPr>
                      <w:t>51,427.00</w:t>
                    </w:r>
                  </w:p>
                </w:txbxContent>
              </v:textbox>
              <w10:wrap type="none"/>
            </v:shape>
            <v:shape style="position:absolute;left:7320;top:1854;width:599;height:129" type="#_x0000_t202" filled="false" stroked="false">
              <v:textbox inset="0,0,0,0">
                <w:txbxContent>
                  <w:p>
                    <w:pPr>
                      <w:spacing w:before="1"/>
                      <w:ind w:left="0" w:right="0" w:firstLine="0"/>
                      <w:jc w:val="left"/>
                      <w:rPr>
                        <w:sz w:val="11"/>
                      </w:rPr>
                    </w:pPr>
                    <w:r>
                      <w:rPr>
                        <w:w w:val="105"/>
                        <w:sz w:val="11"/>
                      </w:rPr>
                      <w:t>165,024.00</w:t>
                    </w:r>
                  </w:p>
                </w:txbxContent>
              </v:textbox>
              <w10:wrap type="none"/>
            </v:shape>
            <v:shape style="position:absolute;left:8493;top:1854;width:534;height:129" type="#_x0000_t202" filled="false" stroked="false">
              <v:textbox inset="0,0,0,0">
                <w:txbxContent>
                  <w:p>
                    <w:pPr>
                      <w:spacing w:before="1"/>
                      <w:ind w:left="0" w:right="0" w:firstLine="0"/>
                      <w:jc w:val="left"/>
                      <w:rPr>
                        <w:sz w:val="11"/>
                      </w:rPr>
                    </w:pPr>
                    <w:r>
                      <w:rPr>
                        <w:w w:val="105"/>
                        <w:sz w:val="11"/>
                      </w:rPr>
                      <w:t>41,448.00</w:t>
                    </w:r>
                  </w:p>
                </w:txbxContent>
              </v:textbox>
              <w10:wrap type="none"/>
            </v:shape>
            <v:shape style="position:absolute;left:9564;top:1854;width:613;height:129" type="#_x0000_t202" filled="false" stroked="false">
              <v:textbox inset="0,0,0,0">
                <w:txbxContent>
                  <w:p>
                    <w:pPr>
                      <w:spacing w:before="1"/>
                      <w:ind w:left="0" w:right="0" w:firstLine="0"/>
                      <w:jc w:val="left"/>
                      <w:rPr>
                        <w:sz w:val="11"/>
                      </w:rPr>
                    </w:pPr>
                    <w:r>
                      <w:rPr>
                        <w:w w:val="105"/>
                        <w:sz w:val="11"/>
                      </w:rPr>
                      <w:t>(60,089.00)</w:t>
                    </w:r>
                  </w:p>
                </w:txbxContent>
              </v:textbox>
              <w10:wrap type="none"/>
            </v:shape>
            <v:shape style="position:absolute;left:10672;top:1854;width:613;height:129" type="#_x0000_t202" filled="false" stroked="false">
              <v:textbox inset="0,0,0,0">
                <w:txbxContent>
                  <w:p>
                    <w:pPr>
                      <w:spacing w:before="1"/>
                      <w:ind w:left="0" w:right="0" w:firstLine="0"/>
                      <w:jc w:val="left"/>
                      <w:rPr>
                        <w:sz w:val="11"/>
                      </w:rPr>
                    </w:pPr>
                    <w:r>
                      <w:rPr>
                        <w:w w:val="105"/>
                        <w:sz w:val="11"/>
                      </w:rPr>
                      <w:t>(18,641.00)</w:t>
                    </w:r>
                  </w:p>
                </w:txbxContent>
              </v:textbox>
              <w10:wrap type="none"/>
            </v:shape>
            <v:shape style="position:absolute;left:11438;top:1854;width:450;height:129" type="#_x0000_t202" filled="false" stroked="false">
              <v:textbox inset="0,0,0,0">
                <w:txbxContent>
                  <w:p>
                    <w:pPr>
                      <w:spacing w:before="1"/>
                      <w:ind w:left="0" w:right="0" w:firstLine="0"/>
                      <w:jc w:val="left"/>
                      <w:rPr>
                        <w:sz w:val="11"/>
                      </w:rPr>
                    </w:pPr>
                    <w:r>
                      <w:rPr>
                        <w:w w:val="105"/>
                        <w:sz w:val="11"/>
                      </w:rPr>
                      <w:t>-111.3%</w:t>
                    </w:r>
                  </w:p>
                </w:txbxContent>
              </v:textbox>
              <w10:wrap type="none"/>
            </v:shape>
            <w10:wrap type="none"/>
          </v:group>
        </w:pict>
      </w:r>
      <w:r>
        <w:rPr/>
        <w:pict>
          <v:group style="position:absolute;margin-left:142.319992pt;margin-top:126.479996pt;width:452.2pt;height:289.8pt;mso-position-horizontal-relative:page;mso-position-vertical-relative:page;z-index:-314546176" coordorigin="2846,2530" coordsize="9044,5796">
            <v:shape style="position:absolute;left:4627;top:2529;width:7263;height:392" type="#_x0000_t75" stroked="false">
              <v:imagedata r:id="rId378" o:title=""/>
            </v:shape>
            <v:shape style="position:absolute;left:4627;top:2685;width:7263;height:471" type="#_x0000_t75" stroked="false">
              <v:imagedata r:id="rId379" o:title=""/>
            </v:shape>
            <v:shape style="position:absolute;left:4627;top:2918;width:7263;height:473" type="#_x0000_t75" stroked="false">
              <v:imagedata r:id="rId380" o:title=""/>
            </v:shape>
            <v:shape style="position:absolute;left:4627;top:3153;width:7263;height:473" type="#_x0000_t75" stroked="false">
              <v:imagedata r:id="rId380" o:title=""/>
            </v:shape>
            <v:shape style="position:absolute;left:9062;top:3388;width:2223;height:473" type="#_x0000_t75" stroked="false">
              <v:imagedata r:id="rId381" o:title=""/>
            </v:shape>
            <v:shape style="position:absolute;left:4627;top:3388;width:7263;height:785" type="#_x0000_t75" stroked="false">
              <v:imagedata r:id="rId382" o:title=""/>
            </v:shape>
            <v:shape style="position:absolute;left:4627;top:4015;width:7263;height:708" type="#_x0000_t75" stroked="false">
              <v:imagedata r:id="rId383" o:title=""/>
            </v:shape>
            <v:shape style="position:absolute;left:4627;top:4483;width:7263;height:478" type="#_x0000_t75" stroked="false">
              <v:imagedata r:id="rId384" o:title=""/>
            </v:shape>
            <v:shape style="position:absolute;left:5736;top:4720;width:6154;height:478" type="#_x0000_t75" stroked="false">
              <v:imagedata r:id="rId385" o:title=""/>
            </v:shape>
            <v:shape style="position:absolute;left:4627;top:4958;width:3332;height:478" type="#_x0000_t75" stroked="false">
              <v:imagedata r:id="rId386" o:title=""/>
            </v:shape>
            <v:rect style="position:absolute;left:4629;top:5198;width:1109;height:238" filled="true" fillcolor="#dfdfdf" stroked="false">
              <v:fill type="solid"/>
            </v:rect>
            <v:shape style="position:absolute;left:5736;top:4958;width:6154;height:478" type="#_x0000_t75" stroked="false">
              <v:imagedata r:id="rId387" o:title=""/>
            </v:shape>
            <v:shape style="position:absolute;left:5738;top:5198;width:4436;height:476" coordorigin="5738,5198" coordsize="4436,476" path="m6847,5436l5738,5436,5738,5674,6847,5674,6847,5436m9065,5198l7956,5198,7956,5436,9065,5436,9065,5198m10174,5436l9065,5436,9065,5674,10174,5674,10174,5436e" filled="true" fillcolor="#dfdfdf" stroked="false">
              <v:path arrowok="t"/>
              <v:fill type="solid"/>
            </v:shape>
            <v:shape style="position:absolute;left:4627;top:5433;width:2220;height:389" type="#_x0000_t75" stroked="false">
              <v:imagedata r:id="rId388" o:title=""/>
            </v:shape>
            <v:shape style="position:absolute;left:5736;top:5196;width:6154;height:627" type="#_x0000_t75" stroked="false">
              <v:imagedata r:id="rId389" o:title=""/>
            </v:shape>
            <v:shape style="position:absolute;left:5738;top:5673;width:4436;height:149" coordorigin="5738,5674" coordsize="4436,149" path="m6847,5674l5738,5674,5738,5822,6847,5822,6847,5674m10174,5674l9065,5674,9065,5822,10174,5822,10174,5674e" filled="true" fillcolor="#dfdfdf" stroked="false">
              <v:path arrowok="t"/>
              <v:fill type="solid"/>
            </v:shape>
            <v:shape style="position:absolute;left:4627;top:5671;width:5547;height:389" type="#_x0000_t75" stroked="false">
              <v:imagedata r:id="rId390" o:title=""/>
            </v:shape>
            <v:rect style="position:absolute;left:5738;top:5822;width:1109;height:238" filled="true" fillcolor="#dfdfdf" stroked="false">
              <v:fill type="solid"/>
            </v:rect>
            <v:shape style="position:absolute;left:9062;top:5671;width:2828;height:389" type="#_x0000_t75" stroked="false">
              <v:imagedata r:id="rId391" o:title=""/>
            </v:shape>
            <v:shape style="position:absolute;left:5738;top:5822;width:4436;height:476" coordorigin="5738,5822" coordsize="4436,476" path="m6847,6060l5738,6060,5738,6298,6847,6298,6847,6060m10174,5822l9065,5822,9065,6060,9065,6298,10174,6298,10174,6060,10174,5822e" filled="true" fillcolor="#dfdfdf" stroked="false">
              <v:path arrowok="t"/>
              <v:fill type="solid"/>
            </v:shape>
            <v:shape style="position:absolute;left:4627;top:5820;width:7263;height:716" type="#_x0000_t75" stroked="false">
              <v:imagedata r:id="rId392" o:title=""/>
            </v:shape>
            <v:shape style="position:absolute;left:5738;top:6297;width:4436;height:238" coordorigin="5738,6298" coordsize="4436,238" path="m6847,6298l5738,6298,5738,6535,6847,6535,6847,6298m10174,6298l9065,6298,9065,6535,10174,6535,10174,6298e" filled="true" fillcolor="#dfdfdf" stroked="false">
              <v:path arrowok="t"/>
              <v:fill type="solid"/>
            </v:shape>
            <v:shape style="position:absolute;left:4627;top:6295;width:7263;height:425" type="#_x0000_t75" stroked="false">
              <v:imagedata r:id="rId393" o:title=""/>
            </v:shape>
            <v:shape style="position:absolute;left:5736;top:6532;width:5549;height:188" type="#_x0000_t75" stroked="false">
              <v:imagedata r:id="rId394" o:title=""/>
            </v:shape>
            <v:rect style="position:absolute;left:9064;top:6535;width:1109;height:185" filled="true" fillcolor="#dfdfdf" stroked="false">
              <v:fill type="solid"/>
            </v:rect>
            <v:shape style="position:absolute;left:4627;top:6532;width:6658;height:372" type="#_x0000_t75" stroked="false">
              <v:imagedata r:id="rId395" o:title=""/>
            </v:shape>
            <v:rect style="position:absolute;left:9064;top:6720;width:1109;height:185" filled="true" fillcolor="#dfdfdf" stroked="false">
              <v:fill type="solid"/>
            </v:rect>
            <v:shape style="position:absolute;left:4627;top:6717;width:6658;height:372" type="#_x0000_t75" stroked="false">
              <v:imagedata r:id="rId395" o:title=""/>
            </v:shape>
            <v:rect style="position:absolute;left:9064;top:6904;width:1109;height:185" filled="true" fillcolor="#dfdfdf" stroked="false">
              <v:fill type="solid"/>
            </v:rect>
            <v:shape style="position:absolute;left:4627;top:6902;width:6658;height:372" type="#_x0000_t75" stroked="false">
              <v:imagedata r:id="rId395" o:title=""/>
            </v:shape>
            <v:rect style="position:absolute;left:9064;top:7089;width:1109;height:185" filled="true" fillcolor="#dfdfdf" stroked="false">
              <v:fill type="solid"/>
            </v:rect>
            <v:shape style="position:absolute;left:4627;top:7087;width:6658;height:372" type="#_x0000_t75" stroked="false">
              <v:imagedata r:id="rId395" o:title=""/>
            </v:shape>
            <v:rect style="position:absolute;left:9064;top:7274;width:1109;height:185" filled="true" fillcolor="#dfdfdf" stroked="false">
              <v:fill type="solid"/>
            </v:rect>
            <v:shape style="position:absolute;left:4627;top:7272;width:6658;height:372" type="#_x0000_t75" stroked="false">
              <v:imagedata r:id="rId395" o:title=""/>
            </v:shape>
            <v:rect style="position:absolute;left:9064;top:7459;width:1109;height:185" filled="true" fillcolor="#dfdfdf" stroked="false">
              <v:fill type="solid"/>
            </v:rect>
            <v:shape style="position:absolute;left:5736;top:6532;width:6154;height:1553" type="#_x0000_t75" stroked="false">
              <v:imagedata r:id="rId396" o:title=""/>
            </v:shape>
            <v:rect style="position:absolute;left:9064;top:7644;width:1109;height:204" filled="true" fillcolor="#dfdfdf" stroked="false">
              <v:fill type="solid"/>
            </v:rect>
            <v:shape style="position:absolute;left:4627;top:7641;width:2220;height:444" type="#_x0000_t75" stroked="false">
              <v:imagedata r:id="rId397" o:title=""/>
            </v:shape>
            <v:rect style="position:absolute;left:9064;top:7848;width:1109;height:238" filled="true" fillcolor="#dfdfdf" stroked="false">
              <v:fill type="solid"/>
            </v:rect>
            <v:shape style="position:absolute;left:2846;top:7845;width:8439;height:480" type="#_x0000_t75" stroked="false">
              <v:imagedata r:id="rId398" o:title=""/>
            </v:shape>
            <v:shape style="position:absolute;left:9062;top:7845;width:2828;height:480" type="#_x0000_t75" stroked="false">
              <v:imagedata r:id="rId399" o:titl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7"/>
        </w:rPr>
      </w:pPr>
    </w:p>
    <w:tbl>
      <w:tblPr>
        <w:tblW w:w="0" w:type="auto"/>
        <w:jc w:val="left"/>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10"/>
        <w:gridCol w:w="1098"/>
        <w:gridCol w:w="400"/>
        <w:gridCol w:w="1208"/>
        <w:gridCol w:w="1109"/>
        <w:gridCol w:w="1088"/>
        <w:gridCol w:w="1131"/>
        <w:gridCol w:w="1110"/>
        <w:gridCol w:w="1110"/>
        <w:gridCol w:w="626"/>
      </w:tblGrid>
      <w:tr>
        <w:trPr>
          <w:trHeight w:val="156" w:hRule="atLeast"/>
        </w:trPr>
        <w:tc>
          <w:tcPr>
            <w:tcW w:w="2610" w:type="dxa"/>
          </w:tcPr>
          <w:p>
            <w:pPr>
              <w:pStyle w:val="TableParagraph"/>
              <w:spacing w:before="1"/>
              <w:ind w:left="28"/>
              <w:rPr>
                <w:sz w:val="11"/>
              </w:rPr>
            </w:pPr>
            <w:r>
              <w:rPr>
                <w:w w:val="105"/>
                <w:sz w:val="11"/>
              </w:rPr>
              <w:t>1) Beginning Fund Balance</w:t>
            </w:r>
          </w:p>
        </w:tc>
        <w:tc>
          <w:tcPr>
            <w:tcW w:w="8880" w:type="dxa"/>
            <w:gridSpan w:val="9"/>
          </w:tcPr>
          <w:p>
            <w:pPr>
              <w:pStyle w:val="TableParagraph"/>
              <w:rPr>
                <w:rFonts w:ascii="Times New Roman"/>
                <w:sz w:val="10"/>
              </w:rPr>
            </w:pPr>
          </w:p>
        </w:tc>
      </w:tr>
      <w:tr>
        <w:trPr>
          <w:trHeight w:val="180" w:hRule="atLeast"/>
        </w:trPr>
        <w:tc>
          <w:tcPr>
            <w:tcW w:w="3708" w:type="dxa"/>
            <w:gridSpan w:val="2"/>
          </w:tcPr>
          <w:p>
            <w:pPr>
              <w:pStyle w:val="TableParagraph"/>
              <w:spacing w:before="1"/>
              <w:ind w:left="152"/>
              <w:rPr>
                <w:sz w:val="11"/>
              </w:rPr>
            </w:pPr>
            <w:r>
              <w:rPr>
                <w:w w:val="105"/>
                <w:sz w:val="11"/>
              </w:rPr>
              <w:t>a) As of July 1 - Unaudited</w:t>
            </w:r>
          </w:p>
        </w:tc>
        <w:tc>
          <w:tcPr>
            <w:tcW w:w="400" w:type="dxa"/>
          </w:tcPr>
          <w:p>
            <w:pPr>
              <w:pStyle w:val="TableParagraph"/>
              <w:spacing w:before="1"/>
              <w:ind w:left="28"/>
              <w:rPr>
                <w:sz w:val="11"/>
              </w:rPr>
            </w:pPr>
            <w:r>
              <w:rPr>
                <w:w w:val="105"/>
                <w:sz w:val="11"/>
              </w:rPr>
              <w:t>9791</w:t>
            </w:r>
          </w:p>
        </w:tc>
        <w:tc>
          <w:tcPr>
            <w:tcW w:w="1208" w:type="dxa"/>
          </w:tcPr>
          <w:p>
            <w:pPr>
              <w:pStyle w:val="TableParagraph"/>
              <w:spacing w:before="1"/>
              <w:ind w:right="55"/>
              <w:jc w:val="right"/>
              <w:rPr>
                <w:sz w:val="11"/>
              </w:rPr>
            </w:pPr>
            <w:r>
              <w:rPr>
                <w:sz w:val="11"/>
              </w:rPr>
              <w:t>2,386,933.00</w:t>
            </w:r>
          </w:p>
        </w:tc>
        <w:tc>
          <w:tcPr>
            <w:tcW w:w="1109" w:type="dxa"/>
          </w:tcPr>
          <w:p>
            <w:pPr>
              <w:pStyle w:val="TableParagraph"/>
              <w:spacing w:before="1"/>
              <w:ind w:right="55"/>
              <w:jc w:val="right"/>
              <w:rPr>
                <w:sz w:val="11"/>
              </w:rPr>
            </w:pPr>
            <w:r>
              <w:rPr>
                <w:sz w:val="11"/>
              </w:rPr>
              <w:t>33,952.00</w:t>
            </w:r>
          </w:p>
        </w:tc>
        <w:tc>
          <w:tcPr>
            <w:tcW w:w="1088" w:type="dxa"/>
          </w:tcPr>
          <w:p>
            <w:pPr>
              <w:pStyle w:val="TableParagraph"/>
              <w:spacing w:before="1"/>
              <w:ind w:right="35"/>
              <w:jc w:val="right"/>
              <w:rPr>
                <w:sz w:val="11"/>
              </w:rPr>
            </w:pPr>
            <w:r>
              <w:rPr>
                <w:sz w:val="11"/>
              </w:rPr>
              <w:t>2,420,885.00</w:t>
            </w:r>
          </w:p>
        </w:tc>
        <w:tc>
          <w:tcPr>
            <w:tcW w:w="1131" w:type="dxa"/>
          </w:tcPr>
          <w:p>
            <w:pPr>
              <w:pStyle w:val="TableParagraph"/>
              <w:spacing w:before="1"/>
              <w:ind w:right="57"/>
              <w:jc w:val="right"/>
              <w:rPr>
                <w:sz w:val="11"/>
              </w:rPr>
            </w:pPr>
            <w:r>
              <w:rPr>
                <w:sz w:val="11"/>
              </w:rPr>
              <w:t>2,500,530.00</w:t>
            </w:r>
          </w:p>
        </w:tc>
        <w:tc>
          <w:tcPr>
            <w:tcW w:w="1110" w:type="dxa"/>
          </w:tcPr>
          <w:p>
            <w:pPr>
              <w:pStyle w:val="TableParagraph"/>
              <w:spacing w:before="1"/>
              <w:ind w:right="58"/>
              <w:jc w:val="right"/>
              <w:rPr>
                <w:sz w:val="11"/>
              </w:rPr>
            </w:pPr>
            <w:r>
              <w:rPr>
                <w:sz w:val="11"/>
              </w:rPr>
              <w:t>85,379.00</w:t>
            </w:r>
          </w:p>
        </w:tc>
        <w:tc>
          <w:tcPr>
            <w:tcW w:w="1110" w:type="dxa"/>
          </w:tcPr>
          <w:p>
            <w:pPr>
              <w:pStyle w:val="TableParagraph"/>
              <w:spacing w:before="1"/>
              <w:ind w:right="59"/>
              <w:jc w:val="right"/>
              <w:rPr>
                <w:sz w:val="11"/>
              </w:rPr>
            </w:pPr>
            <w:r>
              <w:rPr>
                <w:sz w:val="11"/>
              </w:rPr>
              <w:t>2,585,909.00</w:t>
            </w:r>
          </w:p>
        </w:tc>
        <w:tc>
          <w:tcPr>
            <w:tcW w:w="626" w:type="dxa"/>
          </w:tcPr>
          <w:p>
            <w:pPr>
              <w:pStyle w:val="TableParagraph"/>
              <w:spacing w:before="1"/>
              <w:ind w:right="42"/>
              <w:jc w:val="right"/>
              <w:rPr>
                <w:sz w:val="11"/>
              </w:rPr>
            </w:pPr>
            <w:r>
              <w:rPr>
                <w:sz w:val="11"/>
              </w:rPr>
              <w:t>6.8%</w:t>
            </w:r>
          </w:p>
        </w:tc>
      </w:tr>
      <w:tr>
        <w:trPr>
          <w:trHeight w:val="233" w:hRule="atLeast"/>
        </w:trPr>
        <w:tc>
          <w:tcPr>
            <w:tcW w:w="3708" w:type="dxa"/>
            <w:gridSpan w:val="2"/>
          </w:tcPr>
          <w:p>
            <w:pPr>
              <w:pStyle w:val="TableParagraph"/>
              <w:spacing w:before="53"/>
              <w:ind w:left="152"/>
              <w:rPr>
                <w:sz w:val="11"/>
              </w:rPr>
            </w:pPr>
            <w:r>
              <w:rPr>
                <w:w w:val="105"/>
                <w:sz w:val="11"/>
              </w:rPr>
              <w:t>b) Audit Adjustments</w:t>
            </w:r>
          </w:p>
        </w:tc>
        <w:tc>
          <w:tcPr>
            <w:tcW w:w="400" w:type="dxa"/>
          </w:tcPr>
          <w:p>
            <w:pPr>
              <w:pStyle w:val="TableParagraph"/>
              <w:spacing w:before="53"/>
              <w:ind w:left="28"/>
              <w:rPr>
                <w:sz w:val="11"/>
              </w:rPr>
            </w:pPr>
            <w:r>
              <w:rPr>
                <w:w w:val="105"/>
                <w:sz w:val="11"/>
              </w:rPr>
              <w:t>9793</w:t>
            </w:r>
          </w:p>
        </w:tc>
        <w:tc>
          <w:tcPr>
            <w:tcW w:w="1208" w:type="dxa"/>
          </w:tcPr>
          <w:p>
            <w:pPr>
              <w:pStyle w:val="TableParagraph"/>
              <w:spacing w:before="53"/>
              <w:ind w:right="55"/>
              <w:jc w:val="right"/>
              <w:rPr>
                <w:sz w:val="11"/>
              </w:rPr>
            </w:pPr>
            <w:r>
              <w:rPr>
                <w:sz w:val="11"/>
              </w:rPr>
              <w:t>0.00</w:t>
            </w:r>
          </w:p>
        </w:tc>
        <w:tc>
          <w:tcPr>
            <w:tcW w:w="1109" w:type="dxa"/>
          </w:tcPr>
          <w:p>
            <w:pPr>
              <w:pStyle w:val="TableParagraph"/>
              <w:spacing w:before="53"/>
              <w:ind w:right="55"/>
              <w:jc w:val="right"/>
              <w:rPr>
                <w:sz w:val="11"/>
              </w:rPr>
            </w:pPr>
            <w:r>
              <w:rPr>
                <w:sz w:val="11"/>
              </w:rPr>
              <w:t>0.00</w:t>
            </w:r>
          </w:p>
        </w:tc>
        <w:tc>
          <w:tcPr>
            <w:tcW w:w="1088" w:type="dxa"/>
          </w:tcPr>
          <w:p>
            <w:pPr>
              <w:pStyle w:val="TableParagraph"/>
              <w:spacing w:before="53"/>
              <w:ind w:right="34"/>
              <w:jc w:val="right"/>
              <w:rPr>
                <w:sz w:val="11"/>
              </w:rPr>
            </w:pPr>
            <w:r>
              <w:rPr>
                <w:sz w:val="11"/>
              </w:rPr>
              <w:t>0.00</w:t>
            </w:r>
          </w:p>
        </w:tc>
        <w:tc>
          <w:tcPr>
            <w:tcW w:w="1131" w:type="dxa"/>
          </w:tcPr>
          <w:p>
            <w:pPr>
              <w:pStyle w:val="TableParagraph"/>
              <w:spacing w:before="53"/>
              <w:ind w:right="56"/>
              <w:jc w:val="right"/>
              <w:rPr>
                <w:sz w:val="11"/>
              </w:rPr>
            </w:pPr>
            <w:r>
              <w:rPr>
                <w:sz w:val="11"/>
              </w:rPr>
              <w:t>0.00</w:t>
            </w:r>
          </w:p>
        </w:tc>
        <w:tc>
          <w:tcPr>
            <w:tcW w:w="1110" w:type="dxa"/>
          </w:tcPr>
          <w:p>
            <w:pPr>
              <w:pStyle w:val="TableParagraph"/>
              <w:spacing w:before="53"/>
              <w:ind w:right="58"/>
              <w:jc w:val="right"/>
              <w:rPr>
                <w:sz w:val="11"/>
              </w:rPr>
            </w:pPr>
            <w:r>
              <w:rPr>
                <w:sz w:val="11"/>
              </w:rPr>
              <w:t>0.00</w:t>
            </w:r>
          </w:p>
        </w:tc>
        <w:tc>
          <w:tcPr>
            <w:tcW w:w="1110" w:type="dxa"/>
          </w:tcPr>
          <w:p>
            <w:pPr>
              <w:pStyle w:val="TableParagraph"/>
              <w:spacing w:before="53"/>
              <w:ind w:right="59"/>
              <w:jc w:val="right"/>
              <w:rPr>
                <w:sz w:val="11"/>
              </w:rPr>
            </w:pPr>
            <w:r>
              <w:rPr>
                <w:sz w:val="11"/>
              </w:rPr>
              <w:t>0.00</w:t>
            </w:r>
          </w:p>
        </w:tc>
        <w:tc>
          <w:tcPr>
            <w:tcW w:w="626" w:type="dxa"/>
          </w:tcPr>
          <w:p>
            <w:pPr>
              <w:pStyle w:val="TableParagraph"/>
              <w:spacing w:before="53"/>
              <w:ind w:right="42"/>
              <w:jc w:val="right"/>
              <w:rPr>
                <w:sz w:val="11"/>
              </w:rPr>
            </w:pPr>
            <w:r>
              <w:rPr>
                <w:sz w:val="11"/>
              </w:rPr>
              <w:t>0.0%</w:t>
            </w:r>
          </w:p>
        </w:tc>
      </w:tr>
      <w:tr>
        <w:trPr>
          <w:trHeight w:val="235" w:hRule="atLeast"/>
        </w:trPr>
        <w:tc>
          <w:tcPr>
            <w:tcW w:w="3708" w:type="dxa"/>
            <w:gridSpan w:val="2"/>
          </w:tcPr>
          <w:p>
            <w:pPr>
              <w:pStyle w:val="TableParagraph"/>
              <w:spacing w:before="54"/>
              <w:ind w:left="152"/>
              <w:rPr>
                <w:sz w:val="11"/>
              </w:rPr>
            </w:pPr>
            <w:r>
              <w:rPr>
                <w:w w:val="105"/>
                <w:sz w:val="11"/>
              </w:rPr>
              <w:t>c) As of July 1 - Audited (F1a + F1b)</w:t>
            </w:r>
          </w:p>
        </w:tc>
        <w:tc>
          <w:tcPr>
            <w:tcW w:w="400" w:type="dxa"/>
          </w:tcPr>
          <w:p>
            <w:pPr>
              <w:pStyle w:val="TableParagraph"/>
              <w:rPr>
                <w:rFonts w:ascii="Times New Roman"/>
                <w:sz w:val="10"/>
              </w:rPr>
            </w:pPr>
          </w:p>
        </w:tc>
        <w:tc>
          <w:tcPr>
            <w:tcW w:w="1208" w:type="dxa"/>
          </w:tcPr>
          <w:p>
            <w:pPr>
              <w:pStyle w:val="TableParagraph"/>
              <w:spacing w:before="54"/>
              <w:ind w:right="55"/>
              <w:jc w:val="right"/>
              <w:rPr>
                <w:sz w:val="11"/>
              </w:rPr>
            </w:pPr>
            <w:r>
              <w:rPr>
                <w:sz w:val="11"/>
              </w:rPr>
              <w:t>2,386,933.00</w:t>
            </w:r>
          </w:p>
        </w:tc>
        <w:tc>
          <w:tcPr>
            <w:tcW w:w="1109" w:type="dxa"/>
          </w:tcPr>
          <w:p>
            <w:pPr>
              <w:pStyle w:val="TableParagraph"/>
              <w:spacing w:before="54"/>
              <w:ind w:right="55"/>
              <w:jc w:val="right"/>
              <w:rPr>
                <w:sz w:val="11"/>
              </w:rPr>
            </w:pPr>
            <w:r>
              <w:rPr>
                <w:sz w:val="11"/>
              </w:rPr>
              <w:t>33,952.00</w:t>
            </w:r>
          </w:p>
        </w:tc>
        <w:tc>
          <w:tcPr>
            <w:tcW w:w="1088" w:type="dxa"/>
          </w:tcPr>
          <w:p>
            <w:pPr>
              <w:pStyle w:val="TableParagraph"/>
              <w:spacing w:before="54"/>
              <w:ind w:right="35"/>
              <w:jc w:val="right"/>
              <w:rPr>
                <w:sz w:val="11"/>
              </w:rPr>
            </w:pPr>
            <w:r>
              <w:rPr>
                <w:sz w:val="11"/>
              </w:rPr>
              <w:t>2,420,885.00</w:t>
            </w:r>
          </w:p>
        </w:tc>
        <w:tc>
          <w:tcPr>
            <w:tcW w:w="1131" w:type="dxa"/>
          </w:tcPr>
          <w:p>
            <w:pPr>
              <w:pStyle w:val="TableParagraph"/>
              <w:spacing w:before="54"/>
              <w:ind w:right="57"/>
              <w:jc w:val="right"/>
              <w:rPr>
                <w:sz w:val="11"/>
              </w:rPr>
            </w:pPr>
            <w:r>
              <w:rPr>
                <w:sz w:val="11"/>
              </w:rPr>
              <w:t>2,500,530.00</w:t>
            </w:r>
          </w:p>
        </w:tc>
        <w:tc>
          <w:tcPr>
            <w:tcW w:w="1110" w:type="dxa"/>
          </w:tcPr>
          <w:p>
            <w:pPr>
              <w:pStyle w:val="TableParagraph"/>
              <w:spacing w:before="54"/>
              <w:ind w:right="58"/>
              <w:jc w:val="right"/>
              <w:rPr>
                <w:sz w:val="11"/>
              </w:rPr>
            </w:pPr>
            <w:r>
              <w:rPr>
                <w:sz w:val="11"/>
              </w:rPr>
              <w:t>85,379.00</w:t>
            </w:r>
          </w:p>
        </w:tc>
        <w:tc>
          <w:tcPr>
            <w:tcW w:w="1110" w:type="dxa"/>
          </w:tcPr>
          <w:p>
            <w:pPr>
              <w:pStyle w:val="TableParagraph"/>
              <w:spacing w:before="54"/>
              <w:ind w:right="59"/>
              <w:jc w:val="right"/>
              <w:rPr>
                <w:sz w:val="11"/>
              </w:rPr>
            </w:pPr>
            <w:r>
              <w:rPr>
                <w:sz w:val="11"/>
              </w:rPr>
              <w:t>2,585,909.00</w:t>
            </w:r>
          </w:p>
        </w:tc>
        <w:tc>
          <w:tcPr>
            <w:tcW w:w="626" w:type="dxa"/>
          </w:tcPr>
          <w:p>
            <w:pPr>
              <w:pStyle w:val="TableParagraph"/>
              <w:spacing w:before="54"/>
              <w:ind w:right="42"/>
              <w:jc w:val="right"/>
              <w:rPr>
                <w:sz w:val="11"/>
              </w:rPr>
            </w:pPr>
            <w:r>
              <w:rPr>
                <w:sz w:val="11"/>
              </w:rPr>
              <w:t>6.8%</w:t>
            </w:r>
          </w:p>
        </w:tc>
      </w:tr>
      <w:tr>
        <w:trPr>
          <w:trHeight w:val="235" w:hRule="atLeast"/>
        </w:trPr>
        <w:tc>
          <w:tcPr>
            <w:tcW w:w="3708" w:type="dxa"/>
            <w:gridSpan w:val="2"/>
          </w:tcPr>
          <w:p>
            <w:pPr>
              <w:pStyle w:val="TableParagraph"/>
              <w:spacing w:before="54"/>
              <w:ind w:left="152"/>
              <w:rPr>
                <w:sz w:val="11"/>
              </w:rPr>
            </w:pPr>
            <w:r>
              <w:rPr>
                <w:w w:val="105"/>
                <w:sz w:val="11"/>
              </w:rPr>
              <w:t>d) Other Restatements</w:t>
            </w:r>
          </w:p>
        </w:tc>
        <w:tc>
          <w:tcPr>
            <w:tcW w:w="400" w:type="dxa"/>
          </w:tcPr>
          <w:p>
            <w:pPr>
              <w:pStyle w:val="TableParagraph"/>
              <w:spacing w:before="54"/>
              <w:ind w:left="28"/>
              <w:rPr>
                <w:sz w:val="11"/>
              </w:rPr>
            </w:pPr>
            <w:r>
              <w:rPr>
                <w:w w:val="105"/>
                <w:sz w:val="11"/>
              </w:rPr>
              <w:t>9795</w:t>
            </w:r>
          </w:p>
        </w:tc>
        <w:tc>
          <w:tcPr>
            <w:tcW w:w="1208" w:type="dxa"/>
          </w:tcPr>
          <w:p>
            <w:pPr>
              <w:pStyle w:val="TableParagraph"/>
              <w:spacing w:before="54"/>
              <w:ind w:right="55"/>
              <w:jc w:val="right"/>
              <w:rPr>
                <w:sz w:val="11"/>
              </w:rPr>
            </w:pPr>
            <w:r>
              <w:rPr>
                <w:sz w:val="11"/>
              </w:rPr>
              <w:t>0.00</w:t>
            </w:r>
          </w:p>
        </w:tc>
        <w:tc>
          <w:tcPr>
            <w:tcW w:w="1109" w:type="dxa"/>
          </w:tcPr>
          <w:p>
            <w:pPr>
              <w:pStyle w:val="TableParagraph"/>
              <w:spacing w:before="54"/>
              <w:ind w:right="55"/>
              <w:jc w:val="right"/>
              <w:rPr>
                <w:sz w:val="11"/>
              </w:rPr>
            </w:pPr>
            <w:r>
              <w:rPr>
                <w:sz w:val="11"/>
              </w:rPr>
              <w:t>0.00</w:t>
            </w:r>
          </w:p>
        </w:tc>
        <w:tc>
          <w:tcPr>
            <w:tcW w:w="1088" w:type="dxa"/>
          </w:tcPr>
          <w:p>
            <w:pPr>
              <w:pStyle w:val="TableParagraph"/>
              <w:spacing w:before="54"/>
              <w:ind w:right="34"/>
              <w:jc w:val="right"/>
              <w:rPr>
                <w:sz w:val="11"/>
              </w:rPr>
            </w:pPr>
            <w:r>
              <w:rPr>
                <w:sz w:val="11"/>
              </w:rPr>
              <w:t>0.00</w:t>
            </w:r>
          </w:p>
        </w:tc>
        <w:tc>
          <w:tcPr>
            <w:tcW w:w="1131" w:type="dxa"/>
          </w:tcPr>
          <w:p>
            <w:pPr>
              <w:pStyle w:val="TableParagraph"/>
              <w:spacing w:before="54"/>
              <w:ind w:right="56"/>
              <w:jc w:val="right"/>
              <w:rPr>
                <w:sz w:val="11"/>
              </w:rPr>
            </w:pPr>
            <w:r>
              <w:rPr>
                <w:sz w:val="11"/>
              </w:rPr>
              <w:t>0.00</w:t>
            </w:r>
          </w:p>
        </w:tc>
        <w:tc>
          <w:tcPr>
            <w:tcW w:w="1110" w:type="dxa"/>
          </w:tcPr>
          <w:p>
            <w:pPr>
              <w:pStyle w:val="TableParagraph"/>
              <w:spacing w:before="54"/>
              <w:ind w:right="58"/>
              <w:jc w:val="right"/>
              <w:rPr>
                <w:sz w:val="11"/>
              </w:rPr>
            </w:pPr>
            <w:r>
              <w:rPr>
                <w:sz w:val="11"/>
              </w:rPr>
              <w:t>0.00</w:t>
            </w:r>
          </w:p>
        </w:tc>
        <w:tc>
          <w:tcPr>
            <w:tcW w:w="1110" w:type="dxa"/>
          </w:tcPr>
          <w:p>
            <w:pPr>
              <w:pStyle w:val="TableParagraph"/>
              <w:spacing w:before="54"/>
              <w:ind w:right="59"/>
              <w:jc w:val="right"/>
              <w:rPr>
                <w:sz w:val="11"/>
              </w:rPr>
            </w:pPr>
            <w:r>
              <w:rPr>
                <w:sz w:val="11"/>
              </w:rPr>
              <w:t>0.00</w:t>
            </w:r>
          </w:p>
        </w:tc>
        <w:tc>
          <w:tcPr>
            <w:tcW w:w="626" w:type="dxa"/>
          </w:tcPr>
          <w:p>
            <w:pPr>
              <w:pStyle w:val="TableParagraph"/>
              <w:spacing w:before="54"/>
              <w:ind w:right="42"/>
              <w:jc w:val="right"/>
              <w:rPr>
                <w:sz w:val="11"/>
              </w:rPr>
            </w:pPr>
            <w:r>
              <w:rPr>
                <w:sz w:val="11"/>
              </w:rPr>
              <w:t>0.0%</w:t>
            </w:r>
          </w:p>
        </w:tc>
      </w:tr>
      <w:tr>
        <w:trPr>
          <w:trHeight w:val="235" w:hRule="atLeast"/>
        </w:trPr>
        <w:tc>
          <w:tcPr>
            <w:tcW w:w="3708" w:type="dxa"/>
            <w:gridSpan w:val="2"/>
          </w:tcPr>
          <w:p>
            <w:pPr>
              <w:pStyle w:val="TableParagraph"/>
              <w:spacing w:before="54"/>
              <w:ind w:left="152"/>
              <w:rPr>
                <w:sz w:val="11"/>
              </w:rPr>
            </w:pPr>
            <w:r>
              <w:rPr>
                <w:w w:val="105"/>
                <w:sz w:val="11"/>
              </w:rPr>
              <w:t>e) Adjusted Beginning Balance (F1c + F1d)</w:t>
            </w:r>
          </w:p>
        </w:tc>
        <w:tc>
          <w:tcPr>
            <w:tcW w:w="400" w:type="dxa"/>
          </w:tcPr>
          <w:p>
            <w:pPr>
              <w:pStyle w:val="TableParagraph"/>
              <w:rPr>
                <w:rFonts w:ascii="Times New Roman"/>
                <w:sz w:val="10"/>
              </w:rPr>
            </w:pPr>
          </w:p>
        </w:tc>
        <w:tc>
          <w:tcPr>
            <w:tcW w:w="1208" w:type="dxa"/>
          </w:tcPr>
          <w:p>
            <w:pPr>
              <w:pStyle w:val="TableParagraph"/>
              <w:spacing w:before="54"/>
              <w:ind w:right="55"/>
              <w:jc w:val="right"/>
              <w:rPr>
                <w:sz w:val="11"/>
              </w:rPr>
            </w:pPr>
            <w:r>
              <w:rPr>
                <w:sz w:val="11"/>
              </w:rPr>
              <w:t>2,386,933.00</w:t>
            </w:r>
          </w:p>
        </w:tc>
        <w:tc>
          <w:tcPr>
            <w:tcW w:w="1109" w:type="dxa"/>
          </w:tcPr>
          <w:p>
            <w:pPr>
              <w:pStyle w:val="TableParagraph"/>
              <w:spacing w:before="54"/>
              <w:ind w:right="55"/>
              <w:jc w:val="right"/>
              <w:rPr>
                <w:sz w:val="11"/>
              </w:rPr>
            </w:pPr>
            <w:r>
              <w:rPr>
                <w:sz w:val="11"/>
              </w:rPr>
              <w:t>33,952.00</w:t>
            </w:r>
          </w:p>
        </w:tc>
        <w:tc>
          <w:tcPr>
            <w:tcW w:w="1088" w:type="dxa"/>
          </w:tcPr>
          <w:p>
            <w:pPr>
              <w:pStyle w:val="TableParagraph"/>
              <w:spacing w:before="54"/>
              <w:ind w:right="35"/>
              <w:jc w:val="right"/>
              <w:rPr>
                <w:sz w:val="11"/>
              </w:rPr>
            </w:pPr>
            <w:r>
              <w:rPr>
                <w:sz w:val="11"/>
              </w:rPr>
              <w:t>2,420,885.00</w:t>
            </w:r>
          </w:p>
        </w:tc>
        <w:tc>
          <w:tcPr>
            <w:tcW w:w="1131" w:type="dxa"/>
          </w:tcPr>
          <w:p>
            <w:pPr>
              <w:pStyle w:val="TableParagraph"/>
              <w:spacing w:before="54"/>
              <w:ind w:right="57"/>
              <w:jc w:val="right"/>
              <w:rPr>
                <w:sz w:val="11"/>
              </w:rPr>
            </w:pPr>
            <w:r>
              <w:rPr>
                <w:sz w:val="11"/>
              </w:rPr>
              <w:t>2,500,530.00</w:t>
            </w:r>
          </w:p>
        </w:tc>
        <w:tc>
          <w:tcPr>
            <w:tcW w:w="1110" w:type="dxa"/>
          </w:tcPr>
          <w:p>
            <w:pPr>
              <w:pStyle w:val="TableParagraph"/>
              <w:spacing w:before="54"/>
              <w:ind w:right="58"/>
              <w:jc w:val="right"/>
              <w:rPr>
                <w:sz w:val="11"/>
              </w:rPr>
            </w:pPr>
            <w:r>
              <w:rPr>
                <w:sz w:val="11"/>
              </w:rPr>
              <w:t>85,379.00</w:t>
            </w:r>
          </w:p>
        </w:tc>
        <w:tc>
          <w:tcPr>
            <w:tcW w:w="1110" w:type="dxa"/>
          </w:tcPr>
          <w:p>
            <w:pPr>
              <w:pStyle w:val="TableParagraph"/>
              <w:spacing w:before="54"/>
              <w:ind w:right="59"/>
              <w:jc w:val="right"/>
              <w:rPr>
                <w:sz w:val="11"/>
              </w:rPr>
            </w:pPr>
            <w:r>
              <w:rPr>
                <w:sz w:val="11"/>
              </w:rPr>
              <w:t>2,585,909.00</w:t>
            </w:r>
          </w:p>
        </w:tc>
        <w:tc>
          <w:tcPr>
            <w:tcW w:w="626" w:type="dxa"/>
          </w:tcPr>
          <w:p>
            <w:pPr>
              <w:pStyle w:val="TableParagraph"/>
              <w:spacing w:before="54"/>
              <w:ind w:right="42"/>
              <w:jc w:val="right"/>
              <w:rPr>
                <w:sz w:val="11"/>
              </w:rPr>
            </w:pPr>
            <w:r>
              <w:rPr>
                <w:sz w:val="11"/>
              </w:rPr>
              <w:t>6.8%</w:t>
            </w:r>
          </w:p>
        </w:tc>
      </w:tr>
      <w:tr>
        <w:trPr>
          <w:trHeight w:val="183" w:hRule="atLeast"/>
        </w:trPr>
        <w:tc>
          <w:tcPr>
            <w:tcW w:w="3708" w:type="dxa"/>
            <w:gridSpan w:val="2"/>
          </w:tcPr>
          <w:p>
            <w:pPr>
              <w:pStyle w:val="TableParagraph"/>
              <w:spacing w:line="110" w:lineRule="exact" w:before="54"/>
              <w:ind w:left="28"/>
              <w:rPr>
                <w:sz w:val="11"/>
              </w:rPr>
            </w:pPr>
            <w:r>
              <w:rPr>
                <w:w w:val="105"/>
                <w:sz w:val="11"/>
              </w:rPr>
              <w:t>2) Ending Balance, June 30 (E + F1e)</w:t>
            </w:r>
          </w:p>
        </w:tc>
        <w:tc>
          <w:tcPr>
            <w:tcW w:w="400" w:type="dxa"/>
          </w:tcPr>
          <w:p>
            <w:pPr>
              <w:pStyle w:val="TableParagraph"/>
              <w:rPr>
                <w:rFonts w:ascii="Times New Roman"/>
                <w:sz w:val="10"/>
              </w:rPr>
            </w:pPr>
          </w:p>
        </w:tc>
        <w:tc>
          <w:tcPr>
            <w:tcW w:w="1208" w:type="dxa"/>
          </w:tcPr>
          <w:p>
            <w:pPr>
              <w:pStyle w:val="TableParagraph"/>
              <w:spacing w:line="110" w:lineRule="exact" w:before="54"/>
              <w:ind w:right="55"/>
              <w:jc w:val="right"/>
              <w:rPr>
                <w:sz w:val="11"/>
              </w:rPr>
            </w:pPr>
            <w:r>
              <w:rPr>
                <w:sz w:val="11"/>
              </w:rPr>
              <w:t>2,500,530.00</w:t>
            </w:r>
          </w:p>
        </w:tc>
        <w:tc>
          <w:tcPr>
            <w:tcW w:w="1109" w:type="dxa"/>
          </w:tcPr>
          <w:p>
            <w:pPr>
              <w:pStyle w:val="TableParagraph"/>
              <w:spacing w:line="110" w:lineRule="exact" w:before="54"/>
              <w:ind w:right="55"/>
              <w:jc w:val="right"/>
              <w:rPr>
                <w:sz w:val="11"/>
              </w:rPr>
            </w:pPr>
            <w:r>
              <w:rPr>
                <w:sz w:val="11"/>
              </w:rPr>
              <w:t>85,379.00</w:t>
            </w:r>
          </w:p>
        </w:tc>
        <w:tc>
          <w:tcPr>
            <w:tcW w:w="1088" w:type="dxa"/>
          </w:tcPr>
          <w:p>
            <w:pPr>
              <w:pStyle w:val="TableParagraph"/>
              <w:spacing w:line="110" w:lineRule="exact" w:before="54"/>
              <w:ind w:right="35"/>
              <w:jc w:val="right"/>
              <w:rPr>
                <w:sz w:val="11"/>
              </w:rPr>
            </w:pPr>
            <w:r>
              <w:rPr>
                <w:sz w:val="11"/>
              </w:rPr>
              <w:t>2,585,909.00</w:t>
            </w:r>
          </w:p>
        </w:tc>
        <w:tc>
          <w:tcPr>
            <w:tcW w:w="1131" w:type="dxa"/>
          </w:tcPr>
          <w:p>
            <w:pPr>
              <w:pStyle w:val="TableParagraph"/>
              <w:spacing w:line="110" w:lineRule="exact" w:before="54"/>
              <w:ind w:right="57"/>
              <w:jc w:val="right"/>
              <w:rPr>
                <w:sz w:val="11"/>
              </w:rPr>
            </w:pPr>
            <w:r>
              <w:rPr>
                <w:sz w:val="11"/>
              </w:rPr>
              <w:t>2,541,978.00</w:t>
            </w:r>
          </w:p>
        </w:tc>
        <w:tc>
          <w:tcPr>
            <w:tcW w:w="1110" w:type="dxa"/>
          </w:tcPr>
          <w:p>
            <w:pPr>
              <w:pStyle w:val="TableParagraph"/>
              <w:spacing w:line="110" w:lineRule="exact" w:before="54"/>
              <w:ind w:right="58"/>
              <w:jc w:val="right"/>
              <w:rPr>
                <w:sz w:val="11"/>
              </w:rPr>
            </w:pPr>
            <w:r>
              <w:rPr>
                <w:sz w:val="11"/>
              </w:rPr>
              <w:t>25,290.00</w:t>
            </w:r>
          </w:p>
        </w:tc>
        <w:tc>
          <w:tcPr>
            <w:tcW w:w="1110" w:type="dxa"/>
          </w:tcPr>
          <w:p>
            <w:pPr>
              <w:pStyle w:val="TableParagraph"/>
              <w:spacing w:line="110" w:lineRule="exact" w:before="54"/>
              <w:ind w:right="59"/>
              <w:jc w:val="right"/>
              <w:rPr>
                <w:sz w:val="11"/>
              </w:rPr>
            </w:pPr>
            <w:r>
              <w:rPr>
                <w:sz w:val="11"/>
              </w:rPr>
              <w:t>2,567,268.00</w:t>
            </w:r>
          </w:p>
        </w:tc>
        <w:tc>
          <w:tcPr>
            <w:tcW w:w="626" w:type="dxa"/>
          </w:tcPr>
          <w:p>
            <w:pPr>
              <w:pStyle w:val="TableParagraph"/>
              <w:spacing w:line="110" w:lineRule="exact" w:before="54"/>
              <w:ind w:right="42"/>
              <w:jc w:val="right"/>
              <w:rPr>
                <w:sz w:val="11"/>
              </w:rPr>
            </w:pPr>
            <w:r>
              <w:rPr>
                <w:sz w:val="11"/>
              </w:rPr>
              <w:t>-0.7%</w:t>
            </w:r>
          </w:p>
        </w:tc>
      </w:tr>
      <w:tr>
        <w:trPr>
          <w:trHeight w:val="323" w:hRule="atLeast"/>
        </w:trPr>
        <w:tc>
          <w:tcPr>
            <w:tcW w:w="3708" w:type="dxa"/>
            <w:gridSpan w:val="2"/>
          </w:tcPr>
          <w:p>
            <w:pPr>
              <w:pStyle w:val="TableParagraph"/>
              <w:spacing w:before="9"/>
              <w:rPr>
                <w:sz w:val="15"/>
              </w:rPr>
            </w:pPr>
          </w:p>
          <w:p>
            <w:pPr>
              <w:pStyle w:val="TableParagraph"/>
              <w:spacing w:line="121" w:lineRule="exact" w:before="1"/>
              <w:ind w:left="152"/>
              <w:rPr>
                <w:sz w:val="11"/>
              </w:rPr>
            </w:pPr>
            <w:r>
              <w:rPr>
                <w:w w:val="105"/>
                <w:sz w:val="11"/>
              </w:rPr>
              <w:t>Components of Ending Fund Balance</w:t>
            </w:r>
          </w:p>
        </w:tc>
        <w:tc>
          <w:tcPr>
            <w:tcW w:w="400" w:type="dxa"/>
          </w:tcPr>
          <w:p>
            <w:pPr>
              <w:pStyle w:val="TableParagraph"/>
              <w:rPr>
                <w:rFonts w:ascii="Times New Roman"/>
                <w:sz w:val="10"/>
              </w:rPr>
            </w:pPr>
          </w:p>
        </w:tc>
        <w:tc>
          <w:tcPr>
            <w:tcW w:w="1208" w:type="dxa"/>
          </w:tcPr>
          <w:p>
            <w:pPr>
              <w:pStyle w:val="TableParagraph"/>
              <w:rPr>
                <w:rFonts w:ascii="Times New Roman"/>
                <w:sz w:val="10"/>
              </w:rPr>
            </w:pPr>
          </w:p>
        </w:tc>
        <w:tc>
          <w:tcPr>
            <w:tcW w:w="1109" w:type="dxa"/>
            <w:shd w:val="clear" w:color="auto" w:fill="DFDFDF"/>
          </w:tcPr>
          <w:p>
            <w:pPr>
              <w:pStyle w:val="TableParagraph"/>
              <w:rPr>
                <w:rFonts w:ascii="Times New Roman"/>
                <w:sz w:val="10"/>
              </w:rPr>
            </w:pPr>
          </w:p>
        </w:tc>
        <w:tc>
          <w:tcPr>
            <w:tcW w:w="1088" w:type="dxa"/>
          </w:tcPr>
          <w:p>
            <w:pPr>
              <w:pStyle w:val="TableParagraph"/>
              <w:rPr>
                <w:rFonts w:ascii="Times New Roman"/>
                <w:sz w:val="10"/>
              </w:rPr>
            </w:pPr>
          </w:p>
        </w:tc>
        <w:tc>
          <w:tcPr>
            <w:tcW w:w="1131" w:type="dxa"/>
          </w:tcPr>
          <w:p>
            <w:pPr>
              <w:pStyle w:val="TableParagraph"/>
              <w:rPr>
                <w:rFonts w:ascii="Times New Roman"/>
                <w:sz w:val="10"/>
              </w:rPr>
            </w:pPr>
          </w:p>
        </w:tc>
        <w:tc>
          <w:tcPr>
            <w:tcW w:w="1110" w:type="dxa"/>
            <w:shd w:val="clear" w:color="auto" w:fill="DFDFDF"/>
          </w:tcPr>
          <w:p>
            <w:pPr>
              <w:pStyle w:val="TableParagraph"/>
              <w:rPr>
                <w:rFonts w:ascii="Times New Roman"/>
                <w:sz w:val="10"/>
              </w:rPr>
            </w:pPr>
          </w:p>
        </w:tc>
        <w:tc>
          <w:tcPr>
            <w:tcW w:w="1110" w:type="dxa"/>
          </w:tcPr>
          <w:p>
            <w:pPr>
              <w:pStyle w:val="TableParagraph"/>
              <w:rPr>
                <w:rFonts w:ascii="Times New Roman"/>
                <w:sz w:val="10"/>
              </w:rPr>
            </w:pPr>
          </w:p>
        </w:tc>
        <w:tc>
          <w:tcPr>
            <w:tcW w:w="626" w:type="dxa"/>
          </w:tcPr>
          <w:p>
            <w:pPr>
              <w:pStyle w:val="TableParagraph"/>
              <w:rPr>
                <w:rFonts w:ascii="Times New Roman"/>
                <w:sz w:val="10"/>
              </w:rPr>
            </w:pPr>
          </w:p>
        </w:tc>
      </w:tr>
      <w:tr>
        <w:trPr>
          <w:trHeight w:val="155" w:hRule="atLeast"/>
        </w:trPr>
        <w:tc>
          <w:tcPr>
            <w:tcW w:w="3708" w:type="dxa"/>
            <w:gridSpan w:val="2"/>
          </w:tcPr>
          <w:p>
            <w:pPr>
              <w:pStyle w:val="TableParagraph"/>
              <w:spacing w:line="121" w:lineRule="exact" w:before="14"/>
              <w:ind w:left="152"/>
              <w:rPr>
                <w:sz w:val="11"/>
              </w:rPr>
            </w:pPr>
            <w:r>
              <w:rPr>
                <w:w w:val="105"/>
                <w:sz w:val="11"/>
              </w:rPr>
              <w:t>a) Nonspendable</w:t>
            </w:r>
          </w:p>
        </w:tc>
        <w:tc>
          <w:tcPr>
            <w:tcW w:w="400" w:type="dxa"/>
          </w:tcPr>
          <w:p>
            <w:pPr>
              <w:pStyle w:val="TableParagraph"/>
              <w:rPr>
                <w:rFonts w:ascii="Times New Roman"/>
                <w:sz w:val="10"/>
              </w:rPr>
            </w:pPr>
          </w:p>
        </w:tc>
        <w:tc>
          <w:tcPr>
            <w:tcW w:w="1208" w:type="dxa"/>
          </w:tcPr>
          <w:p>
            <w:pPr>
              <w:pStyle w:val="TableParagraph"/>
              <w:rPr>
                <w:rFonts w:ascii="Times New Roman"/>
                <w:sz w:val="10"/>
              </w:rPr>
            </w:pPr>
          </w:p>
        </w:tc>
        <w:tc>
          <w:tcPr>
            <w:tcW w:w="1109" w:type="dxa"/>
            <w:shd w:val="clear" w:color="auto" w:fill="DFDFDF"/>
          </w:tcPr>
          <w:p>
            <w:pPr>
              <w:pStyle w:val="TableParagraph"/>
              <w:rPr>
                <w:rFonts w:ascii="Times New Roman"/>
                <w:sz w:val="10"/>
              </w:rPr>
            </w:pPr>
          </w:p>
        </w:tc>
        <w:tc>
          <w:tcPr>
            <w:tcW w:w="1088" w:type="dxa"/>
          </w:tcPr>
          <w:p>
            <w:pPr>
              <w:pStyle w:val="TableParagraph"/>
              <w:rPr>
                <w:rFonts w:ascii="Times New Roman"/>
                <w:sz w:val="10"/>
              </w:rPr>
            </w:pPr>
          </w:p>
        </w:tc>
        <w:tc>
          <w:tcPr>
            <w:tcW w:w="1131" w:type="dxa"/>
          </w:tcPr>
          <w:p>
            <w:pPr>
              <w:pStyle w:val="TableParagraph"/>
              <w:rPr>
                <w:rFonts w:ascii="Times New Roman"/>
                <w:sz w:val="10"/>
              </w:rPr>
            </w:pPr>
          </w:p>
        </w:tc>
        <w:tc>
          <w:tcPr>
            <w:tcW w:w="1110" w:type="dxa"/>
            <w:shd w:val="clear" w:color="auto" w:fill="DFDFDF"/>
          </w:tcPr>
          <w:p>
            <w:pPr>
              <w:pStyle w:val="TableParagraph"/>
              <w:rPr>
                <w:rFonts w:ascii="Times New Roman"/>
                <w:sz w:val="10"/>
              </w:rPr>
            </w:pPr>
          </w:p>
        </w:tc>
        <w:tc>
          <w:tcPr>
            <w:tcW w:w="1110" w:type="dxa"/>
          </w:tcPr>
          <w:p>
            <w:pPr>
              <w:pStyle w:val="TableParagraph"/>
              <w:rPr>
                <w:rFonts w:ascii="Times New Roman"/>
                <w:sz w:val="10"/>
              </w:rPr>
            </w:pPr>
          </w:p>
        </w:tc>
        <w:tc>
          <w:tcPr>
            <w:tcW w:w="626" w:type="dxa"/>
          </w:tcPr>
          <w:p>
            <w:pPr>
              <w:pStyle w:val="TableParagraph"/>
              <w:rPr>
                <w:rFonts w:ascii="Times New Roman"/>
                <w:sz w:val="10"/>
              </w:rPr>
            </w:pPr>
          </w:p>
        </w:tc>
      </w:tr>
      <w:tr>
        <w:trPr>
          <w:trHeight w:val="144" w:hRule="atLeast"/>
        </w:trPr>
        <w:tc>
          <w:tcPr>
            <w:tcW w:w="3708" w:type="dxa"/>
            <w:gridSpan w:val="2"/>
          </w:tcPr>
          <w:p>
            <w:pPr>
              <w:pStyle w:val="TableParagraph"/>
              <w:spacing w:line="110" w:lineRule="exact" w:before="14"/>
              <w:ind w:left="278"/>
              <w:rPr>
                <w:sz w:val="11"/>
              </w:rPr>
            </w:pPr>
            <w:r>
              <w:rPr>
                <w:w w:val="105"/>
                <w:sz w:val="11"/>
              </w:rPr>
              <w:t>Revolving Cash</w:t>
            </w:r>
          </w:p>
        </w:tc>
        <w:tc>
          <w:tcPr>
            <w:tcW w:w="400" w:type="dxa"/>
          </w:tcPr>
          <w:p>
            <w:pPr>
              <w:pStyle w:val="TableParagraph"/>
              <w:spacing w:line="110" w:lineRule="exact" w:before="14"/>
              <w:ind w:left="28"/>
              <w:rPr>
                <w:sz w:val="11"/>
              </w:rPr>
            </w:pPr>
            <w:r>
              <w:rPr>
                <w:w w:val="105"/>
                <w:sz w:val="11"/>
              </w:rPr>
              <w:t>9711</w:t>
            </w:r>
          </w:p>
        </w:tc>
        <w:tc>
          <w:tcPr>
            <w:tcW w:w="1208" w:type="dxa"/>
          </w:tcPr>
          <w:p>
            <w:pPr>
              <w:pStyle w:val="TableParagraph"/>
              <w:spacing w:line="110" w:lineRule="exact" w:before="14"/>
              <w:ind w:right="55"/>
              <w:jc w:val="right"/>
              <w:rPr>
                <w:sz w:val="11"/>
              </w:rPr>
            </w:pPr>
            <w:r>
              <w:rPr>
                <w:sz w:val="11"/>
              </w:rPr>
              <w:t>100.00</w:t>
            </w:r>
          </w:p>
        </w:tc>
        <w:tc>
          <w:tcPr>
            <w:tcW w:w="1109" w:type="dxa"/>
            <w:shd w:val="clear" w:color="auto" w:fill="DFDFDF"/>
          </w:tcPr>
          <w:p>
            <w:pPr>
              <w:pStyle w:val="TableParagraph"/>
              <w:spacing w:line="110" w:lineRule="exact" w:before="14"/>
              <w:ind w:right="55"/>
              <w:jc w:val="right"/>
              <w:rPr>
                <w:sz w:val="11"/>
              </w:rPr>
            </w:pPr>
            <w:r>
              <w:rPr>
                <w:sz w:val="11"/>
              </w:rPr>
              <w:t>0.00</w:t>
            </w:r>
          </w:p>
        </w:tc>
        <w:tc>
          <w:tcPr>
            <w:tcW w:w="1088" w:type="dxa"/>
          </w:tcPr>
          <w:p>
            <w:pPr>
              <w:pStyle w:val="TableParagraph"/>
              <w:spacing w:line="110" w:lineRule="exact" w:before="14"/>
              <w:ind w:right="34"/>
              <w:jc w:val="right"/>
              <w:rPr>
                <w:sz w:val="11"/>
              </w:rPr>
            </w:pPr>
            <w:r>
              <w:rPr>
                <w:sz w:val="11"/>
              </w:rPr>
              <w:t>100.00</w:t>
            </w:r>
          </w:p>
        </w:tc>
        <w:tc>
          <w:tcPr>
            <w:tcW w:w="1131" w:type="dxa"/>
          </w:tcPr>
          <w:p>
            <w:pPr>
              <w:pStyle w:val="TableParagraph"/>
              <w:spacing w:line="110" w:lineRule="exact" w:before="14"/>
              <w:ind w:right="56"/>
              <w:jc w:val="right"/>
              <w:rPr>
                <w:sz w:val="11"/>
              </w:rPr>
            </w:pPr>
            <w:r>
              <w:rPr>
                <w:sz w:val="11"/>
              </w:rPr>
              <w:t>0.00</w:t>
            </w:r>
          </w:p>
        </w:tc>
        <w:tc>
          <w:tcPr>
            <w:tcW w:w="1110" w:type="dxa"/>
            <w:shd w:val="clear" w:color="auto" w:fill="DFDFDF"/>
          </w:tcPr>
          <w:p>
            <w:pPr>
              <w:pStyle w:val="TableParagraph"/>
              <w:spacing w:line="110" w:lineRule="exact" w:before="14"/>
              <w:ind w:right="58"/>
              <w:jc w:val="right"/>
              <w:rPr>
                <w:sz w:val="11"/>
              </w:rPr>
            </w:pPr>
            <w:r>
              <w:rPr>
                <w:sz w:val="11"/>
              </w:rPr>
              <w:t>0.00</w:t>
            </w:r>
          </w:p>
        </w:tc>
        <w:tc>
          <w:tcPr>
            <w:tcW w:w="1110" w:type="dxa"/>
          </w:tcPr>
          <w:p>
            <w:pPr>
              <w:pStyle w:val="TableParagraph"/>
              <w:spacing w:line="110" w:lineRule="exact" w:before="14"/>
              <w:ind w:right="59"/>
              <w:jc w:val="right"/>
              <w:rPr>
                <w:sz w:val="11"/>
              </w:rPr>
            </w:pPr>
            <w:r>
              <w:rPr>
                <w:sz w:val="11"/>
              </w:rPr>
              <w:t>0.00</w:t>
            </w:r>
          </w:p>
        </w:tc>
        <w:tc>
          <w:tcPr>
            <w:tcW w:w="626" w:type="dxa"/>
          </w:tcPr>
          <w:p>
            <w:pPr>
              <w:pStyle w:val="TableParagraph"/>
              <w:spacing w:line="110" w:lineRule="exact" w:before="14"/>
              <w:ind w:right="42"/>
              <w:jc w:val="right"/>
              <w:rPr>
                <w:sz w:val="11"/>
              </w:rPr>
            </w:pPr>
            <w:r>
              <w:rPr>
                <w:sz w:val="11"/>
              </w:rPr>
              <w:t>-100.0%</w:t>
            </w:r>
          </w:p>
        </w:tc>
      </w:tr>
      <w:tr>
        <w:trPr>
          <w:trHeight w:val="235" w:hRule="atLeast"/>
        </w:trPr>
        <w:tc>
          <w:tcPr>
            <w:tcW w:w="3708" w:type="dxa"/>
            <w:gridSpan w:val="2"/>
          </w:tcPr>
          <w:p>
            <w:pPr>
              <w:pStyle w:val="TableParagraph"/>
              <w:spacing w:before="4"/>
              <w:rPr>
                <w:sz w:val="9"/>
              </w:rPr>
            </w:pPr>
          </w:p>
          <w:p>
            <w:pPr>
              <w:pStyle w:val="TableParagraph"/>
              <w:spacing w:line="108" w:lineRule="exact"/>
              <w:ind w:left="278"/>
              <w:rPr>
                <w:sz w:val="11"/>
              </w:rPr>
            </w:pPr>
            <w:r>
              <w:rPr>
                <w:w w:val="105"/>
                <w:sz w:val="11"/>
              </w:rPr>
              <w:t>Stores</w:t>
            </w:r>
          </w:p>
        </w:tc>
        <w:tc>
          <w:tcPr>
            <w:tcW w:w="400" w:type="dxa"/>
          </w:tcPr>
          <w:p>
            <w:pPr>
              <w:pStyle w:val="TableParagraph"/>
              <w:spacing w:before="4"/>
              <w:rPr>
                <w:sz w:val="9"/>
              </w:rPr>
            </w:pPr>
          </w:p>
          <w:p>
            <w:pPr>
              <w:pStyle w:val="TableParagraph"/>
              <w:spacing w:line="108" w:lineRule="exact"/>
              <w:ind w:left="28"/>
              <w:rPr>
                <w:sz w:val="11"/>
              </w:rPr>
            </w:pPr>
            <w:r>
              <w:rPr>
                <w:w w:val="105"/>
                <w:sz w:val="11"/>
              </w:rPr>
              <w:t>9712</w:t>
            </w:r>
          </w:p>
        </w:tc>
        <w:tc>
          <w:tcPr>
            <w:tcW w:w="1208" w:type="dxa"/>
          </w:tcPr>
          <w:p>
            <w:pPr>
              <w:pStyle w:val="TableParagraph"/>
              <w:spacing w:before="4"/>
              <w:rPr>
                <w:sz w:val="9"/>
              </w:rPr>
            </w:pPr>
          </w:p>
          <w:p>
            <w:pPr>
              <w:pStyle w:val="TableParagraph"/>
              <w:spacing w:line="108" w:lineRule="exact"/>
              <w:ind w:right="55"/>
              <w:jc w:val="right"/>
              <w:rPr>
                <w:sz w:val="11"/>
              </w:rPr>
            </w:pPr>
            <w:r>
              <w:rPr>
                <w:sz w:val="11"/>
              </w:rPr>
              <w:t>0.00</w:t>
            </w:r>
          </w:p>
        </w:tc>
        <w:tc>
          <w:tcPr>
            <w:tcW w:w="1109" w:type="dxa"/>
          </w:tcPr>
          <w:p>
            <w:pPr>
              <w:pStyle w:val="TableParagraph"/>
              <w:spacing w:before="4"/>
              <w:rPr>
                <w:sz w:val="9"/>
              </w:rPr>
            </w:pPr>
          </w:p>
          <w:p>
            <w:pPr>
              <w:pStyle w:val="TableParagraph"/>
              <w:spacing w:line="108" w:lineRule="exact"/>
              <w:ind w:right="55"/>
              <w:jc w:val="right"/>
              <w:rPr>
                <w:sz w:val="11"/>
              </w:rPr>
            </w:pPr>
            <w:r>
              <w:rPr>
                <w:sz w:val="11"/>
              </w:rPr>
              <w:t>0.00</w:t>
            </w:r>
          </w:p>
        </w:tc>
        <w:tc>
          <w:tcPr>
            <w:tcW w:w="1088" w:type="dxa"/>
          </w:tcPr>
          <w:p>
            <w:pPr>
              <w:pStyle w:val="TableParagraph"/>
              <w:spacing w:before="4"/>
              <w:rPr>
                <w:sz w:val="9"/>
              </w:rPr>
            </w:pPr>
          </w:p>
          <w:p>
            <w:pPr>
              <w:pStyle w:val="TableParagraph"/>
              <w:spacing w:line="108" w:lineRule="exact"/>
              <w:ind w:right="34"/>
              <w:jc w:val="right"/>
              <w:rPr>
                <w:sz w:val="11"/>
              </w:rPr>
            </w:pPr>
            <w:r>
              <w:rPr>
                <w:sz w:val="11"/>
              </w:rPr>
              <w:t>0.00</w:t>
            </w:r>
          </w:p>
        </w:tc>
        <w:tc>
          <w:tcPr>
            <w:tcW w:w="1131" w:type="dxa"/>
          </w:tcPr>
          <w:p>
            <w:pPr>
              <w:pStyle w:val="TableParagraph"/>
              <w:spacing w:before="4"/>
              <w:rPr>
                <w:sz w:val="9"/>
              </w:rPr>
            </w:pPr>
          </w:p>
          <w:p>
            <w:pPr>
              <w:pStyle w:val="TableParagraph"/>
              <w:spacing w:line="108" w:lineRule="exact"/>
              <w:ind w:right="56"/>
              <w:jc w:val="right"/>
              <w:rPr>
                <w:sz w:val="11"/>
              </w:rPr>
            </w:pPr>
            <w:r>
              <w:rPr>
                <w:sz w:val="11"/>
              </w:rPr>
              <w:t>0.00</w:t>
            </w:r>
          </w:p>
        </w:tc>
        <w:tc>
          <w:tcPr>
            <w:tcW w:w="1110" w:type="dxa"/>
          </w:tcPr>
          <w:p>
            <w:pPr>
              <w:pStyle w:val="TableParagraph"/>
              <w:spacing w:before="4"/>
              <w:rPr>
                <w:sz w:val="9"/>
              </w:rPr>
            </w:pPr>
          </w:p>
          <w:p>
            <w:pPr>
              <w:pStyle w:val="TableParagraph"/>
              <w:spacing w:line="108" w:lineRule="exact"/>
              <w:ind w:right="58"/>
              <w:jc w:val="right"/>
              <w:rPr>
                <w:sz w:val="11"/>
              </w:rPr>
            </w:pPr>
            <w:r>
              <w:rPr>
                <w:sz w:val="11"/>
              </w:rPr>
              <w:t>0.00</w:t>
            </w:r>
          </w:p>
        </w:tc>
        <w:tc>
          <w:tcPr>
            <w:tcW w:w="1110" w:type="dxa"/>
          </w:tcPr>
          <w:p>
            <w:pPr>
              <w:pStyle w:val="TableParagraph"/>
              <w:spacing w:before="4"/>
              <w:rPr>
                <w:sz w:val="9"/>
              </w:rPr>
            </w:pPr>
          </w:p>
          <w:p>
            <w:pPr>
              <w:pStyle w:val="TableParagraph"/>
              <w:spacing w:line="108" w:lineRule="exact"/>
              <w:ind w:right="59"/>
              <w:jc w:val="right"/>
              <w:rPr>
                <w:sz w:val="11"/>
              </w:rPr>
            </w:pPr>
            <w:r>
              <w:rPr>
                <w:sz w:val="11"/>
              </w:rPr>
              <w:t>0.00</w:t>
            </w:r>
          </w:p>
        </w:tc>
        <w:tc>
          <w:tcPr>
            <w:tcW w:w="626" w:type="dxa"/>
          </w:tcPr>
          <w:p>
            <w:pPr>
              <w:pStyle w:val="TableParagraph"/>
              <w:spacing w:before="4"/>
              <w:rPr>
                <w:sz w:val="9"/>
              </w:rPr>
            </w:pPr>
          </w:p>
          <w:p>
            <w:pPr>
              <w:pStyle w:val="TableParagraph"/>
              <w:spacing w:line="108" w:lineRule="exact"/>
              <w:ind w:right="42"/>
              <w:jc w:val="right"/>
              <w:rPr>
                <w:sz w:val="11"/>
              </w:rPr>
            </w:pPr>
            <w:r>
              <w:rPr>
                <w:sz w:val="11"/>
              </w:rPr>
              <w:t>0.0%</w:t>
            </w:r>
          </w:p>
        </w:tc>
      </w:tr>
      <w:tr>
        <w:trPr>
          <w:trHeight w:val="292" w:hRule="atLeast"/>
        </w:trPr>
        <w:tc>
          <w:tcPr>
            <w:tcW w:w="4108" w:type="dxa"/>
            <w:gridSpan w:val="3"/>
          </w:tcPr>
          <w:p>
            <w:pPr>
              <w:pStyle w:val="TableParagraph"/>
              <w:tabs>
                <w:tab w:pos="3993" w:val="right" w:leader="none"/>
              </w:tabs>
              <w:spacing w:before="110"/>
              <w:ind w:left="278"/>
              <w:rPr>
                <w:sz w:val="11"/>
              </w:rPr>
            </w:pPr>
            <w:r>
              <w:rPr>
                <w:w w:val="105"/>
                <w:sz w:val="11"/>
              </w:rPr>
              <w:t>Prepaid Items</w:t>
              <w:tab/>
              <w:t>9713</w:t>
            </w:r>
          </w:p>
        </w:tc>
        <w:tc>
          <w:tcPr>
            <w:tcW w:w="1208" w:type="dxa"/>
          </w:tcPr>
          <w:p>
            <w:pPr>
              <w:pStyle w:val="TableParagraph"/>
              <w:spacing w:before="6"/>
              <w:rPr>
                <w:sz w:val="9"/>
              </w:rPr>
            </w:pPr>
          </w:p>
          <w:p>
            <w:pPr>
              <w:pStyle w:val="TableParagraph"/>
              <w:ind w:right="55"/>
              <w:jc w:val="right"/>
              <w:rPr>
                <w:sz w:val="11"/>
              </w:rPr>
            </w:pPr>
            <w:r>
              <w:rPr>
                <w:sz w:val="11"/>
              </w:rPr>
              <w:t>0.00</w:t>
            </w:r>
          </w:p>
        </w:tc>
        <w:tc>
          <w:tcPr>
            <w:tcW w:w="1109" w:type="dxa"/>
          </w:tcPr>
          <w:p>
            <w:pPr>
              <w:pStyle w:val="TableParagraph"/>
              <w:spacing w:before="6"/>
              <w:rPr>
                <w:sz w:val="9"/>
              </w:rPr>
            </w:pPr>
          </w:p>
          <w:p>
            <w:pPr>
              <w:pStyle w:val="TableParagraph"/>
              <w:ind w:right="55"/>
              <w:jc w:val="right"/>
              <w:rPr>
                <w:sz w:val="11"/>
              </w:rPr>
            </w:pPr>
            <w:r>
              <w:rPr>
                <w:sz w:val="11"/>
              </w:rPr>
              <w:t>0.00</w:t>
            </w:r>
          </w:p>
        </w:tc>
        <w:tc>
          <w:tcPr>
            <w:tcW w:w="1088" w:type="dxa"/>
          </w:tcPr>
          <w:p>
            <w:pPr>
              <w:pStyle w:val="TableParagraph"/>
              <w:spacing w:before="6"/>
              <w:rPr>
                <w:sz w:val="9"/>
              </w:rPr>
            </w:pPr>
          </w:p>
          <w:p>
            <w:pPr>
              <w:pStyle w:val="TableParagraph"/>
              <w:ind w:right="34"/>
              <w:jc w:val="right"/>
              <w:rPr>
                <w:sz w:val="11"/>
              </w:rPr>
            </w:pPr>
            <w:r>
              <w:rPr>
                <w:sz w:val="11"/>
              </w:rPr>
              <w:t>0.00</w:t>
            </w:r>
          </w:p>
        </w:tc>
        <w:tc>
          <w:tcPr>
            <w:tcW w:w="1131" w:type="dxa"/>
          </w:tcPr>
          <w:p>
            <w:pPr>
              <w:pStyle w:val="TableParagraph"/>
              <w:spacing w:before="6"/>
              <w:rPr>
                <w:sz w:val="9"/>
              </w:rPr>
            </w:pPr>
          </w:p>
          <w:p>
            <w:pPr>
              <w:pStyle w:val="TableParagraph"/>
              <w:ind w:right="56"/>
              <w:jc w:val="right"/>
              <w:rPr>
                <w:sz w:val="11"/>
              </w:rPr>
            </w:pPr>
            <w:r>
              <w:rPr>
                <w:sz w:val="11"/>
              </w:rPr>
              <w:t>0.00</w:t>
            </w:r>
          </w:p>
        </w:tc>
        <w:tc>
          <w:tcPr>
            <w:tcW w:w="1110" w:type="dxa"/>
          </w:tcPr>
          <w:p>
            <w:pPr>
              <w:pStyle w:val="TableParagraph"/>
              <w:spacing w:before="6"/>
              <w:rPr>
                <w:sz w:val="9"/>
              </w:rPr>
            </w:pPr>
          </w:p>
          <w:p>
            <w:pPr>
              <w:pStyle w:val="TableParagraph"/>
              <w:ind w:right="58"/>
              <w:jc w:val="right"/>
              <w:rPr>
                <w:sz w:val="11"/>
              </w:rPr>
            </w:pPr>
            <w:r>
              <w:rPr>
                <w:sz w:val="11"/>
              </w:rPr>
              <w:t>0.00</w:t>
            </w:r>
          </w:p>
        </w:tc>
        <w:tc>
          <w:tcPr>
            <w:tcW w:w="1110" w:type="dxa"/>
          </w:tcPr>
          <w:p>
            <w:pPr>
              <w:pStyle w:val="TableParagraph"/>
              <w:spacing w:before="6"/>
              <w:rPr>
                <w:sz w:val="9"/>
              </w:rPr>
            </w:pPr>
          </w:p>
          <w:p>
            <w:pPr>
              <w:pStyle w:val="TableParagraph"/>
              <w:ind w:right="59"/>
              <w:jc w:val="right"/>
              <w:rPr>
                <w:sz w:val="11"/>
              </w:rPr>
            </w:pPr>
            <w:r>
              <w:rPr>
                <w:sz w:val="11"/>
              </w:rPr>
              <w:t>0.00</w:t>
            </w:r>
          </w:p>
        </w:tc>
        <w:tc>
          <w:tcPr>
            <w:tcW w:w="626" w:type="dxa"/>
          </w:tcPr>
          <w:p>
            <w:pPr>
              <w:pStyle w:val="TableParagraph"/>
              <w:spacing w:before="6"/>
              <w:rPr>
                <w:sz w:val="9"/>
              </w:rPr>
            </w:pPr>
          </w:p>
          <w:p>
            <w:pPr>
              <w:pStyle w:val="TableParagraph"/>
              <w:ind w:right="42"/>
              <w:jc w:val="right"/>
              <w:rPr>
                <w:sz w:val="11"/>
              </w:rPr>
            </w:pPr>
            <w:r>
              <w:rPr>
                <w:sz w:val="11"/>
              </w:rPr>
              <w:t>0.0%</w:t>
            </w:r>
          </w:p>
        </w:tc>
      </w:tr>
      <w:tr>
        <w:trPr>
          <w:trHeight w:val="292" w:hRule="atLeast"/>
        </w:trPr>
        <w:tc>
          <w:tcPr>
            <w:tcW w:w="4108" w:type="dxa"/>
            <w:gridSpan w:val="3"/>
          </w:tcPr>
          <w:p>
            <w:pPr>
              <w:pStyle w:val="TableParagraph"/>
              <w:tabs>
                <w:tab w:pos="3993" w:val="right" w:leader="none"/>
              </w:tabs>
              <w:spacing w:before="55"/>
              <w:ind w:left="278"/>
              <w:rPr>
                <w:sz w:val="11"/>
              </w:rPr>
            </w:pPr>
            <w:r>
              <w:rPr>
                <w:w w:val="105"/>
                <w:sz w:val="11"/>
              </w:rPr>
              <w:t>All</w:t>
            </w:r>
            <w:r>
              <w:rPr>
                <w:spacing w:val="-3"/>
                <w:w w:val="105"/>
                <w:sz w:val="11"/>
              </w:rPr>
              <w:t> </w:t>
            </w:r>
            <w:r>
              <w:rPr>
                <w:w w:val="105"/>
                <w:sz w:val="11"/>
              </w:rPr>
              <w:t>Others</w:t>
              <w:tab/>
              <w:t>9719</w:t>
            </w:r>
          </w:p>
        </w:tc>
        <w:tc>
          <w:tcPr>
            <w:tcW w:w="1208" w:type="dxa"/>
          </w:tcPr>
          <w:p>
            <w:pPr>
              <w:pStyle w:val="TableParagraph"/>
              <w:spacing w:before="55"/>
              <w:ind w:right="55"/>
              <w:jc w:val="right"/>
              <w:rPr>
                <w:sz w:val="11"/>
              </w:rPr>
            </w:pPr>
            <w:r>
              <w:rPr>
                <w:sz w:val="11"/>
              </w:rPr>
              <w:t>0.00</w:t>
            </w:r>
          </w:p>
        </w:tc>
        <w:tc>
          <w:tcPr>
            <w:tcW w:w="1109" w:type="dxa"/>
          </w:tcPr>
          <w:p>
            <w:pPr>
              <w:pStyle w:val="TableParagraph"/>
              <w:spacing w:before="55"/>
              <w:ind w:right="55"/>
              <w:jc w:val="right"/>
              <w:rPr>
                <w:sz w:val="11"/>
              </w:rPr>
            </w:pPr>
            <w:r>
              <w:rPr>
                <w:sz w:val="11"/>
              </w:rPr>
              <w:t>0.00</w:t>
            </w:r>
          </w:p>
        </w:tc>
        <w:tc>
          <w:tcPr>
            <w:tcW w:w="1088" w:type="dxa"/>
          </w:tcPr>
          <w:p>
            <w:pPr>
              <w:pStyle w:val="TableParagraph"/>
              <w:spacing w:before="55"/>
              <w:ind w:right="34"/>
              <w:jc w:val="right"/>
              <w:rPr>
                <w:sz w:val="11"/>
              </w:rPr>
            </w:pPr>
            <w:r>
              <w:rPr>
                <w:sz w:val="11"/>
              </w:rPr>
              <w:t>0.00</w:t>
            </w:r>
          </w:p>
        </w:tc>
        <w:tc>
          <w:tcPr>
            <w:tcW w:w="1131" w:type="dxa"/>
          </w:tcPr>
          <w:p>
            <w:pPr>
              <w:pStyle w:val="TableParagraph"/>
              <w:spacing w:before="55"/>
              <w:ind w:right="56"/>
              <w:jc w:val="right"/>
              <w:rPr>
                <w:sz w:val="11"/>
              </w:rPr>
            </w:pPr>
            <w:r>
              <w:rPr>
                <w:sz w:val="11"/>
              </w:rPr>
              <w:t>0.00</w:t>
            </w:r>
          </w:p>
        </w:tc>
        <w:tc>
          <w:tcPr>
            <w:tcW w:w="1110" w:type="dxa"/>
          </w:tcPr>
          <w:p>
            <w:pPr>
              <w:pStyle w:val="TableParagraph"/>
              <w:spacing w:before="55"/>
              <w:ind w:right="58"/>
              <w:jc w:val="right"/>
              <w:rPr>
                <w:sz w:val="11"/>
              </w:rPr>
            </w:pPr>
            <w:r>
              <w:rPr>
                <w:sz w:val="11"/>
              </w:rPr>
              <w:t>0.00</w:t>
            </w:r>
          </w:p>
        </w:tc>
        <w:tc>
          <w:tcPr>
            <w:tcW w:w="1110" w:type="dxa"/>
          </w:tcPr>
          <w:p>
            <w:pPr>
              <w:pStyle w:val="TableParagraph"/>
              <w:spacing w:before="55"/>
              <w:ind w:right="59"/>
              <w:jc w:val="right"/>
              <w:rPr>
                <w:sz w:val="11"/>
              </w:rPr>
            </w:pPr>
            <w:r>
              <w:rPr>
                <w:sz w:val="11"/>
              </w:rPr>
              <w:t>0.00</w:t>
            </w:r>
          </w:p>
        </w:tc>
        <w:tc>
          <w:tcPr>
            <w:tcW w:w="626" w:type="dxa"/>
          </w:tcPr>
          <w:p>
            <w:pPr>
              <w:pStyle w:val="TableParagraph"/>
              <w:spacing w:before="55"/>
              <w:ind w:right="42"/>
              <w:jc w:val="right"/>
              <w:rPr>
                <w:sz w:val="11"/>
              </w:rPr>
            </w:pPr>
            <w:r>
              <w:rPr>
                <w:sz w:val="11"/>
              </w:rPr>
              <w:t>0.0%</w:t>
            </w:r>
          </w:p>
        </w:tc>
      </w:tr>
      <w:tr>
        <w:trPr>
          <w:trHeight w:val="237" w:hRule="atLeast"/>
        </w:trPr>
        <w:tc>
          <w:tcPr>
            <w:tcW w:w="4108" w:type="dxa"/>
            <w:gridSpan w:val="3"/>
          </w:tcPr>
          <w:p>
            <w:pPr>
              <w:pStyle w:val="TableParagraph"/>
              <w:tabs>
                <w:tab w:pos="3993" w:val="right" w:leader="none"/>
              </w:tabs>
              <w:spacing w:before="1"/>
              <w:ind w:left="152"/>
              <w:rPr>
                <w:sz w:val="11"/>
              </w:rPr>
            </w:pPr>
            <w:r>
              <w:rPr>
                <w:w w:val="105"/>
                <w:sz w:val="11"/>
              </w:rPr>
              <w:t>b)</w:t>
            </w:r>
            <w:r>
              <w:rPr>
                <w:spacing w:val="-2"/>
                <w:w w:val="105"/>
                <w:sz w:val="11"/>
              </w:rPr>
              <w:t> </w:t>
            </w:r>
            <w:r>
              <w:rPr>
                <w:w w:val="105"/>
                <w:sz w:val="11"/>
              </w:rPr>
              <w:t>Restricted</w:t>
              <w:tab/>
              <w:t>9740</w:t>
            </w:r>
          </w:p>
        </w:tc>
        <w:tc>
          <w:tcPr>
            <w:tcW w:w="1208" w:type="dxa"/>
          </w:tcPr>
          <w:p>
            <w:pPr>
              <w:pStyle w:val="TableParagraph"/>
              <w:spacing w:before="1"/>
              <w:ind w:right="55"/>
              <w:jc w:val="right"/>
              <w:rPr>
                <w:sz w:val="11"/>
              </w:rPr>
            </w:pPr>
            <w:r>
              <w:rPr>
                <w:sz w:val="11"/>
              </w:rPr>
              <w:t>0.00</w:t>
            </w:r>
          </w:p>
        </w:tc>
        <w:tc>
          <w:tcPr>
            <w:tcW w:w="1109" w:type="dxa"/>
          </w:tcPr>
          <w:p>
            <w:pPr>
              <w:pStyle w:val="TableParagraph"/>
              <w:spacing w:before="1"/>
              <w:ind w:right="55"/>
              <w:jc w:val="right"/>
              <w:rPr>
                <w:sz w:val="11"/>
              </w:rPr>
            </w:pPr>
            <w:r>
              <w:rPr>
                <w:sz w:val="11"/>
              </w:rPr>
              <w:t>120,976.00</w:t>
            </w:r>
          </w:p>
        </w:tc>
        <w:tc>
          <w:tcPr>
            <w:tcW w:w="1088" w:type="dxa"/>
          </w:tcPr>
          <w:p>
            <w:pPr>
              <w:pStyle w:val="TableParagraph"/>
              <w:spacing w:before="1"/>
              <w:ind w:right="35"/>
              <w:jc w:val="right"/>
              <w:rPr>
                <w:sz w:val="11"/>
              </w:rPr>
            </w:pPr>
            <w:r>
              <w:rPr>
                <w:sz w:val="11"/>
              </w:rPr>
              <w:t>120,976.00</w:t>
            </w:r>
          </w:p>
        </w:tc>
        <w:tc>
          <w:tcPr>
            <w:tcW w:w="1131" w:type="dxa"/>
          </w:tcPr>
          <w:p>
            <w:pPr>
              <w:pStyle w:val="TableParagraph"/>
              <w:spacing w:before="1"/>
              <w:ind w:right="56"/>
              <w:jc w:val="right"/>
              <w:rPr>
                <w:sz w:val="11"/>
              </w:rPr>
            </w:pPr>
            <w:r>
              <w:rPr>
                <w:sz w:val="11"/>
              </w:rPr>
              <w:t>0.00</w:t>
            </w:r>
          </w:p>
        </w:tc>
        <w:tc>
          <w:tcPr>
            <w:tcW w:w="1110" w:type="dxa"/>
          </w:tcPr>
          <w:p>
            <w:pPr>
              <w:pStyle w:val="TableParagraph"/>
              <w:spacing w:before="1"/>
              <w:ind w:right="58"/>
              <w:jc w:val="right"/>
              <w:rPr>
                <w:sz w:val="11"/>
              </w:rPr>
            </w:pPr>
            <w:r>
              <w:rPr>
                <w:sz w:val="11"/>
              </w:rPr>
              <w:t>25,290.00</w:t>
            </w:r>
          </w:p>
        </w:tc>
        <w:tc>
          <w:tcPr>
            <w:tcW w:w="1110" w:type="dxa"/>
          </w:tcPr>
          <w:p>
            <w:pPr>
              <w:pStyle w:val="TableParagraph"/>
              <w:spacing w:before="1"/>
              <w:ind w:right="59"/>
              <w:jc w:val="right"/>
              <w:rPr>
                <w:sz w:val="11"/>
              </w:rPr>
            </w:pPr>
            <w:r>
              <w:rPr>
                <w:sz w:val="11"/>
              </w:rPr>
              <w:t>25,290.00</w:t>
            </w:r>
          </w:p>
        </w:tc>
        <w:tc>
          <w:tcPr>
            <w:tcW w:w="626" w:type="dxa"/>
          </w:tcPr>
          <w:p>
            <w:pPr>
              <w:pStyle w:val="TableParagraph"/>
              <w:spacing w:before="1"/>
              <w:ind w:right="40"/>
              <w:jc w:val="right"/>
              <w:rPr>
                <w:sz w:val="11"/>
              </w:rPr>
            </w:pPr>
            <w:r>
              <w:rPr>
                <w:sz w:val="11"/>
              </w:rPr>
              <w:t>-79.1%</w:t>
            </w:r>
          </w:p>
        </w:tc>
      </w:tr>
      <w:tr>
        <w:trPr>
          <w:trHeight w:val="331" w:hRule="atLeast"/>
        </w:trPr>
        <w:tc>
          <w:tcPr>
            <w:tcW w:w="3708" w:type="dxa"/>
            <w:gridSpan w:val="2"/>
          </w:tcPr>
          <w:p>
            <w:pPr>
              <w:pStyle w:val="TableParagraph"/>
              <w:spacing w:before="1"/>
              <w:ind w:left="152"/>
              <w:rPr>
                <w:sz w:val="11"/>
              </w:rPr>
            </w:pPr>
            <w:r>
              <w:rPr>
                <w:w w:val="105"/>
                <w:sz w:val="11"/>
              </w:rPr>
              <w:t>c) Committed</w:t>
            </w:r>
          </w:p>
          <w:p>
            <w:pPr>
              <w:pStyle w:val="TableParagraph"/>
              <w:spacing w:before="22"/>
              <w:ind w:left="278"/>
              <w:rPr>
                <w:sz w:val="11"/>
              </w:rPr>
            </w:pPr>
            <w:r>
              <w:rPr>
                <w:w w:val="105"/>
                <w:sz w:val="11"/>
              </w:rPr>
              <w:t>Stabilization Arrangements</w:t>
            </w:r>
          </w:p>
        </w:tc>
        <w:tc>
          <w:tcPr>
            <w:tcW w:w="400" w:type="dxa"/>
          </w:tcPr>
          <w:p>
            <w:pPr>
              <w:pStyle w:val="TableParagraph"/>
              <w:rPr>
                <w:sz w:val="13"/>
              </w:rPr>
            </w:pPr>
          </w:p>
          <w:p>
            <w:pPr>
              <w:pStyle w:val="TableParagraph"/>
              <w:ind w:left="28"/>
              <w:rPr>
                <w:sz w:val="11"/>
              </w:rPr>
            </w:pPr>
            <w:r>
              <w:rPr>
                <w:w w:val="105"/>
                <w:sz w:val="11"/>
              </w:rPr>
              <w:t>9750</w:t>
            </w:r>
          </w:p>
        </w:tc>
        <w:tc>
          <w:tcPr>
            <w:tcW w:w="1208" w:type="dxa"/>
          </w:tcPr>
          <w:p>
            <w:pPr>
              <w:pStyle w:val="TableParagraph"/>
              <w:rPr>
                <w:sz w:val="13"/>
              </w:rPr>
            </w:pPr>
          </w:p>
          <w:p>
            <w:pPr>
              <w:pStyle w:val="TableParagraph"/>
              <w:ind w:right="55"/>
              <w:jc w:val="right"/>
              <w:rPr>
                <w:sz w:val="11"/>
              </w:rPr>
            </w:pPr>
            <w:r>
              <w:rPr>
                <w:sz w:val="11"/>
              </w:rPr>
              <w:t>0.00</w:t>
            </w:r>
          </w:p>
        </w:tc>
        <w:tc>
          <w:tcPr>
            <w:tcW w:w="1109" w:type="dxa"/>
            <w:shd w:val="clear" w:color="auto" w:fill="DFDFDF"/>
          </w:tcPr>
          <w:p>
            <w:pPr>
              <w:pStyle w:val="TableParagraph"/>
              <w:rPr>
                <w:sz w:val="13"/>
              </w:rPr>
            </w:pPr>
          </w:p>
          <w:p>
            <w:pPr>
              <w:pStyle w:val="TableParagraph"/>
              <w:ind w:right="55"/>
              <w:jc w:val="right"/>
              <w:rPr>
                <w:sz w:val="11"/>
              </w:rPr>
            </w:pPr>
            <w:r>
              <w:rPr>
                <w:sz w:val="11"/>
              </w:rPr>
              <w:t>0.00</w:t>
            </w:r>
          </w:p>
        </w:tc>
        <w:tc>
          <w:tcPr>
            <w:tcW w:w="1088" w:type="dxa"/>
          </w:tcPr>
          <w:p>
            <w:pPr>
              <w:pStyle w:val="TableParagraph"/>
              <w:rPr>
                <w:sz w:val="13"/>
              </w:rPr>
            </w:pPr>
          </w:p>
          <w:p>
            <w:pPr>
              <w:pStyle w:val="TableParagraph"/>
              <w:ind w:right="34"/>
              <w:jc w:val="right"/>
              <w:rPr>
                <w:sz w:val="11"/>
              </w:rPr>
            </w:pPr>
            <w:r>
              <w:rPr>
                <w:sz w:val="11"/>
              </w:rPr>
              <w:t>0.00</w:t>
            </w:r>
          </w:p>
        </w:tc>
        <w:tc>
          <w:tcPr>
            <w:tcW w:w="1131" w:type="dxa"/>
          </w:tcPr>
          <w:p>
            <w:pPr>
              <w:pStyle w:val="TableParagraph"/>
              <w:rPr>
                <w:sz w:val="13"/>
              </w:rPr>
            </w:pPr>
          </w:p>
          <w:p>
            <w:pPr>
              <w:pStyle w:val="TableParagraph"/>
              <w:ind w:right="56"/>
              <w:jc w:val="right"/>
              <w:rPr>
                <w:sz w:val="11"/>
              </w:rPr>
            </w:pPr>
            <w:r>
              <w:rPr>
                <w:sz w:val="11"/>
              </w:rPr>
              <w:t>0.00</w:t>
            </w:r>
          </w:p>
        </w:tc>
        <w:tc>
          <w:tcPr>
            <w:tcW w:w="1110" w:type="dxa"/>
            <w:shd w:val="clear" w:color="auto" w:fill="DFDFDF"/>
          </w:tcPr>
          <w:p>
            <w:pPr>
              <w:pStyle w:val="TableParagraph"/>
              <w:rPr>
                <w:sz w:val="13"/>
              </w:rPr>
            </w:pPr>
          </w:p>
          <w:p>
            <w:pPr>
              <w:pStyle w:val="TableParagraph"/>
              <w:ind w:right="58"/>
              <w:jc w:val="right"/>
              <w:rPr>
                <w:sz w:val="11"/>
              </w:rPr>
            </w:pPr>
            <w:r>
              <w:rPr>
                <w:sz w:val="11"/>
              </w:rPr>
              <w:t>0.00</w:t>
            </w:r>
          </w:p>
        </w:tc>
        <w:tc>
          <w:tcPr>
            <w:tcW w:w="1110" w:type="dxa"/>
          </w:tcPr>
          <w:p>
            <w:pPr>
              <w:pStyle w:val="TableParagraph"/>
              <w:rPr>
                <w:sz w:val="13"/>
              </w:rPr>
            </w:pPr>
          </w:p>
          <w:p>
            <w:pPr>
              <w:pStyle w:val="TableParagraph"/>
              <w:ind w:right="59"/>
              <w:jc w:val="right"/>
              <w:rPr>
                <w:sz w:val="11"/>
              </w:rPr>
            </w:pPr>
            <w:r>
              <w:rPr>
                <w:sz w:val="11"/>
              </w:rPr>
              <w:t>0.00</w:t>
            </w:r>
          </w:p>
        </w:tc>
        <w:tc>
          <w:tcPr>
            <w:tcW w:w="626" w:type="dxa"/>
          </w:tcPr>
          <w:p>
            <w:pPr>
              <w:pStyle w:val="TableParagraph"/>
              <w:rPr>
                <w:sz w:val="13"/>
              </w:rPr>
            </w:pPr>
          </w:p>
          <w:p>
            <w:pPr>
              <w:pStyle w:val="TableParagraph"/>
              <w:ind w:right="42"/>
              <w:jc w:val="right"/>
              <w:rPr>
                <w:sz w:val="11"/>
              </w:rPr>
            </w:pPr>
            <w:r>
              <w:rPr>
                <w:sz w:val="11"/>
              </w:rPr>
              <w:t>0.0%</w:t>
            </w:r>
          </w:p>
        </w:tc>
      </w:tr>
      <w:tr>
        <w:trPr>
          <w:trHeight w:val="237" w:hRule="atLeast"/>
        </w:trPr>
        <w:tc>
          <w:tcPr>
            <w:tcW w:w="3708" w:type="dxa"/>
            <w:gridSpan w:val="2"/>
          </w:tcPr>
          <w:p>
            <w:pPr>
              <w:pStyle w:val="TableParagraph"/>
              <w:spacing w:before="55"/>
              <w:ind w:left="278"/>
              <w:rPr>
                <w:sz w:val="11"/>
              </w:rPr>
            </w:pPr>
            <w:r>
              <w:rPr>
                <w:w w:val="105"/>
                <w:sz w:val="11"/>
              </w:rPr>
              <w:t>Other Commitments (by Resource/Object)</w:t>
            </w:r>
          </w:p>
        </w:tc>
        <w:tc>
          <w:tcPr>
            <w:tcW w:w="400" w:type="dxa"/>
          </w:tcPr>
          <w:p>
            <w:pPr>
              <w:pStyle w:val="TableParagraph"/>
              <w:spacing w:before="55"/>
              <w:ind w:left="28"/>
              <w:rPr>
                <w:sz w:val="11"/>
              </w:rPr>
            </w:pPr>
            <w:r>
              <w:rPr>
                <w:w w:val="105"/>
                <w:sz w:val="11"/>
              </w:rPr>
              <w:t>9760</w:t>
            </w:r>
          </w:p>
        </w:tc>
        <w:tc>
          <w:tcPr>
            <w:tcW w:w="1208" w:type="dxa"/>
          </w:tcPr>
          <w:p>
            <w:pPr>
              <w:pStyle w:val="TableParagraph"/>
              <w:spacing w:before="55"/>
              <w:ind w:right="55"/>
              <w:jc w:val="right"/>
              <w:rPr>
                <w:sz w:val="11"/>
              </w:rPr>
            </w:pPr>
            <w:r>
              <w:rPr>
                <w:sz w:val="11"/>
              </w:rPr>
              <w:t>0.00</w:t>
            </w:r>
          </w:p>
        </w:tc>
        <w:tc>
          <w:tcPr>
            <w:tcW w:w="1109" w:type="dxa"/>
            <w:shd w:val="clear" w:color="auto" w:fill="DFDFDF"/>
          </w:tcPr>
          <w:p>
            <w:pPr>
              <w:pStyle w:val="TableParagraph"/>
              <w:spacing w:before="55"/>
              <w:ind w:right="55"/>
              <w:jc w:val="right"/>
              <w:rPr>
                <w:sz w:val="11"/>
              </w:rPr>
            </w:pPr>
            <w:r>
              <w:rPr>
                <w:sz w:val="11"/>
              </w:rPr>
              <w:t>0.00</w:t>
            </w:r>
          </w:p>
        </w:tc>
        <w:tc>
          <w:tcPr>
            <w:tcW w:w="1088" w:type="dxa"/>
          </w:tcPr>
          <w:p>
            <w:pPr>
              <w:pStyle w:val="TableParagraph"/>
              <w:spacing w:before="55"/>
              <w:ind w:right="34"/>
              <w:jc w:val="right"/>
              <w:rPr>
                <w:sz w:val="11"/>
              </w:rPr>
            </w:pPr>
            <w:r>
              <w:rPr>
                <w:sz w:val="11"/>
              </w:rPr>
              <w:t>0.00</w:t>
            </w:r>
          </w:p>
        </w:tc>
        <w:tc>
          <w:tcPr>
            <w:tcW w:w="1131" w:type="dxa"/>
          </w:tcPr>
          <w:p>
            <w:pPr>
              <w:pStyle w:val="TableParagraph"/>
              <w:spacing w:before="55"/>
              <w:ind w:right="56"/>
              <w:jc w:val="right"/>
              <w:rPr>
                <w:sz w:val="11"/>
              </w:rPr>
            </w:pPr>
            <w:r>
              <w:rPr>
                <w:sz w:val="11"/>
              </w:rPr>
              <w:t>0.00</w:t>
            </w:r>
          </w:p>
        </w:tc>
        <w:tc>
          <w:tcPr>
            <w:tcW w:w="1110" w:type="dxa"/>
            <w:shd w:val="clear" w:color="auto" w:fill="DFDFDF"/>
          </w:tcPr>
          <w:p>
            <w:pPr>
              <w:pStyle w:val="TableParagraph"/>
              <w:spacing w:before="55"/>
              <w:ind w:right="58"/>
              <w:jc w:val="right"/>
              <w:rPr>
                <w:sz w:val="11"/>
              </w:rPr>
            </w:pPr>
            <w:r>
              <w:rPr>
                <w:sz w:val="11"/>
              </w:rPr>
              <w:t>0.00</w:t>
            </w:r>
          </w:p>
        </w:tc>
        <w:tc>
          <w:tcPr>
            <w:tcW w:w="1110" w:type="dxa"/>
          </w:tcPr>
          <w:p>
            <w:pPr>
              <w:pStyle w:val="TableParagraph"/>
              <w:spacing w:before="55"/>
              <w:ind w:right="59"/>
              <w:jc w:val="right"/>
              <w:rPr>
                <w:sz w:val="11"/>
              </w:rPr>
            </w:pPr>
            <w:r>
              <w:rPr>
                <w:sz w:val="11"/>
              </w:rPr>
              <w:t>0.00</w:t>
            </w:r>
          </w:p>
        </w:tc>
        <w:tc>
          <w:tcPr>
            <w:tcW w:w="626" w:type="dxa"/>
          </w:tcPr>
          <w:p>
            <w:pPr>
              <w:pStyle w:val="TableParagraph"/>
              <w:spacing w:before="55"/>
              <w:ind w:right="42"/>
              <w:jc w:val="right"/>
              <w:rPr>
                <w:sz w:val="11"/>
              </w:rPr>
            </w:pPr>
            <w:r>
              <w:rPr>
                <w:sz w:val="11"/>
              </w:rPr>
              <w:t>0.0%</w:t>
            </w:r>
          </w:p>
        </w:tc>
      </w:tr>
      <w:tr>
        <w:trPr>
          <w:trHeight w:val="292" w:hRule="atLeast"/>
        </w:trPr>
        <w:tc>
          <w:tcPr>
            <w:tcW w:w="4108" w:type="dxa"/>
            <w:gridSpan w:val="3"/>
          </w:tcPr>
          <w:p>
            <w:pPr>
              <w:pStyle w:val="TableParagraph"/>
              <w:spacing w:before="55"/>
              <w:ind w:left="152"/>
              <w:rPr>
                <w:sz w:val="11"/>
              </w:rPr>
            </w:pPr>
            <w:r>
              <w:rPr>
                <w:w w:val="105"/>
                <w:sz w:val="11"/>
              </w:rPr>
              <w:t>d) Assigned</w:t>
            </w:r>
          </w:p>
        </w:tc>
        <w:tc>
          <w:tcPr>
            <w:tcW w:w="1208" w:type="dxa"/>
          </w:tcPr>
          <w:p>
            <w:pPr>
              <w:pStyle w:val="TableParagraph"/>
              <w:rPr>
                <w:rFonts w:ascii="Times New Roman"/>
                <w:sz w:val="10"/>
              </w:rPr>
            </w:pPr>
          </w:p>
        </w:tc>
        <w:tc>
          <w:tcPr>
            <w:tcW w:w="1109" w:type="dxa"/>
            <w:shd w:val="clear" w:color="auto" w:fill="DFDFDF"/>
          </w:tcPr>
          <w:p>
            <w:pPr>
              <w:pStyle w:val="TableParagraph"/>
              <w:rPr>
                <w:rFonts w:ascii="Times New Roman"/>
                <w:sz w:val="10"/>
              </w:rPr>
            </w:pPr>
          </w:p>
        </w:tc>
        <w:tc>
          <w:tcPr>
            <w:tcW w:w="1088" w:type="dxa"/>
          </w:tcPr>
          <w:p>
            <w:pPr>
              <w:pStyle w:val="TableParagraph"/>
              <w:rPr>
                <w:rFonts w:ascii="Times New Roman"/>
                <w:sz w:val="10"/>
              </w:rPr>
            </w:pPr>
          </w:p>
        </w:tc>
        <w:tc>
          <w:tcPr>
            <w:tcW w:w="1131" w:type="dxa"/>
          </w:tcPr>
          <w:p>
            <w:pPr>
              <w:pStyle w:val="TableParagraph"/>
              <w:rPr>
                <w:rFonts w:ascii="Times New Roman"/>
                <w:sz w:val="10"/>
              </w:rPr>
            </w:pPr>
          </w:p>
        </w:tc>
        <w:tc>
          <w:tcPr>
            <w:tcW w:w="1110" w:type="dxa"/>
            <w:shd w:val="clear" w:color="auto" w:fill="DFDFDF"/>
          </w:tcPr>
          <w:p>
            <w:pPr>
              <w:pStyle w:val="TableParagraph"/>
              <w:rPr>
                <w:rFonts w:ascii="Times New Roman"/>
                <w:sz w:val="10"/>
              </w:rPr>
            </w:pPr>
          </w:p>
        </w:tc>
        <w:tc>
          <w:tcPr>
            <w:tcW w:w="1736" w:type="dxa"/>
            <w:gridSpan w:val="2"/>
          </w:tcPr>
          <w:p>
            <w:pPr>
              <w:pStyle w:val="TableParagraph"/>
              <w:rPr>
                <w:rFonts w:ascii="Times New Roman"/>
                <w:sz w:val="10"/>
              </w:rPr>
            </w:pPr>
          </w:p>
        </w:tc>
      </w:tr>
      <w:tr>
        <w:trPr>
          <w:trHeight w:val="130" w:hRule="atLeast"/>
        </w:trPr>
        <w:tc>
          <w:tcPr>
            <w:tcW w:w="2610" w:type="dxa"/>
          </w:tcPr>
          <w:p>
            <w:pPr>
              <w:pStyle w:val="TableParagraph"/>
              <w:spacing w:line="110" w:lineRule="exact" w:before="1"/>
              <w:ind w:left="278"/>
              <w:rPr>
                <w:sz w:val="11"/>
              </w:rPr>
            </w:pPr>
            <w:r>
              <w:rPr>
                <w:w w:val="105"/>
                <w:sz w:val="11"/>
              </w:rPr>
              <w:t>Other Assignments (by Resource/Object)</w:t>
            </w:r>
          </w:p>
        </w:tc>
        <w:tc>
          <w:tcPr>
            <w:tcW w:w="1098" w:type="dxa"/>
          </w:tcPr>
          <w:p>
            <w:pPr>
              <w:pStyle w:val="TableParagraph"/>
              <w:rPr>
                <w:rFonts w:ascii="Times New Roman"/>
                <w:sz w:val="6"/>
              </w:rPr>
            </w:pPr>
          </w:p>
        </w:tc>
        <w:tc>
          <w:tcPr>
            <w:tcW w:w="400" w:type="dxa"/>
          </w:tcPr>
          <w:p>
            <w:pPr>
              <w:pStyle w:val="TableParagraph"/>
              <w:spacing w:line="110" w:lineRule="exact" w:before="1"/>
              <w:ind w:left="28"/>
              <w:rPr>
                <w:sz w:val="11"/>
              </w:rPr>
            </w:pPr>
            <w:r>
              <w:rPr>
                <w:w w:val="105"/>
                <w:sz w:val="11"/>
              </w:rPr>
              <w:t>9780</w:t>
            </w:r>
          </w:p>
        </w:tc>
        <w:tc>
          <w:tcPr>
            <w:tcW w:w="1208" w:type="dxa"/>
          </w:tcPr>
          <w:p>
            <w:pPr>
              <w:pStyle w:val="TableParagraph"/>
              <w:spacing w:line="110" w:lineRule="exact" w:before="1"/>
              <w:ind w:right="55"/>
              <w:jc w:val="right"/>
              <w:rPr>
                <w:sz w:val="11"/>
              </w:rPr>
            </w:pPr>
            <w:r>
              <w:rPr>
                <w:sz w:val="11"/>
              </w:rPr>
              <w:t>1,020,974.00</w:t>
            </w:r>
          </w:p>
        </w:tc>
        <w:tc>
          <w:tcPr>
            <w:tcW w:w="1109" w:type="dxa"/>
            <w:shd w:val="clear" w:color="auto" w:fill="DFDFDF"/>
          </w:tcPr>
          <w:p>
            <w:pPr>
              <w:pStyle w:val="TableParagraph"/>
              <w:spacing w:line="110" w:lineRule="exact" w:before="1"/>
              <w:ind w:right="55"/>
              <w:jc w:val="right"/>
              <w:rPr>
                <w:sz w:val="11"/>
              </w:rPr>
            </w:pPr>
            <w:r>
              <w:rPr>
                <w:sz w:val="11"/>
              </w:rPr>
              <w:t>0.00</w:t>
            </w:r>
          </w:p>
        </w:tc>
        <w:tc>
          <w:tcPr>
            <w:tcW w:w="1088" w:type="dxa"/>
          </w:tcPr>
          <w:p>
            <w:pPr>
              <w:pStyle w:val="TableParagraph"/>
              <w:spacing w:line="110" w:lineRule="exact" w:before="1"/>
              <w:ind w:right="35"/>
              <w:jc w:val="right"/>
              <w:rPr>
                <w:sz w:val="11"/>
              </w:rPr>
            </w:pPr>
            <w:r>
              <w:rPr>
                <w:sz w:val="11"/>
              </w:rPr>
              <w:t>1,020,974.00</w:t>
            </w:r>
          </w:p>
        </w:tc>
        <w:tc>
          <w:tcPr>
            <w:tcW w:w="1131" w:type="dxa"/>
          </w:tcPr>
          <w:p>
            <w:pPr>
              <w:pStyle w:val="TableParagraph"/>
              <w:spacing w:line="110" w:lineRule="exact" w:before="1"/>
              <w:ind w:right="57"/>
              <w:jc w:val="right"/>
              <w:rPr>
                <w:sz w:val="11"/>
              </w:rPr>
            </w:pPr>
            <w:r>
              <w:rPr>
                <w:sz w:val="11"/>
              </w:rPr>
              <w:t>1,020,974.00</w:t>
            </w:r>
          </w:p>
        </w:tc>
        <w:tc>
          <w:tcPr>
            <w:tcW w:w="1110" w:type="dxa"/>
            <w:shd w:val="clear" w:color="auto" w:fill="DFDFDF"/>
          </w:tcPr>
          <w:p>
            <w:pPr>
              <w:pStyle w:val="TableParagraph"/>
              <w:spacing w:line="110" w:lineRule="exact" w:before="1"/>
              <w:ind w:right="58"/>
              <w:jc w:val="right"/>
              <w:rPr>
                <w:sz w:val="11"/>
              </w:rPr>
            </w:pPr>
            <w:r>
              <w:rPr>
                <w:sz w:val="11"/>
              </w:rPr>
              <w:t>0.00</w:t>
            </w:r>
          </w:p>
        </w:tc>
        <w:tc>
          <w:tcPr>
            <w:tcW w:w="1110" w:type="dxa"/>
          </w:tcPr>
          <w:p>
            <w:pPr>
              <w:pStyle w:val="TableParagraph"/>
              <w:spacing w:line="110" w:lineRule="exact" w:before="1"/>
              <w:ind w:right="59"/>
              <w:jc w:val="right"/>
              <w:rPr>
                <w:sz w:val="11"/>
              </w:rPr>
            </w:pPr>
            <w:r>
              <w:rPr>
                <w:sz w:val="11"/>
              </w:rPr>
              <w:t>1,020,974.00</w:t>
            </w:r>
          </w:p>
        </w:tc>
        <w:tc>
          <w:tcPr>
            <w:tcW w:w="626" w:type="dxa"/>
          </w:tcPr>
          <w:p>
            <w:pPr>
              <w:pStyle w:val="TableParagraph"/>
              <w:spacing w:line="110" w:lineRule="exact" w:before="1"/>
              <w:ind w:right="42"/>
              <w:jc w:val="right"/>
              <w:rPr>
                <w:sz w:val="11"/>
              </w:rPr>
            </w:pPr>
            <w:r>
              <w:rPr>
                <w:sz w:val="11"/>
              </w:rPr>
              <w:t>0.0%</w:t>
            </w:r>
          </w:p>
        </w:tc>
      </w:tr>
      <w:tr>
        <w:trPr>
          <w:trHeight w:val="184" w:hRule="atLeast"/>
        </w:trPr>
        <w:tc>
          <w:tcPr>
            <w:tcW w:w="2610" w:type="dxa"/>
          </w:tcPr>
          <w:p>
            <w:pPr>
              <w:pStyle w:val="TableParagraph"/>
              <w:spacing w:line="110" w:lineRule="exact" w:before="55"/>
              <w:ind w:left="398"/>
              <w:rPr>
                <w:sz w:val="11"/>
              </w:rPr>
            </w:pPr>
            <w:r>
              <w:rPr>
                <w:w w:val="105"/>
                <w:sz w:val="11"/>
              </w:rPr>
              <w:t>Deferred Maintenance</w:t>
            </w:r>
          </w:p>
        </w:tc>
        <w:tc>
          <w:tcPr>
            <w:tcW w:w="1098" w:type="dxa"/>
          </w:tcPr>
          <w:p>
            <w:pPr>
              <w:pStyle w:val="TableParagraph"/>
              <w:spacing w:line="110" w:lineRule="exact" w:before="55"/>
              <w:ind w:left="236"/>
              <w:rPr>
                <w:sz w:val="11"/>
              </w:rPr>
            </w:pPr>
            <w:r>
              <w:rPr>
                <w:w w:val="105"/>
                <w:sz w:val="11"/>
              </w:rPr>
              <w:t>0000</w:t>
            </w:r>
          </w:p>
        </w:tc>
        <w:tc>
          <w:tcPr>
            <w:tcW w:w="400" w:type="dxa"/>
          </w:tcPr>
          <w:p>
            <w:pPr>
              <w:pStyle w:val="TableParagraph"/>
              <w:spacing w:line="110" w:lineRule="exact" w:before="55"/>
              <w:ind w:left="28"/>
              <w:rPr>
                <w:sz w:val="11"/>
              </w:rPr>
            </w:pPr>
            <w:r>
              <w:rPr>
                <w:w w:val="105"/>
                <w:sz w:val="11"/>
              </w:rPr>
              <w:t>9780</w:t>
            </w:r>
          </w:p>
        </w:tc>
        <w:tc>
          <w:tcPr>
            <w:tcW w:w="1208" w:type="dxa"/>
          </w:tcPr>
          <w:p>
            <w:pPr>
              <w:pStyle w:val="TableParagraph"/>
              <w:rPr>
                <w:rFonts w:ascii="Times New Roman"/>
                <w:sz w:val="10"/>
              </w:rPr>
            </w:pPr>
          </w:p>
        </w:tc>
        <w:tc>
          <w:tcPr>
            <w:tcW w:w="1109" w:type="dxa"/>
          </w:tcPr>
          <w:p>
            <w:pPr>
              <w:pStyle w:val="TableParagraph"/>
              <w:rPr>
                <w:rFonts w:ascii="Times New Roman"/>
                <w:sz w:val="10"/>
              </w:rPr>
            </w:pPr>
          </w:p>
        </w:tc>
        <w:tc>
          <w:tcPr>
            <w:tcW w:w="1088" w:type="dxa"/>
          </w:tcPr>
          <w:p>
            <w:pPr>
              <w:pStyle w:val="TableParagraph"/>
              <w:rPr>
                <w:rFonts w:ascii="Times New Roman"/>
                <w:sz w:val="10"/>
              </w:rPr>
            </w:pPr>
          </w:p>
        </w:tc>
        <w:tc>
          <w:tcPr>
            <w:tcW w:w="1131" w:type="dxa"/>
          </w:tcPr>
          <w:p>
            <w:pPr>
              <w:pStyle w:val="TableParagraph"/>
              <w:spacing w:line="112" w:lineRule="exact" w:before="53"/>
              <w:ind w:left="34"/>
              <w:rPr>
                <w:i/>
                <w:sz w:val="11"/>
              </w:rPr>
            </w:pPr>
            <w:r>
              <w:rPr>
                <w:i/>
                <w:w w:val="105"/>
                <w:sz w:val="11"/>
              </w:rPr>
              <w:t>400,000.00</w:t>
            </w:r>
          </w:p>
        </w:tc>
        <w:tc>
          <w:tcPr>
            <w:tcW w:w="1110" w:type="dxa"/>
            <w:shd w:val="clear" w:color="auto" w:fill="DFDFDF"/>
          </w:tcPr>
          <w:p>
            <w:pPr>
              <w:pStyle w:val="TableParagraph"/>
              <w:rPr>
                <w:rFonts w:ascii="Times New Roman"/>
                <w:sz w:val="10"/>
              </w:rPr>
            </w:pPr>
          </w:p>
        </w:tc>
        <w:tc>
          <w:tcPr>
            <w:tcW w:w="1110" w:type="dxa"/>
          </w:tcPr>
          <w:p>
            <w:pPr>
              <w:pStyle w:val="TableParagraph"/>
              <w:spacing w:line="112" w:lineRule="exact" w:before="53"/>
              <w:ind w:left="11"/>
              <w:rPr>
                <w:i/>
                <w:sz w:val="11"/>
              </w:rPr>
            </w:pPr>
            <w:r>
              <w:rPr>
                <w:i/>
                <w:w w:val="105"/>
                <w:sz w:val="11"/>
              </w:rPr>
              <w:t>400,000.00</w:t>
            </w:r>
          </w:p>
        </w:tc>
        <w:tc>
          <w:tcPr>
            <w:tcW w:w="626" w:type="dxa"/>
            <w:shd w:val="clear" w:color="auto" w:fill="DFDFDF"/>
          </w:tcPr>
          <w:p>
            <w:pPr>
              <w:pStyle w:val="TableParagraph"/>
              <w:rPr>
                <w:rFonts w:ascii="Times New Roman"/>
                <w:sz w:val="10"/>
              </w:rPr>
            </w:pPr>
          </w:p>
        </w:tc>
      </w:tr>
      <w:tr>
        <w:trPr>
          <w:trHeight w:val="209" w:hRule="atLeast"/>
        </w:trPr>
        <w:tc>
          <w:tcPr>
            <w:tcW w:w="2610" w:type="dxa"/>
          </w:tcPr>
          <w:p>
            <w:pPr>
              <w:pStyle w:val="TableParagraph"/>
              <w:spacing w:before="55"/>
              <w:ind w:left="398"/>
              <w:rPr>
                <w:sz w:val="11"/>
              </w:rPr>
            </w:pPr>
            <w:r>
              <w:rPr>
                <w:w w:val="105"/>
                <w:sz w:val="11"/>
              </w:rPr>
              <w:t>Bus Purchase</w:t>
            </w:r>
          </w:p>
        </w:tc>
        <w:tc>
          <w:tcPr>
            <w:tcW w:w="1098" w:type="dxa"/>
          </w:tcPr>
          <w:p>
            <w:pPr>
              <w:pStyle w:val="TableParagraph"/>
              <w:spacing w:before="55"/>
              <w:ind w:left="236"/>
              <w:rPr>
                <w:sz w:val="11"/>
              </w:rPr>
            </w:pPr>
            <w:r>
              <w:rPr>
                <w:w w:val="105"/>
                <w:sz w:val="11"/>
              </w:rPr>
              <w:t>0000</w:t>
            </w:r>
          </w:p>
        </w:tc>
        <w:tc>
          <w:tcPr>
            <w:tcW w:w="400" w:type="dxa"/>
          </w:tcPr>
          <w:p>
            <w:pPr>
              <w:pStyle w:val="TableParagraph"/>
              <w:spacing w:before="55"/>
              <w:ind w:left="28"/>
              <w:rPr>
                <w:sz w:val="11"/>
              </w:rPr>
            </w:pPr>
            <w:r>
              <w:rPr>
                <w:w w:val="105"/>
                <w:sz w:val="11"/>
              </w:rPr>
              <w:t>9780</w:t>
            </w:r>
          </w:p>
        </w:tc>
        <w:tc>
          <w:tcPr>
            <w:tcW w:w="1208" w:type="dxa"/>
          </w:tcPr>
          <w:p>
            <w:pPr>
              <w:pStyle w:val="TableParagraph"/>
              <w:rPr>
                <w:rFonts w:ascii="Times New Roman"/>
                <w:sz w:val="10"/>
              </w:rPr>
            </w:pPr>
          </w:p>
        </w:tc>
        <w:tc>
          <w:tcPr>
            <w:tcW w:w="1109" w:type="dxa"/>
            <w:shd w:val="clear" w:color="auto" w:fill="DFDFDF"/>
          </w:tcPr>
          <w:p>
            <w:pPr>
              <w:pStyle w:val="TableParagraph"/>
              <w:rPr>
                <w:rFonts w:ascii="Times New Roman"/>
                <w:sz w:val="10"/>
              </w:rPr>
            </w:pPr>
          </w:p>
        </w:tc>
        <w:tc>
          <w:tcPr>
            <w:tcW w:w="1088" w:type="dxa"/>
          </w:tcPr>
          <w:p>
            <w:pPr>
              <w:pStyle w:val="TableParagraph"/>
              <w:rPr>
                <w:rFonts w:ascii="Times New Roman"/>
                <w:sz w:val="10"/>
              </w:rPr>
            </w:pPr>
          </w:p>
        </w:tc>
        <w:tc>
          <w:tcPr>
            <w:tcW w:w="1131" w:type="dxa"/>
          </w:tcPr>
          <w:p>
            <w:pPr>
              <w:pStyle w:val="TableParagraph"/>
              <w:spacing w:before="53"/>
              <w:ind w:left="34"/>
              <w:rPr>
                <w:i/>
                <w:sz w:val="11"/>
              </w:rPr>
            </w:pPr>
            <w:r>
              <w:rPr>
                <w:i/>
                <w:w w:val="105"/>
                <w:sz w:val="11"/>
              </w:rPr>
              <w:t>100,000.00</w:t>
            </w:r>
          </w:p>
        </w:tc>
        <w:tc>
          <w:tcPr>
            <w:tcW w:w="1110" w:type="dxa"/>
            <w:shd w:val="clear" w:color="auto" w:fill="DFDFDF"/>
          </w:tcPr>
          <w:p>
            <w:pPr>
              <w:pStyle w:val="TableParagraph"/>
              <w:rPr>
                <w:rFonts w:ascii="Times New Roman"/>
                <w:sz w:val="10"/>
              </w:rPr>
            </w:pPr>
          </w:p>
        </w:tc>
        <w:tc>
          <w:tcPr>
            <w:tcW w:w="1110" w:type="dxa"/>
          </w:tcPr>
          <w:p>
            <w:pPr>
              <w:pStyle w:val="TableParagraph"/>
              <w:spacing w:before="53"/>
              <w:ind w:left="11"/>
              <w:rPr>
                <w:i/>
                <w:sz w:val="11"/>
              </w:rPr>
            </w:pPr>
            <w:r>
              <w:rPr>
                <w:i/>
                <w:w w:val="105"/>
                <w:sz w:val="11"/>
              </w:rPr>
              <w:t>100,000.00</w:t>
            </w:r>
          </w:p>
        </w:tc>
        <w:tc>
          <w:tcPr>
            <w:tcW w:w="626" w:type="dxa"/>
            <w:shd w:val="clear" w:color="auto" w:fill="DFDFDF"/>
          </w:tcPr>
          <w:p>
            <w:pPr>
              <w:pStyle w:val="TableParagraph"/>
              <w:rPr>
                <w:rFonts w:ascii="Times New Roman"/>
                <w:sz w:val="10"/>
              </w:rPr>
            </w:pPr>
          </w:p>
        </w:tc>
      </w:tr>
      <w:tr>
        <w:trPr>
          <w:trHeight w:val="184" w:hRule="atLeast"/>
        </w:trPr>
        <w:tc>
          <w:tcPr>
            <w:tcW w:w="2610" w:type="dxa"/>
          </w:tcPr>
          <w:p>
            <w:pPr>
              <w:pStyle w:val="TableParagraph"/>
              <w:spacing w:before="30"/>
              <w:ind w:left="398"/>
              <w:rPr>
                <w:sz w:val="11"/>
              </w:rPr>
            </w:pPr>
            <w:r>
              <w:rPr>
                <w:w w:val="105"/>
                <w:sz w:val="11"/>
              </w:rPr>
              <w:t>2 Years of Charter Oversight</w:t>
            </w:r>
          </w:p>
        </w:tc>
        <w:tc>
          <w:tcPr>
            <w:tcW w:w="1098" w:type="dxa"/>
          </w:tcPr>
          <w:p>
            <w:pPr>
              <w:pStyle w:val="TableParagraph"/>
              <w:spacing w:before="30"/>
              <w:ind w:left="236"/>
              <w:rPr>
                <w:sz w:val="11"/>
              </w:rPr>
            </w:pPr>
            <w:r>
              <w:rPr>
                <w:w w:val="105"/>
                <w:sz w:val="11"/>
              </w:rPr>
              <w:t>0000</w:t>
            </w:r>
          </w:p>
        </w:tc>
        <w:tc>
          <w:tcPr>
            <w:tcW w:w="400" w:type="dxa"/>
          </w:tcPr>
          <w:p>
            <w:pPr>
              <w:pStyle w:val="TableParagraph"/>
              <w:spacing w:before="30"/>
              <w:ind w:left="28"/>
              <w:rPr>
                <w:sz w:val="11"/>
              </w:rPr>
            </w:pPr>
            <w:r>
              <w:rPr>
                <w:w w:val="105"/>
                <w:sz w:val="11"/>
              </w:rPr>
              <w:t>9780</w:t>
            </w:r>
          </w:p>
        </w:tc>
        <w:tc>
          <w:tcPr>
            <w:tcW w:w="1208" w:type="dxa"/>
          </w:tcPr>
          <w:p>
            <w:pPr>
              <w:pStyle w:val="TableParagraph"/>
              <w:rPr>
                <w:rFonts w:ascii="Times New Roman"/>
                <w:sz w:val="10"/>
              </w:rPr>
            </w:pPr>
          </w:p>
        </w:tc>
        <w:tc>
          <w:tcPr>
            <w:tcW w:w="1109" w:type="dxa"/>
            <w:shd w:val="clear" w:color="auto" w:fill="DFDFDF"/>
          </w:tcPr>
          <w:p>
            <w:pPr>
              <w:pStyle w:val="TableParagraph"/>
              <w:rPr>
                <w:rFonts w:ascii="Times New Roman"/>
                <w:sz w:val="10"/>
              </w:rPr>
            </w:pPr>
          </w:p>
        </w:tc>
        <w:tc>
          <w:tcPr>
            <w:tcW w:w="1088" w:type="dxa"/>
          </w:tcPr>
          <w:p>
            <w:pPr>
              <w:pStyle w:val="TableParagraph"/>
              <w:rPr>
                <w:rFonts w:ascii="Times New Roman"/>
                <w:sz w:val="10"/>
              </w:rPr>
            </w:pPr>
          </w:p>
        </w:tc>
        <w:tc>
          <w:tcPr>
            <w:tcW w:w="1131" w:type="dxa"/>
          </w:tcPr>
          <w:p>
            <w:pPr>
              <w:pStyle w:val="TableParagraph"/>
              <w:spacing w:before="28"/>
              <w:ind w:left="34"/>
              <w:rPr>
                <w:i/>
                <w:sz w:val="11"/>
              </w:rPr>
            </w:pPr>
            <w:r>
              <w:rPr>
                <w:i/>
                <w:w w:val="105"/>
                <w:sz w:val="11"/>
              </w:rPr>
              <w:t>520,974.00</w:t>
            </w:r>
          </w:p>
        </w:tc>
        <w:tc>
          <w:tcPr>
            <w:tcW w:w="1110" w:type="dxa"/>
            <w:shd w:val="clear" w:color="auto" w:fill="DFDFDF"/>
          </w:tcPr>
          <w:p>
            <w:pPr>
              <w:pStyle w:val="TableParagraph"/>
              <w:rPr>
                <w:rFonts w:ascii="Times New Roman"/>
                <w:sz w:val="10"/>
              </w:rPr>
            </w:pPr>
          </w:p>
        </w:tc>
        <w:tc>
          <w:tcPr>
            <w:tcW w:w="1110" w:type="dxa"/>
          </w:tcPr>
          <w:p>
            <w:pPr>
              <w:pStyle w:val="TableParagraph"/>
              <w:spacing w:before="28"/>
              <w:ind w:left="11"/>
              <w:rPr>
                <w:i/>
                <w:sz w:val="11"/>
              </w:rPr>
            </w:pPr>
            <w:r>
              <w:rPr>
                <w:i/>
                <w:w w:val="105"/>
                <w:sz w:val="11"/>
              </w:rPr>
              <w:t>520,974.00</w:t>
            </w:r>
          </w:p>
        </w:tc>
        <w:tc>
          <w:tcPr>
            <w:tcW w:w="626" w:type="dxa"/>
            <w:shd w:val="clear" w:color="auto" w:fill="DFDFDF"/>
          </w:tcPr>
          <w:p>
            <w:pPr>
              <w:pStyle w:val="TableParagraph"/>
              <w:rPr>
                <w:rFonts w:ascii="Times New Roman"/>
                <w:sz w:val="10"/>
              </w:rPr>
            </w:pPr>
          </w:p>
        </w:tc>
      </w:tr>
      <w:tr>
        <w:trPr>
          <w:trHeight w:val="184" w:hRule="atLeast"/>
        </w:trPr>
        <w:tc>
          <w:tcPr>
            <w:tcW w:w="2610" w:type="dxa"/>
          </w:tcPr>
          <w:p>
            <w:pPr>
              <w:pStyle w:val="TableParagraph"/>
              <w:spacing w:before="30"/>
              <w:ind w:left="398"/>
              <w:rPr>
                <w:sz w:val="11"/>
              </w:rPr>
            </w:pPr>
            <w:r>
              <w:rPr>
                <w:w w:val="105"/>
                <w:sz w:val="11"/>
              </w:rPr>
              <w:t>Deferred Maintenance</w:t>
            </w:r>
          </w:p>
        </w:tc>
        <w:tc>
          <w:tcPr>
            <w:tcW w:w="1098" w:type="dxa"/>
          </w:tcPr>
          <w:p>
            <w:pPr>
              <w:pStyle w:val="TableParagraph"/>
              <w:spacing w:before="30"/>
              <w:ind w:left="236"/>
              <w:rPr>
                <w:sz w:val="11"/>
              </w:rPr>
            </w:pPr>
            <w:r>
              <w:rPr>
                <w:w w:val="105"/>
                <w:sz w:val="11"/>
              </w:rPr>
              <w:t>0000</w:t>
            </w:r>
          </w:p>
        </w:tc>
        <w:tc>
          <w:tcPr>
            <w:tcW w:w="400" w:type="dxa"/>
          </w:tcPr>
          <w:p>
            <w:pPr>
              <w:pStyle w:val="TableParagraph"/>
              <w:spacing w:before="30"/>
              <w:ind w:left="28"/>
              <w:rPr>
                <w:sz w:val="11"/>
              </w:rPr>
            </w:pPr>
            <w:r>
              <w:rPr>
                <w:w w:val="105"/>
                <w:sz w:val="11"/>
              </w:rPr>
              <w:t>9780</w:t>
            </w:r>
          </w:p>
        </w:tc>
        <w:tc>
          <w:tcPr>
            <w:tcW w:w="1208" w:type="dxa"/>
          </w:tcPr>
          <w:p>
            <w:pPr>
              <w:pStyle w:val="TableParagraph"/>
              <w:spacing w:before="28"/>
              <w:ind w:left="113"/>
              <w:rPr>
                <w:i/>
                <w:sz w:val="11"/>
              </w:rPr>
            </w:pPr>
            <w:r>
              <w:rPr>
                <w:i/>
                <w:w w:val="105"/>
                <w:sz w:val="11"/>
              </w:rPr>
              <w:t>400,000.00</w:t>
            </w:r>
          </w:p>
        </w:tc>
        <w:tc>
          <w:tcPr>
            <w:tcW w:w="1109" w:type="dxa"/>
            <w:shd w:val="clear" w:color="auto" w:fill="DFDFDF"/>
          </w:tcPr>
          <w:p>
            <w:pPr>
              <w:pStyle w:val="TableParagraph"/>
              <w:rPr>
                <w:rFonts w:ascii="Times New Roman"/>
                <w:sz w:val="10"/>
              </w:rPr>
            </w:pPr>
          </w:p>
        </w:tc>
        <w:tc>
          <w:tcPr>
            <w:tcW w:w="1088" w:type="dxa"/>
          </w:tcPr>
          <w:p>
            <w:pPr>
              <w:pStyle w:val="TableParagraph"/>
              <w:spacing w:before="28"/>
              <w:ind w:left="13"/>
              <w:rPr>
                <w:i/>
                <w:sz w:val="11"/>
              </w:rPr>
            </w:pPr>
            <w:r>
              <w:rPr>
                <w:i/>
                <w:w w:val="105"/>
                <w:sz w:val="11"/>
              </w:rPr>
              <w:t>400,000.00</w:t>
            </w:r>
          </w:p>
        </w:tc>
        <w:tc>
          <w:tcPr>
            <w:tcW w:w="1131" w:type="dxa"/>
          </w:tcPr>
          <w:p>
            <w:pPr>
              <w:pStyle w:val="TableParagraph"/>
              <w:rPr>
                <w:rFonts w:ascii="Times New Roman"/>
                <w:sz w:val="10"/>
              </w:rPr>
            </w:pPr>
          </w:p>
        </w:tc>
        <w:tc>
          <w:tcPr>
            <w:tcW w:w="1110" w:type="dxa"/>
            <w:shd w:val="clear" w:color="auto" w:fill="DFDFDF"/>
          </w:tcPr>
          <w:p>
            <w:pPr>
              <w:pStyle w:val="TableParagraph"/>
              <w:rPr>
                <w:rFonts w:ascii="Times New Roman"/>
                <w:sz w:val="10"/>
              </w:rPr>
            </w:pPr>
          </w:p>
        </w:tc>
        <w:tc>
          <w:tcPr>
            <w:tcW w:w="1110" w:type="dxa"/>
          </w:tcPr>
          <w:p>
            <w:pPr>
              <w:pStyle w:val="TableParagraph"/>
              <w:rPr>
                <w:rFonts w:ascii="Times New Roman"/>
                <w:sz w:val="10"/>
              </w:rPr>
            </w:pPr>
          </w:p>
        </w:tc>
        <w:tc>
          <w:tcPr>
            <w:tcW w:w="626" w:type="dxa"/>
            <w:shd w:val="clear" w:color="auto" w:fill="DFDFDF"/>
          </w:tcPr>
          <w:p>
            <w:pPr>
              <w:pStyle w:val="TableParagraph"/>
              <w:rPr>
                <w:rFonts w:ascii="Times New Roman"/>
                <w:sz w:val="10"/>
              </w:rPr>
            </w:pPr>
          </w:p>
        </w:tc>
      </w:tr>
      <w:tr>
        <w:trPr>
          <w:trHeight w:val="184" w:hRule="atLeast"/>
        </w:trPr>
        <w:tc>
          <w:tcPr>
            <w:tcW w:w="2610" w:type="dxa"/>
          </w:tcPr>
          <w:p>
            <w:pPr>
              <w:pStyle w:val="TableParagraph"/>
              <w:spacing w:before="30"/>
              <w:ind w:left="398"/>
              <w:rPr>
                <w:sz w:val="11"/>
              </w:rPr>
            </w:pPr>
            <w:r>
              <w:rPr>
                <w:w w:val="105"/>
                <w:sz w:val="11"/>
              </w:rPr>
              <w:t>Bus Purchase</w:t>
            </w:r>
          </w:p>
        </w:tc>
        <w:tc>
          <w:tcPr>
            <w:tcW w:w="1098" w:type="dxa"/>
          </w:tcPr>
          <w:p>
            <w:pPr>
              <w:pStyle w:val="TableParagraph"/>
              <w:spacing w:before="30"/>
              <w:ind w:left="236"/>
              <w:rPr>
                <w:sz w:val="11"/>
              </w:rPr>
            </w:pPr>
            <w:r>
              <w:rPr>
                <w:w w:val="105"/>
                <w:sz w:val="11"/>
              </w:rPr>
              <w:t>0000</w:t>
            </w:r>
          </w:p>
        </w:tc>
        <w:tc>
          <w:tcPr>
            <w:tcW w:w="400" w:type="dxa"/>
          </w:tcPr>
          <w:p>
            <w:pPr>
              <w:pStyle w:val="TableParagraph"/>
              <w:spacing w:before="30"/>
              <w:ind w:left="28"/>
              <w:rPr>
                <w:sz w:val="11"/>
              </w:rPr>
            </w:pPr>
            <w:r>
              <w:rPr>
                <w:w w:val="105"/>
                <w:sz w:val="11"/>
              </w:rPr>
              <w:t>9780</w:t>
            </w:r>
          </w:p>
        </w:tc>
        <w:tc>
          <w:tcPr>
            <w:tcW w:w="1208" w:type="dxa"/>
          </w:tcPr>
          <w:p>
            <w:pPr>
              <w:pStyle w:val="TableParagraph"/>
              <w:spacing w:before="28"/>
              <w:ind w:left="113"/>
              <w:rPr>
                <w:i/>
                <w:sz w:val="11"/>
              </w:rPr>
            </w:pPr>
            <w:r>
              <w:rPr>
                <w:i/>
                <w:w w:val="105"/>
                <w:sz w:val="11"/>
              </w:rPr>
              <w:t>100,000.00</w:t>
            </w:r>
          </w:p>
        </w:tc>
        <w:tc>
          <w:tcPr>
            <w:tcW w:w="1109" w:type="dxa"/>
            <w:shd w:val="clear" w:color="auto" w:fill="DFDFDF"/>
          </w:tcPr>
          <w:p>
            <w:pPr>
              <w:pStyle w:val="TableParagraph"/>
              <w:rPr>
                <w:rFonts w:ascii="Times New Roman"/>
                <w:sz w:val="10"/>
              </w:rPr>
            </w:pPr>
          </w:p>
        </w:tc>
        <w:tc>
          <w:tcPr>
            <w:tcW w:w="1088" w:type="dxa"/>
          </w:tcPr>
          <w:p>
            <w:pPr>
              <w:pStyle w:val="TableParagraph"/>
              <w:spacing w:before="28"/>
              <w:ind w:left="13"/>
              <w:rPr>
                <w:i/>
                <w:sz w:val="11"/>
              </w:rPr>
            </w:pPr>
            <w:r>
              <w:rPr>
                <w:i/>
                <w:w w:val="105"/>
                <w:sz w:val="11"/>
              </w:rPr>
              <w:t>100,000.00</w:t>
            </w:r>
          </w:p>
        </w:tc>
        <w:tc>
          <w:tcPr>
            <w:tcW w:w="1131" w:type="dxa"/>
          </w:tcPr>
          <w:p>
            <w:pPr>
              <w:pStyle w:val="TableParagraph"/>
              <w:rPr>
                <w:rFonts w:ascii="Times New Roman"/>
                <w:sz w:val="10"/>
              </w:rPr>
            </w:pPr>
          </w:p>
        </w:tc>
        <w:tc>
          <w:tcPr>
            <w:tcW w:w="1110" w:type="dxa"/>
            <w:shd w:val="clear" w:color="auto" w:fill="DFDFDF"/>
          </w:tcPr>
          <w:p>
            <w:pPr>
              <w:pStyle w:val="TableParagraph"/>
              <w:rPr>
                <w:rFonts w:ascii="Times New Roman"/>
                <w:sz w:val="10"/>
              </w:rPr>
            </w:pPr>
          </w:p>
        </w:tc>
        <w:tc>
          <w:tcPr>
            <w:tcW w:w="1110" w:type="dxa"/>
          </w:tcPr>
          <w:p>
            <w:pPr>
              <w:pStyle w:val="TableParagraph"/>
              <w:rPr>
                <w:rFonts w:ascii="Times New Roman"/>
                <w:sz w:val="10"/>
              </w:rPr>
            </w:pPr>
          </w:p>
        </w:tc>
        <w:tc>
          <w:tcPr>
            <w:tcW w:w="626" w:type="dxa"/>
            <w:shd w:val="clear" w:color="auto" w:fill="DFDFDF"/>
          </w:tcPr>
          <w:p>
            <w:pPr>
              <w:pStyle w:val="TableParagraph"/>
              <w:rPr>
                <w:rFonts w:ascii="Times New Roman"/>
                <w:sz w:val="10"/>
              </w:rPr>
            </w:pPr>
          </w:p>
        </w:tc>
      </w:tr>
      <w:tr>
        <w:trPr>
          <w:trHeight w:val="159" w:hRule="atLeast"/>
        </w:trPr>
        <w:tc>
          <w:tcPr>
            <w:tcW w:w="2610" w:type="dxa"/>
          </w:tcPr>
          <w:p>
            <w:pPr>
              <w:pStyle w:val="TableParagraph"/>
              <w:spacing w:line="110" w:lineRule="exact" w:before="30"/>
              <w:ind w:left="398"/>
              <w:rPr>
                <w:sz w:val="11"/>
              </w:rPr>
            </w:pPr>
            <w:r>
              <w:rPr>
                <w:w w:val="105"/>
                <w:sz w:val="11"/>
              </w:rPr>
              <w:t>2 Years of Charter Oversight</w:t>
            </w:r>
          </w:p>
        </w:tc>
        <w:tc>
          <w:tcPr>
            <w:tcW w:w="1098" w:type="dxa"/>
          </w:tcPr>
          <w:p>
            <w:pPr>
              <w:pStyle w:val="TableParagraph"/>
              <w:spacing w:line="110" w:lineRule="exact" w:before="30"/>
              <w:ind w:left="236"/>
              <w:rPr>
                <w:sz w:val="11"/>
              </w:rPr>
            </w:pPr>
            <w:r>
              <w:rPr>
                <w:w w:val="105"/>
                <w:sz w:val="11"/>
              </w:rPr>
              <w:t>0000</w:t>
            </w:r>
          </w:p>
        </w:tc>
        <w:tc>
          <w:tcPr>
            <w:tcW w:w="400" w:type="dxa"/>
          </w:tcPr>
          <w:p>
            <w:pPr>
              <w:pStyle w:val="TableParagraph"/>
              <w:spacing w:line="110" w:lineRule="exact" w:before="30"/>
              <w:ind w:left="28"/>
              <w:rPr>
                <w:sz w:val="11"/>
              </w:rPr>
            </w:pPr>
            <w:r>
              <w:rPr>
                <w:w w:val="105"/>
                <w:sz w:val="11"/>
              </w:rPr>
              <w:t>9780</w:t>
            </w:r>
          </w:p>
        </w:tc>
        <w:tc>
          <w:tcPr>
            <w:tcW w:w="1208" w:type="dxa"/>
          </w:tcPr>
          <w:p>
            <w:pPr>
              <w:pStyle w:val="TableParagraph"/>
              <w:spacing w:line="112" w:lineRule="exact" w:before="28"/>
              <w:ind w:left="113"/>
              <w:rPr>
                <w:i/>
                <w:sz w:val="11"/>
              </w:rPr>
            </w:pPr>
            <w:r>
              <w:rPr>
                <w:i/>
                <w:w w:val="105"/>
                <w:sz w:val="11"/>
              </w:rPr>
              <w:t>520,974.00</w:t>
            </w:r>
          </w:p>
        </w:tc>
        <w:tc>
          <w:tcPr>
            <w:tcW w:w="1109" w:type="dxa"/>
            <w:shd w:val="clear" w:color="auto" w:fill="DFDFDF"/>
          </w:tcPr>
          <w:p>
            <w:pPr>
              <w:pStyle w:val="TableParagraph"/>
              <w:rPr>
                <w:rFonts w:ascii="Times New Roman"/>
                <w:sz w:val="10"/>
              </w:rPr>
            </w:pPr>
          </w:p>
        </w:tc>
        <w:tc>
          <w:tcPr>
            <w:tcW w:w="1088" w:type="dxa"/>
          </w:tcPr>
          <w:p>
            <w:pPr>
              <w:pStyle w:val="TableParagraph"/>
              <w:spacing w:line="112" w:lineRule="exact" w:before="28"/>
              <w:ind w:left="13"/>
              <w:rPr>
                <w:i/>
                <w:sz w:val="11"/>
              </w:rPr>
            </w:pPr>
            <w:r>
              <w:rPr>
                <w:i/>
                <w:w w:val="105"/>
                <w:sz w:val="11"/>
              </w:rPr>
              <w:t>520,974.00</w:t>
            </w:r>
          </w:p>
        </w:tc>
        <w:tc>
          <w:tcPr>
            <w:tcW w:w="1131" w:type="dxa"/>
          </w:tcPr>
          <w:p>
            <w:pPr>
              <w:pStyle w:val="TableParagraph"/>
              <w:rPr>
                <w:rFonts w:ascii="Times New Roman"/>
                <w:sz w:val="10"/>
              </w:rPr>
            </w:pPr>
          </w:p>
        </w:tc>
        <w:tc>
          <w:tcPr>
            <w:tcW w:w="1110" w:type="dxa"/>
            <w:shd w:val="clear" w:color="auto" w:fill="DFDFDF"/>
          </w:tcPr>
          <w:p>
            <w:pPr>
              <w:pStyle w:val="TableParagraph"/>
              <w:rPr>
                <w:rFonts w:ascii="Times New Roman"/>
                <w:sz w:val="10"/>
              </w:rPr>
            </w:pPr>
          </w:p>
        </w:tc>
        <w:tc>
          <w:tcPr>
            <w:tcW w:w="1110" w:type="dxa"/>
          </w:tcPr>
          <w:p>
            <w:pPr>
              <w:pStyle w:val="TableParagraph"/>
              <w:rPr>
                <w:rFonts w:ascii="Times New Roman"/>
                <w:sz w:val="10"/>
              </w:rPr>
            </w:pPr>
          </w:p>
        </w:tc>
        <w:tc>
          <w:tcPr>
            <w:tcW w:w="626" w:type="dxa"/>
            <w:shd w:val="clear" w:color="auto" w:fill="DFDFDF"/>
          </w:tcPr>
          <w:p>
            <w:pPr>
              <w:pStyle w:val="TableParagraph"/>
              <w:rPr>
                <w:rFonts w:ascii="Times New Roman"/>
                <w:sz w:val="10"/>
              </w:rPr>
            </w:pPr>
          </w:p>
        </w:tc>
      </w:tr>
      <w:tr>
        <w:trPr>
          <w:trHeight w:val="201" w:hRule="atLeast"/>
        </w:trPr>
        <w:tc>
          <w:tcPr>
            <w:tcW w:w="2610" w:type="dxa"/>
          </w:tcPr>
          <w:p>
            <w:pPr>
              <w:pStyle w:val="TableParagraph"/>
              <w:spacing w:line="108" w:lineRule="exact" w:before="74"/>
              <w:ind w:left="152"/>
              <w:rPr>
                <w:sz w:val="11"/>
              </w:rPr>
            </w:pPr>
            <w:r>
              <w:rPr>
                <w:w w:val="105"/>
                <w:sz w:val="11"/>
              </w:rPr>
              <w:t>e) Unassigned/Unappropriated</w:t>
            </w:r>
          </w:p>
        </w:tc>
        <w:tc>
          <w:tcPr>
            <w:tcW w:w="1098" w:type="dxa"/>
          </w:tcPr>
          <w:p>
            <w:pPr>
              <w:pStyle w:val="TableParagraph"/>
              <w:rPr>
                <w:rFonts w:ascii="Times New Roman"/>
                <w:sz w:val="10"/>
              </w:rPr>
            </w:pPr>
          </w:p>
        </w:tc>
        <w:tc>
          <w:tcPr>
            <w:tcW w:w="400" w:type="dxa"/>
          </w:tcPr>
          <w:p>
            <w:pPr>
              <w:pStyle w:val="TableParagraph"/>
              <w:rPr>
                <w:rFonts w:ascii="Times New Roman"/>
                <w:sz w:val="10"/>
              </w:rPr>
            </w:pPr>
          </w:p>
        </w:tc>
        <w:tc>
          <w:tcPr>
            <w:tcW w:w="1208" w:type="dxa"/>
          </w:tcPr>
          <w:p>
            <w:pPr>
              <w:pStyle w:val="TableParagraph"/>
              <w:rPr>
                <w:rFonts w:ascii="Times New Roman"/>
                <w:sz w:val="10"/>
              </w:rPr>
            </w:pPr>
          </w:p>
        </w:tc>
        <w:tc>
          <w:tcPr>
            <w:tcW w:w="1109" w:type="dxa"/>
            <w:shd w:val="clear" w:color="auto" w:fill="DFDFDF"/>
          </w:tcPr>
          <w:p>
            <w:pPr>
              <w:pStyle w:val="TableParagraph"/>
              <w:rPr>
                <w:rFonts w:ascii="Times New Roman"/>
                <w:sz w:val="10"/>
              </w:rPr>
            </w:pPr>
          </w:p>
        </w:tc>
        <w:tc>
          <w:tcPr>
            <w:tcW w:w="1088" w:type="dxa"/>
          </w:tcPr>
          <w:p>
            <w:pPr>
              <w:pStyle w:val="TableParagraph"/>
              <w:rPr>
                <w:rFonts w:ascii="Times New Roman"/>
                <w:sz w:val="10"/>
              </w:rPr>
            </w:pPr>
          </w:p>
        </w:tc>
        <w:tc>
          <w:tcPr>
            <w:tcW w:w="1131" w:type="dxa"/>
          </w:tcPr>
          <w:p>
            <w:pPr>
              <w:pStyle w:val="TableParagraph"/>
              <w:rPr>
                <w:rFonts w:ascii="Times New Roman"/>
                <w:sz w:val="10"/>
              </w:rPr>
            </w:pPr>
          </w:p>
        </w:tc>
        <w:tc>
          <w:tcPr>
            <w:tcW w:w="1110" w:type="dxa"/>
            <w:shd w:val="clear" w:color="auto" w:fill="DFDFDF"/>
          </w:tcPr>
          <w:p>
            <w:pPr>
              <w:pStyle w:val="TableParagraph"/>
              <w:rPr>
                <w:rFonts w:ascii="Times New Roman"/>
                <w:sz w:val="10"/>
              </w:rPr>
            </w:pPr>
          </w:p>
        </w:tc>
        <w:tc>
          <w:tcPr>
            <w:tcW w:w="1110" w:type="dxa"/>
          </w:tcPr>
          <w:p>
            <w:pPr>
              <w:pStyle w:val="TableParagraph"/>
              <w:rPr>
                <w:rFonts w:ascii="Times New Roman"/>
                <w:sz w:val="10"/>
              </w:rPr>
            </w:pPr>
          </w:p>
        </w:tc>
        <w:tc>
          <w:tcPr>
            <w:tcW w:w="626" w:type="dxa"/>
          </w:tcPr>
          <w:p>
            <w:pPr>
              <w:pStyle w:val="TableParagraph"/>
              <w:rPr>
                <w:rFonts w:ascii="Times New Roman"/>
                <w:sz w:val="10"/>
              </w:rPr>
            </w:pPr>
          </w:p>
        </w:tc>
      </w:tr>
      <w:tr>
        <w:trPr>
          <w:trHeight w:val="239" w:hRule="atLeast"/>
        </w:trPr>
        <w:tc>
          <w:tcPr>
            <w:tcW w:w="2610" w:type="dxa"/>
          </w:tcPr>
          <w:p>
            <w:pPr>
              <w:pStyle w:val="TableParagraph"/>
              <w:spacing w:before="6"/>
              <w:rPr>
                <w:sz w:val="9"/>
              </w:rPr>
            </w:pPr>
          </w:p>
          <w:p>
            <w:pPr>
              <w:pStyle w:val="TableParagraph"/>
              <w:spacing w:line="110" w:lineRule="exact"/>
              <w:ind w:left="309"/>
              <w:rPr>
                <w:sz w:val="11"/>
              </w:rPr>
            </w:pPr>
            <w:r>
              <w:rPr>
                <w:w w:val="105"/>
                <w:sz w:val="11"/>
              </w:rPr>
              <w:t>Reserve for Economic Uncertainties</w:t>
            </w:r>
          </w:p>
        </w:tc>
        <w:tc>
          <w:tcPr>
            <w:tcW w:w="1498" w:type="dxa"/>
            <w:gridSpan w:val="2"/>
          </w:tcPr>
          <w:p>
            <w:pPr>
              <w:pStyle w:val="TableParagraph"/>
              <w:spacing w:before="6"/>
              <w:rPr>
                <w:sz w:val="9"/>
              </w:rPr>
            </w:pPr>
          </w:p>
          <w:p>
            <w:pPr>
              <w:pStyle w:val="TableParagraph"/>
              <w:spacing w:line="110" w:lineRule="exact"/>
              <w:ind w:right="112"/>
              <w:jc w:val="right"/>
              <w:rPr>
                <w:sz w:val="11"/>
              </w:rPr>
            </w:pPr>
            <w:r>
              <w:rPr>
                <w:sz w:val="11"/>
              </w:rPr>
              <w:t>9789</w:t>
            </w:r>
          </w:p>
        </w:tc>
        <w:tc>
          <w:tcPr>
            <w:tcW w:w="1208" w:type="dxa"/>
          </w:tcPr>
          <w:p>
            <w:pPr>
              <w:pStyle w:val="TableParagraph"/>
              <w:spacing w:before="6"/>
              <w:rPr>
                <w:sz w:val="9"/>
              </w:rPr>
            </w:pPr>
          </w:p>
          <w:p>
            <w:pPr>
              <w:pStyle w:val="TableParagraph"/>
              <w:spacing w:line="110" w:lineRule="exact"/>
              <w:ind w:right="55"/>
              <w:jc w:val="right"/>
              <w:rPr>
                <w:sz w:val="11"/>
              </w:rPr>
            </w:pPr>
            <w:r>
              <w:rPr>
                <w:sz w:val="11"/>
              </w:rPr>
              <w:t>105,951.70</w:t>
            </w:r>
          </w:p>
        </w:tc>
        <w:tc>
          <w:tcPr>
            <w:tcW w:w="1109" w:type="dxa"/>
            <w:shd w:val="clear" w:color="auto" w:fill="DFDFDF"/>
          </w:tcPr>
          <w:p>
            <w:pPr>
              <w:pStyle w:val="TableParagraph"/>
              <w:spacing w:before="6"/>
              <w:rPr>
                <w:sz w:val="9"/>
              </w:rPr>
            </w:pPr>
          </w:p>
          <w:p>
            <w:pPr>
              <w:pStyle w:val="TableParagraph"/>
              <w:spacing w:line="110" w:lineRule="exact"/>
              <w:ind w:right="55"/>
              <w:jc w:val="right"/>
              <w:rPr>
                <w:sz w:val="11"/>
              </w:rPr>
            </w:pPr>
            <w:r>
              <w:rPr>
                <w:sz w:val="11"/>
              </w:rPr>
              <w:t>0.00</w:t>
            </w:r>
          </w:p>
        </w:tc>
        <w:tc>
          <w:tcPr>
            <w:tcW w:w="1088" w:type="dxa"/>
          </w:tcPr>
          <w:p>
            <w:pPr>
              <w:pStyle w:val="TableParagraph"/>
              <w:spacing w:before="6"/>
              <w:rPr>
                <w:sz w:val="9"/>
              </w:rPr>
            </w:pPr>
          </w:p>
          <w:p>
            <w:pPr>
              <w:pStyle w:val="TableParagraph"/>
              <w:spacing w:line="110" w:lineRule="exact"/>
              <w:ind w:right="35"/>
              <w:jc w:val="right"/>
              <w:rPr>
                <w:sz w:val="11"/>
              </w:rPr>
            </w:pPr>
            <w:r>
              <w:rPr>
                <w:sz w:val="11"/>
              </w:rPr>
              <w:t>105,951.70</w:t>
            </w:r>
          </w:p>
        </w:tc>
        <w:tc>
          <w:tcPr>
            <w:tcW w:w="1131" w:type="dxa"/>
          </w:tcPr>
          <w:p>
            <w:pPr>
              <w:pStyle w:val="TableParagraph"/>
              <w:spacing w:before="6"/>
              <w:rPr>
                <w:sz w:val="9"/>
              </w:rPr>
            </w:pPr>
          </w:p>
          <w:p>
            <w:pPr>
              <w:pStyle w:val="TableParagraph"/>
              <w:spacing w:line="110" w:lineRule="exact"/>
              <w:ind w:right="57"/>
              <w:jc w:val="right"/>
              <w:rPr>
                <w:sz w:val="11"/>
              </w:rPr>
            </w:pPr>
            <w:r>
              <w:rPr>
                <w:sz w:val="11"/>
              </w:rPr>
              <w:t>105,868.70</w:t>
            </w:r>
          </w:p>
        </w:tc>
        <w:tc>
          <w:tcPr>
            <w:tcW w:w="1110" w:type="dxa"/>
            <w:shd w:val="clear" w:color="auto" w:fill="DFDFDF"/>
          </w:tcPr>
          <w:p>
            <w:pPr>
              <w:pStyle w:val="TableParagraph"/>
              <w:spacing w:before="6"/>
              <w:rPr>
                <w:sz w:val="9"/>
              </w:rPr>
            </w:pPr>
          </w:p>
          <w:p>
            <w:pPr>
              <w:pStyle w:val="TableParagraph"/>
              <w:spacing w:line="110" w:lineRule="exact"/>
              <w:ind w:right="58"/>
              <w:jc w:val="right"/>
              <w:rPr>
                <w:sz w:val="11"/>
              </w:rPr>
            </w:pPr>
            <w:r>
              <w:rPr>
                <w:sz w:val="11"/>
              </w:rPr>
              <w:t>0.00</w:t>
            </w:r>
          </w:p>
        </w:tc>
        <w:tc>
          <w:tcPr>
            <w:tcW w:w="1110" w:type="dxa"/>
          </w:tcPr>
          <w:p>
            <w:pPr>
              <w:pStyle w:val="TableParagraph"/>
              <w:spacing w:before="6"/>
              <w:rPr>
                <w:sz w:val="9"/>
              </w:rPr>
            </w:pPr>
          </w:p>
          <w:p>
            <w:pPr>
              <w:pStyle w:val="TableParagraph"/>
              <w:spacing w:line="110" w:lineRule="exact"/>
              <w:ind w:right="59"/>
              <w:jc w:val="right"/>
              <w:rPr>
                <w:sz w:val="11"/>
              </w:rPr>
            </w:pPr>
            <w:r>
              <w:rPr>
                <w:sz w:val="11"/>
              </w:rPr>
              <w:t>105,868.70</w:t>
            </w:r>
          </w:p>
        </w:tc>
        <w:tc>
          <w:tcPr>
            <w:tcW w:w="626" w:type="dxa"/>
          </w:tcPr>
          <w:p>
            <w:pPr>
              <w:pStyle w:val="TableParagraph"/>
              <w:spacing w:before="6"/>
              <w:rPr>
                <w:sz w:val="9"/>
              </w:rPr>
            </w:pPr>
          </w:p>
          <w:p>
            <w:pPr>
              <w:pStyle w:val="TableParagraph"/>
              <w:spacing w:line="110" w:lineRule="exact"/>
              <w:ind w:right="42"/>
              <w:jc w:val="right"/>
              <w:rPr>
                <w:sz w:val="11"/>
              </w:rPr>
            </w:pPr>
            <w:r>
              <w:rPr>
                <w:sz w:val="11"/>
              </w:rPr>
              <w:t>-0.1%</w:t>
            </w:r>
          </w:p>
        </w:tc>
      </w:tr>
      <w:tr>
        <w:trPr>
          <w:trHeight w:val="235" w:hRule="atLeast"/>
        </w:trPr>
        <w:tc>
          <w:tcPr>
            <w:tcW w:w="2610" w:type="dxa"/>
          </w:tcPr>
          <w:p>
            <w:pPr>
              <w:pStyle w:val="TableParagraph"/>
              <w:spacing w:before="4"/>
              <w:rPr>
                <w:sz w:val="9"/>
              </w:rPr>
            </w:pPr>
          </w:p>
          <w:p>
            <w:pPr>
              <w:pStyle w:val="TableParagraph"/>
              <w:spacing w:line="108" w:lineRule="exact"/>
              <w:ind w:left="309"/>
              <w:rPr>
                <w:sz w:val="11"/>
              </w:rPr>
            </w:pPr>
            <w:r>
              <w:rPr>
                <w:w w:val="105"/>
                <w:sz w:val="11"/>
              </w:rPr>
              <w:t>Unassigned/Unappropriated Amount</w:t>
            </w:r>
          </w:p>
        </w:tc>
        <w:tc>
          <w:tcPr>
            <w:tcW w:w="1498" w:type="dxa"/>
            <w:gridSpan w:val="2"/>
          </w:tcPr>
          <w:p>
            <w:pPr>
              <w:pStyle w:val="TableParagraph"/>
              <w:spacing w:before="4"/>
              <w:rPr>
                <w:sz w:val="9"/>
              </w:rPr>
            </w:pPr>
          </w:p>
          <w:p>
            <w:pPr>
              <w:pStyle w:val="TableParagraph"/>
              <w:spacing w:line="108" w:lineRule="exact"/>
              <w:ind w:right="112"/>
              <w:jc w:val="right"/>
              <w:rPr>
                <w:sz w:val="11"/>
              </w:rPr>
            </w:pPr>
            <w:r>
              <w:rPr>
                <w:sz w:val="11"/>
              </w:rPr>
              <w:t>9790</w:t>
            </w:r>
          </w:p>
        </w:tc>
        <w:tc>
          <w:tcPr>
            <w:tcW w:w="1208" w:type="dxa"/>
          </w:tcPr>
          <w:p>
            <w:pPr>
              <w:pStyle w:val="TableParagraph"/>
              <w:spacing w:before="4"/>
              <w:rPr>
                <w:sz w:val="9"/>
              </w:rPr>
            </w:pPr>
          </w:p>
          <w:p>
            <w:pPr>
              <w:pStyle w:val="TableParagraph"/>
              <w:spacing w:line="108" w:lineRule="exact"/>
              <w:ind w:right="55"/>
              <w:jc w:val="right"/>
              <w:rPr>
                <w:sz w:val="11"/>
              </w:rPr>
            </w:pPr>
            <w:r>
              <w:rPr>
                <w:sz w:val="11"/>
              </w:rPr>
              <w:t>1,373,504.30</w:t>
            </w:r>
          </w:p>
        </w:tc>
        <w:tc>
          <w:tcPr>
            <w:tcW w:w="1109" w:type="dxa"/>
          </w:tcPr>
          <w:p>
            <w:pPr>
              <w:pStyle w:val="TableParagraph"/>
              <w:spacing w:before="4"/>
              <w:rPr>
                <w:sz w:val="9"/>
              </w:rPr>
            </w:pPr>
          </w:p>
          <w:p>
            <w:pPr>
              <w:pStyle w:val="TableParagraph"/>
              <w:spacing w:line="108" w:lineRule="exact"/>
              <w:ind w:right="15"/>
              <w:jc w:val="right"/>
              <w:rPr>
                <w:sz w:val="11"/>
              </w:rPr>
            </w:pPr>
            <w:r>
              <w:rPr>
                <w:sz w:val="11"/>
              </w:rPr>
              <w:t>(35,597.00)</w:t>
            </w:r>
          </w:p>
        </w:tc>
        <w:tc>
          <w:tcPr>
            <w:tcW w:w="1088" w:type="dxa"/>
          </w:tcPr>
          <w:p>
            <w:pPr>
              <w:pStyle w:val="TableParagraph"/>
              <w:spacing w:before="4"/>
              <w:rPr>
                <w:sz w:val="9"/>
              </w:rPr>
            </w:pPr>
          </w:p>
          <w:p>
            <w:pPr>
              <w:pStyle w:val="TableParagraph"/>
              <w:spacing w:line="108" w:lineRule="exact"/>
              <w:ind w:right="35"/>
              <w:jc w:val="right"/>
              <w:rPr>
                <w:sz w:val="11"/>
              </w:rPr>
            </w:pPr>
            <w:r>
              <w:rPr>
                <w:sz w:val="11"/>
              </w:rPr>
              <w:t>1,337,907.30</w:t>
            </w:r>
          </w:p>
        </w:tc>
        <w:tc>
          <w:tcPr>
            <w:tcW w:w="1131" w:type="dxa"/>
          </w:tcPr>
          <w:p>
            <w:pPr>
              <w:pStyle w:val="TableParagraph"/>
              <w:spacing w:before="4"/>
              <w:rPr>
                <w:sz w:val="9"/>
              </w:rPr>
            </w:pPr>
          </w:p>
          <w:p>
            <w:pPr>
              <w:pStyle w:val="TableParagraph"/>
              <w:spacing w:line="108" w:lineRule="exact"/>
              <w:ind w:right="57"/>
              <w:jc w:val="right"/>
              <w:rPr>
                <w:sz w:val="11"/>
              </w:rPr>
            </w:pPr>
            <w:r>
              <w:rPr>
                <w:sz w:val="11"/>
              </w:rPr>
              <w:t>1,415,135.30</w:t>
            </w:r>
          </w:p>
        </w:tc>
        <w:tc>
          <w:tcPr>
            <w:tcW w:w="1110" w:type="dxa"/>
          </w:tcPr>
          <w:p>
            <w:pPr>
              <w:pStyle w:val="TableParagraph"/>
              <w:spacing w:before="4"/>
              <w:rPr>
                <w:sz w:val="9"/>
              </w:rPr>
            </w:pPr>
          </w:p>
          <w:p>
            <w:pPr>
              <w:pStyle w:val="TableParagraph"/>
              <w:spacing w:line="108" w:lineRule="exact"/>
              <w:ind w:right="58"/>
              <w:jc w:val="right"/>
              <w:rPr>
                <w:sz w:val="11"/>
              </w:rPr>
            </w:pPr>
            <w:r>
              <w:rPr>
                <w:sz w:val="11"/>
              </w:rPr>
              <w:t>0.00</w:t>
            </w:r>
          </w:p>
        </w:tc>
        <w:tc>
          <w:tcPr>
            <w:tcW w:w="1110" w:type="dxa"/>
          </w:tcPr>
          <w:p>
            <w:pPr>
              <w:pStyle w:val="TableParagraph"/>
              <w:spacing w:before="4"/>
              <w:rPr>
                <w:sz w:val="9"/>
              </w:rPr>
            </w:pPr>
          </w:p>
          <w:p>
            <w:pPr>
              <w:pStyle w:val="TableParagraph"/>
              <w:spacing w:line="108" w:lineRule="exact"/>
              <w:ind w:right="59"/>
              <w:jc w:val="right"/>
              <w:rPr>
                <w:sz w:val="11"/>
              </w:rPr>
            </w:pPr>
            <w:r>
              <w:rPr>
                <w:sz w:val="11"/>
              </w:rPr>
              <w:t>1,415,135.30</w:t>
            </w:r>
          </w:p>
        </w:tc>
        <w:tc>
          <w:tcPr>
            <w:tcW w:w="626" w:type="dxa"/>
          </w:tcPr>
          <w:p>
            <w:pPr>
              <w:pStyle w:val="TableParagraph"/>
              <w:spacing w:before="4"/>
              <w:rPr>
                <w:sz w:val="9"/>
              </w:rPr>
            </w:pPr>
          </w:p>
          <w:p>
            <w:pPr>
              <w:pStyle w:val="TableParagraph"/>
              <w:spacing w:line="108" w:lineRule="exact"/>
              <w:ind w:right="42"/>
              <w:jc w:val="right"/>
              <w:rPr>
                <w:sz w:val="11"/>
              </w:rPr>
            </w:pPr>
            <w:r>
              <w:rPr>
                <w:sz w:val="11"/>
              </w:rPr>
              <w:t>5.8%</w:t>
            </w:r>
          </w:p>
        </w:tc>
      </w:tr>
    </w:tbl>
    <w:p>
      <w:pPr>
        <w:spacing w:after="0" w:line="108" w:lineRule="exact"/>
        <w:jc w:val="right"/>
        <w:rPr>
          <w:sz w:val="11"/>
        </w:rPr>
        <w:sectPr>
          <w:pgSz w:w="12240" w:h="15840"/>
          <w:pgMar w:header="62" w:footer="252" w:top="580" w:bottom="440" w:left="160" w:right="180"/>
        </w:sectPr>
      </w:pPr>
    </w:p>
    <w:p>
      <w:pPr>
        <w:spacing w:line="235" w:lineRule="auto" w:before="0"/>
        <w:ind w:left="670" w:right="24" w:firstLine="0"/>
        <w:jc w:val="left"/>
        <w:rPr>
          <w:sz w:val="17"/>
        </w:rPr>
      </w:pPr>
      <w:r>
        <w:rPr/>
        <w:drawing>
          <wp:anchor distT="0" distB="0" distL="0" distR="0" allowOverlap="1" layoutInCell="1" locked="0" behindDoc="1" simplePos="0" relativeHeight="188772352">
            <wp:simplePos x="0" y="0"/>
            <wp:positionH relativeFrom="page">
              <wp:posOffset>726948</wp:posOffset>
            </wp:positionH>
            <wp:positionV relativeFrom="paragraph">
              <wp:posOffset>759122</wp:posOffset>
            </wp:positionV>
            <wp:extent cx="6131102" cy="4572"/>
            <wp:effectExtent l="0" t="0" r="0" b="0"/>
            <wp:wrapNone/>
            <wp:docPr id="1" name="image387.png"/>
            <wp:cNvGraphicFramePr>
              <a:graphicFrameLocks noChangeAspect="1"/>
            </wp:cNvGraphicFramePr>
            <a:graphic>
              <a:graphicData uri="http://schemas.openxmlformats.org/drawingml/2006/picture">
                <pic:pic>
                  <pic:nvPicPr>
                    <pic:cNvPr id="2" name="image387.png"/>
                    <pic:cNvPicPr/>
                  </pic:nvPicPr>
                  <pic:blipFill>
                    <a:blip r:embed="rId402" cstate="print"/>
                    <a:stretch>
                      <a:fillRect/>
                    </a:stretch>
                  </pic:blipFill>
                  <pic:spPr>
                    <a:xfrm>
                      <a:off x="0" y="0"/>
                      <a:ext cx="6131102" cy="4572"/>
                    </a:xfrm>
                    <a:prstGeom prst="rect">
                      <a:avLst/>
                    </a:prstGeom>
                  </pic:spPr>
                </pic:pic>
              </a:graphicData>
            </a:graphic>
          </wp:anchor>
        </w:drawing>
      </w:r>
      <w:r>
        <w:rPr>
          <w:sz w:val="17"/>
        </w:rPr>
        <w:t>Winship-Robbins Elementary Sutter County</w:t>
      </w:r>
    </w:p>
    <w:p>
      <w:pPr>
        <w:spacing w:line="190" w:lineRule="exact" w:before="0"/>
        <w:ind w:left="649" w:right="18" w:firstLine="0"/>
        <w:jc w:val="center"/>
        <w:rPr>
          <w:sz w:val="17"/>
        </w:rPr>
      </w:pPr>
      <w:r>
        <w:rPr/>
        <w:br w:type="column"/>
      </w:r>
      <w:r>
        <w:rPr>
          <w:sz w:val="17"/>
        </w:rPr>
        <w:t>General Fund</w:t>
      </w:r>
    </w:p>
    <w:p>
      <w:pPr>
        <w:spacing w:line="194" w:lineRule="exact" w:before="0"/>
        <w:ind w:left="649" w:right="19" w:firstLine="0"/>
        <w:jc w:val="center"/>
        <w:rPr>
          <w:sz w:val="17"/>
        </w:rPr>
      </w:pPr>
      <w:r>
        <w:rPr>
          <w:sz w:val="17"/>
        </w:rPr>
        <w:t>Exhibit: Restricted Balance Detail</w:t>
      </w:r>
    </w:p>
    <w:p>
      <w:pPr>
        <w:spacing w:line="190" w:lineRule="exact" w:before="0"/>
        <w:ind w:left="0" w:right="651" w:firstLine="0"/>
        <w:jc w:val="right"/>
        <w:rPr>
          <w:sz w:val="17"/>
        </w:rPr>
      </w:pPr>
      <w:r>
        <w:rPr/>
        <w:br w:type="column"/>
      </w:r>
      <w:r>
        <w:rPr>
          <w:sz w:val="17"/>
        </w:rPr>
        <w:t>51 71456</w:t>
      </w:r>
      <w:r>
        <w:rPr>
          <w:spacing w:val="-24"/>
          <w:sz w:val="17"/>
        </w:rPr>
        <w:t> </w:t>
      </w:r>
      <w:r>
        <w:rPr>
          <w:sz w:val="17"/>
        </w:rPr>
        <w:t>0000000</w:t>
      </w:r>
    </w:p>
    <w:p>
      <w:pPr>
        <w:spacing w:line="194" w:lineRule="exact" w:before="0"/>
        <w:ind w:left="0" w:right="650" w:firstLine="0"/>
        <w:jc w:val="right"/>
        <w:rPr>
          <w:sz w:val="17"/>
        </w:rPr>
      </w:pPr>
      <w:r>
        <w:rPr>
          <w:sz w:val="17"/>
        </w:rPr>
        <w:t>Form</w:t>
      </w:r>
      <w:r>
        <w:rPr>
          <w:spacing w:val="-4"/>
          <w:sz w:val="17"/>
        </w:rPr>
        <w:t> </w:t>
      </w:r>
      <w:r>
        <w:rPr>
          <w:sz w:val="17"/>
        </w:rPr>
        <w:t>01</w:t>
      </w:r>
    </w:p>
    <w:p>
      <w:pPr>
        <w:spacing w:after="0" w:line="194" w:lineRule="exact"/>
        <w:jc w:val="right"/>
        <w:rPr>
          <w:sz w:val="17"/>
        </w:rPr>
        <w:sectPr>
          <w:headerReference w:type="default" r:id="rId400"/>
          <w:footerReference w:type="default" r:id="rId401"/>
          <w:pgSz w:w="12240" w:h="15840"/>
          <w:pgMar w:header="544" w:footer="0" w:top="740" w:bottom="280" w:left="160" w:right="180"/>
          <w:cols w:num="3" w:equalWidth="0">
            <w:col w:w="2906" w:space="1126"/>
            <w:col w:w="3223" w:space="1916"/>
            <w:col w:w="2729"/>
          </w:cols>
        </w:sectPr>
      </w:pPr>
    </w:p>
    <w:p>
      <w:pPr>
        <w:pStyle w:val="BodyText"/>
        <w:rPr>
          <w:sz w:val="20"/>
        </w:rPr>
      </w:pPr>
    </w:p>
    <w:p>
      <w:pPr>
        <w:pStyle w:val="BodyText"/>
        <w:rPr>
          <w:sz w:val="15"/>
        </w:rPr>
      </w:pPr>
    </w:p>
    <w:tbl>
      <w:tblPr>
        <w:tblW w:w="0" w:type="auto"/>
        <w:jc w:val="left"/>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21"/>
        <w:gridCol w:w="5420"/>
        <w:gridCol w:w="1803"/>
        <w:gridCol w:w="1374"/>
      </w:tblGrid>
      <w:tr>
        <w:trPr>
          <w:trHeight w:val="204" w:hRule="atLeast"/>
        </w:trPr>
        <w:tc>
          <w:tcPr>
            <w:tcW w:w="6441" w:type="dxa"/>
            <w:gridSpan w:val="2"/>
          </w:tcPr>
          <w:p>
            <w:pPr>
              <w:pStyle w:val="TableParagraph"/>
              <w:rPr>
                <w:rFonts w:ascii="Times New Roman"/>
                <w:sz w:val="14"/>
              </w:rPr>
            </w:pPr>
          </w:p>
        </w:tc>
        <w:tc>
          <w:tcPr>
            <w:tcW w:w="1803" w:type="dxa"/>
          </w:tcPr>
          <w:p>
            <w:pPr>
              <w:pStyle w:val="TableParagraph"/>
              <w:spacing w:line="184" w:lineRule="exact"/>
              <w:ind w:left="451"/>
              <w:rPr>
                <w:b/>
                <w:sz w:val="17"/>
              </w:rPr>
            </w:pPr>
            <w:r>
              <w:rPr>
                <w:b/>
                <w:sz w:val="17"/>
              </w:rPr>
              <w:t>2020-21</w:t>
            </w:r>
          </w:p>
        </w:tc>
        <w:tc>
          <w:tcPr>
            <w:tcW w:w="1374" w:type="dxa"/>
          </w:tcPr>
          <w:p>
            <w:pPr>
              <w:pStyle w:val="TableParagraph"/>
              <w:spacing w:line="184" w:lineRule="exact"/>
              <w:ind w:left="280"/>
              <w:rPr>
                <w:b/>
                <w:sz w:val="17"/>
              </w:rPr>
            </w:pPr>
            <w:r>
              <w:rPr>
                <w:b/>
                <w:sz w:val="17"/>
              </w:rPr>
              <w:t>2021-22</w:t>
            </w:r>
          </w:p>
        </w:tc>
      </w:tr>
      <w:tr>
        <w:trPr>
          <w:trHeight w:val="204" w:hRule="atLeast"/>
        </w:trPr>
        <w:tc>
          <w:tcPr>
            <w:tcW w:w="1021" w:type="dxa"/>
          </w:tcPr>
          <w:p>
            <w:pPr>
              <w:pStyle w:val="TableParagraph"/>
              <w:spacing w:line="176" w:lineRule="exact" w:before="8"/>
              <w:ind w:left="29" w:right="177"/>
              <w:jc w:val="center"/>
              <w:rPr>
                <w:b/>
                <w:sz w:val="17"/>
              </w:rPr>
            </w:pPr>
            <w:r>
              <w:rPr>
                <w:b/>
                <w:sz w:val="17"/>
              </w:rPr>
              <w:t>Resource</w:t>
            </w:r>
          </w:p>
        </w:tc>
        <w:tc>
          <w:tcPr>
            <w:tcW w:w="5420" w:type="dxa"/>
          </w:tcPr>
          <w:p>
            <w:pPr>
              <w:pStyle w:val="TableParagraph"/>
              <w:spacing w:line="176" w:lineRule="exact" w:before="8"/>
              <w:ind w:left="200"/>
              <w:rPr>
                <w:b/>
                <w:sz w:val="17"/>
              </w:rPr>
            </w:pPr>
            <w:r>
              <w:rPr>
                <w:b/>
                <w:sz w:val="17"/>
              </w:rPr>
              <w:t>Description</w:t>
            </w:r>
          </w:p>
        </w:tc>
        <w:tc>
          <w:tcPr>
            <w:tcW w:w="1803" w:type="dxa"/>
          </w:tcPr>
          <w:p>
            <w:pPr>
              <w:pStyle w:val="TableParagraph"/>
              <w:spacing w:line="176" w:lineRule="exact" w:before="8"/>
              <w:ind w:right="281"/>
              <w:jc w:val="right"/>
              <w:rPr>
                <w:b/>
                <w:sz w:val="17"/>
              </w:rPr>
            </w:pPr>
            <w:r>
              <w:rPr>
                <w:b/>
                <w:sz w:val="17"/>
              </w:rPr>
              <w:t>Estimated Actuals</w:t>
            </w:r>
          </w:p>
        </w:tc>
        <w:tc>
          <w:tcPr>
            <w:tcW w:w="1374" w:type="dxa"/>
          </w:tcPr>
          <w:p>
            <w:pPr>
              <w:pStyle w:val="TableParagraph"/>
              <w:spacing w:line="176" w:lineRule="exact" w:before="8"/>
              <w:ind w:left="299"/>
              <w:rPr>
                <w:b/>
                <w:sz w:val="17"/>
              </w:rPr>
            </w:pPr>
            <w:r>
              <w:rPr>
                <w:b/>
                <w:sz w:val="17"/>
              </w:rPr>
              <w:t>Budget</w:t>
            </w:r>
          </w:p>
        </w:tc>
      </w:tr>
      <w:tr>
        <w:trPr>
          <w:trHeight w:val="494" w:hRule="atLeast"/>
        </w:trPr>
        <w:tc>
          <w:tcPr>
            <w:tcW w:w="1021" w:type="dxa"/>
          </w:tcPr>
          <w:p>
            <w:pPr>
              <w:pStyle w:val="TableParagraph"/>
              <w:spacing w:before="9"/>
              <w:rPr>
                <w:sz w:val="22"/>
              </w:rPr>
            </w:pPr>
          </w:p>
          <w:p>
            <w:pPr>
              <w:pStyle w:val="TableParagraph"/>
              <w:spacing w:before="1"/>
              <w:ind w:left="27" w:right="177"/>
              <w:jc w:val="center"/>
              <w:rPr>
                <w:sz w:val="17"/>
              </w:rPr>
            </w:pPr>
            <w:r>
              <w:rPr>
                <w:sz w:val="17"/>
              </w:rPr>
              <w:t>5310</w:t>
            </w:r>
          </w:p>
        </w:tc>
        <w:tc>
          <w:tcPr>
            <w:tcW w:w="5420" w:type="dxa"/>
          </w:tcPr>
          <w:p>
            <w:pPr>
              <w:pStyle w:val="TableParagraph"/>
              <w:spacing w:before="9"/>
              <w:rPr>
                <w:sz w:val="22"/>
              </w:rPr>
            </w:pPr>
          </w:p>
          <w:p>
            <w:pPr>
              <w:pStyle w:val="TableParagraph"/>
              <w:spacing w:before="1"/>
              <w:ind w:left="200"/>
              <w:rPr>
                <w:sz w:val="17"/>
              </w:rPr>
            </w:pPr>
            <w:r>
              <w:rPr>
                <w:sz w:val="17"/>
              </w:rPr>
              <w:t>Child Nutrition: School Programs (e.g., School Lunch, School Breakf</w:t>
            </w:r>
          </w:p>
        </w:tc>
        <w:tc>
          <w:tcPr>
            <w:tcW w:w="1803" w:type="dxa"/>
          </w:tcPr>
          <w:p>
            <w:pPr>
              <w:pStyle w:val="TableParagraph"/>
              <w:spacing w:before="9"/>
              <w:rPr>
                <w:sz w:val="22"/>
              </w:rPr>
            </w:pPr>
          </w:p>
          <w:p>
            <w:pPr>
              <w:pStyle w:val="TableParagraph"/>
              <w:spacing w:before="1"/>
              <w:ind w:right="314"/>
              <w:jc w:val="right"/>
              <w:rPr>
                <w:sz w:val="17"/>
              </w:rPr>
            </w:pPr>
            <w:r>
              <w:rPr>
                <w:sz w:val="17"/>
              </w:rPr>
              <w:t>6,764.00</w:t>
            </w:r>
          </w:p>
        </w:tc>
        <w:tc>
          <w:tcPr>
            <w:tcW w:w="1374" w:type="dxa"/>
          </w:tcPr>
          <w:p>
            <w:pPr>
              <w:pStyle w:val="TableParagraph"/>
              <w:spacing w:before="9"/>
              <w:rPr>
                <w:sz w:val="22"/>
              </w:rPr>
            </w:pPr>
          </w:p>
          <w:p>
            <w:pPr>
              <w:pStyle w:val="TableParagraph"/>
              <w:spacing w:before="1"/>
              <w:ind w:right="49"/>
              <w:jc w:val="right"/>
              <w:rPr>
                <w:sz w:val="17"/>
              </w:rPr>
            </w:pPr>
            <w:r>
              <w:rPr>
                <w:sz w:val="17"/>
              </w:rPr>
              <w:t>0.00</w:t>
            </w:r>
          </w:p>
        </w:tc>
      </w:tr>
      <w:tr>
        <w:trPr>
          <w:trHeight w:val="261" w:hRule="atLeast"/>
        </w:trPr>
        <w:tc>
          <w:tcPr>
            <w:tcW w:w="1021" w:type="dxa"/>
          </w:tcPr>
          <w:p>
            <w:pPr>
              <w:pStyle w:val="TableParagraph"/>
              <w:spacing w:before="30"/>
              <w:ind w:left="27" w:right="177"/>
              <w:jc w:val="center"/>
              <w:rPr>
                <w:sz w:val="17"/>
              </w:rPr>
            </w:pPr>
            <w:r>
              <w:rPr>
                <w:sz w:val="17"/>
              </w:rPr>
              <w:t>6300</w:t>
            </w:r>
          </w:p>
        </w:tc>
        <w:tc>
          <w:tcPr>
            <w:tcW w:w="5420" w:type="dxa"/>
          </w:tcPr>
          <w:p>
            <w:pPr>
              <w:pStyle w:val="TableParagraph"/>
              <w:spacing w:before="30"/>
              <w:ind w:left="200"/>
              <w:rPr>
                <w:sz w:val="17"/>
              </w:rPr>
            </w:pPr>
            <w:r>
              <w:rPr>
                <w:sz w:val="17"/>
              </w:rPr>
              <w:t>Lottery: Instructional Materials</w:t>
            </w:r>
          </w:p>
        </w:tc>
        <w:tc>
          <w:tcPr>
            <w:tcW w:w="1803" w:type="dxa"/>
          </w:tcPr>
          <w:p>
            <w:pPr>
              <w:pStyle w:val="TableParagraph"/>
              <w:spacing w:before="30"/>
              <w:ind w:right="315"/>
              <w:jc w:val="right"/>
              <w:rPr>
                <w:sz w:val="17"/>
              </w:rPr>
            </w:pPr>
            <w:r>
              <w:rPr>
                <w:sz w:val="17"/>
              </w:rPr>
              <w:t>10,669.00</w:t>
            </w:r>
          </w:p>
        </w:tc>
        <w:tc>
          <w:tcPr>
            <w:tcW w:w="1374" w:type="dxa"/>
          </w:tcPr>
          <w:p>
            <w:pPr>
              <w:pStyle w:val="TableParagraph"/>
              <w:spacing w:before="30"/>
              <w:ind w:right="49"/>
              <w:jc w:val="right"/>
              <w:rPr>
                <w:sz w:val="17"/>
              </w:rPr>
            </w:pPr>
            <w:r>
              <w:rPr>
                <w:sz w:val="17"/>
              </w:rPr>
              <w:t>8,270.00</w:t>
            </w:r>
          </w:p>
        </w:tc>
      </w:tr>
      <w:tr>
        <w:trPr>
          <w:trHeight w:val="261" w:hRule="atLeast"/>
        </w:trPr>
        <w:tc>
          <w:tcPr>
            <w:tcW w:w="1021" w:type="dxa"/>
          </w:tcPr>
          <w:p>
            <w:pPr>
              <w:pStyle w:val="TableParagraph"/>
              <w:spacing w:before="30"/>
              <w:ind w:left="27" w:right="177"/>
              <w:jc w:val="center"/>
              <w:rPr>
                <w:sz w:val="17"/>
              </w:rPr>
            </w:pPr>
            <w:r>
              <w:rPr>
                <w:sz w:val="17"/>
              </w:rPr>
              <w:t>7311</w:t>
            </w:r>
          </w:p>
        </w:tc>
        <w:tc>
          <w:tcPr>
            <w:tcW w:w="5420" w:type="dxa"/>
          </w:tcPr>
          <w:p>
            <w:pPr>
              <w:pStyle w:val="TableParagraph"/>
              <w:spacing w:before="30"/>
              <w:ind w:left="200"/>
              <w:rPr>
                <w:sz w:val="17"/>
              </w:rPr>
            </w:pPr>
            <w:r>
              <w:rPr>
                <w:sz w:val="17"/>
              </w:rPr>
              <w:t>Classified School Employee Professional Development Block Grant</w:t>
            </w:r>
          </w:p>
        </w:tc>
        <w:tc>
          <w:tcPr>
            <w:tcW w:w="1803" w:type="dxa"/>
          </w:tcPr>
          <w:p>
            <w:pPr>
              <w:pStyle w:val="TableParagraph"/>
              <w:spacing w:before="30"/>
              <w:ind w:right="315"/>
              <w:jc w:val="right"/>
              <w:rPr>
                <w:sz w:val="17"/>
              </w:rPr>
            </w:pPr>
            <w:r>
              <w:rPr>
                <w:sz w:val="17"/>
              </w:rPr>
              <w:t>11.00</w:t>
            </w:r>
          </w:p>
        </w:tc>
        <w:tc>
          <w:tcPr>
            <w:tcW w:w="1374" w:type="dxa"/>
          </w:tcPr>
          <w:p>
            <w:pPr>
              <w:pStyle w:val="TableParagraph"/>
              <w:spacing w:before="30"/>
              <w:ind w:right="49"/>
              <w:jc w:val="right"/>
              <w:rPr>
                <w:sz w:val="17"/>
              </w:rPr>
            </w:pPr>
            <w:r>
              <w:rPr>
                <w:sz w:val="17"/>
              </w:rPr>
              <w:t>0.00</w:t>
            </w:r>
          </w:p>
        </w:tc>
      </w:tr>
      <w:tr>
        <w:trPr>
          <w:trHeight w:val="261" w:hRule="atLeast"/>
        </w:trPr>
        <w:tc>
          <w:tcPr>
            <w:tcW w:w="1021" w:type="dxa"/>
          </w:tcPr>
          <w:p>
            <w:pPr>
              <w:pStyle w:val="TableParagraph"/>
              <w:spacing w:before="30"/>
              <w:ind w:left="27" w:right="177"/>
              <w:jc w:val="center"/>
              <w:rPr>
                <w:sz w:val="17"/>
              </w:rPr>
            </w:pPr>
            <w:r>
              <w:rPr>
                <w:sz w:val="17"/>
              </w:rPr>
              <w:t>7425</w:t>
            </w:r>
          </w:p>
        </w:tc>
        <w:tc>
          <w:tcPr>
            <w:tcW w:w="5420" w:type="dxa"/>
          </w:tcPr>
          <w:p>
            <w:pPr>
              <w:pStyle w:val="TableParagraph"/>
              <w:spacing w:before="30"/>
              <w:ind w:left="200"/>
              <w:rPr>
                <w:sz w:val="17"/>
              </w:rPr>
            </w:pPr>
            <w:r>
              <w:rPr>
                <w:sz w:val="17"/>
              </w:rPr>
              <w:t>Expanded Learning Opportunities (ELO) Grant</w:t>
            </w:r>
          </w:p>
        </w:tc>
        <w:tc>
          <w:tcPr>
            <w:tcW w:w="1803" w:type="dxa"/>
          </w:tcPr>
          <w:p>
            <w:pPr>
              <w:pStyle w:val="TableParagraph"/>
              <w:spacing w:before="30"/>
              <w:ind w:right="315"/>
              <w:jc w:val="right"/>
              <w:rPr>
                <w:sz w:val="17"/>
              </w:rPr>
            </w:pPr>
            <w:r>
              <w:rPr>
                <w:sz w:val="17"/>
              </w:rPr>
              <w:t>77,634.00</w:t>
            </w:r>
          </w:p>
        </w:tc>
        <w:tc>
          <w:tcPr>
            <w:tcW w:w="1374" w:type="dxa"/>
          </w:tcPr>
          <w:p>
            <w:pPr>
              <w:pStyle w:val="TableParagraph"/>
              <w:spacing w:before="30"/>
              <w:ind w:right="49"/>
              <w:jc w:val="right"/>
              <w:rPr>
                <w:sz w:val="17"/>
              </w:rPr>
            </w:pPr>
            <w:r>
              <w:rPr>
                <w:sz w:val="17"/>
              </w:rPr>
              <w:t>0.00</w:t>
            </w:r>
          </w:p>
        </w:tc>
      </w:tr>
      <w:tr>
        <w:trPr>
          <w:trHeight w:val="261" w:hRule="atLeast"/>
        </w:trPr>
        <w:tc>
          <w:tcPr>
            <w:tcW w:w="1021" w:type="dxa"/>
          </w:tcPr>
          <w:p>
            <w:pPr>
              <w:pStyle w:val="TableParagraph"/>
              <w:spacing w:before="30"/>
              <w:ind w:left="27" w:right="177"/>
              <w:jc w:val="center"/>
              <w:rPr>
                <w:sz w:val="17"/>
              </w:rPr>
            </w:pPr>
            <w:r>
              <w:rPr>
                <w:sz w:val="17"/>
              </w:rPr>
              <w:t>7426</w:t>
            </w:r>
          </w:p>
        </w:tc>
        <w:tc>
          <w:tcPr>
            <w:tcW w:w="5420" w:type="dxa"/>
          </w:tcPr>
          <w:p>
            <w:pPr>
              <w:pStyle w:val="TableParagraph"/>
              <w:spacing w:before="30"/>
              <w:ind w:left="200"/>
              <w:rPr>
                <w:sz w:val="17"/>
              </w:rPr>
            </w:pPr>
            <w:r>
              <w:rPr>
                <w:sz w:val="17"/>
              </w:rPr>
              <w:t>Expanded Learning Opportunities (ELO) Grant: Paraprofessional Sta</w:t>
            </w:r>
          </w:p>
        </w:tc>
        <w:tc>
          <w:tcPr>
            <w:tcW w:w="1803" w:type="dxa"/>
          </w:tcPr>
          <w:p>
            <w:pPr>
              <w:pStyle w:val="TableParagraph"/>
              <w:spacing w:before="30"/>
              <w:ind w:right="314"/>
              <w:jc w:val="right"/>
              <w:rPr>
                <w:sz w:val="17"/>
              </w:rPr>
            </w:pPr>
            <w:r>
              <w:rPr>
                <w:sz w:val="17"/>
              </w:rPr>
              <w:t>8,878.00</w:t>
            </w:r>
          </w:p>
        </w:tc>
        <w:tc>
          <w:tcPr>
            <w:tcW w:w="1374" w:type="dxa"/>
          </w:tcPr>
          <w:p>
            <w:pPr>
              <w:pStyle w:val="TableParagraph"/>
              <w:spacing w:before="30"/>
              <w:ind w:right="49"/>
              <w:jc w:val="right"/>
              <w:rPr>
                <w:sz w:val="17"/>
              </w:rPr>
            </w:pPr>
            <w:r>
              <w:rPr>
                <w:sz w:val="17"/>
              </w:rPr>
              <w:t>0.00</w:t>
            </w:r>
          </w:p>
        </w:tc>
      </w:tr>
      <w:tr>
        <w:trPr>
          <w:trHeight w:val="261" w:hRule="atLeast"/>
        </w:trPr>
        <w:tc>
          <w:tcPr>
            <w:tcW w:w="1021" w:type="dxa"/>
          </w:tcPr>
          <w:p>
            <w:pPr>
              <w:pStyle w:val="TableParagraph"/>
              <w:spacing w:before="30"/>
              <w:ind w:left="27" w:right="177"/>
              <w:jc w:val="center"/>
              <w:rPr>
                <w:sz w:val="17"/>
              </w:rPr>
            </w:pPr>
            <w:r>
              <w:rPr>
                <w:sz w:val="17"/>
              </w:rPr>
              <w:t>7810</w:t>
            </w:r>
          </w:p>
        </w:tc>
        <w:tc>
          <w:tcPr>
            <w:tcW w:w="5420" w:type="dxa"/>
          </w:tcPr>
          <w:p>
            <w:pPr>
              <w:pStyle w:val="TableParagraph"/>
              <w:spacing w:before="30"/>
              <w:ind w:left="200"/>
              <w:rPr>
                <w:sz w:val="17"/>
              </w:rPr>
            </w:pPr>
            <w:r>
              <w:rPr>
                <w:sz w:val="17"/>
              </w:rPr>
              <w:t>Other Restricted State</w:t>
            </w:r>
          </w:p>
        </w:tc>
        <w:tc>
          <w:tcPr>
            <w:tcW w:w="1803" w:type="dxa"/>
          </w:tcPr>
          <w:p>
            <w:pPr>
              <w:pStyle w:val="TableParagraph"/>
              <w:spacing w:before="30"/>
              <w:ind w:right="314"/>
              <w:jc w:val="right"/>
              <w:rPr>
                <w:sz w:val="17"/>
              </w:rPr>
            </w:pPr>
            <w:r>
              <w:rPr>
                <w:sz w:val="17"/>
              </w:rPr>
              <w:t>9,924.00</w:t>
            </w:r>
          </w:p>
        </w:tc>
        <w:tc>
          <w:tcPr>
            <w:tcW w:w="1374" w:type="dxa"/>
          </w:tcPr>
          <w:p>
            <w:pPr>
              <w:pStyle w:val="TableParagraph"/>
              <w:spacing w:before="30"/>
              <w:ind w:right="49"/>
              <w:jc w:val="right"/>
              <w:rPr>
                <w:sz w:val="17"/>
              </w:rPr>
            </w:pPr>
            <w:r>
              <w:rPr>
                <w:sz w:val="17"/>
              </w:rPr>
              <w:t>9,924.00</w:t>
            </w:r>
          </w:p>
        </w:tc>
      </w:tr>
      <w:tr>
        <w:trPr>
          <w:trHeight w:val="225" w:hRule="atLeast"/>
        </w:trPr>
        <w:tc>
          <w:tcPr>
            <w:tcW w:w="1021" w:type="dxa"/>
          </w:tcPr>
          <w:p>
            <w:pPr>
              <w:pStyle w:val="TableParagraph"/>
              <w:spacing w:line="175" w:lineRule="exact" w:before="30"/>
              <w:ind w:left="27" w:right="177"/>
              <w:jc w:val="center"/>
              <w:rPr>
                <w:sz w:val="17"/>
              </w:rPr>
            </w:pPr>
            <w:r>
              <w:rPr>
                <w:sz w:val="17"/>
              </w:rPr>
              <w:t>9010</w:t>
            </w:r>
          </w:p>
        </w:tc>
        <w:tc>
          <w:tcPr>
            <w:tcW w:w="5420" w:type="dxa"/>
          </w:tcPr>
          <w:p>
            <w:pPr>
              <w:pStyle w:val="TableParagraph"/>
              <w:spacing w:line="175" w:lineRule="exact" w:before="30"/>
              <w:ind w:left="200"/>
              <w:rPr>
                <w:sz w:val="17"/>
              </w:rPr>
            </w:pPr>
            <w:r>
              <w:rPr>
                <w:sz w:val="17"/>
              </w:rPr>
              <w:t>Other Restricted Local</w:t>
            </w:r>
          </w:p>
        </w:tc>
        <w:tc>
          <w:tcPr>
            <w:tcW w:w="1803" w:type="dxa"/>
          </w:tcPr>
          <w:p>
            <w:pPr>
              <w:pStyle w:val="TableParagraph"/>
              <w:spacing w:line="175" w:lineRule="exact" w:before="30"/>
              <w:ind w:right="314"/>
              <w:jc w:val="right"/>
              <w:rPr>
                <w:sz w:val="17"/>
              </w:rPr>
            </w:pPr>
            <w:r>
              <w:rPr>
                <w:sz w:val="17"/>
              </w:rPr>
              <w:t>7,096.00</w:t>
            </w:r>
          </w:p>
        </w:tc>
        <w:tc>
          <w:tcPr>
            <w:tcW w:w="1374" w:type="dxa"/>
          </w:tcPr>
          <w:p>
            <w:pPr>
              <w:pStyle w:val="TableParagraph"/>
              <w:spacing w:line="175" w:lineRule="exact" w:before="30"/>
              <w:ind w:right="49"/>
              <w:jc w:val="right"/>
              <w:rPr>
                <w:sz w:val="17"/>
              </w:rPr>
            </w:pPr>
            <w:r>
              <w:rPr>
                <w:sz w:val="17"/>
              </w:rPr>
              <w:t>7,096.00</w:t>
            </w:r>
          </w:p>
        </w:tc>
      </w:tr>
    </w:tbl>
    <w:p>
      <w:pPr>
        <w:pStyle w:val="BodyText"/>
        <w:spacing w:before="8"/>
      </w:pPr>
      <w:r>
        <w:rPr/>
        <w:drawing>
          <wp:anchor distT="0" distB="0" distL="0" distR="0" allowOverlap="1" layoutInCell="1" locked="0" behindDoc="0" simplePos="0" relativeHeight="160">
            <wp:simplePos x="0" y="0"/>
            <wp:positionH relativeFrom="page">
              <wp:posOffset>4779264</wp:posOffset>
            </wp:positionH>
            <wp:positionV relativeFrom="paragraph">
              <wp:posOffset>124941</wp:posOffset>
            </wp:positionV>
            <wp:extent cx="2078865" cy="4572"/>
            <wp:effectExtent l="0" t="0" r="0" b="0"/>
            <wp:wrapTopAndBottom/>
            <wp:docPr id="3" name="image388.png"/>
            <wp:cNvGraphicFramePr>
              <a:graphicFrameLocks noChangeAspect="1"/>
            </wp:cNvGraphicFramePr>
            <a:graphic>
              <a:graphicData uri="http://schemas.openxmlformats.org/drawingml/2006/picture">
                <pic:pic>
                  <pic:nvPicPr>
                    <pic:cNvPr id="4" name="image388.png"/>
                    <pic:cNvPicPr/>
                  </pic:nvPicPr>
                  <pic:blipFill>
                    <a:blip r:embed="rId403" cstate="print"/>
                    <a:stretch>
                      <a:fillRect/>
                    </a:stretch>
                  </pic:blipFill>
                  <pic:spPr>
                    <a:xfrm>
                      <a:off x="0" y="0"/>
                      <a:ext cx="2078865" cy="4572"/>
                    </a:xfrm>
                    <a:prstGeom prst="rect">
                      <a:avLst/>
                    </a:prstGeom>
                  </pic:spPr>
                </pic:pic>
              </a:graphicData>
            </a:graphic>
          </wp:anchor>
        </w:drawing>
      </w:r>
    </w:p>
    <w:p>
      <w:pPr>
        <w:tabs>
          <w:tab w:pos="8064" w:val="left" w:leader="none"/>
          <w:tab w:pos="9797" w:val="left" w:leader="none"/>
        </w:tabs>
        <w:spacing w:line="194" w:lineRule="exact" w:before="0"/>
        <w:ind w:left="1018" w:right="0" w:firstLine="0"/>
        <w:jc w:val="left"/>
        <w:rPr>
          <w:sz w:val="17"/>
        </w:rPr>
      </w:pPr>
      <w:r>
        <w:rPr>
          <w:sz w:val="17"/>
        </w:rPr>
        <w:t>Total,</w:t>
      </w:r>
      <w:r>
        <w:rPr>
          <w:spacing w:val="-2"/>
          <w:sz w:val="17"/>
        </w:rPr>
        <w:t> </w:t>
      </w:r>
      <w:r>
        <w:rPr>
          <w:sz w:val="17"/>
        </w:rPr>
        <w:t>Restricted</w:t>
      </w:r>
      <w:r>
        <w:rPr>
          <w:spacing w:val="-4"/>
          <w:sz w:val="17"/>
        </w:rPr>
        <w:t> </w:t>
      </w:r>
      <w:r>
        <w:rPr>
          <w:sz w:val="17"/>
        </w:rPr>
        <w:t>Balance</w:t>
        <w:tab/>
        <w:t>120,976.00</w:t>
        <w:tab/>
        <w:t>25,290.00</w:t>
      </w:r>
    </w:p>
    <w:p>
      <w:pPr>
        <w:pStyle w:val="BodyText"/>
        <w:spacing w:line="20" w:lineRule="exact"/>
        <w:ind w:left="7366"/>
        <w:rPr>
          <w:sz w:val="2"/>
        </w:rPr>
      </w:pPr>
      <w:r>
        <w:rPr>
          <w:sz w:val="2"/>
        </w:rPr>
        <w:drawing>
          <wp:inline distT="0" distB="0" distL="0" distR="0">
            <wp:extent cx="2078735" cy="4572"/>
            <wp:effectExtent l="0" t="0" r="0" b="0"/>
            <wp:docPr id="5" name="image388.png"/>
            <wp:cNvGraphicFramePr>
              <a:graphicFrameLocks noChangeAspect="1"/>
            </wp:cNvGraphicFramePr>
            <a:graphic>
              <a:graphicData uri="http://schemas.openxmlformats.org/drawingml/2006/picture">
                <pic:pic>
                  <pic:nvPicPr>
                    <pic:cNvPr id="6" name="image388.png"/>
                    <pic:cNvPicPr/>
                  </pic:nvPicPr>
                  <pic:blipFill>
                    <a:blip r:embed="rId403" cstate="print"/>
                    <a:stretch>
                      <a:fillRect/>
                    </a:stretch>
                  </pic:blipFill>
                  <pic:spPr>
                    <a:xfrm>
                      <a:off x="0" y="0"/>
                      <a:ext cx="2078735" cy="4572"/>
                    </a:xfrm>
                    <a:prstGeom prst="rect">
                      <a:avLst/>
                    </a:prstGeom>
                  </pic:spPr>
                </pic:pic>
              </a:graphicData>
            </a:graphic>
          </wp:inline>
        </w:drawing>
      </w:r>
      <w:r>
        <w:rPr>
          <w:sz w:val="2"/>
        </w:rPr>
      </w: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spacing w:line="194" w:lineRule="exact" w:before="147"/>
        <w:ind w:left="670" w:right="0" w:firstLine="0"/>
        <w:jc w:val="left"/>
        <w:rPr>
          <w:sz w:val="17"/>
        </w:rPr>
      </w:pPr>
      <w:r>
        <w:rPr>
          <w:sz w:val="17"/>
        </w:rPr>
        <w:t>California Dept of Education</w:t>
      </w:r>
    </w:p>
    <w:p>
      <w:pPr>
        <w:spacing w:line="192" w:lineRule="exact" w:before="0"/>
        <w:ind w:left="670" w:right="0" w:firstLine="0"/>
        <w:jc w:val="left"/>
        <w:rPr>
          <w:sz w:val="17"/>
        </w:rPr>
      </w:pPr>
      <w:r>
        <w:rPr>
          <w:sz w:val="17"/>
        </w:rPr>
        <w:t>SACS Financial Reporting Software - 2021.1.0</w:t>
      </w:r>
    </w:p>
    <w:p>
      <w:pPr>
        <w:tabs>
          <w:tab w:pos="5689" w:val="left" w:leader="none"/>
          <w:tab w:pos="9085" w:val="left" w:leader="none"/>
        </w:tabs>
        <w:spacing w:line="194" w:lineRule="exact" w:before="0"/>
        <w:ind w:left="670" w:right="0" w:firstLine="0"/>
        <w:jc w:val="left"/>
        <w:rPr>
          <w:sz w:val="17"/>
        </w:rPr>
      </w:pPr>
      <w:r>
        <w:rPr>
          <w:sz w:val="17"/>
        </w:rPr>
        <w:t>File: fund-a</w:t>
      </w:r>
      <w:r>
        <w:rPr>
          <w:spacing w:val="-9"/>
          <w:sz w:val="17"/>
        </w:rPr>
        <w:t> </w:t>
      </w:r>
      <w:r>
        <w:rPr>
          <w:sz w:val="17"/>
        </w:rPr>
        <w:t>(Rev</w:t>
      </w:r>
      <w:r>
        <w:rPr>
          <w:spacing w:val="-5"/>
          <w:sz w:val="17"/>
        </w:rPr>
        <w:t> </w:t>
      </w:r>
      <w:r>
        <w:rPr>
          <w:sz w:val="17"/>
        </w:rPr>
        <w:t>04/17/2019)</w:t>
        <w:tab/>
        <w:t>Page</w:t>
      </w:r>
      <w:r>
        <w:rPr>
          <w:spacing w:val="-1"/>
          <w:sz w:val="17"/>
        </w:rPr>
        <w:t> </w:t>
      </w:r>
      <w:r>
        <w:rPr>
          <w:sz w:val="17"/>
        </w:rPr>
        <w:t>1</w:t>
        <w:tab/>
        <w:t>Printed: 6/4/2021 10:05</w:t>
      </w:r>
      <w:r>
        <w:rPr>
          <w:spacing w:val="-2"/>
          <w:sz w:val="17"/>
        </w:rPr>
        <w:t> </w:t>
      </w:r>
      <w:r>
        <w:rPr>
          <w:sz w:val="17"/>
        </w:rPr>
        <w:t>AM</w:t>
      </w:r>
    </w:p>
    <w:p>
      <w:pPr>
        <w:spacing w:after="0" w:line="194" w:lineRule="exact"/>
        <w:jc w:val="left"/>
        <w:rPr>
          <w:sz w:val="17"/>
        </w:rPr>
        <w:sectPr>
          <w:type w:val="continuous"/>
          <w:pgSz w:w="12240" w:h="15840"/>
          <w:pgMar w:top="1500" w:bottom="840" w:left="160" w:right="180"/>
        </w:sectPr>
      </w:pPr>
    </w:p>
    <w:p>
      <w:pPr>
        <w:spacing w:line="232" w:lineRule="auto" w:before="1"/>
        <w:ind w:left="308" w:right="0" w:firstLine="0"/>
        <w:jc w:val="left"/>
        <w:rPr>
          <w:sz w:val="18"/>
        </w:rPr>
      </w:pPr>
      <w:r>
        <w:rPr/>
        <w:pict>
          <v:group style="position:absolute;margin-left:30.120001pt;margin-top:36.318634pt;width:538pt;height:39.5pt;mso-position-horizontal-relative:page;mso-position-vertical-relative:paragraph;z-index:-314543104" coordorigin="602,726" coordsize="10760,790">
            <v:shape style="position:absolute;left:602;top:726;width:3646;height:790" type="#_x0000_t75" stroked="false">
              <v:imagedata r:id="rId406" o:title=""/>
            </v:shape>
            <v:shape style="position:absolute;left:4240;top:726;width:7121;height:790" type="#_x0000_t75" stroked="false">
              <v:imagedata r:id="rId407" o:title=""/>
            </v:shape>
            <w10:wrap type="none"/>
          </v:group>
        </w:pict>
      </w:r>
      <w:r>
        <w:rPr/>
        <w:pict>
          <v:group style="position:absolute;margin-left:30.120001pt;margin-top:74.718628pt;width:538pt;height:523pt;mso-position-horizontal-relative:page;mso-position-vertical-relative:paragraph;z-index:-314542080" coordorigin="602,1494" coordsize="10760,10460">
            <v:line style="position:absolute" from="1412,1506" to="1412,1876" stroked="true" strokeweight=".360003pt" strokecolor="#ffffff">
              <v:stroke dashstyle="solid"/>
            </v:line>
            <v:shape style="position:absolute;left:602;top:1501;width:3646;height:2472" type="#_x0000_t75" stroked="false">
              <v:imagedata r:id="rId408" o:title=""/>
            </v:shape>
            <v:shape style="position:absolute;left:6782;top:1494;width:1520;height:389" type="#_x0000_t75" stroked="false">
              <v:imagedata r:id="rId409" o:title=""/>
            </v:shape>
            <v:shape style="position:absolute;left:8294;top:1494;width:1520;height:389" type="#_x0000_t75" stroked="false">
              <v:imagedata r:id="rId410" o:title=""/>
            </v:shape>
            <v:shape style="position:absolute;left:8294;top:1494;width:3068;height:1337" type="#_x0000_t75" stroked="false">
              <v:imagedata r:id="rId411" o:title=""/>
            </v:shape>
            <v:shape style="position:absolute;left:6782;top:1878;width:1520;height:953" type="#_x0000_t75" stroked="false">
              <v:imagedata r:id="rId412" o:title=""/>
            </v:shape>
            <v:shape style="position:absolute;left:8294;top:2451;width:3068;height:761" type="#_x0000_t75" stroked="false">
              <v:imagedata r:id="rId413" o:title=""/>
            </v:shape>
            <v:shape style="position:absolute;left:6782;top:2828;width:1520;height:384" type="#_x0000_t75" stroked="false">
              <v:imagedata r:id="rId414" o:title=""/>
            </v:shape>
            <v:shape style="position:absolute;left:9806;top:2828;width:1556;height:756" type="#_x0000_t75" stroked="false">
              <v:imagedata r:id="rId415" o:title=""/>
            </v:shape>
            <v:shape style="position:absolute;left:602;top:3205;width:10760;height:1133" type="#_x0000_t75" stroked="false">
              <v:imagedata r:id="rId416" o:title=""/>
            </v:shape>
            <v:line style="position:absolute" from="1412,3964" to="1412,4334" stroked="true" strokeweight=".360003pt" strokecolor="#ffffff">
              <v:stroke dashstyle="solid"/>
            </v:line>
            <v:shape style="position:absolute;left:4240;top:3951;width:7121;height:965" type="#_x0000_t75" stroked="false">
              <v:imagedata r:id="rId417" o:title=""/>
            </v:shape>
            <v:shape style="position:absolute;left:6782;top:4532;width:4580;height:761" type="#_x0000_t75" stroked="false">
              <v:imagedata r:id="rId418" o:title=""/>
            </v:shape>
            <v:shape style="position:absolute;left:6782;top:4909;width:4580;height:761" type="#_x0000_t75" stroked="false">
              <v:imagedata r:id="rId418" o:title=""/>
            </v:shape>
            <v:shape style="position:absolute;left:6782;top:5286;width:4580;height:761" type="#_x0000_t75" stroked="false">
              <v:imagedata r:id="rId418" o:title=""/>
            </v:shape>
            <v:shape style="position:absolute;left:6782;top:5663;width:4580;height:761" type="#_x0000_t75" stroked="false">
              <v:imagedata r:id="rId418" o:title=""/>
            </v:shape>
            <v:shape style="position:absolute;left:8294;top:6039;width:3068;height:756" type="#_x0000_t75" stroked="false">
              <v:imagedata r:id="rId419" o:title=""/>
            </v:shape>
            <v:shape style="position:absolute;left:602;top:4335;width:3646;height:3800" type="#_x0000_t75" stroked="false">
              <v:imagedata r:id="rId420" o:title=""/>
            </v:shape>
            <v:shape style="position:absolute;left:6782;top:6416;width:1520;height:756" type="#_x0000_t75" stroked="false">
              <v:imagedata r:id="rId421" o:title=""/>
            </v:shape>
            <v:shape style="position:absolute;left:8294;top:6416;width:1520;height:756" type="#_x0000_t75" stroked="false">
              <v:imagedata r:id="rId422" o:title=""/>
            </v:shape>
            <v:shape style="position:absolute;left:9806;top:6416;width:1556;height:1330" type="#_x0000_t75" stroked="false">
              <v:imagedata r:id="rId423" o:title=""/>
            </v:shape>
            <v:shape style="position:absolute;left:6782;top:7170;width:1520;height:204" type="#_x0000_t75" stroked="false">
              <v:imagedata r:id="rId424" o:title=""/>
            </v:shape>
            <v:shape style="position:absolute;left:8294;top:7170;width:1520;height:204" type="#_x0000_t75" stroked="false">
              <v:imagedata r:id="rId425" o:title=""/>
            </v:shape>
            <v:line style="position:absolute" from="1412,8126" to="1412,8495" stroked="true" strokeweight=".360003pt" strokecolor="#ffffff">
              <v:stroke dashstyle="solid"/>
            </v:line>
            <v:shape style="position:absolute;left:4240;top:7367;width:7121;height:1539" type="#_x0000_t75" stroked="false">
              <v:imagedata r:id="rId426" o:title=""/>
            </v:shape>
            <v:shape style="position:absolute;left:602;top:8120;width:3646;height:785" type="#_x0000_t75" stroked="false">
              <v:imagedata r:id="rId427" o:title=""/>
            </v:shape>
            <v:line style="position:absolute" from="1412,8896" to="1412,9266" stroked="true" strokeweight=".360003pt" strokecolor="#ffffff">
              <v:stroke dashstyle="solid"/>
            </v:line>
            <v:shape style="position:absolute;left:6782;top:8694;width:4580;height:1172" type="#_x0000_t75" stroked="false">
              <v:imagedata r:id="rId428" o:title=""/>
            </v:shape>
            <v:shape style="position:absolute;left:6782;top:9661;width:4580;height:581" type="#_x0000_t75" stroked="false">
              <v:imagedata r:id="rId429" o:title=""/>
            </v:shape>
            <v:shape style="position:absolute;left:6782;top:9858;width:4580;height:958" type="#_x0000_t75" stroked="false">
              <v:imagedata r:id="rId430" o:title=""/>
            </v:shape>
            <v:shape style="position:absolute;left:6782;top:10611;width:4580;height:581" type="#_x0000_t75" stroked="false">
              <v:imagedata r:id="rId429" o:title=""/>
            </v:shape>
            <v:shape style="position:absolute;left:602;top:8891;width:3646;height:3063" type="#_x0000_t75" stroked="false">
              <v:imagedata r:id="rId431" o:title=""/>
            </v:shape>
            <v:shape style="position:absolute;left:8294;top:10808;width:3068;height:756" type="#_x0000_t75" stroked="false">
              <v:imagedata r:id="rId419" o:title=""/>
            </v:shape>
            <v:shape style="position:absolute;left:4240;top:11185;width:7121;height:768" type="#_x0000_t75" stroked="false">
              <v:imagedata r:id="rId432" o:title=""/>
            </v:shape>
            <w10:wrap type="none"/>
          </v:group>
        </w:pict>
      </w:r>
      <w:bookmarkStart w:name="FORM 08" w:id="4"/>
      <w:bookmarkEnd w:id="4"/>
      <w:r>
        <w:rPr/>
      </w:r>
      <w:r>
        <w:rPr>
          <w:sz w:val="18"/>
        </w:rPr>
        <w:t>Winship-Robbins Elementary Sutter County</w:t>
      </w:r>
    </w:p>
    <w:p>
      <w:pPr>
        <w:spacing w:line="232" w:lineRule="auto" w:before="1"/>
        <w:ind w:left="943" w:right="0" w:hanging="636"/>
        <w:jc w:val="left"/>
        <w:rPr>
          <w:sz w:val="18"/>
        </w:rPr>
      </w:pPr>
      <w:r>
        <w:rPr/>
        <w:br w:type="column"/>
      </w:r>
      <w:r>
        <w:rPr>
          <w:sz w:val="18"/>
        </w:rPr>
        <w:t>Student Activity Special Revenue Fund Expenditures by Object</w:t>
      </w:r>
    </w:p>
    <w:p>
      <w:pPr>
        <w:spacing w:line="200" w:lineRule="exact" w:before="0"/>
        <w:ind w:left="0" w:right="287" w:firstLine="0"/>
        <w:jc w:val="right"/>
        <w:rPr>
          <w:sz w:val="18"/>
        </w:rPr>
      </w:pPr>
      <w:r>
        <w:rPr/>
        <w:br w:type="column"/>
      </w:r>
      <w:r>
        <w:rPr>
          <w:sz w:val="18"/>
        </w:rPr>
        <w:t>51 71456</w:t>
      </w:r>
      <w:r>
        <w:rPr>
          <w:spacing w:val="3"/>
          <w:sz w:val="18"/>
        </w:rPr>
        <w:t> </w:t>
      </w:r>
      <w:r>
        <w:rPr>
          <w:sz w:val="18"/>
        </w:rPr>
        <w:t>0000000</w:t>
      </w:r>
    </w:p>
    <w:p>
      <w:pPr>
        <w:spacing w:line="204" w:lineRule="exact" w:before="0"/>
        <w:ind w:left="0" w:right="285" w:firstLine="0"/>
        <w:jc w:val="right"/>
        <w:rPr>
          <w:sz w:val="18"/>
        </w:rPr>
      </w:pPr>
      <w:r>
        <w:rPr>
          <w:sz w:val="18"/>
        </w:rPr>
        <w:t>Form </w:t>
      </w:r>
      <w:r>
        <w:rPr>
          <w:spacing w:val="3"/>
          <w:sz w:val="18"/>
        </w:rPr>
        <w:t> </w:t>
      </w:r>
      <w:r>
        <w:rPr>
          <w:sz w:val="18"/>
        </w:rPr>
        <w:t>08</w:t>
      </w:r>
    </w:p>
    <w:p>
      <w:pPr>
        <w:spacing w:after="0" w:line="204" w:lineRule="exact"/>
        <w:jc w:val="right"/>
        <w:rPr>
          <w:sz w:val="18"/>
        </w:rPr>
        <w:sectPr>
          <w:headerReference w:type="default" r:id="rId404"/>
          <w:footerReference w:type="default" r:id="rId405"/>
          <w:pgSz w:w="12240" w:h="15840"/>
          <w:pgMar w:header="651" w:footer="437" w:top="840" w:bottom="620" w:left="160" w:right="180"/>
          <w:pgNumType w:start="1"/>
          <w:cols w:num="3" w:equalWidth="0">
            <w:col w:w="2698" w:space="1379"/>
            <w:col w:w="3491" w:space="2224"/>
            <w:col w:w="2108"/>
          </w:cols>
        </w:sectPr>
      </w:pPr>
    </w:p>
    <w:p>
      <w:pPr>
        <w:pStyle w:val="BodyText"/>
        <w:rPr>
          <w:sz w:val="20"/>
        </w:rPr>
      </w:pPr>
    </w:p>
    <w:p>
      <w:pPr>
        <w:pStyle w:val="BodyText"/>
        <w:rPr>
          <w:sz w:val="20"/>
        </w:rPr>
      </w:pPr>
    </w:p>
    <w:p>
      <w:pPr>
        <w:pStyle w:val="BodyText"/>
        <w:spacing w:before="8" w:after="1"/>
        <w:rPr>
          <w:sz w:val="26"/>
        </w:rPr>
      </w:pPr>
    </w:p>
    <w:tbl>
      <w:tblPr>
        <w:tblW w:w="0" w:type="auto"/>
        <w:jc w:val="left"/>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63"/>
        <w:gridCol w:w="1468"/>
        <w:gridCol w:w="1069"/>
        <w:gridCol w:w="1726"/>
        <w:gridCol w:w="1300"/>
        <w:gridCol w:w="1157"/>
        <w:gridCol w:w="435"/>
      </w:tblGrid>
      <w:tr>
        <w:trPr>
          <w:trHeight w:val="334" w:hRule="atLeast"/>
        </w:trPr>
        <w:tc>
          <w:tcPr>
            <w:tcW w:w="3663" w:type="dxa"/>
          </w:tcPr>
          <w:p>
            <w:pPr>
              <w:pStyle w:val="TableParagraph"/>
              <w:spacing w:before="5"/>
              <w:rPr>
                <w:sz w:val="14"/>
              </w:rPr>
            </w:pPr>
          </w:p>
          <w:p>
            <w:pPr>
              <w:pStyle w:val="TableParagraph"/>
              <w:spacing w:line="147" w:lineRule="exact" w:before="1"/>
              <w:ind w:left="50"/>
              <w:rPr>
                <w:b/>
                <w:sz w:val="14"/>
              </w:rPr>
            </w:pPr>
            <w:r>
              <w:rPr>
                <w:b/>
                <w:w w:val="105"/>
                <w:sz w:val="14"/>
              </w:rPr>
              <w:t>Description</w:t>
            </w:r>
          </w:p>
        </w:tc>
        <w:tc>
          <w:tcPr>
            <w:tcW w:w="1468" w:type="dxa"/>
          </w:tcPr>
          <w:p>
            <w:pPr>
              <w:pStyle w:val="TableParagraph"/>
              <w:spacing w:before="5"/>
              <w:rPr>
                <w:sz w:val="14"/>
              </w:rPr>
            </w:pPr>
          </w:p>
          <w:p>
            <w:pPr>
              <w:pStyle w:val="TableParagraph"/>
              <w:spacing w:line="147" w:lineRule="exact" w:before="1"/>
              <w:ind w:left="215"/>
              <w:rPr>
                <w:b/>
                <w:sz w:val="14"/>
              </w:rPr>
            </w:pPr>
            <w:r>
              <w:rPr>
                <w:b/>
                <w:w w:val="105"/>
                <w:sz w:val="14"/>
              </w:rPr>
              <w:t>Resource Codes</w:t>
            </w:r>
          </w:p>
        </w:tc>
        <w:tc>
          <w:tcPr>
            <w:tcW w:w="1069" w:type="dxa"/>
          </w:tcPr>
          <w:p>
            <w:pPr>
              <w:pStyle w:val="TableParagraph"/>
              <w:spacing w:before="5"/>
              <w:rPr>
                <w:sz w:val="14"/>
              </w:rPr>
            </w:pPr>
          </w:p>
          <w:p>
            <w:pPr>
              <w:pStyle w:val="TableParagraph"/>
              <w:spacing w:line="147" w:lineRule="exact" w:before="1"/>
              <w:ind w:left="96"/>
              <w:jc w:val="center"/>
              <w:rPr>
                <w:b/>
                <w:sz w:val="14"/>
              </w:rPr>
            </w:pPr>
            <w:r>
              <w:rPr>
                <w:b/>
                <w:w w:val="105"/>
                <w:sz w:val="14"/>
              </w:rPr>
              <w:t>Object Codes</w:t>
            </w:r>
          </w:p>
        </w:tc>
        <w:tc>
          <w:tcPr>
            <w:tcW w:w="1726" w:type="dxa"/>
          </w:tcPr>
          <w:p>
            <w:pPr>
              <w:pStyle w:val="TableParagraph"/>
              <w:spacing w:line="160" w:lineRule="exact"/>
              <w:ind w:left="102" w:right="305"/>
              <w:jc w:val="center"/>
              <w:rPr>
                <w:b/>
                <w:sz w:val="14"/>
              </w:rPr>
            </w:pPr>
            <w:r>
              <w:rPr>
                <w:b/>
                <w:w w:val="105"/>
                <w:sz w:val="14"/>
              </w:rPr>
              <w:t>2020-21</w:t>
            </w:r>
          </w:p>
          <w:p>
            <w:pPr>
              <w:pStyle w:val="TableParagraph"/>
              <w:spacing w:line="147" w:lineRule="exact" w:before="7"/>
              <w:ind w:left="102" w:right="308"/>
              <w:jc w:val="center"/>
              <w:rPr>
                <w:b/>
                <w:sz w:val="14"/>
              </w:rPr>
            </w:pPr>
            <w:r>
              <w:rPr>
                <w:b/>
                <w:w w:val="105"/>
                <w:sz w:val="14"/>
              </w:rPr>
              <w:t>Estimated Actuals</w:t>
            </w:r>
          </w:p>
        </w:tc>
        <w:tc>
          <w:tcPr>
            <w:tcW w:w="1300" w:type="dxa"/>
          </w:tcPr>
          <w:p>
            <w:pPr>
              <w:pStyle w:val="TableParagraph"/>
              <w:spacing w:line="160" w:lineRule="exact"/>
              <w:ind w:left="283"/>
              <w:rPr>
                <w:b/>
                <w:sz w:val="14"/>
              </w:rPr>
            </w:pPr>
            <w:r>
              <w:rPr>
                <w:b/>
                <w:w w:val="105"/>
                <w:sz w:val="14"/>
              </w:rPr>
              <w:t>2021-22</w:t>
            </w:r>
          </w:p>
          <w:p>
            <w:pPr>
              <w:pStyle w:val="TableParagraph"/>
              <w:spacing w:line="147" w:lineRule="exact" w:before="7"/>
              <w:ind w:left="295"/>
              <w:rPr>
                <w:b/>
                <w:sz w:val="14"/>
              </w:rPr>
            </w:pPr>
            <w:r>
              <w:rPr>
                <w:b/>
                <w:w w:val="105"/>
                <w:sz w:val="14"/>
              </w:rPr>
              <w:t>Budget</w:t>
            </w:r>
          </w:p>
        </w:tc>
        <w:tc>
          <w:tcPr>
            <w:tcW w:w="1157" w:type="dxa"/>
          </w:tcPr>
          <w:p>
            <w:pPr>
              <w:pStyle w:val="TableParagraph"/>
              <w:spacing w:line="160" w:lineRule="exact"/>
              <w:ind w:left="507"/>
              <w:rPr>
                <w:b/>
                <w:sz w:val="14"/>
              </w:rPr>
            </w:pPr>
            <w:r>
              <w:rPr>
                <w:b/>
                <w:w w:val="105"/>
                <w:sz w:val="14"/>
              </w:rPr>
              <w:t>Percent</w:t>
            </w:r>
          </w:p>
          <w:p>
            <w:pPr>
              <w:pStyle w:val="TableParagraph"/>
              <w:spacing w:line="147" w:lineRule="exact" w:before="7"/>
              <w:ind w:left="421"/>
              <w:rPr>
                <w:b/>
                <w:sz w:val="14"/>
              </w:rPr>
            </w:pPr>
            <w:r>
              <w:rPr>
                <w:b/>
                <w:w w:val="105"/>
                <w:sz w:val="14"/>
              </w:rPr>
              <w:t>Difference</w:t>
            </w:r>
          </w:p>
        </w:tc>
        <w:tc>
          <w:tcPr>
            <w:tcW w:w="435" w:type="dxa"/>
          </w:tcPr>
          <w:p>
            <w:pPr>
              <w:pStyle w:val="TableParagraph"/>
              <w:rPr>
                <w:rFonts w:ascii="Times New Roman"/>
                <w:sz w:val="14"/>
              </w:rPr>
            </w:pPr>
          </w:p>
        </w:tc>
      </w:tr>
      <w:tr>
        <w:trPr>
          <w:trHeight w:val="578" w:hRule="atLeast"/>
        </w:trPr>
        <w:tc>
          <w:tcPr>
            <w:tcW w:w="3663" w:type="dxa"/>
          </w:tcPr>
          <w:p>
            <w:pPr>
              <w:pStyle w:val="TableParagraph"/>
              <w:spacing w:before="2"/>
              <w:rPr>
                <w:sz w:val="18"/>
              </w:rPr>
            </w:pPr>
          </w:p>
          <w:p>
            <w:pPr>
              <w:pStyle w:val="TableParagraph"/>
              <w:ind w:left="50"/>
              <w:rPr>
                <w:b/>
                <w:sz w:val="14"/>
              </w:rPr>
            </w:pPr>
            <w:r>
              <w:rPr>
                <w:b/>
                <w:w w:val="105"/>
                <w:sz w:val="14"/>
              </w:rPr>
              <w:t>A. REVENUES</w:t>
            </w:r>
          </w:p>
        </w:tc>
        <w:tc>
          <w:tcPr>
            <w:tcW w:w="1468" w:type="dxa"/>
          </w:tcPr>
          <w:p>
            <w:pPr>
              <w:pStyle w:val="TableParagraph"/>
              <w:rPr>
                <w:rFonts w:ascii="Times New Roman"/>
                <w:sz w:val="14"/>
              </w:rPr>
            </w:pPr>
          </w:p>
        </w:tc>
        <w:tc>
          <w:tcPr>
            <w:tcW w:w="1069" w:type="dxa"/>
          </w:tcPr>
          <w:p>
            <w:pPr>
              <w:pStyle w:val="TableParagraph"/>
              <w:rPr>
                <w:rFonts w:ascii="Times New Roman"/>
                <w:sz w:val="14"/>
              </w:rPr>
            </w:pPr>
          </w:p>
        </w:tc>
        <w:tc>
          <w:tcPr>
            <w:tcW w:w="1726" w:type="dxa"/>
          </w:tcPr>
          <w:p>
            <w:pPr>
              <w:pStyle w:val="TableParagraph"/>
              <w:rPr>
                <w:rFonts w:ascii="Times New Roman"/>
                <w:sz w:val="14"/>
              </w:rPr>
            </w:pPr>
          </w:p>
        </w:tc>
        <w:tc>
          <w:tcPr>
            <w:tcW w:w="1300" w:type="dxa"/>
          </w:tcPr>
          <w:p>
            <w:pPr>
              <w:pStyle w:val="TableParagraph"/>
              <w:rPr>
                <w:rFonts w:ascii="Times New Roman"/>
                <w:sz w:val="14"/>
              </w:rPr>
            </w:pPr>
          </w:p>
        </w:tc>
        <w:tc>
          <w:tcPr>
            <w:tcW w:w="1157" w:type="dxa"/>
            <w:shd w:val="clear" w:color="auto" w:fill="DFDFDF"/>
          </w:tcPr>
          <w:p>
            <w:pPr>
              <w:pStyle w:val="TableParagraph"/>
              <w:rPr>
                <w:rFonts w:ascii="Times New Roman"/>
                <w:sz w:val="14"/>
              </w:rPr>
            </w:pPr>
          </w:p>
        </w:tc>
        <w:tc>
          <w:tcPr>
            <w:tcW w:w="435" w:type="dxa"/>
            <w:shd w:val="clear" w:color="auto" w:fill="DFDFDF"/>
          </w:tcPr>
          <w:p>
            <w:pPr>
              <w:pStyle w:val="TableParagraph"/>
              <w:rPr>
                <w:rFonts w:ascii="Times New Roman"/>
                <w:sz w:val="14"/>
              </w:rPr>
            </w:pPr>
          </w:p>
        </w:tc>
      </w:tr>
      <w:tr>
        <w:trPr>
          <w:trHeight w:val="476" w:hRule="atLeast"/>
        </w:trPr>
        <w:tc>
          <w:tcPr>
            <w:tcW w:w="3663" w:type="dxa"/>
          </w:tcPr>
          <w:p>
            <w:pPr>
              <w:pStyle w:val="TableParagraph"/>
              <w:spacing w:before="11"/>
              <w:rPr>
                <w:sz w:val="17"/>
              </w:rPr>
            </w:pPr>
          </w:p>
          <w:p>
            <w:pPr>
              <w:pStyle w:val="TableParagraph"/>
              <w:ind w:left="213"/>
              <w:rPr>
                <w:sz w:val="14"/>
              </w:rPr>
            </w:pPr>
            <w:r>
              <w:rPr>
                <w:w w:val="105"/>
                <w:sz w:val="14"/>
              </w:rPr>
              <w:t>1) LCFF Sources</w:t>
            </w:r>
          </w:p>
        </w:tc>
        <w:tc>
          <w:tcPr>
            <w:tcW w:w="1468" w:type="dxa"/>
          </w:tcPr>
          <w:p>
            <w:pPr>
              <w:pStyle w:val="TableParagraph"/>
              <w:rPr>
                <w:rFonts w:ascii="Times New Roman"/>
                <w:sz w:val="14"/>
              </w:rPr>
            </w:pPr>
          </w:p>
        </w:tc>
        <w:tc>
          <w:tcPr>
            <w:tcW w:w="1069" w:type="dxa"/>
          </w:tcPr>
          <w:p>
            <w:pPr>
              <w:pStyle w:val="TableParagraph"/>
              <w:spacing w:before="11"/>
              <w:rPr>
                <w:sz w:val="17"/>
              </w:rPr>
            </w:pPr>
          </w:p>
          <w:p>
            <w:pPr>
              <w:pStyle w:val="TableParagraph"/>
              <w:ind w:left="97"/>
              <w:jc w:val="center"/>
              <w:rPr>
                <w:sz w:val="14"/>
              </w:rPr>
            </w:pPr>
            <w:r>
              <w:rPr>
                <w:w w:val="105"/>
                <w:sz w:val="14"/>
              </w:rPr>
              <w:t>8010-8099</w:t>
            </w:r>
          </w:p>
        </w:tc>
        <w:tc>
          <w:tcPr>
            <w:tcW w:w="1726" w:type="dxa"/>
            <w:shd w:val="clear" w:color="auto" w:fill="DFDFDF"/>
          </w:tcPr>
          <w:p>
            <w:pPr>
              <w:pStyle w:val="TableParagraph"/>
              <w:spacing w:before="11"/>
              <w:rPr>
                <w:sz w:val="17"/>
              </w:rPr>
            </w:pPr>
          </w:p>
          <w:p>
            <w:pPr>
              <w:pStyle w:val="TableParagraph"/>
              <w:ind w:right="287"/>
              <w:jc w:val="right"/>
              <w:rPr>
                <w:sz w:val="14"/>
              </w:rPr>
            </w:pPr>
            <w:r>
              <w:rPr>
                <w:sz w:val="14"/>
              </w:rPr>
              <w:t>0.00</w:t>
            </w:r>
          </w:p>
        </w:tc>
        <w:tc>
          <w:tcPr>
            <w:tcW w:w="1300" w:type="dxa"/>
            <w:shd w:val="clear" w:color="auto" w:fill="DFDFDF"/>
          </w:tcPr>
          <w:p>
            <w:pPr>
              <w:pStyle w:val="TableParagraph"/>
              <w:spacing w:before="11"/>
              <w:rPr>
                <w:sz w:val="17"/>
              </w:rPr>
            </w:pPr>
          </w:p>
          <w:p>
            <w:pPr>
              <w:pStyle w:val="TableParagraph"/>
              <w:ind w:right="75"/>
              <w:jc w:val="right"/>
              <w:rPr>
                <w:sz w:val="14"/>
              </w:rPr>
            </w:pPr>
            <w:r>
              <w:rPr>
                <w:sz w:val="14"/>
              </w:rPr>
              <w:t>0.00</w:t>
            </w:r>
          </w:p>
        </w:tc>
        <w:tc>
          <w:tcPr>
            <w:tcW w:w="1157" w:type="dxa"/>
            <w:shd w:val="clear" w:color="auto" w:fill="DFDFDF"/>
          </w:tcPr>
          <w:p>
            <w:pPr>
              <w:pStyle w:val="TableParagraph"/>
              <w:rPr>
                <w:rFonts w:ascii="Times New Roman"/>
                <w:sz w:val="14"/>
              </w:rPr>
            </w:pPr>
          </w:p>
        </w:tc>
        <w:tc>
          <w:tcPr>
            <w:tcW w:w="435" w:type="dxa"/>
            <w:shd w:val="clear" w:color="auto" w:fill="DFDFDF"/>
          </w:tcPr>
          <w:p>
            <w:pPr>
              <w:pStyle w:val="TableParagraph"/>
              <w:spacing w:before="11"/>
              <w:rPr>
                <w:sz w:val="17"/>
              </w:rPr>
            </w:pPr>
          </w:p>
          <w:p>
            <w:pPr>
              <w:pStyle w:val="TableParagraph"/>
              <w:ind w:left="27"/>
              <w:rPr>
                <w:sz w:val="14"/>
              </w:rPr>
            </w:pPr>
            <w:r>
              <w:rPr>
                <w:w w:val="105"/>
                <w:sz w:val="14"/>
              </w:rPr>
              <w:t>0.0%</w:t>
            </w:r>
          </w:p>
        </w:tc>
      </w:tr>
      <w:tr>
        <w:trPr>
          <w:trHeight w:val="376" w:hRule="atLeast"/>
        </w:trPr>
        <w:tc>
          <w:tcPr>
            <w:tcW w:w="3663" w:type="dxa"/>
          </w:tcPr>
          <w:p>
            <w:pPr>
              <w:pStyle w:val="TableParagraph"/>
              <w:spacing w:before="107"/>
              <w:ind w:left="213"/>
              <w:rPr>
                <w:sz w:val="14"/>
              </w:rPr>
            </w:pPr>
            <w:r>
              <w:rPr>
                <w:w w:val="105"/>
                <w:sz w:val="14"/>
              </w:rPr>
              <w:t>2) Federal Revenue</w:t>
            </w:r>
          </w:p>
        </w:tc>
        <w:tc>
          <w:tcPr>
            <w:tcW w:w="1468" w:type="dxa"/>
          </w:tcPr>
          <w:p>
            <w:pPr>
              <w:pStyle w:val="TableParagraph"/>
              <w:rPr>
                <w:rFonts w:ascii="Times New Roman"/>
                <w:sz w:val="14"/>
              </w:rPr>
            </w:pPr>
          </w:p>
        </w:tc>
        <w:tc>
          <w:tcPr>
            <w:tcW w:w="1069" w:type="dxa"/>
          </w:tcPr>
          <w:p>
            <w:pPr>
              <w:pStyle w:val="TableParagraph"/>
              <w:spacing w:before="107"/>
              <w:ind w:left="97"/>
              <w:jc w:val="center"/>
              <w:rPr>
                <w:sz w:val="14"/>
              </w:rPr>
            </w:pPr>
            <w:r>
              <w:rPr>
                <w:w w:val="105"/>
                <w:sz w:val="14"/>
              </w:rPr>
              <w:t>8100-8299</w:t>
            </w:r>
          </w:p>
        </w:tc>
        <w:tc>
          <w:tcPr>
            <w:tcW w:w="1726" w:type="dxa"/>
            <w:shd w:val="clear" w:color="auto" w:fill="DFDFDF"/>
          </w:tcPr>
          <w:p>
            <w:pPr>
              <w:pStyle w:val="TableParagraph"/>
              <w:spacing w:before="107"/>
              <w:ind w:right="287"/>
              <w:jc w:val="right"/>
              <w:rPr>
                <w:sz w:val="14"/>
              </w:rPr>
            </w:pPr>
            <w:r>
              <w:rPr>
                <w:sz w:val="14"/>
              </w:rPr>
              <w:t>0.00</w:t>
            </w:r>
          </w:p>
        </w:tc>
        <w:tc>
          <w:tcPr>
            <w:tcW w:w="1300" w:type="dxa"/>
            <w:shd w:val="clear" w:color="auto" w:fill="DFDFDF"/>
          </w:tcPr>
          <w:p>
            <w:pPr>
              <w:pStyle w:val="TableParagraph"/>
              <w:spacing w:before="107"/>
              <w:ind w:right="75"/>
              <w:jc w:val="right"/>
              <w:rPr>
                <w:sz w:val="14"/>
              </w:rPr>
            </w:pPr>
            <w:r>
              <w:rPr>
                <w:sz w:val="14"/>
              </w:rPr>
              <w:t>0.00</w:t>
            </w:r>
          </w:p>
        </w:tc>
        <w:tc>
          <w:tcPr>
            <w:tcW w:w="1157" w:type="dxa"/>
            <w:shd w:val="clear" w:color="auto" w:fill="DFDFDF"/>
          </w:tcPr>
          <w:p>
            <w:pPr>
              <w:pStyle w:val="TableParagraph"/>
              <w:rPr>
                <w:rFonts w:ascii="Times New Roman"/>
                <w:sz w:val="14"/>
              </w:rPr>
            </w:pPr>
          </w:p>
        </w:tc>
        <w:tc>
          <w:tcPr>
            <w:tcW w:w="435" w:type="dxa"/>
            <w:shd w:val="clear" w:color="auto" w:fill="DFDFDF"/>
          </w:tcPr>
          <w:p>
            <w:pPr>
              <w:pStyle w:val="TableParagraph"/>
              <w:spacing w:before="107"/>
              <w:ind w:left="27"/>
              <w:rPr>
                <w:sz w:val="14"/>
              </w:rPr>
            </w:pPr>
            <w:r>
              <w:rPr>
                <w:w w:val="105"/>
                <w:sz w:val="14"/>
              </w:rPr>
              <w:t>0.0%</w:t>
            </w:r>
          </w:p>
        </w:tc>
      </w:tr>
      <w:tr>
        <w:trPr>
          <w:trHeight w:val="271" w:hRule="atLeast"/>
        </w:trPr>
        <w:tc>
          <w:tcPr>
            <w:tcW w:w="3663" w:type="dxa"/>
          </w:tcPr>
          <w:p>
            <w:pPr>
              <w:pStyle w:val="TableParagraph"/>
              <w:spacing w:line="145" w:lineRule="exact" w:before="107"/>
              <w:ind w:left="213"/>
              <w:rPr>
                <w:sz w:val="14"/>
              </w:rPr>
            </w:pPr>
            <w:r>
              <w:rPr>
                <w:w w:val="105"/>
                <w:sz w:val="14"/>
              </w:rPr>
              <w:t>3) Other State Revenue</w:t>
            </w:r>
          </w:p>
        </w:tc>
        <w:tc>
          <w:tcPr>
            <w:tcW w:w="1468" w:type="dxa"/>
          </w:tcPr>
          <w:p>
            <w:pPr>
              <w:pStyle w:val="TableParagraph"/>
              <w:rPr>
                <w:rFonts w:ascii="Times New Roman"/>
                <w:sz w:val="14"/>
              </w:rPr>
            </w:pPr>
          </w:p>
        </w:tc>
        <w:tc>
          <w:tcPr>
            <w:tcW w:w="1069" w:type="dxa"/>
          </w:tcPr>
          <w:p>
            <w:pPr>
              <w:pStyle w:val="TableParagraph"/>
              <w:spacing w:line="145" w:lineRule="exact" w:before="107"/>
              <w:ind w:left="97"/>
              <w:jc w:val="center"/>
              <w:rPr>
                <w:sz w:val="14"/>
              </w:rPr>
            </w:pPr>
            <w:r>
              <w:rPr>
                <w:w w:val="105"/>
                <w:sz w:val="14"/>
              </w:rPr>
              <w:t>8300-8599</w:t>
            </w:r>
          </w:p>
        </w:tc>
        <w:tc>
          <w:tcPr>
            <w:tcW w:w="1726" w:type="dxa"/>
          </w:tcPr>
          <w:p>
            <w:pPr>
              <w:pStyle w:val="TableParagraph"/>
              <w:spacing w:line="145" w:lineRule="exact" w:before="107"/>
              <w:ind w:right="287"/>
              <w:jc w:val="right"/>
              <w:rPr>
                <w:sz w:val="14"/>
              </w:rPr>
            </w:pPr>
            <w:r>
              <w:rPr>
                <w:sz w:val="14"/>
              </w:rPr>
              <w:t>0.00</w:t>
            </w:r>
          </w:p>
        </w:tc>
        <w:tc>
          <w:tcPr>
            <w:tcW w:w="1300" w:type="dxa"/>
            <w:shd w:val="clear" w:color="auto" w:fill="DFDFDF"/>
          </w:tcPr>
          <w:p>
            <w:pPr>
              <w:pStyle w:val="TableParagraph"/>
              <w:spacing w:line="145" w:lineRule="exact" w:before="107"/>
              <w:ind w:right="75"/>
              <w:jc w:val="right"/>
              <w:rPr>
                <w:sz w:val="14"/>
              </w:rPr>
            </w:pPr>
            <w:r>
              <w:rPr>
                <w:sz w:val="14"/>
              </w:rPr>
              <w:t>0.00</w:t>
            </w:r>
          </w:p>
        </w:tc>
        <w:tc>
          <w:tcPr>
            <w:tcW w:w="1157" w:type="dxa"/>
          </w:tcPr>
          <w:p>
            <w:pPr>
              <w:pStyle w:val="TableParagraph"/>
              <w:rPr>
                <w:rFonts w:ascii="Times New Roman"/>
                <w:sz w:val="14"/>
              </w:rPr>
            </w:pPr>
          </w:p>
        </w:tc>
        <w:tc>
          <w:tcPr>
            <w:tcW w:w="435" w:type="dxa"/>
          </w:tcPr>
          <w:p>
            <w:pPr>
              <w:pStyle w:val="TableParagraph"/>
              <w:spacing w:line="145" w:lineRule="exact" w:before="107"/>
              <w:ind w:left="27"/>
              <w:rPr>
                <w:sz w:val="14"/>
              </w:rPr>
            </w:pPr>
            <w:r>
              <w:rPr>
                <w:w w:val="105"/>
                <w:sz w:val="14"/>
              </w:rPr>
              <w:t>0.0%</w:t>
            </w:r>
          </w:p>
        </w:tc>
      </w:tr>
      <w:tr>
        <w:trPr>
          <w:trHeight w:val="481" w:hRule="atLeast"/>
        </w:trPr>
        <w:tc>
          <w:tcPr>
            <w:tcW w:w="3663" w:type="dxa"/>
          </w:tcPr>
          <w:p>
            <w:pPr>
              <w:pStyle w:val="TableParagraph"/>
              <w:spacing w:before="4"/>
              <w:rPr>
                <w:sz w:val="18"/>
              </w:rPr>
            </w:pPr>
          </w:p>
          <w:p>
            <w:pPr>
              <w:pStyle w:val="TableParagraph"/>
              <w:spacing w:before="1"/>
              <w:ind w:left="213"/>
              <w:rPr>
                <w:sz w:val="14"/>
              </w:rPr>
            </w:pPr>
            <w:r>
              <w:rPr>
                <w:w w:val="105"/>
                <w:sz w:val="14"/>
              </w:rPr>
              <w:t>4) Other Local Revenue</w:t>
            </w:r>
          </w:p>
        </w:tc>
        <w:tc>
          <w:tcPr>
            <w:tcW w:w="1468" w:type="dxa"/>
          </w:tcPr>
          <w:p>
            <w:pPr>
              <w:pStyle w:val="TableParagraph"/>
              <w:rPr>
                <w:rFonts w:ascii="Times New Roman"/>
                <w:sz w:val="14"/>
              </w:rPr>
            </w:pPr>
          </w:p>
        </w:tc>
        <w:tc>
          <w:tcPr>
            <w:tcW w:w="1069" w:type="dxa"/>
          </w:tcPr>
          <w:p>
            <w:pPr>
              <w:pStyle w:val="TableParagraph"/>
              <w:spacing w:before="4"/>
              <w:rPr>
                <w:sz w:val="18"/>
              </w:rPr>
            </w:pPr>
          </w:p>
          <w:p>
            <w:pPr>
              <w:pStyle w:val="TableParagraph"/>
              <w:spacing w:before="1"/>
              <w:ind w:left="97"/>
              <w:jc w:val="center"/>
              <w:rPr>
                <w:sz w:val="14"/>
              </w:rPr>
            </w:pPr>
            <w:r>
              <w:rPr>
                <w:w w:val="105"/>
                <w:sz w:val="14"/>
              </w:rPr>
              <w:t>8600-8799</w:t>
            </w:r>
          </w:p>
        </w:tc>
        <w:tc>
          <w:tcPr>
            <w:tcW w:w="1726" w:type="dxa"/>
          </w:tcPr>
          <w:p>
            <w:pPr>
              <w:pStyle w:val="TableParagraph"/>
              <w:spacing w:before="4"/>
              <w:rPr>
                <w:sz w:val="18"/>
              </w:rPr>
            </w:pPr>
          </w:p>
          <w:p>
            <w:pPr>
              <w:pStyle w:val="TableParagraph"/>
              <w:spacing w:before="1"/>
              <w:ind w:right="286"/>
              <w:jc w:val="right"/>
              <w:rPr>
                <w:sz w:val="14"/>
              </w:rPr>
            </w:pPr>
            <w:r>
              <w:rPr>
                <w:sz w:val="14"/>
              </w:rPr>
              <w:t>4,340.00</w:t>
            </w:r>
          </w:p>
        </w:tc>
        <w:tc>
          <w:tcPr>
            <w:tcW w:w="1300" w:type="dxa"/>
          </w:tcPr>
          <w:p>
            <w:pPr>
              <w:pStyle w:val="TableParagraph"/>
              <w:spacing w:before="4"/>
              <w:rPr>
                <w:sz w:val="18"/>
              </w:rPr>
            </w:pPr>
          </w:p>
          <w:p>
            <w:pPr>
              <w:pStyle w:val="TableParagraph"/>
              <w:spacing w:before="1"/>
              <w:ind w:right="74"/>
              <w:jc w:val="right"/>
              <w:rPr>
                <w:sz w:val="14"/>
              </w:rPr>
            </w:pPr>
            <w:r>
              <w:rPr>
                <w:sz w:val="14"/>
              </w:rPr>
              <w:t>4,340.00</w:t>
            </w:r>
          </w:p>
        </w:tc>
        <w:tc>
          <w:tcPr>
            <w:tcW w:w="1157" w:type="dxa"/>
          </w:tcPr>
          <w:p>
            <w:pPr>
              <w:pStyle w:val="TableParagraph"/>
              <w:rPr>
                <w:rFonts w:ascii="Times New Roman"/>
                <w:sz w:val="14"/>
              </w:rPr>
            </w:pPr>
          </w:p>
        </w:tc>
        <w:tc>
          <w:tcPr>
            <w:tcW w:w="435" w:type="dxa"/>
          </w:tcPr>
          <w:p>
            <w:pPr>
              <w:pStyle w:val="TableParagraph"/>
              <w:spacing w:before="4"/>
              <w:rPr>
                <w:sz w:val="18"/>
              </w:rPr>
            </w:pPr>
          </w:p>
          <w:p>
            <w:pPr>
              <w:pStyle w:val="TableParagraph"/>
              <w:spacing w:before="1"/>
              <w:ind w:left="27"/>
              <w:rPr>
                <w:sz w:val="14"/>
              </w:rPr>
            </w:pPr>
            <w:r>
              <w:rPr>
                <w:w w:val="105"/>
                <w:sz w:val="14"/>
              </w:rPr>
              <w:t>0.0%</w:t>
            </w:r>
          </w:p>
        </w:tc>
      </w:tr>
      <w:tr>
        <w:trPr>
          <w:trHeight w:val="375" w:hRule="atLeast"/>
        </w:trPr>
        <w:tc>
          <w:tcPr>
            <w:tcW w:w="3663" w:type="dxa"/>
          </w:tcPr>
          <w:p>
            <w:pPr>
              <w:pStyle w:val="TableParagraph"/>
              <w:spacing w:before="107"/>
              <w:ind w:left="213"/>
              <w:rPr>
                <w:sz w:val="14"/>
              </w:rPr>
            </w:pPr>
            <w:r>
              <w:rPr>
                <w:w w:val="105"/>
                <w:sz w:val="14"/>
              </w:rPr>
              <w:t>5) TOTAL, REVENUES</w:t>
            </w:r>
          </w:p>
        </w:tc>
        <w:tc>
          <w:tcPr>
            <w:tcW w:w="1468" w:type="dxa"/>
          </w:tcPr>
          <w:p>
            <w:pPr>
              <w:pStyle w:val="TableParagraph"/>
              <w:rPr>
                <w:rFonts w:ascii="Times New Roman"/>
                <w:sz w:val="14"/>
              </w:rPr>
            </w:pPr>
          </w:p>
        </w:tc>
        <w:tc>
          <w:tcPr>
            <w:tcW w:w="1069" w:type="dxa"/>
          </w:tcPr>
          <w:p>
            <w:pPr>
              <w:pStyle w:val="TableParagraph"/>
              <w:rPr>
                <w:rFonts w:ascii="Times New Roman"/>
                <w:sz w:val="14"/>
              </w:rPr>
            </w:pPr>
          </w:p>
        </w:tc>
        <w:tc>
          <w:tcPr>
            <w:tcW w:w="1726" w:type="dxa"/>
          </w:tcPr>
          <w:p>
            <w:pPr>
              <w:pStyle w:val="TableParagraph"/>
              <w:spacing w:before="107"/>
              <w:ind w:right="286"/>
              <w:jc w:val="right"/>
              <w:rPr>
                <w:sz w:val="14"/>
              </w:rPr>
            </w:pPr>
            <w:r>
              <w:rPr>
                <w:sz w:val="14"/>
              </w:rPr>
              <w:t>4,340.00</w:t>
            </w:r>
          </w:p>
        </w:tc>
        <w:tc>
          <w:tcPr>
            <w:tcW w:w="1300" w:type="dxa"/>
          </w:tcPr>
          <w:p>
            <w:pPr>
              <w:pStyle w:val="TableParagraph"/>
              <w:spacing w:before="107"/>
              <w:ind w:right="74"/>
              <w:jc w:val="right"/>
              <w:rPr>
                <w:sz w:val="14"/>
              </w:rPr>
            </w:pPr>
            <w:r>
              <w:rPr>
                <w:sz w:val="14"/>
              </w:rPr>
              <w:t>4,340.00</w:t>
            </w:r>
          </w:p>
        </w:tc>
        <w:tc>
          <w:tcPr>
            <w:tcW w:w="1157" w:type="dxa"/>
          </w:tcPr>
          <w:p>
            <w:pPr>
              <w:pStyle w:val="TableParagraph"/>
              <w:rPr>
                <w:rFonts w:ascii="Times New Roman"/>
                <w:sz w:val="14"/>
              </w:rPr>
            </w:pPr>
          </w:p>
        </w:tc>
        <w:tc>
          <w:tcPr>
            <w:tcW w:w="435" w:type="dxa"/>
          </w:tcPr>
          <w:p>
            <w:pPr>
              <w:pStyle w:val="TableParagraph"/>
              <w:spacing w:before="107"/>
              <w:ind w:left="27"/>
              <w:rPr>
                <w:sz w:val="14"/>
              </w:rPr>
            </w:pPr>
            <w:r>
              <w:rPr>
                <w:w w:val="105"/>
                <w:sz w:val="14"/>
              </w:rPr>
              <w:t>0.0%</w:t>
            </w:r>
          </w:p>
        </w:tc>
      </w:tr>
      <w:tr>
        <w:trPr>
          <w:trHeight w:val="265" w:hRule="atLeast"/>
        </w:trPr>
        <w:tc>
          <w:tcPr>
            <w:tcW w:w="3663" w:type="dxa"/>
          </w:tcPr>
          <w:p>
            <w:pPr>
              <w:pStyle w:val="TableParagraph"/>
              <w:spacing w:line="140" w:lineRule="exact" w:before="105"/>
              <w:ind w:left="50"/>
              <w:rPr>
                <w:b/>
                <w:sz w:val="14"/>
              </w:rPr>
            </w:pPr>
            <w:r>
              <w:rPr>
                <w:b/>
                <w:w w:val="105"/>
                <w:sz w:val="14"/>
              </w:rPr>
              <w:t>B. EXPENDITURES</w:t>
            </w:r>
          </w:p>
        </w:tc>
        <w:tc>
          <w:tcPr>
            <w:tcW w:w="7155" w:type="dxa"/>
            <w:gridSpan w:val="6"/>
          </w:tcPr>
          <w:p>
            <w:pPr>
              <w:pStyle w:val="TableParagraph"/>
              <w:rPr>
                <w:rFonts w:ascii="Times New Roman"/>
                <w:sz w:val="14"/>
              </w:rPr>
            </w:pPr>
          </w:p>
        </w:tc>
      </w:tr>
      <w:tr>
        <w:trPr>
          <w:trHeight w:val="685" w:hRule="atLeast"/>
        </w:trPr>
        <w:tc>
          <w:tcPr>
            <w:tcW w:w="3663" w:type="dxa"/>
          </w:tcPr>
          <w:p>
            <w:pPr>
              <w:pStyle w:val="TableParagraph"/>
              <w:rPr>
                <w:sz w:val="16"/>
              </w:rPr>
            </w:pPr>
          </w:p>
          <w:p>
            <w:pPr>
              <w:pStyle w:val="TableParagraph"/>
              <w:spacing w:before="1"/>
              <w:rPr>
                <w:sz w:val="20"/>
              </w:rPr>
            </w:pPr>
          </w:p>
          <w:p>
            <w:pPr>
              <w:pStyle w:val="TableParagraph"/>
              <w:spacing w:before="1"/>
              <w:ind w:left="213"/>
              <w:rPr>
                <w:sz w:val="14"/>
              </w:rPr>
            </w:pPr>
            <w:r>
              <w:rPr>
                <w:w w:val="105"/>
                <w:sz w:val="14"/>
              </w:rPr>
              <w:t>1) Certificated Salaries</w:t>
            </w:r>
          </w:p>
        </w:tc>
        <w:tc>
          <w:tcPr>
            <w:tcW w:w="2537" w:type="dxa"/>
            <w:gridSpan w:val="2"/>
          </w:tcPr>
          <w:p>
            <w:pPr>
              <w:pStyle w:val="TableParagraph"/>
              <w:rPr>
                <w:sz w:val="16"/>
              </w:rPr>
            </w:pPr>
          </w:p>
          <w:p>
            <w:pPr>
              <w:pStyle w:val="TableParagraph"/>
              <w:spacing w:before="1"/>
              <w:rPr>
                <w:sz w:val="20"/>
              </w:rPr>
            </w:pPr>
          </w:p>
          <w:p>
            <w:pPr>
              <w:pStyle w:val="TableParagraph"/>
              <w:spacing w:before="1"/>
              <w:ind w:right="142"/>
              <w:jc w:val="right"/>
              <w:rPr>
                <w:sz w:val="14"/>
              </w:rPr>
            </w:pPr>
            <w:r>
              <w:rPr>
                <w:sz w:val="14"/>
              </w:rPr>
              <w:t>1000-1999</w:t>
            </w:r>
          </w:p>
        </w:tc>
        <w:tc>
          <w:tcPr>
            <w:tcW w:w="1726" w:type="dxa"/>
          </w:tcPr>
          <w:p>
            <w:pPr>
              <w:pStyle w:val="TableParagraph"/>
              <w:rPr>
                <w:sz w:val="16"/>
              </w:rPr>
            </w:pPr>
          </w:p>
          <w:p>
            <w:pPr>
              <w:pStyle w:val="TableParagraph"/>
              <w:spacing w:before="1"/>
              <w:rPr>
                <w:sz w:val="20"/>
              </w:rPr>
            </w:pPr>
          </w:p>
          <w:p>
            <w:pPr>
              <w:pStyle w:val="TableParagraph"/>
              <w:spacing w:before="1"/>
              <w:ind w:right="287"/>
              <w:jc w:val="right"/>
              <w:rPr>
                <w:sz w:val="14"/>
              </w:rPr>
            </w:pPr>
            <w:r>
              <w:rPr>
                <w:sz w:val="14"/>
              </w:rPr>
              <w:t>0.00</w:t>
            </w:r>
          </w:p>
        </w:tc>
        <w:tc>
          <w:tcPr>
            <w:tcW w:w="1300" w:type="dxa"/>
          </w:tcPr>
          <w:p>
            <w:pPr>
              <w:pStyle w:val="TableParagraph"/>
              <w:rPr>
                <w:sz w:val="16"/>
              </w:rPr>
            </w:pPr>
          </w:p>
          <w:p>
            <w:pPr>
              <w:pStyle w:val="TableParagraph"/>
              <w:spacing w:before="1"/>
              <w:rPr>
                <w:sz w:val="20"/>
              </w:rPr>
            </w:pPr>
          </w:p>
          <w:p>
            <w:pPr>
              <w:pStyle w:val="TableParagraph"/>
              <w:spacing w:before="1"/>
              <w:ind w:right="75"/>
              <w:jc w:val="right"/>
              <w:rPr>
                <w:sz w:val="14"/>
              </w:rPr>
            </w:pPr>
            <w:r>
              <w:rPr>
                <w:sz w:val="14"/>
              </w:rPr>
              <w:t>0.00</w:t>
            </w:r>
          </w:p>
        </w:tc>
        <w:tc>
          <w:tcPr>
            <w:tcW w:w="1592" w:type="dxa"/>
            <w:gridSpan w:val="2"/>
          </w:tcPr>
          <w:p>
            <w:pPr>
              <w:pStyle w:val="TableParagraph"/>
              <w:rPr>
                <w:sz w:val="16"/>
              </w:rPr>
            </w:pPr>
          </w:p>
          <w:p>
            <w:pPr>
              <w:pStyle w:val="TableParagraph"/>
              <w:spacing w:before="1"/>
              <w:rPr>
                <w:sz w:val="20"/>
              </w:rPr>
            </w:pPr>
          </w:p>
          <w:p>
            <w:pPr>
              <w:pStyle w:val="TableParagraph"/>
              <w:spacing w:before="1"/>
              <w:ind w:right="78"/>
              <w:jc w:val="right"/>
              <w:rPr>
                <w:sz w:val="14"/>
              </w:rPr>
            </w:pPr>
            <w:r>
              <w:rPr>
                <w:sz w:val="14"/>
              </w:rPr>
              <w:t>0.0%</w:t>
            </w:r>
          </w:p>
        </w:tc>
      </w:tr>
      <w:tr>
        <w:trPr>
          <w:trHeight w:val="376" w:hRule="atLeast"/>
        </w:trPr>
        <w:tc>
          <w:tcPr>
            <w:tcW w:w="3663" w:type="dxa"/>
          </w:tcPr>
          <w:p>
            <w:pPr>
              <w:pStyle w:val="TableParagraph"/>
              <w:spacing w:before="107"/>
              <w:ind w:left="213"/>
              <w:rPr>
                <w:sz w:val="14"/>
              </w:rPr>
            </w:pPr>
            <w:r>
              <w:rPr>
                <w:w w:val="105"/>
                <w:sz w:val="14"/>
              </w:rPr>
              <w:t>2) Classified Salaries</w:t>
            </w:r>
          </w:p>
        </w:tc>
        <w:tc>
          <w:tcPr>
            <w:tcW w:w="2537" w:type="dxa"/>
            <w:gridSpan w:val="2"/>
          </w:tcPr>
          <w:p>
            <w:pPr>
              <w:pStyle w:val="TableParagraph"/>
              <w:spacing w:before="107"/>
              <w:ind w:right="142"/>
              <w:jc w:val="right"/>
              <w:rPr>
                <w:sz w:val="14"/>
              </w:rPr>
            </w:pPr>
            <w:r>
              <w:rPr>
                <w:sz w:val="14"/>
              </w:rPr>
              <w:t>2000-2999</w:t>
            </w:r>
          </w:p>
        </w:tc>
        <w:tc>
          <w:tcPr>
            <w:tcW w:w="1726" w:type="dxa"/>
          </w:tcPr>
          <w:p>
            <w:pPr>
              <w:pStyle w:val="TableParagraph"/>
              <w:spacing w:before="107"/>
              <w:ind w:right="287"/>
              <w:jc w:val="right"/>
              <w:rPr>
                <w:sz w:val="14"/>
              </w:rPr>
            </w:pPr>
            <w:r>
              <w:rPr>
                <w:sz w:val="14"/>
              </w:rPr>
              <w:t>0.00</w:t>
            </w:r>
          </w:p>
        </w:tc>
        <w:tc>
          <w:tcPr>
            <w:tcW w:w="1300" w:type="dxa"/>
          </w:tcPr>
          <w:p>
            <w:pPr>
              <w:pStyle w:val="TableParagraph"/>
              <w:spacing w:before="107"/>
              <w:ind w:right="75"/>
              <w:jc w:val="right"/>
              <w:rPr>
                <w:sz w:val="14"/>
              </w:rPr>
            </w:pPr>
            <w:r>
              <w:rPr>
                <w:sz w:val="14"/>
              </w:rPr>
              <w:t>0.00</w:t>
            </w:r>
          </w:p>
        </w:tc>
        <w:tc>
          <w:tcPr>
            <w:tcW w:w="1592" w:type="dxa"/>
            <w:gridSpan w:val="2"/>
          </w:tcPr>
          <w:p>
            <w:pPr>
              <w:pStyle w:val="TableParagraph"/>
              <w:spacing w:before="107"/>
              <w:ind w:right="78"/>
              <w:jc w:val="right"/>
              <w:rPr>
                <w:sz w:val="14"/>
              </w:rPr>
            </w:pPr>
            <w:r>
              <w:rPr>
                <w:sz w:val="14"/>
              </w:rPr>
              <w:t>0.0%</w:t>
            </w:r>
          </w:p>
        </w:tc>
      </w:tr>
      <w:tr>
        <w:trPr>
          <w:trHeight w:val="376" w:hRule="atLeast"/>
        </w:trPr>
        <w:tc>
          <w:tcPr>
            <w:tcW w:w="3663" w:type="dxa"/>
          </w:tcPr>
          <w:p>
            <w:pPr>
              <w:pStyle w:val="TableParagraph"/>
              <w:spacing w:before="107"/>
              <w:ind w:left="213"/>
              <w:rPr>
                <w:sz w:val="14"/>
              </w:rPr>
            </w:pPr>
            <w:r>
              <w:rPr>
                <w:w w:val="105"/>
                <w:sz w:val="14"/>
              </w:rPr>
              <w:t>3) Employee Benefits</w:t>
            </w:r>
          </w:p>
        </w:tc>
        <w:tc>
          <w:tcPr>
            <w:tcW w:w="2537" w:type="dxa"/>
            <w:gridSpan w:val="2"/>
          </w:tcPr>
          <w:p>
            <w:pPr>
              <w:pStyle w:val="TableParagraph"/>
              <w:spacing w:before="107"/>
              <w:ind w:right="142"/>
              <w:jc w:val="right"/>
              <w:rPr>
                <w:sz w:val="14"/>
              </w:rPr>
            </w:pPr>
            <w:r>
              <w:rPr>
                <w:sz w:val="14"/>
              </w:rPr>
              <w:t>3000-3999</w:t>
            </w:r>
          </w:p>
        </w:tc>
        <w:tc>
          <w:tcPr>
            <w:tcW w:w="1726" w:type="dxa"/>
          </w:tcPr>
          <w:p>
            <w:pPr>
              <w:pStyle w:val="TableParagraph"/>
              <w:spacing w:before="107"/>
              <w:ind w:right="287"/>
              <w:jc w:val="right"/>
              <w:rPr>
                <w:sz w:val="14"/>
              </w:rPr>
            </w:pPr>
            <w:r>
              <w:rPr>
                <w:sz w:val="14"/>
              </w:rPr>
              <w:t>0.00</w:t>
            </w:r>
          </w:p>
        </w:tc>
        <w:tc>
          <w:tcPr>
            <w:tcW w:w="1300" w:type="dxa"/>
          </w:tcPr>
          <w:p>
            <w:pPr>
              <w:pStyle w:val="TableParagraph"/>
              <w:spacing w:before="107"/>
              <w:ind w:right="75"/>
              <w:jc w:val="right"/>
              <w:rPr>
                <w:sz w:val="14"/>
              </w:rPr>
            </w:pPr>
            <w:r>
              <w:rPr>
                <w:sz w:val="14"/>
              </w:rPr>
              <w:t>0.00</w:t>
            </w:r>
          </w:p>
        </w:tc>
        <w:tc>
          <w:tcPr>
            <w:tcW w:w="1592" w:type="dxa"/>
            <w:gridSpan w:val="2"/>
          </w:tcPr>
          <w:p>
            <w:pPr>
              <w:pStyle w:val="TableParagraph"/>
              <w:spacing w:before="107"/>
              <w:ind w:right="78"/>
              <w:jc w:val="right"/>
              <w:rPr>
                <w:sz w:val="14"/>
              </w:rPr>
            </w:pPr>
            <w:r>
              <w:rPr>
                <w:sz w:val="14"/>
              </w:rPr>
              <w:t>0.0%</w:t>
            </w:r>
          </w:p>
        </w:tc>
      </w:tr>
      <w:tr>
        <w:trPr>
          <w:trHeight w:val="376" w:hRule="atLeast"/>
        </w:trPr>
        <w:tc>
          <w:tcPr>
            <w:tcW w:w="3663" w:type="dxa"/>
          </w:tcPr>
          <w:p>
            <w:pPr>
              <w:pStyle w:val="TableParagraph"/>
              <w:spacing w:before="107"/>
              <w:ind w:left="213"/>
              <w:rPr>
                <w:sz w:val="14"/>
              </w:rPr>
            </w:pPr>
            <w:r>
              <w:rPr>
                <w:w w:val="105"/>
                <w:sz w:val="14"/>
              </w:rPr>
              <w:t>4) Books and Supplies</w:t>
            </w:r>
          </w:p>
        </w:tc>
        <w:tc>
          <w:tcPr>
            <w:tcW w:w="2537" w:type="dxa"/>
            <w:gridSpan w:val="2"/>
          </w:tcPr>
          <w:p>
            <w:pPr>
              <w:pStyle w:val="TableParagraph"/>
              <w:spacing w:before="107"/>
              <w:ind w:right="142"/>
              <w:jc w:val="right"/>
              <w:rPr>
                <w:sz w:val="14"/>
              </w:rPr>
            </w:pPr>
            <w:r>
              <w:rPr>
                <w:sz w:val="14"/>
              </w:rPr>
              <w:t>4000-4999</w:t>
            </w:r>
          </w:p>
        </w:tc>
        <w:tc>
          <w:tcPr>
            <w:tcW w:w="1726" w:type="dxa"/>
          </w:tcPr>
          <w:p>
            <w:pPr>
              <w:pStyle w:val="TableParagraph"/>
              <w:spacing w:before="107"/>
              <w:ind w:right="286"/>
              <w:jc w:val="right"/>
              <w:rPr>
                <w:sz w:val="14"/>
              </w:rPr>
            </w:pPr>
            <w:r>
              <w:rPr>
                <w:sz w:val="14"/>
              </w:rPr>
              <w:t>4,100.00</w:t>
            </w:r>
          </w:p>
        </w:tc>
        <w:tc>
          <w:tcPr>
            <w:tcW w:w="1300" w:type="dxa"/>
          </w:tcPr>
          <w:p>
            <w:pPr>
              <w:pStyle w:val="TableParagraph"/>
              <w:spacing w:before="107"/>
              <w:ind w:right="74"/>
              <w:jc w:val="right"/>
              <w:rPr>
                <w:sz w:val="14"/>
              </w:rPr>
            </w:pPr>
            <w:r>
              <w:rPr>
                <w:sz w:val="14"/>
              </w:rPr>
              <w:t>4,100.00</w:t>
            </w:r>
          </w:p>
        </w:tc>
        <w:tc>
          <w:tcPr>
            <w:tcW w:w="1592" w:type="dxa"/>
            <w:gridSpan w:val="2"/>
          </w:tcPr>
          <w:p>
            <w:pPr>
              <w:pStyle w:val="TableParagraph"/>
              <w:spacing w:before="107"/>
              <w:ind w:right="78"/>
              <w:jc w:val="right"/>
              <w:rPr>
                <w:sz w:val="14"/>
              </w:rPr>
            </w:pPr>
            <w:r>
              <w:rPr>
                <w:sz w:val="14"/>
              </w:rPr>
              <w:t>0.0%</w:t>
            </w:r>
          </w:p>
        </w:tc>
      </w:tr>
      <w:tr>
        <w:trPr>
          <w:trHeight w:val="376" w:hRule="atLeast"/>
        </w:trPr>
        <w:tc>
          <w:tcPr>
            <w:tcW w:w="3663" w:type="dxa"/>
          </w:tcPr>
          <w:p>
            <w:pPr>
              <w:pStyle w:val="TableParagraph"/>
              <w:spacing w:before="107"/>
              <w:ind w:left="213"/>
              <w:rPr>
                <w:sz w:val="14"/>
              </w:rPr>
            </w:pPr>
            <w:r>
              <w:rPr>
                <w:w w:val="105"/>
                <w:sz w:val="14"/>
              </w:rPr>
              <w:t>5) Services and Other Operating Expenditures</w:t>
            </w:r>
          </w:p>
        </w:tc>
        <w:tc>
          <w:tcPr>
            <w:tcW w:w="2537" w:type="dxa"/>
            <w:gridSpan w:val="2"/>
          </w:tcPr>
          <w:p>
            <w:pPr>
              <w:pStyle w:val="TableParagraph"/>
              <w:spacing w:before="107"/>
              <w:ind w:right="142"/>
              <w:jc w:val="right"/>
              <w:rPr>
                <w:sz w:val="14"/>
              </w:rPr>
            </w:pPr>
            <w:r>
              <w:rPr>
                <w:sz w:val="14"/>
              </w:rPr>
              <w:t>5000-5999</w:t>
            </w:r>
          </w:p>
        </w:tc>
        <w:tc>
          <w:tcPr>
            <w:tcW w:w="1726" w:type="dxa"/>
          </w:tcPr>
          <w:p>
            <w:pPr>
              <w:pStyle w:val="TableParagraph"/>
              <w:spacing w:before="107"/>
              <w:ind w:right="287"/>
              <w:jc w:val="right"/>
              <w:rPr>
                <w:sz w:val="14"/>
              </w:rPr>
            </w:pPr>
            <w:r>
              <w:rPr>
                <w:sz w:val="14"/>
              </w:rPr>
              <w:t>0.00</w:t>
            </w:r>
          </w:p>
        </w:tc>
        <w:tc>
          <w:tcPr>
            <w:tcW w:w="1300" w:type="dxa"/>
          </w:tcPr>
          <w:p>
            <w:pPr>
              <w:pStyle w:val="TableParagraph"/>
              <w:spacing w:before="107"/>
              <w:ind w:right="75"/>
              <w:jc w:val="right"/>
              <w:rPr>
                <w:sz w:val="14"/>
              </w:rPr>
            </w:pPr>
            <w:r>
              <w:rPr>
                <w:sz w:val="14"/>
              </w:rPr>
              <w:t>0.00</w:t>
            </w:r>
          </w:p>
        </w:tc>
        <w:tc>
          <w:tcPr>
            <w:tcW w:w="1592" w:type="dxa"/>
            <w:gridSpan w:val="2"/>
          </w:tcPr>
          <w:p>
            <w:pPr>
              <w:pStyle w:val="TableParagraph"/>
              <w:spacing w:before="107"/>
              <w:ind w:right="78"/>
              <w:jc w:val="right"/>
              <w:rPr>
                <w:sz w:val="14"/>
              </w:rPr>
            </w:pPr>
            <w:r>
              <w:rPr>
                <w:sz w:val="14"/>
              </w:rPr>
              <w:t>0.0%</w:t>
            </w:r>
          </w:p>
        </w:tc>
      </w:tr>
      <w:tr>
        <w:trPr>
          <w:trHeight w:val="271" w:hRule="atLeast"/>
        </w:trPr>
        <w:tc>
          <w:tcPr>
            <w:tcW w:w="3663" w:type="dxa"/>
          </w:tcPr>
          <w:p>
            <w:pPr>
              <w:pStyle w:val="TableParagraph"/>
              <w:spacing w:line="145" w:lineRule="exact" w:before="107"/>
              <w:ind w:left="213"/>
              <w:rPr>
                <w:sz w:val="14"/>
              </w:rPr>
            </w:pPr>
            <w:r>
              <w:rPr>
                <w:w w:val="105"/>
                <w:sz w:val="14"/>
              </w:rPr>
              <w:t>6) Capital Outlay</w:t>
            </w:r>
          </w:p>
        </w:tc>
        <w:tc>
          <w:tcPr>
            <w:tcW w:w="2537" w:type="dxa"/>
            <w:gridSpan w:val="2"/>
          </w:tcPr>
          <w:p>
            <w:pPr>
              <w:pStyle w:val="TableParagraph"/>
              <w:spacing w:line="145" w:lineRule="exact" w:before="107"/>
              <w:ind w:right="142"/>
              <w:jc w:val="right"/>
              <w:rPr>
                <w:sz w:val="14"/>
              </w:rPr>
            </w:pPr>
            <w:r>
              <w:rPr>
                <w:sz w:val="14"/>
              </w:rPr>
              <w:t>6000-6999</w:t>
            </w:r>
          </w:p>
        </w:tc>
        <w:tc>
          <w:tcPr>
            <w:tcW w:w="1726" w:type="dxa"/>
          </w:tcPr>
          <w:p>
            <w:pPr>
              <w:pStyle w:val="TableParagraph"/>
              <w:spacing w:line="145" w:lineRule="exact" w:before="107"/>
              <w:ind w:right="287"/>
              <w:jc w:val="right"/>
              <w:rPr>
                <w:sz w:val="14"/>
              </w:rPr>
            </w:pPr>
            <w:r>
              <w:rPr>
                <w:sz w:val="14"/>
              </w:rPr>
              <w:t>0.00</w:t>
            </w:r>
          </w:p>
        </w:tc>
        <w:tc>
          <w:tcPr>
            <w:tcW w:w="1300" w:type="dxa"/>
          </w:tcPr>
          <w:p>
            <w:pPr>
              <w:pStyle w:val="TableParagraph"/>
              <w:spacing w:line="145" w:lineRule="exact" w:before="107"/>
              <w:ind w:right="75"/>
              <w:jc w:val="right"/>
              <w:rPr>
                <w:sz w:val="14"/>
              </w:rPr>
            </w:pPr>
            <w:r>
              <w:rPr>
                <w:sz w:val="14"/>
              </w:rPr>
              <w:t>0.00</w:t>
            </w:r>
          </w:p>
        </w:tc>
        <w:tc>
          <w:tcPr>
            <w:tcW w:w="1592" w:type="dxa"/>
            <w:gridSpan w:val="2"/>
          </w:tcPr>
          <w:p>
            <w:pPr>
              <w:pStyle w:val="TableParagraph"/>
              <w:spacing w:line="145" w:lineRule="exact" w:before="107"/>
              <w:ind w:right="78"/>
              <w:jc w:val="right"/>
              <w:rPr>
                <w:sz w:val="14"/>
              </w:rPr>
            </w:pPr>
            <w:r>
              <w:rPr>
                <w:sz w:val="14"/>
              </w:rPr>
              <w:t>0.0%</w:t>
            </w:r>
          </w:p>
        </w:tc>
      </w:tr>
      <w:tr>
        <w:trPr>
          <w:trHeight w:val="376" w:hRule="atLeast"/>
        </w:trPr>
        <w:tc>
          <w:tcPr>
            <w:tcW w:w="3663" w:type="dxa"/>
          </w:tcPr>
          <w:p>
            <w:pPr>
              <w:pStyle w:val="TableParagraph"/>
              <w:spacing w:before="4"/>
              <w:rPr>
                <w:sz w:val="18"/>
              </w:rPr>
            </w:pPr>
          </w:p>
          <w:p>
            <w:pPr>
              <w:pStyle w:val="TableParagraph"/>
              <w:spacing w:line="145" w:lineRule="exact" w:before="1"/>
              <w:ind w:left="213"/>
              <w:rPr>
                <w:sz w:val="14"/>
              </w:rPr>
            </w:pPr>
            <w:r>
              <w:rPr>
                <w:w w:val="105"/>
                <w:sz w:val="14"/>
              </w:rPr>
              <w:t>7) Other Outgo (excluding Transfers of Indirect</w:t>
            </w:r>
          </w:p>
        </w:tc>
        <w:tc>
          <w:tcPr>
            <w:tcW w:w="2537" w:type="dxa"/>
            <w:gridSpan w:val="2"/>
          </w:tcPr>
          <w:p>
            <w:pPr>
              <w:pStyle w:val="TableParagraph"/>
              <w:spacing w:before="4"/>
              <w:rPr>
                <w:sz w:val="18"/>
              </w:rPr>
            </w:pPr>
          </w:p>
          <w:p>
            <w:pPr>
              <w:pStyle w:val="TableParagraph"/>
              <w:spacing w:line="145" w:lineRule="exact" w:before="1"/>
              <w:ind w:left="1691"/>
              <w:rPr>
                <w:sz w:val="14"/>
              </w:rPr>
            </w:pPr>
            <w:r>
              <w:rPr>
                <w:w w:val="105"/>
                <w:sz w:val="14"/>
              </w:rPr>
              <w:t>7100-7299,</w:t>
            </w:r>
          </w:p>
        </w:tc>
        <w:tc>
          <w:tcPr>
            <w:tcW w:w="1726" w:type="dxa"/>
            <w:shd w:val="clear" w:color="auto" w:fill="DFDFDF"/>
          </w:tcPr>
          <w:p>
            <w:pPr>
              <w:pStyle w:val="TableParagraph"/>
              <w:rPr>
                <w:rFonts w:ascii="Times New Roman"/>
                <w:sz w:val="14"/>
              </w:rPr>
            </w:pPr>
          </w:p>
        </w:tc>
        <w:tc>
          <w:tcPr>
            <w:tcW w:w="1300" w:type="dxa"/>
            <w:shd w:val="clear" w:color="auto" w:fill="DFDFDF"/>
          </w:tcPr>
          <w:p>
            <w:pPr>
              <w:pStyle w:val="TableParagraph"/>
              <w:rPr>
                <w:rFonts w:ascii="Times New Roman"/>
                <w:sz w:val="14"/>
              </w:rPr>
            </w:pPr>
          </w:p>
        </w:tc>
        <w:tc>
          <w:tcPr>
            <w:tcW w:w="1592" w:type="dxa"/>
            <w:gridSpan w:val="2"/>
          </w:tcPr>
          <w:p>
            <w:pPr>
              <w:pStyle w:val="TableParagraph"/>
              <w:rPr>
                <w:rFonts w:ascii="Times New Roman"/>
                <w:sz w:val="14"/>
              </w:rPr>
            </w:pPr>
          </w:p>
        </w:tc>
      </w:tr>
      <w:tr>
        <w:trPr>
          <w:trHeight w:val="302" w:hRule="atLeast"/>
        </w:trPr>
        <w:tc>
          <w:tcPr>
            <w:tcW w:w="3663" w:type="dxa"/>
          </w:tcPr>
          <w:p>
            <w:pPr>
              <w:pStyle w:val="TableParagraph"/>
              <w:spacing w:before="32"/>
              <w:ind w:left="416"/>
              <w:rPr>
                <w:sz w:val="14"/>
              </w:rPr>
            </w:pPr>
            <w:r>
              <w:rPr>
                <w:w w:val="105"/>
                <w:sz w:val="14"/>
              </w:rPr>
              <w:t>Costs)</w:t>
            </w:r>
          </w:p>
        </w:tc>
        <w:tc>
          <w:tcPr>
            <w:tcW w:w="2537" w:type="dxa"/>
            <w:gridSpan w:val="2"/>
          </w:tcPr>
          <w:p>
            <w:pPr>
              <w:pStyle w:val="TableParagraph"/>
              <w:spacing w:before="32"/>
              <w:ind w:right="142"/>
              <w:jc w:val="right"/>
              <w:rPr>
                <w:sz w:val="14"/>
              </w:rPr>
            </w:pPr>
            <w:r>
              <w:rPr>
                <w:sz w:val="14"/>
              </w:rPr>
              <w:t>7400-7499</w:t>
            </w:r>
          </w:p>
        </w:tc>
        <w:tc>
          <w:tcPr>
            <w:tcW w:w="1726" w:type="dxa"/>
          </w:tcPr>
          <w:p>
            <w:pPr>
              <w:pStyle w:val="TableParagraph"/>
              <w:spacing w:before="32"/>
              <w:ind w:right="287"/>
              <w:jc w:val="right"/>
              <w:rPr>
                <w:sz w:val="14"/>
              </w:rPr>
            </w:pPr>
            <w:r>
              <w:rPr>
                <w:sz w:val="14"/>
              </w:rPr>
              <w:t>0.00</w:t>
            </w:r>
          </w:p>
        </w:tc>
        <w:tc>
          <w:tcPr>
            <w:tcW w:w="1300" w:type="dxa"/>
          </w:tcPr>
          <w:p>
            <w:pPr>
              <w:pStyle w:val="TableParagraph"/>
              <w:spacing w:before="32"/>
              <w:ind w:right="75"/>
              <w:jc w:val="right"/>
              <w:rPr>
                <w:sz w:val="14"/>
              </w:rPr>
            </w:pPr>
            <w:r>
              <w:rPr>
                <w:sz w:val="14"/>
              </w:rPr>
              <w:t>0.00</w:t>
            </w:r>
          </w:p>
        </w:tc>
        <w:tc>
          <w:tcPr>
            <w:tcW w:w="1592" w:type="dxa"/>
            <w:gridSpan w:val="2"/>
          </w:tcPr>
          <w:p>
            <w:pPr>
              <w:pStyle w:val="TableParagraph"/>
              <w:tabs>
                <w:tab w:pos="1184" w:val="left" w:leader="none"/>
              </w:tabs>
              <w:spacing w:before="32"/>
              <w:ind w:left="-4"/>
              <w:rPr>
                <w:sz w:val="14"/>
              </w:rPr>
            </w:pPr>
            <w:r>
              <w:rPr>
                <w:rFonts w:ascii="Times New Roman"/>
                <w:w w:val="102"/>
                <w:sz w:val="14"/>
                <w:shd w:fill="DFDFDF" w:color="auto" w:val="clear"/>
              </w:rPr>
              <w:t> </w:t>
            </w:r>
            <w:r>
              <w:rPr>
                <w:rFonts w:ascii="Times New Roman"/>
                <w:sz w:val="14"/>
                <w:shd w:fill="DFDFDF" w:color="auto" w:val="clear"/>
              </w:rPr>
              <w:tab/>
            </w:r>
            <w:r>
              <w:rPr>
                <w:w w:val="105"/>
                <w:sz w:val="14"/>
                <w:shd w:fill="DFDFDF" w:color="auto" w:val="clear"/>
              </w:rPr>
              <w:t>0.0%</w:t>
            </w:r>
            <w:r>
              <w:rPr>
                <w:spacing w:val="-13"/>
                <w:sz w:val="14"/>
                <w:shd w:fill="DFDFDF" w:color="auto" w:val="clear"/>
              </w:rPr>
              <w:t> </w:t>
            </w:r>
          </w:p>
        </w:tc>
      </w:tr>
      <w:tr>
        <w:trPr>
          <w:trHeight w:val="376" w:hRule="atLeast"/>
        </w:trPr>
        <w:tc>
          <w:tcPr>
            <w:tcW w:w="3663" w:type="dxa"/>
          </w:tcPr>
          <w:p>
            <w:pPr>
              <w:pStyle w:val="TableParagraph"/>
              <w:spacing w:before="106"/>
              <w:ind w:left="213"/>
              <w:rPr>
                <w:sz w:val="14"/>
              </w:rPr>
            </w:pPr>
            <w:r>
              <w:rPr>
                <w:w w:val="105"/>
                <w:sz w:val="14"/>
              </w:rPr>
              <w:t>8) Other Outgo - Transfers of Indirect Costs</w:t>
            </w:r>
          </w:p>
        </w:tc>
        <w:tc>
          <w:tcPr>
            <w:tcW w:w="2537" w:type="dxa"/>
            <w:gridSpan w:val="2"/>
          </w:tcPr>
          <w:p>
            <w:pPr>
              <w:pStyle w:val="TableParagraph"/>
              <w:spacing w:before="106"/>
              <w:ind w:right="142"/>
              <w:jc w:val="right"/>
              <w:rPr>
                <w:sz w:val="14"/>
              </w:rPr>
            </w:pPr>
            <w:r>
              <w:rPr>
                <w:sz w:val="14"/>
              </w:rPr>
              <w:t>7300-7399</w:t>
            </w:r>
          </w:p>
        </w:tc>
        <w:tc>
          <w:tcPr>
            <w:tcW w:w="1726" w:type="dxa"/>
          </w:tcPr>
          <w:p>
            <w:pPr>
              <w:pStyle w:val="TableParagraph"/>
              <w:spacing w:before="106"/>
              <w:ind w:right="287"/>
              <w:jc w:val="right"/>
              <w:rPr>
                <w:sz w:val="14"/>
              </w:rPr>
            </w:pPr>
            <w:r>
              <w:rPr>
                <w:sz w:val="14"/>
              </w:rPr>
              <w:t>0.00</w:t>
            </w:r>
          </w:p>
        </w:tc>
        <w:tc>
          <w:tcPr>
            <w:tcW w:w="1300" w:type="dxa"/>
          </w:tcPr>
          <w:p>
            <w:pPr>
              <w:pStyle w:val="TableParagraph"/>
              <w:spacing w:before="106"/>
              <w:ind w:right="75"/>
              <w:jc w:val="right"/>
              <w:rPr>
                <w:sz w:val="14"/>
              </w:rPr>
            </w:pPr>
            <w:r>
              <w:rPr>
                <w:sz w:val="14"/>
              </w:rPr>
              <w:t>0.00</w:t>
            </w:r>
          </w:p>
        </w:tc>
        <w:tc>
          <w:tcPr>
            <w:tcW w:w="1592" w:type="dxa"/>
            <w:gridSpan w:val="2"/>
          </w:tcPr>
          <w:p>
            <w:pPr>
              <w:pStyle w:val="TableParagraph"/>
              <w:spacing w:before="106"/>
              <w:ind w:right="78"/>
              <w:jc w:val="right"/>
              <w:rPr>
                <w:sz w:val="14"/>
              </w:rPr>
            </w:pPr>
            <w:r>
              <w:rPr>
                <w:sz w:val="14"/>
              </w:rPr>
              <w:t>0.0%</w:t>
            </w:r>
          </w:p>
        </w:tc>
      </w:tr>
      <w:tr>
        <w:trPr>
          <w:trHeight w:val="268" w:hRule="atLeast"/>
        </w:trPr>
        <w:tc>
          <w:tcPr>
            <w:tcW w:w="3663" w:type="dxa"/>
          </w:tcPr>
          <w:p>
            <w:pPr>
              <w:pStyle w:val="TableParagraph"/>
              <w:spacing w:line="142" w:lineRule="exact" w:before="107"/>
              <w:ind w:left="213"/>
              <w:rPr>
                <w:sz w:val="14"/>
              </w:rPr>
            </w:pPr>
            <w:r>
              <w:rPr>
                <w:w w:val="105"/>
                <w:sz w:val="14"/>
              </w:rPr>
              <w:t>9) TOTAL, EXPENDITURES</w:t>
            </w:r>
          </w:p>
        </w:tc>
        <w:tc>
          <w:tcPr>
            <w:tcW w:w="2537" w:type="dxa"/>
            <w:gridSpan w:val="2"/>
          </w:tcPr>
          <w:p>
            <w:pPr>
              <w:pStyle w:val="TableParagraph"/>
              <w:rPr>
                <w:rFonts w:ascii="Times New Roman"/>
                <w:sz w:val="14"/>
              </w:rPr>
            </w:pPr>
          </w:p>
        </w:tc>
        <w:tc>
          <w:tcPr>
            <w:tcW w:w="1726" w:type="dxa"/>
          </w:tcPr>
          <w:p>
            <w:pPr>
              <w:pStyle w:val="TableParagraph"/>
              <w:spacing w:line="142" w:lineRule="exact" w:before="107"/>
              <w:ind w:right="286"/>
              <w:jc w:val="right"/>
              <w:rPr>
                <w:sz w:val="14"/>
              </w:rPr>
            </w:pPr>
            <w:r>
              <w:rPr>
                <w:sz w:val="14"/>
              </w:rPr>
              <w:t>4,100.00</w:t>
            </w:r>
          </w:p>
        </w:tc>
        <w:tc>
          <w:tcPr>
            <w:tcW w:w="1300" w:type="dxa"/>
          </w:tcPr>
          <w:p>
            <w:pPr>
              <w:pStyle w:val="TableParagraph"/>
              <w:spacing w:line="142" w:lineRule="exact" w:before="107"/>
              <w:ind w:right="74"/>
              <w:jc w:val="right"/>
              <w:rPr>
                <w:sz w:val="14"/>
              </w:rPr>
            </w:pPr>
            <w:r>
              <w:rPr>
                <w:sz w:val="14"/>
              </w:rPr>
              <w:t>4,100.00</w:t>
            </w:r>
          </w:p>
        </w:tc>
        <w:tc>
          <w:tcPr>
            <w:tcW w:w="1592" w:type="dxa"/>
            <w:gridSpan w:val="2"/>
          </w:tcPr>
          <w:p>
            <w:pPr>
              <w:pStyle w:val="TableParagraph"/>
              <w:spacing w:line="142" w:lineRule="exact" w:before="107"/>
              <w:ind w:right="78"/>
              <w:jc w:val="right"/>
              <w:rPr>
                <w:sz w:val="14"/>
              </w:rPr>
            </w:pPr>
            <w:r>
              <w:rPr>
                <w:sz w:val="14"/>
              </w:rPr>
              <w:t>0.0%</w:t>
            </w:r>
          </w:p>
        </w:tc>
      </w:tr>
      <w:tr>
        <w:trPr>
          <w:trHeight w:val="374" w:hRule="atLeast"/>
        </w:trPr>
        <w:tc>
          <w:tcPr>
            <w:tcW w:w="3663" w:type="dxa"/>
          </w:tcPr>
          <w:p>
            <w:pPr>
              <w:pStyle w:val="TableParagraph"/>
              <w:spacing w:before="5"/>
              <w:rPr>
                <w:sz w:val="18"/>
              </w:rPr>
            </w:pPr>
          </w:p>
          <w:p>
            <w:pPr>
              <w:pStyle w:val="TableParagraph"/>
              <w:spacing w:line="142" w:lineRule="exact"/>
              <w:ind w:left="50"/>
              <w:rPr>
                <w:b/>
                <w:sz w:val="14"/>
              </w:rPr>
            </w:pPr>
            <w:r>
              <w:rPr>
                <w:b/>
                <w:w w:val="105"/>
                <w:sz w:val="14"/>
              </w:rPr>
              <w:t>C. EXCESS (DEFICIENCY) OF REVENUES</w:t>
            </w:r>
          </w:p>
        </w:tc>
        <w:tc>
          <w:tcPr>
            <w:tcW w:w="1468" w:type="dxa"/>
          </w:tcPr>
          <w:p>
            <w:pPr>
              <w:pStyle w:val="TableParagraph"/>
              <w:rPr>
                <w:rFonts w:ascii="Times New Roman"/>
                <w:sz w:val="14"/>
              </w:rPr>
            </w:pPr>
          </w:p>
        </w:tc>
        <w:tc>
          <w:tcPr>
            <w:tcW w:w="1069" w:type="dxa"/>
          </w:tcPr>
          <w:p>
            <w:pPr>
              <w:pStyle w:val="TableParagraph"/>
              <w:rPr>
                <w:rFonts w:ascii="Times New Roman"/>
                <w:sz w:val="14"/>
              </w:rPr>
            </w:pPr>
          </w:p>
        </w:tc>
        <w:tc>
          <w:tcPr>
            <w:tcW w:w="1726" w:type="dxa"/>
          </w:tcPr>
          <w:p>
            <w:pPr>
              <w:pStyle w:val="TableParagraph"/>
              <w:rPr>
                <w:rFonts w:ascii="Times New Roman"/>
                <w:sz w:val="14"/>
              </w:rPr>
            </w:pPr>
          </w:p>
        </w:tc>
        <w:tc>
          <w:tcPr>
            <w:tcW w:w="1300" w:type="dxa"/>
          </w:tcPr>
          <w:p>
            <w:pPr>
              <w:pStyle w:val="TableParagraph"/>
              <w:rPr>
                <w:rFonts w:ascii="Times New Roman"/>
                <w:sz w:val="14"/>
              </w:rPr>
            </w:pPr>
          </w:p>
        </w:tc>
        <w:tc>
          <w:tcPr>
            <w:tcW w:w="1157" w:type="dxa"/>
          </w:tcPr>
          <w:p>
            <w:pPr>
              <w:pStyle w:val="TableParagraph"/>
              <w:rPr>
                <w:rFonts w:ascii="Times New Roman"/>
                <w:sz w:val="14"/>
              </w:rPr>
            </w:pPr>
          </w:p>
        </w:tc>
        <w:tc>
          <w:tcPr>
            <w:tcW w:w="435" w:type="dxa"/>
          </w:tcPr>
          <w:p>
            <w:pPr>
              <w:pStyle w:val="TableParagraph"/>
              <w:rPr>
                <w:rFonts w:ascii="Times New Roman"/>
                <w:sz w:val="14"/>
              </w:rPr>
            </w:pPr>
          </w:p>
        </w:tc>
      </w:tr>
      <w:tr>
        <w:trPr>
          <w:trHeight w:val="395" w:hRule="atLeast"/>
        </w:trPr>
        <w:tc>
          <w:tcPr>
            <w:tcW w:w="3663" w:type="dxa"/>
          </w:tcPr>
          <w:p>
            <w:pPr>
              <w:pStyle w:val="TableParagraph"/>
              <w:spacing w:line="196" w:lineRule="exact" w:before="9"/>
              <w:ind w:left="253"/>
              <w:rPr>
                <w:b/>
                <w:sz w:val="14"/>
              </w:rPr>
            </w:pPr>
            <w:r>
              <w:rPr>
                <w:b/>
                <w:w w:val="105"/>
                <w:sz w:val="14"/>
              </w:rPr>
              <w:t>OVER EXPENDITURES BEFORE OTHER FINANCING SOURCES AND USES (A5 - B9)</w:t>
            </w:r>
          </w:p>
        </w:tc>
        <w:tc>
          <w:tcPr>
            <w:tcW w:w="4263" w:type="dxa"/>
            <w:gridSpan w:val="3"/>
          </w:tcPr>
          <w:p>
            <w:pPr>
              <w:pStyle w:val="TableParagraph"/>
              <w:spacing w:before="4"/>
              <w:rPr>
                <w:sz w:val="20"/>
              </w:rPr>
            </w:pPr>
          </w:p>
          <w:p>
            <w:pPr>
              <w:pStyle w:val="TableParagraph"/>
              <w:spacing w:line="142" w:lineRule="exact"/>
              <w:ind w:right="286"/>
              <w:jc w:val="right"/>
              <w:rPr>
                <w:sz w:val="14"/>
              </w:rPr>
            </w:pPr>
            <w:r>
              <w:rPr>
                <w:sz w:val="14"/>
              </w:rPr>
              <w:t>240.00</w:t>
            </w:r>
          </w:p>
        </w:tc>
        <w:tc>
          <w:tcPr>
            <w:tcW w:w="1300" w:type="dxa"/>
          </w:tcPr>
          <w:p>
            <w:pPr>
              <w:pStyle w:val="TableParagraph"/>
              <w:spacing w:before="4"/>
              <w:rPr>
                <w:sz w:val="20"/>
              </w:rPr>
            </w:pPr>
          </w:p>
          <w:p>
            <w:pPr>
              <w:pStyle w:val="TableParagraph"/>
              <w:spacing w:line="142" w:lineRule="exact"/>
              <w:ind w:right="74"/>
              <w:jc w:val="right"/>
              <w:rPr>
                <w:sz w:val="14"/>
              </w:rPr>
            </w:pPr>
            <w:r>
              <w:rPr>
                <w:sz w:val="14"/>
              </w:rPr>
              <w:t>240.00</w:t>
            </w:r>
          </w:p>
        </w:tc>
        <w:tc>
          <w:tcPr>
            <w:tcW w:w="1592" w:type="dxa"/>
            <w:gridSpan w:val="2"/>
          </w:tcPr>
          <w:p>
            <w:pPr>
              <w:pStyle w:val="TableParagraph"/>
              <w:spacing w:before="4"/>
              <w:rPr>
                <w:sz w:val="20"/>
              </w:rPr>
            </w:pPr>
          </w:p>
          <w:p>
            <w:pPr>
              <w:pStyle w:val="TableParagraph"/>
              <w:spacing w:line="142" w:lineRule="exact"/>
              <w:ind w:right="78"/>
              <w:jc w:val="right"/>
              <w:rPr>
                <w:sz w:val="14"/>
              </w:rPr>
            </w:pPr>
            <w:r>
              <w:rPr>
                <w:sz w:val="14"/>
              </w:rPr>
              <w:t>0.0%</w:t>
            </w:r>
          </w:p>
        </w:tc>
      </w:tr>
      <w:tr>
        <w:trPr>
          <w:trHeight w:val="369" w:hRule="atLeast"/>
        </w:trPr>
        <w:tc>
          <w:tcPr>
            <w:tcW w:w="3663" w:type="dxa"/>
          </w:tcPr>
          <w:p>
            <w:pPr>
              <w:pStyle w:val="TableParagraph"/>
              <w:rPr>
                <w:sz w:val="18"/>
              </w:rPr>
            </w:pPr>
          </w:p>
          <w:p>
            <w:pPr>
              <w:pStyle w:val="TableParagraph"/>
              <w:spacing w:line="142" w:lineRule="exact"/>
              <w:ind w:left="50"/>
              <w:rPr>
                <w:b/>
                <w:sz w:val="14"/>
              </w:rPr>
            </w:pPr>
            <w:r>
              <w:rPr>
                <w:b/>
                <w:w w:val="105"/>
                <w:sz w:val="14"/>
              </w:rPr>
              <w:t>D. OTHER FINANCING SOURCES/USES</w:t>
            </w:r>
          </w:p>
        </w:tc>
        <w:tc>
          <w:tcPr>
            <w:tcW w:w="1468" w:type="dxa"/>
          </w:tcPr>
          <w:p>
            <w:pPr>
              <w:pStyle w:val="TableParagraph"/>
              <w:rPr>
                <w:rFonts w:ascii="Times New Roman"/>
                <w:sz w:val="14"/>
              </w:rPr>
            </w:pPr>
          </w:p>
        </w:tc>
        <w:tc>
          <w:tcPr>
            <w:tcW w:w="1069" w:type="dxa"/>
          </w:tcPr>
          <w:p>
            <w:pPr>
              <w:pStyle w:val="TableParagraph"/>
              <w:rPr>
                <w:rFonts w:ascii="Times New Roman"/>
                <w:sz w:val="14"/>
              </w:rPr>
            </w:pPr>
          </w:p>
        </w:tc>
        <w:tc>
          <w:tcPr>
            <w:tcW w:w="1726" w:type="dxa"/>
          </w:tcPr>
          <w:p>
            <w:pPr>
              <w:pStyle w:val="TableParagraph"/>
              <w:rPr>
                <w:rFonts w:ascii="Times New Roman"/>
                <w:sz w:val="14"/>
              </w:rPr>
            </w:pPr>
          </w:p>
        </w:tc>
        <w:tc>
          <w:tcPr>
            <w:tcW w:w="1300" w:type="dxa"/>
          </w:tcPr>
          <w:p>
            <w:pPr>
              <w:pStyle w:val="TableParagraph"/>
              <w:rPr>
                <w:rFonts w:ascii="Times New Roman"/>
                <w:sz w:val="14"/>
              </w:rPr>
            </w:pPr>
          </w:p>
        </w:tc>
        <w:tc>
          <w:tcPr>
            <w:tcW w:w="1157" w:type="dxa"/>
          </w:tcPr>
          <w:p>
            <w:pPr>
              <w:pStyle w:val="TableParagraph"/>
              <w:rPr>
                <w:rFonts w:ascii="Times New Roman"/>
                <w:sz w:val="14"/>
              </w:rPr>
            </w:pPr>
          </w:p>
        </w:tc>
        <w:tc>
          <w:tcPr>
            <w:tcW w:w="435" w:type="dxa"/>
          </w:tcPr>
          <w:p>
            <w:pPr>
              <w:pStyle w:val="TableParagraph"/>
              <w:rPr>
                <w:rFonts w:ascii="Times New Roman"/>
                <w:sz w:val="14"/>
              </w:rPr>
            </w:pPr>
          </w:p>
        </w:tc>
      </w:tr>
      <w:tr>
        <w:trPr>
          <w:trHeight w:val="700" w:hRule="atLeast"/>
        </w:trPr>
        <w:tc>
          <w:tcPr>
            <w:tcW w:w="3663" w:type="dxa"/>
          </w:tcPr>
          <w:p>
            <w:pPr>
              <w:pStyle w:val="TableParagraph"/>
              <w:spacing w:before="4"/>
              <w:rPr>
                <w:sz w:val="20"/>
              </w:rPr>
            </w:pPr>
          </w:p>
          <w:p>
            <w:pPr>
              <w:pStyle w:val="TableParagraph"/>
              <w:numPr>
                <w:ilvl w:val="0"/>
                <w:numId w:val="9"/>
              </w:numPr>
              <w:tabs>
                <w:tab w:pos="381" w:val="left" w:leader="none"/>
              </w:tabs>
              <w:spacing w:line="240" w:lineRule="auto" w:before="0" w:after="0"/>
              <w:ind w:left="380" w:right="0" w:hanging="168"/>
              <w:jc w:val="left"/>
              <w:rPr>
                <w:sz w:val="14"/>
              </w:rPr>
            </w:pPr>
            <w:r>
              <w:rPr>
                <w:w w:val="105"/>
                <w:sz w:val="14"/>
              </w:rPr>
              <w:t>Interfund</w:t>
            </w:r>
            <w:r>
              <w:rPr>
                <w:spacing w:val="-3"/>
                <w:w w:val="105"/>
                <w:sz w:val="14"/>
              </w:rPr>
              <w:t> </w:t>
            </w:r>
            <w:r>
              <w:rPr>
                <w:w w:val="105"/>
                <w:sz w:val="14"/>
              </w:rPr>
              <w:t>Transfers</w:t>
            </w:r>
          </w:p>
          <w:p>
            <w:pPr>
              <w:pStyle w:val="TableParagraph"/>
              <w:numPr>
                <w:ilvl w:val="1"/>
                <w:numId w:val="9"/>
              </w:numPr>
              <w:tabs>
                <w:tab w:pos="544" w:val="left" w:leader="none"/>
              </w:tabs>
              <w:spacing w:line="240" w:lineRule="auto" w:before="36" w:after="0"/>
              <w:ind w:left="543" w:right="0" w:hanging="168"/>
              <w:jc w:val="left"/>
              <w:rPr>
                <w:sz w:val="14"/>
              </w:rPr>
            </w:pPr>
            <w:r>
              <w:rPr>
                <w:w w:val="105"/>
                <w:sz w:val="14"/>
              </w:rPr>
              <w:t>Transfers</w:t>
            </w:r>
            <w:r>
              <w:rPr>
                <w:spacing w:val="-2"/>
                <w:w w:val="105"/>
                <w:sz w:val="14"/>
              </w:rPr>
              <w:t> </w:t>
            </w:r>
            <w:r>
              <w:rPr>
                <w:w w:val="105"/>
                <w:sz w:val="14"/>
              </w:rPr>
              <w:t>In</w:t>
            </w:r>
          </w:p>
        </w:tc>
        <w:tc>
          <w:tcPr>
            <w:tcW w:w="2537" w:type="dxa"/>
            <w:gridSpan w:val="2"/>
          </w:tcPr>
          <w:p>
            <w:pPr>
              <w:pStyle w:val="TableParagraph"/>
              <w:rPr>
                <w:sz w:val="16"/>
              </w:rPr>
            </w:pPr>
          </w:p>
          <w:p>
            <w:pPr>
              <w:pStyle w:val="TableParagraph"/>
              <w:spacing w:before="5"/>
              <w:rPr>
                <w:sz w:val="21"/>
              </w:rPr>
            </w:pPr>
          </w:p>
          <w:p>
            <w:pPr>
              <w:pStyle w:val="TableParagraph"/>
              <w:ind w:right="142"/>
              <w:jc w:val="right"/>
              <w:rPr>
                <w:sz w:val="14"/>
              </w:rPr>
            </w:pPr>
            <w:r>
              <w:rPr>
                <w:sz w:val="14"/>
              </w:rPr>
              <w:t>8900-8929</w:t>
            </w:r>
          </w:p>
        </w:tc>
        <w:tc>
          <w:tcPr>
            <w:tcW w:w="1726" w:type="dxa"/>
          </w:tcPr>
          <w:p>
            <w:pPr>
              <w:pStyle w:val="TableParagraph"/>
              <w:rPr>
                <w:sz w:val="16"/>
              </w:rPr>
            </w:pPr>
          </w:p>
          <w:p>
            <w:pPr>
              <w:pStyle w:val="TableParagraph"/>
              <w:spacing w:before="5"/>
              <w:rPr>
                <w:sz w:val="21"/>
              </w:rPr>
            </w:pPr>
          </w:p>
          <w:p>
            <w:pPr>
              <w:pStyle w:val="TableParagraph"/>
              <w:ind w:right="287"/>
              <w:jc w:val="right"/>
              <w:rPr>
                <w:sz w:val="14"/>
              </w:rPr>
            </w:pPr>
            <w:r>
              <w:rPr>
                <w:sz w:val="14"/>
              </w:rPr>
              <w:t>0.00</w:t>
            </w:r>
          </w:p>
        </w:tc>
        <w:tc>
          <w:tcPr>
            <w:tcW w:w="1300" w:type="dxa"/>
          </w:tcPr>
          <w:p>
            <w:pPr>
              <w:pStyle w:val="TableParagraph"/>
              <w:rPr>
                <w:sz w:val="16"/>
              </w:rPr>
            </w:pPr>
          </w:p>
          <w:p>
            <w:pPr>
              <w:pStyle w:val="TableParagraph"/>
              <w:spacing w:before="5"/>
              <w:rPr>
                <w:sz w:val="21"/>
              </w:rPr>
            </w:pPr>
          </w:p>
          <w:p>
            <w:pPr>
              <w:pStyle w:val="TableParagraph"/>
              <w:ind w:right="75"/>
              <w:jc w:val="right"/>
              <w:rPr>
                <w:sz w:val="14"/>
              </w:rPr>
            </w:pPr>
            <w:r>
              <w:rPr>
                <w:sz w:val="14"/>
              </w:rPr>
              <w:t>0.00</w:t>
            </w:r>
          </w:p>
        </w:tc>
        <w:tc>
          <w:tcPr>
            <w:tcW w:w="1592" w:type="dxa"/>
            <w:gridSpan w:val="2"/>
          </w:tcPr>
          <w:p>
            <w:pPr>
              <w:pStyle w:val="TableParagraph"/>
              <w:rPr>
                <w:sz w:val="16"/>
              </w:rPr>
            </w:pPr>
          </w:p>
          <w:p>
            <w:pPr>
              <w:pStyle w:val="TableParagraph"/>
              <w:spacing w:before="5"/>
              <w:rPr>
                <w:sz w:val="21"/>
              </w:rPr>
            </w:pPr>
          </w:p>
          <w:p>
            <w:pPr>
              <w:pStyle w:val="TableParagraph"/>
              <w:ind w:right="78"/>
              <w:jc w:val="right"/>
              <w:rPr>
                <w:sz w:val="14"/>
              </w:rPr>
            </w:pPr>
            <w:r>
              <w:rPr>
                <w:sz w:val="14"/>
              </w:rPr>
              <w:t>0.0%</w:t>
            </w:r>
          </w:p>
        </w:tc>
      </w:tr>
      <w:tr>
        <w:trPr>
          <w:trHeight w:val="376" w:hRule="atLeast"/>
        </w:trPr>
        <w:tc>
          <w:tcPr>
            <w:tcW w:w="3663" w:type="dxa"/>
          </w:tcPr>
          <w:p>
            <w:pPr>
              <w:pStyle w:val="TableParagraph"/>
              <w:spacing w:before="107"/>
              <w:ind w:left="376"/>
              <w:rPr>
                <w:sz w:val="14"/>
              </w:rPr>
            </w:pPr>
            <w:r>
              <w:rPr>
                <w:w w:val="105"/>
                <w:sz w:val="14"/>
              </w:rPr>
              <w:t>b) Transfers Out</w:t>
            </w:r>
          </w:p>
        </w:tc>
        <w:tc>
          <w:tcPr>
            <w:tcW w:w="2537" w:type="dxa"/>
            <w:gridSpan w:val="2"/>
          </w:tcPr>
          <w:p>
            <w:pPr>
              <w:pStyle w:val="TableParagraph"/>
              <w:spacing w:before="107"/>
              <w:ind w:right="142"/>
              <w:jc w:val="right"/>
              <w:rPr>
                <w:sz w:val="14"/>
              </w:rPr>
            </w:pPr>
            <w:r>
              <w:rPr>
                <w:sz w:val="14"/>
              </w:rPr>
              <w:t>7600-7629</w:t>
            </w:r>
          </w:p>
        </w:tc>
        <w:tc>
          <w:tcPr>
            <w:tcW w:w="1726" w:type="dxa"/>
          </w:tcPr>
          <w:p>
            <w:pPr>
              <w:pStyle w:val="TableParagraph"/>
              <w:spacing w:before="107"/>
              <w:ind w:right="287"/>
              <w:jc w:val="right"/>
              <w:rPr>
                <w:sz w:val="14"/>
              </w:rPr>
            </w:pPr>
            <w:r>
              <w:rPr>
                <w:sz w:val="14"/>
              </w:rPr>
              <w:t>0.00</w:t>
            </w:r>
          </w:p>
        </w:tc>
        <w:tc>
          <w:tcPr>
            <w:tcW w:w="1300" w:type="dxa"/>
          </w:tcPr>
          <w:p>
            <w:pPr>
              <w:pStyle w:val="TableParagraph"/>
              <w:spacing w:before="107"/>
              <w:ind w:right="75"/>
              <w:jc w:val="right"/>
              <w:rPr>
                <w:sz w:val="14"/>
              </w:rPr>
            </w:pPr>
            <w:r>
              <w:rPr>
                <w:sz w:val="14"/>
              </w:rPr>
              <w:t>0.00</w:t>
            </w:r>
          </w:p>
        </w:tc>
        <w:tc>
          <w:tcPr>
            <w:tcW w:w="1592" w:type="dxa"/>
            <w:gridSpan w:val="2"/>
          </w:tcPr>
          <w:p>
            <w:pPr>
              <w:pStyle w:val="TableParagraph"/>
              <w:spacing w:before="107"/>
              <w:ind w:right="78"/>
              <w:jc w:val="right"/>
              <w:rPr>
                <w:sz w:val="14"/>
              </w:rPr>
            </w:pPr>
            <w:r>
              <w:rPr>
                <w:sz w:val="14"/>
              </w:rPr>
              <w:t>0.0%</w:t>
            </w:r>
          </w:p>
        </w:tc>
      </w:tr>
      <w:tr>
        <w:trPr>
          <w:trHeight w:val="573" w:hRule="atLeast"/>
        </w:trPr>
        <w:tc>
          <w:tcPr>
            <w:tcW w:w="3663" w:type="dxa"/>
          </w:tcPr>
          <w:p>
            <w:pPr>
              <w:pStyle w:val="TableParagraph"/>
              <w:numPr>
                <w:ilvl w:val="0"/>
                <w:numId w:val="10"/>
              </w:numPr>
              <w:tabs>
                <w:tab w:pos="381" w:val="left" w:leader="none"/>
              </w:tabs>
              <w:spacing w:line="240" w:lineRule="auto" w:before="107" w:after="0"/>
              <w:ind w:left="380" w:right="0" w:hanging="168"/>
              <w:jc w:val="left"/>
              <w:rPr>
                <w:sz w:val="14"/>
              </w:rPr>
            </w:pPr>
            <w:r>
              <w:rPr>
                <w:w w:val="105"/>
                <w:sz w:val="14"/>
              </w:rPr>
              <w:t>Other</w:t>
            </w:r>
            <w:r>
              <w:rPr>
                <w:spacing w:val="-1"/>
                <w:w w:val="105"/>
                <w:sz w:val="14"/>
              </w:rPr>
              <w:t> </w:t>
            </w:r>
            <w:r>
              <w:rPr>
                <w:w w:val="105"/>
                <w:sz w:val="14"/>
              </w:rPr>
              <w:t>Sources/Uses</w:t>
            </w:r>
          </w:p>
          <w:p>
            <w:pPr>
              <w:pStyle w:val="TableParagraph"/>
              <w:numPr>
                <w:ilvl w:val="1"/>
                <w:numId w:val="10"/>
              </w:numPr>
              <w:tabs>
                <w:tab w:pos="544" w:val="left" w:leader="none"/>
              </w:tabs>
              <w:spacing w:line="240" w:lineRule="auto" w:before="35" w:after="0"/>
              <w:ind w:left="543" w:right="0" w:hanging="168"/>
              <w:jc w:val="left"/>
              <w:rPr>
                <w:sz w:val="14"/>
              </w:rPr>
            </w:pPr>
            <w:r>
              <w:rPr>
                <w:w w:val="105"/>
                <w:sz w:val="14"/>
              </w:rPr>
              <w:t>Sources</w:t>
            </w:r>
          </w:p>
        </w:tc>
        <w:tc>
          <w:tcPr>
            <w:tcW w:w="2537" w:type="dxa"/>
            <w:gridSpan w:val="2"/>
          </w:tcPr>
          <w:p>
            <w:pPr>
              <w:pStyle w:val="TableParagraph"/>
              <w:rPr>
                <w:sz w:val="16"/>
              </w:rPr>
            </w:pPr>
          </w:p>
          <w:p>
            <w:pPr>
              <w:pStyle w:val="TableParagraph"/>
              <w:spacing w:before="119"/>
              <w:ind w:right="142"/>
              <w:jc w:val="right"/>
              <w:rPr>
                <w:sz w:val="14"/>
              </w:rPr>
            </w:pPr>
            <w:r>
              <w:rPr>
                <w:sz w:val="14"/>
              </w:rPr>
              <w:t>8930-8979</w:t>
            </w:r>
          </w:p>
        </w:tc>
        <w:tc>
          <w:tcPr>
            <w:tcW w:w="1726" w:type="dxa"/>
          </w:tcPr>
          <w:p>
            <w:pPr>
              <w:pStyle w:val="TableParagraph"/>
              <w:rPr>
                <w:sz w:val="16"/>
              </w:rPr>
            </w:pPr>
          </w:p>
          <w:p>
            <w:pPr>
              <w:pStyle w:val="TableParagraph"/>
              <w:spacing w:before="119"/>
              <w:ind w:right="287"/>
              <w:jc w:val="right"/>
              <w:rPr>
                <w:sz w:val="14"/>
              </w:rPr>
            </w:pPr>
            <w:r>
              <w:rPr>
                <w:sz w:val="14"/>
              </w:rPr>
              <w:t>0.00</w:t>
            </w:r>
          </w:p>
        </w:tc>
        <w:tc>
          <w:tcPr>
            <w:tcW w:w="1300" w:type="dxa"/>
          </w:tcPr>
          <w:p>
            <w:pPr>
              <w:pStyle w:val="TableParagraph"/>
              <w:rPr>
                <w:sz w:val="16"/>
              </w:rPr>
            </w:pPr>
          </w:p>
          <w:p>
            <w:pPr>
              <w:pStyle w:val="TableParagraph"/>
              <w:spacing w:before="119"/>
              <w:ind w:right="75"/>
              <w:jc w:val="right"/>
              <w:rPr>
                <w:sz w:val="14"/>
              </w:rPr>
            </w:pPr>
            <w:r>
              <w:rPr>
                <w:sz w:val="14"/>
              </w:rPr>
              <w:t>0.00</w:t>
            </w:r>
          </w:p>
        </w:tc>
        <w:tc>
          <w:tcPr>
            <w:tcW w:w="1592" w:type="dxa"/>
            <w:gridSpan w:val="2"/>
          </w:tcPr>
          <w:p>
            <w:pPr>
              <w:pStyle w:val="TableParagraph"/>
              <w:rPr>
                <w:sz w:val="16"/>
              </w:rPr>
            </w:pPr>
          </w:p>
          <w:p>
            <w:pPr>
              <w:pStyle w:val="TableParagraph"/>
              <w:spacing w:before="119"/>
              <w:ind w:right="78"/>
              <w:jc w:val="right"/>
              <w:rPr>
                <w:sz w:val="14"/>
              </w:rPr>
            </w:pPr>
            <w:r>
              <w:rPr>
                <w:sz w:val="14"/>
              </w:rPr>
              <w:t>0.0%</w:t>
            </w:r>
          </w:p>
        </w:tc>
      </w:tr>
      <w:tr>
        <w:trPr>
          <w:trHeight w:val="376" w:hRule="atLeast"/>
        </w:trPr>
        <w:tc>
          <w:tcPr>
            <w:tcW w:w="3663" w:type="dxa"/>
          </w:tcPr>
          <w:p>
            <w:pPr>
              <w:pStyle w:val="TableParagraph"/>
              <w:spacing w:before="107"/>
              <w:ind w:left="376"/>
              <w:rPr>
                <w:sz w:val="14"/>
              </w:rPr>
            </w:pPr>
            <w:r>
              <w:rPr>
                <w:w w:val="105"/>
                <w:sz w:val="14"/>
              </w:rPr>
              <w:t>b) Uses</w:t>
            </w:r>
          </w:p>
        </w:tc>
        <w:tc>
          <w:tcPr>
            <w:tcW w:w="2537" w:type="dxa"/>
            <w:gridSpan w:val="2"/>
          </w:tcPr>
          <w:p>
            <w:pPr>
              <w:pStyle w:val="TableParagraph"/>
              <w:spacing w:before="107"/>
              <w:ind w:right="142"/>
              <w:jc w:val="right"/>
              <w:rPr>
                <w:sz w:val="14"/>
              </w:rPr>
            </w:pPr>
            <w:r>
              <w:rPr>
                <w:sz w:val="14"/>
              </w:rPr>
              <w:t>7630-7699</w:t>
            </w:r>
          </w:p>
        </w:tc>
        <w:tc>
          <w:tcPr>
            <w:tcW w:w="1726" w:type="dxa"/>
          </w:tcPr>
          <w:p>
            <w:pPr>
              <w:pStyle w:val="TableParagraph"/>
              <w:spacing w:before="107"/>
              <w:ind w:right="287"/>
              <w:jc w:val="right"/>
              <w:rPr>
                <w:sz w:val="14"/>
              </w:rPr>
            </w:pPr>
            <w:r>
              <w:rPr>
                <w:sz w:val="14"/>
              </w:rPr>
              <w:t>0.00</w:t>
            </w:r>
          </w:p>
        </w:tc>
        <w:tc>
          <w:tcPr>
            <w:tcW w:w="1300" w:type="dxa"/>
          </w:tcPr>
          <w:p>
            <w:pPr>
              <w:pStyle w:val="TableParagraph"/>
              <w:spacing w:before="107"/>
              <w:ind w:right="75"/>
              <w:jc w:val="right"/>
              <w:rPr>
                <w:sz w:val="14"/>
              </w:rPr>
            </w:pPr>
            <w:r>
              <w:rPr>
                <w:sz w:val="14"/>
              </w:rPr>
              <w:t>0.00</w:t>
            </w:r>
          </w:p>
        </w:tc>
        <w:tc>
          <w:tcPr>
            <w:tcW w:w="1592" w:type="dxa"/>
            <w:gridSpan w:val="2"/>
          </w:tcPr>
          <w:p>
            <w:pPr>
              <w:pStyle w:val="TableParagraph"/>
              <w:spacing w:before="107"/>
              <w:ind w:right="78"/>
              <w:jc w:val="right"/>
              <w:rPr>
                <w:sz w:val="14"/>
              </w:rPr>
            </w:pPr>
            <w:r>
              <w:rPr>
                <w:sz w:val="14"/>
              </w:rPr>
              <w:t>0.0%</w:t>
            </w:r>
          </w:p>
        </w:tc>
      </w:tr>
      <w:tr>
        <w:trPr>
          <w:trHeight w:val="376" w:hRule="atLeast"/>
        </w:trPr>
        <w:tc>
          <w:tcPr>
            <w:tcW w:w="3663" w:type="dxa"/>
          </w:tcPr>
          <w:p>
            <w:pPr>
              <w:pStyle w:val="TableParagraph"/>
              <w:spacing w:before="107"/>
              <w:ind w:left="213"/>
              <w:rPr>
                <w:sz w:val="14"/>
              </w:rPr>
            </w:pPr>
            <w:r>
              <w:rPr>
                <w:w w:val="105"/>
                <w:sz w:val="14"/>
              </w:rPr>
              <w:t>3) Contributions</w:t>
            </w:r>
          </w:p>
        </w:tc>
        <w:tc>
          <w:tcPr>
            <w:tcW w:w="2537" w:type="dxa"/>
            <w:gridSpan w:val="2"/>
          </w:tcPr>
          <w:p>
            <w:pPr>
              <w:pStyle w:val="TableParagraph"/>
              <w:spacing w:before="107"/>
              <w:ind w:right="142"/>
              <w:jc w:val="right"/>
              <w:rPr>
                <w:sz w:val="14"/>
              </w:rPr>
            </w:pPr>
            <w:r>
              <w:rPr>
                <w:sz w:val="14"/>
              </w:rPr>
              <w:t>8980-8999</w:t>
            </w:r>
          </w:p>
        </w:tc>
        <w:tc>
          <w:tcPr>
            <w:tcW w:w="1726" w:type="dxa"/>
          </w:tcPr>
          <w:p>
            <w:pPr>
              <w:pStyle w:val="TableParagraph"/>
              <w:spacing w:before="107"/>
              <w:ind w:right="287"/>
              <w:jc w:val="right"/>
              <w:rPr>
                <w:sz w:val="14"/>
              </w:rPr>
            </w:pPr>
            <w:r>
              <w:rPr>
                <w:sz w:val="14"/>
              </w:rPr>
              <w:t>0.00</w:t>
            </w:r>
          </w:p>
        </w:tc>
        <w:tc>
          <w:tcPr>
            <w:tcW w:w="1300" w:type="dxa"/>
          </w:tcPr>
          <w:p>
            <w:pPr>
              <w:pStyle w:val="TableParagraph"/>
              <w:spacing w:before="107"/>
              <w:ind w:right="75"/>
              <w:jc w:val="right"/>
              <w:rPr>
                <w:sz w:val="14"/>
              </w:rPr>
            </w:pPr>
            <w:r>
              <w:rPr>
                <w:sz w:val="14"/>
              </w:rPr>
              <w:t>0.00</w:t>
            </w:r>
          </w:p>
        </w:tc>
        <w:tc>
          <w:tcPr>
            <w:tcW w:w="1592" w:type="dxa"/>
            <w:gridSpan w:val="2"/>
          </w:tcPr>
          <w:p>
            <w:pPr>
              <w:pStyle w:val="TableParagraph"/>
              <w:spacing w:before="107"/>
              <w:ind w:right="78"/>
              <w:jc w:val="right"/>
              <w:rPr>
                <w:sz w:val="14"/>
              </w:rPr>
            </w:pPr>
            <w:r>
              <w:rPr>
                <w:sz w:val="14"/>
              </w:rPr>
              <w:t>0.0%</w:t>
            </w:r>
          </w:p>
        </w:tc>
      </w:tr>
      <w:tr>
        <w:trPr>
          <w:trHeight w:val="268" w:hRule="atLeast"/>
        </w:trPr>
        <w:tc>
          <w:tcPr>
            <w:tcW w:w="3663" w:type="dxa"/>
          </w:tcPr>
          <w:p>
            <w:pPr>
              <w:pStyle w:val="TableParagraph"/>
              <w:spacing w:line="142" w:lineRule="exact" w:before="107"/>
              <w:ind w:left="213"/>
              <w:rPr>
                <w:sz w:val="14"/>
              </w:rPr>
            </w:pPr>
            <w:r>
              <w:rPr>
                <w:w w:val="105"/>
                <w:sz w:val="14"/>
              </w:rPr>
              <w:t>4) TOTAL, OTHER FINANCING SOURCES/USES</w:t>
            </w:r>
          </w:p>
        </w:tc>
        <w:tc>
          <w:tcPr>
            <w:tcW w:w="2537" w:type="dxa"/>
            <w:gridSpan w:val="2"/>
          </w:tcPr>
          <w:p>
            <w:pPr>
              <w:pStyle w:val="TableParagraph"/>
              <w:rPr>
                <w:rFonts w:ascii="Times New Roman"/>
                <w:sz w:val="14"/>
              </w:rPr>
            </w:pPr>
          </w:p>
        </w:tc>
        <w:tc>
          <w:tcPr>
            <w:tcW w:w="1726" w:type="dxa"/>
          </w:tcPr>
          <w:p>
            <w:pPr>
              <w:pStyle w:val="TableParagraph"/>
              <w:spacing w:line="142" w:lineRule="exact" w:before="107"/>
              <w:ind w:right="287"/>
              <w:jc w:val="right"/>
              <w:rPr>
                <w:sz w:val="14"/>
              </w:rPr>
            </w:pPr>
            <w:r>
              <w:rPr>
                <w:sz w:val="14"/>
              </w:rPr>
              <w:t>0.00</w:t>
            </w:r>
          </w:p>
        </w:tc>
        <w:tc>
          <w:tcPr>
            <w:tcW w:w="1300" w:type="dxa"/>
          </w:tcPr>
          <w:p>
            <w:pPr>
              <w:pStyle w:val="TableParagraph"/>
              <w:spacing w:line="142" w:lineRule="exact" w:before="107"/>
              <w:ind w:right="75"/>
              <w:jc w:val="right"/>
              <w:rPr>
                <w:sz w:val="14"/>
              </w:rPr>
            </w:pPr>
            <w:r>
              <w:rPr>
                <w:sz w:val="14"/>
              </w:rPr>
              <w:t>0.00</w:t>
            </w:r>
          </w:p>
        </w:tc>
        <w:tc>
          <w:tcPr>
            <w:tcW w:w="1592" w:type="dxa"/>
            <w:gridSpan w:val="2"/>
          </w:tcPr>
          <w:p>
            <w:pPr>
              <w:pStyle w:val="TableParagraph"/>
              <w:spacing w:line="142" w:lineRule="exact" w:before="107"/>
              <w:ind w:right="78"/>
              <w:jc w:val="right"/>
              <w:rPr>
                <w:sz w:val="14"/>
              </w:rPr>
            </w:pPr>
            <w:r>
              <w:rPr>
                <w:sz w:val="14"/>
              </w:rPr>
              <w:t>0.0%</w:t>
            </w:r>
          </w:p>
        </w:tc>
      </w:tr>
    </w:tbl>
    <w:p>
      <w:pPr>
        <w:spacing w:after="0" w:line="142" w:lineRule="exact"/>
        <w:jc w:val="right"/>
        <w:rPr>
          <w:sz w:val="14"/>
        </w:rPr>
        <w:sectPr>
          <w:type w:val="continuous"/>
          <w:pgSz w:w="12240" w:h="15840"/>
          <w:pgMar w:top="1500" w:bottom="840" w:left="160" w:right="180"/>
        </w:sectPr>
      </w:pPr>
    </w:p>
    <w:p>
      <w:pPr>
        <w:spacing w:line="232" w:lineRule="auto" w:before="1"/>
        <w:ind w:left="308" w:right="0" w:firstLine="0"/>
        <w:jc w:val="left"/>
        <w:rPr>
          <w:sz w:val="18"/>
        </w:rPr>
      </w:pPr>
      <w:r>
        <w:rPr/>
        <w:pict>
          <v:group style="position:absolute;margin-left:30.120001pt;margin-top:36.318634pt;width:538pt;height:419.2pt;mso-position-horizontal-relative:page;mso-position-vertical-relative:paragraph;z-index:-314531840" coordorigin="602,726" coordsize="10760,8384">
            <v:shape style="position:absolute;left:602;top:726;width:3646;height:790" type="#_x0000_t75" stroked="false">
              <v:imagedata r:id="rId406" o:title=""/>
            </v:shape>
            <v:line style="position:absolute" from="1412,1506" to="1412,1876" stroked="true" strokeweight=".360003pt" strokecolor="#ffffff">
              <v:stroke dashstyle="solid"/>
            </v:line>
            <v:shape style="position:absolute;left:4240;top:726;width:7121;height:1364" type="#_x0000_t75" stroked="false">
              <v:imagedata r:id="rId433" o:title=""/>
            </v:shape>
            <v:shape style="position:absolute;left:602;top:1501;width:3646;height:588" type="#_x0000_t75" stroked="false">
              <v:imagedata r:id="rId434" o:title=""/>
            </v:shape>
            <v:line style="position:absolute" from="1412,2080" to="1412,2450" stroked="true" strokeweight=".360003pt" strokecolor="#ffffff">
              <v:stroke dashstyle="solid"/>
            </v:line>
            <v:shape style="position:absolute;left:6782;top:1878;width:4580;height:1172" type="#_x0000_t75" stroked="false">
              <v:imagedata r:id="rId428" o:title=""/>
            </v:shape>
            <v:shape style="position:absolute;left:602;top:2075;width:3646;height:7035" type="#_x0000_t75" stroked="false">
              <v:imagedata r:id="rId435" o:title=""/>
            </v:shape>
            <v:shape style="position:absolute;left:638;top:1340;width:811;height:161" type="#_x0000_t202" filled="false" stroked="false">
              <v:textbox inset="0,0,0,0">
                <w:txbxContent>
                  <w:p>
                    <w:pPr>
                      <w:spacing w:line="160" w:lineRule="exact" w:before="0"/>
                      <w:ind w:left="0" w:right="0" w:firstLine="0"/>
                      <w:jc w:val="left"/>
                      <w:rPr>
                        <w:b/>
                        <w:sz w:val="14"/>
                      </w:rPr>
                    </w:pPr>
                    <w:r>
                      <w:rPr>
                        <w:b/>
                        <w:sz w:val="14"/>
                      </w:rPr>
                      <w:t>Description</w:t>
                    </w:r>
                  </w:p>
                </w:txbxContent>
              </v:textbox>
              <w10:wrap type="none"/>
            </v:shape>
            <v:shape style="position:absolute;left:4466;top:1172;width:3722;height:329" type="#_x0000_t202" filled="false" stroked="false">
              <v:textbox inset="0,0,0,0">
                <w:txbxContent>
                  <w:p>
                    <w:pPr>
                      <w:spacing w:line="160" w:lineRule="exact" w:before="0"/>
                      <w:ind w:left="2820" w:right="0" w:firstLine="0"/>
                      <w:jc w:val="left"/>
                      <w:rPr>
                        <w:b/>
                        <w:sz w:val="14"/>
                      </w:rPr>
                    </w:pPr>
                    <w:r>
                      <w:rPr>
                        <w:b/>
                        <w:w w:val="105"/>
                        <w:sz w:val="14"/>
                      </w:rPr>
                      <w:t>2020-21</w:t>
                    </w:r>
                  </w:p>
                  <w:p>
                    <w:pPr>
                      <w:tabs>
                        <w:tab w:pos="1372" w:val="left" w:leader="none"/>
                      </w:tabs>
                      <w:spacing w:before="7"/>
                      <w:ind w:left="0" w:right="0" w:firstLine="0"/>
                      <w:jc w:val="left"/>
                      <w:rPr>
                        <w:b/>
                        <w:sz w:val="14"/>
                      </w:rPr>
                    </w:pPr>
                    <w:r>
                      <w:rPr>
                        <w:b/>
                        <w:w w:val="105"/>
                        <w:sz w:val="14"/>
                      </w:rPr>
                      <w:t>Resource</w:t>
                    </w:r>
                    <w:r>
                      <w:rPr>
                        <w:b/>
                        <w:spacing w:val="-12"/>
                        <w:w w:val="105"/>
                        <w:sz w:val="14"/>
                      </w:rPr>
                      <w:t> </w:t>
                    </w:r>
                    <w:r>
                      <w:rPr>
                        <w:b/>
                        <w:w w:val="105"/>
                        <w:sz w:val="14"/>
                      </w:rPr>
                      <w:t>Codes</w:t>
                      <w:tab/>
                      <w:t>Object Codes Estimated</w:t>
                    </w:r>
                    <w:r>
                      <w:rPr>
                        <w:b/>
                        <w:spacing w:val="-15"/>
                        <w:w w:val="105"/>
                        <w:sz w:val="14"/>
                      </w:rPr>
                      <w:t> </w:t>
                    </w:r>
                    <w:r>
                      <w:rPr>
                        <w:b/>
                        <w:w w:val="105"/>
                        <w:sz w:val="14"/>
                      </w:rPr>
                      <w:t>Actuals</w:t>
                    </w:r>
                  </w:p>
                </w:txbxContent>
              </v:textbox>
              <w10:wrap type="none"/>
            </v:shape>
            <v:shape style="position:absolute;left:8798;top:1172;width:545;height:329" type="#_x0000_t202" filled="false" stroked="false">
              <v:textbox inset="0,0,0,0">
                <w:txbxContent>
                  <w:p>
                    <w:pPr>
                      <w:spacing w:line="160" w:lineRule="exact" w:before="0"/>
                      <w:ind w:left="0" w:right="0" w:firstLine="0"/>
                      <w:jc w:val="left"/>
                      <w:rPr>
                        <w:b/>
                        <w:sz w:val="14"/>
                      </w:rPr>
                    </w:pPr>
                    <w:r>
                      <w:rPr>
                        <w:b/>
                        <w:sz w:val="14"/>
                      </w:rPr>
                      <w:t>2021-22</w:t>
                    </w:r>
                  </w:p>
                  <w:p>
                    <w:pPr>
                      <w:spacing w:before="7"/>
                      <w:ind w:left="11" w:right="0" w:firstLine="0"/>
                      <w:jc w:val="left"/>
                      <w:rPr>
                        <w:b/>
                        <w:sz w:val="14"/>
                      </w:rPr>
                    </w:pPr>
                    <w:r>
                      <w:rPr>
                        <w:b/>
                        <w:w w:val="105"/>
                        <w:sz w:val="14"/>
                      </w:rPr>
                      <w:t>Budget</w:t>
                    </w:r>
                  </w:p>
                </w:txbxContent>
              </v:textbox>
              <w10:wrap type="none"/>
            </v:shape>
            <v:shape style="position:absolute;left:10236;top:1172;width:721;height:329" type="#_x0000_t202" filled="false" stroked="false">
              <v:textbox inset="0,0,0,0">
                <w:txbxContent>
                  <w:p>
                    <w:pPr>
                      <w:spacing w:line="249" w:lineRule="auto" w:before="0"/>
                      <w:ind w:left="0" w:right="16" w:firstLine="86"/>
                      <w:jc w:val="left"/>
                      <w:rPr>
                        <w:b/>
                        <w:sz w:val="14"/>
                      </w:rPr>
                    </w:pPr>
                    <w:r>
                      <w:rPr>
                        <w:b/>
                        <w:w w:val="105"/>
                        <w:sz w:val="14"/>
                      </w:rPr>
                      <w:t>Percent </w:t>
                    </w:r>
                    <w:r>
                      <w:rPr>
                        <w:b/>
                        <w:sz w:val="14"/>
                      </w:rPr>
                      <w:t>Difference</w:t>
                    </w:r>
                  </w:p>
                </w:txbxContent>
              </v:textbox>
              <w10:wrap type="none"/>
            </v:shape>
            <v:shape style="position:absolute;left:638;top:1717;width:2815;height:358" type="#_x0000_t202" filled="false" stroked="false">
              <v:textbox inset="0,0,0,0">
                <w:txbxContent>
                  <w:p>
                    <w:pPr>
                      <w:spacing w:line="160" w:lineRule="exact" w:before="0"/>
                      <w:ind w:left="0" w:right="0" w:firstLine="0"/>
                      <w:jc w:val="left"/>
                      <w:rPr>
                        <w:b/>
                        <w:sz w:val="14"/>
                      </w:rPr>
                    </w:pPr>
                    <w:r>
                      <w:rPr>
                        <w:b/>
                        <w:w w:val="105"/>
                        <w:sz w:val="14"/>
                      </w:rPr>
                      <w:t>E.</w:t>
                    </w:r>
                    <w:r>
                      <w:rPr>
                        <w:b/>
                        <w:spacing w:val="-14"/>
                        <w:w w:val="105"/>
                        <w:sz w:val="14"/>
                      </w:rPr>
                      <w:t> </w:t>
                    </w:r>
                    <w:r>
                      <w:rPr>
                        <w:b/>
                        <w:w w:val="105"/>
                        <w:sz w:val="14"/>
                      </w:rPr>
                      <w:t>NET</w:t>
                    </w:r>
                    <w:r>
                      <w:rPr>
                        <w:b/>
                        <w:spacing w:val="-13"/>
                        <w:w w:val="105"/>
                        <w:sz w:val="14"/>
                      </w:rPr>
                      <w:t> </w:t>
                    </w:r>
                    <w:r>
                      <w:rPr>
                        <w:b/>
                        <w:w w:val="105"/>
                        <w:sz w:val="14"/>
                      </w:rPr>
                      <w:t>INCREASE</w:t>
                    </w:r>
                    <w:r>
                      <w:rPr>
                        <w:b/>
                        <w:spacing w:val="-15"/>
                        <w:w w:val="105"/>
                        <w:sz w:val="14"/>
                      </w:rPr>
                      <w:t> </w:t>
                    </w:r>
                    <w:r>
                      <w:rPr>
                        <w:b/>
                        <w:w w:val="105"/>
                        <w:sz w:val="14"/>
                      </w:rPr>
                      <w:t>(DECREASE)</w:t>
                    </w:r>
                    <w:r>
                      <w:rPr>
                        <w:b/>
                        <w:spacing w:val="-13"/>
                        <w:w w:val="105"/>
                        <w:sz w:val="14"/>
                      </w:rPr>
                      <w:t> </w:t>
                    </w:r>
                    <w:r>
                      <w:rPr>
                        <w:b/>
                        <w:w w:val="105"/>
                        <w:sz w:val="14"/>
                      </w:rPr>
                      <w:t>IN</w:t>
                    </w:r>
                    <w:r>
                      <w:rPr>
                        <w:b/>
                        <w:spacing w:val="-14"/>
                        <w:w w:val="105"/>
                        <w:sz w:val="14"/>
                      </w:rPr>
                      <w:t> </w:t>
                    </w:r>
                    <w:r>
                      <w:rPr>
                        <w:b/>
                        <w:w w:val="105"/>
                        <w:sz w:val="14"/>
                      </w:rPr>
                      <w:t>FUND</w:t>
                    </w:r>
                  </w:p>
                  <w:p>
                    <w:pPr>
                      <w:spacing w:before="36"/>
                      <w:ind w:left="203" w:right="0" w:firstLine="0"/>
                      <w:jc w:val="left"/>
                      <w:rPr>
                        <w:b/>
                        <w:sz w:val="14"/>
                      </w:rPr>
                    </w:pPr>
                    <w:r>
                      <w:rPr>
                        <w:b/>
                        <w:w w:val="105"/>
                        <w:sz w:val="14"/>
                      </w:rPr>
                      <w:t>BALANCE (C + D4)</w:t>
                    </w:r>
                  </w:p>
                </w:txbxContent>
              </v:textbox>
              <w10:wrap type="none"/>
            </v:shape>
            <v:shape style="position:absolute;left:7788;top:1916;width:458;height:161" type="#_x0000_t202" filled="false" stroked="false">
              <v:textbox inset="0,0,0,0">
                <w:txbxContent>
                  <w:p>
                    <w:pPr>
                      <w:spacing w:line="160" w:lineRule="exact" w:before="0"/>
                      <w:ind w:left="0" w:right="0" w:firstLine="0"/>
                      <w:jc w:val="left"/>
                      <w:rPr>
                        <w:sz w:val="14"/>
                      </w:rPr>
                    </w:pPr>
                    <w:r>
                      <w:rPr>
                        <w:w w:val="105"/>
                        <w:sz w:val="14"/>
                      </w:rPr>
                      <w:t>240.00</w:t>
                    </w:r>
                  </w:p>
                </w:txbxContent>
              </v:textbox>
              <w10:wrap type="none"/>
            </v:shape>
            <v:shape style="position:absolute;left:9300;top:1916;width:458;height:161" type="#_x0000_t202" filled="false" stroked="false">
              <v:textbox inset="0,0,0,0">
                <w:txbxContent>
                  <w:p>
                    <w:pPr>
                      <w:spacing w:line="160" w:lineRule="exact" w:before="0"/>
                      <w:ind w:left="0" w:right="0" w:firstLine="0"/>
                      <w:jc w:val="left"/>
                      <w:rPr>
                        <w:sz w:val="14"/>
                      </w:rPr>
                    </w:pPr>
                    <w:r>
                      <w:rPr>
                        <w:w w:val="105"/>
                        <w:sz w:val="14"/>
                      </w:rPr>
                      <w:t>240.00</w:t>
                    </w:r>
                  </w:p>
                </w:txbxContent>
              </v:textbox>
              <w10:wrap type="none"/>
            </v:shape>
            <v:shape style="position:absolute;left:10999;top:1916;width:347;height:161" type="#_x0000_t202" filled="false" stroked="false">
              <v:textbox inset="0,0,0,0">
                <w:txbxContent>
                  <w:p>
                    <w:pPr>
                      <w:spacing w:line="160" w:lineRule="exact" w:before="0"/>
                      <w:ind w:left="0" w:right="0" w:firstLine="0"/>
                      <w:jc w:val="left"/>
                      <w:rPr>
                        <w:sz w:val="14"/>
                      </w:rPr>
                    </w:pPr>
                    <w:r>
                      <w:rPr>
                        <w:w w:val="105"/>
                        <w:sz w:val="14"/>
                      </w:rPr>
                      <w:t>0.0%</w:t>
                    </w:r>
                  </w:p>
                </w:txbxContent>
              </v:textbox>
              <w10:wrap type="none"/>
            </v:shape>
            <v:shape style="position:absolute;left:638;top:2290;width:2182;height:161" type="#_x0000_t202" filled="false" stroked="false">
              <v:textbox inset="0,0,0,0">
                <w:txbxContent>
                  <w:p>
                    <w:pPr>
                      <w:spacing w:line="160" w:lineRule="exact" w:before="0"/>
                      <w:ind w:left="0" w:right="0" w:firstLine="0"/>
                      <w:jc w:val="left"/>
                      <w:rPr>
                        <w:b/>
                        <w:sz w:val="14"/>
                      </w:rPr>
                    </w:pPr>
                    <w:r>
                      <w:rPr>
                        <w:b/>
                        <w:w w:val="105"/>
                        <w:sz w:val="14"/>
                      </w:rPr>
                      <w:t>F.</w:t>
                    </w:r>
                    <w:r>
                      <w:rPr>
                        <w:b/>
                        <w:spacing w:val="-18"/>
                        <w:w w:val="105"/>
                        <w:sz w:val="14"/>
                      </w:rPr>
                      <w:t> </w:t>
                    </w:r>
                    <w:r>
                      <w:rPr>
                        <w:b/>
                        <w:w w:val="105"/>
                        <w:sz w:val="14"/>
                      </w:rPr>
                      <w:t>FUND</w:t>
                    </w:r>
                    <w:r>
                      <w:rPr>
                        <w:b/>
                        <w:spacing w:val="-18"/>
                        <w:w w:val="105"/>
                        <w:sz w:val="14"/>
                      </w:rPr>
                      <w:t> </w:t>
                    </w:r>
                    <w:r>
                      <w:rPr>
                        <w:b/>
                        <w:w w:val="105"/>
                        <w:sz w:val="14"/>
                      </w:rPr>
                      <w:t>BALANCE,</w:t>
                    </w:r>
                    <w:r>
                      <w:rPr>
                        <w:b/>
                        <w:spacing w:val="-18"/>
                        <w:w w:val="105"/>
                        <w:sz w:val="14"/>
                      </w:rPr>
                      <w:t> </w:t>
                    </w:r>
                    <w:r>
                      <w:rPr>
                        <w:b/>
                        <w:w w:val="105"/>
                        <w:sz w:val="14"/>
                      </w:rPr>
                      <w:t>RESERVES</w:t>
                    </w:r>
                  </w:p>
                </w:txbxContent>
              </v:textbox>
              <w10:wrap type="none"/>
            </v:shape>
            <w10:wrap type="none"/>
          </v:group>
        </w:pict>
      </w:r>
      <w:r>
        <w:rPr>
          <w:sz w:val="18"/>
        </w:rPr>
        <w:t>Winship-Robbins Elementary Sutter County</w:t>
      </w:r>
    </w:p>
    <w:p>
      <w:pPr>
        <w:spacing w:line="232" w:lineRule="auto" w:before="1"/>
        <w:ind w:left="943" w:right="0" w:hanging="636"/>
        <w:jc w:val="left"/>
        <w:rPr>
          <w:sz w:val="18"/>
        </w:rPr>
      </w:pPr>
      <w:r>
        <w:rPr/>
        <w:br w:type="column"/>
      </w:r>
      <w:r>
        <w:rPr>
          <w:sz w:val="18"/>
        </w:rPr>
        <w:t>Student Activity Special Revenue Fund Expenditures by Object</w:t>
      </w:r>
    </w:p>
    <w:p>
      <w:pPr>
        <w:spacing w:line="200" w:lineRule="exact" w:before="0"/>
        <w:ind w:left="0" w:right="287" w:firstLine="0"/>
        <w:jc w:val="right"/>
        <w:rPr>
          <w:sz w:val="18"/>
        </w:rPr>
      </w:pPr>
      <w:r>
        <w:rPr/>
        <w:br w:type="column"/>
      </w:r>
      <w:r>
        <w:rPr>
          <w:sz w:val="18"/>
        </w:rPr>
        <w:t>51 71456</w:t>
      </w:r>
      <w:r>
        <w:rPr>
          <w:spacing w:val="3"/>
          <w:sz w:val="18"/>
        </w:rPr>
        <w:t> </w:t>
      </w:r>
      <w:r>
        <w:rPr>
          <w:sz w:val="18"/>
        </w:rPr>
        <w:t>0000000</w:t>
      </w:r>
    </w:p>
    <w:p>
      <w:pPr>
        <w:spacing w:line="204" w:lineRule="exact" w:before="0"/>
        <w:ind w:left="0" w:right="285" w:firstLine="0"/>
        <w:jc w:val="right"/>
        <w:rPr>
          <w:sz w:val="18"/>
        </w:rPr>
      </w:pPr>
      <w:r>
        <w:rPr>
          <w:sz w:val="18"/>
        </w:rPr>
        <w:t>Form </w:t>
      </w:r>
      <w:r>
        <w:rPr>
          <w:spacing w:val="3"/>
          <w:sz w:val="18"/>
        </w:rPr>
        <w:t> </w:t>
      </w:r>
      <w:r>
        <w:rPr>
          <w:sz w:val="18"/>
        </w:rPr>
        <w:t>08</w:t>
      </w:r>
    </w:p>
    <w:p>
      <w:pPr>
        <w:spacing w:after="0" w:line="204" w:lineRule="exact"/>
        <w:jc w:val="right"/>
        <w:rPr>
          <w:sz w:val="18"/>
        </w:rPr>
        <w:sectPr>
          <w:pgSz w:w="12240" w:h="15840"/>
          <w:pgMar w:header="651" w:footer="437" w:top="840" w:bottom="620" w:left="160" w:right="180"/>
          <w:cols w:num="3" w:equalWidth="0">
            <w:col w:w="2698" w:space="1379"/>
            <w:col w:w="3491" w:space="2224"/>
            <w:col w:w="2108"/>
          </w:cols>
        </w:sectPr>
      </w:pPr>
    </w:p>
    <w:p>
      <w:pPr>
        <w:pStyle w:val="BodyText"/>
        <w:rPr>
          <w:sz w:val="20"/>
        </w:rPr>
      </w:pPr>
      <w:r>
        <w:rPr/>
        <w:pict>
          <v:group style="position:absolute;margin-left:212.039993pt;margin-top:184.919998pt;width:356.05pt;height:313.2pt;mso-position-horizontal-relative:page;mso-position-vertical-relative:page;z-index:-314530816" coordorigin="4241,3698" coordsize="7121,6264">
            <v:shape style="position:absolute;left:6782;top:3698;width:4580;height:552" type="#_x0000_t75" stroked="false">
              <v:imagedata r:id="rId436" o:title=""/>
            </v:shape>
            <v:shape style="position:absolute;left:6782;top:3895;width:4580;height:704" type="#_x0000_t75" stroked="false">
              <v:imagedata r:id="rId437" o:title=""/>
            </v:shape>
            <v:shape style="position:absolute;left:6782;top:4243;width:4580;height:704" type="#_x0000_t75" stroked="false">
              <v:imagedata r:id="rId438" o:title=""/>
            </v:shape>
            <v:shape style="position:absolute;left:6782;top:4591;width:4580;height:704" type="#_x0000_t75" stroked="false">
              <v:imagedata r:id="rId437" o:title=""/>
            </v:shape>
            <v:shape style="position:absolute;left:6782;top:4939;width:4580;height:704" type="#_x0000_t75" stroked="false">
              <v:imagedata r:id="rId438" o:title=""/>
            </v:shape>
            <v:shape style="position:absolute;left:6782;top:5287;width:4580;height:946" type="#_x0000_t75" stroked="false">
              <v:imagedata r:id="rId439" o:title=""/>
            </v:shape>
            <v:shape style="position:absolute;left:6782;top:6028;width:4580;height:552" type="#_x0000_t75" stroked="false">
              <v:imagedata r:id="rId440" o:title=""/>
            </v:shape>
            <v:shape style="position:absolute;left:6782;top:6225;width:4580;height:704" type="#_x0000_t75" stroked="false">
              <v:imagedata r:id="rId441" o:title=""/>
            </v:shape>
            <v:shape style="position:absolute;left:6782;top:6573;width:4580;height:704" type="#_x0000_t75" stroked="false">
              <v:imagedata r:id="rId442" o:title=""/>
            </v:shape>
            <v:shape style="position:absolute;left:6782;top:6921;width:4580;height:699" type="#_x0000_t75" stroked="false">
              <v:imagedata r:id="rId443" o:title=""/>
            </v:shape>
            <v:shape style="position:absolute;left:8294;top:7269;width:3068;height:699" type="#_x0000_t75" stroked="false">
              <v:imagedata r:id="rId444" o:title=""/>
            </v:shape>
            <v:shape style="position:absolute;left:6782;top:7617;width:1520;height:353" type="#_x0000_t75" stroked="false">
              <v:imagedata r:id="rId445" o:title=""/>
            </v:shape>
            <v:shape style="position:absolute;left:6787;top:7622;width:4565;height:545" coordorigin="6787,7622" coordsize="4565,545" path="m8299,7970l6787,7970,6787,8167,8299,8167,8299,7970m11352,7622l9811,7622,8299,7622,8299,7970,9811,7970,11352,7970,11352,7622e" filled="true" fillcolor="#dfdfdf" stroked="false">
              <v:path arrowok="t"/>
              <v:fill type="solid"/>
            </v:shape>
            <v:shape style="position:absolute;left:8294;top:7617;width:3068;height:896" type="#_x0000_t75" stroked="false">
              <v:imagedata r:id="rId446" o:title=""/>
            </v:shape>
            <v:shape style="position:absolute;left:8299;top:7970;width:3053;height:197" coordorigin="8299,7970" coordsize="3053,197" path="m11352,7970l9811,7970,8299,7970,8299,8167,9811,8167,11352,8167,11352,7970e" filled="true" fillcolor="#dfdfdf" stroked="false">
              <v:path arrowok="t"/>
              <v:fill type="solid"/>
            </v:shape>
            <v:shape style="position:absolute;left:6782;top:7965;width:1520;height:548" type="#_x0000_t75" stroked="false">
              <v:imagedata r:id="rId447" o:title=""/>
            </v:shape>
            <v:shape style="position:absolute;left:6787;top:8167;width:4565;height:349" coordorigin="6787,8167" coordsize="4565,349" path="m11352,8167l9811,8167,8299,8167,6787,8167,6787,8515,8299,8515,9811,8515,11352,8515,11352,8167e" filled="true" fillcolor="#dfdfdf" stroked="false">
              <v:path arrowok="t"/>
              <v:fill type="solid"/>
            </v:shape>
            <v:shape style="position:absolute;left:8294;top:8162;width:3068;height:699" type="#_x0000_t75" stroked="false">
              <v:imagedata r:id="rId444" o:title=""/>
            </v:shape>
            <v:shape style="position:absolute;left:6782;top:8510;width:1520;height:353" type="#_x0000_t75" stroked="false">
              <v:imagedata r:id="rId445" o:title=""/>
            </v:shape>
            <v:shape style="position:absolute;left:6787;top:8515;width:4565;height:545" coordorigin="6787,8515" coordsize="4565,545" path="m11352,8515l9811,8515,8299,8515,8299,8863,6787,8863,6787,9060,8299,9060,9811,9060,9811,8863,11352,8863,11352,8515e" filled="true" fillcolor="#dfdfdf" stroked="false">
              <v:path arrowok="t"/>
              <v:fill type="solid"/>
            </v:shape>
            <v:shape style="position:absolute;left:8294;top:8510;width:3068;height:896" type="#_x0000_t75" stroked="false">
              <v:imagedata r:id="rId446" o:title=""/>
            </v:shape>
            <v:rect style="position:absolute;left:9811;top:8863;width:1541;height:197" filled="true" fillcolor="#dfdfdf" stroked="false">
              <v:fill type="solid"/>
            </v:rect>
            <v:shape style="position:absolute;left:6782;top:8858;width:1520;height:548" type="#_x0000_t75" stroked="false">
              <v:imagedata r:id="rId447" o:title=""/>
            </v:shape>
            <v:shape style="position:absolute;left:6787;top:9060;width:4565;height:348" coordorigin="6787,9060" coordsize="4565,348" path="m11352,9060l9811,9060,8299,9060,6787,9060,6787,9408,8299,9408,9811,9408,11352,9408,11352,9060e" filled="true" fillcolor="#dfdfdf" stroked="false">
              <v:path arrowok="t"/>
              <v:fill type="solid"/>
            </v:shape>
            <v:shape style="position:absolute;left:6782;top:9403;width:1520;height:204" type="#_x0000_t75" stroked="false">
              <v:imagedata r:id="rId424" o:title=""/>
            </v:shape>
            <v:shape style="position:absolute;left:8294;top:9403;width:1520;height:204" type="#_x0000_t75" stroked="false">
              <v:imagedata r:id="rId425" o:title=""/>
            </v:shape>
            <v:rect style="position:absolute;left:9811;top:9408;width:1541;height:197" filled="true" fillcolor="#dfdfdf" stroked="false">
              <v:fill type="solid"/>
            </v:rect>
            <v:shape style="position:absolute;left:4240;top:9055;width:7121;height:908" type="#_x0000_t75" stroked="false">
              <v:imagedata r:id="rId448" o:titl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8"/>
        </w:rPr>
      </w:pPr>
    </w:p>
    <w:tbl>
      <w:tblPr>
        <w:tblW w:w="0" w:type="auto"/>
        <w:jc w:val="left"/>
        <w:tblInd w:w="5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42"/>
        <w:gridCol w:w="970"/>
        <w:gridCol w:w="1638"/>
        <w:gridCol w:w="1562"/>
        <w:gridCol w:w="1124"/>
      </w:tblGrid>
      <w:tr>
        <w:trPr>
          <w:trHeight w:val="196" w:hRule="atLeast"/>
        </w:trPr>
        <w:tc>
          <w:tcPr>
            <w:tcW w:w="5342" w:type="dxa"/>
          </w:tcPr>
          <w:p>
            <w:pPr>
              <w:pStyle w:val="TableParagraph"/>
              <w:spacing w:line="160" w:lineRule="exact"/>
              <w:ind w:left="50"/>
              <w:rPr>
                <w:sz w:val="14"/>
              </w:rPr>
            </w:pPr>
            <w:r>
              <w:rPr>
                <w:w w:val="105"/>
                <w:sz w:val="14"/>
              </w:rPr>
              <w:t>1) Beginning Fund Balance</w:t>
            </w:r>
          </w:p>
        </w:tc>
        <w:tc>
          <w:tcPr>
            <w:tcW w:w="5294" w:type="dxa"/>
            <w:gridSpan w:val="4"/>
          </w:tcPr>
          <w:p>
            <w:pPr>
              <w:pStyle w:val="TableParagraph"/>
              <w:rPr>
                <w:rFonts w:ascii="Times New Roman"/>
                <w:sz w:val="12"/>
              </w:rPr>
            </w:pPr>
          </w:p>
        </w:tc>
      </w:tr>
      <w:tr>
        <w:trPr>
          <w:trHeight w:val="254" w:hRule="atLeast"/>
        </w:trPr>
        <w:tc>
          <w:tcPr>
            <w:tcW w:w="5342" w:type="dxa"/>
          </w:tcPr>
          <w:p>
            <w:pPr>
              <w:pStyle w:val="TableParagraph"/>
              <w:spacing w:line="160" w:lineRule="exact"/>
              <w:ind w:left="213"/>
              <w:rPr>
                <w:sz w:val="14"/>
              </w:rPr>
            </w:pPr>
            <w:r>
              <w:rPr>
                <w:w w:val="105"/>
                <w:sz w:val="14"/>
              </w:rPr>
              <w:t>a) As of July 1 - Unaudited</w:t>
            </w:r>
          </w:p>
        </w:tc>
        <w:tc>
          <w:tcPr>
            <w:tcW w:w="970" w:type="dxa"/>
          </w:tcPr>
          <w:p>
            <w:pPr>
              <w:pStyle w:val="TableParagraph"/>
              <w:spacing w:line="160" w:lineRule="exact"/>
              <w:ind w:left="50"/>
              <w:rPr>
                <w:sz w:val="14"/>
              </w:rPr>
            </w:pPr>
            <w:r>
              <w:rPr>
                <w:w w:val="105"/>
                <w:sz w:val="14"/>
              </w:rPr>
              <w:t>9791</w:t>
            </w:r>
          </w:p>
        </w:tc>
        <w:tc>
          <w:tcPr>
            <w:tcW w:w="1638" w:type="dxa"/>
          </w:tcPr>
          <w:p>
            <w:pPr>
              <w:pStyle w:val="TableParagraph"/>
              <w:spacing w:line="160" w:lineRule="exact"/>
              <w:ind w:right="474"/>
              <w:jc w:val="right"/>
              <w:rPr>
                <w:sz w:val="14"/>
              </w:rPr>
            </w:pPr>
            <w:r>
              <w:rPr>
                <w:sz w:val="14"/>
              </w:rPr>
              <w:t>0.00</w:t>
            </w:r>
          </w:p>
        </w:tc>
        <w:tc>
          <w:tcPr>
            <w:tcW w:w="1562" w:type="dxa"/>
          </w:tcPr>
          <w:p>
            <w:pPr>
              <w:pStyle w:val="TableParagraph"/>
              <w:spacing w:line="160" w:lineRule="exact"/>
              <w:ind w:right="523"/>
              <w:jc w:val="right"/>
              <w:rPr>
                <w:sz w:val="14"/>
              </w:rPr>
            </w:pPr>
            <w:r>
              <w:rPr>
                <w:sz w:val="14"/>
              </w:rPr>
              <w:t>2,033.00</w:t>
            </w:r>
          </w:p>
        </w:tc>
        <w:tc>
          <w:tcPr>
            <w:tcW w:w="1124" w:type="dxa"/>
          </w:tcPr>
          <w:p>
            <w:pPr>
              <w:pStyle w:val="TableParagraph"/>
              <w:spacing w:line="160" w:lineRule="exact"/>
              <w:ind w:right="58"/>
              <w:jc w:val="right"/>
              <w:rPr>
                <w:sz w:val="14"/>
              </w:rPr>
            </w:pPr>
            <w:r>
              <w:rPr>
                <w:sz w:val="14"/>
              </w:rPr>
              <w:t>New</w:t>
            </w:r>
          </w:p>
        </w:tc>
      </w:tr>
      <w:tr>
        <w:trPr>
          <w:trHeight w:val="347" w:hRule="atLeast"/>
        </w:trPr>
        <w:tc>
          <w:tcPr>
            <w:tcW w:w="5342" w:type="dxa"/>
          </w:tcPr>
          <w:p>
            <w:pPr>
              <w:pStyle w:val="TableParagraph"/>
              <w:spacing w:before="92"/>
              <w:ind w:left="213"/>
              <w:rPr>
                <w:sz w:val="14"/>
              </w:rPr>
            </w:pPr>
            <w:r>
              <w:rPr>
                <w:w w:val="105"/>
                <w:sz w:val="14"/>
              </w:rPr>
              <w:t>b) Audit Adjustments</w:t>
            </w:r>
          </w:p>
        </w:tc>
        <w:tc>
          <w:tcPr>
            <w:tcW w:w="970" w:type="dxa"/>
          </w:tcPr>
          <w:p>
            <w:pPr>
              <w:pStyle w:val="TableParagraph"/>
              <w:spacing w:before="92"/>
              <w:ind w:left="50"/>
              <w:rPr>
                <w:sz w:val="14"/>
              </w:rPr>
            </w:pPr>
            <w:r>
              <w:rPr>
                <w:w w:val="105"/>
                <w:sz w:val="14"/>
              </w:rPr>
              <w:t>9793</w:t>
            </w:r>
          </w:p>
        </w:tc>
        <w:tc>
          <w:tcPr>
            <w:tcW w:w="1638" w:type="dxa"/>
          </w:tcPr>
          <w:p>
            <w:pPr>
              <w:pStyle w:val="TableParagraph"/>
              <w:spacing w:before="92"/>
              <w:ind w:right="474"/>
              <w:jc w:val="right"/>
              <w:rPr>
                <w:sz w:val="14"/>
              </w:rPr>
            </w:pPr>
            <w:r>
              <w:rPr>
                <w:sz w:val="14"/>
              </w:rPr>
              <w:t>0.00</w:t>
            </w:r>
          </w:p>
        </w:tc>
        <w:tc>
          <w:tcPr>
            <w:tcW w:w="1562" w:type="dxa"/>
          </w:tcPr>
          <w:p>
            <w:pPr>
              <w:pStyle w:val="TableParagraph"/>
              <w:spacing w:before="92"/>
              <w:ind w:right="524"/>
              <w:jc w:val="right"/>
              <w:rPr>
                <w:sz w:val="14"/>
              </w:rPr>
            </w:pPr>
            <w:r>
              <w:rPr>
                <w:sz w:val="14"/>
              </w:rPr>
              <w:t>0.00</w:t>
            </w:r>
          </w:p>
        </w:tc>
        <w:tc>
          <w:tcPr>
            <w:tcW w:w="1124" w:type="dxa"/>
          </w:tcPr>
          <w:p>
            <w:pPr>
              <w:pStyle w:val="TableParagraph"/>
              <w:spacing w:before="92"/>
              <w:ind w:right="59"/>
              <w:jc w:val="right"/>
              <w:rPr>
                <w:sz w:val="14"/>
              </w:rPr>
            </w:pPr>
            <w:r>
              <w:rPr>
                <w:sz w:val="14"/>
              </w:rPr>
              <w:t>0.0%</w:t>
            </w:r>
          </w:p>
        </w:tc>
      </w:tr>
      <w:tr>
        <w:trPr>
          <w:trHeight w:val="347" w:hRule="atLeast"/>
        </w:trPr>
        <w:tc>
          <w:tcPr>
            <w:tcW w:w="5342" w:type="dxa"/>
          </w:tcPr>
          <w:p>
            <w:pPr>
              <w:pStyle w:val="TableParagraph"/>
              <w:spacing w:before="92"/>
              <w:ind w:left="213"/>
              <w:rPr>
                <w:sz w:val="14"/>
              </w:rPr>
            </w:pPr>
            <w:r>
              <w:rPr>
                <w:w w:val="105"/>
                <w:sz w:val="14"/>
              </w:rPr>
              <w:t>c) As of July 1 - Audited (F1a + F1b)</w:t>
            </w:r>
          </w:p>
        </w:tc>
        <w:tc>
          <w:tcPr>
            <w:tcW w:w="970" w:type="dxa"/>
          </w:tcPr>
          <w:p>
            <w:pPr>
              <w:pStyle w:val="TableParagraph"/>
              <w:rPr>
                <w:rFonts w:ascii="Times New Roman"/>
                <w:sz w:val="14"/>
              </w:rPr>
            </w:pPr>
          </w:p>
        </w:tc>
        <w:tc>
          <w:tcPr>
            <w:tcW w:w="1638" w:type="dxa"/>
          </w:tcPr>
          <w:p>
            <w:pPr>
              <w:pStyle w:val="TableParagraph"/>
              <w:spacing w:before="92"/>
              <w:ind w:right="474"/>
              <w:jc w:val="right"/>
              <w:rPr>
                <w:sz w:val="14"/>
              </w:rPr>
            </w:pPr>
            <w:r>
              <w:rPr>
                <w:sz w:val="14"/>
              </w:rPr>
              <w:t>0.00</w:t>
            </w:r>
          </w:p>
        </w:tc>
        <w:tc>
          <w:tcPr>
            <w:tcW w:w="1562" w:type="dxa"/>
          </w:tcPr>
          <w:p>
            <w:pPr>
              <w:pStyle w:val="TableParagraph"/>
              <w:spacing w:before="92"/>
              <w:ind w:right="523"/>
              <w:jc w:val="right"/>
              <w:rPr>
                <w:sz w:val="14"/>
              </w:rPr>
            </w:pPr>
            <w:r>
              <w:rPr>
                <w:sz w:val="14"/>
              </w:rPr>
              <w:t>2,033.00</w:t>
            </w:r>
          </w:p>
        </w:tc>
        <w:tc>
          <w:tcPr>
            <w:tcW w:w="1124" w:type="dxa"/>
          </w:tcPr>
          <w:p>
            <w:pPr>
              <w:pStyle w:val="TableParagraph"/>
              <w:spacing w:before="92"/>
              <w:ind w:right="58"/>
              <w:jc w:val="right"/>
              <w:rPr>
                <w:sz w:val="14"/>
              </w:rPr>
            </w:pPr>
            <w:r>
              <w:rPr>
                <w:sz w:val="14"/>
              </w:rPr>
              <w:t>New</w:t>
            </w:r>
          </w:p>
        </w:tc>
      </w:tr>
      <w:tr>
        <w:trPr>
          <w:trHeight w:val="347" w:hRule="atLeast"/>
        </w:trPr>
        <w:tc>
          <w:tcPr>
            <w:tcW w:w="5342" w:type="dxa"/>
          </w:tcPr>
          <w:p>
            <w:pPr>
              <w:pStyle w:val="TableParagraph"/>
              <w:spacing w:before="92"/>
              <w:ind w:left="213"/>
              <w:rPr>
                <w:sz w:val="14"/>
              </w:rPr>
            </w:pPr>
            <w:r>
              <w:rPr>
                <w:w w:val="105"/>
                <w:sz w:val="14"/>
              </w:rPr>
              <w:t>d) Other Restatements</w:t>
            </w:r>
          </w:p>
        </w:tc>
        <w:tc>
          <w:tcPr>
            <w:tcW w:w="970" w:type="dxa"/>
          </w:tcPr>
          <w:p>
            <w:pPr>
              <w:pStyle w:val="TableParagraph"/>
              <w:spacing w:before="92"/>
              <w:ind w:left="50"/>
              <w:rPr>
                <w:sz w:val="14"/>
              </w:rPr>
            </w:pPr>
            <w:r>
              <w:rPr>
                <w:w w:val="105"/>
                <w:sz w:val="14"/>
              </w:rPr>
              <w:t>9795</w:t>
            </w:r>
          </w:p>
        </w:tc>
        <w:tc>
          <w:tcPr>
            <w:tcW w:w="1638" w:type="dxa"/>
          </w:tcPr>
          <w:p>
            <w:pPr>
              <w:pStyle w:val="TableParagraph"/>
              <w:spacing w:before="92"/>
              <w:ind w:right="473"/>
              <w:jc w:val="right"/>
              <w:rPr>
                <w:sz w:val="14"/>
              </w:rPr>
            </w:pPr>
            <w:r>
              <w:rPr>
                <w:sz w:val="14"/>
              </w:rPr>
              <w:t>1,793.00</w:t>
            </w:r>
          </w:p>
        </w:tc>
        <w:tc>
          <w:tcPr>
            <w:tcW w:w="1562" w:type="dxa"/>
          </w:tcPr>
          <w:p>
            <w:pPr>
              <w:pStyle w:val="TableParagraph"/>
              <w:spacing w:before="92"/>
              <w:ind w:right="524"/>
              <w:jc w:val="right"/>
              <w:rPr>
                <w:sz w:val="14"/>
              </w:rPr>
            </w:pPr>
            <w:r>
              <w:rPr>
                <w:sz w:val="14"/>
              </w:rPr>
              <w:t>0.00</w:t>
            </w:r>
          </w:p>
        </w:tc>
        <w:tc>
          <w:tcPr>
            <w:tcW w:w="1124" w:type="dxa"/>
          </w:tcPr>
          <w:p>
            <w:pPr>
              <w:pStyle w:val="TableParagraph"/>
              <w:spacing w:before="92"/>
              <w:ind w:right="59"/>
              <w:jc w:val="right"/>
              <w:rPr>
                <w:sz w:val="14"/>
              </w:rPr>
            </w:pPr>
            <w:r>
              <w:rPr>
                <w:sz w:val="14"/>
              </w:rPr>
              <w:t>-100.0%</w:t>
            </w:r>
          </w:p>
        </w:tc>
      </w:tr>
      <w:tr>
        <w:trPr>
          <w:trHeight w:val="348" w:hRule="atLeast"/>
        </w:trPr>
        <w:tc>
          <w:tcPr>
            <w:tcW w:w="5342" w:type="dxa"/>
          </w:tcPr>
          <w:p>
            <w:pPr>
              <w:pStyle w:val="TableParagraph"/>
              <w:spacing w:before="92"/>
              <w:ind w:left="213"/>
              <w:rPr>
                <w:sz w:val="14"/>
              </w:rPr>
            </w:pPr>
            <w:r>
              <w:rPr>
                <w:w w:val="105"/>
                <w:sz w:val="14"/>
              </w:rPr>
              <w:t>e) Adjusted Beginning Balance (F1c + F1d)</w:t>
            </w:r>
          </w:p>
        </w:tc>
        <w:tc>
          <w:tcPr>
            <w:tcW w:w="970" w:type="dxa"/>
          </w:tcPr>
          <w:p>
            <w:pPr>
              <w:pStyle w:val="TableParagraph"/>
              <w:rPr>
                <w:rFonts w:ascii="Times New Roman"/>
                <w:sz w:val="14"/>
              </w:rPr>
            </w:pPr>
          </w:p>
        </w:tc>
        <w:tc>
          <w:tcPr>
            <w:tcW w:w="1638" w:type="dxa"/>
          </w:tcPr>
          <w:p>
            <w:pPr>
              <w:pStyle w:val="TableParagraph"/>
              <w:spacing w:before="92"/>
              <w:ind w:right="473"/>
              <w:jc w:val="right"/>
              <w:rPr>
                <w:sz w:val="14"/>
              </w:rPr>
            </w:pPr>
            <w:r>
              <w:rPr>
                <w:sz w:val="14"/>
              </w:rPr>
              <w:t>1,793.00</w:t>
            </w:r>
          </w:p>
        </w:tc>
        <w:tc>
          <w:tcPr>
            <w:tcW w:w="1562" w:type="dxa"/>
          </w:tcPr>
          <w:p>
            <w:pPr>
              <w:pStyle w:val="TableParagraph"/>
              <w:spacing w:before="92"/>
              <w:ind w:right="523"/>
              <w:jc w:val="right"/>
              <w:rPr>
                <w:sz w:val="14"/>
              </w:rPr>
            </w:pPr>
            <w:r>
              <w:rPr>
                <w:sz w:val="14"/>
              </w:rPr>
              <w:t>2,033.00</w:t>
            </w:r>
          </w:p>
        </w:tc>
        <w:tc>
          <w:tcPr>
            <w:tcW w:w="1124" w:type="dxa"/>
          </w:tcPr>
          <w:p>
            <w:pPr>
              <w:pStyle w:val="TableParagraph"/>
              <w:spacing w:before="92"/>
              <w:ind w:right="60"/>
              <w:jc w:val="right"/>
              <w:rPr>
                <w:sz w:val="14"/>
              </w:rPr>
            </w:pPr>
            <w:r>
              <w:rPr>
                <w:sz w:val="14"/>
              </w:rPr>
              <w:t>13.4%</w:t>
            </w:r>
          </w:p>
        </w:tc>
      </w:tr>
      <w:tr>
        <w:trPr>
          <w:trHeight w:val="647" w:hRule="atLeast"/>
        </w:trPr>
        <w:tc>
          <w:tcPr>
            <w:tcW w:w="5342" w:type="dxa"/>
          </w:tcPr>
          <w:p>
            <w:pPr>
              <w:pStyle w:val="TableParagraph"/>
              <w:numPr>
                <w:ilvl w:val="0"/>
                <w:numId w:val="11"/>
              </w:numPr>
              <w:tabs>
                <w:tab w:pos="217" w:val="left" w:leader="none"/>
              </w:tabs>
              <w:spacing w:line="292" w:lineRule="auto" w:before="92" w:after="0"/>
              <w:ind w:left="213" w:right="2748" w:hanging="164"/>
              <w:jc w:val="left"/>
              <w:rPr>
                <w:sz w:val="14"/>
              </w:rPr>
            </w:pPr>
            <w:r>
              <w:rPr>
                <w:w w:val="105"/>
                <w:sz w:val="14"/>
              </w:rPr>
              <w:t>Ending Balance, June 30 (E + F1e) Components</w:t>
            </w:r>
            <w:r>
              <w:rPr>
                <w:spacing w:val="-14"/>
                <w:w w:val="105"/>
                <w:sz w:val="14"/>
              </w:rPr>
              <w:t> </w:t>
            </w:r>
            <w:r>
              <w:rPr>
                <w:w w:val="105"/>
                <w:sz w:val="14"/>
              </w:rPr>
              <w:t>of</w:t>
            </w:r>
            <w:r>
              <w:rPr>
                <w:spacing w:val="-13"/>
                <w:w w:val="105"/>
                <w:sz w:val="14"/>
              </w:rPr>
              <w:t> </w:t>
            </w:r>
            <w:r>
              <w:rPr>
                <w:w w:val="105"/>
                <w:sz w:val="14"/>
              </w:rPr>
              <w:t>Ending</w:t>
            </w:r>
            <w:r>
              <w:rPr>
                <w:spacing w:val="-14"/>
                <w:w w:val="105"/>
                <w:sz w:val="14"/>
              </w:rPr>
              <w:t> </w:t>
            </w:r>
            <w:r>
              <w:rPr>
                <w:w w:val="105"/>
                <w:sz w:val="14"/>
              </w:rPr>
              <w:t>Fund</w:t>
            </w:r>
            <w:r>
              <w:rPr>
                <w:spacing w:val="-15"/>
                <w:w w:val="105"/>
                <w:sz w:val="14"/>
              </w:rPr>
              <w:t> </w:t>
            </w:r>
            <w:r>
              <w:rPr>
                <w:spacing w:val="-3"/>
                <w:w w:val="105"/>
                <w:sz w:val="14"/>
              </w:rPr>
              <w:t>Balance</w:t>
            </w:r>
          </w:p>
          <w:p>
            <w:pPr>
              <w:pStyle w:val="TableParagraph"/>
              <w:numPr>
                <w:ilvl w:val="1"/>
                <w:numId w:val="11"/>
              </w:numPr>
              <w:tabs>
                <w:tab w:pos="381" w:val="left" w:leader="none"/>
              </w:tabs>
              <w:spacing w:line="142" w:lineRule="exact" w:before="1" w:after="0"/>
              <w:ind w:left="380" w:right="0" w:hanging="168"/>
              <w:jc w:val="left"/>
              <w:rPr>
                <w:sz w:val="14"/>
              </w:rPr>
            </w:pPr>
            <w:r>
              <w:rPr>
                <w:w w:val="105"/>
                <w:sz w:val="14"/>
              </w:rPr>
              <w:t>Nonspendable</w:t>
            </w:r>
          </w:p>
        </w:tc>
        <w:tc>
          <w:tcPr>
            <w:tcW w:w="970" w:type="dxa"/>
          </w:tcPr>
          <w:p>
            <w:pPr>
              <w:pStyle w:val="TableParagraph"/>
              <w:rPr>
                <w:rFonts w:ascii="Times New Roman"/>
                <w:sz w:val="14"/>
              </w:rPr>
            </w:pPr>
          </w:p>
        </w:tc>
        <w:tc>
          <w:tcPr>
            <w:tcW w:w="1638" w:type="dxa"/>
          </w:tcPr>
          <w:p>
            <w:pPr>
              <w:pStyle w:val="TableParagraph"/>
              <w:spacing w:before="92"/>
              <w:ind w:right="473"/>
              <w:jc w:val="right"/>
              <w:rPr>
                <w:sz w:val="14"/>
              </w:rPr>
            </w:pPr>
            <w:r>
              <w:rPr>
                <w:sz w:val="14"/>
              </w:rPr>
              <w:t>2,033.00</w:t>
            </w:r>
          </w:p>
        </w:tc>
        <w:tc>
          <w:tcPr>
            <w:tcW w:w="1562" w:type="dxa"/>
          </w:tcPr>
          <w:p>
            <w:pPr>
              <w:pStyle w:val="TableParagraph"/>
              <w:spacing w:before="92"/>
              <w:ind w:right="523"/>
              <w:jc w:val="right"/>
              <w:rPr>
                <w:sz w:val="14"/>
              </w:rPr>
            </w:pPr>
            <w:r>
              <w:rPr>
                <w:sz w:val="14"/>
              </w:rPr>
              <w:t>2,273.00</w:t>
            </w:r>
          </w:p>
        </w:tc>
        <w:tc>
          <w:tcPr>
            <w:tcW w:w="1124" w:type="dxa"/>
          </w:tcPr>
          <w:p>
            <w:pPr>
              <w:pStyle w:val="TableParagraph"/>
              <w:spacing w:before="92"/>
              <w:ind w:right="60"/>
              <w:jc w:val="right"/>
              <w:rPr>
                <w:sz w:val="14"/>
              </w:rPr>
            </w:pPr>
            <w:r>
              <w:rPr>
                <w:sz w:val="14"/>
              </w:rPr>
              <w:t>11.8%</w:t>
            </w:r>
          </w:p>
        </w:tc>
      </w:tr>
      <w:tr>
        <w:trPr>
          <w:trHeight w:val="290" w:hRule="atLeast"/>
        </w:trPr>
        <w:tc>
          <w:tcPr>
            <w:tcW w:w="5342" w:type="dxa"/>
          </w:tcPr>
          <w:p>
            <w:pPr>
              <w:pStyle w:val="TableParagraph"/>
              <w:spacing w:before="35"/>
              <w:ind w:left="416"/>
              <w:rPr>
                <w:sz w:val="14"/>
              </w:rPr>
            </w:pPr>
            <w:r>
              <w:rPr>
                <w:w w:val="105"/>
                <w:sz w:val="14"/>
              </w:rPr>
              <w:t>Revolving Cash</w:t>
            </w:r>
          </w:p>
        </w:tc>
        <w:tc>
          <w:tcPr>
            <w:tcW w:w="970" w:type="dxa"/>
          </w:tcPr>
          <w:p>
            <w:pPr>
              <w:pStyle w:val="TableParagraph"/>
              <w:spacing w:before="35"/>
              <w:ind w:left="50"/>
              <w:rPr>
                <w:sz w:val="14"/>
              </w:rPr>
            </w:pPr>
            <w:r>
              <w:rPr>
                <w:w w:val="105"/>
                <w:sz w:val="14"/>
              </w:rPr>
              <w:t>9711</w:t>
            </w:r>
          </w:p>
        </w:tc>
        <w:tc>
          <w:tcPr>
            <w:tcW w:w="1638" w:type="dxa"/>
          </w:tcPr>
          <w:p>
            <w:pPr>
              <w:pStyle w:val="TableParagraph"/>
              <w:spacing w:before="35"/>
              <w:ind w:right="474"/>
              <w:jc w:val="right"/>
              <w:rPr>
                <w:sz w:val="14"/>
              </w:rPr>
            </w:pPr>
            <w:r>
              <w:rPr>
                <w:sz w:val="14"/>
              </w:rPr>
              <w:t>0.00</w:t>
            </w:r>
          </w:p>
        </w:tc>
        <w:tc>
          <w:tcPr>
            <w:tcW w:w="1562" w:type="dxa"/>
          </w:tcPr>
          <w:p>
            <w:pPr>
              <w:pStyle w:val="TableParagraph"/>
              <w:spacing w:before="35"/>
              <w:ind w:right="524"/>
              <w:jc w:val="right"/>
              <w:rPr>
                <w:sz w:val="14"/>
              </w:rPr>
            </w:pPr>
            <w:r>
              <w:rPr>
                <w:sz w:val="14"/>
              </w:rPr>
              <w:t>0.00</w:t>
            </w:r>
          </w:p>
        </w:tc>
        <w:tc>
          <w:tcPr>
            <w:tcW w:w="1124" w:type="dxa"/>
          </w:tcPr>
          <w:p>
            <w:pPr>
              <w:pStyle w:val="TableParagraph"/>
              <w:spacing w:before="35"/>
              <w:ind w:right="59"/>
              <w:jc w:val="right"/>
              <w:rPr>
                <w:sz w:val="14"/>
              </w:rPr>
            </w:pPr>
            <w:r>
              <w:rPr>
                <w:sz w:val="14"/>
              </w:rPr>
              <w:t>0.0%</w:t>
            </w:r>
          </w:p>
        </w:tc>
      </w:tr>
      <w:tr>
        <w:trPr>
          <w:trHeight w:val="347" w:hRule="atLeast"/>
        </w:trPr>
        <w:tc>
          <w:tcPr>
            <w:tcW w:w="5342" w:type="dxa"/>
          </w:tcPr>
          <w:p>
            <w:pPr>
              <w:pStyle w:val="TableParagraph"/>
              <w:spacing w:before="92"/>
              <w:ind w:left="416"/>
              <w:rPr>
                <w:sz w:val="14"/>
              </w:rPr>
            </w:pPr>
            <w:r>
              <w:rPr>
                <w:w w:val="105"/>
                <w:sz w:val="14"/>
              </w:rPr>
              <w:t>Stores</w:t>
            </w:r>
          </w:p>
        </w:tc>
        <w:tc>
          <w:tcPr>
            <w:tcW w:w="970" w:type="dxa"/>
          </w:tcPr>
          <w:p>
            <w:pPr>
              <w:pStyle w:val="TableParagraph"/>
              <w:spacing w:before="92"/>
              <w:ind w:left="50"/>
              <w:rPr>
                <w:sz w:val="14"/>
              </w:rPr>
            </w:pPr>
            <w:r>
              <w:rPr>
                <w:w w:val="105"/>
                <w:sz w:val="14"/>
              </w:rPr>
              <w:t>9712</w:t>
            </w:r>
          </w:p>
        </w:tc>
        <w:tc>
          <w:tcPr>
            <w:tcW w:w="1638" w:type="dxa"/>
          </w:tcPr>
          <w:p>
            <w:pPr>
              <w:pStyle w:val="TableParagraph"/>
              <w:spacing w:before="92"/>
              <w:ind w:right="474"/>
              <w:jc w:val="right"/>
              <w:rPr>
                <w:sz w:val="14"/>
              </w:rPr>
            </w:pPr>
            <w:r>
              <w:rPr>
                <w:sz w:val="14"/>
              </w:rPr>
              <w:t>0.00</w:t>
            </w:r>
          </w:p>
        </w:tc>
        <w:tc>
          <w:tcPr>
            <w:tcW w:w="1562" w:type="dxa"/>
          </w:tcPr>
          <w:p>
            <w:pPr>
              <w:pStyle w:val="TableParagraph"/>
              <w:spacing w:before="92"/>
              <w:ind w:right="524"/>
              <w:jc w:val="right"/>
              <w:rPr>
                <w:sz w:val="14"/>
              </w:rPr>
            </w:pPr>
            <w:r>
              <w:rPr>
                <w:sz w:val="14"/>
              </w:rPr>
              <w:t>0.00</w:t>
            </w:r>
          </w:p>
        </w:tc>
        <w:tc>
          <w:tcPr>
            <w:tcW w:w="1124" w:type="dxa"/>
          </w:tcPr>
          <w:p>
            <w:pPr>
              <w:pStyle w:val="TableParagraph"/>
              <w:spacing w:before="92"/>
              <w:ind w:right="59"/>
              <w:jc w:val="right"/>
              <w:rPr>
                <w:sz w:val="14"/>
              </w:rPr>
            </w:pPr>
            <w:r>
              <w:rPr>
                <w:sz w:val="14"/>
              </w:rPr>
              <w:t>0.0%</w:t>
            </w:r>
          </w:p>
        </w:tc>
      </w:tr>
      <w:tr>
        <w:trPr>
          <w:trHeight w:val="347" w:hRule="atLeast"/>
        </w:trPr>
        <w:tc>
          <w:tcPr>
            <w:tcW w:w="5342" w:type="dxa"/>
          </w:tcPr>
          <w:p>
            <w:pPr>
              <w:pStyle w:val="TableParagraph"/>
              <w:spacing w:before="92"/>
              <w:ind w:left="416"/>
              <w:rPr>
                <w:sz w:val="14"/>
              </w:rPr>
            </w:pPr>
            <w:r>
              <w:rPr>
                <w:w w:val="105"/>
                <w:sz w:val="14"/>
              </w:rPr>
              <w:t>Prepaid Items</w:t>
            </w:r>
          </w:p>
        </w:tc>
        <w:tc>
          <w:tcPr>
            <w:tcW w:w="970" w:type="dxa"/>
          </w:tcPr>
          <w:p>
            <w:pPr>
              <w:pStyle w:val="TableParagraph"/>
              <w:spacing w:before="92"/>
              <w:ind w:left="50"/>
              <w:rPr>
                <w:sz w:val="14"/>
              </w:rPr>
            </w:pPr>
            <w:r>
              <w:rPr>
                <w:w w:val="105"/>
                <w:sz w:val="14"/>
              </w:rPr>
              <w:t>9713</w:t>
            </w:r>
          </w:p>
        </w:tc>
        <w:tc>
          <w:tcPr>
            <w:tcW w:w="1638" w:type="dxa"/>
          </w:tcPr>
          <w:p>
            <w:pPr>
              <w:pStyle w:val="TableParagraph"/>
              <w:spacing w:before="92"/>
              <w:ind w:right="474"/>
              <w:jc w:val="right"/>
              <w:rPr>
                <w:sz w:val="14"/>
              </w:rPr>
            </w:pPr>
            <w:r>
              <w:rPr>
                <w:sz w:val="14"/>
              </w:rPr>
              <w:t>0.00</w:t>
            </w:r>
          </w:p>
        </w:tc>
        <w:tc>
          <w:tcPr>
            <w:tcW w:w="1562" w:type="dxa"/>
          </w:tcPr>
          <w:p>
            <w:pPr>
              <w:pStyle w:val="TableParagraph"/>
              <w:spacing w:before="92"/>
              <w:ind w:right="524"/>
              <w:jc w:val="right"/>
              <w:rPr>
                <w:sz w:val="14"/>
              </w:rPr>
            </w:pPr>
            <w:r>
              <w:rPr>
                <w:sz w:val="14"/>
              </w:rPr>
              <w:t>0.00</w:t>
            </w:r>
          </w:p>
        </w:tc>
        <w:tc>
          <w:tcPr>
            <w:tcW w:w="1124" w:type="dxa"/>
          </w:tcPr>
          <w:p>
            <w:pPr>
              <w:pStyle w:val="TableParagraph"/>
              <w:spacing w:before="92"/>
              <w:ind w:right="59"/>
              <w:jc w:val="right"/>
              <w:rPr>
                <w:sz w:val="14"/>
              </w:rPr>
            </w:pPr>
            <w:r>
              <w:rPr>
                <w:sz w:val="14"/>
              </w:rPr>
              <w:t>0.0%</w:t>
            </w:r>
          </w:p>
        </w:tc>
      </w:tr>
      <w:tr>
        <w:trPr>
          <w:trHeight w:val="254" w:hRule="atLeast"/>
        </w:trPr>
        <w:tc>
          <w:tcPr>
            <w:tcW w:w="5342" w:type="dxa"/>
          </w:tcPr>
          <w:p>
            <w:pPr>
              <w:pStyle w:val="TableParagraph"/>
              <w:spacing w:line="142" w:lineRule="exact" w:before="92"/>
              <w:ind w:left="416"/>
              <w:rPr>
                <w:sz w:val="14"/>
              </w:rPr>
            </w:pPr>
            <w:r>
              <w:rPr>
                <w:w w:val="105"/>
                <w:sz w:val="14"/>
              </w:rPr>
              <w:t>All Others</w:t>
            </w:r>
          </w:p>
        </w:tc>
        <w:tc>
          <w:tcPr>
            <w:tcW w:w="970" w:type="dxa"/>
          </w:tcPr>
          <w:p>
            <w:pPr>
              <w:pStyle w:val="TableParagraph"/>
              <w:spacing w:line="142" w:lineRule="exact" w:before="92"/>
              <w:ind w:left="50"/>
              <w:rPr>
                <w:sz w:val="14"/>
              </w:rPr>
            </w:pPr>
            <w:r>
              <w:rPr>
                <w:w w:val="105"/>
                <w:sz w:val="14"/>
              </w:rPr>
              <w:t>9719</w:t>
            </w:r>
          </w:p>
        </w:tc>
        <w:tc>
          <w:tcPr>
            <w:tcW w:w="1638" w:type="dxa"/>
          </w:tcPr>
          <w:p>
            <w:pPr>
              <w:pStyle w:val="TableParagraph"/>
              <w:spacing w:line="142" w:lineRule="exact" w:before="92"/>
              <w:ind w:right="474"/>
              <w:jc w:val="right"/>
              <w:rPr>
                <w:sz w:val="14"/>
              </w:rPr>
            </w:pPr>
            <w:r>
              <w:rPr>
                <w:sz w:val="14"/>
              </w:rPr>
              <w:t>0.00</w:t>
            </w:r>
          </w:p>
        </w:tc>
        <w:tc>
          <w:tcPr>
            <w:tcW w:w="1562" w:type="dxa"/>
          </w:tcPr>
          <w:p>
            <w:pPr>
              <w:pStyle w:val="TableParagraph"/>
              <w:spacing w:line="142" w:lineRule="exact" w:before="92"/>
              <w:ind w:right="524"/>
              <w:jc w:val="right"/>
              <w:rPr>
                <w:sz w:val="14"/>
              </w:rPr>
            </w:pPr>
            <w:r>
              <w:rPr>
                <w:sz w:val="14"/>
              </w:rPr>
              <w:t>0.00</w:t>
            </w:r>
          </w:p>
        </w:tc>
        <w:tc>
          <w:tcPr>
            <w:tcW w:w="1124" w:type="dxa"/>
          </w:tcPr>
          <w:p>
            <w:pPr>
              <w:pStyle w:val="TableParagraph"/>
              <w:spacing w:line="142" w:lineRule="exact" w:before="92"/>
              <w:ind w:right="59"/>
              <w:jc w:val="right"/>
              <w:rPr>
                <w:sz w:val="14"/>
              </w:rPr>
            </w:pPr>
            <w:r>
              <w:rPr>
                <w:sz w:val="14"/>
              </w:rPr>
              <w:t>0.0%</w:t>
            </w:r>
          </w:p>
        </w:tc>
      </w:tr>
      <w:tr>
        <w:trPr>
          <w:trHeight w:val="535" w:hRule="atLeast"/>
        </w:trPr>
        <w:tc>
          <w:tcPr>
            <w:tcW w:w="6312" w:type="dxa"/>
            <w:gridSpan w:val="2"/>
          </w:tcPr>
          <w:p>
            <w:pPr>
              <w:pStyle w:val="TableParagraph"/>
              <w:tabs>
                <w:tab w:pos="5709" w:val="right" w:leader="none"/>
              </w:tabs>
              <w:spacing w:before="186"/>
              <w:ind w:left="213"/>
              <w:rPr>
                <w:sz w:val="14"/>
              </w:rPr>
            </w:pPr>
            <w:r>
              <w:rPr>
                <w:w w:val="105"/>
                <w:sz w:val="14"/>
              </w:rPr>
              <w:t>b)</w:t>
            </w:r>
            <w:r>
              <w:rPr>
                <w:spacing w:val="-2"/>
                <w:w w:val="105"/>
                <w:sz w:val="14"/>
              </w:rPr>
              <w:t> </w:t>
            </w:r>
            <w:r>
              <w:rPr>
                <w:w w:val="105"/>
                <w:sz w:val="14"/>
              </w:rPr>
              <w:t>Restricted</w:t>
              <w:tab/>
              <w:t>9740</w:t>
            </w:r>
          </w:p>
        </w:tc>
        <w:tc>
          <w:tcPr>
            <w:tcW w:w="1638" w:type="dxa"/>
          </w:tcPr>
          <w:p>
            <w:pPr>
              <w:pStyle w:val="TableParagraph"/>
              <w:spacing w:before="2"/>
              <w:rPr>
                <w:sz w:val="16"/>
              </w:rPr>
            </w:pPr>
          </w:p>
          <w:p>
            <w:pPr>
              <w:pStyle w:val="TableParagraph"/>
              <w:ind w:right="473"/>
              <w:jc w:val="right"/>
              <w:rPr>
                <w:sz w:val="14"/>
              </w:rPr>
            </w:pPr>
            <w:r>
              <w:rPr>
                <w:sz w:val="14"/>
              </w:rPr>
              <w:t>2,033.00</w:t>
            </w:r>
          </w:p>
        </w:tc>
        <w:tc>
          <w:tcPr>
            <w:tcW w:w="1562" w:type="dxa"/>
          </w:tcPr>
          <w:p>
            <w:pPr>
              <w:pStyle w:val="TableParagraph"/>
              <w:spacing w:before="2"/>
              <w:rPr>
                <w:sz w:val="16"/>
              </w:rPr>
            </w:pPr>
          </w:p>
          <w:p>
            <w:pPr>
              <w:pStyle w:val="TableParagraph"/>
              <w:ind w:right="523"/>
              <w:jc w:val="right"/>
              <w:rPr>
                <w:sz w:val="14"/>
              </w:rPr>
            </w:pPr>
            <w:r>
              <w:rPr>
                <w:sz w:val="14"/>
              </w:rPr>
              <w:t>2,273.00</w:t>
            </w:r>
          </w:p>
        </w:tc>
        <w:tc>
          <w:tcPr>
            <w:tcW w:w="1124" w:type="dxa"/>
          </w:tcPr>
          <w:p>
            <w:pPr>
              <w:pStyle w:val="TableParagraph"/>
              <w:spacing w:before="2"/>
              <w:rPr>
                <w:sz w:val="16"/>
              </w:rPr>
            </w:pPr>
          </w:p>
          <w:p>
            <w:pPr>
              <w:pStyle w:val="TableParagraph"/>
              <w:ind w:right="60"/>
              <w:jc w:val="right"/>
              <w:rPr>
                <w:sz w:val="14"/>
              </w:rPr>
            </w:pPr>
            <w:r>
              <w:rPr>
                <w:sz w:val="14"/>
              </w:rPr>
              <w:t>11.8%</w:t>
            </w:r>
          </w:p>
        </w:tc>
      </w:tr>
      <w:tr>
        <w:trPr>
          <w:trHeight w:val="451" w:hRule="atLeast"/>
        </w:trPr>
        <w:tc>
          <w:tcPr>
            <w:tcW w:w="5342" w:type="dxa"/>
          </w:tcPr>
          <w:p>
            <w:pPr>
              <w:pStyle w:val="TableParagraph"/>
              <w:spacing w:line="160" w:lineRule="exact"/>
              <w:ind w:left="213"/>
              <w:rPr>
                <w:sz w:val="14"/>
              </w:rPr>
            </w:pPr>
            <w:r>
              <w:rPr>
                <w:w w:val="105"/>
                <w:sz w:val="14"/>
              </w:rPr>
              <w:t>c) Committed</w:t>
            </w:r>
          </w:p>
          <w:p>
            <w:pPr>
              <w:pStyle w:val="TableParagraph"/>
              <w:spacing w:before="36"/>
              <w:ind w:left="416"/>
              <w:rPr>
                <w:sz w:val="14"/>
              </w:rPr>
            </w:pPr>
            <w:r>
              <w:rPr>
                <w:w w:val="105"/>
                <w:sz w:val="14"/>
              </w:rPr>
              <w:t>Stabilization Arrangements</w:t>
            </w:r>
          </w:p>
        </w:tc>
        <w:tc>
          <w:tcPr>
            <w:tcW w:w="970" w:type="dxa"/>
          </w:tcPr>
          <w:p>
            <w:pPr>
              <w:pStyle w:val="TableParagraph"/>
              <w:rPr>
                <w:sz w:val="17"/>
              </w:rPr>
            </w:pPr>
          </w:p>
          <w:p>
            <w:pPr>
              <w:pStyle w:val="TableParagraph"/>
              <w:ind w:left="50"/>
              <w:rPr>
                <w:sz w:val="14"/>
              </w:rPr>
            </w:pPr>
            <w:r>
              <w:rPr>
                <w:w w:val="105"/>
                <w:sz w:val="14"/>
              </w:rPr>
              <w:t>9750</w:t>
            </w:r>
          </w:p>
        </w:tc>
        <w:tc>
          <w:tcPr>
            <w:tcW w:w="1638" w:type="dxa"/>
          </w:tcPr>
          <w:p>
            <w:pPr>
              <w:pStyle w:val="TableParagraph"/>
              <w:rPr>
                <w:sz w:val="17"/>
              </w:rPr>
            </w:pPr>
          </w:p>
          <w:p>
            <w:pPr>
              <w:pStyle w:val="TableParagraph"/>
              <w:ind w:right="474"/>
              <w:jc w:val="right"/>
              <w:rPr>
                <w:sz w:val="14"/>
              </w:rPr>
            </w:pPr>
            <w:r>
              <w:rPr>
                <w:sz w:val="14"/>
              </w:rPr>
              <w:t>0.00</w:t>
            </w:r>
          </w:p>
        </w:tc>
        <w:tc>
          <w:tcPr>
            <w:tcW w:w="1562" w:type="dxa"/>
            <w:shd w:val="clear" w:color="auto" w:fill="DFDFDF"/>
          </w:tcPr>
          <w:p>
            <w:pPr>
              <w:pStyle w:val="TableParagraph"/>
              <w:rPr>
                <w:sz w:val="17"/>
              </w:rPr>
            </w:pPr>
          </w:p>
          <w:p>
            <w:pPr>
              <w:pStyle w:val="TableParagraph"/>
              <w:ind w:right="524"/>
              <w:jc w:val="right"/>
              <w:rPr>
                <w:sz w:val="14"/>
              </w:rPr>
            </w:pPr>
            <w:r>
              <w:rPr>
                <w:sz w:val="14"/>
              </w:rPr>
              <w:t>0.00</w:t>
            </w:r>
          </w:p>
        </w:tc>
        <w:tc>
          <w:tcPr>
            <w:tcW w:w="1124" w:type="dxa"/>
          </w:tcPr>
          <w:p>
            <w:pPr>
              <w:pStyle w:val="TableParagraph"/>
              <w:rPr>
                <w:sz w:val="17"/>
              </w:rPr>
            </w:pPr>
          </w:p>
          <w:p>
            <w:pPr>
              <w:pStyle w:val="TableParagraph"/>
              <w:ind w:right="59"/>
              <w:jc w:val="right"/>
              <w:rPr>
                <w:sz w:val="14"/>
              </w:rPr>
            </w:pPr>
            <w:r>
              <w:rPr>
                <w:sz w:val="14"/>
              </w:rPr>
              <w:t>0.0%</w:t>
            </w:r>
          </w:p>
        </w:tc>
      </w:tr>
      <w:tr>
        <w:trPr>
          <w:trHeight w:val="348" w:hRule="atLeast"/>
        </w:trPr>
        <w:tc>
          <w:tcPr>
            <w:tcW w:w="5342" w:type="dxa"/>
          </w:tcPr>
          <w:p>
            <w:pPr>
              <w:pStyle w:val="TableParagraph"/>
              <w:spacing w:before="92"/>
              <w:ind w:left="416"/>
              <w:rPr>
                <w:sz w:val="14"/>
              </w:rPr>
            </w:pPr>
            <w:r>
              <w:rPr>
                <w:w w:val="105"/>
                <w:sz w:val="14"/>
              </w:rPr>
              <w:t>Other Commitments</w:t>
            </w:r>
          </w:p>
        </w:tc>
        <w:tc>
          <w:tcPr>
            <w:tcW w:w="970" w:type="dxa"/>
          </w:tcPr>
          <w:p>
            <w:pPr>
              <w:pStyle w:val="TableParagraph"/>
              <w:spacing w:before="92"/>
              <w:ind w:left="50"/>
              <w:rPr>
                <w:sz w:val="14"/>
              </w:rPr>
            </w:pPr>
            <w:r>
              <w:rPr>
                <w:w w:val="105"/>
                <w:sz w:val="14"/>
              </w:rPr>
              <w:t>9760</w:t>
            </w:r>
          </w:p>
        </w:tc>
        <w:tc>
          <w:tcPr>
            <w:tcW w:w="1638" w:type="dxa"/>
          </w:tcPr>
          <w:p>
            <w:pPr>
              <w:pStyle w:val="TableParagraph"/>
              <w:spacing w:before="92"/>
              <w:ind w:right="474"/>
              <w:jc w:val="right"/>
              <w:rPr>
                <w:sz w:val="14"/>
              </w:rPr>
            </w:pPr>
            <w:r>
              <w:rPr>
                <w:sz w:val="14"/>
              </w:rPr>
              <w:t>0.00</w:t>
            </w:r>
          </w:p>
        </w:tc>
        <w:tc>
          <w:tcPr>
            <w:tcW w:w="1562" w:type="dxa"/>
            <w:shd w:val="clear" w:color="auto" w:fill="DFDFDF"/>
          </w:tcPr>
          <w:p>
            <w:pPr>
              <w:pStyle w:val="TableParagraph"/>
              <w:spacing w:before="92"/>
              <w:ind w:right="524"/>
              <w:jc w:val="right"/>
              <w:rPr>
                <w:sz w:val="14"/>
              </w:rPr>
            </w:pPr>
            <w:r>
              <w:rPr>
                <w:sz w:val="14"/>
              </w:rPr>
              <w:t>0.00</w:t>
            </w:r>
          </w:p>
        </w:tc>
        <w:tc>
          <w:tcPr>
            <w:tcW w:w="1124" w:type="dxa"/>
            <w:shd w:val="clear" w:color="auto" w:fill="DFDFDF"/>
          </w:tcPr>
          <w:p>
            <w:pPr>
              <w:pStyle w:val="TableParagraph"/>
              <w:spacing w:before="92"/>
              <w:ind w:right="59"/>
              <w:jc w:val="right"/>
              <w:rPr>
                <w:sz w:val="14"/>
              </w:rPr>
            </w:pPr>
            <w:r>
              <w:rPr>
                <w:sz w:val="14"/>
              </w:rPr>
              <w:t>0.0%</w:t>
            </w:r>
          </w:p>
        </w:tc>
      </w:tr>
      <w:tr>
        <w:trPr>
          <w:trHeight w:val="544" w:hRule="atLeast"/>
        </w:trPr>
        <w:tc>
          <w:tcPr>
            <w:tcW w:w="5342" w:type="dxa"/>
          </w:tcPr>
          <w:p>
            <w:pPr>
              <w:pStyle w:val="TableParagraph"/>
              <w:spacing w:before="92"/>
              <w:ind w:left="213"/>
              <w:rPr>
                <w:sz w:val="14"/>
              </w:rPr>
            </w:pPr>
            <w:r>
              <w:rPr>
                <w:w w:val="105"/>
                <w:sz w:val="14"/>
              </w:rPr>
              <w:t>d) Assigned</w:t>
            </w:r>
          </w:p>
          <w:p>
            <w:pPr>
              <w:pStyle w:val="TableParagraph"/>
              <w:spacing w:before="36"/>
              <w:ind w:left="416"/>
              <w:rPr>
                <w:sz w:val="14"/>
              </w:rPr>
            </w:pPr>
            <w:r>
              <w:rPr>
                <w:w w:val="105"/>
                <w:sz w:val="14"/>
              </w:rPr>
              <w:t>Other Assignments</w:t>
            </w:r>
          </w:p>
        </w:tc>
        <w:tc>
          <w:tcPr>
            <w:tcW w:w="970" w:type="dxa"/>
          </w:tcPr>
          <w:p>
            <w:pPr>
              <w:pStyle w:val="TableParagraph"/>
              <w:rPr>
                <w:sz w:val="16"/>
              </w:rPr>
            </w:pPr>
          </w:p>
          <w:p>
            <w:pPr>
              <w:pStyle w:val="TableParagraph"/>
              <w:spacing w:before="105"/>
              <w:ind w:left="50"/>
              <w:rPr>
                <w:sz w:val="14"/>
              </w:rPr>
            </w:pPr>
            <w:r>
              <w:rPr>
                <w:w w:val="105"/>
                <w:sz w:val="14"/>
              </w:rPr>
              <w:t>9780</w:t>
            </w:r>
          </w:p>
        </w:tc>
        <w:tc>
          <w:tcPr>
            <w:tcW w:w="1638" w:type="dxa"/>
            <w:shd w:val="clear" w:color="auto" w:fill="DFDFDF"/>
          </w:tcPr>
          <w:p>
            <w:pPr>
              <w:pStyle w:val="TableParagraph"/>
              <w:rPr>
                <w:sz w:val="16"/>
              </w:rPr>
            </w:pPr>
          </w:p>
          <w:p>
            <w:pPr>
              <w:pStyle w:val="TableParagraph"/>
              <w:spacing w:before="105"/>
              <w:ind w:right="474"/>
              <w:jc w:val="right"/>
              <w:rPr>
                <w:sz w:val="14"/>
              </w:rPr>
            </w:pPr>
            <w:r>
              <w:rPr>
                <w:sz w:val="14"/>
              </w:rPr>
              <w:t>0.00</w:t>
            </w:r>
          </w:p>
        </w:tc>
        <w:tc>
          <w:tcPr>
            <w:tcW w:w="1562" w:type="dxa"/>
            <w:shd w:val="clear" w:color="auto" w:fill="DFDFDF"/>
          </w:tcPr>
          <w:p>
            <w:pPr>
              <w:pStyle w:val="TableParagraph"/>
              <w:rPr>
                <w:sz w:val="16"/>
              </w:rPr>
            </w:pPr>
          </w:p>
          <w:p>
            <w:pPr>
              <w:pStyle w:val="TableParagraph"/>
              <w:spacing w:before="105"/>
              <w:ind w:right="524"/>
              <w:jc w:val="right"/>
              <w:rPr>
                <w:sz w:val="14"/>
              </w:rPr>
            </w:pPr>
            <w:r>
              <w:rPr>
                <w:sz w:val="14"/>
              </w:rPr>
              <w:t>0.00</w:t>
            </w:r>
          </w:p>
        </w:tc>
        <w:tc>
          <w:tcPr>
            <w:tcW w:w="1124" w:type="dxa"/>
            <w:shd w:val="clear" w:color="auto" w:fill="DFDFDF"/>
          </w:tcPr>
          <w:p>
            <w:pPr>
              <w:pStyle w:val="TableParagraph"/>
              <w:rPr>
                <w:sz w:val="16"/>
              </w:rPr>
            </w:pPr>
          </w:p>
          <w:p>
            <w:pPr>
              <w:pStyle w:val="TableParagraph"/>
              <w:spacing w:before="105"/>
              <w:ind w:right="59"/>
              <w:jc w:val="right"/>
              <w:rPr>
                <w:sz w:val="14"/>
              </w:rPr>
            </w:pPr>
            <w:r>
              <w:rPr>
                <w:sz w:val="14"/>
              </w:rPr>
              <w:t>0.0%</w:t>
            </w:r>
          </w:p>
        </w:tc>
      </w:tr>
      <w:tr>
        <w:trPr>
          <w:trHeight w:val="290" w:hRule="atLeast"/>
        </w:trPr>
        <w:tc>
          <w:tcPr>
            <w:tcW w:w="6312" w:type="dxa"/>
            <w:gridSpan w:val="2"/>
          </w:tcPr>
          <w:p>
            <w:pPr>
              <w:pStyle w:val="TableParagraph"/>
              <w:spacing w:before="92"/>
              <w:ind w:left="213"/>
              <w:rPr>
                <w:sz w:val="14"/>
              </w:rPr>
            </w:pPr>
            <w:r>
              <w:rPr>
                <w:w w:val="105"/>
                <w:sz w:val="14"/>
              </w:rPr>
              <w:t>e) Unassigned/Unappropriated</w:t>
            </w:r>
          </w:p>
        </w:tc>
        <w:tc>
          <w:tcPr>
            <w:tcW w:w="4324" w:type="dxa"/>
            <w:gridSpan w:val="3"/>
            <w:shd w:val="clear" w:color="auto" w:fill="DFDFDF"/>
          </w:tcPr>
          <w:p>
            <w:pPr>
              <w:pStyle w:val="TableParagraph"/>
              <w:rPr>
                <w:rFonts w:ascii="Times New Roman"/>
                <w:sz w:val="14"/>
              </w:rPr>
            </w:pPr>
          </w:p>
        </w:tc>
      </w:tr>
      <w:tr>
        <w:trPr>
          <w:trHeight w:val="254" w:hRule="atLeast"/>
        </w:trPr>
        <w:tc>
          <w:tcPr>
            <w:tcW w:w="5342" w:type="dxa"/>
          </w:tcPr>
          <w:p>
            <w:pPr>
              <w:pStyle w:val="TableParagraph"/>
              <w:spacing w:line="160" w:lineRule="exact"/>
              <w:ind w:left="376"/>
              <w:rPr>
                <w:sz w:val="14"/>
              </w:rPr>
            </w:pPr>
            <w:r>
              <w:rPr>
                <w:w w:val="105"/>
                <w:sz w:val="14"/>
              </w:rPr>
              <w:t>Reserve for Economic Uncertainties</w:t>
            </w:r>
          </w:p>
        </w:tc>
        <w:tc>
          <w:tcPr>
            <w:tcW w:w="970" w:type="dxa"/>
          </w:tcPr>
          <w:p>
            <w:pPr>
              <w:pStyle w:val="TableParagraph"/>
              <w:spacing w:line="160" w:lineRule="exact"/>
              <w:ind w:left="50"/>
              <w:rPr>
                <w:sz w:val="14"/>
              </w:rPr>
            </w:pPr>
            <w:r>
              <w:rPr>
                <w:w w:val="105"/>
                <w:sz w:val="14"/>
              </w:rPr>
              <w:t>9789</w:t>
            </w:r>
          </w:p>
        </w:tc>
        <w:tc>
          <w:tcPr>
            <w:tcW w:w="1638" w:type="dxa"/>
          </w:tcPr>
          <w:p>
            <w:pPr>
              <w:pStyle w:val="TableParagraph"/>
              <w:spacing w:line="160" w:lineRule="exact"/>
              <w:ind w:right="474"/>
              <w:jc w:val="right"/>
              <w:rPr>
                <w:sz w:val="14"/>
              </w:rPr>
            </w:pPr>
            <w:r>
              <w:rPr>
                <w:sz w:val="14"/>
              </w:rPr>
              <w:t>0.00</w:t>
            </w:r>
          </w:p>
        </w:tc>
        <w:tc>
          <w:tcPr>
            <w:tcW w:w="1562" w:type="dxa"/>
          </w:tcPr>
          <w:p>
            <w:pPr>
              <w:pStyle w:val="TableParagraph"/>
              <w:spacing w:line="160" w:lineRule="exact"/>
              <w:ind w:right="524"/>
              <w:jc w:val="right"/>
              <w:rPr>
                <w:sz w:val="14"/>
              </w:rPr>
            </w:pPr>
            <w:r>
              <w:rPr>
                <w:sz w:val="14"/>
              </w:rPr>
              <w:t>0.00</w:t>
            </w:r>
          </w:p>
        </w:tc>
        <w:tc>
          <w:tcPr>
            <w:tcW w:w="1124" w:type="dxa"/>
          </w:tcPr>
          <w:p>
            <w:pPr>
              <w:pStyle w:val="TableParagraph"/>
              <w:spacing w:line="160" w:lineRule="exact"/>
              <w:ind w:right="59"/>
              <w:jc w:val="right"/>
              <w:rPr>
                <w:sz w:val="14"/>
              </w:rPr>
            </w:pPr>
            <w:r>
              <w:rPr>
                <w:sz w:val="14"/>
              </w:rPr>
              <w:t>0.0%</w:t>
            </w:r>
          </w:p>
        </w:tc>
      </w:tr>
      <w:tr>
        <w:trPr>
          <w:trHeight w:val="254" w:hRule="atLeast"/>
        </w:trPr>
        <w:tc>
          <w:tcPr>
            <w:tcW w:w="5342" w:type="dxa"/>
          </w:tcPr>
          <w:p>
            <w:pPr>
              <w:pStyle w:val="TableParagraph"/>
              <w:spacing w:line="142" w:lineRule="exact" w:before="92"/>
              <w:ind w:left="376"/>
              <w:rPr>
                <w:sz w:val="14"/>
              </w:rPr>
            </w:pPr>
            <w:r>
              <w:rPr>
                <w:w w:val="105"/>
                <w:sz w:val="14"/>
              </w:rPr>
              <w:t>Unassigned/Unappropriated Amount</w:t>
            </w:r>
          </w:p>
        </w:tc>
        <w:tc>
          <w:tcPr>
            <w:tcW w:w="970" w:type="dxa"/>
          </w:tcPr>
          <w:p>
            <w:pPr>
              <w:pStyle w:val="TableParagraph"/>
              <w:spacing w:line="142" w:lineRule="exact" w:before="92"/>
              <w:ind w:left="50"/>
              <w:rPr>
                <w:sz w:val="14"/>
              </w:rPr>
            </w:pPr>
            <w:r>
              <w:rPr>
                <w:w w:val="105"/>
                <w:sz w:val="14"/>
              </w:rPr>
              <w:t>9790</w:t>
            </w:r>
          </w:p>
        </w:tc>
        <w:tc>
          <w:tcPr>
            <w:tcW w:w="1638" w:type="dxa"/>
          </w:tcPr>
          <w:p>
            <w:pPr>
              <w:pStyle w:val="TableParagraph"/>
              <w:spacing w:line="142" w:lineRule="exact" w:before="92"/>
              <w:ind w:right="474"/>
              <w:jc w:val="right"/>
              <w:rPr>
                <w:sz w:val="14"/>
              </w:rPr>
            </w:pPr>
            <w:r>
              <w:rPr>
                <w:sz w:val="14"/>
              </w:rPr>
              <w:t>0.00</w:t>
            </w:r>
          </w:p>
        </w:tc>
        <w:tc>
          <w:tcPr>
            <w:tcW w:w="1562" w:type="dxa"/>
          </w:tcPr>
          <w:p>
            <w:pPr>
              <w:pStyle w:val="TableParagraph"/>
              <w:spacing w:line="142" w:lineRule="exact" w:before="92"/>
              <w:ind w:right="524"/>
              <w:jc w:val="right"/>
              <w:rPr>
                <w:sz w:val="14"/>
              </w:rPr>
            </w:pPr>
            <w:r>
              <w:rPr>
                <w:sz w:val="14"/>
              </w:rPr>
              <w:t>0.00</w:t>
            </w:r>
          </w:p>
        </w:tc>
        <w:tc>
          <w:tcPr>
            <w:tcW w:w="1124" w:type="dxa"/>
          </w:tcPr>
          <w:p>
            <w:pPr>
              <w:pStyle w:val="TableParagraph"/>
              <w:spacing w:line="142" w:lineRule="exact" w:before="92"/>
              <w:ind w:right="59"/>
              <w:jc w:val="right"/>
              <w:rPr>
                <w:sz w:val="14"/>
              </w:rPr>
            </w:pPr>
            <w:r>
              <w:rPr>
                <w:sz w:val="14"/>
              </w:rPr>
              <w:t>0.0%</w:t>
            </w:r>
          </w:p>
        </w:tc>
      </w:tr>
    </w:tbl>
    <w:p>
      <w:pPr>
        <w:spacing w:after="0" w:line="142" w:lineRule="exact"/>
        <w:jc w:val="right"/>
        <w:rPr>
          <w:sz w:val="14"/>
        </w:rPr>
        <w:sectPr>
          <w:type w:val="continuous"/>
          <w:pgSz w:w="12240" w:h="15840"/>
          <w:pgMar w:top="1500" w:bottom="840" w:left="160" w:right="180"/>
        </w:sectPr>
      </w:pPr>
    </w:p>
    <w:p>
      <w:pPr>
        <w:spacing w:line="232" w:lineRule="auto" w:before="1"/>
        <w:ind w:left="308" w:right="0" w:firstLine="0"/>
        <w:jc w:val="left"/>
        <w:rPr>
          <w:sz w:val="18"/>
        </w:rPr>
      </w:pPr>
      <w:r>
        <w:rPr>
          <w:sz w:val="18"/>
        </w:rPr>
        <w:t>Winship-Robbins Elementary Sutter County</w:t>
      </w:r>
    </w:p>
    <w:p>
      <w:pPr>
        <w:spacing w:line="232" w:lineRule="auto" w:before="1"/>
        <w:ind w:left="943" w:right="0" w:hanging="636"/>
        <w:jc w:val="left"/>
        <w:rPr>
          <w:sz w:val="18"/>
        </w:rPr>
      </w:pPr>
      <w:r>
        <w:rPr/>
        <w:br w:type="column"/>
      </w:r>
      <w:r>
        <w:rPr>
          <w:sz w:val="18"/>
        </w:rPr>
        <w:t>Student Activity Special Revenue Fund Expenditures by Object</w:t>
      </w:r>
    </w:p>
    <w:p>
      <w:pPr>
        <w:spacing w:line="200" w:lineRule="exact" w:before="0"/>
        <w:ind w:left="0" w:right="287" w:firstLine="0"/>
        <w:jc w:val="right"/>
        <w:rPr>
          <w:sz w:val="18"/>
        </w:rPr>
      </w:pPr>
      <w:r>
        <w:rPr/>
        <w:br w:type="column"/>
      </w:r>
      <w:r>
        <w:rPr>
          <w:sz w:val="18"/>
        </w:rPr>
        <w:t>51 71456</w:t>
      </w:r>
      <w:r>
        <w:rPr>
          <w:spacing w:val="3"/>
          <w:sz w:val="18"/>
        </w:rPr>
        <w:t> </w:t>
      </w:r>
      <w:r>
        <w:rPr>
          <w:sz w:val="18"/>
        </w:rPr>
        <w:t>0000000</w:t>
      </w:r>
    </w:p>
    <w:p>
      <w:pPr>
        <w:spacing w:line="204" w:lineRule="exact" w:before="0"/>
        <w:ind w:left="0" w:right="285" w:firstLine="0"/>
        <w:jc w:val="right"/>
        <w:rPr>
          <w:sz w:val="18"/>
        </w:rPr>
      </w:pPr>
      <w:r>
        <w:rPr>
          <w:sz w:val="18"/>
        </w:rPr>
        <w:t>Form </w:t>
      </w:r>
      <w:r>
        <w:rPr>
          <w:spacing w:val="3"/>
          <w:sz w:val="18"/>
        </w:rPr>
        <w:t> </w:t>
      </w:r>
      <w:r>
        <w:rPr>
          <w:sz w:val="18"/>
        </w:rPr>
        <w:t>08</w:t>
      </w:r>
    </w:p>
    <w:p>
      <w:pPr>
        <w:spacing w:after="0" w:line="204" w:lineRule="exact"/>
        <w:jc w:val="right"/>
        <w:rPr>
          <w:sz w:val="18"/>
        </w:rPr>
        <w:sectPr>
          <w:pgSz w:w="12240" w:h="15840"/>
          <w:pgMar w:header="651" w:footer="437" w:top="840" w:bottom="620" w:left="160" w:right="180"/>
          <w:cols w:num="3" w:equalWidth="0">
            <w:col w:w="2698" w:space="1379"/>
            <w:col w:w="3491" w:space="2224"/>
            <w:col w:w="2108"/>
          </w:cols>
        </w:sectPr>
      </w:pPr>
    </w:p>
    <w:p>
      <w:pPr>
        <w:pStyle w:val="BodyText"/>
        <w:rPr>
          <w:sz w:val="20"/>
        </w:rPr>
      </w:pPr>
    </w:p>
    <w:p>
      <w:pPr>
        <w:pStyle w:val="BodyText"/>
        <w:rPr>
          <w:sz w:val="20"/>
        </w:rPr>
      </w:pPr>
    </w:p>
    <w:p>
      <w:pPr>
        <w:pStyle w:val="BodyText"/>
        <w:spacing w:before="8" w:after="1"/>
        <w:rPr>
          <w:sz w:val="26"/>
        </w:rPr>
      </w:pPr>
    </w:p>
    <w:tbl>
      <w:tblPr>
        <w:tblW w:w="0" w:type="auto"/>
        <w:jc w:val="left"/>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70"/>
        <w:gridCol w:w="1261"/>
        <w:gridCol w:w="1127"/>
        <w:gridCol w:w="1429"/>
        <w:gridCol w:w="1504"/>
        <w:gridCol w:w="1207"/>
      </w:tblGrid>
      <w:tr>
        <w:trPr>
          <w:trHeight w:val="436" w:hRule="atLeast"/>
        </w:trPr>
        <w:tc>
          <w:tcPr>
            <w:tcW w:w="3870" w:type="dxa"/>
          </w:tcPr>
          <w:p>
            <w:pPr>
              <w:pStyle w:val="TableParagraph"/>
              <w:spacing w:before="5"/>
              <w:rPr>
                <w:sz w:val="14"/>
              </w:rPr>
            </w:pPr>
          </w:p>
          <w:p>
            <w:pPr>
              <w:pStyle w:val="TableParagraph"/>
              <w:spacing w:before="1"/>
              <w:ind w:left="50"/>
              <w:rPr>
                <w:b/>
                <w:sz w:val="14"/>
              </w:rPr>
            </w:pPr>
            <w:r>
              <w:rPr>
                <w:b/>
                <w:w w:val="105"/>
                <w:sz w:val="14"/>
              </w:rPr>
              <w:t>Description</w:t>
            </w:r>
          </w:p>
        </w:tc>
        <w:tc>
          <w:tcPr>
            <w:tcW w:w="1261" w:type="dxa"/>
          </w:tcPr>
          <w:p>
            <w:pPr>
              <w:pStyle w:val="TableParagraph"/>
              <w:spacing w:before="5"/>
              <w:rPr>
                <w:sz w:val="14"/>
              </w:rPr>
            </w:pPr>
          </w:p>
          <w:p>
            <w:pPr>
              <w:pStyle w:val="TableParagraph"/>
              <w:spacing w:before="1"/>
              <w:ind w:left="8"/>
              <w:rPr>
                <w:b/>
                <w:sz w:val="14"/>
              </w:rPr>
            </w:pPr>
            <w:r>
              <w:rPr>
                <w:b/>
                <w:w w:val="105"/>
                <w:sz w:val="14"/>
              </w:rPr>
              <w:t>Resource Codes</w:t>
            </w:r>
          </w:p>
        </w:tc>
        <w:tc>
          <w:tcPr>
            <w:tcW w:w="1127" w:type="dxa"/>
          </w:tcPr>
          <w:p>
            <w:pPr>
              <w:pStyle w:val="TableParagraph"/>
              <w:spacing w:before="5"/>
              <w:rPr>
                <w:sz w:val="14"/>
              </w:rPr>
            </w:pPr>
          </w:p>
          <w:p>
            <w:pPr>
              <w:pStyle w:val="TableParagraph"/>
              <w:spacing w:before="1"/>
              <w:ind w:left="87" w:right="49"/>
              <w:jc w:val="center"/>
              <w:rPr>
                <w:b/>
                <w:sz w:val="14"/>
              </w:rPr>
            </w:pPr>
            <w:r>
              <w:rPr>
                <w:b/>
                <w:w w:val="105"/>
                <w:sz w:val="14"/>
              </w:rPr>
              <w:t>Object Codes</w:t>
            </w:r>
          </w:p>
        </w:tc>
        <w:tc>
          <w:tcPr>
            <w:tcW w:w="1429" w:type="dxa"/>
          </w:tcPr>
          <w:p>
            <w:pPr>
              <w:pStyle w:val="TableParagraph"/>
              <w:spacing w:line="160" w:lineRule="exact"/>
              <w:ind w:left="44" w:right="66"/>
              <w:jc w:val="center"/>
              <w:rPr>
                <w:b/>
                <w:sz w:val="14"/>
              </w:rPr>
            </w:pPr>
            <w:r>
              <w:rPr>
                <w:b/>
                <w:w w:val="105"/>
                <w:sz w:val="14"/>
              </w:rPr>
              <w:t>2020-21</w:t>
            </w:r>
          </w:p>
          <w:p>
            <w:pPr>
              <w:pStyle w:val="TableParagraph"/>
              <w:spacing w:before="7"/>
              <w:ind w:left="44" w:right="69"/>
              <w:jc w:val="center"/>
              <w:rPr>
                <w:b/>
                <w:sz w:val="14"/>
              </w:rPr>
            </w:pPr>
            <w:r>
              <w:rPr>
                <w:b/>
                <w:w w:val="105"/>
                <w:sz w:val="14"/>
              </w:rPr>
              <w:t>Estimated Actuals</w:t>
            </w:r>
          </w:p>
        </w:tc>
        <w:tc>
          <w:tcPr>
            <w:tcW w:w="1504" w:type="dxa"/>
          </w:tcPr>
          <w:p>
            <w:pPr>
              <w:pStyle w:val="TableParagraph"/>
              <w:spacing w:line="160" w:lineRule="exact"/>
              <w:ind w:left="522"/>
              <w:rPr>
                <w:b/>
                <w:sz w:val="14"/>
              </w:rPr>
            </w:pPr>
            <w:r>
              <w:rPr>
                <w:b/>
                <w:w w:val="105"/>
                <w:sz w:val="14"/>
              </w:rPr>
              <w:t>2021-22</w:t>
            </w:r>
          </w:p>
          <w:p>
            <w:pPr>
              <w:pStyle w:val="TableParagraph"/>
              <w:spacing w:before="7"/>
              <w:ind w:left="534"/>
              <w:rPr>
                <w:b/>
                <w:sz w:val="14"/>
              </w:rPr>
            </w:pPr>
            <w:r>
              <w:rPr>
                <w:b/>
                <w:w w:val="105"/>
                <w:sz w:val="14"/>
              </w:rPr>
              <w:t>Budget</w:t>
            </w:r>
          </w:p>
        </w:tc>
        <w:tc>
          <w:tcPr>
            <w:tcW w:w="1207" w:type="dxa"/>
          </w:tcPr>
          <w:p>
            <w:pPr>
              <w:pStyle w:val="TableParagraph"/>
              <w:spacing w:line="249" w:lineRule="auto"/>
              <w:ind w:left="456" w:right="46" w:firstLine="86"/>
              <w:rPr>
                <w:b/>
                <w:sz w:val="14"/>
              </w:rPr>
            </w:pPr>
            <w:r>
              <w:rPr>
                <w:b/>
                <w:w w:val="105"/>
                <w:sz w:val="14"/>
              </w:rPr>
              <w:t>Percent </w:t>
            </w:r>
            <w:r>
              <w:rPr>
                <w:b/>
                <w:sz w:val="14"/>
              </w:rPr>
              <w:t>Difference</w:t>
            </w:r>
          </w:p>
        </w:tc>
      </w:tr>
      <w:tr>
        <w:trPr>
          <w:trHeight w:val="766" w:hRule="atLeast"/>
        </w:trPr>
        <w:tc>
          <w:tcPr>
            <w:tcW w:w="3870" w:type="dxa"/>
          </w:tcPr>
          <w:p>
            <w:pPr>
              <w:pStyle w:val="TableParagraph"/>
              <w:spacing w:before="107"/>
              <w:ind w:left="50"/>
              <w:rPr>
                <w:b/>
                <w:sz w:val="14"/>
              </w:rPr>
            </w:pPr>
            <w:r>
              <w:rPr>
                <w:b/>
                <w:w w:val="105"/>
                <w:sz w:val="14"/>
              </w:rPr>
              <w:t>G. ASSETS</w:t>
            </w:r>
          </w:p>
          <w:p>
            <w:pPr>
              <w:pStyle w:val="TableParagraph"/>
              <w:numPr>
                <w:ilvl w:val="0"/>
                <w:numId w:val="12"/>
              </w:numPr>
              <w:tabs>
                <w:tab w:pos="381" w:val="left" w:leader="none"/>
              </w:tabs>
              <w:spacing w:line="240" w:lineRule="auto" w:before="38" w:after="0"/>
              <w:ind w:left="380" w:right="0" w:hanging="168"/>
              <w:jc w:val="left"/>
              <w:rPr>
                <w:sz w:val="14"/>
              </w:rPr>
            </w:pPr>
            <w:r>
              <w:rPr>
                <w:w w:val="105"/>
                <w:sz w:val="14"/>
              </w:rPr>
              <w:t>Cash</w:t>
            </w:r>
          </w:p>
          <w:p>
            <w:pPr>
              <w:pStyle w:val="TableParagraph"/>
              <w:numPr>
                <w:ilvl w:val="1"/>
                <w:numId w:val="12"/>
              </w:numPr>
              <w:tabs>
                <w:tab w:pos="544" w:val="left" w:leader="none"/>
              </w:tabs>
              <w:spacing w:line="240" w:lineRule="auto" w:before="36" w:after="0"/>
              <w:ind w:left="543" w:right="0" w:hanging="168"/>
              <w:jc w:val="left"/>
              <w:rPr>
                <w:sz w:val="14"/>
              </w:rPr>
            </w:pPr>
            <w:r>
              <w:rPr>
                <w:w w:val="105"/>
                <w:sz w:val="14"/>
              </w:rPr>
              <w:t>in County</w:t>
            </w:r>
            <w:r>
              <w:rPr>
                <w:spacing w:val="-6"/>
                <w:w w:val="105"/>
                <w:sz w:val="14"/>
              </w:rPr>
              <w:t> </w:t>
            </w:r>
            <w:r>
              <w:rPr>
                <w:w w:val="105"/>
                <w:sz w:val="14"/>
              </w:rPr>
              <w:t>Treasury</w:t>
            </w:r>
          </w:p>
        </w:tc>
        <w:tc>
          <w:tcPr>
            <w:tcW w:w="1261" w:type="dxa"/>
          </w:tcPr>
          <w:p>
            <w:pPr>
              <w:pStyle w:val="TableParagraph"/>
              <w:rPr>
                <w:rFonts w:ascii="Times New Roman"/>
                <w:sz w:val="14"/>
              </w:rPr>
            </w:pPr>
          </w:p>
        </w:tc>
        <w:tc>
          <w:tcPr>
            <w:tcW w:w="1127" w:type="dxa"/>
          </w:tcPr>
          <w:p>
            <w:pPr>
              <w:pStyle w:val="TableParagraph"/>
              <w:rPr>
                <w:sz w:val="16"/>
              </w:rPr>
            </w:pPr>
          </w:p>
          <w:p>
            <w:pPr>
              <w:pStyle w:val="TableParagraph"/>
              <w:rPr>
                <w:sz w:val="16"/>
              </w:rPr>
            </w:pPr>
          </w:p>
          <w:p>
            <w:pPr>
              <w:pStyle w:val="TableParagraph"/>
              <w:spacing w:before="135"/>
              <w:ind w:left="88" w:right="49"/>
              <w:jc w:val="center"/>
              <w:rPr>
                <w:sz w:val="14"/>
              </w:rPr>
            </w:pPr>
            <w:r>
              <w:rPr>
                <w:w w:val="105"/>
                <w:sz w:val="14"/>
              </w:rPr>
              <w:t>9110</w:t>
            </w:r>
          </w:p>
        </w:tc>
        <w:tc>
          <w:tcPr>
            <w:tcW w:w="1429" w:type="dxa"/>
          </w:tcPr>
          <w:p>
            <w:pPr>
              <w:pStyle w:val="TableParagraph"/>
              <w:rPr>
                <w:sz w:val="16"/>
              </w:rPr>
            </w:pPr>
          </w:p>
          <w:p>
            <w:pPr>
              <w:pStyle w:val="TableParagraph"/>
              <w:rPr>
                <w:sz w:val="16"/>
              </w:rPr>
            </w:pPr>
          </w:p>
          <w:p>
            <w:pPr>
              <w:pStyle w:val="TableParagraph"/>
              <w:spacing w:before="135"/>
              <w:ind w:right="48"/>
              <w:jc w:val="right"/>
              <w:rPr>
                <w:sz w:val="14"/>
              </w:rPr>
            </w:pPr>
            <w:r>
              <w:rPr>
                <w:sz w:val="14"/>
              </w:rPr>
              <w:t>0.00</w:t>
            </w:r>
          </w:p>
        </w:tc>
        <w:tc>
          <w:tcPr>
            <w:tcW w:w="1504" w:type="dxa"/>
          </w:tcPr>
          <w:p>
            <w:pPr>
              <w:pStyle w:val="TableParagraph"/>
              <w:rPr>
                <w:rFonts w:ascii="Times New Roman"/>
                <w:sz w:val="14"/>
              </w:rPr>
            </w:pPr>
          </w:p>
        </w:tc>
        <w:tc>
          <w:tcPr>
            <w:tcW w:w="1207" w:type="dxa"/>
          </w:tcPr>
          <w:p>
            <w:pPr>
              <w:pStyle w:val="TableParagraph"/>
              <w:rPr>
                <w:rFonts w:ascii="Times New Roman"/>
                <w:sz w:val="14"/>
              </w:rPr>
            </w:pPr>
          </w:p>
        </w:tc>
      </w:tr>
      <w:tr>
        <w:trPr>
          <w:trHeight w:val="364" w:hRule="atLeast"/>
        </w:trPr>
        <w:tc>
          <w:tcPr>
            <w:tcW w:w="3870" w:type="dxa"/>
          </w:tcPr>
          <w:p>
            <w:pPr>
              <w:pStyle w:val="TableParagraph"/>
              <w:spacing w:before="101"/>
              <w:ind w:left="497"/>
              <w:rPr>
                <w:sz w:val="14"/>
              </w:rPr>
            </w:pPr>
            <w:r>
              <w:rPr>
                <w:w w:val="105"/>
                <w:sz w:val="14"/>
              </w:rPr>
              <w:t>1)</w:t>
            </w:r>
            <w:r>
              <w:rPr>
                <w:spacing w:val="-11"/>
                <w:w w:val="105"/>
                <w:sz w:val="14"/>
              </w:rPr>
              <w:t> </w:t>
            </w:r>
            <w:r>
              <w:rPr>
                <w:w w:val="105"/>
                <w:sz w:val="14"/>
              </w:rPr>
              <w:t>Fair</w:t>
            </w:r>
            <w:r>
              <w:rPr>
                <w:spacing w:val="-10"/>
                <w:w w:val="105"/>
                <w:sz w:val="14"/>
              </w:rPr>
              <w:t> </w:t>
            </w:r>
            <w:r>
              <w:rPr>
                <w:w w:val="105"/>
                <w:sz w:val="14"/>
              </w:rPr>
              <w:t>Value</w:t>
            </w:r>
            <w:r>
              <w:rPr>
                <w:spacing w:val="-12"/>
                <w:w w:val="105"/>
                <w:sz w:val="14"/>
              </w:rPr>
              <w:t> </w:t>
            </w:r>
            <w:r>
              <w:rPr>
                <w:w w:val="105"/>
                <w:sz w:val="14"/>
              </w:rPr>
              <w:t>Adjustment</w:t>
            </w:r>
            <w:r>
              <w:rPr>
                <w:spacing w:val="-10"/>
                <w:w w:val="105"/>
                <w:sz w:val="14"/>
              </w:rPr>
              <w:t> </w:t>
            </w:r>
            <w:r>
              <w:rPr>
                <w:w w:val="105"/>
                <w:sz w:val="14"/>
              </w:rPr>
              <w:t>to</w:t>
            </w:r>
            <w:r>
              <w:rPr>
                <w:spacing w:val="-11"/>
                <w:w w:val="105"/>
                <w:sz w:val="14"/>
              </w:rPr>
              <w:t> </w:t>
            </w:r>
            <w:r>
              <w:rPr>
                <w:w w:val="105"/>
                <w:sz w:val="14"/>
              </w:rPr>
              <w:t>Cash</w:t>
            </w:r>
            <w:r>
              <w:rPr>
                <w:spacing w:val="-11"/>
                <w:w w:val="105"/>
                <w:sz w:val="14"/>
              </w:rPr>
              <w:t> </w:t>
            </w:r>
            <w:r>
              <w:rPr>
                <w:w w:val="105"/>
                <w:sz w:val="14"/>
              </w:rPr>
              <w:t>in</w:t>
            </w:r>
            <w:r>
              <w:rPr>
                <w:spacing w:val="-12"/>
                <w:w w:val="105"/>
                <w:sz w:val="14"/>
              </w:rPr>
              <w:t> </w:t>
            </w:r>
            <w:r>
              <w:rPr>
                <w:w w:val="105"/>
                <w:sz w:val="14"/>
              </w:rPr>
              <w:t>County</w:t>
            </w:r>
            <w:r>
              <w:rPr>
                <w:spacing w:val="-12"/>
                <w:w w:val="105"/>
                <w:sz w:val="14"/>
              </w:rPr>
              <w:t> </w:t>
            </w:r>
            <w:r>
              <w:rPr>
                <w:w w:val="105"/>
                <w:sz w:val="14"/>
              </w:rPr>
              <w:t>Treasury</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9111</w:t>
            </w:r>
          </w:p>
        </w:tc>
        <w:tc>
          <w:tcPr>
            <w:tcW w:w="1429" w:type="dxa"/>
          </w:tcPr>
          <w:p>
            <w:pPr>
              <w:pStyle w:val="TableParagraph"/>
              <w:spacing w:before="101"/>
              <w:ind w:right="48"/>
              <w:jc w:val="right"/>
              <w:rPr>
                <w:sz w:val="14"/>
              </w:rPr>
            </w:pPr>
            <w:r>
              <w:rPr>
                <w:sz w:val="14"/>
              </w:rPr>
              <w:t>0.00</w:t>
            </w:r>
          </w:p>
        </w:tc>
        <w:tc>
          <w:tcPr>
            <w:tcW w:w="1504" w:type="dxa"/>
          </w:tcPr>
          <w:p>
            <w:pPr>
              <w:pStyle w:val="TableParagraph"/>
              <w:rPr>
                <w:rFonts w:ascii="Times New Roman"/>
                <w:sz w:val="14"/>
              </w:rPr>
            </w:pPr>
          </w:p>
        </w:tc>
        <w:tc>
          <w:tcPr>
            <w:tcW w:w="1207" w:type="dxa"/>
          </w:tcPr>
          <w:p>
            <w:pPr>
              <w:pStyle w:val="TableParagraph"/>
              <w:rPr>
                <w:rFonts w:ascii="Times New Roman"/>
                <w:sz w:val="14"/>
              </w:rPr>
            </w:pPr>
          </w:p>
        </w:tc>
      </w:tr>
      <w:tr>
        <w:trPr>
          <w:trHeight w:val="364" w:hRule="atLeast"/>
        </w:trPr>
        <w:tc>
          <w:tcPr>
            <w:tcW w:w="3870" w:type="dxa"/>
          </w:tcPr>
          <w:p>
            <w:pPr>
              <w:pStyle w:val="TableParagraph"/>
              <w:spacing w:before="101"/>
              <w:ind w:left="376"/>
              <w:rPr>
                <w:sz w:val="14"/>
              </w:rPr>
            </w:pPr>
            <w:r>
              <w:rPr>
                <w:w w:val="105"/>
                <w:sz w:val="14"/>
              </w:rPr>
              <w:t>b) in Banks</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9120</w:t>
            </w:r>
          </w:p>
        </w:tc>
        <w:tc>
          <w:tcPr>
            <w:tcW w:w="1429" w:type="dxa"/>
          </w:tcPr>
          <w:p>
            <w:pPr>
              <w:pStyle w:val="TableParagraph"/>
              <w:spacing w:before="101"/>
              <w:ind w:right="48"/>
              <w:jc w:val="right"/>
              <w:rPr>
                <w:sz w:val="14"/>
              </w:rPr>
            </w:pPr>
            <w:r>
              <w:rPr>
                <w:sz w:val="14"/>
              </w:rPr>
              <w:t>0.00</w:t>
            </w:r>
          </w:p>
        </w:tc>
        <w:tc>
          <w:tcPr>
            <w:tcW w:w="1504" w:type="dxa"/>
          </w:tcPr>
          <w:p>
            <w:pPr>
              <w:pStyle w:val="TableParagraph"/>
              <w:rPr>
                <w:rFonts w:ascii="Times New Roman"/>
                <w:sz w:val="14"/>
              </w:rPr>
            </w:pPr>
          </w:p>
        </w:tc>
        <w:tc>
          <w:tcPr>
            <w:tcW w:w="1207" w:type="dxa"/>
          </w:tcPr>
          <w:p>
            <w:pPr>
              <w:pStyle w:val="TableParagraph"/>
              <w:rPr>
                <w:rFonts w:ascii="Times New Roman"/>
                <w:sz w:val="14"/>
              </w:rPr>
            </w:pPr>
          </w:p>
        </w:tc>
      </w:tr>
      <w:tr>
        <w:trPr>
          <w:trHeight w:val="364" w:hRule="atLeast"/>
        </w:trPr>
        <w:tc>
          <w:tcPr>
            <w:tcW w:w="3870" w:type="dxa"/>
          </w:tcPr>
          <w:p>
            <w:pPr>
              <w:pStyle w:val="TableParagraph"/>
              <w:spacing w:before="101"/>
              <w:ind w:left="376"/>
              <w:rPr>
                <w:sz w:val="14"/>
              </w:rPr>
            </w:pPr>
            <w:r>
              <w:rPr>
                <w:w w:val="105"/>
                <w:sz w:val="14"/>
              </w:rPr>
              <w:t>c) in Revolving Cash Account</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9130</w:t>
            </w:r>
          </w:p>
        </w:tc>
        <w:tc>
          <w:tcPr>
            <w:tcW w:w="1429" w:type="dxa"/>
          </w:tcPr>
          <w:p>
            <w:pPr>
              <w:pStyle w:val="TableParagraph"/>
              <w:spacing w:before="101"/>
              <w:ind w:right="48"/>
              <w:jc w:val="right"/>
              <w:rPr>
                <w:sz w:val="14"/>
              </w:rPr>
            </w:pPr>
            <w:r>
              <w:rPr>
                <w:sz w:val="14"/>
              </w:rPr>
              <w:t>0.00</w:t>
            </w:r>
          </w:p>
        </w:tc>
        <w:tc>
          <w:tcPr>
            <w:tcW w:w="1504" w:type="dxa"/>
          </w:tcPr>
          <w:p>
            <w:pPr>
              <w:pStyle w:val="TableParagraph"/>
              <w:rPr>
                <w:rFonts w:ascii="Times New Roman"/>
                <w:sz w:val="14"/>
              </w:rPr>
            </w:pPr>
          </w:p>
        </w:tc>
        <w:tc>
          <w:tcPr>
            <w:tcW w:w="1207" w:type="dxa"/>
          </w:tcPr>
          <w:p>
            <w:pPr>
              <w:pStyle w:val="TableParagraph"/>
              <w:rPr>
                <w:rFonts w:ascii="Times New Roman"/>
                <w:sz w:val="14"/>
              </w:rPr>
            </w:pPr>
          </w:p>
        </w:tc>
      </w:tr>
      <w:tr>
        <w:trPr>
          <w:trHeight w:val="364" w:hRule="atLeast"/>
        </w:trPr>
        <w:tc>
          <w:tcPr>
            <w:tcW w:w="3870" w:type="dxa"/>
          </w:tcPr>
          <w:p>
            <w:pPr>
              <w:pStyle w:val="TableParagraph"/>
              <w:spacing w:before="101"/>
              <w:ind w:left="376"/>
              <w:rPr>
                <w:sz w:val="14"/>
              </w:rPr>
            </w:pPr>
            <w:r>
              <w:rPr>
                <w:w w:val="105"/>
                <w:sz w:val="14"/>
              </w:rPr>
              <w:t>d) with Fiscal Agent/Trustee</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9135</w:t>
            </w:r>
          </w:p>
        </w:tc>
        <w:tc>
          <w:tcPr>
            <w:tcW w:w="1429" w:type="dxa"/>
          </w:tcPr>
          <w:p>
            <w:pPr>
              <w:pStyle w:val="TableParagraph"/>
              <w:spacing w:before="101"/>
              <w:ind w:right="48"/>
              <w:jc w:val="right"/>
              <w:rPr>
                <w:sz w:val="14"/>
              </w:rPr>
            </w:pPr>
            <w:r>
              <w:rPr>
                <w:sz w:val="14"/>
              </w:rPr>
              <w:t>0.00</w:t>
            </w:r>
          </w:p>
        </w:tc>
        <w:tc>
          <w:tcPr>
            <w:tcW w:w="1504" w:type="dxa"/>
          </w:tcPr>
          <w:p>
            <w:pPr>
              <w:pStyle w:val="TableParagraph"/>
              <w:rPr>
                <w:rFonts w:ascii="Times New Roman"/>
                <w:sz w:val="14"/>
              </w:rPr>
            </w:pPr>
          </w:p>
        </w:tc>
        <w:tc>
          <w:tcPr>
            <w:tcW w:w="1207" w:type="dxa"/>
          </w:tcPr>
          <w:p>
            <w:pPr>
              <w:pStyle w:val="TableParagraph"/>
              <w:rPr>
                <w:rFonts w:ascii="Times New Roman"/>
                <w:sz w:val="14"/>
              </w:rPr>
            </w:pPr>
          </w:p>
        </w:tc>
      </w:tr>
      <w:tr>
        <w:trPr>
          <w:trHeight w:val="364" w:hRule="atLeast"/>
        </w:trPr>
        <w:tc>
          <w:tcPr>
            <w:tcW w:w="3870" w:type="dxa"/>
          </w:tcPr>
          <w:p>
            <w:pPr>
              <w:pStyle w:val="TableParagraph"/>
              <w:spacing w:before="101"/>
              <w:ind w:left="376"/>
              <w:rPr>
                <w:sz w:val="14"/>
              </w:rPr>
            </w:pPr>
            <w:r>
              <w:rPr>
                <w:w w:val="105"/>
                <w:sz w:val="14"/>
              </w:rPr>
              <w:t>e) Collections Awaiting Deposit</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9140</w:t>
            </w:r>
          </w:p>
        </w:tc>
        <w:tc>
          <w:tcPr>
            <w:tcW w:w="1429" w:type="dxa"/>
          </w:tcPr>
          <w:p>
            <w:pPr>
              <w:pStyle w:val="TableParagraph"/>
              <w:spacing w:before="101"/>
              <w:ind w:right="48"/>
              <w:jc w:val="right"/>
              <w:rPr>
                <w:sz w:val="14"/>
              </w:rPr>
            </w:pPr>
            <w:r>
              <w:rPr>
                <w:sz w:val="14"/>
              </w:rPr>
              <w:t>0.00</w:t>
            </w:r>
          </w:p>
        </w:tc>
        <w:tc>
          <w:tcPr>
            <w:tcW w:w="1504" w:type="dxa"/>
          </w:tcPr>
          <w:p>
            <w:pPr>
              <w:pStyle w:val="TableParagraph"/>
              <w:rPr>
                <w:rFonts w:ascii="Times New Roman"/>
                <w:sz w:val="14"/>
              </w:rPr>
            </w:pPr>
          </w:p>
        </w:tc>
        <w:tc>
          <w:tcPr>
            <w:tcW w:w="1207" w:type="dxa"/>
          </w:tcPr>
          <w:p>
            <w:pPr>
              <w:pStyle w:val="TableParagraph"/>
              <w:rPr>
                <w:rFonts w:ascii="Times New Roman"/>
                <w:sz w:val="14"/>
              </w:rPr>
            </w:pPr>
          </w:p>
        </w:tc>
      </w:tr>
      <w:tr>
        <w:trPr>
          <w:trHeight w:val="364" w:hRule="atLeast"/>
        </w:trPr>
        <w:tc>
          <w:tcPr>
            <w:tcW w:w="3870" w:type="dxa"/>
          </w:tcPr>
          <w:p>
            <w:pPr>
              <w:pStyle w:val="TableParagraph"/>
              <w:spacing w:before="101"/>
              <w:ind w:left="213"/>
              <w:rPr>
                <w:sz w:val="14"/>
              </w:rPr>
            </w:pPr>
            <w:r>
              <w:rPr>
                <w:w w:val="105"/>
                <w:sz w:val="14"/>
              </w:rPr>
              <w:t>2) Investments</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9150</w:t>
            </w:r>
          </w:p>
        </w:tc>
        <w:tc>
          <w:tcPr>
            <w:tcW w:w="1429" w:type="dxa"/>
          </w:tcPr>
          <w:p>
            <w:pPr>
              <w:pStyle w:val="TableParagraph"/>
              <w:spacing w:before="101"/>
              <w:ind w:right="48"/>
              <w:jc w:val="right"/>
              <w:rPr>
                <w:sz w:val="14"/>
              </w:rPr>
            </w:pPr>
            <w:r>
              <w:rPr>
                <w:sz w:val="14"/>
              </w:rPr>
              <w:t>0.00</w:t>
            </w:r>
          </w:p>
        </w:tc>
        <w:tc>
          <w:tcPr>
            <w:tcW w:w="1504" w:type="dxa"/>
          </w:tcPr>
          <w:p>
            <w:pPr>
              <w:pStyle w:val="TableParagraph"/>
              <w:rPr>
                <w:rFonts w:ascii="Times New Roman"/>
                <w:sz w:val="14"/>
              </w:rPr>
            </w:pPr>
          </w:p>
        </w:tc>
        <w:tc>
          <w:tcPr>
            <w:tcW w:w="1207" w:type="dxa"/>
          </w:tcPr>
          <w:p>
            <w:pPr>
              <w:pStyle w:val="TableParagraph"/>
              <w:rPr>
                <w:rFonts w:ascii="Times New Roman"/>
                <w:sz w:val="14"/>
              </w:rPr>
            </w:pPr>
          </w:p>
        </w:tc>
      </w:tr>
      <w:tr>
        <w:trPr>
          <w:trHeight w:val="364" w:hRule="atLeast"/>
        </w:trPr>
        <w:tc>
          <w:tcPr>
            <w:tcW w:w="3870" w:type="dxa"/>
          </w:tcPr>
          <w:p>
            <w:pPr>
              <w:pStyle w:val="TableParagraph"/>
              <w:spacing w:before="101"/>
              <w:ind w:left="213"/>
              <w:rPr>
                <w:sz w:val="14"/>
              </w:rPr>
            </w:pPr>
            <w:r>
              <w:rPr>
                <w:w w:val="105"/>
                <w:sz w:val="14"/>
              </w:rPr>
              <w:t>3) Accounts Receivable</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9200</w:t>
            </w:r>
          </w:p>
        </w:tc>
        <w:tc>
          <w:tcPr>
            <w:tcW w:w="1429" w:type="dxa"/>
          </w:tcPr>
          <w:p>
            <w:pPr>
              <w:pStyle w:val="TableParagraph"/>
              <w:spacing w:before="101"/>
              <w:ind w:right="48"/>
              <w:jc w:val="right"/>
              <w:rPr>
                <w:sz w:val="14"/>
              </w:rPr>
            </w:pPr>
            <w:r>
              <w:rPr>
                <w:sz w:val="14"/>
              </w:rPr>
              <w:t>0.00</w:t>
            </w:r>
          </w:p>
        </w:tc>
        <w:tc>
          <w:tcPr>
            <w:tcW w:w="1504" w:type="dxa"/>
          </w:tcPr>
          <w:p>
            <w:pPr>
              <w:pStyle w:val="TableParagraph"/>
              <w:rPr>
                <w:rFonts w:ascii="Times New Roman"/>
                <w:sz w:val="14"/>
              </w:rPr>
            </w:pPr>
          </w:p>
        </w:tc>
        <w:tc>
          <w:tcPr>
            <w:tcW w:w="1207" w:type="dxa"/>
          </w:tcPr>
          <w:p>
            <w:pPr>
              <w:pStyle w:val="TableParagraph"/>
              <w:rPr>
                <w:rFonts w:ascii="Times New Roman"/>
                <w:sz w:val="14"/>
              </w:rPr>
            </w:pPr>
          </w:p>
        </w:tc>
      </w:tr>
      <w:tr>
        <w:trPr>
          <w:trHeight w:val="364" w:hRule="atLeast"/>
        </w:trPr>
        <w:tc>
          <w:tcPr>
            <w:tcW w:w="3870" w:type="dxa"/>
          </w:tcPr>
          <w:p>
            <w:pPr>
              <w:pStyle w:val="TableParagraph"/>
              <w:spacing w:before="101"/>
              <w:ind w:left="213"/>
              <w:rPr>
                <w:sz w:val="14"/>
              </w:rPr>
            </w:pPr>
            <w:r>
              <w:rPr>
                <w:w w:val="105"/>
                <w:sz w:val="14"/>
              </w:rPr>
              <w:t>4) Due from Grantor Government</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9290</w:t>
            </w:r>
          </w:p>
        </w:tc>
        <w:tc>
          <w:tcPr>
            <w:tcW w:w="1429" w:type="dxa"/>
          </w:tcPr>
          <w:p>
            <w:pPr>
              <w:pStyle w:val="TableParagraph"/>
              <w:spacing w:before="101"/>
              <w:ind w:right="48"/>
              <w:jc w:val="right"/>
              <w:rPr>
                <w:sz w:val="14"/>
              </w:rPr>
            </w:pPr>
            <w:r>
              <w:rPr>
                <w:sz w:val="14"/>
              </w:rPr>
              <w:t>0.00</w:t>
            </w:r>
          </w:p>
        </w:tc>
        <w:tc>
          <w:tcPr>
            <w:tcW w:w="1504" w:type="dxa"/>
          </w:tcPr>
          <w:p>
            <w:pPr>
              <w:pStyle w:val="TableParagraph"/>
              <w:rPr>
                <w:rFonts w:ascii="Times New Roman"/>
                <w:sz w:val="14"/>
              </w:rPr>
            </w:pPr>
          </w:p>
        </w:tc>
        <w:tc>
          <w:tcPr>
            <w:tcW w:w="1207" w:type="dxa"/>
          </w:tcPr>
          <w:p>
            <w:pPr>
              <w:pStyle w:val="TableParagraph"/>
              <w:rPr>
                <w:rFonts w:ascii="Times New Roman"/>
                <w:sz w:val="14"/>
              </w:rPr>
            </w:pPr>
          </w:p>
        </w:tc>
      </w:tr>
      <w:tr>
        <w:trPr>
          <w:trHeight w:val="364" w:hRule="atLeast"/>
        </w:trPr>
        <w:tc>
          <w:tcPr>
            <w:tcW w:w="3870" w:type="dxa"/>
          </w:tcPr>
          <w:p>
            <w:pPr>
              <w:pStyle w:val="TableParagraph"/>
              <w:spacing w:before="101"/>
              <w:ind w:left="213"/>
              <w:rPr>
                <w:sz w:val="14"/>
              </w:rPr>
            </w:pPr>
            <w:r>
              <w:rPr>
                <w:w w:val="105"/>
                <w:sz w:val="14"/>
              </w:rPr>
              <w:t>5) Due from Other Funds</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9310</w:t>
            </w:r>
          </w:p>
        </w:tc>
        <w:tc>
          <w:tcPr>
            <w:tcW w:w="1429" w:type="dxa"/>
          </w:tcPr>
          <w:p>
            <w:pPr>
              <w:pStyle w:val="TableParagraph"/>
              <w:spacing w:before="101"/>
              <w:ind w:right="48"/>
              <w:jc w:val="right"/>
              <w:rPr>
                <w:sz w:val="14"/>
              </w:rPr>
            </w:pPr>
            <w:r>
              <w:rPr>
                <w:sz w:val="14"/>
              </w:rPr>
              <w:t>0.00</w:t>
            </w:r>
          </w:p>
        </w:tc>
        <w:tc>
          <w:tcPr>
            <w:tcW w:w="1504" w:type="dxa"/>
          </w:tcPr>
          <w:p>
            <w:pPr>
              <w:pStyle w:val="TableParagraph"/>
              <w:rPr>
                <w:rFonts w:ascii="Times New Roman"/>
                <w:sz w:val="14"/>
              </w:rPr>
            </w:pPr>
          </w:p>
        </w:tc>
        <w:tc>
          <w:tcPr>
            <w:tcW w:w="1207" w:type="dxa"/>
          </w:tcPr>
          <w:p>
            <w:pPr>
              <w:pStyle w:val="TableParagraph"/>
              <w:rPr>
                <w:rFonts w:ascii="Times New Roman"/>
                <w:sz w:val="14"/>
              </w:rPr>
            </w:pPr>
          </w:p>
        </w:tc>
      </w:tr>
      <w:tr>
        <w:trPr>
          <w:trHeight w:val="364" w:hRule="atLeast"/>
        </w:trPr>
        <w:tc>
          <w:tcPr>
            <w:tcW w:w="3870" w:type="dxa"/>
          </w:tcPr>
          <w:p>
            <w:pPr>
              <w:pStyle w:val="TableParagraph"/>
              <w:spacing w:before="101"/>
              <w:ind w:left="213"/>
              <w:rPr>
                <w:sz w:val="14"/>
              </w:rPr>
            </w:pPr>
            <w:r>
              <w:rPr>
                <w:w w:val="105"/>
                <w:sz w:val="14"/>
              </w:rPr>
              <w:t>6) Stores</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9320</w:t>
            </w:r>
          </w:p>
        </w:tc>
        <w:tc>
          <w:tcPr>
            <w:tcW w:w="1429" w:type="dxa"/>
          </w:tcPr>
          <w:p>
            <w:pPr>
              <w:pStyle w:val="TableParagraph"/>
              <w:spacing w:before="101"/>
              <w:ind w:right="48"/>
              <w:jc w:val="right"/>
              <w:rPr>
                <w:sz w:val="14"/>
              </w:rPr>
            </w:pPr>
            <w:r>
              <w:rPr>
                <w:sz w:val="14"/>
              </w:rPr>
              <w:t>0.00</w:t>
            </w:r>
          </w:p>
        </w:tc>
        <w:tc>
          <w:tcPr>
            <w:tcW w:w="1504" w:type="dxa"/>
          </w:tcPr>
          <w:p>
            <w:pPr>
              <w:pStyle w:val="TableParagraph"/>
              <w:rPr>
                <w:rFonts w:ascii="Times New Roman"/>
                <w:sz w:val="14"/>
              </w:rPr>
            </w:pPr>
          </w:p>
        </w:tc>
        <w:tc>
          <w:tcPr>
            <w:tcW w:w="1207" w:type="dxa"/>
          </w:tcPr>
          <w:p>
            <w:pPr>
              <w:pStyle w:val="TableParagraph"/>
              <w:rPr>
                <w:rFonts w:ascii="Times New Roman"/>
                <w:sz w:val="14"/>
              </w:rPr>
            </w:pPr>
          </w:p>
        </w:tc>
      </w:tr>
      <w:tr>
        <w:trPr>
          <w:trHeight w:val="364" w:hRule="atLeast"/>
        </w:trPr>
        <w:tc>
          <w:tcPr>
            <w:tcW w:w="3870" w:type="dxa"/>
          </w:tcPr>
          <w:p>
            <w:pPr>
              <w:pStyle w:val="TableParagraph"/>
              <w:spacing w:before="101"/>
              <w:ind w:left="213"/>
              <w:rPr>
                <w:sz w:val="14"/>
              </w:rPr>
            </w:pPr>
            <w:r>
              <w:rPr>
                <w:w w:val="105"/>
                <w:sz w:val="14"/>
              </w:rPr>
              <w:t>7) Prepaid Expenditures</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9330</w:t>
            </w:r>
          </w:p>
        </w:tc>
        <w:tc>
          <w:tcPr>
            <w:tcW w:w="1429" w:type="dxa"/>
          </w:tcPr>
          <w:p>
            <w:pPr>
              <w:pStyle w:val="TableParagraph"/>
              <w:spacing w:before="101"/>
              <w:ind w:right="48"/>
              <w:jc w:val="right"/>
              <w:rPr>
                <w:sz w:val="14"/>
              </w:rPr>
            </w:pPr>
            <w:r>
              <w:rPr>
                <w:sz w:val="14"/>
              </w:rPr>
              <w:t>0.00</w:t>
            </w:r>
          </w:p>
        </w:tc>
        <w:tc>
          <w:tcPr>
            <w:tcW w:w="1504" w:type="dxa"/>
          </w:tcPr>
          <w:p>
            <w:pPr>
              <w:pStyle w:val="TableParagraph"/>
              <w:rPr>
                <w:rFonts w:ascii="Times New Roman"/>
                <w:sz w:val="14"/>
              </w:rPr>
            </w:pPr>
          </w:p>
        </w:tc>
        <w:tc>
          <w:tcPr>
            <w:tcW w:w="1207" w:type="dxa"/>
          </w:tcPr>
          <w:p>
            <w:pPr>
              <w:pStyle w:val="TableParagraph"/>
              <w:rPr>
                <w:rFonts w:ascii="Times New Roman"/>
                <w:sz w:val="14"/>
              </w:rPr>
            </w:pPr>
          </w:p>
        </w:tc>
      </w:tr>
      <w:tr>
        <w:trPr>
          <w:trHeight w:val="370" w:hRule="atLeast"/>
        </w:trPr>
        <w:tc>
          <w:tcPr>
            <w:tcW w:w="3870" w:type="dxa"/>
          </w:tcPr>
          <w:p>
            <w:pPr>
              <w:pStyle w:val="TableParagraph"/>
              <w:spacing w:before="101"/>
              <w:ind w:left="213"/>
              <w:rPr>
                <w:sz w:val="14"/>
              </w:rPr>
            </w:pPr>
            <w:r>
              <w:rPr>
                <w:w w:val="105"/>
                <w:sz w:val="14"/>
              </w:rPr>
              <w:t>8) Other Current Assets</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9340</w:t>
            </w:r>
          </w:p>
        </w:tc>
        <w:tc>
          <w:tcPr>
            <w:tcW w:w="1429" w:type="dxa"/>
          </w:tcPr>
          <w:p>
            <w:pPr>
              <w:pStyle w:val="TableParagraph"/>
              <w:spacing w:before="101"/>
              <w:ind w:right="48"/>
              <w:jc w:val="right"/>
              <w:rPr>
                <w:sz w:val="14"/>
              </w:rPr>
            </w:pPr>
            <w:r>
              <w:rPr>
                <w:sz w:val="14"/>
              </w:rPr>
              <w:t>0.00</w:t>
            </w:r>
          </w:p>
        </w:tc>
        <w:tc>
          <w:tcPr>
            <w:tcW w:w="1504" w:type="dxa"/>
          </w:tcPr>
          <w:p>
            <w:pPr>
              <w:pStyle w:val="TableParagraph"/>
              <w:rPr>
                <w:rFonts w:ascii="Times New Roman"/>
                <w:sz w:val="14"/>
              </w:rPr>
            </w:pPr>
          </w:p>
        </w:tc>
        <w:tc>
          <w:tcPr>
            <w:tcW w:w="1207" w:type="dxa"/>
          </w:tcPr>
          <w:p>
            <w:pPr>
              <w:pStyle w:val="TableParagraph"/>
              <w:rPr>
                <w:rFonts w:ascii="Times New Roman"/>
                <w:sz w:val="14"/>
              </w:rPr>
            </w:pPr>
          </w:p>
        </w:tc>
      </w:tr>
      <w:tr>
        <w:trPr>
          <w:trHeight w:val="369" w:hRule="atLeast"/>
        </w:trPr>
        <w:tc>
          <w:tcPr>
            <w:tcW w:w="3870" w:type="dxa"/>
          </w:tcPr>
          <w:p>
            <w:pPr>
              <w:pStyle w:val="TableParagraph"/>
              <w:spacing w:before="107"/>
              <w:ind w:left="171"/>
              <w:rPr>
                <w:sz w:val="14"/>
              </w:rPr>
            </w:pPr>
            <w:r>
              <w:rPr>
                <w:w w:val="105"/>
                <w:sz w:val="14"/>
              </w:rPr>
              <w:t>9) TOTAL, ASSETS</w:t>
            </w:r>
          </w:p>
        </w:tc>
        <w:tc>
          <w:tcPr>
            <w:tcW w:w="1261" w:type="dxa"/>
          </w:tcPr>
          <w:p>
            <w:pPr>
              <w:pStyle w:val="TableParagraph"/>
              <w:rPr>
                <w:rFonts w:ascii="Times New Roman"/>
                <w:sz w:val="14"/>
              </w:rPr>
            </w:pPr>
          </w:p>
        </w:tc>
        <w:tc>
          <w:tcPr>
            <w:tcW w:w="1127" w:type="dxa"/>
          </w:tcPr>
          <w:p>
            <w:pPr>
              <w:pStyle w:val="TableParagraph"/>
              <w:rPr>
                <w:rFonts w:ascii="Times New Roman"/>
                <w:sz w:val="14"/>
              </w:rPr>
            </w:pPr>
          </w:p>
        </w:tc>
        <w:tc>
          <w:tcPr>
            <w:tcW w:w="1429" w:type="dxa"/>
          </w:tcPr>
          <w:p>
            <w:pPr>
              <w:pStyle w:val="TableParagraph"/>
              <w:spacing w:before="107"/>
              <w:ind w:right="48"/>
              <w:jc w:val="right"/>
              <w:rPr>
                <w:sz w:val="14"/>
              </w:rPr>
            </w:pPr>
            <w:r>
              <w:rPr>
                <w:sz w:val="14"/>
              </w:rPr>
              <w:t>0.00</w:t>
            </w:r>
          </w:p>
        </w:tc>
        <w:tc>
          <w:tcPr>
            <w:tcW w:w="1504" w:type="dxa"/>
          </w:tcPr>
          <w:p>
            <w:pPr>
              <w:pStyle w:val="TableParagraph"/>
              <w:rPr>
                <w:rFonts w:ascii="Times New Roman"/>
                <w:sz w:val="14"/>
              </w:rPr>
            </w:pPr>
          </w:p>
        </w:tc>
        <w:tc>
          <w:tcPr>
            <w:tcW w:w="1207" w:type="dxa"/>
          </w:tcPr>
          <w:p>
            <w:pPr>
              <w:pStyle w:val="TableParagraph"/>
              <w:rPr>
                <w:rFonts w:ascii="Times New Roman"/>
                <w:sz w:val="14"/>
              </w:rPr>
            </w:pPr>
          </w:p>
        </w:tc>
      </w:tr>
      <w:tr>
        <w:trPr>
          <w:trHeight w:val="259" w:hRule="atLeast"/>
        </w:trPr>
        <w:tc>
          <w:tcPr>
            <w:tcW w:w="3870" w:type="dxa"/>
          </w:tcPr>
          <w:p>
            <w:pPr>
              <w:pStyle w:val="TableParagraph"/>
              <w:spacing w:line="140" w:lineRule="exact" w:before="99"/>
              <w:ind w:left="50"/>
              <w:rPr>
                <w:b/>
                <w:sz w:val="14"/>
              </w:rPr>
            </w:pPr>
            <w:r>
              <w:rPr>
                <w:b/>
                <w:w w:val="105"/>
                <w:sz w:val="14"/>
              </w:rPr>
              <w:t>H. DEFERRED OUTFLOWS OF RESOURCES</w:t>
            </w:r>
          </w:p>
        </w:tc>
        <w:tc>
          <w:tcPr>
            <w:tcW w:w="6528" w:type="dxa"/>
            <w:gridSpan w:val="5"/>
          </w:tcPr>
          <w:p>
            <w:pPr>
              <w:pStyle w:val="TableParagraph"/>
              <w:rPr>
                <w:rFonts w:ascii="Times New Roman"/>
                <w:sz w:val="14"/>
              </w:rPr>
            </w:pPr>
          </w:p>
        </w:tc>
      </w:tr>
      <w:tr>
        <w:trPr>
          <w:trHeight w:val="470" w:hRule="atLeast"/>
        </w:trPr>
        <w:tc>
          <w:tcPr>
            <w:tcW w:w="3870" w:type="dxa"/>
          </w:tcPr>
          <w:p>
            <w:pPr>
              <w:pStyle w:val="TableParagraph"/>
              <w:rPr>
                <w:sz w:val="18"/>
              </w:rPr>
            </w:pPr>
          </w:p>
          <w:p>
            <w:pPr>
              <w:pStyle w:val="TableParagraph"/>
              <w:ind w:left="213"/>
              <w:rPr>
                <w:sz w:val="14"/>
              </w:rPr>
            </w:pPr>
            <w:r>
              <w:rPr>
                <w:w w:val="105"/>
                <w:sz w:val="14"/>
              </w:rPr>
              <w:t>1) Deferred Outflows of Resources</w:t>
            </w:r>
          </w:p>
        </w:tc>
        <w:tc>
          <w:tcPr>
            <w:tcW w:w="2388" w:type="dxa"/>
            <w:gridSpan w:val="2"/>
          </w:tcPr>
          <w:p>
            <w:pPr>
              <w:pStyle w:val="TableParagraph"/>
              <w:rPr>
                <w:sz w:val="18"/>
              </w:rPr>
            </w:pPr>
          </w:p>
          <w:p>
            <w:pPr>
              <w:pStyle w:val="TableParagraph"/>
              <w:ind w:right="383"/>
              <w:jc w:val="right"/>
              <w:rPr>
                <w:sz w:val="14"/>
              </w:rPr>
            </w:pPr>
            <w:r>
              <w:rPr>
                <w:sz w:val="14"/>
              </w:rPr>
              <w:t>9490</w:t>
            </w:r>
          </w:p>
        </w:tc>
        <w:tc>
          <w:tcPr>
            <w:tcW w:w="4140" w:type="dxa"/>
            <w:gridSpan w:val="3"/>
          </w:tcPr>
          <w:p>
            <w:pPr>
              <w:pStyle w:val="TableParagraph"/>
              <w:rPr>
                <w:sz w:val="18"/>
              </w:rPr>
            </w:pPr>
          </w:p>
          <w:p>
            <w:pPr>
              <w:pStyle w:val="TableParagraph"/>
              <w:ind w:left="1100"/>
              <w:rPr>
                <w:sz w:val="14"/>
              </w:rPr>
            </w:pPr>
            <w:r>
              <w:rPr>
                <w:w w:val="105"/>
                <w:sz w:val="14"/>
              </w:rPr>
              <w:t>0.00</w:t>
            </w:r>
          </w:p>
        </w:tc>
      </w:tr>
      <w:tr>
        <w:trPr>
          <w:trHeight w:val="262" w:hRule="atLeast"/>
        </w:trPr>
        <w:tc>
          <w:tcPr>
            <w:tcW w:w="3870" w:type="dxa"/>
          </w:tcPr>
          <w:p>
            <w:pPr>
              <w:pStyle w:val="TableParagraph"/>
              <w:spacing w:line="142" w:lineRule="exact" w:before="101"/>
              <w:ind w:left="213"/>
              <w:rPr>
                <w:sz w:val="14"/>
              </w:rPr>
            </w:pPr>
            <w:r>
              <w:rPr>
                <w:w w:val="105"/>
                <w:sz w:val="14"/>
              </w:rPr>
              <w:t>2) TOTAL, DEFERRED OUTFLOWS</w:t>
            </w:r>
          </w:p>
        </w:tc>
        <w:tc>
          <w:tcPr>
            <w:tcW w:w="2388" w:type="dxa"/>
            <w:gridSpan w:val="2"/>
          </w:tcPr>
          <w:p>
            <w:pPr>
              <w:pStyle w:val="TableParagraph"/>
              <w:rPr>
                <w:rFonts w:ascii="Times New Roman"/>
                <w:sz w:val="14"/>
              </w:rPr>
            </w:pPr>
          </w:p>
        </w:tc>
        <w:tc>
          <w:tcPr>
            <w:tcW w:w="4140" w:type="dxa"/>
            <w:gridSpan w:val="3"/>
          </w:tcPr>
          <w:p>
            <w:pPr>
              <w:pStyle w:val="TableParagraph"/>
              <w:spacing w:line="142" w:lineRule="exact" w:before="101"/>
              <w:ind w:left="1100"/>
              <w:rPr>
                <w:sz w:val="14"/>
              </w:rPr>
            </w:pPr>
            <w:r>
              <w:rPr>
                <w:w w:val="105"/>
                <w:sz w:val="14"/>
              </w:rPr>
              <w:t>0.00</w:t>
            </w:r>
          </w:p>
        </w:tc>
      </w:tr>
    </w:tbl>
    <w:p>
      <w:pPr>
        <w:pStyle w:val="BodyText"/>
        <w:spacing w:before="10"/>
        <w:rPr>
          <w:sz w:val="9"/>
        </w:rPr>
      </w:pPr>
    </w:p>
    <w:p>
      <w:pPr>
        <w:pStyle w:val="Heading8"/>
        <w:numPr>
          <w:ilvl w:val="0"/>
          <w:numId w:val="13"/>
        </w:numPr>
        <w:tabs>
          <w:tab w:pos="600" w:val="left" w:leader="none"/>
        </w:tabs>
        <w:spacing w:line="240" w:lineRule="auto" w:before="99" w:after="0"/>
        <w:ind w:left="599" w:right="0" w:hanging="122"/>
        <w:jc w:val="left"/>
      </w:pPr>
      <w:r>
        <w:rPr/>
        <w:pict>
          <v:group style="position:absolute;margin-left:30.120001pt;margin-top:-375.4841pt;width:538pt;height:600.85pt;mso-position-horizontal-relative:page;mso-position-vertical-relative:paragraph;z-index:-314529792" coordorigin="602,-7510" coordsize="10760,12017">
            <v:shape style="position:absolute;left:602;top:-7510;width:3646;height:790" type="#_x0000_t75" stroked="false">
              <v:imagedata r:id="rId406" o:title=""/>
            </v:shape>
            <v:shape style="position:absolute;left:6787;top:-4865;width:1512;height:1824" coordorigin="6787,-4865" coordsize="1512,1824" path="m8299,-3406l6787,-3406,6787,-3041,8299,-3041,8299,-3406m8299,-4865l6787,-4865,6787,-4500,8299,-4500,8299,-4865e" filled="true" fillcolor="#dfdfdf" stroked="false">
              <v:path arrowok="t"/>
              <v:fill type="solid"/>
            </v:shape>
            <v:shape style="position:absolute;left:4240;top:-7510;width:7121;height:12017" type="#_x0000_t75" stroked="false">
              <v:imagedata r:id="rId449" o:title=""/>
            </v:shape>
            <v:shape style="position:absolute;left:602;top:-6735;width:816;height:5892" type="#_x0000_t75" stroked="false">
              <v:imagedata r:id="rId450" o:title=""/>
            </v:shape>
            <v:shape style="position:absolute;left:1411;top:-1217;width:2837;height:22" type="#_x0000_t75" stroked="false">
              <v:imagedata r:id="rId451" o:title=""/>
            </v:shape>
            <v:line style="position:absolute" from="1412,-1205" to="1412,-847" stroked="true" strokeweight=".360003pt" strokecolor="#ffffff">
              <v:stroke dashstyle="solid"/>
            </v:line>
            <v:shape style="position:absolute;left:602;top:-845;width:3646;height:744" type="#_x0000_t75" stroked="false">
              <v:imagedata r:id="rId452" o:title=""/>
            </v:shape>
            <v:line style="position:absolute" from="1412,-110" to="1412,259" stroked="true" strokeweight=".360003pt" strokecolor="#ffffff">
              <v:stroke dashstyle="solid"/>
            </v:line>
            <v:shape style="position:absolute;left:602;top:-116;width:3646;height:2580" type="#_x0000_t75" stroked="false">
              <v:imagedata r:id="rId453" o:title=""/>
            </v:shape>
            <v:line style="position:absolute" from="1412,2455" to="1412,2810" stroked="true" strokeweight=".360003pt" strokecolor="#ffffff">
              <v:stroke dashstyle="solid"/>
            </v:line>
            <v:shape style="position:absolute;left:602;top:2450;width:3646;height:1107" type="#_x0000_t75" stroked="false">
              <v:imagedata r:id="rId454" o:title=""/>
            </v:shape>
            <v:line style="position:absolute" from="1412,3547" to="1412,3917" stroked="true" strokeweight=".360003pt" strokecolor="#ffffff">
              <v:stroke dashstyle="solid"/>
            </v:line>
            <v:shape style="position:absolute;left:602;top:3542;width:3646;height:965" type="#_x0000_t75" stroked="false">
              <v:imagedata r:id="rId455" o:title=""/>
            </v:shape>
            <w10:wrap type="none"/>
          </v:group>
        </w:pict>
      </w:r>
      <w:r>
        <w:rPr>
          <w:w w:val="105"/>
        </w:rPr>
        <w:t>LIABILITIES</w:t>
      </w:r>
    </w:p>
    <w:p>
      <w:pPr>
        <w:pStyle w:val="BodyText"/>
        <w:rPr>
          <w:b/>
          <w:sz w:val="18"/>
        </w:rPr>
      </w:pPr>
    </w:p>
    <w:tbl>
      <w:tblPr>
        <w:tblW w:w="0" w:type="auto"/>
        <w:jc w:val="left"/>
        <w:tblInd w:w="5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72"/>
        <w:gridCol w:w="2305"/>
        <w:gridCol w:w="1512"/>
      </w:tblGrid>
      <w:tr>
        <w:trPr>
          <w:trHeight w:val="163" w:hRule="atLeast"/>
        </w:trPr>
        <w:tc>
          <w:tcPr>
            <w:tcW w:w="3772" w:type="dxa"/>
          </w:tcPr>
          <w:p>
            <w:pPr>
              <w:pStyle w:val="TableParagraph"/>
              <w:spacing w:line="144" w:lineRule="exact"/>
              <w:ind w:left="91"/>
              <w:rPr>
                <w:sz w:val="14"/>
              </w:rPr>
            </w:pPr>
            <w:r>
              <w:rPr>
                <w:w w:val="105"/>
                <w:sz w:val="14"/>
              </w:rPr>
              <w:t>1) Accounts Payable</w:t>
            </w:r>
          </w:p>
        </w:tc>
        <w:tc>
          <w:tcPr>
            <w:tcW w:w="2305" w:type="dxa"/>
          </w:tcPr>
          <w:p>
            <w:pPr>
              <w:pStyle w:val="TableParagraph"/>
              <w:spacing w:line="144" w:lineRule="exact"/>
              <w:ind w:right="323"/>
              <w:jc w:val="right"/>
              <w:rPr>
                <w:sz w:val="14"/>
              </w:rPr>
            </w:pPr>
            <w:r>
              <w:rPr>
                <w:sz w:val="14"/>
              </w:rPr>
              <w:t>9500</w:t>
            </w:r>
          </w:p>
        </w:tc>
        <w:tc>
          <w:tcPr>
            <w:tcW w:w="1512" w:type="dxa"/>
          </w:tcPr>
          <w:p>
            <w:pPr>
              <w:pStyle w:val="TableParagraph"/>
              <w:spacing w:line="144" w:lineRule="exact"/>
              <w:ind w:right="71"/>
              <w:jc w:val="right"/>
              <w:rPr>
                <w:sz w:val="14"/>
              </w:rPr>
            </w:pPr>
            <w:r>
              <w:rPr>
                <w:sz w:val="14"/>
              </w:rPr>
              <w:t>0.00</w:t>
            </w:r>
          </w:p>
        </w:tc>
      </w:tr>
      <w:tr>
        <w:trPr>
          <w:trHeight w:val="364" w:hRule="atLeast"/>
        </w:trPr>
        <w:tc>
          <w:tcPr>
            <w:tcW w:w="3772" w:type="dxa"/>
          </w:tcPr>
          <w:p>
            <w:pPr>
              <w:pStyle w:val="TableParagraph"/>
              <w:spacing w:before="4"/>
              <w:rPr>
                <w:b/>
                <w:sz w:val="17"/>
              </w:rPr>
            </w:pPr>
          </w:p>
          <w:p>
            <w:pPr>
              <w:pStyle w:val="TableParagraph"/>
              <w:spacing w:line="145" w:lineRule="exact"/>
              <w:ind w:left="91"/>
              <w:rPr>
                <w:sz w:val="14"/>
              </w:rPr>
            </w:pPr>
            <w:r>
              <w:rPr>
                <w:w w:val="105"/>
                <w:sz w:val="14"/>
              </w:rPr>
              <w:t>2) Due to Grantor Governments</w:t>
            </w:r>
          </w:p>
        </w:tc>
        <w:tc>
          <w:tcPr>
            <w:tcW w:w="2305" w:type="dxa"/>
          </w:tcPr>
          <w:p>
            <w:pPr>
              <w:pStyle w:val="TableParagraph"/>
              <w:spacing w:before="4"/>
              <w:rPr>
                <w:b/>
                <w:sz w:val="17"/>
              </w:rPr>
            </w:pPr>
          </w:p>
          <w:p>
            <w:pPr>
              <w:pStyle w:val="TableParagraph"/>
              <w:spacing w:line="145" w:lineRule="exact"/>
              <w:ind w:right="323"/>
              <w:jc w:val="right"/>
              <w:rPr>
                <w:sz w:val="14"/>
              </w:rPr>
            </w:pPr>
            <w:r>
              <w:rPr>
                <w:sz w:val="14"/>
              </w:rPr>
              <w:t>9590</w:t>
            </w:r>
          </w:p>
        </w:tc>
        <w:tc>
          <w:tcPr>
            <w:tcW w:w="1512" w:type="dxa"/>
            <w:shd w:val="clear" w:color="auto" w:fill="DFDFDF"/>
          </w:tcPr>
          <w:p>
            <w:pPr>
              <w:pStyle w:val="TableParagraph"/>
              <w:spacing w:before="4"/>
              <w:rPr>
                <w:b/>
                <w:sz w:val="17"/>
              </w:rPr>
            </w:pPr>
          </w:p>
          <w:p>
            <w:pPr>
              <w:pStyle w:val="TableParagraph"/>
              <w:spacing w:line="145" w:lineRule="exact"/>
              <w:ind w:right="71"/>
              <w:jc w:val="right"/>
              <w:rPr>
                <w:sz w:val="14"/>
              </w:rPr>
            </w:pPr>
            <w:r>
              <w:rPr>
                <w:sz w:val="14"/>
              </w:rPr>
              <w:t>0.00</w:t>
            </w:r>
          </w:p>
        </w:tc>
      </w:tr>
      <w:tr>
        <w:trPr>
          <w:trHeight w:val="463" w:hRule="atLeast"/>
        </w:trPr>
        <w:tc>
          <w:tcPr>
            <w:tcW w:w="3772" w:type="dxa"/>
          </w:tcPr>
          <w:p>
            <w:pPr>
              <w:pStyle w:val="TableParagraph"/>
              <w:spacing w:before="4"/>
              <w:rPr>
                <w:b/>
                <w:sz w:val="17"/>
              </w:rPr>
            </w:pPr>
          </w:p>
          <w:p>
            <w:pPr>
              <w:pStyle w:val="TableParagraph"/>
              <w:ind w:left="91"/>
              <w:rPr>
                <w:sz w:val="14"/>
              </w:rPr>
            </w:pPr>
            <w:r>
              <w:rPr>
                <w:w w:val="105"/>
                <w:sz w:val="14"/>
              </w:rPr>
              <w:t>3) Due to Other Funds</w:t>
            </w:r>
          </w:p>
        </w:tc>
        <w:tc>
          <w:tcPr>
            <w:tcW w:w="2305" w:type="dxa"/>
          </w:tcPr>
          <w:p>
            <w:pPr>
              <w:pStyle w:val="TableParagraph"/>
              <w:spacing w:before="4"/>
              <w:rPr>
                <w:b/>
                <w:sz w:val="17"/>
              </w:rPr>
            </w:pPr>
          </w:p>
          <w:p>
            <w:pPr>
              <w:pStyle w:val="TableParagraph"/>
              <w:ind w:right="323"/>
              <w:jc w:val="right"/>
              <w:rPr>
                <w:sz w:val="14"/>
              </w:rPr>
            </w:pPr>
            <w:r>
              <w:rPr>
                <w:sz w:val="14"/>
              </w:rPr>
              <w:t>9610</w:t>
            </w:r>
          </w:p>
        </w:tc>
        <w:tc>
          <w:tcPr>
            <w:tcW w:w="1512" w:type="dxa"/>
          </w:tcPr>
          <w:p>
            <w:pPr>
              <w:pStyle w:val="TableParagraph"/>
              <w:spacing w:before="4"/>
              <w:rPr>
                <w:b/>
                <w:sz w:val="17"/>
              </w:rPr>
            </w:pPr>
          </w:p>
          <w:p>
            <w:pPr>
              <w:pStyle w:val="TableParagraph"/>
              <w:ind w:right="71"/>
              <w:jc w:val="right"/>
              <w:rPr>
                <w:sz w:val="14"/>
              </w:rPr>
            </w:pPr>
            <w:r>
              <w:rPr>
                <w:sz w:val="14"/>
              </w:rPr>
              <w:t>0.00</w:t>
            </w:r>
          </w:p>
        </w:tc>
      </w:tr>
      <w:tr>
        <w:trPr>
          <w:trHeight w:val="265" w:hRule="atLeast"/>
        </w:trPr>
        <w:tc>
          <w:tcPr>
            <w:tcW w:w="3772" w:type="dxa"/>
          </w:tcPr>
          <w:p>
            <w:pPr>
              <w:pStyle w:val="TableParagraph"/>
              <w:spacing w:line="145" w:lineRule="exact" w:before="101"/>
              <w:ind w:left="91"/>
              <w:rPr>
                <w:sz w:val="14"/>
              </w:rPr>
            </w:pPr>
            <w:r>
              <w:rPr>
                <w:w w:val="105"/>
                <w:sz w:val="14"/>
              </w:rPr>
              <w:t>4) Current Loans</w:t>
            </w:r>
          </w:p>
        </w:tc>
        <w:tc>
          <w:tcPr>
            <w:tcW w:w="2305" w:type="dxa"/>
          </w:tcPr>
          <w:p>
            <w:pPr>
              <w:pStyle w:val="TableParagraph"/>
              <w:spacing w:line="145" w:lineRule="exact" w:before="101"/>
              <w:ind w:right="323"/>
              <w:jc w:val="right"/>
              <w:rPr>
                <w:sz w:val="14"/>
              </w:rPr>
            </w:pPr>
            <w:r>
              <w:rPr>
                <w:sz w:val="14"/>
              </w:rPr>
              <w:t>9640</w:t>
            </w:r>
          </w:p>
        </w:tc>
        <w:tc>
          <w:tcPr>
            <w:tcW w:w="1512" w:type="dxa"/>
          </w:tcPr>
          <w:p>
            <w:pPr>
              <w:pStyle w:val="TableParagraph"/>
              <w:spacing w:line="145" w:lineRule="exact" w:before="101"/>
              <w:ind w:right="71"/>
              <w:jc w:val="right"/>
              <w:rPr>
                <w:sz w:val="14"/>
              </w:rPr>
            </w:pPr>
            <w:r>
              <w:rPr>
                <w:sz w:val="14"/>
              </w:rPr>
              <w:t>0.00</w:t>
            </w:r>
          </w:p>
        </w:tc>
      </w:tr>
      <w:tr>
        <w:trPr>
          <w:trHeight w:val="364" w:hRule="atLeast"/>
        </w:trPr>
        <w:tc>
          <w:tcPr>
            <w:tcW w:w="3772" w:type="dxa"/>
          </w:tcPr>
          <w:p>
            <w:pPr>
              <w:pStyle w:val="TableParagraph"/>
              <w:spacing w:before="4"/>
              <w:rPr>
                <w:b/>
                <w:sz w:val="17"/>
              </w:rPr>
            </w:pPr>
          </w:p>
          <w:p>
            <w:pPr>
              <w:pStyle w:val="TableParagraph"/>
              <w:spacing w:line="145" w:lineRule="exact"/>
              <w:ind w:left="91"/>
              <w:rPr>
                <w:sz w:val="14"/>
              </w:rPr>
            </w:pPr>
            <w:r>
              <w:rPr>
                <w:w w:val="105"/>
                <w:sz w:val="14"/>
              </w:rPr>
              <w:t>5) Unearned Revenues</w:t>
            </w:r>
          </w:p>
        </w:tc>
        <w:tc>
          <w:tcPr>
            <w:tcW w:w="2305" w:type="dxa"/>
          </w:tcPr>
          <w:p>
            <w:pPr>
              <w:pStyle w:val="TableParagraph"/>
              <w:spacing w:before="4"/>
              <w:rPr>
                <w:b/>
                <w:sz w:val="17"/>
              </w:rPr>
            </w:pPr>
          </w:p>
          <w:p>
            <w:pPr>
              <w:pStyle w:val="TableParagraph"/>
              <w:spacing w:line="145" w:lineRule="exact"/>
              <w:ind w:right="323"/>
              <w:jc w:val="right"/>
              <w:rPr>
                <w:sz w:val="14"/>
              </w:rPr>
            </w:pPr>
            <w:r>
              <w:rPr>
                <w:sz w:val="14"/>
              </w:rPr>
              <w:t>9650</w:t>
            </w:r>
          </w:p>
        </w:tc>
        <w:tc>
          <w:tcPr>
            <w:tcW w:w="1512" w:type="dxa"/>
            <w:shd w:val="clear" w:color="auto" w:fill="DFDFDF"/>
          </w:tcPr>
          <w:p>
            <w:pPr>
              <w:pStyle w:val="TableParagraph"/>
              <w:spacing w:before="4"/>
              <w:rPr>
                <w:b/>
                <w:sz w:val="17"/>
              </w:rPr>
            </w:pPr>
          </w:p>
          <w:p>
            <w:pPr>
              <w:pStyle w:val="TableParagraph"/>
              <w:spacing w:line="145" w:lineRule="exact"/>
              <w:ind w:right="71"/>
              <w:jc w:val="right"/>
              <w:rPr>
                <w:sz w:val="14"/>
              </w:rPr>
            </w:pPr>
            <w:r>
              <w:rPr>
                <w:sz w:val="14"/>
              </w:rPr>
              <w:t>0.00</w:t>
            </w:r>
          </w:p>
        </w:tc>
      </w:tr>
      <w:tr>
        <w:trPr>
          <w:trHeight w:val="361" w:hRule="atLeast"/>
        </w:trPr>
        <w:tc>
          <w:tcPr>
            <w:tcW w:w="3772" w:type="dxa"/>
          </w:tcPr>
          <w:p>
            <w:pPr>
              <w:pStyle w:val="TableParagraph"/>
              <w:spacing w:before="4"/>
              <w:rPr>
                <w:b/>
                <w:sz w:val="17"/>
              </w:rPr>
            </w:pPr>
          </w:p>
          <w:p>
            <w:pPr>
              <w:pStyle w:val="TableParagraph"/>
              <w:spacing w:line="142" w:lineRule="exact"/>
              <w:ind w:left="50"/>
              <w:rPr>
                <w:sz w:val="14"/>
              </w:rPr>
            </w:pPr>
            <w:r>
              <w:rPr>
                <w:w w:val="105"/>
                <w:sz w:val="14"/>
              </w:rPr>
              <w:t>6) TOTAL, LIABILITIES</w:t>
            </w:r>
          </w:p>
        </w:tc>
        <w:tc>
          <w:tcPr>
            <w:tcW w:w="2305" w:type="dxa"/>
          </w:tcPr>
          <w:p>
            <w:pPr>
              <w:pStyle w:val="TableParagraph"/>
              <w:rPr>
                <w:rFonts w:ascii="Times New Roman"/>
                <w:sz w:val="14"/>
              </w:rPr>
            </w:pPr>
          </w:p>
        </w:tc>
        <w:tc>
          <w:tcPr>
            <w:tcW w:w="1512" w:type="dxa"/>
          </w:tcPr>
          <w:p>
            <w:pPr>
              <w:pStyle w:val="TableParagraph"/>
              <w:spacing w:before="4"/>
              <w:rPr>
                <w:b/>
                <w:sz w:val="17"/>
              </w:rPr>
            </w:pPr>
          </w:p>
          <w:p>
            <w:pPr>
              <w:pStyle w:val="TableParagraph"/>
              <w:spacing w:line="142" w:lineRule="exact"/>
              <w:ind w:right="71"/>
              <w:jc w:val="right"/>
              <w:rPr>
                <w:sz w:val="14"/>
              </w:rPr>
            </w:pPr>
            <w:r>
              <w:rPr>
                <w:sz w:val="14"/>
              </w:rPr>
              <w:t>0.00</w:t>
            </w:r>
          </w:p>
        </w:tc>
      </w:tr>
    </w:tbl>
    <w:p>
      <w:pPr>
        <w:pStyle w:val="BodyText"/>
        <w:spacing w:before="2"/>
        <w:rPr>
          <w:b/>
          <w:sz w:val="17"/>
        </w:rPr>
      </w:pPr>
    </w:p>
    <w:p>
      <w:pPr>
        <w:pStyle w:val="ListParagraph"/>
        <w:numPr>
          <w:ilvl w:val="0"/>
          <w:numId w:val="13"/>
        </w:numPr>
        <w:tabs>
          <w:tab w:pos="640" w:val="left" w:leader="none"/>
        </w:tabs>
        <w:spacing w:line="240" w:lineRule="auto" w:before="0" w:after="0"/>
        <w:ind w:left="639" w:right="0" w:hanging="162"/>
        <w:jc w:val="left"/>
        <w:rPr>
          <w:b/>
          <w:sz w:val="14"/>
        </w:rPr>
      </w:pPr>
      <w:r>
        <w:rPr>
          <w:b/>
          <w:w w:val="105"/>
          <w:sz w:val="14"/>
        </w:rPr>
        <w:t>DEFERRED INFLOWS OF</w:t>
      </w:r>
      <w:r>
        <w:rPr>
          <w:b/>
          <w:spacing w:val="-3"/>
          <w:w w:val="105"/>
          <w:sz w:val="14"/>
        </w:rPr>
        <w:t> </w:t>
      </w:r>
      <w:r>
        <w:rPr>
          <w:b/>
          <w:w w:val="105"/>
          <w:sz w:val="14"/>
        </w:rPr>
        <w:t>RESOURCES</w:t>
      </w:r>
    </w:p>
    <w:p>
      <w:pPr>
        <w:pStyle w:val="BodyText"/>
        <w:spacing w:before="4"/>
        <w:rPr>
          <w:b/>
          <w:sz w:val="9"/>
        </w:rPr>
      </w:pPr>
    </w:p>
    <w:p>
      <w:pPr>
        <w:pStyle w:val="Heading9"/>
        <w:numPr>
          <w:ilvl w:val="1"/>
          <w:numId w:val="13"/>
        </w:numPr>
        <w:tabs>
          <w:tab w:pos="809" w:val="left" w:leader="none"/>
          <w:tab w:pos="5983" w:val="left" w:leader="none"/>
          <w:tab w:pos="7786" w:val="left" w:leader="none"/>
        </w:tabs>
        <w:spacing w:line="240" w:lineRule="auto" w:before="99" w:after="0"/>
        <w:ind w:left="808" w:right="0" w:hanging="168"/>
        <w:jc w:val="left"/>
      </w:pPr>
      <w:r>
        <w:rPr>
          <w:w w:val="105"/>
        </w:rPr>
        <w:t>Deferred Inflows</w:t>
      </w:r>
      <w:r>
        <w:rPr>
          <w:spacing w:val="-24"/>
          <w:w w:val="105"/>
        </w:rPr>
        <w:t> </w:t>
      </w:r>
      <w:r>
        <w:rPr>
          <w:w w:val="105"/>
        </w:rPr>
        <w:t>of</w:t>
      </w:r>
      <w:r>
        <w:rPr>
          <w:spacing w:val="-11"/>
          <w:w w:val="105"/>
        </w:rPr>
        <w:t> </w:t>
      </w:r>
      <w:r>
        <w:rPr>
          <w:w w:val="105"/>
        </w:rPr>
        <w:t>Resources</w:t>
        <w:tab/>
        <w:t>9690</w:t>
        <w:tab/>
        <w:t>0.00</w:t>
      </w:r>
    </w:p>
    <w:p>
      <w:pPr>
        <w:pStyle w:val="BodyText"/>
        <w:spacing w:before="2"/>
        <w:rPr>
          <w:sz w:val="9"/>
        </w:rPr>
      </w:pPr>
    </w:p>
    <w:p>
      <w:pPr>
        <w:pStyle w:val="ListParagraph"/>
        <w:numPr>
          <w:ilvl w:val="1"/>
          <w:numId w:val="13"/>
        </w:numPr>
        <w:tabs>
          <w:tab w:pos="809" w:val="left" w:leader="none"/>
          <w:tab w:pos="7786" w:val="left" w:leader="none"/>
        </w:tabs>
        <w:spacing w:line="240" w:lineRule="auto" w:before="98" w:after="0"/>
        <w:ind w:left="808" w:right="0" w:hanging="168"/>
        <w:jc w:val="left"/>
        <w:rPr>
          <w:sz w:val="14"/>
        </w:rPr>
      </w:pPr>
      <w:r>
        <w:rPr>
          <w:w w:val="105"/>
          <w:sz w:val="14"/>
        </w:rPr>
        <w:t>TOTAL,</w:t>
      </w:r>
      <w:r>
        <w:rPr>
          <w:spacing w:val="-9"/>
          <w:w w:val="105"/>
          <w:sz w:val="14"/>
        </w:rPr>
        <w:t> </w:t>
      </w:r>
      <w:r>
        <w:rPr>
          <w:w w:val="105"/>
          <w:sz w:val="14"/>
        </w:rPr>
        <w:t>DEFERRED</w:t>
      </w:r>
      <w:r>
        <w:rPr>
          <w:spacing w:val="-10"/>
          <w:w w:val="105"/>
          <w:sz w:val="14"/>
        </w:rPr>
        <w:t> </w:t>
      </w:r>
      <w:r>
        <w:rPr>
          <w:w w:val="105"/>
          <w:sz w:val="14"/>
        </w:rPr>
        <w:t>INFLOWS</w:t>
        <w:tab/>
        <w:t>0.00</w:t>
      </w:r>
    </w:p>
    <w:p>
      <w:pPr>
        <w:pStyle w:val="BodyText"/>
        <w:rPr>
          <w:sz w:val="10"/>
        </w:rPr>
      </w:pPr>
    </w:p>
    <w:p>
      <w:pPr>
        <w:pStyle w:val="ListParagraph"/>
        <w:numPr>
          <w:ilvl w:val="0"/>
          <w:numId w:val="13"/>
        </w:numPr>
        <w:tabs>
          <w:tab w:pos="663" w:val="left" w:leader="none"/>
        </w:tabs>
        <w:spacing w:line="240" w:lineRule="auto" w:before="99" w:after="0"/>
        <w:ind w:left="662" w:right="0" w:hanging="185"/>
        <w:jc w:val="left"/>
        <w:rPr>
          <w:b/>
          <w:sz w:val="14"/>
        </w:rPr>
      </w:pPr>
      <w:r>
        <w:rPr>
          <w:b/>
          <w:w w:val="105"/>
          <w:sz w:val="14"/>
        </w:rPr>
        <w:t>FUND</w:t>
      </w:r>
      <w:r>
        <w:rPr>
          <w:b/>
          <w:spacing w:val="-4"/>
          <w:w w:val="105"/>
          <w:sz w:val="14"/>
        </w:rPr>
        <w:t> </w:t>
      </w:r>
      <w:r>
        <w:rPr>
          <w:b/>
          <w:w w:val="105"/>
          <w:sz w:val="14"/>
        </w:rPr>
        <w:t>EQUITY</w:t>
      </w:r>
    </w:p>
    <w:p>
      <w:pPr>
        <w:pStyle w:val="BodyText"/>
        <w:spacing w:before="4"/>
        <w:rPr>
          <w:b/>
          <w:sz w:val="10"/>
        </w:rPr>
      </w:pPr>
    </w:p>
    <w:p>
      <w:pPr>
        <w:spacing w:before="99"/>
        <w:ind w:left="641" w:right="0" w:firstLine="0"/>
        <w:jc w:val="left"/>
        <w:rPr>
          <w:sz w:val="14"/>
        </w:rPr>
      </w:pPr>
      <w:r>
        <w:rPr>
          <w:w w:val="105"/>
          <w:sz w:val="14"/>
        </w:rPr>
        <w:t>Ending Fund Balance, June 30</w:t>
      </w:r>
    </w:p>
    <w:p>
      <w:pPr>
        <w:tabs>
          <w:tab w:pos="7786" w:val="left" w:leader="none"/>
        </w:tabs>
        <w:spacing w:before="36"/>
        <w:ind w:left="641" w:right="0" w:firstLine="0"/>
        <w:jc w:val="left"/>
        <w:rPr>
          <w:sz w:val="14"/>
        </w:rPr>
      </w:pPr>
      <w:r>
        <w:rPr>
          <w:w w:val="105"/>
          <w:sz w:val="14"/>
        </w:rPr>
        <w:t>(G9 + H2) - (I6</w:t>
      </w:r>
      <w:r>
        <w:rPr>
          <w:spacing w:val="-21"/>
          <w:w w:val="105"/>
          <w:sz w:val="14"/>
        </w:rPr>
        <w:t> </w:t>
      </w:r>
      <w:r>
        <w:rPr>
          <w:w w:val="105"/>
          <w:sz w:val="14"/>
        </w:rPr>
        <w:t>+</w:t>
      </w:r>
      <w:r>
        <w:rPr>
          <w:spacing w:val="-4"/>
          <w:w w:val="105"/>
          <w:sz w:val="14"/>
        </w:rPr>
        <w:t> </w:t>
      </w:r>
      <w:r>
        <w:rPr>
          <w:w w:val="105"/>
          <w:sz w:val="14"/>
        </w:rPr>
        <w:t>J2)</w:t>
        <w:tab/>
        <w:t>0.00</w:t>
      </w:r>
    </w:p>
    <w:p>
      <w:pPr>
        <w:spacing w:after="0"/>
        <w:jc w:val="left"/>
        <w:rPr>
          <w:sz w:val="14"/>
        </w:rPr>
        <w:sectPr>
          <w:type w:val="continuous"/>
          <w:pgSz w:w="12240" w:h="15840"/>
          <w:pgMar w:top="1500" w:bottom="840" w:left="160" w:right="180"/>
        </w:sectPr>
      </w:pPr>
    </w:p>
    <w:p>
      <w:pPr>
        <w:spacing w:line="232" w:lineRule="auto" w:before="1"/>
        <w:ind w:left="308" w:right="0" w:firstLine="0"/>
        <w:jc w:val="left"/>
        <w:rPr>
          <w:sz w:val="18"/>
        </w:rPr>
      </w:pPr>
      <w:r>
        <w:rPr/>
        <w:pict>
          <v:group style="position:absolute;margin-left:30.120001pt;margin-top:36.318634pt;width:538pt;height:71.8pt;mso-position-horizontal-relative:page;mso-position-vertical-relative:paragraph;z-index:-314528768" coordorigin="602,726" coordsize="10760,1436">
            <v:shape style="position:absolute;left:602;top:726;width:3646;height:790" type="#_x0000_t75" stroked="false">
              <v:imagedata r:id="rId406" o:title=""/>
            </v:shape>
            <v:shape style="position:absolute;left:4240;top:726;width:7121;height:1436" type="#_x0000_t75" stroked="false">
              <v:imagedata r:id="rId456" o:title=""/>
            </v:shape>
            <w10:wrap type="none"/>
          </v:group>
        </w:pict>
      </w:r>
      <w:r>
        <w:rPr/>
        <w:pict>
          <v:group style="position:absolute;margin-left:30.120001pt;margin-top:75.078644pt;width:538pt;height:566.2pt;mso-position-horizontal-relative:page;mso-position-vertical-relative:paragraph;z-index:-314527744" coordorigin="602,1502" coordsize="10760,11324">
            <v:line style="position:absolute" from="1412,1506" to="1412,1874" stroked="true" strokeweight=".360003pt" strokecolor="#ffffff">
              <v:stroke dashstyle="solid"/>
            </v:line>
            <v:shape style="position:absolute;left:602;top:1501;width:3646;height:2504" type="#_x0000_t75" stroked="false">
              <v:imagedata r:id="rId457" o:title=""/>
            </v:shape>
            <v:shape style="position:absolute;left:6782;top:1875;width:4580;height:651" type="#_x0000_t75" stroked="false">
              <v:imagedata r:id="rId458" o:title=""/>
            </v:shape>
            <v:shape style="position:absolute;left:6782;top:2154;width:4580;height:737" type="#_x0000_t75" stroked="false">
              <v:imagedata r:id="rId459" o:title=""/>
            </v:shape>
            <v:shape style="position:absolute;left:6782;top:2519;width:4580;height:737" type="#_x0000_t75" stroked="false">
              <v:imagedata r:id="rId460" o:title=""/>
            </v:shape>
            <v:shape style="position:absolute;left:4240;top:2883;width:7121;height:1121" type="#_x0000_t75" stroked="false">
              <v:imagedata r:id="rId461" o:title=""/>
            </v:shape>
            <v:shape style="position:absolute;left:602;top:3983;width:3646;height:387" type="#_x0000_t75" stroked="false">
              <v:imagedata r:id="rId462" o:title=""/>
            </v:shape>
            <v:shape style="position:absolute;left:4240;top:3613;width:7121;height:1126" type="#_x0000_t75" stroked="false">
              <v:imagedata r:id="rId463" o:title=""/>
            </v:shape>
            <v:shape style="position:absolute;left:6782;top:4367;width:4580;height:737" type="#_x0000_t75" stroked="false">
              <v:imagedata r:id="rId464" o:title=""/>
            </v:shape>
            <v:shape style="position:absolute;left:6782;top:4731;width:4580;height:737" type="#_x0000_t75" stroked="false">
              <v:imagedata r:id="rId464" o:title=""/>
            </v:shape>
            <v:shape style="position:absolute;left:6782;top:5096;width:4580;height:737" type="#_x0000_t75" stroked="false">
              <v:imagedata r:id="rId464" o:title=""/>
            </v:shape>
            <v:shape style="position:absolute;left:602;top:4367;width:3646;height:2216" type="#_x0000_t75" stroked="false">
              <v:imagedata r:id="rId465" o:title=""/>
            </v:shape>
            <v:shape style="position:absolute;left:8294;top:5461;width:3068;height:744" type="#_x0000_t75" stroked="false">
              <v:imagedata r:id="rId466" o:title=""/>
            </v:shape>
            <v:shape style="position:absolute;left:4240;top:5826;width:7121;height:1126" type="#_x0000_t75" stroked="false">
              <v:imagedata r:id="rId467" o:title=""/>
            </v:shape>
            <v:shape style="position:absolute;left:6782;top:6579;width:4580;height:737" type="#_x0000_t75" stroked="false">
              <v:imagedata r:id="rId464" o:title=""/>
            </v:shape>
            <v:shape style="position:absolute;left:6782;top:6944;width:4580;height:737" type="#_x0000_t75" stroked="false">
              <v:imagedata r:id="rId464" o:title=""/>
            </v:shape>
            <v:shape style="position:absolute;left:6782;top:7309;width:4580;height:737" type="#_x0000_t75" stroked="false">
              <v:imagedata r:id="rId464" o:title=""/>
            </v:shape>
            <v:shape style="position:absolute;left:602;top:6579;width:3646;height:2580" type="#_x0000_t75" stroked="false">
              <v:imagedata r:id="rId468" o:title=""/>
            </v:shape>
            <v:shape style="position:absolute;left:6782;top:7674;width:4580;height:737" type="#_x0000_t75" stroked="false">
              <v:imagedata r:id="rId464" o:title=""/>
            </v:shape>
            <v:shape style="position:absolute;left:8294;top:8039;width:3068;height:744" type="#_x0000_t75" stroked="false">
              <v:imagedata r:id="rId466" o:title=""/>
            </v:shape>
            <v:shape style="position:absolute;left:4240;top:8403;width:7121;height:1126" type="#_x0000_t75" stroked="false">
              <v:imagedata r:id="rId467" o:title=""/>
            </v:shape>
            <v:shape style="position:absolute;left:6782;top:9157;width:4580;height:737" type="#_x0000_t75" stroked="false">
              <v:imagedata r:id="rId464" o:title=""/>
            </v:shape>
            <v:shape style="position:absolute;left:6782;top:9522;width:4580;height:737" type="#_x0000_t75" stroked="false">
              <v:imagedata r:id="rId469" o:title=""/>
            </v:shape>
            <v:shape style="position:absolute;left:6782;top:9887;width:4580;height:737" type="#_x0000_t75" stroked="false">
              <v:imagedata r:id="rId469" o:title=""/>
            </v:shape>
            <v:shape style="position:absolute;left:6782;top:10251;width:4580;height:737" type="#_x0000_t75" stroked="false">
              <v:imagedata r:id="rId469" o:title=""/>
            </v:shape>
            <v:shape style="position:absolute;left:6782;top:10616;width:4580;height:737" type="#_x0000_t75" stroked="false">
              <v:imagedata r:id="rId469" o:title=""/>
            </v:shape>
            <v:shape style="position:absolute;left:8294;top:10981;width:3068;height:732" type="#_x0000_t75" stroked="false">
              <v:imagedata r:id="rId470" o:title=""/>
            </v:shape>
            <v:shape style="position:absolute;left:602;top:9157;width:3646;height:3668" type="#_x0000_t75" stroked="false">
              <v:imagedata r:id="rId471" o:title=""/>
            </v:shape>
            <v:shape style="position:absolute;left:6782;top:11346;width:4580;height:737" type="#_x0000_t75" stroked="false">
              <v:imagedata r:id="rId472" o:title=""/>
            </v:shape>
            <v:shape style="position:absolute;left:8294;top:11711;width:3068;height:732" type="#_x0000_t75" stroked="false">
              <v:imagedata r:id="rId473" o:title=""/>
            </v:shape>
            <v:shape style="position:absolute;left:4240;top:12075;width:7121;height:749" type="#_x0000_t75" stroked="false">
              <v:imagedata r:id="rId474" o:title=""/>
            </v:shape>
            <v:shape style="position:absolute;left:9806;top:12440;width:1556;height:384" type="#_x0000_t75" stroked="false">
              <v:imagedata r:id="rId475" o:title=""/>
            </v:shape>
            <w10:wrap type="none"/>
          </v:group>
        </w:pict>
      </w:r>
      <w:r>
        <w:rPr>
          <w:sz w:val="18"/>
        </w:rPr>
        <w:t>Winship-Robbins Elementary Sutter County</w:t>
      </w:r>
    </w:p>
    <w:p>
      <w:pPr>
        <w:spacing w:line="232" w:lineRule="auto" w:before="1"/>
        <w:ind w:left="943" w:right="0" w:hanging="636"/>
        <w:jc w:val="left"/>
        <w:rPr>
          <w:sz w:val="18"/>
        </w:rPr>
      </w:pPr>
      <w:r>
        <w:rPr/>
        <w:br w:type="column"/>
      </w:r>
      <w:r>
        <w:rPr>
          <w:sz w:val="18"/>
        </w:rPr>
        <w:t>Student Activity Special Revenue Fund Expenditures by Object</w:t>
      </w:r>
    </w:p>
    <w:p>
      <w:pPr>
        <w:spacing w:line="200" w:lineRule="exact" w:before="0"/>
        <w:ind w:left="0" w:right="287" w:firstLine="0"/>
        <w:jc w:val="right"/>
        <w:rPr>
          <w:sz w:val="18"/>
        </w:rPr>
      </w:pPr>
      <w:r>
        <w:rPr/>
        <w:br w:type="column"/>
      </w:r>
      <w:r>
        <w:rPr>
          <w:sz w:val="18"/>
        </w:rPr>
        <w:t>51 71456</w:t>
      </w:r>
      <w:r>
        <w:rPr>
          <w:spacing w:val="3"/>
          <w:sz w:val="18"/>
        </w:rPr>
        <w:t> </w:t>
      </w:r>
      <w:r>
        <w:rPr>
          <w:sz w:val="18"/>
        </w:rPr>
        <w:t>0000000</w:t>
      </w:r>
    </w:p>
    <w:p>
      <w:pPr>
        <w:spacing w:line="204" w:lineRule="exact" w:before="0"/>
        <w:ind w:left="0" w:right="285" w:firstLine="0"/>
        <w:jc w:val="right"/>
        <w:rPr>
          <w:sz w:val="18"/>
        </w:rPr>
      </w:pPr>
      <w:r>
        <w:rPr>
          <w:sz w:val="18"/>
        </w:rPr>
        <w:t>Form </w:t>
      </w:r>
      <w:r>
        <w:rPr>
          <w:spacing w:val="3"/>
          <w:sz w:val="18"/>
        </w:rPr>
        <w:t> </w:t>
      </w:r>
      <w:r>
        <w:rPr>
          <w:sz w:val="18"/>
        </w:rPr>
        <w:t>08</w:t>
      </w:r>
    </w:p>
    <w:p>
      <w:pPr>
        <w:spacing w:after="0" w:line="204" w:lineRule="exact"/>
        <w:jc w:val="right"/>
        <w:rPr>
          <w:sz w:val="18"/>
        </w:rPr>
        <w:sectPr>
          <w:pgSz w:w="12240" w:h="15840"/>
          <w:pgMar w:header="651" w:footer="437" w:top="840" w:bottom="620" w:left="160" w:right="180"/>
          <w:cols w:num="3" w:equalWidth="0">
            <w:col w:w="2698" w:space="1379"/>
            <w:col w:w="3491" w:space="2224"/>
            <w:col w:w="2108"/>
          </w:cols>
        </w:sectPr>
      </w:pPr>
    </w:p>
    <w:p>
      <w:pPr>
        <w:pStyle w:val="BodyText"/>
        <w:rPr>
          <w:sz w:val="20"/>
        </w:rPr>
      </w:pPr>
    </w:p>
    <w:p>
      <w:pPr>
        <w:pStyle w:val="BodyText"/>
        <w:rPr>
          <w:sz w:val="20"/>
        </w:rPr>
      </w:pPr>
    </w:p>
    <w:p>
      <w:pPr>
        <w:pStyle w:val="BodyText"/>
        <w:spacing w:before="8" w:after="1"/>
        <w:rPr>
          <w:sz w:val="26"/>
        </w:rPr>
      </w:pPr>
    </w:p>
    <w:tbl>
      <w:tblPr>
        <w:tblW w:w="0" w:type="auto"/>
        <w:jc w:val="left"/>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86"/>
        <w:gridCol w:w="1444"/>
        <w:gridCol w:w="1127"/>
        <w:gridCol w:w="1666"/>
        <w:gridCol w:w="1475"/>
        <w:gridCol w:w="981"/>
        <w:gridCol w:w="408"/>
      </w:tblGrid>
      <w:tr>
        <w:trPr>
          <w:trHeight w:val="435" w:hRule="atLeast"/>
        </w:trPr>
        <w:tc>
          <w:tcPr>
            <w:tcW w:w="3686" w:type="dxa"/>
          </w:tcPr>
          <w:p>
            <w:pPr>
              <w:pStyle w:val="TableParagraph"/>
              <w:spacing w:before="5"/>
              <w:rPr>
                <w:sz w:val="14"/>
              </w:rPr>
            </w:pPr>
          </w:p>
          <w:p>
            <w:pPr>
              <w:pStyle w:val="TableParagraph"/>
              <w:spacing w:before="1"/>
              <w:ind w:left="50"/>
              <w:rPr>
                <w:b/>
                <w:sz w:val="14"/>
              </w:rPr>
            </w:pPr>
            <w:r>
              <w:rPr>
                <w:b/>
                <w:w w:val="105"/>
                <w:sz w:val="14"/>
              </w:rPr>
              <w:t>Description</w:t>
            </w:r>
          </w:p>
        </w:tc>
        <w:tc>
          <w:tcPr>
            <w:tcW w:w="1444" w:type="dxa"/>
          </w:tcPr>
          <w:p>
            <w:pPr>
              <w:pStyle w:val="TableParagraph"/>
              <w:spacing w:before="5"/>
              <w:rPr>
                <w:sz w:val="14"/>
              </w:rPr>
            </w:pPr>
          </w:p>
          <w:p>
            <w:pPr>
              <w:pStyle w:val="TableParagraph"/>
              <w:spacing w:before="1"/>
              <w:ind w:left="192"/>
              <w:rPr>
                <w:b/>
                <w:sz w:val="14"/>
              </w:rPr>
            </w:pPr>
            <w:r>
              <w:rPr>
                <w:b/>
                <w:w w:val="105"/>
                <w:sz w:val="14"/>
              </w:rPr>
              <w:t>Resource Codes</w:t>
            </w:r>
          </w:p>
        </w:tc>
        <w:tc>
          <w:tcPr>
            <w:tcW w:w="1127" w:type="dxa"/>
          </w:tcPr>
          <w:p>
            <w:pPr>
              <w:pStyle w:val="TableParagraph"/>
              <w:spacing w:before="5"/>
              <w:rPr>
                <w:sz w:val="14"/>
              </w:rPr>
            </w:pPr>
          </w:p>
          <w:p>
            <w:pPr>
              <w:pStyle w:val="TableParagraph"/>
              <w:spacing w:before="1"/>
              <w:ind w:left="88" w:right="48"/>
              <w:jc w:val="center"/>
              <w:rPr>
                <w:b/>
                <w:sz w:val="14"/>
              </w:rPr>
            </w:pPr>
            <w:r>
              <w:rPr>
                <w:b/>
                <w:w w:val="105"/>
                <w:sz w:val="14"/>
              </w:rPr>
              <w:t>Object Codes</w:t>
            </w:r>
          </w:p>
        </w:tc>
        <w:tc>
          <w:tcPr>
            <w:tcW w:w="1666" w:type="dxa"/>
          </w:tcPr>
          <w:p>
            <w:pPr>
              <w:pStyle w:val="TableParagraph"/>
              <w:spacing w:line="160" w:lineRule="exact"/>
              <w:ind w:left="44" w:right="301"/>
              <w:jc w:val="center"/>
              <w:rPr>
                <w:b/>
                <w:sz w:val="14"/>
              </w:rPr>
            </w:pPr>
            <w:r>
              <w:rPr>
                <w:b/>
                <w:w w:val="105"/>
                <w:sz w:val="14"/>
              </w:rPr>
              <w:t>2020-21</w:t>
            </w:r>
          </w:p>
          <w:p>
            <w:pPr>
              <w:pStyle w:val="TableParagraph"/>
              <w:spacing w:before="7"/>
              <w:ind w:left="44" w:right="304"/>
              <w:jc w:val="center"/>
              <w:rPr>
                <w:b/>
                <w:sz w:val="14"/>
              </w:rPr>
            </w:pPr>
            <w:r>
              <w:rPr>
                <w:b/>
                <w:w w:val="105"/>
                <w:sz w:val="14"/>
              </w:rPr>
              <w:t>Estimated Actuals</w:t>
            </w:r>
          </w:p>
        </w:tc>
        <w:tc>
          <w:tcPr>
            <w:tcW w:w="1475" w:type="dxa"/>
          </w:tcPr>
          <w:p>
            <w:pPr>
              <w:pStyle w:val="TableParagraph"/>
              <w:spacing w:line="160" w:lineRule="exact"/>
              <w:ind w:left="286"/>
              <w:rPr>
                <w:b/>
                <w:sz w:val="14"/>
              </w:rPr>
            </w:pPr>
            <w:r>
              <w:rPr>
                <w:b/>
                <w:w w:val="105"/>
                <w:sz w:val="14"/>
              </w:rPr>
              <w:t>2021-22</w:t>
            </w:r>
          </w:p>
          <w:p>
            <w:pPr>
              <w:pStyle w:val="TableParagraph"/>
              <w:spacing w:before="7"/>
              <w:ind w:left="298"/>
              <w:rPr>
                <w:b/>
                <w:sz w:val="14"/>
              </w:rPr>
            </w:pPr>
            <w:r>
              <w:rPr>
                <w:b/>
                <w:w w:val="105"/>
                <w:sz w:val="14"/>
              </w:rPr>
              <w:t>Budget</w:t>
            </w:r>
          </w:p>
        </w:tc>
        <w:tc>
          <w:tcPr>
            <w:tcW w:w="981" w:type="dxa"/>
          </w:tcPr>
          <w:p>
            <w:pPr>
              <w:pStyle w:val="TableParagraph"/>
              <w:spacing w:line="249" w:lineRule="auto"/>
              <w:ind w:left="249" w:right="27" w:firstLine="86"/>
              <w:rPr>
                <w:b/>
                <w:sz w:val="14"/>
              </w:rPr>
            </w:pPr>
            <w:r>
              <w:rPr>
                <w:b/>
                <w:w w:val="105"/>
                <w:sz w:val="14"/>
              </w:rPr>
              <w:t>Percent </w:t>
            </w:r>
            <w:r>
              <w:rPr>
                <w:b/>
                <w:sz w:val="14"/>
              </w:rPr>
              <w:t>Difference</w:t>
            </w:r>
          </w:p>
        </w:tc>
        <w:tc>
          <w:tcPr>
            <w:tcW w:w="408" w:type="dxa"/>
            <w:vMerge w:val="restart"/>
          </w:tcPr>
          <w:p>
            <w:pPr>
              <w:pStyle w:val="TableParagraph"/>
              <w:rPr>
                <w:rFonts w:ascii="Times New Roman"/>
                <w:sz w:val="14"/>
              </w:rPr>
            </w:pPr>
          </w:p>
        </w:tc>
      </w:tr>
      <w:tr>
        <w:trPr>
          <w:trHeight w:val="327" w:hRule="atLeast"/>
        </w:trPr>
        <w:tc>
          <w:tcPr>
            <w:tcW w:w="3686" w:type="dxa"/>
          </w:tcPr>
          <w:p>
            <w:pPr>
              <w:pStyle w:val="TableParagraph"/>
              <w:spacing w:before="105"/>
              <w:ind w:left="50"/>
              <w:rPr>
                <w:b/>
                <w:sz w:val="14"/>
              </w:rPr>
            </w:pPr>
            <w:r>
              <w:rPr>
                <w:b/>
                <w:w w:val="105"/>
                <w:sz w:val="14"/>
              </w:rPr>
              <w:t>REVENUES</w:t>
            </w:r>
          </w:p>
        </w:tc>
        <w:tc>
          <w:tcPr>
            <w:tcW w:w="1444" w:type="dxa"/>
          </w:tcPr>
          <w:p>
            <w:pPr>
              <w:pStyle w:val="TableParagraph"/>
              <w:rPr>
                <w:rFonts w:ascii="Times New Roman"/>
                <w:sz w:val="14"/>
              </w:rPr>
            </w:pPr>
          </w:p>
        </w:tc>
        <w:tc>
          <w:tcPr>
            <w:tcW w:w="1127" w:type="dxa"/>
          </w:tcPr>
          <w:p>
            <w:pPr>
              <w:pStyle w:val="TableParagraph"/>
              <w:rPr>
                <w:rFonts w:ascii="Times New Roman"/>
                <w:sz w:val="14"/>
              </w:rPr>
            </w:pPr>
          </w:p>
        </w:tc>
        <w:tc>
          <w:tcPr>
            <w:tcW w:w="1666" w:type="dxa"/>
          </w:tcPr>
          <w:p>
            <w:pPr>
              <w:pStyle w:val="TableParagraph"/>
              <w:rPr>
                <w:rFonts w:ascii="Times New Roman"/>
                <w:sz w:val="14"/>
              </w:rPr>
            </w:pPr>
          </w:p>
        </w:tc>
        <w:tc>
          <w:tcPr>
            <w:tcW w:w="1475" w:type="dxa"/>
          </w:tcPr>
          <w:p>
            <w:pPr>
              <w:pStyle w:val="TableParagraph"/>
              <w:rPr>
                <w:rFonts w:ascii="Times New Roman"/>
                <w:sz w:val="14"/>
              </w:rPr>
            </w:pPr>
          </w:p>
        </w:tc>
        <w:tc>
          <w:tcPr>
            <w:tcW w:w="981" w:type="dxa"/>
          </w:tcPr>
          <w:p>
            <w:pPr>
              <w:pStyle w:val="TableParagraph"/>
              <w:rPr>
                <w:rFonts w:ascii="Times New Roman"/>
                <w:sz w:val="14"/>
              </w:rPr>
            </w:pPr>
          </w:p>
        </w:tc>
        <w:tc>
          <w:tcPr>
            <w:tcW w:w="408" w:type="dxa"/>
            <w:vMerge/>
            <w:tcBorders>
              <w:top w:val="nil"/>
            </w:tcBorders>
          </w:tcPr>
          <w:p>
            <w:pPr>
              <w:rPr>
                <w:sz w:val="2"/>
                <w:szCs w:val="2"/>
              </w:rPr>
            </w:pPr>
          </w:p>
        </w:tc>
      </w:tr>
      <w:tr>
        <w:trPr>
          <w:trHeight w:val="322" w:hRule="atLeast"/>
        </w:trPr>
        <w:tc>
          <w:tcPr>
            <w:tcW w:w="3686" w:type="dxa"/>
          </w:tcPr>
          <w:p>
            <w:pPr>
              <w:pStyle w:val="TableParagraph"/>
              <w:spacing w:before="59"/>
              <w:ind w:left="213"/>
              <w:rPr>
                <w:sz w:val="14"/>
              </w:rPr>
            </w:pPr>
            <w:r>
              <w:rPr>
                <w:w w:val="105"/>
                <w:sz w:val="14"/>
              </w:rPr>
              <w:t>Sale of Equipment and Supplies</w:t>
            </w:r>
          </w:p>
        </w:tc>
        <w:tc>
          <w:tcPr>
            <w:tcW w:w="1444" w:type="dxa"/>
          </w:tcPr>
          <w:p>
            <w:pPr>
              <w:pStyle w:val="TableParagraph"/>
              <w:rPr>
                <w:rFonts w:ascii="Times New Roman"/>
                <w:sz w:val="14"/>
              </w:rPr>
            </w:pPr>
          </w:p>
        </w:tc>
        <w:tc>
          <w:tcPr>
            <w:tcW w:w="1127" w:type="dxa"/>
          </w:tcPr>
          <w:p>
            <w:pPr>
              <w:pStyle w:val="TableParagraph"/>
              <w:spacing w:before="59"/>
              <w:ind w:left="88" w:right="47"/>
              <w:jc w:val="center"/>
              <w:rPr>
                <w:sz w:val="14"/>
              </w:rPr>
            </w:pPr>
            <w:r>
              <w:rPr>
                <w:w w:val="105"/>
                <w:sz w:val="14"/>
              </w:rPr>
              <w:t>8631</w:t>
            </w:r>
          </w:p>
        </w:tc>
        <w:tc>
          <w:tcPr>
            <w:tcW w:w="1666" w:type="dxa"/>
          </w:tcPr>
          <w:p>
            <w:pPr>
              <w:pStyle w:val="TableParagraph"/>
              <w:spacing w:before="59"/>
              <w:ind w:right="284"/>
              <w:jc w:val="right"/>
              <w:rPr>
                <w:sz w:val="14"/>
              </w:rPr>
            </w:pPr>
            <w:r>
              <w:rPr>
                <w:sz w:val="14"/>
              </w:rPr>
              <w:t>0.00</w:t>
            </w:r>
          </w:p>
        </w:tc>
        <w:tc>
          <w:tcPr>
            <w:tcW w:w="1475" w:type="dxa"/>
          </w:tcPr>
          <w:p>
            <w:pPr>
              <w:pStyle w:val="TableParagraph"/>
              <w:spacing w:before="59"/>
              <w:ind w:right="247"/>
              <w:jc w:val="right"/>
              <w:rPr>
                <w:sz w:val="14"/>
              </w:rPr>
            </w:pPr>
            <w:r>
              <w:rPr>
                <w:sz w:val="14"/>
              </w:rPr>
              <w:t>0.00</w:t>
            </w:r>
          </w:p>
        </w:tc>
        <w:tc>
          <w:tcPr>
            <w:tcW w:w="981" w:type="dxa"/>
          </w:tcPr>
          <w:p>
            <w:pPr>
              <w:pStyle w:val="TableParagraph"/>
              <w:rPr>
                <w:rFonts w:ascii="Times New Roman"/>
                <w:sz w:val="14"/>
              </w:rPr>
            </w:pPr>
          </w:p>
        </w:tc>
        <w:tc>
          <w:tcPr>
            <w:tcW w:w="408" w:type="dxa"/>
          </w:tcPr>
          <w:p>
            <w:pPr>
              <w:pStyle w:val="TableParagraph"/>
              <w:spacing w:before="59"/>
              <w:ind w:left="7" w:right="22"/>
              <w:jc w:val="center"/>
              <w:rPr>
                <w:sz w:val="14"/>
              </w:rPr>
            </w:pPr>
            <w:r>
              <w:rPr>
                <w:w w:val="105"/>
                <w:sz w:val="14"/>
              </w:rPr>
              <w:t>0.0%</w:t>
            </w:r>
          </w:p>
        </w:tc>
      </w:tr>
      <w:tr>
        <w:trPr>
          <w:trHeight w:val="364" w:hRule="atLeast"/>
        </w:trPr>
        <w:tc>
          <w:tcPr>
            <w:tcW w:w="3686" w:type="dxa"/>
          </w:tcPr>
          <w:p>
            <w:pPr>
              <w:pStyle w:val="TableParagraph"/>
              <w:spacing w:before="101"/>
              <w:ind w:left="213"/>
              <w:rPr>
                <w:sz w:val="14"/>
              </w:rPr>
            </w:pPr>
            <w:r>
              <w:rPr>
                <w:w w:val="105"/>
                <w:sz w:val="14"/>
              </w:rPr>
              <w:t>All Other Sales</w:t>
            </w:r>
          </w:p>
        </w:tc>
        <w:tc>
          <w:tcPr>
            <w:tcW w:w="1444" w:type="dxa"/>
          </w:tcPr>
          <w:p>
            <w:pPr>
              <w:pStyle w:val="TableParagraph"/>
              <w:rPr>
                <w:rFonts w:ascii="Times New Roman"/>
                <w:sz w:val="14"/>
              </w:rPr>
            </w:pPr>
          </w:p>
        </w:tc>
        <w:tc>
          <w:tcPr>
            <w:tcW w:w="1127" w:type="dxa"/>
          </w:tcPr>
          <w:p>
            <w:pPr>
              <w:pStyle w:val="TableParagraph"/>
              <w:spacing w:before="101"/>
              <w:ind w:left="88" w:right="47"/>
              <w:jc w:val="center"/>
              <w:rPr>
                <w:sz w:val="14"/>
              </w:rPr>
            </w:pPr>
            <w:r>
              <w:rPr>
                <w:w w:val="105"/>
                <w:sz w:val="14"/>
              </w:rPr>
              <w:t>8639</w:t>
            </w:r>
          </w:p>
        </w:tc>
        <w:tc>
          <w:tcPr>
            <w:tcW w:w="1666" w:type="dxa"/>
          </w:tcPr>
          <w:p>
            <w:pPr>
              <w:pStyle w:val="TableParagraph"/>
              <w:spacing w:before="101"/>
              <w:ind w:right="284"/>
              <w:jc w:val="right"/>
              <w:rPr>
                <w:sz w:val="14"/>
              </w:rPr>
            </w:pPr>
            <w:r>
              <w:rPr>
                <w:sz w:val="14"/>
              </w:rPr>
              <w:t>0.00</w:t>
            </w:r>
          </w:p>
        </w:tc>
        <w:tc>
          <w:tcPr>
            <w:tcW w:w="1475" w:type="dxa"/>
          </w:tcPr>
          <w:p>
            <w:pPr>
              <w:pStyle w:val="TableParagraph"/>
              <w:spacing w:before="101"/>
              <w:ind w:right="247"/>
              <w:jc w:val="right"/>
              <w:rPr>
                <w:sz w:val="14"/>
              </w:rPr>
            </w:pPr>
            <w:r>
              <w:rPr>
                <w:sz w:val="14"/>
              </w:rPr>
              <w:t>0.00</w:t>
            </w:r>
          </w:p>
        </w:tc>
        <w:tc>
          <w:tcPr>
            <w:tcW w:w="981" w:type="dxa"/>
          </w:tcPr>
          <w:p>
            <w:pPr>
              <w:pStyle w:val="TableParagraph"/>
              <w:rPr>
                <w:rFonts w:ascii="Times New Roman"/>
                <w:sz w:val="14"/>
              </w:rPr>
            </w:pPr>
          </w:p>
        </w:tc>
        <w:tc>
          <w:tcPr>
            <w:tcW w:w="408" w:type="dxa"/>
          </w:tcPr>
          <w:p>
            <w:pPr>
              <w:pStyle w:val="TableParagraph"/>
              <w:spacing w:before="101"/>
              <w:ind w:left="7" w:right="22"/>
              <w:jc w:val="center"/>
              <w:rPr>
                <w:sz w:val="14"/>
              </w:rPr>
            </w:pPr>
            <w:r>
              <w:rPr>
                <w:w w:val="105"/>
                <w:sz w:val="14"/>
              </w:rPr>
              <w:t>0.0%</w:t>
            </w:r>
          </w:p>
        </w:tc>
      </w:tr>
      <w:tr>
        <w:trPr>
          <w:trHeight w:val="364" w:hRule="atLeast"/>
        </w:trPr>
        <w:tc>
          <w:tcPr>
            <w:tcW w:w="3686" w:type="dxa"/>
          </w:tcPr>
          <w:p>
            <w:pPr>
              <w:pStyle w:val="TableParagraph"/>
              <w:spacing w:before="101"/>
              <w:ind w:left="213"/>
              <w:rPr>
                <w:sz w:val="14"/>
              </w:rPr>
            </w:pPr>
            <w:r>
              <w:rPr>
                <w:w w:val="105"/>
                <w:sz w:val="14"/>
              </w:rPr>
              <w:t>Interest</w:t>
            </w:r>
          </w:p>
        </w:tc>
        <w:tc>
          <w:tcPr>
            <w:tcW w:w="1444" w:type="dxa"/>
          </w:tcPr>
          <w:p>
            <w:pPr>
              <w:pStyle w:val="TableParagraph"/>
              <w:rPr>
                <w:rFonts w:ascii="Times New Roman"/>
                <w:sz w:val="14"/>
              </w:rPr>
            </w:pPr>
          </w:p>
        </w:tc>
        <w:tc>
          <w:tcPr>
            <w:tcW w:w="1127" w:type="dxa"/>
          </w:tcPr>
          <w:p>
            <w:pPr>
              <w:pStyle w:val="TableParagraph"/>
              <w:spacing w:before="101"/>
              <w:ind w:left="88" w:right="47"/>
              <w:jc w:val="center"/>
              <w:rPr>
                <w:sz w:val="14"/>
              </w:rPr>
            </w:pPr>
            <w:r>
              <w:rPr>
                <w:w w:val="105"/>
                <w:sz w:val="14"/>
              </w:rPr>
              <w:t>8660</w:t>
            </w:r>
          </w:p>
        </w:tc>
        <w:tc>
          <w:tcPr>
            <w:tcW w:w="1666" w:type="dxa"/>
          </w:tcPr>
          <w:p>
            <w:pPr>
              <w:pStyle w:val="TableParagraph"/>
              <w:spacing w:before="101"/>
              <w:ind w:right="284"/>
              <w:jc w:val="right"/>
              <w:rPr>
                <w:sz w:val="14"/>
              </w:rPr>
            </w:pPr>
            <w:r>
              <w:rPr>
                <w:sz w:val="14"/>
              </w:rPr>
              <w:t>0.00</w:t>
            </w:r>
          </w:p>
        </w:tc>
        <w:tc>
          <w:tcPr>
            <w:tcW w:w="1475" w:type="dxa"/>
          </w:tcPr>
          <w:p>
            <w:pPr>
              <w:pStyle w:val="TableParagraph"/>
              <w:spacing w:before="101"/>
              <w:ind w:right="247"/>
              <w:jc w:val="right"/>
              <w:rPr>
                <w:sz w:val="14"/>
              </w:rPr>
            </w:pPr>
            <w:r>
              <w:rPr>
                <w:sz w:val="14"/>
              </w:rPr>
              <w:t>0.00</w:t>
            </w:r>
          </w:p>
        </w:tc>
        <w:tc>
          <w:tcPr>
            <w:tcW w:w="981" w:type="dxa"/>
          </w:tcPr>
          <w:p>
            <w:pPr>
              <w:pStyle w:val="TableParagraph"/>
              <w:rPr>
                <w:rFonts w:ascii="Times New Roman"/>
                <w:sz w:val="14"/>
              </w:rPr>
            </w:pPr>
          </w:p>
        </w:tc>
        <w:tc>
          <w:tcPr>
            <w:tcW w:w="408" w:type="dxa"/>
          </w:tcPr>
          <w:p>
            <w:pPr>
              <w:pStyle w:val="TableParagraph"/>
              <w:spacing w:before="101"/>
              <w:ind w:left="7" w:right="22"/>
              <w:jc w:val="center"/>
              <w:rPr>
                <w:sz w:val="14"/>
              </w:rPr>
            </w:pPr>
            <w:r>
              <w:rPr>
                <w:w w:val="105"/>
                <w:sz w:val="14"/>
              </w:rPr>
              <w:t>0.0%</w:t>
            </w:r>
          </w:p>
        </w:tc>
      </w:tr>
      <w:tr>
        <w:trPr>
          <w:trHeight w:val="364" w:hRule="atLeast"/>
        </w:trPr>
        <w:tc>
          <w:tcPr>
            <w:tcW w:w="3686" w:type="dxa"/>
          </w:tcPr>
          <w:p>
            <w:pPr>
              <w:pStyle w:val="TableParagraph"/>
              <w:spacing w:before="101"/>
              <w:ind w:left="213"/>
              <w:rPr>
                <w:sz w:val="14"/>
              </w:rPr>
            </w:pPr>
            <w:r>
              <w:rPr>
                <w:w w:val="105"/>
                <w:sz w:val="14"/>
              </w:rPr>
              <w:t>All Other Fees and Contracts</w:t>
            </w:r>
          </w:p>
        </w:tc>
        <w:tc>
          <w:tcPr>
            <w:tcW w:w="1444" w:type="dxa"/>
          </w:tcPr>
          <w:p>
            <w:pPr>
              <w:pStyle w:val="TableParagraph"/>
              <w:rPr>
                <w:rFonts w:ascii="Times New Roman"/>
                <w:sz w:val="14"/>
              </w:rPr>
            </w:pPr>
          </w:p>
        </w:tc>
        <w:tc>
          <w:tcPr>
            <w:tcW w:w="1127" w:type="dxa"/>
          </w:tcPr>
          <w:p>
            <w:pPr>
              <w:pStyle w:val="TableParagraph"/>
              <w:spacing w:before="101"/>
              <w:ind w:left="88" w:right="47"/>
              <w:jc w:val="center"/>
              <w:rPr>
                <w:sz w:val="14"/>
              </w:rPr>
            </w:pPr>
            <w:r>
              <w:rPr>
                <w:w w:val="105"/>
                <w:sz w:val="14"/>
              </w:rPr>
              <w:t>8689</w:t>
            </w:r>
          </w:p>
        </w:tc>
        <w:tc>
          <w:tcPr>
            <w:tcW w:w="1666" w:type="dxa"/>
          </w:tcPr>
          <w:p>
            <w:pPr>
              <w:pStyle w:val="TableParagraph"/>
              <w:spacing w:before="101"/>
              <w:ind w:right="284"/>
              <w:jc w:val="right"/>
              <w:rPr>
                <w:sz w:val="14"/>
              </w:rPr>
            </w:pPr>
            <w:r>
              <w:rPr>
                <w:sz w:val="14"/>
              </w:rPr>
              <w:t>0.00</w:t>
            </w:r>
          </w:p>
        </w:tc>
        <w:tc>
          <w:tcPr>
            <w:tcW w:w="1475" w:type="dxa"/>
          </w:tcPr>
          <w:p>
            <w:pPr>
              <w:pStyle w:val="TableParagraph"/>
              <w:spacing w:before="101"/>
              <w:ind w:right="247"/>
              <w:jc w:val="right"/>
              <w:rPr>
                <w:sz w:val="14"/>
              </w:rPr>
            </w:pPr>
            <w:r>
              <w:rPr>
                <w:sz w:val="14"/>
              </w:rPr>
              <w:t>0.00</w:t>
            </w:r>
          </w:p>
        </w:tc>
        <w:tc>
          <w:tcPr>
            <w:tcW w:w="981" w:type="dxa"/>
          </w:tcPr>
          <w:p>
            <w:pPr>
              <w:pStyle w:val="TableParagraph"/>
              <w:rPr>
                <w:rFonts w:ascii="Times New Roman"/>
                <w:sz w:val="14"/>
              </w:rPr>
            </w:pPr>
          </w:p>
        </w:tc>
        <w:tc>
          <w:tcPr>
            <w:tcW w:w="408" w:type="dxa"/>
          </w:tcPr>
          <w:p>
            <w:pPr>
              <w:pStyle w:val="TableParagraph"/>
              <w:spacing w:before="101"/>
              <w:ind w:left="7" w:right="22"/>
              <w:jc w:val="center"/>
              <w:rPr>
                <w:sz w:val="14"/>
              </w:rPr>
            </w:pPr>
            <w:r>
              <w:rPr>
                <w:w w:val="105"/>
                <w:sz w:val="14"/>
              </w:rPr>
              <w:t>0.0%</w:t>
            </w:r>
          </w:p>
        </w:tc>
      </w:tr>
      <w:tr>
        <w:trPr>
          <w:trHeight w:val="370" w:hRule="atLeast"/>
        </w:trPr>
        <w:tc>
          <w:tcPr>
            <w:tcW w:w="3686" w:type="dxa"/>
          </w:tcPr>
          <w:p>
            <w:pPr>
              <w:pStyle w:val="TableParagraph"/>
              <w:spacing w:before="101"/>
              <w:ind w:left="213"/>
              <w:rPr>
                <w:sz w:val="14"/>
              </w:rPr>
            </w:pPr>
            <w:r>
              <w:rPr>
                <w:w w:val="105"/>
                <w:sz w:val="14"/>
              </w:rPr>
              <w:t>All Other Local Revenue</w:t>
            </w:r>
          </w:p>
        </w:tc>
        <w:tc>
          <w:tcPr>
            <w:tcW w:w="1444" w:type="dxa"/>
          </w:tcPr>
          <w:p>
            <w:pPr>
              <w:pStyle w:val="TableParagraph"/>
              <w:rPr>
                <w:rFonts w:ascii="Times New Roman"/>
                <w:sz w:val="14"/>
              </w:rPr>
            </w:pPr>
          </w:p>
        </w:tc>
        <w:tc>
          <w:tcPr>
            <w:tcW w:w="1127" w:type="dxa"/>
          </w:tcPr>
          <w:p>
            <w:pPr>
              <w:pStyle w:val="TableParagraph"/>
              <w:spacing w:before="101"/>
              <w:ind w:left="88" w:right="47"/>
              <w:jc w:val="center"/>
              <w:rPr>
                <w:sz w:val="14"/>
              </w:rPr>
            </w:pPr>
            <w:r>
              <w:rPr>
                <w:w w:val="105"/>
                <w:sz w:val="14"/>
              </w:rPr>
              <w:t>8699</w:t>
            </w:r>
          </w:p>
        </w:tc>
        <w:tc>
          <w:tcPr>
            <w:tcW w:w="1666" w:type="dxa"/>
          </w:tcPr>
          <w:p>
            <w:pPr>
              <w:pStyle w:val="TableParagraph"/>
              <w:spacing w:before="101"/>
              <w:ind w:right="283"/>
              <w:jc w:val="right"/>
              <w:rPr>
                <w:sz w:val="14"/>
              </w:rPr>
            </w:pPr>
            <w:r>
              <w:rPr>
                <w:sz w:val="14"/>
              </w:rPr>
              <w:t>4,340.00</w:t>
            </w:r>
          </w:p>
        </w:tc>
        <w:tc>
          <w:tcPr>
            <w:tcW w:w="1475" w:type="dxa"/>
          </w:tcPr>
          <w:p>
            <w:pPr>
              <w:pStyle w:val="TableParagraph"/>
              <w:spacing w:before="101"/>
              <w:ind w:right="246"/>
              <w:jc w:val="right"/>
              <w:rPr>
                <w:sz w:val="14"/>
              </w:rPr>
            </w:pPr>
            <w:r>
              <w:rPr>
                <w:sz w:val="14"/>
              </w:rPr>
              <w:t>4,340.00</w:t>
            </w:r>
          </w:p>
        </w:tc>
        <w:tc>
          <w:tcPr>
            <w:tcW w:w="981" w:type="dxa"/>
          </w:tcPr>
          <w:p>
            <w:pPr>
              <w:pStyle w:val="TableParagraph"/>
              <w:rPr>
                <w:rFonts w:ascii="Times New Roman"/>
                <w:sz w:val="14"/>
              </w:rPr>
            </w:pPr>
          </w:p>
        </w:tc>
        <w:tc>
          <w:tcPr>
            <w:tcW w:w="408" w:type="dxa"/>
          </w:tcPr>
          <w:p>
            <w:pPr>
              <w:pStyle w:val="TableParagraph"/>
              <w:spacing w:before="101"/>
              <w:ind w:left="7" w:right="22"/>
              <w:jc w:val="center"/>
              <w:rPr>
                <w:sz w:val="14"/>
              </w:rPr>
            </w:pPr>
            <w:r>
              <w:rPr>
                <w:w w:val="105"/>
                <w:sz w:val="14"/>
              </w:rPr>
              <w:t>0.0%</w:t>
            </w:r>
          </w:p>
        </w:tc>
      </w:tr>
      <w:tr>
        <w:trPr>
          <w:trHeight w:val="375" w:hRule="atLeast"/>
        </w:trPr>
        <w:tc>
          <w:tcPr>
            <w:tcW w:w="3686" w:type="dxa"/>
          </w:tcPr>
          <w:p>
            <w:pPr>
              <w:pStyle w:val="TableParagraph"/>
              <w:spacing w:before="107"/>
              <w:ind w:left="50"/>
              <w:rPr>
                <w:sz w:val="14"/>
              </w:rPr>
            </w:pPr>
            <w:r>
              <w:rPr>
                <w:w w:val="105"/>
                <w:sz w:val="14"/>
              </w:rPr>
              <w:t>TOTAL, REVENUES</w:t>
            </w:r>
          </w:p>
        </w:tc>
        <w:tc>
          <w:tcPr>
            <w:tcW w:w="1444" w:type="dxa"/>
          </w:tcPr>
          <w:p>
            <w:pPr>
              <w:pStyle w:val="TableParagraph"/>
              <w:rPr>
                <w:rFonts w:ascii="Times New Roman"/>
                <w:sz w:val="14"/>
              </w:rPr>
            </w:pPr>
          </w:p>
        </w:tc>
        <w:tc>
          <w:tcPr>
            <w:tcW w:w="1127" w:type="dxa"/>
          </w:tcPr>
          <w:p>
            <w:pPr>
              <w:pStyle w:val="TableParagraph"/>
              <w:rPr>
                <w:rFonts w:ascii="Times New Roman"/>
                <w:sz w:val="14"/>
              </w:rPr>
            </w:pPr>
          </w:p>
        </w:tc>
        <w:tc>
          <w:tcPr>
            <w:tcW w:w="1666" w:type="dxa"/>
          </w:tcPr>
          <w:p>
            <w:pPr>
              <w:pStyle w:val="TableParagraph"/>
              <w:spacing w:before="107"/>
              <w:ind w:right="283"/>
              <w:jc w:val="right"/>
              <w:rPr>
                <w:sz w:val="14"/>
              </w:rPr>
            </w:pPr>
            <w:r>
              <w:rPr>
                <w:sz w:val="14"/>
              </w:rPr>
              <w:t>4,340.00</w:t>
            </w:r>
          </w:p>
        </w:tc>
        <w:tc>
          <w:tcPr>
            <w:tcW w:w="1475" w:type="dxa"/>
          </w:tcPr>
          <w:p>
            <w:pPr>
              <w:pStyle w:val="TableParagraph"/>
              <w:spacing w:before="107"/>
              <w:ind w:right="246"/>
              <w:jc w:val="right"/>
              <w:rPr>
                <w:sz w:val="14"/>
              </w:rPr>
            </w:pPr>
            <w:r>
              <w:rPr>
                <w:sz w:val="14"/>
              </w:rPr>
              <w:t>4,340.00</w:t>
            </w:r>
          </w:p>
        </w:tc>
        <w:tc>
          <w:tcPr>
            <w:tcW w:w="981" w:type="dxa"/>
          </w:tcPr>
          <w:p>
            <w:pPr>
              <w:pStyle w:val="TableParagraph"/>
              <w:rPr>
                <w:rFonts w:ascii="Times New Roman"/>
                <w:sz w:val="14"/>
              </w:rPr>
            </w:pPr>
          </w:p>
        </w:tc>
        <w:tc>
          <w:tcPr>
            <w:tcW w:w="408" w:type="dxa"/>
          </w:tcPr>
          <w:p>
            <w:pPr>
              <w:pStyle w:val="TableParagraph"/>
              <w:spacing w:before="107"/>
              <w:ind w:left="7" w:right="22"/>
              <w:jc w:val="center"/>
              <w:rPr>
                <w:sz w:val="14"/>
              </w:rPr>
            </w:pPr>
            <w:r>
              <w:rPr>
                <w:w w:val="105"/>
                <w:sz w:val="14"/>
              </w:rPr>
              <w:t>0.0%</w:t>
            </w:r>
          </w:p>
        </w:tc>
      </w:tr>
      <w:tr>
        <w:trPr>
          <w:trHeight w:val="370" w:hRule="atLeast"/>
        </w:trPr>
        <w:tc>
          <w:tcPr>
            <w:tcW w:w="3686" w:type="dxa"/>
          </w:tcPr>
          <w:p>
            <w:pPr>
              <w:pStyle w:val="TableParagraph"/>
              <w:spacing w:before="105"/>
              <w:ind w:left="50"/>
              <w:rPr>
                <w:b/>
                <w:sz w:val="14"/>
              </w:rPr>
            </w:pPr>
            <w:r>
              <w:rPr>
                <w:b/>
                <w:w w:val="105"/>
                <w:sz w:val="14"/>
              </w:rPr>
              <w:t>CERTIFICATED SALARIES</w:t>
            </w:r>
          </w:p>
        </w:tc>
        <w:tc>
          <w:tcPr>
            <w:tcW w:w="1444" w:type="dxa"/>
          </w:tcPr>
          <w:p>
            <w:pPr>
              <w:pStyle w:val="TableParagraph"/>
              <w:rPr>
                <w:rFonts w:ascii="Times New Roman"/>
                <w:sz w:val="14"/>
              </w:rPr>
            </w:pPr>
          </w:p>
        </w:tc>
        <w:tc>
          <w:tcPr>
            <w:tcW w:w="1127" w:type="dxa"/>
          </w:tcPr>
          <w:p>
            <w:pPr>
              <w:pStyle w:val="TableParagraph"/>
              <w:rPr>
                <w:rFonts w:ascii="Times New Roman"/>
                <w:sz w:val="14"/>
              </w:rPr>
            </w:pPr>
          </w:p>
        </w:tc>
        <w:tc>
          <w:tcPr>
            <w:tcW w:w="1666" w:type="dxa"/>
          </w:tcPr>
          <w:p>
            <w:pPr>
              <w:pStyle w:val="TableParagraph"/>
              <w:rPr>
                <w:rFonts w:ascii="Times New Roman"/>
                <w:sz w:val="14"/>
              </w:rPr>
            </w:pPr>
          </w:p>
        </w:tc>
        <w:tc>
          <w:tcPr>
            <w:tcW w:w="1475" w:type="dxa"/>
          </w:tcPr>
          <w:p>
            <w:pPr>
              <w:pStyle w:val="TableParagraph"/>
              <w:rPr>
                <w:rFonts w:ascii="Times New Roman"/>
                <w:sz w:val="14"/>
              </w:rPr>
            </w:pPr>
          </w:p>
        </w:tc>
        <w:tc>
          <w:tcPr>
            <w:tcW w:w="981" w:type="dxa"/>
          </w:tcPr>
          <w:p>
            <w:pPr>
              <w:pStyle w:val="TableParagraph"/>
              <w:rPr>
                <w:rFonts w:ascii="Times New Roman"/>
                <w:sz w:val="14"/>
              </w:rPr>
            </w:pPr>
          </w:p>
        </w:tc>
        <w:tc>
          <w:tcPr>
            <w:tcW w:w="408" w:type="dxa"/>
          </w:tcPr>
          <w:p>
            <w:pPr>
              <w:pStyle w:val="TableParagraph"/>
              <w:rPr>
                <w:rFonts w:ascii="Times New Roman"/>
                <w:sz w:val="14"/>
              </w:rPr>
            </w:pPr>
          </w:p>
        </w:tc>
      </w:tr>
      <w:tr>
        <w:trPr>
          <w:trHeight w:val="365" w:hRule="atLeast"/>
        </w:trPr>
        <w:tc>
          <w:tcPr>
            <w:tcW w:w="3686" w:type="dxa"/>
          </w:tcPr>
          <w:p>
            <w:pPr>
              <w:pStyle w:val="TableParagraph"/>
              <w:spacing w:before="102"/>
              <w:ind w:left="131"/>
              <w:rPr>
                <w:sz w:val="14"/>
              </w:rPr>
            </w:pPr>
            <w:r>
              <w:rPr>
                <w:w w:val="105"/>
                <w:sz w:val="14"/>
              </w:rPr>
              <w:t>Certificated Teachers' Salaries</w:t>
            </w:r>
          </w:p>
        </w:tc>
        <w:tc>
          <w:tcPr>
            <w:tcW w:w="1444" w:type="dxa"/>
          </w:tcPr>
          <w:p>
            <w:pPr>
              <w:pStyle w:val="TableParagraph"/>
              <w:rPr>
                <w:rFonts w:ascii="Times New Roman"/>
                <w:sz w:val="14"/>
              </w:rPr>
            </w:pPr>
          </w:p>
        </w:tc>
        <w:tc>
          <w:tcPr>
            <w:tcW w:w="1127" w:type="dxa"/>
          </w:tcPr>
          <w:p>
            <w:pPr>
              <w:pStyle w:val="TableParagraph"/>
              <w:spacing w:before="102"/>
              <w:ind w:left="88" w:right="47"/>
              <w:jc w:val="center"/>
              <w:rPr>
                <w:sz w:val="14"/>
              </w:rPr>
            </w:pPr>
            <w:r>
              <w:rPr>
                <w:w w:val="105"/>
                <w:sz w:val="14"/>
              </w:rPr>
              <w:t>1100</w:t>
            </w:r>
          </w:p>
        </w:tc>
        <w:tc>
          <w:tcPr>
            <w:tcW w:w="1666" w:type="dxa"/>
          </w:tcPr>
          <w:p>
            <w:pPr>
              <w:pStyle w:val="TableParagraph"/>
              <w:spacing w:before="102"/>
              <w:ind w:right="284"/>
              <w:jc w:val="right"/>
              <w:rPr>
                <w:sz w:val="14"/>
              </w:rPr>
            </w:pPr>
            <w:r>
              <w:rPr>
                <w:sz w:val="14"/>
              </w:rPr>
              <w:t>0.00</w:t>
            </w:r>
          </w:p>
        </w:tc>
        <w:tc>
          <w:tcPr>
            <w:tcW w:w="1475" w:type="dxa"/>
          </w:tcPr>
          <w:p>
            <w:pPr>
              <w:pStyle w:val="TableParagraph"/>
              <w:spacing w:before="102"/>
              <w:ind w:right="247"/>
              <w:jc w:val="right"/>
              <w:rPr>
                <w:sz w:val="14"/>
              </w:rPr>
            </w:pPr>
            <w:r>
              <w:rPr>
                <w:sz w:val="14"/>
              </w:rPr>
              <w:t>0.00</w:t>
            </w:r>
          </w:p>
        </w:tc>
        <w:tc>
          <w:tcPr>
            <w:tcW w:w="981" w:type="dxa"/>
          </w:tcPr>
          <w:p>
            <w:pPr>
              <w:pStyle w:val="TableParagraph"/>
              <w:rPr>
                <w:rFonts w:ascii="Times New Roman"/>
                <w:sz w:val="14"/>
              </w:rPr>
            </w:pPr>
          </w:p>
        </w:tc>
        <w:tc>
          <w:tcPr>
            <w:tcW w:w="408" w:type="dxa"/>
          </w:tcPr>
          <w:p>
            <w:pPr>
              <w:pStyle w:val="TableParagraph"/>
              <w:spacing w:before="102"/>
              <w:ind w:left="7" w:right="22"/>
              <w:jc w:val="center"/>
              <w:rPr>
                <w:sz w:val="14"/>
              </w:rPr>
            </w:pPr>
            <w:r>
              <w:rPr>
                <w:w w:val="105"/>
                <w:sz w:val="14"/>
              </w:rPr>
              <w:t>0.0%</w:t>
            </w:r>
          </w:p>
        </w:tc>
      </w:tr>
      <w:tr>
        <w:trPr>
          <w:trHeight w:val="364" w:hRule="atLeast"/>
        </w:trPr>
        <w:tc>
          <w:tcPr>
            <w:tcW w:w="3686" w:type="dxa"/>
          </w:tcPr>
          <w:p>
            <w:pPr>
              <w:pStyle w:val="TableParagraph"/>
              <w:spacing w:before="101"/>
              <w:ind w:left="131"/>
              <w:rPr>
                <w:sz w:val="14"/>
              </w:rPr>
            </w:pPr>
            <w:r>
              <w:rPr>
                <w:w w:val="105"/>
                <w:sz w:val="14"/>
              </w:rPr>
              <w:t>Certificated Pupil Support Salaries</w:t>
            </w:r>
          </w:p>
        </w:tc>
        <w:tc>
          <w:tcPr>
            <w:tcW w:w="1444" w:type="dxa"/>
          </w:tcPr>
          <w:p>
            <w:pPr>
              <w:pStyle w:val="TableParagraph"/>
              <w:rPr>
                <w:rFonts w:ascii="Times New Roman"/>
                <w:sz w:val="14"/>
              </w:rPr>
            </w:pPr>
          </w:p>
        </w:tc>
        <w:tc>
          <w:tcPr>
            <w:tcW w:w="1127" w:type="dxa"/>
          </w:tcPr>
          <w:p>
            <w:pPr>
              <w:pStyle w:val="TableParagraph"/>
              <w:spacing w:before="101"/>
              <w:ind w:left="88" w:right="47"/>
              <w:jc w:val="center"/>
              <w:rPr>
                <w:sz w:val="14"/>
              </w:rPr>
            </w:pPr>
            <w:r>
              <w:rPr>
                <w:w w:val="105"/>
                <w:sz w:val="14"/>
              </w:rPr>
              <w:t>1200</w:t>
            </w:r>
          </w:p>
        </w:tc>
        <w:tc>
          <w:tcPr>
            <w:tcW w:w="1666" w:type="dxa"/>
          </w:tcPr>
          <w:p>
            <w:pPr>
              <w:pStyle w:val="TableParagraph"/>
              <w:spacing w:before="101"/>
              <w:ind w:right="284"/>
              <w:jc w:val="right"/>
              <w:rPr>
                <w:sz w:val="14"/>
              </w:rPr>
            </w:pPr>
            <w:r>
              <w:rPr>
                <w:sz w:val="14"/>
              </w:rPr>
              <w:t>0.00</w:t>
            </w:r>
          </w:p>
        </w:tc>
        <w:tc>
          <w:tcPr>
            <w:tcW w:w="1475" w:type="dxa"/>
          </w:tcPr>
          <w:p>
            <w:pPr>
              <w:pStyle w:val="TableParagraph"/>
              <w:spacing w:before="101"/>
              <w:ind w:right="247"/>
              <w:jc w:val="right"/>
              <w:rPr>
                <w:sz w:val="14"/>
              </w:rPr>
            </w:pPr>
            <w:r>
              <w:rPr>
                <w:sz w:val="14"/>
              </w:rPr>
              <w:t>0.00</w:t>
            </w:r>
          </w:p>
        </w:tc>
        <w:tc>
          <w:tcPr>
            <w:tcW w:w="981" w:type="dxa"/>
          </w:tcPr>
          <w:p>
            <w:pPr>
              <w:pStyle w:val="TableParagraph"/>
              <w:rPr>
                <w:rFonts w:ascii="Times New Roman"/>
                <w:sz w:val="14"/>
              </w:rPr>
            </w:pPr>
          </w:p>
        </w:tc>
        <w:tc>
          <w:tcPr>
            <w:tcW w:w="408" w:type="dxa"/>
          </w:tcPr>
          <w:p>
            <w:pPr>
              <w:pStyle w:val="TableParagraph"/>
              <w:spacing w:before="101"/>
              <w:ind w:left="7" w:right="22"/>
              <w:jc w:val="center"/>
              <w:rPr>
                <w:sz w:val="14"/>
              </w:rPr>
            </w:pPr>
            <w:r>
              <w:rPr>
                <w:w w:val="105"/>
                <w:sz w:val="14"/>
              </w:rPr>
              <w:t>0.0%</w:t>
            </w:r>
          </w:p>
        </w:tc>
      </w:tr>
      <w:tr>
        <w:trPr>
          <w:trHeight w:val="364" w:hRule="atLeast"/>
        </w:trPr>
        <w:tc>
          <w:tcPr>
            <w:tcW w:w="3686" w:type="dxa"/>
          </w:tcPr>
          <w:p>
            <w:pPr>
              <w:pStyle w:val="TableParagraph"/>
              <w:spacing w:before="101"/>
              <w:ind w:left="131"/>
              <w:rPr>
                <w:sz w:val="14"/>
              </w:rPr>
            </w:pPr>
            <w:r>
              <w:rPr>
                <w:w w:val="105"/>
                <w:sz w:val="14"/>
              </w:rPr>
              <w:t>Certificated Supervisors' and Administrators' Salaries</w:t>
            </w:r>
          </w:p>
        </w:tc>
        <w:tc>
          <w:tcPr>
            <w:tcW w:w="1444" w:type="dxa"/>
          </w:tcPr>
          <w:p>
            <w:pPr>
              <w:pStyle w:val="TableParagraph"/>
              <w:rPr>
                <w:rFonts w:ascii="Times New Roman"/>
                <w:sz w:val="14"/>
              </w:rPr>
            </w:pPr>
          </w:p>
        </w:tc>
        <w:tc>
          <w:tcPr>
            <w:tcW w:w="1127" w:type="dxa"/>
          </w:tcPr>
          <w:p>
            <w:pPr>
              <w:pStyle w:val="TableParagraph"/>
              <w:spacing w:before="101"/>
              <w:ind w:left="88" w:right="47"/>
              <w:jc w:val="center"/>
              <w:rPr>
                <w:sz w:val="14"/>
              </w:rPr>
            </w:pPr>
            <w:r>
              <w:rPr>
                <w:w w:val="105"/>
                <w:sz w:val="14"/>
              </w:rPr>
              <w:t>1300</w:t>
            </w:r>
          </w:p>
        </w:tc>
        <w:tc>
          <w:tcPr>
            <w:tcW w:w="1666" w:type="dxa"/>
          </w:tcPr>
          <w:p>
            <w:pPr>
              <w:pStyle w:val="TableParagraph"/>
              <w:spacing w:before="101"/>
              <w:ind w:right="284"/>
              <w:jc w:val="right"/>
              <w:rPr>
                <w:sz w:val="14"/>
              </w:rPr>
            </w:pPr>
            <w:r>
              <w:rPr>
                <w:sz w:val="14"/>
              </w:rPr>
              <w:t>0.00</w:t>
            </w:r>
          </w:p>
        </w:tc>
        <w:tc>
          <w:tcPr>
            <w:tcW w:w="1475" w:type="dxa"/>
          </w:tcPr>
          <w:p>
            <w:pPr>
              <w:pStyle w:val="TableParagraph"/>
              <w:spacing w:before="101"/>
              <w:ind w:right="247"/>
              <w:jc w:val="right"/>
              <w:rPr>
                <w:sz w:val="14"/>
              </w:rPr>
            </w:pPr>
            <w:r>
              <w:rPr>
                <w:sz w:val="14"/>
              </w:rPr>
              <w:t>0.00</w:t>
            </w:r>
          </w:p>
        </w:tc>
        <w:tc>
          <w:tcPr>
            <w:tcW w:w="981" w:type="dxa"/>
          </w:tcPr>
          <w:p>
            <w:pPr>
              <w:pStyle w:val="TableParagraph"/>
              <w:rPr>
                <w:rFonts w:ascii="Times New Roman"/>
                <w:sz w:val="14"/>
              </w:rPr>
            </w:pPr>
          </w:p>
        </w:tc>
        <w:tc>
          <w:tcPr>
            <w:tcW w:w="408" w:type="dxa"/>
          </w:tcPr>
          <w:p>
            <w:pPr>
              <w:pStyle w:val="TableParagraph"/>
              <w:spacing w:before="101"/>
              <w:ind w:left="7" w:right="22"/>
              <w:jc w:val="center"/>
              <w:rPr>
                <w:sz w:val="14"/>
              </w:rPr>
            </w:pPr>
            <w:r>
              <w:rPr>
                <w:w w:val="105"/>
                <w:sz w:val="14"/>
              </w:rPr>
              <w:t>0.0%</w:t>
            </w:r>
          </w:p>
        </w:tc>
      </w:tr>
      <w:tr>
        <w:trPr>
          <w:trHeight w:val="370" w:hRule="atLeast"/>
        </w:trPr>
        <w:tc>
          <w:tcPr>
            <w:tcW w:w="3686" w:type="dxa"/>
          </w:tcPr>
          <w:p>
            <w:pPr>
              <w:pStyle w:val="TableParagraph"/>
              <w:spacing w:before="101"/>
              <w:ind w:left="131"/>
              <w:rPr>
                <w:sz w:val="14"/>
              </w:rPr>
            </w:pPr>
            <w:r>
              <w:rPr>
                <w:w w:val="105"/>
                <w:sz w:val="14"/>
              </w:rPr>
              <w:t>Other Certificated Salaries</w:t>
            </w:r>
          </w:p>
        </w:tc>
        <w:tc>
          <w:tcPr>
            <w:tcW w:w="1444" w:type="dxa"/>
          </w:tcPr>
          <w:p>
            <w:pPr>
              <w:pStyle w:val="TableParagraph"/>
              <w:rPr>
                <w:rFonts w:ascii="Times New Roman"/>
                <w:sz w:val="14"/>
              </w:rPr>
            </w:pPr>
          </w:p>
        </w:tc>
        <w:tc>
          <w:tcPr>
            <w:tcW w:w="1127" w:type="dxa"/>
          </w:tcPr>
          <w:p>
            <w:pPr>
              <w:pStyle w:val="TableParagraph"/>
              <w:spacing w:before="101"/>
              <w:ind w:left="88" w:right="47"/>
              <w:jc w:val="center"/>
              <w:rPr>
                <w:sz w:val="14"/>
              </w:rPr>
            </w:pPr>
            <w:r>
              <w:rPr>
                <w:w w:val="105"/>
                <w:sz w:val="14"/>
              </w:rPr>
              <w:t>1900</w:t>
            </w:r>
          </w:p>
        </w:tc>
        <w:tc>
          <w:tcPr>
            <w:tcW w:w="1666" w:type="dxa"/>
          </w:tcPr>
          <w:p>
            <w:pPr>
              <w:pStyle w:val="TableParagraph"/>
              <w:spacing w:before="101"/>
              <w:ind w:right="284"/>
              <w:jc w:val="right"/>
              <w:rPr>
                <w:sz w:val="14"/>
              </w:rPr>
            </w:pPr>
            <w:r>
              <w:rPr>
                <w:sz w:val="14"/>
              </w:rPr>
              <w:t>0.00</w:t>
            </w:r>
          </w:p>
        </w:tc>
        <w:tc>
          <w:tcPr>
            <w:tcW w:w="1475" w:type="dxa"/>
          </w:tcPr>
          <w:p>
            <w:pPr>
              <w:pStyle w:val="TableParagraph"/>
              <w:spacing w:before="101"/>
              <w:ind w:right="247"/>
              <w:jc w:val="right"/>
              <w:rPr>
                <w:sz w:val="14"/>
              </w:rPr>
            </w:pPr>
            <w:r>
              <w:rPr>
                <w:sz w:val="14"/>
              </w:rPr>
              <w:t>0.00</w:t>
            </w:r>
          </w:p>
        </w:tc>
        <w:tc>
          <w:tcPr>
            <w:tcW w:w="981" w:type="dxa"/>
          </w:tcPr>
          <w:p>
            <w:pPr>
              <w:pStyle w:val="TableParagraph"/>
              <w:rPr>
                <w:rFonts w:ascii="Times New Roman"/>
                <w:sz w:val="14"/>
              </w:rPr>
            </w:pPr>
          </w:p>
        </w:tc>
        <w:tc>
          <w:tcPr>
            <w:tcW w:w="408" w:type="dxa"/>
          </w:tcPr>
          <w:p>
            <w:pPr>
              <w:pStyle w:val="TableParagraph"/>
              <w:spacing w:before="101"/>
              <w:ind w:left="7" w:right="22"/>
              <w:jc w:val="center"/>
              <w:rPr>
                <w:sz w:val="14"/>
              </w:rPr>
            </w:pPr>
            <w:r>
              <w:rPr>
                <w:w w:val="105"/>
                <w:sz w:val="14"/>
              </w:rPr>
              <w:t>0.0%</w:t>
            </w:r>
          </w:p>
        </w:tc>
      </w:tr>
      <w:tr>
        <w:trPr>
          <w:trHeight w:val="643" w:hRule="atLeast"/>
        </w:trPr>
        <w:tc>
          <w:tcPr>
            <w:tcW w:w="3686" w:type="dxa"/>
          </w:tcPr>
          <w:p>
            <w:pPr>
              <w:pStyle w:val="TableParagraph"/>
              <w:spacing w:before="107"/>
              <w:ind w:left="131"/>
              <w:rPr>
                <w:sz w:val="14"/>
              </w:rPr>
            </w:pPr>
            <w:r>
              <w:rPr>
                <w:w w:val="105"/>
                <w:sz w:val="14"/>
              </w:rPr>
              <w:t>TOTAL, CERTIFICATED SALARIES</w:t>
            </w:r>
          </w:p>
          <w:p>
            <w:pPr>
              <w:pStyle w:val="TableParagraph"/>
              <w:spacing w:before="6"/>
              <w:rPr>
                <w:sz w:val="18"/>
              </w:rPr>
            </w:pPr>
          </w:p>
          <w:p>
            <w:pPr>
              <w:pStyle w:val="TableParagraph"/>
              <w:spacing w:line="142" w:lineRule="exact"/>
              <w:ind w:left="50"/>
              <w:rPr>
                <w:b/>
                <w:sz w:val="14"/>
              </w:rPr>
            </w:pPr>
            <w:r>
              <w:rPr>
                <w:b/>
                <w:w w:val="105"/>
                <w:sz w:val="14"/>
              </w:rPr>
              <w:t>CLASSIFIED SALARIES</w:t>
            </w:r>
          </w:p>
        </w:tc>
        <w:tc>
          <w:tcPr>
            <w:tcW w:w="1444" w:type="dxa"/>
          </w:tcPr>
          <w:p>
            <w:pPr>
              <w:pStyle w:val="TableParagraph"/>
              <w:rPr>
                <w:rFonts w:ascii="Times New Roman"/>
                <w:sz w:val="14"/>
              </w:rPr>
            </w:pPr>
          </w:p>
        </w:tc>
        <w:tc>
          <w:tcPr>
            <w:tcW w:w="1127" w:type="dxa"/>
          </w:tcPr>
          <w:p>
            <w:pPr>
              <w:pStyle w:val="TableParagraph"/>
              <w:rPr>
                <w:rFonts w:ascii="Times New Roman"/>
                <w:sz w:val="14"/>
              </w:rPr>
            </w:pPr>
          </w:p>
        </w:tc>
        <w:tc>
          <w:tcPr>
            <w:tcW w:w="1666" w:type="dxa"/>
          </w:tcPr>
          <w:p>
            <w:pPr>
              <w:pStyle w:val="TableParagraph"/>
              <w:spacing w:before="107"/>
              <w:ind w:right="284"/>
              <w:jc w:val="right"/>
              <w:rPr>
                <w:sz w:val="14"/>
              </w:rPr>
            </w:pPr>
            <w:r>
              <w:rPr>
                <w:sz w:val="14"/>
              </w:rPr>
              <w:t>0.00</w:t>
            </w:r>
          </w:p>
        </w:tc>
        <w:tc>
          <w:tcPr>
            <w:tcW w:w="1475" w:type="dxa"/>
          </w:tcPr>
          <w:p>
            <w:pPr>
              <w:pStyle w:val="TableParagraph"/>
              <w:spacing w:before="107"/>
              <w:ind w:right="247"/>
              <w:jc w:val="right"/>
              <w:rPr>
                <w:sz w:val="14"/>
              </w:rPr>
            </w:pPr>
            <w:r>
              <w:rPr>
                <w:sz w:val="14"/>
              </w:rPr>
              <w:t>0.00</w:t>
            </w:r>
          </w:p>
        </w:tc>
        <w:tc>
          <w:tcPr>
            <w:tcW w:w="981" w:type="dxa"/>
          </w:tcPr>
          <w:p>
            <w:pPr>
              <w:pStyle w:val="TableParagraph"/>
              <w:rPr>
                <w:rFonts w:ascii="Times New Roman"/>
                <w:sz w:val="14"/>
              </w:rPr>
            </w:pPr>
          </w:p>
        </w:tc>
        <w:tc>
          <w:tcPr>
            <w:tcW w:w="408" w:type="dxa"/>
          </w:tcPr>
          <w:p>
            <w:pPr>
              <w:pStyle w:val="TableParagraph"/>
              <w:spacing w:before="107"/>
              <w:ind w:left="7" w:right="22"/>
              <w:jc w:val="center"/>
              <w:rPr>
                <w:sz w:val="14"/>
              </w:rPr>
            </w:pPr>
            <w:r>
              <w:rPr>
                <w:w w:val="105"/>
                <w:sz w:val="14"/>
              </w:rPr>
              <w:t>0.0%</w:t>
            </w:r>
          </w:p>
        </w:tc>
      </w:tr>
      <w:tr>
        <w:trPr>
          <w:trHeight w:val="469" w:hRule="atLeast"/>
        </w:trPr>
        <w:tc>
          <w:tcPr>
            <w:tcW w:w="3686" w:type="dxa"/>
          </w:tcPr>
          <w:p>
            <w:pPr>
              <w:pStyle w:val="TableParagraph"/>
              <w:spacing w:before="9"/>
              <w:rPr>
                <w:sz w:val="17"/>
              </w:rPr>
            </w:pPr>
          </w:p>
          <w:p>
            <w:pPr>
              <w:pStyle w:val="TableParagraph"/>
              <w:spacing w:before="1"/>
              <w:ind w:left="131"/>
              <w:rPr>
                <w:sz w:val="14"/>
              </w:rPr>
            </w:pPr>
            <w:r>
              <w:rPr>
                <w:w w:val="105"/>
                <w:sz w:val="14"/>
              </w:rPr>
              <w:t>Classified Instructional Salaries</w:t>
            </w:r>
          </w:p>
        </w:tc>
        <w:tc>
          <w:tcPr>
            <w:tcW w:w="2571" w:type="dxa"/>
            <w:gridSpan w:val="2"/>
          </w:tcPr>
          <w:p>
            <w:pPr>
              <w:pStyle w:val="TableParagraph"/>
              <w:spacing w:before="9"/>
              <w:rPr>
                <w:sz w:val="17"/>
              </w:rPr>
            </w:pPr>
          </w:p>
          <w:p>
            <w:pPr>
              <w:pStyle w:val="TableParagraph"/>
              <w:spacing w:before="1"/>
              <w:ind w:right="382"/>
              <w:jc w:val="right"/>
              <w:rPr>
                <w:sz w:val="14"/>
              </w:rPr>
            </w:pPr>
            <w:r>
              <w:rPr>
                <w:sz w:val="14"/>
              </w:rPr>
              <w:t>2100</w:t>
            </w:r>
          </w:p>
        </w:tc>
        <w:tc>
          <w:tcPr>
            <w:tcW w:w="1666" w:type="dxa"/>
          </w:tcPr>
          <w:p>
            <w:pPr>
              <w:pStyle w:val="TableParagraph"/>
              <w:spacing w:before="9"/>
              <w:rPr>
                <w:sz w:val="17"/>
              </w:rPr>
            </w:pPr>
          </w:p>
          <w:p>
            <w:pPr>
              <w:pStyle w:val="TableParagraph"/>
              <w:spacing w:before="1"/>
              <w:ind w:right="284"/>
              <w:jc w:val="right"/>
              <w:rPr>
                <w:sz w:val="14"/>
              </w:rPr>
            </w:pPr>
            <w:r>
              <w:rPr>
                <w:sz w:val="14"/>
              </w:rPr>
              <w:t>0.00</w:t>
            </w:r>
          </w:p>
        </w:tc>
        <w:tc>
          <w:tcPr>
            <w:tcW w:w="1475" w:type="dxa"/>
          </w:tcPr>
          <w:p>
            <w:pPr>
              <w:pStyle w:val="TableParagraph"/>
              <w:spacing w:before="9"/>
              <w:rPr>
                <w:sz w:val="17"/>
              </w:rPr>
            </w:pPr>
          </w:p>
          <w:p>
            <w:pPr>
              <w:pStyle w:val="TableParagraph"/>
              <w:spacing w:before="1"/>
              <w:ind w:right="247"/>
              <w:jc w:val="right"/>
              <w:rPr>
                <w:sz w:val="14"/>
              </w:rPr>
            </w:pPr>
            <w:r>
              <w:rPr>
                <w:sz w:val="14"/>
              </w:rPr>
              <w:t>0.00</w:t>
            </w:r>
          </w:p>
        </w:tc>
        <w:tc>
          <w:tcPr>
            <w:tcW w:w="1389" w:type="dxa"/>
            <w:gridSpan w:val="2"/>
          </w:tcPr>
          <w:p>
            <w:pPr>
              <w:pStyle w:val="TableParagraph"/>
              <w:spacing w:before="9"/>
              <w:rPr>
                <w:sz w:val="17"/>
              </w:rPr>
            </w:pPr>
          </w:p>
          <w:p>
            <w:pPr>
              <w:pStyle w:val="TableParagraph"/>
              <w:spacing w:before="1"/>
              <w:ind w:right="47"/>
              <w:jc w:val="right"/>
              <w:rPr>
                <w:sz w:val="14"/>
              </w:rPr>
            </w:pPr>
            <w:r>
              <w:rPr>
                <w:sz w:val="14"/>
              </w:rPr>
              <w:t>0.0%</w:t>
            </w:r>
          </w:p>
        </w:tc>
      </w:tr>
      <w:tr>
        <w:trPr>
          <w:trHeight w:val="364" w:hRule="atLeast"/>
        </w:trPr>
        <w:tc>
          <w:tcPr>
            <w:tcW w:w="3686" w:type="dxa"/>
          </w:tcPr>
          <w:p>
            <w:pPr>
              <w:pStyle w:val="TableParagraph"/>
              <w:spacing w:before="101"/>
              <w:ind w:left="131"/>
              <w:rPr>
                <w:sz w:val="14"/>
              </w:rPr>
            </w:pPr>
            <w:r>
              <w:rPr>
                <w:w w:val="105"/>
                <w:sz w:val="14"/>
              </w:rPr>
              <w:t>Classified Support Salaries</w:t>
            </w:r>
          </w:p>
        </w:tc>
        <w:tc>
          <w:tcPr>
            <w:tcW w:w="2571" w:type="dxa"/>
            <w:gridSpan w:val="2"/>
          </w:tcPr>
          <w:p>
            <w:pPr>
              <w:pStyle w:val="TableParagraph"/>
              <w:spacing w:before="101"/>
              <w:ind w:right="382"/>
              <w:jc w:val="right"/>
              <w:rPr>
                <w:sz w:val="14"/>
              </w:rPr>
            </w:pPr>
            <w:r>
              <w:rPr>
                <w:sz w:val="14"/>
              </w:rPr>
              <w:t>2200</w:t>
            </w:r>
          </w:p>
        </w:tc>
        <w:tc>
          <w:tcPr>
            <w:tcW w:w="1666" w:type="dxa"/>
          </w:tcPr>
          <w:p>
            <w:pPr>
              <w:pStyle w:val="TableParagraph"/>
              <w:spacing w:before="101"/>
              <w:ind w:right="284"/>
              <w:jc w:val="right"/>
              <w:rPr>
                <w:sz w:val="14"/>
              </w:rPr>
            </w:pPr>
            <w:r>
              <w:rPr>
                <w:sz w:val="14"/>
              </w:rPr>
              <w:t>0.00</w:t>
            </w:r>
          </w:p>
        </w:tc>
        <w:tc>
          <w:tcPr>
            <w:tcW w:w="1475" w:type="dxa"/>
          </w:tcPr>
          <w:p>
            <w:pPr>
              <w:pStyle w:val="TableParagraph"/>
              <w:spacing w:before="101"/>
              <w:ind w:right="247"/>
              <w:jc w:val="right"/>
              <w:rPr>
                <w:sz w:val="14"/>
              </w:rPr>
            </w:pPr>
            <w:r>
              <w:rPr>
                <w:sz w:val="14"/>
              </w:rPr>
              <w:t>0.00</w:t>
            </w:r>
          </w:p>
        </w:tc>
        <w:tc>
          <w:tcPr>
            <w:tcW w:w="1389" w:type="dxa"/>
            <w:gridSpan w:val="2"/>
          </w:tcPr>
          <w:p>
            <w:pPr>
              <w:pStyle w:val="TableParagraph"/>
              <w:spacing w:before="101"/>
              <w:ind w:right="47"/>
              <w:jc w:val="right"/>
              <w:rPr>
                <w:sz w:val="14"/>
              </w:rPr>
            </w:pPr>
            <w:r>
              <w:rPr>
                <w:sz w:val="14"/>
              </w:rPr>
              <w:t>0.0%</w:t>
            </w:r>
          </w:p>
        </w:tc>
      </w:tr>
      <w:tr>
        <w:trPr>
          <w:trHeight w:val="364" w:hRule="atLeast"/>
        </w:trPr>
        <w:tc>
          <w:tcPr>
            <w:tcW w:w="3686" w:type="dxa"/>
          </w:tcPr>
          <w:p>
            <w:pPr>
              <w:pStyle w:val="TableParagraph"/>
              <w:spacing w:before="101"/>
              <w:ind w:left="131"/>
              <w:rPr>
                <w:sz w:val="14"/>
              </w:rPr>
            </w:pPr>
            <w:r>
              <w:rPr>
                <w:w w:val="105"/>
                <w:sz w:val="14"/>
              </w:rPr>
              <w:t>Classified Supervisors' and Administrators' Salaries</w:t>
            </w:r>
          </w:p>
        </w:tc>
        <w:tc>
          <w:tcPr>
            <w:tcW w:w="2571" w:type="dxa"/>
            <w:gridSpan w:val="2"/>
          </w:tcPr>
          <w:p>
            <w:pPr>
              <w:pStyle w:val="TableParagraph"/>
              <w:spacing w:before="101"/>
              <w:ind w:right="382"/>
              <w:jc w:val="right"/>
              <w:rPr>
                <w:sz w:val="14"/>
              </w:rPr>
            </w:pPr>
            <w:r>
              <w:rPr>
                <w:sz w:val="14"/>
              </w:rPr>
              <w:t>2300</w:t>
            </w:r>
          </w:p>
        </w:tc>
        <w:tc>
          <w:tcPr>
            <w:tcW w:w="1666" w:type="dxa"/>
          </w:tcPr>
          <w:p>
            <w:pPr>
              <w:pStyle w:val="TableParagraph"/>
              <w:spacing w:before="101"/>
              <w:ind w:right="284"/>
              <w:jc w:val="right"/>
              <w:rPr>
                <w:sz w:val="14"/>
              </w:rPr>
            </w:pPr>
            <w:r>
              <w:rPr>
                <w:sz w:val="14"/>
              </w:rPr>
              <w:t>0.00</w:t>
            </w:r>
          </w:p>
        </w:tc>
        <w:tc>
          <w:tcPr>
            <w:tcW w:w="1475" w:type="dxa"/>
          </w:tcPr>
          <w:p>
            <w:pPr>
              <w:pStyle w:val="TableParagraph"/>
              <w:spacing w:before="101"/>
              <w:ind w:right="247"/>
              <w:jc w:val="right"/>
              <w:rPr>
                <w:sz w:val="14"/>
              </w:rPr>
            </w:pPr>
            <w:r>
              <w:rPr>
                <w:sz w:val="14"/>
              </w:rPr>
              <w:t>0.00</w:t>
            </w:r>
          </w:p>
        </w:tc>
        <w:tc>
          <w:tcPr>
            <w:tcW w:w="1389" w:type="dxa"/>
            <w:gridSpan w:val="2"/>
          </w:tcPr>
          <w:p>
            <w:pPr>
              <w:pStyle w:val="TableParagraph"/>
              <w:spacing w:before="101"/>
              <w:ind w:right="47"/>
              <w:jc w:val="right"/>
              <w:rPr>
                <w:sz w:val="14"/>
              </w:rPr>
            </w:pPr>
            <w:r>
              <w:rPr>
                <w:sz w:val="14"/>
              </w:rPr>
              <w:t>0.0%</w:t>
            </w:r>
          </w:p>
        </w:tc>
      </w:tr>
      <w:tr>
        <w:trPr>
          <w:trHeight w:val="364" w:hRule="atLeast"/>
        </w:trPr>
        <w:tc>
          <w:tcPr>
            <w:tcW w:w="3686" w:type="dxa"/>
          </w:tcPr>
          <w:p>
            <w:pPr>
              <w:pStyle w:val="TableParagraph"/>
              <w:spacing w:before="101"/>
              <w:ind w:left="131"/>
              <w:rPr>
                <w:sz w:val="14"/>
              </w:rPr>
            </w:pPr>
            <w:r>
              <w:rPr>
                <w:w w:val="105"/>
                <w:sz w:val="14"/>
              </w:rPr>
              <w:t>Clerical, Technical and Office Salaries</w:t>
            </w:r>
          </w:p>
        </w:tc>
        <w:tc>
          <w:tcPr>
            <w:tcW w:w="2571" w:type="dxa"/>
            <w:gridSpan w:val="2"/>
          </w:tcPr>
          <w:p>
            <w:pPr>
              <w:pStyle w:val="TableParagraph"/>
              <w:spacing w:before="101"/>
              <w:ind w:right="382"/>
              <w:jc w:val="right"/>
              <w:rPr>
                <w:sz w:val="14"/>
              </w:rPr>
            </w:pPr>
            <w:r>
              <w:rPr>
                <w:sz w:val="14"/>
              </w:rPr>
              <w:t>2400</w:t>
            </w:r>
          </w:p>
        </w:tc>
        <w:tc>
          <w:tcPr>
            <w:tcW w:w="1666" w:type="dxa"/>
          </w:tcPr>
          <w:p>
            <w:pPr>
              <w:pStyle w:val="TableParagraph"/>
              <w:spacing w:before="101"/>
              <w:ind w:right="284"/>
              <w:jc w:val="right"/>
              <w:rPr>
                <w:sz w:val="14"/>
              </w:rPr>
            </w:pPr>
            <w:r>
              <w:rPr>
                <w:sz w:val="14"/>
              </w:rPr>
              <w:t>0.00</w:t>
            </w:r>
          </w:p>
        </w:tc>
        <w:tc>
          <w:tcPr>
            <w:tcW w:w="1475" w:type="dxa"/>
          </w:tcPr>
          <w:p>
            <w:pPr>
              <w:pStyle w:val="TableParagraph"/>
              <w:spacing w:before="101"/>
              <w:ind w:right="247"/>
              <w:jc w:val="right"/>
              <w:rPr>
                <w:sz w:val="14"/>
              </w:rPr>
            </w:pPr>
            <w:r>
              <w:rPr>
                <w:sz w:val="14"/>
              </w:rPr>
              <w:t>0.00</w:t>
            </w:r>
          </w:p>
        </w:tc>
        <w:tc>
          <w:tcPr>
            <w:tcW w:w="1389" w:type="dxa"/>
            <w:gridSpan w:val="2"/>
          </w:tcPr>
          <w:p>
            <w:pPr>
              <w:pStyle w:val="TableParagraph"/>
              <w:spacing w:before="101"/>
              <w:ind w:right="47"/>
              <w:jc w:val="right"/>
              <w:rPr>
                <w:sz w:val="14"/>
              </w:rPr>
            </w:pPr>
            <w:r>
              <w:rPr>
                <w:sz w:val="14"/>
              </w:rPr>
              <w:t>0.0%</w:t>
            </w:r>
          </w:p>
        </w:tc>
      </w:tr>
      <w:tr>
        <w:trPr>
          <w:trHeight w:val="370" w:hRule="atLeast"/>
        </w:trPr>
        <w:tc>
          <w:tcPr>
            <w:tcW w:w="3686" w:type="dxa"/>
          </w:tcPr>
          <w:p>
            <w:pPr>
              <w:pStyle w:val="TableParagraph"/>
              <w:spacing w:before="101"/>
              <w:ind w:left="131"/>
              <w:rPr>
                <w:sz w:val="14"/>
              </w:rPr>
            </w:pPr>
            <w:r>
              <w:rPr>
                <w:w w:val="105"/>
                <w:sz w:val="14"/>
              </w:rPr>
              <w:t>Other Classified Salaries</w:t>
            </w:r>
          </w:p>
        </w:tc>
        <w:tc>
          <w:tcPr>
            <w:tcW w:w="2571" w:type="dxa"/>
            <w:gridSpan w:val="2"/>
          </w:tcPr>
          <w:p>
            <w:pPr>
              <w:pStyle w:val="TableParagraph"/>
              <w:spacing w:before="101"/>
              <w:ind w:right="382"/>
              <w:jc w:val="right"/>
              <w:rPr>
                <w:sz w:val="14"/>
              </w:rPr>
            </w:pPr>
            <w:r>
              <w:rPr>
                <w:sz w:val="14"/>
              </w:rPr>
              <w:t>2900</w:t>
            </w:r>
          </w:p>
        </w:tc>
        <w:tc>
          <w:tcPr>
            <w:tcW w:w="1666" w:type="dxa"/>
          </w:tcPr>
          <w:p>
            <w:pPr>
              <w:pStyle w:val="TableParagraph"/>
              <w:spacing w:before="101"/>
              <w:ind w:right="284"/>
              <w:jc w:val="right"/>
              <w:rPr>
                <w:sz w:val="14"/>
              </w:rPr>
            </w:pPr>
            <w:r>
              <w:rPr>
                <w:sz w:val="14"/>
              </w:rPr>
              <w:t>0.00</w:t>
            </w:r>
          </w:p>
        </w:tc>
        <w:tc>
          <w:tcPr>
            <w:tcW w:w="1475" w:type="dxa"/>
          </w:tcPr>
          <w:p>
            <w:pPr>
              <w:pStyle w:val="TableParagraph"/>
              <w:spacing w:before="101"/>
              <w:ind w:right="247"/>
              <w:jc w:val="right"/>
              <w:rPr>
                <w:sz w:val="14"/>
              </w:rPr>
            </w:pPr>
            <w:r>
              <w:rPr>
                <w:sz w:val="14"/>
              </w:rPr>
              <w:t>0.00</w:t>
            </w:r>
          </w:p>
        </w:tc>
        <w:tc>
          <w:tcPr>
            <w:tcW w:w="1389" w:type="dxa"/>
            <w:gridSpan w:val="2"/>
          </w:tcPr>
          <w:p>
            <w:pPr>
              <w:pStyle w:val="TableParagraph"/>
              <w:spacing w:before="101"/>
              <w:ind w:right="47"/>
              <w:jc w:val="right"/>
              <w:rPr>
                <w:sz w:val="14"/>
              </w:rPr>
            </w:pPr>
            <w:r>
              <w:rPr>
                <w:sz w:val="14"/>
              </w:rPr>
              <w:t>0.0%</w:t>
            </w:r>
          </w:p>
        </w:tc>
      </w:tr>
      <w:tr>
        <w:trPr>
          <w:trHeight w:val="268" w:hRule="atLeast"/>
        </w:trPr>
        <w:tc>
          <w:tcPr>
            <w:tcW w:w="3686" w:type="dxa"/>
          </w:tcPr>
          <w:p>
            <w:pPr>
              <w:pStyle w:val="TableParagraph"/>
              <w:spacing w:line="142" w:lineRule="exact" w:before="107"/>
              <w:ind w:left="131"/>
              <w:rPr>
                <w:sz w:val="14"/>
              </w:rPr>
            </w:pPr>
            <w:r>
              <w:rPr>
                <w:w w:val="105"/>
                <w:sz w:val="14"/>
              </w:rPr>
              <w:t>TOTAL, CLASSIFIED SALARIES</w:t>
            </w:r>
          </w:p>
        </w:tc>
        <w:tc>
          <w:tcPr>
            <w:tcW w:w="2571" w:type="dxa"/>
            <w:gridSpan w:val="2"/>
          </w:tcPr>
          <w:p>
            <w:pPr>
              <w:pStyle w:val="TableParagraph"/>
              <w:rPr>
                <w:rFonts w:ascii="Times New Roman"/>
                <w:sz w:val="14"/>
              </w:rPr>
            </w:pPr>
          </w:p>
        </w:tc>
        <w:tc>
          <w:tcPr>
            <w:tcW w:w="1666" w:type="dxa"/>
          </w:tcPr>
          <w:p>
            <w:pPr>
              <w:pStyle w:val="TableParagraph"/>
              <w:spacing w:line="142" w:lineRule="exact" w:before="107"/>
              <w:ind w:right="284"/>
              <w:jc w:val="right"/>
              <w:rPr>
                <w:sz w:val="14"/>
              </w:rPr>
            </w:pPr>
            <w:r>
              <w:rPr>
                <w:sz w:val="14"/>
              </w:rPr>
              <w:t>0.00</w:t>
            </w:r>
          </w:p>
        </w:tc>
        <w:tc>
          <w:tcPr>
            <w:tcW w:w="1475" w:type="dxa"/>
          </w:tcPr>
          <w:p>
            <w:pPr>
              <w:pStyle w:val="TableParagraph"/>
              <w:spacing w:line="142" w:lineRule="exact" w:before="107"/>
              <w:ind w:right="247"/>
              <w:jc w:val="right"/>
              <w:rPr>
                <w:sz w:val="14"/>
              </w:rPr>
            </w:pPr>
            <w:r>
              <w:rPr>
                <w:sz w:val="14"/>
              </w:rPr>
              <w:t>0.00</w:t>
            </w:r>
          </w:p>
        </w:tc>
        <w:tc>
          <w:tcPr>
            <w:tcW w:w="1389" w:type="dxa"/>
            <w:gridSpan w:val="2"/>
          </w:tcPr>
          <w:p>
            <w:pPr>
              <w:pStyle w:val="TableParagraph"/>
              <w:spacing w:line="142" w:lineRule="exact" w:before="107"/>
              <w:ind w:right="47"/>
              <w:jc w:val="right"/>
              <w:rPr>
                <w:sz w:val="14"/>
              </w:rPr>
            </w:pPr>
            <w:r>
              <w:rPr>
                <w:sz w:val="14"/>
              </w:rPr>
              <w:t>0.0%</w:t>
            </w:r>
          </w:p>
        </w:tc>
      </w:tr>
      <w:tr>
        <w:trPr>
          <w:trHeight w:val="374" w:hRule="atLeast"/>
        </w:trPr>
        <w:tc>
          <w:tcPr>
            <w:tcW w:w="3686" w:type="dxa"/>
          </w:tcPr>
          <w:p>
            <w:pPr>
              <w:pStyle w:val="TableParagraph"/>
              <w:spacing w:before="5"/>
              <w:rPr>
                <w:sz w:val="18"/>
              </w:rPr>
            </w:pPr>
          </w:p>
          <w:p>
            <w:pPr>
              <w:pStyle w:val="TableParagraph"/>
              <w:spacing w:line="142" w:lineRule="exact"/>
              <w:ind w:left="50"/>
              <w:rPr>
                <w:b/>
                <w:sz w:val="14"/>
              </w:rPr>
            </w:pPr>
            <w:r>
              <w:rPr>
                <w:b/>
                <w:w w:val="105"/>
                <w:sz w:val="14"/>
              </w:rPr>
              <w:t>EMPLOYEE BENEFITS</w:t>
            </w:r>
          </w:p>
        </w:tc>
        <w:tc>
          <w:tcPr>
            <w:tcW w:w="1444" w:type="dxa"/>
          </w:tcPr>
          <w:p>
            <w:pPr>
              <w:pStyle w:val="TableParagraph"/>
              <w:rPr>
                <w:rFonts w:ascii="Times New Roman"/>
                <w:sz w:val="14"/>
              </w:rPr>
            </w:pPr>
          </w:p>
        </w:tc>
        <w:tc>
          <w:tcPr>
            <w:tcW w:w="1127" w:type="dxa"/>
          </w:tcPr>
          <w:p>
            <w:pPr>
              <w:pStyle w:val="TableParagraph"/>
              <w:rPr>
                <w:rFonts w:ascii="Times New Roman"/>
                <w:sz w:val="14"/>
              </w:rPr>
            </w:pPr>
          </w:p>
        </w:tc>
        <w:tc>
          <w:tcPr>
            <w:tcW w:w="1666" w:type="dxa"/>
          </w:tcPr>
          <w:p>
            <w:pPr>
              <w:pStyle w:val="TableParagraph"/>
              <w:rPr>
                <w:rFonts w:ascii="Times New Roman"/>
                <w:sz w:val="14"/>
              </w:rPr>
            </w:pPr>
          </w:p>
        </w:tc>
        <w:tc>
          <w:tcPr>
            <w:tcW w:w="1475" w:type="dxa"/>
          </w:tcPr>
          <w:p>
            <w:pPr>
              <w:pStyle w:val="TableParagraph"/>
              <w:rPr>
                <w:rFonts w:ascii="Times New Roman"/>
                <w:sz w:val="14"/>
              </w:rPr>
            </w:pPr>
          </w:p>
        </w:tc>
        <w:tc>
          <w:tcPr>
            <w:tcW w:w="981" w:type="dxa"/>
          </w:tcPr>
          <w:p>
            <w:pPr>
              <w:pStyle w:val="TableParagraph"/>
              <w:rPr>
                <w:rFonts w:ascii="Times New Roman"/>
                <w:sz w:val="14"/>
              </w:rPr>
            </w:pPr>
          </w:p>
        </w:tc>
        <w:tc>
          <w:tcPr>
            <w:tcW w:w="408" w:type="dxa"/>
          </w:tcPr>
          <w:p>
            <w:pPr>
              <w:pStyle w:val="TableParagraph"/>
              <w:rPr>
                <w:rFonts w:ascii="Times New Roman"/>
                <w:sz w:val="14"/>
              </w:rPr>
            </w:pPr>
          </w:p>
        </w:tc>
      </w:tr>
      <w:tr>
        <w:trPr>
          <w:trHeight w:val="469" w:hRule="atLeast"/>
        </w:trPr>
        <w:tc>
          <w:tcPr>
            <w:tcW w:w="3686" w:type="dxa"/>
          </w:tcPr>
          <w:p>
            <w:pPr>
              <w:pStyle w:val="TableParagraph"/>
              <w:spacing w:before="9"/>
              <w:rPr>
                <w:sz w:val="17"/>
              </w:rPr>
            </w:pPr>
          </w:p>
          <w:p>
            <w:pPr>
              <w:pStyle w:val="TableParagraph"/>
              <w:spacing w:before="1"/>
              <w:ind w:left="131"/>
              <w:rPr>
                <w:sz w:val="14"/>
              </w:rPr>
            </w:pPr>
            <w:r>
              <w:rPr>
                <w:w w:val="105"/>
                <w:sz w:val="14"/>
              </w:rPr>
              <w:t>STRS</w:t>
            </w:r>
          </w:p>
        </w:tc>
        <w:tc>
          <w:tcPr>
            <w:tcW w:w="2571" w:type="dxa"/>
            <w:gridSpan w:val="2"/>
          </w:tcPr>
          <w:p>
            <w:pPr>
              <w:pStyle w:val="TableParagraph"/>
              <w:spacing w:before="9"/>
              <w:rPr>
                <w:sz w:val="17"/>
              </w:rPr>
            </w:pPr>
          </w:p>
          <w:p>
            <w:pPr>
              <w:pStyle w:val="TableParagraph"/>
              <w:spacing w:before="1"/>
              <w:ind w:left="1687"/>
              <w:rPr>
                <w:sz w:val="14"/>
              </w:rPr>
            </w:pPr>
            <w:r>
              <w:rPr>
                <w:w w:val="105"/>
                <w:sz w:val="14"/>
              </w:rPr>
              <w:t>3101-3102</w:t>
            </w:r>
          </w:p>
        </w:tc>
        <w:tc>
          <w:tcPr>
            <w:tcW w:w="1666" w:type="dxa"/>
          </w:tcPr>
          <w:p>
            <w:pPr>
              <w:pStyle w:val="TableParagraph"/>
              <w:spacing w:before="9"/>
              <w:rPr>
                <w:sz w:val="17"/>
              </w:rPr>
            </w:pPr>
          </w:p>
          <w:p>
            <w:pPr>
              <w:pStyle w:val="TableParagraph"/>
              <w:spacing w:before="1"/>
              <w:ind w:right="284"/>
              <w:jc w:val="right"/>
              <w:rPr>
                <w:sz w:val="14"/>
              </w:rPr>
            </w:pPr>
            <w:r>
              <w:rPr>
                <w:sz w:val="14"/>
              </w:rPr>
              <w:t>0.00</w:t>
            </w:r>
          </w:p>
        </w:tc>
        <w:tc>
          <w:tcPr>
            <w:tcW w:w="1475" w:type="dxa"/>
          </w:tcPr>
          <w:p>
            <w:pPr>
              <w:pStyle w:val="TableParagraph"/>
              <w:spacing w:before="9"/>
              <w:rPr>
                <w:sz w:val="17"/>
              </w:rPr>
            </w:pPr>
          </w:p>
          <w:p>
            <w:pPr>
              <w:pStyle w:val="TableParagraph"/>
              <w:spacing w:before="1"/>
              <w:ind w:right="247"/>
              <w:jc w:val="right"/>
              <w:rPr>
                <w:sz w:val="14"/>
              </w:rPr>
            </w:pPr>
            <w:r>
              <w:rPr>
                <w:sz w:val="14"/>
              </w:rPr>
              <w:t>0.00</w:t>
            </w:r>
          </w:p>
        </w:tc>
        <w:tc>
          <w:tcPr>
            <w:tcW w:w="1389" w:type="dxa"/>
            <w:gridSpan w:val="2"/>
          </w:tcPr>
          <w:p>
            <w:pPr>
              <w:pStyle w:val="TableParagraph"/>
              <w:spacing w:before="9"/>
              <w:rPr>
                <w:sz w:val="17"/>
              </w:rPr>
            </w:pPr>
          </w:p>
          <w:p>
            <w:pPr>
              <w:pStyle w:val="TableParagraph"/>
              <w:spacing w:before="1"/>
              <w:ind w:right="47"/>
              <w:jc w:val="right"/>
              <w:rPr>
                <w:sz w:val="14"/>
              </w:rPr>
            </w:pPr>
            <w:r>
              <w:rPr>
                <w:sz w:val="14"/>
              </w:rPr>
              <w:t>0.0%</w:t>
            </w:r>
          </w:p>
        </w:tc>
      </w:tr>
      <w:tr>
        <w:trPr>
          <w:trHeight w:val="364" w:hRule="atLeast"/>
        </w:trPr>
        <w:tc>
          <w:tcPr>
            <w:tcW w:w="3686" w:type="dxa"/>
          </w:tcPr>
          <w:p>
            <w:pPr>
              <w:pStyle w:val="TableParagraph"/>
              <w:spacing w:before="101"/>
              <w:ind w:left="131"/>
              <w:rPr>
                <w:sz w:val="14"/>
              </w:rPr>
            </w:pPr>
            <w:r>
              <w:rPr>
                <w:w w:val="105"/>
                <w:sz w:val="14"/>
              </w:rPr>
              <w:t>PERS</w:t>
            </w:r>
          </w:p>
        </w:tc>
        <w:tc>
          <w:tcPr>
            <w:tcW w:w="2571" w:type="dxa"/>
            <w:gridSpan w:val="2"/>
          </w:tcPr>
          <w:p>
            <w:pPr>
              <w:pStyle w:val="TableParagraph"/>
              <w:spacing w:before="101"/>
              <w:ind w:left="1687"/>
              <w:rPr>
                <w:sz w:val="14"/>
              </w:rPr>
            </w:pPr>
            <w:r>
              <w:rPr>
                <w:w w:val="105"/>
                <w:sz w:val="14"/>
              </w:rPr>
              <w:t>3201-3202</w:t>
            </w:r>
          </w:p>
        </w:tc>
        <w:tc>
          <w:tcPr>
            <w:tcW w:w="1666" w:type="dxa"/>
          </w:tcPr>
          <w:p>
            <w:pPr>
              <w:pStyle w:val="TableParagraph"/>
              <w:spacing w:before="101"/>
              <w:ind w:right="284"/>
              <w:jc w:val="right"/>
              <w:rPr>
                <w:sz w:val="14"/>
              </w:rPr>
            </w:pPr>
            <w:r>
              <w:rPr>
                <w:sz w:val="14"/>
              </w:rPr>
              <w:t>0.00</w:t>
            </w:r>
          </w:p>
        </w:tc>
        <w:tc>
          <w:tcPr>
            <w:tcW w:w="1475" w:type="dxa"/>
          </w:tcPr>
          <w:p>
            <w:pPr>
              <w:pStyle w:val="TableParagraph"/>
              <w:spacing w:before="101"/>
              <w:ind w:right="247"/>
              <w:jc w:val="right"/>
              <w:rPr>
                <w:sz w:val="14"/>
              </w:rPr>
            </w:pPr>
            <w:r>
              <w:rPr>
                <w:sz w:val="14"/>
              </w:rPr>
              <w:t>0.00</w:t>
            </w:r>
          </w:p>
        </w:tc>
        <w:tc>
          <w:tcPr>
            <w:tcW w:w="1389" w:type="dxa"/>
            <w:gridSpan w:val="2"/>
          </w:tcPr>
          <w:p>
            <w:pPr>
              <w:pStyle w:val="TableParagraph"/>
              <w:spacing w:before="101"/>
              <w:ind w:right="47"/>
              <w:jc w:val="right"/>
              <w:rPr>
                <w:sz w:val="14"/>
              </w:rPr>
            </w:pPr>
            <w:r>
              <w:rPr>
                <w:sz w:val="14"/>
              </w:rPr>
              <w:t>0.0%</w:t>
            </w:r>
          </w:p>
        </w:tc>
      </w:tr>
      <w:tr>
        <w:trPr>
          <w:trHeight w:val="364" w:hRule="atLeast"/>
        </w:trPr>
        <w:tc>
          <w:tcPr>
            <w:tcW w:w="3686" w:type="dxa"/>
          </w:tcPr>
          <w:p>
            <w:pPr>
              <w:pStyle w:val="TableParagraph"/>
              <w:spacing w:before="101"/>
              <w:ind w:left="131"/>
              <w:rPr>
                <w:sz w:val="14"/>
              </w:rPr>
            </w:pPr>
            <w:r>
              <w:rPr>
                <w:w w:val="105"/>
                <w:sz w:val="14"/>
              </w:rPr>
              <w:t>OASDI/Medicare/Alternative</w:t>
            </w:r>
          </w:p>
        </w:tc>
        <w:tc>
          <w:tcPr>
            <w:tcW w:w="2571" w:type="dxa"/>
            <w:gridSpan w:val="2"/>
          </w:tcPr>
          <w:p>
            <w:pPr>
              <w:pStyle w:val="TableParagraph"/>
              <w:spacing w:before="101"/>
              <w:ind w:left="1687"/>
              <w:rPr>
                <w:sz w:val="14"/>
              </w:rPr>
            </w:pPr>
            <w:r>
              <w:rPr>
                <w:w w:val="105"/>
                <w:sz w:val="14"/>
              </w:rPr>
              <w:t>3301-3302</w:t>
            </w:r>
          </w:p>
        </w:tc>
        <w:tc>
          <w:tcPr>
            <w:tcW w:w="1666" w:type="dxa"/>
          </w:tcPr>
          <w:p>
            <w:pPr>
              <w:pStyle w:val="TableParagraph"/>
              <w:spacing w:before="101"/>
              <w:ind w:right="284"/>
              <w:jc w:val="right"/>
              <w:rPr>
                <w:sz w:val="14"/>
              </w:rPr>
            </w:pPr>
            <w:r>
              <w:rPr>
                <w:sz w:val="14"/>
              </w:rPr>
              <w:t>0.00</w:t>
            </w:r>
          </w:p>
        </w:tc>
        <w:tc>
          <w:tcPr>
            <w:tcW w:w="1475" w:type="dxa"/>
          </w:tcPr>
          <w:p>
            <w:pPr>
              <w:pStyle w:val="TableParagraph"/>
              <w:spacing w:before="101"/>
              <w:ind w:right="247"/>
              <w:jc w:val="right"/>
              <w:rPr>
                <w:sz w:val="14"/>
              </w:rPr>
            </w:pPr>
            <w:r>
              <w:rPr>
                <w:sz w:val="14"/>
              </w:rPr>
              <w:t>0.00</w:t>
            </w:r>
          </w:p>
        </w:tc>
        <w:tc>
          <w:tcPr>
            <w:tcW w:w="1389" w:type="dxa"/>
            <w:gridSpan w:val="2"/>
          </w:tcPr>
          <w:p>
            <w:pPr>
              <w:pStyle w:val="TableParagraph"/>
              <w:spacing w:before="101"/>
              <w:ind w:right="47"/>
              <w:jc w:val="right"/>
              <w:rPr>
                <w:sz w:val="14"/>
              </w:rPr>
            </w:pPr>
            <w:r>
              <w:rPr>
                <w:sz w:val="14"/>
              </w:rPr>
              <w:t>0.0%</w:t>
            </w:r>
          </w:p>
        </w:tc>
      </w:tr>
      <w:tr>
        <w:trPr>
          <w:trHeight w:val="364" w:hRule="atLeast"/>
        </w:trPr>
        <w:tc>
          <w:tcPr>
            <w:tcW w:w="3686" w:type="dxa"/>
          </w:tcPr>
          <w:p>
            <w:pPr>
              <w:pStyle w:val="TableParagraph"/>
              <w:spacing w:before="101"/>
              <w:ind w:left="131"/>
              <w:rPr>
                <w:sz w:val="14"/>
              </w:rPr>
            </w:pPr>
            <w:r>
              <w:rPr>
                <w:w w:val="105"/>
                <w:sz w:val="14"/>
              </w:rPr>
              <w:t>Health and Welfare Benefits</w:t>
            </w:r>
          </w:p>
        </w:tc>
        <w:tc>
          <w:tcPr>
            <w:tcW w:w="2571" w:type="dxa"/>
            <w:gridSpan w:val="2"/>
          </w:tcPr>
          <w:p>
            <w:pPr>
              <w:pStyle w:val="TableParagraph"/>
              <w:spacing w:before="101"/>
              <w:ind w:left="1687"/>
              <w:rPr>
                <w:sz w:val="14"/>
              </w:rPr>
            </w:pPr>
            <w:r>
              <w:rPr>
                <w:w w:val="105"/>
                <w:sz w:val="14"/>
              </w:rPr>
              <w:t>3401-3402</w:t>
            </w:r>
          </w:p>
        </w:tc>
        <w:tc>
          <w:tcPr>
            <w:tcW w:w="1666" w:type="dxa"/>
          </w:tcPr>
          <w:p>
            <w:pPr>
              <w:pStyle w:val="TableParagraph"/>
              <w:spacing w:before="101"/>
              <w:ind w:right="284"/>
              <w:jc w:val="right"/>
              <w:rPr>
                <w:sz w:val="14"/>
              </w:rPr>
            </w:pPr>
            <w:r>
              <w:rPr>
                <w:sz w:val="14"/>
              </w:rPr>
              <w:t>0.00</w:t>
            </w:r>
          </w:p>
        </w:tc>
        <w:tc>
          <w:tcPr>
            <w:tcW w:w="1475" w:type="dxa"/>
          </w:tcPr>
          <w:p>
            <w:pPr>
              <w:pStyle w:val="TableParagraph"/>
              <w:spacing w:before="101"/>
              <w:ind w:right="247"/>
              <w:jc w:val="right"/>
              <w:rPr>
                <w:sz w:val="14"/>
              </w:rPr>
            </w:pPr>
            <w:r>
              <w:rPr>
                <w:sz w:val="14"/>
              </w:rPr>
              <w:t>0.00</w:t>
            </w:r>
          </w:p>
        </w:tc>
        <w:tc>
          <w:tcPr>
            <w:tcW w:w="1389" w:type="dxa"/>
            <w:gridSpan w:val="2"/>
          </w:tcPr>
          <w:p>
            <w:pPr>
              <w:pStyle w:val="TableParagraph"/>
              <w:spacing w:before="101"/>
              <w:ind w:right="47"/>
              <w:jc w:val="right"/>
              <w:rPr>
                <w:sz w:val="14"/>
              </w:rPr>
            </w:pPr>
            <w:r>
              <w:rPr>
                <w:sz w:val="14"/>
              </w:rPr>
              <w:t>0.0%</w:t>
            </w:r>
          </w:p>
        </w:tc>
      </w:tr>
      <w:tr>
        <w:trPr>
          <w:trHeight w:val="364" w:hRule="atLeast"/>
        </w:trPr>
        <w:tc>
          <w:tcPr>
            <w:tcW w:w="3686" w:type="dxa"/>
          </w:tcPr>
          <w:p>
            <w:pPr>
              <w:pStyle w:val="TableParagraph"/>
              <w:spacing w:before="101"/>
              <w:ind w:left="131"/>
              <w:rPr>
                <w:sz w:val="14"/>
              </w:rPr>
            </w:pPr>
            <w:r>
              <w:rPr>
                <w:w w:val="105"/>
                <w:sz w:val="14"/>
              </w:rPr>
              <w:t>Unemployment Insurance</w:t>
            </w:r>
          </w:p>
        </w:tc>
        <w:tc>
          <w:tcPr>
            <w:tcW w:w="2571" w:type="dxa"/>
            <w:gridSpan w:val="2"/>
          </w:tcPr>
          <w:p>
            <w:pPr>
              <w:pStyle w:val="TableParagraph"/>
              <w:spacing w:before="101"/>
              <w:ind w:left="1687"/>
              <w:rPr>
                <w:sz w:val="14"/>
              </w:rPr>
            </w:pPr>
            <w:r>
              <w:rPr>
                <w:w w:val="105"/>
                <w:sz w:val="14"/>
              </w:rPr>
              <w:t>3501-3502</w:t>
            </w:r>
          </w:p>
        </w:tc>
        <w:tc>
          <w:tcPr>
            <w:tcW w:w="1666" w:type="dxa"/>
          </w:tcPr>
          <w:p>
            <w:pPr>
              <w:pStyle w:val="TableParagraph"/>
              <w:spacing w:before="101"/>
              <w:ind w:right="284"/>
              <w:jc w:val="right"/>
              <w:rPr>
                <w:sz w:val="14"/>
              </w:rPr>
            </w:pPr>
            <w:r>
              <w:rPr>
                <w:sz w:val="14"/>
              </w:rPr>
              <w:t>0.00</w:t>
            </w:r>
          </w:p>
        </w:tc>
        <w:tc>
          <w:tcPr>
            <w:tcW w:w="1475" w:type="dxa"/>
          </w:tcPr>
          <w:p>
            <w:pPr>
              <w:pStyle w:val="TableParagraph"/>
              <w:spacing w:before="101"/>
              <w:ind w:right="247"/>
              <w:jc w:val="right"/>
              <w:rPr>
                <w:sz w:val="14"/>
              </w:rPr>
            </w:pPr>
            <w:r>
              <w:rPr>
                <w:sz w:val="14"/>
              </w:rPr>
              <w:t>0.00</w:t>
            </w:r>
          </w:p>
        </w:tc>
        <w:tc>
          <w:tcPr>
            <w:tcW w:w="1389" w:type="dxa"/>
            <w:gridSpan w:val="2"/>
          </w:tcPr>
          <w:p>
            <w:pPr>
              <w:pStyle w:val="TableParagraph"/>
              <w:spacing w:before="101"/>
              <w:ind w:right="47"/>
              <w:jc w:val="right"/>
              <w:rPr>
                <w:sz w:val="14"/>
              </w:rPr>
            </w:pPr>
            <w:r>
              <w:rPr>
                <w:sz w:val="14"/>
              </w:rPr>
              <w:t>0.0%</w:t>
            </w:r>
          </w:p>
        </w:tc>
      </w:tr>
      <w:tr>
        <w:trPr>
          <w:trHeight w:val="364" w:hRule="atLeast"/>
        </w:trPr>
        <w:tc>
          <w:tcPr>
            <w:tcW w:w="3686" w:type="dxa"/>
          </w:tcPr>
          <w:p>
            <w:pPr>
              <w:pStyle w:val="TableParagraph"/>
              <w:spacing w:before="101"/>
              <w:ind w:left="131"/>
              <w:rPr>
                <w:sz w:val="14"/>
              </w:rPr>
            </w:pPr>
            <w:r>
              <w:rPr>
                <w:w w:val="105"/>
                <w:sz w:val="14"/>
              </w:rPr>
              <w:t>Workers' Compensation</w:t>
            </w:r>
          </w:p>
        </w:tc>
        <w:tc>
          <w:tcPr>
            <w:tcW w:w="2571" w:type="dxa"/>
            <w:gridSpan w:val="2"/>
          </w:tcPr>
          <w:p>
            <w:pPr>
              <w:pStyle w:val="TableParagraph"/>
              <w:spacing w:before="101"/>
              <w:ind w:left="1687"/>
              <w:rPr>
                <w:sz w:val="14"/>
              </w:rPr>
            </w:pPr>
            <w:r>
              <w:rPr>
                <w:w w:val="105"/>
                <w:sz w:val="14"/>
              </w:rPr>
              <w:t>3601-3602</w:t>
            </w:r>
          </w:p>
        </w:tc>
        <w:tc>
          <w:tcPr>
            <w:tcW w:w="1666" w:type="dxa"/>
          </w:tcPr>
          <w:p>
            <w:pPr>
              <w:pStyle w:val="TableParagraph"/>
              <w:spacing w:before="101"/>
              <w:ind w:right="284"/>
              <w:jc w:val="right"/>
              <w:rPr>
                <w:sz w:val="14"/>
              </w:rPr>
            </w:pPr>
            <w:r>
              <w:rPr>
                <w:sz w:val="14"/>
              </w:rPr>
              <w:t>0.00</w:t>
            </w:r>
          </w:p>
        </w:tc>
        <w:tc>
          <w:tcPr>
            <w:tcW w:w="1475" w:type="dxa"/>
          </w:tcPr>
          <w:p>
            <w:pPr>
              <w:pStyle w:val="TableParagraph"/>
              <w:spacing w:before="101"/>
              <w:ind w:right="247"/>
              <w:jc w:val="right"/>
              <w:rPr>
                <w:sz w:val="14"/>
              </w:rPr>
            </w:pPr>
            <w:r>
              <w:rPr>
                <w:sz w:val="14"/>
              </w:rPr>
              <w:t>0.00</w:t>
            </w:r>
          </w:p>
        </w:tc>
        <w:tc>
          <w:tcPr>
            <w:tcW w:w="1389" w:type="dxa"/>
            <w:gridSpan w:val="2"/>
          </w:tcPr>
          <w:p>
            <w:pPr>
              <w:pStyle w:val="TableParagraph"/>
              <w:spacing w:before="101"/>
              <w:ind w:right="47"/>
              <w:jc w:val="right"/>
              <w:rPr>
                <w:sz w:val="14"/>
              </w:rPr>
            </w:pPr>
            <w:r>
              <w:rPr>
                <w:sz w:val="14"/>
              </w:rPr>
              <w:t>0.0%</w:t>
            </w:r>
          </w:p>
        </w:tc>
      </w:tr>
      <w:tr>
        <w:trPr>
          <w:trHeight w:val="364" w:hRule="atLeast"/>
        </w:trPr>
        <w:tc>
          <w:tcPr>
            <w:tcW w:w="3686" w:type="dxa"/>
          </w:tcPr>
          <w:p>
            <w:pPr>
              <w:pStyle w:val="TableParagraph"/>
              <w:spacing w:before="101"/>
              <w:ind w:left="131"/>
              <w:rPr>
                <w:sz w:val="14"/>
              </w:rPr>
            </w:pPr>
            <w:r>
              <w:rPr>
                <w:w w:val="105"/>
                <w:sz w:val="14"/>
              </w:rPr>
              <w:t>OPEB, Allocated</w:t>
            </w:r>
          </w:p>
        </w:tc>
        <w:tc>
          <w:tcPr>
            <w:tcW w:w="2571" w:type="dxa"/>
            <w:gridSpan w:val="2"/>
          </w:tcPr>
          <w:p>
            <w:pPr>
              <w:pStyle w:val="TableParagraph"/>
              <w:spacing w:before="101"/>
              <w:ind w:left="1687"/>
              <w:rPr>
                <w:sz w:val="14"/>
              </w:rPr>
            </w:pPr>
            <w:r>
              <w:rPr>
                <w:w w:val="105"/>
                <w:sz w:val="14"/>
              </w:rPr>
              <w:t>3701-3702</w:t>
            </w:r>
          </w:p>
        </w:tc>
        <w:tc>
          <w:tcPr>
            <w:tcW w:w="1666" w:type="dxa"/>
          </w:tcPr>
          <w:p>
            <w:pPr>
              <w:pStyle w:val="TableParagraph"/>
              <w:spacing w:before="101"/>
              <w:ind w:right="284"/>
              <w:jc w:val="right"/>
              <w:rPr>
                <w:sz w:val="14"/>
              </w:rPr>
            </w:pPr>
            <w:r>
              <w:rPr>
                <w:sz w:val="14"/>
              </w:rPr>
              <w:t>0.00</w:t>
            </w:r>
          </w:p>
        </w:tc>
        <w:tc>
          <w:tcPr>
            <w:tcW w:w="1475" w:type="dxa"/>
          </w:tcPr>
          <w:p>
            <w:pPr>
              <w:pStyle w:val="TableParagraph"/>
              <w:spacing w:before="101"/>
              <w:ind w:right="247"/>
              <w:jc w:val="right"/>
              <w:rPr>
                <w:sz w:val="14"/>
              </w:rPr>
            </w:pPr>
            <w:r>
              <w:rPr>
                <w:sz w:val="14"/>
              </w:rPr>
              <w:t>0.00</w:t>
            </w:r>
          </w:p>
        </w:tc>
        <w:tc>
          <w:tcPr>
            <w:tcW w:w="1389" w:type="dxa"/>
            <w:gridSpan w:val="2"/>
          </w:tcPr>
          <w:p>
            <w:pPr>
              <w:pStyle w:val="TableParagraph"/>
              <w:spacing w:before="101"/>
              <w:ind w:right="47"/>
              <w:jc w:val="right"/>
              <w:rPr>
                <w:sz w:val="14"/>
              </w:rPr>
            </w:pPr>
            <w:r>
              <w:rPr>
                <w:sz w:val="14"/>
              </w:rPr>
              <w:t>0.0%</w:t>
            </w:r>
          </w:p>
        </w:tc>
      </w:tr>
      <w:tr>
        <w:trPr>
          <w:trHeight w:val="364" w:hRule="atLeast"/>
        </w:trPr>
        <w:tc>
          <w:tcPr>
            <w:tcW w:w="3686" w:type="dxa"/>
          </w:tcPr>
          <w:p>
            <w:pPr>
              <w:pStyle w:val="TableParagraph"/>
              <w:spacing w:before="101"/>
              <w:ind w:left="131"/>
              <w:rPr>
                <w:sz w:val="14"/>
              </w:rPr>
            </w:pPr>
            <w:r>
              <w:rPr>
                <w:w w:val="105"/>
                <w:sz w:val="14"/>
              </w:rPr>
              <w:t>OPEB, Active Employees</w:t>
            </w:r>
          </w:p>
        </w:tc>
        <w:tc>
          <w:tcPr>
            <w:tcW w:w="2571" w:type="dxa"/>
            <w:gridSpan w:val="2"/>
          </w:tcPr>
          <w:p>
            <w:pPr>
              <w:pStyle w:val="TableParagraph"/>
              <w:spacing w:before="101"/>
              <w:ind w:left="1687"/>
              <w:rPr>
                <w:sz w:val="14"/>
              </w:rPr>
            </w:pPr>
            <w:r>
              <w:rPr>
                <w:w w:val="105"/>
                <w:sz w:val="14"/>
              </w:rPr>
              <w:t>3751-3752</w:t>
            </w:r>
          </w:p>
        </w:tc>
        <w:tc>
          <w:tcPr>
            <w:tcW w:w="1666" w:type="dxa"/>
          </w:tcPr>
          <w:p>
            <w:pPr>
              <w:pStyle w:val="TableParagraph"/>
              <w:spacing w:before="101"/>
              <w:ind w:right="284"/>
              <w:jc w:val="right"/>
              <w:rPr>
                <w:sz w:val="14"/>
              </w:rPr>
            </w:pPr>
            <w:r>
              <w:rPr>
                <w:sz w:val="14"/>
              </w:rPr>
              <w:t>0.00</w:t>
            </w:r>
          </w:p>
        </w:tc>
        <w:tc>
          <w:tcPr>
            <w:tcW w:w="1475" w:type="dxa"/>
          </w:tcPr>
          <w:p>
            <w:pPr>
              <w:pStyle w:val="TableParagraph"/>
              <w:spacing w:before="101"/>
              <w:ind w:right="247"/>
              <w:jc w:val="right"/>
              <w:rPr>
                <w:sz w:val="14"/>
              </w:rPr>
            </w:pPr>
            <w:r>
              <w:rPr>
                <w:sz w:val="14"/>
              </w:rPr>
              <w:t>0.00</w:t>
            </w:r>
          </w:p>
        </w:tc>
        <w:tc>
          <w:tcPr>
            <w:tcW w:w="1389" w:type="dxa"/>
            <w:gridSpan w:val="2"/>
          </w:tcPr>
          <w:p>
            <w:pPr>
              <w:pStyle w:val="TableParagraph"/>
              <w:spacing w:before="101"/>
              <w:ind w:right="47"/>
              <w:jc w:val="right"/>
              <w:rPr>
                <w:sz w:val="14"/>
              </w:rPr>
            </w:pPr>
            <w:r>
              <w:rPr>
                <w:sz w:val="14"/>
              </w:rPr>
              <w:t>0.0%</w:t>
            </w:r>
          </w:p>
        </w:tc>
      </w:tr>
      <w:tr>
        <w:trPr>
          <w:trHeight w:val="370" w:hRule="atLeast"/>
        </w:trPr>
        <w:tc>
          <w:tcPr>
            <w:tcW w:w="3686" w:type="dxa"/>
          </w:tcPr>
          <w:p>
            <w:pPr>
              <w:pStyle w:val="TableParagraph"/>
              <w:spacing w:before="101"/>
              <w:ind w:left="131"/>
              <w:rPr>
                <w:sz w:val="14"/>
              </w:rPr>
            </w:pPr>
            <w:r>
              <w:rPr>
                <w:w w:val="105"/>
                <w:sz w:val="14"/>
              </w:rPr>
              <w:t>Other Employee Benefits</w:t>
            </w:r>
          </w:p>
        </w:tc>
        <w:tc>
          <w:tcPr>
            <w:tcW w:w="2571" w:type="dxa"/>
            <w:gridSpan w:val="2"/>
          </w:tcPr>
          <w:p>
            <w:pPr>
              <w:pStyle w:val="TableParagraph"/>
              <w:spacing w:before="101"/>
              <w:ind w:left="1687"/>
              <w:rPr>
                <w:sz w:val="14"/>
              </w:rPr>
            </w:pPr>
            <w:r>
              <w:rPr>
                <w:w w:val="105"/>
                <w:sz w:val="14"/>
              </w:rPr>
              <w:t>3901-3902</w:t>
            </w:r>
          </w:p>
        </w:tc>
        <w:tc>
          <w:tcPr>
            <w:tcW w:w="1666" w:type="dxa"/>
          </w:tcPr>
          <w:p>
            <w:pPr>
              <w:pStyle w:val="TableParagraph"/>
              <w:spacing w:before="101"/>
              <w:ind w:right="284"/>
              <w:jc w:val="right"/>
              <w:rPr>
                <w:sz w:val="14"/>
              </w:rPr>
            </w:pPr>
            <w:r>
              <w:rPr>
                <w:sz w:val="14"/>
              </w:rPr>
              <w:t>0.00</w:t>
            </w:r>
          </w:p>
        </w:tc>
        <w:tc>
          <w:tcPr>
            <w:tcW w:w="1475" w:type="dxa"/>
          </w:tcPr>
          <w:p>
            <w:pPr>
              <w:pStyle w:val="TableParagraph"/>
              <w:spacing w:before="101"/>
              <w:ind w:right="247"/>
              <w:jc w:val="right"/>
              <w:rPr>
                <w:sz w:val="14"/>
              </w:rPr>
            </w:pPr>
            <w:r>
              <w:rPr>
                <w:sz w:val="14"/>
              </w:rPr>
              <w:t>0.00</w:t>
            </w:r>
          </w:p>
        </w:tc>
        <w:tc>
          <w:tcPr>
            <w:tcW w:w="1389" w:type="dxa"/>
            <w:gridSpan w:val="2"/>
          </w:tcPr>
          <w:p>
            <w:pPr>
              <w:pStyle w:val="TableParagraph"/>
              <w:spacing w:before="101"/>
              <w:ind w:right="47"/>
              <w:jc w:val="right"/>
              <w:rPr>
                <w:sz w:val="14"/>
              </w:rPr>
            </w:pPr>
            <w:r>
              <w:rPr>
                <w:sz w:val="14"/>
              </w:rPr>
              <w:t>0.0%</w:t>
            </w:r>
          </w:p>
        </w:tc>
      </w:tr>
      <w:tr>
        <w:trPr>
          <w:trHeight w:val="268" w:hRule="atLeast"/>
        </w:trPr>
        <w:tc>
          <w:tcPr>
            <w:tcW w:w="3686" w:type="dxa"/>
          </w:tcPr>
          <w:p>
            <w:pPr>
              <w:pStyle w:val="TableParagraph"/>
              <w:spacing w:line="142" w:lineRule="exact" w:before="107"/>
              <w:ind w:left="131"/>
              <w:rPr>
                <w:sz w:val="14"/>
              </w:rPr>
            </w:pPr>
            <w:r>
              <w:rPr>
                <w:w w:val="105"/>
                <w:sz w:val="14"/>
              </w:rPr>
              <w:t>TOTAL, EMPLOYEE BENEFITS</w:t>
            </w:r>
          </w:p>
        </w:tc>
        <w:tc>
          <w:tcPr>
            <w:tcW w:w="2571" w:type="dxa"/>
            <w:gridSpan w:val="2"/>
          </w:tcPr>
          <w:p>
            <w:pPr>
              <w:pStyle w:val="TableParagraph"/>
              <w:rPr>
                <w:rFonts w:ascii="Times New Roman"/>
                <w:sz w:val="14"/>
              </w:rPr>
            </w:pPr>
          </w:p>
        </w:tc>
        <w:tc>
          <w:tcPr>
            <w:tcW w:w="1666" w:type="dxa"/>
          </w:tcPr>
          <w:p>
            <w:pPr>
              <w:pStyle w:val="TableParagraph"/>
              <w:spacing w:line="142" w:lineRule="exact" w:before="107"/>
              <w:ind w:right="284"/>
              <w:jc w:val="right"/>
              <w:rPr>
                <w:sz w:val="14"/>
              </w:rPr>
            </w:pPr>
            <w:r>
              <w:rPr>
                <w:sz w:val="14"/>
              </w:rPr>
              <w:t>0.00</w:t>
            </w:r>
          </w:p>
        </w:tc>
        <w:tc>
          <w:tcPr>
            <w:tcW w:w="1475" w:type="dxa"/>
          </w:tcPr>
          <w:p>
            <w:pPr>
              <w:pStyle w:val="TableParagraph"/>
              <w:spacing w:line="142" w:lineRule="exact" w:before="107"/>
              <w:ind w:right="247"/>
              <w:jc w:val="right"/>
              <w:rPr>
                <w:sz w:val="14"/>
              </w:rPr>
            </w:pPr>
            <w:r>
              <w:rPr>
                <w:sz w:val="14"/>
              </w:rPr>
              <w:t>0.00</w:t>
            </w:r>
          </w:p>
        </w:tc>
        <w:tc>
          <w:tcPr>
            <w:tcW w:w="1389" w:type="dxa"/>
            <w:gridSpan w:val="2"/>
          </w:tcPr>
          <w:p>
            <w:pPr>
              <w:pStyle w:val="TableParagraph"/>
              <w:spacing w:line="142" w:lineRule="exact" w:before="107"/>
              <w:ind w:right="47"/>
              <w:jc w:val="right"/>
              <w:rPr>
                <w:sz w:val="14"/>
              </w:rPr>
            </w:pPr>
            <w:r>
              <w:rPr>
                <w:sz w:val="14"/>
              </w:rPr>
              <w:t>0.0%</w:t>
            </w:r>
          </w:p>
        </w:tc>
      </w:tr>
    </w:tbl>
    <w:p>
      <w:pPr>
        <w:spacing w:after="0" w:line="142" w:lineRule="exact"/>
        <w:jc w:val="right"/>
        <w:rPr>
          <w:sz w:val="14"/>
        </w:rPr>
        <w:sectPr>
          <w:type w:val="continuous"/>
          <w:pgSz w:w="12240" w:h="15840"/>
          <w:pgMar w:top="1500" w:bottom="840" w:left="160" w:right="180"/>
        </w:sectPr>
      </w:pPr>
    </w:p>
    <w:p>
      <w:pPr>
        <w:spacing w:line="232" w:lineRule="auto" w:before="1"/>
        <w:ind w:left="308" w:right="0" w:firstLine="0"/>
        <w:jc w:val="left"/>
        <w:rPr>
          <w:sz w:val="18"/>
        </w:rPr>
      </w:pPr>
      <w:r>
        <w:rPr/>
        <w:pict>
          <v:group style="position:absolute;margin-left:30.120001pt;margin-top:36.318634pt;width:538pt;height:57.75pt;mso-position-horizontal-relative:page;mso-position-vertical-relative:paragraph;z-index:-314526720" coordorigin="602,726" coordsize="10760,1155">
            <v:shape style="position:absolute;left:602;top:726;width:3646;height:790" type="#_x0000_t75" stroked="false">
              <v:imagedata r:id="rId406" o:title=""/>
            </v:shape>
            <v:shape style="position:absolute;left:602;top:726;width:10760;height:1155" type="#_x0000_t75" stroked="false">
              <v:imagedata r:id="rId476" o:title=""/>
            </v:shape>
            <w10:wrap type="none"/>
          </v:group>
        </w:pict>
      </w:r>
      <w:r>
        <w:rPr/>
        <w:pict>
          <v:group style="position:absolute;margin-left:30.120001pt;margin-top:75.078636pt;width:538pt;height:415.8pt;mso-position-horizontal-relative:page;mso-position-vertical-relative:paragraph;z-index:-314525696" coordorigin="602,1502" coordsize="10760,8316">
            <v:line style="position:absolute" from="1412,1506" to="1412,1876" stroked="true" strokeweight=".360003pt" strokecolor="#ffffff">
              <v:stroke dashstyle="solid"/>
            </v:line>
            <v:shape style="position:absolute;left:4240;top:1501;width:7121;height:946" type="#_x0000_t75" stroked="false">
              <v:imagedata r:id="rId477" o:title=""/>
            </v:shape>
            <v:shape style="position:absolute;left:6782;top:2075;width:4580;height:737" type="#_x0000_t75" stroked="false">
              <v:imagedata r:id="rId464" o:title=""/>
            </v:shape>
            <v:shape style="position:absolute;left:602;top:1878;width:3646;height:1311" type="#_x0000_t75" stroked="false">
              <v:imagedata r:id="rId478" o:title=""/>
            </v:shape>
            <v:shape style="position:absolute;left:4240;top:2439;width:7121;height:749" type="#_x0000_t75" stroked="false">
              <v:imagedata r:id="rId479" o:title=""/>
            </v:shape>
            <v:shape style="position:absolute;left:602;top:3181;width:5220;height:380" type="#_x0000_t75" stroked="false">
              <v:imagedata r:id="rId480" o:title=""/>
            </v:shape>
            <v:shape style="position:absolute;left:5815;top:2804;width:5547;height:1124" type="#_x0000_t75" stroked="false">
              <v:imagedata r:id="rId481" o:title=""/>
            </v:shape>
            <v:shape style="position:absolute;left:8294;top:3558;width:3068;height:730" type="#_x0000_t75" stroked="false">
              <v:imagedata r:id="rId482" o:title=""/>
            </v:shape>
            <v:shape style="position:absolute;left:6782;top:3920;width:4580;height:1102" type="#_x0000_t75" stroked="false">
              <v:imagedata r:id="rId483" o:title=""/>
            </v:shape>
            <v:shape style="position:absolute;left:6782;top:4650;width:4580;height:737" type="#_x0000_t75" stroked="false">
              <v:imagedata r:id="rId484" o:title=""/>
            </v:shape>
            <v:shape style="position:absolute;left:602;top:3558;width:3646;height:3132" type="#_x0000_t75" stroked="false">
              <v:imagedata r:id="rId485" o:title=""/>
            </v:shape>
            <v:shape style="position:absolute;left:6782;top:5015;width:4580;height:934" type="#_x0000_t75" stroked="false">
              <v:imagedata r:id="rId486" o:title=""/>
            </v:shape>
            <v:shape style="position:absolute;left:8294;top:5744;width:3068;height:576" type="#_x0000_t75" stroked="false">
              <v:imagedata r:id="rId487" o:title=""/>
            </v:shape>
            <v:shape style="position:absolute;left:4240;top:5941;width:7121;height:1119" type="#_x0000_t75" stroked="false">
              <v:imagedata r:id="rId488" o:title=""/>
            </v:shape>
            <v:shape style="position:absolute;left:8294;top:6687;width:3068;height:732" type="#_x0000_t75" stroked="false">
              <v:imagedata r:id="rId489" o:title=""/>
            </v:shape>
            <v:shape style="position:absolute;left:8294;top:7052;width:3068;height:372" type="#_x0000_t75" stroked="false">
              <v:imagedata r:id="rId490" o:title=""/>
            </v:shape>
            <v:rect style="position:absolute;left:6787;top:7422;width:1512;height:365" filled="true" fillcolor="#dfdfdf" stroked="false">
              <v:fill type="solid"/>
            </v:rect>
            <v:shape style="position:absolute;left:6782;top:7052;width:4580;height:1109" type="#_x0000_t75" stroked="false">
              <v:imagedata r:id="rId491" o:title=""/>
            </v:shape>
            <v:shape style="position:absolute;left:602;top:6687;width:3646;height:1851" type="#_x0000_t75" stroked="false">
              <v:imagedata r:id="rId492" o:title=""/>
            </v:shape>
            <v:shape style="position:absolute;left:4240;top:7782;width:7121;height:1126" type="#_x0000_t75" stroked="false">
              <v:imagedata r:id="rId493" o:title=""/>
            </v:shape>
            <v:shape style="position:absolute;left:602;top:8535;width:5220;height:749" type="#_x0000_t75" stroked="false">
              <v:imagedata r:id="rId494" o:title=""/>
            </v:shape>
            <v:shape style="position:absolute;left:5815;top:8535;width:5547;height:749" type="#_x0000_t75" stroked="false">
              <v:imagedata r:id="rId495" o:title=""/>
            </v:shape>
            <v:shape style="position:absolute;left:602;top:9277;width:3646;height:540" type="#_x0000_t75" stroked="false">
              <v:imagedata r:id="rId496" o:title=""/>
            </v:shape>
            <v:shape style="position:absolute;left:4240;top:8900;width:7121;height:917" type="#_x0000_t75" stroked="false">
              <v:imagedata r:id="rId497" o:title=""/>
            </v:shape>
            <v:shape style="position:absolute;left:9806;top:9474;width:1556;height:344" type="#_x0000_t75" stroked="false">
              <v:imagedata r:id="rId498" o:title=""/>
            </v:shape>
            <w10:wrap type="none"/>
          </v:group>
        </w:pict>
      </w:r>
      <w:r>
        <w:rPr>
          <w:sz w:val="18"/>
        </w:rPr>
        <w:t>Winship-Robbins Elementary Sutter County</w:t>
      </w:r>
    </w:p>
    <w:p>
      <w:pPr>
        <w:spacing w:line="232" w:lineRule="auto" w:before="1"/>
        <w:ind w:left="943" w:right="0" w:hanging="636"/>
        <w:jc w:val="left"/>
        <w:rPr>
          <w:sz w:val="18"/>
        </w:rPr>
      </w:pPr>
      <w:r>
        <w:rPr/>
        <w:br w:type="column"/>
      </w:r>
      <w:r>
        <w:rPr>
          <w:sz w:val="18"/>
        </w:rPr>
        <w:t>Student Activity Special Revenue Fund Expenditures by Object</w:t>
      </w:r>
    </w:p>
    <w:p>
      <w:pPr>
        <w:spacing w:line="200" w:lineRule="exact" w:before="0"/>
        <w:ind w:left="0" w:right="287" w:firstLine="0"/>
        <w:jc w:val="right"/>
        <w:rPr>
          <w:sz w:val="18"/>
        </w:rPr>
      </w:pPr>
      <w:r>
        <w:rPr/>
        <w:br w:type="column"/>
      </w:r>
      <w:r>
        <w:rPr>
          <w:sz w:val="18"/>
        </w:rPr>
        <w:t>51 71456</w:t>
      </w:r>
      <w:r>
        <w:rPr>
          <w:spacing w:val="3"/>
          <w:sz w:val="18"/>
        </w:rPr>
        <w:t> </w:t>
      </w:r>
      <w:r>
        <w:rPr>
          <w:sz w:val="18"/>
        </w:rPr>
        <w:t>0000000</w:t>
      </w:r>
    </w:p>
    <w:p>
      <w:pPr>
        <w:spacing w:line="204" w:lineRule="exact" w:before="0"/>
        <w:ind w:left="0" w:right="285" w:firstLine="0"/>
        <w:jc w:val="right"/>
        <w:rPr>
          <w:sz w:val="18"/>
        </w:rPr>
      </w:pPr>
      <w:r>
        <w:rPr>
          <w:sz w:val="18"/>
        </w:rPr>
        <w:t>Form </w:t>
      </w:r>
      <w:r>
        <w:rPr>
          <w:spacing w:val="3"/>
          <w:sz w:val="18"/>
        </w:rPr>
        <w:t> </w:t>
      </w:r>
      <w:r>
        <w:rPr>
          <w:sz w:val="18"/>
        </w:rPr>
        <w:t>08</w:t>
      </w:r>
    </w:p>
    <w:p>
      <w:pPr>
        <w:spacing w:after="0" w:line="204" w:lineRule="exact"/>
        <w:jc w:val="right"/>
        <w:rPr>
          <w:sz w:val="18"/>
        </w:rPr>
        <w:sectPr>
          <w:pgSz w:w="12240" w:h="15840"/>
          <w:pgMar w:header="651" w:footer="437" w:top="840" w:bottom="620" w:left="160" w:right="180"/>
          <w:cols w:num="3" w:equalWidth="0">
            <w:col w:w="2698" w:space="1379"/>
            <w:col w:w="3491" w:space="2224"/>
            <w:col w:w="2108"/>
          </w:cols>
        </w:sectPr>
      </w:pPr>
    </w:p>
    <w:p>
      <w:pPr>
        <w:pStyle w:val="BodyText"/>
        <w:rPr>
          <w:sz w:val="20"/>
        </w:rPr>
      </w:pPr>
    </w:p>
    <w:p>
      <w:pPr>
        <w:pStyle w:val="BodyText"/>
        <w:rPr>
          <w:sz w:val="20"/>
        </w:rPr>
      </w:pPr>
    </w:p>
    <w:p>
      <w:pPr>
        <w:pStyle w:val="BodyText"/>
        <w:spacing w:before="8" w:after="1"/>
        <w:rPr>
          <w:sz w:val="26"/>
        </w:rPr>
      </w:pPr>
    </w:p>
    <w:tbl>
      <w:tblPr>
        <w:tblW w:w="0" w:type="auto"/>
        <w:jc w:val="left"/>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79"/>
        <w:gridCol w:w="2052"/>
        <w:gridCol w:w="1128"/>
        <w:gridCol w:w="1667"/>
        <w:gridCol w:w="1476"/>
        <w:gridCol w:w="982"/>
        <w:gridCol w:w="409"/>
      </w:tblGrid>
      <w:tr>
        <w:trPr>
          <w:trHeight w:val="436" w:hRule="atLeast"/>
        </w:trPr>
        <w:tc>
          <w:tcPr>
            <w:tcW w:w="3079" w:type="dxa"/>
          </w:tcPr>
          <w:p>
            <w:pPr>
              <w:pStyle w:val="TableParagraph"/>
              <w:spacing w:before="5"/>
              <w:rPr>
                <w:sz w:val="14"/>
              </w:rPr>
            </w:pPr>
          </w:p>
          <w:p>
            <w:pPr>
              <w:pStyle w:val="TableParagraph"/>
              <w:spacing w:before="1"/>
              <w:ind w:left="50"/>
              <w:rPr>
                <w:b/>
                <w:sz w:val="14"/>
              </w:rPr>
            </w:pPr>
            <w:r>
              <w:rPr>
                <w:b/>
                <w:w w:val="105"/>
                <w:sz w:val="14"/>
              </w:rPr>
              <w:t>Description</w:t>
            </w:r>
          </w:p>
        </w:tc>
        <w:tc>
          <w:tcPr>
            <w:tcW w:w="2052" w:type="dxa"/>
          </w:tcPr>
          <w:p>
            <w:pPr>
              <w:pStyle w:val="TableParagraph"/>
              <w:spacing w:before="5"/>
              <w:rPr>
                <w:sz w:val="14"/>
              </w:rPr>
            </w:pPr>
          </w:p>
          <w:p>
            <w:pPr>
              <w:pStyle w:val="TableParagraph"/>
              <w:spacing w:before="1"/>
              <w:ind w:left="799"/>
              <w:rPr>
                <w:b/>
                <w:sz w:val="14"/>
              </w:rPr>
            </w:pPr>
            <w:r>
              <w:rPr>
                <w:b/>
                <w:w w:val="105"/>
                <w:sz w:val="14"/>
              </w:rPr>
              <w:t>Resource Codes</w:t>
            </w:r>
          </w:p>
        </w:tc>
        <w:tc>
          <w:tcPr>
            <w:tcW w:w="1128" w:type="dxa"/>
          </w:tcPr>
          <w:p>
            <w:pPr>
              <w:pStyle w:val="TableParagraph"/>
              <w:spacing w:before="5"/>
              <w:rPr>
                <w:sz w:val="14"/>
              </w:rPr>
            </w:pPr>
          </w:p>
          <w:p>
            <w:pPr>
              <w:pStyle w:val="TableParagraph"/>
              <w:spacing w:before="1"/>
              <w:ind w:left="88" w:right="51"/>
              <w:jc w:val="center"/>
              <w:rPr>
                <w:b/>
                <w:sz w:val="14"/>
              </w:rPr>
            </w:pPr>
            <w:r>
              <w:rPr>
                <w:b/>
                <w:w w:val="105"/>
                <w:sz w:val="14"/>
              </w:rPr>
              <w:t>Object Codes</w:t>
            </w:r>
          </w:p>
        </w:tc>
        <w:tc>
          <w:tcPr>
            <w:tcW w:w="1667" w:type="dxa"/>
          </w:tcPr>
          <w:p>
            <w:pPr>
              <w:pStyle w:val="TableParagraph"/>
              <w:spacing w:line="160" w:lineRule="exact"/>
              <w:ind w:left="43" w:right="305"/>
              <w:jc w:val="center"/>
              <w:rPr>
                <w:b/>
                <w:sz w:val="14"/>
              </w:rPr>
            </w:pPr>
            <w:r>
              <w:rPr>
                <w:b/>
                <w:w w:val="105"/>
                <w:sz w:val="14"/>
              </w:rPr>
              <w:t>2020-21</w:t>
            </w:r>
          </w:p>
          <w:p>
            <w:pPr>
              <w:pStyle w:val="TableParagraph"/>
              <w:spacing w:before="7"/>
              <w:ind w:left="43" w:right="308"/>
              <w:jc w:val="center"/>
              <w:rPr>
                <w:b/>
                <w:sz w:val="14"/>
              </w:rPr>
            </w:pPr>
            <w:r>
              <w:rPr>
                <w:b/>
                <w:w w:val="105"/>
                <w:sz w:val="14"/>
              </w:rPr>
              <w:t>Estimated Actuals</w:t>
            </w:r>
          </w:p>
        </w:tc>
        <w:tc>
          <w:tcPr>
            <w:tcW w:w="1476" w:type="dxa"/>
          </w:tcPr>
          <w:p>
            <w:pPr>
              <w:pStyle w:val="TableParagraph"/>
              <w:spacing w:line="160" w:lineRule="exact"/>
              <w:ind w:left="283"/>
              <w:rPr>
                <w:b/>
                <w:sz w:val="14"/>
              </w:rPr>
            </w:pPr>
            <w:r>
              <w:rPr>
                <w:b/>
                <w:w w:val="105"/>
                <w:sz w:val="14"/>
              </w:rPr>
              <w:t>2021-22</w:t>
            </w:r>
          </w:p>
          <w:p>
            <w:pPr>
              <w:pStyle w:val="TableParagraph"/>
              <w:spacing w:before="7"/>
              <w:ind w:left="295"/>
              <w:rPr>
                <w:b/>
                <w:sz w:val="14"/>
              </w:rPr>
            </w:pPr>
            <w:r>
              <w:rPr>
                <w:b/>
                <w:w w:val="105"/>
                <w:sz w:val="14"/>
              </w:rPr>
              <w:t>Budget</w:t>
            </w:r>
          </w:p>
        </w:tc>
        <w:tc>
          <w:tcPr>
            <w:tcW w:w="982" w:type="dxa"/>
          </w:tcPr>
          <w:p>
            <w:pPr>
              <w:pStyle w:val="TableParagraph"/>
              <w:spacing w:line="249" w:lineRule="auto"/>
              <w:ind w:left="245" w:right="32" w:firstLine="86"/>
              <w:rPr>
                <w:b/>
                <w:sz w:val="14"/>
              </w:rPr>
            </w:pPr>
            <w:r>
              <w:rPr>
                <w:b/>
                <w:w w:val="105"/>
                <w:sz w:val="14"/>
              </w:rPr>
              <w:t>Percent </w:t>
            </w:r>
            <w:r>
              <w:rPr>
                <w:b/>
                <w:sz w:val="14"/>
              </w:rPr>
              <w:t>Difference</w:t>
            </w:r>
          </w:p>
        </w:tc>
        <w:tc>
          <w:tcPr>
            <w:tcW w:w="409" w:type="dxa"/>
            <w:vMerge w:val="restart"/>
          </w:tcPr>
          <w:p>
            <w:pPr>
              <w:pStyle w:val="TableParagraph"/>
              <w:rPr>
                <w:rFonts w:ascii="Times New Roman"/>
                <w:sz w:val="14"/>
              </w:rPr>
            </w:pPr>
          </w:p>
        </w:tc>
      </w:tr>
      <w:tr>
        <w:trPr>
          <w:trHeight w:val="470" w:hRule="atLeast"/>
        </w:trPr>
        <w:tc>
          <w:tcPr>
            <w:tcW w:w="3079" w:type="dxa"/>
          </w:tcPr>
          <w:p>
            <w:pPr>
              <w:pStyle w:val="TableParagraph"/>
              <w:spacing w:before="107"/>
              <w:ind w:left="50"/>
              <w:rPr>
                <w:b/>
                <w:sz w:val="14"/>
              </w:rPr>
            </w:pPr>
            <w:r>
              <w:rPr>
                <w:b/>
                <w:w w:val="105"/>
                <w:sz w:val="14"/>
              </w:rPr>
              <w:t>BOOKS AND SUPPLIES</w:t>
            </w:r>
          </w:p>
        </w:tc>
        <w:tc>
          <w:tcPr>
            <w:tcW w:w="2052" w:type="dxa"/>
          </w:tcPr>
          <w:p>
            <w:pPr>
              <w:pStyle w:val="TableParagraph"/>
              <w:rPr>
                <w:rFonts w:ascii="Times New Roman"/>
                <w:sz w:val="14"/>
              </w:rPr>
            </w:pPr>
          </w:p>
        </w:tc>
        <w:tc>
          <w:tcPr>
            <w:tcW w:w="1128" w:type="dxa"/>
          </w:tcPr>
          <w:p>
            <w:pPr>
              <w:pStyle w:val="TableParagraph"/>
              <w:rPr>
                <w:rFonts w:ascii="Times New Roman"/>
                <w:sz w:val="14"/>
              </w:rPr>
            </w:pPr>
          </w:p>
        </w:tc>
        <w:tc>
          <w:tcPr>
            <w:tcW w:w="1667" w:type="dxa"/>
          </w:tcPr>
          <w:p>
            <w:pPr>
              <w:pStyle w:val="TableParagraph"/>
              <w:rPr>
                <w:rFonts w:ascii="Times New Roman"/>
                <w:sz w:val="14"/>
              </w:rPr>
            </w:pPr>
          </w:p>
        </w:tc>
        <w:tc>
          <w:tcPr>
            <w:tcW w:w="1476" w:type="dxa"/>
          </w:tcPr>
          <w:p>
            <w:pPr>
              <w:pStyle w:val="TableParagraph"/>
              <w:rPr>
                <w:rFonts w:ascii="Times New Roman"/>
                <w:sz w:val="14"/>
              </w:rPr>
            </w:pPr>
          </w:p>
        </w:tc>
        <w:tc>
          <w:tcPr>
            <w:tcW w:w="982" w:type="dxa"/>
          </w:tcPr>
          <w:p>
            <w:pPr>
              <w:pStyle w:val="TableParagraph"/>
              <w:rPr>
                <w:rFonts w:ascii="Times New Roman"/>
                <w:sz w:val="14"/>
              </w:rPr>
            </w:pPr>
          </w:p>
        </w:tc>
        <w:tc>
          <w:tcPr>
            <w:tcW w:w="409" w:type="dxa"/>
            <w:vMerge/>
            <w:tcBorders>
              <w:top w:val="nil"/>
            </w:tcBorders>
          </w:tcPr>
          <w:p>
            <w:pPr>
              <w:rPr>
                <w:sz w:val="2"/>
                <w:szCs w:val="2"/>
              </w:rPr>
            </w:pPr>
          </w:p>
        </w:tc>
      </w:tr>
      <w:tr>
        <w:trPr>
          <w:trHeight w:val="464" w:hRule="atLeast"/>
        </w:trPr>
        <w:tc>
          <w:tcPr>
            <w:tcW w:w="3079" w:type="dxa"/>
          </w:tcPr>
          <w:p>
            <w:pPr>
              <w:pStyle w:val="TableParagraph"/>
              <w:spacing w:before="5"/>
              <w:rPr>
                <w:sz w:val="17"/>
              </w:rPr>
            </w:pPr>
          </w:p>
          <w:p>
            <w:pPr>
              <w:pStyle w:val="TableParagraph"/>
              <w:ind w:left="131"/>
              <w:rPr>
                <w:sz w:val="14"/>
              </w:rPr>
            </w:pPr>
            <w:r>
              <w:rPr>
                <w:w w:val="105"/>
                <w:sz w:val="14"/>
              </w:rPr>
              <w:t>Materials and Supplies</w:t>
            </w:r>
          </w:p>
        </w:tc>
        <w:tc>
          <w:tcPr>
            <w:tcW w:w="2052" w:type="dxa"/>
          </w:tcPr>
          <w:p>
            <w:pPr>
              <w:pStyle w:val="TableParagraph"/>
              <w:rPr>
                <w:rFonts w:ascii="Times New Roman"/>
                <w:sz w:val="14"/>
              </w:rPr>
            </w:pPr>
          </w:p>
        </w:tc>
        <w:tc>
          <w:tcPr>
            <w:tcW w:w="1128" w:type="dxa"/>
          </w:tcPr>
          <w:p>
            <w:pPr>
              <w:pStyle w:val="TableParagraph"/>
              <w:spacing w:before="5"/>
              <w:rPr>
                <w:sz w:val="17"/>
              </w:rPr>
            </w:pPr>
          </w:p>
          <w:p>
            <w:pPr>
              <w:pStyle w:val="TableParagraph"/>
              <w:ind w:left="88" w:right="50"/>
              <w:jc w:val="center"/>
              <w:rPr>
                <w:sz w:val="14"/>
              </w:rPr>
            </w:pPr>
            <w:r>
              <w:rPr>
                <w:w w:val="105"/>
                <w:sz w:val="14"/>
              </w:rPr>
              <w:t>4300</w:t>
            </w:r>
          </w:p>
        </w:tc>
        <w:tc>
          <w:tcPr>
            <w:tcW w:w="1667" w:type="dxa"/>
          </w:tcPr>
          <w:p>
            <w:pPr>
              <w:pStyle w:val="TableParagraph"/>
              <w:spacing w:before="5"/>
              <w:rPr>
                <w:sz w:val="17"/>
              </w:rPr>
            </w:pPr>
          </w:p>
          <w:p>
            <w:pPr>
              <w:pStyle w:val="TableParagraph"/>
              <w:ind w:right="286"/>
              <w:jc w:val="right"/>
              <w:rPr>
                <w:sz w:val="14"/>
              </w:rPr>
            </w:pPr>
            <w:r>
              <w:rPr>
                <w:sz w:val="14"/>
              </w:rPr>
              <w:t>4,100.00</w:t>
            </w:r>
          </w:p>
        </w:tc>
        <w:tc>
          <w:tcPr>
            <w:tcW w:w="1476" w:type="dxa"/>
          </w:tcPr>
          <w:p>
            <w:pPr>
              <w:pStyle w:val="TableParagraph"/>
              <w:spacing w:before="5"/>
              <w:rPr>
                <w:sz w:val="17"/>
              </w:rPr>
            </w:pPr>
          </w:p>
          <w:p>
            <w:pPr>
              <w:pStyle w:val="TableParagraph"/>
              <w:ind w:right="250"/>
              <w:jc w:val="right"/>
              <w:rPr>
                <w:sz w:val="14"/>
              </w:rPr>
            </w:pPr>
            <w:r>
              <w:rPr>
                <w:sz w:val="14"/>
              </w:rPr>
              <w:t>4,100.00</w:t>
            </w:r>
          </w:p>
        </w:tc>
        <w:tc>
          <w:tcPr>
            <w:tcW w:w="982" w:type="dxa"/>
          </w:tcPr>
          <w:p>
            <w:pPr>
              <w:pStyle w:val="TableParagraph"/>
              <w:rPr>
                <w:rFonts w:ascii="Times New Roman"/>
                <w:sz w:val="14"/>
              </w:rPr>
            </w:pPr>
          </w:p>
        </w:tc>
        <w:tc>
          <w:tcPr>
            <w:tcW w:w="409" w:type="dxa"/>
          </w:tcPr>
          <w:p>
            <w:pPr>
              <w:pStyle w:val="TableParagraph"/>
              <w:spacing w:before="5"/>
              <w:rPr>
                <w:sz w:val="17"/>
              </w:rPr>
            </w:pPr>
          </w:p>
          <w:p>
            <w:pPr>
              <w:pStyle w:val="TableParagraph"/>
              <w:ind w:left="1" w:right="27"/>
              <w:jc w:val="center"/>
              <w:rPr>
                <w:sz w:val="14"/>
              </w:rPr>
            </w:pPr>
            <w:r>
              <w:rPr>
                <w:w w:val="105"/>
                <w:sz w:val="14"/>
              </w:rPr>
              <w:t>0.0%</w:t>
            </w:r>
          </w:p>
        </w:tc>
      </w:tr>
      <w:tr>
        <w:trPr>
          <w:trHeight w:val="370" w:hRule="atLeast"/>
        </w:trPr>
        <w:tc>
          <w:tcPr>
            <w:tcW w:w="3079" w:type="dxa"/>
          </w:tcPr>
          <w:p>
            <w:pPr>
              <w:pStyle w:val="TableParagraph"/>
              <w:spacing w:before="101"/>
              <w:ind w:left="131"/>
              <w:rPr>
                <w:sz w:val="14"/>
              </w:rPr>
            </w:pPr>
            <w:r>
              <w:rPr>
                <w:w w:val="105"/>
                <w:sz w:val="14"/>
              </w:rPr>
              <w:t>Noncapitalized Equipment</w:t>
            </w:r>
          </w:p>
        </w:tc>
        <w:tc>
          <w:tcPr>
            <w:tcW w:w="2052" w:type="dxa"/>
          </w:tcPr>
          <w:p>
            <w:pPr>
              <w:pStyle w:val="TableParagraph"/>
              <w:rPr>
                <w:rFonts w:ascii="Times New Roman"/>
                <w:sz w:val="14"/>
              </w:rPr>
            </w:pPr>
          </w:p>
        </w:tc>
        <w:tc>
          <w:tcPr>
            <w:tcW w:w="1128" w:type="dxa"/>
          </w:tcPr>
          <w:p>
            <w:pPr>
              <w:pStyle w:val="TableParagraph"/>
              <w:spacing w:before="101"/>
              <w:ind w:left="88" w:right="50"/>
              <w:jc w:val="center"/>
              <w:rPr>
                <w:sz w:val="14"/>
              </w:rPr>
            </w:pPr>
            <w:r>
              <w:rPr>
                <w:w w:val="105"/>
                <w:sz w:val="14"/>
              </w:rPr>
              <w:t>4400</w:t>
            </w:r>
          </w:p>
        </w:tc>
        <w:tc>
          <w:tcPr>
            <w:tcW w:w="1667" w:type="dxa"/>
          </w:tcPr>
          <w:p>
            <w:pPr>
              <w:pStyle w:val="TableParagraph"/>
              <w:spacing w:before="101"/>
              <w:ind w:right="287"/>
              <w:jc w:val="right"/>
              <w:rPr>
                <w:sz w:val="14"/>
              </w:rPr>
            </w:pPr>
            <w:r>
              <w:rPr>
                <w:sz w:val="14"/>
              </w:rPr>
              <w:t>0.00</w:t>
            </w:r>
          </w:p>
        </w:tc>
        <w:tc>
          <w:tcPr>
            <w:tcW w:w="1476" w:type="dxa"/>
          </w:tcPr>
          <w:p>
            <w:pPr>
              <w:pStyle w:val="TableParagraph"/>
              <w:spacing w:before="101"/>
              <w:ind w:right="251"/>
              <w:jc w:val="right"/>
              <w:rPr>
                <w:sz w:val="14"/>
              </w:rPr>
            </w:pPr>
            <w:r>
              <w:rPr>
                <w:sz w:val="14"/>
              </w:rPr>
              <w:t>0.00</w:t>
            </w:r>
          </w:p>
        </w:tc>
        <w:tc>
          <w:tcPr>
            <w:tcW w:w="982" w:type="dxa"/>
          </w:tcPr>
          <w:p>
            <w:pPr>
              <w:pStyle w:val="TableParagraph"/>
              <w:rPr>
                <w:rFonts w:ascii="Times New Roman"/>
                <w:sz w:val="14"/>
              </w:rPr>
            </w:pPr>
          </w:p>
        </w:tc>
        <w:tc>
          <w:tcPr>
            <w:tcW w:w="409" w:type="dxa"/>
          </w:tcPr>
          <w:p>
            <w:pPr>
              <w:pStyle w:val="TableParagraph"/>
              <w:spacing w:before="101"/>
              <w:ind w:left="1" w:right="27"/>
              <w:jc w:val="center"/>
              <w:rPr>
                <w:sz w:val="14"/>
              </w:rPr>
            </w:pPr>
            <w:r>
              <w:rPr>
                <w:w w:val="105"/>
                <w:sz w:val="14"/>
              </w:rPr>
              <w:t>0.0%</w:t>
            </w:r>
          </w:p>
        </w:tc>
      </w:tr>
      <w:tr>
        <w:trPr>
          <w:trHeight w:val="268" w:hRule="atLeast"/>
        </w:trPr>
        <w:tc>
          <w:tcPr>
            <w:tcW w:w="3079" w:type="dxa"/>
          </w:tcPr>
          <w:p>
            <w:pPr>
              <w:pStyle w:val="TableParagraph"/>
              <w:spacing w:line="142" w:lineRule="exact" w:before="107"/>
              <w:ind w:left="131"/>
              <w:rPr>
                <w:sz w:val="14"/>
              </w:rPr>
            </w:pPr>
            <w:r>
              <w:rPr>
                <w:w w:val="105"/>
                <w:sz w:val="14"/>
              </w:rPr>
              <w:t>TOTAL, BOOKS AND SUPPLIES</w:t>
            </w:r>
          </w:p>
        </w:tc>
        <w:tc>
          <w:tcPr>
            <w:tcW w:w="2052" w:type="dxa"/>
          </w:tcPr>
          <w:p>
            <w:pPr>
              <w:pStyle w:val="TableParagraph"/>
              <w:rPr>
                <w:rFonts w:ascii="Times New Roman"/>
                <w:sz w:val="14"/>
              </w:rPr>
            </w:pPr>
          </w:p>
        </w:tc>
        <w:tc>
          <w:tcPr>
            <w:tcW w:w="1128" w:type="dxa"/>
          </w:tcPr>
          <w:p>
            <w:pPr>
              <w:pStyle w:val="TableParagraph"/>
              <w:rPr>
                <w:rFonts w:ascii="Times New Roman"/>
                <w:sz w:val="14"/>
              </w:rPr>
            </w:pPr>
          </w:p>
        </w:tc>
        <w:tc>
          <w:tcPr>
            <w:tcW w:w="1667" w:type="dxa"/>
          </w:tcPr>
          <w:p>
            <w:pPr>
              <w:pStyle w:val="TableParagraph"/>
              <w:spacing w:line="142" w:lineRule="exact" w:before="107"/>
              <w:ind w:right="286"/>
              <w:jc w:val="right"/>
              <w:rPr>
                <w:sz w:val="14"/>
              </w:rPr>
            </w:pPr>
            <w:r>
              <w:rPr>
                <w:sz w:val="14"/>
              </w:rPr>
              <w:t>4,100.00</w:t>
            </w:r>
          </w:p>
        </w:tc>
        <w:tc>
          <w:tcPr>
            <w:tcW w:w="1476" w:type="dxa"/>
          </w:tcPr>
          <w:p>
            <w:pPr>
              <w:pStyle w:val="TableParagraph"/>
              <w:spacing w:line="142" w:lineRule="exact" w:before="107"/>
              <w:ind w:right="250"/>
              <w:jc w:val="right"/>
              <w:rPr>
                <w:sz w:val="14"/>
              </w:rPr>
            </w:pPr>
            <w:r>
              <w:rPr>
                <w:sz w:val="14"/>
              </w:rPr>
              <w:t>4,100.00</w:t>
            </w:r>
          </w:p>
        </w:tc>
        <w:tc>
          <w:tcPr>
            <w:tcW w:w="982" w:type="dxa"/>
          </w:tcPr>
          <w:p>
            <w:pPr>
              <w:pStyle w:val="TableParagraph"/>
              <w:rPr>
                <w:rFonts w:ascii="Times New Roman"/>
                <w:sz w:val="14"/>
              </w:rPr>
            </w:pPr>
          </w:p>
        </w:tc>
        <w:tc>
          <w:tcPr>
            <w:tcW w:w="409" w:type="dxa"/>
          </w:tcPr>
          <w:p>
            <w:pPr>
              <w:pStyle w:val="TableParagraph"/>
              <w:spacing w:line="142" w:lineRule="exact" w:before="107"/>
              <w:ind w:left="1" w:right="27"/>
              <w:jc w:val="center"/>
              <w:rPr>
                <w:sz w:val="14"/>
              </w:rPr>
            </w:pPr>
            <w:r>
              <w:rPr>
                <w:w w:val="105"/>
                <w:sz w:val="14"/>
              </w:rPr>
              <w:t>0.0%</w:t>
            </w:r>
          </w:p>
        </w:tc>
      </w:tr>
      <w:tr>
        <w:trPr>
          <w:trHeight w:val="374" w:hRule="atLeast"/>
        </w:trPr>
        <w:tc>
          <w:tcPr>
            <w:tcW w:w="10793" w:type="dxa"/>
            <w:gridSpan w:val="7"/>
          </w:tcPr>
          <w:p>
            <w:pPr>
              <w:pStyle w:val="TableParagraph"/>
              <w:spacing w:before="5"/>
              <w:rPr>
                <w:sz w:val="18"/>
              </w:rPr>
            </w:pPr>
          </w:p>
          <w:p>
            <w:pPr>
              <w:pStyle w:val="TableParagraph"/>
              <w:spacing w:line="142" w:lineRule="exact"/>
              <w:ind w:left="50"/>
              <w:rPr>
                <w:b/>
                <w:sz w:val="14"/>
              </w:rPr>
            </w:pPr>
            <w:r>
              <w:rPr>
                <w:b/>
                <w:w w:val="105"/>
                <w:sz w:val="14"/>
              </w:rPr>
              <w:t>SERVICES AND OTHER OPERATING EXPENDITURES</w:t>
            </w:r>
          </w:p>
        </w:tc>
      </w:tr>
      <w:tr>
        <w:trPr>
          <w:trHeight w:val="466" w:hRule="atLeast"/>
        </w:trPr>
        <w:tc>
          <w:tcPr>
            <w:tcW w:w="5131" w:type="dxa"/>
            <w:gridSpan w:val="2"/>
          </w:tcPr>
          <w:p>
            <w:pPr>
              <w:pStyle w:val="TableParagraph"/>
              <w:spacing w:before="7"/>
              <w:rPr>
                <w:sz w:val="17"/>
              </w:rPr>
            </w:pPr>
          </w:p>
          <w:p>
            <w:pPr>
              <w:pStyle w:val="TableParagraph"/>
              <w:ind w:left="131"/>
              <w:rPr>
                <w:sz w:val="14"/>
              </w:rPr>
            </w:pPr>
            <w:r>
              <w:rPr>
                <w:w w:val="105"/>
                <w:sz w:val="14"/>
              </w:rPr>
              <w:t>Subagreements for Services</w:t>
            </w:r>
          </w:p>
        </w:tc>
        <w:tc>
          <w:tcPr>
            <w:tcW w:w="1128" w:type="dxa"/>
          </w:tcPr>
          <w:p>
            <w:pPr>
              <w:pStyle w:val="TableParagraph"/>
              <w:spacing w:before="7"/>
              <w:rPr>
                <w:sz w:val="17"/>
              </w:rPr>
            </w:pPr>
          </w:p>
          <w:p>
            <w:pPr>
              <w:pStyle w:val="TableParagraph"/>
              <w:ind w:left="88" w:right="50"/>
              <w:jc w:val="center"/>
              <w:rPr>
                <w:sz w:val="14"/>
              </w:rPr>
            </w:pPr>
            <w:r>
              <w:rPr>
                <w:w w:val="105"/>
                <w:sz w:val="14"/>
              </w:rPr>
              <w:t>5100</w:t>
            </w:r>
          </w:p>
        </w:tc>
        <w:tc>
          <w:tcPr>
            <w:tcW w:w="1667" w:type="dxa"/>
          </w:tcPr>
          <w:p>
            <w:pPr>
              <w:pStyle w:val="TableParagraph"/>
              <w:spacing w:before="7"/>
              <w:rPr>
                <w:sz w:val="17"/>
              </w:rPr>
            </w:pPr>
          </w:p>
          <w:p>
            <w:pPr>
              <w:pStyle w:val="TableParagraph"/>
              <w:ind w:right="287"/>
              <w:jc w:val="right"/>
              <w:rPr>
                <w:sz w:val="14"/>
              </w:rPr>
            </w:pPr>
            <w:r>
              <w:rPr>
                <w:sz w:val="14"/>
              </w:rPr>
              <w:t>0.00</w:t>
            </w:r>
          </w:p>
        </w:tc>
        <w:tc>
          <w:tcPr>
            <w:tcW w:w="1476" w:type="dxa"/>
          </w:tcPr>
          <w:p>
            <w:pPr>
              <w:pStyle w:val="TableParagraph"/>
              <w:spacing w:before="7"/>
              <w:rPr>
                <w:sz w:val="17"/>
              </w:rPr>
            </w:pPr>
          </w:p>
          <w:p>
            <w:pPr>
              <w:pStyle w:val="TableParagraph"/>
              <w:ind w:right="251"/>
              <w:jc w:val="right"/>
              <w:rPr>
                <w:sz w:val="14"/>
              </w:rPr>
            </w:pPr>
            <w:r>
              <w:rPr>
                <w:sz w:val="14"/>
              </w:rPr>
              <w:t>0.00</w:t>
            </w:r>
          </w:p>
        </w:tc>
        <w:tc>
          <w:tcPr>
            <w:tcW w:w="1391" w:type="dxa"/>
            <w:gridSpan w:val="2"/>
          </w:tcPr>
          <w:p>
            <w:pPr>
              <w:pStyle w:val="TableParagraph"/>
              <w:spacing w:before="7"/>
              <w:rPr>
                <w:sz w:val="17"/>
              </w:rPr>
            </w:pPr>
          </w:p>
          <w:p>
            <w:pPr>
              <w:pStyle w:val="TableParagraph"/>
              <w:ind w:right="53"/>
              <w:jc w:val="right"/>
              <w:rPr>
                <w:sz w:val="14"/>
              </w:rPr>
            </w:pPr>
            <w:r>
              <w:rPr>
                <w:sz w:val="14"/>
              </w:rPr>
              <w:t>0.0%</w:t>
            </w:r>
          </w:p>
        </w:tc>
      </w:tr>
      <w:tr>
        <w:trPr>
          <w:trHeight w:val="364" w:hRule="atLeast"/>
        </w:trPr>
        <w:tc>
          <w:tcPr>
            <w:tcW w:w="5131" w:type="dxa"/>
            <w:gridSpan w:val="2"/>
          </w:tcPr>
          <w:p>
            <w:pPr>
              <w:pStyle w:val="TableParagraph"/>
              <w:spacing w:before="101"/>
              <w:ind w:left="131"/>
              <w:rPr>
                <w:sz w:val="14"/>
              </w:rPr>
            </w:pPr>
            <w:r>
              <w:rPr>
                <w:w w:val="105"/>
                <w:sz w:val="14"/>
              </w:rPr>
              <w:t>Dues and Memberships</w:t>
            </w:r>
          </w:p>
        </w:tc>
        <w:tc>
          <w:tcPr>
            <w:tcW w:w="1128" w:type="dxa"/>
          </w:tcPr>
          <w:p>
            <w:pPr>
              <w:pStyle w:val="TableParagraph"/>
              <w:spacing w:before="101"/>
              <w:ind w:left="88" w:right="50"/>
              <w:jc w:val="center"/>
              <w:rPr>
                <w:sz w:val="14"/>
              </w:rPr>
            </w:pPr>
            <w:r>
              <w:rPr>
                <w:w w:val="105"/>
                <w:sz w:val="14"/>
              </w:rPr>
              <w:t>5300</w:t>
            </w:r>
          </w:p>
        </w:tc>
        <w:tc>
          <w:tcPr>
            <w:tcW w:w="1667" w:type="dxa"/>
          </w:tcPr>
          <w:p>
            <w:pPr>
              <w:pStyle w:val="TableParagraph"/>
              <w:spacing w:before="101"/>
              <w:ind w:right="287"/>
              <w:jc w:val="right"/>
              <w:rPr>
                <w:sz w:val="14"/>
              </w:rPr>
            </w:pPr>
            <w:r>
              <w:rPr>
                <w:sz w:val="14"/>
              </w:rPr>
              <w:t>0.00</w:t>
            </w:r>
          </w:p>
        </w:tc>
        <w:tc>
          <w:tcPr>
            <w:tcW w:w="1476" w:type="dxa"/>
          </w:tcPr>
          <w:p>
            <w:pPr>
              <w:pStyle w:val="TableParagraph"/>
              <w:spacing w:before="101"/>
              <w:ind w:right="251"/>
              <w:jc w:val="right"/>
              <w:rPr>
                <w:sz w:val="14"/>
              </w:rPr>
            </w:pPr>
            <w:r>
              <w:rPr>
                <w:sz w:val="14"/>
              </w:rPr>
              <w:t>0.00</w:t>
            </w:r>
          </w:p>
        </w:tc>
        <w:tc>
          <w:tcPr>
            <w:tcW w:w="1391" w:type="dxa"/>
            <w:gridSpan w:val="2"/>
          </w:tcPr>
          <w:p>
            <w:pPr>
              <w:pStyle w:val="TableParagraph"/>
              <w:spacing w:before="101"/>
              <w:ind w:right="53"/>
              <w:jc w:val="right"/>
              <w:rPr>
                <w:sz w:val="14"/>
              </w:rPr>
            </w:pPr>
            <w:r>
              <w:rPr>
                <w:sz w:val="14"/>
              </w:rPr>
              <w:t>0.0%</w:t>
            </w:r>
          </w:p>
        </w:tc>
      </w:tr>
      <w:tr>
        <w:trPr>
          <w:trHeight w:val="364" w:hRule="atLeast"/>
        </w:trPr>
        <w:tc>
          <w:tcPr>
            <w:tcW w:w="5131" w:type="dxa"/>
            <w:gridSpan w:val="2"/>
          </w:tcPr>
          <w:p>
            <w:pPr>
              <w:pStyle w:val="TableParagraph"/>
              <w:spacing w:before="101"/>
              <w:ind w:left="131"/>
              <w:rPr>
                <w:sz w:val="14"/>
              </w:rPr>
            </w:pPr>
            <w:r>
              <w:rPr>
                <w:w w:val="105"/>
                <w:sz w:val="14"/>
              </w:rPr>
              <w:t>Insurance</w:t>
            </w:r>
          </w:p>
        </w:tc>
        <w:tc>
          <w:tcPr>
            <w:tcW w:w="1128" w:type="dxa"/>
          </w:tcPr>
          <w:p>
            <w:pPr>
              <w:pStyle w:val="TableParagraph"/>
              <w:spacing w:before="101"/>
              <w:ind w:left="88" w:right="50"/>
              <w:jc w:val="center"/>
              <w:rPr>
                <w:sz w:val="14"/>
              </w:rPr>
            </w:pPr>
            <w:r>
              <w:rPr>
                <w:w w:val="105"/>
                <w:sz w:val="14"/>
              </w:rPr>
              <w:t>5400-5450</w:t>
            </w:r>
          </w:p>
        </w:tc>
        <w:tc>
          <w:tcPr>
            <w:tcW w:w="1667" w:type="dxa"/>
          </w:tcPr>
          <w:p>
            <w:pPr>
              <w:pStyle w:val="TableParagraph"/>
              <w:spacing w:before="101"/>
              <w:ind w:right="287"/>
              <w:jc w:val="right"/>
              <w:rPr>
                <w:sz w:val="14"/>
              </w:rPr>
            </w:pPr>
            <w:r>
              <w:rPr>
                <w:sz w:val="14"/>
              </w:rPr>
              <w:t>0.00</w:t>
            </w:r>
          </w:p>
        </w:tc>
        <w:tc>
          <w:tcPr>
            <w:tcW w:w="1476" w:type="dxa"/>
          </w:tcPr>
          <w:p>
            <w:pPr>
              <w:pStyle w:val="TableParagraph"/>
              <w:spacing w:before="101"/>
              <w:ind w:right="251"/>
              <w:jc w:val="right"/>
              <w:rPr>
                <w:sz w:val="14"/>
              </w:rPr>
            </w:pPr>
            <w:r>
              <w:rPr>
                <w:sz w:val="14"/>
              </w:rPr>
              <w:t>0.00</w:t>
            </w:r>
          </w:p>
        </w:tc>
        <w:tc>
          <w:tcPr>
            <w:tcW w:w="1391" w:type="dxa"/>
            <w:gridSpan w:val="2"/>
          </w:tcPr>
          <w:p>
            <w:pPr>
              <w:pStyle w:val="TableParagraph"/>
              <w:spacing w:before="101"/>
              <w:ind w:right="53"/>
              <w:jc w:val="right"/>
              <w:rPr>
                <w:sz w:val="14"/>
              </w:rPr>
            </w:pPr>
            <w:r>
              <w:rPr>
                <w:sz w:val="14"/>
              </w:rPr>
              <w:t>0.0%</w:t>
            </w:r>
          </w:p>
        </w:tc>
      </w:tr>
      <w:tr>
        <w:trPr>
          <w:trHeight w:val="364" w:hRule="atLeast"/>
        </w:trPr>
        <w:tc>
          <w:tcPr>
            <w:tcW w:w="5131" w:type="dxa"/>
            <w:gridSpan w:val="2"/>
          </w:tcPr>
          <w:p>
            <w:pPr>
              <w:pStyle w:val="TableParagraph"/>
              <w:spacing w:before="101"/>
              <w:ind w:left="131"/>
              <w:rPr>
                <w:sz w:val="14"/>
              </w:rPr>
            </w:pPr>
            <w:r>
              <w:rPr>
                <w:w w:val="105"/>
                <w:sz w:val="14"/>
              </w:rPr>
              <w:t>Rentals, Leases, Repairs, and Noncapitalized Improvements</w:t>
            </w:r>
          </w:p>
        </w:tc>
        <w:tc>
          <w:tcPr>
            <w:tcW w:w="1128" w:type="dxa"/>
          </w:tcPr>
          <w:p>
            <w:pPr>
              <w:pStyle w:val="TableParagraph"/>
              <w:spacing w:before="101"/>
              <w:ind w:left="88" w:right="50"/>
              <w:jc w:val="center"/>
              <w:rPr>
                <w:sz w:val="14"/>
              </w:rPr>
            </w:pPr>
            <w:r>
              <w:rPr>
                <w:w w:val="105"/>
                <w:sz w:val="14"/>
              </w:rPr>
              <w:t>5600</w:t>
            </w:r>
          </w:p>
        </w:tc>
        <w:tc>
          <w:tcPr>
            <w:tcW w:w="1667" w:type="dxa"/>
          </w:tcPr>
          <w:p>
            <w:pPr>
              <w:pStyle w:val="TableParagraph"/>
              <w:spacing w:before="101"/>
              <w:ind w:right="287"/>
              <w:jc w:val="right"/>
              <w:rPr>
                <w:sz w:val="14"/>
              </w:rPr>
            </w:pPr>
            <w:r>
              <w:rPr>
                <w:sz w:val="14"/>
              </w:rPr>
              <w:t>0.00</w:t>
            </w:r>
          </w:p>
        </w:tc>
        <w:tc>
          <w:tcPr>
            <w:tcW w:w="1476" w:type="dxa"/>
          </w:tcPr>
          <w:p>
            <w:pPr>
              <w:pStyle w:val="TableParagraph"/>
              <w:spacing w:before="101"/>
              <w:ind w:right="251"/>
              <w:jc w:val="right"/>
              <w:rPr>
                <w:sz w:val="14"/>
              </w:rPr>
            </w:pPr>
            <w:r>
              <w:rPr>
                <w:sz w:val="14"/>
              </w:rPr>
              <w:t>0.00</w:t>
            </w:r>
          </w:p>
        </w:tc>
        <w:tc>
          <w:tcPr>
            <w:tcW w:w="1391" w:type="dxa"/>
            <w:gridSpan w:val="2"/>
          </w:tcPr>
          <w:p>
            <w:pPr>
              <w:pStyle w:val="TableParagraph"/>
              <w:spacing w:before="101"/>
              <w:ind w:right="53"/>
              <w:jc w:val="right"/>
              <w:rPr>
                <w:sz w:val="14"/>
              </w:rPr>
            </w:pPr>
            <w:r>
              <w:rPr>
                <w:sz w:val="14"/>
              </w:rPr>
              <w:t>0.0%</w:t>
            </w:r>
          </w:p>
        </w:tc>
      </w:tr>
      <w:tr>
        <w:trPr>
          <w:trHeight w:val="364" w:hRule="atLeast"/>
        </w:trPr>
        <w:tc>
          <w:tcPr>
            <w:tcW w:w="5131" w:type="dxa"/>
            <w:gridSpan w:val="2"/>
          </w:tcPr>
          <w:p>
            <w:pPr>
              <w:pStyle w:val="TableParagraph"/>
              <w:spacing w:before="101"/>
              <w:ind w:left="131"/>
              <w:rPr>
                <w:sz w:val="14"/>
              </w:rPr>
            </w:pPr>
            <w:r>
              <w:rPr>
                <w:w w:val="105"/>
                <w:sz w:val="14"/>
              </w:rPr>
              <w:t>Transfers of Direct Costs - Interfund</w:t>
            </w:r>
          </w:p>
        </w:tc>
        <w:tc>
          <w:tcPr>
            <w:tcW w:w="1128" w:type="dxa"/>
          </w:tcPr>
          <w:p>
            <w:pPr>
              <w:pStyle w:val="TableParagraph"/>
              <w:spacing w:before="101"/>
              <w:ind w:left="88" w:right="50"/>
              <w:jc w:val="center"/>
              <w:rPr>
                <w:sz w:val="14"/>
              </w:rPr>
            </w:pPr>
            <w:r>
              <w:rPr>
                <w:w w:val="105"/>
                <w:sz w:val="14"/>
              </w:rPr>
              <w:t>5750</w:t>
            </w:r>
          </w:p>
        </w:tc>
        <w:tc>
          <w:tcPr>
            <w:tcW w:w="1667" w:type="dxa"/>
          </w:tcPr>
          <w:p>
            <w:pPr>
              <w:pStyle w:val="TableParagraph"/>
              <w:spacing w:before="101"/>
              <w:ind w:right="287"/>
              <w:jc w:val="right"/>
              <w:rPr>
                <w:sz w:val="14"/>
              </w:rPr>
            </w:pPr>
            <w:r>
              <w:rPr>
                <w:sz w:val="14"/>
              </w:rPr>
              <w:t>0.00</w:t>
            </w:r>
          </w:p>
        </w:tc>
        <w:tc>
          <w:tcPr>
            <w:tcW w:w="1476" w:type="dxa"/>
          </w:tcPr>
          <w:p>
            <w:pPr>
              <w:pStyle w:val="TableParagraph"/>
              <w:spacing w:before="101"/>
              <w:ind w:right="251"/>
              <w:jc w:val="right"/>
              <w:rPr>
                <w:sz w:val="14"/>
              </w:rPr>
            </w:pPr>
            <w:r>
              <w:rPr>
                <w:sz w:val="14"/>
              </w:rPr>
              <w:t>0.00</w:t>
            </w:r>
          </w:p>
        </w:tc>
        <w:tc>
          <w:tcPr>
            <w:tcW w:w="1391" w:type="dxa"/>
            <w:gridSpan w:val="2"/>
          </w:tcPr>
          <w:p>
            <w:pPr>
              <w:pStyle w:val="TableParagraph"/>
              <w:spacing w:before="101"/>
              <w:ind w:right="53"/>
              <w:jc w:val="right"/>
              <w:rPr>
                <w:sz w:val="14"/>
              </w:rPr>
            </w:pPr>
            <w:r>
              <w:rPr>
                <w:sz w:val="14"/>
              </w:rPr>
              <w:t>0.0%</w:t>
            </w:r>
          </w:p>
        </w:tc>
      </w:tr>
      <w:tr>
        <w:trPr>
          <w:trHeight w:val="567" w:hRule="atLeast"/>
        </w:trPr>
        <w:tc>
          <w:tcPr>
            <w:tcW w:w="5131" w:type="dxa"/>
            <w:gridSpan w:val="2"/>
          </w:tcPr>
          <w:p>
            <w:pPr>
              <w:pStyle w:val="TableParagraph"/>
              <w:spacing w:line="292" w:lineRule="auto" w:before="101"/>
              <w:ind w:left="171" w:right="2545" w:hanging="40"/>
              <w:rPr>
                <w:sz w:val="14"/>
              </w:rPr>
            </w:pPr>
            <w:r>
              <w:rPr>
                <w:w w:val="105"/>
                <w:sz w:val="14"/>
              </w:rPr>
              <w:t>Professional/Consulting Services and Operating Expenditures</w:t>
            </w:r>
          </w:p>
        </w:tc>
        <w:tc>
          <w:tcPr>
            <w:tcW w:w="1128" w:type="dxa"/>
          </w:tcPr>
          <w:p>
            <w:pPr>
              <w:pStyle w:val="TableParagraph"/>
              <w:rPr>
                <w:sz w:val="16"/>
              </w:rPr>
            </w:pPr>
          </w:p>
          <w:p>
            <w:pPr>
              <w:pStyle w:val="TableParagraph"/>
              <w:spacing w:before="113"/>
              <w:ind w:left="88" w:right="50"/>
              <w:jc w:val="center"/>
              <w:rPr>
                <w:sz w:val="14"/>
              </w:rPr>
            </w:pPr>
            <w:r>
              <w:rPr>
                <w:w w:val="105"/>
                <w:sz w:val="14"/>
              </w:rPr>
              <w:t>5800</w:t>
            </w:r>
          </w:p>
        </w:tc>
        <w:tc>
          <w:tcPr>
            <w:tcW w:w="1667" w:type="dxa"/>
          </w:tcPr>
          <w:p>
            <w:pPr>
              <w:pStyle w:val="TableParagraph"/>
              <w:rPr>
                <w:sz w:val="16"/>
              </w:rPr>
            </w:pPr>
          </w:p>
          <w:p>
            <w:pPr>
              <w:pStyle w:val="TableParagraph"/>
              <w:spacing w:before="113"/>
              <w:ind w:right="287"/>
              <w:jc w:val="right"/>
              <w:rPr>
                <w:sz w:val="14"/>
              </w:rPr>
            </w:pPr>
            <w:r>
              <w:rPr>
                <w:sz w:val="14"/>
              </w:rPr>
              <w:t>0.00</w:t>
            </w:r>
          </w:p>
        </w:tc>
        <w:tc>
          <w:tcPr>
            <w:tcW w:w="1476" w:type="dxa"/>
          </w:tcPr>
          <w:p>
            <w:pPr>
              <w:pStyle w:val="TableParagraph"/>
              <w:rPr>
                <w:sz w:val="16"/>
              </w:rPr>
            </w:pPr>
          </w:p>
          <w:p>
            <w:pPr>
              <w:pStyle w:val="TableParagraph"/>
              <w:spacing w:before="113"/>
              <w:ind w:right="251"/>
              <w:jc w:val="right"/>
              <w:rPr>
                <w:sz w:val="14"/>
              </w:rPr>
            </w:pPr>
            <w:r>
              <w:rPr>
                <w:sz w:val="14"/>
              </w:rPr>
              <w:t>0.00</w:t>
            </w:r>
          </w:p>
        </w:tc>
        <w:tc>
          <w:tcPr>
            <w:tcW w:w="1391" w:type="dxa"/>
            <w:gridSpan w:val="2"/>
          </w:tcPr>
          <w:p>
            <w:pPr>
              <w:pStyle w:val="TableParagraph"/>
              <w:rPr>
                <w:sz w:val="16"/>
              </w:rPr>
            </w:pPr>
          </w:p>
          <w:p>
            <w:pPr>
              <w:pStyle w:val="TableParagraph"/>
              <w:spacing w:before="113"/>
              <w:ind w:right="53"/>
              <w:jc w:val="right"/>
              <w:rPr>
                <w:sz w:val="14"/>
              </w:rPr>
            </w:pPr>
            <w:r>
              <w:rPr>
                <w:sz w:val="14"/>
              </w:rPr>
              <w:t>0.0%</w:t>
            </w:r>
          </w:p>
        </w:tc>
      </w:tr>
      <w:tr>
        <w:trPr>
          <w:trHeight w:val="268" w:hRule="atLeast"/>
        </w:trPr>
        <w:tc>
          <w:tcPr>
            <w:tcW w:w="5131" w:type="dxa"/>
            <w:gridSpan w:val="2"/>
          </w:tcPr>
          <w:p>
            <w:pPr>
              <w:pStyle w:val="TableParagraph"/>
              <w:spacing w:line="142" w:lineRule="exact" w:before="107"/>
              <w:ind w:left="131"/>
              <w:rPr>
                <w:sz w:val="14"/>
              </w:rPr>
            </w:pPr>
            <w:r>
              <w:rPr>
                <w:w w:val="105"/>
                <w:sz w:val="14"/>
              </w:rPr>
              <w:t>TOTAL, SERVICES AND OTHER OPERATING EXPENDITURES</w:t>
            </w:r>
          </w:p>
        </w:tc>
        <w:tc>
          <w:tcPr>
            <w:tcW w:w="1128" w:type="dxa"/>
          </w:tcPr>
          <w:p>
            <w:pPr>
              <w:pStyle w:val="TableParagraph"/>
              <w:rPr>
                <w:rFonts w:ascii="Times New Roman"/>
                <w:sz w:val="14"/>
              </w:rPr>
            </w:pPr>
          </w:p>
        </w:tc>
        <w:tc>
          <w:tcPr>
            <w:tcW w:w="1667" w:type="dxa"/>
          </w:tcPr>
          <w:p>
            <w:pPr>
              <w:pStyle w:val="TableParagraph"/>
              <w:spacing w:line="142" w:lineRule="exact" w:before="107"/>
              <w:ind w:right="287"/>
              <w:jc w:val="right"/>
              <w:rPr>
                <w:sz w:val="14"/>
              </w:rPr>
            </w:pPr>
            <w:r>
              <w:rPr>
                <w:sz w:val="14"/>
              </w:rPr>
              <w:t>0.00</w:t>
            </w:r>
          </w:p>
        </w:tc>
        <w:tc>
          <w:tcPr>
            <w:tcW w:w="1476" w:type="dxa"/>
          </w:tcPr>
          <w:p>
            <w:pPr>
              <w:pStyle w:val="TableParagraph"/>
              <w:spacing w:line="142" w:lineRule="exact" w:before="107"/>
              <w:ind w:right="251"/>
              <w:jc w:val="right"/>
              <w:rPr>
                <w:sz w:val="14"/>
              </w:rPr>
            </w:pPr>
            <w:r>
              <w:rPr>
                <w:sz w:val="14"/>
              </w:rPr>
              <w:t>0.00</w:t>
            </w:r>
          </w:p>
        </w:tc>
        <w:tc>
          <w:tcPr>
            <w:tcW w:w="1391" w:type="dxa"/>
            <w:gridSpan w:val="2"/>
          </w:tcPr>
          <w:p>
            <w:pPr>
              <w:pStyle w:val="TableParagraph"/>
              <w:spacing w:line="142" w:lineRule="exact" w:before="107"/>
              <w:ind w:right="53"/>
              <w:jc w:val="right"/>
              <w:rPr>
                <w:sz w:val="14"/>
              </w:rPr>
            </w:pPr>
            <w:r>
              <w:rPr>
                <w:sz w:val="14"/>
              </w:rPr>
              <w:t>0.0%</w:t>
            </w:r>
          </w:p>
        </w:tc>
      </w:tr>
      <w:tr>
        <w:trPr>
          <w:trHeight w:val="367" w:hRule="atLeast"/>
        </w:trPr>
        <w:tc>
          <w:tcPr>
            <w:tcW w:w="3079" w:type="dxa"/>
          </w:tcPr>
          <w:p>
            <w:pPr>
              <w:pStyle w:val="TableParagraph"/>
              <w:spacing w:before="9"/>
              <w:rPr>
                <w:sz w:val="17"/>
              </w:rPr>
            </w:pPr>
          </w:p>
          <w:p>
            <w:pPr>
              <w:pStyle w:val="TableParagraph"/>
              <w:spacing w:line="142" w:lineRule="exact" w:before="1"/>
              <w:ind w:left="50"/>
              <w:rPr>
                <w:b/>
                <w:sz w:val="14"/>
              </w:rPr>
            </w:pPr>
            <w:r>
              <w:rPr>
                <w:b/>
                <w:w w:val="105"/>
                <w:sz w:val="14"/>
              </w:rPr>
              <w:t>CAPITAL OUTLAY</w:t>
            </w:r>
          </w:p>
        </w:tc>
        <w:tc>
          <w:tcPr>
            <w:tcW w:w="2052" w:type="dxa"/>
          </w:tcPr>
          <w:p>
            <w:pPr>
              <w:pStyle w:val="TableParagraph"/>
              <w:rPr>
                <w:rFonts w:ascii="Times New Roman"/>
                <w:sz w:val="14"/>
              </w:rPr>
            </w:pPr>
          </w:p>
        </w:tc>
        <w:tc>
          <w:tcPr>
            <w:tcW w:w="1128" w:type="dxa"/>
          </w:tcPr>
          <w:p>
            <w:pPr>
              <w:pStyle w:val="TableParagraph"/>
              <w:rPr>
                <w:rFonts w:ascii="Times New Roman"/>
                <w:sz w:val="14"/>
              </w:rPr>
            </w:pPr>
          </w:p>
        </w:tc>
        <w:tc>
          <w:tcPr>
            <w:tcW w:w="1667" w:type="dxa"/>
          </w:tcPr>
          <w:p>
            <w:pPr>
              <w:pStyle w:val="TableParagraph"/>
              <w:rPr>
                <w:rFonts w:ascii="Times New Roman"/>
                <w:sz w:val="14"/>
              </w:rPr>
            </w:pPr>
          </w:p>
        </w:tc>
        <w:tc>
          <w:tcPr>
            <w:tcW w:w="1476" w:type="dxa"/>
          </w:tcPr>
          <w:p>
            <w:pPr>
              <w:pStyle w:val="TableParagraph"/>
              <w:rPr>
                <w:rFonts w:ascii="Times New Roman"/>
                <w:sz w:val="14"/>
              </w:rPr>
            </w:pPr>
          </w:p>
        </w:tc>
        <w:tc>
          <w:tcPr>
            <w:tcW w:w="982" w:type="dxa"/>
          </w:tcPr>
          <w:p>
            <w:pPr>
              <w:pStyle w:val="TableParagraph"/>
              <w:rPr>
                <w:rFonts w:ascii="Times New Roman"/>
                <w:sz w:val="14"/>
              </w:rPr>
            </w:pPr>
          </w:p>
        </w:tc>
        <w:tc>
          <w:tcPr>
            <w:tcW w:w="409" w:type="dxa"/>
          </w:tcPr>
          <w:p>
            <w:pPr>
              <w:pStyle w:val="TableParagraph"/>
              <w:rPr>
                <w:rFonts w:ascii="Times New Roman"/>
                <w:sz w:val="14"/>
              </w:rPr>
            </w:pPr>
          </w:p>
        </w:tc>
      </w:tr>
      <w:tr>
        <w:trPr>
          <w:trHeight w:val="469" w:hRule="atLeast"/>
        </w:trPr>
        <w:tc>
          <w:tcPr>
            <w:tcW w:w="3079" w:type="dxa"/>
          </w:tcPr>
          <w:p>
            <w:pPr>
              <w:pStyle w:val="TableParagraph"/>
              <w:spacing w:before="9"/>
              <w:rPr>
                <w:sz w:val="17"/>
              </w:rPr>
            </w:pPr>
          </w:p>
          <w:p>
            <w:pPr>
              <w:pStyle w:val="TableParagraph"/>
              <w:spacing w:before="1"/>
              <w:ind w:left="131"/>
              <w:rPr>
                <w:sz w:val="14"/>
              </w:rPr>
            </w:pPr>
            <w:r>
              <w:rPr>
                <w:w w:val="105"/>
                <w:sz w:val="14"/>
              </w:rPr>
              <w:t>Equipment</w:t>
            </w:r>
          </w:p>
        </w:tc>
        <w:tc>
          <w:tcPr>
            <w:tcW w:w="3180" w:type="dxa"/>
            <w:gridSpan w:val="2"/>
          </w:tcPr>
          <w:p>
            <w:pPr>
              <w:pStyle w:val="TableParagraph"/>
              <w:spacing w:before="9"/>
              <w:rPr>
                <w:sz w:val="17"/>
              </w:rPr>
            </w:pPr>
          </w:p>
          <w:p>
            <w:pPr>
              <w:pStyle w:val="TableParagraph"/>
              <w:spacing w:before="1"/>
              <w:ind w:right="384"/>
              <w:jc w:val="right"/>
              <w:rPr>
                <w:sz w:val="14"/>
              </w:rPr>
            </w:pPr>
            <w:r>
              <w:rPr>
                <w:sz w:val="14"/>
              </w:rPr>
              <w:t>6400</w:t>
            </w:r>
          </w:p>
        </w:tc>
        <w:tc>
          <w:tcPr>
            <w:tcW w:w="1667" w:type="dxa"/>
          </w:tcPr>
          <w:p>
            <w:pPr>
              <w:pStyle w:val="TableParagraph"/>
              <w:spacing w:before="9"/>
              <w:rPr>
                <w:sz w:val="17"/>
              </w:rPr>
            </w:pPr>
          </w:p>
          <w:p>
            <w:pPr>
              <w:pStyle w:val="TableParagraph"/>
              <w:spacing w:before="1"/>
              <w:ind w:right="287"/>
              <w:jc w:val="right"/>
              <w:rPr>
                <w:sz w:val="14"/>
              </w:rPr>
            </w:pPr>
            <w:r>
              <w:rPr>
                <w:sz w:val="14"/>
              </w:rPr>
              <w:t>0.00</w:t>
            </w:r>
          </w:p>
        </w:tc>
        <w:tc>
          <w:tcPr>
            <w:tcW w:w="1476" w:type="dxa"/>
          </w:tcPr>
          <w:p>
            <w:pPr>
              <w:pStyle w:val="TableParagraph"/>
              <w:spacing w:before="9"/>
              <w:rPr>
                <w:sz w:val="17"/>
              </w:rPr>
            </w:pPr>
          </w:p>
          <w:p>
            <w:pPr>
              <w:pStyle w:val="TableParagraph"/>
              <w:spacing w:before="1"/>
              <w:ind w:right="251"/>
              <w:jc w:val="right"/>
              <w:rPr>
                <w:sz w:val="14"/>
              </w:rPr>
            </w:pPr>
            <w:r>
              <w:rPr>
                <w:sz w:val="14"/>
              </w:rPr>
              <w:t>0.00</w:t>
            </w:r>
          </w:p>
        </w:tc>
        <w:tc>
          <w:tcPr>
            <w:tcW w:w="1391" w:type="dxa"/>
            <w:gridSpan w:val="2"/>
          </w:tcPr>
          <w:p>
            <w:pPr>
              <w:pStyle w:val="TableParagraph"/>
              <w:spacing w:before="9"/>
              <w:rPr>
                <w:sz w:val="17"/>
              </w:rPr>
            </w:pPr>
          </w:p>
          <w:p>
            <w:pPr>
              <w:pStyle w:val="TableParagraph"/>
              <w:spacing w:before="1"/>
              <w:ind w:right="53"/>
              <w:jc w:val="right"/>
              <w:rPr>
                <w:sz w:val="14"/>
              </w:rPr>
            </w:pPr>
            <w:r>
              <w:rPr>
                <w:sz w:val="14"/>
              </w:rPr>
              <w:t>0.0%</w:t>
            </w:r>
          </w:p>
        </w:tc>
      </w:tr>
      <w:tr>
        <w:trPr>
          <w:trHeight w:val="364" w:hRule="atLeast"/>
        </w:trPr>
        <w:tc>
          <w:tcPr>
            <w:tcW w:w="3079" w:type="dxa"/>
          </w:tcPr>
          <w:p>
            <w:pPr>
              <w:pStyle w:val="TableParagraph"/>
              <w:spacing w:before="101"/>
              <w:ind w:left="131"/>
              <w:rPr>
                <w:sz w:val="14"/>
              </w:rPr>
            </w:pPr>
            <w:r>
              <w:rPr>
                <w:w w:val="105"/>
                <w:sz w:val="14"/>
              </w:rPr>
              <w:t>Equipment Replacement</w:t>
            </w:r>
          </w:p>
        </w:tc>
        <w:tc>
          <w:tcPr>
            <w:tcW w:w="3180" w:type="dxa"/>
            <w:gridSpan w:val="2"/>
          </w:tcPr>
          <w:p>
            <w:pPr>
              <w:pStyle w:val="TableParagraph"/>
              <w:spacing w:before="101"/>
              <w:ind w:right="384"/>
              <w:jc w:val="right"/>
              <w:rPr>
                <w:sz w:val="14"/>
              </w:rPr>
            </w:pPr>
            <w:r>
              <w:rPr>
                <w:sz w:val="14"/>
              </w:rPr>
              <w:t>6500</w:t>
            </w:r>
          </w:p>
        </w:tc>
        <w:tc>
          <w:tcPr>
            <w:tcW w:w="1667" w:type="dxa"/>
          </w:tcPr>
          <w:p>
            <w:pPr>
              <w:pStyle w:val="TableParagraph"/>
              <w:spacing w:before="101"/>
              <w:ind w:right="287"/>
              <w:jc w:val="right"/>
              <w:rPr>
                <w:sz w:val="14"/>
              </w:rPr>
            </w:pPr>
            <w:r>
              <w:rPr>
                <w:sz w:val="14"/>
              </w:rPr>
              <w:t>0.00</w:t>
            </w:r>
          </w:p>
        </w:tc>
        <w:tc>
          <w:tcPr>
            <w:tcW w:w="1476" w:type="dxa"/>
          </w:tcPr>
          <w:p>
            <w:pPr>
              <w:pStyle w:val="TableParagraph"/>
              <w:spacing w:before="101"/>
              <w:ind w:right="251"/>
              <w:jc w:val="right"/>
              <w:rPr>
                <w:sz w:val="14"/>
              </w:rPr>
            </w:pPr>
            <w:r>
              <w:rPr>
                <w:sz w:val="14"/>
              </w:rPr>
              <w:t>0.00</w:t>
            </w:r>
          </w:p>
        </w:tc>
        <w:tc>
          <w:tcPr>
            <w:tcW w:w="1391" w:type="dxa"/>
            <w:gridSpan w:val="2"/>
          </w:tcPr>
          <w:p>
            <w:pPr>
              <w:pStyle w:val="TableParagraph"/>
              <w:spacing w:before="101"/>
              <w:ind w:right="53"/>
              <w:jc w:val="right"/>
              <w:rPr>
                <w:sz w:val="14"/>
              </w:rPr>
            </w:pPr>
            <w:r>
              <w:rPr>
                <w:sz w:val="14"/>
              </w:rPr>
              <w:t>0.0%</w:t>
            </w:r>
          </w:p>
        </w:tc>
      </w:tr>
      <w:tr>
        <w:trPr>
          <w:trHeight w:val="370" w:hRule="atLeast"/>
        </w:trPr>
        <w:tc>
          <w:tcPr>
            <w:tcW w:w="3079" w:type="dxa"/>
          </w:tcPr>
          <w:p>
            <w:pPr>
              <w:pStyle w:val="TableParagraph"/>
              <w:spacing w:before="101"/>
              <w:ind w:left="131"/>
              <w:rPr>
                <w:sz w:val="14"/>
              </w:rPr>
            </w:pPr>
            <w:r>
              <w:rPr>
                <w:w w:val="105"/>
                <w:sz w:val="14"/>
              </w:rPr>
              <w:t>Lease Assets</w:t>
            </w:r>
          </w:p>
        </w:tc>
        <w:tc>
          <w:tcPr>
            <w:tcW w:w="3180" w:type="dxa"/>
            <w:gridSpan w:val="2"/>
          </w:tcPr>
          <w:p>
            <w:pPr>
              <w:pStyle w:val="TableParagraph"/>
              <w:spacing w:before="101"/>
              <w:ind w:right="384"/>
              <w:jc w:val="right"/>
              <w:rPr>
                <w:sz w:val="14"/>
              </w:rPr>
            </w:pPr>
            <w:r>
              <w:rPr>
                <w:sz w:val="14"/>
              </w:rPr>
              <w:t>6600</w:t>
            </w:r>
          </w:p>
        </w:tc>
        <w:tc>
          <w:tcPr>
            <w:tcW w:w="1667" w:type="dxa"/>
          </w:tcPr>
          <w:p>
            <w:pPr>
              <w:pStyle w:val="TableParagraph"/>
              <w:spacing w:before="101"/>
              <w:ind w:right="287"/>
              <w:jc w:val="right"/>
              <w:rPr>
                <w:sz w:val="14"/>
              </w:rPr>
            </w:pPr>
            <w:r>
              <w:rPr>
                <w:sz w:val="14"/>
              </w:rPr>
              <w:t>0.00</w:t>
            </w:r>
          </w:p>
        </w:tc>
        <w:tc>
          <w:tcPr>
            <w:tcW w:w="1476" w:type="dxa"/>
          </w:tcPr>
          <w:p>
            <w:pPr>
              <w:pStyle w:val="TableParagraph"/>
              <w:spacing w:before="101"/>
              <w:ind w:right="251"/>
              <w:jc w:val="right"/>
              <w:rPr>
                <w:sz w:val="14"/>
              </w:rPr>
            </w:pPr>
            <w:r>
              <w:rPr>
                <w:sz w:val="14"/>
              </w:rPr>
              <w:t>0.00</w:t>
            </w:r>
          </w:p>
        </w:tc>
        <w:tc>
          <w:tcPr>
            <w:tcW w:w="1391" w:type="dxa"/>
            <w:gridSpan w:val="2"/>
          </w:tcPr>
          <w:p>
            <w:pPr>
              <w:pStyle w:val="TableParagraph"/>
              <w:spacing w:before="101"/>
              <w:ind w:right="53"/>
              <w:jc w:val="right"/>
              <w:rPr>
                <w:sz w:val="14"/>
              </w:rPr>
            </w:pPr>
            <w:r>
              <w:rPr>
                <w:sz w:val="14"/>
              </w:rPr>
              <w:t>0.0%</w:t>
            </w:r>
          </w:p>
        </w:tc>
      </w:tr>
      <w:tr>
        <w:trPr>
          <w:trHeight w:val="268" w:hRule="atLeast"/>
        </w:trPr>
        <w:tc>
          <w:tcPr>
            <w:tcW w:w="3079" w:type="dxa"/>
          </w:tcPr>
          <w:p>
            <w:pPr>
              <w:pStyle w:val="TableParagraph"/>
              <w:spacing w:line="142" w:lineRule="exact" w:before="107"/>
              <w:ind w:left="131"/>
              <w:rPr>
                <w:sz w:val="14"/>
              </w:rPr>
            </w:pPr>
            <w:r>
              <w:rPr>
                <w:w w:val="105"/>
                <w:sz w:val="14"/>
              </w:rPr>
              <w:t>TOTAL, CAPITAL OUTLAY</w:t>
            </w:r>
          </w:p>
        </w:tc>
        <w:tc>
          <w:tcPr>
            <w:tcW w:w="3180" w:type="dxa"/>
            <w:gridSpan w:val="2"/>
          </w:tcPr>
          <w:p>
            <w:pPr>
              <w:pStyle w:val="TableParagraph"/>
              <w:rPr>
                <w:rFonts w:ascii="Times New Roman"/>
                <w:sz w:val="14"/>
              </w:rPr>
            </w:pPr>
          </w:p>
        </w:tc>
        <w:tc>
          <w:tcPr>
            <w:tcW w:w="1667" w:type="dxa"/>
          </w:tcPr>
          <w:p>
            <w:pPr>
              <w:pStyle w:val="TableParagraph"/>
              <w:spacing w:line="142" w:lineRule="exact" w:before="107"/>
              <w:ind w:right="287"/>
              <w:jc w:val="right"/>
              <w:rPr>
                <w:sz w:val="14"/>
              </w:rPr>
            </w:pPr>
            <w:r>
              <w:rPr>
                <w:sz w:val="14"/>
              </w:rPr>
              <w:t>0.00</w:t>
            </w:r>
          </w:p>
        </w:tc>
        <w:tc>
          <w:tcPr>
            <w:tcW w:w="1476" w:type="dxa"/>
          </w:tcPr>
          <w:p>
            <w:pPr>
              <w:pStyle w:val="TableParagraph"/>
              <w:spacing w:line="142" w:lineRule="exact" w:before="107"/>
              <w:ind w:right="251"/>
              <w:jc w:val="right"/>
              <w:rPr>
                <w:sz w:val="14"/>
              </w:rPr>
            </w:pPr>
            <w:r>
              <w:rPr>
                <w:sz w:val="14"/>
              </w:rPr>
              <w:t>0.00</w:t>
            </w:r>
          </w:p>
        </w:tc>
        <w:tc>
          <w:tcPr>
            <w:tcW w:w="1391" w:type="dxa"/>
            <w:gridSpan w:val="2"/>
          </w:tcPr>
          <w:p>
            <w:pPr>
              <w:pStyle w:val="TableParagraph"/>
              <w:spacing w:line="142" w:lineRule="exact" w:before="107"/>
              <w:ind w:right="53"/>
              <w:jc w:val="right"/>
              <w:rPr>
                <w:sz w:val="14"/>
              </w:rPr>
            </w:pPr>
            <w:r>
              <w:rPr>
                <w:sz w:val="14"/>
              </w:rPr>
              <w:t>0.0%</w:t>
            </w:r>
          </w:p>
        </w:tc>
      </w:tr>
      <w:tr>
        <w:trPr>
          <w:trHeight w:val="374" w:hRule="atLeast"/>
        </w:trPr>
        <w:tc>
          <w:tcPr>
            <w:tcW w:w="10793" w:type="dxa"/>
            <w:gridSpan w:val="7"/>
          </w:tcPr>
          <w:p>
            <w:pPr>
              <w:pStyle w:val="TableParagraph"/>
              <w:spacing w:before="5"/>
              <w:rPr>
                <w:sz w:val="18"/>
              </w:rPr>
            </w:pPr>
          </w:p>
          <w:p>
            <w:pPr>
              <w:pStyle w:val="TableParagraph"/>
              <w:spacing w:line="142" w:lineRule="exact"/>
              <w:ind w:left="50"/>
              <w:rPr>
                <w:b/>
                <w:sz w:val="14"/>
              </w:rPr>
            </w:pPr>
            <w:r>
              <w:rPr>
                <w:b/>
                <w:w w:val="105"/>
                <w:sz w:val="14"/>
              </w:rPr>
              <w:t>OTHER OUTGO - TRANSFERS OF INDIRECT COSTS</w:t>
            </w:r>
          </w:p>
        </w:tc>
      </w:tr>
      <w:tr>
        <w:trPr>
          <w:trHeight w:val="475" w:hRule="atLeast"/>
        </w:trPr>
        <w:tc>
          <w:tcPr>
            <w:tcW w:w="5131" w:type="dxa"/>
            <w:gridSpan w:val="2"/>
          </w:tcPr>
          <w:p>
            <w:pPr>
              <w:pStyle w:val="TableParagraph"/>
              <w:spacing w:before="9"/>
              <w:rPr>
                <w:sz w:val="17"/>
              </w:rPr>
            </w:pPr>
          </w:p>
          <w:p>
            <w:pPr>
              <w:pStyle w:val="TableParagraph"/>
              <w:spacing w:before="1"/>
              <w:ind w:left="131"/>
              <w:rPr>
                <w:sz w:val="14"/>
              </w:rPr>
            </w:pPr>
            <w:r>
              <w:rPr>
                <w:w w:val="105"/>
                <w:sz w:val="14"/>
              </w:rPr>
              <w:t>Transfers of Indirect Costs - Interfund</w:t>
            </w:r>
          </w:p>
        </w:tc>
        <w:tc>
          <w:tcPr>
            <w:tcW w:w="1128" w:type="dxa"/>
          </w:tcPr>
          <w:p>
            <w:pPr>
              <w:pStyle w:val="TableParagraph"/>
              <w:spacing w:before="9"/>
              <w:rPr>
                <w:sz w:val="17"/>
              </w:rPr>
            </w:pPr>
          </w:p>
          <w:p>
            <w:pPr>
              <w:pStyle w:val="TableParagraph"/>
              <w:spacing w:before="1"/>
              <w:ind w:left="88" w:right="50"/>
              <w:jc w:val="center"/>
              <w:rPr>
                <w:sz w:val="14"/>
              </w:rPr>
            </w:pPr>
            <w:r>
              <w:rPr>
                <w:w w:val="105"/>
                <w:sz w:val="14"/>
              </w:rPr>
              <w:t>7350</w:t>
            </w:r>
          </w:p>
        </w:tc>
        <w:tc>
          <w:tcPr>
            <w:tcW w:w="1667" w:type="dxa"/>
          </w:tcPr>
          <w:p>
            <w:pPr>
              <w:pStyle w:val="TableParagraph"/>
              <w:spacing w:before="9"/>
              <w:rPr>
                <w:sz w:val="17"/>
              </w:rPr>
            </w:pPr>
          </w:p>
          <w:p>
            <w:pPr>
              <w:pStyle w:val="TableParagraph"/>
              <w:spacing w:before="1"/>
              <w:ind w:right="287"/>
              <w:jc w:val="right"/>
              <w:rPr>
                <w:sz w:val="14"/>
              </w:rPr>
            </w:pPr>
            <w:r>
              <w:rPr>
                <w:sz w:val="14"/>
              </w:rPr>
              <w:t>0.00</w:t>
            </w:r>
          </w:p>
        </w:tc>
        <w:tc>
          <w:tcPr>
            <w:tcW w:w="1476" w:type="dxa"/>
          </w:tcPr>
          <w:p>
            <w:pPr>
              <w:pStyle w:val="TableParagraph"/>
              <w:spacing w:before="9"/>
              <w:rPr>
                <w:sz w:val="17"/>
              </w:rPr>
            </w:pPr>
          </w:p>
          <w:p>
            <w:pPr>
              <w:pStyle w:val="TableParagraph"/>
              <w:spacing w:before="1"/>
              <w:ind w:right="251"/>
              <w:jc w:val="right"/>
              <w:rPr>
                <w:sz w:val="14"/>
              </w:rPr>
            </w:pPr>
            <w:r>
              <w:rPr>
                <w:sz w:val="14"/>
              </w:rPr>
              <w:t>0.00</w:t>
            </w:r>
          </w:p>
        </w:tc>
        <w:tc>
          <w:tcPr>
            <w:tcW w:w="1391" w:type="dxa"/>
            <w:gridSpan w:val="2"/>
          </w:tcPr>
          <w:p>
            <w:pPr>
              <w:pStyle w:val="TableParagraph"/>
              <w:spacing w:before="9"/>
              <w:rPr>
                <w:sz w:val="17"/>
              </w:rPr>
            </w:pPr>
          </w:p>
          <w:p>
            <w:pPr>
              <w:pStyle w:val="TableParagraph"/>
              <w:spacing w:before="1"/>
              <w:ind w:right="53"/>
              <w:jc w:val="right"/>
              <w:rPr>
                <w:sz w:val="14"/>
              </w:rPr>
            </w:pPr>
            <w:r>
              <w:rPr>
                <w:sz w:val="14"/>
              </w:rPr>
              <w:t>0.0%</w:t>
            </w:r>
          </w:p>
        </w:tc>
      </w:tr>
      <w:tr>
        <w:trPr>
          <w:trHeight w:val="451" w:hRule="atLeast"/>
        </w:trPr>
        <w:tc>
          <w:tcPr>
            <w:tcW w:w="5131" w:type="dxa"/>
            <w:gridSpan w:val="2"/>
          </w:tcPr>
          <w:p>
            <w:pPr>
              <w:pStyle w:val="TableParagraph"/>
              <w:spacing w:before="107"/>
              <w:ind w:left="131"/>
              <w:rPr>
                <w:sz w:val="14"/>
              </w:rPr>
            </w:pPr>
            <w:r>
              <w:rPr>
                <w:w w:val="105"/>
                <w:sz w:val="14"/>
              </w:rPr>
              <w:t>TOTAL, OTHER OUTGO - TRANSFERS OF INDIRECT COSTS</w:t>
            </w:r>
          </w:p>
        </w:tc>
        <w:tc>
          <w:tcPr>
            <w:tcW w:w="1128" w:type="dxa"/>
          </w:tcPr>
          <w:p>
            <w:pPr>
              <w:pStyle w:val="TableParagraph"/>
              <w:rPr>
                <w:rFonts w:ascii="Times New Roman"/>
                <w:sz w:val="14"/>
              </w:rPr>
            </w:pPr>
          </w:p>
        </w:tc>
        <w:tc>
          <w:tcPr>
            <w:tcW w:w="1667" w:type="dxa"/>
          </w:tcPr>
          <w:p>
            <w:pPr>
              <w:pStyle w:val="TableParagraph"/>
              <w:spacing w:before="107"/>
              <w:ind w:right="287"/>
              <w:jc w:val="right"/>
              <w:rPr>
                <w:sz w:val="14"/>
              </w:rPr>
            </w:pPr>
            <w:r>
              <w:rPr>
                <w:sz w:val="14"/>
              </w:rPr>
              <w:t>0.00</w:t>
            </w:r>
          </w:p>
        </w:tc>
        <w:tc>
          <w:tcPr>
            <w:tcW w:w="1476" w:type="dxa"/>
          </w:tcPr>
          <w:p>
            <w:pPr>
              <w:pStyle w:val="TableParagraph"/>
              <w:spacing w:before="107"/>
              <w:ind w:right="251"/>
              <w:jc w:val="right"/>
              <w:rPr>
                <w:sz w:val="14"/>
              </w:rPr>
            </w:pPr>
            <w:r>
              <w:rPr>
                <w:sz w:val="14"/>
              </w:rPr>
              <w:t>0.00</w:t>
            </w:r>
          </w:p>
        </w:tc>
        <w:tc>
          <w:tcPr>
            <w:tcW w:w="1391" w:type="dxa"/>
            <w:gridSpan w:val="2"/>
          </w:tcPr>
          <w:p>
            <w:pPr>
              <w:pStyle w:val="TableParagraph"/>
              <w:spacing w:before="107"/>
              <w:ind w:right="53"/>
              <w:jc w:val="right"/>
              <w:rPr>
                <w:sz w:val="14"/>
              </w:rPr>
            </w:pPr>
            <w:r>
              <w:rPr>
                <w:sz w:val="14"/>
              </w:rPr>
              <w:t>0.0%</w:t>
            </w:r>
          </w:p>
        </w:tc>
      </w:tr>
      <w:tr>
        <w:trPr>
          <w:trHeight w:val="343" w:hRule="atLeast"/>
        </w:trPr>
        <w:tc>
          <w:tcPr>
            <w:tcW w:w="5131" w:type="dxa"/>
            <w:gridSpan w:val="2"/>
          </w:tcPr>
          <w:p>
            <w:pPr>
              <w:pStyle w:val="TableParagraph"/>
              <w:spacing w:before="8"/>
              <w:rPr>
                <w:sz w:val="15"/>
              </w:rPr>
            </w:pPr>
          </w:p>
          <w:p>
            <w:pPr>
              <w:pStyle w:val="TableParagraph"/>
              <w:spacing w:line="142" w:lineRule="exact" w:before="1"/>
              <w:ind w:left="50"/>
              <w:rPr>
                <w:sz w:val="14"/>
              </w:rPr>
            </w:pPr>
            <w:r>
              <w:rPr>
                <w:w w:val="105"/>
                <w:sz w:val="14"/>
              </w:rPr>
              <w:t>TOTAL, EXPENDITURES</w:t>
            </w:r>
          </w:p>
        </w:tc>
        <w:tc>
          <w:tcPr>
            <w:tcW w:w="1128" w:type="dxa"/>
          </w:tcPr>
          <w:p>
            <w:pPr>
              <w:pStyle w:val="TableParagraph"/>
              <w:rPr>
                <w:rFonts w:ascii="Times New Roman"/>
                <w:sz w:val="14"/>
              </w:rPr>
            </w:pPr>
          </w:p>
        </w:tc>
        <w:tc>
          <w:tcPr>
            <w:tcW w:w="1667" w:type="dxa"/>
          </w:tcPr>
          <w:p>
            <w:pPr>
              <w:pStyle w:val="TableParagraph"/>
              <w:spacing w:before="8"/>
              <w:rPr>
                <w:sz w:val="15"/>
              </w:rPr>
            </w:pPr>
          </w:p>
          <w:p>
            <w:pPr>
              <w:pStyle w:val="TableParagraph"/>
              <w:spacing w:line="142" w:lineRule="exact" w:before="1"/>
              <w:ind w:right="286"/>
              <w:jc w:val="right"/>
              <w:rPr>
                <w:sz w:val="14"/>
              </w:rPr>
            </w:pPr>
            <w:r>
              <w:rPr>
                <w:sz w:val="14"/>
              </w:rPr>
              <w:t>4,100.00</w:t>
            </w:r>
          </w:p>
        </w:tc>
        <w:tc>
          <w:tcPr>
            <w:tcW w:w="1476" w:type="dxa"/>
          </w:tcPr>
          <w:p>
            <w:pPr>
              <w:pStyle w:val="TableParagraph"/>
              <w:spacing w:before="8"/>
              <w:rPr>
                <w:sz w:val="15"/>
              </w:rPr>
            </w:pPr>
          </w:p>
          <w:p>
            <w:pPr>
              <w:pStyle w:val="TableParagraph"/>
              <w:spacing w:line="142" w:lineRule="exact" w:before="1"/>
              <w:ind w:right="250"/>
              <w:jc w:val="right"/>
              <w:rPr>
                <w:sz w:val="14"/>
              </w:rPr>
            </w:pPr>
            <w:r>
              <w:rPr>
                <w:sz w:val="14"/>
              </w:rPr>
              <w:t>4,100.00</w:t>
            </w:r>
          </w:p>
        </w:tc>
        <w:tc>
          <w:tcPr>
            <w:tcW w:w="1391" w:type="dxa"/>
            <w:gridSpan w:val="2"/>
          </w:tcPr>
          <w:p>
            <w:pPr>
              <w:pStyle w:val="TableParagraph"/>
              <w:spacing w:before="8"/>
              <w:rPr>
                <w:sz w:val="15"/>
              </w:rPr>
            </w:pPr>
          </w:p>
          <w:p>
            <w:pPr>
              <w:pStyle w:val="TableParagraph"/>
              <w:spacing w:line="142" w:lineRule="exact" w:before="1"/>
              <w:ind w:right="53"/>
              <w:jc w:val="right"/>
              <w:rPr>
                <w:sz w:val="14"/>
              </w:rPr>
            </w:pPr>
            <w:r>
              <w:rPr>
                <w:sz w:val="14"/>
              </w:rPr>
              <w:t>0.0%</w:t>
            </w:r>
          </w:p>
        </w:tc>
      </w:tr>
    </w:tbl>
    <w:p>
      <w:pPr>
        <w:spacing w:after="0" w:line="142" w:lineRule="exact"/>
        <w:jc w:val="right"/>
        <w:rPr>
          <w:sz w:val="14"/>
        </w:rPr>
        <w:sectPr>
          <w:type w:val="continuous"/>
          <w:pgSz w:w="12240" w:h="15840"/>
          <w:pgMar w:top="1500" w:bottom="840" w:left="160" w:right="180"/>
        </w:sectPr>
      </w:pPr>
    </w:p>
    <w:p>
      <w:pPr>
        <w:spacing w:line="232" w:lineRule="auto" w:before="1"/>
        <w:ind w:left="308" w:right="0" w:firstLine="0"/>
        <w:jc w:val="left"/>
        <w:rPr>
          <w:sz w:val="18"/>
        </w:rPr>
      </w:pPr>
      <w:r>
        <w:rPr/>
        <w:pict>
          <v:group style="position:absolute;margin-left:30.120001pt;margin-top:36.318634pt;width:538pt;height:310.45pt;mso-position-horizontal-relative:page;mso-position-vertical-relative:paragraph;z-index:-314518528" coordorigin="602,726" coordsize="10760,6209">
            <v:shape style="position:absolute;left:602;top:726;width:3646;height:790" type="#_x0000_t75" stroked="false">
              <v:imagedata r:id="rId406" o:title=""/>
            </v:shape>
            <v:shape style="position:absolute;left:602;top:726;width:10760;height:1155" type="#_x0000_t75" stroked="false">
              <v:imagedata r:id="rId499" o:title=""/>
            </v:shape>
            <v:line style="position:absolute" from="1412,1506" to="1412,1876" stroked="true" strokeweight=".360003pt" strokecolor="#ffffff">
              <v:stroke dashstyle="solid"/>
            </v:line>
            <v:shape style="position:absolute;left:4240;top:1494;width:7121;height:1128" type="#_x0000_t75" stroked="false">
              <v:imagedata r:id="rId500" o:title=""/>
            </v:shape>
            <v:shape style="position:absolute;left:6782;top:2255;width:4580;height:744" type="#_x0000_t75" stroked="false">
              <v:imagedata r:id="rId501" o:title=""/>
            </v:shape>
            <v:shape style="position:absolute;left:602;top:1878;width:3646;height:1498" type="#_x0000_t75" stroked="false">
              <v:imagedata r:id="rId502" o:title=""/>
            </v:shape>
            <v:shape style="position:absolute;left:4240;top:2619;width:7121;height:1121" type="#_x0000_t75" stroked="false">
              <v:imagedata r:id="rId503" o:title=""/>
            </v:shape>
            <v:shape style="position:absolute;left:602;top:3373;width:3646;height:749" type="#_x0000_t75" stroked="false">
              <v:imagedata r:id="rId504" o:title=""/>
            </v:shape>
            <v:shape style="position:absolute;left:602;top:3373;width:10760;height:1052" type="#_x0000_t75" stroked="false">
              <v:imagedata r:id="rId505" o:title=""/>
            </v:shape>
            <v:shape style="position:absolute;left:4240;top:4115;width:7121;height:944" type="#_x0000_t75" stroked="false">
              <v:imagedata r:id="rId506" o:title=""/>
            </v:shape>
            <v:shape style="position:absolute;left:6782;top:4715;width:4580;height:821" type="#_x0000_t75" stroked="false">
              <v:imagedata r:id="rId507" o:title=""/>
            </v:shape>
            <v:shape style="position:absolute;left:8294;top:5331;width:3068;height:204" type="#_x0000_t75" stroked="false">
              <v:imagedata r:id="rId508" o:title=""/>
            </v:shape>
            <v:rect style="position:absolute;left:6787;top:5533;width:1512;height:375" filled="true" fillcolor="#dfdfdf" stroked="false">
              <v:fill type="solid"/>
            </v:rect>
            <v:shape style="position:absolute;left:6782;top:5528;width:4580;height:752" type="#_x0000_t75" stroked="false">
              <v:imagedata r:id="rId509" o:title=""/>
            </v:shape>
            <v:shape style="position:absolute;left:602;top:4422;width:10760;height:2513" type="#_x0000_t75" stroked="false">
              <v:imagedata r:id="rId510" o:title=""/>
            </v:shape>
            <v:shape style="position:absolute;left:638;top:1340;width:811;height:161" type="#_x0000_t202" filled="false" stroked="false">
              <v:textbox inset="0,0,0,0">
                <w:txbxContent>
                  <w:p>
                    <w:pPr>
                      <w:spacing w:line="160" w:lineRule="exact" w:before="0"/>
                      <w:ind w:left="0" w:right="0" w:firstLine="0"/>
                      <w:jc w:val="left"/>
                      <w:rPr>
                        <w:b/>
                        <w:sz w:val="14"/>
                      </w:rPr>
                    </w:pPr>
                    <w:r>
                      <w:rPr>
                        <w:b/>
                        <w:sz w:val="14"/>
                      </w:rPr>
                      <w:t>Description</w:t>
                    </w:r>
                  </w:p>
                </w:txbxContent>
              </v:textbox>
              <w10:wrap type="none"/>
            </v:shape>
            <v:shape style="position:absolute;left:4466;top:1172;width:3722;height:329" type="#_x0000_t202" filled="false" stroked="false">
              <v:textbox inset="0,0,0,0">
                <w:txbxContent>
                  <w:p>
                    <w:pPr>
                      <w:spacing w:line="160" w:lineRule="exact" w:before="0"/>
                      <w:ind w:left="2820" w:right="0" w:firstLine="0"/>
                      <w:jc w:val="left"/>
                      <w:rPr>
                        <w:b/>
                        <w:sz w:val="14"/>
                      </w:rPr>
                    </w:pPr>
                    <w:r>
                      <w:rPr>
                        <w:b/>
                        <w:w w:val="105"/>
                        <w:sz w:val="14"/>
                      </w:rPr>
                      <w:t>2020-21</w:t>
                    </w:r>
                  </w:p>
                  <w:p>
                    <w:pPr>
                      <w:tabs>
                        <w:tab w:pos="1372" w:val="left" w:leader="none"/>
                      </w:tabs>
                      <w:spacing w:before="7"/>
                      <w:ind w:left="0" w:right="0" w:firstLine="0"/>
                      <w:jc w:val="left"/>
                      <w:rPr>
                        <w:b/>
                        <w:sz w:val="14"/>
                      </w:rPr>
                    </w:pPr>
                    <w:r>
                      <w:rPr>
                        <w:b/>
                        <w:w w:val="105"/>
                        <w:sz w:val="14"/>
                      </w:rPr>
                      <w:t>Resource</w:t>
                    </w:r>
                    <w:r>
                      <w:rPr>
                        <w:b/>
                        <w:spacing w:val="-12"/>
                        <w:w w:val="105"/>
                        <w:sz w:val="14"/>
                      </w:rPr>
                      <w:t> </w:t>
                    </w:r>
                    <w:r>
                      <w:rPr>
                        <w:b/>
                        <w:w w:val="105"/>
                        <w:sz w:val="14"/>
                      </w:rPr>
                      <w:t>Codes</w:t>
                      <w:tab/>
                      <w:t>Object Codes Estimated</w:t>
                    </w:r>
                    <w:r>
                      <w:rPr>
                        <w:b/>
                        <w:spacing w:val="-15"/>
                        <w:w w:val="105"/>
                        <w:sz w:val="14"/>
                      </w:rPr>
                      <w:t> </w:t>
                    </w:r>
                    <w:r>
                      <w:rPr>
                        <w:b/>
                        <w:w w:val="105"/>
                        <w:sz w:val="14"/>
                      </w:rPr>
                      <w:t>Actuals</w:t>
                    </w:r>
                  </w:p>
                </w:txbxContent>
              </v:textbox>
              <w10:wrap type="none"/>
            </v:shape>
            <v:shape style="position:absolute;left:8798;top:1172;width:545;height:329" type="#_x0000_t202" filled="false" stroked="false">
              <v:textbox inset="0,0,0,0">
                <w:txbxContent>
                  <w:p>
                    <w:pPr>
                      <w:spacing w:line="160" w:lineRule="exact" w:before="0"/>
                      <w:ind w:left="0" w:right="0" w:firstLine="0"/>
                      <w:jc w:val="left"/>
                      <w:rPr>
                        <w:b/>
                        <w:sz w:val="14"/>
                      </w:rPr>
                    </w:pPr>
                    <w:r>
                      <w:rPr>
                        <w:b/>
                        <w:sz w:val="14"/>
                      </w:rPr>
                      <w:t>2021-22</w:t>
                    </w:r>
                  </w:p>
                  <w:p>
                    <w:pPr>
                      <w:spacing w:before="7"/>
                      <w:ind w:left="11" w:right="0" w:firstLine="0"/>
                      <w:jc w:val="left"/>
                      <w:rPr>
                        <w:b/>
                        <w:sz w:val="14"/>
                      </w:rPr>
                    </w:pPr>
                    <w:r>
                      <w:rPr>
                        <w:b/>
                        <w:w w:val="105"/>
                        <w:sz w:val="14"/>
                      </w:rPr>
                      <w:t>Budget</w:t>
                    </w:r>
                  </w:p>
                </w:txbxContent>
              </v:textbox>
              <w10:wrap type="none"/>
            </v:shape>
            <v:shape style="position:absolute;left:10236;top:1172;width:721;height:329" type="#_x0000_t202" filled="false" stroked="false">
              <v:textbox inset="0,0,0,0">
                <w:txbxContent>
                  <w:p>
                    <w:pPr>
                      <w:spacing w:line="249" w:lineRule="auto" w:before="0"/>
                      <w:ind w:left="0" w:right="16" w:firstLine="86"/>
                      <w:jc w:val="left"/>
                      <w:rPr>
                        <w:b/>
                        <w:sz w:val="14"/>
                      </w:rPr>
                    </w:pPr>
                    <w:r>
                      <w:rPr>
                        <w:b/>
                        <w:w w:val="105"/>
                        <w:sz w:val="14"/>
                      </w:rPr>
                      <w:t>Percent </w:t>
                    </w:r>
                    <w:r>
                      <w:rPr>
                        <w:b/>
                        <w:sz w:val="14"/>
                      </w:rPr>
                      <w:t>Difference</w:t>
                    </w:r>
                  </w:p>
                </w:txbxContent>
              </v:textbox>
              <w10:wrap type="none"/>
            </v:shape>
            <v:shape style="position:absolute;left:638;top:1717;width:2030;height:538" type="#_x0000_t202" filled="false" stroked="false">
              <v:textbox inset="0,0,0,0">
                <w:txbxContent>
                  <w:p>
                    <w:pPr>
                      <w:spacing w:line="160" w:lineRule="exact" w:before="0"/>
                      <w:ind w:left="0" w:right="0" w:firstLine="0"/>
                      <w:jc w:val="left"/>
                      <w:rPr>
                        <w:b/>
                        <w:sz w:val="14"/>
                      </w:rPr>
                    </w:pPr>
                    <w:r>
                      <w:rPr>
                        <w:b/>
                        <w:w w:val="105"/>
                        <w:sz w:val="14"/>
                      </w:rPr>
                      <w:t>INTERFUND TRANSFERS</w:t>
                    </w:r>
                  </w:p>
                  <w:p>
                    <w:pPr>
                      <w:spacing w:line="240" w:lineRule="auto" w:before="8"/>
                      <w:rPr>
                        <w:b/>
                        <w:sz w:val="18"/>
                      </w:rPr>
                    </w:pPr>
                  </w:p>
                  <w:p>
                    <w:pPr>
                      <w:spacing w:before="1"/>
                      <w:ind w:left="81" w:right="0" w:firstLine="0"/>
                      <w:jc w:val="left"/>
                      <w:rPr>
                        <w:b/>
                        <w:sz w:val="14"/>
                      </w:rPr>
                    </w:pPr>
                    <w:r>
                      <w:rPr>
                        <w:b/>
                        <w:w w:val="105"/>
                        <w:sz w:val="14"/>
                      </w:rPr>
                      <w:t>INTERFUND</w:t>
                    </w:r>
                    <w:r>
                      <w:rPr>
                        <w:b/>
                        <w:spacing w:val="-21"/>
                        <w:w w:val="105"/>
                        <w:sz w:val="14"/>
                      </w:rPr>
                      <w:t> </w:t>
                    </w:r>
                    <w:r>
                      <w:rPr>
                        <w:b/>
                        <w:w w:val="105"/>
                        <w:sz w:val="14"/>
                      </w:rPr>
                      <w:t>TRANSFERS</w:t>
                    </w:r>
                    <w:r>
                      <w:rPr>
                        <w:b/>
                        <w:spacing w:val="-20"/>
                        <w:w w:val="105"/>
                        <w:sz w:val="14"/>
                      </w:rPr>
                      <w:t> </w:t>
                    </w:r>
                    <w:r>
                      <w:rPr>
                        <w:b/>
                        <w:w w:val="105"/>
                        <w:sz w:val="14"/>
                      </w:rPr>
                      <w:t>IN</w:t>
                    </w:r>
                  </w:p>
                </w:txbxContent>
              </v:textbox>
              <w10:wrap type="none"/>
            </v:shape>
            <v:shape style="position:absolute;left:638;top:4261;width:1705;height:454" type="#_x0000_t202" filled="false" stroked="false">
              <v:textbox inset="0,0,0,0">
                <w:txbxContent>
                  <w:p>
                    <w:pPr>
                      <w:spacing w:line="160" w:lineRule="exact" w:before="0"/>
                      <w:ind w:left="0" w:right="0" w:firstLine="0"/>
                      <w:jc w:val="left"/>
                      <w:rPr>
                        <w:b/>
                        <w:sz w:val="14"/>
                      </w:rPr>
                    </w:pPr>
                    <w:r>
                      <w:rPr>
                        <w:b/>
                        <w:w w:val="105"/>
                        <w:sz w:val="14"/>
                      </w:rPr>
                      <w:t>OTHER</w:t>
                    </w:r>
                    <w:r>
                      <w:rPr>
                        <w:b/>
                        <w:spacing w:val="-27"/>
                        <w:w w:val="105"/>
                        <w:sz w:val="14"/>
                      </w:rPr>
                      <w:t> </w:t>
                    </w:r>
                    <w:r>
                      <w:rPr>
                        <w:b/>
                        <w:w w:val="105"/>
                        <w:sz w:val="14"/>
                      </w:rPr>
                      <w:t>SOURCES/USES</w:t>
                    </w:r>
                  </w:p>
                  <w:p>
                    <w:pPr>
                      <w:spacing w:before="132"/>
                      <w:ind w:left="81" w:right="0" w:firstLine="0"/>
                      <w:jc w:val="left"/>
                      <w:rPr>
                        <w:b/>
                        <w:sz w:val="14"/>
                      </w:rPr>
                    </w:pPr>
                    <w:r>
                      <w:rPr>
                        <w:b/>
                        <w:w w:val="105"/>
                        <w:sz w:val="14"/>
                      </w:rPr>
                      <w:t>SOURCES</w:t>
                    </w:r>
                  </w:p>
                </w:txbxContent>
              </v:textbox>
              <w10:wrap type="none"/>
            </v:shape>
            <w10:wrap type="none"/>
          </v:group>
        </w:pict>
      </w:r>
      <w:r>
        <w:rPr>
          <w:sz w:val="18"/>
        </w:rPr>
        <w:t>Winship-Robbins Elementary Sutter County</w:t>
      </w:r>
    </w:p>
    <w:p>
      <w:pPr>
        <w:spacing w:line="232" w:lineRule="auto" w:before="1"/>
        <w:ind w:left="943" w:right="0" w:hanging="636"/>
        <w:jc w:val="left"/>
        <w:rPr>
          <w:sz w:val="18"/>
        </w:rPr>
      </w:pPr>
      <w:r>
        <w:rPr/>
        <w:br w:type="column"/>
      </w:r>
      <w:r>
        <w:rPr>
          <w:sz w:val="18"/>
        </w:rPr>
        <w:t>Student Activity Special Revenue Fund Expenditures by Object</w:t>
      </w:r>
    </w:p>
    <w:p>
      <w:pPr>
        <w:spacing w:line="200" w:lineRule="exact" w:before="0"/>
        <w:ind w:left="0" w:right="287" w:firstLine="0"/>
        <w:jc w:val="right"/>
        <w:rPr>
          <w:sz w:val="18"/>
        </w:rPr>
      </w:pPr>
      <w:r>
        <w:rPr/>
        <w:br w:type="column"/>
      </w:r>
      <w:r>
        <w:rPr>
          <w:sz w:val="18"/>
        </w:rPr>
        <w:t>51 71456</w:t>
      </w:r>
      <w:r>
        <w:rPr>
          <w:spacing w:val="3"/>
          <w:sz w:val="18"/>
        </w:rPr>
        <w:t> </w:t>
      </w:r>
      <w:r>
        <w:rPr>
          <w:sz w:val="18"/>
        </w:rPr>
        <w:t>0000000</w:t>
      </w:r>
    </w:p>
    <w:p>
      <w:pPr>
        <w:spacing w:line="204" w:lineRule="exact" w:before="0"/>
        <w:ind w:left="0" w:right="285" w:firstLine="0"/>
        <w:jc w:val="right"/>
        <w:rPr>
          <w:sz w:val="18"/>
        </w:rPr>
      </w:pPr>
      <w:r>
        <w:rPr>
          <w:sz w:val="18"/>
        </w:rPr>
        <w:t>Form </w:t>
      </w:r>
      <w:r>
        <w:rPr>
          <w:spacing w:val="3"/>
          <w:sz w:val="18"/>
        </w:rPr>
        <w:t> </w:t>
      </w:r>
      <w:r>
        <w:rPr>
          <w:sz w:val="18"/>
        </w:rPr>
        <w:t>08</w:t>
      </w:r>
    </w:p>
    <w:p>
      <w:pPr>
        <w:spacing w:after="0" w:line="204" w:lineRule="exact"/>
        <w:jc w:val="right"/>
        <w:rPr>
          <w:sz w:val="18"/>
        </w:rPr>
        <w:sectPr>
          <w:pgSz w:w="12240" w:h="15840"/>
          <w:pgMar w:header="651" w:footer="437" w:top="840" w:bottom="620" w:left="160" w:right="180"/>
          <w:cols w:num="3" w:equalWidth="0">
            <w:col w:w="2698" w:space="1379"/>
            <w:col w:w="3491" w:space="2224"/>
            <w:col w:w="2108"/>
          </w:cols>
        </w:sectPr>
      </w:pPr>
    </w:p>
    <w:p>
      <w:pPr>
        <w:pStyle w:val="BodyText"/>
        <w:rPr>
          <w:sz w:val="20"/>
        </w:rPr>
      </w:pPr>
      <w:r>
        <w:rPr/>
        <w:pict>
          <v:group style="position:absolute;margin-left:30.120001pt;margin-top:370.440002pt;width:538pt;height:165.4pt;mso-position-horizontal-relative:page;mso-position-vertical-relative:page;z-index:-314517504" coordorigin="602,7409" coordsize="10760,3308">
            <v:shape style="position:absolute;left:4240;top:7408;width:7121;height:956" type="#_x0000_t75" stroked="false">
              <v:imagedata r:id="rId511" o:title=""/>
            </v:shape>
            <v:shape style="position:absolute;left:602;top:7785;width:3646;height:579" type="#_x0000_t75" stroked="false">
              <v:imagedata r:id="rId512" o:title=""/>
            </v:shape>
            <v:shape style="position:absolute;left:602;top:8356;width:3646;height:380" type="#_x0000_t75" stroked="false">
              <v:imagedata r:id="rId513" o:title=""/>
            </v:shape>
            <v:shape style="position:absolute;left:4240;top:7982;width:7121;height:1332" type="#_x0000_t75" stroked="false">
              <v:imagedata r:id="rId514" o:title=""/>
            </v:shape>
            <v:shape style="position:absolute;left:6782;top:8930;width:4580;height:759" type="#_x0000_t75" stroked="false">
              <v:imagedata r:id="rId515" o:title=""/>
            </v:shape>
            <v:shape style="position:absolute;left:602;top:8733;width:3646;height:1332" type="#_x0000_t75" stroked="false">
              <v:imagedata r:id="rId516" o:title=""/>
            </v:shape>
            <v:shape style="position:absolute;left:4240;top:9307;width:7121;height:759" type="#_x0000_t75" stroked="false">
              <v:imagedata r:id="rId517" o:title=""/>
            </v:shape>
            <v:shape style="position:absolute;left:8294;top:9681;width:3068;height:953" type="#_x0000_t75" stroked="false">
              <v:imagedata r:id="rId518" o:title=""/>
            </v:shape>
            <v:shape style="position:absolute;left:602;top:10058;width:10760;height:658" type="#_x0000_t75" stroked="false">
              <v:imagedata r:id="rId519" o:titl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8"/>
        </w:rPr>
      </w:pPr>
    </w:p>
    <w:tbl>
      <w:tblPr>
        <w:tblW w:w="0" w:type="auto"/>
        <w:jc w:val="left"/>
        <w:tblInd w:w="5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90"/>
        <w:gridCol w:w="2344"/>
        <w:gridCol w:w="1638"/>
        <w:gridCol w:w="1526"/>
        <w:gridCol w:w="1007"/>
      </w:tblGrid>
      <w:tr>
        <w:trPr>
          <w:trHeight w:val="268" w:hRule="atLeast"/>
        </w:trPr>
        <w:tc>
          <w:tcPr>
            <w:tcW w:w="4190" w:type="dxa"/>
          </w:tcPr>
          <w:p>
            <w:pPr>
              <w:pStyle w:val="TableParagraph"/>
              <w:spacing w:line="160" w:lineRule="exact"/>
              <w:ind w:left="131"/>
              <w:rPr>
                <w:sz w:val="14"/>
              </w:rPr>
            </w:pPr>
            <w:r>
              <w:rPr>
                <w:w w:val="105"/>
                <w:sz w:val="14"/>
              </w:rPr>
              <w:t>Other Authorized Interfund Transfers In</w:t>
            </w:r>
          </w:p>
        </w:tc>
        <w:tc>
          <w:tcPr>
            <w:tcW w:w="2344" w:type="dxa"/>
          </w:tcPr>
          <w:p>
            <w:pPr>
              <w:pStyle w:val="TableParagraph"/>
              <w:spacing w:line="160" w:lineRule="exact"/>
              <w:ind w:right="740"/>
              <w:jc w:val="right"/>
              <w:rPr>
                <w:sz w:val="14"/>
              </w:rPr>
            </w:pPr>
            <w:r>
              <w:rPr>
                <w:sz w:val="14"/>
              </w:rPr>
              <w:t>8919</w:t>
            </w:r>
          </w:p>
        </w:tc>
        <w:tc>
          <w:tcPr>
            <w:tcW w:w="1638" w:type="dxa"/>
          </w:tcPr>
          <w:p>
            <w:pPr>
              <w:pStyle w:val="TableParagraph"/>
              <w:spacing w:line="160" w:lineRule="exact"/>
              <w:ind w:right="614"/>
              <w:jc w:val="right"/>
              <w:rPr>
                <w:sz w:val="14"/>
              </w:rPr>
            </w:pPr>
            <w:r>
              <w:rPr>
                <w:sz w:val="14"/>
              </w:rPr>
              <w:t>0.00</w:t>
            </w:r>
          </w:p>
        </w:tc>
        <w:tc>
          <w:tcPr>
            <w:tcW w:w="1526" w:type="dxa"/>
          </w:tcPr>
          <w:p>
            <w:pPr>
              <w:pStyle w:val="TableParagraph"/>
              <w:spacing w:line="160" w:lineRule="exact"/>
              <w:ind w:left="616"/>
              <w:rPr>
                <w:sz w:val="14"/>
              </w:rPr>
            </w:pPr>
            <w:r>
              <w:rPr>
                <w:w w:val="105"/>
                <w:sz w:val="14"/>
              </w:rPr>
              <w:t>0.00</w:t>
            </w:r>
          </w:p>
        </w:tc>
        <w:tc>
          <w:tcPr>
            <w:tcW w:w="1007" w:type="dxa"/>
          </w:tcPr>
          <w:p>
            <w:pPr>
              <w:pStyle w:val="TableParagraph"/>
              <w:spacing w:line="160" w:lineRule="exact"/>
              <w:ind w:right="47"/>
              <w:jc w:val="right"/>
              <w:rPr>
                <w:sz w:val="14"/>
              </w:rPr>
            </w:pPr>
            <w:r>
              <w:rPr>
                <w:sz w:val="14"/>
              </w:rPr>
              <w:t>0.0%</w:t>
            </w:r>
          </w:p>
        </w:tc>
      </w:tr>
      <w:tr>
        <w:trPr>
          <w:trHeight w:val="1118" w:hRule="atLeast"/>
        </w:trPr>
        <w:tc>
          <w:tcPr>
            <w:tcW w:w="4190" w:type="dxa"/>
          </w:tcPr>
          <w:p>
            <w:pPr>
              <w:pStyle w:val="TableParagraph"/>
              <w:spacing w:before="107"/>
              <w:ind w:left="50"/>
              <w:rPr>
                <w:sz w:val="14"/>
              </w:rPr>
            </w:pPr>
            <w:r>
              <w:rPr>
                <w:w w:val="105"/>
                <w:sz w:val="14"/>
              </w:rPr>
              <w:t>(a) TOTAL, INTERFUND TRANSFERS IN</w:t>
            </w:r>
          </w:p>
          <w:p>
            <w:pPr>
              <w:pStyle w:val="TableParagraph"/>
              <w:spacing w:before="6"/>
              <w:rPr>
                <w:sz w:val="18"/>
              </w:rPr>
            </w:pPr>
          </w:p>
          <w:p>
            <w:pPr>
              <w:pStyle w:val="TableParagraph"/>
              <w:ind w:left="50"/>
              <w:rPr>
                <w:b/>
                <w:sz w:val="14"/>
              </w:rPr>
            </w:pPr>
            <w:r>
              <w:rPr>
                <w:b/>
                <w:w w:val="105"/>
                <w:sz w:val="14"/>
              </w:rPr>
              <w:t>INTERFUND TRANSFERS OUT</w:t>
            </w:r>
          </w:p>
          <w:p>
            <w:pPr>
              <w:pStyle w:val="TableParagraph"/>
              <w:spacing w:before="11"/>
              <w:rPr>
                <w:sz w:val="17"/>
              </w:rPr>
            </w:pPr>
          </w:p>
          <w:p>
            <w:pPr>
              <w:pStyle w:val="TableParagraph"/>
              <w:ind w:left="131"/>
              <w:rPr>
                <w:sz w:val="14"/>
              </w:rPr>
            </w:pPr>
            <w:r>
              <w:rPr>
                <w:w w:val="105"/>
                <w:sz w:val="14"/>
              </w:rPr>
              <w:t>Other Authorized Interfund Transfers Out</w:t>
            </w:r>
          </w:p>
        </w:tc>
        <w:tc>
          <w:tcPr>
            <w:tcW w:w="2344" w:type="dxa"/>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112"/>
              <w:ind w:right="740"/>
              <w:jc w:val="right"/>
              <w:rPr>
                <w:sz w:val="14"/>
              </w:rPr>
            </w:pPr>
            <w:r>
              <w:rPr>
                <w:sz w:val="14"/>
              </w:rPr>
              <w:t>7619</w:t>
            </w:r>
          </w:p>
        </w:tc>
        <w:tc>
          <w:tcPr>
            <w:tcW w:w="1638" w:type="dxa"/>
          </w:tcPr>
          <w:p>
            <w:pPr>
              <w:pStyle w:val="TableParagraph"/>
              <w:spacing w:before="107"/>
              <w:ind w:left="718" w:right="593"/>
              <w:jc w:val="center"/>
              <w:rPr>
                <w:sz w:val="14"/>
              </w:rPr>
            </w:pPr>
            <w:r>
              <w:rPr>
                <w:w w:val="105"/>
                <w:sz w:val="14"/>
              </w:rPr>
              <w:t>0.00</w:t>
            </w:r>
          </w:p>
          <w:p>
            <w:pPr>
              <w:pStyle w:val="TableParagraph"/>
              <w:rPr>
                <w:sz w:val="16"/>
              </w:rPr>
            </w:pPr>
          </w:p>
          <w:p>
            <w:pPr>
              <w:pStyle w:val="TableParagraph"/>
              <w:rPr>
                <w:sz w:val="16"/>
              </w:rPr>
            </w:pPr>
          </w:p>
          <w:p>
            <w:pPr>
              <w:pStyle w:val="TableParagraph"/>
              <w:spacing w:before="5"/>
              <w:rPr>
                <w:sz w:val="18"/>
              </w:rPr>
            </w:pPr>
          </w:p>
          <w:p>
            <w:pPr>
              <w:pStyle w:val="TableParagraph"/>
              <w:ind w:left="718" w:right="593"/>
              <w:jc w:val="center"/>
              <w:rPr>
                <w:sz w:val="14"/>
              </w:rPr>
            </w:pPr>
            <w:r>
              <w:rPr>
                <w:w w:val="105"/>
                <w:sz w:val="14"/>
              </w:rPr>
              <w:t>0.00</w:t>
            </w:r>
          </w:p>
        </w:tc>
        <w:tc>
          <w:tcPr>
            <w:tcW w:w="1526" w:type="dxa"/>
          </w:tcPr>
          <w:p>
            <w:pPr>
              <w:pStyle w:val="TableParagraph"/>
              <w:spacing w:before="107"/>
              <w:ind w:left="592" w:right="604"/>
              <w:jc w:val="center"/>
              <w:rPr>
                <w:sz w:val="14"/>
              </w:rPr>
            </w:pPr>
            <w:r>
              <w:rPr>
                <w:w w:val="105"/>
                <w:sz w:val="14"/>
              </w:rPr>
              <w:t>0.00</w:t>
            </w:r>
          </w:p>
          <w:p>
            <w:pPr>
              <w:pStyle w:val="TableParagraph"/>
              <w:rPr>
                <w:sz w:val="16"/>
              </w:rPr>
            </w:pPr>
          </w:p>
          <w:p>
            <w:pPr>
              <w:pStyle w:val="TableParagraph"/>
              <w:rPr>
                <w:sz w:val="16"/>
              </w:rPr>
            </w:pPr>
          </w:p>
          <w:p>
            <w:pPr>
              <w:pStyle w:val="TableParagraph"/>
              <w:spacing w:before="5"/>
              <w:rPr>
                <w:sz w:val="18"/>
              </w:rPr>
            </w:pPr>
          </w:p>
          <w:p>
            <w:pPr>
              <w:pStyle w:val="TableParagraph"/>
              <w:ind w:left="592" w:right="604"/>
              <w:jc w:val="center"/>
              <w:rPr>
                <w:sz w:val="14"/>
              </w:rPr>
            </w:pPr>
            <w:r>
              <w:rPr>
                <w:w w:val="105"/>
                <w:sz w:val="14"/>
              </w:rPr>
              <w:t>0.00</w:t>
            </w:r>
          </w:p>
        </w:tc>
        <w:tc>
          <w:tcPr>
            <w:tcW w:w="1007" w:type="dxa"/>
          </w:tcPr>
          <w:p>
            <w:pPr>
              <w:pStyle w:val="TableParagraph"/>
              <w:spacing w:before="107"/>
              <w:ind w:left="631"/>
              <w:rPr>
                <w:sz w:val="14"/>
              </w:rPr>
            </w:pPr>
            <w:r>
              <w:rPr>
                <w:w w:val="105"/>
                <w:sz w:val="14"/>
              </w:rPr>
              <w:t>0.0%</w:t>
            </w:r>
          </w:p>
          <w:p>
            <w:pPr>
              <w:pStyle w:val="TableParagraph"/>
              <w:rPr>
                <w:sz w:val="16"/>
              </w:rPr>
            </w:pPr>
          </w:p>
          <w:p>
            <w:pPr>
              <w:pStyle w:val="TableParagraph"/>
              <w:rPr>
                <w:sz w:val="16"/>
              </w:rPr>
            </w:pPr>
          </w:p>
          <w:p>
            <w:pPr>
              <w:pStyle w:val="TableParagraph"/>
              <w:spacing w:before="5"/>
              <w:rPr>
                <w:sz w:val="18"/>
              </w:rPr>
            </w:pPr>
          </w:p>
          <w:p>
            <w:pPr>
              <w:pStyle w:val="TableParagraph"/>
              <w:ind w:left="631"/>
              <w:rPr>
                <w:sz w:val="14"/>
              </w:rPr>
            </w:pPr>
            <w:r>
              <w:rPr>
                <w:w w:val="105"/>
                <w:sz w:val="14"/>
              </w:rPr>
              <w:t>0.0%</w:t>
            </w:r>
          </w:p>
        </w:tc>
      </w:tr>
      <w:tr>
        <w:trPr>
          <w:trHeight w:val="268" w:hRule="atLeast"/>
        </w:trPr>
        <w:tc>
          <w:tcPr>
            <w:tcW w:w="4190" w:type="dxa"/>
          </w:tcPr>
          <w:p>
            <w:pPr>
              <w:pStyle w:val="TableParagraph"/>
              <w:spacing w:line="142" w:lineRule="exact" w:before="107"/>
              <w:ind w:left="50"/>
              <w:rPr>
                <w:sz w:val="14"/>
              </w:rPr>
            </w:pPr>
            <w:r>
              <w:rPr>
                <w:w w:val="105"/>
                <w:sz w:val="14"/>
              </w:rPr>
              <w:t>(b) TOTAL, INTERFUND TRANSFERS OUT</w:t>
            </w:r>
          </w:p>
        </w:tc>
        <w:tc>
          <w:tcPr>
            <w:tcW w:w="2344" w:type="dxa"/>
          </w:tcPr>
          <w:p>
            <w:pPr>
              <w:pStyle w:val="TableParagraph"/>
              <w:rPr>
                <w:rFonts w:ascii="Times New Roman"/>
                <w:sz w:val="14"/>
              </w:rPr>
            </w:pPr>
          </w:p>
        </w:tc>
        <w:tc>
          <w:tcPr>
            <w:tcW w:w="1638" w:type="dxa"/>
          </w:tcPr>
          <w:p>
            <w:pPr>
              <w:pStyle w:val="TableParagraph"/>
              <w:spacing w:line="142" w:lineRule="exact" w:before="107"/>
              <w:ind w:right="614"/>
              <w:jc w:val="right"/>
              <w:rPr>
                <w:sz w:val="14"/>
              </w:rPr>
            </w:pPr>
            <w:r>
              <w:rPr>
                <w:sz w:val="14"/>
              </w:rPr>
              <w:t>0.00</w:t>
            </w:r>
          </w:p>
        </w:tc>
        <w:tc>
          <w:tcPr>
            <w:tcW w:w="1526" w:type="dxa"/>
          </w:tcPr>
          <w:p>
            <w:pPr>
              <w:pStyle w:val="TableParagraph"/>
              <w:spacing w:line="142" w:lineRule="exact" w:before="107"/>
              <w:ind w:left="616"/>
              <w:rPr>
                <w:sz w:val="14"/>
              </w:rPr>
            </w:pPr>
            <w:r>
              <w:rPr>
                <w:w w:val="105"/>
                <w:sz w:val="14"/>
              </w:rPr>
              <w:t>0.00</w:t>
            </w:r>
          </w:p>
        </w:tc>
        <w:tc>
          <w:tcPr>
            <w:tcW w:w="1007" w:type="dxa"/>
          </w:tcPr>
          <w:p>
            <w:pPr>
              <w:pStyle w:val="TableParagraph"/>
              <w:spacing w:line="142" w:lineRule="exact" w:before="107"/>
              <w:ind w:right="47"/>
              <w:jc w:val="right"/>
              <w:rPr>
                <w:sz w:val="14"/>
              </w:rPr>
            </w:pPr>
            <w:r>
              <w:rPr>
                <w:sz w:val="14"/>
              </w:rPr>
              <w:t>0.0%</w:t>
            </w:r>
          </w:p>
        </w:tc>
      </w:tr>
    </w:tbl>
    <w:p>
      <w:pPr>
        <w:pStyle w:val="BodyText"/>
        <w:rPr>
          <w:sz w:val="20"/>
        </w:rPr>
      </w:pPr>
    </w:p>
    <w:p>
      <w:pPr>
        <w:pStyle w:val="BodyText"/>
        <w:rPr>
          <w:sz w:val="20"/>
        </w:rPr>
      </w:pPr>
    </w:p>
    <w:p>
      <w:pPr>
        <w:pStyle w:val="BodyText"/>
        <w:spacing w:before="5"/>
        <w:rPr>
          <w:sz w:val="27"/>
        </w:rPr>
      </w:pPr>
    </w:p>
    <w:tbl>
      <w:tblPr>
        <w:tblW w:w="0" w:type="auto"/>
        <w:jc w:val="left"/>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36"/>
        <w:gridCol w:w="2279"/>
        <w:gridCol w:w="1638"/>
        <w:gridCol w:w="1526"/>
        <w:gridCol w:w="1007"/>
      </w:tblGrid>
      <w:tr>
        <w:trPr>
          <w:trHeight w:val="220" w:hRule="atLeast"/>
        </w:trPr>
        <w:tc>
          <w:tcPr>
            <w:tcW w:w="4336" w:type="dxa"/>
          </w:tcPr>
          <w:p>
            <w:pPr>
              <w:pStyle w:val="TableParagraph"/>
              <w:spacing w:line="160" w:lineRule="exact"/>
              <w:ind w:left="294"/>
              <w:rPr>
                <w:sz w:val="14"/>
              </w:rPr>
            </w:pPr>
            <w:r>
              <w:rPr>
                <w:w w:val="105"/>
                <w:sz w:val="14"/>
              </w:rPr>
              <w:t>Proceeds from Disposal of Capital Assets</w:t>
            </w:r>
          </w:p>
        </w:tc>
        <w:tc>
          <w:tcPr>
            <w:tcW w:w="2279" w:type="dxa"/>
          </w:tcPr>
          <w:p>
            <w:pPr>
              <w:pStyle w:val="TableParagraph"/>
              <w:spacing w:line="160" w:lineRule="exact"/>
              <w:ind w:right="740"/>
              <w:jc w:val="right"/>
              <w:rPr>
                <w:sz w:val="14"/>
              </w:rPr>
            </w:pPr>
            <w:r>
              <w:rPr>
                <w:sz w:val="14"/>
              </w:rPr>
              <w:t>8953</w:t>
            </w:r>
          </w:p>
        </w:tc>
        <w:tc>
          <w:tcPr>
            <w:tcW w:w="1638" w:type="dxa"/>
          </w:tcPr>
          <w:p>
            <w:pPr>
              <w:pStyle w:val="TableParagraph"/>
              <w:spacing w:line="160" w:lineRule="exact"/>
              <w:ind w:right="614"/>
              <w:jc w:val="right"/>
              <w:rPr>
                <w:sz w:val="14"/>
              </w:rPr>
            </w:pPr>
            <w:r>
              <w:rPr>
                <w:sz w:val="14"/>
              </w:rPr>
              <w:t>0.00</w:t>
            </w:r>
          </w:p>
        </w:tc>
        <w:tc>
          <w:tcPr>
            <w:tcW w:w="1526" w:type="dxa"/>
          </w:tcPr>
          <w:p>
            <w:pPr>
              <w:pStyle w:val="TableParagraph"/>
              <w:spacing w:line="160" w:lineRule="exact"/>
              <w:ind w:left="616"/>
              <w:rPr>
                <w:sz w:val="14"/>
              </w:rPr>
            </w:pPr>
            <w:r>
              <w:rPr>
                <w:w w:val="105"/>
                <w:sz w:val="14"/>
              </w:rPr>
              <w:t>0.00</w:t>
            </w:r>
          </w:p>
        </w:tc>
        <w:tc>
          <w:tcPr>
            <w:tcW w:w="1007" w:type="dxa"/>
          </w:tcPr>
          <w:p>
            <w:pPr>
              <w:pStyle w:val="TableParagraph"/>
              <w:spacing w:line="160" w:lineRule="exact"/>
              <w:ind w:right="46"/>
              <w:jc w:val="right"/>
              <w:rPr>
                <w:sz w:val="14"/>
              </w:rPr>
            </w:pPr>
            <w:r>
              <w:rPr>
                <w:sz w:val="14"/>
              </w:rPr>
              <w:t>0.0%</w:t>
            </w:r>
          </w:p>
        </w:tc>
      </w:tr>
      <w:tr>
        <w:trPr>
          <w:trHeight w:val="524" w:hRule="atLeast"/>
        </w:trPr>
        <w:tc>
          <w:tcPr>
            <w:tcW w:w="4336" w:type="dxa"/>
          </w:tcPr>
          <w:p>
            <w:pPr>
              <w:pStyle w:val="TableParagraph"/>
              <w:spacing w:line="292" w:lineRule="auto" w:before="59"/>
              <w:ind w:left="334" w:right="1282" w:hanging="40"/>
              <w:rPr>
                <w:sz w:val="14"/>
              </w:rPr>
            </w:pPr>
            <w:r>
              <w:rPr>
                <w:w w:val="105"/>
                <w:sz w:val="14"/>
              </w:rPr>
              <w:t>Transfers from Funds of </w:t>
            </w:r>
            <w:r>
              <w:rPr>
                <w:sz w:val="14"/>
              </w:rPr>
              <w:t>Lapsed/Reorganized LEAs</w:t>
            </w:r>
          </w:p>
        </w:tc>
        <w:tc>
          <w:tcPr>
            <w:tcW w:w="2279" w:type="dxa"/>
          </w:tcPr>
          <w:p>
            <w:pPr>
              <w:pStyle w:val="TableParagraph"/>
              <w:spacing w:before="2"/>
              <w:rPr>
                <w:sz w:val="22"/>
              </w:rPr>
            </w:pPr>
          </w:p>
          <w:p>
            <w:pPr>
              <w:pStyle w:val="TableParagraph"/>
              <w:ind w:right="740"/>
              <w:jc w:val="right"/>
              <w:rPr>
                <w:sz w:val="14"/>
              </w:rPr>
            </w:pPr>
            <w:r>
              <w:rPr>
                <w:sz w:val="14"/>
              </w:rPr>
              <w:t>8965</w:t>
            </w:r>
          </w:p>
        </w:tc>
        <w:tc>
          <w:tcPr>
            <w:tcW w:w="1638" w:type="dxa"/>
          </w:tcPr>
          <w:p>
            <w:pPr>
              <w:pStyle w:val="TableParagraph"/>
              <w:spacing w:before="2"/>
              <w:rPr>
                <w:sz w:val="22"/>
              </w:rPr>
            </w:pPr>
          </w:p>
          <w:p>
            <w:pPr>
              <w:pStyle w:val="TableParagraph"/>
              <w:ind w:right="614"/>
              <w:jc w:val="right"/>
              <w:rPr>
                <w:sz w:val="14"/>
              </w:rPr>
            </w:pPr>
            <w:r>
              <w:rPr>
                <w:sz w:val="14"/>
              </w:rPr>
              <w:t>0.00</w:t>
            </w:r>
          </w:p>
        </w:tc>
        <w:tc>
          <w:tcPr>
            <w:tcW w:w="1526" w:type="dxa"/>
          </w:tcPr>
          <w:p>
            <w:pPr>
              <w:pStyle w:val="TableParagraph"/>
              <w:spacing w:before="2"/>
              <w:rPr>
                <w:sz w:val="22"/>
              </w:rPr>
            </w:pPr>
          </w:p>
          <w:p>
            <w:pPr>
              <w:pStyle w:val="TableParagraph"/>
              <w:ind w:left="616"/>
              <w:rPr>
                <w:sz w:val="14"/>
              </w:rPr>
            </w:pPr>
            <w:r>
              <w:rPr>
                <w:w w:val="105"/>
                <w:sz w:val="14"/>
              </w:rPr>
              <w:t>0.00</w:t>
            </w:r>
          </w:p>
        </w:tc>
        <w:tc>
          <w:tcPr>
            <w:tcW w:w="1007" w:type="dxa"/>
          </w:tcPr>
          <w:p>
            <w:pPr>
              <w:pStyle w:val="TableParagraph"/>
              <w:spacing w:before="2"/>
              <w:rPr>
                <w:sz w:val="22"/>
              </w:rPr>
            </w:pPr>
          </w:p>
          <w:p>
            <w:pPr>
              <w:pStyle w:val="TableParagraph"/>
              <w:ind w:right="46"/>
              <w:jc w:val="right"/>
              <w:rPr>
                <w:sz w:val="14"/>
              </w:rPr>
            </w:pPr>
            <w:r>
              <w:rPr>
                <w:sz w:val="14"/>
              </w:rPr>
              <w:t>0.0%</w:t>
            </w:r>
          </w:p>
        </w:tc>
      </w:tr>
      <w:tr>
        <w:trPr>
          <w:trHeight w:val="374" w:hRule="atLeast"/>
        </w:trPr>
        <w:tc>
          <w:tcPr>
            <w:tcW w:w="4336" w:type="dxa"/>
          </w:tcPr>
          <w:p>
            <w:pPr>
              <w:pStyle w:val="TableParagraph"/>
              <w:spacing w:before="105"/>
              <w:ind w:left="294"/>
              <w:rPr>
                <w:sz w:val="14"/>
              </w:rPr>
            </w:pPr>
            <w:r>
              <w:rPr>
                <w:w w:val="105"/>
                <w:sz w:val="14"/>
              </w:rPr>
              <w:t>Proceeds from Leases</w:t>
            </w:r>
          </w:p>
        </w:tc>
        <w:tc>
          <w:tcPr>
            <w:tcW w:w="2279" w:type="dxa"/>
          </w:tcPr>
          <w:p>
            <w:pPr>
              <w:pStyle w:val="TableParagraph"/>
              <w:spacing w:before="105"/>
              <w:ind w:right="740"/>
              <w:jc w:val="right"/>
              <w:rPr>
                <w:sz w:val="14"/>
              </w:rPr>
            </w:pPr>
            <w:r>
              <w:rPr>
                <w:sz w:val="14"/>
              </w:rPr>
              <w:t>8972</w:t>
            </w:r>
          </w:p>
        </w:tc>
        <w:tc>
          <w:tcPr>
            <w:tcW w:w="1638" w:type="dxa"/>
          </w:tcPr>
          <w:p>
            <w:pPr>
              <w:pStyle w:val="TableParagraph"/>
              <w:spacing w:before="105"/>
              <w:ind w:right="614"/>
              <w:jc w:val="right"/>
              <w:rPr>
                <w:sz w:val="14"/>
              </w:rPr>
            </w:pPr>
            <w:r>
              <w:rPr>
                <w:sz w:val="14"/>
              </w:rPr>
              <w:t>0.00</w:t>
            </w:r>
          </w:p>
        </w:tc>
        <w:tc>
          <w:tcPr>
            <w:tcW w:w="1526" w:type="dxa"/>
          </w:tcPr>
          <w:p>
            <w:pPr>
              <w:pStyle w:val="TableParagraph"/>
              <w:spacing w:before="105"/>
              <w:ind w:left="616"/>
              <w:rPr>
                <w:sz w:val="14"/>
              </w:rPr>
            </w:pPr>
            <w:r>
              <w:rPr>
                <w:w w:val="105"/>
                <w:sz w:val="14"/>
              </w:rPr>
              <w:t>0.00</w:t>
            </w:r>
          </w:p>
        </w:tc>
        <w:tc>
          <w:tcPr>
            <w:tcW w:w="1007" w:type="dxa"/>
          </w:tcPr>
          <w:p>
            <w:pPr>
              <w:pStyle w:val="TableParagraph"/>
              <w:spacing w:before="105"/>
              <w:ind w:right="46"/>
              <w:jc w:val="right"/>
              <w:rPr>
                <w:sz w:val="14"/>
              </w:rPr>
            </w:pPr>
            <w:r>
              <w:rPr>
                <w:sz w:val="14"/>
              </w:rPr>
              <w:t>0.0%</w:t>
            </w:r>
          </w:p>
        </w:tc>
      </w:tr>
      <w:tr>
        <w:trPr>
          <w:trHeight w:val="325" w:hRule="atLeast"/>
        </w:trPr>
        <w:tc>
          <w:tcPr>
            <w:tcW w:w="4336" w:type="dxa"/>
          </w:tcPr>
          <w:p>
            <w:pPr>
              <w:pStyle w:val="TableParagraph"/>
              <w:spacing w:before="105"/>
              <w:ind w:left="131"/>
              <w:rPr>
                <w:sz w:val="14"/>
              </w:rPr>
            </w:pPr>
            <w:r>
              <w:rPr>
                <w:w w:val="105"/>
                <w:sz w:val="14"/>
              </w:rPr>
              <w:t>(c) TOTAL, SOURCES</w:t>
            </w:r>
          </w:p>
        </w:tc>
        <w:tc>
          <w:tcPr>
            <w:tcW w:w="2279" w:type="dxa"/>
          </w:tcPr>
          <w:p>
            <w:pPr>
              <w:pStyle w:val="TableParagraph"/>
              <w:rPr>
                <w:rFonts w:ascii="Times New Roman"/>
                <w:sz w:val="14"/>
              </w:rPr>
            </w:pPr>
          </w:p>
        </w:tc>
        <w:tc>
          <w:tcPr>
            <w:tcW w:w="1638" w:type="dxa"/>
          </w:tcPr>
          <w:p>
            <w:pPr>
              <w:pStyle w:val="TableParagraph"/>
              <w:spacing w:before="105"/>
              <w:ind w:right="614"/>
              <w:jc w:val="right"/>
              <w:rPr>
                <w:sz w:val="14"/>
              </w:rPr>
            </w:pPr>
            <w:r>
              <w:rPr>
                <w:sz w:val="14"/>
              </w:rPr>
              <w:t>0.00</w:t>
            </w:r>
          </w:p>
        </w:tc>
        <w:tc>
          <w:tcPr>
            <w:tcW w:w="1526" w:type="dxa"/>
          </w:tcPr>
          <w:p>
            <w:pPr>
              <w:pStyle w:val="TableParagraph"/>
              <w:spacing w:before="105"/>
              <w:ind w:left="616"/>
              <w:rPr>
                <w:sz w:val="14"/>
              </w:rPr>
            </w:pPr>
            <w:r>
              <w:rPr>
                <w:w w:val="105"/>
                <w:sz w:val="14"/>
              </w:rPr>
              <w:t>0.00</w:t>
            </w:r>
          </w:p>
        </w:tc>
        <w:tc>
          <w:tcPr>
            <w:tcW w:w="1007" w:type="dxa"/>
          </w:tcPr>
          <w:p>
            <w:pPr>
              <w:pStyle w:val="TableParagraph"/>
              <w:spacing w:before="105"/>
              <w:ind w:right="46"/>
              <w:jc w:val="right"/>
              <w:rPr>
                <w:sz w:val="14"/>
              </w:rPr>
            </w:pPr>
            <w:r>
              <w:rPr>
                <w:sz w:val="14"/>
              </w:rPr>
              <w:t>0.0%</w:t>
            </w:r>
          </w:p>
        </w:tc>
      </w:tr>
      <w:tr>
        <w:trPr>
          <w:trHeight w:val="327" w:hRule="atLeast"/>
        </w:trPr>
        <w:tc>
          <w:tcPr>
            <w:tcW w:w="4336" w:type="dxa"/>
          </w:tcPr>
          <w:p>
            <w:pPr>
              <w:pStyle w:val="TableParagraph"/>
              <w:spacing w:before="56"/>
              <w:ind w:left="131"/>
              <w:rPr>
                <w:b/>
                <w:sz w:val="14"/>
              </w:rPr>
            </w:pPr>
            <w:r>
              <w:rPr>
                <w:b/>
                <w:w w:val="105"/>
                <w:sz w:val="14"/>
              </w:rPr>
              <w:t>USES</w:t>
            </w:r>
          </w:p>
        </w:tc>
        <w:tc>
          <w:tcPr>
            <w:tcW w:w="2279" w:type="dxa"/>
          </w:tcPr>
          <w:p>
            <w:pPr>
              <w:pStyle w:val="TableParagraph"/>
              <w:rPr>
                <w:rFonts w:ascii="Times New Roman"/>
                <w:sz w:val="14"/>
              </w:rPr>
            </w:pPr>
          </w:p>
        </w:tc>
        <w:tc>
          <w:tcPr>
            <w:tcW w:w="1638" w:type="dxa"/>
          </w:tcPr>
          <w:p>
            <w:pPr>
              <w:pStyle w:val="TableParagraph"/>
              <w:rPr>
                <w:rFonts w:ascii="Times New Roman"/>
                <w:sz w:val="14"/>
              </w:rPr>
            </w:pPr>
          </w:p>
        </w:tc>
        <w:tc>
          <w:tcPr>
            <w:tcW w:w="1526" w:type="dxa"/>
          </w:tcPr>
          <w:p>
            <w:pPr>
              <w:pStyle w:val="TableParagraph"/>
              <w:rPr>
                <w:rFonts w:ascii="Times New Roman"/>
                <w:sz w:val="14"/>
              </w:rPr>
            </w:pPr>
          </w:p>
        </w:tc>
        <w:tc>
          <w:tcPr>
            <w:tcW w:w="1007" w:type="dxa"/>
          </w:tcPr>
          <w:p>
            <w:pPr>
              <w:pStyle w:val="TableParagraph"/>
              <w:rPr>
                <w:rFonts w:ascii="Times New Roman"/>
                <w:sz w:val="14"/>
              </w:rPr>
            </w:pPr>
          </w:p>
        </w:tc>
      </w:tr>
      <w:tr>
        <w:trPr>
          <w:trHeight w:val="573" w:hRule="atLeast"/>
        </w:trPr>
        <w:tc>
          <w:tcPr>
            <w:tcW w:w="4336" w:type="dxa"/>
          </w:tcPr>
          <w:p>
            <w:pPr>
              <w:pStyle w:val="TableParagraph"/>
              <w:spacing w:line="292" w:lineRule="auto" w:before="108"/>
              <w:ind w:left="253" w:right="1282" w:hanging="40"/>
              <w:rPr>
                <w:sz w:val="14"/>
              </w:rPr>
            </w:pPr>
            <w:r>
              <w:rPr>
                <w:w w:val="105"/>
                <w:sz w:val="14"/>
              </w:rPr>
              <w:t>Transfers of Funds from </w:t>
            </w:r>
            <w:r>
              <w:rPr>
                <w:sz w:val="14"/>
              </w:rPr>
              <w:t>Lapsed/Reorganized LEAs</w:t>
            </w:r>
          </w:p>
        </w:tc>
        <w:tc>
          <w:tcPr>
            <w:tcW w:w="2279" w:type="dxa"/>
          </w:tcPr>
          <w:p>
            <w:pPr>
              <w:pStyle w:val="TableParagraph"/>
              <w:rPr>
                <w:sz w:val="16"/>
              </w:rPr>
            </w:pPr>
          </w:p>
          <w:p>
            <w:pPr>
              <w:pStyle w:val="TableParagraph"/>
              <w:spacing w:before="121"/>
              <w:ind w:right="740"/>
              <w:jc w:val="right"/>
              <w:rPr>
                <w:sz w:val="14"/>
              </w:rPr>
            </w:pPr>
            <w:r>
              <w:rPr>
                <w:sz w:val="14"/>
              </w:rPr>
              <w:t>7651</w:t>
            </w:r>
          </w:p>
        </w:tc>
        <w:tc>
          <w:tcPr>
            <w:tcW w:w="1638" w:type="dxa"/>
          </w:tcPr>
          <w:p>
            <w:pPr>
              <w:pStyle w:val="TableParagraph"/>
              <w:rPr>
                <w:sz w:val="16"/>
              </w:rPr>
            </w:pPr>
          </w:p>
          <w:p>
            <w:pPr>
              <w:pStyle w:val="TableParagraph"/>
              <w:spacing w:before="121"/>
              <w:ind w:right="614"/>
              <w:jc w:val="right"/>
              <w:rPr>
                <w:sz w:val="14"/>
              </w:rPr>
            </w:pPr>
            <w:r>
              <w:rPr>
                <w:sz w:val="14"/>
              </w:rPr>
              <w:t>0.00</w:t>
            </w:r>
          </w:p>
        </w:tc>
        <w:tc>
          <w:tcPr>
            <w:tcW w:w="1526" w:type="dxa"/>
          </w:tcPr>
          <w:p>
            <w:pPr>
              <w:pStyle w:val="TableParagraph"/>
              <w:rPr>
                <w:sz w:val="16"/>
              </w:rPr>
            </w:pPr>
          </w:p>
          <w:p>
            <w:pPr>
              <w:pStyle w:val="TableParagraph"/>
              <w:spacing w:before="121"/>
              <w:ind w:left="616"/>
              <w:rPr>
                <w:sz w:val="14"/>
              </w:rPr>
            </w:pPr>
            <w:r>
              <w:rPr>
                <w:w w:val="105"/>
                <w:sz w:val="14"/>
              </w:rPr>
              <w:t>0.00</w:t>
            </w:r>
          </w:p>
        </w:tc>
        <w:tc>
          <w:tcPr>
            <w:tcW w:w="1007" w:type="dxa"/>
          </w:tcPr>
          <w:p>
            <w:pPr>
              <w:pStyle w:val="TableParagraph"/>
              <w:rPr>
                <w:sz w:val="16"/>
              </w:rPr>
            </w:pPr>
          </w:p>
          <w:p>
            <w:pPr>
              <w:pStyle w:val="TableParagraph"/>
              <w:spacing w:before="121"/>
              <w:ind w:right="46"/>
              <w:jc w:val="right"/>
              <w:rPr>
                <w:sz w:val="14"/>
              </w:rPr>
            </w:pPr>
            <w:r>
              <w:rPr>
                <w:sz w:val="14"/>
              </w:rPr>
              <w:t>0.0%</w:t>
            </w:r>
          </w:p>
        </w:tc>
      </w:tr>
      <w:tr>
        <w:trPr>
          <w:trHeight w:val="374" w:hRule="atLeast"/>
        </w:trPr>
        <w:tc>
          <w:tcPr>
            <w:tcW w:w="4336" w:type="dxa"/>
          </w:tcPr>
          <w:p>
            <w:pPr>
              <w:pStyle w:val="TableParagraph"/>
              <w:spacing w:before="105"/>
              <w:ind w:left="131"/>
              <w:rPr>
                <w:sz w:val="14"/>
              </w:rPr>
            </w:pPr>
            <w:r>
              <w:rPr>
                <w:w w:val="105"/>
                <w:sz w:val="14"/>
              </w:rPr>
              <w:t>(d) TOTAL, USES</w:t>
            </w:r>
          </w:p>
        </w:tc>
        <w:tc>
          <w:tcPr>
            <w:tcW w:w="2279" w:type="dxa"/>
          </w:tcPr>
          <w:p>
            <w:pPr>
              <w:pStyle w:val="TableParagraph"/>
              <w:rPr>
                <w:rFonts w:ascii="Times New Roman"/>
                <w:sz w:val="14"/>
              </w:rPr>
            </w:pPr>
          </w:p>
        </w:tc>
        <w:tc>
          <w:tcPr>
            <w:tcW w:w="1638" w:type="dxa"/>
          </w:tcPr>
          <w:p>
            <w:pPr>
              <w:pStyle w:val="TableParagraph"/>
              <w:spacing w:before="105"/>
              <w:ind w:right="614"/>
              <w:jc w:val="right"/>
              <w:rPr>
                <w:sz w:val="14"/>
              </w:rPr>
            </w:pPr>
            <w:r>
              <w:rPr>
                <w:sz w:val="14"/>
              </w:rPr>
              <w:t>0.00</w:t>
            </w:r>
          </w:p>
        </w:tc>
        <w:tc>
          <w:tcPr>
            <w:tcW w:w="1526" w:type="dxa"/>
          </w:tcPr>
          <w:p>
            <w:pPr>
              <w:pStyle w:val="TableParagraph"/>
              <w:spacing w:before="105"/>
              <w:ind w:left="616"/>
              <w:rPr>
                <w:sz w:val="14"/>
              </w:rPr>
            </w:pPr>
            <w:r>
              <w:rPr>
                <w:w w:val="105"/>
                <w:sz w:val="14"/>
              </w:rPr>
              <w:t>0.00</w:t>
            </w:r>
          </w:p>
        </w:tc>
        <w:tc>
          <w:tcPr>
            <w:tcW w:w="1007" w:type="dxa"/>
          </w:tcPr>
          <w:p>
            <w:pPr>
              <w:pStyle w:val="TableParagraph"/>
              <w:spacing w:before="105"/>
              <w:ind w:right="46"/>
              <w:jc w:val="right"/>
              <w:rPr>
                <w:sz w:val="14"/>
              </w:rPr>
            </w:pPr>
            <w:r>
              <w:rPr>
                <w:sz w:val="14"/>
              </w:rPr>
              <w:t>0.0%</w:t>
            </w:r>
          </w:p>
        </w:tc>
      </w:tr>
      <w:tr>
        <w:trPr>
          <w:trHeight w:val="475" w:hRule="atLeast"/>
        </w:trPr>
        <w:tc>
          <w:tcPr>
            <w:tcW w:w="4336" w:type="dxa"/>
          </w:tcPr>
          <w:p>
            <w:pPr>
              <w:pStyle w:val="TableParagraph"/>
              <w:spacing w:before="105"/>
              <w:ind w:left="50"/>
              <w:rPr>
                <w:b/>
                <w:sz w:val="14"/>
              </w:rPr>
            </w:pPr>
            <w:r>
              <w:rPr>
                <w:b/>
                <w:w w:val="105"/>
                <w:sz w:val="14"/>
              </w:rPr>
              <w:t>CONTRIBUTIONS</w:t>
            </w:r>
          </w:p>
        </w:tc>
        <w:tc>
          <w:tcPr>
            <w:tcW w:w="2279" w:type="dxa"/>
          </w:tcPr>
          <w:p>
            <w:pPr>
              <w:pStyle w:val="TableParagraph"/>
              <w:rPr>
                <w:rFonts w:ascii="Times New Roman"/>
                <w:sz w:val="14"/>
              </w:rPr>
            </w:pPr>
          </w:p>
        </w:tc>
        <w:tc>
          <w:tcPr>
            <w:tcW w:w="1638" w:type="dxa"/>
          </w:tcPr>
          <w:p>
            <w:pPr>
              <w:pStyle w:val="TableParagraph"/>
              <w:rPr>
                <w:rFonts w:ascii="Times New Roman"/>
                <w:sz w:val="14"/>
              </w:rPr>
            </w:pPr>
          </w:p>
        </w:tc>
        <w:tc>
          <w:tcPr>
            <w:tcW w:w="1526" w:type="dxa"/>
          </w:tcPr>
          <w:p>
            <w:pPr>
              <w:pStyle w:val="TableParagraph"/>
              <w:rPr>
                <w:rFonts w:ascii="Times New Roman"/>
                <w:sz w:val="14"/>
              </w:rPr>
            </w:pPr>
          </w:p>
        </w:tc>
        <w:tc>
          <w:tcPr>
            <w:tcW w:w="1007" w:type="dxa"/>
          </w:tcPr>
          <w:p>
            <w:pPr>
              <w:pStyle w:val="TableParagraph"/>
              <w:rPr>
                <w:rFonts w:ascii="Times New Roman"/>
                <w:sz w:val="14"/>
              </w:rPr>
            </w:pPr>
          </w:p>
        </w:tc>
      </w:tr>
      <w:tr>
        <w:trPr>
          <w:trHeight w:val="475" w:hRule="atLeast"/>
        </w:trPr>
        <w:tc>
          <w:tcPr>
            <w:tcW w:w="4336" w:type="dxa"/>
          </w:tcPr>
          <w:p>
            <w:pPr>
              <w:pStyle w:val="TableParagraph"/>
              <w:spacing w:before="11"/>
              <w:rPr>
                <w:sz w:val="17"/>
              </w:rPr>
            </w:pPr>
          </w:p>
          <w:p>
            <w:pPr>
              <w:pStyle w:val="TableParagraph"/>
              <w:ind w:left="171"/>
              <w:rPr>
                <w:sz w:val="14"/>
              </w:rPr>
            </w:pPr>
            <w:r>
              <w:rPr>
                <w:w w:val="105"/>
                <w:sz w:val="14"/>
              </w:rPr>
              <w:t>Contributions from Unrestricted Revenues</w:t>
            </w:r>
          </w:p>
        </w:tc>
        <w:tc>
          <w:tcPr>
            <w:tcW w:w="2279" w:type="dxa"/>
          </w:tcPr>
          <w:p>
            <w:pPr>
              <w:pStyle w:val="TableParagraph"/>
              <w:spacing w:before="11"/>
              <w:rPr>
                <w:sz w:val="17"/>
              </w:rPr>
            </w:pPr>
          </w:p>
          <w:p>
            <w:pPr>
              <w:pStyle w:val="TableParagraph"/>
              <w:ind w:right="740"/>
              <w:jc w:val="right"/>
              <w:rPr>
                <w:sz w:val="14"/>
              </w:rPr>
            </w:pPr>
            <w:r>
              <w:rPr>
                <w:sz w:val="14"/>
              </w:rPr>
              <w:t>8980</w:t>
            </w:r>
          </w:p>
        </w:tc>
        <w:tc>
          <w:tcPr>
            <w:tcW w:w="1638" w:type="dxa"/>
          </w:tcPr>
          <w:p>
            <w:pPr>
              <w:pStyle w:val="TableParagraph"/>
              <w:spacing w:before="11"/>
              <w:rPr>
                <w:sz w:val="17"/>
              </w:rPr>
            </w:pPr>
          </w:p>
          <w:p>
            <w:pPr>
              <w:pStyle w:val="TableParagraph"/>
              <w:ind w:right="614"/>
              <w:jc w:val="right"/>
              <w:rPr>
                <w:sz w:val="14"/>
              </w:rPr>
            </w:pPr>
            <w:r>
              <w:rPr>
                <w:sz w:val="14"/>
              </w:rPr>
              <w:t>0.00</w:t>
            </w:r>
          </w:p>
        </w:tc>
        <w:tc>
          <w:tcPr>
            <w:tcW w:w="1526" w:type="dxa"/>
          </w:tcPr>
          <w:p>
            <w:pPr>
              <w:pStyle w:val="TableParagraph"/>
              <w:spacing w:before="11"/>
              <w:rPr>
                <w:sz w:val="17"/>
              </w:rPr>
            </w:pPr>
          </w:p>
          <w:p>
            <w:pPr>
              <w:pStyle w:val="TableParagraph"/>
              <w:ind w:left="616"/>
              <w:rPr>
                <w:sz w:val="14"/>
              </w:rPr>
            </w:pPr>
            <w:r>
              <w:rPr>
                <w:w w:val="105"/>
                <w:sz w:val="14"/>
              </w:rPr>
              <w:t>0.00</w:t>
            </w:r>
          </w:p>
        </w:tc>
        <w:tc>
          <w:tcPr>
            <w:tcW w:w="1007" w:type="dxa"/>
          </w:tcPr>
          <w:p>
            <w:pPr>
              <w:pStyle w:val="TableParagraph"/>
              <w:spacing w:before="11"/>
              <w:rPr>
                <w:sz w:val="17"/>
              </w:rPr>
            </w:pPr>
          </w:p>
          <w:p>
            <w:pPr>
              <w:pStyle w:val="TableParagraph"/>
              <w:ind w:right="46"/>
              <w:jc w:val="right"/>
              <w:rPr>
                <w:sz w:val="14"/>
              </w:rPr>
            </w:pPr>
            <w:r>
              <w:rPr>
                <w:sz w:val="14"/>
              </w:rPr>
              <w:t>0.0%</w:t>
            </w:r>
          </w:p>
        </w:tc>
      </w:tr>
      <w:tr>
        <w:trPr>
          <w:trHeight w:val="375" w:hRule="atLeast"/>
        </w:trPr>
        <w:tc>
          <w:tcPr>
            <w:tcW w:w="4336" w:type="dxa"/>
          </w:tcPr>
          <w:p>
            <w:pPr>
              <w:pStyle w:val="TableParagraph"/>
              <w:spacing w:before="105"/>
              <w:ind w:left="171"/>
              <w:rPr>
                <w:sz w:val="14"/>
              </w:rPr>
            </w:pPr>
            <w:r>
              <w:rPr>
                <w:w w:val="105"/>
                <w:sz w:val="14"/>
              </w:rPr>
              <w:t>Contributions from Restricted Revenues</w:t>
            </w:r>
          </w:p>
        </w:tc>
        <w:tc>
          <w:tcPr>
            <w:tcW w:w="2279" w:type="dxa"/>
          </w:tcPr>
          <w:p>
            <w:pPr>
              <w:pStyle w:val="TableParagraph"/>
              <w:spacing w:before="105"/>
              <w:ind w:right="740"/>
              <w:jc w:val="right"/>
              <w:rPr>
                <w:sz w:val="14"/>
              </w:rPr>
            </w:pPr>
            <w:r>
              <w:rPr>
                <w:sz w:val="14"/>
              </w:rPr>
              <w:t>8990</w:t>
            </w:r>
          </w:p>
        </w:tc>
        <w:tc>
          <w:tcPr>
            <w:tcW w:w="1638" w:type="dxa"/>
          </w:tcPr>
          <w:p>
            <w:pPr>
              <w:pStyle w:val="TableParagraph"/>
              <w:spacing w:before="105"/>
              <w:ind w:right="614"/>
              <w:jc w:val="right"/>
              <w:rPr>
                <w:sz w:val="14"/>
              </w:rPr>
            </w:pPr>
            <w:r>
              <w:rPr>
                <w:sz w:val="14"/>
              </w:rPr>
              <w:t>0.00</w:t>
            </w:r>
          </w:p>
        </w:tc>
        <w:tc>
          <w:tcPr>
            <w:tcW w:w="1526" w:type="dxa"/>
          </w:tcPr>
          <w:p>
            <w:pPr>
              <w:pStyle w:val="TableParagraph"/>
              <w:spacing w:before="105"/>
              <w:ind w:left="616"/>
              <w:rPr>
                <w:sz w:val="14"/>
              </w:rPr>
            </w:pPr>
            <w:r>
              <w:rPr>
                <w:w w:val="105"/>
                <w:sz w:val="14"/>
              </w:rPr>
              <w:t>0.00</w:t>
            </w:r>
          </w:p>
        </w:tc>
        <w:tc>
          <w:tcPr>
            <w:tcW w:w="1007" w:type="dxa"/>
          </w:tcPr>
          <w:p>
            <w:pPr>
              <w:pStyle w:val="TableParagraph"/>
              <w:spacing w:before="105"/>
              <w:ind w:right="46"/>
              <w:jc w:val="right"/>
              <w:rPr>
                <w:sz w:val="14"/>
              </w:rPr>
            </w:pPr>
            <w:r>
              <w:rPr>
                <w:sz w:val="14"/>
              </w:rPr>
              <w:t>0.0%</w:t>
            </w:r>
          </w:p>
        </w:tc>
      </w:tr>
      <w:tr>
        <w:trPr>
          <w:trHeight w:val="376" w:hRule="atLeast"/>
        </w:trPr>
        <w:tc>
          <w:tcPr>
            <w:tcW w:w="4336" w:type="dxa"/>
          </w:tcPr>
          <w:p>
            <w:pPr>
              <w:pStyle w:val="TableParagraph"/>
              <w:spacing w:before="107"/>
              <w:ind w:left="131"/>
              <w:rPr>
                <w:sz w:val="14"/>
              </w:rPr>
            </w:pPr>
            <w:r>
              <w:rPr>
                <w:w w:val="105"/>
                <w:sz w:val="14"/>
              </w:rPr>
              <w:t>(e) TOTAL, CONTRIBUTIONS</w:t>
            </w:r>
          </w:p>
        </w:tc>
        <w:tc>
          <w:tcPr>
            <w:tcW w:w="2279" w:type="dxa"/>
          </w:tcPr>
          <w:p>
            <w:pPr>
              <w:pStyle w:val="TableParagraph"/>
              <w:rPr>
                <w:rFonts w:ascii="Times New Roman"/>
                <w:sz w:val="14"/>
              </w:rPr>
            </w:pPr>
          </w:p>
        </w:tc>
        <w:tc>
          <w:tcPr>
            <w:tcW w:w="1638" w:type="dxa"/>
          </w:tcPr>
          <w:p>
            <w:pPr>
              <w:pStyle w:val="TableParagraph"/>
              <w:spacing w:before="107"/>
              <w:ind w:right="614"/>
              <w:jc w:val="right"/>
              <w:rPr>
                <w:sz w:val="14"/>
              </w:rPr>
            </w:pPr>
            <w:r>
              <w:rPr>
                <w:sz w:val="14"/>
              </w:rPr>
              <w:t>0.00</w:t>
            </w:r>
          </w:p>
        </w:tc>
        <w:tc>
          <w:tcPr>
            <w:tcW w:w="1526" w:type="dxa"/>
          </w:tcPr>
          <w:p>
            <w:pPr>
              <w:pStyle w:val="TableParagraph"/>
              <w:spacing w:before="107"/>
              <w:ind w:left="616"/>
              <w:rPr>
                <w:sz w:val="14"/>
              </w:rPr>
            </w:pPr>
            <w:r>
              <w:rPr>
                <w:w w:val="105"/>
                <w:sz w:val="14"/>
              </w:rPr>
              <w:t>0.00</w:t>
            </w:r>
          </w:p>
        </w:tc>
        <w:tc>
          <w:tcPr>
            <w:tcW w:w="1007" w:type="dxa"/>
          </w:tcPr>
          <w:p>
            <w:pPr>
              <w:pStyle w:val="TableParagraph"/>
              <w:spacing w:before="107"/>
              <w:ind w:right="46"/>
              <w:jc w:val="right"/>
              <w:rPr>
                <w:sz w:val="14"/>
              </w:rPr>
            </w:pPr>
            <w:r>
              <w:rPr>
                <w:sz w:val="14"/>
              </w:rPr>
              <w:t>0.0%</w:t>
            </w:r>
          </w:p>
        </w:tc>
      </w:tr>
      <w:tr>
        <w:trPr>
          <w:trHeight w:val="465" w:hRule="atLeast"/>
        </w:trPr>
        <w:tc>
          <w:tcPr>
            <w:tcW w:w="4336" w:type="dxa"/>
          </w:tcPr>
          <w:p>
            <w:pPr>
              <w:pStyle w:val="TableParagraph"/>
              <w:spacing w:before="107"/>
              <w:ind w:left="50"/>
              <w:rPr>
                <w:sz w:val="14"/>
              </w:rPr>
            </w:pPr>
            <w:r>
              <w:rPr>
                <w:w w:val="105"/>
                <w:sz w:val="14"/>
              </w:rPr>
              <w:t>TOTAL, OTHER FINANCING SOURCES/USES</w:t>
            </w:r>
          </w:p>
          <w:p>
            <w:pPr>
              <w:pStyle w:val="TableParagraph"/>
              <w:spacing w:line="142" w:lineRule="exact" w:before="35"/>
              <w:ind w:left="131"/>
              <w:rPr>
                <w:sz w:val="14"/>
              </w:rPr>
            </w:pPr>
            <w:r>
              <w:rPr>
                <w:w w:val="105"/>
                <w:sz w:val="14"/>
              </w:rPr>
              <w:t>(a- b + c - d + e)</w:t>
            </w:r>
          </w:p>
        </w:tc>
        <w:tc>
          <w:tcPr>
            <w:tcW w:w="2279" w:type="dxa"/>
          </w:tcPr>
          <w:p>
            <w:pPr>
              <w:pStyle w:val="TableParagraph"/>
              <w:rPr>
                <w:rFonts w:ascii="Times New Roman"/>
                <w:sz w:val="14"/>
              </w:rPr>
            </w:pPr>
          </w:p>
        </w:tc>
        <w:tc>
          <w:tcPr>
            <w:tcW w:w="1638" w:type="dxa"/>
          </w:tcPr>
          <w:p>
            <w:pPr>
              <w:pStyle w:val="TableParagraph"/>
              <w:rPr>
                <w:sz w:val="16"/>
              </w:rPr>
            </w:pPr>
          </w:p>
          <w:p>
            <w:pPr>
              <w:pStyle w:val="TableParagraph"/>
              <w:spacing w:line="142" w:lineRule="exact" w:before="119"/>
              <w:ind w:right="614"/>
              <w:jc w:val="right"/>
              <w:rPr>
                <w:sz w:val="14"/>
              </w:rPr>
            </w:pPr>
            <w:r>
              <w:rPr>
                <w:sz w:val="14"/>
              </w:rPr>
              <w:t>0.00</w:t>
            </w:r>
          </w:p>
        </w:tc>
        <w:tc>
          <w:tcPr>
            <w:tcW w:w="1526" w:type="dxa"/>
          </w:tcPr>
          <w:p>
            <w:pPr>
              <w:pStyle w:val="TableParagraph"/>
              <w:rPr>
                <w:sz w:val="16"/>
              </w:rPr>
            </w:pPr>
          </w:p>
          <w:p>
            <w:pPr>
              <w:pStyle w:val="TableParagraph"/>
              <w:spacing w:line="142" w:lineRule="exact" w:before="119"/>
              <w:ind w:left="616"/>
              <w:rPr>
                <w:sz w:val="14"/>
              </w:rPr>
            </w:pPr>
            <w:r>
              <w:rPr>
                <w:w w:val="105"/>
                <w:sz w:val="14"/>
              </w:rPr>
              <w:t>0.00</w:t>
            </w:r>
          </w:p>
        </w:tc>
        <w:tc>
          <w:tcPr>
            <w:tcW w:w="1007" w:type="dxa"/>
          </w:tcPr>
          <w:p>
            <w:pPr>
              <w:pStyle w:val="TableParagraph"/>
              <w:rPr>
                <w:sz w:val="16"/>
              </w:rPr>
            </w:pPr>
          </w:p>
          <w:p>
            <w:pPr>
              <w:pStyle w:val="TableParagraph"/>
              <w:spacing w:line="142" w:lineRule="exact" w:before="119"/>
              <w:ind w:right="46"/>
              <w:jc w:val="right"/>
              <w:rPr>
                <w:sz w:val="14"/>
              </w:rPr>
            </w:pPr>
            <w:r>
              <w:rPr>
                <w:sz w:val="14"/>
              </w:rPr>
              <w:t>0.0%</w:t>
            </w:r>
          </w:p>
        </w:tc>
      </w:tr>
    </w:tbl>
    <w:p>
      <w:pPr>
        <w:spacing w:after="0" w:line="142" w:lineRule="exact"/>
        <w:jc w:val="right"/>
        <w:rPr>
          <w:sz w:val="14"/>
        </w:rPr>
        <w:sectPr>
          <w:type w:val="continuous"/>
          <w:pgSz w:w="12240" w:h="15840"/>
          <w:pgMar w:top="1500" w:bottom="840" w:left="160" w:right="180"/>
        </w:sectPr>
      </w:pPr>
    </w:p>
    <w:p>
      <w:pPr>
        <w:spacing w:before="0"/>
        <w:ind w:left="322" w:right="-8" w:firstLine="0"/>
        <w:jc w:val="left"/>
        <w:rPr>
          <w:sz w:val="18"/>
        </w:rPr>
      </w:pPr>
      <w:r>
        <w:rPr/>
        <w:pict>
          <v:group style="position:absolute;margin-left:27.120001pt;margin-top:37.241901pt;width:554.3pt;height:40.7pt;mso-position-horizontal-relative:page;mso-position-vertical-relative:paragraph;z-index:-314516480" coordorigin="542,745" coordsize="11086,814">
            <v:shape style="position:absolute;left:542;top:744;width:3766;height:814" type="#_x0000_t75" stroked="false">
              <v:imagedata r:id="rId522" o:title=""/>
            </v:shape>
            <v:shape style="position:absolute;left:4300;top:744;width:7328;height:814" type="#_x0000_t75" stroked="false">
              <v:imagedata r:id="rId523" o:title=""/>
            </v:shape>
            <w10:wrap type="none"/>
          </v:group>
        </w:pict>
      </w:r>
      <w:r>
        <w:rPr/>
        <w:pict>
          <v:group style="position:absolute;margin-left:27.120001pt;margin-top:76.841896pt;width:554.3pt;height:545.4pt;mso-position-horizontal-relative:page;mso-position-vertical-relative:paragraph;z-index:-314515456" coordorigin="542,1537" coordsize="11086,10908">
            <v:line style="position:absolute" from="1379,1549" to="1379,1928" stroked="true" strokeweight=".360003pt" strokecolor="#ffffff">
              <v:stroke dashstyle="solid"/>
            </v:line>
            <v:shape style="position:absolute;left:542;top:1544;width:3766;height:2909" type="#_x0000_t75" stroked="false">
              <v:imagedata r:id="rId524" o:title=""/>
            </v:shape>
            <v:shape style="position:absolute;left:6926;top:1536;width:1570;height:399" type="#_x0000_t75" stroked="false">
              <v:imagedata r:id="rId525" o:title=""/>
            </v:shape>
            <v:shape style="position:absolute;left:8488;top:1536;width:1570;height:399" type="#_x0000_t75" stroked="false">
              <v:imagedata r:id="rId525" o:title=""/>
            </v:shape>
            <v:shape style="position:absolute;left:8488;top:1536;width:3140;height:1371" type="#_x0000_t75" stroked="false">
              <v:imagedata r:id="rId526" o:title=""/>
            </v:shape>
            <v:shape style="position:absolute;left:6926;top:1930;width:1570;height:977" type="#_x0000_t75" stroked="false">
              <v:imagedata r:id="rId527" o:title=""/>
            </v:shape>
            <v:shape style="position:absolute;left:8488;top:2518;width:3140;height:780" type="#_x0000_t75" stroked="false">
              <v:imagedata r:id="rId528" o:title=""/>
            </v:shape>
            <v:shape style="position:absolute;left:6926;top:2904;width:1570;height:394" type="#_x0000_t75" stroked="false">
              <v:imagedata r:id="rId529" o:title=""/>
            </v:shape>
            <v:shape style="position:absolute;left:6926;top:2904;width:4702;height:780" type="#_x0000_t75" stroked="false">
              <v:imagedata r:id="rId530" o:title=""/>
            </v:shape>
            <v:shape style="position:absolute;left:8488;top:3291;width:3140;height:1162" type="#_x0000_t75" stroked="false">
              <v:imagedata r:id="rId531" o:title=""/>
            </v:shape>
            <v:shape style="position:absolute;left:6926;top:3677;width:1570;height:776" type="#_x0000_t75" stroked="false">
              <v:imagedata r:id="rId532" o:title=""/>
            </v:shape>
            <v:shape style="position:absolute;left:4300;top:3677;width:2633;height:401" type="#_x0000_t75" stroked="false">
              <v:imagedata r:id="rId533" o:title=""/>
            </v:shape>
            <v:shape style="position:absolute;left:6931;top:4068;width:4688;height:589" coordorigin="6931,4069" coordsize="4688,589" path="m11618,4069l10056,4069,8494,4069,6931,4069,6931,4455,6931,4657,8494,4657,10056,4657,11618,4657,11618,4455,11618,4069e" filled="true" fillcolor="#dfdfdf" stroked="false">
              <v:path arrowok="t"/>
              <v:fill type="solid"/>
            </v:shape>
            <v:shape style="position:absolute;left:8488;top:4056;width:3140;height:1371" type="#_x0000_t75" stroked="false">
              <v:imagedata r:id="rId526" o:title=""/>
            </v:shape>
            <v:shape style="position:absolute;left:6926;top:4450;width:1570;height:977" type="#_x0000_t75" stroked="false">
              <v:imagedata r:id="rId527" o:title=""/>
            </v:shape>
            <v:shape style="position:absolute;left:8488;top:5038;width:3140;height:780" type="#_x0000_t75" stroked="false">
              <v:imagedata r:id="rId528" o:title=""/>
            </v:shape>
            <v:shape style="position:absolute;left:6926;top:5424;width:1570;height:394" type="#_x0000_t75" stroked="false">
              <v:imagedata r:id="rId529" o:title=""/>
            </v:shape>
            <v:shape style="position:absolute;left:6926;top:5424;width:4702;height:1162" type="#_x0000_t75" stroked="false">
              <v:imagedata r:id="rId534" o:title=""/>
            </v:shape>
            <v:shape style="position:absolute;left:8488;top:6197;width:3140;height:780" type="#_x0000_t75" stroked="false">
              <v:imagedata r:id="rId528" o:title=""/>
            </v:shape>
            <v:shape style="position:absolute;left:6926;top:6197;width:1570;height:780" type="#_x0000_t75" stroked="false">
              <v:imagedata r:id="rId535" o:title=""/>
            </v:shape>
            <v:shape style="position:absolute;left:8488;top:6584;width:3140;height:1162" type="#_x0000_t75" stroked="false">
              <v:imagedata r:id="rId536" o:title=""/>
            </v:shape>
            <v:shape style="position:absolute;left:542;top:4450;width:3766;height:4080" type="#_x0000_t75" stroked="false">
              <v:imagedata r:id="rId537" o:title=""/>
            </v:shape>
            <v:shape style="position:absolute;left:6926;top:6970;width:1570;height:776" type="#_x0000_t75" stroked="false">
              <v:imagedata r:id="rId538" o:title=""/>
            </v:shape>
            <v:shape style="position:absolute;left:8488;top:7356;width:3140;height:780" type="#_x0000_t75" stroked="false">
              <v:imagedata r:id="rId528" o:title=""/>
            </v:shape>
            <v:shape style="position:absolute;left:6926;top:7743;width:1570;height:394" type="#_x0000_t75" stroked="false">
              <v:imagedata r:id="rId539" o:title=""/>
            </v:shape>
            <v:shape style="position:absolute;left:4300;top:7743;width:7328;height:788" type="#_x0000_t75" stroked="false">
              <v:imagedata r:id="rId540" o:title=""/>
            </v:shape>
            <v:line style="position:absolute" from="1379,8521" to="1379,8900" stroked="true" strokeweight=".360003pt" strokecolor="#ffffff">
              <v:stroke dashstyle="solid"/>
            </v:line>
            <v:shape style="position:absolute;left:542;top:8516;width:3766;height:804" type="#_x0000_t75" stroked="false">
              <v:imagedata r:id="rId541" o:title=""/>
            </v:shape>
            <v:shape style="position:absolute;left:4300;top:8129;width:7328;height:1191" type="#_x0000_t75" stroked="false">
              <v:imagedata r:id="rId542" o:title=""/>
            </v:shape>
            <v:line style="position:absolute" from="1379,9310" to="1379,9690" stroked="true" strokeweight=".360003pt" strokecolor="#ffffff">
              <v:stroke dashstyle="solid"/>
            </v:line>
            <v:shape style="position:absolute;left:6926;top:9104;width:4702;height:1200" type="#_x0000_t75" stroked="false">
              <v:imagedata r:id="rId543" o:title=""/>
            </v:shape>
            <v:shape style="position:absolute;left:6926;top:10095;width:4702;height:596" type="#_x0000_t75" stroked="false">
              <v:imagedata r:id="rId544" o:title=""/>
            </v:shape>
            <v:shape style="position:absolute;left:6926;top:10296;width:4702;height:982" type="#_x0000_t75" stroked="false">
              <v:imagedata r:id="rId545" o:title=""/>
            </v:shape>
            <v:shape style="position:absolute;left:542;top:9305;width:3766;height:3140" type="#_x0000_t75" stroked="false">
              <v:imagedata r:id="rId546" o:title=""/>
            </v:shape>
            <v:shape style="position:absolute;left:6926;top:11069;width:4702;height:596" type="#_x0000_t75" stroked="false">
              <v:imagedata r:id="rId544" o:title=""/>
            </v:shape>
            <v:shape style="position:absolute;left:6926;top:11271;width:4702;height:780" type="#_x0000_t75" stroked="false">
              <v:imagedata r:id="rId547" o:title=""/>
            </v:shape>
            <v:shape style="position:absolute;left:4300;top:11657;width:7328;height:788" type="#_x0000_t75" stroked="false">
              <v:imagedata r:id="rId548" o:title=""/>
            </v:shape>
            <v:shape style="position:absolute;left:10051;top:12044;width:1577;height:401" type="#_x0000_t75" stroked="false">
              <v:imagedata r:id="rId549" o:title=""/>
            </v:shape>
            <w10:wrap type="none"/>
          </v:group>
        </w:pict>
      </w:r>
      <w:r>
        <w:rPr>
          <w:w w:val="105"/>
          <w:sz w:val="18"/>
        </w:rPr>
        <w:t>Winship-Robbins Elementary Sutter County</w:t>
      </w:r>
    </w:p>
    <w:p>
      <w:pPr>
        <w:spacing w:before="0"/>
        <w:ind w:left="881" w:right="31" w:hanging="560"/>
        <w:jc w:val="left"/>
        <w:rPr>
          <w:sz w:val="18"/>
        </w:rPr>
      </w:pPr>
      <w:r>
        <w:rPr/>
        <w:br w:type="column"/>
      </w:r>
      <w:r>
        <w:rPr>
          <w:w w:val="105"/>
          <w:sz w:val="18"/>
        </w:rPr>
        <w:t>Student</w:t>
      </w:r>
      <w:r>
        <w:rPr>
          <w:spacing w:val="-12"/>
          <w:w w:val="105"/>
          <w:sz w:val="18"/>
        </w:rPr>
        <w:t> </w:t>
      </w:r>
      <w:r>
        <w:rPr>
          <w:w w:val="105"/>
          <w:sz w:val="18"/>
        </w:rPr>
        <w:t>Activity</w:t>
      </w:r>
      <w:r>
        <w:rPr>
          <w:spacing w:val="-18"/>
          <w:w w:val="105"/>
          <w:sz w:val="18"/>
        </w:rPr>
        <w:t> </w:t>
      </w:r>
      <w:r>
        <w:rPr>
          <w:w w:val="105"/>
          <w:sz w:val="18"/>
        </w:rPr>
        <w:t>Special</w:t>
      </w:r>
      <w:r>
        <w:rPr>
          <w:spacing w:val="-14"/>
          <w:w w:val="105"/>
          <w:sz w:val="18"/>
        </w:rPr>
        <w:t> </w:t>
      </w:r>
      <w:r>
        <w:rPr>
          <w:w w:val="105"/>
          <w:sz w:val="18"/>
        </w:rPr>
        <w:t>Revenue</w:t>
      </w:r>
      <w:r>
        <w:rPr>
          <w:spacing w:val="-14"/>
          <w:w w:val="105"/>
          <w:sz w:val="18"/>
        </w:rPr>
        <w:t> </w:t>
      </w:r>
      <w:r>
        <w:rPr>
          <w:w w:val="105"/>
          <w:sz w:val="18"/>
        </w:rPr>
        <w:t>Fund Expenditures by</w:t>
      </w:r>
      <w:r>
        <w:rPr>
          <w:spacing w:val="-12"/>
          <w:w w:val="105"/>
          <w:sz w:val="18"/>
        </w:rPr>
        <w:t> </w:t>
      </w:r>
      <w:r>
        <w:rPr>
          <w:w w:val="105"/>
          <w:sz w:val="18"/>
        </w:rPr>
        <w:t>Function</w:t>
      </w:r>
    </w:p>
    <w:p>
      <w:pPr>
        <w:spacing w:before="0"/>
        <w:ind w:left="0" w:right="300" w:firstLine="0"/>
        <w:jc w:val="right"/>
        <w:rPr>
          <w:sz w:val="18"/>
        </w:rPr>
      </w:pPr>
      <w:r>
        <w:rPr/>
        <w:br w:type="column"/>
      </w:r>
      <w:r>
        <w:rPr>
          <w:w w:val="105"/>
          <w:sz w:val="18"/>
        </w:rPr>
        <w:t>51 71456</w:t>
      </w:r>
      <w:r>
        <w:rPr>
          <w:spacing w:val="-33"/>
          <w:w w:val="105"/>
          <w:sz w:val="18"/>
        </w:rPr>
        <w:t> </w:t>
      </w:r>
      <w:r>
        <w:rPr>
          <w:w w:val="105"/>
          <w:sz w:val="18"/>
        </w:rPr>
        <w:t>0000000</w:t>
      </w:r>
    </w:p>
    <w:p>
      <w:pPr>
        <w:spacing w:before="2"/>
        <w:ind w:left="0" w:right="299" w:firstLine="0"/>
        <w:jc w:val="right"/>
        <w:rPr>
          <w:sz w:val="18"/>
        </w:rPr>
      </w:pPr>
      <w:r>
        <w:rPr>
          <w:w w:val="105"/>
          <w:sz w:val="18"/>
        </w:rPr>
        <w:t>Form</w:t>
      </w:r>
      <w:r>
        <w:rPr>
          <w:spacing w:val="43"/>
          <w:w w:val="105"/>
          <w:sz w:val="18"/>
        </w:rPr>
        <w:t> </w:t>
      </w:r>
      <w:r>
        <w:rPr>
          <w:w w:val="105"/>
          <w:sz w:val="18"/>
        </w:rPr>
        <w:t>08</w:t>
      </w:r>
    </w:p>
    <w:p>
      <w:pPr>
        <w:spacing w:after="0"/>
        <w:jc w:val="right"/>
        <w:rPr>
          <w:sz w:val="18"/>
        </w:rPr>
        <w:sectPr>
          <w:headerReference w:type="default" r:id="rId520"/>
          <w:footerReference w:type="default" r:id="rId521"/>
          <w:pgSz w:w="12240" w:h="15840"/>
          <w:pgMar w:header="673" w:footer="451" w:top="880" w:bottom="640" w:left="160" w:right="180"/>
          <w:pgNumType w:start="1"/>
          <w:cols w:num="3" w:equalWidth="0">
            <w:col w:w="2771" w:space="1257"/>
            <w:col w:w="3582" w:space="2115"/>
            <w:col w:w="2175"/>
          </w:cols>
        </w:sectPr>
      </w:pPr>
    </w:p>
    <w:p>
      <w:pPr>
        <w:pStyle w:val="BodyText"/>
        <w:rPr>
          <w:sz w:val="20"/>
        </w:rPr>
      </w:pPr>
    </w:p>
    <w:p>
      <w:pPr>
        <w:pStyle w:val="BodyText"/>
        <w:rPr>
          <w:sz w:val="20"/>
        </w:rPr>
      </w:pPr>
    </w:p>
    <w:p>
      <w:pPr>
        <w:pStyle w:val="BodyText"/>
        <w:spacing w:before="1"/>
        <w:rPr>
          <w:sz w:val="29"/>
        </w:rPr>
      </w:pPr>
    </w:p>
    <w:tbl>
      <w:tblPr>
        <w:tblW w:w="0" w:type="auto"/>
        <w:jc w:val="left"/>
        <w:tblInd w:w="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66"/>
        <w:gridCol w:w="1518"/>
        <w:gridCol w:w="1115"/>
        <w:gridCol w:w="1563"/>
        <w:gridCol w:w="1738"/>
        <w:gridCol w:w="996"/>
        <w:gridCol w:w="411"/>
      </w:tblGrid>
      <w:tr>
        <w:trPr>
          <w:trHeight w:val="338" w:hRule="atLeast"/>
        </w:trPr>
        <w:tc>
          <w:tcPr>
            <w:tcW w:w="3766" w:type="dxa"/>
          </w:tcPr>
          <w:p>
            <w:pPr>
              <w:pStyle w:val="TableParagraph"/>
              <w:spacing w:before="10"/>
              <w:rPr>
                <w:sz w:val="14"/>
              </w:rPr>
            </w:pPr>
          </w:p>
          <w:p>
            <w:pPr>
              <w:pStyle w:val="TableParagraph"/>
              <w:spacing w:line="147" w:lineRule="exact"/>
              <w:ind w:left="50"/>
              <w:rPr>
                <w:b/>
                <w:sz w:val="14"/>
              </w:rPr>
            </w:pPr>
            <w:r>
              <w:rPr>
                <w:b/>
                <w:w w:val="105"/>
                <w:sz w:val="14"/>
              </w:rPr>
              <w:t>Description</w:t>
            </w:r>
          </w:p>
        </w:tc>
        <w:tc>
          <w:tcPr>
            <w:tcW w:w="1518" w:type="dxa"/>
          </w:tcPr>
          <w:p>
            <w:pPr>
              <w:pStyle w:val="TableParagraph"/>
              <w:spacing w:before="10"/>
              <w:rPr>
                <w:sz w:val="14"/>
              </w:rPr>
            </w:pPr>
          </w:p>
          <w:p>
            <w:pPr>
              <w:pStyle w:val="TableParagraph"/>
              <w:spacing w:line="147" w:lineRule="exact"/>
              <w:ind w:left="244" w:right="122"/>
              <w:jc w:val="center"/>
              <w:rPr>
                <w:b/>
                <w:sz w:val="14"/>
              </w:rPr>
            </w:pPr>
            <w:r>
              <w:rPr>
                <w:b/>
                <w:w w:val="105"/>
                <w:sz w:val="14"/>
              </w:rPr>
              <w:t>Function Codes</w:t>
            </w:r>
          </w:p>
        </w:tc>
        <w:tc>
          <w:tcPr>
            <w:tcW w:w="1115" w:type="dxa"/>
          </w:tcPr>
          <w:p>
            <w:pPr>
              <w:pStyle w:val="TableParagraph"/>
              <w:spacing w:before="10"/>
              <w:rPr>
                <w:sz w:val="14"/>
              </w:rPr>
            </w:pPr>
          </w:p>
          <w:p>
            <w:pPr>
              <w:pStyle w:val="TableParagraph"/>
              <w:spacing w:line="147" w:lineRule="exact"/>
              <w:ind w:left="121" w:right="6"/>
              <w:jc w:val="center"/>
              <w:rPr>
                <w:b/>
                <w:sz w:val="14"/>
              </w:rPr>
            </w:pPr>
            <w:r>
              <w:rPr>
                <w:b/>
                <w:w w:val="105"/>
                <w:sz w:val="14"/>
              </w:rPr>
              <w:t>Object Codes</w:t>
            </w:r>
          </w:p>
        </w:tc>
        <w:tc>
          <w:tcPr>
            <w:tcW w:w="1563" w:type="dxa"/>
          </w:tcPr>
          <w:p>
            <w:pPr>
              <w:pStyle w:val="TableParagraph"/>
              <w:spacing w:before="1"/>
              <w:ind w:left="126" w:right="118"/>
              <w:jc w:val="center"/>
              <w:rPr>
                <w:b/>
                <w:sz w:val="14"/>
              </w:rPr>
            </w:pPr>
            <w:r>
              <w:rPr>
                <w:b/>
                <w:w w:val="105"/>
                <w:sz w:val="14"/>
              </w:rPr>
              <w:t>2020-21</w:t>
            </w:r>
          </w:p>
          <w:p>
            <w:pPr>
              <w:pStyle w:val="TableParagraph"/>
              <w:spacing w:line="147" w:lineRule="exact" w:before="9"/>
              <w:ind w:left="126" w:right="122"/>
              <w:jc w:val="center"/>
              <w:rPr>
                <w:b/>
                <w:sz w:val="14"/>
              </w:rPr>
            </w:pPr>
            <w:r>
              <w:rPr>
                <w:b/>
                <w:w w:val="105"/>
                <w:sz w:val="14"/>
              </w:rPr>
              <w:t>Estimated Actuals</w:t>
            </w:r>
          </w:p>
        </w:tc>
        <w:tc>
          <w:tcPr>
            <w:tcW w:w="1738" w:type="dxa"/>
          </w:tcPr>
          <w:p>
            <w:pPr>
              <w:pStyle w:val="TableParagraph"/>
              <w:spacing w:before="1"/>
              <w:ind w:left="516"/>
              <w:rPr>
                <w:b/>
                <w:sz w:val="14"/>
              </w:rPr>
            </w:pPr>
            <w:r>
              <w:rPr>
                <w:b/>
                <w:w w:val="105"/>
                <w:sz w:val="14"/>
              </w:rPr>
              <w:t>2021-22</w:t>
            </w:r>
          </w:p>
          <w:p>
            <w:pPr>
              <w:pStyle w:val="TableParagraph"/>
              <w:spacing w:line="147" w:lineRule="exact" w:before="9"/>
              <w:ind w:left="533"/>
              <w:rPr>
                <w:b/>
                <w:sz w:val="14"/>
              </w:rPr>
            </w:pPr>
            <w:r>
              <w:rPr>
                <w:b/>
                <w:w w:val="105"/>
                <w:sz w:val="14"/>
              </w:rPr>
              <w:t>Budget</w:t>
            </w:r>
          </w:p>
        </w:tc>
        <w:tc>
          <w:tcPr>
            <w:tcW w:w="996" w:type="dxa"/>
          </w:tcPr>
          <w:p>
            <w:pPr>
              <w:pStyle w:val="TableParagraph"/>
              <w:spacing w:before="1"/>
              <w:ind w:left="341"/>
              <w:rPr>
                <w:b/>
                <w:sz w:val="14"/>
              </w:rPr>
            </w:pPr>
            <w:r>
              <w:rPr>
                <w:b/>
                <w:w w:val="105"/>
                <w:sz w:val="14"/>
              </w:rPr>
              <w:t>Percent</w:t>
            </w:r>
          </w:p>
          <w:p>
            <w:pPr>
              <w:pStyle w:val="TableParagraph"/>
              <w:spacing w:line="147" w:lineRule="exact" w:before="9"/>
              <w:ind w:left="252"/>
              <w:rPr>
                <w:b/>
                <w:sz w:val="14"/>
              </w:rPr>
            </w:pPr>
            <w:r>
              <w:rPr>
                <w:b/>
                <w:w w:val="105"/>
                <w:sz w:val="14"/>
              </w:rPr>
              <w:t>Difference</w:t>
            </w:r>
          </w:p>
        </w:tc>
        <w:tc>
          <w:tcPr>
            <w:tcW w:w="411" w:type="dxa"/>
          </w:tcPr>
          <w:p>
            <w:pPr>
              <w:pStyle w:val="TableParagraph"/>
              <w:rPr>
                <w:rFonts w:ascii="Times New Roman"/>
                <w:sz w:val="14"/>
              </w:rPr>
            </w:pPr>
          </w:p>
        </w:tc>
      </w:tr>
      <w:tr>
        <w:trPr>
          <w:trHeight w:val="594" w:hRule="atLeast"/>
        </w:trPr>
        <w:tc>
          <w:tcPr>
            <w:tcW w:w="3766" w:type="dxa"/>
          </w:tcPr>
          <w:p>
            <w:pPr>
              <w:pStyle w:val="TableParagraph"/>
              <w:rPr>
                <w:sz w:val="19"/>
              </w:rPr>
            </w:pPr>
          </w:p>
          <w:p>
            <w:pPr>
              <w:pStyle w:val="TableParagraph"/>
              <w:ind w:left="50"/>
              <w:rPr>
                <w:b/>
                <w:sz w:val="14"/>
              </w:rPr>
            </w:pPr>
            <w:r>
              <w:rPr>
                <w:b/>
                <w:w w:val="105"/>
                <w:sz w:val="14"/>
              </w:rPr>
              <w:t>A. REVENUES</w:t>
            </w:r>
          </w:p>
        </w:tc>
        <w:tc>
          <w:tcPr>
            <w:tcW w:w="1518" w:type="dxa"/>
          </w:tcPr>
          <w:p>
            <w:pPr>
              <w:pStyle w:val="TableParagraph"/>
              <w:rPr>
                <w:rFonts w:ascii="Times New Roman"/>
                <w:sz w:val="14"/>
              </w:rPr>
            </w:pPr>
          </w:p>
        </w:tc>
        <w:tc>
          <w:tcPr>
            <w:tcW w:w="1115" w:type="dxa"/>
          </w:tcPr>
          <w:p>
            <w:pPr>
              <w:pStyle w:val="TableParagraph"/>
              <w:rPr>
                <w:rFonts w:ascii="Times New Roman"/>
                <w:sz w:val="14"/>
              </w:rPr>
            </w:pPr>
          </w:p>
        </w:tc>
        <w:tc>
          <w:tcPr>
            <w:tcW w:w="1563" w:type="dxa"/>
          </w:tcPr>
          <w:p>
            <w:pPr>
              <w:pStyle w:val="TableParagraph"/>
              <w:rPr>
                <w:rFonts w:ascii="Times New Roman"/>
                <w:sz w:val="14"/>
              </w:rPr>
            </w:pPr>
          </w:p>
        </w:tc>
        <w:tc>
          <w:tcPr>
            <w:tcW w:w="1738" w:type="dxa"/>
          </w:tcPr>
          <w:p>
            <w:pPr>
              <w:pStyle w:val="TableParagraph"/>
              <w:rPr>
                <w:rFonts w:ascii="Times New Roman"/>
                <w:sz w:val="14"/>
              </w:rPr>
            </w:pPr>
          </w:p>
        </w:tc>
        <w:tc>
          <w:tcPr>
            <w:tcW w:w="996" w:type="dxa"/>
            <w:shd w:val="clear" w:color="auto" w:fill="DFDFDF"/>
          </w:tcPr>
          <w:p>
            <w:pPr>
              <w:pStyle w:val="TableParagraph"/>
              <w:rPr>
                <w:rFonts w:ascii="Times New Roman"/>
                <w:sz w:val="14"/>
              </w:rPr>
            </w:pPr>
          </w:p>
        </w:tc>
        <w:tc>
          <w:tcPr>
            <w:tcW w:w="411" w:type="dxa"/>
            <w:shd w:val="clear" w:color="auto" w:fill="DFDFDF"/>
          </w:tcPr>
          <w:p>
            <w:pPr>
              <w:pStyle w:val="TableParagraph"/>
              <w:rPr>
                <w:rFonts w:ascii="Times New Roman"/>
                <w:sz w:val="14"/>
              </w:rPr>
            </w:pPr>
          </w:p>
        </w:tc>
      </w:tr>
      <w:tr>
        <w:trPr>
          <w:trHeight w:val="488" w:hRule="atLeast"/>
        </w:trPr>
        <w:tc>
          <w:tcPr>
            <w:tcW w:w="3766" w:type="dxa"/>
          </w:tcPr>
          <w:p>
            <w:pPr>
              <w:pStyle w:val="TableParagraph"/>
              <w:spacing w:before="7"/>
              <w:rPr>
                <w:sz w:val="18"/>
              </w:rPr>
            </w:pPr>
          </w:p>
          <w:p>
            <w:pPr>
              <w:pStyle w:val="TableParagraph"/>
              <w:ind w:left="212"/>
              <w:rPr>
                <w:sz w:val="14"/>
              </w:rPr>
            </w:pPr>
            <w:r>
              <w:rPr>
                <w:w w:val="105"/>
                <w:sz w:val="14"/>
              </w:rPr>
              <w:t>1) LCFF Sources</w:t>
            </w:r>
          </w:p>
        </w:tc>
        <w:tc>
          <w:tcPr>
            <w:tcW w:w="1518" w:type="dxa"/>
          </w:tcPr>
          <w:p>
            <w:pPr>
              <w:pStyle w:val="TableParagraph"/>
              <w:rPr>
                <w:rFonts w:ascii="Times New Roman"/>
                <w:sz w:val="14"/>
              </w:rPr>
            </w:pPr>
          </w:p>
        </w:tc>
        <w:tc>
          <w:tcPr>
            <w:tcW w:w="1115" w:type="dxa"/>
          </w:tcPr>
          <w:p>
            <w:pPr>
              <w:pStyle w:val="TableParagraph"/>
              <w:spacing w:before="7"/>
              <w:rPr>
                <w:sz w:val="18"/>
              </w:rPr>
            </w:pPr>
          </w:p>
          <w:p>
            <w:pPr>
              <w:pStyle w:val="TableParagraph"/>
              <w:ind w:left="118" w:right="6"/>
              <w:jc w:val="center"/>
              <w:rPr>
                <w:sz w:val="14"/>
              </w:rPr>
            </w:pPr>
            <w:r>
              <w:rPr>
                <w:w w:val="105"/>
                <w:sz w:val="14"/>
              </w:rPr>
              <w:t>8010-8099</w:t>
            </w:r>
          </w:p>
        </w:tc>
        <w:tc>
          <w:tcPr>
            <w:tcW w:w="1563" w:type="dxa"/>
            <w:shd w:val="clear" w:color="auto" w:fill="DFDFDF"/>
          </w:tcPr>
          <w:p>
            <w:pPr>
              <w:pStyle w:val="TableParagraph"/>
              <w:spacing w:before="7"/>
              <w:rPr>
                <w:sz w:val="18"/>
              </w:rPr>
            </w:pPr>
          </w:p>
          <w:p>
            <w:pPr>
              <w:pStyle w:val="TableParagraph"/>
              <w:ind w:right="80"/>
              <w:jc w:val="right"/>
              <w:rPr>
                <w:sz w:val="14"/>
              </w:rPr>
            </w:pPr>
            <w:r>
              <w:rPr>
                <w:sz w:val="14"/>
              </w:rPr>
              <w:t>0.00</w:t>
            </w:r>
          </w:p>
        </w:tc>
        <w:tc>
          <w:tcPr>
            <w:tcW w:w="1738" w:type="dxa"/>
            <w:shd w:val="clear" w:color="auto" w:fill="DFDFDF"/>
          </w:tcPr>
          <w:p>
            <w:pPr>
              <w:pStyle w:val="TableParagraph"/>
              <w:spacing w:before="7"/>
              <w:rPr>
                <w:sz w:val="18"/>
              </w:rPr>
            </w:pPr>
          </w:p>
          <w:p>
            <w:pPr>
              <w:pStyle w:val="TableParagraph"/>
              <w:ind w:right="255"/>
              <w:jc w:val="right"/>
              <w:rPr>
                <w:sz w:val="14"/>
              </w:rPr>
            </w:pPr>
            <w:r>
              <w:rPr>
                <w:sz w:val="14"/>
              </w:rPr>
              <w:t>0.00</w:t>
            </w:r>
          </w:p>
        </w:tc>
        <w:tc>
          <w:tcPr>
            <w:tcW w:w="996" w:type="dxa"/>
            <w:shd w:val="clear" w:color="auto" w:fill="DFDFDF"/>
          </w:tcPr>
          <w:p>
            <w:pPr>
              <w:pStyle w:val="TableParagraph"/>
              <w:rPr>
                <w:rFonts w:ascii="Times New Roman"/>
                <w:sz w:val="14"/>
              </w:rPr>
            </w:pPr>
          </w:p>
        </w:tc>
        <w:tc>
          <w:tcPr>
            <w:tcW w:w="411" w:type="dxa"/>
            <w:shd w:val="clear" w:color="auto" w:fill="DFDFDF"/>
          </w:tcPr>
          <w:p>
            <w:pPr>
              <w:pStyle w:val="TableParagraph"/>
              <w:spacing w:before="7"/>
              <w:rPr>
                <w:sz w:val="18"/>
              </w:rPr>
            </w:pPr>
          </w:p>
          <w:p>
            <w:pPr>
              <w:pStyle w:val="TableParagraph"/>
              <w:ind w:right="51"/>
              <w:jc w:val="right"/>
              <w:rPr>
                <w:sz w:val="14"/>
              </w:rPr>
            </w:pPr>
            <w:r>
              <w:rPr>
                <w:sz w:val="14"/>
              </w:rPr>
              <w:t>0.0%</w:t>
            </w:r>
          </w:p>
        </w:tc>
      </w:tr>
      <w:tr>
        <w:trPr>
          <w:trHeight w:val="386" w:hRule="atLeast"/>
        </w:trPr>
        <w:tc>
          <w:tcPr>
            <w:tcW w:w="3766" w:type="dxa"/>
          </w:tcPr>
          <w:p>
            <w:pPr>
              <w:pStyle w:val="TableParagraph"/>
              <w:spacing w:before="112"/>
              <w:ind w:left="212"/>
              <w:rPr>
                <w:sz w:val="14"/>
              </w:rPr>
            </w:pPr>
            <w:r>
              <w:rPr>
                <w:w w:val="105"/>
                <w:sz w:val="14"/>
              </w:rPr>
              <w:t>2) Federal Revenue</w:t>
            </w:r>
          </w:p>
        </w:tc>
        <w:tc>
          <w:tcPr>
            <w:tcW w:w="1518" w:type="dxa"/>
          </w:tcPr>
          <w:p>
            <w:pPr>
              <w:pStyle w:val="TableParagraph"/>
              <w:rPr>
                <w:rFonts w:ascii="Times New Roman"/>
                <w:sz w:val="14"/>
              </w:rPr>
            </w:pPr>
          </w:p>
        </w:tc>
        <w:tc>
          <w:tcPr>
            <w:tcW w:w="1115" w:type="dxa"/>
          </w:tcPr>
          <w:p>
            <w:pPr>
              <w:pStyle w:val="TableParagraph"/>
              <w:spacing w:before="112"/>
              <w:ind w:left="118" w:right="6"/>
              <w:jc w:val="center"/>
              <w:rPr>
                <w:sz w:val="14"/>
              </w:rPr>
            </w:pPr>
            <w:r>
              <w:rPr>
                <w:w w:val="105"/>
                <w:sz w:val="14"/>
              </w:rPr>
              <w:t>8100-8299</w:t>
            </w:r>
          </w:p>
        </w:tc>
        <w:tc>
          <w:tcPr>
            <w:tcW w:w="1563" w:type="dxa"/>
            <w:shd w:val="clear" w:color="auto" w:fill="DFDFDF"/>
          </w:tcPr>
          <w:p>
            <w:pPr>
              <w:pStyle w:val="TableParagraph"/>
              <w:spacing w:before="112"/>
              <w:ind w:right="80"/>
              <w:jc w:val="right"/>
              <w:rPr>
                <w:sz w:val="14"/>
              </w:rPr>
            </w:pPr>
            <w:r>
              <w:rPr>
                <w:sz w:val="14"/>
              </w:rPr>
              <w:t>0.00</w:t>
            </w:r>
          </w:p>
        </w:tc>
        <w:tc>
          <w:tcPr>
            <w:tcW w:w="1738" w:type="dxa"/>
            <w:shd w:val="clear" w:color="auto" w:fill="DFDFDF"/>
          </w:tcPr>
          <w:p>
            <w:pPr>
              <w:pStyle w:val="TableParagraph"/>
              <w:spacing w:before="112"/>
              <w:ind w:right="255"/>
              <w:jc w:val="right"/>
              <w:rPr>
                <w:sz w:val="14"/>
              </w:rPr>
            </w:pPr>
            <w:r>
              <w:rPr>
                <w:sz w:val="14"/>
              </w:rPr>
              <w:t>0.00</w:t>
            </w:r>
          </w:p>
        </w:tc>
        <w:tc>
          <w:tcPr>
            <w:tcW w:w="996" w:type="dxa"/>
            <w:shd w:val="clear" w:color="auto" w:fill="DFDFDF"/>
          </w:tcPr>
          <w:p>
            <w:pPr>
              <w:pStyle w:val="TableParagraph"/>
              <w:rPr>
                <w:rFonts w:ascii="Times New Roman"/>
                <w:sz w:val="14"/>
              </w:rPr>
            </w:pPr>
          </w:p>
        </w:tc>
        <w:tc>
          <w:tcPr>
            <w:tcW w:w="411" w:type="dxa"/>
            <w:shd w:val="clear" w:color="auto" w:fill="DFDFDF"/>
          </w:tcPr>
          <w:p>
            <w:pPr>
              <w:pStyle w:val="TableParagraph"/>
              <w:spacing w:before="112"/>
              <w:ind w:right="51"/>
              <w:jc w:val="right"/>
              <w:rPr>
                <w:sz w:val="14"/>
              </w:rPr>
            </w:pPr>
            <w:r>
              <w:rPr>
                <w:sz w:val="14"/>
              </w:rPr>
              <w:t>0.0%</w:t>
            </w:r>
          </w:p>
        </w:tc>
      </w:tr>
      <w:tr>
        <w:trPr>
          <w:trHeight w:val="277" w:hRule="atLeast"/>
        </w:trPr>
        <w:tc>
          <w:tcPr>
            <w:tcW w:w="3766" w:type="dxa"/>
          </w:tcPr>
          <w:p>
            <w:pPr>
              <w:pStyle w:val="TableParagraph"/>
              <w:spacing w:line="145" w:lineRule="exact" w:before="112"/>
              <w:ind w:left="212"/>
              <w:rPr>
                <w:sz w:val="14"/>
              </w:rPr>
            </w:pPr>
            <w:r>
              <w:rPr>
                <w:w w:val="105"/>
                <w:sz w:val="14"/>
              </w:rPr>
              <w:t>3) Other State Revenue</w:t>
            </w:r>
          </w:p>
        </w:tc>
        <w:tc>
          <w:tcPr>
            <w:tcW w:w="1518" w:type="dxa"/>
          </w:tcPr>
          <w:p>
            <w:pPr>
              <w:pStyle w:val="TableParagraph"/>
              <w:rPr>
                <w:rFonts w:ascii="Times New Roman"/>
                <w:sz w:val="14"/>
              </w:rPr>
            </w:pPr>
          </w:p>
        </w:tc>
        <w:tc>
          <w:tcPr>
            <w:tcW w:w="1115" w:type="dxa"/>
          </w:tcPr>
          <w:p>
            <w:pPr>
              <w:pStyle w:val="TableParagraph"/>
              <w:spacing w:line="145" w:lineRule="exact" w:before="112"/>
              <w:ind w:left="118" w:right="6"/>
              <w:jc w:val="center"/>
              <w:rPr>
                <w:sz w:val="14"/>
              </w:rPr>
            </w:pPr>
            <w:r>
              <w:rPr>
                <w:w w:val="105"/>
                <w:sz w:val="14"/>
              </w:rPr>
              <w:t>8300-8599</w:t>
            </w:r>
          </w:p>
        </w:tc>
        <w:tc>
          <w:tcPr>
            <w:tcW w:w="1563" w:type="dxa"/>
          </w:tcPr>
          <w:p>
            <w:pPr>
              <w:pStyle w:val="TableParagraph"/>
              <w:spacing w:line="145" w:lineRule="exact" w:before="112"/>
              <w:ind w:right="80"/>
              <w:jc w:val="right"/>
              <w:rPr>
                <w:sz w:val="14"/>
              </w:rPr>
            </w:pPr>
            <w:r>
              <w:rPr>
                <w:sz w:val="14"/>
              </w:rPr>
              <w:t>0.00</w:t>
            </w:r>
          </w:p>
        </w:tc>
        <w:tc>
          <w:tcPr>
            <w:tcW w:w="1738" w:type="dxa"/>
            <w:shd w:val="clear" w:color="auto" w:fill="DFDFDF"/>
          </w:tcPr>
          <w:p>
            <w:pPr>
              <w:pStyle w:val="TableParagraph"/>
              <w:spacing w:line="145" w:lineRule="exact" w:before="112"/>
              <w:ind w:right="255"/>
              <w:jc w:val="right"/>
              <w:rPr>
                <w:sz w:val="14"/>
              </w:rPr>
            </w:pPr>
            <w:r>
              <w:rPr>
                <w:sz w:val="14"/>
              </w:rPr>
              <w:t>0.00</w:t>
            </w:r>
          </w:p>
        </w:tc>
        <w:tc>
          <w:tcPr>
            <w:tcW w:w="996" w:type="dxa"/>
            <w:shd w:val="clear" w:color="auto" w:fill="DFDFDF"/>
          </w:tcPr>
          <w:p>
            <w:pPr>
              <w:pStyle w:val="TableParagraph"/>
              <w:rPr>
                <w:rFonts w:ascii="Times New Roman"/>
                <w:sz w:val="14"/>
              </w:rPr>
            </w:pPr>
          </w:p>
        </w:tc>
        <w:tc>
          <w:tcPr>
            <w:tcW w:w="411" w:type="dxa"/>
            <w:shd w:val="clear" w:color="auto" w:fill="DFDFDF"/>
          </w:tcPr>
          <w:p>
            <w:pPr>
              <w:pStyle w:val="TableParagraph"/>
              <w:spacing w:line="145" w:lineRule="exact" w:before="112"/>
              <w:ind w:right="51"/>
              <w:jc w:val="right"/>
              <w:rPr>
                <w:sz w:val="14"/>
              </w:rPr>
            </w:pPr>
            <w:r>
              <w:rPr>
                <w:sz w:val="14"/>
              </w:rPr>
              <w:t>0.0%</w:t>
            </w:r>
          </w:p>
        </w:tc>
      </w:tr>
      <w:tr>
        <w:trPr>
          <w:trHeight w:val="495" w:hRule="atLeast"/>
        </w:trPr>
        <w:tc>
          <w:tcPr>
            <w:tcW w:w="3766" w:type="dxa"/>
          </w:tcPr>
          <w:p>
            <w:pPr>
              <w:pStyle w:val="TableParagraph"/>
              <w:spacing w:before="3"/>
              <w:rPr>
                <w:sz w:val="19"/>
              </w:rPr>
            </w:pPr>
          </w:p>
          <w:p>
            <w:pPr>
              <w:pStyle w:val="TableParagraph"/>
              <w:ind w:left="212"/>
              <w:rPr>
                <w:sz w:val="14"/>
              </w:rPr>
            </w:pPr>
            <w:r>
              <w:rPr>
                <w:w w:val="105"/>
                <w:sz w:val="14"/>
              </w:rPr>
              <w:t>4) Other Local Revenue</w:t>
            </w:r>
          </w:p>
        </w:tc>
        <w:tc>
          <w:tcPr>
            <w:tcW w:w="1518" w:type="dxa"/>
          </w:tcPr>
          <w:p>
            <w:pPr>
              <w:pStyle w:val="TableParagraph"/>
              <w:rPr>
                <w:rFonts w:ascii="Times New Roman"/>
                <w:sz w:val="14"/>
              </w:rPr>
            </w:pPr>
          </w:p>
        </w:tc>
        <w:tc>
          <w:tcPr>
            <w:tcW w:w="1115" w:type="dxa"/>
          </w:tcPr>
          <w:p>
            <w:pPr>
              <w:pStyle w:val="TableParagraph"/>
              <w:spacing w:before="3"/>
              <w:rPr>
                <w:sz w:val="19"/>
              </w:rPr>
            </w:pPr>
          </w:p>
          <w:p>
            <w:pPr>
              <w:pStyle w:val="TableParagraph"/>
              <w:ind w:left="118" w:right="6"/>
              <w:jc w:val="center"/>
              <w:rPr>
                <w:sz w:val="14"/>
              </w:rPr>
            </w:pPr>
            <w:r>
              <w:rPr>
                <w:w w:val="105"/>
                <w:sz w:val="14"/>
              </w:rPr>
              <w:t>8600-8799</w:t>
            </w:r>
          </w:p>
        </w:tc>
        <w:tc>
          <w:tcPr>
            <w:tcW w:w="1563" w:type="dxa"/>
          </w:tcPr>
          <w:p>
            <w:pPr>
              <w:pStyle w:val="TableParagraph"/>
              <w:spacing w:before="3"/>
              <w:rPr>
                <w:sz w:val="19"/>
              </w:rPr>
            </w:pPr>
          </w:p>
          <w:p>
            <w:pPr>
              <w:pStyle w:val="TableParagraph"/>
              <w:ind w:right="79"/>
              <w:jc w:val="right"/>
              <w:rPr>
                <w:sz w:val="14"/>
              </w:rPr>
            </w:pPr>
            <w:r>
              <w:rPr>
                <w:sz w:val="14"/>
              </w:rPr>
              <w:t>4,340.00</w:t>
            </w:r>
          </w:p>
        </w:tc>
        <w:tc>
          <w:tcPr>
            <w:tcW w:w="1738" w:type="dxa"/>
          </w:tcPr>
          <w:p>
            <w:pPr>
              <w:pStyle w:val="TableParagraph"/>
              <w:spacing w:before="3"/>
              <w:rPr>
                <w:sz w:val="19"/>
              </w:rPr>
            </w:pPr>
          </w:p>
          <w:p>
            <w:pPr>
              <w:pStyle w:val="TableParagraph"/>
              <w:ind w:right="254"/>
              <w:jc w:val="right"/>
              <w:rPr>
                <w:sz w:val="14"/>
              </w:rPr>
            </w:pPr>
            <w:r>
              <w:rPr>
                <w:sz w:val="14"/>
              </w:rPr>
              <w:t>4,340.00</w:t>
            </w:r>
          </w:p>
        </w:tc>
        <w:tc>
          <w:tcPr>
            <w:tcW w:w="996" w:type="dxa"/>
          </w:tcPr>
          <w:p>
            <w:pPr>
              <w:pStyle w:val="TableParagraph"/>
              <w:rPr>
                <w:rFonts w:ascii="Times New Roman"/>
                <w:sz w:val="14"/>
              </w:rPr>
            </w:pPr>
          </w:p>
        </w:tc>
        <w:tc>
          <w:tcPr>
            <w:tcW w:w="411" w:type="dxa"/>
          </w:tcPr>
          <w:p>
            <w:pPr>
              <w:pStyle w:val="TableParagraph"/>
              <w:spacing w:before="3"/>
              <w:rPr>
                <w:sz w:val="19"/>
              </w:rPr>
            </w:pPr>
          </w:p>
          <w:p>
            <w:pPr>
              <w:pStyle w:val="TableParagraph"/>
              <w:ind w:right="51"/>
              <w:jc w:val="right"/>
              <w:rPr>
                <w:sz w:val="14"/>
              </w:rPr>
            </w:pPr>
            <w:r>
              <w:rPr>
                <w:sz w:val="14"/>
              </w:rPr>
              <w:t>0.0%</w:t>
            </w:r>
          </w:p>
        </w:tc>
      </w:tr>
      <w:tr>
        <w:trPr>
          <w:trHeight w:val="277" w:hRule="atLeast"/>
        </w:trPr>
        <w:tc>
          <w:tcPr>
            <w:tcW w:w="3766" w:type="dxa"/>
          </w:tcPr>
          <w:p>
            <w:pPr>
              <w:pStyle w:val="TableParagraph"/>
              <w:spacing w:line="145" w:lineRule="exact" w:before="112"/>
              <w:ind w:left="212"/>
              <w:rPr>
                <w:sz w:val="14"/>
              </w:rPr>
            </w:pPr>
            <w:r>
              <w:rPr>
                <w:w w:val="105"/>
                <w:sz w:val="14"/>
              </w:rPr>
              <w:t>5) TOTAL, REVENUES</w:t>
            </w:r>
          </w:p>
        </w:tc>
        <w:tc>
          <w:tcPr>
            <w:tcW w:w="1518" w:type="dxa"/>
          </w:tcPr>
          <w:p>
            <w:pPr>
              <w:pStyle w:val="TableParagraph"/>
              <w:rPr>
                <w:rFonts w:ascii="Times New Roman"/>
                <w:sz w:val="14"/>
              </w:rPr>
            </w:pPr>
          </w:p>
        </w:tc>
        <w:tc>
          <w:tcPr>
            <w:tcW w:w="1115" w:type="dxa"/>
          </w:tcPr>
          <w:p>
            <w:pPr>
              <w:pStyle w:val="TableParagraph"/>
              <w:rPr>
                <w:rFonts w:ascii="Times New Roman"/>
                <w:sz w:val="14"/>
              </w:rPr>
            </w:pPr>
          </w:p>
        </w:tc>
        <w:tc>
          <w:tcPr>
            <w:tcW w:w="1563" w:type="dxa"/>
          </w:tcPr>
          <w:p>
            <w:pPr>
              <w:pStyle w:val="TableParagraph"/>
              <w:spacing w:line="145" w:lineRule="exact" w:before="112"/>
              <w:ind w:right="79"/>
              <w:jc w:val="right"/>
              <w:rPr>
                <w:sz w:val="14"/>
              </w:rPr>
            </w:pPr>
            <w:r>
              <w:rPr>
                <w:sz w:val="14"/>
              </w:rPr>
              <w:t>4,340.00</w:t>
            </w:r>
          </w:p>
        </w:tc>
        <w:tc>
          <w:tcPr>
            <w:tcW w:w="1738" w:type="dxa"/>
          </w:tcPr>
          <w:p>
            <w:pPr>
              <w:pStyle w:val="TableParagraph"/>
              <w:spacing w:line="145" w:lineRule="exact" w:before="112"/>
              <w:ind w:right="254"/>
              <w:jc w:val="right"/>
              <w:rPr>
                <w:sz w:val="14"/>
              </w:rPr>
            </w:pPr>
            <w:r>
              <w:rPr>
                <w:sz w:val="14"/>
              </w:rPr>
              <w:t>4,340.00</w:t>
            </w:r>
          </w:p>
        </w:tc>
        <w:tc>
          <w:tcPr>
            <w:tcW w:w="996" w:type="dxa"/>
          </w:tcPr>
          <w:p>
            <w:pPr>
              <w:pStyle w:val="TableParagraph"/>
              <w:rPr>
                <w:rFonts w:ascii="Times New Roman"/>
                <w:sz w:val="14"/>
              </w:rPr>
            </w:pPr>
          </w:p>
        </w:tc>
        <w:tc>
          <w:tcPr>
            <w:tcW w:w="411" w:type="dxa"/>
          </w:tcPr>
          <w:p>
            <w:pPr>
              <w:pStyle w:val="TableParagraph"/>
              <w:spacing w:line="145" w:lineRule="exact" w:before="112"/>
              <w:ind w:right="51"/>
              <w:jc w:val="right"/>
              <w:rPr>
                <w:sz w:val="14"/>
              </w:rPr>
            </w:pPr>
            <w:r>
              <w:rPr>
                <w:sz w:val="14"/>
              </w:rPr>
              <w:t>0.0%</w:t>
            </w:r>
          </w:p>
        </w:tc>
      </w:tr>
      <w:tr>
        <w:trPr>
          <w:trHeight w:val="808" w:hRule="atLeast"/>
        </w:trPr>
        <w:tc>
          <w:tcPr>
            <w:tcW w:w="6399" w:type="dxa"/>
            <w:gridSpan w:val="3"/>
          </w:tcPr>
          <w:p>
            <w:pPr>
              <w:pStyle w:val="TableParagraph"/>
              <w:rPr>
                <w:sz w:val="19"/>
              </w:rPr>
            </w:pPr>
          </w:p>
          <w:p>
            <w:pPr>
              <w:pStyle w:val="TableParagraph"/>
              <w:ind w:left="50"/>
              <w:rPr>
                <w:b/>
                <w:sz w:val="14"/>
              </w:rPr>
            </w:pPr>
            <w:r>
              <w:rPr>
                <w:b/>
                <w:w w:val="105"/>
                <w:sz w:val="14"/>
              </w:rPr>
              <w:t>B. EXPENDITURES (Objects 1000-7999)</w:t>
            </w:r>
          </w:p>
        </w:tc>
        <w:tc>
          <w:tcPr>
            <w:tcW w:w="4708" w:type="dxa"/>
            <w:gridSpan w:val="4"/>
            <w:shd w:val="clear" w:color="auto" w:fill="DFDFDF"/>
          </w:tcPr>
          <w:p>
            <w:pPr>
              <w:pStyle w:val="TableParagraph"/>
              <w:rPr>
                <w:rFonts w:ascii="Times New Roman"/>
                <w:sz w:val="14"/>
              </w:rPr>
            </w:pPr>
          </w:p>
        </w:tc>
      </w:tr>
      <w:tr>
        <w:trPr>
          <w:trHeight w:val="274" w:hRule="atLeast"/>
        </w:trPr>
        <w:tc>
          <w:tcPr>
            <w:tcW w:w="3766" w:type="dxa"/>
          </w:tcPr>
          <w:p>
            <w:pPr>
              <w:pStyle w:val="TableParagraph"/>
              <w:spacing w:before="1"/>
              <w:ind w:left="212"/>
              <w:rPr>
                <w:sz w:val="14"/>
              </w:rPr>
            </w:pPr>
            <w:r>
              <w:rPr>
                <w:w w:val="105"/>
                <w:sz w:val="14"/>
              </w:rPr>
              <w:t>1) Instruction</w:t>
            </w:r>
          </w:p>
        </w:tc>
        <w:tc>
          <w:tcPr>
            <w:tcW w:w="1518" w:type="dxa"/>
          </w:tcPr>
          <w:p>
            <w:pPr>
              <w:pStyle w:val="TableParagraph"/>
              <w:spacing w:before="1"/>
              <w:ind w:left="241" w:right="122"/>
              <w:jc w:val="center"/>
              <w:rPr>
                <w:sz w:val="14"/>
              </w:rPr>
            </w:pPr>
            <w:r>
              <w:rPr>
                <w:w w:val="105"/>
                <w:sz w:val="14"/>
              </w:rPr>
              <w:t>1000-1999</w:t>
            </w:r>
          </w:p>
        </w:tc>
        <w:tc>
          <w:tcPr>
            <w:tcW w:w="1115" w:type="dxa"/>
          </w:tcPr>
          <w:p>
            <w:pPr>
              <w:pStyle w:val="TableParagraph"/>
              <w:rPr>
                <w:rFonts w:ascii="Times New Roman"/>
                <w:sz w:val="14"/>
              </w:rPr>
            </w:pPr>
          </w:p>
        </w:tc>
        <w:tc>
          <w:tcPr>
            <w:tcW w:w="1563" w:type="dxa"/>
            <w:shd w:val="clear" w:color="auto" w:fill="DFDFDF"/>
          </w:tcPr>
          <w:p>
            <w:pPr>
              <w:pStyle w:val="TableParagraph"/>
              <w:spacing w:before="1"/>
              <w:ind w:right="80"/>
              <w:jc w:val="right"/>
              <w:rPr>
                <w:sz w:val="14"/>
              </w:rPr>
            </w:pPr>
            <w:r>
              <w:rPr>
                <w:sz w:val="14"/>
              </w:rPr>
              <w:t>0.00</w:t>
            </w:r>
          </w:p>
        </w:tc>
        <w:tc>
          <w:tcPr>
            <w:tcW w:w="1738" w:type="dxa"/>
            <w:shd w:val="clear" w:color="auto" w:fill="DFDFDF"/>
          </w:tcPr>
          <w:p>
            <w:pPr>
              <w:pStyle w:val="TableParagraph"/>
              <w:spacing w:before="1"/>
              <w:ind w:right="255"/>
              <w:jc w:val="right"/>
              <w:rPr>
                <w:sz w:val="14"/>
              </w:rPr>
            </w:pPr>
            <w:r>
              <w:rPr>
                <w:sz w:val="14"/>
              </w:rPr>
              <w:t>0.00</w:t>
            </w:r>
          </w:p>
        </w:tc>
        <w:tc>
          <w:tcPr>
            <w:tcW w:w="1407" w:type="dxa"/>
            <w:gridSpan w:val="2"/>
            <w:shd w:val="clear" w:color="auto" w:fill="DFDFDF"/>
          </w:tcPr>
          <w:p>
            <w:pPr>
              <w:pStyle w:val="TableParagraph"/>
              <w:spacing w:before="1"/>
              <w:ind w:right="51"/>
              <w:jc w:val="right"/>
              <w:rPr>
                <w:sz w:val="14"/>
              </w:rPr>
            </w:pPr>
            <w:r>
              <w:rPr>
                <w:sz w:val="14"/>
              </w:rPr>
              <w:t>0.0%</w:t>
            </w:r>
          </w:p>
        </w:tc>
      </w:tr>
      <w:tr>
        <w:trPr>
          <w:trHeight w:val="277" w:hRule="atLeast"/>
        </w:trPr>
        <w:tc>
          <w:tcPr>
            <w:tcW w:w="3766" w:type="dxa"/>
          </w:tcPr>
          <w:p>
            <w:pPr>
              <w:pStyle w:val="TableParagraph"/>
              <w:spacing w:line="145" w:lineRule="exact" w:before="112"/>
              <w:ind w:left="212"/>
              <w:rPr>
                <w:sz w:val="14"/>
              </w:rPr>
            </w:pPr>
            <w:r>
              <w:rPr>
                <w:w w:val="105"/>
                <w:sz w:val="14"/>
              </w:rPr>
              <w:t>2) Instruction - Related Services</w:t>
            </w:r>
          </w:p>
        </w:tc>
        <w:tc>
          <w:tcPr>
            <w:tcW w:w="1518" w:type="dxa"/>
          </w:tcPr>
          <w:p>
            <w:pPr>
              <w:pStyle w:val="TableParagraph"/>
              <w:spacing w:line="145" w:lineRule="exact" w:before="112"/>
              <w:ind w:left="241" w:right="122"/>
              <w:jc w:val="center"/>
              <w:rPr>
                <w:sz w:val="14"/>
              </w:rPr>
            </w:pPr>
            <w:r>
              <w:rPr>
                <w:w w:val="105"/>
                <w:sz w:val="14"/>
              </w:rPr>
              <w:t>2000-2999</w:t>
            </w:r>
          </w:p>
        </w:tc>
        <w:tc>
          <w:tcPr>
            <w:tcW w:w="1115" w:type="dxa"/>
          </w:tcPr>
          <w:p>
            <w:pPr>
              <w:pStyle w:val="TableParagraph"/>
              <w:rPr>
                <w:rFonts w:ascii="Times New Roman"/>
                <w:sz w:val="14"/>
              </w:rPr>
            </w:pPr>
          </w:p>
        </w:tc>
        <w:tc>
          <w:tcPr>
            <w:tcW w:w="1563" w:type="dxa"/>
            <w:shd w:val="clear" w:color="auto" w:fill="DFDFDF"/>
          </w:tcPr>
          <w:p>
            <w:pPr>
              <w:pStyle w:val="TableParagraph"/>
              <w:spacing w:line="145" w:lineRule="exact" w:before="112"/>
              <w:ind w:right="80"/>
              <w:jc w:val="right"/>
              <w:rPr>
                <w:sz w:val="14"/>
              </w:rPr>
            </w:pPr>
            <w:r>
              <w:rPr>
                <w:sz w:val="14"/>
              </w:rPr>
              <w:t>0.00</w:t>
            </w:r>
          </w:p>
        </w:tc>
        <w:tc>
          <w:tcPr>
            <w:tcW w:w="1738" w:type="dxa"/>
            <w:shd w:val="clear" w:color="auto" w:fill="DFDFDF"/>
          </w:tcPr>
          <w:p>
            <w:pPr>
              <w:pStyle w:val="TableParagraph"/>
              <w:spacing w:line="145" w:lineRule="exact" w:before="112"/>
              <w:ind w:right="255"/>
              <w:jc w:val="right"/>
              <w:rPr>
                <w:sz w:val="14"/>
              </w:rPr>
            </w:pPr>
            <w:r>
              <w:rPr>
                <w:sz w:val="14"/>
              </w:rPr>
              <w:t>0.00</w:t>
            </w:r>
          </w:p>
        </w:tc>
        <w:tc>
          <w:tcPr>
            <w:tcW w:w="1407" w:type="dxa"/>
            <w:gridSpan w:val="2"/>
            <w:shd w:val="clear" w:color="auto" w:fill="DFDFDF"/>
          </w:tcPr>
          <w:p>
            <w:pPr>
              <w:pStyle w:val="TableParagraph"/>
              <w:spacing w:line="145" w:lineRule="exact" w:before="112"/>
              <w:ind w:right="51"/>
              <w:jc w:val="right"/>
              <w:rPr>
                <w:sz w:val="14"/>
              </w:rPr>
            </w:pPr>
            <w:r>
              <w:rPr>
                <w:sz w:val="14"/>
              </w:rPr>
              <w:t>0.0%</w:t>
            </w:r>
          </w:p>
        </w:tc>
      </w:tr>
      <w:tr>
        <w:trPr>
          <w:trHeight w:val="386" w:hRule="atLeast"/>
        </w:trPr>
        <w:tc>
          <w:tcPr>
            <w:tcW w:w="3766" w:type="dxa"/>
          </w:tcPr>
          <w:p>
            <w:pPr>
              <w:pStyle w:val="TableParagraph"/>
              <w:spacing w:before="3"/>
              <w:rPr>
                <w:sz w:val="19"/>
              </w:rPr>
            </w:pPr>
          </w:p>
          <w:p>
            <w:pPr>
              <w:pStyle w:val="TableParagraph"/>
              <w:spacing w:line="145" w:lineRule="exact"/>
              <w:ind w:left="212"/>
              <w:rPr>
                <w:sz w:val="14"/>
              </w:rPr>
            </w:pPr>
            <w:r>
              <w:rPr>
                <w:w w:val="105"/>
                <w:sz w:val="14"/>
              </w:rPr>
              <w:t>3) Pupil Services</w:t>
            </w:r>
          </w:p>
        </w:tc>
        <w:tc>
          <w:tcPr>
            <w:tcW w:w="1518" w:type="dxa"/>
          </w:tcPr>
          <w:p>
            <w:pPr>
              <w:pStyle w:val="TableParagraph"/>
              <w:spacing w:before="3"/>
              <w:rPr>
                <w:sz w:val="19"/>
              </w:rPr>
            </w:pPr>
          </w:p>
          <w:p>
            <w:pPr>
              <w:pStyle w:val="TableParagraph"/>
              <w:spacing w:line="145" w:lineRule="exact"/>
              <w:ind w:left="241" w:right="122"/>
              <w:jc w:val="center"/>
              <w:rPr>
                <w:sz w:val="14"/>
              </w:rPr>
            </w:pPr>
            <w:r>
              <w:rPr>
                <w:w w:val="105"/>
                <w:sz w:val="14"/>
              </w:rPr>
              <w:t>3000-3999</w:t>
            </w:r>
          </w:p>
        </w:tc>
        <w:tc>
          <w:tcPr>
            <w:tcW w:w="1115" w:type="dxa"/>
          </w:tcPr>
          <w:p>
            <w:pPr>
              <w:pStyle w:val="TableParagraph"/>
              <w:rPr>
                <w:rFonts w:ascii="Times New Roman"/>
                <w:sz w:val="14"/>
              </w:rPr>
            </w:pPr>
          </w:p>
        </w:tc>
        <w:tc>
          <w:tcPr>
            <w:tcW w:w="1563" w:type="dxa"/>
          </w:tcPr>
          <w:p>
            <w:pPr>
              <w:pStyle w:val="TableParagraph"/>
              <w:spacing w:before="3"/>
              <w:rPr>
                <w:sz w:val="19"/>
              </w:rPr>
            </w:pPr>
          </w:p>
          <w:p>
            <w:pPr>
              <w:pStyle w:val="TableParagraph"/>
              <w:spacing w:line="145" w:lineRule="exact"/>
              <w:ind w:right="80"/>
              <w:jc w:val="right"/>
              <w:rPr>
                <w:sz w:val="14"/>
              </w:rPr>
            </w:pPr>
            <w:r>
              <w:rPr>
                <w:sz w:val="14"/>
              </w:rPr>
              <w:t>0.00</w:t>
            </w:r>
          </w:p>
        </w:tc>
        <w:tc>
          <w:tcPr>
            <w:tcW w:w="1738" w:type="dxa"/>
            <w:shd w:val="clear" w:color="auto" w:fill="DFDFDF"/>
          </w:tcPr>
          <w:p>
            <w:pPr>
              <w:pStyle w:val="TableParagraph"/>
              <w:spacing w:before="3"/>
              <w:rPr>
                <w:sz w:val="19"/>
              </w:rPr>
            </w:pPr>
          </w:p>
          <w:p>
            <w:pPr>
              <w:pStyle w:val="TableParagraph"/>
              <w:spacing w:line="145" w:lineRule="exact"/>
              <w:ind w:right="255"/>
              <w:jc w:val="right"/>
              <w:rPr>
                <w:sz w:val="14"/>
              </w:rPr>
            </w:pPr>
            <w:r>
              <w:rPr>
                <w:sz w:val="14"/>
              </w:rPr>
              <w:t>0.00</w:t>
            </w:r>
          </w:p>
        </w:tc>
        <w:tc>
          <w:tcPr>
            <w:tcW w:w="1407" w:type="dxa"/>
            <w:gridSpan w:val="2"/>
            <w:shd w:val="clear" w:color="auto" w:fill="DFDFDF"/>
          </w:tcPr>
          <w:p>
            <w:pPr>
              <w:pStyle w:val="TableParagraph"/>
              <w:spacing w:before="3"/>
              <w:rPr>
                <w:sz w:val="19"/>
              </w:rPr>
            </w:pPr>
          </w:p>
          <w:p>
            <w:pPr>
              <w:pStyle w:val="TableParagraph"/>
              <w:spacing w:line="145" w:lineRule="exact"/>
              <w:ind w:right="51"/>
              <w:jc w:val="right"/>
              <w:rPr>
                <w:sz w:val="14"/>
              </w:rPr>
            </w:pPr>
            <w:r>
              <w:rPr>
                <w:sz w:val="14"/>
              </w:rPr>
              <w:t>0.0%</w:t>
            </w:r>
          </w:p>
        </w:tc>
      </w:tr>
      <w:tr>
        <w:trPr>
          <w:trHeight w:val="495" w:hRule="atLeast"/>
        </w:trPr>
        <w:tc>
          <w:tcPr>
            <w:tcW w:w="3766" w:type="dxa"/>
          </w:tcPr>
          <w:p>
            <w:pPr>
              <w:pStyle w:val="TableParagraph"/>
              <w:spacing w:before="3"/>
              <w:rPr>
                <w:sz w:val="19"/>
              </w:rPr>
            </w:pPr>
          </w:p>
          <w:p>
            <w:pPr>
              <w:pStyle w:val="TableParagraph"/>
              <w:ind w:left="212"/>
              <w:rPr>
                <w:sz w:val="14"/>
              </w:rPr>
            </w:pPr>
            <w:r>
              <w:rPr>
                <w:w w:val="105"/>
                <w:sz w:val="14"/>
              </w:rPr>
              <w:t>4) Ancillary Services</w:t>
            </w:r>
          </w:p>
        </w:tc>
        <w:tc>
          <w:tcPr>
            <w:tcW w:w="1518" w:type="dxa"/>
          </w:tcPr>
          <w:p>
            <w:pPr>
              <w:pStyle w:val="TableParagraph"/>
              <w:spacing w:before="3"/>
              <w:rPr>
                <w:sz w:val="19"/>
              </w:rPr>
            </w:pPr>
          </w:p>
          <w:p>
            <w:pPr>
              <w:pStyle w:val="TableParagraph"/>
              <w:ind w:left="241" w:right="122"/>
              <w:jc w:val="center"/>
              <w:rPr>
                <w:sz w:val="14"/>
              </w:rPr>
            </w:pPr>
            <w:r>
              <w:rPr>
                <w:w w:val="105"/>
                <w:sz w:val="14"/>
              </w:rPr>
              <w:t>4000-4999</w:t>
            </w:r>
          </w:p>
        </w:tc>
        <w:tc>
          <w:tcPr>
            <w:tcW w:w="1115" w:type="dxa"/>
          </w:tcPr>
          <w:p>
            <w:pPr>
              <w:pStyle w:val="TableParagraph"/>
              <w:rPr>
                <w:rFonts w:ascii="Times New Roman"/>
                <w:sz w:val="14"/>
              </w:rPr>
            </w:pPr>
          </w:p>
        </w:tc>
        <w:tc>
          <w:tcPr>
            <w:tcW w:w="1563" w:type="dxa"/>
          </w:tcPr>
          <w:p>
            <w:pPr>
              <w:pStyle w:val="TableParagraph"/>
              <w:spacing w:before="3"/>
              <w:rPr>
                <w:sz w:val="19"/>
              </w:rPr>
            </w:pPr>
          </w:p>
          <w:p>
            <w:pPr>
              <w:pStyle w:val="TableParagraph"/>
              <w:ind w:right="79"/>
              <w:jc w:val="right"/>
              <w:rPr>
                <w:sz w:val="14"/>
              </w:rPr>
            </w:pPr>
            <w:r>
              <w:rPr>
                <w:sz w:val="14"/>
              </w:rPr>
              <w:t>4,100.00</w:t>
            </w:r>
          </w:p>
        </w:tc>
        <w:tc>
          <w:tcPr>
            <w:tcW w:w="1738" w:type="dxa"/>
          </w:tcPr>
          <w:p>
            <w:pPr>
              <w:pStyle w:val="TableParagraph"/>
              <w:spacing w:before="3"/>
              <w:rPr>
                <w:sz w:val="19"/>
              </w:rPr>
            </w:pPr>
          </w:p>
          <w:p>
            <w:pPr>
              <w:pStyle w:val="TableParagraph"/>
              <w:ind w:right="254"/>
              <w:jc w:val="right"/>
              <w:rPr>
                <w:sz w:val="14"/>
              </w:rPr>
            </w:pPr>
            <w:r>
              <w:rPr>
                <w:sz w:val="14"/>
              </w:rPr>
              <w:t>4,100.00</w:t>
            </w:r>
          </w:p>
        </w:tc>
        <w:tc>
          <w:tcPr>
            <w:tcW w:w="1407" w:type="dxa"/>
            <w:gridSpan w:val="2"/>
          </w:tcPr>
          <w:p>
            <w:pPr>
              <w:pStyle w:val="TableParagraph"/>
              <w:spacing w:before="3"/>
              <w:rPr>
                <w:sz w:val="19"/>
              </w:rPr>
            </w:pPr>
          </w:p>
          <w:p>
            <w:pPr>
              <w:pStyle w:val="TableParagraph"/>
              <w:ind w:right="51"/>
              <w:jc w:val="right"/>
              <w:rPr>
                <w:sz w:val="14"/>
              </w:rPr>
            </w:pPr>
            <w:r>
              <w:rPr>
                <w:sz w:val="14"/>
              </w:rPr>
              <w:t>0.0%</w:t>
            </w:r>
          </w:p>
        </w:tc>
      </w:tr>
      <w:tr>
        <w:trPr>
          <w:trHeight w:val="277" w:hRule="atLeast"/>
        </w:trPr>
        <w:tc>
          <w:tcPr>
            <w:tcW w:w="3766" w:type="dxa"/>
          </w:tcPr>
          <w:p>
            <w:pPr>
              <w:pStyle w:val="TableParagraph"/>
              <w:spacing w:line="145" w:lineRule="exact" w:before="112"/>
              <w:ind w:left="212"/>
              <w:rPr>
                <w:sz w:val="14"/>
              </w:rPr>
            </w:pPr>
            <w:r>
              <w:rPr>
                <w:w w:val="105"/>
                <w:sz w:val="14"/>
              </w:rPr>
              <w:t>5) Community Services</w:t>
            </w:r>
          </w:p>
        </w:tc>
        <w:tc>
          <w:tcPr>
            <w:tcW w:w="1518" w:type="dxa"/>
          </w:tcPr>
          <w:p>
            <w:pPr>
              <w:pStyle w:val="TableParagraph"/>
              <w:spacing w:line="145" w:lineRule="exact" w:before="112"/>
              <w:ind w:left="241" w:right="122"/>
              <w:jc w:val="center"/>
              <w:rPr>
                <w:sz w:val="14"/>
              </w:rPr>
            </w:pPr>
            <w:r>
              <w:rPr>
                <w:w w:val="105"/>
                <w:sz w:val="14"/>
              </w:rPr>
              <w:t>5000-5999</w:t>
            </w:r>
          </w:p>
        </w:tc>
        <w:tc>
          <w:tcPr>
            <w:tcW w:w="1115" w:type="dxa"/>
          </w:tcPr>
          <w:p>
            <w:pPr>
              <w:pStyle w:val="TableParagraph"/>
              <w:rPr>
                <w:rFonts w:ascii="Times New Roman"/>
                <w:sz w:val="14"/>
              </w:rPr>
            </w:pPr>
          </w:p>
        </w:tc>
        <w:tc>
          <w:tcPr>
            <w:tcW w:w="1563" w:type="dxa"/>
          </w:tcPr>
          <w:p>
            <w:pPr>
              <w:pStyle w:val="TableParagraph"/>
              <w:spacing w:line="145" w:lineRule="exact" w:before="112"/>
              <w:ind w:right="80"/>
              <w:jc w:val="right"/>
              <w:rPr>
                <w:sz w:val="14"/>
              </w:rPr>
            </w:pPr>
            <w:r>
              <w:rPr>
                <w:sz w:val="14"/>
              </w:rPr>
              <w:t>0.00</w:t>
            </w:r>
          </w:p>
        </w:tc>
        <w:tc>
          <w:tcPr>
            <w:tcW w:w="1738" w:type="dxa"/>
          </w:tcPr>
          <w:p>
            <w:pPr>
              <w:pStyle w:val="TableParagraph"/>
              <w:spacing w:line="145" w:lineRule="exact" w:before="112"/>
              <w:ind w:right="255"/>
              <w:jc w:val="right"/>
              <w:rPr>
                <w:sz w:val="14"/>
              </w:rPr>
            </w:pPr>
            <w:r>
              <w:rPr>
                <w:sz w:val="14"/>
              </w:rPr>
              <w:t>0.00</w:t>
            </w:r>
          </w:p>
        </w:tc>
        <w:tc>
          <w:tcPr>
            <w:tcW w:w="1407" w:type="dxa"/>
            <w:gridSpan w:val="2"/>
          </w:tcPr>
          <w:p>
            <w:pPr>
              <w:pStyle w:val="TableParagraph"/>
              <w:spacing w:line="145" w:lineRule="exact" w:before="112"/>
              <w:ind w:right="51"/>
              <w:jc w:val="right"/>
              <w:rPr>
                <w:sz w:val="14"/>
              </w:rPr>
            </w:pPr>
            <w:r>
              <w:rPr>
                <w:sz w:val="14"/>
              </w:rPr>
              <w:t>0.0%</w:t>
            </w:r>
          </w:p>
        </w:tc>
      </w:tr>
      <w:tr>
        <w:trPr>
          <w:trHeight w:val="386" w:hRule="atLeast"/>
        </w:trPr>
        <w:tc>
          <w:tcPr>
            <w:tcW w:w="3766" w:type="dxa"/>
          </w:tcPr>
          <w:p>
            <w:pPr>
              <w:pStyle w:val="TableParagraph"/>
              <w:spacing w:before="3"/>
              <w:rPr>
                <w:sz w:val="19"/>
              </w:rPr>
            </w:pPr>
          </w:p>
          <w:p>
            <w:pPr>
              <w:pStyle w:val="TableParagraph"/>
              <w:spacing w:line="145" w:lineRule="exact"/>
              <w:ind w:left="212"/>
              <w:rPr>
                <w:sz w:val="14"/>
              </w:rPr>
            </w:pPr>
            <w:r>
              <w:rPr>
                <w:w w:val="105"/>
                <w:sz w:val="14"/>
              </w:rPr>
              <w:t>6) Enterprise</w:t>
            </w:r>
          </w:p>
        </w:tc>
        <w:tc>
          <w:tcPr>
            <w:tcW w:w="1518" w:type="dxa"/>
          </w:tcPr>
          <w:p>
            <w:pPr>
              <w:pStyle w:val="TableParagraph"/>
              <w:spacing w:before="3"/>
              <w:rPr>
                <w:sz w:val="19"/>
              </w:rPr>
            </w:pPr>
          </w:p>
          <w:p>
            <w:pPr>
              <w:pStyle w:val="TableParagraph"/>
              <w:spacing w:line="145" w:lineRule="exact"/>
              <w:ind w:left="241" w:right="122"/>
              <w:jc w:val="center"/>
              <w:rPr>
                <w:sz w:val="14"/>
              </w:rPr>
            </w:pPr>
            <w:r>
              <w:rPr>
                <w:w w:val="105"/>
                <w:sz w:val="14"/>
              </w:rPr>
              <w:t>6000-6999</w:t>
            </w:r>
          </w:p>
        </w:tc>
        <w:tc>
          <w:tcPr>
            <w:tcW w:w="1115" w:type="dxa"/>
          </w:tcPr>
          <w:p>
            <w:pPr>
              <w:pStyle w:val="TableParagraph"/>
              <w:rPr>
                <w:rFonts w:ascii="Times New Roman"/>
                <w:sz w:val="14"/>
              </w:rPr>
            </w:pPr>
          </w:p>
        </w:tc>
        <w:tc>
          <w:tcPr>
            <w:tcW w:w="1563" w:type="dxa"/>
          </w:tcPr>
          <w:p>
            <w:pPr>
              <w:pStyle w:val="TableParagraph"/>
              <w:spacing w:before="3"/>
              <w:rPr>
                <w:sz w:val="19"/>
              </w:rPr>
            </w:pPr>
          </w:p>
          <w:p>
            <w:pPr>
              <w:pStyle w:val="TableParagraph"/>
              <w:spacing w:line="145" w:lineRule="exact"/>
              <w:ind w:right="80"/>
              <w:jc w:val="right"/>
              <w:rPr>
                <w:sz w:val="14"/>
              </w:rPr>
            </w:pPr>
            <w:r>
              <w:rPr>
                <w:sz w:val="14"/>
              </w:rPr>
              <w:t>0.00</w:t>
            </w:r>
          </w:p>
        </w:tc>
        <w:tc>
          <w:tcPr>
            <w:tcW w:w="1738" w:type="dxa"/>
            <w:shd w:val="clear" w:color="auto" w:fill="DFDFDF"/>
          </w:tcPr>
          <w:p>
            <w:pPr>
              <w:pStyle w:val="TableParagraph"/>
              <w:spacing w:before="3"/>
              <w:rPr>
                <w:sz w:val="19"/>
              </w:rPr>
            </w:pPr>
          </w:p>
          <w:p>
            <w:pPr>
              <w:pStyle w:val="TableParagraph"/>
              <w:spacing w:line="145" w:lineRule="exact"/>
              <w:ind w:right="255"/>
              <w:jc w:val="right"/>
              <w:rPr>
                <w:sz w:val="14"/>
              </w:rPr>
            </w:pPr>
            <w:r>
              <w:rPr>
                <w:sz w:val="14"/>
              </w:rPr>
              <w:t>0.00</w:t>
            </w:r>
          </w:p>
        </w:tc>
        <w:tc>
          <w:tcPr>
            <w:tcW w:w="1407" w:type="dxa"/>
            <w:gridSpan w:val="2"/>
            <w:shd w:val="clear" w:color="auto" w:fill="DFDFDF"/>
          </w:tcPr>
          <w:p>
            <w:pPr>
              <w:pStyle w:val="TableParagraph"/>
              <w:spacing w:before="3"/>
              <w:rPr>
                <w:sz w:val="19"/>
              </w:rPr>
            </w:pPr>
          </w:p>
          <w:p>
            <w:pPr>
              <w:pStyle w:val="TableParagraph"/>
              <w:spacing w:line="145" w:lineRule="exact"/>
              <w:ind w:right="51"/>
              <w:jc w:val="right"/>
              <w:rPr>
                <w:sz w:val="14"/>
              </w:rPr>
            </w:pPr>
            <w:r>
              <w:rPr>
                <w:sz w:val="14"/>
              </w:rPr>
              <w:t>0.0%</w:t>
            </w:r>
          </w:p>
        </w:tc>
      </w:tr>
      <w:tr>
        <w:trPr>
          <w:trHeight w:val="386" w:hRule="atLeast"/>
        </w:trPr>
        <w:tc>
          <w:tcPr>
            <w:tcW w:w="3766" w:type="dxa"/>
          </w:tcPr>
          <w:p>
            <w:pPr>
              <w:pStyle w:val="TableParagraph"/>
              <w:spacing w:before="3"/>
              <w:rPr>
                <w:sz w:val="19"/>
              </w:rPr>
            </w:pPr>
          </w:p>
          <w:p>
            <w:pPr>
              <w:pStyle w:val="TableParagraph"/>
              <w:spacing w:line="145" w:lineRule="exact"/>
              <w:ind w:left="212"/>
              <w:rPr>
                <w:sz w:val="14"/>
              </w:rPr>
            </w:pPr>
            <w:r>
              <w:rPr>
                <w:w w:val="105"/>
                <w:sz w:val="14"/>
              </w:rPr>
              <w:t>7) General Administration</w:t>
            </w:r>
          </w:p>
        </w:tc>
        <w:tc>
          <w:tcPr>
            <w:tcW w:w="1518" w:type="dxa"/>
          </w:tcPr>
          <w:p>
            <w:pPr>
              <w:pStyle w:val="TableParagraph"/>
              <w:spacing w:before="3"/>
              <w:rPr>
                <w:sz w:val="19"/>
              </w:rPr>
            </w:pPr>
          </w:p>
          <w:p>
            <w:pPr>
              <w:pStyle w:val="TableParagraph"/>
              <w:spacing w:line="145" w:lineRule="exact"/>
              <w:ind w:left="241" w:right="122"/>
              <w:jc w:val="center"/>
              <w:rPr>
                <w:sz w:val="14"/>
              </w:rPr>
            </w:pPr>
            <w:r>
              <w:rPr>
                <w:w w:val="105"/>
                <w:sz w:val="14"/>
              </w:rPr>
              <w:t>7000-7999</w:t>
            </w:r>
          </w:p>
        </w:tc>
        <w:tc>
          <w:tcPr>
            <w:tcW w:w="1115" w:type="dxa"/>
          </w:tcPr>
          <w:p>
            <w:pPr>
              <w:pStyle w:val="TableParagraph"/>
              <w:rPr>
                <w:rFonts w:ascii="Times New Roman"/>
                <w:sz w:val="14"/>
              </w:rPr>
            </w:pPr>
          </w:p>
        </w:tc>
        <w:tc>
          <w:tcPr>
            <w:tcW w:w="1563" w:type="dxa"/>
          </w:tcPr>
          <w:p>
            <w:pPr>
              <w:pStyle w:val="TableParagraph"/>
              <w:spacing w:before="3"/>
              <w:rPr>
                <w:sz w:val="19"/>
              </w:rPr>
            </w:pPr>
          </w:p>
          <w:p>
            <w:pPr>
              <w:pStyle w:val="TableParagraph"/>
              <w:spacing w:line="145" w:lineRule="exact"/>
              <w:ind w:right="80"/>
              <w:jc w:val="right"/>
              <w:rPr>
                <w:sz w:val="14"/>
              </w:rPr>
            </w:pPr>
            <w:r>
              <w:rPr>
                <w:sz w:val="14"/>
              </w:rPr>
              <w:t>0.00</w:t>
            </w:r>
          </w:p>
        </w:tc>
        <w:tc>
          <w:tcPr>
            <w:tcW w:w="1738" w:type="dxa"/>
          </w:tcPr>
          <w:p>
            <w:pPr>
              <w:pStyle w:val="TableParagraph"/>
              <w:spacing w:before="3"/>
              <w:rPr>
                <w:sz w:val="19"/>
              </w:rPr>
            </w:pPr>
          </w:p>
          <w:p>
            <w:pPr>
              <w:pStyle w:val="TableParagraph"/>
              <w:spacing w:line="145" w:lineRule="exact"/>
              <w:ind w:right="255"/>
              <w:jc w:val="right"/>
              <w:rPr>
                <w:sz w:val="14"/>
              </w:rPr>
            </w:pPr>
            <w:r>
              <w:rPr>
                <w:sz w:val="14"/>
              </w:rPr>
              <w:t>0.00</w:t>
            </w:r>
          </w:p>
        </w:tc>
        <w:tc>
          <w:tcPr>
            <w:tcW w:w="1407" w:type="dxa"/>
            <w:gridSpan w:val="2"/>
          </w:tcPr>
          <w:p>
            <w:pPr>
              <w:pStyle w:val="TableParagraph"/>
              <w:spacing w:before="3"/>
              <w:rPr>
                <w:sz w:val="19"/>
              </w:rPr>
            </w:pPr>
          </w:p>
          <w:p>
            <w:pPr>
              <w:pStyle w:val="TableParagraph"/>
              <w:spacing w:line="145" w:lineRule="exact"/>
              <w:ind w:right="51"/>
              <w:jc w:val="right"/>
              <w:rPr>
                <w:sz w:val="14"/>
              </w:rPr>
            </w:pPr>
            <w:r>
              <w:rPr>
                <w:sz w:val="14"/>
              </w:rPr>
              <w:t>0.0%</w:t>
            </w:r>
          </w:p>
        </w:tc>
      </w:tr>
      <w:tr>
        <w:trPr>
          <w:trHeight w:val="386" w:hRule="atLeast"/>
        </w:trPr>
        <w:tc>
          <w:tcPr>
            <w:tcW w:w="3766" w:type="dxa"/>
          </w:tcPr>
          <w:p>
            <w:pPr>
              <w:pStyle w:val="TableParagraph"/>
              <w:spacing w:before="3"/>
              <w:rPr>
                <w:sz w:val="19"/>
              </w:rPr>
            </w:pPr>
          </w:p>
          <w:p>
            <w:pPr>
              <w:pStyle w:val="TableParagraph"/>
              <w:spacing w:line="145" w:lineRule="exact"/>
              <w:ind w:left="212"/>
              <w:rPr>
                <w:sz w:val="14"/>
              </w:rPr>
            </w:pPr>
            <w:r>
              <w:rPr>
                <w:w w:val="105"/>
                <w:sz w:val="14"/>
              </w:rPr>
              <w:t>8) Plant Services</w:t>
            </w:r>
          </w:p>
        </w:tc>
        <w:tc>
          <w:tcPr>
            <w:tcW w:w="1518" w:type="dxa"/>
          </w:tcPr>
          <w:p>
            <w:pPr>
              <w:pStyle w:val="TableParagraph"/>
              <w:spacing w:before="3"/>
              <w:rPr>
                <w:sz w:val="19"/>
              </w:rPr>
            </w:pPr>
          </w:p>
          <w:p>
            <w:pPr>
              <w:pStyle w:val="TableParagraph"/>
              <w:spacing w:line="145" w:lineRule="exact"/>
              <w:ind w:left="241" w:right="122"/>
              <w:jc w:val="center"/>
              <w:rPr>
                <w:sz w:val="14"/>
              </w:rPr>
            </w:pPr>
            <w:r>
              <w:rPr>
                <w:w w:val="105"/>
                <w:sz w:val="14"/>
              </w:rPr>
              <w:t>8000-8999</w:t>
            </w:r>
          </w:p>
        </w:tc>
        <w:tc>
          <w:tcPr>
            <w:tcW w:w="1115" w:type="dxa"/>
          </w:tcPr>
          <w:p>
            <w:pPr>
              <w:pStyle w:val="TableParagraph"/>
              <w:rPr>
                <w:rFonts w:ascii="Times New Roman"/>
                <w:sz w:val="14"/>
              </w:rPr>
            </w:pPr>
          </w:p>
        </w:tc>
        <w:tc>
          <w:tcPr>
            <w:tcW w:w="1563" w:type="dxa"/>
            <w:shd w:val="clear" w:color="auto" w:fill="DFDFDF"/>
          </w:tcPr>
          <w:p>
            <w:pPr>
              <w:pStyle w:val="TableParagraph"/>
              <w:spacing w:before="3"/>
              <w:rPr>
                <w:sz w:val="19"/>
              </w:rPr>
            </w:pPr>
          </w:p>
          <w:p>
            <w:pPr>
              <w:pStyle w:val="TableParagraph"/>
              <w:spacing w:line="145" w:lineRule="exact"/>
              <w:ind w:right="80"/>
              <w:jc w:val="right"/>
              <w:rPr>
                <w:sz w:val="14"/>
              </w:rPr>
            </w:pPr>
            <w:r>
              <w:rPr>
                <w:sz w:val="14"/>
              </w:rPr>
              <w:t>0.00</w:t>
            </w:r>
          </w:p>
        </w:tc>
        <w:tc>
          <w:tcPr>
            <w:tcW w:w="1738" w:type="dxa"/>
            <w:shd w:val="clear" w:color="auto" w:fill="DFDFDF"/>
          </w:tcPr>
          <w:p>
            <w:pPr>
              <w:pStyle w:val="TableParagraph"/>
              <w:spacing w:before="3"/>
              <w:rPr>
                <w:sz w:val="19"/>
              </w:rPr>
            </w:pPr>
          </w:p>
          <w:p>
            <w:pPr>
              <w:pStyle w:val="TableParagraph"/>
              <w:spacing w:line="145" w:lineRule="exact"/>
              <w:ind w:right="255"/>
              <w:jc w:val="right"/>
              <w:rPr>
                <w:sz w:val="14"/>
              </w:rPr>
            </w:pPr>
            <w:r>
              <w:rPr>
                <w:sz w:val="14"/>
              </w:rPr>
              <w:t>0.00</w:t>
            </w:r>
          </w:p>
        </w:tc>
        <w:tc>
          <w:tcPr>
            <w:tcW w:w="1407" w:type="dxa"/>
            <w:gridSpan w:val="2"/>
            <w:shd w:val="clear" w:color="auto" w:fill="DFDFDF"/>
          </w:tcPr>
          <w:p>
            <w:pPr>
              <w:pStyle w:val="TableParagraph"/>
              <w:spacing w:before="3"/>
              <w:rPr>
                <w:sz w:val="19"/>
              </w:rPr>
            </w:pPr>
          </w:p>
          <w:p>
            <w:pPr>
              <w:pStyle w:val="TableParagraph"/>
              <w:spacing w:line="145" w:lineRule="exact"/>
              <w:ind w:right="51"/>
              <w:jc w:val="right"/>
              <w:rPr>
                <w:sz w:val="14"/>
              </w:rPr>
            </w:pPr>
            <w:r>
              <w:rPr>
                <w:sz w:val="14"/>
              </w:rPr>
              <w:t>0.0%</w:t>
            </w:r>
          </w:p>
        </w:tc>
      </w:tr>
      <w:tr>
        <w:trPr>
          <w:trHeight w:val="386" w:hRule="atLeast"/>
        </w:trPr>
        <w:tc>
          <w:tcPr>
            <w:tcW w:w="3766" w:type="dxa"/>
          </w:tcPr>
          <w:p>
            <w:pPr>
              <w:pStyle w:val="TableParagraph"/>
              <w:spacing w:before="3"/>
              <w:rPr>
                <w:sz w:val="19"/>
              </w:rPr>
            </w:pPr>
          </w:p>
          <w:p>
            <w:pPr>
              <w:pStyle w:val="TableParagraph"/>
              <w:spacing w:line="145" w:lineRule="exact"/>
              <w:ind w:left="212"/>
              <w:rPr>
                <w:sz w:val="14"/>
              </w:rPr>
            </w:pPr>
            <w:r>
              <w:rPr>
                <w:w w:val="105"/>
                <w:sz w:val="14"/>
              </w:rPr>
              <w:t>9) Other Outgo</w:t>
            </w:r>
          </w:p>
        </w:tc>
        <w:tc>
          <w:tcPr>
            <w:tcW w:w="1518" w:type="dxa"/>
          </w:tcPr>
          <w:p>
            <w:pPr>
              <w:pStyle w:val="TableParagraph"/>
              <w:spacing w:before="3"/>
              <w:rPr>
                <w:sz w:val="19"/>
              </w:rPr>
            </w:pPr>
          </w:p>
          <w:p>
            <w:pPr>
              <w:pStyle w:val="TableParagraph"/>
              <w:spacing w:line="145" w:lineRule="exact"/>
              <w:ind w:left="241" w:right="122"/>
              <w:jc w:val="center"/>
              <w:rPr>
                <w:sz w:val="14"/>
              </w:rPr>
            </w:pPr>
            <w:r>
              <w:rPr>
                <w:w w:val="105"/>
                <w:sz w:val="14"/>
              </w:rPr>
              <w:t>9000-9999</w:t>
            </w:r>
          </w:p>
        </w:tc>
        <w:tc>
          <w:tcPr>
            <w:tcW w:w="1115" w:type="dxa"/>
          </w:tcPr>
          <w:p>
            <w:pPr>
              <w:pStyle w:val="TableParagraph"/>
              <w:spacing w:line="160" w:lineRule="atLeast" w:before="58"/>
              <w:ind w:left="269" w:right="145" w:firstLine="127"/>
              <w:rPr>
                <w:sz w:val="14"/>
              </w:rPr>
            </w:pPr>
            <w:r>
              <w:rPr>
                <w:w w:val="105"/>
                <w:sz w:val="14"/>
              </w:rPr>
              <w:t>Except </w:t>
            </w:r>
            <w:r>
              <w:rPr>
                <w:sz w:val="14"/>
              </w:rPr>
              <w:t>7600-7699</w:t>
            </w:r>
          </w:p>
        </w:tc>
        <w:tc>
          <w:tcPr>
            <w:tcW w:w="1563" w:type="dxa"/>
          </w:tcPr>
          <w:p>
            <w:pPr>
              <w:pStyle w:val="TableParagraph"/>
              <w:spacing w:before="3"/>
              <w:rPr>
                <w:sz w:val="19"/>
              </w:rPr>
            </w:pPr>
          </w:p>
          <w:p>
            <w:pPr>
              <w:pStyle w:val="TableParagraph"/>
              <w:spacing w:line="145" w:lineRule="exact"/>
              <w:ind w:right="80"/>
              <w:jc w:val="right"/>
              <w:rPr>
                <w:sz w:val="14"/>
              </w:rPr>
            </w:pPr>
            <w:r>
              <w:rPr>
                <w:sz w:val="14"/>
              </w:rPr>
              <w:t>0.00</w:t>
            </w:r>
          </w:p>
        </w:tc>
        <w:tc>
          <w:tcPr>
            <w:tcW w:w="1738" w:type="dxa"/>
            <w:shd w:val="clear" w:color="auto" w:fill="DFDFDF"/>
          </w:tcPr>
          <w:p>
            <w:pPr>
              <w:pStyle w:val="TableParagraph"/>
              <w:spacing w:before="3"/>
              <w:rPr>
                <w:sz w:val="19"/>
              </w:rPr>
            </w:pPr>
          </w:p>
          <w:p>
            <w:pPr>
              <w:pStyle w:val="TableParagraph"/>
              <w:spacing w:line="145" w:lineRule="exact"/>
              <w:ind w:right="255"/>
              <w:jc w:val="right"/>
              <w:rPr>
                <w:sz w:val="14"/>
              </w:rPr>
            </w:pPr>
            <w:r>
              <w:rPr>
                <w:sz w:val="14"/>
              </w:rPr>
              <w:t>0.00</w:t>
            </w:r>
          </w:p>
        </w:tc>
        <w:tc>
          <w:tcPr>
            <w:tcW w:w="1407" w:type="dxa"/>
            <w:gridSpan w:val="2"/>
            <w:shd w:val="clear" w:color="auto" w:fill="DFDFDF"/>
          </w:tcPr>
          <w:p>
            <w:pPr>
              <w:pStyle w:val="TableParagraph"/>
              <w:spacing w:before="3"/>
              <w:rPr>
                <w:sz w:val="19"/>
              </w:rPr>
            </w:pPr>
          </w:p>
          <w:p>
            <w:pPr>
              <w:pStyle w:val="TableParagraph"/>
              <w:spacing w:line="145" w:lineRule="exact"/>
              <w:ind w:right="51"/>
              <w:jc w:val="right"/>
              <w:rPr>
                <w:sz w:val="14"/>
              </w:rPr>
            </w:pPr>
            <w:r>
              <w:rPr>
                <w:sz w:val="14"/>
              </w:rPr>
              <w:t>0.0%</w:t>
            </w:r>
          </w:p>
        </w:tc>
      </w:tr>
      <w:tr>
        <w:trPr>
          <w:trHeight w:val="494" w:hRule="atLeast"/>
        </w:trPr>
        <w:tc>
          <w:tcPr>
            <w:tcW w:w="3766" w:type="dxa"/>
          </w:tcPr>
          <w:p>
            <w:pPr>
              <w:pStyle w:val="TableParagraph"/>
              <w:spacing w:before="3"/>
              <w:rPr>
                <w:sz w:val="19"/>
              </w:rPr>
            </w:pPr>
          </w:p>
          <w:p>
            <w:pPr>
              <w:pStyle w:val="TableParagraph"/>
              <w:ind w:left="171"/>
              <w:rPr>
                <w:sz w:val="14"/>
              </w:rPr>
            </w:pPr>
            <w:r>
              <w:rPr>
                <w:w w:val="105"/>
                <w:sz w:val="14"/>
              </w:rPr>
              <w:t>10) TOTAL, EXPENDITURES</w:t>
            </w:r>
          </w:p>
        </w:tc>
        <w:tc>
          <w:tcPr>
            <w:tcW w:w="1518" w:type="dxa"/>
          </w:tcPr>
          <w:p>
            <w:pPr>
              <w:pStyle w:val="TableParagraph"/>
              <w:rPr>
                <w:rFonts w:ascii="Times New Roman"/>
                <w:sz w:val="14"/>
              </w:rPr>
            </w:pPr>
          </w:p>
        </w:tc>
        <w:tc>
          <w:tcPr>
            <w:tcW w:w="1115" w:type="dxa"/>
          </w:tcPr>
          <w:p>
            <w:pPr>
              <w:pStyle w:val="TableParagraph"/>
              <w:rPr>
                <w:rFonts w:ascii="Times New Roman"/>
                <w:sz w:val="14"/>
              </w:rPr>
            </w:pPr>
          </w:p>
        </w:tc>
        <w:tc>
          <w:tcPr>
            <w:tcW w:w="1563" w:type="dxa"/>
          </w:tcPr>
          <w:p>
            <w:pPr>
              <w:pStyle w:val="TableParagraph"/>
              <w:spacing w:before="3"/>
              <w:rPr>
                <w:sz w:val="19"/>
              </w:rPr>
            </w:pPr>
          </w:p>
          <w:p>
            <w:pPr>
              <w:pStyle w:val="TableParagraph"/>
              <w:ind w:right="79"/>
              <w:jc w:val="right"/>
              <w:rPr>
                <w:sz w:val="14"/>
              </w:rPr>
            </w:pPr>
            <w:r>
              <w:rPr>
                <w:sz w:val="14"/>
              </w:rPr>
              <w:t>4,100.00</w:t>
            </w:r>
          </w:p>
        </w:tc>
        <w:tc>
          <w:tcPr>
            <w:tcW w:w="1738" w:type="dxa"/>
          </w:tcPr>
          <w:p>
            <w:pPr>
              <w:pStyle w:val="TableParagraph"/>
              <w:spacing w:before="3"/>
              <w:rPr>
                <w:sz w:val="19"/>
              </w:rPr>
            </w:pPr>
          </w:p>
          <w:p>
            <w:pPr>
              <w:pStyle w:val="TableParagraph"/>
              <w:ind w:right="254"/>
              <w:jc w:val="right"/>
              <w:rPr>
                <w:sz w:val="14"/>
              </w:rPr>
            </w:pPr>
            <w:r>
              <w:rPr>
                <w:sz w:val="14"/>
              </w:rPr>
              <w:t>4,100.00</w:t>
            </w:r>
          </w:p>
        </w:tc>
        <w:tc>
          <w:tcPr>
            <w:tcW w:w="1407" w:type="dxa"/>
            <w:gridSpan w:val="2"/>
          </w:tcPr>
          <w:p>
            <w:pPr>
              <w:pStyle w:val="TableParagraph"/>
              <w:spacing w:before="3"/>
              <w:rPr>
                <w:sz w:val="19"/>
              </w:rPr>
            </w:pPr>
          </w:p>
          <w:p>
            <w:pPr>
              <w:pStyle w:val="TableParagraph"/>
              <w:ind w:right="51"/>
              <w:jc w:val="right"/>
              <w:rPr>
                <w:sz w:val="14"/>
              </w:rPr>
            </w:pPr>
            <w:r>
              <w:rPr>
                <w:sz w:val="14"/>
              </w:rPr>
              <w:t>0.0%</w:t>
            </w:r>
          </w:p>
        </w:tc>
      </w:tr>
      <w:tr>
        <w:trPr>
          <w:trHeight w:val="292" w:hRule="atLeast"/>
        </w:trPr>
        <w:tc>
          <w:tcPr>
            <w:tcW w:w="3766" w:type="dxa"/>
          </w:tcPr>
          <w:p>
            <w:pPr>
              <w:pStyle w:val="TableParagraph"/>
              <w:spacing w:before="111"/>
              <w:ind w:left="50"/>
              <w:rPr>
                <w:b/>
                <w:sz w:val="14"/>
              </w:rPr>
            </w:pPr>
            <w:r>
              <w:rPr>
                <w:b/>
                <w:w w:val="105"/>
                <w:sz w:val="14"/>
              </w:rPr>
              <w:t>C. EXCESS (DEFICIENCY) OF REVENUES</w:t>
            </w:r>
          </w:p>
        </w:tc>
        <w:tc>
          <w:tcPr>
            <w:tcW w:w="1518" w:type="dxa"/>
          </w:tcPr>
          <w:p>
            <w:pPr>
              <w:pStyle w:val="TableParagraph"/>
              <w:rPr>
                <w:rFonts w:ascii="Times New Roman"/>
                <w:sz w:val="14"/>
              </w:rPr>
            </w:pPr>
          </w:p>
        </w:tc>
        <w:tc>
          <w:tcPr>
            <w:tcW w:w="1115" w:type="dxa"/>
          </w:tcPr>
          <w:p>
            <w:pPr>
              <w:pStyle w:val="TableParagraph"/>
              <w:rPr>
                <w:rFonts w:ascii="Times New Roman"/>
                <w:sz w:val="14"/>
              </w:rPr>
            </w:pPr>
          </w:p>
        </w:tc>
        <w:tc>
          <w:tcPr>
            <w:tcW w:w="1563" w:type="dxa"/>
          </w:tcPr>
          <w:p>
            <w:pPr>
              <w:pStyle w:val="TableParagraph"/>
              <w:rPr>
                <w:rFonts w:ascii="Times New Roman"/>
                <w:sz w:val="14"/>
              </w:rPr>
            </w:pPr>
          </w:p>
        </w:tc>
        <w:tc>
          <w:tcPr>
            <w:tcW w:w="1738" w:type="dxa"/>
          </w:tcPr>
          <w:p>
            <w:pPr>
              <w:pStyle w:val="TableParagraph"/>
              <w:rPr>
                <w:rFonts w:ascii="Times New Roman"/>
                <w:sz w:val="14"/>
              </w:rPr>
            </w:pPr>
          </w:p>
        </w:tc>
        <w:tc>
          <w:tcPr>
            <w:tcW w:w="1407" w:type="dxa"/>
            <w:gridSpan w:val="2"/>
          </w:tcPr>
          <w:p>
            <w:pPr>
              <w:pStyle w:val="TableParagraph"/>
              <w:rPr>
                <w:rFonts w:ascii="Times New Roman"/>
                <w:sz w:val="14"/>
              </w:rPr>
            </w:pPr>
          </w:p>
        </w:tc>
      </w:tr>
      <w:tr>
        <w:trPr>
          <w:trHeight w:val="201" w:hRule="atLeast"/>
        </w:trPr>
        <w:tc>
          <w:tcPr>
            <w:tcW w:w="3766" w:type="dxa"/>
          </w:tcPr>
          <w:p>
            <w:pPr>
              <w:pStyle w:val="TableParagraph"/>
              <w:spacing w:before="20"/>
              <w:ind w:left="252"/>
              <w:rPr>
                <w:b/>
                <w:sz w:val="14"/>
              </w:rPr>
            </w:pPr>
            <w:r>
              <w:rPr>
                <w:b/>
                <w:w w:val="105"/>
                <w:sz w:val="14"/>
              </w:rPr>
              <w:t>OVER EXPENDITURES BEFORE OTHER</w:t>
            </w:r>
          </w:p>
        </w:tc>
        <w:tc>
          <w:tcPr>
            <w:tcW w:w="1518" w:type="dxa"/>
          </w:tcPr>
          <w:p>
            <w:pPr>
              <w:pStyle w:val="TableParagraph"/>
              <w:rPr>
                <w:rFonts w:ascii="Times New Roman"/>
                <w:sz w:val="14"/>
              </w:rPr>
            </w:pPr>
          </w:p>
        </w:tc>
        <w:tc>
          <w:tcPr>
            <w:tcW w:w="1115" w:type="dxa"/>
          </w:tcPr>
          <w:p>
            <w:pPr>
              <w:pStyle w:val="TableParagraph"/>
              <w:rPr>
                <w:rFonts w:ascii="Times New Roman"/>
                <w:sz w:val="14"/>
              </w:rPr>
            </w:pPr>
          </w:p>
        </w:tc>
        <w:tc>
          <w:tcPr>
            <w:tcW w:w="1563" w:type="dxa"/>
          </w:tcPr>
          <w:p>
            <w:pPr>
              <w:pStyle w:val="TableParagraph"/>
              <w:rPr>
                <w:rFonts w:ascii="Times New Roman"/>
                <w:sz w:val="14"/>
              </w:rPr>
            </w:pPr>
          </w:p>
        </w:tc>
        <w:tc>
          <w:tcPr>
            <w:tcW w:w="1738" w:type="dxa"/>
          </w:tcPr>
          <w:p>
            <w:pPr>
              <w:pStyle w:val="TableParagraph"/>
              <w:rPr>
                <w:rFonts w:ascii="Times New Roman"/>
                <w:sz w:val="14"/>
              </w:rPr>
            </w:pPr>
          </w:p>
        </w:tc>
        <w:tc>
          <w:tcPr>
            <w:tcW w:w="1407" w:type="dxa"/>
            <w:gridSpan w:val="2"/>
          </w:tcPr>
          <w:p>
            <w:pPr>
              <w:pStyle w:val="TableParagraph"/>
              <w:rPr>
                <w:rFonts w:ascii="Times New Roman"/>
                <w:sz w:val="14"/>
              </w:rPr>
            </w:pPr>
          </w:p>
        </w:tc>
      </w:tr>
      <w:tr>
        <w:trPr>
          <w:trHeight w:val="295" w:hRule="atLeast"/>
        </w:trPr>
        <w:tc>
          <w:tcPr>
            <w:tcW w:w="3766" w:type="dxa"/>
          </w:tcPr>
          <w:p>
            <w:pPr>
              <w:pStyle w:val="TableParagraph"/>
              <w:spacing w:before="20"/>
              <w:ind w:left="252"/>
              <w:rPr>
                <w:b/>
                <w:sz w:val="14"/>
              </w:rPr>
            </w:pPr>
            <w:r>
              <w:rPr>
                <w:b/>
                <w:w w:val="105"/>
                <w:sz w:val="14"/>
              </w:rPr>
              <w:t>FINANCING SOURCES AND USES (A5 - B10)</w:t>
            </w:r>
          </w:p>
        </w:tc>
        <w:tc>
          <w:tcPr>
            <w:tcW w:w="1518" w:type="dxa"/>
          </w:tcPr>
          <w:p>
            <w:pPr>
              <w:pStyle w:val="TableParagraph"/>
              <w:rPr>
                <w:rFonts w:ascii="Times New Roman"/>
                <w:sz w:val="14"/>
              </w:rPr>
            </w:pPr>
          </w:p>
        </w:tc>
        <w:tc>
          <w:tcPr>
            <w:tcW w:w="1115" w:type="dxa"/>
          </w:tcPr>
          <w:p>
            <w:pPr>
              <w:pStyle w:val="TableParagraph"/>
              <w:rPr>
                <w:rFonts w:ascii="Times New Roman"/>
                <w:sz w:val="14"/>
              </w:rPr>
            </w:pPr>
          </w:p>
        </w:tc>
        <w:tc>
          <w:tcPr>
            <w:tcW w:w="1563" w:type="dxa"/>
          </w:tcPr>
          <w:p>
            <w:pPr>
              <w:pStyle w:val="TableParagraph"/>
              <w:spacing w:before="22"/>
              <w:ind w:right="80"/>
              <w:jc w:val="right"/>
              <w:rPr>
                <w:sz w:val="14"/>
              </w:rPr>
            </w:pPr>
            <w:r>
              <w:rPr>
                <w:sz w:val="14"/>
              </w:rPr>
              <w:t>240.00</w:t>
            </w:r>
          </w:p>
        </w:tc>
        <w:tc>
          <w:tcPr>
            <w:tcW w:w="1738" w:type="dxa"/>
          </w:tcPr>
          <w:p>
            <w:pPr>
              <w:pStyle w:val="TableParagraph"/>
              <w:spacing w:before="22"/>
              <w:ind w:right="256"/>
              <w:jc w:val="right"/>
              <w:rPr>
                <w:sz w:val="14"/>
              </w:rPr>
            </w:pPr>
            <w:r>
              <w:rPr>
                <w:sz w:val="14"/>
              </w:rPr>
              <w:t>240.00</w:t>
            </w:r>
          </w:p>
        </w:tc>
        <w:tc>
          <w:tcPr>
            <w:tcW w:w="1407" w:type="dxa"/>
            <w:gridSpan w:val="2"/>
          </w:tcPr>
          <w:p>
            <w:pPr>
              <w:pStyle w:val="TableParagraph"/>
              <w:spacing w:before="22"/>
              <w:ind w:right="51"/>
              <w:jc w:val="right"/>
              <w:rPr>
                <w:sz w:val="14"/>
              </w:rPr>
            </w:pPr>
            <w:r>
              <w:rPr>
                <w:sz w:val="14"/>
              </w:rPr>
              <w:t>0.0%</w:t>
            </w:r>
          </w:p>
        </w:tc>
      </w:tr>
      <w:tr>
        <w:trPr>
          <w:trHeight w:val="271" w:hRule="atLeast"/>
        </w:trPr>
        <w:tc>
          <w:tcPr>
            <w:tcW w:w="3766" w:type="dxa"/>
          </w:tcPr>
          <w:p>
            <w:pPr>
              <w:pStyle w:val="TableParagraph"/>
              <w:spacing w:line="140" w:lineRule="exact" w:before="111"/>
              <w:ind w:left="50"/>
              <w:rPr>
                <w:b/>
                <w:sz w:val="14"/>
              </w:rPr>
            </w:pPr>
            <w:r>
              <w:rPr>
                <w:b/>
                <w:w w:val="105"/>
                <w:sz w:val="14"/>
              </w:rPr>
              <w:t>D. OTHER FINANCING SOURCES/USES</w:t>
            </w:r>
          </w:p>
        </w:tc>
        <w:tc>
          <w:tcPr>
            <w:tcW w:w="7341" w:type="dxa"/>
            <w:gridSpan w:val="6"/>
          </w:tcPr>
          <w:p>
            <w:pPr>
              <w:pStyle w:val="TableParagraph"/>
              <w:rPr>
                <w:rFonts w:ascii="Times New Roman"/>
                <w:sz w:val="14"/>
              </w:rPr>
            </w:pPr>
          </w:p>
        </w:tc>
      </w:tr>
      <w:tr>
        <w:trPr>
          <w:trHeight w:val="426" w:hRule="atLeast"/>
        </w:trPr>
        <w:tc>
          <w:tcPr>
            <w:tcW w:w="3766" w:type="dxa"/>
          </w:tcPr>
          <w:p>
            <w:pPr>
              <w:pStyle w:val="TableParagraph"/>
              <w:spacing w:before="4"/>
              <w:rPr>
                <w:sz w:val="21"/>
              </w:rPr>
            </w:pPr>
          </w:p>
          <w:p>
            <w:pPr>
              <w:pStyle w:val="TableParagraph"/>
              <w:ind w:left="212"/>
              <w:rPr>
                <w:sz w:val="14"/>
              </w:rPr>
            </w:pPr>
            <w:r>
              <w:rPr>
                <w:w w:val="105"/>
                <w:sz w:val="14"/>
              </w:rPr>
              <w:t>1) Interfund Transfers</w:t>
            </w:r>
          </w:p>
        </w:tc>
        <w:tc>
          <w:tcPr>
            <w:tcW w:w="2633" w:type="dxa"/>
            <w:gridSpan w:val="2"/>
          </w:tcPr>
          <w:p>
            <w:pPr>
              <w:pStyle w:val="TableParagraph"/>
              <w:rPr>
                <w:rFonts w:ascii="Times New Roman"/>
                <w:sz w:val="14"/>
              </w:rPr>
            </w:pPr>
          </w:p>
        </w:tc>
        <w:tc>
          <w:tcPr>
            <w:tcW w:w="1563" w:type="dxa"/>
          </w:tcPr>
          <w:p>
            <w:pPr>
              <w:pStyle w:val="TableParagraph"/>
              <w:rPr>
                <w:rFonts w:ascii="Times New Roman"/>
                <w:sz w:val="14"/>
              </w:rPr>
            </w:pPr>
          </w:p>
        </w:tc>
        <w:tc>
          <w:tcPr>
            <w:tcW w:w="1738" w:type="dxa"/>
          </w:tcPr>
          <w:p>
            <w:pPr>
              <w:pStyle w:val="TableParagraph"/>
              <w:rPr>
                <w:rFonts w:ascii="Times New Roman"/>
                <w:sz w:val="14"/>
              </w:rPr>
            </w:pPr>
          </w:p>
        </w:tc>
        <w:tc>
          <w:tcPr>
            <w:tcW w:w="1407" w:type="dxa"/>
            <w:gridSpan w:val="2"/>
          </w:tcPr>
          <w:p>
            <w:pPr>
              <w:pStyle w:val="TableParagraph"/>
              <w:rPr>
                <w:rFonts w:ascii="Times New Roman"/>
                <w:sz w:val="14"/>
              </w:rPr>
            </w:pPr>
          </w:p>
        </w:tc>
      </w:tr>
      <w:tr>
        <w:trPr>
          <w:trHeight w:val="294" w:hRule="atLeast"/>
        </w:trPr>
        <w:tc>
          <w:tcPr>
            <w:tcW w:w="3766" w:type="dxa"/>
          </w:tcPr>
          <w:p>
            <w:pPr>
              <w:pStyle w:val="TableParagraph"/>
              <w:spacing w:before="20"/>
              <w:ind w:left="376"/>
              <w:rPr>
                <w:sz w:val="14"/>
              </w:rPr>
            </w:pPr>
            <w:r>
              <w:rPr>
                <w:w w:val="105"/>
                <w:sz w:val="14"/>
              </w:rPr>
              <w:t>a) Transfers In</w:t>
            </w:r>
          </w:p>
        </w:tc>
        <w:tc>
          <w:tcPr>
            <w:tcW w:w="2633" w:type="dxa"/>
            <w:gridSpan w:val="2"/>
          </w:tcPr>
          <w:p>
            <w:pPr>
              <w:pStyle w:val="TableParagraph"/>
              <w:spacing w:before="20"/>
              <w:ind w:right="149"/>
              <w:jc w:val="right"/>
              <w:rPr>
                <w:sz w:val="14"/>
              </w:rPr>
            </w:pPr>
            <w:r>
              <w:rPr>
                <w:sz w:val="14"/>
              </w:rPr>
              <w:t>8900-8929</w:t>
            </w:r>
          </w:p>
        </w:tc>
        <w:tc>
          <w:tcPr>
            <w:tcW w:w="1563" w:type="dxa"/>
          </w:tcPr>
          <w:p>
            <w:pPr>
              <w:pStyle w:val="TableParagraph"/>
              <w:spacing w:before="20"/>
              <w:ind w:right="80"/>
              <w:jc w:val="right"/>
              <w:rPr>
                <w:sz w:val="14"/>
              </w:rPr>
            </w:pPr>
            <w:r>
              <w:rPr>
                <w:sz w:val="14"/>
              </w:rPr>
              <w:t>0.00</w:t>
            </w:r>
          </w:p>
        </w:tc>
        <w:tc>
          <w:tcPr>
            <w:tcW w:w="1738" w:type="dxa"/>
          </w:tcPr>
          <w:p>
            <w:pPr>
              <w:pStyle w:val="TableParagraph"/>
              <w:spacing w:before="20"/>
              <w:ind w:right="255"/>
              <w:jc w:val="right"/>
              <w:rPr>
                <w:sz w:val="14"/>
              </w:rPr>
            </w:pPr>
            <w:r>
              <w:rPr>
                <w:sz w:val="14"/>
              </w:rPr>
              <w:t>0.00</w:t>
            </w:r>
          </w:p>
        </w:tc>
        <w:tc>
          <w:tcPr>
            <w:tcW w:w="1407" w:type="dxa"/>
            <w:gridSpan w:val="2"/>
          </w:tcPr>
          <w:p>
            <w:pPr>
              <w:pStyle w:val="TableParagraph"/>
              <w:spacing w:before="20"/>
              <w:ind w:right="51"/>
              <w:jc w:val="right"/>
              <w:rPr>
                <w:sz w:val="14"/>
              </w:rPr>
            </w:pPr>
            <w:r>
              <w:rPr>
                <w:sz w:val="14"/>
              </w:rPr>
              <w:t>0.0%</w:t>
            </w:r>
          </w:p>
        </w:tc>
      </w:tr>
      <w:tr>
        <w:trPr>
          <w:trHeight w:val="386" w:hRule="atLeast"/>
        </w:trPr>
        <w:tc>
          <w:tcPr>
            <w:tcW w:w="3766" w:type="dxa"/>
          </w:tcPr>
          <w:p>
            <w:pPr>
              <w:pStyle w:val="TableParagraph"/>
              <w:spacing w:before="112"/>
              <w:ind w:left="376"/>
              <w:rPr>
                <w:sz w:val="14"/>
              </w:rPr>
            </w:pPr>
            <w:r>
              <w:rPr>
                <w:w w:val="105"/>
                <w:sz w:val="14"/>
              </w:rPr>
              <w:t>b) Transfers Out</w:t>
            </w:r>
          </w:p>
        </w:tc>
        <w:tc>
          <w:tcPr>
            <w:tcW w:w="2633" w:type="dxa"/>
            <w:gridSpan w:val="2"/>
          </w:tcPr>
          <w:p>
            <w:pPr>
              <w:pStyle w:val="TableParagraph"/>
              <w:spacing w:before="112"/>
              <w:ind w:right="149"/>
              <w:jc w:val="right"/>
              <w:rPr>
                <w:sz w:val="14"/>
              </w:rPr>
            </w:pPr>
            <w:r>
              <w:rPr>
                <w:sz w:val="14"/>
              </w:rPr>
              <w:t>7600-7629</w:t>
            </w:r>
          </w:p>
        </w:tc>
        <w:tc>
          <w:tcPr>
            <w:tcW w:w="1563" w:type="dxa"/>
          </w:tcPr>
          <w:p>
            <w:pPr>
              <w:pStyle w:val="TableParagraph"/>
              <w:spacing w:before="112"/>
              <w:ind w:right="80"/>
              <w:jc w:val="right"/>
              <w:rPr>
                <w:sz w:val="14"/>
              </w:rPr>
            </w:pPr>
            <w:r>
              <w:rPr>
                <w:sz w:val="14"/>
              </w:rPr>
              <w:t>0.00</w:t>
            </w:r>
          </w:p>
        </w:tc>
        <w:tc>
          <w:tcPr>
            <w:tcW w:w="1738" w:type="dxa"/>
          </w:tcPr>
          <w:p>
            <w:pPr>
              <w:pStyle w:val="TableParagraph"/>
              <w:spacing w:before="112"/>
              <w:ind w:right="255"/>
              <w:jc w:val="right"/>
              <w:rPr>
                <w:sz w:val="14"/>
              </w:rPr>
            </w:pPr>
            <w:r>
              <w:rPr>
                <w:sz w:val="14"/>
              </w:rPr>
              <w:t>0.00</w:t>
            </w:r>
          </w:p>
        </w:tc>
        <w:tc>
          <w:tcPr>
            <w:tcW w:w="1407" w:type="dxa"/>
            <w:gridSpan w:val="2"/>
          </w:tcPr>
          <w:p>
            <w:pPr>
              <w:pStyle w:val="TableParagraph"/>
              <w:spacing w:before="112"/>
              <w:ind w:right="51"/>
              <w:jc w:val="right"/>
              <w:rPr>
                <w:sz w:val="14"/>
              </w:rPr>
            </w:pPr>
            <w:r>
              <w:rPr>
                <w:sz w:val="14"/>
              </w:rPr>
              <w:t>0.0%</w:t>
            </w:r>
          </w:p>
        </w:tc>
      </w:tr>
      <w:tr>
        <w:trPr>
          <w:trHeight w:val="294" w:hRule="atLeast"/>
        </w:trPr>
        <w:tc>
          <w:tcPr>
            <w:tcW w:w="3766" w:type="dxa"/>
          </w:tcPr>
          <w:p>
            <w:pPr>
              <w:pStyle w:val="TableParagraph"/>
              <w:spacing w:before="112"/>
              <w:ind w:left="212"/>
              <w:rPr>
                <w:sz w:val="14"/>
              </w:rPr>
            </w:pPr>
            <w:r>
              <w:rPr>
                <w:w w:val="105"/>
                <w:sz w:val="14"/>
              </w:rPr>
              <w:t>2) Other Sources/Uses</w:t>
            </w:r>
          </w:p>
        </w:tc>
        <w:tc>
          <w:tcPr>
            <w:tcW w:w="2633" w:type="dxa"/>
            <w:gridSpan w:val="2"/>
          </w:tcPr>
          <w:p>
            <w:pPr>
              <w:pStyle w:val="TableParagraph"/>
              <w:rPr>
                <w:rFonts w:ascii="Times New Roman"/>
                <w:sz w:val="14"/>
              </w:rPr>
            </w:pPr>
          </w:p>
        </w:tc>
        <w:tc>
          <w:tcPr>
            <w:tcW w:w="1563" w:type="dxa"/>
          </w:tcPr>
          <w:p>
            <w:pPr>
              <w:pStyle w:val="TableParagraph"/>
              <w:rPr>
                <w:rFonts w:ascii="Times New Roman"/>
                <w:sz w:val="14"/>
              </w:rPr>
            </w:pPr>
          </w:p>
        </w:tc>
        <w:tc>
          <w:tcPr>
            <w:tcW w:w="1738" w:type="dxa"/>
          </w:tcPr>
          <w:p>
            <w:pPr>
              <w:pStyle w:val="TableParagraph"/>
              <w:rPr>
                <w:rFonts w:ascii="Times New Roman"/>
                <w:sz w:val="14"/>
              </w:rPr>
            </w:pPr>
          </w:p>
        </w:tc>
        <w:tc>
          <w:tcPr>
            <w:tcW w:w="1407" w:type="dxa"/>
            <w:gridSpan w:val="2"/>
          </w:tcPr>
          <w:p>
            <w:pPr>
              <w:pStyle w:val="TableParagraph"/>
              <w:rPr>
                <w:rFonts w:ascii="Times New Roman"/>
                <w:sz w:val="14"/>
              </w:rPr>
            </w:pPr>
          </w:p>
        </w:tc>
      </w:tr>
      <w:tr>
        <w:trPr>
          <w:trHeight w:val="294" w:hRule="atLeast"/>
        </w:trPr>
        <w:tc>
          <w:tcPr>
            <w:tcW w:w="3766" w:type="dxa"/>
          </w:tcPr>
          <w:p>
            <w:pPr>
              <w:pStyle w:val="TableParagraph"/>
              <w:spacing w:before="20"/>
              <w:ind w:left="376"/>
              <w:rPr>
                <w:sz w:val="14"/>
              </w:rPr>
            </w:pPr>
            <w:r>
              <w:rPr>
                <w:w w:val="105"/>
                <w:sz w:val="14"/>
              </w:rPr>
              <w:t>a) Sources</w:t>
            </w:r>
          </w:p>
        </w:tc>
        <w:tc>
          <w:tcPr>
            <w:tcW w:w="2633" w:type="dxa"/>
            <w:gridSpan w:val="2"/>
          </w:tcPr>
          <w:p>
            <w:pPr>
              <w:pStyle w:val="TableParagraph"/>
              <w:spacing w:before="20"/>
              <w:ind w:right="149"/>
              <w:jc w:val="right"/>
              <w:rPr>
                <w:sz w:val="14"/>
              </w:rPr>
            </w:pPr>
            <w:r>
              <w:rPr>
                <w:sz w:val="14"/>
              </w:rPr>
              <w:t>8930-8979</w:t>
            </w:r>
          </w:p>
        </w:tc>
        <w:tc>
          <w:tcPr>
            <w:tcW w:w="1563" w:type="dxa"/>
          </w:tcPr>
          <w:p>
            <w:pPr>
              <w:pStyle w:val="TableParagraph"/>
              <w:spacing w:before="20"/>
              <w:ind w:right="80"/>
              <w:jc w:val="right"/>
              <w:rPr>
                <w:sz w:val="14"/>
              </w:rPr>
            </w:pPr>
            <w:r>
              <w:rPr>
                <w:sz w:val="14"/>
              </w:rPr>
              <w:t>0.00</w:t>
            </w:r>
          </w:p>
        </w:tc>
        <w:tc>
          <w:tcPr>
            <w:tcW w:w="1738" w:type="dxa"/>
          </w:tcPr>
          <w:p>
            <w:pPr>
              <w:pStyle w:val="TableParagraph"/>
              <w:spacing w:before="20"/>
              <w:ind w:right="255"/>
              <w:jc w:val="right"/>
              <w:rPr>
                <w:sz w:val="14"/>
              </w:rPr>
            </w:pPr>
            <w:r>
              <w:rPr>
                <w:sz w:val="14"/>
              </w:rPr>
              <w:t>0.00</w:t>
            </w:r>
          </w:p>
        </w:tc>
        <w:tc>
          <w:tcPr>
            <w:tcW w:w="1407" w:type="dxa"/>
            <w:gridSpan w:val="2"/>
          </w:tcPr>
          <w:p>
            <w:pPr>
              <w:pStyle w:val="TableParagraph"/>
              <w:spacing w:before="20"/>
              <w:ind w:right="51"/>
              <w:jc w:val="right"/>
              <w:rPr>
                <w:sz w:val="14"/>
              </w:rPr>
            </w:pPr>
            <w:r>
              <w:rPr>
                <w:sz w:val="14"/>
              </w:rPr>
              <w:t>0.0%</w:t>
            </w:r>
          </w:p>
        </w:tc>
      </w:tr>
      <w:tr>
        <w:trPr>
          <w:trHeight w:val="386" w:hRule="atLeast"/>
        </w:trPr>
        <w:tc>
          <w:tcPr>
            <w:tcW w:w="3766" w:type="dxa"/>
          </w:tcPr>
          <w:p>
            <w:pPr>
              <w:pStyle w:val="TableParagraph"/>
              <w:spacing w:before="112"/>
              <w:ind w:left="376"/>
              <w:rPr>
                <w:sz w:val="14"/>
              </w:rPr>
            </w:pPr>
            <w:r>
              <w:rPr>
                <w:w w:val="105"/>
                <w:sz w:val="14"/>
              </w:rPr>
              <w:t>b) Uses</w:t>
            </w:r>
          </w:p>
        </w:tc>
        <w:tc>
          <w:tcPr>
            <w:tcW w:w="2633" w:type="dxa"/>
            <w:gridSpan w:val="2"/>
          </w:tcPr>
          <w:p>
            <w:pPr>
              <w:pStyle w:val="TableParagraph"/>
              <w:spacing w:before="112"/>
              <w:ind w:right="149"/>
              <w:jc w:val="right"/>
              <w:rPr>
                <w:sz w:val="14"/>
              </w:rPr>
            </w:pPr>
            <w:r>
              <w:rPr>
                <w:sz w:val="14"/>
              </w:rPr>
              <w:t>7630-7699</w:t>
            </w:r>
          </w:p>
        </w:tc>
        <w:tc>
          <w:tcPr>
            <w:tcW w:w="1563" w:type="dxa"/>
          </w:tcPr>
          <w:p>
            <w:pPr>
              <w:pStyle w:val="TableParagraph"/>
              <w:spacing w:before="112"/>
              <w:ind w:right="80"/>
              <w:jc w:val="right"/>
              <w:rPr>
                <w:sz w:val="14"/>
              </w:rPr>
            </w:pPr>
            <w:r>
              <w:rPr>
                <w:sz w:val="14"/>
              </w:rPr>
              <w:t>0.00</w:t>
            </w:r>
          </w:p>
        </w:tc>
        <w:tc>
          <w:tcPr>
            <w:tcW w:w="1738" w:type="dxa"/>
          </w:tcPr>
          <w:p>
            <w:pPr>
              <w:pStyle w:val="TableParagraph"/>
              <w:spacing w:before="112"/>
              <w:ind w:right="255"/>
              <w:jc w:val="right"/>
              <w:rPr>
                <w:sz w:val="14"/>
              </w:rPr>
            </w:pPr>
            <w:r>
              <w:rPr>
                <w:sz w:val="14"/>
              </w:rPr>
              <w:t>0.00</w:t>
            </w:r>
          </w:p>
        </w:tc>
        <w:tc>
          <w:tcPr>
            <w:tcW w:w="1407" w:type="dxa"/>
            <w:gridSpan w:val="2"/>
          </w:tcPr>
          <w:p>
            <w:pPr>
              <w:pStyle w:val="TableParagraph"/>
              <w:spacing w:before="112"/>
              <w:ind w:right="51"/>
              <w:jc w:val="right"/>
              <w:rPr>
                <w:sz w:val="14"/>
              </w:rPr>
            </w:pPr>
            <w:r>
              <w:rPr>
                <w:sz w:val="14"/>
              </w:rPr>
              <w:t>0.0%</w:t>
            </w:r>
          </w:p>
        </w:tc>
      </w:tr>
      <w:tr>
        <w:trPr>
          <w:trHeight w:val="386" w:hRule="atLeast"/>
        </w:trPr>
        <w:tc>
          <w:tcPr>
            <w:tcW w:w="3766" w:type="dxa"/>
          </w:tcPr>
          <w:p>
            <w:pPr>
              <w:pStyle w:val="TableParagraph"/>
              <w:spacing w:before="112"/>
              <w:ind w:left="212"/>
              <w:rPr>
                <w:sz w:val="14"/>
              </w:rPr>
            </w:pPr>
            <w:r>
              <w:rPr>
                <w:w w:val="105"/>
                <w:sz w:val="14"/>
              </w:rPr>
              <w:t>3) Contributions</w:t>
            </w:r>
          </w:p>
        </w:tc>
        <w:tc>
          <w:tcPr>
            <w:tcW w:w="2633" w:type="dxa"/>
            <w:gridSpan w:val="2"/>
          </w:tcPr>
          <w:p>
            <w:pPr>
              <w:pStyle w:val="TableParagraph"/>
              <w:spacing w:before="112"/>
              <w:ind w:right="149"/>
              <w:jc w:val="right"/>
              <w:rPr>
                <w:sz w:val="14"/>
              </w:rPr>
            </w:pPr>
            <w:r>
              <w:rPr>
                <w:sz w:val="14"/>
              </w:rPr>
              <w:t>8980-8999</w:t>
            </w:r>
          </w:p>
        </w:tc>
        <w:tc>
          <w:tcPr>
            <w:tcW w:w="1563" w:type="dxa"/>
          </w:tcPr>
          <w:p>
            <w:pPr>
              <w:pStyle w:val="TableParagraph"/>
              <w:spacing w:before="112"/>
              <w:ind w:right="80"/>
              <w:jc w:val="right"/>
              <w:rPr>
                <w:sz w:val="14"/>
              </w:rPr>
            </w:pPr>
            <w:r>
              <w:rPr>
                <w:sz w:val="14"/>
              </w:rPr>
              <w:t>0.00</w:t>
            </w:r>
          </w:p>
        </w:tc>
        <w:tc>
          <w:tcPr>
            <w:tcW w:w="1738" w:type="dxa"/>
          </w:tcPr>
          <w:p>
            <w:pPr>
              <w:pStyle w:val="TableParagraph"/>
              <w:spacing w:before="112"/>
              <w:ind w:right="255"/>
              <w:jc w:val="right"/>
              <w:rPr>
                <w:sz w:val="14"/>
              </w:rPr>
            </w:pPr>
            <w:r>
              <w:rPr>
                <w:sz w:val="14"/>
              </w:rPr>
              <w:t>0.00</w:t>
            </w:r>
          </w:p>
        </w:tc>
        <w:tc>
          <w:tcPr>
            <w:tcW w:w="1407" w:type="dxa"/>
            <w:gridSpan w:val="2"/>
          </w:tcPr>
          <w:p>
            <w:pPr>
              <w:pStyle w:val="TableParagraph"/>
              <w:spacing w:before="112"/>
              <w:ind w:right="51"/>
              <w:jc w:val="right"/>
              <w:rPr>
                <w:sz w:val="14"/>
              </w:rPr>
            </w:pPr>
            <w:r>
              <w:rPr>
                <w:sz w:val="14"/>
              </w:rPr>
              <w:t>0.0%</w:t>
            </w:r>
          </w:p>
        </w:tc>
      </w:tr>
      <w:tr>
        <w:trPr>
          <w:trHeight w:val="274" w:hRule="atLeast"/>
        </w:trPr>
        <w:tc>
          <w:tcPr>
            <w:tcW w:w="3766" w:type="dxa"/>
          </w:tcPr>
          <w:p>
            <w:pPr>
              <w:pStyle w:val="TableParagraph"/>
              <w:spacing w:line="142" w:lineRule="exact" w:before="112"/>
              <w:ind w:left="212"/>
              <w:rPr>
                <w:sz w:val="14"/>
              </w:rPr>
            </w:pPr>
            <w:r>
              <w:rPr>
                <w:w w:val="105"/>
                <w:sz w:val="14"/>
              </w:rPr>
              <w:t>4) TOTAL, OTHER FINANCING SOURCES/USES</w:t>
            </w:r>
          </w:p>
        </w:tc>
        <w:tc>
          <w:tcPr>
            <w:tcW w:w="2633" w:type="dxa"/>
            <w:gridSpan w:val="2"/>
          </w:tcPr>
          <w:p>
            <w:pPr>
              <w:pStyle w:val="TableParagraph"/>
              <w:rPr>
                <w:rFonts w:ascii="Times New Roman"/>
                <w:sz w:val="14"/>
              </w:rPr>
            </w:pPr>
          </w:p>
        </w:tc>
        <w:tc>
          <w:tcPr>
            <w:tcW w:w="1563" w:type="dxa"/>
          </w:tcPr>
          <w:p>
            <w:pPr>
              <w:pStyle w:val="TableParagraph"/>
              <w:spacing w:line="142" w:lineRule="exact" w:before="112"/>
              <w:ind w:right="80"/>
              <w:jc w:val="right"/>
              <w:rPr>
                <w:sz w:val="14"/>
              </w:rPr>
            </w:pPr>
            <w:r>
              <w:rPr>
                <w:sz w:val="14"/>
              </w:rPr>
              <w:t>0.00</w:t>
            </w:r>
          </w:p>
        </w:tc>
        <w:tc>
          <w:tcPr>
            <w:tcW w:w="1738" w:type="dxa"/>
          </w:tcPr>
          <w:p>
            <w:pPr>
              <w:pStyle w:val="TableParagraph"/>
              <w:spacing w:line="142" w:lineRule="exact" w:before="112"/>
              <w:ind w:right="255"/>
              <w:jc w:val="right"/>
              <w:rPr>
                <w:sz w:val="14"/>
              </w:rPr>
            </w:pPr>
            <w:r>
              <w:rPr>
                <w:sz w:val="14"/>
              </w:rPr>
              <w:t>0.00</w:t>
            </w:r>
          </w:p>
        </w:tc>
        <w:tc>
          <w:tcPr>
            <w:tcW w:w="1407" w:type="dxa"/>
            <w:gridSpan w:val="2"/>
          </w:tcPr>
          <w:p>
            <w:pPr>
              <w:pStyle w:val="TableParagraph"/>
              <w:spacing w:line="142" w:lineRule="exact" w:before="112"/>
              <w:ind w:right="51"/>
              <w:jc w:val="right"/>
              <w:rPr>
                <w:sz w:val="14"/>
              </w:rPr>
            </w:pPr>
            <w:r>
              <w:rPr>
                <w:sz w:val="14"/>
              </w:rPr>
              <w:t>0.0%</w:t>
            </w:r>
          </w:p>
        </w:tc>
      </w:tr>
    </w:tbl>
    <w:p>
      <w:pPr>
        <w:spacing w:after="0" w:line="142" w:lineRule="exact"/>
        <w:jc w:val="right"/>
        <w:rPr>
          <w:sz w:val="14"/>
        </w:rPr>
        <w:sectPr>
          <w:type w:val="continuous"/>
          <w:pgSz w:w="12240" w:h="15840"/>
          <w:pgMar w:top="1500" w:bottom="840" w:left="160" w:right="180"/>
        </w:sectPr>
      </w:pPr>
    </w:p>
    <w:p>
      <w:pPr>
        <w:spacing w:before="0"/>
        <w:ind w:left="322" w:right="-8" w:firstLine="0"/>
        <w:jc w:val="left"/>
        <w:rPr>
          <w:sz w:val="18"/>
        </w:rPr>
      </w:pPr>
      <w:r>
        <w:rPr>
          <w:w w:val="105"/>
          <w:sz w:val="18"/>
        </w:rPr>
        <w:t>Winship-Robbins Elementary Sutter County</w:t>
      </w:r>
    </w:p>
    <w:p>
      <w:pPr>
        <w:spacing w:before="0"/>
        <w:ind w:left="881" w:right="31" w:hanging="560"/>
        <w:jc w:val="left"/>
        <w:rPr>
          <w:sz w:val="18"/>
        </w:rPr>
      </w:pPr>
      <w:r>
        <w:rPr/>
        <w:br w:type="column"/>
      </w:r>
      <w:r>
        <w:rPr>
          <w:w w:val="105"/>
          <w:sz w:val="18"/>
        </w:rPr>
        <w:t>Student</w:t>
      </w:r>
      <w:r>
        <w:rPr>
          <w:spacing w:val="-12"/>
          <w:w w:val="105"/>
          <w:sz w:val="18"/>
        </w:rPr>
        <w:t> </w:t>
      </w:r>
      <w:r>
        <w:rPr>
          <w:w w:val="105"/>
          <w:sz w:val="18"/>
        </w:rPr>
        <w:t>Activity</w:t>
      </w:r>
      <w:r>
        <w:rPr>
          <w:spacing w:val="-18"/>
          <w:w w:val="105"/>
          <w:sz w:val="18"/>
        </w:rPr>
        <w:t> </w:t>
      </w:r>
      <w:r>
        <w:rPr>
          <w:w w:val="105"/>
          <w:sz w:val="18"/>
        </w:rPr>
        <w:t>Special</w:t>
      </w:r>
      <w:r>
        <w:rPr>
          <w:spacing w:val="-14"/>
          <w:w w:val="105"/>
          <w:sz w:val="18"/>
        </w:rPr>
        <w:t> </w:t>
      </w:r>
      <w:r>
        <w:rPr>
          <w:w w:val="105"/>
          <w:sz w:val="18"/>
        </w:rPr>
        <w:t>Revenue</w:t>
      </w:r>
      <w:r>
        <w:rPr>
          <w:spacing w:val="-14"/>
          <w:w w:val="105"/>
          <w:sz w:val="18"/>
        </w:rPr>
        <w:t> </w:t>
      </w:r>
      <w:r>
        <w:rPr>
          <w:w w:val="105"/>
          <w:sz w:val="18"/>
        </w:rPr>
        <w:t>Fund Expenditures by</w:t>
      </w:r>
      <w:r>
        <w:rPr>
          <w:spacing w:val="-12"/>
          <w:w w:val="105"/>
          <w:sz w:val="18"/>
        </w:rPr>
        <w:t> </w:t>
      </w:r>
      <w:r>
        <w:rPr>
          <w:w w:val="105"/>
          <w:sz w:val="18"/>
        </w:rPr>
        <w:t>Function</w:t>
      </w:r>
    </w:p>
    <w:p>
      <w:pPr>
        <w:spacing w:before="0"/>
        <w:ind w:left="0" w:right="300" w:firstLine="0"/>
        <w:jc w:val="right"/>
        <w:rPr>
          <w:sz w:val="18"/>
        </w:rPr>
      </w:pPr>
      <w:r>
        <w:rPr/>
        <w:br w:type="column"/>
      </w:r>
      <w:r>
        <w:rPr>
          <w:w w:val="105"/>
          <w:sz w:val="18"/>
        </w:rPr>
        <w:t>51 71456</w:t>
      </w:r>
      <w:r>
        <w:rPr>
          <w:spacing w:val="-33"/>
          <w:w w:val="105"/>
          <w:sz w:val="18"/>
        </w:rPr>
        <w:t> </w:t>
      </w:r>
      <w:r>
        <w:rPr>
          <w:w w:val="105"/>
          <w:sz w:val="18"/>
        </w:rPr>
        <w:t>0000000</w:t>
      </w:r>
    </w:p>
    <w:p>
      <w:pPr>
        <w:spacing w:before="2"/>
        <w:ind w:left="0" w:right="299" w:firstLine="0"/>
        <w:jc w:val="right"/>
        <w:rPr>
          <w:sz w:val="18"/>
        </w:rPr>
      </w:pPr>
      <w:r>
        <w:rPr>
          <w:w w:val="105"/>
          <w:sz w:val="18"/>
        </w:rPr>
        <w:t>Form</w:t>
      </w:r>
      <w:r>
        <w:rPr>
          <w:spacing w:val="43"/>
          <w:w w:val="105"/>
          <w:sz w:val="18"/>
        </w:rPr>
        <w:t> </w:t>
      </w:r>
      <w:r>
        <w:rPr>
          <w:w w:val="105"/>
          <w:sz w:val="18"/>
        </w:rPr>
        <w:t>08</w:t>
      </w:r>
    </w:p>
    <w:p>
      <w:pPr>
        <w:spacing w:after="0"/>
        <w:jc w:val="right"/>
        <w:rPr>
          <w:sz w:val="18"/>
        </w:rPr>
        <w:sectPr>
          <w:pgSz w:w="12240" w:h="15840"/>
          <w:pgMar w:header="673" w:footer="451" w:top="880" w:bottom="640" w:left="160" w:right="180"/>
          <w:cols w:num="3" w:equalWidth="0">
            <w:col w:w="2771" w:space="1257"/>
            <w:col w:w="3582" w:space="2115"/>
            <w:col w:w="2175"/>
          </w:cols>
        </w:sectPr>
      </w:pPr>
    </w:p>
    <w:p>
      <w:pPr>
        <w:pStyle w:val="BodyText"/>
        <w:rPr>
          <w:sz w:val="20"/>
        </w:rPr>
      </w:pPr>
    </w:p>
    <w:p>
      <w:pPr>
        <w:pStyle w:val="BodyText"/>
        <w:rPr>
          <w:sz w:val="20"/>
        </w:rPr>
      </w:pPr>
    </w:p>
    <w:p>
      <w:pPr>
        <w:pStyle w:val="BodyText"/>
        <w:spacing w:before="4"/>
        <w:rPr>
          <w:sz w:val="20"/>
        </w:rPr>
      </w:pPr>
    </w:p>
    <w:p>
      <w:pPr>
        <w:spacing w:after="0"/>
        <w:rPr>
          <w:sz w:val="20"/>
        </w:rPr>
        <w:sectPr>
          <w:type w:val="continuous"/>
          <w:pgSz w:w="12240" w:h="15840"/>
          <w:pgMar w:top="1500" w:bottom="840" w:left="160" w:right="180"/>
        </w:sectPr>
      </w:pPr>
    </w:p>
    <w:p>
      <w:pPr>
        <w:pStyle w:val="BodyText"/>
        <w:spacing w:before="7"/>
        <w:rPr>
          <w:sz w:val="23"/>
        </w:rPr>
      </w:pPr>
    </w:p>
    <w:p>
      <w:pPr>
        <w:tabs>
          <w:tab w:pos="4409" w:val="left" w:leader="none"/>
          <w:tab w:pos="5803" w:val="left" w:leader="none"/>
        </w:tabs>
        <w:spacing w:before="0"/>
        <w:ind w:left="423" w:right="0" w:firstLine="0"/>
        <w:jc w:val="left"/>
        <w:rPr>
          <w:b/>
          <w:sz w:val="14"/>
        </w:rPr>
      </w:pPr>
      <w:r>
        <w:rPr>
          <w:b/>
          <w:w w:val="105"/>
          <w:sz w:val="14"/>
        </w:rPr>
        <w:t>Description</w:t>
        <w:tab/>
        <w:t>Function</w:t>
      </w:r>
      <w:r>
        <w:rPr>
          <w:b/>
          <w:spacing w:val="-6"/>
          <w:w w:val="105"/>
          <w:sz w:val="14"/>
        </w:rPr>
        <w:t> </w:t>
      </w:r>
      <w:r>
        <w:rPr>
          <w:b/>
          <w:w w:val="105"/>
          <w:sz w:val="14"/>
        </w:rPr>
        <w:t>Codes</w:t>
        <w:tab/>
        <w:t>Object</w:t>
      </w:r>
      <w:r>
        <w:rPr>
          <w:b/>
          <w:spacing w:val="-3"/>
          <w:w w:val="105"/>
          <w:sz w:val="14"/>
        </w:rPr>
        <w:t> </w:t>
      </w:r>
      <w:r>
        <w:rPr>
          <w:b/>
          <w:spacing w:val="-5"/>
          <w:w w:val="105"/>
          <w:sz w:val="14"/>
        </w:rPr>
        <w:t>Codes</w:t>
      </w:r>
    </w:p>
    <w:p>
      <w:pPr>
        <w:spacing w:before="101"/>
        <w:ind w:left="118" w:right="8" w:firstLine="0"/>
        <w:jc w:val="center"/>
        <w:rPr>
          <w:b/>
          <w:sz w:val="14"/>
        </w:rPr>
      </w:pPr>
      <w:r>
        <w:rPr/>
        <w:br w:type="column"/>
      </w:r>
      <w:r>
        <w:rPr>
          <w:b/>
          <w:w w:val="105"/>
          <w:sz w:val="14"/>
        </w:rPr>
        <w:t>2020-21</w:t>
      </w:r>
    </w:p>
    <w:p>
      <w:pPr>
        <w:spacing w:before="10"/>
        <w:ind w:left="118" w:right="12" w:firstLine="0"/>
        <w:jc w:val="center"/>
        <w:rPr>
          <w:b/>
          <w:sz w:val="14"/>
        </w:rPr>
      </w:pPr>
      <w:r>
        <w:rPr/>
        <w:pict>
          <v:group style="position:absolute;margin-left:27.120001pt;margin-top:-31.334087pt;width:554.3pt;height:442.95pt;mso-position-horizontal-relative:page;mso-position-vertical-relative:paragraph;z-index:-314514432" coordorigin="542,-627" coordsize="11086,8859">
            <v:shape style="position:absolute;left:542;top:-627;width:3766;height:814" type="#_x0000_t75" stroked="false">
              <v:imagedata r:id="rId522" o:title=""/>
            </v:shape>
            <v:shape style="position:absolute;left:4300;top:-627;width:7328;height:1402" type="#_x0000_t75" stroked="false">
              <v:imagedata r:id="rId550" o:title=""/>
            </v:shape>
            <v:line style="position:absolute" from="1379,177" to="1379,557" stroked="true" strokeweight=".360003pt" strokecolor="#ffffff">
              <v:stroke dashstyle="solid"/>
            </v:line>
            <v:shape style="position:absolute;left:542;top:172;width:3766;height:603" type="#_x0000_t75" stroked="false">
              <v:imagedata r:id="rId551" o:title=""/>
            </v:shape>
            <v:line style="position:absolute" from="1379,765" to="1379,1145" stroked="true" strokeweight=".360003pt" strokecolor="#ffffff">
              <v:stroke dashstyle="solid"/>
            </v:line>
            <v:shape style="position:absolute;left:6926;top:558;width:4702;height:1359" type="#_x0000_t75" stroked="false">
              <v:imagedata r:id="rId552" o:title=""/>
            </v:shape>
            <v:shape style="position:absolute;left:542;top:760;width:3766;height:7472" type="#_x0000_t75" stroked="false">
              <v:imagedata r:id="rId553" o:title=""/>
            </v:shape>
            <w10:wrap type="none"/>
          </v:group>
        </w:pict>
      </w:r>
      <w:r>
        <w:rPr>
          <w:b/>
          <w:w w:val="105"/>
          <w:sz w:val="14"/>
        </w:rPr>
        <w:t>Estimated Actuals</w:t>
      </w:r>
    </w:p>
    <w:p>
      <w:pPr>
        <w:spacing w:before="101"/>
        <w:ind w:left="423" w:right="0" w:firstLine="0"/>
        <w:jc w:val="left"/>
        <w:rPr>
          <w:b/>
          <w:sz w:val="14"/>
        </w:rPr>
      </w:pPr>
      <w:r>
        <w:rPr/>
        <w:br w:type="column"/>
      </w:r>
      <w:r>
        <w:rPr>
          <w:b/>
          <w:w w:val="105"/>
          <w:sz w:val="14"/>
        </w:rPr>
        <w:t>2021-22</w:t>
      </w:r>
    </w:p>
    <w:p>
      <w:pPr>
        <w:spacing w:before="10"/>
        <w:ind w:left="439" w:right="0" w:firstLine="0"/>
        <w:jc w:val="left"/>
        <w:rPr>
          <w:b/>
          <w:sz w:val="14"/>
        </w:rPr>
      </w:pPr>
      <w:r>
        <w:rPr>
          <w:b/>
          <w:w w:val="105"/>
          <w:sz w:val="14"/>
        </w:rPr>
        <w:t>Budget</w:t>
      </w:r>
    </w:p>
    <w:p>
      <w:pPr>
        <w:spacing w:line="254" w:lineRule="auto" w:before="101"/>
        <w:ind w:left="423" w:right="283" w:firstLine="88"/>
        <w:jc w:val="left"/>
        <w:rPr>
          <w:b/>
          <w:sz w:val="14"/>
        </w:rPr>
      </w:pPr>
      <w:r>
        <w:rPr/>
        <w:br w:type="column"/>
      </w:r>
      <w:r>
        <w:rPr>
          <w:b/>
          <w:w w:val="105"/>
          <w:sz w:val="14"/>
        </w:rPr>
        <w:t>Percent </w:t>
      </w:r>
      <w:r>
        <w:rPr>
          <w:b/>
          <w:sz w:val="14"/>
        </w:rPr>
        <w:t>Difference</w:t>
      </w:r>
    </w:p>
    <w:p>
      <w:pPr>
        <w:spacing w:after="0" w:line="254" w:lineRule="auto"/>
        <w:jc w:val="left"/>
        <w:rPr>
          <w:sz w:val="14"/>
        </w:rPr>
        <w:sectPr>
          <w:type w:val="continuous"/>
          <w:pgSz w:w="12240" w:h="15840"/>
          <w:pgMar w:top="1500" w:bottom="840" w:left="160" w:right="180"/>
          <w:cols w:num="4" w:equalWidth="0">
            <w:col w:w="6741" w:space="40"/>
            <w:col w:w="1445" w:space="203"/>
            <w:col w:w="1000" w:space="473"/>
            <w:col w:w="1998"/>
          </w:cols>
        </w:sectPr>
      </w:pPr>
    </w:p>
    <w:p>
      <w:pPr>
        <w:pStyle w:val="BodyText"/>
        <w:rPr>
          <w:b/>
          <w:sz w:val="10"/>
        </w:rPr>
      </w:pPr>
    </w:p>
    <w:p>
      <w:pPr>
        <w:pStyle w:val="ListParagraph"/>
        <w:numPr>
          <w:ilvl w:val="0"/>
          <w:numId w:val="14"/>
        </w:numPr>
        <w:tabs>
          <w:tab w:pos="604" w:val="left" w:leader="none"/>
        </w:tabs>
        <w:spacing w:line="240" w:lineRule="auto" w:before="101" w:after="0"/>
        <w:ind w:left="603" w:right="0" w:hanging="181"/>
        <w:jc w:val="left"/>
        <w:rPr>
          <w:b/>
          <w:sz w:val="14"/>
        </w:rPr>
      </w:pPr>
      <w:r>
        <w:rPr>
          <w:b/>
          <w:w w:val="105"/>
          <w:sz w:val="14"/>
        </w:rPr>
        <w:t>NET INCREASE (DECREASE) IN</w:t>
      </w:r>
      <w:r>
        <w:rPr>
          <w:b/>
          <w:spacing w:val="-6"/>
          <w:w w:val="105"/>
          <w:sz w:val="14"/>
        </w:rPr>
        <w:t> </w:t>
      </w:r>
      <w:r>
        <w:rPr>
          <w:b/>
          <w:w w:val="105"/>
          <w:sz w:val="14"/>
        </w:rPr>
        <w:t>FUND</w:t>
      </w:r>
    </w:p>
    <w:p>
      <w:pPr>
        <w:tabs>
          <w:tab w:pos="7805" w:val="left" w:leader="none"/>
          <w:tab w:pos="9367" w:val="left" w:leader="none"/>
          <w:tab w:pos="11093" w:val="left" w:leader="none"/>
        </w:tabs>
        <w:spacing w:before="43"/>
        <w:ind w:left="626" w:right="0" w:firstLine="0"/>
        <w:jc w:val="left"/>
        <w:rPr>
          <w:sz w:val="14"/>
        </w:rPr>
      </w:pPr>
      <w:r>
        <w:rPr>
          <w:b/>
          <w:spacing w:val="-3"/>
          <w:w w:val="105"/>
          <w:sz w:val="14"/>
        </w:rPr>
        <w:t>BALANCE </w:t>
      </w:r>
      <w:r>
        <w:rPr>
          <w:b/>
          <w:w w:val="105"/>
          <w:sz w:val="14"/>
        </w:rPr>
        <w:t>(C</w:t>
      </w:r>
      <w:r>
        <w:rPr>
          <w:b/>
          <w:spacing w:val="1"/>
          <w:w w:val="105"/>
          <w:sz w:val="14"/>
        </w:rPr>
        <w:t> </w:t>
      </w:r>
      <w:r>
        <w:rPr>
          <w:b/>
          <w:w w:val="105"/>
          <w:sz w:val="14"/>
        </w:rPr>
        <w:t>+</w:t>
      </w:r>
      <w:r>
        <w:rPr>
          <w:b/>
          <w:spacing w:val="-1"/>
          <w:w w:val="105"/>
          <w:sz w:val="14"/>
        </w:rPr>
        <w:t> </w:t>
      </w:r>
      <w:r>
        <w:rPr>
          <w:b/>
          <w:w w:val="105"/>
          <w:sz w:val="14"/>
        </w:rPr>
        <w:t>D4)</w:t>
        <w:tab/>
      </w:r>
      <w:r>
        <w:rPr>
          <w:w w:val="105"/>
          <w:sz w:val="14"/>
        </w:rPr>
        <w:t>240.00</w:t>
        <w:tab/>
        <w:t>240.00</w:t>
        <w:tab/>
        <w:t>0.0%</w:t>
      </w:r>
    </w:p>
    <w:p>
      <w:pPr>
        <w:pStyle w:val="BodyText"/>
        <w:spacing w:before="7"/>
        <w:rPr>
          <w:sz w:val="10"/>
        </w:rPr>
      </w:pPr>
    </w:p>
    <w:p>
      <w:pPr>
        <w:pStyle w:val="Heading8"/>
        <w:numPr>
          <w:ilvl w:val="0"/>
          <w:numId w:val="14"/>
        </w:numPr>
        <w:tabs>
          <w:tab w:pos="593" w:val="left" w:leader="none"/>
        </w:tabs>
        <w:spacing w:line="240" w:lineRule="auto" w:before="101" w:after="0"/>
        <w:ind w:left="592" w:right="0" w:hanging="170"/>
        <w:jc w:val="left"/>
      </w:pPr>
      <w:r>
        <w:rPr/>
        <w:pict>
          <v:group style="position:absolute;margin-left:215.039993pt;margin-top:33.335945pt;width:366.4pt;height:334.1pt;mso-position-horizontal-relative:page;mso-position-vertical-relative:paragraph;z-index:-314513408" coordorigin="4301,667" coordsize="7328,6682">
            <v:shape style="position:absolute;left:6926;top:666;width:4702;height:728" type="#_x0000_t75" stroked="false">
              <v:imagedata r:id="rId554" o:title=""/>
            </v:shape>
            <v:shape style="position:absolute;left:6926;top:1026;width:4702;height:728" type="#_x0000_t75" stroked="false">
              <v:imagedata r:id="rId555" o:title=""/>
            </v:shape>
            <v:shape style="position:absolute;left:6926;top:1386;width:4702;height:728" type="#_x0000_t75" stroked="false">
              <v:imagedata r:id="rId555" o:title=""/>
            </v:shape>
            <v:shape style="position:absolute;left:6926;top:1746;width:4702;height:728" type="#_x0000_t75" stroked="false">
              <v:imagedata r:id="rId555" o:title=""/>
            </v:shape>
            <v:shape style="position:absolute;left:6926;top:2106;width:4702;height:728" type="#_x0000_t75" stroked="false">
              <v:imagedata r:id="rId555" o:title=""/>
            </v:shape>
            <v:shape style="position:absolute;left:6926;top:2466;width:4702;height:1030" type="#_x0000_t75" stroked="false">
              <v:imagedata r:id="rId556" o:title=""/>
            </v:shape>
            <v:shape style="position:absolute;left:6926;top:3287;width:4702;height:569" type="#_x0000_t75" stroked="false">
              <v:imagedata r:id="rId557" o:title=""/>
            </v:shape>
            <v:shape style="position:absolute;left:6926;top:3489;width:4702;height:728" type="#_x0000_t75" stroked="false">
              <v:imagedata r:id="rId558" o:title=""/>
            </v:shape>
            <v:shape style="position:absolute;left:6926;top:3849;width:4702;height:728" type="#_x0000_t75" stroked="false">
              <v:imagedata r:id="rId559" o:title=""/>
            </v:shape>
            <v:shape style="position:absolute;left:6926;top:4209;width:4702;height:723" type="#_x0000_t75" stroked="false">
              <v:imagedata r:id="rId560" o:title=""/>
            </v:shape>
            <v:shape style="position:absolute;left:8488;top:4569;width:3140;height:723" type="#_x0000_t75" stroked="false">
              <v:imagedata r:id="rId561" o:title=""/>
            </v:shape>
            <v:shape style="position:absolute;left:6926;top:4929;width:1570;height:365" type="#_x0000_t75" stroked="false">
              <v:imagedata r:id="rId562" o:title=""/>
            </v:shape>
            <v:shape style="position:absolute;left:8488;top:4929;width:3140;height:929" type="#_x0000_t75" stroked="false">
              <v:imagedata r:id="rId563" o:title=""/>
            </v:shape>
            <v:shape style="position:absolute;left:6926;top:5289;width:1570;height:569" type="#_x0000_t75" stroked="false">
              <v:imagedata r:id="rId564" o:title=""/>
            </v:shape>
            <v:shape style="position:absolute;left:10051;top:5490;width:1577;height:368" type="#_x0000_t75" stroked="false">
              <v:imagedata r:id="rId565" o:title=""/>
            </v:shape>
            <v:shape style="position:absolute;left:6926;top:5850;width:1570;height:365" type="#_x0000_t75" stroked="false">
              <v:imagedata r:id="rId566" o:title=""/>
            </v:shape>
            <v:shape style="position:absolute;left:8488;top:5850;width:1570;height:365" type="#_x0000_t75" stroked="false">
              <v:imagedata r:id="rId566" o:title=""/>
            </v:shape>
            <v:shape style="position:absolute;left:10051;top:5850;width:1577;height:569" type="#_x0000_t75" stroked="false">
              <v:imagedata r:id="rId567" o:title=""/>
            </v:shape>
            <v:shape style="position:absolute;left:6926;top:6210;width:1570;height:209" type="#_x0000_t75" stroked="false">
              <v:imagedata r:id="rId568" o:title=""/>
            </v:shape>
            <v:shape style="position:absolute;left:8488;top:6210;width:1570;height:209" type="#_x0000_t75" stroked="false">
              <v:imagedata r:id="rId568" o:title=""/>
            </v:shape>
            <v:shape style="position:absolute;left:6926;top:6412;width:1570;height:365" type="#_x0000_t75" stroked="false">
              <v:imagedata r:id="rId566" o:title=""/>
            </v:shape>
            <v:shape style="position:absolute;left:8488;top:6412;width:1570;height:365" type="#_x0000_t75" stroked="false">
              <v:imagedata r:id="rId566" o:title=""/>
            </v:shape>
            <v:shape style="position:absolute;left:6926;top:6772;width:1570;height:209" type="#_x0000_t75" stroked="false">
              <v:imagedata r:id="rId568" o:title=""/>
            </v:shape>
            <v:shape style="position:absolute;left:8488;top:6772;width:1570;height:209" type="#_x0000_t75" stroked="false">
              <v:imagedata r:id="rId568" o:title=""/>
            </v:shape>
            <v:shape style="position:absolute;left:4300;top:6412;width:7328;height:936" type="#_x0000_t75" stroked="false">
              <v:imagedata r:id="rId569" o:title=""/>
            </v:shape>
            <w10:wrap type="none"/>
          </v:group>
        </w:pict>
      </w:r>
      <w:r>
        <w:rPr>
          <w:w w:val="105"/>
        </w:rPr>
        <w:t>FUND BALANCE,</w:t>
      </w:r>
      <w:r>
        <w:rPr>
          <w:spacing w:val="-3"/>
          <w:w w:val="105"/>
        </w:rPr>
        <w:t> </w:t>
      </w:r>
      <w:r>
        <w:rPr>
          <w:w w:val="105"/>
        </w:rPr>
        <w:t>RESERVES</w:t>
      </w:r>
    </w:p>
    <w:p>
      <w:pPr>
        <w:pStyle w:val="BodyText"/>
        <w:spacing w:before="2"/>
        <w:rPr>
          <w:b/>
          <w:sz w:val="21"/>
        </w:rPr>
      </w:pPr>
    </w:p>
    <w:tbl>
      <w:tblPr>
        <w:tblW w:w="0" w:type="auto"/>
        <w:jc w:val="left"/>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523"/>
        <w:gridCol w:w="712"/>
        <w:gridCol w:w="1562"/>
        <w:gridCol w:w="1562"/>
        <w:gridCol w:w="1583"/>
      </w:tblGrid>
      <w:tr>
        <w:trPr>
          <w:trHeight w:val="360" w:hRule="atLeast"/>
        </w:trPr>
        <w:tc>
          <w:tcPr>
            <w:tcW w:w="5523" w:type="dxa"/>
          </w:tcPr>
          <w:p>
            <w:pPr>
              <w:pStyle w:val="TableParagraph"/>
              <w:spacing w:before="1"/>
              <w:ind w:left="50"/>
              <w:rPr>
                <w:sz w:val="14"/>
              </w:rPr>
            </w:pPr>
            <w:r>
              <w:rPr>
                <w:w w:val="105"/>
                <w:sz w:val="14"/>
              </w:rPr>
              <w:t>1) Beginning Fund Balance</w:t>
            </w:r>
          </w:p>
        </w:tc>
        <w:tc>
          <w:tcPr>
            <w:tcW w:w="5419" w:type="dxa"/>
            <w:gridSpan w:val="4"/>
          </w:tcPr>
          <w:p>
            <w:pPr>
              <w:pStyle w:val="TableParagraph"/>
              <w:rPr>
                <w:rFonts w:ascii="Times New Roman"/>
                <w:sz w:val="14"/>
              </w:rPr>
            </w:pPr>
          </w:p>
        </w:tc>
      </w:tr>
      <w:tr>
        <w:trPr>
          <w:trHeight w:val="261" w:hRule="atLeast"/>
        </w:trPr>
        <w:tc>
          <w:tcPr>
            <w:tcW w:w="5523" w:type="dxa"/>
          </w:tcPr>
          <w:p>
            <w:pPr>
              <w:pStyle w:val="TableParagraph"/>
              <w:spacing w:before="1"/>
              <w:ind w:left="214"/>
              <w:rPr>
                <w:sz w:val="14"/>
              </w:rPr>
            </w:pPr>
            <w:r>
              <w:rPr>
                <w:w w:val="105"/>
                <w:sz w:val="14"/>
              </w:rPr>
              <w:t>a) As of July 1 - Unaudited</w:t>
            </w:r>
          </w:p>
        </w:tc>
        <w:tc>
          <w:tcPr>
            <w:tcW w:w="712" w:type="dxa"/>
          </w:tcPr>
          <w:p>
            <w:pPr>
              <w:pStyle w:val="TableParagraph"/>
              <w:spacing w:before="1"/>
              <w:ind w:left="50"/>
              <w:rPr>
                <w:sz w:val="14"/>
              </w:rPr>
            </w:pPr>
            <w:r>
              <w:rPr>
                <w:w w:val="105"/>
                <w:sz w:val="14"/>
              </w:rPr>
              <w:t>9791</w:t>
            </w:r>
          </w:p>
        </w:tc>
        <w:tc>
          <w:tcPr>
            <w:tcW w:w="1562" w:type="dxa"/>
          </w:tcPr>
          <w:p>
            <w:pPr>
              <w:pStyle w:val="TableParagraph"/>
              <w:spacing w:before="1"/>
              <w:ind w:right="77"/>
              <w:jc w:val="right"/>
              <w:rPr>
                <w:sz w:val="14"/>
              </w:rPr>
            </w:pPr>
            <w:r>
              <w:rPr>
                <w:sz w:val="14"/>
              </w:rPr>
              <w:t>0.00</w:t>
            </w:r>
          </w:p>
        </w:tc>
        <w:tc>
          <w:tcPr>
            <w:tcW w:w="1562" w:type="dxa"/>
          </w:tcPr>
          <w:p>
            <w:pPr>
              <w:pStyle w:val="TableParagraph"/>
              <w:spacing w:before="1"/>
              <w:ind w:right="76"/>
              <w:jc w:val="right"/>
              <w:rPr>
                <w:sz w:val="14"/>
              </w:rPr>
            </w:pPr>
            <w:r>
              <w:rPr>
                <w:sz w:val="14"/>
              </w:rPr>
              <w:t>2,033.00</w:t>
            </w:r>
          </w:p>
        </w:tc>
        <w:tc>
          <w:tcPr>
            <w:tcW w:w="1583" w:type="dxa"/>
          </w:tcPr>
          <w:p>
            <w:pPr>
              <w:pStyle w:val="TableParagraph"/>
              <w:spacing w:before="1"/>
              <w:ind w:right="46"/>
              <w:jc w:val="right"/>
              <w:rPr>
                <w:sz w:val="14"/>
              </w:rPr>
            </w:pPr>
            <w:r>
              <w:rPr>
                <w:sz w:val="14"/>
              </w:rPr>
              <w:t>New</w:t>
            </w:r>
          </w:p>
        </w:tc>
      </w:tr>
      <w:tr>
        <w:trPr>
          <w:trHeight w:val="360" w:hRule="atLeast"/>
        </w:trPr>
        <w:tc>
          <w:tcPr>
            <w:tcW w:w="5523" w:type="dxa"/>
          </w:tcPr>
          <w:p>
            <w:pPr>
              <w:pStyle w:val="TableParagraph"/>
              <w:spacing w:before="99"/>
              <w:ind w:left="214"/>
              <w:rPr>
                <w:sz w:val="14"/>
              </w:rPr>
            </w:pPr>
            <w:r>
              <w:rPr>
                <w:w w:val="105"/>
                <w:sz w:val="14"/>
              </w:rPr>
              <w:t>b) Audit Adjustments</w:t>
            </w:r>
          </w:p>
        </w:tc>
        <w:tc>
          <w:tcPr>
            <w:tcW w:w="712" w:type="dxa"/>
          </w:tcPr>
          <w:p>
            <w:pPr>
              <w:pStyle w:val="TableParagraph"/>
              <w:spacing w:before="99"/>
              <w:ind w:left="50"/>
              <w:rPr>
                <w:sz w:val="14"/>
              </w:rPr>
            </w:pPr>
            <w:r>
              <w:rPr>
                <w:w w:val="105"/>
                <w:sz w:val="14"/>
              </w:rPr>
              <w:t>9793</w:t>
            </w:r>
          </w:p>
        </w:tc>
        <w:tc>
          <w:tcPr>
            <w:tcW w:w="1562" w:type="dxa"/>
          </w:tcPr>
          <w:p>
            <w:pPr>
              <w:pStyle w:val="TableParagraph"/>
              <w:spacing w:before="99"/>
              <w:ind w:right="77"/>
              <w:jc w:val="right"/>
              <w:rPr>
                <w:sz w:val="14"/>
              </w:rPr>
            </w:pPr>
            <w:r>
              <w:rPr>
                <w:sz w:val="14"/>
              </w:rPr>
              <w:t>0.00</w:t>
            </w:r>
          </w:p>
        </w:tc>
        <w:tc>
          <w:tcPr>
            <w:tcW w:w="1562" w:type="dxa"/>
          </w:tcPr>
          <w:p>
            <w:pPr>
              <w:pStyle w:val="TableParagraph"/>
              <w:spacing w:before="99"/>
              <w:ind w:right="78"/>
              <w:jc w:val="right"/>
              <w:rPr>
                <w:sz w:val="14"/>
              </w:rPr>
            </w:pPr>
            <w:r>
              <w:rPr>
                <w:sz w:val="14"/>
              </w:rPr>
              <w:t>0.00</w:t>
            </w:r>
          </w:p>
        </w:tc>
        <w:tc>
          <w:tcPr>
            <w:tcW w:w="1583" w:type="dxa"/>
          </w:tcPr>
          <w:p>
            <w:pPr>
              <w:pStyle w:val="TableParagraph"/>
              <w:spacing w:before="99"/>
              <w:ind w:right="48"/>
              <w:jc w:val="right"/>
              <w:rPr>
                <w:sz w:val="14"/>
              </w:rPr>
            </w:pPr>
            <w:r>
              <w:rPr>
                <w:sz w:val="14"/>
              </w:rPr>
              <w:t>0.0%</w:t>
            </w:r>
          </w:p>
        </w:tc>
      </w:tr>
      <w:tr>
        <w:trPr>
          <w:trHeight w:val="360" w:hRule="atLeast"/>
        </w:trPr>
        <w:tc>
          <w:tcPr>
            <w:tcW w:w="5523" w:type="dxa"/>
          </w:tcPr>
          <w:p>
            <w:pPr>
              <w:pStyle w:val="TableParagraph"/>
              <w:spacing w:before="99"/>
              <w:ind w:left="214"/>
              <w:rPr>
                <w:sz w:val="14"/>
              </w:rPr>
            </w:pPr>
            <w:r>
              <w:rPr>
                <w:w w:val="105"/>
                <w:sz w:val="14"/>
              </w:rPr>
              <w:t>c) As of July 1 - Audited (F1a + F1b)</w:t>
            </w:r>
          </w:p>
        </w:tc>
        <w:tc>
          <w:tcPr>
            <w:tcW w:w="712" w:type="dxa"/>
          </w:tcPr>
          <w:p>
            <w:pPr>
              <w:pStyle w:val="TableParagraph"/>
              <w:rPr>
                <w:rFonts w:ascii="Times New Roman"/>
                <w:sz w:val="14"/>
              </w:rPr>
            </w:pPr>
          </w:p>
        </w:tc>
        <w:tc>
          <w:tcPr>
            <w:tcW w:w="1562" w:type="dxa"/>
          </w:tcPr>
          <w:p>
            <w:pPr>
              <w:pStyle w:val="TableParagraph"/>
              <w:spacing w:before="99"/>
              <w:ind w:right="77"/>
              <w:jc w:val="right"/>
              <w:rPr>
                <w:sz w:val="14"/>
              </w:rPr>
            </w:pPr>
            <w:r>
              <w:rPr>
                <w:sz w:val="14"/>
              </w:rPr>
              <w:t>0.00</w:t>
            </w:r>
          </w:p>
        </w:tc>
        <w:tc>
          <w:tcPr>
            <w:tcW w:w="1562" w:type="dxa"/>
          </w:tcPr>
          <w:p>
            <w:pPr>
              <w:pStyle w:val="TableParagraph"/>
              <w:spacing w:before="99"/>
              <w:ind w:right="76"/>
              <w:jc w:val="right"/>
              <w:rPr>
                <w:sz w:val="14"/>
              </w:rPr>
            </w:pPr>
            <w:r>
              <w:rPr>
                <w:sz w:val="14"/>
              </w:rPr>
              <w:t>2,033.00</w:t>
            </w:r>
          </w:p>
        </w:tc>
        <w:tc>
          <w:tcPr>
            <w:tcW w:w="1583" w:type="dxa"/>
          </w:tcPr>
          <w:p>
            <w:pPr>
              <w:pStyle w:val="TableParagraph"/>
              <w:spacing w:before="99"/>
              <w:ind w:right="46"/>
              <w:jc w:val="right"/>
              <w:rPr>
                <w:sz w:val="14"/>
              </w:rPr>
            </w:pPr>
            <w:r>
              <w:rPr>
                <w:sz w:val="14"/>
              </w:rPr>
              <w:t>New</w:t>
            </w:r>
          </w:p>
        </w:tc>
      </w:tr>
      <w:tr>
        <w:trPr>
          <w:trHeight w:val="360" w:hRule="atLeast"/>
        </w:trPr>
        <w:tc>
          <w:tcPr>
            <w:tcW w:w="5523" w:type="dxa"/>
          </w:tcPr>
          <w:p>
            <w:pPr>
              <w:pStyle w:val="TableParagraph"/>
              <w:spacing w:before="99"/>
              <w:ind w:left="214"/>
              <w:rPr>
                <w:sz w:val="14"/>
              </w:rPr>
            </w:pPr>
            <w:r>
              <w:rPr>
                <w:w w:val="105"/>
                <w:sz w:val="14"/>
              </w:rPr>
              <w:t>d) Other Restatements</w:t>
            </w:r>
          </w:p>
        </w:tc>
        <w:tc>
          <w:tcPr>
            <w:tcW w:w="712" w:type="dxa"/>
          </w:tcPr>
          <w:p>
            <w:pPr>
              <w:pStyle w:val="TableParagraph"/>
              <w:spacing w:before="99"/>
              <w:ind w:left="50"/>
              <w:rPr>
                <w:sz w:val="14"/>
              </w:rPr>
            </w:pPr>
            <w:r>
              <w:rPr>
                <w:w w:val="105"/>
                <w:sz w:val="14"/>
              </w:rPr>
              <w:t>9795</w:t>
            </w:r>
          </w:p>
        </w:tc>
        <w:tc>
          <w:tcPr>
            <w:tcW w:w="1562" w:type="dxa"/>
          </w:tcPr>
          <w:p>
            <w:pPr>
              <w:pStyle w:val="TableParagraph"/>
              <w:spacing w:before="99"/>
              <w:ind w:right="76"/>
              <w:jc w:val="right"/>
              <w:rPr>
                <w:sz w:val="14"/>
              </w:rPr>
            </w:pPr>
            <w:r>
              <w:rPr>
                <w:sz w:val="14"/>
              </w:rPr>
              <w:t>1,793.00</w:t>
            </w:r>
          </w:p>
        </w:tc>
        <w:tc>
          <w:tcPr>
            <w:tcW w:w="1562" w:type="dxa"/>
          </w:tcPr>
          <w:p>
            <w:pPr>
              <w:pStyle w:val="TableParagraph"/>
              <w:spacing w:before="99"/>
              <w:ind w:right="78"/>
              <w:jc w:val="right"/>
              <w:rPr>
                <w:sz w:val="14"/>
              </w:rPr>
            </w:pPr>
            <w:r>
              <w:rPr>
                <w:sz w:val="14"/>
              </w:rPr>
              <w:t>0.00</w:t>
            </w:r>
          </w:p>
        </w:tc>
        <w:tc>
          <w:tcPr>
            <w:tcW w:w="1583" w:type="dxa"/>
          </w:tcPr>
          <w:p>
            <w:pPr>
              <w:pStyle w:val="TableParagraph"/>
              <w:spacing w:before="99"/>
              <w:ind w:right="47"/>
              <w:jc w:val="right"/>
              <w:rPr>
                <w:sz w:val="14"/>
              </w:rPr>
            </w:pPr>
            <w:r>
              <w:rPr>
                <w:sz w:val="14"/>
              </w:rPr>
              <w:t>-100.0%</w:t>
            </w:r>
          </w:p>
        </w:tc>
      </w:tr>
      <w:tr>
        <w:trPr>
          <w:trHeight w:val="360" w:hRule="atLeast"/>
        </w:trPr>
        <w:tc>
          <w:tcPr>
            <w:tcW w:w="5523" w:type="dxa"/>
          </w:tcPr>
          <w:p>
            <w:pPr>
              <w:pStyle w:val="TableParagraph"/>
              <w:spacing w:before="99"/>
              <w:ind w:left="214"/>
              <w:rPr>
                <w:sz w:val="14"/>
              </w:rPr>
            </w:pPr>
            <w:r>
              <w:rPr>
                <w:w w:val="105"/>
                <w:sz w:val="14"/>
              </w:rPr>
              <w:t>e) Adjusted Beginning Balance (F1c + F1d)</w:t>
            </w:r>
          </w:p>
        </w:tc>
        <w:tc>
          <w:tcPr>
            <w:tcW w:w="712" w:type="dxa"/>
          </w:tcPr>
          <w:p>
            <w:pPr>
              <w:pStyle w:val="TableParagraph"/>
              <w:rPr>
                <w:rFonts w:ascii="Times New Roman"/>
                <w:sz w:val="14"/>
              </w:rPr>
            </w:pPr>
          </w:p>
        </w:tc>
        <w:tc>
          <w:tcPr>
            <w:tcW w:w="1562" w:type="dxa"/>
          </w:tcPr>
          <w:p>
            <w:pPr>
              <w:pStyle w:val="TableParagraph"/>
              <w:spacing w:before="99"/>
              <w:ind w:right="76"/>
              <w:jc w:val="right"/>
              <w:rPr>
                <w:sz w:val="14"/>
              </w:rPr>
            </w:pPr>
            <w:r>
              <w:rPr>
                <w:sz w:val="14"/>
              </w:rPr>
              <w:t>1,793.00</w:t>
            </w:r>
          </w:p>
        </w:tc>
        <w:tc>
          <w:tcPr>
            <w:tcW w:w="1562" w:type="dxa"/>
          </w:tcPr>
          <w:p>
            <w:pPr>
              <w:pStyle w:val="TableParagraph"/>
              <w:spacing w:before="99"/>
              <w:ind w:right="76"/>
              <w:jc w:val="right"/>
              <w:rPr>
                <w:sz w:val="14"/>
              </w:rPr>
            </w:pPr>
            <w:r>
              <w:rPr>
                <w:sz w:val="14"/>
              </w:rPr>
              <w:t>2,033.00</w:t>
            </w:r>
          </w:p>
        </w:tc>
        <w:tc>
          <w:tcPr>
            <w:tcW w:w="1583" w:type="dxa"/>
          </w:tcPr>
          <w:p>
            <w:pPr>
              <w:pStyle w:val="TableParagraph"/>
              <w:spacing w:before="99"/>
              <w:ind w:right="49"/>
              <w:jc w:val="right"/>
              <w:rPr>
                <w:sz w:val="14"/>
              </w:rPr>
            </w:pPr>
            <w:r>
              <w:rPr>
                <w:sz w:val="14"/>
              </w:rPr>
              <w:t>13.4%</w:t>
            </w:r>
          </w:p>
        </w:tc>
      </w:tr>
      <w:tr>
        <w:trPr>
          <w:trHeight w:val="261" w:hRule="atLeast"/>
        </w:trPr>
        <w:tc>
          <w:tcPr>
            <w:tcW w:w="5523" w:type="dxa"/>
          </w:tcPr>
          <w:p>
            <w:pPr>
              <w:pStyle w:val="TableParagraph"/>
              <w:spacing w:line="142" w:lineRule="exact" w:before="99"/>
              <w:ind w:left="50"/>
              <w:rPr>
                <w:sz w:val="14"/>
              </w:rPr>
            </w:pPr>
            <w:r>
              <w:rPr>
                <w:w w:val="105"/>
                <w:sz w:val="14"/>
              </w:rPr>
              <w:t>2) Ending Balance, June 30 (E + F1e)</w:t>
            </w:r>
          </w:p>
        </w:tc>
        <w:tc>
          <w:tcPr>
            <w:tcW w:w="712" w:type="dxa"/>
          </w:tcPr>
          <w:p>
            <w:pPr>
              <w:pStyle w:val="TableParagraph"/>
              <w:rPr>
                <w:rFonts w:ascii="Times New Roman"/>
                <w:sz w:val="14"/>
              </w:rPr>
            </w:pPr>
          </w:p>
        </w:tc>
        <w:tc>
          <w:tcPr>
            <w:tcW w:w="1562" w:type="dxa"/>
          </w:tcPr>
          <w:p>
            <w:pPr>
              <w:pStyle w:val="TableParagraph"/>
              <w:spacing w:line="142" w:lineRule="exact" w:before="99"/>
              <w:ind w:right="76"/>
              <w:jc w:val="right"/>
              <w:rPr>
                <w:sz w:val="14"/>
              </w:rPr>
            </w:pPr>
            <w:r>
              <w:rPr>
                <w:sz w:val="14"/>
              </w:rPr>
              <w:t>2,033.00</w:t>
            </w:r>
          </w:p>
        </w:tc>
        <w:tc>
          <w:tcPr>
            <w:tcW w:w="1562" w:type="dxa"/>
          </w:tcPr>
          <w:p>
            <w:pPr>
              <w:pStyle w:val="TableParagraph"/>
              <w:spacing w:line="142" w:lineRule="exact" w:before="99"/>
              <w:ind w:right="76"/>
              <w:jc w:val="right"/>
              <w:rPr>
                <w:sz w:val="14"/>
              </w:rPr>
            </w:pPr>
            <w:r>
              <w:rPr>
                <w:sz w:val="14"/>
              </w:rPr>
              <w:t>2,273.00</w:t>
            </w:r>
          </w:p>
        </w:tc>
        <w:tc>
          <w:tcPr>
            <w:tcW w:w="1583" w:type="dxa"/>
          </w:tcPr>
          <w:p>
            <w:pPr>
              <w:pStyle w:val="TableParagraph"/>
              <w:spacing w:line="142" w:lineRule="exact" w:before="99"/>
              <w:ind w:right="49"/>
              <w:jc w:val="right"/>
              <w:rPr>
                <w:sz w:val="14"/>
              </w:rPr>
            </w:pPr>
            <w:r>
              <w:rPr>
                <w:sz w:val="14"/>
              </w:rPr>
              <w:t>11.8%</w:t>
            </w:r>
          </w:p>
        </w:tc>
      </w:tr>
      <w:tr>
        <w:trPr>
          <w:trHeight w:val="460" w:hRule="atLeast"/>
        </w:trPr>
        <w:tc>
          <w:tcPr>
            <w:tcW w:w="5523" w:type="dxa"/>
          </w:tcPr>
          <w:p>
            <w:pPr>
              <w:pStyle w:val="TableParagraph"/>
              <w:spacing w:before="97"/>
              <w:ind w:left="214"/>
              <w:rPr>
                <w:sz w:val="14"/>
              </w:rPr>
            </w:pPr>
            <w:r>
              <w:rPr>
                <w:w w:val="105"/>
                <w:sz w:val="14"/>
              </w:rPr>
              <w:t>Components of Ending Fund Balance</w:t>
            </w:r>
          </w:p>
          <w:p>
            <w:pPr>
              <w:pStyle w:val="TableParagraph"/>
              <w:spacing w:line="142" w:lineRule="exact" w:before="40"/>
              <w:ind w:left="214"/>
              <w:rPr>
                <w:sz w:val="14"/>
              </w:rPr>
            </w:pPr>
            <w:r>
              <w:rPr>
                <w:w w:val="105"/>
                <w:sz w:val="14"/>
              </w:rPr>
              <w:t>a) Nonspendable</w:t>
            </w:r>
          </w:p>
        </w:tc>
        <w:tc>
          <w:tcPr>
            <w:tcW w:w="712" w:type="dxa"/>
          </w:tcPr>
          <w:p>
            <w:pPr>
              <w:pStyle w:val="TableParagraph"/>
              <w:rPr>
                <w:rFonts w:ascii="Times New Roman"/>
                <w:sz w:val="14"/>
              </w:rPr>
            </w:pPr>
          </w:p>
        </w:tc>
        <w:tc>
          <w:tcPr>
            <w:tcW w:w="1562" w:type="dxa"/>
          </w:tcPr>
          <w:p>
            <w:pPr>
              <w:pStyle w:val="TableParagraph"/>
              <w:rPr>
                <w:rFonts w:ascii="Times New Roman"/>
                <w:sz w:val="14"/>
              </w:rPr>
            </w:pPr>
          </w:p>
        </w:tc>
        <w:tc>
          <w:tcPr>
            <w:tcW w:w="1562" w:type="dxa"/>
          </w:tcPr>
          <w:p>
            <w:pPr>
              <w:pStyle w:val="TableParagraph"/>
              <w:rPr>
                <w:rFonts w:ascii="Times New Roman"/>
                <w:sz w:val="14"/>
              </w:rPr>
            </w:pPr>
          </w:p>
        </w:tc>
        <w:tc>
          <w:tcPr>
            <w:tcW w:w="1583" w:type="dxa"/>
          </w:tcPr>
          <w:p>
            <w:pPr>
              <w:pStyle w:val="TableParagraph"/>
              <w:rPr>
                <w:rFonts w:ascii="Times New Roman"/>
                <w:sz w:val="14"/>
              </w:rPr>
            </w:pPr>
          </w:p>
        </w:tc>
      </w:tr>
      <w:tr>
        <w:trPr>
          <w:trHeight w:val="299" w:hRule="atLeast"/>
        </w:trPr>
        <w:tc>
          <w:tcPr>
            <w:tcW w:w="5523" w:type="dxa"/>
          </w:tcPr>
          <w:p>
            <w:pPr>
              <w:pStyle w:val="TableParagraph"/>
              <w:spacing w:before="39"/>
              <w:ind w:left="416"/>
              <w:rPr>
                <w:sz w:val="14"/>
              </w:rPr>
            </w:pPr>
            <w:r>
              <w:rPr>
                <w:w w:val="105"/>
                <w:sz w:val="14"/>
              </w:rPr>
              <w:t>Revolving Cash</w:t>
            </w:r>
          </w:p>
        </w:tc>
        <w:tc>
          <w:tcPr>
            <w:tcW w:w="712" w:type="dxa"/>
          </w:tcPr>
          <w:p>
            <w:pPr>
              <w:pStyle w:val="TableParagraph"/>
              <w:spacing w:before="39"/>
              <w:ind w:left="50"/>
              <w:rPr>
                <w:sz w:val="14"/>
              </w:rPr>
            </w:pPr>
            <w:r>
              <w:rPr>
                <w:w w:val="105"/>
                <w:sz w:val="14"/>
              </w:rPr>
              <w:t>9711</w:t>
            </w:r>
          </w:p>
        </w:tc>
        <w:tc>
          <w:tcPr>
            <w:tcW w:w="1562" w:type="dxa"/>
          </w:tcPr>
          <w:p>
            <w:pPr>
              <w:pStyle w:val="TableParagraph"/>
              <w:spacing w:before="39"/>
              <w:ind w:right="77"/>
              <w:jc w:val="right"/>
              <w:rPr>
                <w:sz w:val="14"/>
              </w:rPr>
            </w:pPr>
            <w:r>
              <w:rPr>
                <w:sz w:val="14"/>
              </w:rPr>
              <w:t>0.00</w:t>
            </w:r>
          </w:p>
        </w:tc>
        <w:tc>
          <w:tcPr>
            <w:tcW w:w="1562" w:type="dxa"/>
          </w:tcPr>
          <w:p>
            <w:pPr>
              <w:pStyle w:val="TableParagraph"/>
              <w:spacing w:before="39"/>
              <w:ind w:right="78"/>
              <w:jc w:val="right"/>
              <w:rPr>
                <w:sz w:val="14"/>
              </w:rPr>
            </w:pPr>
            <w:r>
              <w:rPr>
                <w:sz w:val="14"/>
              </w:rPr>
              <w:t>0.00</w:t>
            </w:r>
          </w:p>
        </w:tc>
        <w:tc>
          <w:tcPr>
            <w:tcW w:w="1583" w:type="dxa"/>
          </w:tcPr>
          <w:p>
            <w:pPr>
              <w:pStyle w:val="TableParagraph"/>
              <w:spacing w:before="39"/>
              <w:ind w:right="48"/>
              <w:jc w:val="right"/>
              <w:rPr>
                <w:sz w:val="14"/>
              </w:rPr>
            </w:pPr>
            <w:r>
              <w:rPr>
                <w:sz w:val="14"/>
              </w:rPr>
              <w:t>0.0%</w:t>
            </w:r>
          </w:p>
        </w:tc>
      </w:tr>
      <w:tr>
        <w:trPr>
          <w:trHeight w:val="360" w:hRule="atLeast"/>
        </w:trPr>
        <w:tc>
          <w:tcPr>
            <w:tcW w:w="5523" w:type="dxa"/>
          </w:tcPr>
          <w:p>
            <w:pPr>
              <w:pStyle w:val="TableParagraph"/>
              <w:spacing w:before="99"/>
              <w:ind w:left="416"/>
              <w:rPr>
                <w:sz w:val="14"/>
              </w:rPr>
            </w:pPr>
            <w:r>
              <w:rPr>
                <w:w w:val="105"/>
                <w:sz w:val="14"/>
              </w:rPr>
              <w:t>Stores</w:t>
            </w:r>
          </w:p>
        </w:tc>
        <w:tc>
          <w:tcPr>
            <w:tcW w:w="712" w:type="dxa"/>
          </w:tcPr>
          <w:p>
            <w:pPr>
              <w:pStyle w:val="TableParagraph"/>
              <w:spacing w:before="99"/>
              <w:ind w:left="50"/>
              <w:rPr>
                <w:sz w:val="14"/>
              </w:rPr>
            </w:pPr>
            <w:r>
              <w:rPr>
                <w:w w:val="105"/>
                <w:sz w:val="14"/>
              </w:rPr>
              <w:t>9712</w:t>
            </w:r>
          </w:p>
        </w:tc>
        <w:tc>
          <w:tcPr>
            <w:tcW w:w="1562" w:type="dxa"/>
          </w:tcPr>
          <w:p>
            <w:pPr>
              <w:pStyle w:val="TableParagraph"/>
              <w:spacing w:before="99"/>
              <w:ind w:right="77"/>
              <w:jc w:val="right"/>
              <w:rPr>
                <w:sz w:val="14"/>
              </w:rPr>
            </w:pPr>
            <w:r>
              <w:rPr>
                <w:sz w:val="14"/>
              </w:rPr>
              <w:t>0.00</w:t>
            </w:r>
          </w:p>
        </w:tc>
        <w:tc>
          <w:tcPr>
            <w:tcW w:w="1562" w:type="dxa"/>
          </w:tcPr>
          <w:p>
            <w:pPr>
              <w:pStyle w:val="TableParagraph"/>
              <w:spacing w:before="99"/>
              <w:ind w:right="78"/>
              <w:jc w:val="right"/>
              <w:rPr>
                <w:sz w:val="14"/>
              </w:rPr>
            </w:pPr>
            <w:r>
              <w:rPr>
                <w:sz w:val="14"/>
              </w:rPr>
              <w:t>0.00</w:t>
            </w:r>
          </w:p>
        </w:tc>
        <w:tc>
          <w:tcPr>
            <w:tcW w:w="1583" w:type="dxa"/>
          </w:tcPr>
          <w:p>
            <w:pPr>
              <w:pStyle w:val="TableParagraph"/>
              <w:spacing w:before="99"/>
              <w:ind w:right="48"/>
              <w:jc w:val="right"/>
              <w:rPr>
                <w:sz w:val="14"/>
              </w:rPr>
            </w:pPr>
            <w:r>
              <w:rPr>
                <w:sz w:val="14"/>
              </w:rPr>
              <w:t>0.0%</w:t>
            </w:r>
          </w:p>
        </w:tc>
      </w:tr>
      <w:tr>
        <w:trPr>
          <w:trHeight w:val="360" w:hRule="atLeast"/>
        </w:trPr>
        <w:tc>
          <w:tcPr>
            <w:tcW w:w="5523" w:type="dxa"/>
          </w:tcPr>
          <w:p>
            <w:pPr>
              <w:pStyle w:val="TableParagraph"/>
              <w:spacing w:before="99"/>
              <w:ind w:left="416"/>
              <w:rPr>
                <w:sz w:val="14"/>
              </w:rPr>
            </w:pPr>
            <w:r>
              <w:rPr>
                <w:w w:val="105"/>
                <w:sz w:val="14"/>
              </w:rPr>
              <w:t>Prepaid Items</w:t>
            </w:r>
          </w:p>
        </w:tc>
        <w:tc>
          <w:tcPr>
            <w:tcW w:w="712" w:type="dxa"/>
          </w:tcPr>
          <w:p>
            <w:pPr>
              <w:pStyle w:val="TableParagraph"/>
              <w:spacing w:before="99"/>
              <w:ind w:left="50"/>
              <w:rPr>
                <w:sz w:val="14"/>
              </w:rPr>
            </w:pPr>
            <w:r>
              <w:rPr>
                <w:w w:val="105"/>
                <w:sz w:val="14"/>
              </w:rPr>
              <w:t>9713</w:t>
            </w:r>
          </w:p>
        </w:tc>
        <w:tc>
          <w:tcPr>
            <w:tcW w:w="1562" w:type="dxa"/>
          </w:tcPr>
          <w:p>
            <w:pPr>
              <w:pStyle w:val="TableParagraph"/>
              <w:spacing w:before="99"/>
              <w:ind w:right="77"/>
              <w:jc w:val="right"/>
              <w:rPr>
                <w:sz w:val="14"/>
              </w:rPr>
            </w:pPr>
            <w:r>
              <w:rPr>
                <w:sz w:val="14"/>
              </w:rPr>
              <w:t>0.00</w:t>
            </w:r>
          </w:p>
        </w:tc>
        <w:tc>
          <w:tcPr>
            <w:tcW w:w="1562" w:type="dxa"/>
          </w:tcPr>
          <w:p>
            <w:pPr>
              <w:pStyle w:val="TableParagraph"/>
              <w:spacing w:before="99"/>
              <w:ind w:right="78"/>
              <w:jc w:val="right"/>
              <w:rPr>
                <w:sz w:val="14"/>
              </w:rPr>
            </w:pPr>
            <w:r>
              <w:rPr>
                <w:sz w:val="14"/>
              </w:rPr>
              <w:t>0.00</w:t>
            </w:r>
          </w:p>
        </w:tc>
        <w:tc>
          <w:tcPr>
            <w:tcW w:w="1583" w:type="dxa"/>
          </w:tcPr>
          <w:p>
            <w:pPr>
              <w:pStyle w:val="TableParagraph"/>
              <w:spacing w:before="99"/>
              <w:ind w:right="48"/>
              <w:jc w:val="right"/>
              <w:rPr>
                <w:sz w:val="14"/>
              </w:rPr>
            </w:pPr>
            <w:r>
              <w:rPr>
                <w:sz w:val="14"/>
              </w:rPr>
              <w:t>0.0%</w:t>
            </w:r>
          </w:p>
        </w:tc>
      </w:tr>
      <w:tr>
        <w:trPr>
          <w:trHeight w:val="261" w:hRule="atLeast"/>
        </w:trPr>
        <w:tc>
          <w:tcPr>
            <w:tcW w:w="5523" w:type="dxa"/>
          </w:tcPr>
          <w:p>
            <w:pPr>
              <w:pStyle w:val="TableParagraph"/>
              <w:spacing w:line="142" w:lineRule="exact" w:before="99"/>
              <w:ind w:left="416"/>
              <w:rPr>
                <w:sz w:val="14"/>
              </w:rPr>
            </w:pPr>
            <w:r>
              <w:rPr>
                <w:w w:val="105"/>
                <w:sz w:val="14"/>
              </w:rPr>
              <w:t>All Others</w:t>
            </w:r>
          </w:p>
        </w:tc>
        <w:tc>
          <w:tcPr>
            <w:tcW w:w="712" w:type="dxa"/>
          </w:tcPr>
          <w:p>
            <w:pPr>
              <w:pStyle w:val="TableParagraph"/>
              <w:spacing w:line="142" w:lineRule="exact" w:before="99"/>
              <w:ind w:left="50"/>
              <w:rPr>
                <w:sz w:val="14"/>
              </w:rPr>
            </w:pPr>
            <w:r>
              <w:rPr>
                <w:w w:val="105"/>
                <w:sz w:val="14"/>
              </w:rPr>
              <w:t>9719</w:t>
            </w:r>
          </w:p>
        </w:tc>
        <w:tc>
          <w:tcPr>
            <w:tcW w:w="1562" w:type="dxa"/>
          </w:tcPr>
          <w:p>
            <w:pPr>
              <w:pStyle w:val="TableParagraph"/>
              <w:spacing w:line="142" w:lineRule="exact" w:before="99"/>
              <w:ind w:right="77"/>
              <w:jc w:val="right"/>
              <w:rPr>
                <w:sz w:val="14"/>
              </w:rPr>
            </w:pPr>
            <w:r>
              <w:rPr>
                <w:sz w:val="14"/>
              </w:rPr>
              <w:t>0.00</w:t>
            </w:r>
          </w:p>
        </w:tc>
        <w:tc>
          <w:tcPr>
            <w:tcW w:w="1562" w:type="dxa"/>
          </w:tcPr>
          <w:p>
            <w:pPr>
              <w:pStyle w:val="TableParagraph"/>
              <w:spacing w:line="142" w:lineRule="exact" w:before="99"/>
              <w:ind w:right="78"/>
              <w:jc w:val="right"/>
              <w:rPr>
                <w:sz w:val="14"/>
              </w:rPr>
            </w:pPr>
            <w:r>
              <w:rPr>
                <w:sz w:val="14"/>
              </w:rPr>
              <w:t>0.00</w:t>
            </w:r>
          </w:p>
        </w:tc>
        <w:tc>
          <w:tcPr>
            <w:tcW w:w="1583" w:type="dxa"/>
          </w:tcPr>
          <w:p>
            <w:pPr>
              <w:pStyle w:val="TableParagraph"/>
              <w:spacing w:line="142" w:lineRule="exact" w:before="99"/>
              <w:ind w:right="48"/>
              <w:jc w:val="right"/>
              <w:rPr>
                <w:sz w:val="14"/>
              </w:rPr>
            </w:pPr>
            <w:r>
              <w:rPr>
                <w:sz w:val="14"/>
              </w:rPr>
              <w:t>0.0%</w:t>
            </w:r>
          </w:p>
        </w:tc>
      </w:tr>
      <w:tr>
        <w:trPr>
          <w:trHeight w:val="360" w:hRule="atLeast"/>
        </w:trPr>
        <w:tc>
          <w:tcPr>
            <w:tcW w:w="6235" w:type="dxa"/>
            <w:gridSpan w:val="2"/>
          </w:tcPr>
          <w:p>
            <w:pPr>
              <w:pStyle w:val="TableParagraph"/>
              <w:tabs>
                <w:tab w:pos="5898" w:val="right" w:leader="none"/>
              </w:tabs>
              <w:spacing w:line="142" w:lineRule="exact" w:before="197"/>
              <w:ind w:left="214"/>
              <w:rPr>
                <w:sz w:val="14"/>
              </w:rPr>
            </w:pPr>
            <w:r>
              <w:rPr>
                <w:w w:val="105"/>
                <w:sz w:val="14"/>
              </w:rPr>
              <w:t>b)</w:t>
            </w:r>
            <w:r>
              <w:rPr>
                <w:spacing w:val="-1"/>
                <w:w w:val="105"/>
                <w:sz w:val="14"/>
              </w:rPr>
              <w:t> </w:t>
            </w:r>
            <w:r>
              <w:rPr>
                <w:w w:val="105"/>
                <w:sz w:val="14"/>
              </w:rPr>
              <w:t>Restricted</w:t>
              <w:tab/>
              <w:t>9740</w:t>
            </w:r>
          </w:p>
        </w:tc>
        <w:tc>
          <w:tcPr>
            <w:tcW w:w="1562" w:type="dxa"/>
          </w:tcPr>
          <w:p>
            <w:pPr>
              <w:pStyle w:val="TableParagraph"/>
              <w:spacing w:before="2"/>
              <w:rPr>
                <w:b/>
                <w:sz w:val="17"/>
              </w:rPr>
            </w:pPr>
          </w:p>
          <w:p>
            <w:pPr>
              <w:pStyle w:val="TableParagraph"/>
              <w:spacing w:line="142" w:lineRule="exact"/>
              <w:ind w:right="76"/>
              <w:jc w:val="right"/>
              <w:rPr>
                <w:sz w:val="14"/>
              </w:rPr>
            </w:pPr>
            <w:r>
              <w:rPr>
                <w:sz w:val="14"/>
              </w:rPr>
              <w:t>2,033.00</w:t>
            </w:r>
          </w:p>
        </w:tc>
        <w:tc>
          <w:tcPr>
            <w:tcW w:w="1562" w:type="dxa"/>
          </w:tcPr>
          <w:p>
            <w:pPr>
              <w:pStyle w:val="TableParagraph"/>
              <w:spacing w:before="2"/>
              <w:rPr>
                <w:b/>
                <w:sz w:val="17"/>
              </w:rPr>
            </w:pPr>
          </w:p>
          <w:p>
            <w:pPr>
              <w:pStyle w:val="TableParagraph"/>
              <w:spacing w:line="142" w:lineRule="exact"/>
              <w:ind w:right="76"/>
              <w:jc w:val="right"/>
              <w:rPr>
                <w:sz w:val="14"/>
              </w:rPr>
            </w:pPr>
            <w:r>
              <w:rPr>
                <w:sz w:val="14"/>
              </w:rPr>
              <w:t>2,273.00</w:t>
            </w:r>
          </w:p>
        </w:tc>
        <w:tc>
          <w:tcPr>
            <w:tcW w:w="1583" w:type="dxa"/>
          </w:tcPr>
          <w:p>
            <w:pPr>
              <w:pStyle w:val="TableParagraph"/>
              <w:spacing w:before="2"/>
              <w:rPr>
                <w:b/>
                <w:sz w:val="17"/>
              </w:rPr>
            </w:pPr>
          </w:p>
          <w:p>
            <w:pPr>
              <w:pStyle w:val="TableParagraph"/>
              <w:spacing w:line="142" w:lineRule="exact"/>
              <w:ind w:right="49"/>
              <w:jc w:val="right"/>
              <w:rPr>
                <w:sz w:val="14"/>
              </w:rPr>
            </w:pPr>
            <w:r>
              <w:rPr>
                <w:sz w:val="14"/>
              </w:rPr>
              <w:t>11.8%</w:t>
            </w:r>
          </w:p>
        </w:tc>
      </w:tr>
      <w:tr>
        <w:trPr>
          <w:trHeight w:val="362" w:hRule="atLeast"/>
        </w:trPr>
        <w:tc>
          <w:tcPr>
            <w:tcW w:w="5523" w:type="dxa"/>
          </w:tcPr>
          <w:p>
            <w:pPr>
              <w:pStyle w:val="TableParagraph"/>
              <w:spacing w:before="2"/>
              <w:rPr>
                <w:b/>
                <w:sz w:val="17"/>
              </w:rPr>
            </w:pPr>
          </w:p>
          <w:p>
            <w:pPr>
              <w:pStyle w:val="TableParagraph"/>
              <w:spacing w:line="145" w:lineRule="exact"/>
              <w:ind w:left="214"/>
              <w:rPr>
                <w:sz w:val="14"/>
              </w:rPr>
            </w:pPr>
            <w:r>
              <w:rPr>
                <w:w w:val="105"/>
                <w:sz w:val="14"/>
              </w:rPr>
              <w:t>c) Committed</w:t>
            </w:r>
          </w:p>
        </w:tc>
        <w:tc>
          <w:tcPr>
            <w:tcW w:w="712" w:type="dxa"/>
          </w:tcPr>
          <w:p>
            <w:pPr>
              <w:pStyle w:val="TableParagraph"/>
              <w:rPr>
                <w:rFonts w:ascii="Times New Roman"/>
                <w:sz w:val="14"/>
              </w:rPr>
            </w:pPr>
          </w:p>
        </w:tc>
        <w:tc>
          <w:tcPr>
            <w:tcW w:w="1562" w:type="dxa"/>
          </w:tcPr>
          <w:p>
            <w:pPr>
              <w:pStyle w:val="TableParagraph"/>
              <w:rPr>
                <w:rFonts w:ascii="Times New Roman"/>
                <w:sz w:val="14"/>
              </w:rPr>
            </w:pPr>
          </w:p>
        </w:tc>
        <w:tc>
          <w:tcPr>
            <w:tcW w:w="1562" w:type="dxa"/>
            <w:shd w:val="clear" w:color="auto" w:fill="DFDFDF"/>
          </w:tcPr>
          <w:p>
            <w:pPr>
              <w:pStyle w:val="TableParagraph"/>
              <w:rPr>
                <w:rFonts w:ascii="Times New Roman"/>
                <w:sz w:val="14"/>
              </w:rPr>
            </w:pPr>
          </w:p>
        </w:tc>
        <w:tc>
          <w:tcPr>
            <w:tcW w:w="1583" w:type="dxa"/>
            <w:shd w:val="clear" w:color="auto" w:fill="DFDFDF"/>
          </w:tcPr>
          <w:p>
            <w:pPr>
              <w:pStyle w:val="TableParagraph"/>
              <w:rPr>
                <w:rFonts w:ascii="Times New Roman"/>
                <w:sz w:val="14"/>
              </w:rPr>
            </w:pPr>
          </w:p>
        </w:tc>
      </w:tr>
      <w:tr>
        <w:trPr>
          <w:trHeight w:val="201" w:hRule="atLeast"/>
        </w:trPr>
        <w:tc>
          <w:tcPr>
            <w:tcW w:w="5523" w:type="dxa"/>
          </w:tcPr>
          <w:p>
            <w:pPr>
              <w:pStyle w:val="TableParagraph"/>
              <w:spacing w:line="145" w:lineRule="exact" w:before="36"/>
              <w:ind w:left="416"/>
              <w:rPr>
                <w:sz w:val="14"/>
              </w:rPr>
            </w:pPr>
            <w:r>
              <w:rPr>
                <w:w w:val="105"/>
                <w:sz w:val="14"/>
              </w:rPr>
              <w:t>Stabilization Arrangements</w:t>
            </w:r>
          </w:p>
        </w:tc>
        <w:tc>
          <w:tcPr>
            <w:tcW w:w="712" w:type="dxa"/>
          </w:tcPr>
          <w:p>
            <w:pPr>
              <w:pStyle w:val="TableParagraph"/>
              <w:spacing w:line="145" w:lineRule="exact" w:before="36"/>
              <w:ind w:left="50"/>
              <w:rPr>
                <w:sz w:val="14"/>
              </w:rPr>
            </w:pPr>
            <w:r>
              <w:rPr>
                <w:w w:val="105"/>
                <w:sz w:val="14"/>
              </w:rPr>
              <w:t>9750</w:t>
            </w:r>
          </w:p>
        </w:tc>
        <w:tc>
          <w:tcPr>
            <w:tcW w:w="1562" w:type="dxa"/>
            <w:shd w:val="clear" w:color="auto" w:fill="DFDFDF"/>
          </w:tcPr>
          <w:p>
            <w:pPr>
              <w:pStyle w:val="TableParagraph"/>
              <w:spacing w:line="145" w:lineRule="exact" w:before="36"/>
              <w:ind w:right="77"/>
              <w:jc w:val="right"/>
              <w:rPr>
                <w:sz w:val="14"/>
              </w:rPr>
            </w:pPr>
            <w:r>
              <w:rPr>
                <w:sz w:val="14"/>
              </w:rPr>
              <w:t>0.00</w:t>
            </w:r>
          </w:p>
        </w:tc>
        <w:tc>
          <w:tcPr>
            <w:tcW w:w="1562" w:type="dxa"/>
            <w:shd w:val="clear" w:color="auto" w:fill="DFDFDF"/>
          </w:tcPr>
          <w:p>
            <w:pPr>
              <w:pStyle w:val="TableParagraph"/>
              <w:spacing w:line="145" w:lineRule="exact" w:before="36"/>
              <w:ind w:right="78"/>
              <w:jc w:val="right"/>
              <w:rPr>
                <w:sz w:val="14"/>
              </w:rPr>
            </w:pPr>
            <w:r>
              <w:rPr>
                <w:sz w:val="14"/>
              </w:rPr>
              <w:t>0.00</w:t>
            </w:r>
          </w:p>
        </w:tc>
        <w:tc>
          <w:tcPr>
            <w:tcW w:w="1583" w:type="dxa"/>
            <w:shd w:val="clear" w:color="auto" w:fill="DFDFDF"/>
          </w:tcPr>
          <w:p>
            <w:pPr>
              <w:pStyle w:val="TableParagraph"/>
              <w:spacing w:line="145" w:lineRule="exact" w:before="36"/>
              <w:ind w:right="48"/>
              <w:jc w:val="right"/>
              <w:rPr>
                <w:sz w:val="14"/>
              </w:rPr>
            </w:pPr>
            <w:r>
              <w:rPr>
                <w:sz w:val="14"/>
              </w:rPr>
              <w:t>0.0%</w:t>
            </w:r>
          </w:p>
        </w:tc>
      </w:tr>
      <w:tr>
        <w:trPr>
          <w:trHeight w:val="360" w:hRule="atLeast"/>
        </w:trPr>
        <w:tc>
          <w:tcPr>
            <w:tcW w:w="5523" w:type="dxa"/>
          </w:tcPr>
          <w:p>
            <w:pPr>
              <w:pStyle w:val="TableParagraph"/>
              <w:spacing w:before="11"/>
              <w:rPr>
                <w:b/>
                <w:sz w:val="16"/>
              </w:rPr>
            </w:pPr>
          </w:p>
          <w:p>
            <w:pPr>
              <w:pStyle w:val="TableParagraph"/>
              <w:spacing w:line="145" w:lineRule="exact"/>
              <w:ind w:left="416"/>
              <w:rPr>
                <w:sz w:val="14"/>
              </w:rPr>
            </w:pPr>
            <w:r>
              <w:rPr>
                <w:w w:val="105"/>
                <w:sz w:val="14"/>
              </w:rPr>
              <w:t>Other Commitments (by Resource/Object)</w:t>
            </w:r>
          </w:p>
        </w:tc>
        <w:tc>
          <w:tcPr>
            <w:tcW w:w="712" w:type="dxa"/>
          </w:tcPr>
          <w:p>
            <w:pPr>
              <w:pStyle w:val="TableParagraph"/>
              <w:spacing w:before="11"/>
              <w:rPr>
                <w:b/>
                <w:sz w:val="16"/>
              </w:rPr>
            </w:pPr>
          </w:p>
          <w:p>
            <w:pPr>
              <w:pStyle w:val="TableParagraph"/>
              <w:spacing w:line="145" w:lineRule="exact"/>
              <w:ind w:left="50"/>
              <w:rPr>
                <w:sz w:val="14"/>
              </w:rPr>
            </w:pPr>
            <w:r>
              <w:rPr>
                <w:w w:val="105"/>
                <w:sz w:val="14"/>
              </w:rPr>
              <w:t>9760</w:t>
            </w:r>
          </w:p>
        </w:tc>
        <w:tc>
          <w:tcPr>
            <w:tcW w:w="1562" w:type="dxa"/>
          </w:tcPr>
          <w:p>
            <w:pPr>
              <w:pStyle w:val="TableParagraph"/>
              <w:spacing w:before="11"/>
              <w:rPr>
                <w:b/>
                <w:sz w:val="16"/>
              </w:rPr>
            </w:pPr>
          </w:p>
          <w:p>
            <w:pPr>
              <w:pStyle w:val="TableParagraph"/>
              <w:spacing w:line="145" w:lineRule="exact"/>
              <w:ind w:right="77"/>
              <w:jc w:val="right"/>
              <w:rPr>
                <w:sz w:val="14"/>
              </w:rPr>
            </w:pPr>
            <w:r>
              <w:rPr>
                <w:sz w:val="14"/>
              </w:rPr>
              <w:t>0.00</w:t>
            </w:r>
          </w:p>
        </w:tc>
        <w:tc>
          <w:tcPr>
            <w:tcW w:w="1562" w:type="dxa"/>
            <w:shd w:val="clear" w:color="auto" w:fill="DFDFDF"/>
          </w:tcPr>
          <w:p>
            <w:pPr>
              <w:pStyle w:val="TableParagraph"/>
              <w:spacing w:before="11"/>
              <w:rPr>
                <w:b/>
                <w:sz w:val="16"/>
              </w:rPr>
            </w:pPr>
          </w:p>
          <w:p>
            <w:pPr>
              <w:pStyle w:val="TableParagraph"/>
              <w:spacing w:line="145" w:lineRule="exact"/>
              <w:ind w:right="78"/>
              <w:jc w:val="right"/>
              <w:rPr>
                <w:sz w:val="14"/>
              </w:rPr>
            </w:pPr>
            <w:r>
              <w:rPr>
                <w:sz w:val="14"/>
              </w:rPr>
              <w:t>0.00</w:t>
            </w:r>
          </w:p>
        </w:tc>
        <w:tc>
          <w:tcPr>
            <w:tcW w:w="1583" w:type="dxa"/>
          </w:tcPr>
          <w:p>
            <w:pPr>
              <w:pStyle w:val="TableParagraph"/>
              <w:spacing w:before="11"/>
              <w:rPr>
                <w:b/>
                <w:sz w:val="16"/>
              </w:rPr>
            </w:pPr>
          </w:p>
          <w:p>
            <w:pPr>
              <w:pStyle w:val="TableParagraph"/>
              <w:spacing w:line="145" w:lineRule="exact"/>
              <w:ind w:right="48"/>
              <w:jc w:val="right"/>
              <w:rPr>
                <w:sz w:val="14"/>
              </w:rPr>
            </w:pPr>
            <w:r>
              <w:rPr>
                <w:sz w:val="14"/>
              </w:rPr>
              <w:t>0.0%</w:t>
            </w:r>
          </w:p>
        </w:tc>
      </w:tr>
      <w:tr>
        <w:trPr>
          <w:trHeight w:val="360" w:hRule="atLeast"/>
        </w:trPr>
        <w:tc>
          <w:tcPr>
            <w:tcW w:w="5523" w:type="dxa"/>
          </w:tcPr>
          <w:p>
            <w:pPr>
              <w:pStyle w:val="TableParagraph"/>
              <w:spacing w:before="11"/>
              <w:rPr>
                <w:b/>
                <w:sz w:val="16"/>
              </w:rPr>
            </w:pPr>
          </w:p>
          <w:p>
            <w:pPr>
              <w:pStyle w:val="TableParagraph"/>
              <w:spacing w:line="145" w:lineRule="exact"/>
              <w:ind w:left="214"/>
              <w:rPr>
                <w:sz w:val="14"/>
              </w:rPr>
            </w:pPr>
            <w:r>
              <w:rPr>
                <w:w w:val="105"/>
                <w:sz w:val="14"/>
              </w:rPr>
              <w:t>d) Assigned</w:t>
            </w:r>
          </w:p>
        </w:tc>
        <w:tc>
          <w:tcPr>
            <w:tcW w:w="712" w:type="dxa"/>
          </w:tcPr>
          <w:p>
            <w:pPr>
              <w:pStyle w:val="TableParagraph"/>
              <w:rPr>
                <w:rFonts w:ascii="Times New Roman"/>
                <w:sz w:val="14"/>
              </w:rPr>
            </w:pPr>
          </w:p>
        </w:tc>
        <w:tc>
          <w:tcPr>
            <w:tcW w:w="1562" w:type="dxa"/>
          </w:tcPr>
          <w:p>
            <w:pPr>
              <w:pStyle w:val="TableParagraph"/>
              <w:rPr>
                <w:rFonts w:ascii="Times New Roman"/>
                <w:sz w:val="14"/>
              </w:rPr>
            </w:pPr>
          </w:p>
        </w:tc>
        <w:tc>
          <w:tcPr>
            <w:tcW w:w="1562" w:type="dxa"/>
          </w:tcPr>
          <w:p>
            <w:pPr>
              <w:pStyle w:val="TableParagraph"/>
              <w:rPr>
                <w:rFonts w:ascii="Times New Roman"/>
                <w:sz w:val="14"/>
              </w:rPr>
            </w:pPr>
          </w:p>
        </w:tc>
        <w:tc>
          <w:tcPr>
            <w:tcW w:w="1583" w:type="dxa"/>
          </w:tcPr>
          <w:p>
            <w:pPr>
              <w:pStyle w:val="TableParagraph"/>
              <w:rPr>
                <w:rFonts w:ascii="Times New Roman"/>
                <w:sz w:val="14"/>
              </w:rPr>
            </w:pPr>
          </w:p>
        </w:tc>
      </w:tr>
      <w:tr>
        <w:trPr>
          <w:trHeight w:val="297" w:hRule="atLeast"/>
        </w:trPr>
        <w:tc>
          <w:tcPr>
            <w:tcW w:w="5523" w:type="dxa"/>
          </w:tcPr>
          <w:p>
            <w:pPr>
              <w:pStyle w:val="TableParagraph"/>
              <w:spacing w:before="36"/>
              <w:ind w:left="416"/>
              <w:rPr>
                <w:sz w:val="14"/>
              </w:rPr>
            </w:pPr>
            <w:r>
              <w:rPr>
                <w:w w:val="105"/>
                <w:sz w:val="14"/>
              </w:rPr>
              <w:t>Other Assignments (by Resource/Object)</w:t>
            </w:r>
          </w:p>
        </w:tc>
        <w:tc>
          <w:tcPr>
            <w:tcW w:w="712" w:type="dxa"/>
          </w:tcPr>
          <w:p>
            <w:pPr>
              <w:pStyle w:val="TableParagraph"/>
              <w:spacing w:before="36"/>
              <w:ind w:left="50"/>
              <w:rPr>
                <w:sz w:val="14"/>
              </w:rPr>
            </w:pPr>
            <w:r>
              <w:rPr>
                <w:w w:val="105"/>
                <w:sz w:val="14"/>
              </w:rPr>
              <w:t>9780</w:t>
            </w:r>
          </w:p>
        </w:tc>
        <w:tc>
          <w:tcPr>
            <w:tcW w:w="1562" w:type="dxa"/>
          </w:tcPr>
          <w:p>
            <w:pPr>
              <w:pStyle w:val="TableParagraph"/>
              <w:spacing w:before="36"/>
              <w:ind w:right="77"/>
              <w:jc w:val="right"/>
              <w:rPr>
                <w:sz w:val="14"/>
              </w:rPr>
            </w:pPr>
            <w:r>
              <w:rPr>
                <w:sz w:val="14"/>
              </w:rPr>
              <w:t>0.00</w:t>
            </w:r>
          </w:p>
        </w:tc>
        <w:tc>
          <w:tcPr>
            <w:tcW w:w="1562" w:type="dxa"/>
          </w:tcPr>
          <w:p>
            <w:pPr>
              <w:pStyle w:val="TableParagraph"/>
              <w:spacing w:before="36"/>
              <w:ind w:right="78"/>
              <w:jc w:val="right"/>
              <w:rPr>
                <w:sz w:val="14"/>
              </w:rPr>
            </w:pPr>
            <w:r>
              <w:rPr>
                <w:sz w:val="14"/>
              </w:rPr>
              <w:t>0.00</w:t>
            </w:r>
          </w:p>
        </w:tc>
        <w:tc>
          <w:tcPr>
            <w:tcW w:w="1583" w:type="dxa"/>
            <w:shd w:val="clear" w:color="auto" w:fill="DFDFDF"/>
          </w:tcPr>
          <w:p>
            <w:pPr>
              <w:pStyle w:val="TableParagraph"/>
              <w:spacing w:before="36"/>
              <w:ind w:right="48"/>
              <w:jc w:val="right"/>
              <w:rPr>
                <w:sz w:val="14"/>
              </w:rPr>
            </w:pPr>
            <w:r>
              <w:rPr>
                <w:sz w:val="14"/>
              </w:rPr>
              <w:t>0.0%</w:t>
            </w:r>
          </w:p>
        </w:tc>
      </w:tr>
      <w:tr>
        <w:trPr>
          <w:trHeight w:val="299" w:hRule="atLeast"/>
        </w:trPr>
        <w:tc>
          <w:tcPr>
            <w:tcW w:w="9359" w:type="dxa"/>
            <w:gridSpan w:val="4"/>
          </w:tcPr>
          <w:p>
            <w:pPr>
              <w:pStyle w:val="TableParagraph"/>
              <w:spacing w:before="99"/>
              <w:ind w:left="214"/>
              <w:rPr>
                <w:sz w:val="14"/>
              </w:rPr>
            </w:pPr>
            <w:r>
              <w:rPr>
                <w:w w:val="105"/>
                <w:sz w:val="14"/>
              </w:rPr>
              <w:t>e) Unassigned/Unappropriated</w:t>
            </w:r>
          </w:p>
        </w:tc>
        <w:tc>
          <w:tcPr>
            <w:tcW w:w="1583" w:type="dxa"/>
            <w:shd w:val="clear" w:color="auto" w:fill="DFDFDF"/>
          </w:tcPr>
          <w:p>
            <w:pPr>
              <w:pStyle w:val="TableParagraph"/>
              <w:rPr>
                <w:rFonts w:ascii="Times New Roman"/>
                <w:sz w:val="14"/>
              </w:rPr>
            </w:pPr>
          </w:p>
        </w:tc>
      </w:tr>
      <w:tr>
        <w:trPr>
          <w:trHeight w:val="165" w:hRule="atLeast"/>
        </w:trPr>
        <w:tc>
          <w:tcPr>
            <w:tcW w:w="5523" w:type="dxa"/>
          </w:tcPr>
          <w:p>
            <w:pPr>
              <w:pStyle w:val="TableParagraph"/>
              <w:spacing w:line="145" w:lineRule="exact" w:before="1"/>
              <w:ind w:left="377"/>
              <w:rPr>
                <w:sz w:val="14"/>
              </w:rPr>
            </w:pPr>
            <w:r>
              <w:rPr>
                <w:w w:val="105"/>
                <w:sz w:val="14"/>
              </w:rPr>
              <w:t>Reserve for Economic Uncertainties</w:t>
            </w:r>
          </w:p>
        </w:tc>
        <w:tc>
          <w:tcPr>
            <w:tcW w:w="712" w:type="dxa"/>
          </w:tcPr>
          <w:p>
            <w:pPr>
              <w:pStyle w:val="TableParagraph"/>
              <w:spacing w:line="145" w:lineRule="exact" w:before="1"/>
              <w:ind w:left="50"/>
              <w:rPr>
                <w:sz w:val="14"/>
              </w:rPr>
            </w:pPr>
            <w:r>
              <w:rPr>
                <w:w w:val="105"/>
                <w:sz w:val="14"/>
              </w:rPr>
              <w:t>9789</w:t>
            </w:r>
          </w:p>
        </w:tc>
        <w:tc>
          <w:tcPr>
            <w:tcW w:w="1562" w:type="dxa"/>
          </w:tcPr>
          <w:p>
            <w:pPr>
              <w:pStyle w:val="TableParagraph"/>
              <w:spacing w:line="145" w:lineRule="exact" w:before="1"/>
              <w:ind w:right="77"/>
              <w:jc w:val="right"/>
              <w:rPr>
                <w:sz w:val="14"/>
              </w:rPr>
            </w:pPr>
            <w:r>
              <w:rPr>
                <w:sz w:val="14"/>
              </w:rPr>
              <w:t>0.00</w:t>
            </w:r>
          </w:p>
        </w:tc>
        <w:tc>
          <w:tcPr>
            <w:tcW w:w="1562" w:type="dxa"/>
          </w:tcPr>
          <w:p>
            <w:pPr>
              <w:pStyle w:val="TableParagraph"/>
              <w:spacing w:line="145" w:lineRule="exact" w:before="1"/>
              <w:ind w:right="78"/>
              <w:jc w:val="right"/>
              <w:rPr>
                <w:sz w:val="14"/>
              </w:rPr>
            </w:pPr>
            <w:r>
              <w:rPr>
                <w:sz w:val="14"/>
              </w:rPr>
              <w:t>0.00</w:t>
            </w:r>
          </w:p>
        </w:tc>
        <w:tc>
          <w:tcPr>
            <w:tcW w:w="1583" w:type="dxa"/>
            <w:shd w:val="clear" w:color="auto" w:fill="DFDFDF"/>
          </w:tcPr>
          <w:p>
            <w:pPr>
              <w:pStyle w:val="TableParagraph"/>
              <w:spacing w:line="145" w:lineRule="exact" w:before="1"/>
              <w:ind w:right="48"/>
              <w:jc w:val="right"/>
              <w:rPr>
                <w:sz w:val="14"/>
              </w:rPr>
            </w:pPr>
            <w:r>
              <w:rPr>
                <w:sz w:val="14"/>
              </w:rPr>
              <w:t>0.0%</w:t>
            </w:r>
          </w:p>
        </w:tc>
      </w:tr>
      <w:tr>
        <w:trPr>
          <w:trHeight w:val="357" w:hRule="atLeast"/>
        </w:trPr>
        <w:tc>
          <w:tcPr>
            <w:tcW w:w="5523" w:type="dxa"/>
          </w:tcPr>
          <w:p>
            <w:pPr>
              <w:pStyle w:val="TableParagraph"/>
              <w:spacing w:before="11"/>
              <w:rPr>
                <w:b/>
                <w:sz w:val="16"/>
              </w:rPr>
            </w:pPr>
          </w:p>
          <w:p>
            <w:pPr>
              <w:pStyle w:val="TableParagraph"/>
              <w:spacing w:line="142" w:lineRule="exact"/>
              <w:ind w:left="377"/>
              <w:rPr>
                <w:sz w:val="14"/>
              </w:rPr>
            </w:pPr>
            <w:r>
              <w:rPr>
                <w:w w:val="105"/>
                <w:sz w:val="14"/>
              </w:rPr>
              <w:t>Unassigned/Unappropriated Amount</w:t>
            </w:r>
          </w:p>
        </w:tc>
        <w:tc>
          <w:tcPr>
            <w:tcW w:w="712" w:type="dxa"/>
          </w:tcPr>
          <w:p>
            <w:pPr>
              <w:pStyle w:val="TableParagraph"/>
              <w:spacing w:before="11"/>
              <w:rPr>
                <w:b/>
                <w:sz w:val="16"/>
              </w:rPr>
            </w:pPr>
          </w:p>
          <w:p>
            <w:pPr>
              <w:pStyle w:val="TableParagraph"/>
              <w:spacing w:line="142" w:lineRule="exact"/>
              <w:ind w:left="50"/>
              <w:rPr>
                <w:sz w:val="14"/>
              </w:rPr>
            </w:pPr>
            <w:r>
              <w:rPr>
                <w:w w:val="105"/>
                <w:sz w:val="14"/>
              </w:rPr>
              <w:t>9790</w:t>
            </w:r>
          </w:p>
        </w:tc>
        <w:tc>
          <w:tcPr>
            <w:tcW w:w="1562" w:type="dxa"/>
          </w:tcPr>
          <w:p>
            <w:pPr>
              <w:pStyle w:val="TableParagraph"/>
              <w:spacing w:before="11"/>
              <w:rPr>
                <w:b/>
                <w:sz w:val="16"/>
              </w:rPr>
            </w:pPr>
          </w:p>
          <w:p>
            <w:pPr>
              <w:pStyle w:val="TableParagraph"/>
              <w:spacing w:line="142" w:lineRule="exact"/>
              <w:ind w:right="77"/>
              <w:jc w:val="right"/>
              <w:rPr>
                <w:sz w:val="14"/>
              </w:rPr>
            </w:pPr>
            <w:r>
              <w:rPr>
                <w:sz w:val="14"/>
              </w:rPr>
              <w:t>0.00</w:t>
            </w:r>
          </w:p>
        </w:tc>
        <w:tc>
          <w:tcPr>
            <w:tcW w:w="1562" w:type="dxa"/>
          </w:tcPr>
          <w:p>
            <w:pPr>
              <w:pStyle w:val="TableParagraph"/>
              <w:spacing w:before="11"/>
              <w:rPr>
                <w:b/>
                <w:sz w:val="16"/>
              </w:rPr>
            </w:pPr>
          </w:p>
          <w:p>
            <w:pPr>
              <w:pStyle w:val="TableParagraph"/>
              <w:spacing w:line="142" w:lineRule="exact"/>
              <w:ind w:right="78"/>
              <w:jc w:val="right"/>
              <w:rPr>
                <w:sz w:val="14"/>
              </w:rPr>
            </w:pPr>
            <w:r>
              <w:rPr>
                <w:sz w:val="14"/>
              </w:rPr>
              <w:t>0.00</w:t>
            </w:r>
          </w:p>
        </w:tc>
        <w:tc>
          <w:tcPr>
            <w:tcW w:w="1583" w:type="dxa"/>
          </w:tcPr>
          <w:p>
            <w:pPr>
              <w:pStyle w:val="TableParagraph"/>
              <w:spacing w:before="11"/>
              <w:rPr>
                <w:b/>
                <w:sz w:val="16"/>
              </w:rPr>
            </w:pPr>
          </w:p>
          <w:p>
            <w:pPr>
              <w:pStyle w:val="TableParagraph"/>
              <w:spacing w:line="142" w:lineRule="exact"/>
              <w:ind w:right="48"/>
              <w:jc w:val="right"/>
              <w:rPr>
                <w:sz w:val="14"/>
              </w:rPr>
            </w:pPr>
            <w:r>
              <w:rPr>
                <w:sz w:val="14"/>
              </w:rPr>
              <w:t>0.0%</w:t>
            </w:r>
          </w:p>
        </w:tc>
      </w:tr>
    </w:tbl>
    <w:p>
      <w:pPr>
        <w:spacing w:after="0" w:line="142" w:lineRule="exact"/>
        <w:jc w:val="right"/>
        <w:rPr>
          <w:sz w:val="14"/>
        </w:rPr>
        <w:sectPr>
          <w:type w:val="continuous"/>
          <w:pgSz w:w="12240" w:h="15840"/>
          <w:pgMar w:top="1500" w:bottom="840" w:left="160" w:right="180"/>
        </w:sectPr>
      </w:pPr>
    </w:p>
    <w:p>
      <w:pPr>
        <w:spacing w:line="237" w:lineRule="auto" w:before="0"/>
        <w:ind w:left="747" w:right="0" w:firstLine="0"/>
        <w:jc w:val="left"/>
        <w:rPr>
          <w:sz w:val="15"/>
        </w:rPr>
      </w:pPr>
      <w:r>
        <w:rPr>
          <w:sz w:val="15"/>
        </w:rPr>
        <w:t>Winship-Robbins Elementary Sutter County</w:t>
      </w:r>
    </w:p>
    <w:p>
      <w:pPr>
        <w:spacing w:line="237" w:lineRule="auto" w:before="0"/>
        <w:ind w:left="939" w:right="0" w:hanging="192"/>
        <w:jc w:val="left"/>
        <w:rPr>
          <w:sz w:val="15"/>
        </w:rPr>
      </w:pPr>
      <w:r>
        <w:rPr/>
        <w:br w:type="column"/>
      </w:r>
      <w:r>
        <w:rPr>
          <w:sz w:val="15"/>
        </w:rPr>
        <w:t>Student Activity Special Revenue Fund Exhibit: Restricted Balance Detail</w:t>
      </w:r>
    </w:p>
    <w:p>
      <w:pPr>
        <w:spacing w:line="169" w:lineRule="exact" w:before="0"/>
        <w:ind w:left="0" w:right="726" w:firstLine="0"/>
        <w:jc w:val="right"/>
        <w:rPr>
          <w:sz w:val="15"/>
        </w:rPr>
      </w:pPr>
      <w:r>
        <w:rPr/>
        <w:br w:type="column"/>
      </w:r>
      <w:r>
        <w:rPr>
          <w:sz w:val="15"/>
        </w:rPr>
        <w:t>51 71456</w:t>
      </w:r>
      <w:r>
        <w:rPr>
          <w:spacing w:val="9"/>
          <w:sz w:val="15"/>
        </w:rPr>
        <w:t> </w:t>
      </w:r>
      <w:r>
        <w:rPr>
          <w:sz w:val="15"/>
        </w:rPr>
        <w:t>0000000</w:t>
      </w:r>
    </w:p>
    <w:p>
      <w:pPr>
        <w:spacing w:line="171" w:lineRule="exact" w:before="0"/>
        <w:ind w:left="0" w:right="726" w:firstLine="0"/>
        <w:jc w:val="right"/>
        <w:rPr>
          <w:sz w:val="15"/>
        </w:rPr>
      </w:pPr>
      <w:r>
        <w:rPr>
          <w:sz w:val="15"/>
        </w:rPr>
        <w:t>Form </w:t>
      </w:r>
      <w:r>
        <w:rPr>
          <w:spacing w:val="5"/>
          <w:sz w:val="15"/>
        </w:rPr>
        <w:t> </w:t>
      </w:r>
      <w:r>
        <w:rPr>
          <w:sz w:val="15"/>
        </w:rPr>
        <w:t>08</w:t>
      </w:r>
    </w:p>
    <w:p>
      <w:pPr>
        <w:spacing w:after="0" w:line="171" w:lineRule="exact"/>
        <w:jc w:val="right"/>
        <w:rPr>
          <w:sz w:val="15"/>
        </w:rPr>
        <w:sectPr>
          <w:headerReference w:type="default" r:id="rId570"/>
          <w:footerReference w:type="default" r:id="rId571"/>
          <w:pgSz w:w="12240" w:h="15840"/>
          <w:pgMar w:header="574" w:footer="0" w:top="760" w:bottom="280" w:left="160" w:right="180"/>
          <w:cols w:num="3" w:equalWidth="0">
            <w:col w:w="2746" w:space="1152"/>
            <w:col w:w="3412" w:space="1853"/>
            <w:col w:w="2737"/>
          </w:cols>
        </w:sectPr>
      </w:pPr>
    </w:p>
    <w:p>
      <w:pPr>
        <w:pStyle w:val="BodyText"/>
        <w:spacing w:before="3" w:after="1"/>
        <w:rPr>
          <w:sz w:val="23"/>
        </w:rPr>
      </w:pPr>
    </w:p>
    <w:tbl>
      <w:tblPr>
        <w:tblW w:w="0" w:type="auto"/>
        <w:jc w:val="left"/>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78"/>
        <w:gridCol w:w="3275"/>
        <w:gridCol w:w="3952"/>
        <w:gridCol w:w="1015"/>
      </w:tblGrid>
      <w:tr>
        <w:trPr>
          <w:trHeight w:val="223" w:hRule="atLeast"/>
        </w:trPr>
        <w:tc>
          <w:tcPr>
            <w:tcW w:w="4353" w:type="dxa"/>
            <w:gridSpan w:val="2"/>
          </w:tcPr>
          <w:p>
            <w:pPr>
              <w:pStyle w:val="TableParagraph"/>
              <w:rPr>
                <w:rFonts w:ascii="Times New Roman"/>
                <w:sz w:val="14"/>
              </w:rPr>
            </w:pPr>
          </w:p>
        </w:tc>
        <w:tc>
          <w:tcPr>
            <w:tcW w:w="3952" w:type="dxa"/>
          </w:tcPr>
          <w:p>
            <w:pPr>
              <w:pStyle w:val="TableParagraph"/>
              <w:spacing w:line="203" w:lineRule="exact"/>
              <w:ind w:left="2020" w:right="281"/>
              <w:jc w:val="center"/>
              <w:rPr>
                <w:b/>
                <w:sz w:val="18"/>
              </w:rPr>
            </w:pPr>
            <w:r>
              <w:rPr>
                <w:b/>
                <w:sz w:val="18"/>
              </w:rPr>
              <w:t>2020-21</w:t>
            </w:r>
          </w:p>
        </w:tc>
        <w:tc>
          <w:tcPr>
            <w:tcW w:w="1015" w:type="dxa"/>
          </w:tcPr>
          <w:p>
            <w:pPr>
              <w:pStyle w:val="TableParagraph"/>
              <w:spacing w:line="203" w:lineRule="exact"/>
              <w:ind w:right="46"/>
              <w:jc w:val="right"/>
              <w:rPr>
                <w:b/>
                <w:sz w:val="18"/>
              </w:rPr>
            </w:pPr>
            <w:r>
              <w:rPr>
                <w:b/>
                <w:sz w:val="18"/>
              </w:rPr>
              <w:t>2021-22</w:t>
            </w:r>
          </w:p>
        </w:tc>
      </w:tr>
      <w:tr>
        <w:trPr>
          <w:trHeight w:val="223" w:hRule="atLeast"/>
        </w:trPr>
        <w:tc>
          <w:tcPr>
            <w:tcW w:w="1078" w:type="dxa"/>
          </w:tcPr>
          <w:p>
            <w:pPr>
              <w:pStyle w:val="TableParagraph"/>
              <w:spacing w:line="188" w:lineRule="exact" w:before="15"/>
              <w:ind w:left="50"/>
              <w:rPr>
                <w:b/>
                <w:sz w:val="18"/>
              </w:rPr>
            </w:pPr>
            <w:r>
              <w:rPr>
                <w:b/>
                <w:sz w:val="18"/>
              </w:rPr>
              <w:t>Resource</w:t>
            </w:r>
          </w:p>
        </w:tc>
        <w:tc>
          <w:tcPr>
            <w:tcW w:w="3275" w:type="dxa"/>
          </w:tcPr>
          <w:p>
            <w:pPr>
              <w:pStyle w:val="TableParagraph"/>
              <w:spacing w:line="188" w:lineRule="exact" w:before="15"/>
              <w:ind w:left="186"/>
              <w:rPr>
                <w:b/>
                <w:sz w:val="18"/>
              </w:rPr>
            </w:pPr>
            <w:r>
              <w:rPr>
                <w:b/>
                <w:sz w:val="18"/>
              </w:rPr>
              <w:t>Description</w:t>
            </w:r>
          </w:p>
        </w:tc>
        <w:tc>
          <w:tcPr>
            <w:tcW w:w="3952" w:type="dxa"/>
          </w:tcPr>
          <w:p>
            <w:pPr>
              <w:pStyle w:val="TableParagraph"/>
              <w:spacing w:line="188" w:lineRule="exact" w:before="15"/>
              <w:ind w:left="2069" w:right="281"/>
              <w:jc w:val="center"/>
              <w:rPr>
                <w:b/>
                <w:sz w:val="18"/>
              </w:rPr>
            </w:pPr>
            <w:r>
              <w:rPr>
                <w:b/>
                <w:sz w:val="18"/>
              </w:rPr>
              <w:t>Estimated Actuals</w:t>
            </w:r>
          </w:p>
        </w:tc>
        <w:tc>
          <w:tcPr>
            <w:tcW w:w="1015" w:type="dxa"/>
          </w:tcPr>
          <w:p>
            <w:pPr>
              <w:pStyle w:val="TableParagraph"/>
              <w:spacing w:line="188" w:lineRule="exact" w:before="15"/>
              <w:ind w:right="68"/>
              <w:jc w:val="right"/>
              <w:rPr>
                <w:b/>
                <w:sz w:val="18"/>
              </w:rPr>
            </w:pPr>
            <w:r>
              <w:rPr>
                <w:b/>
                <w:sz w:val="18"/>
              </w:rPr>
              <w:t>Budget</w:t>
            </w:r>
          </w:p>
        </w:tc>
      </w:tr>
    </w:tbl>
    <w:p>
      <w:pPr>
        <w:pStyle w:val="BodyText"/>
        <w:spacing w:line="20" w:lineRule="exact"/>
        <w:ind w:left="1059"/>
        <w:rPr>
          <w:sz w:val="2"/>
        </w:rPr>
      </w:pPr>
      <w:r>
        <w:rPr>
          <w:sz w:val="2"/>
        </w:rPr>
        <w:drawing>
          <wp:inline distT="0" distB="0" distL="0" distR="0">
            <wp:extent cx="6198198" cy="4572"/>
            <wp:effectExtent l="0" t="0" r="0" b="0"/>
            <wp:docPr id="7" name="image551.png"/>
            <wp:cNvGraphicFramePr>
              <a:graphicFrameLocks noChangeAspect="1"/>
            </wp:cNvGraphicFramePr>
            <a:graphic>
              <a:graphicData uri="http://schemas.openxmlformats.org/drawingml/2006/picture">
                <pic:pic>
                  <pic:nvPicPr>
                    <pic:cNvPr id="8" name="image551.png"/>
                    <pic:cNvPicPr/>
                  </pic:nvPicPr>
                  <pic:blipFill>
                    <a:blip r:embed="rId572" cstate="print"/>
                    <a:stretch>
                      <a:fillRect/>
                    </a:stretch>
                  </pic:blipFill>
                  <pic:spPr>
                    <a:xfrm>
                      <a:off x="0" y="0"/>
                      <a:ext cx="6198198" cy="4572"/>
                    </a:xfrm>
                    <a:prstGeom prst="rect">
                      <a:avLst/>
                    </a:prstGeom>
                  </pic:spPr>
                </pic:pic>
              </a:graphicData>
            </a:graphic>
          </wp:inline>
        </w:drawing>
      </w:r>
      <w:r>
        <w:rPr>
          <w:sz w:val="2"/>
        </w:rPr>
      </w:r>
    </w:p>
    <w:p>
      <w:pPr>
        <w:pStyle w:val="BodyText"/>
        <w:spacing w:before="1"/>
        <w:rPr>
          <w:sz w:val="15"/>
        </w:rPr>
      </w:pPr>
    </w:p>
    <w:p>
      <w:pPr>
        <w:tabs>
          <w:tab w:pos="998" w:val="left" w:leader="none"/>
          <w:tab w:pos="6981" w:val="left" w:leader="none"/>
          <w:tab w:pos="8714" w:val="left" w:leader="none"/>
        </w:tabs>
        <w:spacing w:before="98"/>
        <w:ind w:left="0" w:right="1180" w:firstLine="0"/>
        <w:jc w:val="right"/>
        <w:rPr>
          <w:sz w:val="18"/>
        </w:rPr>
      </w:pPr>
      <w:r>
        <w:rPr>
          <w:sz w:val="18"/>
        </w:rPr>
        <w:t>8210</w:t>
        <w:tab/>
        <w:t>Student</w:t>
      </w:r>
      <w:r>
        <w:rPr>
          <w:spacing w:val="10"/>
          <w:sz w:val="18"/>
        </w:rPr>
        <w:t> </w:t>
      </w:r>
      <w:r>
        <w:rPr>
          <w:sz w:val="18"/>
        </w:rPr>
        <w:t>Activity</w:t>
      </w:r>
      <w:r>
        <w:rPr>
          <w:spacing w:val="4"/>
          <w:sz w:val="18"/>
        </w:rPr>
        <w:t> </w:t>
      </w:r>
      <w:r>
        <w:rPr>
          <w:sz w:val="18"/>
        </w:rPr>
        <w:t>Funds</w:t>
        <w:tab/>
        <w:t>2,033.00</w:t>
        <w:tab/>
      </w:r>
      <w:r>
        <w:rPr>
          <w:spacing w:val="-1"/>
          <w:sz w:val="18"/>
        </w:rPr>
        <w:t>2,273.00</w:t>
      </w:r>
    </w:p>
    <w:p>
      <w:pPr>
        <w:pStyle w:val="BodyText"/>
        <w:spacing w:before="2"/>
        <w:rPr>
          <w:sz w:val="15"/>
        </w:rPr>
      </w:pPr>
      <w:r>
        <w:rPr/>
        <w:drawing>
          <wp:anchor distT="0" distB="0" distL="0" distR="0" allowOverlap="1" layoutInCell="1" locked="0" behindDoc="0" simplePos="0" relativeHeight="192">
            <wp:simplePos x="0" y="0"/>
            <wp:positionH relativeFrom="page">
              <wp:posOffset>4767072</wp:posOffset>
            </wp:positionH>
            <wp:positionV relativeFrom="paragraph">
              <wp:posOffset>136100</wp:posOffset>
            </wp:positionV>
            <wp:extent cx="2205246" cy="4572"/>
            <wp:effectExtent l="0" t="0" r="0" b="0"/>
            <wp:wrapTopAndBottom/>
            <wp:docPr id="9" name="image552.png"/>
            <wp:cNvGraphicFramePr>
              <a:graphicFrameLocks noChangeAspect="1"/>
            </wp:cNvGraphicFramePr>
            <a:graphic>
              <a:graphicData uri="http://schemas.openxmlformats.org/drawingml/2006/picture">
                <pic:pic>
                  <pic:nvPicPr>
                    <pic:cNvPr id="10" name="image552.png"/>
                    <pic:cNvPicPr/>
                  </pic:nvPicPr>
                  <pic:blipFill>
                    <a:blip r:embed="rId573" cstate="print"/>
                    <a:stretch>
                      <a:fillRect/>
                    </a:stretch>
                  </pic:blipFill>
                  <pic:spPr>
                    <a:xfrm>
                      <a:off x="0" y="0"/>
                      <a:ext cx="2205246" cy="4572"/>
                    </a:xfrm>
                    <a:prstGeom prst="rect">
                      <a:avLst/>
                    </a:prstGeom>
                  </pic:spPr>
                </pic:pic>
              </a:graphicData>
            </a:graphic>
          </wp:anchor>
        </w:drawing>
      </w:r>
    </w:p>
    <w:p>
      <w:pPr>
        <w:tabs>
          <w:tab w:pos="7168" w:val="left" w:leader="none"/>
          <w:tab w:pos="8901" w:val="left" w:leader="none"/>
        </w:tabs>
        <w:spacing w:before="8"/>
        <w:ind w:left="0" w:right="1180" w:firstLine="0"/>
        <w:jc w:val="right"/>
        <w:rPr>
          <w:sz w:val="18"/>
        </w:rPr>
      </w:pPr>
      <w:r>
        <w:rPr>
          <w:sz w:val="18"/>
        </w:rPr>
        <w:t>Total,</w:t>
      </w:r>
      <w:r>
        <w:rPr>
          <w:spacing w:val="9"/>
          <w:sz w:val="18"/>
        </w:rPr>
        <w:t> </w:t>
      </w:r>
      <w:r>
        <w:rPr>
          <w:sz w:val="18"/>
        </w:rPr>
        <w:t>Restricted</w:t>
      </w:r>
      <w:r>
        <w:rPr>
          <w:spacing w:val="14"/>
          <w:sz w:val="18"/>
        </w:rPr>
        <w:t> </w:t>
      </w:r>
      <w:r>
        <w:rPr>
          <w:sz w:val="18"/>
        </w:rPr>
        <w:t>Balance</w:t>
        <w:tab/>
        <w:t>2,033.00</w:t>
        <w:tab/>
      </w:r>
      <w:r>
        <w:rPr>
          <w:spacing w:val="-1"/>
          <w:sz w:val="18"/>
        </w:rPr>
        <w:t>2,273.00</w:t>
      </w:r>
    </w:p>
    <w:p>
      <w:pPr>
        <w:pStyle w:val="BodyText"/>
        <w:spacing w:line="20" w:lineRule="exact"/>
        <w:ind w:left="7347"/>
        <w:rPr>
          <w:sz w:val="2"/>
        </w:rPr>
      </w:pPr>
      <w:r>
        <w:rPr>
          <w:sz w:val="2"/>
        </w:rPr>
        <w:drawing>
          <wp:inline distT="0" distB="0" distL="0" distR="0">
            <wp:extent cx="2205246" cy="4572"/>
            <wp:effectExtent l="0" t="0" r="0" b="0"/>
            <wp:docPr id="11" name="image552.png"/>
            <wp:cNvGraphicFramePr>
              <a:graphicFrameLocks noChangeAspect="1"/>
            </wp:cNvGraphicFramePr>
            <a:graphic>
              <a:graphicData uri="http://schemas.openxmlformats.org/drawingml/2006/picture">
                <pic:pic>
                  <pic:nvPicPr>
                    <pic:cNvPr id="12" name="image552.png"/>
                    <pic:cNvPicPr/>
                  </pic:nvPicPr>
                  <pic:blipFill>
                    <a:blip r:embed="rId573" cstate="print"/>
                    <a:stretch>
                      <a:fillRect/>
                    </a:stretch>
                  </pic:blipFill>
                  <pic:spPr>
                    <a:xfrm>
                      <a:off x="0" y="0"/>
                      <a:ext cx="2205246" cy="4572"/>
                    </a:xfrm>
                    <a:prstGeom prst="rect">
                      <a:avLst/>
                    </a:prstGeom>
                  </pic:spPr>
                </pic:pic>
              </a:graphicData>
            </a:graphic>
          </wp:inline>
        </w:drawing>
      </w:r>
      <w:r>
        <w:rPr>
          <w:sz w:val="2"/>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line="171" w:lineRule="exact" w:before="175"/>
        <w:ind w:left="747" w:right="0" w:firstLine="0"/>
        <w:jc w:val="left"/>
        <w:rPr>
          <w:sz w:val="15"/>
        </w:rPr>
      </w:pPr>
      <w:r>
        <w:rPr>
          <w:sz w:val="15"/>
        </w:rPr>
        <w:t>California Dept of Education</w:t>
      </w:r>
    </w:p>
    <w:p>
      <w:pPr>
        <w:spacing w:line="170" w:lineRule="exact" w:before="0"/>
        <w:ind w:left="747" w:right="0" w:firstLine="0"/>
        <w:jc w:val="left"/>
        <w:rPr>
          <w:sz w:val="15"/>
        </w:rPr>
      </w:pPr>
      <w:r>
        <w:rPr>
          <w:sz w:val="15"/>
        </w:rPr>
        <w:t>SACS Financial Reporting Software - 2021.1.0</w:t>
      </w:r>
    </w:p>
    <w:p>
      <w:pPr>
        <w:tabs>
          <w:tab w:pos="5717" w:val="left" w:leader="none"/>
          <w:tab w:pos="9233" w:val="left" w:leader="none"/>
        </w:tabs>
        <w:spacing w:line="171" w:lineRule="exact" w:before="0"/>
        <w:ind w:left="747" w:right="0" w:firstLine="0"/>
        <w:jc w:val="left"/>
        <w:rPr>
          <w:sz w:val="15"/>
        </w:rPr>
      </w:pPr>
      <w:r>
        <w:rPr>
          <w:sz w:val="15"/>
        </w:rPr>
        <w:t>File: fund-f</w:t>
      </w:r>
      <w:r>
        <w:rPr>
          <w:spacing w:val="8"/>
          <w:sz w:val="15"/>
        </w:rPr>
        <w:t> </w:t>
      </w:r>
      <w:r>
        <w:rPr>
          <w:sz w:val="15"/>
        </w:rPr>
        <w:t>(Rev</w:t>
      </w:r>
      <w:r>
        <w:rPr>
          <w:spacing w:val="7"/>
          <w:sz w:val="15"/>
        </w:rPr>
        <w:t> </w:t>
      </w:r>
      <w:r>
        <w:rPr>
          <w:sz w:val="15"/>
        </w:rPr>
        <w:t>02/24/2020)</w:t>
        <w:tab/>
        <w:t>Page</w:t>
      </w:r>
      <w:r>
        <w:rPr>
          <w:spacing w:val="1"/>
          <w:sz w:val="15"/>
        </w:rPr>
        <w:t> </w:t>
      </w:r>
      <w:r>
        <w:rPr>
          <w:sz w:val="15"/>
        </w:rPr>
        <w:t>1</w:t>
        <w:tab/>
        <w:t>Printed: 6/4/2021 10:05</w:t>
      </w:r>
      <w:r>
        <w:rPr>
          <w:spacing w:val="10"/>
          <w:sz w:val="15"/>
        </w:rPr>
        <w:t> </w:t>
      </w:r>
      <w:r>
        <w:rPr>
          <w:sz w:val="15"/>
        </w:rPr>
        <w:t>AM</w:t>
      </w:r>
    </w:p>
    <w:p>
      <w:pPr>
        <w:spacing w:after="0" w:line="171" w:lineRule="exact"/>
        <w:jc w:val="left"/>
        <w:rPr>
          <w:sz w:val="15"/>
        </w:rPr>
        <w:sectPr>
          <w:type w:val="continuous"/>
          <w:pgSz w:w="12240" w:h="15840"/>
          <w:pgMar w:top="1500" w:bottom="840" w:left="160" w:right="180"/>
        </w:sectPr>
      </w:pPr>
    </w:p>
    <w:p>
      <w:pPr>
        <w:spacing w:line="232" w:lineRule="auto" w:before="1"/>
        <w:ind w:left="308" w:right="0" w:firstLine="0"/>
        <w:jc w:val="left"/>
        <w:rPr>
          <w:sz w:val="18"/>
        </w:rPr>
      </w:pPr>
      <w:r>
        <w:rPr/>
        <w:pict>
          <v:group style="position:absolute;margin-left:30.120001pt;margin-top:36.318634pt;width:538pt;height:39.5pt;mso-position-horizontal-relative:page;mso-position-vertical-relative:paragraph;z-index:-314511360" coordorigin="602,726" coordsize="10760,790">
            <v:shape style="position:absolute;left:602;top:726;width:3646;height:790" type="#_x0000_t75" stroked="false">
              <v:imagedata r:id="rId406" o:title=""/>
            </v:shape>
            <v:shape style="position:absolute;left:4240;top:726;width:7121;height:790" type="#_x0000_t75" stroked="false">
              <v:imagedata r:id="rId407" o:title=""/>
            </v:shape>
            <w10:wrap type="none"/>
          </v:group>
        </w:pict>
      </w:r>
      <w:r>
        <w:rPr/>
        <w:pict>
          <v:group style="position:absolute;margin-left:30.120001pt;margin-top:74.718628pt;width:538pt;height:523pt;mso-position-horizontal-relative:page;mso-position-vertical-relative:paragraph;z-index:-314510336" coordorigin="602,1494" coordsize="10760,10460">
            <v:line style="position:absolute" from="1412,1506" to="1412,1876" stroked="true" strokeweight=".360003pt" strokecolor="#ffffff">
              <v:stroke dashstyle="solid"/>
            </v:line>
            <v:shape style="position:absolute;left:602;top:1501;width:3646;height:2472" type="#_x0000_t75" stroked="false">
              <v:imagedata r:id="rId408" o:title=""/>
            </v:shape>
            <v:shape style="position:absolute;left:6782;top:1494;width:1520;height:389" type="#_x0000_t75" stroked="false">
              <v:imagedata r:id="rId409" o:title=""/>
            </v:shape>
            <v:shape style="position:absolute;left:8294;top:1494;width:1520;height:389" type="#_x0000_t75" stroked="false">
              <v:imagedata r:id="rId410" o:title=""/>
            </v:shape>
            <v:shape style="position:absolute;left:6782;top:1878;width:1520;height:581" type="#_x0000_t75" stroked="false">
              <v:imagedata r:id="rId576" o:title=""/>
            </v:shape>
            <v:shape style="position:absolute;left:8294;top:1878;width:1520;height:581" type="#_x0000_t75" stroked="false">
              <v:imagedata r:id="rId577" o:title=""/>
            </v:shape>
            <v:shape style="position:absolute;left:6782;top:1494;width:4580;height:1342" type="#_x0000_t75" stroked="false">
              <v:imagedata r:id="rId578" o:title=""/>
            </v:shape>
            <v:shape style="position:absolute;left:6782;top:2451;width:4580;height:761" type="#_x0000_t75" stroked="false">
              <v:imagedata r:id="rId579" o:title=""/>
            </v:shape>
            <v:shape style="position:absolute;left:9806;top:2828;width:1556;height:756" type="#_x0000_t75" stroked="false">
              <v:imagedata r:id="rId580" o:title=""/>
            </v:shape>
            <v:shape style="position:absolute;left:602;top:3205;width:10760;height:1133" type="#_x0000_t75" stroked="false">
              <v:imagedata r:id="rId416" o:title=""/>
            </v:shape>
            <v:line style="position:absolute" from="1412,3964" to="1412,4334" stroked="true" strokeweight=".360003pt" strokecolor="#ffffff">
              <v:stroke dashstyle="solid"/>
            </v:line>
            <v:shape style="position:absolute;left:4240;top:3951;width:7121;height:965" type="#_x0000_t75" stroked="false">
              <v:imagedata r:id="rId417" o:title=""/>
            </v:shape>
            <v:shape style="position:absolute;left:6782;top:4532;width:4580;height:761" type="#_x0000_t75" stroked="false">
              <v:imagedata r:id="rId418" o:title=""/>
            </v:shape>
            <v:shape style="position:absolute;left:6782;top:4909;width:4580;height:761" type="#_x0000_t75" stroked="false">
              <v:imagedata r:id="rId418" o:title=""/>
            </v:shape>
            <v:shape style="position:absolute;left:6782;top:5286;width:4580;height:761" type="#_x0000_t75" stroked="false">
              <v:imagedata r:id="rId418" o:title=""/>
            </v:shape>
            <v:shape style="position:absolute;left:6782;top:5663;width:4580;height:761" type="#_x0000_t75" stroked="false">
              <v:imagedata r:id="rId418" o:title=""/>
            </v:shape>
            <v:shape style="position:absolute;left:6782;top:6039;width:4580;height:761" type="#_x0000_t75" stroked="false">
              <v:imagedata r:id="rId418" o:title=""/>
            </v:shape>
            <v:shape style="position:absolute;left:602;top:4335;width:3646;height:3800" type="#_x0000_t75" stroked="false">
              <v:imagedata r:id="rId420" o:title=""/>
            </v:shape>
            <v:shape style="position:absolute;left:6782;top:6416;width:4580;height:958" type="#_x0000_t75" stroked="false">
              <v:imagedata r:id="rId430" o:title=""/>
            </v:shape>
            <v:shape style="position:absolute;left:8294;top:7170;width:3068;height:576" type="#_x0000_t75" stroked="false">
              <v:imagedata r:id="rId581" o:title=""/>
            </v:shape>
            <v:line style="position:absolute" from="1412,8126" to="1412,8495" stroked="true" strokeweight=".360003pt" strokecolor="#ffffff">
              <v:stroke dashstyle="solid"/>
            </v:line>
            <v:shape style="position:absolute;left:4240;top:7367;width:7121;height:1539" type="#_x0000_t75" stroked="false">
              <v:imagedata r:id="rId582" o:title=""/>
            </v:shape>
            <v:shape style="position:absolute;left:602;top:8120;width:3646;height:785" type="#_x0000_t75" stroked="false">
              <v:imagedata r:id="rId427" o:title=""/>
            </v:shape>
            <v:line style="position:absolute" from="1412,8896" to="1412,9266" stroked="true" strokeweight=".360003pt" strokecolor="#ffffff">
              <v:stroke dashstyle="solid"/>
            </v:line>
            <v:shape style="position:absolute;left:6782;top:8694;width:4580;height:1172" type="#_x0000_t75" stroked="false">
              <v:imagedata r:id="rId428" o:title=""/>
            </v:shape>
            <v:shape style="position:absolute;left:6782;top:9661;width:4580;height:581" type="#_x0000_t75" stroked="false">
              <v:imagedata r:id="rId429" o:title=""/>
            </v:shape>
            <v:shape style="position:absolute;left:6782;top:9858;width:4580;height:958" type="#_x0000_t75" stroked="false">
              <v:imagedata r:id="rId430" o:title=""/>
            </v:shape>
            <v:shape style="position:absolute;left:6782;top:10611;width:4580;height:581" type="#_x0000_t75" stroked="false">
              <v:imagedata r:id="rId429" o:title=""/>
            </v:shape>
            <v:shape style="position:absolute;left:602;top:8891;width:3646;height:3063" type="#_x0000_t75" stroked="false">
              <v:imagedata r:id="rId431" o:title=""/>
            </v:shape>
            <v:shape style="position:absolute;left:8294;top:10808;width:3068;height:384" type="#_x0000_t75" stroked="false">
              <v:imagedata r:id="rId583" o:title=""/>
            </v:shape>
            <v:shape style="position:absolute;left:6782;top:11185;width:1520;height:384" type="#_x0000_t75" stroked="false">
              <v:imagedata r:id="rId414" o:title=""/>
            </v:shape>
            <v:shape style="position:absolute;left:8294;top:11185;width:1520;height:384" type="#_x0000_t75" stroked="false">
              <v:imagedata r:id="rId584" o:title=""/>
            </v:shape>
            <v:rect style="position:absolute;left:9811;top:11190;width:1541;height:377" filled="true" fillcolor="#dfdfdf" stroked="false">
              <v:fill type="solid"/>
            </v:rect>
            <v:shape style="position:absolute;left:4240;top:11185;width:7121;height:768" type="#_x0000_t75" stroked="false">
              <v:imagedata r:id="rId585" o:title=""/>
            </v:shape>
            <v:shape style="position:absolute;left:9806;top:11562;width:1556;height:392" type="#_x0000_t75" stroked="false">
              <v:imagedata r:id="rId586" o:title=""/>
            </v:shape>
            <w10:wrap type="none"/>
          </v:group>
        </w:pict>
      </w:r>
      <w:bookmarkStart w:name="FORM 12" w:id="5"/>
      <w:bookmarkEnd w:id="5"/>
      <w:r>
        <w:rPr/>
      </w:r>
      <w:r>
        <w:rPr>
          <w:sz w:val="18"/>
        </w:rPr>
        <w:t>Winship-Robbins Elementary Sutter County</w:t>
      </w:r>
    </w:p>
    <w:p>
      <w:pPr>
        <w:spacing w:line="232" w:lineRule="auto" w:before="1"/>
        <w:ind w:left="370" w:right="0" w:hanging="63"/>
        <w:jc w:val="left"/>
        <w:rPr>
          <w:sz w:val="18"/>
        </w:rPr>
      </w:pPr>
      <w:r>
        <w:rPr/>
        <w:br w:type="column"/>
      </w:r>
      <w:r>
        <w:rPr>
          <w:sz w:val="18"/>
        </w:rPr>
        <w:t>Child Development Fund Expenditures by Object</w:t>
      </w:r>
    </w:p>
    <w:p>
      <w:pPr>
        <w:spacing w:line="200" w:lineRule="exact" w:before="0"/>
        <w:ind w:left="0" w:right="287" w:firstLine="0"/>
        <w:jc w:val="right"/>
        <w:rPr>
          <w:sz w:val="18"/>
        </w:rPr>
      </w:pPr>
      <w:r>
        <w:rPr/>
        <w:br w:type="column"/>
      </w:r>
      <w:r>
        <w:rPr>
          <w:sz w:val="18"/>
        </w:rPr>
        <w:t>51 71456</w:t>
      </w:r>
      <w:r>
        <w:rPr>
          <w:spacing w:val="3"/>
          <w:sz w:val="18"/>
        </w:rPr>
        <w:t> </w:t>
      </w:r>
      <w:r>
        <w:rPr>
          <w:sz w:val="18"/>
        </w:rPr>
        <w:t>0000000</w:t>
      </w:r>
    </w:p>
    <w:p>
      <w:pPr>
        <w:spacing w:line="204" w:lineRule="exact" w:before="0"/>
        <w:ind w:left="0" w:right="285" w:firstLine="0"/>
        <w:jc w:val="right"/>
        <w:rPr>
          <w:sz w:val="18"/>
        </w:rPr>
      </w:pPr>
      <w:r>
        <w:rPr>
          <w:sz w:val="18"/>
        </w:rPr>
        <w:t>Form </w:t>
      </w:r>
      <w:r>
        <w:rPr>
          <w:spacing w:val="3"/>
          <w:sz w:val="18"/>
        </w:rPr>
        <w:t> </w:t>
      </w:r>
      <w:r>
        <w:rPr>
          <w:sz w:val="18"/>
        </w:rPr>
        <w:t>12</w:t>
      </w:r>
    </w:p>
    <w:p>
      <w:pPr>
        <w:spacing w:after="0" w:line="204" w:lineRule="exact"/>
        <w:jc w:val="right"/>
        <w:rPr>
          <w:sz w:val="18"/>
        </w:rPr>
        <w:sectPr>
          <w:headerReference w:type="default" r:id="rId574"/>
          <w:footerReference w:type="default" r:id="rId575"/>
          <w:pgSz w:w="12240" w:h="15840"/>
          <w:pgMar w:header="651" w:footer="437" w:top="840" w:bottom="620" w:left="160" w:right="180"/>
          <w:pgNumType w:start="1"/>
          <w:cols w:num="3" w:equalWidth="0">
            <w:col w:w="2698" w:space="1953"/>
            <w:col w:w="2348" w:space="2793"/>
            <w:col w:w="2108"/>
          </w:cols>
        </w:sectPr>
      </w:pPr>
    </w:p>
    <w:p>
      <w:pPr>
        <w:pStyle w:val="BodyText"/>
        <w:rPr>
          <w:sz w:val="20"/>
        </w:rPr>
      </w:pPr>
    </w:p>
    <w:p>
      <w:pPr>
        <w:pStyle w:val="BodyText"/>
        <w:rPr>
          <w:sz w:val="20"/>
        </w:rPr>
      </w:pPr>
    </w:p>
    <w:p>
      <w:pPr>
        <w:pStyle w:val="BodyText"/>
        <w:spacing w:before="8" w:after="1"/>
        <w:rPr>
          <w:sz w:val="26"/>
        </w:rPr>
      </w:pPr>
    </w:p>
    <w:tbl>
      <w:tblPr>
        <w:tblW w:w="0" w:type="auto"/>
        <w:jc w:val="left"/>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63"/>
        <w:gridCol w:w="1468"/>
        <w:gridCol w:w="1069"/>
        <w:gridCol w:w="1725"/>
        <w:gridCol w:w="879"/>
        <w:gridCol w:w="421"/>
        <w:gridCol w:w="1157"/>
        <w:gridCol w:w="409"/>
      </w:tblGrid>
      <w:tr>
        <w:trPr>
          <w:trHeight w:val="334" w:hRule="atLeast"/>
        </w:trPr>
        <w:tc>
          <w:tcPr>
            <w:tcW w:w="3663" w:type="dxa"/>
          </w:tcPr>
          <w:p>
            <w:pPr>
              <w:pStyle w:val="TableParagraph"/>
              <w:spacing w:before="5"/>
              <w:rPr>
                <w:sz w:val="14"/>
              </w:rPr>
            </w:pPr>
          </w:p>
          <w:p>
            <w:pPr>
              <w:pStyle w:val="TableParagraph"/>
              <w:spacing w:line="147" w:lineRule="exact" w:before="1"/>
              <w:ind w:left="50"/>
              <w:rPr>
                <w:b/>
                <w:sz w:val="14"/>
              </w:rPr>
            </w:pPr>
            <w:r>
              <w:rPr>
                <w:b/>
                <w:w w:val="105"/>
                <w:sz w:val="14"/>
              </w:rPr>
              <w:t>Description</w:t>
            </w:r>
          </w:p>
        </w:tc>
        <w:tc>
          <w:tcPr>
            <w:tcW w:w="1468" w:type="dxa"/>
          </w:tcPr>
          <w:p>
            <w:pPr>
              <w:pStyle w:val="TableParagraph"/>
              <w:spacing w:before="5"/>
              <w:rPr>
                <w:sz w:val="14"/>
              </w:rPr>
            </w:pPr>
          </w:p>
          <w:p>
            <w:pPr>
              <w:pStyle w:val="TableParagraph"/>
              <w:spacing w:line="147" w:lineRule="exact" w:before="1"/>
              <w:ind w:left="215"/>
              <w:rPr>
                <w:b/>
                <w:sz w:val="14"/>
              </w:rPr>
            </w:pPr>
            <w:r>
              <w:rPr>
                <w:b/>
                <w:w w:val="105"/>
                <w:sz w:val="14"/>
              </w:rPr>
              <w:t>Resource Codes</w:t>
            </w:r>
          </w:p>
        </w:tc>
        <w:tc>
          <w:tcPr>
            <w:tcW w:w="1069" w:type="dxa"/>
          </w:tcPr>
          <w:p>
            <w:pPr>
              <w:pStyle w:val="TableParagraph"/>
              <w:spacing w:before="5"/>
              <w:rPr>
                <w:sz w:val="14"/>
              </w:rPr>
            </w:pPr>
          </w:p>
          <w:p>
            <w:pPr>
              <w:pStyle w:val="TableParagraph"/>
              <w:spacing w:line="147" w:lineRule="exact" w:before="1"/>
              <w:ind w:left="96"/>
              <w:jc w:val="center"/>
              <w:rPr>
                <w:b/>
                <w:sz w:val="14"/>
              </w:rPr>
            </w:pPr>
            <w:r>
              <w:rPr>
                <w:b/>
                <w:w w:val="105"/>
                <w:sz w:val="14"/>
              </w:rPr>
              <w:t>Object Codes</w:t>
            </w:r>
          </w:p>
        </w:tc>
        <w:tc>
          <w:tcPr>
            <w:tcW w:w="1725" w:type="dxa"/>
          </w:tcPr>
          <w:p>
            <w:pPr>
              <w:pStyle w:val="TableParagraph"/>
              <w:spacing w:line="160" w:lineRule="exact"/>
              <w:ind w:left="102" w:right="304"/>
              <w:jc w:val="center"/>
              <w:rPr>
                <w:b/>
                <w:sz w:val="14"/>
              </w:rPr>
            </w:pPr>
            <w:r>
              <w:rPr>
                <w:b/>
                <w:w w:val="105"/>
                <w:sz w:val="14"/>
              </w:rPr>
              <w:t>2020-21</w:t>
            </w:r>
          </w:p>
          <w:p>
            <w:pPr>
              <w:pStyle w:val="TableParagraph"/>
              <w:spacing w:line="147" w:lineRule="exact" w:before="7"/>
              <w:ind w:left="100" w:right="305"/>
              <w:jc w:val="center"/>
              <w:rPr>
                <w:b/>
                <w:sz w:val="14"/>
              </w:rPr>
            </w:pPr>
            <w:r>
              <w:rPr>
                <w:b/>
                <w:w w:val="105"/>
                <w:sz w:val="14"/>
              </w:rPr>
              <w:t>Estimated Actuals</w:t>
            </w:r>
          </w:p>
        </w:tc>
        <w:tc>
          <w:tcPr>
            <w:tcW w:w="879" w:type="dxa"/>
          </w:tcPr>
          <w:p>
            <w:pPr>
              <w:pStyle w:val="TableParagraph"/>
              <w:spacing w:line="160" w:lineRule="exact"/>
              <w:ind w:left="284"/>
              <w:rPr>
                <w:b/>
                <w:sz w:val="14"/>
              </w:rPr>
            </w:pPr>
            <w:r>
              <w:rPr>
                <w:b/>
                <w:w w:val="105"/>
                <w:sz w:val="14"/>
              </w:rPr>
              <w:t>2021-22</w:t>
            </w:r>
          </w:p>
          <w:p>
            <w:pPr>
              <w:pStyle w:val="TableParagraph"/>
              <w:spacing w:line="147" w:lineRule="exact" w:before="7"/>
              <w:ind w:left="296"/>
              <w:rPr>
                <w:b/>
                <w:sz w:val="14"/>
              </w:rPr>
            </w:pPr>
            <w:r>
              <w:rPr>
                <w:b/>
                <w:w w:val="105"/>
                <w:sz w:val="14"/>
              </w:rPr>
              <w:t>Budget</w:t>
            </w:r>
          </w:p>
        </w:tc>
        <w:tc>
          <w:tcPr>
            <w:tcW w:w="421" w:type="dxa"/>
          </w:tcPr>
          <w:p>
            <w:pPr>
              <w:pStyle w:val="TableParagraph"/>
              <w:rPr>
                <w:rFonts w:ascii="Times New Roman"/>
                <w:sz w:val="14"/>
              </w:rPr>
            </w:pPr>
          </w:p>
        </w:tc>
        <w:tc>
          <w:tcPr>
            <w:tcW w:w="1157" w:type="dxa"/>
          </w:tcPr>
          <w:p>
            <w:pPr>
              <w:pStyle w:val="TableParagraph"/>
              <w:spacing w:line="160" w:lineRule="exact"/>
              <w:ind w:left="508"/>
              <w:rPr>
                <w:b/>
                <w:sz w:val="14"/>
              </w:rPr>
            </w:pPr>
            <w:r>
              <w:rPr>
                <w:b/>
                <w:w w:val="105"/>
                <w:sz w:val="14"/>
              </w:rPr>
              <w:t>Percent</w:t>
            </w:r>
          </w:p>
          <w:p>
            <w:pPr>
              <w:pStyle w:val="TableParagraph"/>
              <w:spacing w:line="147" w:lineRule="exact" w:before="7"/>
              <w:ind w:left="422"/>
              <w:rPr>
                <w:b/>
                <w:sz w:val="14"/>
              </w:rPr>
            </w:pPr>
            <w:r>
              <w:rPr>
                <w:b/>
                <w:w w:val="105"/>
                <w:sz w:val="14"/>
              </w:rPr>
              <w:t>Difference</w:t>
            </w:r>
          </w:p>
        </w:tc>
        <w:tc>
          <w:tcPr>
            <w:tcW w:w="409" w:type="dxa"/>
          </w:tcPr>
          <w:p>
            <w:pPr>
              <w:pStyle w:val="TableParagraph"/>
              <w:rPr>
                <w:rFonts w:ascii="Times New Roman"/>
                <w:sz w:val="14"/>
              </w:rPr>
            </w:pPr>
          </w:p>
        </w:tc>
      </w:tr>
      <w:tr>
        <w:trPr>
          <w:trHeight w:val="376" w:hRule="atLeast"/>
        </w:trPr>
        <w:tc>
          <w:tcPr>
            <w:tcW w:w="3663" w:type="dxa"/>
          </w:tcPr>
          <w:p>
            <w:pPr>
              <w:pStyle w:val="TableParagraph"/>
              <w:spacing w:before="2"/>
              <w:rPr>
                <w:sz w:val="18"/>
              </w:rPr>
            </w:pPr>
          </w:p>
          <w:p>
            <w:pPr>
              <w:pStyle w:val="TableParagraph"/>
              <w:spacing w:line="147" w:lineRule="exact"/>
              <w:ind w:left="50"/>
              <w:rPr>
                <w:b/>
                <w:sz w:val="14"/>
              </w:rPr>
            </w:pPr>
            <w:r>
              <w:rPr>
                <w:b/>
                <w:w w:val="105"/>
                <w:sz w:val="14"/>
              </w:rPr>
              <w:t>A. REVENUES</w:t>
            </w:r>
          </w:p>
        </w:tc>
        <w:tc>
          <w:tcPr>
            <w:tcW w:w="1468" w:type="dxa"/>
          </w:tcPr>
          <w:p>
            <w:pPr>
              <w:pStyle w:val="TableParagraph"/>
              <w:rPr>
                <w:rFonts w:ascii="Times New Roman"/>
                <w:sz w:val="14"/>
              </w:rPr>
            </w:pPr>
          </w:p>
        </w:tc>
        <w:tc>
          <w:tcPr>
            <w:tcW w:w="1069" w:type="dxa"/>
          </w:tcPr>
          <w:p>
            <w:pPr>
              <w:pStyle w:val="TableParagraph"/>
              <w:rPr>
                <w:rFonts w:ascii="Times New Roman"/>
                <w:sz w:val="14"/>
              </w:rPr>
            </w:pPr>
          </w:p>
        </w:tc>
        <w:tc>
          <w:tcPr>
            <w:tcW w:w="1725" w:type="dxa"/>
          </w:tcPr>
          <w:p>
            <w:pPr>
              <w:pStyle w:val="TableParagraph"/>
              <w:rPr>
                <w:rFonts w:ascii="Times New Roman"/>
                <w:sz w:val="14"/>
              </w:rPr>
            </w:pPr>
          </w:p>
        </w:tc>
        <w:tc>
          <w:tcPr>
            <w:tcW w:w="879" w:type="dxa"/>
          </w:tcPr>
          <w:p>
            <w:pPr>
              <w:pStyle w:val="TableParagraph"/>
              <w:rPr>
                <w:rFonts w:ascii="Times New Roman"/>
                <w:sz w:val="14"/>
              </w:rPr>
            </w:pPr>
          </w:p>
        </w:tc>
        <w:tc>
          <w:tcPr>
            <w:tcW w:w="421" w:type="dxa"/>
          </w:tcPr>
          <w:p>
            <w:pPr>
              <w:pStyle w:val="TableParagraph"/>
              <w:rPr>
                <w:rFonts w:ascii="Times New Roman"/>
                <w:sz w:val="14"/>
              </w:rPr>
            </w:pPr>
          </w:p>
        </w:tc>
        <w:tc>
          <w:tcPr>
            <w:tcW w:w="1157" w:type="dxa"/>
            <w:shd w:val="clear" w:color="auto" w:fill="DFDFDF"/>
          </w:tcPr>
          <w:p>
            <w:pPr>
              <w:pStyle w:val="TableParagraph"/>
              <w:rPr>
                <w:rFonts w:ascii="Times New Roman"/>
                <w:sz w:val="14"/>
              </w:rPr>
            </w:pPr>
          </w:p>
        </w:tc>
        <w:tc>
          <w:tcPr>
            <w:tcW w:w="409" w:type="dxa"/>
            <w:shd w:val="clear" w:color="auto" w:fill="DFDFDF"/>
          </w:tcPr>
          <w:p>
            <w:pPr>
              <w:pStyle w:val="TableParagraph"/>
              <w:rPr>
                <w:rFonts w:ascii="Times New Roman"/>
                <w:sz w:val="14"/>
              </w:rPr>
            </w:pPr>
          </w:p>
        </w:tc>
      </w:tr>
      <w:tr>
        <w:trPr>
          <w:trHeight w:val="196" w:hRule="atLeast"/>
        </w:trPr>
        <w:tc>
          <w:tcPr>
            <w:tcW w:w="3663" w:type="dxa"/>
          </w:tcPr>
          <w:p>
            <w:pPr>
              <w:pStyle w:val="TableParagraph"/>
              <w:rPr>
                <w:rFonts w:ascii="Times New Roman"/>
                <w:sz w:val="12"/>
              </w:rPr>
            </w:pPr>
          </w:p>
        </w:tc>
        <w:tc>
          <w:tcPr>
            <w:tcW w:w="1468" w:type="dxa"/>
          </w:tcPr>
          <w:p>
            <w:pPr>
              <w:pStyle w:val="TableParagraph"/>
              <w:rPr>
                <w:rFonts w:ascii="Times New Roman"/>
                <w:sz w:val="12"/>
              </w:rPr>
            </w:pPr>
          </w:p>
        </w:tc>
        <w:tc>
          <w:tcPr>
            <w:tcW w:w="1069" w:type="dxa"/>
          </w:tcPr>
          <w:p>
            <w:pPr>
              <w:pStyle w:val="TableParagraph"/>
              <w:rPr>
                <w:rFonts w:ascii="Times New Roman"/>
                <w:sz w:val="12"/>
              </w:rPr>
            </w:pPr>
          </w:p>
        </w:tc>
        <w:tc>
          <w:tcPr>
            <w:tcW w:w="1725" w:type="dxa"/>
            <w:shd w:val="clear" w:color="auto" w:fill="DFDFDF"/>
          </w:tcPr>
          <w:p>
            <w:pPr>
              <w:pStyle w:val="TableParagraph"/>
              <w:rPr>
                <w:rFonts w:ascii="Times New Roman"/>
                <w:sz w:val="12"/>
              </w:rPr>
            </w:pPr>
          </w:p>
        </w:tc>
        <w:tc>
          <w:tcPr>
            <w:tcW w:w="879" w:type="dxa"/>
            <w:shd w:val="clear" w:color="auto" w:fill="DFDFDF"/>
          </w:tcPr>
          <w:p>
            <w:pPr>
              <w:pStyle w:val="TableParagraph"/>
              <w:rPr>
                <w:rFonts w:ascii="Times New Roman"/>
                <w:sz w:val="12"/>
              </w:rPr>
            </w:pPr>
          </w:p>
        </w:tc>
        <w:tc>
          <w:tcPr>
            <w:tcW w:w="421" w:type="dxa"/>
            <w:shd w:val="clear" w:color="auto" w:fill="DFDFDF"/>
          </w:tcPr>
          <w:p>
            <w:pPr>
              <w:pStyle w:val="TableParagraph"/>
              <w:rPr>
                <w:rFonts w:ascii="Times New Roman"/>
                <w:sz w:val="12"/>
              </w:rPr>
            </w:pPr>
          </w:p>
        </w:tc>
        <w:tc>
          <w:tcPr>
            <w:tcW w:w="1157" w:type="dxa"/>
            <w:shd w:val="clear" w:color="auto" w:fill="DFDFDF"/>
          </w:tcPr>
          <w:p>
            <w:pPr>
              <w:pStyle w:val="TableParagraph"/>
              <w:rPr>
                <w:rFonts w:ascii="Times New Roman"/>
                <w:sz w:val="12"/>
              </w:rPr>
            </w:pPr>
          </w:p>
        </w:tc>
        <w:tc>
          <w:tcPr>
            <w:tcW w:w="409" w:type="dxa"/>
            <w:shd w:val="clear" w:color="auto" w:fill="DFDFDF"/>
          </w:tcPr>
          <w:p>
            <w:pPr>
              <w:pStyle w:val="TableParagraph"/>
              <w:rPr>
                <w:rFonts w:ascii="Times New Roman"/>
                <w:sz w:val="12"/>
              </w:rPr>
            </w:pPr>
          </w:p>
        </w:tc>
      </w:tr>
      <w:tr>
        <w:trPr>
          <w:trHeight w:val="376" w:hRule="atLeast"/>
        </w:trPr>
        <w:tc>
          <w:tcPr>
            <w:tcW w:w="3663" w:type="dxa"/>
          </w:tcPr>
          <w:p>
            <w:pPr>
              <w:pStyle w:val="TableParagraph"/>
              <w:spacing w:before="4"/>
              <w:rPr>
                <w:sz w:val="18"/>
              </w:rPr>
            </w:pPr>
          </w:p>
          <w:p>
            <w:pPr>
              <w:pStyle w:val="TableParagraph"/>
              <w:spacing w:line="145" w:lineRule="exact" w:before="1"/>
              <w:ind w:left="213"/>
              <w:rPr>
                <w:sz w:val="14"/>
              </w:rPr>
            </w:pPr>
            <w:r>
              <w:rPr>
                <w:w w:val="105"/>
                <w:sz w:val="14"/>
              </w:rPr>
              <w:t>1) LCFF Sources</w:t>
            </w:r>
          </w:p>
        </w:tc>
        <w:tc>
          <w:tcPr>
            <w:tcW w:w="1468" w:type="dxa"/>
          </w:tcPr>
          <w:p>
            <w:pPr>
              <w:pStyle w:val="TableParagraph"/>
              <w:rPr>
                <w:rFonts w:ascii="Times New Roman"/>
                <w:sz w:val="14"/>
              </w:rPr>
            </w:pPr>
          </w:p>
        </w:tc>
        <w:tc>
          <w:tcPr>
            <w:tcW w:w="1069" w:type="dxa"/>
          </w:tcPr>
          <w:p>
            <w:pPr>
              <w:pStyle w:val="TableParagraph"/>
              <w:spacing w:before="4"/>
              <w:rPr>
                <w:sz w:val="18"/>
              </w:rPr>
            </w:pPr>
          </w:p>
          <w:p>
            <w:pPr>
              <w:pStyle w:val="TableParagraph"/>
              <w:spacing w:line="145" w:lineRule="exact" w:before="1"/>
              <w:ind w:left="97"/>
              <w:jc w:val="center"/>
              <w:rPr>
                <w:sz w:val="14"/>
              </w:rPr>
            </w:pPr>
            <w:r>
              <w:rPr>
                <w:w w:val="105"/>
                <w:sz w:val="14"/>
              </w:rPr>
              <w:t>8010-8099</w:t>
            </w:r>
          </w:p>
        </w:tc>
        <w:tc>
          <w:tcPr>
            <w:tcW w:w="1725" w:type="dxa"/>
          </w:tcPr>
          <w:p>
            <w:pPr>
              <w:pStyle w:val="TableParagraph"/>
              <w:spacing w:before="4"/>
              <w:rPr>
                <w:sz w:val="18"/>
              </w:rPr>
            </w:pPr>
          </w:p>
          <w:p>
            <w:pPr>
              <w:pStyle w:val="TableParagraph"/>
              <w:spacing w:line="145" w:lineRule="exact" w:before="1"/>
              <w:ind w:right="286"/>
              <w:jc w:val="right"/>
              <w:rPr>
                <w:sz w:val="14"/>
              </w:rPr>
            </w:pPr>
            <w:r>
              <w:rPr>
                <w:sz w:val="14"/>
              </w:rPr>
              <w:t>0.00</w:t>
            </w:r>
          </w:p>
        </w:tc>
        <w:tc>
          <w:tcPr>
            <w:tcW w:w="879" w:type="dxa"/>
          </w:tcPr>
          <w:p>
            <w:pPr>
              <w:pStyle w:val="TableParagraph"/>
              <w:rPr>
                <w:rFonts w:ascii="Times New Roman"/>
                <w:sz w:val="14"/>
              </w:rPr>
            </w:pPr>
          </w:p>
        </w:tc>
        <w:tc>
          <w:tcPr>
            <w:tcW w:w="421" w:type="dxa"/>
          </w:tcPr>
          <w:p>
            <w:pPr>
              <w:pStyle w:val="TableParagraph"/>
              <w:spacing w:before="4"/>
              <w:rPr>
                <w:sz w:val="18"/>
              </w:rPr>
            </w:pPr>
          </w:p>
          <w:p>
            <w:pPr>
              <w:pStyle w:val="TableParagraph"/>
              <w:spacing w:line="145" w:lineRule="exact" w:before="1"/>
              <w:ind w:left="6" w:right="14"/>
              <w:jc w:val="center"/>
              <w:rPr>
                <w:sz w:val="14"/>
              </w:rPr>
            </w:pPr>
            <w:r>
              <w:rPr>
                <w:w w:val="105"/>
                <w:sz w:val="14"/>
              </w:rPr>
              <w:t>0.00</w:t>
            </w:r>
          </w:p>
        </w:tc>
        <w:tc>
          <w:tcPr>
            <w:tcW w:w="1157" w:type="dxa"/>
            <w:shd w:val="clear" w:color="auto" w:fill="DFDFDF"/>
          </w:tcPr>
          <w:p>
            <w:pPr>
              <w:pStyle w:val="TableParagraph"/>
              <w:rPr>
                <w:rFonts w:ascii="Times New Roman"/>
                <w:sz w:val="14"/>
              </w:rPr>
            </w:pPr>
          </w:p>
        </w:tc>
        <w:tc>
          <w:tcPr>
            <w:tcW w:w="409" w:type="dxa"/>
            <w:shd w:val="clear" w:color="auto" w:fill="DFDFDF"/>
          </w:tcPr>
          <w:p>
            <w:pPr>
              <w:pStyle w:val="TableParagraph"/>
              <w:spacing w:before="4"/>
              <w:rPr>
                <w:sz w:val="18"/>
              </w:rPr>
            </w:pPr>
          </w:p>
          <w:p>
            <w:pPr>
              <w:pStyle w:val="TableParagraph"/>
              <w:spacing w:line="145" w:lineRule="exact" w:before="1"/>
              <w:ind w:left="3" w:right="25"/>
              <w:jc w:val="center"/>
              <w:rPr>
                <w:sz w:val="14"/>
              </w:rPr>
            </w:pPr>
            <w:r>
              <w:rPr>
                <w:w w:val="105"/>
                <w:sz w:val="14"/>
              </w:rPr>
              <w:t>0.0%</w:t>
            </w:r>
          </w:p>
        </w:tc>
      </w:tr>
      <w:tr>
        <w:trPr>
          <w:trHeight w:val="481" w:hRule="atLeast"/>
        </w:trPr>
        <w:tc>
          <w:tcPr>
            <w:tcW w:w="3663" w:type="dxa"/>
          </w:tcPr>
          <w:p>
            <w:pPr>
              <w:pStyle w:val="TableParagraph"/>
              <w:spacing w:before="4"/>
              <w:rPr>
                <w:sz w:val="18"/>
              </w:rPr>
            </w:pPr>
          </w:p>
          <w:p>
            <w:pPr>
              <w:pStyle w:val="TableParagraph"/>
              <w:spacing w:before="1"/>
              <w:ind w:left="213"/>
              <w:rPr>
                <w:sz w:val="14"/>
              </w:rPr>
            </w:pPr>
            <w:r>
              <w:rPr>
                <w:w w:val="105"/>
                <w:sz w:val="14"/>
              </w:rPr>
              <w:t>2) Federal Revenue</w:t>
            </w:r>
          </w:p>
        </w:tc>
        <w:tc>
          <w:tcPr>
            <w:tcW w:w="1468" w:type="dxa"/>
          </w:tcPr>
          <w:p>
            <w:pPr>
              <w:pStyle w:val="TableParagraph"/>
              <w:rPr>
                <w:rFonts w:ascii="Times New Roman"/>
                <w:sz w:val="14"/>
              </w:rPr>
            </w:pPr>
          </w:p>
        </w:tc>
        <w:tc>
          <w:tcPr>
            <w:tcW w:w="1069" w:type="dxa"/>
          </w:tcPr>
          <w:p>
            <w:pPr>
              <w:pStyle w:val="TableParagraph"/>
              <w:spacing w:before="4"/>
              <w:rPr>
                <w:sz w:val="18"/>
              </w:rPr>
            </w:pPr>
          </w:p>
          <w:p>
            <w:pPr>
              <w:pStyle w:val="TableParagraph"/>
              <w:spacing w:before="1"/>
              <w:ind w:left="97"/>
              <w:jc w:val="center"/>
              <w:rPr>
                <w:sz w:val="14"/>
              </w:rPr>
            </w:pPr>
            <w:r>
              <w:rPr>
                <w:w w:val="105"/>
                <w:sz w:val="14"/>
              </w:rPr>
              <w:t>8100-8299</w:t>
            </w:r>
          </w:p>
        </w:tc>
        <w:tc>
          <w:tcPr>
            <w:tcW w:w="1725" w:type="dxa"/>
          </w:tcPr>
          <w:p>
            <w:pPr>
              <w:pStyle w:val="TableParagraph"/>
              <w:spacing w:before="4"/>
              <w:rPr>
                <w:sz w:val="18"/>
              </w:rPr>
            </w:pPr>
          </w:p>
          <w:p>
            <w:pPr>
              <w:pStyle w:val="TableParagraph"/>
              <w:spacing w:before="1"/>
              <w:ind w:right="286"/>
              <w:jc w:val="right"/>
              <w:rPr>
                <w:sz w:val="14"/>
              </w:rPr>
            </w:pPr>
            <w:r>
              <w:rPr>
                <w:sz w:val="14"/>
              </w:rPr>
              <w:t>0.00</w:t>
            </w:r>
          </w:p>
        </w:tc>
        <w:tc>
          <w:tcPr>
            <w:tcW w:w="879" w:type="dxa"/>
          </w:tcPr>
          <w:p>
            <w:pPr>
              <w:pStyle w:val="TableParagraph"/>
              <w:rPr>
                <w:rFonts w:ascii="Times New Roman"/>
                <w:sz w:val="14"/>
              </w:rPr>
            </w:pPr>
          </w:p>
        </w:tc>
        <w:tc>
          <w:tcPr>
            <w:tcW w:w="421" w:type="dxa"/>
          </w:tcPr>
          <w:p>
            <w:pPr>
              <w:pStyle w:val="TableParagraph"/>
              <w:spacing w:before="4"/>
              <w:rPr>
                <w:sz w:val="18"/>
              </w:rPr>
            </w:pPr>
          </w:p>
          <w:p>
            <w:pPr>
              <w:pStyle w:val="TableParagraph"/>
              <w:spacing w:before="1"/>
              <w:ind w:left="6" w:right="14"/>
              <w:jc w:val="center"/>
              <w:rPr>
                <w:sz w:val="14"/>
              </w:rPr>
            </w:pPr>
            <w:r>
              <w:rPr>
                <w:w w:val="105"/>
                <w:sz w:val="14"/>
              </w:rPr>
              <w:t>0.00</w:t>
            </w:r>
          </w:p>
        </w:tc>
        <w:tc>
          <w:tcPr>
            <w:tcW w:w="1157" w:type="dxa"/>
          </w:tcPr>
          <w:p>
            <w:pPr>
              <w:pStyle w:val="TableParagraph"/>
              <w:rPr>
                <w:rFonts w:ascii="Times New Roman"/>
                <w:sz w:val="14"/>
              </w:rPr>
            </w:pPr>
          </w:p>
        </w:tc>
        <w:tc>
          <w:tcPr>
            <w:tcW w:w="409" w:type="dxa"/>
          </w:tcPr>
          <w:p>
            <w:pPr>
              <w:pStyle w:val="TableParagraph"/>
              <w:spacing w:before="4"/>
              <w:rPr>
                <w:sz w:val="18"/>
              </w:rPr>
            </w:pPr>
          </w:p>
          <w:p>
            <w:pPr>
              <w:pStyle w:val="TableParagraph"/>
              <w:spacing w:before="1"/>
              <w:ind w:left="3" w:right="25"/>
              <w:jc w:val="center"/>
              <w:rPr>
                <w:sz w:val="14"/>
              </w:rPr>
            </w:pPr>
            <w:r>
              <w:rPr>
                <w:w w:val="105"/>
                <w:sz w:val="14"/>
              </w:rPr>
              <w:t>0.0%</w:t>
            </w:r>
          </w:p>
        </w:tc>
      </w:tr>
      <w:tr>
        <w:trPr>
          <w:trHeight w:val="376" w:hRule="atLeast"/>
        </w:trPr>
        <w:tc>
          <w:tcPr>
            <w:tcW w:w="3663" w:type="dxa"/>
          </w:tcPr>
          <w:p>
            <w:pPr>
              <w:pStyle w:val="TableParagraph"/>
              <w:spacing w:before="107"/>
              <w:ind w:left="213"/>
              <w:rPr>
                <w:sz w:val="14"/>
              </w:rPr>
            </w:pPr>
            <w:r>
              <w:rPr>
                <w:w w:val="105"/>
                <w:sz w:val="14"/>
              </w:rPr>
              <w:t>3) Other State Revenue</w:t>
            </w:r>
          </w:p>
        </w:tc>
        <w:tc>
          <w:tcPr>
            <w:tcW w:w="1468" w:type="dxa"/>
          </w:tcPr>
          <w:p>
            <w:pPr>
              <w:pStyle w:val="TableParagraph"/>
              <w:rPr>
                <w:rFonts w:ascii="Times New Roman"/>
                <w:sz w:val="14"/>
              </w:rPr>
            </w:pPr>
          </w:p>
        </w:tc>
        <w:tc>
          <w:tcPr>
            <w:tcW w:w="1069" w:type="dxa"/>
          </w:tcPr>
          <w:p>
            <w:pPr>
              <w:pStyle w:val="TableParagraph"/>
              <w:spacing w:before="107"/>
              <w:ind w:left="97"/>
              <w:jc w:val="center"/>
              <w:rPr>
                <w:sz w:val="14"/>
              </w:rPr>
            </w:pPr>
            <w:r>
              <w:rPr>
                <w:w w:val="105"/>
                <w:sz w:val="14"/>
              </w:rPr>
              <w:t>8300-8599</w:t>
            </w:r>
          </w:p>
        </w:tc>
        <w:tc>
          <w:tcPr>
            <w:tcW w:w="1725" w:type="dxa"/>
          </w:tcPr>
          <w:p>
            <w:pPr>
              <w:pStyle w:val="TableParagraph"/>
              <w:spacing w:before="107"/>
              <w:ind w:right="286"/>
              <w:jc w:val="right"/>
              <w:rPr>
                <w:sz w:val="14"/>
              </w:rPr>
            </w:pPr>
            <w:r>
              <w:rPr>
                <w:sz w:val="14"/>
              </w:rPr>
              <w:t>0.00</w:t>
            </w:r>
          </w:p>
        </w:tc>
        <w:tc>
          <w:tcPr>
            <w:tcW w:w="879" w:type="dxa"/>
          </w:tcPr>
          <w:p>
            <w:pPr>
              <w:pStyle w:val="TableParagraph"/>
              <w:rPr>
                <w:rFonts w:ascii="Times New Roman"/>
                <w:sz w:val="14"/>
              </w:rPr>
            </w:pPr>
          </w:p>
        </w:tc>
        <w:tc>
          <w:tcPr>
            <w:tcW w:w="421" w:type="dxa"/>
          </w:tcPr>
          <w:p>
            <w:pPr>
              <w:pStyle w:val="TableParagraph"/>
              <w:spacing w:before="107"/>
              <w:ind w:left="6" w:right="14"/>
              <w:jc w:val="center"/>
              <w:rPr>
                <w:sz w:val="14"/>
              </w:rPr>
            </w:pPr>
            <w:r>
              <w:rPr>
                <w:w w:val="105"/>
                <w:sz w:val="14"/>
              </w:rPr>
              <w:t>0.00</w:t>
            </w:r>
          </w:p>
        </w:tc>
        <w:tc>
          <w:tcPr>
            <w:tcW w:w="1157" w:type="dxa"/>
          </w:tcPr>
          <w:p>
            <w:pPr>
              <w:pStyle w:val="TableParagraph"/>
              <w:rPr>
                <w:rFonts w:ascii="Times New Roman"/>
                <w:sz w:val="14"/>
              </w:rPr>
            </w:pPr>
          </w:p>
        </w:tc>
        <w:tc>
          <w:tcPr>
            <w:tcW w:w="409" w:type="dxa"/>
          </w:tcPr>
          <w:p>
            <w:pPr>
              <w:pStyle w:val="TableParagraph"/>
              <w:spacing w:before="107"/>
              <w:ind w:left="3" w:right="25"/>
              <w:jc w:val="center"/>
              <w:rPr>
                <w:sz w:val="14"/>
              </w:rPr>
            </w:pPr>
            <w:r>
              <w:rPr>
                <w:w w:val="105"/>
                <w:sz w:val="14"/>
              </w:rPr>
              <w:t>0.0%</w:t>
            </w:r>
          </w:p>
        </w:tc>
      </w:tr>
      <w:tr>
        <w:trPr>
          <w:trHeight w:val="376" w:hRule="atLeast"/>
        </w:trPr>
        <w:tc>
          <w:tcPr>
            <w:tcW w:w="3663" w:type="dxa"/>
          </w:tcPr>
          <w:p>
            <w:pPr>
              <w:pStyle w:val="TableParagraph"/>
              <w:spacing w:before="107"/>
              <w:ind w:left="213"/>
              <w:rPr>
                <w:sz w:val="14"/>
              </w:rPr>
            </w:pPr>
            <w:r>
              <w:rPr>
                <w:w w:val="105"/>
                <w:sz w:val="14"/>
              </w:rPr>
              <w:t>4) Other Local Revenue</w:t>
            </w:r>
          </w:p>
        </w:tc>
        <w:tc>
          <w:tcPr>
            <w:tcW w:w="1468" w:type="dxa"/>
          </w:tcPr>
          <w:p>
            <w:pPr>
              <w:pStyle w:val="TableParagraph"/>
              <w:rPr>
                <w:rFonts w:ascii="Times New Roman"/>
                <w:sz w:val="14"/>
              </w:rPr>
            </w:pPr>
          </w:p>
        </w:tc>
        <w:tc>
          <w:tcPr>
            <w:tcW w:w="1069" w:type="dxa"/>
          </w:tcPr>
          <w:p>
            <w:pPr>
              <w:pStyle w:val="TableParagraph"/>
              <w:spacing w:before="107"/>
              <w:ind w:left="97"/>
              <w:jc w:val="center"/>
              <w:rPr>
                <w:sz w:val="14"/>
              </w:rPr>
            </w:pPr>
            <w:r>
              <w:rPr>
                <w:w w:val="105"/>
                <w:sz w:val="14"/>
              </w:rPr>
              <w:t>8600-8799</w:t>
            </w:r>
          </w:p>
        </w:tc>
        <w:tc>
          <w:tcPr>
            <w:tcW w:w="1725" w:type="dxa"/>
          </w:tcPr>
          <w:p>
            <w:pPr>
              <w:pStyle w:val="TableParagraph"/>
              <w:spacing w:before="107"/>
              <w:ind w:right="286"/>
              <w:jc w:val="right"/>
              <w:rPr>
                <w:sz w:val="14"/>
              </w:rPr>
            </w:pPr>
            <w:r>
              <w:rPr>
                <w:sz w:val="14"/>
              </w:rPr>
              <w:t>0.00</w:t>
            </w:r>
          </w:p>
        </w:tc>
        <w:tc>
          <w:tcPr>
            <w:tcW w:w="879" w:type="dxa"/>
          </w:tcPr>
          <w:p>
            <w:pPr>
              <w:pStyle w:val="TableParagraph"/>
              <w:rPr>
                <w:rFonts w:ascii="Times New Roman"/>
                <w:sz w:val="14"/>
              </w:rPr>
            </w:pPr>
          </w:p>
        </w:tc>
        <w:tc>
          <w:tcPr>
            <w:tcW w:w="421" w:type="dxa"/>
          </w:tcPr>
          <w:p>
            <w:pPr>
              <w:pStyle w:val="TableParagraph"/>
              <w:spacing w:before="107"/>
              <w:ind w:left="6" w:right="14"/>
              <w:jc w:val="center"/>
              <w:rPr>
                <w:sz w:val="14"/>
              </w:rPr>
            </w:pPr>
            <w:r>
              <w:rPr>
                <w:w w:val="105"/>
                <w:sz w:val="14"/>
              </w:rPr>
              <w:t>0.00</w:t>
            </w:r>
          </w:p>
        </w:tc>
        <w:tc>
          <w:tcPr>
            <w:tcW w:w="1157" w:type="dxa"/>
          </w:tcPr>
          <w:p>
            <w:pPr>
              <w:pStyle w:val="TableParagraph"/>
              <w:rPr>
                <w:rFonts w:ascii="Times New Roman"/>
                <w:sz w:val="14"/>
              </w:rPr>
            </w:pPr>
          </w:p>
        </w:tc>
        <w:tc>
          <w:tcPr>
            <w:tcW w:w="409" w:type="dxa"/>
          </w:tcPr>
          <w:p>
            <w:pPr>
              <w:pStyle w:val="TableParagraph"/>
              <w:spacing w:before="107"/>
              <w:ind w:left="3" w:right="25"/>
              <w:jc w:val="center"/>
              <w:rPr>
                <w:sz w:val="14"/>
              </w:rPr>
            </w:pPr>
            <w:r>
              <w:rPr>
                <w:w w:val="105"/>
                <w:sz w:val="14"/>
              </w:rPr>
              <w:t>0.0%</w:t>
            </w:r>
          </w:p>
        </w:tc>
      </w:tr>
      <w:tr>
        <w:trPr>
          <w:trHeight w:val="375" w:hRule="atLeast"/>
        </w:trPr>
        <w:tc>
          <w:tcPr>
            <w:tcW w:w="3663" w:type="dxa"/>
          </w:tcPr>
          <w:p>
            <w:pPr>
              <w:pStyle w:val="TableParagraph"/>
              <w:spacing w:before="107"/>
              <w:ind w:left="213"/>
              <w:rPr>
                <w:sz w:val="14"/>
              </w:rPr>
            </w:pPr>
            <w:r>
              <w:rPr>
                <w:w w:val="105"/>
                <w:sz w:val="14"/>
              </w:rPr>
              <w:t>5) TOTAL, REVENUES</w:t>
            </w:r>
          </w:p>
        </w:tc>
        <w:tc>
          <w:tcPr>
            <w:tcW w:w="1468" w:type="dxa"/>
          </w:tcPr>
          <w:p>
            <w:pPr>
              <w:pStyle w:val="TableParagraph"/>
              <w:rPr>
                <w:rFonts w:ascii="Times New Roman"/>
                <w:sz w:val="14"/>
              </w:rPr>
            </w:pPr>
          </w:p>
        </w:tc>
        <w:tc>
          <w:tcPr>
            <w:tcW w:w="1069" w:type="dxa"/>
          </w:tcPr>
          <w:p>
            <w:pPr>
              <w:pStyle w:val="TableParagraph"/>
              <w:rPr>
                <w:rFonts w:ascii="Times New Roman"/>
                <w:sz w:val="14"/>
              </w:rPr>
            </w:pPr>
          </w:p>
        </w:tc>
        <w:tc>
          <w:tcPr>
            <w:tcW w:w="1725" w:type="dxa"/>
          </w:tcPr>
          <w:p>
            <w:pPr>
              <w:pStyle w:val="TableParagraph"/>
              <w:spacing w:before="107"/>
              <w:ind w:right="286"/>
              <w:jc w:val="right"/>
              <w:rPr>
                <w:sz w:val="14"/>
              </w:rPr>
            </w:pPr>
            <w:r>
              <w:rPr>
                <w:sz w:val="14"/>
              </w:rPr>
              <w:t>0.00</w:t>
            </w:r>
          </w:p>
        </w:tc>
        <w:tc>
          <w:tcPr>
            <w:tcW w:w="879" w:type="dxa"/>
          </w:tcPr>
          <w:p>
            <w:pPr>
              <w:pStyle w:val="TableParagraph"/>
              <w:rPr>
                <w:rFonts w:ascii="Times New Roman"/>
                <w:sz w:val="14"/>
              </w:rPr>
            </w:pPr>
          </w:p>
        </w:tc>
        <w:tc>
          <w:tcPr>
            <w:tcW w:w="421" w:type="dxa"/>
          </w:tcPr>
          <w:p>
            <w:pPr>
              <w:pStyle w:val="TableParagraph"/>
              <w:spacing w:before="107"/>
              <w:ind w:left="6" w:right="14"/>
              <w:jc w:val="center"/>
              <w:rPr>
                <w:sz w:val="14"/>
              </w:rPr>
            </w:pPr>
            <w:r>
              <w:rPr>
                <w:w w:val="105"/>
                <w:sz w:val="14"/>
              </w:rPr>
              <w:t>0.00</w:t>
            </w:r>
          </w:p>
        </w:tc>
        <w:tc>
          <w:tcPr>
            <w:tcW w:w="1157" w:type="dxa"/>
          </w:tcPr>
          <w:p>
            <w:pPr>
              <w:pStyle w:val="TableParagraph"/>
              <w:rPr>
                <w:rFonts w:ascii="Times New Roman"/>
                <w:sz w:val="14"/>
              </w:rPr>
            </w:pPr>
          </w:p>
        </w:tc>
        <w:tc>
          <w:tcPr>
            <w:tcW w:w="409" w:type="dxa"/>
          </w:tcPr>
          <w:p>
            <w:pPr>
              <w:pStyle w:val="TableParagraph"/>
              <w:spacing w:before="107"/>
              <w:ind w:left="3" w:right="25"/>
              <w:jc w:val="center"/>
              <w:rPr>
                <w:sz w:val="14"/>
              </w:rPr>
            </w:pPr>
            <w:r>
              <w:rPr>
                <w:w w:val="105"/>
                <w:sz w:val="14"/>
              </w:rPr>
              <w:t>0.0%</w:t>
            </w:r>
          </w:p>
        </w:tc>
      </w:tr>
      <w:tr>
        <w:trPr>
          <w:trHeight w:val="265" w:hRule="atLeast"/>
        </w:trPr>
        <w:tc>
          <w:tcPr>
            <w:tcW w:w="3663" w:type="dxa"/>
          </w:tcPr>
          <w:p>
            <w:pPr>
              <w:pStyle w:val="TableParagraph"/>
              <w:spacing w:line="140" w:lineRule="exact" w:before="105"/>
              <w:ind w:left="50"/>
              <w:rPr>
                <w:b/>
                <w:sz w:val="14"/>
              </w:rPr>
            </w:pPr>
            <w:r>
              <w:rPr>
                <w:b/>
                <w:w w:val="105"/>
                <w:sz w:val="14"/>
              </w:rPr>
              <w:t>B. EXPENDITURES</w:t>
            </w:r>
          </w:p>
        </w:tc>
        <w:tc>
          <w:tcPr>
            <w:tcW w:w="7128" w:type="dxa"/>
            <w:gridSpan w:val="7"/>
          </w:tcPr>
          <w:p>
            <w:pPr>
              <w:pStyle w:val="TableParagraph"/>
              <w:rPr>
                <w:rFonts w:ascii="Times New Roman"/>
                <w:sz w:val="14"/>
              </w:rPr>
            </w:pPr>
          </w:p>
        </w:tc>
      </w:tr>
      <w:tr>
        <w:trPr>
          <w:trHeight w:val="685" w:hRule="atLeast"/>
        </w:trPr>
        <w:tc>
          <w:tcPr>
            <w:tcW w:w="3663" w:type="dxa"/>
          </w:tcPr>
          <w:p>
            <w:pPr>
              <w:pStyle w:val="TableParagraph"/>
              <w:rPr>
                <w:sz w:val="16"/>
              </w:rPr>
            </w:pPr>
          </w:p>
          <w:p>
            <w:pPr>
              <w:pStyle w:val="TableParagraph"/>
              <w:spacing w:before="1"/>
              <w:rPr>
                <w:sz w:val="20"/>
              </w:rPr>
            </w:pPr>
          </w:p>
          <w:p>
            <w:pPr>
              <w:pStyle w:val="TableParagraph"/>
              <w:spacing w:before="1"/>
              <w:ind w:left="213"/>
              <w:rPr>
                <w:sz w:val="14"/>
              </w:rPr>
            </w:pPr>
            <w:r>
              <w:rPr>
                <w:w w:val="105"/>
                <w:sz w:val="14"/>
              </w:rPr>
              <w:t>1) Certificated Salaries</w:t>
            </w:r>
          </w:p>
        </w:tc>
        <w:tc>
          <w:tcPr>
            <w:tcW w:w="2537" w:type="dxa"/>
            <w:gridSpan w:val="2"/>
          </w:tcPr>
          <w:p>
            <w:pPr>
              <w:pStyle w:val="TableParagraph"/>
              <w:rPr>
                <w:sz w:val="16"/>
              </w:rPr>
            </w:pPr>
          </w:p>
          <w:p>
            <w:pPr>
              <w:pStyle w:val="TableParagraph"/>
              <w:spacing w:before="1"/>
              <w:rPr>
                <w:sz w:val="20"/>
              </w:rPr>
            </w:pPr>
          </w:p>
          <w:p>
            <w:pPr>
              <w:pStyle w:val="TableParagraph"/>
              <w:spacing w:before="1"/>
              <w:ind w:right="142"/>
              <w:jc w:val="right"/>
              <w:rPr>
                <w:sz w:val="14"/>
              </w:rPr>
            </w:pPr>
            <w:r>
              <w:rPr>
                <w:sz w:val="14"/>
              </w:rPr>
              <w:t>1000-1999</w:t>
            </w:r>
          </w:p>
        </w:tc>
        <w:tc>
          <w:tcPr>
            <w:tcW w:w="1725" w:type="dxa"/>
          </w:tcPr>
          <w:p>
            <w:pPr>
              <w:pStyle w:val="TableParagraph"/>
              <w:rPr>
                <w:sz w:val="16"/>
              </w:rPr>
            </w:pPr>
          </w:p>
          <w:p>
            <w:pPr>
              <w:pStyle w:val="TableParagraph"/>
              <w:spacing w:before="1"/>
              <w:rPr>
                <w:sz w:val="20"/>
              </w:rPr>
            </w:pPr>
          </w:p>
          <w:p>
            <w:pPr>
              <w:pStyle w:val="TableParagraph"/>
              <w:spacing w:before="1"/>
              <w:ind w:right="286"/>
              <w:jc w:val="right"/>
              <w:rPr>
                <w:sz w:val="14"/>
              </w:rPr>
            </w:pPr>
            <w:r>
              <w:rPr>
                <w:sz w:val="14"/>
              </w:rPr>
              <w:t>0.00</w:t>
            </w:r>
          </w:p>
        </w:tc>
        <w:tc>
          <w:tcPr>
            <w:tcW w:w="1300" w:type="dxa"/>
            <w:gridSpan w:val="2"/>
          </w:tcPr>
          <w:p>
            <w:pPr>
              <w:pStyle w:val="TableParagraph"/>
              <w:rPr>
                <w:sz w:val="16"/>
              </w:rPr>
            </w:pPr>
          </w:p>
          <w:p>
            <w:pPr>
              <w:pStyle w:val="TableParagraph"/>
              <w:spacing w:before="1"/>
              <w:rPr>
                <w:sz w:val="20"/>
              </w:rPr>
            </w:pPr>
          </w:p>
          <w:p>
            <w:pPr>
              <w:pStyle w:val="TableParagraph"/>
              <w:spacing w:before="1"/>
              <w:ind w:right="74"/>
              <w:jc w:val="right"/>
              <w:rPr>
                <w:sz w:val="14"/>
              </w:rPr>
            </w:pPr>
            <w:r>
              <w:rPr>
                <w:sz w:val="14"/>
              </w:rPr>
              <w:t>0.00</w:t>
            </w:r>
          </w:p>
        </w:tc>
        <w:tc>
          <w:tcPr>
            <w:tcW w:w="1566" w:type="dxa"/>
            <w:gridSpan w:val="2"/>
          </w:tcPr>
          <w:p>
            <w:pPr>
              <w:pStyle w:val="TableParagraph"/>
              <w:rPr>
                <w:sz w:val="16"/>
              </w:rPr>
            </w:pPr>
          </w:p>
          <w:p>
            <w:pPr>
              <w:pStyle w:val="TableParagraph"/>
              <w:spacing w:before="1"/>
              <w:rPr>
                <w:sz w:val="20"/>
              </w:rPr>
            </w:pPr>
          </w:p>
          <w:p>
            <w:pPr>
              <w:pStyle w:val="TableParagraph"/>
              <w:spacing w:before="1"/>
              <w:ind w:right="51"/>
              <w:jc w:val="right"/>
              <w:rPr>
                <w:sz w:val="14"/>
              </w:rPr>
            </w:pPr>
            <w:r>
              <w:rPr>
                <w:sz w:val="14"/>
              </w:rPr>
              <w:t>0.0%</w:t>
            </w:r>
          </w:p>
        </w:tc>
      </w:tr>
      <w:tr>
        <w:trPr>
          <w:trHeight w:val="376" w:hRule="atLeast"/>
        </w:trPr>
        <w:tc>
          <w:tcPr>
            <w:tcW w:w="3663" w:type="dxa"/>
          </w:tcPr>
          <w:p>
            <w:pPr>
              <w:pStyle w:val="TableParagraph"/>
              <w:spacing w:before="107"/>
              <w:ind w:left="213"/>
              <w:rPr>
                <w:sz w:val="14"/>
              </w:rPr>
            </w:pPr>
            <w:r>
              <w:rPr>
                <w:w w:val="105"/>
                <w:sz w:val="14"/>
              </w:rPr>
              <w:t>2) Classified Salaries</w:t>
            </w:r>
          </w:p>
        </w:tc>
        <w:tc>
          <w:tcPr>
            <w:tcW w:w="2537" w:type="dxa"/>
            <w:gridSpan w:val="2"/>
          </w:tcPr>
          <w:p>
            <w:pPr>
              <w:pStyle w:val="TableParagraph"/>
              <w:spacing w:before="107"/>
              <w:ind w:right="142"/>
              <w:jc w:val="right"/>
              <w:rPr>
                <w:sz w:val="14"/>
              </w:rPr>
            </w:pPr>
            <w:r>
              <w:rPr>
                <w:sz w:val="14"/>
              </w:rPr>
              <w:t>2000-2999</w:t>
            </w:r>
          </w:p>
        </w:tc>
        <w:tc>
          <w:tcPr>
            <w:tcW w:w="1725" w:type="dxa"/>
          </w:tcPr>
          <w:p>
            <w:pPr>
              <w:pStyle w:val="TableParagraph"/>
              <w:spacing w:before="107"/>
              <w:ind w:right="286"/>
              <w:jc w:val="right"/>
              <w:rPr>
                <w:sz w:val="14"/>
              </w:rPr>
            </w:pPr>
            <w:r>
              <w:rPr>
                <w:sz w:val="14"/>
              </w:rPr>
              <w:t>0.00</w:t>
            </w:r>
          </w:p>
        </w:tc>
        <w:tc>
          <w:tcPr>
            <w:tcW w:w="1300" w:type="dxa"/>
            <w:gridSpan w:val="2"/>
          </w:tcPr>
          <w:p>
            <w:pPr>
              <w:pStyle w:val="TableParagraph"/>
              <w:spacing w:before="107"/>
              <w:ind w:right="74"/>
              <w:jc w:val="right"/>
              <w:rPr>
                <w:sz w:val="14"/>
              </w:rPr>
            </w:pPr>
            <w:r>
              <w:rPr>
                <w:sz w:val="14"/>
              </w:rPr>
              <w:t>0.00</w:t>
            </w:r>
          </w:p>
        </w:tc>
        <w:tc>
          <w:tcPr>
            <w:tcW w:w="1566" w:type="dxa"/>
            <w:gridSpan w:val="2"/>
          </w:tcPr>
          <w:p>
            <w:pPr>
              <w:pStyle w:val="TableParagraph"/>
              <w:spacing w:before="107"/>
              <w:ind w:right="51"/>
              <w:jc w:val="right"/>
              <w:rPr>
                <w:sz w:val="14"/>
              </w:rPr>
            </w:pPr>
            <w:r>
              <w:rPr>
                <w:sz w:val="14"/>
              </w:rPr>
              <w:t>0.0%</w:t>
            </w:r>
          </w:p>
        </w:tc>
      </w:tr>
      <w:tr>
        <w:trPr>
          <w:trHeight w:val="376" w:hRule="atLeast"/>
        </w:trPr>
        <w:tc>
          <w:tcPr>
            <w:tcW w:w="3663" w:type="dxa"/>
          </w:tcPr>
          <w:p>
            <w:pPr>
              <w:pStyle w:val="TableParagraph"/>
              <w:spacing w:before="107"/>
              <w:ind w:left="213"/>
              <w:rPr>
                <w:sz w:val="14"/>
              </w:rPr>
            </w:pPr>
            <w:r>
              <w:rPr>
                <w:w w:val="105"/>
                <w:sz w:val="14"/>
              </w:rPr>
              <w:t>3) Employee Benefits</w:t>
            </w:r>
          </w:p>
        </w:tc>
        <w:tc>
          <w:tcPr>
            <w:tcW w:w="2537" w:type="dxa"/>
            <w:gridSpan w:val="2"/>
          </w:tcPr>
          <w:p>
            <w:pPr>
              <w:pStyle w:val="TableParagraph"/>
              <w:spacing w:before="107"/>
              <w:ind w:right="142"/>
              <w:jc w:val="right"/>
              <w:rPr>
                <w:sz w:val="14"/>
              </w:rPr>
            </w:pPr>
            <w:r>
              <w:rPr>
                <w:sz w:val="14"/>
              </w:rPr>
              <w:t>3000-3999</w:t>
            </w:r>
          </w:p>
        </w:tc>
        <w:tc>
          <w:tcPr>
            <w:tcW w:w="1725" w:type="dxa"/>
          </w:tcPr>
          <w:p>
            <w:pPr>
              <w:pStyle w:val="TableParagraph"/>
              <w:spacing w:before="107"/>
              <w:ind w:right="286"/>
              <w:jc w:val="right"/>
              <w:rPr>
                <w:sz w:val="14"/>
              </w:rPr>
            </w:pPr>
            <w:r>
              <w:rPr>
                <w:sz w:val="14"/>
              </w:rPr>
              <w:t>0.00</w:t>
            </w:r>
          </w:p>
        </w:tc>
        <w:tc>
          <w:tcPr>
            <w:tcW w:w="1300" w:type="dxa"/>
            <w:gridSpan w:val="2"/>
          </w:tcPr>
          <w:p>
            <w:pPr>
              <w:pStyle w:val="TableParagraph"/>
              <w:spacing w:before="107"/>
              <w:ind w:right="74"/>
              <w:jc w:val="right"/>
              <w:rPr>
                <w:sz w:val="14"/>
              </w:rPr>
            </w:pPr>
            <w:r>
              <w:rPr>
                <w:sz w:val="14"/>
              </w:rPr>
              <w:t>0.00</w:t>
            </w:r>
          </w:p>
        </w:tc>
        <w:tc>
          <w:tcPr>
            <w:tcW w:w="1566" w:type="dxa"/>
            <w:gridSpan w:val="2"/>
          </w:tcPr>
          <w:p>
            <w:pPr>
              <w:pStyle w:val="TableParagraph"/>
              <w:spacing w:before="107"/>
              <w:ind w:right="51"/>
              <w:jc w:val="right"/>
              <w:rPr>
                <w:sz w:val="14"/>
              </w:rPr>
            </w:pPr>
            <w:r>
              <w:rPr>
                <w:sz w:val="14"/>
              </w:rPr>
              <w:t>0.0%</w:t>
            </w:r>
          </w:p>
        </w:tc>
      </w:tr>
      <w:tr>
        <w:trPr>
          <w:trHeight w:val="376" w:hRule="atLeast"/>
        </w:trPr>
        <w:tc>
          <w:tcPr>
            <w:tcW w:w="3663" w:type="dxa"/>
          </w:tcPr>
          <w:p>
            <w:pPr>
              <w:pStyle w:val="TableParagraph"/>
              <w:spacing w:before="107"/>
              <w:ind w:left="213"/>
              <w:rPr>
                <w:sz w:val="14"/>
              </w:rPr>
            </w:pPr>
            <w:r>
              <w:rPr>
                <w:w w:val="105"/>
                <w:sz w:val="14"/>
              </w:rPr>
              <w:t>4) Books and Supplies</w:t>
            </w:r>
          </w:p>
        </w:tc>
        <w:tc>
          <w:tcPr>
            <w:tcW w:w="2537" w:type="dxa"/>
            <w:gridSpan w:val="2"/>
          </w:tcPr>
          <w:p>
            <w:pPr>
              <w:pStyle w:val="TableParagraph"/>
              <w:spacing w:before="107"/>
              <w:ind w:right="142"/>
              <w:jc w:val="right"/>
              <w:rPr>
                <w:sz w:val="14"/>
              </w:rPr>
            </w:pPr>
            <w:r>
              <w:rPr>
                <w:sz w:val="14"/>
              </w:rPr>
              <w:t>4000-4999</w:t>
            </w:r>
          </w:p>
        </w:tc>
        <w:tc>
          <w:tcPr>
            <w:tcW w:w="1725" w:type="dxa"/>
          </w:tcPr>
          <w:p>
            <w:pPr>
              <w:pStyle w:val="TableParagraph"/>
              <w:spacing w:before="107"/>
              <w:ind w:right="286"/>
              <w:jc w:val="right"/>
              <w:rPr>
                <w:sz w:val="14"/>
              </w:rPr>
            </w:pPr>
            <w:r>
              <w:rPr>
                <w:sz w:val="14"/>
              </w:rPr>
              <w:t>0.00</w:t>
            </w:r>
          </w:p>
        </w:tc>
        <w:tc>
          <w:tcPr>
            <w:tcW w:w="1300" w:type="dxa"/>
            <w:gridSpan w:val="2"/>
          </w:tcPr>
          <w:p>
            <w:pPr>
              <w:pStyle w:val="TableParagraph"/>
              <w:spacing w:before="107"/>
              <w:ind w:right="74"/>
              <w:jc w:val="right"/>
              <w:rPr>
                <w:sz w:val="14"/>
              </w:rPr>
            </w:pPr>
            <w:r>
              <w:rPr>
                <w:sz w:val="14"/>
              </w:rPr>
              <w:t>0.00</w:t>
            </w:r>
          </w:p>
        </w:tc>
        <w:tc>
          <w:tcPr>
            <w:tcW w:w="1566" w:type="dxa"/>
            <w:gridSpan w:val="2"/>
          </w:tcPr>
          <w:p>
            <w:pPr>
              <w:pStyle w:val="TableParagraph"/>
              <w:spacing w:before="107"/>
              <w:ind w:right="51"/>
              <w:jc w:val="right"/>
              <w:rPr>
                <w:sz w:val="14"/>
              </w:rPr>
            </w:pPr>
            <w:r>
              <w:rPr>
                <w:sz w:val="14"/>
              </w:rPr>
              <w:t>0.0%</w:t>
            </w:r>
          </w:p>
        </w:tc>
      </w:tr>
      <w:tr>
        <w:trPr>
          <w:trHeight w:val="376" w:hRule="atLeast"/>
        </w:trPr>
        <w:tc>
          <w:tcPr>
            <w:tcW w:w="3663" w:type="dxa"/>
          </w:tcPr>
          <w:p>
            <w:pPr>
              <w:pStyle w:val="TableParagraph"/>
              <w:spacing w:before="107"/>
              <w:ind w:left="213"/>
              <w:rPr>
                <w:sz w:val="14"/>
              </w:rPr>
            </w:pPr>
            <w:r>
              <w:rPr>
                <w:w w:val="105"/>
                <w:sz w:val="14"/>
              </w:rPr>
              <w:t>5) Services and Other Operating Expenditures</w:t>
            </w:r>
          </w:p>
        </w:tc>
        <w:tc>
          <w:tcPr>
            <w:tcW w:w="2537" w:type="dxa"/>
            <w:gridSpan w:val="2"/>
          </w:tcPr>
          <w:p>
            <w:pPr>
              <w:pStyle w:val="TableParagraph"/>
              <w:spacing w:before="107"/>
              <w:ind w:right="142"/>
              <w:jc w:val="right"/>
              <w:rPr>
                <w:sz w:val="14"/>
              </w:rPr>
            </w:pPr>
            <w:r>
              <w:rPr>
                <w:sz w:val="14"/>
              </w:rPr>
              <w:t>5000-5999</w:t>
            </w:r>
          </w:p>
        </w:tc>
        <w:tc>
          <w:tcPr>
            <w:tcW w:w="1725" w:type="dxa"/>
          </w:tcPr>
          <w:p>
            <w:pPr>
              <w:pStyle w:val="TableParagraph"/>
              <w:spacing w:before="107"/>
              <w:ind w:right="286"/>
              <w:jc w:val="right"/>
              <w:rPr>
                <w:sz w:val="14"/>
              </w:rPr>
            </w:pPr>
            <w:r>
              <w:rPr>
                <w:sz w:val="14"/>
              </w:rPr>
              <w:t>0.00</w:t>
            </w:r>
          </w:p>
        </w:tc>
        <w:tc>
          <w:tcPr>
            <w:tcW w:w="1300" w:type="dxa"/>
            <w:gridSpan w:val="2"/>
          </w:tcPr>
          <w:p>
            <w:pPr>
              <w:pStyle w:val="TableParagraph"/>
              <w:spacing w:before="107"/>
              <w:ind w:right="74"/>
              <w:jc w:val="right"/>
              <w:rPr>
                <w:sz w:val="14"/>
              </w:rPr>
            </w:pPr>
            <w:r>
              <w:rPr>
                <w:sz w:val="14"/>
              </w:rPr>
              <w:t>0.00</w:t>
            </w:r>
          </w:p>
        </w:tc>
        <w:tc>
          <w:tcPr>
            <w:tcW w:w="1566" w:type="dxa"/>
            <w:gridSpan w:val="2"/>
          </w:tcPr>
          <w:p>
            <w:pPr>
              <w:pStyle w:val="TableParagraph"/>
              <w:spacing w:before="107"/>
              <w:ind w:right="51"/>
              <w:jc w:val="right"/>
              <w:rPr>
                <w:sz w:val="14"/>
              </w:rPr>
            </w:pPr>
            <w:r>
              <w:rPr>
                <w:sz w:val="14"/>
              </w:rPr>
              <w:t>0.0%</w:t>
            </w:r>
          </w:p>
        </w:tc>
      </w:tr>
      <w:tr>
        <w:trPr>
          <w:trHeight w:val="376" w:hRule="atLeast"/>
        </w:trPr>
        <w:tc>
          <w:tcPr>
            <w:tcW w:w="3663" w:type="dxa"/>
          </w:tcPr>
          <w:p>
            <w:pPr>
              <w:pStyle w:val="TableParagraph"/>
              <w:spacing w:before="107"/>
              <w:ind w:left="213"/>
              <w:rPr>
                <w:sz w:val="14"/>
              </w:rPr>
            </w:pPr>
            <w:r>
              <w:rPr>
                <w:w w:val="105"/>
                <w:sz w:val="14"/>
              </w:rPr>
              <w:t>6) Capital Outlay</w:t>
            </w:r>
          </w:p>
        </w:tc>
        <w:tc>
          <w:tcPr>
            <w:tcW w:w="2537" w:type="dxa"/>
            <w:gridSpan w:val="2"/>
          </w:tcPr>
          <w:p>
            <w:pPr>
              <w:pStyle w:val="TableParagraph"/>
              <w:spacing w:before="107"/>
              <w:ind w:right="142"/>
              <w:jc w:val="right"/>
              <w:rPr>
                <w:sz w:val="14"/>
              </w:rPr>
            </w:pPr>
            <w:r>
              <w:rPr>
                <w:sz w:val="14"/>
              </w:rPr>
              <w:t>6000-6999</w:t>
            </w:r>
          </w:p>
        </w:tc>
        <w:tc>
          <w:tcPr>
            <w:tcW w:w="1725" w:type="dxa"/>
          </w:tcPr>
          <w:p>
            <w:pPr>
              <w:pStyle w:val="TableParagraph"/>
              <w:spacing w:before="107"/>
              <w:ind w:right="286"/>
              <w:jc w:val="right"/>
              <w:rPr>
                <w:sz w:val="14"/>
              </w:rPr>
            </w:pPr>
            <w:r>
              <w:rPr>
                <w:sz w:val="14"/>
              </w:rPr>
              <w:t>0.00</w:t>
            </w:r>
          </w:p>
        </w:tc>
        <w:tc>
          <w:tcPr>
            <w:tcW w:w="1300" w:type="dxa"/>
            <w:gridSpan w:val="2"/>
          </w:tcPr>
          <w:p>
            <w:pPr>
              <w:pStyle w:val="TableParagraph"/>
              <w:spacing w:before="107"/>
              <w:ind w:right="74"/>
              <w:jc w:val="right"/>
              <w:rPr>
                <w:sz w:val="14"/>
              </w:rPr>
            </w:pPr>
            <w:r>
              <w:rPr>
                <w:sz w:val="14"/>
              </w:rPr>
              <w:t>0.00</w:t>
            </w:r>
          </w:p>
        </w:tc>
        <w:tc>
          <w:tcPr>
            <w:tcW w:w="1566" w:type="dxa"/>
            <w:gridSpan w:val="2"/>
          </w:tcPr>
          <w:p>
            <w:pPr>
              <w:pStyle w:val="TableParagraph"/>
              <w:spacing w:before="107"/>
              <w:ind w:right="51"/>
              <w:jc w:val="right"/>
              <w:rPr>
                <w:sz w:val="14"/>
              </w:rPr>
            </w:pPr>
            <w:r>
              <w:rPr>
                <w:sz w:val="14"/>
              </w:rPr>
              <w:t>0.0%</w:t>
            </w:r>
          </w:p>
        </w:tc>
      </w:tr>
      <w:tr>
        <w:trPr>
          <w:trHeight w:val="286" w:hRule="atLeast"/>
        </w:trPr>
        <w:tc>
          <w:tcPr>
            <w:tcW w:w="3663" w:type="dxa"/>
          </w:tcPr>
          <w:p>
            <w:pPr>
              <w:pStyle w:val="TableParagraph"/>
              <w:spacing w:line="160" w:lineRule="exact" w:before="107"/>
              <w:ind w:left="213"/>
              <w:rPr>
                <w:sz w:val="14"/>
              </w:rPr>
            </w:pPr>
            <w:r>
              <w:rPr>
                <w:w w:val="105"/>
                <w:sz w:val="14"/>
              </w:rPr>
              <w:t>7) Other Outgo (excluding Transfers of Indirect</w:t>
            </w:r>
          </w:p>
        </w:tc>
        <w:tc>
          <w:tcPr>
            <w:tcW w:w="2537" w:type="dxa"/>
            <w:gridSpan w:val="2"/>
          </w:tcPr>
          <w:p>
            <w:pPr>
              <w:pStyle w:val="TableParagraph"/>
              <w:spacing w:line="160" w:lineRule="exact" w:before="107"/>
              <w:ind w:left="1691"/>
              <w:rPr>
                <w:sz w:val="14"/>
              </w:rPr>
            </w:pPr>
            <w:r>
              <w:rPr>
                <w:w w:val="105"/>
                <w:sz w:val="14"/>
              </w:rPr>
              <w:t>7100-7299,</w:t>
            </w:r>
          </w:p>
        </w:tc>
        <w:tc>
          <w:tcPr>
            <w:tcW w:w="1725" w:type="dxa"/>
          </w:tcPr>
          <w:p>
            <w:pPr>
              <w:pStyle w:val="TableParagraph"/>
              <w:rPr>
                <w:rFonts w:ascii="Times New Roman"/>
                <w:sz w:val="14"/>
              </w:rPr>
            </w:pPr>
          </w:p>
        </w:tc>
        <w:tc>
          <w:tcPr>
            <w:tcW w:w="1300" w:type="dxa"/>
            <w:gridSpan w:val="2"/>
          </w:tcPr>
          <w:p>
            <w:pPr>
              <w:pStyle w:val="TableParagraph"/>
              <w:rPr>
                <w:rFonts w:ascii="Times New Roman"/>
                <w:sz w:val="14"/>
              </w:rPr>
            </w:pPr>
          </w:p>
        </w:tc>
        <w:tc>
          <w:tcPr>
            <w:tcW w:w="1566" w:type="dxa"/>
            <w:gridSpan w:val="2"/>
          </w:tcPr>
          <w:p>
            <w:pPr>
              <w:pStyle w:val="TableParagraph"/>
              <w:rPr>
                <w:rFonts w:ascii="Times New Roman"/>
                <w:sz w:val="14"/>
              </w:rPr>
            </w:pPr>
          </w:p>
        </w:tc>
      </w:tr>
      <w:tr>
        <w:trPr>
          <w:trHeight w:val="286" w:hRule="atLeast"/>
        </w:trPr>
        <w:tc>
          <w:tcPr>
            <w:tcW w:w="3663" w:type="dxa"/>
          </w:tcPr>
          <w:p>
            <w:pPr>
              <w:pStyle w:val="TableParagraph"/>
              <w:spacing w:before="17"/>
              <w:ind w:left="416"/>
              <w:rPr>
                <w:sz w:val="14"/>
              </w:rPr>
            </w:pPr>
            <w:r>
              <w:rPr>
                <w:w w:val="105"/>
                <w:sz w:val="14"/>
              </w:rPr>
              <w:t>Costs)</w:t>
            </w:r>
          </w:p>
        </w:tc>
        <w:tc>
          <w:tcPr>
            <w:tcW w:w="2537" w:type="dxa"/>
            <w:gridSpan w:val="2"/>
          </w:tcPr>
          <w:p>
            <w:pPr>
              <w:pStyle w:val="TableParagraph"/>
              <w:spacing w:before="17"/>
              <w:ind w:right="142"/>
              <w:jc w:val="right"/>
              <w:rPr>
                <w:sz w:val="14"/>
              </w:rPr>
            </w:pPr>
            <w:r>
              <w:rPr>
                <w:sz w:val="14"/>
              </w:rPr>
              <w:t>7400-7499</w:t>
            </w:r>
          </w:p>
        </w:tc>
        <w:tc>
          <w:tcPr>
            <w:tcW w:w="1725" w:type="dxa"/>
          </w:tcPr>
          <w:p>
            <w:pPr>
              <w:pStyle w:val="TableParagraph"/>
              <w:spacing w:before="17"/>
              <w:ind w:right="286"/>
              <w:jc w:val="right"/>
              <w:rPr>
                <w:sz w:val="14"/>
              </w:rPr>
            </w:pPr>
            <w:r>
              <w:rPr>
                <w:sz w:val="14"/>
              </w:rPr>
              <w:t>0.00</w:t>
            </w:r>
          </w:p>
        </w:tc>
        <w:tc>
          <w:tcPr>
            <w:tcW w:w="1300" w:type="dxa"/>
            <w:gridSpan w:val="2"/>
          </w:tcPr>
          <w:p>
            <w:pPr>
              <w:pStyle w:val="TableParagraph"/>
              <w:spacing w:before="17"/>
              <w:ind w:right="74"/>
              <w:jc w:val="right"/>
              <w:rPr>
                <w:sz w:val="14"/>
              </w:rPr>
            </w:pPr>
            <w:r>
              <w:rPr>
                <w:sz w:val="14"/>
              </w:rPr>
              <w:t>0.00</w:t>
            </w:r>
          </w:p>
        </w:tc>
        <w:tc>
          <w:tcPr>
            <w:tcW w:w="1566" w:type="dxa"/>
            <w:gridSpan w:val="2"/>
          </w:tcPr>
          <w:p>
            <w:pPr>
              <w:pStyle w:val="TableParagraph"/>
              <w:spacing w:before="17"/>
              <w:ind w:right="51"/>
              <w:jc w:val="right"/>
              <w:rPr>
                <w:sz w:val="14"/>
              </w:rPr>
            </w:pPr>
            <w:r>
              <w:rPr>
                <w:sz w:val="14"/>
              </w:rPr>
              <w:t>0.0%</w:t>
            </w:r>
          </w:p>
        </w:tc>
      </w:tr>
      <w:tr>
        <w:trPr>
          <w:trHeight w:val="376" w:hRule="atLeast"/>
        </w:trPr>
        <w:tc>
          <w:tcPr>
            <w:tcW w:w="3663" w:type="dxa"/>
          </w:tcPr>
          <w:p>
            <w:pPr>
              <w:pStyle w:val="TableParagraph"/>
              <w:spacing w:before="107"/>
              <w:ind w:left="213"/>
              <w:rPr>
                <w:sz w:val="14"/>
              </w:rPr>
            </w:pPr>
            <w:r>
              <w:rPr>
                <w:w w:val="105"/>
                <w:sz w:val="14"/>
              </w:rPr>
              <w:t>8) Other Outgo - Transfers of Indirect Costs</w:t>
            </w:r>
          </w:p>
        </w:tc>
        <w:tc>
          <w:tcPr>
            <w:tcW w:w="2537" w:type="dxa"/>
            <w:gridSpan w:val="2"/>
          </w:tcPr>
          <w:p>
            <w:pPr>
              <w:pStyle w:val="TableParagraph"/>
              <w:spacing w:before="107"/>
              <w:ind w:right="142"/>
              <w:jc w:val="right"/>
              <w:rPr>
                <w:sz w:val="14"/>
              </w:rPr>
            </w:pPr>
            <w:r>
              <w:rPr>
                <w:sz w:val="14"/>
              </w:rPr>
              <w:t>7300-7399</w:t>
            </w:r>
          </w:p>
        </w:tc>
        <w:tc>
          <w:tcPr>
            <w:tcW w:w="1725" w:type="dxa"/>
          </w:tcPr>
          <w:p>
            <w:pPr>
              <w:pStyle w:val="TableParagraph"/>
              <w:spacing w:before="107"/>
              <w:ind w:right="286"/>
              <w:jc w:val="right"/>
              <w:rPr>
                <w:sz w:val="14"/>
              </w:rPr>
            </w:pPr>
            <w:r>
              <w:rPr>
                <w:sz w:val="14"/>
              </w:rPr>
              <w:t>0.00</w:t>
            </w:r>
          </w:p>
        </w:tc>
        <w:tc>
          <w:tcPr>
            <w:tcW w:w="1300" w:type="dxa"/>
            <w:gridSpan w:val="2"/>
          </w:tcPr>
          <w:p>
            <w:pPr>
              <w:pStyle w:val="TableParagraph"/>
              <w:spacing w:before="107"/>
              <w:ind w:right="74"/>
              <w:jc w:val="right"/>
              <w:rPr>
                <w:sz w:val="14"/>
              </w:rPr>
            </w:pPr>
            <w:r>
              <w:rPr>
                <w:sz w:val="14"/>
              </w:rPr>
              <w:t>0.00</w:t>
            </w:r>
          </w:p>
        </w:tc>
        <w:tc>
          <w:tcPr>
            <w:tcW w:w="1566" w:type="dxa"/>
            <w:gridSpan w:val="2"/>
          </w:tcPr>
          <w:p>
            <w:pPr>
              <w:pStyle w:val="TableParagraph"/>
              <w:spacing w:before="107"/>
              <w:ind w:right="51"/>
              <w:jc w:val="right"/>
              <w:rPr>
                <w:sz w:val="14"/>
              </w:rPr>
            </w:pPr>
            <w:r>
              <w:rPr>
                <w:sz w:val="14"/>
              </w:rPr>
              <w:t>0.0%</w:t>
            </w:r>
          </w:p>
        </w:tc>
      </w:tr>
      <w:tr>
        <w:trPr>
          <w:trHeight w:val="268" w:hRule="atLeast"/>
        </w:trPr>
        <w:tc>
          <w:tcPr>
            <w:tcW w:w="3663" w:type="dxa"/>
          </w:tcPr>
          <w:p>
            <w:pPr>
              <w:pStyle w:val="TableParagraph"/>
              <w:spacing w:line="142" w:lineRule="exact" w:before="107"/>
              <w:ind w:left="213"/>
              <w:rPr>
                <w:sz w:val="14"/>
              </w:rPr>
            </w:pPr>
            <w:r>
              <w:rPr>
                <w:w w:val="105"/>
                <w:sz w:val="14"/>
              </w:rPr>
              <w:t>9) TOTAL, EXPENDITURES</w:t>
            </w:r>
          </w:p>
        </w:tc>
        <w:tc>
          <w:tcPr>
            <w:tcW w:w="2537" w:type="dxa"/>
            <w:gridSpan w:val="2"/>
          </w:tcPr>
          <w:p>
            <w:pPr>
              <w:pStyle w:val="TableParagraph"/>
              <w:rPr>
                <w:rFonts w:ascii="Times New Roman"/>
                <w:sz w:val="14"/>
              </w:rPr>
            </w:pPr>
          </w:p>
        </w:tc>
        <w:tc>
          <w:tcPr>
            <w:tcW w:w="1725" w:type="dxa"/>
          </w:tcPr>
          <w:p>
            <w:pPr>
              <w:pStyle w:val="TableParagraph"/>
              <w:spacing w:line="142" w:lineRule="exact" w:before="107"/>
              <w:ind w:right="286"/>
              <w:jc w:val="right"/>
              <w:rPr>
                <w:sz w:val="14"/>
              </w:rPr>
            </w:pPr>
            <w:r>
              <w:rPr>
                <w:sz w:val="14"/>
              </w:rPr>
              <w:t>0.00</w:t>
            </w:r>
          </w:p>
        </w:tc>
        <w:tc>
          <w:tcPr>
            <w:tcW w:w="1300" w:type="dxa"/>
            <w:gridSpan w:val="2"/>
          </w:tcPr>
          <w:p>
            <w:pPr>
              <w:pStyle w:val="TableParagraph"/>
              <w:spacing w:line="142" w:lineRule="exact" w:before="107"/>
              <w:ind w:right="74"/>
              <w:jc w:val="right"/>
              <w:rPr>
                <w:sz w:val="14"/>
              </w:rPr>
            </w:pPr>
            <w:r>
              <w:rPr>
                <w:sz w:val="14"/>
              </w:rPr>
              <w:t>0.00</w:t>
            </w:r>
          </w:p>
        </w:tc>
        <w:tc>
          <w:tcPr>
            <w:tcW w:w="1566" w:type="dxa"/>
            <w:gridSpan w:val="2"/>
          </w:tcPr>
          <w:p>
            <w:pPr>
              <w:pStyle w:val="TableParagraph"/>
              <w:spacing w:line="142" w:lineRule="exact" w:before="107"/>
              <w:ind w:right="51"/>
              <w:jc w:val="right"/>
              <w:rPr>
                <w:sz w:val="14"/>
              </w:rPr>
            </w:pPr>
            <w:r>
              <w:rPr>
                <w:sz w:val="14"/>
              </w:rPr>
              <w:t>0.0%</w:t>
            </w:r>
          </w:p>
        </w:tc>
      </w:tr>
      <w:tr>
        <w:trPr>
          <w:trHeight w:val="374" w:hRule="atLeast"/>
        </w:trPr>
        <w:tc>
          <w:tcPr>
            <w:tcW w:w="3663" w:type="dxa"/>
          </w:tcPr>
          <w:p>
            <w:pPr>
              <w:pStyle w:val="TableParagraph"/>
              <w:spacing w:before="5"/>
              <w:rPr>
                <w:sz w:val="18"/>
              </w:rPr>
            </w:pPr>
          </w:p>
          <w:p>
            <w:pPr>
              <w:pStyle w:val="TableParagraph"/>
              <w:spacing w:line="142" w:lineRule="exact"/>
              <w:ind w:left="50"/>
              <w:rPr>
                <w:b/>
                <w:sz w:val="14"/>
              </w:rPr>
            </w:pPr>
            <w:r>
              <w:rPr>
                <w:b/>
                <w:w w:val="105"/>
                <w:sz w:val="14"/>
              </w:rPr>
              <w:t>C. EXCESS (DEFICIENCY) OF REVENUES</w:t>
            </w:r>
          </w:p>
        </w:tc>
        <w:tc>
          <w:tcPr>
            <w:tcW w:w="1468" w:type="dxa"/>
          </w:tcPr>
          <w:p>
            <w:pPr>
              <w:pStyle w:val="TableParagraph"/>
              <w:rPr>
                <w:rFonts w:ascii="Times New Roman"/>
                <w:sz w:val="14"/>
              </w:rPr>
            </w:pPr>
          </w:p>
        </w:tc>
        <w:tc>
          <w:tcPr>
            <w:tcW w:w="1069" w:type="dxa"/>
          </w:tcPr>
          <w:p>
            <w:pPr>
              <w:pStyle w:val="TableParagraph"/>
              <w:rPr>
                <w:rFonts w:ascii="Times New Roman"/>
                <w:sz w:val="14"/>
              </w:rPr>
            </w:pPr>
          </w:p>
        </w:tc>
        <w:tc>
          <w:tcPr>
            <w:tcW w:w="1725" w:type="dxa"/>
          </w:tcPr>
          <w:p>
            <w:pPr>
              <w:pStyle w:val="TableParagraph"/>
              <w:rPr>
                <w:rFonts w:ascii="Times New Roman"/>
                <w:sz w:val="14"/>
              </w:rPr>
            </w:pPr>
          </w:p>
        </w:tc>
        <w:tc>
          <w:tcPr>
            <w:tcW w:w="879" w:type="dxa"/>
          </w:tcPr>
          <w:p>
            <w:pPr>
              <w:pStyle w:val="TableParagraph"/>
              <w:rPr>
                <w:rFonts w:ascii="Times New Roman"/>
                <w:sz w:val="14"/>
              </w:rPr>
            </w:pPr>
          </w:p>
        </w:tc>
        <w:tc>
          <w:tcPr>
            <w:tcW w:w="421" w:type="dxa"/>
          </w:tcPr>
          <w:p>
            <w:pPr>
              <w:pStyle w:val="TableParagraph"/>
              <w:rPr>
                <w:rFonts w:ascii="Times New Roman"/>
                <w:sz w:val="14"/>
              </w:rPr>
            </w:pPr>
          </w:p>
        </w:tc>
        <w:tc>
          <w:tcPr>
            <w:tcW w:w="1157" w:type="dxa"/>
          </w:tcPr>
          <w:p>
            <w:pPr>
              <w:pStyle w:val="TableParagraph"/>
              <w:rPr>
                <w:rFonts w:ascii="Times New Roman"/>
                <w:sz w:val="14"/>
              </w:rPr>
            </w:pPr>
          </w:p>
        </w:tc>
        <w:tc>
          <w:tcPr>
            <w:tcW w:w="409" w:type="dxa"/>
          </w:tcPr>
          <w:p>
            <w:pPr>
              <w:pStyle w:val="TableParagraph"/>
              <w:rPr>
                <w:rFonts w:ascii="Times New Roman"/>
                <w:sz w:val="14"/>
              </w:rPr>
            </w:pPr>
          </w:p>
        </w:tc>
      </w:tr>
      <w:tr>
        <w:trPr>
          <w:trHeight w:val="395" w:hRule="atLeast"/>
        </w:trPr>
        <w:tc>
          <w:tcPr>
            <w:tcW w:w="3663" w:type="dxa"/>
          </w:tcPr>
          <w:p>
            <w:pPr>
              <w:pStyle w:val="TableParagraph"/>
              <w:spacing w:line="196" w:lineRule="exact" w:before="9"/>
              <w:ind w:left="253"/>
              <w:rPr>
                <w:b/>
                <w:sz w:val="14"/>
              </w:rPr>
            </w:pPr>
            <w:r>
              <w:rPr>
                <w:b/>
                <w:w w:val="105"/>
                <w:sz w:val="14"/>
              </w:rPr>
              <w:t>OVER EXPENDITURES BEFORE OTHER FINANCING SOURCES AND USES (A5 - B9)</w:t>
            </w:r>
          </w:p>
        </w:tc>
        <w:tc>
          <w:tcPr>
            <w:tcW w:w="4262" w:type="dxa"/>
            <w:gridSpan w:val="3"/>
          </w:tcPr>
          <w:p>
            <w:pPr>
              <w:pStyle w:val="TableParagraph"/>
              <w:spacing w:before="4"/>
              <w:rPr>
                <w:sz w:val="20"/>
              </w:rPr>
            </w:pPr>
          </w:p>
          <w:p>
            <w:pPr>
              <w:pStyle w:val="TableParagraph"/>
              <w:spacing w:line="142" w:lineRule="exact"/>
              <w:ind w:right="286"/>
              <w:jc w:val="right"/>
              <w:rPr>
                <w:sz w:val="14"/>
              </w:rPr>
            </w:pPr>
            <w:r>
              <w:rPr>
                <w:sz w:val="14"/>
              </w:rPr>
              <w:t>0.00</w:t>
            </w:r>
          </w:p>
        </w:tc>
        <w:tc>
          <w:tcPr>
            <w:tcW w:w="1300" w:type="dxa"/>
            <w:gridSpan w:val="2"/>
          </w:tcPr>
          <w:p>
            <w:pPr>
              <w:pStyle w:val="TableParagraph"/>
              <w:spacing w:before="4"/>
              <w:rPr>
                <w:sz w:val="20"/>
              </w:rPr>
            </w:pPr>
          </w:p>
          <w:p>
            <w:pPr>
              <w:pStyle w:val="TableParagraph"/>
              <w:spacing w:line="142" w:lineRule="exact"/>
              <w:ind w:right="74"/>
              <w:jc w:val="right"/>
              <w:rPr>
                <w:sz w:val="14"/>
              </w:rPr>
            </w:pPr>
            <w:r>
              <w:rPr>
                <w:sz w:val="14"/>
              </w:rPr>
              <w:t>0.00</w:t>
            </w:r>
          </w:p>
        </w:tc>
        <w:tc>
          <w:tcPr>
            <w:tcW w:w="1566" w:type="dxa"/>
            <w:gridSpan w:val="2"/>
          </w:tcPr>
          <w:p>
            <w:pPr>
              <w:pStyle w:val="TableParagraph"/>
              <w:spacing w:before="4"/>
              <w:rPr>
                <w:sz w:val="20"/>
              </w:rPr>
            </w:pPr>
          </w:p>
          <w:p>
            <w:pPr>
              <w:pStyle w:val="TableParagraph"/>
              <w:spacing w:line="142" w:lineRule="exact"/>
              <w:ind w:right="51"/>
              <w:jc w:val="right"/>
              <w:rPr>
                <w:sz w:val="14"/>
              </w:rPr>
            </w:pPr>
            <w:r>
              <w:rPr>
                <w:sz w:val="14"/>
              </w:rPr>
              <w:t>0.0%</w:t>
            </w:r>
          </w:p>
        </w:tc>
      </w:tr>
      <w:tr>
        <w:trPr>
          <w:trHeight w:val="369" w:hRule="atLeast"/>
        </w:trPr>
        <w:tc>
          <w:tcPr>
            <w:tcW w:w="3663" w:type="dxa"/>
          </w:tcPr>
          <w:p>
            <w:pPr>
              <w:pStyle w:val="TableParagraph"/>
              <w:rPr>
                <w:sz w:val="18"/>
              </w:rPr>
            </w:pPr>
          </w:p>
          <w:p>
            <w:pPr>
              <w:pStyle w:val="TableParagraph"/>
              <w:spacing w:line="142" w:lineRule="exact"/>
              <w:ind w:left="50"/>
              <w:rPr>
                <w:b/>
                <w:sz w:val="14"/>
              </w:rPr>
            </w:pPr>
            <w:r>
              <w:rPr>
                <w:b/>
                <w:w w:val="105"/>
                <w:sz w:val="14"/>
              </w:rPr>
              <w:t>D. OTHER FINANCING SOURCES/USES</w:t>
            </w:r>
          </w:p>
        </w:tc>
        <w:tc>
          <w:tcPr>
            <w:tcW w:w="1468" w:type="dxa"/>
          </w:tcPr>
          <w:p>
            <w:pPr>
              <w:pStyle w:val="TableParagraph"/>
              <w:rPr>
                <w:rFonts w:ascii="Times New Roman"/>
                <w:sz w:val="14"/>
              </w:rPr>
            </w:pPr>
          </w:p>
        </w:tc>
        <w:tc>
          <w:tcPr>
            <w:tcW w:w="1069" w:type="dxa"/>
          </w:tcPr>
          <w:p>
            <w:pPr>
              <w:pStyle w:val="TableParagraph"/>
              <w:rPr>
                <w:rFonts w:ascii="Times New Roman"/>
                <w:sz w:val="14"/>
              </w:rPr>
            </w:pPr>
          </w:p>
        </w:tc>
        <w:tc>
          <w:tcPr>
            <w:tcW w:w="1725" w:type="dxa"/>
          </w:tcPr>
          <w:p>
            <w:pPr>
              <w:pStyle w:val="TableParagraph"/>
              <w:rPr>
                <w:rFonts w:ascii="Times New Roman"/>
                <w:sz w:val="14"/>
              </w:rPr>
            </w:pPr>
          </w:p>
        </w:tc>
        <w:tc>
          <w:tcPr>
            <w:tcW w:w="879" w:type="dxa"/>
          </w:tcPr>
          <w:p>
            <w:pPr>
              <w:pStyle w:val="TableParagraph"/>
              <w:rPr>
                <w:rFonts w:ascii="Times New Roman"/>
                <w:sz w:val="14"/>
              </w:rPr>
            </w:pPr>
          </w:p>
        </w:tc>
        <w:tc>
          <w:tcPr>
            <w:tcW w:w="421" w:type="dxa"/>
          </w:tcPr>
          <w:p>
            <w:pPr>
              <w:pStyle w:val="TableParagraph"/>
              <w:rPr>
                <w:rFonts w:ascii="Times New Roman"/>
                <w:sz w:val="14"/>
              </w:rPr>
            </w:pPr>
          </w:p>
        </w:tc>
        <w:tc>
          <w:tcPr>
            <w:tcW w:w="1157" w:type="dxa"/>
          </w:tcPr>
          <w:p>
            <w:pPr>
              <w:pStyle w:val="TableParagraph"/>
              <w:rPr>
                <w:rFonts w:ascii="Times New Roman"/>
                <w:sz w:val="14"/>
              </w:rPr>
            </w:pPr>
          </w:p>
        </w:tc>
        <w:tc>
          <w:tcPr>
            <w:tcW w:w="409" w:type="dxa"/>
          </w:tcPr>
          <w:p>
            <w:pPr>
              <w:pStyle w:val="TableParagraph"/>
              <w:rPr>
                <w:rFonts w:ascii="Times New Roman"/>
                <w:sz w:val="14"/>
              </w:rPr>
            </w:pPr>
          </w:p>
        </w:tc>
      </w:tr>
      <w:tr>
        <w:trPr>
          <w:trHeight w:val="700" w:hRule="atLeast"/>
        </w:trPr>
        <w:tc>
          <w:tcPr>
            <w:tcW w:w="3663" w:type="dxa"/>
          </w:tcPr>
          <w:p>
            <w:pPr>
              <w:pStyle w:val="TableParagraph"/>
              <w:spacing w:before="4"/>
              <w:rPr>
                <w:sz w:val="20"/>
              </w:rPr>
            </w:pPr>
          </w:p>
          <w:p>
            <w:pPr>
              <w:pStyle w:val="TableParagraph"/>
              <w:numPr>
                <w:ilvl w:val="0"/>
                <w:numId w:val="15"/>
              </w:numPr>
              <w:tabs>
                <w:tab w:pos="381" w:val="left" w:leader="none"/>
              </w:tabs>
              <w:spacing w:line="240" w:lineRule="auto" w:before="0" w:after="0"/>
              <w:ind w:left="380" w:right="0" w:hanging="168"/>
              <w:jc w:val="left"/>
              <w:rPr>
                <w:sz w:val="14"/>
              </w:rPr>
            </w:pPr>
            <w:r>
              <w:rPr>
                <w:w w:val="105"/>
                <w:sz w:val="14"/>
              </w:rPr>
              <w:t>Interfund</w:t>
            </w:r>
            <w:r>
              <w:rPr>
                <w:spacing w:val="-3"/>
                <w:w w:val="105"/>
                <w:sz w:val="14"/>
              </w:rPr>
              <w:t> </w:t>
            </w:r>
            <w:r>
              <w:rPr>
                <w:w w:val="105"/>
                <w:sz w:val="14"/>
              </w:rPr>
              <w:t>Transfers</w:t>
            </w:r>
          </w:p>
          <w:p>
            <w:pPr>
              <w:pStyle w:val="TableParagraph"/>
              <w:numPr>
                <w:ilvl w:val="1"/>
                <w:numId w:val="15"/>
              </w:numPr>
              <w:tabs>
                <w:tab w:pos="544" w:val="left" w:leader="none"/>
              </w:tabs>
              <w:spacing w:line="240" w:lineRule="auto" w:before="36" w:after="0"/>
              <w:ind w:left="543" w:right="0" w:hanging="168"/>
              <w:jc w:val="left"/>
              <w:rPr>
                <w:sz w:val="14"/>
              </w:rPr>
            </w:pPr>
            <w:r>
              <w:rPr>
                <w:w w:val="105"/>
                <w:sz w:val="14"/>
              </w:rPr>
              <w:t>Transfers</w:t>
            </w:r>
            <w:r>
              <w:rPr>
                <w:spacing w:val="-2"/>
                <w:w w:val="105"/>
                <w:sz w:val="14"/>
              </w:rPr>
              <w:t> </w:t>
            </w:r>
            <w:r>
              <w:rPr>
                <w:w w:val="105"/>
                <w:sz w:val="14"/>
              </w:rPr>
              <w:t>In</w:t>
            </w:r>
          </w:p>
        </w:tc>
        <w:tc>
          <w:tcPr>
            <w:tcW w:w="2537" w:type="dxa"/>
            <w:gridSpan w:val="2"/>
          </w:tcPr>
          <w:p>
            <w:pPr>
              <w:pStyle w:val="TableParagraph"/>
              <w:rPr>
                <w:sz w:val="16"/>
              </w:rPr>
            </w:pPr>
          </w:p>
          <w:p>
            <w:pPr>
              <w:pStyle w:val="TableParagraph"/>
              <w:spacing w:before="5"/>
              <w:rPr>
                <w:sz w:val="21"/>
              </w:rPr>
            </w:pPr>
          </w:p>
          <w:p>
            <w:pPr>
              <w:pStyle w:val="TableParagraph"/>
              <w:ind w:right="142"/>
              <w:jc w:val="right"/>
              <w:rPr>
                <w:sz w:val="14"/>
              </w:rPr>
            </w:pPr>
            <w:r>
              <w:rPr>
                <w:sz w:val="14"/>
              </w:rPr>
              <w:t>8900-8929</w:t>
            </w:r>
          </w:p>
        </w:tc>
        <w:tc>
          <w:tcPr>
            <w:tcW w:w="1725" w:type="dxa"/>
          </w:tcPr>
          <w:p>
            <w:pPr>
              <w:pStyle w:val="TableParagraph"/>
              <w:rPr>
                <w:sz w:val="16"/>
              </w:rPr>
            </w:pPr>
          </w:p>
          <w:p>
            <w:pPr>
              <w:pStyle w:val="TableParagraph"/>
              <w:spacing w:before="5"/>
              <w:rPr>
                <w:sz w:val="21"/>
              </w:rPr>
            </w:pPr>
          </w:p>
          <w:p>
            <w:pPr>
              <w:pStyle w:val="TableParagraph"/>
              <w:ind w:right="286"/>
              <w:jc w:val="right"/>
              <w:rPr>
                <w:sz w:val="14"/>
              </w:rPr>
            </w:pPr>
            <w:r>
              <w:rPr>
                <w:sz w:val="14"/>
              </w:rPr>
              <w:t>0.00</w:t>
            </w:r>
          </w:p>
        </w:tc>
        <w:tc>
          <w:tcPr>
            <w:tcW w:w="1300" w:type="dxa"/>
            <w:gridSpan w:val="2"/>
          </w:tcPr>
          <w:p>
            <w:pPr>
              <w:pStyle w:val="TableParagraph"/>
              <w:rPr>
                <w:sz w:val="16"/>
              </w:rPr>
            </w:pPr>
          </w:p>
          <w:p>
            <w:pPr>
              <w:pStyle w:val="TableParagraph"/>
              <w:spacing w:before="5"/>
              <w:rPr>
                <w:sz w:val="21"/>
              </w:rPr>
            </w:pPr>
          </w:p>
          <w:p>
            <w:pPr>
              <w:pStyle w:val="TableParagraph"/>
              <w:ind w:right="74"/>
              <w:jc w:val="right"/>
              <w:rPr>
                <w:sz w:val="14"/>
              </w:rPr>
            </w:pPr>
            <w:r>
              <w:rPr>
                <w:sz w:val="14"/>
              </w:rPr>
              <w:t>0.00</w:t>
            </w:r>
          </w:p>
        </w:tc>
        <w:tc>
          <w:tcPr>
            <w:tcW w:w="1566" w:type="dxa"/>
            <w:gridSpan w:val="2"/>
          </w:tcPr>
          <w:p>
            <w:pPr>
              <w:pStyle w:val="TableParagraph"/>
              <w:rPr>
                <w:sz w:val="16"/>
              </w:rPr>
            </w:pPr>
          </w:p>
          <w:p>
            <w:pPr>
              <w:pStyle w:val="TableParagraph"/>
              <w:spacing w:before="5"/>
              <w:rPr>
                <w:sz w:val="21"/>
              </w:rPr>
            </w:pPr>
          </w:p>
          <w:p>
            <w:pPr>
              <w:pStyle w:val="TableParagraph"/>
              <w:ind w:right="51"/>
              <w:jc w:val="right"/>
              <w:rPr>
                <w:sz w:val="14"/>
              </w:rPr>
            </w:pPr>
            <w:r>
              <w:rPr>
                <w:sz w:val="14"/>
              </w:rPr>
              <w:t>0.0%</w:t>
            </w:r>
          </w:p>
        </w:tc>
      </w:tr>
      <w:tr>
        <w:trPr>
          <w:trHeight w:val="376" w:hRule="atLeast"/>
        </w:trPr>
        <w:tc>
          <w:tcPr>
            <w:tcW w:w="3663" w:type="dxa"/>
          </w:tcPr>
          <w:p>
            <w:pPr>
              <w:pStyle w:val="TableParagraph"/>
              <w:spacing w:before="107"/>
              <w:ind w:left="376"/>
              <w:rPr>
                <w:sz w:val="14"/>
              </w:rPr>
            </w:pPr>
            <w:r>
              <w:rPr>
                <w:w w:val="105"/>
                <w:sz w:val="14"/>
              </w:rPr>
              <w:t>b) Transfers Out</w:t>
            </w:r>
          </w:p>
        </w:tc>
        <w:tc>
          <w:tcPr>
            <w:tcW w:w="2537" w:type="dxa"/>
            <w:gridSpan w:val="2"/>
          </w:tcPr>
          <w:p>
            <w:pPr>
              <w:pStyle w:val="TableParagraph"/>
              <w:spacing w:before="107"/>
              <w:ind w:right="142"/>
              <w:jc w:val="right"/>
              <w:rPr>
                <w:sz w:val="14"/>
              </w:rPr>
            </w:pPr>
            <w:r>
              <w:rPr>
                <w:sz w:val="14"/>
              </w:rPr>
              <w:t>7600-7629</w:t>
            </w:r>
          </w:p>
        </w:tc>
        <w:tc>
          <w:tcPr>
            <w:tcW w:w="1725" w:type="dxa"/>
          </w:tcPr>
          <w:p>
            <w:pPr>
              <w:pStyle w:val="TableParagraph"/>
              <w:spacing w:before="107"/>
              <w:ind w:right="286"/>
              <w:jc w:val="right"/>
              <w:rPr>
                <w:sz w:val="14"/>
              </w:rPr>
            </w:pPr>
            <w:r>
              <w:rPr>
                <w:sz w:val="14"/>
              </w:rPr>
              <w:t>0.00</w:t>
            </w:r>
          </w:p>
        </w:tc>
        <w:tc>
          <w:tcPr>
            <w:tcW w:w="1300" w:type="dxa"/>
            <w:gridSpan w:val="2"/>
          </w:tcPr>
          <w:p>
            <w:pPr>
              <w:pStyle w:val="TableParagraph"/>
              <w:spacing w:before="107"/>
              <w:ind w:right="74"/>
              <w:jc w:val="right"/>
              <w:rPr>
                <w:sz w:val="14"/>
              </w:rPr>
            </w:pPr>
            <w:r>
              <w:rPr>
                <w:sz w:val="14"/>
              </w:rPr>
              <w:t>0.00</w:t>
            </w:r>
          </w:p>
        </w:tc>
        <w:tc>
          <w:tcPr>
            <w:tcW w:w="1566" w:type="dxa"/>
            <w:gridSpan w:val="2"/>
          </w:tcPr>
          <w:p>
            <w:pPr>
              <w:pStyle w:val="TableParagraph"/>
              <w:spacing w:before="107"/>
              <w:ind w:right="51"/>
              <w:jc w:val="right"/>
              <w:rPr>
                <w:sz w:val="14"/>
              </w:rPr>
            </w:pPr>
            <w:r>
              <w:rPr>
                <w:sz w:val="14"/>
              </w:rPr>
              <w:t>0.0%</w:t>
            </w:r>
          </w:p>
        </w:tc>
      </w:tr>
      <w:tr>
        <w:trPr>
          <w:trHeight w:val="573" w:hRule="atLeast"/>
        </w:trPr>
        <w:tc>
          <w:tcPr>
            <w:tcW w:w="3663" w:type="dxa"/>
          </w:tcPr>
          <w:p>
            <w:pPr>
              <w:pStyle w:val="TableParagraph"/>
              <w:numPr>
                <w:ilvl w:val="0"/>
                <w:numId w:val="16"/>
              </w:numPr>
              <w:tabs>
                <w:tab w:pos="381" w:val="left" w:leader="none"/>
              </w:tabs>
              <w:spacing w:line="240" w:lineRule="auto" w:before="107" w:after="0"/>
              <w:ind w:left="380" w:right="0" w:hanging="168"/>
              <w:jc w:val="left"/>
              <w:rPr>
                <w:sz w:val="14"/>
              </w:rPr>
            </w:pPr>
            <w:r>
              <w:rPr>
                <w:w w:val="105"/>
                <w:sz w:val="14"/>
              </w:rPr>
              <w:t>Other</w:t>
            </w:r>
            <w:r>
              <w:rPr>
                <w:spacing w:val="-1"/>
                <w:w w:val="105"/>
                <w:sz w:val="14"/>
              </w:rPr>
              <w:t> </w:t>
            </w:r>
            <w:r>
              <w:rPr>
                <w:w w:val="105"/>
                <w:sz w:val="14"/>
              </w:rPr>
              <w:t>Sources/Uses</w:t>
            </w:r>
          </w:p>
          <w:p>
            <w:pPr>
              <w:pStyle w:val="TableParagraph"/>
              <w:numPr>
                <w:ilvl w:val="1"/>
                <w:numId w:val="16"/>
              </w:numPr>
              <w:tabs>
                <w:tab w:pos="544" w:val="left" w:leader="none"/>
              </w:tabs>
              <w:spacing w:line="240" w:lineRule="auto" w:before="35" w:after="0"/>
              <w:ind w:left="543" w:right="0" w:hanging="168"/>
              <w:jc w:val="left"/>
              <w:rPr>
                <w:sz w:val="14"/>
              </w:rPr>
            </w:pPr>
            <w:r>
              <w:rPr>
                <w:w w:val="105"/>
                <w:sz w:val="14"/>
              </w:rPr>
              <w:t>Sources</w:t>
            </w:r>
          </w:p>
        </w:tc>
        <w:tc>
          <w:tcPr>
            <w:tcW w:w="2537" w:type="dxa"/>
            <w:gridSpan w:val="2"/>
          </w:tcPr>
          <w:p>
            <w:pPr>
              <w:pStyle w:val="TableParagraph"/>
              <w:rPr>
                <w:sz w:val="16"/>
              </w:rPr>
            </w:pPr>
          </w:p>
          <w:p>
            <w:pPr>
              <w:pStyle w:val="TableParagraph"/>
              <w:spacing w:before="119"/>
              <w:ind w:right="142"/>
              <w:jc w:val="right"/>
              <w:rPr>
                <w:sz w:val="14"/>
              </w:rPr>
            </w:pPr>
            <w:r>
              <w:rPr>
                <w:sz w:val="14"/>
              </w:rPr>
              <w:t>8930-8979</w:t>
            </w:r>
          </w:p>
        </w:tc>
        <w:tc>
          <w:tcPr>
            <w:tcW w:w="1725" w:type="dxa"/>
          </w:tcPr>
          <w:p>
            <w:pPr>
              <w:pStyle w:val="TableParagraph"/>
              <w:rPr>
                <w:sz w:val="16"/>
              </w:rPr>
            </w:pPr>
          </w:p>
          <w:p>
            <w:pPr>
              <w:pStyle w:val="TableParagraph"/>
              <w:spacing w:before="119"/>
              <w:ind w:right="286"/>
              <w:jc w:val="right"/>
              <w:rPr>
                <w:sz w:val="14"/>
              </w:rPr>
            </w:pPr>
            <w:r>
              <w:rPr>
                <w:sz w:val="14"/>
              </w:rPr>
              <w:t>0.00</w:t>
            </w:r>
          </w:p>
        </w:tc>
        <w:tc>
          <w:tcPr>
            <w:tcW w:w="1300" w:type="dxa"/>
            <w:gridSpan w:val="2"/>
          </w:tcPr>
          <w:p>
            <w:pPr>
              <w:pStyle w:val="TableParagraph"/>
              <w:rPr>
                <w:sz w:val="16"/>
              </w:rPr>
            </w:pPr>
          </w:p>
          <w:p>
            <w:pPr>
              <w:pStyle w:val="TableParagraph"/>
              <w:spacing w:before="119"/>
              <w:ind w:right="74"/>
              <w:jc w:val="right"/>
              <w:rPr>
                <w:sz w:val="14"/>
              </w:rPr>
            </w:pPr>
            <w:r>
              <w:rPr>
                <w:sz w:val="14"/>
              </w:rPr>
              <w:t>0.00</w:t>
            </w:r>
          </w:p>
        </w:tc>
        <w:tc>
          <w:tcPr>
            <w:tcW w:w="1566" w:type="dxa"/>
            <w:gridSpan w:val="2"/>
          </w:tcPr>
          <w:p>
            <w:pPr>
              <w:pStyle w:val="TableParagraph"/>
              <w:rPr>
                <w:sz w:val="16"/>
              </w:rPr>
            </w:pPr>
          </w:p>
          <w:p>
            <w:pPr>
              <w:pStyle w:val="TableParagraph"/>
              <w:spacing w:before="119"/>
              <w:ind w:right="51"/>
              <w:jc w:val="right"/>
              <w:rPr>
                <w:sz w:val="14"/>
              </w:rPr>
            </w:pPr>
            <w:r>
              <w:rPr>
                <w:sz w:val="14"/>
              </w:rPr>
              <w:t>0.0%</w:t>
            </w:r>
          </w:p>
        </w:tc>
      </w:tr>
      <w:tr>
        <w:trPr>
          <w:trHeight w:val="376" w:hRule="atLeast"/>
        </w:trPr>
        <w:tc>
          <w:tcPr>
            <w:tcW w:w="3663" w:type="dxa"/>
          </w:tcPr>
          <w:p>
            <w:pPr>
              <w:pStyle w:val="TableParagraph"/>
              <w:spacing w:before="107"/>
              <w:ind w:left="376"/>
              <w:rPr>
                <w:sz w:val="14"/>
              </w:rPr>
            </w:pPr>
            <w:r>
              <w:rPr>
                <w:w w:val="105"/>
                <w:sz w:val="14"/>
              </w:rPr>
              <w:t>b) Uses</w:t>
            </w:r>
          </w:p>
        </w:tc>
        <w:tc>
          <w:tcPr>
            <w:tcW w:w="2537" w:type="dxa"/>
            <w:gridSpan w:val="2"/>
          </w:tcPr>
          <w:p>
            <w:pPr>
              <w:pStyle w:val="TableParagraph"/>
              <w:spacing w:before="107"/>
              <w:ind w:right="142"/>
              <w:jc w:val="right"/>
              <w:rPr>
                <w:sz w:val="14"/>
              </w:rPr>
            </w:pPr>
            <w:r>
              <w:rPr>
                <w:sz w:val="14"/>
              </w:rPr>
              <w:t>7630-7699</w:t>
            </w:r>
          </w:p>
        </w:tc>
        <w:tc>
          <w:tcPr>
            <w:tcW w:w="1725" w:type="dxa"/>
          </w:tcPr>
          <w:p>
            <w:pPr>
              <w:pStyle w:val="TableParagraph"/>
              <w:spacing w:before="107"/>
              <w:ind w:right="286"/>
              <w:jc w:val="right"/>
              <w:rPr>
                <w:sz w:val="14"/>
              </w:rPr>
            </w:pPr>
            <w:r>
              <w:rPr>
                <w:sz w:val="14"/>
              </w:rPr>
              <w:t>0.00</w:t>
            </w:r>
          </w:p>
        </w:tc>
        <w:tc>
          <w:tcPr>
            <w:tcW w:w="1300" w:type="dxa"/>
            <w:gridSpan w:val="2"/>
          </w:tcPr>
          <w:p>
            <w:pPr>
              <w:pStyle w:val="TableParagraph"/>
              <w:spacing w:before="107"/>
              <w:ind w:right="74"/>
              <w:jc w:val="right"/>
              <w:rPr>
                <w:sz w:val="14"/>
              </w:rPr>
            </w:pPr>
            <w:r>
              <w:rPr>
                <w:sz w:val="14"/>
              </w:rPr>
              <w:t>0.00</w:t>
            </w:r>
          </w:p>
        </w:tc>
        <w:tc>
          <w:tcPr>
            <w:tcW w:w="1566" w:type="dxa"/>
            <w:gridSpan w:val="2"/>
          </w:tcPr>
          <w:p>
            <w:pPr>
              <w:pStyle w:val="TableParagraph"/>
              <w:spacing w:before="107"/>
              <w:ind w:right="51"/>
              <w:jc w:val="right"/>
              <w:rPr>
                <w:sz w:val="14"/>
              </w:rPr>
            </w:pPr>
            <w:r>
              <w:rPr>
                <w:sz w:val="14"/>
              </w:rPr>
              <w:t>0.0%</w:t>
            </w:r>
          </w:p>
        </w:tc>
      </w:tr>
      <w:tr>
        <w:trPr>
          <w:trHeight w:val="376" w:hRule="atLeast"/>
        </w:trPr>
        <w:tc>
          <w:tcPr>
            <w:tcW w:w="3663" w:type="dxa"/>
          </w:tcPr>
          <w:p>
            <w:pPr>
              <w:pStyle w:val="TableParagraph"/>
              <w:spacing w:before="107"/>
              <w:ind w:left="213"/>
              <w:rPr>
                <w:sz w:val="14"/>
              </w:rPr>
            </w:pPr>
            <w:r>
              <w:rPr>
                <w:w w:val="105"/>
                <w:sz w:val="14"/>
              </w:rPr>
              <w:t>3) Contributions</w:t>
            </w:r>
          </w:p>
        </w:tc>
        <w:tc>
          <w:tcPr>
            <w:tcW w:w="2537" w:type="dxa"/>
            <w:gridSpan w:val="2"/>
          </w:tcPr>
          <w:p>
            <w:pPr>
              <w:pStyle w:val="TableParagraph"/>
              <w:spacing w:before="107"/>
              <w:ind w:right="142"/>
              <w:jc w:val="right"/>
              <w:rPr>
                <w:sz w:val="14"/>
              </w:rPr>
            </w:pPr>
            <w:r>
              <w:rPr>
                <w:sz w:val="14"/>
              </w:rPr>
              <w:t>8980-8999</w:t>
            </w:r>
          </w:p>
        </w:tc>
        <w:tc>
          <w:tcPr>
            <w:tcW w:w="1725" w:type="dxa"/>
          </w:tcPr>
          <w:p>
            <w:pPr>
              <w:pStyle w:val="TableParagraph"/>
              <w:spacing w:before="107"/>
              <w:ind w:right="286"/>
              <w:jc w:val="right"/>
              <w:rPr>
                <w:sz w:val="14"/>
              </w:rPr>
            </w:pPr>
            <w:r>
              <w:rPr>
                <w:sz w:val="14"/>
              </w:rPr>
              <w:t>0.00</w:t>
            </w:r>
          </w:p>
        </w:tc>
        <w:tc>
          <w:tcPr>
            <w:tcW w:w="1300" w:type="dxa"/>
            <w:gridSpan w:val="2"/>
          </w:tcPr>
          <w:p>
            <w:pPr>
              <w:pStyle w:val="TableParagraph"/>
              <w:spacing w:before="107"/>
              <w:ind w:right="74"/>
              <w:jc w:val="right"/>
              <w:rPr>
                <w:sz w:val="14"/>
              </w:rPr>
            </w:pPr>
            <w:r>
              <w:rPr>
                <w:sz w:val="14"/>
              </w:rPr>
              <w:t>0.00</w:t>
            </w:r>
          </w:p>
        </w:tc>
        <w:tc>
          <w:tcPr>
            <w:tcW w:w="1566" w:type="dxa"/>
            <w:gridSpan w:val="2"/>
          </w:tcPr>
          <w:p>
            <w:pPr>
              <w:pStyle w:val="TableParagraph"/>
              <w:spacing w:before="107"/>
              <w:ind w:right="51"/>
              <w:jc w:val="right"/>
              <w:rPr>
                <w:sz w:val="14"/>
              </w:rPr>
            </w:pPr>
            <w:r>
              <w:rPr>
                <w:sz w:val="14"/>
              </w:rPr>
              <w:t>0.0%</w:t>
            </w:r>
          </w:p>
        </w:tc>
      </w:tr>
      <w:tr>
        <w:trPr>
          <w:trHeight w:val="268" w:hRule="atLeast"/>
        </w:trPr>
        <w:tc>
          <w:tcPr>
            <w:tcW w:w="3663" w:type="dxa"/>
          </w:tcPr>
          <w:p>
            <w:pPr>
              <w:pStyle w:val="TableParagraph"/>
              <w:spacing w:line="142" w:lineRule="exact" w:before="107"/>
              <w:ind w:left="213"/>
              <w:rPr>
                <w:sz w:val="14"/>
              </w:rPr>
            </w:pPr>
            <w:r>
              <w:rPr>
                <w:w w:val="105"/>
                <w:sz w:val="14"/>
              </w:rPr>
              <w:t>4) TOTAL, OTHER FINANCING SOURCES/USES</w:t>
            </w:r>
          </w:p>
        </w:tc>
        <w:tc>
          <w:tcPr>
            <w:tcW w:w="2537" w:type="dxa"/>
            <w:gridSpan w:val="2"/>
          </w:tcPr>
          <w:p>
            <w:pPr>
              <w:pStyle w:val="TableParagraph"/>
              <w:rPr>
                <w:rFonts w:ascii="Times New Roman"/>
                <w:sz w:val="14"/>
              </w:rPr>
            </w:pPr>
          </w:p>
        </w:tc>
        <w:tc>
          <w:tcPr>
            <w:tcW w:w="1725" w:type="dxa"/>
          </w:tcPr>
          <w:p>
            <w:pPr>
              <w:pStyle w:val="TableParagraph"/>
              <w:spacing w:line="142" w:lineRule="exact" w:before="107"/>
              <w:ind w:right="286"/>
              <w:jc w:val="right"/>
              <w:rPr>
                <w:sz w:val="14"/>
              </w:rPr>
            </w:pPr>
            <w:r>
              <w:rPr>
                <w:sz w:val="14"/>
              </w:rPr>
              <w:t>0.00</w:t>
            </w:r>
          </w:p>
        </w:tc>
        <w:tc>
          <w:tcPr>
            <w:tcW w:w="1300" w:type="dxa"/>
            <w:gridSpan w:val="2"/>
          </w:tcPr>
          <w:p>
            <w:pPr>
              <w:pStyle w:val="TableParagraph"/>
              <w:spacing w:line="142" w:lineRule="exact" w:before="107"/>
              <w:ind w:right="74"/>
              <w:jc w:val="right"/>
              <w:rPr>
                <w:sz w:val="14"/>
              </w:rPr>
            </w:pPr>
            <w:r>
              <w:rPr>
                <w:sz w:val="14"/>
              </w:rPr>
              <w:t>0.00</w:t>
            </w:r>
          </w:p>
        </w:tc>
        <w:tc>
          <w:tcPr>
            <w:tcW w:w="1566" w:type="dxa"/>
            <w:gridSpan w:val="2"/>
          </w:tcPr>
          <w:p>
            <w:pPr>
              <w:pStyle w:val="TableParagraph"/>
              <w:spacing w:line="142" w:lineRule="exact" w:before="107"/>
              <w:ind w:right="51"/>
              <w:jc w:val="right"/>
              <w:rPr>
                <w:sz w:val="14"/>
              </w:rPr>
            </w:pPr>
            <w:r>
              <w:rPr>
                <w:sz w:val="14"/>
              </w:rPr>
              <w:t>0.0%</w:t>
            </w:r>
          </w:p>
        </w:tc>
      </w:tr>
    </w:tbl>
    <w:p>
      <w:pPr>
        <w:spacing w:after="0" w:line="142" w:lineRule="exact"/>
        <w:jc w:val="right"/>
        <w:rPr>
          <w:sz w:val="14"/>
        </w:rPr>
        <w:sectPr>
          <w:type w:val="continuous"/>
          <w:pgSz w:w="12240" w:h="15840"/>
          <w:pgMar w:top="1500" w:bottom="840" w:left="160" w:right="180"/>
        </w:sectPr>
      </w:pPr>
    </w:p>
    <w:p>
      <w:pPr>
        <w:spacing w:line="232" w:lineRule="auto" w:before="1"/>
        <w:ind w:left="308" w:right="0" w:firstLine="0"/>
        <w:jc w:val="left"/>
        <w:rPr>
          <w:sz w:val="18"/>
        </w:rPr>
      </w:pPr>
      <w:r>
        <w:rPr/>
        <w:pict>
          <v:group style="position:absolute;margin-left:30.120001pt;margin-top:36.318634pt;width:538.5pt;height:419.2pt;mso-position-horizontal-relative:page;mso-position-vertical-relative:paragraph;z-index:-314484736" coordorigin="602,726" coordsize="10770,8384">
            <v:shape style="position:absolute;left:602;top:726;width:3646;height:790" type="#_x0000_t75" stroked="false">
              <v:imagedata r:id="rId406" o:title=""/>
            </v:shape>
            <v:line style="position:absolute" from="1412,1506" to="1412,1876" stroked="true" strokeweight=".360003pt" strokecolor="#ffffff">
              <v:stroke dashstyle="solid"/>
            </v:line>
            <v:shape style="position:absolute;left:4240;top:726;width:7121;height:1364" type="#_x0000_t75" stroked="false">
              <v:imagedata r:id="rId433" o:title=""/>
            </v:shape>
            <v:shape style="position:absolute;left:602;top:1501;width:3646;height:588" type="#_x0000_t75" stroked="false">
              <v:imagedata r:id="rId434" o:title=""/>
            </v:shape>
            <v:line style="position:absolute" from="1412,2080" to="1412,2450" stroked="true" strokeweight=".360003pt" strokecolor="#ffffff">
              <v:stroke dashstyle="solid"/>
            </v:line>
            <v:shape style="position:absolute;left:6782;top:1878;width:4580;height:1172" type="#_x0000_t75" stroked="false">
              <v:imagedata r:id="rId428" o:title=""/>
            </v:shape>
            <v:shape style="position:absolute;left:602;top:2075;width:3646;height:7035" type="#_x0000_t75" stroked="false">
              <v:imagedata r:id="rId435" o:title=""/>
            </v:shape>
            <v:shape style="position:absolute;left:6782;top:2845;width:4580;height:552" type="#_x0000_t75" stroked="false">
              <v:imagedata r:id="rId436" o:title=""/>
            </v:shape>
            <v:shape style="position:absolute;left:6782;top:3042;width:4580;height:704" type="#_x0000_t75" stroked="false">
              <v:imagedata r:id="rId437" o:title=""/>
            </v:shape>
            <v:shape style="position:absolute;left:6782;top:3390;width:4580;height:704" type="#_x0000_t75" stroked="false">
              <v:imagedata r:id="rId438" o:title=""/>
            </v:shape>
            <v:shape style="position:absolute;left:6782;top:3738;width:4580;height:704" type="#_x0000_t75" stroked="false">
              <v:imagedata r:id="rId437" o:title=""/>
            </v:shape>
            <v:shape style="position:absolute;left:6782;top:4086;width:4580;height:704" type="#_x0000_t75" stroked="false">
              <v:imagedata r:id="rId438" o:title=""/>
            </v:shape>
            <v:shape style="position:absolute;left:6782;top:4434;width:4580;height:946" type="#_x0000_t75" stroked="false">
              <v:imagedata r:id="rId439" o:title=""/>
            </v:shape>
            <v:shape style="position:absolute;left:6782;top:5175;width:4580;height:552" type="#_x0000_t75" stroked="false">
              <v:imagedata r:id="rId440" o:title=""/>
            </v:shape>
            <v:shape style="position:absolute;left:6782;top:5372;width:4580;height:699" type="#_x0000_t75" stroked="false">
              <v:imagedata r:id="rId587" o:title=""/>
            </v:shape>
            <v:shape style="position:absolute;left:8294;top:5720;width:3068;height:704" type="#_x0000_t75" stroked="false">
              <v:imagedata r:id="rId588" o:title=""/>
            </v:shape>
            <v:shape style="position:absolute;left:6782;top:6068;width:1520;height:356" type="#_x0000_t75" stroked="false">
              <v:imagedata r:id="rId589" o:title=""/>
            </v:shape>
            <v:shape style="position:absolute;left:8294;top:6068;width:3068;height:1047" type="#_x0000_t75" stroked="false">
              <v:imagedata r:id="rId590" o:title=""/>
            </v:shape>
            <v:shape style="position:absolute;left:6782;top:6416;width:1520;height:699" type="#_x0000_t75" stroked="false">
              <v:imagedata r:id="rId591" o:title=""/>
            </v:shape>
            <v:shape style="position:absolute;left:6782;top:7112;width:1520;height:204" type="#_x0000_t75" stroked="false">
              <v:imagedata r:id="rId424" o:title=""/>
            </v:shape>
            <v:shape style="position:absolute;left:8294;top:7112;width:1520;height:204" type="#_x0000_t75" stroked="false">
              <v:imagedata r:id="rId425" o:title=""/>
            </v:shape>
            <v:shape style="position:absolute;left:6782;top:6764;width:4580;height:1445" type="#_x0000_t75" stroked="false">
              <v:imagedata r:id="rId592" o:title=""/>
            </v:shape>
            <v:shape style="position:absolute;left:8294;top:8005;width:3068;height:204" type="#_x0000_t75" stroked="false">
              <v:imagedata r:id="rId593" o:title=""/>
            </v:shape>
            <v:shape style="position:absolute;left:6782;top:8202;width:1520;height:353" type="#_x0000_t75" stroked="false">
              <v:imagedata r:id="rId445" o:title=""/>
            </v:shape>
            <v:shape style="position:absolute;left:8294;top:8202;width:1520;height:353" type="#_x0000_t75" stroked="false">
              <v:imagedata r:id="rId594" o:title=""/>
            </v:shape>
            <v:rect style="position:absolute;left:9811;top:8207;width:1541;height:348" filled="true" fillcolor="#dfdfdf" stroked="false">
              <v:fill type="solid"/>
            </v:rect>
            <v:shape style="position:absolute;left:6782;top:8550;width:1520;height:204" type="#_x0000_t75" stroked="false">
              <v:imagedata r:id="rId424" o:title=""/>
            </v:shape>
            <v:shape style="position:absolute;left:8294;top:8550;width:1520;height:204" type="#_x0000_t75" stroked="false">
              <v:imagedata r:id="rId425" o:title=""/>
            </v:shape>
            <v:rect style="position:absolute;left:9811;top:8555;width:1541;height:197" filled="true" fillcolor="#dfdfdf" stroked="false">
              <v:fill type="solid"/>
            </v:rect>
            <v:shape style="position:absolute;left:4240;top:8202;width:7121;height:908" type="#_x0000_t75" stroked="false">
              <v:imagedata r:id="rId448" o:title=""/>
            </v:shape>
            <v:shape style="position:absolute;left:638;top:1340;width:811;height:161" type="#_x0000_t202" filled="false" stroked="false">
              <v:textbox inset="0,0,0,0">
                <w:txbxContent>
                  <w:p>
                    <w:pPr>
                      <w:spacing w:line="160" w:lineRule="exact" w:before="0"/>
                      <w:ind w:left="0" w:right="0" w:firstLine="0"/>
                      <w:jc w:val="left"/>
                      <w:rPr>
                        <w:b/>
                        <w:sz w:val="14"/>
                      </w:rPr>
                    </w:pPr>
                    <w:r>
                      <w:rPr>
                        <w:b/>
                        <w:sz w:val="14"/>
                      </w:rPr>
                      <w:t>Description</w:t>
                    </w:r>
                  </w:p>
                </w:txbxContent>
              </v:textbox>
              <w10:wrap type="none"/>
            </v:shape>
            <v:shape style="position:absolute;left:4466;top:1172;width:3722;height:329" type="#_x0000_t202" filled="false" stroked="false">
              <v:textbox inset="0,0,0,0">
                <w:txbxContent>
                  <w:p>
                    <w:pPr>
                      <w:spacing w:line="160" w:lineRule="exact" w:before="0"/>
                      <w:ind w:left="2820" w:right="0" w:firstLine="0"/>
                      <w:jc w:val="left"/>
                      <w:rPr>
                        <w:b/>
                        <w:sz w:val="14"/>
                      </w:rPr>
                    </w:pPr>
                    <w:r>
                      <w:rPr>
                        <w:b/>
                        <w:w w:val="105"/>
                        <w:sz w:val="14"/>
                      </w:rPr>
                      <w:t>2020-21</w:t>
                    </w:r>
                  </w:p>
                  <w:p>
                    <w:pPr>
                      <w:tabs>
                        <w:tab w:pos="1372" w:val="left" w:leader="none"/>
                      </w:tabs>
                      <w:spacing w:before="7"/>
                      <w:ind w:left="0" w:right="0" w:firstLine="0"/>
                      <w:jc w:val="left"/>
                      <w:rPr>
                        <w:b/>
                        <w:sz w:val="14"/>
                      </w:rPr>
                    </w:pPr>
                    <w:r>
                      <w:rPr>
                        <w:b/>
                        <w:w w:val="105"/>
                        <w:sz w:val="14"/>
                      </w:rPr>
                      <w:t>Resource</w:t>
                    </w:r>
                    <w:r>
                      <w:rPr>
                        <w:b/>
                        <w:spacing w:val="-12"/>
                        <w:w w:val="105"/>
                        <w:sz w:val="14"/>
                      </w:rPr>
                      <w:t> </w:t>
                    </w:r>
                    <w:r>
                      <w:rPr>
                        <w:b/>
                        <w:w w:val="105"/>
                        <w:sz w:val="14"/>
                      </w:rPr>
                      <w:t>Codes</w:t>
                      <w:tab/>
                      <w:t>Object Codes Estimated</w:t>
                    </w:r>
                    <w:r>
                      <w:rPr>
                        <w:b/>
                        <w:spacing w:val="-15"/>
                        <w:w w:val="105"/>
                        <w:sz w:val="14"/>
                      </w:rPr>
                      <w:t> </w:t>
                    </w:r>
                    <w:r>
                      <w:rPr>
                        <w:b/>
                        <w:w w:val="105"/>
                        <w:sz w:val="14"/>
                      </w:rPr>
                      <w:t>Actuals</w:t>
                    </w:r>
                  </w:p>
                </w:txbxContent>
              </v:textbox>
              <w10:wrap type="none"/>
            </v:shape>
            <v:shape style="position:absolute;left:8798;top:1172;width:545;height:329" type="#_x0000_t202" filled="false" stroked="false">
              <v:textbox inset="0,0,0,0">
                <w:txbxContent>
                  <w:p>
                    <w:pPr>
                      <w:spacing w:line="160" w:lineRule="exact" w:before="0"/>
                      <w:ind w:left="0" w:right="0" w:firstLine="0"/>
                      <w:jc w:val="left"/>
                      <w:rPr>
                        <w:b/>
                        <w:sz w:val="14"/>
                      </w:rPr>
                    </w:pPr>
                    <w:r>
                      <w:rPr>
                        <w:b/>
                        <w:sz w:val="14"/>
                      </w:rPr>
                      <w:t>2021-22</w:t>
                    </w:r>
                  </w:p>
                  <w:p>
                    <w:pPr>
                      <w:spacing w:before="7"/>
                      <w:ind w:left="11" w:right="0" w:firstLine="0"/>
                      <w:jc w:val="left"/>
                      <w:rPr>
                        <w:b/>
                        <w:sz w:val="14"/>
                      </w:rPr>
                    </w:pPr>
                    <w:r>
                      <w:rPr>
                        <w:b/>
                        <w:w w:val="105"/>
                        <w:sz w:val="14"/>
                      </w:rPr>
                      <w:t>Budget</w:t>
                    </w:r>
                  </w:p>
                </w:txbxContent>
              </v:textbox>
              <w10:wrap type="none"/>
            </v:shape>
            <v:shape style="position:absolute;left:10236;top:1172;width:721;height:329" type="#_x0000_t202" filled="false" stroked="false">
              <v:textbox inset="0,0,0,0">
                <w:txbxContent>
                  <w:p>
                    <w:pPr>
                      <w:spacing w:line="249" w:lineRule="auto" w:before="0"/>
                      <w:ind w:left="0" w:right="16" w:firstLine="86"/>
                      <w:jc w:val="left"/>
                      <w:rPr>
                        <w:b/>
                        <w:sz w:val="14"/>
                      </w:rPr>
                    </w:pPr>
                    <w:r>
                      <w:rPr>
                        <w:b/>
                        <w:w w:val="105"/>
                        <w:sz w:val="14"/>
                      </w:rPr>
                      <w:t>Percent </w:t>
                    </w:r>
                    <w:r>
                      <w:rPr>
                        <w:b/>
                        <w:sz w:val="14"/>
                      </w:rPr>
                      <w:t>Difference</w:t>
                    </w:r>
                  </w:p>
                </w:txbxContent>
              </v:textbox>
              <w10:wrap type="none"/>
            </v:shape>
            <v:shape style="position:absolute;left:638;top:1717;width:2815;height:358" type="#_x0000_t202" filled="false" stroked="false">
              <v:textbox inset="0,0,0,0">
                <w:txbxContent>
                  <w:p>
                    <w:pPr>
                      <w:spacing w:line="160" w:lineRule="exact" w:before="0"/>
                      <w:ind w:left="0" w:right="0" w:firstLine="0"/>
                      <w:jc w:val="left"/>
                      <w:rPr>
                        <w:b/>
                        <w:sz w:val="14"/>
                      </w:rPr>
                    </w:pPr>
                    <w:r>
                      <w:rPr>
                        <w:b/>
                        <w:w w:val="105"/>
                        <w:sz w:val="14"/>
                      </w:rPr>
                      <w:t>E.</w:t>
                    </w:r>
                    <w:r>
                      <w:rPr>
                        <w:b/>
                        <w:spacing w:val="-14"/>
                        <w:w w:val="105"/>
                        <w:sz w:val="14"/>
                      </w:rPr>
                      <w:t> </w:t>
                    </w:r>
                    <w:r>
                      <w:rPr>
                        <w:b/>
                        <w:w w:val="105"/>
                        <w:sz w:val="14"/>
                      </w:rPr>
                      <w:t>NET</w:t>
                    </w:r>
                    <w:r>
                      <w:rPr>
                        <w:b/>
                        <w:spacing w:val="-13"/>
                        <w:w w:val="105"/>
                        <w:sz w:val="14"/>
                      </w:rPr>
                      <w:t> </w:t>
                    </w:r>
                    <w:r>
                      <w:rPr>
                        <w:b/>
                        <w:w w:val="105"/>
                        <w:sz w:val="14"/>
                      </w:rPr>
                      <w:t>INCREASE</w:t>
                    </w:r>
                    <w:r>
                      <w:rPr>
                        <w:b/>
                        <w:spacing w:val="-15"/>
                        <w:w w:val="105"/>
                        <w:sz w:val="14"/>
                      </w:rPr>
                      <w:t> </w:t>
                    </w:r>
                    <w:r>
                      <w:rPr>
                        <w:b/>
                        <w:w w:val="105"/>
                        <w:sz w:val="14"/>
                      </w:rPr>
                      <w:t>(DECREASE)</w:t>
                    </w:r>
                    <w:r>
                      <w:rPr>
                        <w:b/>
                        <w:spacing w:val="-13"/>
                        <w:w w:val="105"/>
                        <w:sz w:val="14"/>
                      </w:rPr>
                      <w:t> </w:t>
                    </w:r>
                    <w:r>
                      <w:rPr>
                        <w:b/>
                        <w:w w:val="105"/>
                        <w:sz w:val="14"/>
                      </w:rPr>
                      <w:t>IN</w:t>
                    </w:r>
                    <w:r>
                      <w:rPr>
                        <w:b/>
                        <w:spacing w:val="-14"/>
                        <w:w w:val="105"/>
                        <w:sz w:val="14"/>
                      </w:rPr>
                      <w:t> </w:t>
                    </w:r>
                    <w:r>
                      <w:rPr>
                        <w:b/>
                        <w:w w:val="105"/>
                        <w:sz w:val="14"/>
                      </w:rPr>
                      <w:t>FUND</w:t>
                    </w:r>
                  </w:p>
                  <w:p>
                    <w:pPr>
                      <w:spacing w:before="36"/>
                      <w:ind w:left="203" w:right="0" w:firstLine="0"/>
                      <w:jc w:val="left"/>
                      <w:rPr>
                        <w:b/>
                        <w:sz w:val="14"/>
                      </w:rPr>
                    </w:pPr>
                    <w:r>
                      <w:rPr>
                        <w:b/>
                        <w:w w:val="105"/>
                        <w:sz w:val="14"/>
                      </w:rPr>
                      <w:t>BALANCE (C + D4)</w:t>
                    </w:r>
                  </w:p>
                </w:txbxContent>
              </v:textbox>
              <w10:wrap type="none"/>
            </v:shape>
            <v:shape style="position:absolute;left:7946;top:1916;width:299;height:161" type="#_x0000_t202" filled="false" stroked="false">
              <v:textbox inset="0,0,0,0">
                <w:txbxContent>
                  <w:p>
                    <w:pPr>
                      <w:spacing w:line="160" w:lineRule="exact" w:before="0"/>
                      <w:ind w:left="0" w:right="0" w:firstLine="0"/>
                      <w:jc w:val="left"/>
                      <w:rPr>
                        <w:sz w:val="14"/>
                      </w:rPr>
                    </w:pPr>
                    <w:r>
                      <w:rPr>
                        <w:w w:val="105"/>
                        <w:sz w:val="14"/>
                      </w:rPr>
                      <w:t>0.00</w:t>
                    </w:r>
                  </w:p>
                </w:txbxContent>
              </v:textbox>
              <w10:wrap type="none"/>
            </v:shape>
            <v:shape style="position:absolute;left:9458;top:1916;width:299;height:161" type="#_x0000_t202" filled="false" stroked="false">
              <v:textbox inset="0,0,0,0">
                <w:txbxContent>
                  <w:p>
                    <w:pPr>
                      <w:spacing w:line="160" w:lineRule="exact" w:before="0"/>
                      <w:ind w:left="0" w:right="0" w:firstLine="0"/>
                      <w:jc w:val="left"/>
                      <w:rPr>
                        <w:sz w:val="14"/>
                      </w:rPr>
                    </w:pPr>
                    <w:r>
                      <w:rPr>
                        <w:w w:val="105"/>
                        <w:sz w:val="14"/>
                      </w:rPr>
                      <w:t>0.00</w:t>
                    </w:r>
                  </w:p>
                </w:txbxContent>
              </v:textbox>
              <w10:wrap type="none"/>
            </v:shape>
            <v:shape style="position:absolute;left:10999;top:1916;width:347;height:161" type="#_x0000_t202" filled="false" stroked="false">
              <v:textbox inset="0,0,0,0">
                <w:txbxContent>
                  <w:p>
                    <w:pPr>
                      <w:spacing w:line="160" w:lineRule="exact" w:before="0"/>
                      <w:ind w:left="0" w:right="0" w:firstLine="0"/>
                      <w:jc w:val="left"/>
                      <w:rPr>
                        <w:sz w:val="14"/>
                      </w:rPr>
                    </w:pPr>
                    <w:r>
                      <w:rPr>
                        <w:w w:val="105"/>
                        <w:sz w:val="14"/>
                      </w:rPr>
                      <w:t>0.0%</w:t>
                    </w:r>
                  </w:p>
                </w:txbxContent>
              </v:textbox>
              <w10:wrap type="none"/>
            </v:shape>
            <v:shape style="position:absolute;left:638;top:2290;width:2182;height:161" type="#_x0000_t202" filled="false" stroked="false">
              <v:textbox inset="0,0,0,0">
                <w:txbxContent>
                  <w:p>
                    <w:pPr>
                      <w:spacing w:line="160" w:lineRule="exact" w:before="0"/>
                      <w:ind w:left="0" w:right="0" w:firstLine="0"/>
                      <w:jc w:val="left"/>
                      <w:rPr>
                        <w:b/>
                        <w:sz w:val="14"/>
                      </w:rPr>
                    </w:pPr>
                    <w:r>
                      <w:rPr>
                        <w:b/>
                        <w:w w:val="105"/>
                        <w:sz w:val="14"/>
                      </w:rPr>
                      <w:t>F.</w:t>
                    </w:r>
                    <w:r>
                      <w:rPr>
                        <w:b/>
                        <w:spacing w:val="-18"/>
                        <w:w w:val="105"/>
                        <w:sz w:val="14"/>
                      </w:rPr>
                      <w:t> </w:t>
                    </w:r>
                    <w:r>
                      <w:rPr>
                        <w:b/>
                        <w:w w:val="105"/>
                        <w:sz w:val="14"/>
                      </w:rPr>
                      <w:t>FUND</w:t>
                    </w:r>
                    <w:r>
                      <w:rPr>
                        <w:b/>
                        <w:spacing w:val="-18"/>
                        <w:w w:val="105"/>
                        <w:sz w:val="14"/>
                      </w:rPr>
                      <w:t> </w:t>
                    </w:r>
                    <w:r>
                      <w:rPr>
                        <w:b/>
                        <w:w w:val="105"/>
                        <w:sz w:val="14"/>
                      </w:rPr>
                      <w:t>BALANCE,</w:t>
                    </w:r>
                    <w:r>
                      <w:rPr>
                        <w:b/>
                        <w:spacing w:val="-18"/>
                        <w:w w:val="105"/>
                        <w:sz w:val="14"/>
                      </w:rPr>
                      <w:t> </w:t>
                    </w:r>
                    <w:r>
                      <w:rPr>
                        <w:b/>
                        <w:w w:val="105"/>
                        <w:sz w:val="14"/>
                      </w:rPr>
                      <w:t>RESERVES</w:t>
                    </w:r>
                  </w:p>
                </w:txbxContent>
              </v:textbox>
              <w10:wrap type="none"/>
            </v:shape>
            <v:shape style="position:absolute;left:1168;top:7150;width:1726;height:161" type="#_x0000_t202" filled="false" stroked="false">
              <v:textbox inset="0,0,0,0">
                <w:txbxContent>
                  <w:p>
                    <w:pPr>
                      <w:spacing w:line="160" w:lineRule="exact" w:before="0"/>
                      <w:ind w:left="0" w:right="0" w:firstLine="0"/>
                      <w:jc w:val="left"/>
                      <w:rPr>
                        <w:sz w:val="14"/>
                      </w:rPr>
                    </w:pPr>
                    <w:r>
                      <w:rPr>
                        <w:sz w:val="14"/>
                      </w:rPr>
                      <w:t>Stabilization Arrangements</w:t>
                    </w:r>
                  </w:p>
                </w:txbxContent>
              </v:textbox>
              <w10:wrap type="none"/>
            </v:shape>
            <v:shape style="position:absolute;left:6144;top:7150;width:338;height:161" type="#_x0000_t202" filled="false" stroked="false">
              <v:textbox inset="0,0,0,0">
                <w:txbxContent>
                  <w:p>
                    <w:pPr>
                      <w:spacing w:line="160" w:lineRule="exact" w:before="0"/>
                      <w:ind w:left="0" w:right="0" w:firstLine="0"/>
                      <w:jc w:val="left"/>
                      <w:rPr>
                        <w:sz w:val="14"/>
                      </w:rPr>
                    </w:pPr>
                    <w:r>
                      <w:rPr>
                        <w:w w:val="105"/>
                        <w:sz w:val="14"/>
                      </w:rPr>
                      <w:t>9750</w:t>
                    </w:r>
                  </w:p>
                </w:txbxContent>
              </v:textbox>
              <w10:wrap type="none"/>
            </v:shape>
            <v:shape style="position:absolute;left:7946;top:7150;width:299;height:161" type="#_x0000_t202" filled="false" stroked="false">
              <v:textbox inset="0,0,0,0">
                <w:txbxContent>
                  <w:p>
                    <w:pPr>
                      <w:spacing w:line="160" w:lineRule="exact" w:before="0"/>
                      <w:ind w:left="0" w:right="0" w:firstLine="0"/>
                      <w:jc w:val="left"/>
                      <w:rPr>
                        <w:sz w:val="14"/>
                      </w:rPr>
                    </w:pPr>
                    <w:r>
                      <w:rPr>
                        <w:w w:val="105"/>
                        <w:sz w:val="14"/>
                      </w:rPr>
                      <w:t>0.00</w:t>
                    </w:r>
                  </w:p>
                </w:txbxContent>
              </v:textbox>
              <w10:wrap type="none"/>
            </v:shape>
            <v:shape style="position:absolute;left:9458;top:7150;width:1914;height:162" type="#_x0000_t202" filled="false" stroked="false">
              <v:textbox inset="0,0,0,0">
                <w:txbxContent>
                  <w:p>
                    <w:pPr>
                      <w:tabs>
                        <w:tab w:pos="1540" w:val="left" w:leader="none"/>
                      </w:tabs>
                      <w:spacing w:line="160" w:lineRule="exact" w:before="0"/>
                      <w:ind w:left="0" w:right="0" w:firstLine="0"/>
                      <w:jc w:val="left"/>
                      <w:rPr>
                        <w:sz w:val="14"/>
                      </w:rPr>
                    </w:pPr>
                    <w:r>
                      <w:rPr>
                        <w:w w:val="105"/>
                        <w:sz w:val="14"/>
                      </w:rPr>
                      <w:t>0.00</w:t>
                    </w:r>
                    <w:r>
                      <w:rPr>
                        <w:w w:val="105"/>
                        <w:sz w:val="14"/>
                        <w:shd w:fill="DFDFDF" w:color="auto" w:val="clear"/>
                      </w:rPr>
                      <w:tab/>
                      <w:t>0.0%</w:t>
                    </w:r>
                    <w:r>
                      <w:rPr>
                        <w:spacing w:val="-13"/>
                        <w:sz w:val="14"/>
                        <w:shd w:fill="DFDFDF" w:color="auto" w:val="clear"/>
                      </w:rPr>
                      <w:t> </w:t>
                    </w:r>
                  </w:p>
                </w:txbxContent>
              </v:textbox>
              <w10:wrap type="none"/>
            </v:shape>
            <v:shape style="position:absolute;left:1168;top:7498;width:1298;height:161" type="#_x0000_t202" filled="false" stroked="false">
              <v:textbox inset="0,0,0,0">
                <w:txbxContent>
                  <w:p>
                    <w:pPr>
                      <w:spacing w:line="160" w:lineRule="exact" w:before="0"/>
                      <w:ind w:left="0" w:right="0" w:firstLine="0"/>
                      <w:jc w:val="left"/>
                      <w:rPr>
                        <w:sz w:val="14"/>
                      </w:rPr>
                    </w:pPr>
                    <w:r>
                      <w:rPr>
                        <w:w w:val="105"/>
                        <w:sz w:val="14"/>
                      </w:rPr>
                      <w:t>Other</w:t>
                    </w:r>
                    <w:r>
                      <w:rPr>
                        <w:spacing w:val="-26"/>
                        <w:w w:val="105"/>
                        <w:sz w:val="14"/>
                      </w:rPr>
                      <w:t> </w:t>
                    </w:r>
                    <w:r>
                      <w:rPr>
                        <w:w w:val="105"/>
                        <w:sz w:val="14"/>
                      </w:rPr>
                      <w:t>Commitments</w:t>
                    </w:r>
                  </w:p>
                </w:txbxContent>
              </v:textbox>
              <w10:wrap type="none"/>
            </v:shape>
            <v:shape style="position:absolute;left:6144;top:7498;width:338;height:161" type="#_x0000_t202" filled="false" stroked="false">
              <v:textbox inset="0,0,0,0">
                <w:txbxContent>
                  <w:p>
                    <w:pPr>
                      <w:spacing w:line="160" w:lineRule="exact" w:before="0"/>
                      <w:ind w:left="0" w:right="0" w:firstLine="0"/>
                      <w:jc w:val="left"/>
                      <w:rPr>
                        <w:sz w:val="14"/>
                      </w:rPr>
                    </w:pPr>
                    <w:r>
                      <w:rPr>
                        <w:w w:val="105"/>
                        <w:sz w:val="14"/>
                      </w:rPr>
                      <w:t>9760</w:t>
                    </w:r>
                  </w:p>
                </w:txbxContent>
              </v:textbox>
              <w10:wrap type="none"/>
            </v:shape>
            <v:shape style="position:absolute;left:7946;top:7498;width:299;height:161" type="#_x0000_t202" filled="false" stroked="false">
              <v:textbox inset="0,0,0,0">
                <w:txbxContent>
                  <w:p>
                    <w:pPr>
                      <w:spacing w:line="160" w:lineRule="exact" w:before="0"/>
                      <w:ind w:left="0" w:right="0" w:firstLine="0"/>
                      <w:jc w:val="left"/>
                      <w:rPr>
                        <w:sz w:val="14"/>
                      </w:rPr>
                    </w:pPr>
                    <w:r>
                      <w:rPr>
                        <w:w w:val="105"/>
                        <w:sz w:val="14"/>
                      </w:rPr>
                      <w:t>0.00</w:t>
                    </w:r>
                  </w:p>
                </w:txbxContent>
              </v:textbox>
              <w10:wrap type="none"/>
            </v:shape>
            <v:shape style="position:absolute;left:9458;top:7498;width:299;height:161" type="#_x0000_t202" filled="false" stroked="false">
              <v:textbox inset="0,0,0,0">
                <w:txbxContent>
                  <w:p>
                    <w:pPr>
                      <w:spacing w:line="160" w:lineRule="exact" w:before="0"/>
                      <w:ind w:left="0" w:right="0" w:firstLine="0"/>
                      <w:jc w:val="left"/>
                      <w:rPr>
                        <w:sz w:val="14"/>
                      </w:rPr>
                    </w:pPr>
                    <w:r>
                      <w:rPr>
                        <w:w w:val="105"/>
                        <w:sz w:val="14"/>
                      </w:rPr>
                      <w:t>0.00</w:t>
                    </w:r>
                  </w:p>
                </w:txbxContent>
              </v:textbox>
              <w10:wrap type="none"/>
            </v:shape>
            <v:shape style="position:absolute;left:10999;top:7498;width:347;height:161" type="#_x0000_t202" filled="false" stroked="false">
              <v:textbox inset="0,0,0,0">
                <w:txbxContent>
                  <w:p>
                    <w:pPr>
                      <w:spacing w:line="160" w:lineRule="exact" w:before="0"/>
                      <w:ind w:left="0" w:right="0" w:firstLine="0"/>
                      <w:jc w:val="left"/>
                      <w:rPr>
                        <w:sz w:val="14"/>
                      </w:rPr>
                    </w:pPr>
                    <w:r>
                      <w:rPr>
                        <w:w w:val="105"/>
                        <w:sz w:val="14"/>
                      </w:rPr>
                      <w:t>0.0%</w:t>
                    </w:r>
                  </w:p>
                </w:txbxContent>
              </v:textbox>
              <w10:wrap type="none"/>
            </v:shape>
            <v:shape style="position:absolute;left:964;top:7846;width:1441;height:358" type="#_x0000_t202" filled="false" stroked="false">
              <v:textbox inset="0,0,0,0">
                <w:txbxContent>
                  <w:p>
                    <w:pPr>
                      <w:spacing w:line="160" w:lineRule="exact" w:before="0"/>
                      <w:ind w:left="0" w:right="0" w:firstLine="0"/>
                      <w:jc w:val="left"/>
                      <w:rPr>
                        <w:sz w:val="14"/>
                      </w:rPr>
                    </w:pPr>
                    <w:r>
                      <w:rPr>
                        <w:w w:val="105"/>
                        <w:sz w:val="14"/>
                      </w:rPr>
                      <w:t>d) Assigned</w:t>
                    </w:r>
                  </w:p>
                  <w:p>
                    <w:pPr>
                      <w:spacing w:before="36"/>
                      <w:ind w:left="203" w:right="0" w:firstLine="0"/>
                      <w:jc w:val="left"/>
                      <w:rPr>
                        <w:sz w:val="14"/>
                      </w:rPr>
                    </w:pPr>
                    <w:r>
                      <w:rPr>
                        <w:w w:val="105"/>
                        <w:sz w:val="14"/>
                      </w:rPr>
                      <w:t>Other</w:t>
                    </w:r>
                    <w:r>
                      <w:rPr>
                        <w:spacing w:val="-23"/>
                        <w:w w:val="105"/>
                        <w:sz w:val="14"/>
                      </w:rPr>
                      <w:t> </w:t>
                    </w:r>
                    <w:r>
                      <w:rPr>
                        <w:w w:val="105"/>
                        <w:sz w:val="14"/>
                      </w:rPr>
                      <w:t>Assignments</w:t>
                    </w:r>
                  </w:p>
                </w:txbxContent>
              </v:textbox>
              <w10:wrap type="none"/>
            </v:shape>
            <v:shape style="position:absolute;left:6144;top:8043;width:338;height:161" type="#_x0000_t202" filled="false" stroked="false">
              <v:textbox inset="0,0,0,0">
                <w:txbxContent>
                  <w:p>
                    <w:pPr>
                      <w:spacing w:line="160" w:lineRule="exact" w:before="0"/>
                      <w:ind w:left="0" w:right="0" w:firstLine="0"/>
                      <w:jc w:val="left"/>
                      <w:rPr>
                        <w:sz w:val="14"/>
                      </w:rPr>
                    </w:pPr>
                    <w:r>
                      <w:rPr>
                        <w:w w:val="105"/>
                        <w:sz w:val="14"/>
                      </w:rPr>
                      <w:t>9780</w:t>
                    </w:r>
                  </w:p>
                </w:txbxContent>
              </v:textbox>
              <w10:wrap type="none"/>
            </v:shape>
            <v:shape style="position:absolute;left:7946;top:8043;width:299;height:161" type="#_x0000_t202" filled="false" stroked="false">
              <v:textbox inset="0,0,0,0">
                <w:txbxContent>
                  <w:p>
                    <w:pPr>
                      <w:spacing w:line="160" w:lineRule="exact" w:before="0"/>
                      <w:ind w:left="0" w:right="0" w:firstLine="0"/>
                      <w:jc w:val="left"/>
                      <w:rPr>
                        <w:sz w:val="14"/>
                      </w:rPr>
                    </w:pPr>
                    <w:r>
                      <w:rPr>
                        <w:w w:val="105"/>
                        <w:sz w:val="14"/>
                      </w:rPr>
                      <w:t>0.00</w:t>
                    </w:r>
                  </w:p>
                </w:txbxContent>
              </v:textbox>
              <w10:wrap type="none"/>
            </v:shape>
            <v:shape style="position:absolute;left:9458;top:8043;width:299;height:161" type="#_x0000_t202" filled="false" stroked="false">
              <v:textbox inset="0,0,0,0">
                <w:txbxContent>
                  <w:p>
                    <w:pPr>
                      <w:spacing w:line="160" w:lineRule="exact" w:before="0"/>
                      <w:ind w:left="0" w:right="0" w:firstLine="0"/>
                      <w:jc w:val="left"/>
                      <w:rPr>
                        <w:sz w:val="14"/>
                      </w:rPr>
                    </w:pPr>
                    <w:r>
                      <w:rPr>
                        <w:w w:val="105"/>
                        <w:sz w:val="14"/>
                      </w:rPr>
                      <w:t>0.00</w:t>
                    </w:r>
                  </w:p>
                </w:txbxContent>
              </v:textbox>
              <w10:wrap type="none"/>
            </v:shape>
            <v:shape style="position:absolute;left:10999;top:8043;width:347;height:161" type="#_x0000_t202" filled="false" stroked="false">
              <v:textbox inset="0,0,0,0">
                <w:txbxContent>
                  <w:p>
                    <w:pPr>
                      <w:spacing w:line="160" w:lineRule="exact" w:before="0"/>
                      <w:ind w:left="0" w:right="0" w:firstLine="0"/>
                      <w:jc w:val="left"/>
                      <w:rPr>
                        <w:sz w:val="14"/>
                      </w:rPr>
                    </w:pPr>
                    <w:r>
                      <w:rPr>
                        <w:w w:val="105"/>
                        <w:sz w:val="14"/>
                      </w:rPr>
                      <w:t>0.0%</w:t>
                    </w:r>
                  </w:p>
                </w:txbxContent>
              </v:textbox>
              <w10:wrap type="none"/>
            </v:shape>
            <v:shape style="position:absolute;left:964;top:8391;width:1966;height:161" type="#_x0000_t202" filled="false" stroked="false">
              <v:textbox inset="0,0,0,0">
                <w:txbxContent>
                  <w:p>
                    <w:pPr>
                      <w:spacing w:line="160" w:lineRule="exact" w:before="0"/>
                      <w:ind w:left="0" w:right="0" w:firstLine="0"/>
                      <w:jc w:val="left"/>
                      <w:rPr>
                        <w:sz w:val="14"/>
                      </w:rPr>
                    </w:pPr>
                    <w:r>
                      <w:rPr>
                        <w:sz w:val="14"/>
                      </w:rPr>
                      <w:t>e) Unassigned/Unappropriated</w:t>
                    </w:r>
                  </w:p>
                </w:txbxContent>
              </v:textbox>
              <w10:wrap type="none"/>
            </v:shape>
            <w10:wrap type="none"/>
          </v:group>
        </w:pict>
      </w:r>
      <w:r>
        <w:rPr>
          <w:sz w:val="18"/>
        </w:rPr>
        <w:t>Winship-Robbins Elementary Sutter County</w:t>
      </w:r>
    </w:p>
    <w:p>
      <w:pPr>
        <w:spacing w:line="232" w:lineRule="auto" w:before="1"/>
        <w:ind w:left="370" w:right="0" w:hanging="63"/>
        <w:jc w:val="left"/>
        <w:rPr>
          <w:sz w:val="18"/>
        </w:rPr>
      </w:pPr>
      <w:r>
        <w:rPr/>
        <w:br w:type="column"/>
      </w:r>
      <w:r>
        <w:rPr>
          <w:sz w:val="18"/>
        </w:rPr>
        <w:t>Child Development Fund Expenditures by Object</w:t>
      </w:r>
    </w:p>
    <w:p>
      <w:pPr>
        <w:spacing w:line="200" w:lineRule="exact" w:before="0"/>
        <w:ind w:left="0" w:right="287" w:firstLine="0"/>
        <w:jc w:val="right"/>
        <w:rPr>
          <w:sz w:val="18"/>
        </w:rPr>
      </w:pPr>
      <w:r>
        <w:rPr/>
        <w:br w:type="column"/>
      </w:r>
      <w:r>
        <w:rPr>
          <w:sz w:val="18"/>
        </w:rPr>
        <w:t>51 71456</w:t>
      </w:r>
      <w:r>
        <w:rPr>
          <w:spacing w:val="3"/>
          <w:sz w:val="18"/>
        </w:rPr>
        <w:t> </w:t>
      </w:r>
      <w:r>
        <w:rPr>
          <w:sz w:val="18"/>
        </w:rPr>
        <w:t>0000000</w:t>
      </w:r>
    </w:p>
    <w:p>
      <w:pPr>
        <w:spacing w:line="204" w:lineRule="exact" w:before="0"/>
        <w:ind w:left="0" w:right="285" w:firstLine="0"/>
        <w:jc w:val="right"/>
        <w:rPr>
          <w:sz w:val="18"/>
        </w:rPr>
      </w:pPr>
      <w:r>
        <w:rPr>
          <w:sz w:val="18"/>
        </w:rPr>
        <w:t>Form </w:t>
      </w:r>
      <w:r>
        <w:rPr>
          <w:spacing w:val="3"/>
          <w:sz w:val="18"/>
        </w:rPr>
        <w:t> </w:t>
      </w:r>
      <w:r>
        <w:rPr>
          <w:sz w:val="18"/>
        </w:rPr>
        <w:t>12</w:t>
      </w:r>
    </w:p>
    <w:p>
      <w:pPr>
        <w:spacing w:after="0" w:line="204" w:lineRule="exact"/>
        <w:jc w:val="right"/>
        <w:rPr>
          <w:sz w:val="18"/>
        </w:rPr>
        <w:sectPr>
          <w:pgSz w:w="12240" w:h="15840"/>
          <w:pgMar w:header="651" w:footer="437" w:top="840" w:bottom="620" w:left="160" w:right="180"/>
          <w:cols w:num="3" w:equalWidth="0">
            <w:col w:w="2698" w:space="1953"/>
            <w:col w:w="2348" w:space="2793"/>
            <w:col w:w="2108"/>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8"/>
        </w:rPr>
      </w:pPr>
    </w:p>
    <w:tbl>
      <w:tblPr>
        <w:tblW w:w="0" w:type="auto"/>
        <w:jc w:val="left"/>
        <w:tblInd w:w="5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42"/>
        <w:gridCol w:w="693"/>
        <w:gridCol w:w="1915"/>
        <w:gridCol w:w="1665"/>
        <w:gridCol w:w="1007"/>
      </w:tblGrid>
      <w:tr>
        <w:trPr>
          <w:trHeight w:val="196" w:hRule="atLeast"/>
        </w:trPr>
        <w:tc>
          <w:tcPr>
            <w:tcW w:w="5342" w:type="dxa"/>
          </w:tcPr>
          <w:p>
            <w:pPr>
              <w:pStyle w:val="TableParagraph"/>
              <w:spacing w:line="160" w:lineRule="exact"/>
              <w:ind w:left="50"/>
              <w:rPr>
                <w:sz w:val="14"/>
              </w:rPr>
            </w:pPr>
            <w:r>
              <w:rPr>
                <w:w w:val="105"/>
                <w:sz w:val="14"/>
              </w:rPr>
              <w:t>1) Beginning Fund Balance</w:t>
            </w:r>
          </w:p>
        </w:tc>
        <w:tc>
          <w:tcPr>
            <w:tcW w:w="5280" w:type="dxa"/>
            <w:gridSpan w:val="4"/>
          </w:tcPr>
          <w:p>
            <w:pPr>
              <w:pStyle w:val="TableParagraph"/>
              <w:rPr>
                <w:rFonts w:ascii="Times New Roman"/>
                <w:sz w:val="12"/>
              </w:rPr>
            </w:pPr>
          </w:p>
        </w:tc>
      </w:tr>
      <w:tr>
        <w:trPr>
          <w:trHeight w:val="254" w:hRule="atLeast"/>
        </w:trPr>
        <w:tc>
          <w:tcPr>
            <w:tcW w:w="5342" w:type="dxa"/>
          </w:tcPr>
          <w:p>
            <w:pPr>
              <w:pStyle w:val="TableParagraph"/>
              <w:spacing w:line="160" w:lineRule="exact"/>
              <w:ind w:left="213"/>
              <w:rPr>
                <w:sz w:val="14"/>
              </w:rPr>
            </w:pPr>
            <w:r>
              <w:rPr>
                <w:w w:val="105"/>
                <w:sz w:val="14"/>
              </w:rPr>
              <w:t>a) As of July 1 - Unaudited</w:t>
            </w:r>
          </w:p>
        </w:tc>
        <w:tc>
          <w:tcPr>
            <w:tcW w:w="693" w:type="dxa"/>
          </w:tcPr>
          <w:p>
            <w:pPr>
              <w:pStyle w:val="TableParagraph"/>
              <w:spacing w:line="160" w:lineRule="exact"/>
              <w:ind w:left="50"/>
              <w:rPr>
                <w:sz w:val="14"/>
              </w:rPr>
            </w:pPr>
            <w:r>
              <w:rPr>
                <w:w w:val="105"/>
                <w:sz w:val="14"/>
              </w:rPr>
              <w:t>9791</w:t>
            </w:r>
          </w:p>
        </w:tc>
        <w:tc>
          <w:tcPr>
            <w:tcW w:w="1915" w:type="dxa"/>
          </w:tcPr>
          <w:p>
            <w:pPr>
              <w:pStyle w:val="TableParagraph"/>
              <w:spacing w:line="160" w:lineRule="exact"/>
              <w:ind w:right="473"/>
              <w:jc w:val="right"/>
              <w:rPr>
                <w:sz w:val="14"/>
              </w:rPr>
            </w:pPr>
            <w:r>
              <w:rPr>
                <w:sz w:val="14"/>
              </w:rPr>
              <w:t>5,882.00</w:t>
            </w:r>
          </w:p>
        </w:tc>
        <w:tc>
          <w:tcPr>
            <w:tcW w:w="1665" w:type="dxa"/>
          </w:tcPr>
          <w:p>
            <w:pPr>
              <w:pStyle w:val="TableParagraph"/>
              <w:spacing w:line="160" w:lineRule="exact"/>
              <w:ind w:right="626"/>
              <w:jc w:val="right"/>
              <w:rPr>
                <w:sz w:val="14"/>
              </w:rPr>
            </w:pPr>
            <w:r>
              <w:rPr>
                <w:sz w:val="14"/>
              </w:rPr>
              <w:t>5,882.00</w:t>
            </w:r>
          </w:p>
        </w:tc>
        <w:tc>
          <w:tcPr>
            <w:tcW w:w="1007" w:type="dxa"/>
          </w:tcPr>
          <w:p>
            <w:pPr>
              <w:pStyle w:val="TableParagraph"/>
              <w:spacing w:line="160" w:lineRule="exact"/>
              <w:ind w:right="45"/>
              <w:jc w:val="right"/>
              <w:rPr>
                <w:sz w:val="14"/>
              </w:rPr>
            </w:pPr>
            <w:r>
              <w:rPr>
                <w:sz w:val="14"/>
              </w:rPr>
              <w:t>0.0%</w:t>
            </w:r>
          </w:p>
        </w:tc>
      </w:tr>
      <w:tr>
        <w:trPr>
          <w:trHeight w:val="347" w:hRule="atLeast"/>
        </w:trPr>
        <w:tc>
          <w:tcPr>
            <w:tcW w:w="5342" w:type="dxa"/>
          </w:tcPr>
          <w:p>
            <w:pPr>
              <w:pStyle w:val="TableParagraph"/>
              <w:spacing w:before="92"/>
              <w:ind w:left="213"/>
              <w:rPr>
                <w:sz w:val="14"/>
              </w:rPr>
            </w:pPr>
            <w:r>
              <w:rPr>
                <w:w w:val="105"/>
                <w:sz w:val="14"/>
              </w:rPr>
              <w:t>b) Audit Adjustments</w:t>
            </w:r>
          </w:p>
        </w:tc>
        <w:tc>
          <w:tcPr>
            <w:tcW w:w="693" w:type="dxa"/>
          </w:tcPr>
          <w:p>
            <w:pPr>
              <w:pStyle w:val="TableParagraph"/>
              <w:spacing w:before="92"/>
              <w:ind w:left="50"/>
              <w:rPr>
                <w:sz w:val="14"/>
              </w:rPr>
            </w:pPr>
            <w:r>
              <w:rPr>
                <w:w w:val="105"/>
                <w:sz w:val="14"/>
              </w:rPr>
              <w:t>9793</w:t>
            </w:r>
          </w:p>
        </w:tc>
        <w:tc>
          <w:tcPr>
            <w:tcW w:w="1915" w:type="dxa"/>
          </w:tcPr>
          <w:p>
            <w:pPr>
              <w:pStyle w:val="TableParagraph"/>
              <w:spacing w:before="92"/>
              <w:ind w:right="474"/>
              <w:jc w:val="right"/>
              <w:rPr>
                <w:sz w:val="14"/>
              </w:rPr>
            </w:pPr>
            <w:r>
              <w:rPr>
                <w:sz w:val="14"/>
              </w:rPr>
              <w:t>0.00</w:t>
            </w:r>
          </w:p>
        </w:tc>
        <w:tc>
          <w:tcPr>
            <w:tcW w:w="1665" w:type="dxa"/>
          </w:tcPr>
          <w:p>
            <w:pPr>
              <w:pStyle w:val="TableParagraph"/>
              <w:spacing w:before="92"/>
              <w:ind w:right="627"/>
              <w:jc w:val="right"/>
              <w:rPr>
                <w:sz w:val="14"/>
              </w:rPr>
            </w:pPr>
            <w:r>
              <w:rPr>
                <w:sz w:val="14"/>
              </w:rPr>
              <w:t>0.00</w:t>
            </w:r>
          </w:p>
        </w:tc>
        <w:tc>
          <w:tcPr>
            <w:tcW w:w="1007" w:type="dxa"/>
          </w:tcPr>
          <w:p>
            <w:pPr>
              <w:pStyle w:val="TableParagraph"/>
              <w:spacing w:before="92"/>
              <w:ind w:right="45"/>
              <w:jc w:val="right"/>
              <w:rPr>
                <w:sz w:val="14"/>
              </w:rPr>
            </w:pPr>
            <w:r>
              <w:rPr>
                <w:sz w:val="14"/>
              </w:rPr>
              <w:t>0.0%</w:t>
            </w:r>
          </w:p>
        </w:tc>
      </w:tr>
      <w:tr>
        <w:trPr>
          <w:trHeight w:val="347" w:hRule="atLeast"/>
        </w:trPr>
        <w:tc>
          <w:tcPr>
            <w:tcW w:w="5342" w:type="dxa"/>
          </w:tcPr>
          <w:p>
            <w:pPr>
              <w:pStyle w:val="TableParagraph"/>
              <w:spacing w:before="92"/>
              <w:ind w:left="213"/>
              <w:rPr>
                <w:sz w:val="14"/>
              </w:rPr>
            </w:pPr>
            <w:r>
              <w:rPr>
                <w:w w:val="105"/>
                <w:sz w:val="14"/>
              </w:rPr>
              <w:t>c) As of July 1 - Audited (F1a + F1b)</w:t>
            </w:r>
          </w:p>
        </w:tc>
        <w:tc>
          <w:tcPr>
            <w:tcW w:w="693" w:type="dxa"/>
          </w:tcPr>
          <w:p>
            <w:pPr>
              <w:pStyle w:val="TableParagraph"/>
              <w:rPr>
                <w:rFonts w:ascii="Times New Roman"/>
                <w:sz w:val="14"/>
              </w:rPr>
            </w:pPr>
          </w:p>
        </w:tc>
        <w:tc>
          <w:tcPr>
            <w:tcW w:w="1915" w:type="dxa"/>
          </w:tcPr>
          <w:p>
            <w:pPr>
              <w:pStyle w:val="TableParagraph"/>
              <w:spacing w:before="92"/>
              <w:ind w:right="473"/>
              <w:jc w:val="right"/>
              <w:rPr>
                <w:sz w:val="14"/>
              </w:rPr>
            </w:pPr>
            <w:r>
              <w:rPr>
                <w:sz w:val="14"/>
              </w:rPr>
              <w:t>5,882.00</w:t>
            </w:r>
          </w:p>
        </w:tc>
        <w:tc>
          <w:tcPr>
            <w:tcW w:w="1665" w:type="dxa"/>
          </w:tcPr>
          <w:p>
            <w:pPr>
              <w:pStyle w:val="TableParagraph"/>
              <w:spacing w:before="92"/>
              <w:ind w:right="626"/>
              <w:jc w:val="right"/>
              <w:rPr>
                <w:sz w:val="14"/>
              </w:rPr>
            </w:pPr>
            <w:r>
              <w:rPr>
                <w:sz w:val="14"/>
              </w:rPr>
              <w:t>5,882.00</w:t>
            </w:r>
          </w:p>
        </w:tc>
        <w:tc>
          <w:tcPr>
            <w:tcW w:w="1007" w:type="dxa"/>
          </w:tcPr>
          <w:p>
            <w:pPr>
              <w:pStyle w:val="TableParagraph"/>
              <w:spacing w:before="92"/>
              <w:ind w:right="45"/>
              <w:jc w:val="right"/>
              <w:rPr>
                <w:sz w:val="14"/>
              </w:rPr>
            </w:pPr>
            <w:r>
              <w:rPr>
                <w:sz w:val="14"/>
              </w:rPr>
              <w:t>0.0%</w:t>
            </w:r>
          </w:p>
        </w:tc>
      </w:tr>
      <w:tr>
        <w:trPr>
          <w:trHeight w:val="347" w:hRule="atLeast"/>
        </w:trPr>
        <w:tc>
          <w:tcPr>
            <w:tcW w:w="5342" w:type="dxa"/>
          </w:tcPr>
          <w:p>
            <w:pPr>
              <w:pStyle w:val="TableParagraph"/>
              <w:spacing w:before="92"/>
              <w:ind w:left="213"/>
              <w:rPr>
                <w:sz w:val="14"/>
              </w:rPr>
            </w:pPr>
            <w:r>
              <w:rPr>
                <w:w w:val="105"/>
                <w:sz w:val="14"/>
              </w:rPr>
              <w:t>d) Other Restatements</w:t>
            </w:r>
          </w:p>
        </w:tc>
        <w:tc>
          <w:tcPr>
            <w:tcW w:w="693" w:type="dxa"/>
          </w:tcPr>
          <w:p>
            <w:pPr>
              <w:pStyle w:val="TableParagraph"/>
              <w:spacing w:before="92"/>
              <w:ind w:left="50"/>
              <w:rPr>
                <w:sz w:val="14"/>
              </w:rPr>
            </w:pPr>
            <w:r>
              <w:rPr>
                <w:w w:val="105"/>
                <w:sz w:val="14"/>
              </w:rPr>
              <w:t>9795</w:t>
            </w:r>
          </w:p>
        </w:tc>
        <w:tc>
          <w:tcPr>
            <w:tcW w:w="1915" w:type="dxa"/>
          </w:tcPr>
          <w:p>
            <w:pPr>
              <w:pStyle w:val="TableParagraph"/>
              <w:spacing w:before="92"/>
              <w:ind w:right="474"/>
              <w:jc w:val="right"/>
              <w:rPr>
                <w:sz w:val="14"/>
              </w:rPr>
            </w:pPr>
            <w:r>
              <w:rPr>
                <w:sz w:val="14"/>
              </w:rPr>
              <w:t>0.00</w:t>
            </w:r>
          </w:p>
        </w:tc>
        <w:tc>
          <w:tcPr>
            <w:tcW w:w="1665" w:type="dxa"/>
          </w:tcPr>
          <w:p>
            <w:pPr>
              <w:pStyle w:val="TableParagraph"/>
              <w:spacing w:before="92"/>
              <w:ind w:right="627"/>
              <w:jc w:val="right"/>
              <w:rPr>
                <w:sz w:val="14"/>
              </w:rPr>
            </w:pPr>
            <w:r>
              <w:rPr>
                <w:sz w:val="14"/>
              </w:rPr>
              <w:t>0.00</w:t>
            </w:r>
          </w:p>
        </w:tc>
        <w:tc>
          <w:tcPr>
            <w:tcW w:w="1007" w:type="dxa"/>
          </w:tcPr>
          <w:p>
            <w:pPr>
              <w:pStyle w:val="TableParagraph"/>
              <w:spacing w:before="92"/>
              <w:ind w:right="45"/>
              <w:jc w:val="right"/>
              <w:rPr>
                <w:sz w:val="14"/>
              </w:rPr>
            </w:pPr>
            <w:r>
              <w:rPr>
                <w:sz w:val="14"/>
              </w:rPr>
              <w:t>0.0%</w:t>
            </w:r>
          </w:p>
        </w:tc>
      </w:tr>
      <w:tr>
        <w:trPr>
          <w:trHeight w:val="348" w:hRule="atLeast"/>
        </w:trPr>
        <w:tc>
          <w:tcPr>
            <w:tcW w:w="5342" w:type="dxa"/>
          </w:tcPr>
          <w:p>
            <w:pPr>
              <w:pStyle w:val="TableParagraph"/>
              <w:spacing w:before="92"/>
              <w:ind w:left="213"/>
              <w:rPr>
                <w:sz w:val="14"/>
              </w:rPr>
            </w:pPr>
            <w:r>
              <w:rPr>
                <w:w w:val="105"/>
                <w:sz w:val="14"/>
              </w:rPr>
              <w:t>e) Adjusted Beginning Balance (F1c + F1d)</w:t>
            </w:r>
          </w:p>
        </w:tc>
        <w:tc>
          <w:tcPr>
            <w:tcW w:w="693" w:type="dxa"/>
          </w:tcPr>
          <w:p>
            <w:pPr>
              <w:pStyle w:val="TableParagraph"/>
              <w:rPr>
                <w:rFonts w:ascii="Times New Roman"/>
                <w:sz w:val="14"/>
              </w:rPr>
            </w:pPr>
          </w:p>
        </w:tc>
        <w:tc>
          <w:tcPr>
            <w:tcW w:w="1915" w:type="dxa"/>
          </w:tcPr>
          <w:p>
            <w:pPr>
              <w:pStyle w:val="TableParagraph"/>
              <w:spacing w:before="92"/>
              <w:ind w:right="473"/>
              <w:jc w:val="right"/>
              <w:rPr>
                <w:sz w:val="14"/>
              </w:rPr>
            </w:pPr>
            <w:r>
              <w:rPr>
                <w:sz w:val="14"/>
              </w:rPr>
              <w:t>5,882.00</w:t>
            </w:r>
          </w:p>
        </w:tc>
        <w:tc>
          <w:tcPr>
            <w:tcW w:w="1665" w:type="dxa"/>
          </w:tcPr>
          <w:p>
            <w:pPr>
              <w:pStyle w:val="TableParagraph"/>
              <w:spacing w:before="92"/>
              <w:ind w:right="626"/>
              <w:jc w:val="right"/>
              <w:rPr>
                <w:sz w:val="14"/>
              </w:rPr>
            </w:pPr>
            <w:r>
              <w:rPr>
                <w:sz w:val="14"/>
              </w:rPr>
              <w:t>5,882.00</w:t>
            </w:r>
          </w:p>
        </w:tc>
        <w:tc>
          <w:tcPr>
            <w:tcW w:w="1007" w:type="dxa"/>
          </w:tcPr>
          <w:p>
            <w:pPr>
              <w:pStyle w:val="TableParagraph"/>
              <w:spacing w:before="92"/>
              <w:ind w:right="45"/>
              <w:jc w:val="right"/>
              <w:rPr>
                <w:sz w:val="14"/>
              </w:rPr>
            </w:pPr>
            <w:r>
              <w:rPr>
                <w:sz w:val="14"/>
              </w:rPr>
              <w:t>0.0%</w:t>
            </w:r>
          </w:p>
        </w:tc>
      </w:tr>
      <w:tr>
        <w:trPr>
          <w:trHeight w:val="647" w:hRule="atLeast"/>
        </w:trPr>
        <w:tc>
          <w:tcPr>
            <w:tcW w:w="5342" w:type="dxa"/>
          </w:tcPr>
          <w:p>
            <w:pPr>
              <w:pStyle w:val="TableParagraph"/>
              <w:numPr>
                <w:ilvl w:val="0"/>
                <w:numId w:val="17"/>
              </w:numPr>
              <w:tabs>
                <w:tab w:pos="217" w:val="left" w:leader="none"/>
              </w:tabs>
              <w:spacing w:line="292" w:lineRule="auto" w:before="92" w:after="0"/>
              <w:ind w:left="213" w:right="2748" w:hanging="164"/>
              <w:jc w:val="left"/>
              <w:rPr>
                <w:sz w:val="14"/>
              </w:rPr>
            </w:pPr>
            <w:r>
              <w:rPr>
                <w:w w:val="105"/>
                <w:sz w:val="14"/>
              </w:rPr>
              <w:t>Ending Balance, June 30 (E + F1e) Components</w:t>
            </w:r>
            <w:r>
              <w:rPr>
                <w:spacing w:val="-14"/>
                <w:w w:val="105"/>
                <w:sz w:val="14"/>
              </w:rPr>
              <w:t> </w:t>
            </w:r>
            <w:r>
              <w:rPr>
                <w:w w:val="105"/>
                <w:sz w:val="14"/>
              </w:rPr>
              <w:t>of</w:t>
            </w:r>
            <w:r>
              <w:rPr>
                <w:spacing w:val="-13"/>
                <w:w w:val="105"/>
                <w:sz w:val="14"/>
              </w:rPr>
              <w:t> </w:t>
            </w:r>
            <w:r>
              <w:rPr>
                <w:w w:val="105"/>
                <w:sz w:val="14"/>
              </w:rPr>
              <w:t>Ending</w:t>
            </w:r>
            <w:r>
              <w:rPr>
                <w:spacing w:val="-14"/>
                <w:w w:val="105"/>
                <w:sz w:val="14"/>
              </w:rPr>
              <w:t> </w:t>
            </w:r>
            <w:r>
              <w:rPr>
                <w:w w:val="105"/>
                <w:sz w:val="14"/>
              </w:rPr>
              <w:t>Fund</w:t>
            </w:r>
            <w:r>
              <w:rPr>
                <w:spacing w:val="-15"/>
                <w:w w:val="105"/>
                <w:sz w:val="14"/>
              </w:rPr>
              <w:t> </w:t>
            </w:r>
            <w:r>
              <w:rPr>
                <w:spacing w:val="-3"/>
                <w:w w:val="105"/>
                <w:sz w:val="14"/>
              </w:rPr>
              <w:t>Balance</w:t>
            </w:r>
          </w:p>
          <w:p>
            <w:pPr>
              <w:pStyle w:val="TableParagraph"/>
              <w:numPr>
                <w:ilvl w:val="1"/>
                <w:numId w:val="17"/>
              </w:numPr>
              <w:tabs>
                <w:tab w:pos="381" w:val="left" w:leader="none"/>
              </w:tabs>
              <w:spacing w:line="142" w:lineRule="exact" w:before="1" w:after="0"/>
              <w:ind w:left="380" w:right="0" w:hanging="168"/>
              <w:jc w:val="left"/>
              <w:rPr>
                <w:sz w:val="14"/>
              </w:rPr>
            </w:pPr>
            <w:r>
              <w:rPr>
                <w:w w:val="105"/>
                <w:sz w:val="14"/>
              </w:rPr>
              <w:t>Nonspendable</w:t>
            </w:r>
          </w:p>
        </w:tc>
        <w:tc>
          <w:tcPr>
            <w:tcW w:w="693" w:type="dxa"/>
          </w:tcPr>
          <w:p>
            <w:pPr>
              <w:pStyle w:val="TableParagraph"/>
              <w:rPr>
                <w:rFonts w:ascii="Times New Roman"/>
                <w:sz w:val="14"/>
              </w:rPr>
            </w:pPr>
          </w:p>
        </w:tc>
        <w:tc>
          <w:tcPr>
            <w:tcW w:w="1915" w:type="dxa"/>
          </w:tcPr>
          <w:p>
            <w:pPr>
              <w:pStyle w:val="TableParagraph"/>
              <w:spacing w:before="92"/>
              <w:ind w:right="473"/>
              <w:jc w:val="right"/>
              <w:rPr>
                <w:sz w:val="14"/>
              </w:rPr>
            </w:pPr>
            <w:r>
              <w:rPr>
                <w:sz w:val="14"/>
              </w:rPr>
              <w:t>5,882.00</w:t>
            </w:r>
          </w:p>
        </w:tc>
        <w:tc>
          <w:tcPr>
            <w:tcW w:w="1665" w:type="dxa"/>
          </w:tcPr>
          <w:p>
            <w:pPr>
              <w:pStyle w:val="TableParagraph"/>
              <w:spacing w:before="92"/>
              <w:ind w:right="626"/>
              <w:jc w:val="right"/>
              <w:rPr>
                <w:sz w:val="14"/>
              </w:rPr>
            </w:pPr>
            <w:r>
              <w:rPr>
                <w:sz w:val="14"/>
              </w:rPr>
              <w:t>5,882.00</w:t>
            </w:r>
          </w:p>
        </w:tc>
        <w:tc>
          <w:tcPr>
            <w:tcW w:w="1007" w:type="dxa"/>
          </w:tcPr>
          <w:p>
            <w:pPr>
              <w:pStyle w:val="TableParagraph"/>
              <w:spacing w:before="92"/>
              <w:ind w:right="45"/>
              <w:jc w:val="right"/>
              <w:rPr>
                <w:sz w:val="14"/>
              </w:rPr>
            </w:pPr>
            <w:r>
              <w:rPr>
                <w:sz w:val="14"/>
              </w:rPr>
              <w:t>0.0%</w:t>
            </w:r>
          </w:p>
        </w:tc>
      </w:tr>
      <w:tr>
        <w:trPr>
          <w:trHeight w:val="290" w:hRule="atLeast"/>
        </w:trPr>
        <w:tc>
          <w:tcPr>
            <w:tcW w:w="5342" w:type="dxa"/>
          </w:tcPr>
          <w:p>
            <w:pPr>
              <w:pStyle w:val="TableParagraph"/>
              <w:spacing w:before="35"/>
              <w:ind w:left="416"/>
              <w:rPr>
                <w:sz w:val="14"/>
              </w:rPr>
            </w:pPr>
            <w:r>
              <w:rPr>
                <w:w w:val="105"/>
                <w:sz w:val="14"/>
              </w:rPr>
              <w:t>Revolving Cash</w:t>
            </w:r>
          </w:p>
        </w:tc>
        <w:tc>
          <w:tcPr>
            <w:tcW w:w="693" w:type="dxa"/>
          </w:tcPr>
          <w:p>
            <w:pPr>
              <w:pStyle w:val="TableParagraph"/>
              <w:spacing w:before="35"/>
              <w:ind w:left="50"/>
              <w:rPr>
                <w:sz w:val="14"/>
              </w:rPr>
            </w:pPr>
            <w:r>
              <w:rPr>
                <w:w w:val="105"/>
                <w:sz w:val="14"/>
              </w:rPr>
              <w:t>9711</w:t>
            </w:r>
          </w:p>
        </w:tc>
        <w:tc>
          <w:tcPr>
            <w:tcW w:w="1915" w:type="dxa"/>
          </w:tcPr>
          <w:p>
            <w:pPr>
              <w:pStyle w:val="TableParagraph"/>
              <w:spacing w:before="35"/>
              <w:ind w:right="474"/>
              <w:jc w:val="right"/>
              <w:rPr>
                <w:sz w:val="14"/>
              </w:rPr>
            </w:pPr>
            <w:r>
              <w:rPr>
                <w:sz w:val="14"/>
              </w:rPr>
              <w:t>0.00</w:t>
            </w:r>
          </w:p>
        </w:tc>
        <w:tc>
          <w:tcPr>
            <w:tcW w:w="1665" w:type="dxa"/>
          </w:tcPr>
          <w:p>
            <w:pPr>
              <w:pStyle w:val="TableParagraph"/>
              <w:spacing w:before="35"/>
              <w:ind w:right="627"/>
              <w:jc w:val="right"/>
              <w:rPr>
                <w:sz w:val="14"/>
              </w:rPr>
            </w:pPr>
            <w:r>
              <w:rPr>
                <w:sz w:val="14"/>
              </w:rPr>
              <w:t>0.00</w:t>
            </w:r>
          </w:p>
        </w:tc>
        <w:tc>
          <w:tcPr>
            <w:tcW w:w="1007" w:type="dxa"/>
          </w:tcPr>
          <w:p>
            <w:pPr>
              <w:pStyle w:val="TableParagraph"/>
              <w:spacing w:before="35"/>
              <w:ind w:right="45"/>
              <w:jc w:val="right"/>
              <w:rPr>
                <w:sz w:val="14"/>
              </w:rPr>
            </w:pPr>
            <w:r>
              <w:rPr>
                <w:sz w:val="14"/>
              </w:rPr>
              <w:t>0.0%</w:t>
            </w:r>
          </w:p>
        </w:tc>
      </w:tr>
      <w:tr>
        <w:trPr>
          <w:trHeight w:val="347" w:hRule="atLeast"/>
        </w:trPr>
        <w:tc>
          <w:tcPr>
            <w:tcW w:w="5342" w:type="dxa"/>
          </w:tcPr>
          <w:p>
            <w:pPr>
              <w:pStyle w:val="TableParagraph"/>
              <w:spacing w:before="92"/>
              <w:ind w:left="416"/>
              <w:rPr>
                <w:sz w:val="14"/>
              </w:rPr>
            </w:pPr>
            <w:r>
              <w:rPr>
                <w:w w:val="105"/>
                <w:sz w:val="14"/>
              </w:rPr>
              <w:t>Stores</w:t>
            </w:r>
          </w:p>
        </w:tc>
        <w:tc>
          <w:tcPr>
            <w:tcW w:w="693" w:type="dxa"/>
          </w:tcPr>
          <w:p>
            <w:pPr>
              <w:pStyle w:val="TableParagraph"/>
              <w:spacing w:before="92"/>
              <w:ind w:left="50"/>
              <w:rPr>
                <w:sz w:val="14"/>
              </w:rPr>
            </w:pPr>
            <w:r>
              <w:rPr>
                <w:w w:val="105"/>
                <w:sz w:val="14"/>
              </w:rPr>
              <w:t>9712</w:t>
            </w:r>
          </w:p>
        </w:tc>
        <w:tc>
          <w:tcPr>
            <w:tcW w:w="1915" w:type="dxa"/>
          </w:tcPr>
          <w:p>
            <w:pPr>
              <w:pStyle w:val="TableParagraph"/>
              <w:spacing w:before="92"/>
              <w:ind w:right="474"/>
              <w:jc w:val="right"/>
              <w:rPr>
                <w:sz w:val="14"/>
              </w:rPr>
            </w:pPr>
            <w:r>
              <w:rPr>
                <w:sz w:val="14"/>
              </w:rPr>
              <w:t>0.00</w:t>
            </w:r>
          </w:p>
        </w:tc>
        <w:tc>
          <w:tcPr>
            <w:tcW w:w="1665" w:type="dxa"/>
          </w:tcPr>
          <w:p>
            <w:pPr>
              <w:pStyle w:val="TableParagraph"/>
              <w:spacing w:before="92"/>
              <w:ind w:right="627"/>
              <w:jc w:val="right"/>
              <w:rPr>
                <w:sz w:val="14"/>
              </w:rPr>
            </w:pPr>
            <w:r>
              <w:rPr>
                <w:sz w:val="14"/>
              </w:rPr>
              <w:t>0.00</w:t>
            </w:r>
          </w:p>
        </w:tc>
        <w:tc>
          <w:tcPr>
            <w:tcW w:w="1007" w:type="dxa"/>
          </w:tcPr>
          <w:p>
            <w:pPr>
              <w:pStyle w:val="TableParagraph"/>
              <w:spacing w:before="92"/>
              <w:ind w:right="45"/>
              <w:jc w:val="right"/>
              <w:rPr>
                <w:sz w:val="14"/>
              </w:rPr>
            </w:pPr>
            <w:r>
              <w:rPr>
                <w:sz w:val="14"/>
              </w:rPr>
              <w:t>0.0%</w:t>
            </w:r>
          </w:p>
        </w:tc>
      </w:tr>
      <w:tr>
        <w:trPr>
          <w:trHeight w:val="257" w:hRule="atLeast"/>
        </w:trPr>
        <w:tc>
          <w:tcPr>
            <w:tcW w:w="5342" w:type="dxa"/>
          </w:tcPr>
          <w:p>
            <w:pPr>
              <w:pStyle w:val="TableParagraph"/>
              <w:spacing w:line="145" w:lineRule="exact" w:before="92"/>
              <w:ind w:left="416"/>
              <w:rPr>
                <w:sz w:val="14"/>
              </w:rPr>
            </w:pPr>
            <w:r>
              <w:rPr>
                <w:w w:val="105"/>
                <w:sz w:val="14"/>
              </w:rPr>
              <w:t>Prepaid Items</w:t>
            </w:r>
          </w:p>
        </w:tc>
        <w:tc>
          <w:tcPr>
            <w:tcW w:w="693" w:type="dxa"/>
          </w:tcPr>
          <w:p>
            <w:pPr>
              <w:pStyle w:val="TableParagraph"/>
              <w:spacing w:line="145" w:lineRule="exact" w:before="92"/>
              <w:ind w:left="50"/>
              <w:rPr>
                <w:sz w:val="14"/>
              </w:rPr>
            </w:pPr>
            <w:r>
              <w:rPr>
                <w:w w:val="105"/>
                <w:sz w:val="14"/>
              </w:rPr>
              <w:t>9713</w:t>
            </w:r>
          </w:p>
        </w:tc>
        <w:tc>
          <w:tcPr>
            <w:tcW w:w="1915" w:type="dxa"/>
          </w:tcPr>
          <w:p>
            <w:pPr>
              <w:pStyle w:val="TableParagraph"/>
              <w:spacing w:line="145" w:lineRule="exact" w:before="92"/>
              <w:ind w:right="474"/>
              <w:jc w:val="right"/>
              <w:rPr>
                <w:sz w:val="14"/>
              </w:rPr>
            </w:pPr>
            <w:r>
              <w:rPr>
                <w:sz w:val="14"/>
              </w:rPr>
              <w:t>0.00</w:t>
            </w:r>
          </w:p>
        </w:tc>
        <w:tc>
          <w:tcPr>
            <w:tcW w:w="1665" w:type="dxa"/>
          </w:tcPr>
          <w:p>
            <w:pPr>
              <w:pStyle w:val="TableParagraph"/>
              <w:spacing w:line="145" w:lineRule="exact" w:before="92"/>
              <w:ind w:right="627"/>
              <w:jc w:val="right"/>
              <w:rPr>
                <w:sz w:val="14"/>
              </w:rPr>
            </w:pPr>
            <w:r>
              <w:rPr>
                <w:sz w:val="14"/>
              </w:rPr>
              <w:t>0.00</w:t>
            </w:r>
          </w:p>
        </w:tc>
        <w:tc>
          <w:tcPr>
            <w:tcW w:w="1007" w:type="dxa"/>
          </w:tcPr>
          <w:p>
            <w:pPr>
              <w:pStyle w:val="TableParagraph"/>
              <w:spacing w:line="145" w:lineRule="exact" w:before="92"/>
              <w:ind w:right="45"/>
              <w:jc w:val="right"/>
              <w:rPr>
                <w:sz w:val="14"/>
              </w:rPr>
            </w:pPr>
            <w:r>
              <w:rPr>
                <w:sz w:val="14"/>
              </w:rPr>
              <w:t>0.0%</w:t>
            </w:r>
          </w:p>
        </w:tc>
      </w:tr>
      <w:tr>
        <w:trPr>
          <w:trHeight w:val="347" w:hRule="atLeast"/>
        </w:trPr>
        <w:tc>
          <w:tcPr>
            <w:tcW w:w="5342" w:type="dxa"/>
          </w:tcPr>
          <w:p>
            <w:pPr>
              <w:pStyle w:val="TableParagraph"/>
              <w:spacing w:before="10"/>
              <w:rPr>
                <w:sz w:val="15"/>
              </w:rPr>
            </w:pPr>
          </w:p>
          <w:p>
            <w:pPr>
              <w:pStyle w:val="TableParagraph"/>
              <w:spacing w:line="145" w:lineRule="exact"/>
              <w:ind w:left="416"/>
              <w:rPr>
                <w:sz w:val="14"/>
              </w:rPr>
            </w:pPr>
            <w:r>
              <w:rPr>
                <w:w w:val="105"/>
                <w:sz w:val="14"/>
              </w:rPr>
              <w:t>All Others</w:t>
            </w:r>
          </w:p>
        </w:tc>
        <w:tc>
          <w:tcPr>
            <w:tcW w:w="693" w:type="dxa"/>
          </w:tcPr>
          <w:p>
            <w:pPr>
              <w:pStyle w:val="TableParagraph"/>
              <w:spacing w:before="10"/>
              <w:rPr>
                <w:sz w:val="15"/>
              </w:rPr>
            </w:pPr>
          </w:p>
          <w:p>
            <w:pPr>
              <w:pStyle w:val="TableParagraph"/>
              <w:spacing w:line="145" w:lineRule="exact"/>
              <w:ind w:left="50"/>
              <w:rPr>
                <w:sz w:val="14"/>
              </w:rPr>
            </w:pPr>
            <w:r>
              <w:rPr>
                <w:w w:val="105"/>
                <w:sz w:val="14"/>
              </w:rPr>
              <w:t>9719</w:t>
            </w:r>
          </w:p>
        </w:tc>
        <w:tc>
          <w:tcPr>
            <w:tcW w:w="1915" w:type="dxa"/>
            <w:shd w:val="clear" w:color="auto" w:fill="DFDFDF"/>
          </w:tcPr>
          <w:p>
            <w:pPr>
              <w:pStyle w:val="TableParagraph"/>
              <w:spacing w:before="10"/>
              <w:rPr>
                <w:sz w:val="15"/>
              </w:rPr>
            </w:pPr>
          </w:p>
          <w:p>
            <w:pPr>
              <w:pStyle w:val="TableParagraph"/>
              <w:spacing w:line="145" w:lineRule="exact"/>
              <w:ind w:right="474"/>
              <w:jc w:val="right"/>
              <w:rPr>
                <w:sz w:val="14"/>
              </w:rPr>
            </w:pPr>
            <w:r>
              <w:rPr>
                <w:sz w:val="14"/>
              </w:rPr>
              <w:t>0.00</w:t>
            </w:r>
          </w:p>
        </w:tc>
        <w:tc>
          <w:tcPr>
            <w:tcW w:w="1665" w:type="dxa"/>
            <w:shd w:val="clear" w:color="auto" w:fill="DFDFDF"/>
          </w:tcPr>
          <w:p>
            <w:pPr>
              <w:pStyle w:val="TableParagraph"/>
              <w:spacing w:before="10"/>
              <w:rPr>
                <w:sz w:val="15"/>
              </w:rPr>
            </w:pPr>
          </w:p>
          <w:p>
            <w:pPr>
              <w:pStyle w:val="TableParagraph"/>
              <w:spacing w:line="145" w:lineRule="exact"/>
              <w:ind w:right="627"/>
              <w:jc w:val="right"/>
              <w:rPr>
                <w:sz w:val="14"/>
              </w:rPr>
            </w:pPr>
            <w:r>
              <w:rPr>
                <w:sz w:val="14"/>
              </w:rPr>
              <w:t>0.00</w:t>
            </w:r>
          </w:p>
        </w:tc>
        <w:tc>
          <w:tcPr>
            <w:tcW w:w="1007" w:type="dxa"/>
            <w:shd w:val="clear" w:color="auto" w:fill="DFDFDF"/>
          </w:tcPr>
          <w:p>
            <w:pPr>
              <w:pStyle w:val="TableParagraph"/>
              <w:spacing w:before="10"/>
              <w:rPr>
                <w:sz w:val="15"/>
              </w:rPr>
            </w:pPr>
          </w:p>
          <w:p>
            <w:pPr>
              <w:pStyle w:val="TableParagraph"/>
              <w:spacing w:line="145" w:lineRule="exact"/>
              <w:ind w:right="45"/>
              <w:jc w:val="right"/>
              <w:rPr>
                <w:sz w:val="14"/>
              </w:rPr>
            </w:pPr>
            <w:r>
              <w:rPr>
                <w:sz w:val="14"/>
              </w:rPr>
              <w:t>0.0%</w:t>
            </w:r>
          </w:p>
        </w:tc>
      </w:tr>
      <w:tr>
        <w:trPr>
          <w:trHeight w:val="348" w:hRule="atLeast"/>
        </w:trPr>
        <w:tc>
          <w:tcPr>
            <w:tcW w:w="6035" w:type="dxa"/>
            <w:gridSpan w:val="2"/>
          </w:tcPr>
          <w:p>
            <w:pPr>
              <w:pStyle w:val="TableParagraph"/>
              <w:tabs>
                <w:tab w:pos="5709" w:val="right" w:leader="none"/>
              </w:tabs>
              <w:spacing w:line="145" w:lineRule="exact" w:before="183"/>
              <w:ind w:left="213"/>
              <w:rPr>
                <w:sz w:val="14"/>
              </w:rPr>
            </w:pPr>
            <w:r>
              <w:rPr>
                <w:w w:val="105"/>
                <w:sz w:val="14"/>
              </w:rPr>
              <w:t>b)</w:t>
            </w:r>
            <w:r>
              <w:rPr>
                <w:spacing w:val="-2"/>
                <w:w w:val="105"/>
                <w:sz w:val="14"/>
              </w:rPr>
              <w:t> </w:t>
            </w:r>
            <w:r>
              <w:rPr>
                <w:w w:val="105"/>
                <w:sz w:val="14"/>
              </w:rPr>
              <w:t>Restricted</w:t>
              <w:tab/>
              <w:t>9740</w:t>
            </w:r>
          </w:p>
        </w:tc>
        <w:tc>
          <w:tcPr>
            <w:tcW w:w="1915" w:type="dxa"/>
          </w:tcPr>
          <w:p>
            <w:pPr>
              <w:pStyle w:val="TableParagraph"/>
              <w:spacing w:before="10"/>
              <w:rPr>
                <w:sz w:val="15"/>
              </w:rPr>
            </w:pPr>
          </w:p>
          <w:p>
            <w:pPr>
              <w:pStyle w:val="TableParagraph"/>
              <w:spacing w:line="145" w:lineRule="exact"/>
              <w:ind w:right="473"/>
              <w:jc w:val="right"/>
              <w:rPr>
                <w:sz w:val="14"/>
              </w:rPr>
            </w:pPr>
            <w:r>
              <w:rPr>
                <w:sz w:val="14"/>
              </w:rPr>
              <w:t>5,882.00</w:t>
            </w:r>
          </w:p>
        </w:tc>
        <w:tc>
          <w:tcPr>
            <w:tcW w:w="1665" w:type="dxa"/>
          </w:tcPr>
          <w:p>
            <w:pPr>
              <w:pStyle w:val="TableParagraph"/>
              <w:spacing w:before="10"/>
              <w:rPr>
                <w:sz w:val="15"/>
              </w:rPr>
            </w:pPr>
          </w:p>
          <w:p>
            <w:pPr>
              <w:pStyle w:val="TableParagraph"/>
              <w:spacing w:line="145" w:lineRule="exact"/>
              <w:ind w:right="626"/>
              <w:jc w:val="right"/>
              <w:rPr>
                <w:sz w:val="14"/>
              </w:rPr>
            </w:pPr>
            <w:r>
              <w:rPr>
                <w:sz w:val="14"/>
              </w:rPr>
              <w:t>5,882.00</w:t>
            </w:r>
          </w:p>
        </w:tc>
        <w:tc>
          <w:tcPr>
            <w:tcW w:w="1007" w:type="dxa"/>
          </w:tcPr>
          <w:p>
            <w:pPr>
              <w:pStyle w:val="TableParagraph"/>
              <w:spacing w:before="10"/>
              <w:rPr>
                <w:sz w:val="15"/>
              </w:rPr>
            </w:pPr>
          </w:p>
          <w:p>
            <w:pPr>
              <w:pStyle w:val="TableParagraph"/>
              <w:spacing w:line="145" w:lineRule="exact"/>
              <w:ind w:right="45"/>
              <w:jc w:val="right"/>
              <w:rPr>
                <w:sz w:val="14"/>
              </w:rPr>
            </w:pPr>
            <w:r>
              <w:rPr>
                <w:sz w:val="14"/>
              </w:rPr>
              <w:t>0.0%</w:t>
            </w:r>
          </w:p>
        </w:tc>
      </w:tr>
      <w:tr>
        <w:trPr>
          <w:trHeight w:val="347" w:hRule="atLeast"/>
        </w:trPr>
        <w:tc>
          <w:tcPr>
            <w:tcW w:w="6035" w:type="dxa"/>
            <w:gridSpan w:val="2"/>
          </w:tcPr>
          <w:p>
            <w:pPr>
              <w:pStyle w:val="TableParagraph"/>
              <w:spacing w:before="10"/>
              <w:rPr>
                <w:sz w:val="15"/>
              </w:rPr>
            </w:pPr>
          </w:p>
          <w:p>
            <w:pPr>
              <w:pStyle w:val="TableParagraph"/>
              <w:spacing w:line="145" w:lineRule="exact"/>
              <w:ind w:left="213"/>
              <w:rPr>
                <w:sz w:val="14"/>
              </w:rPr>
            </w:pPr>
            <w:r>
              <w:rPr>
                <w:w w:val="105"/>
                <w:sz w:val="14"/>
              </w:rPr>
              <w:t>c) Committed</w:t>
            </w:r>
          </w:p>
        </w:tc>
        <w:tc>
          <w:tcPr>
            <w:tcW w:w="1915" w:type="dxa"/>
            <w:shd w:val="clear" w:color="auto" w:fill="DFDFDF"/>
          </w:tcPr>
          <w:p>
            <w:pPr>
              <w:pStyle w:val="TableParagraph"/>
              <w:rPr>
                <w:rFonts w:ascii="Times New Roman"/>
                <w:sz w:val="14"/>
              </w:rPr>
            </w:pPr>
          </w:p>
        </w:tc>
        <w:tc>
          <w:tcPr>
            <w:tcW w:w="1665" w:type="dxa"/>
            <w:shd w:val="clear" w:color="auto" w:fill="DFDFDF"/>
          </w:tcPr>
          <w:p>
            <w:pPr>
              <w:pStyle w:val="TableParagraph"/>
              <w:rPr>
                <w:rFonts w:ascii="Times New Roman"/>
                <w:sz w:val="14"/>
              </w:rPr>
            </w:pPr>
          </w:p>
        </w:tc>
        <w:tc>
          <w:tcPr>
            <w:tcW w:w="1007" w:type="dxa"/>
            <w:shd w:val="clear" w:color="auto" w:fill="DFDFDF"/>
          </w:tcPr>
          <w:p>
            <w:pPr>
              <w:pStyle w:val="TableParagraph"/>
              <w:rPr>
                <w:rFonts w:ascii="Times New Roman"/>
                <w:sz w:val="14"/>
              </w:rPr>
            </w:pP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7"/>
        </w:rPr>
      </w:pPr>
    </w:p>
    <w:tbl>
      <w:tblPr>
        <w:tblW w:w="0" w:type="auto"/>
        <w:jc w:val="left"/>
        <w:tblInd w:w="9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12"/>
        <w:gridCol w:w="2413"/>
        <w:gridCol w:w="1638"/>
        <w:gridCol w:w="1526"/>
        <w:gridCol w:w="1020"/>
      </w:tblGrid>
      <w:tr>
        <w:trPr>
          <w:trHeight w:val="254" w:hRule="atLeast"/>
        </w:trPr>
        <w:tc>
          <w:tcPr>
            <w:tcW w:w="3712" w:type="dxa"/>
          </w:tcPr>
          <w:p>
            <w:pPr>
              <w:pStyle w:val="TableParagraph"/>
              <w:spacing w:line="160" w:lineRule="exact"/>
              <w:ind w:left="50"/>
              <w:rPr>
                <w:sz w:val="14"/>
              </w:rPr>
            </w:pPr>
            <w:r>
              <w:rPr>
                <w:w w:val="105"/>
                <w:sz w:val="14"/>
              </w:rPr>
              <w:t>Reserve for Economic Uncertainties</w:t>
            </w:r>
          </w:p>
        </w:tc>
        <w:tc>
          <w:tcPr>
            <w:tcW w:w="2413" w:type="dxa"/>
          </w:tcPr>
          <w:p>
            <w:pPr>
              <w:pStyle w:val="TableParagraph"/>
              <w:spacing w:line="160" w:lineRule="exact"/>
              <w:ind w:right="741"/>
              <w:jc w:val="right"/>
              <w:rPr>
                <w:sz w:val="14"/>
              </w:rPr>
            </w:pPr>
            <w:r>
              <w:rPr>
                <w:sz w:val="14"/>
              </w:rPr>
              <w:t>9789</w:t>
            </w:r>
          </w:p>
        </w:tc>
        <w:tc>
          <w:tcPr>
            <w:tcW w:w="1638" w:type="dxa"/>
          </w:tcPr>
          <w:p>
            <w:pPr>
              <w:pStyle w:val="TableParagraph"/>
              <w:spacing w:line="160" w:lineRule="exact"/>
              <w:ind w:right="613"/>
              <w:jc w:val="right"/>
              <w:rPr>
                <w:sz w:val="14"/>
              </w:rPr>
            </w:pPr>
            <w:r>
              <w:rPr>
                <w:sz w:val="14"/>
              </w:rPr>
              <w:t>0.00</w:t>
            </w:r>
          </w:p>
        </w:tc>
        <w:tc>
          <w:tcPr>
            <w:tcW w:w="1526" w:type="dxa"/>
          </w:tcPr>
          <w:p>
            <w:pPr>
              <w:pStyle w:val="TableParagraph"/>
              <w:spacing w:line="160" w:lineRule="exact"/>
              <w:ind w:left="617"/>
              <w:rPr>
                <w:sz w:val="14"/>
              </w:rPr>
            </w:pPr>
            <w:r>
              <w:rPr>
                <w:w w:val="105"/>
                <w:sz w:val="14"/>
              </w:rPr>
              <w:t>0.00</w:t>
            </w:r>
          </w:p>
        </w:tc>
        <w:tc>
          <w:tcPr>
            <w:tcW w:w="1020" w:type="dxa"/>
          </w:tcPr>
          <w:p>
            <w:pPr>
              <w:pStyle w:val="TableParagraph"/>
              <w:spacing w:line="160" w:lineRule="exact"/>
              <w:ind w:right="59"/>
              <w:jc w:val="right"/>
              <w:rPr>
                <w:sz w:val="14"/>
              </w:rPr>
            </w:pPr>
            <w:r>
              <w:rPr>
                <w:sz w:val="14"/>
              </w:rPr>
              <w:t>0.0%</w:t>
            </w:r>
          </w:p>
        </w:tc>
      </w:tr>
      <w:tr>
        <w:trPr>
          <w:trHeight w:val="254" w:hRule="atLeast"/>
        </w:trPr>
        <w:tc>
          <w:tcPr>
            <w:tcW w:w="3712" w:type="dxa"/>
          </w:tcPr>
          <w:p>
            <w:pPr>
              <w:pStyle w:val="TableParagraph"/>
              <w:spacing w:line="142" w:lineRule="exact" w:before="92"/>
              <w:ind w:left="50"/>
              <w:rPr>
                <w:sz w:val="14"/>
              </w:rPr>
            </w:pPr>
            <w:r>
              <w:rPr>
                <w:w w:val="105"/>
                <w:sz w:val="14"/>
              </w:rPr>
              <w:t>Unassigned/Unappropriated Amount</w:t>
            </w:r>
          </w:p>
        </w:tc>
        <w:tc>
          <w:tcPr>
            <w:tcW w:w="2413" w:type="dxa"/>
          </w:tcPr>
          <w:p>
            <w:pPr>
              <w:pStyle w:val="TableParagraph"/>
              <w:spacing w:line="142" w:lineRule="exact" w:before="92"/>
              <w:ind w:right="741"/>
              <w:jc w:val="right"/>
              <w:rPr>
                <w:sz w:val="14"/>
              </w:rPr>
            </w:pPr>
            <w:r>
              <w:rPr>
                <w:sz w:val="14"/>
              </w:rPr>
              <w:t>9790</w:t>
            </w:r>
          </w:p>
        </w:tc>
        <w:tc>
          <w:tcPr>
            <w:tcW w:w="1638" w:type="dxa"/>
          </w:tcPr>
          <w:p>
            <w:pPr>
              <w:pStyle w:val="TableParagraph"/>
              <w:spacing w:line="142" w:lineRule="exact" w:before="92"/>
              <w:ind w:right="613"/>
              <w:jc w:val="right"/>
              <w:rPr>
                <w:sz w:val="14"/>
              </w:rPr>
            </w:pPr>
            <w:r>
              <w:rPr>
                <w:sz w:val="14"/>
              </w:rPr>
              <w:t>0.00</w:t>
            </w:r>
          </w:p>
        </w:tc>
        <w:tc>
          <w:tcPr>
            <w:tcW w:w="1526" w:type="dxa"/>
          </w:tcPr>
          <w:p>
            <w:pPr>
              <w:pStyle w:val="TableParagraph"/>
              <w:spacing w:line="142" w:lineRule="exact" w:before="92"/>
              <w:ind w:left="617"/>
              <w:rPr>
                <w:sz w:val="14"/>
              </w:rPr>
            </w:pPr>
            <w:r>
              <w:rPr>
                <w:w w:val="105"/>
                <w:sz w:val="14"/>
              </w:rPr>
              <w:t>0.00</w:t>
            </w:r>
          </w:p>
        </w:tc>
        <w:tc>
          <w:tcPr>
            <w:tcW w:w="1020" w:type="dxa"/>
          </w:tcPr>
          <w:p>
            <w:pPr>
              <w:pStyle w:val="TableParagraph"/>
              <w:spacing w:line="142" w:lineRule="exact" w:before="92"/>
              <w:ind w:right="59"/>
              <w:jc w:val="right"/>
              <w:rPr>
                <w:sz w:val="14"/>
              </w:rPr>
            </w:pPr>
            <w:r>
              <w:rPr>
                <w:sz w:val="14"/>
              </w:rPr>
              <w:t>0.0%</w:t>
            </w:r>
          </w:p>
        </w:tc>
      </w:tr>
    </w:tbl>
    <w:p>
      <w:pPr>
        <w:spacing w:after="0" w:line="142" w:lineRule="exact"/>
        <w:jc w:val="right"/>
        <w:rPr>
          <w:sz w:val="14"/>
        </w:rPr>
        <w:sectPr>
          <w:type w:val="continuous"/>
          <w:pgSz w:w="12240" w:h="15840"/>
          <w:pgMar w:top="1500" w:bottom="840" w:left="160" w:right="180"/>
        </w:sectPr>
      </w:pPr>
    </w:p>
    <w:p>
      <w:pPr>
        <w:spacing w:line="232" w:lineRule="auto" w:before="1"/>
        <w:ind w:left="308" w:right="0" w:firstLine="0"/>
        <w:jc w:val="left"/>
        <w:rPr>
          <w:sz w:val="18"/>
        </w:rPr>
      </w:pPr>
      <w:r>
        <w:rPr>
          <w:sz w:val="18"/>
        </w:rPr>
        <w:t>Winship-Robbins Elementary Sutter County</w:t>
      </w:r>
    </w:p>
    <w:p>
      <w:pPr>
        <w:spacing w:line="232" w:lineRule="auto" w:before="1"/>
        <w:ind w:left="370" w:right="0" w:hanging="63"/>
        <w:jc w:val="left"/>
        <w:rPr>
          <w:sz w:val="18"/>
        </w:rPr>
      </w:pPr>
      <w:r>
        <w:rPr/>
        <w:br w:type="column"/>
      </w:r>
      <w:r>
        <w:rPr>
          <w:sz w:val="18"/>
        </w:rPr>
        <w:t>Child Development Fund Expenditures by Object</w:t>
      </w:r>
    </w:p>
    <w:p>
      <w:pPr>
        <w:spacing w:line="200" w:lineRule="exact" w:before="0"/>
        <w:ind w:left="0" w:right="287" w:firstLine="0"/>
        <w:jc w:val="right"/>
        <w:rPr>
          <w:sz w:val="18"/>
        </w:rPr>
      </w:pPr>
      <w:r>
        <w:rPr/>
        <w:br w:type="column"/>
      </w:r>
      <w:r>
        <w:rPr>
          <w:sz w:val="18"/>
        </w:rPr>
        <w:t>51 71456</w:t>
      </w:r>
      <w:r>
        <w:rPr>
          <w:spacing w:val="3"/>
          <w:sz w:val="18"/>
        </w:rPr>
        <w:t> </w:t>
      </w:r>
      <w:r>
        <w:rPr>
          <w:sz w:val="18"/>
        </w:rPr>
        <w:t>0000000</w:t>
      </w:r>
    </w:p>
    <w:p>
      <w:pPr>
        <w:spacing w:line="204" w:lineRule="exact" w:before="0"/>
        <w:ind w:left="0" w:right="285" w:firstLine="0"/>
        <w:jc w:val="right"/>
        <w:rPr>
          <w:sz w:val="18"/>
        </w:rPr>
      </w:pPr>
      <w:r>
        <w:rPr>
          <w:sz w:val="18"/>
        </w:rPr>
        <w:t>Form </w:t>
      </w:r>
      <w:r>
        <w:rPr>
          <w:spacing w:val="3"/>
          <w:sz w:val="18"/>
        </w:rPr>
        <w:t> </w:t>
      </w:r>
      <w:r>
        <w:rPr>
          <w:sz w:val="18"/>
        </w:rPr>
        <w:t>12</w:t>
      </w:r>
    </w:p>
    <w:p>
      <w:pPr>
        <w:spacing w:after="0" w:line="204" w:lineRule="exact"/>
        <w:jc w:val="right"/>
        <w:rPr>
          <w:sz w:val="18"/>
        </w:rPr>
        <w:sectPr>
          <w:pgSz w:w="12240" w:h="15840"/>
          <w:pgMar w:header="651" w:footer="437" w:top="840" w:bottom="620" w:left="160" w:right="180"/>
          <w:cols w:num="3" w:equalWidth="0">
            <w:col w:w="2698" w:space="1953"/>
            <w:col w:w="2348" w:space="2793"/>
            <w:col w:w="2108"/>
          </w:cols>
        </w:sectPr>
      </w:pPr>
    </w:p>
    <w:p>
      <w:pPr>
        <w:pStyle w:val="BodyText"/>
        <w:rPr>
          <w:sz w:val="20"/>
        </w:rPr>
      </w:pPr>
    </w:p>
    <w:p>
      <w:pPr>
        <w:pStyle w:val="BodyText"/>
        <w:rPr>
          <w:sz w:val="20"/>
        </w:rPr>
      </w:pPr>
    </w:p>
    <w:p>
      <w:pPr>
        <w:pStyle w:val="BodyText"/>
        <w:spacing w:before="8" w:after="1"/>
        <w:rPr>
          <w:sz w:val="26"/>
        </w:rPr>
      </w:pPr>
    </w:p>
    <w:tbl>
      <w:tblPr>
        <w:tblW w:w="0" w:type="auto"/>
        <w:jc w:val="left"/>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70"/>
        <w:gridCol w:w="1261"/>
        <w:gridCol w:w="1127"/>
        <w:gridCol w:w="1429"/>
        <w:gridCol w:w="1503"/>
        <w:gridCol w:w="1206"/>
      </w:tblGrid>
      <w:tr>
        <w:trPr>
          <w:trHeight w:val="436" w:hRule="atLeast"/>
        </w:trPr>
        <w:tc>
          <w:tcPr>
            <w:tcW w:w="3870" w:type="dxa"/>
          </w:tcPr>
          <w:p>
            <w:pPr>
              <w:pStyle w:val="TableParagraph"/>
              <w:spacing w:before="5"/>
              <w:rPr>
                <w:sz w:val="14"/>
              </w:rPr>
            </w:pPr>
          </w:p>
          <w:p>
            <w:pPr>
              <w:pStyle w:val="TableParagraph"/>
              <w:spacing w:before="1"/>
              <w:ind w:left="50"/>
              <w:rPr>
                <w:b/>
                <w:sz w:val="14"/>
              </w:rPr>
            </w:pPr>
            <w:r>
              <w:rPr>
                <w:b/>
                <w:w w:val="105"/>
                <w:sz w:val="14"/>
              </w:rPr>
              <w:t>Description</w:t>
            </w:r>
          </w:p>
        </w:tc>
        <w:tc>
          <w:tcPr>
            <w:tcW w:w="1261" w:type="dxa"/>
          </w:tcPr>
          <w:p>
            <w:pPr>
              <w:pStyle w:val="TableParagraph"/>
              <w:spacing w:before="5"/>
              <w:rPr>
                <w:sz w:val="14"/>
              </w:rPr>
            </w:pPr>
          </w:p>
          <w:p>
            <w:pPr>
              <w:pStyle w:val="TableParagraph"/>
              <w:spacing w:before="1"/>
              <w:ind w:left="8"/>
              <w:rPr>
                <w:b/>
                <w:sz w:val="14"/>
              </w:rPr>
            </w:pPr>
            <w:r>
              <w:rPr>
                <w:b/>
                <w:w w:val="105"/>
                <w:sz w:val="14"/>
              </w:rPr>
              <w:t>Resource Codes</w:t>
            </w:r>
          </w:p>
        </w:tc>
        <w:tc>
          <w:tcPr>
            <w:tcW w:w="1127" w:type="dxa"/>
          </w:tcPr>
          <w:p>
            <w:pPr>
              <w:pStyle w:val="TableParagraph"/>
              <w:spacing w:before="5"/>
              <w:rPr>
                <w:sz w:val="14"/>
              </w:rPr>
            </w:pPr>
          </w:p>
          <w:p>
            <w:pPr>
              <w:pStyle w:val="TableParagraph"/>
              <w:spacing w:before="1"/>
              <w:ind w:left="87" w:right="49"/>
              <w:jc w:val="center"/>
              <w:rPr>
                <w:b/>
                <w:sz w:val="14"/>
              </w:rPr>
            </w:pPr>
            <w:r>
              <w:rPr>
                <w:b/>
                <w:w w:val="105"/>
                <w:sz w:val="14"/>
              </w:rPr>
              <w:t>Object Codes</w:t>
            </w:r>
          </w:p>
        </w:tc>
        <w:tc>
          <w:tcPr>
            <w:tcW w:w="1429" w:type="dxa"/>
          </w:tcPr>
          <w:p>
            <w:pPr>
              <w:pStyle w:val="TableParagraph"/>
              <w:spacing w:line="160" w:lineRule="exact"/>
              <w:ind w:left="44" w:right="66"/>
              <w:jc w:val="center"/>
              <w:rPr>
                <w:b/>
                <w:sz w:val="14"/>
              </w:rPr>
            </w:pPr>
            <w:r>
              <w:rPr>
                <w:b/>
                <w:w w:val="105"/>
                <w:sz w:val="14"/>
              </w:rPr>
              <w:t>2020-21</w:t>
            </w:r>
          </w:p>
          <w:p>
            <w:pPr>
              <w:pStyle w:val="TableParagraph"/>
              <w:spacing w:before="7"/>
              <w:ind w:left="44" w:right="69"/>
              <w:jc w:val="center"/>
              <w:rPr>
                <w:b/>
                <w:sz w:val="14"/>
              </w:rPr>
            </w:pPr>
            <w:r>
              <w:rPr>
                <w:b/>
                <w:w w:val="105"/>
                <w:sz w:val="14"/>
              </w:rPr>
              <w:t>Estimated Actuals</w:t>
            </w:r>
          </w:p>
        </w:tc>
        <w:tc>
          <w:tcPr>
            <w:tcW w:w="1503" w:type="dxa"/>
          </w:tcPr>
          <w:p>
            <w:pPr>
              <w:pStyle w:val="TableParagraph"/>
              <w:spacing w:line="160" w:lineRule="exact"/>
              <w:ind w:left="522"/>
              <w:rPr>
                <w:b/>
                <w:sz w:val="14"/>
              </w:rPr>
            </w:pPr>
            <w:r>
              <w:rPr>
                <w:b/>
                <w:w w:val="105"/>
                <w:sz w:val="14"/>
              </w:rPr>
              <w:t>2021-22</w:t>
            </w:r>
          </w:p>
          <w:p>
            <w:pPr>
              <w:pStyle w:val="TableParagraph"/>
              <w:spacing w:before="7"/>
              <w:ind w:left="534"/>
              <w:rPr>
                <w:b/>
                <w:sz w:val="14"/>
              </w:rPr>
            </w:pPr>
            <w:r>
              <w:rPr>
                <w:b/>
                <w:w w:val="105"/>
                <w:sz w:val="14"/>
              </w:rPr>
              <w:t>Budget</w:t>
            </w:r>
          </w:p>
        </w:tc>
        <w:tc>
          <w:tcPr>
            <w:tcW w:w="1206" w:type="dxa"/>
          </w:tcPr>
          <w:p>
            <w:pPr>
              <w:pStyle w:val="TableParagraph"/>
              <w:spacing w:line="249" w:lineRule="auto"/>
              <w:ind w:left="457" w:right="44" w:firstLine="86"/>
              <w:rPr>
                <w:b/>
                <w:sz w:val="14"/>
              </w:rPr>
            </w:pPr>
            <w:r>
              <w:rPr>
                <w:b/>
                <w:w w:val="105"/>
                <w:sz w:val="14"/>
              </w:rPr>
              <w:t>Percent </w:t>
            </w:r>
            <w:r>
              <w:rPr>
                <w:b/>
                <w:sz w:val="14"/>
              </w:rPr>
              <w:t>Difference</w:t>
            </w:r>
          </w:p>
        </w:tc>
      </w:tr>
      <w:tr>
        <w:trPr>
          <w:trHeight w:val="766" w:hRule="atLeast"/>
        </w:trPr>
        <w:tc>
          <w:tcPr>
            <w:tcW w:w="3870" w:type="dxa"/>
          </w:tcPr>
          <w:p>
            <w:pPr>
              <w:pStyle w:val="TableParagraph"/>
              <w:spacing w:before="107"/>
              <w:ind w:left="50"/>
              <w:rPr>
                <w:b/>
                <w:sz w:val="14"/>
              </w:rPr>
            </w:pPr>
            <w:r>
              <w:rPr>
                <w:b/>
                <w:w w:val="105"/>
                <w:sz w:val="14"/>
              </w:rPr>
              <w:t>G. ASSETS</w:t>
            </w:r>
          </w:p>
          <w:p>
            <w:pPr>
              <w:pStyle w:val="TableParagraph"/>
              <w:numPr>
                <w:ilvl w:val="0"/>
                <w:numId w:val="18"/>
              </w:numPr>
              <w:tabs>
                <w:tab w:pos="381" w:val="left" w:leader="none"/>
              </w:tabs>
              <w:spacing w:line="240" w:lineRule="auto" w:before="38" w:after="0"/>
              <w:ind w:left="380" w:right="0" w:hanging="168"/>
              <w:jc w:val="left"/>
              <w:rPr>
                <w:sz w:val="14"/>
              </w:rPr>
            </w:pPr>
            <w:r>
              <w:rPr>
                <w:w w:val="105"/>
                <w:sz w:val="14"/>
              </w:rPr>
              <w:t>Cash</w:t>
            </w:r>
          </w:p>
          <w:p>
            <w:pPr>
              <w:pStyle w:val="TableParagraph"/>
              <w:numPr>
                <w:ilvl w:val="1"/>
                <w:numId w:val="18"/>
              </w:numPr>
              <w:tabs>
                <w:tab w:pos="544" w:val="left" w:leader="none"/>
              </w:tabs>
              <w:spacing w:line="240" w:lineRule="auto" w:before="36" w:after="0"/>
              <w:ind w:left="543" w:right="0" w:hanging="168"/>
              <w:jc w:val="left"/>
              <w:rPr>
                <w:sz w:val="14"/>
              </w:rPr>
            </w:pPr>
            <w:r>
              <w:rPr>
                <w:w w:val="105"/>
                <w:sz w:val="14"/>
              </w:rPr>
              <w:t>in County</w:t>
            </w:r>
            <w:r>
              <w:rPr>
                <w:spacing w:val="-6"/>
                <w:w w:val="105"/>
                <w:sz w:val="14"/>
              </w:rPr>
              <w:t> </w:t>
            </w:r>
            <w:r>
              <w:rPr>
                <w:w w:val="105"/>
                <w:sz w:val="14"/>
              </w:rPr>
              <w:t>Treasury</w:t>
            </w:r>
          </w:p>
        </w:tc>
        <w:tc>
          <w:tcPr>
            <w:tcW w:w="1261" w:type="dxa"/>
          </w:tcPr>
          <w:p>
            <w:pPr>
              <w:pStyle w:val="TableParagraph"/>
              <w:rPr>
                <w:rFonts w:ascii="Times New Roman"/>
                <w:sz w:val="14"/>
              </w:rPr>
            </w:pPr>
          </w:p>
        </w:tc>
        <w:tc>
          <w:tcPr>
            <w:tcW w:w="1127" w:type="dxa"/>
          </w:tcPr>
          <w:p>
            <w:pPr>
              <w:pStyle w:val="TableParagraph"/>
              <w:rPr>
                <w:sz w:val="16"/>
              </w:rPr>
            </w:pPr>
          </w:p>
          <w:p>
            <w:pPr>
              <w:pStyle w:val="TableParagraph"/>
              <w:rPr>
                <w:sz w:val="16"/>
              </w:rPr>
            </w:pPr>
          </w:p>
          <w:p>
            <w:pPr>
              <w:pStyle w:val="TableParagraph"/>
              <w:spacing w:before="135"/>
              <w:ind w:left="88" w:right="49"/>
              <w:jc w:val="center"/>
              <w:rPr>
                <w:sz w:val="14"/>
              </w:rPr>
            </w:pPr>
            <w:r>
              <w:rPr>
                <w:w w:val="105"/>
                <w:sz w:val="14"/>
              </w:rPr>
              <w:t>9110</w:t>
            </w:r>
          </w:p>
        </w:tc>
        <w:tc>
          <w:tcPr>
            <w:tcW w:w="1429" w:type="dxa"/>
          </w:tcPr>
          <w:p>
            <w:pPr>
              <w:pStyle w:val="TableParagraph"/>
              <w:rPr>
                <w:sz w:val="16"/>
              </w:rPr>
            </w:pPr>
          </w:p>
          <w:p>
            <w:pPr>
              <w:pStyle w:val="TableParagraph"/>
              <w:rPr>
                <w:sz w:val="16"/>
              </w:rPr>
            </w:pPr>
          </w:p>
          <w:p>
            <w:pPr>
              <w:pStyle w:val="TableParagraph"/>
              <w:spacing w:before="135"/>
              <w:ind w:right="47"/>
              <w:jc w:val="right"/>
              <w:rPr>
                <w:sz w:val="14"/>
              </w:rPr>
            </w:pPr>
            <w:r>
              <w:rPr>
                <w:sz w:val="14"/>
              </w:rPr>
              <w:t>37,421.76</w:t>
            </w:r>
          </w:p>
        </w:tc>
        <w:tc>
          <w:tcPr>
            <w:tcW w:w="1503" w:type="dxa"/>
          </w:tcPr>
          <w:p>
            <w:pPr>
              <w:pStyle w:val="TableParagraph"/>
              <w:rPr>
                <w:rFonts w:ascii="Times New Roman"/>
                <w:sz w:val="14"/>
              </w:rPr>
            </w:pPr>
          </w:p>
        </w:tc>
        <w:tc>
          <w:tcPr>
            <w:tcW w:w="1206" w:type="dxa"/>
          </w:tcPr>
          <w:p>
            <w:pPr>
              <w:pStyle w:val="TableParagraph"/>
              <w:rPr>
                <w:rFonts w:ascii="Times New Roman"/>
                <w:sz w:val="14"/>
              </w:rPr>
            </w:pPr>
          </w:p>
        </w:tc>
      </w:tr>
      <w:tr>
        <w:trPr>
          <w:trHeight w:val="364" w:hRule="atLeast"/>
        </w:trPr>
        <w:tc>
          <w:tcPr>
            <w:tcW w:w="3870" w:type="dxa"/>
          </w:tcPr>
          <w:p>
            <w:pPr>
              <w:pStyle w:val="TableParagraph"/>
              <w:spacing w:before="101"/>
              <w:ind w:left="497"/>
              <w:rPr>
                <w:sz w:val="14"/>
              </w:rPr>
            </w:pPr>
            <w:r>
              <w:rPr>
                <w:w w:val="105"/>
                <w:sz w:val="14"/>
              </w:rPr>
              <w:t>1)</w:t>
            </w:r>
            <w:r>
              <w:rPr>
                <w:spacing w:val="-11"/>
                <w:w w:val="105"/>
                <w:sz w:val="14"/>
              </w:rPr>
              <w:t> </w:t>
            </w:r>
            <w:r>
              <w:rPr>
                <w:w w:val="105"/>
                <w:sz w:val="14"/>
              </w:rPr>
              <w:t>Fair</w:t>
            </w:r>
            <w:r>
              <w:rPr>
                <w:spacing w:val="-10"/>
                <w:w w:val="105"/>
                <w:sz w:val="14"/>
              </w:rPr>
              <w:t> </w:t>
            </w:r>
            <w:r>
              <w:rPr>
                <w:w w:val="105"/>
                <w:sz w:val="14"/>
              </w:rPr>
              <w:t>Value</w:t>
            </w:r>
            <w:r>
              <w:rPr>
                <w:spacing w:val="-12"/>
                <w:w w:val="105"/>
                <w:sz w:val="14"/>
              </w:rPr>
              <w:t> </w:t>
            </w:r>
            <w:r>
              <w:rPr>
                <w:w w:val="105"/>
                <w:sz w:val="14"/>
              </w:rPr>
              <w:t>Adjustment</w:t>
            </w:r>
            <w:r>
              <w:rPr>
                <w:spacing w:val="-10"/>
                <w:w w:val="105"/>
                <w:sz w:val="14"/>
              </w:rPr>
              <w:t> </w:t>
            </w:r>
            <w:r>
              <w:rPr>
                <w:w w:val="105"/>
                <w:sz w:val="14"/>
              </w:rPr>
              <w:t>to</w:t>
            </w:r>
            <w:r>
              <w:rPr>
                <w:spacing w:val="-11"/>
                <w:w w:val="105"/>
                <w:sz w:val="14"/>
              </w:rPr>
              <w:t> </w:t>
            </w:r>
            <w:r>
              <w:rPr>
                <w:w w:val="105"/>
                <w:sz w:val="14"/>
              </w:rPr>
              <w:t>Cash</w:t>
            </w:r>
            <w:r>
              <w:rPr>
                <w:spacing w:val="-11"/>
                <w:w w:val="105"/>
                <w:sz w:val="14"/>
              </w:rPr>
              <w:t> </w:t>
            </w:r>
            <w:r>
              <w:rPr>
                <w:w w:val="105"/>
                <w:sz w:val="14"/>
              </w:rPr>
              <w:t>in</w:t>
            </w:r>
            <w:r>
              <w:rPr>
                <w:spacing w:val="-12"/>
                <w:w w:val="105"/>
                <w:sz w:val="14"/>
              </w:rPr>
              <w:t> </w:t>
            </w:r>
            <w:r>
              <w:rPr>
                <w:w w:val="105"/>
                <w:sz w:val="14"/>
              </w:rPr>
              <w:t>County</w:t>
            </w:r>
            <w:r>
              <w:rPr>
                <w:spacing w:val="-12"/>
                <w:w w:val="105"/>
                <w:sz w:val="14"/>
              </w:rPr>
              <w:t> </w:t>
            </w:r>
            <w:r>
              <w:rPr>
                <w:w w:val="105"/>
                <w:sz w:val="14"/>
              </w:rPr>
              <w:t>Treasury</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9111</w:t>
            </w:r>
          </w:p>
        </w:tc>
        <w:tc>
          <w:tcPr>
            <w:tcW w:w="1429" w:type="dxa"/>
          </w:tcPr>
          <w:p>
            <w:pPr>
              <w:pStyle w:val="TableParagraph"/>
              <w:spacing w:before="101"/>
              <w:ind w:right="48"/>
              <w:jc w:val="right"/>
              <w:rPr>
                <w:sz w:val="14"/>
              </w:rPr>
            </w:pPr>
            <w:r>
              <w:rPr>
                <w:sz w:val="14"/>
              </w:rPr>
              <w:t>0.00</w:t>
            </w:r>
          </w:p>
        </w:tc>
        <w:tc>
          <w:tcPr>
            <w:tcW w:w="1503" w:type="dxa"/>
          </w:tcPr>
          <w:p>
            <w:pPr>
              <w:pStyle w:val="TableParagraph"/>
              <w:rPr>
                <w:rFonts w:ascii="Times New Roman"/>
                <w:sz w:val="14"/>
              </w:rPr>
            </w:pPr>
          </w:p>
        </w:tc>
        <w:tc>
          <w:tcPr>
            <w:tcW w:w="1206" w:type="dxa"/>
          </w:tcPr>
          <w:p>
            <w:pPr>
              <w:pStyle w:val="TableParagraph"/>
              <w:rPr>
                <w:rFonts w:ascii="Times New Roman"/>
                <w:sz w:val="14"/>
              </w:rPr>
            </w:pPr>
          </w:p>
        </w:tc>
      </w:tr>
      <w:tr>
        <w:trPr>
          <w:trHeight w:val="364" w:hRule="atLeast"/>
        </w:trPr>
        <w:tc>
          <w:tcPr>
            <w:tcW w:w="3870" w:type="dxa"/>
          </w:tcPr>
          <w:p>
            <w:pPr>
              <w:pStyle w:val="TableParagraph"/>
              <w:spacing w:before="101"/>
              <w:ind w:left="376"/>
              <w:rPr>
                <w:sz w:val="14"/>
              </w:rPr>
            </w:pPr>
            <w:r>
              <w:rPr>
                <w:w w:val="105"/>
                <w:sz w:val="14"/>
              </w:rPr>
              <w:t>b) in Banks</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9120</w:t>
            </w:r>
          </w:p>
        </w:tc>
        <w:tc>
          <w:tcPr>
            <w:tcW w:w="1429" w:type="dxa"/>
          </w:tcPr>
          <w:p>
            <w:pPr>
              <w:pStyle w:val="TableParagraph"/>
              <w:spacing w:before="101"/>
              <w:ind w:right="48"/>
              <w:jc w:val="right"/>
              <w:rPr>
                <w:sz w:val="14"/>
              </w:rPr>
            </w:pPr>
            <w:r>
              <w:rPr>
                <w:sz w:val="14"/>
              </w:rPr>
              <w:t>0.00</w:t>
            </w:r>
          </w:p>
        </w:tc>
        <w:tc>
          <w:tcPr>
            <w:tcW w:w="1503" w:type="dxa"/>
          </w:tcPr>
          <w:p>
            <w:pPr>
              <w:pStyle w:val="TableParagraph"/>
              <w:rPr>
                <w:rFonts w:ascii="Times New Roman"/>
                <w:sz w:val="14"/>
              </w:rPr>
            </w:pPr>
          </w:p>
        </w:tc>
        <w:tc>
          <w:tcPr>
            <w:tcW w:w="1206" w:type="dxa"/>
          </w:tcPr>
          <w:p>
            <w:pPr>
              <w:pStyle w:val="TableParagraph"/>
              <w:rPr>
                <w:rFonts w:ascii="Times New Roman"/>
                <w:sz w:val="14"/>
              </w:rPr>
            </w:pPr>
          </w:p>
        </w:tc>
      </w:tr>
      <w:tr>
        <w:trPr>
          <w:trHeight w:val="364" w:hRule="atLeast"/>
        </w:trPr>
        <w:tc>
          <w:tcPr>
            <w:tcW w:w="3870" w:type="dxa"/>
          </w:tcPr>
          <w:p>
            <w:pPr>
              <w:pStyle w:val="TableParagraph"/>
              <w:spacing w:before="101"/>
              <w:ind w:left="376"/>
              <w:rPr>
                <w:sz w:val="14"/>
              </w:rPr>
            </w:pPr>
            <w:r>
              <w:rPr>
                <w:w w:val="105"/>
                <w:sz w:val="14"/>
              </w:rPr>
              <w:t>c) in Revolving Cash Account</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9130</w:t>
            </w:r>
          </w:p>
        </w:tc>
        <w:tc>
          <w:tcPr>
            <w:tcW w:w="1429" w:type="dxa"/>
          </w:tcPr>
          <w:p>
            <w:pPr>
              <w:pStyle w:val="TableParagraph"/>
              <w:spacing w:before="101"/>
              <w:ind w:right="48"/>
              <w:jc w:val="right"/>
              <w:rPr>
                <w:sz w:val="14"/>
              </w:rPr>
            </w:pPr>
            <w:r>
              <w:rPr>
                <w:sz w:val="14"/>
              </w:rPr>
              <w:t>0.00</w:t>
            </w:r>
          </w:p>
        </w:tc>
        <w:tc>
          <w:tcPr>
            <w:tcW w:w="1503" w:type="dxa"/>
          </w:tcPr>
          <w:p>
            <w:pPr>
              <w:pStyle w:val="TableParagraph"/>
              <w:rPr>
                <w:rFonts w:ascii="Times New Roman"/>
                <w:sz w:val="14"/>
              </w:rPr>
            </w:pPr>
          </w:p>
        </w:tc>
        <w:tc>
          <w:tcPr>
            <w:tcW w:w="1206" w:type="dxa"/>
          </w:tcPr>
          <w:p>
            <w:pPr>
              <w:pStyle w:val="TableParagraph"/>
              <w:rPr>
                <w:rFonts w:ascii="Times New Roman"/>
                <w:sz w:val="14"/>
              </w:rPr>
            </w:pPr>
          </w:p>
        </w:tc>
      </w:tr>
      <w:tr>
        <w:trPr>
          <w:trHeight w:val="364" w:hRule="atLeast"/>
        </w:trPr>
        <w:tc>
          <w:tcPr>
            <w:tcW w:w="3870" w:type="dxa"/>
          </w:tcPr>
          <w:p>
            <w:pPr>
              <w:pStyle w:val="TableParagraph"/>
              <w:spacing w:before="101"/>
              <w:ind w:left="376"/>
              <w:rPr>
                <w:sz w:val="14"/>
              </w:rPr>
            </w:pPr>
            <w:r>
              <w:rPr>
                <w:w w:val="105"/>
                <w:sz w:val="14"/>
              </w:rPr>
              <w:t>d) with Fiscal Agent/Trustee</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9135</w:t>
            </w:r>
          </w:p>
        </w:tc>
        <w:tc>
          <w:tcPr>
            <w:tcW w:w="1429" w:type="dxa"/>
          </w:tcPr>
          <w:p>
            <w:pPr>
              <w:pStyle w:val="TableParagraph"/>
              <w:spacing w:before="101"/>
              <w:ind w:right="48"/>
              <w:jc w:val="right"/>
              <w:rPr>
                <w:sz w:val="14"/>
              </w:rPr>
            </w:pPr>
            <w:r>
              <w:rPr>
                <w:sz w:val="14"/>
              </w:rPr>
              <w:t>0.00</w:t>
            </w:r>
          </w:p>
        </w:tc>
        <w:tc>
          <w:tcPr>
            <w:tcW w:w="1503" w:type="dxa"/>
          </w:tcPr>
          <w:p>
            <w:pPr>
              <w:pStyle w:val="TableParagraph"/>
              <w:rPr>
                <w:rFonts w:ascii="Times New Roman"/>
                <w:sz w:val="14"/>
              </w:rPr>
            </w:pPr>
          </w:p>
        </w:tc>
        <w:tc>
          <w:tcPr>
            <w:tcW w:w="1206" w:type="dxa"/>
          </w:tcPr>
          <w:p>
            <w:pPr>
              <w:pStyle w:val="TableParagraph"/>
              <w:rPr>
                <w:rFonts w:ascii="Times New Roman"/>
                <w:sz w:val="14"/>
              </w:rPr>
            </w:pPr>
          </w:p>
        </w:tc>
      </w:tr>
      <w:tr>
        <w:trPr>
          <w:trHeight w:val="364" w:hRule="atLeast"/>
        </w:trPr>
        <w:tc>
          <w:tcPr>
            <w:tcW w:w="3870" w:type="dxa"/>
          </w:tcPr>
          <w:p>
            <w:pPr>
              <w:pStyle w:val="TableParagraph"/>
              <w:spacing w:before="101"/>
              <w:ind w:left="376"/>
              <w:rPr>
                <w:sz w:val="14"/>
              </w:rPr>
            </w:pPr>
            <w:r>
              <w:rPr>
                <w:w w:val="105"/>
                <w:sz w:val="14"/>
              </w:rPr>
              <w:t>e) Collections Awaiting Deposit</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9140</w:t>
            </w:r>
          </w:p>
        </w:tc>
        <w:tc>
          <w:tcPr>
            <w:tcW w:w="1429" w:type="dxa"/>
          </w:tcPr>
          <w:p>
            <w:pPr>
              <w:pStyle w:val="TableParagraph"/>
              <w:spacing w:before="101"/>
              <w:ind w:right="48"/>
              <w:jc w:val="right"/>
              <w:rPr>
                <w:sz w:val="14"/>
              </w:rPr>
            </w:pPr>
            <w:r>
              <w:rPr>
                <w:sz w:val="14"/>
              </w:rPr>
              <w:t>0.00</w:t>
            </w:r>
          </w:p>
        </w:tc>
        <w:tc>
          <w:tcPr>
            <w:tcW w:w="1503" w:type="dxa"/>
          </w:tcPr>
          <w:p>
            <w:pPr>
              <w:pStyle w:val="TableParagraph"/>
              <w:rPr>
                <w:rFonts w:ascii="Times New Roman"/>
                <w:sz w:val="14"/>
              </w:rPr>
            </w:pPr>
          </w:p>
        </w:tc>
        <w:tc>
          <w:tcPr>
            <w:tcW w:w="1206" w:type="dxa"/>
          </w:tcPr>
          <w:p>
            <w:pPr>
              <w:pStyle w:val="TableParagraph"/>
              <w:rPr>
                <w:rFonts w:ascii="Times New Roman"/>
                <w:sz w:val="14"/>
              </w:rPr>
            </w:pPr>
          </w:p>
        </w:tc>
      </w:tr>
      <w:tr>
        <w:trPr>
          <w:trHeight w:val="364" w:hRule="atLeast"/>
        </w:trPr>
        <w:tc>
          <w:tcPr>
            <w:tcW w:w="3870" w:type="dxa"/>
          </w:tcPr>
          <w:p>
            <w:pPr>
              <w:pStyle w:val="TableParagraph"/>
              <w:spacing w:before="101"/>
              <w:ind w:left="213"/>
              <w:rPr>
                <w:sz w:val="14"/>
              </w:rPr>
            </w:pPr>
            <w:r>
              <w:rPr>
                <w:w w:val="105"/>
                <w:sz w:val="14"/>
              </w:rPr>
              <w:t>2) Investments</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9150</w:t>
            </w:r>
          </w:p>
        </w:tc>
        <w:tc>
          <w:tcPr>
            <w:tcW w:w="1429" w:type="dxa"/>
          </w:tcPr>
          <w:p>
            <w:pPr>
              <w:pStyle w:val="TableParagraph"/>
              <w:spacing w:before="101"/>
              <w:ind w:right="48"/>
              <w:jc w:val="right"/>
              <w:rPr>
                <w:sz w:val="14"/>
              </w:rPr>
            </w:pPr>
            <w:r>
              <w:rPr>
                <w:sz w:val="14"/>
              </w:rPr>
              <w:t>0.00</w:t>
            </w:r>
          </w:p>
        </w:tc>
        <w:tc>
          <w:tcPr>
            <w:tcW w:w="1503" w:type="dxa"/>
          </w:tcPr>
          <w:p>
            <w:pPr>
              <w:pStyle w:val="TableParagraph"/>
              <w:rPr>
                <w:rFonts w:ascii="Times New Roman"/>
                <w:sz w:val="14"/>
              </w:rPr>
            </w:pPr>
          </w:p>
        </w:tc>
        <w:tc>
          <w:tcPr>
            <w:tcW w:w="1206" w:type="dxa"/>
          </w:tcPr>
          <w:p>
            <w:pPr>
              <w:pStyle w:val="TableParagraph"/>
              <w:rPr>
                <w:rFonts w:ascii="Times New Roman"/>
                <w:sz w:val="14"/>
              </w:rPr>
            </w:pPr>
          </w:p>
        </w:tc>
      </w:tr>
      <w:tr>
        <w:trPr>
          <w:trHeight w:val="364" w:hRule="atLeast"/>
        </w:trPr>
        <w:tc>
          <w:tcPr>
            <w:tcW w:w="3870" w:type="dxa"/>
          </w:tcPr>
          <w:p>
            <w:pPr>
              <w:pStyle w:val="TableParagraph"/>
              <w:spacing w:before="101"/>
              <w:ind w:left="213"/>
              <w:rPr>
                <w:sz w:val="14"/>
              </w:rPr>
            </w:pPr>
            <w:r>
              <w:rPr>
                <w:w w:val="105"/>
                <w:sz w:val="14"/>
              </w:rPr>
              <w:t>3) Accounts Receivable</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9200</w:t>
            </w:r>
          </w:p>
        </w:tc>
        <w:tc>
          <w:tcPr>
            <w:tcW w:w="1429" w:type="dxa"/>
          </w:tcPr>
          <w:p>
            <w:pPr>
              <w:pStyle w:val="TableParagraph"/>
              <w:spacing w:before="101"/>
              <w:ind w:right="48"/>
              <w:jc w:val="right"/>
              <w:rPr>
                <w:sz w:val="14"/>
              </w:rPr>
            </w:pPr>
            <w:r>
              <w:rPr>
                <w:sz w:val="14"/>
              </w:rPr>
              <w:t>0.00</w:t>
            </w:r>
          </w:p>
        </w:tc>
        <w:tc>
          <w:tcPr>
            <w:tcW w:w="1503" w:type="dxa"/>
          </w:tcPr>
          <w:p>
            <w:pPr>
              <w:pStyle w:val="TableParagraph"/>
              <w:rPr>
                <w:rFonts w:ascii="Times New Roman"/>
                <w:sz w:val="14"/>
              </w:rPr>
            </w:pPr>
          </w:p>
        </w:tc>
        <w:tc>
          <w:tcPr>
            <w:tcW w:w="1206" w:type="dxa"/>
          </w:tcPr>
          <w:p>
            <w:pPr>
              <w:pStyle w:val="TableParagraph"/>
              <w:rPr>
                <w:rFonts w:ascii="Times New Roman"/>
                <w:sz w:val="14"/>
              </w:rPr>
            </w:pPr>
          </w:p>
        </w:tc>
      </w:tr>
      <w:tr>
        <w:trPr>
          <w:trHeight w:val="364" w:hRule="atLeast"/>
        </w:trPr>
        <w:tc>
          <w:tcPr>
            <w:tcW w:w="3870" w:type="dxa"/>
          </w:tcPr>
          <w:p>
            <w:pPr>
              <w:pStyle w:val="TableParagraph"/>
              <w:spacing w:before="101"/>
              <w:ind w:left="213"/>
              <w:rPr>
                <w:sz w:val="14"/>
              </w:rPr>
            </w:pPr>
            <w:r>
              <w:rPr>
                <w:w w:val="105"/>
                <w:sz w:val="14"/>
              </w:rPr>
              <w:t>4) Due from Grantor Government</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9290</w:t>
            </w:r>
          </w:p>
        </w:tc>
        <w:tc>
          <w:tcPr>
            <w:tcW w:w="1429" w:type="dxa"/>
          </w:tcPr>
          <w:p>
            <w:pPr>
              <w:pStyle w:val="TableParagraph"/>
              <w:spacing w:before="101"/>
              <w:ind w:right="48"/>
              <w:jc w:val="right"/>
              <w:rPr>
                <w:sz w:val="14"/>
              </w:rPr>
            </w:pPr>
            <w:r>
              <w:rPr>
                <w:sz w:val="14"/>
              </w:rPr>
              <w:t>0.00</w:t>
            </w:r>
          </w:p>
        </w:tc>
        <w:tc>
          <w:tcPr>
            <w:tcW w:w="1503" w:type="dxa"/>
          </w:tcPr>
          <w:p>
            <w:pPr>
              <w:pStyle w:val="TableParagraph"/>
              <w:rPr>
                <w:rFonts w:ascii="Times New Roman"/>
                <w:sz w:val="14"/>
              </w:rPr>
            </w:pPr>
          </w:p>
        </w:tc>
        <w:tc>
          <w:tcPr>
            <w:tcW w:w="1206" w:type="dxa"/>
          </w:tcPr>
          <w:p>
            <w:pPr>
              <w:pStyle w:val="TableParagraph"/>
              <w:rPr>
                <w:rFonts w:ascii="Times New Roman"/>
                <w:sz w:val="14"/>
              </w:rPr>
            </w:pPr>
          </w:p>
        </w:tc>
      </w:tr>
      <w:tr>
        <w:trPr>
          <w:trHeight w:val="364" w:hRule="atLeast"/>
        </w:trPr>
        <w:tc>
          <w:tcPr>
            <w:tcW w:w="3870" w:type="dxa"/>
          </w:tcPr>
          <w:p>
            <w:pPr>
              <w:pStyle w:val="TableParagraph"/>
              <w:spacing w:before="101"/>
              <w:ind w:left="213"/>
              <w:rPr>
                <w:sz w:val="14"/>
              </w:rPr>
            </w:pPr>
            <w:r>
              <w:rPr>
                <w:w w:val="105"/>
                <w:sz w:val="14"/>
              </w:rPr>
              <w:t>5) Due from Other Funds</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9310</w:t>
            </w:r>
          </w:p>
        </w:tc>
        <w:tc>
          <w:tcPr>
            <w:tcW w:w="1429" w:type="dxa"/>
          </w:tcPr>
          <w:p>
            <w:pPr>
              <w:pStyle w:val="TableParagraph"/>
              <w:spacing w:before="101"/>
              <w:ind w:right="48"/>
              <w:jc w:val="right"/>
              <w:rPr>
                <w:sz w:val="14"/>
              </w:rPr>
            </w:pPr>
            <w:r>
              <w:rPr>
                <w:sz w:val="14"/>
              </w:rPr>
              <w:t>0.00</w:t>
            </w:r>
          </w:p>
        </w:tc>
        <w:tc>
          <w:tcPr>
            <w:tcW w:w="1503" w:type="dxa"/>
          </w:tcPr>
          <w:p>
            <w:pPr>
              <w:pStyle w:val="TableParagraph"/>
              <w:rPr>
                <w:rFonts w:ascii="Times New Roman"/>
                <w:sz w:val="14"/>
              </w:rPr>
            </w:pPr>
          </w:p>
        </w:tc>
        <w:tc>
          <w:tcPr>
            <w:tcW w:w="1206" w:type="dxa"/>
          </w:tcPr>
          <w:p>
            <w:pPr>
              <w:pStyle w:val="TableParagraph"/>
              <w:rPr>
                <w:rFonts w:ascii="Times New Roman"/>
                <w:sz w:val="14"/>
              </w:rPr>
            </w:pPr>
          </w:p>
        </w:tc>
      </w:tr>
      <w:tr>
        <w:trPr>
          <w:trHeight w:val="364" w:hRule="atLeast"/>
        </w:trPr>
        <w:tc>
          <w:tcPr>
            <w:tcW w:w="3870" w:type="dxa"/>
          </w:tcPr>
          <w:p>
            <w:pPr>
              <w:pStyle w:val="TableParagraph"/>
              <w:spacing w:before="101"/>
              <w:ind w:left="213"/>
              <w:rPr>
                <w:sz w:val="14"/>
              </w:rPr>
            </w:pPr>
            <w:r>
              <w:rPr>
                <w:w w:val="105"/>
                <w:sz w:val="14"/>
              </w:rPr>
              <w:t>6) Stores</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9320</w:t>
            </w:r>
          </w:p>
        </w:tc>
        <w:tc>
          <w:tcPr>
            <w:tcW w:w="1429" w:type="dxa"/>
          </w:tcPr>
          <w:p>
            <w:pPr>
              <w:pStyle w:val="TableParagraph"/>
              <w:spacing w:before="101"/>
              <w:ind w:right="48"/>
              <w:jc w:val="right"/>
              <w:rPr>
                <w:sz w:val="14"/>
              </w:rPr>
            </w:pPr>
            <w:r>
              <w:rPr>
                <w:sz w:val="14"/>
              </w:rPr>
              <w:t>0.00</w:t>
            </w:r>
          </w:p>
        </w:tc>
        <w:tc>
          <w:tcPr>
            <w:tcW w:w="1503" w:type="dxa"/>
          </w:tcPr>
          <w:p>
            <w:pPr>
              <w:pStyle w:val="TableParagraph"/>
              <w:rPr>
                <w:rFonts w:ascii="Times New Roman"/>
                <w:sz w:val="14"/>
              </w:rPr>
            </w:pPr>
          </w:p>
        </w:tc>
        <w:tc>
          <w:tcPr>
            <w:tcW w:w="1206" w:type="dxa"/>
          </w:tcPr>
          <w:p>
            <w:pPr>
              <w:pStyle w:val="TableParagraph"/>
              <w:rPr>
                <w:rFonts w:ascii="Times New Roman"/>
                <w:sz w:val="14"/>
              </w:rPr>
            </w:pPr>
          </w:p>
        </w:tc>
      </w:tr>
      <w:tr>
        <w:trPr>
          <w:trHeight w:val="364" w:hRule="atLeast"/>
        </w:trPr>
        <w:tc>
          <w:tcPr>
            <w:tcW w:w="3870" w:type="dxa"/>
          </w:tcPr>
          <w:p>
            <w:pPr>
              <w:pStyle w:val="TableParagraph"/>
              <w:spacing w:before="101"/>
              <w:ind w:left="213"/>
              <w:rPr>
                <w:sz w:val="14"/>
              </w:rPr>
            </w:pPr>
            <w:r>
              <w:rPr>
                <w:w w:val="105"/>
                <w:sz w:val="14"/>
              </w:rPr>
              <w:t>7) Prepaid Expenditures</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9330</w:t>
            </w:r>
          </w:p>
        </w:tc>
        <w:tc>
          <w:tcPr>
            <w:tcW w:w="1429" w:type="dxa"/>
          </w:tcPr>
          <w:p>
            <w:pPr>
              <w:pStyle w:val="TableParagraph"/>
              <w:spacing w:before="101"/>
              <w:ind w:right="48"/>
              <w:jc w:val="right"/>
              <w:rPr>
                <w:sz w:val="14"/>
              </w:rPr>
            </w:pPr>
            <w:r>
              <w:rPr>
                <w:sz w:val="14"/>
              </w:rPr>
              <w:t>0.00</w:t>
            </w:r>
          </w:p>
        </w:tc>
        <w:tc>
          <w:tcPr>
            <w:tcW w:w="1503" w:type="dxa"/>
          </w:tcPr>
          <w:p>
            <w:pPr>
              <w:pStyle w:val="TableParagraph"/>
              <w:rPr>
                <w:rFonts w:ascii="Times New Roman"/>
                <w:sz w:val="14"/>
              </w:rPr>
            </w:pPr>
          </w:p>
        </w:tc>
        <w:tc>
          <w:tcPr>
            <w:tcW w:w="1206" w:type="dxa"/>
          </w:tcPr>
          <w:p>
            <w:pPr>
              <w:pStyle w:val="TableParagraph"/>
              <w:rPr>
                <w:rFonts w:ascii="Times New Roman"/>
                <w:sz w:val="14"/>
              </w:rPr>
            </w:pPr>
          </w:p>
        </w:tc>
      </w:tr>
      <w:tr>
        <w:trPr>
          <w:trHeight w:val="370" w:hRule="atLeast"/>
        </w:trPr>
        <w:tc>
          <w:tcPr>
            <w:tcW w:w="3870" w:type="dxa"/>
          </w:tcPr>
          <w:p>
            <w:pPr>
              <w:pStyle w:val="TableParagraph"/>
              <w:spacing w:before="101"/>
              <w:ind w:left="213"/>
              <w:rPr>
                <w:sz w:val="14"/>
              </w:rPr>
            </w:pPr>
            <w:r>
              <w:rPr>
                <w:w w:val="105"/>
                <w:sz w:val="14"/>
              </w:rPr>
              <w:t>8) Other Current Assets</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9340</w:t>
            </w:r>
          </w:p>
        </w:tc>
        <w:tc>
          <w:tcPr>
            <w:tcW w:w="1429" w:type="dxa"/>
          </w:tcPr>
          <w:p>
            <w:pPr>
              <w:pStyle w:val="TableParagraph"/>
              <w:spacing w:before="101"/>
              <w:ind w:right="48"/>
              <w:jc w:val="right"/>
              <w:rPr>
                <w:sz w:val="14"/>
              </w:rPr>
            </w:pPr>
            <w:r>
              <w:rPr>
                <w:sz w:val="14"/>
              </w:rPr>
              <w:t>0.00</w:t>
            </w:r>
          </w:p>
        </w:tc>
        <w:tc>
          <w:tcPr>
            <w:tcW w:w="1503" w:type="dxa"/>
          </w:tcPr>
          <w:p>
            <w:pPr>
              <w:pStyle w:val="TableParagraph"/>
              <w:rPr>
                <w:rFonts w:ascii="Times New Roman"/>
                <w:sz w:val="14"/>
              </w:rPr>
            </w:pPr>
          </w:p>
        </w:tc>
        <w:tc>
          <w:tcPr>
            <w:tcW w:w="1206" w:type="dxa"/>
          </w:tcPr>
          <w:p>
            <w:pPr>
              <w:pStyle w:val="TableParagraph"/>
              <w:rPr>
                <w:rFonts w:ascii="Times New Roman"/>
                <w:sz w:val="14"/>
              </w:rPr>
            </w:pPr>
          </w:p>
        </w:tc>
      </w:tr>
      <w:tr>
        <w:trPr>
          <w:trHeight w:val="369" w:hRule="atLeast"/>
        </w:trPr>
        <w:tc>
          <w:tcPr>
            <w:tcW w:w="3870" w:type="dxa"/>
          </w:tcPr>
          <w:p>
            <w:pPr>
              <w:pStyle w:val="TableParagraph"/>
              <w:spacing w:before="107"/>
              <w:ind w:left="171"/>
              <w:rPr>
                <w:sz w:val="14"/>
              </w:rPr>
            </w:pPr>
            <w:r>
              <w:rPr>
                <w:w w:val="105"/>
                <w:sz w:val="14"/>
              </w:rPr>
              <w:t>9) TOTAL, ASSETS</w:t>
            </w:r>
          </w:p>
        </w:tc>
        <w:tc>
          <w:tcPr>
            <w:tcW w:w="1261" w:type="dxa"/>
          </w:tcPr>
          <w:p>
            <w:pPr>
              <w:pStyle w:val="TableParagraph"/>
              <w:rPr>
                <w:rFonts w:ascii="Times New Roman"/>
                <w:sz w:val="14"/>
              </w:rPr>
            </w:pPr>
          </w:p>
        </w:tc>
        <w:tc>
          <w:tcPr>
            <w:tcW w:w="1127" w:type="dxa"/>
          </w:tcPr>
          <w:p>
            <w:pPr>
              <w:pStyle w:val="TableParagraph"/>
              <w:rPr>
                <w:rFonts w:ascii="Times New Roman"/>
                <w:sz w:val="14"/>
              </w:rPr>
            </w:pPr>
          </w:p>
        </w:tc>
        <w:tc>
          <w:tcPr>
            <w:tcW w:w="1429" w:type="dxa"/>
          </w:tcPr>
          <w:p>
            <w:pPr>
              <w:pStyle w:val="TableParagraph"/>
              <w:spacing w:before="107"/>
              <w:ind w:right="47"/>
              <w:jc w:val="right"/>
              <w:rPr>
                <w:sz w:val="14"/>
              </w:rPr>
            </w:pPr>
            <w:r>
              <w:rPr>
                <w:sz w:val="14"/>
              </w:rPr>
              <w:t>37,421.76</w:t>
            </w:r>
          </w:p>
        </w:tc>
        <w:tc>
          <w:tcPr>
            <w:tcW w:w="1503" w:type="dxa"/>
          </w:tcPr>
          <w:p>
            <w:pPr>
              <w:pStyle w:val="TableParagraph"/>
              <w:rPr>
                <w:rFonts w:ascii="Times New Roman"/>
                <w:sz w:val="14"/>
              </w:rPr>
            </w:pPr>
          </w:p>
        </w:tc>
        <w:tc>
          <w:tcPr>
            <w:tcW w:w="1206" w:type="dxa"/>
          </w:tcPr>
          <w:p>
            <w:pPr>
              <w:pStyle w:val="TableParagraph"/>
              <w:rPr>
                <w:rFonts w:ascii="Times New Roman"/>
                <w:sz w:val="14"/>
              </w:rPr>
            </w:pPr>
          </w:p>
        </w:tc>
      </w:tr>
      <w:tr>
        <w:trPr>
          <w:trHeight w:val="259" w:hRule="atLeast"/>
        </w:trPr>
        <w:tc>
          <w:tcPr>
            <w:tcW w:w="3870" w:type="dxa"/>
          </w:tcPr>
          <w:p>
            <w:pPr>
              <w:pStyle w:val="TableParagraph"/>
              <w:spacing w:line="140" w:lineRule="exact" w:before="99"/>
              <w:ind w:left="50"/>
              <w:rPr>
                <w:b/>
                <w:sz w:val="14"/>
              </w:rPr>
            </w:pPr>
            <w:r>
              <w:rPr>
                <w:b/>
                <w:w w:val="105"/>
                <w:sz w:val="14"/>
              </w:rPr>
              <w:t>H. DEFERRED OUTFLOWS OF RESOURCES</w:t>
            </w:r>
          </w:p>
        </w:tc>
        <w:tc>
          <w:tcPr>
            <w:tcW w:w="6526" w:type="dxa"/>
            <w:gridSpan w:val="5"/>
          </w:tcPr>
          <w:p>
            <w:pPr>
              <w:pStyle w:val="TableParagraph"/>
              <w:rPr>
                <w:rFonts w:ascii="Times New Roman"/>
                <w:sz w:val="14"/>
              </w:rPr>
            </w:pPr>
          </w:p>
        </w:tc>
      </w:tr>
      <w:tr>
        <w:trPr>
          <w:trHeight w:val="470" w:hRule="atLeast"/>
        </w:trPr>
        <w:tc>
          <w:tcPr>
            <w:tcW w:w="3870" w:type="dxa"/>
          </w:tcPr>
          <w:p>
            <w:pPr>
              <w:pStyle w:val="TableParagraph"/>
              <w:rPr>
                <w:sz w:val="18"/>
              </w:rPr>
            </w:pPr>
          </w:p>
          <w:p>
            <w:pPr>
              <w:pStyle w:val="TableParagraph"/>
              <w:ind w:left="213"/>
              <w:rPr>
                <w:sz w:val="14"/>
              </w:rPr>
            </w:pPr>
            <w:r>
              <w:rPr>
                <w:w w:val="105"/>
                <w:sz w:val="14"/>
              </w:rPr>
              <w:t>1) Deferred Outflows of Resources</w:t>
            </w:r>
          </w:p>
        </w:tc>
        <w:tc>
          <w:tcPr>
            <w:tcW w:w="2388" w:type="dxa"/>
            <w:gridSpan w:val="2"/>
          </w:tcPr>
          <w:p>
            <w:pPr>
              <w:pStyle w:val="TableParagraph"/>
              <w:rPr>
                <w:sz w:val="18"/>
              </w:rPr>
            </w:pPr>
          </w:p>
          <w:p>
            <w:pPr>
              <w:pStyle w:val="TableParagraph"/>
              <w:ind w:right="383"/>
              <w:jc w:val="right"/>
              <w:rPr>
                <w:sz w:val="14"/>
              </w:rPr>
            </w:pPr>
            <w:r>
              <w:rPr>
                <w:sz w:val="14"/>
              </w:rPr>
              <w:t>9490</w:t>
            </w:r>
          </w:p>
        </w:tc>
        <w:tc>
          <w:tcPr>
            <w:tcW w:w="4138" w:type="dxa"/>
            <w:gridSpan w:val="3"/>
          </w:tcPr>
          <w:p>
            <w:pPr>
              <w:pStyle w:val="TableParagraph"/>
              <w:rPr>
                <w:sz w:val="18"/>
              </w:rPr>
            </w:pPr>
          </w:p>
          <w:p>
            <w:pPr>
              <w:pStyle w:val="TableParagraph"/>
              <w:ind w:left="1100"/>
              <w:rPr>
                <w:sz w:val="14"/>
              </w:rPr>
            </w:pPr>
            <w:r>
              <w:rPr>
                <w:w w:val="105"/>
                <w:sz w:val="14"/>
              </w:rPr>
              <w:t>0.00</w:t>
            </w:r>
          </w:p>
        </w:tc>
      </w:tr>
      <w:tr>
        <w:trPr>
          <w:trHeight w:val="262" w:hRule="atLeast"/>
        </w:trPr>
        <w:tc>
          <w:tcPr>
            <w:tcW w:w="3870" w:type="dxa"/>
          </w:tcPr>
          <w:p>
            <w:pPr>
              <w:pStyle w:val="TableParagraph"/>
              <w:spacing w:line="142" w:lineRule="exact" w:before="101"/>
              <w:ind w:left="213"/>
              <w:rPr>
                <w:sz w:val="14"/>
              </w:rPr>
            </w:pPr>
            <w:r>
              <w:rPr>
                <w:w w:val="105"/>
                <w:sz w:val="14"/>
              </w:rPr>
              <w:t>2) TOTAL, DEFERRED OUTFLOWS</w:t>
            </w:r>
          </w:p>
        </w:tc>
        <w:tc>
          <w:tcPr>
            <w:tcW w:w="2388" w:type="dxa"/>
            <w:gridSpan w:val="2"/>
          </w:tcPr>
          <w:p>
            <w:pPr>
              <w:pStyle w:val="TableParagraph"/>
              <w:rPr>
                <w:rFonts w:ascii="Times New Roman"/>
                <w:sz w:val="14"/>
              </w:rPr>
            </w:pPr>
          </w:p>
        </w:tc>
        <w:tc>
          <w:tcPr>
            <w:tcW w:w="4138" w:type="dxa"/>
            <w:gridSpan w:val="3"/>
          </w:tcPr>
          <w:p>
            <w:pPr>
              <w:pStyle w:val="TableParagraph"/>
              <w:spacing w:line="142" w:lineRule="exact" w:before="101"/>
              <w:ind w:left="1100"/>
              <w:rPr>
                <w:sz w:val="14"/>
              </w:rPr>
            </w:pPr>
            <w:r>
              <w:rPr>
                <w:w w:val="105"/>
                <w:sz w:val="14"/>
              </w:rPr>
              <w:t>0.00</w:t>
            </w:r>
          </w:p>
        </w:tc>
      </w:tr>
    </w:tbl>
    <w:p>
      <w:pPr>
        <w:pStyle w:val="BodyText"/>
        <w:spacing w:before="10"/>
        <w:rPr>
          <w:sz w:val="9"/>
        </w:rPr>
      </w:pPr>
    </w:p>
    <w:p>
      <w:pPr>
        <w:pStyle w:val="ListParagraph"/>
        <w:numPr>
          <w:ilvl w:val="0"/>
          <w:numId w:val="19"/>
        </w:numPr>
        <w:tabs>
          <w:tab w:pos="600" w:val="left" w:leader="none"/>
        </w:tabs>
        <w:spacing w:line="240" w:lineRule="auto" w:before="99" w:after="0"/>
        <w:ind w:left="599" w:right="0" w:hanging="122"/>
        <w:jc w:val="left"/>
        <w:rPr>
          <w:b/>
          <w:sz w:val="14"/>
        </w:rPr>
      </w:pPr>
      <w:r>
        <w:rPr/>
        <w:pict>
          <v:group style="position:absolute;margin-left:30.120001pt;margin-top:-375.4841pt;width:538pt;height:600.85pt;mso-position-horizontal-relative:page;mso-position-vertical-relative:paragraph;z-index:-314483712" coordorigin="602,-7510" coordsize="10760,12017">
            <v:shape style="position:absolute;left:602;top:-7510;width:3646;height:790" type="#_x0000_t75" stroked="false">
              <v:imagedata r:id="rId406" o:title=""/>
            </v:shape>
            <v:shape style="position:absolute;left:4240;top:-7510;width:7121;height:12017" type="#_x0000_t75" stroked="false">
              <v:imagedata r:id="rId449" o:title=""/>
            </v:shape>
            <v:shape style="position:absolute;left:602;top:-6735;width:816;height:5892" type="#_x0000_t75" stroked="false">
              <v:imagedata r:id="rId450" o:title=""/>
            </v:shape>
            <v:shape style="position:absolute;left:1411;top:-1217;width:2837;height:22" type="#_x0000_t75" stroked="false">
              <v:imagedata r:id="rId451" o:title=""/>
            </v:shape>
            <v:line style="position:absolute" from="1412,-1205" to="1412,-847" stroked="true" strokeweight=".360003pt" strokecolor="#ffffff">
              <v:stroke dashstyle="solid"/>
            </v:line>
            <v:shape style="position:absolute;left:602;top:-845;width:3646;height:744" type="#_x0000_t75" stroked="false">
              <v:imagedata r:id="rId452" o:title=""/>
            </v:shape>
            <v:line style="position:absolute" from="1412,-110" to="1412,259" stroked="true" strokeweight=".360003pt" strokecolor="#ffffff">
              <v:stroke dashstyle="solid"/>
            </v:line>
            <v:shape style="position:absolute;left:602;top:-116;width:3646;height:2580" type="#_x0000_t75" stroked="false">
              <v:imagedata r:id="rId453" o:title=""/>
            </v:shape>
            <v:line style="position:absolute" from="1412,2455" to="1412,2810" stroked="true" strokeweight=".360003pt" strokecolor="#ffffff">
              <v:stroke dashstyle="solid"/>
            </v:line>
            <v:shape style="position:absolute;left:602;top:2450;width:3646;height:1107" type="#_x0000_t75" stroked="false">
              <v:imagedata r:id="rId454" o:title=""/>
            </v:shape>
            <v:line style="position:absolute" from="1412,3547" to="1412,3917" stroked="true" strokeweight=".360003pt" strokecolor="#ffffff">
              <v:stroke dashstyle="solid"/>
            </v:line>
            <v:shape style="position:absolute;left:602;top:3542;width:3646;height:965" type="#_x0000_t75" stroked="false">
              <v:imagedata r:id="rId455" o:title=""/>
            </v:shape>
            <w10:wrap type="none"/>
          </v:group>
        </w:pict>
      </w:r>
      <w:r>
        <w:rPr>
          <w:b/>
          <w:w w:val="105"/>
          <w:sz w:val="14"/>
        </w:rPr>
        <w:t>LIABILITIES</w:t>
      </w:r>
    </w:p>
    <w:p>
      <w:pPr>
        <w:pStyle w:val="BodyText"/>
        <w:rPr>
          <w:b/>
          <w:sz w:val="18"/>
        </w:rPr>
      </w:pPr>
    </w:p>
    <w:tbl>
      <w:tblPr>
        <w:tblW w:w="0" w:type="auto"/>
        <w:jc w:val="left"/>
        <w:tblInd w:w="5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72"/>
        <w:gridCol w:w="2305"/>
        <w:gridCol w:w="1512"/>
      </w:tblGrid>
      <w:tr>
        <w:trPr>
          <w:trHeight w:val="262" w:hRule="atLeast"/>
        </w:trPr>
        <w:tc>
          <w:tcPr>
            <w:tcW w:w="3772" w:type="dxa"/>
          </w:tcPr>
          <w:p>
            <w:pPr>
              <w:pStyle w:val="TableParagraph"/>
              <w:spacing w:line="160" w:lineRule="exact"/>
              <w:ind w:left="91"/>
              <w:rPr>
                <w:sz w:val="14"/>
              </w:rPr>
            </w:pPr>
            <w:r>
              <w:rPr>
                <w:w w:val="105"/>
                <w:sz w:val="14"/>
              </w:rPr>
              <w:t>1) Accounts Payable</w:t>
            </w:r>
          </w:p>
        </w:tc>
        <w:tc>
          <w:tcPr>
            <w:tcW w:w="2305" w:type="dxa"/>
          </w:tcPr>
          <w:p>
            <w:pPr>
              <w:pStyle w:val="TableParagraph"/>
              <w:spacing w:line="160" w:lineRule="exact"/>
              <w:ind w:right="323"/>
              <w:jc w:val="right"/>
              <w:rPr>
                <w:sz w:val="14"/>
              </w:rPr>
            </w:pPr>
            <w:r>
              <w:rPr>
                <w:sz w:val="14"/>
              </w:rPr>
              <w:t>9500</w:t>
            </w:r>
          </w:p>
        </w:tc>
        <w:tc>
          <w:tcPr>
            <w:tcW w:w="1512" w:type="dxa"/>
          </w:tcPr>
          <w:p>
            <w:pPr>
              <w:pStyle w:val="TableParagraph"/>
              <w:spacing w:line="160" w:lineRule="exact"/>
              <w:ind w:right="71"/>
              <w:jc w:val="right"/>
              <w:rPr>
                <w:sz w:val="14"/>
              </w:rPr>
            </w:pPr>
            <w:r>
              <w:rPr>
                <w:sz w:val="14"/>
              </w:rPr>
              <w:t>31,123.00</w:t>
            </w:r>
          </w:p>
        </w:tc>
      </w:tr>
      <w:tr>
        <w:trPr>
          <w:trHeight w:val="364" w:hRule="atLeast"/>
        </w:trPr>
        <w:tc>
          <w:tcPr>
            <w:tcW w:w="3772" w:type="dxa"/>
          </w:tcPr>
          <w:p>
            <w:pPr>
              <w:pStyle w:val="TableParagraph"/>
              <w:spacing w:before="101"/>
              <w:ind w:left="91"/>
              <w:rPr>
                <w:sz w:val="14"/>
              </w:rPr>
            </w:pPr>
            <w:r>
              <w:rPr>
                <w:w w:val="105"/>
                <w:sz w:val="14"/>
              </w:rPr>
              <w:t>2) Due to Grantor Governments</w:t>
            </w:r>
          </w:p>
        </w:tc>
        <w:tc>
          <w:tcPr>
            <w:tcW w:w="2305" w:type="dxa"/>
          </w:tcPr>
          <w:p>
            <w:pPr>
              <w:pStyle w:val="TableParagraph"/>
              <w:spacing w:before="101"/>
              <w:ind w:right="323"/>
              <w:jc w:val="right"/>
              <w:rPr>
                <w:sz w:val="14"/>
              </w:rPr>
            </w:pPr>
            <w:r>
              <w:rPr>
                <w:sz w:val="14"/>
              </w:rPr>
              <w:t>9590</w:t>
            </w:r>
          </w:p>
        </w:tc>
        <w:tc>
          <w:tcPr>
            <w:tcW w:w="1512" w:type="dxa"/>
          </w:tcPr>
          <w:p>
            <w:pPr>
              <w:pStyle w:val="TableParagraph"/>
              <w:spacing w:before="101"/>
              <w:ind w:right="71"/>
              <w:jc w:val="right"/>
              <w:rPr>
                <w:sz w:val="14"/>
              </w:rPr>
            </w:pPr>
            <w:r>
              <w:rPr>
                <w:sz w:val="14"/>
              </w:rPr>
              <w:t>0.00</w:t>
            </w:r>
          </w:p>
        </w:tc>
      </w:tr>
      <w:tr>
        <w:trPr>
          <w:trHeight w:val="265" w:hRule="atLeast"/>
        </w:trPr>
        <w:tc>
          <w:tcPr>
            <w:tcW w:w="3772" w:type="dxa"/>
          </w:tcPr>
          <w:p>
            <w:pPr>
              <w:pStyle w:val="TableParagraph"/>
              <w:spacing w:line="145" w:lineRule="exact" w:before="101"/>
              <w:ind w:left="91"/>
              <w:rPr>
                <w:sz w:val="14"/>
              </w:rPr>
            </w:pPr>
            <w:r>
              <w:rPr>
                <w:w w:val="105"/>
                <w:sz w:val="14"/>
              </w:rPr>
              <w:t>3) Due to Other Funds</w:t>
            </w:r>
          </w:p>
        </w:tc>
        <w:tc>
          <w:tcPr>
            <w:tcW w:w="2305" w:type="dxa"/>
          </w:tcPr>
          <w:p>
            <w:pPr>
              <w:pStyle w:val="TableParagraph"/>
              <w:spacing w:line="145" w:lineRule="exact" w:before="101"/>
              <w:ind w:right="323"/>
              <w:jc w:val="right"/>
              <w:rPr>
                <w:sz w:val="14"/>
              </w:rPr>
            </w:pPr>
            <w:r>
              <w:rPr>
                <w:sz w:val="14"/>
              </w:rPr>
              <w:t>9610</w:t>
            </w:r>
          </w:p>
        </w:tc>
        <w:tc>
          <w:tcPr>
            <w:tcW w:w="1512" w:type="dxa"/>
          </w:tcPr>
          <w:p>
            <w:pPr>
              <w:pStyle w:val="TableParagraph"/>
              <w:spacing w:line="145" w:lineRule="exact" w:before="101"/>
              <w:ind w:right="71"/>
              <w:jc w:val="right"/>
              <w:rPr>
                <w:sz w:val="14"/>
              </w:rPr>
            </w:pPr>
            <w:r>
              <w:rPr>
                <w:sz w:val="14"/>
              </w:rPr>
              <w:t>0.00</w:t>
            </w:r>
          </w:p>
        </w:tc>
      </w:tr>
      <w:tr>
        <w:trPr>
          <w:trHeight w:val="364" w:hRule="atLeast"/>
        </w:trPr>
        <w:tc>
          <w:tcPr>
            <w:tcW w:w="3772" w:type="dxa"/>
          </w:tcPr>
          <w:p>
            <w:pPr>
              <w:pStyle w:val="TableParagraph"/>
              <w:spacing w:before="4"/>
              <w:rPr>
                <w:b/>
                <w:sz w:val="17"/>
              </w:rPr>
            </w:pPr>
          </w:p>
          <w:p>
            <w:pPr>
              <w:pStyle w:val="TableParagraph"/>
              <w:spacing w:line="145" w:lineRule="exact"/>
              <w:ind w:left="91"/>
              <w:rPr>
                <w:sz w:val="14"/>
              </w:rPr>
            </w:pPr>
            <w:r>
              <w:rPr>
                <w:w w:val="105"/>
                <w:sz w:val="14"/>
              </w:rPr>
              <w:t>4) Current Loans</w:t>
            </w:r>
          </w:p>
        </w:tc>
        <w:tc>
          <w:tcPr>
            <w:tcW w:w="2305" w:type="dxa"/>
          </w:tcPr>
          <w:p>
            <w:pPr>
              <w:pStyle w:val="TableParagraph"/>
              <w:spacing w:before="4"/>
              <w:rPr>
                <w:b/>
                <w:sz w:val="17"/>
              </w:rPr>
            </w:pPr>
          </w:p>
          <w:p>
            <w:pPr>
              <w:pStyle w:val="TableParagraph"/>
              <w:spacing w:line="145" w:lineRule="exact"/>
              <w:ind w:right="323"/>
              <w:jc w:val="right"/>
              <w:rPr>
                <w:sz w:val="14"/>
              </w:rPr>
            </w:pPr>
            <w:r>
              <w:rPr>
                <w:sz w:val="14"/>
              </w:rPr>
              <w:t>9640</w:t>
            </w:r>
          </w:p>
        </w:tc>
        <w:tc>
          <w:tcPr>
            <w:tcW w:w="1512" w:type="dxa"/>
            <w:shd w:val="clear" w:color="auto" w:fill="DFDFDF"/>
          </w:tcPr>
          <w:p>
            <w:pPr>
              <w:pStyle w:val="TableParagraph"/>
              <w:rPr>
                <w:rFonts w:ascii="Times New Roman"/>
                <w:sz w:val="14"/>
              </w:rPr>
            </w:pPr>
          </w:p>
        </w:tc>
      </w:tr>
      <w:tr>
        <w:trPr>
          <w:trHeight w:val="463" w:hRule="atLeast"/>
        </w:trPr>
        <w:tc>
          <w:tcPr>
            <w:tcW w:w="3772" w:type="dxa"/>
          </w:tcPr>
          <w:p>
            <w:pPr>
              <w:pStyle w:val="TableParagraph"/>
              <w:spacing w:before="4"/>
              <w:rPr>
                <w:b/>
                <w:sz w:val="17"/>
              </w:rPr>
            </w:pPr>
          </w:p>
          <w:p>
            <w:pPr>
              <w:pStyle w:val="TableParagraph"/>
              <w:ind w:left="91"/>
              <w:rPr>
                <w:sz w:val="14"/>
              </w:rPr>
            </w:pPr>
            <w:r>
              <w:rPr>
                <w:w w:val="105"/>
                <w:sz w:val="14"/>
              </w:rPr>
              <w:t>5) Unearned Revenue</w:t>
            </w:r>
          </w:p>
        </w:tc>
        <w:tc>
          <w:tcPr>
            <w:tcW w:w="2305" w:type="dxa"/>
          </w:tcPr>
          <w:p>
            <w:pPr>
              <w:pStyle w:val="TableParagraph"/>
              <w:spacing w:before="4"/>
              <w:rPr>
                <w:b/>
                <w:sz w:val="17"/>
              </w:rPr>
            </w:pPr>
          </w:p>
          <w:p>
            <w:pPr>
              <w:pStyle w:val="TableParagraph"/>
              <w:ind w:right="323"/>
              <w:jc w:val="right"/>
              <w:rPr>
                <w:sz w:val="14"/>
              </w:rPr>
            </w:pPr>
            <w:r>
              <w:rPr>
                <w:sz w:val="14"/>
              </w:rPr>
              <w:t>9650</w:t>
            </w:r>
          </w:p>
        </w:tc>
        <w:tc>
          <w:tcPr>
            <w:tcW w:w="1512" w:type="dxa"/>
          </w:tcPr>
          <w:p>
            <w:pPr>
              <w:pStyle w:val="TableParagraph"/>
              <w:spacing w:before="4"/>
              <w:rPr>
                <w:b/>
                <w:sz w:val="17"/>
              </w:rPr>
            </w:pPr>
          </w:p>
          <w:p>
            <w:pPr>
              <w:pStyle w:val="TableParagraph"/>
              <w:ind w:right="71"/>
              <w:jc w:val="right"/>
              <w:rPr>
                <w:sz w:val="14"/>
              </w:rPr>
            </w:pPr>
            <w:r>
              <w:rPr>
                <w:sz w:val="14"/>
              </w:rPr>
              <w:t>0.00</w:t>
            </w:r>
          </w:p>
        </w:tc>
      </w:tr>
      <w:tr>
        <w:trPr>
          <w:trHeight w:val="262" w:hRule="atLeast"/>
        </w:trPr>
        <w:tc>
          <w:tcPr>
            <w:tcW w:w="3772" w:type="dxa"/>
          </w:tcPr>
          <w:p>
            <w:pPr>
              <w:pStyle w:val="TableParagraph"/>
              <w:spacing w:line="142" w:lineRule="exact" w:before="101"/>
              <w:ind w:left="50"/>
              <w:rPr>
                <w:sz w:val="14"/>
              </w:rPr>
            </w:pPr>
            <w:r>
              <w:rPr>
                <w:w w:val="105"/>
                <w:sz w:val="14"/>
              </w:rPr>
              <w:t>6) TOTAL, LIABILITIES</w:t>
            </w:r>
          </w:p>
        </w:tc>
        <w:tc>
          <w:tcPr>
            <w:tcW w:w="2305" w:type="dxa"/>
          </w:tcPr>
          <w:p>
            <w:pPr>
              <w:pStyle w:val="TableParagraph"/>
              <w:rPr>
                <w:rFonts w:ascii="Times New Roman"/>
                <w:sz w:val="14"/>
              </w:rPr>
            </w:pPr>
          </w:p>
        </w:tc>
        <w:tc>
          <w:tcPr>
            <w:tcW w:w="1512" w:type="dxa"/>
          </w:tcPr>
          <w:p>
            <w:pPr>
              <w:pStyle w:val="TableParagraph"/>
              <w:spacing w:line="142" w:lineRule="exact" w:before="101"/>
              <w:ind w:right="71"/>
              <w:jc w:val="right"/>
              <w:rPr>
                <w:sz w:val="14"/>
              </w:rPr>
            </w:pPr>
            <w:r>
              <w:rPr>
                <w:sz w:val="14"/>
              </w:rPr>
              <w:t>31,123.00</w:t>
            </w:r>
          </w:p>
        </w:tc>
      </w:tr>
    </w:tbl>
    <w:p>
      <w:pPr>
        <w:pStyle w:val="BodyText"/>
        <w:spacing w:before="2"/>
        <w:rPr>
          <w:b/>
          <w:sz w:val="17"/>
        </w:rPr>
      </w:pPr>
    </w:p>
    <w:p>
      <w:pPr>
        <w:pStyle w:val="ListParagraph"/>
        <w:numPr>
          <w:ilvl w:val="0"/>
          <w:numId w:val="19"/>
        </w:numPr>
        <w:tabs>
          <w:tab w:pos="640" w:val="left" w:leader="none"/>
        </w:tabs>
        <w:spacing w:line="240" w:lineRule="auto" w:before="0" w:after="0"/>
        <w:ind w:left="639" w:right="0" w:hanging="162"/>
        <w:jc w:val="left"/>
        <w:rPr>
          <w:b/>
          <w:sz w:val="14"/>
        </w:rPr>
      </w:pPr>
      <w:r>
        <w:rPr>
          <w:b/>
          <w:w w:val="105"/>
          <w:sz w:val="14"/>
        </w:rPr>
        <w:t>DEFERRED INFLOWS OF</w:t>
      </w:r>
      <w:r>
        <w:rPr>
          <w:b/>
          <w:spacing w:val="-3"/>
          <w:w w:val="105"/>
          <w:sz w:val="14"/>
        </w:rPr>
        <w:t> </w:t>
      </w:r>
      <w:r>
        <w:rPr>
          <w:b/>
          <w:w w:val="105"/>
          <w:sz w:val="14"/>
        </w:rPr>
        <w:t>RESOURCES</w:t>
      </w:r>
    </w:p>
    <w:p>
      <w:pPr>
        <w:pStyle w:val="BodyText"/>
        <w:spacing w:before="4"/>
        <w:rPr>
          <w:b/>
          <w:sz w:val="9"/>
        </w:rPr>
      </w:pPr>
    </w:p>
    <w:p>
      <w:pPr>
        <w:pStyle w:val="Heading9"/>
        <w:numPr>
          <w:ilvl w:val="1"/>
          <w:numId w:val="19"/>
        </w:numPr>
        <w:tabs>
          <w:tab w:pos="809" w:val="left" w:leader="none"/>
          <w:tab w:pos="5983" w:val="left" w:leader="none"/>
          <w:tab w:pos="7786" w:val="left" w:leader="none"/>
        </w:tabs>
        <w:spacing w:line="240" w:lineRule="auto" w:before="99" w:after="0"/>
        <w:ind w:left="808" w:right="0" w:hanging="168"/>
        <w:jc w:val="left"/>
      </w:pPr>
      <w:r>
        <w:rPr>
          <w:w w:val="105"/>
        </w:rPr>
        <w:t>Deferred Inflows</w:t>
      </w:r>
      <w:r>
        <w:rPr>
          <w:spacing w:val="-24"/>
          <w:w w:val="105"/>
        </w:rPr>
        <w:t> </w:t>
      </w:r>
      <w:r>
        <w:rPr>
          <w:w w:val="105"/>
        </w:rPr>
        <w:t>of</w:t>
      </w:r>
      <w:r>
        <w:rPr>
          <w:spacing w:val="-11"/>
          <w:w w:val="105"/>
        </w:rPr>
        <w:t> </w:t>
      </w:r>
      <w:r>
        <w:rPr>
          <w:w w:val="105"/>
        </w:rPr>
        <w:t>Resources</w:t>
        <w:tab/>
        <w:t>9690</w:t>
        <w:tab/>
        <w:t>0.00</w:t>
      </w:r>
    </w:p>
    <w:p>
      <w:pPr>
        <w:pStyle w:val="BodyText"/>
        <w:spacing w:before="2"/>
        <w:rPr>
          <w:sz w:val="9"/>
        </w:rPr>
      </w:pPr>
    </w:p>
    <w:p>
      <w:pPr>
        <w:pStyle w:val="ListParagraph"/>
        <w:numPr>
          <w:ilvl w:val="1"/>
          <w:numId w:val="19"/>
        </w:numPr>
        <w:tabs>
          <w:tab w:pos="809" w:val="left" w:leader="none"/>
          <w:tab w:pos="7786" w:val="left" w:leader="none"/>
        </w:tabs>
        <w:spacing w:line="240" w:lineRule="auto" w:before="98" w:after="0"/>
        <w:ind w:left="808" w:right="0" w:hanging="168"/>
        <w:jc w:val="left"/>
        <w:rPr>
          <w:sz w:val="14"/>
        </w:rPr>
      </w:pPr>
      <w:r>
        <w:rPr>
          <w:w w:val="105"/>
          <w:sz w:val="14"/>
        </w:rPr>
        <w:t>TOTAL,</w:t>
      </w:r>
      <w:r>
        <w:rPr>
          <w:spacing w:val="-9"/>
          <w:w w:val="105"/>
          <w:sz w:val="14"/>
        </w:rPr>
        <w:t> </w:t>
      </w:r>
      <w:r>
        <w:rPr>
          <w:w w:val="105"/>
          <w:sz w:val="14"/>
        </w:rPr>
        <w:t>DEFERRED</w:t>
      </w:r>
      <w:r>
        <w:rPr>
          <w:spacing w:val="-10"/>
          <w:w w:val="105"/>
          <w:sz w:val="14"/>
        </w:rPr>
        <w:t> </w:t>
      </w:r>
      <w:r>
        <w:rPr>
          <w:w w:val="105"/>
          <w:sz w:val="14"/>
        </w:rPr>
        <w:t>INFLOWS</w:t>
        <w:tab/>
        <w:t>0.00</w:t>
      </w:r>
    </w:p>
    <w:p>
      <w:pPr>
        <w:pStyle w:val="BodyText"/>
        <w:rPr>
          <w:sz w:val="10"/>
        </w:rPr>
      </w:pPr>
    </w:p>
    <w:p>
      <w:pPr>
        <w:pStyle w:val="ListParagraph"/>
        <w:numPr>
          <w:ilvl w:val="0"/>
          <w:numId w:val="19"/>
        </w:numPr>
        <w:tabs>
          <w:tab w:pos="663" w:val="left" w:leader="none"/>
        </w:tabs>
        <w:spacing w:line="240" w:lineRule="auto" w:before="99" w:after="0"/>
        <w:ind w:left="662" w:right="0" w:hanging="185"/>
        <w:jc w:val="left"/>
        <w:rPr>
          <w:b/>
          <w:sz w:val="14"/>
        </w:rPr>
      </w:pPr>
      <w:r>
        <w:rPr>
          <w:b/>
          <w:w w:val="105"/>
          <w:sz w:val="14"/>
        </w:rPr>
        <w:t>FUND</w:t>
      </w:r>
      <w:r>
        <w:rPr>
          <w:b/>
          <w:spacing w:val="-4"/>
          <w:w w:val="105"/>
          <w:sz w:val="14"/>
        </w:rPr>
        <w:t> </w:t>
      </w:r>
      <w:r>
        <w:rPr>
          <w:b/>
          <w:w w:val="105"/>
          <w:sz w:val="14"/>
        </w:rPr>
        <w:t>EQUITY</w:t>
      </w:r>
    </w:p>
    <w:p>
      <w:pPr>
        <w:pStyle w:val="BodyText"/>
        <w:spacing w:before="4"/>
        <w:rPr>
          <w:b/>
          <w:sz w:val="10"/>
        </w:rPr>
      </w:pPr>
    </w:p>
    <w:p>
      <w:pPr>
        <w:spacing w:before="99"/>
        <w:ind w:left="641" w:right="0" w:firstLine="0"/>
        <w:jc w:val="left"/>
        <w:rPr>
          <w:sz w:val="14"/>
        </w:rPr>
      </w:pPr>
      <w:r>
        <w:rPr>
          <w:w w:val="105"/>
          <w:sz w:val="14"/>
        </w:rPr>
        <w:t>Ending Fund Balance, June 30</w:t>
      </w:r>
    </w:p>
    <w:p>
      <w:pPr>
        <w:tabs>
          <w:tab w:pos="7507" w:val="left" w:leader="none"/>
        </w:tabs>
        <w:spacing w:before="36"/>
        <w:ind w:left="641" w:right="0" w:firstLine="0"/>
        <w:jc w:val="left"/>
        <w:rPr>
          <w:sz w:val="14"/>
        </w:rPr>
      </w:pPr>
      <w:r>
        <w:rPr>
          <w:w w:val="105"/>
          <w:sz w:val="14"/>
        </w:rPr>
        <w:t>(G9 + H2) - (I6</w:t>
      </w:r>
      <w:r>
        <w:rPr>
          <w:spacing w:val="-21"/>
          <w:w w:val="105"/>
          <w:sz w:val="14"/>
        </w:rPr>
        <w:t> </w:t>
      </w:r>
      <w:r>
        <w:rPr>
          <w:w w:val="105"/>
          <w:sz w:val="14"/>
        </w:rPr>
        <w:t>+</w:t>
      </w:r>
      <w:r>
        <w:rPr>
          <w:spacing w:val="-4"/>
          <w:w w:val="105"/>
          <w:sz w:val="14"/>
        </w:rPr>
        <w:t> </w:t>
      </w:r>
      <w:r>
        <w:rPr>
          <w:w w:val="105"/>
          <w:sz w:val="14"/>
        </w:rPr>
        <w:t>J2)</w:t>
        <w:tab/>
        <w:t>6,298.76</w:t>
      </w:r>
    </w:p>
    <w:p>
      <w:pPr>
        <w:spacing w:after="0"/>
        <w:jc w:val="left"/>
        <w:rPr>
          <w:sz w:val="14"/>
        </w:rPr>
        <w:sectPr>
          <w:type w:val="continuous"/>
          <w:pgSz w:w="12240" w:h="15840"/>
          <w:pgMar w:top="1500" w:bottom="840" w:left="160" w:right="180"/>
        </w:sectPr>
      </w:pPr>
    </w:p>
    <w:p>
      <w:pPr>
        <w:spacing w:line="232" w:lineRule="auto" w:before="1"/>
        <w:ind w:left="308" w:right="0" w:firstLine="0"/>
        <w:jc w:val="left"/>
        <w:rPr>
          <w:sz w:val="18"/>
        </w:rPr>
      </w:pPr>
      <w:r>
        <w:rPr/>
        <w:pict>
          <v:group style="position:absolute;margin-left:30.120001pt;margin-top:36.318634pt;width:538pt;height:57.4pt;mso-position-horizontal-relative:page;mso-position-vertical-relative:paragraph;z-index:-314482688" coordorigin="602,726" coordsize="10760,1148">
            <v:shape style="position:absolute;left:602;top:726;width:3646;height:790" type="#_x0000_t75" stroked="false">
              <v:imagedata r:id="rId406" o:title=""/>
            </v:shape>
            <v:shape style="position:absolute;left:602;top:726;width:10760;height:1148" type="#_x0000_t75" stroked="false">
              <v:imagedata r:id="rId595" o:title=""/>
            </v:shape>
            <w10:wrap type="none"/>
          </v:group>
        </w:pict>
      </w:r>
      <w:r>
        <w:rPr>
          <w:sz w:val="18"/>
        </w:rPr>
        <w:t>Winship-Robbins Elementary Sutter County</w:t>
      </w:r>
    </w:p>
    <w:p>
      <w:pPr>
        <w:spacing w:line="232" w:lineRule="auto" w:before="1"/>
        <w:ind w:left="370" w:right="0" w:hanging="63"/>
        <w:jc w:val="left"/>
        <w:rPr>
          <w:sz w:val="18"/>
        </w:rPr>
      </w:pPr>
      <w:r>
        <w:rPr/>
        <w:br w:type="column"/>
      </w:r>
      <w:r>
        <w:rPr>
          <w:sz w:val="18"/>
        </w:rPr>
        <w:t>Child Development Fund Expenditures by Object</w:t>
      </w:r>
    </w:p>
    <w:p>
      <w:pPr>
        <w:spacing w:line="200" w:lineRule="exact" w:before="0"/>
        <w:ind w:left="0" w:right="287" w:firstLine="0"/>
        <w:jc w:val="right"/>
        <w:rPr>
          <w:sz w:val="18"/>
        </w:rPr>
      </w:pPr>
      <w:r>
        <w:rPr/>
        <w:br w:type="column"/>
      </w:r>
      <w:r>
        <w:rPr>
          <w:sz w:val="18"/>
        </w:rPr>
        <w:t>51 71456</w:t>
      </w:r>
      <w:r>
        <w:rPr>
          <w:spacing w:val="3"/>
          <w:sz w:val="18"/>
        </w:rPr>
        <w:t> </w:t>
      </w:r>
      <w:r>
        <w:rPr>
          <w:sz w:val="18"/>
        </w:rPr>
        <w:t>0000000</w:t>
      </w:r>
    </w:p>
    <w:p>
      <w:pPr>
        <w:spacing w:line="204" w:lineRule="exact" w:before="0"/>
        <w:ind w:left="0" w:right="285" w:firstLine="0"/>
        <w:jc w:val="right"/>
        <w:rPr>
          <w:sz w:val="18"/>
        </w:rPr>
      </w:pPr>
      <w:r>
        <w:rPr>
          <w:sz w:val="18"/>
        </w:rPr>
        <w:t>Form </w:t>
      </w:r>
      <w:r>
        <w:rPr>
          <w:spacing w:val="3"/>
          <w:sz w:val="18"/>
        </w:rPr>
        <w:t> </w:t>
      </w:r>
      <w:r>
        <w:rPr>
          <w:sz w:val="18"/>
        </w:rPr>
        <w:t>12</w:t>
      </w:r>
    </w:p>
    <w:p>
      <w:pPr>
        <w:spacing w:after="0" w:line="204" w:lineRule="exact"/>
        <w:jc w:val="right"/>
        <w:rPr>
          <w:sz w:val="18"/>
        </w:rPr>
        <w:sectPr>
          <w:pgSz w:w="12240" w:h="15840"/>
          <w:pgMar w:header="651" w:footer="437" w:top="840" w:bottom="620" w:left="160" w:right="180"/>
          <w:cols w:num="3" w:equalWidth="0">
            <w:col w:w="2698" w:space="1953"/>
            <w:col w:w="2348" w:space="2793"/>
            <w:col w:w="2108"/>
          </w:cols>
        </w:sectPr>
      </w:pPr>
    </w:p>
    <w:p>
      <w:pPr>
        <w:pStyle w:val="BodyText"/>
        <w:rPr>
          <w:sz w:val="20"/>
        </w:rPr>
      </w:pPr>
    </w:p>
    <w:p>
      <w:pPr>
        <w:pStyle w:val="BodyText"/>
        <w:rPr>
          <w:sz w:val="20"/>
        </w:rPr>
      </w:pPr>
    </w:p>
    <w:p>
      <w:pPr>
        <w:pStyle w:val="BodyText"/>
        <w:spacing w:before="8" w:after="1"/>
        <w:rPr>
          <w:sz w:val="26"/>
        </w:rPr>
      </w:pPr>
    </w:p>
    <w:tbl>
      <w:tblPr>
        <w:tblW w:w="0" w:type="auto"/>
        <w:jc w:val="left"/>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194"/>
        <w:gridCol w:w="1936"/>
        <w:gridCol w:w="1127"/>
        <w:gridCol w:w="1666"/>
        <w:gridCol w:w="1475"/>
        <w:gridCol w:w="981"/>
        <w:gridCol w:w="408"/>
      </w:tblGrid>
      <w:tr>
        <w:trPr>
          <w:trHeight w:val="433" w:hRule="atLeast"/>
        </w:trPr>
        <w:tc>
          <w:tcPr>
            <w:tcW w:w="3194" w:type="dxa"/>
          </w:tcPr>
          <w:p>
            <w:pPr>
              <w:pStyle w:val="TableParagraph"/>
              <w:spacing w:before="5"/>
              <w:rPr>
                <w:sz w:val="14"/>
              </w:rPr>
            </w:pPr>
          </w:p>
          <w:p>
            <w:pPr>
              <w:pStyle w:val="TableParagraph"/>
              <w:spacing w:before="1"/>
              <w:ind w:left="50"/>
              <w:rPr>
                <w:b/>
                <w:sz w:val="14"/>
              </w:rPr>
            </w:pPr>
            <w:r>
              <w:rPr>
                <w:b/>
                <w:w w:val="105"/>
                <w:sz w:val="14"/>
              </w:rPr>
              <w:t>Description</w:t>
            </w:r>
          </w:p>
        </w:tc>
        <w:tc>
          <w:tcPr>
            <w:tcW w:w="1936" w:type="dxa"/>
          </w:tcPr>
          <w:p>
            <w:pPr>
              <w:pStyle w:val="TableParagraph"/>
              <w:spacing w:before="5"/>
              <w:rPr>
                <w:sz w:val="14"/>
              </w:rPr>
            </w:pPr>
          </w:p>
          <w:p>
            <w:pPr>
              <w:pStyle w:val="TableParagraph"/>
              <w:spacing w:before="1"/>
              <w:ind w:left="649" w:right="85"/>
              <w:jc w:val="center"/>
              <w:rPr>
                <w:b/>
                <w:sz w:val="14"/>
              </w:rPr>
            </w:pPr>
            <w:r>
              <w:rPr>
                <w:b/>
                <w:w w:val="105"/>
                <w:sz w:val="14"/>
              </w:rPr>
              <w:t>Resource Codes</w:t>
            </w:r>
          </w:p>
        </w:tc>
        <w:tc>
          <w:tcPr>
            <w:tcW w:w="1127" w:type="dxa"/>
          </w:tcPr>
          <w:p>
            <w:pPr>
              <w:pStyle w:val="TableParagraph"/>
              <w:spacing w:before="5"/>
              <w:rPr>
                <w:sz w:val="14"/>
              </w:rPr>
            </w:pPr>
          </w:p>
          <w:p>
            <w:pPr>
              <w:pStyle w:val="TableParagraph"/>
              <w:spacing w:before="1"/>
              <w:ind w:left="88" w:right="48"/>
              <w:jc w:val="center"/>
              <w:rPr>
                <w:b/>
                <w:sz w:val="14"/>
              </w:rPr>
            </w:pPr>
            <w:r>
              <w:rPr>
                <w:b/>
                <w:w w:val="105"/>
                <w:sz w:val="14"/>
              </w:rPr>
              <w:t>Object Codes</w:t>
            </w:r>
          </w:p>
        </w:tc>
        <w:tc>
          <w:tcPr>
            <w:tcW w:w="1666" w:type="dxa"/>
          </w:tcPr>
          <w:p>
            <w:pPr>
              <w:pStyle w:val="TableParagraph"/>
              <w:spacing w:line="160" w:lineRule="exact"/>
              <w:ind w:left="44" w:right="301"/>
              <w:jc w:val="center"/>
              <w:rPr>
                <w:b/>
                <w:sz w:val="14"/>
              </w:rPr>
            </w:pPr>
            <w:r>
              <w:rPr>
                <w:b/>
                <w:w w:val="105"/>
                <w:sz w:val="14"/>
              </w:rPr>
              <w:t>2020-21</w:t>
            </w:r>
          </w:p>
          <w:p>
            <w:pPr>
              <w:pStyle w:val="TableParagraph"/>
              <w:spacing w:before="7"/>
              <w:ind w:left="44" w:right="304"/>
              <w:jc w:val="center"/>
              <w:rPr>
                <w:b/>
                <w:sz w:val="14"/>
              </w:rPr>
            </w:pPr>
            <w:r>
              <w:rPr>
                <w:b/>
                <w:w w:val="105"/>
                <w:sz w:val="14"/>
              </w:rPr>
              <w:t>Estimated Actuals</w:t>
            </w:r>
          </w:p>
        </w:tc>
        <w:tc>
          <w:tcPr>
            <w:tcW w:w="1475" w:type="dxa"/>
          </w:tcPr>
          <w:p>
            <w:pPr>
              <w:pStyle w:val="TableParagraph"/>
              <w:spacing w:line="160" w:lineRule="exact"/>
              <w:ind w:left="286"/>
              <w:rPr>
                <w:b/>
                <w:sz w:val="14"/>
              </w:rPr>
            </w:pPr>
            <w:r>
              <w:rPr>
                <w:b/>
                <w:w w:val="105"/>
                <w:sz w:val="14"/>
              </w:rPr>
              <w:t>2021-22</w:t>
            </w:r>
          </w:p>
          <w:p>
            <w:pPr>
              <w:pStyle w:val="TableParagraph"/>
              <w:spacing w:before="7"/>
              <w:ind w:left="298"/>
              <w:rPr>
                <w:b/>
                <w:sz w:val="14"/>
              </w:rPr>
            </w:pPr>
            <w:r>
              <w:rPr>
                <w:b/>
                <w:w w:val="105"/>
                <w:sz w:val="14"/>
              </w:rPr>
              <w:t>Budget</w:t>
            </w:r>
          </w:p>
        </w:tc>
        <w:tc>
          <w:tcPr>
            <w:tcW w:w="981" w:type="dxa"/>
          </w:tcPr>
          <w:p>
            <w:pPr>
              <w:pStyle w:val="TableParagraph"/>
              <w:spacing w:line="249" w:lineRule="auto"/>
              <w:ind w:left="249" w:right="27" w:firstLine="86"/>
              <w:rPr>
                <w:b/>
                <w:sz w:val="14"/>
              </w:rPr>
            </w:pPr>
            <w:r>
              <w:rPr>
                <w:b/>
                <w:w w:val="105"/>
                <w:sz w:val="14"/>
              </w:rPr>
              <w:t>Percent </w:t>
            </w:r>
            <w:r>
              <w:rPr>
                <w:b/>
                <w:sz w:val="14"/>
              </w:rPr>
              <w:t>Difference</w:t>
            </w:r>
          </w:p>
        </w:tc>
        <w:tc>
          <w:tcPr>
            <w:tcW w:w="408" w:type="dxa"/>
            <w:vMerge w:val="restart"/>
          </w:tcPr>
          <w:p>
            <w:pPr>
              <w:pStyle w:val="TableParagraph"/>
              <w:rPr>
                <w:rFonts w:ascii="Times New Roman"/>
                <w:sz w:val="14"/>
              </w:rPr>
            </w:pPr>
          </w:p>
        </w:tc>
      </w:tr>
      <w:tr>
        <w:trPr>
          <w:trHeight w:val="368" w:hRule="atLeast"/>
        </w:trPr>
        <w:tc>
          <w:tcPr>
            <w:tcW w:w="3194" w:type="dxa"/>
          </w:tcPr>
          <w:p>
            <w:pPr>
              <w:pStyle w:val="TableParagraph"/>
              <w:spacing w:before="103"/>
              <w:ind w:left="50"/>
              <w:rPr>
                <w:b/>
                <w:sz w:val="14"/>
              </w:rPr>
            </w:pPr>
            <w:r>
              <w:rPr>
                <w:b/>
                <w:w w:val="105"/>
                <w:sz w:val="14"/>
              </w:rPr>
              <w:t>FEDERAL REVENUE</w:t>
            </w:r>
          </w:p>
        </w:tc>
        <w:tc>
          <w:tcPr>
            <w:tcW w:w="1936" w:type="dxa"/>
          </w:tcPr>
          <w:p>
            <w:pPr>
              <w:pStyle w:val="TableParagraph"/>
              <w:rPr>
                <w:rFonts w:ascii="Times New Roman"/>
                <w:sz w:val="14"/>
              </w:rPr>
            </w:pPr>
          </w:p>
        </w:tc>
        <w:tc>
          <w:tcPr>
            <w:tcW w:w="1127" w:type="dxa"/>
          </w:tcPr>
          <w:p>
            <w:pPr>
              <w:pStyle w:val="TableParagraph"/>
              <w:rPr>
                <w:rFonts w:ascii="Times New Roman"/>
                <w:sz w:val="14"/>
              </w:rPr>
            </w:pPr>
          </w:p>
        </w:tc>
        <w:tc>
          <w:tcPr>
            <w:tcW w:w="1666" w:type="dxa"/>
          </w:tcPr>
          <w:p>
            <w:pPr>
              <w:pStyle w:val="TableParagraph"/>
              <w:rPr>
                <w:rFonts w:ascii="Times New Roman"/>
                <w:sz w:val="14"/>
              </w:rPr>
            </w:pPr>
          </w:p>
        </w:tc>
        <w:tc>
          <w:tcPr>
            <w:tcW w:w="1475" w:type="dxa"/>
          </w:tcPr>
          <w:p>
            <w:pPr>
              <w:pStyle w:val="TableParagraph"/>
              <w:rPr>
                <w:rFonts w:ascii="Times New Roman"/>
                <w:sz w:val="14"/>
              </w:rPr>
            </w:pPr>
          </w:p>
        </w:tc>
        <w:tc>
          <w:tcPr>
            <w:tcW w:w="981" w:type="dxa"/>
          </w:tcPr>
          <w:p>
            <w:pPr>
              <w:pStyle w:val="TableParagraph"/>
              <w:rPr>
                <w:rFonts w:ascii="Times New Roman"/>
                <w:sz w:val="14"/>
              </w:rPr>
            </w:pPr>
          </w:p>
        </w:tc>
        <w:tc>
          <w:tcPr>
            <w:tcW w:w="408" w:type="dxa"/>
            <w:vMerge/>
            <w:tcBorders>
              <w:top w:val="nil"/>
            </w:tcBorders>
          </w:tcPr>
          <w:p>
            <w:pPr>
              <w:rPr>
                <w:sz w:val="2"/>
                <w:szCs w:val="2"/>
              </w:rPr>
            </w:pPr>
          </w:p>
        </w:tc>
      </w:tr>
      <w:tr>
        <w:trPr>
          <w:trHeight w:val="366" w:hRule="atLeast"/>
        </w:trPr>
        <w:tc>
          <w:tcPr>
            <w:tcW w:w="3194" w:type="dxa"/>
          </w:tcPr>
          <w:p>
            <w:pPr>
              <w:pStyle w:val="TableParagraph"/>
              <w:spacing w:before="102"/>
              <w:ind w:left="131"/>
              <w:rPr>
                <w:sz w:val="14"/>
              </w:rPr>
            </w:pPr>
            <w:r>
              <w:rPr>
                <w:w w:val="105"/>
                <w:sz w:val="14"/>
              </w:rPr>
              <w:t>Child Nutrition Programs</w:t>
            </w:r>
          </w:p>
        </w:tc>
        <w:tc>
          <w:tcPr>
            <w:tcW w:w="1936" w:type="dxa"/>
          </w:tcPr>
          <w:p>
            <w:pPr>
              <w:pStyle w:val="TableParagraph"/>
              <w:rPr>
                <w:rFonts w:ascii="Times New Roman"/>
                <w:sz w:val="14"/>
              </w:rPr>
            </w:pPr>
          </w:p>
        </w:tc>
        <w:tc>
          <w:tcPr>
            <w:tcW w:w="1127" w:type="dxa"/>
          </w:tcPr>
          <w:p>
            <w:pPr>
              <w:pStyle w:val="TableParagraph"/>
              <w:spacing w:before="102"/>
              <w:ind w:left="88" w:right="47"/>
              <w:jc w:val="center"/>
              <w:rPr>
                <w:sz w:val="14"/>
              </w:rPr>
            </w:pPr>
            <w:r>
              <w:rPr>
                <w:w w:val="105"/>
                <w:sz w:val="14"/>
              </w:rPr>
              <w:t>8220</w:t>
            </w:r>
          </w:p>
        </w:tc>
        <w:tc>
          <w:tcPr>
            <w:tcW w:w="1666" w:type="dxa"/>
          </w:tcPr>
          <w:p>
            <w:pPr>
              <w:pStyle w:val="TableParagraph"/>
              <w:spacing w:before="102"/>
              <w:ind w:right="284"/>
              <w:jc w:val="right"/>
              <w:rPr>
                <w:sz w:val="14"/>
              </w:rPr>
            </w:pPr>
            <w:r>
              <w:rPr>
                <w:sz w:val="14"/>
              </w:rPr>
              <w:t>0.00</w:t>
            </w:r>
          </w:p>
        </w:tc>
        <w:tc>
          <w:tcPr>
            <w:tcW w:w="1475" w:type="dxa"/>
          </w:tcPr>
          <w:p>
            <w:pPr>
              <w:pStyle w:val="TableParagraph"/>
              <w:spacing w:before="102"/>
              <w:ind w:right="247"/>
              <w:jc w:val="right"/>
              <w:rPr>
                <w:sz w:val="14"/>
              </w:rPr>
            </w:pPr>
            <w:r>
              <w:rPr>
                <w:sz w:val="14"/>
              </w:rPr>
              <w:t>0.00</w:t>
            </w:r>
          </w:p>
        </w:tc>
        <w:tc>
          <w:tcPr>
            <w:tcW w:w="981" w:type="dxa"/>
          </w:tcPr>
          <w:p>
            <w:pPr>
              <w:pStyle w:val="TableParagraph"/>
              <w:rPr>
                <w:rFonts w:ascii="Times New Roman"/>
                <w:sz w:val="14"/>
              </w:rPr>
            </w:pPr>
          </w:p>
        </w:tc>
        <w:tc>
          <w:tcPr>
            <w:tcW w:w="408" w:type="dxa"/>
          </w:tcPr>
          <w:p>
            <w:pPr>
              <w:pStyle w:val="TableParagraph"/>
              <w:spacing w:before="102"/>
              <w:ind w:left="7" w:right="22"/>
              <w:jc w:val="center"/>
              <w:rPr>
                <w:sz w:val="14"/>
              </w:rPr>
            </w:pPr>
            <w:r>
              <w:rPr>
                <w:w w:val="105"/>
                <w:sz w:val="14"/>
              </w:rPr>
              <w:t>0.0%</w:t>
            </w:r>
          </w:p>
        </w:tc>
      </w:tr>
      <w:tr>
        <w:trPr>
          <w:trHeight w:val="369" w:hRule="atLeast"/>
        </w:trPr>
        <w:tc>
          <w:tcPr>
            <w:tcW w:w="3194" w:type="dxa"/>
          </w:tcPr>
          <w:p>
            <w:pPr>
              <w:pStyle w:val="TableParagraph"/>
              <w:spacing w:before="101"/>
              <w:ind w:left="131"/>
              <w:rPr>
                <w:sz w:val="14"/>
              </w:rPr>
            </w:pPr>
            <w:r>
              <w:rPr>
                <w:w w:val="105"/>
                <w:sz w:val="14"/>
              </w:rPr>
              <w:t>Interagency Contracts Between LEAs</w:t>
            </w:r>
          </w:p>
        </w:tc>
        <w:tc>
          <w:tcPr>
            <w:tcW w:w="1936" w:type="dxa"/>
          </w:tcPr>
          <w:p>
            <w:pPr>
              <w:pStyle w:val="TableParagraph"/>
              <w:rPr>
                <w:rFonts w:ascii="Times New Roman"/>
                <w:sz w:val="14"/>
              </w:rPr>
            </w:pPr>
          </w:p>
        </w:tc>
        <w:tc>
          <w:tcPr>
            <w:tcW w:w="1127" w:type="dxa"/>
          </w:tcPr>
          <w:p>
            <w:pPr>
              <w:pStyle w:val="TableParagraph"/>
              <w:spacing w:before="101"/>
              <w:ind w:left="88" w:right="47"/>
              <w:jc w:val="center"/>
              <w:rPr>
                <w:sz w:val="14"/>
              </w:rPr>
            </w:pPr>
            <w:r>
              <w:rPr>
                <w:w w:val="105"/>
                <w:sz w:val="14"/>
              </w:rPr>
              <w:t>8285</w:t>
            </w:r>
          </w:p>
        </w:tc>
        <w:tc>
          <w:tcPr>
            <w:tcW w:w="1666" w:type="dxa"/>
          </w:tcPr>
          <w:p>
            <w:pPr>
              <w:pStyle w:val="TableParagraph"/>
              <w:spacing w:before="101"/>
              <w:ind w:right="284"/>
              <w:jc w:val="right"/>
              <w:rPr>
                <w:sz w:val="14"/>
              </w:rPr>
            </w:pPr>
            <w:r>
              <w:rPr>
                <w:sz w:val="14"/>
              </w:rPr>
              <w:t>0.00</w:t>
            </w:r>
          </w:p>
        </w:tc>
        <w:tc>
          <w:tcPr>
            <w:tcW w:w="1475" w:type="dxa"/>
          </w:tcPr>
          <w:p>
            <w:pPr>
              <w:pStyle w:val="TableParagraph"/>
              <w:spacing w:before="101"/>
              <w:ind w:right="247"/>
              <w:jc w:val="right"/>
              <w:rPr>
                <w:sz w:val="14"/>
              </w:rPr>
            </w:pPr>
            <w:r>
              <w:rPr>
                <w:sz w:val="14"/>
              </w:rPr>
              <w:t>0.00</w:t>
            </w:r>
          </w:p>
        </w:tc>
        <w:tc>
          <w:tcPr>
            <w:tcW w:w="981" w:type="dxa"/>
          </w:tcPr>
          <w:p>
            <w:pPr>
              <w:pStyle w:val="TableParagraph"/>
              <w:rPr>
                <w:rFonts w:ascii="Times New Roman"/>
                <w:sz w:val="14"/>
              </w:rPr>
            </w:pPr>
          </w:p>
        </w:tc>
        <w:tc>
          <w:tcPr>
            <w:tcW w:w="408" w:type="dxa"/>
          </w:tcPr>
          <w:p>
            <w:pPr>
              <w:pStyle w:val="TableParagraph"/>
              <w:spacing w:before="101"/>
              <w:ind w:left="7" w:right="22"/>
              <w:jc w:val="center"/>
              <w:rPr>
                <w:sz w:val="14"/>
              </w:rPr>
            </w:pPr>
            <w:r>
              <w:rPr>
                <w:w w:val="105"/>
                <w:sz w:val="14"/>
              </w:rPr>
              <w:t>0.0%</w:t>
            </w:r>
          </w:p>
        </w:tc>
      </w:tr>
      <w:tr>
        <w:trPr>
          <w:trHeight w:val="369" w:hRule="atLeast"/>
        </w:trPr>
        <w:tc>
          <w:tcPr>
            <w:tcW w:w="3194" w:type="dxa"/>
          </w:tcPr>
          <w:p>
            <w:pPr>
              <w:pStyle w:val="TableParagraph"/>
              <w:spacing w:before="105"/>
              <w:ind w:left="131"/>
              <w:rPr>
                <w:sz w:val="14"/>
              </w:rPr>
            </w:pPr>
            <w:r>
              <w:rPr>
                <w:w w:val="105"/>
                <w:sz w:val="14"/>
              </w:rPr>
              <w:t>Title I, Part A, Basic</w:t>
            </w:r>
          </w:p>
        </w:tc>
        <w:tc>
          <w:tcPr>
            <w:tcW w:w="1936" w:type="dxa"/>
          </w:tcPr>
          <w:p>
            <w:pPr>
              <w:pStyle w:val="TableParagraph"/>
              <w:spacing w:before="105"/>
              <w:ind w:left="649" w:right="84"/>
              <w:jc w:val="center"/>
              <w:rPr>
                <w:sz w:val="14"/>
              </w:rPr>
            </w:pPr>
            <w:r>
              <w:rPr>
                <w:w w:val="105"/>
                <w:sz w:val="14"/>
              </w:rPr>
              <w:t>3010</w:t>
            </w:r>
          </w:p>
        </w:tc>
        <w:tc>
          <w:tcPr>
            <w:tcW w:w="1127" w:type="dxa"/>
          </w:tcPr>
          <w:p>
            <w:pPr>
              <w:pStyle w:val="TableParagraph"/>
              <w:spacing w:before="105"/>
              <w:ind w:left="88" w:right="47"/>
              <w:jc w:val="center"/>
              <w:rPr>
                <w:sz w:val="14"/>
              </w:rPr>
            </w:pPr>
            <w:r>
              <w:rPr>
                <w:w w:val="105"/>
                <w:sz w:val="14"/>
              </w:rPr>
              <w:t>8290</w:t>
            </w:r>
          </w:p>
        </w:tc>
        <w:tc>
          <w:tcPr>
            <w:tcW w:w="1666" w:type="dxa"/>
          </w:tcPr>
          <w:p>
            <w:pPr>
              <w:pStyle w:val="TableParagraph"/>
              <w:spacing w:before="105"/>
              <w:ind w:right="284"/>
              <w:jc w:val="right"/>
              <w:rPr>
                <w:sz w:val="14"/>
              </w:rPr>
            </w:pPr>
            <w:r>
              <w:rPr>
                <w:sz w:val="14"/>
              </w:rPr>
              <w:t>0.00</w:t>
            </w:r>
          </w:p>
        </w:tc>
        <w:tc>
          <w:tcPr>
            <w:tcW w:w="1475" w:type="dxa"/>
          </w:tcPr>
          <w:p>
            <w:pPr>
              <w:pStyle w:val="TableParagraph"/>
              <w:spacing w:before="105"/>
              <w:ind w:right="247"/>
              <w:jc w:val="right"/>
              <w:rPr>
                <w:sz w:val="14"/>
              </w:rPr>
            </w:pPr>
            <w:r>
              <w:rPr>
                <w:sz w:val="14"/>
              </w:rPr>
              <w:t>0.00</w:t>
            </w:r>
          </w:p>
        </w:tc>
        <w:tc>
          <w:tcPr>
            <w:tcW w:w="981" w:type="dxa"/>
          </w:tcPr>
          <w:p>
            <w:pPr>
              <w:pStyle w:val="TableParagraph"/>
              <w:rPr>
                <w:rFonts w:ascii="Times New Roman"/>
                <w:sz w:val="14"/>
              </w:rPr>
            </w:pPr>
          </w:p>
        </w:tc>
        <w:tc>
          <w:tcPr>
            <w:tcW w:w="408" w:type="dxa"/>
          </w:tcPr>
          <w:p>
            <w:pPr>
              <w:pStyle w:val="TableParagraph"/>
              <w:spacing w:before="105"/>
              <w:ind w:left="7" w:right="22"/>
              <w:jc w:val="center"/>
              <w:rPr>
                <w:sz w:val="14"/>
              </w:rPr>
            </w:pPr>
            <w:r>
              <w:rPr>
                <w:w w:val="105"/>
                <w:sz w:val="14"/>
              </w:rPr>
              <w:t>0.0%</w:t>
            </w:r>
          </w:p>
        </w:tc>
      </w:tr>
      <w:tr>
        <w:trPr>
          <w:trHeight w:val="364" w:hRule="atLeast"/>
        </w:trPr>
        <w:tc>
          <w:tcPr>
            <w:tcW w:w="3194" w:type="dxa"/>
          </w:tcPr>
          <w:p>
            <w:pPr>
              <w:pStyle w:val="TableParagraph"/>
              <w:spacing w:before="101"/>
              <w:ind w:left="131"/>
              <w:rPr>
                <w:sz w:val="14"/>
              </w:rPr>
            </w:pPr>
            <w:r>
              <w:rPr>
                <w:w w:val="105"/>
                <w:sz w:val="14"/>
              </w:rPr>
              <w:t>All Other Federal Revenue</w:t>
            </w:r>
          </w:p>
        </w:tc>
        <w:tc>
          <w:tcPr>
            <w:tcW w:w="1936" w:type="dxa"/>
          </w:tcPr>
          <w:p>
            <w:pPr>
              <w:pStyle w:val="TableParagraph"/>
              <w:spacing w:before="101"/>
              <w:ind w:left="649" w:right="83"/>
              <w:jc w:val="center"/>
              <w:rPr>
                <w:sz w:val="14"/>
              </w:rPr>
            </w:pPr>
            <w:r>
              <w:rPr>
                <w:w w:val="105"/>
                <w:sz w:val="14"/>
              </w:rPr>
              <w:t>All Other</w:t>
            </w:r>
          </w:p>
        </w:tc>
        <w:tc>
          <w:tcPr>
            <w:tcW w:w="1127" w:type="dxa"/>
          </w:tcPr>
          <w:p>
            <w:pPr>
              <w:pStyle w:val="TableParagraph"/>
              <w:spacing w:before="101"/>
              <w:ind w:left="88" w:right="47"/>
              <w:jc w:val="center"/>
              <w:rPr>
                <w:sz w:val="14"/>
              </w:rPr>
            </w:pPr>
            <w:r>
              <w:rPr>
                <w:w w:val="105"/>
                <w:sz w:val="14"/>
              </w:rPr>
              <w:t>8290</w:t>
            </w:r>
          </w:p>
        </w:tc>
        <w:tc>
          <w:tcPr>
            <w:tcW w:w="1666" w:type="dxa"/>
          </w:tcPr>
          <w:p>
            <w:pPr>
              <w:pStyle w:val="TableParagraph"/>
              <w:spacing w:before="101"/>
              <w:ind w:right="284"/>
              <w:jc w:val="right"/>
              <w:rPr>
                <w:sz w:val="14"/>
              </w:rPr>
            </w:pPr>
            <w:r>
              <w:rPr>
                <w:sz w:val="14"/>
              </w:rPr>
              <w:t>0.00</w:t>
            </w:r>
          </w:p>
        </w:tc>
        <w:tc>
          <w:tcPr>
            <w:tcW w:w="1475" w:type="dxa"/>
          </w:tcPr>
          <w:p>
            <w:pPr>
              <w:pStyle w:val="TableParagraph"/>
              <w:spacing w:before="101"/>
              <w:ind w:right="247"/>
              <w:jc w:val="right"/>
              <w:rPr>
                <w:sz w:val="14"/>
              </w:rPr>
            </w:pPr>
            <w:r>
              <w:rPr>
                <w:sz w:val="14"/>
              </w:rPr>
              <w:t>0.00</w:t>
            </w:r>
          </w:p>
        </w:tc>
        <w:tc>
          <w:tcPr>
            <w:tcW w:w="981" w:type="dxa"/>
          </w:tcPr>
          <w:p>
            <w:pPr>
              <w:pStyle w:val="TableParagraph"/>
              <w:rPr>
                <w:rFonts w:ascii="Times New Roman"/>
                <w:sz w:val="14"/>
              </w:rPr>
            </w:pPr>
          </w:p>
        </w:tc>
        <w:tc>
          <w:tcPr>
            <w:tcW w:w="408" w:type="dxa"/>
          </w:tcPr>
          <w:p>
            <w:pPr>
              <w:pStyle w:val="TableParagraph"/>
              <w:spacing w:before="101"/>
              <w:ind w:left="7" w:right="22"/>
              <w:jc w:val="center"/>
              <w:rPr>
                <w:sz w:val="14"/>
              </w:rPr>
            </w:pPr>
            <w:r>
              <w:rPr>
                <w:w w:val="105"/>
                <w:sz w:val="14"/>
              </w:rPr>
              <w:t>0.0%</w:t>
            </w:r>
          </w:p>
        </w:tc>
      </w:tr>
      <w:tr>
        <w:trPr>
          <w:trHeight w:val="368" w:hRule="atLeast"/>
        </w:trPr>
        <w:tc>
          <w:tcPr>
            <w:tcW w:w="3194" w:type="dxa"/>
          </w:tcPr>
          <w:p>
            <w:pPr>
              <w:pStyle w:val="TableParagraph"/>
              <w:spacing w:before="101"/>
              <w:ind w:left="131"/>
              <w:rPr>
                <w:sz w:val="14"/>
              </w:rPr>
            </w:pPr>
            <w:r>
              <w:rPr>
                <w:w w:val="105"/>
                <w:sz w:val="14"/>
              </w:rPr>
              <w:t>TOTAL, FEDERAL REVENUE</w:t>
            </w:r>
          </w:p>
        </w:tc>
        <w:tc>
          <w:tcPr>
            <w:tcW w:w="1936" w:type="dxa"/>
          </w:tcPr>
          <w:p>
            <w:pPr>
              <w:pStyle w:val="TableParagraph"/>
              <w:rPr>
                <w:rFonts w:ascii="Times New Roman"/>
                <w:sz w:val="14"/>
              </w:rPr>
            </w:pPr>
          </w:p>
        </w:tc>
        <w:tc>
          <w:tcPr>
            <w:tcW w:w="1127" w:type="dxa"/>
          </w:tcPr>
          <w:p>
            <w:pPr>
              <w:pStyle w:val="TableParagraph"/>
              <w:rPr>
                <w:rFonts w:ascii="Times New Roman"/>
                <w:sz w:val="14"/>
              </w:rPr>
            </w:pPr>
          </w:p>
        </w:tc>
        <w:tc>
          <w:tcPr>
            <w:tcW w:w="1666" w:type="dxa"/>
          </w:tcPr>
          <w:p>
            <w:pPr>
              <w:pStyle w:val="TableParagraph"/>
              <w:spacing w:before="101"/>
              <w:ind w:right="284"/>
              <w:jc w:val="right"/>
              <w:rPr>
                <w:sz w:val="14"/>
              </w:rPr>
            </w:pPr>
            <w:r>
              <w:rPr>
                <w:sz w:val="14"/>
              </w:rPr>
              <w:t>0.00</w:t>
            </w:r>
          </w:p>
        </w:tc>
        <w:tc>
          <w:tcPr>
            <w:tcW w:w="1475" w:type="dxa"/>
          </w:tcPr>
          <w:p>
            <w:pPr>
              <w:pStyle w:val="TableParagraph"/>
              <w:spacing w:before="101"/>
              <w:ind w:right="247"/>
              <w:jc w:val="right"/>
              <w:rPr>
                <w:sz w:val="14"/>
              </w:rPr>
            </w:pPr>
            <w:r>
              <w:rPr>
                <w:sz w:val="14"/>
              </w:rPr>
              <w:t>0.00</w:t>
            </w:r>
          </w:p>
        </w:tc>
        <w:tc>
          <w:tcPr>
            <w:tcW w:w="981" w:type="dxa"/>
          </w:tcPr>
          <w:p>
            <w:pPr>
              <w:pStyle w:val="TableParagraph"/>
              <w:rPr>
                <w:rFonts w:ascii="Times New Roman"/>
                <w:sz w:val="14"/>
              </w:rPr>
            </w:pPr>
          </w:p>
        </w:tc>
        <w:tc>
          <w:tcPr>
            <w:tcW w:w="408" w:type="dxa"/>
          </w:tcPr>
          <w:p>
            <w:pPr>
              <w:pStyle w:val="TableParagraph"/>
              <w:spacing w:before="101"/>
              <w:ind w:left="7" w:right="22"/>
              <w:jc w:val="center"/>
              <w:rPr>
                <w:sz w:val="14"/>
              </w:rPr>
            </w:pPr>
            <w:r>
              <w:rPr>
                <w:w w:val="105"/>
                <w:sz w:val="14"/>
              </w:rPr>
              <w:t>0.0%</w:t>
            </w:r>
          </w:p>
        </w:tc>
      </w:tr>
      <w:tr>
        <w:trPr>
          <w:trHeight w:val="369" w:hRule="atLeast"/>
        </w:trPr>
        <w:tc>
          <w:tcPr>
            <w:tcW w:w="3194" w:type="dxa"/>
          </w:tcPr>
          <w:p>
            <w:pPr>
              <w:pStyle w:val="TableParagraph"/>
              <w:spacing w:before="104"/>
              <w:ind w:left="50"/>
              <w:rPr>
                <w:b/>
                <w:sz w:val="14"/>
              </w:rPr>
            </w:pPr>
            <w:r>
              <w:rPr>
                <w:b/>
                <w:w w:val="105"/>
                <w:sz w:val="14"/>
              </w:rPr>
              <w:t>OTHER STATE REVENUE</w:t>
            </w:r>
          </w:p>
        </w:tc>
        <w:tc>
          <w:tcPr>
            <w:tcW w:w="1936" w:type="dxa"/>
          </w:tcPr>
          <w:p>
            <w:pPr>
              <w:pStyle w:val="TableParagraph"/>
              <w:rPr>
                <w:rFonts w:ascii="Times New Roman"/>
                <w:sz w:val="14"/>
              </w:rPr>
            </w:pPr>
          </w:p>
        </w:tc>
        <w:tc>
          <w:tcPr>
            <w:tcW w:w="1127" w:type="dxa"/>
          </w:tcPr>
          <w:p>
            <w:pPr>
              <w:pStyle w:val="TableParagraph"/>
              <w:rPr>
                <w:rFonts w:ascii="Times New Roman"/>
                <w:sz w:val="14"/>
              </w:rPr>
            </w:pPr>
          </w:p>
        </w:tc>
        <w:tc>
          <w:tcPr>
            <w:tcW w:w="1666" w:type="dxa"/>
          </w:tcPr>
          <w:p>
            <w:pPr>
              <w:pStyle w:val="TableParagraph"/>
              <w:rPr>
                <w:rFonts w:ascii="Times New Roman"/>
                <w:sz w:val="14"/>
              </w:rPr>
            </w:pPr>
          </w:p>
        </w:tc>
        <w:tc>
          <w:tcPr>
            <w:tcW w:w="1475" w:type="dxa"/>
          </w:tcPr>
          <w:p>
            <w:pPr>
              <w:pStyle w:val="TableParagraph"/>
              <w:rPr>
                <w:rFonts w:ascii="Times New Roman"/>
                <w:sz w:val="14"/>
              </w:rPr>
            </w:pPr>
          </w:p>
        </w:tc>
        <w:tc>
          <w:tcPr>
            <w:tcW w:w="981" w:type="dxa"/>
          </w:tcPr>
          <w:p>
            <w:pPr>
              <w:pStyle w:val="TableParagraph"/>
              <w:rPr>
                <w:rFonts w:ascii="Times New Roman"/>
                <w:sz w:val="14"/>
              </w:rPr>
            </w:pPr>
          </w:p>
        </w:tc>
        <w:tc>
          <w:tcPr>
            <w:tcW w:w="408" w:type="dxa"/>
          </w:tcPr>
          <w:p>
            <w:pPr>
              <w:pStyle w:val="TableParagraph"/>
              <w:rPr>
                <w:rFonts w:ascii="Times New Roman"/>
                <w:sz w:val="14"/>
              </w:rPr>
            </w:pPr>
          </w:p>
        </w:tc>
      </w:tr>
      <w:tr>
        <w:trPr>
          <w:trHeight w:val="365" w:hRule="atLeast"/>
        </w:trPr>
        <w:tc>
          <w:tcPr>
            <w:tcW w:w="3194" w:type="dxa"/>
          </w:tcPr>
          <w:p>
            <w:pPr>
              <w:pStyle w:val="TableParagraph"/>
              <w:spacing w:before="102"/>
              <w:ind w:left="213"/>
              <w:rPr>
                <w:sz w:val="14"/>
              </w:rPr>
            </w:pPr>
            <w:r>
              <w:rPr>
                <w:w w:val="105"/>
                <w:sz w:val="14"/>
              </w:rPr>
              <w:t>Child Nutrition Programs</w:t>
            </w:r>
          </w:p>
        </w:tc>
        <w:tc>
          <w:tcPr>
            <w:tcW w:w="1936" w:type="dxa"/>
          </w:tcPr>
          <w:p>
            <w:pPr>
              <w:pStyle w:val="TableParagraph"/>
              <w:rPr>
                <w:rFonts w:ascii="Times New Roman"/>
                <w:sz w:val="14"/>
              </w:rPr>
            </w:pPr>
          </w:p>
        </w:tc>
        <w:tc>
          <w:tcPr>
            <w:tcW w:w="1127" w:type="dxa"/>
          </w:tcPr>
          <w:p>
            <w:pPr>
              <w:pStyle w:val="TableParagraph"/>
              <w:spacing w:before="102"/>
              <w:ind w:left="88" w:right="47"/>
              <w:jc w:val="center"/>
              <w:rPr>
                <w:sz w:val="14"/>
              </w:rPr>
            </w:pPr>
            <w:r>
              <w:rPr>
                <w:w w:val="105"/>
                <w:sz w:val="14"/>
              </w:rPr>
              <w:t>8520</w:t>
            </w:r>
          </w:p>
        </w:tc>
        <w:tc>
          <w:tcPr>
            <w:tcW w:w="1666" w:type="dxa"/>
          </w:tcPr>
          <w:p>
            <w:pPr>
              <w:pStyle w:val="TableParagraph"/>
              <w:spacing w:before="102"/>
              <w:ind w:right="284"/>
              <w:jc w:val="right"/>
              <w:rPr>
                <w:sz w:val="14"/>
              </w:rPr>
            </w:pPr>
            <w:r>
              <w:rPr>
                <w:sz w:val="14"/>
              </w:rPr>
              <w:t>0.00</w:t>
            </w:r>
          </w:p>
        </w:tc>
        <w:tc>
          <w:tcPr>
            <w:tcW w:w="1475" w:type="dxa"/>
          </w:tcPr>
          <w:p>
            <w:pPr>
              <w:pStyle w:val="TableParagraph"/>
              <w:spacing w:before="102"/>
              <w:ind w:right="247"/>
              <w:jc w:val="right"/>
              <w:rPr>
                <w:sz w:val="14"/>
              </w:rPr>
            </w:pPr>
            <w:r>
              <w:rPr>
                <w:sz w:val="14"/>
              </w:rPr>
              <w:t>0.00</w:t>
            </w:r>
          </w:p>
        </w:tc>
        <w:tc>
          <w:tcPr>
            <w:tcW w:w="981" w:type="dxa"/>
          </w:tcPr>
          <w:p>
            <w:pPr>
              <w:pStyle w:val="TableParagraph"/>
              <w:rPr>
                <w:rFonts w:ascii="Times New Roman"/>
                <w:sz w:val="14"/>
              </w:rPr>
            </w:pPr>
          </w:p>
        </w:tc>
        <w:tc>
          <w:tcPr>
            <w:tcW w:w="408" w:type="dxa"/>
          </w:tcPr>
          <w:p>
            <w:pPr>
              <w:pStyle w:val="TableParagraph"/>
              <w:spacing w:before="102"/>
              <w:ind w:left="7" w:right="22"/>
              <w:jc w:val="center"/>
              <w:rPr>
                <w:sz w:val="14"/>
              </w:rPr>
            </w:pPr>
            <w:r>
              <w:rPr>
                <w:w w:val="105"/>
                <w:sz w:val="14"/>
              </w:rPr>
              <w:t>0.0%</w:t>
            </w:r>
          </w:p>
        </w:tc>
      </w:tr>
      <w:tr>
        <w:trPr>
          <w:trHeight w:val="364" w:hRule="atLeast"/>
        </w:trPr>
        <w:tc>
          <w:tcPr>
            <w:tcW w:w="3194" w:type="dxa"/>
          </w:tcPr>
          <w:p>
            <w:pPr>
              <w:pStyle w:val="TableParagraph"/>
              <w:spacing w:before="101"/>
              <w:ind w:left="213"/>
              <w:rPr>
                <w:sz w:val="14"/>
              </w:rPr>
            </w:pPr>
            <w:r>
              <w:rPr>
                <w:w w:val="105"/>
                <w:sz w:val="14"/>
              </w:rPr>
              <w:t>Child Development Apportionments</w:t>
            </w:r>
          </w:p>
        </w:tc>
        <w:tc>
          <w:tcPr>
            <w:tcW w:w="1936" w:type="dxa"/>
          </w:tcPr>
          <w:p>
            <w:pPr>
              <w:pStyle w:val="TableParagraph"/>
              <w:rPr>
                <w:rFonts w:ascii="Times New Roman"/>
                <w:sz w:val="14"/>
              </w:rPr>
            </w:pPr>
          </w:p>
        </w:tc>
        <w:tc>
          <w:tcPr>
            <w:tcW w:w="1127" w:type="dxa"/>
          </w:tcPr>
          <w:p>
            <w:pPr>
              <w:pStyle w:val="TableParagraph"/>
              <w:spacing w:before="101"/>
              <w:ind w:left="88" w:right="47"/>
              <w:jc w:val="center"/>
              <w:rPr>
                <w:sz w:val="14"/>
              </w:rPr>
            </w:pPr>
            <w:r>
              <w:rPr>
                <w:w w:val="105"/>
                <w:sz w:val="14"/>
              </w:rPr>
              <w:t>8530</w:t>
            </w:r>
          </w:p>
        </w:tc>
        <w:tc>
          <w:tcPr>
            <w:tcW w:w="1666" w:type="dxa"/>
          </w:tcPr>
          <w:p>
            <w:pPr>
              <w:pStyle w:val="TableParagraph"/>
              <w:spacing w:before="101"/>
              <w:ind w:right="284"/>
              <w:jc w:val="right"/>
              <w:rPr>
                <w:sz w:val="14"/>
              </w:rPr>
            </w:pPr>
            <w:r>
              <w:rPr>
                <w:sz w:val="14"/>
              </w:rPr>
              <w:t>0.00</w:t>
            </w:r>
          </w:p>
        </w:tc>
        <w:tc>
          <w:tcPr>
            <w:tcW w:w="1475" w:type="dxa"/>
          </w:tcPr>
          <w:p>
            <w:pPr>
              <w:pStyle w:val="TableParagraph"/>
              <w:spacing w:before="101"/>
              <w:ind w:right="247"/>
              <w:jc w:val="right"/>
              <w:rPr>
                <w:sz w:val="14"/>
              </w:rPr>
            </w:pPr>
            <w:r>
              <w:rPr>
                <w:sz w:val="14"/>
              </w:rPr>
              <w:t>0.00</w:t>
            </w:r>
          </w:p>
        </w:tc>
        <w:tc>
          <w:tcPr>
            <w:tcW w:w="981" w:type="dxa"/>
          </w:tcPr>
          <w:p>
            <w:pPr>
              <w:pStyle w:val="TableParagraph"/>
              <w:rPr>
                <w:rFonts w:ascii="Times New Roman"/>
                <w:sz w:val="14"/>
              </w:rPr>
            </w:pPr>
          </w:p>
        </w:tc>
        <w:tc>
          <w:tcPr>
            <w:tcW w:w="408" w:type="dxa"/>
          </w:tcPr>
          <w:p>
            <w:pPr>
              <w:pStyle w:val="TableParagraph"/>
              <w:spacing w:before="101"/>
              <w:ind w:left="7" w:right="22"/>
              <w:jc w:val="center"/>
              <w:rPr>
                <w:sz w:val="14"/>
              </w:rPr>
            </w:pPr>
            <w:r>
              <w:rPr>
                <w:w w:val="105"/>
                <w:sz w:val="14"/>
              </w:rPr>
              <w:t>0.0%</w:t>
            </w:r>
          </w:p>
        </w:tc>
      </w:tr>
      <w:tr>
        <w:trPr>
          <w:trHeight w:val="561" w:hRule="atLeast"/>
        </w:trPr>
        <w:tc>
          <w:tcPr>
            <w:tcW w:w="3194" w:type="dxa"/>
          </w:tcPr>
          <w:p>
            <w:pPr>
              <w:pStyle w:val="TableParagraph"/>
              <w:spacing w:line="292" w:lineRule="auto" w:before="101"/>
              <w:ind w:left="253" w:right="1000" w:hanging="40"/>
              <w:rPr>
                <w:sz w:val="14"/>
              </w:rPr>
            </w:pPr>
            <w:r>
              <w:rPr>
                <w:w w:val="105"/>
                <w:sz w:val="14"/>
              </w:rPr>
              <w:t>Pass-Through Revenues from State Sources</w:t>
            </w:r>
          </w:p>
        </w:tc>
        <w:tc>
          <w:tcPr>
            <w:tcW w:w="1936" w:type="dxa"/>
          </w:tcPr>
          <w:p>
            <w:pPr>
              <w:pStyle w:val="TableParagraph"/>
              <w:rPr>
                <w:rFonts w:ascii="Times New Roman"/>
                <w:sz w:val="14"/>
              </w:rPr>
            </w:pPr>
          </w:p>
        </w:tc>
        <w:tc>
          <w:tcPr>
            <w:tcW w:w="1127" w:type="dxa"/>
          </w:tcPr>
          <w:p>
            <w:pPr>
              <w:pStyle w:val="TableParagraph"/>
              <w:rPr>
                <w:sz w:val="16"/>
              </w:rPr>
            </w:pPr>
          </w:p>
          <w:p>
            <w:pPr>
              <w:pStyle w:val="TableParagraph"/>
              <w:spacing w:before="113"/>
              <w:ind w:left="88" w:right="47"/>
              <w:jc w:val="center"/>
              <w:rPr>
                <w:sz w:val="14"/>
              </w:rPr>
            </w:pPr>
            <w:r>
              <w:rPr>
                <w:w w:val="105"/>
                <w:sz w:val="14"/>
              </w:rPr>
              <w:t>8587</w:t>
            </w:r>
          </w:p>
        </w:tc>
        <w:tc>
          <w:tcPr>
            <w:tcW w:w="1666" w:type="dxa"/>
          </w:tcPr>
          <w:p>
            <w:pPr>
              <w:pStyle w:val="TableParagraph"/>
              <w:rPr>
                <w:sz w:val="16"/>
              </w:rPr>
            </w:pPr>
          </w:p>
          <w:p>
            <w:pPr>
              <w:pStyle w:val="TableParagraph"/>
              <w:spacing w:before="113"/>
              <w:ind w:right="284"/>
              <w:jc w:val="right"/>
              <w:rPr>
                <w:sz w:val="14"/>
              </w:rPr>
            </w:pPr>
            <w:r>
              <w:rPr>
                <w:sz w:val="14"/>
              </w:rPr>
              <w:t>0.00</w:t>
            </w:r>
          </w:p>
        </w:tc>
        <w:tc>
          <w:tcPr>
            <w:tcW w:w="1475" w:type="dxa"/>
          </w:tcPr>
          <w:p>
            <w:pPr>
              <w:pStyle w:val="TableParagraph"/>
              <w:rPr>
                <w:sz w:val="16"/>
              </w:rPr>
            </w:pPr>
          </w:p>
          <w:p>
            <w:pPr>
              <w:pStyle w:val="TableParagraph"/>
              <w:spacing w:before="113"/>
              <w:ind w:right="247"/>
              <w:jc w:val="right"/>
              <w:rPr>
                <w:sz w:val="14"/>
              </w:rPr>
            </w:pPr>
            <w:r>
              <w:rPr>
                <w:sz w:val="14"/>
              </w:rPr>
              <w:t>0.00</w:t>
            </w:r>
          </w:p>
        </w:tc>
        <w:tc>
          <w:tcPr>
            <w:tcW w:w="981" w:type="dxa"/>
          </w:tcPr>
          <w:p>
            <w:pPr>
              <w:pStyle w:val="TableParagraph"/>
              <w:rPr>
                <w:rFonts w:ascii="Times New Roman"/>
                <w:sz w:val="14"/>
              </w:rPr>
            </w:pPr>
          </w:p>
        </w:tc>
        <w:tc>
          <w:tcPr>
            <w:tcW w:w="408" w:type="dxa"/>
          </w:tcPr>
          <w:p>
            <w:pPr>
              <w:pStyle w:val="TableParagraph"/>
              <w:rPr>
                <w:sz w:val="16"/>
              </w:rPr>
            </w:pPr>
          </w:p>
          <w:p>
            <w:pPr>
              <w:pStyle w:val="TableParagraph"/>
              <w:spacing w:before="113"/>
              <w:ind w:left="7" w:right="22"/>
              <w:jc w:val="center"/>
              <w:rPr>
                <w:sz w:val="14"/>
              </w:rPr>
            </w:pPr>
            <w:r>
              <w:rPr>
                <w:w w:val="105"/>
                <w:sz w:val="14"/>
              </w:rPr>
              <w:t>0.0%</w:t>
            </w:r>
          </w:p>
        </w:tc>
      </w:tr>
      <w:tr>
        <w:trPr>
          <w:trHeight w:val="364" w:hRule="atLeast"/>
        </w:trPr>
        <w:tc>
          <w:tcPr>
            <w:tcW w:w="3194" w:type="dxa"/>
          </w:tcPr>
          <w:p>
            <w:pPr>
              <w:pStyle w:val="TableParagraph"/>
              <w:spacing w:before="101"/>
              <w:ind w:left="213"/>
              <w:rPr>
                <w:sz w:val="14"/>
              </w:rPr>
            </w:pPr>
            <w:r>
              <w:rPr>
                <w:w w:val="105"/>
                <w:sz w:val="14"/>
              </w:rPr>
              <w:t>State Preschool</w:t>
            </w:r>
          </w:p>
        </w:tc>
        <w:tc>
          <w:tcPr>
            <w:tcW w:w="1936" w:type="dxa"/>
          </w:tcPr>
          <w:p>
            <w:pPr>
              <w:pStyle w:val="TableParagraph"/>
              <w:spacing w:before="101"/>
              <w:ind w:left="649" w:right="84"/>
              <w:jc w:val="center"/>
              <w:rPr>
                <w:sz w:val="14"/>
              </w:rPr>
            </w:pPr>
            <w:r>
              <w:rPr>
                <w:w w:val="105"/>
                <w:sz w:val="14"/>
              </w:rPr>
              <w:t>6105</w:t>
            </w:r>
          </w:p>
        </w:tc>
        <w:tc>
          <w:tcPr>
            <w:tcW w:w="1127" w:type="dxa"/>
          </w:tcPr>
          <w:p>
            <w:pPr>
              <w:pStyle w:val="TableParagraph"/>
              <w:spacing w:before="101"/>
              <w:ind w:left="88" w:right="47"/>
              <w:jc w:val="center"/>
              <w:rPr>
                <w:sz w:val="14"/>
              </w:rPr>
            </w:pPr>
            <w:r>
              <w:rPr>
                <w:w w:val="105"/>
                <w:sz w:val="14"/>
              </w:rPr>
              <w:t>8590</w:t>
            </w:r>
          </w:p>
        </w:tc>
        <w:tc>
          <w:tcPr>
            <w:tcW w:w="1666" w:type="dxa"/>
          </w:tcPr>
          <w:p>
            <w:pPr>
              <w:pStyle w:val="TableParagraph"/>
              <w:spacing w:before="101"/>
              <w:ind w:right="284"/>
              <w:jc w:val="right"/>
              <w:rPr>
                <w:sz w:val="14"/>
              </w:rPr>
            </w:pPr>
            <w:r>
              <w:rPr>
                <w:sz w:val="14"/>
              </w:rPr>
              <w:t>0.00</w:t>
            </w:r>
          </w:p>
        </w:tc>
        <w:tc>
          <w:tcPr>
            <w:tcW w:w="1475" w:type="dxa"/>
          </w:tcPr>
          <w:p>
            <w:pPr>
              <w:pStyle w:val="TableParagraph"/>
              <w:spacing w:before="101"/>
              <w:ind w:right="247"/>
              <w:jc w:val="right"/>
              <w:rPr>
                <w:sz w:val="14"/>
              </w:rPr>
            </w:pPr>
            <w:r>
              <w:rPr>
                <w:sz w:val="14"/>
              </w:rPr>
              <w:t>0.00</w:t>
            </w:r>
          </w:p>
        </w:tc>
        <w:tc>
          <w:tcPr>
            <w:tcW w:w="981" w:type="dxa"/>
          </w:tcPr>
          <w:p>
            <w:pPr>
              <w:pStyle w:val="TableParagraph"/>
              <w:rPr>
                <w:rFonts w:ascii="Times New Roman"/>
                <w:sz w:val="14"/>
              </w:rPr>
            </w:pPr>
          </w:p>
        </w:tc>
        <w:tc>
          <w:tcPr>
            <w:tcW w:w="408" w:type="dxa"/>
          </w:tcPr>
          <w:p>
            <w:pPr>
              <w:pStyle w:val="TableParagraph"/>
              <w:spacing w:before="101"/>
              <w:ind w:left="7" w:right="22"/>
              <w:jc w:val="center"/>
              <w:rPr>
                <w:sz w:val="14"/>
              </w:rPr>
            </w:pPr>
            <w:r>
              <w:rPr>
                <w:w w:val="105"/>
                <w:sz w:val="14"/>
              </w:rPr>
              <w:t>0.0%</w:t>
            </w:r>
          </w:p>
        </w:tc>
      </w:tr>
      <w:tr>
        <w:trPr>
          <w:trHeight w:val="370" w:hRule="atLeast"/>
        </w:trPr>
        <w:tc>
          <w:tcPr>
            <w:tcW w:w="3194" w:type="dxa"/>
          </w:tcPr>
          <w:p>
            <w:pPr>
              <w:pStyle w:val="TableParagraph"/>
              <w:spacing w:before="101"/>
              <w:ind w:left="213"/>
              <w:rPr>
                <w:sz w:val="14"/>
              </w:rPr>
            </w:pPr>
            <w:r>
              <w:rPr>
                <w:w w:val="105"/>
                <w:sz w:val="14"/>
              </w:rPr>
              <w:t>All Other State Revenue</w:t>
            </w:r>
          </w:p>
        </w:tc>
        <w:tc>
          <w:tcPr>
            <w:tcW w:w="1936" w:type="dxa"/>
          </w:tcPr>
          <w:p>
            <w:pPr>
              <w:pStyle w:val="TableParagraph"/>
              <w:spacing w:before="101"/>
              <w:ind w:left="649" w:right="83"/>
              <w:jc w:val="center"/>
              <w:rPr>
                <w:sz w:val="14"/>
              </w:rPr>
            </w:pPr>
            <w:r>
              <w:rPr>
                <w:w w:val="105"/>
                <w:sz w:val="14"/>
              </w:rPr>
              <w:t>All Other</w:t>
            </w:r>
          </w:p>
        </w:tc>
        <w:tc>
          <w:tcPr>
            <w:tcW w:w="1127" w:type="dxa"/>
          </w:tcPr>
          <w:p>
            <w:pPr>
              <w:pStyle w:val="TableParagraph"/>
              <w:spacing w:before="101"/>
              <w:ind w:left="88" w:right="47"/>
              <w:jc w:val="center"/>
              <w:rPr>
                <w:sz w:val="14"/>
              </w:rPr>
            </w:pPr>
            <w:r>
              <w:rPr>
                <w:w w:val="105"/>
                <w:sz w:val="14"/>
              </w:rPr>
              <w:t>8590</w:t>
            </w:r>
          </w:p>
        </w:tc>
        <w:tc>
          <w:tcPr>
            <w:tcW w:w="1666" w:type="dxa"/>
          </w:tcPr>
          <w:p>
            <w:pPr>
              <w:pStyle w:val="TableParagraph"/>
              <w:spacing w:before="101"/>
              <w:ind w:right="284"/>
              <w:jc w:val="right"/>
              <w:rPr>
                <w:sz w:val="14"/>
              </w:rPr>
            </w:pPr>
            <w:r>
              <w:rPr>
                <w:sz w:val="14"/>
              </w:rPr>
              <w:t>0.00</w:t>
            </w:r>
          </w:p>
        </w:tc>
        <w:tc>
          <w:tcPr>
            <w:tcW w:w="1475" w:type="dxa"/>
          </w:tcPr>
          <w:p>
            <w:pPr>
              <w:pStyle w:val="TableParagraph"/>
              <w:spacing w:before="101"/>
              <w:ind w:right="247"/>
              <w:jc w:val="right"/>
              <w:rPr>
                <w:sz w:val="14"/>
              </w:rPr>
            </w:pPr>
            <w:r>
              <w:rPr>
                <w:sz w:val="14"/>
              </w:rPr>
              <w:t>0.00</w:t>
            </w:r>
          </w:p>
        </w:tc>
        <w:tc>
          <w:tcPr>
            <w:tcW w:w="981" w:type="dxa"/>
          </w:tcPr>
          <w:p>
            <w:pPr>
              <w:pStyle w:val="TableParagraph"/>
              <w:rPr>
                <w:rFonts w:ascii="Times New Roman"/>
                <w:sz w:val="14"/>
              </w:rPr>
            </w:pPr>
          </w:p>
        </w:tc>
        <w:tc>
          <w:tcPr>
            <w:tcW w:w="408" w:type="dxa"/>
          </w:tcPr>
          <w:p>
            <w:pPr>
              <w:pStyle w:val="TableParagraph"/>
              <w:spacing w:before="101"/>
              <w:ind w:left="7" w:right="22"/>
              <w:jc w:val="center"/>
              <w:rPr>
                <w:sz w:val="14"/>
              </w:rPr>
            </w:pPr>
            <w:r>
              <w:rPr>
                <w:w w:val="105"/>
                <w:sz w:val="14"/>
              </w:rPr>
              <w:t>0.0%</w:t>
            </w:r>
          </w:p>
        </w:tc>
      </w:tr>
      <w:tr>
        <w:trPr>
          <w:trHeight w:val="268" w:hRule="atLeast"/>
        </w:trPr>
        <w:tc>
          <w:tcPr>
            <w:tcW w:w="3194" w:type="dxa"/>
          </w:tcPr>
          <w:p>
            <w:pPr>
              <w:pStyle w:val="TableParagraph"/>
              <w:spacing w:line="142" w:lineRule="exact" w:before="107"/>
              <w:ind w:left="131"/>
              <w:rPr>
                <w:sz w:val="14"/>
              </w:rPr>
            </w:pPr>
            <w:r>
              <w:rPr>
                <w:w w:val="105"/>
                <w:sz w:val="14"/>
              </w:rPr>
              <w:t>TOTAL, OTHER STATE REVENUE</w:t>
            </w:r>
          </w:p>
        </w:tc>
        <w:tc>
          <w:tcPr>
            <w:tcW w:w="1936" w:type="dxa"/>
          </w:tcPr>
          <w:p>
            <w:pPr>
              <w:pStyle w:val="TableParagraph"/>
              <w:rPr>
                <w:rFonts w:ascii="Times New Roman"/>
                <w:sz w:val="14"/>
              </w:rPr>
            </w:pPr>
          </w:p>
        </w:tc>
        <w:tc>
          <w:tcPr>
            <w:tcW w:w="1127" w:type="dxa"/>
          </w:tcPr>
          <w:p>
            <w:pPr>
              <w:pStyle w:val="TableParagraph"/>
              <w:rPr>
                <w:rFonts w:ascii="Times New Roman"/>
                <w:sz w:val="14"/>
              </w:rPr>
            </w:pPr>
          </w:p>
        </w:tc>
        <w:tc>
          <w:tcPr>
            <w:tcW w:w="1666" w:type="dxa"/>
          </w:tcPr>
          <w:p>
            <w:pPr>
              <w:pStyle w:val="TableParagraph"/>
              <w:spacing w:line="142" w:lineRule="exact" w:before="107"/>
              <w:ind w:right="284"/>
              <w:jc w:val="right"/>
              <w:rPr>
                <w:sz w:val="14"/>
              </w:rPr>
            </w:pPr>
            <w:r>
              <w:rPr>
                <w:sz w:val="14"/>
              </w:rPr>
              <w:t>0.00</w:t>
            </w:r>
          </w:p>
        </w:tc>
        <w:tc>
          <w:tcPr>
            <w:tcW w:w="1475" w:type="dxa"/>
          </w:tcPr>
          <w:p>
            <w:pPr>
              <w:pStyle w:val="TableParagraph"/>
              <w:spacing w:line="142" w:lineRule="exact" w:before="107"/>
              <w:ind w:right="247"/>
              <w:jc w:val="right"/>
              <w:rPr>
                <w:sz w:val="14"/>
              </w:rPr>
            </w:pPr>
            <w:r>
              <w:rPr>
                <w:sz w:val="14"/>
              </w:rPr>
              <w:t>0.00</w:t>
            </w:r>
          </w:p>
        </w:tc>
        <w:tc>
          <w:tcPr>
            <w:tcW w:w="981" w:type="dxa"/>
          </w:tcPr>
          <w:p>
            <w:pPr>
              <w:pStyle w:val="TableParagraph"/>
              <w:rPr>
                <w:rFonts w:ascii="Times New Roman"/>
                <w:sz w:val="14"/>
              </w:rPr>
            </w:pPr>
          </w:p>
        </w:tc>
        <w:tc>
          <w:tcPr>
            <w:tcW w:w="408" w:type="dxa"/>
          </w:tcPr>
          <w:p>
            <w:pPr>
              <w:pStyle w:val="TableParagraph"/>
              <w:spacing w:line="142" w:lineRule="exact" w:before="107"/>
              <w:ind w:left="7" w:right="22"/>
              <w:jc w:val="center"/>
              <w:rPr>
                <w:sz w:val="14"/>
              </w:rPr>
            </w:pPr>
            <w:r>
              <w:rPr>
                <w:w w:val="105"/>
                <w:sz w:val="14"/>
              </w:rPr>
              <w:t>0.0%</w:t>
            </w:r>
          </w:p>
        </w:tc>
      </w:tr>
    </w:tbl>
    <w:p>
      <w:pPr>
        <w:pStyle w:val="BodyText"/>
        <w:spacing w:before="4"/>
        <w:rPr>
          <w:sz w:val="6"/>
        </w:rPr>
      </w:pPr>
    </w:p>
    <w:p>
      <w:pPr>
        <w:spacing w:before="99"/>
        <w:ind w:left="478" w:right="0" w:firstLine="0"/>
        <w:jc w:val="left"/>
        <w:rPr>
          <w:b/>
          <w:sz w:val="14"/>
        </w:rPr>
      </w:pPr>
      <w:r>
        <w:rPr/>
        <w:pict>
          <v:group style="position:absolute;margin-left:30.120001pt;margin-top:-252.484085pt;width:538pt;height:514.1pt;mso-position-horizontal-relative:page;mso-position-vertical-relative:paragraph;z-index:-314481664" coordorigin="602,-5050" coordsize="10760,10282">
            <v:line style="position:absolute" from="1412,-5045" to="1412,-4682" stroked="true" strokeweight=".360003pt" strokecolor="#ffffff">
              <v:stroke dashstyle="solid"/>
            </v:line>
            <v:shape style="position:absolute;left:4240;top:-5050;width:7121;height:742" type="#_x0000_t75" stroked="false">
              <v:imagedata r:id="rId596" o:title=""/>
            </v:shape>
            <v:shape style="position:absolute;left:6782;top:-4681;width:4580;height:737" type="#_x0000_t75" stroked="false">
              <v:imagedata r:id="rId597" o:title=""/>
            </v:shape>
            <v:shape style="position:absolute;left:6782;top:-4316;width:4580;height:747" type="#_x0000_t75" stroked="false">
              <v:imagedata r:id="rId598" o:title=""/>
            </v:shape>
            <v:shape style="position:absolute;left:602;top:-4681;width:3646;height:1841" type="#_x0000_t75" stroked="false">
              <v:imagedata r:id="rId599" o:title=""/>
            </v:shape>
            <v:shape style="position:absolute;left:6782;top:-3951;width:4580;height:747" type="#_x0000_t75" stroked="false">
              <v:imagedata r:id="rId600" o:title=""/>
            </v:shape>
            <v:shape style="position:absolute;left:602;top:-3577;width:10760;height:1107" type="#_x0000_t75" stroked="false">
              <v:imagedata r:id="rId601" o:title=""/>
            </v:shape>
            <v:shape style="position:absolute;left:4240;top:-2847;width:7121;height:747" type="#_x0000_t75" stroked="false">
              <v:imagedata r:id="rId602" o:title=""/>
            </v:shape>
            <v:shape style="position:absolute;left:6782;top:-2473;width:4580;height:737" type="#_x0000_t75" stroked="false">
              <v:imagedata r:id="rId603" o:title=""/>
            </v:shape>
            <v:shape style="position:absolute;left:6782;top:-2108;width:4580;height:934" type="#_x0000_t75" stroked="false">
              <v:imagedata r:id="rId604" o:title=""/>
            </v:shape>
            <v:shape style="position:absolute;left:6782;top:-1378;width:4580;height:569" type="#_x0000_t75" stroked="false">
              <v:imagedata r:id="rId605" o:title=""/>
            </v:shape>
            <v:shape style="position:absolute;left:602;top:-2473;width:3646;height:2405" type="#_x0000_t75" stroked="false">
              <v:imagedata r:id="rId606" o:title=""/>
            </v:shape>
            <v:shape style="position:absolute;left:6782;top:-1181;width:4580;height:737" type="#_x0000_t75" stroked="false">
              <v:imagedata r:id="rId607" o:title=""/>
            </v:shape>
            <v:shape style="position:absolute;left:4240;top:-817;width:7121;height:749" type="#_x0000_t75" stroked="false">
              <v:imagedata r:id="rId608" o:title=""/>
            </v:shape>
            <v:shape style="position:absolute;left:602;top:-75;width:3646;height:339" type="#_x0000_t75" stroked="false">
              <v:imagedata r:id="rId609" o:title=""/>
            </v:shape>
            <v:shape style="position:absolute;left:4240;top:-452;width:7121;height:1659" type="#_x0000_t75" stroked="false">
              <v:imagedata r:id="rId610" o:title=""/>
            </v:shape>
            <v:shape style="position:absolute;left:602;top:261;width:3646;height:4971" type="#_x0000_t75" stroked="false">
              <v:imagedata r:id="rId611" o:title=""/>
            </v:shape>
            <w10:wrap type="none"/>
          </v:group>
        </w:pict>
      </w:r>
      <w:r>
        <w:rPr>
          <w:b/>
          <w:w w:val="105"/>
          <w:sz w:val="14"/>
        </w:rPr>
        <w:t>OTHER LOCAL REVENUE</w:t>
      </w:r>
    </w:p>
    <w:p>
      <w:pPr>
        <w:pStyle w:val="BodyText"/>
        <w:spacing w:before="4"/>
        <w:rPr>
          <w:b/>
          <w:sz w:val="10"/>
        </w:rPr>
      </w:pPr>
    </w:p>
    <w:p>
      <w:pPr>
        <w:spacing w:before="99"/>
        <w:ind w:left="560" w:right="0" w:firstLine="0"/>
        <w:jc w:val="left"/>
        <w:rPr>
          <w:sz w:val="14"/>
        </w:rPr>
      </w:pPr>
      <w:r>
        <w:rPr>
          <w:w w:val="105"/>
          <w:sz w:val="14"/>
        </w:rPr>
        <w:t>Other Local Revenue</w:t>
      </w:r>
    </w:p>
    <w:p>
      <w:pPr>
        <w:pStyle w:val="BodyText"/>
        <w:spacing w:before="1"/>
        <w:rPr>
          <w:sz w:val="9"/>
        </w:rPr>
      </w:pPr>
    </w:p>
    <w:p>
      <w:pPr>
        <w:spacing w:before="99" w:after="37"/>
        <w:ind w:left="641" w:right="0" w:firstLine="0"/>
        <w:jc w:val="left"/>
        <w:rPr>
          <w:sz w:val="14"/>
        </w:rPr>
      </w:pPr>
      <w:r>
        <w:rPr/>
        <w:pict>
          <v:group style="position:absolute;margin-left:30.120001pt;margin-top:12.955912pt;width:538pt;height:230.65pt;mso-position-horizontal-relative:page;mso-position-vertical-relative:paragraph;z-index:-314480640" coordorigin="602,259" coordsize="10760,4613">
            <v:shape style="position:absolute;left:6782;top:259;width:4580;height:569" type="#_x0000_t75" stroked="false">
              <v:imagedata r:id="rId612" o:title=""/>
            </v:shape>
            <v:shape style="position:absolute;left:6782;top:455;width:4580;height:737" type="#_x0000_t75" stroked="false">
              <v:imagedata r:id="rId613" o:title=""/>
            </v:shape>
            <v:shape style="position:absolute;left:6782;top:820;width:4580;height:737" type="#_x0000_t75" stroked="false">
              <v:imagedata r:id="rId464" o:title=""/>
            </v:shape>
            <v:shape style="position:absolute;left:6782;top:1185;width:4580;height:1102" type="#_x0000_t75" stroked="false">
              <v:imagedata r:id="rId614" o:title=""/>
            </v:shape>
            <v:shape style="position:absolute;left:6782;top:1915;width:4580;height:737" type="#_x0000_t75" stroked="false">
              <v:imagedata r:id="rId464" o:title=""/>
            </v:shape>
            <v:shape style="position:absolute;left:6782;top:2279;width:4580;height:737" type="#_x0000_t75" stroked="false">
              <v:imagedata r:id="rId464" o:title=""/>
            </v:shape>
            <v:shape style="position:absolute;left:6782;top:2644;width:4580;height:1102" type="#_x0000_t75" stroked="false">
              <v:imagedata r:id="rId615" o:title=""/>
            </v:shape>
            <v:shape style="position:absolute;left:6782;top:3374;width:4580;height:737" type="#_x0000_t75" stroked="false">
              <v:imagedata r:id="rId616" o:title=""/>
            </v:shape>
            <v:shape style="position:absolute;left:4240;top:3739;width:7121;height:749" type="#_x0000_t75" stroked="false">
              <v:imagedata r:id="rId608" o:title=""/>
            </v:shape>
            <v:shape style="position:absolute;left:602;top:4480;width:3646;height:392" type="#_x0000_t75" stroked="false">
              <v:imagedata r:id="rId617" o:title=""/>
            </v:shape>
            <v:shape style="position:absolute;left:4240;top:4103;width:7121;height:768" type="#_x0000_t75" stroked="false">
              <v:imagedata r:id="rId618" o:title=""/>
            </v:shape>
            <v:shape style="position:absolute;left:9806;top:4480;width:1556;height:392" type="#_x0000_t75" stroked="false">
              <v:imagedata r:id="rId586" o:title=""/>
            </v:shape>
            <w10:wrap type="none"/>
          </v:group>
        </w:pict>
      </w:r>
      <w:r>
        <w:rPr>
          <w:w w:val="105"/>
          <w:sz w:val="14"/>
        </w:rPr>
        <w:t>Sales</w:t>
      </w:r>
    </w:p>
    <w:tbl>
      <w:tblPr>
        <w:tblW w:w="0" w:type="auto"/>
        <w:jc w:val="left"/>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93"/>
        <w:gridCol w:w="1923"/>
        <w:gridCol w:w="1639"/>
        <w:gridCol w:w="1527"/>
        <w:gridCol w:w="1008"/>
      </w:tblGrid>
      <w:tr>
        <w:trPr>
          <w:trHeight w:val="262" w:hRule="atLeast"/>
        </w:trPr>
        <w:tc>
          <w:tcPr>
            <w:tcW w:w="4693" w:type="dxa"/>
          </w:tcPr>
          <w:p>
            <w:pPr>
              <w:pStyle w:val="TableParagraph"/>
              <w:spacing w:line="160" w:lineRule="exact"/>
              <w:ind w:left="294"/>
              <w:rPr>
                <w:sz w:val="14"/>
              </w:rPr>
            </w:pPr>
            <w:r>
              <w:rPr>
                <w:w w:val="105"/>
                <w:sz w:val="14"/>
              </w:rPr>
              <w:t>Sale of Equipment/Supplies</w:t>
            </w:r>
          </w:p>
        </w:tc>
        <w:tc>
          <w:tcPr>
            <w:tcW w:w="1923" w:type="dxa"/>
          </w:tcPr>
          <w:p>
            <w:pPr>
              <w:pStyle w:val="TableParagraph"/>
              <w:spacing w:line="160" w:lineRule="exact"/>
              <w:ind w:right="741"/>
              <w:jc w:val="right"/>
              <w:rPr>
                <w:sz w:val="14"/>
              </w:rPr>
            </w:pPr>
            <w:r>
              <w:rPr>
                <w:sz w:val="14"/>
              </w:rPr>
              <w:t>8631</w:t>
            </w:r>
          </w:p>
        </w:tc>
        <w:tc>
          <w:tcPr>
            <w:tcW w:w="1639" w:type="dxa"/>
          </w:tcPr>
          <w:p>
            <w:pPr>
              <w:pStyle w:val="TableParagraph"/>
              <w:spacing w:line="160" w:lineRule="exact"/>
              <w:ind w:right="616"/>
              <w:jc w:val="right"/>
              <w:rPr>
                <w:sz w:val="14"/>
              </w:rPr>
            </w:pPr>
            <w:r>
              <w:rPr>
                <w:sz w:val="14"/>
              </w:rPr>
              <w:t>0.00</w:t>
            </w:r>
          </w:p>
        </w:tc>
        <w:tc>
          <w:tcPr>
            <w:tcW w:w="1527" w:type="dxa"/>
          </w:tcPr>
          <w:p>
            <w:pPr>
              <w:pStyle w:val="TableParagraph"/>
              <w:spacing w:line="160" w:lineRule="exact"/>
              <w:ind w:left="614"/>
              <w:rPr>
                <w:sz w:val="14"/>
              </w:rPr>
            </w:pPr>
            <w:r>
              <w:rPr>
                <w:w w:val="105"/>
                <w:sz w:val="14"/>
              </w:rPr>
              <w:t>0.00</w:t>
            </w:r>
          </w:p>
        </w:tc>
        <w:tc>
          <w:tcPr>
            <w:tcW w:w="1008" w:type="dxa"/>
          </w:tcPr>
          <w:p>
            <w:pPr>
              <w:pStyle w:val="TableParagraph"/>
              <w:spacing w:line="160" w:lineRule="exact"/>
              <w:ind w:right="50"/>
              <w:jc w:val="right"/>
              <w:rPr>
                <w:sz w:val="14"/>
              </w:rPr>
            </w:pPr>
            <w:r>
              <w:rPr>
                <w:sz w:val="14"/>
              </w:rPr>
              <w:t>0.0%</w:t>
            </w:r>
          </w:p>
        </w:tc>
      </w:tr>
      <w:tr>
        <w:trPr>
          <w:trHeight w:val="364" w:hRule="atLeast"/>
        </w:trPr>
        <w:tc>
          <w:tcPr>
            <w:tcW w:w="4693" w:type="dxa"/>
          </w:tcPr>
          <w:p>
            <w:pPr>
              <w:pStyle w:val="TableParagraph"/>
              <w:spacing w:before="101"/>
              <w:ind w:left="294"/>
              <w:rPr>
                <w:sz w:val="14"/>
              </w:rPr>
            </w:pPr>
            <w:r>
              <w:rPr>
                <w:w w:val="105"/>
                <w:sz w:val="14"/>
              </w:rPr>
              <w:t>Food Service Sales</w:t>
            </w:r>
          </w:p>
        </w:tc>
        <w:tc>
          <w:tcPr>
            <w:tcW w:w="1923" w:type="dxa"/>
          </w:tcPr>
          <w:p>
            <w:pPr>
              <w:pStyle w:val="TableParagraph"/>
              <w:spacing w:before="101"/>
              <w:ind w:right="741"/>
              <w:jc w:val="right"/>
              <w:rPr>
                <w:sz w:val="14"/>
              </w:rPr>
            </w:pPr>
            <w:r>
              <w:rPr>
                <w:sz w:val="14"/>
              </w:rPr>
              <w:t>8634</w:t>
            </w:r>
          </w:p>
        </w:tc>
        <w:tc>
          <w:tcPr>
            <w:tcW w:w="1639" w:type="dxa"/>
          </w:tcPr>
          <w:p>
            <w:pPr>
              <w:pStyle w:val="TableParagraph"/>
              <w:spacing w:before="101"/>
              <w:ind w:right="616"/>
              <w:jc w:val="right"/>
              <w:rPr>
                <w:sz w:val="14"/>
              </w:rPr>
            </w:pPr>
            <w:r>
              <w:rPr>
                <w:sz w:val="14"/>
              </w:rPr>
              <w:t>0.00</w:t>
            </w:r>
          </w:p>
        </w:tc>
        <w:tc>
          <w:tcPr>
            <w:tcW w:w="1527" w:type="dxa"/>
          </w:tcPr>
          <w:p>
            <w:pPr>
              <w:pStyle w:val="TableParagraph"/>
              <w:spacing w:before="101"/>
              <w:ind w:left="614"/>
              <w:rPr>
                <w:sz w:val="14"/>
              </w:rPr>
            </w:pPr>
            <w:r>
              <w:rPr>
                <w:w w:val="105"/>
                <w:sz w:val="14"/>
              </w:rPr>
              <w:t>0.00</w:t>
            </w:r>
          </w:p>
        </w:tc>
        <w:tc>
          <w:tcPr>
            <w:tcW w:w="1008" w:type="dxa"/>
          </w:tcPr>
          <w:p>
            <w:pPr>
              <w:pStyle w:val="TableParagraph"/>
              <w:spacing w:before="101"/>
              <w:ind w:right="50"/>
              <w:jc w:val="right"/>
              <w:rPr>
                <w:sz w:val="14"/>
              </w:rPr>
            </w:pPr>
            <w:r>
              <w:rPr>
                <w:sz w:val="14"/>
              </w:rPr>
              <w:t>0.0%</w:t>
            </w:r>
          </w:p>
        </w:tc>
      </w:tr>
      <w:tr>
        <w:trPr>
          <w:trHeight w:val="364" w:hRule="atLeast"/>
        </w:trPr>
        <w:tc>
          <w:tcPr>
            <w:tcW w:w="4693" w:type="dxa"/>
          </w:tcPr>
          <w:p>
            <w:pPr>
              <w:pStyle w:val="TableParagraph"/>
              <w:spacing w:before="101"/>
              <w:ind w:left="213"/>
              <w:rPr>
                <w:sz w:val="14"/>
              </w:rPr>
            </w:pPr>
            <w:r>
              <w:rPr>
                <w:w w:val="105"/>
                <w:sz w:val="14"/>
              </w:rPr>
              <w:t>Interest</w:t>
            </w:r>
          </w:p>
        </w:tc>
        <w:tc>
          <w:tcPr>
            <w:tcW w:w="1923" w:type="dxa"/>
          </w:tcPr>
          <w:p>
            <w:pPr>
              <w:pStyle w:val="TableParagraph"/>
              <w:spacing w:before="101"/>
              <w:ind w:right="741"/>
              <w:jc w:val="right"/>
              <w:rPr>
                <w:sz w:val="14"/>
              </w:rPr>
            </w:pPr>
            <w:r>
              <w:rPr>
                <w:sz w:val="14"/>
              </w:rPr>
              <w:t>8660</w:t>
            </w:r>
          </w:p>
        </w:tc>
        <w:tc>
          <w:tcPr>
            <w:tcW w:w="1639" w:type="dxa"/>
          </w:tcPr>
          <w:p>
            <w:pPr>
              <w:pStyle w:val="TableParagraph"/>
              <w:spacing w:before="101"/>
              <w:ind w:right="616"/>
              <w:jc w:val="right"/>
              <w:rPr>
                <w:sz w:val="14"/>
              </w:rPr>
            </w:pPr>
            <w:r>
              <w:rPr>
                <w:sz w:val="14"/>
              </w:rPr>
              <w:t>0.00</w:t>
            </w:r>
          </w:p>
        </w:tc>
        <w:tc>
          <w:tcPr>
            <w:tcW w:w="1527" w:type="dxa"/>
          </w:tcPr>
          <w:p>
            <w:pPr>
              <w:pStyle w:val="TableParagraph"/>
              <w:spacing w:before="101"/>
              <w:ind w:left="614"/>
              <w:rPr>
                <w:sz w:val="14"/>
              </w:rPr>
            </w:pPr>
            <w:r>
              <w:rPr>
                <w:w w:val="105"/>
                <w:sz w:val="14"/>
              </w:rPr>
              <w:t>0.00</w:t>
            </w:r>
          </w:p>
        </w:tc>
        <w:tc>
          <w:tcPr>
            <w:tcW w:w="1008" w:type="dxa"/>
          </w:tcPr>
          <w:p>
            <w:pPr>
              <w:pStyle w:val="TableParagraph"/>
              <w:spacing w:before="101"/>
              <w:ind w:right="50"/>
              <w:jc w:val="right"/>
              <w:rPr>
                <w:sz w:val="14"/>
              </w:rPr>
            </w:pPr>
            <w:r>
              <w:rPr>
                <w:sz w:val="14"/>
              </w:rPr>
              <w:t>0.0%</w:t>
            </w:r>
          </w:p>
        </w:tc>
      </w:tr>
      <w:tr>
        <w:trPr>
          <w:trHeight w:val="364" w:hRule="atLeast"/>
        </w:trPr>
        <w:tc>
          <w:tcPr>
            <w:tcW w:w="4693" w:type="dxa"/>
          </w:tcPr>
          <w:p>
            <w:pPr>
              <w:pStyle w:val="TableParagraph"/>
              <w:spacing w:before="101"/>
              <w:ind w:left="213"/>
              <w:rPr>
                <w:sz w:val="14"/>
              </w:rPr>
            </w:pPr>
            <w:r>
              <w:rPr>
                <w:w w:val="105"/>
                <w:sz w:val="14"/>
              </w:rPr>
              <w:t>Net Increase (Decrease) in the Fair Value of Investments</w:t>
            </w:r>
          </w:p>
        </w:tc>
        <w:tc>
          <w:tcPr>
            <w:tcW w:w="1923" w:type="dxa"/>
          </w:tcPr>
          <w:p>
            <w:pPr>
              <w:pStyle w:val="TableParagraph"/>
              <w:spacing w:before="101"/>
              <w:ind w:right="741"/>
              <w:jc w:val="right"/>
              <w:rPr>
                <w:sz w:val="14"/>
              </w:rPr>
            </w:pPr>
            <w:r>
              <w:rPr>
                <w:sz w:val="14"/>
              </w:rPr>
              <w:t>8662</w:t>
            </w:r>
          </w:p>
        </w:tc>
        <w:tc>
          <w:tcPr>
            <w:tcW w:w="1639" w:type="dxa"/>
          </w:tcPr>
          <w:p>
            <w:pPr>
              <w:pStyle w:val="TableParagraph"/>
              <w:spacing w:before="101"/>
              <w:ind w:right="616"/>
              <w:jc w:val="right"/>
              <w:rPr>
                <w:sz w:val="14"/>
              </w:rPr>
            </w:pPr>
            <w:r>
              <w:rPr>
                <w:sz w:val="14"/>
              </w:rPr>
              <w:t>0.00</w:t>
            </w:r>
          </w:p>
        </w:tc>
        <w:tc>
          <w:tcPr>
            <w:tcW w:w="1527" w:type="dxa"/>
          </w:tcPr>
          <w:p>
            <w:pPr>
              <w:pStyle w:val="TableParagraph"/>
              <w:spacing w:before="101"/>
              <w:ind w:left="614"/>
              <w:rPr>
                <w:sz w:val="14"/>
              </w:rPr>
            </w:pPr>
            <w:r>
              <w:rPr>
                <w:w w:val="105"/>
                <w:sz w:val="14"/>
              </w:rPr>
              <w:t>0.00</w:t>
            </w:r>
          </w:p>
        </w:tc>
        <w:tc>
          <w:tcPr>
            <w:tcW w:w="1008" w:type="dxa"/>
          </w:tcPr>
          <w:p>
            <w:pPr>
              <w:pStyle w:val="TableParagraph"/>
              <w:spacing w:before="101"/>
              <w:ind w:right="50"/>
              <w:jc w:val="right"/>
              <w:rPr>
                <w:sz w:val="14"/>
              </w:rPr>
            </w:pPr>
            <w:r>
              <w:rPr>
                <w:sz w:val="14"/>
              </w:rPr>
              <w:t>0.0%</w:t>
            </w:r>
          </w:p>
        </w:tc>
      </w:tr>
      <w:tr>
        <w:trPr>
          <w:trHeight w:val="364" w:hRule="atLeast"/>
        </w:trPr>
        <w:tc>
          <w:tcPr>
            <w:tcW w:w="4693" w:type="dxa"/>
          </w:tcPr>
          <w:p>
            <w:pPr>
              <w:pStyle w:val="TableParagraph"/>
              <w:spacing w:before="101"/>
              <w:ind w:left="213"/>
              <w:rPr>
                <w:sz w:val="14"/>
              </w:rPr>
            </w:pPr>
            <w:r>
              <w:rPr>
                <w:w w:val="105"/>
                <w:sz w:val="14"/>
              </w:rPr>
              <w:t>Fees and Contracts</w:t>
            </w:r>
          </w:p>
        </w:tc>
        <w:tc>
          <w:tcPr>
            <w:tcW w:w="1923" w:type="dxa"/>
          </w:tcPr>
          <w:p>
            <w:pPr>
              <w:pStyle w:val="TableParagraph"/>
              <w:rPr>
                <w:rFonts w:ascii="Times New Roman"/>
                <w:sz w:val="14"/>
              </w:rPr>
            </w:pPr>
          </w:p>
        </w:tc>
        <w:tc>
          <w:tcPr>
            <w:tcW w:w="1639" w:type="dxa"/>
          </w:tcPr>
          <w:p>
            <w:pPr>
              <w:pStyle w:val="TableParagraph"/>
              <w:rPr>
                <w:rFonts w:ascii="Times New Roman"/>
                <w:sz w:val="14"/>
              </w:rPr>
            </w:pPr>
          </w:p>
        </w:tc>
        <w:tc>
          <w:tcPr>
            <w:tcW w:w="1527" w:type="dxa"/>
          </w:tcPr>
          <w:p>
            <w:pPr>
              <w:pStyle w:val="TableParagraph"/>
              <w:rPr>
                <w:rFonts w:ascii="Times New Roman"/>
                <w:sz w:val="14"/>
              </w:rPr>
            </w:pPr>
          </w:p>
        </w:tc>
        <w:tc>
          <w:tcPr>
            <w:tcW w:w="1008" w:type="dxa"/>
          </w:tcPr>
          <w:p>
            <w:pPr>
              <w:pStyle w:val="TableParagraph"/>
              <w:rPr>
                <w:rFonts w:ascii="Times New Roman"/>
                <w:sz w:val="14"/>
              </w:rPr>
            </w:pPr>
          </w:p>
        </w:tc>
      </w:tr>
      <w:tr>
        <w:trPr>
          <w:trHeight w:val="364" w:hRule="atLeast"/>
        </w:trPr>
        <w:tc>
          <w:tcPr>
            <w:tcW w:w="4693" w:type="dxa"/>
          </w:tcPr>
          <w:p>
            <w:pPr>
              <w:pStyle w:val="TableParagraph"/>
              <w:spacing w:before="101"/>
              <w:ind w:left="294"/>
              <w:rPr>
                <w:sz w:val="14"/>
              </w:rPr>
            </w:pPr>
            <w:r>
              <w:rPr>
                <w:w w:val="105"/>
                <w:sz w:val="14"/>
              </w:rPr>
              <w:t>Child Development Parent Fees</w:t>
            </w:r>
          </w:p>
        </w:tc>
        <w:tc>
          <w:tcPr>
            <w:tcW w:w="1923" w:type="dxa"/>
          </w:tcPr>
          <w:p>
            <w:pPr>
              <w:pStyle w:val="TableParagraph"/>
              <w:spacing w:before="101"/>
              <w:ind w:right="741"/>
              <w:jc w:val="right"/>
              <w:rPr>
                <w:sz w:val="14"/>
              </w:rPr>
            </w:pPr>
            <w:r>
              <w:rPr>
                <w:sz w:val="14"/>
              </w:rPr>
              <w:t>8673</w:t>
            </w:r>
          </w:p>
        </w:tc>
        <w:tc>
          <w:tcPr>
            <w:tcW w:w="1639" w:type="dxa"/>
          </w:tcPr>
          <w:p>
            <w:pPr>
              <w:pStyle w:val="TableParagraph"/>
              <w:spacing w:before="101"/>
              <w:ind w:right="616"/>
              <w:jc w:val="right"/>
              <w:rPr>
                <w:sz w:val="14"/>
              </w:rPr>
            </w:pPr>
            <w:r>
              <w:rPr>
                <w:sz w:val="14"/>
              </w:rPr>
              <w:t>0.00</w:t>
            </w:r>
          </w:p>
        </w:tc>
        <w:tc>
          <w:tcPr>
            <w:tcW w:w="1527" w:type="dxa"/>
          </w:tcPr>
          <w:p>
            <w:pPr>
              <w:pStyle w:val="TableParagraph"/>
              <w:spacing w:before="101"/>
              <w:ind w:left="614"/>
              <w:rPr>
                <w:sz w:val="14"/>
              </w:rPr>
            </w:pPr>
            <w:r>
              <w:rPr>
                <w:w w:val="105"/>
                <w:sz w:val="14"/>
              </w:rPr>
              <w:t>0.00</w:t>
            </w:r>
          </w:p>
        </w:tc>
        <w:tc>
          <w:tcPr>
            <w:tcW w:w="1008" w:type="dxa"/>
          </w:tcPr>
          <w:p>
            <w:pPr>
              <w:pStyle w:val="TableParagraph"/>
              <w:spacing w:before="101"/>
              <w:ind w:right="50"/>
              <w:jc w:val="right"/>
              <w:rPr>
                <w:sz w:val="14"/>
              </w:rPr>
            </w:pPr>
            <w:r>
              <w:rPr>
                <w:sz w:val="14"/>
              </w:rPr>
              <w:t>0.0%</w:t>
            </w:r>
          </w:p>
        </w:tc>
      </w:tr>
      <w:tr>
        <w:trPr>
          <w:trHeight w:val="364" w:hRule="atLeast"/>
        </w:trPr>
        <w:tc>
          <w:tcPr>
            <w:tcW w:w="4693" w:type="dxa"/>
          </w:tcPr>
          <w:p>
            <w:pPr>
              <w:pStyle w:val="TableParagraph"/>
              <w:spacing w:before="101"/>
              <w:ind w:left="294"/>
              <w:rPr>
                <w:sz w:val="14"/>
              </w:rPr>
            </w:pPr>
            <w:r>
              <w:rPr>
                <w:w w:val="105"/>
                <w:sz w:val="14"/>
              </w:rPr>
              <w:t>Interagency Services</w:t>
            </w:r>
          </w:p>
        </w:tc>
        <w:tc>
          <w:tcPr>
            <w:tcW w:w="1923" w:type="dxa"/>
          </w:tcPr>
          <w:p>
            <w:pPr>
              <w:pStyle w:val="TableParagraph"/>
              <w:spacing w:before="101"/>
              <w:ind w:right="741"/>
              <w:jc w:val="right"/>
              <w:rPr>
                <w:sz w:val="14"/>
              </w:rPr>
            </w:pPr>
            <w:r>
              <w:rPr>
                <w:sz w:val="14"/>
              </w:rPr>
              <w:t>8677</w:t>
            </w:r>
          </w:p>
        </w:tc>
        <w:tc>
          <w:tcPr>
            <w:tcW w:w="1639" w:type="dxa"/>
          </w:tcPr>
          <w:p>
            <w:pPr>
              <w:pStyle w:val="TableParagraph"/>
              <w:spacing w:before="101"/>
              <w:ind w:right="616"/>
              <w:jc w:val="right"/>
              <w:rPr>
                <w:sz w:val="14"/>
              </w:rPr>
            </w:pPr>
            <w:r>
              <w:rPr>
                <w:sz w:val="14"/>
              </w:rPr>
              <w:t>0.00</w:t>
            </w:r>
          </w:p>
        </w:tc>
        <w:tc>
          <w:tcPr>
            <w:tcW w:w="1527" w:type="dxa"/>
          </w:tcPr>
          <w:p>
            <w:pPr>
              <w:pStyle w:val="TableParagraph"/>
              <w:spacing w:before="101"/>
              <w:ind w:left="614"/>
              <w:rPr>
                <w:sz w:val="14"/>
              </w:rPr>
            </w:pPr>
            <w:r>
              <w:rPr>
                <w:w w:val="105"/>
                <w:sz w:val="14"/>
              </w:rPr>
              <w:t>0.00</w:t>
            </w:r>
          </w:p>
        </w:tc>
        <w:tc>
          <w:tcPr>
            <w:tcW w:w="1008" w:type="dxa"/>
          </w:tcPr>
          <w:p>
            <w:pPr>
              <w:pStyle w:val="TableParagraph"/>
              <w:spacing w:before="101"/>
              <w:ind w:right="50"/>
              <w:jc w:val="right"/>
              <w:rPr>
                <w:sz w:val="14"/>
              </w:rPr>
            </w:pPr>
            <w:r>
              <w:rPr>
                <w:sz w:val="14"/>
              </w:rPr>
              <w:t>0.0%</w:t>
            </w:r>
          </w:p>
        </w:tc>
      </w:tr>
      <w:tr>
        <w:trPr>
          <w:trHeight w:val="262" w:hRule="atLeast"/>
        </w:trPr>
        <w:tc>
          <w:tcPr>
            <w:tcW w:w="4693" w:type="dxa"/>
          </w:tcPr>
          <w:p>
            <w:pPr>
              <w:pStyle w:val="TableParagraph"/>
              <w:spacing w:line="142" w:lineRule="exact" w:before="101"/>
              <w:ind w:left="294"/>
              <w:rPr>
                <w:sz w:val="14"/>
              </w:rPr>
            </w:pPr>
            <w:r>
              <w:rPr>
                <w:w w:val="105"/>
                <w:sz w:val="14"/>
              </w:rPr>
              <w:t>All Other Fees and Contracts</w:t>
            </w:r>
          </w:p>
        </w:tc>
        <w:tc>
          <w:tcPr>
            <w:tcW w:w="1923" w:type="dxa"/>
          </w:tcPr>
          <w:p>
            <w:pPr>
              <w:pStyle w:val="TableParagraph"/>
              <w:spacing w:line="142" w:lineRule="exact" w:before="101"/>
              <w:ind w:right="741"/>
              <w:jc w:val="right"/>
              <w:rPr>
                <w:sz w:val="14"/>
              </w:rPr>
            </w:pPr>
            <w:r>
              <w:rPr>
                <w:sz w:val="14"/>
              </w:rPr>
              <w:t>8689</w:t>
            </w:r>
          </w:p>
        </w:tc>
        <w:tc>
          <w:tcPr>
            <w:tcW w:w="1639" w:type="dxa"/>
          </w:tcPr>
          <w:p>
            <w:pPr>
              <w:pStyle w:val="TableParagraph"/>
              <w:spacing w:line="142" w:lineRule="exact" w:before="101"/>
              <w:ind w:right="616"/>
              <w:jc w:val="right"/>
              <w:rPr>
                <w:sz w:val="14"/>
              </w:rPr>
            </w:pPr>
            <w:r>
              <w:rPr>
                <w:sz w:val="14"/>
              </w:rPr>
              <w:t>0.00</w:t>
            </w:r>
          </w:p>
        </w:tc>
        <w:tc>
          <w:tcPr>
            <w:tcW w:w="1527" w:type="dxa"/>
          </w:tcPr>
          <w:p>
            <w:pPr>
              <w:pStyle w:val="TableParagraph"/>
              <w:spacing w:line="142" w:lineRule="exact" w:before="101"/>
              <w:ind w:left="614"/>
              <w:rPr>
                <w:sz w:val="14"/>
              </w:rPr>
            </w:pPr>
            <w:r>
              <w:rPr>
                <w:w w:val="105"/>
                <w:sz w:val="14"/>
              </w:rPr>
              <w:t>0.00</w:t>
            </w:r>
          </w:p>
        </w:tc>
        <w:tc>
          <w:tcPr>
            <w:tcW w:w="1008" w:type="dxa"/>
          </w:tcPr>
          <w:p>
            <w:pPr>
              <w:pStyle w:val="TableParagraph"/>
              <w:spacing w:line="142" w:lineRule="exact" w:before="101"/>
              <w:ind w:right="50"/>
              <w:jc w:val="right"/>
              <w:rPr>
                <w:sz w:val="14"/>
              </w:rPr>
            </w:pPr>
            <w:r>
              <w:rPr>
                <w:sz w:val="14"/>
              </w:rPr>
              <w:t>0.0%</w:t>
            </w:r>
          </w:p>
        </w:tc>
      </w:tr>
      <w:tr>
        <w:trPr>
          <w:trHeight w:val="364" w:hRule="atLeast"/>
        </w:trPr>
        <w:tc>
          <w:tcPr>
            <w:tcW w:w="4693" w:type="dxa"/>
          </w:tcPr>
          <w:p>
            <w:pPr>
              <w:pStyle w:val="TableParagraph"/>
              <w:spacing w:before="7"/>
              <w:rPr>
                <w:sz w:val="17"/>
              </w:rPr>
            </w:pPr>
          </w:p>
          <w:p>
            <w:pPr>
              <w:pStyle w:val="TableParagraph"/>
              <w:spacing w:line="142" w:lineRule="exact"/>
              <w:ind w:left="213"/>
              <w:rPr>
                <w:sz w:val="14"/>
              </w:rPr>
            </w:pPr>
            <w:r>
              <w:rPr>
                <w:w w:val="105"/>
                <w:sz w:val="14"/>
              </w:rPr>
              <w:t>Other Local Revenue</w:t>
            </w:r>
          </w:p>
        </w:tc>
        <w:tc>
          <w:tcPr>
            <w:tcW w:w="1923" w:type="dxa"/>
          </w:tcPr>
          <w:p>
            <w:pPr>
              <w:pStyle w:val="TableParagraph"/>
              <w:rPr>
                <w:rFonts w:ascii="Times New Roman"/>
                <w:sz w:val="14"/>
              </w:rPr>
            </w:pPr>
          </w:p>
        </w:tc>
        <w:tc>
          <w:tcPr>
            <w:tcW w:w="1639" w:type="dxa"/>
          </w:tcPr>
          <w:p>
            <w:pPr>
              <w:pStyle w:val="TableParagraph"/>
              <w:rPr>
                <w:rFonts w:ascii="Times New Roman"/>
                <w:sz w:val="14"/>
              </w:rPr>
            </w:pPr>
          </w:p>
        </w:tc>
        <w:tc>
          <w:tcPr>
            <w:tcW w:w="1527" w:type="dxa"/>
          </w:tcPr>
          <w:p>
            <w:pPr>
              <w:pStyle w:val="TableParagraph"/>
              <w:rPr>
                <w:rFonts w:ascii="Times New Roman"/>
                <w:sz w:val="14"/>
              </w:rPr>
            </w:pPr>
          </w:p>
        </w:tc>
        <w:tc>
          <w:tcPr>
            <w:tcW w:w="1008" w:type="dxa"/>
          </w:tcPr>
          <w:p>
            <w:pPr>
              <w:pStyle w:val="TableParagraph"/>
              <w:rPr>
                <w:rFonts w:ascii="Times New Roman"/>
                <w:sz w:val="14"/>
              </w:rPr>
            </w:pPr>
          </w:p>
        </w:tc>
      </w:tr>
      <w:tr>
        <w:trPr>
          <w:trHeight w:val="364" w:hRule="atLeast"/>
        </w:trPr>
        <w:tc>
          <w:tcPr>
            <w:tcW w:w="4693" w:type="dxa"/>
          </w:tcPr>
          <w:p>
            <w:pPr>
              <w:pStyle w:val="TableParagraph"/>
              <w:spacing w:before="7"/>
              <w:rPr>
                <w:sz w:val="17"/>
              </w:rPr>
            </w:pPr>
          </w:p>
          <w:p>
            <w:pPr>
              <w:pStyle w:val="TableParagraph"/>
              <w:spacing w:line="142" w:lineRule="exact"/>
              <w:ind w:left="294"/>
              <w:rPr>
                <w:sz w:val="14"/>
              </w:rPr>
            </w:pPr>
            <w:r>
              <w:rPr>
                <w:w w:val="105"/>
                <w:sz w:val="14"/>
              </w:rPr>
              <w:t>All Other Local Revenue</w:t>
            </w:r>
          </w:p>
        </w:tc>
        <w:tc>
          <w:tcPr>
            <w:tcW w:w="1923" w:type="dxa"/>
          </w:tcPr>
          <w:p>
            <w:pPr>
              <w:pStyle w:val="TableParagraph"/>
              <w:spacing w:before="7"/>
              <w:rPr>
                <w:sz w:val="17"/>
              </w:rPr>
            </w:pPr>
          </w:p>
          <w:p>
            <w:pPr>
              <w:pStyle w:val="TableParagraph"/>
              <w:spacing w:line="142" w:lineRule="exact"/>
              <w:ind w:right="741"/>
              <w:jc w:val="right"/>
              <w:rPr>
                <w:sz w:val="14"/>
              </w:rPr>
            </w:pPr>
            <w:r>
              <w:rPr>
                <w:sz w:val="14"/>
              </w:rPr>
              <w:t>8699</w:t>
            </w:r>
          </w:p>
        </w:tc>
        <w:tc>
          <w:tcPr>
            <w:tcW w:w="1639" w:type="dxa"/>
          </w:tcPr>
          <w:p>
            <w:pPr>
              <w:pStyle w:val="TableParagraph"/>
              <w:spacing w:before="7"/>
              <w:rPr>
                <w:sz w:val="17"/>
              </w:rPr>
            </w:pPr>
          </w:p>
          <w:p>
            <w:pPr>
              <w:pStyle w:val="TableParagraph"/>
              <w:spacing w:line="142" w:lineRule="exact"/>
              <w:ind w:right="616"/>
              <w:jc w:val="right"/>
              <w:rPr>
                <w:sz w:val="14"/>
              </w:rPr>
            </w:pPr>
            <w:r>
              <w:rPr>
                <w:sz w:val="14"/>
              </w:rPr>
              <w:t>0.00</w:t>
            </w:r>
          </w:p>
        </w:tc>
        <w:tc>
          <w:tcPr>
            <w:tcW w:w="1527" w:type="dxa"/>
          </w:tcPr>
          <w:p>
            <w:pPr>
              <w:pStyle w:val="TableParagraph"/>
              <w:spacing w:before="7"/>
              <w:rPr>
                <w:sz w:val="17"/>
              </w:rPr>
            </w:pPr>
          </w:p>
          <w:p>
            <w:pPr>
              <w:pStyle w:val="TableParagraph"/>
              <w:spacing w:line="142" w:lineRule="exact"/>
              <w:ind w:left="614"/>
              <w:rPr>
                <w:sz w:val="14"/>
              </w:rPr>
            </w:pPr>
            <w:r>
              <w:rPr>
                <w:w w:val="105"/>
                <w:sz w:val="14"/>
              </w:rPr>
              <w:t>0.00</w:t>
            </w:r>
          </w:p>
        </w:tc>
        <w:tc>
          <w:tcPr>
            <w:tcW w:w="1008" w:type="dxa"/>
          </w:tcPr>
          <w:p>
            <w:pPr>
              <w:pStyle w:val="TableParagraph"/>
              <w:spacing w:before="7"/>
              <w:rPr>
                <w:sz w:val="17"/>
              </w:rPr>
            </w:pPr>
          </w:p>
          <w:p>
            <w:pPr>
              <w:pStyle w:val="TableParagraph"/>
              <w:spacing w:line="142" w:lineRule="exact"/>
              <w:ind w:right="50"/>
              <w:jc w:val="right"/>
              <w:rPr>
                <w:sz w:val="14"/>
              </w:rPr>
            </w:pPr>
            <w:r>
              <w:rPr>
                <w:sz w:val="14"/>
              </w:rPr>
              <w:t>0.0%</w:t>
            </w:r>
          </w:p>
        </w:tc>
      </w:tr>
      <w:tr>
        <w:trPr>
          <w:trHeight w:val="364" w:hRule="atLeast"/>
        </w:trPr>
        <w:tc>
          <w:tcPr>
            <w:tcW w:w="4693" w:type="dxa"/>
          </w:tcPr>
          <w:p>
            <w:pPr>
              <w:pStyle w:val="TableParagraph"/>
              <w:spacing w:before="7"/>
              <w:rPr>
                <w:sz w:val="17"/>
              </w:rPr>
            </w:pPr>
          </w:p>
          <w:p>
            <w:pPr>
              <w:pStyle w:val="TableParagraph"/>
              <w:spacing w:line="142" w:lineRule="exact"/>
              <w:ind w:left="376"/>
              <w:rPr>
                <w:sz w:val="14"/>
              </w:rPr>
            </w:pPr>
            <w:r>
              <w:rPr>
                <w:w w:val="105"/>
                <w:sz w:val="14"/>
              </w:rPr>
              <w:t>All Other Transfers In from All Others</w:t>
            </w:r>
          </w:p>
        </w:tc>
        <w:tc>
          <w:tcPr>
            <w:tcW w:w="1923" w:type="dxa"/>
          </w:tcPr>
          <w:p>
            <w:pPr>
              <w:pStyle w:val="TableParagraph"/>
              <w:spacing w:before="7"/>
              <w:rPr>
                <w:sz w:val="17"/>
              </w:rPr>
            </w:pPr>
          </w:p>
          <w:p>
            <w:pPr>
              <w:pStyle w:val="TableParagraph"/>
              <w:spacing w:line="142" w:lineRule="exact"/>
              <w:ind w:right="741"/>
              <w:jc w:val="right"/>
              <w:rPr>
                <w:sz w:val="14"/>
              </w:rPr>
            </w:pPr>
            <w:r>
              <w:rPr>
                <w:sz w:val="14"/>
              </w:rPr>
              <w:t>8799</w:t>
            </w:r>
          </w:p>
        </w:tc>
        <w:tc>
          <w:tcPr>
            <w:tcW w:w="1639" w:type="dxa"/>
          </w:tcPr>
          <w:p>
            <w:pPr>
              <w:pStyle w:val="TableParagraph"/>
              <w:spacing w:before="7"/>
              <w:rPr>
                <w:sz w:val="17"/>
              </w:rPr>
            </w:pPr>
          </w:p>
          <w:p>
            <w:pPr>
              <w:pStyle w:val="TableParagraph"/>
              <w:spacing w:line="142" w:lineRule="exact"/>
              <w:ind w:right="616"/>
              <w:jc w:val="right"/>
              <w:rPr>
                <w:sz w:val="14"/>
              </w:rPr>
            </w:pPr>
            <w:r>
              <w:rPr>
                <w:sz w:val="14"/>
              </w:rPr>
              <w:t>0.00</w:t>
            </w:r>
          </w:p>
        </w:tc>
        <w:tc>
          <w:tcPr>
            <w:tcW w:w="1527" w:type="dxa"/>
          </w:tcPr>
          <w:p>
            <w:pPr>
              <w:pStyle w:val="TableParagraph"/>
              <w:spacing w:before="7"/>
              <w:rPr>
                <w:sz w:val="17"/>
              </w:rPr>
            </w:pPr>
          </w:p>
          <w:p>
            <w:pPr>
              <w:pStyle w:val="TableParagraph"/>
              <w:spacing w:line="142" w:lineRule="exact"/>
              <w:ind w:left="614"/>
              <w:rPr>
                <w:sz w:val="14"/>
              </w:rPr>
            </w:pPr>
            <w:r>
              <w:rPr>
                <w:w w:val="105"/>
                <w:sz w:val="14"/>
              </w:rPr>
              <w:t>0.00</w:t>
            </w:r>
          </w:p>
        </w:tc>
        <w:tc>
          <w:tcPr>
            <w:tcW w:w="1008" w:type="dxa"/>
          </w:tcPr>
          <w:p>
            <w:pPr>
              <w:pStyle w:val="TableParagraph"/>
              <w:spacing w:before="7"/>
              <w:rPr>
                <w:sz w:val="17"/>
              </w:rPr>
            </w:pPr>
          </w:p>
          <w:p>
            <w:pPr>
              <w:pStyle w:val="TableParagraph"/>
              <w:spacing w:line="142" w:lineRule="exact"/>
              <w:ind w:right="50"/>
              <w:jc w:val="right"/>
              <w:rPr>
                <w:sz w:val="14"/>
              </w:rPr>
            </w:pPr>
            <w:r>
              <w:rPr>
                <w:sz w:val="14"/>
              </w:rPr>
              <w:t>0.0%</w:t>
            </w:r>
          </w:p>
        </w:tc>
      </w:tr>
      <w:tr>
        <w:trPr>
          <w:trHeight w:val="484" w:hRule="atLeast"/>
        </w:trPr>
        <w:tc>
          <w:tcPr>
            <w:tcW w:w="4693" w:type="dxa"/>
          </w:tcPr>
          <w:p>
            <w:pPr>
              <w:pStyle w:val="TableParagraph"/>
              <w:spacing w:before="8"/>
              <w:rPr>
                <w:sz w:val="18"/>
              </w:rPr>
            </w:pPr>
          </w:p>
          <w:p>
            <w:pPr>
              <w:pStyle w:val="TableParagraph"/>
              <w:ind w:left="131"/>
              <w:rPr>
                <w:sz w:val="14"/>
              </w:rPr>
            </w:pPr>
            <w:r>
              <w:rPr>
                <w:w w:val="105"/>
                <w:sz w:val="14"/>
              </w:rPr>
              <w:t>TOTAL, OTHER LOCAL REVENUE</w:t>
            </w:r>
          </w:p>
        </w:tc>
        <w:tc>
          <w:tcPr>
            <w:tcW w:w="3562" w:type="dxa"/>
            <w:gridSpan w:val="2"/>
          </w:tcPr>
          <w:p>
            <w:pPr>
              <w:pStyle w:val="TableParagraph"/>
              <w:spacing w:before="8"/>
              <w:rPr>
                <w:sz w:val="18"/>
              </w:rPr>
            </w:pPr>
          </w:p>
          <w:p>
            <w:pPr>
              <w:pStyle w:val="TableParagraph"/>
              <w:ind w:right="616"/>
              <w:jc w:val="right"/>
              <w:rPr>
                <w:sz w:val="14"/>
              </w:rPr>
            </w:pPr>
            <w:r>
              <w:rPr>
                <w:sz w:val="14"/>
              </w:rPr>
              <w:t>0.00</w:t>
            </w:r>
          </w:p>
        </w:tc>
        <w:tc>
          <w:tcPr>
            <w:tcW w:w="1527" w:type="dxa"/>
          </w:tcPr>
          <w:p>
            <w:pPr>
              <w:pStyle w:val="TableParagraph"/>
              <w:spacing w:before="8"/>
              <w:rPr>
                <w:sz w:val="18"/>
              </w:rPr>
            </w:pPr>
          </w:p>
          <w:p>
            <w:pPr>
              <w:pStyle w:val="TableParagraph"/>
              <w:ind w:left="614"/>
              <w:rPr>
                <w:sz w:val="14"/>
              </w:rPr>
            </w:pPr>
            <w:r>
              <w:rPr>
                <w:w w:val="105"/>
                <w:sz w:val="14"/>
              </w:rPr>
              <w:t>0.00</w:t>
            </w:r>
          </w:p>
        </w:tc>
        <w:tc>
          <w:tcPr>
            <w:tcW w:w="1008" w:type="dxa"/>
          </w:tcPr>
          <w:p>
            <w:pPr>
              <w:pStyle w:val="TableParagraph"/>
              <w:spacing w:before="8"/>
              <w:rPr>
                <w:sz w:val="18"/>
              </w:rPr>
            </w:pPr>
          </w:p>
          <w:p>
            <w:pPr>
              <w:pStyle w:val="TableParagraph"/>
              <w:ind w:right="50"/>
              <w:jc w:val="right"/>
              <w:rPr>
                <w:sz w:val="14"/>
              </w:rPr>
            </w:pPr>
            <w:r>
              <w:rPr>
                <w:sz w:val="14"/>
              </w:rPr>
              <w:t>0.0%</w:t>
            </w:r>
          </w:p>
        </w:tc>
      </w:tr>
      <w:tr>
        <w:trPr>
          <w:trHeight w:val="268" w:hRule="atLeast"/>
        </w:trPr>
        <w:tc>
          <w:tcPr>
            <w:tcW w:w="4693" w:type="dxa"/>
          </w:tcPr>
          <w:p>
            <w:pPr>
              <w:pStyle w:val="TableParagraph"/>
              <w:spacing w:line="142" w:lineRule="exact" w:before="107"/>
              <w:ind w:left="50"/>
              <w:rPr>
                <w:sz w:val="14"/>
              </w:rPr>
            </w:pPr>
            <w:r>
              <w:rPr>
                <w:w w:val="105"/>
                <w:sz w:val="14"/>
              </w:rPr>
              <w:t>TOTAL, REVENUES</w:t>
            </w:r>
          </w:p>
        </w:tc>
        <w:tc>
          <w:tcPr>
            <w:tcW w:w="3562" w:type="dxa"/>
            <w:gridSpan w:val="2"/>
          </w:tcPr>
          <w:p>
            <w:pPr>
              <w:pStyle w:val="TableParagraph"/>
              <w:spacing w:line="142" w:lineRule="exact" w:before="107"/>
              <w:ind w:right="616"/>
              <w:jc w:val="right"/>
              <w:rPr>
                <w:sz w:val="14"/>
              </w:rPr>
            </w:pPr>
            <w:r>
              <w:rPr>
                <w:sz w:val="14"/>
              </w:rPr>
              <w:t>0.00</w:t>
            </w:r>
          </w:p>
        </w:tc>
        <w:tc>
          <w:tcPr>
            <w:tcW w:w="1527" w:type="dxa"/>
          </w:tcPr>
          <w:p>
            <w:pPr>
              <w:pStyle w:val="TableParagraph"/>
              <w:spacing w:line="142" w:lineRule="exact" w:before="107"/>
              <w:ind w:left="614"/>
              <w:rPr>
                <w:sz w:val="14"/>
              </w:rPr>
            </w:pPr>
            <w:r>
              <w:rPr>
                <w:w w:val="105"/>
                <w:sz w:val="14"/>
              </w:rPr>
              <w:t>0.00</w:t>
            </w:r>
          </w:p>
        </w:tc>
        <w:tc>
          <w:tcPr>
            <w:tcW w:w="1008" w:type="dxa"/>
          </w:tcPr>
          <w:p>
            <w:pPr>
              <w:pStyle w:val="TableParagraph"/>
              <w:spacing w:line="142" w:lineRule="exact" w:before="107"/>
              <w:ind w:right="50"/>
              <w:jc w:val="right"/>
              <w:rPr>
                <w:sz w:val="14"/>
              </w:rPr>
            </w:pPr>
            <w:r>
              <w:rPr>
                <w:sz w:val="14"/>
              </w:rPr>
              <w:t>0.0%</w:t>
            </w:r>
          </w:p>
        </w:tc>
      </w:tr>
    </w:tbl>
    <w:p>
      <w:pPr>
        <w:spacing w:after="0" w:line="142" w:lineRule="exact"/>
        <w:jc w:val="right"/>
        <w:rPr>
          <w:sz w:val="14"/>
        </w:rPr>
        <w:sectPr>
          <w:type w:val="continuous"/>
          <w:pgSz w:w="12240" w:h="15840"/>
          <w:pgMar w:top="1500" w:bottom="840" w:left="160" w:right="180"/>
        </w:sectPr>
      </w:pPr>
    </w:p>
    <w:p>
      <w:pPr>
        <w:spacing w:line="232" w:lineRule="auto" w:before="1"/>
        <w:ind w:left="308" w:right="0" w:firstLine="0"/>
        <w:jc w:val="left"/>
        <w:rPr>
          <w:sz w:val="18"/>
        </w:rPr>
      </w:pPr>
      <w:r>
        <w:rPr>
          <w:sz w:val="18"/>
        </w:rPr>
        <w:t>Winship-Robbins Elementary Sutter County</w:t>
      </w:r>
    </w:p>
    <w:p>
      <w:pPr>
        <w:spacing w:line="232" w:lineRule="auto" w:before="1"/>
        <w:ind w:left="370" w:right="0" w:hanging="63"/>
        <w:jc w:val="left"/>
        <w:rPr>
          <w:sz w:val="18"/>
        </w:rPr>
      </w:pPr>
      <w:r>
        <w:rPr/>
        <w:br w:type="column"/>
      </w:r>
      <w:r>
        <w:rPr>
          <w:sz w:val="18"/>
        </w:rPr>
        <w:t>Child Development Fund Expenditures by Object</w:t>
      </w:r>
    </w:p>
    <w:p>
      <w:pPr>
        <w:spacing w:line="200" w:lineRule="exact" w:before="0"/>
        <w:ind w:left="0" w:right="287" w:firstLine="0"/>
        <w:jc w:val="right"/>
        <w:rPr>
          <w:sz w:val="18"/>
        </w:rPr>
      </w:pPr>
      <w:r>
        <w:rPr/>
        <w:br w:type="column"/>
      </w:r>
      <w:r>
        <w:rPr>
          <w:sz w:val="18"/>
        </w:rPr>
        <w:t>51 71456</w:t>
      </w:r>
      <w:r>
        <w:rPr>
          <w:spacing w:val="3"/>
          <w:sz w:val="18"/>
        </w:rPr>
        <w:t> </w:t>
      </w:r>
      <w:r>
        <w:rPr>
          <w:sz w:val="18"/>
        </w:rPr>
        <w:t>0000000</w:t>
      </w:r>
    </w:p>
    <w:p>
      <w:pPr>
        <w:spacing w:line="204" w:lineRule="exact" w:before="0"/>
        <w:ind w:left="0" w:right="285" w:firstLine="0"/>
        <w:jc w:val="right"/>
        <w:rPr>
          <w:sz w:val="18"/>
        </w:rPr>
      </w:pPr>
      <w:r>
        <w:rPr>
          <w:sz w:val="18"/>
        </w:rPr>
        <w:t>Form </w:t>
      </w:r>
      <w:r>
        <w:rPr>
          <w:spacing w:val="3"/>
          <w:sz w:val="18"/>
        </w:rPr>
        <w:t> </w:t>
      </w:r>
      <w:r>
        <w:rPr>
          <w:sz w:val="18"/>
        </w:rPr>
        <w:t>12</w:t>
      </w:r>
    </w:p>
    <w:p>
      <w:pPr>
        <w:spacing w:after="0" w:line="204" w:lineRule="exact"/>
        <w:jc w:val="right"/>
        <w:rPr>
          <w:sz w:val="18"/>
        </w:rPr>
        <w:sectPr>
          <w:pgSz w:w="12240" w:h="15840"/>
          <w:pgMar w:header="651" w:footer="437" w:top="840" w:bottom="620" w:left="160" w:right="180"/>
          <w:cols w:num="3" w:equalWidth="0">
            <w:col w:w="2698" w:space="1953"/>
            <w:col w:w="2348" w:space="2793"/>
            <w:col w:w="2108"/>
          </w:cols>
        </w:sectPr>
      </w:pPr>
    </w:p>
    <w:p>
      <w:pPr>
        <w:pStyle w:val="BodyText"/>
        <w:rPr>
          <w:sz w:val="20"/>
        </w:rPr>
      </w:pPr>
      <w:r>
        <w:rPr/>
        <w:pict>
          <v:group style="position:absolute;margin-left:30.120001pt;margin-top:78.959999pt;width:538pt;height:647.65pt;mso-position-horizontal-relative:page;mso-position-vertical-relative:page;z-index:-314479616" coordorigin="602,1579" coordsize="10760,12953">
            <v:shape style="position:absolute;left:602;top:1579;width:3646;height:790" type="#_x0000_t75" stroked="false">
              <v:imagedata r:id="rId406" o:title=""/>
            </v:shape>
            <v:shape style="position:absolute;left:602;top:1579;width:10760;height:1155" type="#_x0000_t75" stroked="false">
              <v:imagedata r:id="rId499" o:title=""/>
            </v:shape>
            <v:line style="position:absolute" from="1412,2359" to="1412,2729" stroked="true" strokeweight=".360003pt" strokecolor="#ffffff">
              <v:stroke dashstyle="solid"/>
            </v:line>
            <v:shape style="position:absolute;left:4240;top:2347;width:7121;height:953" type="#_x0000_t75" stroked="false">
              <v:imagedata r:id="rId619" o:title=""/>
            </v:shape>
            <v:shape style="position:absolute;left:6782;top:2928;width:4580;height:737" type="#_x0000_t75" stroked="false">
              <v:imagedata r:id="rId464" o:title=""/>
            </v:shape>
            <v:shape style="position:absolute;left:6782;top:3292;width:4580;height:737" type="#_x0000_t75" stroked="false">
              <v:imagedata r:id="rId464" o:title=""/>
            </v:shape>
            <v:shape style="position:absolute;left:6782;top:3657;width:4580;height:737" type="#_x0000_t75" stroked="false">
              <v:imagedata r:id="rId464" o:title=""/>
            </v:shape>
            <v:shape style="position:absolute;left:602;top:2731;width:3646;height:2412" type="#_x0000_t75" stroked="false">
              <v:imagedata r:id="rId620" o:title=""/>
            </v:shape>
            <v:shape style="position:absolute;left:8294;top:4022;width:3068;height:744" type="#_x0000_t75" stroked="false">
              <v:imagedata r:id="rId466" o:title=""/>
            </v:shape>
            <v:shape style="position:absolute;left:4240;top:4387;width:7121;height:1301" type="#_x0000_t75" stroked="false">
              <v:imagedata r:id="rId621" o:title=""/>
            </v:shape>
            <v:shape style="position:absolute;left:6782;top:5316;width:4580;height:737" type="#_x0000_t75" stroked="false">
              <v:imagedata r:id="rId464" o:title=""/>
            </v:shape>
            <v:shape style="position:absolute;left:602;top:5140;width:3646;height:2756" type="#_x0000_t75" stroked="false">
              <v:imagedata r:id="rId622" o:title=""/>
            </v:shape>
            <v:shape style="position:absolute;left:6782;top:5680;width:4580;height:737" type="#_x0000_t75" stroked="false">
              <v:imagedata r:id="rId464" o:title=""/>
            </v:shape>
            <v:shape style="position:absolute;left:6782;top:6045;width:4580;height:737" type="#_x0000_t75" stroked="false">
              <v:imagedata r:id="rId464" o:title=""/>
            </v:shape>
            <v:shape style="position:absolute;left:6782;top:6410;width:4580;height:737" type="#_x0000_t75" stroked="false">
              <v:imagedata r:id="rId464" o:title=""/>
            </v:shape>
            <v:shape style="position:absolute;left:8294;top:6775;width:3068;height:744" type="#_x0000_t75" stroked="false">
              <v:imagedata r:id="rId466" o:title=""/>
            </v:shape>
            <v:shape style="position:absolute;left:4240;top:7140;width:7121;height:1323" type="#_x0000_t75" stroked="false">
              <v:imagedata r:id="rId623" o:title=""/>
            </v:shape>
            <v:shape style="position:absolute;left:6782;top:8090;width:4580;height:737" type="#_x0000_t75" stroked="false">
              <v:imagedata r:id="rId464" o:title=""/>
            </v:shape>
            <v:shape style="position:absolute;left:602;top:7893;width:3646;height:4236" type="#_x0000_t75" stroked="false">
              <v:imagedata r:id="rId624" o:title=""/>
            </v:shape>
            <v:shape style="position:absolute;left:6782;top:8455;width:4580;height:737" type="#_x0000_t75" stroked="false">
              <v:imagedata r:id="rId469" o:title=""/>
            </v:shape>
            <v:shape style="position:absolute;left:6782;top:8820;width:4580;height:737" type="#_x0000_t75" stroked="false">
              <v:imagedata r:id="rId469" o:title=""/>
            </v:shape>
            <v:shape style="position:absolute;left:6782;top:9184;width:4580;height:737" type="#_x0000_t75" stroked="false">
              <v:imagedata r:id="rId469" o:title=""/>
            </v:shape>
            <v:shape style="position:absolute;left:6782;top:9549;width:4580;height:737" type="#_x0000_t75" stroked="false">
              <v:imagedata r:id="rId469" o:title=""/>
            </v:shape>
            <v:shape style="position:absolute;left:8294;top:9914;width:3068;height:732" type="#_x0000_t75" stroked="false">
              <v:imagedata r:id="rId470" o:title=""/>
            </v:shape>
            <v:shape style="position:absolute;left:6782;top:10279;width:4580;height:737" type="#_x0000_t75" stroked="false">
              <v:imagedata r:id="rId472" o:title=""/>
            </v:shape>
            <v:shape style="position:absolute;left:6782;top:10644;width:4580;height:737" type="#_x0000_t75" stroked="false">
              <v:imagedata r:id="rId625" o:title=""/>
            </v:shape>
            <v:shape style="position:absolute;left:8294;top:11008;width:3068;height:744" type="#_x0000_t75" stroked="false">
              <v:imagedata r:id="rId626" o:title=""/>
            </v:shape>
            <v:shape style="position:absolute;left:4240;top:11373;width:7121;height:1323" type="#_x0000_t75" stroked="false">
              <v:imagedata r:id="rId627" o:title=""/>
            </v:shape>
            <v:shape style="position:absolute;left:6782;top:12324;width:4580;height:737" type="#_x0000_t75" stroked="false">
              <v:imagedata r:id="rId464" o:title=""/>
            </v:shape>
            <v:shape style="position:absolute;left:602;top:12127;width:3646;height:2405" type="#_x0000_t75" stroked="false">
              <v:imagedata r:id="rId606" o:title=""/>
            </v:shape>
            <w10:wrap type="none"/>
          </v:group>
        </w:pict>
      </w:r>
    </w:p>
    <w:p>
      <w:pPr>
        <w:pStyle w:val="BodyText"/>
        <w:rPr>
          <w:sz w:val="20"/>
        </w:rPr>
      </w:pPr>
    </w:p>
    <w:p>
      <w:pPr>
        <w:pStyle w:val="BodyText"/>
        <w:spacing w:before="8" w:after="1"/>
        <w:rPr>
          <w:sz w:val="26"/>
        </w:rPr>
      </w:pPr>
    </w:p>
    <w:tbl>
      <w:tblPr>
        <w:tblW w:w="0" w:type="auto"/>
        <w:jc w:val="left"/>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86"/>
        <w:gridCol w:w="1444"/>
        <w:gridCol w:w="1127"/>
        <w:gridCol w:w="1666"/>
        <w:gridCol w:w="1475"/>
        <w:gridCol w:w="981"/>
        <w:gridCol w:w="408"/>
      </w:tblGrid>
      <w:tr>
        <w:trPr>
          <w:trHeight w:val="436" w:hRule="atLeast"/>
        </w:trPr>
        <w:tc>
          <w:tcPr>
            <w:tcW w:w="3686" w:type="dxa"/>
          </w:tcPr>
          <w:p>
            <w:pPr>
              <w:pStyle w:val="TableParagraph"/>
              <w:spacing w:before="5"/>
              <w:rPr>
                <w:sz w:val="14"/>
              </w:rPr>
            </w:pPr>
          </w:p>
          <w:p>
            <w:pPr>
              <w:pStyle w:val="TableParagraph"/>
              <w:spacing w:before="1"/>
              <w:ind w:left="50"/>
              <w:rPr>
                <w:b/>
                <w:sz w:val="14"/>
              </w:rPr>
            </w:pPr>
            <w:r>
              <w:rPr>
                <w:b/>
                <w:w w:val="105"/>
                <w:sz w:val="14"/>
              </w:rPr>
              <w:t>Description</w:t>
            </w:r>
          </w:p>
        </w:tc>
        <w:tc>
          <w:tcPr>
            <w:tcW w:w="1444" w:type="dxa"/>
          </w:tcPr>
          <w:p>
            <w:pPr>
              <w:pStyle w:val="TableParagraph"/>
              <w:spacing w:before="5"/>
              <w:rPr>
                <w:sz w:val="14"/>
              </w:rPr>
            </w:pPr>
          </w:p>
          <w:p>
            <w:pPr>
              <w:pStyle w:val="TableParagraph"/>
              <w:spacing w:before="1"/>
              <w:ind w:left="192"/>
              <w:rPr>
                <w:b/>
                <w:sz w:val="14"/>
              </w:rPr>
            </w:pPr>
            <w:r>
              <w:rPr>
                <w:b/>
                <w:w w:val="105"/>
                <w:sz w:val="14"/>
              </w:rPr>
              <w:t>Resource Codes</w:t>
            </w:r>
          </w:p>
        </w:tc>
        <w:tc>
          <w:tcPr>
            <w:tcW w:w="1127" w:type="dxa"/>
          </w:tcPr>
          <w:p>
            <w:pPr>
              <w:pStyle w:val="TableParagraph"/>
              <w:spacing w:before="5"/>
              <w:rPr>
                <w:sz w:val="14"/>
              </w:rPr>
            </w:pPr>
          </w:p>
          <w:p>
            <w:pPr>
              <w:pStyle w:val="TableParagraph"/>
              <w:spacing w:before="1"/>
              <w:ind w:left="88" w:right="48"/>
              <w:jc w:val="center"/>
              <w:rPr>
                <w:b/>
                <w:sz w:val="14"/>
              </w:rPr>
            </w:pPr>
            <w:r>
              <w:rPr>
                <w:b/>
                <w:w w:val="105"/>
                <w:sz w:val="14"/>
              </w:rPr>
              <w:t>Object Codes</w:t>
            </w:r>
          </w:p>
        </w:tc>
        <w:tc>
          <w:tcPr>
            <w:tcW w:w="1666" w:type="dxa"/>
          </w:tcPr>
          <w:p>
            <w:pPr>
              <w:pStyle w:val="TableParagraph"/>
              <w:spacing w:line="160" w:lineRule="exact"/>
              <w:ind w:left="44" w:right="301"/>
              <w:jc w:val="center"/>
              <w:rPr>
                <w:b/>
                <w:sz w:val="14"/>
              </w:rPr>
            </w:pPr>
            <w:r>
              <w:rPr>
                <w:b/>
                <w:w w:val="105"/>
                <w:sz w:val="14"/>
              </w:rPr>
              <w:t>2020-21</w:t>
            </w:r>
          </w:p>
          <w:p>
            <w:pPr>
              <w:pStyle w:val="TableParagraph"/>
              <w:spacing w:before="7"/>
              <w:ind w:left="44" w:right="304"/>
              <w:jc w:val="center"/>
              <w:rPr>
                <w:b/>
                <w:sz w:val="14"/>
              </w:rPr>
            </w:pPr>
            <w:r>
              <w:rPr>
                <w:b/>
                <w:w w:val="105"/>
                <w:sz w:val="14"/>
              </w:rPr>
              <w:t>Estimated Actuals</w:t>
            </w:r>
          </w:p>
        </w:tc>
        <w:tc>
          <w:tcPr>
            <w:tcW w:w="1475" w:type="dxa"/>
          </w:tcPr>
          <w:p>
            <w:pPr>
              <w:pStyle w:val="TableParagraph"/>
              <w:spacing w:line="160" w:lineRule="exact"/>
              <w:ind w:left="286"/>
              <w:rPr>
                <w:b/>
                <w:sz w:val="14"/>
              </w:rPr>
            </w:pPr>
            <w:r>
              <w:rPr>
                <w:b/>
                <w:w w:val="105"/>
                <w:sz w:val="14"/>
              </w:rPr>
              <w:t>2021-22</w:t>
            </w:r>
          </w:p>
          <w:p>
            <w:pPr>
              <w:pStyle w:val="TableParagraph"/>
              <w:spacing w:before="7"/>
              <w:ind w:left="298"/>
              <w:rPr>
                <w:b/>
                <w:sz w:val="14"/>
              </w:rPr>
            </w:pPr>
            <w:r>
              <w:rPr>
                <w:b/>
                <w:w w:val="105"/>
                <w:sz w:val="14"/>
              </w:rPr>
              <w:t>Budget</w:t>
            </w:r>
          </w:p>
        </w:tc>
        <w:tc>
          <w:tcPr>
            <w:tcW w:w="981" w:type="dxa"/>
          </w:tcPr>
          <w:p>
            <w:pPr>
              <w:pStyle w:val="TableParagraph"/>
              <w:spacing w:line="249" w:lineRule="auto"/>
              <w:ind w:left="249" w:right="27" w:firstLine="86"/>
              <w:rPr>
                <w:b/>
                <w:sz w:val="14"/>
              </w:rPr>
            </w:pPr>
            <w:r>
              <w:rPr>
                <w:b/>
                <w:w w:val="105"/>
                <w:sz w:val="14"/>
              </w:rPr>
              <w:t>Percent </w:t>
            </w:r>
            <w:r>
              <w:rPr>
                <w:b/>
                <w:sz w:val="14"/>
              </w:rPr>
              <w:t>Difference</w:t>
            </w:r>
          </w:p>
        </w:tc>
        <w:tc>
          <w:tcPr>
            <w:tcW w:w="408" w:type="dxa"/>
            <w:vMerge w:val="restart"/>
          </w:tcPr>
          <w:p>
            <w:pPr>
              <w:pStyle w:val="TableParagraph"/>
              <w:rPr>
                <w:rFonts w:ascii="Times New Roman"/>
                <w:sz w:val="14"/>
              </w:rPr>
            </w:pPr>
          </w:p>
        </w:tc>
      </w:tr>
      <w:tr>
        <w:trPr>
          <w:trHeight w:val="470" w:hRule="atLeast"/>
        </w:trPr>
        <w:tc>
          <w:tcPr>
            <w:tcW w:w="3686" w:type="dxa"/>
          </w:tcPr>
          <w:p>
            <w:pPr>
              <w:pStyle w:val="TableParagraph"/>
              <w:spacing w:before="107"/>
              <w:ind w:left="50"/>
              <w:rPr>
                <w:b/>
                <w:sz w:val="14"/>
              </w:rPr>
            </w:pPr>
            <w:r>
              <w:rPr>
                <w:b/>
                <w:w w:val="105"/>
                <w:sz w:val="14"/>
              </w:rPr>
              <w:t>CERTIFICATED SALARIES</w:t>
            </w:r>
          </w:p>
        </w:tc>
        <w:tc>
          <w:tcPr>
            <w:tcW w:w="1444" w:type="dxa"/>
          </w:tcPr>
          <w:p>
            <w:pPr>
              <w:pStyle w:val="TableParagraph"/>
              <w:rPr>
                <w:rFonts w:ascii="Times New Roman"/>
                <w:sz w:val="14"/>
              </w:rPr>
            </w:pPr>
          </w:p>
        </w:tc>
        <w:tc>
          <w:tcPr>
            <w:tcW w:w="1127" w:type="dxa"/>
          </w:tcPr>
          <w:p>
            <w:pPr>
              <w:pStyle w:val="TableParagraph"/>
              <w:rPr>
                <w:rFonts w:ascii="Times New Roman"/>
                <w:sz w:val="14"/>
              </w:rPr>
            </w:pPr>
          </w:p>
        </w:tc>
        <w:tc>
          <w:tcPr>
            <w:tcW w:w="1666" w:type="dxa"/>
          </w:tcPr>
          <w:p>
            <w:pPr>
              <w:pStyle w:val="TableParagraph"/>
              <w:rPr>
                <w:rFonts w:ascii="Times New Roman"/>
                <w:sz w:val="14"/>
              </w:rPr>
            </w:pPr>
          </w:p>
        </w:tc>
        <w:tc>
          <w:tcPr>
            <w:tcW w:w="1475" w:type="dxa"/>
          </w:tcPr>
          <w:p>
            <w:pPr>
              <w:pStyle w:val="TableParagraph"/>
              <w:rPr>
                <w:rFonts w:ascii="Times New Roman"/>
                <w:sz w:val="14"/>
              </w:rPr>
            </w:pPr>
          </w:p>
        </w:tc>
        <w:tc>
          <w:tcPr>
            <w:tcW w:w="981" w:type="dxa"/>
          </w:tcPr>
          <w:p>
            <w:pPr>
              <w:pStyle w:val="TableParagraph"/>
              <w:rPr>
                <w:rFonts w:ascii="Times New Roman"/>
                <w:sz w:val="14"/>
              </w:rPr>
            </w:pPr>
          </w:p>
        </w:tc>
        <w:tc>
          <w:tcPr>
            <w:tcW w:w="408" w:type="dxa"/>
            <w:vMerge/>
            <w:tcBorders>
              <w:top w:val="nil"/>
            </w:tcBorders>
          </w:tcPr>
          <w:p>
            <w:pPr>
              <w:rPr>
                <w:sz w:val="2"/>
                <w:szCs w:val="2"/>
              </w:rPr>
            </w:pPr>
          </w:p>
        </w:tc>
      </w:tr>
      <w:tr>
        <w:trPr>
          <w:trHeight w:val="464" w:hRule="atLeast"/>
        </w:trPr>
        <w:tc>
          <w:tcPr>
            <w:tcW w:w="3686" w:type="dxa"/>
          </w:tcPr>
          <w:p>
            <w:pPr>
              <w:pStyle w:val="TableParagraph"/>
              <w:spacing w:before="5"/>
              <w:rPr>
                <w:sz w:val="17"/>
              </w:rPr>
            </w:pPr>
          </w:p>
          <w:p>
            <w:pPr>
              <w:pStyle w:val="TableParagraph"/>
              <w:ind w:left="131"/>
              <w:rPr>
                <w:sz w:val="14"/>
              </w:rPr>
            </w:pPr>
            <w:r>
              <w:rPr>
                <w:w w:val="105"/>
                <w:sz w:val="14"/>
              </w:rPr>
              <w:t>Certificated Teachers' Salaries</w:t>
            </w:r>
          </w:p>
        </w:tc>
        <w:tc>
          <w:tcPr>
            <w:tcW w:w="1444" w:type="dxa"/>
          </w:tcPr>
          <w:p>
            <w:pPr>
              <w:pStyle w:val="TableParagraph"/>
              <w:rPr>
                <w:rFonts w:ascii="Times New Roman"/>
                <w:sz w:val="14"/>
              </w:rPr>
            </w:pPr>
          </w:p>
        </w:tc>
        <w:tc>
          <w:tcPr>
            <w:tcW w:w="1127" w:type="dxa"/>
          </w:tcPr>
          <w:p>
            <w:pPr>
              <w:pStyle w:val="TableParagraph"/>
              <w:spacing w:before="5"/>
              <w:rPr>
                <w:sz w:val="17"/>
              </w:rPr>
            </w:pPr>
          </w:p>
          <w:p>
            <w:pPr>
              <w:pStyle w:val="TableParagraph"/>
              <w:ind w:left="88" w:right="47"/>
              <w:jc w:val="center"/>
              <w:rPr>
                <w:sz w:val="14"/>
              </w:rPr>
            </w:pPr>
            <w:r>
              <w:rPr>
                <w:w w:val="105"/>
                <w:sz w:val="14"/>
              </w:rPr>
              <w:t>1100</w:t>
            </w:r>
          </w:p>
        </w:tc>
        <w:tc>
          <w:tcPr>
            <w:tcW w:w="1666" w:type="dxa"/>
          </w:tcPr>
          <w:p>
            <w:pPr>
              <w:pStyle w:val="TableParagraph"/>
              <w:spacing w:before="5"/>
              <w:rPr>
                <w:sz w:val="17"/>
              </w:rPr>
            </w:pPr>
          </w:p>
          <w:p>
            <w:pPr>
              <w:pStyle w:val="TableParagraph"/>
              <w:ind w:right="284"/>
              <w:jc w:val="right"/>
              <w:rPr>
                <w:sz w:val="14"/>
              </w:rPr>
            </w:pPr>
            <w:r>
              <w:rPr>
                <w:sz w:val="14"/>
              </w:rPr>
              <w:t>0.00</w:t>
            </w:r>
          </w:p>
        </w:tc>
        <w:tc>
          <w:tcPr>
            <w:tcW w:w="1475" w:type="dxa"/>
          </w:tcPr>
          <w:p>
            <w:pPr>
              <w:pStyle w:val="TableParagraph"/>
              <w:spacing w:before="5"/>
              <w:rPr>
                <w:sz w:val="17"/>
              </w:rPr>
            </w:pPr>
          </w:p>
          <w:p>
            <w:pPr>
              <w:pStyle w:val="TableParagraph"/>
              <w:ind w:right="247"/>
              <w:jc w:val="right"/>
              <w:rPr>
                <w:sz w:val="14"/>
              </w:rPr>
            </w:pPr>
            <w:r>
              <w:rPr>
                <w:sz w:val="14"/>
              </w:rPr>
              <w:t>0.00</w:t>
            </w:r>
          </w:p>
        </w:tc>
        <w:tc>
          <w:tcPr>
            <w:tcW w:w="981" w:type="dxa"/>
          </w:tcPr>
          <w:p>
            <w:pPr>
              <w:pStyle w:val="TableParagraph"/>
              <w:rPr>
                <w:rFonts w:ascii="Times New Roman"/>
                <w:sz w:val="14"/>
              </w:rPr>
            </w:pPr>
          </w:p>
        </w:tc>
        <w:tc>
          <w:tcPr>
            <w:tcW w:w="408" w:type="dxa"/>
          </w:tcPr>
          <w:p>
            <w:pPr>
              <w:pStyle w:val="TableParagraph"/>
              <w:spacing w:before="5"/>
              <w:rPr>
                <w:sz w:val="17"/>
              </w:rPr>
            </w:pPr>
          </w:p>
          <w:p>
            <w:pPr>
              <w:pStyle w:val="TableParagraph"/>
              <w:ind w:left="7" w:right="22"/>
              <w:jc w:val="center"/>
              <w:rPr>
                <w:sz w:val="14"/>
              </w:rPr>
            </w:pPr>
            <w:r>
              <w:rPr>
                <w:w w:val="105"/>
                <w:sz w:val="14"/>
              </w:rPr>
              <w:t>0.0%</w:t>
            </w:r>
          </w:p>
        </w:tc>
      </w:tr>
      <w:tr>
        <w:trPr>
          <w:trHeight w:val="364" w:hRule="atLeast"/>
        </w:trPr>
        <w:tc>
          <w:tcPr>
            <w:tcW w:w="3686" w:type="dxa"/>
          </w:tcPr>
          <w:p>
            <w:pPr>
              <w:pStyle w:val="TableParagraph"/>
              <w:spacing w:before="101"/>
              <w:ind w:left="131"/>
              <w:rPr>
                <w:sz w:val="14"/>
              </w:rPr>
            </w:pPr>
            <w:r>
              <w:rPr>
                <w:w w:val="105"/>
                <w:sz w:val="14"/>
              </w:rPr>
              <w:t>Certificated Pupil Support Salaries</w:t>
            </w:r>
          </w:p>
        </w:tc>
        <w:tc>
          <w:tcPr>
            <w:tcW w:w="1444" w:type="dxa"/>
          </w:tcPr>
          <w:p>
            <w:pPr>
              <w:pStyle w:val="TableParagraph"/>
              <w:rPr>
                <w:rFonts w:ascii="Times New Roman"/>
                <w:sz w:val="14"/>
              </w:rPr>
            </w:pPr>
          </w:p>
        </w:tc>
        <w:tc>
          <w:tcPr>
            <w:tcW w:w="1127" w:type="dxa"/>
          </w:tcPr>
          <w:p>
            <w:pPr>
              <w:pStyle w:val="TableParagraph"/>
              <w:spacing w:before="101"/>
              <w:ind w:left="88" w:right="47"/>
              <w:jc w:val="center"/>
              <w:rPr>
                <w:sz w:val="14"/>
              </w:rPr>
            </w:pPr>
            <w:r>
              <w:rPr>
                <w:w w:val="105"/>
                <w:sz w:val="14"/>
              </w:rPr>
              <w:t>1200</w:t>
            </w:r>
          </w:p>
        </w:tc>
        <w:tc>
          <w:tcPr>
            <w:tcW w:w="1666" w:type="dxa"/>
          </w:tcPr>
          <w:p>
            <w:pPr>
              <w:pStyle w:val="TableParagraph"/>
              <w:spacing w:before="101"/>
              <w:ind w:right="284"/>
              <w:jc w:val="right"/>
              <w:rPr>
                <w:sz w:val="14"/>
              </w:rPr>
            </w:pPr>
            <w:r>
              <w:rPr>
                <w:sz w:val="14"/>
              </w:rPr>
              <w:t>0.00</w:t>
            </w:r>
          </w:p>
        </w:tc>
        <w:tc>
          <w:tcPr>
            <w:tcW w:w="1475" w:type="dxa"/>
          </w:tcPr>
          <w:p>
            <w:pPr>
              <w:pStyle w:val="TableParagraph"/>
              <w:spacing w:before="101"/>
              <w:ind w:right="247"/>
              <w:jc w:val="right"/>
              <w:rPr>
                <w:sz w:val="14"/>
              </w:rPr>
            </w:pPr>
            <w:r>
              <w:rPr>
                <w:sz w:val="14"/>
              </w:rPr>
              <w:t>0.00</w:t>
            </w:r>
          </w:p>
        </w:tc>
        <w:tc>
          <w:tcPr>
            <w:tcW w:w="981" w:type="dxa"/>
          </w:tcPr>
          <w:p>
            <w:pPr>
              <w:pStyle w:val="TableParagraph"/>
              <w:rPr>
                <w:rFonts w:ascii="Times New Roman"/>
                <w:sz w:val="14"/>
              </w:rPr>
            </w:pPr>
          </w:p>
        </w:tc>
        <w:tc>
          <w:tcPr>
            <w:tcW w:w="408" w:type="dxa"/>
          </w:tcPr>
          <w:p>
            <w:pPr>
              <w:pStyle w:val="TableParagraph"/>
              <w:spacing w:before="101"/>
              <w:ind w:left="7" w:right="22"/>
              <w:jc w:val="center"/>
              <w:rPr>
                <w:sz w:val="14"/>
              </w:rPr>
            </w:pPr>
            <w:r>
              <w:rPr>
                <w:w w:val="105"/>
                <w:sz w:val="14"/>
              </w:rPr>
              <w:t>0.0%</w:t>
            </w:r>
          </w:p>
        </w:tc>
      </w:tr>
      <w:tr>
        <w:trPr>
          <w:trHeight w:val="364" w:hRule="atLeast"/>
        </w:trPr>
        <w:tc>
          <w:tcPr>
            <w:tcW w:w="3686" w:type="dxa"/>
          </w:tcPr>
          <w:p>
            <w:pPr>
              <w:pStyle w:val="TableParagraph"/>
              <w:spacing w:before="101"/>
              <w:ind w:left="131"/>
              <w:rPr>
                <w:sz w:val="14"/>
              </w:rPr>
            </w:pPr>
            <w:r>
              <w:rPr>
                <w:w w:val="105"/>
                <w:sz w:val="14"/>
              </w:rPr>
              <w:t>Certificated Supervisors' and Administrators' Salaries</w:t>
            </w:r>
          </w:p>
        </w:tc>
        <w:tc>
          <w:tcPr>
            <w:tcW w:w="1444" w:type="dxa"/>
          </w:tcPr>
          <w:p>
            <w:pPr>
              <w:pStyle w:val="TableParagraph"/>
              <w:rPr>
                <w:rFonts w:ascii="Times New Roman"/>
                <w:sz w:val="14"/>
              </w:rPr>
            </w:pPr>
          </w:p>
        </w:tc>
        <w:tc>
          <w:tcPr>
            <w:tcW w:w="1127" w:type="dxa"/>
          </w:tcPr>
          <w:p>
            <w:pPr>
              <w:pStyle w:val="TableParagraph"/>
              <w:spacing w:before="101"/>
              <w:ind w:left="88" w:right="47"/>
              <w:jc w:val="center"/>
              <w:rPr>
                <w:sz w:val="14"/>
              </w:rPr>
            </w:pPr>
            <w:r>
              <w:rPr>
                <w:w w:val="105"/>
                <w:sz w:val="14"/>
              </w:rPr>
              <w:t>1300</w:t>
            </w:r>
          </w:p>
        </w:tc>
        <w:tc>
          <w:tcPr>
            <w:tcW w:w="1666" w:type="dxa"/>
          </w:tcPr>
          <w:p>
            <w:pPr>
              <w:pStyle w:val="TableParagraph"/>
              <w:spacing w:before="101"/>
              <w:ind w:right="284"/>
              <w:jc w:val="right"/>
              <w:rPr>
                <w:sz w:val="14"/>
              </w:rPr>
            </w:pPr>
            <w:r>
              <w:rPr>
                <w:sz w:val="14"/>
              </w:rPr>
              <w:t>0.00</w:t>
            </w:r>
          </w:p>
        </w:tc>
        <w:tc>
          <w:tcPr>
            <w:tcW w:w="1475" w:type="dxa"/>
          </w:tcPr>
          <w:p>
            <w:pPr>
              <w:pStyle w:val="TableParagraph"/>
              <w:spacing w:before="101"/>
              <w:ind w:right="247"/>
              <w:jc w:val="right"/>
              <w:rPr>
                <w:sz w:val="14"/>
              </w:rPr>
            </w:pPr>
            <w:r>
              <w:rPr>
                <w:sz w:val="14"/>
              </w:rPr>
              <w:t>0.00</w:t>
            </w:r>
          </w:p>
        </w:tc>
        <w:tc>
          <w:tcPr>
            <w:tcW w:w="981" w:type="dxa"/>
          </w:tcPr>
          <w:p>
            <w:pPr>
              <w:pStyle w:val="TableParagraph"/>
              <w:rPr>
                <w:rFonts w:ascii="Times New Roman"/>
                <w:sz w:val="14"/>
              </w:rPr>
            </w:pPr>
          </w:p>
        </w:tc>
        <w:tc>
          <w:tcPr>
            <w:tcW w:w="408" w:type="dxa"/>
          </w:tcPr>
          <w:p>
            <w:pPr>
              <w:pStyle w:val="TableParagraph"/>
              <w:spacing w:before="101"/>
              <w:ind w:left="7" w:right="22"/>
              <w:jc w:val="center"/>
              <w:rPr>
                <w:sz w:val="14"/>
              </w:rPr>
            </w:pPr>
            <w:r>
              <w:rPr>
                <w:w w:val="105"/>
                <w:sz w:val="14"/>
              </w:rPr>
              <w:t>0.0%</w:t>
            </w:r>
          </w:p>
        </w:tc>
      </w:tr>
      <w:tr>
        <w:trPr>
          <w:trHeight w:val="370" w:hRule="atLeast"/>
        </w:trPr>
        <w:tc>
          <w:tcPr>
            <w:tcW w:w="3686" w:type="dxa"/>
          </w:tcPr>
          <w:p>
            <w:pPr>
              <w:pStyle w:val="TableParagraph"/>
              <w:spacing w:before="101"/>
              <w:ind w:left="131"/>
              <w:rPr>
                <w:sz w:val="14"/>
              </w:rPr>
            </w:pPr>
            <w:r>
              <w:rPr>
                <w:w w:val="105"/>
                <w:sz w:val="14"/>
              </w:rPr>
              <w:t>Other Certificated Salaries</w:t>
            </w:r>
          </w:p>
        </w:tc>
        <w:tc>
          <w:tcPr>
            <w:tcW w:w="1444" w:type="dxa"/>
          </w:tcPr>
          <w:p>
            <w:pPr>
              <w:pStyle w:val="TableParagraph"/>
              <w:rPr>
                <w:rFonts w:ascii="Times New Roman"/>
                <w:sz w:val="14"/>
              </w:rPr>
            </w:pPr>
          </w:p>
        </w:tc>
        <w:tc>
          <w:tcPr>
            <w:tcW w:w="1127" w:type="dxa"/>
          </w:tcPr>
          <w:p>
            <w:pPr>
              <w:pStyle w:val="TableParagraph"/>
              <w:spacing w:before="101"/>
              <w:ind w:left="88" w:right="47"/>
              <w:jc w:val="center"/>
              <w:rPr>
                <w:sz w:val="14"/>
              </w:rPr>
            </w:pPr>
            <w:r>
              <w:rPr>
                <w:w w:val="105"/>
                <w:sz w:val="14"/>
              </w:rPr>
              <w:t>1900</w:t>
            </w:r>
          </w:p>
        </w:tc>
        <w:tc>
          <w:tcPr>
            <w:tcW w:w="1666" w:type="dxa"/>
          </w:tcPr>
          <w:p>
            <w:pPr>
              <w:pStyle w:val="TableParagraph"/>
              <w:spacing w:before="101"/>
              <w:ind w:right="284"/>
              <w:jc w:val="right"/>
              <w:rPr>
                <w:sz w:val="14"/>
              </w:rPr>
            </w:pPr>
            <w:r>
              <w:rPr>
                <w:sz w:val="14"/>
              </w:rPr>
              <w:t>0.00</w:t>
            </w:r>
          </w:p>
        </w:tc>
        <w:tc>
          <w:tcPr>
            <w:tcW w:w="1475" w:type="dxa"/>
          </w:tcPr>
          <w:p>
            <w:pPr>
              <w:pStyle w:val="TableParagraph"/>
              <w:spacing w:before="101"/>
              <w:ind w:right="247"/>
              <w:jc w:val="right"/>
              <w:rPr>
                <w:sz w:val="14"/>
              </w:rPr>
            </w:pPr>
            <w:r>
              <w:rPr>
                <w:sz w:val="14"/>
              </w:rPr>
              <w:t>0.00</w:t>
            </w:r>
          </w:p>
        </w:tc>
        <w:tc>
          <w:tcPr>
            <w:tcW w:w="981" w:type="dxa"/>
          </w:tcPr>
          <w:p>
            <w:pPr>
              <w:pStyle w:val="TableParagraph"/>
              <w:rPr>
                <w:rFonts w:ascii="Times New Roman"/>
                <w:sz w:val="14"/>
              </w:rPr>
            </w:pPr>
          </w:p>
        </w:tc>
        <w:tc>
          <w:tcPr>
            <w:tcW w:w="408" w:type="dxa"/>
          </w:tcPr>
          <w:p>
            <w:pPr>
              <w:pStyle w:val="TableParagraph"/>
              <w:spacing w:before="101"/>
              <w:ind w:left="7" w:right="22"/>
              <w:jc w:val="center"/>
              <w:rPr>
                <w:sz w:val="14"/>
              </w:rPr>
            </w:pPr>
            <w:r>
              <w:rPr>
                <w:w w:val="105"/>
                <w:sz w:val="14"/>
              </w:rPr>
              <w:t>0.0%</w:t>
            </w:r>
          </w:p>
        </w:tc>
      </w:tr>
      <w:tr>
        <w:trPr>
          <w:trHeight w:val="268" w:hRule="atLeast"/>
        </w:trPr>
        <w:tc>
          <w:tcPr>
            <w:tcW w:w="3686" w:type="dxa"/>
          </w:tcPr>
          <w:p>
            <w:pPr>
              <w:pStyle w:val="TableParagraph"/>
              <w:spacing w:line="142" w:lineRule="exact" w:before="107"/>
              <w:ind w:left="131"/>
              <w:rPr>
                <w:sz w:val="14"/>
              </w:rPr>
            </w:pPr>
            <w:r>
              <w:rPr>
                <w:w w:val="105"/>
                <w:sz w:val="14"/>
              </w:rPr>
              <w:t>TOTAL, CERTIFICATED SALARIES</w:t>
            </w:r>
          </w:p>
        </w:tc>
        <w:tc>
          <w:tcPr>
            <w:tcW w:w="1444" w:type="dxa"/>
          </w:tcPr>
          <w:p>
            <w:pPr>
              <w:pStyle w:val="TableParagraph"/>
              <w:rPr>
                <w:rFonts w:ascii="Times New Roman"/>
                <w:sz w:val="14"/>
              </w:rPr>
            </w:pPr>
          </w:p>
        </w:tc>
        <w:tc>
          <w:tcPr>
            <w:tcW w:w="1127" w:type="dxa"/>
          </w:tcPr>
          <w:p>
            <w:pPr>
              <w:pStyle w:val="TableParagraph"/>
              <w:rPr>
                <w:rFonts w:ascii="Times New Roman"/>
                <w:sz w:val="14"/>
              </w:rPr>
            </w:pPr>
          </w:p>
        </w:tc>
        <w:tc>
          <w:tcPr>
            <w:tcW w:w="1666" w:type="dxa"/>
          </w:tcPr>
          <w:p>
            <w:pPr>
              <w:pStyle w:val="TableParagraph"/>
              <w:spacing w:line="142" w:lineRule="exact" w:before="107"/>
              <w:ind w:right="284"/>
              <w:jc w:val="right"/>
              <w:rPr>
                <w:sz w:val="14"/>
              </w:rPr>
            </w:pPr>
            <w:r>
              <w:rPr>
                <w:sz w:val="14"/>
              </w:rPr>
              <w:t>0.00</w:t>
            </w:r>
          </w:p>
        </w:tc>
        <w:tc>
          <w:tcPr>
            <w:tcW w:w="1475" w:type="dxa"/>
          </w:tcPr>
          <w:p>
            <w:pPr>
              <w:pStyle w:val="TableParagraph"/>
              <w:spacing w:line="142" w:lineRule="exact" w:before="107"/>
              <w:ind w:right="247"/>
              <w:jc w:val="right"/>
              <w:rPr>
                <w:sz w:val="14"/>
              </w:rPr>
            </w:pPr>
            <w:r>
              <w:rPr>
                <w:sz w:val="14"/>
              </w:rPr>
              <w:t>0.00</w:t>
            </w:r>
          </w:p>
        </w:tc>
        <w:tc>
          <w:tcPr>
            <w:tcW w:w="981" w:type="dxa"/>
          </w:tcPr>
          <w:p>
            <w:pPr>
              <w:pStyle w:val="TableParagraph"/>
              <w:rPr>
                <w:rFonts w:ascii="Times New Roman"/>
                <w:sz w:val="14"/>
              </w:rPr>
            </w:pPr>
          </w:p>
        </w:tc>
        <w:tc>
          <w:tcPr>
            <w:tcW w:w="408" w:type="dxa"/>
          </w:tcPr>
          <w:p>
            <w:pPr>
              <w:pStyle w:val="TableParagraph"/>
              <w:spacing w:line="142" w:lineRule="exact" w:before="107"/>
              <w:ind w:left="7" w:right="22"/>
              <w:jc w:val="center"/>
              <w:rPr>
                <w:sz w:val="14"/>
              </w:rPr>
            </w:pPr>
            <w:r>
              <w:rPr>
                <w:w w:val="105"/>
                <w:sz w:val="14"/>
              </w:rPr>
              <w:t>0.0%</w:t>
            </w:r>
          </w:p>
        </w:tc>
      </w:tr>
    </w:tbl>
    <w:p>
      <w:pPr>
        <w:pStyle w:val="BodyText"/>
        <w:spacing w:before="10"/>
        <w:rPr>
          <w:sz w:val="9"/>
        </w:rPr>
      </w:pPr>
    </w:p>
    <w:p>
      <w:pPr>
        <w:spacing w:before="99"/>
        <w:ind w:left="478" w:right="0" w:firstLine="0"/>
        <w:jc w:val="left"/>
        <w:rPr>
          <w:b/>
          <w:sz w:val="14"/>
        </w:rPr>
      </w:pPr>
      <w:r>
        <w:rPr>
          <w:b/>
          <w:w w:val="105"/>
          <w:sz w:val="14"/>
        </w:rPr>
        <w:t>CLASSIFIED SALARIES</w:t>
      </w:r>
    </w:p>
    <w:p>
      <w:pPr>
        <w:pStyle w:val="BodyText"/>
        <w:rPr>
          <w:b/>
          <w:sz w:val="20"/>
        </w:rPr>
      </w:pPr>
    </w:p>
    <w:p>
      <w:pPr>
        <w:pStyle w:val="BodyText"/>
        <w:spacing w:before="3"/>
        <w:rPr>
          <w:b/>
        </w:rPr>
      </w:pPr>
    </w:p>
    <w:tbl>
      <w:tblPr>
        <w:tblW w:w="0" w:type="auto"/>
        <w:jc w:val="left"/>
        <w:tblInd w:w="5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91"/>
        <w:gridCol w:w="2142"/>
        <w:gridCol w:w="1638"/>
        <w:gridCol w:w="1526"/>
        <w:gridCol w:w="1007"/>
      </w:tblGrid>
      <w:tr>
        <w:trPr>
          <w:trHeight w:val="262" w:hRule="atLeast"/>
        </w:trPr>
        <w:tc>
          <w:tcPr>
            <w:tcW w:w="4391" w:type="dxa"/>
          </w:tcPr>
          <w:p>
            <w:pPr>
              <w:pStyle w:val="TableParagraph"/>
              <w:spacing w:line="160" w:lineRule="exact"/>
              <w:ind w:left="50"/>
              <w:rPr>
                <w:sz w:val="14"/>
              </w:rPr>
            </w:pPr>
            <w:r>
              <w:rPr>
                <w:w w:val="105"/>
                <w:sz w:val="14"/>
              </w:rPr>
              <w:t>Classified Instructional Salaries</w:t>
            </w:r>
          </w:p>
        </w:tc>
        <w:tc>
          <w:tcPr>
            <w:tcW w:w="2142" w:type="dxa"/>
          </w:tcPr>
          <w:p>
            <w:pPr>
              <w:pStyle w:val="TableParagraph"/>
              <w:spacing w:line="160" w:lineRule="exact"/>
              <w:ind w:right="739"/>
              <w:jc w:val="right"/>
              <w:rPr>
                <w:sz w:val="14"/>
              </w:rPr>
            </w:pPr>
            <w:r>
              <w:rPr>
                <w:sz w:val="14"/>
              </w:rPr>
              <w:t>2100</w:t>
            </w:r>
          </w:p>
        </w:tc>
        <w:tc>
          <w:tcPr>
            <w:tcW w:w="1638" w:type="dxa"/>
          </w:tcPr>
          <w:p>
            <w:pPr>
              <w:pStyle w:val="TableParagraph"/>
              <w:spacing w:line="160" w:lineRule="exact"/>
              <w:ind w:right="613"/>
              <w:jc w:val="right"/>
              <w:rPr>
                <w:sz w:val="14"/>
              </w:rPr>
            </w:pPr>
            <w:r>
              <w:rPr>
                <w:sz w:val="14"/>
              </w:rPr>
              <w:t>0.00</w:t>
            </w:r>
          </w:p>
        </w:tc>
        <w:tc>
          <w:tcPr>
            <w:tcW w:w="1526" w:type="dxa"/>
          </w:tcPr>
          <w:p>
            <w:pPr>
              <w:pStyle w:val="TableParagraph"/>
              <w:spacing w:line="160" w:lineRule="exact"/>
              <w:ind w:left="617"/>
              <w:rPr>
                <w:sz w:val="14"/>
              </w:rPr>
            </w:pPr>
            <w:r>
              <w:rPr>
                <w:w w:val="105"/>
                <w:sz w:val="14"/>
              </w:rPr>
              <w:t>0.00</w:t>
            </w:r>
          </w:p>
        </w:tc>
        <w:tc>
          <w:tcPr>
            <w:tcW w:w="1007" w:type="dxa"/>
          </w:tcPr>
          <w:p>
            <w:pPr>
              <w:pStyle w:val="TableParagraph"/>
              <w:spacing w:line="160" w:lineRule="exact"/>
              <w:ind w:right="46"/>
              <w:jc w:val="right"/>
              <w:rPr>
                <w:sz w:val="14"/>
              </w:rPr>
            </w:pPr>
            <w:r>
              <w:rPr>
                <w:sz w:val="14"/>
              </w:rPr>
              <w:t>0.0%</w:t>
            </w:r>
          </w:p>
        </w:tc>
      </w:tr>
      <w:tr>
        <w:trPr>
          <w:trHeight w:val="364" w:hRule="atLeast"/>
        </w:trPr>
        <w:tc>
          <w:tcPr>
            <w:tcW w:w="4391" w:type="dxa"/>
          </w:tcPr>
          <w:p>
            <w:pPr>
              <w:pStyle w:val="TableParagraph"/>
              <w:spacing w:before="101"/>
              <w:ind w:left="50"/>
              <w:rPr>
                <w:sz w:val="14"/>
              </w:rPr>
            </w:pPr>
            <w:r>
              <w:rPr>
                <w:w w:val="105"/>
                <w:sz w:val="14"/>
              </w:rPr>
              <w:t>Classified Support Salaries</w:t>
            </w:r>
          </w:p>
        </w:tc>
        <w:tc>
          <w:tcPr>
            <w:tcW w:w="2142" w:type="dxa"/>
          </w:tcPr>
          <w:p>
            <w:pPr>
              <w:pStyle w:val="TableParagraph"/>
              <w:spacing w:before="101"/>
              <w:ind w:right="739"/>
              <w:jc w:val="right"/>
              <w:rPr>
                <w:sz w:val="14"/>
              </w:rPr>
            </w:pPr>
            <w:r>
              <w:rPr>
                <w:sz w:val="14"/>
              </w:rPr>
              <w:t>2200</w:t>
            </w:r>
          </w:p>
        </w:tc>
        <w:tc>
          <w:tcPr>
            <w:tcW w:w="1638" w:type="dxa"/>
          </w:tcPr>
          <w:p>
            <w:pPr>
              <w:pStyle w:val="TableParagraph"/>
              <w:spacing w:before="101"/>
              <w:ind w:right="613"/>
              <w:jc w:val="right"/>
              <w:rPr>
                <w:sz w:val="14"/>
              </w:rPr>
            </w:pPr>
            <w:r>
              <w:rPr>
                <w:sz w:val="14"/>
              </w:rPr>
              <w:t>0.00</w:t>
            </w:r>
          </w:p>
        </w:tc>
        <w:tc>
          <w:tcPr>
            <w:tcW w:w="1526" w:type="dxa"/>
          </w:tcPr>
          <w:p>
            <w:pPr>
              <w:pStyle w:val="TableParagraph"/>
              <w:spacing w:before="101"/>
              <w:ind w:left="617"/>
              <w:rPr>
                <w:sz w:val="14"/>
              </w:rPr>
            </w:pPr>
            <w:r>
              <w:rPr>
                <w:w w:val="105"/>
                <w:sz w:val="14"/>
              </w:rPr>
              <w:t>0.00</w:t>
            </w:r>
          </w:p>
        </w:tc>
        <w:tc>
          <w:tcPr>
            <w:tcW w:w="1007" w:type="dxa"/>
          </w:tcPr>
          <w:p>
            <w:pPr>
              <w:pStyle w:val="TableParagraph"/>
              <w:spacing w:before="101"/>
              <w:ind w:right="46"/>
              <w:jc w:val="right"/>
              <w:rPr>
                <w:sz w:val="14"/>
              </w:rPr>
            </w:pPr>
            <w:r>
              <w:rPr>
                <w:sz w:val="14"/>
              </w:rPr>
              <w:t>0.0%</w:t>
            </w:r>
          </w:p>
        </w:tc>
      </w:tr>
      <w:tr>
        <w:trPr>
          <w:trHeight w:val="364" w:hRule="atLeast"/>
        </w:trPr>
        <w:tc>
          <w:tcPr>
            <w:tcW w:w="4391" w:type="dxa"/>
          </w:tcPr>
          <w:p>
            <w:pPr>
              <w:pStyle w:val="TableParagraph"/>
              <w:spacing w:before="101"/>
              <w:ind w:left="50"/>
              <w:rPr>
                <w:sz w:val="14"/>
              </w:rPr>
            </w:pPr>
            <w:r>
              <w:rPr>
                <w:w w:val="105"/>
                <w:sz w:val="14"/>
              </w:rPr>
              <w:t>Classified Supervisors' and Administrators' Salaries</w:t>
            </w:r>
          </w:p>
        </w:tc>
        <w:tc>
          <w:tcPr>
            <w:tcW w:w="2142" w:type="dxa"/>
          </w:tcPr>
          <w:p>
            <w:pPr>
              <w:pStyle w:val="TableParagraph"/>
              <w:spacing w:before="101"/>
              <w:ind w:right="739"/>
              <w:jc w:val="right"/>
              <w:rPr>
                <w:sz w:val="14"/>
              </w:rPr>
            </w:pPr>
            <w:r>
              <w:rPr>
                <w:sz w:val="14"/>
              </w:rPr>
              <w:t>2300</w:t>
            </w:r>
          </w:p>
        </w:tc>
        <w:tc>
          <w:tcPr>
            <w:tcW w:w="1638" w:type="dxa"/>
          </w:tcPr>
          <w:p>
            <w:pPr>
              <w:pStyle w:val="TableParagraph"/>
              <w:spacing w:before="101"/>
              <w:ind w:right="613"/>
              <w:jc w:val="right"/>
              <w:rPr>
                <w:sz w:val="14"/>
              </w:rPr>
            </w:pPr>
            <w:r>
              <w:rPr>
                <w:sz w:val="14"/>
              </w:rPr>
              <w:t>0.00</w:t>
            </w:r>
          </w:p>
        </w:tc>
        <w:tc>
          <w:tcPr>
            <w:tcW w:w="1526" w:type="dxa"/>
          </w:tcPr>
          <w:p>
            <w:pPr>
              <w:pStyle w:val="TableParagraph"/>
              <w:spacing w:before="101"/>
              <w:ind w:left="617"/>
              <w:rPr>
                <w:sz w:val="14"/>
              </w:rPr>
            </w:pPr>
            <w:r>
              <w:rPr>
                <w:w w:val="105"/>
                <w:sz w:val="14"/>
              </w:rPr>
              <w:t>0.00</w:t>
            </w:r>
          </w:p>
        </w:tc>
        <w:tc>
          <w:tcPr>
            <w:tcW w:w="1007" w:type="dxa"/>
          </w:tcPr>
          <w:p>
            <w:pPr>
              <w:pStyle w:val="TableParagraph"/>
              <w:spacing w:before="101"/>
              <w:ind w:right="46"/>
              <w:jc w:val="right"/>
              <w:rPr>
                <w:sz w:val="14"/>
              </w:rPr>
            </w:pPr>
            <w:r>
              <w:rPr>
                <w:sz w:val="14"/>
              </w:rPr>
              <w:t>0.0%</w:t>
            </w:r>
          </w:p>
        </w:tc>
      </w:tr>
      <w:tr>
        <w:trPr>
          <w:trHeight w:val="364" w:hRule="atLeast"/>
        </w:trPr>
        <w:tc>
          <w:tcPr>
            <w:tcW w:w="4391" w:type="dxa"/>
          </w:tcPr>
          <w:p>
            <w:pPr>
              <w:pStyle w:val="TableParagraph"/>
              <w:spacing w:before="101"/>
              <w:ind w:left="50"/>
              <w:rPr>
                <w:sz w:val="14"/>
              </w:rPr>
            </w:pPr>
            <w:r>
              <w:rPr>
                <w:w w:val="105"/>
                <w:sz w:val="14"/>
              </w:rPr>
              <w:t>Clerical, Technical and Office Salaries</w:t>
            </w:r>
          </w:p>
        </w:tc>
        <w:tc>
          <w:tcPr>
            <w:tcW w:w="2142" w:type="dxa"/>
          </w:tcPr>
          <w:p>
            <w:pPr>
              <w:pStyle w:val="TableParagraph"/>
              <w:spacing w:before="101"/>
              <w:ind w:right="739"/>
              <w:jc w:val="right"/>
              <w:rPr>
                <w:sz w:val="14"/>
              </w:rPr>
            </w:pPr>
            <w:r>
              <w:rPr>
                <w:sz w:val="14"/>
              </w:rPr>
              <w:t>2400</w:t>
            </w:r>
          </w:p>
        </w:tc>
        <w:tc>
          <w:tcPr>
            <w:tcW w:w="1638" w:type="dxa"/>
          </w:tcPr>
          <w:p>
            <w:pPr>
              <w:pStyle w:val="TableParagraph"/>
              <w:spacing w:before="101"/>
              <w:ind w:right="613"/>
              <w:jc w:val="right"/>
              <w:rPr>
                <w:sz w:val="14"/>
              </w:rPr>
            </w:pPr>
            <w:r>
              <w:rPr>
                <w:sz w:val="14"/>
              </w:rPr>
              <w:t>0.00</w:t>
            </w:r>
          </w:p>
        </w:tc>
        <w:tc>
          <w:tcPr>
            <w:tcW w:w="1526" w:type="dxa"/>
          </w:tcPr>
          <w:p>
            <w:pPr>
              <w:pStyle w:val="TableParagraph"/>
              <w:spacing w:before="101"/>
              <w:ind w:left="617"/>
              <w:rPr>
                <w:sz w:val="14"/>
              </w:rPr>
            </w:pPr>
            <w:r>
              <w:rPr>
                <w:w w:val="105"/>
                <w:sz w:val="14"/>
              </w:rPr>
              <w:t>0.00</w:t>
            </w:r>
          </w:p>
        </w:tc>
        <w:tc>
          <w:tcPr>
            <w:tcW w:w="1007" w:type="dxa"/>
          </w:tcPr>
          <w:p>
            <w:pPr>
              <w:pStyle w:val="TableParagraph"/>
              <w:spacing w:before="101"/>
              <w:ind w:right="46"/>
              <w:jc w:val="right"/>
              <w:rPr>
                <w:sz w:val="14"/>
              </w:rPr>
            </w:pPr>
            <w:r>
              <w:rPr>
                <w:sz w:val="14"/>
              </w:rPr>
              <w:t>0.0%</w:t>
            </w:r>
          </w:p>
        </w:tc>
      </w:tr>
      <w:tr>
        <w:trPr>
          <w:trHeight w:val="370" w:hRule="atLeast"/>
        </w:trPr>
        <w:tc>
          <w:tcPr>
            <w:tcW w:w="4391" w:type="dxa"/>
          </w:tcPr>
          <w:p>
            <w:pPr>
              <w:pStyle w:val="TableParagraph"/>
              <w:spacing w:before="101"/>
              <w:ind w:left="50"/>
              <w:rPr>
                <w:sz w:val="14"/>
              </w:rPr>
            </w:pPr>
            <w:r>
              <w:rPr>
                <w:w w:val="105"/>
                <w:sz w:val="14"/>
              </w:rPr>
              <w:t>Other Classified Salaries</w:t>
            </w:r>
          </w:p>
        </w:tc>
        <w:tc>
          <w:tcPr>
            <w:tcW w:w="2142" w:type="dxa"/>
          </w:tcPr>
          <w:p>
            <w:pPr>
              <w:pStyle w:val="TableParagraph"/>
              <w:spacing w:before="101"/>
              <w:ind w:right="739"/>
              <w:jc w:val="right"/>
              <w:rPr>
                <w:sz w:val="14"/>
              </w:rPr>
            </w:pPr>
            <w:r>
              <w:rPr>
                <w:sz w:val="14"/>
              </w:rPr>
              <w:t>2900</w:t>
            </w:r>
          </w:p>
        </w:tc>
        <w:tc>
          <w:tcPr>
            <w:tcW w:w="1638" w:type="dxa"/>
          </w:tcPr>
          <w:p>
            <w:pPr>
              <w:pStyle w:val="TableParagraph"/>
              <w:spacing w:before="101"/>
              <w:ind w:right="613"/>
              <w:jc w:val="right"/>
              <w:rPr>
                <w:sz w:val="14"/>
              </w:rPr>
            </w:pPr>
            <w:r>
              <w:rPr>
                <w:sz w:val="14"/>
              </w:rPr>
              <w:t>0.00</w:t>
            </w:r>
          </w:p>
        </w:tc>
        <w:tc>
          <w:tcPr>
            <w:tcW w:w="1526" w:type="dxa"/>
          </w:tcPr>
          <w:p>
            <w:pPr>
              <w:pStyle w:val="TableParagraph"/>
              <w:spacing w:before="101"/>
              <w:ind w:left="617"/>
              <w:rPr>
                <w:sz w:val="14"/>
              </w:rPr>
            </w:pPr>
            <w:r>
              <w:rPr>
                <w:w w:val="105"/>
                <w:sz w:val="14"/>
              </w:rPr>
              <w:t>0.00</w:t>
            </w:r>
          </w:p>
        </w:tc>
        <w:tc>
          <w:tcPr>
            <w:tcW w:w="1007" w:type="dxa"/>
          </w:tcPr>
          <w:p>
            <w:pPr>
              <w:pStyle w:val="TableParagraph"/>
              <w:spacing w:before="101"/>
              <w:ind w:right="46"/>
              <w:jc w:val="right"/>
              <w:rPr>
                <w:sz w:val="14"/>
              </w:rPr>
            </w:pPr>
            <w:r>
              <w:rPr>
                <w:sz w:val="14"/>
              </w:rPr>
              <w:t>0.0%</w:t>
            </w:r>
          </w:p>
        </w:tc>
      </w:tr>
      <w:tr>
        <w:trPr>
          <w:trHeight w:val="268" w:hRule="atLeast"/>
        </w:trPr>
        <w:tc>
          <w:tcPr>
            <w:tcW w:w="4391" w:type="dxa"/>
          </w:tcPr>
          <w:p>
            <w:pPr>
              <w:pStyle w:val="TableParagraph"/>
              <w:spacing w:line="142" w:lineRule="exact" w:before="107"/>
              <w:ind w:left="50"/>
              <w:rPr>
                <w:sz w:val="14"/>
              </w:rPr>
            </w:pPr>
            <w:r>
              <w:rPr>
                <w:w w:val="105"/>
                <w:sz w:val="14"/>
              </w:rPr>
              <w:t>TOTAL, CLASSIFIED SALARIES</w:t>
            </w:r>
          </w:p>
        </w:tc>
        <w:tc>
          <w:tcPr>
            <w:tcW w:w="2142" w:type="dxa"/>
          </w:tcPr>
          <w:p>
            <w:pPr>
              <w:pStyle w:val="TableParagraph"/>
              <w:rPr>
                <w:rFonts w:ascii="Times New Roman"/>
                <w:sz w:val="14"/>
              </w:rPr>
            </w:pPr>
          </w:p>
        </w:tc>
        <w:tc>
          <w:tcPr>
            <w:tcW w:w="1638" w:type="dxa"/>
          </w:tcPr>
          <w:p>
            <w:pPr>
              <w:pStyle w:val="TableParagraph"/>
              <w:spacing w:line="142" w:lineRule="exact" w:before="107"/>
              <w:ind w:right="613"/>
              <w:jc w:val="right"/>
              <w:rPr>
                <w:sz w:val="14"/>
              </w:rPr>
            </w:pPr>
            <w:r>
              <w:rPr>
                <w:sz w:val="14"/>
              </w:rPr>
              <w:t>0.00</w:t>
            </w:r>
          </w:p>
        </w:tc>
        <w:tc>
          <w:tcPr>
            <w:tcW w:w="1526" w:type="dxa"/>
          </w:tcPr>
          <w:p>
            <w:pPr>
              <w:pStyle w:val="TableParagraph"/>
              <w:spacing w:line="142" w:lineRule="exact" w:before="107"/>
              <w:ind w:left="617"/>
              <w:rPr>
                <w:sz w:val="14"/>
              </w:rPr>
            </w:pPr>
            <w:r>
              <w:rPr>
                <w:w w:val="105"/>
                <w:sz w:val="14"/>
              </w:rPr>
              <w:t>0.00</w:t>
            </w:r>
          </w:p>
        </w:tc>
        <w:tc>
          <w:tcPr>
            <w:tcW w:w="1007" w:type="dxa"/>
          </w:tcPr>
          <w:p>
            <w:pPr>
              <w:pStyle w:val="TableParagraph"/>
              <w:spacing w:line="142" w:lineRule="exact" w:before="107"/>
              <w:ind w:right="46"/>
              <w:jc w:val="right"/>
              <w:rPr>
                <w:sz w:val="14"/>
              </w:rPr>
            </w:pPr>
            <w:r>
              <w:rPr>
                <w:sz w:val="14"/>
              </w:rPr>
              <w:t>0.0%</w:t>
            </w:r>
          </w:p>
        </w:tc>
      </w:tr>
    </w:tbl>
    <w:p>
      <w:pPr>
        <w:pStyle w:val="BodyText"/>
        <w:spacing w:before="5"/>
        <w:rPr>
          <w:b/>
          <w:sz w:val="18"/>
        </w:rPr>
      </w:pPr>
    </w:p>
    <w:p>
      <w:pPr>
        <w:spacing w:before="0"/>
        <w:ind w:left="478" w:right="0" w:firstLine="0"/>
        <w:jc w:val="left"/>
        <w:rPr>
          <w:b/>
          <w:sz w:val="14"/>
        </w:rPr>
      </w:pPr>
      <w:r>
        <w:rPr>
          <w:b/>
          <w:w w:val="105"/>
          <w:sz w:val="14"/>
        </w:rPr>
        <w:t>EMPLOYEE BENEFITS</w:t>
      </w:r>
    </w:p>
    <w:p>
      <w:pPr>
        <w:pStyle w:val="BodyText"/>
        <w:rPr>
          <w:b/>
          <w:sz w:val="20"/>
        </w:rPr>
      </w:pPr>
    </w:p>
    <w:p>
      <w:pPr>
        <w:pStyle w:val="BodyText"/>
        <w:spacing w:before="2"/>
        <w:rPr>
          <w:b/>
          <w:sz w:val="15"/>
        </w:rPr>
      </w:pPr>
    </w:p>
    <w:tbl>
      <w:tblPr>
        <w:tblW w:w="0" w:type="auto"/>
        <w:jc w:val="left"/>
        <w:tblInd w:w="5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14"/>
        <w:gridCol w:w="2911"/>
        <w:gridCol w:w="1547"/>
        <w:gridCol w:w="1527"/>
        <w:gridCol w:w="1008"/>
      </w:tblGrid>
      <w:tr>
        <w:trPr>
          <w:trHeight w:val="262" w:hRule="atLeast"/>
        </w:trPr>
        <w:tc>
          <w:tcPr>
            <w:tcW w:w="3714" w:type="dxa"/>
          </w:tcPr>
          <w:p>
            <w:pPr>
              <w:pStyle w:val="TableParagraph"/>
              <w:spacing w:line="160" w:lineRule="exact"/>
              <w:ind w:left="50"/>
              <w:rPr>
                <w:sz w:val="14"/>
              </w:rPr>
            </w:pPr>
            <w:r>
              <w:rPr>
                <w:w w:val="105"/>
                <w:sz w:val="14"/>
              </w:rPr>
              <w:t>STRS</w:t>
            </w:r>
          </w:p>
        </w:tc>
        <w:tc>
          <w:tcPr>
            <w:tcW w:w="2911" w:type="dxa"/>
          </w:tcPr>
          <w:p>
            <w:pPr>
              <w:pStyle w:val="TableParagraph"/>
              <w:spacing w:line="160" w:lineRule="exact"/>
              <w:ind w:right="649"/>
              <w:jc w:val="right"/>
              <w:rPr>
                <w:sz w:val="14"/>
              </w:rPr>
            </w:pPr>
            <w:r>
              <w:rPr>
                <w:sz w:val="14"/>
              </w:rPr>
              <w:t>3101-3102</w:t>
            </w:r>
          </w:p>
        </w:tc>
        <w:tc>
          <w:tcPr>
            <w:tcW w:w="1547" w:type="dxa"/>
          </w:tcPr>
          <w:p>
            <w:pPr>
              <w:pStyle w:val="TableParagraph"/>
              <w:spacing w:line="160" w:lineRule="exact"/>
              <w:ind w:left="626" w:right="592"/>
              <w:jc w:val="center"/>
              <w:rPr>
                <w:sz w:val="14"/>
              </w:rPr>
            </w:pPr>
            <w:r>
              <w:rPr>
                <w:w w:val="105"/>
                <w:sz w:val="14"/>
              </w:rPr>
              <w:t>0.00</w:t>
            </w:r>
          </w:p>
        </w:tc>
        <w:tc>
          <w:tcPr>
            <w:tcW w:w="1527" w:type="dxa"/>
          </w:tcPr>
          <w:p>
            <w:pPr>
              <w:pStyle w:val="TableParagraph"/>
              <w:spacing w:line="160" w:lineRule="exact"/>
              <w:ind w:left="616"/>
              <w:rPr>
                <w:sz w:val="14"/>
              </w:rPr>
            </w:pPr>
            <w:r>
              <w:rPr>
                <w:w w:val="105"/>
                <w:sz w:val="14"/>
              </w:rPr>
              <w:t>0.00</w:t>
            </w:r>
          </w:p>
        </w:tc>
        <w:tc>
          <w:tcPr>
            <w:tcW w:w="1008" w:type="dxa"/>
          </w:tcPr>
          <w:p>
            <w:pPr>
              <w:pStyle w:val="TableParagraph"/>
              <w:spacing w:line="160" w:lineRule="exact"/>
              <w:ind w:right="49"/>
              <w:jc w:val="right"/>
              <w:rPr>
                <w:sz w:val="14"/>
              </w:rPr>
            </w:pPr>
            <w:r>
              <w:rPr>
                <w:sz w:val="14"/>
              </w:rPr>
              <w:t>0.0%</w:t>
            </w:r>
          </w:p>
        </w:tc>
      </w:tr>
      <w:tr>
        <w:trPr>
          <w:trHeight w:val="364" w:hRule="atLeast"/>
        </w:trPr>
        <w:tc>
          <w:tcPr>
            <w:tcW w:w="3714" w:type="dxa"/>
          </w:tcPr>
          <w:p>
            <w:pPr>
              <w:pStyle w:val="TableParagraph"/>
              <w:spacing w:before="101"/>
              <w:ind w:left="50"/>
              <w:rPr>
                <w:sz w:val="14"/>
              </w:rPr>
            </w:pPr>
            <w:r>
              <w:rPr>
                <w:w w:val="105"/>
                <w:sz w:val="14"/>
              </w:rPr>
              <w:t>PERS</w:t>
            </w:r>
          </w:p>
        </w:tc>
        <w:tc>
          <w:tcPr>
            <w:tcW w:w="2911" w:type="dxa"/>
          </w:tcPr>
          <w:p>
            <w:pPr>
              <w:pStyle w:val="TableParagraph"/>
              <w:spacing w:before="101"/>
              <w:ind w:right="649"/>
              <w:jc w:val="right"/>
              <w:rPr>
                <w:sz w:val="14"/>
              </w:rPr>
            </w:pPr>
            <w:r>
              <w:rPr>
                <w:sz w:val="14"/>
              </w:rPr>
              <w:t>3201-3202</w:t>
            </w:r>
          </w:p>
        </w:tc>
        <w:tc>
          <w:tcPr>
            <w:tcW w:w="1547" w:type="dxa"/>
          </w:tcPr>
          <w:p>
            <w:pPr>
              <w:pStyle w:val="TableParagraph"/>
              <w:spacing w:before="101"/>
              <w:ind w:left="626" w:right="592"/>
              <w:jc w:val="center"/>
              <w:rPr>
                <w:sz w:val="14"/>
              </w:rPr>
            </w:pPr>
            <w:r>
              <w:rPr>
                <w:w w:val="105"/>
                <w:sz w:val="14"/>
              </w:rPr>
              <w:t>0.00</w:t>
            </w:r>
          </w:p>
        </w:tc>
        <w:tc>
          <w:tcPr>
            <w:tcW w:w="1527" w:type="dxa"/>
          </w:tcPr>
          <w:p>
            <w:pPr>
              <w:pStyle w:val="TableParagraph"/>
              <w:spacing w:before="101"/>
              <w:ind w:left="616"/>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364" w:hRule="atLeast"/>
        </w:trPr>
        <w:tc>
          <w:tcPr>
            <w:tcW w:w="3714" w:type="dxa"/>
          </w:tcPr>
          <w:p>
            <w:pPr>
              <w:pStyle w:val="TableParagraph"/>
              <w:spacing w:before="101"/>
              <w:ind w:left="50"/>
              <w:rPr>
                <w:sz w:val="14"/>
              </w:rPr>
            </w:pPr>
            <w:r>
              <w:rPr>
                <w:w w:val="105"/>
                <w:sz w:val="14"/>
              </w:rPr>
              <w:t>OASDI/Medicare/Alternative</w:t>
            </w:r>
          </w:p>
        </w:tc>
        <w:tc>
          <w:tcPr>
            <w:tcW w:w="2911" w:type="dxa"/>
          </w:tcPr>
          <w:p>
            <w:pPr>
              <w:pStyle w:val="TableParagraph"/>
              <w:spacing w:before="101"/>
              <w:ind w:right="649"/>
              <w:jc w:val="right"/>
              <w:rPr>
                <w:sz w:val="14"/>
              </w:rPr>
            </w:pPr>
            <w:r>
              <w:rPr>
                <w:sz w:val="14"/>
              </w:rPr>
              <w:t>3301-3302</w:t>
            </w:r>
          </w:p>
        </w:tc>
        <w:tc>
          <w:tcPr>
            <w:tcW w:w="1547" w:type="dxa"/>
          </w:tcPr>
          <w:p>
            <w:pPr>
              <w:pStyle w:val="TableParagraph"/>
              <w:spacing w:before="101"/>
              <w:ind w:left="626" w:right="592"/>
              <w:jc w:val="center"/>
              <w:rPr>
                <w:sz w:val="14"/>
              </w:rPr>
            </w:pPr>
            <w:r>
              <w:rPr>
                <w:w w:val="105"/>
                <w:sz w:val="14"/>
              </w:rPr>
              <w:t>0.00</w:t>
            </w:r>
          </w:p>
        </w:tc>
        <w:tc>
          <w:tcPr>
            <w:tcW w:w="1527" w:type="dxa"/>
          </w:tcPr>
          <w:p>
            <w:pPr>
              <w:pStyle w:val="TableParagraph"/>
              <w:spacing w:before="101"/>
              <w:ind w:left="616"/>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364" w:hRule="atLeast"/>
        </w:trPr>
        <w:tc>
          <w:tcPr>
            <w:tcW w:w="3714" w:type="dxa"/>
          </w:tcPr>
          <w:p>
            <w:pPr>
              <w:pStyle w:val="TableParagraph"/>
              <w:spacing w:before="101"/>
              <w:ind w:left="50"/>
              <w:rPr>
                <w:sz w:val="14"/>
              </w:rPr>
            </w:pPr>
            <w:r>
              <w:rPr>
                <w:w w:val="105"/>
                <w:sz w:val="14"/>
              </w:rPr>
              <w:t>Health and Welfare Benefits</w:t>
            </w:r>
          </w:p>
        </w:tc>
        <w:tc>
          <w:tcPr>
            <w:tcW w:w="2911" w:type="dxa"/>
          </w:tcPr>
          <w:p>
            <w:pPr>
              <w:pStyle w:val="TableParagraph"/>
              <w:spacing w:before="101"/>
              <w:ind w:right="649"/>
              <w:jc w:val="right"/>
              <w:rPr>
                <w:sz w:val="14"/>
              </w:rPr>
            </w:pPr>
            <w:r>
              <w:rPr>
                <w:sz w:val="14"/>
              </w:rPr>
              <w:t>3401-3402</w:t>
            </w:r>
          </w:p>
        </w:tc>
        <w:tc>
          <w:tcPr>
            <w:tcW w:w="1547" w:type="dxa"/>
          </w:tcPr>
          <w:p>
            <w:pPr>
              <w:pStyle w:val="TableParagraph"/>
              <w:spacing w:before="101"/>
              <w:ind w:left="626" w:right="592"/>
              <w:jc w:val="center"/>
              <w:rPr>
                <w:sz w:val="14"/>
              </w:rPr>
            </w:pPr>
            <w:r>
              <w:rPr>
                <w:w w:val="105"/>
                <w:sz w:val="14"/>
              </w:rPr>
              <w:t>0.00</w:t>
            </w:r>
          </w:p>
        </w:tc>
        <w:tc>
          <w:tcPr>
            <w:tcW w:w="1527" w:type="dxa"/>
          </w:tcPr>
          <w:p>
            <w:pPr>
              <w:pStyle w:val="TableParagraph"/>
              <w:spacing w:before="101"/>
              <w:ind w:left="616"/>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364" w:hRule="atLeast"/>
        </w:trPr>
        <w:tc>
          <w:tcPr>
            <w:tcW w:w="3714" w:type="dxa"/>
          </w:tcPr>
          <w:p>
            <w:pPr>
              <w:pStyle w:val="TableParagraph"/>
              <w:spacing w:before="101"/>
              <w:ind w:left="50"/>
              <w:rPr>
                <w:sz w:val="14"/>
              </w:rPr>
            </w:pPr>
            <w:r>
              <w:rPr>
                <w:w w:val="105"/>
                <w:sz w:val="14"/>
              </w:rPr>
              <w:t>Unemployment Insurance</w:t>
            </w:r>
          </w:p>
        </w:tc>
        <w:tc>
          <w:tcPr>
            <w:tcW w:w="2911" w:type="dxa"/>
          </w:tcPr>
          <w:p>
            <w:pPr>
              <w:pStyle w:val="TableParagraph"/>
              <w:spacing w:before="101"/>
              <w:ind w:right="649"/>
              <w:jc w:val="right"/>
              <w:rPr>
                <w:sz w:val="14"/>
              </w:rPr>
            </w:pPr>
            <w:r>
              <w:rPr>
                <w:sz w:val="14"/>
              </w:rPr>
              <w:t>3501-3502</w:t>
            </w:r>
          </w:p>
        </w:tc>
        <w:tc>
          <w:tcPr>
            <w:tcW w:w="1547" w:type="dxa"/>
          </w:tcPr>
          <w:p>
            <w:pPr>
              <w:pStyle w:val="TableParagraph"/>
              <w:spacing w:before="101"/>
              <w:ind w:left="626" w:right="592"/>
              <w:jc w:val="center"/>
              <w:rPr>
                <w:sz w:val="14"/>
              </w:rPr>
            </w:pPr>
            <w:r>
              <w:rPr>
                <w:w w:val="105"/>
                <w:sz w:val="14"/>
              </w:rPr>
              <w:t>0.00</w:t>
            </w:r>
          </w:p>
        </w:tc>
        <w:tc>
          <w:tcPr>
            <w:tcW w:w="1527" w:type="dxa"/>
          </w:tcPr>
          <w:p>
            <w:pPr>
              <w:pStyle w:val="TableParagraph"/>
              <w:spacing w:before="101"/>
              <w:ind w:left="616"/>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364" w:hRule="atLeast"/>
        </w:trPr>
        <w:tc>
          <w:tcPr>
            <w:tcW w:w="3714" w:type="dxa"/>
          </w:tcPr>
          <w:p>
            <w:pPr>
              <w:pStyle w:val="TableParagraph"/>
              <w:spacing w:before="101"/>
              <w:ind w:left="50"/>
              <w:rPr>
                <w:sz w:val="14"/>
              </w:rPr>
            </w:pPr>
            <w:r>
              <w:rPr>
                <w:w w:val="105"/>
                <w:sz w:val="14"/>
              </w:rPr>
              <w:t>Workers' Compensation</w:t>
            </w:r>
          </w:p>
        </w:tc>
        <w:tc>
          <w:tcPr>
            <w:tcW w:w="2911" w:type="dxa"/>
          </w:tcPr>
          <w:p>
            <w:pPr>
              <w:pStyle w:val="TableParagraph"/>
              <w:spacing w:before="101"/>
              <w:ind w:right="649"/>
              <w:jc w:val="right"/>
              <w:rPr>
                <w:sz w:val="14"/>
              </w:rPr>
            </w:pPr>
            <w:r>
              <w:rPr>
                <w:sz w:val="14"/>
              </w:rPr>
              <w:t>3601-3602</w:t>
            </w:r>
          </w:p>
        </w:tc>
        <w:tc>
          <w:tcPr>
            <w:tcW w:w="1547" w:type="dxa"/>
          </w:tcPr>
          <w:p>
            <w:pPr>
              <w:pStyle w:val="TableParagraph"/>
              <w:spacing w:before="101"/>
              <w:ind w:left="626" w:right="592"/>
              <w:jc w:val="center"/>
              <w:rPr>
                <w:sz w:val="14"/>
              </w:rPr>
            </w:pPr>
            <w:r>
              <w:rPr>
                <w:w w:val="105"/>
                <w:sz w:val="14"/>
              </w:rPr>
              <w:t>0.00</w:t>
            </w:r>
          </w:p>
        </w:tc>
        <w:tc>
          <w:tcPr>
            <w:tcW w:w="1527" w:type="dxa"/>
          </w:tcPr>
          <w:p>
            <w:pPr>
              <w:pStyle w:val="TableParagraph"/>
              <w:spacing w:before="101"/>
              <w:ind w:left="616"/>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364" w:hRule="atLeast"/>
        </w:trPr>
        <w:tc>
          <w:tcPr>
            <w:tcW w:w="3714" w:type="dxa"/>
          </w:tcPr>
          <w:p>
            <w:pPr>
              <w:pStyle w:val="TableParagraph"/>
              <w:spacing w:before="101"/>
              <w:ind w:left="50"/>
              <w:rPr>
                <w:sz w:val="14"/>
              </w:rPr>
            </w:pPr>
            <w:r>
              <w:rPr>
                <w:w w:val="105"/>
                <w:sz w:val="14"/>
              </w:rPr>
              <w:t>OPEB, Allocated</w:t>
            </w:r>
          </w:p>
        </w:tc>
        <w:tc>
          <w:tcPr>
            <w:tcW w:w="2911" w:type="dxa"/>
          </w:tcPr>
          <w:p>
            <w:pPr>
              <w:pStyle w:val="TableParagraph"/>
              <w:spacing w:before="101"/>
              <w:ind w:right="649"/>
              <w:jc w:val="right"/>
              <w:rPr>
                <w:sz w:val="14"/>
              </w:rPr>
            </w:pPr>
            <w:r>
              <w:rPr>
                <w:sz w:val="14"/>
              </w:rPr>
              <w:t>3701-3702</w:t>
            </w:r>
          </w:p>
        </w:tc>
        <w:tc>
          <w:tcPr>
            <w:tcW w:w="1547" w:type="dxa"/>
          </w:tcPr>
          <w:p>
            <w:pPr>
              <w:pStyle w:val="TableParagraph"/>
              <w:spacing w:before="101"/>
              <w:ind w:left="626" w:right="592"/>
              <w:jc w:val="center"/>
              <w:rPr>
                <w:sz w:val="14"/>
              </w:rPr>
            </w:pPr>
            <w:r>
              <w:rPr>
                <w:w w:val="105"/>
                <w:sz w:val="14"/>
              </w:rPr>
              <w:t>0.00</w:t>
            </w:r>
          </w:p>
        </w:tc>
        <w:tc>
          <w:tcPr>
            <w:tcW w:w="1527" w:type="dxa"/>
          </w:tcPr>
          <w:p>
            <w:pPr>
              <w:pStyle w:val="TableParagraph"/>
              <w:spacing w:before="101"/>
              <w:ind w:left="616"/>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364" w:hRule="atLeast"/>
        </w:trPr>
        <w:tc>
          <w:tcPr>
            <w:tcW w:w="3714" w:type="dxa"/>
          </w:tcPr>
          <w:p>
            <w:pPr>
              <w:pStyle w:val="TableParagraph"/>
              <w:spacing w:before="101"/>
              <w:ind w:left="50"/>
              <w:rPr>
                <w:sz w:val="14"/>
              </w:rPr>
            </w:pPr>
            <w:r>
              <w:rPr>
                <w:w w:val="105"/>
                <w:sz w:val="14"/>
              </w:rPr>
              <w:t>OPEB, Active Employees</w:t>
            </w:r>
          </w:p>
        </w:tc>
        <w:tc>
          <w:tcPr>
            <w:tcW w:w="2911" w:type="dxa"/>
          </w:tcPr>
          <w:p>
            <w:pPr>
              <w:pStyle w:val="TableParagraph"/>
              <w:spacing w:before="101"/>
              <w:ind w:right="649"/>
              <w:jc w:val="right"/>
              <w:rPr>
                <w:sz w:val="14"/>
              </w:rPr>
            </w:pPr>
            <w:r>
              <w:rPr>
                <w:sz w:val="14"/>
              </w:rPr>
              <w:t>3751-3752</w:t>
            </w:r>
          </w:p>
        </w:tc>
        <w:tc>
          <w:tcPr>
            <w:tcW w:w="1547" w:type="dxa"/>
          </w:tcPr>
          <w:p>
            <w:pPr>
              <w:pStyle w:val="TableParagraph"/>
              <w:spacing w:before="101"/>
              <w:ind w:left="626" w:right="592"/>
              <w:jc w:val="center"/>
              <w:rPr>
                <w:sz w:val="14"/>
              </w:rPr>
            </w:pPr>
            <w:r>
              <w:rPr>
                <w:w w:val="105"/>
                <w:sz w:val="14"/>
              </w:rPr>
              <w:t>0.00</w:t>
            </w:r>
          </w:p>
        </w:tc>
        <w:tc>
          <w:tcPr>
            <w:tcW w:w="1527" w:type="dxa"/>
          </w:tcPr>
          <w:p>
            <w:pPr>
              <w:pStyle w:val="TableParagraph"/>
              <w:spacing w:before="101"/>
              <w:ind w:left="616"/>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370" w:hRule="atLeast"/>
        </w:trPr>
        <w:tc>
          <w:tcPr>
            <w:tcW w:w="3714" w:type="dxa"/>
          </w:tcPr>
          <w:p>
            <w:pPr>
              <w:pStyle w:val="TableParagraph"/>
              <w:spacing w:before="101"/>
              <w:ind w:left="50"/>
              <w:rPr>
                <w:sz w:val="14"/>
              </w:rPr>
            </w:pPr>
            <w:r>
              <w:rPr>
                <w:w w:val="105"/>
                <w:sz w:val="14"/>
              </w:rPr>
              <w:t>Other Employee Benefits</w:t>
            </w:r>
          </w:p>
        </w:tc>
        <w:tc>
          <w:tcPr>
            <w:tcW w:w="2911" w:type="dxa"/>
          </w:tcPr>
          <w:p>
            <w:pPr>
              <w:pStyle w:val="TableParagraph"/>
              <w:spacing w:before="101"/>
              <w:ind w:right="649"/>
              <w:jc w:val="right"/>
              <w:rPr>
                <w:sz w:val="14"/>
              </w:rPr>
            </w:pPr>
            <w:r>
              <w:rPr>
                <w:sz w:val="14"/>
              </w:rPr>
              <w:t>3901-3902</w:t>
            </w:r>
          </w:p>
        </w:tc>
        <w:tc>
          <w:tcPr>
            <w:tcW w:w="1547" w:type="dxa"/>
          </w:tcPr>
          <w:p>
            <w:pPr>
              <w:pStyle w:val="TableParagraph"/>
              <w:spacing w:before="101"/>
              <w:ind w:left="626" w:right="592"/>
              <w:jc w:val="center"/>
              <w:rPr>
                <w:sz w:val="14"/>
              </w:rPr>
            </w:pPr>
            <w:r>
              <w:rPr>
                <w:w w:val="105"/>
                <w:sz w:val="14"/>
              </w:rPr>
              <w:t>0.00</w:t>
            </w:r>
          </w:p>
        </w:tc>
        <w:tc>
          <w:tcPr>
            <w:tcW w:w="1527" w:type="dxa"/>
          </w:tcPr>
          <w:p>
            <w:pPr>
              <w:pStyle w:val="TableParagraph"/>
              <w:spacing w:before="101"/>
              <w:ind w:left="616"/>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268" w:hRule="atLeast"/>
        </w:trPr>
        <w:tc>
          <w:tcPr>
            <w:tcW w:w="3714" w:type="dxa"/>
          </w:tcPr>
          <w:p>
            <w:pPr>
              <w:pStyle w:val="TableParagraph"/>
              <w:spacing w:line="142" w:lineRule="exact" w:before="107"/>
              <w:ind w:left="50"/>
              <w:rPr>
                <w:sz w:val="14"/>
              </w:rPr>
            </w:pPr>
            <w:r>
              <w:rPr>
                <w:w w:val="105"/>
                <w:sz w:val="14"/>
              </w:rPr>
              <w:t>TOTAL, EMPLOYEE BENEFITS</w:t>
            </w:r>
          </w:p>
        </w:tc>
        <w:tc>
          <w:tcPr>
            <w:tcW w:w="2911" w:type="dxa"/>
          </w:tcPr>
          <w:p>
            <w:pPr>
              <w:pStyle w:val="TableParagraph"/>
              <w:rPr>
                <w:rFonts w:ascii="Times New Roman"/>
                <w:sz w:val="14"/>
              </w:rPr>
            </w:pPr>
          </w:p>
        </w:tc>
        <w:tc>
          <w:tcPr>
            <w:tcW w:w="1547" w:type="dxa"/>
          </w:tcPr>
          <w:p>
            <w:pPr>
              <w:pStyle w:val="TableParagraph"/>
              <w:spacing w:line="142" w:lineRule="exact" w:before="107"/>
              <w:ind w:left="626" w:right="592"/>
              <w:jc w:val="center"/>
              <w:rPr>
                <w:sz w:val="14"/>
              </w:rPr>
            </w:pPr>
            <w:r>
              <w:rPr>
                <w:w w:val="105"/>
                <w:sz w:val="14"/>
              </w:rPr>
              <w:t>0.00</w:t>
            </w:r>
          </w:p>
        </w:tc>
        <w:tc>
          <w:tcPr>
            <w:tcW w:w="1527" w:type="dxa"/>
          </w:tcPr>
          <w:p>
            <w:pPr>
              <w:pStyle w:val="TableParagraph"/>
              <w:spacing w:line="142" w:lineRule="exact" w:before="107"/>
              <w:ind w:left="616"/>
              <w:rPr>
                <w:sz w:val="14"/>
              </w:rPr>
            </w:pPr>
            <w:r>
              <w:rPr>
                <w:w w:val="105"/>
                <w:sz w:val="14"/>
              </w:rPr>
              <w:t>0.00</w:t>
            </w:r>
          </w:p>
        </w:tc>
        <w:tc>
          <w:tcPr>
            <w:tcW w:w="1008" w:type="dxa"/>
          </w:tcPr>
          <w:p>
            <w:pPr>
              <w:pStyle w:val="TableParagraph"/>
              <w:spacing w:line="142" w:lineRule="exact" w:before="107"/>
              <w:ind w:right="49"/>
              <w:jc w:val="right"/>
              <w:rPr>
                <w:sz w:val="14"/>
              </w:rPr>
            </w:pPr>
            <w:r>
              <w:rPr>
                <w:sz w:val="14"/>
              </w:rPr>
              <w:t>0.0%</w:t>
            </w:r>
          </w:p>
        </w:tc>
      </w:tr>
    </w:tbl>
    <w:p>
      <w:pPr>
        <w:pStyle w:val="BodyText"/>
        <w:spacing w:before="10"/>
        <w:rPr>
          <w:b/>
          <w:sz w:val="9"/>
        </w:rPr>
      </w:pPr>
    </w:p>
    <w:p>
      <w:pPr>
        <w:spacing w:before="99"/>
        <w:ind w:left="478" w:right="0" w:firstLine="0"/>
        <w:jc w:val="left"/>
        <w:rPr>
          <w:b/>
          <w:sz w:val="14"/>
        </w:rPr>
      </w:pPr>
      <w:r>
        <w:rPr/>
        <w:pict>
          <v:group style="position:absolute;margin-left:212.039993pt;margin-top:41.155888pt;width:356.05pt;height:92.2pt;mso-position-horizontal-relative:page;mso-position-vertical-relative:paragraph;z-index:-314478592" coordorigin="4241,823" coordsize="7121,1844">
            <v:shape style="position:absolute;left:6782;top:823;width:4580;height:737" type="#_x0000_t75" stroked="false">
              <v:imagedata r:id="rId464" o:title=""/>
            </v:shape>
            <v:shape style="position:absolute;left:6782;top:1187;width:4580;height:737" type="#_x0000_t75" stroked="false">
              <v:imagedata r:id="rId464" o:title=""/>
            </v:shape>
            <v:shape style="position:absolute;left:6782;top:1552;width:4580;height:737" type="#_x0000_t75" stroked="false">
              <v:imagedata r:id="rId464" o:title=""/>
            </v:shape>
            <v:shape style="position:absolute;left:4240;top:1917;width:7121;height:749" type="#_x0000_t75" stroked="false">
              <v:imagedata r:id="rId479" o:title=""/>
            </v:shape>
            <v:shape style="position:absolute;left:8294;top:2282;width:3068;height:384" type="#_x0000_t75" stroked="false">
              <v:imagedata r:id="rId583" o:title=""/>
            </v:shape>
            <w10:wrap type="none"/>
          </v:group>
        </w:pict>
      </w:r>
      <w:r>
        <w:rPr>
          <w:b/>
          <w:w w:val="105"/>
          <w:sz w:val="14"/>
        </w:rPr>
        <w:t>BOOKS AND SUPPLIES</w:t>
      </w:r>
    </w:p>
    <w:p>
      <w:pPr>
        <w:pStyle w:val="BodyText"/>
        <w:rPr>
          <w:b/>
          <w:sz w:val="20"/>
        </w:rPr>
      </w:pPr>
    </w:p>
    <w:p>
      <w:pPr>
        <w:pStyle w:val="BodyText"/>
        <w:spacing w:before="1" w:after="1"/>
        <w:rPr>
          <w:b/>
          <w:sz w:val="15"/>
        </w:rPr>
      </w:pPr>
    </w:p>
    <w:tbl>
      <w:tblPr>
        <w:tblW w:w="0" w:type="auto"/>
        <w:jc w:val="left"/>
        <w:tblInd w:w="5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52"/>
        <w:gridCol w:w="2182"/>
        <w:gridCol w:w="1638"/>
        <w:gridCol w:w="1526"/>
        <w:gridCol w:w="1007"/>
      </w:tblGrid>
      <w:tr>
        <w:trPr>
          <w:trHeight w:val="262" w:hRule="atLeast"/>
        </w:trPr>
        <w:tc>
          <w:tcPr>
            <w:tcW w:w="4352" w:type="dxa"/>
          </w:tcPr>
          <w:p>
            <w:pPr>
              <w:pStyle w:val="TableParagraph"/>
              <w:spacing w:line="160" w:lineRule="exact"/>
              <w:ind w:left="50"/>
              <w:rPr>
                <w:sz w:val="14"/>
              </w:rPr>
            </w:pPr>
            <w:r>
              <w:rPr>
                <w:w w:val="105"/>
                <w:sz w:val="14"/>
              </w:rPr>
              <w:t>Approved Textbooks and Core Curricula Materials</w:t>
            </w:r>
          </w:p>
        </w:tc>
        <w:tc>
          <w:tcPr>
            <w:tcW w:w="2182" w:type="dxa"/>
          </w:tcPr>
          <w:p>
            <w:pPr>
              <w:pStyle w:val="TableParagraph"/>
              <w:spacing w:line="160" w:lineRule="exact"/>
              <w:ind w:right="740"/>
              <w:jc w:val="right"/>
              <w:rPr>
                <w:sz w:val="14"/>
              </w:rPr>
            </w:pPr>
            <w:r>
              <w:rPr>
                <w:sz w:val="14"/>
              </w:rPr>
              <w:t>4100</w:t>
            </w:r>
          </w:p>
        </w:tc>
        <w:tc>
          <w:tcPr>
            <w:tcW w:w="1638" w:type="dxa"/>
          </w:tcPr>
          <w:p>
            <w:pPr>
              <w:pStyle w:val="TableParagraph"/>
              <w:spacing w:line="160" w:lineRule="exact"/>
              <w:ind w:right="614"/>
              <w:jc w:val="right"/>
              <w:rPr>
                <w:sz w:val="14"/>
              </w:rPr>
            </w:pPr>
            <w:r>
              <w:rPr>
                <w:sz w:val="14"/>
              </w:rPr>
              <w:t>0.00</w:t>
            </w:r>
          </w:p>
        </w:tc>
        <w:tc>
          <w:tcPr>
            <w:tcW w:w="1526" w:type="dxa"/>
          </w:tcPr>
          <w:p>
            <w:pPr>
              <w:pStyle w:val="TableParagraph"/>
              <w:spacing w:line="160" w:lineRule="exact"/>
              <w:ind w:left="616"/>
              <w:rPr>
                <w:sz w:val="14"/>
              </w:rPr>
            </w:pPr>
            <w:r>
              <w:rPr>
                <w:w w:val="105"/>
                <w:sz w:val="14"/>
              </w:rPr>
              <w:t>0.00</w:t>
            </w:r>
          </w:p>
        </w:tc>
        <w:tc>
          <w:tcPr>
            <w:tcW w:w="1007" w:type="dxa"/>
          </w:tcPr>
          <w:p>
            <w:pPr>
              <w:pStyle w:val="TableParagraph"/>
              <w:spacing w:line="160" w:lineRule="exact"/>
              <w:ind w:right="47"/>
              <w:jc w:val="right"/>
              <w:rPr>
                <w:sz w:val="14"/>
              </w:rPr>
            </w:pPr>
            <w:r>
              <w:rPr>
                <w:sz w:val="14"/>
              </w:rPr>
              <w:t>0.0%</w:t>
            </w:r>
          </w:p>
        </w:tc>
      </w:tr>
      <w:tr>
        <w:trPr>
          <w:trHeight w:val="364" w:hRule="atLeast"/>
        </w:trPr>
        <w:tc>
          <w:tcPr>
            <w:tcW w:w="4352" w:type="dxa"/>
          </w:tcPr>
          <w:p>
            <w:pPr>
              <w:pStyle w:val="TableParagraph"/>
              <w:spacing w:before="101"/>
              <w:ind w:left="50"/>
              <w:rPr>
                <w:sz w:val="14"/>
              </w:rPr>
            </w:pPr>
            <w:r>
              <w:rPr>
                <w:w w:val="105"/>
                <w:sz w:val="14"/>
              </w:rPr>
              <w:t>Books and Other Reference Materials</w:t>
            </w:r>
          </w:p>
        </w:tc>
        <w:tc>
          <w:tcPr>
            <w:tcW w:w="2182" w:type="dxa"/>
          </w:tcPr>
          <w:p>
            <w:pPr>
              <w:pStyle w:val="TableParagraph"/>
              <w:spacing w:before="101"/>
              <w:ind w:right="740"/>
              <w:jc w:val="right"/>
              <w:rPr>
                <w:sz w:val="14"/>
              </w:rPr>
            </w:pPr>
            <w:r>
              <w:rPr>
                <w:sz w:val="14"/>
              </w:rPr>
              <w:t>4200</w:t>
            </w:r>
          </w:p>
        </w:tc>
        <w:tc>
          <w:tcPr>
            <w:tcW w:w="1638" w:type="dxa"/>
          </w:tcPr>
          <w:p>
            <w:pPr>
              <w:pStyle w:val="TableParagraph"/>
              <w:spacing w:before="101"/>
              <w:ind w:right="614"/>
              <w:jc w:val="right"/>
              <w:rPr>
                <w:sz w:val="14"/>
              </w:rPr>
            </w:pPr>
            <w:r>
              <w:rPr>
                <w:sz w:val="14"/>
              </w:rPr>
              <w:t>0.00</w:t>
            </w:r>
          </w:p>
        </w:tc>
        <w:tc>
          <w:tcPr>
            <w:tcW w:w="1526" w:type="dxa"/>
          </w:tcPr>
          <w:p>
            <w:pPr>
              <w:pStyle w:val="TableParagraph"/>
              <w:spacing w:before="101"/>
              <w:ind w:left="616"/>
              <w:rPr>
                <w:sz w:val="14"/>
              </w:rPr>
            </w:pPr>
            <w:r>
              <w:rPr>
                <w:w w:val="105"/>
                <w:sz w:val="14"/>
              </w:rPr>
              <w:t>0.00</w:t>
            </w:r>
          </w:p>
        </w:tc>
        <w:tc>
          <w:tcPr>
            <w:tcW w:w="1007" w:type="dxa"/>
          </w:tcPr>
          <w:p>
            <w:pPr>
              <w:pStyle w:val="TableParagraph"/>
              <w:spacing w:before="101"/>
              <w:ind w:right="47"/>
              <w:jc w:val="right"/>
              <w:rPr>
                <w:sz w:val="14"/>
              </w:rPr>
            </w:pPr>
            <w:r>
              <w:rPr>
                <w:sz w:val="14"/>
              </w:rPr>
              <w:t>0.0%</w:t>
            </w:r>
          </w:p>
        </w:tc>
      </w:tr>
      <w:tr>
        <w:trPr>
          <w:trHeight w:val="364" w:hRule="atLeast"/>
        </w:trPr>
        <w:tc>
          <w:tcPr>
            <w:tcW w:w="4352" w:type="dxa"/>
          </w:tcPr>
          <w:p>
            <w:pPr>
              <w:pStyle w:val="TableParagraph"/>
              <w:spacing w:before="101"/>
              <w:ind w:left="50"/>
              <w:rPr>
                <w:sz w:val="14"/>
              </w:rPr>
            </w:pPr>
            <w:r>
              <w:rPr>
                <w:w w:val="105"/>
                <w:sz w:val="14"/>
              </w:rPr>
              <w:t>Materials and Supplies</w:t>
            </w:r>
          </w:p>
        </w:tc>
        <w:tc>
          <w:tcPr>
            <w:tcW w:w="2182" w:type="dxa"/>
          </w:tcPr>
          <w:p>
            <w:pPr>
              <w:pStyle w:val="TableParagraph"/>
              <w:spacing w:before="101"/>
              <w:ind w:right="740"/>
              <w:jc w:val="right"/>
              <w:rPr>
                <w:sz w:val="14"/>
              </w:rPr>
            </w:pPr>
            <w:r>
              <w:rPr>
                <w:sz w:val="14"/>
              </w:rPr>
              <w:t>4300</w:t>
            </w:r>
          </w:p>
        </w:tc>
        <w:tc>
          <w:tcPr>
            <w:tcW w:w="1638" w:type="dxa"/>
          </w:tcPr>
          <w:p>
            <w:pPr>
              <w:pStyle w:val="TableParagraph"/>
              <w:spacing w:before="101"/>
              <w:ind w:right="614"/>
              <w:jc w:val="right"/>
              <w:rPr>
                <w:sz w:val="14"/>
              </w:rPr>
            </w:pPr>
            <w:r>
              <w:rPr>
                <w:sz w:val="14"/>
              </w:rPr>
              <w:t>0.00</w:t>
            </w:r>
          </w:p>
        </w:tc>
        <w:tc>
          <w:tcPr>
            <w:tcW w:w="1526" w:type="dxa"/>
          </w:tcPr>
          <w:p>
            <w:pPr>
              <w:pStyle w:val="TableParagraph"/>
              <w:spacing w:before="101"/>
              <w:ind w:left="616"/>
              <w:rPr>
                <w:sz w:val="14"/>
              </w:rPr>
            </w:pPr>
            <w:r>
              <w:rPr>
                <w:w w:val="105"/>
                <w:sz w:val="14"/>
              </w:rPr>
              <w:t>0.00</w:t>
            </w:r>
          </w:p>
        </w:tc>
        <w:tc>
          <w:tcPr>
            <w:tcW w:w="1007" w:type="dxa"/>
          </w:tcPr>
          <w:p>
            <w:pPr>
              <w:pStyle w:val="TableParagraph"/>
              <w:spacing w:before="101"/>
              <w:ind w:right="47"/>
              <w:jc w:val="right"/>
              <w:rPr>
                <w:sz w:val="14"/>
              </w:rPr>
            </w:pPr>
            <w:r>
              <w:rPr>
                <w:sz w:val="14"/>
              </w:rPr>
              <w:t>0.0%</w:t>
            </w:r>
          </w:p>
        </w:tc>
      </w:tr>
      <w:tr>
        <w:trPr>
          <w:trHeight w:val="364" w:hRule="atLeast"/>
        </w:trPr>
        <w:tc>
          <w:tcPr>
            <w:tcW w:w="4352" w:type="dxa"/>
          </w:tcPr>
          <w:p>
            <w:pPr>
              <w:pStyle w:val="TableParagraph"/>
              <w:spacing w:before="101"/>
              <w:ind w:left="50"/>
              <w:rPr>
                <w:sz w:val="14"/>
              </w:rPr>
            </w:pPr>
            <w:r>
              <w:rPr>
                <w:w w:val="105"/>
                <w:sz w:val="14"/>
              </w:rPr>
              <w:t>Noncapitalized Equipment</w:t>
            </w:r>
          </w:p>
        </w:tc>
        <w:tc>
          <w:tcPr>
            <w:tcW w:w="2182" w:type="dxa"/>
          </w:tcPr>
          <w:p>
            <w:pPr>
              <w:pStyle w:val="TableParagraph"/>
              <w:spacing w:before="101"/>
              <w:ind w:right="740"/>
              <w:jc w:val="right"/>
              <w:rPr>
                <w:sz w:val="14"/>
              </w:rPr>
            </w:pPr>
            <w:r>
              <w:rPr>
                <w:sz w:val="14"/>
              </w:rPr>
              <w:t>4400</w:t>
            </w:r>
          </w:p>
        </w:tc>
        <w:tc>
          <w:tcPr>
            <w:tcW w:w="1638" w:type="dxa"/>
          </w:tcPr>
          <w:p>
            <w:pPr>
              <w:pStyle w:val="TableParagraph"/>
              <w:spacing w:before="101"/>
              <w:ind w:right="614"/>
              <w:jc w:val="right"/>
              <w:rPr>
                <w:sz w:val="14"/>
              </w:rPr>
            </w:pPr>
            <w:r>
              <w:rPr>
                <w:sz w:val="14"/>
              </w:rPr>
              <w:t>0.00</w:t>
            </w:r>
          </w:p>
        </w:tc>
        <w:tc>
          <w:tcPr>
            <w:tcW w:w="1526" w:type="dxa"/>
          </w:tcPr>
          <w:p>
            <w:pPr>
              <w:pStyle w:val="TableParagraph"/>
              <w:spacing w:before="101"/>
              <w:ind w:left="616"/>
              <w:rPr>
                <w:sz w:val="14"/>
              </w:rPr>
            </w:pPr>
            <w:r>
              <w:rPr>
                <w:w w:val="105"/>
                <w:sz w:val="14"/>
              </w:rPr>
              <w:t>0.00</w:t>
            </w:r>
          </w:p>
        </w:tc>
        <w:tc>
          <w:tcPr>
            <w:tcW w:w="1007" w:type="dxa"/>
          </w:tcPr>
          <w:p>
            <w:pPr>
              <w:pStyle w:val="TableParagraph"/>
              <w:spacing w:before="101"/>
              <w:ind w:right="47"/>
              <w:jc w:val="right"/>
              <w:rPr>
                <w:sz w:val="14"/>
              </w:rPr>
            </w:pPr>
            <w:r>
              <w:rPr>
                <w:sz w:val="14"/>
              </w:rPr>
              <w:t>0.0%</w:t>
            </w:r>
          </w:p>
        </w:tc>
      </w:tr>
      <w:tr>
        <w:trPr>
          <w:trHeight w:val="370" w:hRule="atLeast"/>
        </w:trPr>
        <w:tc>
          <w:tcPr>
            <w:tcW w:w="4352" w:type="dxa"/>
          </w:tcPr>
          <w:p>
            <w:pPr>
              <w:pStyle w:val="TableParagraph"/>
              <w:spacing w:before="101"/>
              <w:ind w:left="50"/>
              <w:rPr>
                <w:sz w:val="14"/>
              </w:rPr>
            </w:pPr>
            <w:r>
              <w:rPr>
                <w:w w:val="105"/>
                <w:sz w:val="14"/>
              </w:rPr>
              <w:t>Food</w:t>
            </w:r>
          </w:p>
        </w:tc>
        <w:tc>
          <w:tcPr>
            <w:tcW w:w="2182" w:type="dxa"/>
          </w:tcPr>
          <w:p>
            <w:pPr>
              <w:pStyle w:val="TableParagraph"/>
              <w:spacing w:before="101"/>
              <w:ind w:right="740"/>
              <w:jc w:val="right"/>
              <w:rPr>
                <w:sz w:val="14"/>
              </w:rPr>
            </w:pPr>
            <w:r>
              <w:rPr>
                <w:sz w:val="14"/>
              </w:rPr>
              <w:t>4700</w:t>
            </w:r>
          </w:p>
        </w:tc>
        <w:tc>
          <w:tcPr>
            <w:tcW w:w="1638" w:type="dxa"/>
          </w:tcPr>
          <w:p>
            <w:pPr>
              <w:pStyle w:val="TableParagraph"/>
              <w:spacing w:before="101"/>
              <w:ind w:right="614"/>
              <w:jc w:val="right"/>
              <w:rPr>
                <w:sz w:val="14"/>
              </w:rPr>
            </w:pPr>
            <w:r>
              <w:rPr>
                <w:sz w:val="14"/>
              </w:rPr>
              <w:t>0.00</w:t>
            </w:r>
          </w:p>
        </w:tc>
        <w:tc>
          <w:tcPr>
            <w:tcW w:w="1526" w:type="dxa"/>
          </w:tcPr>
          <w:p>
            <w:pPr>
              <w:pStyle w:val="TableParagraph"/>
              <w:spacing w:before="101"/>
              <w:ind w:left="616"/>
              <w:rPr>
                <w:sz w:val="14"/>
              </w:rPr>
            </w:pPr>
            <w:r>
              <w:rPr>
                <w:w w:val="105"/>
                <w:sz w:val="14"/>
              </w:rPr>
              <w:t>0.00</w:t>
            </w:r>
          </w:p>
        </w:tc>
        <w:tc>
          <w:tcPr>
            <w:tcW w:w="1007" w:type="dxa"/>
          </w:tcPr>
          <w:p>
            <w:pPr>
              <w:pStyle w:val="TableParagraph"/>
              <w:spacing w:before="101"/>
              <w:ind w:right="47"/>
              <w:jc w:val="right"/>
              <w:rPr>
                <w:sz w:val="14"/>
              </w:rPr>
            </w:pPr>
            <w:r>
              <w:rPr>
                <w:sz w:val="14"/>
              </w:rPr>
              <w:t>0.0%</w:t>
            </w:r>
          </w:p>
        </w:tc>
      </w:tr>
      <w:tr>
        <w:trPr>
          <w:trHeight w:val="268" w:hRule="atLeast"/>
        </w:trPr>
        <w:tc>
          <w:tcPr>
            <w:tcW w:w="4352" w:type="dxa"/>
          </w:tcPr>
          <w:p>
            <w:pPr>
              <w:pStyle w:val="TableParagraph"/>
              <w:spacing w:line="142" w:lineRule="exact" w:before="107"/>
              <w:ind w:left="50"/>
              <w:rPr>
                <w:sz w:val="14"/>
              </w:rPr>
            </w:pPr>
            <w:r>
              <w:rPr>
                <w:w w:val="105"/>
                <w:sz w:val="14"/>
              </w:rPr>
              <w:t>TOTAL, BOOKS AND SUPPLIES</w:t>
            </w:r>
          </w:p>
        </w:tc>
        <w:tc>
          <w:tcPr>
            <w:tcW w:w="2182" w:type="dxa"/>
          </w:tcPr>
          <w:p>
            <w:pPr>
              <w:pStyle w:val="TableParagraph"/>
              <w:rPr>
                <w:rFonts w:ascii="Times New Roman"/>
                <w:sz w:val="14"/>
              </w:rPr>
            </w:pPr>
          </w:p>
        </w:tc>
        <w:tc>
          <w:tcPr>
            <w:tcW w:w="1638" w:type="dxa"/>
          </w:tcPr>
          <w:p>
            <w:pPr>
              <w:pStyle w:val="TableParagraph"/>
              <w:spacing w:line="142" w:lineRule="exact" w:before="107"/>
              <w:ind w:right="614"/>
              <w:jc w:val="right"/>
              <w:rPr>
                <w:sz w:val="14"/>
              </w:rPr>
            </w:pPr>
            <w:r>
              <w:rPr>
                <w:sz w:val="14"/>
              </w:rPr>
              <w:t>0.00</w:t>
            </w:r>
          </w:p>
        </w:tc>
        <w:tc>
          <w:tcPr>
            <w:tcW w:w="1526" w:type="dxa"/>
          </w:tcPr>
          <w:p>
            <w:pPr>
              <w:pStyle w:val="TableParagraph"/>
              <w:spacing w:line="142" w:lineRule="exact" w:before="107"/>
              <w:ind w:left="616"/>
              <w:rPr>
                <w:sz w:val="14"/>
              </w:rPr>
            </w:pPr>
            <w:r>
              <w:rPr>
                <w:w w:val="105"/>
                <w:sz w:val="14"/>
              </w:rPr>
              <w:t>0.00</w:t>
            </w:r>
          </w:p>
        </w:tc>
        <w:tc>
          <w:tcPr>
            <w:tcW w:w="1007" w:type="dxa"/>
          </w:tcPr>
          <w:p>
            <w:pPr>
              <w:pStyle w:val="TableParagraph"/>
              <w:spacing w:line="142" w:lineRule="exact" w:before="107"/>
              <w:ind w:right="47"/>
              <w:jc w:val="right"/>
              <w:rPr>
                <w:sz w:val="14"/>
              </w:rPr>
            </w:pPr>
            <w:r>
              <w:rPr>
                <w:sz w:val="14"/>
              </w:rPr>
              <w:t>0.0%</w:t>
            </w:r>
          </w:p>
        </w:tc>
      </w:tr>
    </w:tbl>
    <w:p>
      <w:pPr>
        <w:spacing w:after="0" w:line="142" w:lineRule="exact"/>
        <w:jc w:val="right"/>
        <w:rPr>
          <w:sz w:val="14"/>
        </w:rPr>
        <w:sectPr>
          <w:type w:val="continuous"/>
          <w:pgSz w:w="12240" w:h="15840"/>
          <w:pgMar w:top="1500" w:bottom="840" w:left="160" w:right="180"/>
        </w:sectPr>
      </w:pPr>
    </w:p>
    <w:p>
      <w:pPr>
        <w:spacing w:line="232" w:lineRule="auto" w:before="1"/>
        <w:ind w:left="308" w:right="0" w:firstLine="0"/>
        <w:jc w:val="left"/>
        <w:rPr>
          <w:sz w:val="18"/>
        </w:rPr>
      </w:pPr>
      <w:r>
        <w:rPr>
          <w:sz w:val="18"/>
        </w:rPr>
        <w:t>Winship-Robbins Elementary Sutter County</w:t>
      </w:r>
    </w:p>
    <w:p>
      <w:pPr>
        <w:spacing w:line="232" w:lineRule="auto" w:before="1"/>
        <w:ind w:left="370" w:right="0" w:hanging="63"/>
        <w:jc w:val="left"/>
        <w:rPr>
          <w:sz w:val="18"/>
        </w:rPr>
      </w:pPr>
      <w:r>
        <w:rPr/>
        <w:br w:type="column"/>
      </w:r>
      <w:r>
        <w:rPr>
          <w:sz w:val="18"/>
        </w:rPr>
        <w:t>Child Development Fund Expenditures by Object</w:t>
      </w:r>
    </w:p>
    <w:p>
      <w:pPr>
        <w:spacing w:line="200" w:lineRule="exact" w:before="0"/>
        <w:ind w:left="0" w:right="287" w:firstLine="0"/>
        <w:jc w:val="right"/>
        <w:rPr>
          <w:sz w:val="18"/>
        </w:rPr>
      </w:pPr>
      <w:r>
        <w:rPr/>
        <w:br w:type="column"/>
      </w:r>
      <w:r>
        <w:rPr>
          <w:sz w:val="18"/>
        </w:rPr>
        <w:t>51 71456</w:t>
      </w:r>
      <w:r>
        <w:rPr>
          <w:spacing w:val="3"/>
          <w:sz w:val="18"/>
        </w:rPr>
        <w:t> </w:t>
      </w:r>
      <w:r>
        <w:rPr>
          <w:sz w:val="18"/>
        </w:rPr>
        <w:t>0000000</w:t>
      </w:r>
    </w:p>
    <w:p>
      <w:pPr>
        <w:spacing w:line="204" w:lineRule="exact" w:before="0"/>
        <w:ind w:left="0" w:right="285" w:firstLine="0"/>
        <w:jc w:val="right"/>
        <w:rPr>
          <w:sz w:val="18"/>
        </w:rPr>
      </w:pPr>
      <w:r>
        <w:rPr>
          <w:sz w:val="18"/>
        </w:rPr>
        <w:t>Form </w:t>
      </w:r>
      <w:r>
        <w:rPr>
          <w:spacing w:val="3"/>
          <w:sz w:val="18"/>
        </w:rPr>
        <w:t> </w:t>
      </w:r>
      <w:r>
        <w:rPr>
          <w:sz w:val="18"/>
        </w:rPr>
        <w:t>12</w:t>
      </w:r>
    </w:p>
    <w:p>
      <w:pPr>
        <w:spacing w:after="0" w:line="204" w:lineRule="exact"/>
        <w:jc w:val="right"/>
        <w:rPr>
          <w:sz w:val="18"/>
        </w:rPr>
        <w:sectPr>
          <w:pgSz w:w="12240" w:h="15840"/>
          <w:pgMar w:header="651" w:footer="437" w:top="840" w:bottom="620" w:left="160" w:right="180"/>
          <w:cols w:num="3" w:equalWidth="0">
            <w:col w:w="2698" w:space="1953"/>
            <w:col w:w="2348" w:space="2793"/>
            <w:col w:w="2108"/>
          </w:cols>
        </w:sectPr>
      </w:pPr>
    </w:p>
    <w:p>
      <w:pPr>
        <w:pStyle w:val="BodyText"/>
        <w:rPr>
          <w:sz w:val="20"/>
        </w:rPr>
      </w:pPr>
    </w:p>
    <w:p>
      <w:pPr>
        <w:pStyle w:val="BodyText"/>
        <w:rPr>
          <w:sz w:val="20"/>
        </w:rPr>
      </w:pPr>
    </w:p>
    <w:p>
      <w:pPr>
        <w:pStyle w:val="BodyText"/>
        <w:rPr>
          <w:sz w:val="18"/>
        </w:rPr>
      </w:pPr>
    </w:p>
    <w:p>
      <w:pPr>
        <w:spacing w:after="0"/>
        <w:rPr>
          <w:sz w:val="18"/>
        </w:rPr>
        <w:sectPr>
          <w:type w:val="continuous"/>
          <w:pgSz w:w="12240" w:h="15840"/>
          <w:pgMar w:top="1500" w:bottom="840" w:left="160" w:right="180"/>
        </w:sectPr>
      </w:pPr>
    </w:p>
    <w:p>
      <w:pPr>
        <w:pStyle w:val="BodyText"/>
        <w:spacing w:before="3"/>
        <w:rPr>
          <w:sz w:val="23"/>
        </w:rPr>
      </w:pPr>
    </w:p>
    <w:p>
      <w:pPr>
        <w:tabs>
          <w:tab w:pos="4306" w:val="left" w:leader="none"/>
          <w:tab w:pos="5679" w:val="left" w:leader="none"/>
        </w:tabs>
        <w:spacing w:before="0"/>
        <w:ind w:left="478" w:right="0" w:firstLine="0"/>
        <w:jc w:val="left"/>
        <w:rPr>
          <w:b/>
          <w:sz w:val="14"/>
        </w:rPr>
      </w:pPr>
      <w:r>
        <w:rPr>
          <w:b/>
          <w:w w:val="105"/>
          <w:sz w:val="14"/>
        </w:rPr>
        <w:t>Description</w:t>
        <w:tab/>
        <w:t>Resource</w:t>
      </w:r>
      <w:r>
        <w:rPr>
          <w:b/>
          <w:spacing w:val="-12"/>
          <w:w w:val="105"/>
          <w:sz w:val="14"/>
        </w:rPr>
        <w:t> </w:t>
      </w:r>
      <w:r>
        <w:rPr>
          <w:b/>
          <w:w w:val="105"/>
          <w:sz w:val="14"/>
        </w:rPr>
        <w:t>Codes</w:t>
        <w:tab/>
        <w:t>Object</w:t>
      </w:r>
      <w:r>
        <w:rPr>
          <w:b/>
          <w:spacing w:val="-14"/>
          <w:w w:val="105"/>
          <w:sz w:val="14"/>
        </w:rPr>
        <w:t> </w:t>
      </w:r>
      <w:r>
        <w:rPr>
          <w:b/>
          <w:spacing w:val="-4"/>
          <w:w w:val="105"/>
          <w:sz w:val="14"/>
        </w:rPr>
        <w:t>Codes</w:t>
      </w:r>
    </w:p>
    <w:p>
      <w:pPr>
        <w:spacing w:before="99"/>
        <w:ind w:left="83" w:right="0" w:firstLine="0"/>
        <w:jc w:val="center"/>
        <w:rPr>
          <w:b/>
          <w:sz w:val="14"/>
        </w:rPr>
      </w:pPr>
      <w:r>
        <w:rPr/>
        <w:br w:type="column"/>
      </w:r>
      <w:r>
        <w:rPr>
          <w:b/>
          <w:w w:val="105"/>
          <w:sz w:val="14"/>
        </w:rPr>
        <w:t>2020-21</w:t>
      </w:r>
    </w:p>
    <w:p>
      <w:pPr>
        <w:spacing w:before="7"/>
        <w:ind w:left="83" w:right="3" w:firstLine="0"/>
        <w:jc w:val="center"/>
        <w:rPr>
          <w:b/>
          <w:sz w:val="14"/>
        </w:rPr>
      </w:pPr>
      <w:r>
        <w:rPr/>
        <w:pict>
          <v:group style="position:absolute;margin-left:30.120001pt;margin-top:-30.284115pt;width:538pt;height:564.6pt;mso-position-horizontal-relative:page;mso-position-vertical-relative:paragraph;z-index:-314477568" coordorigin="602,-606" coordsize="10760,11292">
            <v:shape style="position:absolute;left:602;top:-606;width:3646;height:790" type="#_x0000_t75" stroked="false">
              <v:imagedata r:id="rId406" o:title=""/>
            </v:shape>
            <v:shape style="position:absolute;left:4240;top:-606;width:7121;height:790" type="#_x0000_t75" stroked="false">
              <v:imagedata r:id="rId407" o:title=""/>
            </v:shape>
            <v:shape style="position:absolute;left:602;top:169;width:5220;height:380" type="#_x0000_t75" stroked="false">
              <v:imagedata r:id="rId628" o:title=""/>
            </v:shape>
            <v:shape style="position:absolute;left:5815;top:169;width:5547;height:778" type="#_x0000_t75" stroked="false">
              <v:imagedata r:id="rId629" o:title=""/>
            </v:shape>
            <v:shape style="position:absolute;left:602;top:546;width:3646;height:4623" type="#_x0000_t75" stroked="false">
              <v:imagedata r:id="rId630" o:title=""/>
            </v:shape>
            <v:shape style="position:absolute;left:6782;top:743;width:4580;height:569" type="#_x0000_t75" stroked="false">
              <v:imagedata r:id="rId631" o:title=""/>
            </v:shape>
            <v:shape style="position:absolute;left:6782;top:939;width:4580;height:737" type="#_x0000_t75" stroked="false">
              <v:imagedata r:id="rId464" o:title=""/>
            </v:shape>
            <v:shape style="position:absolute;left:8294;top:1304;width:3068;height:732" type="#_x0000_t75" stroked="false">
              <v:imagedata r:id="rId489" o:title=""/>
            </v:shape>
            <v:shape style="position:absolute;left:6782;top:1669;width:4580;height:1097" type="#_x0000_t75" stroked="false">
              <v:imagedata r:id="rId632" o:title=""/>
            </v:shape>
            <v:shape style="position:absolute;left:6782;top:2399;width:1520;height:737" type="#_x0000_t75" stroked="false">
              <v:imagedata r:id="rId633" o:title=""/>
            </v:shape>
            <v:shape style="position:absolute;left:8294;top:2399;width:1520;height:737" type="#_x0000_t75" stroked="false">
              <v:imagedata r:id="rId634" o:title=""/>
            </v:shape>
            <v:rect style="position:absolute;left:9811;top:2768;width:1541;height:365" filled="true" fillcolor="#dfdfdf" stroked="false">
              <v:fill type="solid"/>
            </v:rect>
            <v:shape style="position:absolute;left:6782;top:2399;width:4580;height:1664" type="#_x0000_t75" stroked="false">
              <v:imagedata r:id="rId635" o:title=""/>
            </v:shape>
            <v:shape style="position:absolute;left:6782;top:3858;width:4580;height:569" type="#_x0000_t75" stroked="false">
              <v:imagedata r:id="rId636" o:title=""/>
            </v:shape>
            <v:shape style="position:absolute;left:8294;top:4055;width:3068;height:744" type="#_x0000_t75" stroked="false">
              <v:imagedata r:id="rId466" o:title=""/>
            </v:shape>
            <v:shape style="position:absolute;left:4240;top:4419;width:7121;height:1119" type="#_x0000_t75" stroked="false">
              <v:imagedata r:id="rId488" o:title=""/>
            </v:shape>
            <v:shape style="position:absolute;left:6782;top:5166;width:4580;height:737" type="#_x0000_t75" stroked="false">
              <v:imagedata r:id="rId464" o:title=""/>
            </v:shape>
            <v:shape style="position:absolute;left:6782;top:5531;width:4580;height:737" type="#_x0000_t75" stroked="false">
              <v:imagedata r:id="rId464" o:title=""/>
            </v:shape>
            <v:shape style="position:absolute;left:8294;top:5895;width:3068;height:732" type="#_x0000_t75" stroked="false">
              <v:imagedata r:id="rId489" o:title=""/>
            </v:shape>
            <v:shape style="position:absolute;left:6782;top:6260;width:4580;height:737" type="#_x0000_t75" stroked="false">
              <v:imagedata r:id="rId637" o:title=""/>
            </v:shape>
            <v:shape style="position:absolute;left:602;top:5166;width:5220;height:2943" type="#_x0000_t75" stroked="false">
              <v:imagedata r:id="rId638" o:title=""/>
            </v:shape>
            <v:rect style="position:absolute;left:6787;top:6995;width:1512;height:363" filled="true" fillcolor="#dfdfdf" stroked="false">
              <v:fill type="solid"/>
            </v:rect>
            <v:shape style="position:absolute;left:6782;top:6990;width:4580;height:742" type="#_x0000_t75" stroked="false">
              <v:imagedata r:id="rId639" o:title=""/>
            </v:shape>
            <v:shape style="position:absolute;left:5815;top:7352;width:5547;height:1491" type="#_x0000_t75" stroked="false">
              <v:imagedata r:id="rId640" o:title=""/>
            </v:shape>
            <v:shape style="position:absolute;left:6782;top:8471;width:4580;height:1102" type="#_x0000_t75" stroked="false">
              <v:imagedata r:id="rId641" o:title=""/>
            </v:shape>
            <v:shape style="position:absolute;left:6782;top:9200;width:4580;height:737" type="#_x0000_t75" stroked="false">
              <v:imagedata r:id="rId642" o:title=""/>
            </v:shape>
            <v:shape style="position:absolute;left:602;top:8106;width:3646;height:2580" type="#_x0000_t75" stroked="false">
              <v:imagedata r:id="rId468" o:title=""/>
            </v:shape>
            <w10:wrap type="none"/>
          </v:group>
        </w:pict>
      </w:r>
      <w:r>
        <w:rPr>
          <w:b/>
          <w:w w:val="105"/>
          <w:sz w:val="14"/>
        </w:rPr>
        <w:t>Estimated Actuals</w:t>
      </w:r>
    </w:p>
    <w:p>
      <w:pPr>
        <w:spacing w:before="99"/>
        <w:ind w:left="478" w:right="0" w:firstLine="0"/>
        <w:jc w:val="left"/>
        <w:rPr>
          <w:b/>
          <w:sz w:val="14"/>
        </w:rPr>
      </w:pPr>
      <w:r>
        <w:rPr/>
        <w:br w:type="column"/>
      </w:r>
      <w:r>
        <w:rPr>
          <w:b/>
          <w:w w:val="105"/>
          <w:sz w:val="14"/>
        </w:rPr>
        <w:t>2021-22</w:t>
      </w:r>
    </w:p>
    <w:p>
      <w:pPr>
        <w:spacing w:before="7"/>
        <w:ind w:left="490" w:right="0" w:firstLine="0"/>
        <w:jc w:val="left"/>
        <w:rPr>
          <w:b/>
          <w:sz w:val="14"/>
        </w:rPr>
      </w:pPr>
      <w:r>
        <w:rPr>
          <w:b/>
          <w:w w:val="105"/>
          <w:sz w:val="14"/>
        </w:rPr>
        <w:t>Budget</w:t>
      </w:r>
    </w:p>
    <w:p>
      <w:pPr>
        <w:spacing w:line="249" w:lineRule="auto" w:before="99"/>
        <w:ind w:left="478" w:right="1119" w:firstLine="86"/>
        <w:jc w:val="left"/>
        <w:rPr>
          <w:b/>
          <w:sz w:val="14"/>
        </w:rPr>
      </w:pPr>
      <w:r>
        <w:rPr/>
        <w:br w:type="column"/>
      </w:r>
      <w:r>
        <w:rPr>
          <w:b/>
          <w:w w:val="105"/>
          <w:sz w:val="14"/>
        </w:rPr>
        <w:t>Percent </w:t>
      </w:r>
      <w:r>
        <w:rPr>
          <w:b/>
          <w:sz w:val="14"/>
        </w:rPr>
        <w:t>Difference</w:t>
      </w:r>
    </w:p>
    <w:p>
      <w:pPr>
        <w:spacing w:after="0" w:line="249" w:lineRule="auto"/>
        <w:jc w:val="left"/>
        <w:rPr>
          <w:sz w:val="14"/>
        </w:rPr>
        <w:sectPr>
          <w:type w:val="continuous"/>
          <w:pgSz w:w="12240" w:h="15840"/>
          <w:pgMar w:top="1500" w:bottom="840" w:left="160" w:right="180"/>
          <w:cols w:num="4" w:equalWidth="0">
            <w:col w:w="6606" w:space="40"/>
            <w:col w:w="1402" w:space="112"/>
            <w:col w:w="1043" w:space="395"/>
            <w:col w:w="2302"/>
          </w:cols>
        </w:sectPr>
      </w:pPr>
    </w:p>
    <w:p>
      <w:pPr>
        <w:pStyle w:val="BodyText"/>
        <w:spacing w:before="8"/>
        <w:rPr>
          <w:b/>
          <w:sz w:val="9"/>
        </w:rPr>
      </w:pPr>
    </w:p>
    <w:p>
      <w:pPr>
        <w:spacing w:before="99"/>
        <w:ind w:left="478" w:right="0" w:firstLine="0"/>
        <w:jc w:val="left"/>
        <w:rPr>
          <w:b/>
          <w:sz w:val="14"/>
        </w:rPr>
      </w:pPr>
      <w:r>
        <w:rPr>
          <w:b/>
          <w:w w:val="105"/>
          <w:sz w:val="14"/>
        </w:rPr>
        <w:t>SERVICES AND OTHER OPERATING EXPENDITURES</w:t>
      </w:r>
    </w:p>
    <w:p>
      <w:pPr>
        <w:pStyle w:val="BodyText"/>
        <w:spacing w:before="6"/>
        <w:rPr>
          <w:b/>
          <w:sz w:val="20"/>
        </w:rPr>
      </w:pPr>
    </w:p>
    <w:tbl>
      <w:tblPr>
        <w:tblW w:w="0" w:type="auto"/>
        <w:jc w:val="left"/>
        <w:tblInd w:w="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07"/>
        <w:gridCol w:w="1850"/>
        <w:gridCol w:w="1547"/>
        <w:gridCol w:w="1527"/>
        <w:gridCol w:w="1008"/>
      </w:tblGrid>
      <w:tr>
        <w:trPr>
          <w:trHeight w:val="262" w:hRule="atLeast"/>
        </w:trPr>
        <w:tc>
          <w:tcPr>
            <w:tcW w:w="4807" w:type="dxa"/>
          </w:tcPr>
          <w:p>
            <w:pPr>
              <w:pStyle w:val="TableParagraph"/>
              <w:spacing w:line="160" w:lineRule="exact"/>
              <w:ind w:left="81"/>
              <w:rPr>
                <w:sz w:val="14"/>
              </w:rPr>
            </w:pPr>
            <w:r>
              <w:rPr>
                <w:w w:val="105"/>
                <w:sz w:val="14"/>
              </w:rPr>
              <w:t>Subagreements for Services</w:t>
            </w:r>
          </w:p>
        </w:tc>
        <w:tc>
          <w:tcPr>
            <w:tcW w:w="1850" w:type="dxa"/>
          </w:tcPr>
          <w:p>
            <w:pPr>
              <w:pStyle w:val="TableParagraph"/>
              <w:spacing w:line="160" w:lineRule="exact"/>
              <w:ind w:left="487" w:right="620"/>
              <w:jc w:val="center"/>
              <w:rPr>
                <w:sz w:val="14"/>
              </w:rPr>
            </w:pPr>
            <w:r>
              <w:rPr>
                <w:w w:val="105"/>
                <w:sz w:val="14"/>
              </w:rPr>
              <w:t>5100</w:t>
            </w:r>
          </w:p>
        </w:tc>
        <w:tc>
          <w:tcPr>
            <w:tcW w:w="1547" w:type="dxa"/>
          </w:tcPr>
          <w:p>
            <w:pPr>
              <w:pStyle w:val="TableParagraph"/>
              <w:spacing w:line="160" w:lineRule="exact"/>
              <w:ind w:left="626" w:right="593"/>
              <w:jc w:val="center"/>
              <w:rPr>
                <w:sz w:val="14"/>
              </w:rPr>
            </w:pPr>
            <w:r>
              <w:rPr>
                <w:w w:val="105"/>
                <w:sz w:val="14"/>
              </w:rPr>
              <w:t>0.00</w:t>
            </w:r>
          </w:p>
        </w:tc>
        <w:tc>
          <w:tcPr>
            <w:tcW w:w="1527" w:type="dxa"/>
          </w:tcPr>
          <w:p>
            <w:pPr>
              <w:pStyle w:val="TableParagraph"/>
              <w:spacing w:line="160" w:lineRule="exact"/>
              <w:ind w:left="615"/>
              <w:rPr>
                <w:sz w:val="14"/>
              </w:rPr>
            </w:pPr>
            <w:r>
              <w:rPr>
                <w:w w:val="105"/>
                <w:sz w:val="14"/>
              </w:rPr>
              <w:t>0.00</w:t>
            </w:r>
          </w:p>
        </w:tc>
        <w:tc>
          <w:tcPr>
            <w:tcW w:w="1008" w:type="dxa"/>
          </w:tcPr>
          <w:p>
            <w:pPr>
              <w:pStyle w:val="TableParagraph"/>
              <w:spacing w:line="160" w:lineRule="exact"/>
              <w:ind w:right="49"/>
              <w:jc w:val="right"/>
              <w:rPr>
                <w:sz w:val="14"/>
              </w:rPr>
            </w:pPr>
            <w:r>
              <w:rPr>
                <w:sz w:val="14"/>
              </w:rPr>
              <w:t>0.0%</w:t>
            </w:r>
          </w:p>
        </w:tc>
      </w:tr>
      <w:tr>
        <w:trPr>
          <w:trHeight w:val="364" w:hRule="atLeast"/>
        </w:trPr>
        <w:tc>
          <w:tcPr>
            <w:tcW w:w="4807" w:type="dxa"/>
          </w:tcPr>
          <w:p>
            <w:pPr>
              <w:pStyle w:val="TableParagraph"/>
              <w:spacing w:before="101"/>
              <w:ind w:left="81"/>
              <w:rPr>
                <w:sz w:val="14"/>
              </w:rPr>
            </w:pPr>
            <w:r>
              <w:rPr>
                <w:w w:val="105"/>
                <w:sz w:val="14"/>
              </w:rPr>
              <w:t>Travel and Conferences</w:t>
            </w:r>
          </w:p>
        </w:tc>
        <w:tc>
          <w:tcPr>
            <w:tcW w:w="1850" w:type="dxa"/>
          </w:tcPr>
          <w:p>
            <w:pPr>
              <w:pStyle w:val="TableParagraph"/>
              <w:spacing w:before="101"/>
              <w:ind w:left="487" w:right="620"/>
              <w:jc w:val="center"/>
              <w:rPr>
                <w:sz w:val="14"/>
              </w:rPr>
            </w:pPr>
            <w:r>
              <w:rPr>
                <w:w w:val="105"/>
                <w:sz w:val="14"/>
              </w:rPr>
              <w:t>5200</w:t>
            </w:r>
          </w:p>
        </w:tc>
        <w:tc>
          <w:tcPr>
            <w:tcW w:w="1547" w:type="dxa"/>
          </w:tcPr>
          <w:p>
            <w:pPr>
              <w:pStyle w:val="TableParagraph"/>
              <w:spacing w:before="101"/>
              <w:ind w:left="626" w:right="593"/>
              <w:jc w:val="center"/>
              <w:rPr>
                <w:sz w:val="14"/>
              </w:rPr>
            </w:pPr>
            <w:r>
              <w:rPr>
                <w:w w:val="105"/>
                <w:sz w:val="14"/>
              </w:rPr>
              <w:t>0.00</w:t>
            </w:r>
          </w:p>
        </w:tc>
        <w:tc>
          <w:tcPr>
            <w:tcW w:w="1527" w:type="dxa"/>
          </w:tcPr>
          <w:p>
            <w:pPr>
              <w:pStyle w:val="TableParagraph"/>
              <w:spacing w:before="101"/>
              <w:ind w:left="615"/>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364" w:hRule="atLeast"/>
        </w:trPr>
        <w:tc>
          <w:tcPr>
            <w:tcW w:w="4807" w:type="dxa"/>
          </w:tcPr>
          <w:p>
            <w:pPr>
              <w:pStyle w:val="TableParagraph"/>
              <w:spacing w:before="101"/>
              <w:ind w:left="81"/>
              <w:rPr>
                <w:sz w:val="14"/>
              </w:rPr>
            </w:pPr>
            <w:r>
              <w:rPr>
                <w:w w:val="105"/>
                <w:sz w:val="14"/>
              </w:rPr>
              <w:t>Dues and Memberships</w:t>
            </w:r>
          </w:p>
        </w:tc>
        <w:tc>
          <w:tcPr>
            <w:tcW w:w="1850" w:type="dxa"/>
          </w:tcPr>
          <w:p>
            <w:pPr>
              <w:pStyle w:val="TableParagraph"/>
              <w:spacing w:before="101"/>
              <w:ind w:left="487" w:right="620"/>
              <w:jc w:val="center"/>
              <w:rPr>
                <w:sz w:val="14"/>
              </w:rPr>
            </w:pPr>
            <w:r>
              <w:rPr>
                <w:w w:val="105"/>
                <w:sz w:val="14"/>
              </w:rPr>
              <w:t>5300</w:t>
            </w:r>
          </w:p>
        </w:tc>
        <w:tc>
          <w:tcPr>
            <w:tcW w:w="1547" w:type="dxa"/>
          </w:tcPr>
          <w:p>
            <w:pPr>
              <w:pStyle w:val="TableParagraph"/>
              <w:spacing w:before="101"/>
              <w:ind w:left="626" w:right="593"/>
              <w:jc w:val="center"/>
              <w:rPr>
                <w:sz w:val="14"/>
              </w:rPr>
            </w:pPr>
            <w:r>
              <w:rPr>
                <w:w w:val="105"/>
                <w:sz w:val="14"/>
              </w:rPr>
              <w:t>0.00</w:t>
            </w:r>
          </w:p>
        </w:tc>
        <w:tc>
          <w:tcPr>
            <w:tcW w:w="1527" w:type="dxa"/>
          </w:tcPr>
          <w:p>
            <w:pPr>
              <w:pStyle w:val="TableParagraph"/>
              <w:spacing w:before="101"/>
              <w:ind w:left="615"/>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364" w:hRule="atLeast"/>
        </w:trPr>
        <w:tc>
          <w:tcPr>
            <w:tcW w:w="4807" w:type="dxa"/>
          </w:tcPr>
          <w:p>
            <w:pPr>
              <w:pStyle w:val="TableParagraph"/>
              <w:spacing w:before="101"/>
              <w:ind w:left="81"/>
              <w:rPr>
                <w:sz w:val="14"/>
              </w:rPr>
            </w:pPr>
            <w:r>
              <w:rPr>
                <w:w w:val="105"/>
                <w:sz w:val="14"/>
              </w:rPr>
              <w:t>Insurance</w:t>
            </w:r>
          </w:p>
        </w:tc>
        <w:tc>
          <w:tcPr>
            <w:tcW w:w="1850" w:type="dxa"/>
          </w:tcPr>
          <w:p>
            <w:pPr>
              <w:pStyle w:val="TableParagraph"/>
              <w:spacing w:before="101"/>
              <w:ind w:left="487" w:right="620"/>
              <w:jc w:val="center"/>
              <w:rPr>
                <w:sz w:val="14"/>
              </w:rPr>
            </w:pPr>
            <w:r>
              <w:rPr>
                <w:w w:val="105"/>
                <w:sz w:val="14"/>
              </w:rPr>
              <w:t>5400-5450</w:t>
            </w:r>
          </w:p>
        </w:tc>
        <w:tc>
          <w:tcPr>
            <w:tcW w:w="1547" w:type="dxa"/>
          </w:tcPr>
          <w:p>
            <w:pPr>
              <w:pStyle w:val="TableParagraph"/>
              <w:spacing w:before="101"/>
              <w:ind w:left="626" w:right="593"/>
              <w:jc w:val="center"/>
              <w:rPr>
                <w:sz w:val="14"/>
              </w:rPr>
            </w:pPr>
            <w:r>
              <w:rPr>
                <w:w w:val="105"/>
                <w:sz w:val="14"/>
              </w:rPr>
              <w:t>0.00</w:t>
            </w:r>
          </w:p>
        </w:tc>
        <w:tc>
          <w:tcPr>
            <w:tcW w:w="1527" w:type="dxa"/>
          </w:tcPr>
          <w:p>
            <w:pPr>
              <w:pStyle w:val="TableParagraph"/>
              <w:spacing w:before="101"/>
              <w:ind w:left="615"/>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364" w:hRule="atLeast"/>
        </w:trPr>
        <w:tc>
          <w:tcPr>
            <w:tcW w:w="4807" w:type="dxa"/>
          </w:tcPr>
          <w:p>
            <w:pPr>
              <w:pStyle w:val="TableParagraph"/>
              <w:spacing w:before="101"/>
              <w:ind w:left="81"/>
              <w:rPr>
                <w:sz w:val="14"/>
              </w:rPr>
            </w:pPr>
            <w:r>
              <w:rPr>
                <w:w w:val="105"/>
                <w:sz w:val="14"/>
              </w:rPr>
              <w:t>Operations and Housekeeping Services</w:t>
            </w:r>
          </w:p>
        </w:tc>
        <w:tc>
          <w:tcPr>
            <w:tcW w:w="1850" w:type="dxa"/>
          </w:tcPr>
          <w:p>
            <w:pPr>
              <w:pStyle w:val="TableParagraph"/>
              <w:spacing w:before="101"/>
              <w:ind w:left="487" w:right="620"/>
              <w:jc w:val="center"/>
              <w:rPr>
                <w:sz w:val="14"/>
              </w:rPr>
            </w:pPr>
            <w:r>
              <w:rPr>
                <w:w w:val="105"/>
                <w:sz w:val="14"/>
              </w:rPr>
              <w:t>5500</w:t>
            </w:r>
          </w:p>
        </w:tc>
        <w:tc>
          <w:tcPr>
            <w:tcW w:w="1547" w:type="dxa"/>
          </w:tcPr>
          <w:p>
            <w:pPr>
              <w:pStyle w:val="TableParagraph"/>
              <w:spacing w:before="101"/>
              <w:ind w:left="626" w:right="593"/>
              <w:jc w:val="center"/>
              <w:rPr>
                <w:sz w:val="14"/>
              </w:rPr>
            </w:pPr>
            <w:r>
              <w:rPr>
                <w:w w:val="105"/>
                <w:sz w:val="14"/>
              </w:rPr>
              <w:t>0.00</w:t>
            </w:r>
          </w:p>
        </w:tc>
        <w:tc>
          <w:tcPr>
            <w:tcW w:w="1527" w:type="dxa"/>
          </w:tcPr>
          <w:p>
            <w:pPr>
              <w:pStyle w:val="TableParagraph"/>
              <w:spacing w:before="101"/>
              <w:ind w:left="615"/>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364" w:hRule="atLeast"/>
        </w:trPr>
        <w:tc>
          <w:tcPr>
            <w:tcW w:w="4807" w:type="dxa"/>
          </w:tcPr>
          <w:p>
            <w:pPr>
              <w:pStyle w:val="TableParagraph"/>
              <w:spacing w:before="101"/>
              <w:ind w:left="81"/>
              <w:rPr>
                <w:sz w:val="14"/>
              </w:rPr>
            </w:pPr>
            <w:r>
              <w:rPr>
                <w:w w:val="105"/>
                <w:sz w:val="14"/>
              </w:rPr>
              <w:t>Rentals, Leases, Repairs, and Noncapitalized Improvements</w:t>
            </w:r>
          </w:p>
        </w:tc>
        <w:tc>
          <w:tcPr>
            <w:tcW w:w="1850" w:type="dxa"/>
          </w:tcPr>
          <w:p>
            <w:pPr>
              <w:pStyle w:val="TableParagraph"/>
              <w:spacing w:before="101"/>
              <w:ind w:left="487" w:right="620"/>
              <w:jc w:val="center"/>
              <w:rPr>
                <w:sz w:val="14"/>
              </w:rPr>
            </w:pPr>
            <w:r>
              <w:rPr>
                <w:w w:val="105"/>
                <w:sz w:val="14"/>
              </w:rPr>
              <w:t>5600</w:t>
            </w:r>
          </w:p>
        </w:tc>
        <w:tc>
          <w:tcPr>
            <w:tcW w:w="1547" w:type="dxa"/>
          </w:tcPr>
          <w:p>
            <w:pPr>
              <w:pStyle w:val="TableParagraph"/>
              <w:spacing w:before="101"/>
              <w:ind w:left="626" w:right="593"/>
              <w:jc w:val="center"/>
              <w:rPr>
                <w:sz w:val="14"/>
              </w:rPr>
            </w:pPr>
            <w:r>
              <w:rPr>
                <w:w w:val="105"/>
                <w:sz w:val="14"/>
              </w:rPr>
              <w:t>0.00</w:t>
            </w:r>
          </w:p>
        </w:tc>
        <w:tc>
          <w:tcPr>
            <w:tcW w:w="1527" w:type="dxa"/>
          </w:tcPr>
          <w:p>
            <w:pPr>
              <w:pStyle w:val="TableParagraph"/>
              <w:spacing w:before="101"/>
              <w:ind w:left="615"/>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364" w:hRule="atLeast"/>
        </w:trPr>
        <w:tc>
          <w:tcPr>
            <w:tcW w:w="4807" w:type="dxa"/>
          </w:tcPr>
          <w:p>
            <w:pPr>
              <w:pStyle w:val="TableParagraph"/>
              <w:spacing w:before="101"/>
              <w:ind w:left="81"/>
              <w:rPr>
                <w:sz w:val="14"/>
              </w:rPr>
            </w:pPr>
            <w:r>
              <w:rPr>
                <w:w w:val="105"/>
                <w:sz w:val="14"/>
              </w:rPr>
              <w:t>Transfers of Direct Costs</w:t>
            </w:r>
          </w:p>
        </w:tc>
        <w:tc>
          <w:tcPr>
            <w:tcW w:w="1850" w:type="dxa"/>
          </w:tcPr>
          <w:p>
            <w:pPr>
              <w:pStyle w:val="TableParagraph"/>
              <w:spacing w:before="101"/>
              <w:ind w:left="487" w:right="620"/>
              <w:jc w:val="center"/>
              <w:rPr>
                <w:sz w:val="14"/>
              </w:rPr>
            </w:pPr>
            <w:r>
              <w:rPr>
                <w:w w:val="105"/>
                <w:sz w:val="14"/>
              </w:rPr>
              <w:t>5710</w:t>
            </w:r>
          </w:p>
        </w:tc>
        <w:tc>
          <w:tcPr>
            <w:tcW w:w="1547" w:type="dxa"/>
          </w:tcPr>
          <w:p>
            <w:pPr>
              <w:pStyle w:val="TableParagraph"/>
              <w:spacing w:before="101"/>
              <w:ind w:left="626" w:right="593"/>
              <w:jc w:val="center"/>
              <w:rPr>
                <w:sz w:val="14"/>
              </w:rPr>
            </w:pPr>
            <w:r>
              <w:rPr>
                <w:w w:val="105"/>
                <w:sz w:val="14"/>
              </w:rPr>
              <w:t>0.00</w:t>
            </w:r>
          </w:p>
        </w:tc>
        <w:tc>
          <w:tcPr>
            <w:tcW w:w="1527" w:type="dxa"/>
          </w:tcPr>
          <w:p>
            <w:pPr>
              <w:pStyle w:val="TableParagraph"/>
              <w:spacing w:before="101"/>
              <w:ind w:left="615"/>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364" w:hRule="atLeast"/>
        </w:trPr>
        <w:tc>
          <w:tcPr>
            <w:tcW w:w="4807" w:type="dxa"/>
          </w:tcPr>
          <w:p>
            <w:pPr>
              <w:pStyle w:val="TableParagraph"/>
              <w:spacing w:before="101"/>
              <w:ind w:left="81"/>
              <w:rPr>
                <w:sz w:val="14"/>
              </w:rPr>
            </w:pPr>
            <w:r>
              <w:rPr>
                <w:w w:val="105"/>
                <w:sz w:val="14"/>
              </w:rPr>
              <w:t>Transfers of Direct Costs - Interfund</w:t>
            </w:r>
          </w:p>
        </w:tc>
        <w:tc>
          <w:tcPr>
            <w:tcW w:w="1850" w:type="dxa"/>
          </w:tcPr>
          <w:p>
            <w:pPr>
              <w:pStyle w:val="TableParagraph"/>
              <w:spacing w:before="101"/>
              <w:ind w:left="487" w:right="620"/>
              <w:jc w:val="center"/>
              <w:rPr>
                <w:sz w:val="14"/>
              </w:rPr>
            </w:pPr>
            <w:r>
              <w:rPr>
                <w:w w:val="105"/>
                <w:sz w:val="14"/>
              </w:rPr>
              <w:t>5750</w:t>
            </w:r>
          </w:p>
        </w:tc>
        <w:tc>
          <w:tcPr>
            <w:tcW w:w="1547" w:type="dxa"/>
          </w:tcPr>
          <w:p>
            <w:pPr>
              <w:pStyle w:val="TableParagraph"/>
              <w:spacing w:before="101"/>
              <w:ind w:left="626" w:right="593"/>
              <w:jc w:val="center"/>
              <w:rPr>
                <w:sz w:val="14"/>
              </w:rPr>
            </w:pPr>
            <w:r>
              <w:rPr>
                <w:w w:val="105"/>
                <w:sz w:val="14"/>
              </w:rPr>
              <w:t>0.00</w:t>
            </w:r>
          </w:p>
        </w:tc>
        <w:tc>
          <w:tcPr>
            <w:tcW w:w="1527" w:type="dxa"/>
          </w:tcPr>
          <w:p>
            <w:pPr>
              <w:pStyle w:val="TableParagraph"/>
              <w:spacing w:before="101"/>
              <w:ind w:left="615"/>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561" w:hRule="atLeast"/>
        </w:trPr>
        <w:tc>
          <w:tcPr>
            <w:tcW w:w="4807" w:type="dxa"/>
          </w:tcPr>
          <w:p>
            <w:pPr>
              <w:pStyle w:val="TableParagraph"/>
              <w:spacing w:line="292" w:lineRule="auto" w:before="101"/>
              <w:ind w:left="121" w:right="2271" w:hanging="40"/>
              <w:rPr>
                <w:sz w:val="14"/>
              </w:rPr>
            </w:pPr>
            <w:r>
              <w:rPr>
                <w:w w:val="105"/>
                <w:sz w:val="14"/>
              </w:rPr>
              <w:t>Professional/Consulting Services and Operating Expenditures</w:t>
            </w:r>
          </w:p>
        </w:tc>
        <w:tc>
          <w:tcPr>
            <w:tcW w:w="1850" w:type="dxa"/>
          </w:tcPr>
          <w:p>
            <w:pPr>
              <w:pStyle w:val="TableParagraph"/>
              <w:rPr>
                <w:b/>
                <w:sz w:val="16"/>
              </w:rPr>
            </w:pPr>
          </w:p>
          <w:p>
            <w:pPr>
              <w:pStyle w:val="TableParagraph"/>
              <w:spacing w:before="113"/>
              <w:ind w:left="487" w:right="620"/>
              <w:jc w:val="center"/>
              <w:rPr>
                <w:sz w:val="14"/>
              </w:rPr>
            </w:pPr>
            <w:r>
              <w:rPr>
                <w:w w:val="105"/>
                <w:sz w:val="14"/>
              </w:rPr>
              <w:t>5800</w:t>
            </w:r>
          </w:p>
        </w:tc>
        <w:tc>
          <w:tcPr>
            <w:tcW w:w="1547" w:type="dxa"/>
          </w:tcPr>
          <w:p>
            <w:pPr>
              <w:pStyle w:val="TableParagraph"/>
              <w:rPr>
                <w:b/>
                <w:sz w:val="16"/>
              </w:rPr>
            </w:pPr>
          </w:p>
          <w:p>
            <w:pPr>
              <w:pStyle w:val="TableParagraph"/>
              <w:spacing w:before="113"/>
              <w:ind w:left="626" w:right="593"/>
              <w:jc w:val="center"/>
              <w:rPr>
                <w:sz w:val="14"/>
              </w:rPr>
            </w:pPr>
            <w:r>
              <w:rPr>
                <w:w w:val="105"/>
                <w:sz w:val="14"/>
              </w:rPr>
              <w:t>0.00</w:t>
            </w:r>
          </w:p>
        </w:tc>
        <w:tc>
          <w:tcPr>
            <w:tcW w:w="1527" w:type="dxa"/>
          </w:tcPr>
          <w:p>
            <w:pPr>
              <w:pStyle w:val="TableParagraph"/>
              <w:rPr>
                <w:b/>
                <w:sz w:val="16"/>
              </w:rPr>
            </w:pPr>
          </w:p>
          <w:p>
            <w:pPr>
              <w:pStyle w:val="TableParagraph"/>
              <w:spacing w:before="113"/>
              <w:ind w:left="615"/>
              <w:rPr>
                <w:sz w:val="14"/>
              </w:rPr>
            </w:pPr>
            <w:r>
              <w:rPr>
                <w:w w:val="105"/>
                <w:sz w:val="14"/>
              </w:rPr>
              <w:t>0.00</w:t>
            </w:r>
          </w:p>
        </w:tc>
        <w:tc>
          <w:tcPr>
            <w:tcW w:w="1008" w:type="dxa"/>
          </w:tcPr>
          <w:p>
            <w:pPr>
              <w:pStyle w:val="TableParagraph"/>
              <w:rPr>
                <w:b/>
                <w:sz w:val="16"/>
              </w:rPr>
            </w:pPr>
          </w:p>
          <w:p>
            <w:pPr>
              <w:pStyle w:val="TableParagraph"/>
              <w:spacing w:before="113"/>
              <w:ind w:right="49"/>
              <w:jc w:val="right"/>
              <w:rPr>
                <w:sz w:val="14"/>
              </w:rPr>
            </w:pPr>
            <w:r>
              <w:rPr>
                <w:sz w:val="14"/>
              </w:rPr>
              <w:t>0.0%</w:t>
            </w:r>
          </w:p>
        </w:tc>
      </w:tr>
      <w:tr>
        <w:trPr>
          <w:trHeight w:val="370" w:hRule="atLeast"/>
        </w:trPr>
        <w:tc>
          <w:tcPr>
            <w:tcW w:w="4807" w:type="dxa"/>
          </w:tcPr>
          <w:p>
            <w:pPr>
              <w:pStyle w:val="TableParagraph"/>
              <w:spacing w:before="101"/>
              <w:ind w:left="81"/>
              <w:rPr>
                <w:sz w:val="14"/>
              </w:rPr>
            </w:pPr>
            <w:r>
              <w:rPr>
                <w:w w:val="105"/>
                <w:sz w:val="14"/>
              </w:rPr>
              <w:t>Communications</w:t>
            </w:r>
          </w:p>
        </w:tc>
        <w:tc>
          <w:tcPr>
            <w:tcW w:w="1850" w:type="dxa"/>
          </w:tcPr>
          <w:p>
            <w:pPr>
              <w:pStyle w:val="TableParagraph"/>
              <w:spacing w:before="101"/>
              <w:ind w:left="487" w:right="620"/>
              <w:jc w:val="center"/>
              <w:rPr>
                <w:sz w:val="14"/>
              </w:rPr>
            </w:pPr>
            <w:r>
              <w:rPr>
                <w:w w:val="105"/>
                <w:sz w:val="14"/>
              </w:rPr>
              <w:t>5900</w:t>
            </w:r>
          </w:p>
        </w:tc>
        <w:tc>
          <w:tcPr>
            <w:tcW w:w="1547" w:type="dxa"/>
          </w:tcPr>
          <w:p>
            <w:pPr>
              <w:pStyle w:val="TableParagraph"/>
              <w:spacing w:before="101"/>
              <w:ind w:left="626" w:right="593"/>
              <w:jc w:val="center"/>
              <w:rPr>
                <w:sz w:val="14"/>
              </w:rPr>
            </w:pPr>
            <w:r>
              <w:rPr>
                <w:w w:val="105"/>
                <w:sz w:val="14"/>
              </w:rPr>
              <w:t>0.00</w:t>
            </w:r>
          </w:p>
        </w:tc>
        <w:tc>
          <w:tcPr>
            <w:tcW w:w="1527" w:type="dxa"/>
          </w:tcPr>
          <w:p>
            <w:pPr>
              <w:pStyle w:val="TableParagraph"/>
              <w:spacing w:before="101"/>
              <w:ind w:left="615"/>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268" w:hRule="atLeast"/>
        </w:trPr>
        <w:tc>
          <w:tcPr>
            <w:tcW w:w="4807" w:type="dxa"/>
          </w:tcPr>
          <w:p>
            <w:pPr>
              <w:pStyle w:val="TableParagraph"/>
              <w:spacing w:line="142" w:lineRule="exact" w:before="107"/>
              <w:ind w:left="81"/>
              <w:rPr>
                <w:sz w:val="14"/>
              </w:rPr>
            </w:pPr>
            <w:r>
              <w:rPr>
                <w:w w:val="105"/>
                <w:sz w:val="14"/>
              </w:rPr>
              <w:t>TOTAL, SERVICES AND OTHER OPERATING EXPENDITURES</w:t>
            </w:r>
          </w:p>
        </w:tc>
        <w:tc>
          <w:tcPr>
            <w:tcW w:w="1850" w:type="dxa"/>
          </w:tcPr>
          <w:p>
            <w:pPr>
              <w:pStyle w:val="TableParagraph"/>
              <w:rPr>
                <w:rFonts w:ascii="Times New Roman"/>
                <w:sz w:val="14"/>
              </w:rPr>
            </w:pPr>
          </w:p>
        </w:tc>
        <w:tc>
          <w:tcPr>
            <w:tcW w:w="1547" w:type="dxa"/>
          </w:tcPr>
          <w:p>
            <w:pPr>
              <w:pStyle w:val="TableParagraph"/>
              <w:spacing w:line="142" w:lineRule="exact" w:before="107"/>
              <w:ind w:left="626" w:right="593"/>
              <w:jc w:val="center"/>
              <w:rPr>
                <w:sz w:val="14"/>
              </w:rPr>
            </w:pPr>
            <w:r>
              <w:rPr>
                <w:w w:val="105"/>
                <w:sz w:val="14"/>
              </w:rPr>
              <w:t>0.00</w:t>
            </w:r>
          </w:p>
        </w:tc>
        <w:tc>
          <w:tcPr>
            <w:tcW w:w="1527" w:type="dxa"/>
          </w:tcPr>
          <w:p>
            <w:pPr>
              <w:pStyle w:val="TableParagraph"/>
              <w:spacing w:line="142" w:lineRule="exact" w:before="107"/>
              <w:ind w:left="615"/>
              <w:rPr>
                <w:sz w:val="14"/>
              </w:rPr>
            </w:pPr>
            <w:r>
              <w:rPr>
                <w:w w:val="105"/>
                <w:sz w:val="14"/>
              </w:rPr>
              <w:t>0.00</w:t>
            </w:r>
          </w:p>
        </w:tc>
        <w:tc>
          <w:tcPr>
            <w:tcW w:w="1008" w:type="dxa"/>
          </w:tcPr>
          <w:p>
            <w:pPr>
              <w:pStyle w:val="TableParagraph"/>
              <w:spacing w:line="142" w:lineRule="exact" w:before="107"/>
              <w:ind w:right="49"/>
              <w:jc w:val="right"/>
              <w:rPr>
                <w:sz w:val="14"/>
              </w:rPr>
            </w:pPr>
            <w:r>
              <w:rPr>
                <w:sz w:val="14"/>
              </w:rPr>
              <w:t>0.0%</w:t>
            </w:r>
          </w:p>
        </w:tc>
      </w:tr>
      <w:tr>
        <w:trPr>
          <w:trHeight w:val="367" w:hRule="atLeast"/>
        </w:trPr>
        <w:tc>
          <w:tcPr>
            <w:tcW w:w="4807" w:type="dxa"/>
          </w:tcPr>
          <w:p>
            <w:pPr>
              <w:pStyle w:val="TableParagraph"/>
              <w:spacing w:before="9"/>
              <w:rPr>
                <w:b/>
                <w:sz w:val="17"/>
              </w:rPr>
            </w:pPr>
          </w:p>
          <w:p>
            <w:pPr>
              <w:pStyle w:val="TableParagraph"/>
              <w:spacing w:line="142" w:lineRule="exact" w:before="1"/>
              <w:rPr>
                <w:b/>
                <w:sz w:val="14"/>
              </w:rPr>
            </w:pPr>
            <w:r>
              <w:rPr>
                <w:b/>
                <w:w w:val="105"/>
                <w:sz w:val="14"/>
              </w:rPr>
              <w:t>CAPITAL OUTLAY</w:t>
            </w:r>
          </w:p>
        </w:tc>
        <w:tc>
          <w:tcPr>
            <w:tcW w:w="1850" w:type="dxa"/>
          </w:tcPr>
          <w:p>
            <w:pPr>
              <w:pStyle w:val="TableParagraph"/>
              <w:rPr>
                <w:rFonts w:ascii="Times New Roman"/>
                <w:sz w:val="14"/>
              </w:rPr>
            </w:pPr>
          </w:p>
        </w:tc>
        <w:tc>
          <w:tcPr>
            <w:tcW w:w="1547" w:type="dxa"/>
          </w:tcPr>
          <w:p>
            <w:pPr>
              <w:pStyle w:val="TableParagraph"/>
              <w:rPr>
                <w:rFonts w:ascii="Times New Roman"/>
                <w:sz w:val="14"/>
              </w:rPr>
            </w:pPr>
          </w:p>
        </w:tc>
        <w:tc>
          <w:tcPr>
            <w:tcW w:w="1527" w:type="dxa"/>
          </w:tcPr>
          <w:p>
            <w:pPr>
              <w:pStyle w:val="TableParagraph"/>
              <w:rPr>
                <w:rFonts w:ascii="Times New Roman"/>
                <w:sz w:val="14"/>
              </w:rPr>
            </w:pPr>
          </w:p>
        </w:tc>
        <w:tc>
          <w:tcPr>
            <w:tcW w:w="1008" w:type="dxa"/>
          </w:tcPr>
          <w:p>
            <w:pPr>
              <w:pStyle w:val="TableParagraph"/>
              <w:rPr>
                <w:rFonts w:ascii="Times New Roman"/>
                <w:sz w:val="14"/>
              </w:rPr>
            </w:pPr>
          </w:p>
        </w:tc>
      </w:tr>
      <w:tr>
        <w:trPr>
          <w:trHeight w:val="469" w:hRule="atLeast"/>
        </w:trPr>
        <w:tc>
          <w:tcPr>
            <w:tcW w:w="4807" w:type="dxa"/>
          </w:tcPr>
          <w:p>
            <w:pPr>
              <w:pStyle w:val="TableParagraph"/>
              <w:spacing w:before="9"/>
              <w:rPr>
                <w:b/>
                <w:sz w:val="17"/>
              </w:rPr>
            </w:pPr>
          </w:p>
          <w:p>
            <w:pPr>
              <w:pStyle w:val="TableParagraph"/>
              <w:spacing w:before="1"/>
              <w:ind w:left="81"/>
              <w:rPr>
                <w:sz w:val="14"/>
              </w:rPr>
            </w:pPr>
            <w:r>
              <w:rPr>
                <w:w w:val="105"/>
                <w:sz w:val="14"/>
              </w:rPr>
              <w:t>Land</w:t>
            </w:r>
          </w:p>
        </w:tc>
        <w:tc>
          <w:tcPr>
            <w:tcW w:w="1850" w:type="dxa"/>
          </w:tcPr>
          <w:p>
            <w:pPr>
              <w:pStyle w:val="TableParagraph"/>
              <w:spacing w:before="9"/>
              <w:rPr>
                <w:b/>
                <w:sz w:val="17"/>
              </w:rPr>
            </w:pPr>
          </w:p>
          <w:p>
            <w:pPr>
              <w:pStyle w:val="TableParagraph"/>
              <w:spacing w:before="1"/>
              <w:ind w:left="487" w:right="620"/>
              <w:jc w:val="center"/>
              <w:rPr>
                <w:sz w:val="14"/>
              </w:rPr>
            </w:pPr>
            <w:r>
              <w:rPr>
                <w:w w:val="105"/>
                <w:sz w:val="14"/>
              </w:rPr>
              <w:t>6100</w:t>
            </w:r>
          </w:p>
        </w:tc>
        <w:tc>
          <w:tcPr>
            <w:tcW w:w="1547" w:type="dxa"/>
          </w:tcPr>
          <w:p>
            <w:pPr>
              <w:pStyle w:val="TableParagraph"/>
              <w:spacing w:before="9"/>
              <w:rPr>
                <w:b/>
                <w:sz w:val="17"/>
              </w:rPr>
            </w:pPr>
          </w:p>
          <w:p>
            <w:pPr>
              <w:pStyle w:val="TableParagraph"/>
              <w:spacing w:before="1"/>
              <w:ind w:left="626" w:right="593"/>
              <w:jc w:val="center"/>
              <w:rPr>
                <w:sz w:val="14"/>
              </w:rPr>
            </w:pPr>
            <w:r>
              <w:rPr>
                <w:w w:val="105"/>
                <w:sz w:val="14"/>
              </w:rPr>
              <w:t>0.00</w:t>
            </w:r>
          </w:p>
        </w:tc>
        <w:tc>
          <w:tcPr>
            <w:tcW w:w="1527" w:type="dxa"/>
          </w:tcPr>
          <w:p>
            <w:pPr>
              <w:pStyle w:val="TableParagraph"/>
              <w:spacing w:before="9"/>
              <w:rPr>
                <w:b/>
                <w:sz w:val="17"/>
              </w:rPr>
            </w:pPr>
          </w:p>
          <w:p>
            <w:pPr>
              <w:pStyle w:val="TableParagraph"/>
              <w:spacing w:before="1"/>
              <w:ind w:left="615"/>
              <w:rPr>
                <w:sz w:val="14"/>
              </w:rPr>
            </w:pPr>
            <w:r>
              <w:rPr>
                <w:w w:val="105"/>
                <w:sz w:val="14"/>
              </w:rPr>
              <w:t>0.00</w:t>
            </w:r>
          </w:p>
        </w:tc>
        <w:tc>
          <w:tcPr>
            <w:tcW w:w="1008" w:type="dxa"/>
          </w:tcPr>
          <w:p>
            <w:pPr>
              <w:pStyle w:val="TableParagraph"/>
              <w:spacing w:before="9"/>
              <w:rPr>
                <w:b/>
                <w:sz w:val="17"/>
              </w:rPr>
            </w:pPr>
          </w:p>
          <w:p>
            <w:pPr>
              <w:pStyle w:val="TableParagraph"/>
              <w:spacing w:before="1"/>
              <w:ind w:right="49"/>
              <w:jc w:val="right"/>
              <w:rPr>
                <w:sz w:val="14"/>
              </w:rPr>
            </w:pPr>
            <w:r>
              <w:rPr>
                <w:sz w:val="14"/>
              </w:rPr>
              <w:t>0.0%</w:t>
            </w:r>
          </w:p>
        </w:tc>
      </w:tr>
      <w:tr>
        <w:trPr>
          <w:trHeight w:val="364" w:hRule="atLeast"/>
        </w:trPr>
        <w:tc>
          <w:tcPr>
            <w:tcW w:w="4807" w:type="dxa"/>
          </w:tcPr>
          <w:p>
            <w:pPr>
              <w:pStyle w:val="TableParagraph"/>
              <w:spacing w:before="101"/>
              <w:ind w:left="81"/>
              <w:rPr>
                <w:sz w:val="14"/>
              </w:rPr>
            </w:pPr>
            <w:r>
              <w:rPr>
                <w:w w:val="105"/>
                <w:sz w:val="14"/>
              </w:rPr>
              <w:t>Land Improvements</w:t>
            </w:r>
          </w:p>
        </w:tc>
        <w:tc>
          <w:tcPr>
            <w:tcW w:w="1850" w:type="dxa"/>
          </w:tcPr>
          <w:p>
            <w:pPr>
              <w:pStyle w:val="TableParagraph"/>
              <w:spacing w:before="101"/>
              <w:ind w:left="487" w:right="620"/>
              <w:jc w:val="center"/>
              <w:rPr>
                <w:sz w:val="14"/>
              </w:rPr>
            </w:pPr>
            <w:r>
              <w:rPr>
                <w:w w:val="105"/>
                <w:sz w:val="14"/>
              </w:rPr>
              <w:t>6170</w:t>
            </w:r>
          </w:p>
        </w:tc>
        <w:tc>
          <w:tcPr>
            <w:tcW w:w="1547" w:type="dxa"/>
          </w:tcPr>
          <w:p>
            <w:pPr>
              <w:pStyle w:val="TableParagraph"/>
              <w:spacing w:before="101"/>
              <w:ind w:left="626" w:right="593"/>
              <w:jc w:val="center"/>
              <w:rPr>
                <w:sz w:val="14"/>
              </w:rPr>
            </w:pPr>
            <w:r>
              <w:rPr>
                <w:w w:val="105"/>
                <w:sz w:val="14"/>
              </w:rPr>
              <w:t>0.00</w:t>
            </w:r>
          </w:p>
        </w:tc>
        <w:tc>
          <w:tcPr>
            <w:tcW w:w="1527" w:type="dxa"/>
          </w:tcPr>
          <w:p>
            <w:pPr>
              <w:pStyle w:val="TableParagraph"/>
              <w:spacing w:before="101"/>
              <w:ind w:left="615"/>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364" w:hRule="atLeast"/>
        </w:trPr>
        <w:tc>
          <w:tcPr>
            <w:tcW w:w="4807" w:type="dxa"/>
          </w:tcPr>
          <w:p>
            <w:pPr>
              <w:pStyle w:val="TableParagraph"/>
              <w:spacing w:before="101"/>
              <w:ind w:left="81"/>
              <w:rPr>
                <w:sz w:val="14"/>
              </w:rPr>
            </w:pPr>
            <w:r>
              <w:rPr>
                <w:w w:val="105"/>
                <w:sz w:val="14"/>
              </w:rPr>
              <w:t>Buildings and Improvements of Buildings</w:t>
            </w:r>
          </w:p>
        </w:tc>
        <w:tc>
          <w:tcPr>
            <w:tcW w:w="1850" w:type="dxa"/>
          </w:tcPr>
          <w:p>
            <w:pPr>
              <w:pStyle w:val="TableParagraph"/>
              <w:spacing w:before="101"/>
              <w:ind w:left="487" w:right="620"/>
              <w:jc w:val="center"/>
              <w:rPr>
                <w:sz w:val="14"/>
              </w:rPr>
            </w:pPr>
            <w:r>
              <w:rPr>
                <w:w w:val="105"/>
                <w:sz w:val="14"/>
              </w:rPr>
              <w:t>6200</w:t>
            </w:r>
          </w:p>
        </w:tc>
        <w:tc>
          <w:tcPr>
            <w:tcW w:w="1547" w:type="dxa"/>
          </w:tcPr>
          <w:p>
            <w:pPr>
              <w:pStyle w:val="TableParagraph"/>
              <w:spacing w:before="101"/>
              <w:ind w:left="626" w:right="593"/>
              <w:jc w:val="center"/>
              <w:rPr>
                <w:sz w:val="14"/>
              </w:rPr>
            </w:pPr>
            <w:r>
              <w:rPr>
                <w:w w:val="105"/>
                <w:sz w:val="14"/>
              </w:rPr>
              <w:t>0.00</w:t>
            </w:r>
          </w:p>
        </w:tc>
        <w:tc>
          <w:tcPr>
            <w:tcW w:w="1527" w:type="dxa"/>
          </w:tcPr>
          <w:p>
            <w:pPr>
              <w:pStyle w:val="TableParagraph"/>
              <w:spacing w:before="101"/>
              <w:ind w:left="615"/>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364" w:hRule="atLeast"/>
        </w:trPr>
        <w:tc>
          <w:tcPr>
            <w:tcW w:w="4807" w:type="dxa"/>
          </w:tcPr>
          <w:p>
            <w:pPr>
              <w:pStyle w:val="TableParagraph"/>
              <w:spacing w:before="101"/>
              <w:ind w:left="81"/>
              <w:rPr>
                <w:sz w:val="14"/>
              </w:rPr>
            </w:pPr>
            <w:r>
              <w:rPr>
                <w:w w:val="105"/>
                <w:sz w:val="14"/>
              </w:rPr>
              <w:t>Equipment</w:t>
            </w:r>
          </w:p>
        </w:tc>
        <w:tc>
          <w:tcPr>
            <w:tcW w:w="1850" w:type="dxa"/>
          </w:tcPr>
          <w:p>
            <w:pPr>
              <w:pStyle w:val="TableParagraph"/>
              <w:spacing w:before="101"/>
              <w:ind w:left="487" w:right="620"/>
              <w:jc w:val="center"/>
              <w:rPr>
                <w:sz w:val="14"/>
              </w:rPr>
            </w:pPr>
            <w:r>
              <w:rPr>
                <w:w w:val="105"/>
                <w:sz w:val="14"/>
              </w:rPr>
              <w:t>6400</w:t>
            </w:r>
          </w:p>
        </w:tc>
        <w:tc>
          <w:tcPr>
            <w:tcW w:w="1547" w:type="dxa"/>
          </w:tcPr>
          <w:p>
            <w:pPr>
              <w:pStyle w:val="TableParagraph"/>
              <w:spacing w:before="101"/>
              <w:ind w:left="626" w:right="593"/>
              <w:jc w:val="center"/>
              <w:rPr>
                <w:sz w:val="14"/>
              </w:rPr>
            </w:pPr>
            <w:r>
              <w:rPr>
                <w:w w:val="105"/>
                <w:sz w:val="14"/>
              </w:rPr>
              <w:t>0.00</w:t>
            </w:r>
          </w:p>
        </w:tc>
        <w:tc>
          <w:tcPr>
            <w:tcW w:w="1527" w:type="dxa"/>
          </w:tcPr>
          <w:p>
            <w:pPr>
              <w:pStyle w:val="TableParagraph"/>
              <w:spacing w:before="101"/>
              <w:ind w:left="615"/>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363" w:hRule="atLeast"/>
        </w:trPr>
        <w:tc>
          <w:tcPr>
            <w:tcW w:w="4807" w:type="dxa"/>
          </w:tcPr>
          <w:p>
            <w:pPr>
              <w:pStyle w:val="TableParagraph"/>
              <w:spacing w:before="101"/>
              <w:ind w:left="81"/>
              <w:rPr>
                <w:sz w:val="14"/>
              </w:rPr>
            </w:pPr>
            <w:r>
              <w:rPr>
                <w:w w:val="105"/>
                <w:sz w:val="14"/>
              </w:rPr>
              <w:t>Equipment Replacement</w:t>
            </w:r>
          </w:p>
        </w:tc>
        <w:tc>
          <w:tcPr>
            <w:tcW w:w="1850" w:type="dxa"/>
          </w:tcPr>
          <w:p>
            <w:pPr>
              <w:pStyle w:val="TableParagraph"/>
              <w:spacing w:before="101"/>
              <w:ind w:left="487" w:right="620"/>
              <w:jc w:val="center"/>
              <w:rPr>
                <w:sz w:val="14"/>
              </w:rPr>
            </w:pPr>
            <w:r>
              <w:rPr>
                <w:w w:val="105"/>
                <w:sz w:val="14"/>
              </w:rPr>
              <w:t>6500</w:t>
            </w:r>
          </w:p>
        </w:tc>
        <w:tc>
          <w:tcPr>
            <w:tcW w:w="1547" w:type="dxa"/>
          </w:tcPr>
          <w:p>
            <w:pPr>
              <w:pStyle w:val="TableParagraph"/>
              <w:spacing w:before="101"/>
              <w:ind w:left="626" w:right="593"/>
              <w:jc w:val="center"/>
              <w:rPr>
                <w:sz w:val="14"/>
              </w:rPr>
            </w:pPr>
            <w:r>
              <w:rPr>
                <w:w w:val="105"/>
                <w:sz w:val="14"/>
              </w:rPr>
              <w:t>0.00</w:t>
            </w:r>
          </w:p>
        </w:tc>
        <w:tc>
          <w:tcPr>
            <w:tcW w:w="1527" w:type="dxa"/>
          </w:tcPr>
          <w:p>
            <w:pPr>
              <w:pStyle w:val="TableParagraph"/>
              <w:spacing w:before="101"/>
              <w:ind w:left="615"/>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369" w:hRule="atLeast"/>
        </w:trPr>
        <w:tc>
          <w:tcPr>
            <w:tcW w:w="4807" w:type="dxa"/>
          </w:tcPr>
          <w:p>
            <w:pPr>
              <w:pStyle w:val="TableParagraph"/>
              <w:spacing w:before="99"/>
              <w:ind w:left="81"/>
              <w:rPr>
                <w:sz w:val="14"/>
              </w:rPr>
            </w:pPr>
            <w:r>
              <w:rPr>
                <w:w w:val="105"/>
                <w:sz w:val="14"/>
              </w:rPr>
              <w:t>Lease Assets</w:t>
            </w:r>
          </w:p>
        </w:tc>
        <w:tc>
          <w:tcPr>
            <w:tcW w:w="1850" w:type="dxa"/>
          </w:tcPr>
          <w:p>
            <w:pPr>
              <w:pStyle w:val="TableParagraph"/>
              <w:spacing w:before="99"/>
              <w:ind w:left="487" w:right="620"/>
              <w:jc w:val="center"/>
              <w:rPr>
                <w:sz w:val="14"/>
              </w:rPr>
            </w:pPr>
            <w:r>
              <w:rPr>
                <w:w w:val="105"/>
                <w:sz w:val="14"/>
              </w:rPr>
              <w:t>6600</w:t>
            </w:r>
          </w:p>
        </w:tc>
        <w:tc>
          <w:tcPr>
            <w:tcW w:w="1547" w:type="dxa"/>
          </w:tcPr>
          <w:p>
            <w:pPr>
              <w:pStyle w:val="TableParagraph"/>
              <w:spacing w:before="99"/>
              <w:ind w:left="626" w:right="593"/>
              <w:jc w:val="center"/>
              <w:rPr>
                <w:sz w:val="14"/>
              </w:rPr>
            </w:pPr>
            <w:r>
              <w:rPr>
                <w:w w:val="105"/>
                <w:sz w:val="14"/>
              </w:rPr>
              <w:t>0.00</w:t>
            </w:r>
          </w:p>
        </w:tc>
        <w:tc>
          <w:tcPr>
            <w:tcW w:w="1527" w:type="dxa"/>
          </w:tcPr>
          <w:p>
            <w:pPr>
              <w:pStyle w:val="TableParagraph"/>
              <w:spacing w:before="99"/>
              <w:ind w:left="615"/>
              <w:rPr>
                <w:sz w:val="14"/>
              </w:rPr>
            </w:pPr>
            <w:r>
              <w:rPr>
                <w:w w:val="105"/>
                <w:sz w:val="14"/>
              </w:rPr>
              <w:t>0.00</w:t>
            </w:r>
          </w:p>
        </w:tc>
        <w:tc>
          <w:tcPr>
            <w:tcW w:w="1008" w:type="dxa"/>
          </w:tcPr>
          <w:p>
            <w:pPr>
              <w:pStyle w:val="TableParagraph"/>
              <w:spacing w:before="99"/>
              <w:ind w:right="49"/>
              <w:jc w:val="right"/>
              <w:rPr>
                <w:sz w:val="14"/>
              </w:rPr>
            </w:pPr>
            <w:r>
              <w:rPr>
                <w:sz w:val="14"/>
              </w:rPr>
              <w:t>0.0%</w:t>
            </w:r>
          </w:p>
        </w:tc>
      </w:tr>
      <w:tr>
        <w:trPr>
          <w:trHeight w:val="268" w:hRule="atLeast"/>
        </w:trPr>
        <w:tc>
          <w:tcPr>
            <w:tcW w:w="4807" w:type="dxa"/>
          </w:tcPr>
          <w:p>
            <w:pPr>
              <w:pStyle w:val="TableParagraph"/>
              <w:spacing w:line="142" w:lineRule="exact" w:before="107"/>
              <w:ind w:left="81"/>
              <w:rPr>
                <w:sz w:val="14"/>
              </w:rPr>
            </w:pPr>
            <w:r>
              <w:rPr>
                <w:w w:val="105"/>
                <w:sz w:val="14"/>
              </w:rPr>
              <w:t>TOTAL, CAPITAL OUTLAY</w:t>
            </w:r>
          </w:p>
        </w:tc>
        <w:tc>
          <w:tcPr>
            <w:tcW w:w="1850" w:type="dxa"/>
          </w:tcPr>
          <w:p>
            <w:pPr>
              <w:pStyle w:val="TableParagraph"/>
              <w:rPr>
                <w:rFonts w:ascii="Times New Roman"/>
                <w:sz w:val="14"/>
              </w:rPr>
            </w:pPr>
          </w:p>
        </w:tc>
        <w:tc>
          <w:tcPr>
            <w:tcW w:w="1547" w:type="dxa"/>
          </w:tcPr>
          <w:p>
            <w:pPr>
              <w:pStyle w:val="TableParagraph"/>
              <w:spacing w:line="142" w:lineRule="exact" w:before="107"/>
              <w:ind w:left="626" w:right="593"/>
              <w:jc w:val="center"/>
              <w:rPr>
                <w:sz w:val="14"/>
              </w:rPr>
            </w:pPr>
            <w:r>
              <w:rPr>
                <w:w w:val="105"/>
                <w:sz w:val="14"/>
              </w:rPr>
              <w:t>0.00</w:t>
            </w:r>
          </w:p>
        </w:tc>
        <w:tc>
          <w:tcPr>
            <w:tcW w:w="1527" w:type="dxa"/>
          </w:tcPr>
          <w:p>
            <w:pPr>
              <w:pStyle w:val="TableParagraph"/>
              <w:spacing w:line="142" w:lineRule="exact" w:before="107"/>
              <w:ind w:left="615"/>
              <w:rPr>
                <w:sz w:val="14"/>
              </w:rPr>
            </w:pPr>
            <w:r>
              <w:rPr>
                <w:w w:val="105"/>
                <w:sz w:val="14"/>
              </w:rPr>
              <w:t>0.00</w:t>
            </w:r>
          </w:p>
        </w:tc>
        <w:tc>
          <w:tcPr>
            <w:tcW w:w="1008" w:type="dxa"/>
          </w:tcPr>
          <w:p>
            <w:pPr>
              <w:pStyle w:val="TableParagraph"/>
              <w:spacing w:line="142" w:lineRule="exact" w:before="107"/>
              <w:ind w:right="49"/>
              <w:jc w:val="right"/>
              <w:rPr>
                <w:sz w:val="14"/>
              </w:rPr>
            </w:pPr>
            <w:r>
              <w:rPr>
                <w:sz w:val="14"/>
              </w:rPr>
              <w:t>0.0%</w:t>
            </w:r>
          </w:p>
        </w:tc>
      </w:tr>
    </w:tbl>
    <w:p>
      <w:pPr>
        <w:pStyle w:val="BodyText"/>
        <w:spacing w:before="5"/>
        <w:rPr>
          <w:b/>
          <w:sz w:val="18"/>
        </w:rPr>
      </w:pPr>
    </w:p>
    <w:p>
      <w:pPr>
        <w:spacing w:before="0"/>
        <w:ind w:left="478" w:right="0" w:firstLine="0"/>
        <w:jc w:val="left"/>
        <w:rPr>
          <w:b/>
          <w:sz w:val="14"/>
        </w:rPr>
      </w:pPr>
      <w:r>
        <w:rPr>
          <w:b/>
          <w:w w:val="105"/>
          <w:sz w:val="14"/>
        </w:rPr>
        <w:t>OTHER OUTGO (excluding Transfers of Indirect Costs)</w:t>
      </w:r>
    </w:p>
    <w:p>
      <w:pPr>
        <w:pStyle w:val="BodyText"/>
        <w:spacing w:before="4"/>
        <w:rPr>
          <w:b/>
          <w:sz w:val="9"/>
        </w:rPr>
      </w:pPr>
    </w:p>
    <w:p>
      <w:pPr>
        <w:spacing w:before="99"/>
        <w:ind w:left="560" w:right="0" w:firstLine="0"/>
        <w:jc w:val="left"/>
        <w:rPr>
          <w:sz w:val="14"/>
        </w:rPr>
      </w:pPr>
      <w:r>
        <w:rPr>
          <w:w w:val="105"/>
          <w:sz w:val="14"/>
        </w:rPr>
        <w:t>Other Transfers Out</w:t>
      </w:r>
    </w:p>
    <w:p>
      <w:pPr>
        <w:pStyle w:val="BodyText"/>
        <w:spacing w:before="1"/>
        <w:rPr>
          <w:sz w:val="9"/>
        </w:rPr>
      </w:pPr>
    </w:p>
    <w:p>
      <w:pPr>
        <w:tabs>
          <w:tab w:pos="5983" w:val="left" w:leader="none"/>
          <w:tab w:pos="7786" w:val="left" w:leader="none"/>
          <w:tab w:pos="9298" w:val="left" w:leader="none"/>
          <w:tab w:pos="10839" w:val="left" w:leader="none"/>
        </w:tabs>
        <w:spacing w:before="99"/>
        <w:ind w:left="641" w:right="0" w:firstLine="0"/>
        <w:jc w:val="left"/>
        <w:rPr>
          <w:sz w:val="14"/>
        </w:rPr>
      </w:pPr>
      <w:r>
        <w:rPr>
          <w:w w:val="105"/>
          <w:sz w:val="14"/>
        </w:rPr>
        <w:t>All</w:t>
      </w:r>
      <w:r>
        <w:rPr>
          <w:spacing w:val="-9"/>
          <w:w w:val="105"/>
          <w:sz w:val="14"/>
        </w:rPr>
        <w:t> </w:t>
      </w:r>
      <w:r>
        <w:rPr>
          <w:w w:val="105"/>
          <w:sz w:val="14"/>
        </w:rPr>
        <w:t>Other</w:t>
      </w:r>
      <w:r>
        <w:rPr>
          <w:spacing w:val="-6"/>
          <w:w w:val="105"/>
          <w:sz w:val="14"/>
        </w:rPr>
        <w:t> </w:t>
      </w:r>
      <w:r>
        <w:rPr>
          <w:w w:val="105"/>
          <w:sz w:val="14"/>
        </w:rPr>
        <w:t>Transfers</w:t>
      </w:r>
      <w:r>
        <w:rPr>
          <w:spacing w:val="-7"/>
          <w:w w:val="105"/>
          <w:sz w:val="14"/>
        </w:rPr>
        <w:t> </w:t>
      </w:r>
      <w:r>
        <w:rPr>
          <w:w w:val="105"/>
          <w:sz w:val="14"/>
        </w:rPr>
        <w:t>Out</w:t>
      </w:r>
      <w:r>
        <w:rPr>
          <w:spacing w:val="-5"/>
          <w:w w:val="105"/>
          <w:sz w:val="14"/>
        </w:rPr>
        <w:t> </w:t>
      </w:r>
      <w:r>
        <w:rPr>
          <w:w w:val="105"/>
          <w:sz w:val="14"/>
        </w:rPr>
        <w:t>to</w:t>
      </w:r>
      <w:r>
        <w:rPr>
          <w:spacing w:val="-7"/>
          <w:w w:val="105"/>
          <w:sz w:val="14"/>
        </w:rPr>
        <w:t> </w:t>
      </w:r>
      <w:r>
        <w:rPr>
          <w:w w:val="105"/>
          <w:sz w:val="14"/>
        </w:rPr>
        <w:t>All</w:t>
      </w:r>
      <w:r>
        <w:rPr>
          <w:spacing w:val="-8"/>
          <w:w w:val="105"/>
          <w:sz w:val="14"/>
        </w:rPr>
        <w:t> </w:t>
      </w:r>
      <w:r>
        <w:rPr>
          <w:w w:val="105"/>
          <w:sz w:val="14"/>
        </w:rPr>
        <w:t>Others</w:t>
        <w:tab/>
        <w:t>7299</w:t>
        <w:tab/>
        <w:t>0.00</w:t>
        <w:tab/>
        <w:t>0.00</w:t>
        <w:tab/>
        <w:t>0.0%</w:t>
      </w:r>
    </w:p>
    <w:p>
      <w:pPr>
        <w:pStyle w:val="BodyText"/>
        <w:spacing w:before="2"/>
        <w:rPr>
          <w:sz w:val="9"/>
        </w:rPr>
      </w:pPr>
    </w:p>
    <w:p>
      <w:pPr>
        <w:spacing w:before="99"/>
        <w:ind w:left="560" w:right="0" w:firstLine="0"/>
        <w:jc w:val="left"/>
        <w:rPr>
          <w:sz w:val="14"/>
        </w:rPr>
      </w:pPr>
      <w:r>
        <w:rPr/>
        <w:pict>
          <v:group style="position:absolute;margin-left:30.120001pt;margin-top:31.19591pt;width:538pt;height:120pt;mso-position-horizontal-relative:page;mso-position-vertical-relative:paragraph;z-index:-314476544" coordorigin="602,624" coordsize="10760,2400">
            <v:shape style="position:absolute;left:8294;top:623;width:3068;height:744" type="#_x0000_t75" stroked="false">
              <v:imagedata r:id="rId643" o:title=""/>
            </v:shape>
            <v:shape style="position:absolute;left:4240;top:988;width:7121;height:1126" type="#_x0000_t75" stroked="false">
              <v:imagedata r:id="rId644" o:title=""/>
            </v:shape>
            <v:shape style="position:absolute;left:602;top:1742;width:5220;height:749" type="#_x0000_t75" stroked="false">
              <v:imagedata r:id="rId494" o:title=""/>
            </v:shape>
            <v:shape style="position:absolute;left:5815;top:1742;width:5547;height:749" type="#_x0000_t75" stroked="false">
              <v:imagedata r:id="rId495" o:title=""/>
            </v:shape>
            <v:shape style="position:absolute;left:602;top:2483;width:3646;height:540" type="#_x0000_t75" stroked="false">
              <v:imagedata r:id="rId496" o:title=""/>
            </v:shape>
            <v:shape style="position:absolute;left:4240;top:2107;width:7121;height:917" type="#_x0000_t75" stroked="false">
              <v:imagedata r:id="rId645" o:title=""/>
            </v:shape>
            <v:shape style="position:absolute;left:8294;top:2680;width:3068;height:344" type="#_x0000_t75" stroked="false">
              <v:imagedata r:id="rId646" o:title=""/>
            </v:shape>
            <w10:wrap type="none"/>
          </v:group>
        </w:pict>
      </w:r>
      <w:r>
        <w:rPr>
          <w:w w:val="105"/>
          <w:sz w:val="14"/>
        </w:rPr>
        <w:t>Debt Service</w:t>
      </w:r>
    </w:p>
    <w:p>
      <w:pPr>
        <w:pStyle w:val="BodyText"/>
        <w:spacing w:before="9"/>
        <w:rPr>
          <w:sz w:val="17"/>
        </w:rPr>
      </w:pPr>
    </w:p>
    <w:tbl>
      <w:tblPr>
        <w:tblW w:w="0" w:type="auto"/>
        <w:jc w:val="left"/>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909"/>
        <w:gridCol w:w="1706"/>
        <w:gridCol w:w="1638"/>
        <w:gridCol w:w="1526"/>
        <w:gridCol w:w="1007"/>
      </w:tblGrid>
      <w:tr>
        <w:trPr>
          <w:trHeight w:val="262" w:hRule="atLeast"/>
        </w:trPr>
        <w:tc>
          <w:tcPr>
            <w:tcW w:w="4909" w:type="dxa"/>
          </w:tcPr>
          <w:p>
            <w:pPr>
              <w:pStyle w:val="TableParagraph"/>
              <w:spacing w:line="160" w:lineRule="exact"/>
              <w:ind w:left="213"/>
              <w:rPr>
                <w:sz w:val="14"/>
              </w:rPr>
            </w:pPr>
            <w:r>
              <w:rPr>
                <w:w w:val="105"/>
                <w:sz w:val="14"/>
              </w:rPr>
              <w:t>Debt Service - Interest</w:t>
            </w:r>
          </w:p>
        </w:tc>
        <w:tc>
          <w:tcPr>
            <w:tcW w:w="1706" w:type="dxa"/>
          </w:tcPr>
          <w:p>
            <w:pPr>
              <w:pStyle w:val="TableParagraph"/>
              <w:spacing w:line="160" w:lineRule="exact"/>
              <w:ind w:left="646"/>
              <w:rPr>
                <w:sz w:val="14"/>
              </w:rPr>
            </w:pPr>
            <w:r>
              <w:rPr>
                <w:w w:val="105"/>
                <w:sz w:val="14"/>
              </w:rPr>
              <w:t>7438</w:t>
            </w:r>
          </w:p>
        </w:tc>
        <w:tc>
          <w:tcPr>
            <w:tcW w:w="1638" w:type="dxa"/>
          </w:tcPr>
          <w:p>
            <w:pPr>
              <w:pStyle w:val="TableParagraph"/>
              <w:spacing w:line="160" w:lineRule="exact"/>
              <w:ind w:right="614"/>
              <w:jc w:val="right"/>
              <w:rPr>
                <w:sz w:val="14"/>
              </w:rPr>
            </w:pPr>
            <w:r>
              <w:rPr>
                <w:sz w:val="14"/>
              </w:rPr>
              <w:t>0.00</w:t>
            </w:r>
          </w:p>
        </w:tc>
        <w:tc>
          <w:tcPr>
            <w:tcW w:w="1526" w:type="dxa"/>
          </w:tcPr>
          <w:p>
            <w:pPr>
              <w:pStyle w:val="TableParagraph"/>
              <w:spacing w:line="160" w:lineRule="exact"/>
              <w:ind w:left="616"/>
              <w:rPr>
                <w:sz w:val="14"/>
              </w:rPr>
            </w:pPr>
            <w:r>
              <w:rPr>
                <w:w w:val="105"/>
                <w:sz w:val="14"/>
              </w:rPr>
              <w:t>0.00</w:t>
            </w:r>
          </w:p>
        </w:tc>
        <w:tc>
          <w:tcPr>
            <w:tcW w:w="1007" w:type="dxa"/>
          </w:tcPr>
          <w:p>
            <w:pPr>
              <w:pStyle w:val="TableParagraph"/>
              <w:spacing w:line="160" w:lineRule="exact"/>
              <w:ind w:right="46"/>
              <w:jc w:val="right"/>
              <w:rPr>
                <w:sz w:val="14"/>
              </w:rPr>
            </w:pPr>
            <w:r>
              <w:rPr>
                <w:sz w:val="14"/>
              </w:rPr>
              <w:t>0.0%</w:t>
            </w:r>
          </w:p>
        </w:tc>
      </w:tr>
      <w:tr>
        <w:trPr>
          <w:trHeight w:val="370" w:hRule="atLeast"/>
        </w:trPr>
        <w:tc>
          <w:tcPr>
            <w:tcW w:w="4909" w:type="dxa"/>
          </w:tcPr>
          <w:p>
            <w:pPr>
              <w:pStyle w:val="TableParagraph"/>
              <w:spacing w:before="101"/>
              <w:ind w:left="213"/>
              <w:rPr>
                <w:sz w:val="14"/>
              </w:rPr>
            </w:pPr>
            <w:r>
              <w:rPr>
                <w:w w:val="105"/>
                <w:sz w:val="14"/>
              </w:rPr>
              <w:t>Other Debt Service - Principal</w:t>
            </w:r>
          </w:p>
        </w:tc>
        <w:tc>
          <w:tcPr>
            <w:tcW w:w="1706" w:type="dxa"/>
          </w:tcPr>
          <w:p>
            <w:pPr>
              <w:pStyle w:val="TableParagraph"/>
              <w:spacing w:before="101"/>
              <w:ind w:left="646"/>
              <w:rPr>
                <w:sz w:val="14"/>
              </w:rPr>
            </w:pPr>
            <w:r>
              <w:rPr>
                <w:w w:val="105"/>
                <w:sz w:val="14"/>
              </w:rPr>
              <w:t>7439</w:t>
            </w:r>
          </w:p>
        </w:tc>
        <w:tc>
          <w:tcPr>
            <w:tcW w:w="1638" w:type="dxa"/>
          </w:tcPr>
          <w:p>
            <w:pPr>
              <w:pStyle w:val="TableParagraph"/>
              <w:spacing w:before="101"/>
              <w:ind w:right="614"/>
              <w:jc w:val="right"/>
              <w:rPr>
                <w:sz w:val="14"/>
              </w:rPr>
            </w:pPr>
            <w:r>
              <w:rPr>
                <w:sz w:val="14"/>
              </w:rPr>
              <w:t>0.00</w:t>
            </w:r>
          </w:p>
        </w:tc>
        <w:tc>
          <w:tcPr>
            <w:tcW w:w="1526" w:type="dxa"/>
          </w:tcPr>
          <w:p>
            <w:pPr>
              <w:pStyle w:val="TableParagraph"/>
              <w:spacing w:before="101"/>
              <w:ind w:left="616"/>
              <w:rPr>
                <w:sz w:val="14"/>
              </w:rPr>
            </w:pPr>
            <w:r>
              <w:rPr>
                <w:w w:val="105"/>
                <w:sz w:val="14"/>
              </w:rPr>
              <w:t>0.00</w:t>
            </w:r>
          </w:p>
        </w:tc>
        <w:tc>
          <w:tcPr>
            <w:tcW w:w="1007" w:type="dxa"/>
          </w:tcPr>
          <w:p>
            <w:pPr>
              <w:pStyle w:val="TableParagraph"/>
              <w:spacing w:before="101"/>
              <w:ind w:right="46"/>
              <w:jc w:val="right"/>
              <w:rPr>
                <w:sz w:val="14"/>
              </w:rPr>
            </w:pPr>
            <w:r>
              <w:rPr>
                <w:sz w:val="14"/>
              </w:rPr>
              <w:t>0.0%</w:t>
            </w:r>
          </w:p>
        </w:tc>
      </w:tr>
      <w:tr>
        <w:trPr>
          <w:trHeight w:val="643" w:hRule="atLeast"/>
        </w:trPr>
        <w:tc>
          <w:tcPr>
            <w:tcW w:w="4909" w:type="dxa"/>
          </w:tcPr>
          <w:p>
            <w:pPr>
              <w:pStyle w:val="TableParagraph"/>
              <w:spacing w:before="107"/>
              <w:ind w:left="131"/>
              <w:rPr>
                <w:sz w:val="14"/>
              </w:rPr>
            </w:pPr>
            <w:r>
              <w:rPr>
                <w:w w:val="105"/>
                <w:sz w:val="14"/>
              </w:rPr>
              <w:t>TOTAL, OTHER OUTGO (excluding Transfers of Indirect Costs)</w:t>
            </w:r>
          </w:p>
          <w:p>
            <w:pPr>
              <w:pStyle w:val="TableParagraph"/>
              <w:spacing w:before="6"/>
              <w:rPr>
                <w:sz w:val="18"/>
              </w:rPr>
            </w:pPr>
          </w:p>
          <w:p>
            <w:pPr>
              <w:pStyle w:val="TableParagraph"/>
              <w:spacing w:line="142" w:lineRule="exact"/>
              <w:ind w:left="50"/>
              <w:rPr>
                <w:b/>
                <w:sz w:val="14"/>
              </w:rPr>
            </w:pPr>
            <w:r>
              <w:rPr>
                <w:b/>
                <w:w w:val="105"/>
                <w:sz w:val="14"/>
              </w:rPr>
              <w:t>OTHER OUTGO - TRANSFERS OF INDIRECT COSTS</w:t>
            </w:r>
          </w:p>
        </w:tc>
        <w:tc>
          <w:tcPr>
            <w:tcW w:w="1706" w:type="dxa"/>
          </w:tcPr>
          <w:p>
            <w:pPr>
              <w:pStyle w:val="TableParagraph"/>
              <w:rPr>
                <w:rFonts w:ascii="Times New Roman"/>
                <w:sz w:val="14"/>
              </w:rPr>
            </w:pPr>
          </w:p>
        </w:tc>
        <w:tc>
          <w:tcPr>
            <w:tcW w:w="1638" w:type="dxa"/>
          </w:tcPr>
          <w:p>
            <w:pPr>
              <w:pStyle w:val="TableParagraph"/>
              <w:spacing w:before="107"/>
              <w:ind w:right="614"/>
              <w:jc w:val="right"/>
              <w:rPr>
                <w:sz w:val="14"/>
              </w:rPr>
            </w:pPr>
            <w:r>
              <w:rPr>
                <w:sz w:val="14"/>
              </w:rPr>
              <w:t>0.00</w:t>
            </w:r>
          </w:p>
        </w:tc>
        <w:tc>
          <w:tcPr>
            <w:tcW w:w="1526" w:type="dxa"/>
          </w:tcPr>
          <w:p>
            <w:pPr>
              <w:pStyle w:val="TableParagraph"/>
              <w:spacing w:before="107"/>
              <w:ind w:left="616"/>
              <w:rPr>
                <w:sz w:val="14"/>
              </w:rPr>
            </w:pPr>
            <w:r>
              <w:rPr>
                <w:w w:val="105"/>
                <w:sz w:val="14"/>
              </w:rPr>
              <w:t>0.00</w:t>
            </w:r>
          </w:p>
        </w:tc>
        <w:tc>
          <w:tcPr>
            <w:tcW w:w="1007" w:type="dxa"/>
          </w:tcPr>
          <w:p>
            <w:pPr>
              <w:pStyle w:val="TableParagraph"/>
              <w:spacing w:before="107"/>
              <w:ind w:right="46"/>
              <w:jc w:val="right"/>
              <w:rPr>
                <w:sz w:val="14"/>
              </w:rPr>
            </w:pPr>
            <w:r>
              <w:rPr>
                <w:sz w:val="14"/>
              </w:rPr>
              <w:t>0.0%</w:t>
            </w:r>
          </w:p>
        </w:tc>
      </w:tr>
      <w:tr>
        <w:trPr>
          <w:trHeight w:val="475" w:hRule="atLeast"/>
        </w:trPr>
        <w:tc>
          <w:tcPr>
            <w:tcW w:w="4909" w:type="dxa"/>
          </w:tcPr>
          <w:p>
            <w:pPr>
              <w:pStyle w:val="TableParagraph"/>
              <w:spacing w:before="9"/>
              <w:rPr>
                <w:sz w:val="17"/>
              </w:rPr>
            </w:pPr>
          </w:p>
          <w:p>
            <w:pPr>
              <w:pStyle w:val="TableParagraph"/>
              <w:spacing w:before="1"/>
              <w:ind w:left="131"/>
              <w:rPr>
                <w:sz w:val="14"/>
              </w:rPr>
            </w:pPr>
            <w:r>
              <w:rPr>
                <w:w w:val="105"/>
                <w:sz w:val="14"/>
              </w:rPr>
              <w:t>Transfers of Indirect Costs - Interfund</w:t>
            </w:r>
          </w:p>
        </w:tc>
        <w:tc>
          <w:tcPr>
            <w:tcW w:w="1706" w:type="dxa"/>
          </w:tcPr>
          <w:p>
            <w:pPr>
              <w:pStyle w:val="TableParagraph"/>
              <w:spacing w:before="9"/>
              <w:rPr>
                <w:sz w:val="17"/>
              </w:rPr>
            </w:pPr>
          </w:p>
          <w:p>
            <w:pPr>
              <w:pStyle w:val="TableParagraph"/>
              <w:spacing w:before="1"/>
              <w:ind w:left="646"/>
              <w:rPr>
                <w:sz w:val="14"/>
              </w:rPr>
            </w:pPr>
            <w:r>
              <w:rPr>
                <w:w w:val="105"/>
                <w:sz w:val="14"/>
              </w:rPr>
              <w:t>7350</w:t>
            </w:r>
          </w:p>
        </w:tc>
        <w:tc>
          <w:tcPr>
            <w:tcW w:w="1638" w:type="dxa"/>
          </w:tcPr>
          <w:p>
            <w:pPr>
              <w:pStyle w:val="TableParagraph"/>
              <w:spacing w:before="9"/>
              <w:rPr>
                <w:sz w:val="17"/>
              </w:rPr>
            </w:pPr>
          </w:p>
          <w:p>
            <w:pPr>
              <w:pStyle w:val="TableParagraph"/>
              <w:spacing w:before="1"/>
              <w:ind w:right="614"/>
              <w:jc w:val="right"/>
              <w:rPr>
                <w:sz w:val="14"/>
              </w:rPr>
            </w:pPr>
            <w:r>
              <w:rPr>
                <w:sz w:val="14"/>
              </w:rPr>
              <w:t>0.00</w:t>
            </w:r>
          </w:p>
        </w:tc>
        <w:tc>
          <w:tcPr>
            <w:tcW w:w="1526" w:type="dxa"/>
          </w:tcPr>
          <w:p>
            <w:pPr>
              <w:pStyle w:val="TableParagraph"/>
              <w:spacing w:before="9"/>
              <w:rPr>
                <w:sz w:val="17"/>
              </w:rPr>
            </w:pPr>
          </w:p>
          <w:p>
            <w:pPr>
              <w:pStyle w:val="TableParagraph"/>
              <w:spacing w:before="1"/>
              <w:ind w:left="616"/>
              <w:rPr>
                <w:sz w:val="14"/>
              </w:rPr>
            </w:pPr>
            <w:r>
              <w:rPr>
                <w:w w:val="105"/>
                <w:sz w:val="14"/>
              </w:rPr>
              <w:t>0.00</w:t>
            </w:r>
          </w:p>
        </w:tc>
        <w:tc>
          <w:tcPr>
            <w:tcW w:w="1007" w:type="dxa"/>
          </w:tcPr>
          <w:p>
            <w:pPr>
              <w:pStyle w:val="TableParagraph"/>
              <w:spacing w:before="9"/>
              <w:rPr>
                <w:sz w:val="17"/>
              </w:rPr>
            </w:pPr>
          </w:p>
          <w:p>
            <w:pPr>
              <w:pStyle w:val="TableParagraph"/>
              <w:spacing w:before="1"/>
              <w:ind w:right="46"/>
              <w:jc w:val="right"/>
              <w:rPr>
                <w:sz w:val="14"/>
              </w:rPr>
            </w:pPr>
            <w:r>
              <w:rPr>
                <w:sz w:val="14"/>
              </w:rPr>
              <w:t>0.0%</w:t>
            </w:r>
          </w:p>
        </w:tc>
      </w:tr>
      <w:tr>
        <w:trPr>
          <w:trHeight w:val="451" w:hRule="atLeast"/>
        </w:trPr>
        <w:tc>
          <w:tcPr>
            <w:tcW w:w="4909" w:type="dxa"/>
          </w:tcPr>
          <w:p>
            <w:pPr>
              <w:pStyle w:val="TableParagraph"/>
              <w:spacing w:before="107"/>
              <w:ind w:left="131"/>
              <w:rPr>
                <w:sz w:val="14"/>
              </w:rPr>
            </w:pPr>
            <w:r>
              <w:rPr>
                <w:w w:val="105"/>
                <w:sz w:val="14"/>
              </w:rPr>
              <w:t>TOTAL, OTHER OUTGO - TRANSFERS OF INDIRECT COSTS</w:t>
            </w:r>
          </w:p>
        </w:tc>
        <w:tc>
          <w:tcPr>
            <w:tcW w:w="1706" w:type="dxa"/>
          </w:tcPr>
          <w:p>
            <w:pPr>
              <w:pStyle w:val="TableParagraph"/>
              <w:rPr>
                <w:rFonts w:ascii="Times New Roman"/>
                <w:sz w:val="14"/>
              </w:rPr>
            </w:pPr>
          </w:p>
        </w:tc>
        <w:tc>
          <w:tcPr>
            <w:tcW w:w="1638" w:type="dxa"/>
          </w:tcPr>
          <w:p>
            <w:pPr>
              <w:pStyle w:val="TableParagraph"/>
              <w:spacing w:before="107"/>
              <w:ind w:right="614"/>
              <w:jc w:val="right"/>
              <w:rPr>
                <w:sz w:val="14"/>
              </w:rPr>
            </w:pPr>
            <w:r>
              <w:rPr>
                <w:sz w:val="14"/>
              </w:rPr>
              <w:t>0.00</w:t>
            </w:r>
          </w:p>
        </w:tc>
        <w:tc>
          <w:tcPr>
            <w:tcW w:w="1526" w:type="dxa"/>
          </w:tcPr>
          <w:p>
            <w:pPr>
              <w:pStyle w:val="TableParagraph"/>
              <w:spacing w:before="107"/>
              <w:ind w:left="616"/>
              <w:rPr>
                <w:sz w:val="14"/>
              </w:rPr>
            </w:pPr>
            <w:r>
              <w:rPr>
                <w:w w:val="105"/>
                <w:sz w:val="14"/>
              </w:rPr>
              <w:t>0.00</w:t>
            </w:r>
          </w:p>
        </w:tc>
        <w:tc>
          <w:tcPr>
            <w:tcW w:w="1007" w:type="dxa"/>
          </w:tcPr>
          <w:p>
            <w:pPr>
              <w:pStyle w:val="TableParagraph"/>
              <w:spacing w:before="107"/>
              <w:ind w:right="46"/>
              <w:jc w:val="right"/>
              <w:rPr>
                <w:sz w:val="14"/>
              </w:rPr>
            </w:pPr>
            <w:r>
              <w:rPr>
                <w:sz w:val="14"/>
              </w:rPr>
              <w:t>0.0%</w:t>
            </w:r>
          </w:p>
        </w:tc>
      </w:tr>
      <w:tr>
        <w:trPr>
          <w:trHeight w:val="343" w:hRule="atLeast"/>
        </w:trPr>
        <w:tc>
          <w:tcPr>
            <w:tcW w:w="4909" w:type="dxa"/>
          </w:tcPr>
          <w:p>
            <w:pPr>
              <w:pStyle w:val="TableParagraph"/>
              <w:spacing w:before="8"/>
              <w:rPr>
                <w:sz w:val="15"/>
              </w:rPr>
            </w:pPr>
          </w:p>
          <w:p>
            <w:pPr>
              <w:pStyle w:val="TableParagraph"/>
              <w:spacing w:line="142" w:lineRule="exact" w:before="1"/>
              <w:ind w:left="50"/>
              <w:rPr>
                <w:sz w:val="14"/>
              </w:rPr>
            </w:pPr>
            <w:r>
              <w:rPr>
                <w:w w:val="105"/>
                <w:sz w:val="14"/>
              </w:rPr>
              <w:t>TOTAL, EXPENDITURES</w:t>
            </w:r>
          </w:p>
        </w:tc>
        <w:tc>
          <w:tcPr>
            <w:tcW w:w="1706" w:type="dxa"/>
          </w:tcPr>
          <w:p>
            <w:pPr>
              <w:pStyle w:val="TableParagraph"/>
              <w:rPr>
                <w:rFonts w:ascii="Times New Roman"/>
                <w:sz w:val="14"/>
              </w:rPr>
            </w:pPr>
          </w:p>
        </w:tc>
        <w:tc>
          <w:tcPr>
            <w:tcW w:w="1638" w:type="dxa"/>
          </w:tcPr>
          <w:p>
            <w:pPr>
              <w:pStyle w:val="TableParagraph"/>
              <w:spacing w:before="8"/>
              <w:rPr>
                <w:sz w:val="15"/>
              </w:rPr>
            </w:pPr>
          </w:p>
          <w:p>
            <w:pPr>
              <w:pStyle w:val="TableParagraph"/>
              <w:spacing w:line="142" w:lineRule="exact" w:before="1"/>
              <w:ind w:right="614"/>
              <w:jc w:val="right"/>
              <w:rPr>
                <w:sz w:val="14"/>
              </w:rPr>
            </w:pPr>
            <w:r>
              <w:rPr>
                <w:sz w:val="14"/>
              </w:rPr>
              <w:t>0.00</w:t>
            </w:r>
          </w:p>
        </w:tc>
        <w:tc>
          <w:tcPr>
            <w:tcW w:w="1526" w:type="dxa"/>
          </w:tcPr>
          <w:p>
            <w:pPr>
              <w:pStyle w:val="TableParagraph"/>
              <w:spacing w:before="8"/>
              <w:rPr>
                <w:sz w:val="15"/>
              </w:rPr>
            </w:pPr>
          </w:p>
          <w:p>
            <w:pPr>
              <w:pStyle w:val="TableParagraph"/>
              <w:spacing w:line="142" w:lineRule="exact" w:before="1"/>
              <w:ind w:left="616"/>
              <w:rPr>
                <w:sz w:val="14"/>
              </w:rPr>
            </w:pPr>
            <w:r>
              <w:rPr>
                <w:w w:val="105"/>
                <w:sz w:val="14"/>
              </w:rPr>
              <w:t>0.00</w:t>
            </w:r>
          </w:p>
        </w:tc>
        <w:tc>
          <w:tcPr>
            <w:tcW w:w="1007" w:type="dxa"/>
          </w:tcPr>
          <w:p>
            <w:pPr>
              <w:pStyle w:val="TableParagraph"/>
              <w:spacing w:before="8"/>
              <w:rPr>
                <w:sz w:val="15"/>
              </w:rPr>
            </w:pPr>
          </w:p>
          <w:p>
            <w:pPr>
              <w:pStyle w:val="TableParagraph"/>
              <w:spacing w:line="142" w:lineRule="exact" w:before="1"/>
              <w:ind w:right="46"/>
              <w:jc w:val="right"/>
              <w:rPr>
                <w:sz w:val="14"/>
              </w:rPr>
            </w:pPr>
            <w:r>
              <w:rPr>
                <w:sz w:val="14"/>
              </w:rPr>
              <w:t>0.0%</w:t>
            </w:r>
          </w:p>
        </w:tc>
      </w:tr>
    </w:tbl>
    <w:p>
      <w:pPr>
        <w:spacing w:after="0" w:line="142" w:lineRule="exact"/>
        <w:jc w:val="right"/>
        <w:rPr>
          <w:sz w:val="14"/>
        </w:rPr>
        <w:sectPr>
          <w:type w:val="continuous"/>
          <w:pgSz w:w="12240" w:h="15840"/>
          <w:pgMar w:top="1500" w:bottom="840" w:left="160" w:right="180"/>
        </w:sectPr>
      </w:pPr>
    </w:p>
    <w:p>
      <w:pPr>
        <w:spacing w:line="232" w:lineRule="auto" w:before="1"/>
        <w:ind w:left="308" w:right="0" w:firstLine="0"/>
        <w:jc w:val="left"/>
        <w:rPr>
          <w:sz w:val="18"/>
        </w:rPr>
      </w:pPr>
      <w:r>
        <w:rPr/>
        <w:pict>
          <v:group style="position:absolute;margin-left:30.120001pt;margin-top:36.318634pt;width:538pt;height:426.6pt;mso-position-horizontal-relative:page;mso-position-vertical-relative:paragraph;z-index:-314468352" coordorigin="602,726" coordsize="10760,8532">
            <v:shape style="position:absolute;left:602;top:726;width:3646;height:790" type="#_x0000_t75" stroked="false">
              <v:imagedata r:id="rId406" o:title=""/>
            </v:shape>
            <v:shape style="position:absolute;left:602;top:726;width:10760;height:1155" type="#_x0000_t75" stroked="false">
              <v:imagedata r:id="rId499" o:title=""/>
            </v:shape>
            <v:line style="position:absolute" from="1412,1506" to="1412,1876" stroked="true" strokeweight=".360003pt" strokecolor="#ffffff">
              <v:stroke dashstyle="solid"/>
            </v:line>
            <v:shape style="position:absolute;left:4240;top:1494;width:7121;height:1330" type="#_x0000_t75" stroked="false">
              <v:imagedata r:id="rId647" o:title=""/>
            </v:shape>
            <v:shape style="position:absolute;left:6782;top:2451;width:4580;height:737" type="#_x0000_t75" stroked="false">
              <v:imagedata r:id="rId464" o:title=""/>
            </v:shape>
            <v:shape style="position:absolute;left:602;top:1878;width:3646;height:2060" type="#_x0000_t75" stroked="false">
              <v:imagedata r:id="rId648" o:title=""/>
            </v:shape>
            <v:shape style="position:absolute;left:6782;top:2816;width:4580;height:744" type="#_x0000_t75" stroked="false">
              <v:imagedata r:id="rId649" o:title=""/>
            </v:shape>
            <v:shape style="position:absolute;left:4240;top:3181;width:7121;height:1318" type="#_x0000_t75" stroked="false">
              <v:imagedata r:id="rId650" o:title=""/>
            </v:shape>
            <v:shape style="position:absolute;left:602;top:3935;width:3646;height:946" type="#_x0000_t75" stroked="false">
              <v:imagedata r:id="rId651" o:title=""/>
            </v:shape>
            <v:shape style="position:absolute;left:602;top:4131;width:10760;height:1052" type="#_x0000_t75" stroked="false">
              <v:imagedata r:id="rId505" o:title=""/>
            </v:shape>
            <v:shape style="position:absolute;left:4240;top:4873;width:7121;height:1772" type="#_x0000_t75" stroked="false">
              <v:imagedata r:id="rId652" o:title=""/>
            </v:shape>
            <v:shape style="position:absolute;left:6782;top:6440;width:4580;height:876" type="#_x0000_t75" stroked="false">
              <v:imagedata r:id="rId653" o:title=""/>
            </v:shape>
            <v:shape style="position:absolute;left:6782;top:7112;width:4580;height:579" type="#_x0000_t75" stroked="false">
              <v:imagedata r:id="rId654" o:title=""/>
            </v:shape>
            <v:shape style="position:absolute;left:6782;top:7309;width:4580;height:756" type="#_x0000_t75" stroked="false">
              <v:imagedata r:id="rId655" o:title=""/>
            </v:shape>
            <v:shape style="position:absolute;left:602;top:5180;width:10760;height:4078" type="#_x0000_t75" stroked="false">
              <v:imagedata r:id="rId656" o:title=""/>
            </v:shape>
            <v:shape style="position:absolute;left:638;top:1340;width:811;height:161" type="#_x0000_t202" filled="false" stroked="false">
              <v:textbox inset="0,0,0,0">
                <w:txbxContent>
                  <w:p>
                    <w:pPr>
                      <w:spacing w:line="160" w:lineRule="exact" w:before="0"/>
                      <w:ind w:left="0" w:right="0" w:firstLine="0"/>
                      <w:jc w:val="left"/>
                      <w:rPr>
                        <w:b/>
                        <w:sz w:val="14"/>
                      </w:rPr>
                    </w:pPr>
                    <w:r>
                      <w:rPr>
                        <w:b/>
                        <w:sz w:val="14"/>
                      </w:rPr>
                      <w:t>Description</w:t>
                    </w:r>
                  </w:p>
                </w:txbxContent>
              </v:textbox>
              <w10:wrap type="none"/>
            </v:shape>
            <v:shape style="position:absolute;left:4466;top:1172;width:3722;height:329" type="#_x0000_t202" filled="false" stroked="false">
              <v:textbox inset="0,0,0,0">
                <w:txbxContent>
                  <w:p>
                    <w:pPr>
                      <w:spacing w:line="160" w:lineRule="exact" w:before="0"/>
                      <w:ind w:left="2820" w:right="0" w:firstLine="0"/>
                      <w:jc w:val="left"/>
                      <w:rPr>
                        <w:b/>
                        <w:sz w:val="14"/>
                      </w:rPr>
                    </w:pPr>
                    <w:r>
                      <w:rPr>
                        <w:b/>
                        <w:w w:val="105"/>
                        <w:sz w:val="14"/>
                      </w:rPr>
                      <w:t>2020-21</w:t>
                    </w:r>
                  </w:p>
                  <w:p>
                    <w:pPr>
                      <w:tabs>
                        <w:tab w:pos="1372" w:val="left" w:leader="none"/>
                      </w:tabs>
                      <w:spacing w:before="7"/>
                      <w:ind w:left="0" w:right="0" w:firstLine="0"/>
                      <w:jc w:val="left"/>
                      <w:rPr>
                        <w:b/>
                        <w:sz w:val="14"/>
                      </w:rPr>
                    </w:pPr>
                    <w:r>
                      <w:rPr>
                        <w:b/>
                        <w:w w:val="105"/>
                        <w:sz w:val="14"/>
                      </w:rPr>
                      <w:t>Resource</w:t>
                    </w:r>
                    <w:r>
                      <w:rPr>
                        <w:b/>
                        <w:spacing w:val="-12"/>
                        <w:w w:val="105"/>
                        <w:sz w:val="14"/>
                      </w:rPr>
                      <w:t> </w:t>
                    </w:r>
                    <w:r>
                      <w:rPr>
                        <w:b/>
                        <w:w w:val="105"/>
                        <w:sz w:val="14"/>
                      </w:rPr>
                      <w:t>Codes</w:t>
                      <w:tab/>
                      <w:t>Object Codes Estimated</w:t>
                    </w:r>
                    <w:r>
                      <w:rPr>
                        <w:b/>
                        <w:spacing w:val="-15"/>
                        <w:w w:val="105"/>
                        <w:sz w:val="14"/>
                      </w:rPr>
                      <w:t> </w:t>
                    </w:r>
                    <w:r>
                      <w:rPr>
                        <w:b/>
                        <w:w w:val="105"/>
                        <w:sz w:val="14"/>
                      </w:rPr>
                      <w:t>Actuals</w:t>
                    </w:r>
                  </w:p>
                </w:txbxContent>
              </v:textbox>
              <w10:wrap type="none"/>
            </v:shape>
            <v:shape style="position:absolute;left:8798;top:1172;width:545;height:329" type="#_x0000_t202" filled="false" stroked="false">
              <v:textbox inset="0,0,0,0">
                <w:txbxContent>
                  <w:p>
                    <w:pPr>
                      <w:spacing w:line="160" w:lineRule="exact" w:before="0"/>
                      <w:ind w:left="0" w:right="0" w:firstLine="0"/>
                      <w:jc w:val="left"/>
                      <w:rPr>
                        <w:b/>
                        <w:sz w:val="14"/>
                      </w:rPr>
                    </w:pPr>
                    <w:r>
                      <w:rPr>
                        <w:b/>
                        <w:sz w:val="14"/>
                      </w:rPr>
                      <w:t>2021-22</w:t>
                    </w:r>
                  </w:p>
                  <w:p>
                    <w:pPr>
                      <w:spacing w:before="7"/>
                      <w:ind w:left="11" w:right="0" w:firstLine="0"/>
                      <w:jc w:val="left"/>
                      <w:rPr>
                        <w:b/>
                        <w:sz w:val="14"/>
                      </w:rPr>
                    </w:pPr>
                    <w:r>
                      <w:rPr>
                        <w:b/>
                        <w:w w:val="105"/>
                        <w:sz w:val="14"/>
                      </w:rPr>
                      <w:t>Budget</w:t>
                    </w:r>
                  </w:p>
                </w:txbxContent>
              </v:textbox>
              <w10:wrap type="none"/>
            </v:shape>
            <v:shape style="position:absolute;left:10236;top:1172;width:721;height:329" type="#_x0000_t202" filled="false" stroked="false">
              <v:textbox inset="0,0,0,0">
                <w:txbxContent>
                  <w:p>
                    <w:pPr>
                      <w:spacing w:line="249" w:lineRule="auto" w:before="0"/>
                      <w:ind w:left="0" w:right="16" w:firstLine="86"/>
                      <w:jc w:val="left"/>
                      <w:rPr>
                        <w:b/>
                        <w:sz w:val="14"/>
                      </w:rPr>
                    </w:pPr>
                    <w:r>
                      <w:rPr>
                        <w:b/>
                        <w:w w:val="105"/>
                        <w:sz w:val="14"/>
                      </w:rPr>
                      <w:t>Percent </w:t>
                    </w:r>
                    <w:r>
                      <w:rPr>
                        <w:b/>
                        <w:sz w:val="14"/>
                      </w:rPr>
                      <w:t>Difference</w:t>
                    </w:r>
                  </w:p>
                </w:txbxContent>
              </v:textbox>
              <w10:wrap type="none"/>
            </v:shape>
            <v:shape style="position:absolute;left:638;top:1717;width:1764;height:161" type="#_x0000_t202" filled="false" stroked="false">
              <v:textbox inset="0,0,0,0">
                <w:txbxContent>
                  <w:p>
                    <w:pPr>
                      <w:spacing w:line="160" w:lineRule="exact" w:before="0"/>
                      <w:ind w:left="0" w:right="0" w:firstLine="0"/>
                      <w:jc w:val="left"/>
                      <w:rPr>
                        <w:b/>
                        <w:sz w:val="14"/>
                      </w:rPr>
                    </w:pPr>
                    <w:r>
                      <w:rPr>
                        <w:b/>
                        <w:sz w:val="14"/>
                      </w:rPr>
                      <w:t>INTERFUND TRANSFERS</w:t>
                    </w:r>
                  </w:p>
                </w:txbxContent>
              </v:textbox>
              <w10:wrap type="none"/>
            </v:shape>
            <v:shape style="position:absolute;left:720;top:2290;width:1948;height:161" type="#_x0000_t202" filled="false" stroked="false">
              <v:textbox inset="0,0,0,0">
                <w:txbxContent>
                  <w:p>
                    <w:pPr>
                      <w:spacing w:line="160" w:lineRule="exact" w:before="0"/>
                      <w:ind w:left="0" w:right="0" w:firstLine="0"/>
                      <w:jc w:val="left"/>
                      <w:rPr>
                        <w:b/>
                        <w:sz w:val="14"/>
                      </w:rPr>
                    </w:pPr>
                    <w:r>
                      <w:rPr>
                        <w:b/>
                        <w:w w:val="105"/>
                        <w:sz w:val="14"/>
                      </w:rPr>
                      <w:t>INTERFUND</w:t>
                    </w:r>
                    <w:r>
                      <w:rPr>
                        <w:b/>
                        <w:spacing w:val="-21"/>
                        <w:w w:val="105"/>
                        <w:sz w:val="14"/>
                      </w:rPr>
                      <w:t> </w:t>
                    </w:r>
                    <w:r>
                      <w:rPr>
                        <w:b/>
                        <w:w w:val="105"/>
                        <w:sz w:val="14"/>
                      </w:rPr>
                      <w:t>TRANSFERS</w:t>
                    </w:r>
                    <w:r>
                      <w:rPr>
                        <w:b/>
                        <w:spacing w:val="-20"/>
                        <w:w w:val="105"/>
                        <w:sz w:val="14"/>
                      </w:rPr>
                      <w:t> </w:t>
                    </w:r>
                    <w:r>
                      <w:rPr>
                        <w:b/>
                        <w:w w:val="105"/>
                        <w:sz w:val="14"/>
                      </w:rPr>
                      <w:t>IN</w:t>
                    </w:r>
                  </w:p>
                </w:txbxContent>
              </v:textbox>
              <w10:wrap type="none"/>
            </v:shape>
            <v:shape style="position:absolute;left:638;top:5019;width:1705;height:1143" type="#_x0000_t202" filled="false" stroked="false">
              <v:textbox inset="0,0,0,0">
                <w:txbxContent>
                  <w:p>
                    <w:pPr>
                      <w:spacing w:line="160" w:lineRule="exact" w:before="0"/>
                      <w:ind w:left="0" w:right="0" w:firstLine="0"/>
                      <w:jc w:val="left"/>
                      <w:rPr>
                        <w:b/>
                        <w:sz w:val="14"/>
                      </w:rPr>
                    </w:pPr>
                    <w:r>
                      <w:rPr>
                        <w:b/>
                        <w:w w:val="105"/>
                        <w:sz w:val="14"/>
                      </w:rPr>
                      <w:t>OTHER</w:t>
                    </w:r>
                    <w:r>
                      <w:rPr>
                        <w:b/>
                        <w:spacing w:val="-27"/>
                        <w:w w:val="105"/>
                        <w:sz w:val="14"/>
                      </w:rPr>
                      <w:t> </w:t>
                    </w:r>
                    <w:r>
                      <w:rPr>
                        <w:b/>
                        <w:w w:val="105"/>
                        <w:sz w:val="14"/>
                      </w:rPr>
                      <w:t>SOURCES/USES</w:t>
                    </w:r>
                  </w:p>
                  <w:p>
                    <w:pPr>
                      <w:spacing w:line="240" w:lineRule="auto" w:before="0"/>
                      <w:rPr>
                        <w:b/>
                        <w:sz w:val="16"/>
                      </w:rPr>
                    </w:pPr>
                  </w:p>
                  <w:p>
                    <w:pPr>
                      <w:spacing w:line="240" w:lineRule="auto" w:before="6"/>
                      <w:rPr>
                        <w:b/>
                        <w:sz w:val="12"/>
                      </w:rPr>
                    </w:pPr>
                  </w:p>
                  <w:p>
                    <w:pPr>
                      <w:spacing w:before="0"/>
                      <w:ind w:left="81" w:right="0" w:firstLine="0"/>
                      <w:jc w:val="left"/>
                      <w:rPr>
                        <w:b/>
                        <w:sz w:val="14"/>
                      </w:rPr>
                    </w:pPr>
                    <w:r>
                      <w:rPr>
                        <w:b/>
                        <w:w w:val="105"/>
                        <w:sz w:val="14"/>
                      </w:rPr>
                      <w:t>SOURCES</w:t>
                    </w:r>
                  </w:p>
                  <w:p>
                    <w:pPr>
                      <w:spacing w:line="240" w:lineRule="auto" w:before="0"/>
                      <w:rPr>
                        <w:b/>
                        <w:sz w:val="16"/>
                      </w:rPr>
                    </w:pPr>
                  </w:p>
                  <w:p>
                    <w:pPr>
                      <w:spacing w:line="240" w:lineRule="auto" w:before="9"/>
                      <w:rPr>
                        <w:b/>
                        <w:sz w:val="12"/>
                      </w:rPr>
                    </w:pPr>
                  </w:p>
                  <w:p>
                    <w:pPr>
                      <w:spacing w:before="0"/>
                      <w:ind w:left="163" w:right="0" w:firstLine="0"/>
                      <w:jc w:val="left"/>
                      <w:rPr>
                        <w:sz w:val="14"/>
                      </w:rPr>
                    </w:pPr>
                    <w:r>
                      <w:rPr>
                        <w:w w:val="105"/>
                        <w:sz w:val="14"/>
                      </w:rPr>
                      <w:t>Other Sources</w:t>
                    </w:r>
                  </w:p>
                </w:txbxContent>
              </v:textbox>
              <w10:wrap type="none"/>
            </v:shape>
            <w10:wrap type="none"/>
          </v:group>
        </w:pict>
      </w:r>
      <w:r>
        <w:rPr>
          <w:sz w:val="18"/>
        </w:rPr>
        <w:t>Winship-Robbins Elementary Sutter County</w:t>
      </w:r>
    </w:p>
    <w:p>
      <w:pPr>
        <w:spacing w:line="232" w:lineRule="auto" w:before="1"/>
        <w:ind w:left="370" w:right="0" w:hanging="63"/>
        <w:jc w:val="left"/>
        <w:rPr>
          <w:sz w:val="18"/>
        </w:rPr>
      </w:pPr>
      <w:r>
        <w:rPr/>
        <w:br w:type="column"/>
      </w:r>
      <w:r>
        <w:rPr>
          <w:sz w:val="18"/>
        </w:rPr>
        <w:t>Child Development Fund Expenditures by Object</w:t>
      </w:r>
    </w:p>
    <w:p>
      <w:pPr>
        <w:spacing w:line="200" w:lineRule="exact" w:before="0"/>
        <w:ind w:left="0" w:right="287" w:firstLine="0"/>
        <w:jc w:val="right"/>
        <w:rPr>
          <w:sz w:val="18"/>
        </w:rPr>
      </w:pPr>
      <w:r>
        <w:rPr/>
        <w:br w:type="column"/>
      </w:r>
      <w:r>
        <w:rPr>
          <w:sz w:val="18"/>
        </w:rPr>
        <w:t>51 71456</w:t>
      </w:r>
      <w:r>
        <w:rPr>
          <w:spacing w:val="3"/>
          <w:sz w:val="18"/>
        </w:rPr>
        <w:t> </w:t>
      </w:r>
      <w:r>
        <w:rPr>
          <w:sz w:val="18"/>
        </w:rPr>
        <w:t>0000000</w:t>
      </w:r>
    </w:p>
    <w:p>
      <w:pPr>
        <w:spacing w:line="204" w:lineRule="exact" w:before="0"/>
        <w:ind w:left="0" w:right="285" w:firstLine="0"/>
        <w:jc w:val="right"/>
        <w:rPr>
          <w:sz w:val="18"/>
        </w:rPr>
      </w:pPr>
      <w:r>
        <w:rPr>
          <w:sz w:val="18"/>
        </w:rPr>
        <w:t>Form </w:t>
      </w:r>
      <w:r>
        <w:rPr>
          <w:spacing w:val="3"/>
          <w:sz w:val="18"/>
        </w:rPr>
        <w:t> </w:t>
      </w:r>
      <w:r>
        <w:rPr>
          <w:sz w:val="18"/>
        </w:rPr>
        <w:t>12</w:t>
      </w:r>
    </w:p>
    <w:p>
      <w:pPr>
        <w:spacing w:after="0" w:line="204" w:lineRule="exact"/>
        <w:jc w:val="right"/>
        <w:rPr>
          <w:sz w:val="18"/>
        </w:rPr>
        <w:sectPr>
          <w:pgSz w:w="12240" w:h="15840"/>
          <w:pgMar w:header="651" w:footer="437" w:top="840" w:bottom="620" w:left="160" w:right="180"/>
          <w:cols w:num="3" w:equalWidth="0">
            <w:col w:w="2698" w:space="1953"/>
            <w:col w:w="2348" w:space="2793"/>
            <w:col w:w="2108"/>
          </w:cols>
        </w:sectPr>
      </w:pPr>
    </w:p>
    <w:p>
      <w:pPr>
        <w:pStyle w:val="BodyText"/>
        <w:rPr>
          <w:sz w:val="20"/>
        </w:rPr>
      </w:pPr>
      <w:r>
        <w:rPr/>
        <w:drawing>
          <wp:anchor distT="0" distB="0" distL="0" distR="0" allowOverlap="1" layoutInCell="1" locked="0" behindDoc="1" simplePos="0" relativeHeight="188849152">
            <wp:simplePos x="0" y="0"/>
            <wp:positionH relativeFrom="page">
              <wp:posOffset>5266944</wp:posOffset>
            </wp:positionH>
            <wp:positionV relativeFrom="page">
              <wp:posOffset>5420867</wp:posOffset>
            </wp:positionV>
            <wp:extent cx="1947671" cy="477012"/>
            <wp:effectExtent l="0" t="0" r="0" b="0"/>
            <wp:wrapNone/>
            <wp:docPr id="13" name="image634.png"/>
            <wp:cNvGraphicFramePr>
              <a:graphicFrameLocks noChangeAspect="1"/>
            </wp:cNvGraphicFramePr>
            <a:graphic>
              <a:graphicData uri="http://schemas.openxmlformats.org/drawingml/2006/picture">
                <pic:pic>
                  <pic:nvPicPr>
                    <pic:cNvPr id="14" name="image634.png"/>
                    <pic:cNvPicPr/>
                  </pic:nvPicPr>
                  <pic:blipFill>
                    <a:blip r:embed="rId657" cstate="print"/>
                    <a:stretch>
                      <a:fillRect/>
                    </a:stretch>
                  </pic:blipFill>
                  <pic:spPr>
                    <a:xfrm>
                      <a:off x="0" y="0"/>
                      <a:ext cx="1947671" cy="477012"/>
                    </a:xfrm>
                    <a:prstGeom prst="rect">
                      <a:avLst/>
                    </a:prstGeom>
                  </pic:spPr>
                </pic:pic>
              </a:graphicData>
            </a:graphic>
          </wp:anchor>
        </w:drawing>
      </w:r>
      <w:r>
        <w:rPr/>
        <w:pict>
          <v:group style="position:absolute;margin-left:30.120001pt;margin-top:486.600006pt;width:538pt;height:200.4pt;mso-position-horizontal-relative:page;mso-position-vertical-relative:page;z-index:-314462208" coordorigin="602,9732" coordsize="10760,4008">
            <v:shape style="position:absolute;left:6782;top:9732;width:4580;height:953" type="#_x0000_t75" stroked="false">
              <v:imagedata r:id="rId658" o:title=""/>
            </v:shape>
            <v:shape style="position:absolute;left:602;top:10108;width:3646;height:956" type="#_x0000_t75" stroked="false">
              <v:imagedata r:id="rId659" o:title=""/>
            </v:shape>
            <v:shape style="position:absolute;left:602;top:10305;width:10760;height:1131" type="#_x0000_t75" stroked="false">
              <v:imagedata r:id="rId660" o:title=""/>
            </v:shape>
            <v:shape style="position:absolute;left:4240;top:11056;width:2549;height:8" type="#_x0000_t75" stroked="false">
              <v:imagedata r:id="rId661" o:title=""/>
            </v:shape>
            <v:shape style="position:absolute;left:6782;top:11056;width:1520;height:382" type="#_x0000_t75" stroked="false">
              <v:imagedata r:id="rId662" o:title=""/>
            </v:shape>
            <v:shape style="position:absolute;left:8294;top:11056;width:1520;height:382" type="#_x0000_t75" stroked="false">
              <v:imagedata r:id="rId663" o:title=""/>
            </v:shape>
            <v:shape style="position:absolute;left:8294;top:11056;width:3068;height:1332" type="#_x0000_t75" stroked="false">
              <v:imagedata r:id="rId664" o:title=""/>
            </v:shape>
            <v:shape style="position:absolute;left:6782;top:11433;width:1520;height:956" type="#_x0000_t75" stroked="false">
              <v:imagedata r:id="rId665" o:title=""/>
            </v:shape>
            <v:shape style="position:absolute;left:602;top:11433;width:3646;height:1332" type="#_x0000_t75" stroked="false">
              <v:imagedata r:id="rId516" o:title=""/>
            </v:shape>
            <v:shape style="position:absolute;left:9806;top:12007;width:1556;height:382" type="#_x0000_t75" stroked="false">
              <v:imagedata r:id="rId666" o:title=""/>
            </v:shape>
            <v:shape style="position:absolute;left:4240;top:12758;width:2549;height:8" type="#_x0000_t75" stroked="false">
              <v:imagedata r:id="rId661" o:title=""/>
            </v:shape>
            <v:shape style="position:absolute;left:6782;top:12381;width:1520;height:384" type="#_x0000_t75" stroked="false">
              <v:imagedata r:id="rId414" o:title=""/>
            </v:shape>
            <v:shape style="position:absolute;left:8294;top:12381;width:1520;height:384" type="#_x0000_t75" stroked="false">
              <v:imagedata r:id="rId584" o:title=""/>
            </v:shape>
            <v:shape style="position:absolute;left:9806;top:12381;width:1556;height:1150" type="#_x0000_t75" stroked="false">
              <v:imagedata r:id="rId667" o:title=""/>
            </v:shape>
            <v:shape style="position:absolute;left:602;top:12758;width:10760;height:982" type="#_x0000_t75" stroked="false">
              <v:imagedata r:id="rId668" o:title=""/>
            </v:shape>
            <v:shape style="position:absolute;left:638;top:13173;width:3087;height:358" type="#_x0000_t202" filled="false" stroked="false">
              <v:textbox inset="0,0,0,0">
                <w:txbxContent>
                  <w:p>
                    <w:pPr>
                      <w:spacing w:line="160" w:lineRule="exact" w:before="0"/>
                      <w:ind w:left="0" w:right="0" w:firstLine="0"/>
                      <w:jc w:val="left"/>
                      <w:rPr>
                        <w:sz w:val="14"/>
                      </w:rPr>
                    </w:pPr>
                    <w:r>
                      <w:rPr>
                        <w:w w:val="105"/>
                        <w:sz w:val="14"/>
                      </w:rPr>
                      <w:t>TOTAL,</w:t>
                    </w:r>
                    <w:r>
                      <w:rPr>
                        <w:spacing w:val="-19"/>
                        <w:w w:val="105"/>
                        <w:sz w:val="14"/>
                      </w:rPr>
                      <w:t> </w:t>
                    </w:r>
                    <w:r>
                      <w:rPr>
                        <w:w w:val="105"/>
                        <w:sz w:val="14"/>
                      </w:rPr>
                      <w:t>OTHER</w:t>
                    </w:r>
                    <w:r>
                      <w:rPr>
                        <w:spacing w:val="-19"/>
                        <w:w w:val="105"/>
                        <w:sz w:val="14"/>
                      </w:rPr>
                      <w:t> </w:t>
                    </w:r>
                    <w:r>
                      <w:rPr>
                        <w:w w:val="105"/>
                        <w:sz w:val="14"/>
                      </w:rPr>
                      <w:t>FINANCING</w:t>
                    </w:r>
                    <w:r>
                      <w:rPr>
                        <w:spacing w:val="-19"/>
                        <w:w w:val="105"/>
                        <w:sz w:val="14"/>
                      </w:rPr>
                      <w:t> </w:t>
                    </w:r>
                    <w:r>
                      <w:rPr>
                        <w:w w:val="105"/>
                        <w:sz w:val="14"/>
                      </w:rPr>
                      <w:t>SOURCES/USES</w:t>
                    </w:r>
                  </w:p>
                  <w:p>
                    <w:pPr>
                      <w:spacing w:before="36"/>
                      <w:ind w:left="81" w:right="0" w:firstLine="0"/>
                      <w:jc w:val="left"/>
                      <w:rPr>
                        <w:sz w:val="14"/>
                      </w:rPr>
                    </w:pPr>
                    <w:r>
                      <w:rPr>
                        <w:w w:val="105"/>
                        <w:sz w:val="14"/>
                      </w:rPr>
                      <w:t>(a - b + c - d + e)</w:t>
                    </w:r>
                  </w:p>
                </w:txbxContent>
              </v:textbox>
              <w10:wrap type="none"/>
            </v:shape>
            <v:shape style="position:absolute;left:7946;top:13369;width:299;height:161" type="#_x0000_t202" filled="false" stroked="false">
              <v:textbox inset="0,0,0,0">
                <w:txbxContent>
                  <w:p>
                    <w:pPr>
                      <w:spacing w:line="160" w:lineRule="exact" w:before="0"/>
                      <w:ind w:left="0" w:right="0" w:firstLine="0"/>
                      <w:jc w:val="left"/>
                      <w:rPr>
                        <w:sz w:val="14"/>
                      </w:rPr>
                    </w:pPr>
                    <w:r>
                      <w:rPr>
                        <w:w w:val="105"/>
                        <w:sz w:val="14"/>
                      </w:rPr>
                      <w:t>0.00</w:t>
                    </w:r>
                  </w:p>
                </w:txbxContent>
              </v:textbox>
              <w10:wrap type="none"/>
            </v:shape>
            <v:shape style="position:absolute;left:9458;top:13369;width:299;height:161" type="#_x0000_t202" filled="false" stroked="false">
              <v:textbox inset="0,0,0,0">
                <w:txbxContent>
                  <w:p>
                    <w:pPr>
                      <w:spacing w:line="160" w:lineRule="exact" w:before="0"/>
                      <w:ind w:left="0" w:right="0" w:firstLine="0"/>
                      <w:jc w:val="left"/>
                      <w:rPr>
                        <w:sz w:val="14"/>
                      </w:rPr>
                    </w:pPr>
                    <w:r>
                      <w:rPr>
                        <w:w w:val="105"/>
                        <w:sz w:val="14"/>
                      </w:rPr>
                      <w:t>0.00</w:t>
                    </w:r>
                  </w:p>
                </w:txbxContent>
              </v:textbox>
              <w10:wrap type="none"/>
            </v:shape>
            <v:shape style="position:absolute;left:10999;top:13369;width:347;height:161" type="#_x0000_t202" filled="false" stroked="false">
              <v:textbox inset="0,0,0,0">
                <w:txbxContent>
                  <w:p>
                    <w:pPr>
                      <w:spacing w:line="160" w:lineRule="exact" w:before="0"/>
                      <w:ind w:left="0" w:right="0" w:firstLine="0"/>
                      <w:jc w:val="left"/>
                      <w:rPr>
                        <w:sz w:val="14"/>
                      </w:rPr>
                    </w:pPr>
                    <w:r>
                      <w:rPr>
                        <w:w w:val="105"/>
                        <w:sz w:val="14"/>
                      </w:rPr>
                      <w:t>0.0%</w:t>
                    </w:r>
                  </w:p>
                </w:txbxContent>
              </v:textbox>
              <w10:wrap type="non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15"/>
        </w:rPr>
      </w:pPr>
    </w:p>
    <w:tbl>
      <w:tblPr>
        <w:tblW w:w="0" w:type="auto"/>
        <w:jc w:val="left"/>
        <w:tblInd w:w="5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90"/>
        <w:gridCol w:w="2344"/>
        <w:gridCol w:w="1638"/>
        <w:gridCol w:w="1526"/>
        <w:gridCol w:w="1007"/>
      </w:tblGrid>
      <w:tr>
        <w:trPr>
          <w:trHeight w:val="262" w:hRule="atLeast"/>
        </w:trPr>
        <w:tc>
          <w:tcPr>
            <w:tcW w:w="4190" w:type="dxa"/>
          </w:tcPr>
          <w:p>
            <w:pPr>
              <w:pStyle w:val="TableParagraph"/>
              <w:spacing w:line="160" w:lineRule="exact"/>
              <w:ind w:left="131"/>
              <w:rPr>
                <w:sz w:val="14"/>
              </w:rPr>
            </w:pPr>
            <w:r>
              <w:rPr>
                <w:w w:val="105"/>
                <w:sz w:val="14"/>
              </w:rPr>
              <w:t>From: General Fund</w:t>
            </w:r>
          </w:p>
        </w:tc>
        <w:tc>
          <w:tcPr>
            <w:tcW w:w="2344" w:type="dxa"/>
          </w:tcPr>
          <w:p>
            <w:pPr>
              <w:pStyle w:val="TableParagraph"/>
              <w:spacing w:line="160" w:lineRule="exact"/>
              <w:ind w:right="740"/>
              <w:jc w:val="right"/>
              <w:rPr>
                <w:sz w:val="14"/>
              </w:rPr>
            </w:pPr>
            <w:r>
              <w:rPr>
                <w:sz w:val="14"/>
              </w:rPr>
              <w:t>8911</w:t>
            </w:r>
          </w:p>
        </w:tc>
        <w:tc>
          <w:tcPr>
            <w:tcW w:w="1638" w:type="dxa"/>
          </w:tcPr>
          <w:p>
            <w:pPr>
              <w:pStyle w:val="TableParagraph"/>
              <w:spacing w:line="160" w:lineRule="exact"/>
              <w:ind w:right="614"/>
              <w:jc w:val="right"/>
              <w:rPr>
                <w:sz w:val="14"/>
              </w:rPr>
            </w:pPr>
            <w:r>
              <w:rPr>
                <w:sz w:val="14"/>
              </w:rPr>
              <w:t>0.00</w:t>
            </w:r>
          </w:p>
        </w:tc>
        <w:tc>
          <w:tcPr>
            <w:tcW w:w="1526" w:type="dxa"/>
          </w:tcPr>
          <w:p>
            <w:pPr>
              <w:pStyle w:val="TableParagraph"/>
              <w:spacing w:line="160" w:lineRule="exact"/>
              <w:ind w:left="616"/>
              <w:rPr>
                <w:sz w:val="14"/>
              </w:rPr>
            </w:pPr>
            <w:r>
              <w:rPr>
                <w:w w:val="105"/>
                <w:sz w:val="14"/>
              </w:rPr>
              <w:t>0.00</w:t>
            </w:r>
          </w:p>
        </w:tc>
        <w:tc>
          <w:tcPr>
            <w:tcW w:w="1007" w:type="dxa"/>
          </w:tcPr>
          <w:p>
            <w:pPr>
              <w:pStyle w:val="TableParagraph"/>
              <w:spacing w:line="160" w:lineRule="exact"/>
              <w:ind w:right="47"/>
              <w:jc w:val="right"/>
              <w:rPr>
                <w:sz w:val="14"/>
              </w:rPr>
            </w:pPr>
            <w:r>
              <w:rPr>
                <w:sz w:val="14"/>
              </w:rPr>
              <w:t>0.0%</w:t>
            </w:r>
          </w:p>
        </w:tc>
      </w:tr>
      <w:tr>
        <w:trPr>
          <w:trHeight w:val="370" w:hRule="atLeast"/>
        </w:trPr>
        <w:tc>
          <w:tcPr>
            <w:tcW w:w="4190" w:type="dxa"/>
          </w:tcPr>
          <w:p>
            <w:pPr>
              <w:pStyle w:val="TableParagraph"/>
              <w:spacing w:before="101"/>
              <w:ind w:left="131"/>
              <w:rPr>
                <w:sz w:val="14"/>
              </w:rPr>
            </w:pPr>
            <w:r>
              <w:rPr>
                <w:w w:val="105"/>
                <w:sz w:val="14"/>
              </w:rPr>
              <w:t>Other Authorized Interfund Transfers In</w:t>
            </w:r>
          </w:p>
        </w:tc>
        <w:tc>
          <w:tcPr>
            <w:tcW w:w="2344" w:type="dxa"/>
          </w:tcPr>
          <w:p>
            <w:pPr>
              <w:pStyle w:val="TableParagraph"/>
              <w:spacing w:before="101"/>
              <w:ind w:right="740"/>
              <w:jc w:val="right"/>
              <w:rPr>
                <w:sz w:val="14"/>
              </w:rPr>
            </w:pPr>
            <w:r>
              <w:rPr>
                <w:sz w:val="14"/>
              </w:rPr>
              <w:t>8919</w:t>
            </w:r>
          </w:p>
        </w:tc>
        <w:tc>
          <w:tcPr>
            <w:tcW w:w="1638" w:type="dxa"/>
          </w:tcPr>
          <w:p>
            <w:pPr>
              <w:pStyle w:val="TableParagraph"/>
              <w:spacing w:before="101"/>
              <w:ind w:right="614"/>
              <w:jc w:val="right"/>
              <w:rPr>
                <w:sz w:val="14"/>
              </w:rPr>
            </w:pPr>
            <w:r>
              <w:rPr>
                <w:sz w:val="14"/>
              </w:rPr>
              <w:t>0.00</w:t>
            </w:r>
          </w:p>
        </w:tc>
        <w:tc>
          <w:tcPr>
            <w:tcW w:w="1526" w:type="dxa"/>
          </w:tcPr>
          <w:p>
            <w:pPr>
              <w:pStyle w:val="TableParagraph"/>
              <w:spacing w:before="101"/>
              <w:ind w:left="616"/>
              <w:rPr>
                <w:sz w:val="14"/>
              </w:rPr>
            </w:pPr>
            <w:r>
              <w:rPr>
                <w:w w:val="105"/>
                <w:sz w:val="14"/>
              </w:rPr>
              <w:t>0.00</w:t>
            </w:r>
          </w:p>
        </w:tc>
        <w:tc>
          <w:tcPr>
            <w:tcW w:w="1007" w:type="dxa"/>
          </w:tcPr>
          <w:p>
            <w:pPr>
              <w:pStyle w:val="TableParagraph"/>
              <w:spacing w:before="101"/>
              <w:ind w:right="47"/>
              <w:jc w:val="right"/>
              <w:rPr>
                <w:sz w:val="14"/>
              </w:rPr>
            </w:pPr>
            <w:r>
              <w:rPr>
                <w:sz w:val="14"/>
              </w:rPr>
              <w:t>0.0%</w:t>
            </w:r>
          </w:p>
        </w:tc>
      </w:tr>
      <w:tr>
        <w:trPr>
          <w:trHeight w:val="844" w:hRule="atLeast"/>
        </w:trPr>
        <w:tc>
          <w:tcPr>
            <w:tcW w:w="4190" w:type="dxa"/>
          </w:tcPr>
          <w:p>
            <w:pPr>
              <w:pStyle w:val="TableParagraph"/>
              <w:spacing w:before="107"/>
              <w:ind w:left="50"/>
              <w:rPr>
                <w:sz w:val="14"/>
              </w:rPr>
            </w:pPr>
            <w:r>
              <w:rPr>
                <w:w w:val="105"/>
                <w:sz w:val="14"/>
              </w:rPr>
              <w:t>(a) TOTAL, INTERFUND TRANSFERS IN</w:t>
            </w:r>
          </w:p>
          <w:p>
            <w:pPr>
              <w:pStyle w:val="TableParagraph"/>
              <w:spacing w:before="6"/>
              <w:rPr>
                <w:sz w:val="18"/>
              </w:rPr>
            </w:pPr>
          </w:p>
          <w:p>
            <w:pPr>
              <w:pStyle w:val="TableParagraph"/>
              <w:ind w:left="50"/>
              <w:rPr>
                <w:b/>
                <w:sz w:val="14"/>
              </w:rPr>
            </w:pPr>
            <w:r>
              <w:rPr>
                <w:b/>
                <w:w w:val="105"/>
                <w:sz w:val="14"/>
              </w:rPr>
              <w:t>INTERFUND TRANSFERS OUT</w:t>
            </w:r>
          </w:p>
        </w:tc>
        <w:tc>
          <w:tcPr>
            <w:tcW w:w="2344" w:type="dxa"/>
          </w:tcPr>
          <w:p>
            <w:pPr>
              <w:pStyle w:val="TableParagraph"/>
              <w:rPr>
                <w:rFonts w:ascii="Times New Roman"/>
                <w:sz w:val="14"/>
              </w:rPr>
            </w:pPr>
          </w:p>
        </w:tc>
        <w:tc>
          <w:tcPr>
            <w:tcW w:w="1638" w:type="dxa"/>
          </w:tcPr>
          <w:p>
            <w:pPr>
              <w:pStyle w:val="TableParagraph"/>
              <w:spacing w:before="107"/>
              <w:ind w:right="614"/>
              <w:jc w:val="right"/>
              <w:rPr>
                <w:sz w:val="14"/>
              </w:rPr>
            </w:pPr>
            <w:r>
              <w:rPr>
                <w:sz w:val="14"/>
              </w:rPr>
              <w:t>0.00</w:t>
            </w:r>
          </w:p>
        </w:tc>
        <w:tc>
          <w:tcPr>
            <w:tcW w:w="1526" w:type="dxa"/>
          </w:tcPr>
          <w:p>
            <w:pPr>
              <w:pStyle w:val="TableParagraph"/>
              <w:spacing w:before="107"/>
              <w:ind w:left="616"/>
              <w:rPr>
                <w:sz w:val="14"/>
              </w:rPr>
            </w:pPr>
            <w:r>
              <w:rPr>
                <w:w w:val="105"/>
                <w:sz w:val="14"/>
              </w:rPr>
              <w:t>0.00</w:t>
            </w:r>
          </w:p>
        </w:tc>
        <w:tc>
          <w:tcPr>
            <w:tcW w:w="1007" w:type="dxa"/>
          </w:tcPr>
          <w:p>
            <w:pPr>
              <w:pStyle w:val="TableParagraph"/>
              <w:spacing w:before="107"/>
              <w:ind w:right="47"/>
              <w:jc w:val="right"/>
              <w:rPr>
                <w:sz w:val="14"/>
              </w:rPr>
            </w:pPr>
            <w:r>
              <w:rPr>
                <w:sz w:val="14"/>
              </w:rPr>
              <w:t>0.0%</w:t>
            </w:r>
          </w:p>
        </w:tc>
      </w:tr>
      <w:tr>
        <w:trPr>
          <w:trHeight w:val="470" w:hRule="atLeast"/>
        </w:trPr>
        <w:tc>
          <w:tcPr>
            <w:tcW w:w="4190" w:type="dxa"/>
          </w:tcPr>
          <w:p>
            <w:pPr>
              <w:pStyle w:val="TableParagraph"/>
              <w:spacing w:before="5"/>
              <w:rPr>
                <w:sz w:val="17"/>
              </w:rPr>
            </w:pPr>
          </w:p>
          <w:p>
            <w:pPr>
              <w:pStyle w:val="TableParagraph"/>
              <w:ind w:left="131"/>
              <w:rPr>
                <w:sz w:val="14"/>
              </w:rPr>
            </w:pPr>
            <w:r>
              <w:rPr>
                <w:w w:val="105"/>
                <w:sz w:val="14"/>
              </w:rPr>
              <w:t>Other Authorized Interfund Transfers Out</w:t>
            </w:r>
          </w:p>
        </w:tc>
        <w:tc>
          <w:tcPr>
            <w:tcW w:w="2344" w:type="dxa"/>
          </w:tcPr>
          <w:p>
            <w:pPr>
              <w:pStyle w:val="TableParagraph"/>
              <w:spacing w:before="5"/>
              <w:rPr>
                <w:sz w:val="17"/>
              </w:rPr>
            </w:pPr>
          </w:p>
          <w:p>
            <w:pPr>
              <w:pStyle w:val="TableParagraph"/>
              <w:ind w:right="740"/>
              <w:jc w:val="right"/>
              <w:rPr>
                <w:sz w:val="14"/>
              </w:rPr>
            </w:pPr>
            <w:r>
              <w:rPr>
                <w:sz w:val="14"/>
              </w:rPr>
              <w:t>7619</w:t>
            </w:r>
          </w:p>
        </w:tc>
        <w:tc>
          <w:tcPr>
            <w:tcW w:w="1638" w:type="dxa"/>
          </w:tcPr>
          <w:p>
            <w:pPr>
              <w:pStyle w:val="TableParagraph"/>
              <w:spacing w:before="5"/>
              <w:rPr>
                <w:sz w:val="17"/>
              </w:rPr>
            </w:pPr>
          </w:p>
          <w:p>
            <w:pPr>
              <w:pStyle w:val="TableParagraph"/>
              <w:ind w:right="614"/>
              <w:jc w:val="right"/>
              <w:rPr>
                <w:sz w:val="14"/>
              </w:rPr>
            </w:pPr>
            <w:r>
              <w:rPr>
                <w:sz w:val="14"/>
              </w:rPr>
              <w:t>0.00</w:t>
            </w:r>
          </w:p>
        </w:tc>
        <w:tc>
          <w:tcPr>
            <w:tcW w:w="1526" w:type="dxa"/>
          </w:tcPr>
          <w:p>
            <w:pPr>
              <w:pStyle w:val="TableParagraph"/>
              <w:spacing w:before="5"/>
              <w:rPr>
                <w:sz w:val="17"/>
              </w:rPr>
            </w:pPr>
          </w:p>
          <w:p>
            <w:pPr>
              <w:pStyle w:val="TableParagraph"/>
              <w:ind w:left="616"/>
              <w:rPr>
                <w:sz w:val="14"/>
              </w:rPr>
            </w:pPr>
            <w:r>
              <w:rPr>
                <w:w w:val="105"/>
                <w:sz w:val="14"/>
              </w:rPr>
              <w:t>0.00</w:t>
            </w:r>
          </w:p>
        </w:tc>
        <w:tc>
          <w:tcPr>
            <w:tcW w:w="1007" w:type="dxa"/>
          </w:tcPr>
          <w:p>
            <w:pPr>
              <w:pStyle w:val="TableParagraph"/>
              <w:spacing w:before="5"/>
              <w:rPr>
                <w:sz w:val="17"/>
              </w:rPr>
            </w:pPr>
          </w:p>
          <w:p>
            <w:pPr>
              <w:pStyle w:val="TableParagraph"/>
              <w:ind w:right="47"/>
              <w:jc w:val="right"/>
              <w:rPr>
                <w:sz w:val="14"/>
              </w:rPr>
            </w:pPr>
            <w:r>
              <w:rPr>
                <w:sz w:val="14"/>
              </w:rPr>
              <w:t>0.0%</w:t>
            </w:r>
          </w:p>
        </w:tc>
      </w:tr>
      <w:tr>
        <w:trPr>
          <w:trHeight w:val="268" w:hRule="atLeast"/>
        </w:trPr>
        <w:tc>
          <w:tcPr>
            <w:tcW w:w="4190" w:type="dxa"/>
          </w:tcPr>
          <w:p>
            <w:pPr>
              <w:pStyle w:val="TableParagraph"/>
              <w:spacing w:line="142" w:lineRule="exact" w:before="107"/>
              <w:ind w:left="50"/>
              <w:rPr>
                <w:sz w:val="14"/>
              </w:rPr>
            </w:pPr>
            <w:r>
              <w:rPr>
                <w:w w:val="105"/>
                <w:sz w:val="14"/>
              </w:rPr>
              <w:t>(b) TOTAL, INTERFUND TRANSFERS OUT</w:t>
            </w:r>
          </w:p>
        </w:tc>
        <w:tc>
          <w:tcPr>
            <w:tcW w:w="2344" w:type="dxa"/>
          </w:tcPr>
          <w:p>
            <w:pPr>
              <w:pStyle w:val="TableParagraph"/>
              <w:rPr>
                <w:rFonts w:ascii="Times New Roman"/>
                <w:sz w:val="14"/>
              </w:rPr>
            </w:pPr>
          </w:p>
        </w:tc>
        <w:tc>
          <w:tcPr>
            <w:tcW w:w="1638" w:type="dxa"/>
          </w:tcPr>
          <w:p>
            <w:pPr>
              <w:pStyle w:val="TableParagraph"/>
              <w:spacing w:line="142" w:lineRule="exact" w:before="107"/>
              <w:ind w:right="614"/>
              <w:jc w:val="right"/>
              <w:rPr>
                <w:sz w:val="14"/>
              </w:rPr>
            </w:pPr>
            <w:r>
              <w:rPr>
                <w:sz w:val="14"/>
              </w:rPr>
              <w:t>0.00</w:t>
            </w:r>
          </w:p>
        </w:tc>
        <w:tc>
          <w:tcPr>
            <w:tcW w:w="1526" w:type="dxa"/>
          </w:tcPr>
          <w:p>
            <w:pPr>
              <w:pStyle w:val="TableParagraph"/>
              <w:spacing w:line="142" w:lineRule="exact" w:before="107"/>
              <w:ind w:left="616"/>
              <w:rPr>
                <w:sz w:val="14"/>
              </w:rPr>
            </w:pPr>
            <w:r>
              <w:rPr>
                <w:w w:val="105"/>
                <w:sz w:val="14"/>
              </w:rPr>
              <w:t>0.00</w:t>
            </w:r>
          </w:p>
        </w:tc>
        <w:tc>
          <w:tcPr>
            <w:tcW w:w="1007" w:type="dxa"/>
          </w:tcPr>
          <w:p>
            <w:pPr>
              <w:pStyle w:val="TableParagraph"/>
              <w:spacing w:line="142" w:lineRule="exact" w:before="107"/>
              <w:ind w:right="47"/>
              <w:jc w:val="right"/>
              <w:rPr>
                <w:sz w:val="14"/>
              </w:rPr>
            </w:pPr>
            <w:r>
              <w:rPr>
                <w:sz w:val="14"/>
              </w:rPr>
              <w:t>0.0%</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2"/>
        </w:rPr>
      </w:pPr>
    </w:p>
    <w:tbl>
      <w:tblPr>
        <w:tblW w:w="0" w:type="auto"/>
        <w:jc w:val="left"/>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97"/>
        <w:gridCol w:w="2001"/>
        <w:gridCol w:w="2054"/>
        <w:gridCol w:w="969"/>
        <w:gridCol w:w="1564"/>
      </w:tblGrid>
      <w:tr>
        <w:trPr>
          <w:trHeight w:val="357" w:hRule="atLeast"/>
        </w:trPr>
        <w:tc>
          <w:tcPr>
            <w:tcW w:w="4197" w:type="dxa"/>
          </w:tcPr>
          <w:p>
            <w:pPr>
              <w:pStyle w:val="TableParagraph"/>
              <w:spacing w:line="160" w:lineRule="exact"/>
              <w:ind w:left="294"/>
              <w:rPr>
                <w:sz w:val="14"/>
              </w:rPr>
            </w:pPr>
            <w:r>
              <w:rPr>
                <w:w w:val="105"/>
                <w:sz w:val="14"/>
              </w:rPr>
              <w:t>Transfers from Funds of</w:t>
            </w:r>
          </w:p>
          <w:p>
            <w:pPr>
              <w:pStyle w:val="TableParagraph"/>
              <w:spacing w:line="142" w:lineRule="exact" w:before="36"/>
              <w:ind w:left="334"/>
              <w:rPr>
                <w:sz w:val="14"/>
              </w:rPr>
            </w:pPr>
            <w:r>
              <w:rPr>
                <w:w w:val="105"/>
                <w:sz w:val="14"/>
              </w:rPr>
              <w:t>Lapsed/Reorganized LEAs</w:t>
            </w:r>
          </w:p>
        </w:tc>
        <w:tc>
          <w:tcPr>
            <w:tcW w:w="2001" w:type="dxa"/>
          </w:tcPr>
          <w:p>
            <w:pPr>
              <w:pStyle w:val="TableParagraph"/>
              <w:rPr>
                <w:sz w:val="17"/>
              </w:rPr>
            </w:pPr>
          </w:p>
          <w:p>
            <w:pPr>
              <w:pStyle w:val="TableParagraph"/>
              <w:spacing w:line="142" w:lineRule="exact"/>
              <w:ind w:right="323"/>
              <w:jc w:val="right"/>
              <w:rPr>
                <w:sz w:val="14"/>
              </w:rPr>
            </w:pPr>
            <w:r>
              <w:rPr>
                <w:sz w:val="14"/>
              </w:rPr>
              <w:t>8965</w:t>
            </w:r>
          </w:p>
        </w:tc>
        <w:tc>
          <w:tcPr>
            <w:tcW w:w="2054" w:type="dxa"/>
          </w:tcPr>
          <w:p>
            <w:pPr>
              <w:pStyle w:val="TableParagraph"/>
              <w:rPr>
                <w:sz w:val="17"/>
              </w:rPr>
            </w:pPr>
          </w:p>
          <w:p>
            <w:pPr>
              <w:pStyle w:val="TableParagraph"/>
              <w:spacing w:line="142" w:lineRule="exact"/>
              <w:ind w:right="613"/>
              <w:jc w:val="right"/>
              <w:rPr>
                <w:sz w:val="14"/>
              </w:rPr>
            </w:pPr>
            <w:r>
              <w:rPr>
                <w:sz w:val="14"/>
              </w:rPr>
              <w:t>0.00</w:t>
            </w:r>
          </w:p>
        </w:tc>
        <w:tc>
          <w:tcPr>
            <w:tcW w:w="969" w:type="dxa"/>
          </w:tcPr>
          <w:p>
            <w:pPr>
              <w:pStyle w:val="TableParagraph"/>
              <w:rPr>
                <w:sz w:val="17"/>
              </w:rPr>
            </w:pPr>
          </w:p>
          <w:p>
            <w:pPr>
              <w:pStyle w:val="TableParagraph"/>
              <w:spacing w:line="142" w:lineRule="exact"/>
              <w:ind w:right="70"/>
              <w:jc w:val="right"/>
              <w:rPr>
                <w:sz w:val="14"/>
              </w:rPr>
            </w:pPr>
            <w:r>
              <w:rPr>
                <w:sz w:val="14"/>
              </w:rPr>
              <w:t>0.00</w:t>
            </w:r>
          </w:p>
        </w:tc>
        <w:tc>
          <w:tcPr>
            <w:tcW w:w="1564" w:type="dxa"/>
          </w:tcPr>
          <w:p>
            <w:pPr>
              <w:pStyle w:val="TableParagraph"/>
              <w:rPr>
                <w:sz w:val="17"/>
              </w:rPr>
            </w:pPr>
          </w:p>
          <w:p>
            <w:pPr>
              <w:pStyle w:val="TableParagraph"/>
              <w:spacing w:line="142" w:lineRule="exact"/>
              <w:ind w:right="45"/>
              <w:jc w:val="right"/>
              <w:rPr>
                <w:sz w:val="14"/>
              </w:rPr>
            </w:pPr>
            <w:r>
              <w:rPr>
                <w:sz w:val="14"/>
              </w:rPr>
              <w:t>0.0%</w:t>
            </w:r>
          </w:p>
        </w:tc>
      </w:tr>
      <w:tr>
        <w:trPr>
          <w:trHeight w:val="251" w:hRule="atLeast"/>
        </w:trPr>
        <w:tc>
          <w:tcPr>
            <w:tcW w:w="4197" w:type="dxa"/>
          </w:tcPr>
          <w:p>
            <w:pPr>
              <w:pStyle w:val="TableParagraph"/>
              <w:spacing w:line="142" w:lineRule="exact" w:before="90"/>
              <w:ind w:left="213"/>
              <w:rPr>
                <w:sz w:val="14"/>
              </w:rPr>
            </w:pPr>
            <w:r>
              <w:rPr>
                <w:w w:val="105"/>
                <w:sz w:val="14"/>
              </w:rPr>
              <w:t>Long-Term Debt Proceeds</w:t>
            </w:r>
          </w:p>
        </w:tc>
        <w:tc>
          <w:tcPr>
            <w:tcW w:w="2001" w:type="dxa"/>
          </w:tcPr>
          <w:p>
            <w:pPr>
              <w:pStyle w:val="TableParagraph"/>
              <w:rPr>
                <w:rFonts w:ascii="Times New Roman"/>
                <w:sz w:val="14"/>
              </w:rPr>
            </w:pPr>
          </w:p>
        </w:tc>
        <w:tc>
          <w:tcPr>
            <w:tcW w:w="2054" w:type="dxa"/>
          </w:tcPr>
          <w:p>
            <w:pPr>
              <w:pStyle w:val="TableParagraph"/>
              <w:rPr>
                <w:rFonts w:ascii="Times New Roman"/>
                <w:sz w:val="14"/>
              </w:rPr>
            </w:pPr>
          </w:p>
        </w:tc>
        <w:tc>
          <w:tcPr>
            <w:tcW w:w="969" w:type="dxa"/>
          </w:tcPr>
          <w:p>
            <w:pPr>
              <w:pStyle w:val="TableParagraph"/>
              <w:rPr>
                <w:rFonts w:ascii="Times New Roman"/>
                <w:sz w:val="14"/>
              </w:rPr>
            </w:pPr>
          </w:p>
        </w:tc>
        <w:tc>
          <w:tcPr>
            <w:tcW w:w="1564" w:type="dxa"/>
          </w:tcPr>
          <w:p>
            <w:pPr>
              <w:pStyle w:val="TableParagraph"/>
              <w:rPr>
                <w:rFonts w:ascii="Times New Roman"/>
                <w:sz w:val="14"/>
              </w:rPr>
            </w:pPr>
          </w:p>
        </w:tc>
      </w:tr>
      <w:tr>
        <w:trPr>
          <w:trHeight w:val="526" w:hRule="atLeast"/>
        </w:trPr>
        <w:tc>
          <w:tcPr>
            <w:tcW w:w="4197" w:type="dxa"/>
          </w:tcPr>
          <w:p>
            <w:pPr>
              <w:pStyle w:val="TableParagraph"/>
              <w:spacing w:line="292" w:lineRule="auto" w:before="61"/>
              <w:ind w:left="334" w:right="2068" w:hanging="40"/>
              <w:rPr>
                <w:sz w:val="14"/>
              </w:rPr>
            </w:pPr>
            <w:r>
              <w:rPr>
                <w:w w:val="105"/>
                <w:sz w:val="14"/>
              </w:rPr>
              <w:t>Proceeds from Certificates of Participation</w:t>
            </w:r>
          </w:p>
        </w:tc>
        <w:tc>
          <w:tcPr>
            <w:tcW w:w="2001" w:type="dxa"/>
          </w:tcPr>
          <w:p>
            <w:pPr>
              <w:pStyle w:val="TableParagraph"/>
              <w:spacing w:before="5"/>
              <w:rPr>
                <w:sz w:val="22"/>
              </w:rPr>
            </w:pPr>
          </w:p>
          <w:p>
            <w:pPr>
              <w:pStyle w:val="TableParagraph"/>
              <w:ind w:right="323"/>
              <w:jc w:val="right"/>
              <w:rPr>
                <w:sz w:val="14"/>
              </w:rPr>
            </w:pPr>
            <w:r>
              <w:rPr>
                <w:sz w:val="14"/>
              </w:rPr>
              <w:t>8971</w:t>
            </w:r>
          </w:p>
        </w:tc>
        <w:tc>
          <w:tcPr>
            <w:tcW w:w="2054" w:type="dxa"/>
          </w:tcPr>
          <w:p>
            <w:pPr>
              <w:pStyle w:val="TableParagraph"/>
              <w:spacing w:before="5"/>
              <w:rPr>
                <w:sz w:val="22"/>
              </w:rPr>
            </w:pPr>
          </w:p>
          <w:p>
            <w:pPr>
              <w:pStyle w:val="TableParagraph"/>
              <w:ind w:right="613"/>
              <w:jc w:val="right"/>
              <w:rPr>
                <w:sz w:val="14"/>
              </w:rPr>
            </w:pPr>
            <w:r>
              <w:rPr>
                <w:sz w:val="14"/>
              </w:rPr>
              <w:t>0.00</w:t>
            </w:r>
          </w:p>
        </w:tc>
        <w:tc>
          <w:tcPr>
            <w:tcW w:w="969" w:type="dxa"/>
          </w:tcPr>
          <w:p>
            <w:pPr>
              <w:pStyle w:val="TableParagraph"/>
              <w:spacing w:before="5"/>
              <w:rPr>
                <w:sz w:val="22"/>
              </w:rPr>
            </w:pPr>
          </w:p>
          <w:p>
            <w:pPr>
              <w:pStyle w:val="TableParagraph"/>
              <w:ind w:right="70"/>
              <w:jc w:val="right"/>
              <w:rPr>
                <w:sz w:val="14"/>
              </w:rPr>
            </w:pPr>
            <w:r>
              <w:rPr>
                <w:sz w:val="14"/>
              </w:rPr>
              <w:t>0.00</w:t>
            </w:r>
          </w:p>
        </w:tc>
        <w:tc>
          <w:tcPr>
            <w:tcW w:w="1564" w:type="dxa"/>
          </w:tcPr>
          <w:p>
            <w:pPr>
              <w:pStyle w:val="TableParagraph"/>
              <w:spacing w:before="5"/>
              <w:rPr>
                <w:sz w:val="22"/>
              </w:rPr>
            </w:pPr>
          </w:p>
          <w:p>
            <w:pPr>
              <w:pStyle w:val="TableParagraph"/>
              <w:ind w:right="45"/>
              <w:jc w:val="right"/>
              <w:rPr>
                <w:sz w:val="14"/>
              </w:rPr>
            </w:pPr>
            <w:r>
              <w:rPr>
                <w:sz w:val="14"/>
              </w:rPr>
              <w:t>0.0%</w:t>
            </w:r>
          </w:p>
        </w:tc>
      </w:tr>
      <w:tr>
        <w:trPr>
          <w:trHeight w:val="374" w:hRule="atLeast"/>
        </w:trPr>
        <w:tc>
          <w:tcPr>
            <w:tcW w:w="4197" w:type="dxa"/>
          </w:tcPr>
          <w:p>
            <w:pPr>
              <w:pStyle w:val="TableParagraph"/>
              <w:spacing w:before="105"/>
              <w:ind w:left="294"/>
              <w:rPr>
                <w:sz w:val="14"/>
              </w:rPr>
            </w:pPr>
            <w:r>
              <w:rPr>
                <w:w w:val="105"/>
                <w:sz w:val="14"/>
              </w:rPr>
              <w:t>Proceeds from Leases</w:t>
            </w:r>
          </w:p>
        </w:tc>
        <w:tc>
          <w:tcPr>
            <w:tcW w:w="2001" w:type="dxa"/>
          </w:tcPr>
          <w:p>
            <w:pPr>
              <w:pStyle w:val="TableParagraph"/>
              <w:spacing w:before="105"/>
              <w:ind w:right="323"/>
              <w:jc w:val="right"/>
              <w:rPr>
                <w:sz w:val="14"/>
              </w:rPr>
            </w:pPr>
            <w:r>
              <w:rPr>
                <w:sz w:val="14"/>
              </w:rPr>
              <w:t>8972</w:t>
            </w:r>
          </w:p>
        </w:tc>
        <w:tc>
          <w:tcPr>
            <w:tcW w:w="2054" w:type="dxa"/>
          </w:tcPr>
          <w:p>
            <w:pPr>
              <w:pStyle w:val="TableParagraph"/>
              <w:spacing w:before="105"/>
              <w:ind w:right="613"/>
              <w:jc w:val="right"/>
              <w:rPr>
                <w:sz w:val="14"/>
              </w:rPr>
            </w:pPr>
            <w:r>
              <w:rPr>
                <w:sz w:val="14"/>
              </w:rPr>
              <w:t>0.00</w:t>
            </w:r>
          </w:p>
        </w:tc>
        <w:tc>
          <w:tcPr>
            <w:tcW w:w="969" w:type="dxa"/>
          </w:tcPr>
          <w:p>
            <w:pPr>
              <w:pStyle w:val="TableParagraph"/>
              <w:spacing w:before="105"/>
              <w:ind w:right="70"/>
              <w:jc w:val="right"/>
              <w:rPr>
                <w:sz w:val="14"/>
              </w:rPr>
            </w:pPr>
            <w:r>
              <w:rPr>
                <w:sz w:val="14"/>
              </w:rPr>
              <w:t>0.00</w:t>
            </w:r>
          </w:p>
        </w:tc>
        <w:tc>
          <w:tcPr>
            <w:tcW w:w="1564" w:type="dxa"/>
          </w:tcPr>
          <w:p>
            <w:pPr>
              <w:pStyle w:val="TableParagraph"/>
              <w:spacing w:before="105"/>
              <w:ind w:right="45"/>
              <w:jc w:val="right"/>
              <w:rPr>
                <w:sz w:val="14"/>
              </w:rPr>
            </w:pPr>
            <w:r>
              <w:rPr>
                <w:sz w:val="14"/>
              </w:rPr>
              <w:t>0.0%</w:t>
            </w:r>
          </w:p>
        </w:tc>
      </w:tr>
      <w:tr>
        <w:trPr>
          <w:trHeight w:val="374" w:hRule="atLeast"/>
        </w:trPr>
        <w:tc>
          <w:tcPr>
            <w:tcW w:w="4197" w:type="dxa"/>
          </w:tcPr>
          <w:p>
            <w:pPr>
              <w:pStyle w:val="TableParagraph"/>
              <w:spacing w:before="105"/>
              <w:ind w:left="213"/>
              <w:rPr>
                <w:sz w:val="14"/>
              </w:rPr>
            </w:pPr>
            <w:r>
              <w:rPr>
                <w:w w:val="105"/>
                <w:sz w:val="14"/>
              </w:rPr>
              <w:t>All Other Financing Sources</w:t>
            </w:r>
          </w:p>
        </w:tc>
        <w:tc>
          <w:tcPr>
            <w:tcW w:w="2001" w:type="dxa"/>
          </w:tcPr>
          <w:p>
            <w:pPr>
              <w:pStyle w:val="TableParagraph"/>
              <w:spacing w:before="105"/>
              <w:ind w:right="323"/>
              <w:jc w:val="right"/>
              <w:rPr>
                <w:sz w:val="14"/>
              </w:rPr>
            </w:pPr>
            <w:r>
              <w:rPr>
                <w:sz w:val="14"/>
              </w:rPr>
              <w:t>8979</w:t>
            </w:r>
          </w:p>
        </w:tc>
        <w:tc>
          <w:tcPr>
            <w:tcW w:w="2054" w:type="dxa"/>
          </w:tcPr>
          <w:p>
            <w:pPr>
              <w:pStyle w:val="TableParagraph"/>
              <w:spacing w:before="105"/>
              <w:ind w:right="613"/>
              <w:jc w:val="right"/>
              <w:rPr>
                <w:sz w:val="14"/>
              </w:rPr>
            </w:pPr>
            <w:r>
              <w:rPr>
                <w:sz w:val="14"/>
              </w:rPr>
              <w:t>0.00</w:t>
            </w:r>
          </w:p>
        </w:tc>
        <w:tc>
          <w:tcPr>
            <w:tcW w:w="969" w:type="dxa"/>
          </w:tcPr>
          <w:p>
            <w:pPr>
              <w:pStyle w:val="TableParagraph"/>
              <w:spacing w:before="105"/>
              <w:ind w:right="70"/>
              <w:jc w:val="right"/>
              <w:rPr>
                <w:sz w:val="14"/>
              </w:rPr>
            </w:pPr>
            <w:r>
              <w:rPr>
                <w:sz w:val="14"/>
              </w:rPr>
              <w:t>0.00</w:t>
            </w:r>
          </w:p>
        </w:tc>
        <w:tc>
          <w:tcPr>
            <w:tcW w:w="1564" w:type="dxa"/>
          </w:tcPr>
          <w:p>
            <w:pPr>
              <w:pStyle w:val="TableParagraph"/>
              <w:spacing w:before="105"/>
              <w:ind w:right="45"/>
              <w:jc w:val="right"/>
              <w:rPr>
                <w:sz w:val="14"/>
              </w:rPr>
            </w:pPr>
            <w:r>
              <w:rPr>
                <w:sz w:val="14"/>
              </w:rPr>
              <w:t>0.0%</w:t>
            </w:r>
          </w:p>
        </w:tc>
      </w:tr>
      <w:tr>
        <w:trPr>
          <w:trHeight w:val="325" w:hRule="atLeast"/>
        </w:trPr>
        <w:tc>
          <w:tcPr>
            <w:tcW w:w="4197" w:type="dxa"/>
          </w:tcPr>
          <w:p>
            <w:pPr>
              <w:pStyle w:val="TableParagraph"/>
              <w:spacing w:before="105"/>
              <w:ind w:left="131"/>
              <w:rPr>
                <w:sz w:val="14"/>
              </w:rPr>
            </w:pPr>
            <w:r>
              <w:rPr>
                <w:w w:val="105"/>
                <w:sz w:val="14"/>
              </w:rPr>
              <w:t>(c) TOTAL, SOURCES</w:t>
            </w:r>
          </w:p>
        </w:tc>
        <w:tc>
          <w:tcPr>
            <w:tcW w:w="2001" w:type="dxa"/>
          </w:tcPr>
          <w:p>
            <w:pPr>
              <w:pStyle w:val="TableParagraph"/>
              <w:rPr>
                <w:rFonts w:ascii="Times New Roman"/>
                <w:sz w:val="14"/>
              </w:rPr>
            </w:pPr>
          </w:p>
        </w:tc>
        <w:tc>
          <w:tcPr>
            <w:tcW w:w="2054" w:type="dxa"/>
          </w:tcPr>
          <w:p>
            <w:pPr>
              <w:pStyle w:val="TableParagraph"/>
              <w:spacing w:before="105"/>
              <w:ind w:right="613"/>
              <w:jc w:val="right"/>
              <w:rPr>
                <w:sz w:val="14"/>
              </w:rPr>
            </w:pPr>
            <w:r>
              <w:rPr>
                <w:sz w:val="14"/>
              </w:rPr>
              <w:t>0.00</w:t>
            </w:r>
          </w:p>
        </w:tc>
        <w:tc>
          <w:tcPr>
            <w:tcW w:w="969" w:type="dxa"/>
          </w:tcPr>
          <w:p>
            <w:pPr>
              <w:pStyle w:val="TableParagraph"/>
              <w:spacing w:before="105"/>
              <w:ind w:right="70"/>
              <w:jc w:val="right"/>
              <w:rPr>
                <w:sz w:val="14"/>
              </w:rPr>
            </w:pPr>
            <w:r>
              <w:rPr>
                <w:sz w:val="14"/>
              </w:rPr>
              <w:t>0.00</w:t>
            </w:r>
          </w:p>
        </w:tc>
        <w:tc>
          <w:tcPr>
            <w:tcW w:w="1564" w:type="dxa"/>
          </w:tcPr>
          <w:p>
            <w:pPr>
              <w:pStyle w:val="TableParagraph"/>
              <w:spacing w:before="105"/>
              <w:ind w:right="45"/>
              <w:jc w:val="right"/>
              <w:rPr>
                <w:sz w:val="14"/>
              </w:rPr>
            </w:pPr>
            <w:r>
              <w:rPr>
                <w:sz w:val="14"/>
              </w:rPr>
              <w:t>0.0%</w:t>
            </w:r>
          </w:p>
        </w:tc>
      </w:tr>
      <w:tr>
        <w:trPr>
          <w:trHeight w:val="411" w:hRule="atLeast"/>
        </w:trPr>
        <w:tc>
          <w:tcPr>
            <w:tcW w:w="4197" w:type="dxa"/>
          </w:tcPr>
          <w:p>
            <w:pPr>
              <w:pStyle w:val="TableParagraph"/>
              <w:spacing w:before="56"/>
              <w:ind w:left="131"/>
              <w:rPr>
                <w:b/>
                <w:sz w:val="14"/>
              </w:rPr>
            </w:pPr>
            <w:r>
              <w:rPr>
                <w:b/>
                <w:w w:val="105"/>
                <w:sz w:val="14"/>
              </w:rPr>
              <w:t>USES</w:t>
            </w:r>
          </w:p>
        </w:tc>
        <w:tc>
          <w:tcPr>
            <w:tcW w:w="2001" w:type="dxa"/>
          </w:tcPr>
          <w:p>
            <w:pPr>
              <w:pStyle w:val="TableParagraph"/>
              <w:rPr>
                <w:rFonts w:ascii="Times New Roman"/>
                <w:sz w:val="14"/>
              </w:rPr>
            </w:pPr>
          </w:p>
        </w:tc>
        <w:tc>
          <w:tcPr>
            <w:tcW w:w="2054" w:type="dxa"/>
          </w:tcPr>
          <w:p>
            <w:pPr>
              <w:pStyle w:val="TableParagraph"/>
              <w:rPr>
                <w:rFonts w:ascii="Times New Roman"/>
                <w:sz w:val="14"/>
              </w:rPr>
            </w:pPr>
          </w:p>
        </w:tc>
        <w:tc>
          <w:tcPr>
            <w:tcW w:w="969" w:type="dxa"/>
          </w:tcPr>
          <w:p>
            <w:pPr>
              <w:pStyle w:val="TableParagraph"/>
              <w:rPr>
                <w:rFonts w:ascii="Times New Roman"/>
                <w:sz w:val="14"/>
              </w:rPr>
            </w:pPr>
          </w:p>
        </w:tc>
        <w:tc>
          <w:tcPr>
            <w:tcW w:w="1564" w:type="dxa"/>
          </w:tcPr>
          <w:p>
            <w:pPr>
              <w:pStyle w:val="TableParagraph"/>
              <w:rPr>
                <w:rFonts w:ascii="Times New Roman"/>
                <w:sz w:val="14"/>
              </w:rPr>
            </w:pPr>
          </w:p>
        </w:tc>
      </w:tr>
      <w:tr>
        <w:trPr>
          <w:trHeight w:val="658" w:hRule="atLeast"/>
        </w:trPr>
        <w:tc>
          <w:tcPr>
            <w:tcW w:w="4197" w:type="dxa"/>
          </w:tcPr>
          <w:p>
            <w:pPr>
              <w:pStyle w:val="TableParagraph"/>
              <w:spacing w:before="8"/>
              <w:rPr>
                <w:sz w:val="16"/>
              </w:rPr>
            </w:pPr>
          </w:p>
          <w:p>
            <w:pPr>
              <w:pStyle w:val="TableParagraph"/>
              <w:spacing w:line="292" w:lineRule="auto"/>
              <w:ind w:left="253" w:right="2068" w:hanging="40"/>
              <w:rPr>
                <w:sz w:val="14"/>
              </w:rPr>
            </w:pPr>
            <w:r>
              <w:rPr>
                <w:w w:val="105"/>
                <w:sz w:val="14"/>
              </w:rPr>
              <w:t>Transfers of Funds from </w:t>
            </w:r>
            <w:r>
              <w:rPr>
                <w:sz w:val="14"/>
              </w:rPr>
              <w:t>Lapsed/Reorganized LEAs</w:t>
            </w:r>
          </w:p>
        </w:tc>
        <w:tc>
          <w:tcPr>
            <w:tcW w:w="2001" w:type="dxa"/>
          </w:tcPr>
          <w:p>
            <w:pPr>
              <w:pStyle w:val="TableParagraph"/>
              <w:rPr>
                <w:sz w:val="16"/>
              </w:rPr>
            </w:pPr>
          </w:p>
          <w:p>
            <w:pPr>
              <w:pStyle w:val="TableParagraph"/>
              <w:spacing w:before="9"/>
              <w:rPr>
                <w:sz w:val="17"/>
              </w:rPr>
            </w:pPr>
          </w:p>
          <w:p>
            <w:pPr>
              <w:pStyle w:val="TableParagraph"/>
              <w:ind w:right="323"/>
              <w:jc w:val="right"/>
              <w:rPr>
                <w:sz w:val="14"/>
              </w:rPr>
            </w:pPr>
            <w:r>
              <w:rPr>
                <w:sz w:val="14"/>
              </w:rPr>
              <w:t>7651</w:t>
            </w:r>
          </w:p>
        </w:tc>
        <w:tc>
          <w:tcPr>
            <w:tcW w:w="2054" w:type="dxa"/>
          </w:tcPr>
          <w:p>
            <w:pPr>
              <w:pStyle w:val="TableParagraph"/>
              <w:rPr>
                <w:sz w:val="16"/>
              </w:rPr>
            </w:pPr>
          </w:p>
          <w:p>
            <w:pPr>
              <w:pStyle w:val="TableParagraph"/>
              <w:spacing w:before="9"/>
              <w:rPr>
                <w:sz w:val="17"/>
              </w:rPr>
            </w:pPr>
          </w:p>
          <w:p>
            <w:pPr>
              <w:pStyle w:val="TableParagraph"/>
              <w:ind w:right="613"/>
              <w:jc w:val="right"/>
              <w:rPr>
                <w:sz w:val="14"/>
              </w:rPr>
            </w:pPr>
            <w:r>
              <w:rPr>
                <w:sz w:val="14"/>
              </w:rPr>
              <w:t>0.00</w:t>
            </w:r>
          </w:p>
        </w:tc>
        <w:tc>
          <w:tcPr>
            <w:tcW w:w="969" w:type="dxa"/>
          </w:tcPr>
          <w:p>
            <w:pPr>
              <w:pStyle w:val="TableParagraph"/>
              <w:rPr>
                <w:sz w:val="16"/>
              </w:rPr>
            </w:pPr>
          </w:p>
          <w:p>
            <w:pPr>
              <w:pStyle w:val="TableParagraph"/>
              <w:spacing w:before="9"/>
              <w:rPr>
                <w:sz w:val="17"/>
              </w:rPr>
            </w:pPr>
          </w:p>
          <w:p>
            <w:pPr>
              <w:pStyle w:val="TableParagraph"/>
              <w:ind w:right="70"/>
              <w:jc w:val="right"/>
              <w:rPr>
                <w:sz w:val="14"/>
              </w:rPr>
            </w:pPr>
            <w:r>
              <w:rPr>
                <w:sz w:val="14"/>
              </w:rPr>
              <w:t>0.00</w:t>
            </w:r>
          </w:p>
        </w:tc>
        <w:tc>
          <w:tcPr>
            <w:tcW w:w="1564" w:type="dxa"/>
          </w:tcPr>
          <w:p>
            <w:pPr>
              <w:pStyle w:val="TableParagraph"/>
              <w:rPr>
                <w:sz w:val="16"/>
              </w:rPr>
            </w:pPr>
          </w:p>
          <w:p>
            <w:pPr>
              <w:pStyle w:val="TableParagraph"/>
              <w:spacing w:before="9"/>
              <w:rPr>
                <w:sz w:val="17"/>
              </w:rPr>
            </w:pPr>
          </w:p>
          <w:p>
            <w:pPr>
              <w:pStyle w:val="TableParagraph"/>
              <w:ind w:right="45"/>
              <w:jc w:val="right"/>
              <w:rPr>
                <w:sz w:val="14"/>
              </w:rPr>
            </w:pPr>
            <w:r>
              <w:rPr>
                <w:sz w:val="14"/>
              </w:rPr>
              <w:t>0.0%</w:t>
            </w:r>
          </w:p>
        </w:tc>
      </w:tr>
      <w:tr>
        <w:trPr>
          <w:trHeight w:val="375" w:hRule="atLeast"/>
        </w:trPr>
        <w:tc>
          <w:tcPr>
            <w:tcW w:w="4197" w:type="dxa"/>
          </w:tcPr>
          <w:p>
            <w:pPr>
              <w:pStyle w:val="TableParagraph"/>
              <w:spacing w:before="107"/>
              <w:ind w:left="213"/>
              <w:rPr>
                <w:sz w:val="14"/>
              </w:rPr>
            </w:pPr>
            <w:r>
              <w:rPr>
                <w:w w:val="105"/>
                <w:sz w:val="14"/>
              </w:rPr>
              <w:t>All Other Financing Uses</w:t>
            </w:r>
          </w:p>
        </w:tc>
        <w:tc>
          <w:tcPr>
            <w:tcW w:w="2001" w:type="dxa"/>
          </w:tcPr>
          <w:p>
            <w:pPr>
              <w:pStyle w:val="TableParagraph"/>
              <w:spacing w:before="107"/>
              <w:ind w:right="323"/>
              <w:jc w:val="right"/>
              <w:rPr>
                <w:sz w:val="14"/>
              </w:rPr>
            </w:pPr>
            <w:r>
              <w:rPr>
                <w:sz w:val="14"/>
              </w:rPr>
              <w:t>7699</w:t>
            </w:r>
          </w:p>
        </w:tc>
        <w:tc>
          <w:tcPr>
            <w:tcW w:w="2054" w:type="dxa"/>
          </w:tcPr>
          <w:p>
            <w:pPr>
              <w:pStyle w:val="TableParagraph"/>
              <w:spacing w:before="107"/>
              <w:ind w:right="613"/>
              <w:jc w:val="right"/>
              <w:rPr>
                <w:sz w:val="14"/>
              </w:rPr>
            </w:pPr>
            <w:r>
              <w:rPr>
                <w:sz w:val="14"/>
              </w:rPr>
              <w:t>0.00</w:t>
            </w:r>
          </w:p>
        </w:tc>
        <w:tc>
          <w:tcPr>
            <w:tcW w:w="969" w:type="dxa"/>
          </w:tcPr>
          <w:p>
            <w:pPr>
              <w:pStyle w:val="TableParagraph"/>
              <w:spacing w:before="107"/>
              <w:ind w:right="70"/>
              <w:jc w:val="right"/>
              <w:rPr>
                <w:sz w:val="14"/>
              </w:rPr>
            </w:pPr>
            <w:r>
              <w:rPr>
                <w:sz w:val="14"/>
              </w:rPr>
              <w:t>0.00</w:t>
            </w:r>
          </w:p>
        </w:tc>
        <w:tc>
          <w:tcPr>
            <w:tcW w:w="1564" w:type="dxa"/>
          </w:tcPr>
          <w:p>
            <w:pPr>
              <w:pStyle w:val="TableParagraph"/>
              <w:spacing w:before="107"/>
              <w:ind w:right="45"/>
              <w:jc w:val="right"/>
              <w:rPr>
                <w:sz w:val="14"/>
              </w:rPr>
            </w:pPr>
            <w:r>
              <w:rPr>
                <w:sz w:val="14"/>
              </w:rPr>
              <w:t>0.0%</w:t>
            </w:r>
          </w:p>
        </w:tc>
      </w:tr>
      <w:tr>
        <w:trPr>
          <w:trHeight w:val="270" w:hRule="atLeast"/>
        </w:trPr>
        <w:tc>
          <w:tcPr>
            <w:tcW w:w="4197" w:type="dxa"/>
          </w:tcPr>
          <w:p>
            <w:pPr>
              <w:pStyle w:val="TableParagraph"/>
              <w:spacing w:line="145" w:lineRule="exact" w:before="105"/>
              <w:ind w:left="131"/>
              <w:rPr>
                <w:sz w:val="14"/>
              </w:rPr>
            </w:pPr>
            <w:r>
              <w:rPr>
                <w:w w:val="105"/>
                <w:sz w:val="14"/>
              </w:rPr>
              <w:t>(d) TOTAL, USES</w:t>
            </w:r>
          </w:p>
        </w:tc>
        <w:tc>
          <w:tcPr>
            <w:tcW w:w="2001" w:type="dxa"/>
          </w:tcPr>
          <w:p>
            <w:pPr>
              <w:pStyle w:val="TableParagraph"/>
              <w:rPr>
                <w:rFonts w:ascii="Times New Roman"/>
                <w:sz w:val="14"/>
              </w:rPr>
            </w:pPr>
          </w:p>
        </w:tc>
        <w:tc>
          <w:tcPr>
            <w:tcW w:w="2054" w:type="dxa"/>
          </w:tcPr>
          <w:p>
            <w:pPr>
              <w:pStyle w:val="TableParagraph"/>
              <w:spacing w:line="145" w:lineRule="exact" w:before="105"/>
              <w:ind w:right="613"/>
              <w:jc w:val="right"/>
              <w:rPr>
                <w:sz w:val="14"/>
              </w:rPr>
            </w:pPr>
            <w:r>
              <w:rPr>
                <w:sz w:val="14"/>
              </w:rPr>
              <w:t>0.00</w:t>
            </w:r>
          </w:p>
        </w:tc>
        <w:tc>
          <w:tcPr>
            <w:tcW w:w="969" w:type="dxa"/>
          </w:tcPr>
          <w:p>
            <w:pPr>
              <w:pStyle w:val="TableParagraph"/>
              <w:spacing w:line="145" w:lineRule="exact" w:before="105"/>
              <w:ind w:right="70"/>
              <w:jc w:val="right"/>
              <w:rPr>
                <w:sz w:val="14"/>
              </w:rPr>
            </w:pPr>
            <w:r>
              <w:rPr>
                <w:sz w:val="14"/>
              </w:rPr>
              <w:t>0.00</w:t>
            </w:r>
          </w:p>
        </w:tc>
        <w:tc>
          <w:tcPr>
            <w:tcW w:w="1564" w:type="dxa"/>
          </w:tcPr>
          <w:p>
            <w:pPr>
              <w:pStyle w:val="TableParagraph"/>
              <w:spacing w:line="145" w:lineRule="exact" w:before="105"/>
              <w:ind w:right="45"/>
              <w:jc w:val="right"/>
              <w:rPr>
                <w:sz w:val="14"/>
              </w:rPr>
            </w:pPr>
            <w:r>
              <w:rPr>
                <w:sz w:val="14"/>
              </w:rPr>
              <w:t>0.0%</w:t>
            </w:r>
          </w:p>
        </w:tc>
      </w:tr>
      <w:tr>
        <w:trPr>
          <w:trHeight w:val="376" w:hRule="atLeast"/>
        </w:trPr>
        <w:tc>
          <w:tcPr>
            <w:tcW w:w="4197" w:type="dxa"/>
          </w:tcPr>
          <w:p>
            <w:pPr>
              <w:pStyle w:val="TableParagraph"/>
              <w:spacing w:before="2"/>
              <w:rPr>
                <w:sz w:val="18"/>
              </w:rPr>
            </w:pPr>
          </w:p>
          <w:p>
            <w:pPr>
              <w:pStyle w:val="TableParagraph"/>
              <w:spacing w:line="147" w:lineRule="exact"/>
              <w:ind w:left="50"/>
              <w:rPr>
                <w:b/>
                <w:sz w:val="14"/>
              </w:rPr>
            </w:pPr>
            <w:r>
              <w:rPr>
                <w:b/>
                <w:w w:val="105"/>
                <w:sz w:val="14"/>
              </w:rPr>
              <w:t>CONTRIBUTIONS</w:t>
            </w:r>
          </w:p>
        </w:tc>
        <w:tc>
          <w:tcPr>
            <w:tcW w:w="2001" w:type="dxa"/>
          </w:tcPr>
          <w:p>
            <w:pPr>
              <w:pStyle w:val="TableParagraph"/>
              <w:rPr>
                <w:rFonts w:ascii="Times New Roman"/>
                <w:sz w:val="14"/>
              </w:rPr>
            </w:pPr>
          </w:p>
        </w:tc>
        <w:tc>
          <w:tcPr>
            <w:tcW w:w="2054" w:type="dxa"/>
          </w:tcPr>
          <w:p>
            <w:pPr>
              <w:pStyle w:val="TableParagraph"/>
              <w:rPr>
                <w:rFonts w:ascii="Times New Roman"/>
                <w:sz w:val="14"/>
              </w:rPr>
            </w:pPr>
          </w:p>
        </w:tc>
        <w:tc>
          <w:tcPr>
            <w:tcW w:w="969" w:type="dxa"/>
          </w:tcPr>
          <w:p>
            <w:pPr>
              <w:pStyle w:val="TableParagraph"/>
              <w:rPr>
                <w:rFonts w:ascii="Times New Roman"/>
                <w:sz w:val="14"/>
              </w:rPr>
            </w:pPr>
          </w:p>
        </w:tc>
        <w:tc>
          <w:tcPr>
            <w:tcW w:w="1564" w:type="dxa"/>
            <w:shd w:val="clear" w:color="auto" w:fill="DFDFDF"/>
          </w:tcPr>
          <w:p>
            <w:pPr>
              <w:pStyle w:val="TableParagraph"/>
              <w:rPr>
                <w:rFonts w:ascii="Times New Roman"/>
                <w:sz w:val="14"/>
              </w:rPr>
            </w:pPr>
          </w:p>
        </w:tc>
      </w:tr>
      <w:tr>
        <w:trPr>
          <w:trHeight w:val="573" w:hRule="atLeast"/>
        </w:trPr>
        <w:tc>
          <w:tcPr>
            <w:tcW w:w="4197" w:type="dxa"/>
          </w:tcPr>
          <w:p>
            <w:pPr>
              <w:pStyle w:val="TableParagraph"/>
              <w:rPr>
                <w:sz w:val="16"/>
              </w:rPr>
            </w:pPr>
          </w:p>
          <w:p>
            <w:pPr>
              <w:pStyle w:val="TableParagraph"/>
              <w:spacing w:before="6"/>
              <w:rPr>
                <w:sz w:val="19"/>
              </w:rPr>
            </w:pPr>
          </w:p>
          <w:p>
            <w:pPr>
              <w:pStyle w:val="TableParagraph"/>
              <w:spacing w:line="145" w:lineRule="exact"/>
              <w:ind w:left="171"/>
              <w:rPr>
                <w:sz w:val="14"/>
              </w:rPr>
            </w:pPr>
            <w:r>
              <w:rPr>
                <w:w w:val="105"/>
                <w:sz w:val="14"/>
              </w:rPr>
              <w:t>Contributions from Unrestricted Revenues</w:t>
            </w:r>
          </w:p>
        </w:tc>
        <w:tc>
          <w:tcPr>
            <w:tcW w:w="2001" w:type="dxa"/>
          </w:tcPr>
          <w:p>
            <w:pPr>
              <w:pStyle w:val="TableParagraph"/>
              <w:rPr>
                <w:sz w:val="16"/>
              </w:rPr>
            </w:pPr>
          </w:p>
          <w:p>
            <w:pPr>
              <w:pStyle w:val="TableParagraph"/>
              <w:spacing w:before="6"/>
              <w:rPr>
                <w:sz w:val="19"/>
              </w:rPr>
            </w:pPr>
          </w:p>
          <w:p>
            <w:pPr>
              <w:pStyle w:val="TableParagraph"/>
              <w:spacing w:line="145" w:lineRule="exact"/>
              <w:ind w:right="323"/>
              <w:jc w:val="right"/>
              <w:rPr>
                <w:sz w:val="14"/>
              </w:rPr>
            </w:pPr>
            <w:r>
              <w:rPr>
                <w:sz w:val="14"/>
              </w:rPr>
              <w:t>8980</w:t>
            </w:r>
          </w:p>
        </w:tc>
        <w:tc>
          <w:tcPr>
            <w:tcW w:w="2054" w:type="dxa"/>
            <w:shd w:val="clear" w:color="auto" w:fill="DFDFDF"/>
          </w:tcPr>
          <w:p>
            <w:pPr>
              <w:pStyle w:val="TableParagraph"/>
              <w:rPr>
                <w:sz w:val="16"/>
              </w:rPr>
            </w:pPr>
          </w:p>
          <w:p>
            <w:pPr>
              <w:pStyle w:val="TableParagraph"/>
              <w:spacing w:before="6"/>
              <w:rPr>
                <w:sz w:val="19"/>
              </w:rPr>
            </w:pPr>
          </w:p>
          <w:p>
            <w:pPr>
              <w:pStyle w:val="TableParagraph"/>
              <w:spacing w:line="145" w:lineRule="exact"/>
              <w:ind w:right="613"/>
              <w:jc w:val="right"/>
              <w:rPr>
                <w:sz w:val="14"/>
              </w:rPr>
            </w:pPr>
            <w:r>
              <w:rPr>
                <w:sz w:val="14"/>
              </w:rPr>
              <w:t>0.00</w:t>
            </w:r>
          </w:p>
        </w:tc>
        <w:tc>
          <w:tcPr>
            <w:tcW w:w="969" w:type="dxa"/>
            <w:shd w:val="clear" w:color="auto" w:fill="DFDFDF"/>
          </w:tcPr>
          <w:p>
            <w:pPr>
              <w:pStyle w:val="TableParagraph"/>
              <w:rPr>
                <w:sz w:val="16"/>
              </w:rPr>
            </w:pPr>
          </w:p>
          <w:p>
            <w:pPr>
              <w:pStyle w:val="TableParagraph"/>
              <w:spacing w:before="6"/>
              <w:rPr>
                <w:sz w:val="19"/>
              </w:rPr>
            </w:pPr>
          </w:p>
          <w:p>
            <w:pPr>
              <w:pStyle w:val="TableParagraph"/>
              <w:spacing w:line="145" w:lineRule="exact"/>
              <w:ind w:right="70"/>
              <w:jc w:val="right"/>
              <w:rPr>
                <w:sz w:val="14"/>
              </w:rPr>
            </w:pPr>
            <w:r>
              <w:rPr>
                <w:sz w:val="14"/>
              </w:rPr>
              <w:t>0.00</w:t>
            </w:r>
          </w:p>
        </w:tc>
        <w:tc>
          <w:tcPr>
            <w:tcW w:w="1564" w:type="dxa"/>
            <w:shd w:val="clear" w:color="auto" w:fill="DFDFDF"/>
          </w:tcPr>
          <w:p>
            <w:pPr>
              <w:pStyle w:val="TableParagraph"/>
              <w:rPr>
                <w:sz w:val="16"/>
              </w:rPr>
            </w:pPr>
          </w:p>
          <w:p>
            <w:pPr>
              <w:pStyle w:val="TableParagraph"/>
              <w:spacing w:before="6"/>
              <w:rPr>
                <w:sz w:val="19"/>
              </w:rPr>
            </w:pPr>
          </w:p>
          <w:p>
            <w:pPr>
              <w:pStyle w:val="TableParagraph"/>
              <w:spacing w:line="145" w:lineRule="exact"/>
              <w:ind w:right="45"/>
              <w:jc w:val="right"/>
              <w:rPr>
                <w:sz w:val="14"/>
              </w:rPr>
            </w:pPr>
            <w:r>
              <w:rPr>
                <w:sz w:val="14"/>
              </w:rPr>
              <w:t>0.0%</w:t>
            </w:r>
          </w:p>
        </w:tc>
      </w:tr>
      <w:tr>
        <w:trPr>
          <w:trHeight w:val="374" w:hRule="atLeast"/>
        </w:trPr>
        <w:tc>
          <w:tcPr>
            <w:tcW w:w="4197" w:type="dxa"/>
          </w:tcPr>
          <w:p>
            <w:pPr>
              <w:pStyle w:val="TableParagraph"/>
              <w:spacing w:before="2"/>
              <w:rPr>
                <w:sz w:val="18"/>
              </w:rPr>
            </w:pPr>
          </w:p>
          <w:p>
            <w:pPr>
              <w:pStyle w:val="TableParagraph"/>
              <w:spacing w:line="145" w:lineRule="exact"/>
              <w:ind w:left="171"/>
              <w:rPr>
                <w:sz w:val="14"/>
              </w:rPr>
            </w:pPr>
            <w:r>
              <w:rPr>
                <w:w w:val="105"/>
                <w:sz w:val="14"/>
              </w:rPr>
              <w:t>Contributions from Restricted Revenues</w:t>
            </w:r>
          </w:p>
        </w:tc>
        <w:tc>
          <w:tcPr>
            <w:tcW w:w="2001" w:type="dxa"/>
          </w:tcPr>
          <w:p>
            <w:pPr>
              <w:pStyle w:val="TableParagraph"/>
              <w:spacing w:before="2"/>
              <w:rPr>
                <w:sz w:val="18"/>
              </w:rPr>
            </w:pPr>
          </w:p>
          <w:p>
            <w:pPr>
              <w:pStyle w:val="TableParagraph"/>
              <w:spacing w:line="145" w:lineRule="exact"/>
              <w:ind w:right="323"/>
              <w:jc w:val="right"/>
              <w:rPr>
                <w:sz w:val="14"/>
              </w:rPr>
            </w:pPr>
            <w:r>
              <w:rPr>
                <w:sz w:val="14"/>
              </w:rPr>
              <w:t>8990</w:t>
            </w:r>
          </w:p>
        </w:tc>
        <w:tc>
          <w:tcPr>
            <w:tcW w:w="2054" w:type="dxa"/>
            <w:shd w:val="clear" w:color="auto" w:fill="DFDFDF"/>
          </w:tcPr>
          <w:p>
            <w:pPr>
              <w:pStyle w:val="TableParagraph"/>
              <w:spacing w:before="2"/>
              <w:rPr>
                <w:sz w:val="18"/>
              </w:rPr>
            </w:pPr>
          </w:p>
          <w:p>
            <w:pPr>
              <w:pStyle w:val="TableParagraph"/>
              <w:spacing w:line="145" w:lineRule="exact"/>
              <w:ind w:right="613"/>
              <w:jc w:val="right"/>
              <w:rPr>
                <w:sz w:val="14"/>
              </w:rPr>
            </w:pPr>
            <w:r>
              <w:rPr>
                <w:sz w:val="14"/>
              </w:rPr>
              <w:t>0.00</w:t>
            </w:r>
          </w:p>
        </w:tc>
        <w:tc>
          <w:tcPr>
            <w:tcW w:w="969" w:type="dxa"/>
            <w:shd w:val="clear" w:color="auto" w:fill="DFDFDF"/>
          </w:tcPr>
          <w:p>
            <w:pPr>
              <w:pStyle w:val="TableParagraph"/>
              <w:spacing w:before="2"/>
              <w:rPr>
                <w:sz w:val="18"/>
              </w:rPr>
            </w:pPr>
          </w:p>
          <w:p>
            <w:pPr>
              <w:pStyle w:val="TableParagraph"/>
              <w:spacing w:line="145" w:lineRule="exact"/>
              <w:ind w:right="70"/>
              <w:jc w:val="right"/>
              <w:rPr>
                <w:sz w:val="14"/>
              </w:rPr>
            </w:pPr>
            <w:r>
              <w:rPr>
                <w:sz w:val="14"/>
              </w:rPr>
              <w:t>0.00</w:t>
            </w:r>
          </w:p>
        </w:tc>
        <w:tc>
          <w:tcPr>
            <w:tcW w:w="1564" w:type="dxa"/>
          </w:tcPr>
          <w:p>
            <w:pPr>
              <w:pStyle w:val="TableParagraph"/>
              <w:spacing w:before="2"/>
              <w:rPr>
                <w:sz w:val="18"/>
              </w:rPr>
            </w:pPr>
          </w:p>
          <w:p>
            <w:pPr>
              <w:pStyle w:val="TableParagraph"/>
              <w:spacing w:line="145" w:lineRule="exact"/>
              <w:ind w:right="45"/>
              <w:jc w:val="right"/>
              <w:rPr>
                <w:sz w:val="14"/>
              </w:rPr>
            </w:pPr>
            <w:r>
              <w:rPr>
                <w:sz w:val="14"/>
              </w:rPr>
              <w:t>0.0%</w:t>
            </w:r>
          </w:p>
        </w:tc>
      </w:tr>
      <w:tr>
        <w:trPr>
          <w:trHeight w:val="373" w:hRule="atLeast"/>
        </w:trPr>
        <w:tc>
          <w:tcPr>
            <w:tcW w:w="4197" w:type="dxa"/>
          </w:tcPr>
          <w:p>
            <w:pPr>
              <w:pStyle w:val="TableParagraph"/>
              <w:spacing w:before="4"/>
              <w:rPr>
                <w:sz w:val="18"/>
              </w:rPr>
            </w:pPr>
          </w:p>
          <w:p>
            <w:pPr>
              <w:pStyle w:val="TableParagraph"/>
              <w:spacing w:line="142" w:lineRule="exact" w:before="1"/>
              <w:ind w:left="131"/>
              <w:rPr>
                <w:sz w:val="14"/>
              </w:rPr>
            </w:pPr>
            <w:r>
              <w:rPr>
                <w:w w:val="105"/>
                <w:sz w:val="14"/>
              </w:rPr>
              <w:t>(e) TOTAL, CONTRIBUTIONS</w:t>
            </w:r>
          </w:p>
        </w:tc>
        <w:tc>
          <w:tcPr>
            <w:tcW w:w="2001" w:type="dxa"/>
          </w:tcPr>
          <w:p>
            <w:pPr>
              <w:pStyle w:val="TableParagraph"/>
              <w:rPr>
                <w:rFonts w:ascii="Times New Roman"/>
                <w:sz w:val="14"/>
              </w:rPr>
            </w:pPr>
          </w:p>
        </w:tc>
        <w:tc>
          <w:tcPr>
            <w:tcW w:w="2054" w:type="dxa"/>
          </w:tcPr>
          <w:p>
            <w:pPr>
              <w:pStyle w:val="TableParagraph"/>
              <w:spacing w:before="4"/>
              <w:rPr>
                <w:sz w:val="18"/>
              </w:rPr>
            </w:pPr>
          </w:p>
          <w:p>
            <w:pPr>
              <w:pStyle w:val="TableParagraph"/>
              <w:spacing w:line="142" w:lineRule="exact" w:before="1"/>
              <w:ind w:right="613"/>
              <w:jc w:val="right"/>
              <w:rPr>
                <w:sz w:val="14"/>
              </w:rPr>
            </w:pPr>
            <w:r>
              <w:rPr>
                <w:sz w:val="14"/>
              </w:rPr>
              <w:t>0.00</w:t>
            </w:r>
          </w:p>
        </w:tc>
        <w:tc>
          <w:tcPr>
            <w:tcW w:w="969" w:type="dxa"/>
          </w:tcPr>
          <w:p>
            <w:pPr>
              <w:pStyle w:val="TableParagraph"/>
              <w:spacing w:before="4"/>
              <w:rPr>
                <w:sz w:val="18"/>
              </w:rPr>
            </w:pPr>
          </w:p>
          <w:p>
            <w:pPr>
              <w:pStyle w:val="TableParagraph"/>
              <w:spacing w:line="142" w:lineRule="exact" w:before="1"/>
              <w:ind w:right="70"/>
              <w:jc w:val="right"/>
              <w:rPr>
                <w:sz w:val="14"/>
              </w:rPr>
            </w:pPr>
            <w:r>
              <w:rPr>
                <w:sz w:val="14"/>
              </w:rPr>
              <w:t>0.00</w:t>
            </w:r>
          </w:p>
        </w:tc>
        <w:tc>
          <w:tcPr>
            <w:tcW w:w="1564" w:type="dxa"/>
          </w:tcPr>
          <w:p>
            <w:pPr>
              <w:pStyle w:val="TableParagraph"/>
              <w:spacing w:before="4"/>
              <w:rPr>
                <w:sz w:val="18"/>
              </w:rPr>
            </w:pPr>
          </w:p>
          <w:p>
            <w:pPr>
              <w:pStyle w:val="TableParagraph"/>
              <w:spacing w:line="142" w:lineRule="exact" w:before="1"/>
              <w:ind w:right="45"/>
              <w:jc w:val="right"/>
              <w:rPr>
                <w:sz w:val="14"/>
              </w:rPr>
            </w:pPr>
            <w:r>
              <w:rPr>
                <w:sz w:val="14"/>
              </w:rPr>
              <w:t>0.0%</w:t>
            </w:r>
          </w:p>
        </w:tc>
      </w:tr>
    </w:tbl>
    <w:p>
      <w:pPr>
        <w:spacing w:after="0" w:line="142" w:lineRule="exact"/>
        <w:jc w:val="right"/>
        <w:rPr>
          <w:sz w:val="14"/>
        </w:rPr>
        <w:sectPr>
          <w:type w:val="continuous"/>
          <w:pgSz w:w="12240" w:h="15840"/>
          <w:pgMar w:top="1500" w:bottom="840" w:left="160" w:right="180"/>
        </w:sectPr>
      </w:pPr>
    </w:p>
    <w:p>
      <w:pPr>
        <w:spacing w:before="0"/>
        <w:ind w:left="322" w:right="-8" w:firstLine="0"/>
        <w:jc w:val="left"/>
        <w:rPr>
          <w:sz w:val="18"/>
        </w:rPr>
      </w:pPr>
      <w:r>
        <w:rPr/>
        <w:pict>
          <v:group style="position:absolute;margin-left:27.120001pt;margin-top:37.241901pt;width:554.3pt;height:389.3pt;mso-position-horizontal-relative:page;mso-position-vertical-relative:paragraph;z-index:-314460160" coordorigin="542,745" coordsize="11086,7786">
            <v:shape style="position:absolute;left:542;top:744;width:3766;height:814" type="#_x0000_t75" stroked="false">
              <v:imagedata r:id="rId522" o:title=""/>
            </v:shape>
            <v:shape style="position:absolute;left:4300;top:744;width:7328;height:814" type="#_x0000_t75" stroked="false">
              <v:imagedata r:id="rId523" o:title=""/>
            </v:shape>
            <v:line style="position:absolute" from="1379,1549" to="1379,1928" stroked="true" strokeweight=".360003pt" strokecolor="#ffffff">
              <v:stroke dashstyle="solid"/>
            </v:line>
            <v:shape style="position:absolute;left:542;top:1544;width:3766;height:2909" type="#_x0000_t75" stroked="false">
              <v:imagedata r:id="rId524" o:title=""/>
            </v:shape>
            <v:shape style="position:absolute;left:6926;top:1536;width:1570;height:399" type="#_x0000_t75" stroked="false">
              <v:imagedata r:id="rId525" o:title=""/>
            </v:shape>
            <v:shape style="position:absolute;left:8488;top:1536;width:1570;height:399" type="#_x0000_t75" stroked="false">
              <v:imagedata r:id="rId525" o:title=""/>
            </v:shape>
            <v:shape style="position:absolute;left:6926;top:1930;width:1570;height:596" type="#_x0000_t75" stroked="false">
              <v:imagedata r:id="rId671" o:title=""/>
            </v:shape>
            <v:shape style="position:absolute;left:8488;top:1930;width:1570;height:596" type="#_x0000_t75" stroked="false">
              <v:imagedata r:id="rId671" o:title=""/>
            </v:shape>
            <v:shape style="position:absolute;left:6926;top:1536;width:4702;height:1376" type="#_x0000_t75" stroked="false">
              <v:imagedata r:id="rId672" o:title=""/>
            </v:shape>
            <v:shape style="position:absolute;left:6926;top:2518;width:4702;height:780" type="#_x0000_t75" stroked="false">
              <v:imagedata r:id="rId673" o:title=""/>
            </v:shape>
            <v:shape style="position:absolute;left:6926;top:2904;width:4702;height:780" type="#_x0000_t75" stroked="false">
              <v:imagedata r:id="rId530" o:title=""/>
            </v:shape>
            <v:shape style="position:absolute;left:4300;top:3291;width:7328;height:1755" type="#_x0000_t75" stroked="false">
              <v:imagedata r:id="rId674" o:title=""/>
            </v:shape>
            <v:shape style="position:absolute;left:6926;top:4652;width:4702;height:780" type="#_x0000_t75" stroked="false">
              <v:imagedata r:id="rId675" o:title=""/>
            </v:shape>
            <v:shape style="position:absolute;left:542;top:4450;width:3766;height:4080" type="#_x0000_t75" stroked="false">
              <v:imagedata r:id="rId537" o:title=""/>
            </v:shape>
            <v:shape style="position:absolute;left:583;top:4286;width:2758;height:164" type="#_x0000_t202" filled="false" stroked="false">
              <v:textbox inset="0,0,0,0">
                <w:txbxContent>
                  <w:p>
                    <w:pPr>
                      <w:spacing w:before="1"/>
                      <w:ind w:left="0" w:right="0" w:firstLine="0"/>
                      <w:jc w:val="left"/>
                      <w:rPr>
                        <w:b/>
                        <w:sz w:val="14"/>
                      </w:rPr>
                    </w:pPr>
                    <w:r>
                      <w:rPr>
                        <w:b/>
                        <w:w w:val="105"/>
                        <w:sz w:val="14"/>
                      </w:rPr>
                      <w:t>B. EXPENDITURES (Objects 1000-7999)</w:t>
                    </w:r>
                  </w:p>
                </w:txbxContent>
              </v:textbox>
              <w10:wrap type="none"/>
            </v:shape>
            <w10:wrap type="none"/>
          </v:group>
        </w:pict>
      </w:r>
      <w:r>
        <w:rPr>
          <w:w w:val="105"/>
          <w:sz w:val="18"/>
        </w:rPr>
        <w:t>Winship-Robbins Elementary Sutter County</w:t>
      </w:r>
    </w:p>
    <w:p>
      <w:pPr>
        <w:spacing w:before="0"/>
        <w:ind w:left="322" w:right="-14" w:firstLine="26"/>
        <w:jc w:val="left"/>
        <w:rPr>
          <w:sz w:val="18"/>
        </w:rPr>
      </w:pPr>
      <w:r>
        <w:rPr/>
        <w:br w:type="column"/>
      </w:r>
      <w:r>
        <w:rPr>
          <w:w w:val="105"/>
          <w:sz w:val="18"/>
        </w:rPr>
        <w:t>Child Development Fund Expenditures by Function</w:t>
      </w:r>
    </w:p>
    <w:p>
      <w:pPr>
        <w:spacing w:before="0"/>
        <w:ind w:left="0" w:right="300" w:firstLine="0"/>
        <w:jc w:val="right"/>
        <w:rPr>
          <w:sz w:val="18"/>
        </w:rPr>
      </w:pPr>
      <w:r>
        <w:rPr/>
        <w:br w:type="column"/>
      </w:r>
      <w:r>
        <w:rPr>
          <w:w w:val="105"/>
          <w:sz w:val="18"/>
        </w:rPr>
        <w:t>51 71456</w:t>
      </w:r>
      <w:r>
        <w:rPr>
          <w:spacing w:val="-33"/>
          <w:w w:val="105"/>
          <w:sz w:val="18"/>
        </w:rPr>
        <w:t> </w:t>
      </w:r>
      <w:r>
        <w:rPr>
          <w:w w:val="105"/>
          <w:sz w:val="18"/>
        </w:rPr>
        <w:t>0000000</w:t>
      </w:r>
    </w:p>
    <w:p>
      <w:pPr>
        <w:spacing w:before="2"/>
        <w:ind w:left="0" w:right="299" w:firstLine="0"/>
        <w:jc w:val="right"/>
        <w:rPr>
          <w:sz w:val="18"/>
        </w:rPr>
      </w:pPr>
      <w:r>
        <w:rPr>
          <w:w w:val="105"/>
          <w:sz w:val="18"/>
        </w:rPr>
        <w:t>Form</w:t>
      </w:r>
      <w:r>
        <w:rPr>
          <w:spacing w:val="43"/>
          <w:w w:val="105"/>
          <w:sz w:val="18"/>
        </w:rPr>
        <w:t> </w:t>
      </w:r>
      <w:r>
        <w:rPr>
          <w:w w:val="105"/>
          <w:sz w:val="18"/>
        </w:rPr>
        <w:t>12</w:t>
      </w:r>
    </w:p>
    <w:p>
      <w:pPr>
        <w:spacing w:after="0"/>
        <w:jc w:val="right"/>
        <w:rPr>
          <w:sz w:val="18"/>
        </w:rPr>
        <w:sectPr>
          <w:headerReference w:type="default" r:id="rId669"/>
          <w:footerReference w:type="default" r:id="rId670"/>
          <w:pgSz w:w="12240" w:h="15840"/>
          <w:pgMar w:header="673" w:footer="451" w:top="880" w:bottom="640" w:left="160" w:right="180"/>
          <w:cols w:num="3" w:equalWidth="0">
            <w:col w:w="2771" w:space="1816"/>
            <w:col w:w="2461" w:space="2676"/>
            <w:col w:w="2176"/>
          </w:cols>
        </w:sectPr>
      </w:pPr>
    </w:p>
    <w:p>
      <w:pPr>
        <w:pStyle w:val="BodyText"/>
        <w:rPr>
          <w:sz w:val="20"/>
        </w:rPr>
      </w:pPr>
      <w:r>
        <w:rPr/>
        <w:pict>
          <v:group style="position:absolute;margin-left:27.120001pt;margin-top:296.040009pt;width:554.3pt;height:370.35pt;mso-position-horizontal-relative:page;mso-position-vertical-relative:page;z-index:-314459136" coordorigin="542,5921" coordsize="11086,7407">
            <v:shape style="position:absolute;left:8488;top:5920;width:3140;height:776" type="#_x0000_t75" stroked="false">
              <v:imagedata r:id="rId676" o:title=""/>
            </v:shape>
            <v:shape style="position:absolute;left:8488;top:6307;width:3140;height:780" type="#_x0000_t75" stroked="false">
              <v:imagedata r:id="rId528" o:title=""/>
            </v:shape>
            <v:shape style="position:absolute;left:6926;top:6307;width:1570;height:780" type="#_x0000_t75" stroked="false">
              <v:imagedata r:id="rId677" o:title=""/>
            </v:shape>
            <v:shape style="position:absolute;left:6926;top:6693;width:4702;height:1167" type="#_x0000_t75" stroked="false">
              <v:imagedata r:id="rId678" o:title=""/>
            </v:shape>
            <v:shape style="position:absolute;left:6926;top:7466;width:4702;height:780" type="#_x0000_t75" stroked="false">
              <v:imagedata r:id="rId679" o:title=""/>
            </v:shape>
            <v:shape style="position:absolute;left:6926;top:7852;width:4702;height:780" type="#_x0000_t75" stroked="false">
              <v:imagedata r:id="rId679" o:title=""/>
            </v:shape>
            <v:shape style="position:absolute;left:6926;top:8239;width:4702;height:780" type="#_x0000_t75" stroked="false">
              <v:imagedata r:id="rId679" o:title=""/>
            </v:shape>
            <v:shape style="position:absolute;left:4300;top:8625;width:7328;height:788" type="#_x0000_t75" stroked="false">
              <v:imagedata r:id="rId680" o:title=""/>
            </v:shape>
            <v:shape style="position:absolute;left:4300;top:9012;width:7328;height:1191" type="#_x0000_t75" stroked="false">
              <v:imagedata r:id="rId681" o:title=""/>
            </v:shape>
            <v:line style="position:absolute" from="1379,9403" to="1379,9782" stroked="true" strokeweight=".360003pt" strokecolor="#ffffff">
              <v:stroke dashstyle="solid"/>
            </v:line>
            <v:shape style="position:absolute;left:542;top:9398;width:3766;height:804" type="#_x0000_t75" stroked="false">
              <v:imagedata r:id="rId541" o:title=""/>
            </v:shape>
            <v:line style="position:absolute" from="1379,10193" to="1379,10572" stroked="true" strokeweight=".360003pt" strokecolor="#ffffff">
              <v:stroke dashstyle="solid"/>
            </v:line>
            <v:shape style="position:absolute;left:6926;top:9986;width:4702;height:1200" type="#_x0000_t75" stroked="false">
              <v:imagedata r:id="rId682" o:title=""/>
            </v:shape>
            <v:shape style="position:absolute;left:6926;top:10977;width:4702;height:596" type="#_x0000_t75" stroked="false">
              <v:imagedata r:id="rId683" o:title=""/>
            </v:shape>
            <v:shape style="position:absolute;left:6926;top:11179;width:4702;height:982" type="#_x0000_t75" stroked="false">
              <v:imagedata r:id="rId684" o:title=""/>
            </v:shape>
            <v:shape style="position:absolute;left:6926;top:11952;width:4702;height:596" type="#_x0000_t75" stroked="false">
              <v:imagedata r:id="rId683" o:title=""/>
            </v:shape>
            <v:shape style="position:absolute;left:542;top:10188;width:3766;height:3140" type="#_x0000_t75" stroked="false">
              <v:imagedata r:id="rId546" o:title=""/>
            </v:shape>
            <v:shape style="position:absolute;left:8488;top:12153;width:3140;height:394" type="#_x0000_t75" stroked="false">
              <v:imagedata r:id="rId685" o:title=""/>
            </v:shape>
            <v:shape style="position:absolute;left:6926;top:12540;width:1570;height:394" type="#_x0000_t75" stroked="false">
              <v:imagedata r:id="rId529" o:title=""/>
            </v:shape>
            <v:shape style="position:absolute;left:8488;top:12540;width:1570;height:394" type="#_x0000_t75" stroked="false">
              <v:imagedata r:id="rId529" o:title=""/>
            </v:shape>
            <v:rect style="position:absolute;left:10056;top:12544;width:1563;height:387" filled="true" fillcolor="#dfdfdf" stroked="false">
              <v:fill type="solid"/>
            </v:rect>
            <v:shape style="position:absolute;left:4300;top:12540;width:7328;height:788" type="#_x0000_t75" stroked="false">
              <v:imagedata r:id="rId686" o:title=""/>
            </v:shape>
            <v:shape style="position:absolute;left:10051;top:12926;width:1577;height:401" type="#_x0000_t75" stroked="false">
              <v:imagedata r:id="rId549" o:title=""/>
            </v:shape>
            <w10:wrap type="none"/>
          </v:group>
        </w:pict>
      </w:r>
    </w:p>
    <w:p>
      <w:pPr>
        <w:pStyle w:val="BodyText"/>
        <w:rPr>
          <w:sz w:val="20"/>
        </w:rPr>
      </w:pPr>
    </w:p>
    <w:p>
      <w:pPr>
        <w:pStyle w:val="BodyText"/>
        <w:spacing w:before="1"/>
        <w:rPr>
          <w:sz w:val="29"/>
        </w:rPr>
      </w:pPr>
    </w:p>
    <w:tbl>
      <w:tblPr>
        <w:tblW w:w="0" w:type="auto"/>
        <w:jc w:val="left"/>
        <w:tblInd w:w="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02"/>
        <w:gridCol w:w="2381"/>
        <w:gridCol w:w="1114"/>
        <w:gridCol w:w="1781"/>
        <w:gridCol w:w="1343"/>
        <w:gridCol w:w="1170"/>
        <w:gridCol w:w="392"/>
      </w:tblGrid>
      <w:tr>
        <w:trPr>
          <w:trHeight w:val="338" w:hRule="atLeast"/>
        </w:trPr>
        <w:tc>
          <w:tcPr>
            <w:tcW w:w="2902" w:type="dxa"/>
          </w:tcPr>
          <w:p>
            <w:pPr>
              <w:pStyle w:val="TableParagraph"/>
              <w:spacing w:before="10"/>
              <w:rPr>
                <w:sz w:val="14"/>
              </w:rPr>
            </w:pPr>
          </w:p>
          <w:p>
            <w:pPr>
              <w:pStyle w:val="TableParagraph"/>
              <w:spacing w:line="147" w:lineRule="exact"/>
              <w:ind w:left="50"/>
              <w:rPr>
                <w:b/>
                <w:sz w:val="14"/>
              </w:rPr>
            </w:pPr>
            <w:r>
              <w:rPr>
                <w:b/>
                <w:w w:val="105"/>
                <w:sz w:val="14"/>
              </w:rPr>
              <w:t>Description</w:t>
            </w:r>
          </w:p>
        </w:tc>
        <w:tc>
          <w:tcPr>
            <w:tcW w:w="2381" w:type="dxa"/>
          </w:tcPr>
          <w:p>
            <w:pPr>
              <w:pStyle w:val="TableParagraph"/>
              <w:spacing w:before="10"/>
              <w:rPr>
                <w:sz w:val="14"/>
              </w:rPr>
            </w:pPr>
          </w:p>
          <w:p>
            <w:pPr>
              <w:pStyle w:val="TableParagraph"/>
              <w:spacing w:line="147" w:lineRule="exact"/>
              <w:ind w:left="1134"/>
              <w:rPr>
                <w:b/>
                <w:sz w:val="14"/>
              </w:rPr>
            </w:pPr>
            <w:r>
              <w:rPr>
                <w:b/>
                <w:w w:val="105"/>
                <w:sz w:val="14"/>
              </w:rPr>
              <w:t>Function Codes</w:t>
            </w:r>
          </w:p>
        </w:tc>
        <w:tc>
          <w:tcPr>
            <w:tcW w:w="1114" w:type="dxa"/>
          </w:tcPr>
          <w:p>
            <w:pPr>
              <w:pStyle w:val="TableParagraph"/>
              <w:spacing w:before="10"/>
              <w:rPr>
                <w:sz w:val="14"/>
              </w:rPr>
            </w:pPr>
          </w:p>
          <w:p>
            <w:pPr>
              <w:pStyle w:val="TableParagraph"/>
              <w:spacing w:line="147" w:lineRule="exact"/>
              <w:ind w:left="122" w:right="4"/>
              <w:jc w:val="center"/>
              <w:rPr>
                <w:b/>
                <w:sz w:val="14"/>
              </w:rPr>
            </w:pPr>
            <w:r>
              <w:rPr>
                <w:b/>
                <w:w w:val="105"/>
                <w:sz w:val="14"/>
              </w:rPr>
              <w:t>Object Codes</w:t>
            </w:r>
          </w:p>
        </w:tc>
        <w:tc>
          <w:tcPr>
            <w:tcW w:w="1781" w:type="dxa"/>
          </w:tcPr>
          <w:p>
            <w:pPr>
              <w:pStyle w:val="TableParagraph"/>
              <w:spacing w:before="1"/>
              <w:ind w:left="129" w:right="332"/>
              <w:jc w:val="center"/>
              <w:rPr>
                <w:b/>
                <w:sz w:val="14"/>
              </w:rPr>
            </w:pPr>
            <w:r>
              <w:rPr>
                <w:b/>
                <w:w w:val="105"/>
                <w:sz w:val="14"/>
              </w:rPr>
              <w:t>2020-21</w:t>
            </w:r>
          </w:p>
          <w:p>
            <w:pPr>
              <w:pStyle w:val="TableParagraph"/>
              <w:spacing w:line="147" w:lineRule="exact" w:before="9"/>
              <w:ind w:left="129" w:right="336"/>
              <w:jc w:val="center"/>
              <w:rPr>
                <w:b/>
                <w:sz w:val="14"/>
              </w:rPr>
            </w:pPr>
            <w:r>
              <w:rPr>
                <w:b/>
                <w:w w:val="105"/>
                <w:sz w:val="14"/>
              </w:rPr>
              <w:t>Estimated Actuals</w:t>
            </w:r>
          </w:p>
        </w:tc>
        <w:tc>
          <w:tcPr>
            <w:tcW w:w="1343" w:type="dxa"/>
          </w:tcPr>
          <w:p>
            <w:pPr>
              <w:pStyle w:val="TableParagraph"/>
              <w:spacing w:before="1"/>
              <w:ind w:left="300"/>
              <w:rPr>
                <w:b/>
                <w:sz w:val="14"/>
              </w:rPr>
            </w:pPr>
            <w:r>
              <w:rPr>
                <w:b/>
                <w:w w:val="105"/>
                <w:sz w:val="14"/>
              </w:rPr>
              <w:t>2021-22</w:t>
            </w:r>
          </w:p>
          <w:p>
            <w:pPr>
              <w:pStyle w:val="TableParagraph"/>
              <w:spacing w:line="147" w:lineRule="exact" w:before="9"/>
              <w:ind w:left="317"/>
              <w:rPr>
                <w:b/>
                <w:sz w:val="14"/>
              </w:rPr>
            </w:pPr>
            <w:r>
              <w:rPr>
                <w:b/>
                <w:w w:val="105"/>
                <w:sz w:val="14"/>
              </w:rPr>
              <w:t>Budget</w:t>
            </w:r>
          </w:p>
        </w:tc>
        <w:tc>
          <w:tcPr>
            <w:tcW w:w="1170" w:type="dxa"/>
          </w:tcPr>
          <w:p>
            <w:pPr>
              <w:pStyle w:val="TableParagraph"/>
              <w:spacing w:before="1"/>
              <w:ind w:left="520"/>
              <w:rPr>
                <w:b/>
                <w:sz w:val="14"/>
              </w:rPr>
            </w:pPr>
            <w:r>
              <w:rPr>
                <w:b/>
                <w:w w:val="105"/>
                <w:sz w:val="14"/>
              </w:rPr>
              <w:t>Percent</w:t>
            </w:r>
          </w:p>
          <w:p>
            <w:pPr>
              <w:pStyle w:val="TableParagraph"/>
              <w:spacing w:line="147" w:lineRule="exact" w:before="9"/>
              <w:ind w:left="431"/>
              <w:rPr>
                <w:b/>
                <w:sz w:val="14"/>
              </w:rPr>
            </w:pPr>
            <w:r>
              <w:rPr>
                <w:b/>
                <w:w w:val="105"/>
                <w:sz w:val="14"/>
              </w:rPr>
              <w:t>Difference</w:t>
            </w:r>
          </w:p>
        </w:tc>
        <w:tc>
          <w:tcPr>
            <w:tcW w:w="392" w:type="dxa"/>
          </w:tcPr>
          <w:p>
            <w:pPr>
              <w:pStyle w:val="TableParagraph"/>
              <w:rPr>
                <w:rFonts w:ascii="Times New Roman"/>
                <w:sz w:val="14"/>
              </w:rPr>
            </w:pPr>
          </w:p>
        </w:tc>
      </w:tr>
      <w:tr>
        <w:trPr>
          <w:trHeight w:val="386" w:hRule="atLeast"/>
        </w:trPr>
        <w:tc>
          <w:tcPr>
            <w:tcW w:w="2902" w:type="dxa"/>
          </w:tcPr>
          <w:p>
            <w:pPr>
              <w:pStyle w:val="TableParagraph"/>
              <w:rPr>
                <w:sz w:val="19"/>
              </w:rPr>
            </w:pPr>
          </w:p>
          <w:p>
            <w:pPr>
              <w:pStyle w:val="TableParagraph"/>
              <w:spacing w:line="147" w:lineRule="exact"/>
              <w:ind w:left="50"/>
              <w:rPr>
                <w:b/>
                <w:sz w:val="14"/>
              </w:rPr>
            </w:pPr>
            <w:r>
              <w:rPr>
                <w:b/>
                <w:w w:val="105"/>
                <w:sz w:val="14"/>
              </w:rPr>
              <w:t>A. REVENUES</w:t>
            </w:r>
          </w:p>
        </w:tc>
        <w:tc>
          <w:tcPr>
            <w:tcW w:w="2381" w:type="dxa"/>
          </w:tcPr>
          <w:p>
            <w:pPr>
              <w:pStyle w:val="TableParagraph"/>
              <w:rPr>
                <w:rFonts w:ascii="Times New Roman"/>
                <w:sz w:val="14"/>
              </w:rPr>
            </w:pPr>
          </w:p>
        </w:tc>
        <w:tc>
          <w:tcPr>
            <w:tcW w:w="1114" w:type="dxa"/>
          </w:tcPr>
          <w:p>
            <w:pPr>
              <w:pStyle w:val="TableParagraph"/>
              <w:rPr>
                <w:rFonts w:ascii="Times New Roman"/>
                <w:sz w:val="14"/>
              </w:rPr>
            </w:pPr>
          </w:p>
        </w:tc>
        <w:tc>
          <w:tcPr>
            <w:tcW w:w="1781" w:type="dxa"/>
          </w:tcPr>
          <w:p>
            <w:pPr>
              <w:pStyle w:val="TableParagraph"/>
              <w:rPr>
                <w:rFonts w:ascii="Times New Roman"/>
                <w:sz w:val="14"/>
              </w:rPr>
            </w:pPr>
          </w:p>
        </w:tc>
        <w:tc>
          <w:tcPr>
            <w:tcW w:w="1343" w:type="dxa"/>
          </w:tcPr>
          <w:p>
            <w:pPr>
              <w:pStyle w:val="TableParagraph"/>
              <w:rPr>
                <w:rFonts w:ascii="Times New Roman"/>
                <w:sz w:val="14"/>
              </w:rPr>
            </w:pPr>
          </w:p>
        </w:tc>
        <w:tc>
          <w:tcPr>
            <w:tcW w:w="1170" w:type="dxa"/>
            <w:shd w:val="clear" w:color="auto" w:fill="DFDFDF"/>
          </w:tcPr>
          <w:p>
            <w:pPr>
              <w:pStyle w:val="TableParagraph"/>
              <w:rPr>
                <w:rFonts w:ascii="Times New Roman"/>
                <w:sz w:val="14"/>
              </w:rPr>
            </w:pPr>
          </w:p>
        </w:tc>
        <w:tc>
          <w:tcPr>
            <w:tcW w:w="392" w:type="dxa"/>
            <w:shd w:val="clear" w:color="auto" w:fill="DFDFDF"/>
          </w:tcPr>
          <w:p>
            <w:pPr>
              <w:pStyle w:val="TableParagraph"/>
              <w:rPr>
                <w:rFonts w:ascii="Times New Roman"/>
                <w:sz w:val="14"/>
              </w:rPr>
            </w:pPr>
          </w:p>
        </w:tc>
      </w:tr>
      <w:tr>
        <w:trPr>
          <w:trHeight w:val="201" w:hRule="atLeast"/>
        </w:trPr>
        <w:tc>
          <w:tcPr>
            <w:tcW w:w="2902" w:type="dxa"/>
          </w:tcPr>
          <w:p>
            <w:pPr>
              <w:pStyle w:val="TableParagraph"/>
              <w:rPr>
                <w:rFonts w:ascii="Times New Roman"/>
                <w:sz w:val="14"/>
              </w:rPr>
            </w:pPr>
          </w:p>
        </w:tc>
        <w:tc>
          <w:tcPr>
            <w:tcW w:w="2381" w:type="dxa"/>
          </w:tcPr>
          <w:p>
            <w:pPr>
              <w:pStyle w:val="TableParagraph"/>
              <w:rPr>
                <w:rFonts w:ascii="Times New Roman"/>
                <w:sz w:val="14"/>
              </w:rPr>
            </w:pPr>
          </w:p>
        </w:tc>
        <w:tc>
          <w:tcPr>
            <w:tcW w:w="1114" w:type="dxa"/>
          </w:tcPr>
          <w:p>
            <w:pPr>
              <w:pStyle w:val="TableParagraph"/>
              <w:rPr>
                <w:rFonts w:ascii="Times New Roman"/>
                <w:sz w:val="14"/>
              </w:rPr>
            </w:pPr>
          </w:p>
        </w:tc>
        <w:tc>
          <w:tcPr>
            <w:tcW w:w="1781" w:type="dxa"/>
            <w:shd w:val="clear" w:color="auto" w:fill="DFDFDF"/>
          </w:tcPr>
          <w:p>
            <w:pPr>
              <w:pStyle w:val="TableParagraph"/>
              <w:rPr>
                <w:rFonts w:ascii="Times New Roman"/>
                <w:sz w:val="14"/>
              </w:rPr>
            </w:pPr>
          </w:p>
        </w:tc>
        <w:tc>
          <w:tcPr>
            <w:tcW w:w="1343" w:type="dxa"/>
            <w:shd w:val="clear" w:color="auto" w:fill="DFDFDF"/>
          </w:tcPr>
          <w:p>
            <w:pPr>
              <w:pStyle w:val="TableParagraph"/>
              <w:rPr>
                <w:rFonts w:ascii="Times New Roman"/>
                <w:sz w:val="14"/>
              </w:rPr>
            </w:pPr>
          </w:p>
        </w:tc>
        <w:tc>
          <w:tcPr>
            <w:tcW w:w="1170" w:type="dxa"/>
            <w:shd w:val="clear" w:color="auto" w:fill="DFDFDF"/>
          </w:tcPr>
          <w:p>
            <w:pPr>
              <w:pStyle w:val="TableParagraph"/>
              <w:rPr>
                <w:rFonts w:ascii="Times New Roman"/>
                <w:sz w:val="14"/>
              </w:rPr>
            </w:pPr>
          </w:p>
        </w:tc>
        <w:tc>
          <w:tcPr>
            <w:tcW w:w="392" w:type="dxa"/>
            <w:shd w:val="clear" w:color="auto" w:fill="DFDFDF"/>
          </w:tcPr>
          <w:p>
            <w:pPr>
              <w:pStyle w:val="TableParagraph"/>
              <w:rPr>
                <w:rFonts w:ascii="Times New Roman"/>
                <w:sz w:val="14"/>
              </w:rPr>
            </w:pPr>
          </w:p>
        </w:tc>
      </w:tr>
      <w:tr>
        <w:trPr>
          <w:trHeight w:val="386" w:hRule="atLeast"/>
        </w:trPr>
        <w:tc>
          <w:tcPr>
            <w:tcW w:w="2902" w:type="dxa"/>
          </w:tcPr>
          <w:p>
            <w:pPr>
              <w:pStyle w:val="TableParagraph"/>
              <w:spacing w:before="3"/>
              <w:rPr>
                <w:sz w:val="19"/>
              </w:rPr>
            </w:pPr>
          </w:p>
          <w:p>
            <w:pPr>
              <w:pStyle w:val="TableParagraph"/>
              <w:spacing w:line="145" w:lineRule="exact"/>
              <w:ind w:left="212"/>
              <w:rPr>
                <w:sz w:val="14"/>
              </w:rPr>
            </w:pPr>
            <w:r>
              <w:rPr>
                <w:w w:val="105"/>
                <w:sz w:val="14"/>
              </w:rPr>
              <w:t>1) LCFF Sources</w:t>
            </w:r>
          </w:p>
        </w:tc>
        <w:tc>
          <w:tcPr>
            <w:tcW w:w="2381" w:type="dxa"/>
          </w:tcPr>
          <w:p>
            <w:pPr>
              <w:pStyle w:val="TableParagraph"/>
              <w:rPr>
                <w:rFonts w:ascii="Times New Roman"/>
                <w:sz w:val="14"/>
              </w:rPr>
            </w:pPr>
          </w:p>
        </w:tc>
        <w:tc>
          <w:tcPr>
            <w:tcW w:w="1114" w:type="dxa"/>
          </w:tcPr>
          <w:p>
            <w:pPr>
              <w:pStyle w:val="TableParagraph"/>
              <w:spacing w:before="3"/>
              <w:rPr>
                <w:sz w:val="19"/>
              </w:rPr>
            </w:pPr>
          </w:p>
          <w:p>
            <w:pPr>
              <w:pStyle w:val="TableParagraph"/>
              <w:spacing w:line="145" w:lineRule="exact"/>
              <w:ind w:left="119" w:right="4"/>
              <w:jc w:val="center"/>
              <w:rPr>
                <w:sz w:val="14"/>
              </w:rPr>
            </w:pPr>
            <w:r>
              <w:rPr>
                <w:w w:val="105"/>
                <w:sz w:val="14"/>
              </w:rPr>
              <w:t>8010-8099</w:t>
            </w:r>
          </w:p>
        </w:tc>
        <w:tc>
          <w:tcPr>
            <w:tcW w:w="1781" w:type="dxa"/>
          </w:tcPr>
          <w:p>
            <w:pPr>
              <w:pStyle w:val="TableParagraph"/>
              <w:spacing w:before="3"/>
              <w:rPr>
                <w:sz w:val="19"/>
              </w:rPr>
            </w:pPr>
          </w:p>
          <w:p>
            <w:pPr>
              <w:pStyle w:val="TableParagraph"/>
              <w:spacing w:line="145" w:lineRule="exact"/>
              <w:ind w:right="296"/>
              <w:jc w:val="right"/>
              <w:rPr>
                <w:sz w:val="14"/>
              </w:rPr>
            </w:pPr>
            <w:r>
              <w:rPr>
                <w:sz w:val="14"/>
              </w:rPr>
              <w:t>0.00</w:t>
            </w:r>
          </w:p>
        </w:tc>
        <w:tc>
          <w:tcPr>
            <w:tcW w:w="1343" w:type="dxa"/>
          </w:tcPr>
          <w:p>
            <w:pPr>
              <w:pStyle w:val="TableParagraph"/>
              <w:spacing w:before="3"/>
              <w:rPr>
                <w:sz w:val="19"/>
              </w:rPr>
            </w:pPr>
          </w:p>
          <w:p>
            <w:pPr>
              <w:pStyle w:val="TableParagraph"/>
              <w:spacing w:line="145" w:lineRule="exact"/>
              <w:ind w:right="76"/>
              <w:jc w:val="right"/>
              <w:rPr>
                <w:sz w:val="14"/>
              </w:rPr>
            </w:pPr>
            <w:r>
              <w:rPr>
                <w:sz w:val="14"/>
              </w:rPr>
              <w:t>0.00</w:t>
            </w:r>
          </w:p>
        </w:tc>
        <w:tc>
          <w:tcPr>
            <w:tcW w:w="1170" w:type="dxa"/>
            <w:shd w:val="clear" w:color="auto" w:fill="DFDFDF"/>
          </w:tcPr>
          <w:p>
            <w:pPr>
              <w:pStyle w:val="TableParagraph"/>
              <w:rPr>
                <w:rFonts w:ascii="Times New Roman"/>
                <w:sz w:val="14"/>
              </w:rPr>
            </w:pPr>
          </w:p>
        </w:tc>
        <w:tc>
          <w:tcPr>
            <w:tcW w:w="392" w:type="dxa"/>
            <w:shd w:val="clear" w:color="auto" w:fill="DFDFDF"/>
          </w:tcPr>
          <w:p>
            <w:pPr>
              <w:pStyle w:val="TableParagraph"/>
              <w:spacing w:before="3"/>
              <w:rPr>
                <w:sz w:val="19"/>
              </w:rPr>
            </w:pPr>
          </w:p>
          <w:p>
            <w:pPr>
              <w:pStyle w:val="TableParagraph"/>
              <w:spacing w:line="145" w:lineRule="exact"/>
              <w:ind w:right="27"/>
              <w:jc w:val="right"/>
              <w:rPr>
                <w:sz w:val="14"/>
              </w:rPr>
            </w:pPr>
            <w:r>
              <w:rPr>
                <w:sz w:val="14"/>
              </w:rPr>
              <w:t>0.0%</w:t>
            </w:r>
          </w:p>
        </w:tc>
      </w:tr>
      <w:tr>
        <w:trPr>
          <w:trHeight w:val="495" w:hRule="atLeast"/>
        </w:trPr>
        <w:tc>
          <w:tcPr>
            <w:tcW w:w="2902" w:type="dxa"/>
          </w:tcPr>
          <w:p>
            <w:pPr>
              <w:pStyle w:val="TableParagraph"/>
              <w:spacing w:before="3"/>
              <w:rPr>
                <w:sz w:val="19"/>
              </w:rPr>
            </w:pPr>
          </w:p>
          <w:p>
            <w:pPr>
              <w:pStyle w:val="TableParagraph"/>
              <w:ind w:left="212"/>
              <w:rPr>
                <w:sz w:val="14"/>
              </w:rPr>
            </w:pPr>
            <w:r>
              <w:rPr>
                <w:w w:val="105"/>
                <w:sz w:val="14"/>
              </w:rPr>
              <w:t>2) Federal Revenue</w:t>
            </w:r>
          </w:p>
        </w:tc>
        <w:tc>
          <w:tcPr>
            <w:tcW w:w="2381" w:type="dxa"/>
          </w:tcPr>
          <w:p>
            <w:pPr>
              <w:pStyle w:val="TableParagraph"/>
              <w:rPr>
                <w:rFonts w:ascii="Times New Roman"/>
                <w:sz w:val="14"/>
              </w:rPr>
            </w:pPr>
          </w:p>
        </w:tc>
        <w:tc>
          <w:tcPr>
            <w:tcW w:w="1114" w:type="dxa"/>
          </w:tcPr>
          <w:p>
            <w:pPr>
              <w:pStyle w:val="TableParagraph"/>
              <w:spacing w:before="3"/>
              <w:rPr>
                <w:sz w:val="19"/>
              </w:rPr>
            </w:pPr>
          </w:p>
          <w:p>
            <w:pPr>
              <w:pStyle w:val="TableParagraph"/>
              <w:ind w:left="119" w:right="4"/>
              <w:jc w:val="center"/>
              <w:rPr>
                <w:sz w:val="14"/>
              </w:rPr>
            </w:pPr>
            <w:r>
              <w:rPr>
                <w:w w:val="105"/>
                <w:sz w:val="14"/>
              </w:rPr>
              <w:t>8100-8299</w:t>
            </w:r>
          </w:p>
        </w:tc>
        <w:tc>
          <w:tcPr>
            <w:tcW w:w="1781" w:type="dxa"/>
          </w:tcPr>
          <w:p>
            <w:pPr>
              <w:pStyle w:val="TableParagraph"/>
              <w:spacing w:before="3"/>
              <w:rPr>
                <w:sz w:val="19"/>
              </w:rPr>
            </w:pPr>
          </w:p>
          <w:p>
            <w:pPr>
              <w:pStyle w:val="TableParagraph"/>
              <w:ind w:right="296"/>
              <w:jc w:val="right"/>
              <w:rPr>
                <w:sz w:val="14"/>
              </w:rPr>
            </w:pPr>
            <w:r>
              <w:rPr>
                <w:sz w:val="14"/>
              </w:rPr>
              <w:t>0.00</w:t>
            </w:r>
          </w:p>
        </w:tc>
        <w:tc>
          <w:tcPr>
            <w:tcW w:w="1343" w:type="dxa"/>
          </w:tcPr>
          <w:p>
            <w:pPr>
              <w:pStyle w:val="TableParagraph"/>
              <w:spacing w:before="3"/>
              <w:rPr>
                <w:sz w:val="19"/>
              </w:rPr>
            </w:pPr>
          </w:p>
          <w:p>
            <w:pPr>
              <w:pStyle w:val="TableParagraph"/>
              <w:ind w:right="76"/>
              <w:jc w:val="right"/>
              <w:rPr>
                <w:sz w:val="14"/>
              </w:rPr>
            </w:pPr>
            <w:r>
              <w:rPr>
                <w:sz w:val="14"/>
              </w:rPr>
              <w:t>0.00</w:t>
            </w:r>
          </w:p>
        </w:tc>
        <w:tc>
          <w:tcPr>
            <w:tcW w:w="1170" w:type="dxa"/>
          </w:tcPr>
          <w:p>
            <w:pPr>
              <w:pStyle w:val="TableParagraph"/>
              <w:rPr>
                <w:rFonts w:ascii="Times New Roman"/>
                <w:sz w:val="14"/>
              </w:rPr>
            </w:pPr>
          </w:p>
        </w:tc>
        <w:tc>
          <w:tcPr>
            <w:tcW w:w="392" w:type="dxa"/>
          </w:tcPr>
          <w:p>
            <w:pPr>
              <w:pStyle w:val="TableParagraph"/>
              <w:spacing w:before="3"/>
              <w:rPr>
                <w:sz w:val="19"/>
              </w:rPr>
            </w:pPr>
          </w:p>
          <w:p>
            <w:pPr>
              <w:pStyle w:val="TableParagraph"/>
              <w:ind w:right="27"/>
              <w:jc w:val="right"/>
              <w:rPr>
                <w:sz w:val="14"/>
              </w:rPr>
            </w:pPr>
            <w:r>
              <w:rPr>
                <w:sz w:val="14"/>
              </w:rPr>
              <w:t>0.0%</w:t>
            </w:r>
          </w:p>
        </w:tc>
      </w:tr>
      <w:tr>
        <w:trPr>
          <w:trHeight w:val="386" w:hRule="atLeast"/>
        </w:trPr>
        <w:tc>
          <w:tcPr>
            <w:tcW w:w="2902" w:type="dxa"/>
          </w:tcPr>
          <w:p>
            <w:pPr>
              <w:pStyle w:val="TableParagraph"/>
              <w:spacing w:before="112"/>
              <w:ind w:right="1142"/>
              <w:jc w:val="right"/>
              <w:rPr>
                <w:sz w:val="14"/>
              </w:rPr>
            </w:pPr>
            <w:r>
              <w:rPr>
                <w:w w:val="105"/>
                <w:sz w:val="14"/>
              </w:rPr>
              <w:t>3) Other State Revenue</w:t>
            </w:r>
          </w:p>
        </w:tc>
        <w:tc>
          <w:tcPr>
            <w:tcW w:w="2381" w:type="dxa"/>
          </w:tcPr>
          <w:p>
            <w:pPr>
              <w:pStyle w:val="TableParagraph"/>
              <w:rPr>
                <w:rFonts w:ascii="Times New Roman"/>
                <w:sz w:val="14"/>
              </w:rPr>
            </w:pPr>
          </w:p>
        </w:tc>
        <w:tc>
          <w:tcPr>
            <w:tcW w:w="1114" w:type="dxa"/>
          </w:tcPr>
          <w:p>
            <w:pPr>
              <w:pStyle w:val="TableParagraph"/>
              <w:spacing w:before="112"/>
              <w:ind w:left="119" w:right="4"/>
              <w:jc w:val="center"/>
              <w:rPr>
                <w:sz w:val="14"/>
              </w:rPr>
            </w:pPr>
            <w:r>
              <w:rPr>
                <w:w w:val="105"/>
                <w:sz w:val="14"/>
              </w:rPr>
              <w:t>8300-8599</w:t>
            </w:r>
          </w:p>
        </w:tc>
        <w:tc>
          <w:tcPr>
            <w:tcW w:w="1781" w:type="dxa"/>
          </w:tcPr>
          <w:p>
            <w:pPr>
              <w:pStyle w:val="TableParagraph"/>
              <w:spacing w:before="112"/>
              <w:ind w:right="296"/>
              <w:jc w:val="right"/>
              <w:rPr>
                <w:sz w:val="14"/>
              </w:rPr>
            </w:pPr>
            <w:r>
              <w:rPr>
                <w:sz w:val="14"/>
              </w:rPr>
              <w:t>0.00</w:t>
            </w:r>
          </w:p>
        </w:tc>
        <w:tc>
          <w:tcPr>
            <w:tcW w:w="1343" w:type="dxa"/>
          </w:tcPr>
          <w:p>
            <w:pPr>
              <w:pStyle w:val="TableParagraph"/>
              <w:spacing w:before="112"/>
              <w:ind w:right="76"/>
              <w:jc w:val="right"/>
              <w:rPr>
                <w:sz w:val="14"/>
              </w:rPr>
            </w:pPr>
            <w:r>
              <w:rPr>
                <w:sz w:val="14"/>
              </w:rPr>
              <w:t>0.00</w:t>
            </w:r>
          </w:p>
        </w:tc>
        <w:tc>
          <w:tcPr>
            <w:tcW w:w="1170" w:type="dxa"/>
          </w:tcPr>
          <w:p>
            <w:pPr>
              <w:pStyle w:val="TableParagraph"/>
              <w:rPr>
                <w:rFonts w:ascii="Times New Roman"/>
                <w:sz w:val="14"/>
              </w:rPr>
            </w:pPr>
          </w:p>
        </w:tc>
        <w:tc>
          <w:tcPr>
            <w:tcW w:w="392" w:type="dxa"/>
          </w:tcPr>
          <w:p>
            <w:pPr>
              <w:pStyle w:val="TableParagraph"/>
              <w:spacing w:before="112"/>
              <w:ind w:right="27"/>
              <w:jc w:val="right"/>
              <w:rPr>
                <w:sz w:val="14"/>
              </w:rPr>
            </w:pPr>
            <w:r>
              <w:rPr>
                <w:sz w:val="14"/>
              </w:rPr>
              <w:t>0.0%</w:t>
            </w:r>
          </w:p>
        </w:tc>
      </w:tr>
      <w:tr>
        <w:trPr>
          <w:trHeight w:val="386" w:hRule="atLeast"/>
        </w:trPr>
        <w:tc>
          <w:tcPr>
            <w:tcW w:w="2902" w:type="dxa"/>
          </w:tcPr>
          <w:p>
            <w:pPr>
              <w:pStyle w:val="TableParagraph"/>
              <w:spacing w:before="112"/>
              <w:ind w:right="1132"/>
              <w:jc w:val="right"/>
              <w:rPr>
                <w:sz w:val="14"/>
              </w:rPr>
            </w:pPr>
            <w:r>
              <w:rPr>
                <w:w w:val="105"/>
                <w:sz w:val="14"/>
              </w:rPr>
              <w:t>4) Other Local Revenue</w:t>
            </w:r>
          </w:p>
        </w:tc>
        <w:tc>
          <w:tcPr>
            <w:tcW w:w="2381" w:type="dxa"/>
          </w:tcPr>
          <w:p>
            <w:pPr>
              <w:pStyle w:val="TableParagraph"/>
              <w:rPr>
                <w:rFonts w:ascii="Times New Roman"/>
                <w:sz w:val="14"/>
              </w:rPr>
            </w:pPr>
          </w:p>
        </w:tc>
        <w:tc>
          <w:tcPr>
            <w:tcW w:w="1114" w:type="dxa"/>
          </w:tcPr>
          <w:p>
            <w:pPr>
              <w:pStyle w:val="TableParagraph"/>
              <w:spacing w:before="112"/>
              <w:ind w:left="119" w:right="4"/>
              <w:jc w:val="center"/>
              <w:rPr>
                <w:sz w:val="14"/>
              </w:rPr>
            </w:pPr>
            <w:r>
              <w:rPr>
                <w:w w:val="105"/>
                <w:sz w:val="14"/>
              </w:rPr>
              <w:t>8600-8799</w:t>
            </w:r>
          </w:p>
        </w:tc>
        <w:tc>
          <w:tcPr>
            <w:tcW w:w="1781" w:type="dxa"/>
          </w:tcPr>
          <w:p>
            <w:pPr>
              <w:pStyle w:val="TableParagraph"/>
              <w:spacing w:before="112"/>
              <w:ind w:right="296"/>
              <w:jc w:val="right"/>
              <w:rPr>
                <w:sz w:val="14"/>
              </w:rPr>
            </w:pPr>
            <w:r>
              <w:rPr>
                <w:sz w:val="14"/>
              </w:rPr>
              <w:t>0.00</w:t>
            </w:r>
          </w:p>
        </w:tc>
        <w:tc>
          <w:tcPr>
            <w:tcW w:w="1343" w:type="dxa"/>
          </w:tcPr>
          <w:p>
            <w:pPr>
              <w:pStyle w:val="TableParagraph"/>
              <w:spacing w:before="112"/>
              <w:ind w:right="76"/>
              <w:jc w:val="right"/>
              <w:rPr>
                <w:sz w:val="14"/>
              </w:rPr>
            </w:pPr>
            <w:r>
              <w:rPr>
                <w:sz w:val="14"/>
              </w:rPr>
              <w:t>0.00</w:t>
            </w:r>
          </w:p>
        </w:tc>
        <w:tc>
          <w:tcPr>
            <w:tcW w:w="1170" w:type="dxa"/>
          </w:tcPr>
          <w:p>
            <w:pPr>
              <w:pStyle w:val="TableParagraph"/>
              <w:rPr>
                <w:rFonts w:ascii="Times New Roman"/>
                <w:sz w:val="14"/>
              </w:rPr>
            </w:pPr>
          </w:p>
        </w:tc>
        <w:tc>
          <w:tcPr>
            <w:tcW w:w="392" w:type="dxa"/>
          </w:tcPr>
          <w:p>
            <w:pPr>
              <w:pStyle w:val="TableParagraph"/>
              <w:spacing w:before="112"/>
              <w:ind w:right="27"/>
              <w:jc w:val="right"/>
              <w:rPr>
                <w:sz w:val="14"/>
              </w:rPr>
            </w:pPr>
            <w:r>
              <w:rPr>
                <w:sz w:val="14"/>
              </w:rPr>
              <w:t>0.0%</w:t>
            </w:r>
          </w:p>
        </w:tc>
      </w:tr>
      <w:tr>
        <w:trPr>
          <w:trHeight w:val="274" w:hRule="atLeast"/>
        </w:trPr>
        <w:tc>
          <w:tcPr>
            <w:tcW w:w="2902" w:type="dxa"/>
          </w:tcPr>
          <w:p>
            <w:pPr>
              <w:pStyle w:val="TableParagraph"/>
              <w:spacing w:line="142" w:lineRule="exact" w:before="112"/>
              <w:ind w:right="1154"/>
              <w:jc w:val="right"/>
              <w:rPr>
                <w:sz w:val="14"/>
              </w:rPr>
            </w:pPr>
            <w:r>
              <w:rPr>
                <w:w w:val="105"/>
                <w:sz w:val="14"/>
              </w:rPr>
              <w:t>5) TOTAL, REVENUES</w:t>
            </w:r>
          </w:p>
        </w:tc>
        <w:tc>
          <w:tcPr>
            <w:tcW w:w="2381" w:type="dxa"/>
          </w:tcPr>
          <w:p>
            <w:pPr>
              <w:pStyle w:val="TableParagraph"/>
              <w:rPr>
                <w:rFonts w:ascii="Times New Roman"/>
                <w:sz w:val="14"/>
              </w:rPr>
            </w:pPr>
          </w:p>
        </w:tc>
        <w:tc>
          <w:tcPr>
            <w:tcW w:w="1114" w:type="dxa"/>
          </w:tcPr>
          <w:p>
            <w:pPr>
              <w:pStyle w:val="TableParagraph"/>
              <w:rPr>
                <w:rFonts w:ascii="Times New Roman"/>
                <w:sz w:val="14"/>
              </w:rPr>
            </w:pPr>
          </w:p>
        </w:tc>
        <w:tc>
          <w:tcPr>
            <w:tcW w:w="1781" w:type="dxa"/>
          </w:tcPr>
          <w:p>
            <w:pPr>
              <w:pStyle w:val="TableParagraph"/>
              <w:spacing w:line="142" w:lineRule="exact" w:before="112"/>
              <w:ind w:right="296"/>
              <w:jc w:val="right"/>
              <w:rPr>
                <w:sz w:val="14"/>
              </w:rPr>
            </w:pPr>
            <w:r>
              <w:rPr>
                <w:sz w:val="14"/>
              </w:rPr>
              <w:t>0.00</w:t>
            </w:r>
          </w:p>
        </w:tc>
        <w:tc>
          <w:tcPr>
            <w:tcW w:w="1343" w:type="dxa"/>
          </w:tcPr>
          <w:p>
            <w:pPr>
              <w:pStyle w:val="TableParagraph"/>
              <w:spacing w:line="142" w:lineRule="exact" w:before="112"/>
              <w:ind w:right="76"/>
              <w:jc w:val="right"/>
              <w:rPr>
                <w:sz w:val="14"/>
              </w:rPr>
            </w:pPr>
            <w:r>
              <w:rPr>
                <w:sz w:val="14"/>
              </w:rPr>
              <w:t>0.00</w:t>
            </w:r>
          </w:p>
        </w:tc>
        <w:tc>
          <w:tcPr>
            <w:tcW w:w="1170" w:type="dxa"/>
          </w:tcPr>
          <w:p>
            <w:pPr>
              <w:pStyle w:val="TableParagraph"/>
              <w:rPr>
                <w:rFonts w:ascii="Times New Roman"/>
                <w:sz w:val="14"/>
              </w:rPr>
            </w:pPr>
          </w:p>
        </w:tc>
        <w:tc>
          <w:tcPr>
            <w:tcW w:w="392" w:type="dxa"/>
          </w:tcPr>
          <w:p>
            <w:pPr>
              <w:pStyle w:val="TableParagraph"/>
              <w:spacing w:line="142" w:lineRule="exact" w:before="112"/>
              <w:ind w:right="27"/>
              <w:jc w:val="right"/>
              <w:rPr>
                <w:sz w:val="14"/>
              </w:rPr>
            </w:pPr>
            <w:r>
              <w:rPr>
                <w:sz w:val="14"/>
              </w:rPr>
              <w:t>0.0%</w:t>
            </w:r>
          </w:p>
        </w:tc>
      </w:tr>
    </w:tbl>
    <w:p>
      <w:pPr>
        <w:pStyle w:val="BodyText"/>
        <w:rPr>
          <w:sz w:val="20"/>
        </w:rPr>
      </w:pPr>
    </w:p>
    <w:p>
      <w:pPr>
        <w:pStyle w:val="BodyText"/>
        <w:rPr>
          <w:sz w:val="20"/>
        </w:rPr>
      </w:pPr>
    </w:p>
    <w:p>
      <w:pPr>
        <w:pStyle w:val="BodyText"/>
        <w:rPr>
          <w:sz w:val="20"/>
        </w:rPr>
      </w:pPr>
    </w:p>
    <w:p>
      <w:pPr>
        <w:pStyle w:val="BodyText"/>
        <w:spacing w:before="6"/>
        <w:rPr>
          <w:sz w:val="10"/>
        </w:rPr>
      </w:pPr>
    </w:p>
    <w:tbl>
      <w:tblPr>
        <w:tblW w:w="0" w:type="auto"/>
        <w:jc w:val="left"/>
        <w:tblInd w:w="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65"/>
        <w:gridCol w:w="1376"/>
        <w:gridCol w:w="1156"/>
        <w:gridCol w:w="2120"/>
        <w:gridCol w:w="1561"/>
        <w:gridCol w:w="1021"/>
      </w:tblGrid>
      <w:tr>
        <w:trPr>
          <w:trHeight w:val="274" w:hRule="atLeast"/>
        </w:trPr>
        <w:tc>
          <w:tcPr>
            <w:tcW w:w="3865" w:type="dxa"/>
          </w:tcPr>
          <w:p>
            <w:pPr>
              <w:pStyle w:val="TableParagraph"/>
              <w:spacing w:before="1"/>
              <w:ind w:left="212"/>
              <w:rPr>
                <w:sz w:val="14"/>
              </w:rPr>
            </w:pPr>
            <w:r>
              <w:rPr>
                <w:w w:val="105"/>
                <w:sz w:val="14"/>
              </w:rPr>
              <w:t>1) Instruction</w:t>
            </w:r>
          </w:p>
        </w:tc>
        <w:tc>
          <w:tcPr>
            <w:tcW w:w="1376" w:type="dxa"/>
          </w:tcPr>
          <w:p>
            <w:pPr>
              <w:pStyle w:val="TableParagraph"/>
              <w:spacing w:before="1"/>
              <w:ind w:right="304"/>
              <w:jc w:val="right"/>
              <w:rPr>
                <w:sz w:val="14"/>
              </w:rPr>
            </w:pPr>
            <w:r>
              <w:rPr>
                <w:sz w:val="14"/>
              </w:rPr>
              <w:t>1000-1999</w:t>
            </w:r>
          </w:p>
        </w:tc>
        <w:tc>
          <w:tcPr>
            <w:tcW w:w="1156" w:type="dxa"/>
          </w:tcPr>
          <w:p>
            <w:pPr>
              <w:pStyle w:val="TableParagraph"/>
              <w:rPr>
                <w:rFonts w:ascii="Times New Roman"/>
                <w:sz w:val="14"/>
              </w:rPr>
            </w:pPr>
          </w:p>
        </w:tc>
        <w:tc>
          <w:tcPr>
            <w:tcW w:w="2120" w:type="dxa"/>
          </w:tcPr>
          <w:p>
            <w:pPr>
              <w:pStyle w:val="TableParagraph"/>
              <w:spacing w:before="1"/>
              <w:ind w:right="635"/>
              <w:jc w:val="right"/>
              <w:rPr>
                <w:sz w:val="14"/>
              </w:rPr>
            </w:pPr>
            <w:r>
              <w:rPr>
                <w:sz w:val="14"/>
              </w:rPr>
              <w:t>0.00</w:t>
            </w:r>
          </w:p>
        </w:tc>
        <w:tc>
          <w:tcPr>
            <w:tcW w:w="1561" w:type="dxa"/>
          </w:tcPr>
          <w:p>
            <w:pPr>
              <w:pStyle w:val="TableParagraph"/>
              <w:spacing w:before="1"/>
              <w:ind w:left="619" w:right="614"/>
              <w:jc w:val="center"/>
              <w:rPr>
                <w:sz w:val="14"/>
              </w:rPr>
            </w:pPr>
            <w:r>
              <w:rPr>
                <w:w w:val="105"/>
                <w:sz w:val="14"/>
              </w:rPr>
              <w:t>0.00</w:t>
            </w:r>
          </w:p>
        </w:tc>
        <w:tc>
          <w:tcPr>
            <w:tcW w:w="1021" w:type="dxa"/>
          </w:tcPr>
          <w:p>
            <w:pPr>
              <w:pStyle w:val="TableParagraph"/>
              <w:spacing w:before="1"/>
              <w:ind w:right="43"/>
              <w:jc w:val="right"/>
              <w:rPr>
                <w:sz w:val="14"/>
              </w:rPr>
            </w:pPr>
            <w:r>
              <w:rPr>
                <w:w w:val="105"/>
                <w:sz w:val="14"/>
              </w:rPr>
              <w:t>0.0%</w:t>
            </w:r>
          </w:p>
        </w:tc>
      </w:tr>
      <w:tr>
        <w:trPr>
          <w:trHeight w:val="386" w:hRule="atLeast"/>
        </w:trPr>
        <w:tc>
          <w:tcPr>
            <w:tcW w:w="3865" w:type="dxa"/>
          </w:tcPr>
          <w:p>
            <w:pPr>
              <w:pStyle w:val="TableParagraph"/>
              <w:spacing w:before="112"/>
              <w:ind w:left="212"/>
              <w:rPr>
                <w:sz w:val="14"/>
              </w:rPr>
            </w:pPr>
            <w:r>
              <w:rPr>
                <w:w w:val="105"/>
                <w:sz w:val="14"/>
              </w:rPr>
              <w:t>2) Instruction - Related Services</w:t>
            </w:r>
          </w:p>
        </w:tc>
        <w:tc>
          <w:tcPr>
            <w:tcW w:w="1376" w:type="dxa"/>
          </w:tcPr>
          <w:p>
            <w:pPr>
              <w:pStyle w:val="TableParagraph"/>
              <w:spacing w:before="112"/>
              <w:ind w:right="304"/>
              <w:jc w:val="right"/>
              <w:rPr>
                <w:sz w:val="14"/>
              </w:rPr>
            </w:pPr>
            <w:r>
              <w:rPr>
                <w:sz w:val="14"/>
              </w:rPr>
              <w:t>2000-2999</w:t>
            </w:r>
          </w:p>
        </w:tc>
        <w:tc>
          <w:tcPr>
            <w:tcW w:w="1156" w:type="dxa"/>
          </w:tcPr>
          <w:p>
            <w:pPr>
              <w:pStyle w:val="TableParagraph"/>
              <w:rPr>
                <w:rFonts w:ascii="Times New Roman"/>
                <w:sz w:val="14"/>
              </w:rPr>
            </w:pPr>
          </w:p>
        </w:tc>
        <w:tc>
          <w:tcPr>
            <w:tcW w:w="2120" w:type="dxa"/>
          </w:tcPr>
          <w:p>
            <w:pPr>
              <w:pStyle w:val="TableParagraph"/>
              <w:spacing w:before="112"/>
              <w:ind w:right="635"/>
              <w:jc w:val="right"/>
              <w:rPr>
                <w:sz w:val="14"/>
              </w:rPr>
            </w:pPr>
            <w:r>
              <w:rPr>
                <w:sz w:val="14"/>
              </w:rPr>
              <w:t>0.00</w:t>
            </w:r>
          </w:p>
        </w:tc>
        <w:tc>
          <w:tcPr>
            <w:tcW w:w="1561" w:type="dxa"/>
          </w:tcPr>
          <w:p>
            <w:pPr>
              <w:pStyle w:val="TableParagraph"/>
              <w:spacing w:before="112"/>
              <w:ind w:left="619" w:right="614"/>
              <w:jc w:val="center"/>
              <w:rPr>
                <w:sz w:val="14"/>
              </w:rPr>
            </w:pPr>
            <w:r>
              <w:rPr>
                <w:w w:val="105"/>
                <w:sz w:val="14"/>
              </w:rPr>
              <w:t>0.00</w:t>
            </w:r>
          </w:p>
        </w:tc>
        <w:tc>
          <w:tcPr>
            <w:tcW w:w="1021" w:type="dxa"/>
          </w:tcPr>
          <w:p>
            <w:pPr>
              <w:pStyle w:val="TableParagraph"/>
              <w:spacing w:before="112"/>
              <w:ind w:right="43"/>
              <w:jc w:val="right"/>
              <w:rPr>
                <w:sz w:val="14"/>
              </w:rPr>
            </w:pPr>
            <w:r>
              <w:rPr>
                <w:w w:val="105"/>
                <w:sz w:val="14"/>
              </w:rPr>
              <w:t>0.0%</w:t>
            </w:r>
          </w:p>
        </w:tc>
      </w:tr>
      <w:tr>
        <w:trPr>
          <w:trHeight w:val="277" w:hRule="atLeast"/>
        </w:trPr>
        <w:tc>
          <w:tcPr>
            <w:tcW w:w="3865" w:type="dxa"/>
          </w:tcPr>
          <w:p>
            <w:pPr>
              <w:pStyle w:val="TableParagraph"/>
              <w:spacing w:line="145" w:lineRule="exact" w:before="112"/>
              <w:ind w:left="212"/>
              <w:rPr>
                <w:sz w:val="14"/>
              </w:rPr>
            </w:pPr>
            <w:r>
              <w:rPr>
                <w:w w:val="105"/>
                <w:sz w:val="14"/>
              </w:rPr>
              <w:t>3) Pupil Services</w:t>
            </w:r>
          </w:p>
        </w:tc>
        <w:tc>
          <w:tcPr>
            <w:tcW w:w="1376" w:type="dxa"/>
          </w:tcPr>
          <w:p>
            <w:pPr>
              <w:pStyle w:val="TableParagraph"/>
              <w:spacing w:line="145" w:lineRule="exact" w:before="112"/>
              <w:ind w:right="304"/>
              <w:jc w:val="right"/>
              <w:rPr>
                <w:sz w:val="14"/>
              </w:rPr>
            </w:pPr>
            <w:r>
              <w:rPr>
                <w:sz w:val="14"/>
              </w:rPr>
              <w:t>3000-3999</w:t>
            </w:r>
          </w:p>
        </w:tc>
        <w:tc>
          <w:tcPr>
            <w:tcW w:w="1156" w:type="dxa"/>
          </w:tcPr>
          <w:p>
            <w:pPr>
              <w:pStyle w:val="TableParagraph"/>
              <w:rPr>
                <w:rFonts w:ascii="Times New Roman"/>
                <w:sz w:val="14"/>
              </w:rPr>
            </w:pPr>
          </w:p>
        </w:tc>
        <w:tc>
          <w:tcPr>
            <w:tcW w:w="2120" w:type="dxa"/>
          </w:tcPr>
          <w:p>
            <w:pPr>
              <w:pStyle w:val="TableParagraph"/>
              <w:spacing w:line="145" w:lineRule="exact" w:before="112"/>
              <w:ind w:right="635"/>
              <w:jc w:val="right"/>
              <w:rPr>
                <w:sz w:val="14"/>
              </w:rPr>
            </w:pPr>
            <w:r>
              <w:rPr>
                <w:sz w:val="14"/>
              </w:rPr>
              <w:t>0.00</w:t>
            </w:r>
          </w:p>
        </w:tc>
        <w:tc>
          <w:tcPr>
            <w:tcW w:w="1561" w:type="dxa"/>
          </w:tcPr>
          <w:p>
            <w:pPr>
              <w:pStyle w:val="TableParagraph"/>
              <w:spacing w:line="145" w:lineRule="exact" w:before="112"/>
              <w:ind w:left="619" w:right="614"/>
              <w:jc w:val="center"/>
              <w:rPr>
                <w:sz w:val="14"/>
              </w:rPr>
            </w:pPr>
            <w:r>
              <w:rPr>
                <w:w w:val="105"/>
                <w:sz w:val="14"/>
              </w:rPr>
              <w:t>0.00</w:t>
            </w:r>
          </w:p>
        </w:tc>
        <w:tc>
          <w:tcPr>
            <w:tcW w:w="1021" w:type="dxa"/>
          </w:tcPr>
          <w:p>
            <w:pPr>
              <w:pStyle w:val="TableParagraph"/>
              <w:spacing w:line="145" w:lineRule="exact" w:before="112"/>
              <w:ind w:right="43"/>
              <w:jc w:val="right"/>
              <w:rPr>
                <w:sz w:val="14"/>
              </w:rPr>
            </w:pPr>
            <w:r>
              <w:rPr>
                <w:w w:val="105"/>
                <w:sz w:val="14"/>
              </w:rPr>
              <w:t>0.0%</w:t>
            </w:r>
          </w:p>
        </w:tc>
      </w:tr>
      <w:tr>
        <w:trPr>
          <w:trHeight w:val="386" w:hRule="atLeast"/>
        </w:trPr>
        <w:tc>
          <w:tcPr>
            <w:tcW w:w="3865" w:type="dxa"/>
          </w:tcPr>
          <w:p>
            <w:pPr>
              <w:pStyle w:val="TableParagraph"/>
              <w:spacing w:before="3"/>
              <w:rPr>
                <w:sz w:val="19"/>
              </w:rPr>
            </w:pPr>
          </w:p>
          <w:p>
            <w:pPr>
              <w:pStyle w:val="TableParagraph"/>
              <w:spacing w:line="145" w:lineRule="exact"/>
              <w:ind w:left="212"/>
              <w:rPr>
                <w:sz w:val="14"/>
              </w:rPr>
            </w:pPr>
            <w:r>
              <w:rPr>
                <w:w w:val="105"/>
                <w:sz w:val="14"/>
              </w:rPr>
              <w:t>4) Ancillary Services</w:t>
            </w:r>
          </w:p>
        </w:tc>
        <w:tc>
          <w:tcPr>
            <w:tcW w:w="1376" w:type="dxa"/>
          </w:tcPr>
          <w:p>
            <w:pPr>
              <w:pStyle w:val="TableParagraph"/>
              <w:spacing w:before="3"/>
              <w:rPr>
                <w:sz w:val="19"/>
              </w:rPr>
            </w:pPr>
          </w:p>
          <w:p>
            <w:pPr>
              <w:pStyle w:val="TableParagraph"/>
              <w:spacing w:line="145" w:lineRule="exact"/>
              <w:ind w:right="304"/>
              <w:jc w:val="right"/>
              <w:rPr>
                <w:sz w:val="14"/>
              </w:rPr>
            </w:pPr>
            <w:r>
              <w:rPr>
                <w:sz w:val="14"/>
              </w:rPr>
              <w:t>4000-4999</w:t>
            </w:r>
          </w:p>
        </w:tc>
        <w:tc>
          <w:tcPr>
            <w:tcW w:w="1156" w:type="dxa"/>
          </w:tcPr>
          <w:p>
            <w:pPr>
              <w:pStyle w:val="TableParagraph"/>
              <w:rPr>
                <w:rFonts w:ascii="Times New Roman"/>
                <w:sz w:val="14"/>
              </w:rPr>
            </w:pPr>
          </w:p>
        </w:tc>
        <w:tc>
          <w:tcPr>
            <w:tcW w:w="2120" w:type="dxa"/>
            <w:shd w:val="clear" w:color="auto" w:fill="DFDFDF"/>
          </w:tcPr>
          <w:p>
            <w:pPr>
              <w:pStyle w:val="TableParagraph"/>
              <w:spacing w:before="3"/>
              <w:rPr>
                <w:sz w:val="19"/>
              </w:rPr>
            </w:pPr>
          </w:p>
          <w:p>
            <w:pPr>
              <w:pStyle w:val="TableParagraph"/>
              <w:spacing w:line="145" w:lineRule="exact"/>
              <w:ind w:right="635"/>
              <w:jc w:val="right"/>
              <w:rPr>
                <w:sz w:val="14"/>
              </w:rPr>
            </w:pPr>
            <w:r>
              <w:rPr>
                <w:sz w:val="14"/>
              </w:rPr>
              <w:t>0.00</w:t>
            </w:r>
          </w:p>
        </w:tc>
        <w:tc>
          <w:tcPr>
            <w:tcW w:w="1561" w:type="dxa"/>
            <w:shd w:val="clear" w:color="auto" w:fill="DFDFDF"/>
          </w:tcPr>
          <w:p>
            <w:pPr>
              <w:pStyle w:val="TableParagraph"/>
              <w:spacing w:before="3"/>
              <w:rPr>
                <w:sz w:val="19"/>
              </w:rPr>
            </w:pPr>
          </w:p>
          <w:p>
            <w:pPr>
              <w:pStyle w:val="TableParagraph"/>
              <w:spacing w:line="145" w:lineRule="exact"/>
              <w:ind w:left="619" w:right="614"/>
              <w:jc w:val="center"/>
              <w:rPr>
                <w:sz w:val="14"/>
              </w:rPr>
            </w:pPr>
            <w:r>
              <w:rPr>
                <w:w w:val="105"/>
                <w:sz w:val="14"/>
              </w:rPr>
              <w:t>0.00</w:t>
            </w:r>
          </w:p>
        </w:tc>
        <w:tc>
          <w:tcPr>
            <w:tcW w:w="1021" w:type="dxa"/>
            <w:shd w:val="clear" w:color="auto" w:fill="DFDFDF"/>
          </w:tcPr>
          <w:p>
            <w:pPr>
              <w:pStyle w:val="TableParagraph"/>
              <w:spacing w:before="3"/>
              <w:rPr>
                <w:sz w:val="19"/>
              </w:rPr>
            </w:pPr>
          </w:p>
          <w:p>
            <w:pPr>
              <w:pStyle w:val="TableParagraph"/>
              <w:spacing w:line="145" w:lineRule="exact"/>
              <w:ind w:right="43"/>
              <w:jc w:val="right"/>
              <w:rPr>
                <w:sz w:val="14"/>
              </w:rPr>
            </w:pPr>
            <w:r>
              <w:rPr>
                <w:w w:val="105"/>
                <w:sz w:val="14"/>
              </w:rPr>
              <w:t>0.0%</w:t>
            </w:r>
          </w:p>
        </w:tc>
      </w:tr>
      <w:tr>
        <w:trPr>
          <w:trHeight w:val="495" w:hRule="atLeast"/>
        </w:trPr>
        <w:tc>
          <w:tcPr>
            <w:tcW w:w="3865" w:type="dxa"/>
          </w:tcPr>
          <w:p>
            <w:pPr>
              <w:pStyle w:val="TableParagraph"/>
              <w:spacing w:before="3"/>
              <w:rPr>
                <w:sz w:val="19"/>
              </w:rPr>
            </w:pPr>
          </w:p>
          <w:p>
            <w:pPr>
              <w:pStyle w:val="TableParagraph"/>
              <w:ind w:left="212"/>
              <w:rPr>
                <w:sz w:val="14"/>
              </w:rPr>
            </w:pPr>
            <w:r>
              <w:rPr>
                <w:w w:val="105"/>
                <w:sz w:val="14"/>
              </w:rPr>
              <w:t>5) Community Services</w:t>
            </w:r>
          </w:p>
        </w:tc>
        <w:tc>
          <w:tcPr>
            <w:tcW w:w="1376" w:type="dxa"/>
          </w:tcPr>
          <w:p>
            <w:pPr>
              <w:pStyle w:val="TableParagraph"/>
              <w:spacing w:before="3"/>
              <w:rPr>
                <w:sz w:val="19"/>
              </w:rPr>
            </w:pPr>
          </w:p>
          <w:p>
            <w:pPr>
              <w:pStyle w:val="TableParagraph"/>
              <w:ind w:right="304"/>
              <w:jc w:val="right"/>
              <w:rPr>
                <w:sz w:val="14"/>
              </w:rPr>
            </w:pPr>
            <w:r>
              <w:rPr>
                <w:sz w:val="14"/>
              </w:rPr>
              <w:t>5000-5999</w:t>
            </w:r>
          </w:p>
        </w:tc>
        <w:tc>
          <w:tcPr>
            <w:tcW w:w="1156" w:type="dxa"/>
          </w:tcPr>
          <w:p>
            <w:pPr>
              <w:pStyle w:val="TableParagraph"/>
              <w:rPr>
                <w:rFonts w:ascii="Times New Roman"/>
                <w:sz w:val="14"/>
              </w:rPr>
            </w:pPr>
          </w:p>
        </w:tc>
        <w:tc>
          <w:tcPr>
            <w:tcW w:w="2120" w:type="dxa"/>
          </w:tcPr>
          <w:p>
            <w:pPr>
              <w:pStyle w:val="TableParagraph"/>
              <w:spacing w:before="3"/>
              <w:rPr>
                <w:sz w:val="19"/>
              </w:rPr>
            </w:pPr>
          </w:p>
          <w:p>
            <w:pPr>
              <w:pStyle w:val="TableParagraph"/>
              <w:ind w:right="635"/>
              <w:jc w:val="right"/>
              <w:rPr>
                <w:sz w:val="14"/>
              </w:rPr>
            </w:pPr>
            <w:r>
              <w:rPr>
                <w:sz w:val="14"/>
              </w:rPr>
              <w:t>0.00</w:t>
            </w:r>
          </w:p>
        </w:tc>
        <w:tc>
          <w:tcPr>
            <w:tcW w:w="1561" w:type="dxa"/>
          </w:tcPr>
          <w:p>
            <w:pPr>
              <w:pStyle w:val="TableParagraph"/>
              <w:spacing w:before="3"/>
              <w:rPr>
                <w:sz w:val="19"/>
              </w:rPr>
            </w:pPr>
          </w:p>
          <w:p>
            <w:pPr>
              <w:pStyle w:val="TableParagraph"/>
              <w:ind w:left="619" w:right="614"/>
              <w:jc w:val="center"/>
              <w:rPr>
                <w:sz w:val="14"/>
              </w:rPr>
            </w:pPr>
            <w:r>
              <w:rPr>
                <w:w w:val="105"/>
                <w:sz w:val="14"/>
              </w:rPr>
              <w:t>0.00</w:t>
            </w:r>
          </w:p>
        </w:tc>
        <w:tc>
          <w:tcPr>
            <w:tcW w:w="1021" w:type="dxa"/>
          </w:tcPr>
          <w:p>
            <w:pPr>
              <w:pStyle w:val="TableParagraph"/>
              <w:spacing w:before="3"/>
              <w:rPr>
                <w:sz w:val="19"/>
              </w:rPr>
            </w:pPr>
          </w:p>
          <w:p>
            <w:pPr>
              <w:pStyle w:val="TableParagraph"/>
              <w:ind w:right="43"/>
              <w:jc w:val="right"/>
              <w:rPr>
                <w:sz w:val="14"/>
              </w:rPr>
            </w:pPr>
            <w:r>
              <w:rPr>
                <w:w w:val="105"/>
                <w:sz w:val="14"/>
              </w:rPr>
              <w:t>0.0%</w:t>
            </w:r>
          </w:p>
        </w:tc>
      </w:tr>
      <w:tr>
        <w:trPr>
          <w:trHeight w:val="386" w:hRule="atLeast"/>
        </w:trPr>
        <w:tc>
          <w:tcPr>
            <w:tcW w:w="3865" w:type="dxa"/>
          </w:tcPr>
          <w:p>
            <w:pPr>
              <w:pStyle w:val="TableParagraph"/>
              <w:spacing w:before="112"/>
              <w:ind w:left="212"/>
              <w:rPr>
                <w:sz w:val="14"/>
              </w:rPr>
            </w:pPr>
            <w:r>
              <w:rPr>
                <w:w w:val="105"/>
                <w:sz w:val="14"/>
              </w:rPr>
              <w:t>6) Enterprise</w:t>
            </w:r>
          </w:p>
        </w:tc>
        <w:tc>
          <w:tcPr>
            <w:tcW w:w="1376" w:type="dxa"/>
          </w:tcPr>
          <w:p>
            <w:pPr>
              <w:pStyle w:val="TableParagraph"/>
              <w:spacing w:before="112"/>
              <w:ind w:right="304"/>
              <w:jc w:val="right"/>
              <w:rPr>
                <w:sz w:val="14"/>
              </w:rPr>
            </w:pPr>
            <w:r>
              <w:rPr>
                <w:sz w:val="14"/>
              </w:rPr>
              <w:t>6000-6999</w:t>
            </w:r>
          </w:p>
        </w:tc>
        <w:tc>
          <w:tcPr>
            <w:tcW w:w="1156" w:type="dxa"/>
          </w:tcPr>
          <w:p>
            <w:pPr>
              <w:pStyle w:val="TableParagraph"/>
              <w:rPr>
                <w:rFonts w:ascii="Times New Roman"/>
                <w:sz w:val="14"/>
              </w:rPr>
            </w:pPr>
          </w:p>
        </w:tc>
        <w:tc>
          <w:tcPr>
            <w:tcW w:w="2120" w:type="dxa"/>
          </w:tcPr>
          <w:p>
            <w:pPr>
              <w:pStyle w:val="TableParagraph"/>
              <w:spacing w:before="112"/>
              <w:ind w:right="635"/>
              <w:jc w:val="right"/>
              <w:rPr>
                <w:sz w:val="14"/>
              </w:rPr>
            </w:pPr>
            <w:r>
              <w:rPr>
                <w:sz w:val="14"/>
              </w:rPr>
              <w:t>0.00</w:t>
            </w:r>
          </w:p>
        </w:tc>
        <w:tc>
          <w:tcPr>
            <w:tcW w:w="1561" w:type="dxa"/>
          </w:tcPr>
          <w:p>
            <w:pPr>
              <w:pStyle w:val="TableParagraph"/>
              <w:spacing w:before="112"/>
              <w:ind w:left="619" w:right="614"/>
              <w:jc w:val="center"/>
              <w:rPr>
                <w:sz w:val="14"/>
              </w:rPr>
            </w:pPr>
            <w:r>
              <w:rPr>
                <w:w w:val="105"/>
                <w:sz w:val="14"/>
              </w:rPr>
              <w:t>0.00</w:t>
            </w:r>
          </w:p>
        </w:tc>
        <w:tc>
          <w:tcPr>
            <w:tcW w:w="1021" w:type="dxa"/>
          </w:tcPr>
          <w:p>
            <w:pPr>
              <w:pStyle w:val="TableParagraph"/>
              <w:spacing w:before="112"/>
              <w:ind w:right="43"/>
              <w:jc w:val="right"/>
              <w:rPr>
                <w:sz w:val="14"/>
              </w:rPr>
            </w:pPr>
            <w:r>
              <w:rPr>
                <w:w w:val="105"/>
                <w:sz w:val="14"/>
              </w:rPr>
              <w:t>0.0%</w:t>
            </w:r>
          </w:p>
        </w:tc>
      </w:tr>
      <w:tr>
        <w:trPr>
          <w:trHeight w:val="386" w:hRule="atLeast"/>
        </w:trPr>
        <w:tc>
          <w:tcPr>
            <w:tcW w:w="3865" w:type="dxa"/>
          </w:tcPr>
          <w:p>
            <w:pPr>
              <w:pStyle w:val="TableParagraph"/>
              <w:spacing w:before="112"/>
              <w:ind w:left="212"/>
              <w:rPr>
                <w:sz w:val="14"/>
              </w:rPr>
            </w:pPr>
            <w:r>
              <w:rPr>
                <w:w w:val="105"/>
                <w:sz w:val="14"/>
              </w:rPr>
              <w:t>7) General Administration</w:t>
            </w:r>
          </w:p>
        </w:tc>
        <w:tc>
          <w:tcPr>
            <w:tcW w:w="1376" w:type="dxa"/>
          </w:tcPr>
          <w:p>
            <w:pPr>
              <w:pStyle w:val="TableParagraph"/>
              <w:spacing w:before="112"/>
              <w:ind w:right="304"/>
              <w:jc w:val="right"/>
              <w:rPr>
                <w:sz w:val="14"/>
              </w:rPr>
            </w:pPr>
            <w:r>
              <w:rPr>
                <w:sz w:val="14"/>
              </w:rPr>
              <w:t>7000-7999</w:t>
            </w:r>
          </w:p>
        </w:tc>
        <w:tc>
          <w:tcPr>
            <w:tcW w:w="1156" w:type="dxa"/>
          </w:tcPr>
          <w:p>
            <w:pPr>
              <w:pStyle w:val="TableParagraph"/>
              <w:rPr>
                <w:rFonts w:ascii="Times New Roman"/>
                <w:sz w:val="14"/>
              </w:rPr>
            </w:pPr>
          </w:p>
        </w:tc>
        <w:tc>
          <w:tcPr>
            <w:tcW w:w="2120" w:type="dxa"/>
          </w:tcPr>
          <w:p>
            <w:pPr>
              <w:pStyle w:val="TableParagraph"/>
              <w:spacing w:before="112"/>
              <w:ind w:right="635"/>
              <w:jc w:val="right"/>
              <w:rPr>
                <w:sz w:val="14"/>
              </w:rPr>
            </w:pPr>
            <w:r>
              <w:rPr>
                <w:sz w:val="14"/>
              </w:rPr>
              <w:t>0.00</w:t>
            </w:r>
          </w:p>
        </w:tc>
        <w:tc>
          <w:tcPr>
            <w:tcW w:w="1561" w:type="dxa"/>
          </w:tcPr>
          <w:p>
            <w:pPr>
              <w:pStyle w:val="TableParagraph"/>
              <w:spacing w:before="112"/>
              <w:ind w:left="619" w:right="614"/>
              <w:jc w:val="center"/>
              <w:rPr>
                <w:sz w:val="14"/>
              </w:rPr>
            </w:pPr>
            <w:r>
              <w:rPr>
                <w:w w:val="105"/>
                <w:sz w:val="14"/>
              </w:rPr>
              <w:t>0.00</w:t>
            </w:r>
          </w:p>
        </w:tc>
        <w:tc>
          <w:tcPr>
            <w:tcW w:w="1021" w:type="dxa"/>
          </w:tcPr>
          <w:p>
            <w:pPr>
              <w:pStyle w:val="TableParagraph"/>
              <w:spacing w:before="112"/>
              <w:ind w:right="43"/>
              <w:jc w:val="right"/>
              <w:rPr>
                <w:sz w:val="14"/>
              </w:rPr>
            </w:pPr>
            <w:r>
              <w:rPr>
                <w:w w:val="105"/>
                <w:sz w:val="14"/>
              </w:rPr>
              <w:t>0.0%</w:t>
            </w:r>
          </w:p>
        </w:tc>
      </w:tr>
      <w:tr>
        <w:trPr>
          <w:trHeight w:val="304" w:hRule="atLeast"/>
        </w:trPr>
        <w:tc>
          <w:tcPr>
            <w:tcW w:w="3865" w:type="dxa"/>
          </w:tcPr>
          <w:p>
            <w:pPr>
              <w:pStyle w:val="TableParagraph"/>
              <w:spacing w:before="112"/>
              <w:ind w:left="212"/>
              <w:rPr>
                <w:sz w:val="14"/>
              </w:rPr>
            </w:pPr>
            <w:r>
              <w:rPr>
                <w:w w:val="105"/>
                <w:sz w:val="14"/>
              </w:rPr>
              <w:t>8) Plant Services</w:t>
            </w:r>
          </w:p>
        </w:tc>
        <w:tc>
          <w:tcPr>
            <w:tcW w:w="1376" w:type="dxa"/>
          </w:tcPr>
          <w:p>
            <w:pPr>
              <w:pStyle w:val="TableParagraph"/>
              <w:spacing w:before="112"/>
              <w:ind w:right="304"/>
              <w:jc w:val="right"/>
              <w:rPr>
                <w:sz w:val="14"/>
              </w:rPr>
            </w:pPr>
            <w:r>
              <w:rPr>
                <w:sz w:val="14"/>
              </w:rPr>
              <w:t>8000-8999</w:t>
            </w:r>
          </w:p>
        </w:tc>
        <w:tc>
          <w:tcPr>
            <w:tcW w:w="1156" w:type="dxa"/>
          </w:tcPr>
          <w:p>
            <w:pPr>
              <w:pStyle w:val="TableParagraph"/>
              <w:rPr>
                <w:rFonts w:ascii="Times New Roman"/>
                <w:sz w:val="14"/>
              </w:rPr>
            </w:pPr>
          </w:p>
        </w:tc>
        <w:tc>
          <w:tcPr>
            <w:tcW w:w="2120" w:type="dxa"/>
          </w:tcPr>
          <w:p>
            <w:pPr>
              <w:pStyle w:val="TableParagraph"/>
              <w:spacing w:before="112"/>
              <w:ind w:right="635"/>
              <w:jc w:val="right"/>
              <w:rPr>
                <w:sz w:val="14"/>
              </w:rPr>
            </w:pPr>
            <w:r>
              <w:rPr>
                <w:sz w:val="14"/>
              </w:rPr>
              <w:t>0.00</w:t>
            </w:r>
          </w:p>
        </w:tc>
        <w:tc>
          <w:tcPr>
            <w:tcW w:w="1561" w:type="dxa"/>
          </w:tcPr>
          <w:p>
            <w:pPr>
              <w:pStyle w:val="TableParagraph"/>
              <w:spacing w:before="112"/>
              <w:ind w:left="619" w:right="614"/>
              <w:jc w:val="center"/>
              <w:rPr>
                <w:sz w:val="14"/>
              </w:rPr>
            </w:pPr>
            <w:r>
              <w:rPr>
                <w:w w:val="105"/>
                <w:sz w:val="14"/>
              </w:rPr>
              <w:t>0.00</w:t>
            </w:r>
          </w:p>
        </w:tc>
        <w:tc>
          <w:tcPr>
            <w:tcW w:w="1021" w:type="dxa"/>
          </w:tcPr>
          <w:p>
            <w:pPr>
              <w:pStyle w:val="TableParagraph"/>
              <w:spacing w:before="112"/>
              <w:ind w:right="43"/>
              <w:jc w:val="right"/>
              <w:rPr>
                <w:sz w:val="14"/>
              </w:rPr>
            </w:pPr>
            <w:r>
              <w:rPr>
                <w:w w:val="105"/>
                <w:sz w:val="14"/>
              </w:rPr>
              <w:t>0.0%</w:t>
            </w:r>
          </w:p>
        </w:tc>
      </w:tr>
      <w:tr>
        <w:trPr>
          <w:trHeight w:val="468" w:hRule="atLeast"/>
        </w:trPr>
        <w:tc>
          <w:tcPr>
            <w:tcW w:w="3865" w:type="dxa"/>
          </w:tcPr>
          <w:p>
            <w:pPr>
              <w:pStyle w:val="TableParagraph"/>
              <w:spacing w:before="10"/>
              <w:rPr>
                <w:sz w:val="16"/>
              </w:rPr>
            </w:pPr>
          </w:p>
          <w:p>
            <w:pPr>
              <w:pStyle w:val="TableParagraph"/>
              <w:ind w:left="212"/>
              <w:rPr>
                <w:sz w:val="14"/>
              </w:rPr>
            </w:pPr>
            <w:r>
              <w:rPr>
                <w:w w:val="105"/>
                <w:sz w:val="14"/>
              </w:rPr>
              <w:t>9) Other Outgo</w:t>
            </w:r>
          </w:p>
        </w:tc>
        <w:tc>
          <w:tcPr>
            <w:tcW w:w="1376" w:type="dxa"/>
          </w:tcPr>
          <w:p>
            <w:pPr>
              <w:pStyle w:val="TableParagraph"/>
              <w:spacing w:before="10"/>
              <w:rPr>
                <w:sz w:val="16"/>
              </w:rPr>
            </w:pPr>
          </w:p>
          <w:p>
            <w:pPr>
              <w:pStyle w:val="TableParagraph"/>
              <w:ind w:right="304"/>
              <w:jc w:val="right"/>
              <w:rPr>
                <w:sz w:val="14"/>
              </w:rPr>
            </w:pPr>
            <w:r>
              <w:rPr>
                <w:sz w:val="14"/>
              </w:rPr>
              <w:t>9000-9999</w:t>
            </w:r>
          </w:p>
        </w:tc>
        <w:tc>
          <w:tcPr>
            <w:tcW w:w="1156" w:type="dxa"/>
          </w:tcPr>
          <w:p>
            <w:pPr>
              <w:pStyle w:val="TableParagraph"/>
              <w:spacing w:line="242" w:lineRule="auto" w:before="31"/>
              <w:ind w:left="312" w:right="143" w:firstLine="127"/>
              <w:rPr>
                <w:sz w:val="14"/>
              </w:rPr>
            </w:pPr>
            <w:r>
              <w:rPr>
                <w:w w:val="105"/>
                <w:sz w:val="14"/>
              </w:rPr>
              <w:t>Except </w:t>
            </w:r>
            <w:r>
              <w:rPr>
                <w:sz w:val="14"/>
              </w:rPr>
              <w:t>7600-7699</w:t>
            </w:r>
          </w:p>
        </w:tc>
        <w:tc>
          <w:tcPr>
            <w:tcW w:w="2120" w:type="dxa"/>
          </w:tcPr>
          <w:p>
            <w:pPr>
              <w:pStyle w:val="TableParagraph"/>
              <w:spacing w:before="10"/>
              <w:rPr>
                <w:sz w:val="16"/>
              </w:rPr>
            </w:pPr>
          </w:p>
          <w:p>
            <w:pPr>
              <w:pStyle w:val="TableParagraph"/>
              <w:ind w:right="635"/>
              <w:jc w:val="right"/>
              <w:rPr>
                <w:sz w:val="14"/>
              </w:rPr>
            </w:pPr>
            <w:r>
              <w:rPr>
                <w:sz w:val="14"/>
              </w:rPr>
              <w:t>0.00</w:t>
            </w:r>
          </w:p>
        </w:tc>
        <w:tc>
          <w:tcPr>
            <w:tcW w:w="1561" w:type="dxa"/>
          </w:tcPr>
          <w:p>
            <w:pPr>
              <w:pStyle w:val="TableParagraph"/>
              <w:spacing w:before="10"/>
              <w:rPr>
                <w:sz w:val="16"/>
              </w:rPr>
            </w:pPr>
          </w:p>
          <w:p>
            <w:pPr>
              <w:pStyle w:val="TableParagraph"/>
              <w:ind w:left="619" w:right="614"/>
              <w:jc w:val="center"/>
              <w:rPr>
                <w:sz w:val="14"/>
              </w:rPr>
            </w:pPr>
            <w:r>
              <w:rPr>
                <w:w w:val="105"/>
                <w:sz w:val="14"/>
              </w:rPr>
              <w:t>0.00</w:t>
            </w:r>
          </w:p>
        </w:tc>
        <w:tc>
          <w:tcPr>
            <w:tcW w:w="1021" w:type="dxa"/>
          </w:tcPr>
          <w:p>
            <w:pPr>
              <w:pStyle w:val="TableParagraph"/>
              <w:spacing w:before="10"/>
              <w:rPr>
                <w:sz w:val="16"/>
              </w:rPr>
            </w:pPr>
          </w:p>
          <w:p>
            <w:pPr>
              <w:pStyle w:val="TableParagraph"/>
              <w:ind w:right="43"/>
              <w:jc w:val="right"/>
              <w:rPr>
                <w:sz w:val="14"/>
              </w:rPr>
            </w:pPr>
            <w:r>
              <w:rPr>
                <w:w w:val="105"/>
                <w:sz w:val="14"/>
              </w:rPr>
              <w:t>0.0%</w:t>
            </w:r>
          </w:p>
        </w:tc>
      </w:tr>
      <w:tr>
        <w:trPr>
          <w:trHeight w:val="385" w:hRule="atLeast"/>
        </w:trPr>
        <w:tc>
          <w:tcPr>
            <w:tcW w:w="3865" w:type="dxa"/>
          </w:tcPr>
          <w:p>
            <w:pPr>
              <w:pStyle w:val="TableParagraph"/>
              <w:spacing w:before="112"/>
              <w:ind w:left="171"/>
              <w:rPr>
                <w:sz w:val="14"/>
              </w:rPr>
            </w:pPr>
            <w:r>
              <w:rPr>
                <w:w w:val="105"/>
                <w:sz w:val="14"/>
              </w:rPr>
              <w:t>10) TOTAL, EXPENDITURES</w:t>
            </w:r>
          </w:p>
        </w:tc>
        <w:tc>
          <w:tcPr>
            <w:tcW w:w="1376" w:type="dxa"/>
          </w:tcPr>
          <w:p>
            <w:pPr>
              <w:pStyle w:val="TableParagraph"/>
              <w:rPr>
                <w:rFonts w:ascii="Times New Roman"/>
                <w:sz w:val="14"/>
              </w:rPr>
            </w:pPr>
          </w:p>
        </w:tc>
        <w:tc>
          <w:tcPr>
            <w:tcW w:w="1156" w:type="dxa"/>
          </w:tcPr>
          <w:p>
            <w:pPr>
              <w:pStyle w:val="TableParagraph"/>
              <w:rPr>
                <w:rFonts w:ascii="Times New Roman"/>
                <w:sz w:val="14"/>
              </w:rPr>
            </w:pPr>
          </w:p>
        </w:tc>
        <w:tc>
          <w:tcPr>
            <w:tcW w:w="2120" w:type="dxa"/>
          </w:tcPr>
          <w:p>
            <w:pPr>
              <w:pStyle w:val="TableParagraph"/>
              <w:spacing w:before="112"/>
              <w:ind w:right="635"/>
              <w:jc w:val="right"/>
              <w:rPr>
                <w:sz w:val="14"/>
              </w:rPr>
            </w:pPr>
            <w:r>
              <w:rPr>
                <w:sz w:val="14"/>
              </w:rPr>
              <w:t>0.00</w:t>
            </w:r>
          </w:p>
        </w:tc>
        <w:tc>
          <w:tcPr>
            <w:tcW w:w="1561" w:type="dxa"/>
          </w:tcPr>
          <w:p>
            <w:pPr>
              <w:pStyle w:val="TableParagraph"/>
              <w:spacing w:before="112"/>
              <w:ind w:left="619" w:right="614"/>
              <w:jc w:val="center"/>
              <w:rPr>
                <w:sz w:val="14"/>
              </w:rPr>
            </w:pPr>
            <w:r>
              <w:rPr>
                <w:w w:val="105"/>
                <w:sz w:val="14"/>
              </w:rPr>
              <w:t>0.00</w:t>
            </w:r>
          </w:p>
        </w:tc>
        <w:tc>
          <w:tcPr>
            <w:tcW w:w="1021" w:type="dxa"/>
          </w:tcPr>
          <w:p>
            <w:pPr>
              <w:pStyle w:val="TableParagraph"/>
              <w:spacing w:before="112"/>
              <w:ind w:right="43"/>
              <w:jc w:val="right"/>
              <w:rPr>
                <w:sz w:val="14"/>
              </w:rPr>
            </w:pPr>
            <w:r>
              <w:rPr>
                <w:w w:val="105"/>
                <w:sz w:val="14"/>
              </w:rPr>
              <w:t>0.0%</w:t>
            </w:r>
          </w:p>
        </w:tc>
      </w:tr>
      <w:tr>
        <w:trPr>
          <w:trHeight w:val="292" w:hRule="atLeast"/>
        </w:trPr>
        <w:tc>
          <w:tcPr>
            <w:tcW w:w="3865" w:type="dxa"/>
          </w:tcPr>
          <w:p>
            <w:pPr>
              <w:pStyle w:val="TableParagraph"/>
              <w:spacing w:before="111"/>
              <w:ind w:left="50"/>
              <w:rPr>
                <w:b/>
                <w:sz w:val="14"/>
              </w:rPr>
            </w:pPr>
            <w:r>
              <w:rPr>
                <w:b/>
                <w:w w:val="105"/>
                <w:sz w:val="14"/>
              </w:rPr>
              <w:t>C. EXCESS (DEFICIENCY) OF REVENUES</w:t>
            </w:r>
          </w:p>
        </w:tc>
        <w:tc>
          <w:tcPr>
            <w:tcW w:w="1376" w:type="dxa"/>
          </w:tcPr>
          <w:p>
            <w:pPr>
              <w:pStyle w:val="TableParagraph"/>
              <w:rPr>
                <w:rFonts w:ascii="Times New Roman"/>
                <w:sz w:val="14"/>
              </w:rPr>
            </w:pPr>
          </w:p>
        </w:tc>
        <w:tc>
          <w:tcPr>
            <w:tcW w:w="1156" w:type="dxa"/>
          </w:tcPr>
          <w:p>
            <w:pPr>
              <w:pStyle w:val="TableParagraph"/>
              <w:rPr>
                <w:rFonts w:ascii="Times New Roman"/>
                <w:sz w:val="14"/>
              </w:rPr>
            </w:pPr>
          </w:p>
        </w:tc>
        <w:tc>
          <w:tcPr>
            <w:tcW w:w="2120" w:type="dxa"/>
          </w:tcPr>
          <w:p>
            <w:pPr>
              <w:pStyle w:val="TableParagraph"/>
              <w:rPr>
                <w:rFonts w:ascii="Times New Roman"/>
                <w:sz w:val="14"/>
              </w:rPr>
            </w:pPr>
          </w:p>
        </w:tc>
        <w:tc>
          <w:tcPr>
            <w:tcW w:w="1561" w:type="dxa"/>
          </w:tcPr>
          <w:p>
            <w:pPr>
              <w:pStyle w:val="TableParagraph"/>
              <w:rPr>
                <w:rFonts w:ascii="Times New Roman"/>
                <w:sz w:val="14"/>
              </w:rPr>
            </w:pPr>
          </w:p>
        </w:tc>
        <w:tc>
          <w:tcPr>
            <w:tcW w:w="1021" w:type="dxa"/>
          </w:tcPr>
          <w:p>
            <w:pPr>
              <w:pStyle w:val="TableParagraph"/>
              <w:rPr>
                <w:rFonts w:ascii="Times New Roman"/>
                <w:sz w:val="14"/>
              </w:rPr>
            </w:pPr>
          </w:p>
        </w:tc>
      </w:tr>
      <w:tr>
        <w:trPr>
          <w:trHeight w:val="201" w:hRule="atLeast"/>
        </w:trPr>
        <w:tc>
          <w:tcPr>
            <w:tcW w:w="3865" w:type="dxa"/>
          </w:tcPr>
          <w:p>
            <w:pPr>
              <w:pStyle w:val="TableParagraph"/>
              <w:spacing w:before="20"/>
              <w:ind w:left="252"/>
              <w:rPr>
                <w:b/>
                <w:sz w:val="14"/>
              </w:rPr>
            </w:pPr>
            <w:r>
              <w:rPr>
                <w:b/>
                <w:w w:val="105"/>
                <w:sz w:val="14"/>
              </w:rPr>
              <w:t>OVER EXPENDITURES BEFORE OTHER</w:t>
            </w:r>
          </w:p>
        </w:tc>
        <w:tc>
          <w:tcPr>
            <w:tcW w:w="1376" w:type="dxa"/>
          </w:tcPr>
          <w:p>
            <w:pPr>
              <w:pStyle w:val="TableParagraph"/>
              <w:rPr>
                <w:rFonts w:ascii="Times New Roman"/>
                <w:sz w:val="14"/>
              </w:rPr>
            </w:pPr>
          </w:p>
        </w:tc>
        <w:tc>
          <w:tcPr>
            <w:tcW w:w="1156" w:type="dxa"/>
          </w:tcPr>
          <w:p>
            <w:pPr>
              <w:pStyle w:val="TableParagraph"/>
              <w:rPr>
                <w:rFonts w:ascii="Times New Roman"/>
                <w:sz w:val="14"/>
              </w:rPr>
            </w:pPr>
          </w:p>
        </w:tc>
        <w:tc>
          <w:tcPr>
            <w:tcW w:w="2120" w:type="dxa"/>
          </w:tcPr>
          <w:p>
            <w:pPr>
              <w:pStyle w:val="TableParagraph"/>
              <w:rPr>
                <w:rFonts w:ascii="Times New Roman"/>
                <w:sz w:val="14"/>
              </w:rPr>
            </w:pPr>
          </w:p>
        </w:tc>
        <w:tc>
          <w:tcPr>
            <w:tcW w:w="1561" w:type="dxa"/>
          </w:tcPr>
          <w:p>
            <w:pPr>
              <w:pStyle w:val="TableParagraph"/>
              <w:rPr>
                <w:rFonts w:ascii="Times New Roman"/>
                <w:sz w:val="14"/>
              </w:rPr>
            </w:pPr>
          </w:p>
        </w:tc>
        <w:tc>
          <w:tcPr>
            <w:tcW w:w="1021" w:type="dxa"/>
          </w:tcPr>
          <w:p>
            <w:pPr>
              <w:pStyle w:val="TableParagraph"/>
              <w:rPr>
                <w:rFonts w:ascii="Times New Roman"/>
                <w:sz w:val="14"/>
              </w:rPr>
            </w:pPr>
          </w:p>
        </w:tc>
      </w:tr>
      <w:tr>
        <w:trPr>
          <w:trHeight w:val="295" w:hRule="atLeast"/>
        </w:trPr>
        <w:tc>
          <w:tcPr>
            <w:tcW w:w="3865" w:type="dxa"/>
          </w:tcPr>
          <w:p>
            <w:pPr>
              <w:pStyle w:val="TableParagraph"/>
              <w:spacing w:before="20"/>
              <w:ind w:left="252"/>
              <w:rPr>
                <w:b/>
                <w:sz w:val="14"/>
              </w:rPr>
            </w:pPr>
            <w:r>
              <w:rPr>
                <w:b/>
                <w:w w:val="105"/>
                <w:sz w:val="14"/>
              </w:rPr>
              <w:t>FINANCING SOURCES AND USES (A5 - B10)</w:t>
            </w:r>
          </w:p>
        </w:tc>
        <w:tc>
          <w:tcPr>
            <w:tcW w:w="1376" w:type="dxa"/>
          </w:tcPr>
          <w:p>
            <w:pPr>
              <w:pStyle w:val="TableParagraph"/>
              <w:rPr>
                <w:rFonts w:ascii="Times New Roman"/>
                <w:sz w:val="14"/>
              </w:rPr>
            </w:pPr>
          </w:p>
        </w:tc>
        <w:tc>
          <w:tcPr>
            <w:tcW w:w="1156" w:type="dxa"/>
          </w:tcPr>
          <w:p>
            <w:pPr>
              <w:pStyle w:val="TableParagraph"/>
              <w:rPr>
                <w:rFonts w:ascii="Times New Roman"/>
                <w:sz w:val="14"/>
              </w:rPr>
            </w:pPr>
          </w:p>
        </w:tc>
        <w:tc>
          <w:tcPr>
            <w:tcW w:w="2120" w:type="dxa"/>
          </w:tcPr>
          <w:p>
            <w:pPr>
              <w:pStyle w:val="TableParagraph"/>
              <w:spacing w:before="22"/>
              <w:ind w:right="635"/>
              <w:jc w:val="right"/>
              <w:rPr>
                <w:sz w:val="14"/>
              </w:rPr>
            </w:pPr>
            <w:r>
              <w:rPr>
                <w:sz w:val="14"/>
              </w:rPr>
              <w:t>0.00</w:t>
            </w:r>
          </w:p>
        </w:tc>
        <w:tc>
          <w:tcPr>
            <w:tcW w:w="1561" w:type="dxa"/>
          </w:tcPr>
          <w:p>
            <w:pPr>
              <w:pStyle w:val="TableParagraph"/>
              <w:spacing w:before="22"/>
              <w:ind w:left="619" w:right="614"/>
              <w:jc w:val="center"/>
              <w:rPr>
                <w:sz w:val="14"/>
              </w:rPr>
            </w:pPr>
            <w:r>
              <w:rPr>
                <w:w w:val="105"/>
                <w:sz w:val="14"/>
              </w:rPr>
              <w:t>0.00</w:t>
            </w:r>
          </w:p>
        </w:tc>
        <w:tc>
          <w:tcPr>
            <w:tcW w:w="1021" w:type="dxa"/>
          </w:tcPr>
          <w:p>
            <w:pPr>
              <w:pStyle w:val="TableParagraph"/>
              <w:spacing w:before="22"/>
              <w:ind w:right="43"/>
              <w:jc w:val="right"/>
              <w:rPr>
                <w:sz w:val="14"/>
              </w:rPr>
            </w:pPr>
            <w:r>
              <w:rPr>
                <w:w w:val="105"/>
                <w:sz w:val="14"/>
              </w:rPr>
              <w:t>0.0%</w:t>
            </w:r>
          </w:p>
        </w:tc>
      </w:tr>
      <w:tr>
        <w:trPr>
          <w:trHeight w:val="271" w:hRule="atLeast"/>
        </w:trPr>
        <w:tc>
          <w:tcPr>
            <w:tcW w:w="3865" w:type="dxa"/>
          </w:tcPr>
          <w:p>
            <w:pPr>
              <w:pStyle w:val="TableParagraph"/>
              <w:spacing w:line="140" w:lineRule="exact" w:before="111"/>
              <w:ind w:left="50"/>
              <w:rPr>
                <w:b/>
                <w:sz w:val="14"/>
              </w:rPr>
            </w:pPr>
            <w:r>
              <w:rPr>
                <w:b/>
                <w:w w:val="105"/>
                <w:sz w:val="14"/>
              </w:rPr>
              <w:t>D. OTHER FINANCING SOURCES/USES</w:t>
            </w:r>
          </w:p>
        </w:tc>
        <w:tc>
          <w:tcPr>
            <w:tcW w:w="7234" w:type="dxa"/>
            <w:gridSpan w:val="5"/>
          </w:tcPr>
          <w:p>
            <w:pPr>
              <w:pStyle w:val="TableParagraph"/>
              <w:rPr>
                <w:rFonts w:ascii="Times New Roman"/>
                <w:sz w:val="14"/>
              </w:rPr>
            </w:pPr>
          </w:p>
        </w:tc>
      </w:tr>
      <w:tr>
        <w:trPr>
          <w:trHeight w:val="426" w:hRule="atLeast"/>
        </w:trPr>
        <w:tc>
          <w:tcPr>
            <w:tcW w:w="3865" w:type="dxa"/>
          </w:tcPr>
          <w:p>
            <w:pPr>
              <w:pStyle w:val="TableParagraph"/>
              <w:spacing w:before="4"/>
              <w:rPr>
                <w:sz w:val="21"/>
              </w:rPr>
            </w:pPr>
          </w:p>
          <w:p>
            <w:pPr>
              <w:pStyle w:val="TableParagraph"/>
              <w:ind w:left="212"/>
              <w:rPr>
                <w:sz w:val="14"/>
              </w:rPr>
            </w:pPr>
            <w:r>
              <w:rPr>
                <w:w w:val="105"/>
                <w:sz w:val="14"/>
              </w:rPr>
              <w:t>1) Interfund Transfers</w:t>
            </w:r>
          </w:p>
        </w:tc>
        <w:tc>
          <w:tcPr>
            <w:tcW w:w="2532" w:type="dxa"/>
            <w:gridSpan w:val="2"/>
          </w:tcPr>
          <w:p>
            <w:pPr>
              <w:pStyle w:val="TableParagraph"/>
              <w:rPr>
                <w:rFonts w:ascii="Times New Roman"/>
                <w:sz w:val="14"/>
              </w:rPr>
            </w:pPr>
          </w:p>
        </w:tc>
        <w:tc>
          <w:tcPr>
            <w:tcW w:w="2120" w:type="dxa"/>
          </w:tcPr>
          <w:p>
            <w:pPr>
              <w:pStyle w:val="TableParagraph"/>
              <w:rPr>
                <w:rFonts w:ascii="Times New Roman"/>
                <w:sz w:val="14"/>
              </w:rPr>
            </w:pPr>
          </w:p>
        </w:tc>
        <w:tc>
          <w:tcPr>
            <w:tcW w:w="1561" w:type="dxa"/>
          </w:tcPr>
          <w:p>
            <w:pPr>
              <w:pStyle w:val="TableParagraph"/>
              <w:rPr>
                <w:rFonts w:ascii="Times New Roman"/>
                <w:sz w:val="14"/>
              </w:rPr>
            </w:pPr>
          </w:p>
        </w:tc>
        <w:tc>
          <w:tcPr>
            <w:tcW w:w="1021" w:type="dxa"/>
          </w:tcPr>
          <w:p>
            <w:pPr>
              <w:pStyle w:val="TableParagraph"/>
              <w:rPr>
                <w:rFonts w:ascii="Times New Roman"/>
                <w:sz w:val="14"/>
              </w:rPr>
            </w:pPr>
          </w:p>
        </w:tc>
      </w:tr>
      <w:tr>
        <w:trPr>
          <w:trHeight w:val="294" w:hRule="atLeast"/>
        </w:trPr>
        <w:tc>
          <w:tcPr>
            <w:tcW w:w="3865" w:type="dxa"/>
          </w:tcPr>
          <w:p>
            <w:pPr>
              <w:pStyle w:val="TableParagraph"/>
              <w:spacing w:before="20"/>
              <w:ind w:left="376"/>
              <w:rPr>
                <w:sz w:val="14"/>
              </w:rPr>
            </w:pPr>
            <w:r>
              <w:rPr>
                <w:w w:val="105"/>
                <w:sz w:val="14"/>
              </w:rPr>
              <w:t>a) Transfers In</w:t>
            </w:r>
          </w:p>
        </w:tc>
        <w:tc>
          <w:tcPr>
            <w:tcW w:w="2532" w:type="dxa"/>
            <w:gridSpan w:val="2"/>
          </w:tcPr>
          <w:p>
            <w:pPr>
              <w:pStyle w:val="TableParagraph"/>
              <w:spacing w:before="20"/>
              <w:ind w:left="1683"/>
              <w:rPr>
                <w:sz w:val="14"/>
              </w:rPr>
            </w:pPr>
            <w:r>
              <w:rPr>
                <w:w w:val="105"/>
                <w:sz w:val="14"/>
              </w:rPr>
              <w:t>8900-8929</w:t>
            </w:r>
          </w:p>
        </w:tc>
        <w:tc>
          <w:tcPr>
            <w:tcW w:w="2120" w:type="dxa"/>
          </w:tcPr>
          <w:p>
            <w:pPr>
              <w:pStyle w:val="TableParagraph"/>
              <w:spacing w:before="20"/>
              <w:ind w:right="635"/>
              <w:jc w:val="right"/>
              <w:rPr>
                <w:sz w:val="14"/>
              </w:rPr>
            </w:pPr>
            <w:r>
              <w:rPr>
                <w:sz w:val="14"/>
              </w:rPr>
              <w:t>0.00</w:t>
            </w:r>
          </w:p>
        </w:tc>
        <w:tc>
          <w:tcPr>
            <w:tcW w:w="1561" w:type="dxa"/>
          </w:tcPr>
          <w:p>
            <w:pPr>
              <w:pStyle w:val="TableParagraph"/>
              <w:spacing w:before="20"/>
              <w:ind w:left="619" w:right="614"/>
              <w:jc w:val="center"/>
              <w:rPr>
                <w:sz w:val="14"/>
              </w:rPr>
            </w:pPr>
            <w:r>
              <w:rPr>
                <w:w w:val="105"/>
                <w:sz w:val="14"/>
              </w:rPr>
              <w:t>0.00</w:t>
            </w:r>
          </w:p>
        </w:tc>
        <w:tc>
          <w:tcPr>
            <w:tcW w:w="1021" w:type="dxa"/>
          </w:tcPr>
          <w:p>
            <w:pPr>
              <w:pStyle w:val="TableParagraph"/>
              <w:spacing w:before="20"/>
              <w:ind w:right="43"/>
              <w:jc w:val="right"/>
              <w:rPr>
                <w:sz w:val="14"/>
              </w:rPr>
            </w:pPr>
            <w:r>
              <w:rPr>
                <w:w w:val="105"/>
                <w:sz w:val="14"/>
              </w:rPr>
              <w:t>0.0%</w:t>
            </w:r>
          </w:p>
        </w:tc>
      </w:tr>
      <w:tr>
        <w:trPr>
          <w:trHeight w:val="386" w:hRule="atLeast"/>
        </w:trPr>
        <w:tc>
          <w:tcPr>
            <w:tcW w:w="3865" w:type="dxa"/>
          </w:tcPr>
          <w:p>
            <w:pPr>
              <w:pStyle w:val="TableParagraph"/>
              <w:spacing w:before="112"/>
              <w:ind w:left="376"/>
              <w:rPr>
                <w:sz w:val="14"/>
              </w:rPr>
            </w:pPr>
            <w:r>
              <w:rPr>
                <w:w w:val="105"/>
                <w:sz w:val="14"/>
              </w:rPr>
              <w:t>b) Transfers Out</w:t>
            </w:r>
          </w:p>
        </w:tc>
        <w:tc>
          <w:tcPr>
            <w:tcW w:w="2532" w:type="dxa"/>
            <w:gridSpan w:val="2"/>
          </w:tcPr>
          <w:p>
            <w:pPr>
              <w:pStyle w:val="TableParagraph"/>
              <w:spacing w:before="112"/>
              <w:ind w:left="1683"/>
              <w:rPr>
                <w:sz w:val="14"/>
              </w:rPr>
            </w:pPr>
            <w:r>
              <w:rPr>
                <w:w w:val="105"/>
                <w:sz w:val="14"/>
              </w:rPr>
              <w:t>7600-7629</w:t>
            </w:r>
          </w:p>
        </w:tc>
        <w:tc>
          <w:tcPr>
            <w:tcW w:w="2120" w:type="dxa"/>
          </w:tcPr>
          <w:p>
            <w:pPr>
              <w:pStyle w:val="TableParagraph"/>
              <w:spacing w:before="112"/>
              <w:ind w:right="635"/>
              <w:jc w:val="right"/>
              <w:rPr>
                <w:sz w:val="14"/>
              </w:rPr>
            </w:pPr>
            <w:r>
              <w:rPr>
                <w:sz w:val="14"/>
              </w:rPr>
              <w:t>0.00</w:t>
            </w:r>
          </w:p>
        </w:tc>
        <w:tc>
          <w:tcPr>
            <w:tcW w:w="1561" w:type="dxa"/>
          </w:tcPr>
          <w:p>
            <w:pPr>
              <w:pStyle w:val="TableParagraph"/>
              <w:spacing w:before="112"/>
              <w:ind w:left="619" w:right="614"/>
              <w:jc w:val="center"/>
              <w:rPr>
                <w:sz w:val="14"/>
              </w:rPr>
            </w:pPr>
            <w:r>
              <w:rPr>
                <w:w w:val="105"/>
                <w:sz w:val="14"/>
              </w:rPr>
              <w:t>0.00</w:t>
            </w:r>
          </w:p>
        </w:tc>
        <w:tc>
          <w:tcPr>
            <w:tcW w:w="1021" w:type="dxa"/>
          </w:tcPr>
          <w:p>
            <w:pPr>
              <w:pStyle w:val="TableParagraph"/>
              <w:spacing w:before="112"/>
              <w:ind w:right="43"/>
              <w:jc w:val="right"/>
              <w:rPr>
                <w:sz w:val="14"/>
              </w:rPr>
            </w:pPr>
            <w:r>
              <w:rPr>
                <w:w w:val="105"/>
                <w:sz w:val="14"/>
              </w:rPr>
              <w:t>0.0%</w:t>
            </w:r>
          </w:p>
        </w:tc>
      </w:tr>
      <w:tr>
        <w:trPr>
          <w:trHeight w:val="294" w:hRule="atLeast"/>
        </w:trPr>
        <w:tc>
          <w:tcPr>
            <w:tcW w:w="3865" w:type="dxa"/>
          </w:tcPr>
          <w:p>
            <w:pPr>
              <w:pStyle w:val="TableParagraph"/>
              <w:spacing w:before="112"/>
              <w:ind w:left="212"/>
              <w:rPr>
                <w:sz w:val="14"/>
              </w:rPr>
            </w:pPr>
            <w:r>
              <w:rPr>
                <w:w w:val="105"/>
                <w:sz w:val="14"/>
              </w:rPr>
              <w:t>2) Other Sources/Uses</w:t>
            </w:r>
          </w:p>
        </w:tc>
        <w:tc>
          <w:tcPr>
            <w:tcW w:w="2532" w:type="dxa"/>
            <w:gridSpan w:val="2"/>
          </w:tcPr>
          <w:p>
            <w:pPr>
              <w:pStyle w:val="TableParagraph"/>
              <w:rPr>
                <w:rFonts w:ascii="Times New Roman"/>
                <w:sz w:val="14"/>
              </w:rPr>
            </w:pPr>
          </w:p>
        </w:tc>
        <w:tc>
          <w:tcPr>
            <w:tcW w:w="2120" w:type="dxa"/>
          </w:tcPr>
          <w:p>
            <w:pPr>
              <w:pStyle w:val="TableParagraph"/>
              <w:rPr>
                <w:rFonts w:ascii="Times New Roman"/>
                <w:sz w:val="14"/>
              </w:rPr>
            </w:pPr>
          </w:p>
        </w:tc>
        <w:tc>
          <w:tcPr>
            <w:tcW w:w="1561" w:type="dxa"/>
          </w:tcPr>
          <w:p>
            <w:pPr>
              <w:pStyle w:val="TableParagraph"/>
              <w:rPr>
                <w:rFonts w:ascii="Times New Roman"/>
                <w:sz w:val="14"/>
              </w:rPr>
            </w:pPr>
          </w:p>
        </w:tc>
        <w:tc>
          <w:tcPr>
            <w:tcW w:w="1021" w:type="dxa"/>
          </w:tcPr>
          <w:p>
            <w:pPr>
              <w:pStyle w:val="TableParagraph"/>
              <w:rPr>
                <w:rFonts w:ascii="Times New Roman"/>
                <w:sz w:val="14"/>
              </w:rPr>
            </w:pPr>
          </w:p>
        </w:tc>
      </w:tr>
      <w:tr>
        <w:trPr>
          <w:trHeight w:val="294" w:hRule="atLeast"/>
        </w:trPr>
        <w:tc>
          <w:tcPr>
            <w:tcW w:w="3865" w:type="dxa"/>
          </w:tcPr>
          <w:p>
            <w:pPr>
              <w:pStyle w:val="TableParagraph"/>
              <w:spacing w:before="20"/>
              <w:ind w:left="376"/>
              <w:rPr>
                <w:sz w:val="14"/>
              </w:rPr>
            </w:pPr>
            <w:r>
              <w:rPr>
                <w:w w:val="105"/>
                <w:sz w:val="14"/>
              </w:rPr>
              <w:t>a) Sources</w:t>
            </w:r>
          </w:p>
        </w:tc>
        <w:tc>
          <w:tcPr>
            <w:tcW w:w="2532" w:type="dxa"/>
            <w:gridSpan w:val="2"/>
          </w:tcPr>
          <w:p>
            <w:pPr>
              <w:pStyle w:val="TableParagraph"/>
              <w:spacing w:before="20"/>
              <w:ind w:left="1683"/>
              <w:rPr>
                <w:sz w:val="14"/>
              </w:rPr>
            </w:pPr>
            <w:r>
              <w:rPr>
                <w:w w:val="105"/>
                <w:sz w:val="14"/>
              </w:rPr>
              <w:t>8930-8979</w:t>
            </w:r>
          </w:p>
        </w:tc>
        <w:tc>
          <w:tcPr>
            <w:tcW w:w="2120" w:type="dxa"/>
          </w:tcPr>
          <w:p>
            <w:pPr>
              <w:pStyle w:val="TableParagraph"/>
              <w:spacing w:before="20"/>
              <w:ind w:right="635"/>
              <w:jc w:val="right"/>
              <w:rPr>
                <w:sz w:val="14"/>
              </w:rPr>
            </w:pPr>
            <w:r>
              <w:rPr>
                <w:sz w:val="14"/>
              </w:rPr>
              <w:t>0.00</w:t>
            </w:r>
          </w:p>
        </w:tc>
        <w:tc>
          <w:tcPr>
            <w:tcW w:w="1561" w:type="dxa"/>
          </w:tcPr>
          <w:p>
            <w:pPr>
              <w:pStyle w:val="TableParagraph"/>
              <w:spacing w:before="20"/>
              <w:ind w:left="619" w:right="614"/>
              <w:jc w:val="center"/>
              <w:rPr>
                <w:sz w:val="14"/>
              </w:rPr>
            </w:pPr>
            <w:r>
              <w:rPr>
                <w:w w:val="105"/>
                <w:sz w:val="14"/>
              </w:rPr>
              <w:t>0.00</w:t>
            </w:r>
          </w:p>
        </w:tc>
        <w:tc>
          <w:tcPr>
            <w:tcW w:w="1021" w:type="dxa"/>
          </w:tcPr>
          <w:p>
            <w:pPr>
              <w:pStyle w:val="TableParagraph"/>
              <w:spacing w:before="20"/>
              <w:ind w:right="43"/>
              <w:jc w:val="right"/>
              <w:rPr>
                <w:sz w:val="14"/>
              </w:rPr>
            </w:pPr>
            <w:r>
              <w:rPr>
                <w:w w:val="105"/>
                <w:sz w:val="14"/>
              </w:rPr>
              <w:t>0.0%</w:t>
            </w:r>
          </w:p>
        </w:tc>
      </w:tr>
      <w:tr>
        <w:trPr>
          <w:trHeight w:val="386" w:hRule="atLeast"/>
        </w:trPr>
        <w:tc>
          <w:tcPr>
            <w:tcW w:w="3865" w:type="dxa"/>
          </w:tcPr>
          <w:p>
            <w:pPr>
              <w:pStyle w:val="TableParagraph"/>
              <w:spacing w:before="112"/>
              <w:ind w:left="376"/>
              <w:rPr>
                <w:sz w:val="14"/>
              </w:rPr>
            </w:pPr>
            <w:r>
              <w:rPr>
                <w:w w:val="105"/>
                <w:sz w:val="14"/>
              </w:rPr>
              <w:t>b) Uses</w:t>
            </w:r>
          </w:p>
        </w:tc>
        <w:tc>
          <w:tcPr>
            <w:tcW w:w="2532" w:type="dxa"/>
            <w:gridSpan w:val="2"/>
          </w:tcPr>
          <w:p>
            <w:pPr>
              <w:pStyle w:val="TableParagraph"/>
              <w:spacing w:before="112"/>
              <w:ind w:left="1683"/>
              <w:rPr>
                <w:sz w:val="14"/>
              </w:rPr>
            </w:pPr>
            <w:r>
              <w:rPr>
                <w:w w:val="105"/>
                <w:sz w:val="14"/>
              </w:rPr>
              <w:t>7630-7699</w:t>
            </w:r>
          </w:p>
        </w:tc>
        <w:tc>
          <w:tcPr>
            <w:tcW w:w="2120" w:type="dxa"/>
          </w:tcPr>
          <w:p>
            <w:pPr>
              <w:pStyle w:val="TableParagraph"/>
              <w:spacing w:before="112"/>
              <w:ind w:right="635"/>
              <w:jc w:val="right"/>
              <w:rPr>
                <w:sz w:val="14"/>
              </w:rPr>
            </w:pPr>
            <w:r>
              <w:rPr>
                <w:sz w:val="14"/>
              </w:rPr>
              <w:t>0.00</w:t>
            </w:r>
          </w:p>
        </w:tc>
        <w:tc>
          <w:tcPr>
            <w:tcW w:w="1561" w:type="dxa"/>
          </w:tcPr>
          <w:p>
            <w:pPr>
              <w:pStyle w:val="TableParagraph"/>
              <w:spacing w:before="112"/>
              <w:ind w:left="619" w:right="614"/>
              <w:jc w:val="center"/>
              <w:rPr>
                <w:sz w:val="14"/>
              </w:rPr>
            </w:pPr>
            <w:r>
              <w:rPr>
                <w:w w:val="105"/>
                <w:sz w:val="14"/>
              </w:rPr>
              <w:t>0.00</w:t>
            </w:r>
          </w:p>
        </w:tc>
        <w:tc>
          <w:tcPr>
            <w:tcW w:w="1021" w:type="dxa"/>
          </w:tcPr>
          <w:p>
            <w:pPr>
              <w:pStyle w:val="TableParagraph"/>
              <w:spacing w:before="112"/>
              <w:ind w:right="43"/>
              <w:jc w:val="right"/>
              <w:rPr>
                <w:sz w:val="14"/>
              </w:rPr>
            </w:pPr>
            <w:r>
              <w:rPr>
                <w:w w:val="105"/>
                <w:sz w:val="14"/>
              </w:rPr>
              <w:t>0.0%</w:t>
            </w:r>
          </w:p>
        </w:tc>
      </w:tr>
      <w:tr>
        <w:trPr>
          <w:trHeight w:val="386" w:hRule="atLeast"/>
        </w:trPr>
        <w:tc>
          <w:tcPr>
            <w:tcW w:w="3865" w:type="dxa"/>
          </w:tcPr>
          <w:p>
            <w:pPr>
              <w:pStyle w:val="TableParagraph"/>
              <w:spacing w:before="112"/>
              <w:ind w:left="212"/>
              <w:rPr>
                <w:sz w:val="14"/>
              </w:rPr>
            </w:pPr>
            <w:r>
              <w:rPr>
                <w:w w:val="105"/>
                <w:sz w:val="14"/>
              </w:rPr>
              <w:t>3) Contributions</w:t>
            </w:r>
          </w:p>
        </w:tc>
        <w:tc>
          <w:tcPr>
            <w:tcW w:w="2532" w:type="dxa"/>
            <w:gridSpan w:val="2"/>
          </w:tcPr>
          <w:p>
            <w:pPr>
              <w:pStyle w:val="TableParagraph"/>
              <w:spacing w:before="112"/>
              <w:ind w:left="1683"/>
              <w:rPr>
                <w:sz w:val="14"/>
              </w:rPr>
            </w:pPr>
            <w:r>
              <w:rPr>
                <w:w w:val="105"/>
                <w:sz w:val="14"/>
              </w:rPr>
              <w:t>8980-8999</w:t>
            </w:r>
          </w:p>
        </w:tc>
        <w:tc>
          <w:tcPr>
            <w:tcW w:w="2120" w:type="dxa"/>
          </w:tcPr>
          <w:p>
            <w:pPr>
              <w:pStyle w:val="TableParagraph"/>
              <w:spacing w:before="112"/>
              <w:ind w:right="635"/>
              <w:jc w:val="right"/>
              <w:rPr>
                <w:sz w:val="14"/>
              </w:rPr>
            </w:pPr>
            <w:r>
              <w:rPr>
                <w:sz w:val="14"/>
              </w:rPr>
              <w:t>0.00</w:t>
            </w:r>
          </w:p>
        </w:tc>
        <w:tc>
          <w:tcPr>
            <w:tcW w:w="1561" w:type="dxa"/>
          </w:tcPr>
          <w:p>
            <w:pPr>
              <w:pStyle w:val="TableParagraph"/>
              <w:spacing w:before="112"/>
              <w:ind w:left="619" w:right="614"/>
              <w:jc w:val="center"/>
              <w:rPr>
                <w:sz w:val="14"/>
              </w:rPr>
            </w:pPr>
            <w:r>
              <w:rPr>
                <w:w w:val="105"/>
                <w:sz w:val="14"/>
              </w:rPr>
              <w:t>0.00</w:t>
            </w:r>
          </w:p>
        </w:tc>
        <w:tc>
          <w:tcPr>
            <w:tcW w:w="1021" w:type="dxa"/>
          </w:tcPr>
          <w:p>
            <w:pPr>
              <w:pStyle w:val="TableParagraph"/>
              <w:spacing w:before="112"/>
              <w:ind w:right="43"/>
              <w:jc w:val="right"/>
              <w:rPr>
                <w:sz w:val="14"/>
              </w:rPr>
            </w:pPr>
            <w:r>
              <w:rPr>
                <w:w w:val="105"/>
                <w:sz w:val="14"/>
              </w:rPr>
              <w:t>0.0%</w:t>
            </w:r>
          </w:p>
        </w:tc>
      </w:tr>
      <w:tr>
        <w:trPr>
          <w:trHeight w:val="274" w:hRule="atLeast"/>
        </w:trPr>
        <w:tc>
          <w:tcPr>
            <w:tcW w:w="3865" w:type="dxa"/>
          </w:tcPr>
          <w:p>
            <w:pPr>
              <w:pStyle w:val="TableParagraph"/>
              <w:spacing w:line="142" w:lineRule="exact" w:before="112"/>
              <w:ind w:left="212"/>
              <w:rPr>
                <w:sz w:val="14"/>
              </w:rPr>
            </w:pPr>
            <w:r>
              <w:rPr>
                <w:w w:val="105"/>
                <w:sz w:val="14"/>
              </w:rPr>
              <w:t>4) TOTAL, OTHER FINANCING SOURCES/USES</w:t>
            </w:r>
          </w:p>
        </w:tc>
        <w:tc>
          <w:tcPr>
            <w:tcW w:w="2532" w:type="dxa"/>
            <w:gridSpan w:val="2"/>
          </w:tcPr>
          <w:p>
            <w:pPr>
              <w:pStyle w:val="TableParagraph"/>
              <w:rPr>
                <w:rFonts w:ascii="Times New Roman"/>
                <w:sz w:val="14"/>
              </w:rPr>
            </w:pPr>
          </w:p>
        </w:tc>
        <w:tc>
          <w:tcPr>
            <w:tcW w:w="2120" w:type="dxa"/>
          </w:tcPr>
          <w:p>
            <w:pPr>
              <w:pStyle w:val="TableParagraph"/>
              <w:spacing w:line="142" w:lineRule="exact" w:before="112"/>
              <w:ind w:right="635"/>
              <w:jc w:val="right"/>
              <w:rPr>
                <w:sz w:val="14"/>
              </w:rPr>
            </w:pPr>
            <w:r>
              <w:rPr>
                <w:sz w:val="14"/>
              </w:rPr>
              <w:t>0.00</w:t>
            </w:r>
          </w:p>
        </w:tc>
        <w:tc>
          <w:tcPr>
            <w:tcW w:w="1561" w:type="dxa"/>
          </w:tcPr>
          <w:p>
            <w:pPr>
              <w:pStyle w:val="TableParagraph"/>
              <w:spacing w:line="142" w:lineRule="exact" w:before="112"/>
              <w:ind w:left="619" w:right="614"/>
              <w:jc w:val="center"/>
              <w:rPr>
                <w:sz w:val="14"/>
              </w:rPr>
            </w:pPr>
            <w:r>
              <w:rPr>
                <w:w w:val="105"/>
                <w:sz w:val="14"/>
              </w:rPr>
              <w:t>0.00</w:t>
            </w:r>
          </w:p>
        </w:tc>
        <w:tc>
          <w:tcPr>
            <w:tcW w:w="1021" w:type="dxa"/>
          </w:tcPr>
          <w:p>
            <w:pPr>
              <w:pStyle w:val="TableParagraph"/>
              <w:spacing w:line="142" w:lineRule="exact" w:before="112"/>
              <w:ind w:right="43"/>
              <w:jc w:val="right"/>
              <w:rPr>
                <w:sz w:val="14"/>
              </w:rPr>
            </w:pPr>
            <w:r>
              <w:rPr>
                <w:w w:val="105"/>
                <w:sz w:val="14"/>
              </w:rPr>
              <w:t>0.0%</w:t>
            </w:r>
          </w:p>
        </w:tc>
      </w:tr>
    </w:tbl>
    <w:p>
      <w:pPr>
        <w:spacing w:after="0" w:line="142" w:lineRule="exact"/>
        <w:jc w:val="right"/>
        <w:rPr>
          <w:sz w:val="14"/>
        </w:rPr>
        <w:sectPr>
          <w:type w:val="continuous"/>
          <w:pgSz w:w="12240" w:h="15840"/>
          <w:pgMar w:top="1500" w:bottom="840" w:left="160" w:right="180"/>
        </w:sectPr>
      </w:pPr>
    </w:p>
    <w:p>
      <w:pPr>
        <w:spacing w:before="0"/>
        <w:ind w:left="322" w:right="-8" w:firstLine="0"/>
        <w:jc w:val="left"/>
        <w:rPr>
          <w:sz w:val="18"/>
        </w:rPr>
      </w:pPr>
      <w:r>
        <w:rPr>
          <w:w w:val="105"/>
          <w:sz w:val="18"/>
        </w:rPr>
        <w:t>Winship-Robbins Elementary Sutter County</w:t>
      </w:r>
    </w:p>
    <w:p>
      <w:pPr>
        <w:spacing w:before="0"/>
        <w:ind w:left="322" w:right="-14" w:firstLine="26"/>
        <w:jc w:val="left"/>
        <w:rPr>
          <w:sz w:val="18"/>
        </w:rPr>
      </w:pPr>
      <w:r>
        <w:rPr/>
        <w:br w:type="column"/>
      </w:r>
      <w:r>
        <w:rPr>
          <w:w w:val="105"/>
          <w:sz w:val="18"/>
        </w:rPr>
        <w:t>Child Development Fund Expenditures by Function</w:t>
      </w:r>
    </w:p>
    <w:p>
      <w:pPr>
        <w:spacing w:before="0"/>
        <w:ind w:left="0" w:right="300" w:firstLine="0"/>
        <w:jc w:val="right"/>
        <w:rPr>
          <w:sz w:val="18"/>
        </w:rPr>
      </w:pPr>
      <w:r>
        <w:rPr/>
        <w:br w:type="column"/>
      </w:r>
      <w:r>
        <w:rPr>
          <w:w w:val="105"/>
          <w:sz w:val="18"/>
        </w:rPr>
        <w:t>51 71456</w:t>
      </w:r>
      <w:r>
        <w:rPr>
          <w:spacing w:val="-33"/>
          <w:w w:val="105"/>
          <w:sz w:val="18"/>
        </w:rPr>
        <w:t> </w:t>
      </w:r>
      <w:r>
        <w:rPr>
          <w:w w:val="105"/>
          <w:sz w:val="18"/>
        </w:rPr>
        <w:t>0000000</w:t>
      </w:r>
    </w:p>
    <w:p>
      <w:pPr>
        <w:spacing w:before="2"/>
        <w:ind w:left="0" w:right="299" w:firstLine="0"/>
        <w:jc w:val="right"/>
        <w:rPr>
          <w:sz w:val="18"/>
        </w:rPr>
      </w:pPr>
      <w:r>
        <w:rPr>
          <w:w w:val="105"/>
          <w:sz w:val="18"/>
        </w:rPr>
        <w:t>Form</w:t>
      </w:r>
      <w:r>
        <w:rPr>
          <w:spacing w:val="43"/>
          <w:w w:val="105"/>
          <w:sz w:val="18"/>
        </w:rPr>
        <w:t> </w:t>
      </w:r>
      <w:r>
        <w:rPr>
          <w:w w:val="105"/>
          <w:sz w:val="18"/>
        </w:rPr>
        <w:t>12</w:t>
      </w:r>
    </w:p>
    <w:p>
      <w:pPr>
        <w:spacing w:after="0"/>
        <w:jc w:val="right"/>
        <w:rPr>
          <w:sz w:val="18"/>
        </w:rPr>
        <w:sectPr>
          <w:headerReference w:type="default" r:id="rId687"/>
          <w:footerReference w:type="default" r:id="rId688"/>
          <w:pgSz w:w="12240" w:h="15840"/>
          <w:pgMar w:header="673" w:footer="451" w:top="880" w:bottom="640" w:left="160" w:right="180"/>
          <w:cols w:num="3" w:equalWidth="0">
            <w:col w:w="2771" w:space="1816"/>
            <w:col w:w="2461" w:space="2676"/>
            <w:col w:w="2176"/>
          </w:cols>
        </w:sectPr>
      </w:pPr>
    </w:p>
    <w:p>
      <w:pPr>
        <w:pStyle w:val="BodyText"/>
        <w:rPr>
          <w:sz w:val="20"/>
        </w:rPr>
      </w:pPr>
    </w:p>
    <w:p>
      <w:pPr>
        <w:pStyle w:val="BodyText"/>
        <w:rPr>
          <w:sz w:val="20"/>
        </w:rPr>
      </w:pPr>
    </w:p>
    <w:p>
      <w:pPr>
        <w:pStyle w:val="BodyText"/>
        <w:spacing w:before="4"/>
        <w:rPr>
          <w:sz w:val="20"/>
        </w:rPr>
      </w:pPr>
    </w:p>
    <w:p>
      <w:pPr>
        <w:spacing w:after="0"/>
        <w:rPr>
          <w:sz w:val="20"/>
        </w:rPr>
        <w:sectPr>
          <w:type w:val="continuous"/>
          <w:pgSz w:w="12240" w:h="15840"/>
          <w:pgMar w:top="1500" w:bottom="840" w:left="160" w:right="180"/>
        </w:sectPr>
      </w:pPr>
    </w:p>
    <w:p>
      <w:pPr>
        <w:pStyle w:val="BodyText"/>
        <w:spacing w:before="7"/>
        <w:rPr>
          <w:sz w:val="23"/>
        </w:rPr>
      </w:pPr>
    </w:p>
    <w:p>
      <w:pPr>
        <w:tabs>
          <w:tab w:pos="4409" w:val="left" w:leader="none"/>
          <w:tab w:pos="5803" w:val="left" w:leader="none"/>
        </w:tabs>
        <w:spacing w:before="0"/>
        <w:ind w:left="423" w:right="0" w:firstLine="0"/>
        <w:jc w:val="left"/>
        <w:rPr>
          <w:b/>
          <w:sz w:val="14"/>
        </w:rPr>
      </w:pPr>
      <w:r>
        <w:rPr>
          <w:b/>
          <w:w w:val="105"/>
          <w:sz w:val="14"/>
        </w:rPr>
        <w:t>Description</w:t>
        <w:tab/>
        <w:t>Function</w:t>
      </w:r>
      <w:r>
        <w:rPr>
          <w:b/>
          <w:spacing w:val="-6"/>
          <w:w w:val="105"/>
          <w:sz w:val="14"/>
        </w:rPr>
        <w:t> </w:t>
      </w:r>
      <w:r>
        <w:rPr>
          <w:b/>
          <w:w w:val="105"/>
          <w:sz w:val="14"/>
        </w:rPr>
        <w:t>Codes</w:t>
        <w:tab/>
        <w:t>Object</w:t>
      </w:r>
      <w:r>
        <w:rPr>
          <w:b/>
          <w:spacing w:val="-3"/>
          <w:w w:val="105"/>
          <w:sz w:val="14"/>
        </w:rPr>
        <w:t> </w:t>
      </w:r>
      <w:r>
        <w:rPr>
          <w:b/>
          <w:spacing w:val="-5"/>
          <w:w w:val="105"/>
          <w:sz w:val="14"/>
        </w:rPr>
        <w:t>Codes</w:t>
      </w:r>
    </w:p>
    <w:p>
      <w:pPr>
        <w:spacing w:before="101"/>
        <w:ind w:left="118" w:right="8" w:firstLine="0"/>
        <w:jc w:val="center"/>
        <w:rPr>
          <w:b/>
          <w:sz w:val="14"/>
        </w:rPr>
      </w:pPr>
      <w:r>
        <w:rPr/>
        <w:br w:type="column"/>
      </w:r>
      <w:r>
        <w:rPr>
          <w:b/>
          <w:w w:val="105"/>
          <w:sz w:val="14"/>
        </w:rPr>
        <w:t>2020-21</w:t>
      </w:r>
    </w:p>
    <w:p>
      <w:pPr>
        <w:spacing w:before="10"/>
        <w:ind w:left="118" w:right="12" w:firstLine="0"/>
        <w:jc w:val="center"/>
        <w:rPr>
          <w:b/>
          <w:sz w:val="14"/>
        </w:rPr>
      </w:pPr>
      <w:r>
        <w:rPr/>
        <w:pict>
          <v:group style="position:absolute;margin-left:27.120001pt;margin-top:-31.334087pt;width:554.3pt;height:442.95pt;mso-position-horizontal-relative:page;mso-position-vertical-relative:paragraph;z-index:-314458112" coordorigin="542,-627" coordsize="11086,8859">
            <v:shape style="position:absolute;left:542;top:-627;width:3766;height:814" type="#_x0000_t75" stroked="false">
              <v:imagedata r:id="rId522" o:title=""/>
            </v:shape>
            <v:shape style="position:absolute;left:4300;top:-627;width:7328;height:1402" type="#_x0000_t75" stroked="false">
              <v:imagedata r:id="rId550" o:title=""/>
            </v:shape>
            <v:line style="position:absolute" from="1379,177" to="1379,557" stroked="true" strokeweight=".360003pt" strokecolor="#ffffff">
              <v:stroke dashstyle="solid"/>
            </v:line>
            <v:shape style="position:absolute;left:542;top:172;width:3766;height:603" type="#_x0000_t75" stroked="false">
              <v:imagedata r:id="rId551" o:title=""/>
            </v:shape>
            <v:line style="position:absolute" from="1379,765" to="1379,1145" stroked="true" strokeweight=".360003pt" strokecolor="#ffffff">
              <v:stroke dashstyle="solid"/>
            </v:line>
            <v:shape style="position:absolute;left:6926;top:558;width:4702;height:1359" type="#_x0000_t75" stroked="false">
              <v:imagedata r:id="rId552" o:title=""/>
            </v:shape>
            <v:shape style="position:absolute;left:542;top:760;width:3766;height:7472" type="#_x0000_t75" stroked="false">
              <v:imagedata r:id="rId553" o:title=""/>
            </v:shape>
            <w10:wrap type="none"/>
          </v:group>
        </w:pict>
      </w:r>
      <w:r>
        <w:rPr>
          <w:b/>
          <w:w w:val="105"/>
          <w:sz w:val="14"/>
        </w:rPr>
        <w:t>Estimated Actuals</w:t>
      </w:r>
    </w:p>
    <w:p>
      <w:pPr>
        <w:spacing w:before="101"/>
        <w:ind w:left="423" w:right="0" w:firstLine="0"/>
        <w:jc w:val="left"/>
        <w:rPr>
          <w:b/>
          <w:sz w:val="14"/>
        </w:rPr>
      </w:pPr>
      <w:r>
        <w:rPr/>
        <w:br w:type="column"/>
      </w:r>
      <w:r>
        <w:rPr>
          <w:b/>
          <w:w w:val="105"/>
          <w:sz w:val="14"/>
        </w:rPr>
        <w:t>2021-22</w:t>
      </w:r>
    </w:p>
    <w:p>
      <w:pPr>
        <w:spacing w:before="10"/>
        <w:ind w:left="439" w:right="0" w:firstLine="0"/>
        <w:jc w:val="left"/>
        <w:rPr>
          <w:b/>
          <w:sz w:val="14"/>
        </w:rPr>
      </w:pPr>
      <w:r>
        <w:rPr>
          <w:b/>
          <w:w w:val="105"/>
          <w:sz w:val="14"/>
        </w:rPr>
        <w:t>Budget</w:t>
      </w:r>
    </w:p>
    <w:p>
      <w:pPr>
        <w:spacing w:line="254" w:lineRule="auto" w:before="101"/>
        <w:ind w:left="423" w:right="283" w:firstLine="88"/>
        <w:jc w:val="left"/>
        <w:rPr>
          <w:b/>
          <w:sz w:val="14"/>
        </w:rPr>
      </w:pPr>
      <w:r>
        <w:rPr/>
        <w:br w:type="column"/>
      </w:r>
      <w:r>
        <w:rPr>
          <w:b/>
          <w:w w:val="105"/>
          <w:sz w:val="14"/>
        </w:rPr>
        <w:t>Percent </w:t>
      </w:r>
      <w:r>
        <w:rPr>
          <w:b/>
          <w:sz w:val="14"/>
        </w:rPr>
        <w:t>Difference</w:t>
      </w:r>
    </w:p>
    <w:p>
      <w:pPr>
        <w:spacing w:after="0" w:line="254" w:lineRule="auto"/>
        <w:jc w:val="left"/>
        <w:rPr>
          <w:sz w:val="14"/>
        </w:rPr>
        <w:sectPr>
          <w:type w:val="continuous"/>
          <w:pgSz w:w="12240" w:h="15840"/>
          <w:pgMar w:top="1500" w:bottom="840" w:left="160" w:right="180"/>
          <w:cols w:num="4" w:equalWidth="0">
            <w:col w:w="6741" w:space="40"/>
            <w:col w:w="1445" w:space="203"/>
            <w:col w:w="1000" w:space="473"/>
            <w:col w:w="1998"/>
          </w:cols>
        </w:sectPr>
      </w:pPr>
    </w:p>
    <w:p>
      <w:pPr>
        <w:pStyle w:val="BodyText"/>
        <w:rPr>
          <w:b/>
          <w:sz w:val="10"/>
        </w:rPr>
      </w:pPr>
    </w:p>
    <w:p>
      <w:pPr>
        <w:pStyle w:val="ListParagraph"/>
        <w:numPr>
          <w:ilvl w:val="0"/>
          <w:numId w:val="20"/>
        </w:numPr>
        <w:tabs>
          <w:tab w:pos="604" w:val="left" w:leader="none"/>
        </w:tabs>
        <w:spacing w:line="240" w:lineRule="auto" w:before="101" w:after="0"/>
        <w:ind w:left="603" w:right="0" w:hanging="181"/>
        <w:jc w:val="left"/>
        <w:rPr>
          <w:b/>
          <w:sz w:val="14"/>
        </w:rPr>
      </w:pPr>
      <w:r>
        <w:rPr>
          <w:b/>
          <w:w w:val="105"/>
          <w:sz w:val="14"/>
        </w:rPr>
        <w:t>NET INCREASE (DECREASE) IN</w:t>
      </w:r>
      <w:r>
        <w:rPr>
          <w:b/>
          <w:spacing w:val="-6"/>
          <w:w w:val="105"/>
          <w:sz w:val="14"/>
        </w:rPr>
        <w:t> </w:t>
      </w:r>
      <w:r>
        <w:rPr>
          <w:b/>
          <w:w w:val="105"/>
          <w:sz w:val="14"/>
        </w:rPr>
        <w:t>FUND</w:t>
      </w:r>
    </w:p>
    <w:p>
      <w:pPr>
        <w:tabs>
          <w:tab w:pos="7968" w:val="left" w:leader="none"/>
          <w:tab w:pos="9531" w:val="left" w:leader="none"/>
          <w:tab w:pos="11093" w:val="left" w:leader="none"/>
        </w:tabs>
        <w:spacing w:before="43"/>
        <w:ind w:left="626" w:right="0" w:firstLine="0"/>
        <w:jc w:val="left"/>
        <w:rPr>
          <w:sz w:val="14"/>
        </w:rPr>
      </w:pPr>
      <w:r>
        <w:rPr>
          <w:b/>
          <w:spacing w:val="-3"/>
          <w:w w:val="105"/>
          <w:sz w:val="14"/>
        </w:rPr>
        <w:t>BALANCE </w:t>
      </w:r>
      <w:r>
        <w:rPr>
          <w:b/>
          <w:w w:val="105"/>
          <w:sz w:val="14"/>
        </w:rPr>
        <w:t>(C</w:t>
      </w:r>
      <w:r>
        <w:rPr>
          <w:b/>
          <w:spacing w:val="1"/>
          <w:w w:val="105"/>
          <w:sz w:val="14"/>
        </w:rPr>
        <w:t> </w:t>
      </w:r>
      <w:r>
        <w:rPr>
          <w:b/>
          <w:w w:val="105"/>
          <w:sz w:val="14"/>
        </w:rPr>
        <w:t>+</w:t>
      </w:r>
      <w:r>
        <w:rPr>
          <w:b/>
          <w:spacing w:val="-1"/>
          <w:w w:val="105"/>
          <w:sz w:val="14"/>
        </w:rPr>
        <w:t> </w:t>
      </w:r>
      <w:r>
        <w:rPr>
          <w:b/>
          <w:w w:val="105"/>
          <w:sz w:val="14"/>
        </w:rPr>
        <w:t>D4)</w:t>
        <w:tab/>
      </w:r>
      <w:r>
        <w:rPr>
          <w:w w:val="105"/>
          <w:sz w:val="14"/>
        </w:rPr>
        <w:t>0.00</w:t>
        <w:tab/>
        <w:t>0.00</w:t>
        <w:tab/>
        <w:t>0.0%</w:t>
      </w:r>
    </w:p>
    <w:p>
      <w:pPr>
        <w:pStyle w:val="BodyText"/>
        <w:spacing w:before="7"/>
        <w:rPr>
          <w:sz w:val="10"/>
        </w:rPr>
      </w:pPr>
    </w:p>
    <w:p>
      <w:pPr>
        <w:pStyle w:val="Heading8"/>
        <w:numPr>
          <w:ilvl w:val="0"/>
          <w:numId w:val="20"/>
        </w:numPr>
        <w:tabs>
          <w:tab w:pos="593" w:val="left" w:leader="none"/>
        </w:tabs>
        <w:spacing w:line="240" w:lineRule="auto" w:before="101" w:after="0"/>
        <w:ind w:left="592" w:right="0" w:hanging="170"/>
        <w:jc w:val="left"/>
      </w:pPr>
      <w:r>
        <w:rPr/>
        <w:pict>
          <v:group style="position:absolute;margin-left:215.039993pt;margin-top:33.335945pt;width:366.4pt;height:334.1pt;mso-position-horizontal-relative:page;mso-position-vertical-relative:paragraph;z-index:-314457088" coordorigin="4301,667" coordsize="7328,6682">
            <v:shape style="position:absolute;left:6926;top:666;width:4702;height:728" type="#_x0000_t75" stroked="false">
              <v:imagedata r:id="rId554" o:title=""/>
            </v:shape>
            <v:shape style="position:absolute;left:6926;top:1026;width:4702;height:728" type="#_x0000_t75" stroked="false">
              <v:imagedata r:id="rId555" o:title=""/>
            </v:shape>
            <v:shape style="position:absolute;left:6926;top:1386;width:4702;height:728" type="#_x0000_t75" stroked="false">
              <v:imagedata r:id="rId555" o:title=""/>
            </v:shape>
            <v:shape style="position:absolute;left:6926;top:1746;width:4702;height:728" type="#_x0000_t75" stroked="false">
              <v:imagedata r:id="rId555" o:title=""/>
            </v:shape>
            <v:shape style="position:absolute;left:6926;top:2106;width:4702;height:728" type="#_x0000_t75" stroked="false">
              <v:imagedata r:id="rId555" o:title=""/>
            </v:shape>
            <v:shape style="position:absolute;left:6926;top:2466;width:4702;height:1030" type="#_x0000_t75" stroked="false">
              <v:imagedata r:id="rId556" o:title=""/>
            </v:shape>
            <v:shape style="position:absolute;left:6926;top:3287;width:4702;height:569" type="#_x0000_t75" stroked="false">
              <v:imagedata r:id="rId557" o:title=""/>
            </v:shape>
            <v:shape style="position:absolute;left:6926;top:3489;width:4702;height:723" type="#_x0000_t75" stroked="false">
              <v:imagedata r:id="rId689" o:title=""/>
            </v:shape>
            <v:shape style="position:absolute;left:8488;top:3849;width:3140;height:728" type="#_x0000_t75" stroked="false">
              <v:imagedata r:id="rId690" o:title=""/>
            </v:shape>
            <v:shape style="position:absolute;left:6926;top:4209;width:1570;height:368" type="#_x0000_t75" stroked="false">
              <v:imagedata r:id="rId691" o:title=""/>
            </v:shape>
            <v:shape style="position:absolute;left:8488;top:4209;width:3140;height:1083" type="#_x0000_t75" stroked="false">
              <v:imagedata r:id="rId692" o:title=""/>
            </v:shape>
            <v:shape style="position:absolute;left:6926;top:4569;width:1570;height:723" type="#_x0000_t75" stroked="false">
              <v:imagedata r:id="rId693" o:title=""/>
            </v:shape>
            <v:shape style="position:absolute;left:6931;top:4933;width:4688;height:360" coordorigin="6931,4934" coordsize="4688,360" path="m11618,4934l10056,4934,8494,4934,6931,4934,6931,5294,8494,5294,10056,5294,11618,5294,11618,4934e" filled="true" fillcolor="#dfdfdf" stroked="false">
              <v:path arrowok="t"/>
              <v:fill type="solid"/>
            </v:shape>
            <v:shape style="position:absolute;left:6926;top:5289;width:1570;height:209" type="#_x0000_t75" stroked="false">
              <v:imagedata r:id="rId694" o:title=""/>
            </v:shape>
            <v:shape style="position:absolute;left:8488;top:5289;width:1570;height:209" type="#_x0000_t75" stroked="false">
              <v:imagedata r:id="rId694" o:title=""/>
            </v:shape>
            <v:shape style="position:absolute;left:6926;top:4929;width:4702;height:1491" type="#_x0000_t75" stroked="false">
              <v:imagedata r:id="rId695" o:title=""/>
            </v:shape>
            <v:shape style="position:absolute;left:8488;top:6210;width:3140;height:209" type="#_x0000_t75" stroked="false">
              <v:imagedata r:id="rId696" o:title=""/>
            </v:shape>
            <v:shape style="position:absolute;left:6926;top:6412;width:1570;height:365" type="#_x0000_t75" stroked="false">
              <v:imagedata r:id="rId566" o:title=""/>
            </v:shape>
            <v:shape style="position:absolute;left:8488;top:6412;width:1570;height:365" type="#_x0000_t75" stroked="false">
              <v:imagedata r:id="rId566" o:title=""/>
            </v:shape>
            <v:rect style="position:absolute;left:10056;top:6417;width:1563;height:360" filled="true" fillcolor="#dfdfdf" stroked="false">
              <v:fill type="solid"/>
            </v:rect>
            <v:shape style="position:absolute;left:6926;top:6772;width:1570;height:209" type="#_x0000_t75" stroked="false">
              <v:imagedata r:id="rId568" o:title=""/>
            </v:shape>
            <v:shape style="position:absolute;left:8488;top:6772;width:1570;height:209" type="#_x0000_t75" stroked="false">
              <v:imagedata r:id="rId568" o:title=""/>
            </v:shape>
            <v:rect style="position:absolute;left:10056;top:6777;width:1563;height:202" filled="true" fillcolor="#dfdfdf" stroked="false">
              <v:fill type="solid"/>
            </v:rect>
            <v:shape style="position:absolute;left:4300;top:6412;width:7328;height:936" type="#_x0000_t75" stroked="false">
              <v:imagedata r:id="rId569" o:title=""/>
            </v:shape>
            <w10:wrap type="none"/>
          </v:group>
        </w:pict>
      </w:r>
      <w:r>
        <w:rPr>
          <w:w w:val="105"/>
        </w:rPr>
        <w:t>FUND BALANCE,</w:t>
      </w:r>
      <w:r>
        <w:rPr>
          <w:spacing w:val="-3"/>
          <w:w w:val="105"/>
        </w:rPr>
        <w:t> </w:t>
      </w:r>
      <w:r>
        <w:rPr>
          <w:w w:val="105"/>
        </w:rPr>
        <w:t>RESERVES</w:t>
      </w:r>
    </w:p>
    <w:p>
      <w:pPr>
        <w:pStyle w:val="BodyText"/>
        <w:spacing w:before="2"/>
        <w:rPr>
          <w:b/>
          <w:sz w:val="21"/>
        </w:rPr>
      </w:pPr>
    </w:p>
    <w:tbl>
      <w:tblPr>
        <w:tblW w:w="0" w:type="auto"/>
        <w:jc w:val="left"/>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523"/>
        <w:gridCol w:w="712"/>
        <w:gridCol w:w="1978"/>
        <w:gridCol w:w="1106"/>
        <w:gridCol w:w="1652"/>
      </w:tblGrid>
      <w:tr>
        <w:trPr>
          <w:trHeight w:val="360" w:hRule="atLeast"/>
        </w:trPr>
        <w:tc>
          <w:tcPr>
            <w:tcW w:w="5523" w:type="dxa"/>
          </w:tcPr>
          <w:p>
            <w:pPr>
              <w:pStyle w:val="TableParagraph"/>
              <w:spacing w:before="1"/>
              <w:ind w:left="50"/>
              <w:rPr>
                <w:sz w:val="14"/>
              </w:rPr>
            </w:pPr>
            <w:r>
              <w:rPr>
                <w:w w:val="105"/>
                <w:sz w:val="14"/>
              </w:rPr>
              <w:t>1) Beginning Fund Balance</w:t>
            </w:r>
          </w:p>
        </w:tc>
        <w:tc>
          <w:tcPr>
            <w:tcW w:w="5448" w:type="dxa"/>
            <w:gridSpan w:val="4"/>
          </w:tcPr>
          <w:p>
            <w:pPr>
              <w:pStyle w:val="TableParagraph"/>
              <w:rPr>
                <w:rFonts w:ascii="Times New Roman"/>
                <w:sz w:val="14"/>
              </w:rPr>
            </w:pPr>
          </w:p>
        </w:tc>
      </w:tr>
      <w:tr>
        <w:trPr>
          <w:trHeight w:val="261" w:hRule="atLeast"/>
        </w:trPr>
        <w:tc>
          <w:tcPr>
            <w:tcW w:w="5523" w:type="dxa"/>
          </w:tcPr>
          <w:p>
            <w:pPr>
              <w:pStyle w:val="TableParagraph"/>
              <w:spacing w:before="1"/>
              <w:ind w:left="214"/>
              <w:rPr>
                <w:sz w:val="14"/>
              </w:rPr>
            </w:pPr>
            <w:r>
              <w:rPr>
                <w:w w:val="105"/>
                <w:sz w:val="14"/>
              </w:rPr>
              <w:t>a) As of July 1 - Unaudited</w:t>
            </w:r>
          </w:p>
        </w:tc>
        <w:tc>
          <w:tcPr>
            <w:tcW w:w="712" w:type="dxa"/>
          </w:tcPr>
          <w:p>
            <w:pPr>
              <w:pStyle w:val="TableParagraph"/>
              <w:spacing w:before="1"/>
              <w:ind w:left="50"/>
              <w:rPr>
                <w:sz w:val="14"/>
              </w:rPr>
            </w:pPr>
            <w:r>
              <w:rPr>
                <w:w w:val="105"/>
                <w:sz w:val="14"/>
              </w:rPr>
              <w:t>9791</w:t>
            </w:r>
          </w:p>
        </w:tc>
        <w:tc>
          <w:tcPr>
            <w:tcW w:w="1978" w:type="dxa"/>
          </w:tcPr>
          <w:p>
            <w:pPr>
              <w:pStyle w:val="TableParagraph"/>
              <w:spacing w:before="1"/>
              <w:ind w:right="492"/>
              <w:jc w:val="right"/>
              <w:rPr>
                <w:sz w:val="14"/>
              </w:rPr>
            </w:pPr>
            <w:r>
              <w:rPr>
                <w:sz w:val="14"/>
              </w:rPr>
              <w:t>5,882.00</w:t>
            </w:r>
          </w:p>
        </w:tc>
        <w:tc>
          <w:tcPr>
            <w:tcW w:w="1106" w:type="dxa"/>
          </w:tcPr>
          <w:p>
            <w:pPr>
              <w:pStyle w:val="TableParagraph"/>
              <w:spacing w:before="1"/>
              <w:ind w:right="36"/>
              <w:jc w:val="right"/>
              <w:rPr>
                <w:sz w:val="14"/>
              </w:rPr>
            </w:pPr>
            <w:r>
              <w:rPr>
                <w:sz w:val="14"/>
              </w:rPr>
              <w:t>5,882.00</w:t>
            </w:r>
          </w:p>
        </w:tc>
        <w:tc>
          <w:tcPr>
            <w:tcW w:w="1652" w:type="dxa"/>
          </w:tcPr>
          <w:p>
            <w:pPr>
              <w:pStyle w:val="TableParagraph"/>
              <w:spacing w:before="1"/>
              <w:ind w:right="77"/>
              <w:jc w:val="right"/>
              <w:rPr>
                <w:sz w:val="14"/>
              </w:rPr>
            </w:pPr>
            <w:r>
              <w:rPr>
                <w:sz w:val="14"/>
              </w:rPr>
              <w:t>0.0%</w:t>
            </w:r>
          </w:p>
        </w:tc>
      </w:tr>
      <w:tr>
        <w:trPr>
          <w:trHeight w:val="360" w:hRule="atLeast"/>
        </w:trPr>
        <w:tc>
          <w:tcPr>
            <w:tcW w:w="5523" w:type="dxa"/>
          </w:tcPr>
          <w:p>
            <w:pPr>
              <w:pStyle w:val="TableParagraph"/>
              <w:spacing w:before="99"/>
              <w:ind w:left="214"/>
              <w:rPr>
                <w:sz w:val="14"/>
              </w:rPr>
            </w:pPr>
            <w:r>
              <w:rPr>
                <w:w w:val="105"/>
                <w:sz w:val="14"/>
              </w:rPr>
              <w:t>b) Audit Adjustments</w:t>
            </w:r>
          </w:p>
        </w:tc>
        <w:tc>
          <w:tcPr>
            <w:tcW w:w="712" w:type="dxa"/>
          </w:tcPr>
          <w:p>
            <w:pPr>
              <w:pStyle w:val="TableParagraph"/>
              <w:spacing w:before="99"/>
              <w:ind w:left="50"/>
              <w:rPr>
                <w:sz w:val="14"/>
              </w:rPr>
            </w:pPr>
            <w:r>
              <w:rPr>
                <w:w w:val="105"/>
                <w:sz w:val="14"/>
              </w:rPr>
              <w:t>9793</w:t>
            </w:r>
          </w:p>
        </w:tc>
        <w:tc>
          <w:tcPr>
            <w:tcW w:w="1978" w:type="dxa"/>
          </w:tcPr>
          <w:p>
            <w:pPr>
              <w:pStyle w:val="TableParagraph"/>
              <w:spacing w:before="99"/>
              <w:ind w:right="493"/>
              <w:jc w:val="right"/>
              <w:rPr>
                <w:sz w:val="14"/>
              </w:rPr>
            </w:pPr>
            <w:r>
              <w:rPr>
                <w:sz w:val="14"/>
              </w:rPr>
              <w:t>0.00</w:t>
            </w:r>
          </w:p>
        </w:tc>
        <w:tc>
          <w:tcPr>
            <w:tcW w:w="1106" w:type="dxa"/>
          </w:tcPr>
          <w:p>
            <w:pPr>
              <w:pStyle w:val="TableParagraph"/>
              <w:spacing w:before="99"/>
              <w:ind w:right="38"/>
              <w:jc w:val="right"/>
              <w:rPr>
                <w:sz w:val="14"/>
              </w:rPr>
            </w:pPr>
            <w:r>
              <w:rPr>
                <w:w w:val="105"/>
                <w:sz w:val="14"/>
              </w:rPr>
              <w:t>0.00</w:t>
            </w:r>
          </w:p>
        </w:tc>
        <w:tc>
          <w:tcPr>
            <w:tcW w:w="1652" w:type="dxa"/>
          </w:tcPr>
          <w:p>
            <w:pPr>
              <w:pStyle w:val="TableParagraph"/>
              <w:spacing w:before="99"/>
              <w:ind w:right="77"/>
              <w:jc w:val="right"/>
              <w:rPr>
                <w:sz w:val="14"/>
              </w:rPr>
            </w:pPr>
            <w:r>
              <w:rPr>
                <w:sz w:val="14"/>
              </w:rPr>
              <w:t>0.0%</w:t>
            </w:r>
          </w:p>
        </w:tc>
      </w:tr>
      <w:tr>
        <w:trPr>
          <w:trHeight w:val="360" w:hRule="atLeast"/>
        </w:trPr>
        <w:tc>
          <w:tcPr>
            <w:tcW w:w="5523" w:type="dxa"/>
          </w:tcPr>
          <w:p>
            <w:pPr>
              <w:pStyle w:val="TableParagraph"/>
              <w:spacing w:before="99"/>
              <w:ind w:left="214"/>
              <w:rPr>
                <w:sz w:val="14"/>
              </w:rPr>
            </w:pPr>
            <w:r>
              <w:rPr>
                <w:w w:val="105"/>
                <w:sz w:val="14"/>
              </w:rPr>
              <w:t>c) As of July 1 - Audited (F1a + F1b)</w:t>
            </w:r>
          </w:p>
        </w:tc>
        <w:tc>
          <w:tcPr>
            <w:tcW w:w="712" w:type="dxa"/>
          </w:tcPr>
          <w:p>
            <w:pPr>
              <w:pStyle w:val="TableParagraph"/>
              <w:rPr>
                <w:rFonts w:ascii="Times New Roman"/>
                <w:sz w:val="14"/>
              </w:rPr>
            </w:pPr>
          </w:p>
        </w:tc>
        <w:tc>
          <w:tcPr>
            <w:tcW w:w="1978" w:type="dxa"/>
          </w:tcPr>
          <w:p>
            <w:pPr>
              <w:pStyle w:val="TableParagraph"/>
              <w:spacing w:before="99"/>
              <w:ind w:right="492"/>
              <w:jc w:val="right"/>
              <w:rPr>
                <w:sz w:val="14"/>
              </w:rPr>
            </w:pPr>
            <w:r>
              <w:rPr>
                <w:sz w:val="14"/>
              </w:rPr>
              <w:t>5,882.00</w:t>
            </w:r>
          </w:p>
        </w:tc>
        <w:tc>
          <w:tcPr>
            <w:tcW w:w="1106" w:type="dxa"/>
          </w:tcPr>
          <w:p>
            <w:pPr>
              <w:pStyle w:val="TableParagraph"/>
              <w:spacing w:before="99"/>
              <w:ind w:right="36"/>
              <w:jc w:val="right"/>
              <w:rPr>
                <w:sz w:val="14"/>
              </w:rPr>
            </w:pPr>
            <w:r>
              <w:rPr>
                <w:sz w:val="14"/>
              </w:rPr>
              <w:t>5,882.00</w:t>
            </w:r>
          </w:p>
        </w:tc>
        <w:tc>
          <w:tcPr>
            <w:tcW w:w="1652" w:type="dxa"/>
          </w:tcPr>
          <w:p>
            <w:pPr>
              <w:pStyle w:val="TableParagraph"/>
              <w:spacing w:before="99"/>
              <w:ind w:right="77"/>
              <w:jc w:val="right"/>
              <w:rPr>
                <w:sz w:val="14"/>
              </w:rPr>
            </w:pPr>
            <w:r>
              <w:rPr>
                <w:sz w:val="14"/>
              </w:rPr>
              <w:t>0.0%</w:t>
            </w:r>
          </w:p>
        </w:tc>
      </w:tr>
      <w:tr>
        <w:trPr>
          <w:trHeight w:val="360" w:hRule="atLeast"/>
        </w:trPr>
        <w:tc>
          <w:tcPr>
            <w:tcW w:w="5523" w:type="dxa"/>
          </w:tcPr>
          <w:p>
            <w:pPr>
              <w:pStyle w:val="TableParagraph"/>
              <w:spacing w:before="99"/>
              <w:ind w:left="214"/>
              <w:rPr>
                <w:sz w:val="14"/>
              </w:rPr>
            </w:pPr>
            <w:r>
              <w:rPr>
                <w:w w:val="105"/>
                <w:sz w:val="14"/>
              </w:rPr>
              <w:t>d) Other Restatements</w:t>
            </w:r>
          </w:p>
        </w:tc>
        <w:tc>
          <w:tcPr>
            <w:tcW w:w="712" w:type="dxa"/>
          </w:tcPr>
          <w:p>
            <w:pPr>
              <w:pStyle w:val="TableParagraph"/>
              <w:spacing w:before="99"/>
              <w:ind w:left="50"/>
              <w:rPr>
                <w:sz w:val="14"/>
              </w:rPr>
            </w:pPr>
            <w:r>
              <w:rPr>
                <w:w w:val="105"/>
                <w:sz w:val="14"/>
              </w:rPr>
              <w:t>9795</w:t>
            </w:r>
          </w:p>
        </w:tc>
        <w:tc>
          <w:tcPr>
            <w:tcW w:w="1978" w:type="dxa"/>
          </w:tcPr>
          <w:p>
            <w:pPr>
              <w:pStyle w:val="TableParagraph"/>
              <w:spacing w:before="99"/>
              <w:ind w:right="493"/>
              <w:jc w:val="right"/>
              <w:rPr>
                <w:sz w:val="14"/>
              </w:rPr>
            </w:pPr>
            <w:r>
              <w:rPr>
                <w:sz w:val="14"/>
              </w:rPr>
              <w:t>0.00</w:t>
            </w:r>
          </w:p>
        </w:tc>
        <w:tc>
          <w:tcPr>
            <w:tcW w:w="1106" w:type="dxa"/>
          </w:tcPr>
          <w:p>
            <w:pPr>
              <w:pStyle w:val="TableParagraph"/>
              <w:spacing w:before="99"/>
              <w:ind w:right="38"/>
              <w:jc w:val="right"/>
              <w:rPr>
                <w:sz w:val="14"/>
              </w:rPr>
            </w:pPr>
            <w:r>
              <w:rPr>
                <w:w w:val="105"/>
                <w:sz w:val="14"/>
              </w:rPr>
              <w:t>0.00</w:t>
            </w:r>
          </w:p>
        </w:tc>
        <w:tc>
          <w:tcPr>
            <w:tcW w:w="1652" w:type="dxa"/>
          </w:tcPr>
          <w:p>
            <w:pPr>
              <w:pStyle w:val="TableParagraph"/>
              <w:spacing w:before="99"/>
              <w:ind w:right="77"/>
              <w:jc w:val="right"/>
              <w:rPr>
                <w:sz w:val="14"/>
              </w:rPr>
            </w:pPr>
            <w:r>
              <w:rPr>
                <w:sz w:val="14"/>
              </w:rPr>
              <w:t>0.0%</w:t>
            </w:r>
          </w:p>
        </w:tc>
      </w:tr>
      <w:tr>
        <w:trPr>
          <w:trHeight w:val="360" w:hRule="atLeast"/>
        </w:trPr>
        <w:tc>
          <w:tcPr>
            <w:tcW w:w="5523" w:type="dxa"/>
          </w:tcPr>
          <w:p>
            <w:pPr>
              <w:pStyle w:val="TableParagraph"/>
              <w:spacing w:before="99"/>
              <w:ind w:left="214"/>
              <w:rPr>
                <w:sz w:val="14"/>
              </w:rPr>
            </w:pPr>
            <w:r>
              <w:rPr>
                <w:w w:val="105"/>
                <w:sz w:val="14"/>
              </w:rPr>
              <w:t>e) Adjusted Beginning Balance (F1c + F1d)</w:t>
            </w:r>
          </w:p>
        </w:tc>
        <w:tc>
          <w:tcPr>
            <w:tcW w:w="712" w:type="dxa"/>
          </w:tcPr>
          <w:p>
            <w:pPr>
              <w:pStyle w:val="TableParagraph"/>
              <w:rPr>
                <w:rFonts w:ascii="Times New Roman"/>
                <w:sz w:val="14"/>
              </w:rPr>
            </w:pPr>
          </w:p>
        </w:tc>
        <w:tc>
          <w:tcPr>
            <w:tcW w:w="1978" w:type="dxa"/>
          </w:tcPr>
          <w:p>
            <w:pPr>
              <w:pStyle w:val="TableParagraph"/>
              <w:spacing w:before="99"/>
              <w:ind w:right="492"/>
              <w:jc w:val="right"/>
              <w:rPr>
                <w:sz w:val="14"/>
              </w:rPr>
            </w:pPr>
            <w:r>
              <w:rPr>
                <w:sz w:val="14"/>
              </w:rPr>
              <w:t>5,882.00</w:t>
            </w:r>
          </w:p>
        </w:tc>
        <w:tc>
          <w:tcPr>
            <w:tcW w:w="1106" w:type="dxa"/>
          </w:tcPr>
          <w:p>
            <w:pPr>
              <w:pStyle w:val="TableParagraph"/>
              <w:spacing w:before="99"/>
              <w:ind w:right="36"/>
              <w:jc w:val="right"/>
              <w:rPr>
                <w:sz w:val="14"/>
              </w:rPr>
            </w:pPr>
            <w:r>
              <w:rPr>
                <w:sz w:val="14"/>
              </w:rPr>
              <w:t>5,882.00</w:t>
            </w:r>
          </w:p>
        </w:tc>
        <w:tc>
          <w:tcPr>
            <w:tcW w:w="1652" w:type="dxa"/>
          </w:tcPr>
          <w:p>
            <w:pPr>
              <w:pStyle w:val="TableParagraph"/>
              <w:spacing w:before="99"/>
              <w:ind w:right="77"/>
              <w:jc w:val="right"/>
              <w:rPr>
                <w:sz w:val="14"/>
              </w:rPr>
            </w:pPr>
            <w:r>
              <w:rPr>
                <w:sz w:val="14"/>
              </w:rPr>
              <w:t>0.0%</w:t>
            </w:r>
          </w:p>
        </w:tc>
      </w:tr>
      <w:tr>
        <w:trPr>
          <w:trHeight w:val="261" w:hRule="atLeast"/>
        </w:trPr>
        <w:tc>
          <w:tcPr>
            <w:tcW w:w="5523" w:type="dxa"/>
          </w:tcPr>
          <w:p>
            <w:pPr>
              <w:pStyle w:val="TableParagraph"/>
              <w:spacing w:line="142" w:lineRule="exact" w:before="99"/>
              <w:ind w:left="50"/>
              <w:rPr>
                <w:sz w:val="14"/>
              </w:rPr>
            </w:pPr>
            <w:r>
              <w:rPr>
                <w:w w:val="105"/>
                <w:sz w:val="14"/>
              </w:rPr>
              <w:t>2) Ending Balance, June 30 (E + F1e)</w:t>
            </w:r>
          </w:p>
        </w:tc>
        <w:tc>
          <w:tcPr>
            <w:tcW w:w="712" w:type="dxa"/>
          </w:tcPr>
          <w:p>
            <w:pPr>
              <w:pStyle w:val="TableParagraph"/>
              <w:rPr>
                <w:rFonts w:ascii="Times New Roman"/>
                <w:sz w:val="14"/>
              </w:rPr>
            </w:pPr>
          </w:p>
        </w:tc>
        <w:tc>
          <w:tcPr>
            <w:tcW w:w="1978" w:type="dxa"/>
          </w:tcPr>
          <w:p>
            <w:pPr>
              <w:pStyle w:val="TableParagraph"/>
              <w:spacing w:line="142" w:lineRule="exact" w:before="99"/>
              <w:ind w:right="492"/>
              <w:jc w:val="right"/>
              <w:rPr>
                <w:sz w:val="14"/>
              </w:rPr>
            </w:pPr>
            <w:r>
              <w:rPr>
                <w:sz w:val="14"/>
              </w:rPr>
              <w:t>5,882.00</w:t>
            </w:r>
          </w:p>
        </w:tc>
        <w:tc>
          <w:tcPr>
            <w:tcW w:w="1106" w:type="dxa"/>
          </w:tcPr>
          <w:p>
            <w:pPr>
              <w:pStyle w:val="TableParagraph"/>
              <w:spacing w:line="142" w:lineRule="exact" w:before="99"/>
              <w:ind w:right="36"/>
              <w:jc w:val="right"/>
              <w:rPr>
                <w:sz w:val="14"/>
              </w:rPr>
            </w:pPr>
            <w:r>
              <w:rPr>
                <w:sz w:val="14"/>
              </w:rPr>
              <w:t>5,882.00</w:t>
            </w:r>
          </w:p>
        </w:tc>
        <w:tc>
          <w:tcPr>
            <w:tcW w:w="1652" w:type="dxa"/>
          </w:tcPr>
          <w:p>
            <w:pPr>
              <w:pStyle w:val="TableParagraph"/>
              <w:spacing w:line="142" w:lineRule="exact" w:before="99"/>
              <w:ind w:right="77"/>
              <w:jc w:val="right"/>
              <w:rPr>
                <w:sz w:val="14"/>
              </w:rPr>
            </w:pPr>
            <w:r>
              <w:rPr>
                <w:sz w:val="14"/>
              </w:rPr>
              <w:t>0.0%</w:t>
            </w:r>
          </w:p>
        </w:tc>
      </w:tr>
      <w:tr>
        <w:trPr>
          <w:trHeight w:val="460" w:hRule="atLeast"/>
        </w:trPr>
        <w:tc>
          <w:tcPr>
            <w:tcW w:w="5523" w:type="dxa"/>
          </w:tcPr>
          <w:p>
            <w:pPr>
              <w:pStyle w:val="TableParagraph"/>
              <w:spacing w:before="97"/>
              <w:ind w:left="214"/>
              <w:rPr>
                <w:sz w:val="14"/>
              </w:rPr>
            </w:pPr>
            <w:r>
              <w:rPr>
                <w:w w:val="105"/>
                <w:sz w:val="14"/>
              </w:rPr>
              <w:t>Components of Ending Fund Balance</w:t>
            </w:r>
          </w:p>
          <w:p>
            <w:pPr>
              <w:pStyle w:val="TableParagraph"/>
              <w:spacing w:line="142" w:lineRule="exact" w:before="40"/>
              <w:ind w:left="214"/>
              <w:rPr>
                <w:sz w:val="14"/>
              </w:rPr>
            </w:pPr>
            <w:r>
              <w:rPr>
                <w:w w:val="105"/>
                <w:sz w:val="14"/>
              </w:rPr>
              <w:t>a) Nonspendable</w:t>
            </w:r>
          </w:p>
        </w:tc>
        <w:tc>
          <w:tcPr>
            <w:tcW w:w="712" w:type="dxa"/>
          </w:tcPr>
          <w:p>
            <w:pPr>
              <w:pStyle w:val="TableParagraph"/>
              <w:rPr>
                <w:rFonts w:ascii="Times New Roman"/>
                <w:sz w:val="14"/>
              </w:rPr>
            </w:pPr>
          </w:p>
        </w:tc>
        <w:tc>
          <w:tcPr>
            <w:tcW w:w="1978" w:type="dxa"/>
          </w:tcPr>
          <w:p>
            <w:pPr>
              <w:pStyle w:val="TableParagraph"/>
              <w:rPr>
                <w:rFonts w:ascii="Times New Roman"/>
                <w:sz w:val="14"/>
              </w:rPr>
            </w:pPr>
          </w:p>
        </w:tc>
        <w:tc>
          <w:tcPr>
            <w:tcW w:w="1106" w:type="dxa"/>
          </w:tcPr>
          <w:p>
            <w:pPr>
              <w:pStyle w:val="TableParagraph"/>
              <w:rPr>
                <w:rFonts w:ascii="Times New Roman"/>
                <w:sz w:val="14"/>
              </w:rPr>
            </w:pPr>
          </w:p>
        </w:tc>
        <w:tc>
          <w:tcPr>
            <w:tcW w:w="1652" w:type="dxa"/>
          </w:tcPr>
          <w:p>
            <w:pPr>
              <w:pStyle w:val="TableParagraph"/>
              <w:rPr>
                <w:rFonts w:ascii="Times New Roman"/>
                <w:sz w:val="14"/>
              </w:rPr>
            </w:pPr>
          </w:p>
        </w:tc>
      </w:tr>
      <w:tr>
        <w:trPr>
          <w:trHeight w:val="299" w:hRule="atLeast"/>
        </w:trPr>
        <w:tc>
          <w:tcPr>
            <w:tcW w:w="5523" w:type="dxa"/>
          </w:tcPr>
          <w:p>
            <w:pPr>
              <w:pStyle w:val="TableParagraph"/>
              <w:spacing w:before="39"/>
              <w:ind w:left="416"/>
              <w:rPr>
                <w:sz w:val="14"/>
              </w:rPr>
            </w:pPr>
            <w:r>
              <w:rPr>
                <w:w w:val="105"/>
                <w:sz w:val="14"/>
              </w:rPr>
              <w:t>Revolving Cash</w:t>
            </w:r>
          </w:p>
        </w:tc>
        <w:tc>
          <w:tcPr>
            <w:tcW w:w="712" w:type="dxa"/>
          </w:tcPr>
          <w:p>
            <w:pPr>
              <w:pStyle w:val="TableParagraph"/>
              <w:spacing w:before="39"/>
              <w:ind w:left="50"/>
              <w:rPr>
                <w:sz w:val="14"/>
              </w:rPr>
            </w:pPr>
            <w:r>
              <w:rPr>
                <w:w w:val="105"/>
                <w:sz w:val="14"/>
              </w:rPr>
              <w:t>9711</w:t>
            </w:r>
          </w:p>
        </w:tc>
        <w:tc>
          <w:tcPr>
            <w:tcW w:w="1978" w:type="dxa"/>
          </w:tcPr>
          <w:p>
            <w:pPr>
              <w:pStyle w:val="TableParagraph"/>
              <w:spacing w:before="39"/>
              <w:ind w:right="493"/>
              <w:jc w:val="right"/>
              <w:rPr>
                <w:sz w:val="14"/>
              </w:rPr>
            </w:pPr>
            <w:r>
              <w:rPr>
                <w:sz w:val="14"/>
              </w:rPr>
              <w:t>0.00</w:t>
            </w:r>
          </w:p>
        </w:tc>
        <w:tc>
          <w:tcPr>
            <w:tcW w:w="1106" w:type="dxa"/>
          </w:tcPr>
          <w:p>
            <w:pPr>
              <w:pStyle w:val="TableParagraph"/>
              <w:spacing w:before="39"/>
              <w:ind w:right="38"/>
              <w:jc w:val="right"/>
              <w:rPr>
                <w:sz w:val="14"/>
              </w:rPr>
            </w:pPr>
            <w:r>
              <w:rPr>
                <w:w w:val="105"/>
                <w:sz w:val="14"/>
              </w:rPr>
              <w:t>0.00</w:t>
            </w:r>
          </w:p>
        </w:tc>
        <w:tc>
          <w:tcPr>
            <w:tcW w:w="1652" w:type="dxa"/>
          </w:tcPr>
          <w:p>
            <w:pPr>
              <w:pStyle w:val="TableParagraph"/>
              <w:spacing w:before="39"/>
              <w:ind w:right="77"/>
              <w:jc w:val="right"/>
              <w:rPr>
                <w:sz w:val="14"/>
              </w:rPr>
            </w:pPr>
            <w:r>
              <w:rPr>
                <w:sz w:val="14"/>
              </w:rPr>
              <w:t>0.0%</w:t>
            </w:r>
          </w:p>
        </w:tc>
      </w:tr>
      <w:tr>
        <w:trPr>
          <w:trHeight w:val="360" w:hRule="atLeast"/>
        </w:trPr>
        <w:tc>
          <w:tcPr>
            <w:tcW w:w="5523" w:type="dxa"/>
          </w:tcPr>
          <w:p>
            <w:pPr>
              <w:pStyle w:val="TableParagraph"/>
              <w:spacing w:before="99"/>
              <w:ind w:left="416"/>
              <w:rPr>
                <w:sz w:val="14"/>
              </w:rPr>
            </w:pPr>
            <w:r>
              <w:rPr>
                <w:w w:val="105"/>
                <w:sz w:val="14"/>
              </w:rPr>
              <w:t>Stores</w:t>
            </w:r>
          </w:p>
        </w:tc>
        <w:tc>
          <w:tcPr>
            <w:tcW w:w="712" w:type="dxa"/>
          </w:tcPr>
          <w:p>
            <w:pPr>
              <w:pStyle w:val="TableParagraph"/>
              <w:spacing w:before="99"/>
              <w:ind w:left="50"/>
              <w:rPr>
                <w:sz w:val="14"/>
              </w:rPr>
            </w:pPr>
            <w:r>
              <w:rPr>
                <w:w w:val="105"/>
                <w:sz w:val="14"/>
              </w:rPr>
              <w:t>9712</w:t>
            </w:r>
          </w:p>
        </w:tc>
        <w:tc>
          <w:tcPr>
            <w:tcW w:w="1978" w:type="dxa"/>
          </w:tcPr>
          <w:p>
            <w:pPr>
              <w:pStyle w:val="TableParagraph"/>
              <w:spacing w:before="99"/>
              <w:ind w:right="493"/>
              <w:jc w:val="right"/>
              <w:rPr>
                <w:sz w:val="14"/>
              </w:rPr>
            </w:pPr>
            <w:r>
              <w:rPr>
                <w:sz w:val="14"/>
              </w:rPr>
              <w:t>0.00</w:t>
            </w:r>
          </w:p>
        </w:tc>
        <w:tc>
          <w:tcPr>
            <w:tcW w:w="1106" w:type="dxa"/>
          </w:tcPr>
          <w:p>
            <w:pPr>
              <w:pStyle w:val="TableParagraph"/>
              <w:spacing w:before="99"/>
              <w:ind w:right="38"/>
              <w:jc w:val="right"/>
              <w:rPr>
                <w:sz w:val="14"/>
              </w:rPr>
            </w:pPr>
            <w:r>
              <w:rPr>
                <w:w w:val="105"/>
                <w:sz w:val="14"/>
              </w:rPr>
              <w:t>0.00</w:t>
            </w:r>
          </w:p>
        </w:tc>
        <w:tc>
          <w:tcPr>
            <w:tcW w:w="1652" w:type="dxa"/>
          </w:tcPr>
          <w:p>
            <w:pPr>
              <w:pStyle w:val="TableParagraph"/>
              <w:spacing w:before="99"/>
              <w:ind w:right="77"/>
              <w:jc w:val="right"/>
              <w:rPr>
                <w:sz w:val="14"/>
              </w:rPr>
            </w:pPr>
            <w:r>
              <w:rPr>
                <w:sz w:val="14"/>
              </w:rPr>
              <w:t>0.0%</w:t>
            </w:r>
          </w:p>
        </w:tc>
      </w:tr>
      <w:tr>
        <w:trPr>
          <w:trHeight w:val="264" w:hRule="atLeast"/>
        </w:trPr>
        <w:tc>
          <w:tcPr>
            <w:tcW w:w="5523" w:type="dxa"/>
          </w:tcPr>
          <w:p>
            <w:pPr>
              <w:pStyle w:val="TableParagraph"/>
              <w:spacing w:line="145" w:lineRule="exact" w:before="99"/>
              <w:ind w:left="416"/>
              <w:rPr>
                <w:sz w:val="14"/>
              </w:rPr>
            </w:pPr>
            <w:r>
              <w:rPr>
                <w:w w:val="105"/>
                <w:sz w:val="14"/>
              </w:rPr>
              <w:t>Prepaid Items</w:t>
            </w:r>
          </w:p>
        </w:tc>
        <w:tc>
          <w:tcPr>
            <w:tcW w:w="712" w:type="dxa"/>
          </w:tcPr>
          <w:p>
            <w:pPr>
              <w:pStyle w:val="TableParagraph"/>
              <w:spacing w:line="145" w:lineRule="exact" w:before="99"/>
              <w:ind w:left="50"/>
              <w:rPr>
                <w:sz w:val="14"/>
              </w:rPr>
            </w:pPr>
            <w:r>
              <w:rPr>
                <w:w w:val="105"/>
                <w:sz w:val="14"/>
              </w:rPr>
              <w:t>9713</w:t>
            </w:r>
          </w:p>
        </w:tc>
        <w:tc>
          <w:tcPr>
            <w:tcW w:w="1978" w:type="dxa"/>
          </w:tcPr>
          <w:p>
            <w:pPr>
              <w:pStyle w:val="TableParagraph"/>
              <w:spacing w:line="145" w:lineRule="exact" w:before="99"/>
              <w:ind w:right="493"/>
              <w:jc w:val="right"/>
              <w:rPr>
                <w:sz w:val="14"/>
              </w:rPr>
            </w:pPr>
            <w:r>
              <w:rPr>
                <w:sz w:val="14"/>
              </w:rPr>
              <w:t>0.00</w:t>
            </w:r>
          </w:p>
        </w:tc>
        <w:tc>
          <w:tcPr>
            <w:tcW w:w="1106" w:type="dxa"/>
          </w:tcPr>
          <w:p>
            <w:pPr>
              <w:pStyle w:val="TableParagraph"/>
              <w:spacing w:line="145" w:lineRule="exact" w:before="99"/>
              <w:ind w:right="38"/>
              <w:jc w:val="right"/>
              <w:rPr>
                <w:sz w:val="14"/>
              </w:rPr>
            </w:pPr>
            <w:r>
              <w:rPr>
                <w:w w:val="105"/>
                <w:sz w:val="14"/>
              </w:rPr>
              <w:t>0.00</w:t>
            </w:r>
          </w:p>
        </w:tc>
        <w:tc>
          <w:tcPr>
            <w:tcW w:w="1652" w:type="dxa"/>
          </w:tcPr>
          <w:p>
            <w:pPr>
              <w:pStyle w:val="TableParagraph"/>
              <w:spacing w:line="145" w:lineRule="exact" w:before="99"/>
              <w:ind w:right="77"/>
              <w:jc w:val="right"/>
              <w:rPr>
                <w:sz w:val="14"/>
              </w:rPr>
            </w:pPr>
            <w:r>
              <w:rPr>
                <w:sz w:val="14"/>
              </w:rPr>
              <w:t>0.0%</w:t>
            </w:r>
          </w:p>
        </w:tc>
      </w:tr>
      <w:tr>
        <w:trPr>
          <w:trHeight w:val="360" w:hRule="atLeast"/>
        </w:trPr>
        <w:tc>
          <w:tcPr>
            <w:tcW w:w="5523" w:type="dxa"/>
          </w:tcPr>
          <w:p>
            <w:pPr>
              <w:pStyle w:val="TableParagraph"/>
              <w:spacing w:before="11"/>
              <w:rPr>
                <w:b/>
                <w:sz w:val="16"/>
              </w:rPr>
            </w:pPr>
          </w:p>
          <w:p>
            <w:pPr>
              <w:pStyle w:val="TableParagraph"/>
              <w:spacing w:line="145" w:lineRule="exact"/>
              <w:ind w:left="416"/>
              <w:rPr>
                <w:sz w:val="14"/>
              </w:rPr>
            </w:pPr>
            <w:r>
              <w:rPr>
                <w:w w:val="105"/>
                <w:sz w:val="14"/>
              </w:rPr>
              <w:t>All Others</w:t>
            </w:r>
          </w:p>
        </w:tc>
        <w:tc>
          <w:tcPr>
            <w:tcW w:w="712" w:type="dxa"/>
          </w:tcPr>
          <w:p>
            <w:pPr>
              <w:pStyle w:val="TableParagraph"/>
              <w:spacing w:before="11"/>
              <w:rPr>
                <w:b/>
                <w:sz w:val="16"/>
              </w:rPr>
            </w:pPr>
          </w:p>
          <w:p>
            <w:pPr>
              <w:pStyle w:val="TableParagraph"/>
              <w:spacing w:line="145" w:lineRule="exact"/>
              <w:ind w:left="50"/>
              <w:rPr>
                <w:sz w:val="14"/>
              </w:rPr>
            </w:pPr>
            <w:r>
              <w:rPr>
                <w:w w:val="105"/>
                <w:sz w:val="14"/>
              </w:rPr>
              <w:t>9719</w:t>
            </w:r>
          </w:p>
        </w:tc>
        <w:tc>
          <w:tcPr>
            <w:tcW w:w="1978" w:type="dxa"/>
            <w:shd w:val="clear" w:color="auto" w:fill="DFDFDF"/>
          </w:tcPr>
          <w:p>
            <w:pPr>
              <w:pStyle w:val="TableParagraph"/>
              <w:spacing w:before="11"/>
              <w:rPr>
                <w:b/>
                <w:sz w:val="16"/>
              </w:rPr>
            </w:pPr>
          </w:p>
          <w:p>
            <w:pPr>
              <w:pStyle w:val="TableParagraph"/>
              <w:spacing w:line="145" w:lineRule="exact"/>
              <w:ind w:right="493"/>
              <w:jc w:val="right"/>
              <w:rPr>
                <w:sz w:val="14"/>
              </w:rPr>
            </w:pPr>
            <w:r>
              <w:rPr>
                <w:sz w:val="14"/>
              </w:rPr>
              <w:t>0.00</w:t>
            </w:r>
          </w:p>
        </w:tc>
        <w:tc>
          <w:tcPr>
            <w:tcW w:w="1106" w:type="dxa"/>
            <w:shd w:val="clear" w:color="auto" w:fill="DFDFDF"/>
          </w:tcPr>
          <w:p>
            <w:pPr>
              <w:pStyle w:val="TableParagraph"/>
              <w:spacing w:before="11"/>
              <w:rPr>
                <w:b/>
                <w:sz w:val="16"/>
              </w:rPr>
            </w:pPr>
          </w:p>
          <w:p>
            <w:pPr>
              <w:pStyle w:val="TableParagraph"/>
              <w:spacing w:line="145" w:lineRule="exact"/>
              <w:ind w:right="38"/>
              <w:jc w:val="right"/>
              <w:rPr>
                <w:sz w:val="14"/>
              </w:rPr>
            </w:pPr>
            <w:r>
              <w:rPr>
                <w:w w:val="105"/>
                <w:sz w:val="14"/>
              </w:rPr>
              <w:t>0.00</w:t>
            </w:r>
          </w:p>
        </w:tc>
        <w:tc>
          <w:tcPr>
            <w:tcW w:w="1652" w:type="dxa"/>
            <w:shd w:val="clear" w:color="auto" w:fill="DFDFDF"/>
          </w:tcPr>
          <w:p>
            <w:pPr>
              <w:pStyle w:val="TableParagraph"/>
              <w:spacing w:before="11"/>
              <w:rPr>
                <w:b/>
                <w:sz w:val="16"/>
              </w:rPr>
            </w:pPr>
          </w:p>
          <w:p>
            <w:pPr>
              <w:pStyle w:val="TableParagraph"/>
              <w:spacing w:line="145" w:lineRule="exact"/>
              <w:ind w:right="77"/>
              <w:jc w:val="right"/>
              <w:rPr>
                <w:sz w:val="14"/>
              </w:rPr>
            </w:pPr>
            <w:r>
              <w:rPr>
                <w:sz w:val="14"/>
              </w:rPr>
              <w:t>0.0%</w:t>
            </w:r>
          </w:p>
        </w:tc>
      </w:tr>
      <w:tr>
        <w:trPr>
          <w:trHeight w:val="554" w:hRule="atLeast"/>
        </w:trPr>
        <w:tc>
          <w:tcPr>
            <w:tcW w:w="6235" w:type="dxa"/>
            <w:gridSpan w:val="2"/>
          </w:tcPr>
          <w:p>
            <w:pPr>
              <w:pStyle w:val="TableParagraph"/>
              <w:tabs>
                <w:tab w:pos="5898" w:val="right" w:leader="none"/>
              </w:tabs>
              <w:spacing w:before="195"/>
              <w:ind w:left="214"/>
              <w:rPr>
                <w:sz w:val="14"/>
              </w:rPr>
            </w:pPr>
            <w:r>
              <w:rPr>
                <w:w w:val="105"/>
                <w:sz w:val="14"/>
              </w:rPr>
              <w:t>b)</w:t>
            </w:r>
            <w:r>
              <w:rPr>
                <w:spacing w:val="-1"/>
                <w:w w:val="105"/>
                <w:sz w:val="14"/>
              </w:rPr>
              <w:t> </w:t>
            </w:r>
            <w:r>
              <w:rPr>
                <w:w w:val="105"/>
                <w:sz w:val="14"/>
              </w:rPr>
              <w:t>Restricted</w:t>
              <w:tab/>
              <w:t>9740</w:t>
            </w:r>
          </w:p>
        </w:tc>
        <w:tc>
          <w:tcPr>
            <w:tcW w:w="1978" w:type="dxa"/>
          </w:tcPr>
          <w:p>
            <w:pPr>
              <w:pStyle w:val="TableParagraph"/>
              <w:spacing w:before="11"/>
              <w:rPr>
                <w:b/>
                <w:sz w:val="16"/>
              </w:rPr>
            </w:pPr>
          </w:p>
          <w:p>
            <w:pPr>
              <w:pStyle w:val="TableParagraph"/>
              <w:ind w:right="492"/>
              <w:jc w:val="right"/>
              <w:rPr>
                <w:sz w:val="14"/>
              </w:rPr>
            </w:pPr>
            <w:r>
              <w:rPr>
                <w:sz w:val="14"/>
              </w:rPr>
              <w:t>5,882.00</w:t>
            </w:r>
          </w:p>
        </w:tc>
        <w:tc>
          <w:tcPr>
            <w:tcW w:w="1106" w:type="dxa"/>
          </w:tcPr>
          <w:p>
            <w:pPr>
              <w:pStyle w:val="TableParagraph"/>
              <w:spacing w:before="11"/>
              <w:rPr>
                <w:b/>
                <w:sz w:val="16"/>
              </w:rPr>
            </w:pPr>
          </w:p>
          <w:p>
            <w:pPr>
              <w:pStyle w:val="TableParagraph"/>
              <w:ind w:right="36"/>
              <w:jc w:val="right"/>
              <w:rPr>
                <w:sz w:val="14"/>
              </w:rPr>
            </w:pPr>
            <w:r>
              <w:rPr>
                <w:sz w:val="14"/>
              </w:rPr>
              <w:t>5,882.00</w:t>
            </w:r>
          </w:p>
        </w:tc>
        <w:tc>
          <w:tcPr>
            <w:tcW w:w="1652" w:type="dxa"/>
          </w:tcPr>
          <w:p>
            <w:pPr>
              <w:pStyle w:val="TableParagraph"/>
              <w:spacing w:before="11"/>
              <w:rPr>
                <w:b/>
                <w:sz w:val="16"/>
              </w:rPr>
            </w:pPr>
          </w:p>
          <w:p>
            <w:pPr>
              <w:pStyle w:val="TableParagraph"/>
              <w:ind w:right="77"/>
              <w:jc w:val="right"/>
              <w:rPr>
                <w:sz w:val="14"/>
              </w:rPr>
            </w:pPr>
            <w:r>
              <w:rPr>
                <w:sz w:val="14"/>
              </w:rPr>
              <w:t>0.0%</w:t>
            </w:r>
          </w:p>
        </w:tc>
      </w:tr>
      <w:tr>
        <w:trPr>
          <w:trHeight w:val="463" w:hRule="atLeast"/>
        </w:trPr>
        <w:tc>
          <w:tcPr>
            <w:tcW w:w="5523" w:type="dxa"/>
          </w:tcPr>
          <w:p>
            <w:pPr>
              <w:pStyle w:val="TableParagraph"/>
              <w:spacing w:before="1"/>
              <w:ind w:left="214"/>
              <w:rPr>
                <w:sz w:val="14"/>
              </w:rPr>
            </w:pPr>
            <w:r>
              <w:rPr>
                <w:w w:val="105"/>
                <w:sz w:val="14"/>
              </w:rPr>
              <w:t>c) Committed</w:t>
            </w:r>
          </w:p>
          <w:p>
            <w:pPr>
              <w:pStyle w:val="TableParagraph"/>
              <w:spacing w:before="40"/>
              <w:ind w:left="416"/>
              <w:rPr>
                <w:sz w:val="14"/>
              </w:rPr>
            </w:pPr>
            <w:r>
              <w:rPr>
                <w:w w:val="105"/>
                <w:sz w:val="14"/>
              </w:rPr>
              <w:t>Stabilization Arrangements</w:t>
            </w:r>
          </w:p>
        </w:tc>
        <w:tc>
          <w:tcPr>
            <w:tcW w:w="712" w:type="dxa"/>
          </w:tcPr>
          <w:p>
            <w:pPr>
              <w:pStyle w:val="TableParagraph"/>
              <w:spacing w:before="7"/>
              <w:rPr>
                <w:b/>
                <w:sz w:val="17"/>
              </w:rPr>
            </w:pPr>
          </w:p>
          <w:p>
            <w:pPr>
              <w:pStyle w:val="TableParagraph"/>
              <w:ind w:left="50"/>
              <w:rPr>
                <w:sz w:val="14"/>
              </w:rPr>
            </w:pPr>
            <w:r>
              <w:rPr>
                <w:w w:val="105"/>
                <w:sz w:val="14"/>
              </w:rPr>
              <w:t>9750</w:t>
            </w:r>
          </w:p>
        </w:tc>
        <w:tc>
          <w:tcPr>
            <w:tcW w:w="1978" w:type="dxa"/>
          </w:tcPr>
          <w:p>
            <w:pPr>
              <w:pStyle w:val="TableParagraph"/>
              <w:spacing w:before="7"/>
              <w:rPr>
                <w:b/>
                <w:sz w:val="17"/>
              </w:rPr>
            </w:pPr>
          </w:p>
          <w:p>
            <w:pPr>
              <w:pStyle w:val="TableParagraph"/>
              <w:ind w:right="493"/>
              <w:jc w:val="right"/>
              <w:rPr>
                <w:sz w:val="14"/>
              </w:rPr>
            </w:pPr>
            <w:r>
              <w:rPr>
                <w:sz w:val="14"/>
              </w:rPr>
              <w:t>0.00</w:t>
            </w:r>
          </w:p>
        </w:tc>
        <w:tc>
          <w:tcPr>
            <w:tcW w:w="1106" w:type="dxa"/>
          </w:tcPr>
          <w:p>
            <w:pPr>
              <w:pStyle w:val="TableParagraph"/>
              <w:spacing w:before="7"/>
              <w:rPr>
                <w:b/>
                <w:sz w:val="17"/>
              </w:rPr>
            </w:pPr>
          </w:p>
          <w:p>
            <w:pPr>
              <w:pStyle w:val="TableParagraph"/>
              <w:ind w:right="38"/>
              <w:jc w:val="right"/>
              <w:rPr>
                <w:sz w:val="14"/>
              </w:rPr>
            </w:pPr>
            <w:r>
              <w:rPr>
                <w:w w:val="105"/>
                <w:sz w:val="14"/>
              </w:rPr>
              <w:t>0.00</w:t>
            </w:r>
          </w:p>
        </w:tc>
        <w:tc>
          <w:tcPr>
            <w:tcW w:w="1652" w:type="dxa"/>
          </w:tcPr>
          <w:p>
            <w:pPr>
              <w:pStyle w:val="TableParagraph"/>
              <w:spacing w:before="7"/>
              <w:rPr>
                <w:b/>
                <w:sz w:val="17"/>
              </w:rPr>
            </w:pPr>
          </w:p>
          <w:p>
            <w:pPr>
              <w:pStyle w:val="TableParagraph"/>
              <w:tabs>
                <w:tab w:pos="1197" w:val="left" w:leader="none"/>
              </w:tabs>
              <w:ind w:right="46"/>
              <w:jc w:val="right"/>
              <w:rPr>
                <w:sz w:val="14"/>
              </w:rPr>
            </w:pPr>
            <w:r>
              <w:rPr>
                <w:rFonts w:ascii="Times New Roman"/>
                <w:w w:val="104"/>
                <w:sz w:val="14"/>
                <w:shd w:fill="DFDFDF" w:color="auto" w:val="clear"/>
              </w:rPr>
              <w:t> </w:t>
            </w:r>
            <w:r>
              <w:rPr>
                <w:rFonts w:ascii="Times New Roman"/>
                <w:sz w:val="14"/>
                <w:shd w:fill="DFDFDF" w:color="auto" w:val="clear"/>
              </w:rPr>
              <w:tab/>
            </w:r>
            <w:r>
              <w:rPr>
                <w:sz w:val="14"/>
                <w:shd w:fill="DFDFDF" w:color="auto" w:val="clear"/>
              </w:rPr>
              <w:t>0.0%</w:t>
            </w:r>
            <w:r>
              <w:rPr>
                <w:spacing w:val="-8"/>
                <w:sz w:val="14"/>
                <w:shd w:fill="DFDFDF" w:color="auto" w:val="clear"/>
              </w:rPr>
              <w:t> </w:t>
            </w:r>
          </w:p>
        </w:tc>
      </w:tr>
      <w:tr>
        <w:trPr>
          <w:trHeight w:val="359" w:hRule="atLeast"/>
        </w:trPr>
        <w:tc>
          <w:tcPr>
            <w:tcW w:w="5523" w:type="dxa"/>
          </w:tcPr>
          <w:p>
            <w:pPr>
              <w:pStyle w:val="TableParagraph"/>
              <w:spacing w:before="99"/>
              <w:ind w:left="416"/>
              <w:rPr>
                <w:sz w:val="14"/>
              </w:rPr>
            </w:pPr>
            <w:r>
              <w:rPr>
                <w:w w:val="105"/>
                <w:sz w:val="14"/>
              </w:rPr>
              <w:t>Other Commitments (by Resource/Object)</w:t>
            </w:r>
          </w:p>
        </w:tc>
        <w:tc>
          <w:tcPr>
            <w:tcW w:w="712" w:type="dxa"/>
          </w:tcPr>
          <w:p>
            <w:pPr>
              <w:pStyle w:val="TableParagraph"/>
              <w:spacing w:before="99"/>
              <w:ind w:left="50"/>
              <w:rPr>
                <w:sz w:val="14"/>
              </w:rPr>
            </w:pPr>
            <w:r>
              <w:rPr>
                <w:w w:val="105"/>
                <w:sz w:val="14"/>
              </w:rPr>
              <w:t>9760</w:t>
            </w:r>
          </w:p>
        </w:tc>
        <w:tc>
          <w:tcPr>
            <w:tcW w:w="1978" w:type="dxa"/>
          </w:tcPr>
          <w:p>
            <w:pPr>
              <w:pStyle w:val="TableParagraph"/>
              <w:spacing w:before="99"/>
              <w:ind w:right="493"/>
              <w:jc w:val="right"/>
              <w:rPr>
                <w:sz w:val="14"/>
              </w:rPr>
            </w:pPr>
            <w:r>
              <w:rPr>
                <w:sz w:val="14"/>
              </w:rPr>
              <w:t>0.00</w:t>
            </w:r>
          </w:p>
        </w:tc>
        <w:tc>
          <w:tcPr>
            <w:tcW w:w="1106" w:type="dxa"/>
          </w:tcPr>
          <w:p>
            <w:pPr>
              <w:pStyle w:val="TableParagraph"/>
              <w:spacing w:before="99"/>
              <w:ind w:right="38"/>
              <w:jc w:val="right"/>
              <w:rPr>
                <w:sz w:val="14"/>
              </w:rPr>
            </w:pPr>
            <w:r>
              <w:rPr>
                <w:w w:val="105"/>
                <w:sz w:val="14"/>
              </w:rPr>
              <w:t>0.00</w:t>
            </w:r>
          </w:p>
        </w:tc>
        <w:tc>
          <w:tcPr>
            <w:tcW w:w="1652" w:type="dxa"/>
          </w:tcPr>
          <w:p>
            <w:pPr>
              <w:pStyle w:val="TableParagraph"/>
              <w:spacing w:before="99"/>
              <w:ind w:right="77"/>
              <w:jc w:val="right"/>
              <w:rPr>
                <w:sz w:val="14"/>
              </w:rPr>
            </w:pPr>
            <w:r>
              <w:rPr>
                <w:sz w:val="14"/>
              </w:rPr>
              <w:t>0.0%</w:t>
            </w:r>
          </w:p>
        </w:tc>
      </w:tr>
      <w:tr>
        <w:trPr>
          <w:trHeight w:val="561" w:hRule="atLeast"/>
        </w:trPr>
        <w:tc>
          <w:tcPr>
            <w:tcW w:w="5523" w:type="dxa"/>
          </w:tcPr>
          <w:p>
            <w:pPr>
              <w:pStyle w:val="TableParagraph"/>
              <w:spacing w:before="99"/>
              <w:ind w:left="214"/>
              <w:rPr>
                <w:sz w:val="14"/>
              </w:rPr>
            </w:pPr>
            <w:r>
              <w:rPr>
                <w:w w:val="105"/>
                <w:sz w:val="14"/>
              </w:rPr>
              <w:t>d) Assigned</w:t>
            </w:r>
          </w:p>
          <w:p>
            <w:pPr>
              <w:pStyle w:val="TableParagraph"/>
              <w:spacing w:before="41"/>
              <w:ind w:left="416"/>
              <w:rPr>
                <w:sz w:val="14"/>
              </w:rPr>
            </w:pPr>
            <w:r>
              <w:rPr>
                <w:w w:val="105"/>
                <w:sz w:val="14"/>
              </w:rPr>
              <w:t>Other Assignments (by Resource/Object)</w:t>
            </w:r>
          </w:p>
        </w:tc>
        <w:tc>
          <w:tcPr>
            <w:tcW w:w="712" w:type="dxa"/>
          </w:tcPr>
          <w:p>
            <w:pPr>
              <w:pStyle w:val="TableParagraph"/>
              <w:rPr>
                <w:b/>
                <w:sz w:val="16"/>
              </w:rPr>
            </w:pPr>
          </w:p>
          <w:p>
            <w:pPr>
              <w:pStyle w:val="TableParagraph"/>
              <w:spacing w:before="117"/>
              <w:ind w:left="50"/>
              <w:rPr>
                <w:sz w:val="14"/>
              </w:rPr>
            </w:pPr>
            <w:r>
              <w:rPr>
                <w:w w:val="105"/>
                <w:sz w:val="14"/>
              </w:rPr>
              <w:t>9780</w:t>
            </w:r>
          </w:p>
        </w:tc>
        <w:tc>
          <w:tcPr>
            <w:tcW w:w="1978" w:type="dxa"/>
          </w:tcPr>
          <w:p>
            <w:pPr>
              <w:pStyle w:val="TableParagraph"/>
              <w:rPr>
                <w:b/>
                <w:sz w:val="16"/>
              </w:rPr>
            </w:pPr>
          </w:p>
          <w:p>
            <w:pPr>
              <w:pStyle w:val="TableParagraph"/>
              <w:spacing w:before="117"/>
              <w:ind w:right="493"/>
              <w:jc w:val="right"/>
              <w:rPr>
                <w:sz w:val="14"/>
              </w:rPr>
            </w:pPr>
            <w:r>
              <w:rPr>
                <w:sz w:val="14"/>
              </w:rPr>
              <w:t>0.00</w:t>
            </w:r>
          </w:p>
        </w:tc>
        <w:tc>
          <w:tcPr>
            <w:tcW w:w="1106" w:type="dxa"/>
          </w:tcPr>
          <w:p>
            <w:pPr>
              <w:pStyle w:val="TableParagraph"/>
              <w:rPr>
                <w:b/>
                <w:sz w:val="16"/>
              </w:rPr>
            </w:pPr>
          </w:p>
          <w:p>
            <w:pPr>
              <w:pStyle w:val="TableParagraph"/>
              <w:spacing w:before="117"/>
              <w:ind w:right="38"/>
              <w:jc w:val="right"/>
              <w:rPr>
                <w:sz w:val="14"/>
              </w:rPr>
            </w:pPr>
            <w:r>
              <w:rPr>
                <w:w w:val="105"/>
                <w:sz w:val="14"/>
              </w:rPr>
              <w:t>0.00</w:t>
            </w:r>
          </w:p>
        </w:tc>
        <w:tc>
          <w:tcPr>
            <w:tcW w:w="1652" w:type="dxa"/>
          </w:tcPr>
          <w:p>
            <w:pPr>
              <w:pStyle w:val="TableParagraph"/>
              <w:rPr>
                <w:b/>
                <w:sz w:val="16"/>
              </w:rPr>
            </w:pPr>
          </w:p>
          <w:p>
            <w:pPr>
              <w:pStyle w:val="TableParagraph"/>
              <w:spacing w:before="117"/>
              <w:ind w:right="77"/>
              <w:jc w:val="right"/>
              <w:rPr>
                <w:sz w:val="14"/>
              </w:rPr>
            </w:pPr>
            <w:r>
              <w:rPr>
                <w:sz w:val="14"/>
              </w:rPr>
              <w:t>0.0%</w:t>
            </w:r>
          </w:p>
        </w:tc>
      </w:tr>
      <w:tr>
        <w:trPr>
          <w:trHeight w:val="299" w:hRule="atLeast"/>
        </w:trPr>
        <w:tc>
          <w:tcPr>
            <w:tcW w:w="9319" w:type="dxa"/>
            <w:gridSpan w:val="4"/>
          </w:tcPr>
          <w:p>
            <w:pPr>
              <w:pStyle w:val="TableParagraph"/>
              <w:spacing w:before="99"/>
              <w:ind w:left="214"/>
              <w:rPr>
                <w:sz w:val="14"/>
              </w:rPr>
            </w:pPr>
            <w:r>
              <w:rPr>
                <w:w w:val="105"/>
                <w:sz w:val="14"/>
              </w:rPr>
              <w:t>e) Unassigned/Unappropriated</w:t>
            </w:r>
          </w:p>
        </w:tc>
        <w:tc>
          <w:tcPr>
            <w:tcW w:w="1652" w:type="dxa"/>
            <w:shd w:val="clear" w:color="auto" w:fill="DFDFDF"/>
          </w:tcPr>
          <w:p>
            <w:pPr>
              <w:pStyle w:val="TableParagraph"/>
              <w:rPr>
                <w:rFonts w:ascii="Times New Roman"/>
                <w:sz w:val="14"/>
              </w:rPr>
            </w:pPr>
          </w:p>
        </w:tc>
      </w:tr>
      <w:tr>
        <w:trPr>
          <w:trHeight w:val="261" w:hRule="atLeast"/>
        </w:trPr>
        <w:tc>
          <w:tcPr>
            <w:tcW w:w="5523" w:type="dxa"/>
          </w:tcPr>
          <w:p>
            <w:pPr>
              <w:pStyle w:val="TableParagraph"/>
              <w:spacing w:before="1"/>
              <w:ind w:left="377"/>
              <w:rPr>
                <w:sz w:val="14"/>
              </w:rPr>
            </w:pPr>
            <w:r>
              <w:rPr>
                <w:w w:val="105"/>
                <w:sz w:val="14"/>
              </w:rPr>
              <w:t>Reserve for Economic Uncertainties</w:t>
            </w:r>
          </w:p>
        </w:tc>
        <w:tc>
          <w:tcPr>
            <w:tcW w:w="712" w:type="dxa"/>
          </w:tcPr>
          <w:p>
            <w:pPr>
              <w:pStyle w:val="TableParagraph"/>
              <w:spacing w:before="1"/>
              <w:ind w:left="50"/>
              <w:rPr>
                <w:sz w:val="14"/>
              </w:rPr>
            </w:pPr>
            <w:r>
              <w:rPr>
                <w:w w:val="105"/>
                <w:sz w:val="14"/>
              </w:rPr>
              <w:t>9789</w:t>
            </w:r>
          </w:p>
        </w:tc>
        <w:tc>
          <w:tcPr>
            <w:tcW w:w="1978" w:type="dxa"/>
          </w:tcPr>
          <w:p>
            <w:pPr>
              <w:pStyle w:val="TableParagraph"/>
              <w:spacing w:before="1"/>
              <w:ind w:right="493"/>
              <w:jc w:val="right"/>
              <w:rPr>
                <w:sz w:val="14"/>
              </w:rPr>
            </w:pPr>
            <w:r>
              <w:rPr>
                <w:sz w:val="14"/>
              </w:rPr>
              <w:t>0.00</w:t>
            </w:r>
          </w:p>
        </w:tc>
        <w:tc>
          <w:tcPr>
            <w:tcW w:w="1106" w:type="dxa"/>
          </w:tcPr>
          <w:p>
            <w:pPr>
              <w:pStyle w:val="TableParagraph"/>
              <w:spacing w:before="1"/>
              <w:ind w:right="38"/>
              <w:jc w:val="right"/>
              <w:rPr>
                <w:sz w:val="14"/>
              </w:rPr>
            </w:pPr>
            <w:r>
              <w:rPr>
                <w:w w:val="105"/>
                <w:sz w:val="14"/>
              </w:rPr>
              <w:t>0.00</w:t>
            </w:r>
          </w:p>
        </w:tc>
        <w:tc>
          <w:tcPr>
            <w:tcW w:w="1652" w:type="dxa"/>
          </w:tcPr>
          <w:p>
            <w:pPr>
              <w:pStyle w:val="TableParagraph"/>
              <w:spacing w:before="1"/>
              <w:ind w:right="77"/>
              <w:jc w:val="right"/>
              <w:rPr>
                <w:sz w:val="14"/>
              </w:rPr>
            </w:pPr>
            <w:r>
              <w:rPr>
                <w:sz w:val="14"/>
              </w:rPr>
              <w:t>0.0%</w:t>
            </w:r>
          </w:p>
        </w:tc>
      </w:tr>
      <w:tr>
        <w:trPr>
          <w:trHeight w:val="261" w:hRule="atLeast"/>
        </w:trPr>
        <w:tc>
          <w:tcPr>
            <w:tcW w:w="5523" w:type="dxa"/>
          </w:tcPr>
          <w:p>
            <w:pPr>
              <w:pStyle w:val="TableParagraph"/>
              <w:spacing w:line="142" w:lineRule="exact" w:before="99"/>
              <w:ind w:left="377"/>
              <w:rPr>
                <w:sz w:val="14"/>
              </w:rPr>
            </w:pPr>
            <w:r>
              <w:rPr>
                <w:w w:val="105"/>
                <w:sz w:val="14"/>
              </w:rPr>
              <w:t>Unassigned/Unappropriated Amount</w:t>
            </w:r>
          </w:p>
        </w:tc>
        <w:tc>
          <w:tcPr>
            <w:tcW w:w="712" w:type="dxa"/>
          </w:tcPr>
          <w:p>
            <w:pPr>
              <w:pStyle w:val="TableParagraph"/>
              <w:spacing w:line="142" w:lineRule="exact" w:before="99"/>
              <w:ind w:left="50"/>
              <w:rPr>
                <w:sz w:val="14"/>
              </w:rPr>
            </w:pPr>
            <w:r>
              <w:rPr>
                <w:w w:val="105"/>
                <w:sz w:val="14"/>
              </w:rPr>
              <w:t>9790</w:t>
            </w:r>
          </w:p>
        </w:tc>
        <w:tc>
          <w:tcPr>
            <w:tcW w:w="1978" w:type="dxa"/>
          </w:tcPr>
          <w:p>
            <w:pPr>
              <w:pStyle w:val="TableParagraph"/>
              <w:spacing w:line="142" w:lineRule="exact" w:before="99"/>
              <w:ind w:right="493"/>
              <w:jc w:val="right"/>
              <w:rPr>
                <w:sz w:val="14"/>
              </w:rPr>
            </w:pPr>
            <w:r>
              <w:rPr>
                <w:sz w:val="14"/>
              </w:rPr>
              <w:t>0.00</w:t>
            </w:r>
          </w:p>
        </w:tc>
        <w:tc>
          <w:tcPr>
            <w:tcW w:w="1106" w:type="dxa"/>
          </w:tcPr>
          <w:p>
            <w:pPr>
              <w:pStyle w:val="TableParagraph"/>
              <w:spacing w:line="142" w:lineRule="exact" w:before="99"/>
              <w:ind w:right="38"/>
              <w:jc w:val="right"/>
              <w:rPr>
                <w:sz w:val="14"/>
              </w:rPr>
            </w:pPr>
            <w:r>
              <w:rPr>
                <w:w w:val="105"/>
                <w:sz w:val="14"/>
              </w:rPr>
              <w:t>0.00</w:t>
            </w:r>
          </w:p>
        </w:tc>
        <w:tc>
          <w:tcPr>
            <w:tcW w:w="1652" w:type="dxa"/>
          </w:tcPr>
          <w:p>
            <w:pPr>
              <w:pStyle w:val="TableParagraph"/>
              <w:spacing w:line="142" w:lineRule="exact" w:before="99"/>
              <w:ind w:right="77"/>
              <w:jc w:val="right"/>
              <w:rPr>
                <w:sz w:val="14"/>
              </w:rPr>
            </w:pPr>
            <w:r>
              <w:rPr>
                <w:sz w:val="14"/>
              </w:rPr>
              <w:t>0.0%</w:t>
            </w:r>
          </w:p>
        </w:tc>
      </w:tr>
    </w:tbl>
    <w:p>
      <w:pPr>
        <w:spacing w:after="0" w:line="142" w:lineRule="exact"/>
        <w:jc w:val="right"/>
        <w:rPr>
          <w:sz w:val="14"/>
        </w:rPr>
        <w:sectPr>
          <w:type w:val="continuous"/>
          <w:pgSz w:w="12240" w:h="15840"/>
          <w:pgMar w:top="1500" w:bottom="840" w:left="160" w:right="180"/>
        </w:sectPr>
      </w:pPr>
    </w:p>
    <w:p>
      <w:pPr>
        <w:spacing w:line="237" w:lineRule="auto" w:before="0"/>
        <w:ind w:left="747" w:right="0" w:firstLine="0"/>
        <w:jc w:val="left"/>
        <w:rPr>
          <w:sz w:val="15"/>
        </w:rPr>
      </w:pPr>
      <w:r>
        <w:rPr>
          <w:sz w:val="15"/>
        </w:rPr>
        <w:t>Winship-Robbins Elementary Sutter County</w:t>
      </w:r>
    </w:p>
    <w:p>
      <w:pPr>
        <w:spacing w:line="237" w:lineRule="auto" w:before="0"/>
        <w:ind w:left="747" w:right="0" w:firstLine="288"/>
        <w:jc w:val="left"/>
        <w:rPr>
          <w:sz w:val="15"/>
        </w:rPr>
      </w:pPr>
      <w:r>
        <w:rPr/>
        <w:br w:type="column"/>
      </w:r>
      <w:r>
        <w:rPr>
          <w:sz w:val="15"/>
        </w:rPr>
        <w:t>Child Development Fund Exhibit: Restricted Balance Detail</w:t>
      </w:r>
    </w:p>
    <w:p>
      <w:pPr>
        <w:spacing w:line="169" w:lineRule="exact" w:before="0"/>
        <w:ind w:left="0" w:right="726" w:firstLine="0"/>
        <w:jc w:val="right"/>
        <w:rPr>
          <w:sz w:val="15"/>
        </w:rPr>
      </w:pPr>
      <w:r>
        <w:rPr/>
        <w:br w:type="column"/>
      </w:r>
      <w:r>
        <w:rPr>
          <w:sz w:val="15"/>
        </w:rPr>
        <w:t>51 71456</w:t>
      </w:r>
      <w:r>
        <w:rPr>
          <w:spacing w:val="9"/>
          <w:sz w:val="15"/>
        </w:rPr>
        <w:t> </w:t>
      </w:r>
      <w:r>
        <w:rPr>
          <w:sz w:val="15"/>
        </w:rPr>
        <w:t>0000000</w:t>
      </w:r>
    </w:p>
    <w:p>
      <w:pPr>
        <w:spacing w:line="171" w:lineRule="exact" w:before="0"/>
        <w:ind w:left="0" w:right="726" w:firstLine="0"/>
        <w:jc w:val="right"/>
        <w:rPr>
          <w:sz w:val="15"/>
        </w:rPr>
      </w:pPr>
      <w:r>
        <w:rPr>
          <w:sz w:val="15"/>
        </w:rPr>
        <w:t>Form </w:t>
      </w:r>
      <w:r>
        <w:rPr>
          <w:spacing w:val="5"/>
          <w:sz w:val="15"/>
        </w:rPr>
        <w:t> </w:t>
      </w:r>
      <w:r>
        <w:rPr>
          <w:sz w:val="15"/>
        </w:rPr>
        <w:t>12</w:t>
      </w:r>
    </w:p>
    <w:p>
      <w:pPr>
        <w:spacing w:after="0" w:line="171" w:lineRule="exact"/>
        <w:jc w:val="right"/>
        <w:rPr>
          <w:sz w:val="15"/>
        </w:rPr>
        <w:sectPr>
          <w:headerReference w:type="default" r:id="rId697"/>
          <w:footerReference w:type="default" r:id="rId698"/>
          <w:pgSz w:w="12240" w:h="15840"/>
          <w:pgMar w:header="574" w:footer="0" w:top="760" w:bottom="280" w:left="160" w:right="180"/>
          <w:cols w:num="3" w:equalWidth="0">
            <w:col w:w="2746" w:space="1344"/>
            <w:col w:w="3030" w:space="2044"/>
            <w:col w:w="2736"/>
          </w:cols>
        </w:sectPr>
      </w:pPr>
    </w:p>
    <w:p>
      <w:pPr>
        <w:pStyle w:val="BodyText"/>
        <w:spacing w:before="3" w:after="1"/>
        <w:rPr>
          <w:sz w:val="23"/>
        </w:rPr>
      </w:pPr>
    </w:p>
    <w:tbl>
      <w:tblPr>
        <w:tblW w:w="0" w:type="auto"/>
        <w:jc w:val="left"/>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78"/>
        <w:gridCol w:w="3275"/>
        <w:gridCol w:w="3952"/>
        <w:gridCol w:w="1015"/>
      </w:tblGrid>
      <w:tr>
        <w:trPr>
          <w:trHeight w:val="223" w:hRule="atLeast"/>
        </w:trPr>
        <w:tc>
          <w:tcPr>
            <w:tcW w:w="4353" w:type="dxa"/>
            <w:gridSpan w:val="2"/>
          </w:tcPr>
          <w:p>
            <w:pPr>
              <w:pStyle w:val="TableParagraph"/>
              <w:rPr>
                <w:rFonts w:ascii="Times New Roman"/>
                <w:sz w:val="14"/>
              </w:rPr>
            </w:pPr>
          </w:p>
        </w:tc>
        <w:tc>
          <w:tcPr>
            <w:tcW w:w="3952" w:type="dxa"/>
          </w:tcPr>
          <w:p>
            <w:pPr>
              <w:pStyle w:val="TableParagraph"/>
              <w:spacing w:line="203" w:lineRule="exact"/>
              <w:ind w:left="2020" w:right="281"/>
              <w:jc w:val="center"/>
              <w:rPr>
                <w:b/>
                <w:sz w:val="18"/>
              </w:rPr>
            </w:pPr>
            <w:r>
              <w:rPr>
                <w:b/>
                <w:sz w:val="18"/>
              </w:rPr>
              <w:t>2020-21</w:t>
            </w:r>
          </w:p>
        </w:tc>
        <w:tc>
          <w:tcPr>
            <w:tcW w:w="1015" w:type="dxa"/>
          </w:tcPr>
          <w:p>
            <w:pPr>
              <w:pStyle w:val="TableParagraph"/>
              <w:spacing w:line="203" w:lineRule="exact"/>
              <w:ind w:right="46"/>
              <w:jc w:val="right"/>
              <w:rPr>
                <w:b/>
                <w:sz w:val="18"/>
              </w:rPr>
            </w:pPr>
            <w:r>
              <w:rPr>
                <w:b/>
                <w:sz w:val="18"/>
              </w:rPr>
              <w:t>2021-22</w:t>
            </w:r>
          </w:p>
        </w:tc>
      </w:tr>
      <w:tr>
        <w:trPr>
          <w:trHeight w:val="223" w:hRule="atLeast"/>
        </w:trPr>
        <w:tc>
          <w:tcPr>
            <w:tcW w:w="1078" w:type="dxa"/>
          </w:tcPr>
          <w:p>
            <w:pPr>
              <w:pStyle w:val="TableParagraph"/>
              <w:spacing w:line="188" w:lineRule="exact" w:before="15"/>
              <w:ind w:left="50"/>
              <w:rPr>
                <w:b/>
                <w:sz w:val="18"/>
              </w:rPr>
            </w:pPr>
            <w:r>
              <w:rPr>
                <w:b/>
                <w:sz w:val="18"/>
              </w:rPr>
              <w:t>Resource</w:t>
            </w:r>
          </w:p>
        </w:tc>
        <w:tc>
          <w:tcPr>
            <w:tcW w:w="3275" w:type="dxa"/>
          </w:tcPr>
          <w:p>
            <w:pPr>
              <w:pStyle w:val="TableParagraph"/>
              <w:spacing w:line="188" w:lineRule="exact" w:before="15"/>
              <w:ind w:left="186"/>
              <w:rPr>
                <w:b/>
                <w:sz w:val="18"/>
              </w:rPr>
            </w:pPr>
            <w:r>
              <w:rPr>
                <w:b/>
                <w:sz w:val="18"/>
              </w:rPr>
              <w:t>Description</w:t>
            </w:r>
          </w:p>
        </w:tc>
        <w:tc>
          <w:tcPr>
            <w:tcW w:w="3952" w:type="dxa"/>
          </w:tcPr>
          <w:p>
            <w:pPr>
              <w:pStyle w:val="TableParagraph"/>
              <w:spacing w:line="188" w:lineRule="exact" w:before="15"/>
              <w:ind w:left="2069" w:right="281"/>
              <w:jc w:val="center"/>
              <w:rPr>
                <w:b/>
                <w:sz w:val="18"/>
              </w:rPr>
            </w:pPr>
            <w:r>
              <w:rPr>
                <w:b/>
                <w:sz w:val="18"/>
              </w:rPr>
              <w:t>Estimated Actuals</w:t>
            </w:r>
          </w:p>
        </w:tc>
        <w:tc>
          <w:tcPr>
            <w:tcW w:w="1015" w:type="dxa"/>
          </w:tcPr>
          <w:p>
            <w:pPr>
              <w:pStyle w:val="TableParagraph"/>
              <w:spacing w:line="188" w:lineRule="exact" w:before="15"/>
              <w:ind w:right="68"/>
              <w:jc w:val="right"/>
              <w:rPr>
                <w:b/>
                <w:sz w:val="18"/>
              </w:rPr>
            </w:pPr>
            <w:r>
              <w:rPr>
                <w:b/>
                <w:sz w:val="18"/>
              </w:rPr>
              <w:t>Budget</w:t>
            </w:r>
          </w:p>
        </w:tc>
      </w:tr>
    </w:tbl>
    <w:p>
      <w:pPr>
        <w:pStyle w:val="BodyText"/>
        <w:spacing w:line="20" w:lineRule="exact"/>
        <w:ind w:left="1059"/>
        <w:rPr>
          <w:sz w:val="2"/>
        </w:rPr>
      </w:pPr>
      <w:r>
        <w:rPr>
          <w:sz w:val="2"/>
        </w:rPr>
        <w:drawing>
          <wp:inline distT="0" distB="0" distL="0" distR="0">
            <wp:extent cx="6198198" cy="4572"/>
            <wp:effectExtent l="0" t="0" r="0" b="0"/>
            <wp:docPr id="15" name="image551.png"/>
            <wp:cNvGraphicFramePr>
              <a:graphicFrameLocks noChangeAspect="1"/>
            </wp:cNvGraphicFramePr>
            <a:graphic>
              <a:graphicData uri="http://schemas.openxmlformats.org/drawingml/2006/picture">
                <pic:pic>
                  <pic:nvPicPr>
                    <pic:cNvPr id="16" name="image551.png"/>
                    <pic:cNvPicPr/>
                  </pic:nvPicPr>
                  <pic:blipFill>
                    <a:blip r:embed="rId572" cstate="print"/>
                    <a:stretch>
                      <a:fillRect/>
                    </a:stretch>
                  </pic:blipFill>
                  <pic:spPr>
                    <a:xfrm>
                      <a:off x="0" y="0"/>
                      <a:ext cx="6198198" cy="4572"/>
                    </a:xfrm>
                    <a:prstGeom prst="rect">
                      <a:avLst/>
                    </a:prstGeom>
                  </pic:spPr>
                </pic:pic>
              </a:graphicData>
            </a:graphic>
          </wp:inline>
        </w:drawing>
      </w:r>
      <w:r>
        <w:rPr>
          <w:sz w:val="2"/>
        </w:rPr>
      </w:r>
    </w:p>
    <w:p>
      <w:pPr>
        <w:pStyle w:val="BodyText"/>
        <w:spacing w:before="1"/>
        <w:rPr>
          <w:sz w:val="15"/>
        </w:rPr>
      </w:pPr>
    </w:p>
    <w:p>
      <w:pPr>
        <w:tabs>
          <w:tab w:pos="998" w:val="left" w:leader="none"/>
          <w:tab w:pos="6981" w:val="left" w:leader="none"/>
          <w:tab w:pos="8714" w:val="left" w:leader="none"/>
        </w:tabs>
        <w:spacing w:before="98"/>
        <w:ind w:left="0" w:right="1180" w:firstLine="0"/>
        <w:jc w:val="right"/>
        <w:rPr>
          <w:sz w:val="18"/>
        </w:rPr>
      </w:pPr>
      <w:r>
        <w:rPr>
          <w:sz w:val="18"/>
        </w:rPr>
        <w:t>6130</w:t>
        <w:tab/>
        <w:t>Child Development: Center-Based </w:t>
      </w:r>
      <w:r>
        <w:rPr>
          <w:spacing w:val="4"/>
          <w:sz w:val="18"/>
        </w:rPr>
        <w:t> </w:t>
      </w:r>
      <w:r>
        <w:rPr>
          <w:sz w:val="18"/>
        </w:rPr>
        <w:t>Reserve</w:t>
      </w:r>
      <w:r>
        <w:rPr>
          <w:spacing w:val="17"/>
          <w:sz w:val="18"/>
        </w:rPr>
        <w:t> </w:t>
      </w:r>
      <w:r>
        <w:rPr>
          <w:sz w:val="18"/>
        </w:rPr>
        <w:t>Account</w:t>
        <w:tab/>
        <w:t>5,882.00</w:t>
        <w:tab/>
      </w:r>
      <w:r>
        <w:rPr>
          <w:spacing w:val="-1"/>
          <w:sz w:val="18"/>
        </w:rPr>
        <w:t>5,882.00</w:t>
      </w:r>
    </w:p>
    <w:p>
      <w:pPr>
        <w:pStyle w:val="BodyText"/>
        <w:spacing w:before="2"/>
        <w:rPr>
          <w:sz w:val="15"/>
        </w:rPr>
      </w:pPr>
      <w:r>
        <w:rPr/>
        <w:drawing>
          <wp:anchor distT="0" distB="0" distL="0" distR="0" allowOverlap="1" layoutInCell="1" locked="0" behindDoc="0" simplePos="0" relativeHeight="247">
            <wp:simplePos x="0" y="0"/>
            <wp:positionH relativeFrom="page">
              <wp:posOffset>4767072</wp:posOffset>
            </wp:positionH>
            <wp:positionV relativeFrom="paragraph">
              <wp:posOffset>136100</wp:posOffset>
            </wp:positionV>
            <wp:extent cx="2205246" cy="4572"/>
            <wp:effectExtent l="0" t="0" r="0" b="0"/>
            <wp:wrapTopAndBottom/>
            <wp:docPr id="17" name="image552.png"/>
            <wp:cNvGraphicFramePr>
              <a:graphicFrameLocks noChangeAspect="1"/>
            </wp:cNvGraphicFramePr>
            <a:graphic>
              <a:graphicData uri="http://schemas.openxmlformats.org/drawingml/2006/picture">
                <pic:pic>
                  <pic:nvPicPr>
                    <pic:cNvPr id="18" name="image552.png"/>
                    <pic:cNvPicPr/>
                  </pic:nvPicPr>
                  <pic:blipFill>
                    <a:blip r:embed="rId573" cstate="print"/>
                    <a:stretch>
                      <a:fillRect/>
                    </a:stretch>
                  </pic:blipFill>
                  <pic:spPr>
                    <a:xfrm>
                      <a:off x="0" y="0"/>
                      <a:ext cx="2205246" cy="4572"/>
                    </a:xfrm>
                    <a:prstGeom prst="rect">
                      <a:avLst/>
                    </a:prstGeom>
                  </pic:spPr>
                </pic:pic>
              </a:graphicData>
            </a:graphic>
          </wp:anchor>
        </w:drawing>
      </w:r>
    </w:p>
    <w:p>
      <w:pPr>
        <w:tabs>
          <w:tab w:pos="7168" w:val="left" w:leader="none"/>
          <w:tab w:pos="8901" w:val="left" w:leader="none"/>
        </w:tabs>
        <w:spacing w:before="8"/>
        <w:ind w:left="0" w:right="1180" w:firstLine="0"/>
        <w:jc w:val="right"/>
        <w:rPr>
          <w:sz w:val="18"/>
        </w:rPr>
      </w:pPr>
      <w:r>
        <w:rPr>
          <w:sz w:val="18"/>
        </w:rPr>
        <w:t>Total,</w:t>
      </w:r>
      <w:r>
        <w:rPr>
          <w:spacing w:val="9"/>
          <w:sz w:val="18"/>
        </w:rPr>
        <w:t> </w:t>
      </w:r>
      <w:r>
        <w:rPr>
          <w:sz w:val="18"/>
        </w:rPr>
        <w:t>Restricted</w:t>
      </w:r>
      <w:r>
        <w:rPr>
          <w:spacing w:val="14"/>
          <w:sz w:val="18"/>
        </w:rPr>
        <w:t> </w:t>
      </w:r>
      <w:r>
        <w:rPr>
          <w:sz w:val="18"/>
        </w:rPr>
        <w:t>Balance</w:t>
        <w:tab/>
        <w:t>5,882.00</w:t>
        <w:tab/>
      </w:r>
      <w:r>
        <w:rPr>
          <w:spacing w:val="-1"/>
          <w:sz w:val="18"/>
        </w:rPr>
        <w:t>5,882.00</w:t>
      </w:r>
    </w:p>
    <w:p>
      <w:pPr>
        <w:pStyle w:val="BodyText"/>
        <w:spacing w:line="20" w:lineRule="exact"/>
        <w:ind w:left="7347"/>
        <w:rPr>
          <w:sz w:val="2"/>
        </w:rPr>
      </w:pPr>
      <w:r>
        <w:rPr>
          <w:sz w:val="2"/>
        </w:rPr>
        <w:drawing>
          <wp:inline distT="0" distB="0" distL="0" distR="0">
            <wp:extent cx="2205246" cy="4572"/>
            <wp:effectExtent l="0" t="0" r="0" b="0"/>
            <wp:docPr id="19" name="image552.png"/>
            <wp:cNvGraphicFramePr>
              <a:graphicFrameLocks noChangeAspect="1"/>
            </wp:cNvGraphicFramePr>
            <a:graphic>
              <a:graphicData uri="http://schemas.openxmlformats.org/drawingml/2006/picture">
                <pic:pic>
                  <pic:nvPicPr>
                    <pic:cNvPr id="20" name="image552.png"/>
                    <pic:cNvPicPr/>
                  </pic:nvPicPr>
                  <pic:blipFill>
                    <a:blip r:embed="rId573" cstate="print"/>
                    <a:stretch>
                      <a:fillRect/>
                    </a:stretch>
                  </pic:blipFill>
                  <pic:spPr>
                    <a:xfrm>
                      <a:off x="0" y="0"/>
                      <a:ext cx="2205246" cy="4572"/>
                    </a:xfrm>
                    <a:prstGeom prst="rect">
                      <a:avLst/>
                    </a:prstGeom>
                  </pic:spPr>
                </pic:pic>
              </a:graphicData>
            </a:graphic>
          </wp:inline>
        </w:drawing>
      </w:r>
      <w:r>
        <w:rPr>
          <w:sz w:val="2"/>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line="171" w:lineRule="exact" w:before="175"/>
        <w:ind w:left="747" w:right="0" w:firstLine="0"/>
        <w:jc w:val="left"/>
        <w:rPr>
          <w:sz w:val="15"/>
        </w:rPr>
      </w:pPr>
      <w:r>
        <w:rPr>
          <w:sz w:val="15"/>
        </w:rPr>
        <w:t>California Dept of Education</w:t>
      </w:r>
    </w:p>
    <w:p>
      <w:pPr>
        <w:spacing w:line="170" w:lineRule="exact" w:before="0"/>
        <w:ind w:left="747" w:right="0" w:firstLine="0"/>
        <w:jc w:val="left"/>
        <w:rPr>
          <w:sz w:val="15"/>
        </w:rPr>
      </w:pPr>
      <w:r>
        <w:rPr>
          <w:sz w:val="15"/>
        </w:rPr>
        <w:t>SACS Financial Reporting Software - 2021.1.0</w:t>
      </w:r>
    </w:p>
    <w:p>
      <w:pPr>
        <w:tabs>
          <w:tab w:pos="5718" w:val="left" w:leader="none"/>
          <w:tab w:pos="9232" w:val="left" w:leader="none"/>
        </w:tabs>
        <w:spacing w:line="171" w:lineRule="exact" w:before="0"/>
        <w:ind w:left="747" w:right="0" w:firstLine="0"/>
        <w:jc w:val="left"/>
        <w:rPr>
          <w:sz w:val="15"/>
        </w:rPr>
      </w:pPr>
      <w:r>
        <w:rPr>
          <w:sz w:val="15"/>
        </w:rPr>
        <w:t>File: fund-b</w:t>
      </w:r>
      <w:r>
        <w:rPr>
          <w:spacing w:val="8"/>
          <w:sz w:val="15"/>
        </w:rPr>
        <w:t> </w:t>
      </w:r>
      <w:r>
        <w:rPr>
          <w:sz w:val="15"/>
        </w:rPr>
        <w:t>(Rev</w:t>
      </w:r>
      <w:r>
        <w:rPr>
          <w:spacing w:val="7"/>
          <w:sz w:val="15"/>
        </w:rPr>
        <w:t> </w:t>
      </w:r>
      <w:r>
        <w:rPr>
          <w:sz w:val="15"/>
        </w:rPr>
        <w:t>04/17/2019)</w:t>
        <w:tab/>
        <w:t>Page</w:t>
      </w:r>
      <w:r>
        <w:rPr>
          <w:spacing w:val="2"/>
          <w:sz w:val="15"/>
        </w:rPr>
        <w:t> </w:t>
      </w:r>
      <w:r>
        <w:rPr>
          <w:sz w:val="15"/>
        </w:rPr>
        <w:t>1</w:t>
        <w:tab/>
        <w:t>Printed: 6/4/2021 10:06</w:t>
      </w:r>
      <w:r>
        <w:rPr>
          <w:spacing w:val="10"/>
          <w:sz w:val="15"/>
        </w:rPr>
        <w:t> </w:t>
      </w:r>
      <w:r>
        <w:rPr>
          <w:sz w:val="15"/>
        </w:rPr>
        <w:t>AM</w:t>
      </w:r>
    </w:p>
    <w:p>
      <w:pPr>
        <w:spacing w:after="0" w:line="171" w:lineRule="exact"/>
        <w:jc w:val="left"/>
        <w:rPr>
          <w:sz w:val="15"/>
        </w:rPr>
        <w:sectPr>
          <w:type w:val="continuous"/>
          <w:pgSz w:w="12240" w:h="15840"/>
          <w:pgMar w:top="1500" w:bottom="840" w:left="160" w:right="180"/>
        </w:sectPr>
      </w:pPr>
    </w:p>
    <w:p>
      <w:pPr>
        <w:spacing w:line="232" w:lineRule="auto" w:before="1"/>
        <w:ind w:left="308" w:right="0" w:firstLine="0"/>
        <w:jc w:val="left"/>
        <w:rPr>
          <w:sz w:val="18"/>
        </w:rPr>
      </w:pPr>
      <w:r>
        <w:rPr/>
        <w:pict>
          <v:group style="position:absolute;margin-left:30.120001pt;margin-top:36.318634pt;width:538pt;height:86.4pt;mso-position-horizontal-relative:page;mso-position-vertical-relative:paragraph;z-index:-314455040" coordorigin="602,726" coordsize="10760,1728">
            <v:shape style="position:absolute;left:602;top:726;width:3646;height:790" type="#_x0000_t75" stroked="false">
              <v:imagedata r:id="rId406" o:title=""/>
            </v:shape>
            <v:shape style="position:absolute;left:4240;top:726;width:7121;height:1728" type="#_x0000_t75" stroked="false">
              <v:imagedata r:id="rId701" o:title=""/>
            </v:shape>
            <w10:wrap type="none"/>
          </v:group>
        </w:pict>
      </w:r>
      <w:r>
        <w:rPr/>
        <w:pict>
          <v:group style="position:absolute;margin-left:30.120001pt;margin-top:75.078644pt;width:538pt;height:522.6pt;mso-position-horizontal-relative:page;mso-position-vertical-relative:paragraph;z-index:-314454016" coordorigin="602,1502" coordsize="10760,10452">
            <v:line style="position:absolute" from="1412,1506" to="1412,1876" stroked="true" strokeweight=".360003pt" strokecolor="#ffffff">
              <v:stroke dashstyle="solid"/>
            </v:line>
            <v:shape style="position:absolute;left:602;top:1501;width:3646;height:2472" type="#_x0000_t75" stroked="false">
              <v:imagedata r:id="rId408" o:title=""/>
            </v:shape>
            <v:shape style="position:absolute;left:6782;top:2451;width:1520;height:384" type="#_x0000_t75" stroked="false">
              <v:imagedata r:id="rId414" o:title=""/>
            </v:shape>
            <v:shape style="position:absolute;left:8294;top:2075;width:1520;height:761" type="#_x0000_t75" stroked="false">
              <v:imagedata r:id="rId702" o:title=""/>
            </v:shape>
            <v:rect style="position:absolute;left:9811;top:2456;width:1541;height:377" filled="true" fillcolor="#dfdfdf" stroked="false">
              <v:fill type="solid"/>
            </v:rect>
            <v:shape style="position:absolute;left:6782;top:2075;width:4580;height:1138" type="#_x0000_t75" stroked="false">
              <v:imagedata r:id="rId703" o:title=""/>
            </v:shape>
            <v:shape style="position:absolute;left:9806;top:2828;width:1556;height:756" type="#_x0000_t75" stroked="false">
              <v:imagedata r:id="rId580" o:title=""/>
            </v:shape>
            <v:shape style="position:absolute;left:602;top:3205;width:10760;height:1133" type="#_x0000_t75" stroked="false">
              <v:imagedata r:id="rId416" o:title=""/>
            </v:shape>
            <v:line style="position:absolute" from="1412,3964" to="1412,4334" stroked="true" strokeweight=".360003pt" strokecolor="#ffffff">
              <v:stroke dashstyle="solid"/>
            </v:line>
            <v:shape style="position:absolute;left:4240;top:3951;width:2549;height:22" type="#_x0000_t75" stroked="false">
              <v:imagedata r:id="rId704" o:title=""/>
            </v:shape>
            <v:shape style="position:absolute;left:6782;top:3951;width:1520;height:389" type="#_x0000_t75" stroked="false">
              <v:imagedata r:id="rId705" o:title=""/>
            </v:shape>
            <v:shape style="position:absolute;left:8294;top:3951;width:1520;height:389" type="#_x0000_t75" stroked="false">
              <v:imagedata r:id="rId706" o:title=""/>
            </v:shape>
            <v:shape style="position:absolute;left:6787;top:3964;width:4565;height:574" coordorigin="6787,3964" coordsize="4565,574" path="m11352,3964l9811,3964,9811,4341,8299,4341,6787,4341,6787,4538,8299,4538,9811,4538,11352,4538,11352,4341,11352,3964e" filled="true" fillcolor="#dfdfdf" stroked="false">
              <v:path arrowok="t"/>
              <v:fill type="solid"/>
            </v:shape>
            <v:shape style="position:absolute;left:6782;top:4335;width:1520;height:581" type="#_x0000_t75" stroked="false">
              <v:imagedata r:id="rId707" o:title=""/>
            </v:shape>
            <v:shape style="position:absolute;left:8294;top:4335;width:1520;height:581" type="#_x0000_t75" stroked="false">
              <v:imagedata r:id="rId708" o:title=""/>
            </v:shape>
            <v:shape style="position:absolute;left:6782;top:3951;width:4580;height:1342" type="#_x0000_t75" stroked="false">
              <v:imagedata r:id="rId578" o:title=""/>
            </v:shape>
            <v:rect style="position:absolute;left:9811;top:4537;width:1541;height:377" filled="true" fillcolor="#dfdfdf" stroked="false">
              <v:fill type="solid"/>
            </v:rect>
            <v:shape style="position:absolute;left:6782;top:4909;width:4580;height:761" type="#_x0000_t75" stroked="false">
              <v:imagedata r:id="rId579" o:title=""/>
            </v:shape>
            <v:shape style="position:absolute;left:6782;top:5286;width:4580;height:761" type="#_x0000_t75" stroked="false">
              <v:imagedata r:id="rId579" o:title=""/>
            </v:shape>
            <v:shape style="position:absolute;left:6782;top:5663;width:4580;height:761" type="#_x0000_t75" stroked="false">
              <v:imagedata r:id="rId579" o:title=""/>
            </v:shape>
            <v:shape style="position:absolute;left:6782;top:6039;width:4580;height:761" type="#_x0000_t75" stroked="false">
              <v:imagedata r:id="rId579" o:title=""/>
            </v:shape>
            <v:shape style="position:absolute;left:9806;top:6416;width:1556;height:953" type="#_x0000_t75" stroked="false">
              <v:imagedata r:id="rId709" o:title=""/>
            </v:shape>
            <v:shape style="position:absolute;left:602;top:4335;width:3646;height:3800" type="#_x0000_t75" stroked="false">
              <v:imagedata r:id="rId420" o:title=""/>
            </v:shape>
            <v:shape style="position:absolute;left:6782;top:6793;width:1520;height:958" type="#_x0000_t75" stroked="false">
              <v:imagedata r:id="rId710" o:title=""/>
            </v:shape>
            <v:rect style="position:absolute;left:6787;top:7371;width:1512;height:377" filled="true" fillcolor="#dfdfdf" stroked="false">
              <v:fill type="solid"/>
            </v:rect>
            <v:shape style="position:absolute;left:8294;top:7367;width:1520;height:384" type="#_x0000_t75" stroked="false">
              <v:imagedata r:id="rId584" o:title=""/>
            </v:shape>
            <v:rect style="position:absolute;left:9811;top:7371;width:1541;height:377" filled="true" fillcolor="#dfdfdf" stroked="false">
              <v:fill type="solid"/>
            </v:rect>
            <v:shape style="position:absolute;left:4240;top:7170;width:7121;height:965" type="#_x0000_t75" stroked="false">
              <v:imagedata r:id="rId711" o:title=""/>
            </v:shape>
            <v:line style="position:absolute" from="1412,8126" to="1412,8495" stroked="true" strokeweight=".360003pt" strokecolor="#ffffff">
              <v:stroke dashstyle="solid"/>
            </v:line>
            <v:shape style="position:absolute;left:602;top:8120;width:3646;height:785" type="#_x0000_t75" stroked="false">
              <v:imagedata r:id="rId427" o:title=""/>
            </v:shape>
            <v:shape style="position:absolute;left:4240;top:7743;width:7121;height:2122" type="#_x0000_t75" stroked="false">
              <v:imagedata r:id="rId712" o:title=""/>
            </v:shape>
            <v:line style="position:absolute" from="1412,8896" to="1412,9266" stroked="true" strokeweight=".360003pt" strokecolor="#ffffff">
              <v:stroke dashstyle="solid"/>
            </v:line>
            <v:shape style="position:absolute;left:6782;top:9661;width:4580;height:581" type="#_x0000_t75" stroked="false">
              <v:imagedata r:id="rId429" o:title=""/>
            </v:shape>
            <v:shape style="position:absolute;left:6782;top:9858;width:4580;height:958" type="#_x0000_t75" stroked="false">
              <v:imagedata r:id="rId430" o:title=""/>
            </v:shape>
            <v:shape style="position:absolute;left:6782;top:10611;width:4580;height:581" type="#_x0000_t75" stroked="false">
              <v:imagedata r:id="rId429" o:title=""/>
            </v:shape>
            <v:shape style="position:absolute;left:602;top:8891;width:3646;height:3063" type="#_x0000_t75" stroked="false">
              <v:imagedata r:id="rId431" o:title=""/>
            </v:shape>
            <v:shape style="position:absolute;left:8294;top:10808;width:3068;height:384" type="#_x0000_t75" stroked="false">
              <v:imagedata r:id="rId583" o:title=""/>
            </v:shape>
            <v:shape style="position:absolute;left:6782;top:11185;width:1520;height:384" type="#_x0000_t75" stroked="false">
              <v:imagedata r:id="rId414" o:title=""/>
            </v:shape>
            <v:shape style="position:absolute;left:8294;top:11185;width:1520;height:384" type="#_x0000_t75" stroked="false">
              <v:imagedata r:id="rId584" o:title=""/>
            </v:shape>
            <v:rect style="position:absolute;left:9811;top:11190;width:1541;height:377" filled="true" fillcolor="#dfdfdf" stroked="false">
              <v:fill type="solid"/>
            </v:rect>
            <v:shape style="position:absolute;left:4240;top:11185;width:7121;height:768" type="#_x0000_t75" stroked="false">
              <v:imagedata r:id="rId585" o:title=""/>
            </v:shape>
            <v:shape style="position:absolute;left:9806;top:11562;width:1556;height:392" type="#_x0000_t75" stroked="false">
              <v:imagedata r:id="rId586" o:title=""/>
            </v:shape>
            <w10:wrap type="none"/>
          </v:group>
        </w:pict>
      </w:r>
      <w:bookmarkStart w:name="FORM 14" w:id="6"/>
      <w:bookmarkEnd w:id="6"/>
      <w:r>
        <w:rPr/>
      </w:r>
      <w:r>
        <w:rPr>
          <w:sz w:val="18"/>
        </w:rPr>
        <w:t>Winship-Robbins Elementary Sutter County</w:t>
      </w:r>
    </w:p>
    <w:p>
      <w:pPr>
        <w:spacing w:line="232" w:lineRule="auto" w:before="1"/>
        <w:ind w:left="499" w:right="0" w:hanging="192"/>
        <w:jc w:val="left"/>
        <w:rPr>
          <w:sz w:val="18"/>
        </w:rPr>
      </w:pPr>
      <w:r>
        <w:rPr/>
        <w:br w:type="column"/>
      </w:r>
      <w:r>
        <w:rPr>
          <w:sz w:val="18"/>
        </w:rPr>
        <w:t>Deferred Maintenance Fund Expenditures by Object</w:t>
      </w:r>
    </w:p>
    <w:p>
      <w:pPr>
        <w:spacing w:line="200" w:lineRule="exact" w:before="0"/>
        <w:ind w:left="0" w:right="287" w:firstLine="0"/>
        <w:jc w:val="right"/>
        <w:rPr>
          <w:sz w:val="18"/>
        </w:rPr>
      </w:pPr>
      <w:r>
        <w:rPr/>
        <w:br w:type="column"/>
      </w:r>
      <w:r>
        <w:rPr>
          <w:sz w:val="18"/>
        </w:rPr>
        <w:t>51 71456</w:t>
      </w:r>
      <w:r>
        <w:rPr>
          <w:spacing w:val="3"/>
          <w:sz w:val="18"/>
        </w:rPr>
        <w:t> </w:t>
      </w:r>
      <w:r>
        <w:rPr>
          <w:sz w:val="18"/>
        </w:rPr>
        <w:t>0000000</w:t>
      </w:r>
    </w:p>
    <w:p>
      <w:pPr>
        <w:spacing w:line="204" w:lineRule="exact" w:before="0"/>
        <w:ind w:left="0" w:right="285" w:firstLine="0"/>
        <w:jc w:val="right"/>
        <w:rPr>
          <w:sz w:val="18"/>
        </w:rPr>
      </w:pPr>
      <w:r>
        <w:rPr>
          <w:sz w:val="18"/>
        </w:rPr>
        <w:t>Form </w:t>
      </w:r>
      <w:r>
        <w:rPr>
          <w:spacing w:val="3"/>
          <w:sz w:val="18"/>
        </w:rPr>
        <w:t> </w:t>
      </w:r>
      <w:r>
        <w:rPr>
          <w:sz w:val="18"/>
        </w:rPr>
        <w:t>14</w:t>
      </w:r>
    </w:p>
    <w:p>
      <w:pPr>
        <w:spacing w:after="0" w:line="204" w:lineRule="exact"/>
        <w:jc w:val="right"/>
        <w:rPr>
          <w:sz w:val="18"/>
        </w:rPr>
        <w:sectPr>
          <w:headerReference w:type="default" r:id="rId699"/>
          <w:footerReference w:type="default" r:id="rId700"/>
          <w:pgSz w:w="12240" w:h="15840"/>
          <w:pgMar w:header="651" w:footer="437" w:top="840" w:bottom="620" w:left="160" w:right="180"/>
          <w:pgNumType w:start="1"/>
          <w:cols w:num="3" w:equalWidth="0">
            <w:col w:w="2698" w:space="1823"/>
            <w:col w:w="2608" w:space="2663"/>
            <w:col w:w="2108"/>
          </w:cols>
        </w:sectPr>
      </w:pPr>
    </w:p>
    <w:p>
      <w:pPr>
        <w:pStyle w:val="BodyText"/>
        <w:rPr>
          <w:sz w:val="20"/>
        </w:rPr>
      </w:pPr>
    </w:p>
    <w:p>
      <w:pPr>
        <w:pStyle w:val="BodyText"/>
        <w:rPr>
          <w:sz w:val="20"/>
        </w:rPr>
      </w:pPr>
    </w:p>
    <w:p>
      <w:pPr>
        <w:pStyle w:val="BodyText"/>
        <w:spacing w:before="8" w:after="1"/>
        <w:rPr>
          <w:sz w:val="26"/>
        </w:rPr>
      </w:pPr>
    </w:p>
    <w:tbl>
      <w:tblPr>
        <w:tblW w:w="0" w:type="auto"/>
        <w:jc w:val="left"/>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63"/>
        <w:gridCol w:w="1468"/>
        <w:gridCol w:w="1127"/>
        <w:gridCol w:w="1666"/>
        <w:gridCol w:w="1475"/>
        <w:gridCol w:w="981"/>
        <w:gridCol w:w="408"/>
      </w:tblGrid>
      <w:tr>
        <w:trPr>
          <w:trHeight w:val="436" w:hRule="atLeast"/>
        </w:trPr>
        <w:tc>
          <w:tcPr>
            <w:tcW w:w="3663" w:type="dxa"/>
          </w:tcPr>
          <w:p>
            <w:pPr>
              <w:pStyle w:val="TableParagraph"/>
              <w:spacing w:before="5"/>
              <w:rPr>
                <w:sz w:val="14"/>
              </w:rPr>
            </w:pPr>
          </w:p>
          <w:p>
            <w:pPr>
              <w:pStyle w:val="TableParagraph"/>
              <w:spacing w:before="1"/>
              <w:ind w:left="50"/>
              <w:rPr>
                <w:b/>
                <w:sz w:val="14"/>
              </w:rPr>
            </w:pPr>
            <w:r>
              <w:rPr>
                <w:b/>
                <w:w w:val="105"/>
                <w:sz w:val="14"/>
              </w:rPr>
              <w:t>Description</w:t>
            </w:r>
          </w:p>
        </w:tc>
        <w:tc>
          <w:tcPr>
            <w:tcW w:w="1468" w:type="dxa"/>
          </w:tcPr>
          <w:p>
            <w:pPr>
              <w:pStyle w:val="TableParagraph"/>
              <w:spacing w:before="5"/>
              <w:rPr>
                <w:sz w:val="14"/>
              </w:rPr>
            </w:pPr>
          </w:p>
          <w:p>
            <w:pPr>
              <w:pStyle w:val="TableParagraph"/>
              <w:spacing w:before="1"/>
              <w:ind w:left="215"/>
              <w:rPr>
                <w:b/>
                <w:sz w:val="14"/>
              </w:rPr>
            </w:pPr>
            <w:r>
              <w:rPr>
                <w:b/>
                <w:w w:val="105"/>
                <w:sz w:val="14"/>
              </w:rPr>
              <w:t>Resource Codes</w:t>
            </w:r>
          </w:p>
        </w:tc>
        <w:tc>
          <w:tcPr>
            <w:tcW w:w="1127" w:type="dxa"/>
          </w:tcPr>
          <w:p>
            <w:pPr>
              <w:pStyle w:val="TableParagraph"/>
              <w:spacing w:before="5"/>
              <w:rPr>
                <w:sz w:val="14"/>
              </w:rPr>
            </w:pPr>
          </w:p>
          <w:p>
            <w:pPr>
              <w:pStyle w:val="TableParagraph"/>
              <w:spacing w:before="1"/>
              <w:ind w:left="87" w:right="49"/>
              <w:jc w:val="center"/>
              <w:rPr>
                <w:b/>
                <w:sz w:val="14"/>
              </w:rPr>
            </w:pPr>
            <w:r>
              <w:rPr>
                <w:b/>
                <w:w w:val="105"/>
                <w:sz w:val="14"/>
              </w:rPr>
              <w:t>Object Codes</w:t>
            </w:r>
          </w:p>
        </w:tc>
        <w:tc>
          <w:tcPr>
            <w:tcW w:w="1666" w:type="dxa"/>
          </w:tcPr>
          <w:p>
            <w:pPr>
              <w:pStyle w:val="TableParagraph"/>
              <w:spacing w:line="160" w:lineRule="exact"/>
              <w:ind w:left="44" w:right="303"/>
              <w:jc w:val="center"/>
              <w:rPr>
                <w:b/>
                <w:sz w:val="14"/>
              </w:rPr>
            </w:pPr>
            <w:r>
              <w:rPr>
                <w:b/>
                <w:w w:val="105"/>
                <w:sz w:val="14"/>
              </w:rPr>
              <w:t>2020-21</w:t>
            </w:r>
          </w:p>
          <w:p>
            <w:pPr>
              <w:pStyle w:val="TableParagraph"/>
              <w:spacing w:before="7"/>
              <w:ind w:left="43" w:right="305"/>
              <w:jc w:val="center"/>
              <w:rPr>
                <w:b/>
                <w:sz w:val="14"/>
              </w:rPr>
            </w:pPr>
            <w:r>
              <w:rPr>
                <w:b/>
                <w:w w:val="105"/>
                <w:sz w:val="14"/>
              </w:rPr>
              <w:t>Estimated Actuals</w:t>
            </w:r>
          </w:p>
        </w:tc>
        <w:tc>
          <w:tcPr>
            <w:tcW w:w="1475" w:type="dxa"/>
          </w:tcPr>
          <w:p>
            <w:pPr>
              <w:pStyle w:val="TableParagraph"/>
              <w:spacing w:line="160" w:lineRule="exact"/>
              <w:ind w:left="285"/>
              <w:rPr>
                <w:b/>
                <w:sz w:val="14"/>
              </w:rPr>
            </w:pPr>
            <w:r>
              <w:rPr>
                <w:b/>
                <w:w w:val="105"/>
                <w:sz w:val="14"/>
              </w:rPr>
              <w:t>2021-22</w:t>
            </w:r>
          </w:p>
          <w:p>
            <w:pPr>
              <w:pStyle w:val="TableParagraph"/>
              <w:spacing w:before="7"/>
              <w:ind w:left="297"/>
              <w:rPr>
                <w:b/>
                <w:sz w:val="14"/>
              </w:rPr>
            </w:pPr>
            <w:r>
              <w:rPr>
                <w:b/>
                <w:w w:val="105"/>
                <w:sz w:val="14"/>
              </w:rPr>
              <w:t>Budget</w:t>
            </w:r>
          </w:p>
        </w:tc>
        <w:tc>
          <w:tcPr>
            <w:tcW w:w="981" w:type="dxa"/>
          </w:tcPr>
          <w:p>
            <w:pPr>
              <w:pStyle w:val="TableParagraph"/>
              <w:spacing w:line="249" w:lineRule="auto"/>
              <w:ind w:left="248" w:right="28" w:firstLine="86"/>
              <w:rPr>
                <w:b/>
                <w:sz w:val="14"/>
              </w:rPr>
            </w:pPr>
            <w:r>
              <w:rPr>
                <w:b/>
                <w:w w:val="105"/>
                <w:sz w:val="14"/>
              </w:rPr>
              <w:t>Percent </w:t>
            </w:r>
            <w:r>
              <w:rPr>
                <w:b/>
                <w:sz w:val="14"/>
              </w:rPr>
              <w:t>Difference</w:t>
            </w:r>
          </w:p>
        </w:tc>
        <w:tc>
          <w:tcPr>
            <w:tcW w:w="408" w:type="dxa"/>
            <w:vMerge w:val="restart"/>
          </w:tcPr>
          <w:p>
            <w:pPr>
              <w:pStyle w:val="TableParagraph"/>
              <w:rPr>
                <w:rFonts w:ascii="Times New Roman"/>
                <w:sz w:val="14"/>
              </w:rPr>
            </w:pPr>
          </w:p>
        </w:tc>
      </w:tr>
      <w:tr>
        <w:trPr>
          <w:trHeight w:val="476" w:hRule="atLeast"/>
        </w:trPr>
        <w:tc>
          <w:tcPr>
            <w:tcW w:w="3663" w:type="dxa"/>
          </w:tcPr>
          <w:p>
            <w:pPr>
              <w:pStyle w:val="TableParagraph"/>
              <w:spacing w:before="107"/>
              <w:ind w:left="50"/>
              <w:rPr>
                <w:b/>
                <w:sz w:val="14"/>
              </w:rPr>
            </w:pPr>
            <w:r>
              <w:rPr>
                <w:b/>
                <w:w w:val="105"/>
                <w:sz w:val="14"/>
              </w:rPr>
              <w:t>A. REVENUES</w:t>
            </w:r>
          </w:p>
        </w:tc>
        <w:tc>
          <w:tcPr>
            <w:tcW w:w="1468" w:type="dxa"/>
          </w:tcPr>
          <w:p>
            <w:pPr>
              <w:pStyle w:val="TableParagraph"/>
              <w:rPr>
                <w:rFonts w:ascii="Times New Roman"/>
                <w:sz w:val="14"/>
              </w:rPr>
            </w:pPr>
          </w:p>
        </w:tc>
        <w:tc>
          <w:tcPr>
            <w:tcW w:w="1127" w:type="dxa"/>
          </w:tcPr>
          <w:p>
            <w:pPr>
              <w:pStyle w:val="TableParagraph"/>
              <w:rPr>
                <w:rFonts w:ascii="Times New Roman"/>
                <w:sz w:val="14"/>
              </w:rPr>
            </w:pPr>
          </w:p>
        </w:tc>
        <w:tc>
          <w:tcPr>
            <w:tcW w:w="1666" w:type="dxa"/>
          </w:tcPr>
          <w:p>
            <w:pPr>
              <w:pStyle w:val="TableParagraph"/>
              <w:rPr>
                <w:rFonts w:ascii="Times New Roman"/>
                <w:sz w:val="14"/>
              </w:rPr>
            </w:pPr>
          </w:p>
        </w:tc>
        <w:tc>
          <w:tcPr>
            <w:tcW w:w="1475" w:type="dxa"/>
          </w:tcPr>
          <w:p>
            <w:pPr>
              <w:pStyle w:val="TableParagraph"/>
              <w:rPr>
                <w:rFonts w:ascii="Times New Roman"/>
                <w:sz w:val="14"/>
              </w:rPr>
            </w:pPr>
          </w:p>
        </w:tc>
        <w:tc>
          <w:tcPr>
            <w:tcW w:w="981" w:type="dxa"/>
          </w:tcPr>
          <w:p>
            <w:pPr>
              <w:pStyle w:val="TableParagraph"/>
              <w:rPr>
                <w:rFonts w:ascii="Times New Roman"/>
                <w:sz w:val="14"/>
              </w:rPr>
            </w:pPr>
          </w:p>
        </w:tc>
        <w:tc>
          <w:tcPr>
            <w:tcW w:w="408" w:type="dxa"/>
            <w:vMerge/>
            <w:tcBorders>
              <w:top w:val="nil"/>
            </w:tcBorders>
          </w:tcPr>
          <w:p>
            <w:pPr>
              <w:rPr>
                <w:sz w:val="2"/>
                <w:szCs w:val="2"/>
              </w:rPr>
            </w:pPr>
          </w:p>
        </w:tc>
      </w:tr>
      <w:tr>
        <w:trPr>
          <w:trHeight w:val="476" w:hRule="atLeast"/>
        </w:trPr>
        <w:tc>
          <w:tcPr>
            <w:tcW w:w="3663" w:type="dxa"/>
          </w:tcPr>
          <w:p>
            <w:pPr>
              <w:pStyle w:val="TableParagraph"/>
              <w:spacing w:before="11"/>
              <w:rPr>
                <w:sz w:val="17"/>
              </w:rPr>
            </w:pPr>
          </w:p>
          <w:p>
            <w:pPr>
              <w:pStyle w:val="TableParagraph"/>
              <w:ind w:left="213"/>
              <w:rPr>
                <w:sz w:val="14"/>
              </w:rPr>
            </w:pPr>
            <w:r>
              <w:rPr>
                <w:w w:val="105"/>
                <w:sz w:val="14"/>
              </w:rPr>
              <w:t>1) LCFF Sources</w:t>
            </w:r>
          </w:p>
        </w:tc>
        <w:tc>
          <w:tcPr>
            <w:tcW w:w="1468" w:type="dxa"/>
          </w:tcPr>
          <w:p>
            <w:pPr>
              <w:pStyle w:val="TableParagraph"/>
              <w:rPr>
                <w:rFonts w:ascii="Times New Roman"/>
                <w:sz w:val="14"/>
              </w:rPr>
            </w:pPr>
          </w:p>
        </w:tc>
        <w:tc>
          <w:tcPr>
            <w:tcW w:w="1127" w:type="dxa"/>
          </w:tcPr>
          <w:p>
            <w:pPr>
              <w:pStyle w:val="TableParagraph"/>
              <w:spacing w:before="11"/>
              <w:rPr>
                <w:sz w:val="17"/>
              </w:rPr>
            </w:pPr>
          </w:p>
          <w:p>
            <w:pPr>
              <w:pStyle w:val="TableParagraph"/>
              <w:ind w:left="88" w:right="49"/>
              <w:jc w:val="center"/>
              <w:rPr>
                <w:sz w:val="14"/>
              </w:rPr>
            </w:pPr>
            <w:r>
              <w:rPr>
                <w:w w:val="105"/>
                <w:sz w:val="14"/>
              </w:rPr>
              <w:t>8010-8099</w:t>
            </w:r>
          </w:p>
        </w:tc>
        <w:tc>
          <w:tcPr>
            <w:tcW w:w="1666" w:type="dxa"/>
          </w:tcPr>
          <w:p>
            <w:pPr>
              <w:pStyle w:val="TableParagraph"/>
              <w:spacing w:before="11"/>
              <w:rPr>
                <w:sz w:val="17"/>
              </w:rPr>
            </w:pPr>
          </w:p>
          <w:p>
            <w:pPr>
              <w:pStyle w:val="TableParagraph"/>
              <w:ind w:right="285"/>
              <w:jc w:val="right"/>
              <w:rPr>
                <w:sz w:val="14"/>
              </w:rPr>
            </w:pPr>
            <w:r>
              <w:rPr>
                <w:sz w:val="14"/>
              </w:rPr>
              <w:t>0.00</w:t>
            </w:r>
          </w:p>
        </w:tc>
        <w:tc>
          <w:tcPr>
            <w:tcW w:w="1475" w:type="dxa"/>
          </w:tcPr>
          <w:p>
            <w:pPr>
              <w:pStyle w:val="TableParagraph"/>
              <w:spacing w:before="11"/>
              <w:rPr>
                <w:sz w:val="17"/>
              </w:rPr>
            </w:pPr>
          </w:p>
          <w:p>
            <w:pPr>
              <w:pStyle w:val="TableParagraph"/>
              <w:ind w:right="248"/>
              <w:jc w:val="right"/>
              <w:rPr>
                <w:sz w:val="14"/>
              </w:rPr>
            </w:pPr>
            <w:r>
              <w:rPr>
                <w:sz w:val="14"/>
              </w:rPr>
              <w:t>0.00</w:t>
            </w:r>
          </w:p>
        </w:tc>
        <w:tc>
          <w:tcPr>
            <w:tcW w:w="981" w:type="dxa"/>
          </w:tcPr>
          <w:p>
            <w:pPr>
              <w:pStyle w:val="TableParagraph"/>
              <w:rPr>
                <w:rFonts w:ascii="Times New Roman"/>
                <w:sz w:val="14"/>
              </w:rPr>
            </w:pPr>
          </w:p>
        </w:tc>
        <w:tc>
          <w:tcPr>
            <w:tcW w:w="408" w:type="dxa"/>
          </w:tcPr>
          <w:p>
            <w:pPr>
              <w:pStyle w:val="TableParagraph"/>
              <w:spacing w:before="11"/>
              <w:rPr>
                <w:sz w:val="17"/>
              </w:rPr>
            </w:pPr>
          </w:p>
          <w:p>
            <w:pPr>
              <w:pStyle w:val="TableParagraph"/>
              <w:ind w:left="6" w:right="23"/>
              <w:jc w:val="center"/>
              <w:rPr>
                <w:sz w:val="14"/>
              </w:rPr>
            </w:pPr>
            <w:r>
              <w:rPr>
                <w:w w:val="105"/>
                <w:sz w:val="14"/>
              </w:rPr>
              <w:t>0.0%</w:t>
            </w:r>
          </w:p>
        </w:tc>
      </w:tr>
      <w:tr>
        <w:trPr>
          <w:trHeight w:val="376" w:hRule="atLeast"/>
        </w:trPr>
        <w:tc>
          <w:tcPr>
            <w:tcW w:w="3663" w:type="dxa"/>
          </w:tcPr>
          <w:p>
            <w:pPr>
              <w:pStyle w:val="TableParagraph"/>
              <w:spacing w:before="107"/>
              <w:ind w:left="213"/>
              <w:rPr>
                <w:sz w:val="14"/>
              </w:rPr>
            </w:pPr>
            <w:r>
              <w:rPr>
                <w:w w:val="105"/>
                <w:sz w:val="14"/>
              </w:rPr>
              <w:t>2) Federal Revenue</w:t>
            </w:r>
          </w:p>
        </w:tc>
        <w:tc>
          <w:tcPr>
            <w:tcW w:w="1468" w:type="dxa"/>
          </w:tcPr>
          <w:p>
            <w:pPr>
              <w:pStyle w:val="TableParagraph"/>
              <w:rPr>
                <w:rFonts w:ascii="Times New Roman"/>
                <w:sz w:val="14"/>
              </w:rPr>
            </w:pPr>
          </w:p>
        </w:tc>
        <w:tc>
          <w:tcPr>
            <w:tcW w:w="1127" w:type="dxa"/>
          </w:tcPr>
          <w:p>
            <w:pPr>
              <w:pStyle w:val="TableParagraph"/>
              <w:spacing w:before="107"/>
              <w:ind w:left="88" w:right="49"/>
              <w:jc w:val="center"/>
              <w:rPr>
                <w:sz w:val="14"/>
              </w:rPr>
            </w:pPr>
            <w:r>
              <w:rPr>
                <w:w w:val="105"/>
                <w:sz w:val="14"/>
              </w:rPr>
              <w:t>8100-8299</w:t>
            </w:r>
          </w:p>
        </w:tc>
        <w:tc>
          <w:tcPr>
            <w:tcW w:w="1666" w:type="dxa"/>
          </w:tcPr>
          <w:p>
            <w:pPr>
              <w:pStyle w:val="TableParagraph"/>
              <w:spacing w:before="107"/>
              <w:ind w:right="285"/>
              <w:jc w:val="right"/>
              <w:rPr>
                <w:sz w:val="14"/>
              </w:rPr>
            </w:pPr>
            <w:r>
              <w:rPr>
                <w:sz w:val="14"/>
              </w:rPr>
              <w:t>0.00</w:t>
            </w:r>
          </w:p>
        </w:tc>
        <w:tc>
          <w:tcPr>
            <w:tcW w:w="1475" w:type="dxa"/>
          </w:tcPr>
          <w:p>
            <w:pPr>
              <w:pStyle w:val="TableParagraph"/>
              <w:spacing w:before="107"/>
              <w:ind w:right="248"/>
              <w:jc w:val="right"/>
              <w:rPr>
                <w:sz w:val="14"/>
              </w:rPr>
            </w:pPr>
            <w:r>
              <w:rPr>
                <w:sz w:val="14"/>
              </w:rPr>
              <w:t>0.00</w:t>
            </w:r>
          </w:p>
        </w:tc>
        <w:tc>
          <w:tcPr>
            <w:tcW w:w="981" w:type="dxa"/>
          </w:tcPr>
          <w:p>
            <w:pPr>
              <w:pStyle w:val="TableParagraph"/>
              <w:rPr>
                <w:rFonts w:ascii="Times New Roman"/>
                <w:sz w:val="14"/>
              </w:rPr>
            </w:pPr>
          </w:p>
        </w:tc>
        <w:tc>
          <w:tcPr>
            <w:tcW w:w="408" w:type="dxa"/>
          </w:tcPr>
          <w:p>
            <w:pPr>
              <w:pStyle w:val="TableParagraph"/>
              <w:spacing w:before="107"/>
              <w:ind w:left="6" w:right="23"/>
              <w:jc w:val="center"/>
              <w:rPr>
                <w:sz w:val="14"/>
              </w:rPr>
            </w:pPr>
            <w:r>
              <w:rPr>
                <w:w w:val="105"/>
                <w:sz w:val="14"/>
              </w:rPr>
              <w:t>0.0%</w:t>
            </w:r>
          </w:p>
        </w:tc>
      </w:tr>
      <w:tr>
        <w:trPr>
          <w:trHeight w:val="376" w:hRule="atLeast"/>
        </w:trPr>
        <w:tc>
          <w:tcPr>
            <w:tcW w:w="3663" w:type="dxa"/>
          </w:tcPr>
          <w:p>
            <w:pPr>
              <w:pStyle w:val="TableParagraph"/>
              <w:spacing w:before="107"/>
              <w:ind w:left="213"/>
              <w:rPr>
                <w:sz w:val="14"/>
              </w:rPr>
            </w:pPr>
            <w:r>
              <w:rPr>
                <w:w w:val="105"/>
                <w:sz w:val="14"/>
              </w:rPr>
              <w:t>3) Other State Revenue</w:t>
            </w:r>
          </w:p>
        </w:tc>
        <w:tc>
          <w:tcPr>
            <w:tcW w:w="1468" w:type="dxa"/>
          </w:tcPr>
          <w:p>
            <w:pPr>
              <w:pStyle w:val="TableParagraph"/>
              <w:rPr>
                <w:rFonts w:ascii="Times New Roman"/>
                <w:sz w:val="14"/>
              </w:rPr>
            </w:pPr>
          </w:p>
        </w:tc>
        <w:tc>
          <w:tcPr>
            <w:tcW w:w="1127" w:type="dxa"/>
          </w:tcPr>
          <w:p>
            <w:pPr>
              <w:pStyle w:val="TableParagraph"/>
              <w:spacing w:before="107"/>
              <w:ind w:left="88" w:right="49"/>
              <w:jc w:val="center"/>
              <w:rPr>
                <w:sz w:val="14"/>
              </w:rPr>
            </w:pPr>
            <w:r>
              <w:rPr>
                <w:w w:val="105"/>
                <w:sz w:val="14"/>
              </w:rPr>
              <w:t>8300-8599</w:t>
            </w:r>
          </w:p>
        </w:tc>
        <w:tc>
          <w:tcPr>
            <w:tcW w:w="1666" w:type="dxa"/>
          </w:tcPr>
          <w:p>
            <w:pPr>
              <w:pStyle w:val="TableParagraph"/>
              <w:spacing w:before="107"/>
              <w:ind w:right="285"/>
              <w:jc w:val="right"/>
              <w:rPr>
                <w:sz w:val="14"/>
              </w:rPr>
            </w:pPr>
            <w:r>
              <w:rPr>
                <w:sz w:val="14"/>
              </w:rPr>
              <w:t>0.00</w:t>
            </w:r>
          </w:p>
        </w:tc>
        <w:tc>
          <w:tcPr>
            <w:tcW w:w="1475" w:type="dxa"/>
          </w:tcPr>
          <w:p>
            <w:pPr>
              <w:pStyle w:val="TableParagraph"/>
              <w:spacing w:before="107"/>
              <w:ind w:right="248"/>
              <w:jc w:val="right"/>
              <w:rPr>
                <w:sz w:val="14"/>
              </w:rPr>
            </w:pPr>
            <w:r>
              <w:rPr>
                <w:sz w:val="14"/>
              </w:rPr>
              <w:t>0.00</w:t>
            </w:r>
          </w:p>
        </w:tc>
        <w:tc>
          <w:tcPr>
            <w:tcW w:w="981" w:type="dxa"/>
          </w:tcPr>
          <w:p>
            <w:pPr>
              <w:pStyle w:val="TableParagraph"/>
              <w:rPr>
                <w:rFonts w:ascii="Times New Roman"/>
                <w:sz w:val="14"/>
              </w:rPr>
            </w:pPr>
          </w:p>
        </w:tc>
        <w:tc>
          <w:tcPr>
            <w:tcW w:w="408" w:type="dxa"/>
          </w:tcPr>
          <w:p>
            <w:pPr>
              <w:pStyle w:val="TableParagraph"/>
              <w:spacing w:before="107"/>
              <w:ind w:left="6" w:right="23"/>
              <w:jc w:val="center"/>
              <w:rPr>
                <w:sz w:val="14"/>
              </w:rPr>
            </w:pPr>
            <w:r>
              <w:rPr>
                <w:w w:val="105"/>
                <w:sz w:val="14"/>
              </w:rPr>
              <w:t>0.0%</w:t>
            </w:r>
          </w:p>
        </w:tc>
      </w:tr>
      <w:tr>
        <w:trPr>
          <w:trHeight w:val="376" w:hRule="atLeast"/>
        </w:trPr>
        <w:tc>
          <w:tcPr>
            <w:tcW w:w="3663" w:type="dxa"/>
          </w:tcPr>
          <w:p>
            <w:pPr>
              <w:pStyle w:val="TableParagraph"/>
              <w:spacing w:before="107"/>
              <w:ind w:left="213"/>
              <w:rPr>
                <w:sz w:val="14"/>
              </w:rPr>
            </w:pPr>
            <w:r>
              <w:rPr>
                <w:w w:val="105"/>
                <w:sz w:val="14"/>
              </w:rPr>
              <w:t>4) Other Local Revenue</w:t>
            </w:r>
          </w:p>
        </w:tc>
        <w:tc>
          <w:tcPr>
            <w:tcW w:w="1468" w:type="dxa"/>
          </w:tcPr>
          <w:p>
            <w:pPr>
              <w:pStyle w:val="TableParagraph"/>
              <w:rPr>
                <w:rFonts w:ascii="Times New Roman"/>
                <w:sz w:val="14"/>
              </w:rPr>
            </w:pPr>
          </w:p>
        </w:tc>
        <w:tc>
          <w:tcPr>
            <w:tcW w:w="1127" w:type="dxa"/>
          </w:tcPr>
          <w:p>
            <w:pPr>
              <w:pStyle w:val="TableParagraph"/>
              <w:spacing w:before="107"/>
              <w:ind w:left="88" w:right="49"/>
              <w:jc w:val="center"/>
              <w:rPr>
                <w:sz w:val="14"/>
              </w:rPr>
            </w:pPr>
            <w:r>
              <w:rPr>
                <w:w w:val="105"/>
                <w:sz w:val="14"/>
              </w:rPr>
              <w:t>8600-8799</w:t>
            </w:r>
          </w:p>
        </w:tc>
        <w:tc>
          <w:tcPr>
            <w:tcW w:w="1666" w:type="dxa"/>
          </w:tcPr>
          <w:p>
            <w:pPr>
              <w:pStyle w:val="TableParagraph"/>
              <w:spacing w:before="107"/>
              <w:ind w:right="284"/>
              <w:jc w:val="right"/>
              <w:rPr>
                <w:sz w:val="14"/>
              </w:rPr>
            </w:pPr>
            <w:r>
              <w:rPr>
                <w:sz w:val="14"/>
              </w:rPr>
              <w:t>265.00</w:t>
            </w:r>
          </w:p>
        </w:tc>
        <w:tc>
          <w:tcPr>
            <w:tcW w:w="1475" w:type="dxa"/>
          </w:tcPr>
          <w:p>
            <w:pPr>
              <w:pStyle w:val="TableParagraph"/>
              <w:spacing w:before="107"/>
              <w:ind w:right="247"/>
              <w:jc w:val="right"/>
              <w:rPr>
                <w:sz w:val="14"/>
              </w:rPr>
            </w:pPr>
            <w:r>
              <w:rPr>
                <w:sz w:val="14"/>
              </w:rPr>
              <w:t>265.00</w:t>
            </w:r>
          </w:p>
        </w:tc>
        <w:tc>
          <w:tcPr>
            <w:tcW w:w="981" w:type="dxa"/>
          </w:tcPr>
          <w:p>
            <w:pPr>
              <w:pStyle w:val="TableParagraph"/>
              <w:rPr>
                <w:rFonts w:ascii="Times New Roman"/>
                <w:sz w:val="14"/>
              </w:rPr>
            </w:pPr>
          </w:p>
        </w:tc>
        <w:tc>
          <w:tcPr>
            <w:tcW w:w="408" w:type="dxa"/>
          </w:tcPr>
          <w:p>
            <w:pPr>
              <w:pStyle w:val="TableParagraph"/>
              <w:spacing w:before="107"/>
              <w:ind w:left="6" w:right="23"/>
              <w:jc w:val="center"/>
              <w:rPr>
                <w:sz w:val="14"/>
              </w:rPr>
            </w:pPr>
            <w:r>
              <w:rPr>
                <w:w w:val="105"/>
                <w:sz w:val="14"/>
              </w:rPr>
              <w:t>0.0%</w:t>
            </w:r>
          </w:p>
        </w:tc>
      </w:tr>
      <w:tr>
        <w:trPr>
          <w:trHeight w:val="375" w:hRule="atLeast"/>
        </w:trPr>
        <w:tc>
          <w:tcPr>
            <w:tcW w:w="3663" w:type="dxa"/>
          </w:tcPr>
          <w:p>
            <w:pPr>
              <w:pStyle w:val="TableParagraph"/>
              <w:spacing w:before="107"/>
              <w:ind w:left="213"/>
              <w:rPr>
                <w:sz w:val="14"/>
              </w:rPr>
            </w:pPr>
            <w:r>
              <w:rPr>
                <w:w w:val="105"/>
                <w:sz w:val="14"/>
              </w:rPr>
              <w:t>5) TOTAL, REVENUES</w:t>
            </w:r>
          </w:p>
        </w:tc>
        <w:tc>
          <w:tcPr>
            <w:tcW w:w="1468" w:type="dxa"/>
          </w:tcPr>
          <w:p>
            <w:pPr>
              <w:pStyle w:val="TableParagraph"/>
              <w:rPr>
                <w:rFonts w:ascii="Times New Roman"/>
                <w:sz w:val="14"/>
              </w:rPr>
            </w:pPr>
          </w:p>
        </w:tc>
        <w:tc>
          <w:tcPr>
            <w:tcW w:w="1127" w:type="dxa"/>
          </w:tcPr>
          <w:p>
            <w:pPr>
              <w:pStyle w:val="TableParagraph"/>
              <w:rPr>
                <w:rFonts w:ascii="Times New Roman"/>
                <w:sz w:val="14"/>
              </w:rPr>
            </w:pPr>
          </w:p>
        </w:tc>
        <w:tc>
          <w:tcPr>
            <w:tcW w:w="1666" w:type="dxa"/>
          </w:tcPr>
          <w:p>
            <w:pPr>
              <w:pStyle w:val="TableParagraph"/>
              <w:spacing w:before="107"/>
              <w:ind w:right="284"/>
              <w:jc w:val="right"/>
              <w:rPr>
                <w:sz w:val="14"/>
              </w:rPr>
            </w:pPr>
            <w:r>
              <w:rPr>
                <w:sz w:val="14"/>
              </w:rPr>
              <w:t>265.00</w:t>
            </w:r>
          </w:p>
        </w:tc>
        <w:tc>
          <w:tcPr>
            <w:tcW w:w="1475" w:type="dxa"/>
          </w:tcPr>
          <w:p>
            <w:pPr>
              <w:pStyle w:val="TableParagraph"/>
              <w:spacing w:before="107"/>
              <w:ind w:right="247"/>
              <w:jc w:val="right"/>
              <w:rPr>
                <w:sz w:val="14"/>
              </w:rPr>
            </w:pPr>
            <w:r>
              <w:rPr>
                <w:sz w:val="14"/>
              </w:rPr>
              <w:t>265.00</w:t>
            </w:r>
          </w:p>
        </w:tc>
        <w:tc>
          <w:tcPr>
            <w:tcW w:w="981" w:type="dxa"/>
          </w:tcPr>
          <w:p>
            <w:pPr>
              <w:pStyle w:val="TableParagraph"/>
              <w:rPr>
                <w:rFonts w:ascii="Times New Roman"/>
                <w:sz w:val="14"/>
              </w:rPr>
            </w:pPr>
          </w:p>
        </w:tc>
        <w:tc>
          <w:tcPr>
            <w:tcW w:w="408" w:type="dxa"/>
          </w:tcPr>
          <w:p>
            <w:pPr>
              <w:pStyle w:val="TableParagraph"/>
              <w:spacing w:before="107"/>
              <w:ind w:left="6" w:right="23"/>
              <w:jc w:val="center"/>
              <w:rPr>
                <w:sz w:val="14"/>
              </w:rPr>
            </w:pPr>
            <w:r>
              <w:rPr>
                <w:w w:val="105"/>
                <w:sz w:val="14"/>
              </w:rPr>
              <w:t>0.0%</w:t>
            </w:r>
          </w:p>
        </w:tc>
      </w:tr>
      <w:tr>
        <w:trPr>
          <w:trHeight w:val="265" w:hRule="atLeast"/>
        </w:trPr>
        <w:tc>
          <w:tcPr>
            <w:tcW w:w="3663" w:type="dxa"/>
          </w:tcPr>
          <w:p>
            <w:pPr>
              <w:pStyle w:val="TableParagraph"/>
              <w:spacing w:line="140" w:lineRule="exact" w:before="105"/>
              <w:ind w:left="50"/>
              <w:rPr>
                <w:b/>
                <w:sz w:val="14"/>
              </w:rPr>
            </w:pPr>
            <w:r>
              <w:rPr>
                <w:b/>
                <w:w w:val="105"/>
                <w:sz w:val="14"/>
              </w:rPr>
              <w:t>B. EXPENDITURES</w:t>
            </w:r>
          </w:p>
        </w:tc>
        <w:tc>
          <w:tcPr>
            <w:tcW w:w="2595" w:type="dxa"/>
            <w:gridSpan w:val="2"/>
          </w:tcPr>
          <w:p>
            <w:pPr>
              <w:pStyle w:val="TableParagraph"/>
              <w:rPr>
                <w:rFonts w:ascii="Times New Roman"/>
                <w:sz w:val="14"/>
              </w:rPr>
            </w:pPr>
          </w:p>
        </w:tc>
        <w:tc>
          <w:tcPr>
            <w:tcW w:w="3141" w:type="dxa"/>
            <w:gridSpan w:val="2"/>
          </w:tcPr>
          <w:p>
            <w:pPr>
              <w:pStyle w:val="TableParagraph"/>
              <w:rPr>
                <w:rFonts w:ascii="Times New Roman"/>
                <w:sz w:val="14"/>
              </w:rPr>
            </w:pPr>
          </w:p>
        </w:tc>
        <w:tc>
          <w:tcPr>
            <w:tcW w:w="1389" w:type="dxa"/>
            <w:gridSpan w:val="2"/>
            <w:shd w:val="clear" w:color="auto" w:fill="DFDFDF"/>
          </w:tcPr>
          <w:p>
            <w:pPr>
              <w:pStyle w:val="TableParagraph"/>
              <w:rPr>
                <w:rFonts w:ascii="Times New Roman"/>
                <w:sz w:val="14"/>
              </w:rPr>
            </w:pPr>
          </w:p>
        </w:tc>
      </w:tr>
      <w:tr>
        <w:trPr>
          <w:trHeight w:val="685" w:hRule="atLeast"/>
        </w:trPr>
        <w:tc>
          <w:tcPr>
            <w:tcW w:w="3663" w:type="dxa"/>
          </w:tcPr>
          <w:p>
            <w:pPr>
              <w:pStyle w:val="TableParagraph"/>
              <w:rPr>
                <w:sz w:val="16"/>
              </w:rPr>
            </w:pPr>
          </w:p>
          <w:p>
            <w:pPr>
              <w:pStyle w:val="TableParagraph"/>
              <w:spacing w:before="1"/>
              <w:rPr>
                <w:sz w:val="20"/>
              </w:rPr>
            </w:pPr>
          </w:p>
          <w:p>
            <w:pPr>
              <w:pStyle w:val="TableParagraph"/>
              <w:spacing w:before="1"/>
              <w:ind w:left="213"/>
              <w:rPr>
                <w:sz w:val="14"/>
              </w:rPr>
            </w:pPr>
            <w:r>
              <w:rPr>
                <w:w w:val="105"/>
                <w:sz w:val="14"/>
              </w:rPr>
              <w:t>1) Certificated Salaries</w:t>
            </w:r>
          </w:p>
        </w:tc>
        <w:tc>
          <w:tcPr>
            <w:tcW w:w="2595" w:type="dxa"/>
            <w:gridSpan w:val="2"/>
          </w:tcPr>
          <w:p>
            <w:pPr>
              <w:pStyle w:val="TableParagraph"/>
              <w:rPr>
                <w:sz w:val="16"/>
              </w:rPr>
            </w:pPr>
          </w:p>
          <w:p>
            <w:pPr>
              <w:pStyle w:val="TableParagraph"/>
              <w:spacing w:before="1"/>
              <w:rPr>
                <w:sz w:val="20"/>
              </w:rPr>
            </w:pPr>
          </w:p>
          <w:p>
            <w:pPr>
              <w:pStyle w:val="TableParagraph"/>
              <w:spacing w:before="1"/>
              <w:ind w:left="1710"/>
              <w:rPr>
                <w:sz w:val="14"/>
              </w:rPr>
            </w:pPr>
            <w:r>
              <w:rPr>
                <w:w w:val="105"/>
                <w:sz w:val="14"/>
              </w:rPr>
              <w:t>1000-1999</w:t>
            </w:r>
          </w:p>
        </w:tc>
        <w:tc>
          <w:tcPr>
            <w:tcW w:w="1666" w:type="dxa"/>
          </w:tcPr>
          <w:p>
            <w:pPr>
              <w:pStyle w:val="TableParagraph"/>
              <w:rPr>
                <w:sz w:val="16"/>
              </w:rPr>
            </w:pPr>
          </w:p>
          <w:p>
            <w:pPr>
              <w:pStyle w:val="TableParagraph"/>
              <w:spacing w:before="1"/>
              <w:rPr>
                <w:sz w:val="20"/>
              </w:rPr>
            </w:pPr>
          </w:p>
          <w:p>
            <w:pPr>
              <w:pStyle w:val="TableParagraph"/>
              <w:spacing w:before="1"/>
              <w:ind w:right="285"/>
              <w:jc w:val="right"/>
              <w:rPr>
                <w:sz w:val="14"/>
              </w:rPr>
            </w:pPr>
            <w:r>
              <w:rPr>
                <w:sz w:val="14"/>
              </w:rPr>
              <w:t>0.00</w:t>
            </w:r>
          </w:p>
        </w:tc>
        <w:tc>
          <w:tcPr>
            <w:tcW w:w="1475" w:type="dxa"/>
          </w:tcPr>
          <w:p>
            <w:pPr>
              <w:pStyle w:val="TableParagraph"/>
              <w:rPr>
                <w:sz w:val="16"/>
              </w:rPr>
            </w:pPr>
          </w:p>
          <w:p>
            <w:pPr>
              <w:pStyle w:val="TableParagraph"/>
              <w:spacing w:before="1"/>
              <w:rPr>
                <w:sz w:val="20"/>
              </w:rPr>
            </w:pPr>
          </w:p>
          <w:p>
            <w:pPr>
              <w:pStyle w:val="TableParagraph"/>
              <w:spacing w:before="1"/>
              <w:ind w:right="248"/>
              <w:jc w:val="right"/>
              <w:rPr>
                <w:sz w:val="14"/>
              </w:rPr>
            </w:pPr>
            <w:r>
              <w:rPr>
                <w:sz w:val="14"/>
              </w:rPr>
              <w:t>0.00</w:t>
            </w:r>
          </w:p>
        </w:tc>
        <w:tc>
          <w:tcPr>
            <w:tcW w:w="1389" w:type="dxa"/>
            <w:gridSpan w:val="2"/>
            <w:shd w:val="clear" w:color="auto" w:fill="DFDFDF"/>
          </w:tcPr>
          <w:p>
            <w:pPr>
              <w:pStyle w:val="TableParagraph"/>
              <w:rPr>
                <w:sz w:val="16"/>
              </w:rPr>
            </w:pPr>
          </w:p>
          <w:p>
            <w:pPr>
              <w:pStyle w:val="TableParagraph"/>
              <w:spacing w:before="1"/>
              <w:rPr>
                <w:sz w:val="20"/>
              </w:rPr>
            </w:pPr>
          </w:p>
          <w:p>
            <w:pPr>
              <w:pStyle w:val="TableParagraph"/>
              <w:spacing w:before="1"/>
              <w:ind w:right="48"/>
              <w:jc w:val="right"/>
              <w:rPr>
                <w:sz w:val="14"/>
              </w:rPr>
            </w:pPr>
            <w:r>
              <w:rPr>
                <w:sz w:val="14"/>
              </w:rPr>
              <w:t>0.0%</w:t>
            </w:r>
          </w:p>
        </w:tc>
      </w:tr>
      <w:tr>
        <w:trPr>
          <w:trHeight w:val="376" w:hRule="atLeast"/>
        </w:trPr>
        <w:tc>
          <w:tcPr>
            <w:tcW w:w="3663" w:type="dxa"/>
          </w:tcPr>
          <w:p>
            <w:pPr>
              <w:pStyle w:val="TableParagraph"/>
              <w:spacing w:before="107"/>
              <w:ind w:left="213"/>
              <w:rPr>
                <w:sz w:val="14"/>
              </w:rPr>
            </w:pPr>
            <w:r>
              <w:rPr>
                <w:w w:val="105"/>
                <w:sz w:val="14"/>
              </w:rPr>
              <w:t>2) Classified Salaries</w:t>
            </w:r>
          </w:p>
        </w:tc>
        <w:tc>
          <w:tcPr>
            <w:tcW w:w="2595" w:type="dxa"/>
            <w:gridSpan w:val="2"/>
          </w:tcPr>
          <w:p>
            <w:pPr>
              <w:pStyle w:val="TableParagraph"/>
              <w:spacing w:before="107"/>
              <w:ind w:left="1710"/>
              <w:rPr>
                <w:sz w:val="14"/>
              </w:rPr>
            </w:pPr>
            <w:r>
              <w:rPr>
                <w:w w:val="105"/>
                <w:sz w:val="14"/>
              </w:rPr>
              <w:t>2000-2999</w:t>
            </w:r>
          </w:p>
        </w:tc>
        <w:tc>
          <w:tcPr>
            <w:tcW w:w="1666" w:type="dxa"/>
          </w:tcPr>
          <w:p>
            <w:pPr>
              <w:pStyle w:val="TableParagraph"/>
              <w:spacing w:before="107"/>
              <w:ind w:right="285"/>
              <w:jc w:val="right"/>
              <w:rPr>
                <w:sz w:val="14"/>
              </w:rPr>
            </w:pPr>
            <w:r>
              <w:rPr>
                <w:sz w:val="14"/>
              </w:rPr>
              <w:t>0.00</w:t>
            </w:r>
          </w:p>
        </w:tc>
        <w:tc>
          <w:tcPr>
            <w:tcW w:w="1475" w:type="dxa"/>
          </w:tcPr>
          <w:p>
            <w:pPr>
              <w:pStyle w:val="TableParagraph"/>
              <w:spacing w:before="107"/>
              <w:ind w:right="248"/>
              <w:jc w:val="right"/>
              <w:rPr>
                <w:sz w:val="14"/>
              </w:rPr>
            </w:pPr>
            <w:r>
              <w:rPr>
                <w:sz w:val="14"/>
              </w:rPr>
              <w:t>0.00</w:t>
            </w:r>
          </w:p>
        </w:tc>
        <w:tc>
          <w:tcPr>
            <w:tcW w:w="1389" w:type="dxa"/>
            <w:gridSpan w:val="2"/>
          </w:tcPr>
          <w:p>
            <w:pPr>
              <w:pStyle w:val="TableParagraph"/>
              <w:spacing w:before="107"/>
              <w:ind w:right="48"/>
              <w:jc w:val="right"/>
              <w:rPr>
                <w:sz w:val="14"/>
              </w:rPr>
            </w:pPr>
            <w:r>
              <w:rPr>
                <w:sz w:val="14"/>
              </w:rPr>
              <w:t>0.0%</w:t>
            </w:r>
          </w:p>
        </w:tc>
      </w:tr>
      <w:tr>
        <w:trPr>
          <w:trHeight w:val="376" w:hRule="atLeast"/>
        </w:trPr>
        <w:tc>
          <w:tcPr>
            <w:tcW w:w="3663" w:type="dxa"/>
          </w:tcPr>
          <w:p>
            <w:pPr>
              <w:pStyle w:val="TableParagraph"/>
              <w:spacing w:before="107"/>
              <w:ind w:left="213"/>
              <w:rPr>
                <w:sz w:val="14"/>
              </w:rPr>
            </w:pPr>
            <w:r>
              <w:rPr>
                <w:w w:val="105"/>
                <w:sz w:val="14"/>
              </w:rPr>
              <w:t>3) Employee Benefits</w:t>
            </w:r>
          </w:p>
        </w:tc>
        <w:tc>
          <w:tcPr>
            <w:tcW w:w="2595" w:type="dxa"/>
            <w:gridSpan w:val="2"/>
          </w:tcPr>
          <w:p>
            <w:pPr>
              <w:pStyle w:val="TableParagraph"/>
              <w:spacing w:before="107"/>
              <w:ind w:left="1710"/>
              <w:rPr>
                <w:sz w:val="14"/>
              </w:rPr>
            </w:pPr>
            <w:r>
              <w:rPr>
                <w:w w:val="105"/>
                <w:sz w:val="14"/>
              </w:rPr>
              <w:t>3000-3999</w:t>
            </w:r>
          </w:p>
        </w:tc>
        <w:tc>
          <w:tcPr>
            <w:tcW w:w="1666" w:type="dxa"/>
          </w:tcPr>
          <w:p>
            <w:pPr>
              <w:pStyle w:val="TableParagraph"/>
              <w:spacing w:before="107"/>
              <w:ind w:right="285"/>
              <w:jc w:val="right"/>
              <w:rPr>
                <w:sz w:val="14"/>
              </w:rPr>
            </w:pPr>
            <w:r>
              <w:rPr>
                <w:sz w:val="14"/>
              </w:rPr>
              <w:t>0.00</w:t>
            </w:r>
          </w:p>
        </w:tc>
        <w:tc>
          <w:tcPr>
            <w:tcW w:w="1475" w:type="dxa"/>
          </w:tcPr>
          <w:p>
            <w:pPr>
              <w:pStyle w:val="TableParagraph"/>
              <w:spacing w:before="107"/>
              <w:ind w:right="248"/>
              <w:jc w:val="right"/>
              <w:rPr>
                <w:sz w:val="14"/>
              </w:rPr>
            </w:pPr>
            <w:r>
              <w:rPr>
                <w:sz w:val="14"/>
              </w:rPr>
              <w:t>0.00</w:t>
            </w:r>
          </w:p>
        </w:tc>
        <w:tc>
          <w:tcPr>
            <w:tcW w:w="1389" w:type="dxa"/>
            <w:gridSpan w:val="2"/>
          </w:tcPr>
          <w:p>
            <w:pPr>
              <w:pStyle w:val="TableParagraph"/>
              <w:spacing w:before="107"/>
              <w:ind w:right="48"/>
              <w:jc w:val="right"/>
              <w:rPr>
                <w:sz w:val="14"/>
              </w:rPr>
            </w:pPr>
            <w:r>
              <w:rPr>
                <w:sz w:val="14"/>
              </w:rPr>
              <w:t>0.0%</w:t>
            </w:r>
          </w:p>
        </w:tc>
      </w:tr>
      <w:tr>
        <w:trPr>
          <w:trHeight w:val="376" w:hRule="atLeast"/>
        </w:trPr>
        <w:tc>
          <w:tcPr>
            <w:tcW w:w="3663" w:type="dxa"/>
          </w:tcPr>
          <w:p>
            <w:pPr>
              <w:pStyle w:val="TableParagraph"/>
              <w:spacing w:before="107"/>
              <w:ind w:left="213"/>
              <w:rPr>
                <w:sz w:val="14"/>
              </w:rPr>
            </w:pPr>
            <w:r>
              <w:rPr>
                <w:w w:val="105"/>
                <w:sz w:val="14"/>
              </w:rPr>
              <w:t>4) Books and Supplies</w:t>
            </w:r>
          </w:p>
        </w:tc>
        <w:tc>
          <w:tcPr>
            <w:tcW w:w="2595" w:type="dxa"/>
            <w:gridSpan w:val="2"/>
          </w:tcPr>
          <w:p>
            <w:pPr>
              <w:pStyle w:val="TableParagraph"/>
              <w:spacing w:before="107"/>
              <w:ind w:left="1710"/>
              <w:rPr>
                <w:sz w:val="14"/>
              </w:rPr>
            </w:pPr>
            <w:r>
              <w:rPr>
                <w:w w:val="105"/>
                <w:sz w:val="14"/>
              </w:rPr>
              <w:t>4000-4999</w:t>
            </w:r>
          </w:p>
        </w:tc>
        <w:tc>
          <w:tcPr>
            <w:tcW w:w="1666" w:type="dxa"/>
          </w:tcPr>
          <w:p>
            <w:pPr>
              <w:pStyle w:val="TableParagraph"/>
              <w:spacing w:before="107"/>
              <w:ind w:right="285"/>
              <w:jc w:val="right"/>
              <w:rPr>
                <w:sz w:val="14"/>
              </w:rPr>
            </w:pPr>
            <w:r>
              <w:rPr>
                <w:sz w:val="14"/>
              </w:rPr>
              <w:t>0.00</w:t>
            </w:r>
          </w:p>
        </w:tc>
        <w:tc>
          <w:tcPr>
            <w:tcW w:w="1475" w:type="dxa"/>
          </w:tcPr>
          <w:p>
            <w:pPr>
              <w:pStyle w:val="TableParagraph"/>
              <w:spacing w:before="107"/>
              <w:ind w:right="248"/>
              <w:jc w:val="right"/>
              <w:rPr>
                <w:sz w:val="14"/>
              </w:rPr>
            </w:pPr>
            <w:r>
              <w:rPr>
                <w:sz w:val="14"/>
              </w:rPr>
              <w:t>0.00</w:t>
            </w:r>
          </w:p>
        </w:tc>
        <w:tc>
          <w:tcPr>
            <w:tcW w:w="1389" w:type="dxa"/>
            <w:gridSpan w:val="2"/>
          </w:tcPr>
          <w:p>
            <w:pPr>
              <w:pStyle w:val="TableParagraph"/>
              <w:spacing w:before="107"/>
              <w:ind w:right="48"/>
              <w:jc w:val="right"/>
              <w:rPr>
                <w:sz w:val="14"/>
              </w:rPr>
            </w:pPr>
            <w:r>
              <w:rPr>
                <w:sz w:val="14"/>
              </w:rPr>
              <w:t>0.0%</w:t>
            </w:r>
          </w:p>
        </w:tc>
      </w:tr>
      <w:tr>
        <w:trPr>
          <w:trHeight w:val="376" w:hRule="atLeast"/>
        </w:trPr>
        <w:tc>
          <w:tcPr>
            <w:tcW w:w="3663" w:type="dxa"/>
          </w:tcPr>
          <w:p>
            <w:pPr>
              <w:pStyle w:val="TableParagraph"/>
              <w:spacing w:before="107"/>
              <w:ind w:left="213"/>
              <w:rPr>
                <w:sz w:val="14"/>
              </w:rPr>
            </w:pPr>
            <w:r>
              <w:rPr>
                <w:w w:val="105"/>
                <w:sz w:val="14"/>
              </w:rPr>
              <w:t>5) Services and Other Operating Expenditures</w:t>
            </w:r>
          </w:p>
        </w:tc>
        <w:tc>
          <w:tcPr>
            <w:tcW w:w="2595" w:type="dxa"/>
            <w:gridSpan w:val="2"/>
          </w:tcPr>
          <w:p>
            <w:pPr>
              <w:pStyle w:val="TableParagraph"/>
              <w:spacing w:before="107"/>
              <w:ind w:left="1710"/>
              <w:rPr>
                <w:sz w:val="14"/>
              </w:rPr>
            </w:pPr>
            <w:r>
              <w:rPr>
                <w:w w:val="105"/>
                <w:sz w:val="14"/>
              </w:rPr>
              <w:t>5000-5999</w:t>
            </w:r>
          </w:p>
        </w:tc>
        <w:tc>
          <w:tcPr>
            <w:tcW w:w="1666" w:type="dxa"/>
          </w:tcPr>
          <w:p>
            <w:pPr>
              <w:pStyle w:val="TableParagraph"/>
              <w:spacing w:before="107"/>
              <w:ind w:right="285"/>
              <w:jc w:val="right"/>
              <w:rPr>
                <w:sz w:val="14"/>
              </w:rPr>
            </w:pPr>
            <w:r>
              <w:rPr>
                <w:sz w:val="14"/>
              </w:rPr>
              <w:t>0.00</w:t>
            </w:r>
          </w:p>
        </w:tc>
        <w:tc>
          <w:tcPr>
            <w:tcW w:w="1475" w:type="dxa"/>
          </w:tcPr>
          <w:p>
            <w:pPr>
              <w:pStyle w:val="TableParagraph"/>
              <w:spacing w:before="107"/>
              <w:ind w:right="248"/>
              <w:jc w:val="right"/>
              <w:rPr>
                <w:sz w:val="14"/>
              </w:rPr>
            </w:pPr>
            <w:r>
              <w:rPr>
                <w:sz w:val="14"/>
              </w:rPr>
              <w:t>0.00</w:t>
            </w:r>
          </w:p>
        </w:tc>
        <w:tc>
          <w:tcPr>
            <w:tcW w:w="1389" w:type="dxa"/>
            <w:gridSpan w:val="2"/>
          </w:tcPr>
          <w:p>
            <w:pPr>
              <w:pStyle w:val="TableParagraph"/>
              <w:spacing w:before="107"/>
              <w:ind w:right="48"/>
              <w:jc w:val="right"/>
              <w:rPr>
                <w:sz w:val="14"/>
              </w:rPr>
            </w:pPr>
            <w:r>
              <w:rPr>
                <w:sz w:val="14"/>
              </w:rPr>
              <w:t>0.0%</w:t>
            </w:r>
          </w:p>
        </w:tc>
      </w:tr>
      <w:tr>
        <w:trPr>
          <w:trHeight w:val="376" w:hRule="atLeast"/>
        </w:trPr>
        <w:tc>
          <w:tcPr>
            <w:tcW w:w="3663" w:type="dxa"/>
          </w:tcPr>
          <w:p>
            <w:pPr>
              <w:pStyle w:val="TableParagraph"/>
              <w:spacing w:before="107"/>
              <w:ind w:left="213"/>
              <w:rPr>
                <w:sz w:val="14"/>
              </w:rPr>
            </w:pPr>
            <w:r>
              <w:rPr>
                <w:w w:val="105"/>
                <w:sz w:val="14"/>
              </w:rPr>
              <w:t>6) Capital Outlay</w:t>
            </w:r>
          </w:p>
        </w:tc>
        <w:tc>
          <w:tcPr>
            <w:tcW w:w="2595" w:type="dxa"/>
            <w:gridSpan w:val="2"/>
          </w:tcPr>
          <w:p>
            <w:pPr>
              <w:pStyle w:val="TableParagraph"/>
              <w:spacing w:before="107"/>
              <w:ind w:left="1710"/>
              <w:rPr>
                <w:sz w:val="14"/>
              </w:rPr>
            </w:pPr>
            <w:r>
              <w:rPr>
                <w:w w:val="105"/>
                <w:sz w:val="14"/>
              </w:rPr>
              <w:t>6000-6999</w:t>
            </w:r>
          </w:p>
        </w:tc>
        <w:tc>
          <w:tcPr>
            <w:tcW w:w="1666" w:type="dxa"/>
          </w:tcPr>
          <w:p>
            <w:pPr>
              <w:pStyle w:val="TableParagraph"/>
              <w:spacing w:before="107"/>
              <w:ind w:right="285"/>
              <w:jc w:val="right"/>
              <w:rPr>
                <w:sz w:val="14"/>
              </w:rPr>
            </w:pPr>
            <w:r>
              <w:rPr>
                <w:sz w:val="14"/>
              </w:rPr>
              <w:t>0.00</w:t>
            </w:r>
          </w:p>
        </w:tc>
        <w:tc>
          <w:tcPr>
            <w:tcW w:w="1475" w:type="dxa"/>
          </w:tcPr>
          <w:p>
            <w:pPr>
              <w:pStyle w:val="TableParagraph"/>
              <w:spacing w:before="107"/>
              <w:ind w:right="248"/>
              <w:jc w:val="right"/>
              <w:rPr>
                <w:sz w:val="14"/>
              </w:rPr>
            </w:pPr>
            <w:r>
              <w:rPr>
                <w:sz w:val="14"/>
              </w:rPr>
              <w:t>0.00</w:t>
            </w:r>
          </w:p>
        </w:tc>
        <w:tc>
          <w:tcPr>
            <w:tcW w:w="1389" w:type="dxa"/>
            <w:gridSpan w:val="2"/>
          </w:tcPr>
          <w:p>
            <w:pPr>
              <w:pStyle w:val="TableParagraph"/>
              <w:spacing w:before="107"/>
              <w:ind w:right="48"/>
              <w:jc w:val="right"/>
              <w:rPr>
                <w:sz w:val="14"/>
              </w:rPr>
            </w:pPr>
            <w:r>
              <w:rPr>
                <w:sz w:val="14"/>
              </w:rPr>
              <w:t>0.0%</w:t>
            </w:r>
          </w:p>
        </w:tc>
      </w:tr>
      <w:tr>
        <w:trPr>
          <w:trHeight w:val="286" w:hRule="atLeast"/>
        </w:trPr>
        <w:tc>
          <w:tcPr>
            <w:tcW w:w="3663" w:type="dxa"/>
          </w:tcPr>
          <w:p>
            <w:pPr>
              <w:pStyle w:val="TableParagraph"/>
              <w:spacing w:line="160" w:lineRule="exact" w:before="107"/>
              <w:ind w:left="213"/>
              <w:rPr>
                <w:sz w:val="14"/>
              </w:rPr>
            </w:pPr>
            <w:r>
              <w:rPr>
                <w:w w:val="105"/>
                <w:sz w:val="14"/>
              </w:rPr>
              <w:t>7) Other Outgo (excluding Transfers of Indirect</w:t>
            </w:r>
          </w:p>
        </w:tc>
        <w:tc>
          <w:tcPr>
            <w:tcW w:w="2595" w:type="dxa"/>
            <w:gridSpan w:val="2"/>
          </w:tcPr>
          <w:p>
            <w:pPr>
              <w:pStyle w:val="TableParagraph"/>
              <w:spacing w:line="160" w:lineRule="exact" w:before="107"/>
              <w:ind w:left="1691"/>
              <w:rPr>
                <w:sz w:val="14"/>
              </w:rPr>
            </w:pPr>
            <w:r>
              <w:rPr>
                <w:w w:val="105"/>
                <w:sz w:val="14"/>
              </w:rPr>
              <w:t>7100-7299,</w:t>
            </w:r>
          </w:p>
        </w:tc>
        <w:tc>
          <w:tcPr>
            <w:tcW w:w="1666" w:type="dxa"/>
          </w:tcPr>
          <w:p>
            <w:pPr>
              <w:pStyle w:val="TableParagraph"/>
              <w:rPr>
                <w:rFonts w:ascii="Times New Roman"/>
                <w:sz w:val="14"/>
              </w:rPr>
            </w:pPr>
          </w:p>
        </w:tc>
        <w:tc>
          <w:tcPr>
            <w:tcW w:w="1475" w:type="dxa"/>
          </w:tcPr>
          <w:p>
            <w:pPr>
              <w:pStyle w:val="TableParagraph"/>
              <w:rPr>
                <w:rFonts w:ascii="Times New Roman"/>
                <w:sz w:val="14"/>
              </w:rPr>
            </w:pPr>
          </w:p>
        </w:tc>
        <w:tc>
          <w:tcPr>
            <w:tcW w:w="1389" w:type="dxa"/>
            <w:gridSpan w:val="2"/>
          </w:tcPr>
          <w:p>
            <w:pPr>
              <w:pStyle w:val="TableParagraph"/>
              <w:rPr>
                <w:rFonts w:ascii="Times New Roman"/>
                <w:sz w:val="14"/>
              </w:rPr>
            </w:pPr>
          </w:p>
        </w:tc>
      </w:tr>
      <w:tr>
        <w:trPr>
          <w:trHeight w:val="286" w:hRule="atLeast"/>
        </w:trPr>
        <w:tc>
          <w:tcPr>
            <w:tcW w:w="3663" w:type="dxa"/>
          </w:tcPr>
          <w:p>
            <w:pPr>
              <w:pStyle w:val="TableParagraph"/>
              <w:spacing w:before="17"/>
              <w:ind w:left="416"/>
              <w:rPr>
                <w:sz w:val="14"/>
              </w:rPr>
            </w:pPr>
            <w:r>
              <w:rPr>
                <w:w w:val="105"/>
                <w:sz w:val="14"/>
              </w:rPr>
              <w:t>Costs)</w:t>
            </w:r>
          </w:p>
        </w:tc>
        <w:tc>
          <w:tcPr>
            <w:tcW w:w="2595" w:type="dxa"/>
            <w:gridSpan w:val="2"/>
          </w:tcPr>
          <w:p>
            <w:pPr>
              <w:pStyle w:val="TableParagraph"/>
              <w:spacing w:before="17"/>
              <w:ind w:left="1710"/>
              <w:rPr>
                <w:sz w:val="14"/>
              </w:rPr>
            </w:pPr>
            <w:r>
              <w:rPr>
                <w:w w:val="105"/>
                <w:sz w:val="14"/>
              </w:rPr>
              <w:t>7400-7499</w:t>
            </w:r>
          </w:p>
        </w:tc>
        <w:tc>
          <w:tcPr>
            <w:tcW w:w="1666" w:type="dxa"/>
          </w:tcPr>
          <w:p>
            <w:pPr>
              <w:pStyle w:val="TableParagraph"/>
              <w:spacing w:before="17"/>
              <w:ind w:right="285"/>
              <w:jc w:val="right"/>
              <w:rPr>
                <w:sz w:val="14"/>
              </w:rPr>
            </w:pPr>
            <w:r>
              <w:rPr>
                <w:sz w:val="14"/>
              </w:rPr>
              <w:t>0.00</w:t>
            </w:r>
          </w:p>
        </w:tc>
        <w:tc>
          <w:tcPr>
            <w:tcW w:w="1475" w:type="dxa"/>
          </w:tcPr>
          <w:p>
            <w:pPr>
              <w:pStyle w:val="TableParagraph"/>
              <w:spacing w:before="17"/>
              <w:ind w:right="248"/>
              <w:jc w:val="right"/>
              <w:rPr>
                <w:sz w:val="14"/>
              </w:rPr>
            </w:pPr>
            <w:r>
              <w:rPr>
                <w:sz w:val="14"/>
              </w:rPr>
              <w:t>0.00</w:t>
            </w:r>
          </w:p>
        </w:tc>
        <w:tc>
          <w:tcPr>
            <w:tcW w:w="1389" w:type="dxa"/>
            <w:gridSpan w:val="2"/>
          </w:tcPr>
          <w:p>
            <w:pPr>
              <w:pStyle w:val="TableParagraph"/>
              <w:spacing w:before="17"/>
              <w:ind w:right="48"/>
              <w:jc w:val="right"/>
              <w:rPr>
                <w:sz w:val="14"/>
              </w:rPr>
            </w:pPr>
            <w:r>
              <w:rPr>
                <w:sz w:val="14"/>
              </w:rPr>
              <w:t>0.0%</w:t>
            </w:r>
          </w:p>
        </w:tc>
      </w:tr>
      <w:tr>
        <w:trPr>
          <w:trHeight w:val="376" w:hRule="atLeast"/>
        </w:trPr>
        <w:tc>
          <w:tcPr>
            <w:tcW w:w="3663" w:type="dxa"/>
          </w:tcPr>
          <w:p>
            <w:pPr>
              <w:pStyle w:val="TableParagraph"/>
              <w:spacing w:before="107"/>
              <w:ind w:left="213"/>
              <w:rPr>
                <w:sz w:val="14"/>
              </w:rPr>
            </w:pPr>
            <w:r>
              <w:rPr>
                <w:w w:val="105"/>
                <w:sz w:val="14"/>
              </w:rPr>
              <w:t>8) Other Outgo - Transfers of Indirect Costs</w:t>
            </w:r>
          </w:p>
        </w:tc>
        <w:tc>
          <w:tcPr>
            <w:tcW w:w="2595" w:type="dxa"/>
            <w:gridSpan w:val="2"/>
          </w:tcPr>
          <w:p>
            <w:pPr>
              <w:pStyle w:val="TableParagraph"/>
              <w:spacing w:before="107"/>
              <w:ind w:left="1710"/>
              <w:rPr>
                <w:sz w:val="14"/>
              </w:rPr>
            </w:pPr>
            <w:r>
              <w:rPr>
                <w:w w:val="105"/>
                <w:sz w:val="14"/>
              </w:rPr>
              <w:t>7300-7399</w:t>
            </w:r>
          </w:p>
        </w:tc>
        <w:tc>
          <w:tcPr>
            <w:tcW w:w="1666" w:type="dxa"/>
          </w:tcPr>
          <w:p>
            <w:pPr>
              <w:pStyle w:val="TableParagraph"/>
              <w:spacing w:before="107"/>
              <w:ind w:right="285"/>
              <w:jc w:val="right"/>
              <w:rPr>
                <w:sz w:val="14"/>
              </w:rPr>
            </w:pPr>
            <w:r>
              <w:rPr>
                <w:sz w:val="14"/>
              </w:rPr>
              <w:t>0.00</w:t>
            </w:r>
          </w:p>
        </w:tc>
        <w:tc>
          <w:tcPr>
            <w:tcW w:w="1475" w:type="dxa"/>
          </w:tcPr>
          <w:p>
            <w:pPr>
              <w:pStyle w:val="TableParagraph"/>
              <w:spacing w:before="107"/>
              <w:ind w:right="248"/>
              <w:jc w:val="right"/>
              <w:rPr>
                <w:sz w:val="14"/>
              </w:rPr>
            </w:pPr>
            <w:r>
              <w:rPr>
                <w:sz w:val="14"/>
              </w:rPr>
              <w:t>0.00</w:t>
            </w:r>
          </w:p>
        </w:tc>
        <w:tc>
          <w:tcPr>
            <w:tcW w:w="1389" w:type="dxa"/>
            <w:gridSpan w:val="2"/>
          </w:tcPr>
          <w:p>
            <w:pPr>
              <w:pStyle w:val="TableParagraph"/>
              <w:spacing w:before="107"/>
              <w:ind w:right="48"/>
              <w:jc w:val="right"/>
              <w:rPr>
                <w:sz w:val="14"/>
              </w:rPr>
            </w:pPr>
            <w:r>
              <w:rPr>
                <w:sz w:val="14"/>
              </w:rPr>
              <w:t>0.0%</w:t>
            </w:r>
          </w:p>
        </w:tc>
      </w:tr>
      <w:tr>
        <w:trPr>
          <w:trHeight w:val="268" w:hRule="atLeast"/>
        </w:trPr>
        <w:tc>
          <w:tcPr>
            <w:tcW w:w="3663" w:type="dxa"/>
          </w:tcPr>
          <w:p>
            <w:pPr>
              <w:pStyle w:val="TableParagraph"/>
              <w:spacing w:line="142" w:lineRule="exact" w:before="107"/>
              <w:ind w:left="213"/>
              <w:rPr>
                <w:sz w:val="14"/>
              </w:rPr>
            </w:pPr>
            <w:r>
              <w:rPr>
                <w:w w:val="105"/>
                <w:sz w:val="14"/>
              </w:rPr>
              <w:t>9) TOTAL, EXPENDITURES</w:t>
            </w:r>
          </w:p>
        </w:tc>
        <w:tc>
          <w:tcPr>
            <w:tcW w:w="2595" w:type="dxa"/>
            <w:gridSpan w:val="2"/>
          </w:tcPr>
          <w:p>
            <w:pPr>
              <w:pStyle w:val="TableParagraph"/>
              <w:rPr>
                <w:rFonts w:ascii="Times New Roman"/>
                <w:sz w:val="14"/>
              </w:rPr>
            </w:pPr>
          </w:p>
        </w:tc>
        <w:tc>
          <w:tcPr>
            <w:tcW w:w="1666" w:type="dxa"/>
          </w:tcPr>
          <w:p>
            <w:pPr>
              <w:pStyle w:val="TableParagraph"/>
              <w:spacing w:line="142" w:lineRule="exact" w:before="107"/>
              <w:ind w:right="285"/>
              <w:jc w:val="right"/>
              <w:rPr>
                <w:sz w:val="14"/>
              </w:rPr>
            </w:pPr>
            <w:r>
              <w:rPr>
                <w:sz w:val="14"/>
              </w:rPr>
              <w:t>0.00</w:t>
            </w:r>
          </w:p>
        </w:tc>
        <w:tc>
          <w:tcPr>
            <w:tcW w:w="1475" w:type="dxa"/>
          </w:tcPr>
          <w:p>
            <w:pPr>
              <w:pStyle w:val="TableParagraph"/>
              <w:spacing w:line="142" w:lineRule="exact" w:before="107"/>
              <w:ind w:right="248"/>
              <w:jc w:val="right"/>
              <w:rPr>
                <w:sz w:val="14"/>
              </w:rPr>
            </w:pPr>
            <w:r>
              <w:rPr>
                <w:sz w:val="14"/>
              </w:rPr>
              <w:t>0.00</w:t>
            </w:r>
          </w:p>
        </w:tc>
        <w:tc>
          <w:tcPr>
            <w:tcW w:w="1389" w:type="dxa"/>
            <w:gridSpan w:val="2"/>
          </w:tcPr>
          <w:p>
            <w:pPr>
              <w:pStyle w:val="TableParagraph"/>
              <w:spacing w:line="142" w:lineRule="exact" w:before="107"/>
              <w:ind w:right="48"/>
              <w:jc w:val="right"/>
              <w:rPr>
                <w:sz w:val="14"/>
              </w:rPr>
            </w:pPr>
            <w:r>
              <w:rPr>
                <w:sz w:val="14"/>
              </w:rPr>
              <w:t>0.0%</w:t>
            </w:r>
          </w:p>
        </w:tc>
      </w:tr>
      <w:tr>
        <w:trPr>
          <w:trHeight w:val="374" w:hRule="atLeast"/>
        </w:trPr>
        <w:tc>
          <w:tcPr>
            <w:tcW w:w="3663" w:type="dxa"/>
          </w:tcPr>
          <w:p>
            <w:pPr>
              <w:pStyle w:val="TableParagraph"/>
              <w:spacing w:before="5"/>
              <w:rPr>
                <w:sz w:val="18"/>
              </w:rPr>
            </w:pPr>
          </w:p>
          <w:p>
            <w:pPr>
              <w:pStyle w:val="TableParagraph"/>
              <w:spacing w:line="142" w:lineRule="exact"/>
              <w:ind w:left="50"/>
              <w:rPr>
                <w:b/>
                <w:sz w:val="14"/>
              </w:rPr>
            </w:pPr>
            <w:r>
              <w:rPr>
                <w:b/>
                <w:w w:val="105"/>
                <w:sz w:val="14"/>
              </w:rPr>
              <w:t>C. EXCESS (DEFICIENCY) OF REVENUES</w:t>
            </w:r>
          </w:p>
        </w:tc>
        <w:tc>
          <w:tcPr>
            <w:tcW w:w="1468" w:type="dxa"/>
          </w:tcPr>
          <w:p>
            <w:pPr>
              <w:pStyle w:val="TableParagraph"/>
              <w:rPr>
                <w:rFonts w:ascii="Times New Roman"/>
                <w:sz w:val="14"/>
              </w:rPr>
            </w:pPr>
          </w:p>
        </w:tc>
        <w:tc>
          <w:tcPr>
            <w:tcW w:w="1127" w:type="dxa"/>
          </w:tcPr>
          <w:p>
            <w:pPr>
              <w:pStyle w:val="TableParagraph"/>
              <w:rPr>
                <w:rFonts w:ascii="Times New Roman"/>
                <w:sz w:val="14"/>
              </w:rPr>
            </w:pPr>
          </w:p>
        </w:tc>
        <w:tc>
          <w:tcPr>
            <w:tcW w:w="1666" w:type="dxa"/>
          </w:tcPr>
          <w:p>
            <w:pPr>
              <w:pStyle w:val="TableParagraph"/>
              <w:rPr>
                <w:rFonts w:ascii="Times New Roman"/>
                <w:sz w:val="14"/>
              </w:rPr>
            </w:pPr>
          </w:p>
        </w:tc>
        <w:tc>
          <w:tcPr>
            <w:tcW w:w="1475" w:type="dxa"/>
          </w:tcPr>
          <w:p>
            <w:pPr>
              <w:pStyle w:val="TableParagraph"/>
              <w:rPr>
                <w:rFonts w:ascii="Times New Roman"/>
                <w:sz w:val="14"/>
              </w:rPr>
            </w:pPr>
          </w:p>
        </w:tc>
        <w:tc>
          <w:tcPr>
            <w:tcW w:w="981" w:type="dxa"/>
          </w:tcPr>
          <w:p>
            <w:pPr>
              <w:pStyle w:val="TableParagraph"/>
              <w:rPr>
                <w:rFonts w:ascii="Times New Roman"/>
                <w:sz w:val="14"/>
              </w:rPr>
            </w:pPr>
          </w:p>
        </w:tc>
        <w:tc>
          <w:tcPr>
            <w:tcW w:w="408" w:type="dxa"/>
          </w:tcPr>
          <w:p>
            <w:pPr>
              <w:pStyle w:val="TableParagraph"/>
              <w:rPr>
                <w:rFonts w:ascii="Times New Roman"/>
                <w:sz w:val="14"/>
              </w:rPr>
            </w:pPr>
          </w:p>
        </w:tc>
      </w:tr>
      <w:tr>
        <w:trPr>
          <w:trHeight w:val="395" w:hRule="atLeast"/>
        </w:trPr>
        <w:tc>
          <w:tcPr>
            <w:tcW w:w="3663" w:type="dxa"/>
          </w:tcPr>
          <w:p>
            <w:pPr>
              <w:pStyle w:val="TableParagraph"/>
              <w:spacing w:line="196" w:lineRule="exact" w:before="9"/>
              <w:ind w:left="253"/>
              <w:rPr>
                <w:b/>
                <w:sz w:val="14"/>
              </w:rPr>
            </w:pPr>
            <w:r>
              <w:rPr>
                <w:b/>
                <w:w w:val="105"/>
                <w:sz w:val="14"/>
              </w:rPr>
              <w:t>OVER EXPENDITURES BEFORE OTHER FINANCING SOURCES AND USES (A5 - B9)</w:t>
            </w:r>
          </w:p>
        </w:tc>
        <w:tc>
          <w:tcPr>
            <w:tcW w:w="4261" w:type="dxa"/>
            <w:gridSpan w:val="3"/>
          </w:tcPr>
          <w:p>
            <w:pPr>
              <w:pStyle w:val="TableParagraph"/>
              <w:spacing w:before="4"/>
              <w:rPr>
                <w:sz w:val="20"/>
              </w:rPr>
            </w:pPr>
          </w:p>
          <w:p>
            <w:pPr>
              <w:pStyle w:val="TableParagraph"/>
              <w:spacing w:line="142" w:lineRule="exact"/>
              <w:ind w:right="284"/>
              <w:jc w:val="right"/>
              <w:rPr>
                <w:sz w:val="14"/>
              </w:rPr>
            </w:pPr>
            <w:r>
              <w:rPr>
                <w:sz w:val="14"/>
              </w:rPr>
              <w:t>265.00</w:t>
            </w:r>
          </w:p>
        </w:tc>
        <w:tc>
          <w:tcPr>
            <w:tcW w:w="1475" w:type="dxa"/>
          </w:tcPr>
          <w:p>
            <w:pPr>
              <w:pStyle w:val="TableParagraph"/>
              <w:spacing w:before="4"/>
              <w:rPr>
                <w:sz w:val="20"/>
              </w:rPr>
            </w:pPr>
          </w:p>
          <w:p>
            <w:pPr>
              <w:pStyle w:val="TableParagraph"/>
              <w:spacing w:line="142" w:lineRule="exact"/>
              <w:ind w:right="247"/>
              <w:jc w:val="right"/>
              <w:rPr>
                <w:sz w:val="14"/>
              </w:rPr>
            </w:pPr>
            <w:r>
              <w:rPr>
                <w:sz w:val="14"/>
              </w:rPr>
              <w:t>265.00</w:t>
            </w:r>
          </w:p>
        </w:tc>
        <w:tc>
          <w:tcPr>
            <w:tcW w:w="1389" w:type="dxa"/>
            <w:gridSpan w:val="2"/>
          </w:tcPr>
          <w:p>
            <w:pPr>
              <w:pStyle w:val="TableParagraph"/>
              <w:spacing w:before="4"/>
              <w:rPr>
                <w:sz w:val="20"/>
              </w:rPr>
            </w:pPr>
          </w:p>
          <w:p>
            <w:pPr>
              <w:pStyle w:val="TableParagraph"/>
              <w:spacing w:line="142" w:lineRule="exact"/>
              <w:ind w:right="48"/>
              <w:jc w:val="right"/>
              <w:rPr>
                <w:sz w:val="14"/>
              </w:rPr>
            </w:pPr>
            <w:r>
              <w:rPr>
                <w:sz w:val="14"/>
              </w:rPr>
              <w:t>0.0%</w:t>
            </w:r>
          </w:p>
        </w:tc>
      </w:tr>
      <w:tr>
        <w:trPr>
          <w:trHeight w:val="369" w:hRule="atLeast"/>
        </w:trPr>
        <w:tc>
          <w:tcPr>
            <w:tcW w:w="3663" w:type="dxa"/>
          </w:tcPr>
          <w:p>
            <w:pPr>
              <w:pStyle w:val="TableParagraph"/>
              <w:rPr>
                <w:sz w:val="18"/>
              </w:rPr>
            </w:pPr>
          </w:p>
          <w:p>
            <w:pPr>
              <w:pStyle w:val="TableParagraph"/>
              <w:spacing w:line="142" w:lineRule="exact"/>
              <w:ind w:left="50"/>
              <w:rPr>
                <w:b/>
                <w:sz w:val="14"/>
              </w:rPr>
            </w:pPr>
            <w:r>
              <w:rPr>
                <w:b/>
                <w:w w:val="105"/>
                <w:sz w:val="14"/>
              </w:rPr>
              <w:t>D. OTHER FINANCING SOURCES/USES</w:t>
            </w:r>
          </w:p>
        </w:tc>
        <w:tc>
          <w:tcPr>
            <w:tcW w:w="1468" w:type="dxa"/>
          </w:tcPr>
          <w:p>
            <w:pPr>
              <w:pStyle w:val="TableParagraph"/>
              <w:rPr>
                <w:rFonts w:ascii="Times New Roman"/>
                <w:sz w:val="14"/>
              </w:rPr>
            </w:pPr>
          </w:p>
        </w:tc>
        <w:tc>
          <w:tcPr>
            <w:tcW w:w="1127" w:type="dxa"/>
          </w:tcPr>
          <w:p>
            <w:pPr>
              <w:pStyle w:val="TableParagraph"/>
              <w:rPr>
                <w:rFonts w:ascii="Times New Roman"/>
                <w:sz w:val="14"/>
              </w:rPr>
            </w:pPr>
          </w:p>
        </w:tc>
        <w:tc>
          <w:tcPr>
            <w:tcW w:w="1666" w:type="dxa"/>
          </w:tcPr>
          <w:p>
            <w:pPr>
              <w:pStyle w:val="TableParagraph"/>
              <w:rPr>
                <w:rFonts w:ascii="Times New Roman"/>
                <w:sz w:val="14"/>
              </w:rPr>
            </w:pPr>
          </w:p>
        </w:tc>
        <w:tc>
          <w:tcPr>
            <w:tcW w:w="1475" w:type="dxa"/>
          </w:tcPr>
          <w:p>
            <w:pPr>
              <w:pStyle w:val="TableParagraph"/>
              <w:rPr>
                <w:rFonts w:ascii="Times New Roman"/>
                <w:sz w:val="14"/>
              </w:rPr>
            </w:pPr>
          </w:p>
        </w:tc>
        <w:tc>
          <w:tcPr>
            <w:tcW w:w="981" w:type="dxa"/>
          </w:tcPr>
          <w:p>
            <w:pPr>
              <w:pStyle w:val="TableParagraph"/>
              <w:rPr>
                <w:rFonts w:ascii="Times New Roman"/>
                <w:sz w:val="14"/>
              </w:rPr>
            </w:pPr>
          </w:p>
        </w:tc>
        <w:tc>
          <w:tcPr>
            <w:tcW w:w="408" w:type="dxa"/>
          </w:tcPr>
          <w:p>
            <w:pPr>
              <w:pStyle w:val="TableParagraph"/>
              <w:rPr>
                <w:rFonts w:ascii="Times New Roman"/>
                <w:sz w:val="14"/>
              </w:rPr>
            </w:pPr>
          </w:p>
        </w:tc>
      </w:tr>
      <w:tr>
        <w:trPr>
          <w:trHeight w:val="700" w:hRule="atLeast"/>
        </w:trPr>
        <w:tc>
          <w:tcPr>
            <w:tcW w:w="3663" w:type="dxa"/>
          </w:tcPr>
          <w:p>
            <w:pPr>
              <w:pStyle w:val="TableParagraph"/>
              <w:spacing w:before="4"/>
              <w:rPr>
                <w:sz w:val="20"/>
              </w:rPr>
            </w:pPr>
          </w:p>
          <w:p>
            <w:pPr>
              <w:pStyle w:val="TableParagraph"/>
              <w:numPr>
                <w:ilvl w:val="0"/>
                <w:numId w:val="21"/>
              </w:numPr>
              <w:tabs>
                <w:tab w:pos="381" w:val="left" w:leader="none"/>
              </w:tabs>
              <w:spacing w:line="240" w:lineRule="auto" w:before="0" w:after="0"/>
              <w:ind w:left="380" w:right="0" w:hanging="168"/>
              <w:jc w:val="left"/>
              <w:rPr>
                <w:sz w:val="14"/>
              </w:rPr>
            </w:pPr>
            <w:r>
              <w:rPr>
                <w:w w:val="105"/>
                <w:sz w:val="14"/>
              </w:rPr>
              <w:t>Interfund</w:t>
            </w:r>
            <w:r>
              <w:rPr>
                <w:spacing w:val="-3"/>
                <w:w w:val="105"/>
                <w:sz w:val="14"/>
              </w:rPr>
              <w:t> </w:t>
            </w:r>
            <w:r>
              <w:rPr>
                <w:w w:val="105"/>
                <w:sz w:val="14"/>
              </w:rPr>
              <w:t>Transfers</w:t>
            </w:r>
          </w:p>
          <w:p>
            <w:pPr>
              <w:pStyle w:val="TableParagraph"/>
              <w:numPr>
                <w:ilvl w:val="1"/>
                <w:numId w:val="21"/>
              </w:numPr>
              <w:tabs>
                <w:tab w:pos="544" w:val="left" w:leader="none"/>
              </w:tabs>
              <w:spacing w:line="240" w:lineRule="auto" w:before="36" w:after="0"/>
              <w:ind w:left="543" w:right="0" w:hanging="168"/>
              <w:jc w:val="left"/>
              <w:rPr>
                <w:sz w:val="14"/>
              </w:rPr>
            </w:pPr>
            <w:r>
              <w:rPr>
                <w:w w:val="105"/>
                <w:sz w:val="14"/>
              </w:rPr>
              <w:t>Transfers</w:t>
            </w:r>
            <w:r>
              <w:rPr>
                <w:spacing w:val="-2"/>
                <w:w w:val="105"/>
                <w:sz w:val="14"/>
              </w:rPr>
              <w:t> </w:t>
            </w:r>
            <w:r>
              <w:rPr>
                <w:w w:val="105"/>
                <w:sz w:val="14"/>
              </w:rPr>
              <w:t>In</w:t>
            </w:r>
          </w:p>
        </w:tc>
        <w:tc>
          <w:tcPr>
            <w:tcW w:w="2595" w:type="dxa"/>
            <w:gridSpan w:val="2"/>
          </w:tcPr>
          <w:p>
            <w:pPr>
              <w:pStyle w:val="TableParagraph"/>
              <w:rPr>
                <w:sz w:val="16"/>
              </w:rPr>
            </w:pPr>
          </w:p>
          <w:p>
            <w:pPr>
              <w:pStyle w:val="TableParagraph"/>
              <w:spacing w:before="5"/>
              <w:rPr>
                <w:sz w:val="21"/>
              </w:rPr>
            </w:pPr>
          </w:p>
          <w:p>
            <w:pPr>
              <w:pStyle w:val="TableParagraph"/>
              <w:ind w:left="1710"/>
              <w:rPr>
                <w:sz w:val="14"/>
              </w:rPr>
            </w:pPr>
            <w:r>
              <w:rPr>
                <w:w w:val="105"/>
                <w:sz w:val="14"/>
              </w:rPr>
              <w:t>8900-8929</w:t>
            </w:r>
          </w:p>
        </w:tc>
        <w:tc>
          <w:tcPr>
            <w:tcW w:w="1666" w:type="dxa"/>
          </w:tcPr>
          <w:p>
            <w:pPr>
              <w:pStyle w:val="TableParagraph"/>
              <w:rPr>
                <w:sz w:val="16"/>
              </w:rPr>
            </w:pPr>
          </w:p>
          <w:p>
            <w:pPr>
              <w:pStyle w:val="TableParagraph"/>
              <w:spacing w:before="5"/>
              <w:rPr>
                <w:sz w:val="21"/>
              </w:rPr>
            </w:pPr>
          </w:p>
          <w:p>
            <w:pPr>
              <w:pStyle w:val="TableParagraph"/>
              <w:ind w:right="285"/>
              <w:jc w:val="right"/>
              <w:rPr>
                <w:sz w:val="14"/>
              </w:rPr>
            </w:pPr>
            <w:r>
              <w:rPr>
                <w:sz w:val="14"/>
              </w:rPr>
              <w:t>0.00</w:t>
            </w:r>
          </w:p>
        </w:tc>
        <w:tc>
          <w:tcPr>
            <w:tcW w:w="1475" w:type="dxa"/>
          </w:tcPr>
          <w:p>
            <w:pPr>
              <w:pStyle w:val="TableParagraph"/>
              <w:rPr>
                <w:sz w:val="16"/>
              </w:rPr>
            </w:pPr>
          </w:p>
          <w:p>
            <w:pPr>
              <w:pStyle w:val="TableParagraph"/>
              <w:spacing w:before="5"/>
              <w:rPr>
                <w:sz w:val="21"/>
              </w:rPr>
            </w:pPr>
          </w:p>
          <w:p>
            <w:pPr>
              <w:pStyle w:val="TableParagraph"/>
              <w:ind w:right="248"/>
              <w:jc w:val="right"/>
              <w:rPr>
                <w:sz w:val="14"/>
              </w:rPr>
            </w:pPr>
            <w:r>
              <w:rPr>
                <w:sz w:val="14"/>
              </w:rPr>
              <w:t>0.00</w:t>
            </w:r>
          </w:p>
        </w:tc>
        <w:tc>
          <w:tcPr>
            <w:tcW w:w="1389" w:type="dxa"/>
            <w:gridSpan w:val="2"/>
          </w:tcPr>
          <w:p>
            <w:pPr>
              <w:pStyle w:val="TableParagraph"/>
              <w:rPr>
                <w:sz w:val="16"/>
              </w:rPr>
            </w:pPr>
          </w:p>
          <w:p>
            <w:pPr>
              <w:pStyle w:val="TableParagraph"/>
              <w:spacing w:before="5"/>
              <w:rPr>
                <w:sz w:val="21"/>
              </w:rPr>
            </w:pPr>
          </w:p>
          <w:p>
            <w:pPr>
              <w:pStyle w:val="TableParagraph"/>
              <w:ind w:right="48"/>
              <w:jc w:val="right"/>
              <w:rPr>
                <w:sz w:val="14"/>
              </w:rPr>
            </w:pPr>
            <w:r>
              <w:rPr>
                <w:sz w:val="14"/>
              </w:rPr>
              <w:t>0.0%</w:t>
            </w:r>
          </w:p>
        </w:tc>
      </w:tr>
      <w:tr>
        <w:trPr>
          <w:trHeight w:val="376" w:hRule="atLeast"/>
        </w:trPr>
        <w:tc>
          <w:tcPr>
            <w:tcW w:w="3663" w:type="dxa"/>
          </w:tcPr>
          <w:p>
            <w:pPr>
              <w:pStyle w:val="TableParagraph"/>
              <w:spacing w:before="107"/>
              <w:ind w:left="376"/>
              <w:rPr>
                <w:sz w:val="14"/>
              </w:rPr>
            </w:pPr>
            <w:r>
              <w:rPr>
                <w:w w:val="105"/>
                <w:sz w:val="14"/>
              </w:rPr>
              <w:t>b) Transfers Out</w:t>
            </w:r>
          </w:p>
        </w:tc>
        <w:tc>
          <w:tcPr>
            <w:tcW w:w="2595" w:type="dxa"/>
            <w:gridSpan w:val="2"/>
          </w:tcPr>
          <w:p>
            <w:pPr>
              <w:pStyle w:val="TableParagraph"/>
              <w:spacing w:before="107"/>
              <w:ind w:left="1710"/>
              <w:rPr>
                <w:sz w:val="14"/>
              </w:rPr>
            </w:pPr>
            <w:r>
              <w:rPr>
                <w:w w:val="105"/>
                <w:sz w:val="14"/>
              </w:rPr>
              <w:t>7600-7629</w:t>
            </w:r>
          </w:p>
        </w:tc>
        <w:tc>
          <w:tcPr>
            <w:tcW w:w="1666" w:type="dxa"/>
          </w:tcPr>
          <w:p>
            <w:pPr>
              <w:pStyle w:val="TableParagraph"/>
              <w:spacing w:before="107"/>
              <w:ind w:right="285"/>
              <w:jc w:val="right"/>
              <w:rPr>
                <w:sz w:val="14"/>
              </w:rPr>
            </w:pPr>
            <w:r>
              <w:rPr>
                <w:sz w:val="14"/>
              </w:rPr>
              <w:t>0.00</w:t>
            </w:r>
          </w:p>
        </w:tc>
        <w:tc>
          <w:tcPr>
            <w:tcW w:w="1475" w:type="dxa"/>
          </w:tcPr>
          <w:p>
            <w:pPr>
              <w:pStyle w:val="TableParagraph"/>
              <w:spacing w:before="107"/>
              <w:ind w:right="248"/>
              <w:jc w:val="right"/>
              <w:rPr>
                <w:sz w:val="14"/>
              </w:rPr>
            </w:pPr>
            <w:r>
              <w:rPr>
                <w:sz w:val="14"/>
              </w:rPr>
              <w:t>0.00</w:t>
            </w:r>
          </w:p>
        </w:tc>
        <w:tc>
          <w:tcPr>
            <w:tcW w:w="1389" w:type="dxa"/>
            <w:gridSpan w:val="2"/>
          </w:tcPr>
          <w:p>
            <w:pPr>
              <w:pStyle w:val="TableParagraph"/>
              <w:spacing w:before="107"/>
              <w:ind w:right="48"/>
              <w:jc w:val="right"/>
              <w:rPr>
                <w:sz w:val="14"/>
              </w:rPr>
            </w:pPr>
            <w:r>
              <w:rPr>
                <w:sz w:val="14"/>
              </w:rPr>
              <w:t>0.0%</w:t>
            </w:r>
          </w:p>
        </w:tc>
      </w:tr>
      <w:tr>
        <w:trPr>
          <w:trHeight w:val="573" w:hRule="atLeast"/>
        </w:trPr>
        <w:tc>
          <w:tcPr>
            <w:tcW w:w="3663" w:type="dxa"/>
          </w:tcPr>
          <w:p>
            <w:pPr>
              <w:pStyle w:val="TableParagraph"/>
              <w:numPr>
                <w:ilvl w:val="0"/>
                <w:numId w:val="22"/>
              </w:numPr>
              <w:tabs>
                <w:tab w:pos="381" w:val="left" w:leader="none"/>
              </w:tabs>
              <w:spacing w:line="240" w:lineRule="auto" w:before="107" w:after="0"/>
              <w:ind w:left="380" w:right="0" w:hanging="168"/>
              <w:jc w:val="left"/>
              <w:rPr>
                <w:sz w:val="14"/>
              </w:rPr>
            </w:pPr>
            <w:r>
              <w:rPr>
                <w:w w:val="105"/>
                <w:sz w:val="14"/>
              </w:rPr>
              <w:t>Other</w:t>
            </w:r>
            <w:r>
              <w:rPr>
                <w:spacing w:val="-1"/>
                <w:w w:val="105"/>
                <w:sz w:val="14"/>
              </w:rPr>
              <w:t> </w:t>
            </w:r>
            <w:r>
              <w:rPr>
                <w:w w:val="105"/>
                <w:sz w:val="14"/>
              </w:rPr>
              <w:t>Sources/Uses</w:t>
            </w:r>
          </w:p>
          <w:p>
            <w:pPr>
              <w:pStyle w:val="TableParagraph"/>
              <w:numPr>
                <w:ilvl w:val="1"/>
                <w:numId w:val="22"/>
              </w:numPr>
              <w:tabs>
                <w:tab w:pos="544" w:val="left" w:leader="none"/>
              </w:tabs>
              <w:spacing w:line="240" w:lineRule="auto" w:before="35" w:after="0"/>
              <w:ind w:left="543" w:right="0" w:hanging="168"/>
              <w:jc w:val="left"/>
              <w:rPr>
                <w:sz w:val="14"/>
              </w:rPr>
            </w:pPr>
            <w:r>
              <w:rPr>
                <w:w w:val="105"/>
                <w:sz w:val="14"/>
              </w:rPr>
              <w:t>Sources</w:t>
            </w:r>
          </w:p>
        </w:tc>
        <w:tc>
          <w:tcPr>
            <w:tcW w:w="2595" w:type="dxa"/>
            <w:gridSpan w:val="2"/>
          </w:tcPr>
          <w:p>
            <w:pPr>
              <w:pStyle w:val="TableParagraph"/>
              <w:rPr>
                <w:sz w:val="16"/>
              </w:rPr>
            </w:pPr>
          </w:p>
          <w:p>
            <w:pPr>
              <w:pStyle w:val="TableParagraph"/>
              <w:spacing w:before="119"/>
              <w:ind w:left="1710"/>
              <w:rPr>
                <w:sz w:val="14"/>
              </w:rPr>
            </w:pPr>
            <w:r>
              <w:rPr>
                <w:w w:val="105"/>
                <w:sz w:val="14"/>
              </w:rPr>
              <w:t>8930-8979</w:t>
            </w:r>
          </w:p>
        </w:tc>
        <w:tc>
          <w:tcPr>
            <w:tcW w:w="1666" w:type="dxa"/>
          </w:tcPr>
          <w:p>
            <w:pPr>
              <w:pStyle w:val="TableParagraph"/>
              <w:rPr>
                <w:sz w:val="16"/>
              </w:rPr>
            </w:pPr>
          </w:p>
          <w:p>
            <w:pPr>
              <w:pStyle w:val="TableParagraph"/>
              <w:spacing w:before="119"/>
              <w:ind w:right="285"/>
              <w:jc w:val="right"/>
              <w:rPr>
                <w:sz w:val="14"/>
              </w:rPr>
            </w:pPr>
            <w:r>
              <w:rPr>
                <w:sz w:val="14"/>
              </w:rPr>
              <w:t>0.00</w:t>
            </w:r>
          </w:p>
        </w:tc>
        <w:tc>
          <w:tcPr>
            <w:tcW w:w="1475" w:type="dxa"/>
          </w:tcPr>
          <w:p>
            <w:pPr>
              <w:pStyle w:val="TableParagraph"/>
              <w:rPr>
                <w:sz w:val="16"/>
              </w:rPr>
            </w:pPr>
          </w:p>
          <w:p>
            <w:pPr>
              <w:pStyle w:val="TableParagraph"/>
              <w:spacing w:before="119"/>
              <w:ind w:right="248"/>
              <w:jc w:val="right"/>
              <w:rPr>
                <w:sz w:val="14"/>
              </w:rPr>
            </w:pPr>
            <w:r>
              <w:rPr>
                <w:sz w:val="14"/>
              </w:rPr>
              <w:t>0.00</w:t>
            </w:r>
          </w:p>
        </w:tc>
        <w:tc>
          <w:tcPr>
            <w:tcW w:w="1389" w:type="dxa"/>
            <w:gridSpan w:val="2"/>
          </w:tcPr>
          <w:p>
            <w:pPr>
              <w:pStyle w:val="TableParagraph"/>
              <w:rPr>
                <w:sz w:val="16"/>
              </w:rPr>
            </w:pPr>
          </w:p>
          <w:p>
            <w:pPr>
              <w:pStyle w:val="TableParagraph"/>
              <w:spacing w:before="119"/>
              <w:ind w:right="48"/>
              <w:jc w:val="right"/>
              <w:rPr>
                <w:sz w:val="14"/>
              </w:rPr>
            </w:pPr>
            <w:r>
              <w:rPr>
                <w:sz w:val="14"/>
              </w:rPr>
              <w:t>0.0%</w:t>
            </w:r>
          </w:p>
        </w:tc>
      </w:tr>
      <w:tr>
        <w:trPr>
          <w:trHeight w:val="376" w:hRule="atLeast"/>
        </w:trPr>
        <w:tc>
          <w:tcPr>
            <w:tcW w:w="3663" w:type="dxa"/>
          </w:tcPr>
          <w:p>
            <w:pPr>
              <w:pStyle w:val="TableParagraph"/>
              <w:spacing w:before="107"/>
              <w:ind w:left="376"/>
              <w:rPr>
                <w:sz w:val="14"/>
              </w:rPr>
            </w:pPr>
            <w:r>
              <w:rPr>
                <w:w w:val="105"/>
                <w:sz w:val="14"/>
              </w:rPr>
              <w:t>b) Uses</w:t>
            </w:r>
          </w:p>
        </w:tc>
        <w:tc>
          <w:tcPr>
            <w:tcW w:w="2595" w:type="dxa"/>
            <w:gridSpan w:val="2"/>
          </w:tcPr>
          <w:p>
            <w:pPr>
              <w:pStyle w:val="TableParagraph"/>
              <w:spacing w:before="107"/>
              <w:ind w:left="1710"/>
              <w:rPr>
                <w:sz w:val="14"/>
              </w:rPr>
            </w:pPr>
            <w:r>
              <w:rPr>
                <w:w w:val="105"/>
                <w:sz w:val="14"/>
              </w:rPr>
              <w:t>7630-7699</w:t>
            </w:r>
          </w:p>
        </w:tc>
        <w:tc>
          <w:tcPr>
            <w:tcW w:w="1666" w:type="dxa"/>
          </w:tcPr>
          <w:p>
            <w:pPr>
              <w:pStyle w:val="TableParagraph"/>
              <w:spacing w:before="107"/>
              <w:ind w:right="285"/>
              <w:jc w:val="right"/>
              <w:rPr>
                <w:sz w:val="14"/>
              </w:rPr>
            </w:pPr>
            <w:r>
              <w:rPr>
                <w:sz w:val="14"/>
              </w:rPr>
              <w:t>0.00</w:t>
            </w:r>
          </w:p>
        </w:tc>
        <w:tc>
          <w:tcPr>
            <w:tcW w:w="1475" w:type="dxa"/>
          </w:tcPr>
          <w:p>
            <w:pPr>
              <w:pStyle w:val="TableParagraph"/>
              <w:spacing w:before="107"/>
              <w:ind w:right="248"/>
              <w:jc w:val="right"/>
              <w:rPr>
                <w:sz w:val="14"/>
              </w:rPr>
            </w:pPr>
            <w:r>
              <w:rPr>
                <w:sz w:val="14"/>
              </w:rPr>
              <w:t>0.00</w:t>
            </w:r>
          </w:p>
        </w:tc>
        <w:tc>
          <w:tcPr>
            <w:tcW w:w="1389" w:type="dxa"/>
            <w:gridSpan w:val="2"/>
          </w:tcPr>
          <w:p>
            <w:pPr>
              <w:pStyle w:val="TableParagraph"/>
              <w:spacing w:before="107"/>
              <w:ind w:right="48"/>
              <w:jc w:val="right"/>
              <w:rPr>
                <w:sz w:val="14"/>
              </w:rPr>
            </w:pPr>
            <w:r>
              <w:rPr>
                <w:sz w:val="14"/>
              </w:rPr>
              <w:t>0.0%</w:t>
            </w:r>
          </w:p>
        </w:tc>
      </w:tr>
      <w:tr>
        <w:trPr>
          <w:trHeight w:val="376" w:hRule="atLeast"/>
        </w:trPr>
        <w:tc>
          <w:tcPr>
            <w:tcW w:w="3663" w:type="dxa"/>
          </w:tcPr>
          <w:p>
            <w:pPr>
              <w:pStyle w:val="TableParagraph"/>
              <w:spacing w:before="107"/>
              <w:ind w:left="213"/>
              <w:rPr>
                <w:sz w:val="14"/>
              </w:rPr>
            </w:pPr>
            <w:r>
              <w:rPr>
                <w:w w:val="105"/>
                <w:sz w:val="14"/>
              </w:rPr>
              <w:t>3) Contributions</w:t>
            </w:r>
          </w:p>
        </w:tc>
        <w:tc>
          <w:tcPr>
            <w:tcW w:w="2595" w:type="dxa"/>
            <w:gridSpan w:val="2"/>
          </w:tcPr>
          <w:p>
            <w:pPr>
              <w:pStyle w:val="TableParagraph"/>
              <w:spacing w:before="107"/>
              <w:ind w:left="1710"/>
              <w:rPr>
                <w:sz w:val="14"/>
              </w:rPr>
            </w:pPr>
            <w:r>
              <w:rPr>
                <w:w w:val="105"/>
                <w:sz w:val="14"/>
              </w:rPr>
              <w:t>8980-8999</w:t>
            </w:r>
          </w:p>
        </w:tc>
        <w:tc>
          <w:tcPr>
            <w:tcW w:w="1666" w:type="dxa"/>
          </w:tcPr>
          <w:p>
            <w:pPr>
              <w:pStyle w:val="TableParagraph"/>
              <w:spacing w:before="107"/>
              <w:ind w:right="285"/>
              <w:jc w:val="right"/>
              <w:rPr>
                <w:sz w:val="14"/>
              </w:rPr>
            </w:pPr>
            <w:r>
              <w:rPr>
                <w:sz w:val="14"/>
              </w:rPr>
              <w:t>0.00</w:t>
            </w:r>
          </w:p>
        </w:tc>
        <w:tc>
          <w:tcPr>
            <w:tcW w:w="1475" w:type="dxa"/>
          </w:tcPr>
          <w:p>
            <w:pPr>
              <w:pStyle w:val="TableParagraph"/>
              <w:spacing w:before="107"/>
              <w:ind w:right="248"/>
              <w:jc w:val="right"/>
              <w:rPr>
                <w:sz w:val="14"/>
              </w:rPr>
            </w:pPr>
            <w:r>
              <w:rPr>
                <w:sz w:val="14"/>
              </w:rPr>
              <w:t>0.00</w:t>
            </w:r>
          </w:p>
        </w:tc>
        <w:tc>
          <w:tcPr>
            <w:tcW w:w="1389" w:type="dxa"/>
            <w:gridSpan w:val="2"/>
          </w:tcPr>
          <w:p>
            <w:pPr>
              <w:pStyle w:val="TableParagraph"/>
              <w:spacing w:before="107"/>
              <w:ind w:right="48"/>
              <w:jc w:val="right"/>
              <w:rPr>
                <w:sz w:val="14"/>
              </w:rPr>
            </w:pPr>
            <w:r>
              <w:rPr>
                <w:sz w:val="14"/>
              </w:rPr>
              <w:t>0.0%</w:t>
            </w:r>
          </w:p>
        </w:tc>
      </w:tr>
      <w:tr>
        <w:trPr>
          <w:trHeight w:val="268" w:hRule="atLeast"/>
        </w:trPr>
        <w:tc>
          <w:tcPr>
            <w:tcW w:w="3663" w:type="dxa"/>
          </w:tcPr>
          <w:p>
            <w:pPr>
              <w:pStyle w:val="TableParagraph"/>
              <w:spacing w:line="142" w:lineRule="exact" w:before="107"/>
              <w:ind w:left="213"/>
              <w:rPr>
                <w:sz w:val="14"/>
              </w:rPr>
            </w:pPr>
            <w:r>
              <w:rPr>
                <w:w w:val="105"/>
                <w:sz w:val="14"/>
              </w:rPr>
              <w:t>4) TOTAL, OTHER FINANCING SOURCES/USES</w:t>
            </w:r>
          </w:p>
        </w:tc>
        <w:tc>
          <w:tcPr>
            <w:tcW w:w="2595" w:type="dxa"/>
            <w:gridSpan w:val="2"/>
          </w:tcPr>
          <w:p>
            <w:pPr>
              <w:pStyle w:val="TableParagraph"/>
              <w:rPr>
                <w:rFonts w:ascii="Times New Roman"/>
                <w:sz w:val="14"/>
              </w:rPr>
            </w:pPr>
          </w:p>
        </w:tc>
        <w:tc>
          <w:tcPr>
            <w:tcW w:w="1666" w:type="dxa"/>
          </w:tcPr>
          <w:p>
            <w:pPr>
              <w:pStyle w:val="TableParagraph"/>
              <w:spacing w:line="142" w:lineRule="exact" w:before="107"/>
              <w:ind w:right="285"/>
              <w:jc w:val="right"/>
              <w:rPr>
                <w:sz w:val="14"/>
              </w:rPr>
            </w:pPr>
            <w:r>
              <w:rPr>
                <w:sz w:val="14"/>
              </w:rPr>
              <w:t>0.00</w:t>
            </w:r>
          </w:p>
        </w:tc>
        <w:tc>
          <w:tcPr>
            <w:tcW w:w="1475" w:type="dxa"/>
          </w:tcPr>
          <w:p>
            <w:pPr>
              <w:pStyle w:val="TableParagraph"/>
              <w:spacing w:line="142" w:lineRule="exact" w:before="107"/>
              <w:ind w:right="248"/>
              <w:jc w:val="right"/>
              <w:rPr>
                <w:sz w:val="14"/>
              </w:rPr>
            </w:pPr>
            <w:r>
              <w:rPr>
                <w:sz w:val="14"/>
              </w:rPr>
              <w:t>0.00</w:t>
            </w:r>
          </w:p>
        </w:tc>
        <w:tc>
          <w:tcPr>
            <w:tcW w:w="1389" w:type="dxa"/>
            <w:gridSpan w:val="2"/>
          </w:tcPr>
          <w:p>
            <w:pPr>
              <w:pStyle w:val="TableParagraph"/>
              <w:spacing w:line="142" w:lineRule="exact" w:before="107"/>
              <w:ind w:right="48"/>
              <w:jc w:val="right"/>
              <w:rPr>
                <w:sz w:val="14"/>
              </w:rPr>
            </w:pPr>
            <w:r>
              <w:rPr>
                <w:sz w:val="14"/>
              </w:rPr>
              <w:t>0.0%</w:t>
            </w:r>
          </w:p>
        </w:tc>
      </w:tr>
    </w:tbl>
    <w:p>
      <w:pPr>
        <w:spacing w:after="0" w:line="142" w:lineRule="exact"/>
        <w:jc w:val="right"/>
        <w:rPr>
          <w:sz w:val="14"/>
        </w:rPr>
        <w:sectPr>
          <w:type w:val="continuous"/>
          <w:pgSz w:w="12240" w:h="15840"/>
          <w:pgMar w:top="1500" w:bottom="840" w:left="160" w:right="180"/>
        </w:sectPr>
      </w:pPr>
    </w:p>
    <w:p>
      <w:pPr>
        <w:spacing w:line="232" w:lineRule="auto" w:before="1"/>
        <w:ind w:left="308" w:right="0" w:firstLine="0"/>
        <w:jc w:val="left"/>
        <w:rPr>
          <w:sz w:val="18"/>
        </w:rPr>
      </w:pPr>
      <w:r>
        <w:rPr/>
        <w:pict>
          <v:group style="position:absolute;margin-left:30.120001pt;margin-top:36.318634pt;width:538.5pt;height:419.2pt;mso-position-horizontal-relative:page;mso-position-vertical-relative:paragraph;z-index:-314428416" coordorigin="602,726" coordsize="10770,8384">
            <v:shape style="position:absolute;left:602;top:726;width:3646;height:790" type="#_x0000_t75" stroked="false">
              <v:imagedata r:id="rId406" o:title=""/>
            </v:shape>
            <v:shape style="position:absolute;left:4240;top:726;width:7121;height:1364" type="#_x0000_t75" stroked="false">
              <v:imagedata r:id="rId713" o:title=""/>
            </v:shape>
            <v:line style="position:absolute" from="1412,1506" to="1412,1876" stroked="true" strokeweight=".360003pt" strokecolor="#ffffff">
              <v:stroke dashstyle="solid"/>
            </v:line>
            <v:shape style="position:absolute;left:602;top:1501;width:3646;height:588" type="#_x0000_t75" stroked="false">
              <v:imagedata r:id="rId434" o:title=""/>
            </v:shape>
            <v:line style="position:absolute" from="1412,2080" to="1412,2450" stroked="true" strokeweight=".360003pt" strokecolor="#ffffff">
              <v:stroke dashstyle="solid"/>
            </v:line>
            <v:shape style="position:absolute;left:6782;top:1878;width:4580;height:1172" type="#_x0000_t75" stroked="false">
              <v:imagedata r:id="rId428" o:title=""/>
            </v:shape>
            <v:shape style="position:absolute;left:602;top:2075;width:3646;height:7035" type="#_x0000_t75" stroked="false">
              <v:imagedata r:id="rId435" o:title=""/>
            </v:shape>
            <v:shape style="position:absolute;left:6782;top:2845;width:4580;height:552" type="#_x0000_t75" stroked="false">
              <v:imagedata r:id="rId436" o:title=""/>
            </v:shape>
            <v:shape style="position:absolute;left:6782;top:3042;width:4580;height:704" type="#_x0000_t75" stroked="false">
              <v:imagedata r:id="rId437" o:title=""/>
            </v:shape>
            <v:shape style="position:absolute;left:6782;top:3390;width:4580;height:704" type="#_x0000_t75" stroked="false">
              <v:imagedata r:id="rId438" o:title=""/>
            </v:shape>
            <v:shape style="position:absolute;left:6782;top:3738;width:4580;height:704" type="#_x0000_t75" stroked="false">
              <v:imagedata r:id="rId437" o:title=""/>
            </v:shape>
            <v:shape style="position:absolute;left:6782;top:4086;width:4580;height:704" type="#_x0000_t75" stroked="false">
              <v:imagedata r:id="rId438" o:title=""/>
            </v:shape>
            <v:shape style="position:absolute;left:6782;top:4434;width:4580;height:941" type="#_x0000_t75" stroked="false">
              <v:imagedata r:id="rId714" o:title=""/>
            </v:shape>
            <v:shape style="position:absolute;left:6782;top:5372;width:1520;height:356" type="#_x0000_t75" stroked="false">
              <v:imagedata r:id="rId715" o:title=""/>
            </v:shape>
            <v:shape style="position:absolute;left:8294;top:5175;width:1520;height:552" type="#_x0000_t75" stroked="false">
              <v:imagedata r:id="rId716" o:title=""/>
            </v:shape>
            <v:rect style="position:absolute;left:9811;top:5377;width:1541;height:348" filled="true" fillcolor="#dfdfdf" stroked="false">
              <v:fill type="solid"/>
            </v:rect>
            <v:shape style="position:absolute;left:8294;top:5175;width:3068;height:1248" type="#_x0000_t75" stroked="false">
              <v:imagedata r:id="rId717" o:title=""/>
            </v:shape>
            <v:shape style="position:absolute;left:6782;top:5720;width:1520;height:704" type="#_x0000_t75" stroked="false">
              <v:imagedata r:id="rId718" o:title=""/>
            </v:shape>
            <v:shape style="position:absolute;left:8294;top:6068;width:3068;height:1047" type="#_x0000_t75" stroked="false">
              <v:imagedata r:id="rId590" o:title=""/>
            </v:shape>
            <v:shape style="position:absolute;left:6782;top:6416;width:1520;height:699" type="#_x0000_t75" stroked="false">
              <v:imagedata r:id="rId591" o:title=""/>
            </v:shape>
            <v:shape style="position:absolute;left:6782;top:7112;width:1520;height:204" type="#_x0000_t75" stroked="false">
              <v:imagedata r:id="rId424" o:title=""/>
            </v:shape>
            <v:shape style="position:absolute;left:8294;top:7112;width:1520;height:204" type="#_x0000_t75" stroked="false">
              <v:imagedata r:id="rId425" o:title=""/>
            </v:shape>
            <v:shape style="position:absolute;left:6782;top:6764;width:4580;height:1445" type="#_x0000_t75" stroked="false">
              <v:imagedata r:id="rId592" o:title=""/>
            </v:shape>
            <v:shape style="position:absolute;left:8294;top:8005;width:3068;height:204" type="#_x0000_t75" stroked="false">
              <v:imagedata r:id="rId593" o:title=""/>
            </v:shape>
            <v:shape style="position:absolute;left:6782;top:8202;width:1520;height:353" type="#_x0000_t75" stroked="false">
              <v:imagedata r:id="rId445" o:title=""/>
            </v:shape>
            <v:shape style="position:absolute;left:8294;top:8202;width:1520;height:353" type="#_x0000_t75" stroked="false">
              <v:imagedata r:id="rId594" o:title=""/>
            </v:shape>
            <v:rect style="position:absolute;left:9811;top:8207;width:1541;height:348" filled="true" fillcolor="#dfdfdf" stroked="false">
              <v:fill type="solid"/>
            </v:rect>
            <v:shape style="position:absolute;left:6782;top:8550;width:1520;height:204" type="#_x0000_t75" stroked="false">
              <v:imagedata r:id="rId424" o:title=""/>
            </v:shape>
            <v:shape style="position:absolute;left:8294;top:8550;width:1520;height:204" type="#_x0000_t75" stroked="false">
              <v:imagedata r:id="rId425" o:title=""/>
            </v:shape>
            <v:rect style="position:absolute;left:9811;top:8555;width:1541;height:197" filled="true" fillcolor="#dfdfdf" stroked="false">
              <v:fill type="solid"/>
            </v:rect>
            <v:shape style="position:absolute;left:4240;top:8202;width:7121;height:908" type="#_x0000_t75" stroked="false">
              <v:imagedata r:id="rId448" o:title=""/>
            </v:shape>
            <v:shape style="position:absolute;left:638;top:1340;width:811;height:161" type="#_x0000_t202" filled="false" stroked="false">
              <v:textbox inset="0,0,0,0">
                <w:txbxContent>
                  <w:p>
                    <w:pPr>
                      <w:spacing w:line="160" w:lineRule="exact" w:before="0"/>
                      <w:ind w:left="0" w:right="0" w:firstLine="0"/>
                      <w:jc w:val="left"/>
                      <w:rPr>
                        <w:b/>
                        <w:sz w:val="14"/>
                      </w:rPr>
                    </w:pPr>
                    <w:r>
                      <w:rPr>
                        <w:b/>
                        <w:sz w:val="14"/>
                      </w:rPr>
                      <w:t>Description</w:t>
                    </w:r>
                  </w:p>
                </w:txbxContent>
              </v:textbox>
              <w10:wrap type="none"/>
            </v:shape>
            <v:shape style="position:absolute;left:4466;top:1172;width:3722;height:329" type="#_x0000_t202" filled="false" stroked="false">
              <v:textbox inset="0,0,0,0">
                <w:txbxContent>
                  <w:p>
                    <w:pPr>
                      <w:spacing w:line="160" w:lineRule="exact" w:before="0"/>
                      <w:ind w:left="2820" w:right="0" w:firstLine="0"/>
                      <w:jc w:val="left"/>
                      <w:rPr>
                        <w:b/>
                        <w:sz w:val="14"/>
                      </w:rPr>
                    </w:pPr>
                    <w:r>
                      <w:rPr>
                        <w:b/>
                        <w:w w:val="105"/>
                        <w:sz w:val="14"/>
                      </w:rPr>
                      <w:t>2020-21</w:t>
                    </w:r>
                  </w:p>
                  <w:p>
                    <w:pPr>
                      <w:tabs>
                        <w:tab w:pos="1372" w:val="left" w:leader="none"/>
                      </w:tabs>
                      <w:spacing w:before="7"/>
                      <w:ind w:left="0" w:right="0" w:firstLine="0"/>
                      <w:jc w:val="left"/>
                      <w:rPr>
                        <w:b/>
                        <w:sz w:val="14"/>
                      </w:rPr>
                    </w:pPr>
                    <w:r>
                      <w:rPr>
                        <w:b/>
                        <w:w w:val="105"/>
                        <w:sz w:val="14"/>
                      </w:rPr>
                      <w:t>Resource</w:t>
                    </w:r>
                    <w:r>
                      <w:rPr>
                        <w:b/>
                        <w:spacing w:val="-12"/>
                        <w:w w:val="105"/>
                        <w:sz w:val="14"/>
                      </w:rPr>
                      <w:t> </w:t>
                    </w:r>
                    <w:r>
                      <w:rPr>
                        <w:b/>
                        <w:w w:val="105"/>
                        <w:sz w:val="14"/>
                      </w:rPr>
                      <w:t>Codes</w:t>
                      <w:tab/>
                      <w:t>Object Codes Estimated</w:t>
                    </w:r>
                    <w:r>
                      <w:rPr>
                        <w:b/>
                        <w:spacing w:val="-15"/>
                        <w:w w:val="105"/>
                        <w:sz w:val="14"/>
                      </w:rPr>
                      <w:t> </w:t>
                    </w:r>
                    <w:r>
                      <w:rPr>
                        <w:b/>
                        <w:w w:val="105"/>
                        <w:sz w:val="14"/>
                      </w:rPr>
                      <w:t>Actuals</w:t>
                    </w:r>
                  </w:p>
                </w:txbxContent>
              </v:textbox>
              <w10:wrap type="none"/>
            </v:shape>
            <v:shape style="position:absolute;left:8798;top:1172;width:545;height:329" type="#_x0000_t202" filled="false" stroked="false">
              <v:textbox inset="0,0,0,0">
                <w:txbxContent>
                  <w:p>
                    <w:pPr>
                      <w:spacing w:line="160" w:lineRule="exact" w:before="0"/>
                      <w:ind w:left="0" w:right="0" w:firstLine="0"/>
                      <w:jc w:val="left"/>
                      <w:rPr>
                        <w:b/>
                        <w:sz w:val="14"/>
                      </w:rPr>
                    </w:pPr>
                    <w:r>
                      <w:rPr>
                        <w:b/>
                        <w:sz w:val="14"/>
                      </w:rPr>
                      <w:t>2021-22</w:t>
                    </w:r>
                  </w:p>
                  <w:p>
                    <w:pPr>
                      <w:spacing w:before="7"/>
                      <w:ind w:left="11" w:right="0" w:firstLine="0"/>
                      <w:jc w:val="left"/>
                      <w:rPr>
                        <w:b/>
                        <w:sz w:val="14"/>
                      </w:rPr>
                    </w:pPr>
                    <w:r>
                      <w:rPr>
                        <w:b/>
                        <w:w w:val="105"/>
                        <w:sz w:val="14"/>
                      </w:rPr>
                      <w:t>Budget</w:t>
                    </w:r>
                  </w:p>
                </w:txbxContent>
              </v:textbox>
              <w10:wrap type="none"/>
            </v:shape>
            <v:shape style="position:absolute;left:10236;top:1172;width:721;height:329" type="#_x0000_t202" filled="false" stroked="false">
              <v:textbox inset="0,0,0,0">
                <w:txbxContent>
                  <w:p>
                    <w:pPr>
                      <w:spacing w:line="249" w:lineRule="auto" w:before="0"/>
                      <w:ind w:left="0" w:right="16" w:firstLine="86"/>
                      <w:jc w:val="left"/>
                      <w:rPr>
                        <w:b/>
                        <w:sz w:val="14"/>
                      </w:rPr>
                    </w:pPr>
                    <w:r>
                      <w:rPr>
                        <w:b/>
                        <w:w w:val="105"/>
                        <w:sz w:val="14"/>
                      </w:rPr>
                      <w:t>Percent </w:t>
                    </w:r>
                    <w:r>
                      <w:rPr>
                        <w:b/>
                        <w:sz w:val="14"/>
                      </w:rPr>
                      <w:t>Difference</w:t>
                    </w:r>
                  </w:p>
                </w:txbxContent>
              </v:textbox>
              <w10:wrap type="none"/>
            </v:shape>
            <v:shape style="position:absolute;left:638;top:1717;width:2815;height:358" type="#_x0000_t202" filled="false" stroked="false">
              <v:textbox inset="0,0,0,0">
                <w:txbxContent>
                  <w:p>
                    <w:pPr>
                      <w:spacing w:line="160" w:lineRule="exact" w:before="0"/>
                      <w:ind w:left="0" w:right="0" w:firstLine="0"/>
                      <w:jc w:val="left"/>
                      <w:rPr>
                        <w:b/>
                        <w:sz w:val="14"/>
                      </w:rPr>
                    </w:pPr>
                    <w:r>
                      <w:rPr>
                        <w:b/>
                        <w:w w:val="105"/>
                        <w:sz w:val="14"/>
                      </w:rPr>
                      <w:t>E.</w:t>
                    </w:r>
                    <w:r>
                      <w:rPr>
                        <w:b/>
                        <w:spacing w:val="-14"/>
                        <w:w w:val="105"/>
                        <w:sz w:val="14"/>
                      </w:rPr>
                      <w:t> </w:t>
                    </w:r>
                    <w:r>
                      <w:rPr>
                        <w:b/>
                        <w:w w:val="105"/>
                        <w:sz w:val="14"/>
                      </w:rPr>
                      <w:t>NET</w:t>
                    </w:r>
                    <w:r>
                      <w:rPr>
                        <w:b/>
                        <w:spacing w:val="-13"/>
                        <w:w w:val="105"/>
                        <w:sz w:val="14"/>
                      </w:rPr>
                      <w:t> </w:t>
                    </w:r>
                    <w:r>
                      <w:rPr>
                        <w:b/>
                        <w:w w:val="105"/>
                        <w:sz w:val="14"/>
                      </w:rPr>
                      <w:t>INCREASE</w:t>
                    </w:r>
                    <w:r>
                      <w:rPr>
                        <w:b/>
                        <w:spacing w:val="-15"/>
                        <w:w w:val="105"/>
                        <w:sz w:val="14"/>
                      </w:rPr>
                      <w:t> </w:t>
                    </w:r>
                    <w:r>
                      <w:rPr>
                        <w:b/>
                        <w:w w:val="105"/>
                        <w:sz w:val="14"/>
                      </w:rPr>
                      <w:t>(DECREASE)</w:t>
                    </w:r>
                    <w:r>
                      <w:rPr>
                        <w:b/>
                        <w:spacing w:val="-13"/>
                        <w:w w:val="105"/>
                        <w:sz w:val="14"/>
                      </w:rPr>
                      <w:t> </w:t>
                    </w:r>
                    <w:r>
                      <w:rPr>
                        <w:b/>
                        <w:w w:val="105"/>
                        <w:sz w:val="14"/>
                      </w:rPr>
                      <w:t>IN</w:t>
                    </w:r>
                    <w:r>
                      <w:rPr>
                        <w:b/>
                        <w:spacing w:val="-14"/>
                        <w:w w:val="105"/>
                        <w:sz w:val="14"/>
                      </w:rPr>
                      <w:t> </w:t>
                    </w:r>
                    <w:r>
                      <w:rPr>
                        <w:b/>
                        <w:w w:val="105"/>
                        <w:sz w:val="14"/>
                      </w:rPr>
                      <w:t>FUND</w:t>
                    </w:r>
                  </w:p>
                  <w:p>
                    <w:pPr>
                      <w:spacing w:before="36"/>
                      <w:ind w:left="203" w:right="0" w:firstLine="0"/>
                      <w:jc w:val="left"/>
                      <w:rPr>
                        <w:b/>
                        <w:sz w:val="14"/>
                      </w:rPr>
                    </w:pPr>
                    <w:r>
                      <w:rPr>
                        <w:b/>
                        <w:w w:val="105"/>
                        <w:sz w:val="14"/>
                      </w:rPr>
                      <w:t>BALANCE (C + D4)</w:t>
                    </w:r>
                  </w:p>
                </w:txbxContent>
              </v:textbox>
              <w10:wrap type="none"/>
            </v:shape>
            <v:shape style="position:absolute;left:7788;top:1916;width:458;height:161" type="#_x0000_t202" filled="false" stroked="false">
              <v:textbox inset="0,0,0,0">
                <w:txbxContent>
                  <w:p>
                    <w:pPr>
                      <w:spacing w:line="160" w:lineRule="exact" w:before="0"/>
                      <w:ind w:left="0" w:right="0" w:firstLine="0"/>
                      <w:jc w:val="left"/>
                      <w:rPr>
                        <w:sz w:val="14"/>
                      </w:rPr>
                    </w:pPr>
                    <w:r>
                      <w:rPr>
                        <w:w w:val="105"/>
                        <w:sz w:val="14"/>
                      </w:rPr>
                      <w:t>265.00</w:t>
                    </w:r>
                  </w:p>
                </w:txbxContent>
              </v:textbox>
              <w10:wrap type="none"/>
            </v:shape>
            <v:shape style="position:absolute;left:9300;top:1916;width:458;height:161" type="#_x0000_t202" filled="false" stroked="false">
              <v:textbox inset="0,0,0,0">
                <w:txbxContent>
                  <w:p>
                    <w:pPr>
                      <w:spacing w:line="160" w:lineRule="exact" w:before="0"/>
                      <w:ind w:left="0" w:right="0" w:firstLine="0"/>
                      <w:jc w:val="left"/>
                      <w:rPr>
                        <w:sz w:val="14"/>
                      </w:rPr>
                    </w:pPr>
                    <w:r>
                      <w:rPr>
                        <w:w w:val="105"/>
                        <w:sz w:val="14"/>
                      </w:rPr>
                      <w:t>265.00</w:t>
                    </w:r>
                  </w:p>
                </w:txbxContent>
              </v:textbox>
              <w10:wrap type="none"/>
            </v:shape>
            <v:shape style="position:absolute;left:10999;top:1916;width:347;height:161" type="#_x0000_t202" filled="false" stroked="false">
              <v:textbox inset="0,0,0,0">
                <w:txbxContent>
                  <w:p>
                    <w:pPr>
                      <w:spacing w:line="160" w:lineRule="exact" w:before="0"/>
                      <w:ind w:left="0" w:right="0" w:firstLine="0"/>
                      <w:jc w:val="left"/>
                      <w:rPr>
                        <w:sz w:val="14"/>
                      </w:rPr>
                    </w:pPr>
                    <w:r>
                      <w:rPr>
                        <w:w w:val="105"/>
                        <w:sz w:val="14"/>
                      </w:rPr>
                      <w:t>0.0%</w:t>
                    </w:r>
                  </w:p>
                </w:txbxContent>
              </v:textbox>
              <w10:wrap type="none"/>
            </v:shape>
            <v:shape style="position:absolute;left:638;top:2290;width:2182;height:161" type="#_x0000_t202" filled="false" stroked="false">
              <v:textbox inset="0,0,0,0">
                <w:txbxContent>
                  <w:p>
                    <w:pPr>
                      <w:spacing w:line="160" w:lineRule="exact" w:before="0"/>
                      <w:ind w:left="0" w:right="0" w:firstLine="0"/>
                      <w:jc w:val="left"/>
                      <w:rPr>
                        <w:b/>
                        <w:sz w:val="14"/>
                      </w:rPr>
                    </w:pPr>
                    <w:r>
                      <w:rPr>
                        <w:b/>
                        <w:w w:val="105"/>
                        <w:sz w:val="14"/>
                      </w:rPr>
                      <w:t>F.</w:t>
                    </w:r>
                    <w:r>
                      <w:rPr>
                        <w:b/>
                        <w:spacing w:val="-18"/>
                        <w:w w:val="105"/>
                        <w:sz w:val="14"/>
                      </w:rPr>
                      <w:t> </w:t>
                    </w:r>
                    <w:r>
                      <w:rPr>
                        <w:b/>
                        <w:w w:val="105"/>
                        <w:sz w:val="14"/>
                      </w:rPr>
                      <w:t>FUND</w:t>
                    </w:r>
                    <w:r>
                      <w:rPr>
                        <w:b/>
                        <w:spacing w:val="-18"/>
                        <w:w w:val="105"/>
                        <w:sz w:val="14"/>
                      </w:rPr>
                      <w:t> </w:t>
                    </w:r>
                    <w:r>
                      <w:rPr>
                        <w:b/>
                        <w:w w:val="105"/>
                        <w:sz w:val="14"/>
                      </w:rPr>
                      <w:t>BALANCE,</w:t>
                    </w:r>
                    <w:r>
                      <w:rPr>
                        <w:b/>
                        <w:spacing w:val="-18"/>
                        <w:w w:val="105"/>
                        <w:sz w:val="14"/>
                      </w:rPr>
                      <w:t> </w:t>
                    </w:r>
                    <w:r>
                      <w:rPr>
                        <w:b/>
                        <w:w w:val="105"/>
                        <w:sz w:val="14"/>
                      </w:rPr>
                      <w:t>RESERVES</w:t>
                    </w:r>
                  </w:p>
                </w:txbxContent>
              </v:textbox>
              <w10:wrap type="none"/>
            </v:shape>
            <v:shape style="position:absolute;left:1168;top:7150;width:1726;height:161" type="#_x0000_t202" filled="false" stroked="false">
              <v:textbox inset="0,0,0,0">
                <w:txbxContent>
                  <w:p>
                    <w:pPr>
                      <w:spacing w:line="160" w:lineRule="exact" w:before="0"/>
                      <w:ind w:left="0" w:right="0" w:firstLine="0"/>
                      <w:jc w:val="left"/>
                      <w:rPr>
                        <w:sz w:val="14"/>
                      </w:rPr>
                    </w:pPr>
                    <w:r>
                      <w:rPr>
                        <w:sz w:val="14"/>
                      </w:rPr>
                      <w:t>Stabilization Arrangements</w:t>
                    </w:r>
                  </w:p>
                </w:txbxContent>
              </v:textbox>
              <w10:wrap type="none"/>
            </v:shape>
            <v:shape style="position:absolute;left:6144;top:7150;width:338;height:161" type="#_x0000_t202" filled="false" stroked="false">
              <v:textbox inset="0,0,0,0">
                <w:txbxContent>
                  <w:p>
                    <w:pPr>
                      <w:spacing w:line="160" w:lineRule="exact" w:before="0"/>
                      <w:ind w:left="0" w:right="0" w:firstLine="0"/>
                      <w:jc w:val="left"/>
                      <w:rPr>
                        <w:sz w:val="14"/>
                      </w:rPr>
                    </w:pPr>
                    <w:r>
                      <w:rPr>
                        <w:w w:val="105"/>
                        <w:sz w:val="14"/>
                      </w:rPr>
                      <w:t>9750</w:t>
                    </w:r>
                  </w:p>
                </w:txbxContent>
              </v:textbox>
              <w10:wrap type="none"/>
            </v:shape>
            <v:shape style="position:absolute;left:7946;top:7150;width:299;height:161" type="#_x0000_t202" filled="false" stroked="false">
              <v:textbox inset="0,0,0,0">
                <w:txbxContent>
                  <w:p>
                    <w:pPr>
                      <w:spacing w:line="160" w:lineRule="exact" w:before="0"/>
                      <w:ind w:left="0" w:right="0" w:firstLine="0"/>
                      <w:jc w:val="left"/>
                      <w:rPr>
                        <w:sz w:val="14"/>
                      </w:rPr>
                    </w:pPr>
                    <w:r>
                      <w:rPr>
                        <w:w w:val="105"/>
                        <w:sz w:val="14"/>
                      </w:rPr>
                      <w:t>0.00</w:t>
                    </w:r>
                  </w:p>
                </w:txbxContent>
              </v:textbox>
              <w10:wrap type="none"/>
            </v:shape>
            <v:shape style="position:absolute;left:9458;top:7150;width:1914;height:162" type="#_x0000_t202" filled="false" stroked="false">
              <v:textbox inset="0,0,0,0">
                <w:txbxContent>
                  <w:p>
                    <w:pPr>
                      <w:tabs>
                        <w:tab w:pos="1540" w:val="left" w:leader="none"/>
                      </w:tabs>
                      <w:spacing w:line="160" w:lineRule="exact" w:before="0"/>
                      <w:ind w:left="0" w:right="0" w:firstLine="0"/>
                      <w:jc w:val="left"/>
                      <w:rPr>
                        <w:sz w:val="14"/>
                      </w:rPr>
                    </w:pPr>
                    <w:r>
                      <w:rPr>
                        <w:w w:val="105"/>
                        <w:sz w:val="14"/>
                      </w:rPr>
                      <w:t>0.00</w:t>
                    </w:r>
                    <w:r>
                      <w:rPr>
                        <w:w w:val="105"/>
                        <w:sz w:val="14"/>
                        <w:shd w:fill="DFDFDF" w:color="auto" w:val="clear"/>
                      </w:rPr>
                      <w:tab/>
                      <w:t>0.0%</w:t>
                    </w:r>
                    <w:r>
                      <w:rPr>
                        <w:spacing w:val="-13"/>
                        <w:sz w:val="14"/>
                        <w:shd w:fill="DFDFDF" w:color="auto" w:val="clear"/>
                      </w:rPr>
                      <w:t> </w:t>
                    </w:r>
                  </w:p>
                </w:txbxContent>
              </v:textbox>
              <w10:wrap type="none"/>
            </v:shape>
            <v:shape style="position:absolute;left:1168;top:7498;width:1298;height:161" type="#_x0000_t202" filled="false" stroked="false">
              <v:textbox inset="0,0,0,0">
                <w:txbxContent>
                  <w:p>
                    <w:pPr>
                      <w:spacing w:line="160" w:lineRule="exact" w:before="0"/>
                      <w:ind w:left="0" w:right="0" w:firstLine="0"/>
                      <w:jc w:val="left"/>
                      <w:rPr>
                        <w:sz w:val="14"/>
                      </w:rPr>
                    </w:pPr>
                    <w:r>
                      <w:rPr>
                        <w:w w:val="105"/>
                        <w:sz w:val="14"/>
                      </w:rPr>
                      <w:t>Other</w:t>
                    </w:r>
                    <w:r>
                      <w:rPr>
                        <w:spacing w:val="-26"/>
                        <w:w w:val="105"/>
                        <w:sz w:val="14"/>
                      </w:rPr>
                      <w:t> </w:t>
                    </w:r>
                    <w:r>
                      <w:rPr>
                        <w:w w:val="105"/>
                        <w:sz w:val="14"/>
                      </w:rPr>
                      <w:t>Commitments</w:t>
                    </w:r>
                  </w:p>
                </w:txbxContent>
              </v:textbox>
              <w10:wrap type="none"/>
            </v:shape>
            <v:shape style="position:absolute;left:6144;top:7498;width:338;height:161" type="#_x0000_t202" filled="false" stroked="false">
              <v:textbox inset="0,0,0,0">
                <w:txbxContent>
                  <w:p>
                    <w:pPr>
                      <w:spacing w:line="160" w:lineRule="exact" w:before="0"/>
                      <w:ind w:left="0" w:right="0" w:firstLine="0"/>
                      <w:jc w:val="left"/>
                      <w:rPr>
                        <w:sz w:val="14"/>
                      </w:rPr>
                    </w:pPr>
                    <w:r>
                      <w:rPr>
                        <w:w w:val="105"/>
                        <w:sz w:val="14"/>
                      </w:rPr>
                      <w:t>9760</w:t>
                    </w:r>
                  </w:p>
                </w:txbxContent>
              </v:textbox>
              <w10:wrap type="none"/>
            </v:shape>
            <v:shape style="position:absolute;left:7946;top:7498;width:299;height:161" type="#_x0000_t202" filled="false" stroked="false">
              <v:textbox inset="0,0,0,0">
                <w:txbxContent>
                  <w:p>
                    <w:pPr>
                      <w:spacing w:line="160" w:lineRule="exact" w:before="0"/>
                      <w:ind w:left="0" w:right="0" w:firstLine="0"/>
                      <w:jc w:val="left"/>
                      <w:rPr>
                        <w:sz w:val="14"/>
                      </w:rPr>
                    </w:pPr>
                    <w:r>
                      <w:rPr>
                        <w:w w:val="105"/>
                        <w:sz w:val="14"/>
                      </w:rPr>
                      <w:t>0.00</w:t>
                    </w:r>
                  </w:p>
                </w:txbxContent>
              </v:textbox>
              <w10:wrap type="none"/>
            </v:shape>
            <v:shape style="position:absolute;left:9458;top:7498;width:299;height:161" type="#_x0000_t202" filled="false" stroked="false">
              <v:textbox inset="0,0,0,0">
                <w:txbxContent>
                  <w:p>
                    <w:pPr>
                      <w:spacing w:line="160" w:lineRule="exact" w:before="0"/>
                      <w:ind w:left="0" w:right="0" w:firstLine="0"/>
                      <w:jc w:val="left"/>
                      <w:rPr>
                        <w:sz w:val="14"/>
                      </w:rPr>
                    </w:pPr>
                    <w:r>
                      <w:rPr>
                        <w:w w:val="105"/>
                        <w:sz w:val="14"/>
                      </w:rPr>
                      <w:t>0.00</w:t>
                    </w:r>
                  </w:p>
                </w:txbxContent>
              </v:textbox>
              <w10:wrap type="none"/>
            </v:shape>
            <v:shape style="position:absolute;left:10999;top:7498;width:347;height:161" type="#_x0000_t202" filled="false" stroked="false">
              <v:textbox inset="0,0,0,0">
                <w:txbxContent>
                  <w:p>
                    <w:pPr>
                      <w:spacing w:line="160" w:lineRule="exact" w:before="0"/>
                      <w:ind w:left="0" w:right="0" w:firstLine="0"/>
                      <w:jc w:val="left"/>
                      <w:rPr>
                        <w:sz w:val="14"/>
                      </w:rPr>
                    </w:pPr>
                    <w:r>
                      <w:rPr>
                        <w:w w:val="105"/>
                        <w:sz w:val="14"/>
                      </w:rPr>
                      <w:t>0.0%</w:t>
                    </w:r>
                  </w:p>
                </w:txbxContent>
              </v:textbox>
              <w10:wrap type="none"/>
            </v:shape>
            <v:shape style="position:absolute;left:964;top:7846;width:1441;height:358" type="#_x0000_t202" filled="false" stroked="false">
              <v:textbox inset="0,0,0,0">
                <w:txbxContent>
                  <w:p>
                    <w:pPr>
                      <w:spacing w:line="160" w:lineRule="exact" w:before="0"/>
                      <w:ind w:left="0" w:right="0" w:firstLine="0"/>
                      <w:jc w:val="left"/>
                      <w:rPr>
                        <w:sz w:val="14"/>
                      </w:rPr>
                    </w:pPr>
                    <w:r>
                      <w:rPr>
                        <w:w w:val="105"/>
                        <w:sz w:val="14"/>
                      </w:rPr>
                      <w:t>d) Assigned</w:t>
                    </w:r>
                  </w:p>
                  <w:p>
                    <w:pPr>
                      <w:spacing w:before="36"/>
                      <w:ind w:left="203" w:right="0" w:firstLine="0"/>
                      <w:jc w:val="left"/>
                      <w:rPr>
                        <w:sz w:val="14"/>
                      </w:rPr>
                    </w:pPr>
                    <w:r>
                      <w:rPr>
                        <w:w w:val="105"/>
                        <w:sz w:val="14"/>
                      </w:rPr>
                      <w:t>Other</w:t>
                    </w:r>
                    <w:r>
                      <w:rPr>
                        <w:spacing w:val="-23"/>
                        <w:w w:val="105"/>
                        <w:sz w:val="14"/>
                      </w:rPr>
                      <w:t> </w:t>
                    </w:r>
                    <w:r>
                      <w:rPr>
                        <w:w w:val="105"/>
                        <w:sz w:val="14"/>
                      </w:rPr>
                      <w:t>Assignments</w:t>
                    </w:r>
                  </w:p>
                </w:txbxContent>
              </v:textbox>
              <w10:wrap type="none"/>
            </v:shape>
            <v:shape style="position:absolute;left:6144;top:8043;width:338;height:161" type="#_x0000_t202" filled="false" stroked="false">
              <v:textbox inset="0,0,0,0">
                <w:txbxContent>
                  <w:p>
                    <w:pPr>
                      <w:spacing w:line="160" w:lineRule="exact" w:before="0"/>
                      <w:ind w:left="0" w:right="0" w:firstLine="0"/>
                      <w:jc w:val="left"/>
                      <w:rPr>
                        <w:sz w:val="14"/>
                      </w:rPr>
                    </w:pPr>
                    <w:r>
                      <w:rPr>
                        <w:w w:val="105"/>
                        <w:sz w:val="14"/>
                      </w:rPr>
                      <w:t>9780</w:t>
                    </w:r>
                  </w:p>
                </w:txbxContent>
              </v:textbox>
              <w10:wrap type="none"/>
            </v:shape>
            <v:shape style="position:absolute;left:7588;top:8043;width:657;height:161" type="#_x0000_t202" filled="false" stroked="false">
              <v:textbox inset="0,0,0,0">
                <w:txbxContent>
                  <w:p>
                    <w:pPr>
                      <w:spacing w:line="160" w:lineRule="exact" w:before="0"/>
                      <w:ind w:left="0" w:right="0" w:firstLine="0"/>
                      <w:jc w:val="left"/>
                      <w:rPr>
                        <w:sz w:val="14"/>
                      </w:rPr>
                    </w:pPr>
                    <w:r>
                      <w:rPr>
                        <w:sz w:val="14"/>
                      </w:rPr>
                      <w:t>19,345.00</w:t>
                    </w:r>
                  </w:p>
                </w:txbxContent>
              </v:textbox>
              <w10:wrap type="none"/>
            </v:shape>
            <v:shape style="position:absolute;left:9100;top:8043;width:657;height:161" type="#_x0000_t202" filled="false" stroked="false">
              <v:textbox inset="0,0,0,0">
                <w:txbxContent>
                  <w:p>
                    <w:pPr>
                      <w:spacing w:line="160" w:lineRule="exact" w:before="0"/>
                      <w:ind w:left="0" w:right="0" w:firstLine="0"/>
                      <w:jc w:val="left"/>
                      <w:rPr>
                        <w:sz w:val="14"/>
                      </w:rPr>
                    </w:pPr>
                    <w:r>
                      <w:rPr>
                        <w:sz w:val="14"/>
                      </w:rPr>
                      <w:t>19,610.00</w:t>
                    </w:r>
                  </w:p>
                </w:txbxContent>
              </v:textbox>
              <w10:wrap type="none"/>
            </v:shape>
            <v:shape style="position:absolute;left:10999;top:8043;width:347;height:161" type="#_x0000_t202" filled="false" stroked="false">
              <v:textbox inset="0,0,0,0">
                <w:txbxContent>
                  <w:p>
                    <w:pPr>
                      <w:spacing w:line="160" w:lineRule="exact" w:before="0"/>
                      <w:ind w:left="0" w:right="0" w:firstLine="0"/>
                      <w:jc w:val="left"/>
                      <w:rPr>
                        <w:sz w:val="14"/>
                      </w:rPr>
                    </w:pPr>
                    <w:r>
                      <w:rPr>
                        <w:w w:val="105"/>
                        <w:sz w:val="14"/>
                      </w:rPr>
                      <w:t>1.4%</w:t>
                    </w:r>
                  </w:p>
                </w:txbxContent>
              </v:textbox>
              <w10:wrap type="none"/>
            </v:shape>
            <v:shape style="position:absolute;left:964;top:8391;width:1966;height:161" type="#_x0000_t202" filled="false" stroked="false">
              <v:textbox inset="0,0,0,0">
                <w:txbxContent>
                  <w:p>
                    <w:pPr>
                      <w:spacing w:line="160" w:lineRule="exact" w:before="0"/>
                      <w:ind w:left="0" w:right="0" w:firstLine="0"/>
                      <w:jc w:val="left"/>
                      <w:rPr>
                        <w:sz w:val="14"/>
                      </w:rPr>
                    </w:pPr>
                    <w:r>
                      <w:rPr>
                        <w:sz w:val="14"/>
                      </w:rPr>
                      <w:t>e) Unassigned/Unappropriated</w:t>
                    </w:r>
                  </w:p>
                </w:txbxContent>
              </v:textbox>
              <w10:wrap type="none"/>
            </v:shape>
            <w10:wrap type="none"/>
          </v:group>
        </w:pict>
      </w:r>
      <w:r>
        <w:rPr>
          <w:sz w:val="18"/>
        </w:rPr>
        <w:t>Winship-Robbins Elementary Sutter County</w:t>
      </w:r>
    </w:p>
    <w:p>
      <w:pPr>
        <w:spacing w:line="232" w:lineRule="auto" w:before="1"/>
        <w:ind w:left="499" w:right="0" w:hanging="192"/>
        <w:jc w:val="left"/>
        <w:rPr>
          <w:sz w:val="18"/>
        </w:rPr>
      </w:pPr>
      <w:r>
        <w:rPr/>
        <w:br w:type="column"/>
      </w:r>
      <w:r>
        <w:rPr>
          <w:sz w:val="18"/>
        </w:rPr>
        <w:t>Deferred Maintenance Fund Expenditures by Object</w:t>
      </w:r>
    </w:p>
    <w:p>
      <w:pPr>
        <w:spacing w:line="200" w:lineRule="exact" w:before="0"/>
        <w:ind w:left="0" w:right="287" w:firstLine="0"/>
        <w:jc w:val="right"/>
        <w:rPr>
          <w:sz w:val="18"/>
        </w:rPr>
      </w:pPr>
      <w:r>
        <w:rPr/>
        <w:br w:type="column"/>
      </w:r>
      <w:r>
        <w:rPr>
          <w:sz w:val="18"/>
        </w:rPr>
        <w:t>51 71456</w:t>
      </w:r>
      <w:r>
        <w:rPr>
          <w:spacing w:val="3"/>
          <w:sz w:val="18"/>
        </w:rPr>
        <w:t> </w:t>
      </w:r>
      <w:r>
        <w:rPr>
          <w:sz w:val="18"/>
        </w:rPr>
        <w:t>0000000</w:t>
      </w:r>
    </w:p>
    <w:p>
      <w:pPr>
        <w:spacing w:line="204" w:lineRule="exact" w:before="0"/>
        <w:ind w:left="0" w:right="285" w:firstLine="0"/>
        <w:jc w:val="right"/>
        <w:rPr>
          <w:sz w:val="18"/>
        </w:rPr>
      </w:pPr>
      <w:r>
        <w:rPr>
          <w:sz w:val="18"/>
        </w:rPr>
        <w:t>Form </w:t>
      </w:r>
      <w:r>
        <w:rPr>
          <w:spacing w:val="3"/>
          <w:sz w:val="18"/>
        </w:rPr>
        <w:t> </w:t>
      </w:r>
      <w:r>
        <w:rPr>
          <w:sz w:val="18"/>
        </w:rPr>
        <w:t>14</w:t>
      </w:r>
    </w:p>
    <w:p>
      <w:pPr>
        <w:spacing w:after="0" w:line="204" w:lineRule="exact"/>
        <w:jc w:val="right"/>
        <w:rPr>
          <w:sz w:val="18"/>
        </w:rPr>
        <w:sectPr>
          <w:pgSz w:w="12240" w:h="15840"/>
          <w:pgMar w:header="651" w:footer="437" w:top="840" w:bottom="620" w:left="160" w:right="180"/>
          <w:cols w:num="3" w:equalWidth="0">
            <w:col w:w="2698" w:space="1823"/>
            <w:col w:w="2608" w:space="2663"/>
            <w:col w:w="2108"/>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8"/>
        </w:rPr>
      </w:pPr>
    </w:p>
    <w:tbl>
      <w:tblPr>
        <w:tblW w:w="0" w:type="auto"/>
        <w:jc w:val="left"/>
        <w:tblInd w:w="5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42"/>
        <w:gridCol w:w="693"/>
        <w:gridCol w:w="1512"/>
        <w:gridCol w:w="2069"/>
        <w:gridCol w:w="1007"/>
      </w:tblGrid>
      <w:tr>
        <w:trPr>
          <w:trHeight w:val="196" w:hRule="atLeast"/>
        </w:trPr>
        <w:tc>
          <w:tcPr>
            <w:tcW w:w="5342" w:type="dxa"/>
          </w:tcPr>
          <w:p>
            <w:pPr>
              <w:pStyle w:val="TableParagraph"/>
              <w:spacing w:line="160" w:lineRule="exact"/>
              <w:ind w:left="50"/>
              <w:rPr>
                <w:sz w:val="14"/>
              </w:rPr>
            </w:pPr>
            <w:r>
              <w:rPr>
                <w:w w:val="105"/>
                <w:sz w:val="14"/>
              </w:rPr>
              <w:t>1) Beginning Fund Balance</w:t>
            </w:r>
          </w:p>
        </w:tc>
        <w:tc>
          <w:tcPr>
            <w:tcW w:w="5281" w:type="dxa"/>
            <w:gridSpan w:val="4"/>
          </w:tcPr>
          <w:p>
            <w:pPr>
              <w:pStyle w:val="TableParagraph"/>
              <w:rPr>
                <w:rFonts w:ascii="Times New Roman"/>
                <w:sz w:val="12"/>
              </w:rPr>
            </w:pPr>
          </w:p>
        </w:tc>
      </w:tr>
      <w:tr>
        <w:trPr>
          <w:trHeight w:val="254" w:hRule="atLeast"/>
        </w:trPr>
        <w:tc>
          <w:tcPr>
            <w:tcW w:w="5342" w:type="dxa"/>
          </w:tcPr>
          <w:p>
            <w:pPr>
              <w:pStyle w:val="TableParagraph"/>
              <w:spacing w:line="160" w:lineRule="exact"/>
              <w:ind w:left="213"/>
              <w:rPr>
                <w:sz w:val="14"/>
              </w:rPr>
            </w:pPr>
            <w:r>
              <w:rPr>
                <w:w w:val="105"/>
                <w:sz w:val="14"/>
              </w:rPr>
              <w:t>a) As of July 1 - Unaudited</w:t>
            </w:r>
          </w:p>
        </w:tc>
        <w:tc>
          <w:tcPr>
            <w:tcW w:w="693" w:type="dxa"/>
          </w:tcPr>
          <w:p>
            <w:pPr>
              <w:pStyle w:val="TableParagraph"/>
              <w:spacing w:line="160" w:lineRule="exact"/>
              <w:ind w:left="50"/>
              <w:rPr>
                <w:sz w:val="14"/>
              </w:rPr>
            </w:pPr>
            <w:r>
              <w:rPr>
                <w:w w:val="105"/>
                <w:sz w:val="14"/>
              </w:rPr>
              <w:t>9791</w:t>
            </w:r>
          </w:p>
        </w:tc>
        <w:tc>
          <w:tcPr>
            <w:tcW w:w="1512" w:type="dxa"/>
          </w:tcPr>
          <w:p>
            <w:pPr>
              <w:pStyle w:val="TableParagraph"/>
              <w:spacing w:line="160" w:lineRule="exact"/>
              <w:ind w:right="71"/>
              <w:jc w:val="right"/>
              <w:rPr>
                <w:sz w:val="14"/>
              </w:rPr>
            </w:pPr>
            <w:r>
              <w:rPr>
                <w:sz w:val="14"/>
              </w:rPr>
              <w:t>19,080.00</w:t>
            </w:r>
          </w:p>
        </w:tc>
        <w:tc>
          <w:tcPr>
            <w:tcW w:w="2069" w:type="dxa"/>
          </w:tcPr>
          <w:p>
            <w:pPr>
              <w:pStyle w:val="TableParagraph"/>
              <w:spacing w:line="160" w:lineRule="exact"/>
              <w:ind w:right="628"/>
              <w:jc w:val="right"/>
              <w:rPr>
                <w:sz w:val="14"/>
              </w:rPr>
            </w:pPr>
            <w:r>
              <w:rPr>
                <w:sz w:val="14"/>
              </w:rPr>
              <w:t>19,345.00</w:t>
            </w:r>
          </w:p>
        </w:tc>
        <w:tc>
          <w:tcPr>
            <w:tcW w:w="1007" w:type="dxa"/>
          </w:tcPr>
          <w:p>
            <w:pPr>
              <w:pStyle w:val="TableParagraph"/>
              <w:spacing w:line="160" w:lineRule="exact"/>
              <w:ind w:right="46"/>
              <w:jc w:val="right"/>
              <w:rPr>
                <w:sz w:val="14"/>
              </w:rPr>
            </w:pPr>
            <w:r>
              <w:rPr>
                <w:sz w:val="14"/>
              </w:rPr>
              <w:t>1.4%</w:t>
            </w:r>
          </w:p>
        </w:tc>
      </w:tr>
      <w:tr>
        <w:trPr>
          <w:trHeight w:val="347" w:hRule="atLeast"/>
        </w:trPr>
        <w:tc>
          <w:tcPr>
            <w:tcW w:w="5342" w:type="dxa"/>
          </w:tcPr>
          <w:p>
            <w:pPr>
              <w:pStyle w:val="TableParagraph"/>
              <w:spacing w:before="92"/>
              <w:ind w:left="213"/>
              <w:rPr>
                <w:sz w:val="14"/>
              </w:rPr>
            </w:pPr>
            <w:r>
              <w:rPr>
                <w:w w:val="105"/>
                <w:sz w:val="14"/>
              </w:rPr>
              <w:t>b) Audit Adjustments</w:t>
            </w:r>
          </w:p>
        </w:tc>
        <w:tc>
          <w:tcPr>
            <w:tcW w:w="693" w:type="dxa"/>
          </w:tcPr>
          <w:p>
            <w:pPr>
              <w:pStyle w:val="TableParagraph"/>
              <w:spacing w:before="92"/>
              <w:ind w:left="50"/>
              <w:rPr>
                <w:sz w:val="14"/>
              </w:rPr>
            </w:pPr>
            <w:r>
              <w:rPr>
                <w:w w:val="105"/>
                <w:sz w:val="14"/>
              </w:rPr>
              <w:t>9793</w:t>
            </w:r>
          </w:p>
        </w:tc>
        <w:tc>
          <w:tcPr>
            <w:tcW w:w="1512" w:type="dxa"/>
          </w:tcPr>
          <w:p>
            <w:pPr>
              <w:pStyle w:val="TableParagraph"/>
              <w:spacing w:before="92"/>
              <w:ind w:right="71"/>
              <w:jc w:val="right"/>
              <w:rPr>
                <w:sz w:val="14"/>
              </w:rPr>
            </w:pPr>
            <w:r>
              <w:rPr>
                <w:sz w:val="14"/>
              </w:rPr>
              <w:t>0.00</w:t>
            </w:r>
          </w:p>
        </w:tc>
        <w:tc>
          <w:tcPr>
            <w:tcW w:w="2069" w:type="dxa"/>
          </w:tcPr>
          <w:p>
            <w:pPr>
              <w:pStyle w:val="TableParagraph"/>
              <w:spacing w:before="92"/>
              <w:ind w:right="628"/>
              <w:jc w:val="right"/>
              <w:rPr>
                <w:sz w:val="14"/>
              </w:rPr>
            </w:pPr>
            <w:r>
              <w:rPr>
                <w:sz w:val="14"/>
              </w:rPr>
              <w:t>0.00</w:t>
            </w:r>
          </w:p>
        </w:tc>
        <w:tc>
          <w:tcPr>
            <w:tcW w:w="1007" w:type="dxa"/>
          </w:tcPr>
          <w:p>
            <w:pPr>
              <w:pStyle w:val="TableParagraph"/>
              <w:spacing w:before="92"/>
              <w:ind w:right="46"/>
              <w:jc w:val="right"/>
              <w:rPr>
                <w:sz w:val="14"/>
              </w:rPr>
            </w:pPr>
            <w:r>
              <w:rPr>
                <w:sz w:val="14"/>
              </w:rPr>
              <w:t>0.0%</w:t>
            </w:r>
          </w:p>
        </w:tc>
      </w:tr>
      <w:tr>
        <w:trPr>
          <w:trHeight w:val="347" w:hRule="atLeast"/>
        </w:trPr>
        <w:tc>
          <w:tcPr>
            <w:tcW w:w="5342" w:type="dxa"/>
          </w:tcPr>
          <w:p>
            <w:pPr>
              <w:pStyle w:val="TableParagraph"/>
              <w:spacing w:before="92"/>
              <w:ind w:left="213"/>
              <w:rPr>
                <w:sz w:val="14"/>
              </w:rPr>
            </w:pPr>
            <w:r>
              <w:rPr>
                <w:w w:val="105"/>
                <w:sz w:val="14"/>
              </w:rPr>
              <w:t>c) As of July 1 - Audited (F1a + F1b)</w:t>
            </w:r>
          </w:p>
        </w:tc>
        <w:tc>
          <w:tcPr>
            <w:tcW w:w="693" w:type="dxa"/>
          </w:tcPr>
          <w:p>
            <w:pPr>
              <w:pStyle w:val="TableParagraph"/>
              <w:rPr>
                <w:rFonts w:ascii="Times New Roman"/>
                <w:sz w:val="14"/>
              </w:rPr>
            </w:pPr>
          </w:p>
        </w:tc>
        <w:tc>
          <w:tcPr>
            <w:tcW w:w="1512" w:type="dxa"/>
          </w:tcPr>
          <w:p>
            <w:pPr>
              <w:pStyle w:val="TableParagraph"/>
              <w:spacing w:before="92"/>
              <w:ind w:right="71"/>
              <w:jc w:val="right"/>
              <w:rPr>
                <w:sz w:val="14"/>
              </w:rPr>
            </w:pPr>
            <w:r>
              <w:rPr>
                <w:sz w:val="14"/>
              </w:rPr>
              <w:t>19,080.00</w:t>
            </w:r>
          </w:p>
        </w:tc>
        <w:tc>
          <w:tcPr>
            <w:tcW w:w="2069" w:type="dxa"/>
          </w:tcPr>
          <w:p>
            <w:pPr>
              <w:pStyle w:val="TableParagraph"/>
              <w:spacing w:before="92"/>
              <w:ind w:right="628"/>
              <w:jc w:val="right"/>
              <w:rPr>
                <w:sz w:val="14"/>
              </w:rPr>
            </w:pPr>
            <w:r>
              <w:rPr>
                <w:sz w:val="14"/>
              </w:rPr>
              <w:t>19,345.00</w:t>
            </w:r>
          </w:p>
        </w:tc>
        <w:tc>
          <w:tcPr>
            <w:tcW w:w="1007" w:type="dxa"/>
          </w:tcPr>
          <w:p>
            <w:pPr>
              <w:pStyle w:val="TableParagraph"/>
              <w:spacing w:before="92"/>
              <w:ind w:right="46"/>
              <w:jc w:val="right"/>
              <w:rPr>
                <w:sz w:val="14"/>
              </w:rPr>
            </w:pPr>
            <w:r>
              <w:rPr>
                <w:sz w:val="14"/>
              </w:rPr>
              <w:t>1.4%</w:t>
            </w:r>
          </w:p>
        </w:tc>
      </w:tr>
      <w:tr>
        <w:trPr>
          <w:trHeight w:val="347" w:hRule="atLeast"/>
        </w:trPr>
        <w:tc>
          <w:tcPr>
            <w:tcW w:w="5342" w:type="dxa"/>
          </w:tcPr>
          <w:p>
            <w:pPr>
              <w:pStyle w:val="TableParagraph"/>
              <w:spacing w:before="92"/>
              <w:ind w:left="213"/>
              <w:rPr>
                <w:sz w:val="14"/>
              </w:rPr>
            </w:pPr>
            <w:r>
              <w:rPr>
                <w:w w:val="105"/>
                <w:sz w:val="14"/>
              </w:rPr>
              <w:t>d) Other Restatements</w:t>
            </w:r>
          </w:p>
        </w:tc>
        <w:tc>
          <w:tcPr>
            <w:tcW w:w="693" w:type="dxa"/>
          </w:tcPr>
          <w:p>
            <w:pPr>
              <w:pStyle w:val="TableParagraph"/>
              <w:spacing w:before="92"/>
              <w:ind w:left="50"/>
              <w:rPr>
                <w:sz w:val="14"/>
              </w:rPr>
            </w:pPr>
            <w:r>
              <w:rPr>
                <w:w w:val="105"/>
                <w:sz w:val="14"/>
              </w:rPr>
              <w:t>9795</w:t>
            </w:r>
          </w:p>
        </w:tc>
        <w:tc>
          <w:tcPr>
            <w:tcW w:w="1512" w:type="dxa"/>
          </w:tcPr>
          <w:p>
            <w:pPr>
              <w:pStyle w:val="TableParagraph"/>
              <w:spacing w:before="92"/>
              <w:ind w:right="71"/>
              <w:jc w:val="right"/>
              <w:rPr>
                <w:sz w:val="14"/>
              </w:rPr>
            </w:pPr>
            <w:r>
              <w:rPr>
                <w:sz w:val="14"/>
              </w:rPr>
              <w:t>0.00</w:t>
            </w:r>
          </w:p>
        </w:tc>
        <w:tc>
          <w:tcPr>
            <w:tcW w:w="2069" w:type="dxa"/>
          </w:tcPr>
          <w:p>
            <w:pPr>
              <w:pStyle w:val="TableParagraph"/>
              <w:spacing w:before="92"/>
              <w:ind w:right="628"/>
              <w:jc w:val="right"/>
              <w:rPr>
                <w:sz w:val="14"/>
              </w:rPr>
            </w:pPr>
            <w:r>
              <w:rPr>
                <w:sz w:val="14"/>
              </w:rPr>
              <w:t>0.00</w:t>
            </w:r>
          </w:p>
        </w:tc>
        <w:tc>
          <w:tcPr>
            <w:tcW w:w="1007" w:type="dxa"/>
          </w:tcPr>
          <w:p>
            <w:pPr>
              <w:pStyle w:val="TableParagraph"/>
              <w:spacing w:before="92"/>
              <w:ind w:right="46"/>
              <w:jc w:val="right"/>
              <w:rPr>
                <w:sz w:val="14"/>
              </w:rPr>
            </w:pPr>
            <w:r>
              <w:rPr>
                <w:sz w:val="14"/>
              </w:rPr>
              <w:t>0.0%</w:t>
            </w:r>
          </w:p>
        </w:tc>
      </w:tr>
      <w:tr>
        <w:trPr>
          <w:trHeight w:val="348" w:hRule="atLeast"/>
        </w:trPr>
        <w:tc>
          <w:tcPr>
            <w:tcW w:w="5342" w:type="dxa"/>
          </w:tcPr>
          <w:p>
            <w:pPr>
              <w:pStyle w:val="TableParagraph"/>
              <w:spacing w:before="92"/>
              <w:ind w:left="213"/>
              <w:rPr>
                <w:sz w:val="14"/>
              </w:rPr>
            </w:pPr>
            <w:r>
              <w:rPr>
                <w:w w:val="105"/>
                <w:sz w:val="14"/>
              </w:rPr>
              <w:t>e) Adjusted Beginning Balance (F1c + F1d)</w:t>
            </w:r>
          </w:p>
        </w:tc>
        <w:tc>
          <w:tcPr>
            <w:tcW w:w="693" w:type="dxa"/>
          </w:tcPr>
          <w:p>
            <w:pPr>
              <w:pStyle w:val="TableParagraph"/>
              <w:rPr>
                <w:rFonts w:ascii="Times New Roman"/>
                <w:sz w:val="14"/>
              </w:rPr>
            </w:pPr>
          </w:p>
        </w:tc>
        <w:tc>
          <w:tcPr>
            <w:tcW w:w="1512" w:type="dxa"/>
          </w:tcPr>
          <w:p>
            <w:pPr>
              <w:pStyle w:val="TableParagraph"/>
              <w:spacing w:before="92"/>
              <w:ind w:right="71"/>
              <w:jc w:val="right"/>
              <w:rPr>
                <w:sz w:val="14"/>
              </w:rPr>
            </w:pPr>
            <w:r>
              <w:rPr>
                <w:sz w:val="14"/>
              </w:rPr>
              <w:t>19,080.00</w:t>
            </w:r>
          </w:p>
        </w:tc>
        <w:tc>
          <w:tcPr>
            <w:tcW w:w="2069" w:type="dxa"/>
          </w:tcPr>
          <w:p>
            <w:pPr>
              <w:pStyle w:val="TableParagraph"/>
              <w:spacing w:before="92"/>
              <w:ind w:right="628"/>
              <w:jc w:val="right"/>
              <w:rPr>
                <w:sz w:val="14"/>
              </w:rPr>
            </w:pPr>
            <w:r>
              <w:rPr>
                <w:sz w:val="14"/>
              </w:rPr>
              <w:t>19,345.00</w:t>
            </w:r>
          </w:p>
        </w:tc>
        <w:tc>
          <w:tcPr>
            <w:tcW w:w="1007" w:type="dxa"/>
          </w:tcPr>
          <w:p>
            <w:pPr>
              <w:pStyle w:val="TableParagraph"/>
              <w:spacing w:before="92"/>
              <w:ind w:right="46"/>
              <w:jc w:val="right"/>
              <w:rPr>
                <w:sz w:val="14"/>
              </w:rPr>
            </w:pPr>
            <w:r>
              <w:rPr>
                <w:sz w:val="14"/>
              </w:rPr>
              <w:t>1.4%</w:t>
            </w:r>
          </w:p>
        </w:tc>
      </w:tr>
      <w:tr>
        <w:trPr>
          <w:trHeight w:val="647" w:hRule="atLeast"/>
        </w:trPr>
        <w:tc>
          <w:tcPr>
            <w:tcW w:w="5342" w:type="dxa"/>
          </w:tcPr>
          <w:p>
            <w:pPr>
              <w:pStyle w:val="TableParagraph"/>
              <w:numPr>
                <w:ilvl w:val="0"/>
                <w:numId w:val="23"/>
              </w:numPr>
              <w:tabs>
                <w:tab w:pos="217" w:val="left" w:leader="none"/>
              </w:tabs>
              <w:spacing w:line="292" w:lineRule="auto" w:before="92" w:after="0"/>
              <w:ind w:left="213" w:right="2748" w:hanging="164"/>
              <w:jc w:val="left"/>
              <w:rPr>
                <w:sz w:val="14"/>
              </w:rPr>
            </w:pPr>
            <w:r>
              <w:rPr>
                <w:w w:val="105"/>
                <w:sz w:val="14"/>
              </w:rPr>
              <w:t>Ending Balance, June 30 (E + F1e) Components</w:t>
            </w:r>
            <w:r>
              <w:rPr>
                <w:spacing w:val="-14"/>
                <w:w w:val="105"/>
                <w:sz w:val="14"/>
              </w:rPr>
              <w:t> </w:t>
            </w:r>
            <w:r>
              <w:rPr>
                <w:w w:val="105"/>
                <w:sz w:val="14"/>
              </w:rPr>
              <w:t>of</w:t>
            </w:r>
            <w:r>
              <w:rPr>
                <w:spacing w:val="-13"/>
                <w:w w:val="105"/>
                <w:sz w:val="14"/>
              </w:rPr>
              <w:t> </w:t>
            </w:r>
            <w:r>
              <w:rPr>
                <w:w w:val="105"/>
                <w:sz w:val="14"/>
              </w:rPr>
              <w:t>Ending</w:t>
            </w:r>
            <w:r>
              <w:rPr>
                <w:spacing w:val="-14"/>
                <w:w w:val="105"/>
                <w:sz w:val="14"/>
              </w:rPr>
              <w:t> </w:t>
            </w:r>
            <w:r>
              <w:rPr>
                <w:w w:val="105"/>
                <w:sz w:val="14"/>
              </w:rPr>
              <w:t>Fund</w:t>
            </w:r>
            <w:r>
              <w:rPr>
                <w:spacing w:val="-15"/>
                <w:w w:val="105"/>
                <w:sz w:val="14"/>
              </w:rPr>
              <w:t> </w:t>
            </w:r>
            <w:r>
              <w:rPr>
                <w:spacing w:val="-3"/>
                <w:w w:val="105"/>
                <w:sz w:val="14"/>
              </w:rPr>
              <w:t>Balance</w:t>
            </w:r>
          </w:p>
          <w:p>
            <w:pPr>
              <w:pStyle w:val="TableParagraph"/>
              <w:numPr>
                <w:ilvl w:val="1"/>
                <w:numId w:val="23"/>
              </w:numPr>
              <w:tabs>
                <w:tab w:pos="381" w:val="left" w:leader="none"/>
              </w:tabs>
              <w:spacing w:line="142" w:lineRule="exact" w:before="1" w:after="0"/>
              <w:ind w:left="380" w:right="0" w:hanging="168"/>
              <w:jc w:val="left"/>
              <w:rPr>
                <w:sz w:val="14"/>
              </w:rPr>
            </w:pPr>
            <w:r>
              <w:rPr>
                <w:w w:val="105"/>
                <w:sz w:val="14"/>
              </w:rPr>
              <w:t>Nonspendable</w:t>
            </w:r>
          </w:p>
        </w:tc>
        <w:tc>
          <w:tcPr>
            <w:tcW w:w="693" w:type="dxa"/>
          </w:tcPr>
          <w:p>
            <w:pPr>
              <w:pStyle w:val="TableParagraph"/>
              <w:rPr>
                <w:rFonts w:ascii="Times New Roman"/>
                <w:sz w:val="14"/>
              </w:rPr>
            </w:pPr>
          </w:p>
        </w:tc>
        <w:tc>
          <w:tcPr>
            <w:tcW w:w="1512" w:type="dxa"/>
          </w:tcPr>
          <w:p>
            <w:pPr>
              <w:pStyle w:val="TableParagraph"/>
              <w:spacing w:before="92"/>
              <w:ind w:right="71"/>
              <w:jc w:val="right"/>
              <w:rPr>
                <w:sz w:val="14"/>
              </w:rPr>
            </w:pPr>
            <w:r>
              <w:rPr>
                <w:sz w:val="14"/>
              </w:rPr>
              <w:t>19,345.00</w:t>
            </w:r>
          </w:p>
        </w:tc>
        <w:tc>
          <w:tcPr>
            <w:tcW w:w="2069" w:type="dxa"/>
          </w:tcPr>
          <w:p>
            <w:pPr>
              <w:pStyle w:val="TableParagraph"/>
              <w:spacing w:before="92"/>
              <w:ind w:right="628"/>
              <w:jc w:val="right"/>
              <w:rPr>
                <w:sz w:val="14"/>
              </w:rPr>
            </w:pPr>
            <w:r>
              <w:rPr>
                <w:sz w:val="14"/>
              </w:rPr>
              <w:t>19,610.00</w:t>
            </w:r>
          </w:p>
        </w:tc>
        <w:tc>
          <w:tcPr>
            <w:tcW w:w="1007" w:type="dxa"/>
          </w:tcPr>
          <w:p>
            <w:pPr>
              <w:pStyle w:val="TableParagraph"/>
              <w:spacing w:before="92"/>
              <w:ind w:right="46"/>
              <w:jc w:val="right"/>
              <w:rPr>
                <w:sz w:val="14"/>
              </w:rPr>
            </w:pPr>
            <w:r>
              <w:rPr>
                <w:sz w:val="14"/>
              </w:rPr>
              <w:t>1.4%</w:t>
            </w:r>
          </w:p>
        </w:tc>
      </w:tr>
      <w:tr>
        <w:trPr>
          <w:trHeight w:val="290" w:hRule="atLeast"/>
        </w:trPr>
        <w:tc>
          <w:tcPr>
            <w:tcW w:w="5342" w:type="dxa"/>
          </w:tcPr>
          <w:p>
            <w:pPr>
              <w:pStyle w:val="TableParagraph"/>
              <w:spacing w:before="35"/>
              <w:ind w:left="416"/>
              <w:rPr>
                <w:sz w:val="14"/>
              </w:rPr>
            </w:pPr>
            <w:r>
              <w:rPr>
                <w:w w:val="105"/>
                <w:sz w:val="14"/>
              </w:rPr>
              <w:t>Revolving Cash</w:t>
            </w:r>
          </w:p>
        </w:tc>
        <w:tc>
          <w:tcPr>
            <w:tcW w:w="693" w:type="dxa"/>
          </w:tcPr>
          <w:p>
            <w:pPr>
              <w:pStyle w:val="TableParagraph"/>
              <w:spacing w:before="35"/>
              <w:ind w:left="50"/>
              <w:rPr>
                <w:sz w:val="14"/>
              </w:rPr>
            </w:pPr>
            <w:r>
              <w:rPr>
                <w:w w:val="105"/>
                <w:sz w:val="14"/>
              </w:rPr>
              <w:t>9711</w:t>
            </w:r>
          </w:p>
        </w:tc>
        <w:tc>
          <w:tcPr>
            <w:tcW w:w="1512" w:type="dxa"/>
          </w:tcPr>
          <w:p>
            <w:pPr>
              <w:pStyle w:val="TableParagraph"/>
              <w:spacing w:before="35"/>
              <w:ind w:right="71"/>
              <w:jc w:val="right"/>
              <w:rPr>
                <w:sz w:val="14"/>
              </w:rPr>
            </w:pPr>
            <w:r>
              <w:rPr>
                <w:sz w:val="14"/>
              </w:rPr>
              <w:t>0.00</w:t>
            </w:r>
          </w:p>
        </w:tc>
        <w:tc>
          <w:tcPr>
            <w:tcW w:w="2069" w:type="dxa"/>
          </w:tcPr>
          <w:p>
            <w:pPr>
              <w:pStyle w:val="TableParagraph"/>
              <w:spacing w:before="35"/>
              <w:ind w:right="628"/>
              <w:jc w:val="right"/>
              <w:rPr>
                <w:sz w:val="14"/>
              </w:rPr>
            </w:pPr>
            <w:r>
              <w:rPr>
                <w:sz w:val="14"/>
              </w:rPr>
              <w:t>0.00</w:t>
            </w:r>
          </w:p>
        </w:tc>
        <w:tc>
          <w:tcPr>
            <w:tcW w:w="1007" w:type="dxa"/>
          </w:tcPr>
          <w:p>
            <w:pPr>
              <w:pStyle w:val="TableParagraph"/>
              <w:spacing w:before="35"/>
              <w:ind w:right="46"/>
              <w:jc w:val="right"/>
              <w:rPr>
                <w:sz w:val="14"/>
              </w:rPr>
            </w:pPr>
            <w:r>
              <w:rPr>
                <w:sz w:val="14"/>
              </w:rPr>
              <w:t>0.0%</w:t>
            </w:r>
          </w:p>
        </w:tc>
      </w:tr>
      <w:tr>
        <w:trPr>
          <w:trHeight w:val="347" w:hRule="atLeast"/>
        </w:trPr>
        <w:tc>
          <w:tcPr>
            <w:tcW w:w="5342" w:type="dxa"/>
          </w:tcPr>
          <w:p>
            <w:pPr>
              <w:pStyle w:val="TableParagraph"/>
              <w:spacing w:before="92"/>
              <w:ind w:left="416"/>
              <w:rPr>
                <w:sz w:val="14"/>
              </w:rPr>
            </w:pPr>
            <w:r>
              <w:rPr>
                <w:w w:val="105"/>
                <w:sz w:val="14"/>
              </w:rPr>
              <w:t>Stores</w:t>
            </w:r>
          </w:p>
        </w:tc>
        <w:tc>
          <w:tcPr>
            <w:tcW w:w="693" w:type="dxa"/>
          </w:tcPr>
          <w:p>
            <w:pPr>
              <w:pStyle w:val="TableParagraph"/>
              <w:spacing w:before="92"/>
              <w:ind w:left="50"/>
              <w:rPr>
                <w:sz w:val="14"/>
              </w:rPr>
            </w:pPr>
            <w:r>
              <w:rPr>
                <w:w w:val="105"/>
                <w:sz w:val="14"/>
              </w:rPr>
              <w:t>9712</w:t>
            </w:r>
          </w:p>
        </w:tc>
        <w:tc>
          <w:tcPr>
            <w:tcW w:w="1512" w:type="dxa"/>
          </w:tcPr>
          <w:p>
            <w:pPr>
              <w:pStyle w:val="TableParagraph"/>
              <w:spacing w:before="92"/>
              <w:ind w:right="71"/>
              <w:jc w:val="right"/>
              <w:rPr>
                <w:sz w:val="14"/>
              </w:rPr>
            </w:pPr>
            <w:r>
              <w:rPr>
                <w:sz w:val="14"/>
              </w:rPr>
              <w:t>0.00</w:t>
            </w:r>
          </w:p>
        </w:tc>
        <w:tc>
          <w:tcPr>
            <w:tcW w:w="2069" w:type="dxa"/>
          </w:tcPr>
          <w:p>
            <w:pPr>
              <w:pStyle w:val="TableParagraph"/>
              <w:spacing w:before="92"/>
              <w:ind w:right="628"/>
              <w:jc w:val="right"/>
              <w:rPr>
                <w:sz w:val="14"/>
              </w:rPr>
            </w:pPr>
            <w:r>
              <w:rPr>
                <w:sz w:val="14"/>
              </w:rPr>
              <w:t>0.00</w:t>
            </w:r>
          </w:p>
        </w:tc>
        <w:tc>
          <w:tcPr>
            <w:tcW w:w="1007" w:type="dxa"/>
          </w:tcPr>
          <w:p>
            <w:pPr>
              <w:pStyle w:val="TableParagraph"/>
              <w:spacing w:before="92"/>
              <w:ind w:right="46"/>
              <w:jc w:val="right"/>
              <w:rPr>
                <w:sz w:val="14"/>
              </w:rPr>
            </w:pPr>
            <w:r>
              <w:rPr>
                <w:sz w:val="14"/>
              </w:rPr>
              <w:t>0.0%</w:t>
            </w:r>
          </w:p>
        </w:tc>
      </w:tr>
      <w:tr>
        <w:trPr>
          <w:trHeight w:val="257" w:hRule="atLeast"/>
        </w:trPr>
        <w:tc>
          <w:tcPr>
            <w:tcW w:w="5342" w:type="dxa"/>
          </w:tcPr>
          <w:p>
            <w:pPr>
              <w:pStyle w:val="TableParagraph"/>
              <w:spacing w:line="145" w:lineRule="exact" w:before="92"/>
              <w:ind w:left="416"/>
              <w:rPr>
                <w:sz w:val="14"/>
              </w:rPr>
            </w:pPr>
            <w:r>
              <w:rPr>
                <w:w w:val="105"/>
                <w:sz w:val="14"/>
              </w:rPr>
              <w:t>Prepaid Items</w:t>
            </w:r>
          </w:p>
        </w:tc>
        <w:tc>
          <w:tcPr>
            <w:tcW w:w="693" w:type="dxa"/>
          </w:tcPr>
          <w:p>
            <w:pPr>
              <w:pStyle w:val="TableParagraph"/>
              <w:spacing w:line="145" w:lineRule="exact" w:before="92"/>
              <w:ind w:left="50"/>
              <w:rPr>
                <w:sz w:val="14"/>
              </w:rPr>
            </w:pPr>
            <w:r>
              <w:rPr>
                <w:w w:val="105"/>
                <w:sz w:val="14"/>
              </w:rPr>
              <w:t>9713</w:t>
            </w:r>
          </w:p>
        </w:tc>
        <w:tc>
          <w:tcPr>
            <w:tcW w:w="1512" w:type="dxa"/>
          </w:tcPr>
          <w:p>
            <w:pPr>
              <w:pStyle w:val="TableParagraph"/>
              <w:spacing w:line="145" w:lineRule="exact" w:before="92"/>
              <w:ind w:right="71"/>
              <w:jc w:val="right"/>
              <w:rPr>
                <w:sz w:val="14"/>
              </w:rPr>
            </w:pPr>
            <w:r>
              <w:rPr>
                <w:sz w:val="14"/>
              </w:rPr>
              <w:t>0.00</w:t>
            </w:r>
          </w:p>
        </w:tc>
        <w:tc>
          <w:tcPr>
            <w:tcW w:w="2069" w:type="dxa"/>
          </w:tcPr>
          <w:p>
            <w:pPr>
              <w:pStyle w:val="TableParagraph"/>
              <w:spacing w:line="145" w:lineRule="exact" w:before="92"/>
              <w:ind w:right="628"/>
              <w:jc w:val="right"/>
              <w:rPr>
                <w:sz w:val="14"/>
              </w:rPr>
            </w:pPr>
            <w:r>
              <w:rPr>
                <w:sz w:val="14"/>
              </w:rPr>
              <w:t>0.00</w:t>
            </w:r>
          </w:p>
        </w:tc>
        <w:tc>
          <w:tcPr>
            <w:tcW w:w="1007" w:type="dxa"/>
          </w:tcPr>
          <w:p>
            <w:pPr>
              <w:pStyle w:val="TableParagraph"/>
              <w:spacing w:line="145" w:lineRule="exact" w:before="92"/>
              <w:ind w:right="46"/>
              <w:jc w:val="right"/>
              <w:rPr>
                <w:sz w:val="14"/>
              </w:rPr>
            </w:pPr>
            <w:r>
              <w:rPr>
                <w:sz w:val="14"/>
              </w:rPr>
              <w:t>0.0%</w:t>
            </w:r>
          </w:p>
        </w:tc>
      </w:tr>
      <w:tr>
        <w:trPr>
          <w:trHeight w:val="347" w:hRule="atLeast"/>
        </w:trPr>
        <w:tc>
          <w:tcPr>
            <w:tcW w:w="5342" w:type="dxa"/>
          </w:tcPr>
          <w:p>
            <w:pPr>
              <w:pStyle w:val="TableParagraph"/>
              <w:spacing w:before="10"/>
              <w:rPr>
                <w:sz w:val="15"/>
              </w:rPr>
            </w:pPr>
          </w:p>
          <w:p>
            <w:pPr>
              <w:pStyle w:val="TableParagraph"/>
              <w:spacing w:line="145" w:lineRule="exact"/>
              <w:ind w:left="416"/>
              <w:rPr>
                <w:sz w:val="14"/>
              </w:rPr>
            </w:pPr>
            <w:r>
              <w:rPr>
                <w:w w:val="105"/>
                <w:sz w:val="14"/>
              </w:rPr>
              <w:t>All Others</w:t>
            </w:r>
          </w:p>
        </w:tc>
        <w:tc>
          <w:tcPr>
            <w:tcW w:w="693" w:type="dxa"/>
          </w:tcPr>
          <w:p>
            <w:pPr>
              <w:pStyle w:val="TableParagraph"/>
              <w:spacing w:before="10"/>
              <w:rPr>
                <w:sz w:val="15"/>
              </w:rPr>
            </w:pPr>
          </w:p>
          <w:p>
            <w:pPr>
              <w:pStyle w:val="TableParagraph"/>
              <w:spacing w:line="145" w:lineRule="exact"/>
              <w:ind w:left="50"/>
              <w:rPr>
                <w:sz w:val="14"/>
              </w:rPr>
            </w:pPr>
            <w:r>
              <w:rPr>
                <w:w w:val="105"/>
                <w:sz w:val="14"/>
              </w:rPr>
              <w:t>9719</w:t>
            </w:r>
          </w:p>
        </w:tc>
        <w:tc>
          <w:tcPr>
            <w:tcW w:w="1512" w:type="dxa"/>
          </w:tcPr>
          <w:p>
            <w:pPr>
              <w:pStyle w:val="TableParagraph"/>
              <w:spacing w:before="10"/>
              <w:rPr>
                <w:sz w:val="15"/>
              </w:rPr>
            </w:pPr>
          </w:p>
          <w:p>
            <w:pPr>
              <w:pStyle w:val="TableParagraph"/>
              <w:spacing w:line="145" w:lineRule="exact"/>
              <w:ind w:right="71"/>
              <w:jc w:val="right"/>
              <w:rPr>
                <w:sz w:val="14"/>
              </w:rPr>
            </w:pPr>
            <w:r>
              <w:rPr>
                <w:sz w:val="14"/>
              </w:rPr>
              <w:t>0.00</w:t>
            </w:r>
          </w:p>
        </w:tc>
        <w:tc>
          <w:tcPr>
            <w:tcW w:w="2069" w:type="dxa"/>
            <w:shd w:val="clear" w:color="auto" w:fill="DFDFDF"/>
          </w:tcPr>
          <w:p>
            <w:pPr>
              <w:pStyle w:val="TableParagraph"/>
              <w:spacing w:before="10"/>
              <w:rPr>
                <w:sz w:val="15"/>
              </w:rPr>
            </w:pPr>
          </w:p>
          <w:p>
            <w:pPr>
              <w:pStyle w:val="TableParagraph"/>
              <w:spacing w:line="145" w:lineRule="exact"/>
              <w:ind w:right="628"/>
              <w:jc w:val="right"/>
              <w:rPr>
                <w:sz w:val="14"/>
              </w:rPr>
            </w:pPr>
            <w:r>
              <w:rPr>
                <w:sz w:val="14"/>
              </w:rPr>
              <w:t>0.00</w:t>
            </w:r>
          </w:p>
        </w:tc>
        <w:tc>
          <w:tcPr>
            <w:tcW w:w="1007" w:type="dxa"/>
            <w:shd w:val="clear" w:color="auto" w:fill="DFDFDF"/>
          </w:tcPr>
          <w:p>
            <w:pPr>
              <w:pStyle w:val="TableParagraph"/>
              <w:spacing w:before="10"/>
              <w:rPr>
                <w:sz w:val="15"/>
              </w:rPr>
            </w:pPr>
          </w:p>
          <w:p>
            <w:pPr>
              <w:pStyle w:val="TableParagraph"/>
              <w:spacing w:line="145" w:lineRule="exact"/>
              <w:ind w:right="46"/>
              <w:jc w:val="right"/>
              <w:rPr>
                <w:sz w:val="14"/>
              </w:rPr>
            </w:pPr>
            <w:r>
              <w:rPr>
                <w:sz w:val="14"/>
              </w:rPr>
              <w:t>0.0%</w:t>
            </w:r>
          </w:p>
        </w:tc>
      </w:tr>
      <w:tr>
        <w:trPr>
          <w:trHeight w:val="348" w:hRule="atLeast"/>
        </w:trPr>
        <w:tc>
          <w:tcPr>
            <w:tcW w:w="6035" w:type="dxa"/>
            <w:gridSpan w:val="2"/>
          </w:tcPr>
          <w:p>
            <w:pPr>
              <w:pStyle w:val="TableParagraph"/>
              <w:tabs>
                <w:tab w:pos="5709" w:val="right" w:leader="none"/>
              </w:tabs>
              <w:spacing w:line="145" w:lineRule="exact" w:before="183"/>
              <w:ind w:left="213"/>
              <w:rPr>
                <w:sz w:val="14"/>
              </w:rPr>
            </w:pPr>
            <w:r>
              <w:rPr>
                <w:w w:val="105"/>
                <w:sz w:val="14"/>
              </w:rPr>
              <w:t>b)</w:t>
            </w:r>
            <w:r>
              <w:rPr>
                <w:spacing w:val="-2"/>
                <w:w w:val="105"/>
                <w:sz w:val="14"/>
              </w:rPr>
              <w:t> </w:t>
            </w:r>
            <w:r>
              <w:rPr>
                <w:w w:val="105"/>
                <w:sz w:val="14"/>
              </w:rPr>
              <w:t>Restricted</w:t>
              <w:tab/>
              <w:t>9740</w:t>
            </w:r>
          </w:p>
        </w:tc>
        <w:tc>
          <w:tcPr>
            <w:tcW w:w="1512" w:type="dxa"/>
          </w:tcPr>
          <w:p>
            <w:pPr>
              <w:pStyle w:val="TableParagraph"/>
              <w:spacing w:before="10"/>
              <w:rPr>
                <w:sz w:val="15"/>
              </w:rPr>
            </w:pPr>
          </w:p>
          <w:p>
            <w:pPr>
              <w:pStyle w:val="TableParagraph"/>
              <w:spacing w:line="145" w:lineRule="exact"/>
              <w:ind w:right="71"/>
              <w:jc w:val="right"/>
              <w:rPr>
                <w:sz w:val="14"/>
              </w:rPr>
            </w:pPr>
            <w:r>
              <w:rPr>
                <w:sz w:val="14"/>
              </w:rPr>
              <w:t>0.00</w:t>
            </w:r>
          </w:p>
        </w:tc>
        <w:tc>
          <w:tcPr>
            <w:tcW w:w="2069" w:type="dxa"/>
          </w:tcPr>
          <w:p>
            <w:pPr>
              <w:pStyle w:val="TableParagraph"/>
              <w:spacing w:before="10"/>
              <w:rPr>
                <w:sz w:val="15"/>
              </w:rPr>
            </w:pPr>
          </w:p>
          <w:p>
            <w:pPr>
              <w:pStyle w:val="TableParagraph"/>
              <w:spacing w:line="145" w:lineRule="exact"/>
              <w:ind w:right="628"/>
              <w:jc w:val="right"/>
              <w:rPr>
                <w:sz w:val="14"/>
              </w:rPr>
            </w:pPr>
            <w:r>
              <w:rPr>
                <w:sz w:val="14"/>
              </w:rPr>
              <w:t>0.00</w:t>
            </w:r>
          </w:p>
        </w:tc>
        <w:tc>
          <w:tcPr>
            <w:tcW w:w="1007" w:type="dxa"/>
          </w:tcPr>
          <w:p>
            <w:pPr>
              <w:pStyle w:val="TableParagraph"/>
              <w:spacing w:before="10"/>
              <w:rPr>
                <w:sz w:val="15"/>
              </w:rPr>
            </w:pPr>
          </w:p>
          <w:p>
            <w:pPr>
              <w:pStyle w:val="TableParagraph"/>
              <w:spacing w:line="145" w:lineRule="exact"/>
              <w:ind w:right="46"/>
              <w:jc w:val="right"/>
              <w:rPr>
                <w:sz w:val="14"/>
              </w:rPr>
            </w:pPr>
            <w:r>
              <w:rPr>
                <w:sz w:val="14"/>
              </w:rPr>
              <w:t>0.0%</w:t>
            </w:r>
          </w:p>
        </w:tc>
      </w:tr>
      <w:tr>
        <w:trPr>
          <w:trHeight w:val="347" w:hRule="atLeast"/>
        </w:trPr>
        <w:tc>
          <w:tcPr>
            <w:tcW w:w="6035" w:type="dxa"/>
            <w:gridSpan w:val="2"/>
          </w:tcPr>
          <w:p>
            <w:pPr>
              <w:pStyle w:val="TableParagraph"/>
              <w:spacing w:before="10"/>
              <w:rPr>
                <w:sz w:val="15"/>
              </w:rPr>
            </w:pPr>
          </w:p>
          <w:p>
            <w:pPr>
              <w:pStyle w:val="TableParagraph"/>
              <w:spacing w:line="145" w:lineRule="exact"/>
              <w:ind w:left="213"/>
              <w:rPr>
                <w:sz w:val="14"/>
              </w:rPr>
            </w:pPr>
            <w:r>
              <w:rPr>
                <w:w w:val="105"/>
                <w:sz w:val="14"/>
              </w:rPr>
              <w:t>c) Committed</w:t>
            </w:r>
          </w:p>
        </w:tc>
        <w:tc>
          <w:tcPr>
            <w:tcW w:w="1512" w:type="dxa"/>
            <w:shd w:val="clear" w:color="auto" w:fill="DFDFDF"/>
          </w:tcPr>
          <w:p>
            <w:pPr>
              <w:pStyle w:val="TableParagraph"/>
              <w:rPr>
                <w:rFonts w:ascii="Times New Roman"/>
                <w:sz w:val="14"/>
              </w:rPr>
            </w:pPr>
          </w:p>
        </w:tc>
        <w:tc>
          <w:tcPr>
            <w:tcW w:w="2069" w:type="dxa"/>
            <w:shd w:val="clear" w:color="auto" w:fill="DFDFDF"/>
          </w:tcPr>
          <w:p>
            <w:pPr>
              <w:pStyle w:val="TableParagraph"/>
              <w:rPr>
                <w:rFonts w:ascii="Times New Roman"/>
                <w:sz w:val="14"/>
              </w:rPr>
            </w:pPr>
          </w:p>
        </w:tc>
        <w:tc>
          <w:tcPr>
            <w:tcW w:w="1007" w:type="dxa"/>
            <w:shd w:val="clear" w:color="auto" w:fill="DFDFDF"/>
          </w:tcPr>
          <w:p>
            <w:pPr>
              <w:pStyle w:val="TableParagraph"/>
              <w:rPr>
                <w:rFonts w:ascii="Times New Roman"/>
                <w:sz w:val="14"/>
              </w:rPr>
            </w:pP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7"/>
        </w:rPr>
      </w:pPr>
    </w:p>
    <w:tbl>
      <w:tblPr>
        <w:tblW w:w="0" w:type="auto"/>
        <w:jc w:val="left"/>
        <w:tblInd w:w="9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12"/>
        <w:gridCol w:w="2413"/>
        <w:gridCol w:w="1638"/>
        <w:gridCol w:w="1526"/>
        <w:gridCol w:w="1020"/>
      </w:tblGrid>
      <w:tr>
        <w:trPr>
          <w:trHeight w:val="254" w:hRule="atLeast"/>
        </w:trPr>
        <w:tc>
          <w:tcPr>
            <w:tcW w:w="3712" w:type="dxa"/>
          </w:tcPr>
          <w:p>
            <w:pPr>
              <w:pStyle w:val="TableParagraph"/>
              <w:spacing w:line="160" w:lineRule="exact"/>
              <w:ind w:left="50"/>
              <w:rPr>
                <w:sz w:val="14"/>
              </w:rPr>
            </w:pPr>
            <w:r>
              <w:rPr>
                <w:w w:val="105"/>
                <w:sz w:val="14"/>
              </w:rPr>
              <w:t>Reserve for Economic Uncertainties</w:t>
            </w:r>
          </w:p>
        </w:tc>
        <w:tc>
          <w:tcPr>
            <w:tcW w:w="2413" w:type="dxa"/>
          </w:tcPr>
          <w:p>
            <w:pPr>
              <w:pStyle w:val="TableParagraph"/>
              <w:spacing w:line="160" w:lineRule="exact"/>
              <w:ind w:right="741"/>
              <w:jc w:val="right"/>
              <w:rPr>
                <w:sz w:val="14"/>
              </w:rPr>
            </w:pPr>
            <w:r>
              <w:rPr>
                <w:sz w:val="14"/>
              </w:rPr>
              <w:t>9789</w:t>
            </w:r>
          </w:p>
        </w:tc>
        <w:tc>
          <w:tcPr>
            <w:tcW w:w="1638" w:type="dxa"/>
          </w:tcPr>
          <w:p>
            <w:pPr>
              <w:pStyle w:val="TableParagraph"/>
              <w:spacing w:line="160" w:lineRule="exact"/>
              <w:ind w:right="613"/>
              <w:jc w:val="right"/>
              <w:rPr>
                <w:sz w:val="14"/>
              </w:rPr>
            </w:pPr>
            <w:r>
              <w:rPr>
                <w:sz w:val="14"/>
              </w:rPr>
              <w:t>0.00</w:t>
            </w:r>
          </w:p>
        </w:tc>
        <w:tc>
          <w:tcPr>
            <w:tcW w:w="1526" w:type="dxa"/>
          </w:tcPr>
          <w:p>
            <w:pPr>
              <w:pStyle w:val="TableParagraph"/>
              <w:spacing w:line="160" w:lineRule="exact"/>
              <w:ind w:left="617"/>
              <w:rPr>
                <w:sz w:val="14"/>
              </w:rPr>
            </w:pPr>
            <w:r>
              <w:rPr>
                <w:w w:val="105"/>
                <w:sz w:val="14"/>
              </w:rPr>
              <w:t>0.00</w:t>
            </w:r>
          </w:p>
        </w:tc>
        <w:tc>
          <w:tcPr>
            <w:tcW w:w="1020" w:type="dxa"/>
          </w:tcPr>
          <w:p>
            <w:pPr>
              <w:pStyle w:val="TableParagraph"/>
              <w:spacing w:line="160" w:lineRule="exact"/>
              <w:ind w:right="59"/>
              <w:jc w:val="right"/>
              <w:rPr>
                <w:sz w:val="14"/>
              </w:rPr>
            </w:pPr>
            <w:r>
              <w:rPr>
                <w:sz w:val="14"/>
              </w:rPr>
              <w:t>0.0%</w:t>
            </w:r>
          </w:p>
        </w:tc>
      </w:tr>
      <w:tr>
        <w:trPr>
          <w:trHeight w:val="254" w:hRule="atLeast"/>
        </w:trPr>
        <w:tc>
          <w:tcPr>
            <w:tcW w:w="3712" w:type="dxa"/>
          </w:tcPr>
          <w:p>
            <w:pPr>
              <w:pStyle w:val="TableParagraph"/>
              <w:spacing w:line="142" w:lineRule="exact" w:before="92"/>
              <w:ind w:left="50"/>
              <w:rPr>
                <w:sz w:val="14"/>
              </w:rPr>
            </w:pPr>
            <w:r>
              <w:rPr>
                <w:w w:val="105"/>
                <w:sz w:val="14"/>
              </w:rPr>
              <w:t>Unassigned/Unappropriated Amount</w:t>
            </w:r>
          </w:p>
        </w:tc>
        <w:tc>
          <w:tcPr>
            <w:tcW w:w="2413" w:type="dxa"/>
          </w:tcPr>
          <w:p>
            <w:pPr>
              <w:pStyle w:val="TableParagraph"/>
              <w:spacing w:line="142" w:lineRule="exact" w:before="92"/>
              <w:ind w:right="741"/>
              <w:jc w:val="right"/>
              <w:rPr>
                <w:sz w:val="14"/>
              </w:rPr>
            </w:pPr>
            <w:r>
              <w:rPr>
                <w:sz w:val="14"/>
              </w:rPr>
              <w:t>9790</w:t>
            </w:r>
          </w:p>
        </w:tc>
        <w:tc>
          <w:tcPr>
            <w:tcW w:w="1638" w:type="dxa"/>
          </w:tcPr>
          <w:p>
            <w:pPr>
              <w:pStyle w:val="TableParagraph"/>
              <w:spacing w:line="142" w:lineRule="exact" w:before="92"/>
              <w:ind w:right="613"/>
              <w:jc w:val="right"/>
              <w:rPr>
                <w:sz w:val="14"/>
              </w:rPr>
            </w:pPr>
            <w:r>
              <w:rPr>
                <w:sz w:val="14"/>
              </w:rPr>
              <w:t>0.00</w:t>
            </w:r>
          </w:p>
        </w:tc>
        <w:tc>
          <w:tcPr>
            <w:tcW w:w="1526" w:type="dxa"/>
          </w:tcPr>
          <w:p>
            <w:pPr>
              <w:pStyle w:val="TableParagraph"/>
              <w:spacing w:line="142" w:lineRule="exact" w:before="92"/>
              <w:ind w:left="617"/>
              <w:rPr>
                <w:sz w:val="14"/>
              </w:rPr>
            </w:pPr>
            <w:r>
              <w:rPr>
                <w:w w:val="105"/>
                <w:sz w:val="14"/>
              </w:rPr>
              <w:t>0.00</w:t>
            </w:r>
          </w:p>
        </w:tc>
        <w:tc>
          <w:tcPr>
            <w:tcW w:w="1020" w:type="dxa"/>
          </w:tcPr>
          <w:p>
            <w:pPr>
              <w:pStyle w:val="TableParagraph"/>
              <w:spacing w:line="142" w:lineRule="exact" w:before="92"/>
              <w:ind w:right="59"/>
              <w:jc w:val="right"/>
              <w:rPr>
                <w:sz w:val="14"/>
              </w:rPr>
            </w:pPr>
            <w:r>
              <w:rPr>
                <w:sz w:val="14"/>
              </w:rPr>
              <w:t>0.0%</w:t>
            </w:r>
          </w:p>
        </w:tc>
      </w:tr>
    </w:tbl>
    <w:p>
      <w:pPr>
        <w:spacing w:after="0" w:line="142" w:lineRule="exact"/>
        <w:jc w:val="right"/>
        <w:rPr>
          <w:sz w:val="14"/>
        </w:rPr>
        <w:sectPr>
          <w:type w:val="continuous"/>
          <w:pgSz w:w="12240" w:h="15840"/>
          <w:pgMar w:top="1500" w:bottom="840" w:left="160" w:right="180"/>
        </w:sectPr>
      </w:pPr>
    </w:p>
    <w:p>
      <w:pPr>
        <w:spacing w:line="232" w:lineRule="auto" w:before="1"/>
        <w:ind w:left="308" w:right="0" w:firstLine="0"/>
        <w:jc w:val="left"/>
        <w:rPr>
          <w:sz w:val="18"/>
        </w:rPr>
      </w:pPr>
      <w:r>
        <w:rPr>
          <w:sz w:val="18"/>
        </w:rPr>
        <w:t>Winship-Robbins Elementary Sutter County</w:t>
      </w:r>
    </w:p>
    <w:p>
      <w:pPr>
        <w:spacing w:line="232" w:lineRule="auto" w:before="1"/>
        <w:ind w:left="499" w:right="0" w:hanging="192"/>
        <w:jc w:val="left"/>
        <w:rPr>
          <w:sz w:val="18"/>
        </w:rPr>
      </w:pPr>
      <w:r>
        <w:rPr/>
        <w:br w:type="column"/>
      </w:r>
      <w:r>
        <w:rPr>
          <w:sz w:val="18"/>
        </w:rPr>
        <w:t>Deferred Maintenance Fund Expenditures by Object</w:t>
      </w:r>
    </w:p>
    <w:p>
      <w:pPr>
        <w:spacing w:line="200" w:lineRule="exact" w:before="0"/>
        <w:ind w:left="0" w:right="287" w:firstLine="0"/>
        <w:jc w:val="right"/>
        <w:rPr>
          <w:sz w:val="18"/>
        </w:rPr>
      </w:pPr>
      <w:r>
        <w:rPr/>
        <w:br w:type="column"/>
      </w:r>
      <w:r>
        <w:rPr>
          <w:sz w:val="18"/>
        </w:rPr>
        <w:t>51 71456</w:t>
      </w:r>
      <w:r>
        <w:rPr>
          <w:spacing w:val="3"/>
          <w:sz w:val="18"/>
        </w:rPr>
        <w:t> </w:t>
      </w:r>
      <w:r>
        <w:rPr>
          <w:sz w:val="18"/>
        </w:rPr>
        <w:t>0000000</w:t>
      </w:r>
    </w:p>
    <w:p>
      <w:pPr>
        <w:spacing w:line="204" w:lineRule="exact" w:before="0"/>
        <w:ind w:left="0" w:right="285" w:firstLine="0"/>
        <w:jc w:val="right"/>
        <w:rPr>
          <w:sz w:val="18"/>
        </w:rPr>
      </w:pPr>
      <w:r>
        <w:rPr>
          <w:sz w:val="18"/>
        </w:rPr>
        <w:t>Form </w:t>
      </w:r>
      <w:r>
        <w:rPr>
          <w:spacing w:val="3"/>
          <w:sz w:val="18"/>
        </w:rPr>
        <w:t> </w:t>
      </w:r>
      <w:r>
        <w:rPr>
          <w:sz w:val="18"/>
        </w:rPr>
        <w:t>14</w:t>
      </w:r>
    </w:p>
    <w:p>
      <w:pPr>
        <w:spacing w:after="0" w:line="204" w:lineRule="exact"/>
        <w:jc w:val="right"/>
        <w:rPr>
          <w:sz w:val="18"/>
        </w:rPr>
        <w:sectPr>
          <w:pgSz w:w="12240" w:h="15840"/>
          <w:pgMar w:header="651" w:footer="437" w:top="840" w:bottom="620" w:left="160" w:right="180"/>
          <w:cols w:num="3" w:equalWidth="0">
            <w:col w:w="2698" w:space="1823"/>
            <w:col w:w="2608" w:space="2663"/>
            <w:col w:w="2108"/>
          </w:cols>
        </w:sectPr>
      </w:pPr>
    </w:p>
    <w:p>
      <w:pPr>
        <w:pStyle w:val="BodyText"/>
        <w:rPr>
          <w:sz w:val="20"/>
        </w:rPr>
      </w:pPr>
    </w:p>
    <w:p>
      <w:pPr>
        <w:pStyle w:val="BodyText"/>
        <w:rPr>
          <w:sz w:val="20"/>
        </w:rPr>
      </w:pPr>
    </w:p>
    <w:p>
      <w:pPr>
        <w:pStyle w:val="BodyText"/>
        <w:spacing w:before="8" w:after="1"/>
        <w:rPr>
          <w:sz w:val="26"/>
        </w:rPr>
      </w:pPr>
    </w:p>
    <w:tbl>
      <w:tblPr>
        <w:tblW w:w="0" w:type="auto"/>
        <w:jc w:val="left"/>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70"/>
        <w:gridCol w:w="1261"/>
        <w:gridCol w:w="1127"/>
        <w:gridCol w:w="1429"/>
        <w:gridCol w:w="1503"/>
        <w:gridCol w:w="1206"/>
      </w:tblGrid>
      <w:tr>
        <w:trPr>
          <w:trHeight w:val="436" w:hRule="atLeast"/>
        </w:trPr>
        <w:tc>
          <w:tcPr>
            <w:tcW w:w="3870" w:type="dxa"/>
          </w:tcPr>
          <w:p>
            <w:pPr>
              <w:pStyle w:val="TableParagraph"/>
              <w:spacing w:before="5"/>
              <w:rPr>
                <w:sz w:val="14"/>
              </w:rPr>
            </w:pPr>
          </w:p>
          <w:p>
            <w:pPr>
              <w:pStyle w:val="TableParagraph"/>
              <w:spacing w:before="1"/>
              <w:ind w:left="50"/>
              <w:rPr>
                <w:b/>
                <w:sz w:val="14"/>
              </w:rPr>
            </w:pPr>
            <w:r>
              <w:rPr>
                <w:b/>
                <w:w w:val="105"/>
                <w:sz w:val="14"/>
              </w:rPr>
              <w:t>Description</w:t>
            </w:r>
          </w:p>
        </w:tc>
        <w:tc>
          <w:tcPr>
            <w:tcW w:w="1261" w:type="dxa"/>
          </w:tcPr>
          <w:p>
            <w:pPr>
              <w:pStyle w:val="TableParagraph"/>
              <w:spacing w:before="5"/>
              <w:rPr>
                <w:sz w:val="14"/>
              </w:rPr>
            </w:pPr>
          </w:p>
          <w:p>
            <w:pPr>
              <w:pStyle w:val="TableParagraph"/>
              <w:spacing w:before="1"/>
              <w:ind w:left="8"/>
              <w:rPr>
                <w:b/>
                <w:sz w:val="14"/>
              </w:rPr>
            </w:pPr>
            <w:r>
              <w:rPr>
                <w:b/>
                <w:w w:val="105"/>
                <w:sz w:val="14"/>
              </w:rPr>
              <w:t>Resource Codes</w:t>
            </w:r>
          </w:p>
        </w:tc>
        <w:tc>
          <w:tcPr>
            <w:tcW w:w="1127" w:type="dxa"/>
          </w:tcPr>
          <w:p>
            <w:pPr>
              <w:pStyle w:val="TableParagraph"/>
              <w:spacing w:before="5"/>
              <w:rPr>
                <w:sz w:val="14"/>
              </w:rPr>
            </w:pPr>
          </w:p>
          <w:p>
            <w:pPr>
              <w:pStyle w:val="TableParagraph"/>
              <w:spacing w:before="1"/>
              <w:ind w:left="87" w:right="49"/>
              <w:jc w:val="center"/>
              <w:rPr>
                <w:b/>
                <w:sz w:val="14"/>
              </w:rPr>
            </w:pPr>
            <w:r>
              <w:rPr>
                <w:b/>
                <w:w w:val="105"/>
                <w:sz w:val="14"/>
              </w:rPr>
              <w:t>Object Codes</w:t>
            </w:r>
          </w:p>
        </w:tc>
        <w:tc>
          <w:tcPr>
            <w:tcW w:w="1429" w:type="dxa"/>
          </w:tcPr>
          <w:p>
            <w:pPr>
              <w:pStyle w:val="TableParagraph"/>
              <w:spacing w:line="160" w:lineRule="exact"/>
              <w:ind w:left="44" w:right="66"/>
              <w:jc w:val="center"/>
              <w:rPr>
                <w:b/>
                <w:sz w:val="14"/>
              </w:rPr>
            </w:pPr>
            <w:r>
              <w:rPr>
                <w:b/>
                <w:w w:val="105"/>
                <w:sz w:val="14"/>
              </w:rPr>
              <w:t>2020-21</w:t>
            </w:r>
          </w:p>
          <w:p>
            <w:pPr>
              <w:pStyle w:val="TableParagraph"/>
              <w:spacing w:before="7"/>
              <w:ind w:left="44" w:right="69"/>
              <w:jc w:val="center"/>
              <w:rPr>
                <w:b/>
                <w:sz w:val="14"/>
              </w:rPr>
            </w:pPr>
            <w:r>
              <w:rPr>
                <w:b/>
                <w:w w:val="105"/>
                <w:sz w:val="14"/>
              </w:rPr>
              <w:t>Estimated Actuals</w:t>
            </w:r>
          </w:p>
        </w:tc>
        <w:tc>
          <w:tcPr>
            <w:tcW w:w="1503" w:type="dxa"/>
          </w:tcPr>
          <w:p>
            <w:pPr>
              <w:pStyle w:val="TableParagraph"/>
              <w:spacing w:line="160" w:lineRule="exact"/>
              <w:ind w:left="522"/>
              <w:rPr>
                <w:b/>
                <w:sz w:val="14"/>
              </w:rPr>
            </w:pPr>
            <w:r>
              <w:rPr>
                <w:b/>
                <w:w w:val="105"/>
                <w:sz w:val="14"/>
              </w:rPr>
              <w:t>2021-22</w:t>
            </w:r>
          </w:p>
          <w:p>
            <w:pPr>
              <w:pStyle w:val="TableParagraph"/>
              <w:spacing w:before="7"/>
              <w:ind w:left="534"/>
              <w:rPr>
                <w:b/>
                <w:sz w:val="14"/>
              </w:rPr>
            </w:pPr>
            <w:r>
              <w:rPr>
                <w:b/>
                <w:w w:val="105"/>
                <w:sz w:val="14"/>
              </w:rPr>
              <w:t>Budget</w:t>
            </w:r>
          </w:p>
        </w:tc>
        <w:tc>
          <w:tcPr>
            <w:tcW w:w="1206" w:type="dxa"/>
          </w:tcPr>
          <w:p>
            <w:pPr>
              <w:pStyle w:val="TableParagraph"/>
              <w:spacing w:line="249" w:lineRule="auto"/>
              <w:ind w:left="457" w:right="44" w:firstLine="86"/>
              <w:rPr>
                <w:b/>
                <w:sz w:val="14"/>
              </w:rPr>
            </w:pPr>
            <w:r>
              <w:rPr>
                <w:b/>
                <w:w w:val="105"/>
                <w:sz w:val="14"/>
              </w:rPr>
              <w:t>Percent </w:t>
            </w:r>
            <w:r>
              <w:rPr>
                <w:b/>
                <w:sz w:val="14"/>
              </w:rPr>
              <w:t>Difference</w:t>
            </w:r>
          </w:p>
        </w:tc>
      </w:tr>
      <w:tr>
        <w:trPr>
          <w:trHeight w:val="766" w:hRule="atLeast"/>
        </w:trPr>
        <w:tc>
          <w:tcPr>
            <w:tcW w:w="3870" w:type="dxa"/>
          </w:tcPr>
          <w:p>
            <w:pPr>
              <w:pStyle w:val="TableParagraph"/>
              <w:spacing w:before="107"/>
              <w:ind w:left="50"/>
              <w:rPr>
                <w:b/>
                <w:sz w:val="14"/>
              </w:rPr>
            </w:pPr>
            <w:r>
              <w:rPr>
                <w:b/>
                <w:w w:val="105"/>
                <w:sz w:val="14"/>
              </w:rPr>
              <w:t>G. ASSETS</w:t>
            </w:r>
          </w:p>
          <w:p>
            <w:pPr>
              <w:pStyle w:val="TableParagraph"/>
              <w:numPr>
                <w:ilvl w:val="0"/>
                <w:numId w:val="24"/>
              </w:numPr>
              <w:tabs>
                <w:tab w:pos="381" w:val="left" w:leader="none"/>
              </w:tabs>
              <w:spacing w:line="240" w:lineRule="auto" w:before="38" w:after="0"/>
              <w:ind w:left="380" w:right="0" w:hanging="168"/>
              <w:jc w:val="left"/>
              <w:rPr>
                <w:sz w:val="14"/>
              </w:rPr>
            </w:pPr>
            <w:r>
              <w:rPr>
                <w:w w:val="105"/>
                <w:sz w:val="14"/>
              </w:rPr>
              <w:t>Cash</w:t>
            </w:r>
          </w:p>
          <w:p>
            <w:pPr>
              <w:pStyle w:val="TableParagraph"/>
              <w:numPr>
                <w:ilvl w:val="1"/>
                <w:numId w:val="24"/>
              </w:numPr>
              <w:tabs>
                <w:tab w:pos="544" w:val="left" w:leader="none"/>
              </w:tabs>
              <w:spacing w:line="240" w:lineRule="auto" w:before="36" w:after="0"/>
              <w:ind w:left="543" w:right="0" w:hanging="168"/>
              <w:jc w:val="left"/>
              <w:rPr>
                <w:sz w:val="14"/>
              </w:rPr>
            </w:pPr>
            <w:r>
              <w:rPr>
                <w:w w:val="105"/>
                <w:sz w:val="14"/>
              </w:rPr>
              <w:t>in County</w:t>
            </w:r>
            <w:r>
              <w:rPr>
                <w:spacing w:val="-6"/>
                <w:w w:val="105"/>
                <w:sz w:val="14"/>
              </w:rPr>
              <w:t> </w:t>
            </w:r>
            <w:r>
              <w:rPr>
                <w:w w:val="105"/>
                <w:sz w:val="14"/>
              </w:rPr>
              <w:t>Treasury</w:t>
            </w:r>
          </w:p>
        </w:tc>
        <w:tc>
          <w:tcPr>
            <w:tcW w:w="1261" w:type="dxa"/>
          </w:tcPr>
          <w:p>
            <w:pPr>
              <w:pStyle w:val="TableParagraph"/>
              <w:rPr>
                <w:rFonts w:ascii="Times New Roman"/>
                <w:sz w:val="14"/>
              </w:rPr>
            </w:pPr>
          </w:p>
        </w:tc>
        <w:tc>
          <w:tcPr>
            <w:tcW w:w="1127" w:type="dxa"/>
          </w:tcPr>
          <w:p>
            <w:pPr>
              <w:pStyle w:val="TableParagraph"/>
              <w:rPr>
                <w:sz w:val="16"/>
              </w:rPr>
            </w:pPr>
          </w:p>
          <w:p>
            <w:pPr>
              <w:pStyle w:val="TableParagraph"/>
              <w:rPr>
                <w:sz w:val="16"/>
              </w:rPr>
            </w:pPr>
          </w:p>
          <w:p>
            <w:pPr>
              <w:pStyle w:val="TableParagraph"/>
              <w:spacing w:before="135"/>
              <w:ind w:left="88" w:right="49"/>
              <w:jc w:val="center"/>
              <w:rPr>
                <w:sz w:val="14"/>
              </w:rPr>
            </w:pPr>
            <w:r>
              <w:rPr>
                <w:w w:val="105"/>
                <w:sz w:val="14"/>
              </w:rPr>
              <w:t>9110</w:t>
            </w:r>
          </w:p>
        </w:tc>
        <w:tc>
          <w:tcPr>
            <w:tcW w:w="1429" w:type="dxa"/>
          </w:tcPr>
          <w:p>
            <w:pPr>
              <w:pStyle w:val="TableParagraph"/>
              <w:rPr>
                <w:sz w:val="16"/>
              </w:rPr>
            </w:pPr>
          </w:p>
          <w:p>
            <w:pPr>
              <w:pStyle w:val="TableParagraph"/>
              <w:rPr>
                <w:sz w:val="16"/>
              </w:rPr>
            </w:pPr>
          </w:p>
          <w:p>
            <w:pPr>
              <w:pStyle w:val="TableParagraph"/>
              <w:spacing w:before="135"/>
              <w:ind w:right="47"/>
              <w:jc w:val="right"/>
              <w:rPr>
                <w:sz w:val="14"/>
              </w:rPr>
            </w:pPr>
            <w:r>
              <w:rPr>
                <w:sz w:val="14"/>
              </w:rPr>
              <w:t>19,192.12</w:t>
            </w:r>
          </w:p>
        </w:tc>
        <w:tc>
          <w:tcPr>
            <w:tcW w:w="1503" w:type="dxa"/>
          </w:tcPr>
          <w:p>
            <w:pPr>
              <w:pStyle w:val="TableParagraph"/>
              <w:rPr>
                <w:rFonts w:ascii="Times New Roman"/>
                <w:sz w:val="14"/>
              </w:rPr>
            </w:pPr>
          </w:p>
        </w:tc>
        <w:tc>
          <w:tcPr>
            <w:tcW w:w="1206" w:type="dxa"/>
          </w:tcPr>
          <w:p>
            <w:pPr>
              <w:pStyle w:val="TableParagraph"/>
              <w:rPr>
                <w:rFonts w:ascii="Times New Roman"/>
                <w:sz w:val="14"/>
              </w:rPr>
            </w:pPr>
          </w:p>
        </w:tc>
      </w:tr>
      <w:tr>
        <w:trPr>
          <w:trHeight w:val="364" w:hRule="atLeast"/>
        </w:trPr>
        <w:tc>
          <w:tcPr>
            <w:tcW w:w="3870" w:type="dxa"/>
          </w:tcPr>
          <w:p>
            <w:pPr>
              <w:pStyle w:val="TableParagraph"/>
              <w:spacing w:before="101"/>
              <w:ind w:left="497"/>
              <w:rPr>
                <w:sz w:val="14"/>
              </w:rPr>
            </w:pPr>
            <w:r>
              <w:rPr>
                <w:w w:val="105"/>
                <w:sz w:val="14"/>
              </w:rPr>
              <w:t>1)</w:t>
            </w:r>
            <w:r>
              <w:rPr>
                <w:spacing w:val="-11"/>
                <w:w w:val="105"/>
                <w:sz w:val="14"/>
              </w:rPr>
              <w:t> </w:t>
            </w:r>
            <w:r>
              <w:rPr>
                <w:w w:val="105"/>
                <w:sz w:val="14"/>
              </w:rPr>
              <w:t>Fair</w:t>
            </w:r>
            <w:r>
              <w:rPr>
                <w:spacing w:val="-10"/>
                <w:w w:val="105"/>
                <w:sz w:val="14"/>
              </w:rPr>
              <w:t> </w:t>
            </w:r>
            <w:r>
              <w:rPr>
                <w:w w:val="105"/>
                <w:sz w:val="14"/>
              </w:rPr>
              <w:t>Value</w:t>
            </w:r>
            <w:r>
              <w:rPr>
                <w:spacing w:val="-12"/>
                <w:w w:val="105"/>
                <w:sz w:val="14"/>
              </w:rPr>
              <w:t> </w:t>
            </w:r>
            <w:r>
              <w:rPr>
                <w:w w:val="105"/>
                <w:sz w:val="14"/>
              </w:rPr>
              <w:t>Adjustment</w:t>
            </w:r>
            <w:r>
              <w:rPr>
                <w:spacing w:val="-10"/>
                <w:w w:val="105"/>
                <w:sz w:val="14"/>
              </w:rPr>
              <w:t> </w:t>
            </w:r>
            <w:r>
              <w:rPr>
                <w:w w:val="105"/>
                <w:sz w:val="14"/>
              </w:rPr>
              <w:t>to</w:t>
            </w:r>
            <w:r>
              <w:rPr>
                <w:spacing w:val="-11"/>
                <w:w w:val="105"/>
                <w:sz w:val="14"/>
              </w:rPr>
              <w:t> </w:t>
            </w:r>
            <w:r>
              <w:rPr>
                <w:w w:val="105"/>
                <w:sz w:val="14"/>
              </w:rPr>
              <w:t>Cash</w:t>
            </w:r>
            <w:r>
              <w:rPr>
                <w:spacing w:val="-11"/>
                <w:w w:val="105"/>
                <w:sz w:val="14"/>
              </w:rPr>
              <w:t> </w:t>
            </w:r>
            <w:r>
              <w:rPr>
                <w:w w:val="105"/>
                <w:sz w:val="14"/>
              </w:rPr>
              <w:t>in</w:t>
            </w:r>
            <w:r>
              <w:rPr>
                <w:spacing w:val="-12"/>
                <w:w w:val="105"/>
                <w:sz w:val="14"/>
              </w:rPr>
              <w:t> </w:t>
            </w:r>
            <w:r>
              <w:rPr>
                <w:w w:val="105"/>
                <w:sz w:val="14"/>
              </w:rPr>
              <w:t>County</w:t>
            </w:r>
            <w:r>
              <w:rPr>
                <w:spacing w:val="-12"/>
                <w:w w:val="105"/>
                <w:sz w:val="14"/>
              </w:rPr>
              <w:t> </w:t>
            </w:r>
            <w:r>
              <w:rPr>
                <w:w w:val="105"/>
                <w:sz w:val="14"/>
              </w:rPr>
              <w:t>Treasury</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9111</w:t>
            </w:r>
          </w:p>
        </w:tc>
        <w:tc>
          <w:tcPr>
            <w:tcW w:w="1429" w:type="dxa"/>
          </w:tcPr>
          <w:p>
            <w:pPr>
              <w:pStyle w:val="TableParagraph"/>
              <w:spacing w:before="101"/>
              <w:ind w:right="48"/>
              <w:jc w:val="right"/>
              <w:rPr>
                <w:sz w:val="14"/>
              </w:rPr>
            </w:pPr>
            <w:r>
              <w:rPr>
                <w:sz w:val="14"/>
              </w:rPr>
              <w:t>0.00</w:t>
            </w:r>
          </w:p>
        </w:tc>
        <w:tc>
          <w:tcPr>
            <w:tcW w:w="1503" w:type="dxa"/>
          </w:tcPr>
          <w:p>
            <w:pPr>
              <w:pStyle w:val="TableParagraph"/>
              <w:rPr>
                <w:rFonts w:ascii="Times New Roman"/>
                <w:sz w:val="14"/>
              </w:rPr>
            </w:pPr>
          </w:p>
        </w:tc>
        <w:tc>
          <w:tcPr>
            <w:tcW w:w="1206" w:type="dxa"/>
          </w:tcPr>
          <w:p>
            <w:pPr>
              <w:pStyle w:val="TableParagraph"/>
              <w:rPr>
                <w:rFonts w:ascii="Times New Roman"/>
                <w:sz w:val="14"/>
              </w:rPr>
            </w:pPr>
          </w:p>
        </w:tc>
      </w:tr>
      <w:tr>
        <w:trPr>
          <w:trHeight w:val="364" w:hRule="atLeast"/>
        </w:trPr>
        <w:tc>
          <w:tcPr>
            <w:tcW w:w="3870" w:type="dxa"/>
          </w:tcPr>
          <w:p>
            <w:pPr>
              <w:pStyle w:val="TableParagraph"/>
              <w:spacing w:before="101"/>
              <w:ind w:left="376"/>
              <w:rPr>
                <w:sz w:val="14"/>
              </w:rPr>
            </w:pPr>
            <w:r>
              <w:rPr>
                <w:w w:val="105"/>
                <w:sz w:val="14"/>
              </w:rPr>
              <w:t>b) in Banks</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9120</w:t>
            </w:r>
          </w:p>
        </w:tc>
        <w:tc>
          <w:tcPr>
            <w:tcW w:w="1429" w:type="dxa"/>
          </w:tcPr>
          <w:p>
            <w:pPr>
              <w:pStyle w:val="TableParagraph"/>
              <w:spacing w:before="101"/>
              <w:ind w:right="48"/>
              <w:jc w:val="right"/>
              <w:rPr>
                <w:sz w:val="14"/>
              </w:rPr>
            </w:pPr>
            <w:r>
              <w:rPr>
                <w:sz w:val="14"/>
              </w:rPr>
              <w:t>0.00</w:t>
            </w:r>
          </w:p>
        </w:tc>
        <w:tc>
          <w:tcPr>
            <w:tcW w:w="1503" w:type="dxa"/>
          </w:tcPr>
          <w:p>
            <w:pPr>
              <w:pStyle w:val="TableParagraph"/>
              <w:rPr>
                <w:rFonts w:ascii="Times New Roman"/>
                <w:sz w:val="14"/>
              </w:rPr>
            </w:pPr>
          </w:p>
        </w:tc>
        <w:tc>
          <w:tcPr>
            <w:tcW w:w="1206" w:type="dxa"/>
          </w:tcPr>
          <w:p>
            <w:pPr>
              <w:pStyle w:val="TableParagraph"/>
              <w:rPr>
                <w:rFonts w:ascii="Times New Roman"/>
                <w:sz w:val="14"/>
              </w:rPr>
            </w:pPr>
          </w:p>
        </w:tc>
      </w:tr>
      <w:tr>
        <w:trPr>
          <w:trHeight w:val="364" w:hRule="atLeast"/>
        </w:trPr>
        <w:tc>
          <w:tcPr>
            <w:tcW w:w="3870" w:type="dxa"/>
          </w:tcPr>
          <w:p>
            <w:pPr>
              <w:pStyle w:val="TableParagraph"/>
              <w:spacing w:before="101"/>
              <w:ind w:left="376"/>
              <w:rPr>
                <w:sz w:val="14"/>
              </w:rPr>
            </w:pPr>
            <w:r>
              <w:rPr>
                <w:w w:val="105"/>
                <w:sz w:val="14"/>
              </w:rPr>
              <w:t>c) in Revolving Cash Account</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9130</w:t>
            </w:r>
          </w:p>
        </w:tc>
        <w:tc>
          <w:tcPr>
            <w:tcW w:w="1429" w:type="dxa"/>
          </w:tcPr>
          <w:p>
            <w:pPr>
              <w:pStyle w:val="TableParagraph"/>
              <w:spacing w:before="101"/>
              <w:ind w:right="48"/>
              <w:jc w:val="right"/>
              <w:rPr>
                <w:sz w:val="14"/>
              </w:rPr>
            </w:pPr>
            <w:r>
              <w:rPr>
                <w:sz w:val="14"/>
              </w:rPr>
              <w:t>0.00</w:t>
            </w:r>
          </w:p>
        </w:tc>
        <w:tc>
          <w:tcPr>
            <w:tcW w:w="1503" w:type="dxa"/>
          </w:tcPr>
          <w:p>
            <w:pPr>
              <w:pStyle w:val="TableParagraph"/>
              <w:rPr>
                <w:rFonts w:ascii="Times New Roman"/>
                <w:sz w:val="14"/>
              </w:rPr>
            </w:pPr>
          </w:p>
        </w:tc>
        <w:tc>
          <w:tcPr>
            <w:tcW w:w="1206" w:type="dxa"/>
          </w:tcPr>
          <w:p>
            <w:pPr>
              <w:pStyle w:val="TableParagraph"/>
              <w:rPr>
                <w:rFonts w:ascii="Times New Roman"/>
                <w:sz w:val="14"/>
              </w:rPr>
            </w:pPr>
          </w:p>
        </w:tc>
      </w:tr>
      <w:tr>
        <w:trPr>
          <w:trHeight w:val="364" w:hRule="atLeast"/>
        </w:trPr>
        <w:tc>
          <w:tcPr>
            <w:tcW w:w="3870" w:type="dxa"/>
          </w:tcPr>
          <w:p>
            <w:pPr>
              <w:pStyle w:val="TableParagraph"/>
              <w:spacing w:before="101"/>
              <w:ind w:left="376"/>
              <w:rPr>
                <w:sz w:val="14"/>
              </w:rPr>
            </w:pPr>
            <w:r>
              <w:rPr>
                <w:w w:val="105"/>
                <w:sz w:val="14"/>
              </w:rPr>
              <w:t>d) with Fiscal Agent/Trustee</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9135</w:t>
            </w:r>
          </w:p>
        </w:tc>
        <w:tc>
          <w:tcPr>
            <w:tcW w:w="1429" w:type="dxa"/>
          </w:tcPr>
          <w:p>
            <w:pPr>
              <w:pStyle w:val="TableParagraph"/>
              <w:spacing w:before="101"/>
              <w:ind w:right="48"/>
              <w:jc w:val="right"/>
              <w:rPr>
                <w:sz w:val="14"/>
              </w:rPr>
            </w:pPr>
            <w:r>
              <w:rPr>
                <w:sz w:val="14"/>
              </w:rPr>
              <w:t>0.00</w:t>
            </w:r>
          </w:p>
        </w:tc>
        <w:tc>
          <w:tcPr>
            <w:tcW w:w="1503" w:type="dxa"/>
          </w:tcPr>
          <w:p>
            <w:pPr>
              <w:pStyle w:val="TableParagraph"/>
              <w:rPr>
                <w:rFonts w:ascii="Times New Roman"/>
                <w:sz w:val="14"/>
              </w:rPr>
            </w:pPr>
          </w:p>
        </w:tc>
        <w:tc>
          <w:tcPr>
            <w:tcW w:w="1206" w:type="dxa"/>
          </w:tcPr>
          <w:p>
            <w:pPr>
              <w:pStyle w:val="TableParagraph"/>
              <w:rPr>
                <w:rFonts w:ascii="Times New Roman"/>
                <w:sz w:val="14"/>
              </w:rPr>
            </w:pPr>
          </w:p>
        </w:tc>
      </w:tr>
      <w:tr>
        <w:trPr>
          <w:trHeight w:val="364" w:hRule="atLeast"/>
        </w:trPr>
        <w:tc>
          <w:tcPr>
            <w:tcW w:w="3870" w:type="dxa"/>
          </w:tcPr>
          <w:p>
            <w:pPr>
              <w:pStyle w:val="TableParagraph"/>
              <w:spacing w:before="101"/>
              <w:ind w:left="376"/>
              <w:rPr>
                <w:sz w:val="14"/>
              </w:rPr>
            </w:pPr>
            <w:r>
              <w:rPr>
                <w:w w:val="105"/>
                <w:sz w:val="14"/>
              </w:rPr>
              <w:t>e) Collections Awaiting Deposit</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9140</w:t>
            </w:r>
          </w:p>
        </w:tc>
        <w:tc>
          <w:tcPr>
            <w:tcW w:w="1429" w:type="dxa"/>
          </w:tcPr>
          <w:p>
            <w:pPr>
              <w:pStyle w:val="TableParagraph"/>
              <w:spacing w:before="101"/>
              <w:ind w:right="48"/>
              <w:jc w:val="right"/>
              <w:rPr>
                <w:sz w:val="14"/>
              </w:rPr>
            </w:pPr>
            <w:r>
              <w:rPr>
                <w:sz w:val="14"/>
              </w:rPr>
              <w:t>0.00</w:t>
            </w:r>
          </w:p>
        </w:tc>
        <w:tc>
          <w:tcPr>
            <w:tcW w:w="1503" w:type="dxa"/>
          </w:tcPr>
          <w:p>
            <w:pPr>
              <w:pStyle w:val="TableParagraph"/>
              <w:rPr>
                <w:rFonts w:ascii="Times New Roman"/>
                <w:sz w:val="14"/>
              </w:rPr>
            </w:pPr>
          </w:p>
        </w:tc>
        <w:tc>
          <w:tcPr>
            <w:tcW w:w="1206" w:type="dxa"/>
          </w:tcPr>
          <w:p>
            <w:pPr>
              <w:pStyle w:val="TableParagraph"/>
              <w:rPr>
                <w:rFonts w:ascii="Times New Roman"/>
                <w:sz w:val="14"/>
              </w:rPr>
            </w:pPr>
          </w:p>
        </w:tc>
      </w:tr>
      <w:tr>
        <w:trPr>
          <w:trHeight w:val="364" w:hRule="atLeast"/>
        </w:trPr>
        <w:tc>
          <w:tcPr>
            <w:tcW w:w="3870" w:type="dxa"/>
          </w:tcPr>
          <w:p>
            <w:pPr>
              <w:pStyle w:val="TableParagraph"/>
              <w:spacing w:before="101"/>
              <w:ind w:left="213"/>
              <w:rPr>
                <w:sz w:val="14"/>
              </w:rPr>
            </w:pPr>
            <w:r>
              <w:rPr>
                <w:w w:val="105"/>
                <w:sz w:val="14"/>
              </w:rPr>
              <w:t>2) Investments</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9150</w:t>
            </w:r>
          </w:p>
        </w:tc>
        <w:tc>
          <w:tcPr>
            <w:tcW w:w="1429" w:type="dxa"/>
          </w:tcPr>
          <w:p>
            <w:pPr>
              <w:pStyle w:val="TableParagraph"/>
              <w:spacing w:before="101"/>
              <w:ind w:right="48"/>
              <w:jc w:val="right"/>
              <w:rPr>
                <w:sz w:val="14"/>
              </w:rPr>
            </w:pPr>
            <w:r>
              <w:rPr>
                <w:sz w:val="14"/>
              </w:rPr>
              <w:t>0.00</w:t>
            </w:r>
          </w:p>
        </w:tc>
        <w:tc>
          <w:tcPr>
            <w:tcW w:w="1503" w:type="dxa"/>
          </w:tcPr>
          <w:p>
            <w:pPr>
              <w:pStyle w:val="TableParagraph"/>
              <w:rPr>
                <w:rFonts w:ascii="Times New Roman"/>
                <w:sz w:val="14"/>
              </w:rPr>
            </w:pPr>
          </w:p>
        </w:tc>
        <w:tc>
          <w:tcPr>
            <w:tcW w:w="1206" w:type="dxa"/>
          </w:tcPr>
          <w:p>
            <w:pPr>
              <w:pStyle w:val="TableParagraph"/>
              <w:rPr>
                <w:rFonts w:ascii="Times New Roman"/>
                <w:sz w:val="14"/>
              </w:rPr>
            </w:pPr>
          </w:p>
        </w:tc>
      </w:tr>
      <w:tr>
        <w:trPr>
          <w:trHeight w:val="364" w:hRule="atLeast"/>
        </w:trPr>
        <w:tc>
          <w:tcPr>
            <w:tcW w:w="3870" w:type="dxa"/>
          </w:tcPr>
          <w:p>
            <w:pPr>
              <w:pStyle w:val="TableParagraph"/>
              <w:spacing w:before="101"/>
              <w:ind w:left="213"/>
              <w:rPr>
                <w:sz w:val="14"/>
              </w:rPr>
            </w:pPr>
            <w:r>
              <w:rPr>
                <w:w w:val="105"/>
                <w:sz w:val="14"/>
              </w:rPr>
              <w:t>3) Accounts Receivable</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9200</w:t>
            </w:r>
          </w:p>
        </w:tc>
        <w:tc>
          <w:tcPr>
            <w:tcW w:w="1429" w:type="dxa"/>
          </w:tcPr>
          <w:p>
            <w:pPr>
              <w:pStyle w:val="TableParagraph"/>
              <w:spacing w:before="101"/>
              <w:ind w:right="48"/>
              <w:jc w:val="right"/>
              <w:rPr>
                <w:sz w:val="14"/>
              </w:rPr>
            </w:pPr>
            <w:r>
              <w:rPr>
                <w:sz w:val="14"/>
              </w:rPr>
              <w:t>0.00</w:t>
            </w:r>
          </w:p>
        </w:tc>
        <w:tc>
          <w:tcPr>
            <w:tcW w:w="1503" w:type="dxa"/>
          </w:tcPr>
          <w:p>
            <w:pPr>
              <w:pStyle w:val="TableParagraph"/>
              <w:rPr>
                <w:rFonts w:ascii="Times New Roman"/>
                <w:sz w:val="14"/>
              </w:rPr>
            </w:pPr>
          </w:p>
        </w:tc>
        <w:tc>
          <w:tcPr>
            <w:tcW w:w="1206" w:type="dxa"/>
          </w:tcPr>
          <w:p>
            <w:pPr>
              <w:pStyle w:val="TableParagraph"/>
              <w:rPr>
                <w:rFonts w:ascii="Times New Roman"/>
                <w:sz w:val="14"/>
              </w:rPr>
            </w:pPr>
          </w:p>
        </w:tc>
      </w:tr>
      <w:tr>
        <w:trPr>
          <w:trHeight w:val="364" w:hRule="atLeast"/>
        </w:trPr>
        <w:tc>
          <w:tcPr>
            <w:tcW w:w="3870" w:type="dxa"/>
          </w:tcPr>
          <w:p>
            <w:pPr>
              <w:pStyle w:val="TableParagraph"/>
              <w:spacing w:before="101"/>
              <w:ind w:left="213"/>
              <w:rPr>
                <w:sz w:val="14"/>
              </w:rPr>
            </w:pPr>
            <w:r>
              <w:rPr>
                <w:w w:val="105"/>
                <w:sz w:val="14"/>
              </w:rPr>
              <w:t>4) Due from Grantor Government</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9290</w:t>
            </w:r>
          </w:p>
        </w:tc>
        <w:tc>
          <w:tcPr>
            <w:tcW w:w="1429" w:type="dxa"/>
          </w:tcPr>
          <w:p>
            <w:pPr>
              <w:pStyle w:val="TableParagraph"/>
              <w:spacing w:before="101"/>
              <w:ind w:right="48"/>
              <w:jc w:val="right"/>
              <w:rPr>
                <w:sz w:val="14"/>
              </w:rPr>
            </w:pPr>
            <w:r>
              <w:rPr>
                <w:sz w:val="14"/>
              </w:rPr>
              <w:t>0.00</w:t>
            </w:r>
          </w:p>
        </w:tc>
        <w:tc>
          <w:tcPr>
            <w:tcW w:w="1503" w:type="dxa"/>
          </w:tcPr>
          <w:p>
            <w:pPr>
              <w:pStyle w:val="TableParagraph"/>
              <w:rPr>
                <w:rFonts w:ascii="Times New Roman"/>
                <w:sz w:val="14"/>
              </w:rPr>
            </w:pPr>
          </w:p>
        </w:tc>
        <w:tc>
          <w:tcPr>
            <w:tcW w:w="1206" w:type="dxa"/>
          </w:tcPr>
          <w:p>
            <w:pPr>
              <w:pStyle w:val="TableParagraph"/>
              <w:rPr>
                <w:rFonts w:ascii="Times New Roman"/>
                <w:sz w:val="14"/>
              </w:rPr>
            </w:pPr>
          </w:p>
        </w:tc>
      </w:tr>
      <w:tr>
        <w:trPr>
          <w:trHeight w:val="364" w:hRule="atLeast"/>
        </w:trPr>
        <w:tc>
          <w:tcPr>
            <w:tcW w:w="3870" w:type="dxa"/>
          </w:tcPr>
          <w:p>
            <w:pPr>
              <w:pStyle w:val="TableParagraph"/>
              <w:spacing w:before="101"/>
              <w:ind w:left="213"/>
              <w:rPr>
                <w:sz w:val="14"/>
              </w:rPr>
            </w:pPr>
            <w:r>
              <w:rPr>
                <w:w w:val="105"/>
                <w:sz w:val="14"/>
              </w:rPr>
              <w:t>5) Due from Other Funds</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9310</w:t>
            </w:r>
          </w:p>
        </w:tc>
        <w:tc>
          <w:tcPr>
            <w:tcW w:w="1429" w:type="dxa"/>
          </w:tcPr>
          <w:p>
            <w:pPr>
              <w:pStyle w:val="TableParagraph"/>
              <w:spacing w:before="101"/>
              <w:ind w:right="48"/>
              <w:jc w:val="right"/>
              <w:rPr>
                <w:sz w:val="14"/>
              </w:rPr>
            </w:pPr>
            <w:r>
              <w:rPr>
                <w:sz w:val="14"/>
              </w:rPr>
              <w:t>0.00</w:t>
            </w:r>
          </w:p>
        </w:tc>
        <w:tc>
          <w:tcPr>
            <w:tcW w:w="1503" w:type="dxa"/>
          </w:tcPr>
          <w:p>
            <w:pPr>
              <w:pStyle w:val="TableParagraph"/>
              <w:rPr>
                <w:rFonts w:ascii="Times New Roman"/>
                <w:sz w:val="14"/>
              </w:rPr>
            </w:pPr>
          </w:p>
        </w:tc>
        <w:tc>
          <w:tcPr>
            <w:tcW w:w="1206" w:type="dxa"/>
          </w:tcPr>
          <w:p>
            <w:pPr>
              <w:pStyle w:val="TableParagraph"/>
              <w:rPr>
                <w:rFonts w:ascii="Times New Roman"/>
                <w:sz w:val="14"/>
              </w:rPr>
            </w:pPr>
          </w:p>
        </w:tc>
      </w:tr>
      <w:tr>
        <w:trPr>
          <w:trHeight w:val="364" w:hRule="atLeast"/>
        </w:trPr>
        <w:tc>
          <w:tcPr>
            <w:tcW w:w="3870" w:type="dxa"/>
          </w:tcPr>
          <w:p>
            <w:pPr>
              <w:pStyle w:val="TableParagraph"/>
              <w:spacing w:before="101"/>
              <w:ind w:left="213"/>
              <w:rPr>
                <w:sz w:val="14"/>
              </w:rPr>
            </w:pPr>
            <w:r>
              <w:rPr>
                <w:w w:val="105"/>
                <w:sz w:val="14"/>
              </w:rPr>
              <w:t>6) Stores</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9320</w:t>
            </w:r>
          </w:p>
        </w:tc>
        <w:tc>
          <w:tcPr>
            <w:tcW w:w="1429" w:type="dxa"/>
          </w:tcPr>
          <w:p>
            <w:pPr>
              <w:pStyle w:val="TableParagraph"/>
              <w:spacing w:before="101"/>
              <w:ind w:right="48"/>
              <w:jc w:val="right"/>
              <w:rPr>
                <w:sz w:val="14"/>
              </w:rPr>
            </w:pPr>
            <w:r>
              <w:rPr>
                <w:sz w:val="14"/>
              </w:rPr>
              <w:t>0.00</w:t>
            </w:r>
          </w:p>
        </w:tc>
        <w:tc>
          <w:tcPr>
            <w:tcW w:w="1503" w:type="dxa"/>
          </w:tcPr>
          <w:p>
            <w:pPr>
              <w:pStyle w:val="TableParagraph"/>
              <w:rPr>
                <w:rFonts w:ascii="Times New Roman"/>
                <w:sz w:val="14"/>
              </w:rPr>
            </w:pPr>
          </w:p>
        </w:tc>
        <w:tc>
          <w:tcPr>
            <w:tcW w:w="1206" w:type="dxa"/>
          </w:tcPr>
          <w:p>
            <w:pPr>
              <w:pStyle w:val="TableParagraph"/>
              <w:rPr>
                <w:rFonts w:ascii="Times New Roman"/>
                <w:sz w:val="14"/>
              </w:rPr>
            </w:pPr>
          </w:p>
        </w:tc>
      </w:tr>
      <w:tr>
        <w:trPr>
          <w:trHeight w:val="364" w:hRule="atLeast"/>
        </w:trPr>
        <w:tc>
          <w:tcPr>
            <w:tcW w:w="3870" w:type="dxa"/>
          </w:tcPr>
          <w:p>
            <w:pPr>
              <w:pStyle w:val="TableParagraph"/>
              <w:spacing w:before="101"/>
              <w:ind w:left="213"/>
              <w:rPr>
                <w:sz w:val="14"/>
              </w:rPr>
            </w:pPr>
            <w:r>
              <w:rPr>
                <w:w w:val="105"/>
                <w:sz w:val="14"/>
              </w:rPr>
              <w:t>7) Prepaid Expenditures</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9330</w:t>
            </w:r>
          </w:p>
        </w:tc>
        <w:tc>
          <w:tcPr>
            <w:tcW w:w="1429" w:type="dxa"/>
          </w:tcPr>
          <w:p>
            <w:pPr>
              <w:pStyle w:val="TableParagraph"/>
              <w:spacing w:before="101"/>
              <w:ind w:right="48"/>
              <w:jc w:val="right"/>
              <w:rPr>
                <w:sz w:val="14"/>
              </w:rPr>
            </w:pPr>
            <w:r>
              <w:rPr>
                <w:sz w:val="14"/>
              </w:rPr>
              <w:t>0.00</w:t>
            </w:r>
          </w:p>
        </w:tc>
        <w:tc>
          <w:tcPr>
            <w:tcW w:w="1503" w:type="dxa"/>
          </w:tcPr>
          <w:p>
            <w:pPr>
              <w:pStyle w:val="TableParagraph"/>
              <w:rPr>
                <w:rFonts w:ascii="Times New Roman"/>
                <w:sz w:val="14"/>
              </w:rPr>
            </w:pPr>
          </w:p>
        </w:tc>
        <w:tc>
          <w:tcPr>
            <w:tcW w:w="1206" w:type="dxa"/>
          </w:tcPr>
          <w:p>
            <w:pPr>
              <w:pStyle w:val="TableParagraph"/>
              <w:rPr>
                <w:rFonts w:ascii="Times New Roman"/>
                <w:sz w:val="14"/>
              </w:rPr>
            </w:pPr>
          </w:p>
        </w:tc>
      </w:tr>
      <w:tr>
        <w:trPr>
          <w:trHeight w:val="370" w:hRule="atLeast"/>
        </w:trPr>
        <w:tc>
          <w:tcPr>
            <w:tcW w:w="3870" w:type="dxa"/>
          </w:tcPr>
          <w:p>
            <w:pPr>
              <w:pStyle w:val="TableParagraph"/>
              <w:spacing w:before="101"/>
              <w:ind w:left="213"/>
              <w:rPr>
                <w:sz w:val="14"/>
              </w:rPr>
            </w:pPr>
            <w:r>
              <w:rPr>
                <w:w w:val="105"/>
                <w:sz w:val="14"/>
              </w:rPr>
              <w:t>8) Other Current Assets</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9340</w:t>
            </w:r>
          </w:p>
        </w:tc>
        <w:tc>
          <w:tcPr>
            <w:tcW w:w="1429" w:type="dxa"/>
          </w:tcPr>
          <w:p>
            <w:pPr>
              <w:pStyle w:val="TableParagraph"/>
              <w:spacing w:before="101"/>
              <w:ind w:right="48"/>
              <w:jc w:val="right"/>
              <w:rPr>
                <w:sz w:val="14"/>
              </w:rPr>
            </w:pPr>
            <w:r>
              <w:rPr>
                <w:sz w:val="14"/>
              </w:rPr>
              <w:t>0.00</w:t>
            </w:r>
          </w:p>
        </w:tc>
        <w:tc>
          <w:tcPr>
            <w:tcW w:w="1503" w:type="dxa"/>
          </w:tcPr>
          <w:p>
            <w:pPr>
              <w:pStyle w:val="TableParagraph"/>
              <w:rPr>
                <w:rFonts w:ascii="Times New Roman"/>
                <w:sz w:val="14"/>
              </w:rPr>
            </w:pPr>
          </w:p>
        </w:tc>
        <w:tc>
          <w:tcPr>
            <w:tcW w:w="1206" w:type="dxa"/>
          </w:tcPr>
          <w:p>
            <w:pPr>
              <w:pStyle w:val="TableParagraph"/>
              <w:rPr>
                <w:rFonts w:ascii="Times New Roman"/>
                <w:sz w:val="14"/>
              </w:rPr>
            </w:pPr>
          </w:p>
        </w:tc>
      </w:tr>
      <w:tr>
        <w:trPr>
          <w:trHeight w:val="369" w:hRule="atLeast"/>
        </w:trPr>
        <w:tc>
          <w:tcPr>
            <w:tcW w:w="3870" w:type="dxa"/>
          </w:tcPr>
          <w:p>
            <w:pPr>
              <w:pStyle w:val="TableParagraph"/>
              <w:spacing w:before="107"/>
              <w:ind w:left="171"/>
              <w:rPr>
                <w:sz w:val="14"/>
              </w:rPr>
            </w:pPr>
            <w:r>
              <w:rPr>
                <w:w w:val="105"/>
                <w:sz w:val="14"/>
              </w:rPr>
              <w:t>9) TOTAL, ASSETS</w:t>
            </w:r>
          </w:p>
        </w:tc>
        <w:tc>
          <w:tcPr>
            <w:tcW w:w="1261" w:type="dxa"/>
          </w:tcPr>
          <w:p>
            <w:pPr>
              <w:pStyle w:val="TableParagraph"/>
              <w:rPr>
                <w:rFonts w:ascii="Times New Roman"/>
                <w:sz w:val="14"/>
              </w:rPr>
            </w:pPr>
          </w:p>
        </w:tc>
        <w:tc>
          <w:tcPr>
            <w:tcW w:w="1127" w:type="dxa"/>
          </w:tcPr>
          <w:p>
            <w:pPr>
              <w:pStyle w:val="TableParagraph"/>
              <w:rPr>
                <w:rFonts w:ascii="Times New Roman"/>
                <w:sz w:val="14"/>
              </w:rPr>
            </w:pPr>
          </w:p>
        </w:tc>
        <w:tc>
          <w:tcPr>
            <w:tcW w:w="1429" w:type="dxa"/>
          </w:tcPr>
          <w:p>
            <w:pPr>
              <w:pStyle w:val="TableParagraph"/>
              <w:spacing w:before="107"/>
              <w:ind w:right="47"/>
              <w:jc w:val="right"/>
              <w:rPr>
                <w:sz w:val="14"/>
              </w:rPr>
            </w:pPr>
            <w:r>
              <w:rPr>
                <w:sz w:val="14"/>
              </w:rPr>
              <w:t>19,192.12</w:t>
            </w:r>
          </w:p>
        </w:tc>
        <w:tc>
          <w:tcPr>
            <w:tcW w:w="1503" w:type="dxa"/>
          </w:tcPr>
          <w:p>
            <w:pPr>
              <w:pStyle w:val="TableParagraph"/>
              <w:rPr>
                <w:rFonts w:ascii="Times New Roman"/>
                <w:sz w:val="14"/>
              </w:rPr>
            </w:pPr>
          </w:p>
        </w:tc>
        <w:tc>
          <w:tcPr>
            <w:tcW w:w="1206" w:type="dxa"/>
          </w:tcPr>
          <w:p>
            <w:pPr>
              <w:pStyle w:val="TableParagraph"/>
              <w:rPr>
                <w:rFonts w:ascii="Times New Roman"/>
                <w:sz w:val="14"/>
              </w:rPr>
            </w:pPr>
          </w:p>
        </w:tc>
      </w:tr>
      <w:tr>
        <w:trPr>
          <w:trHeight w:val="259" w:hRule="atLeast"/>
        </w:trPr>
        <w:tc>
          <w:tcPr>
            <w:tcW w:w="3870" w:type="dxa"/>
          </w:tcPr>
          <w:p>
            <w:pPr>
              <w:pStyle w:val="TableParagraph"/>
              <w:spacing w:line="140" w:lineRule="exact" w:before="99"/>
              <w:ind w:left="50"/>
              <w:rPr>
                <w:b/>
                <w:sz w:val="14"/>
              </w:rPr>
            </w:pPr>
            <w:r>
              <w:rPr>
                <w:b/>
                <w:w w:val="105"/>
                <w:sz w:val="14"/>
              </w:rPr>
              <w:t>H. DEFERRED OUTFLOWS OF RESOURCES</w:t>
            </w:r>
          </w:p>
        </w:tc>
        <w:tc>
          <w:tcPr>
            <w:tcW w:w="6526" w:type="dxa"/>
            <w:gridSpan w:val="5"/>
          </w:tcPr>
          <w:p>
            <w:pPr>
              <w:pStyle w:val="TableParagraph"/>
              <w:rPr>
                <w:rFonts w:ascii="Times New Roman"/>
                <w:sz w:val="14"/>
              </w:rPr>
            </w:pPr>
          </w:p>
        </w:tc>
      </w:tr>
      <w:tr>
        <w:trPr>
          <w:trHeight w:val="470" w:hRule="atLeast"/>
        </w:trPr>
        <w:tc>
          <w:tcPr>
            <w:tcW w:w="3870" w:type="dxa"/>
          </w:tcPr>
          <w:p>
            <w:pPr>
              <w:pStyle w:val="TableParagraph"/>
              <w:rPr>
                <w:sz w:val="18"/>
              </w:rPr>
            </w:pPr>
          </w:p>
          <w:p>
            <w:pPr>
              <w:pStyle w:val="TableParagraph"/>
              <w:ind w:left="213"/>
              <w:rPr>
                <w:sz w:val="14"/>
              </w:rPr>
            </w:pPr>
            <w:r>
              <w:rPr>
                <w:w w:val="105"/>
                <w:sz w:val="14"/>
              </w:rPr>
              <w:t>1) Deferred Outflows of Resources</w:t>
            </w:r>
          </w:p>
        </w:tc>
        <w:tc>
          <w:tcPr>
            <w:tcW w:w="2388" w:type="dxa"/>
            <w:gridSpan w:val="2"/>
          </w:tcPr>
          <w:p>
            <w:pPr>
              <w:pStyle w:val="TableParagraph"/>
              <w:rPr>
                <w:sz w:val="18"/>
              </w:rPr>
            </w:pPr>
          </w:p>
          <w:p>
            <w:pPr>
              <w:pStyle w:val="TableParagraph"/>
              <w:ind w:right="383"/>
              <w:jc w:val="right"/>
              <w:rPr>
                <w:sz w:val="14"/>
              </w:rPr>
            </w:pPr>
            <w:r>
              <w:rPr>
                <w:sz w:val="14"/>
              </w:rPr>
              <w:t>9490</w:t>
            </w:r>
          </w:p>
        </w:tc>
        <w:tc>
          <w:tcPr>
            <w:tcW w:w="4138" w:type="dxa"/>
            <w:gridSpan w:val="3"/>
          </w:tcPr>
          <w:p>
            <w:pPr>
              <w:pStyle w:val="TableParagraph"/>
              <w:rPr>
                <w:sz w:val="18"/>
              </w:rPr>
            </w:pPr>
          </w:p>
          <w:p>
            <w:pPr>
              <w:pStyle w:val="TableParagraph"/>
              <w:ind w:left="1100"/>
              <w:rPr>
                <w:sz w:val="14"/>
              </w:rPr>
            </w:pPr>
            <w:r>
              <w:rPr>
                <w:w w:val="105"/>
                <w:sz w:val="14"/>
              </w:rPr>
              <w:t>0.00</w:t>
            </w:r>
          </w:p>
        </w:tc>
      </w:tr>
      <w:tr>
        <w:trPr>
          <w:trHeight w:val="262" w:hRule="atLeast"/>
        </w:trPr>
        <w:tc>
          <w:tcPr>
            <w:tcW w:w="3870" w:type="dxa"/>
          </w:tcPr>
          <w:p>
            <w:pPr>
              <w:pStyle w:val="TableParagraph"/>
              <w:spacing w:line="142" w:lineRule="exact" w:before="101"/>
              <w:ind w:left="213"/>
              <w:rPr>
                <w:sz w:val="14"/>
              </w:rPr>
            </w:pPr>
            <w:r>
              <w:rPr>
                <w:w w:val="105"/>
                <w:sz w:val="14"/>
              </w:rPr>
              <w:t>2) TOTAL, DEFERRED OUTFLOWS</w:t>
            </w:r>
          </w:p>
        </w:tc>
        <w:tc>
          <w:tcPr>
            <w:tcW w:w="2388" w:type="dxa"/>
            <w:gridSpan w:val="2"/>
          </w:tcPr>
          <w:p>
            <w:pPr>
              <w:pStyle w:val="TableParagraph"/>
              <w:rPr>
                <w:rFonts w:ascii="Times New Roman"/>
                <w:sz w:val="14"/>
              </w:rPr>
            </w:pPr>
          </w:p>
        </w:tc>
        <w:tc>
          <w:tcPr>
            <w:tcW w:w="4138" w:type="dxa"/>
            <w:gridSpan w:val="3"/>
          </w:tcPr>
          <w:p>
            <w:pPr>
              <w:pStyle w:val="TableParagraph"/>
              <w:spacing w:line="142" w:lineRule="exact" w:before="101"/>
              <w:ind w:left="1100"/>
              <w:rPr>
                <w:sz w:val="14"/>
              </w:rPr>
            </w:pPr>
            <w:r>
              <w:rPr>
                <w:w w:val="105"/>
                <w:sz w:val="14"/>
              </w:rPr>
              <w:t>0.00</w:t>
            </w:r>
          </w:p>
        </w:tc>
      </w:tr>
    </w:tbl>
    <w:p>
      <w:pPr>
        <w:pStyle w:val="BodyText"/>
        <w:spacing w:before="10"/>
        <w:rPr>
          <w:sz w:val="9"/>
        </w:rPr>
      </w:pPr>
    </w:p>
    <w:p>
      <w:pPr>
        <w:pStyle w:val="ListParagraph"/>
        <w:numPr>
          <w:ilvl w:val="0"/>
          <w:numId w:val="25"/>
        </w:numPr>
        <w:tabs>
          <w:tab w:pos="600" w:val="left" w:leader="none"/>
        </w:tabs>
        <w:spacing w:line="240" w:lineRule="auto" w:before="99" w:after="0"/>
        <w:ind w:left="599" w:right="0" w:hanging="122"/>
        <w:jc w:val="left"/>
        <w:rPr>
          <w:b/>
          <w:sz w:val="14"/>
        </w:rPr>
      </w:pPr>
      <w:r>
        <w:rPr/>
        <w:pict>
          <v:group style="position:absolute;margin-left:30.120001pt;margin-top:-375.4841pt;width:538pt;height:600.85pt;mso-position-horizontal-relative:page;mso-position-vertical-relative:paragraph;z-index:-314427392" coordorigin="602,-7510" coordsize="10760,12017">
            <v:shape style="position:absolute;left:602;top:-7510;width:3646;height:790" type="#_x0000_t75" stroked="false">
              <v:imagedata r:id="rId406" o:title=""/>
            </v:shape>
            <v:rect style="position:absolute;left:6787;top:-2677;width:1512;height:365" filled="true" fillcolor="#dfdfdf" stroked="false">
              <v:fill type="solid"/>
            </v:rect>
            <v:shape style="position:absolute;left:4240;top:-7510;width:7121;height:12017" type="#_x0000_t75" stroked="false">
              <v:imagedata r:id="rId719" o:title=""/>
            </v:shape>
            <v:shape style="position:absolute;left:602;top:-6735;width:816;height:5892" type="#_x0000_t75" stroked="false">
              <v:imagedata r:id="rId450" o:title=""/>
            </v:shape>
            <v:shape style="position:absolute;left:1411;top:-1217;width:2837;height:22" type="#_x0000_t75" stroked="false">
              <v:imagedata r:id="rId451" o:title=""/>
            </v:shape>
            <v:line style="position:absolute" from="1412,-1205" to="1412,-847" stroked="true" strokeweight=".360003pt" strokecolor="#ffffff">
              <v:stroke dashstyle="solid"/>
            </v:line>
            <v:shape style="position:absolute;left:602;top:-845;width:3646;height:744" type="#_x0000_t75" stroked="false">
              <v:imagedata r:id="rId452" o:title=""/>
            </v:shape>
            <v:line style="position:absolute" from="1412,-110" to="1412,259" stroked="true" strokeweight=".360003pt" strokecolor="#ffffff">
              <v:stroke dashstyle="solid"/>
            </v:line>
            <v:shape style="position:absolute;left:602;top:-116;width:3646;height:2580" type="#_x0000_t75" stroked="false">
              <v:imagedata r:id="rId453" o:title=""/>
            </v:shape>
            <v:line style="position:absolute" from="1412,2455" to="1412,2810" stroked="true" strokeweight=".360003pt" strokecolor="#ffffff">
              <v:stroke dashstyle="solid"/>
            </v:line>
            <v:shape style="position:absolute;left:602;top:2450;width:3646;height:1107" type="#_x0000_t75" stroked="false">
              <v:imagedata r:id="rId454" o:title=""/>
            </v:shape>
            <v:line style="position:absolute" from="1412,3547" to="1412,3917" stroked="true" strokeweight=".360003pt" strokecolor="#ffffff">
              <v:stroke dashstyle="solid"/>
            </v:line>
            <v:shape style="position:absolute;left:602;top:3542;width:3646;height:965" type="#_x0000_t75" stroked="false">
              <v:imagedata r:id="rId455" o:title=""/>
            </v:shape>
            <w10:wrap type="none"/>
          </v:group>
        </w:pict>
      </w:r>
      <w:r>
        <w:rPr>
          <w:b/>
          <w:w w:val="105"/>
          <w:sz w:val="14"/>
        </w:rPr>
        <w:t>LIABILITIES</w:t>
      </w:r>
    </w:p>
    <w:p>
      <w:pPr>
        <w:pStyle w:val="BodyText"/>
        <w:rPr>
          <w:b/>
          <w:sz w:val="18"/>
        </w:rPr>
      </w:pPr>
    </w:p>
    <w:tbl>
      <w:tblPr>
        <w:tblW w:w="0" w:type="auto"/>
        <w:jc w:val="left"/>
        <w:tblInd w:w="5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72"/>
        <w:gridCol w:w="2305"/>
        <w:gridCol w:w="1512"/>
      </w:tblGrid>
      <w:tr>
        <w:trPr>
          <w:trHeight w:val="262" w:hRule="atLeast"/>
        </w:trPr>
        <w:tc>
          <w:tcPr>
            <w:tcW w:w="3772" w:type="dxa"/>
          </w:tcPr>
          <w:p>
            <w:pPr>
              <w:pStyle w:val="TableParagraph"/>
              <w:spacing w:line="160" w:lineRule="exact"/>
              <w:ind w:left="91"/>
              <w:rPr>
                <w:sz w:val="14"/>
              </w:rPr>
            </w:pPr>
            <w:r>
              <w:rPr>
                <w:w w:val="105"/>
                <w:sz w:val="14"/>
              </w:rPr>
              <w:t>1) Accounts Payable</w:t>
            </w:r>
          </w:p>
        </w:tc>
        <w:tc>
          <w:tcPr>
            <w:tcW w:w="2305" w:type="dxa"/>
          </w:tcPr>
          <w:p>
            <w:pPr>
              <w:pStyle w:val="TableParagraph"/>
              <w:spacing w:line="160" w:lineRule="exact"/>
              <w:ind w:right="323"/>
              <w:jc w:val="right"/>
              <w:rPr>
                <w:sz w:val="14"/>
              </w:rPr>
            </w:pPr>
            <w:r>
              <w:rPr>
                <w:sz w:val="14"/>
              </w:rPr>
              <w:t>9500</w:t>
            </w:r>
          </w:p>
        </w:tc>
        <w:tc>
          <w:tcPr>
            <w:tcW w:w="1512" w:type="dxa"/>
          </w:tcPr>
          <w:p>
            <w:pPr>
              <w:pStyle w:val="TableParagraph"/>
              <w:spacing w:line="160" w:lineRule="exact"/>
              <w:ind w:right="71"/>
              <w:jc w:val="right"/>
              <w:rPr>
                <w:sz w:val="14"/>
              </w:rPr>
            </w:pPr>
            <w:r>
              <w:rPr>
                <w:sz w:val="14"/>
              </w:rPr>
              <w:t>0.00</w:t>
            </w:r>
          </w:p>
        </w:tc>
      </w:tr>
      <w:tr>
        <w:trPr>
          <w:trHeight w:val="364" w:hRule="atLeast"/>
        </w:trPr>
        <w:tc>
          <w:tcPr>
            <w:tcW w:w="3772" w:type="dxa"/>
          </w:tcPr>
          <w:p>
            <w:pPr>
              <w:pStyle w:val="TableParagraph"/>
              <w:spacing w:before="101"/>
              <w:ind w:left="91"/>
              <w:rPr>
                <w:sz w:val="14"/>
              </w:rPr>
            </w:pPr>
            <w:r>
              <w:rPr>
                <w:w w:val="105"/>
                <w:sz w:val="14"/>
              </w:rPr>
              <w:t>2) Due to Grantor Governments</w:t>
            </w:r>
          </w:p>
        </w:tc>
        <w:tc>
          <w:tcPr>
            <w:tcW w:w="2305" w:type="dxa"/>
          </w:tcPr>
          <w:p>
            <w:pPr>
              <w:pStyle w:val="TableParagraph"/>
              <w:spacing w:before="101"/>
              <w:ind w:right="323"/>
              <w:jc w:val="right"/>
              <w:rPr>
                <w:sz w:val="14"/>
              </w:rPr>
            </w:pPr>
            <w:r>
              <w:rPr>
                <w:sz w:val="14"/>
              </w:rPr>
              <w:t>9590</w:t>
            </w:r>
          </w:p>
        </w:tc>
        <w:tc>
          <w:tcPr>
            <w:tcW w:w="1512" w:type="dxa"/>
          </w:tcPr>
          <w:p>
            <w:pPr>
              <w:pStyle w:val="TableParagraph"/>
              <w:spacing w:before="101"/>
              <w:ind w:right="71"/>
              <w:jc w:val="right"/>
              <w:rPr>
                <w:sz w:val="14"/>
              </w:rPr>
            </w:pPr>
            <w:r>
              <w:rPr>
                <w:sz w:val="14"/>
              </w:rPr>
              <w:t>0.00</w:t>
            </w:r>
          </w:p>
        </w:tc>
      </w:tr>
      <w:tr>
        <w:trPr>
          <w:trHeight w:val="265" w:hRule="atLeast"/>
        </w:trPr>
        <w:tc>
          <w:tcPr>
            <w:tcW w:w="3772" w:type="dxa"/>
          </w:tcPr>
          <w:p>
            <w:pPr>
              <w:pStyle w:val="TableParagraph"/>
              <w:spacing w:line="145" w:lineRule="exact" w:before="101"/>
              <w:ind w:left="91"/>
              <w:rPr>
                <w:sz w:val="14"/>
              </w:rPr>
            </w:pPr>
            <w:r>
              <w:rPr>
                <w:w w:val="105"/>
                <w:sz w:val="14"/>
              </w:rPr>
              <w:t>3) Due to Other Funds</w:t>
            </w:r>
          </w:p>
        </w:tc>
        <w:tc>
          <w:tcPr>
            <w:tcW w:w="2305" w:type="dxa"/>
          </w:tcPr>
          <w:p>
            <w:pPr>
              <w:pStyle w:val="TableParagraph"/>
              <w:spacing w:line="145" w:lineRule="exact" w:before="101"/>
              <w:ind w:right="323"/>
              <w:jc w:val="right"/>
              <w:rPr>
                <w:sz w:val="14"/>
              </w:rPr>
            </w:pPr>
            <w:r>
              <w:rPr>
                <w:sz w:val="14"/>
              </w:rPr>
              <w:t>9610</w:t>
            </w:r>
          </w:p>
        </w:tc>
        <w:tc>
          <w:tcPr>
            <w:tcW w:w="1512" w:type="dxa"/>
          </w:tcPr>
          <w:p>
            <w:pPr>
              <w:pStyle w:val="TableParagraph"/>
              <w:spacing w:line="145" w:lineRule="exact" w:before="101"/>
              <w:ind w:right="71"/>
              <w:jc w:val="right"/>
              <w:rPr>
                <w:sz w:val="14"/>
              </w:rPr>
            </w:pPr>
            <w:r>
              <w:rPr>
                <w:sz w:val="14"/>
              </w:rPr>
              <w:t>0.00</w:t>
            </w:r>
          </w:p>
        </w:tc>
      </w:tr>
      <w:tr>
        <w:trPr>
          <w:trHeight w:val="364" w:hRule="atLeast"/>
        </w:trPr>
        <w:tc>
          <w:tcPr>
            <w:tcW w:w="3772" w:type="dxa"/>
          </w:tcPr>
          <w:p>
            <w:pPr>
              <w:pStyle w:val="TableParagraph"/>
              <w:spacing w:before="4"/>
              <w:rPr>
                <w:b/>
                <w:sz w:val="17"/>
              </w:rPr>
            </w:pPr>
          </w:p>
          <w:p>
            <w:pPr>
              <w:pStyle w:val="TableParagraph"/>
              <w:spacing w:line="145" w:lineRule="exact"/>
              <w:ind w:left="91"/>
              <w:rPr>
                <w:sz w:val="14"/>
              </w:rPr>
            </w:pPr>
            <w:r>
              <w:rPr>
                <w:w w:val="105"/>
                <w:sz w:val="14"/>
              </w:rPr>
              <w:t>4) Current Loans</w:t>
            </w:r>
          </w:p>
        </w:tc>
        <w:tc>
          <w:tcPr>
            <w:tcW w:w="2305" w:type="dxa"/>
          </w:tcPr>
          <w:p>
            <w:pPr>
              <w:pStyle w:val="TableParagraph"/>
              <w:spacing w:before="4"/>
              <w:rPr>
                <w:b/>
                <w:sz w:val="17"/>
              </w:rPr>
            </w:pPr>
          </w:p>
          <w:p>
            <w:pPr>
              <w:pStyle w:val="TableParagraph"/>
              <w:spacing w:line="145" w:lineRule="exact"/>
              <w:ind w:right="323"/>
              <w:jc w:val="right"/>
              <w:rPr>
                <w:sz w:val="14"/>
              </w:rPr>
            </w:pPr>
            <w:r>
              <w:rPr>
                <w:sz w:val="14"/>
              </w:rPr>
              <w:t>9640</w:t>
            </w:r>
          </w:p>
        </w:tc>
        <w:tc>
          <w:tcPr>
            <w:tcW w:w="1512" w:type="dxa"/>
            <w:shd w:val="clear" w:color="auto" w:fill="DFDFDF"/>
          </w:tcPr>
          <w:p>
            <w:pPr>
              <w:pStyle w:val="TableParagraph"/>
              <w:rPr>
                <w:rFonts w:ascii="Times New Roman"/>
                <w:sz w:val="14"/>
              </w:rPr>
            </w:pPr>
          </w:p>
        </w:tc>
      </w:tr>
      <w:tr>
        <w:trPr>
          <w:trHeight w:val="463" w:hRule="atLeast"/>
        </w:trPr>
        <w:tc>
          <w:tcPr>
            <w:tcW w:w="3772" w:type="dxa"/>
          </w:tcPr>
          <w:p>
            <w:pPr>
              <w:pStyle w:val="TableParagraph"/>
              <w:spacing w:before="4"/>
              <w:rPr>
                <w:b/>
                <w:sz w:val="17"/>
              </w:rPr>
            </w:pPr>
          </w:p>
          <w:p>
            <w:pPr>
              <w:pStyle w:val="TableParagraph"/>
              <w:ind w:left="91"/>
              <w:rPr>
                <w:sz w:val="14"/>
              </w:rPr>
            </w:pPr>
            <w:r>
              <w:rPr>
                <w:w w:val="105"/>
                <w:sz w:val="14"/>
              </w:rPr>
              <w:t>5) Unearned Revenue</w:t>
            </w:r>
          </w:p>
        </w:tc>
        <w:tc>
          <w:tcPr>
            <w:tcW w:w="2305" w:type="dxa"/>
          </w:tcPr>
          <w:p>
            <w:pPr>
              <w:pStyle w:val="TableParagraph"/>
              <w:spacing w:before="4"/>
              <w:rPr>
                <w:b/>
                <w:sz w:val="17"/>
              </w:rPr>
            </w:pPr>
          </w:p>
          <w:p>
            <w:pPr>
              <w:pStyle w:val="TableParagraph"/>
              <w:ind w:right="323"/>
              <w:jc w:val="right"/>
              <w:rPr>
                <w:sz w:val="14"/>
              </w:rPr>
            </w:pPr>
            <w:r>
              <w:rPr>
                <w:sz w:val="14"/>
              </w:rPr>
              <w:t>9650</w:t>
            </w:r>
          </w:p>
        </w:tc>
        <w:tc>
          <w:tcPr>
            <w:tcW w:w="1512" w:type="dxa"/>
          </w:tcPr>
          <w:p>
            <w:pPr>
              <w:pStyle w:val="TableParagraph"/>
              <w:spacing w:before="4"/>
              <w:rPr>
                <w:b/>
                <w:sz w:val="17"/>
              </w:rPr>
            </w:pPr>
          </w:p>
          <w:p>
            <w:pPr>
              <w:pStyle w:val="TableParagraph"/>
              <w:ind w:right="71"/>
              <w:jc w:val="right"/>
              <w:rPr>
                <w:sz w:val="14"/>
              </w:rPr>
            </w:pPr>
            <w:r>
              <w:rPr>
                <w:sz w:val="14"/>
              </w:rPr>
              <w:t>0.00</w:t>
            </w:r>
          </w:p>
        </w:tc>
      </w:tr>
      <w:tr>
        <w:trPr>
          <w:trHeight w:val="262" w:hRule="atLeast"/>
        </w:trPr>
        <w:tc>
          <w:tcPr>
            <w:tcW w:w="3772" w:type="dxa"/>
          </w:tcPr>
          <w:p>
            <w:pPr>
              <w:pStyle w:val="TableParagraph"/>
              <w:spacing w:line="142" w:lineRule="exact" w:before="101"/>
              <w:ind w:left="50"/>
              <w:rPr>
                <w:sz w:val="14"/>
              </w:rPr>
            </w:pPr>
            <w:r>
              <w:rPr>
                <w:w w:val="105"/>
                <w:sz w:val="14"/>
              </w:rPr>
              <w:t>6) TOTAL, LIABILITIES</w:t>
            </w:r>
          </w:p>
        </w:tc>
        <w:tc>
          <w:tcPr>
            <w:tcW w:w="2305" w:type="dxa"/>
          </w:tcPr>
          <w:p>
            <w:pPr>
              <w:pStyle w:val="TableParagraph"/>
              <w:rPr>
                <w:rFonts w:ascii="Times New Roman"/>
                <w:sz w:val="14"/>
              </w:rPr>
            </w:pPr>
          </w:p>
        </w:tc>
        <w:tc>
          <w:tcPr>
            <w:tcW w:w="1512" w:type="dxa"/>
          </w:tcPr>
          <w:p>
            <w:pPr>
              <w:pStyle w:val="TableParagraph"/>
              <w:spacing w:line="142" w:lineRule="exact" w:before="101"/>
              <w:ind w:right="71"/>
              <w:jc w:val="right"/>
              <w:rPr>
                <w:sz w:val="14"/>
              </w:rPr>
            </w:pPr>
            <w:r>
              <w:rPr>
                <w:sz w:val="14"/>
              </w:rPr>
              <w:t>0.00</w:t>
            </w:r>
          </w:p>
        </w:tc>
      </w:tr>
    </w:tbl>
    <w:p>
      <w:pPr>
        <w:pStyle w:val="BodyText"/>
        <w:spacing w:before="2"/>
        <w:rPr>
          <w:b/>
          <w:sz w:val="17"/>
        </w:rPr>
      </w:pPr>
    </w:p>
    <w:p>
      <w:pPr>
        <w:pStyle w:val="ListParagraph"/>
        <w:numPr>
          <w:ilvl w:val="0"/>
          <w:numId w:val="25"/>
        </w:numPr>
        <w:tabs>
          <w:tab w:pos="640" w:val="left" w:leader="none"/>
        </w:tabs>
        <w:spacing w:line="240" w:lineRule="auto" w:before="0" w:after="0"/>
        <w:ind w:left="639" w:right="0" w:hanging="162"/>
        <w:jc w:val="left"/>
        <w:rPr>
          <w:b/>
          <w:sz w:val="14"/>
        </w:rPr>
      </w:pPr>
      <w:r>
        <w:rPr>
          <w:b/>
          <w:w w:val="105"/>
          <w:sz w:val="14"/>
        </w:rPr>
        <w:t>DEFERRED INFLOWS OF</w:t>
      </w:r>
      <w:r>
        <w:rPr>
          <w:b/>
          <w:spacing w:val="-3"/>
          <w:w w:val="105"/>
          <w:sz w:val="14"/>
        </w:rPr>
        <w:t> </w:t>
      </w:r>
      <w:r>
        <w:rPr>
          <w:b/>
          <w:w w:val="105"/>
          <w:sz w:val="14"/>
        </w:rPr>
        <w:t>RESOURCES</w:t>
      </w:r>
    </w:p>
    <w:p>
      <w:pPr>
        <w:pStyle w:val="BodyText"/>
        <w:spacing w:before="4"/>
        <w:rPr>
          <w:b/>
          <w:sz w:val="9"/>
        </w:rPr>
      </w:pPr>
    </w:p>
    <w:p>
      <w:pPr>
        <w:pStyle w:val="Heading9"/>
        <w:numPr>
          <w:ilvl w:val="1"/>
          <w:numId w:val="25"/>
        </w:numPr>
        <w:tabs>
          <w:tab w:pos="809" w:val="left" w:leader="none"/>
          <w:tab w:pos="5983" w:val="left" w:leader="none"/>
          <w:tab w:pos="7786" w:val="left" w:leader="none"/>
        </w:tabs>
        <w:spacing w:line="240" w:lineRule="auto" w:before="99" w:after="0"/>
        <w:ind w:left="808" w:right="0" w:hanging="168"/>
        <w:jc w:val="left"/>
      </w:pPr>
      <w:r>
        <w:rPr>
          <w:w w:val="105"/>
        </w:rPr>
        <w:t>Deferred Inflows</w:t>
      </w:r>
      <w:r>
        <w:rPr>
          <w:spacing w:val="-24"/>
          <w:w w:val="105"/>
        </w:rPr>
        <w:t> </w:t>
      </w:r>
      <w:r>
        <w:rPr>
          <w:w w:val="105"/>
        </w:rPr>
        <w:t>of</w:t>
      </w:r>
      <w:r>
        <w:rPr>
          <w:spacing w:val="-11"/>
          <w:w w:val="105"/>
        </w:rPr>
        <w:t> </w:t>
      </w:r>
      <w:r>
        <w:rPr>
          <w:w w:val="105"/>
        </w:rPr>
        <w:t>Resources</w:t>
        <w:tab/>
        <w:t>9690</w:t>
        <w:tab/>
        <w:t>0.00</w:t>
      </w:r>
    </w:p>
    <w:p>
      <w:pPr>
        <w:pStyle w:val="BodyText"/>
        <w:spacing w:before="2"/>
        <w:rPr>
          <w:sz w:val="9"/>
        </w:rPr>
      </w:pPr>
    </w:p>
    <w:p>
      <w:pPr>
        <w:pStyle w:val="ListParagraph"/>
        <w:numPr>
          <w:ilvl w:val="1"/>
          <w:numId w:val="25"/>
        </w:numPr>
        <w:tabs>
          <w:tab w:pos="809" w:val="left" w:leader="none"/>
          <w:tab w:pos="7786" w:val="left" w:leader="none"/>
        </w:tabs>
        <w:spacing w:line="240" w:lineRule="auto" w:before="98" w:after="0"/>
        <w:ind w:left="808" w:right="0" w:hanging="168"/>
        <w:jc w:val="left"/>
        <w:rPr>
          <w:sz w:val="14"/>
        </w:rPr>
      </w:pPr>
      <w:r>
        <w:rPr>
          <w:w w:val="105"/>
          <w:sz w:val="14"/>
        </w:rPr>
        <w:t>TOTAL,</w:t>
      </w:r>
      <w:r>
        <w:rPr>
          <w:spacing w:val="-9"/>
          <w:w w:val="105"/>
          <w:sz w:val="14"/>
        </w:rPr>
        <w:t> </w:t>
      </w:r>
      <w:r>
        <w:rPr>
          <w:w w:val="105"/>
          <w:sz w:val="14"/>
        </w:rPr>
        <w:t>DEFERRED</w:t>
      </w:r>
      <w:r>
        <w:rPr>
          <w:spacing w:val="-10"/>
          <w:w w:val="105"/>
          <w:sz w:val="14"/>
        </w:rPr>
        <w:t> </w:t>
      </w:r>
      <w:r>
        <w:rPr>
          <w:w w:val="105"/>
          <w:sz w:val="14"/>
        </w:rPr>
        <w:t>INFLOWS</w:t>
        <w:tab/>
        <w:t>0.00</w:t>
      </w:r>
    </w:p>
    <w:p>
      <w:pPr>
        <w:pStyle w:val="BodyText"/>
        <w:rPr>
          <w:sz w:val="10"/>
        </w:rPr>
      </w:pPr>
    </w:p>
    <w:p>
      <w:pPr>
        <w:pStyle w:val="ListParagraph"/>
        <w:numPr>
          <w:ilvl w:val="0"/>
          <w:numId w:val="25"/>
        </w:numPr>
        <w:tabs>
          <w:tab w:pos="663" w:val="left" w:leader="none"/>
        </w:tabs>
        <w:spacing w:line="240" w:lineRule="auto" w:before="99" w:after="0"/>
        <w:ind w:left="662" w:right="0" w:hanging="185"/>
        <w:jc w:val="left"/>
        <w:rPr>
          <w:b/>
          <w:sz w:val="14"/>
        </w:rPr>
      </w:pPr>
      <w:r>
        <w:rPr>
          <w:b/>
          <w:w w:val="105"/>
          <w:sz w:val="14"/>
        </w:rPr>
        <w:t>FUND</w:t>
      </w:r>
      <w:r>
        <w:rPr>
          <w:b/>
          <w:spacing w:val="-4"/>
          <w:w w:val="105"/>
          <w:sz w:val="14"/>
        </w:rPr>
        <w:t> </w:t>
      </w:r>
      <w:r>
        <w:rPr>
          <w:b/>
          <w:w w:val="105"/>
          <w:sz w:val="14"/>
        </w:rPr>
        <w:t>EQUITY</w:t>
      </w:r>
    </w:p>
    <w:p>
      <w:pPr>
        <w:pStyle w:val="BodyText"/>
        <w:spacing w:before="4"/>
        <w:rPr>
          <w:b/>
          <w:sz w:val="10"/>
        </w:rPr>
      </w:pPr>
    </w:p>
    <w:p>
      <w:pPr>
        <w:spacing w:before="99"/>
        <w:ind w:left="641" w:right="0" w:firstLine="0"/>
        <w:jc w:val="left"/>
        <w:rPr>
          <w:sz w:val="14"/>
        </w:rPr>
      </w:pPr>
      <w:r>
        <w:rPr>
          <w:w w:val="105"/>
          <w:sz w:val="14"/>
        </w:rPr>
        <w:t>Ending Fund Balance, June 30</w:t>
      </w:r>
    </w:p>
    <w:p>
      <w:pPr>
        <w:tabs>
          <w:tab w:pos="7428" w:val="left" w:leader="none"/>
        </w:tabs>
        <w:spacing w:before="36"/>
        <w:ind w:left="641" w:right="0" w:firstLine="0"/>
        <w:jc w:val="left"/>
        <w:rPr>
          <w:sz w:val="14"/>
        </w:rPr>
      </w:pPr>
      <w:r>
        <w:rPr>
          <w:w w:val="105"/>
          <w:sz w:val="14"/>
        </w:rPr>
        <w:t>(G9 + H2) - (I6</w:t>
      </w:r>
      <w:r>
        <w:rPr>
          <w:spacing w:val="-21"/>
          <w:w w:val="105"/>
          <w:sz w:val="14"/>
        </w:rPr>
        <w:t> </w:t>
      </w:r>
      <w:r>
        <w:rPr>
          <w:w w:val="105"/>
          <w:sz w:val="14"/>
        </w:rPr>
        <w:t>+</w:t>
      </w:r>
      <w:r>
        <w:rPr>
          <w:spacing w:val="-4"/>
          <w:w w:val="105"/>
          <w:sz w:val="14"/>
        </w:rPr>
        <w:t> </w:t>
      </w:r>
      <w:r>
        <w:rPr>
          <w:w w:val="105"/>
          <w:sz w:val="14"/>
        </w:rPr>
        <w:t>J2)</w:t>
        <w:tab/>
        <w:t>19,192.12</w:t>
      </w:r>
    </w:p>
    <w:p>
      <w:pPr>
        <w:spacing w:after="0"/>
        <w:jc w:val="left"/>
        <w:rPr>
          <w:sz w:val="14"/>
        </w:rPr>
        <w:sectPr>
          <w:type w:val="continuous"/>
          <w:pgSz w:w="12240" w:h="15840"/>
          <w:pgMar w:top="1500" w:bottom="840" w:left="160" w:right="180"/>
        </w:sectPr>
      </w:pPr>
    </w:p>
    <w:p>
      <w:pPr>
        <w:spacing w:line="232" w:lineRule="auto" w:before="1"/>
        <w:ind w:left="308" w:right="0" w:firstLine="0"/>
        <w:jc w:val="left"/>
        <w:rPr>
          <w:sz w:val="18"/>
        </w:rPr>
      </w:pPr>
      <w:r>
        <w:rPr/>
        <w:pict>
          <v:group style="position:absolute;margin-left:30.120001pt;margin-top:36.318634pt;width:538pt;height:132pt;mso-position-horizontal-relative:page;mso-position-vertical-relative:paragraph;z-index:-314421248" coordorigin="602,726" coordsize="10760,2640">
            <v:shape style="position:absolute;left:602;top:726;width:3646;height:790" type="#_x0000_t75" stroked="false">
              <v:imagedata r:id="rId406" o:title=""/>
            </v:shape>
            <v:shape style="position:absolute;left:4240;top:726;width:7121;height:1899" type="#_x0000_t75" stroked="false">
              <v:imagedata r:id="rId720" o:title=""/>
            </v:shape>
            <v:line style="position:absolute" from="1412,1506" to="1412,1874" stroked="true" strokeweight=".360003pt" strokecolor="#ffffff">
              <v:stroke dashstyle="solid"/>
            </v:line>
            <v:shape style="position:absolute;left:6782;top:2252;width:4580;height:737" type="#_x0000_t75" stroked="false">
              <v:imagedata r:id="rId464" o:title=""/>
            </v:shape>
            <v:shape style="position:absolute;left:602;top:1501;width:3646;height:1865" type="#_x0000_t75" stroked="false">
              <v:imagedata r:id="rId721" o:title=""/>
            </v:shape>
            <v:shape style="position:absolute;left:638;top:1340;width:811;height:161" type="#_x0000_t202" filled="false" stroked="false">
              <v:textbox inset="0,0,0,0">
                <w:txbxContent>
                  <w:p>
                    <w:pPr>
                      <w:spacing w:line="160" w:lineRule="exact" w:before="0"/>
                      <w:ind w:left="0" w:right="0" w:firstLine="0"/>
                      <w:jc w:val="left"/>
                      <w:rPr>
                        <w:b/>
                        <w:sz w:val="14"/>
                      </w:rPr>
                    </w:pPr>
                    <w:r>
                      <w:rPr>
                        <w:b/>
                        <w:sz w:val="14"/>
                      </w:rPr>
                      <w:t>Description</w:t>
                    </w:r>
                  </w:p>
                </w:txbxContent>
              </v:textbox>
              <w10:wrap type="none"/>
            </v:shape>
            <v:shape style="position:absolute;left:4466;top:1172;width:3722;height:329" type="#_x0000_t202" filled="false" stroked="false">
              <v:textbox inset="0,0,0,0">
                <w:txbxContent>
                  <w:p>
                    <w:pPr>
                      <w:spacing w:line="160" w:lineRule="exact" w:before="0"/>
                      <w:ind w:left="2820" w:right="0" w:firstLine="0"/>
                      <w:jc w:val="left"/>
                      <w:rPr>
                        <w:b/>
                        <w:sz w:val="14"/>
                      </w:rPr>
                    </w:pPr>
                    <w:r>
                      <w:rPr>
                        <w:b/>
                        <w:w w:val="105"/>
                        <w:sz w:val="14"/>
                      </w:rPr>
                      <w:t>2020-21</w:t>
                    </w:r>
                  </w:p>
                  <w:p>
                    <w:pPr>
                      <w:tabs>
                        <w:tab w:pos="1372" w:val="left" w:leader="none"/>
                      </w:tabs>
                      <w:spacing w:before="7"/>
                      <w:ind w:left="0" w:right="0" w:firstLine="0"/>
                      <w:jc w:val="left"/>
                      <w:rPr>
                        <w:b/>
                        <w:sz w:val="14"/>
                      </w:rPr>
                    </w:pPr>
                    <w:r>
                      <w:rPr>
                        <w:b/>
                        <w:w w:val="105"/>
                        <w:sz w:val="14"/>
                      </w:rPr>
                      <w:t>Resource</w:t>
                    </w:r>
                    <w:r>
                      <w:rPr>
                        <w:b/>
                        <w:spacing w:val="-12"/>
                        <w:w w:val="105"/>
                        <w:sz w:val="14"/>
                      </w:rPr>
                      <w:t> </w:t>
                    </w:r>
                    <w:r>
                      <w:rPr>
                        <w:b/>
                        <w:w w:val="105"/>
                        <w:sz w:val="14"/>
                      </w:rPr>
                      <w:t>Codes</w:t>
                      <w:tab/>
                      <w:t>Object Codes Estimated</w:t>
                    </w:r>
                    <w:r>
                      <w:rPr>
                        <w:b/>
                        <w:spacing w:val="-15"/>
                        <w:w w:val="105"/>
                        <w:sz w:val="14"/>
                      </w:rPr>
                      <w:t> </w:t>
                    </w:r>
                    <w:r>
                      <w:rPr>
                        <w:b/>
                        <w:w w:val="105"/>
                        <w:sz w:val="14"/>
                      </w:rPr>
                      <w:t>Actuals</w:t>
                    </w:r>
                  </w:p>
                </w:txbxContent>
              </v:textbox>
              <w10:wrap type="none"/>
            </v:shape>
            <v:shape style="position:absolute;left:8798;top:1172;width:545;height:329" type="#_x0000_t202" filled="false" stroked="false">
              <v:textbox inset="0,0,0,0">
                <w:txbxContent>
                  <w:p>
                    <w:pPr>
                      <w:spacing w:line="160" w:lineRule="exact" w:before="0"/>
                      <w:ind w:left="0" w:right="0" w:firstLine="0"/>
                      <w:jc w:val="left"/>
                      <w:rPr>
                        <w:b/>
                        <w:sz w:val="14"/>
                      </w:rPr>
                    </w:pPr>
                    <w:r>
                      <w:rPr>
                        <w:b/>
                        <w:sz w:val="14"/>
                      </w:rPr>
                      <w:t>2021-22</w:t>
                    </w:r>
                  </w:p>
                  <w:p>
                    <w:pPr>
                      <w:spacing w:before="7"/>
                      <w:ind w:left="11" w:right="0" w:firstLine="0"/>
                      <w:jc w:val="left"/>
                      <w:rPr>
                        <w:b/>
                        <w:sz w:val="14"/>
                      </w:rPr>
                    </w:pPr>
                    <w:r>
                      <w:rPr>
                        <w:b/>
                        <w:w w:val="105"/>
                        <w:sz w:val="14"/>
                      </w:rPr>
                      <w:t>Budget</w:t>
                    </w:r>
                  </w:p>
                </w:txbxContent>
              </v:textbox>
              <w10:wrap type="none"/>
            </v:shape>
            <v:shape style="position:absolute;left:10236;top:1172;width:721;height:329" type="#_x0000_t202" filled="false" stroked="false">
              <v:textbox inset="0,0,0,0">
                <w:txbxContent>
                  <w:p>
                    <w:pPr>
                      <w:spacing w:line="249" w:lineRule="auto" w:before="0"/>
                      <w:ind w:left="0" w:right="16" w:firstLine="86"/>
                      <w:jc w:val="left"/>
                      <w:rPr>
                        <w:b/>
                        <w:sz w:val="14"/>
                      </w:rPr>
                    </w:pPr>
                    <w:r>
                      <w:rPr>
                        <w:b/>
                        <w:w w:val="105"/>
                        <w:sz w:val="14"/>
                      </w:rPr>
                      <w:t>Percent </w:t>
                    </w:r>
                    <w:r>
                      <w:rPr>
                        <w:b/>
                        <w:sz w:val="14"/>
                      </w:rPr>
                      <w:t>Difference</w:t>
                    </w:r>
                  </w:p>
                </w:txbxContent>
              </v:textbox>
              <w10:wrap type="none"/>
            </v:shape>
            <v:shape style="position:absolute;left:638;top:1714;width:1140;height:540" type="#_x0000_t202" filled="false" stroked="false">
              <v:textbox inset="0,0,0,0">
                <w:txbxContent>
                  <w:p>
                    <w:pPr>
                      <w:spacing w:line="160" w:lineRule="exact" w:before="0"/>
                      <w:ind w:left="0" w:right="0" w:firstLine="0"/>
                      <w:jc w:val="left"/>
                      <w:rPr>
                        <w:b/>
                        <w:sz w:val="14"/>
                      </w:rPr>
                    </w:pPr>
                    <w:r>
                      <w:rPr>
                        <w:b/>
                        <w:w w:val="105"/>
                        <w:sz w:val="14"/>
                      </w:rPr>
                      <w:t>LCFF</w:t>
                    </w:r>
                    <w:r>
                      <w:rPr>
                        <w:b/>
                        <w:spacing w:val="-26"/>
                        <w:w w:val="105"/>
                        <w:sz w:val="14"/>
                      </w:rPr>
                      <w:t> </w:t>
                    </w:r>
                    <w:r>
                      <w:rPr>
                        <w:b/>
                        <w:w w:val="105"/>
                        <w:sz w:val="14"/>
                      </w:rPr>
                      <w:t>SOURCES</w:t>
                    </w:r>
                  </w:p>
                  <w:p>
                    <w:pPr>
                      <w:spacing w:line="240" w:lineRule="auto" w:before="11"/>
                      <w:rPr>
                        <w:b/>
                        <w:sz w:val="18"/>
                      </w:rPr>
                    </w:pPr>
                  </w:p>
                  <w:p>
                    <w:pPr>
                      <w:spacing w:before="0"/>
                      <w:ind w:left="81" w:right="0" w:firstLine="0"/>
                      <w:jc w:val="left"/>
                      <w:rPr>
                        <w:sz w:val="14"/>
                      </w:rPr>
                    </w:pPr>
                    <w:r>
                      <w:rPr>
                        <w:w w:val="105"/>
                        <w:sz w:val="14"/>
                      </w:rPr>
                      <w:t>LCFF</w:t>
                    </w:r>
                    <w:r>
                      <w:rPr>
                        <w:spacing w:val="-21"/>
                        <w:w w:val="105"/>
                        <w:sz w:val="14"/>
                      </w:rPr>
                      <w:t> </w:t>
                    </w:r>
                    <w:r>
                      <w:rPr>
                        <w:w w:val="105"/>
                        <w:sz w:val="14"/>
                      </w:rPr>
                      <w:t>Transfers</w:t>
                    </w:r>
                  </w:p>
                </w:txbxContent>
              </v:textbox>
              <w10:wrap type="none"/>
            </v:shape>
            <w10:wrap type="none"/>
          </v:group>
        </w:pict>
      </w:r>
      <w:r>
        <w:rPr>
          <w:sz w:val="18"/>
        </w:rPr>
        <w:t>Winship-Robbins Elementary Sutter County</w:t>
      </w:r>
    </w:p>
    <w:p>
      <w:pPr>
        <w:spacing w:line="232" w:lineRule="auto" w:before="1"/>
        <w:ind w:left="499" w:right="0" w:hanging="192"/>
        <w:jc w:val="left"/>
        <w:rPr>
          <w:sz w:val="18"/>
        </w:rPr>
      </w:pPr>
      <w:r>
        <w:rPr/>
        <w:br w:type="column"/>
      </w:r>
      <w:r>
        <w:rPr>
          <w:sz w:val="18"/>
        </w:rPr>
        <w:t>Deferred Maintenance Fund Expenditures by Object</w:t>
      </w:r>
    </w:p>
    <w:p>
      <w:pPr>
        <w:spacing w:line="200" w:lineRule="exact" w:before="0"/>
        <w:ind w:left="0" w:right="287" w:firstLine="0"/>
        <w:jc w:val="right"/>
        <w:rPr>
          <w:sz w:val="18"/>
        </w:rPr>
      </w:pPr>
      <w:r>
        <w:rPr/>
        <w:br w:type="column"/>
      </w:r>
      <w:r>
        <w:rPr>
          <w:sz w:val="18"/>
        </w:rPr>
        <w:t>51 71456</w:t>
      </w:r>
      <w:r>
        <w:rPr>
          <w:spacing w:val="3"/>
          <w:sz w:val="18"/>
        </w:rPr>
        <w:t> </w:t>
      </w:r>
      <w:r>
        <w:rPr>
          <w:sz w:val="18"/>
        </w:rPr>
        <w:t>0000000</w:t>
      </w:r>
    </w:p>
    <w:p>
      <w:pPr>
        <w:spacing w:line="204" w:lineRule="exact" w:before="0"/>
        <w:ind w:left="0" w:right="285" w:firstLine="0"/>
        <w:jc w:val="right"/>
        <w:rPr>
          <w:sz w:val="18"/>
        </w:rPr>
      </w:pPr>
      <w:r>
        <w:rPr>
          <w:sz w:val="18"/>
        </w:rPr>
        <w:t>Form </w:t>
      </w:r>
      <w:r>
        <w:rPr>
          <w:spacing w:val="3"/>
          <w:sz w:val="18"/>
        </w:rPr>
        <w:t> </w:t>
      </w:r>
      <w:r>
        <w:rPr>
          <w:sz w:val="18"/>
        </w:rPr>
        <w:t>14</w:t>
      </w:r>
    </w:p>
    <w:p>
      <w:pPr>
        <w:spacing w:after="0" w:line="204" w:lineRule="exact"/>
        <w:jc w:val="right"/>
        <w:rPr>
          <w:sz w:val="18"/>
        </w:rPr>
        <w:sectPr>
          <w:pgSz w:w="12240" w:h="15840"/>
          <w:pgMar w:header="651" w:footer="437" w:top="840" w:bottom="620" w:left="160" w:right="180"/>
          <w:cols w:num="3" w:equalWidth="0">
            <w:col w:w="2698" w:space="1823"/>
            <w:col w:w="2608" w:space="2663"/>
            <w:col w:w="2108"/>
          </w:cols>
        </w:sectPr>
      </w:pPr>
    </w:p>
    <w:p>
      <w:pPr>
        <w:pStyle w:val="BodyText"/>
        <w:rPr>
          <w:sz w:val="20"/>
        </w:rPr>
      </w:pPr>
      <w:r>
        <w:rPr/>
        <w:pict>
          <v:group style="position:absolute;margin-left:30.120001pt;margin-top:173.520004pt;width:538pt;height:304.95pt;mso-position-horizontal-relative:page;mso-position-vertical-relative:page;z-index:-314414080" coordorigin="602,3470" coordsize="10760,6099">
            <v:shape style="position:absolute;left:4240;top:3470;width:7121;height:749" type="#_x0000_t75" stroked="false">
              <v:imagedata r:id="rId722" o:title=""/>
            </v:shape>
            <v:shape style="position:absolute;left:602;top:4212;width:3646;height:377" type="#_x0000_t75" stroked="false">
              <v:imagedata r:id="rId723" o:title=""/>
            </v:shape>
            <v:shape style="position:absolute;left:4240;top:3835;width:7121;height:1320" type="#_x0000_t75" stroked="false">
              <v:imagedata r:id="rId724" o:title=""/>
            </v:shape>
            <v:shape style="position:absolute;left:602;top:4586;width:3646;height:946" type="#_x0000_t75" stroked="false">
              <v:imagedata r:id="rId651" o:title=""/>
            </v:shape>
            <v:shape style="position:absolute;left:4240;top:4783;width:7121;height:749" type="#_x0000_t75" stroked="false">
              <v:imagedata r:id="rId479" o:title=""/>
            </v:shape>
            <v:shape style="position:absolute;left:602;top:5524;width:3646;height:339" type="#_x0000_t75" stroked="false">
              <v:imagedata r:id="rId609" o:title=""/>
            </v:shape>
            <v:shape style="position:absolute;left:4240;top:5148;width:7121;height:1659" type="#_x0000_t75" stroked="false">
              <v:imagedata r:id="rId725" o:title=""/>
            </v:shape>
            <v:shape style="position:absolute;left:6782;top:6602;width:4580;height:766" type="#_x0000_t75" stroked="false">
              <v:imagedata r:id="rId726" o:title=""/>
            </v:shape>
            <v:shape style="position:absolute;left:602;top:5860;width:3646;height:3708" type="#_x0000_t75" stroked="false">
              <v:imagedata r:id="rId727" o:title=""/>
            </v:shape>
            <v:shape style="position:absolute;left:638;top:5699;width:2463;height:1102" type="#_x0000_t202" filled="false" stroked="false">
              <v:textbox inset="0,0,0,0">
                <w:txbxContent>
                  <w:p>
                    <w:pPr>
                      <w:spacing w:line="160" w:lineRule="exact" w:before="0"/>
                      <w:ind w:left="0" w:right="0" w:firstLine="0"/>
                      <w:jc w:val="left"/>
                      <w:rPr>
                        <w:b/>
                        <w:sz w:val="14"/>
                      </w:rPr>
                    </w:pPr>
                    <w:r>
                      <w:rPr>
                        <w:b/>
                        <w:w w:val="105"/>
                        <w:sz w:val="14"/>
                      </w:rPr>
                      <w:t>OTHER LOCAL REVENUE</w:t>
                    </w:r>
                  </w:p>
                  <w:p>
                    <w:pPr>
                      <w:spacing w:line="240" w:lineRule="auto" w:before="11"/>
                      <w:rPr>
                        <w:b/>
                        <w:sz w:val="18"/>
                      </w:rPr>
                    </w:pPr>
                  </w:p>
                  <w:p>
                    <w:pPr>
                      <w:spacing w:before="0"/>
                      <w:ind w:left="81" w:right="0" w:firstLine="0"/>
                      <w:jc w:val="left"/>
                      <w:rPr>
                        <w:sz w:val="14"/>
                      </w:rPr>
                    </w:pPr>
                    <w:r>
                      <w:rPr>
                        <w:w w:val="105"/>
                        <w:sz w:val="14"/>
                      </w:rPr>
                      <w:t>Other Local Revenue</w:t>
                    </w:r>
                  </w:p>
                  <w:p>
                    <w:pPr>
                      <w:spacing w:line="240" w:lineRule="auto" w:before="2"/>
                      <w:rPr>
                        <w:sz w:val="15"/>
                      </w:rPr>
                    </w:pPr>
                  </w:p>
                  <w:p>
                    <w:pPr>
                      <w:spacing w:line="190" w:lineRule="atLeast" w:before="0"/>
                      <w:ind w:left="284" w:right="6" w:hanging="40"/>
                      <w:jc w:val="left"/>
                      <w:rPr>
                        <w:sz w:val="14"/>
                      </w:rPr>
                    </w:pPr>
                    <w:r>
                      <w:rPr>
                        <w:w w:val="105"/>
                        <w:sz w:val="14"/>
                      </w:rPr>
                      <w:t>Community</w:t>
                    </w:r>
                    <w:r>
                      <w:rPr>
                        <w:spacing w:val="-26"/>
                        <w:w w:val="105"/>
                        <w:sz w:val="14"/>
                      </w:rPr>
                      <w:t> </w:t>
                    </w:r>
                    <w:r>
                      <w:rPr>
                        <w:w w:val="105"/>
                        <w:sz w:val="14"/>
                      </w:rPr>
                      <w:t>Redevelopment</w:t>
                    </w:r>
                    <w:r>
                      <w:rPr>
                        <w:spacing w:val="-25"/>
                        <w:w w:val="105"/>
                        <w:sz w:val="14"/>
                      </w:rPr>
                      <w:t> </w:t>
                    </w:r>
                    <w:r>
                      <w:rPr>
                        <w:spacing w:val="-4"/>
                        <w:w w:val="105"/>
                        <w:sz w:val="14"/>
                      </w:rPr>
                      <w:t>Funds </w:t>
                    </w:r>
                    <w:r>
                      <w:rPr>
                        <w:w w:val="105"/>
                        <w:sz w:val="14"/>
                      </w:rPr>
                      <w:t>Not Subject to LCFF</w:t>
                    </w:r>
                    <w:r>
                      <w:rPr>
                        <w:spacing w:val="-26"/>
                        <w:w w:val="105"/>
                        <w:sz w:val="14"/>
                      </w:rPr>
                      <w:t> </w:t>
                    </w:r>
                    <w:r>
                      <w:rPr>
                        <w:w w:val="105"/>
                        <w:sz w:val="14"/>
                      </w:rPr>
                      <w:t>Deduction</w:t>
                    </w:r>
                  </w:p>
                </w:txbxContent>
              </v:textbox>
              <w10:wrap type="none"/>
            </v:shape>
            <v:shape style="position:absolute;left:6144;top:6640;width:338;height:161" type="#_x0000_t202" filled="false" stroked="false">
              <v:textbox inset="0,0,0,0">
                <w:txbxContent>
                  <w:p>
                    <w:pPr>
                      <w:spacing w:line="160" w:lineRule="exact" w:before="0"/>
                      <w:ind w:left="0" w:right="0" w:firstLine="0"/>
                      <w:jc w:val="left"/>
                      <w:rPr>
                        <w:sz w:val="14"/>
                      </w:rPr>
                    </w:pPr>
                    <w:r>
                      <w:rPr>
                        <w:w w:val="105"/>
                        <w:sz w:val="14"/>
                      </w:rPr>
                      <w:t>8625</w:t>
                    </w:r>
                  </w:p>
                </w:txbxContent>
              </v:textbox>
              <w10:wrap type="none"/>
            </v:shape>
            <v:shape style="position:absolute;left:7946;top:6640;width:299;height:161" type="#_x0000_t202" filled="false" stroked="false">
              <v:textbox inset="0,0,0,0">
                <w:txbxContent>
                  <w:p>
                    <w:pPr>
                      <w:spacing w:line="160" w:lineRule="exact" w:before="0"/>
                      <w:ind w:left="0" w:right="0" w:firstLine="0"/>
                      <w:jc w:val="left"/>
                      <w:rPr>
                        <w:sz w:val="14"/>
                      </w:rPr>
                    </w:pPr>
                    <w:r>
                      <w:rPr>
                        <w:w w:val="105"/>
                        <w:sz w:val="14"/>
                      </w:rPr>
                      <w:t>0.00</w:t>
                    </w:r>
                  </w:p>
                </w:txbxContent>
              </v:textbox>
              <w10:wrap type="none"/>
            </v:shape>
            <v:shape style="position:absolute;left:9458;top:6640;width:299;height:161" type="#_x0000_t202" filled="false" stroked="false">
              <v:textbox inset="0,0,0,0">
                <w:txbxContent>
                  <w:p>
                    <w:pPr>
                      <w:spacing w:line="160" w:lineRule="exact" w:before="0"/>
                      <w:ind w:left="0" w:right="0" w:firstLine="0"/>
                      <w:jc w:val="left"/>
                      <w:rPr>
                        <w:sz w:val="14"/>
                      </w:rPr>
                    </w:pPr>
                    <w:r>
                      <w:rPr>
                        <w:w w:val="105"/>
                        <w:sz w:val="14"/>
                      </w:rPr>
                      <w:t>0.00</w:t>
                    </w:r>
                  </w:p>
                </w:txbxContent>
              </v:textbox>
              <w10:wrap type="none"/>
            </v:shape>
            <v:shape style="position:absolute;left:10999;top:6640;width:347;height:161" type="#_x0000_t202" filled="false" stroked="false">
              <v:textbox inset="0,0,0,0">
                <w:txbxContent>
                  <w:p>
                    <w:pPr>
                      <w:spacing w:line="160" w:lineRule="exact" w:before="0"/>
                      <w:ind w:left="0" w:right="0" w:firstLine="0"/>
                      <w:jc w:val="left"/>
                      <w:rPr>
                        <w:sz w:val="14"/>
                      </w:rPr>
                    </w:pPr>
                    <w:r>
                      <w:rPr>
                        <w:w w:val="105"/>
                        <w:sz w:val="14"/>
                      </w:rPr>
                      <w:t>0.0%</w:t>
                    </w:r>
                  </w:p>
                </w:txbxContent>
              </v:textbox>
              <w10:wrap type="none"/>
            </v:shape>
            <v:shape style="position:absolute;left:801;top:7005;width:378;height:161" type="#_x0000_t202" filled="false" stroked="false">
              <v:textbox inset="0,0,0,0">
                <w:txbxContent>
                  <w:p>
                    <w:pPr>
                      <w:spacing w:line="160" w:lineRule="exact" w:before="0"/>
                      <w:ind w:left="0" w:right="0" w:firstLine="0"/>
                      <w:jc w:val="left"/>
                      <w:rPr>
                        <w:sz w:val="14"/>
                      </w:rPr>
                    </w:pPr>
                    <w:r>
                      <w:rPr>
                        <w:w w:val="105"/>
                        <w:sz w:val="14"/>
                      </w:rPr>
                      <w:t>Sales</w:t>
                    </w:r>
                  </w:p>
                </w:txbxContent>
              </v:textbox>
              <w10:wrap type="none"/>
            </v:shape>
            <w10:wrap type="none"/>
          </v:group>
        </w:pict>
      </w:r>
      <w:r>
        <w:rPr/>
        <w:pict>
          <v:group style="position:absolute;margin-left:30.120001pt;margin-top:358.200012pt;width:538pt;height:139.450pt;mso-position-horizontal-relative:page;mso-position-vertical-relative:page;z-index:-314413056" coordorigin="602,7164" coordsize="10760,2789">
            <v:shape style="position:absolute;left:6782;top:7164;width:4580;height:569" type="#_x0000_t75" stroked="false">
              <v:imagedata r:id="rId636" o:title=""/>
            </v:shape>
            <v:shape style="position:absolute;left:6782;top:7360;width:4580;height:737" type="#_x0000_t75" stroked="false">
              <v:imagedata r:id="rId464" o:title=""/>
            </v:shape>
            <v:shape style="position:absolute;left:6782;top:7725;width:4580;height:1102" type="#_x0000_t75" stroked="false">
              <v:imagedata r:id="rId615" o:title=""/>
            </v:shape>
            <v:shape style="position:absolute;left:6782;top:8455;width:4580;height:737" type="#_x0000_t75" stroked="false">
              <v:imagedata r:id="rId616" o:title=""/>
            </v:shape>
            <v:shape style="position:absolute;left:4240;top:8820;width:7121;height:749" type="#_x0000_t75" stroked="false">
              <v:imagedata r:id="rId608" o:title=""/>
            </v:shape>
            <v:shape style="position:absolute;left:602;top:9561;width:3646;height:392" type="#_x0000_t75" stroked="false">
              <v:imagedata r:id="rId617" o:title=""/>
            </v:shape>
            <v:shape style="position:absolute;left:4240;top:9184;width:7121;height:768" type="#_x0000_t75" stroked="false">
              <v:imagedata r:id="rId618" o:title=""/>
            </v:shape>
            <v:shape style="position:absolute;left:9806;top:9561;width:1556;height:392" type="#_x0000_t75" stroked="false">
              <v:imagedata r:id="rId586" o:titl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18"/>
        </w:rPr>
      </w:pPr>
    </w:p>
    <w:tbl>
      <w:tblPr>
        <w:tblW w:w="0" w:type="auto"/>
        <w:jc w:val="left"/>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90"/>
        <w:gridCol w:w="2326"/>
        <w:gridCol w:w="1638"/>
        <w:gridCol w:w="1526"/>
        <w:gridCol w:w="1007"/>
      </w:tblGrid>
      <w:tr>
        <w:trPr>
          <w:trHeight w:val="262" w:hRule="atLeast"/>
        </w:trPr>
        <w:tc>
          <w:tcPr>
            <w:tcW w:w="4290" w:type="dxa"/>
          </w:tcPr>
          <w:p>
            <w:pPr>
              <w:pStyle w:val="TableParagraph"/>
              <w:spacing w:line="160" w:lineRule="exact"/>
              <w:ind w:left="213"/>
              <w:rPr>
                <w:sz w:val="14"/>
              </w:rPr>
            </w:pPr>
            <w:r>
              <w:rPr>
                <w:w w:val="105"/>
                <w:sz w:val="14"/>
              </w:rPr>
              <w:t>LCFF Transfers - Current Year</w:t>
            </w:r>
          </w:p>
        </w:tc>
        <w:tc>
          <w:tcPr>
            <w:tcW w:w="2326" w:type="dxa"/>
          </w:tcPr>
          <w:p>
            <w:pPr>
              <w:pStyle w:val="TableParagraph"/>
              <w:spacing w:line="160" w:lineRule="exact"/>
              <w:ind w:right="741"/>
              <w:jc w:val="right"/>
              <w:rPr>
                <w:sz w:val="14"/>
              </w:rPr>
            </w:pPr>
            <w:r>
              <w:rPr>
                <w:sz w:val="14"/>
              </w:rPr>
              <w:t>8091</w:t>
            </w:r>
          </w:p>
        </w:tc>
        <w:tc>
          <w:tcPr>
            <w:tcW w:w="1638" w:type="dxa"/>
          </w:tcPr>
          <w:p>
            <w:pPr>
              <w:pStyle w:val="TableParagraph"/>
              <w:spacing w:line="160" w:lineRule="exact"/>
              <w:ind w:right="615"/>
              <w:jc w:val="right"/>
              <w:rPr>
                <w:sz w:val="14"/>
              </w:rPr>
            </w:pPr>
            <w:r>
              <w:rPr>
                <w:sz w:val="14"/>
              </w:rPr>
              <w:t>0.00</w:t>
            </w:r>
          </w:p>
        </w:tc>
        <w:tc>
          <w:tcPr>
            <w:tcW w:w="1526" w:type="dxa"/>
          </w:tcPr>
          <w:p>
            <w:pPr>
              <w:pStyle w:val="TableParagraph"/>
              <w:spacing w:line="160" w:lineRule="exact"/>
              <w:ind w:left="615"/>
              <w:rPr>
                <w:sz w:val="14"/>
              </w:rPr>
            </w:pPr>
            <w:r>
              <w:rPr>
                <w:w w:val="105"/>
                <w:sz w:val="14"/>
              </w:rPr>
              <w:t>0.00</w:t>
            </w:r>
          </w:p>
        </w:tc>
        <w:tc>
          <w:tcPr>
            <w:tcW w:w="1007" w:type="dxa"/>
          </w:tcPr>
          <w:p>
            <w:pPr>
              <w:pStyle w:val="TableParagraph"/>
              <w:spacing w:line="160" w:lineRule="exact"/>
              <w:ind w:right="47"/>
              <w:jc w:val="right"/>
              <w:rPr>
                <w:sz w:val="14"/>
              </w:rPr>
            </w:pPr>
            <w:r>
              <w:rPr>
                <w:sz w:val="14"/>
              </w:rPr>
              <w:t>0.0%</w:t>
            </w:r>
          </w:p>
        </w:tc>
      </w:tr>
      <w:tr>
        <w:trPr>
          <w:trHeight w:val="370" w:hRule="atLeast"/>
        </w:trPr>
        <w:tc>
          <w:tcPr>
            <w:tcW w:w="4290" w:type="dxa"/>
          </w:tcPr>
          <w:p>
            <w:pPr>
              <w:pStyle w:val="TableParagraph"/>
              <w:spacing w:before="101"/>
              <w:ind w:left="213"/>
              <w:rPr>
                <w:sz w:val="14"/>
              </w:rPr>
            </w:pPr>
            <w:r>
              <w:rPr>
                <w:w w:val="105"/>
                <w:sz w:val="14"/>
              </w:rPr>
              <w:t>LCFF/Revenue Limit Transfers - Prior Years</w:t>
            </w:r>
          </w:p>
        </w:tc>
        <w:tc>
          <w:tcPr>
            <w:tcW w:w="2326" w:type="dxa"/>
          </w:tcPr>
          <w:p>
            <w:pPr>
              <w:pStyle w:val="TableParagraph"/>
              <w:spacing w:before="101"/>
              <w:ind w:right="741"/>
              <w:jc w:val="right"/>
              <w:rPr>
                <w:sz w:val="14"/>
              </w:rPr>
            </w:pPr>
            <w:r>
              <w:rPr>
                <w:sz w:val="14"/>
              </w:rPr>
              <w:t>8099</w:t>
            </w:r>
          </w:p>
        </w:tc>
        <w:tc>
          <w:tcPr>
            <w:tcW w:w="1638" w:type="dxa"/>
          </w:tcPr>
          <w:p>
            <w:pPr>
              <w:pStyle w:val="TableParagraph"/>
              <w:spacing w:before="101"/>
              <w:ind w:right="615"/>
              <w:jc w:val="right"/>
              <w:rPr>
                <w:sz w:val="14"/>
              </w:rPr>
            </w:pPr>
            <w:r>
              <w:rPr>
                <w:sz w:val="14"/>
              </w:rPr>
              <w:t>0.00</w:t>
            </w:r>
          </w:p>
        </w:tc>
        <w:tc>
          <w:tcPr>
            <w:tcW w:w="1526" w:type="dxa"/>
          </w:tcPr>
          <w:p>
            <w:pPr>
              <w:pStyle w:val="TableParagraph"/>
              <w:spacing w:before="101"/>
              <w:ind w:left="615"/>
              <w:rPr>
                <w:sz w:val="14"/>
              </w:rPr>
            </w:pPr>
            <w:r>
              <w:rPr>
                <w:w w:val="105"/>
                <w:sz w:val="14"/>
              </w:rPr>
              <w:t>0.00</w:t>
            </w:r>
          </w:p>
        </w:tc>
        <w:tc>
          <w:tcPr>
            <w:tcW w:w="1007" w:type="dxa"/>
          </w:tcPr>
          <w:p>
            <w:pPr>
              <w:pStyle w:val="TableParagraph"/>
              <w:spacing w:before="101"/>
              <w:ind w:right="47"/>
              <w:jc w:val="right"/>
              <w:rPr>
                <w:sz w:val="14"/>
              </w:rPr>
            </w:pPr>
            <w:r>
              <w:rPr>
                <w:sz w:val="14"/>
              </w:rPr>
              <w:t>0.0%</w:t>
            </w:r>
          </w:p>
        </w:tc>
      </w:tr>
      <w:tr>
        <w:trPr>
          <w:trHeight w:val="842" w:hRule="atLeast"/>
        </w:trPr>
        <w:tc>
          <w:tcPr>
            <w:tcW w:w="4290" w:type="dxa"/>
          </w:tcPr>
          <w:p>
            <w:pPr>
              <w:pStyle w:val="TableParagraph"/>
              <w:spacing w:before="107"/>
              <w:ind w:left="131"/>
              <w:rPr>
                <w:sz w:val="14"/>
              </w:rPr>
            </w:pPr>
            <w:r>
              <w:rPr>
                <w:w w:val="105"/>
                <w:sz w:val="14"/>
              </w:rPr>
              <w:t>TOTAL,</w:t>
            </w:r>
            <w:r>
              <w:rPr>
                <w:spacing w:val="-18"/>
                <w:w w:val="105"/>
                <w:sz w:val="14"/>
              </w:rPr>
              <w:t> </w:t>
            </w:r>
            <w:r>
              <w:rPr>
                <w:w w:val="105"/>
                <w:sz w:val="14"/>
              </w:rPr>
              <w:t>LCFF</w:t>
            </w:r>
            <w:r>
              <w:rPr>
                <w:spacing w:val="-17"/>
                <w:w w:val="105"/>
                <w:sz w:val="14"/>
              </w:rPr>
              <w:t> </w:t>
            </w:r>
            <w:r>
              <w:rPr>
                <w:w w:val="105"/>
                <w:sz w:val="14"/>
              </w:rPr>
              <w:t>SOURCES</w:t>
            </w:r>
          </w:p>
          <w:p>
            <w:pPr>
              <w:pStyle w:val="TableParagraph"/>
              <w:spacing w:before="3"/>
              <w:rPr>
                <w:sz w:val="18"/>
              </w:rPr>
            </w:pPr>
          </w:p>
          <w:p>
            <w:pPr>
              <w:pStyle w:val="TableParagraph"/>
              <w:spacing w:before="1"/>
              <w:ind w:left="50"/>
              <w:rPr>
                <w:b/>
                <w:sz w:val="14"/>
              </w:rPr>
            </w:pPr>
            <w:r>
              <w:rPr>
                <w:b/>
                <w:w w:val="105"/>
                <w:sz w:val="14"/>
              </w:rPr>
              <w:t>OTHER</w:t>
            </w:r>
            <w:r>
              <w:rPr>
                <w:b/>
                <w:spacing w:val="-23"/>
                <w:w w:val="105"/>
                <w:sz w:val="14"/>
              </w:rPr>
              <w:t> </w:t>
            </w:r>
            <w:r>
              <w:rPr>
                <w:b/>
                <w:w w:val="105"/>
                <w:sz w:val="14"/>
              </w:rPr>
              <w:t>STATE</w:t>
            </w:r>
            <w:r>
              <w:rPr>
                <w:b/>
                <w:spacing w:val="-22"/>
                <w:w w:val="105"/>
                <w:sz w:val="14"/>
              </w:rPr>
              <w:t> </w:t>
            </w:r>
            <w:r>
              <w:rPr>
                <w:b/>
                <w:w w:val="105"/>
                <w:sz w:val="14"/>
              </w:rPr>
              <w:t>REVENUE</w:t>
            </w:r>
          </w:p>
        </w:tc>
        <w:tc>
          <w:tcPr>
            <w:tcW w:w="2326" w:type="dxa"/>
          </w:tcPr>
          <w:p>
            <w:pPr>
              <w:pStyle w:val="TableParagraph"/>
              <w:rPr>
                <w:rFonts w:ascii="Times New Roman"/>
                <w:sz w:val="14"/>
              </w:rPr>
            </w:pPr>
          </w:p>
        </w:tc>
        <w:tc>
          <w:tcPr>
            <w:tcW w:w="1638" w:type="dxa"/>
          </w:tcPr>
          <w:p>
            <w:pPr>
              <w:pStyle w:val="TableParagraph"/>
              <w:spacing w:before="107"/>
              <w:ind w:right="615"/>
              <w:jc w:val="right"/>
              <w:rPr>
                <w:sz w:val="14"/>
              </w:rPr>
            </w:pPr>
            <w:r>
              <w:rPr>
                <w:sz w:val="14"/>
              </w:rPr>
              <w:t>0.00</w:t>
            </w:r>
          </w:p>
        </w:tc>
        <w:tc>
          <w:tcPr>
            <w:tcW w:w="1526" w:type="dxa"/>
          </w:tcPr>
          <w:p>
            <w:pPr>
              <w:pStyle w:val="TableParagraph"/>
              <w:spacing w:before="107"/>
              <w:ind w:left="615"/>
              <w:rPr>
                <w:sz w:val="14"/>
              </w:rPr>
            </w:pPr>
            <w:r>
              <w:rPr>
                <w:w w:val="105"/>
                <w:sz w:val="14"/>
              </w:rPr>
              <w:t>0.00</w:t>
            </w:r>
          </w:p>
        </w:tc>
        <w:tc>
          <w:tcPr>
            <w:tcW w:w="1007" w:type="dxa"/>
          </w:tcPr>
          <w:p>
            <w:pPr>
              <w:pStyle w:val="TableParagraph"/>
              <w:spacing w:before="107"/>
              <w:ind w:right="47"/>
              <w:jc w:val="right"/>
              <w:rPr>
                <w:sz w:val="14"/>
              </w:rPr>
            </w:pPr>
            <w:r>
              <w:rPr>
                <w:sz w:val="14"/>
              </w:rPr>
              <w:t>0.0%</w:t>
            </w:r>
          </w:p>
        </w:tc>
      </w:tr>
      <w:tr>
        <w:trPr>
          <w:trHeight w:val="470" w:hRule="atLeast"/>
        </w:trPr>
        <w:tc>
          <w:tcPr>
            <w:tcW w:w="4290" w:type="dxa"/>
          </w:tcPr>
          <w:p>
            <w:pPr>
              <w:pStyle w:val="TableParagraph"/>
              <w:spacing w:before="5"/>
              <w:rPr>
                <w:sz w:val="17"/>
              </w:rPr>
            </w:pPr>
          </w:p>
          <w:p>
            <w:pPr>
              <w:pStyle w:val="TableParagraph"/>
              <w:ind w:left="131"/>
              <w:rPr>
                <w:sz w:val="14"/>
              </w:rPr>
            </w:pPr>
            <w:r>
              <w:rPr>
                <w:w w:val="105"/>
                <w:sz w:val="14"/>
              </w:rPr>
              <w:t>All Other State Revenue</w:t>
            </w:r>
          </w:p>
        </w:tc>
        <w:tc>
          <w:tcPr>
            <w:tcW w:w="2326" w:type="dxa"/>
          </w:tcPr>
          <w:p>
            <w:pPr>
              <w:pStyle w:val="TableParagraph"/>
              <w:spacing w:before="5"/>
              <w:rPr>
                <w:sz w:val="17"/>
              </w:rPr>
            </w:pPr>
          </w:p>
          <w:p>
            <w:pPr>
              <w:pStyle w:val="TableParagraph"/>
              <w:ind w:right="741"/>
              <w:jc w:val="right"/>
              <w:rPr>
                <w:sz w:val="14"/>
              </w:rPr>
            </w:pPr>
            <w:r>
              <w:rPr>
                <w:sz w:val="14"/>
              </w:rPr>
              <w:t>8590</w:t>
            </w:r>
          </w:p>
        </w:tc>
        <w:tc>
          <w:tcPr>
            <w:tcW w:w="1638" w:type="dxa"/>
          </w:tcPr>
          <w:p>
            <w:pPr>
              <w:pStyle w:val="TableParagraph"/>
              <w:spacing w:before="5"/>
              <w:rPr>
                <w:sz w:val="17"/>
              </w:rPr>
            </w:pPr>
          </w:p>
          <w:p>
            <w:pPr>
              <w:pStyle w:val="TableParagraph"/>
              <w:ind w:right="615"/>
              <w:jc w:val="right"/>
              <w:rPr>
                <w:sz w:val="14"/>
              </w:rPr>
            </w:pPr>
            <w:r>
              <w:rPr>
                <w:sz w:val="14"/>
              </w:rPr>
              <w:t>0.00</w:t>
            </w:r>
          </w:p>
        </w:tc>
        <w:tc>
          <w:tcPr>
            <w:tcW w:w="1526" w:type="dxa"/>
          </w:tcPr>
          <w:p>
            <w:pPr>
              <w:pStyle w:val="TableParagraph"/>
              <w:spacing w:before="5"/>
              <w:rPr>
                <w:sz w:val="17"/>
              </w:rPr>
            </w:pPr>
          </w:p>
          <w:p>
            <w:pPr>
              <w:pStyle w:val="TableParagraph"/>
              <w:ind w:left="615"/>
              <w:rPr>
                <w:sz w:val="14"/>
              </w:rPr>
            </w:pPr>
            <w:r>
              <w:rPr>
                <w:w w:val="105"/>
                <w:sz w:val="14"/>
              </w:rPr>
              <w:t>0.00</w:t>
            </w:r>
          </w:p>
        </w:tc>
        <w:tc>
          <w:tcPr>
            <w:tcW w:w="1007" w:type="dxa"/>
          </w:tcPr>
          <w:p>
            <w:pPr>
              <w:pStyle w:val="TableParagraph"/>
              <w:spacing w:before="5"/>
              <w:rPr>
                <w:sz w:val="17"/>
              </w:rPr>
            </w:pPr>
          </w:p>
          <w:p>
            <w:pPr>
              <w:pStyle w:val="TableParagraph"/>
              <w:ind w:right="47"/>
              <w:jc w:val="right"/>
              <w:rPr>
                <w:sz w:val="14"/>
              </w:rPr>
            </w:pPr>
            <w:r>
              <w:rPr>
                <w:sz w:val="14"/>
              </w:rPr>
              <w:t>0.0%</w:t>
            </w:r>
          </w:p>
        </w:tc>
      </w:tr>
      <w:tr>
        <w:trPr>
          <w:trHeight w:val="268" w:hRule="atLeast"/>
        </w:trPr>
        <w:tc>
          <w:tcPr>
            <w:tcW w:w="4290" w:type="dxa"/>
          </w:tcPr>
          <w:p>
            <w:pPr>
              <w:pStyle w:val="TableParagraph"/>
              <w:spacing w:line="142" w:lineRule="exact" w:before="107"/>
              <w:ind w:left="131"/>
              <w:rPr>
                <w:sz w:val="14"/>
              </w:rPr>
            </w:pPr>
            <w:r>
              <w:rPr>
                <w:w w:val="105"/>
                <w:sz w:val="14"/>
              </w:rPr>
              <w:t>TOTAL, OTHER STATE REVENUE</w:t>
            </w:r>
          </w:p>
        </w:tc>
        <w:tc>
          <w:tcPr>
            <w:tcW w:w="2326" w:type="dxa"/>
          </w:tcPr>
          <w:p>
            <w:pPr>
              <w:pStyle w:val="TableParagraph"/>
              <w:rPr>
                <w:rFonts w:ascii="Times New Roman"/>
                <w:sz w:val="14"/>
              </w:rPr>
            </w:pPr>
          </w:p>
        </w:tc>
        <w:tc>
          <w:tcPr>
            <w:tcW w:w="1638" w:type="dxa"/>
          </w:tcPr>
          <w:p>
            <w:pPr>
              <w:pStyle w:val="TableParagraph"/>
              <w:spacing w:line="142" w:lineRule="exact" w:before="107"/>
              <w:ind w:right="615"/>
              <w:jc w:val="right"/>
              <w:rPr>
                <w:sz w:val="14"/>
              </w:rPr>
            </w:pPr>
            <w:r>
              <w:rPr>
                <w:sz w:val="14"/>
              </w:rPr>
              <w:t>0.00</w:t>
            </w:r>
          </w:p>
        </w:tc>
        <w:tc>
          <w:tcPr>
            <w:tcW w:w="1526" w:type="dxa"/>
          </w:tcPr>
          <w:p>
            <w:pPr>
              <w:pStyle w:val="TableParagraph"/>
              <w:spacing w:line="142" w:lineRule="exact" w:before="107"/>
              <w:ind w:left="615"/>
              <w:rPr>
                <w:sz w:val="14"/>
              </w:rPr>
            </w:pPr>
            <w:r>
              <w:rPr>
                <w:w w:val="105"/>
                <w:sz w:val="14"/>
              </w:rPr>
              <w:t>0.00</w:t>
            </w:r>
          </w:p>
        </w:tc>
        <w:tc>
          <w:tcPr>
            <w:tcW w:w="1007" w:type="dxa"/>
          </w:tcPr>
          <w:p>
            <w:pPr>
              <w:pStyle w:val="TableParagraph"/>
              <w:spacing w:line="142" w:lineRule="exact" w:before="107"/>
              <w:ind w:right="47"/>
              <w:jc w:val="right"/>
              <w:rPr>
                <w:sz w:val="14"/>
              </w:rPr>
            </w:pPr>
            <w:r>
              <w:rPr>
                <w:sz w:val="14"/>
              </w:rPr>
              <w:t>0.0%</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5"/>
        </w:rPr>
      </w:pPr>
    </w:p>
    <w:tbl>
      <w:tblPr>
        <w:tblW w:w="0" w:type="auto"/>
        <w:jc w:val="left"/>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93"/>
        <w:gridCol w:w="1844"/>
        <w:gridCol w:w="1639"/>
        <w:gridCol w:w="1606"/>
        <w:gridCol w:w="1008"/>
      </w:tblGrid>
      <w:tr>
        <w:trPr>
          <w:trHeight w:val="262" w:hRule="atLeast"/>
        </w:trPr>
        <w:tc>
          <w:tcPr>
            <w:tcW w:w="4693" w:type="dxa"/>
          </w:tcPr>
          <w:p>
            <w:pPr>
              <w:pStyle w:val="TableParagraph"/>
              <w:spacing w:line="160" w:lineRule="exact"/>
              <w:ind w:left="294"/>
              <w:rPr>
                <w:sz w:val="14"/>
              </w:rPr>
            </w:pPr>
            <w:r>
              <w:rPr>
                <w:w w:val="105"/>
                <w:sz w:val="14"/>
              </w:rPr>
              <w:t>Sale of Equipment/Supplies</w:t>
            </w:r>
          </w:p>
        </w:tc>
        <w:tc>
          <w:tcPr>
            <w:tcW w:w="1844" w:type="dxa"/>
          </w:tcPr>
          <w:p>
            <w:pPr>
              <w:pStyle w:val="TableParagraph"/>
              <w:spacing w:line="160" w:lineRule="exact"/>
              <w:ind w:right="662"/>
              <w:jc w:val="right"/>
              <w:rPr>
                <w:sz w:val="14"/>
              </w:rPr>
            </w:pPr>
            <w:r>
              <w:rPr>
                <w:sz w:val="14"/>
              </w:rPr>
              <w:t>8631</w:t>
            </w:r>
          </w:p>
        </w:tc>
        <w:tc>
          <w:tcPr>
            <w:tcW w:w="1639" w:type="dxa"/>
          </w:tcPr>
          <w:p>
            <w:pPr>
              <w:pStyle w:val="TableParagraph"/>
              <w:spacing w:line="160" w:lineRule="exact"/>
              <w:ind w:right="537"/>
              <w:jc w:val="right"/>
              <w:rPr>
                <w:sz w:val="14"/>
              </w:rPr>
            </w:pPr>
            <w:r>
              <w:rPr>
                <w:sz w:val="14"/>
              </w:rPr>
              <w:t>0.00</w:t>
            </w:r>
          </w:p>
        </w:tc>
        <w:tc>
          <w:tcPr>
            <w:tcW w:w="1606" w:type="dxa"/>
          </w:tcPr>
          <w:p>
            <w:pPr>
              <w:pStyle w:val="TableParagraph"/>
              <w:spacing w:line="160" w:lineRule="exact"/>
              <w:ind w:right="631"/>
              <w:jc w:val="right"/>
              <w:rPr>
                <w:sz w:val="14"/>
              </w:rPr>
            </w:pPr>
            <w:r>
              <w:rPr>
                <w:sz w:val="14"/>
              </w:rPr>
              <w:t>0.00</w:t>
            </w:r>
          </w:p>
        </w:tc>
        <w:tc>
          <w:tcPr>
            <w:tcW w:w="1008" w:type="dxa"/>
          </w:tcPr>
          <w:p>
            <w:pPr>
              <w:pStyle w:val="TableParagraph"/>
              <w:spacing w:line="160" w:lineRule="exact"/>
              <w:ind w:right="50"/>
              <w:jc w:val="right"/>
              <w:rPr>
                <w:sz w:val="14"/>
              </w:rPr>
            </w:pPr>
            <w:r>
              <w:rPr>
                <w:sz w:val="14"/>
              </w:rPr>
              <w:t>0.0%</w:t>
            </w:r>
          </w:p>
        </w:tc>
      </w:tr>
      <w:tr>
        <w:trPr>
          <w:trHeight w:val="364" w:hRule="atLeast"/>
        </w:trPr>
        <w:tc>
          <w:tcPr>
            <w:tcW w:w="4693" w:type="dxa"/>
          </w:tcPr>
          <w:p>
            <w:pPr>
              <w:pStyle w:val="TableParagraph"/>
              <w:spacing w:before="101"/>
              <w:ind w:left="213"/>
              <w:rPr>
                <w:sz w:val="14"/>
              </w:rPr>
            </w:pPr>
            <w:r>
              <w:rPr>
                <w:w w:val="105"/>
                <w:sz w:val="14"/>
              </w:rPr>
              <w:t>Interest</w:t>
            </w:r>
          </w:p>
        </w:tc>
        <w:tc>
          <w:tcPr>
            <w:tcW w:w="1844" w:type="dxa"/>
          </w:tcPr>
          <w:p>
            <w:pPr>
              <w:pStyle w:val="TableParagraph"/>
              <w:spacing w:before="101"/>
              <w:ind w:right="662"/>
              <w:jc w:val="right"/>
              <w:rPr>
                <w:sz w:val="14"/>
              </w:rPr>
            </w:pPr>
            <w:r>
              <w:rPr>
                <w:sz w:val="14"/>
              </w:rPr>
              <w:t>8660</w:t>
            </w:r>
          </w:p>
        </w:tc>
        <w:tc>
          <w:tcPr>
            <w:tcW w:w="1639" w:type="dxa"/>
          </w:tcPr>
          <w:p>
            <w:pPr>
              <w:pStyle w:val="TableParagraph"/>
              <w:spacing w:before="101"/>
              <w:ind w:right="536"/>
              <w:jc w:val="right"/>
              <w:rPr>
                <w:sz w:val="14"/>
              </w:rPr>
            </w:pPr>
            <w:r>
              <w:rPr>
                <w:sz w:val="14"/>
              </w:rPr>
              <w:t>265.00</w:t>
            </w:r>
          </w:p>
        </w:tc>
        <w:tc>
          <w:tcPr>
            <w:tcW w:w="1606" w:type="dxa"/>
          </w:tcPr>
          <w:p>
            <w:pPr>
              <w:pStyle w:val="TableParagraph"/>
              <w:spacing w:before="101"/>
              <w:ind w:right="630"/>
              <w:jc w:val="right"/>
              <w:rPr>
                <w:sz w:val="14"/>
              </w:rPr>
            </w:pPr>
            <w:r>
              <w:rPr>
                <w:sz w:val="14"/>
              </w:rPr>
              <w:t>265.00</w:t>
            </w:r>
          </w:p>
        </w:tc>
        <w:tc>
          <w:tcPr>
            <w:tcW w:w="1008" w:type="dxa"/>
          </w:tcPr>
          <w:p>
            <w:pPr>
              <w:pStyle w:val="TableParagraph"/>
              <w:spacing w:before="101"/>
              <w:ind w:right="50"/>
              <w:jc w:val="right"/>
              <w:rPr>
                <w:sz w:val="14"/>
              </w:rPr>
            </w:pPr>
            <w:r>
              <w:rPr>
                <w:sz w:val="14"/>
              </w:rPr>
              <w:t>0.0%</w:t>
            </w:r>
          </w:p>
        </w:tc>
      </w:tr>
      <w:tr>
        <w:trPr>
          <w:trHeight w:val="364" w:hRule="atLeast"/>
        </w:trPr>
        <w:tc>
          <w:tcPr>
            <w:tcW w:w="4693" w:type="dxa"/>
          </w:tcPr>
          <w:p>
            <w:pPr>
              <w:pStyle w:val="TableParagraph"/>
              <w:spacing w:before="101"/>
              <w:ind w:left="213"/>
              <w:rPr>
                <w:sz w:val="14"/>
              </w:rPr>
            </w:pPr>
            <w:r>
              <w:rPr>
                <w:w w:val="105"/>
                <w:sz w:val="14"/>
              </w:rPr>
              <w:t>Net Increase (Decrease) in the Fair Value of Investments</w:t>
            </w:r>
          </w:p>
        </w:tc>
        <w:tc>
          <w:tcPr>
            <w:tcW w:w="1844" w:type="dxa"/>
          </w:tcPr>
          <w:p>
            <w:pPr>
              <w:pStyle w:val="TableParagraph"/>
              <w:spacing w:before="101"/>
              <w:ind w:right="662"/>
              <w:jc w:val="right"/>
              <w:rPr>
                <w:sz w:val="14"/>
              </w:rPr>
            </w:pPr>
            <w:r>
              <w:rPr>
                <w:sz w:val="14"/>
              </w:rPr>
              <w:t>8662</w:t>
            </w:r>
          </w:p>
        </w:tc>
        <w:tc>
          <w:tcPr>
            <w:tcW w:w="1639" w:type="dxa"/>
          </w:tcPr>
          <w:p>
            <w:pPr>
              <w:pStyle w:val="TableParagraph"/>
              <w:spacing w:before="101"/>
              <w:ind w:right="537"/>
              <w:jc w:val="right"/>
              <w:rPr>
                <w:sz w:val="14"/>
              </w:rPr>
            </w:pPr>
            <w:r>
              <w:rPr>
                <w:sz w:val="14"/>
              </w:rPr>
              <w:t>0.00</w:t>
            </w:r>
          </w:p>
        </w:tc>
        <w:tc>
          <w:tcPr>
            <w:tcW w:w="1606" w:type="dxa"/>
          </w:tcPr>
          <w:p>
            <w:pPr>
              <w:pStyle w:val="TableParagraph"/>
              <w:spacing w:before="101"/>
              <w:ind w:right="631"/>
              <w:jc w:val="right"/>
              <w:rPr>
                <w:sz w:val="14"/>
              </w:rPr>
            </w:pPr>
            <w:r>
              <w:rPr>
                <w:sz w:val="14"/>
              </w:rPr>
              <w:t>0.00</w:t>
            </w:r>
          </w:p>
        </w:tc>
        <w:tc>
          <w:tcPr>
            <w:tcW w:w="1008" w:type="dxa"/>
          </w:tcPr>
          <w:p>
            <w:pPr>
              <w:pStyle w:val="TableParagraph"/>
              <w:spacing w:before="101"/>
              <w:ind w:right="50"/>
              <w:jc w:val="right"/>
              <w:rPr>
                <w:sz w:val="14"/>
              </w:rPr>
            </w:pPr>
            <w:r>
              <w:rPr>
                <w:sz w:val="14"/>
              </w:rPr>
              <w:t>0.0%</w:t>
            </w:r>
          </w:p>
        </w:tc>
      </w:tr>
      <w:tr>
        <w:trPr>
          <w:trHeight w:val="364" w:hRule="atLeast"/>
        </w:trPr>
        <w:tc>
          <w:tcPr>
            <w:tcW w:w="4693" w:type="dxa"/>
          </w:tcPr>
          <w:p>
            <w:pPr>
              <w:pStyle w:val="TableParagraph"/>
              <w:spacing w:before="101"/>
              <w:ind w:left="213"/>
              <w:rPr>
                <w:sz w:val="14"/>
              </w:rPr>
            </w:pPr>
            <w:r>
              <w:rPr>
                <w:w w:val="105"/>
                <w:sz w:val="14"/>
              </w:rPr>
              <w:t>Other Local Revenue</w:t>
            </w:r>
          </w:p>
        </w:tc>
        <w:tc>
          <w:tcPr>
            <w:tcW w:w="1844" w:type="dxa"/>
          </w:tcPr>
          <w:p>
            <w:pPr>
              <w:pStyle w:val="TableParagraph"/>
              <w:rPr>
                <w:rFonts w:ascii="Times New Roman"/>
                <w:sz w:val="14"/>
              </w:rPr>
            </w:pPr>
          </w:p>
        </w:tc>
        <w:tc>
          <w:tcPr>
            <w:tcW w:w="1639" w:type="dxa"/>
          </w:tcPr>
          <w:p>
            <w:pPr>
              <w:pStyle w:val="TableParagraph"/>
              <w:rPr>
                <w:rFonts w:ascii="Times New Roman"/>
                <w:sz w:val="14"/>
              </w:rPr>
            </w:pPr>
          </w:p>
        </w:tc>
        <w:tc>
          <w:tcPr>
            <w:tcW w:w="1606" w:type="dxa"/>
          </w:tcPr>
          <w:p>
            <w:pPr>
              <w:pStyle w:val="TableParagraph"/>
              <w:rPr>
                <w:rFonts w:ascii="Times New Roman"/>
                <w:sz w:val="14"/>
              </w:rPr>
            </w:pPr>
          </w:p>
        </w:tc>
        <w:tc>
          <w:tcPr>
            <w:tcW w:w="1008" w:type="dxa"/>
          </w:tcPr>
          <w:p>
            <w:pPr>
              <w:pStyle w:val="TableParagraph"/>
              <w:rPr>
                <w:rFonts w:ascii="Times New Roman"/>
                <w:sz w:val="14"/>
              </w:rPr>
            </w:pPr>
          </w:p>
        </w:tc>
      </w:tr>
      <w:tr>
        <w:trPr>
          <w:trHeight w:val="364" w:hRule="atLeast"/>
        </w:trPr>
        <w:tc>
          <w:tcPr>
            <w:tcW w:w="4693" w:type="dxa"/>
          </w:tcPr>
          <w:p>
            <w:pPr>
              <w:pStyle w:val="TableParagraph"/>
              <w:spacing w:before="101"/>
              <w:ind w:left="294"/>
              <w:rPr>
                <w:sz w:val="14"/>
              </w:rPr>
            </w:pPr>
            <w:r>
              <w:rPr>
                <w:w w:val="105"/>
                <w:sz w:val="14"/>
              </w:rPr>
              <w:t>All Other Local Revenue</w:t>
            </w:r>
          </w:p>
        </w:tc>
        <w:tc>
          <w:tcPr>
            <w:tcW w:w="1844" w:type="dxa"/>
          </w:tcPr>
          <w:p>
            <w:pPr>
              <w:pStyle w:val="TableParagraph"/>
              <w:spacing w:before="101"/>
              <w:ind w:right="662"/>
              <w:jc w:val="right"/>
              <w:rPr>
                <w:sz w:val="14"/>
              </w:rPr>
            </w:pPr>
            <w:r>
              <w:rPr>
                <w:sz w:val="14"/>
              </w:rPr>
              <w:t>8699</w:t>
            </w:r>
          </w:p>
        </w:tc>
        <w:tc>
          <w:tcPr>
            <w:tcW w:w="1639" w:type="dxa"/>
          </w:tcPr>
          <w:p>
            <w:pPr>
              <w:pStyle w:val="TableParagraph"/>
              <w:spacing w:before="101"/>
              <w:ind w:right="537"/>
              <w:jc w:val="right"/>
              <w:rPr>
                <w:sz w:val="14"/>
              </w:rPr>
            </w:pPr>
            <w:r>
              <w:rPr>
                <w:sz w:val="14"/>
              </w:rPr>
              <w:t>0.00</w:t>
            </w:r>
          </w:p>
        </w:tc>
        <w:tc>
          <w:tcPr>
            <w:tcW w:w="1606" w:type="dxa"/>
          </w:tcPr>
          <w:p>
            <w:pPr>
              <w:pStyle w:val="TableParagraph"/>
              <w:spacing w:before="101"/>
              <w:ind w:right="631"/>
              <w:jc w:val="right"/>
              <w:rPr>
                <w:sz w:val="14"/>
              </w:rPr>
            </w:pPr>
            <w:r>
              <w:rPr>
                <w:sz w:val="14"/>
              </w:rPr>
              <w:t>0.00</w:t>
            </w:r>
          </w:p>
        </w:tc>
        <w:tc>
          <w:tcPr>
            <w:tcW w:w="1008" w:type="dxa"/>
          </w:tcPr>
          <w:p>
            <w:pPr>
              <w:pStyle w:val="TableParagraph"/>
              <w:spacing w:before="101"/>
              <w:ind w:right="50"/>
              <w:jc w:val="right"/>
              <w:rPr>
                <w:sz w:val="14"/>
              </w:rPr>
            </w:pPr>
            <w:r>
              <w:rPr>
                <w:sz w:val="14"/>
              </w:rPr>
              <w:t>0.0%</w:t>
            </w:r>
          </w:p>
        </w:tc>
      </w:tr>
      <w:tr>
        <w:trPr>
          <w:trHeight w:val="370" w:hRule="atLeast"/>
        </w:trPr>
        <w:tc>
          <w:tcPr>
            <w:tcW w:w="4693" w:type="dxa"/>
          </w:tcPr>
          <w:p>
            <w:pPr>
              <w:pStyle w:val="TableParagraph"/>
              <w:spacing w:before="101"/>
              <w:ind w:left="376"/>
              <w:rPr>
                <w:sz w:val="14"/>
              </w:rPr>
            </w:pPr>
            <w:r>
              <w:rPr>
                <w:w w:val="105"/>
                <w:sz w:val="14"/>
              </w:rPr>
              <w:t>All Other Transfers In from All Others</w:t>
            </w:r>
          </w:p>
        </w:tc>
        <w:tc>
          <w:tcPr>
            <w:tcW w:w="1844" w:type="dxa"/>
          </w:tcPr>
          <w:p>
            <w:pPr>
              <w:pStyle w:val="TableParagraph"/>
              <w:spacing w:before="101"/>
              <w:ind w:right="662"/>
              <w:jc w:val="right"/>
              <w:rPr>
                <w:sz w:val="14"/>
              </w:rPr>
            </w:pPr>
            <w:r>
              <w:rPr>
                <w:sz w:val="14"/>
              </w:rPr>
              <w:t>8799</w:t>
            </w:r>
          </w:p>
        </w:tc>
        <w:tc>
          <w:tcPr>
            <w:tcW w:w="1639" w:type="dxa"/>
          </w:tcPr>
          <w:p>
            <w:pPr>
              <w:pStyle w:val="TableParagraph"/>
              <w:spacing w:before="101"/>
              <w:ind w:right="537"/>
              <w:jc w:val="right"/>
              <w:rPr>
                <w:sz w:val="14"/>
              </w:rPr>
            </w:pPr>
            <w:r>
              <w:rPr>
                <w:sz w:val="14"/>
              </w:rPr>
              <w:t>0.00</w:t>
            </w:r>
          </w:p>
        </w:tc>
        <w:tc>
          <w:tcPr>
            <w:tcW w:w="1606" w:type="dxa"/>
          </w:tcPr>
          <w:p>
            <w:pPr>
              <w:pStyle w:val="TableParagraph"/>
              <w:spacing w:before="101"/>
              <w:ind w:right="631"/>
              <w:jc w:val="right"/>
              <w:rPr>
                <w:sz w:val="14"/>
              </w:rPr>
            </w:pPr>
            <w:r>
              <w:rPr>
                <w:sz w:val="14"/>
              </w:rPr>
              <w:t>0.00</w:t>
            </w:r>
          </w:p>
        </w:tc>
        <w:tc>
          <w:tcPr>
            <w:tcW w:w="1008" w:type="dxa"/>
          </w:tcPr>
          <w:p>
            <w:pPr>
              <w:pStyle w:val="TableParagraph"/>
              <w:spacing w:before="101"/>
              <w:ind w:right="50"/>
              <w:jc w:val="right"/>
              <w:rPr>
                <w:sz w:val="14"/>
              </w:rPr>
            </w:pPr>
            <w:r>
              <w:rPr>
                <w:sz w:val="14"/>
              </w:rPr>
              <w:t>0.0%</w:t>
            </w:r>
          </w:p>
        </w:tc>
      </w:tr>
      <w:tr>
        <w:trPr>
          <w:trHeight w:val="376" w:hRule="atLeast"/>
        </w:trPr>
        <w:tc>
          <w:tcPr>
            <w:tcW w:w="4693" w:type="dxa"/>
          </w:tcPr>
          <w:p>
            <w:pPr>
              <w:pStyle w:val="TableParagraph"/>
              <w:spacing w:before="107"/>
              <w:ind w:left="131"/>
              <w:rPr>
                <w:sz w:val="14"/>
              </w:rPr>
            </w:pPr>
            <w:r>
              <w:rPr>
                <w:w w:val="105"/>
                <w:sz w:val="14"/>
              </w:rPr>
              <w:t>TOTAL, OTHER LOCAL REVENUE</w:t>
            </w:r>
          </w:p>
        </w:tc>
        <w:tc>
          <w:tcPr>
            <w:tcW w:w="1844" w:type="dxa"/>
          </w:tcPr>
          <w:p>
            <w:pPr>
              <w:pStyle w:val="TableParagraph"/>
              <w:rPr>
                <w:rFonts w:ascii="Times New Roman"/>
                <w:sz w:val="14"/>
              </w:rPr>
            </w:pPr>
          </w:p>
        </w:tc>
        <w:tc>
          <w:tcPr>
            <w:tcW w:w="1639" w:type="dxa"/>
          </w:tcPr>
          <w:p>
            <w:pPr>
              <w:pStyle w:val="TableParagraph"/>
              <w:spacing w:before="107"/>
              <w:ind w:right="536"/>
              <w:jc w:val="right"/>
              <w:rPr>
                <w:sz w:val="14"/>
              </w:rPr>
            </w:pPr>
            <w:r>
              <w:rPr>
                <w:sz w:val="14"/>
              </w:rPr>
              <w:t>265.00</w:t>
            </w:r>
          </w:p>
        </w:tc>
        <w:tc>
          <w:tcPr>
            <w:tcW w:w="1606" w:type="dxa"/>
          </w:tcPr>
          <w:p>
            <w:pPr>
              <w:pStyle w:val="TableParagraph"/>
              <w:spacing w:before="107"/>
              <w:ind w:right="630"/>
              <w:jc w:val="right"/>
              <w:rPr>
                <w:sz w:val="14"/>
              </w:rPr>
            </w:pPr>
            <w:r>
              <w:rPr>
                <w:sz w:val="14"/>
              </w:rPr>
              <w:t>265.00</w:t>
            </w:r>
          </w:p>
        </w:tc>
        <w:tc>
          <w:tcPr>
            <w:tcW w:w="1008" w:type="dxa"/>
          </w:tcPr>
          <w:p>
            <w:pPr>
              <w:pStyle w:val="TableParagraph"/>
              <w:spacing w:before="107"/>
              <w:ind w:right="50"/>
              <w:jc w:val="right"/>
              <w:rPr>
                <w:sz w:val="14"/>
              </w:rPr>
            </w:pPr>
            <w:r>
              <w:rPr>
                <w:sz w:val="14"/>
              </w:rPr>
              <w:t>0.0%</w:t>
            </w:r>
          </w:p>
        </w:tc>
      </w:tr>
      <w:tr>
        <w:trPr>
          <w:trHeight w:val="268" w:hRule="atLeast"/>
        </w:trPr>
        <w:tc>
          <w:tcPr>
            <w:tcW w:w="4693" w:type="dxa"/>
          </w:tcPr>
          <w:p>
            <w:pPr>
              <w:pStyle w:val="TableParagraph"/>
              <w:spacing w:line="142" w:lineRule="exact" w:before="107"/>
              <w:ind w:left="50"/>
              <w:rPr>
                <w:sz w:val="14"/>
              </w:rPr>
            </w:pPr>
            <w:r>
              <w:rPr>
                <w:w w:val="105"/>
                <w:sz w:val="14"/>
              </w:rPr>
              <w:t>TOTAL, REVENUES</w:t>
            </w:r>
          </w:p>
        </w:tc>
        <w:tc>
          <w:tcPr>
            <w:tcW w:w="1844" w:type="dxa"/>
          </w:tcPr>
          <w:p>
            <w:pPr>
              <w:pStyle w:val="TableParagraph"/>
              <w:rPr>
                <w:rFonts w:ascii="Times New Roman"/>
                <w:sz w:val="14"/>
              </w:rPr>
            </w:pPr>
          </w:p>
        </w:tc>
        <w:tc>
          <w:tcPr>
            <w:tcW w:w="1639" w:type="dxa"/>
          </w:tcPr>
          <w:p>
            <w:pPr>
              <w:pStyle w:val="TableParagraph"/>
              <w:spacing w:line="142" w:lineRule="exact" w:before="107"/>
              <w:ind w:right="536"/>
              <w:jc w:val="right"/>
              <w:rPr>
                <w:sz w:val="14"/>
              </w:rPr>
            </w:pPr>
            <w:r>
              <w:rPr>
                <w:sz w:val="14"/>
              </w:rPr>
              <w:t>265.00</w:t>
            </w:r>
          </w:p>
        </w:tc>
        <w:tc>
          <w:tcPr>
            <w:tcW w:w="1606" w:type="dxa"/>
          </w:tcPr>
          <w:p>
            <w:pPr>
              <w:pStyle w:val="TableParagraph"/>
              <w:spacing w:line="142" w:lineRule="exact" w:before="107"/>
              <w:ind w:right="630"/>
              <w:jc w:val="right"/>
              <w:rPr>
                <w:sz w:val="14"/>
              </w:rPr>
            </w:pPr>
            <w:r>
              <w:rPr>
                <w:sz w:val="14"/>
              </w:rPr>
              <w:t>265.00</w:t>
            </w:r>
          </w:p>
        </w:tc>
        <w:tc>
          <w:tcPr>
            <w:tcW w:w="1008" w:type="dxa"/>
          </w:tcPr>
          <w:p>
            <w:pPr>
              <w:pStyle w:val="TableParagraph"/>
              <w:spacing w:line="142" w:lineRule="exact" w:before="107"/>
              <w:ind w:right="50"/>
              <w:jc w:val="right"/>
              <w:rPr>
                <w:sz w:val="14"/>
              </w:rPr>
            </w:pPr>
            <w:r>
              <w:rPr>
                <w:sz w:val="14"/>
              </w:rPr>
              <w:t>0.0%</w:t>
            </w:r>
          </w:p>
        </w:tc>
      </w:tr>
    </w:tbl>
    <w:p>
      <w:pPr>
        <w:spacing w:after="0" w:line="142" w:lineRule="exact"/>
        <w:jc w:val="right"/>
        <w:rPr>
          <w:sz w:val="14"/>
        </w:rPr>
        <w:sectPr>
          <w:type w:val="continuous"/>
          <w:pgSz w:w="12240" w:h="15840"/>
          <w:pgMar w:top="1500" w:bottom="840" w:left="160" w:right="180"/>
        </w:sectPr>
      </w:pPr>
    </w:p>
    <w:p>
      <w:pPr>
        <w:spacing w:line="232" w:lineRule="auto" w:before="1"/>
        <w:ind w:left="308" w:right="0" w:firstLine="0"/>
        <w:jc w:val="left"/>
        <w:rPr>
          <w:sz w:val="18"/>
        </w:rPr>
      </w:pPr>
      <w:r>
        <w:rPr/>
        <w:pict>
          <v:group style="position:absolute;margin-left:30.120001pt;margin-top:36.318634pt;width:538pt;height:436pt;mso-position-horizontal-relative:page;mso-position-vertical-relative:paragraph;z-index:-314391552" coordorigin="602,726" coordsize="10760,8720">
            <v:shape style="position:absolute;left:602;top:726;width:3646;height:790" type="#_x0000_t75" stroked="false">
              <v:imagedata r:id="rId406" o:title=""/>
            </v:shape>
            <v:shape style="position:absolute;left:602;top:726;width:10760;height:1155" type="#_x0000_t75" stroked="false">
              <v:imagedata r:id="rId728" o:title=""/>
            </v:shape>
            <v:line style="position:absolute" from="1412,1506" to="1412,1876" stroked="true" strokeweight=".360003pt" strokecolor="#ffffff">
              <v:stroke dashstyle="solid"/>
            </v:line>
            <v:shape style="position:absolute;left:4240;top:1501;width:7121;height:924" type="#_x0000_t75" stroked="false">
              <v:imagedata r:id="rId729" o:title=""/>
            </v:shape>
            <v:shape style="position:absolute;left:6782;top:2053;width:4580;height:737" type="#_x0000_t75" stroked="false">
              <v:imagedata r:id="rId464" o:title=""/>
            </v:shape>
            <v:shape style="position:absolute;left:8294;top:2418;width:3068;height:744" type="#_x0000_t75" stroked="false">
              <v:imagedata r:id="rId466" o:title=""/>
            </v:shape>
            <v:shape style="position:absolute;left:602;top:1878;width:3646;height:1661" type="#_x0000_t75" stroked="false">
              <v:imagedata r:id="rId730" o:title=""/>
            </v:shape>
            <v:shape style="position:absolute;left:4240;top:2783;width:7121;height:1323" type="#_x0000_t75" stroked="false">
              <v:imagedata r:id="rId623" o:title=""/>
            </v:shape>
            <v:shape style="position:absolute;left:6782;top:3733;width:4580;height:737" type="#_x0000_t75" stroked="false">
              <v:imagedata r:id="rId464" o:title=""/>
            </v:shape>
            <v:shape style="position:absolute;left:602;top:3536;width:3646;height:4236" type="#_x0000_t75" stroked="false">
              <v:imagedata r:id="rId624" o:title=""/>
            </v:shape>
            <v:shape style="position:absolute;left:6782;top:4098;width:4580;height:737" type="#_x0000_t75" stroked="false">
              <v:imagedata r:id="rId469" o:title=""/>
            </v:shape>
            <v:shape style="position:absolute;left:6782;top:4463;width:4580;height:737" type="#_x0000_t75" stroked="false">
              <v:imagedata r:id="rId469" o:title=""/>
            </v:shape>
            <v:shape style="position:absolute;left:6782;top:4827;width:4580;height:737" type="#_x0000_t75" stroked="false">
              <v:imagedata r:id="rId469" o:title=""/>
            </v:shape>
            <v:shape style="position:absolute;left:6782;top:5192;width:4580;height:737" type="#_x0000_t75" stroked="false">
              <v:imagedata r:id="rId469" o:title=""/>
            </v:shape>
            <v:shape style="position:absolute;left:8294;top:5557;width:3068;height:732" type="#_x0000_t75" stroked="false">
              <v:imagedata r:id="rId470" o:title=""/>
            </v:shape>
            <v:shape style="position:absolute;left:6782;top:5922;width:4580;height:737" type="#_x0000_t75" stroked="false">
              <v:imagedata r:id="rId472" o:title=""/>
            </v:shape>
            <v:shape style="position:absolute;left:6782;top:6287;width:4580;height:737" type="#_x0000_t75" stroked="false">
              <v:imagedata r:id="rId625" o:title=""/>
            </v:shape>
            <v:shape style="position:absolute;left:8294;top:6651;width:3068;height:744" type="#_x0000_t75" stroked="false">
              <v:imagedata r:id="rId626" o:title=""/>
            </v:shape>
            <v:shape style="position:absolute;left:4240;top:7016;width:7121;height:1323" type="#_x0000_t75" stroked="false">
              <v:imagedata r:id="rId627" o:title=""/>
            </v:shape>
            <v:shape style="position:absolute;left:6782;top:7967;width:4580;height:737" type="#_x0000_t75" stroked="false">
              <v:imagedata r:id="rId464" o:title=""/>
            </v:shape>
            <v:shape style="position:absolute;left:602;top:7770;width:3646;height:1676" type="#_x0000_t75" stroked="false">
              <v:imagedata r:id="rId731" o:title=""/>
            </v:shape>
            <v:shape style="position:absolute;left:638;top:1340;width:811;height:161" type="#_x0000_t202" filled="false" stroked="false">
              <v:textbox inset="0,0,0,0">
                <w:txbxContent>
                  <w:p>
                    <w:pPr>
                      <w:spacing w:line="160" w:lineRule="exact" w:before="0"/>
                      <w:ind w:left="0" w:right="0" w:firstLine="0"/>
                      <w:jc w:val="left"/>
                      <w:rPr>
                        <w:b/>
                        <w:sz w:val="14"/>
                      </w:rPr>
                    </w:pPr>
                    <w:r>
                      <w:rPr>
                        <w:b/>
                        <w:sz w:val="14"/>
                      </w:rPr>
                      <w:t>Description</w:t>
                    </w:r>
                  </w:p>
                </w:txbxContent>
              </v:textbox>
              <w10:wrap type="none"/>
            </v:shape>
            <v:shape style="position:absolute;left:4466;top:1172;width:3722;height:329" type="#_x0000_t202" filled="false" stroked="false">
              <v:textbox inset="0,0,0,0">
                <w:txbxContent>
                  <w:p>
                    <w:pPr>
                      <w:spacing w:line="160" w:lineRule="exact" w:before="0"/>
                      <w:ind w:left="2820" w:right="0" w:firstLine="0"/>
                      <w:jc w:val="left"/>
                      <w:rPr>
                        <w:b/>
                        <w:sz w:val="14"/>
                      </w:rPr>
                    </w:pPr>
                    <w:r>
                      <w:rPr>
                        <w:b/>
                        <w:w w:val="105"/>
                        <w:sz w:val="14"/>
                      </w:rPr>
                      <w:t>2020-21</w:t>
                    </w:r>
                  </w:p>
                  <w:p>
                    <w:pPr>
                      <w:tabs>
                        <w:tab w:pos="1372" w:val="left" w:leader="none"/>
                      </w:tabs>
                      <w:spacing w:before="7"/>
                      <w:ind w:left="0" w:right="0" w:firstLine="0"/>
                      <w:jc w:val="left"/>
                      <w:rPr>
                        <w:b/>
                        <w:sz w:val="14"/>
                      </w:rPr>
                    </w:pPr>
                    <w:r>
                      <w:rPr>
                        <w:b/>
                        <w:w w:val="105"/>
                        <w:sz w:val="14"/>
                      </w:rPr>
                      <w:t>Resource</w:t>
                    </w:r>
                    <w:r>
                      <w:rPr>
                        <w:b/>
                        <w:spacing w:val="-12"/>
                        <w:w w:val="105"/>
                        <w:sz w:val="14"/>
                      </w:rPr>
                      <w:t> </w:t>
                    </w:r>
                    <w:r>
                      <w:rPr>
                        <w:b/>
                        <w:w w:val="105"/>
                        <w:sz w:val="14"/>
                      </w:rPr>
                      <w:t>Codes</w:t>
                      <w:tab/>
                      <w:t>Object Codes Estimated</w:t>
                    </w:r>
                    <w:r>
                      <w:rPr>
                        <w:b/>
                        <w:spacing w:val="-15"/>
                        <w:w w:val="105"/>
                        <w:sz w:val="14"/>
                      </w:rPr>
                      <w:t> </w:t>
                    </w:r>
                    <w:r>
                      <w:rPr>
                        <w:b/>
                        <w:w w:val="105"/>
                        <w:sz w:val="14"/>
                      </w:rPr>
                      <w:t>Actuals</w:t>
                    </w:r>
                  </w:p>
                </w:txbxContent>
              </v:textbox>
              <w10:wrap type="none"/>
            </v:shape>
            <v:shape style="position:absolute;left:8798;top:1172;width:545;height:329" type="#_x0000_t202" filled="false" stroked="false">
              <v:textbox inset="0,0,0,0">
                <w:txbxContent>
                  <w:p>
                    <w:pPr>
                      <w:spacing w:line="160" w:lineRule="exact" w:before="0"/>
                      <w:ind w:left="0" w:right="0" w:firstLine="0"/>
                      <w:jc w:val="left"/>
                      <w:rPr>
                        <w:b/>
                        <w:sz w:val="14"/>
                      </w:rPr>
                    </w:pPr>
                    <w:r>
                      <w:rPr>
                        <w:b/>
                        <w:sz w:val="14"/>
                      </w:rPr>
                      <w:t>2021-22</w:t>
                    </w:r>
                  </w:p>
                  <w:p>
                    <w:pPr>
                      <w:spacing w:before="7"/>
                      <w:ind w:left="11" w:right="0" w:firstLine="0"/>
                      <w:jc w:val="left"/>
                      <w:rPr>
                        <w:b/>
                        <w:sz w:val="14"/>
                      </w:rPr>
                    </w:pPr>
                    <w:r>
                      <w:rPr>
                        <w:b/>
                        <w:w w:val="105"/>
                        <w:sz w:val="14"/>
                      </w:rPr>
                      <w:t>Budget</w:t>
                    </w:r>
                  </w:p>
                </w:txbxContent>
              </v:textbox>
              <w10:wrap type="none"/>
            </v:shape>
            <v:shape style="position:absolute;left:10236;top:1172;width:721;height:329" type="#_x0000_t202" filled="false" stroked="false">
              <v:textbox inset="0,0,0,0">
                <w:txbxContent>
                  <w:p>
                    <w:pPr>
                      <w:spacing w:line="249" w:lineRule="auto" w:before="0"/>
                      <w:ind w:left="0" w:right="16" w:firstLine="86"/>
                      <w:jc w:val="left"/>
                      <w:rPr>
                        <w:b/>
                        <w:sz w:val="14"/>
                      </w:rPr>
                    </w:pPr>
                    <w:r>
                      <w:rPr>
                        <w:b/>
                        <w:w w:val="105"/>
                        <w:sz w:val="14"/>
                      </w:rPr>
                      <w:t>Percent </w:t>
                    </w:r>
                    <w:r>
                      <w:rPr>
                        <w:b/>
                        <w:sz w:val="14"/>
                      </w:rPr>
                      <w:t>Difference</w:t>
                    </w:r>
                  </w:p>
                </w:txbxContent>
              </v:textbox>
              <w10:wrap type="none"/>
            </v:shape>
            <v:shape style="position:absolute;left:638;top:1717;width:1819;height:703" type="#_x0000_t202" filled="false" stroked="false">
              <v:textbox inset="0,0,0,0">
                <w:txbxContent>
                  <w:p>
                    <w:pPr>
                      <w:spacing w:line="160" w:lineRule="exact" w:before="0"/>
                      <w:ind w:left="0" w:right="0" w:firstLine="0"/>
                      <w:jc w:val="left"/>
                      <w:rPr>
                        <w:b/>
                        <w:sz w:val="14"/>
                      </w:rPr>
                    </w:pPr>
                    <w:r>
                      <w:rPr>
                        <w:b/>
                        <w:w w:val="105"/>
                        <w:sz w:val="14"/>
                      </w:rPr>
                      <w:t>CLASSIFIED SALARIES</w:t>
                    </w:r>
                  </w:p>
                  <w:p>
                    <w:pPr>
                      <w:spacing w:line="240" w:lineRule="auto" w:before="0"/>
                      <w:rPr>
                        <w:b/>
                        <w:sz w:val="16"/>
                      </w:rPr>
                    </w:pPr>
                  </w:p>
                  <w:p>
                    <w:pPr>
                      <w:spacing w:line="240" w:lineRule="auto" w:before="1"/>
                      <w:rPr>
                        <w:b/>
                        <w:sz w:val="17"/>
                      </w:rPr>
                    </w:pPr>
                  </w:p>
                  <w:p>
                    <w:pPr>
                      <w:spacing w:before="1"/>
                      <w:ind w:left="81" w:right="0" w:firstLine="0"/>
                      <w:jc w:val="left"/>
                      <w:rPr>
                        <w:sz w:val="14"/>
                      </w:rPr>
                    </w:pPr>
                    <w:r>
                      <w:rPr>
                        <w:w w:val="105"/>
                        <w:sz w:val="14"/>
                      </w:rPr>
                      <w:t>Classified</w:t>
                    </w:r>
                    <w:r>
                      <w:rPr>
                        <w:spacing w:val="-21"/>
                        <w:w w:val="105"/>
                        <w:sz w:val="14"/>
                      </w:rPr>
                      <w:t> </w:t>
                    </w:r>
                    <w:r>
                      <w:rPr>
                        <w:w w:val="105"/>
                        <w:sz w:val="14"/>
                      </w:rPr>
                      <w:t>Support</w:t>
                    </w:r>
                    <w:r>
                      <w:rPr>
                        <w:spacing w:val="-19"/>
                        <w:w w:val="105"/>
                        <w:sz w:val="14"/>
                      </w:rPr>
                      <w:t> </w:t>
                    </w:r>
                    <w:r>
                      <w:rPr>
                        <w:w w:val="105"/>
                        <w:sz w:val="14"/>
                      </w:rPr>
                      <w:t>Salaries</w:t>
                    </w:r>
                  </w:p>
                </w:txbxContent>
              </v:textbox>
              <w10:wrap type="none"/>
            </v:shape>
            <v:shape style="position:absolute;left:6144;top:2259;width:338;height:161" type="#_x0000_t202" filled="false" stroked="false">
              <v:textbox inset="0,0,0,0">
                <w:txbxContent>
                  <w:p>
                    <w:pPr>
                      <w:spacing w:line="160" w:lineRule="exact" w:before="0"/>
                      <w:ind w:left="0" w:right="0" w:firstLine="0"/>
                      <w:jc w:val="left"/>
                      <w:rPr>
                        <w:sz w:val="14"/>
                      </w:rPr>
                    </w:pPr>
                    <w:r>
                      <w:rPr>
                        <w:w w:val="105"/>
                        <w:sz w:val="14"/>
                      </w:rPr>
                      <w:t>2200</w:t>
                    </w:r>
                  </w:p>
                </w:txbxContent>
              </v:textbox>
              <w10:wrap type="none"/>
            </v:shape>
            <v:shape style="position:absolute;left:7946;top:2259;width:299;height:161" type="#_x0000_t202" filled="false" stroked="false">
              <v:textbox inset="0,0,0,0">
                <w:txbxContent>
                  <w:p>
                    <w:pPr>
                      <w:spacing w:line="160" w:lineRule="exact" w:before="0"/>
                      <w:ind w:left="0" w:right="0" w:firstLine="0"/>
                      <w:jc w:val="left"/>
                      <w:rPr>
                        <w:sz w:val="14"/>
                      </w:rPr>
                    </w:pPr>
                    <w:r>
                      <w:rPr>
                        <w:w w:val="105"/>
                        <w:sz w:val="14"/>
                      </w:rPr>
                      <w:t>0.00</w:t>
                    </w:r>
                  </w:p>
                </w:txbxContent>
              </v:textbox>
              <w10:wrap type="none"/>
            </v:shape>
            <v:shape style="position:absolute;left:9458;top:2259;width:299;height:161" type="#_x0000_t202" filled="false" stroked="false">
              <v:textbox inset="0,0,0,0">
                <w:txbxContent>
                  <w:p>
                    <w:pPr>
                      <w:spacing w:line="160" w:lineRule="exact" w:before="0"/>
                      <w:ind w:left="0" w:right="0" w:firstLine="0"/>
                      <w:jc w:val="left"/>
                      <w:rPr>
                        <w:sz w:val="14"/>
                      </w:rPr>
                    </w:pPr>
                    <w:r>
                      <w:rPr>
                        <w:w w:val="105"/>
                        <w:sz w:val="14"/>
                      </w:rPr>
                      <w:t>0.00</w:t>
                    </w:r>
                  </w:p>
                </w:txbxContent>
              </v:textbox>
              <w10:wrap type="none"/>
            </v:shape>
            <v:shape style="position:absolute;left:10999;top:2259;width:347;height:161" type="#_x0000_t202" filled="false" stroked="false">
              <v:textbox inset="0,0,0,0">
                <w:txbxContent>
                  <w:p>
                    <w:pPr>
                      <w:spacing w:line="160" w:lineRule="exact" w:before="0"/>
                      <w:ind w:left="0" w:right="0" w:firstLine="0"/>
                      <w:jc w:val="left"/>
                      <w:rPr>
                        <w:sz w:val="14"/>
                      </w:rPr>
                    </w:pPr>
                    <w:r>
                      <w:rPr>
                        <w:w w:val="105"/>
                        <w:sz w:val="14"/>
                      </w:rPr>
                      <w:t>0.0%</w:t>
                    </w:r>
                  </w:p>
                </w:txbxContent>
              </v:textbox>
              <w10:wrap type="none"/>
            </v:shape>
            <v:shape style="position:absolute;left:720;top:2624;width:1596;height:161" type="#_x0000_t202" filled="false" stroked="false">
              <v:textbox inset="0,0,0,0">
                <w:txbxContent>
                  <w:p>
                    <w:pPr>
                      <w:spacing w:line="160" w:lineRule="exact" w:before="0"/>
                      <w:ind w:left="0" w:right="0" w:firstLine="0"/>
                      <w:jc w:val="left"/>
                      <w:rPr>
                        <w:sz w:val="14"/>
                      </w:rPr>
                    </w:pPr>
                    <w:r>
                      <w:rPr>
                        <w:w w:val="105"/>
                        <w:sz w:val="14"/>
                      </w:rPr>
                      <w:t>Other</w:t>
                    </w:r>
                    <w:r>
                      <w:rPr>
                        <w:spacing w:val="-18"/>
                        <w:w w:val="105"/>
                        <w:sz w:val="14"/>
                      </w:rPr>
                      <w:t> </w:t>
                    </w:r>
                    <w:r>
                      <w:rPr>
                        <w:w w:val="105"/>
                        <w:sz w:val="14"/>
                      </w:rPr>
                      <w:t>Classified</w:t>
                    </w:r>
                    <w:r>
                      <w:rPr>
                        <w:spacing w:val="-18"/>
                        <w:w w:val="105"/>
                        <w:sz w:val="14"/>
                      </w:rPr>
                      <w:t> </w:t>
                    </w:r>
                    <w:r>
                      <w:rPr>
                        <w:w w:val="105"/>
                        <w:sz w:val="14"/>
                      </w:rPr>
                      <w:t>Salaries</w:t>
                    </w:r>
                  </w:p>
                </w:txbxContent>
              </v:textbox>
              <w10:wrap type="none"/>
            </v:shape>
            <v:shape style="position:absolute;left:6144;top:2624;width:338;height:161" type="#_x0000_t202" filled="false" stroked="false">
              <v:textbox inset="0,0,0,0">
                <w:txbxContent>
                  <w:p>
                    <w:pPr>
                      <w:spacing w:line="160" w:lineRule="exact" w:before="0"/>
                      <w:ind w:left="0" w:right="0" w:firstLine="0"/>
                      <w:jc w:val="left"/>
                      <w:rPr>
                        <w:sz w:val="14"/>
                      </w:rPr>
                    </w:pPr>
                    <w:r>
                      <w:rPr>
                        <w:w w:val="105"/>
                        <w:sz w:val="14"/>
                      </w:rPr>
                      <w:t>2900</w:t>
                    </w:r>
                  </w:p>
                </w:txbxContent>
              </v:textbox>
              <w10:wrap type="none"/>
            </v:shape>
            <v:shape style="position:absolute;left:7946;top:2624;width:299;height:161" type="#_x0000_t202" filled="false" stroked="false">
              <v:textbox inset="0,0,0,0">
                <w:txbxContent>
                  <w:p>
                    <w:pPr>
                      <w:spacing w:line="160" w:lineRule="exact" w:before="0"/>
                      <w:ind w:left="0" w:right="0" w:firstLine="0"/>
                      <w:jc w:val="left"/>
                      <w:rPr>
                        <w:sz w:val="14"/>
                      </w:rPr>
                    </w:pPr>
                    <w:r>
                      <w:rPr>
                        <w:w w:val="105"/>
                        <w:sz w:val="14"/>
                      </w:rPr>
                      <w:t>0.00</w:t>
                    </w:r>
                  </w:p>
                </w:txbxContent>
              </v:textbox>
              <w10:wrap type="none"/>
            </v:shape>
            <v:shape style="position:absolute;left:9458;top:2624;width:299;height:161" type="#_x0000_t202" filled="false" stroked="false">
              <v:textbox inset="0,0,0,0">
                <w:txbxContent>
                  <w:p>
                    <w:pPr>
                      <w:spacing w:line="160" w:lineRule="exact" w:before="0"/>
                      <w:ind w:left="0" w:right="0" w:firstLine="0"/>
                      <w:jc w:val="left"/>
                      <w:rPr>
                        <w:sz w:val="14"/>
                      </w:rPr>
                    </w:pPr>
                    <w:r>
                      <w:rPr>
                        <w:w w:val="105"/>
                        <w:sz w:val="14"/>
                      </w:rPr>
                      <w:t>0.00</w:t>
                    </w:r>
                  </w:p>
                </w:txbxContent>
              </v:textbox>
              <w10:wrap type="none"/>
            </v:shape>
            <v:shape style="position:absolute;left:10999;top:2624;width:347;height:161" type="#_x0000_t202" filled="false" stroked="false">
              <v:textbox inset="0,0,0,0">
                <w:txbxContent>
                  <w:p>
                    <w:pPr>
                      <w:spacing w:line="160" w:lineRule="exact" w:before="0"/>
                      <w:ind w:left="0" w:right="0" w:firstLine="0"/>
                      <w:jc w:val="left"/>
                      <w:rPr>
                        <w:sz w:val="14"/>
                      </w:rPr>
                    </w:pPr>
                    <w:r>
                      <w:rPr>
                        <w:w w:val="105"/>
                        <w:sz w:val="14"/>
                      </w:rPr>
                      <w:t>0.0%</w:t>
                    </w:r>
                  </w:p>
                </w:txbxContent>
              </v:textbox>
              <w10:wrap type="none"/>
            </v:shape>
            <v:shape style="position:absolute;left:720;top:3001;width:2147;height:161" type="#_x0000_t202" filled="false" stroked="false">
              <v:textbox inset="0,0,0,0">
                <w:txbxContent>
                  <w:p>
                    <w:pPr>
                      <w:spacing w:line="160" w:lineRule="exact" w:before="0"/>
                      <w:ind w:left="0" w:right="0" w:firstLine="0"/>
                      <w:jc w:val="left"/>
                      <w:rPr>
                        <w:sz w:val="14"/>
                      </w:rPr>
                    </w:pPr>
                    <w:r>
                      <w:rPr>
                        <w:w w:val="105"/>
                        <w:sz w:val="14"/>
                      </w:rPr>
                      <w:t>TOTAL,</w:t>
                    </w:r>
                    <w:r>
                      <w:rPr>
                        <w:spacing w:val="-20"/>
                        <w:w w:val="105"/>
                        <w:sz w:val="14"/>
                      </w:rPr>
                      <w:t> </w:t>
                    </w:r>
                    <w:r>
                      <w:rPr>
                        <w:w w:val="105"/>
                        <w:sz w:val="14"/>
                      </w:rPr>
                      <w:t>CLASSIFIED</w:t>
                    </w:r>
                    <w:r>
                      <w:rPr>
                        <w:spacing w:val="-20"/>
                        <w:w w:val="105"/>
                        <w:sz w:val="14"/>
                      </w:rPr>
                      <w:t> </w:t>
                    </w:r>
                    <w:r>
                      <w:rPr>
                        <w:w w:val="105"/>
                        <w:sz w:val="14"/>
                      </w:rPr>
                      <w:t>SALARIES</w:t>
                    </w:r>
                  </w:p>
                </w:txbxContent>
              </v:textbox>
              <w10:wrap type="none"/>
            </v:shape>
            <v:shape style="position:absolute;left:7946;top:3001;width:299;height:161" type="#_x0000_t202" filled="false" stroked="false">
              <v:textbox inset="0,0,0,0">
                <w:txbxContent>
                  <w:p>
                    <w:pPr>
                      <w:spacing w:line="160" w:lineRule="exact" w:before="0"/>
                      <w:ind w:left="0" w:right="0" w:firstLine="0"/>
                      <w:jc w:val="left"/>
                      <w:rPr>
                        <w:sz w:val="14"/>
                      </w:rPr>
                    </w:pPr>
                    <w:r>
                      <w:rPr>
                        <w:w w:val="105"/>
                        <w:sz w:val="14"/>
                      </w:rPr>
                      <w:t>0.00</w:t>
                    </w:r>
                  </w:p>
                </w:txbxContent>
              </v:textbox>
              <w10:wrap type="none"/>
            </v:shape>
            <v:shape style="position:absolute;left:9458;top:3001;width:299;height:161" type="#_x0000_t202" filled="false" stroked="false">
              <v:textbox inset="0,0,0,0">
                <w:txbxContent>
                  <w:p>
                    <w:pPr>
                      <w:spacing w:line="160" w:lineRule="exact" w:before="0"/>
                      <w:ind w:left="0" w:right="0" w:firstLine="0"/>
                      <w:jc w:val="left"/>
                      <w:rPr>
                        <w:sz w:val="14"/>
                      </w:rPr>
                    </w:pPr>
                    <w:r>
                      <w:rPr>
                        <w:w w:val="105"/>
                        <w:sz w:val="14"/>
                      </w:rPr>
                      <w:t>0.00</w:t>
                    </w:r>
                  </w:p>
                </w:txbxContent>
              </v:textbox>
              <w10:wrap type="none"/>
            </v:shape>
            <v:shape style="position:absolute;left:10999;top:3001;width:347;height:161" type="#_x0000_t202" filled="false" stroked="false">
              <v:textbox inset="0,0,0,0">
                <w:txbxContent>
                  <w:p>
                    <w:pPr>
                      <w:spacing w:line="160" w:lineRule="exact" w:before="0"/>
                      <w:ind w:left="0" w:right="0" w:firstLine="0"/>
                      <w:jc w:val="left"/>
                      <w:rPr>
                        <w:sz w:val="14"/>
                      </w:rPr>
                    </w:pPr>
                    <w:r>
                      <w:rPr>
                        <w:w w:val="105"/>
                        <w:sz w:val="14"/>
                      </w:rPr>
                      <w:t>0.0%</w:t>
                    </w:r>
                  </w:p>
                </w:txbxContent>
              </v:textbox>
              <w10:wrap type="none"/>
            </v:shape>
            <v:shape style="position:absolute;left:638;top:3375;width:1576;height:161" type="#_x0000_t202" filled="false" stroked="false">
              <v:textbox inset="0,0,0,0">
                <w:txbxContent>
                  <w:p>
                    <w:pPr>
                      <w:spacing w:line="160" w:lineRule="exact" w:before="0"/>
                      <w:ind w:left="0" w:right="0" w:firstLine="0"/>
                      <w:jc w:val="left"/>
                      <w:rPr>
                        <w:b/>
                        <w:sz w:val="14"/>
                      </w:rPr>
                    </w:pPr>
                    <w:r>
                      <w:rPr>
                        <w:b/>
                        <w:w w:val="105"/>
                        <w:sz w:val="14"/>
                      </w:rPr>
                      <w:t>EMPLOYEE</w:t>
                    </w:r>
                    <w:r>
                      <w:rPr>
                        <w:b/>
                        <w:spacing w:val="-21"/>
                        <w:w w:val="105"/>
                        <w:sz w:val="14"/>
                      </w:rPr>
                      <w:t> </w:t>
                    </w:r>
                    <w:r>
                      <w:rPr>
                        <w:b/>
                        <w:w w:val="105"/>
                        <w:sz w:val="14"/>
                      </w:rPr>
                      <w:t>BENEFITS</w:t>
                    </w:r>
                  </w:p>
                </w:txbxContent>
              </v:textbox>
              <w10:wrap type="none"/>
            </v:shape>
            <v:shape style="position:absolute;left:638;top:7609;width:1645;height:161" type="#_x0000_t202" filled="false" stroked="false">
              <v:textbox inset="0,0,0,0">
                <w:txbxContent>
                  <w:p>
                    <w:pPr>
                      <w:spacing w:line="160" w:lineRule="exact" w:before="0"/>
                      <w:ind w:left="0" w:right="0" w:firstLine="0"/>
                      <w:jc w:val="left"/>
                      <w:rPr>
                        <w:b/>
                        <w:sz w:val="14"/>
                      </w:rPr>
                    </w:pPr>
                    <w:r>
                      <w:rPr>
                        <w:b/>
                        <w:w w:val="105"/>
                        <w:sz w:val="14"/>
                      </w:rPr>
                      <w:t>BOOKS</w:t>
                    </w:r>
                    <w:r>
                      <w:rPr>
                        <w:b/>
                        <w:spacing w:val="-17"/>
                        <w:w w:val="105"/>
                        <w:sz w:val="14"/>
                      </w:rPr>
                      <w:t> </w:t>
                    </w:r>
                    <w:r>
                      <w:rPr>
                        <w:b/>
                        <w:w w:val="105"/>
                        <w:sz w:val="14"/>
                      </w:rPr>
                      <w:t>AND</w:t>
                    </w:r>
                    <w:r>
                      <w:rPr>
                        <w:b/>
                        <w:spacing w:val="-17"/>
                        <w:w w:val="105"/>
                        <w:sz w:val="14"/>
                      </w:rPr>
                      <w:t> </w:t>
                    </w:r>
                    <w:r>
                      <w:rPr>
                        <w:b/>
                        <w:w w:val="105"/>
                        <w:sz w:val="14"/>
                      </w:rPr>
                      <w:t>SUPPLIES</w:t>
                    </w:r>
                  </w:p>
                </w:txbxContent>
              </v:textbox>
              <w10:wrap type="none"/>
            </v:shape>
            <w10:wrap type="none"/>
          </v:group>
        </w:pict>
      </w:r>
      <w:r>
        <w:rPr>
          <w:sz w:val="18"/>
        </w:rPr>
        <w:t>Winship-Robbins Elementary Sutter County</w:t>
      </w:r>
    </w:p>
    <w:p>
      <w:pPr>
        <w:spacing w:line="232" w:lineRule="auto" w:before="1"/>
        <w:ind w:left="499" w:right="0" w:hanging="192"/>
        <w:jc w:val="left"/>
        <w:rPr>
          <w:sz w:val="18"/>
        </w:rPr>
      </w:pPr>
      <w:r>
        <w:rPr/>
        <w:br w:type="column"/>
      </w:r>
      <w:r>
        <w:rPr>
          <w:sz w:val="18"/>
        </w:rPr>
        <w:t>Deferred Maintenance Fund Expenditures by Object</w:t>
      </w:r>
    </w:p>
    <w:p>
      <w:pPr>
        <w:spacing w:line="200" w:lineRule="exact" w:before="0"/>
        <w:ind w:left="0" w:right="287" w:firstLine="0"/>
        <w:jc w:val="right"/>
        <w:rPr>
          <w:sz w:val="18"/>
        </w:rPr>
      </w:pPr>
      <w:r>
        <w:rPr/>
        <w:br w:type="column"/>
      </w:r>
      <w:r>
        <w:rPr>
          <w:sz w:val="18"/>
        </w:rPr>
        <w:t>51 71456</w:t>
      </w:r>
      <w:r>
        <w:rPr>
          <w:spacing w:val="3"/>
          <w:sz w:val="18"/>
        </w:rPr>
        <w:t> </w:t>
      </w:r>
      <w:r>
        <w:rPr>
          <w:sz w:val="18"/>
        </w:rPr>
        <w:t>0000000</w:t>
      </w:r>
    </w:p>
    <w:p>
      <w:pPr>
        <w:spacing w:line="204" w:lineRule="exact" w:before="0"/>
        <w:ind w:left="0" w:right="285" w:firstLine="0"/>
        <w:jc w:val="right"/>
        <w:rPr>
          <w:sz w:val="18"/>
        </w:rPr>
      </w:pPr>
      <w:r>
        <w:rPr>
          <w:sz w:val="18"/>
        </w:rPr>
        <w:t>Form </w:t>
      </w:r>
      <w:r>
        <w:rPr>
          <w:spacing w:val="3"/>
          <w:sz w:val="18"/>
        </w:rPr>
        <w:t> </w:t>
      </w:r>
      <w:r>
        <w:rPr>
          <w:sz w:val="18"/>
        </w:rPr>
        <w:t>14</w:t>
      </w:r>
    </w:p>
    <w:p>
      <w:pPr>
        <w:spacing w:after="0" w:line="204" w:lineRule="exact"/>
        <w:jc w:val="right"/>
        <w:rPr>
          <w:sz w:val="18"/>
        </w:rPr>
        <w:sectPr>
          <w:pgSz w:w="12240" w:h="15840"/>
          <w:pgMar w:header="651" w:footer="437" w:top="840" w:bottom="620" w:left="160" w:right="180"/>
          <w:cols w:num="3" w:equalWidth="0">
            <w:col w:w="2698" w:space="1823"/>
            <w:col w:w="2608" w:space="2663"/>
            <w:col w:w="2108"/>
          </w:cols>
        </w:sectPr>
      </w:pPr>
    </w:p>
    <w:p>
      <w:pPr>
        <w:pStyle w:val="BodyText"/>
        <w:rPr>
          <w:sz w:val="20"/>
        </w:rPr>
      </w:pPr>
      <w:r>
        <w:rPr/>
        <w:pict>
          <v:group style="position:absolute;margin-left:212.039993pt;margin-top:459.23999pt;width:356.05pt;height:55.7pt;mso-position-horizontal-relative:page;mso-position-vertical-relative:page;z-index:-314390528" coordorigin="4241,9185" coordsize="7121,1114">
            <v:shape style="position:absolute;left:6782;top:9184;width:4580;height:737" type="#_x0000_t75" stroked="false">
              <v:imagedata r:id="rId464" o:title=""/>
            </v:shape>
            <v:shape style="position:absolute;left:4240;top:9549;width:7121;height:749" type="#_x0000_t75" stroked="false">
              <v:imagedata r:id="rId479" o:title=""/>
            </v:shape>
            <v:shape style="position:absolute;left:8294;top:9914;width:3068;height:384" type="#_x0000_t75" stroked="false">
              <v:imagedata r:id="rId583" o:titl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7"/>
        </w:rPr>
      </w:pPr>
    </w:p>
    <w:tbl>
      <w:tblPr>
        <w:tblW w:w="0" w:type="auto"/>
        <w:jc w:val="left"/>
        <w:tblInd w:w="5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14"/>
        <w:gridCol w:w="2911"/>
        <w:gridCol w:w="1547"/>
        <w:gridCol w:w="1527"/>
        <w:gridCol w:w="1008"/>
      </w:tblGrid>
      <w:tr>
        <w:trPr>
          <w:trHeight w:val="262" w:hRule="atLeast"/>
        </w:trPr>
        <w:tc>
          <w:tcPr>
            <w:tcW w:w="3714" w:type="dxa"/>
          </w:tcPr>
          <w:p>
            <w:pPr>
              <w:pStyle w:val="TableParagraph"/>
              <w:spacing w:line="160" w:lineRule="exact"/>
              <w:ind w:left="50"/>
              <w:rPr>
                <w:sz w:val="14"/>
              </w:rPr>
            </w:pPr>
            <w:r>
              <w:rPr>
                <w:w w:val="105"/>
                <w:sz w:val="14"/>
              </w:rPr>
              <w:t>STRS</w:t>
            </w:r>
          </w:p>
        </w:tc>
        <w:tc>
          <w:tcPr>
            <w:tcW w:w="2911" w:type="dxa"/>
          </w:tcPr>
          <w:p>
            <w:pPr>
              <w:pStyle w:val="TableParagraph"/>
              <w:spacing w:line="160" w:lineRule="exact"/>
              <w:ind w:right="649"/>
              <w:jc w:val="right"/>
              <w:rPr>
                <w:sz w:val="14"/>
              </w:rPr>
            </w:pPr>
            <w:r>
              <w:rPr>
                <w:sz w:val="14"/>
              </w:rPr>
              <w:t>3101-3102</w:t>
            </w:r>
          </w:p>
        </w:tc>
        <w:tc>
          <w:tcPr>
            <w:tcW w:w="1547" w:type="dxa"/>
          </w:tcPr>
          <w:p>
            <w:pPr>
              <w:pStyle w:val="TableParagraph"/>
              <w:spacing w:line="160" w:lineRule="exact"/>
              <w:ind w:left="626" w:right="592"/>
              <w:jc w:val="center"/>
              <w:rPr>
                <w:sz w:val="14"/>
              </w:rPr>
            </w:pPr>
            <w:r>
              <w:rPr>
                <w:w w:val="105"/>
                <w:sz w:val="14"/>
              </w:rPr>
              <w:t>0.00</w:t>
            </w:r>
          </w:p>
        </w:tc>
        <w:tc>
          <w:tcPr>
            <w:tcW w:w="1527" w:type="dxa"/>
          </w:tcPr>
          <w:p>
            <w:pPr>
              <w:pStyle w:val="TableParagraph"/>
              <w:spacing w:line="160" w:lineRule="exact"/>
              <w:ind w:left="616"/>
              <w:rPr>
                <w:sz w:val="14"/>
              </w:rPr>
            </w:pPr>
            <w:r>
              <w:rPr>
                <w:w w:val="105"/>
                <w:sz w:val="14"/>
              </w:rPr>
              <w:t>0.00</w:t>
            </w:r>
          </w:p>
        </w:tc>
        <w:tc>
          <w:tcPr>
            <w:tcW w:w="1008" w:type="dxa"/>
          </w:tcPr>
          <w:p>
            <w:pPr>
              <w:pStyle w:val="TableParagraph"/>
              <w:spacing w:line="160" w:lineRule="exact"/>
              <w:ind w:right="49"/>
              <w:jc w:val="right"/>
              <w:rPr>
                <w:sz w:val="14"/>
              </w:rPr>
            </w:pPr>
            <w:r>
              <w:rPr>
                <w:sz w:val="14"/>
              </w:rPr>
              <w:t>0.0%</w:t>
            </w:r>
          </w:p>
        </w:tc>
      </w:tr>
      <w:tr>
        <w:trPr>
          <w:trHeight w:val="364" w:hRule="atLeast"/>
        </w:trPr>
        <w:tc>
          <w:tcPr>
            <w:tcW w:w="3714" w:type="dxa"/>
          </w:tcPr>
          <w:p>
            <w:pPr>
              <w:pStyle w:val="TableParagraph"/>
              <w:spacing w:before="101"/>
              <w:ind w:left="50"/>
              <w:rPr>
                <w:sz w:val="14"/>
              </w:rPr>
            </w:pPr>
            <w:r>
              <w:rPr>
                <w:w w:val="105"/>
                <w:sz w:val="14"/>
              </w:rPr>
              <w:t>PERS</w:t>
            </w:r>
          </w:p>
        </w:tc>
        <w:tc>
          <w:tcPr>
            <w:tcW w:w="2911" w:type="dxa"/>
          </w:tcPr>
          <w:p>
            <w:pPr>
              <w:pStyle w:val="TableParagraph"/>
              <w:spacing w:before="101"/>
              <w:ind w:right="649"/>
              <w:jc w:val="right"/>
              <w:rPr>
                <w:sz w:val="14"/>
              </w:rPr>
            </w:pPr>
            <w:r>
              <w:rPr>
                <w:sz w:val="14"/>
              </w:rPr>
              <w:t>3201-3202</w:t>
            </w:r>
          </w:p>
        </w:tc>
        <w:tc>
          <w:tcPr>
            <w:tcW w:w="1547" w:type="dxa"/>
          </w:tcPr>
          <w:p>
            <w:pPr>
              <w:pStyle w:val="TableParagraph"/>
              <w:spacing w:before="101"/>
              <w:ind w:left="626" w:right="592"/>
              <w:jc w:val="center"/>
              <w:rPr>
                <w:sz w:val="14"/>
              </w:rPr>
            </w:pPr>
            <w:r>
              <w:rPr>
                <w:w w:val="105"/>
                <w:sz w:val="14"/>
              </w:rPr>
              <w:t>0.00</w:t>
            </w:r>
          </w:p>
        </w:tc>
        <w:tc>
          <w:tcPr>
            <w:tcW w:w="1527" w:type="dxa"/>
          </w:tcPr>
          <w:p>
            <w:pPr>
              <w:pStyle w:val="TableParagraph"/>
              <w:spacing w:before="101"/>
              <w:ind w:left="616"/>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364" w:hRule="atLeast"/>
        </w:trPr>
        <w:tc>
          <w:tcPr>
            <w:tcW w:w="3714" w:type="dxa"/>
          </w:tcPr>
          <w:p>
            <w:pPr>
              <w:pStyle w:val="TableParagraph"/>
              <w:spacing w:before="101"/>
              <w:ind w:left="50"/>
              <w:rPr>
                <w:sz w:val="14"/>
              </w:rPr>
            </w:pPr>
            <w:r>
              <w:rPr>
                <w:w w:val="105"/>
                <w:sz w:val="14"/>
              </w:rPr>
              <w:t>OASDI/Medicare/Alternative</w:t>
            </w:r>
          </w:p>
        </w:tc>
        <w:tc>
          <w:tcPr>
            <w:tcW w:w="2911" w:type="dxa"/>
          </w:tcPr>
          <w:p>
            <w:pPr>
              <w:pStyle w:val="TableParagraph"/>
              <w:spacing w:before="101"/>
              <w:ind w:right="649"/>
              <w:jc w:val="right"/>
              <w:rPr>
                <w:sz w:val="14"/>
              </w:rPr>
            </w:pPr>
            <w:r>
              <w:rPr>
                <w:sz w:val="14"/>
              </w:rPr>
              <w:t>3301-3302</w:t>
            </w:r>
          </w:p>
        </w:tc>
        <w:tc>
          <w:tcPr>
            <w:tcW w:w="1547" w:type="dxa"/>
          </w:tcPr>
          <w:p>
            <w:pPr>
              <w:pStyle w:val="TableParagraph"/>
              <w:spacing w:before="101"/>
              <w:ind w:left="626" w:right="592"/>
              <w:jc w:val="center"/>
              <w:rPr>
                <w:sz w:val="14"/>
              </w:rPr>
            </w:pPr>
            <w:r>
              <w:rPr>
                <w:w w:val="105"/>
                <w:sz w:val="14"/>
              </w:rPr>
              <w:t>0.00</w:t>
            </w:r>
          </w:p>
        </w:tc>
        <w:tc>
          <w:tcPr>
            <w:tcW w:w="1527" w:type="dxa"/>
          </w:tcPr>
          <w:p>
            <w:pPr>
              <w:pStyle w:val="TableParagraph"/>
              <w:spacing w:before="101"/>
              <w:ind w:left="616"/>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364" w:hRule="atLeast"/>
        </w:trPr>
        <w:tc>
          <w:tcPr>
            <w:tcW w:w="3714" w:type="dxa"/>
          </w:tcPr>
          <w:p>
            <w:pPr>
              <w:pStyle w:val="TableParagraph"/>
              <w:spacing w:before="101"/>
              <w:ind w:left="50"/>
              <w:rPr>
                <w:sz w:val="14"/>
              </w:rPr>
            </w:pPr>
            <w:r>
              <w:rPr>
                <w:w w:val="105"/>
                <w:sz w:val="14"/>
              </w:rPr>
              <w:t>Health and Welfare Benefits</w:t>
            </w:r>
          </w:p>
        </w:tc>
        <w:tc>
          <w:tcPr>
            <w:tcW w:w="2911" w:type="dxa"/>
          </w:tcPr>
          <w:p>
            <w:pPr>
              <w:pStyle w:val="TableParagraph"/>
              <w:spacing w:before="101"/>
              <w:ind w:right="649"/>
              <w:jc w:val="right"/>
              <w:rPr>
                <w:sz w:val="14"/>
              </w:rPr>
            </w:pPr>
            <w:r>
              <w:rPr>
                <w:sz w:val="14"/>
              </w:rPr>
              <w:t>3401-3402</w:t>
            </w:r>
          </w:p>
        </w:tc>
        <w:tc>
          <w:tcPr>
            <w:tcW w:w="1547" w:type="dxa"/>
          </w:tcPr>
          <w:p>
            <w:pPr>
              <w:pStyle w:val="TableParagraph"/>
              <w:spacing w:before="101"/>
              <w:ind w:left="626" w:right="592"/>
              <w:jc w:val="center"/>
              <w:rPr>
                <w:sz w:val="14"/>
              </w:rPr>
            </w:pPr>
            <w:r>
              <w:rPr>
                <w:w w:val="105"/>
                <w:sz w:val="14"/>
              </w:rPr>
              <w:t>0.00</w:t>
            </w:r>
          </w:p>
        </w:tc>
        <w:tc>
          <w:tcPr>
            <w:tcW w:w="1527" w:type="dxa"/>
          </w:tcPr>
          <w:p>
            <w:pPr>
              <w:pStyle w:val="TableParagraph"/>
              <w:spacing w:before="101"/>
              <w:ind w:left="616"/>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364" w:hRule="atLeast"/>
        </w:trPr>
        <w:tc>
          <w:tcPr>
            <w:tcW w:w="3714" w:type="dxa"/>
          </w:tcPr>
          <w:p>
            <w:pPr>
              <w:pStyle w:val="TableParagraph"/>
              <w:spacing w:before="101"/>
              <w:ind w:left="50"/>
              <w:rPr>
                <w:sz w:val="14"/>
              </w:rPr>
            </w:pPr>
            <w:r>
              <w:rPr>
                <w:w w:val="105"/>
                <w:sz w:val="14"/>
              </w:rPr>
              <w:t>Unemployment Insurance</w:t>
            </w:r>
          </w:p>
        </w:tc>
        <w:tc>
          <w:tcPr>
            <w:tcW w:w="2911" w:type="dxa"/>
          </w:tcPr>
          <w:p>
            <w:pPr>
              <w:pStyle w:val="TableParagraph"/>
              <w:spacing w:before="101"/>
              <w:ind w:right="649"/>
              <w:jc w:val="right"/>
              <w:rPr>
                <w:sz w:val="14"/>
              </w:rPr>
            </w:pPr>
            <w:r>
              <w:rPr>
                <w:sz w:val="14"/>
              </w:rPr>
              <w:t>3501-3502</w:t>
            </w:r>
          </w:p>
        </w:tc>
        <w:tc>
          <w:tcPr>
            <w:tcW w:w="1547" w:type="dxa"/>
          </w:tcPr>
          <w:p>
            <w:pPr>
              <w:pStyle w:val="TableParagraph"/>
              <w:spacing w:before="101"/>
              <w:ind w:left="626" w:right="592"/>
              <w:jc w:val="center"/>
              <w:rPr>
                <w:sz w:val="14"/>
              </w:rPr>
            </w:pPr>
            <w:r>
              <w:rPr>
                <w:w w:val="105"/>
                <w:sz w:val="14"/>
              </w:rPr>
              <w:t>0.00</w:t>
            </w:r>
          </w:p>
        </w:tc>
        <w:tc>
          <w:tcPr>
            <w:tcW w:w="1527" w:type="dxa"/>
          </w:tcPr>
          <w:p>
            <w:pPr>
              <w:pStyle w:val="TableParagraph"/>
              <w:spacing w:before="101"/>
              <w:ind w:left="616"/>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364" w:hRule="atLeast"/>
        </w:trPr>
        <w:tc>
          <w:tcPr>
            <w:tcW w:w="3714" w:type="dxa"/>
          </w:tcPr>
          <w:p>
            <w:pPr>
              <w:pStyle w:val="TableParagraph"/>
              <w:spacing w:before="101"/>
              <w:ind w:left="50"/>
              <w:rPr>
                <w:sz w:val="14"/>
              </w:rPr>
            </w:pPr>
            <w:r>
              <w:rPr>
                <w:w w:val="105"/>
                <w:sz w:val="14"/>
              </w:rPr>
              <w:t>Workers' Compensation</w:t>
            </w:r>
          </w:p>
        </w:tc>
        <w:tc>
          <w:tcPr>
            <w:tcW w:w="2911" w:type="dxa"/>
          </w:tcPr>
          <w:p>
            <w:pPr>
              <w:pStyle w:val="TableParagraph"/>
              <w:spacing w:before="101"/>
              <w:ind w:right="649"/>
              <w:jc w:val="right"/>
              <w:rPr>
                <w:sz w:val="14"/>
              </w:rPr>
            </w:pPr>
            <w:r>
              <w:rPr>
                <w:sz w:val="14"/>
              </w:rPr>
              <w:t>3601-3602</w:t>
            </w:r>
          </w:p>
        </w:tc>
        <w:tc>
          <w:tcPr>
            <w:tcW w:w="1547" w:type="dxa"/>
          </w:tcPr>
          <w:p>
            <w:pPr>
              <w:pStyle w:val="TableParagraph"/>
              <w:spacing w:before="101"/>
              <w:ind w:left="626" w:right="592"/>
              <w:jc w:val="center"/>
              <w:rPr>
                <w:sz w:val="14"/>
              </w:rPr>
            </w:pPr>
            <w:r>
              <w:rPr>
                <w:w w:val="105"/>
                <w:sz w:val="14"/>
              </w:rPr>
              <w:t>0.00</w:t>
            </w:r>
          </w:p>
        </w:tc>
        <w:tc>
          <w:tcPr>
            <w:tcW w:w="1527" w:type="dxa"/>
          </w:tcPr>
          <w:p>
            <w:pPr>
              <w:pStyle w:val="TableParagraph"/>
              <w:spacing w:before="101"/>
              <w:ind w:left="616"/>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364" w:hRule="atLeast"/>
        </w:trPr>
        <w:tc>
          <w:tcPr>
            <w:tcW w:w="3714" w:type="dxa"/>
          </w:tcPr>
          <w:p>
            <w:pPr>
              <w:pStyle w:val="TableParagraph"/>
              <w:spacing w:before="101"/>
              <w:ind w:left="50"/>
              <w:rPr>
                <w:sz w:val="14"/>
              </w:rPr>
            </w:pPr>
            <w:r>
              <w:rPr>
                <w:w w:val="105"/>
                <w:sz w:val="14"/>
              </w:rPr>
              <w:t>OPEB, Allocated</w:t>
            </w:r>
          </w:p>
        </w:tc>
        <w:tc>
          <w:tcPr>
            <w:tcW w:w="2911" w:type="dxa"/>
          </w:tcPr>
          <w:p>
            <w:pPr>
              <w:pStyle w:val="TableParagraph"/>
              <w:spacing w:before="101"/>
              <w:ind w:right="649"/>
              <w:jc w:val="right"/>
              <w:rPr>
                <w:sz w:val="14"/>
              </w:rPr>
            </w:pPr>
            <w:r>
              <w:rPr>
                <w:sz w:val="14"/>
              </w:rPr>
              <w:t>3701-3702</w:t>
            </w:r>
          </w:p>
        </w:tc>
        <w:tc>
          <w:tcPr>
            <w:tcW w:w="1547" w:type="dxa"/>
          </w:tcPr>
          <w:p>
            <w:pPr>
              <w:pStyle w:val="TableParagraph"/>
              <w:spacing w:before="101"/>
              <w:ind w:left="626" w:right="592"/>
              <w:jc w:val="center"/>
              <w:rPr>
                <w:sz w:val="14"/>
              </w:rPr>
            </w:pPr>
            <w:r>
              <w:rPr>
                <w:w w:val="105"/>
                <w:sz w:val="14"/>
              </w:rPr>
              <w:t>0.00</w:t>
            </w:r>
          </w:p>
        </w:tc>
        <w:tc>
          <w:tcPr>
            <w:tcW w:w="1527" w:type="dxa"/>
          </w:tcPr>
          <w:p>
            <w:pPr>
              <w:pStyle w:val="TableParagraph"/>
              <w:spacing w:before="101"/>
              <w:ind w:left="616"/>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364" w:hRule="atLeast"/>
        </w:trPr>
        <w:tc>
          <w:tcPr>
            <w:tcW w:w="3714" w:type="dxa"/>
          </w:tcPr>
          <w:p>
            <w:pPr>
              <w:pStyle w:val="TableParagraph"/>
              <w:spacing w:before="101"/>
              <w:ind w:left="50"/>
              <w:rPr>
                <w:sz w:val="14"/>
              </w:rPr>
            </w:pPr>
            <w:r>
              <w:rPr>
                <w:w w:val="105"/>
                <w:sz w:val="14"/>
              </w:rPr>
              <w:t>OPEB, Active Employees</w:t>
            </w:r>
          </w:p>
        </w:tc>
        <w:tc>
          <w:tcPr>
            <w:tcW w:w="2911" w:type="dxa"/>
          </w:tcPr>
          <w:p>
            <w:pPr>
              <w:pStyle w:val="TableParagraph"/>
              <w:spacing w:before="101"/>
              <w:ind w:right="649"/>
              <w:jc w:val="right"/>
              <w:rPr>
                <w:sz w:val="14"/>
              </w:rPr>
            </w:pPr>
            <w:r>
              <w:rPr>
                <w:sz w:val="14"/>
              </w:rPr>
              <w:t>3751-3752</w:t>
            </w:r>
          </w:p>
        </w:tc>
        <w:tc>
          <w:tcPr>
            <w:tcW w:w="1547" w:type="dxa"/>
          </w:tcPr>
          <w:p>
            <w:pPr>
              <w:pStyle w:val="TableParagraph"/>
              <w:spacing w:before="101"/>
              <w:ind w:left="626" w:right="592"/>
              <w:jc w:val="center"/>
              <w:rPr>
                <w:sz w:val="14"/>
              </w:rPr>
            </w:pPr>
            <w:r>
              <w:rPr>
                <w:w w:val="105"/>
                <w:sz w:val="14"/>
              </w:rPr>
              <w:t>0.00</w:t>
            </w:r>
          </w:p>
        </w:tc>
        <w:tc>
          <w:tcPr>
            <w:tcW w:w="1527" w:type="dxa"/>
          </w:tcPr>
          <w:p>
            <w:pPr>
              <w:pStyle w:val="TableParagraph"/>
              <w:spacing w:before="101"/>
              <w:ind w:left="616"/>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370" w:hRule="atLeast"/>
        </w:trPr>
        <w:tc>
          <w:tcPr>
            <w:tcW w:w="3714" w:type="dxa"/>
          </w:tcPr>
          <w:p>
            <w:pPr>
              <w:pStyle w:val="TableParagraph"/>
              <w:spacing w:before="101"/>
              <w:ind w:left="50"/>
              <w:rPr>
                <w:sz w:val="14"/>
              </w:rPr>
            </w:pPr>
            <w:r>
              <w:rPr>
                <w:w w:val="105"/>
                <w:sz w:val="14"/>
              </w:rPr>
              <w:t>Other Employee Benefits</w:t>
            </w:r>
          </w:p>
        </w:tc>
        <w:tc>
          <w:tcPr>
            <w:tcW w:w="2911" w:type="dxa"/>
          </w:tcPr>
          <w:p>
            <w:pPr>
              <w:pStyle w:val="TableParagraph"/>
              <w:spacing w:before="101"/>
              <w:ind w:right="649"/>
              <w:jc w:val="right"/>
              <w:rPr>
                <w:sz w:val="14"/>
              </w:rPr>
            </w:pPr>
            <w:r>
              <w:rPr>
                <w:sz w:val="14"/>
              </w:rPr>
              <w:t>3901-3902</w:t>
            </w:r>
          </w:p>
        </w:tc>
        <w:tc>
          <w:tcPr>
            <w:tcW w:w="1547" w:type="dxa"/>
          </w:tcPr>
          <w:p>
            <w:pPr>
              <w:pStyle w:val="TableParagraph"/>
              <w:spacing w:before="101"/>
              <w:ind w:left="626" w:right="592"/>
              <w:jc w:val="center"/>
              <w:rPr>
                <w:sz w:val="14"/>
              </w:rPr>
            </w:pPr>
            <w:r>
              <w:rPr>
                <w:w w:val="105"/>
                <w:sz w:val="14"/>
              </w:rPr>
              <w:t>0.00</w:t>
            </w:r>
          </w:p>
        </w:tc>
        <w:tc>
          <w:tcPr>
            <w:tcW w:w="1527" w:type="dxa"/>
          </w:tcPr>
          <w:p>
            <w:pPr>
              <w:pStyle w:val="TableParagraph"/>
              <w:spacing w:before="101"/>
              <w:ind w:left="616"/>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268" w:hRule="atLeast"/>
        </w:trPr>
        <w:tc>
          <w:tcPr>
            <w:tcW w:w="3714" w:type="dxa"/>
          </w:tcPr>
          <w:p>
            <w:pPr>
              <w:pStyle w:val="TableParagraph"/>
              <w:spacing w:line="142" w:lineRule="exact" w:before="107"/>
              <w:ind w:left="50"/>
              <w:rPr>
                <w:sz w:val="14"/>
              </w:rPr>
            </w:pPr>
            <w:r>
              <w:rPr>
                <w:w w:val="105"/>
                <w:sz w:val="14"/>
              </w:rPr>
              <w:t>TOTAL, EMPLOYEE BENEFITS</w:t>
            </w:r>
          </w:p>
        </w:tc>
        <w:tc>
          <w:tcPr>
            <w:tcW w:w="2911" w:type="dxa"/>
          </w:tcPr>
          <w:p>
            <w:pPr>
              <w:pStyle w:val="TableParagraph"/>
              <w:rPr>
                <w:rFonts w:ascii="Times New Roman"/>
                <w:sz w:val="14"/>
              </w:rPr>
            </w:pPr>
          </w:p>
        </w:tc>
        <w:tc>
          <w:tcPr>
            <w:tcW w:w="1547" w:type="dxa"/>
          </w:tcPr>
          <w:p>
            <w:pPr>
              <w:pStyle w:val="TableParagraph"/>
              <w:spacing w:line="142" w:lineRule="exact" w:before="107"/>
              <w:ind w:left="626" w:right="592"/>
              <w:jc w:val="center"/>
              <w:rPr>
                <w:sz w:val="14"/>
              </w:rPr>
            </w:pPr>
            <w:r>
              <w:rPr>
                <w:w w:val="105"/>
                <w:sz w:val="14"/>
              </w:rPr>
              <w:t>0.00</w:t>
            </w:r>
          </w:p>
        </w:tc>
        <w:tc>
          <w:tcPr>
            <w:tcW w:w="1527" w:type="dxa"/>
          </w:tcPr>
          <w:p>
            <w:pPr>
              <w:pStyle w:val="TableParagraph"/>
              <w:spacing w:line="142" w:lineRule="exact" w:before="107"/>
              <w:ind w:left="616"/>
              <w:rPr>
                <w:sz w:val="14"/>
              </w:rPr>
            </w:pPr>
            <w:r>
              <w:rPr>
                <w:w w:val="105"/>
                <w:sz w:val="14"/>
              </w:rPr>
              <w:t>0.00</w:t>
            </w:r>
          </w:p>
        </w:tc>
        <w:tc>
          <w:tcPr>
            <w:tcW w:w="1008" w:type="dxa"/>
          </w:tcPr>
          <w:p>
            <w:pPr>
              <w:pStyle w:val="TableParagraph"/>
              <w:spacing w:line="142" w:lineRule="exact" w:before="107"/>
              <w:ind w:right="49"/>
              <w:jc w:val="right"/>
              <w:rPr>
                <w:sz w:val="14"/>
              </w:rPr>
            </w:pPr>
            <w:r>
              <w:rPr>
                <w:sz w:val="14"/>
              </w:rPr>
              <w:t>0.0%</w:t>
            </w:r>
          </w:p>
        </w:tc>
      </w:tr>
    </w:tbl>
    <w:p>
      <w:pPr>
        <w:pStyle w:val="BodyText"/>
        <w:rPr>
          <w:sz w:val="20"/>
        </w:rPr>
      </w:pPr>
    </w:p>
    <w:p>
      <w:pPr>
        <w:pStyle w:val="BodyText"/>
        <w:rPr>
          <w:sz w:val="20"/>
        </w:rPr>
      </w:pPr>
    </w:p>
    <w:p>
      <w:pPr>
        <w:pStyle w:val="BodyText"/>
        <w:spacing w:before="7"/>
        <w:rPr>
          <w:sz w:val="27"/>
        </w:rPr>
      </w:pPr>
    </w:p>
    <w:tbl>
      <w:tblPr>
        <w:tblW w:w="0" w:type="auto"/>
        <w:jc w:val="left"/>
        <w:tblInd w:w="5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961"/>
        <w:gridCol w:w="2572"/>
        <w:gridCol w:w="1637"/>
        <w:gridCol w:w="1525"/>
        <w:gridCol w:w="1006"/>
      </w:tblGrid>
      <w:tr>
        <w:trPr>
          <w:trHeight w:val="262" w:hRule="atLeast"/>
        </w:trPr>
        <w:tc>
          <w:tcPr>
            <w:tcW w:w="3961" w:type="dxa"/>
          </w:tcPr>
          <w:p>
            <w:pPr>
              <w:pStyle w:val="TableParagraph"/>
              <w:spacing w:line="160" w:lineRule="exact"/>
              <w:ind w:left="50"/>
              <w:rPr>
                <w:sz w:val="14"/>
              </w:rPr>
            </w:pPr>
            <w:r>
              <w:rPr>
                <w:w w:val="105"/>
                <w:sz w:val="14"/>
              </w:rPr>
              <w:t>Books and Other Reference Materials</w:t>
            </w:r>
          </w:p>
        </w:tc>
        <w:tc>
          <w:tcPr>
            <w:tcW w:w="2572" w:type="dxa"/>
          </w:tcPr>
          <w:p>
            <w:pPr>
              <w:pStyle w:val="TableParagraph"/>
              <w:spacing w:line="160" w:lineRule="exact"/>
              <w:ind w:right="739"/>
              <w:jc w:val="right"/>
              <w:rPr>
                <w:sz w:val="14"/>
              </w:rPr>
            </w:pPr>
            <w:r>
              <w:rPr>
                <w:sz w:val="14"/>
              </w:rPr>
              <w:t>4200</w:t>
            </w:r>
          </w:p>
        </w:tc>
        <w:tc>
          <w:tcPr>
            <w:tcW w:w="1637" w:type="dxa"/>
          </w:tcPr>
          <w:p>
            <w:pPr>
              <w:pStyle w:val="TableParagraph"/>
              <w:spacing w:line="160" w:lineRule="exact"/>
              <w:ind w:right="612"/>
              <w:jc w:val="right"/>
              <w:rPr>
                <w:sz w:val="14"/>
              </w:rPr>
            </w:pPr>
            <w:r>
              <w:rPr>
                <w:sz w:val="14"/>
              </w:rPr>
              <w:t>0.00</w:t>
            </w:r>
          </w:p>
        </w:tc>
        <w:tc>
          <w:tcPr>
            <w:tcW w:w="1525" w:type="dxa"/>
          </w:tcPr>
          <w:p>
            <w:pPr>
              <w:pStyle w:val="TableParagraph"/>
              <w:spacing w:line="160" w:lineRule="exact"/>
              <w:ind w:left="618"/>
              <w:rPr>
                <w:sz w:val="14"/>
              </w:rPr>
            </w:pPr>
            <w:r>
              <w:rPr>
                <w:w w:val="105"/>
                <w:sz w:val="14"/>
              </w:rPr>
              <w:t>0.00</w:t>
            </w:r>
          </w:p>
        </w:tc>
        <w:tc>
          <w:tcPr>
            <w:tcW w:w="1006" w:type="dxa"/>
          </w:tcPr>
          <w:p>
            <w:pPr>
              <w:pStyle w:val="TableParagraph"/>
              <w:spacing w:line="160" w:lineRule="exact"/>
              <w:ind w:right="43"/>
              <w:jc w:val="right"/>
              <w:rPr>
                <w:sz w:val="14"/>
              </w:rPr>
            </w:pPr>
            <w:r>
              <w:rPr>
                <w:sz w:val="14"/>
              </w:rPr>
              <w:t>0.0%</w:t>
            </w:r>
          </w:p>
        </w:tc>
      </w:tr>
      <w:tr>
        <w:trPr>
          <w:trHeight w:val="364" w:hRule="atLeast"/>
        </w:trPr>
        <w:tc>
          <w:tcPr>
            <w:tcW w:w="3961" w:type="dxa"/>
          </w:tcPr>
          <w:p>
            <w:pPr>
              <w:pStyle w:val="TableParagraph"/>
              <w:spacing w:before="101"/>
              <w:ind w:left="50"/>
              <w:rPr>
                <w:sz w:val="14"/>
              </w:rPr>
            </w:pPr>
            <w:r>
              <w:rPr>
                <w:w w:val="105"/>
                <w:sz w:val="14"/>
              </w:rPr>
              <w:t>Materials and Supplies</w:t>
            </w:r>
          </w:p>
        </w:tc>
        <w:tc>
          <w:tcPr>
            <w:tcW w:w="2572" w:type="dxa"/>
          </w:tcPr>
          <w:p>
            <w:pPr>
              <w:pStyle w:val="TableParagraph"/>
              <w:spacing w:before="101"/>
              <w:ind w:right="739"/>
              <w:jc w:val="right"/>
              <w:rPr>
                <w:sz w:val="14"/>
              </w:rPr>
            </w:pPr>
            <w:r>
              <w:rPr>
                <w:sz w:val="14"/>
              </w:rPr>
              <w:t>4300</w:t>
            </w:r>
          </w:p>
        </w:tc>
        <w:tc>
          <w:tcPr>
            <w:tcW w:w="1637" w:type="dxa"/>
          </w:tcPr>
          <w:p>
            <w:pPr>
              <w:pStyle w:val="TableParagraph"/>
              <w:spacing w:before="101"/>
              <w:ind w:right="612"/>
              <w:jc w:val="right"/>
              <w:rPr>
                <w:sz w:val="14"/>
              </w:rPr>
            </w:pPr>
            <w:r>
              <w:rPr>
                <w:sz w:val="14"/>
              </w:rPr>
              <w:t>0.00</w:t>
            </w:r>
          </w:p>
        </w:tc>
        <w:tc>
          <w:tcPr>
            <w:tcW w:w="1525" w:type="dxa"/>
          </w:tcPr>
          <w:p>
            <w:pPr>
              <w:pStyle w:val="TableParagraph"/>
              <w:spacing w:before="101"/>
              <w:ind w:left="618"/>
              <w:rPr>
                <w:sz w:val="14"/>
              </w:rPr>
            </w:pPr>
            <w:r>
              <w:rPr>
                <w:w w:val="105"/>
                <w:sz w:val="14"/>
              </w:rPr>
              <w:t>0.00</w:t>
            </w:r>
          </w:p>
        </w:tc>
        <w:tc>
          <w:tcPr>
            <w:tcW w:w="1006" w:type="dxa"/>
          </w:tcPr>
          <w:p>
            <w:pPr>
              <w:pStyle w:val="TableParagraph"/>
              <w:spacing w:before="101"/>
              <w:ind w:right="43"/>
              <w:jc w:val="right"/>
              <w:rPr>
                <w:sz w:val="14"/>
              </w:rPr>
            </w:pPr>
            <w:r>
              <w:rPr>
                <w:sz w:val="14"/>
              </w:rPr>
              <w:t>0.0%</w:t>
            </w:r>
          </w:p>
        </w:tc>
      </w:tr>
      <w:tr>
        <w:trPr>
          <w:trHeight w:val="370" w:hRule="atLeast"/>
        </w:trPr>
        <w:tc>
          <w:tcPr>
            <w:tcW w:w="3961" w:type="dxa"/>
          </w:tcPr>
          <w:p>
            <w:pPr>
              <w:pStyle w:val="TableParagraph"/>
              <w:spacing w:before="101"/>
              <w:ind w:left="50"/>
              <w:rPr>
                <w:sz w:val="14"/>
              </w:rPr>
            </w:pPr>
            <w:r>
              <w:rPr>
                <w:w w:val="105"/>
                <w:sz w:val="14"/>
              </w:rPr>
              <w:t>Noncapitalized Equipment</w:t>
            </w:r>
          </w:p>
        </w:tc>
        <w:tc>
          <w:tcPr>
            <w:tcW w:w="2572" w:type="dxa"/>
          </w:tcPr>
          <w:p>
            <w:pPr>
              <w:pStyle w:val="TableParagraph"/>
              <w:spacing w:before="101"/>
              <w:ind w:right="739"/>
              <w:jc w:val="right"/>
              <w:rPr>
                <w:sz w:val="14"/>
              </w:rPr>
            </w:pPr>
            <w:r>
              <w:rPr>
                <w:sz w:val="14"/>
              </w:rPr>
              <w:t>4400</w:t>
            </w:r>
          </w:p>
        </w:tc>
        <w:tc>
          <w:tcPr>
            <w:tcW w:w="1637" w:type="dxa"/>
          </w:tcPr>
          <w:p>
            <w:pPr>
              <w:pStyle w:val="TableParagraph"/>
              <w:spacing w:before="101"/>
              <w:ind w:right="612"/>
              <w:jc w:val="right"/>
              <w:rPr>
                <w:sz w:val="14"/>
              </w:rPr>
            </w:pPr>
            <w:r>
              <w:rPr>
                <w:sz w:val="14"/>
              </w:rPr>
              <w:t>0.00</w:t>
            </w:r>
          </w:p>
        </w:tc>
        <w:tc>
          <w:tcPr>
            <w:tcW w:w="1525" w:type="dxa"/>
          </w:tcPr>
          <w:p>
            <w:pPr>
              <w:pStyle w:val="TableParagraph"/>
              <w:spacing w:before="101"/>
              <w:ind w:left="618"/>
              <w:rPr>
                <w:sz w:val="14"/>
              </w:rPr>
            </w:pPr>
            <w:r>
              <w:rPr>
                <w:w w:val="105"/>
                <w:sz w:val="14"/>
              </w:rPr>
              <w:t>0.00</w:t>
            </w:r>
          </w:p>
        </w:tc>
        <w:tc>
          <w:tcPr>
            <w:tcW w:w="1006" w:type="dxa"/>
          </w:tcPr>
          <w:p>
            <w:pPr>
              <w:pStyle w:val="TableParagraph"/>
              <w:spacing w:before="101"/>
              <w:ind w:right="43"/>
              <w:jc w:val="right"/>
              <w:rPr>
                <w:sz w:val="14"/>
              </w:rPr>
            </w:pPr>
            <w:r>
              <w:rPr>
                <w:sz w:val="14"/>
              </w:rPr>
              <w:t>0.0%</w:t>
            </w:r>
          </w:p>
        </w:tc>
      </w:tr>
      <w:tr>
        <w:trPr>
          <w:trHeight w:val="268" w:hRule="atLeast"/>
        </w:trPr>
        <w:tc>
          <w:tcPr>
            <w:tcW w:w="3961" w:type="dxa"/>
          </w:tcPr>
          <w:p>
            <w:pPr>
              <w:pStyle w:val="TableParagraph"/>
              <w:spacing w:line="142" w:lineRule="exact" w:before="107"/>
              <w:ind w:left="50"/>
              <w:rPr>
                <w:sz w:val="14"/>
              </w:rPr>
            </w:pPr>
            <w:r>
              <w:rPr>
                <w:w w:val="105"/>
                <w:sz w:val="14"/>
              </w:rPr>
              <w:t>TOTAL, BOOKS AND SUPPLIES</w:t>
            </w:r>
          </w:p>
        </w:tc>
        <w:tc>
          <w:tcPr>
            <w:tcW w:w="2572" w:type="dxa"/>
          </w:tcPr>
          <w:p>
            <w:pPr>
              <w:pStyle w:val="TableParagraph"/>
              <w:rPr>
                <w:rFonts w:ascii="Times New Roman"/>
                <w:sz w:val="14"/>
              </w:rPr>
            </w:pPr>
          </w:p>
        </w:tc>
        <w:tc>
          <w:tcPr>
            <w:tcW w:w="1637" w:type="dxa"/>
          </w:tcPr>
          <w:p>
            <w:pPr>
              <w:pStyle w:val="TableParagraph"/>
              <w:spacing w:line="142" w:lineRule="exact" w:before="107"/>
              <w:ind w:right="612"/>
              <w:jc w:val="right"/>
              <w:rPr>
                <w:sz w:val="14"/>
              </w:rPr>
            </w:pPr>
            <w:r>
              <w:rPr>
                <w:sz w:val="14"/>
              </w:rPr>
              <w:t>0.00</w:t>
            </w:r>
          </w:p>
        </w:tc>
        <w:tc>
          <w:tcPr>
            <w:tcW w:w="1525" w:type="dxa"/>
          </w:tcPr>
          <w:p>
            <w:pPr>
              <w:pStyle w:val="TableParagraph"/>
              <w:spacing w:line="142" w:lineRule="exact" w:before="107"/>
              <w:ind w:left="618"/>
              <w:rPr>
                <w:sz w:val="14"/>
              </w:rPr>
            </w:pPr>
            <w:r>
              <w:rPr>
                <w:w w:val="105"/>
                <w:sz w:val="14"/>
              </w:rPr>
              <w:t>0.00</w:t>
            </w:r>
          </w:p>
        </w:tc>
        <w:tc>
          <w:tcPr>
            <w:tcW w:w="1006" w:type="dxa"/>
          </w:tcPr>
          <w:p>
            <w:pPr>
              <w:pStyle w:val="TableParagraph"/>
              <w:spacing w:line="142" w:lineRule="exact" w:before="107"/>
              <w:ind w:right="43"/>
              <w:jc w:val="right"/>
              <w:rPr>
                <w:sz w:val="14"/>
              </w:rPr>
            </w:pPr>
            <w:r>
              <w:rPr>
                <w:sz w:val="14"/>
              </w:rPr>
              <w:t>0.0%</w:t>
            </w:r>
          </w:p>
        </w:tc>
      </w:tr>
    </w:tbl>
    <w:p>
      <w:pPr>
        <w:spacing w:after="0" w:line="142" w:lineRule="exact"/>
        <w:jc w:val="right"/>
        <w:rPr>
          <w:sz w:val="14"/>
        </w:rPr>
        <w:sectPr>
          <w:type w:val="continuous"/>
          <w:pgSz w:w="12240" w:h="15840"/>
          <w:pgMar w:top="1500" w:bottom="840" w:left="160" w:right="180"/>
        </w:sectPr>
      </w:pPr>
    </w:p>
    <w:p>
      <w:pPr>
        <w:spacing w:line="232" w:lineRule="auto" w:before="1"/>
        <w:ind w:left="308" w:right="0" w:firstLine="0"/>
        <w:jc w:val="left"/>
        <w:rPr>
          <w:sz w:val="18"/>
        </w:rPr>
      </w:pPr>
      <w:r>
        <w:rPr/>
        <w:pict>
          <v:group style="position:absolute;margin-left:30.120001pt;margin-top:36.318634pt;width:538pt;height:418.35pt;mso-position-horizontal-relative:page;mso-position-vertical-relative:paragraph;z-index:-314383360" coordorigin="602,726" coordsize="10760,8367">
            <v:shape style="position:absolute;left:602;top:726;width:3646;height:790" type="#_x0000_t75" stroked="false">
              <v:imagedata r:id="rId406" o:title=""/>
            </v:shape>
            <v:shape style="position:absolute;left:4240;top:726;width:7121;height:790" type="#_x0000_t75" stroked="false">
              <v:imagedata r:id="rId732" o:title=""/>
            </v:shape>
            <v:shape style="position:absolute;left:602;top:1501;width:5220;height:380" type="#_x0000_t75" stroked="false">
              <v:imagedata r:id="rId628" o:title=""/>
            </v:shape>
            <v:shape style="position:absolute;left:5815;top:1501;width:5547;height:778" type="#_x0000_t75" stroked="false">
              <v:imagedata r:id="rId629" o:title=""/>
            </v:shape>
            <v:shape style="position:absolute;left:602;top:1878;width:3646;height:3164" type="#_x0000_t75" stroked="false">
              <v:imagedata r:id="rId733" o:title=""/>
            </v:shape>
            <v:shape style="position:absolute;left:6782;top:2075;width:4580;height:569" type="#_x0000_t75" stroked="false">
              <v:imagedata r:id="rId631" o:title=""/>
            </v:shape>
            <v:shape style="position:absolute;left:8294;top:2271;width:3068;height:732" type="#_x0000_t75" stroked="false">
              <v:imagedata r:id="rId489" o:title=""/>
            </v:shape>
            <v:shape style="position:absolute;left:6782;top:2636;width:1520;height:737" type="#_x0000_t75" stroked="false">
              <v:imagedata r:id="rId734" o:title=""/>
            </v:shape>
            <v:rect style="position:absolute;left:6787;top:3006;width:1512;height:365" filled="true" fillcolor="#dfdfdf" stroked="false">
              <v:fill type="solid"/>
            </v:rect>
            <v:shape style="position:absolute;left:8294;top:2636;width:1520;height:737" type="#_x0000_t75" stroked="false">
              <v:imagedata r:id="rId735" o:title=""/>
            </v:shape>
            <v:rect style="position:absolute;left:9811;top:3006;width:1541;height:365" filled="true" fillcolor="#dfdfdf" stroked="false">
              <v:fill type="solid"/>
            </v:rect>
            <v:shape style="position:absolute;left:6782;top:2636;width:4580;height:1664" type="#_x0000_t75" stroked="false">
              <v:imagedata r:id="rId635" o:title=""/>
            </v:shape>
            <v:shape style="position:absolute;left:8294;top:4095;width:3068;height:576" type="#_x0000_t75" stroked="false">
              <v:imagedata r:id="rId487" o:title=""/>
            </v:shape>
            <v:shape style="position:absolute;left:4240;top:4292;width:7121;height:1119" type="#_x0000_t75" stroked="false">
              <v:imagedata r:id="rId488" o:title=""/>
            </v:shape>
            <v:shape style="position:absolute;left:6782;top:5039;width:4580;height:737" type="#_x0000_t75" stroked="false">
              <v:imagedata r:id="rId464" o:title=""/>
            </v:shape>
            <v:shape style="position:absolute;left:8294;top:5403;width:3068;height:732" type="#_x0000_t75" stroked="false">
              <v:imagedata r:id="rId489" o:title=""/>
            </v:shape>
            <v:shape style="position:absolute;left:6782;top:5768;width:4580;height:737" type="#_x0000_t75" stroked="false">
              <v:imagedata r:id="rId637" o:title=""/>
            </v:shape>
            <v:rect style="position:absolute;left:6787;top:6503;width:1512;height:363" filled="true" fillcolor="#dfdfdf" stroked="false">
              <v:fill type="solid"/>
            </v:rect>
            <v:shape style="position:absolute;left:602;top:5039;width:5220;height:2578" type="#_x0000_t75" stroked="false">
              <v:imagedata r:id="rId736" o:title=""/>
            </v:shape>
            <v:shape style="position:absolute;left:6782;top:6498;width:4580;height:742" type="#_x0000_t75" stroked="false">
              <v:imagedata r:id="rId639" o:title=""/>
            </v:shape>
            <v:shape style="position:absolute;left:5815;top:6860;width:5547;height:1491" type="#_x0000_t75" stroked="false">
              <v:imagedata r:id="rId640" o:title=""/>
            </v:shape>
            <v:shape style="position:absolute;left:8294;top:7979;width:3068;height:732" type="#_x0000_t75" stroked="false">
              <v:imagedata r:id="rId737" o:title=""/>
            </v:shape>
            <v:shape style="position:absolute;left:602;top:7614;width:5220;height:1479" type="#_x0000_t75" stroked="false">
              <v:imagedata r:id="rId738" o:title=""/>
            </v:shape>
            <v:shape style="position:absolute;left:638;top:1340;width:811;height:161" type="#_x0000_t202" filled="false" stroked="false">
              <v:textbox inset="0,0,0,0">
                <w:txbxContent>
                  <w:p>
                    <w:pPr>
                      <w:spacing w:line="160" w:lineRule="exact" w:before="0"/>
                      <w:ind w:left="0" w:right="0" w:firstLine="0"/>
                      <w:jc w:val="left"/>
                      <w:rPr>
                        <w:b/>
                        <w:sz w:val="14"/>
                      </w:rPr>
                    </w:pPr>
                    <w:r>
                      <w:rPr>
                        <w:b/>
                        <w:sz w:val="14"/>
                      </w:rPr>
                      <w:t>Description</w:t>
                    </w:r>
                  </w:p>
                </w:txbxContent>
              </v:textbox>
              <w10:wrap type="none"/>
            </v:shape>
            <v:shape style="position:absolute;left:4466;top:1172;width:3722;height:329" type="#_x0000_t202" filled="false" stroked="false">
              <v:textbox inset="0,0,0,0">
                <w:txbxContent>
                  <w:p>
                    <w:pPr>
                      <w:spacing w:line="160" w:lineRule="exact" w:before="0"/>
                      <w:ind w:left="2820" w:right="0" w:firstLine="0"/>
                      <w:jc w:val="left"/>
                      <w:rPr>
                        <w:b/>
                        <w:sz w:val="14"/>
                      </w:rPr>
                    </w:pPr>
                    <w:r>
                      <w:rPr>
                        <w:b/>
                        <w:w w:val="105"/>
                        <w:sz w:val="14"/>
                      </w:rPr>
                      <w:t>2020-21</w:t>
                    </w:r>
                  </w:p>
                  <w:p>
                    <w:pPr>
                      <w:tabs>
                        <w:tab w:pos="1372" w:val="left" w:leader="none"/>
                      </w:tabs>
                      <w:spacing w:before="7"/>
                      <w:ind w:left="0" w:right="0" w:firstLine="0"/>
                      <w:jc w:val="left"/>
                      <w:rPr>
                        <w:b/>
                        <w:sz w:val="14"/>
                      </w:rPr>
                    </w:pPr>
                    <w:r>
                      <w:rPr>
                        <w:b/>
                        <w:w w:val="105"/>
                        <w:sz w:val="14"/>
                      </w:rPr>
                      <w:t>Resource</w:t>
                    </w:r>
                    <w:r>
                      <w:rPr>
                        <w:b/>
                        <w:spacing w:val="-12"/>
                        <w:w w:val="105"/>
                        <w:sz w:val="14"/>
                      </w:rPr>
                      <w:t> </w:t>
                    </w:r>
                    <w:r>
                      <w:rPr>
                        <w:b/>
                        <w:w w:val="105"/>
                        <w:sz w:val="14"/>
                      </w:rPr>
                      <w:t>Codes</w:t>
                      <w:tab/>
                      <w:t>Object Codes Estimated</w:t>
                    </w:r>
                    <w:r>
                      <w:rPr>
                        <w:b/>
                        <w:spacing w:val="-15"/>
                        <w:w w:val="105"/>
                        <w:sz w:val="14"/>
                      </w:rPr>
                      <w:t> </w:t>
                    </w:r>
                    <w:r>
                      <w:rPr>
                        <w:b/>
                        <w:w w:val="105"/>
                        <w:sz w:val="14"/>
                      </w:rPr>
                      <w:t>Actuals</w:t>
                    </w:r>
                  </w:p>
                </w:txbxContent>
              </v:textbox>
              <w10:wrap type="none"/>
            </v:shape>
            <v:shape style="position:absolute;left:8798;top:1172;width:545;height:329" type="#_x0000_t202" filled="false" stroked="false">
              <v:textbox inset="0,0,0,0">
                <w:txbxContent>
                  <w:p>
                    <w:pPr>
                      <w:spacing w:line="160" w:lineRule="exact" w:before="0"/>
                      <w:ind w:left="0" w:right="0" w:firstLine="0"/>
                      <w:jc w:val="left"/>
                      <w:rPr>
                        <w:b/>
                        <w:sz w:val="14"/>
                      </w:rPr>
                    </w:pPr>
                    <w:r>
                      <w:rPr>
                        <w:b/>
                        <w:sz w:val="14"/>
                      </w:rPr>
                      <w:t>2021-22</w:t>
                    </w:r>
                  </w:p>
                  <w:p>
                    <w:pPr>
                      <w:spacing w:before="7"/>
                      <w:ind w:left="11" w:right="0" w:firstLine="0"/>
                      <w:jc w:val="left"/>
                      <w:rPr>
                        <w:b/>
                        <w:sz w:val="14"/>
                      </w:rPr>
                    </w:pPr>
                    <w:r>
                      <w:rPr>
                        <w:b/>
                        <w:w w:val="105"/>
                        <w:sz w:val="14"/>
                      </w:rPr>
                      <w:t>Budget</w:t>
                    </w:r>
                  </w:p>
                </w:txbxContent>
              </v:textbox>
              <w10:wrap type="none"/>
            </v:shape>
            <v:shape style="position:absolute;left:10236;top:1172;width:721;height:329" type="#_x0000_t202" filled="false" stroked="false">
              <v:textbox inset="0,0,0,0">
                <w:txbxContent>
                  <w:p>
                    <w:pPr>
                      <w:spacing w:line="249" w:lineRule="auto" w:before="0"/>
                      <w:ind w:left="0" w:right="16" w:firstLine="86"/>
                      <w:jc w:val="left"/>
                      <w:rPr>
                        <w:b/>
                        <w:sz w:val="14"/>
                      </w:rPr>
                    </w:pPr>
                    <w:r>
                      <w:rPr>
                        <w:b/>
                        <w:w w:val="105"/>
                        <w:sz w:val="14"/>
                      </w:rPr>
                      <w:t>Percent </w:t>
                    </w:r>
                    <w:r>
                      <w:rPr>
                        <w:b/>
                        <w:sz w:val="14"/>
                      </w:rPr>
                      <w:t>Difference</w:t>
                    </w:r>
                  </w:p>
                </w:txbxContent>
              </v:textbox>
              <w10:wrap type="none"/>
            </v:shape>
            <v:shape style="position:absolute;left:638;top:1717;width:3686;height:161" type="#_x0000_t202" filled="false" stroked="false">
              <v:textbox inset="0,0,0,0">
                <w:txbxContent>
                  <w:p>
                    <w:pPr>
                      <w:spacing w:line="160" w:lineRule="exact" w:before="0"/>
                      <w:ind w:left="0" w:right="0" w:firstLine="0"/>
                      <w:jc w:val="left"/>
                      <w:rPr>
                        <w:b/>
                        <w:sz w:val="14"/>
                      </w:rPr>
                    </w:pPr>
                    <w:r>
                      <w:rPr>
                        <w:b/>
                        <w:w w:val="105"/>
                        <w:sz w:val="14"/>
                      </w:rPr>
                      <w:t>SERVICES</w:t>
                    </w:r>
                    <w:r>
                      <w:rPr>
                        <w:b/>
                        <w:spacing w:val="-19"/>
                        <w:w w:val="105"/>
                        <w:sz w:val="14"/>
                      </w:rPr>
                      <w:t> </w:t>
                    </w:r>
                    <w:r>
                      <w:rPr>
                        <w:b/>
                        <w:spacing w:val="-3"/>
                        <w:w w:val="105"/>
                        <w:sz w:val="14"/>
                      </w:rPr>
                      <w:t>AND</w:t>
                    </w:r>
                    <w:r>
                      <w:rPr>
                        <w:b/>
                        <w:spacing w:val="-20"/>
                        <w:w w:val="105"/>
                        <w:sz w:val="14"/>
                      </w:rPr>
                      <w:t> </w:t>
                    </w:r>
                    <w:r>
                      <w:rPr>
                        <w:b/>
                        <w:w w:val="105"/>
                        <w:sz w:val="14"/>
                      </w:rPr>
                      <w:t>OTHER</w:t>
                    </w:r>
                    <w:r>
                      <w:rPr>
                        <w:b/>
                        <w:spacing w:val="-19"/>
                        <w:w w:val="105"/>
                        <w:sz w:val="14"/>
                      </w:rPr>
                      <w:t> </w:t>
                    </w:r>
                    <w:r>
                      <w:rPr>
                        <w:b/>
                        <w:w w:val="105"/>
                        <w:sz w:val="14"/>
                      </w:rPr>
                      <w:t>OPERATING</w:t>
                    </w:r>
                    <w:r>
                      <w:rPr>
                        <w:b/>
                        <w:spacing w:val="-19"/>
                        <w:w w:val="105"/>
                        <w:sz w:val="14"/>
                      </w:rPr>
                      <w:t> </w:t>
                    </w:r>
                    <w:r>
                      <w:rPr>
                        <w:b/>
                        <w:w w:val="105"/>
                        <w:sz w:val="14"/>
                      </w:rPr>
                      <w:t>EXPENDITURES</w:t>
                    </w:r>
                  </w:p>
                </w:txbxContent>
              </v:textbox>
              <w10:wrap type="none"/>
            </v:shape>
            <v:shape style="position:absolute;left:638;top:7453;width:3776;height:528" type="#_x0000_t202" filled="false" stroked="false">
              <v:textbox inset="0,0,0,0">
                <w:txbxContent>
                  <w:p>
                    <w:pPr>
                      <w:spacing w:line="160" w:lineRule="exact" w:before="0"/>
                      <w:ind w:left="0" w:right="0" w:firstLine="0"/>
                      <w:jc w:val="left"/>
                      <w:rPr>
                        <w:b/>
                        <w:sz w:val="14"/>
                      </w:rPr>
                    </w:pPr>
                    <w:r>
                      <w:rPr>
                        <w:b/>
                        <w:w w:val="105"/>
                        <w:sz w:val="14"/>
                      </w:rPr>
                      <w:t>OTHER</w:t>
                    </w:r>
                    <w:r>
                      <w:rPr>
                        <w:b/>
                        <w:spacing w:val="-13"/>
                        <w:w w:val="105"/>
                        <w:sz w:val="14"/>
                      </w:rPr>
                      <w:t> </w:t>
                    </w:r>
                    <w:r>
                      <w:rPr>
                        <w:b/>
                        <w:w w:val="105"/>
                        <w:sz w:val="14"/>
                      </w:rPr>
                      <w:t>OUTGO</w:t>
                    </w:r>
                    <w:r>
                      <w:rPr>
                        <w:b/>
                        <w:spacing w:val="-12"/>
                        <w:w w:val="105"/>
                        <w:sz w:val="14"/>
                      </w:rPr>
                      <w:t> </w:t>
                    </w:r>
                    <w:r>
                      <w:rPr>
                        <w:b/>
                        <w:w w:val="105"/>
                        <w:sz w:val="14"/>
                      </w:rPr>
                      <w:t>(excluding</w:t>
                    </w:r>
                    <w:r>
                      <w:rPr>
                        <w:b/>
                        <w:spacing w:val="-12"/>
                        <w:w w:val="105"/>
                        <w:sz w:val="14"/>
                      </w:rPr>
                      <w:t> </w:t>
                    </w:r>
                    <w:r>
                      <w:rPr>
                        <w:b/>
                        <w:w w:val="105"/>
                        <w:sz w:val="14"/>
                      </w:rPr>
                      <w:t>Transfers</w:t>
                    </w:r>
                    <w:r>
                      <w:rPr>
                        <w:b/>
                        <w:spacing w:val="-13"/>
                        <w:w w:val="105"/>
                        <w:sz w:val="14"/>
                      </w:rPr>
                      <w:t> </w:t>
                    </w:r>
                    <w:r>
                      <w:rPr>
                        <w:b/>
                        <w:w w:val="105"/>
                        <w:sz w:val="14"/>
                      </w:rPr>
                      <w:t>of</w:t>
                    </w:r>
                    <w:r>
                      <w:rPr>
                        <w:b/>
                        <w:spacing w:val="-13"/>
                        <w:w w:val="105"/>
                        <w:sz w:val="14"/>
                      </w:rPr>
                      <w:t> </w:t>
                    </w:r>
                    <w:r>
                      <w:rPr>
                        <w:b/>
                        <w:w w:val="105"/>
                        <w:sz w:val="14"/>
                      </w:rPr>
                      <w:t>Indirect</w:t>
                    </w:r>
                    <w:r>
                      <w:rPr>
                        <w:b/>
                        <w:spacing w:val="-12"/>
                        <w:w w:val="105"/>
                        <w:sz w:val="14"/>
                      </w:rPr>
                      <w:t> </w:t>
                    </w:r>
                    <w:r>
                      <w:rPr>
                        <w:b/>
                        <w:w w:val="105"/>
                        <w:sz w:val="14"/>
                      </w:rPr>
                      <w:t>Costs)</w:t>
                    </w:r>
                  </w:p>
                  <w:p>
                    <w:pPr>
                      <w:spacing w:line="240" w:lineRule="auto" w:before="10"/>
                      <w:rPr>
                        <w:b/>
                        <w:sz w:val="17"/>
                      </w:rPr>
                    </w:pPr>
                  </w:p>
                  <w:p>
                    <w:pPr>
                      <w:spacing w:before="0"/>
                      <w:ind w:left="81" w:right="0" w:firstLine="0"/>
                      <w:jc w:val="left"/>
                      <w:rPr>
                        <w:sz w:val="14"/>
                      </w:rPr>
                    </w:pPr>
                    <w:r>
                      <w:rPr>
                        <w:w w:val="105"/>
                        <w:sz w:val="14"/>
                      </w:rPr>
                      <w:t>Debt Service</w:t>
                    </w:r>
                  </w:p>
                </w:txbxContent>
              </v:textbox>
              <w10:wrap type="none"/>
            </v:shape>
            <w10:wrap type="none"/>
          </v:group>
        </w:pict>
      </w:r>
      <w:r>
        <w:rPr>
          <w:sz w:val="18"/>
        </w:rPr>
        <w:t>Winship-Robbins Elementary Sutter County</w:t>
      </w:r>
    </w:p>
    <w:p>
      <w:pPr>
        <w:spacing w:line="232" w:lineRule="auto" w:before="1"/>
        <w:ind w:left="499" w:right="0" w:hanging="192"/>
        <w:jc w:val="left"/>
        <w:rPr>
          <w:sz w:val="18"/>
        </w:rPr>
      </w:pPr>
      <w:r>
        <w:rPr/>
        <w:br w:type="column"/>
      </w:r>
      <w:r>
        <w:rPr>
          <w:sz w:val="18"/>
        </w:rPr>
        <w:t>Deferred Maintenance Fund Expenditures by Object</w:t>
      </w:r>
    </w:p>
    <w:p>
      <w:pPr>
        <w:spacing w:line="200" w:lineRule="exact" w:before="0"/>
        <w:ind w:left="0" w:right="287" w:firstLine="0"/>
        <w:jc w:val="right"/>
        <w:rPr>
          <w:sz w:val="18"/>
        </w:rPr>
      </w:pPr>
      <w:r>
        <w:rPr/>
        <w:br w:type="column"/>
      </w:r>
      <w:r>
        <w:rPr>
          <w:sz w:val="18"/>
        </w:rPr>
        <w:t>51 71456</w:t>
      </w:r>
      <w:r>
        <w:rPr>
          <w:spacing w:val="3"/>
          <w:sz w:val="18"/>
        </w:rPr>
        <w:t> </w:t>
      </w:r>
      <w:r>
        <w:rPr>
          <w:sz w:val="18"/>
        </w:rPr>
        <w:t>0000000</w:t>
      </w:r>
    </w:p>
    <w:p>
      <w:pPr>
        <w:spacing w:line="204" w:lineRule="exact" w:before="0"/>
        <w:ind w:left="0" w:right="285" w:firstLine="0"/>
        <w:jc w:val="right"/>
        <w:rPr>
          <w:sz w:val="18"/>
        </w:rPr>
      </w:pPr>
      <w:r>
        <w:rPr>
          <w:sz w:val="18"/>
        </w:rPr>
        <w:t>Form </w:t>
      </w:r>
      <w:r>
        <w:rPr>
          <w:spacing w:val="3"/>
          <w:sz w:val="18"/>
        </w:rPr>
        <w:t> </w:t>
      </w:r>
      <w:r>
        <w:rPr>
          <w:sz w:val="18"/>
        </w:rPr>
        <w:t>14</w:t>
      </w:r>
    </w:p>
    <w:p>
      <w:pPr>
        <w:spacing w:after="0" w:line="204" w:lineRule="exact"/>
        <w:jc w:val="right"/>
        <w:rPr>
          <w:sz w:val="18"/>
        </w:rPr>
        <w:sectPr>
          <w:pgSz w:w="12240" w:h="15840"/>
          <w:pgMar w:header="651" w:footer="437" w:top="840" w:bottom="620" w:left="160" w:right="180"/>
          <w:cols w:num="3" w:equalWidth="0">
            <w:col w:w="2698" w:space="1823"/>
            <w:col w:w="2608" w:space="2663"/>
            <w:col w:w="2108"/>
          </w:cols>
        </w:sectPr>
      </w:pPr>
    </w:p>
    <w:p>
      <w:pPr>
        <w:pStyle w:val="BodyText"/>
        <w:rPr>
          <w:sz w:val="20"/>
        </w:rPr>
      </w:pPr>
      <w:r>
        <w:rPr/>
        <w:pict>
          <v:group style="position:absolute;margin-left:30.120001pt;margin-top:459.839996pt;width:538pt;height:64.1pt;mso-position-horizontal-relative:page;mso-position-vertical-relative:page;z-index:-314382336" coordorigin="602,9197" coordsize="10760,1282">
            <v:shape style="position:absolute;left:4240;top:9196;width:7121;height:1282" type="#_x0000_t75" stroked="false">
              <v:imagedata r:id="rId739" o:title=""/>
            </v:shape>
            <v:shape style="position:absolute;left:602;top:9938;width:3646;height:540" type="#_x0000_t75" stroked="false">
              <v:imagedata r:id="rId496" o:title=""/>
            </v:shape>
            <v:shape style="position:absolute;left:8294;top:10135;width:3068;height:344" type="#_x0000_t75" stroked="false">
              <v:imagedata r:id="rId646" o:titl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8"/>
        </w:rPr>
      </w:pPr>
    </w:p>
    <w:tbl>
      <w:tblPr>
        <w:tblW w:w="0" w:type="auto"/>
        <w:jc w:val="left"/>
        <w:tblInd w:w="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98"/>
        <w:gridCol w:w="1667"/>
        <w:gridCol w:w="1638"/>
        <w:gridCol w:w="1526"/>
        <w:gridCol w:w="1007"/>
      </w:tblGrid>
      <w:tr>
        <w:trPr>
          <w:trHeight w:val="262" w:hRule="atLeast"/>
        </w:trPr>
        <w:tc>
          <w:tcPr>
            <w:tcW w:w="4898" w:type="dxa"/>
          </w:tcPr>
          <w:p>
            <w:pPr>
              <w:pStyle w:val="TableParagraph"/>
              <w:spacing w:line="160" w:lineRule="exact"/>
              <w:ind w:left="81"/>
              <w:rPr>
                <w:sz w:val="14"/>
              </w:rPr>
            </w:pPr>
            <w:r>
              <w:rPr>
                <w:w w:val="105"/>
                <w:sz w:val="14"/>
              </w:rPr>
              <w:t>Subagreements for Services</w:t>
            </w:r>
          </w:p>
        </w:tc>
        <w:tc>
          <w:tcPr>
            <w:tcW w:w="1667" w:type="dxa"/>
          </w:tcPr>
          <w:p>
            <w:pPr>
              <w:pStyle w:val="TableParagraph"/>
              <w:spacing w:line="160" w:lineRule="exact"/>
              <w:ind w:left="607"/>
              <w:rPr>
                <w:sz w:val="14"/>
              </w:rPr>
            </w:pPr>
            <w:r>
              <w:rPr>
                <w:w w:val="105"/>
                <w:sz w:val="14"/>
              </w:rPr>
              <w:t>5100</w:t>
            </w:r>
          </w:p>
        </w:tc>
        <w:tc>
          <w:tcPr>
            <w:tcW w:w="1638" w:type="dxa"/>
          </w:tcPr>
          <w:p>
            <w:pPr>
              <w:pStyle w:val="TableParagraph"/>
              <w:spacing w:line="160" w:lineRule="exact"/>
              <w:ind w:right="614"/>
              <w:jc w:val="right"/>
              <w:rPr>
                <w:sz w:val="14"/>
              </w:rPr>
            </w:pPr>
            <w:r>
              <w:rPr>
                <w:sz w:val="14"/>
              </w:rPr>
              <w:t>0.00</w:t>
            </w:r>
          </w:p>
        </w:tc>
        <w:tc>
          <w:tcPr>
            <w:tcW w:w="1526" w:type="dxa"/>
          </w:tcPr>
          <w:p>
            <w:pPr>
              <w:pStyle w:val="TableParagraph"/>
              <w:spacing w:line="160" w:lineRule="exact"/>
              <w:ind w:left="616"/>
              <w:rPr>
                <w:sz w:val="14"/>
              </w:rPr>
            </w:pPr>
            <w:r>
              <w:rPr>
                <w:w w:val="105"/>
                <w:sz w:val="14"/>
              </w:rPr>
              <w:t>0.00</w:t>
            </w:r>
          </w:p>
        </w:tc>
        <w:tc>
          <w:tcPr>
            <w:tcW w:w="1007" w:type="dxa"/>
          </w:tcPr>
          <w:p>
            <w:pPr>
              <w:pStyle w:val="TableParagraph"/>
              <w:spacing w:line="160" w:lineRule="exact"/>
              <w:ind w:right="46"/>
              <w:jc w:val="right"/>
              <w:rPr>
                <w:sz w:val="14"/>
              </w:rPr>
            </w:pPr>
            <w:r>
              <w:rPr>
                <w:sz w:val="14"/>
              </w:rPr>
              <w:t>0.0%</w:t>
            </w:r>
          </w:p>
        </w:tc>
      </w:tr>
      <w:tr>
        <w:trPr>
          <w:trHeight w:val="364" w:hRule="atLeast"/>
        </w:trPr>
        <w:tc>
          <w:tcPr>
            <w:tcW w:w="4898" w:type="dxa"/>
          </w:tcPr>
          <w:p>
            <w:pPr>
              <w:pStyle w:val="TableParagraph"/>
              <w:spacing w:before="101"/>
              <w:ind w:left="81"/>
              <w:rPr>
                <w:sz w:val="14"/>
              </w:rPr>
            </w:pPr>
            <w:r>
              <w:rPr>
                <w:w w:val="105"/>
                <w:sz w:val="14"/>
              </w:rPr>
              <w:t>Travel and Conferences</w:t>
            </w:r>
          </w:p>
        </w:tc>
        <w:tc>
          <w:tcPr>
            <w:tcW w:w="1667" w:type="dxa"/>
          </w:tcPr>
          <w:p>
            <w:pPr>
              <w:pStyle w:val="TableParagraph"/>
              <w:spacing w:before="101"/>
              <w:ind w:left="607"/>
              <w:rPr>
                <w:sz w:val="14"/>
              </w:rPr>
            </w:pPr>
            <w:r>
              <w:rPr>
                <w:w w:val="105"/>
                <w:sz w:val="14"/>
              </w:rPr>
              <w:t>5200</w:t>
            </w:r>
          </w:p>
        </w:tc>
        <w:tc>
          <w:tcPr>
            <w:tcW w:w="1638" w:type="dxa"/>
          </w:tcPr>
          <w:p>
            <w:pPr>
              <w:pStyle w:val="TableParagraph"/>
              <w:spacing w:before="101"/>
              <w:ind w:right="614"/>
              <w:jc w:val="right"/>
              <w:rPr>
                <w:sz w:val="14"/>
              </w:rPr>
            </w:pPr>
            <w:r>
              <w:rPr>
                <w:sz w:val="14"/>
              </w:rPr>
              <w:t>0.00</w:t>
            </w:r>
          </w:p>
        </w:tc>
        <w:tc>
          <w:tcPr>
            <w:tcW w:w="1526" w:type="dxa"/>
          </w:tcPr>
          <w:p>
            <w:pPr>
              <w:pStyle w:val="TableParagraph"/>
              <w:spacing w:before="101"/>
              <w:ind w:left="616"/>
              <w:rPr>
                <w:sz w:val="14"/>
              </w:rPr>
            </w:pPr>
            <w:r>
              <w:rPr>
                <w:w w:val="105"/>
                <w:sz w:val="14"/>
              </w:rPr>
              <w:t>0.00</w:t>
            </w:r>
          </w:p>
        </w:tc>
        <w:tc>
          <w:tcPr>
            <w:tcW w:w="1007" w:type="dxa"/>
          </w:tcPr>
          <w:p>
            <w:pPr>
              <w:pStyle w:val="TableParagraph"/>
              <w:spacing w:before="101"/>
              <w:ind w:right="46"/>
              <w:jc w:val="right"/>
              <w:rPr>
                <w:sz w:val="14"/>
              </w:rPr>
            </w:pPr>
            <w:r>
              <w:rPr>
                <w:sz w:val="14"/>
              </w:rPr>
              <w:t>0.0%</w:t>
            </w:r>
          </w:p>
        </w:tc>
      </w:tr>
      <w:tr>
        <w:trPr>
          <w:trHeight w:val="364" w:hRule="atLeast"/>
        </w:trPr>
        <w:tc>
          <w:tcPr>
            <w:tcW w:w="4898" w:type="dxa"/>
          </w:tcPr>
          <w:p>
            <w:pPr>
              <w:pStyle w:val="TableParagraph"/>
              <w:spacing w:before="101"/>
              <w:ind w:left="81"/>
              <w:rPr>
                <w:sz w:val="14"/>
              </w:rPr>
            </w:pPr>
            <w:r>
              <w:rPr>
                <w:w w:val="105"/>
                <w:sz w:val="14"/>
              </w:rPr>
              <w:t>Rentals, Leases, Repairs, and Noncapitalized Improvements</w:t>
            </w:r>
          </w:p>
        </w:tc>
        <w:tc>
          <w:tcPr>
            <w:tcW w:w="1667" w:type="dxa"/>
          </w:tcPr>
          <w:p>
            <w:pPr>
              <w:pStyle w:val="TableParagraph"/>
              <w:spacing w:before="101"/>
              <w:ind w:left="607"/>
              <w:rPr>
                <w:sz w:val="14"/>
              </w:rPr>
            </w:pPr>
            <w:r>
              <w:rPr>
                <w:w w:val="105"/>
                <w:sz w:val="14"/>
              </w:rPr>
              <w:t>5600</w:t>
            </w:r>
          </w:p>
        </w:tc>
        <w:tc>
          <w:tcPr>
            <w:tcW w:w="1638" w:type="dxa"/>
          </w:tcPr>
          <w:p>
            <w:pPr>
              <w:pStyle w:val="TableParagraph"/>
              <w:spacing w:before="101"/>
              <w:ind w:right="614"/>
              <w:jc w:val="right"/>
              <w:rPr>
                <w:sz w:val="14"/>
              </w:rPr>
            </w:pPr>
            <w:r>
              <w:rPr>
                <w:sz w:val="14"/>
              </w:rPr>
              <w:t>0.00</w:t>
            </w:r>
          </w:p>
        </w:tc>
        <w:tc>
          <w:tcPr>
            <w:tcW w:w="1526" w:type="dxa"/>
          </w:tcPr>
          <w:p>
            <w:pPr>
              <w:pStyle w:val="TableParagraph"/>
              <w:spacing w:before="101"/>
              <w:ind w:left="616"/>
              <w:rPr>
                <w:sz w:val="14"/>
              </w:rPr>
            </w:pPr>
            <w:r>
              <w:rPr>
                <w:w w:val="105"/>
                <w:sz w:val="14"/>
              </w:rPr>
              <w:t>0.00</w:t>
            </w:r>
          </w:p>
        </w:tc>
        <w:tc>
          <w:tcPr>
            <w:tcW w:w="1007" w:type="dxa"/>
          </w:tcPr>
          <w:p>
            <w:pPr>
              <w:pStyle w:val="TableParagraph"/>
              <w:spacing w:before="101"/>
              <w:ind w:right="46"/>
              <w:jc w:val="right"/>
              <w:rPr>
                <w:sz w:val="14"/>
              </w:rPr>
            </w:pPr>
            <w:r>
              <w:rPr>
                <w:sz w:val="14"/>
              </w:rPr>
              <w:t>0.0%</w:t>
            </w:r>
          </w:p>
        </w:tc>
      </w:tr>
      <w:tr>
        <w:trPr>
          <w:trHeight w:val="364" w:hRule="atLeast"/>
        </w:trPr>
        <w:tc>
          <w:tcPr>
            <w:tcW w:w="4898" w:type="dxa"/>
          </w:tcPr>
          <w:p>
            <w:pPr>
              <w:pStyle w:val="TableParagraph"/>
              <w:spacing w:before="101"/>
              <w:ind w:left="81"/>
              <w:rPr>
                <w:sz w:val="14"/>
              </w:rPr>
            </w:pPr>
            <w:r>
              <w:rPr>
                <w:w w:val="105"/>
                <w:sz w:val="14"/>
              </w:rPr>
              <w:t>Transfers of Direct Costs</w:t>
            </w:r>
          </w:p>
        </w:tc>
        <w:tc>
          <w:tcPr>
            <w:tcW w:w="1667" w:type="dxa"/>
          </w:tcPr>
          <w:p>
            <w:pPr>
              <w:pStyle w:val="TableParagraph"/>
              <w:spacing w:before="101"/>
              <w:ind w:left="607"/>
              <w:rPr>
                <w:sz w:val="14"/>
              </w:rPr>
            </w:pPr>
            <w:r>
              <w:rPr>
                <w:w w:val="105"/>
                <w:sz w:val="14"/>
              </w:rPr>
              <w:t>5710</w:t>
            </w:r>
          </w:p>
        </w:tc>
        <w:tc>
          <w:tcPr>
            <w:tcW w:w="1638" w:type="dxa"/>
          </w:tcPr>
          <w:p>
            <w:pPr>
              <w:pStyle w:val="TableParagraph"/>
              <w:spacing w:before="101"/>
              <w:ind w:right="614"/>
              <w:jc w:val="right"/>
              <w:rPr>
                <w:sz w:val="14"/>
              </w:rPr>
            </w:pPr>
            <w:r>
              <w:rPr>
                <w:sz w:val="14"/>
              </w:rPr>
              <w:t>0.00</w:t>
            </w:r>
          </w:p>
        </w:tc>
        <w:tc>
          <w:tcPr>
            <w:tcW w:w="1526" w:type="dxa"/>
          </w:tcPr>
          <w:p>
            <w:pPr>
              <w:pStyle w:val="TableParagraph"/>
              <w:spacing w:before="101"/>
              <w:ind w:left="616"/>
              <w:rPr>
                <w:sz w:val="14"/>
              </w:rPr>
            </w:pPr>
            <w:r>
              <w:rPr>
                <w:w w:val="105"/>
                <w:sz w:val="14"/>
              </w:rPr>
              <w:t>0.00</w:t>
            </w:r>
          </w:p>
        </w:tc>
        <w:tc>
          <w:tcPr>
            <w:tcW w:w="1007" w:type="dxa"/>
          </w:tcPr>
          <w:p>
            <w:pPr>
              <w:pStyle w:val="TableParagraph"/>
              <w:spacing w:before="101"/>
              <w:ind w:right="46"/>
              <w:jc w:val="right"/>
              <w:rPr>
                <w:sz w:val="14"/>
              </w:rPr>
            </w:pPr>
            <w:r>
              <w:rPr>
                <w:sz w:val="14"/>
              </w:rPr>
              <w:t>0.0%</w:t>
            </w:r>
          </w:p>
        </w:tc>
      </w:tr>
      <w:tr>
        <w:trPr>
          <w:trHeight w:val="364" w:hRule="atLeast"/>
        </w:trPr>
        <w:tc>
          <w:tcPr>
            <w:tcW w:w="4898" w:type="dxa"/>
          </w:tcPr>
          <w:p>
            <w:pPr>
              <w:pStyle w:val="TableParagraph"/>
              <w:spacing w:before="101"/>
              <w:ind w:left="81"/>
              <w:rPr>
                <w:sz w:val="14"/>
              </w:rPr>
            </w:pPr>
            <w:r>
              <w:rPr>
                <w:w w:val="105"/>
                <w:sz w:val="14"/>
              </w:rPr>
              <w:t>Transfers of Direct Costs - Interfund</w:t>
            </w:r>
          </w:p>
        </w:tc>
        <w:tc>
          <w:tcPr>
            <w:tcW w:w="1667" w:type="dxa"/>
          </w:tcPr>
          <w:p>
            <w:pPr>
              <w:pStyle w:val="TableParagraph"/>
              <w:spacing w:before="101"/>
              <w:ind w:left="607"/>
              <w:rPr>
                <w:sz w:val="14"/>
              </w:rPr>
            </w:pPr>
            <w:r>
              <w:rPr>
                <w:w w:val="105"/>
                <w:sz w:val="14"/>
              </w:rPr>
              <w:t>5750</w:t>
            </w:r>
          </w:p>
        </w:tc>
        <w:tc>
          <w:tcPr>
            <w:tcW w:w="1638" w:type="dxa"/>
          </w:tcPr>
          <w:p>
            <w:pPr>
              <w:pStyle w:val="TableParagraph"/>
              <w:spacing w:before="101"/>
              <w:ind w:right="614"/>
              <w:jc w:val="right"/>
              <w:rPr>
                <w:sz w:val="14"/>
              </w:rPr>
            </w:pPr>
            <w:r>
              <w:rPr>
                <w:sz w:val="14"/>
              </w:rPr>
              <w:t>0.00</w:t>
            </w:r>
          </w:p>
        </w:tc>
        <w:tc>
          <w:tcPr>
            <w:tcW w:w="1526" w:type="dxa"/>
          </w:tcPr>
          <w:p>
            <w:pPr>
              <w:pStyle w:val="TableParagraph"/>
              <w:spacing w:before="101"/>
              <w:ind w:left="616"/>
              <w:rPr>
                <w:sz w:val="14"/>
              </w:rPr>
            </w:pPr>
            <w:r>
              <w:rPr>
                <w:w w:val="105"/>
                <w:sz w:val="14"/>
              </w:rPr>
              <w:t>0.00</w:t>
            </w:r>
          </w:p>
        </w:tc>
        <w:tc>
          <w:tcPr>
            <w:tcW w:w="1007" w:type="dxa"/>
          </w:tcPr>
          <w:p>
            <w:pPr>
              <w:pStyle w:val="TableParagraph"/>
              <w:spacing w:before="101"/>
              <w:ind w:right="46"/>
              <w:jc w:val="right"/>
              <w:rPr>
                <w:sz w:val="14"/>
              </w:rPr>
            </w:pPr>
            <w:r>
              <w:rPr>
                <w:sz w:val="14"/>
              </w:rPr>
              <w:t>0.0%</w:t>
            </w:r>
          </w:p>
        </w:tc>
      </w:tr>
      <w:tr>
        <w:trPr>
          <w:trHeight w:val="567" w:hRule="atLeast"/>
        </w:trPr>
        <w:tc>
          <w:tcPr>
            <w:tcW w:w="4898" w:type="dxa"/>
          </w:tcPr>
          <w:p>
            <w:pPr>
              <w:pStyle w:val="TableParagraph"/>
              <w:spacing w:line="292" w:lineRule="auto" w:before="101"/>
              <w:ind w:left="121" w:right="2362" w:hanging="40"/>
              <w:rPr>
                <w:sz w:val="14"/>
              </w:rPr>
            </w:pPr>
            <w:r>
              <w:rPr>
                <w:w w:val="105"/>
                <w:sz w:val="14"/>
              </w:rPr>
              <w:t>Professional/Consulting Services and Operating Expenditures</w:t>
            </w:r>
          </w:p>
        </w:tc>
        <w:tc>
          <w:tcPr>
            <w:tcW w:w="1667" w:type="dxa"/>
          </w:tcPr>
          <w:p>
            <w:pPr>
              <w:pStyle w:val="TableParagraph"/>
              <w:rPr>
                <w:sz w:val="16"/>
              </w:rPr>
            </w:pPr>
          </w:p>
          <w:p>
            <w:pPr>
              <w:pStyle w:val="TableParagraph"/>
              <w:spacing w:before="113"/>
              <w:ind w:left="607"/>
              <w:rPr>
                <w:sz w:val="14"/>
              </w:rPr>
            </w:pPr>
            <w:r>
              <w:rPr>
                <w:w w:val="105"/>
                <w:sz w:val="14"/>
              </w:rPr>
              <w:t>5800</w:t>
            </w:r>
          </w:p>
        </w:tc>
        <w:tc>
          <w:tcPr>
            <w:tcW w:w="1638" w:type="dxa"/>
          </w:tcPr>
          <w:p>
            <w:pPr>
              <w:pStyle w:val="TableParagraph"/>
              <w:rPr>
                <w:sz w:val="16"/>
              </w:rPr>
            </w:pPr>
          </w:p>
          <w:p>
            <w:pPr>
              <w:pStyle w:val="TableParagraph"/>
              <w:spacing w:before="113"/>
              <w:ind w:right="614"/>
              <w:jc w:val="right"/>
              <w:rPr>
                <w:sz w:val="14"/>
              </w:rPr>
            </w:pPr>
            <w:r>
              <w:rPr>
                <w:sz w:val="14"/>
              </w:rPr>
              <w:t>0.00</w:t>
            </w:r>
          </w:p>
        </w:tc>
        <w:tc>
          <w:tcPr>
            <w:tcW w:w="1526" w:type="dxa"/>
          </w:tcPr>
          <w:p>
            <w:pPr>
              <w:pStyle w:val="TableParagraph"/>
              <w:rPr>
                <w:sz w:val="16"/>
              </w:rPr>
            </w:pPr>
          </w:p>
          <w:p>
            <w:pPr>
              <w:pStyle w:val="TableParagraph"/>
              <w:spacing w:before="113"/>
              <w:ind w:left="616"/>
              <w:rPr>
                <w:sz w:val="14"/>
              </w:rPr>
            </w:pPr>
            <w:r>
              <w:rPr>
                <w:w w:val="105"/>
                <w:sz w:val="14"/>
              </w:rPr>
              <w:t>0.00</w:t>
            </w:r>
          </w:p>
        </w:tc>
        <w:tc>
          <w:tcPr>
            <w:tcW w:w="1007" w:type="dxa"/>
          </w:tcPr>
          <w:p>
            <w:pPr>
              <w:pStyle w:val="TableParagraph"/>
              <w:rPr>
                <w:sz w:val="16"/>
              </w:rPr>
            </w:pPr>
          </w:p>
          <w:p>
            <w:pPr>
              <w:pStyle w:val="TableParagraph"/>
              <w:spacing w:before="113"/>
              <w:ind w:right="46"/>
              <w:jc w:val="right"/>
              <w:rPr>
                <w:sz w:val="14"/>
              </w:rPr>
            </w:pPr>
            <w:r>
              <w:rPr>
                <w:sz w:val="14"/>
              </w:rPr>
              <w:t>0.0%</w:t>
            </w:r>
          </w:p>
        </w:tc>
      </w:tr>
      <w:tr>
        <w:trPr>
          <w:trHeight w:val="268" w:hRule="atLeast"/>
        </w:trPr>
        <w:tc>
          <w:tcPr>
            <w:tcW w:w="4898" w:type="dxa"/>
          </w:tcPr>
          <w:p>
            <w:pPr>
              <w:pStyle w:val="TableParagraph"/>
              <w:spacing w:line="142" w:lineRule="exact" w:before="107"/>
              <w:ind w:left="81"/>
              <w:rPr>
                <w:sz w:val="14"/>
              </w:rPr>
            </w:pPr>
            <w:r>
              <w:rPr>
                <w:w w:val="105"/>
                <w:sz w:val="14"/>
              </w:rPr>
              <w:t>TOTAL, SERVICES AND OTHER OPERATING EXPENDITURES</w:t>
            </w:r>
          </w:p>
        </w:tc>
        <w:tc>
          <w:tcPr>
            <w:tcW w:w="1667" w:type="dxa"/>
          </w:tcPr>
          <w:p>
            <w:pPr>
              <w:pStyle w:val="TableParagraph"/>
              <w:rPr>
                <w:rFonts w:ascii="Times New Roman"/>
                <w:sz w:val="14"/>
              </w:rPr>
            </w:pPr>
          </w:p>
        </w:tc>
        <w:tc>
          <w:tcPr>
            <w:tcW w:w="1638" w:type="dxa"/>
          </w:tcPr>
          <w:p>
            <w:pPr>
              <w:pStyle w:val="TableParagraph"/>
              <w:spacing w:line="142" w:lineRule="exact" w:before="107"/>
              <w:ind w:right="614"/>
              <w:jc w:val="right"/>
              <w:rPr>
                <w:sz w:val="14"/>
              </w:rPr>
            </w:pPr>
            <w:r>
              <w:rPr>
                <w:sz w:val="14"/>
              </w:rPr>
              <w:t>0.00</w:t>
            </w:r>
          </w:p>
        </w:tc>
        <w:tc>
          <w:tcPr>
            <w:tcW w:w="1526" w:type="dxa"/>
          </w:tcPr>
          <w:p>
            <w:pPr>
              <w:pStyle w:val="TableParagraph"/>
              <w:spacing w:line="142" w:lineRule="exact" w:before="107"/>
              <w:ind w:left="616"/>
              <w:rPr>
                <w:sz w:val="14"/>
              </w:rPr>
            </w:pPr>
            <w:r>
              <w:rPr>
                <w:w w:val="105"/>
                <w:sz w:val="14"/>
              </w:rPr>
              <w:t>0.00</w:t>
            </w:r>
          </w:p>
        </w:tc>
        <w:tc>
          <w:tcPr>
            <w:tcW w:w="1007" w:type="dxa"/>
          </w:tcPr>
          <w:p>
            <w:pPr>
              <w:pStyle w:val="TableParagraph"/>
              <w:spacing w:line="142" w:lineRule="exact" w:before="107"/>
              <w:ind w:right="46"/>
              <w:jc w:val="right"/>
              <w:rPr>
                <w:sz w:val="14"/>
              </w:rPr>
            </w:pPr>
            <w:r>
              <w:rPr>
                <w:sz w:val="14"/>
              </w:rPr>
              <w:t>0.0%</w:t>
            </w:r>
          </w:p>
        </w:tc>
      </w:tr>
      <w:tr>
        <w:trPr>
          <w:trHeight w:val="367" w:hRule="atLeast"/>
        </w:trPr>
        <w:tc>
          <w:tcPr>
            <w:tcW w:w="4898" w:type="dxa"/>
          </w:tcPr>
          <w:p>
            <w:pPr>
              <w:pStyle w:val="TableParagraph"/>
              <w:spacing w:before="9"/>
              <w:rPr>
                <w:sz w:val="17"/>
              </w:rPr>
            </w:pPr>
          </w:p>
          <w:p>
            <w:pPr>
              <w:pStyle w:val="TableParagraph"/>
              <w:spacing w:line="142" w:lineRule="exact" w:before="1"/>
              <w:rPr>
                <w:b/>
                <w:sz w:val="14"/>
              </w:rPr>
            </w:pPr>
            <w:r>
              <w:rPr>
                <w:b/>
                <w:w w:val="105"/>
                <w:sz w:val="14"/>
              </w:rPr>
              <w:t>CAPITAL OUTLAY</w:t>
            </w:r>
          </w:p>
        </w:tc>
        <w:tc>
          <w:tcPr>
            <w:tcW w:w="1667" w:type="dxa"/>
          </w:tcPr>
          <w:p>
            <w:pPr>
              <w:pStyle w:val="TableParagraph"/>
              <w:rPr>
                <w:rFonts w:ascii="Times New Roman"/>
                <w:sz w:val="14"/>
              </w:rPr>
            </w:pPr>
          </w:p>
        </w:tc>
        <w:tc>
          <w:tcPr>
            <w:tcW w:w="1638" w:type="dxa"/>
          </w:tcPr>
          <w:p>
            <w:pPr>
              <w:pStyle w:val="TableParagraph"/>
              <w:rPr>
                <w:rFonts w:ascii="Times New Roman"/>
                <w:sz w:val="14"/>
              </w:rPr>
            </w:pPr>
          </w:p>
        </w:tc>
        <w:tc>
          <w:tcPr>
            <w:tcW w:w="1526" w:type="dxa"/>
          </w:tcPr>
          <w:p>
            <w:pPr>
              <w:pStyle w:val="TableParagraph"/>
              <w:rPr>
                <w:rFonts w:ascii="Times New Roman"/>
                <w:sz w:val="14"/>
              </w:rPr>
            </w:pPr>
          </w:p>
        </w:tc>
        <w:tc>
          <w:tcPr>
            <w:tcW w:w="1007" w:type="dxa"/>
          </w:tcPr>
          <w:p>
            <w:pPr>
              <w:pStyle w:val="TableParagraph"/>
              <w:rPr>
                <w:rFonts w:ascii="Times New Roman"/>
                <w:sz w:val="14"/>
              </w:rPr>
            </w:pPr>
          </w:p>
        </w:tc>
      </w:tr>
      <w:tr>
        <w:trPr>
          <w:trHeight w:val="469" w:hRule="atLeast"/>
        </w:trPr>
        <w:tc>
          <w:tcPr>
            <w:tcW w:w="4898" w:type="dxa"/>
          </w:tcPr>
          <w:p>
            <w:pPr>
              <w:pStyle w:val="TableParagraph"/>
              <w:spacing w:before="9"/>
              <w:rPr>
                <w:sz w:val="17"/>
              </w:rPr>
            </w:pPr>
          </w:p>
          <w:p>
            <w:pPr>
              <w:pStyle w:val="TableParagraph"/>
              <w:spacing w:before="1"/>
              <w:ind w:left="81"/>
              <w:rPr>
                <w:sz w:val="14"/>
              </w:rPr>
            </w:pPr>
            <w:r>
              <w:rPr>
                <w:w w:val="105"/>
                <w:sz w:val="14"/>
              </w:rPr>
              <w:t>Land Improvements</w:t>
            </w:r>
          </w:p>
        </w:tc>
        <w:tc>
          <w:tcPr>
            <w:tcW w:w="1667" w:type="dxa"/>
          </w:tcPr>
          <w:p>
            <w:pPr>
              <w:pStyle w:val="TableParagraph"/>
              <w:spacing w:before="9"/>
              <w:rPr>
                <w:sz w:val="17"/>
              </w:rPr>
            </w:pPr>
          </w:p>
          <w:p>
            <w:pPr>
              <w:pStyle w:val="TableParagraph"/>
              <w:spacing w:before="1"/>
              <w:ind w:left="607"/>
              <w:rPr>
                <w:sz w:val="14"/>
              </w:rPr>
            </w:pPr>
            <w:r>
              <w:rPr>
                <w:w w:val="105"/>
                <w:sz w:val="14"/>
              </w:rPr>
              <w:t>6170</w:t>
            </w:r>
          </w:p>
        </w:tc>
        <w:tc>
          <w:tcPr>
            <w:tcW w:w="1638" w:type="dxa"/>
          </w:tcPr>
          <w:p>
            <w:pPr>
              <w:pStyle w:val="TableParagraph"/>
              <w:spacing w:before="9"/>
              <w:rPr>
                <w:sz w:val="17"/>
              </w:rPr>
            </w:pPr>
          </w:p>
          <w:p>
            <w:pPr>
              <w:pStyle w:val="TableParagraph"/>
              <w:spacing w:before="1"/>
              <w:ind w:right="614"/>
              <w:jc w:val="right"/>
              <w:rPr>
                <w:sz w:val="14"/>
              </w:rPr>
            </w:pPr>
            <w:r>
              <w:rPr>
                <w:sz w:val="14"/>
              </w:rPr>
              <w:t>0.00</w:t>
            </w:r>
          </w:p>
        </w:tc>
        <w:tc>
          <w:tcPr>
            <w:tcW w:w="1526" w:type="dxa"/>
          </w:tcPr>
          <w:p>
            <w:pPr>
              <w:pStyle w:val="TableParagraph"/>
              <w:spacing w:before="9"/>
              <w:rPr>
                <w:sz w:val="17"/>
              </w:rPr>
            </w:pPr>
          </w:p>
          <w:p>
            <w:pPr>
              <w:pStyle w:val="TableParagraph"/>
              <w:spacing w:before="1"/>
              <w:ind w:left="616"/>
              <w:rPr>
                <w:sz w:val="14"/>
              </w:rPr>
            </w:pPr>
            <w:r>
              <w:rPr>
                <w:w w:val="105"/>
                <w:sz w:val="14"/>
              </w:rPr>
              <w:t>0.00</w:t>
            </w:r>
          </w:p>
        </w:tc>
        <w:tc>
          <w:tcPr>
            <w:tcW w:w="1007" w:type="dxa"/>
          </w:tcPr>
          <w:p>
            <w:pPr>
              <w:pStyle w:val="TableParagraph"/>
              <w:spacing w:before="9"/>
              <w:rPr>
                <w:sz w:val="17"/>
              </w:rPr>
            </w:pPr>
          </w:p>
          <w:p>
            <w:pPr>
              <w:pStyle w:val="TableParagraph"/>
              <w:spacing w:before="1"/>
              <w:ind w:right="46"/>
              <w:jc w:val="right"/>
              <w:rPr>
                <w:sz w:val="14"/>
              </w:rPr>
            </w:pPr>
            <w:r>
              <w:rPr>
                <w:sz w:val="14"/>
              </w:rPr>
              <w:t>0.0%</w:t>
            </w:r>
          </w:p>
        </w:tc>
      </w:tr>
      <w:tr>
        <w:trPr>
          <w:trHeight w:val="364" w:hRule="atLeast"/>
        </w:trPr>
        <w:tc>
          <w:tcPr>
            <w:tcW w:w="4898" w:type="dxa"/>
          </w:tcPr>
          <w:p>
            <w:pPr>
              <w:pStyle w:val="TableParagraph"/>
              <w:spacing w:before="101"/>
              <w:ind w:left="81"/>
              <w:rPr>
                <w:sz w:val="14"/>
              </w:rPr>
            </w:pPr>
            <w:r>
              <w:rPr>
                <w:w w:val="105"/>
                <w:sz w:val="14"/>
              </w:rPr>
              <w:t>Buildings and Improvements of Buildings</w:t>
            </w:r>
          </w:p>
        </w:tc>
        <w:tc>
          <w:tcPr>
            <w:tcW w:w="1667" w:type="dxa"/>
          </w:tcPr>
          <w:p>
            <w:pPr>
              <w:pStyle w:val="TableParagraph"/>
              <w:spacing w:before="101"/>
              <w:ind w:left="607"/>
              <w:rPr>
                <w:sz w:val="14"/>
              </w:rPr>
            </w:pPr>
            <w:r>
              <w:rPr>
                <w:w w:val="105"/>
                <w:sz w:val="14"/>
              </w:rPr>
              <w:t>6200</w:t>
            </w:r>
          </w:p>
        </w:tc>
        <w:tc>
          <w:tcPr>
            <w:tcW w:w="1638" w:type="dxa"/>
          </w:tcPr>
          <w:p>
            <w:pPr>
              <w:pStyle w:val="TableParagraph"/>
              <w:spacing w:before="101"/>
              <w:ind w:right="614"/>
              <w:jc w:val="right"/>
              <w:rPr>
                <w:sz w:val="14"/>
              </w:rPr>
            </w:pPr>
            <w:r>
              <w:rPr>
                <w:sz w:val="14"/>
              </w:rPr>
              <w:t>0.00</w:t>
            </w:r>
          </w:p>
        </w:tc>
        <w:tc>
          <w:tcPr>
            <w:tcW w:w="1526" w:type="dxa"/>
          </w:tcPr>
          <w:p>
            <w:pPr>
              <w:pStyle w:val="TableParagraph"/>
              <w:spacing w:before="101"/>
              <w:ind w:left="616"/>
              <w:rPr>
                <w:sz w:val="14"/>
              </w:rPr>
            </w:pPr>
            <w:r>
              <w:rPr>
                <w:w w:val="105"/>
                <w:sz w:val="14"/>
              </w:rPr>
              <w:t>0.00</w:t>
            </w:r>
          </w:p>
        </w:tc>
        <w:tc>
          <w:tcPr>
            <w:tcW w:w="1007" w:type="dxa"/>
          </w:tcPr>
          <w:p>
            <w:pPr>
              <w:pStyle w:val="TableParagraph"/>
              <w:spacing w:before="101"/>
              <w:ind w:right="46"/>
              <w:jc w:val="right"/>
              <w:rPr>
                <w:sz w:val="14"/>
              </w:rPr>
            </w:pPr>
            <w:r>
              <w:rPr>
                <w:sz w:val="14"/>
              </w:rPr>
              <w:t>0.0%</w:t>
            </w:r>
          </w:p>
        </w:tc>
      </w:tr>
      <w:tr>
        <w:trPr>
          <w:trHeight w:val="364" w:hRule="atLeast"/>
        </w:trPr>
        <w:tc>
          <w:tcPr>
            <w:tcW w:w="4898" w:type="dxa"/>
          </w:tcPr>
          <w:p>
            <w:pPr>
              <w:pStyle w:val="TableParagraph"/>
              <w:spacing w:before="101"/>
              <w:ind w:left="81"/>
              <w:rPr>
                <w:sz w:val="14"/>
              </w:rPr>
            </w:pPr>
            <w:r>
              <w:rPr>
                <w:w w:val="105"/>
                <w:sz w:val="14"/>
              </w:rPr>
              <w:t>Equipment</w:t>
            </w:r>
          </w:p>
        </w:tc>
        <w:tc>
          <w:tcPr>
            <w:tcW w:w="1667" w:type="dxa"/>
          </w:tcPr>
          <w:p>
            <w:pPr>
              <w:pStyle w:val="TableParagraph"/>
              <w:spacing w:before="101"/>
              <w:ind w:left="607"/>
              <w:rPr>
                <w:sz w:val="14"/>
              </w:rPr>
            </w:pPr>
            <w:r>
              <w:rPr>
                <w:w w:val="105"/>
                <w:sz w:val="14"/>
              </w:rPr>
              <w:t>6400</w:t>
            </w:r>
          </w:p>
        </w:tc>
        <w:tc>
          <w:tcPr>
            <w:tcW w:w="1638" w:type="dxa"/>
          </w:tcPr>
          <w:p>
            <w:pPr>
              <w:pStyle w:val="TableParagraph"/>
              <w:spacing w:before="101"/>
              <w:ind w:right="614"/>
              <w:jc w:val="right"/>
              <w:rPr>
                <w:sz w:val="14"/>
              </w:rPr>
            </w:pPr>
            <w:r>
              <w:rPr>
                <w:sz w:val="14"/>
              </w:rPr>
              <w:t>0.00</w:t>
            </w:r>
          </w:p>
        </w:tc>
        <w:tc>
          <w:tcPr>
            <w:tcW w:w="1526" w:type="dxa"/>
          </w:tcPr>
          <w:p>
            <w:pPr>
              <w:pStyle w:val="TableParagraph"/>
              <w:spacing w:before="101"/>
              <w:ind w:left="616"/>
              <w:rPr>
                <w:sz w:val="14"/>
              </w:rPr>
            </w:pPr>
            <w:r>
              <w:rPr>
                <w:w w:val="105"/>
                <w:sz w:val="14"/>
              </w:rPr>
              <w:t>0.00</w:t>
            </w:r>
          </w:p>
        </w:tc>
        <w:tc>
          <w:tcPr>
            <w:tcW w:w="1007" w:type="dxa"/>
          </w:tcPr>
          <w:p>
            <w:pPr>
              <w:pStyle w:val="TableParagraph"/>
              <w:spacing w:before="101"/>
              <w:ind w:right="46"/>
              <w:jc w:val="right"/>
              <w:rPr>
                <w:sz w:val="14"/>
              </w:rPr>
            </w:pPr>
            <w:r>
              <w:rPr>
                <w:sz w:val="14"/>
              </w:rPr>
              <w:t>0.0%</w:t>
            </w:r>
          </w:p>
        </w:tc>
      </w:tr>
      <w:tr>
        <w:trPr>
          <w:trHeight w:val="363" w:hRule="atLeast"/>
        </w:trPr>
        <w:tc>
          <w:tcPr>
            <w:tcW w:w="4898" w:type="dxa"/>
          </w:tcPr>
          <w:p>
            <w:pPr>
              <w:pStyle w:val="TableParagraph"/>
              <w:spacing w:before="101"/>
              <w:ind w:left="81"/>
              <w:rPr>
                <w:sz w:val="14"/>
              </w:rPr>
            </w:pPr>
            <w:r>
              <w:rPr>
                <w:w w:val="105"/>
                <w:sz w:val="14"/>
              </w:rPr>
              <w:t>Equipment Replacement</w:t>
            </w:r>
          </w:p>
        </w:tc>
        <w:tc>
          <w:tcPr>
            <w:tcW w:w="1667" w:type="dxa"/>
          </w:tcPr>
          <w:p>
            <w:pPr>
              <w:pStyle w:val="TableParagraph"/>
              <w:spacing w:before="101"/>
              <w:ind w:left="607"/>
              <w:rPr>
                <w:sz w:val="14"/>
              </w:rPr>
            </w:pPr>
            <w:r>
              <w:rPr>
                <w:w w:val="105"/>
                <w:sz w:val="14"/>
              </w:rPr>
              <w:t>6500</w:t>
            </w:r>
          </w:p>
        </w:tc>
        <w:tc>
          <w:tcPr>
            <w:tcW w:w="1638" w:type="dxa"/>
          </w:tcPr>
          <w:p>
            <w:pPr>
              <w:pStyle w:val="TableParagraph"/>
              <w:spacing w:before="101"/>
              <w:ind w:right="614"/>
              <w:jc w:val="right"/>
              <w:rPr>
                <w:sz w:val="14"/>
              </w:rPr>
            </w:pPr>
            <w:r>
              <w:rPr>
                <w:sz w:val="14"/>
              </w:rPr>
              <w:t>0.00</w:t>
            </w:r>
          </w:p>
        </w:tc>
        <w:tc>
          <w:tcPr>
            <w:tcW w:w="1526" w:type="dxa"/>
          </w:tcPr>
          <w:p>
            <w:pPr>
              <w:pStyle w:val="TableParagraph"/>
              <w:spacing w:before="101"/>
              <w:ind w:left="616"/>
              <w:rPr>
                <w:sz w:val="14"/>
              </w:rPr>
            </w:pPr>
            <w:r>
              <w:rPr>
                <w:w w:val="105"/>
                <w:sz w:val="14"/>
              </w:rPr>
              <w:t>0.00</w:t>
            </w:r>
          </w:p>
        </w:tc>
        <w:tc>
          <w:tcPr>
            <w:tcW w:w="1007" w:type="dxa"/>
          </w:tcPr>
          <w:p>
            <w:pPr>
              <w:pStyle w:val="TableParagraph"/>
              <w:spacing w:before="101"/>
              <w:ind w:right="46"/>
              <w:jc w:val="right"/>
              <w:rPr>
                <w:sz w:val="14"/>
              </w:rPr>
            </w:pPr>
            <w:r>
              <w:rPr>
                <w:sz w:val="14"/>
              </w:rPr>
              <w:t>0.0%</w:t>
            </w:r>
          </w:p>
        </w:tc>
      </w:tr>
      <w:tr>
        <w:trPr>
          <w:trHeight w:val="369" w:hRule="atLeast"/>
        </w:trPr>
        <w:tc>
          <w:tcPr>
            <w:tcW w:w="4898" w:type="dxa"/>
          </w:tcPr>
          <w:p>
            <w:pPr>
              <w:pStyle w:val="TableParagraph"/>
              <w:spacing w:before="99"/>
              <w:ind w:left="81"/>
              <w:rPr>
                <w:sz w:val="14"/>
              </w:rPr>
            </w:pPr>
            <w:r>
              <w:rPr>
                <w:w w:val="105"/>
                <w:sz w:val="14"/>
              </w:rPr>
              <w:t>Lease Assets</w:t>
            </w:r>
          </w:p>
        </w:tc>
        <w:tc>
          <w:tcPr>
            <w:tcW w:w="1667" w:type="dxa"/>
          </w:tcPr>
          <w:p>
            <w:pPr>
              <w:pStyle w:val="TableParagraph"/>
              <w:spacing w:before="99"/>
              <w:ind w:left="607"/>
              <w:rPr>
                <w:sz w:val="14"/>
              </w:rPr>
            </w:pPr>
            <w:r>
              <w:rPr>
                <w:w w:val="105"/>
                <w:sz w:val="14"/>
              </w:rPr>
              <w:t>6600</w:t>
            </w:r>
          </w:p>
        </w:tc>
        <w:tc>
          <w:tcPr>
            <w:tcW w:w="1638" w:type="dxa"/>
          </w:tcPr>
          <w:p>
            <w:pPr>
              <w:pStyle w:val="TableParagraph"/>
              <w:spacing w:before="99"/>
              <w:ind w:right="614"/>
              <w:jc w:val="right"/>
              <w:rPr>
                <w:sz w:val="14"/>
              </w:rPr>
            </w:pPr>
            <w:r>
              <w:rPr>
                <w:sz w:val="14"/>
              </w:rPr>
              <w:t>0.00</w:t>
            </w:r>
          </w:p>
        </w:tc>
        <w:tc>
          <w:tcPr>
            <w:tcW w:w="1526" w:type="dxa"/>
          </w:tcPr>
          <w:p>
            <w:pPr>
              <w:pStyle w:val="TableParagraph"/>
              <w:spacing w:before="99"/>
              <w:ind w:left="616"/>
              <w:rPr>
                <w:sz w:val="14"/>
              </w:rPr>
            </w:pPr>
            <w:r>
              <w:rPr>
                <w:w w:val="105"/>
                <w:sz w:val="14"/>
              </w:rPr>
              <w:t>0.00</w:t>
            </w:r>
          </w:p>
        </w:tc>
        <w:tc>
          <w:tcPr>
            <w:tcW w:w="1007" w:type="dxa"/>
          </w:tcPr>
          <w:p>
            <w:pPr>
              <w:pStyle w:val="TableParagraph"/>
              <w:spacing w:before="99"/>
              <w:ind w:right="46"/>
              <w:jc w:val="right"/>
              <w:rPr>
                <w:sz w:val="14"/>
              </w:rPr>
            </w:pPr>
            <w:r>
              <w:rPr>
                <w:sz w:val="14"/>
              </w:rPr>
              <w:t>0.0%</w:t>
            </w:r>
          </w:p>
        </w:tc>
      </w:tr>
      <w:tr>
        <w:trPr>
          <w:trHeight w:val="268" w:hRule="atLeast"/>
        </w:trPr>
        <w:tc>
          <w:tcPr>
            <w:tcW w:w="4898" w:type="dxa"/>
          </w:tcPr>
          <w:p>
            <w:pPr>
              <w:pStyle w:val="TableParagraph"/>
              <w:spacing w:line="142" w:lineRule="exact" w:before="107"/>
              <w:ind w:left="81"/>
              <w:rPr>
                <w:sz w:val="14"/>
              </w:rPr>
            </w:pPr>
            <w:r>
              <w:rPr>
                <w:w w:val="105"/>
                <w:sz w:val="14"/>
              </w:rPr>
              <w:t>TOTAL, CAPITAL OUTLAY</w:t>
            </w:r>
          </w:p>
        </w:tc>
        <w:tc>
          <w:tcPr>
            <w:tcW w:w="1667" w:type="dxa"/>
          </w:tcPr>
          <w:p>
            <w:pPr>
              <w:pStyle w:val="TableParagraph"/>
              <w:rPr>
                <w:rFonts w:ascii="Times New Roman"/>
                <w:sz w:val="14"/>
              </w:rPr>
            </w:pPr>
          </w:p>
        </w:tc>
        <w:tc>
          <w:tcPr>
            <w:tcW w:w="1638" w:type="dxa"/>
          </w:tcPr>
          <w:p>
            <w:pPr>
              <w:pStyle w:val="TableParagraph"/>
              <w:spacing w:line="142" w:lineRule="exact" w:before="107"/>
              <w:ind w:right="614"/>
              <w:jc w:val="right"/>
              <w:rPr>
                <w:sz w:val="14"/>
              </w:rPr>
            </w:pPr>
            <w:r>
              <w:rPr>
                <w:sz w:val="14"/>
              </w:rPr>
              <w:t>0.00</w:t>
            </w:r>
          </w:p>
        </w:tc>
        <w:tc>
          <w:tcPr>
            <w:tcW w:w="1526" w:type="dxa"/>
          </w:tcPr>
          <w:p>
            <w:pPr>
              <w:pStyle w:val="TableParagraph"/>
              <w:spacing w:line="142" w:lineRule="exact" w:before="107"/>
              <w:ind w:left="616"/>
              <w:rPr>
                <w:sz w:val="14"/>
              </w:rPr>
            </w:pPr>
            <w:r>
              <w:rPr>
                <w:w w:val="105"/>
                <w:sz w:val="14"/>
              </w:rPr>
              <w:t>0.00</w:t>
            </w:r>
          </w:p>
        </w:tc>
        <w:tc>
          <w:tcPr>
            <w:tcW w:w="1007" w:type="dxa"/>
          </w:tcPr>
          <w:p>
            <w:pPr>
              <w:pStyle w:val="TableParagraph"/>
              <w:spacing w:line="142" w:lineRule="exact" w:before="107"/>
              <w:ind w:right="46"/>
              <w:jc w:val="right"/>
              <w:rPr>
                <w:sz w:val="14"/>
              </w:rPr>
            </w:pPr>
            <w:r>
              <w:rPr>
                <w:sz w:val="14"/>
              </w:rPr>
              <w:t>0.0%</w:t>
            </w:r>
          </w:p>
        </w:tc>
      </w:tr>
    </w:tbl>
    <w:p>
      <w:pPr>
        <w:pStyle w:val="BodyText"/>
        <w:rPr>
          <w:sz w:val="20"/>
        </w:rPr>
      </w:pPr>
    </w:p>
    <w:p>
      <w:pPr>
        <w:pStyle w:val="BodyText"/>
        <w:rPr>
          <w:sz w:val="20"/>
        </w:rPr>
      </w:pPr>
    </w:p>
    <w:p>
      <w:pPr>
        <w:pStyle w:val="BodyText"/>
        <w:rPr>
          <w:sz w:val="20"/>
        </w:rPr>
      </w:pPr>
    </w:p>
    <w:p>
      <w:pPr>
        <w:pStyle w:val="BodyText"/>
        <w:spacing w:before="2" w:after="1"/>
        <w:rPr>
          <w:sz w:val="22"/>
        </w:rPr>
      </w:pPr>
    </w:p>
    <w:tbl>
      <w:tblPr>
        <w:tblW w:w="0" w:type="auto"/>
        <w:jc w:val="left"/>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91"/>
        <w:gridCol w:w="1723"/>
        <w:gridCol w:w="1637"/>
        <w:gridCol w:w="1525"/>
        <w:gridCol w:w="1006"/>
      </w:tblGrid>
      <w:tr>
        <w:trPr>
          <w:trHeight w:val="262" w:hRule="atLeast"/>
        </w:trPr>
        <w:tc>
          <w:tcPr>
            <w:tcW w:w="4891" w:type="dxa"/>
          </w:tcPr>
          <w:p>
            <w:pPr>
              <w:pStyle w:val="TableParagraph"/>
              <w:spacing w:line="160" w:lineRule="exact"/>
              <w:ind w:left="213"/>
              <w:rPr>
                <w:sz w:val="14"/>
              </w:rPr>
            </w:pPr>
            <w:r>
              <w:rPr>
                <w:w w:val="105"/>
                <w:sz w:val="14"/>
              </w:rPr>
              <w:t>Debt Service - Interest</w:t>
            </w:r>
          </w:p>
        </w:tc>
        <w:tc>
          <w:tcPr>
            <w:tcW w:w="1723" w:type="dxa"/>
          </w:tcPr>
          <w:p>
            <w:pPr>
              <w:pStyle w:val="TableParagraph"/>
              <w:spacing w:line="160" w:lineRule="exact"/>
              <w:ind w:left="641" w:right="715"/>
              <w:jc w:val="center"/>
              <w:rPr>
                <w:sz w:val="14"/>
              </w:rPr>
            </w:pPr>
            <w:r>
              <w:rPr>
                <w:w w:val="105"/>
                <w:sz w:val="14"/>
              </w:rPr>
              <w:t>7438</w:t>
            </w:r>
          </w:p>
        </w:tc>
        <w:tc>
          <w:tcPr>
            <w:tcW w:w="1637" w:type="dxa"/>
          </w:tcPr>
          <w:p>
            <w:pPr>
              <w:pStyle w:val="TableParagraph"/>
              <w:spacing w:line="160" w:lineRule="exact"/>
              <w:ind w:right="612"/>
              <w:jc w:val="right"/>
              <w:rPr>
                <w:sz w:val="14"/>
              </w:rPr>
            </w:pPr>
            <w:r>
              <w:rPr>
                <w:sz w:val="14"/>
              </w:rPr>
              <w:t>0.00</w:t>
            </w:r>
          </w:p>
        </w:tc>
        <w:tc>
          <w:tcPr>
            <w:tcW w:w="1525" w:type="dxa"/>
          </w:tcPr>
          <w:p>
            <w:pPr>
              <w:pStyle w:val="TableParagraph"/>
              <w:spacing w:line="160" w:lineRule="exact"/>
              <w:ind w:left="618"/>
              <w:rPr>
                <w:sz w:val="14"/>
              </w:rPr>
            </w:pPr>
            <w:r>
              <w:rPr>
                <w:w w:val="105"/>
                <w:sz w:val="14"/>
              </w:rPr>
              <w:t>0.00</w:t>
            </w:r>
          </w:p>
        </w:tc>
        <w:tc>
          <w:tcPr>
            <w:tcW w:w="1006" w:type="dxa"/>
          </w:tcPr>
          <w:p>
            <w:pPr>
              <w:pStyle w:val="TableParagraph"/>
              <w:spacing w:line="160" w:lineRule="exact"/>
              <w:ind w:right="42"/>
              <w:jc w:val="right"/>
              <w:rPr>
                <w:sz w:val="14"/>
              </w:rPr>
            </w:pPr>
            <w:r>
              <w:rPr>
                <w:sz w:val="14"/>
              </w:rPr>
              <w:t>0.0%</w:t>
            </w:r>
          </w:p>
        </w:tc>
      </w:tr>
      <w:tr>
        <w:trPr>
          <w:trHeight w:val="370" w:hRule="atLeast"/>
        </w:trPr>
        <w:tc>
          <w:tcPr>
            <w:tcW w:w="4891" w:type="dxa"/>
          </w:tcPr>
          <w:p>
            <w:pPr>
              <w:pStyle w:val="TableParagraph"/>
              <w:spacing w:before="101"/>
              <w:ind w:left="213"/>
              <w:rPr>
                <w:sz w:val="14"/>
              </w:rPr>
            </w:pPr>
            <w:r>
              <w:rPr>
                <w:w w:val="105"/>
                <w:sz w:val="14"/>
              </w:rPr>
              <w:t>Other Debt Service - Principal</w:t>
            </w:r>
          </w:p>
        </w:tc>
        <w:tc>
          <w:tcPr>
            <w:tcW w:w="1723" w:type="dxa"/>
          </w:tcPr>
          <w:p>
            <w:pPr>
              <w:pStyle w:val="TableParagraph"/>
              <w:spacing w:before="101"/>
              <w:ind w:left="641" w:right="715"/>
              <w:jc w:val="center"/>
              <w:rPr>
                <w:sz w:val="14"/>
              </w:rPr>
            </w:pPr>
            <w:r>
              <w:rPr>
                <w:w w:val="105"/>
                <w:sz w:val="14"/>
              </w:rPr>
              <w:t>7439</w:t>
            </w:r>
          </w:p>
        </w:tc>
        <w:tc>
          <w:tcPr>
            <w:tcW w:w="1637" w:type="dxa"/>
          </w:tcPr>
          <w:p>
            <w:pPr>
              <w:pStyle w:val="TableParagraph"/>
              <w:spacing w:before="101"/>
              <w:ind w:right="612"/>
              <w:jc w:val="right"/>
              <w:rPr>
                <w:sz w:val="14"/>
              </w:rPr>
            </w:pPr>
            <w:r>
              <w:rPr>
                <w:sz w:val="14"/>
              </w:rPr>
              <w:t>0.00</w:t>
            </w:r>
          </w:p>
        </w:tc>
        <w:tc>
          <w:tcPr>
            <w:tcW w:w="1525" w:type="dxa"/>
          </w:tcPr>
          <w:p>
            <w:pPr>
              <w:pStyle w:val="TableParagraph"/>
              <w:spacing w:before="101"/>
              <w:ind w:left="618"/>
              <w:rPr>
                <w:sz w:val="14"/>
              </w:rPr>
            </w:pPr>
            <w:r>
              <w:rPr>
                <w:w w:val="105"/>
                <w:sz w:val="14"/>
              </w:rPr>
              <w:t>0.00</w:t>
            </w:r>
          </w:p>
        </w:tc>
        <w:tc>
          <w:tcPr>
            <w:tcW w:w="1006" w:type="dxa"/>
          </w:tcPr>
          <w:p>
            <w:pPr>
              <w:pStyle w:val="TableParagraph"/>
              <w:spacing w:before="101"/>
              <w:ind w:right="42"/>
              <w:jc w:val="right"/>
              <w:rPr>
                <w:sz w:val="14"/>
              </w:rPr>
            </w:pPr>
            <w:r>
              <w:rPr>
                <w:sz w:val="14"/>
              </w:rPr>
              <w:t>0.0%</w:t>
            </w:r>
          </w:p>
        </w:tc>
      </w:tr>
      <w:tr>
        <w:trPr>
          <w:trHeight w:val="451" w:hRule="atLeast"/>
        </w:trPr>
        <w:tc>
          <w:tcPr>
            <w:tcW w:w="4891" w:type="dxa"/>
          </w:tcPr>
          <w:p>
            <w:pPr>
              <w:pStyle w:val="TableParagraph"/>
              <w:spacing w:before="107"/>
              <w:ind w:left="131"/>
              <w:rPr>
                <w:sz w:val="14"/>
              </w:rPr>
            </w:pPr>
            <w:r>
              <w:rPr>
                <w:w w:val="105"/>
                <w:sz w:val="14"/>
              </w:rPr>
              <w:t>TOTAL, OTHER OUTGO (excluding Transfers of Indirect Costs)</w:t>
            </w:r>
          </w:p>
        </w:tc>
        <w:tc>
          <w:tcPr>
            <w:tcW w:w="1723" w:type="dxa"/>
          </w:tcPr>
          <w:p>
            <w:pPr>
              <w:pStyle w:val="TableParagraph"/>
              <w:rPr>
                <w:rFonts w:ascii="Times New Roman"/>
                <w:sz w:val="14"/>
              </w:rPr>
            </w:pPr>
          </w:p>
        </w:tc>
        <w:tc>
          <w:tcPr>
            <w:tcW w:w="1637" w:type="dxa"/>
          </w:tcPr>
          <w:p>
            <w:pPr>
              <w:pStyle w:val="TableParagraph"/>
              <w:spacing w:before="107"/>
              <w:ind w:right="612"/>
              <w:jc w:val="right"/>
              <w:rPr>
                <w:sz w:val="14"/>
              </w:rPr>
            </w:pPr>
            <w:r>
              <w:rPr>
                <w:sz w:val="14"/>
              </w:rPr>
              <w:t>0.00</w:t>
            </w:r>
          </w:p>
        </w:tc>
        <w:tc>
          <w:tcPr>
            <w:tcW w:w="1525" w:type="dxa"/>
          </w:tcPr>
          <w:p>
            <w:pPr>
              <w:pStyle w:val="TableParagraph"/>
              <w:spacing w:before="107"/>
              <w:ind w:left="618"/>
              <w:rPr>
                <w:sz w:val="14"/>
              </w:rPr>
            </w:pPr>
            <w:r>
              <w:rPr>
                <w:w w:val="105"/>
                <w:sz w:val="14"/>
              </w:rPr>
              <w:t>0.00</w:t>
            </w:r>
          </w:p>
        </w:tc>
        <w:tc>
          <w:tcPr>
            <w:tcW w:w="1006" w:type="dxa"/>
          </w:tcPr>
          <w:p>
            <w:pPr>
              <w:pStyle w:val="TableParagraph"/>
              <w:spacing w:before="107"/>
              <w:ind w:right="42"/>
              <w:jc w:val="right"/>
              <w:rPr>
                <w:sz w:val="14"/>
              </w:rPr>
            </w:pPr>
            <w:r>
              <w:rPr>
                <w:sz w:val="14"/>
              </w:rPr>
              <w:t>0.0%</w:t>
            </w:r>
          </w:p>
        </w:tc>
      </w:tr>
      <w:tr>
        <w:trPr>
          <w:trHeight w:val="343" w:hRule="atLeast"/>
        </w:trPr>
        <w:tc>
          <w:tcPr>
            <w:tcW w:w="4891" w:type="dxa"/>
          </w:tcPr>
          <w:p>
            <w:pPr>
              <w:pStyle w:val="TableParagraph"/>
              <w:spacing w:before="8"/>
              <w:rPr>
                <w:sz w:val="15"/>
              </w:rPr>
            </w:pPr>
          </w:p>
          <w:p>
            <w:pPr>
              <w:pStyle w:val="TableParagraph"/>
              <w:spacing w:line="142" w:lineRule="exact" w:before="1"/>
              <w:ind w:left="50"/>
              <w:rPr>
                <w:sz w:val="14"/>
              </w:rPr>
            </w:pPr>
            <w:r>
              <w:rPr>
                <w:w w:val="105"/>
                <w:sz w:val="14"/>
              </w:rPr>
              <w:t>TOTAL, EXPENDITURES</w:t>
            </w:r>
          </w:p>
        </w:tc>
        <w:tc>
          <w:tcPr>
            <w:tcW w:w="1723" w:type="dxa"/>
          </w:tcPr>
          <w:p>
            <w:pPr>
              <w:pStyle w:val="TableParagraph"/>
              <w:rPr>
                <w:rFonts w:ascii="Times New Roman"/>
                <w:sz w:val="14"/>
              </w:rPr>
            </w:pPr>
          </w:p>
        </w:tc>
        <w:tc>
          <w:tcPr>
            <w:tcW w:w="1637" w:type="dxa"/>
          </w:tcPr>
          <w:p>
            <w:pPr>
              <w:pStyle w:val="TableParagraph"/>
              <w:spacing w:before="8"/>
              <w:rPr>
                <w:sz w:val="15"/>
              </w:rPr>
            </w:pPr>
          </w:p>
          <w:p>
            <w:pPr>
              <w:pStyle w:val="TableParagraph"/>
              <w:spacing w:line="142" w:lineRule="exact" w:before="1"/>
              <w:ind w:right="612"/>
              <w:jc w:val="right"/>
              <w:rPr>
                <w:sz w:val="14"/>
              </w:rPr>
            </w:pPr>
            <w:r>
              <w:rPr>
                <w:sz w:val="14"/>
              </w:rPr>
              <w:t>0.00</w:t>
            </w:r>
          </w:p>
        </w:tc>
        <w:tc>
          <w:tcPr>
            <w:tcW w:w="1525" w:type="dxa"/>
          </w:tcPr>
          <w:p>
            <w:pPr>
              <w:pStyle w:val="TableParagraph"/>
              <w:spacing w:before="8"/>
              <w:rPr>
                <w:sz w:val="15"/>
              </w:rPr>
            </w:pPr>
          </w:p>
          <w:p>
            <w:pPr>
              <w:pStyle w:val="TableParagraph"/>
              <w:spacing w:line="142" w:lineRule="exact" w:before="1"/>
              <w:ind w:left="618"/>
              <w:rPr>
                <w:sz w:val="14"/>
              </w:rPr>
            </w:pPr>
            <w:r>
              <w:rPr>
                <w:w w:val="105"/>
                <w:sz w:val="14"/>
              </w:rPr>
              <w:t>0.00</w:t>
            </w:r>
          </w:p>
        </w:tc>
        <w:tc>
          <w:tcPr>
            <w:tcW w:w="1006" w:type="dxa"/>
          </w:tcPr>
          <w:p>
            <w:pPr>
              <w:pStyle w:val="TableParagraph"/>
              <w:spacing w:before="8"/>
              <w:rPr>
                <w:sz w:val="15"/>
              </w:rPr>
            </w:pPr>
          </w:p>
          <w:p>
            <w:pPr>
              <w:pStyle w:val="TableParagraph"/>
              <w:spacing w:line="142" w:lineRule="exact" w:before="1"/>
              <w:ind w:right="42"/>
              <w:jc w:val="right"/>
              <w:rPr>
                <w:sz w:val="14"/>
              </w:rPr>
            </w:pPr>
            <w:r>
              <w:rPr>
                <w:sz w:val="14"/>
              </w:rPr>
              <w:t>0.0%</w:t>
            </w:r>
          </w:p>
        </w:tc>
      </w:tr>
    </w:tbl>
    <w:p>
      <w:pPr>
        <w:spacing w:after="0" w:line="142" w:lineRule="exact"/>
        <w:jc w:val="right"/>
        <w:rPr>
          <w:sz w:val="14"/>
        </w:rPr>
        <w:sectPr>
          <w:type w:val="continuous"/>
          <w:pgSz w:w="12240" w:h="15840"/>
          <w:pgMar w:top="1500" w:bottom="840" w:left="160" w:right="180"/>
        </w:sectPr>
      </w:pPr>
    </w:p>
    <w:p>
      <w:pPr>
        <w:spacing w:line="232" w:lineRule="auto" w:before="1"/>
        <w:ind w:left="308" w:right="0" w:firstLine="0"/>
        <w:jc w:val="left"/>
        <w:rPr>
          <w:sz w:val="18"/>
        </w:rPr>
      </w:pPr>
      <w:r>
        <w:rPr/>
        <w:pict>
          <v:group style="position:absolute;margin-left:30.120001pt;margin-top:36.318634pt;width:538pt;height:397.2pt;mso-position-horizontal-relative:page;mso-position-vertical-relative:paragraph;z-index:-314374144" coordorigin="602,726" coordsize="10760,7944">
            <v:shape style="position:absolute;left:602;top:726;width:3646;height:790" type="#_x0000_t75" stroked="false">
              <v:imagedata r:id="rId406" o:title=""/>
            </v:shape>
            <v:shape style="position:absolute;left:602;top:726;width:10760;height:1155" type="#_x0000_t75" stroked="false">
              <v:imagedata r:id="rId740" o:title=""/>
            </v:shape>
            <v:line style="position:absolute" from="1412,1506" to="1412,1876" stroked="true" strokeweight=".360003pt" strokecolor="#ffffff">
              <v:stroke dashstyle="solid"/>
            </v:line>
            <v:shape style="position:absolute;left:4240;top:1494;width:7121;height:1522" type="#_x0000_t75" stroked="false">
              <v:imagedata r:id="rId741" o:title=""/>
            </v:shape>
            <v:shape style="position:absolute;left:6782;top:2648;width:4580;height:744" type="#_x0000_t75" stroked="false">
              <v:imagedata r:id="rId742" o:title=""/>
            </v:shape>
            <v:shape style="position:absolute;left:602;top:1878;width:3646;height:1892" type="#_x0000_t75" stroked="false">
              <v:imagedata r:id="rId743" o:title=""/>
            </v:shape>
            <v:shape style="position:absolute;left:4240;top:3013;width:7121;height:1318" type="#_x0000_t75" stroked="false">
              <v:imagedata r:id="rId744" o:title=""/>
            </v:shape>
            <v:shape style="position:absolute;left:602;top:3767;width:3646;height:946" type="#_x0000_t75" stroked="false">
              <v:imagedata r:id="rId651" o:title=""/>
            </v:shape>
            <v:shape style="position:absolute;left:602;top:3963;width:10760;height:1052" type="#_x0000_t75" stroked="false">
              <v:imagedata r:id="rId505" o:title=""/>
            </v:shape>
            <v:shape style="position:absolute;left:4240;top:4705;width:7121;height:1772" type="#_x0000_t75" stroked="false">
              <v:imagedata r:id="rId652" o:title=""/>
            </v:shape>
            <v:shape style="position:absolute;left:6782;top:6272;width:4580;height:831" type="#_x0000_t75" stroked="false">
              <v:imagedata r:id="rId745" o:title=""/>
            </v:shape>
            <v:shape style="position:absolute;left:6782;top:6721;width:4580;height:756" type="#_x0000_t75" stroked="false">
              <v:imagedata r:id="rId655" o:title=""/>
            </v:shape>
            <v:shape style="position:absolute;left:8294;top:7095;width:3068;height:752" type="#_x0000_t75" stroked="false">
              <v:imagedata r:id="rId657" o:title=""/>
            </v:shape>
            <v:shape style="position:absolute;left:602;top:5012;width:10760;height:3658" type="#_x0000_t75" stroked="false">
              <v:imagedata r:id="rId746" o:title=""/>
            </v:shape>
            <v:shape style="position:absolute;left:638;top:1340;width:811;height:161" type="#_x0000_t202" filled="false" stroked="false">
              <v:textbox inset="0,0,0,0">
                <w:txbxContent>
                  <w:p>
                    <w:pPr>
                      <w:spacing w:line="160" w:lineRule="exact" w:before="0"/>
                      <w:ind w:left="0" w:right="0" w:firstLine="0"/>
                      <w:jc w:val="left"/>
                      <w:rPr>
                        <w:b/>
                        <w:sz w:val="14"/>
                      </w:rPr>
                    </w:pPr>
                    <w:r>
                      <w:rPr>
                        <w:b/>
                        <w:sz w:val="14"/>
                      </w:rPr>
                      <w:t>Description</w:t>
                    </w:r>
                  </w:p>
                </w:txbxContent>
              </v:textbox>
              <w10:wrap type="none"/>
            </v:shape>
            <v:shape style="position:absolute;left:4466;top:1172;width:3722;height:329" type="#_x0000_t202" filled="false" stroked="false">
              <v:textbox inset="0,0,0,0">
                <w:txbxContent>
                  <w:p>
                    <w:pPr>
                      <w:spacing w:line="160" w:lineRule="exact" w:before="0"/>
                      <w:ind w:left="2820" w:right="0" w:firstLine="0"/>
                      <w:jc w:val="left"/>
                      <w:rPr>
                        <w:b/>
                        <w:sz w:val="14"/>
                      </w:rPr>
                    </w:pPr>
                    <w:r>
                      <w:rPr>
                        <w:b/>
                        <w:w w:val="105"/>
                        <w:sz w:val="14"/>
                      </w:rPr>
                      <w:t>2020-21</w:t>
                    </w:r>
                  </w:p>
                  <w:p>
                    <w:pPr>
                      <w:tabs>
                        <w:tab w:pos="1372" w:val="left" w:leader="none"/>
                      </w:tabs>
                      <w:spacing w:before="7"/>
                      <w:ind w:left="0" w:right="0" w:firstLine="0"/>
                      <w:jc w:val="left"/>
                      <w:rPr>
                        <w:b/>
                        <w:sz w:val="14"/>
                      </w:rPr>
                    </w:pPr>
                    <w:r>
                      <w:rPr>
                        <w:b/>
                        <w:w w:val="105"/>
                        <w:sz w:val="14"/>
                      </w:rPr>
                      <w:t>Resource</w:t>
                    </w:r>
                    <w:r>
                      <w:rPr>
                        <w:b/>
                        <w:spacing w:val="-12"/>
                        <w:w w:val="105"/>
                        <w:sz w:val="14"/>
                      </w:rPr>
                      <w:t> </w:t>
                    </w:r>
                    <w:r>
                      <w:rPr>
                        <w:b/>
                        <w:w w:val="105"/>
                        <w:sz w:val="14"/>
                      </w:rPr>
                      <w:t>Codes</w:t>
                      <w:tab/>
                      <w:t>Object Codes Estimated</w:t>
                    </w:r>
                    <w:r>
                      <w:rPr>
                        <w:b/>
                        <w:spacing w:val="-15"/>
                        <w:w w:val="105"/>
                        <w:sz w:val="14"/>
                      </w:rPr>
                      <w:t> </w:t>
                    </w:r>
                    <w:r>
                      <w:rPr>
                        <w:b/>
                        <w:w w:val="105"/>
                        <w:sz w:val="14"/>
                      </w:rPr>
                      <w:t>Actuals</w:t>
                    </w:r>
                  </w:p>
                </w:txbxContent>
              </v:textbox>
              <w10:wrap type="none"/>
            </v:shape>
            <v:shape style="position:absolute;left:8798;top:1172;width:545;height:329" type="#_x0000_t202" filled="false" stroked="false">
              <v:textbox inset="0,0,0,0">
                <w:txbxContent>
                  <w:p>
                    <w:pPr>
                      <w:spacing w:line="160" w:lineRule="exact" w:before="0"/>
                      <w:ind w:left="0" w:right="0" w:firstLine="0"/>
                      <w:jc w:val="left"/>
                      <w:rPr>
                        <w:b/>
                        <w:sz w:val="14"/>
                      </w:rPr>
                    </w:pPr>
                    <w:r>
                      <w:rPr>
                        <w:b/>
                        <w:sz w:val="14"/>
                      </w:rPr>
                      <w:t>2021-22</w:t>
                    </w:r>
                  </w:p>
                  <w:p>
                    <w:pPr>
                      <w:spacing w:before="7"/>
                      <w:ind w:left="11" w:right="0" w:firstLine="0"/>
                      <w:jc w:val="left"/>
                      <w:rPr>
                        <w:b/>
                        <w:sz w:val="14"/>
                      </w:rPr>
                    </w:pPr>
                    <w:r>
                      <w:rPr>
                        <w:b/>
                        <w:w w:val="105"/>
                        <w:sz w:val="14"/>
                      </w:rPr>
                      <w:t>Budget</w:t>
                    </w:r>
                  </w:p>
                </w:txbxContent>
              </v:textbox>
              <w10:wrap type="none"/>
            </v:shape>
            <v:shape style="position:absolute;left:10236;top:1172;width:721;height:329" type="#_x0000_t202" filled="false" stroked="false">
              <v:textbox inset="0,0,0,0">
                <w:txbxContent>
                  <w:p>
                    <w:pPr>
                      <w:spacing w:line="249" w:lineRule="auto" w:before="0"/>
                      <w:ind w:left="0" w:right="16" w:firstLine="86"/>
                      <w:jc w:val="left"/>
                      <w:rPr>
                        <w:b/>
                        <w:sz w:val="14"/>
                      </w:rPr>
                    </w:pPr>
                    <w:r>
                      <w:rPr>
                        <w:b/>
                        <w:w w:val="105"/>
                        <w:sz w:val="14"/>
                      </w:rPr>
                      <w:t>Percent </w:t>
                    </w:r>
                    <w:r>
                      <w:rPr>
                        <w:b/>
                        <w:sz w:val="14"/>
                      </w:rPr>
                      <w:t>Difference</w:t>
                    </w:r>
                  </w:p>
                </w:txbxContent>
              </v:textbox>
              <w10:wrap type="none"/>
            </v:shape>
            <v:shape style="position:absolute;left:638;top:1717;width:1764;height:161" type="#_x0000_t202" filled="false" stroked="false">
              <v:textbox inset="0,0,0,0">
                <w:txbxContent>
                  <w:p>
                    <w:pPr>
                      <w:spacing w:line="160" w:lineRule="exact" w:before="0"/>
                      <w:ind w:left="0" w:right="0" w:firstLine="0"/>
                      <w:jc w:val="left"/>
                      <w:rPr>
                        <w:b/>
                        <w:sz w:val="14"/>
                      </w:rPr>
                    </w:pPr>
                    <w:r>
                      <w:rPr>
                        <w:b/>
                        <w:sz w:val="14"/>
                      </w:rPr>
                      <w:t>INTERFUND TRANSFERS</w:t>
                    </w:r>
                  </w:p>
                </w:txbxContent>
              </v:textbox>
              <w10:wrap type="none"/>
            </v:shape>
            <v:shape style="position:absolute;left:720;top:2290;width:1948;height:161" type="#_x0000_t202" filled="false" stroked="false">
              <v:textbox inset="0,0,0,0">
                <w:txbxContent>
                  <w:p>
                    <w:pPr>
                      <w:spacing w:line="160" w:lineRule="exact" w:before="0"/>
                      <w:ind w:left="0" w:right="0" w:firstLine="0"/>
                      <w:jc w:val="left"/>
                      <w:rPr>
                        <w:b/>
                        <w:sz w:val="14"/>
                      </w:rPr>
                    </w:pPr>
                    <w:r>
                      <w:rPr>
                        <w:b/>
                        <w:w w:val="105"/>
                        <w:sz w:val="14"/>
                      </w:rPr>
                      <w:t>INTERFUND</w:t>
                    </w:r>
                    <w:r>
                      <w:rPr>
                        <w:b/>
                        <w:spacing w:val="-21"/>
                        <w:w w:val="105"/>
                        <w:sz w:val="14"/>
                      </w:rPr>
                      <w:t> </w:t>
                    </w:r>
                    <w:r>
                      <w:rPr>
                        <w:b/>
                        <w:w w:val="105"/>
                        <w:sz w:val="14"/>
                      </w:rPr>
                      <w:t>TRANSFERS</w:t>
                    </w:r>
                    <w:r>
                      <w:rPr>
                        <w:b/>
                        <w:spacing w:val="-20"/>
                        <w:w w:val="105"/>
                        <w:sz w:val="14"/>
                      </w:rPr>
                      <w:t> </w:t>
                    </w:r>
                    <w:r>
                      <w:rPr>
                        <w:b/>
                        <w:w w:val="105"/>
                        <w:sz w:val="14"/>
                      </w:rPr>
                      <w:t>IN</w:t>
                    </w:r>
                  </w:p>
                </w:txbxContent>
              </v:textbox>
              <w10:wrap type="none"/>
            </v:shape>
            <v:shape style="position:absolute;left:638;top:4851;width:1705;height:1143" type="#_x0000_t202" filled="false" stroked="false">
              <v:textbox inset="0,0,0,0">
                <w:txbxContent>
                  <w:p>
                    <w:pPr>
                      <w:spacing w:line="160" w:lineRule="exact" w:before="0"/>
                      <w:ind w:left="0" w:right="0" w:firstLine="0"/>
                      <w:jc w:val="left"/>
                      <w:rPr>
                        <w:b/>
                        <w:sz w:val="14"/>
                      </w:rPr>
                    </w:pPr>
                    <w:r>
                      <w:rPr>
                        <w:b/>
                        <w:w w:val="105"/>
                        <w:sz w:val="14"/>
                      </w:rPr>
                      <w:t>OTHER</w:t>
                    </w:r>
                    <w:r>
                      <w:rPr>
                        <w:b/>
                        <w:spacing w:val="-27"/>
                        <w:w w:val="105"/>
                        <w:sz w:val="14"/>
                      </w:rPr>
                      <w:t> </w:t>
                    </w:r>
                    <w:r>
                      <w:rPr>
                        <w:b/>
                        <w:w w:val="105"/>
                        <w:sz w:val="14"/>
                      </w:rPr>
                      <w:t>SOURCES/USES</w:t>
                    </w:r>
                  </w:p>
                  <w:p>
                    <w:pPr>
                      <w:spacing w:line="240" w:lineRule="auto" w:before="0"/>
                      <w:rPr>
                        <w:b/>
                        <w:sz w:val="16"/>
                      </w:rPr>
                    </w:pPr>
                  </w:p>
                  <w:p>
                    <w:pPr>
                      <w:spacing w:line="240" w:lineRule="auto" w:before="6"/>
                      <w:rPr>
                        <w:b/>
                        <w:sz w:val="12"/>
                      </w:rPr>
                    </w:pPr>
                  </w:p>
                  <w:p>
                    <w:pPr>
                      <w:spacing w:before="0"/>
                      <w:ind w:left="81" w:right="0" w:firstLine="0"/>
                      <w:jc w:val="left"/>
                      <w:rPr>
                        <w:b/>
                        <w:sz w:val="14"/>
                      </w:rPr>
                    </w:pPr>
                    <w:r>
                      <w:rPr>
                        <w:b/>
                        <w:w w:val="105"/>
                        <w:sz w:val="14"/>
                      </w:rPr>
                      <w:t>SOURCES</w:t>
                    </w:r>
                  </w:p>
                  <w:p>
                    <w:pPr>
                      <w:spacing w:line="240" w:lineRule="auto" w:before="0"/>
                      <w:rPr>
                        <w:b/>
                        <w:sz w:val="16"/>
                      </w:rPr>
                    </w:pPr>
                  </w:p>
                  <w:p>
                    <w:pPr>
                      <w:spacing w:line="240" w:lineRule="auto" w:before="9"/>
                      <w:rPr>
                        <w:b/>
                        <w:sz w:val="12"/>
                      </w:rPr>
                    </w:pPr>
                  </w:p>
                  <w:p>
                    <w:pPr>
                      <w:spacing w:before="0"/>
                      <w:ind w:left="163" w:right="0" w:firstLine="0"/>
                      <w:jc w:val="left"/>
                      <w:rPr>
                        <w:sz w:val="14"/>
                      </w:rPr>
                    </w:pPr>
                    <w:r>
                      <w:rPr>
                        <w:w w:val="105"/>
                        <w:sz w:val="14"/>
                      </w:rPr>
                      <w:t>Other Sources</w:t>
                    </w:r>
                  </w:p>
                </w:txbxContent>
              </v:textbox>
              <w10:wrap type="none"/>
            </v:shape>
            <w10:wrap type="none"/>
          </v:group>
        </w:pict>
      </w:r>
      <w:r>
        <w:rPr>
          <w:sz w:val="18"/>
        </w:rPr>
        <w:t>Winship-Robbins Elementary Sutter County</w:t>
      </w:r>
    </w:p>
    <w:p>
      <w:pPr>
        <w:spacing w:line="232" w:lineRule="auto" w:before="1"/>
        <w:ind w:left="499" w:right="0" w:hanging="192"/>
        <w:jc w:val="left"/>
        <w:rPr>
          <w:sz w:val="18"/>
        </w:rPr>
      </w:pPr>
      <w:r>
        <w:rPr/>
        <w:br w:type="column"/>
      </w:r>
      <w:r>
        <w:rPr>
          <w:sz w:val="18"/>
        </w:rPr>
        <w:t>Deferred Maintenance Fund Expenditures by Object</w:t>
      </w:r>
    </w:p>
    <w:p>
      <w:pPr>
        <w:spacing w:line="200" w:lineRule="exact" w:before="0"/>
        <w:ind w:left="0" w:right="287" w:firstLine="0"/>
        <w:jc w:val="right"/>
        <w:rPr>
          <w:sz w:val="18"/>
        </w:rPr>
      </w:pPr>
      <w:r>
        <w:rPr/>
        <w:br w:type="column"/>
      </w:r>
      <w:r>
        <w:rPr>
          <w:sz w:val="18"/>
        </w:rPr>
        <w:t>51 71456</w:t>
      </w:r>
      <w:r>
        <w:rPr>
          <w:spacing w:val="3"/>
          <w:sz w:val="18"/>
        </w:rPr>
        <w:t> </w:t>
      </w:r>
      <w:r>
        <w:rPr>
          <w:sz w:val="18"/>
        </w:rPr>
        <w:t>0000000</w:t>
      </w:r>
    </w:p>
    <w:p>
      <w:pPr>
        <w:spacing w:line="204" w:lineRule="exact" w:before="0"/>
        <w:ind w:left="0" w:right="285" w:firstLine="0"/>
        <w:jc w:val="right"/>
        <w:rPr>
          <w:sz w:val="18"/>
        </w:rPr>
      </w:pPr>
      <w:r>
        <w:rPr>
          <w:sz w:val="18"/>
        </w:rPr>
        <w:t>Form </w:t>
      </w:r>
      <w:r>
        <w:rPr>
          <w:spacing w:val="3"/>
          <w:sz w:val="18"/>
        </w:rPr>
        <w:t> </w:t>
      </w:r>
      <w:r>
        <w:rPr>
          <w:sz w:val="18"/>
        </w:rPr>
        <w:t>14</w:t>
      </w:r>
    </w:p>
    <w:p>
      <w:pPr>
        <w:spacing w:after="0" w:line="204" w:lineRule="exact"/>
        <w:jc w:val="right"/>
        <w:rPr>
          <w:sz w:val="18"/>
        </w:rPr>
        <w:sectPr>
          <w:pgSz w:w="12240" w:h="15840"/>
          <w:pgMar w:header="651" w:footer="437" w:top="840" w:bottom="620" w:left="160" w:right="180"/>
          <w:cols w:num="3" w:equalWidth="0">
            <w:col w:w="2698" w:space="1823"/>
            <w:col w:w="2608" w:space="2663"/>
            <w:col w:w="2108"/>
          </w:cols>
        </w:sectPr>
      </w:pPr>
    </w:p>
    <w:p>
      <w:pPr>
        <w:pStyle w:val="BodyText"/>
        <w:rPr>
          <w:sz w:val="20"/>
        </w:rPr>
      </w:pPr>
      <w:r>
        <w:rPr/>
        <w:pict>
          <v:group style="position:absolute;margin-left:30.120001pt;margin-top:457.200012pt;width:538pt;height:200.4pt;mso-position-horizontal-relative:page;mso-position-vertical-relative:page;z-index:-314369024" coordorigin="602,9144" coordsize="10760,4008">
            <v:shape style="position:absolute;left:6782;top:9144;width:4580;height:953" type="#_x0000_t75" stroked="false">
              <v:imagedata r:id="rId658" o:title=""/>
            </v:shape>
            <v:shape style="position:absolute;left:602;top:9520;width:3646;height:956" type="#_x0000_t75" stroked="false">
              <v:imagedata r:id="rId659" o:title=""/>
            </v:shape>
            <v:shape style="position:absolute;left:602;top:9717;width:10760;height:1131" type="#_x0000_t75" stroked="false">
              <v:imagedata r:id="rId660" o:title=""/>
            </v:shape>
            <v:shape style="position:absolute;left:4240;top:10468;width:2549;height:8" type="#_x0000_t75" stroked="false">
              <v:imagedata r:id="rId661" o:title=""/>
            </v:shape>
            <v:shape style="position:absolute;left:6782;top:10468;width:1520;height:382" type="#_x0000_t75" stroked="false">
              <v:imagedata r:id="rId662" o:title=""/>
            </v:shape>
            <v:shape style="position:absolute;left:8294;top:10468;width:1520;height:382" type="#_x0000_t75" stroked="false">
              <v:imagedata r:id="rId663" o:title=""/>
            </v:shape>
            <v:shape style="position:absolute;left:8294;top:10468;width:3068;height:1332" type="#_x0000_t75" stroked="false">
              <v:imagedata r:id="rId664" o:title=""/>
            </v:shape>
            <v:shape style="position:absolute;left:6782;top:10845;width:1520;height:956" type="#_x0000_t75" stroked="false">
              <v:imagedata r:id="rId665" o:title=""/>
            </v:shape>
            <v:shape style="position:absolute;left:602;top:10845;width:3646;height:1332" type="#_x0000_t75" stroked="false">
              <v:imagedata r:id="rId516" o:title=""/>
            </v:shape>
            <v:shape style="position:absolute;left:9806;top:11419;width:1556;height:382" type="#_x0000_t75" stroked="false">
              <v:imagedata r:id="rId747" o:title=""/>
            </v:shape>
            <v:shape style="position:absolute;left:4240;top:12170;width:2549;height:8" type="#_x0000_t75" stroked="false">
              <v:imagedata r:id="rId661" o:title=""/>
            </v:shape>
            <v:shape style="position:absolute;left:6782;top:11793;width:1520;height:384" type="#_x0000_t75" stroked="false">
              <v:imagedata r:id="rId748" o:title=""/>
            </v:shape>
            <v:shape style="position:absolute;left:8294;top:11793;width:1520;height:384" type="#_x0000_t75" stroked="false">
              <v:imagedata r:id="rId749" o:title=""/>
            </v:shape>
            <v:shape style="position:absolute;left:9806;top:11793;width:1556;height:1150" type="#_x0000_t75" stroked="false">
              <v:imagedata r:id="rId750" o:title=""/>
            </v:shape>
            <v:shape style="position:absolute;left:602;top:12170;width:10760;height:982" type="#_x0000_t75" stroked="false">
              <v:imagedata r:id="rId668" o:title=""/>
            </v:shape>
            <v:shape style="position:absolute;left:638;top:12585;width:3087;height:358" type="#_x0000_t202" filled="false" stroked="false">
              <v:textbox inset="0,0,0,0">
                <w:txbxContent>
                  <w:p>
                    <w:pPr>
                      <w:spacing w:line="160" w:lineRule="exact" w:before="0"/>
                      <w:ind w:left="0" w:right="0" w:firstLine="0"/>
                      <w:jc w:val="left"/>
                      <w:rPr>
                        <w:sz w:val="14"/>
                      </w:rPr>
                    </w:pPr>
                    <w:r>
                      <w:rPr>
                        <w:w w:val="105"/>
                        <w:sz w:val="14"/>
                      </w:rPr>
                      <w:t>TOTAL,</w:t>
                    </w:r>
                    <w:r>
                      <w:rPr>
                        <w:spacing w:val="-19"/>
                        <w:w w:val="105"/>
                        <w:sz w:val="14"/>
                      </w:rPr>
                      <w:t> </w:t>
                    </w:r>
                    <w:r>
                      <w:rPr>
                        <w:w w:val="105"/>
                        <w:sz w:val="14"/>
                      </w:rPr>
                      <w:t>OTHER</w:t>
                    </w:r>
                    <w:r>
                      <w:rPr>
                        <w:spacing w:val="-19"/>
                        <w:w w:val="105"/>
                        <w:sz w:val="14"/>
                      </w:rPr>
                      <w:t> </w:t>
                    </w:r>
                    <w:r>
                      <w:rPr>
                        <w:w w:val="105"/>
                        <w:sz w:val="14"/>
                      </w:rPr>
                      <w:t>FINANCING</w:t>
                    </w:r>
                    <w:r>
                      <w:rPr>
                        <w:spacing w:val="-19"/>
                        <w:w w:val="105"/>
                        <w:sz w:val="14"/>
                      </w:rPr>
                      <w:t> </w:t>
                    </w:r>
                    <w:r>
                      <w:rPr>
                        <w:w w:val="105"/>
                        <w:sz w:val="14"/>
                      </w:rPr>
                      <w:t>SOURCES/USES</w:t>
                    </w:r>
                  </w:p>
                  <w:p>
                    <w:pPr>
                      <w:spacing w:before="36"/>
                      <w:ind w:left="81" w:right="0" w:firstLine="0"/>
                      <w:jc w:val="left"/>
                      <w:rPr>
                        <w:sz w:val="14"/>
                      </w:rPr>
                    </w:pPr>
                    <w:r>
                      <w:rPr>
                        <w:w w:val="105"/>
                        <w:sz w:val="14"/>
                      </w:rPr>
                      <w:t>(a - b + c - d + e)</w:t>
                    </w:r>
                  </w:p>
                </w:txbxContent>
              </v:textbox>
              <w10:wrap type="none"/>
            </v:shape>
            <v:shape style="position:absolute;left:7946;top:12781;width:299;height:161" type="#_x0000_t202" filled="false" stroked="false">
              <v:textbox inset="0,0,0,0">
                <w:txbxContent>
                  <w:p>
                    <w:pPr>
                      <w:spacing w:line="160" w:lineRule="exact" w:before="0"/>
                      <w:ind w:left="0" w:right="0" w:firstLine="0"/>
                      <w:jc w:val="left"/>
                      <w:rPr>
                        <w:sz w:val="14"/>
                      </w:rPr>
                    </w:pPr>
                    <w:r>
                      <w:rPr>
                        <w:w w:val="105"/>
                        <w:sz w:val="14"/>
                      </w:rPr>
                      <w:t>0.00</w:t>
                    </w:r>
                  </w:p>
                </w:txbxContent>
              </v:textbox>
              <w10:wrap type="none"/>
            </v:shape>
            <v:shape style="position:absolute;left:9458;top:12781;width:299;height:161" type="#_x0000_t202" filled="false" stroked="false">
              <v:textbox inset="0,0,0,0">
                <w:txbxContent>
                  <w:p>
                    <w:pPr>
                      <w:spacing w:line="160" w:lineRule="exact" w:before="0"/>
                      <w:ind w:left="0" w:right="0" w:firstLine="0"/>
                      <w:jc w:val="left"/>
                      <w:rPr>
                        <w:sz w:val="14"/>
                      </w:rPr>
                    </w:pPr>
                    <w:r>
                      <w:rPr>
                        <w:w w:val="105"/>
                        <w:sz w:val="14"/>
                      </w:rPr>
                      <w:t>0.00</w:t>
                    </w:r>
                  </w:p>
                </w:txbxContent>
              </v:textbox>
              <w10:wrap type="none"/>
            </v:shape>
            <v:shape style="position:absolute;left:10999;top:12781;width:347;height:161" type="#_x0000_t202" filled="false" stroked="false">
              <v:textbox inset="0,0,0,0">
                <w:txbxContent>
                  <w:p>
                    <w:pPr>
                      <w:spacing w:line="160" w:lineRule="exact" w:before="0"/>
                      <w:ind w:left="0" w:right="0" w:firstLine="0"/>
                      <w:jc w:val="left"/>
                      <w:rPr>
                        <w:sz w:val="14"/>
                      </w:rPr>
                    </w:pPr>
                    <w:r>
                      <w:rPr>
                        <w:w w:val="105"/>
                        <w:sz w:val="14"/>
                      </w:rPr>
                      <w:t>0.0%</w:t>
                    </w:r>
                  </w:p>
                </w:txbxContent>
              </v:textbox>
              <w10:wrap type="non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after="1"/>
      </w:pPr>
    </w:p>
    <w:tbl>
      <w:tblPr>
        <w:tblW w:w="0" w:type="auto"/>
        <w:jc w:val="left"/>
        <w:tblInd w:w="5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90"/>
        <w:gridCol w:w="2344"/>
        <w:gridCol w:w="1638"/>
        <w:gridCol w:w="1526"/>
        <w:gridCol w:w="1007"/>
      </w:tblGrid>
      <w:tr>
        <w:trPr>
          <w:trHeight w:val="268" w:hRule="atLeast"/>
        </w:trPr>
        <w:tc>
          <w:tcPr>
            <w:tcW w:w="4190" w:type="dxa"/>
          </w:tcPr>
          <w:p>
            <w:pPr>
              <w:pStyle w:val="TableParagraph"/>
              <w:spacing w:line="160" w:lineRule="exact"/>
              <w:ind w:left="131"/>
              <w:rPr>
                <w:sz w:val="14"/>
              </w:rPr>
            </w:pPr>
            <w:r>
              <w:rPr>
                <w:w w:val="105"/>
                <w:sz w:val="14"/>
              </w:rPr>
              <w:t>Other Authorized Interfund Transfers In</w:t>
            </w:r>
          </w:p>
        </w:tc>
        <w:tc>
          <w:tcPr>
            <w:tcW w:w="2344" w:type="dxa"/>
          </w:tcPr>
          <w:p>
            <w:pPr>
              <w:pStyle w:val="TableParagraph"/>
              <w:spacing w:line="160" w:lineRule="exact"/>
              <w:ind w:right="740"/>
              <w:jc w:val="right"/>
              <w:rPr>
                <w:sz w:val="14"/>
              </w:rPr>
            </w:pPr>
            <w:r>
              <w:rPr>
                <w:sz w:val="14"/>
              </w:rPr>
              <w:t>8919</w:t>
            </w:r>
          </w:p>
        </w:tc>
        <w:tc>
          <w:tcPr>
            <w:tcW w:w="1638" w:type="dxa"/>
          </w:tcPr>
          <w:p>
            <w:pPr>
              <w:pStyle w:val="TableParagraph"/>
              <w:spacing w:line="160" w:lineRule="exact"/>
              <w:ind w:right="614"/>
              <w:jc w:val="right"/>
              <w:rPr>
                <w:sz w:val="14"/>
              </w:rPr>
            </w:pPr>
            <w:r>
              <w:rPr>
                <w:sz w:val="14"/>
              </w:rPr>
              <w:t>0.00</w:t>
            </w:r>
          </w:p>
        </w:tc>
        <w:tc>
          <w:tcPr>
            <w:tcW w:w="1526" w:type="dxa"/>
          </w:tcPr>
          <w:p>
            <w:pPr>
              <w:pStyle w:val="TableParagraph"/>
              <w:spacing w:line="160" w:lineRule="exact"/>
              <w:ind w:left="616"/>
              <w:rPr>
                <w:sz w:val="14"/>
              </w:rPr>
            </w:pPr>
            <w:r>
              <w:rPr>
                <w:w w:val="105"/>
                <w:sz w:val="14"/>
              </w:rPr>
              <w:t>0.00</w:t>
            </w:r>
          </w:p>
        </w:tc>
        <w:tc>
          <w:tcPr>
            <w:tcW w:w="1007" w:type="dxa"/>
          </w:tcPr>
          <w:p>
            <w:pPr>
              <w:pStyle w:val="TableParagraph"/>
              <w:spacing w:line="160" w:lineRule="exact"/>
              <w:ind w:right="47"/>
              <w:jc w:val="right"/>
              <w:rPr>
                <w:sz w:val="14"/>
              </w:rPr>
            </w:pPr>
            <w:r>
              <w:rPr>
                <w:sz w:val="14"/>
              </w:rPr>
              <w:t>0.0%</w:t>
            </w:r>
          </w:p>
        </w:tc>
      </w:tr>
      <w:tr>
        <w:trPr>
          <w:trHeight w:val="844" w:hRule="atLeast"/>
        </w:trPr>
        <w:tc>
          <w:tcPr>
            <w:tcW w:w="4190" w:type="dxa"/>
          </w:tcPr>
          <w:p>
            <w:pPr>
              <w:pStyle w:val="TableParagraph"/>
              <w:spacing w:before="107"/>
              <w:ind w:left="50"/>
              <w:rPr>
                <w:sz w:val="14"/>
              </w:rPr>
            </w:pPr>
            <w:r>
              <w:rPr>
                <w:w w:val="105"/>
                <w:sz w:val="14"/>
              </w:rPr>
              <w:t>(a) TOTAL, INTERFUND TRANSFERS IN</w:t>
            </w:r>
          </w:p>
          <w:p>
            <w:pPr>
              <w:pStyle w:val="TableParagraph"/>
              <w:spacing w:before="6"/>
              <w:rPr>
                <w:sz w:val="18"/>
              </w:rPr>
            </w:pPr>
          </w:p>
          <w:p>
            <w:pPr>
              <w:pStyle w:val="TableParagraph"/>
              <w:ind w:left="50"/>
              <w:rPr>
                <w:b/>
                <w:sz w:val="14"/>
              </w:rPr>
            </w:pPr>
            <w:r>
              <w:rPr>
                <w:b/>
                <w:w w:val="105"/>
                <w:sz w:val="14"/>
              </w:rPr>
              <w:t>INTERFUND TRANSFERS OUT</w:t>
            </w:r>
          </w:p>
        </w:tc>
        <w:tc>
          <w:tcPr>
            <w:tcW w:w="2344" w:type="dxa"/>
          </w:tcPr>
          <w:p>
            <w:pPr>
              <w:pStyle w:val="TableParagraph"/>
              <w:rPr>
                <w:rFonts w:ascii="Times New Roman"/>
                <w:sz w:val="14"/>
              </w:rPr>
            </w:pPr>
          </w:p>
        </w:tc>
        <w:tc>
          <w:tcPr>
            <w:tcW w:w="1638" w:type="dxa"/>
          </w:tcPr>
          <w:p>
            <w:pPr>
              <w:pStyle w:val="TableParagraph"/>
              <w:spacing w:before="107"/>
              <w:ind w:right="614"/>
              <w:jc w:val="right"/>
              <w:rPr>
                <w:sz w:val="14"/>
              </w:rPr>
            </w:pPr>
            <w:r>
              <w:rPr>
                <w:sz w:val="14"/>
              </w:rPr>
              <w:t>0.00</w:t>
            </w:r>
          </w:p>
        </w:tc>
        <w:tc>
          <w:tcPr>
            <w:tcW w:w="1526" w:type="dxa"/>
          </w:tcPr>
          <w:p>
            <w:pPr>
              <w:pStyle w:val="TableParagraph"/>
              <w:spacing w:before="107"/>
              <w:ind w:left="616"/>
              <w:rPr>
                <w:sz w:val="14"/>
              </w:rPr>
            </w:pPr>
            <w:r>
              <w:rPr>
                <w:w w:val="105"/>
                <w:sz w:val="14"/>
              </w:rPr>
              <w:t>0.00</w:t>
            </w:r>
          </w:p>
        </w:tc>
        <w:tc>
          <w:tcPr>
            <w:tcW w:w="1007" w:type="dxa"/>
          </w:tcPr>
          <w:p>
            <w:pPr>
              <w:pStyle w:val="TableParagraph"/>
              <w:spacing w:before="107"/>
              <w:ind w:right="47"/>
              <w:jc w:val="right"/>
              <w:rPr>
                <w:sz w:val="14"/>
              </w:rPr>
            </w:pPr>
            <w:r>
              <w:rPr>
                <w:sz w:val="14"/>
              </w:rPr>
              <w:t>0.0%</w:t>
            </w:r>
          </w:p>
        </w:tc>
      </w:tr>
      <w:tr>
        <w:trPr>
          <w:trHeight w:val="470" w:hRule="atLeast"/>
        </w:trPr>
        <w:tc>
          <w:tcPr>
            <w:tcW w:w="4190" w:type="dxa"/>
          </w:tcPr>
          <w:p>
            <w:pPr>
              <w:pStyle w:val="TableParagraph"/>
              <w:spacing w:before="5"/>
              <w:rPr>
                <w:sz w:val="17"/>
              </w:rPr>
            </w:pPr>
          </w:p>
          <w:p>
            <w:pPr>
              <w:pStyle w:val="TableParagraph"/>
              <w:ind w:left="131"/>
              <w:rPr>
                <w:sz w:val="14"/>
              </w:rPr>
            </w:pPr>
            <w:r>
              <w:rPr>
                <w:w w:val="105"/>
                <w:sz w:val="14"/>
              </w:rPr>
              <w:t>Other Authorized Interfund Transfers Out</w:t>
            </w:r>
          </w:p>
        </w:tc>
        <w:tc>
          <w:tcPr>
            <w:tcW w:w="2344" w:type="dxa"/>
          </w:tcPr>
          <w:p>
            <w:pPr>
              <w:pStyle w:val="TableParagraph"/>
              <w:spacing w:before="5"/>
              <w:rPr>
                <w:sz w:val="17"/>
              </w:rPr>
            </w:pPr>
          </w:p>
          <w:p>
            <w:pPr>
              <w:pStyle w:val="TableParagraph"/>
              <w:ind w:right="740"/>
              <w:jc w:val="right"/>
              <w:rPr>
                <w:sz w:val="14"/>
              </w:rPr>
            </w:pPr>
            <w:r>
              <w:rPr>
                <w:sz w:val="14"/>
              </w:rPr>
              <w:t>7619</w:t>
            </w:r>
          </w:p>
        </w:tc>
        <w:tc>
          <w:tcPr>
            <w:tcW w:w="1638" w:type="dxa"/>
          </w:tcPr>
          <w:p>
            <w:pPr>
              <w:pStyle w:val="TableParagraph"/>
              <w:spacing w:before="5"/>
              <w:rPr>
                <w:sz w:val="17"/>
              </w:rPr>
            </w:pPr>
          </w:p>
          <w:p>
            <w:pPr>
              <w:pStyle w:val="TableParagraph"/>
              <w:ind w:right="614"/>
              <w:jc w:val="right"/>
              <w:rPr>
                <w:sz w:val="14"/>
              </w:rPr>
            </w:pPr>
            <w:r>
              <w:rPr>
                <w:sz w:val="14"/>
              </w:rPr>
              <w:t>0.00</w:t>
            </w:r>
          </w:p>
        </w:tc>
        <w:tc>
          <w:tcPr>
            <w:tcW w:w="1526" w:type="dxa"/>
          </w:tcPr>
          <w:p>
            <w:pPr>
              <w:pStyle w:val="TableParagraph"/>
              <w:spacing w:before="5"/>
              <w:rPr>
                <w:sz w:val="17"/>
              </w:rPr>
            </w:pPr>
          </w:p>
          <w:p>
            <w:pPr>
              <w:pStyle w:val="TableParagraph"/>
              <w:ind w:left="616"/>
              <w:rPr>
                <w:sz w:val="14"/>
              </w:rPr>
            </w:pPr>
            <w:r>
              <w:rPr>
                <w:w w:val="105"/>
                <w:sz w:val="14"/>
              </w:rPr>
              <w:t>0.00</w:t>
            </w:r>
          </w:p>
        </w:tc>
        <w:tc>
          <w:tcPr>
            <w:tcW w:w="1007" w:type="dxa"/>
          </w:tcPr>
          <w:p>
            <w:pPr>
              <w:pStyle w:val="TableParagraph"/>
              <w:spacing w:before="5"/>
              <w:rPr>
                <w:sz w:val="17"/>
              </w:rPr>
            </w:pPr>
          </w:p>
          <w:p>
            <w:pPr>
              <w:pStyle w:val="TableParagraph"/>
              <w:ind w:right="47"/>
              <w:jc w:val="right"/>
              <w:rPr>
                <w:sz w:val="14"/>
              </w:rPr>
            </w:pPr>
            <w:r>
              <w:rPr>
                <w:sz w:val="14"/>
              </w:rPr>
              <w:t>0.0%</w:t>
            </w:r>
          </w:p>
        </w:tc>
      </w:tr>
      <w:tr>
        <w:trPr>
          <w:trHeight w:val="268" w:hRule="atLeast"/>
        </w:trPr>
        <w:tc>
          <w:tcPr>
            <w:tcW w:w="4190" w:type="dxa"/>
          </w:tcPr>
          <w:p>
            <w:pPr>
              <w:pStyle w:val="TableParagraph"/>
              <w:spacing w:line="142" w:lineRule="exact" w:before="107"/>
              <w:ind w:left="50"/>
              <w:rPr>
                <w:sz w:val="14"/>
              </w:rPr>
            </w:pPr>
            <w:r>
              <w:rPr>
                <w:w w:val="105"/>
                <w:sz w:val="14"/>
              </w:rPr>
              <w:t>(b) TOTAL, INTERFUND TRANSFERS OUT</w:t>
            </w:r>
          </w:p>
        </w:tc>
        <w:tc>
          <w:tcPr>
            <w:tcW w:w="2344" w:type="dxa"/>
          </w:tcPr>
          <w:p>
            <w:pPr>
              <w:pStyle w:val="TableParagraph"/>
              <w:rPr>
                <w:rFonts w:ascii="Times New Roman"/>
                <w:sz w:val="14"/>
              </w:rPr>
            </w:pPr>
          </w:p>
        </w:tc>
        <w:tc>
          <w:tcPr>
            <w:tcW w:w="1638" w:type="dxa"/>
          </w:tcPr>
          <w:p>
            <w:pPr>
              <w:pStyle w:val="TableParagraph"/>
              <w:spacing w:line="142" w:lineRule="exact" w:before="107"/>
              <w:ind w:right="614"/>
              <w:jc w:val="right"/>
              <w:rPr>
                <w:sz w:val="14"/>
              </w:rPr>
            </w:pPr>
            <w:r>
              <w:rPr>
                <w:sz w:val="14"/>
              </w:rPr>
              <w:t>0.00</w:t>
            </w:r>
          </w:p>
        </w:tc>
        <w:tc>
          <w:tcPr>
            <w:tcW w:w="1526" w:type="dxa"/>
          </w:tcPr>
          <w:p>
            <w:pPr>
              <w:pStyle w:val="TableParagraph"/>
              <w:spacing w:line="142" w:lineRule="exact" w:before="107"/>
              <w:ind w:left="616"/>
              <w:rPr>
                <w:sz w:val="14"/>
              </w:rPr>
            </w:pPr>
            <w:r>
              <w:rPr>
                <w:w w:val="105"/>
                <w:sz w:val="14"/>
              </w:rPr>
              <w:t>0.00</w:t>
            </w:r>
          </w:p>
        </w:tc>
        <w:tc>
          <w:tcPr>
            <w:tcW w:w="1007" w:type="dxa"/>
          </w:tcPr>
          <w:p>
            <w:pPr>
              <w:pStyle w:val="TableParagraph"/>
              <w:spacing w:line="142" w:lineRule="exact" w:before="107"/>
              <w:ind w:right="47"/>
              <w:jc w:val="right"/>
              <w:rPr>
                <w:sz w:val="14"/>
              </w:rPr>
            </w:pPr>
            <w:r>
              <w:rPr>
                <w:sz w:val="14"/>
              </w:rPr>
              <w:t>0.0%</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2"/>
        </w:rPr>
      </w:pPr>
    </w:p>
    <w:tbl>
      <w:tblPr>
        <w:tblW w:w="0" w:type="auto"/>
        <w:jc w:val="left"/>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97"/>
        <w:gridCol w:w="2001"/>
        <w:gridCol w:w="2054"/>
        <w:gridCol w:w="969"/>
        <w:gridCol w:w="1540"/>
      </w:tblGrid>
      <w:tr>
        <w:trPr>
          <w:trHeight w:val="403" w:hRule="atLeast"/>
        </w:trPr>
        <w:tc>
          <w:tcPr>
            <w:tcW w:w="4197" w:type="dxa"/>
          </w:tcPr>
          <w:p>
            <w:pPr>
              <w:pStyle w:val="TableParagraph"/>
              <w:spacing w:line="160" w:lineRule="exact"/>
              <w:ind w:left="294"/>
              <w:rPr>
                <w:sz w:val="14"/>
              </w:rPr>
            </w:pPr>
            <w:r>
              <w:rPr>
                <w:w w:val="105"/>
                <w:sz w:val="14"/>
              </w:rPr>
              <w:t>Transfers from Funds of</w:t>
            </w:r>
          </w:p>
          <w:p>
            <w:pPr>
              <w:pStyle w:val="TableParagraph"/>
              <w:spacing w:before="36"/>
              <w:ind w:left="334"/>
              <w:rPr>
                <w:sz w:val="14"/>
              </w:rPr>
            </w:pPr>
            <w:r>
              <w:rPr>
                <w:w w:val="105"/>
                <w:sz w:val="14"/>
              </w:rPr>
              <w:t>Lapsed/Reorganized LEAs</w:t>
            </w:r>
          </w:p>
        </w:tc>
        <w:tc>
          <w:tcPr>
            <w:tcW w:w="2001" w:type="dxa"/>
          </w:tcPr>
          <w:p>
            <w:pPr>
              <w:pStyle w:val="TableParagraph"/>
              <w:rPr>
                <w:sz w:val="17"/>
              </w:rPr>
            </w:pPr>
          </w:p>
          <w:p>
            <w:pPr>
              <w:pStyle w:val="TableParagraph"/>
              <w:ind w:right="323"/>
              <w:jc w:val="right"/>
              <w:rPr>
                <w:sz w:val="14"/>
              </w:rPr>
            </w:pPr>
            <w:r>
              <w:rPr>
                <w:sz w:val="14"/>
              </w:rPr>
              <w:t>8965</w:t>
            </w:r>
          </w:p>
        </w:tc>
        <w:tc>
          <w:tcPr>
            <w:tcW w:w="2054" w:type="dxa"/>
          </w:tcPr>
          <w:p>
            <w:pPr>
              <w:pStyle w:val="TableParagraph"/>
              <w:rPr>
                <w:sz w:val="17"/>
              </w:rPr>
            </w:pPr>
          </w:p>
          <w:p>
            <w:pPr>
              <w:pStyle w:val="TableParagraph"/>
              <w:ind w:right="613"/>
              <w:jc w:val="right"/>
              <w:rPr>
                <w:sz w:val="14"/>
              </w:rPr>
            </w:pPr>
            <w:r>
              <w:rPr>
                <w:sz w:val="14"/>
              </w:rPr>
              <w:t>0.00</w:t>
            </w:r>
          </w:p>
        </w:tc>
        <w:tc>
          <w:tcPr>
            <w:tcW w:w="969" w:type="dxa"/>
          </w:tcPr>
          <w:p>
            <w:pPr>
              <w:pStyle w:val="TableParagraph"/>
              <w:rPr>
                <w:sz w:val="17"/>
              </w:rPr>
            </w:pPr>
          </w:p>
          <w:p>
            <w:pPr>
              <w:pStyle w:val="TableParagraph"/>
              <w:ind w:right="70"/>
              <w:jc w:val="right"/>
              <w:rPr>
                <w:sz w:val="14"/>
              </w:rPr>
            </w:pPr>
            <w:r>
              <w:rPr>
                <w:sz w:val="14"/>
              </w:rPr>
              <w:t>0.00</w:t>
            </w:r>
          </w:p>
        </w:tc>
        <w:tc>
          <w:tcPr>
            <w:tcW w:w="1540" w:type="dxa"/>
          </w:tcPr>
          <w:p>
            <w:pPr>
              <w:pStyle w:val="TableParagraph"/>
              <w:rPr>
                <w:sz w:val="17"/>
              </w:rPr>
            </w:pPr>
          </w:p>
          <w:p>
            <w:pPr>
              <w:pStyle w:val="TableParagraph"/>
              <w:ind w:right="21"/>
              <w:jc w:val="right"/>
              <w:rPr>
                <w:sz w:val="14"/>
              </w:rPr>
            </w:pPr>
            <w:r>
              <w:rPr>
                <w:sz w:val="14"/>
              </w:rPr>
              <w:t>0.0%</w:t>
            </w:r>
          </w:p>
        </w:tc>
      </w:tr>
      <w:tr>
        <w:trPr>
          <w:trHeight w:val="313" w:hRule="atLeast"/>
        </w:trPr>
        <w:tc>
          <w:tcPr>
            <w:tcW w:w="4197" w:type="dxa"/>
          </w:tcPr>
          <w:p>
            <w:pPr>
              <w:pStyle w:val="TableParagraph"/>
              <w:spacing w:before="44"/>
              <w:ind w:left="213"/>
              <w:rPr>
                <w:sz w:val="14"/>
              </w:rPr>
            </w:pPr>
            <w:r>
              <w:rPr>
                <w:w w:val="105"/>
                <w:sz w:val="14"/>
              </w:rPr>
              <w:t>Long-Term Debt Proceeds</w:t>
            </w:r>
          </w:p>
        </w:tc>
        <w:tc>
          <w:tcPr>
            <w:tcW w:w="2001" w:type="dxa"/>
          </w:tcPr>
          <w:p>
            <w:pPr>
              <w:pStyle w:val="TableParagraph"/>
              <w:rPr>
                <w:rFonts w:ascii="Times New Roman"/>
                <w:sz w:val="14"/>
              </w:rPr>
            </w:pPr>
          </w:p>
        </w:tc>
        <w:tc>
          <w:tcPr>
            <w:tcW w:w="2054" w:type="dxa"/>
          </w:tcPr>
          <w:p>
            <w:pPr>
              <w:pStyle w:val="TableParagraph"/>
              <w:rPr>
                <w:rFonts w:ascii="Times New Roman"/>
                <w:sz w:val="14"/>
              </w:rPr>
            </w:pPr>
          </w:p>
        </w:tc>
        <w:tc>
          <w:tcPr>
            <w:tcW w:w="969" w:type="dxa"/>
          </w:tcPr>
          <w:p>
            <w:pPr>
              <w:pStyle w:val="TableParagraph"/>
              <w:rPr>
                <w:rFonts w:ascii="Times New Roman"/>
                <w:sz w:val="14"/>
              </w:rPr>
            </w:pPr>
          </w:p>
        </w:tc>
        <w:tc>
          <w:tcPr>
            <w:tcW w:w="1540" w:type="dxa"/>
          </w:tcPr>
          <w:p>
            <w:pPr>
              <w:pStyle w:val="TableParagraph"/>
              <w:rPr>
                <w:rFonts w:ascii="Times New Roman"/>
                <w:sz w:val="14"/>
              </w:rPr>
            </w:pPr>
          </w:p>
        </w:tc>
      </w:tr>
      <w:tr>
        <w:trPr>
          <w:trHeight w:val="374" w:hRule="atLeast"/>
        </w:trPr>
        <w:tc>
          <w:tcPr>
            <w:tcW w:w="4197" w:type="dxa"/>
          </w:tcPr>
          <w:p>
            <w:pPr>
              <w:pStyle w:val="TableParagraph"/>
              <w:spacing w:before="105"/>
              <w:ind w:left="294"/>
              <w:rPr>
                <w:sz w:val="14"/>
              </w:rPr>
            </w:pPr>
            <w:r>
              <w:rPr>
                <w:w w:val="105"/>
                <w:sz w:val="14"/>
              </w:rPr>
              <w:t>Proceeds from Leases</w:t>
            </w:r>
          </w:p>
        </w:tc>
        <w:tc>
          <w:tcPr>
            <w:tcW w:w="2001" w:type="dxa"/>
          </w:tcPr>
          <w:p>
            <w:pPr>
              <w:pStyle w:val="TableParagraph"/>
              <w:spacing w:before="105"/>
              <w:ind w:right="323"/>
              <w:jc w:val="right"/>
              <w:rPr>
                <w:sz w:val="14"/>
              </w:rPr>
            </w:pPr>
            <w:r>
              <w:rPr>
                <w:sz w:val="14"/>
              </w:rPr>
              <w:t>8972</w:t>
            </w:r>
          </w:p>
        </w:tc>
        <w:tc>
          <w:tcPr>
            <w:tcW w:w="2054" w:type="dxa"/>
          </w:tcPr>
          <w:p>
            <w:pPr>
              <w:pStyle w:val="TableParagraph"/>
              <w:spacing w:before="105"/>
              <w:ind w:right="613"/>
              <w:jc w:val="right"/>
              <w:rPr>
                <w:sz w:val="14"/>
              </w:rPr>
            </w:pPr>
            <w:r>
              <w:rPr>
                <w:sz w:val="14"/>
              </w:rPr>
              <w:t>0.00</w:t>
            </w:r>
          </w:p>
        </w:tc>
        <w:tc>
          <w:tcPr>
            <w:tcW w:w="969" w:type="dxa"/>
          </w:tcPr>
          <w:p>
            <w:pPr>
              <w:pStyle w:val="TableParagraph"/>
              <w:spacing w:before="105"/>
              <w:ind w:right="70"/>
              <w:jc w:val="right"/>
              <w:rPr>
                <w:sz w:val="14"/>
              </w:rPr>
            </w:pPr>
            <w:r>
              <w:rPr>
                <w:sz w:val="14"/>
              </w:rPr>
              <w:t>0.00</w:t>
            </w:r>
          </w:p>
        </w:tc>
        <w:tc>
          <w:tcPr>
            <w:tcW w:w="1540" w:type="dxa"/>
          </w:tcPr>
          <w:p>
            <w:pPr>
              <w:pStyle w:val="TableParagraph"/>
              <w:spacing w:before="105"/>
              <w:ind w:right="21"/>
              <w:jc w:val="right"/>
              <w:rPr>
                <w:sz w:val="14"/>
              </w:rPr>
            </w:pPr>
            <w:r>
              <w:rPr>
                <w:sz w:val="14"/>
              </w:rPr>
              <w:t>0.0%</w:t>
            </w:r>
          </w:p>
        </w:tc>
      </w:tr>
      <w:tr>
        <w:trPr>
          <w:trHeight w:val="374" w:hRule="atLeast"/>
        </w:trPr>
        <w:tc>
          <w:tcPr>
            <w:tcW w:w="4197" w:type="dxa"/>
          </w:tcPr>
          <w:p>
            <w:pPr>
              <w:pStyle w:val="TableParagraph"/>
              <w:spacing w:before="105"/>
              <w:ind w:left="213"/>
              <w:rPr>
                <w:sz w:val="14"/>
              </w:rPr>
            </w:pPr>
            <w:r>
              <w:rPr>
                <w:w w:val="105"/>
                <w:sz w:val="14"/>
              </w:rPr>
              <w:t>All Other Financing Sources</w:t>
            </w:r>
          </w:p>
        </w:tc>
        <w:tc>
          <w:tcPr>
            <w:tcW w:w="2001" w:type="dxa"/>
          </w:tcPr>
          <w:p>
            <w:pPr>
              <w:pStyle w:val="TableParagraph"/>
              <w:spacing w:before="105"/>
              <w:ind w:right="323"/>
              <w:jc w:val="right"/>
              <w:rPr>
                <w:sz w:val="14"/>
              </w:rPr>
            </w:pPr>
            <w:r>
              <w:rPr>
                <w:sz w:val="14"/>
              </w:rPr>
              <w:t>8979</w:t>
            </w:r>
          </w:p>
        </w:tc>
        <w:tc>
          <w:tcPr>
            <w:tcW w:w="2054" w:type="dxa"/>
          </w:tcPr>
          <w:p>
            <w:pPr>
              <w:pStyle w:val="TableParagraph"/>
              <w:spacing w:before="105"/>
              <w:ind w:right="613"/>
              <w:jc w:val="right"/>
              <w:rPr>
                <w:sz w:val="14"/>
              </w:rPr>
            </w:pPr>
            <w:r>
              <w:rPr>
                <w:sz w:val="14"/>
              </w:rPr>
              <w:t>0.00</w:t>
            </w:r>
          </w:p>
        </w:tc>
        <w:tc>
          <w:tcPr>
            <w:tcW w:w="969" w:type="dxa"/>
          </w:tcPr>
          <w:p>
            <w:pPr>
              <w:pStyle w:val="TableParagraph"/>
              <w:spacing w:before="105"/>
              <w:ind w:right="70"/>
              <w:jc w:val="right"/>
              <w:rPr>
                <w:sz w:val="14"/>
              </w:rPr>
            </w:pPr>
            <w:r>
              <w:rPr>
                <w:sz w:val="14"/>
              </w:rPr>
              <w:t>0.00</w:t>
            </w:r>
          </w:p>
        </w:tc>
        <w:tc>
          <w:tcPr>
            <w:tcW w:w="1540" w:type="dxa"/>
          </w:tcPr>
          <w:p>
            <w:pPr>
              <w:pStyle w:val="TableParagraph"/>
              <w:spacing w:before="105"/>
              <w:ind w:right="21"/>
              <w:jc w:val="right"/>
              <w:rPr>
                <w:sz w:val="14"/>
              </w:rPr>
            </w:pPr>
            <w:r>
              <w:rPr>
                <w:sz w:val="14"/>
              </w:rPr>
              <w:t>0.0%</w:t>
            </w:r>
          </w:p>
        </w:tc>
      </w:tr>
      <w:tr>
        <w:trPr>
          <w:trHeight w:val="325" w:hRule="atLeast"/>
        </w:trPr>
        <w:tc>
          <w:tcPr>
            <w:tcW w:w="4197" w:type="dxa"/>
          </w:tcPr>
          <w:p>
            <w:pPr>
              <w:pStyle w:val="TableParagraph"/>
              <w:spacing w:before="105"/>
              <w:ind w:left="131"/>
              <w:rPr>
                <w:sz w:val="14"/>
              </w:rPr>
            </w:pPr>
            <w:r>
              <w:rPr>
                <w:w w:val="105"/>
                <w:sz w:val="14"/>
              </w:rPr>
              <w:t>(c) TOTAL, SOURCES</w:t>
            </w:r>
          </w:p>
        </w:tc>
        <w:tc>
          <w:tcPr>
            <w:tcW w:w="2001" w:type="dxa"/>
          </w:tcPr>
          <w:p>
            <w:pPr>
              <w:pStyle w:val="TableParagraph"/>
              <w:rPr>
                <w:rFonts w:ascii="Times New Roman"/>
                <w:sz w:val="14"/>
              </w:rPr>
            </w:pPr>
          </w:p>
        </w:tc>
        <w:tc>
          <w:tcPr>
            <w:tcW w:w="2054" w:type="dxa"/>
          </w:tcPr>
          <w:p>
            <w:pPr>
              <w:pStyle w:val="TableParagraph"/>
              <w:spacing w:before="105"/>
              <w:ind w:right="613"/>
              <w:jc w:val="right"/>
              <w:rPr>
                <w:sz w:val="14"/>
              </w:rPr>
            </w:pPr>
            <w:r>
              <w:rPr>
                <w:sz w:val="14"/>
              </w:rPr>
              <w:t>0.00</w:t>
            </w:r>
          </w:p>
        </w:tc>
        <w:tc>
          <w:tcPr>
            <w:tcW w:w="969" w:type="dxa"/>
          </w:tcPr>
          <w:p>
            <w:pPr>
              <w:pStyle w:val="TableParagraph"/>
              <w:spacing w:before="105"/>
              <w:ind w:right="70"/>
              <w:jc w:val="right"/>
              <w:rPr>
                <w:sz w:val="14"/>
              </w:rPr>
            </w:pPr>
            <w:r>
              <w:rPr>
                <w:sz w:val="14"/>
              </w:rPr>
              <w:t>0.00</w:t>
            </w:r>
          </w:p>
        </w:tc>
        <w:tc>
          <w:tcPr>
            <w:tcW w:w="1540" w:type="dxa"/>
          </w:tcPr>
          <w:p>
            <w:pPr>
              <w:pStyle w:val="TableParagraph"/>
              <w:spacing w:before="105"/>
              <w:ind w:right="21"/>
              <w:jc w:val="right"/>
              <w:rPr>
                <w:sz w:val="14"/>
              </w:rPr>
            </w:pPr>
            <w:r>
              <w:rPr>
                <w:sz w:val="14"/>
              </w:rPr>
              <w:t>0.0%</w:t>
            </w:r>
          </w:p>
        </w:tc>
      </w:tr>
      <w:tr>
        <w:trPr>
          <w:trHeight w:val="411" w:hRule="atLeast"/>
        </w:trPr>
        <w:tc>
          <w:tcPr>
            <w:tcW w:w="4197" w:type="dxa"/>
          </w:tcPr>
          <w:p>
            <w:pPr>
              <w:pStyle w:val="TableParagraph"/>
              <w:spacing w:before="56"/>
              <w:ind w:left="131"/>
              <w:rPr>
                <w:b/>
                <w:sz w:val="14"/>
              </w:rPr>
            </w:pPr>
            <w:r>
              <w:rPr>
                <w:b/>
                <w:w w:val="105"/>
                <w:sz w:val="14"/>
              </w:rPr>
              <w:t>USES</w:t>
            </w:r>
          </w:p>
        </w:tc>
        <w:tc>
          <w:tcPr>
            <w:tcW w:w="2001" w:type="dxa"/>
          </w:tcPr>
          <w:p>
            <w:pPr>
              <w:pStyle w:val="TableParagraph"/>
              <w:rPr>
                <w:rFonts w:ascii="Times New Roman"/>
                <w:sz w:val="14"/>
              </w:rPr>
            </w:pPr>
          </w:p>
        </w:tc>
        <w:tc>
          <w:tcPr>
            <w:tcW w:w="2054" w:type="dxa"/>
          </w:tcPr>
          <w:p>
            <w:pPr>
              <w:pStyle w:val="TableParagraph"/>
              <w:rPr>
                <w:rFonts w:ascii="Times New Roman"/>
                <w:sz w:val="14"/>
              </w:rPr>
            </w:pPr>
          </w:p>
        </w:tc>
        <w:tc>
          <w:tcPr>
            <w:tcW w:w="969" w:type="dxa"/>
          </w:tcPr>
          <w:p>
            <w:pPr>
              <w:pStyle w:val="TableParagraph"/>
              <w:rPr>
                <w:rFonts w:ascii="Times New Roman"/>
                <w:sz w:val="14"/>
              </w:rPr>
            </w:pPr>
          </w:p>
        </w:tc>
        <w:tc>
          <w:tcPr>
            <w:tcW w:w="1540" w:type="dxa"/>
          </w:tcPr>
          <w:p>
            <w:pPr>
              <w:pStyle w:val="TableParagraph"/>
              <w:rPr>
                <w:rFonts w:ascii="Times New Roman"/>
                <w:sz w:val="14"/>
              </w:rPr>
            </w:pPr>
          </w:p>
        </w:tc>
      </w:tr>
      <w:tr>
        <w:trPr>
          <w:trHeight w:val="658" w:hRule="atLeast"/>
        </w:trPr>
        <w:tc>
          <w:tcPr>
            <w:tcW w:w="4197" w:type="dxa"/>
          </w:tcPr>
          <w:p>
            <w:pPr>
              <w:pStyle w:val="TableParagraph"/>
              <w:spacing w:before="8"/>
              <w:rPr>
                <w:sz w:val="16"/>
              </w:rPr>
            </w:pPr>
          </w:p>
          <w:p>
            <w:pPr>
              <w:pStyle w:val="TableParagraph"/>
              <w:spacing w:line="292" w:lineRule="auto"/>
              <w:ind w:left="253" w:right="2068" w:hanging="40"/>
              <w:rPr>
                <w:sz w:val="14"/>
              </w:rPr>
            </w:pPr>
            <w:r>
              <w:rPr>
                <w:w w:val="105"/>
                <w:sz w:val="14"/>
              </w:rPr>
              <w:t>Transfers of Funds from </w:t>
            </w:r>
            <w:r>
              <w:rPr>
                <w:sz w:val="14"/>
              </w:rPr>
              <w:t>Lapsed/Reorganized LEAs</w:t>
            </w:r>
          </w:p>
        </w:tc>
        <w:tc>
          <w:tcPr>
            <w:tcW w:w="2001" w:type="dxa"/>
          </w:tcPr>
          <w:p>
            <w:pPr>
              <w:pStyle w:val="TableParagraph"/>
              <w:rPr>
                <w:sz w:val="16"/>
              </w:rPr>
            </w:pPr>
          </w:p>
          <w:p>
            <w:pPr>
              <w:pStyle w:val="TableParagraph"/>
              <w:spacing w:before="9"/>
              <w:rPr>
                <w:sz w:val="17"/>
              </w:rPr>
            </w:pPr>
          </w:p>
          <w:p>
            <w:pPr>
              <w:pStyle w:val="TableParagraph"/>
              <w:ind w:right="323"/>
              <w:jc w:val="right"/>
              <w:rPr>
                <w:sz w:val="14"/>
              </w:rPr>
            </w:pPr>
            <w:r>
              <w:rPr>
                <w:sz w:val="14"/>
              </w:rPr>
              <w:t>7651</w:t>
            </w:r>
          </w:p>
        </w:tc>
        <w:tc>
          <w:tcPr>
            <w:tcW w:w="2054" w:type="dxa"/>
          </w:tcPr>
          <w:p>
            <w:pPr>
              <w:pStyle w:val="TableParagraph"/>
              <w:rPr>
                <w:sz w:val="16"/>
              </w:rPr>
            </w:pPr>
          </w:p>
          <w:p>
            <w:pPr>
              <w:pStyle w:val="TableParagraph"/>
              <w:spacing w:before="9"/>
              <w:rPr>
                <w:sz w:val="17"/>
              </w:rPr>
            </w:pPr>
          </w:p>
          <w:p>
            <w:pPr>
              <w:pStyle w:val="TableParagraph"/>
              <w:ind w:right="613"/>
              <w:jc w:val="right"/>
              <w:rPr>
                <w:sz w:val="14"/>
              </w:rPr>
            </w:pPr>
            <w:r>
              <w:rPr>
                <w:sz w:val="14"/>
              </w:rPr>
              <w:t>0.00</w:t>
            </w:r>
          </w:p>
        </w:tc>
        <w:tc>
          <w:tcPr>
            <w:tcW w:w="969" w:type="dxa"/>
          </w:tcPr>
          <w:p>
            <w:pPr>
              <w:pStyle w:val="TableParagraph"/>
              <w:rPr>
                <w:sz w:val="16"/>
              </w:rPr>
            </w:pPr>
          </w:p>
          <w:p>
            <w:pPr>
              <w:pStyle w:val="TableParagraph"/>
              <w:spacing w:before="9"/>
              <w:rPr>
                <w:sz w:val="17"/>
              </w:rPr>
            </w:pPr>
          </w:p>
          <w:p>
            <w:pPr>
              <w:pStyle w:val="TableParagraph"/>
              <w:ind w:right="70"/>
              <w:jc w:val="right"/>
              <w:rPr>
                <w:sz w:val="14"/>
              </w:rPr>
            </w:pPr>
            <w:r>
              <w:rPr>
                <w:sz w:val="14"/>
              </w:rPr>
              <w:t>0.00</w:t>
            </w:r>
          </w:p>
        </w:tc>
        <w:tc>
          <w:tcPr>
            <w:tcW w:w="1540" w:type="dxa"/>
          </w:tcPr>
          <w:p>
            <w:pPr>
              <w:pStyle w:val="TableParagraph"/>
              <w:rPr>
                <w:sz w:val="16"/>
              </w:rPr>
            </w:pPr>
          </w:p>
          <w:p>
            <w:pPr>
              <w:pStyle w:val="TableParagraph"/>
              <w:spacing w:before="9"/>
              <w:rPr>
                <w:sz w:val="17"/>
              </w:rPr>
            </w:pPr>
          </w:p>
          <w:p>
            <w:pPr>
              <w:pStyle w:val="TableParagraph"/>
              <w:ind w:right="21"/>
              <w:jc w:val="right"/>
              <w:rPr>
                <w:sz w:val="14"/>
              </w:rPr>
            </w:pPr>
            <w:r>
              <w:rPr>
                <w:sz w:val="14"/>
              </w:rPr>
              <w:t>0.0%</w:t>
            </w:r>
          </w:p>
        </w:tc>
      </w:tr>
      <w:tr>
        <w:trPr>
          <w:trHeight w:val="375" w:hRule="atLeast"/>
        </w:trPr>
        <w:tc>
          <w:tcPr>
            <w:tcW w:w="4197" w:type="dxa"/>
          </w:tcPr>
          <w:p>
            <w:pPr>
              <w:pStyle w:val="TableParagraph"/>
              <w:spacing w:before="107"/>
              <w:ind w:left="213"/>
              <w:rPr>
                <w:sz w:val="14"/>
              </w:rPr>
            </w:pPr>
            <w:r>
              <w:rPr>
                <w:w w:val="105"/>
                <w:sz w:val="14"/>
              </w:rPr>
              <w:t>All Other Financing Uses</w:t>
            </w:r>
          </w:p>
        </w:tc>
        <w:tc>
          <w:tcPr>
            <w:tcW w:w="2001" w:type="dxa"/>
          </w:tcPr>
          <w:p>
            <w:pPr>
              <w:pStyle w:val="TableParagraph"/>
              <w:spacing w:before="107"/>
              <w:ind w:right="323"/>
              <w:jc w:val="right"/>
              <w:rPr>
                <w:sz w:val="14"/>
              </w:rPr>
            </w:pPr>
            <w:r>
              <w:rPr>
                <w:sz w:val="14"/>
              </w:rPr>
              <w:t>7699</w:t>
            </w:r>
          </w:p>
        </w:tc>
        <w:tc>
          <w:tcPr>
            <w:tcW w:w="2054" w:type="dxa"/>
          </w:tcPr>
          <w:p>
            <w:pPr>
              <w:pStyle w:val="TableParagraph"/>
              <w:spacing w:before="107"/>
              <w:ind w:right="613"/>
              <w:jc w:val="right"/>
              <w:rPr>
                <w:sz w:val="14"/>
              </w:rPr>
            </w:pPr>
            <w:r>
              <w:rPr>
                <w:sz w:val="14"/>
              </w:rPr>
              <w:t>0.00</w:t>
            </w:r>
          </w:p>
        </w:tc>
        <w:tc>
          <w:tcPr>
            <w:tcW w:w="969" w:type="dxa"/>
          </w:tcPr>
          <w:p>
            <w:pPr>
              <w:pStyle w:val="TableParagraph"/>
              <w:spacing w:before="107"/>
              <w:ind w:right="70"/>
              <w:jc w:val="right"/>
              <w:rPr>
                <w:sz w:val="14"/>
              </w:rPr>
            </w:pPr>
            <w:r>
              <w:rPr>
                <w:sz w:val="14"/>
              </w:rPr>
              <w:t>0.00</w:t>
            </w:r>
          </w:p>
        </w:tc>
        <w:tc>
          <w:tcPr>
            <w:tcW w:w="1540" w:type="dxa"/>
          </w:tcPr>
          <w:p>
            <w:pPr>
              <w:pStyle w:val="TableParagraph"/>
              <w:spacing w:before="107"/>
              <w:ind w:right="21"/>
              <w:jc w:val="right"/>
              <w:rPr>
                <w:sz w:val="14"/>
              </w:rPr>
            </w:pPr>
            <w:r>
              <w:rPr>
                <w:sz w:val="14"/>
              </w:rPr>
              <w:t>0.0%</w:t>
            </w:r>
          </w:p>
        </w:tc>
      </w:tr>
      <w:tr>
        <w:trPr>
          <w:trHeight w:val="270" w:hRule="atLeast"/>
        </w:trPr>
        <w:tc>
          <w:tcPr>
            <w:tcW w:w="4197" w:type="dxa"/>
          </w:tcPr>
          <w:p>
            <w:pPr>
              <w:pStyle w:val="TableParagraph"/>
              <w:spacing w:line="145" w:lineRule="exact" w:before="105"/>
              <w:ind w:left="131"/>
              <w:rPr>
                <w:sz w:val="14"/>
              </w:rPr>
            </w:pPr>
            <w:r>
              <w:rPr>
                <w:w w:val="105"/>
                <w:sz w:val="14"/>
              </w:rPr>
              <w:t>(d) TOTAL, USES</w:t>
            </w:r>
          </w:p>
        </w:tc>
        <w:tc>
          <w:tcPr>
            <w:tcW w:w="2001" w:type="dxa"/>
          </w:tcPr>
          <w:p>
            <w:pPr>
              <w:pStyle w:val="TableParagraph"/>
              <w:rPr>
                <w:rFonts w:ascii="Times New Roman"/>
                <w:sz w:val="14"/>
              </w:rPr>
            </w:pPr>
          </w:p>
        </w:tc>
        <w:tc>
          <w:tcPr>
            <w:tcW w:w="2054" w:type="dxa"/>
          </w:tcPr>
          <w:p>
            <w:pPr>
              <w:pStyle w:val="TableParagraph"/>
              <w:spacing w:line="145" w:lineRule="exact" w:before="105"/>
              <w:ind w:right="613"/>
              <w:jc w:val="right"/>
              <w:rPr>
                <w:sz w:val="14"/>
              </w:rPr>
            </w:pPr>
            <w:r>
              <w:rPr>
                <w:sz w:val="14"/>
              </w:rPr>
              <w:t>0.00</w:t>
            </w:r>
          </w:p>
        </w:tc>
        <w:tc>
          <w:tcPr>
            <w:tcW w:w="969" w:type="dxa"/>
          </w:tcPr>
          <w:p>
            <w:pPr>
              <w:pStyle w:val="TableParagraph"/>
              <w:spacing w:line="145" w:lineRule="exact" w:before="105"/>
              <w:ind w:right="70"/>
              <w:jc w:val="right"/>
              <w:rPr>
                <w:sz w:val="14"/>
              </w:rPr>
            </w:pPr>
            <w:r>
              <w:rPr>
                <w:sz w:val="14"/>
              </w:rPr>
              <w:t>0.00</w:t>
            </w:r>
          </w:p>
        </w:tc>
        <w:tc>
          <w:tcPr>
            <w:tcW w:w="1540" w:type="dxa"/>
          </w:tcPr>
          <w:p>
            <w:pPr>
              <w:pStyle w:val="TableParagraph"/>
              <w:spacing w:line="145" w:lineRule="exact" w:before="105"/>
              <w:ind w:right="21"/>
              <w:jc w:val="right"/>
              <w:rPr>
                <w:sz w:val="14"/>
              </w:rPr>
            </w:pPr>
            <w:r>
              <w:rPr>
                <w:sz w:val="14"/>
              </w:rPr>
              <w:t>0.0%</w:t>
            </w:r>
          </w:p>
        </w:tc>
      </w:tr>
      <w:tr>
        <w:trPr>
          <w:trHeight w:val="376" w:hRule="atLeast"/>
        </w:trPr>
        <w:tc>
          <w:tcPr>
            <w:tcW w:w="4197" w:type="dxa"/>
          </w:tcPr>
          <w:p>
            <w:pPr>
              <w:pStyle w:val="TableParagraph"/>
              <w:spacing w:before="2"/>
              <w:rPr>
                <w:sz w:val="18"/>
              </w:rPr>
            </w:pPr>
          </w:p>
          <w:p>
            <w:pPr>
              <w:pStyle w:val="TableParagraph"/>
              <w:spacing w:line="147" w:lineRule="exact"/>
              <w:ind w:left="50"/>
              <w:rPr>
                <w:b/>
                <w:sz w:val="14"/>
              </w:rPr>
            </w:pPr>
            <w:r>
              <w:rPr>
                <w:b/>
                <w:w w:val="105"/>
                <w:sz w:val="14"/>
              </w:rPr>
              <w:t>CONTRIBUTIONS</w:t>
            </w:r>
          </w:p>
        </w:tc>
        <w:tc>
          <w:tcPr>
            <w:tcW w:w="2001" w:type="dxa"/>
          </w:tcPr>
          <w:p>
            <w:pPr>
              <w:pStyle w:val="TableParagraph"/>
              <w:rPr>
                <w:rFonts w:ascii="Times New Roman"/>
                <w:sz w:val="14"/>
              </w:rPr>
            </w:pPr>
          </w:p>
        </w:tc>
        <w:tc>
          <w:tcPr>
            <w:tcW w:w="2054" w:type="dxa"/>
          </w:tcPr>
          <w:p>
            <w:pPr>
              <w:pStyle w:val="TableParagraph"/>
              <w:rPr>
                <w:rFonts w:ascii="Times New Roman"/>
                <w:sz w:val="14"/>
              </w:rPr>
            </w:pPr>
          </w:p>
        </w:tc>
        <w:tc>
          <w:tcPr>
            <w:tcW w:w="969" w:type="dxa"/>
          </w:tcPr>
          <w:p>
            <w:pPr>
              <w:pStyle w:val="TableParagraph"/>
              <w:rPr>
                <w:rFonts w:ascii="Times New Roman"/>
                <w:sz w:val="14"/>
              </w:rPr>
            </w:pPr>
          </w:p>
        </w:tc>
        <w:tc>
          <w:tcPr>
            <w:tcW w:w="1540" w:type="dxa"/>
            <w:shd w:val="clear" w:color="auto" w:fill="DFDFDF"/>
          </w:tcPr>
          <w:p>
            <w:pPr>
              <w:pStyle w:val="TableParagraph"/>
              <w:rPr>
                <w:rFonts w:ascii="Times New Roman"/>
                <w:sz w:val="14"/>
              </w:rPr>
            </w:pPr>
          </w:p>
        </w:tc>
      </w:tr>
      <w:tr>
        <w:trPr>
          <w:trHeight w:val="573" w:hRule="atLeast"/>
        </w:trPr>
        <w:tc>
          <w:tcPr>
            <w:tcW w:w="4197" w:type="dxa"/>
          </w:tcPr>
          <w:p>
            <w:pPr>
              <w:pStyle w:val="TableParagraph"/>
              <w:rPr>
                <w:sz w:val="16"/>
              </w:rPr>
            </w:pPr>
          </w:p>
          <w:p>
            <w:pPr>
              <w:pStyle w:val="TableParagraph"/>
              <w:spacing w:before="6"/>
              <w:rPr>
                <w:sz w:val="19"/>
              </w:rPr>
            </w:pPr>
          </w:p>
          <w:p>
            <w:pPr>
              <w:pStyle w:val="TableParagraph"/>
              <w:spacing w:line="145" w:lineRule="exact"/>
              <w:ind w:left="171"/>
              <w:rPr>
                <w:sz w:val="14"/>
              </w:rPr>
            </w:pPr>
            <w:r>
              <w:rPr>
                <w:w w:val="105"/>
                <w:sz w:val="14"/>
              </w:rPr>
              <w:t>Contributions from Unrestricted Revenues</w:t>
            </w:r>
          </w:p>
        </w:tc>
        <w:tc>
          <w:tcPr>
            <w:tcW w:w="2001" w:type="dxa"/>
          </w:tcPr>
          <w:p>
            <w:pPr>
              <w:pStyle w:val="TableParagraph"/>
              <w:rPr>
                <w:sz w:val="16"/>
              </w:rPr>
            </w:pPr>
          </w:p>
          <w:p>
            <w:pPr>
              <w:pStyle w:val="TableParagraph"/>
              <w:spacing w:before="6"/>
              <w:rPr>
                <w:sz w:val="19"/>
              </w:rPr>
            </w:pPr>
          </w:p>
          <w:p>
            <w:pPr>
              <w:pStyle w:val="TableParagraph"/>
              <w:spacing w:line="145" w:lineRule="exact"/>
              <w:ind w:right="323"/>
              <w:jc w:val="right"/>
              <w:rPr>
                <w:sz w:val="14"/>
              </w:rPr>
            </w:pPr>
            <w:r>
              <w:rPr>
                <w:sz w:val="14"/>
              </w:rPr>
              <w:t>8980</w:t>
            </w:r>
          </w:p>
        </w:tc>
        <w:tc>
          <w:tcPr>
            <w:tcW w:w="2054" w:type="dxa"/>
            <w:shd w:val="clear" w:color="auto" w:fill="DFDFDF"/>
          </w:tcPr>
          <w:p>
            <w:pPr>
              <w:pStyle w:val="TableParagraph"/>
              <w:rPr>
                <w:sz w:val="16"/>
              </w:rPr>
            </w:pPr>
          </w:p>
          <w:p>
            <w:pPr>
              <w:pStyle w:val="TableParagraph"/>
              <w:spacing w:before="6"/>
              <w:rPr>
                <w:sz w:val="19"/>
              </w:rPr>
            </w:pPr>
          </w:p>
          <w:p>
            <w:pPr>
              <w:pStyle w:val="TableParagraph"/>
              <w:spacing w:line="145" w:lineRule="exact"/>
              <w:ind w:right="613"/>
              <w:jc w:val="right"/>
              <w:rPr>
                <w:sz w:val="14"/>
              </w:rPr>
            </w:pPr>
            <w:r>
              <w:rPr>
                <w:sz w:val="14"/>
              </w:rPr>
              <w:t>0.00</w:t>
            </w:r>
          </w:p>
        </w:tc>
        <w:tc>
          <w:tcPr>
            <w:tcW w:w="969" w:type="dxa"/>
            <w:shd w:val="clear" w:color="auto" w:fill="DFDFDF"/>
          </w:tcPr>
          <w:p>
            <w:pPr>
              <w:pStyle w:val="TableParagraph"/>
              <w:rPr>
                <w:sz w:val="16"/>
              </w:rPr>
            </w:pPr>
          </w:p>
          <w:p>
            <w:pPr>
              <w:pStyle w:val="TableParagraph"/>
              <w:spacing w:before="6"/>
              <w:rPr>
                <w:sz w:val="19"/>
              </w:rPr>
            </w:pPr>
          </w:p>
          <w:p>
            <w:pPr>
              <w:pStyle w:val="TableParagraph"/>
              <w:spacing w:line="145" w:lineRule="exact"/>
              <w:ind w:right="70"/>
              <w:jc w:val="right"/>
              <w:rPr>
                <w:sz w:val="14"/>
              </w:rPr>
            </w:pPr>
            <w:r>
              <w:rPr>
                <w:sz w:val="14"/>
              </w:rPr>
              <w:t>0.00</w:t>
            </w:r>
          </w:p>
        </w:tc>
        <w:tc>
          <w:tcPr>
            <w:tcW w:w="1540" w:type="dxa"/>
            <w:shd w:val="clear" w:color="auto" w:fill="DFDFDF"/>
          </w:tcPr>
          <w:p>
            <w:pPr>
              <w:pStyle w:val="TableParagraph"/>
              <w:rPr>
                <w:sz w:val="16"/>
              </w:rPr>
            </w:pPr>
          </w:p>
          <w:p>
            <w:pPr>
              <w:pStyle w:val="TableParagraph"/>
              <w:spacing w:before="6"/>
              <w:rPr>
                <w:sz w:val="19"/>
              </w:rPr>
            </w:pPr>
          </w:p>
          <w:p>
            <w:pPr>
              <w:pStyle w:val="TableParagraph"/>
              <w:spacing w:line="145" w:lineRule="exact"/>
              <w:ind w:right="21"/>
              <w:jc w:val="right"/>
              <w:rPr>
                <w:sz w:val="14"/>
              </w:rPr>
            </w:pPr>
            <w:r>
              <w:rPr>
                <w:sz w:val="14"/>
              </w:rPr>
              <w:t>0.0%</w:t>
            </w:r>
          </w:p>
        </w:tc>
      </w:tr>
      <w:tr>
        <w:trPr>
          <w:trHeight w:val="374" w:hRule="atLeast"/>
        </w:trPr>
        <w:tc>
          <w:tcPr>
            <w:tcW w:w="4197" w:type="dxa"/>
          </w:tcPr>
          <w:p>
            <w:pPr>
              <w:pStyle w:val="TableParagraph"/>
              <w:spacing w:before="2"/>
              <w:rPr>
                <w:sz w:val="18"/>
              </w:rPr>
            </w:pPr>
          </w:p>
          <w:p>
            <w:pPr>
              <w:pStyle w:val="TableParagraph"/>
              <w:spacing w:line="145" w:lineRule="exact"/>
              <w:ind w:left="171"/>
              <w:rPr>
                <w:sz w:val="14"/>
              </w:rPr>
            </w:pPr>
            <w:r>
              <w:rPr>
                <w:w w:val="105"/>
                <w:sz w:val="14"/>
              </w:rPr>
              <w:t>Contributions from Restricted Revenues</w:t>
            </w:r>
          </w:p>
        </w:tc>
        <w:tc>
          <w:tcPr>
            <w:tcW w:w="2001" w:type="dxa"/>
          </w:tcPr>
          <w:p>
            <w:pPr>
              <w:pStyle w:val="TableParagraph"/>
              <w:spacing w:before="2"/>
              <w:rPr>
                <w:sz w:val="18"/>
              </w:rPr>
            </w:pPr>
          </w:p>
          <w:p>
            <w:pPr>
              <w:pStyle w:val="TableParagraph"/>
              <w:spacing w:line="145" w:lineRule="exact"/>
              <w:ind w:right="323"/>
              <w:jc w:val="right"/>
              <w:rPr>
                <w:sz w:val="14"/>
              </w:rPr>
            </w:pPr>
            <w:r>
              <w:rPr>
                <w:sz w:val="14"/>
              </w:rPr>
              <w:t>8990</w:t>
            </w:r>
          </w:p>
        </w:tc>
        <w:tc>
          <w:tcPr>
            <w:tcW w:w="2054" w:type="dxa"/>
            <w:shd w:val="clear" w:color="auto" w:fill="DFDFDF"/>
          </w:tcPr>
          <w:p>
            <w:pPr>
              <w:pStyle w:val="TableParagraph"/>
              <w:spacing w:before="2"/>
              <w:rPr>
                <w:sz w:val="18"/>
              </w:rPr>
            </w:pPr>
          </w:p>
          <w:p>
            <w:pPr>
              <w:pStyle w:val="TableParagraph"/>
              <w:spacing w:line="145" w:lineRule="exact"/>
              <w:ind w:right="613"/>
              <w:jc w:val="right"/>
              <w:rPr>
                <w:sz w:val="14"/>
              </w:rPr>
            </w:pPr>
            <w:r>
              <w:rPr>
                <w:sz w:val="14"/>
              </w:rPr>
              <w:t>0.00</w:t>
            </w:r>
          </w:p>
        </w:tc>
        <w:tc>
          <w:tcPr>
            <w:tcW w:w="969" w:type="dxa"/>
            <w:shd w:val="clear" w:color="auto" w:fill="DFDFDF"/>
          </w:tcPr>
          <w:p>
            <w:pPr>
              <w:pStyle w:val="TableParagraph"/>
              <w:spacing w:before="2"/>
              <w:rPr>
                <w:sz w:val="18"/>
              </w:rPr>
            </w:pPr>
          </w:p>
          <w:p>
            <w:pPr>
              <w:pStyle w:val="TableParagraph"/>
              <w:spacing w:line="145" w:lineRule="exact"/>
              <w:ind w:right="70"/>
              <w:jc w:val="right"/>
              <w:rPr>
                <w:sz w:val="14"/>
              </w:rPr>
            </w:pPr>
            <w:r>
              <w:rPr>
                <w:sz w:val="14"/>
              </w:rPr>
              <w:t>0.00</w:t>
            </w:r>
          </w:p>
        </w:tc>
        <w:tc>
          <w:tcPr>
            <w:tcW w:w="1540" w:type="dxa"/>
          </w:tcPr>
          <w:p>
            <w:pPr>
              <w:pStyle w:val="TableParagraph"/>
              <w:spacing w:before="2"/>
              <w:rPr>
                <w:sz w:val="18"/>
              </w:rPr>
            </w:pPr>
          </w:p>
          <w:p>
            <w:pPr>
              <w:pStyle w:val="TableParagraph"/>
              <w:spacing w:line="145" w:lineRule="exact"/>
              <w:ind w:right="21"/>
              <w:jc w:val="right"/>
              <w:rPr>
                <w:sz w:val="14"/>
              </w:rPr>
            </w:pPr>
            <w:r>
              <w:rPr>
                <w:sz w:val="14"/>
              </w:rPr>
              <w:t>0.0%</w:t>
            </w:r>
          </w:p>
        </w:tc>
      </w:tr>
      <w:tr>
        <w:trPr>
          <w:trHeight w:val="373" w:hRule="atLeast"/>
        </w:trPr>
        <w:tc>
          <w:tcPr>
            <w:tcW w:w="4197" w:type="dxa"/>
          </w:tcPr>
          <w:p>
            <w:pPr>
              <w:pStyle w:val="TableParagraph"/>
              <w:spacing w:before="4"/>
              <w:rPr>
                <w:sz w:val="18"/>
              </w:rPr>
            </w:pPr>
          </w:p>
          <w:p>
            <w:pPr>
              <w:pStyle w:val="TableParagraph"/>
              <w:spacing w:line="142" w:lineRule="exact" w:before="1"/>
              <w:ind w:left="131"/>
              <w:rPr>
                <w:sz w:val="14"/>
              </w:rPr>
            </w:pPr>
            <w:r>
              <w:rPr>
                <w:w w:val="105"/>
                <w:sz w:val="14"/>
              </w:rPr>
              <w:t>(e) TOTAL, CONTRIBUTIONS</w:t>
            </w:r>
          </w:p>
        </w:tc>
        <w:tc>
          <w:tcPr>
            <w:tcW w:w="2001" w:type="dxa"/>
          </w:tcPr>
          <w:p>
            <w:pPr>
              <w:pStyle w:val="TableParagraph"/>
              <w:rPr>
                <w:rFonts w:ascii="Times New Roman"/>
                <w:sz w:val="14"/>
              </w:rPr>
            </w:pPr>
          </w:p>
        </w:tc>
        <w:tc>
          <w:tcPr>
            <w:tcW w:w="2054" w:type="dxa"/>
          </w:tcPr>
          <w:p>
            <w:pPr>
              <w:pStyle w:val="TableParagraph"/>
              <w:spacing w:before="4"/>
              <w:rPr>
                <w:sz w:val="18"/>
              </w:rPr>
            </w:pPr>
          </w:p>
          <w:p>
            <w:pPr>
              <w:pStyle w:val="TableParagraph"/>
              <w:spacing w:line="142" w:lineRule="exact" w:before="1"/>
              <w:ind w:right="613"/>
              <w:jc w:val="right"/>
              <w:rPr>
                <w:sz w:val="14"/>
              </w:rPr>
            </w:pPr>
            <w:r>
              <w:rPr>
                <w:sz w:val="14"/>
              </w:rPr>
              <w:t>0.00</w:t>
            </w:r>
          </w:p>
        </w:tc>
        <w:tc>
          <w:tcPr>
            <w:tcW w:w="969" w:type="dxa"/>
          </w:tcPr>
          <w:p>
            <w:pPr>
              <w:pStyle w:val="TableParagraph"/>
              <w:spacing w:before="4"/>
              <w:rPr>
                <w:sz w:val="18"/>
              </w:rPr>
            </w:pPr>
          </w:p>
          <w:p>
            <w:pPr>
              <w:pStyle w:val="TableParagraph"/>
              <w:spacing w:line="142" w:lineRule="exact" w:before="1"/>
              <w:ind w:right="70"/>
              <w:jc w:val="right"/>
              <w:rPr>
                <w:sz w:val="14"/>
              </w:rPr>
            </w:pPr>
            <w:r>
              <w:rPr>
                <w:sz w:val="14"/>
              </w:rPr>
              <w:t>0.00</w:t>
            </w:r>
          </w:p>
        </w:tc>
        <w:tc>
          <w:tcPr>
            <w:tcW w:w="1540" w:type="dxa"/>
          </w:tcPr>
          <w:p>
            <w:pPr>
              <w:pStyle w:val="TableParagraph"/>
              <w:spacing w:before="4"/>
              <w:rPr>
                <w:sz w:val="18"/>
              </w:rPr>
            </w:pPr>
          </w:p>
          <w:p>
            <w:pPr>
              <w:pStyle w:val="TableParagraph"/>
              <w:spacing w:line="142" w:lineRule="exact" w:before="1"/>
              <w:ind w:right="21"/>
              <w:jc w:val="right"/>
              <w:rPr>
                <w:sz w:val="14"/>
              </w:rPr>
            </w:pPr>
            <w:r>
              <w:rPr>
                <w:sz w:val="14"/>
              </w:rPr>
              <w:t>0.0%</w:t>
            </w:r>
          </w:p>
        </w:tc>
      </w:tr>
    </w:tbl>
    <w:p>
      <w:pPr>
        <w:spacing w:after="0" w:line="142" w:lineRule="exact"/>
        <w:jc w:val="right"/>
        <w:rPr>
          <w:sz w:val="14"/>
        </w:rPr>
        <w:sectPr>
          <w:type w:val="continuous"/>
          <w:pgSz w:w="12240" w:h="15840"/>
          <w:pgMar w:top="1500" w:bottom="840" w:left="160" w:right="180"/>
        </w:sectPr>
      </w:pPr>
    </w:p>
    <w:p>
      <w:pPr>
        <w:spacing w:before="0"/>
        <w:ind w:left="322" w:right="-8" w:firstLine="0"/>
        <w:jc w:val="left"/>
        <w:rPr>
          <w:sz w:val="18"/>
        </w:rPr>
      </w:pPr>
      <w:r>
        <w:rPr/>
        <w:pict>
          <v:group style="position:absolute;margin-left:27.120001pt;margin-top:37.241901pt;width:554.3pt;height:88.8pt;mso-position-horizontal-relative:page;mso-position-vertical-relative:paragraph;z-index:-314368000" coordorigin="542,745" coordsize="11086,1776">
            <v:shape style="position:absolute;left:542;top:744;width:3766;height:814" type="#_x0000_t75" stroked="false">
              <v:imagedata r:id="rId522" o:title=""/>
            </v:shape>
            <v:shape style="position:absolute;left:4300;top:744;width:7328;height:1776" type="#_x0000_t75" stroked="false">
              <v:imagedata r:id="rId753" o:title=""/>
            </v:shape>
            <w10:wrap type="none"/>
          </v:group>
        </w:pict>
      </w:r>
      <w:r>
        <w:rPr/>
        <w:pict>
          <v:group style="position:absolute;margin-left:27.120001pt;margin-top:77.201897pt;width:554.3pt;height:545.050pt;mso-position-horizontal-relative:page;mso-position-vertical-relative:paragraph;z-index:-314366976" coordorigin="542,1544" coordsize="11086,10901">
            <v:line style="position:absolute" from="1379,1549" to="1379,1928" stroked="true" strokeweight=".360003pt" strokecolor="#ffffff">
              <v:stroke dashstyle="solid"/>
            </v:line>
            <v:shape style="position:absolute;left:542;top:1544;width:3766;height:2909" type="#_x0000_t75" stroked="false">
              <v:imagedata r:id="rId524" o:title=""/>
            </v:shape>
            <v:shape style="position:absolute;left:6926;top:2132;width:1570;height:780" type="#_x0000_t75" stroked="false">
              <v:imagedata r:id="rId535" o:title=""/>
            </v:shape>
            <v:shape style="position:absolute;left:8488;top:2132;width:1570;height:780" type="#_x0000_t75" stroked="false">
              <v:imagedata r:id="rId754" o:title=""/>
            </v:shape>
            <v:shape style="position:absolute;left:6926;top:2132;width:4702;height:1167" type="#_x0000_t75" stroked="false">
              <v:imagedata r:id="rId755" o:title=""/>
            </v:shape>
            <v:shape style="position:absolute;left:6926;top:2904;width:4702;height:780" type="#_x0000_t75" stroked="false">
              <v:imagedata r:id="rId673" o:title=""/>
            </v:shape>
            <v:shape style="position:absolute;left:8488;top:3291;width:3140;height:1162" type="#_x0000_t75" stroked="false">
              <v:imagedata r:id="rId756" o:title=""/>
            </v:shape>
            <v:shape style="position:absolute;left:6926;top:3677;width:1570;height:776" type="#_x0000_t75" stroked="false">
              <v:imagedata r:id="rId532" o:title=""/>
            </v:shape>
            <v:shape style="position:absolute;left:4300;top:3677;width:2633;height:401" type="#_x0000_t75" stroked="false">
              <v:imagedata r:id="rId533" o:title=""/>
            </v:shape>
            <v:shape style="position:absolute;left:8488;top:4056;width:3140;height:1371" type="#_x0000_t75" stroked="false">
              <v:imagedata r:id="rId526" o:title=""/>
            </v:shape>
            <v:shape style="position:absolute;left:6926;top:4450;width:1570;height:977" type="#_x0000_t75" stroked="false">
              <v:imagedata r:id="rId527" o:title=""/>
            </v:shape>
            <v:shape style="position:absolute;left:8488;top:5038;width:3140;height:776" type="#_x0000_t75" stroked="false">
              <v:imagedata r:id="rId757" o:title=""/>
            </v:shape>
            <v:shape style="position:absolute;left:6926;top:5424;width:1570;height:392" type="#_x0000_t75" stroked="false">
              <v:imagedata r:id="rId758" o:title=""/>
            </v:shape>
            <v:shape style="position:absolute;left:8488;top:5424;width:3140;height:776" type="#_x0000_t75" stroked="false">
              <v:imagedata r:id="rId757" o:title=""/>
            </v:shape>
            <v:shape style="position:absolute;left:6926;top:5811;width:1570;height:392" type="#_x0000_t75" stroked="false">
              <v:imagedata r:id="rId759" o:title=""/>
            </v:shape>
            <v:shape style="position:absolute;left:8488;top:5811;width:3140;height:776" type="#_x0000_t75" stroked="false">
              <v:imagedata r:id="rId757" o:title=""/>
            </v:shape>
            <v:shape style="position:absolute;left:6926;top:6197;width:1570;height:392" type="#_x0000_t75" stroked="false">
              <v:imagedata r:id="rId758" o:title=""/>
            </v:shape>
            <v:shape style="position:absolute;left:8488;top:6197;width:3140;height:776" type="#_x0000_t75" stroked="false">
              <v:imagedata r:id="rId757" o:title=""/>
            </v:shape>
            <v:shape style="position:absolute;left:6926;top:6584;width:1570;height:392" type="#_x0000_t75" stroked="false">
              <v:imagedata r:id="rId758" o:title=""/>
            </v:shape>
            <v:shape style="position:absolute;left:8488;top:6584;width:3140;height:780" type="#_x0000_t75" stroked="false">
              <v:imagedata r:id="rId528" o:title=""/>
            </v:shape>
            <v:shape style="position:absolute;left:6926;top:6970;width:1570;height:394" type="#_x0000_t75" stroked="false">
              <v:imagedata r:id="rId539" o:title=""/>
            </v:shape>
            <v:shape style="position:absolute;left:542;top:4450;width:3766;height:4080" type="#_x0000_t75" stroked="false">
              <v:imagedata r:id="rId537" o:title=""/>
            </v:shape>
            <v:shape style="position:absolute;left:6926;top:6970;width:4702;height:1167" type="#_x0000_t75" stroked="false">
              <v:imagedata r:id="rId678" o:title=""/>
            </v:shape>
            <v:shape style="position:absolute;left:4300;top:7743;width:7328;height:788" type="#_x0000_t75" stroked="false">
              <v:imagedata r:id="rId680" o:title=""/>
            </v:shape>
            <v:line style="position:absolute" from="1379,8521" to="1379,8900" stroked="true" strokeweight=".360003pt" strokecolor="#ffffff">
              <v:stroke dashstyle="solid"/>
            </v:line>
            <v:shape style="position:absolute;left:4300;top:8129;width:7328;height:1191" type="#_x0000_t75" stroked="false">
              <v:imagedata r:id="rId681" o:title=""/>
            </v:shape>
            <v:shape style="position:absolute;left:542;top:8516;width:3766;height:804" type="#_x0000_t75" stroked="false">
              <v:imagedata r:id="rId541" o:title=""/>
            </v:shape>
            <v:line style="position:absolute" from="1379,9310" to="1379,9690" stroked="true" strokeweight=".360003pt" strokecolor="#ffffff">
              <v:stroke dashstyle="solid"/>
            </v:line>
            <v:shape style="position:absolute;left:6926;top:9104;width:4702;height:1200" type="#_x0000_t75" stroked="false">
              <v:imagedata r:id="rId682" o:title=""/>
            </v:shape>
            <v:shape style="position:absolute;left:6926;top:10095;width:4702;height:596" type="#_x0000_t75" stroked="false">
              <v:imagedata r:id="rId683" o:title=""/>
            </v:shape>
            <v:shape style="position:absolute;left:6926;top:10296;width:4702;height:982" type="#_x0000_t75" stroked="false">
              <v:imagedata r:id="rId684" o:title=""/>
            </v:shape>
            <v:shape style="position:absolute;left:6926;top:11069;width:4702;height:596" type="#_x0000_t75" stroked="false">
              <v:imagedata r:id="rId683" o:title=""/>
            </v:shape>
            <v:shape style="position:absolute;left:542;top:9305;width:3766;height:3140" type="#_x0000_t75" stroked="false">
              <v:imagedata r:id="rId546" o:title=""/>
            </v:shape>
            <v:shape style="position:absolute;left:8488;top:11271;width:3140;height:394" type="#_x0000_t75" stroked="false">
              <v:imagedata r:id="rId685" o:title=""/>
            </v:shape>
            <v:shape style="position:absolute;left:6926;top:11657;width:1570;height:394" type="#_x0000_t75" stroked="false">
              <v:imagedata r:id="rId529" o:title=""/>
            </v:shape>
            <v:shape style="position:absolute;left:8488;top:11657;width:1570;height:394" type="#_x0000_t75" stroked="false">
              <v:imagedata r:id="rId529" o:title=""/>
            </v:shape>
            <v:rect style="position:absolute;left:10056;top:11662;width:1563;height:387" filled="true" fillcolor="#dfdfdf" stroked="false">
              <v:fill type="solid"/>
            </v:rect>
            <v:shape style="position:absolute;left:4300;top:11657;width:7328;height:788" type="#_x0000_t75" stroked="false">
              <v:imagedata r:id="rId686" o:title=""/>
            </v:shape>
            <v:shape style="position:absolute;left:10051;top:12044;width:1577;height:401" type="#_x0000_t75" stroked="false">
              <v:imagedata r:id="rId549" o:title=""/>
            </v:shape>
            <w10:wrap type="none"/>
          </v:group>
        </w:pict>
      </w:r>
      <w:r>
        <w:rPr>
          <w:w w:val="105"/>
          <w:sz w:val="18"/>
        </w:rPr>
        <w:t>Winship-Robbins Elementary Sutter County</w:t>
      </w:r>
    </w:p>
    <w:p>
      <w:pPr>
        <w:spacing w:before="0"/>
        <w:ind w:left="432" w:right="-13" w:hanging="111"/>
        <w:jc w:val="left"/>
        <w:rPr>
          <w:sz w:val="18"/>
        </w:rPr>
      </w:pPr>
      <w:r>
        <w:rPr/>
        <w:br w:type="column"/>
      </w:r>
      <w:r>
        <w:rPr>
          <w:w w:val="105"/>
          <w:sz w:val="18"/>
        </w:rPr>
        <w:t>Deferred Maintenance Fund Expenditures by Function</w:t>
      </w:r>
    </w:p>
    <w:p>
      <w:pPr>
        <w:spacing w:before="0"/>
        <w:ind w:left="0" w:right="300" w:firstLine="0"/>
        <w:jc w:val="right"/>
        <w:rPr>
          <w:sz w:val="18"/>
        </w:rPr>
      </w:pPr>
      <w:r>
        <w:rPr/>
        <w:br w:type="column"/>
      </w:r>
      <w:r>
        <w:rPr>
          <w:w w:val="105"/>
          <w:sz w:val="18"/>
        </w:rPr>
        <w:t>51 71456</w:t>
      </w:r>
      <w:r>
        <w:rPr>
          <w:spacing w:val="-33"/>
          <w:w w:val="105"/>
          <w:sz w:val="18"/>
        </w:rPr>
        <w:t> </w:t>
      </w:r>
      <w:r>
        <w:rPr>
          <w:w w:val="105"/>
          <w:sz w:val="18"/>
        </w:rPr>
        <w:t>0000000</w:t>
      </w:r>
    </w:p>
    <w:p>
      <w:pPr>
        <w:spacing w:before="2"/>
        <w:ind w:left="0" w:right="299" w:firstLine="0"/>
        <w:jc w:val="right"/>
        <w:rPr>
          <w:sz w:val="18"/>
        </w:rPr>
      </w:pPr>
      <w:r>
        <w:rPr>
          <w:w w:val="105"/>
          <w:sz w:val="18"/>
        </w:rPr>
        <w:t>Form</w:t>
      </w:r>
      <w:r>
        <w:rPr>
          <w:spacing w:val="43"/>
          <w:w w:val="105"/>
          <w:sz w:val="18"/>
        </w:rPr>
        <w:t> </w:t>
      </w:r>
      <w:r>
        <w:rPr>
          <w:w w:val="105"/>
          <w:sz w:val="18"/>
        </w:rPr>
        <w:t>14</w:t>
      </w:r>
    </w:p>
    <w:p>
      <w:pPr>
        <w:spacing w:after="0"/>
        <w:jc w:val="right"/>
        <w:rPr>
          <w:sz w:val="18"/>
        </w:rPr>
        <w:sectPr>
          <w:headerReference w:type="default" r:id="rId751"/>
          <w:footerReference w:type="default" r:id="rId752"/>
          <w:pgSz w:w="12240" w:h="15840"/>
          <w:pgMar w:header="673" w:footer="451" w:top="880" w:bottom="640" w:left="160" w:right="180"/>
          <w:cols w:num="3" w:equalWidth="0">
            <w:col w:w="2771" w:space="1705"/>
            <w:col w:w="2682" w:space="2567"/>
            <w:col w:w="2175"/>
          </w:cols>
        </w:sectPr>
      </w:pPr>
    </w:p>
    <w:p>
      <w:pPr>
        <w:pStyle w:val="BodyText"/>
        <w:rPr>
          <w:sz w:val="20"/>
        </w:rPr>
      </w:pPr>
    </w:p>
    <w:p>
      <w:pPr>
        <w:pStyle w:val="BodyText"/>
        <w:rPr>
          <w:sz w:val="20"/>
        </w:rPr>
      </w:pPr>
    </w:p>
    <w:p>
      <w:pPr>
        <w:pStyle w:val="BodyText"/>
        <w:spacing w:before="1"/>
        <w:rPr>
          <w:sz w:val="29"/>
        </w:rPr>
      </w:pPr>
    </w:p>
    <w:tbl>
      <w:tblPr>
        <w:tblW w:w="0" w:type="auto"/>
        <w:jc w:val="left"/>
        <w:tblInd w:w="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66"/>
        <w:gridCol w:w="1518"/>
        <w:gridCol w:w="1115"/>
        <w:gridCol w:w="1563"/>
        <w:gridCol w:w="1738"/>
        <w:gridCol w:w="997"/>
        <w:gridCol w:w="412"/>
      </w:tblGrid>
      <w:tr>
        <w:trPr>
          <w:trHeight w:val="445" w:hRule="atLeast"/>
        </w:trPr>
        <w:tc>
          <w:tcPr>
            <w:tcW w:w="3766" w:type="dxa"/>
          </w:tcPr>
          <w:p>
            <w:pPr>
              <w:pStyle w:val="TableParagraph"/>
              <w:spacing w:before="10"/>
              <w:rPr>
                <w:sz w:val="14"/>
              </w:rPr>
            </w:pPr>
          </w:p>
          <w:p>
            <w:pPr>
              <w:pStyle w:val="TableParagraph"/>
              <w:ind w:left="50"/>
              <w:rPr>
                <w:b/>
                <w:sz w:val="14"/>
              </w:rPr>
            </w:pPr>
            <w:r>
              <w:rPr>
                <w:b/>
                <w:w w:val="105"/>
                <w:sz w:val="14"/>
              </w:rPr>
              <w:t>Description</w:t>
            </w:r>
          </w:p>
        </w:tc>
        <w:tc>
          <w:tcPr>
            <w:tcW w:w="1518" w:type="dxa"/>
          </w:tcPr>
          <w:p>
            <w:pPr>
              <w:pStyle w:val="TableParagraph"/>
              <w:spacing w:before="10"/>
              <w:rPr>
                <w:sz w:val="14"/>
              </w:rPr>
            </w:pPr>
          </w:p>
          <w:p>
            <w:pPr>
              <w:pStyle w:val="TableParagraph"/>
              <w:ind w:left="244" w:right="122"/>
              <w:jc w:val="center"/>
              <w:rPr>
                <w:b/>
                <w:sz w:val="14"/>
              </w:rPr>
            </w:pPr>
            <w:r>
              <w:rPr>
                <w:b/>
                <w:w w:val="105"/>
                <w:sz w:val="14"/>
              </w:rPr>
              <w:t>Function Codes</w:t>
            </w:r>
          </w:p>
        </w:tc>
        <w:tc>
          <w:tcPr>
            <w:tcW w:w="1115" w:type="dxa"/>
          </w:tcPr>
          <w:p>
            <w:pPr>
              <w:pStyle w:val="TableParagraph"/>
              <w:spacing w:before="10"/>
              <w:rPr>
                <w:sz w:val="14"/>
              </w:rPr>
            </w:pPr>
          </w:p>
          <w:p>
            <w:pPr>
              <w:pStyle w:val="TableParagraph"/>
              <w:ind w:left="121" w:right="6"/>
              <w:jc w:val="center"/>
              <w:rPr>
                <w:b/>
                <w:sz w:val="14"/>
              </w:rPr>
            </w:pPr>
            <w:r>
              <w:rPr>
                <w:b/>
                <w:w w:val="105"/>
                <w:sz w:val="14"/>
              </w:rPr>
              <w:t>Object Codes</w:t>
            </w:r>
          </w:p>
        </w:tc>
        <w:tc>
          <w:tcPr>
            <w:tcW w:w="1563" w:type="dxa"/>
          </w:tcPr>
          <w:p>
            <w:pPr>
              <w:pStyle w:val="TableParagraph"/>
              <w:spacing w:before="1"/>
              <w:ind w:left="126" w:right="118"/>
              <w:jc w:val="center"/>
              <w:rPr>
                <w:b/>
                <w:sz w:val="14"/>
              </w:rPr>
            </w:pPr>
            <w:r>
              <w:rPr>
                <w:b/>
                <w:w w:val="105"/>
                <w:sz w:val="14"/>
              </w:rPr>
              <w:t>2020-21</w:t>
            </w:r>
          </w:p>
          <w:p>
            <w:pPr>
              <w:pStyle w:val="TableParagraph"/>
              <w:spacing w:before="9"/>
              <w:ind w:left="126" w:right="122"/>
              <w:jc w:val="center"/>
              <w:rPr>
                <w:b/>
                <w:sz w:val="14"/>
              </w:rPr>
            </w:pPr>
            <w:r>
              <w:rPr>
                <w:b/>
                <w:w w:val="105"/>
                <w:sz w:val="14"/>
              </w:rPr>
              <w:t>Estimated Actuals</w:t>
            </w:r>
          </w:p>
        </w:tc>
        <w:tc>
          <w:tcPr>
            <w:tcW w:w="1738" w:type="dxa"/>
          </w:tcPr>
          <w:p>
            <w:pPr>
              <w:pStyle w:val="TableParagraph"/>
              <w:spacing w:before="1"/>
              <w:ind w:left="516"/>
              <w:rPr>
                <w:b/>
                <w:sz w:val="14"/>
              </w:rPr>
            </w:pPr>
            <w:r>
              <w:rPr>
                <w:b/>
                <w:w w:val="105"/>
                <w:sz w:val="14"/>
              </w:rPr>
              <w:t>2021-22</w:t>
            </w:r>
          </w:p>
          <w:p>
            <w:pPr>
              <w:pStyle w:val="TableParagraph"/>
              <w:spacing w:before="9"/>
              <w:ind w:left="533"/>
              <w:rPr>
                <w:b/>
                <w:sz w:val="14"/>
              </w:rPr>
            </w:pPr>
            <w:r>
              <w:rPr>
                <w:b/>
                <w:w w:val="105"/>
                <w:sz w:val="14"/>
              </w:rPr>
              <w:t>Budget</w:t>
            </w:r>
          </w:p>
        </w:tc>
        <w:tc>
          <w:tcPr>
            <w:tcW w:w="997" w:type="dxa"/>
          </w:tcPr>
          <w:p>
            <w:pPr>
              <w:pStyle w:val="TableParagraph"/>
              <w:spacing w:line="254" w:lineRule="auto" w:before="1"/>
              <w:ind w:left="252" w:firstLine="88"/>
              <w:rPr>
                <w:b/>
                <w:sz w:val="14"/>
              </w:rPr>
            </w:pPr>
            <w:r>
              <w:rPr>
                <w:b/>
                <w:w w:val="105"/>
                <w:sz w:val="14"/>
              </w:rPr>
              <w:t>Percent </w:t>
            </w:r>
            <w:r>
              <w:rPr>
                <w:b/>
                <w:sz w:val="14"/>
              </w:rPr>
              <w:t>Difference</w:t>
            </w:r>
          </w:p>
        </w:tc>
        <w:tc>
          <w:tcPr>
            <w:tcW w:w="412" w:type="dxa"/>
            <w:vMerge w:val="restart"/>
          </w:tcPr>
          <w:p>
            <w:pPr>
              <w:pStyle w:val="TableParagraph"/>
              <w:rPr>
                <w:rFonts w:ascii="Times New Roman"/>
                <w:sz w:val="14"/>
              </w:rPr>
            </w:pPr>
          </w:p>
        </w:tc>
      </w:tr>
      <w:tr>
        <w:trPr>
          <w:trHeight w:val="488" w:hRule="atLeast"/>
        </w:trPr>
        <w:tc>
          <w:tcPr>
            <w:tcW w:w="3766" w:type="dxa"/>
          </w:tcPr>
          <w:p>
            <w:pPr>
              <w:pStyle w:val="TableParagraph"/>
              <w:spacing w:before="112"/>
              <w:ind w:left="50"/>
              <w:rPr>
                <w:b/>
                <w:sz w:val="14"/>
              </w:rPr>
            </w:pPr>
            <w:r>
              <w:rPr>
                <w:b/>
                <w:w w:val="105"/>
                <w:sz w:val="14"/>
              </w:rPr>
              <w:t>A. REVENUES</w:t>
            </w:r>
          </w:p>
        </w:tc>
        <w:tc>
          <w:tcPr>
            <w:tcW w:w="1518" w:type="dxa"/>
          </w:tcPr>
          <w:p>
            <w:pPr>
              <w:pStyle w:val="TableParagraph"/>
              <w:rPr>
                <w:rFonts w:ascii="Times New Roman"/>
                <w:sz w:val="14"/>
              </w:rPr>
            </w:pPr>
          </w:p>
        </w:tc>
        <w:tc>
          <w:tcPr>
            <w:tcW w:w="1115" w:type="dxa"/>
          </w:tcPr>
          <w:p>
            <w:pPr>
              <w:pStyle w:val="TableParagraph"/>
              <w:rPr>
                <w:rFonts w:ascii="Times New Roman"/>
                <w:sz w:val="14"/>
              </w:rPr>
            </w:pPr>
          </w:p>
        </w:tc>
        <w:tc>
          <w:tcPr>
            <w:tcW w:w="1563" w:type="dxa"/>
          </w:tcPr>
          <w:p>
            <w:pPr>
              <w:pStyle w:val="TableParagraph"/>
              <w:rPr>
                <w:rFonts w:ascii="Times New Roman"/>
                <w:sz w:val="14"/>
              </w:rPr>
            </w:pPr>
          </w:p>
        </w:tc>
        <w:tc>
          <w:tcPr>
            <w:tcW w:w="1738" w:type="dxa"/>
          </w:tcPr>
          <w:p>
            <w:pPr>
              <w:pStyle w:val="TableParagraph"/>
              <w:rPr>
                <w:rFonts w:ascii="Times New Roman"/>
                <w:sz w:val="14"/>
              </w:rPr>
            </w:pPr>
          </w:p>
        </w:tc>
        <w:tc>
          <w:tcPr>
            <w:tcW w:w="997" w:type="dxa"/>
          </w:tcPr>
          <w:p>
            <w:pPr>
              <w:pStyle w:val="TableParagraph"/>
              <w:rPr>
                <w:rFonts w:ascii="Times New Roman"/>
                <w:sz w:val="14"/>
              </w:rPr>
            </w:pPr>
          </w:p>
        </w:tc>
        <w:tc>
          <w:tcPr>
            <w:tcW w:w="412" w:type="dxa"/>
            <w:vMerge/>
            <w:tcBorders>
              <w:top w:val="nil"/>
            </w:tcBorders>
          </w:tcPr>
          <w:p>
            <w:pPr>
              <w:rPr>
                <w:sz w:val="2"/>
                <w:szCs w:val="2"/>
              </w:rPr>
            </w:pPr>
          </w:p>
        </w:tc>
      </w:tr>
      <w:tr>
        <w:trPr>
          <w:trHeight w:val="379" w:hRule="atLeast"/>
        </w:trPr>
        <w:tc>
          <w:tcPr>
            <w:tcW w:w="3766" w:type="dxa"/>
          </w:tcPr>
          <w:p>
            <w:pPr>
              <w:pStyle w:val="TableParagraph"/>
              <w:spacing w:before="7"/>
              <w:rPr>
                <w:sz w:val="18"/>
              </w:rPr>
            </w:pPr>
          </w:p>
          <w:p>
            <w:pPr>
              <w:pStyle w:val="TableParagraph"/>
              <w:spacing w:line="145" w:lineRule="exact"/>
              <w:ind w:left="212"/>
              <w:rPr>
                <w:sz w:val="14"/>
              </w:rPr>
            </w:pPr>
            <w:r>
              <w:rPr>
                <w:w w:val="105"/>
                <w:sz w:val="14"/>
              </w:rPr>
              <w:t>1) LCFF Sources</w:t>
            </w:r>
          </w:p>
        </w:tc>
        <w:tc>
          <w:tcPr>
            <w:tcW w:w="1518" w:type="dxa"/>
          </w:tcPr>
          <w:p>
            <w:pPr>
              <w:pStyle w:val="TableParagraph"/>
              <w:rPr>
                <w:rFonts w:ascii="Times New Roman"/>
                <w:sz w:val="14"/>
              </w:rPr>
            </w:pPr>
          </w:p>
        </w:tc>
        <w:tc>
          <w:tcPr>
            <w:tcW w:w="1115" w:type="dxa"/>
          </w:tcPr>
          <w:p>
            <w:pPr>
              <w:pStyle w:val="TableParagraph"/>
              <w:spacing w:before="7"/>
              <w:rPr>
                <w:sz w:val="18"/>
              </w:rPr>
            </w:pPr>
          </w:p>
          <w:p>
            <w:pPr>
              <w:pStyle w:val="TableParagraph"/>
              <w:spacing w:line="145" w:lineRule="exact"/>
              <w:ind w:left="118" w:right="6"/>
              <w:jc w:val="center"/>
              <w:rPr>
                <w:sz w:val="14"/>
              </w:rPr>
            </w:pPr>
            <w:r>
              <w:rPr>
                <w:w w:val="105"/>
                <w:sz w:val="14"/>
              </w:rPr>
              <w:t>8010-8099</w:t>
            </w:r>
          </w:p>
        </w:tc>
        <w:tc>
          <w:tcPr>
            <w:tcW w:w="1563" w:type="dxa"/>
          </w:tcPr>
          <w:p>
            <w:pPr>
              <w:pStyle w:val="TableParagraph"/>
              <w:spacing w:before="7"/>
              <w:rPr>
                <w:sz w:val="18"/>
              </w:rPr>
            </w:pPr>
          </w:p>
          <w:p>
            <w:pPr>
              <w:pStyle w:val="TableParagraph"/>
              <w:spacing w:line="145" w:lineRule="exact"/>
              <w:ind w:right="80"/>
              <w:jc w:val="right"/>
              <w:rPr>
                <w:sz w:val="14"/>
              </w:rPr>
            </w:pPr>
            <w:r>
              <w:rPr>
                <w:sz w:val="14"/>
              </w:rPr>
              <w:t>0.00</w:t>
            </w:r>
          </w:p>
        </w:tc>
        <w:tc>
          <w:tcPr>
            <w:tcW w:w="1738" w:type="dxa"/>
          </w:tcPr>
          <w:p>
            <w:pPr>
              <w:pStyle w:val="TableParagraph"/>
              <w:spacing w:before="7"/>
              <w:rPr>
                <w:sz w:val="18"/>
              </w:rPr>
            </w:pPr>
          </w:p>
          <w:p>
            <w:pPr>
              <w:pStyle w:val="TableParagraph"/>
              <w:spacing w:line="145" w:lineRule="exact"/>
              <w:ind w:right="255"/>
              <w:jc w:val="right"/>
              <w:rPr>
                <w:sz w:val="14"/>
              </w:rPr>
            </w:pPr>
            <w:r>
              <w:rPr>
                <w:sz w:val="14"/>
              </w:rPr>
              <w:t>0.00</w:t>
            </w:r>
          </w:p>
        </w:tc>
        <w:tc>
          <w:tcPr>
            <w:tcW w:w="997" w:type="dxa"/>
          </w:tcPr>
          <w:p>
            <w:pPr>
              <w:pStyle w:val="TableParagraph"/>
              <w:rPr>
                <w:rFonts w:ascii="Times New Roman"/>
                <w:sz w:val="14"/>
              </w:rPr>
            </w:pPr>
          </w:p>
        </w:tc>
        <w:tc>
          <w:tcPr>
            <w:tcW w:w="412" w:type="dxa"/>
          </w:tcPr>
          <w:p>
            <w:pPr>
              <w:pStyle w:val="TableParagraph"/>
              <w:spacing w:before="7"/>
              <w:rPr>
                <w:sz w:val="18"/>
              </w:rPr>
            </w:pPr>
          </w:p>
          <w:p>
            <w:pPr>
              <w:pStyle w:val="TableParagraph"/>
              <w:spacing w:line="145" w:lineRule="exact"/>
              <w:ind w:right="53"/>
              <w:jc w:val="right"/>
              <w:rPr>
                <w:sz w:val="14"/>
              </w:rPr>
            </w:pPr>
            <w:r>
              <w:rPr>
                <w:sz w:val="14"/>
              </w:rPr>
              <w:t>0.0%</w:t>
            </w:r>
          </w:p>
        </w:tc>
      </w:tr>
      <w:tr>
        <w:trPr>
          <w:trHeight w:val="386" w:hRule="atLeast"/>
        </w:trPr>
        <w:tc>
          <w:tcPr>
            <w:tcW w:w="3766" w:type="dxa"/>
          </w:tcPr>
          <w:p>
            <w:pPr>
              <w:pStyle w:val="TableParagraph"/>
              <w:spacing w:before="3"/>
              <w:rPr>
                <w:sz w:val="19"/>
              </w:rPr>
            </w:pPr>
          </w:p>
          <w:p>
            <w:pPr>
              <w:pStyle w:val="TableParagraph"/>
              <w:spacing w:line="145" w:lineRule="exact"/>
              <w:ind w:left="212"/>
              <w:rPr>
                <w:sz w:val="14"/>
              </w:rPr>
            </w:pPr>
            <w:r>
              <w:rPr>
                <w:w w:val="105"/>
                <w:sz w:val="14"/>
              </w:rPr>
              <w:t>2) Federal Revenue</w:t>
            </w:r>
          </w:p>
        </w:tc>
        <w:tc>
          <w:tcPr>
            <w:tcW w:w="1518" w:type="dxa"/>
          </w:tcPr>
          <w:p>
            <w:pPr>
              <w:pStyle w:val="TableParagraph"/>
              <w:rPr>
                <w:rFonts w:ascii="Times New Roman"/>
                <w:sz w:val="14"/>
              </w:rPr>
            </w:pPr>
          </w:p>
        </w:tc>
        <w:tc>
          <w:tcPr>
            <w:tcW w:w="1115" w:type="dxa"/>
          </w:tcPr>
          <w:p>
            <w:pPr>
              <w:pStyle w:val="TableParagraph"/>
              <w:spacing w:before="3"/>
              <w:rPr>
                <w:sz w:val="19"/>
              </w:rPr>
            </w:pPr>
          </w:p>
          <w:p>
            <w:pPr>
              <w:pStyle w:val="TableParagraph"/>
              <w:spacing w:line="145" w:lineRule="exact"/>
              <w:ind w:left="118" w:right="6"/>
              <w:jc w:val="center"/>
              <w:rPr>
                <w:sz w:val="14"/>
              </w:rPr>
            </w:pPr>
            <w:r>
              <w:rPr>
                <w:w w:val="105"/>
                <w:sz w:val="14"/>
              </w:rPr>
              <w:t>8100-8299</w:t>
            </w:r>
          </w:p>
        </w:tc>
        <w:tc>
          <w:tcPr>
            <w:tcW w:w="1563" w:type="dxa"/>
          </w:tcPr>
          <w:p>
            <w:pPr>
              <w:pStyle w:val="TableParagraph"/>
              <w:spacing w:before="3"/>
              <w:rPr>
                <w:sz w:val="19"/>
              </w:rPr>
            </w:pPr>
          </w:p>
          <w:p>
            <w:pPr>
              <w:pStyle w:val="TableParagraph"/>
              <w:spacing w:line="145" w:lineRule="exact"/>
              <w:ind w:right="80"/>
              <w:jc w:val="right"/>
              <w:rPr>
                <w:sz w:val="14"/>
              </w:rPr>
            </w:pPr>
            <w:r>
              <w:rPr>
                <w:sz w:val="14"/>
              </w:rPr>
              <w:t>0.00</w:t>
            </w:r>
          </w:p>
        </w:tc>
        <w:tc>
          <w:tcPr>
            <w:tcW w:w="1738" w:type="dxa"/>
            <w:shd w:val="clear" w:color="auto" w:fill="DFDFDF"/>
          </w:tcPr>
          <w:p>
            <w:pPr>
              <w:pStyle w:val="TableParagraph"/>
              <w:spacing w:before="3"/>
              <w:rPr>
                <w:sz w:val="19"/>
              </w:rPr>
            </w:pPr>
          </w:p>
          <w:p>
            <w:pPr>
              <w:pStyle w:val="TableParagraph"/>
              <w:spacing w:line="145" w:lineRule="exact"/>
              <w:ind w:right="255"/>
              <w:jc w:val="right"/>
              <w:rPr>
                <w:sz w:val="14"/>
              </w:rPr>
            </w:pPr>
            <w:r>
              <w:rPr>
                <w:sz w:val="14"/>
              </w:rPr>
              <w:t>0.00</w:t>
            </w:r>
          </w:p>
        </w:tc>
        <w:tc>
          <w:tcPr>
            <w:tcW w:w="997" w:type="dxa"/>
            <w:shd w:val="clear" w:color="auto" w:fill="DFDFDF"/>
          </w:tcPr>
          <w:p>
            <w:pPr>
              <w:pStyle w:val="TableParagraph"/>
              <w:rPr>
                <w:rFonts w:ascii="Times New Roman"/>
                <w:sz w:val="14"/>
              </w:rPr>
            </w:pPr>
          </w:p>
        </w:tc>
        <w:tc>
          <w:tcPr>
            <w:tcW w:w="412" w:type="dxa"/>
            <w:shd w:val="clear" w:color="auto" w:fill="DFDFDF"/>
          </w:tcPr>
          <w:p>
            <w:pPr>
              <w:pStyle w:val="TableParagraph"/>
              <w:spacing w:before="3"/>
              <w:rPr>
                <w:sz w:val="19"/>
              </w:rPr>
            </w:pPr>
          </w:p>
          <w:p>
            <w:pPr>
              <w:pStyle w:val="TableParagraph"/>
              <w:spacing w:line="145" w:lineRule="exact"/>
              <w:ind w:right="53"/>
              <w:jc w:val="right"/>
              <w:rPr>
                <w:sz w:val="14"/>
              </w:rPr>
            </w:pPr>
            <w:r>
              <w:rPr>
                <w:sz w:val="14"/>
              </w:rPr>
              <w:t>0.0%</w:t>
            </w:r>
          </w:p>
        </w:tc>
      </w:tr>
      <w:tr>
        <w:trPr>
          <w:trHeight w:val="495" w:hRule="atLeast"/>
        </w:trPr>
        <w:tc>
          <w:tcPr>
            <w:tcW w:w="3766" w:type="dxa"/>
          </w:tcPr>
          <w:p>
            <w:pPr>
              <w:pStyle w:val="TableParagraph"/>
              <w:spacing w:before="3"/>
              <w:rPr>
                <w:sz w:val="19"/>
              </w:rPr>
            </w:pPr>
          </w:p>
          <w:p>
            <w:pPr>
              <w:pStyle w:val="TableParagraph"/>
              <w:ind w:left="212"/>
              <w:rPr>
                <w:sz w:val="14"/>
              </w:rPr>
            </w:pPr>
            <w:r>
              <w:rPr>
                <w:w w:val="105"/>
                <w:sz w:val="14"/>
              </w:rPr>
              <w:t>3) Other State Revenue</w:t>
            </w:r>
          </w:p>
        </w:tc>
        <w:tc>
          <w:tcPr>
            <w:tcW w:w="1518" w:type="dxa"/>
          </w:tcPr>
          <w:p>
            <w:pPr>
              <w:pStyle w:val="TableParagraph"/>
              <w:rPr>
                <w:rFonts w:ascii="Times New Roman"/>
                <w:sz w:val="14"/>
              </w:rPr>
            </w:pPr>
          </w:p>
        </w:tc>
        <w:tc>
          <w:tcPr>
            <w:tcW w:w="1115" w:type="dxa"/>
          </w:tcPr>
          <w:p>
            <w:pPr>
              <w:pStyle w:val="TableParagraph"/>
              <w:spacing w:before="3"/>
              <w:rPr>
                <w:sz w:val="19"/>
              </w:rPr>
            </w:pPr>
          </w:p>
          <w:p>
            <w:pPr>
              <w:pStyle w:val="TableParagraph"/>
              <w:ind w:left="118" w:right="6"/>
              <w:jc w:val="center"/>
              <w:rPr>
                <w:sz w:val="14"/>
              </w:rPr>
            </w:pPr>
            <w:r>
              <w:rPr>
                <w:w w:val="105"/>
                <w:sz w:val="14"/>
              </w:rPr>
              <w:t>8300-8599</w:t>
            </w:r>
          </w:p>
        </w:tc>
        <w:tc>
          <w:tcPr>
            <w:tcW w:w="1563" w:type="dxa"/>
          </w:tcPr>
          <w:p>
            <w:pPr>
              <w:pStyle w:val="TableParagraph"/>
              <w:spacing w:before="3"/>
              <w:rPr>
                <w:sz w:val="19"/>
              </w:rPr>
            </w:pPr>
          </w:p>
          <w:p>
            <w:pPr>
              <w:pStyle w:val="TableParagraph"/>
              <w:ind w:right="80"/>
              <w:jc w:val="right"/>
              <w:rPr>
                <w:sz w:val="14"/>
              </w:rPr>
            </w:pPr>
            <w:r>
              <w:rPr>
                <w:sz w:val="14"/>
              </w:rPr>
              <w:t>0.00</w:t>
            </w:r>
          </w:p>
        </w:tc>
        <w:tc>
          <w:tcPr>
            <w:tcW w:w="1738" w:type="dxa"/>
          </w:tcPr>
          <w:p>
            <w:pPr>
              <w:pStyle w:val="TableParagraph"/>
              <w:spacing w:before="3"/>
              <w:rPr>
                <w:sz w:val="19"/>
              </w:rPr>
            </w:pPr>
          </w:p>
          <w:p>
            <w:pPr>
              <w:pStyle w:val="TableParagraph"/>
              <w:ind w:right="255"/>
              <w:jc w:val="right"/>
              <w:rPr>
                <w:sz w:val="14"/>
              </w:rPr>
            </w:pPr>
            <w:r>
              <w:rPr>
                <w:sz w:val="14"/>
              </w:rPr>
              <w:t>0.00</w:t>
            </w:r>
          </w:p>
        </w:tc>
        <w:tc>
          <w:tcPr>
            <w:tcW w:w="997" w:type="dxa"/>
          </w:tcPr>
          <w:p>
            <w:pPr>
              <w:pStyle w:val="TableParagraph"/>
              <w:rPr>
                <w:rFonts w:ascii="Times New Roman"/>
                <w:sz w:val="14"/>
              </w:rPr>
            </w:pPr>
          </w:p>
        </w:tc>
        <w:tc>
          <w:tcPr>
            <w:tcW w:w="412" w:type="dxa"/>
          </w:tcPr>
          <w:p>
            <w:pPr>
              <w:pStyle w:val="TableParagraph"/>
              <w:spacing w:before="3"/>
              <w:rPr>
                <w:sz w:val="19"/>
              </w:rPr>
            </w:pPr>
          </w:p>
          <w:p>
            <w:pPr>
              <w:pStyle w:val="TableParagraph"/>
              <w:ind w:right="53"/>
              <w:jc w:val="right"/>
              <w:rPr>
                <w:sz w:val="14"/>
              </w:rPr>
            </w:pPr>
            <w:r>
              <w:rPr>
                <w:sz w:val="14"/>
              </w:rPr>
              <w:t>0.0%</w:t>
            </w:r>
          </w:p>
        </w:tc>
      </w:tr>
      <w:tr>
        <w:trPr>
          <w:trHeight w:val="386" w:hRule="atLeast"/>
        </w:trPr>
        <w:tc>
          <w:tcPr>
            <w:tcW w:w="3766" w:type="dxa"/>
          </w:tcPr>
          <w:p>
            <w:pPr>
              <w:pStyle w:val="TableParagraph"/>
              <w:spacing w:before="112"/>
              <w:ind w:left="212"/>
              <w:rPr>
                <w:sz w:val="14"/>
              </w:rPr>
            </w:pPr>
            <w:r>
              <w:rPr>
                <w:w w:val="105"/>
                <w:sz w:val="14"/>
              </w:rPr>
              <w:t>4) Other Local Revenue</w:t>
            </w:r>
          </w:p>
        </w:tc>
        <w:tc>
          <w:tcPr>
            <w:tcW w:w="1518" w:type="dxa"/>
          </w:tcPr>
          <w:p>
            <w:pPr>
              <w:pStyle w:val="TableParagraph"/>
              <w:rPr>
                <w:rFonts w:ascii="Times New Roman"/>
                <w:sz w:val="14"/>
              </w:rPr>
            </w:pPr>
          </w:p>
        </w:tc>
        <w:tc>
          <w:tcPr>
            <w:tcW w:w="1115" w:type="dxa"/>
          </w:tcPr>
          <w:p>
            <w:pPr>
              <w:pStyle w:val="TableParagraph"/>
              <w:spacing w:before="112"/>
              <w:ind w:left="118" w:right="6"/>
              <w:jc w:val="center"/>
              <w:rPr>
                <w:sz w:val="14"/>
              </w:rPr>
            </w:pPr>
            <w:r>
              <w:rPr>
                <w:w w:val="105"/>
                <w:sz w:val="14"/>
              </w:rPr>
              <w:t>8600-8799</w:t>
            </w:r>
          </w:p>
        </w:tc>
        <w:tc>
          <w:tcPr>
            <w:tcW w:w="1563" w:type="dxa"/>
          </w:tcPr>
          <w:p>
            <w:pPr>
              <w:pStyle w:val="TableParagraph"/>
              <w:spacing w:before="112"/>
              <w:ind w:right="80"/>
              <w:jc w:val="right"/>
              <w:rPr>
                <w:sz w:val="14"/>
              </w:rPr>
            </w:pPr>
            <w:r>
              <w:rPr>
                <w:sz w:val="14"/>
              </w:rPr>
              <w:t>265.00</w:t>
            </w:r>
          </w:p>
        </w:tc>
        <w:tc>
          <w:tcPr>
            <w:tcW w:w="1738" w:type="dxa"/>
          </w:tcPr>
          <w:p>
            <w:pPr>
              <w:pStyle w:val="TableParagraph"/>
              <w:spacing w:before="112"/>
              <w:ind w:right="256"/>
              <w:jc w:val="right"/>
              <w:rPr>
                <w:sz w:val="14"/>
              </w:rPr>
            </w:pPr>
            <w:r>
              <w:rPr>
                <w:sz w:val="14"/>
              </w:rPr>
              <w:t>265.00</w:t>
            </w:r>
          </w:p>
        </w:tc>
        <w:tc>
          <w:tcPr>
            <w:tcW w:w="997" w:type="dxa"/>
          </w:tcPr>
          <w:p>
            <w:pPr>
              <w:pStyle w:val="TableParagraph"/>
              <w:rPr>
                <w:rFonts w:ascii="Times New Roman"/>
                <w:sz w:val="14"/>
              </w:rPr>
            </w:pPr>
          </w:p>
        </w:tc>
        <w:tc>
          <w:tcPr>
            <w:tcW w:w="412" w:type="dxa"/>
          </w:tcPr>
          <w:p>
            <w:pPr>
              <w:pStyle w:val="TableParagraph"/>
              <w:spacing w:before="112"/>
              <w:ind w:right="53"/>
              <w:jc w:val="right"/>
              <w:rPr>
                <w:sz w:val="14"/>
              </w:rPr>
            </w:pPr>
            <w:r>
              <w:rPr>
                <w:sz w:val="14"/>
              </w:rPr>
              <w:t>0.0%</w:t>
            </w:r>
          </w:p>
        </w:tc>
      </w:tr>
      <w:tr>
        <w:trPr>
          <w:trHeight w:val="277" w:hRule="atLeast"/>
        </w:trPr>
        <w:tc>
          <w:tcPr>
            <w:tcW w:w="3766" w:type="dxa"/>
          </w:tcPr>
          <w:p>
            <w:pPr>
              <w:pStyle w:val="TableParagraph"/>
              <w:spacing w:line="145" w:lineRule="exact" w:before="112"/>
              <w:ind w:left="212"/>
              <w:rPr>
                <w:sz w:val="14"/>
              </w:rPr>
            </w:pPr>
            <w:r>
              <w:rPr>
                <w:w w:val="105"/>
                <w:sz w:val="14"/>
              </w:rPr>
              <w:t>5) TOTAL, REVENUES</w:t>
            </w:r>
          </w:p>
        </w:tc>
        <w:tc>
          <w:tcPr>
            <w:tcW w:w="1518" w:type="dxa"/>
          </w:tcPr>
          <w:p>
            <w:pPr>
              <w:pStyle w:val="TableParagraph"/>
              <w:rPr>
                <w:rFonts w:ascii="Times New Roman"/>
                <w:sz w:val="14"/>
              </w:rPr>
            </w:pPr>
          </w:p>
        </w:tc>
        <w:tc>
          <w:tcPr>
            <w:tcW w:w="1115" w:type="dxa"/>
          </w:tcPr>
          <w:p>
            <w:pPr>
              <w:pStyle w:val="TableParagraph"/>
              <w:rPr>
                <w:rFonts w:ascii="Times New Roman"/>
                <w:sz w:val="14"/>
              </w:rPr>
            </w:pPr>
          </w:p>
        </w:tc>
        <w:tc>
          <w:tcPr>
            <w:tcW w:w="1563" w:type="dxa"/>
          </w:tcPr>
          <w:p>
            <w:pPr>
              <w:pStyle w:val="TableParagraph"/>
              <w:spacing w:line="145" w:lineRule="exact" w:before="112"/>
              <w:ind w:right="80"/>
              <w:jc w:val="right"/>
              <w:rPr>
                <w:sz w:val="14"/>
              </w:rPr>
            </w:pPr>
            <w:r>
              <w:rPr>
                <w:sz w:val="14"/>
              </w:rPr>
              <w:t>265.00</w:t>
            </w:r>
          </w:p>
        </w:tc>
        <w:tc>
          <w:tcPr>
            <w:tcW w:w="1738" w:type="dxa"/>
          </w:tcPr>
          <w:p>
            <w:pPr>
              <w:pStyle w:val="TableParagraph"/>
              <w:spacing w:line="145" w:lineRule="exact" w:before="112"/>
              <w:ind w:right="256"/>
              <w:jc w:val="right"/>
              <w:rPr>
                <w:sz w:val="14"/>
              </w:rPr>
            </w:pPr>
            <w:r>
              <w:rPr>
                <w:sz w:val="14"/>
              </w:rPr>
              <w:t>265.00</w:t>
            </w:r>
          </w:p>
        </w:tc>
        <w:tc>
          <w:tcPr>
            <w:tcW w:w="997" w:type="dxa"/>
          </w:tcPr>
          <w:p>
            <w:pPr>
              <w:pStyle w:val="TableParagraph"/>
              <w:rPr>
                <w:rFonts w:ascii="Times New Roman"/>
                <w:sz w:val="14"/>
              </w:rPr>
            </w:pPr>
          </w:p>
        </w:tc>
        <w:tc>
          <w:tcPr>
            <w:tcW w:w="412" w:type="dxa"/>
          </w:tcPr>
          <w:p>
            <w:pPr>
              <w:pStyle w:val="TableParagraph"/>
              <w:spacing w:line="145" w:lineRule="exact" w:before="112"/>
              <w:ind w:right="53"/>
              <w:jc w:val="right"/>
              <w:rPr>
                <w:sz w:val="14"/>
              </w:rPr>
            </w:pPr>
            <w:r>
              <w:rPr>
                <w:sz w:val="14"/>
              </w:rPr>
              <w:t>0.0%</w:t>
            </w:r>
          </w:p>
        </w:tc>
      </w:tr>
      <w:tr>
        <w:trPr>
          <w:trHeight w:val="808" w:hRule="atLeast"/>
        </w:trPr>
        <w:tc>
          <w:tcPr>
            <w:tcW w:w="6399" w:type="dxa"/>
            <w:gridSpan w:val="3"/>
          </w:tcPr>
          <w:p>
            <w:pPr>
              <w:pStyle w:val="TableParagraph"/>
              <w:rPr>
                <w:sz w:val="19"/>
              </w:rPr>
            </w:pPr>
          </w:p>
          <w:p>
            <w:pPr>
              <w:pStyle w:val="TableParagraph"/>
              <w:ind w:left="50"/>
              <w:rPr>
                <w:b/>
                <w:sz w:val="14"/>
              </w:rPr>
            </w:pPr>
            <w:r>
              <w:rPr>
                <w:b/>
                <w:w w:val="105"/>
                <w:sz w:val="14"/>
              </w:rPr>
              <w:t>B. EXPENDITURES (Objects 1000-7999)</w:t>
            </w:r>
          </w:p>
        </w:tc>
        <w:tc>
          <w:tcPr>
            <w:tcW w:w="4710" w:type="dxa"/>
            <w:gridSpan w:val="4"/>
            <w:shd w:val="clear" w:color="auto" w:fill="DFDFDF"/>
          </w:tcPr>
          <w:p>
            <w:pPr>
              <w:pStyle w:val="TableParagraph"/>
              <w:rPr>
                <w:rFonts w:ascii="Times New Roman"/>
                <w:sz w:val="14"/>
              </w:rPr>
            </w:pPr>
          </w:p>
        </w:tc>
      </w:tr>
      <w:tr>
        <w:trPr>
          <w:trHeight w:val="274" w:hRule="atLeast"/>
        </w:trPr>
        <w:tc>
          <w:tcPr>
            <w:tcW w:w="3766" w:type="dxa"/>
          </w:tcPr>
          <w:p>
            <w:pPr>
              <w:pStyle w:val="TableParagraph"/>
              <w:spacing w:before="1"/>
              <w:ind w:left="212"/>
              <w:rPr>
                <w:sz w:val="14"/>
              </w:rPr>
            </w:pPr>
            <w:r>
              <w:rPr>
                <w:w w:val="105"/>
                <w:sz w:val="14"/>
              </w:rPr>
              <w:t>1) Instruction</w:t>
            </w:r>
          </w:p>
        </w:tc>
        <w:tc>
          <w:tcPr>
            <w:tcW w:w="1518" w:type="dxa"/>
          </w:tcPr>
          <w:p>
            <w:pPr>
              <w:pStyle w:val="TableParagraph"/>
              <w:spacing w:before="1"/>
              <w:ind w:left="241" w:right="122"/>
              <w:jc w:val="center"/>
              <w:rPr>
                <w:sz w:val="14"/>
              </w:rPr>
            </w:pPr>
            <w:r>
              <w:rPr>
                <w:w w:val="105"/>
                <w:sz w:val="14"/>
              </w:rPr>
              <w:t>1000-1999</w:t>
            </w:r>
          </w:p>
        </w:tc>
        <w:tc>
          <w:tcPr>
            <w:tcW w:w="1115" w:type="dxa"/>
          </w:tcPr>
          <w:p>
            <w:pPr>
              <w:pStyle w:val="TableParagraph"/>
              <w:rPr>
                <w:rFonts w:ascii="Times New Roman"/>
                <w:sz w:val="14"/>
              </w:rPr>
            </w:pPr>
          </w:p>
        </w:tc>
        <w:tc>
          <w:tcPr>
            <w:tcW w:w="1563" w:type="dxa"/>
            <w:shd w:val="clear" w:color="auto" w:fill="DFDFDF"/>
          </w:tcPr>
          <w:p>
            <w:pPr>
              <w:pStyle w:val="TableParagraph"/>
              <w:spacing w:before="1"/>
              <w:ind w:right="80"/>
              <w:jc w:val="right"/>
              <w:rPr>
                <w:sz w:val="14"/>
              </w:rPr>
            </w:pPr>
            <w:r>
              <w:rPr>
                <w:sz w:val="14"/>
              </w:rPr>
              <w:t>0.00</w:t>
            </w:r>
          </w:p>
        </w:tc>
        <w:tc>
          <w:tcPr>
            <w:tcW w:w="1738" w:type="dxa"/>
            <w:shd w:val="clear" w:color="auto" w:fill="DFDFDF"/>
          </w:tcPr>
          <w:p>
            <w:pPr>
              <w:pStyle w:val="TableParagraph"/>
              <w:spacing w:before="1"/>
              <w:ind w:right="255"/>
              <w:jc w:val="right"/>
              <w:rPr>
                <w:sz w:val="14"/>
              </w:rPr>
            </w:pPr>
            <w:r>
              <w:rPr>
                <w:sz w:val="14"/>
              </w:rPr>
              <w:t>0.00</w:t>
            </w:r>
          </w:p>
        </w:tc>
        <w:tc>
          <w:tcPr>
            <w:tcW w:w="1409" w:type="dxa"/>
            <w:gridSpan w:val="2"/>
            <w:shd w:val="clear" w:color="auto" w:fill="DFDFDF"/>
          </w:tcPr>
          <w:p>
            <w:pPr>
              <w:pStyle w:val="TableParagraph"/>
              <w:spacing w:before="1"/>
              <w:ind w:right="53"/>
              <w:jc w:val="right"/>
              <w:rPr>
                <w:sz w:val="14"/>
              </w:rPr>
            </w:pPr>
            <w:r>
              <w:rPr>
                <w:sz w:val="14"/>
              </w:rPr>
              <w:t>0.0%</w:t>
            </w:r>
          </w:p>
        </w:tc>
      </w:tr>
      <w:tr>
        <w:trPr>
          <w:trHeight w:val="386" w:hRule="atLeast"/>
        </w:trPr>
        <w:tc>
          <w:tcPr>
            <w:tcW w:w="3766" w:type="dxa"/>
          </w:tcPr>
          <w:p>
            <w:pPr>
              <w:pStyle w:val="TableParagraph"/>
              <w:spacing w:before="112"/>
              <w:ind w:left="212"/>
              <w:rPr>
                <w:sz w:val="14"/>
              </w:rPr>
            </w:pPr>
            <w:r>
              <w:rPr>
                <w:w w:val="105"/>
                <w:sz w:val="14"/>
              </w:rPr>
              <w:t>2) Instruction - Related Services</w:t>
            </w:r>
          </w:p>
        </w:tc>
        <w:tc>
          <w:tcPr>
            <w:tcW w:w="1518" w:type="dxa"/>
          </w:tcPr>
          <w:p>
            <w:pPr>
              <w:pStyle w:val="TableParagraph"/>
              <w:spacing w:before="112"/>
              <w:ind w:left="241" w:right="122"/>
              <w:jc w:val="center"/>
              <w:rPr>
                <w:sz w:val="14"/>
              </w:rPr>
            </w:pPr>
            <w:r>
              <w:rPr>
                <w:w w:val="105"/>
                <w:sz w:val="14"/>
              </w:rPr>
              <w:t>2000-2999</w:t>
            </w:r>
          </w:p>
        </w:tc>
        <w:tc>
          <w:tcPr>
            <w:tcW w:w="1115" w:type="dxa"/>
          </w:tcPr>
          <w:p>
            <w:pPr>
              <w:pStyle w:val="TableParagraph"/>
              <w:rPr>
                <w:rFonts w:ascii="Times New Roman"/>
                <w:sz w:val="14"/>
              </w:rPr>
            </w:pPr>
          </w:p>
        </w:tc>
        <w:tc>
          <w:tcPr>
            <w:tcW w:w="1563" w:type="dxa"/>
            <w:shd w:val="clear" w:color="auto" w:fill="DFDFDF"/>
          </w:tcPr>
          <w:p>
            <w:pPr>
              <w:pStyle w:val="TableParagraph"/>
              <w:spacing w:before="112"/>
              <w:ind w:right="80"/>
              <w:jc w:val="right"/>
              <w:rPr>
                <w:sz w:val="14"/>
              </w:rPr>
            </w:pPr>
            <w:r>
              <w:rPr>
                <w:sz w:val="14"/>
              </w:rPr>
              <w:t>0.00</w:t>
            </w:r>
          </w:p>
        </w:tc>
        <w:tc>
          <w:tcPr>
            <w:tcW w:w="1738" w:type="dxa"/>
            <w:shd w:val="clear" w:color="auto" w:fill="DFDFDF"/>
          </w:tcPr>
          <w:p>
            <w:pPr>
              <w:pStyle w:val="TableParagraph"/>
              <w:spacing w:before="112"/>
              <w:ind w:right="255"/>
              <w:jc w:val="right"/>
              <w:rPr>
                <w:sz w:val="14"/>
              </w:rPr>
            </w:pPr>
            <w:r>
              <w:rPr>
                <w:sz w:val="14"/>
              </w:rPr>
              <w:t>0.00</w:t>
            </w:r>
          </w:p>
        </w:tc>
        <w:tc>
          <w:tcPr>
            <w:tcW w:w="1409" w:type="dxa"/>
            <w:gridSpan w:val="2"/>
            <w:shd w:val="clear" w:color="auto" w:fill="DFDFDF"/>
          </w:tcPr>
          <w:p>
            <w:pPr>
              <w:pStyle w:val="TableParagraph"/>
              <w:spacing w:before="112"/>
              <w:ind w:right="53"/>
              <w:jc w:val="right"/>
              <w:rPr>
                <w:sz w:val="14"/>
              </w:rPr>
            </w:pPr>
            <w:r>
              <w:rPr>
                <w:sz w:val="14"/>
              </w:rPr>
              <w:t>0.0%</w:t>
            </w:r>
          </w:p>
        </w:tc>
      </w:tr>
      <w:tr>
        <w:trPr>
          <w:trHeight w:val="386" w:hRule="atLeast"/>
        </w:trPr>
        <w:tc>
          <w:tcPr>
            <w:tcW w:w="3766" w:type="dxa"/>
          </w:tcPr>
          <w:p>
            <w:pPr>
              <w:pStyle w:val="TableParagraph"/>
              <w:spacing w:before="112"/>
              <w:ind w:left="212"/>
              <w:rPr>
                <w:sz w:val="14"/>
              </w:rPr>
            </w:pPr>
            <w:r>
              <w:rPr>
                <w:w w:val="105"/>
                <w:sz w:val="14"/>
              </w:rPr>
              <w:t>3) Pupil Services</w:t>
            </w:r>
          </w:p>
        </w:tc>
        <w:tc>
          <w:tcPr>
            <w:tcW w:w="1518" w:type="dxa"/>
          </w:tcPr>
          <w:p>
            <w:pPr>
              <w:pStyle w:val="TableParagraph"/>
              <w:spacing w:before="112"/>
              <w:ind w:left="241" w:right="122"/>
              <w:jc w:val="center"/>
              <w:rPr>
                <w:sz w:val="14"/>
              </w:rPr>
            </w:pPr>
            <w:r>
              <w:rPr>
                <w:w w:val="105"/>
                <w:sz w:val="14"/>
              </w:rPr>
              <w:t>3000-3999</w:t>
            </w:r>
          </w:p>
        </w:tc>
        <w:tc>
          <w:tcPr>
            <w:tcW w:w="1115" w:type="dxa"/>
          </w:tcPr>
          <w:p>
            <w:pPr>
              <w:pStyle w:val="TableParagraph"/>
              <w:rPr>
                <w:rFonts w:ascii="Times New Roman"/>
                <w:sz w:val="14"/>
              </w:rPr>
            </w:pPr>
          </w:p>
        </w:tc>
        <w:tc>
          <w:tcPr>
            <w:tcW w:w="1563" w:type="dxa"/>
          </w:tcPr>
          <w:p>
            <w:pPr>
              <w:pStyle w:val="TableParagraph"/>
              <w:spacing w:before="112"/>
              <w:ind w:right="80"/>
              <w:jc w:val="right"/>
              <w:rPr>
                <w:sz w:val="14"/>
              </w:rPr>
            </w:pPr>
            <w:r>
              <w:rPr>
                <w:sz w:val="14"/>
              </w:rPr>
              <w:t>0.00</w:t>
            </w:r>
          </w:p>
        </w:tc>
        <w:tc>
          <w:tcPr>
            <w:tcW w:w="1738" w:type="dxa"/>
            <w:shd w:val="clear" w:color="auto" w:fill="DFDFDF"/>
          </w:tcPr>
          <w:p>
            <w:pPr>
              <w:pStyle w:val="TableParagraph"/>
              <w:spacing w:before="112"/>
              <w:ind w:right="255"/>
              <w:jc w:val="right"/>
              <w:rPr>
                <w:sz w:val="14"/>
              </w:rPr>
            </w:pPr>
            <w:r>
              <w:rPr>
                <w:sz w:val="14"/>
              </w:rPr>
              <w:t>0.00</w:t>
            </w:r>
          </w:p>
        </w:tc>
        <w:tc>
          <w:tcPr>
            <w:tcW w:w="1409" w:type="dxa"/>
            <w:gridSpan w:val="2"/>
            <w:shd w:val="clear" w:color="auto" w:fill="DFDFDF"/>
          </w:tcPr>
          <w:p>
            <w:pPr>
              <w:pStyle w:val="TableParagraph"/>
              <w:spacing w:before="112"/>
              <w:ind w:right="53"/>
              <w:jc w:val="right"/>
              <w:rPr>
                <w:sz w:val="14"/>
              </w:rPr>
            </w:pPr>
            <w:r>
              <w:rPr>
                <w:sz w:val="14"/>
              </w:rPr>
              <w:t>0.0%</w:t>
            </w:r>
          </w:p>
        </w:tc>
      </w:tr>
      <w:tr>
        <w:trPr>
          <w:trHeight w:val="386" w:hRule="atLeast"/>
        </w:trPr>
        <w:tc>
          <w:tcPr>
            <w:tcW w:w="3766" w:type="dxa"/>
          </w:tcPr>
          <w:p>
            <w:pPr>
              <w:pStyle w:val="TableParagraph"/>
              <w:spacing w:before="112"/>
              <w:ind w:left="212"/>
              <w:rPr>
                <w:sz w:val="14"/>
              </w:rPr>
            </w:pPr>
            <w:r>
              <w:rPr>
                <w:w w:val="105"/>
                <w:sz w:val="14"/>
              </w:rPr>
              <w:t>4) Ancillary Services</w:t>
            </w:r>
          </w:p>
        </w:tc>
        <w:tc>
          <w:tcPr>
            <w:tcW w:w="1518" w:type="dxa"/>
          </w:tcPr>
          <w:p>
            <w:pPr>
              <w:pStyle w:val="TableParagraph"/>
              <w:spacing w:before="112"/>
              <w:ind w:left="241" w:right="122"/>
              <w:jc w:val="center"/>
              <w:rPr>
                <w:sz w:val="14"/>
              </w:rPr>
            </w:pPr>
            <w:r>
              <w:rPr>
                <w:w w:val="105"/>
                <w:sz w:val="14"/>
              </w:rPr>
              <w:t>4000-4999</w:t>
            </w:r>
          </w:p>
        </w:tc>
        <w:tc>
          <w:tcPr>
            <w:tcW w:w="1115" w:type="dxa"/>
          </w:tcPr>
          <w:p>
            <w:pPr>
              <w:pStyle w:val="TableParagraph"/>
              <w:rPr>
                <w:rFonts w:ascii="Times New Roman"/>
                <w:sz w:val="14"/>
              </w:rPr>
            </w:pPr>
          </w:p>
        </w:tc>
        <w:tc>
          <w:tcPr>
            <w:tcW w:w="1563" w:type="dxa"/>
          </w:tcPr>
          <w:p>
            <w:pPr>
              <w:pStyle w:val="TableParagraph"/>
              <w:spacing w:before="112"/>
              <w:ind w:right="80"/>
              <w:jc w:val="right"/>
              <w:rPr>
                <w:sz w:val="14"/>
              </w:rPr>
            </w:pPr>
            <w:r>
              <w:rPr>
                <w:sz w:val="14"/>
              </w:rPr>
              <w:t>0.00</w:t>
            </w:r>
          </w:p>
        </w:tc>
        <w:tc>
          <w:tcPr>
            <w:tcW w:w="1738" w:type="dxa"/>
            <w:shd w:val="clear" w:color="auto" w:fill="DFDFDF"/>
          </w:tcPr>
          <w:p>
            <w:pPr>
              <w:pStyle w:val="TableParagraph"/>
              <w:spacing w:before="112"/>
              <w:ind w:right="255"/>
              <w:jc w:val="right"/>
              <w:rPr>
                <w:sz w:val="14"/>
              </w:rPr>
            </w:pPr>
            <w:r>
              <w:rPr>
                <w:sz w:val="14"/>
              </w:rPr>
              <w:t>0.00</w:t>
            </w:r>
          </w:p>
        </w:tc>
        <w:tc>
          <w:tcPr>
            <w:tcW w:w="1409" w:type="dxa"/>
            <w:gridSpan w:val="2"/>
            <w:shd w:val="clear" w:color="auto" w:fill="DFDFDF"/>
          </w:tcPr>
          <w:p>
            <w:pPr>
              <w:pStyle w:val="TableParagraph"/>
              <w:spacing w:before="112"/>
              <w:ind w:right="53"/>
              <w:jc w:val="right"/>
              <w:rPr>
                <w:sz w:val="14"/>
              </w:rPr>
            </w:pPr>
            <w:r>
              <w:rPr>
                <w:sz w:val="14"/>
              </w:rPr>
              <w:t>0.0%</w:t>
            </w:r>
          </w:p>
        </w:tc>
      </w:tr>
      <w:tr>
        <w:trPr>
          <w:trHeight w:val="386" w:hRule="atLeast"/>
        </w:trPr>
        <w:tc>
          <w:tcPr>
            <w:tcW w:w="3766" w:type="dxa"/>
          </w:tcPr>
          <w:p>
            <w:pPr>
              <w:pStyle w:val="TableParagraph"/>
              <w:spacing w:before="112"/>
              <w:ind w:left="212"/>
              <w:rPr>
                <w:sz w:val="14"/>
              </w:rPr>
            </w:pPr>
            <w:r>
              <w:rPr>
                <w:w w:val="105"/>
                <w:sz w:val="14"/>
              </w:rPr>
              <w:t>5) Community Services</w:t>
            </w:r>
          </w:p>
        </w:tc>
        <w:tc>
          <w:tcPr>
            <w:tcW w:w="1518" w:type="dxa"/>
          </w:tcPr>
          <w:p>
            <w:pPr>
              <w:pStyle w:val="TableParagraph"/>
              <w:spacing w:before="112"/>
              <w:ind w:left="241" w:right="122"/>
              <w:jc w:val="center"/>
              <w:rPr>
                <w:sz w:val="14"/>
              </w:rPr>
            </w:pPr>
            <w:r>
              <w:rPr>
                <w:w w:val="105"/>
                <w:sz w:val="14"/>
              </w:rPr>
              <w:t>5000-5999</w:t>
            </w:r>
          </w:p>
        </w:tc>
        <w:tc>
          <w:tcPr>
            <w:tcW w:w="1115" w:type="dxa"/>
          </w:tcPr>
          <w:p>
            <w:pPr>
              <w:pStyle w:val="TableParagraph"/>
              <w:rPr>
                <w:rFonts w:ascii="Times New Roman"/>
                <w:sz w:val="14"/>
              </w:rPr>
            </w:pPr>
          </w:p>
        </w:tc>
        <w:tc>
          <w:tcPr>
            <w:tcW w:w="1563" w:type="dxa"/>
          </w:tcPr>
          <w:p>
            <w:pPr>
              <w:pStyle w:val="TableParagraph"/>
              <w:spacing w:before="112"/>
              <w:ind w:right="80"/>
              <w:jc w:val="right"/>
              <w:rPr>
                <w:sz w:val="14"/>
              </w:rPr>
            </w:pPr>
            <w:r>
              <w:rPr>
                <w:sz w:val="14"/>
              </w:rPr>
              <w:t>0.00</w:t>
            </w:r>
          </w:p>
        </w:tc>
        <w:tc>
          <w:tcPr>
            <w:tcW w:w="1738" w:type="dxa"/>
            <w:shd w:val="clear" w:color="auto" w:fill="DFDFDF"/>
          </w:tcPr>
          <w:p>
            <w:pPr>
              <w:pStyle w:val="TableParagraph"/>
              <w:spacing w:before="112"/>
              <w:ind w:right="255"/>
              <w:jc w:val="right"/>
              <w:rPr>
                <w:sz w:val="14"/>
              </w:rPr>
            </w:pPr>
            <w:r>
              <w:rPr>
                <w:sz w:val="14"/>
              </w:rPr>
              <w:t>0.00</w:t>
            </w:r>
          </w:p>
        </w:tc>
        <w:tc>
          <w:tcPr>
            <w:tcW w:w="1409" w:type="dxa"/>
            <w:gridSpan w:val="2"/>
            <w:shd w:val="clear" w:color="auto" w:fill="DFDFDF"/>
          </w:tcPr>
          <w:p>
            <w:pPr>
              <w:pStyle w:val="TableParagraph"/>
              <w:spacing w:before="112"/>
              <w:ind w:right="53"/>
              <w:jc w:val="right"/>
              <w:rPr>
                <w:sz w:val="14"/>
              </w:rPr>
            </w:pPr>
            <w:r>
              <w:rPr>
                <w:sz w:val="14"/>
              </w:rPr>
              <w:t>0.0%</w:t>
            </w:r>
          </w:p>
        </w:tc>
      </w:tr>
      <w:tr>
        <w:trPr>
          <w:trHeight w:val="386" w:hRule="atLeast"/>
        </w:trPr>
        <w:tc>
          <w:tcPr>
            <w:tcW w:w="3766" w:type="dxa"/>
          </w:tcPr>
          <w:p>
            <w:pPr>
              <w:pStyle w:val="TableParagraph"/>
              <w:spacing w:before="112"/>
              <w:ind w:left="212"/>
              <w:rPr>
                <w:sz w:val="14"/>
              </w:rPr>
            </w:pPr>
            <w:r>
              <w:rPr>
                <w:w w:val="105"/>
                <w:sz w:val="14"/>
              </w:rPr>
              <w:t>6) Enterprise</w:t>
            </w:r>
          </w:p>
        </w:tc>
        <w:tc>
          <w:tcPr>
            <w:tcW w:w="1518" w:type="dxa"/>
          </w:tcPr>
          <w:p>
            <w:pPr>
              <w:pStyle w:val="TableParagraph"/>
              <w:spacing w:before="112"/>
              <w:ind w:left="241" w:right="122"/>
              <w:jc w:val="center"/>
              <w:rPr>
                <w:sz w:val="14"/>
              </w:rPr>
            </w:pPr>
            <w:r>
              <w:rPr>
                <w:w w:val="105"/>
                <w:sz w:val="14"/>
              </w:rPr>
              <w:t>6000-6999</w:t>
            </w:r>
          </w:p>
        </w:tc>
        <w:tc>
          <w:tcPr>
            <w:tcW w:w="1115" w:type="dxa"/>
          </w:tcPr>
          <w:p>
            <w:pPr>
              <w:pStyle w:val="TableParagraph"/>
              <w:rPr>
                <w:rFonts w:ascii="Times New Roman"/>
                <w:sz w:val="14"/>
              </w:rPr>
            </w:pPr>
          </w:p>
        </w:tc>
        <w:tc>
          <w:tcPr>
            <w:tcW w:w="1563" w:type="dxa"/>
          </w:tcPr>
          <w:p>
            <w:pPr>
              <w:pStyle w:val="TableParagraph"/>
              <w:spacing w:before="112"/>
              <w:ind w:right="80"/>
              <w:jc w:val="right"/>
              <w:rPr>
                <w:sz w:val="14"/>
              </w:rPr>
            </w:pPr>
            <w:r>
              <w:rPr>
                <w:sz w:val="14"/>
              </w:rPr>
              <w:t>0.00</w:t>
            </w:r>
          </w:p>
        </w:tc>
        <w:tc>
          <w:tcPr>
            <w:tcW w:w="1738" w:type="dxa"/>
            <w:shd w:val="clear" w:color="auto" w:fill="DFDFDF"/>
          </w:tcPr>
          <w:p>
            <w:pPr>
              <w:pStyle w:val="TableParagraph"/>
              <w:spacing w:before="112"/>
              <w:ind w:right="255"/>
              <w:jc w:val="right"/>
              <w:rPr>
                <w:sz w:val="14"/>
              </w:rPr>
            </w:pPr>
            <w:r>
              <w:rPr>
                <w:sz w:val="14"/>
              </w:rPr>
              <w:t>0.00</w:t>
            </w:r>
          </w:p>
        </w:tc>
        <w:tc>
          <w:tcPr>
            <w:tcW w:w="1409" w:type="dxa"/>
            <w:gridSpan w:val="2"/>
            <w:shd w:val="clear" w:color="auto" w:fill="DFDFDF"/>
          </w:tcPr>
          <w:p>
            <w:pPr>
              <w:pStyle w:val="TableParagraph"/>
              <w:spacing w:before="112"/>
              <w:ind w:right="53"/>
              <w:jc w:val="right"/>
              <w:rPr>
                <w:sz w:val="14"/>
              </w:rPr>
            </w:pPr>
            <w:r>
              <w:rPr>
                <w:sz w:val="14"/>
              </w:rPr>
              <w:t>0.0%</w:t>
            </w:r>
          </w:p>
        </w:tc>
      </w:tr>
      <w:tr>
        <w:trPr>
          <w:trHeight w:val="277" w:hRule="atLeast"/>
        </w:trPr>
        <w:tc>
          <w:tcPr>
            <w:tcW w:w="3766" w:type="dxa"/>
          </w:tcPr>
          <w:p>
            <w:pPr>
              <w:pStyle w:val="TableParagraph"/>
              <w:spacing w:line="145" w:lineRule="exact" w:before="112"/>
              <w:ind w:left="212"/>
              <w:rPr>
                <w:sz w:val="14"/>
              </w:rPr>
            </w:pPr>
            <w:r>
              <w:rPr>
                <w:w w:val="105"/>
                <w:sz w:val="14"/>
              </w:rPr>
              <w:t>7) General Administration</w:t>
            </w:r>
          </w:p>
        </w:tc>
        <w:tc>
          <w:tcPr>
            <w:tcW w:w="1518" w:type="dxa"/>
          </w:tcPr>
          <w:p>
            <w:pPr>
              <w:pStyle w:val="TableParagraph"/>
              <w:spacing w:line="145" w:lineRule="exact" w:before="112"/>
              <w:ind w:left="241" w:right="122"/>
              <w:jc w:val="center"/>
              <w:rPr>
                <w:sz w:val="14"/>
              </w:rPr>
            </w:pPr>
            <w:r>
              <w:rPr>
                <w:w w:val="105"/>
                <w:sz w:val="14"/>
              </w:rPr>
              <w:t>7000-7999</w:t>
            </w:r>
          </w:p>
        </w:tc>
        <w:tc>
          <w:tcPr>
            <w:tcW w:w="1115" w:type="dxa"/>
          </w:tcPr>
          <w:p>
            <w:pPr>
              <w:pStyle w:val="TableParagraph"/>
              <w:rPr>
                <w:rFonts w:ascii="Times New Roman"/>
                <w:sz w:val="14"/>
              </w:rPr>
            </w:pPr>
          </w:p>
        </w:tc>
        <w:tc>
          <w:tcPr>
            <w:tcW w:w="1563" w:type="dxa"/>
          </w:tcPr>
          <w:p>
            <w:pPr>
              <w:pStyle w:val="TableParagraph"/>
              <w:spacing w:line="145" w:lineRule="exact" w:before="112"/>
              <w:ind w:right="80"/>
              <w:jc w:val="right"/>
              <w:rPr>
                <w:sz w:val="14"/>
              </w:rPr>
            </w:pPr>
            <w:r>
              <w:rPr>
                <w:sz w:val="14"/>
              </w:rPr>
              <w:t>0.00</w:t>
            </w:r>
          </w:p>
        </w:tc>
        <w:tc>
          <w:tcPr>
            <w:tcW w:w="1738" w:type="dxa"/>
            <w:shd w:val="clear" w:color="auto" w:fill="DFDFDF"/>
          </w:tcPr>
          <w:p>
            <w:pPr>
              <w:pStyle w:val="TableParagraph"/>
              <w:spacing w:line="145" w:lineRule="exact" w:before="112"/>
              <w:ind w:right="255"/>
              <w:jc w:val="right"/>
              <w:rPr>
                <w:sz w:val="14"/>
              </w:rPr>
            </w:pPr>
            <w:r>
              <w:rPr>
                <w:sz w:val="14"/>
              </w:rPr>
              <w:t>0.00</w:t>
            </w:r>
          </w:p>
        </w:tc>
        <w:tc>
          <w:tcPr>
            <w:tcW w:w="1409" w:type="dxa"/>
            <w:gridSpan w:val="2"/>
            <w:shd w:val="clear" w:color="auto" w:fill="DFDFDF"/>
          </w:tcPr>
          <w:p>
            <w:pPr>
              <w:pStyle w:val="TableParagraph"/>
              <w:spacing w:line="145" w:lineRule="exact" w:before="112"/>
              <w:ind w:right="53"/>
              <w:jc w:val="right"/>
              <w:rPr>
                <w:sz w:val="14"/>
              </w:rPr>
            </w:pPr>
            <w:r>
              <w:rPr>
                <w:sz w:val="14"/>
              </w:rPr>
              <w:t>0.0%</w:t>
            </w:r>
          </w:p>
        </w:tc>
      </w:tr>
      <w:tr>
        <w:trPr>
          <w:trHeight w:val="413" w:hRule="atLeast"/>
        </w:trPr>
        <w:tc>
          <w:tcPr>
            <w:tcW w:w="3766" w:type="dxa"/>
          </w:tcPr>
          <w:p>
            <w:pPr>
              <w:pStyle w:val="TableParagraph"/>
              <w:spacing w:before="3"/>
              <w:rPr>
                <w:sz w:val="19"/>
              </w:rPr>
            </w:pPr>
          </w:p>
          <w:p>
            <w:pPr>
              <w:pStyle w:val="TableParagraph"/>
              <w:ind w:left="212"/>
              <w:rPr>
                <w:sz w:val="14"/>
              </w:rPr>
            </w:pPr>
            <w:r>
              <w:rPr>
                <w:w w:val="105"/>
                <w:sz w:val="14"/>
              </w:rPr>
              <w:t>8) Plant Services</w:t>
            </w:r>
          </w:p>
        </w:tc>
        <w:tc>
          <w:tcPr>
            <w:tcW w:w="1518" w:type="dxa"/>
          </w:tcPr>
          <w:p>
            <w:pPr>
              <w:pStyle w:val="TableParagraph"/>
              <w:spacing w:before="3"/>
              <w:rPr>
                <w:sz w:val="19"/>
              </w:rPr>
            </w:pPr>
          </w:p>
          <w:p>
            <w:pPr>
              <w:pStyle w:val="TableParagraph"/>
              <w:ind w:left="241" w:right="122"/>
              <w:jc w:val="center"/>
              <w:rPr>
                <w:sz w:val="14"/>
              </w:rPr>
            </w:pPr>
            <w:r>
              <w:rPr>
                <w:w w:val="105"/>
                <w:sz w:val="14"/>
              </w:rPr>
              <w:t>8000-8999</w:t>
            </w:r>
          </w:p>
        </w:tc>
        <w:tc>
          <w:tcPr>
            <w:tcW w:w="1115" w:type="dxa"/>
          </w:tcPr>
          <w:p>
            <w:pPr>
              <w:pStyle w:val="TableParagraph"/>
              <w:rPr>
                <w:rFonts w:ascii="Times New Roman"/>
                <w:sz w:val="14"/>
              </w:rPr>
            </w:pPr>
          </w:p>
        </w:tc>
        <w:tc>
          <w:tcPr>
            <w:tcW w:w="1563" w:type="dxa"/>
          </w:tcPr>
          <w:p>
            <w:pPr>
              <w:pStyle w:val="TableParagraph"/>
              <w:spacing w:before="3"/>
              <w:rPr>
                <w:sz w:val="19"/>
              </w:rPr>
            </w:pPr>
          </w:p>
          <w:p>
            <w:pPr>
              <w:pStyle w:val="TableParagraph"/>
              <w:ind w:right="80"/>
              <w:jc w:val="right"/>
              <w:rPr>
                <w:sz w:val="14"/>
              </w:rPr>
            </w:pPr>
            <w:r>
              <w:rPr>
                <w:sz w:val="14"/>
              </w:rPr>
              <w:t>0.00</w:t>
            </w:r>
          </w:p>
        </w:tc>
        <w:tc>
          <w:tcPr>
            <w:tcW w:w="1738" w:type="dxa"/>
          </w:tcPr>
          <w:p>
            <w:pPr>
              <w:pStyle w:val="TableParagraph"/>
              <w:spacing w:before="3"/>
              <w:rPr>
                <w:sz w:val="19"/>
              </w:rPr>
            </w:pPr>
          </w:p>
          <w:p>
            <w:pPr>
              <w:pStyle w:val="TableParagraph"/>
              <w:ind w:right="255"/>
              <w:jc w:val="right"/>
              <w:rPr>
                <w:sz w:val="14"/>
              </w:rPr>
            </w:pPr>
            <w:r>
              <w:rPr>
                <w:sz w:val="14"/>
              </w:rPr>
              <w:t>0.00</w:t>
            </w:r>
          </w:p>
        </w:tc>
        <w:tc>
          <w:tcPr>
            <w:tcW w:w="1409" w:type="dxa"/>
            <w:gridSpan w:val="2"/>
          </w:tcPr>
          <w:p>
            <w:pPr>
              <w:pStyle w:val="TableParagraph"/>
              <w:spacing w:before="3"/>
              <w:rPr>
                <w:sz w:val="19"/>
              </w:rPr>
            </w:pPr>
          </w:p>
          <w:p>
            <w:pPr>
              <w:pStyle w:val="TableParagraph"/>
              <w:ind w:right="53"/>
              <w:jc w:val="right"/>
              <w:rPr>
                <w:sz w:val="14"/>
              </w:rPr>
            </w:pPr>
            <w:r>
              <w:rPr>
                <w:sz w:val="14"/>
              </w:rPr>
              <w:t>0.0%</w:t>
            </w:r>
          </w:p>
        </w:tc>
      </w:tr>
      <w:tr>
        <w:trPr>
          <w:trHeight w:val="468" w:hRule="atLeast"/>
        </w:trPr>
        <w:tc>
          <w:tcPr>
            <w:tcW w:w="3766" w:type="dxa"/>
          </w:tcPr>
          <w:p>
            <w:pPr>
              <w:pStyle w:val="TableParagraph"/>
              <w:spacing w:before="10"/>
              <w:rPr>
                <w:sz w:val="16"/>
              </w:rPr>
            </w:pPr>
          </w:p>
          <w:p>
            <w:pPr>
              <w:pStyle w:val="TableParagraph"/>
              <w:ind w:left="212"/>
              <w:rPr>
                <w:sz w:val="14"/>
              </w:rPr>
            </w:pPr>
            <w:r>
              <w:rPr>
                <w:w w:val="105"/>
                <w:sz w:val="14"/>
              </w:rPr>
              <w:t>9) Other Outgo</w:t>
            </w:r>
          </w:p>
        </w:tc>
        <w:tc>
          <w:tcPr>
            <w:tcW w:w="1518" w:type="dxa"/>
          </w:tcPr>
          <w:p>
            <w:pPr>
              <w:pStyle w:val="TableParagraph"/>
              <w:spacing w:before="10"/>
              <w:rPr>
                <w:sz w:val="16"/>
              </w:rPr>
            </w:pPr>
          </w:p>
          <w:p>
            <w:pPr>
              <w:pStyle w:val="TableParagraph"/>
              <w:ind w:left="241" w:right="122"/>
              <w:jc w:val="center"/>
              <w:rPr>
                <w:sz w:val="14"/>
              </w:rPr>
            </w:pPr>
            <w:r>
              <w:rPr>
                <w:w w:val="105"/>
                <w:sz w:val="14"/>
              </w:rPr>
              <w:t>9000-9999</w:t>
            </w:r>
          </w:p>
        </w:tc>
        <w:tc>
          <w:tcPr>
            <w:tcW w:w="1115" w:type="dxa"/>
          </w:tcPr>
          <w:p>
            <w:pPr>
              <w:pStyle w:val="TableParagraph"/>
              <w:spacing w:line="242" w:lineRule="auto" w:before="31"/>
              <w:ind w:left="269" w:right="145" w:firstLine="127"/>
              <w:rPr>
                <w:sz w:val="14"/>
              </w:rPr>
            </w:pPr>
            <w:r>
              <w:rPr>
                <w:w w:val="105"/>
                <w:sz w:val="14"/>
              </w:rPr>
              <w:t>Except </w:t>
            </w:r>
            <w:r>
              <w:rPr>
                <w:sz w:val="14"/>
              </w:rPr>
              <w:t>7600-7699</w:t>
            </w:r>
          </w:p>
        </w:tc>
        <w:tc>
          <w:tcPr>
            <w:tcW w:w="1563" w:type="dxa"/>
          </w:tcPr>
          <w:p>
            <w:pPr>
              <w:pStyle w:val="TableParagraph"/>
              <w:spacing w:before="10"/>
              <w:rPr>
                <w:sz w:val="16"/>
              </w:rPr>
            </w:pPr>
          </w:p>
          <w:p>
            <w:pPr>
              <w:pStyle w:val="TableParagraph"/>
              <w:ind w:right="80"/>
              <w:jc w:val="right"/>
              <w:rPr>
                <w:sz w:val="14"/>
              </w:rPr>
            </w:pPr>
            <w:r>
              <w:rPr>
                <w:sz w:val="14"/>
              </w:rPr>
              <w:t>0.00</w:t>
            </w:r>
          </w:p>
        </w:tc>
        <w:tc>
          <w:tcPr>
            <w:tcW w:w="1738" w:type="dxa"/>
          </w:tcPr>
          <w:p>
            <w:pPr>
              <w:pStyle w:val="TableParagraph"/>
              <w:spacing w:before="10"/>
              <w:rPr>
                <w:sz w:val="16"/>
              </w:rPr>
            </w:pPr>
          </w:p>
          <w:p>
            <w:pPr>
              <w:pStyle w:val="TableParagraph"/>
              <w:ind w:right="255"/>
              <w:jc w:val="right"/>
              <w:rPr>
                <w:sz w:val="14"/>
              </w:rPr>
            </w:pPr>
            <w:r>
              <w:rPr>
                <w:sz w:val="14"/>
              </w:rPr>
              <w:t>0.00</w:t>
            </w:r>
          </w:p>
        </w:tc>
        <w:tc>
          <w:tcPr>
            <w:tcW w:w="1409" w:type="dxa"/>
            <w:gridSpan w:val="2"/>
          </w:tcPr>
          <w:p>
            <w:pPr>
              <w:pStyle w:val="TableParagraph"/>
              <w:spacing w:before="10"/>
              <w:rPr>
                <w:sz w:val="16"/>
              </w:rPr>
            </w:pPr>
          </w:p>
          <w:p>
            <w:pPr>
              <w:pStyle w:val="TableParagraph"/>
              <w:ind w:right="53"/>
              <w:jc w:val="right"/>
              <w:rPr>
                <w:sz w:val="14"/>
              </w:rPr>
            </w:pPr>
            <w:r>
              <w:rPr>
                <w:sz w:val="14"/>
              </w:rPr>
              <w:t>0.0%</w:t>
            </w:r>
          </w:p>
        </w:tc>
      </w:tr>
      <w:tr>
        <w:trPr>
          <w:trHeight w:val="385" w:hRule="atLeast"/>
        </w:trPr>
        <w:tc>
          <w:tcPr>
            <w:tcW w:w="3766" w:type="dxa"/>
          </w:tcPr>
          <w:p>
            <w:pPr>
              <w:pStyle w:val="TableParagraph"/>
              <w:spacing w:before="112"/>
              <w:ind w:left="171"/>
              <w:rPr>
                <w:sz w:val="14"/>
              </w:rPr>
            </w:pPr>
            <w:r>
              <w:rPr>
                <w:w w:val="105"/>
                <w:sz w:val="14"/>
              </w:rPr>
              <w:t>10) TOTAL, EXPENDITURES</w:t>
            </w:r>
          </w:p>
        </w:tc>
        <w:tc>
          <w:tcPr>
            <w:tcW w:w="1518" w:type="dxa"/>
          </w:tcPr>
          <w:p>
            <w:pPr>
              <w:pStyle w:val="TableParagraph"/>
              <w:rPr>
                <w:rFonts w:ascii="Times New Roman"/>
                <w:sz w:val="14"/>
              </w:rPr>
            </w:pPr>
          </w:p>
        </w:tc>
        <w:tc>
          <w:tcPr>
            <w:tcW w:w="1115" w:type="dxa"/>
          </w:tcPr>
          <w:p>
            <w:pPr>
              <w:pStyle w:val="TableParagraph"/>
              <w:rPr>
                <w:rFonts w:ascii="Times New Roman"/>
                <w:sz w:val="14"/>
              </w:rPr>
            </w:pPr>
          </w:p>
        </w:tc>
        <w:tc>
          <w:tcPr>
            <w:tcW w:w="1563" w:type="dxa"/>
          </w:tcPr>
          <w:p>
            <w:pPr>
              <w:pStyle w:val="TableParagraph"/>
              <w:spacing w:before="112"/>
              <w:ind w:right="80"/>
              <w:jc w:val="right"/>
              <w:rPr>
                <w:sz w:val="14"/>
              </w:rPr>
            </w:pPr>
            <w:r>
              <w:rPr>
                <w:sz w:val="14"/>
              </w:rPr>
              <w:t>0.00</w:t>
            </w:r>
          </w:p>
        </w:tc>
        <w:tc>
          <w:tcPr>
            <w:tcW w:w="1738" w:type="dxa"/>
          </w:tcPr>
          <w:p>
            <w:pPr>
              <w:pStyle w:val="TableParagraph"/>
              <w:spacing w:before="112"/>
              <w:ind w:right="255"/>
              <w:jc w:val="right"/>
              <w:rPr>
                <w:sz w:val="14"/>
              </w:rPr>
            </w:pPr>
            <w:r>
              <w:rPr>
                <w:sz w:val="14"/>
              </w:rPr>
              <w:t>0.00</w:t>
            </w:r>
          </w:p>
        </w:tc>
        <w:tc>
          <w:tcPr>
            <w:tcW w:w="1409" w:type="dxa"/>
            <w:gridSpan w:val="2"/>
          </w:tcPr>
          <w:p>
            <w:pPr>
              <w:pStyle w:val="TableParagraph"/>
              <w:spacing w:before="112"/>
              <w:ind w:right="53"/>
              <w:jc w:val="right"/>
              <w:rPr>
                <w:sz w:val="14"/>
              </w:rPr>
            </w:pPr>
            <w:r>
              <w:rPr>
                <w:sz w:val="14"/>
              </w:rPr>
              <w:t>0.0%</w:t>
            </w:r>
          </w:p>
        </w:tc>
      </w:tr>
      <w:tr>
        <w:trPr>
          <w:trHeight w:val="292" w:hRule="atLeast"/>
        </w:trPr>
        <w:tc>
          <w:tcPr>
            <w:tcW w:w="3766" w:type="dxa"/>
          </w:tcPr>
          <w:p>
            <w:pPr>
              <w:pStyle w:val="TableParagraph"/>
              <w:spacing w:before="111"/>
              <w:ind w:left="50"/>
              <w:rPr>
                <w:b/>
                <w:sz w:val="14"/>
              </w:rPr>
            </w:pPr>
            <w:r>
              <w:rPr>
                <w:b/>
                <w:w w:val="105"/>
                <w:sz w:val="14"/>
              </w:rPr>
              <w:t>C. EXCESS (DEFICIENCY) OF REVENUES</w:t>
            </w:r>
          </w:p>
        </w:tc>
        <w:tc>
          <w:tcPr>
            <w:tcW w:w="1518" w:type="dxa"/>
          </w:tcPr>
          <w:p>
            <w:pPr>
              <w:pStyle w:val="TableParagraph"/>
              <w:rPr>
                <w:rFonts w:ascii="Times New Roman"/>
                <w:sz w:val="14"/>
              </w:rPr>
            </w:pPr>
          </w:p>
        </w:tc>
        <w:tc>
          <w:tcPr>
            <w:tcW w:w="1115" w:type="dxa"/>
          </w:tcPr>
          <w:p>
            <w:pPr>
              <w:pStyle w:val="TableParagraph"/>
              <w:rPr>
                <w:rFonts w:ascii="Times New Roman"/>
                <w:sz w:val="14"/>
              </w:rPr>
            </w:pPr>
          </w:p>
        </w:tc>
        <w:tc>
          <w:tcPr>
            <w:tcW w:w="1563" w:type="dxa"/>
          </w:tcPr>
          <w:p>
            <w:pPr>
              <w:pStyle w:val="TableParagraph"/>
              <w:rPr>
                <w:rFonts w:ascii="Times New Roman"/>
                <w:sz w:val="14"/>
              </w:rPr>
            </w:pPr>
          </w:p>
        </w:tc>
        <w:tc>
          <w:tcPr>
            <w:tcW w:w="1738" w:type="dxa"/>
          </w:tcPr>
          <w:p>
            <w:pPr>
              <w:pStyle w:val="TableParagraph"/>
              <w:rPr>
                <w:rFonts w:ascii="Times New Roman"/>
                <w:sz w:val="14"/>
              </w:rPr>
            </w:pPr>
          </w:p>
        </w:tc>
        <w:tc>
          <w:tcPr>
            <w:tcW w:w="1409" w:type="dxa"/>
            <w:gridSpan w:val="2"/>
          </w:tcPr>
          <w:p>
            <w:pPr>
              <w:pStyle w:val="TableParagraph"/>
              <w:rPr>
                <w:rFonts w:ascii="Times New Roman"/>
                <w:sz w:val="14"/>
              </w:rPr>
            </w:pPr>
          </w:p>
        </w:tc>
      </w:tr>
      <w:tr>
        <w:trPr>
          <w:trHeight w:val="201" w:hRule="atLeast"/>
        </w:trPr>
        <w:tc>
          <w:tcPr>
            <w:tcW w:w="3766" w:type="dxa"/>
          </w:tcPr>
          <w:p>
            <w:pPr>
              <w:pStyle w:val="TableParagraph"/>
              <w:spacing w:before="20"/>
              <w:ind w:left="252"/>
              <w:rPr>
                <w:b/>
                <w:sz w:val="14"/>
              </w:rPr>
            </w:pPr>
            <w:r>
              <w:rPr>
                <w:b/>
                <w:w w:val="105"/>
                <w:sz w:val="14"/>
              </w:rPr>
              <w:t>OVER EXPENDITURES BEFORE OTHER</w:t>
            </w:r>
          </w:p>
        </w:tc>
        <w:tc>
          <w:tcPr>
            <w:tcW w:w="1518" w:type="dxa"/>
          </w:tcPr>
          <w:p>
            <w:pPr>
              <w:pStyle w:val="TableParagraph"/>
              <w:rPr>
                <w:rFonts w:ascii="Times New Roman"/>
                <w:sz w:val="14"/>
              </w:rPr>
            </w:pPr>
          </w:p>
        </w:tc>
        <w:tc>
          <w:tcPr>
            <w:tcW w:w="1115" w:type="dxa"/>
          </w:tcPr>
          <w:p>
            <w:pPr>
              <w:pStyle w:val="TableParagraph"/>
              <w:rPr>
                <w:rFonts w:ascii="Times New Roman"/>
                <w:sz w:val="14"/>
              </w:rPr>
            </w:pPr>
          </w:p>
        </w:tc>
        <w:tc>
          <w:tcPr>
            <w:tcW w:w="1563" w:type="dxa"/>
          </w:tcPr>
          <w:p>
            <w:pPr>
              <w:pStyle w:val="TableParagraph"/>
              <w:rPr>
                <w:rFonts w:ascii="Times New Roman"/>
                <w:sz w:val="14"/>
              </w:rPr>
            </w:pPr>
          </w:p>
        </w:tc>
        <w:tc>
          <w:tcPr>
            <w:tcW w:w="1738" w:type="dxa"/>
          </w:tcPr>
          <w:p>
            <w:pPr>
              <w:pStyle w:val="TableParagraph"/>
              <w:rPr>
                <w:rFonts w:ascii="Times New Roman"/>
                <w:sz w:val="14"/>
              </w:rPr>
            </w:pPr>
          </w:p>
        </w:tc>
        <w:tc>
          <w:tcPr>
            <w:tcW w:w="1409" w:type="dxa"/>
            <w:gridSpan w:val="2"/>
          </w:tcPr>
          <w:p>
            <w:pPr>
              <w:pStyle w:val="TableParagraph"/>
              <w:rPr>
                <w:rFonts w:ascii="Times New Roman"/>
                <w:sz w:val="14"/>
              </w:rPr>
            </w:pPr>
          </w:p>
        </w:tc>
      </w:tr>
      <w:tr>
        <w:trPr>
          <w:trHeight w:val="295" w:hRule="atLeast"/>
        </w:trPr>
        <w:tc>
          <w:tcPr>
            <w:tcW w:w="3766" w:type="dxa"/>
          </w:tcPr>
          <w:p>
            <w:pPr>
              <w:pStyle w:val="TableParagraph"/>
              <w:spacing w:before="20"/>
              <w:ind w:left="252"/>
              <w:rPr>
                <w:b/>
                <w:sz w:val="14"/>
              </w:rPr>
            </w:pPr>
            <w:r>
              <w:rPr>
                <w:b/>
                <w:w w:val="105"/>
                <w:sz w:val="14"/>
              </w:rPr>
              <w:t>FINANCING SOURCES AND USES (A5 - B10)</w:t>
            </w:r>
          </w:p>
        </w:tc>
        <w:tc>
          <w:tcPr>
            <w:tcW w:w="1518" w:type="dxa"/>
          </w:tcPr>
          <w:p>
            <w:pPr>
              <w:pStyle w:val="TableParagraph"/>
              <w:rPr>
                <w:rFonts w:ascii="Times New Roman"/>
                <w:sz w:val="14"/>
              </w:rPr>
            </w:pPr>
          </w:p>
        </w:tc>
        <w:tc>
          <w:tcPr>
            <w:tcW w:w="1115" w:type="dxa"/>
          </w:tcPr>
          <w:p>
            <w:pPr>
              <w:pStyle w:val="TableParagraph"/>
              <w:rPr>
                <w:rFonts w:ascii="Times New Roman"/>
                <w:sz w:val="14"/>
              </w:rPr>
            </w:pPr>
          </w:p>
        </w:tc>
        <w:tc>
          <w:tcPr>
            <w:tcW w:w="1563" w:type="dxa"/>
          </w:tcPr>
          <w:p>
            <w:pPr>
              <w:pStyle w:val="TableParagraph"/>
              <w:spacing w:before="22"/>
              <w:ind w:right="80"/>
              <w:jc w:val="right"/>
              <w:rPr>
                <w:sz w:val="14"/>
              </w:rPr>
            </w:pPr>
            <w:r>
              <w:rPr>
                <w:sz w:val="14"/>
              </w:rPr>
              <w:t>265.00</w:t>
            </w:r>
          </w:p>
        </w:tc>
        <w:tc>
          <w:tcPr>
            <w:tcW w:w="1738" w:type="dxa"/>
          </w:tcPr>
          <w:p>
            <w:pPr>
              <w:pStyle w:val="TableParagraph"/>
              <w:spacing w:before="22"/>
              <w:ind w:right="256"/>
              <w:jc w:val="right"/>
              <w:rPr>
                <w:sz w:val="14"/>
              </w:rPr>
            </w:pPr>
            <w:r>
              <w:rPr>
                <w:sz w:val="14"/>
              </w:rPr>
              <w:t>265.00</w:t>
            </w:r>
          </w:p>
        </w:tc>
        <w:tc>
          <w:tcPr>
            <w:tcW w:w="1409" w:type="dxa"/>
            <w:gridSpan w:val="2"/>
          </w:tcPr>
          <w:p>
            <w:pPr>
              <w:pStyle w:val="TableParagraph"/>
              <w:spacing w:before="22"/>
              <w:ind w:right="53"/>
              <w:jc w:val="right"/>
              <w:rPr>
                <w:sz w:val="14"/>
              </w:rPr>
            </w:pPr>
            <w:r>
              <w:rPr>
                <w:sz w:val="14"/>
              </w:rPr>
              <w:t>0.0%</w:t>
            </w:r>
          </w:p>
        </w:tc>
      </w:tr>
      <w:tr>
        <w:trPr>
          <w:trHeight w:val="271" w:hRule="atLeast"/>
        </w:trPr>
        <w:tc>
          <w:tcPr>
            <w:tcW w:w="3766" w:type="dxa"/>
          </w:tcPr>
          <w:p>
            <w:pPr>
              <w:pStyle w:val="TableParagraph"/>
              <w:spacing w:line="140" w:lineRule="exact" w:before="111"/>
              <w:ind w:left="50"/>
              <w:rPr>
                <w:b/>
                <w:sz w:val="14"/>
              </w:rPr>
            </w:pPr>
            <w:r>
              <w:rPr>
                <w:b/>
                <w:w w:val="105"/>
                <w:sz w:val="14"/>
              </w:rPr>
              <w:t>D. OTHER FINANCING SOURCES/USES</w:t>
            </w:r>
          </w:p>
        </w:tc>
        <w:tc>
          <w:tcPr>
            <w:tcW w:w="7343" w:type="dxa"/>
            <w:gridSpan w:val="6"/>
          </w:tcPr>
          <w:p>
            <w:pPr>
              <w:pStyle w:val="TableParagraph"/>
              <w:rPr>
                <w:rFonts w:ascii="Times New Roman"/>
                <w:sz w:val="14"/>
              </w:rPr>
            </w:pPr>
          </w:p>
        </w:tc>
      </w:tr>
      <w:tr>
        <w:trPr>
          <w:trHeight w:val="426" w:hRule="atLeast"/>
        </w:trPr>
        <w:tc>
          <w:tcPr>
            <w:tcW w:w="3766" w:type="dxa"/>
          </w:tcPr>
          <w:p>
            <w:pPr>
              <w:pStyle w:val="TableParagraph"/>
              <w:spacing w:before="4"/>
              <w:rPr>
                <w:sz w:val="21"/>
              </w:rPr>
            </w:pPr>
          </w:p>
          <w:p>
            <w:pPr>
              <w:pStyle w:val="TableParagraph"/>
              <w:ind w:left="212"/>
              <w:rPr>
                <w:sz w:val="14"/>
              </w:rPr>
            </w:pPr>
            <w:r>
              <w:rPr>
                <w:w w:val="105"/>
                <w:sz w:val="14"/>
              </w:rPr>
              <w:t>1) Interfund Transfers</w:t>
            </w:r>
          </w:p>
        </w:tc>
        <w:tc>
          <w:tcPr>
            <w:tcW w:w="2633" w:type="dxa"/>
            <w:gridSpan w:val="2"/>
          </w:tcPr>
          <w:p>
            <w:pPr>
              <w:pStyle w:val="TableParagraph"/>
              <w:rPr>
                <w:rFonts w:ascii="Times New Roman"/>
                <w:sz w:val="14"/>
              </w:rPr>
            </w:pPr>
          </w:p>
        </w:tc>
        <w:tc>
          <w:tcPr>
            <w:tcW w:w="1563" w:type="dxa"/>
          </w:tcPr>
          <w:p>
            <w:pPr>
              <w:pStyle w:val="TableParagraph"/>
              <w:rPr>
                <w:rFonts w:ascii="Times New Roman"/>
                <w:sz w:val="14"/>
              </w:rPr>
            </w:pPr>
          </w:p>
        </w:tc>
        <w:tc>
          <w:tcPr>
            <w:tcW w:w="1738" w:type="dxa"/>
          </w:tcPr>
          <w:p>
            <w:pPr>
              <w:pStyle w:val="TableParagraph"/>
              <w:rPr>
                <w:rFonts w:ascii="Times New Roman"/>
                <w:sz w:val="14"/>
              </w:rPr>
            </w:pPr>
          </w:p>
        </w:tc>
        <w:tc>
          <w:tcPr>
            <w:tcW w:w="1409" w:type="dxa"/>
            <w:gridSpan w:val="2"/>
          </w:tcPr>
          <w:p>
            <w:pPr>
              <w:pStyle w:val="TableParagraph"/>
              <w:rPr>
                <w:rFonts w:ascii="Times New Roman"/>
                <w:sz w:val="14"/>
              </w:rPr>
            </w:pPr>
          </w:p>
        </w:tc>
      </w:tr>
      <w:tr>
        <w:trPr>
          <w:trHeight w:val="294" w:hRule="atLeast"/>
        </w:trPr>
        <w:tc>
          <w:tcPr>
            <w:tcW w:w="3766" w:type="dxa"/>
          </w:tcPr>
          <w:p>
            <w:pPr>
              <w:pStyle w:val="TableParagraph"/>
              <w:spacing w:before="20"/>
              <w:ind w:left="376"/>
              <w:rPr>
                <w:sz w:val="14"/>
              </w:rPr>
            </w:pPr>
            <w:r>
              <w:rPr>
                <w:w w:val="105"/>
                <w:sz w:val="14"/>
              </w:rPr>
              <w:t>a) Transfers In</w:t>
            </w:r>
          </w:p>
        </w:tc>
        <w:tc>
          <w:tcPr>
            <w:tcW w:w="2633" w:type="dxa"/>
            <w:gridSpan w:val="2"/>
          </w:tcPr>
          <w:p>
            <w:pPr>
              <w:pStyle w:val="TableParagraph"/>
              <w:spacing w:before="20"/>
              <w:ind w:right="149"/>
              <w:jc w:val="right"/>
              <w:rPr>
                <w:sz w:val="14"/>
              </w:rPr>
            </w:pPr>
            <w:r>
              <w:rPr>
                <w:sz w:val="14"/>
              </w:rPr>
              <w:t>8900-8929</w:t>
            </w:r>
          </w:p>
        </w:tc>
        <w:tc>
          <w:tcPr>
            <w:tcW w:w="1563" w:type="dxa"/>
          </w:tcPr>
          <w:p>
            <w:pPr>
              <w:pStyle w:val="TableParagraph"/>
              <w:spacing w:before="20"/>
              <w:ind w:right="80"/>
              <w:jc w:val="right"/>
              <w:rPr>
                <w:sz w:val="14"/>
              </w:rPr>
            </w:pPr>
            <w:r>
              <w:rPr>
                <w:sz w:val="14"/>
              </w:rPr>
              <w:t>0.00</w:t>
            </w:r>
          </w:p>
        </w:tc>
        <w:tc>
          <w:tcPr>
            <w:tcW w:w="1738" w:type="dxa"/>
          </w:tcPr>
          <w:p>
            <w:pPr>
              <w:pStyle w:val="TableParagraph"/>
              <w:spacing w:before="20"/>
              <w:ind w:right="255"/>
              <w:jc w:val="right"/>
              <w:rPr>
                <w:sz w:val="14"/>
              </w:rPr>
            </w:pPr>
            <w:r>
              <w:rPr>
                <w:sz w:val="14"/>
              </w:rPr>
              <w:t>0.00</w:t>
            </w:r>
          </w:p>
        </w:tc>
        <w:tc>
          <w:tcPr>
            <w:tcW w:w="1409" w:type="dxa"/>
            <w:gridSpan w:val="2"/>
          </w:tcPr>
          <w:p>
            <w:pPr>
              <w:pStyle w:val="TableParagraph"/>
              <w:spacing w:before="20"/>
              <w:ind w:right="53"/>
              <w:jc w:val="right"/>
              <w:rPr>
                <w:sz w:val="14"/>
              </w:rPr>
            </w:pPr>
            <w:r>
              <w:rPr>
                <w:sz w:val="14"/>
              </w:rPr>
              <w:t>0.0%</w:t>
            </w:r>
          </w:p>
        </w:tc>
      </w:tr>
      <w:tr>
        <w:trPr>
          <w:trHeight w:val="386" w:hRule="atLeast"/>
        </w:trPr>
        <w:tc>
          <w:tcPr>
            <w:tcW w:w="3766" w:type="dxa"/>
          </w:tcPr>
          <w:p>
            <w:pPr>
              <w:pStyle w:val="TableParagraph"/>
              <w:spacing w:before="112"/>
              <w:ind w:left="376"/>
              <w:rPr>
                <w:sz w:val="14"/>
              </w:rPr>
            </w:pPr>
            <w:r>
              <w:rPr>
                <w:w w:val="105"/>
                <w:sz w:val="14"/>
              </w:rPr>
              <w:t>b) Transfers Out</w:t>
            </w:r>
          </w:p>
        </w:tc>
        <w:tc>
          <w:tcPr>
            <w:tcW w:w="2633" w:type="dxa"/>
            <w:gridSpan w:val="2"/>
          </w:tcPr>
          <w:p>
            <w:pPr>
              <w:pStyle w:val="TableParagraph"/>
              <w:spacing w:before="112"/>
              <w:ind w:right="149"/>
              <w:jc w:val="right"/>
              <w:rPr>
                <w:sz w:val="14"/>
              </w:rPr>
            </w:pPr>
            <w:r>
              <w:rPr>
                <w:sz w:val="14"/>
              </w:rPr>
              <w:t>7600-7629</w:t>
            </w:r>
          </w:p>
        </w:tc>
        <w:tc>
          <w:tcPr>
            <w:tcW w:w="1563" w:type="dxa"/>
          </w:tcPr>
          <w:p>
            <w:pPr>
              <w:pStyle w:val="TableParagraph"/>
              <w:spacing w:before="112"/>
              <w:ind w:right="80"/>
              <w:jc w:val="right"/>
              <w:rPr>
                <w:sz w:val="14"/>
              </w:rPr>
            </w:pPr>
            <w:r>
              <w:rPr>
                <w:sz w:val="14"/>
              </w:rPr>
              <w:t>0.00</w:t>
            </w:r>
          </w:p>
        </w:tc>
        <w:tc>
          <w:tcPr>
            <w:tcW w:w="1738" w:type="dxa"/>
          </w:tcPr>
          <w:p>
            <w:pPr>
              <w:pStyle w:val="TableParagraph"/>
              <w:spacing w:before="112"/>
              <w:ind w:right="255"/>
              <w:jc w:val="right"/>
              <w:rPr>
                <w:sz w:val="14"/>
              </w:rPr>
            </w:pPr>
            <w:r>
              <w:rPr>
                <w:sz w:val="14"/>
              </w:rPr>
              <w:t>0.00</w:t>
            </w:r>
          </w:p>
        </w:tc>
        <w:tc>
          <w:tcPr>
            <w:tcW w:w="1409" w:type="dxa"/>
            <w:gridSpan w:val="2"/>
          </w:tcPr>
          <w:p>
            <w:pPr>
              <w:pStyle w:val="TableParagraph"/>
              <w:spacing w:before="112"/>
              <w:ind w:right="53"/>
              <w:jc w:val="right"/>
              <w:rPr>
                <w:sz w:val="14"/>
              </w:rPr>
            </w:pPr>
            <w:r>
              <w:rPr>
                <w:sz w:val="14"/>
              </w:rPr>
              <w:t>0.0%</w:t>
            </w:r>
          </w:p>
        </w:tc>
      </w:tr>
      <w:tr>
        <w:trPr>
          <w:trHeight w:val="294" w:hRule="atLeast"/>
        </w:trPr>
        <w:tc>
          <w:tcPr>
            <w:tcW w:w="3766" w:type="dxa"/>
          </w:tcPr>
          <w:p>
            <w:pPr>
              <w:pStyle w:val="TableParagraph"/>
              <w:spacing w:before="112"/>
              <w:ind w:left="212"/>
              <w:rPr>
                <w:sz w:val="14"/>
              </w:rPr>
            </w:pPr>
            <w:r>
              <w:rPr>
                <w:w w:val="105"/>
                <w:sz w:val="14"/>
              </w:rPr>
              <w:t>2) Other Sources/Uses</w:t>
            </w:r>
          </w:p>
        </w:tc>
        <w:tc>
          <w:tcPr>
            <w:tcW w:w="2633" w:type="dxa"/>
            <w:gridSpan w:val="2"/>
          </w:tcPr>
          <w:p>
            <w:pPr>
              <w:pStyle w:val="TableParagraph"/>
              <w:rPr>
                <w:rFonts w:ascii="Times New Roman"/>
                <w:sz w:val="14"/>
              </w:rPr>
            </w:pPr>
          </w:p>
        </w:tc>
        <w:tc>
          <w:tcPr>
            <w:tcW w:w="1563" w:type="dxa"/>
          </w:tcPr>
          <w:p>
            <w:pPr>
              <w:pStyle w:val="TableParagraph"/>
              <w:rPr>
                <w:rFonts w:ascii="Times New Roman"/>
                <w:sz w:val="14"/>
              </w:rPr>
            </w:pPr>
          </w:p>
        </w:tc>
        <w:tc>
          <w:tcPr>
            <w:tcW w:w="1738" w:type="dxa"/>
          </w:tcPr>
          <w:p>
            <w:pPr>
              <w:pStyle w:val="TableParagraph"/>
              <w:rPr>
                <w:rFonts w:ascii="Times New Roman"/>
                <w:sz w:val="14"/>
              </w:rPr>
            </w:pPr>
          </w:p>
        </w:tc>
        <w:tc>
          <w:tcPr>
            <w:tcW w:w="1409" w:type="dxa"/>
            <w:gridSpan w:val="2"/>
          </w:tcPr>
          <w:p>
            <w:pPr>
              <w:pStyle w:val="TableParagraph"/>
              <w:rPr>
                <w:rFonts w:ascii="Times New Roman"/>
                <w:sz w:val="14"/>
              </w:rPr>
            </w:pPr>
          </w:p>
        </w:tc>
      </w:tr>
      <w:tr>
        <w:trPr>
          <w:trHeight w:val="294" w:hRule="atLeast"/>
        </w:trPr>
        <w:tc>
          <w:tcPr>
            <w:tcW w:w="3766" w:type="dxa"/>
          </w:tcPr>
          <w:p>
            <w:pPr>
              <w:pStyle w:val="TableParagraph"/>
              <w:spacing w:before="20"/>
              <w:ind w:left="376"/>
              <w:rPr>
                <w:sz w:val="14"/>
              </w:rPr>
            </w:pPr>
            <w:r>
              <w:rPr>
                <w:w w:val="105"/>
                <w:sz w:val="14"/>
              </w:rPr>
              <w:t>a) Sources</w:t>
            </w:r>
          </w:p>
        </w:tc>
        <w:tc>
          <w:tcPr>
            <w:tcW w:w="2633" w:type="dxa"/>
            <w:gridSpan w:val="2"/>
          </w:tcPr>
          <w:p>
            <w:pPr>
              <w:pStyle w:val="TableParagraph"/>
              <w:spacing w:before="20"/>
              <w:ind w:right="149"/>
              <w:jc w:val="right"/>
              <w:rPr>
                <w:sz w:val="14"/>
              </w:rPr>
            </w:pPr>
            <w:r>
              <w:rPr>
                <w:sz w:val="14"/>
              </w:rPr>
              <w:t>8930-8979</w:t>
            </w:r>
          </w:p>
        </w:tc>
        <w:tc>
          <w:tcPr>
            <w:tcW w:w="1563" w:type="dxa"/>
          </w:tcPr>
          <w:p>
            <w:pPr>
              <w:pStyle w:val="TableParagraph"/>
              <w:spacing w:before="20"/>
              <w:ind w:right="80"/>
              <w:jc w:val="right"/>
              <w:rPr>
                <w:sz w:val="14"/>
              </w:rPr>
            </w:pPr>
            <w:r>
              <w:rPr>
                <w:sz w:val="14"/>
              </w:rPr>
              <w:t>0.00</w:t>
            </w:r>
          </w:p>
        </w:tc>
        <w:tc>
          <w:tcPr>
            <w:tcW w:w="1738" w:type="dxa"/>
          </w:tcPr>
          <w:p>
            <w:pPr>
              <w:pStyle w:val="TableParagraph"/>
              <w:spacing w:before="20"/>
              <w:ind w:right="255"/>
              <w:jc w:val="right"/>
              <w:rPr>
                <w:sz w:val="14"/>
              </w:rPr>
            </w:pPr>
            <w:r>
              <w:rPr>
                <w:sz w:val="14"/>
              </w:rPr>
              <w:t>0.00</w:t>
            </w:r>
          </w:p>
        </w:tc>
        <w:tc>
          <w:tcPr>
            <w:tcW w:w="1409" w:type="dxa"/>
            <w:gridSpan w:val="2"/>
          </w:tcPr>
          <w:p>
            <w:pPr>
              <w:pStyle w:val="TableParagraph"/>
              <w:spacing w:before="20"/>
              <w:ind w:right="53"/>
              <w:jc w:val="right"/>
              <w:rPr>
                <w:sz w:val="14"/>
              </w:rPr>
            </w:pPr>
            <w:r>
              <w:rPr>
                <w:sz w:val="14"/>
              </w:rPr>
              <w:t>0.0%</w:t>
            </w:r>
          </w:p>
        </w:tc>
      </w:tr>
      <w:tr>
        <w:trPr>
          <w:trHeight w:val="386" w:hRule="atLeast"/>
        </w:trPr>
        <w:tc>
          <w:tcPr>
            <w:tcW w:w="3766" w:type="dxa"/>
          </w:tcPr>
          <w:p>
            <w:pPr>
              <w:pStyle w:val="TableParagraph"/>
              <w:spacing w:before="112"/>
              <w:ind w:left="376"/>
              <w:rPr>
                <w:sz w:val="14"/>
              </w:rPr>
            </w:pPr>
            <w:r>
              <w:rPr>
                <w:w w:val="105"/>
                <w:sz w:val="14"/>
              </w:rPr>
              <w:t>b) Uses</w:t>
            </w:r>
          </w:p>
        </w:tc>
        <w:tc>
          <w:tcPr>
            <w:tcW w:w="2633" w:type="dxa"/>
            <w:gridSpan w:val="2"/>
          </w:tcPr>
          <w:p>
            <w:pPr>
              <w:pStyle w:val="TableParagraph"/>
              <w:spacing w:before="112"/>
              <w:ind w:right="149"/>
              <w:jc w:val="right"/>
              <w:rPr>
                <w:sz w:val="14"/>
              </w:rPr>
            </w:pPr>
            <w:r>
              <w:rPr>
                <w:sz w:val="14"/>
              </w:rPr>
              <w:t>7630-7699</w:t>
            </w:r>
          </w:p>
        </w:tc>
        <w:tc>
          <w:tcPr>
            <w:tcW w:w="1563" w:type="dxa"/>
          </w:tcPr>
          <w:p>
            <w:pPr>
              <w:pStyle w:val="TableParagraph"/>
              <w:spacing w:before="112"/>
              <w:ind w:right="80"/>
              <w:jc w:val="right"/>
              <w:rPr>
                <w:sz w:val="14"/>
              </w:rPr>
            </w:pPr>
            <w:r>
              <w:rPr>
                <w:sz w:val="14"/>
              </w:rPr>
              <w:t>0.00</w:t>
            </w:r>
          </w:p>
        </w:tc>
        <w:tc>
          <w:tcPr>
            <w:tcW w:w="1738" w:type="dxa"/>
          </w:tcPr>
          <w:p>
            <w:pPr>
              <w:pStyle w:val="TableParagraph"/>
              <w:spacing w:before="112"/>
              <w:ind w:right="255"/>
              <w:jc w:val="right"/>
              <w:rPr>
                <w:sz w:val="14"/>
              </w:rPr>
            </w:pPr>
            <w:r>
              <w:rPr>
                <w:sz w:val="14"/>
              </w:rPr>
              <w:t>0.00</w:t>
            </w:r>
          </w:p>
        </w:tc>
        <w:tc>
          <w:tcPr>
            <w:tcW w:w="1409" w:type="dxa"/>
            <w:gridSpan w:val="2"/>
          </w:tcPr>
          <w:p>
            <w:pPr>
              <w:pStyle w:val="TableParagraph"/>
              <w:spacing w:before="112"/>
              <w:ind w:right="53"/>
              <w:jc w:val="right"/>
              <w:rPr>
                <w:sz w:val="14"/>
              </w:rPr>
            </w:pPr>
            <w:r>
              <w:rPr>
                <w:sz w:val="14"/>
              </w:rPr>
              <w:t>0.0%</w:t>
            </w:r>
          </w:p>
        </w:tc>
      </w:tr>
      <w:tr>
        <w:trPr>
          <w:trHeight w:val="386" w:hRule="atLeast"/>
        </w:trPr>
        <w:tc>
          <w:tcPr>
            <w:tcW w:w="3766" w:type="dxa"/>
          </w:tcPr>
          <w:p>
            <w:pPr>
              <w:pStyle w:val="TableParagraph"/>
              <w:spacing w:before="112"/>
              <w:ind w:left="212"/>
              <w:rPr>
                <w:sz w:val="14"/>
              </w:rPr>
            </w:pPr>
            <w:r>
              <w:rPr>
                <w:w w:val="105"/>
                <w:sz w:val="14"/>
              </w:rPr>
              <w:t>3) Contributions</w:t>
            </w:r>
          </w:p>
        </w:tc>
        <w:tc>
          <w:tcPr>
            <w:tcW w:w="2633" w:type="dxa"/>
            <w:gridSpan w:val="2"/>
          </w:tcPr>
          <w:p>
            <w:pPr>
              <w:pStyle w:val="TableParagraph"/>
              <w:spacing w:before="112"/>
              <w:ind w:right="149"/>
              <w:jc w:val="right"/>
              <w:rPr>
                <w:sz w:val="14"/>
              </w:rPr>
            </w:pPr>
            <w:r>
              <w:rPr>
                <w:sz w:val="14"/>
              </w:rPr>
              <w:t>8980-8999</w:t>
            </w:r>
          </w:p>
        </w:tc>
        <w:tc>
          <w:tcPr>
            <w:tcW w:w="1563" w:type="dxa"/>
          </w:tcPr>
          <w:p>
            <w:pPr>
              <w:pStyle w:val="TableParagraph"/>
              <w:spacing w:before="112"/>
              <w:ind w:right="80"/>
              <w:jc w:val="right"/>
              <w:rPr>
                <w:sz w:val="14"/>
              </w:rPr>
            </w:pPr>
            <w:r>
              <w:rPr>
                <w:sz w:val="14"/>
              </w:rPr>
              <w:t>0.00</w:t>
            </w:r>
          </w:p>
        </w:tc>
        <w:tc>
          <w:tcPr>
            <w:tcW w:w="1738" w:type="dxa"/>
          </w:tcPr>
          <w:p>
            <w:pPr>
              <w:pStyle w:val="TableParagraph"/>
              <w:spacing w:before="112"/>
              <w:ind w:right="255"/>
              <w:jc w:val="right"/>
              <w:rPr>
                <w:sz w:val="14"/>
              </w:rPr>
            </w:pPr>
            <w:r>
              <w:rPr>
                <w:sz w:val="14"/>
              </w:rPr>
              <w:t>0.00</w:t>
            </w:r>
          </w:p>
        </w:tc>
        <w:tc>
          <w:tcPr>
            <w:tcW w:w="1409" w:type="dxa"/>
            <w:gridSpan w:val="2"/>
          </w:tcPr>
          <w:p>
            <w:pPr>
              <w:pStyle w:val="TableParagraph"/>
              <w:spacing w:before="112"/>
              <w:ind w:right="53"/>
              <w:jc w:val="right"/>
              <w:rPr>
                <w:sz w:val="14"/>
              </w:rPr>
            </w:pPr>
            <w:r>
              <w:rPr>
                <w:sz w:val="14"/>
              </w:rPr>
              <w:t>0.0%</w:t>
            </w:r>
          </w:p>
        </w:tc>
      </w:tr>
      <w:tr>
        <w:trPr>
          <w:trHeight w:val="274" w:hRule="atLeast"/>
        </w:trPr>
        <w:tc>
          <w:tcPr>
            <w:tcW w:w="3766" w:type="dxa"/>
          </w:tcPr>
          <w:p>
            <w:pPr>
              <w:pStyle w:val="TableParagraph"/>
              <w:spacing w:line="142" w:lineRule="exact" w:before="112"/>
              <w:ind w:left="212"/>
              <w:rPr>
                <w:sz w:val="14"/>
              </w:rPr>
            </w:pPr>
            <w:r>
              <w:rPr>
                <w:w w:val="105"/>
                <w:sz w:val="14"/>
              </w:rPr>
              <w:t>4) TOTAL, OTHER FINANCING SOURCES/USES</w:t>
            </w:r>
          </w:p>
        </w:tc>
        <w:tc>
          <w:tcPr>
            <w:tcW w:w="2633" w:type="dxa"/>
            <w:gridSpan w:val="2"/>
          </w:tcPr>
          <w:p>
            <w:pPr>
              <w:pStyle w:val="TableParagraph"/>
              <w:rPr>
                <w:rFonts w:ascii="Times New Roman"/>
                <w:sz w:val="14"/>
              </w:rPr>
            </w:pPr>
          </w:p>
        </w:tc>
        <w:tc>
          <w:tcPr>
            <w:tcW w:w="1563" w:type="dxa"/>
          </w:tcPr>
          <w:p>
            <w:pPr>
              <w:pStyle w:val="TableParagraph"/>
              <w:spacing w:line="142" w:lineRule="exact" w:before="112"/>
              <w:ind w:right="80"/>
              <w:jc w:val="right"/>
              <w:rPr>
                <w:sz w:val="14"/>
              </w:rPr>
            </w:pPr>
            <w:r>
              <w:rPr>
                <w:sz w:val="14"/>
              </w:rPr>
              <w:t>0.00</w:t>
            </w:r>
          </w:p>
        </w:tc>
        <w:tc>
          <w:tcPr>
            <w:tcW w:w="1738" w:type="dxa"/>
          </w:tcPr>
          <w:p>
            <w:pPr>
              <w:pStyle w:val="TableParagraph"/>
              <w:spacing w:line="142" w:lineRule="exact" w:before="112"/>
              <w:ind w:right="255"/>
              <w:jc w:val="right"/>
              <w:rPr>
                <w:sz w:val="14"/>
              </w:rPr>
            </w:pPr>
            <w:r>
              <w:rPr>
                <w:sz w:val="14"/>
              </w:rPr>
              <w:t>0.00</w:t>
            </w:r>
          </w:p>
        </w:tc>
        <w:tc>
          <w:tcPr>
            <w:tcW w:w="1409" w:type="dxa"/>
            <w:gridSpan w:val="2"/>
          </w:tcPr>
          <w:p>
            <w:pPr>
              <w:pStyle w:val="TableParagraph"/>
              <w:spacing w:line="142" w:lineRule="exact" w:before="112"/>
              <w:ind w:right="53"/>
              <w:jc w:val="right"/>
              <w:rPr>
                <w:sz w:val="14"/>
              </w:rPr>
            </w:pPr>
            <w:r>
              <w:rPr>
                <w:sz w:val="14"/>
              </w:rPr>
              <w:t>0.0%</w:t>
            </w:r>
          </w:p>
        </w:tc>
      </w:tr>
    </w:tbl>
    <w:p>
      <w:pPr>
        <w:spacing w:after="0" w:line="142" w:lineRule="exact"/>
        <w:jc w:val="right"/>
        <w:rPr>
          <w:sz w:val="14"/>
        </w:rPr>
        <w:sectPr>
          <w:type w:val="continuous"/>
          <w:pgSz w:w="12240" w:h="15840"/>
          <w:pgMar w:top="1500" w:bottom="840" w:left="160" w:right="180"/>
        </w:sectPr>
      </w:pPr>
    </w:p>
    <w:p>
      <w:pPr>
        <w:spacing w:before="0"/>
        <w:ind w:left="322" w:right="-8" w:firstLine="0"/>
        <w:jc w:val="left"/>
        <w:rPr>
          <w:sz w:val="18"/>
        </w:rPr>
      </w:pPr>
      <w:r>
        <w:rPr>
          <w:w w:val="105"/>
          <w:sz w:val="18"/>
        </w:rPr>
        <w:t>Winship-Robbins Elementary Sutter County</w:t>
      </w:r>
    </w:p>
    <w:p>
      <w:pPr>
        <w:spacing w:before="0"/>
        <w:ind w:left="432" w:right="-13" w:hanging="111"/>
        <w:jc w:val="left"/>
        <w:rPr>
          <w:sz w:val="18"/>
        </w:rPr>
      </w:pPr>
      <w:r>
        <w:rPr/>
        <w:br w:type="column"/>
      </w:r>
      <w:r>
        <w:rPr>
          <w:w w:val="105"/>
          <w:sz w:val="18"/>
        </w:rPr>
        <w:t>Deferred Maintenance Fund Expenditures by Function</w:t>
      </w:r>
    </w:p>
    <w:p>
      <w:pPr>
        <w:spacing w:before="0"/>
        <w:ind w:left="0" w:right="300" w:firstLine="0"/>
        <w:jc w:val="right"/>
        <w:rPr>
          <w:sz w:val="18"/>
        </w:rPr>
      </w:pPr>
      <w:r>
        <w:rPr/>
        <w:br w:type="column"/>
      </w:r>
      <w:r>
        <w:rPr>
          <w:w w:val="105"/>
          <w:sz w:val="18"/>
        </w:rPr>
        <w:t>51 71456</w:t>
      </w:r>
      <w:r>
        <w:rPr>
          <w:spacing w:val="-33"/>
          <w:w w:val="105"/>
          <w:sz w:val="18"/>
        </w:rPr>
        <w:t> </w:t>
      </w:r>
      <w:r>
        <w:rPr>
          <w:w w:val="105"/>
          <w:sz w:val="18"/>
        </w:rPr>
        <w:t>0000000</w:t>
      </w:r>
    </w:p>
    <w:p>
      <w:pPr>
        <w:spacing w:before="2"/>
        <w:ind w:left="0" w:right="299" w:firstLine="0"/>
        <w:jc w:val="right"/>
        <w:rPr>
          <w:sz w:val="18"/>
        </w:rPr>
      </w:pPr>
      <w:r>
        <w:rPr>
          <w:w w:val="105"/>
          <w:sz w:val="18"/>
        </w:rPr>
        <w:t>Form</w:t>
      </w:r>
      <w:r>
        <w:rPr>
          <w:spacing w:val="43"/>
          <w:w w:val="105"/>
          <w:sz w:val="18"/>
        </w:rPr>
        <w:t> </w:t>
      </w:r>
      <w:r>
        <w:rPr>
          <w:w w:val="105"/>
          <w:sz w:val="18"/>
        </w:rPr>
        <w:t>14</w:t>
      </w:r>
    </w:p>
    <w:p>
      <w:pPr>
        <w:spacing w:after="0"/>
        <w:jc w:val="right"/>
        <w:rPr>
          <w:sz w:val="18"/>
        </w:rPr>
        <w:sectPr>
          <w:headerReference w:type="default" r:id="rId760"/>
          <w:footerReference w:type="default" r:id="rId761"/>
          <w:pgSz w:w="12240" w:h="15840"/>
          <w:pgMar w:header="673" w:footer="451" w:top="880" w:bottom="640" w:left="160" w:right="180"/>
          <w:cols w:num="3" w:equalWidth="0">
            <w:col w:w="2771" w:space="1705"/>
            <w:col w:w="2682" w:space="2567"/>
            <w:col w:w="2175"/>
          </w:cols>
        </w:sectPr>
      </w:pPr>
    </w:p>
    <w:p>
      <w:pPr>
        <w:pStyle w:val="BodyText"/>
        <w:rPr>
          <w:sz w:val="20"/>
        </w:rPr>
      </w:pPr>
    </w:p>
    <w:p>
      <w:pPr>
        <w:pStyle w:val="BodyText"/>
        <w:rPr>
          <w:sz w:val="20"/>
        </w:rPr>
      </w:pPr>
    </w:p>
    <w:p>
      <w:pPr>
        <w:pStyle w:val="BodyText"/>
        <w:spacing w:before="4"/>
        <w:rPr>
          <w:sz w:val="20"/>
        </w:rPr>
      </w:pPr>
    </w:p>
    <w:p>
      <w:pPr>
        <w:spacing w:after="0"/>
        <w:rPr>
          <w:sz w:val="20"/>
        </w:rPr>
        <w:sectPr>
          <w:type w:val="continuous"/>
          <w:pgSz w:w="12240" w:h="15840"/>
          <w:pgMar w:top="1500" w:bottom="840" w:left="160" w:right="180"/>
        </w:sectPr>
      </w:pPr>
    </w:p>
    <w:p>
      <w:pPr>
        <w:pStyle w:val="BodyText"/>
        <w:spacing w:before="7"/>
        <w:rPr>
          <w:sz w:val="23"/>
        </w:rPr>
      </w:pPr>
    </w:p>
    <w:p>
      <w:pPr>
        <w:tabs>
          <w:tab w:pos="4409" w:val="left" w:leader="none"/>
          <w:tab w:pos="5803" w:val="left" w:leader="none"/>
        </w:tabs>
        <w:spacing w:before="0"/>
        <w:ind w:left="423" w:right="0" w:firstLine="0"/>
        <w:jc w:val="left"/>
        <w:rPr>
          <w:b/>
          <w:sz w:val="14"/>
        </w:rPr>
      </w:pPr>
      <w:r>
        <w:rPr>
          <w:b/>
          <w:w w:val="105"/>
          <w:sz w:val="14"/>
        </w:rPr>
        <w:t>Description</w:t>
        <w:tab/>
        <w:t>Function</w:t>
      </w:r>
      <w:r>
        <w:rPr>
          <w:b/>
          <w:spacing w:val="-6"/>
          <w:w w:val="105"/>
          <w:sz w:val="14"/>
        </w:rPr>
        <w:t> </w:t>
      </w:r>
      <w:r>
        <w:rPr>
          <w:b/>
          <w:w w:val="105"/>
          <w:sz w:val="14"/>
        </w:rPr>
        <w:t>Codes</w:t>
        <w:tab/>
        <w:t>Object</w:t>
      </w:r>
      <w:r>
        <w:rPr>
          <w:b/>
          <w:spacing w:val="-3"/>
          <w:w w:val="105"/>
          <w:sz w:val="14"/>
        </w:rPr>
        <w:t> </w:t>
      </w:r>
      <w:r>
        <w:rPr>
          <w:b/>
          <w:spacing w:val="-5"/>
          <w:w w:val="105"/>
          <w:sz w:val="14"/>
        </w:rPr>
        <w:t>Codes</w:t>
      </w:r>
    </w:p>
    <w:p>
      <w:pPr>
        <w:spacing w:before="101"/>
        <w:ind w:left="118" w:right="8" w:firstLine="0"/>
        <w:jc w:val="center"/>
        <w:rPr>
          <w:b/>
          <w:sz w:val="14"/>
        </w:rPr>
      </w:pPr>
      <w:r>
        <w:rPr/>
        <w:br w:type="column"/>
      </w:r>
      <w:r>
        <w:rPr>
          <w:b/>
          <w:w w:val="105"/>
          <w:sz w:val="14"/>
        </w:rPr>
        <w:t>2020-21</w:t>
      </w:r>
    </w:p>
    <w:p>
      <w:pPr>
        <w:spacing w:before="10"/>
        <w:ind w:left="118" w:right="12" w:firstLine="0"/>
        <w:jc w:val="center"/>
        <w:rPr>
          <w:b/>
          <w:sz w:val="14"/>
        </w:rPr>
      </w:pPr>
      <w:r>
        <w:rPr/>
        <w:pict>
          <v:group style="position:absolute;margin-left:27.120001pt;margin-top:-31.334087pt;width:554.3pt;height:442.95pt;mso-position-horizontal-relative:page;mso-position-vertical-relative:paragraph;z-index:-314365952" coordorigin="542,-627" coordsize="11086,8859">
            <v:shape style="position:absolute;left:542;top:-627;width:3766;height:814" type="#_x0000_t75" stroked="false">
              <v:imagedata r:id="rId522" o:title=""/>
            </v:shape>
            <v:shape style="position:absolute;left:4300;top:-627;width:7328;height:1402" type="#_x0000_t75" stroked="false">
              <v:imagedata r:id="rId762" o:title=""/>
            </v:shape>
            <v:line style="position:absolute" from="1379,177" to="1379,557" stroked="true" strokeweight=".360003pt" strokecolor="#ffffff">
              <v:stroke dashstyle="solid"/>
            </v:line>
            <v:shape style="position:absolute;left:542;top:172;width:3766;height:603" type="#_x0000_t75" stroked="false">
              <v:imagedata r:id="rId551" o:title=""/>
            </v:shape>
            <v:line style="position:absolute" from="1379,765" to="1379,1145" stroked="true" strokeweight=".360003pt" strokecolor="#ffffff">
              <v:stroke dashstyle="solid"/>
            </v:line>
            <v:shape style="position:absolute;left:6926;top:558;width:4702;height:1359" type="#_x0000_t75" stroked="false">
              <v:imagedata r:id="rId552" o:title=""/>
            </v:shape>
            <v:shape style="position:absolute;left:542;top:760;width:3766;height:7472" type="#_x0000_t75" stroked="false">
              <v:imagedata r:id="rId553" o:title=""/>
            </v:shape>
            <w10:wrap type="none"/>
          </v:group>
        </w:pict>
      </w:r>
      <w:r>
        <w:rPr>
          <w:b/>
          <w:w w:val="105"/>
          <w:sz w:val="14"/>
        </w:rPr>
        <w:t>Estimated Actuals</w:t>
      </w:r>
    </w:p>
    <w:p>
      <w:pPr>
        <w:spacing w:before="101"/>
        <w:ind w:left="423" w:right="0" w:firstLine="0"/>
        <w:jc w:val="left"/>
        <w:rPr>
          <w:b/>
          <w:sz w:val="14"/>
        </w:rPr>
      </w:pPr>
      <w:r>
        <w:rPr/>
        <w:br w:type="column"/>
      </w:r>
      <w:r>
        <w:rPr>
          <w:b/>
          <w:w w:val="105"/>
          <w:sz w:val="14"/>
        </w:rPr>
        <w:t>2021-22</w:t>
      </w:r>
    </w:p>
    <w:p>
      <w:pPr>
        <w:spacing w:before="10"/>
        <w:ind w:left="439" w:right="0" w:firstLine="0"/>
        <w:jc w:val="left"/>
        <w:rPr>
          <w:b/>
          <w:sz w:val="14"/>
        </w:rPr>
      </w:pPr>
      <w:r>
        <w:rPr>
          <w:b/>
          <w:w w:val="105"/>
          <w:sz w:val="14"/>
        </w:rPr>
        <w:t>Budget</w:t>
      </w:r>
    </w:p>
    <w:p>
      <w:pPr>
        <w:spacing w:line="254" w:lineRule="auto" w:before="101"/>
        <w:ind w:left="423" w:right="283" w:firstLine="88"/>
        <w:jc w:val="left"/>
        <w:rPr>
          <w:b/>
          <w:sz w:val="14"/>
        </w:rPr>
      </w:pPr>
      <w:r>
        <w:rPr/>
        <w:br w:type="column"/>
      </w:r>
      <w:r>
        <w:rPr>
          <w:b/>
          <w:w w:val="105"/>
          <w:sz w:val="14"/>
        </w:rPr>
        <w:t>Percent </w:t>
      </w:r>
      <w:r>
        <w:rPr>
          <w:b/>
          <w:sz w:val="14"/>
        </w:rPr>
        <w:t>Difference</w:t>
      </w:r>
    </w:p>
    <w:p>
      <w:pPr>
        <w:spacing w:after="0" w:line="254" w:lineRule="auto"/>
        <w:jc w:val="left"/>
        <w:rPr>
          <w:sz w:val="14"/>
        </w:rPr>
        <w:sectPr>
          <w:type w:val="continuous"/>
          <w:pgSz w:w="12240" w:h="15840"/>
          <w:pgMar w:top="1500" w:bottom="840" w:left="160" w:right="180"/>
          <w:cols w:num="4" w:equalWidth="0">
            <w:col w:w="6741" w:space="40"/>
            <w:col w:w="1445" w:space="203"/>
            <w:col w:w="1000" w:space="473"/>
            <w:col w:w="1998"/>
          </w:cols>
        </w:sectPr>
      </w:pPr>
    </w:p>
    <w:p>
      <w:pPr>
        <w:pStyle w:val="BodyText"/>
        <w:rPr>
          <w:b/>
          <w:sz w:val="10"/>
        </w:rPr>
      </w:pPr>
    </w:p>
    <w:p>
      <w:pPr>
        <w:pStyle w:val="ListParagraph"/>
        <w:numPr>
          <w:ilvl w:val="0"/>
          <w:numId w:val="26"/>
        </w:numPr>
        <w:tabs>
          <w:tab w:pos="604" w:val="left" w:leader="none"/>
        </w:tabs>
        <w:spacing w:line="240" w:lineRule="auto" w:before="101" w:after="0"/>
        <w:ind w:left="603" w:right="0" w:hanging="181"/>
        <w:jc w:val="left"/>
        <w:rPr>
          <w:b/>
          <w:sz w:val="14"/>
        </w:rPr>
      </w:pPr>
      <w:r>
        <w:rPr>
          <w:b/>
          <w:w w:val="105"/>
          <w:sz w:val="14"/>
        </w:rPr>
        <w:t>NET INCREASE (DECREASE) IN</w:t>
      </w:r>
      <w:r>
        <w:rPr>
          <w:b/>
          <w:spacing w:val="-6"/>
          <w:w w:val="105"/>
          <w:sz w:val="14"/>
        </w:rPr>
        <w:t> </w:t>
      </w:r>
      <w:r>
        <w:rPr>
          <w:b/>
          <w:w w:val="105"/>
          <w:sz w:val="14"/>
        </w:rPr>
        <w:t>FUND</w:t>
      </w:r>
    </w:p>
    <w:p>
      <w:pPr>
        <w:tabs>
          <w:tab w:pos="7805" w:val="left" w:leader="none"/>
          <w:tab w:pos="9367" w:val="left" w:leader="none"/>
          <w:tab w:pos="11093" w:val="left" w:leader="none"/>
        </w:tabs>
        <w:spacing w:before="43"/>
        <w:ind w:left="626" w:right="0" w:firstLine="0"/>
        <w:jc w:val="left"/>
        <w:rPr>
          <w:sz w:val="14"/>
        </w:rPr>
      </w:pPr>
      <w:r>
        <w:rPr>
          <w:b/>
          <w:spacing w:val="-3"/>
          <w:w w:val="105"/>
          <w:sz w:val="14"/>
        </w:rPr>
        <w:t>BALANCE </w:t>
      </w:r>
      <w:r>
        <w:rPr>
          <w:b/>
          <w:w w:val="105"/>
          <w:sz w:val="14"/>
        </w:rPr>
        <w:t>(C</w:t>
      </w:r>
      <w:r>
        <w:rPr>
          <w:b/>
          <w:spacing w:val="1"/>
          <w:w w:val="105"/>
          <w:sz w:val="14"/>
        </w:rPr>
        <w:t> </w:t>
      </w:r>
      <w:r>
        <w:rPr>
          <w:b/>
          <w:w w:val="105"/>
          <w:sz w:val="14"/>
        </w:rPr>
        <w:t>+</w:t>
      </w:r>
      <w:r>
        <w:rPr>
          <w:b/>
          <w:spacing w:val="-1"/>
          <w:w w:val="105"/>
          <w:sz w:val="14"/>
        </w:rPr>
        <w:t> </w:t>
      </w:r>
      <w:r>
        <w:rPr>
          <w:b/>
          <w:w w:val="105"/>
          <w:sz w:val="14"/>
        </w:rPr>
        <w:t>D4)</w:t>
        <w:tab/>
      </w:r>
      <w:r>
        <w:rPr>
          <w:w w:val="105"/>
          <w:sz w:val="14"/>
        </w:rPr>
        <w:t>265.00</w:t>
        <w:tab/>
        <w:t>265.00</w:t>
        <w:tab/>
        <w:t>0.0%</w:t>
      </w:r>
    </w:p>
    <w:p>
      <w:pPr>
        <w:pStyle w:val="BodyText"/>
        <w:spacing w:before="7"/>
        <w:rPr>
          <w:sz w:val="10"/>
        </w:rPr>
      </w:pPr>
    </w:p>
    <w:p>
      <w:pPr>
        <w:pStyle w:val="Heading8"/>
        <w:numPr>
          <w:ilvl w:val="0"/>
          <w:numId w:val="26"/>
        </w:numPr>
        <w:tabs>
          <w:tab w:pos="593" w:val="left" w:leader="none"/>
        </w:tabs>
        <w:spacing w:line="240" w:lineRule="auto" w:before="101" w:after="0"/>
        <w:ind w:left="592" w:right="0" w:hanging="170"/>
        <w:jc w:val="left"/>
      </w:pPr>
      <w:r>
        <w:rPr/>
        <w:pict>
          <v:group style="position:absolute;margin-left:215.039993pt;margin-top:33.335945pt;width:366.4pt;height:334.1pt;mso-position-horizontal-relative:page;mso-position-vertical-relative:paragraph;z-index:-314364928" coordorigin="4301,667" coordsize="7328,6682">
            <v:shape style="position:absolute;left:6926;top:666;width:4702;height:728" type="#_x0000_t75" stroked="false">
              <v:imagedata r:id="rId554" o:title=""/>
            </v:shape>
            <v:shape style="position:absolute;left:6926;top:1026;width:4702;height:728" type="#_x0000_t75" stroked="false">
              <v:imagedata r:id="rId555" o:title=""/>
            </v:shape>
            <v:shape style="position:absolute;left:6926;top:1386;width:4702;height:728" type="#_x0000_t75" stroked="false">
              <v:imagedata r:id="rId555" o:title=""/>
            </v:shape>
            <v:shape style="position:absolute;left:6926;top:1746;width:4702;height:728" type="#_x0000_t75" stroked="false">
              <v:imagedata r:id="rId555" o:title=""/>
            </v:shape>
            <v:shape style="position:absolute;left:6926;top:2106;width:4702;height:728" type="#_x0000_t75" stroked="false">
              <v:imagedata r:id="rId555" o:title=""/>
            </v:shape>
            <v:shape style="position:absolute;left:6926;top:2466;width:4702;height:1025" type="#_x0000_t75" stroked="false">
              <v:imagedata r:id="rId763" o:title=""/>
            </v:shape>
            <v:shape style="position:absolute;left:6926;top:3489;width:1570;height:368" type="#_x0000_t75" stroked="false">
              <v:imagedata r:id="rId764" o:title=""/>
            </v:shape>
            <v:shape style="position:absolute;left:8488;top:3287;width:1570;height:569" type="#_x0000_t75" stroked="false">
              <v:imagedata r:id="rId765" o:title=""/>
            </v:shape>
            <v:rect style="position:absolute;left:10056;top:3493;width:1563;height:360" filled="true" fillcolor="#dfdfdf" stroked="false">
              <v:fill type="solid"/>
            </v:rect>
            <v:shape style="position:absolute;left:8488;top:3287;width:3140;height:1289" type="#_x0000_t75" stroked="false">
              <v:imagedata r:id="rId766" o:title=""/>
            </v:shape>
            <v:shape style="position:absolute;left:6926;top:3849;width:1570;height:728" type="#_x0000_t75" stroked="false">
              <v:imagedata r:id="rId767" o:title=""/>
            </v:shape>
            <v:shape style="position:absolute;left:8488;top:4209;width:3140;height:1083" type="#_x0000_t75" stroked="false">
              <v:imagedata r:id="rId692" o:title=""/>
            </v:shape>
            <v:shape style="position:absolute;left:6926;top:4569;width:1570;height:723" type="#_x0000_t75" stroked="false">
              <v:imagedata r:id="rId693" o:title=""/>
            </v:shape>
            <v:shape style="position:absolute;left:6931;top:4933;width:4688;height:360" coordorigin="6931,4934" coordsize="4688,360" path="m11618,4934l10056,4934,8494,4934,6931,4934,6931,5294,8494,5294,10056,5294,11618,5294,11618,4934e" filled="true" fillcolor="#dfdfdf" stroked="false">
              <v:path arrowok="t"/>
              <v:fill type="solid"/>
            </v:shape>
            <v:shape style="position:absolute;left:6926;top:5289;width:1570;height:209" type="#_x0000_t75" stroked="false">
              <v:imagedata r:id="rId694" o:title=""/>
            </v:shape>
            <v:shape style="position:absolute;left:8488;top:5289;width:1570;height:209" type="#_x0000_t75" stroked="false">
              <v:imagedata r:id="rId694" o:title=""/>
            </v:shape>
            <v:shape style="position:absolute;left:6926;top:4929;width:4702;height:1491" type="#_x0000_t75" stroked="false">
              <v:imagedata r:id="rId695" o:title=""/>
            </v:shape>
            <v:shape style="position:absolute;left:8488;top:6210;width:3140;height:209" type="#_x0000_t75" stroked="false">
              <v:imagedata r:id="rId696" o:title=""/>
            </v:shape>
            <v:shape style="position:absolute;left:6926;top:6412;width:1570;height:365" type="#_x0000_t75" stroked="false">
              <v:imagedata r:id="rId566" o:title=""/>
            </v:shape>
            <v:shape style="position:absolute;left:8488;top:6412;width:1570;height:365" type="#_x0000_t75" stroked="false">
              <v:imagedata r:id="rId566" o:title=""/>
            </v:shape>
            <v:rect style="position:absolute;left:10056;top:6417;width:1563;height:360" filled="true" fillcolor="#dfdfdf" stroked="false">
              <v:fill type="solid"/>
            </v:rect>
            <v:shape style="position:absolute;left:6926;top:6772;width:1570;height:209" type="#_x0000_t75" stroked="false">
              <v:imagedata r:id="rId568" o:title=""/>
            </v:shape>
            <v:shape style="position:absolute;left:8488;top:6772;width:1570;height:209" type="#_x0000_t75" stroked="false">
              <v:imagedata r:id="rId568" o:title=""/>
            </v:shape>
            <v:rect style="position:absolute;left:10056;top:6777;width:1563;height:202" filled="true" fillcolor="#dfdfdf" stroked="false">
              <v:fill type="solid"/>
            </v:rect>
            <v:shape style="position:absolute;left:4300;top:6412;width:7328;height:936" type="#_x0000_t75" stroked="false">
              <v:imagedata r:id="rId569" o:title=""/>
            </v:shape>
            <w10:wrap type="none"/>
          </v:group>
        </w:pict>
      </w:r>
      <w:r>
        <w:rPr>
          <w:w w:val="105"/>
        </w:rPr>
        <w:t>FUND BALANCE,</w:t>
      </w:r>
      <w:r>
        <w:rPr>
          <w:spacing w:val="-3"/>
          <w:w w:val="105"/>
        </w:rPr>
        <w:t> </w:t>
      </w:r>
      <w:r>
        <w:rPr>
          <w:w w:val="105"/>
        </w:rPr>
        <w:t>RESERVES</w:t>
      </w:r>
    </w:p>
    <w:p>
      <w:pPr>
        <w:pStyle w:val="BodyText"/>
        <w:spacing w:before="2"/>
        <w:rPr>
          <w:b/>
          <w:sz w:val="21"/>
        </w:rPr>
      </w:pPr>
    </w:p>
    <w:tbl>
      <w:tblPr>
        <w:tblW w:w="0" w:type="auto"/>
        <w:jc w:val="left"/>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523"/>
        <w:gridCol w:w="959"/>
        <w:gridCol w:w="1316"/>
        <w:gridCol w:w="1522"/>
        <w:gridCol w:w="1652"/>
      </w:tblGrid>
      <w:tr>
        <w:trPr>
          <w:trHeight w:val="360" w:hRule="atLeast"/>
        </w:trPr>
        <w:tc>
          <w:tcPr>
            <w:tcW w:w="5523" w:type="dxa"/>
          </w:tcPr>
          <w:p>
            <w:pPr>
              <w:pStyle w:val="TableParagraph"/>
              <w:spacing w:before="1"/>
              <w:ind w:left="50"/>
              <w:rPr>
                <w:sz w:val="14"/>
              </w:rPr>
            </w:pPr>
            <w:r>
              <w:rPr>
                <w:w w:val="105"/>
                <w:sz w:val="14"/>
              </w:rPr>
              <w:t>1) Beginning Fund Balance</w:t>
            </w:r>
          </w:p>
        </w:tc>
        <w:tc>
          <w:tcPr>
            <w:tcW w:w="5449" w:type="dxa"/>
            <w:gridSpan w:val="4"/>
          </w:tcPr>
          <w:p>
            <w:pPr>
              <w:pStyle w:val="TableParagraph"/>
              <w:rPr>
                <w:rFonts w:ascii="Times New Roman"/>
                <w:sz w:val="14"/>
              </w:rPr>
            </w:pPr>
          </w:p>
        </w:tc>
      </w:tr>
      <w:tr>
        <w:trPr>
          <w:trHeight w:val="261" w:hRule="atLeast"/>
        </w:trPr>
        <w:tc>
          <w:tcPr>
            <w:tcW w:w="5523" w:type="dxa"/>
          </w:tcPr>
          <w:p>
            <w:pPr>
              <w:pStyle w:val="TableParagraph"/>
              <w:spacing w:before="1"/>
              <w:ind w:left="214"/>
              <w:rPr>
                <w:sz w:val="14"/>
              </w:rPr>
            </w:pPr>
            <w:r>
              <w:rPr>
                <w:w w:val="105"/>
                <w:sz w:val="14"/>
              </w:rPr>
              <w:t>a) As of July 1 - Unaudited</w:t>
            </w:r>
          </w:p>
        </w:tc>
        <w:tc>
          <w:tcPr>
            <w:tcW w:w="959" w:type="dxa"/>
          </w:tcPr>
          <w:p>
            <w:pPr>
              <w:pStyle w:val="TableParagraph"/>
              <w:spacing w:before="1"/>
              <w:ind w:left="50"/>
              <w:rPr>
                <w:sz w:val="14"/>
              </w:rPr>
            </w:pPr>
            <w:r>
              <w:rPr>
                <w:w w:val="105"/>
                <w:sz w:val="14"/>
              </w:rPr>
              <w:t>9791</w:t>
            </w:r>
          </w:p>
        </w:tc>
        <w:tc>
          <w:tcPr>
            <w:tcW w:w="1316" w:type="dxa"/>
          </w:tcPr>
          <w:p>
            <w:pPr>
              <w:pStyle w:val="TableParagraph"/>
              <w:spacing w:before="1"/>
              <w:ind w:right="79"/>
              <w:jc w:val="right"/>
              <w:rPr>
                <w:sz w:val="14"/>
              </w:rPr>
            </w:pPr>
            <w:r>
              <w:rPr>
                <w:sz w:val="14"/>
              </w:rPr>
              <w:t>19,080.00</w:t>
            </w:r>
          </w:p>
        </w:tc>
        <w:tc>
          <w:tcPr>
            <w:tcW w:w="1522" w:type="dxa"/>
          </w:tcPr>
          <w:p>
            <w:pPr>
              <w:pStyle w:val="TableParagraph"/>
              <w:spacing w:before="1"/>
              <w:ind w:right="38"/>
              <w:jc w:val="right"/>
              <w:rPr>
                <w:sz w:val="14"/>
              </w:rPr>
            </w:pPr>
            <w:r>
              <w:rPr>
                <w:sz w:val="14"/>
              </w:rPr>
              <w:t>19,345.00</w:t>
            </w:r>
          </w:p>
        </w:tc>
        <w:tc>
          <w:tcPr>
            <w:tcW w:w="1652" w:type="dxa"/>
          </w:tcPr>
          <w:p>
            <w:pPr>
              <w:pStyle w:val="TableParagraph"/>
              <w:spacing w:before="1"/>
              <w:ind w:right="78"/>
              <w:jc w:val="right"/>
              <w:rPr>
                <w:sz w:val="14"/>
              </w:rPr>
            </w:pPr>
            <w:r>
              <w:rPr>
                <w:sz w:val="14"/>
              </w:rPr>
              <w:t>1.4%</w:t>
            </w:r>
          </w:p>
        </w:tc>
      </w:tr>
      <w:tr>
        <w:trPr>
          <w:trHeight w:val="360" w:hRule="atLeast"/>
        </w:trPr>
        <w:tc>
          <w:tcPr>
            <w:tcW w:w="5523" w:type="dxa"/>
          </w:tcPr>
          <w:p>
            <w:pPr>
              <w:pStyle w:val="TableParagraph"/>
              <w:spacing w:before="99"/>
              <w:ind w:left="214"/>
              <w:rPr>
                <w:sz w:val="14"/>
              </w:rPr>
            </w:pPr>
            <w:r>
              <w:rPr>
                <w:w w:val="105"/>
                <w:sz w:val="14"/>
              </w:rPr>
              <w:t>b) Audit Adjustments</w:t>
            </w:r>
          </w:p>
        </w:tc>
        <w:tc>
          <w:tcPr>
            <w:tcW w:w="959" w:type="dxa"/>
          </w:tcPr>
          <w:p>
            <w:pPr>
              <w:pStyle w:val="TableParagraph"/>
              <w:spacing w:before="99"/>
              <w:ind w:left="50"/>
              <w:rPr>
                <w:sz w:val="14"/>
              </w:rPr>
            </w:pPr>
            <w:r>
              <w:rPr>
                <w:w w:val="105"/>
                <w:sz w:val="14"/>
              </w:rPr>
              <w:t>9793</w:t>
            </w:r>
          </w:p>
        </w:tc>
        <w:tc>
          <w:tcPr>
            <w:tcW w:w="1316" w:type="dxa"/>
          </w:tcPr>
          <w:p>
            <w:pPr>
              <w:pStyle w:val="TableParagraph"/>
              <w:spacing w:before="99"/>
              <w:ind w:right="78"/>
              <w:jc w:val="right"/>
              <w:rPr>
                <w:sz w:val="14"/>
              </w:rPr>
            </w:pPr>
            <w:r>
              <w:rPr>
                <w:w w:val="105"/>
                <w:sz w:val="14"/>
              </w:rPr>
              <w:t>0.00</w:t>
            </w:r>
          </w:p>
        </w:tc>
        <w:tc>
          <w:tcPr>
            <w:tcW w:w="1522" w:type="dxa"/>
          </w:tcPr>
          <w:p>
            <w:pPr>
              <w:pStyle w:val="TableParagraph"/>
              <w:spacing w:before="99"/>
              <w:ind w:right="39"/>
              <w:jc w:val="right"/>
              <w:rPr>
                <w:sz w:val="14"/>
              </w:rPr>
            </w:pPr>
            <w:r>
              <w:rPr>
                <w:sz w:val="14"/>
              </w:rPr>
              <w:t>0.00</w:t>
            </w:r>
          </w:p>
        </w:tc>
        <w:tc>
          <w:tcPr>
            <w:tcW w:w="1652" w:type="dxa"/>
          </w:tcPr>
          <w:p>
            <w:pPr>
              <w:pStyle w:val="TableParagraph"/>
              <w:spacing w:before="99"/>
              <w:ind w:right="78"/>
              <w:jc w:val="right"/>
              <w:rPr>
                <w:sz w:val="14"/>
              </w:rPr>
            </w:pPr>
            <w:r>
              <w:rPr>
                <w:sz w:val="14"/>
              </w:rPr>
              <w:t>0.0%</w:t>
            </w:r>
          </w:p>
        </w:tc>
      </w:tr>
      <w:tr>
        <w:trPr>
          <w:trHeight w:val="360" w:hRule="atLeast"/>
        </w:trPr>
        <w:tc>
          <w:tcPr>
            <w:tcW w:w="5523" w:type="dxa"/>
          </w:tcPr>
          <w:p>
            <w:pPr>
              <w:pStyle w:val="TableParagraph"/>
              <w:spacing w:before="99"/>
              <w:ind w:left="214"/>
              <w:rPr>
                <w:sz w:val="14"/>
              </w:rPr>
            </w:pPr>
            <w:r>
              <w:rPr>
                <w:w w:val="105"/>
                <w:sz w:val="14"/>
              </w:rPr>
              <w:t>c) As of July 1 - Audited (F1a + F1b)</w:t>
            </w:r>
          </w:p>
        </w:tc>
        <w:tc>
          <w:tcPr>
            <w:tcW w:w="959" w:type="dxa"/>
          </w:tcPr>
          <w:p>
            <w:pPr>
              <w:pStyle w:val="TableParagraph"/>
              <w:rPr>
                <w:rFonts w:ascii="Times New Roman"/>
                <w:sz w:val="14"/>
              </w:rPr>
            </w:pPr>
          </w:p>
        </w:tc>
        <w:tc>
          <w:tcPr>
            <w:tcW w:w="1316" w:type="dxa"/>
          </w:tcPr>
          <w:p>
            <w:pPr>
              <w:pStyle w:val="TableParagraph"/>
              <w:spacing w:before="99"/>
              <w:ind w:right="79"/>
              <w:jc w:val="right"/>
              <w:rPr>
                <w:sz w:val="14"/>
              </w:rPr>
            </w:pPr>
            <w:r>
              <w:rPr>
                <w:sz w:val="14"/>
              </w:rPr>
              <w:t>19,080.00</w:t>
            </w:r>
          </w:p>
        </w:tc>
        <w:tc>
          <w:tcPr>
            <w:tcW w:w="1522" w:type="dxa"/>
          </w:tcPr>
          <w:p>
            <w:pPr>
              <w:pStyle w:val="TableParagraph"/>
              <w:spacing w:before="99"/>
              <w:ind w:right="38"/>
              <w:jc w:val="right"/>
              <w:rPr>
                <w:sz w:val="14"/>
              </w:rPr>
            </w:pPr>
            <w:r>
              <w:rPr>
                <w:sz w:val="14"/>
              </w:rPr>
              <w:t>19,345.00</w:t>
            </w:r>
          </w:p>
        </w:tc>
        <w:tc>
          <w:tcPr>
            <w:tcW w:w="1652" w:type="dxa"/>
          </w:tcPr>
          <w:p>
            <w:pPr>
              <w:pStyle w:val="TableParagraph"/>
              <w:spacing w:before="99"/>
              <w:ind w:right="78"/>
              <w:jc w:val="right"/>
              <w:rPr>
                <w:sz w:val="14"/>
              </w:rPr>
            </w:pPr>
            <w:r>
              <w:rPr>
                <w:sz w:val="14"/>
              </w:rPr>
              <w:t>1.4%</w:t>
            </w:r>
          </w:p>
        </w:tc>
      </w:tr>
      <w:tr>
        <w:trPr>
          <w:trHeight w:val="360" w:hRule="atLeast"/>
        </w:trPr>
        <w:tc>
          <w:tcPr>
            <w:tcW w:w="5523" w:type="dxa"/>
          </w:tcPr>
          <w:p>
            <w:pPr>
              <w:pStyle w:val="TableParagraph"/>
              <w:spacing w:before="99"/>
              <w:ind w:left="214"/>
              <w:rPr>
                <w:sz w:val="14"/>
              </w:rPr>
            </w:pPr>
            <w:r>
              <w:rPr>
                <w:w w:val="105"/>
                <w:sz w:val="14"/>
              </w:rPr>
              <w:t>d) Other Restatements</w:t>
            </w:r>
          </w:p>
        </w:tc>
        <w:tc>
          <w:tcPr>
            <w:tcW w:w="959" w:type="dxa"/>
          </w:tcPr>
          <w:p>
            <w:pPr>
              <w:pStyle w:val="TableParagraph"/>
              <w:spacing w:before="99"/>
              <w:ind w:left="50"/>
              <w:rPr>
                <w:sz w:val="14"/>
              </w:rPr>
            </w:pPr>
            <w:r>
              <w:rPr>
                <w:w w:val="105"/>
                <w:sz w:val="14"/>
              </w:rPr>
              <w:t>9795</w:t>
            </w:r>
          </w:p>
        </w:tc>
        <w:tc>
          <w:tcPr>
            <w:tcW w:w="1316" w:type="dxa"/>
          </w:tcPr>
          <w:p>
            <w:pPr>
              <w:pStyle w:val="TableParagraph"/>
              <w:spacing w:before="99"/>
              <w:ind w:right="78"/>
              <w:jc w:val="right"/>
              <w:rPr>
                <w:sz w:val="14"/>
              </w:rPr>
            </w:pPr>
            <w:r>
              <w:rPr>
                <w:w w:val="105"/>
                <w:sz w:val="14"/>
              </w:rPr>
              <w:t>0.00</w:t>
            </w:r>
          </w:p>
        </w:tc>
        <w:tc>
          <w:tcPr>
            <w:tcW w:w="1522" w:type="dxa"/>
          </w:tcPr>
          <w:p>
            <w:pPr>
              <w:pStyle w:val="TableParagraph"/>
              <w:spacing w:before="99"/>
              <w:ind w:right="39"/>
              <w:jc w:val="right"/>
              <w:rPr>
                <w:sz w:val="14"/>
              </w:rPr>
            </w:pPr>
            <w:r>
              <w:rPr>
                <w:sz w:val="14"/>
              </w:rPr>
              <w:t>0.00</w:t>
            </w:r>
          </w:p>
        </w:tc>
        <w:tc>
          <w:tcPr>
            <w:tcW w:w="1652" w:type="dxa"/>
          </w:tcPr>
          <w:p>
            <w:pPr>
              <w:pStyle w:val="TableParagraph"/>
              <w:spacing w:before="99"/>
              <w:ind w:right="78"/>
              <w:jc w:val="right"/>
              <w:rPr>
                <w:sz w:val="14"/>
              </w:rPr>
            </w:pPr>
            <w:r>
              <w:rPr>
                <w:sz w:val="14"/>
              </w:rPr>
              <w:t>0.0%</w:t>
            </w:r>
          </w:p>
        </w:tc>
      </w:tr>
      <w:tr>
        <w:trPr>
          <w:trHeight w:val="360" w:hRule="atLeast"/>
        </w:trPr>
        <w:tc>
          <w:tcPr>
            <w:tcW w:w="5523" w:type="dxa"/>
          </w:tcPr>
          <w:p>
            <w:pPr>
              <w:pStyle w:val="TableParagraph"/>
              <w:spacing w:before="99"/>
              <w:ind w:left="214"/>
              <w:rPr>
                <w:sz w:val="14"/>
              </w:rPr>
            </w:pPr>
            <w:r>
              <w:rPr>
                <w:w w:val="105"/>
                <w:sz w:val="14"/>
              </w:rPr>
              <w:t>e) Adjusted Beginning Balance (F1c + F1d)</w:t>
            </w:r>
          </w:p>
        </w:tc>
        <w:tc>
          <w:tcPr>
            <w:tcW w:w="959" w:type="dxa"/>
          </w:tcPr>
          <w:p>
            <w:pPr>
              <w:pStyle w:val="TableParagraph"/>
              <w:rPr>
                <w:rFonts w:ascii="Times New Roman"/>
                <w:sz w:val="14"/>
              </w:rPr>
            </w:pPr>
          </w:p>
        </w:tc>
        <w:tc>
          <w:tcPr>
            <w:tcW w:w="1316" w:type="dxa"/>
          </w:tcPr>
          <w:p>
            <w:pPr>
              <w:pStyle w:val="TableParagraph"/>
              <w:spacing w:before="99"/>
              <w:ind w:right="79"/>
              <w:jc w:val="right"/>
              <w:rPr>
                <w:sz w:val="14"/>
              </w:rPr>
            </w:pPr>
            <w:r>
              <w:rPr>
                <w:sz w:val="14"/>
              </w:rPr>
              <w:t>19,080.00</w:t>
            </w:r>
          </w:p>
        </w:tc>
        <w:tc>
          <w:tcPr>
            <w:tcW w:w="1522" w:type="dxa"/>
          </w:tcPr>
          <w:p>
            <w:pPr>
              <w:pStyle w:val="TableParagraph"/>
              <w:spacing w:before="99"/>
              <w:ind w:right="38"/>
              <w:jc w:val="right"/>
              <w:rPr>
                <w:sz w:val="14"/>
              </w:rPr>
            </w:pPr>
            <w:r>
              <w:rPr>
                <w:sz w:val="14"/>
              </w:rPr>
              <w:t>19,345.00</w:t>
            </w:r>
          </w:p>
        </w:tc>
        <w:tc>
          <w:tcPr>
            <w:tcW w:w="1652" w:type="dxa"/>
          </w:tcPr>
          <w:p>
            <w:pPr>
              <w:pStyle w:val="TableParagraph"/>
              <w:spacing w:before="99"/>
              <w:ind w:right="78"/>
              <w:jc w:val="right"/>
              <w:rPr>
                <w:sz w:val="14"/>
              </w:rPr>
            </w:pPr>
            <w:r>
              <w:rPr>
                <w:sz w:val="14"/>
              </w:rPr>
              <w:t>1.4%</w:t>
            </w:r>
          </w:p>
        </w:tc>
      </w:tr>
      <w:tr>
        <w:trPr>
          <w:trHeight w:val="261" w:hRule="atLeast"/>
        </w:trPr>
        <w:tc>
          <w:tcPr>
            <w:tcW w:w="5523" w:type="dxa"/>
          </w:tcPr>
          <w:p>
            <w:pPr>
              <w:pStyle w:val="TableParagraph"/>
              <w:spacing w:line="142" w:lineRule="exact" w:before="99"/>
              <w:ind w:left="50"/>
              <w:rPr>
                <w:sz w:val="14"/>
              </w:rPr>
            </w:pPr>
            <w:r>
              <w:rPr>
                <w:w w:val="105"/>
                <w:sz w:val="14"/>
              </w:rPr>
              <w:t>2) Ending Balance, June 30 (E + F1e)</w:t>
            </w:r>
          </w:p>
        </w:tc>
        <w:tc>
          <w:tcPr>
            <w:tcW w:w="959" w:type="dxa"/>
          </w:tcPr>
          <w:p>
            <w:pPr>
              <w:pStyle w:val="TableParagraph"/>
              <w:rPr>
                <w:rFonts w:ascii="Times New Roman"/>
                <w:sz w:val="14"/>
              </w:rPr>
            </w:pPr>
          </w:p>
        </w:tc>
        <w:tc>
          <w:tcPr>
            <w:tcW w:w="1316" w:type="dxa"/>
          </w:tcPr>
          <w:p>
            <w:pPr>
              <w:pStyle w:val="TableParagraph"/>
              <w:spacing w:line="142" w:lineRule="exact" w:before="99"/>
              <w:ind w:right="79"/>
              <w:jc w:val="right"/>
              <w:rPr>
                <w:sz w:val="14"/>
              </w:rPr>
            </w:pPr>
            <w:r>
              <w:rPr>
                <w:sz w:val="14"/>
              </w:rPr>
              <w:t>19,345.00</w:t>
            </w:r>
          </w:p>
        </w:tc>
        <w:tc>
          <w:tcPr>
            <w:tcW w:w="1522" w:type="dxa"/>
          </w:tcPr>
          <w:p>
            <w:pPr>
              <w:pStyle w:val="TableParagraph"/>
              <w:spacing w:line="142" w:lineRule="exact" w:before="99"/>
              <w:ind w:right="38"/>
              <w:jc w:val="right"/>
              <w:rPr>
                <w:sz w:val="14"/>
              </w:rPr>
            </w:pPr>
            <w:r>
              <w:rPr>
                <w:sz w:val="14"/>
              </w:rPr>
              <w:t>19,610.00</w:t>
            </w:r>
          </w:p>
        </w:tc>
        <w:tc>
          <w:tcPr>
            <w:tcW w:w="1652" w:type="dxa"/>
          </w:tcPr>
          <w:p>
            <w:pPr>
              <w:pStyle w:val="TableParagraph"/>
              <w:spacing w:line="142" w:lineRule="exact" w:before="99"/>
              <w:ind w:right="78"/>
              <w:jc w:val="right"/>
              <w:rPr>
                <w:sz w:val="14"/>
              </w:rPr>
            </w:pPr>
            <w:r>
              <w:rPr>
                <w:sz w:val="14"/>
              </w:rPr>
              <w:t>1.4%</w:t>
            </w:r>
          </w:p>
        </w:tc>
      </w:tr>
      <w:tr>
        <w:trPr>
          <w:trHeight w:val="460" w:hRule="atLeast"/>
        </w:trPr>
        <w:tc>
          <w:tcPr>
            <w:tcW w:w="5523" w:type="dxa"/>
          </w:tcPr>
          <w:p>
            <w:pPr>
              <w:pStyle w:val="TableParagraph"/>
              <w:spacing w:before="97"/>
              <w:ind w:left="214"/>
              <w:rPr>
                <w:sz w:val="14"/>
              </w:rPr>
            </w:pPr>
            <w:r>
              <w:rPr>
                <w:w w:val="105"/>
                <w:sz w:val="14"/>
              </w:rPr>
              <w:t>Components of Ending Fund Balance</w:t>
            </w:r>
          </w:p>
          <w:p>
            <w:pPr>
              <w:pStyle w:val="TableParagraph"/>
              <w:spacing w:line="142" w:lineRule="exact" w:before="40"/>
              <w:ind w:left="214"/>
              <w:rPr>
                <w:sz w:val="14"/>
              </w:rPr>
            </w:pPr>
            <w:r>
              <w:rPr>
                <w:w w:val="105"/>
                <w:sz w:val="14"/>
              </w:rPr>
              <w:t>a) Nonspendable</w:t>
            </w:r>
          </w:p>
        </w:tc>
        <w:tc>
          <w:tcPr>
            <w:tcW w:w="959" w:type="dxa"/>
          </w:tcPr>
          <w:p>
            <w:pPr>
              <w:pStyle w:val="TableParagraph"/>
              <w:rPr>
                <w:rFonts w:ascii="Times New Roman"/>
                <w:sz w:val="14"/>
              </w:rPr>
            </w:pPr>
          </w:p>
        </w:tc>
        <w:tc>
          <w:tcPr>
            <w:tcW w:w="1316" w:type="dxa"/>
          </w:tcPr>
          <w:p>
            <w:pPr>
              <w:pStyle w:val="TableParagraph"/>
              <w:rPr>
                <w:rFonts w:ascii="Times New Roman"/>
                <w:sz w:val="14"/>
              </w:rPr>
            </w:pPr>
          </w:p>
        </w:tc>
        <w:tc>
          <w:tcPr>
            <w:tcW w:w="1522" w:type="dxa"/>
          </w:tcPr>
          <w:p>
            <w:pPr>
              <w:pStyle w:val="TableParagraph"/>
              <w:rPr>
                <w:rFonts w:ascii="Times New Roman"/>
                <w:sz w:val="14"/>
              </w:rPr>
            </w:pPr>
          </w:p>
        </w:tc>
        <w:tc>
          <w:tcPr>
            <w:tcW w:w="1652" w:type="dxa"/>
          </w:tcPr>
          <w:p>
            <w:pPr>
              <w:pStyle w:val="TableParagraph"/>
              <w:rPr>
                <w:rFonts w:ascii="Times New Roman"/>
                <w:sz w:val="14"/>
              </w:rPr>
            </w:pPr>
          </w:p>
        </w:tc>
      </w:tr>
      <w:tr>
        <w:trPr>
          <w:trHeight w:val="299" w:hRule="atLeast"/>
        </w:trPr>
        <w:tc>
          <w:tcPr>
            <w:tcW w:w="5523" w:type="dxa"/>
          </w:tcPr>
          <w:p>
            <w:pPr>
              <w:pStyle w:val="TableParagraph"/>
              <w:spacing w:before="39"/>
              <w:ind w:left="416"/>
              <w:rPr>
                <w:sz w:val="14"/>
              </w:rPr>
            </w:pPr>
            <w:r>
              <w:rPr>
                <w:w w:val="105"/>
                <w:sz w:val="14"/>
              </w:rPr>
              <w:t>Revolving Cash</w:t>
            </w:r>
          </w:p>
        </w:tc>
        <w:tc>
          <w:tcPr>
            <w:tcW w:w="959" w:type="dxa"/>
          </w:tcPr>
          <w:p>
            <w:pPr>
              <w:pStyle w:val="TableParagraph"/>
              <w:spacing w:before="39"/>
              <w:ind w:left="50"/>
              <w:rPr>
                <w:sz w:val="14"/>
              </w:rPr>
            </w:pPr>
            <w:r>
              <w:rPr>
                <w:w w:val="105"/>
                <w:sz w:val="14"/>
              </w:rPr>
              <w:t>9711</w:t>
            </w:r>
          </w:p>
        </w:tc>
        <w:tc>
          <w:tcPr>
            <w:tcW w:w="1316" w:type="dxa"/>
          </w:tcPr>
          <w:p>
            <w:pPr>
              <w:pStyle w:val="TableParagraph"/>
              <w:spacing w:before="39"/>
              <w:ind w:right="78"/>
              <w:jc w:val="right"/>
              <w:rPr>
                <w:sz w:val="14"/>
              </w:rPr>
            </w:pPr>
            <w:r>
              <w:rPr>
                <w:w w:val="105"/>
                <w:sz w:val="14"/>
              </w:rPr>
              <w:t>0.00</w:t>
            </w:r>
          </w:p>
        </w:tc>
        <w:tc>
          <w:tcPr>
            <w:tcW w:w="1522" w:type="dxa"/>
          </w:tcPr>
          <w:p>
            <w:pPr>
              <w:pStyle w:val="TableParagraph"/>
              <w:spacing w:before="39"/>
              <w:ind w:right="39"/>
              <w:jc w:val="right"/>
              <w:rPr>
                <w:sz w:val="14"/>
              </w:rPr>
            </w:pPr>
            <w:r>
              <w:rPr>
                <w:sz w:val="14"/>
              </w:rPr>
              <w:t>0.00</w:t>
            </w:r>
          </w:p>
        </w:tc>
        <w:tc>
          <w:tcPr>
            <w:tcW w:w="1652" w:type="dxa"/>
          </w:tcPr>
          <w:p>
            <w:pPr>
              <w:pStyle w:val="TableParagraph"/>
              <w:spacing w:before="39"/>
              <w:ind w:right="78"/>
              <w:jc w:val="right"/>
              <w:rPr>
                <w:sz w:val="14"/>
              </w:rPr>
            </w:pPr>
            <w:r>
              <w:rPr>
                <w:sz w:val="14"/>
              </w:rPr>
              <w:t>0.0%</w:t>
            </w:r>
          </w:p>
        </w:tc>
      </w:tr>
      <w:tr>
        <w:trPr>
          <w:trHeight w:val="360" w:hRule="atLeast"/>
        </w:trPr>
        <w:tc>
          <w:tcPr>
            <w:tcW w:w="5523" w:type="dxa"/>
          </w:tcPr>
          <w:p>
            <w:pPr>
              <w:pStyle w:val="TableParagraph"/>
              <w:spacing w:before="99"/>
              <w:ind w:left="416"/>
              <w:rPr>
                <w:sz w:val="14"/>
              </w:rPr>
            </w:pPr>
            <w:r>
              <w:rPr>
                <w:w w:val="105"/>
                <w:sz w:val="14"/>
              </w:rPr>
              <w:t>Stores</w:t>
            </w:r>
          </w:p>
        </w:tc>
        <w:tc>
          <w:tcPr>
            <w:tcW w:w="959" w:type="dxa"/>
          </w:tcPr>
          <w:p>
            <w:pPr>
              <w:pStyle w:val="TableParagraph"/>
              <w:spacing w:before="99"/>
              <w:ind w:left="50"/>
              <w:rPr>
                <w:sz w:val="14"/>
              </w:rPr>
            </w:pPr>
            <w:r>
              <w:rPr>
                <w:w w:val="105"/>
                <w:sz w:val="14"/>
              </w:rPr>
              <w:t>9712</w:t>
            </w:r>
          </w:p>
        </w:tc>
        <w:tc>
          <w:tcPr>
            <w:tcW w:w="1316" w:type="dxa"/>
          </w:tcPr>
          <w:p>
            <w:pPr>
              <w:pStyle w:val="TableParagraph"/>
              <w:spacing w:before="99"/>
              <w:ind w:right="78"/>
              <w:jc w:val="right"/>
              <w:rPr>
                <w:sz w:val="14"/>
              </w:rPr>
            </w:pPr>
            <w:r>
              <w:rPr>
                <w:w w:val="105"/>
                <w:sz w:val="14"/>
              </w:rPr>
              <w:t>0.00</w:t>
            </w:r>
          </w:p>
        </w:tc>
        <w:tc>
          <w:tcPr>
            <w:tcW w:w="1522" w:type="dxa"/>
          </w:tcPr>
          <w:p>
            <w:pPr>
              <w:pStyle w:val="TableParagraph"/>
              <w:spacing w:before="99"/>
              <w:ind w:right="39"/>
              <w:jc w:val="right"/>
              <w:rPr>
                <w:sz w:val="14"/>
              </w:rPr>
            </w:pPr>
            <w:r>
              <w:rPr>
                <w:sz w:val="14"/>
              </w:rPr>
              <w:t>0.00</w:t>
            </w:r>
          </w:p>
        </w:tc>
        <w:tc>
          <w:tcPr>
            <w:tcW w:w="1652" w:type="dxa"/>
          </w:tcPr>
          <w:p>
            <w:pPr>
              <w:pStyle w:val="TableParagraph"/>
              <w:spacing w:before="99"/>
              <w:ind w:right="78"/>
              <w:jc w:val="right"/>
              <w:rPr>
                <w:sz w:val="14"/>
              </w:rPr>
            </w:pPr>
            <w:r>
              <w:rPr>
                <w:sz w:val="14"/>
              </w:rPr>
              <w:t>0.0%</w:t>
            </w:r>
          </w:p>
        </w:tc>
      </w:tr>
      <w:tr>
        <w:trPr>
          <w:trHeight w:val="264" w:hRule="atLeast"/>
        </w:trPr>
        <w:tc>
          <w:tcPr>
            <w:tcW w:w="5523" w:type="dxa"/>
          </w:tcPr>
          <w:p>
            <w:pPr>
              <w:pStyle w:val="TableParagraph"/>
              <w:spacing w:line="145" w:lineRule="exact" w:before="99"/>
              <w:ind w:left="416"/>
              <w:rPr>
                <w:sz w:val="14"/>
              </w:rPr>
            </w:pPr>
            <w:r>
              <w:rPr>
                <w:w w:val="105"/>
                <w:sz w:val="14"/>
              </w:rPr>
              <w:t>Prepaid Items</w:t>
            </w:r>
          </w:p>
        </w:tc>
        <w:tc>
          <w:tcPr>
            <w:tcW w:w="959" w:type="dxa"/>
          </w:tcPr>
          <w:p>
            <w:pPr>
              <w:pStyle w:val="TableParagraph"/>
              <w:spacing w:line="145" w:lineRule="exact" w:before="99"/>
              <w:ind w:left="50"/>
              <w:rPr>
                <w:sz w:val="14"/>
              </w:rPr>
            </w:pPr>
            <w:r>
              <w:rPr>
                <w:w w:val="105"/>
                <w:sz w:val="14"/>
              </w:rPr>
              <w:t>9713</w:t>
            </w:r>
          </w:p>
        </w:tc>
        <w:tc>
          <w:tcPr>
            <w:tcW w:w="1316" w:type="dxa"/>
          </w:tcPr>
          <w:p>
            <w:pPr>
              <w:pStyle w:val="TableParagraph"/>
              <w:spacing w:line="145" w:lineRule="exact" w:before="99"/>
              <w:ind w:right="78"/>
              <w:jc w:val="right"/>
              <w:rPr>
                <w:sz w:val="14"/>
              </w:rPr>
            </w:pPr>
            <w:r>
              <w:rPr>
                <w:w w:val="105"/>
                <w:sz w:val="14"/>
              </w:rPr>
              <w:t>0.00</w:t>
            </w:r>
          </w:p>
        </w:tc>
        <w:tc>
          <w:tcPr>
            <w:tcW w:w="1522" w:type="dxa"/>
          </w:tcPr>
          <w:p>
            <w:pPr>
              <w:pStyle w:val="TableParagraph"/>
              <w:spacing w:line="145" w:lineRule="exact" w:before="99"/>
              <w:ind w:right="39"/>
              <w:jc w:val="right"/>
              <w:rPr>
                <w:sz w:val="14"/>
              </w:rPr>
            </w:pPr>
            <w:r>
              <w:rPr>
                <w:sz w:val="14"/>
              </w:rPr>
              <w:t>0.00</w:t>
            </w:r>
          </w:p>
        </w:tc>
        <w:tc>
          <w:tcPr>
            <w:tcW w:w="1652" w:type="dxa"/>
          </w:tcPr>
          <w:p>
            <w:pPr>
              <w:pStyle w:val="TableParagraph"/>
              <w:spacing w:line="145" w:lineRule="exact" w:before="99"/>
              <w:ind w:right="78"/>
              <w:jc w:val="right"/>
              <w:rPr>
                <w:sz w:val="14"/>
              </w:rPr>
            </w:pPr>
            <w:r>
              <w:rPr>
                <w:sz w:val="14"/>
              </w:rPr>
              <w:t>0.0%</w:t>
            </w:r>
          </w:p>
        </w:tc>
      </w:tr>
      <w:tr>
        <w:trPr>
          <w:trHeight w:val="360" w:hRule="atLeast"/>
        </w:trPr>
        <w:tc>
          <w:tcPr>
            <w:tcW w:w="5523" w:type="dxa"/>
          </w:tcPr>
          <w:p>
            <w:pPr>
              <w:pStyle w:val="TableParagraph"/>
              <w:spacing w:before="11"/>
              <w:rPr>
                <w:b/>
                <w:sz w:val="16"/>
              </w:rPr>
            </w:pPr>
          </w:p>
          <w:p>
            <w:pPr>
              <w:pStyle w:val="TableParagraph"/>
              <w:spacing w:line="145" w:lineRule="exact"/>
              <w:ind w:left="416"/>
              <w:rPr>
                <w:sz w:val="14"/>
              </w:rPr>
            </w:pPr>
            <w:r>
              <w:rPr>
                <w:w w:val="105"/>
                <w:sz w:val="14"/>
              </w:rPr>
              <w:t>All Others</w:t>
            </w:r>
          </w:p>
        </w:tc>
        <w:tc>
          <w:tcPr>
            <w:tcW w:w="959" w:type="dxa"/>
          </w:tcPr>
          <w:p>
            <w:pPr>
              <w:pStyle w:val="TableParagraph"/>
              <w:spacing w:before="11"/>
              <w:rPr>
                <w:b/>
                <w:sz w:val="16"/>
              </w:rPr>
            </w:pPr>
          </w:p>
          <w:p>
            <w:pPr>
              <w:pStyle w:val="TableParagraph"/>
              <w:spacing w:line="145" w:lineRule="exact"/>
              <w:ind w:left="50"/>
              <w:rPr>
                <w:sz w:val="14"/>
              </w:rPr>
            </w:pPr>
            <w:r>
              <w:rPr>
                <w:w w:val="105"/>
                <w:sz w:val="14"/>
              </w:rPr>
              <w:t>9719</w:t>
            </w:r>
          </w:p>
        </w:tc>
        <w:tc>
          <w:tcPr>
            <w:tcW w:w="1316" w:type="dxa"/>
          </w:tcPr>
          <w:p>
            <w:pPr>
              <w:pStyle w:val="TableParagraph"/>
              <w:spacing w:before="11"/>
              <w:rPr>
                <w:b/>
                <w:sz w:val="16"/>
              </w:rPr>
            </w:pPr>
          </w:p>
          <w:p>
            <w:pPr>
              <w:pStyle w:val="TableParagraph"/>
              <w:spacing w:line="145" w:lineRule="exact"/>
              <w:ind w:right="78"/>
              <w:jc w:val="right"/>
              <w:rPr>
                <w:sz w:val="14"/>
              </w:rPr>
            </w:pPr>
            <w:r>
              <w:rPr>
                <w:w w:val="105"/>
                <w:sz w:val="14"/>
              </w:rPr>
              <w:t>0.00</w:t>
            </w:r>
          </w:p>
        </w:tc>
        <w:tc>
          <w:tcPr>
            <w:tcW w:w="1522" w:type="dxa"/>
            <w:shd w:val="clear" w:color="auto" w:fill="DFDFDF"/>
          </w:tcPr>
          <w:p>
            <w:pPr>
              <w:pStyle w:val="TableParagraph"/>
              <w:spacing w:before="11"/>
              <w:rPr>
                <w:b/>
                <w:sz w:val="16"/>
              </w:rPr>
            </w:pPr>
          </w:p>
          <w:p>
            <w:pPr>
              <w:pStyle w:val="TableParagraph"/>
              <w:spacing w:line="145" w:lineRule="exact"/>
              <w:ind w:right="39"/>
              <w:jc w:val="right"/>
              <w:rPr>
                <w:sz w:val="14"/>
              </w:rPr>
            </w:pPr>
            <w:r>
              <w:rPr>
                <w:sz w:val="14"/>
              </w:rPr>
              <w:t>0.00</w:t>
            </w:r>
          </w:p>
        </w:tc>
        <w:tc>
          <w:tcPr>
            <w:tcW w:w="1652" w:type="dxa"/>
            <w:shd w:val="clear" w:color="auto" w:fill="DFDFDF"/>
          </w:tcPr>
          <w:p>
            <w:pPr>
              <w:pStyle w:val="TableParagraph"/>
              <w:spacing w:before="11"/>
              <w:rPr>
                <w:b/>
                <w:sz w:val="16"/>
              </w:rPr>
            </w:pPr>
          </w:p>
          <w:p>
            <w:pPr>
              <w:pStyle w:val="TableParagraph"/>
              <w:spacing w:line="145" w:lineRule="exact"/>
              <w:ind w:right="78"/>
              <w:jc w:val="right"/>
              <w:rPr>
                <w:sz w:val="14"/>
              </w:rPr>
            </w:pPr>
            <w:r>
              <w:rPr>
                <w:sz w:val="14"/>
              </w:rPr>
              <w:t>0.0%</w:t>
            </w:r>
          </w:p>
        </w:tc>
      </w:tr>
      <w:tr>
        <w:trPr>
          <w:trHeight w:val="554" w:hRule="atLeast"/>
        </w:trPr>
        <w:tc>
          <w:tcPr>
            <w:tcW w:w="6482" w:type="dxa"/>
            <w:gridSpan w:val="2"/>
          </w:tcPr>
          <w:p>
            <w:pPr>
              <w:pStyle w:val="TableParagraph"/>
              <w:tabs>
                <w:tab w:pos="5898" w:val="right" w:leader="none"/>
              </w:tabs>
              <w:spacing w:before="195"/>
              <w:ind w:left="214"/>
              <w:rPr>
                <w:sz w:val="14"/>
              </w:rPr>
            </w:pPr>
            <w:r>
              <w:rPr>
                <w:w w:val="105"/>
                <w:sz w:val="14"/>
              </w:rPr>
              <w:t>b)</w:t>
            </w:r>
            <w:r>
              <w:rPr>
                <w:spacing w:val="-1"/>
                <w:w w:val="105"/>
                <w:sz w:val="14"/>
              </w:rPr>
              <w:t> </w:t>
            </w:r>
            <w:r>
              <w:rPr>
                <w:w w:val="105"/>
                <w:sz w:val="14"/>
              </w:rPr>
              <w:t>Restricted</w:t>
              <w:tab/>
              <w:t>9740</w:t>
            </w:r>
          </w:p>
        </w:tc>
        <w:tc>
          <w:tcPr>
            <w:tcW w:w="1316" w:type="dxa"/>
          </w:tcPr>
          <w:p>
            <w:pPr>
              <w:pStyle w:val="TableParagraph"/>
              <w:spacing w:before="11"/>
              <w:rPr>
                <w:b/>
                <w:sz w:val="16"/>
              </w:rPr>
            </w:pPr>
          </w:p>
          <w:p>
            <w:pPr>
              <w:pStyle w:val="TableParagraph"/>
              <w:ind w:right="78"/>
              <w:jc w:val="right"/>
              <w:rPr>
                <w:sz w:val="14"/>
              </w:rPr>
            </w:pPr>
            <w:r>
              <w:rPr>
                <w:w w:val="105"/>
                <w:sz w:val="14"/>
              </w:rPr>
              <w:t>0.00</w:t>
            </w:r>
          </w:p>
        </w:tc>
        <w:tc>
          <w:tcPr>
            <w:tcW w:w="1522" w:type="dxa"/>
          </w:tcPr>
          <w:p>
            <w:pPr>
              <w:pStyle w:val="TableParagraph"/>
              <w:spacing w:before="11"/>
              <w:rPr>
                <w:b/>
                <w:sz w:val="16"/>
              </w:rPr>
            </w:pPr>
          </w:p>
          <w:p>
            <w:pPr>
              <w:pStyle w:val="TableParagraph"/>
              <w:ind w:right="39"/>
              <w:jc w:val="right"/>
              <w:rPr>
                <w:sz w:val="14"/>
              </w:rPr>
            </w:pPr>
            <w:r>
              <w:rPr>
                <w:sz w:val="14"/>
              </w:rPr>
              <w:t>0.00</w:t>
            </w:r>
          </w:p>
        </w:tc>
        <w:tc>
          <w:tcPr>
            <w:tcW w:w="1652" w:type="dxa"/>
          </w:tcPr>
          <w:p>
            <w:pPr>
              <w:pStyle w:val="TableParagraph"/>
              <w:spacing w:before="11"/>
              <w:rPr>
                <w:b/>
                <w:sz w:val="16"/>
              </w:rPr>
            </w:pPr>
          </w:p>
          <w:p>
            <w:pPr>
              <w:pStyle w:val="TableParagraph"/>
              <w:ind w:right="78"/>
              <w:jc w:val="right"/>
              <w:rPr>
                <w:sz w:val="14"/>
              </w:rPr>
            </w:pPr>
            <w:r>
              <w:rPr>
                <w:sz w:val="14"/>
              </w:rPr>
              <w:t>0.0%</w:t>
            </w:r>
          </w:p>
        </w:tc>
      </w:tr>
      <w:tr>
        <w:trPr>
          <w:trHeight w:val="463" w:hRule="atLeast"/>
        </w:trPr>
        <w:tc>
          <w:tcPr>
            <w:tcW w:w="5523" w:type="dxa"/>
          </w:tcPr>
          <w:p>
            <w:pPr>
              <w:pStyle w:val="TableParagraph"/>
              <w:spacing w:before="1"/>
              <w:ind w:left="214"/>
              <w:rPr>
                <w:sz w:val="14"/>
              </w:rPr>
            </w:pPr>
            <w:r>
              <w:rPr>
                <w:w w:val="105"/>
                <w:sz w:val="14"/>
              </w:rPr>
              <w:t>c) Committed</w:t>
            </w:r>
          </w:p>
          <w:p>
            <w:pPr>
              <w:pStyle w:val="TableParagraph"/>
              <w:spacing w:before="40"/>
              <w:ind w:left="416"/>
              <w:rPr>
                <w:sz w:val="14"/>
              </w:rPr>
            </w:pPr>
            <w:r>
              <w:rPr>
                <w:w w:val="105"/>
                <w:sz w:val="14"/>
              </w:rPr>
              <w:t>Stabilization Arrangements</w:t>
            </w:r>
          </w:p>
        </w:tc>
        <w:tc>
          <w:tcPr>
            <w:tcW w:w="959" w:type="dxa"/>
          </w:tcPr>
          <w:p>
            <w:pPr>
              <w:pStyle w:val="TableParagraph"/>
              <w:spacing w:before="7"/>
              <w:rPr>
                <w:b/>
                <w:sz w:val="17"/>
              </w:rPr>
            </w:pPr>
          </w:p>
          <w:p>
            <w:pPr>
              <w:pStyle w:val="TableParagraph"/>
              <w:ind w:left="50"/>
              <w:rPr>
                <w:sz w:val="14"/>
              </w:rPr>
            </w:pPr>
            <w:r>
              <w:rPr>
                <w:w w:val="105"/>
                <w:sz w:val="14"/>
              </w:rPr>
              <w:t>9750</w:t>
            </w:r>
          </w:p>
        </w:tc>
        <w:tc>
          <w:tcPr>
            <w:tcW w:w="1316" w:type="dxa"/>
          </w:tcPr>
          <w:p>
            <w:pPr>
              <w:pStyle w:val="TableParagraph"/>
              <w:spacing w:before="7"/>
              <w:rPr>
                <w:b/>
                <w:sz w:val="17"/>
              </w:rPr>
            </w:pPr>
          </w:p>
          <w:p>
            <w:pPr>
              <w:pStyle w:val="TableParagraph"/>
              <w:ind w:right="78"/>
              <w:jc w:val="right"/>
              <w:rPr>
                <w:sz w:val="14"/>
              </w:rPr>
            </w:pPr>
            <w:r>
              <w:rPr>
                <w:w w:val="105"/>
                <w:sz w:val="14"/>
              </w:rPr>
              <w:t>0.00</w:t>
            </w:r>
          </w:p>
        </w:tc>
        <w:tc>
          <w:tcPr>
            <w:tcW w:w="1522" w:type="dxa"/>
          </w:tcPr>
          <w:p>
            <w:pPr>
              <w:pStyle w:val="TableParagraph"/>
              <w:spacing w:before="7"/>
              <w:rPr>
                <w:b/>
                <w:sz w:val="17"/>
              </w:rPr>
            </w:pPr>
          </w:p>
          <w:p>
            <w:pPr>
              <w:pStyle w:val="TableParagraph"/>
              <w:ind w:right="39"/>
              <w:jc w:val="right"/>
              <w:rPr>
                <w:sz w:val="14"/>
              </w:rPr>
            </w:pPr>
            <w:r>
              <w:rPr>
                <w:sz w:val="14"/>
              </w:rPr>
              <w:t>0.00</w:t>
            </w:r>
          </w:p>
        </w:tc>
        <w:tc>
          <w:tcPr>
            <w:tcW w:w="1652" w:type="dxa"/>
          </w:tcPr>
          <w:p>
            <w:pPr>
              <w:pStyle w:val="TableParagraph"/>
              <w:spacing w:before="7"/>
              <w:rPr>
                <w:b/>
                <w:sz w:val="17"/>
              </w:rPr>
            </w:pPr>
          </w:p>
          <w:p>
            <w:pPr>
              <w:pStyle w:val="TableParagraph"/>
              <w:tabs>
                <w:tab w:pos="1197" w:val="left" w:leader="none"/>
              </w:tabs>
              <w:ind w:right="47"/>
              <w:jc w:val="right"/>
              <w:rPr>
                <w:sz w:val="14"/>
              </w:rPr>
            </w:pPr>
            <w:r>
              <w:rPr>
                <w:rFonts w:ascii="Times New Roman"/>
                <w:w w:val="104"/>
                <w:sz w:val="14"/>
                <w:shd w:fill="DFDFDF" w:color="auto" w:val="clear"/>
              </w:rPr>
              <w:t> </w:t>
            </w:r>
            <w:r>
              <w:rPr>
                <w:rFonts w:ascii="Times New Roman"/>
                <w:sz w:val="14"/>
                <w:shd w:fill="DFDFDF" w:color="auto" w:val="clear"/>
              </w:rPr>
              <w:tab/>
            </w:r>
            <w:r>
              <w:rPr>
                <w:sz w:val="14"/>
                <w:shd w:fill="DFDFDF" w:color="auto" w:val="clear"/>
              </w:rPr>
              <w:t>0.0%</w:t>
            </w:r>
            <w:r>
              <w:rPr>
                <w:spacing w:val="-8"/>
                <w:sz w:val="14"/>
                <w:shd w:fill="DFDFDF" w:color="auto" w:val="clear"/>
              </w:rPr>
              <w:t> </w:t>
            </w:r>
          </w:p>
        </w:tc>
      </w:tr>
      <w:tr>
        <w:trPr>
          <w:trHeight w:val="359" w:hRule="atLeast"/>
        </w:trPr>
        <w:tc>
          <w:tcPr>
            <w:tcW w:w="5523" w:type="dxa"/>
          </w:tcPr>
          <w:p>
            <w:pPr>
              <w:pStyle w:val="TableParagraph"/>
              <w:spacing w:before="99"/>
              <w:ind w:left="416"/>
              <w:rPr>
                <w:sz w:val="14"/>
              </w:rPr>
            </w:pPr>
            <w:r>
              <w:rPr>
                <w:w w:val="105"/>
                <w:sz w:val="14"/>
              </w:rPr>
              <w:t>Other Commitments (by Resource/Object)</w:t>
            </w:r>
          </w:p>
        </w:tc>
        <w:tc>
          <w:tcPr>
            <w:tcW w:w="959" w:type="dxa"/>
          </w:tcPr>
          <w:p>
            <w:pPr>
              <w:pStyle w:val="TableParagraph"/>
              <w:spacing w:before="99"/>
              <w:ind w:left="50"/>
              <w:rPr>
                <w:sz w:val="14"/>
              </w:rPr>
            </w:pPr>
            <w:r>
              <w:rPr>
                <w:w w:val="105"/>
                <w:sz w:val="14"/>
              </w:rPr>
              <w:t>9760</w:t>
            </w:r>
          </w:p>
        </w:tc>
        <w:tc>
          <w:tcPr>
            <w:tcW w:w="1316" w:type="dxa"/>
          </w:tcPr>
          <w:p>
            <w:pPr>
              <w:pStyle w:val="TableParagraph"/>
              <w:spacing w:before="99"/>
              <w:ind w:right="78"/>
              <w:jc w:val="right"/>
              <w:rPr>
                <w:sz w:val="14"/>
              </w:rPr>
            </w:pPr>
            <w:r>
              <w:rPr>
                <w:w w:val="105"/>
                <w:sz w:val="14"/>
              </w:rPr>
              <w:t>0.00</w:t>
            </w:r>
          </w:p>
        </w:tc>
        <w:tc>
          <w:tcPr>
            <w:tcW w:w="1522" w:type="dxa"/>
          </w:tcPr>
          <w:p>
            <w:pPr>
              <w:pStyle w:val="TableParagraph"/>
              <w:spacing w:before="99"/>
              <w:ind w:right="39"/>
              <w:jc w:val="right"/>
              <w:rPr>
                <w:sz w:val="14"/>
              </w:rPr>
            </w:pPr>
            <w:r>
              <w:rPr>
                <w:sz w:val="14"/>
              </w:rPr>
              <w:t>0.00</w:t>
            </w:r>
          </w:p>
        </w:tc>
        <w:tc>
          <w:tcPr>
            <w:tcW w:w="1652" w:type="dxa"/>
          </w:tcPr>
          <w:p>
            <w:pPr>
              <w:pStyle w:val="TableParagraph"/>
              <w:spacing w:before="99"/>
              <w:ind w:right="78"/>
              <w:jc w:val="right"/>
              <w:rPr>
                <w:sz w:val="14"/>
              </w:rPr>
            </w:pPr>
            <w:r>
              <w:rPr>
                <w:sz w:val="14"/>
              </w:rPr>
              <w:t>0.0%</w:t>
            </w:r>
          </w:p>
        </w:tc>
      </w:tr>
      <w:tr>
        <w:trPr>
          <w:trHeight w:val="561" w:hRule="atLeast"/>
        </w:trPr>
        <w:tc>
          <w:tcPr>
            <w:tcW w:w="5523" w:type="dxa"/>
          </w:tcPr>
          <w:p>
            <w:pPr>
              <w:pStyle w:val="TableParagraph"/>
              <w:spacing w:before="99"/>
              <w:ind w:left="214"/>
              <w:rPr>
                <w:sz w:val="14"/>
              </w:rPr>
            </w:pPr>
            <w:r>
              <w:rPr>
                <w:w w:val="105"/>
                <w:sz w:val="14"/>
              </w:rPr>
              <w:t>d) Assigned</w:t>
            </w:r>
          </w:p>
          <w:p>
            <w:pPr>
              <w:pStyle w:val="TableParagraph"/>
              <w:spacing w:before="41"/>
              <w:ind w:left="416"/>
              <w:rPr>
                <w:sz w:val="14"/>
              </w:rPr>
            </w:pPr>
            <w:r>
              <w:rPr>
                <w:w w:val="105"/>
                <w:sz w:val="14"/>
              </w:rPr>
              <w:t>Other Assignments (by Resource/Object)</w:t>
            </w:r>
          </w:p>
        </w:tc>
        <w:tc>
          <w:tcPr>
            <w:tcW w:w="959" w:type="dxa"/>
          </w:tcPr>
          <w:p>
            <w:pPr>
              <w:pStyle w:val="TableParagraph"/>
              <w:rPr>
                <w:b/>
                <w:sz w:val="16"/>
              </w:rPr>
            </w:pPr>
          </w:p>
          <w:p>
            <w:pPr>
              <w:pStyle w:val="TableParagraph"/>
              <w:spacing w:before="117"/>
              <w:ind w:left="50"/>
              <w:rPr>
                <w:sz w:val="14"/>
              </w:rPr>
            </w:pPr>
            <w:r>
              <w:rPr>
                <w:w w:val="105"/>
                <w:sz w:val="14"/>
              </w:rPr>
              <w:t>9780</w:t>
            </w:r>
          </w:p>
        </w:tc>
        <w:tc>
          <w:tcPr>
            <w:tcW w:w="1316" w:type="dxa"/>
          </w:tcPr>
          <w:p>
            <w:pPr>
              <w:pStyle w:val="TableParagraph"/>
              <w:rPr>
                <w:b/>
                <w:sz w:val="16"/>
              </w:rPr>
            </w:pPr>
          </w:p>
          <w:p>
            <w:pPr>
              <w:pStyle w:val="TableParagraph"/>
              <w:spacing w:before="117"/>
              <w:ind w:right="79"/>
              <w:jc w:val="right"/>
              <w:rPr>
                <w:sz w:val="14"/>
              </w:rPr>
            </w:pPr>
            <w:r>
              <w:rPr>
                <w:sz w:val="14"/>
              </w:rPr>
              <w:t>19,345.00</w:t>
            </w:r>
          </w:p>
        </w:tc>
        <w:tc>
          <w:tcPr>
            <w:tcW w:w="1522" w:type="dxa"/>
          </w:tcPr>
          <w:p>
            <w:pPr>
              <w:pStyle w:val="TableParagraph"/>
              <w:rPr>
                <w:b/>
                <w:sz w:val="16"/>
              </w:rPr>
            </w:pPr>
          </w:p>
          <w:p>
            <w:pPr>
              <w:pStyle w:val="TableParagraph"/>
              <w:spacing w:before="117"/>
              <w:ind w:right="38"/>
              <w:jc w:val="right"/>
              <w:rPr>
                <w:sz w:val="14"/>
              </w:rPr>
            </w:pPr>
            <w:r>
              <w:rPr>
                <w:sz w:val="14"/>
              </w:rPr>
              <w:t>19,610.00</w:t>
            </w:r>
          </w:p>
        </w:tc>
        <w:tc>
          <w:tcPr>
            <w:tcW w:w="1652" w:type="dxa"/>
          </w:tcPr>
          <w:p>
            <w:pPr>
              <w:pStyle w:val="TableParagraph"/>
              <w:rPr>
                <w:b/>
                <w:sz w:val="16"/>
              </w:rPr>
            </w:pPr>
          </w:p>
          <w:p>
            <w:pPr>
              <w:pStyle w:val="TableParagraph"/>
              <w:spacing w:before="117"/>
              <w:ind w:right="78"/>
              <w:jc w:val="right"/>
              <w:rPr>
                <w:sz w:val="14"/>
              </w:rPr>
            </w:pPr>
            <w:r>
              <w:rPr>
                <w:sz w:val="14"/>
              </w:rPr>
              <w:t>1.4%</w:t>
            </w:r>
          </w:p>
        </w:tc>
      </w:tr>
      <w:tr>
        <w:trPr>
          <w:trHeight w:val="299" w:hRule="atLeast"/>
        </w:trPr>
        <w:tc>
          <w:tcPr>
            <w:tcW w:w="9320" w:type="dxa"/>
            <w:gridSpan w:val="4"/>
          </w:tcPr>
          <w:p>
            <w:pPr>
              <w:pStyle w:val="TableParagraph"/>
              <w:spacing w:before="99"/>
              <w:ind w:left="214"/>
              <w:rPr>
                <w:sz w:val="14"/>
              </w:rPr>
            </w:pPr>
            <w:r>
              <w:rPr>
                <w:w w:val="105"/>
                <w:sz w:val="14"/>
              </w:rPr>
              <w:t>e) Unassigned/Unappropriated</w:t>
            </w:r>
          </w:p>
        </w:tc>
        <w:tc>
          <w:tcPr>
            <w:tcW w:w="1652" w:type="dxa"/>
            <w:shd w:val="clear" w:color="auto" w:fill="DFDFDF"/>
          </w:tcPr>
          <w:p>
            <w:pPr>
              <w:pStyle w:val="TableParagraph"/>
              <w:rPr>
                <w:rFonts w:ascii="Times New Roman"/>
                <w:sz w:val="14"/>
              </w:rPr>
            </w:pPr>
          </w:p>
        </w:tc>
      </w:tr>
      <w:tr>
        <w:trPr>
          <w:trHeight w:val="261" w:hRule="atLeast"/>
        </w:trPr>
        <w:tc>
          <w:tcPr>
            <w:tcW w:w="5523" w:type="dxa"/>
          </w:tcPr>
          <w:p>
            <w:pPr>
              <w:pStyle w:val="TableParagraph"/>
              <w:spacing w:before="1"/>
              <w:ind w:left="377"/>
              <w:rPr>
                <w:sz w:val="14"/>
              </w:rPr>
            </w:pPr>
            <w:r>
              <w:rPr>
                <w:w w:val="105"/>
                <w:sz w:val="14"/>
              </w:rPr>
              <w:t>Reserve for Economic Uncertainties</w:t>
            </w:r>
          </w:p>
        </w:tc>
        <w:tc>
          <w:tcPr>
            <w:tcW w:w="959" w:type="dxa"/>
          </w:tcPr>
          <w:p>
            <w:pPr>
              <w:pStyle w:val="TableParagraph"/>
              <w:spacing w:before="1"/>
              <w:ind w:left="50"/>
              <w:rPr>
                <w:sz w:val="14"/>
              </w:rPr>
            </w:pPr>
            <w:r>
              <w:rPr>
                <w:w w:val="105"/>
                <w:sz w:val="14"/>
              </w:rPr>
              <w:t>9789</w:t>
            </w:r>
          </w:p>
        </w:tc>
        <w:tc>
          <w:tcPr>
            <w:tcW w:w="1316" w:type="dxa"/>
          </w:tcPr>
          <w:p>
            <w:pPr>
              <w:pStyle w:val="TableParagraph"/>
              <w:spacing w:before="1"/>
              <w:ind w:right="78"/>
              <w:jc w:val="right"/>
              <w:rPr>
                <w:sz w:val="14"/>
              </w:rPr>
            </w:pPr>
            <w:r>
              <w:rPr>
                <w:w w:val="105"/>
                <w:sz w:val="14"/>
              </w:rPr>
              <w:t>0.00</w:t>
            </w:r>
          </w:p>
        </w:tc>
        <w:tc>
          <w:tcPr>
            <w:tcW w:w="1522" w:type="dxa"/>
          </w:tcPr>
          <w:p>
            <w:pPr>
              <w:pStyle w:val="TableParagraph"/>
              <w:spacing w:before="1"/>
              <w:ind w:right="39"/>
              <w:jc w:val="right"/>
              <w:rPr>
                <w:sz w:val="14"/>
              </w:rPr>
            </w:pPr>
            <w:r>
              <w:rPr>
                <w:sz w:val="14"/>
              </w:rPr>
              <w:t>0.00</w:t>
            </w:r>
          </w:p>
        </w:tc>
        <w:tc>
          <w:tcPr>
            <w:tcW w:w="1652" w:type="dxa"/>
          </w:tcPr>
          <w:p>
            <w:pPr>
              <w:pStyle w:val="TableParagraph"/>
              <w:spacing w:before="1"/>
              <w:ind w:right="78"/>
              <w:jc w:val="right"/>
              <w:rPr>
                <w:sz w:val="14"/>
              </w:rPr>
            </w:pPr>
            <w:r>
              <w:rPr>
                <w:sz w:val="14"/>
              </w:rPr>
              <w:t>0.0%</w:t>
            </w:r>
          </w:p>
        </w:tc>
      </w:tr>
      <w:tr>
        <w:trPr>
          <w:trHeight w:val="261" w:hRule="atLeast"/>
        </w:trPr>
        <w:tc>
          <w:tcPr>
            <w:tcW w:w="5523" w:type="dxa"/>
          </w:tcPr>
          <w:p>
            <w:pPr>
              <w:pStyle w:val="TableParagraph"/>
              <w:spacing w:line="142" w:lineRule="exact" w:before="99"/>
              <w:ind w:left="377"/>
              <w:rPr>
                <w:sz w:val="14"/>
              </w:rPr>
            </w:pPr>
            <w:r>
              <w:rPr>
                <w:w w:val="105"/>
                <w:sz w:val="14"/>
              </w:rPr>
              <w:t>Unassigned/Unappropriated Amount</w:t>
            </w:r>
          </w:p>
        </w:tc>
        <w:tc>
          <w:tcPr>
            <w:tcW w:w="959" w:type="dxa"/>
          </w:tcPr>
          <w:p>
            <w:pPr>
              <w:pStyle w:val="TableParagraph"/>
              <w:spacing w:line="142" w:lineRule="exact" w:before="99"/>
              <w:ind w:left="50"/>
              <w:rPr>
                <w:sz w:val="14"/>
              </w:rPr>
            </w:pPr>
            <w:r>
              <w:rPr>
                <w:w w:val="105"/>
                <w:sz w:val="14"/>
              </w:rPr>
              <w:t>9790</w:t>
            </w:r>
          </w:p>
        </w:tc>
        <w:tc>
          <w:tcPr>
            <w:tcW w:w="1316" w:type="dxa"/>
          </w:tcPr>
          <w:p>
            <w:pPr>
              <w:pStyle w:val="TableParagraph"/>
              <w:spacing w:line="142" w:lineRule="exact" w:before="99"/>
              <w:ind w:right="78"/>
              <w:jc w:val="right"/>
              <w:rPr>
                <w:sz w:val="14"/>
              </w:rPr>
            </w:pPr>
            <w:r>
              <w:rPr>
                <w:w w:val="105"/>
                <w:sz w:val="14"/>
              </w:rPr>
              <w:t>0.00</w:t>
            </w:r>
          </w:p>
        </w:tc>
        <w:tc>
          <w:tcPr>
            <w:tcW w:w="1522" w:type="dxa"/>
          </w:tcPr>
          <w:p>
            <w:pPr>
              <w:pStyle w:val="TableParagraph"/>
              <w:spacing w:line="142" w:lineRule="exact" w:before="99"/>
              <w:ind w:right="39"/>
              <w:jc w:val="right"/>
              <w:rPr>
                <w:sz w:val="14"/>
              </w:rPr>
            </w:pPr>
            <w:r>
              <w:rPr>
                <w:sz w:val="14"/>
              </w:rPr>
              <w:t>0.00</w:t>
            </w:r>
          </w:p>
        </w:tc>
        <w:tc>
          <w:tcPr>
            <w:tcW w:w="1652" w:type="dxa"/>
          </w:tcPr>
          <w:p>
            <w:pPr>
              <w:pStyle w:val="TableParagraph"/>
              <w:spacing w:line="142" w:lineRule="exact" w:before="99"/>
              <w:ind w:right="78"/>
              <w:jc w:val="right"/>
              <w:rPr>
                <w:sz w:val="14"/>
              </w:rPr>
            </w:pPr>
            <w:r>
              <w:rPr>
                <w:sz w:val="14"/>
              </w:rPr>
              <w:t>0.0%</w:t>
            </w:r>
          </w:p>
        </w:tc>
      </w:tr>
    </w:tbl>
    <w:p>
      <w:pPr>
        <w:spacing w:after="0" w:line="142" w:lineRule="exact"/>
        <w:jc w:val="right"/>
        <w:rPr>
          <w:sz w:val="14"/>
        </w:rPr>
        <w:sectPr>
          <w:type w:val="continuous"/>
          <w:pgSz w:w="12240" w:h="15840"/>
          <w:pgMar w:top="1500" w:bottom="840" w:left="160" w:right="180"/>
        </w:sectPr>
      </w:pPr>
    </w:p>
    <w:p>
      <w:pPr>
        <w:spacing w:line="237" w:lineRule="auto" w:before="0"/>
        <w:ind w:left="747" w:right="0" w:firstLine="0"/>
        <w:jc w:val="left"/>
        <w:rPr>
          <w:sz w:val="15"/>
        </w:rPr>
      </w:pPr>
      <w:r>
        <w:rPr>
          <w:sz w:val="15"/>
        </w:rPr>
        <w:t>Winship-Robbins Elementary Sutter County</w:t>
      </w:r>
    </w:p>
    <w:p>
      <w:pPr>
        <w:spacing w:line="237" w:lineRule="auto" w:before="0"/>
        <w:ind w:left="747" w:right="0" w:firstLine="180"/>
        <w:jc w:val="left"/>
        <w:rPr>
          <w:sz w:val="15"/>
        </w:rPr>
      </w:pPr>
      <w:r>
        <w:rPr/>
        <w:br w:type="column"/>
      </w:r>
      <w:r>
        <w:rPr>
          <w:sz w:val="15"/>
        </w:rPr>
        <w:t>Deferred Maintenance Fund Exhibit: Restricted Balance Detail</w:t>
      </w:r>
    </w:p>
    <w:p>
      <w:pPr>
        <w:spacing w:line="169" w:lineRule="exact" w:before="0"/>
        <w:ind w:left="0" w:right="726" w:firstLine="0"/>
        <w:jc w:val="right"/>
        <w:rPr>
          <w:sz w:val="15"/>
        </w:rPr>
      </w:pPr>
      <w:r>
        <w:rPr/>
        <w:br w:type="column"/>
      </w:r>
      <w:r>
        <w:rPr>
          <w:sz w:val="15"/>
        </w:rPr>
        <w:t>51 71456</w:t>
      </w:r>
      <w:r>
        <w:rPr>
          <w:spacing w:val="9"/>
          <w:sz w:val="15"/>
        </w:rPr>
        <w:t> </w:t>
      </w:r>
      <w:r>
        <w:rPr>
          <w:sz w:val="15"/>
        </w:rPr>
        <w:t>0000000</w:t>
      </w:r>
    </w:p>
    <w:p>
      <w:pPr>
        <w:spacing w:line="171" w:lineRule="exact" w:before="0"/>
        <w:ind w:left="0" w:right="726" w:firstLine="0"/>
        <w:jc w:val="right"/>
        <w:rPr>
          <w:sz w:val="15"/>
        </w:rPr>
      </w:pPr>
      <w:r>
        <w:rPr>
          <w:sz w:val="15"/>
        </w:rPr>
        <w:t>Form </w:t>
      </w:r>
      <w:r>
        <w:rPr>
          <w:spacing w:val="5"/>
          <w:sz w:val="15"/>
        </w:rPr>
        <w:t> </w:t>
      </w:r>
      <w:r>
        <w:rPr>
          <w:sz w:val="15"/>
        </w:rPr>
        <w:t>14</w:t>
      </w:r>
    </w:p>
    <w:p>
      <w:pPr>
        <w:spacing w:after="0" w:line="171" w:lineRule="exact"/>
        <w:jc w:val="right"/>
        <w:rPr>
          <w:sz w:val="15"/>
        </w:rPr>
        <w:sectPr>
          <w:headerReference w:type="default" r:id="rId768"/>
          <w:footerReference w:type="default" r:id="rId769"/>
          <w:pgSz w:w="12240" w:h="15840"/>
          <w:pgMar w:header="574" w:footer="0" w:top="760" w:bottom="280" w:left="160" w:right="180"/>
          <w:cols w:num="3" w:equalWidth="0">
            <w:col w:w="2746" w:space="1344"/>
            <w:col w:w="3030" w:space="2044"/>
            <w:col w:w="2736"/>
          </w:cols>
        </w:sectPr>
      </w:pPr>
    </w:p>
    <w:p>
      <w:pPr>
        <w:pStyle w:val="BodyText"/>
        <w:spacing w:before="3" w:after="1"/>
        <w:rPr>
          <w:sz w:val="23"/>
        </w:rPr>
      </w:pPr>
    </w:p>
    <w:tbl>
      <w:tblPr>
        <w:tblW w:w="0" w:type="auto"/>
        <w:jc w:val="left"/>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78"/>
        <w:gridCol w:w="3275"/>
        <w:gridCol w:w="3952"/>
        <w:gridCol w:w="1015"/>
      </w:tblGrid>
      <w:tr>
        <w:trPr>
          <w:trHeight w:val="223" w:hRule="atLeast"/>
        </w:trPr>
        <w:tc>
          <w:tcPr>
            <w:tcW w:w="4353" w:type="dxa"/>
            <w:gridSpan w:val="2"/>
          </w:tcPr>
          <w:p>
            <w:pPr>
              <w:pStyle w:val="TableParagraph"/>
              <w:rPr>
                <w:rFonts w:ascii="Times New Roman"/>
                <w:sz w:val="14"/>
              </w:rPr>
            </w:pPr>
          </w:p>
        </w:tc>
        <w:tc>
          <w:tcPr>
            <w:tcW w:w="3952" w:type="dxa"/>
          </w:tcPr>
          <w:p>
            <w:pPr>
              <w:pStyle w:val="TableParagraph"/>
              <w:spacing w:line="203" w:lineRule="exact"/>
              <w:ind w:left="2020" w:right="281"/>
              <w:jc w:val="center"/>
              <w:rPr>
                <w:b/>
                <w:sz w:val="18"/>
              </w:rPr>
            </w:pPr>
            <w:r>
              <w:rPr>
                <w:b/>
                <w:sz w:val="18"/>
              </w:rPr>
              <w:t>2020-21</w:t>
            </w:r>
          </w:p>
        </w:tc>
        <w:tc>
          <w:tcPr>
            <w:tcW w:w="1015" w:type="dxa"/>
          </w:tcPr>
          <w:p>
            <w:pPr>
              <w:pStyle w:val="TableParagraph"/>
              <w:spacing w:line="203" w:lineRule="exact"/>
              <w:ind w:right="46"/>
              <w:jc w:val="right"/>
              <w:rPr>
                <w:b/>
                <w:sz w:val="18"/>
              </w:rPr>
            </w:pPr>
            <w:r>
              <w:rPr>
                <w:b/>
                <w:sz w:val="18"/>
              </w:rPr>
              <w:t>2021-22</w:t>
            </w:r>
          </w:p>
        </w:tc>
      </w:tr>
      <w:tr>
        <w:trPr>
          <w:trHeight w:val="223" w:hRule="atLeast"/>
        </w:trPr>
        <w:tc>
          <w:tcPr>
            <w:tcW w:w="1078" w:type="dxa"/>
          </w:tcPr>
          <w:p>
            <w:pPr>
              <w:pStyle w:val="TableParagraph"/>
              <w:spacing w:line="188" w:lineRule="exact" w:before="15"/>
              <w:ind w:left="50"/>
              <w:rPr>
                <w:b/>
                <w:sz w:val="18"/>
              </w:rPr>
            </w:pPr>
            <w:r>
              <w:rPr>
                <w:b/>
                <w:sz w:val="18"/>
              </w:rPr>
              <w:t>Resource</w:t>
            </w:r>
          </w:p>
        </w:tc>
        <w:tc>
          <w:tcPr>
            <w:tcW w:w="3275" w:type="dxa"/>
          </w:tcPr>
          <w:p>
            <w:pPr>
              <w:pStyle w:val="TableParagraph"/>
              <w:spacing w:line="188" w:lineRule="exact" w:before="15"/>
              <w:ind w:left="186"/>
              <w:rPr>
                <w:b/>
                <w:sz w:val="18"/>
              </w:rPr>
            </w:pPr>
            <w:r>
              <w:rPr>
                <w:b/>
                <w:sz w:val="18"/>
              </w:rPr>
              <w:t>Description</w:t>
            </w:r>
          </w:p>
        </w:tc>
        <w:tc>
          <w:tcPr>
            <w:tcW w:w="3952" w:type="dxa"/>
          </w:tcPr>
          <w:p>
            <w:pPr>
              <w:pStyle w:val="TableParagraph"/>
              <w:spacing w:line="188" w:lineRule="exact" w:before="15"/>
              <w:ind w:left="2069" w:right="281"/>
              <w:jc w:val="center"/>
              <w:rPr>
                <w:b/>
                <w:sz w:val="18"/>
              </w:rPr>
            </w:pPr>
            <w:r>
              <w:rPr>
                <w:b/>
                <w:sz w:val="18"/>
              </w:rPr>
              <w:t>Estimated Actuals</w:t>
            </w:r>
          </w:p>
        </w:tc>
        <w:tc>
          <w:tcPr>
            <w:tcW w:w="1015" w:type="dxa"/>
          </w:tcPr>
          <w:p>
            <w:pPr>
              <w:pStyle w:val="TableParagraph"/>
              <w:spacing w:line="188" w:lineRule="exact" w:before="15"/>
              <w:ind w:right="68"/>
              <w:jc w:val="right"/>
              <w:rPr>
                <w:b/>
                <w:sz w:val="18"/>
              </w:rPr>
            </w:pPr>
            <w:r>
              <w:rPr>
                <w:b/>
                <w:sz w:val="18"/>
              </w:rPr>
              <w:t>Budget</w:t>
            </w:r>
          </w:p>
        </w:tc>
      </w:tr>
    </w:tbl>
    <w:p>
      <w:pPr>
        <w:pStyle w:val="BodyText"/>
        <w:spacing w:line="20" w:lineRule="exact"/>
        <w:ind w:left="1059"/>
        <w:rPr>
          <w:sz w:val="2"/>
        </w:rPr>
      </w:pPr>
      <w:r>
        <w:rPr>
          <w:sz w:val="2"/>
        </w:rPr>
        <w:drawing>
          <wp:inline distT="0" distB="0" distL="0" distR="0">
            <wp:extent cx="6198198" cy="4572"/>
            <wp:effectExtent l="0" t="0" r="0" b="0"/>
            <wp:docPr id="21" name="image551.png"/>
            <wp:cNvGraphicFramePr>
              <a:graphicFrameLocks noChangeAspect="1"/>
            </wp:cNvGraphicFramePr>
            <a:graphic>
              <a:graphicData uri="http://schemas.openxmlformats.org/drawingml/2006/picture">
                <pic:pic>
                  <pic:nvPicPr>
                    <pic:cNvPr id="22" name="image551.png"/>
                    <pic:cNvPicPr/>
                  </pic:nvPicPr>
                  <pic:blipFill>
                    <a:blip r:embed="rId572" cstate="print"/>
                    <a:stretch>
                      <a:fillRect/>
                    </a:stretch>
                  </pic:blipFill>
                  <pic:spPr>
                    <a:xfrm>
                      <a:off x="0" y="0"/>
                      <a:ext cx="6198198" cy="4572"/>
                    </a:xfrm>
                    <a:prstGeom prst="rect">
                      <a:avLst/>
                    </a:prstGeom>
                  </pic:spPr>
                </pic:pic>
              </a:graphicData>
            </a:graphic>
          </wp:inline>
        </w:drawing>
      </w:r>
      <w:r>
        <w:rPr>
          <w:sz w:val="2"/>
        </w:rPr>
      </w:r>
    </w:p>
    <w:p>
      <w:pPr>
        <w:pStyle w:val="BodyText"/>
        <w:rPr>
          <w:sz w:val="20"/>
        </w:rPr>
      </w:pPr>
    </w:p>
    <w:p>
      <w:pPr>
        <w:pStyle w:val="BodyText"/>
        <w:rPr>
          <w:sz w:val="12"/>
        </w:rPr>
      </w:pPr>
      <w:r>
        <w:rPr/>
        <w:drawing>
          <wp:anchor distT="0" distB="0" distL="0" distR="0" allowOverlap="1" layoutInCell="1" locked="0" behindDoc="0" simplePos="0" relativeHeight="337">
            <wp:simplePos x="0" y="0"/>
            <wp:positionH relativeFrom="page">
              <wp:posOffset>4767072</wp:posOffset>
            </wp:positionH>
            <wp:positionV relativeFrom="paragraph">
              <wp:posOffset>112534</wp:posOffset>
            </wp:positionV>
            <wp:extent cx="2205250" cy="4572"/>
            <wp:effectExtent l="0" t="0" r="0" b="0"/>
            <wp:wrapTopAndBottom/>
            <wp:docPr id="23" name="image552.png"/>
            <wp:cNvGraphicFramePr>
              <a:graphicFrameLocks noChangeAspect="1"/>
            </wp:cNvGraphicFramePr>
            <a:graphic>
              <a:graphicData uri="http://schemas.openxmlformats.org/drawingml/2006/picture">
                <pic:pic>
                  <pic:nvPicPr>
                    <pic:cNvPr id="24" name="image552.png"/>
                    <pic:cNvPicPr/>
                  </pic:nvPicPr>
                  <pic:blipFill>
                    <a:blip r:embed="rId573" cstate="print"/>
                    <a:stretch>
                      <a:fillRect/>
                    </a:stretch>
                  </pic:blipFill>
                  <pic:spPr>
                    <a:xfrm>
                      <a:off x="0" y="0"/>
                      <a:ext cx="2205250" cy="4572"/>
                    </a:xfrm>
                    <a:prstGeom prst="rect">
                      <a:avLst/>
                    </a:prstGeom>
                  </pic:spPr>
                </pic:pic>
              </a:graphicData>
            </a:graphic>
          </wp:anchor>
        </w:drawing>
      </w:r>
    </w:p>
    <w:p>
      <w:pPr>
        <w:tabs>
          <w:tab w:pos="8626" w:val="left" w:leader="none"/>
          <w:tab w:pos="10359" w:val="left" w:leader="none"/>
        </w:tabs>
        <w:spacing w:before="8"/>
        <w:ind w:left="1097" w:right="0" w:firstLine="0"/>
        <w:jc w:val="left"/>
        <w:rPr>
          <w:sz w:val="18"/>
        </w:rPr>
      </w:pPr>
      <w:r>
        <w:rPr>
          <w:sz w:val="18"/>
        </w:rPr>
        <w:t>Total,</w:t>
      </w:r>
      <w:r>
        <w:rPr>
          <w:spacing w:val="9"/>
          <w:sz w:val="18"/>
        </w:rPr>
        <w:t> </w:t>
      </w:r>
      <w:r>
        <w:rPr>
          <w:sz w:val="18"/>
        </w:rPr>
        <w:t>Restricted</w:t>
      </w:r>
      <w:r>
        <w:rPr>
          <w:spacing w:val="14"/>
          <w:sz w:val="18"/>
        </w:rPr>
        <w:t> </w:t>
      </w:r>
      <w:r>
        <w:rPr>
          <w:sz w:val="18"/>
        </w:rPr>
        <w:t>Balance</w:t>
        <w:tab/>
        <w:t>0.00</w:t>
        <w:tab/>
        <w:t>0.00</w:t>
      </w:r>
    </w:p>
    <w:p>
      <w:pPr>
        <w:pStyle w:val="BodyText"/>
        <w:spacing w:line="20" w:lineRule="exact"/>
        <w:ind w:left="7347"/>
        <w:rPr>
          <w:sz w:val="2"/>
        </w:rPr>
      </w:pPr>
      <w:r>
        <w:rPr>
          <w:sz w:val="2"/>
        </w:rPr>
        <w:drawing>
          <wp:inline distT="0" distB="0" distL="0" distR="0">
            <wp:extent cx="2205250" cy="4572"/>
            <wp:effectExtent l="0" t="0" r="0" b="0"/>
            <wp:docPr id="25" name="image552.png"/>
            <wp:cNvGraphicFramePr>
              <a:graphicFrameLocks noChangeAspect="1"/>
            </wp:cNvGraphicFramePr>
            <a:graphic>
              <a:graphicData uri="http://schemas.openxmlformats.org/drawingml/2006/picture">
                <pic:pic>
                  <pic:nvPicPr>
                    <pic:cNvPr id="26" name="image552.png"/>
                    <pic:cNvPicPr/>
                  </pic:nvPicPr>
                  <pic:blipFill>
                    <a:blip r:embed="rId573" cstate="print"/>
                    <a:stretch>
                      <a:fillRect/>
                    </a:stretch>
                  </pic:blipFill>
                  <pic:spPr>
                    <a:xfrm>
                      <a:off x="0" y="0"/>
                      <a:ext cx="2205250" cy="4572"/>
                    </a:xfrm>
                    <a:prstGeom prst="rect">
                      <a:avLst/>
                    </a:prstGeom>
                  </pic:spPr>
                </pic:pic>
              </a:graphicData>
            </a:graphic>
          </wp:inline>
        </w:drawing>
      </w:r>
      <w:r>
        <w:rPr>
          <w:sz w:val="2"/>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line="171" w:lineRule="exact" w:before="0"/>
        <w:ind w:left="747" w:right="0" w:firstLine="0"/>
        <w:jc w:val="left"/>
        <w:rPr>
          <w:sz w:val="15"/>
        </w:rPr>
      </w:pPr>
      <w:r>
        <w:rPr>
          <w:sz w:val="15"/>
        </w:rPr>
        <w:t>California Dept of Education</w:t>
      </w:r>
    </w:p>
    <w:p>
      <w:pPr>
        <w:spacing w:line="170" w:lineRule="exact" w:before="0"/>
        <w:ind w:left="747" w:right="0" w:firstLine="0"/>
        <w:jc w:val="left"/>
        <w:rPr>
          <w:sz w:val="15"/>
        </w:rPr>
      </w:pPr>
      <w:r>
        <w:rPr>
          <w:sz w:val="15"/>
        </w:rPr>
        <w:t>SACS Financial Reporting Software - 2021.1.0</w:t>
      </w:r>
    </w:p>
    <w:p>
      <w:pPr>
        <w:tabs>
          <w:tab w:pos="5718" w:val="left" w:leader="none"/>
          <w:tab w:pos="9232" w:val="left" w:leader="none"/>
        </w:tabs>
        <w:spacing w:line="171" w:lineRule="exact" w:before="0"/>
        <w:ind w:left="747" w:right="0" w:firstLine="0"/>
        <w:jc w:val="left"/>
        <w:rPr>
          <w:sz w:val="15"/>
        </w:rPr>
      </w:pPr>
      <w:r>
        <w:rPr>
          <w:sz w:val="15"/>
        </w:rPr>
        <w:t>File: fund-b</w:t>
      </w:r>
      <w:r>
        <w:rPr>
          <w:spacing w:val="8"/>
          <w:sz w:val="15"/>
        </w:rPr>
        <w:t> </w:t>
      </w:r>
      <w:r>
        <w:rPr>
          <w:sz w:val="15"/>
        </w:rPr>
        <w:t>(Rev</w:t>
      </w:r>
      <w:r>
        <w:rPr>
          <w:spacing w:val="7"/>
          <w:sz w:val="15"/>
        </w:rPr>
        <w:t> </w:t>
      </w:r>
      <w:r>
        <w:rPr>
          <w:sz w:val="15"/>
        </w:rPr>
        <w:t>04/17/2019)</w:t>
        <w:tab/>
        <w:t>Page</w:t>
      </w:r>
      <w:r>
        <w:rPr>
          <w:spacing w:val="2"/>
          <w:sz w:val="15"/>
        </w:rPr>
        <w:t> </w:t>
      </w:r>
      <w:r>
        <w:rPr>
          <w:sz w:val="15"/>
        </w:rPr>
        <w:t>1</w:t>
        <w:tab/>
        <w:t>Printed: 6/4/2021 10:06</w:t>
      </w:r>
      <w:r>
        <w:rPr>
          <w:spacing w:val="10"/>
          <w:sz w:val="15"/>
        </w:rPr>
        <w:t> </w:t>
      </w:r>
      <w:r>
        <w:rPr>
          <w:sz w:val="15"/>
        </w:rPr>
        <w:t>AM</w:t>
      </w:r>
    </w:p>
    <w:p>
      <w:pPr>
        <w:spacing w:after="0" w:line="171" w:lineRule="exact"/>
        <w:jc w:val="left"/>
        <w:rPr>
          <w:sz w:val="15"/>
        </w:rPr>
        <w:sectPr>
          <w:type w:val="continuous"/>
          <w:pgSz w:w="12240" w:h="15840"/>
          <w:pgMar w:top="1500" w:bottom="840" w:left="160" w:right="180"/>
        </w:sectPr>
      </w:pPr>
    </w:p>
    <w:p>
      <w:pPr>
        <w:spacing w:line="232" w:lineRule="auto" w:before="1"/>
        <w:ind w:left="308" w:right="0" w:firstLine="0"/>
        <w:jc w:val="left"/>
        <w:rPr>
          <w:sz w:val="18"/>
        </w:rPr>
      </w:pPr>
      <w:r>
        <w:rPr/>
        <w:pict>
          <v:group style="position:absolute;margin-left:30.120001pt;margin-top:36.318634pt;width:538pt;height:39.5pt;mso-position-horizontal-relative:page;mso-position-vertical-relative:paragraph;z-index:-314362880" coordorigin="602,726" coordsize="10760,790">
            <v:shape style="position:absolute;left:602;top:726;width:3646;height:790" type="#_x0000_t75" stroked="false">
              <v:imagedata r:id="rId406" o:title=""/>
            </v:shape>
            <v:shape style="position:absolute;left:4240;top:726;width:7121;height:790" type="#_x0000_t75" stroked="false">
              <v:imagedata r:id="rId407" o:title=""/>
            </v:shape>
            <w10:wrap type="none"/>
          </v:group>
        </w:pict>
      </w:r>
      <w:r>
        <w:rPr/>
        <w:pict>
          <v:group style="position:absolute;margin-left:30.120001pt;margin-top:74.718628pt;width:538pt;height:523pt;mso-position-horizontal-relative:page;mso-position-vertical-relative:paragraph;z-index:-314361856" coordorigin="602,1494" coordsize="10760,10460">
            <v:line style="position:absolute" from="1412,1506" to="1412,1876" stroked="true" strokeweight=".360003pt" strokecolor="#ffffff">
              <v:stroke dashstyle="solid"/>
            </v:line>
            <v:shape style="position:absolute;left:602;top:1501;width:3646;height:2472" type="#_x0000_t75" stroked="false">
              <v:imagedata r:id="rId408" o:title=""/>
            </v:shape>
            <v:shape style="position:absolute;left:6782;top:1494;width:1520;height:389" type="#_x0000_t75" stroked="false">
              <v:imagedata r:id="rId409" o:title=""/>
            </v:shape>
            <v:shape style="position:absolute;left:8294;top:1494;width:1520;height:389" type="#_x0000_t75" stroked="false">
              <v:imagedata r:id="rId410" o:title=""/>
            </v:shape>
            <v:shape style="position:absolute;left:6787;top:1506;width:4565;height:574" coordorigin="6787,1506" coordsize="4565,574" path="m11352,1506l9811,1506,9811,1883,8299,1883,6787,1883,6787,2080,8299,2080,9811,2080,11352,2080,11352,1883,11352,1506e" filled="true" fillcolor="#dfdfdf" stroked="false">
              <v:path arrowok="t"/>
              <v:fill type="solid"/>
            </v:shape>
            <v:shape style="position:absolute;left:8294;top:1494;width:3068;height:1337" type="#_x0000_t75" stroked="false">
              <v:imagedata r:id="rId411" o:title=""/>
            </v:shape>
            <v:shape style="position:absolute;left:6787;top:2080;width:4565;height:377" coordorigin="6787,2080" coordsize="4565,377" path="m11352,2080l9811,2080,8299,2080,6787,2080,6787,2457,8299,2457,9811,2457,11352,2457,11352,2080e" filled="true" fillcolor="#dfdfdf" stroked="false">
              <v:path arrowok="t"/>
              <v:fill type="solid"/>
            </v:shape>
            <v:shape style="position:absolute;left:6782;top:1878;width:1520;height:953" type="#_x0000_t75" stroked="false">
              <v:imagedata r:id="rId412" o:title=""/>
            </v:shape>
            <v:shape style="position:absolute;left:6787;top:2456;width:4565;height:377" coordorigin="6787,2457" coordsize="4565,377" path="m11352,2457l9811,2457,8299,2457,6787,2457,6787,2834,8299,2834,9811,2834,11352,2834,11352,2457e" filled="true" fillcolor="#dfdfdf" stroked="false">
              <v:path arrowok="t"/>
              <v:fill type="solid"/>
            </v:shape>
            <v:shape style="position:absolute;left:8294;top:2451;width:3068;height:761" type="#_x0000_t75" stroked="false">
              <v:imagedata r:id="rId413" o:title=""/>
            </v:shape>
            <v:shape style="position:absolute;left:6782;top:2828;width:1520;height:384" type="#_x0000_t75" stroked="false">
              <v:imagedata r:id="rId414" o:title=""/>
            </v:shape>
            <v:rect style="position:absolute;left:8299;top:2833;width:1512;height:377" filled="true" fillcolor="#dfdfdf" stroked="false">
              <v:fill type="solid"/>
            </v:rect>
            <v:shape style="position:absolute;left:9806;top:2828;width:1556;height:756" type="#_x0000_t75" stroked="false">
              <v:imagedata r:id="rId415" o:title=""/>
            </v:shape>
            <v:shape style="position:absolute;left:602;top:3205;width:10760;height:1133" type="#_x0000_t75" stroked="false">
              <v:imagedata r:id="rId416" o:title=""/>
            </v:shape>
            <v:line style="position:absolute" from="1412,3964" to="1412,4334" stroked="true" strokeweight=".360003pt" strokecolor="#ffffff">
              <v:stroke dashstyle="solid"/>
            </v:line>
            <v:shape style="position:absolute;left:4240;top:3951;width:2549;height:22" type="#_x0000_t75" stroked="false">
              <v:imagedata r:id="rId704" o:title=""/>
            </v:shape>
            <v:shape style="position:absolute;left:6782;top:3951;width:1520;height:389" type="#_x0000_t75" stroked="false">
              <v:imagedata r:id="rId705" o:title=""/>
            </v:shape>
            <v:shape style="position:absolute;left:8294;top:3951;width:1520;height:389" type="#_x0000_t75" stroked="false">
              <v:imagedata r:id="rId706" o:title=""/>
            </v:shape>
            <v:shape style="position:absolute;left:6787;top:3964;width:4565;height:574" coordorigin="6787,3964" coordsize="4565,574" path="m11352,3964l9811,3964,9811,4341,8299,4341,6787,4341,6787,4538,8299,4538,9811,4538,11352,4538,11352,4341,11352,3964e" filled="true" fillcolor="#dfdfdf" stroked="false">
              <v:path arrowok="t"/>
              <v:fill type="solid"/>
            </v:shape>
            <v:shape style="position:absolute;left:8294;top:3951;width:3068;height:1337" type="#_x0000_t75" stroked="false">
              <v:imagedata r:id="rId411" o:title=""/>
            </v:shape>
            <v:shape style="position:absolute;left:6787;top:4537;width:4565;height:377" coordorigin="6787,4538" coordsize="4565,377" path="m11352,4538l9811,4538,8299,4538,6787,4538,6787,4914,8299,4914,9811,4914,11352,4914,11352,4538e" filled="true" fillcolor="#dfdfdf" stroked="false">
              <v:path arrowok="t"/>
              <v:fill type="solid"/>
            </v:shape>
            <v:shape style="position:absolute;left:6782;top:4335;width:1520;height:953" type="#_x0000_t75" stroked="false">
              <v:imagedata r:id="rId412" o:title=""/>
            </v:shape>
            <v:shape style="position:absolute;left:6787;top:4914;width:4565;height:377" coordorigin="6787,4914" coordsize="4565,377" path="m11352,4914l9811,4914,8299,4914,6787,4914,6787,5291,8299,5291,9811,5291,11352,5291,11352,4914e" filled="true" fillcolor="#dfdfdf" stroked="false">
              <v:path arrowok="t"/>
              <v:fill type="solid"/>
            </v:shape>
            <v:shape style="position:absolute;left:8294;top:4909;width:3068;height:756" type="#_x0000_t75" stroked="false">
              <v:imagedata r:id="rId772" o:title=""/>
            </v:shape>
            <v:shape style="position:absolute;left:6782;top:5286;width:1520;height:382" type="#_x0000_t75" stroked="false">
              <v:imagedata r:id="rId773" o:title=""/>
            </v:shape>
            <v:shape style="position:absolute;left:8299;top:5291;width:3053;height:377" coordorigin="8299,5291" coordsize="3053,377" path="m11352,5291l9811,5291,8299,5291,8299,5668,9811,5668,11352,5668,11352,5291e" filled="true" fillcolor="#dfdfdf" stroked="false">
              <v:path arrowok="t"/>
              <v:fill type="solid"/>
            </v:shape>
            <v:shape style="position:absolute;left:8294;top:5286;width:3068;height:756" type="#_x0000_t75" stroked="false">
              <v:imagedata r:id="rId772" o:title=""/>
            </v:shape>
            <v:shape style="position:absolute;left:6782;top:5663;width:1520;height:382" type="#_x0000_t75" stroked="false">
              <v:imagedata r:id="rId662" o:title=""/>
            </v:shape>
            <v:shape style="position:absolute;left:8299;top:5668;width:3053;height:377" coordorigin="8299,5668" coordsize="3053,377" path="m11352,5668l9811,5668,8299,5668,8299,6045,9811,6045,11352,6045,11352,5668e" filled="true" fillcolor="#dfdfdf" stroked="false">
              <v:path arrowok="t"/>
              <v:fill type="solid"/>
            </v:shape>
            <v:shape style="position:absolute;left:8294;top:5663;width:3068;height:756" type="#_x0000_t75" stroked="false">
              <v:imagedata r:id="rId772" o:title=""/>
            </v:shape>
            <v:shape style="position:absolute;left:6782;top:6039;width:1520;height:382" type="#_x0000_t75" stroked="false">
              <v:imagedata r:id="rId662" o:title=""/>
            </v:shape>
            <v:shape style="position:absolute;left:8299;top:6044;width:3053;height:377" coordorigin="8299,6045" coordsize="3053,377" path="m11352,6045l9811,6045,8299,6045,8299,6422,9811,6422,11352,6422,11352,6045e" filled="true" fillcolor="#dfdfdf" stroked="false">
              <v:path arrowok="t"/>
              <v:fill type="solid"/>
            </v:shape>
            <v:shape style="position:absolute;left:8294;top:6039;width:3068;height:756" type="#_x0000_t75" stroked="false">
              <v:imagedata r:id="rId772" o:title=""/>
            </v:shape>
            <v:shape style="position:absolute;left:6782;top:6416;width:1520;height:382" type="#_x0000_t75" stroked="false">
              <v:imagedata r:id="rId662" o:title=""/>
            </v:shape>
            <v:shape style="position:absolute;left:8299;top:6421;width:3053;height:377" coordorigin="8299,6422" coordsize="3053,377" path="m11352,6422l9811,6422,8299,6422,8299,6798,9811,6798,11352,6798,11352,6422e" filled="true" fillcolor="#dfdfdf" stroked="false">
              <v:path arrowok="t"/>
              <v:fill type="solid"/>
            </v:shape>
            <v:shape style="position:absolute;left:8294;top:6416;width:3068;height:756" type="#_x0000_t75" stroked="false">
              <v:imagedata r:id="rId772" o:title=""/>
            </v:shape>
            <v:shape style="position:absolute;left:602;top:4335;width:3646;height:3800" type="#_x0000_t75" stroked="false">
              <v:imagedata r:id="rId420" o:title=""/>
            </v:shape>
            <v:shape style="position:absolute;left:6782;top:6793;width:1520;height:382" type="#_x0000_t75" stroked="false">
              <v:imagedata r:id="rId773" o:title=""/>
            </v:shape>
            <v:shape style="position:absolute;left:6787;top:6798;width:4565;height:574" coordorigin="6787,6798" coordsize="4565,574" path="m11352,6798l9811,6798,8299,6798,8299,7175,6787,7175,6787,7372,8299,7372,9811,7372,11352,7372,11352,7175,11352,6798e" filled="true" fillcolor="#dfdfdf" stroked="false">
              <v:path arrowok="t"/>
              <v:fill type="solid"/>
            </v:shape>
            <v:shape style="position:absolute;left:8294;top:6793;width:3068;height:953" type="#_x0000_t75" stroked="false">
              <v:imagedata r:id="rId774" o:title=""/>
            </v:shape>
            <v:shape style="position:absolute;left:6782;top:7170;width:1520;height:576" type="#_x0000_t75" stroked="false">
              <v:imagedata r:id="rId775" o:title=""/>
            </v:shape>
            <v:shape style="position:absolute;left:6787;top:7372;width:4565;height:377" coordorigin="6787,7372" coordsize="4565,377" path="m11352,7372l9811,7372,8299,7372,6787,7372,6787,7749,8299,7749,9811,7749,11352,7749,11352,7372e" filled="true" fillcolor="#dfdfdf" stroked="false">
              <v:path arrowok="t"/>
              <v:fill type="solid"/>
            </v:shape>
            <v:shape style="position:absolute;left:4240;top:8113;width:2549;height:22" type="#_x0000_t75" stroked="false">
              <v:imagedata r:id="rId704" o:title=""/>
            </v:shape>
            <v:shape style="position:absolute;left:8294;top:7367;width:3068;height:768" type="#_x0000_t75" stroked="false">
              <v:imagedata r:id="rId776" o:title=""/>
            </v:shape>
            <v:shape style="position:absolute;left:6782;top:7743;width:1520;height:392" type="#_x0000_t75" stroked="false">
              <v:imagedata r:id="rId777" o:title=""/>
            </v:shape>
            <v:shape style="position:absolute;left:8299;top:7748;width:3053;height:377" coordorigin="8299,7749" coordsize="3053,377" path="m11352,7749l9811,7749,8299,7749,8299,8126,9811,8126,11352,8126,11352,7749e" filled="true" fillcolor="#dfdfdf" stroked="false">
              <v:path arrowok="t"/>
              <v:fill type="solid"/>
            </v:shape>
            <v:line style="position:absolute" from="1412,8126" to="1412,8495" stroked="true" strokeweight=".360003pt" strokecolor="#ffffff">
              <v:stroke dashstyle="solid"/>
            </v:line>
            <v:shape style="position:absolute;left:602;top:8120;width:3646;height:785" type="#_x0000_t75" stroked="false">
              <v:imagedata r:id="rId427" o:title=""/>
            </v:shape>
            <v:shape style="position:absolute;left:4240;top:7743;width:7121;height:2122" type="#_x0000_t75" stroked="false">
              <v:imagedata r:id="rId778" o:title=""/>
            </v:shape>
            <v:line style="position:absolute" from="1412,8896" to="1412,9266" stroked="true" strokeweight=".360003pt" strokecolor="#ffffff">
              <v:stroke dashstyle="solid"/>
            </v:line>
            <v:shape style="position:absolute;left:6782;top:9661;width:4580;height:581" type="#_x0000_t75" stroked="false">
              <v:imagedata r:id="rId429" o:title=""/>
            </v:shape>
            <v:shape style="position:absolute;left:6782;top:9858;width:4580;height:958" type="#_x0000_t75" stroked="false">
              <v:imagedata r:id="rId430" o:title=""/>
            </v:shape>
            <v:shape style="position:absolute;left:6782;top:10611;width:4580;height:581" type="#_x0000_t75" stroked="false">
              <v:imagedata r:id="rId429" o:title=""/>
            </v:shape>
            <v:shape style="position:absolute;left:602;top:8891;width:3646;height:3063" type="#_x0000_t75" stroked="false">
              <v:imagedata r:id="rId431" o:title=""/>
            </v:shape>
            <v:shape style="position:absolute;left:8294;top:10808;width:3068;height:384" type="#_x0000_t75" stroked="false">
              <v:imagedata r:id="rId583" o:title=""/>
            </v:shape>
            <v:shape style="position:absolute;left:6782;top:11185;width:1520;height:384" type="#_x0000_t75" stroked="false">
              <v:imagedata r:id="rId414" o:title=""/>
            </v:shape>
            <v:shape style="position:absolute;left:8294;top:11185;width:1520;height:384" type="#_x0000_t75" stroked="false">
              <v:imagedata r:id="rId584" o:title=""/>
            </v:shape>
            <v:rect style="position:absolute;left:9811;top:11190;width:1541;height:377" filled="true" fillcolor="#dfdfdf" stroked="false">
              <v:fill type="solid"/>
            </v:rect>
            <v:shape style="position:absolute;left:4240;top:11185;width:7121;height:768" type="#_x0000_t75" stroked="false">
              <v:imagedata r:id="rId585" o:title=""/>
            </v:shape>
            <v:shape style="position:absolute;left:9806;top:11562;width:1556;height:392" type="#_x0000_t75" stroked="false">
              <v:imagedata r:id="rId586" o:title=""/>
            </v:shape>
            <w10:wrap type="none"/>
          </v:group>
        </w:pict>
      </w:r>
      <w:bookmarkStart w:name="FORM 17" w:id="7"/>
      <w:bookmarkEnd w:id="7"/>
      <w:r>
        <w:rPr/>
      </w:r>
      <w:r>
        <w:rPr>
          <w:sz w:val="18"/>
        </w:rPr>
        <w:t>Winship-Robbins Elementary Sutter County</w:t>
      </w:r>
    </w:p>
    <w:p>
      <w:pPr>
        <w:spacing w:line="232" w:lineRule="auto" w:before="1"/>
        <w:ind w:left="1832" w:right="0" w:hanging="1524"/>
        <w:jc w:val="left"/>
        <w:rPr>
          <w:sz w:val="18"/>
        </w:rPr>
      </w:pPr>
      <w:r>
        <w:rPr/>
        <w:br w:type="column"/>
      </w:r>
      <w:r>
        <w:rPr>
          <w:sz w:val="18"/>
        </w:rPr>
        <w:t>Special Reserve Fund for Other Than Capital Outlay Projects Expenditures by Object</w:t>
      </w:r>
    </w:p>
    <w:p>
      <w:pPr>
        <w:spacing w:line="200" w:lineRule="exact" w:before="0"/>
        <w:ind w:left="0" w:right="287" w:firstLine="0"/>
        <w:jc w:val="right"/>
        <w:rPr>
          <w:sz w:val="18"/>
        </w:rPr>
      </w:pPr>
      <w:r>
        <w:rPr/>
        <w:br w:type="column"/>
      </w:r>
      <w:r>
        <w:rPr>
          <w:sz w:val="18"/>
        </w:rPr>
        <w:t>51 71456</w:t>
      </w:r>
      <w:r>
        <w:rPr>
          <w:spacing w:val="3"/>
          <w:sz w:val="18"/>
        </w:rPr>
        <w:t> </w:t>
      </w:r>
      <w:r>
        <w:rPr>
          <w:sz w:val="18"/>
        </w:rPr>
        <w:t>0000000</w:t>
      </w:r>
    </w:p>
    <w:p>
      <w:pPr>
        <w:spacing w:line="204" w:lineRule="exact" w:before="0"/>
        <w:ind w:left="0" w:right="285" w:firstLine="0"/>
        <w:jc w:val="right"/>
        <w:rPr>
          <w:sz w:val="18"/>
        </w:rPr>
      </w:pPr>
      <w:r>
        <w:rPr>
          <w:sz w:val="18"/>
        </w:rPr>
        <w:t>Form </w:t>
      </w:r>
      <w:r>
        <w:rPr>
          <w:spacing w:val="3"/>
          <w:sz w:val="18"/>
        </w:rPr>
        <w:t> </w:t>
      </w:r>
      <w:r>
        <w:rPr>
          <w:sz w:val="18"/>
        </w:rPr>
        <w:t>17</w:t>
      </w:r>
    </w:p>
    <w:p>
      <w:pPr>
        <w:spacing w:after="0" w:line="204" w:lineRule="exact"/>
        <w:jc w:val="right"/>
        <w:rPr>
          <w:sz w:val="18"/>
        </w:rPr>
        <w:sectPr>
          <w:headerReference w:type="default" r:id="rId770"/>
          <w:footerReference w:type="default" r:id="rId771"/>
          <w:pgSz w:w="12240" w:h="15840"/>
          <w:pgMar w:header="651" w:footer="437" w:top="840" w:bottom="620" w:left="160" w:right="180"/>
          <w:pgNumType w:start="1"/>
          <w:cols w:num="3" w:equalWidth="0">
            <w:col w:w="2698" w:space="491"/>
            <w:col w:w="5266" w:space="1337"/>
            <w:col w:w="2108"/>
          </w:cols>
        </w:sectPr>
      </w:pPr>
    </w:p>
    <w:p>
      <w:pPr>
        <w:pStyle w:val="BodyText"/>
        <w:rPr>
          <w:sz w:val="20"/>
        </w:rPr>
      </w:pPr>
    </w:p>
    <w:p>
      <w:pPr>
        <w:pStyle w:val="BodyText"/>
        <w:rPr>
          <w:sz w:val="20"/>
        </w:rPr>
      </w:pPr>
    </w:p>
    <w:p>
      <w:pPr>
        <w:pStyle w:val="BodyText"/>
        <w:spacing w:before="8" w:after="1"/>
        <w:rPr>
          <w:sz w:val="26"/>
        </w:rPr>
      </w:pPr>
    </w:p>
    <w:tbl>
      <w:tblPr>
        <w:tblW w:w="0" w:type="auto"/>
        <w:jc w:val="left"/>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63"/>
        <w:gridCol w:w="1468"/>
        <w:gridCol w:w="1069"/>
        <w:gridCol w:w="1725"/>
        <w:gridCol w:w="1475"/>
        <w:gridCol w:w="981"/>
        <w:gridCol w:w="421"/>
      </w:tblGrid>
      <w:tr>
        <w:trPr>
          <w:trHeight w:val="334" w:hRule="atLeast"/>
        </w:trPr>
        <w:tc>
          <w:tcPr>
            <w:tcW w:w="3663" w:type="dxa"/>
          </w:tcPr>
          <w:p>
            <w:pPr>
              <w:pStyle w:val="TableParagraph"/>
              <w:spacing w:before="5"/>
              <w:rPr>
                <w:sz w:val="14"/>
              </w:rPr>
            </w:pPr>
          </w:p>
          <w:p>
            <w:pPr>
              <w:pStyle w:val="TableParagraph"/>
              <w:spacing w:line="147" w:lineRule="exact" w:before="1"/>
              <w:ind w:left="50"/>
              <w:rPr>
                <w:b/>
                <w:sz w:val="14"/>
              </w:rPr>
            </w:pPr>
            <w:r>
              <w:rPr>
                <w:b/>
                <w:w w:val="105"/>
                <w:sz w:val="14"/>
              </w:rPr>
              <w:t>Description</w:t>
            </w:r>
          </w:p>
        </w:tc>
        <w:tc>
          <w:tcPr>
            <w:tcW w:w="1468" w:type="dxa"/>
          </w:tcPr>
          <w:p>
            <w:pPr>
              <w:pStyle w:val="TableParagraph"/>
              <w:spacing w:before="5"/>
              <w:rPr>
                <w:sz w:val="14"/>
              </w:rPr>
            </w:pPr>
          </w:p>
          <w:p>
            <w:pPr>
              <w:pStyle w:val="TableParagraph"/>
              <w:spacing w:line="147" w:lineRule="exact" w:before="1"/>
              <w:ind w:left="215"/>
              <w:rPr>
                <w:b/>
                <w:sz w:val="14"/>
              </w:rPr>
            </w:pPr>
            <w:r>
              <w:rPr>
                <w:b/>
                <w:w w:val="105"/>
                <w:sz w:val="14"/>
              </w:rPr>
              <w:t>Resource Codes</w:t>
            </w:r>
          </w:p>
        </w:tc>
        <w:tc>
          <w:tcPr>
            <w:tcW w:w="1069" w:type="dxa"/>
          </w:tcPr>
          <w:p>
            <w:pPr>
              <w:pStyle w:val="TableParagraph"/>
              <w:spacing w:before="5"/>
              <w:rPr>
                <w:sz w:val="14"/>
              </w:rPr>
            </w:pPr>
          </w:p>
          <w:p>
            <w:pPr>
              <w:pStyle w:val="TableParagraph"/>
              <w:spacing w:line="147" w:lineRule="exact" w:before="1"/>
              <w:ind w:left="96"/>
              <w:jc w:val="center"/>
              <w:rPr>
                <w:b/>
                <w:sz w:val="14"/>
              </w:rPr>
            </w:pPr>
            <w:r>
              <w:rPr>
                <w:b/>
                <w:w w:val="105"/>
                <w:sz w:val="14"/>
              </w:rPr>
              <w:t>Object Codes</w:t>
            </w:r>
          </w:p>
        </w:tc>
        <w:tc>
          <w:tcPr>
            <w:tcW w:w="1725" w:type="dxa"/>
          </w:tcPr>
          <w:p>
            <w:pPr>
              <w:pStyle w:val="TableParagraph"/>
              <w:spacing w:line="160" w:lineRule="exact"/>
              <w:ind w:left="102" w:right="304"/>
              <w:jc w:val="center"/>
              <w:rPr>
                <w:b/>
                <w:sz w:val="14"/>
              </w:rPr>
            </w:pPr>
            <w:r>
              <w:rPr>
                <w:b/>
                <w:w w:val="105"/>
                <w:sz w:val="14"/>
              </w:rPr>
              <w:t>2020-21</w:t>
            </w:r>
          </w:p>
          <w:p>
            <w:pPr>
              <w:pStyle w:val="TableParagraph"/>
              <w:spacing w:line="147" w:lineRule="exact" w:before="7"/>
              <w:ind w:left="100" w:right="305"/>
              <w:jc w:val="center"/>
              <w:rPr>
                <w:b/>
                <w:sz w:val="14"/>
              </w:rPr>
            </w:pPr>
            <w:r>
              <w:rPr>
                <w:b/>
                <w:w w:val="105"/>
                <w:sz w:val="14"/>
              </w:rPr>
              <w:t>Estimated Actuals</w:t>
            </w:r>
          </w:p>
        </w:tc>
        <w:tc>
          <w:tcPr>
            <w:tcW w:w="1475" w:type="dxa"/>
          </w:tcPr>
          <w:p>
            <w:pPr>
              <w:pStyle w:val="TableParagraph"/>
              <w:spacing w:line="160" w:lineRule="exact"/>
              <w:ind w:left="284"/>
              <w:rPr>
                <w:b/>
                <w:sz w:val="14"/>
              </w:rPr>
            </w:pPr>
            <w:r>
              <w:rPr>
                <w:b/>
                <w:w w:val="105"/>
                <w:sz w:val="14"/>
              </w:rPr>
              <w:t>2021-22</w:t>
            </w:r>
          </w:p>
          <w:p>
            <w:pPr>
              <w:pStyle w:val="TableParagraph"/>
              <w:spacing w:line="147" w:lineRule="exact" w:before="7"/>
              <w:ind w:left="296"/>
              <w:rPr>
                <w:b/>
                <w:sz w:val="14"/>
              </w:rPr>
            </w:pPr>
            <w:r>
              <w:rPr>
                <w:b/>
                <w:w w:val="105"/>
                <w:sz w:val="14"/>
              </w:rPr>
              <w:t>Budget</w:t>
            </w:r>
          </w:p>
        </w:tc>
        <w:tc>
          <w:tcPr>
            <w:tcW w:w="981" w:type="dxa"/>
          </w:tcPr>
          <w:p>
            <w:pPr>
              <w:pStyle w:val="TableParagraph"/>
              <w:spacing w:line="160" w:lineRule="exact"/>
              <w:ind w:left="333"/>
              <w:rPr>
                <w:b/>
                <w:sz w:val="14"/>
              </w:rPr>
            </w:pPr>
            <w:r>
              <w:rPr>
                <w:b/>
                <w:w w:val="105"/>
                <w:sz w:val="14"/>
              </w:rPr>
              <w:t>Percent</w:t>
            </w:r>
          </w:p>
          <w:p>
            <w:pPr>
              <w:pStyle w:val="TableParagraph"/>
              <w:spacing w:line="147" w:lineRule="exact" w:before="7"/>
              <w:ind w:left="247"/>
              <w:rPr>
                <w:b/>
                <w:sz w:val="14"/>
              </w:rPr>
            </w:pPr>
            <w:r>
              <w:rPr>
                <w:b/>
                <w:w w:val="105"/>
                <w:sz w:val="14"/>
              </w:rPr>
              <w:t>Difference</w:t>
            </w:r>
          </w:p>
        </w:tc>
        <w:tc>
          <w:tcPr>
            <w:tcW w:w="421" w:type="dxa"/>
          </w:tcPr>
          <w:p>
            <w:pPr>
              <w:pStyle w:val="TableParagraph"/>
              <w:rPr>
                <w:rFonts w:ascii="Times New Roman"/>
                <w:sz w:val="14"/>
              </w:rPr>
            </w:pPr>
          </w:p>
        </w:tc>
      </w:tr>
      <w:tr>
        <w:trPr>
          <w:trHeight w:val="578" w:hRule="atLeast"/>
        </w:trPr>
        <w:tc>
          <w:tcPr>
            <w:tcW w:w="3663" w:type="dxa"/>
          </w:tcPr>
          <w:p>
            <w:pPr>
              <w:pStyle w:val="TableParagraph"/>
              <w:spacing w:before="2"/>
              <w:rPr>
                <w:sz w:val="18"/>
              </w:rPr>
            </w:pPr>
          </w:p>
          <w:p>
            <w:pPr>
              <w:pStyle w:val="TableParagraph"/>
              <w:ind w:left="50"/>
              <w:rPr>
                <w:b/>
                <w:sz w:val="14"/>
              </w:rPr>
            </w:pPr>
            <w:r>
              <w:rPr>
                <w:b/>
                <w:w w:val="105"/>
                <w:sz w:val="14"/>
              </w:rPr>
              <w:t>A. REVENUES</w:t>
            </w:r>
          </w:p>
        </w:tc>
        <w:tc>
          <w:tcPr>
            <w:tcW w:w="1468" w:type="dxa"/>
          </w:tcPr>
          <w:p>
            <w:pPr>
              <w:pStyle w:val="TableParagraph"/>
              <w:rPr>
                <w:rFonts w:ascii="Times New Roman"/>
                <w:sz w:val="14"/>
              </w:rPr>
            </w:pPr>
          </w:p>
        </w:tc>
        <w:tc>
          <w:tcPr>
            <w:tcW w:w="1069" w:type="dxa"/>
          </w:tcPr>
          <w:p>
            <w:pPr>
              <w:pStyle w:val="TableParagraph"/>
              <w:rPr>
                <w:rFonts w:ascii="Times New Roman"/>
                <w:sz w:val="14"/>
              </w:rPr>
            </w:pPr>
          </w:p>
        </w:tc>
        <w:tc>
          <w:tcPr>
            <w:tcW w:w="1725" w:type="dxa"/>
          </w:tcPr>
          <w:p>
            <w:pPr>
              <w:pStyle w:val="TableParagraph"/>
              <w:rPr>
                <w:rFonts w:ascii="Times New Roman"/>
                <w:sz w:val="14"/>
              </w:rPr>
            </w:pPr>
          </w:p>
        </w:tc>
        <w:tc>
          <w:tcPr>
            <w:tcW w:w="1475" w:type="dxa"/>
          </w:tcPr>
          <w:p>
            <w:pPr>
              <w:pStyle w:val="TableParagraph"/>
              <w:rPr>
                <w:rFonts w:ascii="Times New Roman"/>
                <w:sz w:val="14"/>
              </w:rPr>
            </w:pPr>
          </w:p>
        </w:tc>
        <w:tc>
          <w:tcPr>
            <w:tcW w:w="981" w:type="dxa"/>
            <w:shd w:val="clear" w:color="auto" w:fill="DFDFDF"/>
          </w:tcPr>
          <w:p>
            <w:pPr>
              <w:pStyle w:val="TableParagraph"/>
              <w:rPr>
                <w:rFonts w:ascii="Times New Roman"/>
                <w:sz w:val="14"/>
              </w:rPr>
            </w:pPr>
          </w:p>
        </w:tc>
        <w:tc>
          <w:tcPr>
            <w:tcW w:w="421" w:type="dxa"/>
            <w:shd w:val="clear" w:color="auto" w:fill="DFDFDF"/>
          </w:tcPr>
          <w:p>
            <w:pPr>
              <w:pStyle w:val="TableParagraph"/>
              <w:rPr>
                <w:rFonts w:ascii="Times New Roman"/>
                <w:sz w:val="14"/>
              </w:rPr>
            </w:pPr>
          </w:p>
        </w:tc>
      </w:tr>
      <w:tr>
        <w:trPr>
          <w:trHeight w:val="476" w:hRule="atLeast"/>
        </w:trPr>
        <w:tc>
          <w:tcPr>
            <w:tcW w:w="3663" w:type="dxa"/>
          </w:tcPr>
          <w:p>
            <w:pPr>
              <w:pStyle w:val="TableParagraph"/>
              <w:spacing w:before="11"/>
              <w:rPr>
                <w:sz w:val="17"/>
              </w:rPr>
            </w:pPr>
          </w:p>
          <w:p>
            <w:pPr>
              <w:pStyle w:val="TableParagraph"/>
              <w:ind w:left="213"/>
              <w:rPr>
                <w:sz w:val="14"/>
              </w:rPr>
            </w:pPr>
            <w:r>
              <w:rPr>
                <w:w w:val="105"/>
                <w:sz w:val="14"/>
              </w:rPr>
              <w:t>1) LCFF Sources</w:t>
            </w:r>
          </w:p>
        </w:tc>
        <w:tc>
          <w:tcPr>
            <w:tcW w:w="1468" w:type="dxa"/>
          </w:tcPr>
          <w:p>
            <w:pPr>
              <w:pStyle w:val="TableParagraph"/>
              <w:rPr>
                <w:rFonts w:ascii="Times New Roman"/>
                <w:sz w:val="14"/>
              </w:rPr>
            </w:pPr>
          </w:p>
        </w:tc>
        <w:tc>
          <w:tcPr>
            <w:tcW w:w="1069" w:type="dxa"/>
          </w:tcPr>
          <w:p>
            <w:pPr>
              <w:pStyle w:val="TableParagraph"/>
              <w:spacing w:before="11"/>
              <w:rPr>
                <w:sz w:val="17"/>
              </w:rPr>
            </w:pPr>
          </w:p>
          <w:p>
            <w:pPr>
              <w:pStyle w:val="TableParagraph"/>
              <w:ind w:left="97"/>
              <w:jc w:val="center"/>
              <w:rPr>
                <w:sz w:val="14"/>
              </w:rPr>
            </w:pPr>
            <w:r>
              <w:rPr>
                <w:w w:val="105"/>
                <w:sz w:val="14"/>
              </w:rPr>
              <w:t>8010-8099</w:t>
            </w:r>
          </w:p>
        </w:tc>
        <w:tc>
          <w:tcPr>
            <w:tcW w:w="1725" w:type="dxa"/>
            <w:shd w:val="clear" w:color="auto" w:fill="DFDFDF"/>
          </w:tcPr>
          <w:p>
            <w:pPr>
              <w:pStyle w:val="TableParagraph"/>
              <w:spacing w:before="11"/>
              <w:rPr>
                <w:sz w:val="17"/>
              </w:rPr>
            </w:pPr>
          </w:p>
          <w:p>
            <w:pPr>
              <w:pStyle w:val="TableParagraph"/>
              <w:ind w:right="286"/>
              <w:jc w:val="right"/>
              <w:rPr>
                <w:sz w:val="14"/>
              </w:rPr>
            </w:pPr>
            <w:r>
              <w:rPr>
                <w:sz w:val="14"/>
              </w:rPr>
              <w:t>0.00</w:t>
            </w:r>
          </w:p>
        </w:tc>
        <w:tc>
          <w:tcPr>
            <w:tcW w:w="1475" w:type="dxa"/>
            <w:shd w:val="clear" w:color="auto" w:fill="DFDFDF"/>
          </w:tcPr>
          <w:p>
            <w:pPr>
              <w:pStyle w:val="TableParagraph"/>
              <w:spacing w:before="11"/>
              <w:rPr>
                <w:sz w:val="17"/>
              </w:rPr>
            </w:pPr>
          </w:p>
          <w:p>
            <w:pPr>
              <w:pStyle w:val="TableParagraph"/>
              <w:ind w:right="249"/>
              <w:jc w:val="right"/>
              <w:rPr>
                <w:sz w:val="14"/>
              </w:rPr>
            </w:pPr>
            <w:r>
              <w:rPr>
                <w:sz w:val="14"/>
              </w:rPr>
              <w:t>0.00</w:t>
            </w:r>
          </w:p>
        </w:tc>
        <w:tc>
          <w:tcPr>
            <w:tcW w:w="981" w:type="dxa"/>
            <w:shd w:val="clear" w:color="auto" w:fill="DFDFDF"/>
          </w:tcPr>
          <w:p>
            <w:pPr>
              <w:pStyle w:val="TableParagraph"/>
              <w:rPr>
                <w:rFonts w:ascii="Times New Roman"/>
                <w:sz w:val="14"/>
              </w:rPr>
            </w:pPr>
          </w:p>
        </w:tc>
        <w:tc>
          <w:tcPr>
            <w:tcW w:w="421" w:type="dxa"/>
            <w:shd w:val="clear" w:color="auto" w:fill="DFDFDF"/>
          </w:tcPr>
          <w:p>
            <w:pPr>
              <w:pStyle w:val="TableParagraph"/>
              <w:spacing w:before="11"/>
              <w:rPr>
                <w:sz w:val="17"/>
              </w:rPr>
            </w:pPr>
          </w:p>
          <w:p>
            <w:pPr>
              <w:pStyle w:val="TableParagraph"/>
              <w:ind w:left="6" w:right="38"/>
              <w:jc w:val="center"/>
              <w:rPr>
                <w:sz w:val="14"/>
              </w:rPr>
            </w:pPr>
            <w:r>
              <w:rPr>
                <w:w w:val="105"/>
                <w:sz w:val="14"/>
              </w:rPr>
              <w:t>0.0%</w:t>
            </w:r>
          </w:p>
        </w:tc>
      </w:tr>
      <w:tr>
        <w:trPr>
          <w:trHeight w:val="376" w:hRule="atLeast"/>
        </w:trPr>
        <w:tc>
          <w:tcPr>
            <w:tcW w:w="3663" w:type="dxa"/>
          </w:tcPr>
          <w:p>
            <w:pPr>
              <w:pStyle w:val="TableParagraph"/>
              <w:spacing w:before="107"/>
              <w:ind w:left="213"/>
              <w:rPr>
                <w:sz w:val="14"/>
              </w:rPr>
            </w:pPr>
            <w:r>
              <w:rPr>
                <w:w w:val="105"/>
                <w:sz w:val="14"/>
              </w:rPr>
              <w:t>2) Federal Revenue</w:t>
            </w:r>
          </w:p>
        </w:tc>
        <w:tc>
          <w:tcPr>
            <w:tcW w:w="1468" w:type="dxa"/>
          </w:tcPr>
          <w:p>
            <w:pPr>
              <w:pStyle w:val="TableParagraph"/>
              <w:rPr>
                <w:rFonts w:ascii="Times New Roman"/>
                <w:sz w:val="14"/>
              </w:rPr>
            </w:pPr>
          </w:p>
        </w:tc>
        <w:tc>
          <w:tcPr>
            <w:tcW w:w="1069" w:type="dxa"/>
          </w:tcPr>
          <w:p>
            <w:pPr>
              <w:pStyle w:val="TableParagraph"/>
              <w:spacing w:before="107"/>
              <w:ind w:left="97"/>
              <w:jc w:val="center"/>
              <w:rPr>
                <w:sz w:val="14"/>
              </w:rPr>
            </w:pPr>
            <w:r>
              <w:rPr>
                <w:w w:val="105"/>
                <w:sz w:val="14"/>
              </w:rPr>
              <w:t>8100-8299</w:t>
            </w:r>
          </w:p>
        </w:tc>
        <w:tc>
          <w:tcPr>
            <w:tcW w:w="1725" w:type="dxa"/>
          </w:tcPr>
          <w:p>
            <w:pPr>
              <w:pStyle w:val="TableParagraph"/>
              <w:spacing w:before="107"/>
              <w:ind w:right="286"/>
              <w:jc w:val="right"/>
              <w:rPr>
                <w:sz w:val="14"/>
              </w:rPr>
            </w:pPr>
            <w:r>
              <w:rPr>
                <w:sz w:val="14"/>
              </w:rPr>
              <w:t>0.00</w:t>
            </w:r>
          </w:p>
        </w:tc>
        <w:tc>
          <w:tcPr>
            <w:tcW w:w="1475" w:type="dxa"/>
            <w:shd w:val="clear" w:color="auto" w:fill="DFDFDF"/>
          </w:tcPr>
          <w:p>
            <w:pPr>
              <w:pStyle w:val="TableParagraph"/>
              <w:spacing w:before="107"/>
              <w:ind w:right="249"/>
              <w:jc w:val="right"/>
              <w:rPr>
                <w:sz w:val="14"/>
              </w:rPr>
            </w:pPr>
            <w:r>
              <w:rPr>
                <w:sz w:val="14"/>
              </w:rPr>
              <w:t>0.00</w:t>
            </w:r>
          </w:p>
        </w:tc>
        <w:tc>
          <w:tcPr>
            <w:tcW w:w="981" w:type="dxa"/>
          </w:tcPr>
          <w:p>
            <w:pPr>
              <w:pStyle w:val="TableParagraph"/>
              <w:rPr>
                <w:rFonts w:ascii="Times New Roman"/>
                <w:sz w:val="14"/>
              </w:rPr>
            </w:pPr>
          </w:p>
        </w:tc>
        <w:tc>
          <w:tcPr>
            <w:tcW w:w="421" w:type="dxa"/>
          </w:tcPr>
          <w:p>
            <w:pPr>
              <w:pStyle w:val="TableParagraph"/>
              <w:spacing w:before="107"/>
              <w:ind w:left="6" w:right="38"/>
              <w:jc w:val="center"/>
              <w:rPr>
                <w:sz w:val="14"/>
              </w:rPr>
            </w:pPr>
            <w:r>
              <w:rPr>
                <w:w w:val="105"/>
                <w:sz w:val="14"/>
              </w:rPr>
              <w:t>0.0%</w:t>
            </w:r>
          </w:p>
        </w:tc>
      </w:tr>
      <w:tr>
        <w:trPr>
          <w:trHeight w:val="271" w:hRule="atLeast"/>
        </w:trPr>
        <w:tc>
          <w:tcPr>
            <w:tcW w:w="3663" w:type="dxa"/>
          </w:tcPr>
          <w:p>
            <w:pPr>
              <w:pStyle w:val="TableParagraph"/>
              <w:spacing w:line="145" w:lineRule="exact" w:before="107"/>
              <w:ind w:left="213"/>
              <w:rPr>
                <w:sz w:val="14"/>
              </w:rPr>
            </w:pPr>
            <w:r>
              <w:rPr>
                <w:w w:val="105"/>
                <w:sz w:val="14"/>
              </w:rPr>
              <w:t>3) Other State Revenue</w:t>
            </w:r>
          </w:p>
        </w:tc>
        <w:tc>
          <w:tcPr>
            <w:tcW w:w="1468" w:type="dxa"/>
          </w:tcPr>
          <w:p>
            <w:pPr>
              <w:pStyle w:val="TableParagraph"/>
              <w:rPr>
                <w:rFonts w:ascii="Times New Roman"/>
                <w:sz w:val="14"/>
              </w:rPr>
            </w:pPr>
          </w:p>
        </w:tc>
        <w:tc>
          <w:tcPr>
            <w:tcW w:w="1069" w:type="dxa"/>
          </w:tcPr>
          <w:p>
            <w:pPr>
              <w:pStyle w:val="TableParagraph"/>
              <w:spacing w:line="145" w:lineRule="exact" w:before="107"/>
              <w:ind w:left="97"/>
              <w:jc w:val="center"/>
              <w:rPr>
                <w:sz w:val="14"/>
              </w:rPr>
            </w:pPr>
            <w:r>
              <w:rPr>
                <w:w w:val="105"/>
                <w:sz w:val="14"/>
              </w:rPr>
              <w:t>8300-8599</w:t>
            </w:r>
          </w:p>
        </w:tc>
        <w:tc>
          <w:tcPr>
            <w:tcW w:w="1725" w:type="dxa"/>
          </w:tcPr>
          <w:p>
            <w:pPr>
              <w:pStyle w:val="TableParagraph"/>
              <w:spacing w:line="145" w:lineRule="exact" w:before="107"/>
              <w:ind w:right="286"/>
              <w:jc w:val="right"/>
              <w:rPr>
                <w:sz w:val="14"/>
              </w:rPr>
            </w:pPr>
            <w:r>
              <w:rPr>
                <w:sz w:val="14"/>
              </w:rPr>
              <w:t>0.00</w:t>
            </w:r>
          </w:p>
        </w:tc>
        <w:tc>
          <w:tcPr>
            <w:tcW w:w="1475" w:type="dxa"/>
            <w:shd w:val="clear" w:color="auto" w:fill="DFDFDF"/>
          </w:tcPr>
          <w:p>
            <w:pPr>
              <w:pStyle w:val="TableParagraph"/>
              <w:spacing w:line="145" w:lineRule="exact" w:before="107"/>
              <w:ind w:right="249"/>
              <w:jc w:val="right"/>
              <w:rPr>
                <w:sz w:val="14"/>
              </w:rPr>
            </w:pPr>
            <w:r>
              <w:rPr>
                <w:sz w:val="14"/>
              </w:rPr>
              <w:t>0.00</w:t>
            </w:r>
          </w:p>
        </w:tc>
        <w:tc>
          <w:tcPr>
            <w:tcW w:w="981" w:type="dxa"/>
          </w:tcPr>
          <w:p>
            <w:pPr>
              <w:pStyle w:val="TableParagraph"/>
              <w:rPr>
                <w:rFonts w:ascii="Times New Roman"/>
                <w:sz w:val="14"/>
              </w:rPr>
            </w:pPr>
          </w:p>
        </w:tc>
        <w:tc>
          <w:tcPr>
            <w:tcW w:w="421" w:type="dxa"/>
          </w:tcPr>
          <w:p>
            <w:pPr>
              <w:pStyle w:val="TableParagraph"/>
              <w:spacing w:line="145" w:lineRule="exact" w:before="107"/>
              <w:ind w:left="6" w:right="38"/>
              <w:jc w:val="center"/>
              <w:rPr>
                <w:sz w:val="14"/>
              </w:rPr>
            </w:pPr>
            <w:r>
              <w:rPr>
                <w:w w:val="105"/>
                <w:sz w:val="14"/>
              </w:rPr>
              <w:t>0.0%</w:t>
            </w:r>
          </w:p>
        </w:tc>
      </w:tr>
      <w:tr>
        <w:trPr>
          <w:trHeight w:val="481" w:hRule="atLeast"/>
        </w:trPr>
        <w:tc>
          <w:tcPr>
            <w:tcW w:w="3663" w:type="dxa"/>
          </w:tcPr>
          <w:p>
            <w:pPr>
              <w:pStyle w:val="TableParagraph"/>
              <w:spacing w:before="4"/>
              <w:rPr>
                <w:sz w:val="18"/>
              </w:rPr>
            </w:pPr>
          </w:p>
          <w:p>
            <w:pPr>
              <w:pStyle w:val="TableParagraph"/>
              <w:spacing w:before="1"/>
              <w:ind w:left="213"/>
              <w:rPr>
                <w:sz w:val="14"/>
              </w:rPr>
            </w:pPr>
            <w:r>
              <w:rPr>
                <w:w w:val="105"/>
                <w:sz w:val="14"/>
              </w:rPr>
              <w:t>4) Other Local Revenue</w:t>
            </w:r>
          </w:p>
        </w:tc>
        <w:tc>
          <w:tcPr>
            <w:tcW w:w="1468" w:type="dxa"/>
          </w:tcPr>
          <w:p>
            <w:pPr>
              <w:pStyle w:val="TableParagraph"/>
              <w:rPr>
                <w:rFonts w:ascii="Times New Roman"/>
                <w:sz w:val="14"/>
              </w:rPr>
            </w:pPr>
          </w:p>
        </w:tc>
        <w:tc>
          <w:tcPr>
            <w:tcW w:w="1069" w:type="dxa"/>
          </w:tcPr>
          <w:p>
            <w:pPr>
              <w:pStyle w:val="TableParagraph"/>
              <w:spacing w:before="4"/>
              <w:rPr>
                <w:sz w:val="18"/>
              </w:rPr>
            </w:pPr>
          </w:p>
          <w:p>
            <w:pPr>
              <w:pStyle w:val="TableParagraph"/>
              <w:spacing w:before="1"/>
              <w:ind w:left="97"/>
              <w:jc w:val="center"/>
              <w:rPr>
                <w:sz w:val="14"/>
              </w:rPr>
            </w:pPr>
            <w:r>
              <w:rPr>
                <w:w w:val="105"/>
                <w:sz w:val="14"/>
              </w:rPr>
              <w:t>8600-8799</w:t>
            </w:r>
          </w:p>
        </w:tc>
        <w:tc>
          <w:tcPr>
            <w:tcW w:w="1725" w:type="dxa"/>
          </w:tcPr>
          <w:p>
            <w:pPr>
              <w:pStyle w:val="TableParagraph"/>
              <w:spacing w:before="4"/>
              <w:rPr>
                <w:sz w:val="18"/>
              </w:rPr>
            </w:pPr>
          </w:p>
          <w:p>
            <w:pPr>
              <w:pStyle w:val="TableParagraph"/>
              <w:spacing w:before="1"/>
              <w:ind w:right="285"/>
              <w:jc w:val="right"/>
              <w:rPr>
                <w:sz w:val="14"/>
              </w:rPr>
            </w:pPr>
            <w:r>
              <w:rPr>
                <w:sz w:val="14"/>
              </w:rPr>
              <w:t>5,451.00</w:t>
            </w:r>
          </w:p>
        </w:tc>
        <w:tc>
          <w:tcPr>
            <w:tcW w:w="1475" w:type="dxa"/>
          </w:tcPr>
          <w:p>
            <w:pPr>
              <w:pStyle w:val="TableParagraph"/>
              <w:spacing w:before="4"/>
              <w:rPr>
                <w:sz w:val="18"/>
              </w:rPr>
            </w:pPr>
          </w:p>
          <w:p>
            <w:pPr>
              <w:pStyle w:val="TableParagraph"/>
              <w:spacing w:before="1"/>
              <w:ind w:right="248"/>
              <w:jc w:val="right"/>
              <w:rPr>
                <w:sz w:val="14"/>
              </w:rPr>
            </w:pPr>
            <w:r>
              <w:rPr>
                <w:sz w:val="14"/>
              </w:rPr>
              <w:t>5,451.00</w:t>
            </w:r>
          </w:p>
        </w:tc>
        <w:tc>
          <w:tcPr>
            <w:tcW w:w="981" w:type="dxa"/>
          </w:tcPr>
          <w:p>
            <w:pPr>
              <w:pStyle w:val="TableParagraph"/>
              <w:rPr>
                <w:rFonts w:ascii="Times New Roman"/>
                <w:sz w:val="14"/>
              </w:rPr>
            </w:pPr>
          </w:p>
        </w:tc>
        <w:tc>
          <w:tcPr>
            <w:tcW w:w="421" w:type="dxa"/>
          </w:tcPr>
          <w:p>
            <w:pPr>
              <w:pStyle w:val="TableParagraph"/>
              <w:spacing w:before="4"/>
              <w:rPr>
                <w:sz w:val="18"/>
              </w:rPr>
            </w:pPr>
          </w:p>
          <w:p>
            <w:pPr>
              <w:pStyle w:val="TableParagraph"/>
              <w:spacing w:before="1"/>
              <w:ind w:left="6" w:right="38"/>
              <w:jc w:val="center"/>
              <w:rPr>
                <w:sz w:val="14"/>
              </w:rPr>
            </w:pPr>
            <w:r>
              <w:rPr>
                <w:w w:val="105"/>
                <w:sz w:val="14"/>
              </w:rPr>
              <w:t>0.0%</w:t>
            </w:r>
          </w:p>
        </w:tc>
      </w:tr>
      <w:tr>
        <w:trPr>
          <w:trHeight w:val="271" w:hRule="atLeast"/>
        </w:trPr>
        <w:tc>
          <w:tcPr>
            <w:tcW w:w="3663" w:type="dxa"/>
          </w:tcPr>
          <w:p>
            <w:pPr>
              <w:pStyle w:val="TableParagraph"/>
              <w:spacing w:line="145" w:lineRule="exact" w:before="107"/>
              <w:ind w:left="213"/>
              <w:rPr>
                <w:sz w:val="14"/>
              </w:rPr>
            </w:pPr>
            <w:r>
              <w:rPr>
                <w:w w:val="105"/>
                <w:sz w:val="14"/>
              </w:rPr>
              <w:t>5) TOTAL, REVENUES</w:t>
            </w:r>
          </w:p>
        </w:tc>
        <w:tc>
          <w:tcPr>
            <w:tcW w:w="1468" w:type="dxa"/>
          </w:tcPr>
          <w:p>
            <w:pPr>
              <w:pStyle w:val="TableParagraph"/>
              <w:rPr>
                <w:rFonts w:ascii="Times New Roman"/>
                <w:sz w:val="14"/>
              </w:rPr>
            </w:pPr>
          </w:p>
        </w:tc>
        <w:tc>
          <w:tcPr>
            <w:tcW w:w="1069" w:type="dxa"/>
          </w:tcPr>
          <w:p>
            <w:pPr>
              <w:pStyle w:val="TableParagraph"/>
              <w:rPr>
                <w:rFonts w:ascii="Times New Roman"/>
                <w:sz w:val="14"/>
              </w:rPr>
            </w:pPr>
          </w:p>
        </w:tc>
        <w:tc>
          <w:tcPr>
            <w:tcW w:w="1725" w:type="dxa"/>
          </w:tcPr>
          <w:p>
            <w:pPr>
              <w:pStyle w:val="TableParagraph"/>
              <w:spacing w:line="145" w:lineRule="exact" w:before="107"/>
              <w:ind w:right="285"/>
              <w:jc w:val="right"/>
              <w:rPr>
                <w:sz w:val="14"/>
              </w:rPr>
            </w:pPr>
            <w:r>
              <w:rPr>
                <w:sz w:val="14"/>
              </w:rPr>
              <w:t>5,451.00</w:t>
            </w:r>
          </w:p>
        </w:tc>
        <w:tc>
          <w:tcPr>
            <w:tcW w:w="1475" w:type="dxa"/>
          </w:tcPr>
          <w:p>
            <w:pPr>
              <w:pStyle w:val="TableParagraph"/>
              <w:spacing w:line="145" w:lineRule="exact" w:before="107"/>
              <w:ind w:right="248"/>
              <w:jc w:val="right"/>
              <w:rPr>
                <w:sz w:val="14"/>
              </w:rPr>
            </w:pPr>
            <w:r>
              <w:rPr>
                <w:sz w:val="14"/>
              </w:rPr>
              <w:t>5,451.00</w:t>
            </w:r>
          </w:p>
        </w:tc>
        <w:tc>
          <w:tcPr>
            <w:tcW w:w="981" w:type="dxa"/>
          </w:tcPr>
          <w:p>
            <w:pPr>
              <w:pStyle w:val="TableParagraph"/>
              <w:rPr>
                <w:rFonts w:ascii="Times New Roman"/>
                <w:sz w:val="14"/>
              </w:rPr>
            </w:pPr>
          </w:p>
        </w:tc>
        <w:tc>
          <w:tcPr>
            <w:tcW w:w="421" w:type="dxa"/>
          </w:tcPr>
          <w:p>
            <w:pPr>
              <w:pStyle w:val="TableParagraph"/>
              <w:spacing w:line="145" w:lineRule="exact" w:before="107"/>
              <w:ind w:left="6" w:right="38"/>
              <w:jc w:val="center"/>
              <w:rPr>
                <w:sz w:val="14"/>
              </w:rPr>
            </w:pPr>
            <w:r>
              <w:rPr>
                <w:w w:val="105"/>
                <w:sz w:val="14"/>
              </w:rPr>
              <w:t>0.0%</w:t>
            </w:r>
          </w:p>
        </w:tc>
      </w:tr>
      <w:tr>
        <w:trPr>
          <w:trHeight w:val="786" w:hRule="atLeast"/>
        </w:trPr>
        <w:tc>
          <w:tcPr>
            <w:tcW w:w="3663" w:type="dxa"/>
          </w:tcPr>
          <w:p>
            <w:pPr>
              <w:pStyle w:val="TableParagraph"/>
              <w:spacing w:before="2"/>
              <w:rPr>
                <w:sz w:val="18"/>
              </w:rPr>
            </w:pPr>
          </w:p>
          <w:p>
            <w:pPr>
              <w:pStyle w:val="TableParagraph"/>
              <w:ind w:left="50"/>
              <w:rPr>
                <w:b/>
                <w:sz w:val="14"/>
              </w:rPr>
            </w:pPr>
            <w:r>
              <w:rPr>
                <w:b/>
                <w:w w:val="105"/>
                <w:sz w:val="14"/>
              </w:rPr>
              <w:t>B. EXPENDITURES</w:t>
            </w:r>
          </w:p>
        </w:tc>
        <w:tc>
          <w:tcPr>
            <w:tcW w:w="2537" w:type="dxa"/>
            <w:gridSpan w:val="2"/>
          </w:tcPr>
          <w:p>
            <w:pPr>
              <w:pStyle w:val="TableParagraph"/>
              <w:rPr>
                <w:rFonts w:ascii="Times New Roman"/>
                <w:sz w:val="14"/>
              </w:rPr>
            </w:pPr>
          </w:p>
        </w:tc>
        <w:tc>
          <w:tcPr>
            <w:tcW w:w="1725" w:type="dxa"/>
          </w:tcPr>
          <w:p>
            <w:pPr>
              <w:pStyle w:val="TableParagraph"/>
              <w:rPr>
                <w:rFonts w:ascii="Times New Roman"/>
                <w:sz w:val="14"/>
              </w:rPr>
            </w:pPr>
          </w:p>
        </w:tc>
        <w:tc>
          <w:tcPr>
            <w:tcW w:w="1475" w:type="dxa"/>
          </w:tcPr>
          <w:p>
            <w:pPr>
              <w:pStyle w:val="TableParagraph"/>
              <w:rPr>
                <w:rFonts w:ascii="Times New Roman"/>
                <w:sz w:val="14"/>
              </w:rPr>
            </w:pPr>
          </w:p>
        </w:tc>
        <w:tc>
          <w:tcPr>
            <w:tcW w:w="1402" w:type="dxa"/>
            <w:gridSpan w:val="2"/>
            <w:shd w:val="clear" w:color="auto" w:fill="DFDFDF"/>
          </w:tcPr>
          <w:p>
            <w:pPr>
              <w:pStyle w:val="TableParagraph"/>
              <w:rPr>
                <w:rFonts w:ascii="Times New Roman"/>
                <w:sz w:val="14"/>
              </w:rPr>
            </w:pPr>
          </w:p>
        </w:tc>
      </w:tr>
      <w:tr>
        <w:trPr>
          <w:trHeight w:val="268" w:hRule="atLeast"/>
        </w:trPr>
        <w:tc>
          <w:tcPr>
            <w:tcW w:w="3663" w:type="dxa"/>
          </w:tcPr>
          <w:p>
            <w:pPr>
              <w:pStyle w:val="TableParagraph"/>
              <w:spacing w:line="160" w:lineRule="exact"/>
              <w:ind w:left="213"/>
              <w:rPr>
                <w:sz w:val="14"/>
              </w:rPr>
            </w:pPr>
            <w:r>
              <w:rPr>
                <w:w w:val="105"/>
                <w:sz w:val="14"/>
              </w:rPr>
              <w:t>1) Certificated Salaries</w:t>
            </w:r>
          </w:p>
        </w:tc>
        <w:tc>
          <w:tcPr>
            <w:tcW w:w="2537" w:type="dxa"/>
            <w:gridSpan w:val="2"/>
          </w:tcPr>
          <w:p>
            <w:pPr>
              <w:pStyle w:val="TableParagraph"/>
              <w:spacing w:line="160" w:lineRule="exact"/>
              <w:ind w:right="142"/>
              <w:jc w:val="right"/>
              <w:rPr>
                <w:sz w:val="14"/>
              </w:rPr>
            </w:pPr>
            <w:r>
              <w:rPr>
                <w:sz w:val="14"/>
              </w:rPr>
              <w:t>1000-1999</w:t>
            </w:r>
          </w:p>
        </w:tc>
        <w:tc>
          <w:tcPr>
            <w:tcW w:w="1725" w:type="dxa"/>
            <w:shd w:val="clear" w:color="auto" w:fill="DFDFDF"/>
          </w:tcPr>
          <w:p>
            <w:pPr>
              <w:pStyle w:val="TableParagraph"/>
              <w:spacing w:line="160" w:lineRule="exact"/>
              <w:ind w:right="286"/>
              <w:jc w:val="right"/>
              <w:rPr>
                <w:sz w:val="14"/>
              </w:rPr>
            </w:pPr>
            <w:r>
              <w:rPr>
                <w:sz w:val="14"/>
              </w:rPr>
              <w:t>0.00</w:t>
            </w:r>
          </w:p>
        </w:tc>
        <w:tc>
          <w:tcPr>
            <w:tcW w:w="1475" w:type="dxa"/>
            <w:shd w:val="clear" w:color="auto" w:fill="DFDFDF"/>
          </w:tcPr>
          <w:p>
            <w:pPr>
              <w:pStyle w:val="TableParagraph"/>
              <w:spacing w:line="160" w:lineRule="exact"/>
              <w:ind w:right="249"/>
              <w:jc w:val="right"/>
              <w:rPr>
                <w:sz w:val="14"/>
              </w:rPr>
            </w:pPr>
            <w:r>
              <w:rPr>
                <w:sz w:val="14"/>
              </w:rPr>
              <w:t>0.00</w:t>
            </w:r>
          </w:p>
        </w:tc>
        <w:tc>
          <w:tcPr>
            <w:tcW w:w="1402" w:type="dxa"/>
            <w:gridSpan w:val="2"/>
            <w:shd w:val="clear" w:color="auto" w:fill="DFDFDF"/>
          </w:tcPr>
          <w:p>
            <w:pPr>
              <w:pStyle w:val="TableParagraph"/>
              <w:spacing w:line="160" w:lineRule="exact"/>
              <w:ind w:right="62"/>
              <w:jc w:val="right"/>
              <w:rPr>
                <w:sz w:val="14"/>
              </w:rPr>
            </w:pPr>
            <w:r>
              <w:rPr>
                <w:sz w:val="14"/>
              </w:rPr>
              <w:t>0.0%</w:t>
            </w:r>
          </w:p>
        </w:tc>
      </w:tr>
      <w:tr>
        <w:trPr>
          <w:trHeight w:val="376" w:hRule="atLeast"/>
        </w:trPr>
        <w:tc>
          <w:tcPr>
            <w:tcW w:w="3663" w:type="dxa"/>
          </w:tcPr>
          <w:p>
            <w:pPr>
              <w:pStyle w:val="TableParagraph"/>
              <w:spacing w:before="107"/>
              <w:ind w:left="213"/>
              <w:rPr>
                <w:sz w:val="14"/>
              </w:rPr>
            </w:pPr>
            <w:r>
              <w:rPr>
                <w:w w:val="105"/>
                <w:sz w:val="14"/>
              </w:rPr>
              <w:t>2) Classified Salaries</w:t>
            </w:r>
          </w:p>
        </w:tc>
        <w:tc>
          <w:tcPr>
            <w:tcW w:w="2537" w:type="dxa"/>
            <w:gridSpan w:val="2"/>
          </w:tcPr>
          <w:p>
            <w:pPr>
              <w:pStyle w:val="TableParagraph"/>
              <w:spacing w:before="107"/>
              <w:ind w:right="142"/>
              <w:jc w:val="right"/>
              <w:rPr>
                <w:sz w:val="14"/>
              </w:rPr>
            </w:pPr>
            <w:r>
              <w:rPr>
                <w:sz w:val="14"/>
              </w:rPr>
              <w:t>2000-2999</w:t>
            </w:r>
          </w:p>
        </w:tc>
        <w:tc>
          <w:tcPr>
            <w:tcW w:w="1725" w:type="dxa"/>
          </w:tcPr>
          <w:p>
            <w:pPr>
              <w:pStyle w:val="TableParagraph"/>
              <w:spacing w:before="107"/>
              <w:ind w:right="286"/>
              <w:jc w:val="right"/>
              <w:rPr>
                <w:sz w:val="14"/>
              </w:rPr>
            </w:pPr>
            <w:r>
              <w:rPr>
                <w:sz w:val="14"/>
              </w:rPr>
              <w:t>0.00</w:t>
            </w:r>
          </w:p>
        </w:tc>
        <w:tc>
          <w:tcPr>
            <w:tcW w:w="1475" w:type="dxa"/>
            <w:shd w:val="clear" w:color="auto" w:fill="DFDFDF"/>
          </w:tcPr>
          <w:p>
            <w:pPr>
              <w:pStyle w:val="TableParagraph"/>
              <w:spacing w:before="107"/>
              <w:ind w:right="249"/>
              <w:jc w:val="right"/>
              <w:rPr>
                <w:sz w:val="14"/>
              </w:rPr>
            </w:pPr>
            <w:r>
              <w:rPr>
                <w:sz w:val="14"/>
              </w:rPr>
              <w:t>0.00</w:t>
            </w:r>
          </w:p>
        </w:tc>
        <w:tc>
          <w:tcPr>
            <w:tcW w:w="1402" w:type="dxa"/>
            <w:gridSpan w:val="2"/>
            <w:shd w:val="clear" w:color="auto" w:fill="DFDFDF"/>
          </w:tcPr>
          <w:p>
            <w:pPr>
              <w:pStyle w:val="TableParagraph"/>
              <w:spacing w:before="107"/>
              <w:ind w:right="62"/>
              <w:jc w:val="right"/>
              <w:rPr>
                <w:sz w:val="14"/>
              </w:rPr>
            </w:pPr>
            <w:r>
              <w:rPr>
                <w:sz w:val="14"/>
              </w:rPr>
              <w:t>0.0%</w:t>
            </w:r>
          </w:p>
        </w:tc>
      </w:tr>
      <w:tr>
        <w:trPr>
          <w:trHeight w:val="376" w:hRule="atLeast"/>
        </w:trPr>
        <w:tc>
          <w:tcPr>
            <w:tcW w:w="3663" w:type="dxa"/>
          </w:tcPr>
          <w:p>
            <w:pPr>
              <w:pStyle w:val="TableParagraph"/>
              <w:spacing w:before="107"/>
              <w:ind w:left="213"/>
              <w:rPr>
                <w:sz w:val="14"/>
              </w:rPr>
            </w:pPr>
            <w:r>
              <w:rPr>
                <w:w w:val="105"/>
                <w:sz w:val="14"/>
              </w:rPr>
              <w:t>3) Employee Benefits</w:t>
            </w:r>
          </w:p>
        </w:tc>
        <w:tc>
          <w:tcPr>
            <w:tcW w:w="2537" w:type="dxa"/>
            <w:gridSpan w:val="2"/>
          </w:tcPr>
          <w:p>
            <w:pPr>
              <w:pStyle w:val="TableParagraph"/>
              <w:spacing w:before="107"/>
              <w:ind w:right="142"/>
              <w:jc w:val="right"/>
              <w:rPr>
                <w:sz w:val="14"/>
              </w:rPr>
            </w:pPr>
            <w:r>
              <w:rPr>
                <w:sz w:val="14"/>
              </w:rPr>
              <w:t>3000-3999</w:t>
            </w:r>
          </w:p>
        </w:tc>
        <w:tc>
          <w:tcPr>
            <w:tcW w:w="1725" w:type="dxa"/>
          </w:tcPr>
          <w:p>
            <w:pPr>
              <w:pStyle w:val="TableParagraph"/>
              <w:spacing w:before="107"/>
              <w:ind w:right="286"/>
              <w:jc w:val="right"/>
              <w:rPr>
                <w:sz w:val="14"/>
              </w:rPr>
            </w:pPr>
            <w:r>
              <w:rPr>
                <w:sz w:val="14"/>
              </w:rPr>
              <w:t>0.00</w:t>
            </w:r>
          </w:p>
        </w:tc>
        <w:tc>
          <w:tcPr>
            <w:tcW w:w="1475" w:type="dxa"/>
            <w:shd w:val="clear" w:color="auto" w:fill="DFDFDF"/>
          </w:tcPr>
          <w:p>
            <w:pPr>
              <w:pStyle w:val="TableParagraph"/>
              <w:spacing w:before="107"/>
              <w:ind w:right="249"/>
              <w:jc w:val="right"/>
              <w:rPr>
                <w:sz w:val="14"/>
              </w:rPr>
            </w:pPr>
            <w:r>
              <w:rPr>
                <w:sz w:val="14"/>
              </w:rPr>
              <w:t>0.00</w:t>
            </w:r>
          </w:p>
        </w:tc>
        <w:tc>
          <w:tcPr>
            <w:tcW w:w="1402" w:type="dxa"/>
            <w:gridSpan w:val="2"/>
            <w:shd w:val="clear" w:color="auto" w:fill="DFDFDF"/>
          </w:tcPr>
          <w:p>
            <w:pPr>
              <w:pStyle w:val="TableParagraph"/>
              <w:spacing w:before="107"/>
              <w:ind w:right="62"/>
              <w:jc w:val="right"/>
              <w:rPr>
                <w:sz w:val="14"/>
              </w:rPr>
            </w:pPr>
            <w:r>
              <w:rPr>
                <w:sz w:val="14"/>
              </w:rPr>
              <w:t>0.0%</w:t>
            </w:r>
          </w:p>
        </w:tc>
      </w:tr>
      <w:tr>
        <w:trPr>
          <w:trHeight w:val="376" w:hRule="atLeast"/>
        </w:trPr>
        <w:tc>
          <w:tcPr>
            <w:tcW w:w="3663" w:type="dxa"/>
          </w:tcPr>
          <w:p>
            <w:pPr>
              <w:pStyle w:val="TableParagraph"/>
              <w:spacing w:before="107"/>
              <w:ind w:left="213"/>
              <w:rPr>
                <w:sz w:val="14"/>
              </w:rPr>
            </w:pPr>
            <w:r>
              <w:rPr>
                <w:w w:val="105"/>
                <w:sz w:val="14"/>
              </w:rPr>
              <w:t>4) Books and Supplies</w:t>
            </w:r>
          </w:p>
        </w:tc>
        <w:tc>
          <w:tcPr>
            <w:tcW w:w="2537" w:type="dxa"/>
            <w:gridSpan w:val="2"/>
          </w:tcPr>
          <w:p>
            <w:pPr>
              <w:pStyle w:val="TableParagraph"/>
              <w:spacing w:before="107"/>
              <w:ind w:right="142"/>
              <w:jc w:val="right"/>
              <w:rPr>
                <w:sz w:val="14"/>
              </w:rPr>
            </w:pPr>
            <w:r>
              <w:rPr>
                <w:sz w:val="14"/>
              </w:rPr>
              <w:t>4000-4999</w:t>
            </w:r>
          </w:p>
        </w:tc>
        <w:tc>
          <w:tcPr>
            <w:tcW w:w="1725" w:type="dxa"/>
          </w:tcPr>
          <w:p>
            <w:pPr>
              <w:pStyle w:val="TableParagraph"/>
              <w:spacing w:before="107"/>
              <w:ind w:right="286"/>
              <w:jc w:val="right"/>
              <w:rPr>
                <w:sz w:val="14"/>
              </w:rPr>
            </w:pPr>
            <w:r>
              <w:rPr>
                <w:sz w:val="14"/>
              </w:rPr>
              <w:t>0.00</w:t>
            </w:r>
          </w:p>
        </w:tc>
        <w:tc>
          <w:tcPr>
            <w:tcW w:w="1475" w:type="dxa"/>
            <w:shd w:val="clear" w:color="auto" w:fill="DFDFDF"/>
          </w:tcPr>
          <w:p>
            <w:pPr>
              <w:pStyle w:val="TableParagraph"/>
              <w:spacing w:before="107"/>
              <w:ind w:right="249"/>
              <w:jc w:val="right"/>
              <w:rPr>
                <w:sz w:val="14"/>
              </w:rPr>
            </w:pPr>
            <w:r>
              <w:rPr>
                <w:sz w:val="14"/>
              </w:rPr>
              <w:t>0.00</w:t>
            </w:r>
          </w:p>
        </w:tc>
        <w:tc>
          <w:tcPr>
            <w:tcW w:w="1402" w:type="dxa"/>
            <w:gridSpan w:val="2"/>
            <w:shd w:val="clear" w:color="auto" w:fill="DFDFDF"/>
          </w:tcPr>
          <w:p>
            <w:pPr>
              <w:pStyle w:val="TableParagraph"/>
              <w:spacing w:before="107"/>
              <w:ind w:right="62"/>
              <w:jc w:val="right"/>
              <w:rPr>
                <w:sz w:val="14"/>
              </w:rPr>
            </w:pPr>
            <w:r>
              <w:rPr>
                <w:sz w:val="14"/>
              </w:rPr>
              <w:t>0.0%</w:t>
            </w:r>
          </w:p>
        </w:tc>
      </w:tr>
      <w:tr>
        <w:trPr>
          <w:trHeight w:val="376" w:hRule="atLeast"/>
        </w:trPr>
        <w:tc>
          <w:tcPr>
            <w:tcW w:w="3663" w:type="dxa"/>
          </w:tcPr>
          <w:p>
            <w:pPr>
              <w:pStyle w:val="TableParagraph"/>
              <w:spacing w:before="107"/>
              <w:ind w:left="213"/>
              <w:rPr>
                <w:sz w:val="14"/>
              </w:rPr>
            </w:pPr>
            <w:r>
              <w:rPr>
                <w:w w:val="105"/>
                <w:sz w:val="14"/>
              </w:rPr>
              <w:t>5) Services and Other Operating Expenditures</w:t>
            </w:r>
          </w:p>
        </w:tc>
        <w:tc>
          <w:tcPr>
            <w:tcW w:w="2537" w:type="dxa"/>
            <w:gridSpan w:val="2"/>
          </w:tcPr>
          <w:p>
            <w:pPr>
              <w:pStyle w:val="TableParagraph"/>
              <w:spacing w:before="107"/>
              <w:ind w:right="142"/>
              <w:jc w:val="right"/>
              <w:rPr>
                <w:sz w:val="14"/>
              </w:rPr>
            </w:pPr>
            <w:r>
              <w:rPr>
                <w:sz w:val="14"/>
              </w:rPr>
              <w:t>5000-5999</w:t>
            </w:r>
          </w:p>
        </w:tc>
        <w:tc>
          <w:tcPr>
            <w:tcW w:w="1725" w:type="dxa"/>
          </w:tcPr>
          <w:p>
            <w:pPr>
              <w:pStyle w:val="TableParagraph"/>
              <w:spacing w:before="107"/>
              <w:ind w:right="286"/>
              <w:jc w:val="right"/>
              <w:rPr>
                <w:sz w:val="14"/>
              </w:rPr>
            </w:pPr>
            <w:r>
              <w:rPr>
                <w:sz w:val="14"/>
              </w:rPr>
              <w:t>0.00</w:t>
            </w:r>
          </w:p>
        </w:tc>
        <w:tc>
          <w:tcPr>
            <w:tcW w:w="1475" w:type="dxa"/>
            <w:shd w:val="clear" w:color="auto" w:fill="DFDFDF"/>
          </w:tcPr>
          <w:p>
            <w:pPr>
              <w:pStyle w:val="TableParagraph"/>
              <w:spacing w:before="107"/>
              <w:ind w:right="249"/>
              <w:jc w:val="right"/>
              <w:rPr>
                <w:sz w:val="14"/>
              </w:rPr>
            </w:pPr>
            <w:r>
              <w:rPr>
                <w:sz w:val="14"/>
              </w:rPr>
              <w:t>0.00</w:t>
            </w:r>
          </w:p>
        </w:tc>
        <w:tc>
          <w:tcPr>
            <w:tcW w:w="1402" w:type="dxa"/>
            <w:gridSpan w:val="2"/>
            <w:shd w:val="clear" w:color="auto" w:fill="DFDFDF"/>
          </w:tcPr>
          <w:p>
            <w:pPr>
              <w:pStyle w:val="TableParagraph"/>
              <w:spacing w:before="107"/>
              <w:ind w:right="62"/>
              <w:jc w:val="right"/>
              <w:rPr>
                <w:sz w:val="14"/>
              </w:rPr>
            </w:pPr>
            <w:r>
              <w:rPr>
                <w:sz w:val="14"/>
              </w:rPr>
              <w:t>0.0%</w:t>
            </w:r>
          </w:p>
        </w:tc>
      </w:tr>
      <w:tr>
        <w:trPr>
          <w:trHeight w:val="376" w:hRule="atLeast"/>
        </w:trPr>
        <w:tc>
          <w:tcPr>
            <w:tcW w:w="3663" w:type="dxa"/>
          </w:tcPr>
          <w:p>
            <w:pPr>
              <w:pStyle w:val="TableParagraph"/>
              <w:spacing w:before="107"/>
              <w:ind w:left="213"/>
              <w:rPr>
                <w:sz w:val="14"/>
              </w:rPr>
            </w:pPr>
            <w:r>
              <w:rPr>
                <w:w w:val="105"/>
                <w:sz w:val="14"/>
              </w:rPr>
              <w:t>6) Capital Outlay</w:t>
            </w:r>
          </w:p>
        </w:tc>
        <w:tc>
          <w:tcPr>
            <w:tcW w:w="2537" w:type="dxa"/>
            <w:gridSpan w:val="2"/>
          </w:tcPr>
          <w:p>
            <w:pPr>
              <w:pStyle w:val="TableParagraph"/>
              <w:spacing w:before="107"/>
              <w:ind w:right="142"/>
              <w:jc w:val="right"/>
              <w:rPr>
                <w:sz w:val="14"/>
              </w:rPr>
            </w:pPr>
            <w:r>
              <w:rPr>
                <w:sz w:val="14"/>
              </w:rPr>
              <w:t>6000-6999</w:t>
            </w:r>
          </w:p>
        </w:tc>
        <w:tc>
          <w:tcPr>
            <w:tcW w:w="1725" w:type="dxa"/>
          </w:tcPr>
          <w:p>
            <w:pPr>
              <w:pStyle w:val="TableParagraph"/>
              <w:spacing w:before="107"/>
              <w:ind w:right="286"/>
              <w:jc w:val="right"/>
              <w:rPr>
                <w:sz w:val="14"/>
              </w:rPr>
            </w:pPr>
            <w:r>
              <w:rPr>
                <w:sz w:val="14"/>
              </w:rPr>
              <w:t>0.00</w:t>
            </w:r>
          </w:p>
        </w:tc>
        <w:tc>
          <w:tcPr>
            <w:tcW w:w="1475" w:type="dxa"/>
            <w:shd w:val="clear" w:color="auto" w:fill="DFDFDF"/>
          </w:tcPr>
          <w:p>
            <w:pPr>
              <w:pStyle w:val="TableParagraph"/>
              <w:spacing w:before="107"/>
              <w:ind w:right="249"/>
              <w:jc w:val="right"/>
              <w:rPr>
                <w:sz w:val="14"/>
              </w:rPr>
            </w:pPr>
            <w:r>
              <w:rPr>
                <w:sz w:val="14"/>
              </w:rPr>
              <w:t>0.00</w:t>
            </w:r>
          </w:p>
        </w:tc>
        <w:tc>
          <w:tcPr>
            <w:tcW w:w="1402" w:type="dxa"/>
            <w:gridSpan w:val="2"/>
            <w:shd w:val="clear" w:color="auto" w:fill="DFDFDF"/>
          </w:tcPr>
          <w:p>
            <w:pPr>
              <w:pStyle w:val="TableParagraph"/>
              <w:spacing w:before="107"/>
              <w:ind w:right="62"/>
              <w:jc w:val="right"/>
              <w:rPr>
                <w:sz w:val="14"/>
              </w:rPr>
            </w:pPr>
            <w:r>
              <w:rPr>
                <w:sz w:val="14"/>
              </w:rPr>
              <w:t>0.0%</w:t>
            </w:r>
          </w:p>
        </w:tc>
      </w:tr>
      <w:tr>
        <w:trPr>
          <w:trHeight w:val="286" w:hRule="atLeast"/>
        </w:trPr>
        <w:tc>
          <w:tcPr>
            <w:tcW w:w="3663" w:type="dxa"/>
          </w:tcPr>
          <w:p>
            <w:pPr>
              <w:pStyle w:val="TableParagraph"/>
              <w:spacing w:line="160" w:lineRule="exact" w:before="107"/>
              <w:ind w:left="213"/>
              <w:rPr>
                <w:sz w:val="14"/>
              </w:rPr>
            </w:pPr>
            <w:r>
              <w:rPr>
                <w:w w:val="105"/>
                <w:sz w:val="14"/>
              </w:rPr>
              <w:t>7) Other Outgo (excluding Transfers of Indirect</w:t>
            </w:r>
          </w:p>
        </w:tc>
        <w:tc>
          <w:tcPr>
            <w:tcW w:w="2537" w:type="dxa"/>
            <w:gridSpan w:val="2"/>
          </w:tcPr>
          <w:p>
            <w:pPr>
              <w:pStyle w:val="TableParagraph"/>
              <w:spacing w:line="160" w:lineRule="exact" w:before="107"/>
              <w:ind w:left="1691"/>
              <w:rPr>
                <w:sz w:val="14"/>
              </w:rPr>
            </w:pPr>
            <w:r>
              <w:rPr>
                <w:w w:val="105"/>
                <w:sz w:val="14"/>
              </w:rPr>
              <w:t>7100-7299,</w:t>
            </w:r>
          </w:p>
        </w:tc>
        <w:tc>
          <w:tcPr>
            <w:tcW w:w="1725" w:type="dxa"/>
          </w:tcPr>
          <w:p>
            <w:pPr>
              <w:pStyle w:val="TableParagraph"/>
              <w:rPr>
                <w:rFonts w:ascii="Times New Roman"/>
                <w:sz w:val="14"/>
              </w:rPr>
            </w:pPr>
          </w:p>
        </w:tc>
        <w:tc>
          <w:tcPr>
            <w:tcW w:w="1475" w:type="dxa"/>
            <w:shd w:val="clear" w:color="auto" w:fill="DFDFDF"/>
          </w:tcPr>
          <w:p>
            <w:pPr>
              <w:pStyle w:val="TableParagraph"/>
              <w:rPr>
                <w:rFonts w:ascii="Times New Roman"/>
                <w:sz w:val="14"/>
              </w:rPr>
            </w:pPr>
          </w:p>
        </w:tc>
        <w:tc>
          <w:tcPr>
            <w:tcW w:w="1402" w:type="dxa"/>
            <w:gridSpan w:val="2"/>
            <w:shd w:val="clear" w:color="auto" w:fill="DFDFDF"/>
          </w:tcPr>
          <w:p>
            <w:pPr>
              <w:pStyle w:val="TableParagraph"/>
              <w:rPr>
                <w:rFonts w:ascii="Times New Roman"/>
                <w:sz w:val="14"/>
              </w:rPr>
            </w:pPr>
          </w:p>
        </w:tc>
      </w:tr>
      <w:tr>
        <w:trPr>
          <w:trHeight w:val="286" w:hRule="atLeast"/>
        </w:trPr>
        <w:tc>
          <w:tcPr>
            <w:tcW w:w="3663" w:type="dxa"/>
          </w:tcPr>
          <w:p>
            <w:pPr>
              <w:pStyle w:val="TableParagraph"/>
              <w:spacing w:before="17"/>
              <w:ind w:left="416"/>
              <w:rPr>
                <w:sz w:val="14"/>
              </w:rPr>
            </w:pPr>
            <w:r>
              <w:rPr>
                <w:w w:val="105"/>
                <w:sz w:val="14"/>
              </w:rPr>
              <w:t>Costs)</w:t>
            </w:r>
          </w:p>
        </w:tc>
        <w:tc>
          <w:tcPr>
            <w:tcW w:w="2537" w:type="dxa"/>
            <w:gridSpan w:val="2"/>
          </w:tcPr>
          <w:p>
            <w:pPr>
              <w:pStyle w:val="TableParagraph"/>
              <w:spacing w:before="17"/>
              <w:ind w:right="142"/>
              <w:jc w:val="right"/>
              <w:rPr>
                <w:sz w:val="14"/>
              </w:rPr>
            </w:pPr>
            <w:r>
              <w:rPr>
                <w:sz w:val="14"/>
              </w:rPr>
              <w:t>7400-7499</w:t>
            </w:r>
          </w:p>
        </w:tc>
        <w:tc>
          <w:tcPr>
            <w:tcW w:w="1725" w:type="dxa"/>
            <w:shd w:val="clear" w:color="auto" w:fill="DFDFDF"/>
          </w:tcPr>
          <w:p>
            <w:pPr>
              <w:pStyle w:val="TableParagraph"/>
              <w:spacing w:before="17"/>
              <w:ind w:right="286"/>
              <w:jc w:val="right"/>
              <w:rPr>
                <w:sz w:val="14"/>
              </w:rPr>
            </w:pPr>
            <w:r>
              <w:rPr>
                <w:sz w:val="14"/>
              </w:rPr>
              <w:t>0.00</w:t>
            </w:r>
          </w:p>
        </w:tc>
        <w:tc>
          <w:tcPr>
            <w:tcW w:w="1475" w:type="dxa"/>
            <w:shd w:val="clear" w:color="auto" w:fill="DFDFDF"/>
          </w:tcPr>
          <w:p>
            <w:pPr>
              <w:pStyle w:val="TableParagraph"/>
              <w:spacing w:before="17"/>
              <w:ind w:right="249"/>
              <w:jc w:val="right"/>
              <w:rPr>
                <w:sz w:val="14"/>
              </w:rPr>
            </w:pPr>
            <w:r>
              <w:rPr>
                <w:sz w:val="14"/>
              </w:rPr>
              <w:t>0.00</w:t>
            </w:r>
          </w:p>
        </w:tc>
        <w:tc>
          <w:tcPr>
            <w:tcW w:w="1402" w:type="dxa"/>
            <w:gridSpan w:val="2"/>
            <w:shd w:val="clear" w:color="auto" w:fill="DFDFDF"/>
          </w:tcPr>
          <w:p>
            <w:pPr>
              <w:pStyle w:val="TableParagraph"/>
              <w:spacing w:before="17"/>
              <w:ind w:right="62"/>
              <w:jc w:val="right"/>
              <w:rPr>
                <w:sz w:val="14"/>
              </w:rPr>
            </w:pPr>
            <w:r>
              <w:rPr>
                <w:sz w:val="14"/>
              </w:rPr>
              <w:t>0.0%</w:t>
            </w:r>
          </w:p>
        </w:tc>
      </w:tr>
      <w:tr>
        <w:trPr>
          <w:trHeight w:val="376" w:hRule="atLeast"/>
        </w:trPr>
        <w:tc>
          <w:tcPr>
            <w:tcW w:w="3663" w:type="dxa"/>
          </w:tcPr>
          <w:p>
            <w:pPr>
              <w:pStyle w:val="TableParagraph"/>
              <w:spacing w:before="107"/>
              <w:ind w:left="213"/>
              <w:rPr>
                <w:sz w:val="14"/>
              </w:rPr>
            </w:pPr>
            <w:r>
              <w:rPr>
                <w:w w:val="105"/>
                <w:sz w:val="14"/>
              </w:rPr>
              <w:t>8) Other Outgo - Transfers of Indirect Costs</w:t>
            </w:r>
          </w:p>
        </w:tc>
        <w:tc>
          <w:tcPr>
            <w:tcW w:w="2537" w:type="dxa"/>
            <w:gridSpan w:val="2"/>
          </w:tcPr>
          <w:p>
            <w:pPr>
              <w:pStyle w:val="TableParagraph"/>
              <w:spacing w:before="107"/>
              <w:ind w:right="142"/>
              <w:jc w:val="right"/>
              <w:rPr>
                <w:sz w:val="14"/>
              </w:rPr>
            </w:pPr>
            <w:r>
              <w:rPr>
                <w:sz w:val="14"/>
              </w:rPr>
              <w:t>7300-7399</w:t>
            </w:r>
          </w:p>
        </w:tc>
        <w:tc>
          <w:tcPr>
            <w:tcW w:w="1725" w:type="dxa"/>
          </w:tcPr>
          <w:p>
            <w:pPr>
              <w:pStyle w:val="TableParagraph"/>
              <w:spacing w:before="107"/>
              <w:ind w:right="286"/>
              <w:jc w:val="right"/>
              <w:rPr>
                <w:sz w:val="14"/>
              </w:rPr>
            </w:pPr>
            <w:r>
              <w:rPr>
                <w:sz w:val="14"/>
              </w:rPr>
              <w:t>0.00</w:t>
            </w:r>
          </w:p>
        </w:tc>
        <w:tc>
          <w:tcPr>
            <w:tcW w:w="1475" w:type="dxa"/>
            <w:shd w:val="clear" w:color="auto" w:fill="DFDFDF"/>
          </w:tcPr>
          <w:p>
            <w:pPr>
              <w:pStyle w:val="TableParagraph"/>
              <w:spacing w:before="107"/>
              <w:ind w:right="249"/>
              <w:jc w:val="right"/>
              <w:rPr>
                <w:sz w:val="14"/>
              </w:rPr>
            </w:pPr>
            <w:r>
              <w:rPr>
                <w:sz w:val="14"/>
              </w:rPr>
              <w:t>0.00</w:t>
            </w:r>
          </w:p>
        </w:tc>
        <w:tc>
          <w:tcPr>
            <w:tcW w:w="1402" w:type="dxa"/>
            <w:gridSpan w:val="2"/>
            <w:shd w:val="clear" w:color="auto" w:fill="DFDFDF"/>
          </w:tcPr>
          <w:p>
            <w:pPr>
              <w:pStyle w:val="TableParagraph"/>
              <w:spacing w:before="107"/>
              <w:ind w:right="62"/>
              <w:jc w:val="right"/>
              <w:rPr>
                <w:sz w:val="14"/>
              </w:rPr>
            </w:pPr>
            <w:r>
              <w:rPr>
                <w:sz w:val="14"/>
              </w:rPr>
              <w:t>0.0%</w:t>
            </w:r>
          </w:p>
        </w:tc>
      </w:tr>
      <w:tr>
        <w:trPr>
          <w:trHeight w:val="268" w:hRule="atLeast"/>
        </w:trPr>
        <w:tc>
          <w:tcPr>
            <w:tcW w:w="3663" w:type="dxa"/>
          </w:tcPr>
          <w:p>
            <w:pPr>
              <w:pStyle w:val="TableParagraph"/>
              <w:spacing w:line="142" w:lineRule="exact" w:before="107"/>
              <w:ind w:left="213"/>
              <w:rPr>
                <w:sz w:val="14"/>
              </w:rPr>
            </w:pPr>
            <w:r>
              <w:rPr>
                <w:w w:val="105"/>
                <w:sz w:val="14"/>
              </w:rPr>
              <w:t>9) TOTAL, EXPENDITURES</w:t>
            </w:r>
          </w:p>
        </w:tc>
        <w:tc>
          <w:tcPr>
            <w:tcW w:w="2537" w:type="dxa"/>
            <w:gridSpan w:val="2"/>
          </w:tcPr>
          <w:p>
            <w:pPr>
              <w:pStyle w:val="TableParagraph"/>
              <w:rPr>
                <w:rFonts w:ascii="Times New Roman"/>
                <w:sz w:val="14"/>
              </w:rPr>
            </w:pPr>
          </w:p>
        </w:tc>
        <w:tc>
          <w:tcPr>
            <w:tcW w:w="1725" w:type="dxa"/>
          </w:tcPr>
          <w:p>
            <w:pPr>
              <w:pStyle w:val="TableParagraph"/>
              <w:spacing w:line="142" w:lineRule="exact" w:before="107"/>
              <w:ind w:right="286"/>
              <w:jc w:val="right"/>
              <w:rPr>
                <w:sz w:val="14"/>
              </w:rPr>
            </w:pPr>
            <w:r>
              <w:rPr>
                <w:sz w:val="14"/>
              </w:rPr>
              <w:t>0.00</w:t>
            </w:r>
          </w:p>
        </w:tc>
        <w:tc>
          <w:tcPr>
            <w:tcW w:w="1475" w:type="dxa"/>
            <w:shd w:val="clear" w:color="auto" w:fill="DFDFDF"/>
          </w:tcPr>
          <w:p>
            <w:pPr>
              <w:pStyle w:val="TableParagraph"/>
              <w:spacing w:line="142" w:lineRule="exact" w:before="107"/>
              <w:ind w:right="249"/>
              <w:jc w:val="right"/>
              <w:rPr>
                <w:sz w:val="14"/>
              </w:rPr>
            </w:pPr>
            <w:r>
              <w:rPr>
                <w:sz w:val="14"/>
              </w:rPr>
              <w:t>0.00</w:t>
            </w:r>
          </w:p>
        </w:tc>
        <w:tc>
          <w:tcPr>
            <w:tcW w:w="1402" w:type="dxa"/>
            <w:gridSpan w:val="2"/>
            <w:shd w:val="clear" w:color="auto" w:fill="DFDFDF"/>
          </w:tcPr>
          <w:p>
            <w:pPr>
              <w:pStyle w:val="TableParagraph"/>
              <w:spacing w:line="142" w:lineRule="exact" w:before="107"/>
              <w:ind w:right="62"/>
              <w:jc w:val="right"/>
              <w:rPr>
                <w:sz w:val="14"/>
              </w:rPr>
            </w:pPr>
            <w:r>
              <w:rPr>
                <w:sz w:val="14"/>
              </w:rPr>
              <w:t>0.0%</w:t>
            </w:r>
          </w:p>
        </w:tc>
      </w:tr>
      <w:tr>
        <w:trPr>
          <w:trHeight w:val="374" w:hRule="atLeast"/>
        </w:trPr>
        <w:tc>
          <w:tcPr>
            <w:tcW w:w="3663" w:type="dxa"/>
          </w:tcPr>
          <w:p>
            <w:pPr>
              <w:pStyle w:val="TableParagraph"/>
              <w:spacing w:before="5"/>
              <w:rPr>
                <w:sz w:val="18"/>
              </w:rPr>
            </w:pPr>
          </w:p>
          <w:p>
            <w:pPr>
              <w:pStyle w:val="TableParagraph"/>
              <w:spacing w:line="142" w:lineRule="exact"/>
              <w:ind w:left="50"/>
              <w:rPr>
                <w:b/>
                <w:sz w:val="14"/>
              </w:rPr>
            </w:pPr>
            <w:r>
              <w:rPr>
                <w:b/>
                <w:w w:val="105"/>
                <w:sz w:val="14"/>
              </w:rPr>
              <w:t>C. EXCESS (DEFICIENCY) OF REVENUES</w:t>
            </w:r>
          </w:p>
        </w:tc>
        <w:tc>
          <w:tcPr>
            <w:tcW w:w="1468" w:type="dxa"/>
          </w:tcPr>
          <w:p>
            <w:pPr>
              <w:pStyle w:val="TableParagraph"/>
              <w:rPr>
                <w:rFonts w:ascii="Times New Roman"/>
                <w:sz w:val="14"/>
              </w:rPr>
            </w:pPr>
          </w:p>
        </w:tc>
        <w:tc>
          <w:tcPr>
            <w:tcW w:w="1069" w:type="dxa"/>
          </w:tcPr>
          <w:p>
            <w:pPr>
              <w:pStyle w:val="TableParagraph"/>
              <w:rPr>
                <w:rFonts w:ascii="Times New Roman"/>
                <w:sz w:val="14"/>
              </w:rPr>
            </w:pPr>
          </w:p>
        </w:tc>
        <w:tc>
          <w:tcPr>
            <w:tcW w:w="1725" w:type="dxa"/>
          </w:tcPr>
          <w:p>
            <w:pPr>
              <w:pStyle w:val="TableParagraph"/>
              <w:rPr>
                <w:rFonts w:ascii="Times New Roman"/>
                <w:sz w:val="14"/>
              </w:rPr>
            </w:pPr>
          </w:p>
        </w:tc>
        <w:tc>
          <w:tcPr>
            <w:tcW w:w="1475" w:type="dxa"/>
          </w:tcPr>
          <w:p>
            <w:pPr>
              <w:pStyle w:val="TableParagraph"/>
              <w:rPr>
                <w:rFonts w:ascii="Times New Roman"/>
                <w:sz w:val="14"/>
              </w:rPr>
            </w:pPr>
          </w:p>
        </w:tc>
        <w:tc>
          <w:tcPr>
            <w:tcW w:w="981" w:type="dxa"/>
          </w:tcPr>
          <w:p>
            <w:pPr>
              <w:pStyle w:val="TableParagraph"/>
              <w:rPr>
                <w:rFonts w:ascii="Times New Roman"/>
                <w:sz w:val="14"/>
              </w:rPr>
            </w:pPr>
          </w:p>
        </w:tc>
        <w:tc>
          <w:tcPr>
            <w:tcW w:w="421" w:type="dxa"/>
          </w:tcPr>
          <w:p>
            <w:pPr>
              <w:pStyle w:val="TableParagraph"/>
              <w:rPr>
                <w:rFonts w:ascii="Times New Roman"/>
                <w:sz w:val="14"/>
              </w:rPr>
            </w:pPr>
          </w:p>
        </w:tc>
      </w:tr>
      <w:tr>
        <w:trPr>
          <w:trHeight w:val="395" w:hRule="atLeast"/>
        </w:trPr>
        <w:tc>
          <w:tcPr>
            <w:tcW w:w="3663" w:type="dxa"/>
          </w:tcPr>
          <w:p>
            <w:pPr>
              <w:pStyle w:val="TableParagraph"/>
              <w:spacing w:line="196" w:lineRule="exact" w:before="9"/>
              <w:ind w:left="253"/>
              <w:rPr>
                <w:b/>
                <w:sz w:val="14"/>
              </w:rPr>
            </w:pPr>
            <w:r>
              <w:rPr>
                <w:b/>
                <w:w w:val="105"/>
                <w:sz w:val="14"/>
              </w:rPr>
              <w:t>OVER EXPENDITURES BEFORE OTHER FINANCING SOURCES AND USES (A5 - B9)</w:t>
            </w:r>
          </w:p>
        </w:tc>
        <w:tc>
          <w:tcPr>
            <w:tcW w:w="4262" w:type="dxa"/>
            <w:gridSpan w:val="3"/>
          </w:tcPr>
          <w:p>
            <w:pPr>
              <w:pStyle w:val="TableParagraph"/>
              <w:spacing w:before="4"/>
              <w:rPr>
                <w:sz w:val="20"/>
              </w:rPr>
            </w:pPr>
          </w:p>
          <w:p>
            <w:pPr>
              <w:pStyle w:val="TableParagraph"/>
              <w:spacing w:line="142" w:lineRule="exact"/>
              <w:ind w:right="285"/>
              <w:jc w:val="right"/>
              <w:rPr>
                <w:sz w:val="14"/>
              </w:rPr>
            </w:pPr>
            <w:r>
              <w:rPr>
                <w:sz w:val="14"/>
              </w:rPr>
              <w:t>5,451.00</w:t>
            </w:r>
          </w:p>
        </w:tc>
        <w:tc>
          <w:tcPr>
            <w:tcW w:w="1475" w:type="dxa"/>
          </w:tcPr>
          <w:p>
            <w:pPr>
              <w:pStyle w:val="TableParagraph"/>
              <w:spacing w:before="4"/>
              <w:rPr>
                <w:sz w:val="20"/>
              </w:rPr>
            </w:pPr>
          </w:p>
          <w:p>
            <w:pPr>
              <w:pStyle w:val="TableParagraph"/>
              <w:spacing w:line="142" w:lineRule="exact"/>
              <w:ind w:right="248"/>
              <w:jc w:val="right"/>
              <w:rPr>
                <w:sz w:val="14"/>
              </w:rPr>
            </w:pPr>
            <w:r>
              <w:rPr>
                <w:sz w:val="14"/>
              </w:rPr>
              <w:t>5,451.00</w:t>
            </w:r>
          </w:p>
        </w:tc>
        <w:tc>
          <w:tcPr>
            <w:tcW w:w="1402" w:type="dxa"/>
            <w:gridSpan w:val="2"/>
          </w:tcPr>
          <w:p>
            <w:pPr>
              <w:pStyle w:val="TableParagraph"/>
              <w:spacing w:before="4"/>
              <w:rPr>
                <w:sz w:val="20"/>
              </w:rPr>
            </w:pPr>
          </w:p>
          <w:p>
            <w:pPr>
              <w:pStyle w:val="TableParagraph"/>
              <w:spacing w:line="142" w:lineRule="exact"/>
              <w:ind w:right="62"/>
              <w:jc w:val="right"/>
              <w:rPr>
                <w:sz w:val="14"/>
              </w:rPr>
            </w:pPr>
            <w:r>
              <w:rPr>
                <w:sz w:val="14"/>
              </w:rPr>
              <w:t>0.0%</w:t>
            </w:r>
          </w:p>
        </w:tc>
      </w:tr>
      <w:tr>
        <w:trPr>
          <w:trHeight w:val="369" w:hRule="atLeast"/>
        </w:trPr>
        <w:tc>
          <w:tcPr>
            <w:tcW w:w="3663" w:type="dxa"/>
          </w:tcPr>
          <w:p>
            <w:pPr>
              <w:pStyle w:val="TableParagraph"/>
              <w:rPr>
                <w:sz w:val="18"/>
              </w:rPr>
            </w:pPr>
          </w:p>
          <w:p>
            <w:pPr>
              <w:pStyle w:val="TableParagraph"/>
              <w:spacing w:line="142" w:lineRule="exact"/>
              <w:ind w:left="50"/>
              <w:rPr>
                <w:b/>
                <w:sz w:val="14"/>
              </w:rPr>
            </w:pPr>
            <w:r>
              <w:rPr>
                <w:b/>
                <w:w w:val="105"/>
                <w:sz w:val="14"/>
              </w:rPr>
              <w:t>D. OTHER FINANCING SOURCES/USES</w:t>
            </w:r>
          </w:p>
        </w:tc>
        <w:tc>
          <w:tcPr>
            <w:tcW w:w="1468" w:type="dxa"/>
          </w:tcPr>
          <w:p>
            <w:pPr>
              <w:pStyle w:val="TableParagraph"/>
              <w:rPr>
                <w:rFonts w:ascii="Times New Roman"/>
                <w:sz w:val="14"/>
              </w:rPr>
            </w:pPr>
          </w:p>
        </w:tc>
        <w:tc>
          <w:tcPr>
            <w:tcW w:w="1069" w:type="dxa"/>
          </w:tcPr>
          <w:p>
            <w:pPr>
              <w:pStyle w:val="TableParagraph"/>
              <w:rPr>
                <w:rFonts w:ascii="Times New Roman"/>
                <w:sz w:val="14"/>
              </w:rPr>
            </w:pPr>
          </w:p>
        </w:tc>
        <w:tc>
          <w:tcPr>
            <w:tcW w:w="1725" w:type="dxa"/>
          </w:tcPr>
          <w:p>
            <w:pPr>
              <w:pStyle w:val="TableParagraph"/>
              <w:rPr>
                <w:rFonts w:ascii="Times New Roman"/>
                <w:sz w:val="14"/>
              </w:rPr>
            </w:pPr>
          </w:p>
        </w:tc>
        <w:tc>
          <w:tcPr>
            <w:tcW w:w="1475" w:type="dxa"/>
          </w:tcPr>
          <w:p>
            <w:pPr>
              <w:pStyle w:val="TableParagraph"/>
              <w:rPr>
                <w:rFonts w:ascii="Times New Roman"/>
                <w:sz w:val="14"/>
              </w:rPr>
            </w:pPr>
          </w:p>
        </w:tc>
        <w:tc>
          <w:tcPr>
            <w:tcW w:w="981" w:type="dxa"/>
          </w:tcPr>
          <w:p>
            <w:pPr>
              <w:pStyle w:val="TableParagraph"/>
              <w:rPr>
                <w:rFonts w:ascii="Times New Roman"/>
                <w:sz w:val="14"/>
              </w:rPr>
            </w:pPr>
          </w:p>
        </w:tc>
        <w:tc>
          <w:tcPr>
            <w:tcW w:w="421" w:type="dxa"/>
          </w:tcPr>
          <w:p>
            <w:pPr>
              <w:pStyle w:val="TableParagraph"/>
              <w:rPr>
                <w:rFonts w:ascii="Times New Roman"/>
                <w:sz w:val="14"/>
              </w:rPr>
            </w:pPr>
          </w:p>
        </w:tc>
      </w:tr>
      <w:tr>
        <w:trPr>
          <w:trHeight w:val="700" w:hRule="atLeast"/>
        </w:trPr>
        <w:tc>
          <w:tcPr>
            <w:tcW w:w="3663" w:type="dxa"/>
          </w:tcPr>
          <w:p>
            <w:pPr>
              <w:pStyle w:val="TableParagraph"/>
              <w:spacing w:before="4"/>
              <w:rPr>
                <w:sz w:val="20"/>
              </w:rPr>
            </w:pPr>
          </w:p>
          <w:p>
            <w:pPr>
              <w:pStyle w:val="TableParagraph"/>
              <w:numPr>
                <w:ilvl w:val="0"/>
                <w:numId w:val="27"/>
              </w:numPr>
              <w:tabs>
                <w:tab w:pos="381" w:val="left" w:leader="none"/>
              </w:tabs>
              <w:spacing w:line="240" w:lineRule="auto" w:before="0" w:after="0"/>
              <w:ind w:left="380" w:right="0" w:hanging="168"/>
              <w:jc w:val="left"/>
              <w:rPr>
                <w:sz w:val="14"/>
              </w:rPr>
            </w:pPr>
            <w:r>
              <w:rPr>
                <w:w w:val="105"/>
                <w:sz w:val="14"/>
              </w:rPr>
              <w:t>Interfund</w:t>
            </w:r>
            <w:r>
              <w:rPr>
                <w:spacing w:val="-3"/>
                <w:w w:val="105"/>
                <w:sz w:val="14"/>
              </w:rPr>
              <w:t> </w:t>
            </w:r>
            <w:r>
              <w:rPr>
                <w:w w:val="105"/>
                <w:sz w:val="14"/>
              </w:rPr>
              <w:t>Transfers</w:t>
            </w:r>
          </w:p>
          <w:p>
            <w:pPr>
              <w:pStyle w:val="TableParagraph"/>
              <w:numPr>
                <w:ilvl w:val="1"/>
                <w:numId w:val="27"/>
              </w:numPr>
              <w:tabs>
                <w:tab w:pos="544" w:val="left" w:leader="none"/>
              </w:tabs>
              <w:spacing w:line="240" w:lineRule="auto" w:before="36" w:after="0"/>
              <w:ind w:left="543" w:right="0" w:hanging="168"/>
              <w:jc w:val="left"/>
              <w:rPr>
                <w:sz w:val="14"/>
              </w:rPr>
            </w:pPr>
            <w:r>
              <w:rPr>
                <w:w w:val="105"/>
                <w:sz w:val="14"/>
              </w:rPr>
              <w:t>Transfers</w:t>
            </w:r>
            <w:r>
              <w:rPr>
                <w:spacing w:val="-2"/>
                <w:w w:val="105"/>
                <w:sz w:val="14"/>
              </w:rPr>
              <w:t> </w:t>
            </w:r>
            <w:r>
              <w:rPr>
                <w:w w:val="105"/>
                <w:sz w:val="14"/>
              </w:rPr>
              <w:t>In</w:t>
            </w:r>
          </w:p>
        </w:tc>
        <w:tc>
          <w:tcPr>
            <w:tcW w:w="2537" w:type="dxa"/>
            <w:gridSpan w:val="2"/>
          </w:tcPr>
          <w:p>
            <w:pPr>
              <w:pStyle w:val="TableParagraph"/>
              <w:rPr>
                <w:sz w:val="16"/>
              </w:rPr>
            </w:pPr>
          </w:p>
          <w:p>
            <w:pPr>
              <w:pStyle w:val="TableParagraph"/>
              <w:spacing w:before="5"/>
              <w:rPr>
                <w:sz w:val="21"/>
              </w:rPr>
            </w:pPr>
          </w:p>
          <w:p>
            <w:pPr>
              <w:pStyle w:val="TableParagraph"/>
              <w:ind w:right="142"/>
              <w:jc w:val="right"/>
              <w:rPr>
                <w:sz w:val="14"/>
              </w:rPr>
            </w:pPr>
            <w:r>
              <w:rPr>
                <w:sz w:val="14"/>
              </w:rPr>
              <w:t>8900-8929</w:t>
            </w:r>
          </w:p>
        </w:tc>
        <w:tc>
          <w:tcPr>
            <w:tcW w:w="1725" w:type="dxa"/>
          </w:tcPr>
          <w:p>
            <w:pPr>
              <w:pStyle w:val="TableParagraph"/>
              <w:rPr>
                <w:sz w:val="16"/>
              </w:rPr>
            </w:pPr>
          </w:p>
          <w:p>
            <w:pPr>
              <w:pStyle w:val="TableParagraph"/>
              <w:spacing w:before="5"/>
              <w:rPr>
                <w:sz w:val="21"/>
              </w:rPr>
            </w:pPr>
          </w:p>
          <w:p>
            <w:pPr>
              <w:pStyle w:val="TableParagraph"/>
              <w:ind w:right="286"/>
              <w:jc w:val="right"/>
              <w:rPr>
                <w:sz w:val="14"/>
              </w:rPr>
            </w:pPr>
            <w:r>
              <w:rPr>
                <w:sz w:val="14"/>
              </w:rPr>
              <w:t>0.00</w:t>
            </w:r>
          </w:p>
        </w:tc>
        <w:tc>
          <w:tcPr>
            <w:tcW w:w="1475" w:type="dxa"/>
          </w:tcPr>
          <w:p>
            <w:pPr>
              <w:pStyle w:val="TableParagraph"/>
              <w:rPr>
                <w:sz w:val="16"/>
              </w:rPr>
            </w:pPr>
          </w:p>
          <w:p>
            <w:pPr>
              <w:pStyle w:val="TableParagraph"/>
              <w:spacing w:before="5"/>
              <w:rPr>
                <w:sz w:val="21"/>
              </w:rPr>
            </w:pPr>
          </w:p>
          <w:p>
            <w:pPr>
              <w:pStyle w:val="TableParagraph"/>
              <w:ind w:right="249"/>
              <w:jc w:val="right"/>
              <w:rPr>
                <w:sz w:val="14"/>
              </w:rPr>
            </w:pPr>
            <w:r>
              <w:rPr>
                <w:sz w:val="14"/>
              </w:rPr>
              <w:t>0.00</w:t>
            </w:r>
          </w:p>
        </w:tc>
        <w:tc>
          <w:tcPr>
            <w:tcW w:w="1402" w:type="dxa"/>
            <w:gridSpan w:val="2"/>
          </w:tcPr>
          <w:p>
            <w:pPr>
              <w:pStyle w:val="TableParagraph"/>
              <w:rPr>
                <w:sz w:val="16"/>
              </w:rPr>
            </w:pPr>
          </w:p>
          <w:p>
            <w:pPr>
              <w:pStyle w:val="TableParagraph"/>
              <w:spacing w:before="5"/>
              <w:rPr>
                <w:sz w:val="21"/>
              </w:rPr>
            </w:pPr>
          </w:p>
          <w:p>
            <w:pPr>
              <w:pStyle w:val="TableParagraph"/>
              <w:ind w:right="62"/>
              <w:jc w:val="right"/>
              <w:rPr>
                <w:sz w:val="14"/>
              </w:rPr>
            </w:pPr>
            <w:r>
              <w:rPr>
                <w:sz w:val="14"/>
              </w:rPr>
              <w:t>0.0%</w:t>
            </w:r>
          </w:p>
        </w:tc>
      </w:tr>
      <w:tr>
        <w:trPr>
          <w:trHeight w:val="376" w:hRule="atLeast"/>
        </w:trPr>
        <w:tc>
          <w:tcPr>
            <w:tcW w:w="3663" w:type="dxa"/>
          </w:tcPr>
          <w:p>
            <w:pPr>
              <w:pStyle w:val="TableParagraph"/>
              <w:spacing w:before="107"/>
              <w:ind w:left="376"/>
              <w:rPr>
                <w:sz w:val="14"/>
              </w:rPr>
            </w:pPr>
            <w:r>
              <w:rPr>
                <w:w w:val="105"/>
                <w:sz w:val="14"/>
              </w:rPr>
              <w:t>b) Transfers Out</w:t>
            </w:r>
          </w:p>
        </w:tc>
        <w:tc>
          <w:tcPr>
            <w:tcW w:w="2537" w:type="dxa"/>
            <w:gridSpan w:val="2"/>
          </w:tcPr>
          <w:p>
            <w:pPr>
              <w:pStyle w:val="TableParagraph"/>
              <w:spacing w:before="107"/>
              <w:ind w:right="142"/>
              <w:jc w:val="right"/>
              <w:rPr>
                <w:sz w:val="14"/>
              </w:rPr>
            </w:pPr>
            <w:r>
              <w:rPr>
                <w:sz w:val="14"/>
              </w:rPr>
              <w:t>7600-7629</w:t>
            </w:r>
          </w:p>
        </w:tc>
        <w:tc>
          <w:tcPr>
            <w:tcW w:w="1725" w:type="dxa"/>
          </w:tcPr>
          <w:p>
            <w:pPr>
              <w:pStyle w:val="TableParagraph"/>
              <w:spacing w:before="107"/>
              <w:ind w:right="286"/>
              <w:jc w:val="right"/>
              <w:rPr>
                <w:sz w:val="14"/>
              </w:rPr>
            </w:pPr>
            <w:r>
              <w:rPr>
                <w:sz w:val="14"/>
              </w:rPr>
              <w:t>0.00</w:t>
            </w:r>
          </w:p>
        </w:tc>
        <w:tc>
          <w:tcPr>
            <w:tcW w:w="1475" w:type="dxa"/>
          </w:tcPr>
          <w:p>
            <w:pPr>
              <w:pStyle w:val="TableParagraph"/>
              <w:spacing w:before="107"/>
              <w:ind w:right="249"/>
              <w:jc w:val="right"/>
              <w:rPr>
                <w:sz w:val="14"/>
              </w:rPr>
            </w:pPr>
            <w:r>
              <w:rPr>
                <w:sz w:val="14"/>
              </w:rPr>
              <w:t>0.00</w:t>
            </w:r>
          </w:p>
        </w:tc>
        <w:tc>
          <w:tcPr>
            <w:tcW w:w="1402" w:type="dxa"/>
            <w:gridSpan w:val="2"/>
          </w:tcPr>
          <w:p>
            <w:pPr>
              <w:pStyle w:val="TableParagraph"/>
              <w:spacing w:before="107"/>
              <w:ind w:right="62"/>
              <w:jc w:val="right"/>
              <w:rPr>
                <w:sz w:val="14"/>
              </w:rPr>
            </w:pPr>
            <w:r>
              <w:rPr>
                <w:sz w:val="14"/>
              </w:rPr>
              <w:t>0.0%</w:t>
            </w:r>
          </w:p>
        </w:tc>
      </w:tr>
      <w:tr>
        <w:trPr>
          <w:trHeight w:val="573" w:hRule="atLeast"/>
        </w:trPr>
        <w:tc>
          <w:tcPr>
            <w:tcW w:w="3663" w:type="dxa"/>
          </w:tcPr>
          <w:p>
            <w:pPr>
              <w:pStyle w:val="TableParagraph"/>
              <w:numPr>
                <w:ilvl w:val="0"/>
                <w:numId w:val="28"/>
              </w:numPr>
              <w:tabs>
                <w:tab w:pos="381" w:val="left" w:leader="none"/>
              </w:tabs>
              <w:spacing w:line="240" w:lineRule="auto" w:before="107" w:after="0"/>
              <w:ind w:left="380" w:right="0" w:hanging="168"/>
              <w:jc w:val="left"/>
              <w:rPr>
                <w:sz w:val="14"/>
              </w:rPr>
            </w:pPr>
            <w:r>
              <w:rPr>
                <w:w w:val="105"/>
                <w:sz w:val="14"/>
              </w:rPr>
              <w:t>Other</w:t>
            </w:r>
            <w:r>
              <w:rPr>
                <w:spacing w:val="-1"/>
                <w:w w:val="105"/>
                <w:sz w:val="14"/>
              </w:rPr>
              <w:t> </w:t>
            </w:r>
            <w:r>
              <w:rPr>
                <w:w w:val="105"/>
                <w:sz w:val="14"/>
              </w:rPr>
              <w:t>Sources/Uses</w:t>
            </w:r>
          </w:p>
          <w:p>
            <w:pPr>
              <w:pStyle w:val="TableParagraph"/>
              <w:numPr>
                <w:ilvl w:val="1"/>
                <w:numId w:val="28"/>
              </w:numPr>
              <w:tabs>
                <w:tab w:pos="544" w:val="left" w:leader="none"/>
              </w:tabs>
              <w:spacing w:line="240" w:lineRule="auto" w:before="35" w:after="0"/>
              <w:ind w:left="543" w:right="0" w:hanging="168"/>
              <w:jc w:val="left"/>
              <w:rPr>
                <w:sz w:val="14"/>
              </w:rPr>
            </w:pPr>
            <w:r>
              <w:rPr>
                <w:w w:val="105"/>
                <w:sz w:val="14"/>
              </w:rPr>
              <w:t>Sources</w:t>
            </w:r>
          </w:p>
        </w:tc>
        <w:tc>
          <w:tcPr>
            <w:tcW w:w="2537" w:type="dxa"/>
            <w:gridSpan w:val="2"/>
          </w:tcPr>
          <w:p>
            <w:pPr>
              <w:pStyle w:val="TableParagraph"/>
              <w:rPr>
                <w:sz w:val="16"/>
              </w:rPr>
            </w:pPr>
          </w:p>
          <w:p>
            <w:pPr>
              <w:pStyle w:val="TableParagraph"/>
              <w:spacing w:before="119"/>
              <w:ind w:right="142"/>
              <w:jc w:val="right"/>
              <w:rPr>
                <w:sz w:val="14"/>
              </w:rPr>
            </w:pPr>
            <w:r>
              <w:rPr>
                <w:sz w:val="14"/>
              </w:rPr>
              <w:t>8930-8979</w:t>
            </w:r>
          </w:p>
        </w:tc>
        <w:tc>
          <w:tcPr>
            <w:tcW w:w="1725" w:type="dxa"/>
          </w:tcPr>
          <w:p>
            <w:pPr>
              <w:pStyle w:val="TableParagraph"/>
              <w:rPr>
                <w:sz w:val="16"/>
              </w:rPr>
            </w:pPr>
          </w:p>
          <w:p>
            <w:pPr>
              <w:pStyle w:val="TableParagraph"/>
              <w:spacing w:before="119"/>
              <w:ind w:right="286"/>
              <w:jc w:val="right"/>
              <w:rPr>
                <w:sz w:val="14"/>
              </w:rPr>
            </w:pPr>
            <w:r>
              <w:rPr>
                <w:sz w:val="14"/>
              </w:rPr>
              <w:t>0.00</w:t>
            </w:r>
          </w:p>
        </w:tc>
        <w:tc>
          <w:tcPr>
            <w:tcW w:w="1475" w:type="dxa"/>
          </w:tcPr>
          <w:p>
            <w:pPr>
              <w:pStyle w:val="TableParagraph"/>
              <w:rPr>
                <w:sz w:val="16"/>
              </w:rPr>
            </w:pPr>
          </w:p>
          <w:p>
            <w:pPr>
              <w:pStyle w:val="TableParagraph"/>
              <w:spacing w:before="119"/>
              <w:ind w:right="249"/>
              <w:jc w:val="right"/>
              <w:rPr>
                <w:sz w:val="14"/>
              </w:rPr>
            </w:pPr>
            <w:r>
              <w:rPr>
                <w:sz w:val="14"/>
              </w:rPr>
              <w:t>0.00</w:t>
            </w:r>
          </w:p>
        </w:tc>
        <w:tc>
          <w:tcPr>
            <w:tcW w:w="1402" w:type="dxa"/>
            <w:gridSpan w:val="2"/>
          </w:tcPr>
          <w:p>
            <w:pPr>
              <w:pStyle w:val="TableParagraph"/>
              <w:rPr>
                <w:sz w:val="16"/>
              </w:rPr>
            </w:pPr>
          </w:p>
          <w:p>
            <w:pPr>
              <w:pStyle w:val="TableParagraph"/>
              <w:spacing w:before="119"/>
              <w:ind w:right="62"/>
              <w:jc w:val="right"/>
              <w:rPr>
                <w:sz w:val="14"/>
              </w:rPr>
            </w:pPr>
            <w:r>
              <w:rPr>
                <w:sz w:val="14"/>
              </w:rPr>
              <w:t>0.0%</w:t>
            </w:r>
          </w:p>
        </w:tc>
      </w:tr>
      <w:tr>
        <w:trPr>
          <w:trHeight w:val="376" w:hRule="atLeast"/>
        </w:trPr>
        <w:tc>
          <w:tcPr>
            <w:tcW w:w="3663" w:type="dxa"/>
          </w:tcPr>
          <w:p>
            <w:pPr>
              <w:pStyle w:val="TableParagraph"/>
              <w:spacing w:before="107"/>
              <w:ind w:left="376"/>
              <w:rPr>
                <w:sz w:val="14"/>
              </w:rPr>
            </w:pPr>
            <w:r>
              <w:rPr>
                <w:w w:val="105"/>
                <w:sz w:val="14"/>
              </w:rPr>
              <w:t>b) Uses</w:t>
            </w:r>
          </w:p>
        </w:tc>
        <w:tc>
          <w:tcPr>
            <w:tcW w:w="2537" w:type="dxa"/>
            <w:gridSpan w:val="2"/>
          </w:tcPr>
          <w:p>
            <w:pPr>
              <w:pStyle w:val="TableParagraph"/>
              <w:spacing w:before="107"/>
              <w:ind w:right="142"/>
              <w:jc w:val="right"/>
              <w:rPr>
                <w:sz w:val="14"/>
              </w:rPr>
            </w:pPr>
            <w:r>
              <w:rPr>
                <w:sz w:val="14"/>
              </w:rPr>
              <w:t>7630-7699</w:t>
            </w:r>
          </w:p>
        </w:tc>
        <w:tc>
          <w:tcPr>
            <w:tcW w:w="1725" w:type="dxa"/>
          </w:tcPr>
          <w:p>
            <w:pPr>
              <w:pStyle w:val="TableParagraph"/>
              <w:spacing w:before="107"/>
              <w:ind w:right="286"/>
              <w:jc w:val="right"/>
              <w:rPr>
                <w:sz w:val="14"/>
              </w:rPr>
            </w:pPr>
            <w:r>
              <w:rPr>
                <w:sz w:val="14"/>
              </w:rPr>
              <w:t>0.00</w:t>
            </w:r>
          </w:p>
        </w:tc>
        <w:tc>
          <w:tcPr>
            <w:tcW w:w="1475" w:type="dxa"/>
          </w:tcPr>
          <w:p>
            <w:pPr>
              <w:pStyle w:val="TableParagraph"/>
              <w:spacing w:before="107"/>
              <w:ind w:right="249"/>
              <w:jc w:val="right"/>
              <w:rPr>
                <w:sz w:val="14"/>
              </w:rPr>
            </w:pPr>
            <w:r>
              <w:rPr>
                <w:sz w:val="14"/>
              </w:rPr>
              <w:t>0.00</w:t>
            </w:r>
          </w:p>
        </w:tc>
        <w:tc>
          <w:tcPr>
            <w:tcW w:w="1402" w:type="dxa"/>
            <w:gridSpan w:val="2"/>
          </w:tcPr>
          <w:p>
            <w:pPr>
              <w:pStyle w:val="TableParagraph"/>
              <w:spacing w:before="107"/>
              <w:ind w:right="62"/>
              <w:jc w:val="right"/>
              <w:rPr>
                <w:sz w:val="14"/>
              </w:rPr>
            </w:pPr>
            <w:r>
              <w:rPr>
                <w:sz w:val="14"/>
              </w:rPr>
              <w:t>0.0%</w:t>
            </w:r>
          </w:p>
        </w:tc>
      </w:tr>
      <w:tr>
        <w:trPr>
          <w:trHeight w:val="376" w:hRule="atLeast"/>
        </w:trPr>
        <w:tc>
          <w:tcPr>
            <w:tcW w:w="3663" w:type="dxa"/>
          </w:tcPr>
          <w:p>
            <w:pPr>
              <w:pStyle w:val="TableParagraph"/>
              <w:spacing w:before="107"/>
              <w:ind w:left="213"/>
              <w:rPr>
                <w:sz w:val="14"/>
              </w:rPr>
            </w:pPr>
            <w:r>
              <w:rPr>
                <w:w w:val="105"/>
                <w:sz w:val="14"/>
              </w:rPr>
              <w:t>3) Contributions</w:t>
            </w:r>
          </w:p>
        </w:tc>
        <w:tc>
          <w:tcPr>
            <w:tcW w:w="2537" w:type="dxa"/>
            <w:gridSpan w:val="2"/>
          </w:tcPr>
          <w:p>
            <w:pPr>
              <w:pStyle w:val="TableParagraph"/>
              <w:spacing w:before="107"/>
              <w:ind w:right="142"/>
              <w:jc w:val="right"/>
              <w:rPr>
                <w:sz w:val="14"/>
              </w:rPr>
            </w:pPr>
            <w:r>
              <w:rPr>
                <w:sz w:val="14"/>
              </w:rPr>
              <w:t>8980-8999</w:t>
            </w:r>
          </w:p>
        </w:tc>
        <w:tc>
          <w:tcPr>
            <w:tcW w:w="1725" w:type="dxa"/>
          </w:tcPr>
          <w:p>
            <w:pPr>
              <w:pStyle w:val="TableParagraph"/>
              <w:spacing w:before="107"/>
              <w:ind w:right="286"/>
              <w:jc w:val="right"/>
              <w:rPr>
                <w:sz w:val="14"/>
              </w:rPr>
            </w:pPr>
            <w:r>
              <w:rPr>
                <w:sz w:val="14"/>
              </w:rPr>
              <w:t>0.00</w:t>
            </w:r>
          </w:p>
        </w:tc>
        <w:tc>
          <w:tcPr>
            <w:tcW w:w="1475" w:type="dxa"/>
          </w:tcPr>
          <w:p>
            <w:pPr>
              <w:pStyle w:val="TableParagraph"/>
              <w:spacing w:before="107"/>
              <w:ind w:right="249"/>
              <w:jc w:val="right"/>
              <w:rPr>
                <w:sz w:val="14"/>
              </w:rPr>
            </w:pPr>
            <w:r>
              <w:rPr>
                <w:sz w:val="14"/>
              </w:rPr>
              <w:t>0.00</w:t>
            </w:r>
          </w:p>
        </w:tc>
        <w:tc>
          <w:tcPr>
            <w:tcW w:w="1402" w:type="dxa"/>
            <w:gridSpan w:val="2"/>
          </w:tcPr>
          <w:p>
            <w:pPr>
              <w:pStyle w:val="TableParagraph"/>
              <w:spacing w:before="107"/>
              <w:ind w:right="62"/>
              <w:jc w:val="right"/>
              <w:rPr>
                <w:sz w:val="14"/>
              </w:rPr>
            </w:pPr>
            <w:r>
              <w:rPr>
                <w:sz w:val="14"/>
              </w:rPr>
              <w:t>0.0%</w:t>
            </w:r>
          </w:p>
        </w:tc>
      </w:tr>
      <w:tr>
        <w:trPr>
          <w:trHeight w:val="268" w:hRule="atLeast"/>
        </w:trPr>
        <w:tc>
          <w:tcPr>
            <w:tcW w:w="3663" w:type="dxa"/>
          </w:tcPr>
          <w:p>
            <w:pPr>
              <w:pStyle w:val="TableParagraph"/>
              <w:spacing w:line="142" w:lineRule="exact" w:before="107"/>
              <w:ind w:left="213"/>
              <w:rPr>
                <w:sz w:val="14"/>
              </w:rPr>
            </w:pPr>
            <w:r>
              <w:rPr>
                <w:w w:val="105"/>
                <w:sz w:val="14"/>
              </w:rPr>
              <w:t>4) TOTAL, OTHER FINANCING SOURCES/USES</w:t>
            </w:r>
          </w:p>
        </w:tc>
        <w:tc>
          <w:tcPr>
            <w:tcW w:w="2537" w:type="dxa"/>
            <w:gridSpan w:val="2"/>
          </w:tcPr>
          <w:p>
            <w:pPr>
              <w:pStyle w:val="TableParagraph"/>
              <w:rPr>
                <w:rFonts w:ascii="Times New Roman"/>
                <w:sz w:val="14"/>
              </w:rPr>
            </w:pPr>
          </w:p>
        </w:tc>
        <w:tc>
          <w:tcPr>
            <w:tcW w:w="1725" w:type="dxa"/>
          </w:tcPr>
          <w:p>
            <w:pPr>
              <w:pStyle w:val="TableParagraph"/>
              <w:spacing w:line="142" w:lineRule="exact" w:before="107"/>
              <w:ind w:right="286"/>
              <w:jc w:val="right"/>
              <w:rPr>
                <w:sz w:val="14"/>
              </w:rPr>
            </w:pPr>
            <w:r>
              <w:rPr>
                <w:sz w:val="14"/>
              </w:rPr>
              <w:t>0.00</w:t>
            </w:r>
          </w:p>
        </w:tc>
        <w:tc>
          <w:tcPr>
            <w:tcW w:w="1475" w:type="dxa"/>
          </w:tcPr>
          <w:p>
            <w:pPr>
              <w:pStyle w:val="TableParagraph"/>
              <w:spacing w:line="142" w:lineRule="exact" w:before="107"/>
              <w:ind w:right="249"/>
              <w:jc w:val="right"/>
              <w:rPr>
                <w:sz w:val="14"/>
              </w:rPr>
            </w:pPr>
            <w:r>
              <w:rPr>
                <w:sz w:val="14"/>
              </w:rPr>
              <w:t>0.00</w:t>
            </w:r>
          </w:p>
        </w:tc>
        <w:tc>
          <w:tcPr>
            <w:tcW w:w="1402" w:type="dxa"/>
            <w:gridSpan w:val="2"/>
          </w:tcPr>
          <w:p>
            <w:pPr>
              <w:pStyle w:val="TableParagraph"/>
              <w:spacing w:line="142" w:lineRule="exact" w:before="107"/>
              <w:ind w:right="62"/>
              <w:jc w:val="right"/>
              <w:rPr>
                <w:sz w:val="14"/>
              </w:rPr>
            </w:pPr>
            <w:r>
              <w:rPr>
                <w:sz w:val="14"/>
              </w:rPr>
              <w:t>0.0%</w:t>
            </w:r>
          </w:p>
        </w:tc>
      </w:tr>
    </w:tbl>
    <w:p>
      <w:pPr>
        <w:spacing w:after="0" w:line="142" w:lineRule="exact"/>
        <w:jc w:val="right"/>
        <w:rPr>
          <w:sz w:val="14"/>
        </w:rPr>
        <w:sectPr>
          <w:type w:val="continuous"/>
          <w:pgSz w:w="12240" w:h="15840"/>
          <w:pgMar w:top="1500" w:bottom="840" w:left="160" w:right="180"/>
        </w:sectPr>
      </w:pPr>
    </w:p>
    <w:p>
      <w:pPr>
        <w:spacing w:line="232" w:lineRule="auto" w:before="1"/>
        <w:ind w:left="308" w:right="0" w:firstLine="0"/>
        <w:jc w:val="left"/>
        <w:rPr>
          <w:sz w:val="18"/>
        </w:rPr>
      </w:pPr>
      <w:r>
        <w:rPr/>
        <w:pict>
          <v:group style="position:absolute;margin-left:30.120001pt;margin-top:36.318634pt;width:538pt;height:419.2pt;mso-position-horizontal-relative:page;mso-position-vertical-relative:paragraph;z-index:-314351616" coordorigin="602,726" coordsize="10760,8384">
            <v:shape style="position:absolute;left:602;top:726;width:3646;height:790" type="#_x0000_t75" stroked="false">
              <v:imagedata r:id="rId406" o:title=""/>
            </v:shape>
            <v:line style="position:absolute" from="1412,1506" to="1412,1876" stroked="true" strokeweight=".360003pt" strokecolor="#ffffff">
              <v:stroke dashstyle="solid"/>
            </v:line>
            <v:shape style="position:absolute;left:4240;top:726;width:7121;height:1364" type="#_x0000_t75" stroked="false">
              <v:imagedata r:id="rId779" o:title=""/>
            </v:shape>
            <v:shape style="position:absolute;left:602;top:1501;width:3646;height:588" type="#_x0000_t75" stroked="false">
              <v:imagedata r:id="rId434" o:title=""/>
            </v:shape>
            <v:line style="position:absolute" from="1412,2080" to="1412,2450" stroked="true" strokeweight=".360003pt" strokecolor="#ffffff">
              <v:stroke dashstyle="solid"/>
            </v:line>
            <v:shape style="position:absolute;left:6782;top:1878;width:4580;height:1172" type="#_x0000_t75" stroked="false">
              <v:imagedata r:id="rId428" o:title=""/>
            </v:shape>
            <v:shape style="position:absolute;left:602;top:2075;width:3646;height:7035" type="#_x0000_t75" stroked="false">
              <v:imagedata r:id="rId435" o:title=""/>
            </v:shape>
            <v:shape style="position:absolute;left:638;top:1340;width:811;height:161" type="#_x0000_t202" filled="false" stroked="false">
              <v:textbox inset="0,0,0,0">
                <w:txbxContent>
                  <w:p>
                    <w:pPr>
                      <w:spacing w:line="160" w:lineRule="exact" w:before="0"/>
                      <w:ind w:left="0" w:right="0" w:firstLine="0"/>
                      <w:jc w:val="left"/>
                      <w:rPr>
                        <w:b/>
                        <w:sz w:val="14"/>
                      </w:rPr>
                    </w:pPr>
                    <w:r>
                      <w:rPr>
                        <w:b/>
                        <w:sz w:val="14"/>
                      </w:rPr>
                      <w:t>Description</w:t>
                    </w:r>
                  </w:p>
                </w:txbxContent>
              </v:textbox>
              <w10:wrap type="none"/>
            </v:shape>
            <v:shape style="position:absolute;left:4466;top:1172;width:3722;height:329" type="#_x0000_t202" filled="false" stroked="false">
              <v:textbox inset="0,0,0,0">
                <w:txbxContent>
                  <w:p>
                    <w:pPr>
                      <w:spacing w:line="160" w:lineRule="exact" w:before="0"/>
                      <w:ind w:left="2820" w:right="0" w:firstLine="0"/>
                      <w:jc w:val="left"/>
                      <w:rPr>
                        <w:b/>
                        <w:sz w:val="14"/>
                      </w:rPr>
                    </w:pPr>
                    <w:r>
                      <w:rPr>
                        <w:b/>
                        <w:w w:val="105"/>
                        <w:sz w:val="14"/>
                      </w:rPr>
                      <w:t>2020-21</w:t>
                    </w:r>
                  </w:p>
                  <w:p>
                    <w:pPr>
                      <w:tabs>
                        <w:tab w:pos="1372" w:val="left" w:leader="none"/>
                      </w:tabs>
                      <w:spacing w:before="7"/>
                      <w:ind w:left="0" w:right="0" w:firstLine="0"/>
                      <w:jc w:val="left"/>
                      <w:rPr>
                        <w:b/>
                        <w:sz w:val="14"/>
                      </w:rPr>
                    </w:pPr>
                    <w:r>
                      <w:rPr>
                        <w:b/>
                        <w:w w:val="105"/>
                        <w:sz w:val="14"/>
                      </w:rPr>
                      <w:t>Resource</w:t>
                    </w:r>
                    <w:r>
                      <w:rPr>
                        <w:b/>
                        <w:spacing w:val="-12"/>
                        <w:w w:val="105"/>
                        <w:sz w:val="14"/>
                      </w:rPr>
                      <w:t> </w:t>
                    </w:r>
                    <w:r>
                      <w:rPr>
                        <w:b/>
                        <w:w w:val="105"/>
                        <w:sz w:val="14"/>
                      </w:rPr>
                      <w:t>Codes</w:t>
                      <w:tab/>
                      <w:t>Object Codes Estimated</w:t>
                    </w:r>
                    <w:r>
                      <w:rPr>
                        <w:b/>
                        <w:spacing w:val="-15"/>
                        <w:w w:val="105"/>
                        <w:sz w:val="14"/>
                      </w:rPr>
                      <w:t> </w:t>
                    </w:r>
                    <w:r>
                      <w:rPr>
                        <w:b/>
                        <w:w w:val="105"/>
                        <w:sz w:val="14"/>
                      </w:rPr>
                      <w:t>Actuals</w:t>
                    </w:r>
                  </w:p>
                </w:txbxContent>
              </v:textbox>
              <w10:wrap type="none"/>
            </v:shape>
            <v:shape style="position:absolute;left:8798;top:1172;width:545;height:329" type="#_x0000_t202" filled="false" stroked="false">
              <v:textbox inset="0,0,0,0">
                <w:txbxContent>
                  <w:p>
                    <w:pPr>
                      <w:spacing w:line="160" w:lineRule="exact" w:before="0"/>
                      <w:ind w:left="0" w:right="0" w:firstLine="0"/>
                      <w:jc w:val="left"/>
                      <w:rPr>
                        <w:b/>
                        <w:sz w:val="14"/>
                      </w:rPr>
                    </w:pPr>
                    <w:r>
                      <w:rPr>
                        <w:b/>
                        <w:sz w:val="14"/>
                      </w:rPr>
                      <w:t>2021-22</w:t>
                    </w:r>
                  </w:p>
                  <w:p>
                    <w:pPr>
                      <w:spacing w:before="7"/>
                      <w:ind w:left="11" w:right="0" w:firstLine="0"/>
                      <w:jc w:val="left"/>
                      <w:rPr>
                        <w:b/>
                        <w:sz w:val="14"/>
                      </w:rPr>
                    </w:pPr>
                    <w:r>
                      <w:rPr>
                        <w:b/>
                        <w:w w:val="105"/>
                        <w:sz w:val="14"/>
                      </w:rPr>
                      <w:t>Budget</w:t>
                    </w:r>
                  </w:p>
                </w:txbxContent>
              </v:textbox>
              <w10:wrap type="none"/>
            </v:shape>
            <v:shape style="position:absolute;left:10236;top:1172;width:721;height:329" type="#_x0000_t202" filled="false" stroked="false">
              <v:textbox inset="0,0,0,0">
                <w:txbxContent>
                  <w:p>
                    <w:pPr>
                      <w:spacing w:line="249" w:lineRule="auto" w:before="0"/>
                      <w:ind w:left="0" w:right="16" w:firstLine="86"/>
                      <w:jc w:val="left"/>
                      <w:rPr>
                        <w:b/>
                        <w:sz w:val="14"/>
                      </w:rPr>
                    </w:pPr>
                    <w:r>
                      <w:rPr>
                        <w:b/>
                        <w:w w:val="105"/>
                        <w:sz w:val="14"/>
                      </w:rPr>
                      <w:t>Percent </w:t>
                    </w:r>
                    <w:r>
                      <w:rPr>
                        <w:b/>
                        <w:sz w:val="14"/>
                      </w:rPr>
                      <w:t>Difference</w:t>
                    </w:r>
                  </w:p>
                </w:txbxContent>
              </v:textbox>
              <w10:wrap type="none"/>
            </v:shape>
            <v:shape style="position:absolute;left:638;top:1717;width:2815;height:358" type="#_x0000_t202" filled="false" stroked="false">
              <v:textbox inset="0,0,0,0">
                <w:txbxContent>
                  <w:p>
                    <w:pPr>
                      <w:spacing w:line="160" w:lineRule="exact" w:before="0"/>
                      <w:ind w:left="0" w:right="0" w:firstLine="0"/>
                      <w:jc w:val="left"/>
                      <w:rPr>
                        <w:b/>
                        <w:sz w:val="14"/>
                      </w:rPr>
                    </w:pPr>
                    <w:r>
                      <w:rPr>
                        <w:b/>
                        <w:w w:val="105"/>
                        <w:sz w:val="14"/>
                      </w:rPr>
                      <w:t>E.</w:t>
                    </w:r>
                    <w:r>
                      <w:rPr>
                        <w:b/>
                        <w:spacing w:val="-14"/>
                        <w:w w:val="105"/>
                        <w:sz w:val="14"/>
                      </w:rPr>
                      <w:t> </w:t>
                    </w:r>
                    <w:r>
                      <w:rPr>
                        <w:b/>
                        <w:w w:val="105"/>
                        <w:sz w:val="14"/>
                      </w:rPr>
                      <w:t>NET</w:t>
                    </w:r>
                    <w:r>
                      <w:rPr>
                        <w:b/>
                        <w:spacing w:val="-13"/>
                        <w:w w:val="105"/>
                        <w:sz w:val="14"/>
                      </w:rPr>
                      <w:t> </w:t>
                    </w:r>
                    <w:r>
                      <w:rPr>
                        <w:b/>
                        <w:w w:val="105"/>
                        <w:sz w:val="14"/>
                      </w:rPr>
                      <w:t>INCREASE</w:t>
                    </w:r>
                    <w:r>
                      <w:rPr>
                        <w:b/>
                        <w:spacing w:val="-15"/>
                        <w:w w:val="105"/>
                        <w:sz w:val="14"/>
                      </w:rPr>
                      <w:t> </w:t>
                    </w:r>
                    <w:r>
                      <w:rPr>
                        <w:b/>
                        <w:w w:val="105"/>
                        <w:sz w:val="14"/>
                      </w:rPr>
                      <w:t>(DECREASE)</w:t>
                    </w:r>
                    <w:r>
                      <w:rPr>
                        <w:b/>
                        <w:spacing w:val="-13"/>
                        <w:w w:val="105"/>
                        <w:sz w:val="14"/>
                      </w:rPr>
                      <w:t> </w:t>
                    </w:r>
                    <w:r>
                      <w:rPr>
                        <w:b/>
                        <w:w w:val="105"/>
                        <w:sz w:val="14"/>
                      </w:rPr>
                      <w:t>IN</w:t>
                    </w:r>
                    <w:r>
                      <w:rPr>
                        <w:b/>
                        <w:spacing w:val="-14"/>
                        <w:w w:val="105"/>
                        <w:sz w:val="14"/>
                      </w:rPr>
                      <w:t> </w:t>
                    </w:r>
                    <w:r>
                      <w:rPr>
                        <w:b/>
                        <w:w w:val="105"/>
                        <w:sz w:val="14"/>
                      </w:rPr>
                      <w:t>FUND</w:t>
                    </w:r>
                  </w:p>
                  <w:p>
                    <w:pPr>
                      <w:spacing w:before="36"/>
                      <w:ind w:left="203" w:right="0" w:firstLine="0"/>
                      <w:jc w:val="left"/>
                      <w:rPr>
                        <w:b/>
                        <w:sz w:val="14"/>
                      </w:rPr>
                    </w:pPr>
                    <w:r>
                      <w:rPr>
                        <w:b/>
                        <w:w w:val="105"/>
                        <w:sz w:val="14"/>
                      </w:rPr>
                      <w:t>BALANCE (C + D4)</w:t>
                    </w:r>
                  </w:p>
                </w:txbxContent>
              </v:textbox>
              <w10:wrap type="none"/>
            </v:shape>
            <v:shape style="position:absolute;left:7668;top:1916;width:578;height:161" type="#_x0000_t202" filled="false" stroked="false">
              <v:textbox inset="0,0,0,0">
                <w:txbxContent>
                  <w:p>
                    <w:pPr>
                      <w:spacing w:line="160" w:lineRule="exact" w:before="0"/>
                      <w:ind w:left="0" w:right="0" w:firstLine="0"/>
                      <w:jc w:val="left"/>
                      <w:rPr>
                        <w:sz w:val="14"/>
                      </w:rPr>
                    </w:pPr>
                    <w:r>
                      <w:rPr>
                        <w:sz w:val="14"/>
                      </w:rPr>
                      <w:t>5,451.00</w:t>
                    </w:r>
                  </w:p>
                </w:txbxContent>
              </v:textbox>
              <w10:wrap type="none"/>
            </v:shape>
            <v:shape style="position:absolute;left:9180;top:1916;width:578;height:161" type="#_x0000_t202" filled="false" stroked="false">
              <v:textbox inset="0,0,0,0">
                <w:txbxContent>
                  <w:p>
                    <w:pPr>
                      <w:spacing w:line="160" w:lineRule="exact" w:before="0"/>
                      <w:ind w:left="0" w:right="0" w:firstLine="0"/>
                      <w:jc w:val="left"/>
                      <w:rPr>
                        <w:sz w:val="14"/>
                      </w:rPr>
                    </w:pPr>
                    <w:r>
                      <w:rPr>
                        <w:sz w:val="14"/>
                      </w:rPr>
                      <w:t>5,451.00</w:t>
                    </w:r>
                  </w:p>
                </w:txbxContent>
              </v:textbox>
              <w10:wrap type="none"/>
            </v:shape>
            <v:shape style="position:absolute;left:10999;top:1916;width:347;height:161" type="#_x0000_t202" filled="false" stroked="false">
              <v:textbox inset="0,0,0,0">
                <w:txbxContent>
                  <w:p>
                    <w:pPr>
                      <w:spacing w:line="160" w:lineRule="exact" w:before="0"/>
                      <w:ind w:left="0" w:right="0" w:firstLine="0"/>
                      <w:jc w:val="left"/>
                      <w:rPr>
                        <w:sz w:val="14"/>
                      </w:rPr>
                    </w:pPr>
                    <w:r>
                      <w:rPr>
                        <w:w w:val="105"/>
                        <w:sz w:val="14"/>
                      </w:rPr>
                      <w:t>0.0%</w:t>
                    </w:r>
                  </w:p>
                </w:txbxContent>
              </v:textbox>
              <w10:wrap type="none"/>
            </v:shape>
            <v:shape style="position:absolute;left:638;top:2290;width:2182;height:161" type="#_x0000_t202" filled="false" stroked="false">
              <v:textbox inset="0,0,0,0">
                <w:txbxContent>
                  <w:p>
                    <w:pPr>
                      <w:spacing w:line="160" w:lineRule="exact" w:before="0"/>
                      <w:ind w:left="0" w:right="0" w:firstLine="0"/>
                      <w:jc w:val="left"/>
                      <w:rPr>
                        <w:b/>
                        <w:sz w:val="14"/>
                      </w:rPr>
                    </w:pPr>
                    <w:r>
                      <w:rPr>
                        <w:b/>
                        <w:w w:val="105"/>
                        <w:sz w:val="14"/>
                      </w:rPr>
                      <w:t>F.</w:t>
                    </w:r>
                    <w:r>
                      <w:rPr>
                        <w:b/>
                        <w:spacing w:val="-18"/>
                        <w:w w:val="105"/>
                        <w:sz w:val="14"/>
                      </w:rPr>
                      <w:t> </w:t>
                    </w:r>
                    <w:r>
                      <w:rPr>
                        <w:b/>
                        <w:w w:val="105"/>
                        <w:sz w:val="14"/>
                      </w:rPr>
                      <w:t>FUND</w:t>
                    </w:r>
                    <w:r>
                      <w:rPr>
                        <w:b/>
                        <w:spacing w:val="-18"/>
                        <w:w w:val="105"/>
                        <w:sz w:val="14"/>
                      </w:rPr>
                      <w:t> </w:t>
                    </w:r>
                    <w:r>
                      <w:rPr>
                        <w:b/>
                        <w:w w:val="105"/>
                        <w:sz w:val="14"/>
                      </w:rPr>
                      <w:t>BALANCE,</w:t>
                    </w:r>
                    <w:r>
                      <w:rPr>
                        <w:b/>
                        <w:spacing w:val="-18"/>
                        <w:w w:val="105"/>
                        <w:sz w:val="14"/>
                      </w:rPr>
                      <w:t> </w:t>
                    </w:r>
                    <w:r>
                      <w:rPr>
                        <w:b/>
                        <w:w w:val="105"/>
                        <w:sz w:val="14"/>
                      </w:rPr>
                      <w:t>RESERVES</w:t>
                    </w:r>
                  </w:p>
                </w:txbxContent>
              </v:textbox>
              <w10:wrap type="none"/>
            </v:shape>
            <w10:wrap type="none"/>
          </v:group>
        </w:pict>
      </w:r>
      <w:r>
        <w:rPr>
          <w:sz w:val="18"/>
        </w:rPr>
        <w:t>Winship-Robbins Elementary Sutter County</w:t>
      </w:r>
    </w:p>
    <w:p>
      <w:pPr>
        <w:spacing w:line="232" w:lineRule="auto" w:before="1"/>
        <w:ind w:left="1832" w:right="0" w:hanging="1524"/>
        <w:jc w:val="left"/>
        <w:rPr>
          <w:sz w:val="18"/>
        </w:rPr>
      </w:pPr>
      <w:r>
        <w:rPr/>
        <w:br w:type="column"/>
      </w:r>
      <w:r>
        <w:rPr>
          <w:sz w:val="18"/>
        </w:rPr>
        <w:t>Special Reserve Fund for Other Than Capital Outlay Projects Expenditures by Object</w:t>
      </w:r>
    </w:p>
    <w:p>
      <w:pPr>
        <w:spacing w:line="200" w:lineRule="exact" w:before="0"/>
        <w:ind w:left="0" w:right="287" w:firstLine="0"/>
        <w:jc w:val="right"/>
        <w:rPr>
          <w:sz w:val="18"/>
        </w:rPr>
      </w:pPr>
      <w:r>
        <w:rPr/>
        <w:br w:type="column"/>
      </w:r>
      <w:r>
        <w:rPr>
          <w:sz w:val="18"/>
        </w:rPr>
        <w:t>51 71456</w:t>
      </w:r>
      <w:r>
        <w:rPr>
          <w:spacing w:val="3"/>
          <w:sz w:val="18"/>
        </w:rPr>
        <w:t> </w:t>
      </w:r>
      <w:r>
        <w:rPr>
          <w:sz w:val="18"/>
        </w:rPr>
        <w:t>0000000</w:t>
      </w:r>
    </w:p>
    <w:p>
      <w:pPr>
        <w:spacing w:line="204" w:lineRule="exact" w:before="0"/>
        <w:ind w:left="0" w:right="285" w:firstLine="0"/>
        <w:jc w:val="right"/>
        <w:rPr>
          <w:sz w:val="18"/>
        </w:rPr>
      </w:pPr>
      <w:r>
        <w:rPr>
          <w:sz w:val="18"/>
        </w:rPr>
        <w:t>Form </w:t>
      </w:r>
      <w:r>
        <w:rPr>
          <w:spacing w:val="3"/>
          <w:sz w:val="18"/>
        </w:rPr>
        <w:t> </w:t>
      </w:r>
      <w:r>
        <w:rPr>
          <w:sz w:val="18"/>
        </w:rPr>
        <w:t>17</w:t>
      </w:r>
    </w:p>
    <w:p>
      <w:pPr>
        <w:spacing w:after="0" w:line="204" w:lineRule="exact"/>
        <w:jc w:val="right"/>
        <w:rPr>
          <w:sz w:val="18"/>
        </w:rPr>
        <w:sectPr>
          <w:pgSz w:w="12240" w:h="15840"/>
          <w:pgMar w:header="651" w:footer="437" w:top="840" w:bottom="620" w:left="160" w:right="180"/>
          <w:cols w:num="3" w:equalWidth="0">
            <w:col w:w="2698" w:space="491"/>
            <w:col w:w="5266" w:space="1337"/>
            <w:col w:w="2108"/>
          </w:cols>
        </w:sectPr>
      </w:pPr>
    </w:p>
    <w:p>
      <w:pPr>
        <w:pStyle w:val="BodyText"/>
        <w:rPr>
          <w:sz w:val="20"/>
        </w:rPr>
      </w:pPr>
      <w:r>
        <w:rPr/>
        <w:pict>
          <v:group style="position:absolute;margin-left:212.039993pt;margin-top:184.919998pt;width:356.05pt;height:313.2pt;mso-position-horizontal-relative:page;mso-position-vertical-relative:page;z-index:-314350592" coordorigin="4241,3698" coordsize="7121,6264">
            <v:shape style="position:absolute;left:6782;top:3698;width:4580;height:552" type="#_x0000_t75" stroked="false">
              <v:imagedata r:id="rId436" o:title=""/>
            </v:shape>
            <v:shape style="position:absolute;left:6782;top:3895;width:4580;height:704" type="#_x0000_t75" stroked="false">
              <v:imagedata r:id="rId437" o:title=""/>
            </v:shape>
            <v:shape style="position:absolute;left:6782;top:4243;width:4580;height:704" type="#_x0000_t75" stroked="false">
              <v:imagedata r:id="rId438" o:title=""/>
            </v:shape>
            <v:shape style="position:absolute;left:6782;top:4591;width:4580;height:704" type="#_x0000_t75" stroked="false">
              <v:imagedata r:id="rId437" o:title=""/>
            </v:shape>
            <v:shape style="position:absolute;left:6782;top:4939;width:4580;height:704" type="#_x0000_t75" stroked="false">
              <v:imagedata r:id="rId438" o:title=""/>
            </v:shape>
            <v:shape style="position:absolute;left:8294;top:5287;width:3068;height:548" type="#_x0000_t75" stroked="false">
              <v:imagedata r:id="rId780" o:title=""/>
            </v:shape>
            <v:shape style="position:absolute;left:6782;top:5635;width:1520;height:202" type="#_x0000_t75" stroked="false">
              <v:imagedata r:id="rId781" o:title=""/>
            </v:shape>
            <v:shape style="position:absolute;left:6787;top:5640;width:4565;height:394" coordorigin="6787,5640" coordsize="4565,394" path="m11352,5640l9811,5640,8299,5640,8299,5837,6787,5837,6787,6034,8299,6034,9811,6034,11352,6034,11352,5837,11352,5640e" filled="true" fillcolor="#dfdfdf" stroked="false">
              <v:path arrowok="t"/>
              <v:fill type="solid"/>
            </v:shape>
            <v:shape style="position:absolute;left:8294;top:5635;width:3068;height:941" type="#_x0000_t75" stroked="false">
              <v:imagedata r:id="rId782" o:title=""/>
            </v:shape>
            <v:shape style="position:absolute;left:6787;top:6033;width:4565;height:197" coordorigin="6787,6034" coordsize="4565,197" path="m11352,6034l9811,6034,8299,6034,6787,6034,6787,6230,8299,6230,9811,6230,11352,6230,11352,6034e" filled="true" fillcolor="#dfdfdf" stroked="false">
              <v:path arrowok="t"/>
              <v:fill type="solid"/>
            </v:shape>
            <v:shape style="position:absolute;left:6782;top:5832;width:1520;height:744" type="#_x0000_t75" stroked="false">
              <v:imagedata r:id="rId783" o:title=""/>
            </v:shape>
            <v:shape style="position:absolute;left:6787;top:6230;width:4565;height:349" coordorigin="6787,6230" coordsize="4565,349" path="m11352,6230l9811,6230,8299,6230,6787,6230,6787,6578,8299,6578,9811,6578,11352,6578,11352,6230e" filled="true" fillcolor="#dfdfdf" stroked="false">
              <v:path arrowok="t"/>
              <v:fill type="solid"/>
            </v:shape>
            <v:shape style="position:absolute;left:8294;top:6225;width:3068;height:699" type="#_x0000_t75" stroked="false">
              <v:imagedata r:id="rId444" o:title=""/>
            </v:shape>
            <v:shape style="position:absolute;left:6782;top:6573;width:1520;height:353" type="#_x0000_t75" stroked="false">
              <v:imagedata r:id="rId784" o:title=""/>
            </v:shape>
            <v:shape style="position:absolute;left:6787;top:6578;width:4565;height:696" coordorigin="6787,6578" coordsize="4565,696" path="m8299,6926l6787,6926,6787,7274,8299,7274,8299,6926m11352,6578l9811,6578,8299,6578,8299,6926,9811,6926,11352,6926,11352,6578e" filled="true" fillcolor="#dfdfdf" stroked="false">
              <v:path arrowok="t"/>
              <v:fill type="solid"/>
            </v:shape>
            <v:shape style="position:absolute;left:8294;top:6573;width:3068;height:704" type="#_x0000_t75" stroked="false">
              <v:imagedata r:id="rId588" o:title=""/>
            </v:shape>
            <v:shape style="position:absolute;left:6782;top:6921;width:1520;height:356" type="#_x0000_t75" stroked="false">
              <v:imagedata r:id="rId589" o:title=""/>
            </v:shape>
            <v:shape style="position:absolute;left:8299;top:6926;width:3053;height:348" coordorigin="8299,6926" coordsize="3053,348" path="m11352,6926l9811,6926,8299,6926,8299,7274,9811,7274,11352,7274,11352,6926e" filled="true" fillcolor="#dfdfdf" stroked="false">
              <v:path arrowok="t"/>
              <v:fill type="solid"/>
            </v:shape>
            <v:shape style="position:absolute;left:6782;top:6921;width:4580;height:1248" type="#_x0000_t75" stroked="false">
              <v:imagedata r:id="rId785" o:title=""/>
            </v:shape>
            <v:shape style="position:absolute;left:6782;top:7965;width:3032;height:552" type="#_x0000_t75" stroked="false">
              <v:imagedata r:id="rId786" o:title=""/>
            </v:shape>
            <v:shape style="position:absolute;left:6782;top:7965;width:4580;height:1097" type="#_x0000_t75" stroked="false">
              <v:imagedata r:id="rId787" o:title=""/>
            </v:shape>
            <v:shape style="position:absolute;left:6782;top:8858;width:4580;height:749" type="#_x0000_t75" stroked="false">
              <v:imagedata r:id="rId788" o:title=""/>
            </v:shape>
            <v:shape style="position:absolute;left:4240;top:9403;width:7121;height:560" type="#_x0000_t75" stroked="false">
              <v:imagedata r:id="rId789" o:title=""/>
            </v:shape>
            <v:shape style="position:absolute;left:8294;top:9600;width:3068;height:363" type="#_x0000_t75" stroked="false">
              <v:imagedata r:id="rId790" o:titl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8"/>
        </w:rPr>
      </w:pPr>
    </w:p>
    <w:tbl>
      <w:tblPr>
        <w:tblW w:w="0" w:type="auto"/>
        <w:jc w:val="left"/>
        <w:tblInd w:w="5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42"/>
        <w:gridCol w:w="693"/>
        <w:gridCol w:w="1836"/>
        <w:gridCol w:w="1745"/>
        <w:gridCol w:w="1021"/>
      </w:tblGrid>
      <w:tr>
        <w:trPr>
          <w:trHeight w:val="196" w:hRule="atLeast"/>
        </w:trPr>
        <w:tc>
          <w:tcPr>
            <w:tcW w:w="5342" w:type="dxa"/>
          </w:tcPr>
          <w:p>
            <w:pPr>
              <w:pStyle w:val="TableParagraph"/>
              <w:spacing w:line="160" w:lineRule="exact"/>
              <w:ind w:left="50"/>
              <w:rPr>
                <w:sz w:val="14"/>
              </w:rPr>
            </w:pPr>
            <w:r>
              <w:rPr>
                <w:w w:val="105"/>
                <w:sz w:val="14"/>
              </w:rPr>
              <w:t>1) Beginning Fund Balance</w:t>
            </w:r>
          </w:p>
        </w:tc>
        <w:tc>
          <w:tcPr>
            <w:tcW w:w="5295" w:type="dxa"/>
            <w:gridSpan w:val="4"/>
          </w:tcPr>
          <w:p>
            <w:pPr>
              <w:pStyle w:val="TableParagraph"/>
              <w:rPr>
                <w:rFonts w:ascii="Times New Roman"/>
                <w:sz w:val="12"/>
              </w:rPr>
            </w:pPr>
          </w:p>
        </w:tc>
      </w:tr>
      <w:tr>
        <w:trPr>
          <w:trHeight w:val="254" w:hRule="atLeast"/>
        </w:trPr>
        <w:tc>
          <w:tcPr>
            <w:tcW w:w="5342" w:type="dxa"/>
          </w:tcPr>
          <w:p>
            <w:pPr>
              <w:pStyle w:val="TableParagraph"/>
              <w:spacing w:line="160" w:lineRule="exact"/>
              <w:ind w:left="213"/>
              <w:rPr>
                <w:sz w:val="14"/>
              </w:rPr>
            </w:pPr>
            <w:r>
              <w:rPr>
                <w:w w:val="105"/>
                <w:sz w:val="14"/>
              </w:rPr>
              <w:t>a) As of July 1 - Unaudited</w:t>
            </w:r>
          </w:p>
        </w:tc>
        <w:tc>
          <w:tcPr>
            <w:tcW w:w="693" w:type="dxa"/>
          </w:tcPr>
          <w:p>
            <w:pPr>
              <w:pStyle w:val="TableParagraph"/>
              <w:spacing w:line="160" w:lineRule="exact"/>
              <w:ind w:left="50"/>
              <w:rPr>
                <w:sz w:val="14"/>
              </w:rPr>
            </w:pPr>
            <w:r>
              <w:rPr>
                <w:w w:val="105"/>
                <w:sz w:val="14"/>
              </w:rPr>
              <w:t>9791</w:t>
            </w:r>
          </w:p>
        </w:tc>
        <w:tc>
          <w:tcPr>
            <w:tcW w:w="1836" w:type="dxa"/>
          </w:tcPr>
          <w:p>
            <w:pPr>
              <w:pStyle w:val="TableParagraph"/>
              <w:spacing w:line="160" w:lineRule="exact"/>
              <w:ind w:right="395"/>
              <w:jc w:val="right"/>
              <w:rPr>
                <w:sz w:val="14"/>
              </w:rPr>
            </w:pPr>
            <w:r>
              <w:rPr>
                <w:sz w:val="14"/>
              </w:rPr>
              <w:t>399,462.00</w:t>
            </w:r>
          </w:p>
        </w:tc>
        <w:tc>
          <w:tcPr>
            <w:tcW w:w="1745" w:type="dxa"/>
          </w:tcPr>
          <w:p>
            <w:pPr>
              <w:pStyle w:val="TableParagraph"/>
              <w:spacing w:line="160" w:lineRule="exact"/>
              <w:ind w:right="628"/>
              <w:jc w:val="right"/>
              <w:rPr>
                <w:sz w:val="14"/>
              </w:rPr>
            </w:pPr>
            <w:r>
              <w:rPr>
                <w:sz w:val="14"/>
              </w:rPr>
              <w:t>404,913.00</w:t>
            </w:r>
          </w:p>
        </w:tc>
        <w:tc>
          <w:tcPr>
            <w:tcW w:w="1021" w:type="dxa"/>
          </w:tcPr>
          <w:p>
            <w:pPr>
              <w:pStyle w:val="TableParagraph"/>
              <w:spacing w:line="160" w:lineRule="exact"/>
              <w:ind w:right="60"/>
              <w:jc w:val="right"/>
              <w:rPr>
                <w:sz w:val="14"/>
              </w:rPr>
            </w:pPr>
            <w:r>
              <w:rPr>
                <w:sz w:val="14"/>
              </w:rPr>
              <w:t>1.4%</w:t>
            </w:r>
          </w:p>
        </w:tc>
      </w:tr>
      <w:tr>
        <w:trPr>
          <w:trHeight w:val="347" w:hRule="atLeast"/>
        </w:trPr>
        <w:tc>
          <w:tcPr>
            <w:tcW w:w="5342" w:type="dxa"/>
          </w:tcPr>
          <w:p>
            <w:pPr>
              <w:pStyle w:val="TableParagraph"/>
              <w:spacing w:before="92"/>
              <w:ind w:left="213"/>
              <w:rPr>
                <w:sz w:val="14"/>
              </w:rPr>
            </w:pPr>
            <w:r>
              <w:rPr>
                <w:w w:val="105"/>
                <w:sz w:val="14"/>
              </w:rPr>
              <w:t>b) Audit Adjustments</w:t>
            </w:r>
          </w:p>
        </w:tc>
        <w:tc>
          <w:tcPr>
            <w:tcW w:w="693" w:type="dxa"/>
          </w:tcPr>
          <w:p>
            <w:pPr>
              <w:pStyle w:val="TableParagraph"/>
              <w:spacing w:before="92"/>
              <w:ind w:left="50"/>
              <w:rPr>
                <w:sz w:val="14"/>
              </w:rPr>
            </w:pPr>
            <w:r>
              <w:rPr>
                <w:w w:val="105"/>
                <w:sz w:val="14"/>
              </w:rPr>
              <w:t>9793</w:t>
            </w:r>
          </w:p>
        </w:tc>
        <w:tc>
          <w:tcPr>
            <w:tcW w:w="1836" w:type="dxa"/>
          </w:tcPr>
          <w:p>
            <w:pPr>
              <w:pStyle w:val="TableParagraph"/>
              <w:spacing w:before="92"/>
              <w:ind w:right="395"/>
              <w:jc w:val="right"/>
              <w:rPr>
                <w:sz w:val="14"/>
              </w:rPr>
            </w:pPr>
            <w:r>
              <w:rPr>
                <w:sz w:val="14"/>
              </w:rPr>
              <w:t>0.00</w:t>
            </w:r>
          </w:p>
        </w:tc>
        <w:tc>
          <w:tcPr>
            <w:tcW w:w="1745" w:type="dxa"/>
          </w:tcPr>
          <w:p>
            <w:pPr>
              <w:pStyle w:val="TableParagraph"/>
              <w:spacing w:before="92"/>
              <w:ind w:right="628"/>
              <w:jc w:val="right"/>
              <w:rPr>
                <w:sz w:val="14"/>
              </w:rPr>
            </w:pPr>
            <w:r>
              <w:rPr>
                <w:sz w:val="14"/>
              </w:rPr>
              <w:t>0.00</w:t>
            </w:r>
          </w:p>
        </w:tc>
        <w:tc>
          <w:tcPr>
            <w:tcW w:w="1021" w:type="dxa"/>
          </w:tcPr>
          <w:p>
            <w:pPr>
              <w:pStyle w:val="TableParagraph"/>
              <w:spacing w:before="92"/>
              <w:ind w:right="60"/>
              <w:jc w:val="right"/>
              <w:rPr>
                <w:sz w:val="14"/>
              </w:rPr>
            </w:pPr>
            <w:r>
              <w:rPr>
                <w:sz w:val="14"/>
              </w:rPr>
              <w:t>0.0%</w:t>
            </w:r>
          </w:p>
        </w:tc>
      </w:tr>
      <w:tr>
        <w:trPr>
          <w:trHeight w:val="347" w:hRule="atLeast"/>
        </w:trPr>
        <w:tc>
          <w:tcPr>
            <w:tcW w:w="5342" w:type="dxa"/>
          </w:tcPr>
          <w:p>
            <w:pPr>
              <w:pStyle w:val="TableParagraph"/>
              <w:spacing w:before="92"/>
              <w:ind w:left="213"/>
              <w:rPr>
                <w:sz w:val="14"/>
              </w:rPr>
            </w:pPr>
            <w:r>
              <w:rPr>
                <w:w w:val="105"/>
                <w:sz w:val="14"/>
              </w:rPr>
              <w:t>c) As of July 1 - Audited (F1a + F1b)</w:t>
            </w:r>
          </w:p>
        </w:tc>
        <w:tc>
          <w:tcPr>
            <w:tcW w:w="693" w:type="dxa"/>
          </w:tcPr>
          <w:p>
            <w:pPr>
              <w:pStyle w:val="TableParagraph"/>
              <w:rPr>
                <w:rFonts w:ascii="Times New Roman"/>
                <w:sz w:val="14"/>
              </w:rPr>
            </w:pPr>
          </w:p>
        </w:tc>
        <w:tc>
          <w:tcPr>
            <w:tcW w:w="1836" w:type="dxa"/>
          </w:tcPr>
          <w:p>
            <w:pPr>
              <w:pStyle w:val="TableParagraph"/>
              <w:spacing w:before="92"/>
              <w:ind w:right="395"/>
              <w:jc w:val="right"/>
              <w:rPr>
                <w:sz w:val="14"/>
              </w:rPr>
            </w:pPr>
            <w:r>
              <w:rPr>
                <w:sz w:val="14"/>
              </w:rPr>
              <w:t>399,462.00</w:t>
            </w:r>
          </w:p>
        </w:tc>
        <w:tc>
          <w:tcPr>
            <w:tcW w:w="1745" w:type="dxa"/>
          </w:tcPr>
          <w:p>
            <w:pPr>
              <w:pStyle w:val="TableParagraph"/>
              <w:spacing w:before="92"/>
              <w:ind w:right="628"/>
              <w:jc w:val="right"/>
              <w:rPr>
                <w:sz w:val="14"/>
              </w:rPr>
            </w:pPr>
            <w:r>
              <w:rPr>
                <w:sz w:val="14"/>
              </w:rPr>
              <w:t>404,913.00</w:t>
            </w:r>
          </w:p>
        </w:tc>
        <w:tc>
          <w:tcPr>
            <w:tcW w:w="1021" w:type="dxa"/>
          </w:tcPr>
          <w:p>
            <w:pPr>
              <w:pStyle w:val="TableParagraph"/>
              <w:spacing w:before="92"/>
              <w:ind w:right="60"/>
              <w:jc w:val="right"/>
              <w:rPr>
                <w:sz w:val="14"/>
              </w:rPr>
            </w:pPr>
            <w:r>
              <w:rPr>
                <w:sz w:val="14"/>
              </w:rPr>
              <w:t>1.4%</w:t>
            </w:r>
          </w:p>
        </w:tc>
      </w:tr>
      <w:tr>
        <w:trPr>
          <w:trHeight w:val="347" w:hRule="atLeast"/>
        </w:trPr>
        <w:tc>
          <w:tcPr>
            <w:tcW w:w="5342" w:type="dxa"/>
          </w:tcPr>
          <w:p>
            <w:pPr>
              <w:pStyle w:val="TableParagraph"/>
              <w:spacing w:before="92"/>
              <w:ind w:left="213"/>
              <w:rPr>
                <w:sz w:val="14"/>
              </w:rPr>
            </w:pPr>
            <w:r>
              <w:rPr>
                <w:w w:val="105"/>
                <w:sz w:val="14"/>
              </w:rPr>
              <w:t>d) Other Restatements</w:t>
            </w:r>
          </w:p>
        </w:tc>
        <w:tc>
          <w:tcPr>
            <w:tcW w:w="693" w:type="dxa"/>
          </w:tcPr>
          <w:p>
            <w:pPr>
              <w:pStyle w:val="TableParagraph"/>
              <w:spacing w:before="92"/>
              <w:ind w:left="50"/>
              <w:rPr>
                <w:sz w:val="14"/>
              </w:rPr>
            </w:pPr>
            <w:r>
              <w:rPr>
                <w:w w:val="105"/>
                <w:sz w:val="14"/>
              </w:rPr>
              <w:t>9795</w:t>
            </w:r>
          </w:p>
        </w:tc>
        <w:tc>
          <w:tcPr>
            <w:tcW w:w="1836" w:type="dxa"/>
          </w:tcPr>
          <w:p>
            <w:pPr>
              <w:pStyle w:val="TableParagraph"/>
              <w:spacing w:before="92"/>
              <w:ind w:right="395"/>
              <w:jc w:val="right"/>
              <w:rPr>
                <w:sz w:val="14"/>
              </w:rPr>
            </w:pPr>
            <w:r>
              <w:rPr>
                <w:sz w:val="14"/>
              </w:rPr>
              <w:t>0.00</w:t>
            </w:r>
          </w:p>
        </w:tc>
        <w:tc>
          <w:tcPr>
            <w:tcW w:w="1745" w:type="dxa"/>
          </w:tcPr>
          <w:p>
            <w:pPr>
              <w:pStyle w:val="TableParagraph"/>
              <w:spacing w:before="92"/>
              <w:ind w:right="628"/>
              <w:jc w:val="right"/>
              <w:rPr>
                <w:sz w:val="14"/>
              </w:rPr>
            </w:pPr>
            <w:r>
              <w:rPr>
                <w:sz w:val="14"/>
              </w:rPr>
              <w:t>0.00</w:t>
            </w:r>
          </w:p>
        </w:tc>
        <w:tc>
          <w:tcPr>
            <w:tcW w:w="1021" w:type="dxa"/>
          </w:tcPr>
          <w:p>
            <w:pPr>
              <w:pStyle w:val="TableParagraph"/>
              <w:spacing w:before="92"/>
              <w:ind w:right="60"/>
              <w:jc w:val="right"/>
              <w:rPr>
                <w:sz w:val="14"/>
              </w:rPr>
            </w:pPr>
            <w:r>
              <w:rPr>
                <w:sz w:val="14"/>
              </w:rPr>
              <w:t>0.0%</w:t>
            </w:r>
          </w:p>
        </w:tc>
      </w:tr>
      <w:tr>
        <w:trPr>
          <w:trHeight w:val="348" w:hRule="atLeast"/>
        </w:trPr>
        <w:tc>
          <w:tcPr>
            <w:tcW w:w="5342" w:type="dxa"/>
          </w:tcPr>
          <w:p>
            <w:pPr>
              <w:pStyle w:val="TableParagraph"/>
              <w:spacing w:before="92"/>
              <w:ind w:left="213"/>
              <w:rPr>
                <w:sz w:val="14"/>
              </w:rPr>
            </w:pPr>
            <w:r>
              <w:rPr>
                <w:w w:val="105"/>
                <w:sz w:val="14"/>
              </w:rPr>
              <w:t>e) Adjusted Beginning Balance (F1c + F1d)</w:t>
            </w:r>
          </w:p>
        </w:tc>
        <w:tc>
          <w:tcPr>
            <w:tcW w:w="693" w:type="dxa"/>
          </w:tcPr>
          <w:p>
            <w:pPr>
              <w:pStyle w:val="TableParagraph"/>
              <w:rPr>
                <w:rFonts w:ascii="Times New Roman"/>
                <w:sz w:val="14"/>
              </w:rPr>
            </w:pPr>
          </w:p>
        </w:tc>
        <w:tc>
          <w:tcPr>
            <w:tcW w:w="1836" w:type="dxa"/>
          </w:tcPr>
          <w:p>
            <w:pPr>
              <w:pStyle w:val="TableParagraph"/>
              <w:spacing w:before="92"/>
              <w:ind w:right="395"/>
              <w:jc w:val="right"/>
              <w:rPr>
                <w:sz w:val="14"/>
              </w:rPr>
            </w:pPr>
            <w:r>
              <w:rPr>
                <w:sz w:val="14"/>
              </w:rPr>
              <w:t>399,462.00</w:t>
            </w:r>
          </w:p>
        </w:tc>
        <w:tc>
          <w:tcPr>
            <w:tcW w:w="1745" w:type="dxa"/>
          </w:tcPr>
          <w:p>
            <w:pPr>
              <w:pStyle w:val="TableParagraph"/>
              <w:spacing w:before="92"/>
              <w:ind w:right="628"/>
              <w:jc w:val="right"/>
              <w:rPr>
                <w:sz w:val="14"/>
              </w:rPr>
            </w:pPr>
            <w:r>
              <w:rPr>
                <w:sz w:val="14"/>
              </w:rPr>
              <w:t>404,913.00</w:t>
            </w:r>
          </w:p>
        </w:tc>
        <w:tc>
          <w:tcPr>
            <w:tcW w:w="1021" w:type="dxa"/>
          </w:tcPr>
          <w:p>
            <w:pPr>
              <w:pStyle w:val="TableParagraph"/>
              <w:spacing w:before="92"/>
              <w:ind w:right="60"/>
              <w:jc w:val="right"/>
              <w:rPr>
                <w:sz w:val="14"/>
              </w:rPr>
            </w:pPr>
            <w:r>
              <w:rPr>
                <w:sz w:val="14"/>
              </w:rPr>
              <w:t>1.4%</w:t>
            </w:r>
          </w:p>
        </w:tc>
      </w:tr>
      <w:tr>
        <w:trPr>
          <w:trHeight w:val="257" w:hRule="atLeast"/>
        </w:trPr>
        <w:tc>
          <w:tcPr>
            <w:tcW w:w="5342" w:type="dxa"/>
          </w:tcPr>
          <w:p>
            <w:pPr>
              <w:pStyle w:val="TableParagraph"/>
              <w:spacing w:line="145" w:lineRule="exact" w:before="92"/>
              <w:ind w:left="50"/>
              <w:rPr>
                <w:sz w:val="14"/>
              </w:rPr>
            </w:pPr>
            <w:r>
              <w:rPr>
                <w:w w:val="105"/>
                <w:sz w:val="14"/>
              </w:rPr>
              <w:t>2) Ending Balance, June 30 (E + F1e)</w:t>
            </w:r>
          </w:p>
        </w:tc>
        <w:tc>
          <w:tcPr>
            <w:tcW w:w="693" w:type="dxa"/>
          </w:tcPr>
          <w:p>
            <w:pPr>
              <w:pStyle w:val="TableParagraph"/>
              <w:rPr>
                <w:rFonts w:ascii="Times New Roman"/>
                <w:sz w:val="14"/>
              </w:rPr>
            </w:pPr>
          </w:p>
        </w:tc>
        <w:tc>
          <w:tcPr>
            <w:tcW w:w="1836" w:type="dxa"/>
          </w:tcPr>
          <w:p>
            <w:pPr>
              <w:pStyle w:val="TableParagraph"/>
              <w:spacing w:line="145" w:lineRule="exact" w:before="92"/>
              <w:ind w:right="395"/>
              <w:jc w:val="right"/>
              <w:rPr>
                <w:sz w:val="14"/>
              </w:rPr>
            </w:pPr>
            <w:r>
              <w:rPr>
                <w:sz w:val="14"/>
              </w:rPr>
              <w:t>404,913.00</w:t>
            </w:r>
          </w:p>
        </w:tc>
        <w:tc>
          <w:tcPr>
            <w:tcW w:w="1745" w:type="dxa"/>
          </w:tcPr>
          <w:p>
            <w:pPr>
              <w:pStyle w:val="TableParagraph"/>
              <w:spacing w:line="145" w:lineRule="exact" w:before="92"/>
              <w:ind w:right="628"/>
              <w:jc w:val="right"/>
              <w:rPr>
                <w:sz w:val="14"/>
              </w:rPr>
            </w:pPr>
            <w:r>
              <w:rPr>
                <w:sz w:val="14"/>
              </w:rPr>
              <w:t>410,364.00</w:t>
            </w:r>
          </w:p>
        </w:tc>
        <w:tc>
          <w:tcPr>
            <w:tcW w:w="1021" w:type="dxa"/>
          </w:tcPr>
          <w:p>
            <w:pPr>
              <w:pStyle w:val="TableParagraph"/>
              <w:spacing w:line="145" w:lineRule="exact" w:before="92"/>
              <w:ind w:right="60"/>
              <w:jc w:val="right"/>
              <w:rPr>
                <w:sz w:val="14"/>
              </w:rPr>
            </w:pPr>
            <w:r>
              <w:rPr>
                <w:sz w:val="14"/>
              </w:rPr>
              <w:t>1.3%</w:t>
            </w:r>
          </w:p>
        </w:tc>
      </w:tr>
      <w:tr>
        <w:trPr>
          <w:trHeight w:val="426" w:hRule="atLeast"/>
        </w:trPr>
        <w:tc>
          <w:tcPr>
            <w:tcW w:w="6035" w:type="dxa"/>
            <w:gridSpan w:val="2"/>
          </w:tcPr>
          <w:p>
            <w:pPr>
              <w:pStyle w:val="TableParagraph"/>
              <w:spacing w:before="32"/>
              <w:ind w:left="213"/>
              <w:rPr>
                <w:sz w:val="14"/>
              </w:rPr>
            </w:pPr>
            <w:r>
              <w:rPr>
                <w:w w:val="105"/>
                <w:sz w:val="14"/>
              </w:rPr>
              <w:t>Components of Ending Fund Balance</w:t>
            </w:r>
          </w:p>
          <w:p>
            <w:pPr>
              <w:pStyle w:val="TableParagraph"/>
              <w:spacing w:before="35"/>
              <w:ind w:left="213"/>
              <w:rPr>
                <w:sz w:val="14"/>
              </w:rPr>
            </w:pPr>
            <w:r>
              <w:rPr>
                <w:w w:val="105"/>
                <w:sz w:val="14"/>
              </w:rPr>
              <w:t>a) Nonspendable</w:t>
            </w:r>
          </w:p>
        </w:tc>
        <w:tc>
          <w:tcPr>
            <w:tcW w:w="1836" w:type="dxa"/>
          </w:tcPr>
          <w:p>
            <w:pPr>
              <w:pStyle w:val="TableParagraph"/>
              <w:rPr>
                <w:rFonts w:ascii="Times New Roman"/>
                <w:sz w:val="14"/>
              </w:rPr>
            </w:pPr>
          </w:p>
        </w:tc>
        <w:tc>
          <w:tcPr>
            <w:tcW w:w="2766" w:type="dxa"/>
            <w:gridSpan w:val="2"/>
            <w:shd w:val="clear" w:color="auto" w:fill="DFDFDF"/>
          </w:tcPr>
          <w:p>
            <w:pPr>
              <w:pStyle w:val="TableParagraph"/>
              <w:rPr>
                <w:rFonts w:ascii="Times New Roman"/>
                <w:sz w:val="14"/>
              </w:rPr>
            </w:pPr>
          </w:p>
        </w:tc>
      </w:tr>
      <w:tr>
        <w:trPr>
          <w:trHeight w:val="254" w:hRule="atLeast"/>
        </w:trPr>
        <w:tc>
          <w:tcPr>
            <w:tcW w:w="5342" w:type="dxa"/>
          </w:tcPr>
          <w:p>
            <w:pPr>
              <w:pStyle w:val="TableParagraph"/>
              <w:spacing w:line="160" w:lineRule="exact"/>
              <w:ind w:left="416"/>
              <w:rPr>
                <w:sz w:val="14"/>
              </w:rPr>
            </w:pPr>
            <w:r>
              <w:rPr>
                <w:w w:val="105"/>
                <w:sz w:val="14"/>
              </w:rPr>
              <w:t>Revolving Cash</w:t>
            </w:r>
          </w:p>
        </w:tc>
        <w:tc>
          <w:tcPr>
            <w:tcW w:w="693" w:type="dxa"/>
          </w:tcPr>
          <w:p>
            <w:pPr>
              <w:pStyle w:val="TableParagraph"/>
              <w:spacing w:line="160" w:lineRule="exact"/>
              <w:ind w:left="50"/>
              <w:rPr>
                <w:sz w:val="14"/>
              </w:rPr>
            </w:pPr>
            <w:r>
              <w:rPr>
                <w:w w:val="105"/>
                <w:sz w:val="14"/>
              </w:rPr>
              <w:t>9711</w:t>
            </w:r>
          </w:p>
        </w:tc>
        <w:tc>
          <w:tcPr>
            <w:tcW w:w="1836" w:type="dxa"/>
            <w:shd w:val="clear" w:color="auto" w:fill="DFDFDF"/>
          </w:tcPr>
          <w:p>
            <w:pPr>
              <w:pStyle w:val="TableParagraph"/>
              <w:spacing w:line="160" w:lineRule="exact"/>
              <w:ind w:right="395"/>
              <w:jc w:val="right"/>
              <w:rPr>
                <w:sz w:val="14"/>
              </w:rPr>
            </w:pPr>
            <w:r>
              <w:rPr>
                <w:sz w:val="14"/>
              </w:rPr>
              <w:t>0.00</w:t>
            </w:r>
          </w:p>
        </w:tc>
        <w:tc>
          <w:tcPr>
            <w:tcW w:w="1745" w:type="dxa"/>
            <w:shd w:val="clear" w:color="auto" w:fill="DFDFDF"/>
          </w:tcPr>
          <w:p>
            <w:pPr>
              <w:pStyle w:val="TableParagraph"/>
              <w:spacing w:line="160" w:lineRule="exact"/>
              <w:ind w:right="628"/>
              <w:jc w:val="right"/>
              <w:rPr>
                <w:sz w:val="14"/>
              </w:rPr>
            </w:pPr>
            <w:r>
              <w:rPr>
                <w:sz w:val="14"/>
              </w:rPr>
              <w:t>0.00</w:t>
            </w:r>
          </w:p>
        </w:tc>
        <w:tc>
          <w:tcPr>
            <w:tcW w:w="1021" w:type="dxa"/>
            <w:shd w:val="clear" w:color="auto" w:fill="DFDFDF"/>
          </w:tcPr>
          <w:p>
            <w:pPr>
              <w:pStyle w:val="TableParagraph"/>
              <w:spacing w:line="160" w:lineRule="exact"/>
              <w:ind w:right="60"/>
              <w:jc w:val="right"/>
              <w:rPr>
                <w:sz w:val="14"/>
              </w:rPr>
            </w:pPr>
            <w:r>
              <w:rPr>
                <w:sz w:val="14"/>
              </w:rPr>
              <w:t>0.0%</w:t>
            </w:r>
          </w:p>
        </w:tc>
      </w:tr>
      <w:tr>
        <w:trPr>
          <w:trHeight w:val="347" w:hRule="atLeast"/>
        </w:trPr>
        <w:tc>
          <w:tcPr>
            <w:tcW w:w="5342" w:type="dxa"/>
          </w:tcPr>
          <w:p>
            <w:pPr>
              <w:pStyle w:val="TableParagraph"/>
              <w:spacing w:before="92"/>
              <w:ind w:left="416"/>
              <w:rPr>
                <w:sz w:val="14"/>
              </w:rPr>
            </w:pPr>
            <w:r>
              <w:rPr>
                <w:w w:val="105"/>
                <w:sz w:val="14"/>
              </w:rPr>
              <w:t>Stores</w:t>
            </w:r>
          </w:p>
        </w:tc>
        <w:tc>
          <w:tcPr>
            <w:tcW w:w="693" w:type="dxa"/>
          </w:tcPr>
          <w:p>
            <w:pPr>
              <w:pStyle w:val="TableParagraph"/>
              <w:spacing w:before="92"/>
              <w:ind w:left="50"/>
              <w:rPr>
                <w:sz w:val="14"/>
              </w:rPr>
            </w:pPr>
            <w:r>
              <w:rPr>
                <w:w w:val="105"/>
                <w:sz w:val="14"/>
              </w:rPr>
              <w:t>9712</w:t>
            </w:r>
          </w:p>
        </w:tc>
        <w:tc>
          <w:tcPr>
            <w:tcW w:w="1836" w:type="dxa"/>
          </w:tcPr>
          <w:p>
            <w:pPr>
              <w:pStyle w:val="TableParagraph"/>
              <w:spacing w:before="92"/>
              <w:ind w:right="395"/>
              <w:jc w:val="right"/>
              <w:rPr>
                <w:sz w:val="14"/>
              </w:rPr>
            </w:pPr>
            <w:r>
              <w:rPr>
                <w:sz w:val="14"/>
              </w:rPr>
              <w:t>0.00</w:t>
            </w:r>
          </w:p>
        </w:tc>
        <w:tc>
          <w:tcPr>
            <w:tcW w:w="1745" w:type="dxa"/>
            <w:shd w:val="clear" w:color="auto" w:fill="DFDFDF"/>
          </w:tcPr>
          <w:p>
            <w:pPr>
              <w:pStyle w:val="TableParagraph"/>
              <w:spacing w:before="92"/>
              <w:ind w:right="628"/>
              <w:jc w:val="right"/>
              <w:rPr>
                <w:sz w:val="14"/>
              </w:rPr>
            </w:pPr>
            <w:r>
              <w:rPr>
                <w:sz w:val="14"/>
              </w:rPr>
              <w:t>0.00</w:t>
            </w:r>
          </w:p>
        </w:tc>
        <w:tc>
          <w:tcPr>
            <w:tcW w:w="1021" w:type="dxa"/>
            <w:shd w:val="clear" w:color="auto" w:fill="DFDFDF"/>
          </w:tcPr>
          <w:p>
            <w:pPr>
              <w:pStyle w:val="TableParagraph"/>
              <w:spacing w:before="92"/>
              <w:ind w:right="60"/>
              <w:jc w:val="right"/>
              <w:rPr>
                <w:sz w:val="14"/>
              </w:rPr>
            </w:pPr>
            <w:r>
              <w:rPr>
                <w:sz w:val="14"/>
              </w:rPr>
              <w:t>0.0%</w:t>
            </w:r>
          </w:p>
        </w:tc>
      </w:tr>
      <w:tr>
        <w:trPr>
          <w:trHeight w:val="347" w:hRule="atLeast"/>
        </w:trPr>
        <w:tc>
          <w:tcPr>
            <w:tcW w:w="5342" w:type="dxa"/>
          </w:tcPr>
          <w:p>
            <w:pPr>
              <w:pStyle w:val="TableParagraph"/>
              <w:spacing w:before="92"/>
              <w:ind w:left="416"/>
              <w:rPr>
                <w:sz w:val="14"/>
              </w:rPr>
            </w:pPr>
            <w:r>
              <w:rPr>
                <w:w w:val="105"/>
                <w:sz w:val="14"/>
              </w:rPr>
              <w:t>Prepaid Items</w:t>
            </w:r>
          </w:p>
        </w:tc>
        <w:tc>
          <w:tcPr>
            <w:tcW w:w="693" w:type="dxa"/>
          </w:tcPr>
          <w:p>
            <w:pPr>
              <w:pStyle w:val="TableParagraph"/>
              <w:spacing w:before="92"/>
              <w:ind w:left="50"/>
              <w:rPr>
                <w:sz w:val="14"/>
              </w:rPr>
            </w:pPr>
            <w:r>
              <w:rPr>
                <w:w w:val="105"/>
                <w:sz w:val="14"/>
              </w:rPr>
              <w:t>9713</w:t>
            </w:r>
          </w:p>
        </w:tc>
        <w:tc>
          <w:tcPr>
            <w:tcW w:w="1836" w:type="dxa"/>
          </w:tcPr>
          <w:p>
            <w:pPr>
              <w:pStyle w:val="TableParagraph"/>
              <w:spacing w:before="92"/>
              <w:ind w:right="395"/>
              <w:jc w:val="right"/>
              <w:rPr>
                <w:sz w:val="14"/>
              </w:rPr>
            </w:pPr>
            <w:r>
              <w:rPr>
                <w:sz w:val="14"/>
              </w:rPr>
              <w:t>0.00</w:t>
            </w:r>
          </w:p>
        </w:tc>
        <w:tc>
          <w:tcPr>
            <w:tcW w:w="1745" w:type="dxa"/>
            <w:shd w:val="clear" w:color="auto" w:fill="DFDFDF"/>
          </w:tcPr>
          <w:p>
            <w:pPr>
              <w:pStyle w:val="TableParagraph"/>
              <w:spacing w:before="92"/>
              <w:ind w:right="628"/>
              <w:jc w:val="right"/>
              <w:rPr>
                <w:sz w:val="14"/>
              </w:rPr>
            </w:pPr>
            <w:r>
              <w:rPr>
                <w:sz w:val="14"/>
              </w:rPr>
              <w:t>0.00</w:t>
            </w:r>
          </w:p>
        </w:tc>
        <w:tc>
          <w:tcPr>
            <w:tcW w:w="1021" w:type="dxa"/>
            <w:shd w:val="clear" w:color="auto" w:fill="DFDFDF"/>
          </w:tcPr>
          <w:p>
            <w:pPr>
              <w:pStyle w:val="TableParagraph"/>
              <w:spacing w:before="92"/>
              <w:ind w:right="60"/>
              <w:jc w:val="right"/>
              <w:rPr>
                <w:sz w:val="14"/>
              </w:rPr>
            </w:pPr>
            <w:r>
              <w:rPr>
                <w:sz w:val="14"/>
              </w:rPr>
              <w:t>0.0%</w:t>
            </w:r>
          </w:p>
        </w:tc>
      </w:tr>
      <w:tr>
        <w:trPr>
          <w:trHeight w:val="257" w:hRule="atLeast"/>
        </w:trPr>
        <w:tc>
          <w:tcPr>
            <w:tcW w:w="5342" w:type="dxa"/>
          </w:tcPr>
          <w:p>
            <w:pPr>
              <w:pStyle w:val="TableParagraph"/>
              <w:spacing w:line="145" w:lineRule="exact" w:before="92"/>
              <w:ind w:left="416"/>
              <w:rPr>
                <w:sz w:val="14"/>
              </w:rPr>
            </w:pPr>
            <w:r>
              <w:rPr>
                <w:w w:val="105"/>
                <w:sz w:val="14"/>
              </w:rPr>
              <w:t>All Others</w:t>
            </w:r>
          </w:p>
        </w:tc>
        <w:tc>
          <w:tcPr>
            <w:tcW w:w="693" w:type="dxa"/>
          </w:tcPr>
          <w:p>
            <w:pPr>
              <w:pStyle w:val="TableParagraph"/>
              <w:spacing w:line="145" w:lineRule="exact" w:before="92"/>
              <w:ind w:left="50"/>
              <w:rPr>
                <w:sz w:val="14"/>
              </w:rPr>
            </w:pPr>
            <w:r>
              <w:rPr>
                <w:w w:val="105"/>
                <w:sz w:val="14"/>
              </w:rPr>
              <w:t>9719</w:t>
            </w:r>
          </w:p>
        </w:tc>
        <w:tc>
          <w:tcPr>
            <w:tcW w:w="1836" w:type="dxa"/>
            <w:shd w:val="clear" w:color="auto" w:fill="DFDFDF"/>
          </w:tcPr>
          <w:p>
            <w:pPr>
              <w:pStyle w:val="TableParagraph"/>
              <w:spacing w:line="145" w:lineRule="exact" w:before="92"/>
              <w:ind w:right="395"/>
              <w:jc w:val="right"/>
              <w:rPr>
                <w:sz w:val="14"/>
              </w:rPr>
            </w:pPr>
            <w:r>
              <w:rPr>
                <w:sz w:val="14"/>
              </w:rPr>
              <w:t>0.00</w:t>
            </w:r>
          </w:p>
        </w:tc>
        <w:tc>
          <w:tcPr>
            <w:tcW w:w="1745" w:type="dxa"/>
            <w:shd w:val="clear" w:color="auto" w:fill="DFDFDF"/>
          </w:tcPr>
          <w:p>
            <w:pPr>
              <w:pStyle w:val="TableParagraph"/>
              <w:spacing w:line="145" w:lineRule="exact" w:before="92"/>
              <w:ind w:right="628"/>
              <w:jc w:val="right"/>
              <w:rPr>
                <w:sz w:val="14"/>
              </w:rPr>
            </w:pPr>
            <w:r>
              <w:rPr>
                <w:sz w:val="14"/>
              </w:rPr>
              <w:t>0.00</w:t>
            </w:r>
          </w:p>
        </w:tc>
        <w:tc>
          <w:tcPr>
            <w:tcW w:w="1021" w:type="dxa"/>
            <w:shd w:val="clear" w:color="auto" w:fill="DFDFDF"/>
          </w:tcPr>
          <w:p>
            <w:pPr>
              <w:pStyle w:val="TableParagraph"/>
              <w:spacing w:line="145" w:lineRule="exact" w:before="92"/>
              <w:ind w:right="60"/>
              <w:jc w:val="right"/>
              <w:rPr>
                <w:sz w:val="14"/>
              </w:rPr>
            </w:pPr>
            <w:r>
              <w:rPr>
                <w:sz w:val="14"/>
              </w:rPr>
              <w:t>0.0%</w:t>
            </w:r>
          </w:p>
        </w:tc>
      </w:tr>
      <w:tr>
        <w:trPr>
          <w:trHeight w:val="344" w:hRule="atLeast"/>
        </w:trPr>
        <w:tc>
          <w:tcPr>
            <w:tcW w:w="6035" w:type="dxa"/>
            <w:gridSpan w:val="2"/>
          </w:tcPr>
          <w:p>
            <w:pPr>
              <w:pStyle w:val="TableParagraph"/>
              <w:tabs>
                <w:tab w:pos="5709" w:val="right" w:leader="none"/>
              </w:tabs>
              <w:spacing w:line="142" w:lineRule="exact" w:before="183"/>
              <w:ind w:left="213"/>
              <w:rPr>
                <w:sz w:val="14"/>
              </w:rPr>
            </w:pPr>
            <w:r>
              <w:rPr>
                <w:w w:val="105"/>
                <w:sz w:val="14"/>
              </w:rPr>
              <w:t>b)</w:t>
            </w:r>
            <w:r>
              <w:rPr>
                <w:spacing w:val="-2"/>
                <w:w w:val="105"/>
                <w:sz w:val="14"/>
              </w:rPr>
              <w:t> </w:t>
            </w:r>
            <w:r>
              <w:rPr>
                <w:w w:val="105"/>
                <w:sz w:val="14"/>
              </w:rPr>
              <w:t>Restricted</w:t>
              <w:tab/>
              <w:t>9740</w:t>
            </w:r>
          </w:p>
        </w:tc>
        <w:tc>
          <w:tcPr>
            <w:tcW w:w="1836" w:type="dxa"/>
          </w:tcPr>
          <w:p>
            <w:pPr>
              <w:pStyle w:val="TableParagraph"/>
              <w:spacing w:before="10"/>
              <w:rPr>
                <w:sz w:val="15"/>
              </w:rPr>
            </w:pPr>
          </w:p>
          <w:p>
            <w:pPr>
              <w:pStyle w:val="TableParagraph"/>
              <w:spacing w:line="142" w:lineRule="exact"/>
              <w:ind w:right="395"/>
              <w:jc w:val="right"/>
              <w:rPr>
                <w:sz w:val="14"/>
              </w:rPr>
            </w:pPr>
            <w:r>
              <w:rPr>
                <w:sz w:val="14"/>
              </w:rPr>
              <w:t>0.00</w:t>
            </w:r>
          </w:p>
        </w:tc>
        <w:tc>
          <w:tcPr>
            <w:tcW w:w="1745" w:type="dxa"/>
          </w:tcPr>
          <w:p>
            <w:pPr>
              <w:pStyle w:val="TableParagraph"/>
              <w:spacing w:before="10"/>
              <w:rPr>
                <w:sz w:val="15"/>
              </w:rPr>
            </w:pPr>
          </w:p>
          <w:p>
            <w:pPr>
              <w:pStyle w:val="TableParagraph"/>
              <w:spacing w:line="142" w:lineRule="exact"/>
              <w:ind w:right="628"/>
              <w:jc w:val="right"/>
              <w:rPr>
                <w:sz w:val="14"/>
              </w:rPr>
            </w:pPr>
            <w:r>
              <w:rPr>
                <w:sz w:val="14"/>
              </w:rPr>
              <w:t>0.00</w:t>
            </w:r>
          </w:p>
        </w:tc>
        <w:tc>
          <w:tcPr>
            <w:tcW w:w="1021" w:type="dxa"/>
          </w:tcPr>
          <w:p>
            <w:pPr>
              <w:pStyle w:val="TableParagraph"/>
              <w:spacing w:before="10"/>
              <w:rPr>
                <w:sz w:val="15"/>
              </w:rPr>
            </w:pPr>
          </w:p>
          <w:p>
            <w:pPr>
              <w:pStyle w:val="TableParagraph"/>
              <w:spacing w:line="142" w:lineRule="exact"/>
              <w:ind w:right="60"/>
              <w:jc w:val="right"/>
              <w:rPr>
                <w:sz w:val="14"/>
              </w:rPr>
            </w:pPr>
            <w:r>
              <w:rPr>
                <w:sz w:val="14"/>
              </w:rPr>
              <w:t>0.0%</w:t>
            </w:r>
          </w:p>
        </w:tc>
      </w:tr>
      <w:tr>
        <w:trPr>
          <w:trHeight w:val="638" w:hRule="atLeast"/>
        </w:trPr>
        <w:tc>
          <w:tcPr>
            <w:tcW w:w="5342" w:type="dxa"/>
          </w:tcPr>
          <w:p>
            <w:pPr>
              <w:pStyle w:val="TableParagraph"/>
              <w:spacing w:before="2"/>
              <w:rPr>
                <w:sz w:val="16"/>
              </w:rPr>
            </w:pPr>
          </w:p>
          <w:p>
            <w:pPr>
              <w:pStyle w:val="TableParagraph"/>
              <w:ind w:left="213"/>
              <w:rPr>
                <w:sz w:val="14"/>
              </w:rPr>
            </w:pPr>
            <w:r>
              <w:rPr>
                <w:w w:val="105"/>
                <w:sz w:val="14"/>
              </w:rPr>
              <w:t>c) Committed</w:t>
            </w:r>
          </w:p>
          <w:p>
            <w:pPr>
              <w:pStyle w:val="TableParagraph"/>
              <w:spacing w:before="36"/>
              <w:ind w:left="416"/>
              <w:rPr>
                <w:sz w:val="14"/>
              </w:rPr>
            </w:pPr>
            <w:r>
              <w:rPr>
                <w:w w:val="105"/>
                <w:sz w:val="14"/>
              </w:rPr>
              <w:t>Stabilization Arrangements</w:t>
            </w:r>
          </w:p>
        </w:tc>
        <w:tc>
          <w:tcPr>
            <w:tcW w:w="693" w:type="dxa"/>
          </w:tcPr>
          <w:p>
            <w:pPr>
              <w:pStyle w:val="TableParagraph"/>
              <w:rPr>
                <w:sz w:val="16"/>
              </w:rPr>
            </w:pPr>
          </w:p>
          <w:p>
            <w:pPr>
              <w:pStyle w:val="TableParagraph"/>
              <w:spacing w:before="3"/>
              <w:rPr>
                <w:sz w:val="17"/>
              </w:rPr>
            </w:pPr>
          </w:p>
          <w:p>
            <w:pPr>
              <w:pStyle w:val="TableParagraph"/>
              <w:ind w:left="50"/>
              <w:rPr>
                <w:sz w:val="14"/>
              </w:rPr>
            </w:pPr>
            <w:r>
              <w:rPr>
                <w:w w:val="105"/>
                <w:sz w:val="14"/>
              </w:rPr>
              <w:t>9750</w:t>
            </w:r>
          </w:p>
        </w:tc>
        <w:tc>
          <w:tcPr>
            <w:tcW w:w="1836" w:type="dxa"/>
          </w:tcPr>
          <w:p>
            <w:pPr>
              <w:pStyle w:val="TableParagraph"/>
              <w:rPr>
                <w:sz w:val="16"/>
              </w:rPr>
            </w:pPr>
          </w:p>
          <w:p>
            <w:pPr>
              <w:pStyle w:val="TableParagraph"/>
              <w:spacing w:before="3"/>
              <w:rPr>
                <w:sz w:val="17"/>
              </w:rPr>
            </w:pPr>
          </w:p>
          <w:p>
            <w:pPr>
              <w:pStyle w:val="TableParagraph"/>
              <w:ind w:right="395"/>
              <w:jc w:val="right"/>
              <w:rPr>
                <w:sz w:val="14"/>
              </w:rPr>
            </w:pPr>
            <w:r>
              <w:rPr>
                <w:sz w:val="14"/>
              </w:rPr>
              <w:t>0.00</w:t>
            </w:r>
          </w:p>
        </w:tc>
        <w:tc>
          <w:tcPr>
            <w:tcW w:w="1745" w:type="dxa"/>
          </w:tcPr>
          <w:p>
            <w:pPr>
              <w:pStyle w:val="TableParagraph"/>
              <w:rPr>
                <w:sz w:val="16"/>
              </w:rPr>
            </w:pPr>
          </w:p>
          <w:p>
            <w:pPr>
              <w:pStyle w:val="TableParagraph"/>
              <w:spacing w:before="3"/>
              <w:rPr>
                <w:sz w:val="17"/>
              </w:rPr>
            </w:pPr>
          </w:p>
          <w:p>
            <w:pPr>
              <w:pStyle w:val="TableParagraph"/>
              <w:ind w:right="628"/>
              <w:jc w:val="right"/>
              <w:rPr>
                <w:sz w:val="14"/>
              </w:rPr>
            </w:pPr>
            <w:r>
              <w:rPr>
                <w:sz w:val="14"/>
              </w:rPr>
              <w:t>0.00</w:t>
            </w:r>
          </w:p>
        </w:tc>
        <w:tc>
          <w:tcPr>
            <w:tcW w:w="1021" w:type="dxa"/>
          </w:tcPr>
          <w:p>
            <w:pPr>
              <w:pStyle w:val="TableParagraph"/>
              <w:rPr>
                <w:sz w:val="16"/>
              </w:rPr>
            </w:pPr>
          </w:p>
          <w:p>
            <w:pPr>
              <w:pStyle w:val="TableParagraph"/>
              <w:spacing w:before="3"/>
              <w:rPr>
                <w:sz w:val="17"/>
              </w:rPr>
            </w:pPr>
          </w:p>
          <w:p>
            <w:pPr>
              <w:pStyle w:val="TableParagraph"/>
              <w:ind w:right="60"/>
              <w:jc w:val="right"/>
              <w:rPr>
                <w:sz w:val="14"/>
              </w:rPr>
            </w:pPr>
            <w:r>
              <w:rPr>
                <w:sz w:val="14"/>
              </w:rPr>
              <w:t>0.0%</w:t>
            </w:r>
          </w:p>
        </w:tc>
      </w:tr>
      <w:tr>
        <w:trPr>
          <w:trHeight w:val="348" w:hRule="atLeast"/>
        </w:trPr>
        <w:tc>
          <w:tcPr>
            <w:tcW w:w="5342" w:type="dxa"/>
          </w:tcPr>
          <w:p>
            <w:pPr>
              <w:pStyle w:val="TableParagraph"/>
              <w:spacing w:before="92"/>
              <w:ind w:left="416"/>
              <w:rPr>
                <w:sz w:val="14"/>
              </w:rPr>
            </w:pPr>
            <w:r>
              <w:rPr>
                <w:w w:val="105"/>
                <w:sz w:val="14"/>
              </w:rPr>
              <w:t>Other Commitments</w:t>
            </w:r>
          </w:p>
        </w:tc>
        <w:tc>
          <w:tcPr>
            <w:tcW w:w="693" w:type="dxa"/>
          </w:tcPr>
          <w:p>
            <w:pPr>
              <w:pStyle w:val="TableParagraph"/>
              <w:spacing w:before="92"/>
              <w:ind w:left="50"/>
              <w:rPr>
                <w:sz w:val="14"/>
              </w:rPr>
            </w:pPr>
            <w:r>
              <w:rPr>
                <w:w w:val="105"/>
                <w:sz w:val="14"/>
              </w:rPr>
              <w:t>9760</w:t>
            </w:r>
          </w:p>
        </w:tc>
        <w:tc>
          <w:tcPr>
            <w:tcW w:w="1836" w:type="dxa"/>
          </w:tcPr>
          <w:p>
            <w:pPr>
              <w:pStyle w:val="TableParagraph"/>
              <w:spacing w:before="92"/>
              <w:ind w:right="395"/>
              <w:jc w:val="right"/>
              <w:rPr>
                <w:sz w:val="14"/>
              </w:rPr>
            </w:pPr>
            <w:r>
              <w:rPr>
                <w:sz w:val="14"/>
              </w:rPr>
              <w:t>0.00</w:t>
            </w:r>
          </w:p>
        </w:tc>
        <w:tc>
          <w:tcPr>
            <w:tcW w:w="1745" w:type="dxa"/>
          </w:tcPr>
          <w:p>
            <w:pPr>
              <w:pStyle w:val="TableParagraph"/>
              <w:spacing w:before="92"/>
              <w:ind w:right="628"/>
              <w:jc w:val="right"/>
              <w:rPr>
                <w:sz w:val="14"/>
              </w:rPr>
            </w:pPr>
            <w:r>
              <w:rPr>
                <w:sz w:val="14"/>
              </w:rPr>
              <w:t>0.00</w:t>
            </w:r>
          </w:p>
        </w:tc>
        <w:tc>
          <w:tcPr>
            <w:tcW w:w="1021" w:type="dxa"/>
          </w:tcPr>
          <w:p>
            <w:pPr>
              <w:pStyle w:val="TableParagraph"/>
              <w:spacing w:before="92"/>
              <w:ind w:right="60"/>
              <w:jc w:val="right"/>
              <w:rPr>
                <w:sz w:val="14"/>
              </w:rPr>
            </w:pPr>
            <w:r>
              <w:rPr>
                <w:sz w:val="14"/>
              </w:rPr>
              <w:t>0.0%</w:t>
            </w:r>
          </w:p>
        </w:tc>
      </w:tr>
      <w:tr>
        <w:trPr>
          <w:trHeight w:val="451" w:hRule="atLeast"/>
        </w:trPr>
        <w:tc>
          <w:tcPr>
            <w:tcW w:w="5342" w:type="dxa"/>
          </w:tcPr>
          <w:p>
            <w:pPr>
              <w:pStyle w:val="TableParagraph"/>
              <w:spacing w:before="92"/>
              <w:ind w:left="213"/>
              <w:rPr>
                <w:sz w:val="14"/>
              </w:rPr>
            </w:pPr>
            <w:r>
              <w:rPr>
                <w:w w:val="105"/>
                <w:sz w:val="14"/>
              </w:rPr>
              <w:t>d) Assigned</w:t>
            </w:r>
          </w:p>
          <w:p>
            <w:pPr>
              <w:pStyle w:val="TableParagraph"/>
              <w:spacing w:line="142" w:lineRule="exact" w:before="36"/>
              <w:ind w:left="416"/>
              <w:rPr>
                <w:sz w:val="14"/>
              </w:rPr>
            </w:pPr>
            <w:r>
              <w:rPr>
                <w:w w:val="105"/>
                <w:sz w:val="14"/>
              </w:rPr>
              <w:t>Other Assignments</w:t>
            </w:r>
          </w:p>
        </w:tc>
        <w:tc>
          <w:tcPr>
            <w:tcW w:w="693" w:type="dxa"/>
          </w:tcPr>
          <w:p>
            <w:pPr>
              <w:pStyle w:val="TableParagraph"/>
              <w:rPr>
                <w:sz w:val="16"/>
              </w:rPr>
            </w:pPr>
          </w:p>
          <w:p>
            <w:pPr>
              <w:pStyle w:val="TableParagraph"/>
              <w:spacing w:line="142" w:lineRule="exact" w:before="105"/>
              <w:ind w:left="50"/>
              <w:rPr>
                <w:sz w:val="14"/>
              </w:rPr>
            </w:pPr>
            <w:r>
              <w:rPr>
                <w:w w:val="105"/>
                <w:sz w:val="14"/>
              </w:rPr>
              <w:t>9780</w:t>
            </w:r>
          </w:p>
        </w:tc>
        <w:tc>
          <w:tcPr>
            <w:tcW w:w="1836" w:type="dxa"/>
          </w:tcPr>
          <w:p>
            <w:pPr>
              <w:pStyle w:val="TableParagraph"/>
              <w:rPr>
                <w:sz w:val="16"/>
              </w:rPr>
            </w:pPr>
          </w:p>
          <w:p>
            <w:pPr>
              <w:pStyle w:val="TableParagraph"/>
              <w:spacing w:line="142" w:lineRule="exact" w:before="105"/>
              <w:ind w:right="395"/>
              <w:jc w:val="right"/>
              <w:rPr>
                <w:sz w:val="14"/>
              </w:rPr>
            </w:pPr>
            <w:r>
              <w:rPr>
                <w:sz w:val="14"/>
              </w:rPr>
              <w:t>0.00</w:t>
            </w:r>
          </w:p>
        </w:tc>
        <w:tc>
          <w:tcPr>
            <w:tcW w:w="1745" w:type="dxa"/>
          </w:tcPr>
          <w:p>
            <w:pPr>
              <w:pStyle w:val="TableParagraph"/>
              <w:rPr>
                <w:sz w:val="16"/>
              </w:rPr>
            </w:pPr>
          </w:p>
          <w:p>
            <w:pPr>
              <w:pStyle w:val="TableParagraph"/>
              <w:spacing w:line="142" w:lineRule="exact" w:before="105"/>
              <w:ind w:right="628"/>
              <w:jc w:val="right"/>
              <w:rPr>
                <w:sz w:val="14"/>
              </w:rPr>
            </w:pPr>
            <w:r>
              <w:rPr>
                <w:sz w:val="14"/>
              </w:rPr>
              <w:t>0.00</w:t>
            </w:r>
          </w:p>
        </w:tc>
        <w:tc>
          <w:tcPr>
            <w:tcW w:w="1021" w:type="dxa"/>
          </w:tcPr>
          <w:p>
            <w:pPr>
              <w:pStyle w:val="TableParagraph"/>
              <w:rPr>
                <w:sz w:val="16"/>
              </w:rPr>
            </w:pPr>
          </w:p>
          <w:p>
            <w:pPr>
              <w:pStyle w:val="TableParagraph"/>
              <w:spacing w:line="142" w:lineRule="exact" w:before="105"/>
              <w:ind w:right="60"/>
              <w:jc w:val="right"/>
              <w:rPr>
                <w:sz w:val="14"/>
              </w:rPr>
            </w:pPr>
            <w:r>
              <w:rPr>
                <w:sz w:val="14"/>
              </w:rPr>
              <w:t>0.0%</w:t>
            </w:r>
          </w:p>
        </w:tc>
      </w:tr>
      <w:tr>
        <w:trPr>
          <w:trHeight w:val="348" w:hRule="atLeast"/>
        </w:trPr>
        <w:tc>
          <w:tcPr>
            <w:tcW w:w="5342" w:type="dxa"/>
          </w:tcPr>
          <w:p>
            <w:pPr>
              <w:pStyle w:val="TableParagraph"/>
              <w:spacing w:before="2"/>
              <w:rPr>
                <w:sz w:val="16"/>
              </w:rPr>
            </w:pPr>
          </w:p>
          <w:p>
            <w:pPr>
              <w:pStyle w:val="TableParagraph"/>
              <w:spacing w:line="142" w:lineRule="exact"/>
              <w:ind w:left="213"/>
              <w:rPr>
                <w:sz w:val="14"/>
              </w:rPr>
            </w:pPr>
            <w:r>
              <w:rPr>
                <w:w w:val="105"/>
                <w:sz w:val="14"/>
              </w:rPr>
              <w:t>e) Unassigned/Unappropriated</w:t>
            </w:r>
          </w:p>
        </w:tc>
        <w:tc>
          <w:tcPr>
            <w:tcW w:w="693" w:type="dxa"/>
          </w:tcPr>
          <w:p>
            <w:pPr>
              <w:pStyle w:val="TableParagraph"/>
              <w:rPr>
                <w:rFonts w:ascii="Times New Roman"/>
                <w:sz w:val="14"/>
              </w:rPr>
            </w:pPr>
          </w:p>
        </w:tc>
        <w:tc>
          <w:tcPr>
            <w:tcW w:w="1836" w:type="dxa"/>
          </w:tcPr>
          <w:p>
            <w:pPr>
              <w:pStyle w:val="TableParagraph"/>
              <w:rPr>
                <w:rFonts w:ascii="Times New Roman"/>
                <w:sz w:val="14"/>
              </w:rPr>
            </w:pPr>
          </w:p>
        </w:tc>
        <w:tc>
          <w:tcPr>
            <w:tcW w:w="1745" w:type="dxa"/>
          </w:tcPr>
          <w:p>
            <w:pPr>
              <w:pStyle w:val="TableParagraph"/>
              <w:rPr>
                <w:rFonts w:ascii="Times New Roman"/>
                <w:sz w:val="14"/>
              </w:rPr>
            </w:pPr>
          </w:p>
        </w:tc>
        <w:tc>
          <w:tcPr>
            <w:tcW w:w="1021" w:type="dxa"/>
          </w:tcPr>
          <w:p>
            <w:pPr>
              <w:pStyle w:val="TableParagraph"/>
              <w:rPr>
                <w:rFonts w:ascii="Times New Roman"/>
                <w:sz w:val="14"/>
              </w:rPr>
            </w:pPr>
          </w:p>
        </w:tc>
      </w:tr>
      <w:tr>
        <w:trPr>
          <w:trHeight w:val="290" w:hRule="atLeast"/>
        </w:trPr>
        <w:tc>
          <w:tcPr>
            <w:tcW w:w="5342" w:type="dxa"/>
          </w:tcPr>
          <w:p>
            <w:pPr>
              <w:pStyle w:val="TableParagraph"/>
              <w:spacing w:before="35"/>
              <w:ind w:left="376"/>
              <w:rPr>
                <w:sz w:val="14"/>
              </w:rPr>
            </w:pPr>
            <w:r>
              <w:rPr>
                <w:w w:val="105"/>
                <w:sz w:val="14"/>
              </w:rPr>
              <w:t>Reserve for Economic Uncertainties</w:t>
            </w:r>
          </w:p>
        </w:tc>
        <w:tc>
          <w:tcPr>
            <w:tcW w:w="693" w:type="dxa"/>
          </w:tcPr>
          <w:p>
            <w:pPr>
              <w:pStyle w:val="TableParagraph"/>
              <w:spacing w:before="35"/>
              <w:ind w:left="50"/>
              <w:rPr>
                <w:sz w:val="14"/>
              </w:rPr>
            </w:pPr>
            <w:r>
              <w:rPr>
                <w:w w:val="105"/>
                <w:sz w:val="14"/>
              </w:rPr>
              <w:t>9789</w:t>
            </w:r>
          </w:p>
        </w:tc>
        <w:tc>
          <w:tcPr>
            <w:tcW w:w="1836" w:type="dxa"/>
          </w:tcPr>
          <w:p>
            <w:pPr>
              <w:pStyle w:val="TableParagraph"/>
              <w:spacing w:before="35"/>
              <w:ind w:right="395"/>
              <w:jc w:val="right"/>
              <w:rPr>
                <w:sz w:val="14"/>
              </w:rPr>
            </w:pPr>
            <w:r>
              <w:rPr>
                <w:sz w:val="14"/>
              </w:rPr>
              <w:t>404,913.00</w:t>
            </w:r>
          </w:p>
        </w:tc>
        <w:tc>
          <w:tcPr>
            <w:tcW w:w="1745" w:type="dxa"/>
          </w:tcPr>
          <w:p>
            <w:pPr>
              <w:pStyle w:val="TableParagraph"/>
              <w:spacing w:before="35"/>
              <w:ind w:right="628"/>
              <w:jc w:val="right"/>
              <w:rPr>
                <w:sz w:val="14"/>
              </w:rPr>
            </w:pPr>
            <w:r>
              <w:rPr>
                <w:sz w:val="14"/>
              </w:rPr>
              <w:t>410,364.00</w:t>
            </w:r>
          </w:p>
        </w:tc>
        <w:tc>
          <w:tcPr>
            <w:tcW w:w="1021" w:type="dxa"/>
          </w:tcPr>
          <w:p>
            <w:pPr>
              <w:pStyle w:val="TableParagraph"/>
              <w:spacing w:before="35"/>
              <w:ind w:right="60"/>
              <w:jc w:val="right"/>
              <w:rPr>
                <w:sz w:val="14"/>
              </w:rPr>
            </w:pPr>
            <w:r>
              <w:rPr>
                <w:sz w:val="14"/>
              </w:rPr>
              <w:t>1.3%</w:t>
            </w:r>
          </w:p>
        </w:tc>
      </w:tr>
      <w:tr>
        <w:trPr>
          <w:trHeight w:val="254" w:hRule="atLeast"/>
        </w:trPr>
        <w:tc>
          <w:tcPr>
            <w:tcW w:w="5342" w:type="dxa"/>
          </w:tcPr>
          <w:p>
            <w:pPr>
              <w:pStyle w:val="TableParagraph"/>
              <w:spacing w:line="142" w:lineRule="exact" w:before="92"/>
              <w:ind w:left="376"/>
              <w:rPr>
                <w:sz w:val="14"/>
              </w:rPr>
            </w:pPr>
            <w:r>
              <w:rPr>
                <w:w w:val="105"/>
                <w:sz w:val="14"/>
              </w:rPr>
              <w:t>Unassigned/Unappropriated Amount</w:t>
            </w:r>
          </w:p>
        </w:tc>
        <w:tc>
          <w:tcPr>
            <w:tcW w:w="693" w:type="dxa"/>
          </w:tcPr>
          <w:p>
            <w:pPr>
              <w:pStyle w:val="TableParagraph"/>
              <w:spacing w:line="142" w:lineRule="exact" w:before="92"/>
              <w:ind w:left="50"/>
              <w:rPr>
                <w:sz w:val="14"/>
              </w:rPr>
            </w:pPr>
            <w:r>
              <w:rPr>
                <w:w w:val="105"/>
                <w:sz w:val="14"/>
              </w:rPr>
              <w:t>9790</w:t>
            </w:r>
          </w:p>
        </w:tc>
        <w:tc>
          <w:tcPr>
            <w:tcW w:w="1836" w:type="dxa"/>
          </w:tcPr>
          <w:p>
            <w:pPr>
              <w:pStyle w:val="TableParagraph"/>
              <w:spacing w:line="142" w:lineRule="exact" w:before="92"/>
              <w:ind w:right="395"/>
              <w:jc w:val="right"/>
              <w:rPr>
                <w:sz w:val="14"/>
              </w:rPr>
            </w:pPr>
            <w:r>
              <w:rPr>
                <w:sz w:val="14"/>
              </w:rPr>
              <w:t>0.00</w:t>
            </w:r>
          </w:p>
        </w:tc>
        <w:tc>
          <w:tcPr>
            <w:tcW w:w="1745" w:type="dxa"/>
          </w:tcPr>
          <w:p>
            <w:pPr>
              <w:pStyle w:val="TableParagraph"/>
              <w:spacing w:line="142" w:lineRule="exact" w:before="92"/>
              <w:ind w:right="628"/>
              <w:jc w:val="right"/>
              <w:rPr>
                <w:sz w:val="14"/>
              </w:rPr>
            </w:pPr>
            <w:r>
              <w:rPr>
                <w:sz w:val="14"/>
              </w:rPr>
              <w:t>0.00</w:t>
            </w:r>
          </w:p>
        </w:tc>
        <w:tc>
          <w:tcPr>
            <w:tcW w:w="1021" w:type="dxa"/>
          </w:tcPr>
          <w:p>
            <w:pPr>
              <w:pStyle w:val="TableParagraph"/>
              <w:spacing w:line="142" w:lineRule="exact" w:before="92"/>
              <w:ind w:right="60"/>
              <w:jc w:val="right"/>
              <w:rPr>
                <w:sz w:val="14"/>
              </w:rPr>
            </w:pPr>
            <w:r>
              <w:rPr>
                <w:sz w:val="14"/>
              </w:rPr>
              <w:t>0.0%</w:t>
            </w:r>
          </w:p>
        </w:tc>
      </w:tr>
    </w:tbl>
    <w:p>
      <w:pPr>
        <w:spacing w:after="0" w:line="142" w:lineRule="exact"/>
        <w:jc w:val="right"/>
        <w:rPr>
          <w:sz w:val="14"/>
        </w:rPr>
        <w:sectPr>
          <w:type w:val="continuous"/>
          <w:pgSz w:w="12240" w:h="15840"/>
          <w:pgMar w:top="1500" w:bottom="840" w:left="160" w:right="180"/>
        </w:sectPr>
      </w:pPr>
    </w:p>
    <w:p>
      <w:pPr>
        <w:spacing w:line="232" w:lineRule="auto" w:before="1"/>
        <w:ind w:left="308" w:right="0" w:firstLine="0"/>
        <w:jc w:val="left"/>
        <w:rPr>
          <w:sz w:val="18"/>
        </w:rPr>
      </w:pPr>
      <w:r>
        <w:rPr>
          <w:sz w:val="18"/>
        </w:rPr>
        <w:t>Winship-Robbins Elementary Sutter County</w:t>
      </w:r>
    </w:p>
    <w:p>
      <w:pPr>
        <w:spacing w:line="232" w:lineRule="auto" w:before="1"/>
        <w:ind w:left="1832" w:right="0" w:hanging="1524"/>
        <w:jc w:val="left"/>
        <w:rPr>
          <w:sz w:val="18"/>
        </w:rPr>
      </w:pPr>
      <w:r>
        <w:rPr/>
        <w:br w:type="column"/>
      </w:r>
      <w:r>
        <w:rPr>
          <w:sz w:val="18"/>
        </w:rPr>
        <w:t>Special Reserve Fund for Other Than Capital Outlay Projects Expenditures by Object</w:t>
      </w:r>
    </w:p>
    <w:p>
      <w:pPr>
        <w:spacing w:line="200" w:lineRule="exact" w:before="0"/>
        <w:ind w:left="0" w:right="287" w:firstLine="0"/>
        <w:jc w:val="right"/>
        <w:rPr>
          <w:sz w:val="18"/>
        </w:rPr>
      </w:pPr>
      <w:r>
        <w:rPr/>
        <w:br w:type="column"/>
      </w:r>
      <w:r>
        <w:rPr>
          <w:sz w:val="18"/>
        </w:rPr>
        <w:t>51 71456</w:t>
      </w:r>
      <w:r>
        <w:rPr>
          <w:spacing w:val="3"/>
          <w:sz w:val="18"/>
        </w:rPr>
        <w:t> </w:t>
      </w:r>
      <w:r>
        <w:rPr>
          <w:sz w:val="18"/>
        </w:rPr>
        <w:t>0000000</w:t>
      </w:r>
    </w:p>
    <w:p>
      <w:pPr>
        <w:spacing w:line="204" w:lineRule="exact" w:before="0"/>
        <w:ind w:left="0" w:right="285" w:firstLine="0"/>
        <w:jc w:val="right"/>
        <w:rPr>
          <w:sz w:val="18"/>
        </w:rPr>
      </w:pPr>
      <w:r>
        <w:rPr>
          <w:sz w:val="18"/>
        </w:rPr>
        <w:t>Form </w:t>
      </w:r>
      <w:r>
        <w:rPr>
          <w:spacing w:val="3"/>
          <w:sz w:val="18"/>
        </w:rPr>
        <w:t> </w:t>
      </w:r>
      <w:r>
        <w:rPr>
          <w:sz w:val="18"/>
        </w:rPr>
        <w:t>17</w:t>
      </w:r>
    </w:p>
    <w:p>
      <w:pPr>
        <w:spacing w:after="0" w:line="204" w:lineRule="exact"/>
        <w:jc w:val="right"/>
        <w:rPr>
          <w:sz w:val="18"/>
        </w:rPr>
        <w:sectPr>
          <w:pgSz w:w="12240" w:h="15840"/>
          <w:pgMar w:header="651" w:footer="437" w:top="840" w:bottom="620" w:left="160" w:right="180"/>
          <w:cols w:num="3" w:equalWidth="0">
            <w:col w:w="2698" w:space="491"/>
            <w:col w:w="5266" w:space="1337"/>
            <w:col w:w="2108"/>
          </w:cols>
        </w:sectPr>
      </w:pPr>
    </w:p>
    <w:p>
      <w:pPr>
        <w:pStyle w:val="BodyText"/>
        <w:rPr>
          <w:sz w:val="20"/>
        </w:rPr>
      </w:pPr>
    </w:p>
    <w:p>
      <w:pPr>
        <w:pStyle w:val="BodyText"/>
        <w:rPr>
          <w:sz w:val="20"/>
        </w:rPr>
      </w:pPr>
    </w:p>
    <w:p>
      <w:pPr>
        <w:pStyle w:val="BodyText"/>
        <w:rPr>
          <w:sz w:val="18"/>
        </w:rPr>
      </w:pPr>
    </w:p>
    <w:p>
      <w:pPr>
        <w:spacing w:after="0"/>
        <w:rPr>
          <w:sz w:val="18"/>
        </w:rPr>
        <w:sectPr>
          <w:type w:val="continuous"/>
          <w:pgSz w:w="12240" w:h="15840"/>
          <w:pgMar w:top="1500" w:bottom="840" w:left="160" w:right="180"/>
        </w:sectPr>
      </w:pPr>
    </w:p>
    <w:p>
      <w:pPr>
        <w:pStyle w:val="BodyText"/>
        <w:spacing w:before="3"/>
        <w:rPr>
          <w:sz w:val="23"/>
        </w:rPr>
      </w:pPr>
    </w:p>
    <w:p>
      <w:pPr>
        <w:tabs>
          <w:tab w:pos="4306" w:val="left" w:leader="none"/>
          <w:tab w:pos="5679" w:val="left" w:leader="none"/>
        </w:tabs>
        <w:spacing w:before="0"/>
        <w:ind w:left="478" w:right="0" w:firstLine="0"/>
        <w:jc w:val="left"/>
        <w:rPr>
          <w:b/>
          <w:sz w:val="14"/>
        </w:rPr>
      </w:pPr>
      <w:r>
        <w:rPr>
          <w:b/>
          <w:w w:val="105"/>
          <w:sz w:val="14"/>
        </w:rPr>
        <w:t>Description</w:t>
        <w:tab/>
        <w:t>Resource</w:t>
      </w:r>
      <w:r>
        <w:rPr>
          <w:b/>
          <w:spacing w:val="-12"/>
          <w:w w:val="105"/>
          <w:sz w:val="14"/>
        </w:rPr>
        <w:t> </w:t>
      </w:r>
      <w:r>
        <w:rPr>
          <w:b/>
          <w:w w:val="105"/>
          <w:sz w:val="14"/>
        </w:rPr>
        <w:t>Codes</w:t>
        <w:tab/>
        <w:t>Object</w:t>
      </w:r>
      <w:r>
        <w:rPr>
          <w:b/>
          <w:spacing w:val="-14"/>
          <w:w w:val="105"/>
          <w:sz w:val="14"/>
        </w:rPr>
        <w:t> </w:t>
      </w:r>
      <w:r>
        <w:rPr>
          <w:b/>
          <w:spacing w:val="-4"/>
          <w:w w:val="105"/>
          <w:sz w:val="14"/>
        </w:rPr>
        <w:t>Codes</w:t>
      </w:r>
    </w:p>
    <w:p>
      <w:pPr>
        <w:spacing w:before="99"/>
        <w:ind w:left="83" w:right="0" w:firstLine="0"/>
        <w:jc w:val="center"/>
        <w:rPr>
          <w:b/>
          <w:sz w:val="14"/>
        </w:rPr>
      </w:pPr>
      <w:r>
        <w:rPr/>
        <w:br w:type="column"/>
      </w:r>
      <w:r>
        <w:rPr>
          <w:b/>
          <w:w w:val="105"/>
          <w:sz w:val="14"/>
        </w:rPr>
        <w:t>2020-21</w:t>
      </w:r>
    </w:p>
    <w:p>
      <w:pPr>
        <w:spacing w:before="7"/>
        <w:ind w:left="83" w:right="3" w:firstLine="0"/>
        <w:jc w:val="center"/>
        <w:rPr>
          <w:b/>
          <w:sz w:val="14"/>
        </w:rPr>
      </w:pPr>
      <w:r>
        <w:rPr/>
        <w:pict>
          <v:group style="position:absolute;margin-left:30.120001pt;margin-top:-30.284115pt;width:538pt;height:600.85pt;mso-position-horizontal-relative:page;mso-position-vertical-relative:paragraph;z-index:-314349568" coordorigin="602,-606" coordsize="10760,12017">
            <v:shape style="position:absolute;left:602;top:-606;width:3646;height:790" type="#_x0000_t75" stroked="false">
              <v:imagedata r:id="rId406" o:title=""/>
            </v:shape>
            <v:shape style="position:absolute;left:602;top:169;width:816;height:5892" type="#_x0000_t75" stroked="false">
              <v:imagedata r:id="rId450" o:title=""/>
            </v:shape>
            <v:shape style="position:absolute;left:6787;top:1674;width:1512;height:3284" coordorigin="6787,1674" coordsize="1512,3284" path="m8299,4228l6787,4228,6787,4593,6787,4958,8299,4958,8299,4593,8299,4228m8299,3498l6787,3498,6787,3863,8299,3863,8299,3498m8299,1674l6787,1674,6787,2039,8299,2039,8299,1674e" filled="true" fillcolor="#dfdfdf" stroked="false">
              <v:path arrowok="t"/>
              <v:fill type="solid"/>
            </v:shape>
            <v:shape style="position:absolute;left:4240;top:-606;width:7121;height:12017" type="#_x0000_t75" stroked="false">
              <v:imagedata r:id="rId791" o:title=""/>
            </v:shape>
            <v:shape style="position:absolute;left:1411;top:5687;width:2837;height:22" type="#_x0000_t75" stroked="false">
              <v:imagedata r:id="rId451" o:title=""/>
            </v:shape>
            <v:line style="position:absolute" from="1412,5699" to="1412,6057" stroked="true" strokeweight=".360003pt" strokecolor="#ffffff">
              <v:stroke dashstyle="solid"/>
            </v:line>
            <v:shape style="position:absolute;left:602;top:6059;width:3646;height:744" type="#_x0000_t75" stroked="false">
              <v:imagedata r:id="rId452" o:title=""/>
            </v:shape>
            <v:line style="position:absolute" from="1412,6794" to="1412,7163" stroked="true" strokeweight=".360003pt" strokecolor="#ffffff">
              <v:stroke dashstyle="solid"/>
            </v:line>
            <v:shape style="position:absolute;left:602;top:6788;width:3646;height:2580" type="#_x0000_t75" stroked="false">
              <v:imagedata r:id="rId453" o:title=""/>
            </v:shape>
            <v:line style="position:absolute" from="1412,9359" to="1412,9714" stroked="true" strokeweight=".360003pt" strokecolor="#ffffff">
              <v:stroke dashstyle="solid"/>
            </v:line>
            <v:shape style="position:absolute;left:602;top:9354;width:3646;height:1107" type="#_x0000_t75" stroked="false">
              <v:imagedata r:id="rId454" o:title=""/>
            </v:shape>
            <v:line style="position:absolute" from="1412,10451" to="1412,10821" stroked="true" strokeweight=".360003pt" strokecolor="#ffffff">
              <v:stroke dashstyle="solid"/>
            </v:line>
            <v:shape style="position:absolute;left:602;top:10446;width:3646;height:965" type="#_x0000_t75" stroked="false">
              <v:imagedata r:id="rId455" o:title=""/>
            </v:shape>
            <w10:wrap type="none"/>
          </v:group>
        </w:pict>
      </w:r>
      <w:r>
        <w:rPr>
          <w:b/>
          <w:w w:val="105"/>
          <w:sz w:val="14"/>
        </w:rPr>
        <w:t>Estimated Actuals</w:t>
      </w:r>
    </w:p>
    <w:p>
      <w:pPr>
        <w:spacing w:before="99"/>
        <w:ind w:left="478" w:right="0" w:firstLine="0"/>
        <w:jc w:val="left"/>
        <w:rPr>
          <w:b/>
          <w:sz w:val="14"/>
        </w:rPr>
      </w:pPr>
      <w:r>
        <w:rPr/>
        <w:br w:type="column"/>
      </w:r>
      <w:r>
        <w:rPr>
          <w:b/>
          <w:w w:val="105"/>
          <w:sz w:val="14"/>
        </w:rPr>
        <w:t>2021-22</w:t>
      </w:r>
    </w:p>
    <w:p>
      <w:pPr>
        <w:spacing w:before="7"/>
        <w:ind w:left="490" w:right="0" w:firstLine="0"/>
        <w:jc w:val="left"/>
        <w:rPr>
          <w:b/>
          <w:sz w:val="14"/>
        </w:rPr>
      </w:pPr>
      <w:r>
        <w:rPr>
          <w:b/>
          <w:w w:val="105"/>
          <w:sz w:val="14"/>
        </w:rPr>
        <w:t>Budget</w:t>
      </w:r>
    </w:p>
    <w:p>
      <w:pPr>
        <w:spacing w:line="249" w:lineRule="auto" w:before="99"/>
        <w:ind w:left="478" w:right="1119" w:firstLine="86"/>
        <w:jc w:val="left"/>
        <w:rPr>
          <w:b/>
          <w:sz w:val="14"/>
        </w:rPr>
      </w:pPr>
      <w:r>
        <w:rPr/>
        <w:br w:type="column"/>
      </w:r>
      <w:r>
        <w:rPr>
          <w:b/>
          <w:w w:val="105"/>
          <w:sz w:val="14"/>
        </w:rPr>
        <w:t>Percent </w:t>
      </w:r>
      <w:r>
        <w:rPr>
          <w:b/>
          <w:sz w:val="14"/>
        </w:rPr>
        <w:t>Difference</w:t>
      </w:r>
    </w:p>
    <w:p>
      <w:pPr>
        <w:spacing w:after="0" w:line="249" w:lineRule="auto"/>
        <w:jc w:val="left"/>
        <w:rPr>
          <w:sz w:val="14"/>
        </w:rPr>
        <w:sectPr>
          <w:type w:val="continuous"/>
          <w:pgSz w:w="12240" w:h="15840"/>
          <w:pgMar w:top="1500" w:bottom="840" w:left="160" w:right="180"/>
          <w:cols w:num="4" w:equalWidth="0">
            <w:col w:w="6606" w:space="40"/>
            <w:col w:w="1402" w:space="112"/>
            <w:col w:w="1043" w:space="395"/>
            <w:col w:w="2302"/>
          </w:cols>
        </w:sectPr>
      </w:pPr>
    </w:p>
    <w:p>
      <w:pPr>
        <w:pStyle w:val="BodyText"/>
        <w:spacing w:before="8"/>
        <w:rPr>
          <w:b/>
          <w:sz w:val="9"/>
        </w:rPr>
      </w:pPr>
    </w:p>
    <w:p>
      <w:pPr>
        <w:pStyle w:val="ListParagraph"/>
        <w:numPr>
          <w:ilvl w:val="0"/>
          <w:numId w:val="26"/>
        </w:numPr>
        <w:tabs>
          <w:tab w:pos="672" w:val="left" w:leader="none"/>
        </w:tabs>
        <w:spacing w:line="240" w:lineRule="auto" w:before="99" w:after="0"/>
        <w:ind w:left="671" w:right="0" w:hanging="194"/>
        <w:jc w:val="left"/>
        <w:rPr>
          <w:b/>
          <w:sz w:val="14"/>
        </w:rPr>
      </w:pPr>
      <w:r>
        <w:rPr>
          <w:b/>
          <w:w w:val="105"/>
          <w:sz w:val="14"/>
        </w:rPr>
        <w:t>ASSETS</w:t>
      </w:r>
    </w:p>
    <w:p>
      <w:pPr>
        <w:pStyle w:val="Heading9"/>
        <w:numPr>
          <w:ilvl w:val="1"/>
          <w:numId w:val="26"/>
        </w:numPr>
        <w:tabs>
          <w:tab w:pos="809" w:val="left" w:leader="none"/>
        </w:tabs>
        <w:spacing w:line="240" w:lineRule="auto" w:before="38" w:after="0"/>
        <w:ind w:left="808" w:right="0" w:hanging="168"/>
        <w:jc w:val="left"/>
      </w:pPr>
      <w:r>
        <w:rPr>
          <w:w w:val="105"/>
        </w:rPr>
        <w:t>Cash</w:t>
      </w:r>
    </w:p>
    <w:p>
      <w:pPr>
        <w:pStyle w:val="ListParagraph"/>
        <w:numPr>
          <w:ilvl w:val="2"/>
          <w:numId w:val="26"/>
        </w:numPr>
        <w:tabs>
          <w:tab w:pos="972" w:val="left" w:leader="none"/>
          <w:tab w:pos="5983" w:val="left" w:leader="none"/>
          <w:tab w:pos="7349" w:val="left" w:leader="none"/>
        </w:tabs>
        <w:spacing w:line="240" w:lineRule="auto" w:before="36" w:after="0"/>
        <w:ind w:left="971" w:right="0" w:hanging="168"/>
        <w:jc w:val="left"/>
        <w:rPr>
          <w:sz w:val="14"/>
        </w:rPr>
      </w:pPr>
      <w:r>
        <w:rPr>
          <w:w w:val="105"/>
          <w:sz w:val="14"/>
        </w:rPr>
        <w:t>in</w:t>
      </w:r>
      <w:r>
        <w:rPr>
          <w:spacing w:val="-9"/>
          <w:w w:val="105"/>
          <w:sz w:val="14"/>
        </w:rPr>
        <w:t> </w:t>
      </w:r>
      <w:r>
        <w:rPr>
          <w:w w:val="105"/>
          <w:sz w:val="14"/>
        </w:rPr>
        <w:t>County</w:t>
      </w:r>
      <w:r>
        <w:rPr>
          <w:spacing w:val="-10"/>
          <w:w w:val="105"/>
          <w:sz w:val="14"/>
        </w:rPr>
        <w:t> </w:t>
      </w:r>
      <w:r>
        <w:rPr>
          <w:w w:val="105"/>
          <w:sz w:val="14"/>
        </w:rPr>
        <w:t>Treasury</w:t>
        <w:tab/>
        <w:t>9110</w:t>
        <w:tab/>
        <w:t>401,801.05</w:t>
      </w:r>
    </w:p>
    <w:p>
      <w:pPr>
        <w:pStyle w:val="BodyText"/>
        <w:spacing w:before="1"/>
        <w:rPr>
          <w:sz w:val="9"/>
        </w:rPr>
      </w:pPr>
    </w:p>
    <w:p>
      <w:pPr>
        <w:pStyle w:val="ListParagraph"/>
        <w:numPr>
          <w:ilvl w:val="3"/>
          <w:numId w:val="26"/>
        </w:numPr>
        <w:tabs>
          <w:tab w:pos="1095" w:val="left" w:leader="none"/>
          <w:tab w:pos="5983" w:val="left" w:leader="none"/>
          <w:tab w:pos="7786" w:val="left" w:leader="none"/>
        </w:tabs>
        <w:spacing w:line="240" w:lineRule="auto" w:before="99" w:after="0"/>
        <w:ind w:left="1094" w:right="0" w:hanging="169"/>
        <w:jc w:val="left"/>
        <w:rPr>
          <w:sz w:val="14"/>
        </w:rPr>
      </w:pPr>
      <w:r>
        <w:rPr>
          <w:w w:val="105"/>
          <w:sz w:val="14"/>
        </w:rPr>
        <w:t>Fair</w:t>
      </w:r>
      <w:r>
        <w:rPr>
          <w:spacing w:val="-10"/>
          <w:w w:val="105"/>
          <w:sz w:val="14"/>
        </w:rPr>
        <w:t> </w:t>
      </w:r>
      <w:r>
        <w:rPr>
          <w:w w:val="105"/>
          <w:sz w:val="14"/>
        </w:rPr>
        <w:t>Value</w:t>
      </w:r>
      <w:r>
        <w:rPr>
          <w:spacing w:val="-11"/>
          <w:w w:val="105"/>
          <w:sz w:val="14"/>
        </w:rPr>
        <w:t> </w:t>
      </w:r>
      <w:r>
        <w:rPr>
          <w:w w:val="105"/>
          <w:sz w:val="14"/>
        </w:rPr>
        <w:t>Adjustment</w:t>
      </w:r>
      <w:r>
        <w:rPr>
          <w:spacing w:val="-9"/>
          <w:w w:val="105"/>
          <w:sz w:val="14"/>
        </w:rPr>
        <w:t> </w:t>
      </w:r>
      <w:r>
        <w:rPr>
          <w:w w:val="105"/>
          <w:sz w:val="14"/>
        </w:rPr>
        <w:t>to</w:t>
      </w:r>
      <w:r>
        <w:rPr>
          <w:spacing w:val="-10"/>
          <w:w w:val="105"/>
          <w:sz w:val="14"/>
        </w:rPr>
        <w:t> </w:t>
      </w:r>
      <w:r>
        <w:rPr>
          <w:w w:val="105"/>
          <w:sz w:val="14"/>
        </w:rPr>
        <w:t>Cash</w:t>
      </w:r>
      <w:r>
        <w:rPr>
          <w:spacing w:val="-10"/>
          <w:w w:val="105"/>
          <w:sz w:val="14"/>
        </w:rPr>
        <w:t> </w:t>
      </w:r>
      <w:r>
        <w:rPr>
          <w:w w:val="105"/>
          <w:sz w:val="14"/>
        </w:rPr>
        <w:t>in</w:t>
      </w:r>
      <w:r>
        <w:rPr>
          <w:spacing w:val="-10"/>
          <w:w w:val="105"/>
          <w:sz w:val="14"/>
        </w:rPr>
        <w:t> </w:t>
      </w:r>
      <w:r>
        <w:rPr>
          <w:w w:val="105"/>
          <w:sz w:val="14"/>
        </w:rPr>
        <w:t>County</w:t>
      </w:r>
      <w:r>
        <w:rPr>
          <w:spacing w:val="-12"/>
          <w:w w:val="105"/>
          <w:sz w:val="14"/>
        </w:rPr>
        <w:t> </w:t>
      </w:r>
      <w:r>
        <w:rPr>
          <w:w w:val="105"/>
          <w:sz w:val="14"/>
        </w:rPr>
        <w:t>Treasury</w:t>
        <w:tab/>
        <w:t>9111</w:t>
        <w:tab/>
        <w:t>0.00</w:t>
      </w:r>
    </w:p>
    <w:p>
      <w:pPr>
        <w:pStyle w:val="BodyText"/>
        <w:spacing w:before="1"/>
        <w:rPr>
          <w:sz w:val="9"/>
        </w:rPr>
      </w:pPr>
    </w:p>
    <w:p>
      <w:pPr>
        <w:pStyle w:val="ListParagraph"/>
        <w:numPr>
          <w:ilvl w:val="2"/>
          <w:numId w:val="26"/>
        </w:numPr>
        <w:tabs>
          <w:tab w:pos="972" w:val="left" w:leader="none"/>
          <w:tab w:pos="5983" w:val="left" w:leader="none"/>
          <w:tab w:pos="7786" w:val="left" w:leader="none"/>
        </w:tabs>
        <w:spacing w:line="240" w:lineRule="auto" w:before="99" w:after="0"/>
        <w:ind w:left="971" w:right="0" w:hanging="168"/>
        <w:jc w:val="left"/>
        <w:rPr>
          <w:sz w:val="14"/>
        </w:rPr>
      </w:pPr>
      <w:r>
        <w:rPr>
          <w:w w:val="105"/>
          <w:sz w:val="14"/>
        </w:rPr>
        <w:t>in</w:t>
      </w:r>
      <w:r>
        <w:rPr>
          <w:spacing w:val="-6"/>
          <w:w w:val="105"/>
          <w:sz w:val="14"/>
        </w:rPr>
        <w:t> </w:t>
      </w:r>
      <w:r>
        <w:rPr>
          <w:w w:val="105"/>
          <w:sz w:val="14"/>
        </w:rPr>
        <w:t>Banks</w:t>
        <w:tab/>
        <w:t>9120</w:t>
        <w:tab/>
        <w:t>0.00</w:t>
      </w:r>
    </w:p>
    <w:p>
      <w:pPr>
        <w:pStyle w:val="BodyText"/>
        <w:spacing w:before="2"/>
        <w:rPr>
          <w:sz w:val="9"/>
        </w:rPr>
      </w:pPr>
    </w:p>
    <w:p>
      <w:pPr>
        <w:pStyle w:val="ListParagraph"/>
        <w:numPr>
          <w:ilvl w:val="2"/>
          <w:numId w:val="26"/>
        </w:numPr>
        <w:tabs>
          <w:tab w:pos="965" w:val="left" w:leader="none"/>
          <w:tab w:pos="5983" w:val="left" w:leader="none"/>
          <w:tab w:pos="7786" w:val="left" w:leader="none"/>
        </w:tabs>
        <w:spacing w:line="240" w:lineRule="auto" w:before="99" w:after="0"/>
        <w:ind w:left="964" w:right="0" w:hanging="161"/>
        <w:jc w:val="left"/>
        <w:rPr>
          <w:sz w:val="14"/>
        </w:rPr>
      </w:pPr>
      <w:r>
        <w:rPr>
          <w:w w:val="105"/>
          <w:sz w:val="14"/>
        </w:rPr>
        <w:t>in Revolving</w:t>
      </w:r>
      <w:r>
        <w:rPr>
          <w:spacing w:val="-20"/>
          <w:w w:val="105"/>
          <w:sz w:val="14"/>
        </w:rPr>
        <w:t> </w:t>
      </w:r>
      <w:r>
        <w:rPr>
          <w:w w:val="105"/>
          <w:sz w:val="14"/>
        </w:rPr>
        <w:t>Cash</w:t>
      </w:r>
      <w:r>
        <w:rPr>
          <w:spacing w:val="-10"/>
          <w:w w:val="105"/>
          <w:sz w:val="14"/>
        </w:rPr>
        <w:t> </w:t>
      </w:r>
      <w:r>
        <w:rPr>
          <w:w w:val="105"/>
          <w:sz w:val="14"/>
        </w:rPr>
        <w:t>Account</w:t>
        <w:tab/>
        <w:t>9130</w:t>
        <w:tab/>
        <w:t>0.00</w:t>
      </w:r>
    </w:p>
    <w:p>
      <w:pPr>
        <w:pStyle w:val="BodyText"/>
        <w:spacing w:before="1"/>
        <w:rPr>
          <w:sz w:val="9"/>
        </w:rPr>
      </w:pPr>
    </w:p>
    <w:p>
      <w:pPr>
        <w:pStyle w:val="ListParagraph"/>
        <w:numPr>
          <w:ilvl w:val="2"/>
          <w:numId w:val="26"/>
        </w:numPr>
        <w:tabs>
          <w:tab w:pos="972" w:val="left" w:leader="none"/>
          <w:tab w:pos="5983" w:val="left" w:leader="none"/>
          <w:tab w:pos="7786" w:val="left" w:leader="none"/>
        </w:tabs>
        <w:spacing w:line="240" w:lineRule="auto" w:before="99" w:after="0"/>
        <w:ind w:left="971" w:right="0" w:hanging="168"/>
        <w:jc w:val="left"/>
        <w:rPr>
          <w:sz w:val="14"/>
        </w:rPr>
      </w:pPr>
      <w:r>
        <w:rPr>
          <w:w w:val="105"/>
          <w:sz w:val="14"/>
        </w:rPr>
        <w:t>with</w:t>
      </w:r>
      <w:r>
        <w:rPr>
          <w:spacing w:val="-11"/>
          <w:w w:val="105"/>
          <w:sz w:val="14"/>
        </w:rPr>
        <w:t> </w:t>
      </w:r>
      <w:r>
        <w:rPr>
          <w:w w:val="105"/>
          <w:sz w:val="14"/>
        </w:rPr>
        <w:t>Fiscal</w:t>
      </w:r>
      <w:r>
        <w:rPr>
          <w:spacing w:val="-10"/>
          <w:w w:val="105"/>
          <w:sz w:val="14"/>
        </w:rPr>
        <w:t> </w:t>
      </w:r>
      <w:r>
        <w:rPr>
          <w:w w:val="105"/>
          <w:sz w:val="14"/>
        </w:rPr>
        <w:t>Agent/Trustee</w:t>
        <w:tab/>
        <w:t>9135</w:t>
        <w:tab/>
        <w:t>0.00</w:t>
      </w:r>
    </w:p>
    <w:p>
      <w:pPr>
        <w:pStyle w:val="BodyText"/>
        <w:spacing w:before="1"/>
        <w:rPr>
          <w:sz w:val="9"/>
        </w:rPr>
      </w:pPr>
    </w:p>
    <w:p>
      <w:pPr>
        <w:pStyle w:val="ListParagraph"/>
        <w:numPr>
          <w:ilvl w:val="2"/>
          <w:numId w:val="26"/>
        </w:numPr>
        <w:tabs>
          <w:tab w:pos="972" w:val="left" w:leader="none"/>
          <w:tab w:pos="5983" w:val="left" w:leader="none"/>
          <w:tab w:pos="7786" w:val="left" w:leader="none"/>
        </w:tabs>
        <w:spacing w:line="240" w:lineRule="auto" w:before="99" w:after="0"/>
        <w:ind w:left="971" w:right="0" w:hanging="168"/>
        <w:jc w:val="left"/>
        <w:rPr>
          <w:sz w:val="14"/>
        </w:rPr>
      </w:pPr>
      <w:r>
        <w:rPr>
          <w:w w:val="105"/>
          <w:sz w:val="14"/>
        </w:rPr>
        <w:t>Collections</w:t>
      </w:r>
      <w:r>
        <w:rPr>
          <w:spacing w:val="-14"/>
          <w:w w:val="105"/>
          <w:sz w:val="14"/>
        </w:rPr>
        <w:t> </w:t>
      </w:r>
      <w:r>
        <w:rPr>
          <w:w w:val="105"/>
          <w:sz w:val="14"/>
        </w:rPr>
        <w:t>Awaiting</w:t>
      </w:r>
      <w:r>
        <w:rPr>
          <w:spacing w:val="-14"/>
          <w:w w:val="105"/>
          <w:sz w:val="14"/>
        </w:rPr>
        <w:t> </w:t>
      </w:r>
      <w:r>
        <w:rPr>
          <w:w w:val="105"/>
          <w:sz w:val="14"/>
        </w:rPr>
        <w:t>Deposit</w:t>
        <w:tab/>
        <w:t>9140</w:t>
        <w:tab/>
        <w:t>0.00</w:t>
      </w:r>
    </w:p>
    <w:p>
      <w:pPr>
        <w:pStyle w:val="BodyText"/>
        <w:spacing w:before="2"/>
        <w:rPr>
          <w:sz w:val="9"/>
        </w:rPr>
      </w:pPr>
    </w:p>
    <w:p>
      <w:pPr>
        <w:pStyle w:val="ListParagraph"/>
        <w:numPr>
          <w:ilvl w:val="1"/>
          <w:numId w:val="26"/>
        </w:numPr>
        <w:tabs>
          <w:tab w:pos="809" w:val="left" w:leader="none"/>
          <w:tab w:pos="5983" w:val="left" w:leader="none"/>
          <w:tab w:pos="7786" w:val="left" w:leader="none"/>
        </w:tabs>
        <w:spacing w:line="240" w:lineRule="auto" w:before="99" w:after="0"/>
        <w:ind w:left="808" w:right="0" w:hanging="168"/>
        <w:jc w:val="left"/>
        <w:rPr>
          <w:sz w:val="14"/>
        </w:rPr>
      </w:pPr>
      <w:r>
        <w:rPr>
          <w:w w:val="105"/>
          <w:sz w:val="14"/>
        </w:rPr>
        <w:t>Investments</w:t>
        <w:tab/>
        <w:t>9150</w:t>
        <w:tab/>
        <w:t>0.00</w:t>
      </w:r>
    </w:p>
    <w:p>
      <w:pPr>
        <w:pStyle w:val="BodyText"/>
        <w:spacing w:before="1"/>
        <w:rPr>
          <w:sz w:val="9"/>
        </w:rPr>
      </w:pPr>
    </w:p>
    <w:p>
      <w:pPr>
        <w:pStyle w:val="ListParagraph"/>
        <w:numPr>
          <w:ilvl w:val="1"/>
          <w:numId w:val="26"/>
        </w:numPr>
        <w:tabs>
          <w:tab w:pos="809" w:val="left" w:leader="none"/>
          <w:tab w:pos="5983" w:val="left" w:leader="none"/>
          <w:tab w:pos="7786" w:val="left" w:leader="none"/>
        </w:tabs>
        <w:spacing w:line="240" w:lineRule="auto" w:before="99" w:after="0"/>
        <w:ind w:left="808" w:right="0" w:hanging="168"/>
        <w:jc w:val="left"/>
        <w:rPr>
          <w:sz w:val="14"/>
        </w:rPr>
      </w:pPr>
      <w:r>
        <w:rPr>
          <w:w w:val="105"/>
          <w:sz w:val="14"/>
        </w:rPr>
        <w:t>Accounts</w:t>
      </w:r>
      <w:r>
        <w:rPr>
          <w:spacing w:val="-12"/>
          <w:w w:val="105"/>
          <w:sz w:val="14"/>
        </w:rPr>
        <w:t> </w:t>
      </w:r>
      <w:r>
        <w:rPr>
          <w:w w:val="105"/>
          <w:sz w:val="14"/>
        </w:rPr>
        <w:t>Receivable</w:t>
        <w:tab/>
        <w:t>9200</w:t>
        <w:tab/>
        <w:t>0.00</w:t>
      </w:r>
    </w:p>
    <w:p>
      <w:pPr>
        <w:pStyle w:val="BodyText"/>
        <w:spacing w:before="1"/>
        <w:rPr>
          <w:sz w:val="9"/>
        </w:rPr>
      </w:pPr>
    </w:p>
    <w:p>
      <w:pPr>
        <w:pStyle w:val="ListParagraph"/>
        <w:numPr>
          <w:ilvl w:val="1"/>
          <w:numId w:val="26"/>
        </w:numPr>
        <w:tabs>
          <w:tab w:pos="809" w:val="left" w:leader="none"/>
          <w:tab w:pos="5983" w:val="left" w:leader="none"/>
          <w:tab w:pos="7786" w:val="left" w:leader="none"/>
        </w:tabs>
        <w:spacing w:line="240" w:lineRule="auto" w:before="99" w:after="0"/>
        <w:ind w:left="808" w:right="0" w:hanging="168"/>
        <w:jc w:val="left"/>
        <w:rPr>
          <w:sz w:val="14"/>
        </w:rPr>
      </w:pPr>
      <w:r>
        <w:rPr>
          <w:w w:val="105"/>
          <w:sz w:val="14"/>
        </w:rPr>
        <w:t>Due from</w:t>
      </w:r>
      <w:r>
        <w:rPr>
          <w:spacing w:val="-23"/>
          <w:w w:val="105"/>
          <w:sz w:val="14"/>
        </w:rPr>
        <w:t> </w:t>
      </w:r>
      <w:r>
        <w:rPr>
          <w:w w:val="105"/>
          <w:sz w:val="14"/>
        </w:rPr>
        <w:t>Grantor</w:t>
      </w:r>
      <w:r>
        <w:rPr>
          <w:spacing w:val="-11"/>
          <w:w w:val="105"/>
          <w:sz w:val="14"/>
        </w:rPr>
        <w:t> </w:t>
      </w:r>
      <w:r>
        <w:rPr>
          <w:w w:val="105"/>
          <w:sz w:val="14"/>
        </w:rPr>
        <w:t>Government</w:t>
        <w:tab/>
        <w:t>9290</w:t>
        <w:tab/>
        <w:t>0.00</w:t>
      </w:r>
    </w:p>
    <w:p>
      <w:pPr>
        <w:pStyle w:val="BodyText"/>
        <w:spacing w:before="2"/>
        <w:rPr>
          <w:sz w:val="9"/>
        </w:rPr>
      </w:pPr>
    </w:p>
    <w:p>
      <w:pPr>
        <w:pStyle w:val="ListParagraph"/>
        <w:numPr>
          <w:ilvl w:val="1"/>
          <w:numId w:val="26"/>
        </w:numPr>
        <w:tabs>
          <w:tab w:pos="809" w:val="left" w:leader="none"/>
          <w:tab w:pos="5983" w:val="left" w:leader="none"/>
          <w:tab w:pos="7786" w:val="left" w:leader="none"/>
        </w:tabs>
        <w:spacing w:line="240" w:lineRule="auto" w:before="99" w:after="0"/>
        <w:ind w:left="808" w:right="0" w:hanging="168"/>
        <w:jc w:val="left"/>
        <w:rPr>
          <w:sz w:val="14"/>
        </w:rPr>
      </w:pPr>
      <w:r>
        <w:rPr>
          <w:w w:val="105"/>
          <w:sz w:val="14"/>
        </w:rPr>
        <w:t>Due from</w:t>
      </w:r>
      <w:r>
        <w:rPr>
          <w:spacing w:val="-17"/>
          <w:w w:val="105"/>
          <w:sz w:val="14"/>
        </w:rPr>
        <w:t> </w:t>
      </w:r>
      <w:r>
        <w:rPr>
          <w:w w:val="105"/>
          <w:sz w:val="14"/>
        </w:rPr>
        <w:t>Other</w:t>
      </w:r>
      <w:r>
        <w:rPr>
          <w:spacing w:val="-8"/>
          <w:w w:val="105"/>
          <w:sz w:val="14"/>
        </w:rPr>
        <w:t> </w:t>
      </w:r>
      <w:r>
        <w:rPr>
          <w:w w:val="105"/>
          <w:sz w:val="14"/>
        </w:rPr>
        <w:t>Funds</w:t>
        <w:tab/>
        <w:t>9310</w:t>
        <w:tab/>
        <w:t>0.00</w:t>
      </w:r>
    </w:p>
    <w:p>
      <w:pPr>
        <w:pStyle w:val="BodyText"/>
        <w:spacing w:before="1"/>
        <w:rPr>
          <w:sz w:val="9"/>
        </w:rPr>
      </w:pPr>
    </w:p>
    <w:p>
      <w:pPr>
        <w:tabs>
          <w:tab w:pos="5983" w:val="left" w:leader="none"/>
          <w:tab w:pos="7786" w:val="left" w:leader="none"/>
        </w:tabs>
        <w:spacing w:before="99"/>
        <w:ind w:left="641" w:right="0" w:firstLine="0"/>
        <w:jc w:val="left"/>
        <w:rPr>
          <w:sz w:val="14"/>
        </w:rPr>
      </w:pPr>
      <w:r>
        <w:rPr>
          <w:w w:val="105"/>
          <w:sz w:val="14"/>
        </w:rPr>
        <w:t>6)</w:t>
      </w:r>
      <w:r>
        <w:rPr>
          <w:spacing w:val="-6"/>
          <w:w w:val="105"/>
          <w:sz w:val="14"/>
        </w:rPr>
        <w:t> </w:t>
      </w:r>
      <w:r>
        <w:rPr>
          <w:w w:val="105"/>
          <w:sz w:val="14"/>
        </w:rPr>
        <w:t>Stores</w:t>
        <w:tab/>
        <w:t>9320</w:t>
        <w:tab/>
        <w:t>0.00</w:t>
      </w:r>
    </w:p>
    <w:p>
      <w:pPr>
        <w:pStyle w:val="BodyText"/>
        <w:spacing w:before="1"/>
        <w:rPr>
          <w:sz w:val="9"/>
        </w:rPr>
      </w:pPr>
    </w:p>
    <w:p>
      <w:pPr>
        <w:pStyle w:val="ListParagraph"/>
        <w:numPr>
          <w:ilvl w:val="0"/>
          <w:numId w:val="29"/>
        </w:numPr>
        <w:tabs>
          <w:tab w:pos="809" w:val="left" w:leader="none"/>
          <w:tab w:pos="5983" w:val="left" w:leader="none"/>
          <w:tab w:pos="7786" w:val="left" w:leader="none"/>
        </w:tabs>
        <w:spacing w:line="240" w:lineRule="auto" w:before="99" w:after="0"/>
        <w:ind w:left="808" w:right="0" w:hanging="168"/>
        <w:jc w:val="left"/>
        <w:rPr>
          <w:sz w:val="14"/>
        </w:rPr>
      </w:pPr>
      <w:r>
        <w:rPr>
          <w:w w:val="105"/>
          <w:sz w:val="14"/>
        </w:rPr>
        <w:t>Prepaid</w:t>
      </w:r>
      <w:r>
        <w:rPr>
          <w:spacing w:val="-14"/>
          <w:w w:val="105"/>
          <w:sz w:val="14"/>
        </w:rPr>
        <w:t> </w:t>
      </w:r>
      <w:r>
        <w:rPr>
          <w:w w:val="105"/>
          <w:sz w:val="14"/>
        </w:rPr>
        <w:t>Expenditures</w:t>
        <w:tab/>
        <w:t>9330</w:t>
        <w:tab/>
        <w:t>0.00</w:t>
      </w:r>
    </w:p>
    <w:p>
      <w:pPr>
        <w:pStyle w:val="BodyText"/>
        <w:spacing w:before="2"/>
        <w:rPr>
          <w:sz w:val="9"/>
        </w:rPr>
      </w:pPr>
    </w:p>
    <w:p>
      <w:pPr>
        <w:pStyle w:val="ListParagraph"/>
        <w:numPr>
          <w:ilvl w:val="0"/>
          <w:numId w:val="29"/>
        </w:numPr>
        <w:tabs>
          <w:tab w:pos="809" w:val="left" w:leader="none"/>
          <w:tab w:pos="5983" w:val="left" w:leader="none"/>
          <w:tab w:pos="7786" w:val="left" w:leader="none"/>
        </w:tabs>
        <w:spacing w:line="240" w:lineRule="auto" w:before="99" w:after="0"/>
        <w:ind w:left="808" w:right="0" w:hanging="168"/>
        <w:jc w:val="left"/>
        <w:rPr>
          <w:sz w:val="14"/>
        </w:rPr>
      </w:pPr>
      <w:r>
        <w:rPr>
          <w:w w:val="105"/>
          <w:sz w:val="14"/>
        </w:rPr>
        <w:t>Other</w:t>
      </w:r>
      <w:r>
        <w:rPr>
          <w:spacing w:val="-9"/>
          <w:w w:val="105"/>
          <w:sz w:val="14"/>
        </w:rPr>
        <w:t> </w:t>
      </w:r>
      <w:r>
        <w:rPr>
          <w:w w:val="105"/>
          <w:sz w:val="14"/>
        </w:rPr>
        <w:t>Current</w:t>
      </w:r>
      <w:r>
        <w:rPr>
          <w:spacing w:val="-8"/>
          <w:w w:val="105"/>
          <w:sz w:val="14"/>
        </w:rPr>
        <w:t> </w:t>
      </w:r>
      <w:r>
        <w:rPr>
          <w:w w:val="105"/>
          <w:sz w:val="14"/>
        </w:rPr>
        <w:t>Assets</w:t>
        <w:tab/>
        <w:t>9340</w:t>
        <w:tab/>
        <w:t>0.00</w:t>
      </w:r>
    </w:p>
    <w:p>
      <w:pPr>
        <w:pStyle w:val="BodyText"/>
        <w:spacing w:before="1"/>
        <w:rPr>
          <w:sz w:val="10"/>
        </w:rPr>
      </w:pPr>
    </w:p>
    <w:p>
      <w:pPr>
        <w:pStyle w:val="ListParagraph"/>
        <w:numPr>
          <w:ilvl w:val="0"/>
          <w:numId w:val="29"/>
        </w:numPr>
        <w:tabs>
          <w:tab w:pos="768" w:val="left" w:leader="none"/>
          <w:tab w:pos="7349" w:val="left" w:leader="none"/>
        </w:tabs>
        <w:spacing w:line="240" w:lineRule="auto" w:before="99" w:after="0"/>
        <w:ind w:left="767" w:right="0" w:hanging="169"/>
        <w:jc w:val="left"/>
        <w:rPr>
          <w:sz w:val="14"/>
        </w:rPr>
      </w:pPr>
      <w:r>
        <w:rPr>
          <w:w w:val="105"/>
          <w:sz w:val="14"/>
        </w:rPr>
        <w:t>TOTAL,</w:t>
      </w:r>
      <w:r>
        <w:rPr>
          <w:spacing w:val="-6"/>
          <w:w w:val="105"/>
          <w:sz w:val="14"/>
        </w:rPr>
        <w:t> </w:t>
      </w:r>
      <w:r>
        <w:rPr>
          <w:w w:val="105"/>
          <w:sz w:val="14"/>
        </w:rPr>
        <w:t>ASSETS</w:t>
        <w:tab/>
        <w:t>401,801.05</w:t>
      </w:r>
    </w:p>
    <w:p>
      <w:pPr>
        <w:pStyle w:val="BodyText"/>
        <w:spacing w:before="11"/>
        <w:rPr>
          <w:sz w:val="8"/>
        </w:rPr>
      </w:pPr>
    </w:p>
    <w:p>
      <w:pPr>
        <w:pStyle w:val="ListParagraph"/>
        <w:numPr>
          <w:ilvl w:val="0"/>
          <w:numId w:val="26"/>
        </w:numPr>
        <w:tabs>
          <w:tab w:pos="663" w:val="left" w:leader="none"/>
        </w:tabs>
        <w:spacing w:line="240" w:lineRule="auto" w:before="99" w:after="0"/>
        <w:ind w:left="662" w:right="0" w:hanging="185"/>
        <w:jc w:val="left"/>
        <w:rPr>
          <w:b/>
          <w:sz w:val="14"/>
        </w:rPr>
      </w:pPr>
      <w:r>
        <w:rPr>
          <w:b/>
          <w:w w:val="105"/>
          <w:sz w:val="14"/>
        </w:rPr>
        <w:t>DEFERRED OUTFLOWS OF</w:t>
      </w:r>
      <w:r>
        <w:rPr>
          <w:b/>
          <w:spacing w:val="-2"/>
          <w:w w:val="105"/>
          <w:sz w:val="14"/>
        </w:rPr>
        <w:t> </w:t>
      </w:r>
      <w:r>
        <w:rPr>
          <w:b/>
          <w:w w:val="105"/>
          <w:sz w:val="14"/>
        </w:rPr>
        <w:t>RESOURCES</w:t>
      </w:r>
    </w:p>
    <w:p>
      <w:pPr>
        <w:pStyle w:val="BodyText"/>
        <w:spacing w:before="4"/>
        <w:rPr>
          <w:b/>
          <w:sz w:val="9"/>
        </w:rPr>
      </w:pPr>
    </w:p>
    <w:p>
      <w:pPr>
        <w:pStyle w:val="ListParagraph"/>
        <w:numPr>
          <w:ilvl w:val="1"/>
          <w:numId w:val="26"/>
        </w:numPr>
        <w:tabs>
          <w:tab w:pos="809" w:val="left" w:leader="none"/>
          <w:tab w:pos="5983" w:val="left" w:leader="none"/>
          <w:tab w:pos="7786" w:val="left" w:leader="none"/>
        </w:tabs>
        <w:spacing w:line="240" w:lineRule="auto" w:before="99" w:after="0"/>
        <w:ind w:left="808" w:right="0" w:hanging="168"/>
        <w:jc w:val="left"/>
        <w:rPr>
          <w:sz w:val="14"/>
        </w:rPr>
      </w:pPr>
      <w:r>
        <w:rPr>
          <w:w w:val="105"/>
          <w:sz w:val="14"/>
        </w:rPr>
        <w:t>Deferred Outflows</w:t>
      </w:r>
      <w:r>
        <w:rPr>
          <w:spacing w:val="-24"/>
          <w:w w:val="105"/>
          <w:sz w:val="14"/>
        </w:rPr>
        <w:t> </w:t>
      </w:r>
      <w:r>
        <w:rPr>
          <w:w w:val="105"/>
          <w:sz w:val="14"/>
        </w:rPr>
        <w:t>of</w:t>
      </w:r>
      <w:r>
        <w:rPr>
          <w:spacing w:val="-10"/>
          <w:w w:val="105"/>
          <w:sz w:val="14"/>
        </w:rPr>
        <w:t> </w:t>
      </w:r>
      <w:r>
        <w:rPr>
          <w:w w:val="105"/>
          <w:sz w:val="14"/>
        </w:rPr>
        <w:t>Resources</w:t>
        <w:tab/>
        <w:t>9490</w:t>
        <w:tab/>
        <w:t>0.00</w:t>
      </w:r>
    </w:p>
    <w:p>
      <w:pPr>
        <w:pStyle w:val="BodyText"/>
        <w:spacing w:before="1"/>
        <w:rPr>
          <w:sz w:val="9"/>
        </w:rPr>
      </w:pPr>
    </w:p>
    <w:p>
      <w:pPr>
        <w:pStyle w:val="ListParagraph"/>
        <w:numPr>
          <w:ilvl w:val="1"/>
          <w:numId w:val="26"/>
        </w:numPr>
        <w:tabs>
          <w:tab w:pos="809" w:val="left" w:leader="none"/>
          <w:tab w:pos="7786" w:val="left" w:leader="none"/>
        </w:tabs>
        <w:spacing w:line="240" w:lineRule="auto" w:before="99" w:after="0"/>
        <w:ind w:left="808" w:right="0" w:hanging="168"/>
        <w:jc w:val="left"/>
        <w:rPr>
          <w:sz w:val="14"/>
        </w:rPr>
      </w:pPr>
      <w:r>
        <w:rPr>
          <w:w w:val="105"/>
          <w:sz w:val="14"/>
        </w:rPr>
        <w:t>TOTAL,</w:t>
      </w:r>
      <w:r>
        <w:rPr>
          <w:spacing w:val="-9"/>
          <w:w w:val="105"/>
          <w:sz w:val="14"/>
        </w:rPr>
        <w:t> </w:t>
      </w:r>
      <w:r>
        <w:rPr>
          <w:w w:val="105"/>
          <w:sz w:val="14"/>
        </w:rPr>
        <w:t>DEFERRED</w:t>
      </w:r>
      <w:r>
        <w:rPr>
          <w:spacing w:val="-8"/>
          <w:w w:val="105"/>
          <w:sz w:val="14"/>
        </w:rPr>
        <w:t> </w:t>
      </w:r>
      <w:r>
        <w:rPr>
          <w:w w:val="105"/>
          <w:sz w:val="14"/>
        </w:rPr>
        <w:t>OUTFLOWS</w:t>
        <w:tab/>
        <w:t>0.00</w:t>
      </w:r>
    </w:p>
    <w:p>
      <w:pPr>
        <w:pStyle w:val="BodyText"/>
        <w:spacing w:before="11"/>
        <w:rPr>
          <w:sz w:val="9"/>
        </w:rPr>
      </w:pPr>
    </w:p>
    <w:p>
      <w:pPr>
        <w:pStyle w:val="ListParagraph"/>
        <w:numPr>
          <w:ilvl w:val="0"/>
          <w:numId w:val="26"/>
        </w:numPr>
        <w:tabs>
          <w:tab w:pos="600" w:val="left" w:leader="none"/>
        </w:tabs>
        <w:spacing w:line="240" w:lineRule="auto" w:before="99" w:after="0"/>
        <w:ind w:left="599" w:right="0" w:hanging="122"/>
        <w:jc w:val="left"/>
        <w:rPr>
          <w:b/>
          <w:sz w:val="14"/>
        </w:rPr>
      </w:pPr>
      <w:r>
        <w:rPr>
          <w:b/>
          <w:w w:val="105"/>
          <w:sz w:val="14"/>
        </w:rPr>
        <w:t>LIABILITIES</w:t>
      </w:r>
    </w:p>
    <w:p>
      <w:pPr>
        <w:pStyle w:val="BodyText"/>
        <w:rPr>
          <w:b/>
          <w:sz w:val="18"/>
        </w:rPr>
      </w:pPr>
    </w:p>
    <w:tbl>
      <w:tblPr>
        <w:tblW w:w="0" w:type="auto"/>
        <w:jc w:val="left"/>
        <w:tblInd w:w="5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72"/>
        <w:gridCol w:w="2305"/>
        <w:gridCol w:w="1512"/>
      </w:tblGrid>
      <w:tr>
        <w:trPr>
          <w:trHeight w:val="163" w:hRule="atLeast"/>
        </w:trPr>
        <w:tc>
          <w:tcPr>
            <w:tcW w:w="3772" w:type="dxa"/>
          </w:tcPr>
          <w:p>
            <w:pPr>
              <w:pStyle w:val="TableParagraph"/>
              <w:spacing w:line="144" w:lineRule="exact"/>
              <w:ind w:left="91"/>
              <w:rPr>
                <w:sz w:val="14"/>
              </w:rPr>
            </w:pPr>
            <w:r>
              <w:rPr>
                <w:w w:val="105"/>
                <w:sz w:val="14"/>
              </w:rPr>
              <w:t>1) Accounts Payable</w:t>
            </w:r>
          </w:p>
        </w:tc>
        <w:tc>
          <w:tcPr>
            <w:tcW w:w="2305" w:type="dxa"/>
          </w:tcPr>
          <w:p>
            <w:pPr>
              <w:pStyle w:val="TableParagraph"/>
              <w:spacing w:line="144" w:lineRule="exact"/>
              <w:ind w:right="323"/>
              <w:jc w:val="right"/>
              <w:rPr>
                <w:sz w:val="14"/>
              </w:rPr>
            </w:pPr>
            <w:r>
              <w:rPr>
                <w:sz w:val="14"/>
              </w:rPr>
              <w:t>9500</w:t>
            </w:r>
          </w:p>
        </w:tc>
        <w:tc>
          <w:tcPr>
            <w:tcW w:w="1512" w:type="dxa"/>
          </w:tcPr>
          <w:p>
            <w:pPr>
              <w:pStyle w:val="TableParagraph"/>
              <w:spacing w:line="144" w:lineRule="exact"/>
              <w:ind w:right="71"/>
              <w:jc w:val="right"/>
              <w:rPr>
                <w:sz w:val="14"/>
              </w:rPr>
            </w:pPr>
            <w:r>
              <w:rPr>
                <w:sz w:val="14"/>
              </w:rPr>
              <w:t>0.00</w:t>
            </w:r>
          </w:p>
        </w:tc>
      </w:tr>
      <w:tr>
        <w:trPr>
          <w:trHeight w:val="364" w:hRule="atLeast"/>
        </w:trPr>
        <w:tc>
          <w:tcPr>
            <w:tcW w:w="3772" w:type="dxa"/>
          </w:tcPr>
          <w:p>
            <w:pPr>
              <w:pStyle w:val="TableParagraph"/>
              <w:spacing w:before="4"/>
              <w:rPr>
                <w:b/>
                <w:sz w:val="17"/>
              </w:rPr>
            </w:pPr>
          </w:p>
          <w:p>
            <w:pPr>
              <w:pStyle w:val="TableParagraph"/>
              <w:spacing w:line="145" w:lineRule="exact"/>
              <w:ind w:left="91"/>
              <w:rPr>
                <w:sz w:val="14"/>
              </w:rPr>
            </w:pPr>
            <w:r>
              <w:rPr>
                <w:w w:val="105"/>
                <w:sz w:val="14"/>
              </w:rPr>
              <w:t>2) Due to Grantor Governments</w:t>
            </w:r>
          </w:p>
        </w:tc>
        <w:tc>
          <w:tcPr>
            <w:tcW w:w="2305" w:type="dxa"/>
          </w:tcPr>
          <w:p>
            <w:pPr>
              <w:pStyle w:val="TableParagraph"/>
              <w:spacing w:before="4"/>
              <w:rPr>
                <w:b/>
                <w:sz w:val="17"/>
              </w:rPr>
            </w:pPr>
          </w:p>
          <w:p>
            <w:pPr>
              <w:pStyle w:val="TableParagraph"/>
              <w:spacing w:line="145" w:lineRule="exact"/>
              <w:ind w:right="323"/>
              <w:jc w:val="right"/>
              <w:rPr>
                <w:sz w:val="14"/>
              </w:rPr>
            </w:pPr>
            <w:r>
              <w:rPr>
                <w:sz w:val="14"/>
              </w:rPr>
              <w:t>9590</w:t>
            </w:r>
          </w:p>
        </w:tc>
        <w:tc>
          <w:tcPr>
            <w:tcW w:w="1512" w:type="dxa"/>
            <w:shd w:val="clear" w:color="auto" w:fill="DFDFDF"/>
          </w:tcPr>
          <w:p>
            <w:pPr>
              <w:pStyle w:val="TableParagraph"/>
              <w:spacing w:before="4"/>
              <w:rPr>
                <w:b/>
                <w:sz w:val="17"/>
              </w:rPr>
            </w:pPr>
          </w:p>
          <w:p>
            <w:pPr>
              <w:pStyle w:val="TableParagraph"/>
              <w:spacing w:line="145" w:lineRule="exact"/>
              <w:ind w:right="71"/>
              <w:jc w:val="right"/>
              <w:rPr>
                <w:sz w:val="14"/>
              </w:rPr>
            </w:pPr>
            <w:r>
              <w:rPr>
                <w:sz w:val="14"/>
              </w:rPr>
              <w:t>0.00</w:t>
            </w:r>
          </w:p>
        </w:tc>
      </w:tr>
      <w:tr>
        <w:trPr>
          <w:trHeight w:val="364" w:hRule="atLeast"/>
        </w:trPr>
        <w:tc>
          <w:tcPr>
            <w:tcW w:w="3772" w:type="dxa"/>
          </w:tcPr>
          <w:p>
            <w:pPr>
              <w:pStyle w:val="TableParagraph"/>
              <w:spacing w:before="4"/>
              <w:rPr>
                <w:b/>
                <w:sz w:val="17"/>
              </w:rPr>
            </w:pPr>
          </w:p>
          <w:p>
            <w:pPr>
              <w:pStyle w:val="TableParagraph"/>
              <w:spacing w:line="145" w:lineRule="exact"/>
              <w:ind w:left="91"/>
              <w:rPr>
                <w:sz w:val="14"/>
              </w:rPr>
            </w:pPr>
            <w:r>
              <w:rPr>
                <w:w w:val="105"/>
                <w:sz w:val="14"/>
              </w:rPr>
              <w:t>3) Due to Other Funds</w:t>
            </w:r>
          </w:p>
        </w:tc>
        <w:tc>
          <w:tcPr>
            <w:tcW w:w="2305" w:type="dxa"/>
          </w:tcPr>
          <w:p>
            <w:pPr>
              <w:pStyle w:val="TableParagraph"/>
              <w:spacing w:before="4"/>
              <w:rPr>
                <w:b/>
                <w:sz w:val="17"/>
              </w:rPr>
            </w:pPr>
          </w:p>
          <w:p>
            <w:pPr>
              <w:pStyle w:val="TableParagraph"/>
              <w:spacing w:line="145" w:lineRule="exact"/>
              <w:ind w:right="323"/>
              <w:jc w:val="right"/>
              <w:rPr>
                <w:sz w:val="14"/>
              </w:rPr>
            </w:pPr>
            <w:r>
              <w:rPr>
                <w:sz w:val="14"/>
              </w:rPr>
              <w:t>9610</w:t>
            </w:r>
          </w:p>
        </w:tc>
        <w:tc>
          <w:tcPr>
            <w:tcW w:w="1512" w:type="dxa"/>
          </w:tcPr>
          <w:p>
            <w:pPr>
              <w:pStyle w:val="TableParagraph"/>
              <w:spacing w:before="4"/>
              <w:rPr>
                <w:b/>
                <w:sz w:val="17"/>
              </w:rPr>
            </w:pPr>
          </w:p>
          <w:p>
            <w:pPr>
              <w:pStyle w:val="TableParagraph"/>
              <w:spacing w:line="145" w:lineRule="exact"/>
              <w:ind w:right="71"/>
              <w:jc w:val="right"/>
              <w:rPr>
                <w:sz w:val="14"/>
              </w:rPr>
            </w:pPr>
            <w:r>
              <w:rPr>
                <w:sz w:val="14"/>
              </w:rPr>
              <w:t>0.00</w:t>
            </w:r>
          </w:p>
        </w:tc>
      </w:tr>
      <w:tr>
        <w:trPr>
          <w:trHeight w:val="364" w:hRule="atLeast"/>
        </w:trPr>
        <w:tc>
          <w:tcPr>
            <w:tcW w:w="3772" w:type="dxa"/>
          </w:tcPr>
          <w:p>
            <w:pPr>
              <w:pStyle w:val="TableParagraph"/>
              <w:spacing w:before="4"/>
              <w:rPr>
                <w:b/>
                <w:sz w:val="17"/>
              </w:rPr>
            </w:pPr>
          </w:p>
          <w:p>
            <w:pPr>
              <w:pStyle w:val="TableParagraph"/>
              <w:spacing w:line="145" w:lineRule="exact"/>
              <w:ind w:left="91"/>
              <w:rPr>
                <w:sz w:val="14"/>
              </w:rPr>
            </w:pPr>
            <w:r>
              <w:rPr>
                <w:w w:val="105"/>
                <w:sz w:val="14"/>
              </w:rPr>
              <w:t>4) Current Loans</w:t>
            </w:r>
          </w:p>
        </w:tc>
        <w:tc>
          <w:tcPr>
            <w:tcW w:w="2305" w:type="dxa"/>
          </w:tcPr>
          <w:p>
            <w:pPr>
              <w:pStyle w:val="TableParagraph"/>
              <w:spacing w:before="4"/>
              <w:rPr>
                <w:b/>
                <w:sz w:val="17"/>
              </w:rPr>
            </w:pPr>
          </w:p>
          <w:p>
            <w:pPr>
              <w:pStyle w:val="TableParagraph"/>
              <w:spacing w:line="145" w:lineRule="exact"/>
              <w:ind w:right="323"/>
              <w:jc w:val="right"/>
              <w:rPr>
                <w:sz w:val="14"/>
              </w:rPr>
            </w:pPr>
            <w:r>
              <w:rPr>
                <w:sz w:val="14"/>
              </w:rPr>
              <w:t>9640</w:t>
            </w:r>
          </w:p>
        </w:tc>
        <w:tc>
          <w:tcPr>
            <w:tcW w:w="1512" w:type="dxa"/>
            <w:shd w:val="clear" w:color="auto" w:fill="DFDFDF"/>
          </w:tcPr>
          <w:p>
            <w:pPr>
              <w:pStyle w:val="TableParagraph"/>
              <w:rPr>
                <w:rFonts w:ascii="Times New Roman"/>
                <w:sz w:val="14"/>
              </w:rPr>
            </w:pPr>
          </w:p>
        </w:tc>
      </w:tr>
      <w:tr>
        <w:trPr>
          <w:trHeight w:val="463" w:hRule="atLeast"/>
        </w:trPr>
        <w:tc>
          <w:tcPr>
            <w:tcW w:w="3772" w:type="dxa"/>
          </w:tcPr>
          <w:p>
            <w:pPr>
              <w:pStyle w:val="TableParagraph"/>
              <w:spacing w:before="4"/>
              <w:rPr>
                <w:b/>
                <w:sz w:val="17"/>
              </w:rPr>
            </w:pPr>
          </w:p>
          <w:p>
            <w:pPr>
              <w:pStyle w:val="TableParagraph"/>
              <w:ind w:left="91"/>
              <w:rPr>
                <w:sz w:val="14"/>
              </w:rPr>
            </w:pPr>
            <w:r>
              <w:rPr>
                <w:w w:val="105"/>
                <w:sz w:val="14"/>
              </w:rPr>
              <w:t>5) Unearned Revenue</w:t>
            </w:r>
          </w:p>
        </w:tc>
        <w:tc>
          <w:tcPr>
            <w:tcW w:w="2305" w:type="dxa"/>
          </w:tcPr>
          <w:p>
            <w:pPr>
              <w:pStyle w:val="TableParagraph"/>
              <w:spacing w:before="4"/>
              <w:rPr>
                <w:b/>
                <w:sz w:val="17"/>
              </w:rPr>
            </w:pPr>
          </w:p>
          <w:p>
            <w:pPr>
              <w:pStyle w:val="TableParagraph"/>
              <w:ind w:right="323"/>
              <w:jc w:val="right"/>
              <w:rPr>
                <w:sz w:val="14"/>
              </w:rPr>
            </w:pPr>
            <w:r>
              <w:rPr>
                <w:sz w:val="14"/>
              </w:rPr>
              <w:t>9650</w:t>
            </w:r>
          </w:p>
        </w:tc>
        <w:tc>
          <w:tcPr>
            <w:tcW w:w="1512" w:type="dxa"/>
          </w:tcPr>
          <w:p>
            <w:pPr>
              <w:pStyle w:val="TableParagraph"/>
              <w:spacing w:before="4"/>
              <w:rPr>
                <w:b/>
                <w:sz w:val="17"/>
              </w:rPr>
            </w:pPr>
          </w:p>
          <w:p>
            <w:pPr>
              <w:pStyle w:val="TableParagraph"/>
              <w:ind w:right="71"/>
              <w:jc w:val="right"/>
              <w:rPr>
                <w:sz w:val="14"/>
              </w:rPr>
            </w:pPr>
            <w:r>
              <w:rPr>
                <w:sz w:val="14"/>
              </w:rPr>
              <w:t>0.00</w:t>
            </w:r>
          </w:p>
        </w:tc>
      </w:tr>
      <w:tr>
        <w:trPr>
          <w:trHeight w:val="262" w:hRule="atLeast"/>
        </w:trPr>
        <w:tc>
          <w:tcPr>
            <w:tcW w:w="3772" w:type="dxa"/>
          </w:tcPr>
          <w:p>
            <w:pPr>
              <w:pStyle w:val="TableParagraph"/>
              <w:spacing w:line="142" w:lineRule="exact" w:before="101"/>
              <w:ind w:left="50"/>
              <w:rPr>
                <w:sz w:val="14"/>
              </w:rPr>
            </w:pPr>
            <w:r>
              <w:rPr>
                <w:w w:val="105"/>
                <w:sz w:val="14"/>
              </w:rPr>
              <w:t>6) TOTAL, LIABILITIES</w:t>
            </w:r>
          </w:p>
        </w:tc>
        <w:tc>
          <w:tcPr>
            <w:tcW w:w="2305" w:type="dxa"/>
          </w:tcPr>
          <w:p>
            <w:pPr>
              <w:pStyle w:val="TableParagraph"/>
              <w:rPr>
                <w:rFonts w:ascii="Times New Roman"/>
                <w:sz w:val="14"/>
              </w:rPr>
            </w:pPr>
          </w:p>
        </w:tc>
        <w:tc>
          <w:tcPr>
            <w:tcW w:w="1512" w:type="dxa"/>
          </w:tcPr>
          <w:p>
            <w:pPr>
              <w:pStyle w:val="TableParagraph"/>
              <w:spacing w:line="142" w:lineRule="exact" w:before="101"/>
              <w:ind w:right="71"/>
              <w:jc w:val="right"/>
              <w:rPr>
                <w:sz w:val="14"/>
              </w:rPr>
            </w:pPr>
            <w:r>
              <w:rPr>
                <w:sz w:val="14"/>
              </w:rPr>
              <w:t>0.00</w:t>
            </w:r>
          </w:p>
        </w:tc>
      </w:tr>
    </w:tbl>
    <w:p>
      <w:pPr>
        <w:pStyle w:val="BodyText"/>
        <w:spacing w:before="2"/>
        <w:rPr>
          <w:b/>
          <w:sz w:val="17"/>
        </w:rPr>
      </w:pPr>
    </w:p>
    <w:p>
      <w:pPr>
        <w:pStyle w:val="ListParagraph"/>
        <w:numPr>
          <w:ilvl w:val="0"/>
          <w:numId w:val="26"/>
        </w:numPr>
        <w:tabs>
          <w:tab w:pos="640" w:val="left" w:leader="none"/>
        </w:tabs>
        <w:spacing w:line="240" w:lineRule="auto" w:before="0" w:after="0"/>
        <w:ind w:left="639" w:right="0" w:hanging="162"/>
        <w:jc w:val="left"/>
        <w:rPr>
          <w:b/>
          <w:sz w:val="14"/>
        </w:rPr>
      </w:pPr>
      <w:r>
        <w:rPr>
          <w:b/>
          <w:w w:val="105"/>
          <w:sz w:val="14"/>
        </w:rPr>
        <w:t>DEFERRED INFLOWS OF</w:t>
      </w:r>
      <w:r>
        <w:rPr>
          <w:b/>
          <w:spacing w:val="-3"/>
          <w:w w:val="105"/>
          <w:sz w:val="14"/>
        </w:rPr>
        <w:t> </w:t>
      </w:r>
      <w:r>
        <w:rPr>
          <w:b/>
          <w:w w:val="105"/>
          <w:sz w:val="14"/>
        </w:rPr>
        <w:t>RESOURCES</w:t>
      </w:r>
    </w:p>
    <w:p>
      <w:pPr>
        <w:pStyle w:val="BodyText"/>
        <w:spacing w:before="4"/>
        <w:rPr>
          <w:b/>
          <w:sz w:val="9"/>
        </w:rPr>
      </w:pPr>
    </w:p>
    <w:p>
      <w:pPr>
        <w:pStyle w:val="ListParagraph"/>
        <w:numPr>
          <w:ilvl w:val="1"/>
          <w:numId w:val="26"/>
        </w:numPr>
        <w:tabs>
          <w:tab w:pos="809" w:val="left" w:leader="none"/>
          <w:tab w:pos="5983" w:val="left" w:leader="none"/>
          <w:tab w:pos="7786" w:val="left" w:leader="none"/>
        </w:tabs>
        <w:spacing w:line="240" w:lineRule="auto" w:before="99" w:after="0"/>
        <w:ind w:left="808" w:right="0" w:hanging="168"/>
        <w:jc w:val="left"/>
        <w:rPr>
          <w:sz w:val="14"/>
        </w:rPr>
      </w:pPr>
      <w:r>
        <w:rPr>
          <w:w w:val="105"/>
          <w:sz w:val="14"/>
        </w:rPr>
        <w:t>Deferred Inflows</w:t>
      </w:r>
      <w:r>
        <w:rPr>
          <w:spacing w:val="-24"/>
          <w:w w:val="105"/>
          <w:sz w:val="14"/>
        </w:rPr>
        <w:t> </w:t>
      </w:r>
      <w:r>
        <w:rPr>
          <w:w w:val="105"/>
          <w:sz w:val="14"/>
        </w:rPr>
        <w:t>of</w:t>
      </w:r>
      <w:r>
        <w:rPr>
          <w:spacing w:val="-11"/>
          <w:w w:val="105"/>
          <w:sz w:val="14"/>
        </w:rPr>
        <w:t> </w:t>
      </w:r>
      <w:r>
        <w:rPr>
          <w:w w:val="105"/>
          <w:sz w:val="14"/>
        </w:rPr>
        <w:t>Resources</w:t>
        <w:tab/>
        <w:t>9690</w:t>
        <w:tab/>
        <w:t>0.00</w:t>
      </w:r>
    </w:p>
    <w:p>
      <w:pPr>
        <w:pStyle w:val="BodyText"/>
        <w:spacing w:before="2"/>
        <w:rPr>
          <w:sz w:val="9"/>
        </w:rPr>
      </w:pPr>
    </w:p>
    <w:p>
      <w:pPr>
        <w:pStyle w:val="ListParagraph"/>
        <w:numPr>
          <w:ilvl w:val="1"/>
          <w:numId w:val="26"/>
        </w:numPr>
        <w:tabs>
          <w:tab w:pos="809" w:val="left" w:leader="none"/>
          <w:tab w:pos="7786" w:val="left" w:leader="none"/>
        </w:tabs>
        <w:spacing w:line="240" w:lineRule="auto" w:before="98" w:after="0"/>
        <w:ind w:left="808" w:right="0" w:hanging="168"/>
        <w:jc w:val="left"/>
        <w:rPr>
          <w:sz w:val="14"/>
        </w:rPr>
      </w:pPr>
      <w:r>
        <w:rPr>
          <w:w w:val="105"/>
          <w:sz w:val="14"/>
        </w:rPr>
        <w:t>TOTAL,</w:t>
      </w:r>
      <w:r>
        <w:rPr>
          <w:spacing w:val="-9"/>
          <w:w w:val="105"/>
          <w:sz w:val="14"/>
        </w:rPr>
        <w:t> </w:t>
      </w:r>
      <w:r>
        <w:rPr>
          <w:w w:val="105"/>
          <w:sz w:val="14"/>
        </w:rPr>
        <w:t>DEFERRED</w:t>
      </w:r>
      <w:r>
        <w:rPr>
          <w:spacing w:val="-10"/>
          <w:w w:val="105"/>
          <w:sz w:val="14"/>
        </w:rPr>
        <w:t> </w:t>
      </w:r>
      <w:r>
        <w:rPr>
          <w:w w:val="105"/>
          <w:sz w:val="14"/>
        </w:rPr>
        <w:t>INFLOWS</w:t>
        <w:tab/>
        <w:t>0.00</w:t>
      </w:r>
    </w:p>
    <w:p>
      <w:pPr>
        <w:pStyle w:val="BodyText"/>
        <w:rPr>
          <w:sz w:val="10"/>
        </w:rPr>
      </w:pPr>
    </w:p>
    <w:p>
      <w:pPr>
        <w:pStyle w:val="ListParagraph"/>
        <w:numPr>
          <w:ilvl w:val="0"/>
          <w:numId w:val="26"/>
        </w:numPr>
        <w:tabs>
          <w:tab w:pos="663" w:val="left" w:leader="none"/>
        </w:tabs>
        <w:spacing w:line="240" w:lineRule="auto" w:before="99" w:after="0"/>
        <w:ind w:left="662" w:right="0" w:hanging="185"/>
        <w:jc w:val="left"/>
        <w:rPr>
          <w:b/>
          <w:sz w:val="14"/>
        </w:rPr>
      </w:pPr>
      <w:r>
        <w:rPr>
          <w:b/>
          <w:w w:val="105"/>
          <w:sz w:val="14"/>
        </w:rPr>
        <w:t>FUND</w:t>
      </w:r>
      <w:r>
        <w:rPr>
          <w:b/>
          <w:spacing w:val="-4"/>
          <w:w w:val="105"/>
          <w:sz w:val="14"/>
        </w:rPr>
        <w:t> </w:t>
      </w:r>
      <w:r>
        <w:rPr>
          <w:b/>
          <w:w w:val="105"/>
          <w:sz w:val="14"/>
        </w:rPr>
        <w:t>EQUITY</w:t>
      </w:r>
    </w:p>
    <w:p>
      <w:pPr>
        <w:pStyle w:val="BodyText"/>
        <w:spacing w:before="4"/>
        <w:rPr>
          <w:b/>
          <w:sz w:val="10"/>
        </w:rPr>
      </w:pPr>
    </w:p>
    <w:p>
      <w:pPr>
        <w:spacing w:before="99"/>
        <w:ind w:left="641" w:right="0" w:firstLine="0"/>
        <w:jc w:val="left"/>
        <w:rPr>
          <w:sz w:val="14"/>
        </w:rPr>
      </w:pPr>
      <w:r>
        <w:rPr>
          <w:w w:val="105"/>
          <w:sz w:val="14"/>
        </w:rPr>
        <w:t>Ending Fund Balance, June 30</w:t>
      </w:r>
    </w:p>
    <w:p>
      <w:pPr>
        <w:tabs>
          <w:tab w:pos="7349" w:val="left" w:leader="none"/>
        </w:tabs>
        <w:spacing w:before="36"/>
        <w:ind w:left="641" w:right="0" w:firstLine="0"/>
        <w:jc w:val="left"/>
        <w:rPr>
          <w:sz w:val="14"/>
        </w:rPr>
      </w:pPr>
      <w:r>
        <w:rPr>
          <w:w w:val="105"/>
          <w:sz w:val="14"/>
        </w:rPr>
        <w:t>(G9 + H2) - (I6</w:t>
      </w:r>
      <w:r>
        <w:rPr>
          <w:spacing w:val="-21"/>
          <w:w w:val="105"/>
          <w:sz w:val="14"/>
        </w:rPr>
        <w:t> </w:t>
      </w:r>
      <w:r>
        <w:rPr>
          <w:w w:val="105"/>
          <w:sz w:val="14"/>
        </w:rPr>
        <w:t>+</w:t>
      </w:r>
      <w:r>
        <w:rPr>
          <w:spacing w:val="-4"/>
          <w:w w:val="105"/>
          <w:sz w:val="14"/>
        </w:rPr>
        <w:t> </w:t>
      </w:r>
      <w:r>
        <w:rPr>
          <w:w w:val="105"/>
          <w:sz w:val="14"/>
        </w:rPr>
        <w:t>J2)</w:t>
        <w:tab/>
        <w:t>401,801.05</w:t>
      </w:r>
    </w:p>
    <w:p>
      <w:pPr>
        <w:spacing w:after="0"/>
        <w:jc w:val="left"/>
        <w:rPr>
          <w:sz w:val="14"/>
        </w:rPr>
        <w:sectPr>
          <w:type w:val="continuous"/>
          <w:pgSz w:w="12240" w:h="15840"/>
          <w:pgMar w:top="1500" w:bottom="840" w:left="160" w:right="180"/>
        </w:sectPr>
      </w:pPr>
    </w:p>
    <w:p>
      <w:pPr>
        <w:pStyle w:val="BodyText"/>
        <w:rPr>
          <w:sz w:val="20"/>
        </w:rPr>
      </w:pPr>
      <w:r>
        <w:rPr/>
        <w:pict>
          <v:group style="position:absolute;margin-left:30.120001pt;margin-top:78.959999pt;width:538pt;height:158.2pt;mso-position-horizontal-relative:page;mso-position-vertical-relative:page;z-index:-314343424" coordorigin="602,1579" coordsize="10760,3164">
            <v:shape style="position:absolute;left:602;top:1579;width:3646;height:790" type="#_x0000_t75" stroked="false">
              <v:imagedata r:id="rId406" o:title=""/>
            </v:shape>
            <v:shape style="position:absolute;left:602;top:1579;width:10760;height:1114" type="#_x0000_t75" stroked="false">
              <v:imagedata r:id="rId794" o:title=""/>
            </v:shape>
            <v:line style="position:absolute" from="1412,2359" to="1412,2688" stroked="true" strokeweight=".360003pt" strokecolor="#ffffff">
              <v:stroke dashstyle="solid"/>
            </v:line>
            <v:shape style="position:absolute;left:4240;top:2354;width:7121;height:1282" type="#_x0000_t75" stroked="false">
              <v:imagedata r:id="rId795" o:title=""/>
            </v:shape>
            <v:shape style="position:absolute;left:602;top:2690;width:3646;height:2052" type="#_x0000_t75" stroked="false">
              <v:imagedata r:id="rId796" o:title=""/>
            </v:shape>
            <v:shape style="position:absolute;left:638;top:2193;width:811;height:161" type="#_x0000_t202" filled="false" stroked="false">
              <v:textbox inset="0,0,0,0">
                <w:txbxContent>
                  <w:p>
                    <w:pPr>
                      <w:spacing w:line="160" w:lineRule="exact" w:before="0"/>
                      <w:ind w:left="0" w:right="0" w:firstLine="0"/>
                      <w:jc w:val="left"/>
                      <w:rPr>
                        <w:b/>
                        <w:sz w:val="14"/>
                      </w:rPr>
                    </w:pPr>
                    <w:r>
                      <w:rPr>
                        <w:b/>
                        <w:sz w:val="14"/>
                      </w:rPr>
                      <w:t>Description</w:t>
                    </w:r>
                  </w:p>
                </w:txbxContent>
              </v:textbox>
              <w10:wrap type="none"/>
            </v:shape>
            <v:shape style="position:absolute;left:4466;top:2025;width:3722;height:329" type="#_x0000_t202" filled="false" stroked="false">
              <v:textbox inset="0,0,0,0">
                <w:txbxContent>
                  <w:p>
                    <w:pPr>
                      <w:spacing w:line="160" w:lineRule="exact" w:before="0"/>
                      <w:ind w:left="2820" w:right="0" w:firstLine="0"/>
                      <w:jc w:val="left"/>
                      <w:rPr>
                        <w:b/>
                        <w:sz w:val="14"/>
                      </w:rPr>
                    </w:pPr>
                    <w:r>
                      <w:rPr>
                        <w:b/>
                        <w:w w:val="105"/>
                        <w:sz w:val="14"/>
                      </w:rPr>
                      <w:t>2020-21</w:t>
                    </w:r>
                  </w:p>
                  <w:p>
                    <w:pPr>
                      <w:tabs>
                        <w:tab w:pos="1372" w:val="left" w:leader="none"/>
                      </w:tabs>
                      <w:spacing w:before="7"/>
                      <w:ind w:left="0" w:right="0" w:firstLine="0"/>
                      <w:jc w:val="left"/>
                      <w:rPr>
                        <w:b/>
                        <w:sz w:val="14"/>
                      </w:rPr>
                    </w:pPr>
                    <w:r>
                      <w:rPr>
                        <w:b/>
                        <w:w w:val="105"/>
                        <w:sz w:val="14"/>
                      </w:rPr>
                      <w:t>Resource</w:t>
                    </w:r>
                    <w:r>
                      <w:rPr>
                        <w:b/>
                        <w:spacing w:val="-12"/>
                        <w:w w:val="105"/>
                        <w:sz w:val="14"/>
                      </w:rPr>
                      <w:t> </w:t>
                    </w:r>
                    <w:r>
                      <w:rPr>
                        <w:b/>
                        <w:w w:val="105"/>
                        <w:sz w:val="14"/>
                      </w:rPr>
                      <w:t>Codes</w:t>
                      <w:tab/>
                      <w:t>Object Codes Estimated</w:t>
                    </w:r>
                    <w:r>
                      <w:rPr>
                        <w:b/>
                        <w:spacing w:val="-15"/>
                        <w:w w:val="105"/>
                        <w:sz w:val="14"/>
                      </w:rPr>
                      <w:t> </w:t>
                    </w:r>
                    <w:r>
                      <w:rPr>
                        <w:b/>
                        <w:w w:val="105"/>
                        <w:sz w:val="14"/>
                      </w:rPr>
                      <w:t>Actuals</w:t>
                    </w:r>
                  </w:p>
                </w:txbxContent>
              </v:textbox>
              <w10:wrap type="none"/>
            </v:shape>
            <v:shape style="position:absolute;left:8798;top:2025;width:545;height:329" type="#_x0000_t202" filled="false" stroked="false">
              <v:textbox inset="0,0,0,0">
                <w:txbxContent>
                  <w:p>
                    <w:pPr>
                      <w:spacing w:line="160" w:lineRule="exact" w:before="0"/>
                      <w:ind w:left="0" w:right="0" w:firstLine="0"/>
                      <w:jc w:val="left"/>
                      <w:rPr>
                        <w:b/>
                        <w:sz w:val="14"/>
                      </w:rPr>
                    </w:pPr>
                    <w:r>
                      <w:rPr>
                        <w:b/>
                        <w:sz w:val="14"/>
                      </w:rPr>
                      <w:t>2021-22</w:t>
                    </w:r>
                  </w:p>
                  <w:p>
                    <w:pPr>
                      <w:spacing w:before="7"/>
                      <w:ind w:left="11" w:right="0" w:firstLine="0"/>
                      <w:jc w:val="left"/>
                      <w:rPr>
                        <w:b/>
                        <w:sz w:val="14"/>
                      </w:rPr>
                    </w:pPr>
                    <w:r>
                      <w:rPr>
                        <w:b/>
                        <w:w w:val="105"/>
                        <w:sz w:val="14"/>
                      </w:rPr>
                      <w:t>Budget</w:t>
                    </w:r>
                  </w:p>
                </w:txbxContent>
              </v:textbox>
              <w10:wrap type="none"/>
            </v:shape>
            <v:shape style="position:absolute;left:10236;top:2025;width:721;height:329" type="#_x0000_t202" filled="false" stroked="false">
              <v:textbox inset="0,0,0,0">
                <w:txbxContent>
                  <w:p>
                    <w:pPr>
                      <w:spacing w:line="249" w:lineRule="auto" w:before="0"/>
                      <w:ind w:left="0" w:right="16" w:firstLine="86"/>
                      <w:jc w:val="left"/>
                      <w:rPr>
                        <w:b/>
                        <w:sz w:val="14"/>
                      </w:rPr>
                    </w:pPr>
                    <w:r>
                      <w:rPr>
                        <w:b/>
                        <w:w w:val="105"/>
                        <w:sz w:val="14"/>
                      </w:rPr>
                      <w:t>Percent </w:t>
                    </w:r>
                    <w:r>
                      <w:rPr>
                        <w:b/>
                        <w:sz w:val="14"/>
                      </w:rPr>
                      <w:t>Difference</w:t>
                    </w:r>
                  </w:p>
                </w:txbxContent>
              </v:textbox>
              <w10:wrap type="none"/>
            </v:shape>
            <v:shape style="position:absolute;left:638;top:2529;width:1789;height:905" type="#_x0000_t202" filled="false" stroked="false">
              <v:textbox inset="0,0,0,0">
                <w:txbxContent>
                  <w:p>
                    <w:pPr>
                      <w:spacing w:line="160" w:lineRule="exact" w:before="0"/>
                      <w:ind w:left="0" w:right="0" w:firstLine="0"/>
                      <w:jc w:val="left"/>
                      <w:rPr>
                        <w:b/>
                        <w:sz w:val="14"/>
                      </w:rPr>
                    </w:pPr>
                    <w:r>
                      <w:rPr>
                        <w:b/>
                        <w:w w:val="105"/>
                        <w:sz w:val="14"/>
                      </w:rPr>
                      <w:t>OTHER</w:t>
                    </w:r>
                    <w:r>
                      <w:rPr>
                        <w:b/>
                        <w:spacing w:val="-19"/>
                        <w:w w:val="105"/>
                        <w:sz w:val="14"/>
                      </w:rPr>
                      <w:t> </w:t>
                    </w:r>
                    <w:r>
                      <w:rPr>
                        <w:b/>
                        <w:w w:val="105"/>
                        <w:sz w:val="14"/>
                      </w:rPr>
                      <w:t>LOCAL</w:t>
                    </w:r>
                    <w:r>
                      <w:rPr>
                        <w:b/>
                        <w:spacing w:val="-18"/>
                        <w:w w:val="105"/>
                        <w:sz w:val="14"/>
                      </w:rPr>
                      <w:t> </w:t>
                    </w:r>
                    <w:r>
                      <w:rPr>
                        <w:b/>
                        <w:w w:val="105"/>
                        <w:sz w:val="14"/>
                      </w:rPr>
                      <w:t>REVENUE</w:t>
                    </w:r>
                  </w:p>
                  <w:p>
                    <w:pPr>
                      <w:spacing w:line="360" w:lineRule="atLeast" w:before="19"/>
                      <w:ind w:left="163" w:right="0" w:hanging="82"/>
                      <w:jc w:val="left"/>
                      <w:rPr>
                        <w:sz w:val="14"/>
                      </w:rPr>
                    </w:pPr>
                    <w:r>
                      <w:rPr>
                        <w:w w:val="105"/>
                        <w:sz w:val="14"/>
                      </w:rPr>
                      <w:t>Other Local Revenue Sales</w:t>
                    </w:r>
                  </w:p>
                </w:txbxContent>
              </v:textbox>
              <w10:wrap type="none"/>
            </v:shape>
            <w10:wrap type="none"/>
          </v:group>
        </w:pict>
      </w:r>
      <w:r>
        <w:rPr/>
        <w:pict>
          <v:group style="position:absolute;margin-left:30.120001pt;margin-top:171.600006pt;width:538pt;height:84.75pt;mso-position-horizontal-relative:page;mso-position-vertical-relative:page;z-index:-314342400" coordorigin="602,3432" coordsize="10760,1695">
            <v:shape style="position:absolute;left:6782;top:3432;width:4580;height:569" type="#_x0000_t75" stroked="false">
              <v:imagedata r:id="rId636" o:title=""/>
            </v:shape>
            <v:shape style="position:absolute;left:6782;top:3628;width:4580;height:737" type="#_x0000_t75" stroked="false">
              <v:imagedata r:id="rId464" o:title=""/>
            </v:shape>
            <v:shape style="position:absolute;left:4240;top:3993;width:7121;height:749" type="#_x0000_t75" stroked="false">
              <v:imagedata r:id="rId479" o:title=""/>
            </v:shape>
            <v:shape style="position:absolute;left:602;top:4735;width:3646;height:392" type="#_x0000_t75" stroked="false">
              <v:imagedata r:id="rId617" o:title=""/>
            </v:shape>
            <v:shape style="position:absolute;left:4240;top:4358;width:7121;height:768" type="#_x0000_t75" stroked="false">
              <v:imagedata r:id="rId797" o:title=""/>
            </v:shape>
            <v:shape style="position:absolute;left:8294;top:4735;width:3068;height:392" type="#_x0000_t75" stroked="false">
              <v:imagedata r:id="rId798" o:titl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2"/>
        </w:rPr>
      </w:pPr>
    </w:p>
    <w:tbl>
      <w:tblPr>
        <w:tblW w:w="0" w:type="auto"/>
        <w:jc w:val="left"/>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93"/>
        <w:gridCol w:w="1784"/>
        <w:gridCol w:w="1639"/>
        <w:gridCol w:w="1666"/>
        <w:gridCol w:w="1008"/>
      </w:tblGrid>
      <w:tr>
        <w:trPr>
          <w:trHeight w:val="262" w:hRule="atLeast"/>
        </w:trPr>
        <w:tc>
          <w:tcPr>
            <w:tcW w:w="4693" w:type="dxa"/>
          </w:tcPr>
          <w:p>
            <w:pPr>
              <w:pStyle w:val="TableParagraph"/>
              <w:spacing w:line="160" w:lineRule="exact"/>
              <w:ind w:left="294"/>
              <w:rPr>
                <w:sz w:val="14"/>
              </w:rPr>
            </w:pPr>
            <w:r>
              <w:rPr>
                <w:w w:val="105"/>
                <w:sz w:val="14"/>
              </w:rPr>
              <w:t>Sale of Equipment/Supplies</w:t>
            </w:r>
          </w:p>
        </w:tc>
        <w:tc>
          <w:tcPr>
            <w:tcW w:w="1784" w:type="dxa"/>
          </w:tcPr>
          <w:p>
            <w:pPr>
              <w:pStyle w:val="TableParagraph"/>
              <w:spacing w:line="160" w:lineRule="exact"/>
              <w:ind w:right="602"/>
              <w:jc w:val="right"/>
              <w:rPr>
                <w:sz w:val="14"/>
              </w:rPr>
            </w:pPr>
            <w:r>
              <w:rPr>
                <w:sz w:val="14"/>
              </w:rPr>
              <w:t>8631</w:t>
            </w:r>
          </w:p>
        </w:tc>
        <w:tc>
          <w:tcPr>
            <w:tcW w:w="1639" w:type="dxa"/>
          </w:tcPr>
          <w:p>
            <w:pPr>
              <w:pStyle w:val="TableParagraph"/>
              <w:spacing w:line="160" w:lineRule="exact"/>
              <w:ind w:right="477"/>
              <w:jc w:val="right"/>
              <w:rPr>
                <w:sz w:val="14"/>
              </w:rPr>
            </w:pPr>
            <w:r>
              <w:rPr>
                <w:sz w:val="14"/>
              </w:rPr>
              <w:t>0.00</w:t>
            </w:r>
          </w:p>
        </w:tc>
        <w:tc>
          <w:tcPr>
            <w:tcW w:w="1666" w:type="dxa"/>
          </w:tcPr>
          <w:p>
            <w:pPr>
              <w:pStyle w:val="TableParagraph"/>
              <w:spacing w:line="160" w:lineRule="exact"/>
              <w:ind w:right="631"/>
              <w:jc w:val="right"/>
              <w:rPr>
                <w:sz w:val="14"/>
              </w:rPr>
            </w:pPr>
            <w:r>
              <w:rPr>
                <w:sz w:val="14"/>
              </w:rPr>
              <w:t>0.00</w:t>
            </w:r>
          </w:p>
        </w:tc>
        <w:tc>
          <w:tcPr>
            <w:tcW w:w="1008" w:type="dxa"/>
          </w:tcPr>
          <w:p>
            <w:pPr>
              <w:pStyle w:val="TableParagraph"/>
              <w:spacing w:line="160" w:lineRule="exact"/>
              <w:ind w:right="50"/>
              <w:jc w:val="right"/>
              <w:rPr>
                <w:sz w:val="14"/>
              </w:rPr>
            </w:pPr>
            <w:r>
              <w:rPr>
                <w:sz w:val="14"/>
              </w:rPr>
              <w:t>0.0%</w:t>
            </w:r>
          </w:p>
        </w:tc>
      </w:tr>
      <w:tr>
        <w:trPr>
          <w:trHeight w:val="364" w:hRule="atLeast"/>
        </w:trPr>
        <w:tc>
          <w:tcPr>
            <w:tcW w:w="4693" w:type="dxa"/>
          </w:tcPr>
          <w:p>
            <w:pPr>
              <w:pStyle w:val="TableParagraph"/>
              <w:spacing w:before="101"/>
              <w:ind w:left="213"/>
              <w:rPr>
                <w:sz w:val="14"/>
              </w:rPr>
            </w:pPr>
            <w:r>
              <w:rPr>
                <w:w w:val="105"/>
                <w:sz w:val="14"/>
              </w:rPr>
              <w:t>Interest</w:t>
            </w:r>
          </w:p>
        </w:tc>
        <w:tc>
          <w:tcPr>
            <w:tcW w:w="1784" w:type="dxa"/>
          </w:tcPr>
          <w:p>
            <w:pPr>
              <w:pStyle w:val="TableParagraph"/>
              <w:spacing w:before="101"/>
              <w:ind w:right="602"/>
              <w:jc w:val="right"/>
              <w:rPr>
                <w:sz w:val="14"/>
              </w:rPr>
            </w:pPr>
            <w:r>
              <w:rPr>
                <w:sz w:val="14"/>
              </w:rPr>
              <w:t>8660</w:t>
            </w:r>
          </w:p>
        </w:tc>
        <w:tc>
          <w:tcPr>
            <w:tcW w:w="1639" w:type="dxa"/>
          </w:tcPr>
          <w:p>
            <w:pPr>
              <w:pStyle w:val="TableParagraph"/>
              <w:spacing w:before="101"/>
              <w:ind w:right="476"/>
              <w:jc w:val="right"/>
              <w:rPr>
                <w:sz w:val="14"/>
              </w:rPr>
            </w:pPr>
            <w:r>
              <w:rPr>
                <w:sz w:val="14"/>
              </w:rPr>
              <w:t>5,451.00</w:t>
            </w:r>
          </w:p>
        </w:tc>
        <w:tc>
          <w:tcPr>
            <w:tcW w:w="1666" w:type="dxa"/>
          </w:tcPr>
          <w:p>
            <w:pPr>
              <w:pStyle w:val="TableParagraph"/>
              <w:spacing w:before="101"/>
              <w:ind w:right="630"/>
              <w:jc w:val="right"/>
              <w:rPr>
                <w:sz w:val="14"/>
              </w:rPr>
            </w:pPr>
            <w:r>
              <w:rPr>
                <w:sz w:val="14"/>
              </w:rPr>
              <w:t>5,451.00</w:t>
            </w:r>
          </w:p>
        </w:tc>
        <w:tc>
          <w:tcPr>
            <w:tcW w:w="1008" w:type="dxa"/>
          </w:tcPr>
          <w:p>
            <w:pPr>
              <w:pStyle w:val="TableParagraph"/>
              <w:spacing w:before="101"/>
              <w:ind w:right="50"/>
              <w:jc w:val="right"/>
              <w:rPr>
                <w:sz w:val="14"/>
              </w:rPr>
            </w:pPr>
            <w:r>
              <w:rPr>
                <w:sz w:val="14"/>
              </w:rPr>
              <w:t>0.0%</w:t>
            </w:r>
          </w:p>
        </w:tc>
      </w:tr>
      <w:tr>
        <w:trPr>
          <w:trHeight w:val="370" w:hRule="atLeast"/>
        </w:trPr>
        <w:tc>
          <w:tcPr>
            <w:tcW w:w="4693" w:type="dxa"/>
          </w:tcPr>
          <w:p>
            <w:pPr>
              <w:pStyle w:val="TableParagraph"/>
              <w:spacing w:before="101"/>
              <w:ind w:left="213"/>
              <w:rPr>
                <w:sz w:val="14"/>
              </w:rPr>
            </w:pPr>
            <w:r>
              <w:rPr>
                <w:w w:val="105"/>
                <w:sz w:val="14"/>
              </w:rPr>
              <w:t>Net Increase (Decrease) in the Fair Value of Investments</w:t>
            </w:r>
          </w:p>
        </w:tc>
        <w:tc>
          <w:tcPr>
            <w:tcW w:w="1784" w:type="dxa"/>
          </w:tcPr>
          <w:p>
            <w:pPr>
              <w:pStyle w:val="TableParagraph"/>
              <w:spacing w:before="101"/>
              <w:ind w:right="602"/>
              <w:jc w:val="right"/>
              <w:rPr>
                <w:sz w:val="14"/>
              </w:rPr>
            </w:pPr>
            <w:r>
              <w:rPr>
                <w:sz w:val="14"/>
              </w:rPr>
              <w:t>8662</w:t>
            </w:r>
          </w:p>
        </w:tc>
        <w:tc>
          <w:tcPr>
            <w:tcW w:w="1639" w:type="dxa"/>
          </w:tcPr>
          <w:p>
            <w:pPr>
              <w:pStyle w:val="TableParagraph"/>
              <w:spacing w:before="101"/>
              <w:ind w:right="477"/>
              <w:jc w:val="right"/>
              <w:rPr>
                <w:sz w:val="14"/>
              </w:rPr>
            </w:pPr>
            <w:r>
              <w:rPr>
                <w:sz w:val="14"/>
              </w:rPr>
              <w:t>0.00</w:t>
            </w:r>
          </w:p>
        </w:tc>
        <w:tc>
          <w:tcPr>
            <w:tcW w:w="1666" w:type="dxa"/>
          </w:tcPr>
          <w:p>
            <w:pPr>
              <w:pStyle w:val="TableParagraph"/>
              <w:spacing w:before="101"/>
              <w:ind w:right="631"/>
              <w:jc w:val="right"/>
              <w:rPr>
                <w:sz w:val="14"/>
              </w:rPr>
            </w:pPr>
            <w:r>
              <w:rPr>
                <w:sz w:val="14"/>
              </w:rPr>
              <w:t>0.00</w:t>
            </w:r>
          </w:p>
        </w:tc>
        <w:tc>
          <w:tcPr>
            <w:tcW w:w="1008" w:type="dxa"/>
          </w:tcPr>
          <w:p>
            <w:pPr>
              <w:pStyle w:val="TableParagraph"/>
              <w:spacing w:before="101"/>
              <w:ind w:right="50"/>
              <w:jc w:val="right"/>
              <w:rPr>
                <w:sz w:val="14"/>
              </w:rPr>
            </w:pPr>
            <w:r>
              <w:rPr>
                <w:sz w:val="14"/>
              </w:rPr>
              <w:t>0.0%</w:t>
            </w:r>
          </w:p>
        </w:tc>
      </w:tr>
      <w:tr>
        <w:trPr>
          <w:trHeight w:val="376" w:hRule="atLeast"/>
        </w:trPr>
        <w:tc>
          <w:tcPr>
            <w:tcW w:w="4693" w:type="dxa"/>
          </w:tcPr>
          <w:p>
            <w:pPr>
              <w:pStyle w:val="TableParagraph"/>
              <w:spacing w:before="107"/>
              <w:ind w:left="131"/>
              <w:rPr>
                <w:sz w:val="14"/>
              </w:rPr>
            </w:pPr>
            <w:r>
              <w:rPr>
                <w:w w:val="105"/>
                <w:sz w:val="14"/>
              </w:rPr>
              <w:t>TOTAL, OTHER LOCAL REVENUE</w:t>
            </w:r>
          </w:p>
        </w:tc>
        <w:tc>
          <w:tcPr>
            <w:tcW w:w="1784" w:type="dxa"/>
          </w:tcPr>
          <w:p>
            <w:pPr>
              <w:pStyle w:val="TableParagraph"/>
              <w:rPr>
                <w:rFonts w:ascii="Times New Roman"/>
                <w:sz w:val="14"/>
              </w:rPr>
            </w:pPr>
          </w:p>
        </w:tc>
        <w:tc>
          <w:tcPr>
            <w:tcW w:w="1639" w:type="dxa"/>
          </w:tcPr>
          <w:p>
            <w:pPr>
              <w:pStyle w:val="TableParagraph"/>
              <w:spacing w:before="107"/>
              <w:ind w:right="476"/>
              <w:jc w:val="right"/>
              <w:rPr>
                <w:sz w:val="14"/>
              </w:rPr>
            </w:pPr>
            <w:r>
              <w:rPr>
                <w:sz w:val="14"/>
              </w:rPr>
              <w:t>5,451.00</w:t>
            </w:r>
          </w:p>
        </w:tc>
        <w:tc>
          <w:tcPr>
            <w:tcW w:w="1666" w:type="dxa"/>
          </w:tcPr>
          <w:p>
            <w:pPr>
              <w:pStyle w:val="TableParagraph"/>
              <w:spacing w:before="107"/>
              <w:ind w:right="630"/>
              <w:jc w:val="right"/>
              <w:rPr>
                <w:sz w:val="14"/>
              </w:rPr>
            </w:pPr>
            <w:r>
              <w:rPr>
                <w:sz w:val="14"/>
              </w:rPr>
              <w:t>5,451.00</w:t>
            </w:r>
          </w:p>
        </w:tc>
        <w:tc>
          <w:tcPr>
            <w:tcW w:w="1008" w:type="dxa"/>
          </w:tcPr>
          <w:p>
            <w:pPr>
              <w:pStyle w:val="TableParagraph"/>
              <w:spacing w:before="107"/>
              <w:ind w:right="50"/>
              <w:jc w:val="right"/>
              <w:rPr>
                <w:sz w:val="14"/>
              </w:rPr>
            </w:pPr>
            <w:r>
              <w:rPr>
                <w:sz w:val="14"/>
              </w:rPr>
              <w:t>0.0%</w:t>
            </w:r>
          </w:p>
        </w:tc>
      </w:tr>
      <w:tr>
        <w:trPr>
          <w:trHeight w:val="268" w:hRule="atLeast"/>
        </w:trPr>
        <w:tc>
          <w:tcPr>
            <w:tcW w:w="4693" w:type="dxa"/>
          </w:tcPr>
          <w:p>
            <w:pPr>
              <w:pStyle w:val="TableParagraph"/>
              <w:spacing w:line="142" w:lineRule="exact" w:before="107"/>
              <w:ind w:left="50"/>
              <w:rPr>
                <w:sz w:val="14"/>
              </w:rPr>
            </w:pPr>
            <w:r>
              <w:rPr>
                <w:w w:val="105"/>
                <w:sz w:val="14"/>
              </w:rPr>
              <w:t>TOTAL, REVENUES</w:t>
            </w:r>
          </w:p>
        </w:tc>
        <w:tc>
          <w:tcPr>
            <w:tcW w:w="1784" w:type="dxa"/>
          </w:tcPr>
          <w:p>
            <w:pPr>
              <w:pStyle w:val="TableParagraph"/>
              <w:rPr>
                <w:rFonts w:ascii="Times New Roman"/>
                <w:sz w:val="14"/>
              </w:rPr>
            </w:pPr>
          </w:p>
        </w:tc>
        <w:tc>
          <w:tcPr>
            <w:tcW w:w="1639" w:type="dxa"/>
          </w:tcPr>
          <w:p>
            <w:pPr>
              <w:pStyle w:val="TableParagraph"/>
              <w:spacing w:line="142" w:lineRule="exact" w:before="107"/>
              <w:ind w:right="476"/>
              <w:jc w:val="right"/>
              <w:rPr>
                <w:sz w:val="14"/>
              </w:rPr>
            </w:pPr>
            <w:r>
              <w:rPr>
                <w:sz w:val="14"/>
              </w:rPr>
              <w:t>5,451.00</w:t>
            </w:r>
          </w:p>
        </w:tc>
        <w:tc>
          <w:tcPr>
            <w:tcW w:w="1666" w:type="dxa"/>
          </w:tcPr>
          <w:p>
            <w:pPr>
              <w:pStyle w:val="TableParagraph"/>
              <w:spacing w:line="142" w:lineRule="exact" w:before="107"/>
              <w:ind w:right="630"/>
              <w:jc w:val="right"/>
              <w:rPr>
                <w:sz w:val="14"/>
              </w:rPr>
            </w:pPr>
            <w:r>
              <w:rPr>
                <w:sz w:val="14"/>
              </w:rPr>
              <w:t>5,451.00</w:t>
            </w:r>
          </w:p>
        </w:tc>
        <w:tc>
          <w:tcPr>
            <w:tcW w:w="1008" w:type="dxa"/>
          </w:tcPr>
          <w:p>
            <w:pPr>
              <w:pStyle w:val="TableParagraph"/>
              <w:spacing w:line="142" w:lineRule="exact" w:before="107"/>
              <w:ind w:right="50"/>
              <w:jc w:val="right"/>
              <w:rPr>
                <w:sz w:val="14"/>
              </w:rPr>
            </w:pPr>
            <w:r>
              <w:rPr>
                <w:sz w:val="14"/>
              </w:rPr>
              <w:t>0.0%</w:t>
            </w:r>
          </w:p>
        </w:tc>
      </w:tr>
    </w:tbl>
    <w:p>
      <w:pPr>
        <w:spacing w:after="0" w:line="142" w:lineRule="exact"/>
        <w:jc w:val="right"/>
        <w:rPr>
          <w:sz w:val="14"/>
        </w:rPr>
        <w:sectPr>
          <w:headerReference w:type="default" r:id="rId792"/>
          <w:footerReference w:type="default" r:id="rId793"/>
          <w:pgSz w:w="12240" w:h="15840"/>
          <w:pgMar w:header="651" w:footer="437" w:top="1240" w:bottom="620" w:left="160" w:right="180"/>
          <w:pgNumType w:start="4"/>
        </w:sectPr>
      </w:pPr>
    </w:p>
    <w:p>
      <w:pPr>
        <w:pStyle w:val="BodyText"/>
        <w:rPr>
          <w:sz w:val="20"/>
        </w:rPr>
      </w:pPr>
      <w:r>
        <w:rPr/>
        <w:pict>
          <v:group style="position:absolute;margin-left:30.120001pt;margin-top:78.959999pt;width:538pt;height:57.75pt;mso-position-horizontal-relative:page;mso-position-vertical-relative:page;z-index:-314341376" coordorigin="602,1579" coordsize="10760,1155">
            <v:shape style="position:absolute;left:602;top:1579;width:3646;height:790" type="#_x0000_t75" stroked="false">
              <v:imagedata r:id="rId406" o:title=""/>
            </v:shape>
            <v:shape style="position:absolute;left:602;top:1579;width:10760;height:1155" type="#_x0000_t75" stroked="false">
              <v:imagedata r:id="rId799" o:title=""/>
            </v:shape>
            <w10:wrap type="none"/>
          </v:group>
        </w:pict>
      </w:r>
      <w:r>
        <w:rPr/>
        <w:pict>
          <v:group style="position:absolute;margin-left:30.120001pt;margin-top:117.360001pt;width:538pt;height:373.35pt;mso-position-horizontal-relative:page;mso-position-vertical-relative:page;z-index:-314339328" coordorigin="602,2347" coordsize="10760,7467">
            <v:line style="position:absolute" from="1412,2359" to="1412,2729" stroked="true" strokeweight=".360003pt" strokecolor="#ffffff">
              <v:stroke dashstyle="solid"/>
            </v:line>
            <v:shape style="position:absolute;left:4240;top:2347;width:7121;height:1527" type="#_x0000_t75" stroked="false">
              <v:imagedata r:id="rId800" o:title=""/>
            </v:shape>
            <v:shape style="position:absolute;left:6782;top:3501;width:4580;height:737" type="#_x0000_t75" stroked="false">
              <v:imagedata r:id="rId464" o:title=""/>
            </v:shape>
            <v:shape style="position:absolute;left:602;top:2731;width:3646;height:2256" type="#_x0000_t75" stroked="false">
              <v:imagedata r:id="rId801" o:title=""/>
            </v:shape>
            <v:shape style="position:absolute;left:6782;top:3866;width:4580;height:744" type="#_x0000_t75" stroked="false">
              <v:imagedata r:id="rId802" o:title=""/>
            </v:shape>
            <v:shape style="position:absolute;left:4240;top:4231;width:7121;height:1323" type="#_x0000_t75" stroked="false">
              <v:imagedata r:id="rId803" o:title=""/>
            </v:shape>
            <v:shape style="position:absolute;left:6782;top:5181;width:4580;height:934" type="#_x0000_t75" stroked="false">
              <v:imagedata r:id="rId804" o:title=""/>
            </v:shape>
            <v:shape style="position:absolute;left:8294;top:5911;width:3068;height:564" type="#_x0000_t75" stroked="false">
              <v:imagedata r:id="rId805" o:title=""/>
            </v:shape>
            <v:shape style="position:absolute;left:602;top:4984;width:3646;height:1872" type="#_x0000_t75" stroked="false">
              <v:imagedata r:id="rId806" o:title=""/>
            </v:shape>
            <v:shape style="position:absolute;left:602;top:6108;width:10760;height:1052" type="#_x0000_t75" stroked="false">
              <v:imagedata r:id="rId807" o:title=""/>
            </v:shape>
            <v:shape style="position:absolute;left:4240;top:6849;width:7121;height:1772" type="#_x0000_t75" stroked="false">
              <v:imagedata r:id="rId652" o:title=""/>
            </v:shape>
            <v:shape style="position:absolute;left:8294;top:8416;width:3068;height:574" type="#_x0000_t75" stroked="false">
              <v:imagedata r:id="rId808" o:title=""/>
            </v:shape>
            <v:shape style="position:absolute;left:602;top:7156;width:10760;height:2657" type="#_x0000_t75" stroked="false">
              <v:imagedata r:id="rId809" o:title=""/>
            </v:shape>
            <v:shape style="position:absolute;left:638;top:6995;width:1705;height:1143" type="#_x0000_t202" filled="false" stroked="false">
              <v:textbox inset="0,0,0,0">
                <w:txbxContent>
                  <w:p>
                    <w:pPr>
                      <w:spacing w:line="160" w:lineRule="exact" w:before="0"/>
                      <w:ind w:left="0" w:right="0" w:firstLine="0"/>
                      <w:jc w:val="left"/>
                      <w:rPr>
                        <w:b/>
                        <w:sz w:val="14"/>
                      </w:rPr>
                    </w:pPr>
                    <w:r>
                      <w:rPr>
                        <w:b/>
                        <w:w w:val="105"/>
                        <w:sz w:val="14"/>
                      </w:rPr>
                      <w:t>OTHER</w:t>
                    </w:r>
                    <w:r>
                      <w:rPr>
                        <w:b/>
                        <w:spacing w:val="-27"/>
                        <w:w w:val="105"/>
                        <w:sz w:val="14"/>
                      </w:rPr>
                      <w:t> </w:t>
                    </w:r>
                    <w:r>
                      <w:rPr>
                        <w:b/>
                        <w:w w:val="105"/>
                        <w:sz w:val="14"/>
                      </w:rPr>
                      <w:t>SOURCES/USES</w:t>
                    </w:r>
                  </w:p>
                  <w:p>
                    <w:pPr>
                      <w:spacing w:line="240" w:lineRule="auto" w:before="0"/>
                      <w:rPr>
                        <w:b/>
                        <w:sz w:val="16"/>
                      </w:rPr>
                    </w:pPr>
                  </w:p>
                  <w:p>
                    <w:pPr>
                      <w:spacing w:line="240" w:lineRule="auto" w:before="6"/>
                      <w:rPr>
                        <w:b/>
                        <w:sz w:val="12"/>
                      </w:rPr>
                    </w:pPr>
                  </w:p>
                  <w:p>
                    <w:pPr>
                      <w:spacing w:before="0"/>
                      <w:ind w:left="81" w:right="0" w:firstLine="0"/>
                      <w:jc w:val="left"/>
                      <w:rPr>
                        <w:b/>
                        <w:sz w:val="14"/>
                      </w:rPr>
                    </w:pPr>
                    <w:r>
                      <w:rPr>
                        <w:b/>
                        <w:w w:val="105"/>
                        <w:sz w:val="14"/>
                      </w:rPr>
                      <w:t>SOURCES</w:t>
                    </w:r>
                  </w:p>
                  <w:p>
                    <w:pPr>
                      <w:spacing w:line="240" w:lineRule="auto" w:before="0"/>
                      <w:rPr>
                        <w:b/>
                        <w:sz w:val="16"/>
                      </w:rPr>
                    </w:pPr>
                  </w:p>
                  <w:p>
                    <w:pPr>
                      <w:spacing w:line="240" w:lineRule="auto" w:before="9"/>
                      <w:rPr>
                        <w:b/>
                        <w:sz w:val="12"/>
                      </w:rPr>
                    </w:pPr>
                  </w:p>
                  <w:p>
                    <w:pPr>
                      <w:spacing w:before="0"/>
                      <w:ind w:left="163" w:right="0" w:firstLine="0"/>
                      <w:jc w:val="left"/>
                      <w:rPr>
                        <w:sz w:val="14"/>
                      </w:rPr>
                    </w:pPr>
                    <w:r>
                      <w:rPr>
                        <w:w w:val="105"/>
                        <w:sz w:val="14"/>
                      </w:rPr>
                      <w:t>Other Sources</w:t>
                    </w:r>
                  </w:p>
                </w:txbxContent>
              </v:textbox>
              <w10:wrap type="none"/>
            </v:shape>
            <w10:wrap type="none"/>
          </v:group>
        </w:pict>
      </w:r>
      <w:r>
        <w:rPr/>
        <w:pict>
          <v:group style="position:absolute;margin-left:30.120001pt;margin-top:471.720032pt;width:538pt;height:162.75pt;mso-position-horizontal-relative:page;mso-position-vertical-relative:page;z-index:-314334208" coordorigin="602,9434" coordsize="10760,3255">
            <v:shape style="position:absolute;left:4240;top:9434;width:7121;height:956" type="#_x0000_t75" stroked="false">
              <v:imagedata r:id="rId810" o:title=""/>
            </v:shape>
            <v:shape style="position:absolute;left:602;top:9811;width:3646;height:579" type="#_x0000_t75" stroked="false">
              <v:imagedata r:id="rId512" o:title=""/>
            </v:shape>
            <v:shape style="position:absolute;left:8294;top:10008;width:3068;height:382" type="#_x0000_t75" stroked="false">
              <v:imagedata r:id="rId811" o:title=""/>
            </v:shape>
            <v:shape style="position:absolute;left:602;top:10382;width:3646;height:380" type="#_x0000_t75" stroked="false">
              <v:imagedata r:id="rId513" o:title=""/>
            </v:shape>
            <v:shape style="position:absolute;left:4240;top:10382;width:2549;height:8" type="#_x0000_t75" stroked="false">
              <v:imagedata r:id="rId661" o:title=""/>
            </v:shape>
            <v:shape style="position:absolute;left:6782;top:10382;width:1520;height:382" type="#_x0000_t75" stroked="false">
              <v:imagedata r:id="rId662" o:title=""/>
            </v:shape>
            <v:shape style="position:absolute;left:8294;top:10382;width:1520;height:382" type="#_x0000_t75" stroked="false">
              <v:imagedata r:id="rId663" o:title=""/>
            </v:shape>
            <v:rect style="position:absolute;left:9811;top:10387;width:1541;height:377" filled="true" fillcolor="#dfdfdf" stroked="false">
              <v:fill type="solid"/>
            </v:rect>
            <v:shape style="position:absolute;left:9806;top:10382;width:1556;height:956" type="#_x0000_t75" stroked="false">
              <v:imagedata r:id="rId812" o:title=""/>
            </v:shape>
            <v:shape style="position:absolute;left:6782;top:10759;width:1520;height:579" type="#_x0000_t75" stroked="false">
              <v:imagedata r:id="rId813" o:title=""/>
            </v:shape>
            <v:shape style="position:absolute;left:8294;top:10759;width:1520;height:579" type="#_x0000_t75" stroked="false">
              <v:imagedata r:id="rId814" o:title=""/>
            </v:shape>
            <v:shape style="position:absolute;left:602;top:10759;width:3646;height:956" type="#_x0000_t75" stroked="false">
              <v:imagedata r:id="rId659" o:title=""/>
            </v:shape>
            <v:shape style="position:absolute;left:4240;top:11707;width:2549;height:8" type="#_x0000_t75" stroked="false">
              <v:imagedata r:id="rId661" o:title=""/>
            </v:shape>
            <v:shape style="position:absolute;left:6782;top:11330;width:1520;height:384" type="#_x0000_t75" stroked="false">
              <v:imagedata r:id="rId414" o:title=""/>
            </v:shape>
            <v:shape style="position:absolute;left:8294;top:11330;width:1520;height:384" type="#_x0000_t75" stroked="false">
              <v:imagedata r:id="rId584" o:title=""/>
            </v:shape>
            <v:shape style="position:absolute;left:9806;top:11330;width:1556;height:1150" type="#_x0000_t75" stroked="false">
              <v:imagedata r:id="rId667" o:title=""/>
            </v:shape>
            <v:shape style="position:absolute;left:602;top:11707;width:10760;height:982" type="#_x0000_t75" stroked="false">
              <v:imagedata r:id="rId668" o:title=""/>
            </v:shape>
            <v:shape style="position:absolute;left:638;top:12121;width:3087;height:358" type="#_x0000_t202" filled="false" stroked="false">
              <v:textbox inset="0,0,0,0">
                <w:txbxContent>
                  <w:p>
                    <w:pPr>
                      <w:spacing w:line="160" w:lineRule="exact" w:before="0"/>
                      <w:ind w:left="0" w:right="0" w:firstLine="0"/>
                      <w:jc w:val="left"/>
                      <w:rPr>
                        <w:sz w:val="14"/>
                      </w:rPr>
                    </w:pPr>
                    <w:r>
                      <w:rPr>
                        <w:w w:val="105"/>
                        <w:sz w:val="14"/>
                      </w:rPr>
                      <w:t>TOTAL,</w:t>
                    </w:r>
                    <w:r>
                      <w:rPr>
                        <w:spacing w:val="-19"/>
                        <w:w w:val="105"/>
                        <w:sz w:val="14"/>
                      </w:rPr>
                      <w:t> </w:t>
                    </w:r>
                    <w:r>
                      <w:rPr>
                        <w:w w:val="105"/>
                        <w:sz w:val="14"/>
                      </w:rPr>
                      <w:t>OTHER</w:t>
                    </w:r>
                    <w:r>
                      <w:rPr>
                        <w:spacing w:val="-19"/>
                        <w:w w:val="105"/>
                        <w:sz w:val="14"/>
                      </w:rPr>
                      <w:t> </w:t>
                    </w:r>
                    <w:r>
                      <w:rPr>
                        <w:w w:val="105"/>
                        <w:sz w:val="14"/>
                      </w:rPr>
                      <w:t>FINANCING</w:t>
                    </w:r>
                    <w:r>
                      <w:rPr>
                        <w:spacing w:val="-19"/>
                        <w:w w:val="105"/>
                        <w:sz w:val="14"/>
                      </w:rPr>
                      <w:t> </w:t>
                    </w:r>
                    <w:r>
                      <w:rPr>
                        <w:w w:val="105"/>
                        <w:sz w:val="14"/>
                      </w:rPr>
                      <w:t>SOURCES/USES</w:t>
                    </w:r>
                  </w:p>
                  <w:p>
                    <w:pPr>
                      <w:spacing w:before="36"/>
                      <w:ind w:left="81" w:right="0" w:firstLine="0"/>
                      <w:jc w:val="left"/>
                      <w:rPr>
                        <w:sz w:val="14"/>
                      </w:rPr>
                    </w:pPr>
                    <w:r>
                      <w:rPr>
                        <w:w w:val="105"/>
                        <w:sz w:val="14"/>
                      </w:rPr>
                      <w:t>(a - b + c - d + e)</w:t>
                    </w:r>
                  </w:p>
                </w:txbxContent>
              </v:textbox>
              <w10:wrap type="none"/>
            </v:shape>
            <v:shape style="position:absolute;left:7946;top:12318;width:299;height:161" type="#_x0000_t202" filled="false" stroked="false">
              <v:textbox inset="0,0,0,0">
                <w:txbxContent>
                  <w:p>
                    <w:pPr>
                      <w:spacing w:line="160" w:lineRule="exact" w:before="0"/>
                      <w:ind w:left="0" w:right="0" w:firstLine="0"/>
                      <w:jc w:val="left"/>
                      <w:rPr>
                        <w:sz w:val="14"/>
                      </w:rPr>
                    </w:pPr>
                    <w:r>
                      <w:rPr>
                        <w:w w:val="105"/>
                        <w:sz w:val="14"/>
                      </w:rPr>
                      <w:t>0.00</w:t>
                    </w:r>
                  </w:p>
                </w:txbxContent>
              </v:textbox>
              <w10:wrap type="none"/>
            </v:shape>
            <v:shape style="position:absolute;left:9458;top:12318;width:299;height:161" type="#_x0000_t202" filled="false" stroked="false">
              <v:textbox inset="0,0,0,0">
                <w:txbxContent>
                  <w:p>
                    <w:pPr>
                      <w:spacing w:line="160" w:lineRule="exact" w:before="0"/>
                      <w:ind w:left="0" w:right="0" w:firstLine="0"/>
                      <w:jc w:val="left"/>
                      <w:rPr>
                        <w:sz w:val="14"/>
                      </w:rPr>
                    </w:pPr>
                    <w:r>
                      <w:rPr>
                        <w:w w:val="105"/>
                        <w:sz w:val="14"/>
                      </w:rPr>
                      <w:t>0.00</w:t>
                    </w:r>
                  </w:p>
                </w:txbxContent>
              </v:textbox>
              <w10:wrap type="none"/>
            </v:shape>
            <v:shape style="position:absolute;left:10999;top:12318;width:347;height:161" type="#_x0000_t202" filled="false" stroked="false">
              <v:textbox inset="0,0,0,0">
                <w:txbxContent>
                  <w:p>
                    <w:pPr>
                      <w:spacing w:line="160" w:lineRule="exact" w:before="0"/>
                      <w:ind w:left="0" w:right="0" w:firstLine="0"/>
                      <w:jc w:val="left"/>
                      <w:rPr>
                        <w:sz w:val="14"/>
                      </w:rPr>
                    </w:pPr>
                    <w:r>
                      <w:rPr>
                        <w:w w:val="105"/>
                        <w:sz w:val="14"/>
                      </w:rPr>
                      <w:t>0.0%</w:t>
                    </w:r>
                  </w:p>
                </w:txbxContent>
              </v:textbox>
              <w10:wrap type="none"/>
            </v:shape>
            <w10:wrap type="none"/>
          </v:group>
        </w:pict>
      </w:r>
    </w:p>
    <w:p>
      <w:pPr>
        <w:pStyle w:val="BodyText"/>
        <w:rPr>
          <w:sz w:val="20"/>
        </w:rPr>
      </w:pPr>
    </w:p>
    <w:p>
      <w:pPr>
        <w:pStyle w:val="BodyText"/>
        <w:spacing w:before="8"/>
        <w:rPr>
          <w:sz w:val="26"/>
        </w:rPr>
      </w:pPr>
    </w:p>
    <w:tbl>
      <w:tblPr>
        <w:tblW w:w="0" w:type="auto"/>
        <w:jc w:val="left"/>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32"/>
        <w:gridCol w:w="1697"/>
        <w:gridCol w:w="1126"/>
        <w:gridCol w:w="1665"/>
        <w:gridCol w:w="1474"/>
        <w:gridCol w:w="980"/>
        <w:gridCol w:w="407"/>
      </w:tblGrid>
      <w:tr>
        <w:trPr>
          <w:trHeight w:val="436" w:hRule="atLeast"/>
        </w:trPr>
        <w:tc>
          <w:tcPr>
            <w:tcW w:w="3432" w:type="dxa"/>
          </w:tcPr>
          <w:p>
            <w:pPr>
              <w:pStyle w:val="TableParagraph"/>
              <w:spacing w:before="5"/>
              <w:rPr>
                <w:sz w:val="14"/>
              </w:rPr>
            </w:pPr>
          </w:p>
          <w:p>
            <w:pPr>
              <w:pStyle w:val="TableParagraph"/>
              <w:spacing w:before="1"/>
              <w:ind w:left="50"/>
              <w:rPr>
                <w:b/>
                <w:sz w:val="14"/>
              </w:rPr>
            </w:pPr>
            <w:r>
              <w:rPr>
                <w:b/>
                <w:w w:val="105"/>
                <w:sz w:val="14"/>
              </w:rPr>
              <w:t>Description</w:t>
            </w:r>
          </w:p>
        </w:tc>
        <w:tc>
          <w:tcPr>
            <w:tcW w:w="1697" w:type="dxa"/>
          </w:tcPr>
          <w:p>
            <w:pPr>
              <w:pStyle w:val="TableParagraph"/>
              <w:spacing w:before="5"/>
              <w:rPr>
                <w:sz w:val="14"/>
              </w:rPr>
            </w:pPr>
          </w:p>
          <w:p>
            <w:pPr>
              <w:pStyle w:val="TableParagraph"/>
              <w:spacing w:before="1"/>
              <w:ind w:left="446"/>
              <w:rPr>
                <w:b/>
                <w:sz w:val="14"/>
              </w:rPr>
            </w:pPr>
            <w:r>
              <w:rPr>
                <w:b/>
                <w:w w:val="105"/>
                <w:sz w:val="14"/>
              </w:rPr>
              <w:t>Resource Codes</w:t>
            </w:r>
          </w:p>
        </w:tc>
        <w:tc>
          <w:tcPr>
            <w:tcW w:w="1126" w:type="dxa"/>
          </w:tcPr>
          <w:p>
            <w:pPr>
              <w:pStyle w:val="TableParagraph"/>
              <w:spacing w:before="5"/>
              <w:rPr>
                <w:sz w:val="14"/>
              </w:rPr>
            </w:pPr>
          </w:p>
          <w:p>
            <w:pPr>
              <w:pStyle w:val="TableParagraph"/>
              <w:spacing w:before="1"/>
              <w:ind w:left="90" w:right="47"/>
              <w:jc w:val="center"/>
              <w:rPr>
                <w:b/>
                <w:sz w:val="14"/>
              </w:rPr>
            </w:pPr>
            <w:r>
              <w:rPr>
                <w:b/>
                <w:w w:val="105"/>
                <w:sz w:val="14"/>
              </w:rPr>
              <w:t>Object Codes</w:t>
            </w:r>
          </w:p>
        </w:tc>
        <w:tc>
          <w:tcPr>
            <w:tcW w:w="1665" w:type="dxa"/>
          </w:tcPr>
          <w:p>
            <w:pPr>
              <w:pStyle w:val="TableParagraph"/>
              <w:spacing w:line="160" w:lineRule="exact"/>
              <w:ind w:left="47" w:right="299"/>
              <w:jc w:val="center"/>
              <w:rPr>
                <w:b/>
                <w:sz w:val="14"/>
              </w:rPr>
            </w:pPr>
            <w:r>
              <w:rPr>
                <w:b/>
                <w:w w:val="105"/>
                <w:sz w:val="14"/>
              </w:rPr>
              <w:t>2020-21</w:t>
            </w:r>
          </w:p>
          <w:p>
            <w:pPr>
              <w:pStyle w:val="TableParagraph"/>
              <w:spacing w:before="7"/>
              <w:ind w:left="47" w:right="302"/>
              <w:jc w:val="center"/>
              <w:rPr>
                <w:b/>
                <w:sz w:val="14"/>
              </w:rPr>
            </w:pPr>
            <w:r>
              <w:rPr>
                <w:b/>
                <w:w w:val="105"/>
                <w:sz w:val="14"/>
              </w:rPr>
              <w:t>Estimated Actuals</w:t>
            </w:r>
          </w:p>
        </w:tc>
        <w:tc>
          <w:tcPr>
            <w:tcW w:w="1474" w:type="dxa"/>
          </w:tcPr>
          <w:p>
            <w:pPr>
              <w:pStyle w:val="TableParagraph"/>
              <w:spacing w:line="160" w:lineRule="exact"/>
              <w:ind w:left="289"/>
              <w:rPr>
                <w:b/>
                <w:sz w:val="14"/>
              </w:rPr>
            </w:pPr>
            <w:r>
              <w:rPr>
                <w:b/>
                <w:w w:val="105"/>
                <w:sz w:val="14"/>
              </w:rPr>
              <w:t>2021-22</w:t>
            </w:r>
          </w:p>
          <w:p>
            <w:pPr>
              <w:pStyle w:val="TableParagraph"/>
              <w:spacing w:before="7"/>
              <w:ind w:left="301"/>
              <w:rPr>
                <w:b/>
                <w:sz w:val="14"/>
              </w:rPr>
            </w:pPr>
            <w:r>
              <w:rPr>
                <w:b/>
                <w:w w:val="105"/>
                <w:sz w:val="14"/>
              </w:rPr>
              <w:t>Budget</w:t>
            </w:r>
          </w:p>
        </w:tc>
        <w:tc>
          <w:tcPr>
            <w:tcW w:w="980" w:type="dxa"/>
          </w:tcPr>
          <w:p>
            <w:pPr>
              <w:pStyle w:val="TableParagraph"/>
              <w:spacing w:line="249" w:lineRule="auto"/>
              <w:ind w:left="253" w:right="22" w:firstLine="86"/>
              <w:rPr>
                <w:b/>
                <w:sz w:val="14"/>
              </w:rPr>
            </w:pPr>
            <w:r>
              <w:rPr>
                <w:b/>
                <w:w w:val="105"/>
                <w:sz w:val="14"/>
              </w:rPr>
              <w:t>Percent </w:t>
            </w:r>
            <w:r>
              <w:rPr>
                <w:b/>
                <w:sz w:val="14"/>
              </w:rPr>
              <w:t>Difference</w:t>
            </w:r>
          </w:p>
        </w:tc>
        <w:tc>
          <w:tcPr>
            <w:tcW w:w="407" w:type="dxa"/>
            <w:vMerge w:val="restart"/>
          </w:tcPr>
          <w:p>
            <w:pPr>
              <w:pStyle w:val="TableParagraph"/>
              <w:rPr>
                <w:rFonts w:ascii="Times New Roman"/>
                <w:sz w:val="14"/>
              </w:rPr>
            </w:pPr>
          </w:p>
        </w:tc>
      </w:tr>
      <w:tr>
        <w:trPr>
          <w:trHeight w:val="475" w:hRule="atLeast"/>
        </w:trPr>
        <w:tc>
          <w:tcPr>
            <w:tcW w:w="3432" w:type="dxa"/>
          </w:tcPr>
          <w:p>
            <w:pPr>
              <w:pStyle w:val="TableParagraph"/>
              <w:spacing w:before="107"/>
              <w:ind w:left="50"/>
              <w:rPr>
                <w:b/>
                <w:sz w:val="14"/>
              </w:rPr>
            </w:pPr>
            <w:r>
              <w:rPr>
                <w:b/>
                <w:w w:val="105"/>
                <w:sz w:val="14"/>
              </w:rPr>
              <w:t>INTERFUND TRANSFERS</w:t>
            </w:r>
          </w:p>
        </w:tc>
        <w:tc>
          <w:tcPr>
            <w:tcW w:w="1697" w:type="dxa"/>
          </w:tcPr>
          <w:p>
            <w:pPr>
              <w:pStyle w:val="TableParagraph"/>
              <w:rPr>
                <w:rFonts w:ascii="Times New Roman"/>
                <w:sz w:val="14"/>
              </w:rPr>
            </w:pPr>
          </w:p>
        </w:tc>
        <w:tc>
          <w:tcPr>
            <w:tcW w:w="1126" w:type="dxa"/>
          </w:tcPr>
          <w:p>
            <w:pPr>
              <w:pStyle w:val="TableParagraph"/>
              <w:rPr>
                <w:rFonts w:ascii="Times New Roman"/>
                <w:sz w:val="14"/>
              </w:rPr>
            </w:pPr>
          </w:p>
        </w:tc>
        <w:tc>
          <w:tcPr>
            <w:tcW w:w="1665" w:type="dxa"/>
          </w:tcPr>
          <w:p>
            <w:pPr>
              <w:pStyle w:val="TableParagraph"/>
              <w:rPr>
                <w:rFonts w:ascii="Times New Roman"/>
                <w:sz w:val="14"/>
              </w:rPr>
            </w:pPr>
          </w:p>
        </w:tc>
        <w:tc>
          <w:tcPr>
            <w:tcW w:w="1474" w:type="dxa"/>
          </w:tcPr>
          <w:p>
            <w:pPr>
              <w:pStyle w:val="TableParagraph"/>
              <w:rPr>
                <w:rFonts w:ascii="Times New Roman"/>
                <w:sz w:val="14"/>
              </w:rPr>
            </w:pPr>
          </w:p>
        </w:tc>
        <w:tc>
          <w:tcPr>
            <w:tcW w:w="980" w:type="dxa"/>
          </w:tcPr>
          <w:p>
            <w:pPr>
              <w:pStyle w:val="TableParagraph"/>
              <w:rPr>
                <w:rFonts w:ascii="Times New Roman"/>
                <w:sz w:val="14"/>
              </w:rPr>
            </w:pPr>
          </w:p>
        </w:tc>
        <w:tc>
          <w:tcPr>
            <w:tcW w:w="407" w:type="dxa"/>
            <w:vMerge/>
            <w:tcBorders>
              <w:top w:val="nil"/>
            </w:tcBorders>
          </w:tcPr>
          <w:p>
            <w:pPr>
              <w:rPr>
                <w:sz w:val="2"/>
                <w:szCs w:val="2"/>
              </w:rPr>
            </w:pPr>
          </w:p>
        </w:tc>
      </w:tr>
      <w:tr>
        <w:trPr>
          <w:trHeight w:val="568" w:hRule="atLeast"/>
        </w:trPr>
        <w:tc>
          <w:tcPr>
            <w:tcW w:w="3432" w:type="dxa"/>
          </w:tcPr>
          <w:p>
            <w:pPr>
              <w:pStyle w:val="TableParagraph"/>
              <w:spacing w:before="9"/>
              <w:rPr>
                <w:sz w:val="17"/>
              </w:rPr>
            </w:pPr>
          </w:p>
          <w:p>
            <w:pPr>
              <w:pStyle w:val="TableParagraph"/>
              <w:spacing w:before="1"/>
              <w:ind w:left="131"/>
              <w:rPr>
                <w:b/>
                <w:sz w:val="14"/>
              </w:rPr>
            </w:pPr>
            <w:r>
              <w:rPr>
                <w:b/>
                <w:w w:val="105"/>
                <w:sz w:val="14"/>
              </w:rPr>
              <w:t>INTERFUND TRANSFERS IN</w:t>
            </w:r>
          </w:p>
        </w:tc>
        <w:tc>
          <w:tcPr>
            <w:tcW w:w="1697" w:type="dxa"/>
          </w:tcPr>
          <w:p>
            <w:pPr>
              <w:pStyle w:val="TableParagraph"/>
              <w:rPr>
                <w:rFonts w:ascii="Times New Roman"/>
                <w:sz w:val="14"/>
              </w:rPr>
            </w:pPr>
          </w:p>
        </w:tc>
        <w:tc>
          <w:tcPr>
            <w:tcW w:w="1126" w:type="dxa"/>
          </w:tcPr>
          <w:p>
            <w:pPr>
              <w:pStyle w:val="TableParagraph"/>
              <w:rPr>
                <w:rFonts w:ascii="Times New Roman"/>
                <w:sz w:val="14"/>
              </w:rPr>
            </w:pPr>
          </w:p>
        </w:tc>
        <w:tc>
          <w:tcPr>
            <w:tcW w:w="1665" w:type="dxa"/>
          </w:tcPr>
          <w:p>
            <w:pPr>
              <w:pStyle w:val="TableParagraph"/>
              <w:rPr>
                <w:rFonts w:ascii="Times New Roman"/>
                <w:sz w:val="14"/>
              </w:rPr>
            </w:pPr>
          </w:p>
        </w:tc>
        <w:tc>
          <w:tcPr>
            <w:tcW w:w="1474" w:type="dxa"/>
          </w:tcPr>
          <w:p>
            <w:pPr>
              <w:pStyle w:val="TableParagraph"/>
              <w:rPr>
                <w:rFonts w:ascii="Times New Roman"/>
                <w:sz w:val="14"/>
              </w:rPr>
            </w:pPr>
          </w:p>
        </w:tc>
        <w:tc>
          <w:tcPr>
            <w:tcW w:w="980" w:type="dxa"/>
          </w:tcPr>
          <w:p>
            <w:pPr>
              <w:pStyle w:val="TableParagraph"/>
              <w:rPr>
                <w:rFonts w:ascii="Times New Roman"/>
                <w:sz w:val="14"/>
              </w:rPr>
            </w:pPr>
          </w:p>
        </w:tc>
        <w:tc>
          <w:tcPr>
            <w:tcW w:w="407" w:type="dxa"/>
            <w:vMerge/>
            <w:tcBorders>
              <w:top w:val="nil"/>
            </w:tcBorders>
          </w:tcPr>
          <w:p>
            <w:pPr>
              <w:rPr>
                <w:sz w:val="2"/>
                <w:szCs w:val="2"/>
              </w:rPr>
            </w:pPr>
          </w:p>
        </w:tc>
      </w:tr>
      <w:tr>
        <w:trPr>
          <w:trHeight w:val="464" w:hRule="atLeast"/>
        </w:trPr>
        <w:tc>
          <w:tcPr>
            <w:tcW w:w="3432" w:type="dxa"/>
          </w:tcPr>
          <w:p>
            <w:pPr>
              <w:pStyle w:val="TableParagraph"/>
              <w:spacing w:before="5"/>
              <w:rPr>
                <w:sz w:val="17"/>
              </w:rPr>
            </w:pPr>
          </w:p>
          <w:p>
            <w:pPr>
              <w:pStyle w:val="TableParagraph"/>
              <w:ind w:left="213"/>
              <w:rPr>
                <w:sz w:val="14"/>
              </w:rPr>
            </w:pPr>
            <w:r>
              <w:rPr>
                <w:w w:val="105"/>
                <w:sz w:val="14"/>
              </w:rPr>
              <w:t>From: General Fund/CSSF</w:t>
            </w:r>
          </w:p>
        </w:tc>
        <w:tc>
          <w:tcPr>
            <w:tcW w:w="1697" w:type="dxa"/>
          </w:tcPr>
          <w:p>
            <w:pPr>
              <w:pStyle w:val="TableParagraph"/>
              <w:rPr>
                <w:rFonts w:ascii="Times New Roman"/>
                <w:sz w:val="14"/>
              </w:rPr>
            </w:pPr>
          </w:p>
        </w:tc>
        <w:tc>
          <w:tcPr>
            <w:tcW w:w="1126" w:type="dxa"/>
          </w:tcPr>
          <w:p>
            <w:pPr>
              <w:pStyle w:val="TableParagraph"/>
              <w:spacing w:before="5"/>
              <w:rPr>
                <w:sz w:val="17"/>
              </w:rPr>
            </w:pPr>
          </w:p>
          <w:p>
            <w:pPr>
              <w:pStyle w:val="TableParagraph"/>
              <w:ind w:left="90" w:right="46"/>
              <w:jc w:val="center"/>
              <w:rPr>
                <w:sz w:val="14"/>
              </w:rPr>
            </w:pPr>
            <w:r>
              <w:rPr>
                <w:w w:val="105"/>
                <w:sz w:val="14"/>
              </w:rPr>
              <w:t>8912</w:t>
            </w:r>
          </w:p>
        </w:tc>
        <w:tc>
          <w:tcPr>
            <w:tcW w:w="1665" w:type="dxa"/>
          </w:tcPr>
          <w:p>
            <w:pPr>
              <w:pStyle w:val="TableParagraph"/>
              <w:spacing w:before="5"/>
              <w:rPr>
                <w:sz w:val="17"/>
              </w:rPr>
            </w:pPr>
          </w:p>
          <w:p>
            <w:pPr>
              <w:pStyle w:val="TableParagraph"/>
              <w:ind w:right="281"/>
              <w:jc w:val="right"/>
              <w:rPr>
                <w:sz w:val="14"/>
              </w:rPr>
            </w:pPr>
            <w:r>
              <w:rPr>
                <w:sz w:val="14"/>
              </w:rPr>
              <w:t>0.00</w:t>
            </w:r>
          </w:p>
        </w:tc>
        <w:tc>
          <w:tcPr>
            <w:tcW w:w="1474" w:type="dxa"/>
          </w:tcPr>
          <w:p>
            <w:pPr>
              <w:pStyle w:val="TableParagraph"/>
              <w:spacing w:before="5"/>
              <w:rPr>
                <w:sz w:val="17"/>
              </w:rPr>
            </w:pPr>
          </w:p>
          <w:p>
            <w:pPr>
              <w:pStyle w:val="TableParagraph"/>
              <w:ind w:right="243"/>
              <w:jc w:val="right"/>
              <w:rPr>
                <w:sz w:val="14"/>
              </w:rPr>
            </w:pPr>
            <w:r>
              <w:rPr>
                <w:sz w:val="14"/>
              </w:rPr>
              <w:t>0.00</w:t>
            </w:r>
          </w:p>
        </w:tc>
        <w:tc>
          <w:tcPr>
            <w:tcW w:w="980" w:type="dxa"/>
          </w:tcPr>
          <w:p>
            <w:pPr>
              <w:pStyle w:val="TableParagraph"/>
              <w:rPr>
                <w:rFonts w:ascii="Times New Roman"/>
                <w:sz w:val="14"/>
              </w:rPr>
            </w:pPr>
          </w:p>
        </w:tc>
        <w:tc>
          <w:tcPr>
            <w:tcW w:w="407" w:type="dxa"/>
          </w:tcPr>
          <w:p>
            <w:pPr>
              <w:pStyle w:val="TableParagraph"/>
              <w:spacing w:before="5"/>
              <w:rPr>
                <w:sz w:val="17"/>
              </w:rPr>
            </w:pPr>
          </w:p>
          <w:p>
            <w:pPr>
              <w:pStyle w:val="TableParagraph"/>
              <w:ind w:left="13" w:right="17"/>
              <w:jc w:val="center"/>
              <w:rPr>
                <w:sz w:val="14"/>
              </w:rPr>
            </w:pPr>
            <w:r>
              <w:rPr>
                <w:w w:val="105"/>
                <w:sz w:val="14"/>
              </w:rPr>
              <w:t>0.0%</w:t>
            </w:r>
          </w:p>
        </w:tc>
      </w:tr>
      <w:tr>
        <w:trPr>
          <w:trHeight w:val="370" w:hRule="atLeast"/>
        </w:trPr>
        <w:tc>
          <w:tcPr>
            <w:tcW w:w="3432" w:type="dxa"/>
          </w:tcPr>
          <w:p>
            <w:pPr>
              <w:pStyle w:val="TableParagraph"/>
              <w:spacing w:before="101"/>
              <w:ind w:left="213"/>
              <w:rPr>
                <w:sz w:val="14"/>
              </w:rPr>
            </w:pPr>
            <w:r>
              <w:rPr>
                <w:w w:val="105"/>
                <w:sz w:val="14"/>
              </w:rPr>
              <w:t>Other Authorized Interfund Transfers In</w:t>
            </w:r>
          </w:p>
        </w:tc>
        <w:tc>
          <w:tcPr>
            <w:tcW w:w="1697" w:type="dxa"/>
          </w:tcPr>
          <w:p>
            <w:pPr>
              <w:pStyle w:val="TableParagraph"/>
              <w:rPr>
                <w:rFonts w:ascii="Times New Roman"/>
                <w:sz w:val="14"/>
              </w:rPr>
            </w:pPr>
          </w:p>
        </w:tc>
        <w:tc>
          <w:tcPr>
            <w:tcW w:w="1126" w:type="dxa"/>
          </w:tcPr>
          <w:p>
            <w:pPr>
              <w:pStyle w:val="TableParagraph"/>
              <w:spacing w:before="101"/>
              <w:ind w:left="90" w:right="46"/>
              <w:jc w:val="center"/>
              <w:rPr>
                <w:sz w:val="14"/>
              </w:rPr>
            </w:pPr>
            <w:r>
              <w:rPr>
                <w:w w:val="105"/>
                <w:sz w:val="14"/>
              </w:rPr>
              <w:t>8919</w:t>
            </w:r>
          </w:p>
        </w:tc>
        <w:tc>
          <w:tcPr>
            <w:tcW w:w="1665" w:type="dxa"/>
          </w:tcPr>
          <w:p>
            <w:pPr>
              <w:pStyle w:val="TableParagraph"/>
              <w:spacing w:before="101"/>
              <w:ind w:right="281"/>
              <w:jc w:val="right"/>
              <w:rPr>
                <w:sz w:val="14"/>
              </w:rPr>
            </w:pPr>
            <w:r>
              <w:rPr>
                <w:sz w:val="14"/>
              </w:rPr>
              <w:t>0.00</w:t>
            </w:r>
          </w:p>
        </w:tc>
        <w:tc>
          <w:tcPr>
            <w:tcW w:w="1474" w:type="dxa"/>
          </w:tcPr>
          <w:p>
            <w:pPr>
              <w:pStyle w:val="TableParagraph"/>
              <w:spacing w:before="101"/>
              <w:ind w:right="243"/>
              <w:jc w:val="right"/>
              <w:rPr>
                <w:sz w:val="14"/>
              </w:rPr>
            </w:pPr>
            <w:r>
              <w:rPr>
                <w:sz w:val="14"/>
              </w:rPr>
              <w:t>0.00</w:t>
            </w:r>
          </w:p>
        </w:tc>
        <w:tc>
          <w:tcPr>
            <w:tcW w:w="980" w:type="dxa"/>
          </w:tcPr>
          <w:p>
            <w:pPr>
              <w:pStyle w:val="TableParagraph"/>
              <w:rPr>
                <w:rFonts w:ascii="Times New Roman"/>
                <w:sz w:val="14"/>
              </w:rPr>
            </w:pPr>
          </w:p>
        </w:tc>
        <w:tc>
          <w:tcPr>
            <w:tcW w:w="407" w:type="dxa"/>
          </w:tcPr>
          <w:p>
            <w:pPr>
              <w:pStyle w:val="TableParagraph"/>
              <w:spacing w:before="101"/>
              <w:ind w:left="13" w:right="17"/>
              <w:jc w:val="center"/>
              <w:rPr>
                <w:sz w:val="14"/>
              </w:rPr>
            </w:pPr>
            <w:r>
              <w:rPr>
                <w:w w:val="105"/>
                <w:sz w:val="14"/>
              </w:rPr>
              <w:t>0.0%</w:t>
            </w:r>
          </w:p>
        </w:tc>
      </w:tr>
      <w:tr>
        <w:trPr>
          <w:trHeight w:val="375" w:hRule="atLeast"/>
        </w:trPr>
        <w:tc>
          <w:tcPr>
            <w:tcW w:w="3432" w:type="dxa"/>
          </w:tcPr>
          <w:p>
            <w:pPr>
              <w:pStyle w:val="TableParagraph"/>
              <w:spacing w:before="107"/>
              <w:ind w:left="131"/>
              <w:rPr>
                <w:sz w:val="14"/>
              </w:rPr>
            </w:pPr>
            <w:r>
              <w:rPr>
                <w:w w:val="105"/>
                <w:sz w:val="14"/>
              </w:rPr>
              <w:t>(a) TOTAL, INTERFUND TRANSFERS IN</w:t>
            </w:r>
          </w:p>
        </w:tc>
        <w:tc>
          <w:tcPr>
            <w:tcW w:w="1697" w:type="dxa"/>
          </w:tcPr>
          <w:p>
            <w:pPr>
              <w:pStyle w:val="TableParagraph"/>
              <w:rPr>
                <w:rFonts w:ascii="Times New Roman"/>
                <w:sz w:val="14"/>
              </w:rPr>
            </w:pPr>
          </w:p>
        </w:tc>
        <w:tc>
          <w:tcPr>
            <w:tcW w:w="1126" w:type="dxa"/>
          </w:tcPr>
          <w:p>
            <w:pPr>
              <w:pStyle w:val="TableParagraph"/>
              <w:rPr>
                <w:rFonts w:ascii="Times New Roman"/>
                <w:sz w:val="14"/>
              </w:rPr>
            </w:pPr>
          </w:p>
        </w:tc>
        <w:tc>
          <w:tcPr>
            <w:tcW w:w="1665" w:type="dxa"/>
          </w:tcPr>
          <w:p>
            <w:pPr>
              <w:pStyle w:val="TableParagraph"/>
              <w:spacing w:before="107"/>
              <w:ind w:right="281"/>
              <w:jc w:val="right"/>
              <w:rPr>
                <w:sz w:val="14"/>
              </w:rPr>
            </w:pPr>
            <w:r>
              <w:rPr>
                <w:sz w:val="14"/>
              </w:rPr>
              <w:t>0.00</w:t>
            </w:r>
          </w:p>
        </w:tc>
        <w:tc>
          <w:tcPr>
            <w:tcW w:w="1474" w:type="dxa"/>
          </w:tcPr>
          <w:p>
            <w:pPr>
              <w:pStyle w:val="TableParagraph"/>
              <w:spacing w:before="107"/>
              <w:ind w:right="243"/>
              <w:jc w:val="right"/>
              <w:rPr>
                <w:sz w:val="14"/>
              </w:rPr>
            </w:pPr>
            <w:r>
              <w:rPr>
                <w:sz w:val="14"/>
              </w:rPr>
              <w:t>0.00</w:t>
            </w:r>
          </w:p>
        </w:tc>
        <w:tc>
          <w:tcPr>
            <w:tcW w:w="980" w:type="dxa"/>
          </w:tcPr>
          <w:p>
            <w:pPr>
              <w:pStyle w:val="TableParagraph"/>
              <w:rPr>
                <w:rFonts w:ascii="Times New Roman"/>
                <w:sz w:val="14"/>
              </w:rPr>
            </w:pPr>
          </w:p>
        </w:tc>
        <w:tc>
          <w:tcPr>
            <w:tcW w:w="407" w:type="dxa"/>
          </w:tcPr>
          <w:p>
            <w:pPr>
              <w:pStyle w:val="TableParagraph"/>
              <w:spacing w:before="107"/>
              <w:ind w:left="13" w:right="17"/>
              <w:jc w:val="center"/>
              <w:rPr>
                <w:sz w:val="14"/>
              </w:rPr>
            </w:pPr>
            <w:r>
              <w:rPr>
                <w:w w:val="105"/>
                <w:sz w:val="14"/>
              </w:rPr>
              <w:t>0.0%</w:t>
            </w:r>
          </w:p>
        </w:tc>
      </w:tr>
      <w:tr>
        <w:trPr>
          <w:trHeight w:val="469" w:hRule="atLeast"/>
        </w:trPr>
        <w:tc>
          <w:tcPr>
            <w:tcW w:w="3432" w:type="dxa"/>
          </w:tcPr>
          <w:p>
            <w:pPr>
              <w:pStyle w:val="TableParagraph"/>
              <w:spacing w:before="105"/>
              <w:ind w:left="131"/>
              <w:rPr>
                <w:b/>
                <w:sz w:val="14"/>
              </w:rPr>
            </w:pPr>
            <w:r>
              <w:rPr>
                <w:b/>
                <w:w w:val="105"/>
                <w:sz w:val="14"/>
              </w:rPr>
              <w:t>INTERFUND TRANSFERS OUT</w:t>
            </w:r>
          </w:p>
        </w:tc>
        <w:tc>
          <w:tcPr>
            <w:tcW w:w="1697" w:type="dxa"/>
          </w:tcPr>
          <w:p>
            <w:pPr>
              <w:pStyle w:val="TableParagraph"/>
              <w:rPr>
                <w:rFonts w:ascii="Times New Roman"/>
                <w:sz w:val="14"/>
              </w:rPr>
            </w:pPr>
          </w:p>
        </w:tc>
        <w:tc>
          <w:tcPr>
            <w:tcW w:w="1126" w:type="dxa"/>
          </w:tcPr>
          <w:p>
            <w:pPr>
              <w:pStyle w:val="TableParagraph"/>
              <w:rPr>
                <w:rFonts w:ascii="Times New Roman"/>
                <w:sz w:val="14"/>
              </w:rPr>
            </w:pPr>
          </w:p>
        </w:tc>
        <w:tc>
          <w:tcPr>
            <w:tcW w:w="1665" w:type="dxa"/>
          </w:tcPr>
          <w:p>
            <w:pPr>
              <w:pStyle w:val="TableParagraph"/>
              <w:rPr>
                <w:rFonts w:ascii="Times New Roman"/>
                <w:sz w:val="14"/>
              </w:rPr>
            </w:pPr>
          </w:p>
        </w:tc>
        <w:tc>
          <w:tcPr>
            <w:tcW w:w="1474" w:type="dxa"/>
          </w:tcPr>
          <w:p>
            <w:pPr>
              <w:pStyle w:val="TableParagraph"/>
              <w:rPr>
                <w:rFonts w:ascii="Times New Roman"/>
                <w:sz w:val="14"/>
              </w:rPr>
            </w:pPr>
          </w:p>
        </w:tc>
        <w:tc>
          <w:tcPr>
            <w:tcW w:w="980" w:type="dxa"/>
          </w:tcPr>
          <w:p>
            <w:pPr>
              <w:pStyle w:val="TableParagraph"/>
              <w:rPr>
                <w:rFonts w:ascii="Times New Roman"/>
                <w:sz w:val="14"/>
              </w:rPr>
            </w:pPr>
          </w:p>
        </w:tc>
        <w:tc>
          <w:tcPr>
            <w:tcW w:w="407" w:type="dxa"/>
          </w:tcPr>
          <w:p>
            <w:pPr>
              <w:pStyle w:val="TableParagraph"/>
              <w:rPr>
                <w:rFonts w:ascii="Times New Roman"/>
                <w:sz w:val="14"/>
              </w:rPr>
            </w:pPr>
          </w:p>
        </w:tc>
      </w:tr>
      <w:tr>
        <w:trPr>
          <w:trHeight w:val="464" w:hRule="atLeast"/>
        </w:trPr>
        <w:tc>
          <w:tcPr>
            <w:tcW w:w="3432" w:type="dxa"/>
          </w:tcPr>
          <w:p>
            <w:pPr>
              <w:pStyle w:val="TableParagraph"/>
              <w:spacing w:before="5"/>
              <w:rPr>
                <w:sz w:val="17"/>
              </w:rPr>
            </w:pPr>
          </w:p>
          <w:p>
            <w:pPr>
              <w:pStyle w:val="TableParagraph"/>
              <w:ind w:left="213"/>
              <w:rPr>
                <w:sz w:val="14"/>
              </w:rPr>
            </w:pPr>
            <w:r>
              <w:rPr>
                <w:w w:val="105"/>
                <w:sz w:val="14"/>
              </w:rPr>
              <w:t>To: General Fund/CSSF</w:t>
            </w:r>
          </w:p>
        </w:tc>
        <w:tc>
          <w:tcPr>
            <w:tcW w:w="1697" w:type="dxa"/>
          </w:tcPr>
          <w:p>
            <w:pPr>
              <w:pStyle w:val="TableParagraph"/>
              <w:rPr>
                <w:rFonts w:ascii="Times New Roman"/>
                <w:sz w:val="14"/>
              </w:rPr>
            </w:pPr>
          </w:p>
        </w:tc>
        <w:tc>
          <w:tcPr>
            <w:tcW w:w="1126" w:type="dxa"/>
          </w:tcPr>
          <w:p>
            <w:pPr>
              <w:pStyle w:val="TableParagraph"/>
              <w:spacing w:before="5"/>
              <w:rPr>
                <w:sz w:val="17"/>
              </w:rPr>
            </w:pPr>
          </w:p>
          <w:p>
            <w:pPr>
              <w:pStyle w:val="TableParagraph"/>
              <w:ind w:left="90" w:right="46"/>
              <w:jc w:val="center"/>
              <w:rPr>
                <w:sz w:val="14"/>
              </w:rPr>
            </w:pPr>
            <w:r>
              <w:rPr>
                <w:w w:val="105"/>
                <w:sz w:val="14"/>
              </w:rPr>
              <w:t>7612</w:t>
            </w:r>
          </w:p>
        </w:tc>
        <w:tc>
          <w:tcPr>
            <w:tcW w:w="1665" w:type="dxa"/>
          </w:tcPr>
          <w:p>
            <w:pPr>
              <w:pStyle w:val="TableParagraph"/>
              <w:spacing w:before="5"/>
              <w:rPr>
                <w:sz w:val="17"/>
              </w:rPr>
            </w:pPr>
          </w:p>
          <w:p>
            <w:pPr>
              <w:pStyle w:val="TableParagraph"/>
              <w:ind w:right="281"/>
              <w:jc w:val="right"/>
              <w:rPr>
                <w:sz w:val="14"/>
              </w:rPr>
            </w:pPr>
            <w:r>
              <w:rPr>
                <w:sz w:val="14"/>
              </w:rPr>
              <w:t>0.00</w:t>
            </w:r>
          </w:p>
        </w:tc>
        <w:tc>
          <w:tcPr>
            <w:tcW w:w="1474" w:type="dxa"/>
          </w:tcPr>
          <w:p>
            <w:pPr>
              <w:pStyle w:val="TableParagraph"/>
              <w:spacing w:before="5"/>
              <w:rPr>
                <w:sz w:val="17"/>
              </w:rPr>
            </w:pPr>
          </w:p>
          <w:p>
            <w:pPr>
              <w:pStyle w:val="TableParagraph"/>
              <w:ind w:right="243"/>
              <w:jc w:val="right"/>
              <w:rPr>
                <w:sz w:val="14"/>
              </w:rPr>
            </w:pPr>
            <w:r>
              <w:rPr>
                <w:sz w:val="14"/>
              </w:rPr>
              <w:t>0.00</w:t>
            </w:r>
          </w:p>
        </w:tc>
        <w:tc>
          <w:tcPr>
            <w:tcW w:w="980" w:type="dxa"/>
          </w:tcPr>
          <w:p>
            <w:pPr>
              <w:pStyle w:val="TableParagraph"/>
              <w:rPr>
                <w:rFonts w:ascii="Times New Roman"/>
                <w:sz w:val="14"/>
              </w:rPr>
            </w:pPr>
          </w:p>
        </w:tc>
        <w:tc>
          <w:tcPr>
            <w:tcW w:w="407" w:type="dxa"/>
          </w:tcPr>
          <w:p>
            <w:pPr>
              <w:pStyle w:val="TableParagraph"/>
              <w:spacing w:before="5"/>
              <w:rPr>
                <w:sz w:val="17"/>
              </w:rPr>
            </w:pPr>
          </w:p>
          <w:p>
            <w:pPr>
              <w:pStyle w:val="TableParagraph"/>
              <w:ind w:left="13" w:right="17"/>
              <w:jc w:val="center"/>
              <w:rPr>
                <w:sz w:val="14"/>
              </w:rPr>
            </w:pPr>
            <w:r>
              <w:rPr>
                <w:w w:val="105"/>
                <w:sz w:val="14"/>
              </w:rPr>
              <w:t>0.0%</w:t>
            </w:r>
          </w:p>
        </w:tc>
      </w:tr>
      <w:tr>
        <w:trPr>
          <w:trHeight w:val="561" w:hRule="atLeast"/>
        </w:trPr>
        <w:tc>
          <w:tcPr>
            <w:tcW w:w="3432" w:type="dxa"/>
          </w:tcPr>
          <w:p>
            <w:pPr>
              <w:pStyle w:val="TableParagraph"/>
              <w:spacing w:line="292" w:lineRule="auto" w:before="101"/>
              <w:ind w:left="253" w:right="1131" w:hanging="40"/>
              <w:rPr>
                <w:sz w:val="14"/>
              </w:rPr>
            </w:pPr>
            <w:r>
              <w:rPr>
                <w:w w:val="105"/>
                <w:sz w:val="14"/>
              </w:rPr>
              <w:t>To: State School Building Fund/ County School Facilities Fund</w:t>
            </w:r>
          </w:p>
        </w:tc>
        <w:tc>
          <w:tcPr>
            <w:tcW w:w="1697" w:type="dxa"/>
          </w:tcPr>
          <w:p>
            <w:pPr>
              <w:pStyle w:val="TableParagraph"/>
              <w:rPr>
                <w:rFonts w:ascii="Times New Roman"/>
                <w:sz w:val="14"/>
              </w:rPr>
            </w:pPr>
          </w:p>
        </w:tc>
        <w:tc>
          <w:tcPr>
            <w:tcW w:w="1126" w:type="dxa"/>
          </w:tcPr>
          <w:p>
            <w:pPr>
              <w:pStyle w:val="TableParagraph"/>
              <w:rPr>
                <w:sz w:val="16"/>
              </w:rPr>
            </w:pPr>
          </w:p>
          <w:p>
            <w:pPr>
              <w:pStyle w:val="TableParagraph"/>
              <w:spacing w:before="113"/>
              <w:ind w:left="90" w:right="46"/>
              <w:jc w:val="center"/>
              <w:rPr>
                <w:sz w:val="14"/>
              </w:rPr>
            </w:pPr>
            <w:r>
              <w:rPr>
                <w:w w:val="105"/>
                <w:sz w:val="14"/>
              </w:rPr>
              <w:t>7613</w:t>
            </w:r>
          </w:p>
        </w:tc>
        <w:tc>
          <w:tcPr>
            <w:tcW w:w="1665" w:type="dxa"/>
          </w:tcPr>
          <w:p>
            <w:pPr>
              <w:pStyle w:val="TableParagraph"/>
              <w:rPr>
                <w:sz w:val="16"/>
              </w:rPr>
            </w:pPr>
          </w:p>
          <w:p>
            <w:pPr>
              <w:pStyle w:val="TableParagraph"/>
              <w:spacing w:before="113"/>
              <w:ind w:right="281"/>
              <w:jc w:val="right"/>
              <w:rPr>
                <w:sz w:val="14"/>
              </w:rPr>
            </w:pPr>
            <w:r>
              <w:rPr>
                <w:sz w:val="14"/>
              </w:rPr>
              <w:t>0.00</w:t>
            </w:r>
          </w:p>
        </w:tc>
        <w:tc>
          <w:tcPr>
            <w:tcW w:w="1474" w:type="dxa"/>
          </w:tcPr>
          <w:p>
            <w:pPr>
              <w:pStyle w:val="TableParagraph"/>
              <w:rPr>
                <w:sz w:val="16"/>
              </w:rPr>
            </w:pPr>
          </w:p>
          <w:p>
            <w:pPr>
              <w:pStyle w:val="TableParagraph"/>
              <w:spacing w:before="113"/>
              <w:ind w:right="243"/>
              <w:jc w:val="right"/>
              <w:rPr>
                <w:sz w:val="14"/>
              </w:rPr>
            </w:pPr>
            <w:r>
              <w:rPr>
                <w:sz w:val="14"/>
              </w:rPr>
              <w:t>0.00</w:t>
            </w:r>
          </w:p>
        </w:tc>
        <w:tc>
          <w:tcPr>
            <w:tcW w:w="980" w:type="dxa"/>
          </w:tcPr>
          <w:p>
            <w:pPr>
              <w:pStyle w:val="TableParagraph"/>
              <w:rPr>
                <w:rFonts w:ascii="Times New Roman"/>
                <w:sz w:val="14"/>
              </w:rPr>
            </w:pPr>
          </w:p>
        </w:tc>
        <w:tc>
          <w:tcPr>
            <w:tcW w:w="407" w:type="dxa"/>
          </w:tcPr>
          <w:p>
            <w:pPr>
              <w:pStyle w:val="TableParagraph"/>
              <w:rPr>
                <w:sz w:val="16"/>
              </w:rPr>
            </w:pPr>
          </w:p>
          <w:p>
            <w:pPr>
              <w:pStyle w:val="TableParagraph"/>
              <w:spacing w:before="113"/>
              <w:ind w:left="13" w:right="17"/>
              <w:jc w:val="center"/>
              <w:rPr>
                <w:sz w:val="14"/>
              </w:rPr>
            </w:pPr>
            <w:r>
              <w:rPr>
                <w:w w:val="105"/>
                <w:sz w:val="14"/>
              </w:rPr>
              <w:t>0.0%</w:t>
            </w:r>
          </w:p>
        </w:tc>
      </w:tr>
      <w:tr>
        <w:trPr>
          <w:trHeight w:val="370" w:hRule="atLeast"/>
        </w:trPr>
        <w:tc>
          <w:tcPr>
            <w:tcW w:w="3432" w:type="dxa"/>
          </w:tcPr>
          <w:p>
            <w:pPr>
              <w:pStyle w:val="TableParagraph"/>
              <w:spacing w:before="101"/>
              <w:ind w:left="213"/>
              <w:rPr>
                <w:sz w:val="14"/>
              </w:rPr>
            </w:pPr>
            <w:r>
              <w:rPr>
                <w:w w:val="105"/>
                <w:sz w:val="14"/>
              </w:rPr>
              <w:t>Other Authorized Interfund Transfers Out</w:t>
            </w:r>
          </w:p>
        </w:tc>
        <w:tc>
          <w:tcPr>
            <w:tcW w:w="1697" w:type="dxa"/>
          </w:tcPr>
          <w:p>
            <w:pPr>
              <w:pStyle w:val="TableParagraph"/>
              <w:rPr>
                <w:rFonts w:ascii="Times New Roman"/>
                <w:sz w:val="14"/>
              </w:rPr>
            </w:pPr>
          </w:p>
        </w:tc>
        <w:tc>
          <w:tcPr>
            <w:tcW w:w="1126" w:type="dxa"/>
          </w:tcPr>
          <w:p>
            <w:pPr>
              <w:pStyle w:val="TableParagraph"/>
              <w:spacing w:before="101"/>
              <w:ind w:left="90" w:right="46"/>
              <w:jc w:val="center"/>
              <w:rPr>
                <w:sz w:val="14"/>
              </w:rPr>
            </w:pPr>
            <w:r>
              <w:rPr>
                <w:w w:val="105"/>
                <w:sz w:val="14"/>
              </w:rPr>
              <w:t>7619</w:t>
            </w:r>
          </w:p>
        </w:tc>
        <w:tc>
          <w:tcPr>
            <w:tcW w:w="1665" w:type="dxa"/>
          </w:tcPr>
          <w:p>
            <w:pPr>
              <w:pStyle w:val="TableParagraph"/>
              <w:spacing w:before="101"/>
              <w:ind w:right="281"/>
              <w:jc w:val="right"/>
              <w:rPr>
                <w:sz w:val="14"/>
              </w:rPr>
            </w:pPr>
            <w:r>
              <w:rPr>
                <w:sz w:val="14"/>
              </w:rPr>
              <w:t>0.00</w:t>
            </w:r>
          </w:p>
        </w:tc>
        <w:tc>
          <w:tcPr>
            <w:tcW w:w="1474" w:type="dxa"/>
          </w:tcPr>
          <w:p>
            <w:pPr>
              <w:pStyle w:val="TableParagraph"/>
              <w:spacing w:before="101"/>
              <w:ind w:right="243"/>
              <w:jc w:val="right"/>
              <w:rPr>
                <w:sz w:val="14"/>
              </w:rPr>
            </w:pPr>
            <w:r>
              <w:rPr>
                <w:sz w:val="14"/>
              </w:rPr>
              <w:t>0.00</w:t>
            </w:r>
          </w:p>
        </w:tc>
        <w:tc>
          <w:tcPr>
            <w:tcW w:w="980" w:type="dxa"/>
          </w:tcPr>
          <w:p>
            <w:pPr>
              <w:pStyle w:val="TableParagraph"/>
              <w:rPr>
                <w:rFonts w:ascii="Times New Roman"/>
                <w:sz w:val="14"/>
              </w:rPr>
            </w:pPr>
          </w:p>
        </w:tc>
        <w:tc>
          <w:tcPr>
            <w:tcW w:w="407" w:type="dxa"/>
          </w:tcPr>
          <w:p>
            <w:pPr>
              <w:pStyle w:val="TableParagraph"/>
              <w:spacing w:before="101"/>
              <w:ind w:left="13" w:right="17"/>
              <w:jc w:val="center"/>
              <w:rPr>
                <w:sz w:val="14"/>
              </w:rPr>
            </w:pPr>
            <w:r>
              <w:rPr>
                <w:w w:val="105"/>
                <w:sz w:val="14"/>
              </w:rPr>
              <w:t>0.0%</w:t>
            </w:r>
          </w:p>
        </w:tc>
      </w:tr>
      <w:tr>
        <w:trPr>
          <w:trHeight w:val="268" w:hRule="atLeast"/>
        </w:trPr>
        <w:tc>
          <w:tcPr>
            <w:tcW w:w="3432" w:type="dxa"/>
          </w:tcPr>
          <w:p>
            <w:pPr>
              <w:pStyle w:val="TableParagraph"/>
              <w:spacing w:line="142" w:lineRule="exact" w:before="107"/>
              <w:ind w:left="131"/>
              <w:rPr>
                <w:sz w:val="14"/>
              </w:rPr>
            </w:pPr>
            <w:r>
              <w:rPr>
                <w:w w:val="105"/>
                <w:sz w:val="14"/>
              </w:rPr>
              <w:t>(b) TOTAL, INTERFUND TRANSFERS OUT</w:t>
            </w:r>
          </w:p>
        </w:tc>
        <w:tc>
          <w:tcPr>
            <w:tcW w:w="1697" w:type="dxa"/>
          </w:tcPr>
          <w:p>
            <w:pPr>
              <w:pStyle w:val="TableParagraph"/>
              <w:rPr>
                <w:rFonts w:ascii="Times New Roman"/>
                <w:sz w:val="14"/>
              </w:rPr>
            </w:pPr>
          </w:p>
        </w:tc>
        <w:tc>
          <w:tcPr>
            <w:tcW w:w="1126" w:type="dxa"/>
          </w:tcPr>
          <w:p>
            <w:pPr>
              <w:pStyle w:val="TableParagraph"/>
              <w:rPr>
                <w:rFonts w:ascii="Times New Roman"/>
                <w:sz w:val="14"/>
              </w:rPr>
            </w:pPr>
          </w:p>
        </w:tc>
        <w:tc>
          <w:tcPr>
            <w:tcW w:w="1665" w:type="dxa"/>
          </w:tcPr>
          <w:p>
            <w:pPr>
              <w:pStyle w:val="TableParagraph"/>
              <w:spacing w:line="142" w:lineRule="exact" w:before="107"/>
              <w:ind w:right="281"/>
              <w:jc w:val="right"/>
              <w:rPr>
                <w:sz w:val="14"/>
              </w:rPr>
            </w:pPr>
            <w:r>
              <w:rPr>
                <w:sz w:val="14"/>
              </w:rPr>
              <w:t>0.00</w:t>
            </w:r>
          </w:p>
        </w:tc>
        <w:tc>
          <w:tcPr>
            <w:tcW w:w="1474" w:type="dxa"/>
          </w:tcPr>
          <w:p>
            <w:pPr>
              <w:pStyle w:val="TableParagraph"/>
              <w:spacing w:line="142" w:lineRule="exact" w:before="107"/>
              <w:ind w:right="243"/>
              <w:jc w:val="right"/>
              <w:rPr>
                <w:sz w:val="14"/>
              </w:rPr>
            </w:pPr>
            <w:r>
              <w:rPr>
                <w:sz w:val="14"/>
              </w:rPr>
              <w:t>0.00</w:t>
            </w:r>
          </w:p>
        </w:tc>
        <w:tc>
          <w:tcPr>
            <w:tcW w:w="980" w:type="dxa"/>
          </w:tcPr>
          <w:p>
            <w:pPr>
              <w:pStyle w:val="TableParagraph"/>
              <w:rPr>
                <w:rFonts w:ascii="Times New Roman"/>
                <w:sz w:val="14"/>
              </w:rPr>
            </w:pPr>
          </w:p>
        </w:tc>
        <w:tc>
          <w:tcPr>
            <w:tcW w:w="407" w:type="dxa"/>
          </w:tcPr>
          <w:p>
            <w:pPr>
              <w:pStyle w:val="TableParagraph"/>
              <w:spacing w:line="142" w:lineRule="exact" w:before="107"/>
              <w:ind w:left="13" w:right="17"/>
              <w:jc w:val="center"/>
              <w:rPr>
                <w:sz w:val="14"/>
              </w:rPr>
            </w:pPr>
            <w:r>
              <w:rPr>
                <w:w w:val="105"/>
                <w:sz w:val="14"/>
              </w:rPr>
              <w:t>0.0%</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2"/>
        </w:rPr>
      </w:pPr>
    </w:p>
    <w:tbl>
      <w:tblPr>
        <w:tblW w:w="0" w:type="auto"/>
        <w:jc w:val="left"/>
        <w:tblInd w:w="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34"/>
        <w:gridCol w:w="2066"/>
        <w:gridCol w:w="2055"/>
        <w:gridCol w:w="970"/>
        <w:gridCol w:w="1541"/>
      </w:tblGrid>
      <w:tr>
        <w:trPr>
          <w:trHeight w:val="464" w:hRule="atLeast"/>
        </w:trPr>
        <w:tc>
          <w:tcPr>
            <w:tcW w:w="4134" w:type="dxa"/>
          </w:tcPr>
          <w:p>
            <w:pPr>
              <w:pStyle w:val="TableParagraph"/>
              <w:spacing w:line="292" w:lineRule="auto"/>
              <w:ind w:left="334" w:right="1080" w:hanging="40"/>
              <w:rPr>
                <w:sz w:val="14"/>
              </w:rPr>
            </w:pPr>
            <w:r>
              <w:rPr>
                <w:w w:val="105"/>
                <w:sz w:val="14"/>
              </w:rPr>
              <w:t>Transfers from Funds of </w:t>
            </w:r>
            <w:r>
              <w:rPr>
                <w:sz w:val="14"/>
              </w:rPr>
              <w:t>Lapsed/Reorganized LEAs</w:t>
            </w:r>
          </w:p>
        </w:tc>
        <w:tc>
          <w:tcPr>
            <w:tcW w:w="2066" w:type="dxa"/>
          </w:tcPr>
          <w:p>
            <w:pPr>
              <w:pStyle w:val="TableParagraph"/>
              <w:rPr>
                <w:sz w:val="17"/>
              </w:rPr>
            </w:pPr>
          </w:p>
          <w:p>
            <w:pPr>
              <w:pStyle w:val="TableParagraph"/>
              <w:ind w:right="325"/>
              <w:jc w:val="right"/>
              <w:rPr>
                <w:sz w:val="14"/>
              </w:rPr>
            </w:pPr>
            <w:r>
              <w:rPr>
                <w:sz w:val="14"/>
              </w:rPr>
              <w:t>8965</w:t>
            </w:r>
          </w:p>
        </w:tc>
        <w:tc>
          <w:tcPr>
            <w:tcW w:w="2055" w:type="dxa"/>
          </w:tcPr>
          <w:p>
            <w:pPr>
              <w:pStyle w:val="TableParagraph"/>
              <w:rPr>
                <w:sz w:val="17"/>
              </w:rPr>
            </w:pPr>
          </w:p>
          <w:p>
            <w:pPr>
              <w:pStyle w:val="TableParagraph"/>
              <w:ind w:right="616"/>
              <w:jc w:val="right"/>
              <w:rPr>
                <w:sz w:val="14"/>
              </w:rPr>
            </w:pPr>
            <w:r>
              <w:rPr>
                <w:sz w:val="14"/>
              </w:rPr>
              <w:t>0.00</w:t>
            </w:r>
          </w:p>
        </w:tc>
        <w:tc>
          <w:tcPr>
            <w:tcW w:w="970" w:type="dxa"/>
          </w:tcPr>
          <w:p>
            <w:pPr>
              <w:pStyle w:val="TableParagraph"/>
              <w:rPr>
                <w:sz w:val="17"/>
              </w:rPr>
            </w:pPr>
          </w:p>
          <w:p>
            <w:pPr>
              <w:pStyle w:val="TableParagraph"/>
              <w:ind w:right="74"/>
              <w:jc w:val="right"/>
              <w:rPr>
                <w:sz w:val="14"/>
              </w:rPr>
            </w:pPr>
            <w:r>
              <w:rPr>
                <w:sz w:val="14"/>
              </w:rPr>
              <w:t>0.00</w:t>
            </w:r>
          </w:p>
        </w:tc>
        <w:tc>
          <w:tcPr>
            <w:tcW w:w="1541" w:type="dxa"/>
          </w:tcPr>
          <w:p>
            <w:pPr>
              <w:pStyle w:val="TableParagraph"/>
              <w:rPr>
                <w:sz w:val="17"/>
              </w:rPr>
            </w:pPr>
          </w:p>
          <w:p>
            <w:pPr>
              <w:pStyle w:val="TableParagraph"/>
              <w:ind w:right="26"/>
              <w:jc w:val="right"/>
              <w:rPr>
                <w:sz w:val="14"/>
              </w:rPr>
            </w:pPr>
            <w:r>
              <w:rPr>
                <w:sz w:val="14"/>
              </w:rPr>
              <w:t>0.0%</w:t>
            </w:r>
          </w:p>
        </w:tc>
      </w:tr>
      <w:tr>
        <w:trPr>
          <w:trHeight w:val="325" w:hRule="atLeast"/>
        </w:trPr>
        <w:tc>
          <w:tcPr>
            <w:tcW w:w="4134" w:type="dxa"/>
          </w:tcPr>
          <w:p>
            <w:pPr>
              <w:pStyle w:val="TableParagraph"/>
              <w:spacing w:before="105"/>
              <w:ind w:left="131"/>
              <w:rPr>
                <w:sz w:val="14"/>
              </w:rPr>
            </w:pPr>
            <w:r>
              <w:rPr>
                <w:w w:val="105"/>
                <w:sz w:val="14"/>
              </w:rPr>
              <w:t>(c) TOTAL, SOURCES</w:t>
            </w:r>
          </w:p>
        </w:tc>
        <w:tc>
          <w:tcPr>
            <w:tcW w:w="2066" w:type="dxa"/>
          </w:tcPr>
          <w:p>
            <w:pPr>
              <w:pStyle w:val="TableParagraph"/>
              <w:rPr>
                <w:rFonts w:ascii="Times New Roman"/>
                <w:sz w:val="14"/>
              </w:rPr>
            </w:pPr>
          </w:p>
        </w:tc>
        <w:tc>
          <w:tcPr>
            <w:tcW w:w="2055" w:type="dxa"/>
          </w:tcPr>
          <w:p>
            <w:pPr>
              <w:pStyle w:val="TableParagraph"/>
              <w:spacing w:before="105"/>
              <w:ind w:right="616"/>
              <w:jc w:val="right"/>
              <w:rPr>
                <w:sz w:val="14"/>
              </w:rPr>
            </w:pPr>
            <w:r>
              <w:rPr>
                <w:sz w:val="14"/>
              </w:rPr>
              <w:t>0.00</w:t>
            </w:r>
          </w:p>
        </w:tc>
        <w:tc>
          <w:tcPr>
            <w:tcW w:w="970" w:type="dxa"/>
          </w:tcPr>
          <w:p>
            <w:pPr>
              <w:pStyle w:val="TableParagraph"/>
              <w:spacing w:before="105"/>
              <w:ind w:right="74"/>
              <w:jc w:val="right"/>
              <w:rPr>
                <w:sz w:val="14"/>
              </w:rPr>
            </w:pPr>
            <w:r>
              <w:rPr>
                <w:sz w:val="14"/>
              </w:rPr>
              <w:t>0.00</w:t>
            </w:r>
          </w:p>
        </w:tc>
        <w:tc>
          <w:tcPr>
            <w:tcW w:w="1541" w:type="dxa"/>
          </w:tcPr>
          <w:p>
            <w:pPr>
              <w:pStyle w:val="TableParagraph"/>
              <w:spacing w:before="105"/>
              <w:ind w:right="26"/>
              <w:jc w:val="right"/>
              <w:rPr>
                <w:sz w:val="14"/>
              </w:rPr>
            </w:pPr>
            <w:r>
              <w:rPr>
                <w:sz w:val="14"/>
              </w:rPr>
              <w:t>0.0%</w:t>
            </w:r>
          </w:p>
        </w:tc>
      </w:tr>
      <w:tr>
        <w:trPr>
          <w:trHeight w:val="411" w:hRule="atLeast"/>
        </w:trPr>
        <w:tc>
          <w:tcPr>
            <w:tcW w:w="4134" w:type="dxa"/>
          </w:tcPr>
          <w:p>
            <w:pPr>
              <w:pStyle w:val="TableParagraph"/>
              <w:spacing w:before="56"/>
              <w:ind w:left="131"/>
              <w:rPr>
                <w:b/>
                <w:sz w:val="14"/>
              </w:rPr>
            </w:pPr>
            <w:r>
              <w:rPr>
                <w:b/>
                <w:w w:val="105"/>
                <w:sz w:val="14"/>
              </w:rPr>
              <w:t>USES</w:t>
            </w:r>
          </w:p>
        </w:tc>
        <w:tc>
          <w:tcPr>
            <w:tcW w:w="2066" w:type="dxa"/>
          </w:tcPr>
          <w:p>
            <w:pPr>
              <w:pStyle w:val="TableParagraph"/>
              <w:rPr>
                <w:rFonts w:ascii="Times New Roman"/>
                <w:sz w:val="14"/>
              </w:rPr>
            </w:pPr>
          </w:p>
        </w:tc>
        <w:tc>
          <w:tcPr>
            <w:tcW w:w="2055" w:type="dxa"/>
          </w:tcPr>
          <w:p>
            <w:pPr>
              <w:pStyle w:val="TableParagraph"/>
              <w:rPr>
                <w:rFonts w:ascii="Times New Roman"/>
                <w:sz w:val="14"/>
              </w:rPr>
            </w:pPr>
          </w:p>
        </w:tc>
        <w:tc>
          <w:tcPr>
            <w:tcW w:w="970" w:type="dxa"/>
          </w:tcPr>
          <w:p>
            <w:pPr>
              <w:pStyle w:val="TableParagraph"/>
              <w:rPr>
                <w:rFonts w:ascii="Times New Roman"/>
                <w:sz w:val="14"/>
              </w:rPr>
            </w:pPr>
          </w:p>
        </w:tc>
        <w:tc>
          <w:tcPr>
            <w:tcW w:w="1541" w:type="dxa"/>
          </w:tcPr>
          <w:p>
            <w:pPr>
              <w:pStyle w:val="TableParagraph"/>
              <w:rPr>
                <w:rFonts w:ascii="Times New Roman"/>
                <w:sz w:val="14"/>
              </w:rPr>
            </w:pPr>
          </w:p>
        </w:tc>
      </w:tr>
      <w:tr>
        <w:trPr>
          <w:trHeight w:val="657" w:hRule="atLeast"/>
        </w:trPr>
        <w:tc>
          <w:tcPr>
            <w:tcW w:w="4134" w:type="dxa"/>
          </w:tcPr>
          <w:p>
            <w:pPr>
              <w:pStyle w:val="TableParagraph"/>
              <w:spacing w:before="8"/>
              <w:rPr>
                <w:sz w:val="16"/>
              </w:rPr>
            </w:pPr>
          </w:p>
          <w:p>
            <w:pPr>
              <w:pStyle w:val="TableParagraph"/>
              <w:spacing w:line="292" w:lineRule="auto"/>
              <w:ind w:left="253" w:right="1080" w:hanging="40"/>
              <w:rPr>
                <w:sz w:val="14"/>
              </w:rPr>
            </w:pPr>
            <w:r>
              <w:rPr>
                <w:w w:val="105"/>
                <w:sz w:val="14"/>
              </w:rPr>
              <w:t>Transfers of Funds from </w:t>
            </w:r>
            <w:r>
              <w:rPr>
                <w:sz w:val="14"/>
              </w:rPr>
              <w:t>Lapsed/Reorganized LEAs</w:t>
            </w:r>
          </w:p>
        </w:tc>
        <w:tc>
          <w:tcPr>
            <w:tcW w:w="2066" w:type="dxa"/>
          </w:tcPr>
          <w:p>
            <w:pPr>
              <w:pStyle w:val="TableParagraph"/>
              <w:rPr>
                <w:sz w:val="16"/>
              </w:rPr>
            </w:pPr>
          </w:p>
          <w:p>
            <w:pPr>
              <w:pStyle w:val="TableParagraph"/>
              <w:spacing w:before="9"/>
              <w:rPr>
                <w:sz w:val="17"/>
              </w:rPr>
            </w:pPr>
          </w:p>
          <w:p>
            <w:pPr>
              <w:pStyle w:val="TableParagraph"/>
              <w:ind w:right="325"/>
              <w:jc w:val="right"/>
              <w:rPr>
                <w:sz w:val="14"/>
              </w:rPr>
            </w:pPr>
            <w:r>
              <w:rPr>
                <w:sz w:val="14"/>
              </w:rPr>
              <w:t>7651</w:t>
            </w:r>
          </w:p>
        </w:tc>
        <w:tc>
          <w:tcPr>
            <w:tcW w:w="2055" w:type="dxa"/>
          </w:tcPr>
          <w:p>
            <w:pPr>
              <w:pStyle w:val="TableParagraph"/>
              <w:rPr>
                <w:sz w:val="16"/>
              </w:rPr>
            </w:pPr>
          </w:p>
          <w:p>
            <w:pPr>
              <w:pStyle w:val="TableParagraph"/>
              <w:spacing w:before="9"/>
              <w:rPr>
                <w:sz w:val="17"/>
              </w:rPr>
            </w:pPr>
          </w:p>
          <w:p>
            <w:pPr>
              <w:pStyle w:val="TableParagraph"/>
              <w:ind w:right="616"/>
              <w:jc w:val="right"/>
              <w:rPr>
                <w:sz w:val="14"/>
              </w:rPr>
            </w:pPr>
            <w:r>
              <w:rPr>
                <w:sz w:val="14"/>
              </w:rPr>
              <w:t>0.00</w:t>
            </w:r>
          </w:p>
        </w:tc>
        <w:tc>
          <w:tcPr>
            <w:tcW w:w="970" w:type="dxa"/>
          </w:tcPr>
          <w:p>
            <w:pPr>
              <w:pStyle w:val="TableParagraph"/>
              <w:rPr>
                <w:sz w:val="16"/>
              </w:rPr>
            </w:pPr>
          </w:p>
          <w:p>
            <w:pPr>
              <w:pStyle w:val="TableParagraph"/>
              <w:spacing w:before="9"/>
              <w:rPr>
                <w:sz w:val="17"/>
              </w:rPr>
            </w:pPr>
          </w:p>
          <w:p>
            <w:pPr>
              <w:pStyle w:val="TableParagraph"/>
              <w:ind w:right="74"/>
              <w:jc w:val="right"/>
              <w:rPr>
                <w:sz w:val="14"/>
              </w:rPr>
            </w:pPr>
            <w:r>
              <w:rPr>
                <w:sz w:val="14"/>
              </w:rPr>
              <w:t>0.00</w:t>
            </w:r>
          </w:p>
        </w:tc>
        <w:tc>
          <w:tcPr>
            <w:tcW w:w="1541" w:type="dxa"/>
          </w:tcPr>
          <w:p>
            <w:pPr>
              <w:pStyle w:val="TableParagraph"/>
              <w:rPr>
                <w:sz w:val="16"/>
              </w:rPr>
            </w:pPr>
          </w:p>
          <w:p>
            <w:pPr>
              <w:pStyle w:val="TableParagraph"/>
              <w:spacing w:before="9"/>
              <w:rPr>
                <w:sz w:val="17"/>
              </w:rPr>
            </w:pPr>
          </w:p>
          <w:p>
            <w:pPr>
              <w:pStyle w:val="TableParagraph"/>
              <w:ind w:right="26"/>
              <w:jc w:val="right"/>
              <w:rPr>
                <w:sz w:val="14"/>
              </w:rPr>
            </w:pPr>
            <w:r>
              <w:rPr>
                <w:sz w:val="14"/>
              </w:rPr>
              <w:t>0.0%</w:t>
            </w:r>
          </w:p>
        </w:tc>
      </w:tr>
      <w:tr>
        <w:trPr>
          <w:trHeight w:val="374" w:hRule="atLeast"/>
        </w:trPr>
        <w:tc>
          <w:tcPr>
            <w:tcW w:w="4134" w:type="dxa"/>
          </w:tcPr>
          <w:p>
            <w:pPr>
              <w:pStyle w:val="TableParagraph"/>
              <w:spacing w:before="105"/>
              <w:ind w:left="131"/>
              <w:rPr>
                <w:sz w:val="14"/>
              </w:rPr>
            </w:pPr>
            <w:r>
              <w:rPr>
                <w:w w:val="105"/>
                <w:sz w:val="14"/>
              </w:rPr>
              <w:t>(d) TOTAL, USES</w:t>
            </w:r>
          </w:p>
        </w:tc>
        <w:tc>
          <w:tcPr>
            <w:tcW w:w="2066" w:type="dxa"/>
          </w:tcPr>
          <w:p>
            <w:pPr>
              <w:pStyle w:val="TableParagraph"/>
              <w:rPr>
                <w:rFonts w:ascii="Times New Roman"/>
                <w:sz w:val="14"/>
              </w:rPr>
            </w:pPr>
          </w:p>
        </w:tc>
        <w:tc>
          <w:tcPr>
            <w:tcW w:w="2055" w:type="dxa"/>
          </w:tcPr>
          <w:p>
            <w:pPr>
              <w:pStyle w:val="TableParagraph"/>
              <w:spacing w:before="105"/>
              <w:ind w:right="616"/>
              <w:jc w:val="right"/>
              <w:rPr>
                <w:sz w:val="14"/>
              </w:rPr>
            </w:pPr>
            <w:r>
              <w:rPr>
                <w:sz w:val="14"/>
              </w:rPr>
              <w:t>0.00</w:t>
            </w:r>
          </w:p>
        </w:tc>
        <w:tc>
          <w:tcPr>
            <w:tcW w:w="970" w:type="dxa"/>
          </w:tcPr>
          <w:p>
            <w:pPr>
              <w:pStyle w:val="TableParagraph"/>
              <w:spacing w:before="105"/>
              <w:ind w:right="74"/>
              <w:jc w:val="right"/>
              <w:rPr>
                <w:sz w:val="14"/>
              </w:rPr>
            </w:pPr>
            <w:r>
              <w:rPr>
                <w:sz w:val="14"/>
              </w:rPr>
              <w:t>0.00</w:t>
            </w:r>
          </w:p>
        </w:tc>
        <w:tc>
          <w:tcPr>
            <w:tcW w:w="1541" w:type="dxa"/>
          </w:tcPr>
          <w:p>
            <w:pPr>
              <w:pStyle w:val="TableParagraph"/>
              <w:spacing w:before="105"/>
              <w:ind w:right="26"/>
              <w:jc w:val="right"/>
              <w:rPr>
                <w:sz w:val="14"/>
              </w:rPr>
            </w:pPr>
            <w:r>
              <w:rPr>
                <w:sz w:val="14"/>
              </w:rPr>
              <w:t>0.0%</w:t>
            </w:r>
          </w:p>
        </w:tc>
      </w:tr>
      <w:tr>
        <w:trPr>
          <w:trHeight w:val="273" w:hRule="atLeast"/>
        </w:trPr>
        <w:tc>
          <w:tcPr>
            <w:tcW w:w="4134" w:type="dxa"/>
          </w:tcPr>
          <w:p>
            <w:pPr>
              <w:pStyle w:val="TableParagraph"/>
              <w:spacing w:line="147" w:lineRule="exact" w:before="105"/>
              <w:ind w:left="50"/>
              <w:rPr>
                <w:b/>
                <w:sz w:val="14"/>
              </w:rPr>
            </w:pPr>
            <w:r>
              <w:rPr>
                <w:b/>
                <w:w w:val="105"/>
                <w:sz w:val="14"/>
              </w:rPr>
              <w:t>CONTRIBUTIONS</w:t>
            </w:r>
          </w:p>
        </w:tc>
        <w:tc>
          <w:tcPr>
            <w:tcW w:w="2066" w:type="dxa"/>
          </w:tcPr>
          <w:p>
            <w:pPr>
              <w:pStyle w:val="TableParagraph"/>
              <w:rPr>
                <w:rFonts w:ascii="Times New Roman"/>
                <w:sz w:val="14"/>
              </w:rPr>
            </w:pPr>
          </w:p>
        </w:tc>
        <w:tc>
          <w:tcPr>
            <w:tcW w:w="2055" w:type="dxa"/>
          </w:tcPr>
          <w:p>
            <w:pPr>
              <w:pStyle w:val="TableParagraph"/>
              <w:rPr>
                <w:rFonts w:ascii="Times New Roman"/>
                <w:sz w:val="14"/>
              </w:rPr>
            </w:pPr>
          </w:p>
        </w:tc>
        <w:tc>
          <w:tcPr>
            <w:tcW w:w="970" w:type="dxa"/>
          </w:tcPr>
          <w:p>
            <w:pPr>
              <w:pStyle w:val="TableParagraph"/>
              <w:rPr>
                <w:rFonts w:ascii="Times New Roman"/>
                <w:sz w:val="14"/>
              </w:rPr>
            </w:pPr>
          </w:p>
        </w:tc>
        <w:tc>
          <w:tcPr>
            <w:tcW w:w="1541" w:type="dxa"/>
            <w:shd w:val="clear" w:color="auto" w:fill="DFDFDF"/>
          </w:tcPr>
          <w:p>
            <w:pPr>
              <w:pStyle w:val="TableParagraph"/>
              <w:rPr>
                <w:rFonts w:ascii="Times New Roman"/>
                <w:sz w:val="14"/>
              </w:rPr>
            </w:pPr>
          </w:p>
        </w:tc>
      </w:tr>
      <w:tr>
        <w:trPr>
          <w:trHeight w:val="196" w:hRule="atLeast"/>
        </w:trPr>
        <w:tc>
          <w:tcPr>
            <w:tcW w:w="4134" w:type="dxa"/>
          </w:tcPr>
          <w:p>
            <w:pPr>
              <w:pStyle w:val="TableParagraph"/>
              <w:rPr>
                <w:rFonts w:ascii="Times New Roman"/>
                <w:sz w:val="12"/>
              </w:rPr>
            </w:pPr>
          </w:p>
        </w:tc>
        <w:tc>
          <w:tcPr>
            <w:tcW w:w="2066" w:type="dxa"/>
          </w:tcPr>
          <w:p>
            <w:pPr>
              <w:pStyle w:val="TableParagraph"/>
              <w:rPr>
                <w:rFonts w:ascii="Times New Roman"/>
                <w:sz w:val="12"/>
              </w:rPr>
            </w:pPr>
          </w:p>
        </w:tc>
        <w:tc>
          <w:tcPr>
            <w:tcW w:w="2055" w:type="dxa"/>
            <w:shd w:val="clear" w:color="auto" w:fill="DFDFDF"/>
          </w:tcPr>
          <w:p>
            <w:pPr>
              <w:pStyle w:val="TableParagraph"/>
              <w:rPr>
                <w:rFonts w:ascii="Times New Roman"/>
                <w:sz w:val="12"/>
              </w:rPr>
            </w:pPr>
          </w:p>
        </w:tc>
        <w:tc>
          <w:tcPr>
            <w:tcW w:w="970" w:type="dxa"/>
            <w:shd w:val="clear" w:color="auto" w:fill="DFDFDF"/>
          </w:tcPr>
          <w:p>
            <w:pPr>
              <w:pStyle w:val="TableParagraph"/>
              <w:rPr>
                <w:rFonts w:ascii="Times New Roman"/>
                <w:sz w:val="12"/>
              </w:rPr>
            </w:pPr>
          </w:p>
        </w:tc>
        <w:tc>
          <w:tcPr>
            <w:tcW w:w="1541" w:type="dxa"/>
          </w:tcPr>
          <w:p>
            <w:pPr>
              <w:pStyle w:val="TableParagraph"/>
              <w:rPr>
                <w:rFonts w:ascii="Times New Roman"/>
                <w:sz w:val="12"/>
              </w:rPr>
            </w:pPr>
          </w:p>
        </w:tc>
      </w:tr>
      <w:tr>
        <w:trPr>
          <w:trHeight w:val="374" w:hRule="atLeast"/>
        </w:trPr>
        <w:tc>
          <w:tcPr>
            <w:tcW w:w="4134" w:type="dxa"/>
          </w:tcPr>
          <w:p>
            <w:pPr>
              <w:pStyle w:val="TableParagraph"/>
              <w:spacing w:before="2"/>
              <w:rPr>
                <w:sz w:val="18"/>
              </w:rPr>
            </w:pPr>
          </w:p>
          <w:p>
            <w:pPr>
              <w:pStyle w:val="TableParagraph"/>
              <w:spacing w:line="145" w:lineRule="exact"/>
              <w:ind w:left="171"/>
              <w:rPr>
                <w:sz w:val="14"/>
              </w:rPr>
            </w:pPr>
            <w:r>
              <w:rPr>
                <w:w w:val="105"/>
                <w:sz w:val="14"/>
              </w:rPr>
              <w:t>Contributions from Restricted Revenues</w:t>
            </w:r>
          </w:p>
        </w:tc>
        <w:tc>
          <w:tcPr>
            <w:tcW w:w="2066" w:type="dxa"/>
          </w:tcPr>
          <w:p>
            <w:pPr>
              <w:pStyle w:val="TableParagraph"/>
              <w:spacing w:before="2"/>
              <w:rPr>
                <w:sz w:val="18"/>
              </w:rPr>
            </w:pPr>
          </w:p>
          <w:p>
            <w:pPr>
              <w:pStyle w:val="TableParagraph"/>
              <w:spacing w:line="145" w:lineRule="exact"/>
              <w:ind w:right="325"/>
              <w:jc w:val="right"/>
              <w:rPr>
                <w:sz w:val="14"/>
              </w:rPr>
            </w:pPr>
            <w:r>
              <w:rPr>
                <w:sz w:val="14"/>
              </w:rPr>
              <w:t>8990</w:t>
            </w:r>
          </w:p>
        </w:tc>
        <w:tc>
          <w:tcPr>
            <w:tcW w:w="2055" w:type="dxa"/>
          </w:tcPr>
          <w:p>
            <w:pPr>
              <w:pStyle w:val="TableParagraph"/>
              <w:spacing w:before="2"/>
              <w:rPr>
                <w:sz w:val="18"/>
              </w:rPr>
            </w:pPr>
          </w:p>
          <w:p>
            <w:pPr>
              <w:pStyle w:val="TableParagraph"/>
              <w:spacing w:line="145" w:lineRule="exact"/>
              <w:ind w:right="616"/>
              <w:jc w:val="right"/>
              <w:rPr>
                <w:sz w:val="14"/>
              </w:rPr>
            </w:pPr>
            <w:r>
              <w:rPr>
                <w:sz w:val="14"/>
              </w:rPr>
              <w:t>0.00</w:t>
            </w:r>
          </w:p>
        </w:tc>
        <w:tc>
          <w:tcPr>
            <w:tcW w:w="970" w:type="dxa"/>
          </w:tcPr>
          <w:p>
            <w:pPr>
              <w:pStyle w:val="TableParagraph"/>
              <w:spacing w:before="2"/>
              <w:rPr>
                <w:sz w:val="18"/>
              </w:rPr>
            </w:pPr>
          </w:p>
          <w:p>
            <w:pPr>
              <w:pStyle w:val="TableParagraph"/>
              <w:spacing w:line="145" w:lineRule="exact"/>
              <w:ind w:right="74"/>
              <w:jc w:val="right"/>
              <w:rPr>
                <w:sz w:val="14"/>
              </w:rPr>
            </w:pPr>
            <w:r>
              <w:rPr>
                <w:sz w:val="14"/>
              </w:rPr>
              <w:t>0.00</w:t>
            </w:r>
          </w:p>
        </w:tc>
        <w:tc>
          <w:tcPr>
            <w:tcW w:w="1541" w:type="dxa"/>
            <w:shd w:val="clear" w:color="auto" w:fill="DFDFDF"/>
          </w:tcPr>
          <w:p>
            <w:pPr>
              <w:pStyle w:val="TableParagraph"/>
              <w:spacing w:before="2"/>
              <w:rPr>
                <w:sz w:val="18"/>
              </w:rPr>
            </w:pPr>
          </w:p>
          <w:p>
            <w:pPr>
              <w:pStyle w:val="TableParagraph"/>
              <w:spacing w:line="145" w:lineRule="exact"/>
              <w:ind w:right="26"/>
              <w:jc w:val="right"/>
              <w:rPr>
                <w:sz w:val="14"/>
              </w:rPr>
            </w:pPr>
            <w:r>
              <w:rPr>
                <w:sz w:val="14"/>
              </w:rPr>
              <w:t>0.0%</w:t>
            </w:r>
          </w:p>
        </w:tc>
      </w:tr>
      <w:tr>
        <w:trPr>
          <w:trHeight w:val="373" w:hRule="atLeast"/>
        </w:trPr>
        <w:tc>
          <w:tcPr>
            <w:tcW w:w="4134" w:type="dxa"/>
          </w:tcPr>
          <w:p>
            <w:pPr>
              <w:pStyle w:val="TableParagraph"/>
              <w:spacing w:before="4"/>
              <w:rPr>
                <w:sz w:val="18"/>
              </w:rPr>
            </w:pPr>
          </w:p>
          <w:p>
            <w:pPr>
              <w:pStyle w:val="TableParagraph"/>
              <w:spacing w:line="142" w:lineRule="exact" w:before="1"/>
              <w:ind w:left="131"/>
              <w:rPr>
                <w:sz w:val="14"/>
              </w:rPr>
            </w:pPr>
            <w:r>
              <w:rPr>
                <w:w w:val="105"/>
                <w:sz w:val="14"/>
              </w:rPr>
              <w:t>(e) TOTAL, CONTRIBUTIONS</w:t>
            </w:r>
          </w:p>
        </w:tc>
        <w:tc>
          <w:tcPr>
            <w:tcW w:w="2066" w:type="dxa"/>
          </w:tcPr>
          <w:p>
            <w:pPr>
              <w:pStyle w:val="TableParagraph"/>
              <w:rPr>
                <w:rFonts w:ascii="Times New Roman"/>
                <w:sz w:val="14"/>
              </w:rPr>
            </w:pPr>
          </w:p>
        </w:tc>
        <w:tc>
          <w:tcPr>
            <w:tcW w:w="2055" w:type="dxa"/>
          </w:tcPr>
          <w:p>
            <w:pPr>
              <w:pStyle w:val="TableParagraph"/>
              <w:spacing w:before="4"/>
              <w:rPr>
                <w:sz w:val="18"/>
              </w:rPr>
            </w:pPr>
          </w:p>
          <w:p>
            <w:pPr>
              <w:pStyle w:val="TableParagraph"/>
              <w:spacing w:line="142" w:lineRule="exact" w:before="1"/>
              <w:ind w:right="616"/>
              <w:jc w:val="right"/>
              <w:rPr>
                <w:sz w:val="14"/>
              </w:rPr>
            </w:pPr>
            <w:r>
              <w:rPr>
                <w:sz w:val="14"/>
              </w:rPr>
              <w:t>0.00</w:t>
            </w:r>
          </w:p>
        </w:tc>
        <w:tc>
          <w:tcPr>
            <w:tcW w:w="970" w:type="dxa"/>
          </w:tcPr>
          <w:p>
            <w:pPr>
              <w:pStyle w:val="TableParagraph"/>
              <w:spacing w:before="4"/>
              <w:rPr>
                <w:sz w:val="18"/>
              </w:rPr>
            </w:pPr>
          </w:p>
          <w:p>
            <w:pPr>
              <w:pStyle w:val="TableParagraph"/>
              <w:spacing w:line="142" w:lineRule="exact" w:before="1"/>
              <w:ind w:right="74"/>
              <w:jc w:val="right"/>
              <w:rPr>
                <w:sz w:val="14"/>
              </w:rPr>
            </w:pPr>
            <w:r>
              <w:rPr>
                <w:sz w:val="14"/>
              </w:rPr>
              <w:t>0.00</w:t>
            </w:r>
          </w:p>
        </w:tc>
        <w:tc>
          <w:tcPr>
            <w:tcW w:w="1541" w:type="dxa"/>
          </w:tcPr>
          <w:p>
            <w:pPr>
              <w:pStyle w:val="TableParagraph"/>
              <w:spacing w:before="4"/>
              <w:rPr>
                <w:sz w:val="18"/>
              </w:rPr>
            </w:pPr>
          </w:p>
          <w:p>
            <w:pPr>
              <w:pStyle w:val="TableParagraph"/>
              <w:spacing w:line="142" w:lineRule="exact" w:before="1"/>
              <w:ind w:right="26"/>
              <w:jc w:val="right"/>
              <w:rPr>
                <w:sz w:val="14"/>
              </w:rPr>
            </w:pPr>
            <w:r>
              <w:rPr>
                <w:sz w:val="14"/>
              </w:rPr>
              <w:t>0.0%</w:t>
            </w:r>
          </w:p>
        </w:tc>
      </w:tr>
    </w:tbl>
    <w:p>
      <w:pPr>
        <w:spacing w:after="0" w:line="142" w:lineRule="exact"/>
        <w:jc w:val="right"/>
        <w:rPr>
          <w:sz w:val="14"/>
        </w:rPr>
        <w:sectPr>
          <w:pgSz w:w="12240" w:h="15840"/>
          <w:pgMar w:header="651" w:footer="437" w:top="1240" w:bottom="620" w:left="160" w:right="180"/>
        </w:sectPr>
      </w:pPr>
    </w:p>
    <w:p>
      <w:pPr>
        <w:pStyle w:val="BodyText"/>
        <w:rPr>
          <w:sz w:val="20"/>
        </w:rPr>
      </w:pPr>
      <w:r>
        <w:rPr/>
        <w:pict>
          <v:group style="position:absolute;margin-left:27.120001pt;margin-top:81.360008pt;width:554.3pt;height:40.7pt;mso-position-horizontal-relative:page;mso-position-vertical-relative:page;z-index:-314333184" coordorigin="542,1627" coordsize="11086,814">
            <v:shape style="position:absolute;left:542;top:1627;width:3766;height:814" type="#_x0000_t75" stroked="false">
              <v:imagedata r:id="rId522" o:title=""/>
            </v:shape>
            <v:shape style="position:absolute;left:4300;top:1627;width:7328;height:814" type="#_x0000_t75" stroked="false">
              <v:imagedata r:id="rId523" o:title=""/>
            </v:shape>
            <w10:wrap type="none"/>
          </v:group>
        </w:pict>
      </w:r>
      <w:r>
        <w:rPr/>
        <w:pict>
          <v:group style="position:absolute;margin-left:27.120001pt;margin-top:120.959999pt;width:554.3pt;height:545.4pt;mso-position-horizontal-relative:page;mso-position-vertical-relative:page;z-index:-314332160" coordorigin="542,2419" coordsize="11086,10908">
            <v:line style="position:absolute" from="1379,2431" to="1379,2810" stroked="true" strokeweight=".360003pt" strokecolor="#ffffff">
              <v:stroke dashstyle="solid"/>
            </v:line>
            <v:shape style="position:absolute;left:542;top:2426;width:3766;height:2909" type="#_x0000_t75" stroked="false">
              <v:imagedata r:id="rId524" o:title=""/>
            </v:shape>
            <v:shape style="position:absolute;left:6926;top:2419;width:1570;height:399" type="#_x0000_t75" stroked="false">
              <v:imagedata r:id="rId525" o:title=""/>
            </v:shape>
            <v:shape style="position:absolute;left:8488;top:2419;width:1570;height:399" type="#_x0000_t75" stroked="false">
              <v:imagedata r:id="rId525" o:title=""/>
            </v:shape>
            <v:shape style="position:absolute;left:8488;top:2419;width:3140;height:1371" type="#_x0000_t75" stroked="false">
              <v:imagedata r:id="rId526" o:title=""/>
            </v:shape>
            <v:shape style="position:absolute;left:6926;top:2812;width:1570;height:977" type="#_x0000_t75" stroked="false">
              <v:imagedata r:id="rId527" o:title=""/>
            </v:shape>
            <v:shape style="position:absolute;left:8488;top:3400;width:3140;height:780" type="#_x0000_t75" stroked="false">
              <v:imagedata r:id="rId528" o:title=""/>
            </v:shape>
            <v:shape style="position:absolute;left:6926;top:3787;width:1570;height:394" type="#_x0000_t75" stroked="false">
              <v:imagedata r:id="rId529" o:title=""/>
            </v:shape>
            <v:shape style="position:absolute;left:6926;top:3787;width:4702;height:780" type="#_x0000_t75" stroked="false">
              <v:imagedata r:id="rId530" o:title=""/>
            </v:shape>
            <v:shape style="position:absolute;left:8488;top:4173;width:3140;height:1162" type="#_x0000_t75" stroked="false">
              <v:imagedata r:id="rId531" o:title=""/>
            </v:shape>
            <v:shape style="position:absolute;left:6926;top:4560;width:1570;height:776" type="#_x0000_t75" stroked="false">
              <v:imagedata r:id="rId532" o:title=""/>
            </v:shape>
            <v:shape style="position:absolute;left:4300;top:4560;width:2633;height:401" type="#_x0000_t75" stroked="false">
              <v:imagedata r:id="rId533" o:title=""/>
            </v:shape>
            <v:shape style="position:absolute;left:8488;top:4939;width:3140;height:1371" type="#_x0000_t75" stroked="false">
              <v:imagedata r:id="rId526" o:title=""/>
            </v:shape>
            <v:shape style="position:absolute;left:6926;top:5332;width:1570;height:977" type="#_x0000_t75" stroked="false">
              <v:imagedata r:id="rId527" o:title=""/>
            </v:shape>
            <v:shape style="position:absolute;left:8488;top:5920;width:3140;height:776" type="#_x0000_t75" stroked="false">
              <v:imagedata r:id="rId757" o:title=""/>
            </v:shape>
            <v:shape style="position:absolute;left:6926;top:6307;width:1570;height:392" type="#_x0000_t75" stroked="false">
              <v:imagedata r:id="rId758" o:title=""/>
            </v:shape>
            <v:shape style="position:absolute;left:8488;top:6307;width:3140;height:776" type="#_x0000_t75" stroked="false">
              <v:imagedata r:id="rId757" o:title=""/>
            </v:shape>
            <v:shape style="position:absolute;left:6926;top:6693;width:1570;height:392" type="#_x0000_t75" stroked="false">
              <v:imagedata r:id="rId759" o:title=""/>
            </v:shape>
            <v:shape style="position:absolute;left:8488;top:6693;width:3140;height:776" type="#_x0000_t75" stroked="false">
              <v:imagedata r:id="rId757" o:title=""/>
            </v:shape>
            <v:shape style="position:absolute;left:6926;top:7080;width:1570;height:392" type="#_x0000_t75" stroked="false">
              <v:imagedata r:id="rId758" o:title=""/>
            </v:shape>
            <v:shape style="position:absolute;left:8488;top:7080;width:3140;height:776" type="#_x0000_t75" stroked="false">
              <v:imagedata r:id="rId757" o:title=""/>
            </v:shape>
            <v:shape style="position:absolute;left:6926;top:7466;width:1570;height:392" type="#_x0000_t75" stroked="false">
              <v:imagedata r:id="rId758" o:title=""/>
            </v:shape>
            <v:shape style="position:absolute;left:8488;top:7466;width:3140;height:776" type="#_x0000_t75" stroked="false">
              <v:imagedata r:id="rId757" o:title=""/>
            </v:shape>
            <v:shape style="position:absolute;left:6926;top:7852;width:1570;height:392" type="#_x0000_t75" stroked="false">
              <v:imagedata r:id="rId758" o:title=""/>
            </v:shape>
            <v:shape style="position:absolute;left:542;top:5332;width:3766;height:4080" type="#_x0000_t75" stroked="false">
              <v:imagedata r:id="rId537" o:title=""/>
            </v:shape>
            <v:shape style="position:absolute;left:8488;top:7852;width:3140;height:776" type="#_x0000_t75" stroked="false">
              <v:imagedata r:id="rId757" o:title=""/>
            </v:shape>
            <v:shape style="position:absolute;left:6926;top:8239;width:1570;height:392" type="#_x0000_t75" stroked="false">
              <v:imagedata r:id="rId758" o:title=""/>
            </v:shape>
            <v:shape style="position:absolute;left:8488;top:8239;width:3140;height:776" type="#_x0000_t75" stroked="false">
              <v:imagedata r:id="rId757" o:title=""/>
            </v:shape>
            <v:shape style="position:absolute;left:6926;top:8625;width:1570;height:392" type="#_x0000_t75" stroked="false">
              <v:imagedata r:id="rId758" o:title=""/>
            </v:shape>
            <v:shape style="position:absolute;left:4300;top:9391;width:2633;height:22" type="#_x0000_t75" stroked="false">
              <v:imagedata r:id="rId817" o:title=""/>
            </v:shape>
            <v:shape style="position:absolute;left:8488;top:8625;width:3140;height:788" type="#_x0000_t75" stroked="false">
              <v:imagedata r:id="rId818" o:title=""/>
            </v:shape>
            <v:shape style="position:absolute;left:6926;top:9012;width:1570;height:401" type="#_x0000_t75" stroked="false">
              <v:imagedata r:id="rId819" o:title=""/>
            </v:shape>
            <v:line style="position:absolute" from="1379,9403" to="1379,9782" stroked="true" strokeweight=".360003pt" strokecolor="#ffffff">
              <v:stroke dashstyle="solid"/>
            </v:line>
            <v:shape style="position:absolute;left:542;top:9398;width:3766;height:804" type="#_x0000_t75" stroked="false">
              <v:imagedata r:id="rId541" o:title=""/>
            </v:shape>
            <v:shape style="position:absolute;left:4300;top:9012;width:7328;height:1191" type="#_x0000_t75" stroked="false">
              <v:imagedata r:id="rId820" o:title=""/>
            </v:shape>
            <v:line style="position:absolute" from="1379,10193" to="1379,10572" stroked="true" strokeweight=".360003pt" strokecolor="#ffffff">
              <v:stroke dashstyle="solid"/>
            </v:line>
            <v:shape style="position:absolute;left:6926;top:9986;width:4702;height:1200" type="#_x0000_t75" stroked="false">
              <v:imagedata r:id="rId543" o:title=""/>
            </v:shape>
            <v:shape style="position:absolute;left:6926;top:10977;width:4702;height:596" type="#_x0000_t75" stroked="false">
              <v:imagedata r:id="rId544" o:title=""/>
            </v:shape>
            <v:shape style="position:absolute;left:6926;top:11179;width:4702;height:982" type="#_x0000_t75" stroked="false">
              <v:imagedata r:id="rId545" o:title=""/>
            </v:shape>
            <v:shape style="position:absolute;left:6926;top:11952;width:4702;height:596" type="#_x0000_t75" stroked="false">
              <v:imagedata r:id="rId544" o:title=""/>
            </v:shape>
            <v:shape style="position:absolute;left:542;top:10188;width:3766;height:3140" type="#_x0000_t75" stroked="false">
              <v:imagedata r:id="rId546" o:title=""/>
            </v:shape>
            <v:shape style="position:absolute;left:10051;top:12153;width:1577;height:394" type="#_x0000_t75" stroked="false">
              <v:imagedata r:id="rId821" o:title=""/>
            </v:shape>
            <v:shape style="position:absolute;left:6926;top:12540;width:1570;height:394" type="#_x0000_t75" stroked="false">
              <v:imagedata r:id="rId529" o:title=""/>
            </v:shape>
            <v:shape style="position:absolute;left:8488;top:12540;width:1570;height:394" type="#_x0000_t75" stroked="false">
              <v:imagedata r:id="rId529" o:title=""/>
            </v:shape>
            <v:rect style="position:absolute;left:10056;top:12544;width:1563;height:387" filled="true" fillcolor="#dfdfdf" stroked="false">
              <v:fill type="solid"/>
            </v:rect>
            <v:shape style="position:absolute;left:4300;top:12540;width:7328;height:788" type="#_x0000_t75" stroked="false">
              <v:imagedata r:id="rId686" o:title=""/>
            </v:shape>
            <v:shape style="position:absolute;left:10051;top:12926;width:1577;height:401" type="#_x0000_t75" stroked="false">
              <v:imagedata r:id="rId549" o:title=""/>
            </v:shape>
            <w10:wrap type="none"/>
          </v:group>
        </w:pict>
      </w:r>
    </w:p>
    <w:p>
      <w:pPr>
        <w:pStyle w:val="BodyText"/>
        <w:rPr>
          <w:sz w:val="20"/>
        </w:rPr>
      </w:pPr>
    </w:p>
    <w:p>
      <w:pPr>
        <w:pStyle w:val="BodyText"/>
        <w:spacing w:before="11"/>
        <w:rPr>
          <w:sz w:val="28"/>
        </w:rPr>
      </w:pPr>
    </w:p>
    <w:tbl>
      <w:tblPr>
        <w:tblW w:w="0" w:type="auto"/>
        <w:jc w:val="left"/>
        <w:tblInd w:w="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66"/>
        <w:gridCol w:w="1518"/>
        <w:gridCol w:w="1115"/>
        <w:gridCol w:w="1782"/>
        <w:gridCol w:w="1518"/>
        <w:gridCol w:w="995"/>
        <w:gridCol w:w="410"/>
      </w:tblGrid>
      <w:tr>
        <w:trPr>
          <w:trHeight w:val="338" w:hRule="atLeast"/>
        </w:trPr>
        <w:tc>
          <w:tcPr>
            <w:tcW w:w="3766" w:type="dxa"/>
          </w:tcPr>
          <w:p>
            <w:pPr>
              <w:pStyle w:val="TableParagraph"/>
              <w:spacing w:before="10"/>
              <w:rPr>
                <w:sz w:val="14"/>
              </w:rPr>
            </w:pPr>
          </w:p>
          <w:p>
            <w:pPr>
              <w:pStyle w:val="TableParagraph"/>
              <w:spacing w:line="147" w:lineRule="exact"/>
              <w:ind w:left="50"/>
              <w:rPr>
                <w:b/>
                <w:sz w:val="14"/>
              </w:rPr>
            </w:pPr>
            <w:r>
              <w:rPr>
                <w:b/>
                <w:w w:val="105"/>
                <w:sz w:val="14"/>
              </w:rPr>
              <w:t>Description</w:t>
            </w:r>
          </w:p>
        </w:tc>
        <w:tc>
          <w:tcPr>
            <w:tcW w:w="1518" w:type="dxa"/>
          </w:tcPr>
          <w:p>
            <w:pPr>
              <w:pStyle w:val="TableParagraph"/>
              <w:spacing w:before="10"/>
              <w:rPr>
                <w:sz w:val="14"/>
              </w:rPr>
            </w:pPr>
          </w:p>
          <w:p>
            <w:pPr>
              <w:pStyle w:val="TableParagraph"/>
              <w:spacing w:line="147" w:lineRule="exact"/>
              <w:ind w:left="244" w:right="122"/>
              <w:jc w:val="center"/>
              <w:rPr>
                <w:b/>
                <w:sz w:val="14"/>
              </w:rPr>
            </w:pPr>
            <w:r>
              <w:rPr>
                <w:b/>
                <w:w w:val="105"/>
                <w:sz w:val="14"/>
              </w:rPr>
              <w:t>Function Codes</w:t>
            </w:r>
          </w:p>
        </w:tc>
        <w:tc>
          <w:tcPr>
            <w:tcW w:w="1115" w:type="dxa"/>
          </w:tcPr>
          <w:p>
            <w:pPr>
              <w:pStyle w:val="TableParagraph"/>
              <w:spacing w:before="10"/>
              <w:rPr>
                <w:sz w:val="14"/>
              </w:rPr>
            </w:pPr>
          </w:p>
          <w:p>
            <w:pPr>
              <w:pStyle w:val="TableParagraph"/>
              <w:spacing w:line="147" w:lineRule="exact"/>
              <w:ind w:left="121" w:right="6"/>
              <w:jc w:val="center"/>
              <w:rPr>
                <w:b/>
                <w:sz w:val="14"/>
              </w:rPr>
            </w:pPr>
            <w:r>
              <w:rPr>
                <w:b/>
                <w:w w:val="105"/>
                <w:sz w:val="14"/>
              </w:rPr>
              <w:t>Object Codes</w:t>
            </w:r>
          </w:p>
        </w:tc>
        <w:tc>
          <w:tcPr>
            <w:tcW w:w="1782" w:type="dxa"/>
          </w:tcPr>
          <w:p>
            <w:pPr>
              <w:pStyle w:val="TableParagraph"/>
              <w:spacing w:before="1"/>
              <w:ind w:left="127" w:right="335"/>
              <w:jc w:val="center"/>
              <w:rPr>
                <w:b/>
                <w:sz w:val="14"/>
              </w:rPr>
            </w:pPr>
            <w:r>
              <w:rPr>
                <w:b/>
                <w:w w:val="105"/>
                <w:sz w:val="14"/>
              </w:rPr>
              <w:t>2020-21</w:t>
            </w:r>
          </w:p>
          <w:p>
            <w:pPr>
              <w:pStyle w:val="TableParagraph"/>
              <w:spacing w:line="147" w:lineRule="exact" w:before="9"/>
              <w:ind w:left="127" w:right="339"/>
              <w:jc w:val="center"/>
              <w:rPr>
                <w:b/>
                <w:sz w:val="14"/>
              </w:rPr>
            </w:pPr>
            <w:r>
              <w:rPr>
                <w:b/>
                <w:w w:val="105"/>
                <w:sz w:val="14"/>
              </w:rPr>
              <w:t>Estimated Actuals</w:t>
            </w:r>
          </w:p>
        </w:tc>
        <w:tc>
          <w:tcPr>
            <w:tcW w:w="1518" w:type="dxa"/>
          </w:tcPr>
          <w:p>
            <w:pPr>
              <w:pStyle w:val="TableParagraph"/>
              <w:spacing w:before="1"/>
              <w:ind w:left="297"/>
              <w:rPr>
                <w:b/>
                <w:sz w:val="14"/>
              </w:rPr>
            </w:pPr>
            <w:r>
              <w:rPr>
                <w:b/>
                <w:w w:val="105"/>
                <w:sz w:val="14"/>
              </w:rPr>
              <w:t>2021-22</w:t>
            </w:r>
          </w:p>
          <w:p>
            <w:pPr>
              <w:pStyle w:val="TableParagraph"/>
              <w:spacing w:line="147" w:lineRule="exact" w:before="9"/>
              <w:ind w:left="314"/>
              <w:rPr>
                <w:b/>
                <w:sz w:val="14"/>
              </w:rPr>
            </w:pPr>
            <w:r>
              <w:rPr>
                <w:b/>
                <w:w w:val="105"/>
                <w:sz w:val="14"/>
              </w:rPr>
              <w:t>Budget</w:t>
            </w:r>
          </w:p>
        </w:tc>
        <w:tc>
          <w:tcPr>
            <w:tcW w:w="995" w:type="dxa"/>
          </w:tcPr>
          <w:p>
            <w:pPr>
              <w:pStyle w:val="TableParagraph"/>
              <w:spacing w:before="1"/>
              <w:ind w:left="342"/>
              <w:rPr>
                <w:b/>
                <w:sz w:val="14"/>
              </w:rPr>
            </w:pPr>
            <w:r>
              <w:rPr>
                <w:b/>
                <w:w w:val="105"/>
                <w:sz w:val="14"/>
              </w:rPr>
              <w:t>Percent</w:t>
            </w:r>
          </w:p>
          <w:p>
            <w:pPr>
              <w:pStyle w:val="TableParagraph"/>
              <w:spacing w:line="147" w:lineRule="exact" w:before="9"/>
              <w:ind w:left="253"/>
              <w:rPr>
                <w:b/>
                <w:sz w:val="14"/>
              </w:rPr>
            </w:pPr>
            <w:r>
              <w:rPr>
                <w:b/>
                <w:w w:val="105"/>
                <w:sz w:val="14"/>
              </w:rPr>
              <w:t>Difference</w:t>
            </w:r>
          </w:p>
        </w:tc>
        <w:tc>
          <w:tcPr>
            <w:tcW w:w="410" w:type="dxa"/>
          </w:tcPr>
          <w:p>
            <w:pPr>
              <w:pStyle w:val="TableParagraph"/>
              <w:rPr>
                <w:rFonts w:ascii="Times New Roman"/>
                <w:sz w:val="14"/>
              </w:rPr>
            </w:pPr>
          </w:p>
        </w:tc>
      </w:tr>
      <w:tr>
        <w:trPr>
          <w:trHeight w:val="594" w:hRule="atLeast"/>
        </w:trPr>
        <w:tc>
          <w:tcPr>
            <w:tcW w:w="3766" w:type="dxa"/>
          </w:tcPr>
          <w:p>
            <w:pPr>
              <w:pStyle w:val="TableParagraph"/>
              <w:rPr>
                <w:sz w:val="19"/>
              </w:rPr>
            </w:pPr>
          </w:p>
          <w:p>
            <w:pPr>
              <w:pStyle w:val="TableParagraph"/>
              <w:ind w:left="50"/>
              <w:rPr>
                <w:b/>
                <w:sz w:val="14"/>
              </w:rPr>
            </w:pPr>
            <w:r>
              <w:rPr>
                <w:b/>
                <w:w w:val="105"/>
                <w:sz w:val="14"/>
              </w:rPr>
              <w:t>A. REVENUES</w:t>
            </w:r>
          </w:p>
        </w:tc>
        <w:tc>
          <w:tcPr>
            <w:tcW w:w="1518" w:type="dxa"/>
          </w:tcPr>
          <w:p>
            <w:pPr>
              <w:pStyle w:val="TableParagraph"/>
              <w:rPr>
                <w:rFonts w:ascii="Times New Roman"/>
                <w:sz w:val="14"/>
              </w:rPr>
            </w:pPr>
          </w:p>
        </w:tc>
        <w:tc>
          <w:tcPr>
            <w:tcW w:w="1115" w:type="dxa"/>
          </w:tcPr>
          <w:p>
            <w:pPr>
              <w:pStyle w:val="TableParagraph"/>
              <w:rPr>
                <w:rFonts w:ascii="Times New Roman"/>
                <w:sz w:val="14"/>
              </w:rPr>
            </w:pPr>
          </w:p>
        </w:tc>
        <w:tc>
          <w:tcPr>
            <w:tcW w:w="1782" w:type="dxa"/>
          </w:tcPr>
          <w:p>
            <w:pPr>
              <w:pStyle w:val="TableParagraph"/>
              <w:rPr>
                <w:rFonts w:ascii="Times New Roman"/>
                <w:sz w:val="14"/>
              </w:rPr>
            </w:pPr>
          </w:p>
        </w:tc>
        <w:tc>
          <w:tcPr>
            <w:tcW w:w="1518" w:type="dxa"/>
          </w:tcPr>
          <w:p>
            <w:pPr>
              <w:pStyle w:val="TableParagraph"/>
              <w:rPr>
                <w:rFonts w:ascii="Times New Roman"/>
                <w:sz w:val="14"/>
              </w:rPr>
            </w:pPr>
          </w:p>
        </w:tc>
        <w:tc>
          <w:tcPr>
            <w:tcW w:w="995" w:type="dxa"/>
            <w:shd w:val="clear" w:color="auto" w:fill="DFDFDF"/>
          </w:tcPr>
          <w:p>
            <w:pPr>
              <w:pStyle w:val="TableParagraph"/>
              <w:rPr>
                <w:rFonts w:ascii="Times New Roman"/>
                <w:sz w:val="14"/>
              </w:rPr>
            </w:pPr>
          </w:p>
        </w:tc>
        <w:tc>
          <w:tcPr>
            <w:tcW w:w="410" w:type="dxa"/>
            <w:shd w:val="clear" w:color="auto" w:fill="DFDFDF"/>
          </w:tcPr>
          <w:p>
            <w:pPr>
              <w:pStyle w:val="TableParagraph"/>
              <w:rPr>
                <w:rFonts w:ascii="Times New Roman"/>
                <w:sz w:val="14"/>
              </w:rPr>
            </w:pPr>
          </w:p>
        </w:tc>
      </w:tr>
      <w:tr>
        <w:trPr>
          <w:trHeight w:val="488" w:hRule="atLeast"/>
        </w:trPr>
        <w:tc>
          <w:tcPr>
            <w:tcW w:w="3766" w:type="dxa"/>
          </w:tcPr>
          <w:p>
            <w:pPr>
              <w:pStyle w:val="TableParagraph"/>
              <w:spacing w:before="7"/>
              <w:rPr>
                <w:sz w:val="18"/>
              </w:rPr>
            </w:pPr>
          </w:p>
          <w:p>
            <w:pPr>
              <w:pStyle w:val="TableParagraph"/>
              <w:ind w:left="212"/>
              <w:rPr>
                <w:sz w:val="14"/>
              </w:rPr>
            </w:pPr>
            <w:r>
              <w:rPr>
                <w:w w:val="105"/>
                <w:sz w:val="14"/>
              </w:rPr>
              <w:t>1) LCFF Sources</w:t>
            </w:r>
          </w:p>
        </w:tc>
        <w:tc>
          <w:tcPr>
            <w:tcW w:w="1518" w:type="dxa"/>
          </w:tcPr>
          <w:p>
            <w:pPr>
              <w:pStyle w:val="TableParagraph"/>
              <w:rPr>
                <w:rFonts w:ascii="Times New Roman"/>
                <w:sz w:val="14"/>
              </w:rPr>
            </w:pPr>
          </w:p>
        </w:tc>
        <w:tc>
          <w:tcPr>
            <w:tcW w:w="1115" w:type="dxa"/>
          </w:tcPr>
          <w:p>
            <w:pPr>
              <w:pStyle w:val="TableParagraph"/>
              <w:spacing w:before="7"/>
              <w:rPr>
                <w:sz w:val="18"/>
              </w:rPr>
            </w:pPr>
          </w:p>
          <w:p>
            <w:pPr>
              <w:pStyle w:val="TableParagraph"/>
              <w:ind w:left="118" w:right="6"/>
              <w:jc w:val="center"/>
              <w:rPr>
                <w:sz w:val="14"/>
              </w:rPr>
            </w:pPr>
            <w:r>
              <w:rPr>
                <w:w w:val="105"/>
                <w:sz w:val="14"/>
              </w:rPr>
              <w:t>8010-8099</w:t>
            </w:r>
          </w:p>
        </w:tc>
        <w:tc>
          <w:tcPr>
            <w:tcW w:w="1782" w:type="dxa"/>
            <w:shd w:val="clear" w:color="auto" w:fill="DFDFDF"/>
          </w:tcPr>
          <w:p>
            <w:pPr>
              <w:pStyle w:val="TableParagraph"/>
              <w:spacing w:before="7"/>
              <w:rPr>
                <w:sz w:val="18"/>
              </w:rPr>
            </w:pPr>
          </w:p>
          <w:p>
            <w:pPr>
              <w:pStyle w:val="TableParagraph"/>
              <w:ind w:right="299"/>
              <w:jc w:val="right"/>
              <w:rPr>
                <w:sz w:val="14"/>
              </w:rPr>
            </w:pPr>
            <w:r>
              <w:rPr>
                <w:sz w:val="14"/>
              </w:rPr>
              <w:t>0.00</w:t>
            </w:r>
          </w:p>
        </w:tc>
        <w:tc>
          <w:tcPr>
            <w:tcW w:w="1518" w:type="dxa"/>
            <w:shd w:val="clear" w:color="auto" w:fill="DFDFDF"/>
          </w:tcPr>
          <w:p>
            <w:pPr>
              <w:pStyle w:val="TableParagraph"/>
              <w:spacing w:before="7"/>
              <w:rPr>
                <w:sz w:val="18"/>
              </w:rPr>
            </w:pPr>
          </w:p>
          <w:p>
            <w:pPr>
              <w:pStyle w:val="TableParagraph"/>
              <w:ind w:right="254"/>
              <w:jc w:val="right"/>
              <w:rPr>
                <w:sz w:val="14"/>
              </w:rPr>
            </w:pPr>
            <w:r>
              <w:rPr>
                <w:sz w:val="14"/>
              </w:rPr>
              <w:t>0.00</w:t>
            </w:r>
          </w:p>
        </w:tc>
        <w:tc>
          <w:tcPr>
            <w:tcW w:w="995" w:type="dxa"/>
            <w:shd w:val="clear" w:color="auto" w:fill="DFDFDF"/>
          </w:tcPr>
          <w:p>
            <w:pPr>
              <w:pStyle w:val="TableParagraph"/>
              <w:rPr>
                <w:rFonts w:ascii="Times New Roman"/>
                <w:sz w:val="14"/>
              </w:rPr>
            </w:pPr>
          </w:p>
        </w:tc>
        <w:tc>
          <w:tcPr>
            <w:tcW w:w="410" w:type="dxa"/>
            <w:shd w:val="clear" w:color="auto" w:fill="DFDFDF"/>
          </w:tcPr>
          <w:p>
            <w:pPr>
              <w:pStyle w:val="TableParagraph"/>
              <w:spacing w:before="7"/>
              <w:rPr>
                <w:sz w:val="18"/>
              </w:rPr>
            </w:pPr>
          </w:p>
          <w:p>
            <w:pPr>
              <w:pStyle w:val="TableParagraph"/>
              <w:ind w:right="48"/>
              <w:jc w:val="right"/>
              <w:rPr>
                <w:sz w:val="14"/>
              </w:rPr>
            </w:pPr>
            <w:r>
              <w:rPr>
                <w:sz w:val="14"/>
              </w:rPr>
              <w:t>0.0%</w:t>
            </w:r>
          </w:p>
        </w:tc>
      </w:tr>
      <w:tr>
        <w:trPr>
          <w:trHeight w:val="386" w:hRule="atLeast"/>
        </w:trPr>
        <w:tc>
          <w:tcPr>
            <w:tcW w:w="3766" w:type="dxa"/>
          </w:tcPr>
          <w:p>
            <w:pPr>
              <w:pStyle w:val="TableParagraph"/>
              <w:spacing w:before="112"/>
              <w:ind w:left="212"/>
              <w:rPr>
                <w:sz w:val="14"/>
              </w:rPr>
            </w:pPr>
            <w:r>
              <w:rPr>
                <w:w w:val="105"/>
                <w:sz w:val="14"/>
              </w:rPr>
              <w:t>2) Federal Revenue</w:t>
            </w:r>
          </w:p>
        </w:tc>
        <w:tc>
          <w:tcPr>
            <w:tcW w:w="1518" w:type="dxa"/>
          </w:tcPr>
          <w:p>
            <w:pPr>
              <w:pStyle w:val="TableParagraph"/>
              <w:rPr>
                <w:rFonts w:ascii="Times New Roman"/>
                <w:sz w:val="14"/>
              </w:rPr>
            </w:pPr>
          </w:p>
        </w:tc>
        <w:tc>
          <w:tcPr>
            <w:tcW w:w="1115" w:type="dxa"/>
          </w:tcPr>
          <w:p>
            <w:pPr>
              <w:pStyle w:val="TableParagraph"/>
              <w:spacing w:before="112"/>
              <w:ind w:left="118" w:right="6"/>
              <w:jc w:val="center"/>
              <w:rPr>
                <w:sz w:val="14"/>
              </w:rPr>
            </w:pPr>
            <w:r>
              <w:rPr>
                <w:w w:val="105"/>
                <w:sz w:val="14"/>
              </w:rPr>
              <w:t>8100-8299</w:t>
            </w:r>
          </w:p>
        </w:tc>
        <w:tc>
          <w:tcPr>
            <w:tcW w:w="1782" w:type="dxa"/>
            <w:shd w:val="clear" w:color="auto" w:fill="DFDFDF"/>
          </w:tcPr>
          <w:p>
            <w:pPr>
              <w:pStyle w:val="TableParagraph"/>
              <w:spacing w:before="112"/>
              <w:ind w:right="299"/>
              <w:jc w:val="right"/>
              <w:rPr>
                <w:sz w:val="14"/>
              </w:rPr>
            </w:pPr>
            <w:r>
              <w:rPr>
                <w:sz w:val="14"/>
              </w:rPr>
              <w:t>0.00</w:t>
            </w:r>
          </w:p>
        </w:tc>
        <w:tc>
          <w:tcPr>
            <w:tcW w:w="1518" w:type="dxa"/>
            <w:shd w:val="clear" w:color="auto" w:fill="DFDFDF"/>
          </w:tcPr>
          <w:p>
            <w:pPr>
              <w:pStyle w:val="TableParagraph"/>
              <w:spacing w:before="112"/>
              <w:ind w:right="254"/>
              <w:jc w:val="right"/>
              <w:rPr>
                <w:sz w:val="14"/>
              </w:rPr>
            </w:pPr>
            <w:r>
              <w:rPr>
                <w:sz w:val="14"/>
              </w:rPr>
              <w:t>0.00</w:t>
            </w:r>
          </w:p>
        </w:tc>
        <w:tc>
          <w:tcPr>
            <w:tcW w:w="995" w:type="dxa"/>
            <w:shd w:val="clear" w:color="auto" w:fill="DFDFDF"/>
          </w:tcPr>
          <w:p>
            <w:pPr>
              <w:pStyle w:val="TableParagraph"/>
              <w:rPr>
                <w:rFonts w:ascii="Times New Roman"/>
                <w:sz w:val="14"/>
              </w:rPr>
            </w:pPr>
          </w:p>
        </w:tc>
        <w:tc>
          <w:tcPr>
            <w:tcW w:w="410" w:type="dxa"/>
            <w:shd w:val="clear" w:color="auto" w:fill="DFDFDF"/>
          </w:tcPr>
          <w:p>
            <w:pPr>
              <w:pStyle w:val="TableParagraph"/>
              <w:spacing w:before="112"/>
              <w:ind w:right="48"/>
              <w:jc w:val="right"/>
              <w:rPr>
                <w:sz w:val="14"/>
              </w:rPr>
            </w:pPr>
            <w:r>
              <w:rPr>
                <w:sz w:val="14"/>
              </w:rPr>
              <w:t>0.0%</w:t>
            </w:r>
          </w:p>
        </w:tc>
      </w:tr>
      <w:tr>
        <w:trPr>
          <w:trHeight w:val="277" w:hRule="atLeast"/>
        </w:trPr>
        <w:tc>
          <w:tcPr>
            <w:tcW w:w="3766" w:type="dxa"/>
          </w:tcPr>
          <w:p>
            <w:pPr>
              <w:pStyle w:val="TableParagraph"/>
              <w:spacing w:line="145" w:lineRule="exact" w:before="112"/>
              <w:ind w:left="212"/>
              <w:rPr>
                <w:sz w:val="14"/>
              </w:rPr>
            </w:pPr>
            <w:r>
              <w:rPr>
                <w:w w:val="105"/>
                <w:sz w:val="14"/>
              </w:rPr>
              <w:t>3) Other State Revenue</w:t>
            </w:r>
          </w:p>
        </w:tc>
        <w:tc>
          <w:tcPr>
            <w:tcW w:w="1518" w:type="dxa"/>
          </w:tcPr>
          <w:p>
            <w:pPr>
              <w:pStyle w:val="TableParagraph"/>
              <w:rPr>
                <w:rFonts w:ascii="Times New Roman"/>
                <w:sz w:val="14"/>
              </w:rPr>
            </w:pPr>
          </w:p>
        </w:tc>
        <w:tc>
          <w:tcPr>
            <w:tcW w:w="1115" w:type="dxa"/>
          </w:tcPr>
          <w:p>
            <w:pPr>
              <w:pStyle w:val="TableParagraph"/>
              <w:spacing w:line="145" w:lineRule="exact" w:before="112"/>
              <w:ind w:left="118" w:right="6"/>
              <w:jc w:val="center"/>
              <w:rPr>
                <w:sz w:val="14"/>
              </w:rPr>
            </w:pPr>
            <w:r>
              <w:rPr>
                <w:w w:val="105"/>
                <w:sz w:val="14"/>
              </w:rPr>
              <w:t>8300-8599</w:t>
            </w:r>
          </w:p>
        </w:tc>
        <w:tc>
          <w:tcPr>
            <w:tcW w:w="1782" w:type="dxa"/>
          </w:tcPr>
          <w:p>
            <w:pPr>
              <w:pStyle w:val="TableParagraph"/>
              <w:spacing w:line="145" w:lineRule="exact" w:before="112"/>
              <w:ind w:right="299"/>
              <w:jc w:val="right"/>
              <w:rPr>
                <w:sz w:val="14"/>
              </w:rPr>
            </w:pPr>
            <w:r>
              <w:rPr>
                <w:sz w:val="14"/>
              </w:rPr>
              <w:t>0.00</w:t>
            </w:r>
          </w:p>
        </w:tc>
        <w:tc>
          <w:tcPr>
            <w:tcW w:w="1518" w:type="dxa"/>
            <w:shd w:val="clear" w:color="auto" w:fill="DFDFDF"/>
          </w:tcPr>
          <w:p>
            <w:pPr>
              <w:pStyle w:val="TableParagraph"/>
              <w:spacing w:line="145" w:lineRule="exact" w:before="112"/>
              <w:ind w:right="254"/>
              <w:jc w:val="right"/>
              <w:rPr>
                <w:sz w:val="14"/>
              </w:rPr>
            </w:pPr>
            <w:r>
              <w:rPr>
                <w:sz w:val="14"/>
              </w:rPr>
              <w:t>0.00</w:t>
            </w:r>
          </w:p>
        </w:tc>
        <w:tc>
          <w:tcPr>
            <w:tcW w:w="995" w:type="dxa"/>
            <w:shd w:val="clear" w:color="auto" w:fill="DFDFDF"/>
          </w:tcPr>
          <w:p>
            <w:pPr>
              <w:pStyle w:val="TableParagraph"/>
              <w:rPr>
                <w:rFonts w:ascii="Times New Roman"/>
                <w:sz w:val="14"/>
              </w:rPr>
            </w:pPr>
          </w:p>
        </w:tc>
        <w:tc>
          <w:tcPr>
            <w:tcW w:w="410" w:type="dxa"/>
            <w:shd w:val="clear" w:color="auto" w:fill="DFDFDF"/>
          </w:tcPr>
          <w:p>
            <w:pPr>
              <w:pStyle w:val="TableParagraph"/>
              <w:spacing w:line="145" w:lineRule="exact" w:before="112"/>
              <w:ind w:right="48"/>
              <w:jc w:val="right"/>
              <w:rPr>
                <w:sz w:val="14"/>
              </w:rPr>
            </w:pPr>
            <w:r>
              <w:rPr>
                <w:sz w:val="14"/>
              </w:rPr>
              <w:t>0.0%</w:t>
            </w:r>
          </w:p>
        </w:tc>
      </w:tr>
      <w:tr>
        <w:trPr>
          <w:trHeight w:val="495" w:hRule="atLeast"/>
        </w:trPr>
        <w:tc>
          <w:tcPr>
            <w:tcW w:w="3766" w:type="dxa"/>
          </w:tcPr>
          <w:p>
            <w:pPr>
              <w:pStyle w:val="TableParagraph"/>
              <w:spacing w:before="3"/>
              <w:rPr>
                <w:sz w:val="19"/>
              </w:rPr>
            </w:pPr>
          </w:p>
          <w:p>
            <w:pPr>
              <w:pStyle w:val="TableParagraph"/>
              <w:ind w:left="212"/>
              <w:rPr>
                <w:sz w:val="14"/>
              </w:rPr>
            </w:pPr>
            <w:r>
              <w:rPr>
                <w:w w:val="105"/>
                <w:sz w:val="14"/>
              </w:rPr>
              <w:t>4) Other Local Revenue</w:t>
            </w:r>
          </w:p>
        </w:tc>
        <w:tc>
          <w:tcPr>
            <w:tcW w:w="1518" w:type="dxa"/>
          </w:tcPr>
          <w:p>
            <w:pPr>
              <w:pStyle w:val="TableParagraph"/>
              <w:rPr>
                <w:rFonts w:ascii="Times New Roman"/>
                <w:sz w:val="14"/>
              </w:rPr>
            </w:pPr>
          </w:p>
        </w:tc>
        <w:tc>
          <w:tcPr>
            <w:tcW w:w="1115" w:type="dxa"/>
          </w:tcPr>
          <w:p>
            <w:pPr>
              <w:pStyle w:val="TableParagraph"/>
              <w:spacing w:before="3"/>
              <w:rPr>
                <w:sz w:val="19"/>
              </w:rPr>
            </w:pPr>
          </w:p>
          <w:p>
            <w:pPr>
              <w:pStyle w:val="TableParagraph"/>
              <w:ind w:left="118" w:right="6"/>
              <w:jc w:val="center"/>
              <w:rPr>
                <w:sz w:val="14"/>
              </w:rPr>
            </w:pPr>
            <w:r>
              <w:rPr>
                <w:w w:val="105"/>
                <w:sz w:val="14"/>
              </w:rPr>
              <w:t>8600-8799</w:t>
            </w:r>
          </w:p>
        </w:tc>
        <w:tc>
          <w:tcPr>
            <w:tcW w:w="1782" w:type="dxa"/>
          </w:tcPr>
          <w:p>
            <w:pPr>
              <w:pStyle w:val="TableParagraph"/>
              <w:spacing w:before="3"/>
              <w:rPr>
                <w:sz w:val="19"/>
              </w:rPr>
            </w:pPr>
          </w:p>
          <w:p>
            <w:pPr>
              <w:pStyle w:val="TableParagraph"/>
              <w:ind w:right="298"/>
              <w:jc w:val="right"/>
              <w:rPr>
                <w:sz w:val="14"/>
              </w:rPr>
            </w:pPr>
            <w:r>
              <w:rPr>
                <w:sz w:val="14"/>
              </w:rPr>
              <w:t>5,451.00</w:t>
            </w:r>
          </w:p>
        </w:tc>
        <w:tc>
          <w:tcPr>
            <w:tcW w:w="1518" w:type="dxa"/>
          </w:tcPr>
          <w:p>
            <w:pPr>
              <w:pStyle w:val="TableParagraph"/>
              <w:spacing w:before="3"/>
              <w:rPr>
                <w:sz w:val="19"/>
              </w:rPr>
            </w:pPr>
          </w:p>
          <w:p>
            <w:pPr>
              <w:pStyle w:val="TableParagraph"/>
              <w:ind w:right="253"/>
              <w:jc w:val="right"/>
              <w:rPr>
                <w:sz w:val="14"/>
              </w:rPr>
            </w:pPr>
            <w:r>
              <w:rPr>
                <w:sz w:val="14"/>
              </w:rPr>
              <w:t>5,451.00</w:t>
            </w:r>
          </w:p>
        </w:tc>
        <w:tc>
          <w:tcPr>
            <w:tcW w:w="995" w:type="dxa"/>
          </w:tcPr>
          <w:p>
            <w:pPr>
              <w:pStyle w:val="TableParagraph"/>
              <w:rPr>
                <w:rFonts w:ascii="Times New Roman"/>
                <w:sz w:val="14"/>
              </w:rPr>
            </w:pPr>
          </w:p>
        </w:tc>
        <w:tc>
          <w:tcPr>
            <w:tcW w:w="410" w:type="dxa"/>
          </w:tcPr>
          <w:p>
            <w:pPr>
              <w:pStyle w:val="TableParagraph"/>
              <w:spacing w:before="3"/>
              <w:rPr>
                <w:sz w:val="19"/>
              </w:rPr>
            </w:pPr>
          </w:p>
          <w:p>
            <w:pPr>
              <w:pStyle w:val="TableParagraph"/>
              <w:ind w:right="48"/>
              <w:jc w:val="right"/>
              <w:rPr>
                <w:sz w:val="14"/>
              </w:rPr>
            </w:pPr>
            <w:r>
              <w:rPr>
                <w:sz w:val="14"/>
              </w:rPr>
              <w:t>0.0%</w:t>
            </w:r>
          </w:p>
        </w:tc>
      </w:tr>
      <w:tr>
        <w:trPr>
          <w:trHeight w:val="277" w:hRule="atLeast"/>
        </w:trPr>
        <w:tc>
          <w:tcPr>
            <w:tcW w:w="3766" w:type="dxa"/>
          </w:tcPr>
          <w:p>
            <w:pPr>
              <w:pStyle w:val="TableParagraph"/>
              <w:spacing w:line="145" w:lineRule="exact" w:before="112"/>
              <w:ind w:left="212"/>
              <w:rPr>
                <w:sz w:val="14"/>
              </w:rPr>
            </w:pPr>
            <w:r>
              <w:rPr>
                <w:w w:val="105"/>
                <w:sz w:val="14"/>
              </w:rPr>
              <w:t>5) TOTAL, REVENUES</w:t>
            </w:r>
          </w:p>
        </w:tc>
        <w:tc>
          <w:tcPr>
            <w:tcW w:w="1518" w:type="dxa"/>
          </w:tcPr>
          <w:p>
            <w:pPr>
              <w:pStyle w:val="TableParagraph"/>
              <w:rPr>
                <w:rFonts w:ascii="Times New Roman"/>
                <w:sz w:val="14"/>
              </w:rPr>
            </w:pPr>
          </w:p>
        </w:tc>
        <w:tc>
          <w:tcPr>
            <w:tcW w:w="1115" w:type="dxa"/>
          </w:tcPr>
          <w:p>
            <w:pPr>
              <w:pStyle w:val="TableParagraph"/>
              <w:rPr>
                <w:rFonts w:ascii="Times New Roman"/>
                <w:sz w:val="14"/>
              </w:rPr>
            </w:pPr>
          </w:p>
        </w:tc>
        <w:tc>
          <w:tcPr>
            <w:tcW w:w="1782" w:type="dxa"/>
          </w:tcPr>
          <w:p>
            <w:pPr>
              <w:pStyle w:val="TableParagraph"/>
              <w:spacing w:line="145" w:lineRule="exact" w:before="112"/>
              <w:ind w:right="298"/>
              <w:jc w:val="right"/>
              <w:rPr>
                <w:sz w:val="14"/>
              </w:rPr>
            </w:pPr>
            <w:r>
              <w:rPr>
                <w:sz w:val="14"/>
              </w:rPr>
              <w:t>5,451.00</w:t>
            </w:r>
          </w:p>
        </w:tc>
        <w:tc>
          <w:tcPr>
            <w:tcW w:w="1518" w:type="dxa"/>
          </w:tcPr>
          <w:p>
            <w:pPr>
              <w:pStyle w:val="TableParagraph"/>
              <w:spacing w:line="145" w:lineRule="exact" w:before="112"/>
              <w:ind w:right="253"/>
              <w:jc w:val="right"/>
              <w:rPr>
                <w:sz w:val="14"/>
              </w:rPr>
            </w:pPr>
            <w:r>
              <w:rPr>
                <w:sz w:val="14"/>
              </w:rPr>
              <w:t>5,451.00</w:t>
            </w:r>
          </w:p>
        </w:tc>
        <w:tc>
          <w:tcPr>
            <w:tcW w:w="995" w:type="dxa"/>
          </w:tcPr>
          <w:p>
            <w:pPr>
              <w:pStyle w:val="TableParagraph"/>
              <w:rPr>
                <w:rFonts w:ascii="Times New Roman"/>
                <w:sz w:val="14"/>
              </w:rPr>
            </w:pPr>
          </w:p>
        </w:tc>
        <w:tc>
          <w:tcPr>
            <w:tcW w:w="410" w:type="dxa"/>
          </w:tcPr>
          <w:p>
            <w:pPr>
              <w:pStyle w:val="TableParagraph"/>
              <w:spacing w:line="145" w:lineRule="exact" w:before="112"/>
              <w:ind w:right="48"/>
              <w:jc w:val="right"/>
              <w:rPr>
                <w:sz w:val="14"/>
              </w:rPr>
            </w:pPr>
            <w:r>
              <w:rPr>
                <w:sz w:val="14"/>
              </w:rPr>
              <w:t>0.0%</w:t>
            </w:r>
          </w:p>
        </w:tc>
      </w:tr>
      <w:tr>
        <w:trPr>
          <w:trHeight w:val="808" w:hRule="atLeast"/>
        </w:trPr>
        <w:tc>
          <w:tcPr>
            <w:tcW w:w="6399" w:type="dxa"/>
            <w:gridSpan w:val="3"/>
          </w:tcPr>
          <w:p>
            <w:pPr>
              <w:pStyle w:val="TableParagraph"/>
              <w:rPr>
                <w:sz w:val="19"/>
              </w:rPr>
            </w:pPr>
          </w:p>
          <w:p>
            <w:pPr>
              <w:pStyle w:val="TableParagraph"/>
              <w:ind w:left="50"/>
              <w:rPr>
                <w:b/>
                <w:sz w:val="14"/>
              </w:rPr>
            </w:pPr>
            <w:r>
              <w:rPr>
                <w:b/>
                <w:w w:val="105"/>
                <w:sz w:val="14"/>
              </w:rPr>
              <w:t>B. EXPENDITURES (Objects 1000-7999)</w:t>
            </w:r>
          </w:p>
        </w:tc>
        <w:tc>
          <w:tcPr>
            <w:tcW w:w="4705" w:type="dxa"/>
            <w:gridSpan w:val="4"/>
            <w:shd w:val="clear" w:color="auto" w:fill="DFDFDF"/>
          </w:tcPr>
          <w:p>
            <w:pPr>
              <w:pStyle w:val="TableParagraph"/>
              <w:rPr>
                <w:rFonts w:ascii="Times New Roman"/>
                <w:sz w:val="14"/>
              </w:rPr>
            </w:pPr>
          </w:p>
        </w:tc>
      </w:tr>
      <w:tr>
        <w:trPr>
          <w:trHeight w:val="274" w:hRule="atLeast"/>
        </w:trPr>
        <w:tc>
          <w:tcPr>
            <w:tcW w:w="3766" w:type="dxa"/>
          </w:tcPr>
          <w:p>
            <w:pPr>
              <w:pStyle w:val="TableParagraph"/>
              <w:spacing w:before="1"/>
              <w:ind w:left="212"/>
              <w:rPr>
                <w:sz w:val="14"/>
              </w:rPr>
            </w:pPr>
            <w:r>
              <w:rPr>
                <w:w w:val="105"/>
                <w:sz w:val="14"/>
              </w:rPr>
              <w:t>1) Instruction</w:t>
            </w:r>
          </w:p>
        </w:tc>
        <w:tc>
          <w:tcPr>
            <w:tcW w:w="1518" w:type="dxa"/>
          </w:tcPr>
          <w:p>
            <w:pPr>
              <w:pStyle w:val="TableParagraph"/>
              <w:spacing w:before="1"/>
              <w:ind w:left="241" w:right="122"/>
              <w:jc w:val="center"/>
              <w:rPr>
                <w:sz w:val="14"/>
              </w:rPr>
            </w:pPr>
            <w:r>
              <w:rPr>
                <w:w w:val="105"/>
                <w:sz w:val="14"/>
              </w:rPr>
              <w:t>1000-1999</w:t>
            </w:r>
          </w:p>
        </w:tc>
        <w:tc>
          <w:tcPr>
            <w:tcW w:w="1115" w:type="dxa"/>
          </w:tcPr>
          <w:p>
            <w:pPr>
              <w:pStyle w:val="TableParagraph"/>
              <w:rPr>
                <w:rFonts w:ascii="Times New Roman"/>
                <w:sz w:val="14"/>
              </w:rPr>
            </w:pPr>
          </w:p>
        </w:tc>
        <w:tc>
          <w:tcPr>
            <w:tcW w:w="1782" w:type="dxa"/>
            <w:shd w:val="clear" w:color="auto" w:fill="DFDFDF"/>
          </w:tcPr>
          <w:p>
            <w:pPr>
              <w:pStyle w:val="TableParagraph"/>
              <w:spacing w:before="1"/>
              <w:ind w:right="299"/>
              <w:jc w:val="right"/>
              <w:rPr>
                <w:sz w:val="14"/>
              </w:rPr>
            </w:pPr>
            <w:r>
              <w:rPr>
                <w:sz w:val="14"/>
              </w:rPr>
              <w:t>0.00</w:t>
            </w:r>
          </w:p>
        </w:tc>
        <w:tc>
          <w:tcPr>
            <w:tcW w:w="1518" w:type="dxa"/>
            <w:shd w:val="clear" w:color="auto" w:fill="DFDFDF"/>
          </w:tcPr>
          <w:p>
            <w:pPr>
              <w:pStyle w:val="TableParagraph"/>
              <w:spacing w:before="1"/>
              <w:ind w:right="254"/>
              <w:jc w:val="right"/>
              <w:rPr>
                <w:sz w:val="14"/>
              </w:rPr>
            </w:pPr>
            <w:r>
              <w:rPr>
                <w:sz w:val="14"/>
              </w:rPr>
              <w:t>0.00</w:t>
            </w:r>
          </w:p>
        </w:tc>
        <w:tc>
          <w:tcPr>
            <w:tcW w:w="1405" w:type="dxa"/>
            <w:gridSpan w:val="2"/>
            <w:shd w:val="clear" w:color="auto" w:fill="DFDFDF"/>
          </w:tcPr>
          <w:p>
            <w:pPr>
              <w:pStyle w:val="TableParagraph"/>
              <w:spacing w:before="1"/>
              <w:ind w:right="48"/>
              <w:jc w:val="right"/>
              <w:rPr>
                <w:sz w:val="14"/>
              </w:rPr>
            </w:pPr>
            <w:r>
              <w:rPr>
                <w:sz w:val="14"/>
              </w:rPr>
              <w:t>0.0%</w:t>
            </w:r>
          </w:p>
        </w:tc>
      </w:tr>
      <w:tr>
        <w:trPr>
          <w:trHeight w:val="386" w:hRule="atLeast"/>
        </w:trPr>
        <w:tc>
          <w:tcPr>
            <w:tcW w:w="3766" w:type="dxa"/>
          </w:tcPr>
          <w:p>
            <w:pPr>
              <w:pStyle w:val="TableParagraph"/>
              <w:spacing w:before="112"/>
              <w:ind w:left="212"/>
              <w:rPr>
                <w:sz w:val="14"/>
              </w:rPr>
            </w:pPr>
            <w:r>
              <w:rPr>
                <w:w w:val="105"/>
                <w:sz w:val="14"/>
              </w:rPr>
              <w:t>2) Instruction - Related Services</w:t>
            </w:r>
          </w:p>
        </w:tc>
        <w:tc>
          <w:tcPr>
            <w:tcW w:w="1518" w:type="dxa"/>
          </w:tcPr>
          <w:p>
            <w:pPr>
              <w:pStyle w:val="TableParagraph"/>
              <w:spacing w:before="112"/>
              <w:ind w:left="241" w:right="122"/>
              <w:jc w:val="center"/>
              <w:rPr>
                <w:sz w:val="14"/>
              </w:rPr>
            </w:pPr>
            <w:r>
              <w:rPr>
                <w:w w:val="105"/>
                <w:sz w:val="14"/>
              </w:rPr>
              <w:t>2000-2999</w:t>
            </w:r>
          </w:p>
        </w:tc>
        <w:tc>
          <w:tcPr>
            <w:tcW w:w="1115" w:type="dxa"/>
          </w:tcPr>
          <w:p>
            <w:pPr>
              <w:pStyle w:val="TableParagraph"/>
              <w:rPr>
                <w:rFonts w:ascii="Times New Roman"/>
                <w:sz w:val="14"/>
              </w:rPr>
            </w:pPr>
          </w:p>
        </w:tc>
        <w:tc>
          <w:tcPr>
            <w:tcW w:w="1782" w:type="dxa"/>
            <w:shd w:val="clear" w:color="auto" w:fill="DFDFDF"/>
          </w:tcPr>
          <w:p>
            <w:pPr>
              <w:pStyle w:val="TableParagraph"/>
              <w:spacing w:before="112"/>
              <w:ind w:right="299"/>
              <w:jc w:val="right"/>
              <w:rPr>
                <w:sz w:val="14"/>
              </w:rPr>
            </w:pPr>
            <w:r>
              <w:rPr>
                <w:sz w:val="14"/>
              </w:rPr>
              <w:t>0.00</w:t>
            </w:r>
          </w:p>
        </w:tc>
        <w:tc>
          <w:tcPr>
            <w:tcW w:w="1518" w:type="dxa"/>
            <w:shd w:val="clear" w:color="auto" w:fill="DFDFDF"/>
          </w:tcPr>
          <w:p>
            <w:pPr>
              <w:pStyle w:val="TableParagraph"/>
              <w:spacing w:before="112"/>
              <w:ind w:right="254"/>
              <w:jc w:val="right"/>
              <w:rPr>
                <w:sz w:val="14"/>
              </w:rPr>
            </w:pPr>
            <w:r>
              <w:rPr>
                <w:sz w:val="14"/>
              </w:rPr>
              <w:t>0.00</w:t>
            </w:r>
          </w:p>
        </w:tc>
        <w:tc>
          <w:tcPr>
            <w:tcW w:w="1405" w:type="dxa"/>
            <w:gridSpan w:val="2"/>
            <w:shd w:val="clear" w:color="auto" w:fill="DFDFDF"/>
          </w:tcPr>
          <w:p>
            <w:pPr>
              <w:pStyle w:val="TableParagraph"/>
              <w:spacing w:before="112"/>
              <w:ind w:right="48"/>
              <w:jc w:val="right"/>
              <w:rPr>
                <w:sz w:val="14"/>
              </w:rPr>
            </w:pPr>
            <w:r>
              <w:rPr>
                <w:sz w:val="14"/>
              </w:rPr>
              <w:t>0.0%</w:t>
            </w:r>
          </w:p>
        </w:tc>
      </w:tr>
      <w:tr>
        <w:trPr>
          <w:trHeight w:val="386" w:hRule="atLeast"/>
        </w:trPr>
        <w:tc>
          <w:tcPr>
            <w:tcW w:w="3766" w:type="dxa"/>
          </w:tcPr>
          <w:p>
            <w:pPr>
              <w:pStyle w:val="TableParagraph"/>
              <w:spacing w:before="112"/>
              <w:ind w:left="212"/>
              <w:rPr>
                <w:sz w:val="14"/>
              </w:rPr>
            </w:pPr>
            <w:r>
              <w:rPr>
                <w:w w:val="105"/>
                <w:sz w:val="14"/>
              </w:rPr>
              <w:t>3) Pupil Services</w:t>
            </w:r>
          </w:p>
        </w:tc>
        <w:tc>
          <w:tcPr>
            <w:tcW w:w="1518" w:type="dxa"/>
          </w:tcPr>
          <w:p>
            <w:pPr>
              <w:pStyle w:val="TableParagraph"/>
              <w:spacing w:before="112"/>
              <w:ind w:left="241" w:right="122"/>
              <w:jc w:val="center"/>
              <w:rPr>
                <w:sz w:val="14"/>
              </w:rPr>
            </w:pPr>
            <w:r>
              <w:rPr>
                <w:w w:val="105"/>
                <w:sz w:val="14"/>
              </w:rPr>
              <w:t>3000-3999</w:t>
            </w:r>
          </w:p>
        </w:tc>
        <w:tc>
          <w:tcPr>
            <w:tcW w:w="1115" w:type="dxa"/>
          </w:tcPr>
          <w:p>
            <w:pPr>
              <w:pStyle w:val="TableParagraph"/>
              <w:rPr>
                <w:rFonts w:ascii="Times New Roman"/>
                <w:sz w:val="14"/>
              </w:rPr>
            </w:pPr>
          </w:p>
        </w:tc>
        <w:tc>
          <w:tcPr>
            <w:tcW w:w="1782" w:type="dxa"/>
          </w:tcPr>
          <w:p>
            <w:pPr>
              <w:pStyle w:val="TableParagraph"/>
              <w:spacing w:before="112"/>
              <w:ind w:right="299"/>
              <w:jc w:val="right"/>
              <w:rPr>
                <w:sz w:val="14"/>
              </w:rPr>
            </w:pPr>
            <w:r>
              <w:rPr>
                <w:sz w:val="14"/>
              </w:rPr>
              <w:t>0.00</w:t>
            </w:r>
          </w:p>
        </w:tc>
        <w:tc>
          <w:tcPr>
            <w:tcW w:w="1518" w:type="dxa"/>
            <w:shd w:val="clear" w:color="auto" w:fill="DFDFDF"/>
          </w:tcPr>
          <w:p>
            <w:pPr>
              <w:pStyle w:val="TableParagraph"/>
              <w:spacing w:before="112"/>
              <w:ind w:right="254"/>
              <w:jc w:val="right"/>
              <w:rPr>
                <w:sz w:val="14"/>
              </w:rPr>
            </w:pPr>
            <w:r>
              <w:rPr>
                <w:sz w:val="14"/>
              </w:rPr>
              <w:t>0.00</w:t>
            </w:r>
          </w:p>
        </w:tc>
        <w:tc>
          <w:tcPr>
            <w:tcW w:w="1405" w:type="dxa"/>
            <w:gridSpan w:val="2"/>
            <w:shd w:val="clear" w:color="auto" w:fill="DFDFDF"/>
          </w:tcPr>
          <w:p>
            <w:pPr>
              <w:pStyle w:val="TableParagraph"/>
              <w:spacing w:before="112"/>
              <w:ind w:right="48"/>
              <w:jc w:val="right"/>
              <w:rPr>
                <w:sz w:val="14"/>
              </w:rPr>
            </w:pPr>
            <w:r>
              <w:rPr>
                <w:sz w:val="14"/>
              </w:rPr>
              <w:t>0.0%</w:t>
            </w:r>
          </w:p>
        </w:tc>
      </w:tr>
      <w:tr>
        <w:trPr>
          <w:trHeight w:val="386" w:hRule="atLeast"/>
        </w:trPr>
        <w:tc>
          <w:tcPr>
            <w:tcW w:w="3766" w:type="dxa"/>
          </w:tcPr>
          <w:p>
            <w:pPr>
              <w:pStyle w:val="TableParagraph"/>
              <w:spacing w:before="112"/>
              <w:ind w:left="212"/>
              <w:rPr>
                <w:sz w:val="14"/>
              </w:rPr>
            </w:pPr>
            <w:r>
              <w:rPr>
                <w:w w:val="105"/>
                <w:sz w:val="14"/>
              </w:rPr>
              <w:t>4) Ancillary Services</w:t>
            </w:r>
          </w:p>
        </w:tc>
        <w:tc>
          <w:tcPr>
            <w:tcW w:w="1518" w:type="dxa"/>
          </w:tcPr>
          <w:p>
            <w:pPr>
              <w:pStyle w:val="TableParagraph"/>
              <w:spacing w:before="112"/>
              <w:ind w:left="241" w:right="122"/>
              <w:jc w:val="center"/>
              <w:rPr>
                <w:sz w:val="14"/>
              </w:rPr>
            </w:pPr>
            <w:r>
              <w:rPr>
                <w:w w:val="105"/>
                <w:sz w:val="14"/>
              </w:rPr>
              <w:t>4000-4999</w:t>
            </w:r>
          </w:p>
        </w:tc>
        <w:tc>
          <w:tcPr>
            <w:tcW w:w="1115" w:type="dxa"/>
          </w:tcPr>
          <w:p>
            <w:pPr>
              <w:pStyle w:val="TableParagraph"/>
              <w:rPr>
                <w:rFonts w:ascii="Times New Roman"/>
                <w:sz w:val="14"/>
              </w:rPr>
            </w:pPr>
          </w:p>
        </w:tc>
        <w:tc>
          <w:tcPr>
            <w:tcW w:w="1782" w:type="dxa"/>
          </w:tcPr>
          <w:p>
            <w:pPr>
              <w:pStyle w:val="TableParagraph"/>
              <w:spacing w:before="112"/>
              <w:ind w:right="299"/>
              <w:jc w:val="right"/>
              <w:rPr>
                <w:sz w:val="14"/>
              </w:rPr>
            </w:pPr>
            <w:r>
              <w:rPr>
                <w:sz w:val="14"/>
              </w:rPr>
              <w:t>0.00</w:t>
            </w:r>
          </w:p>
        </w:tc>
        <w:tc>
          <w:tcPr>
            <w:tcW w:w="1518" w:type="dxa"/>
            <w:shd w:val="clear" w:color="auto" w:fill="DFDFDF"/>
          </w:tcPr>
          <w:p>
            <w:pPr>
              <w:pStyle w:val="TableParagraph"/>
              <w:spacing w:before="112"/>
              <w:ind w:right="254"/>
              <w:jc w:val="right"/>
              <w:rPr>
                <w:sz w:val="14"/>
              </w:rPr>
            </w:pPr>
            <w:r>
              <w:rPr>
                <w:sz w:val="14"/>
              </w:rPr>
              <w:t>0.00</w:t>
            </w:r>
          </w:p>
        </w:tc>
        <w:tc>
          <w:tcPr>
            <w:tcW w:w="1405" w:type="dxa"/>
            <w:gridSpan w:val="2"/>
            <w:shd w:val="clear" w:color="auto" w:fill="DFDFDF"/>
          </w:tcPr>
          <w:p>
            <w:pPr>
              <w:pStyle w:val="TableParagraph"/>
              <w:spacing w:before="112"/>
              <w:ind w:right="48"/>
              <w:jc w:val="right"/>
              <w:rPr>
                <w:sz w:val="14"/>
              </w:rPr>
            </w:pPr>
            <w:r>
              <w:rPr>
                <w:sz w:val="14"/>
              </w:rPr>
              <w:t>0.0%</w:t>
            </w:r>
          </w:p>
        </w:tc>
      </w:tr>
      <w:tr>
        <w:trPr>
          <w:trHeight w:val="386" w:hRule="atLeast"/>
        </w:trPr>
        <w:tc>
          <w:tcPr>
            <w:tcW w:w="3766" w:type="dxa"/>
          </w:tcPr>
          <w:p>
            <w:pPr>
              <w:pStyle w:val="TableParagraph"/>
              <w:spacing w:before="112"/>
              <w:ind w:left="212"/>
              <w:rPr>
                <w:sz w:val="14"/>
              </w:rPr>
            </w:pPr>
            <w:r>
              <w:rPr>
                <w:w w:val="105"/>
                <w:sz w:val="14"/>
              </w:rPr>
              <w:t>5) Community Services</w:t>
            </w:r>
          </w:p>
        </w:tc>
        <w:tc>
          <w:tcPr>
            <w:tcW w:w="1518" w:type="dxa"/>
          </w:tcPr>
          <w:p>
            <w:pPr>
              <w:pStyle w:val="TableParagraph"/>
              <w:spacing w:before="112"/>
              <w:ind w:left="241" w:right="122"/>
              <w:jc w:val="center"/>
              <w:rPr>
                <w:sz w:val="14"/>
              </w:rPr>
            </w:pPr>
            <w:r>
              <w:rPr>
                <w:w w:val="105"/>
                <w:sz w:val="14"/>
              </w:rPr>
              <w:t>5000-5999</w:t>
            </w:r>
          </w:p>
        </w:tc>
        <w:tc>
          <w:tcPr>
            <w:tcW w:w="1115" w:type="dxa"/>
          </w:tcPr>
          <w:p>
            <w:pPr>
              <w:pStyle w:val="TableParagraph"/>
              <w:rPr>
                <w:rFonts w:ascii="Times New Roman"/>
                <w:sz w:val="14"/>
              </w:rPr>
            </w:pPr>
          </w:p>
        </w:tc>
        <w:tc>
          <w:tcPr>
            <w:tcW w:w="1782" w:type="dxa"/>
          </w:tcPr>
          <w:p>
            <w:pPr>
              <w:pStyle w:val="TableParagraph"/>
              <w:spacing w:before="112"/>
              <w:ind w:right="299"/>
              <w:jc w:val="right"/>
              <w:rPr>
                <w:sz w:val="14"/>
              </w:rPr>
            </w:pPr>
            <w:r>
              <w:rPr>
                <w:sz w:val="14"/>
              </w:rPr>
              <w:t>0.00</w:t>
            </w:r>
          </w:p>
        </w:tc>
        <w:tc>
          <w:tcPr>
            <w:tcW w:w="1518" w:type="dxa"/>
            <w:shd w:val="clear" w:color="auto" w:fill="DFDFDF"/>
          </w:tcPr>
          <w:p>
            <w:pPr>
              <w:pStyle w:val="TableParagraph"/>
              <w:spacing w:before="112"/>
              <w:ind w:right="254"/>
              <w:jc w:val="right"/>
              <w:rPr>
                <w:sz w:val="14"/>
              </w:rPr>
            </w:pPr>
            <w:r>
              <w:rPr>
                <w:sz w:val="14"/>
              </w:rPr>
              <w:t>0.00</w:t>
            </w:r>
          </w:p>
        </w:tc>
        <w:tc>
          <w:tcPr>
            <w:tcW w:w="1405" w:type="dxa"/>
            <w:gridSpan w:val="2"/>
            <w:shd w:val="clear" w:color="auto" w:fill="DFDFDF"/>
          </w:tcPr>
          <w:p>
            <w:pPr>
              <w:pStyle w:val="TableParagraph"/>
              <w:spacing w:before="112"/>
              <w:ind w:right="48"/>
              <w:jc w:val="right"/>
              <w:rPr>
                <w:sz w:val="14"/>
              </w:rPr>
            </w:pPr>
            <w:r>
              <w:rPr>
                <w:sz w:val="14"/>
              </w:rPr>
              <w:t>0.0%</w:t>
            </w:r>
          </w:p>
        </w:tc>
      </w:tr>
      <w:tr>
        <w:trPr>
          <w:trHeight w:val="386" w:hRule="atLeast"/>
        </w:trPr>
        <w:tc>
          <w:tcPr>
            <w:tcW w:w="3766" w:type="dxa"/>
          </w:tcPr>
          <w:p>
            <w:pPr>
              <w:pStyle w:val="TableParagraph"/>
              <w:spacing w:before="112"/>
              <w:ind w:left="212"/>
              <w:rPr>
                <w:sz w:val="14"/>
              </w:rPr>
            </w:pPr>
            <w:r>
              <w:rPr>
                <w:w w:val="105"/>
                <w:sz w:val="14"/>
              </w:rPr>
              <w:t>6) Enterprise</w:t>
            </w:r>
          </w:p>
        </w:tc>
        <w:tc>
          <w:tcPr>
            <w:tcW w:w="1518" w:type="dxa"/>
          </w:tcPr>
          <w:p>
            <w:pPr>
              <w:pStyle w:val="TableParagraph"/>
              <w:spacing w:before="112"/>
              <w:ind w:left="241" w:right="122"/>
              <w:jc w:val="center"/>
              <w:rPr>
                <w:sz w:val="14"/>
              </w:rPr>
            </w:pPr>
            <w:r>
              <w:rPr>
                <w:w w:val="105"/>
                <w:sz w:val="14"/>
              </w:rPr>
              <w:t>6000-6999</w:t>
            </w:r>
          </w:p>
        </w:tc>
        <w:tc>
          <w:tcPr>
            <w:tcW w:w="1115" w:type="dxa"/>
          </w:tcPr>
          <w:p>
            <w:pPr>
              <w:pStyle w:val="TableParagraph"/>
              <w:rPr>
                <w:rFonts w:ascii="Times New Roman"/>
                <w:sz w:val="14"/>
              </w:rPr>
            </w:pPr>
          </w:p>
        </w:tc>
        <w:tc>
          <w:tcPr>
            <w:tcW w:w="1782" w:type="dxa"/>
          </w:tcPr>
          <w:p>
            <w:pPr>
              <w:pStyle w:val="TableParagraph"/>
              <w:spacing w:before="112"/>
              <w:ind w:right="299"/>
              <w:jc w:val="right"/>
              <w:rPr>
                <w:sz w:val="14"/>
              </w:rPr>
            </w:pPr>
            <w:r>
              <w:rPr>
                <w:sz w:val="14"/>
              </w:rPr>
              <w:t>0.00</w:t>
            </w:r>
          </w:p>
        </w:tc>
        <w:tc>
          <w:tcPr>
            <w:tcW w:w="1518" w:type="dxa"/>
            <w:shd w:val="clear" w:color="auto" w:fill="DFDFDF"/>
          </w:tcPr>
          <w:p>
            <w:pPr>
              <w:pStyle w:val="TableParagraph"/>
              <w:spacing w:before="112"/>
              <w:ind w:right="254"/>
              <w:jc w:val="right"/>
              <w:rPr>
                <w:sz w:val="14"/>
              </w:rPr>
            </w:pPr>
            <w:r>
              <w:rPr>
                <w:sz w:val="14"/>
              </w:rPr>
              <w:t>0.00</w:t>
            </w:r>
          </w:p>
        </w:tc>
        <w:tc>
          <w:tcPr>
            <w:tcW w:w="1405" w:type="dxa"/>
            <w:gridSpan w:val="2"/>
            <w:shd w:val="clear" w:color="auto" w:fill="DFDFDF"/>
          </w:tcPr>
          <w:p>
            <w:pPr>
              <w:pStyle w:val="TableParagraph"/>
              <w:spacing w:before="112"/>
              <w:ind w:right="48"/>
              <w:jc w:val="right"/>
              <w:rPr>
                <w:sz w:val="14"/>
              </w:rPr>
            </w:pPr>
            <w:r>
              <w:rPr>
                <w:sz w:val="14"/>
              </w:rPr>
              <w:t>0.0%</w:t>
            </w:r>
          </w:p>
        </w:tc>
      </w:tr>
      <w:tr>
        <w:trPr>
          <w:trHeight w:val="386" w:hRule="atLeast"/>
        </w:trPr>
        <w:tc>
          <w:tcPr>
            <w:tcW w:w="3766" w:type="dxa"/>
          </w:tcPr>
          <w:p>
            <w:pPr>
              <w:pStyle w:val="TableParagraph"/>
              <w:spacing w:before="112"/>
              <w:ind w:left="212"/>
              <w:rPr>
                <w:sz w:val="14"/>
              </w:rPr>
            </w:pPr>
            <w:r>
              <w:rPr>
                <w:w w:val="105"/>
                <w:sz w:val="14"/>
              </w:rPr>
              <w:t>7) General Administration</w:t>
            </w:r>
          </w:p>
        </w:tc>
        <w:tc>
          <w:tcPr>
            <w:tcW w:w="1518" w:type="dxa"/>
          </w:tcPr>
          <w:p>
            <w:pPr>
              <w:pStyle w:val="TableParagraph"/>
              <w:spacing w:before="112"/>
              <w:ind w:left="241" w:right="122"/>
              <w:jc w:val="center"/>
              <w:rPr>
                <w:sz w:val="14"/>
              </w:rPr>
            </w:pPr>
            <w:r>
              <w:rPr>
                <w:w w:val="105"/>
                <w:sz w:val="14"/>
              </w:rPr>
              <w:t>7000-7999</w:t>
            </w:r>
          </w:p>
        </w:tc>
        <w:tc>
          <w:tcPr>
            <w:tcW w:w="1115" w:type="dxa"/>
          </w:tcPr>
          <w:p>
            <w:pPr>
              <w:pStyle w:val="TableParagraph"/>
              <w:rPr>
                <w:rFonts w:ascii="Times New Roman"/>
                <w:sz w:val="14"/>
              </w:rPr>
            </w:pPr>
          </w:p>
        </w:tc>
        <w:tc>
          <w:tcPr>
            <w:tcW w:w="1782" w:type="dxa"/>
          </w:tcPr>
          <w:p>
            <w:pPr>
              <w:pStyle w:val="TableParagraph"/>
              <w:spacing w:before="112"/>
              <w:ind w:right="299"/>
              <w:jc w:val="right"/>
              <w:rPr>
                <w:sz w:val="14"/>
              </w:rPr>
            </w:pPr>
            <w:r>
              <w:rPr>
                <w:sz w:val="14"/>
              </w:rPr>
              <w:t>0.00</w:t>
            </w:r>
          </w:p>
        </w:tc>
        <w:tc>
          <w:tcPr>
            <w:tcW w:w="1518" w:type="dxa"/>
            <w:shd w:val="clear" w:color="auto" w:fill="DFDFDF"/>
          </w:tcPr>
          <w:p>
            <w:pPr>
              <w:pStyle w:val="TableParagraph"/>
              <w:spacing w:before="112"/>
              <w:ind w:right="254"/>
              <w:jc w:val="right"/>
              <w:rPr>
                <w:sz w:val="14"/>
              </w:rPr>
            </w:pPr>
            <w:r>
              <w:rPr>
                <w:sz w:val="14"/>
              </w:rPr>
              <w:t>0.00</w:t>
            </w:r>
          </w:p>
        </w:tc>
        <w:tc>
          <w:tcPr>
            <w:tcW w:w="1405" w:type="dxa"/>
            <w:gridSpan w:val="2"/>
            <w:shd w:val="clear" w:color="auto" w:fill="DFDFDF"/>
          </w:tcPr>
          <w:p>
            <w:pPr>
              <w:pStyle w:val="TableParagraph"/>
              <w:spacing w:before="112"/>
              <w:ind w:right="48"/>
              <w:jc w:val="right"/>
              <w:rPr>
                <w:sz w:val="14"/>
              </w:rPr>
            </w:pPr>
            <w:r>
              <w:rPr>
                <w:sz w:val="14"/>
              </w:rPr>
              <w:t>0.0%</w:t>
            </w:r>
          </w:p>
        </w:tc>
      </w:tr>
      <w:tr>
        <w:trPr>
          <w:trHeight w:val="304" w:hRule="atLeast"/>
        </w:trPr>
        <w:tc>
          <w:tcPr>
            <w:tcW w:w="3766" w:type="dxa"/>
          </w:tcPr>
          <w:p>
            <w:pPr>
              <w:pStyle w:val="TableParagraph"/>
              <w:spacing w:before="112"/>
              <w:ind w:left="212"/>
              <w:rPr>
                <w:sz w:val="14"/>
              </w:rPr>
            </w:pPr>
            <w:r>
              <w:rPr>
                <w:w w:val="105"/>
                <w:sz w:val="14"/>
              </w:rPr>
              <w:t>8) Plant Services</w:t>
            </w:r>
          </w:p>
        </w:tc>
        <w:tc>
          <w:tcPr>
            <w:tcW w:w="1518" w:type="dxa"/>
          </w:tcPr>
          <w:p>
            <w:pPr>
              <w:pStyle w:val="TableParagraph"/>
              <w:spacing w:before="112"/>
              <w:ind w:left="241" w:right="122"/>
              <w:jc w:val="center"/>
              <w:rPr>
                <w:sz w:val="14"/>
              </w:rPr>
            </w:pPr>
            <w:r>
              <w:rPr>
                <w:w w:val="105"/>
                <w:sz w:val="14"/>
              </w:rPr>
              <w:t>8000-8999</w:t>
            </w:r>
          </w:p>
        </w:tc>
        <w:tc>
          <w:tcPr>
            <w:tcW w:w="1115" w:type="dxa"/>
          </w:tcPr>
          <w:p>
            <w:pPr>
              <w:pStyle w:val="TableParagraph"/>
              <w:rPr>
                <w:rFonts w:ascii="Times New Roman"/>
                <w:sz w:val="14"/>
              </w:rPr>
            </w:pPr>
          </w:p>
        </w:tc>
        <w:tc>
          <w:tcPr>
            <w:tcW w:w="1782" w:type="dxa"/>
          </w:tcPr>
          <w:p>
            <w:pPr>
              <w:pStyle w:val="TableParagraph"/>
              <w:spacing w:before="112"/>
              <w:ind w:right="299"/>
              <w:jc w:val="right"/>
              <w:rPr>
                <w:sz w:val="14"/>
              </w:rPr>
            </w:pPr>
            <w:r>
              <w:rPr>
                <w:sz w:val="14"/>
              </w:rPr>
              <w:t>0.00</w:t>
            </w:r>
          </w:p>
        </w:tc>
        <w:tc>
          <w:tcPr>
            <w:tcW w:w="1518" w:type="dxa"/>
            <w:shd w:val="clear" w:color="auto" w:fill="DFDFDF"/>
          </w:tcPr>
          <w:p>
            <w:pPr>
              <w:pStyle w:val="TableParagraph"/>
              <w:spacing w:before="112"/>
              <w:ind w:right="254"/>
              <w:jc w:val="right"/>
              <w:rPr>
                <w:sz w:val="14"/>
              </w:rPr>
            </w:pPr>
            <w:r>
              <w:rPr>
                <w:sz w:val="14"/>
              </w:rPr>
              <w:t>0.00</w:t>
            </w:r>
          </w:p>
        </w:tc>
        <w:tc>
          <w:tcPr>
            <w:tcW w:w="1405" w:type="dxa"/>
            <w:gridSpan w:val="2"/>
            <w:shd w:val="clear" w:color="auto" w:fill="DFDFDF"/>
          </w:tcPr>
          <w:p>
            <w:pPr>
              <w:pStyle w:val="TableParagraph"/>
              <w:spacing w:before="112"/>
              <w:ind w:right="48"/>
              <w:jc w:val="right"/>
              <w:rPr>
                <w:sz w:val="14"/>
              </w:rPr>
            </w:pPr>
            <w:r>
              <w:rPr>
                <w:sz w:val="14"/>
              </w:rPr>
              <w:t>0.0%</w:t>
            </w:r>
          </w:p>
        </w:tc>
      </w:tr>
      <w:tr>
        <w:trPr>
          <w:trHeight w:val="468" w:hRule="atLeast"/>
        </w:trPr>
        <w:tc>
          <w:tcPr>
            <w:tcW w:w="3766" w:type="dxa"/>
          </w:tcPr>
          <w:p>
            <w:pPr>
              <w:pStyle w:val="TableParagraph"/>
              <w:spacing w:before="10"/>
              <w:rPr>
                <w:sz w:val="16"/>
              </w:rPr>
            </w:pPr>
          </w:p>
          <w:p>
            <w:pPr>
              <w:pStyle w:val="TableParagraph"/>
              <w:ind w:left="212"/>
              <w:rPr>
                <w:sz w:val="14"/>
              </w:rPr>
            </w:pPr>
            <w:r>
              <w:rPr>
                <w:w w:val="105"/>
                <w:sz w:val="14"/>
              </w:rPr>
              <w:t>9) Other Outgo</w:t>
            </w:r>
          </w:p>
        </w:tc>
        <w:tc>
          <w:tcPr>
            <w:tcW w:w="1518" w:type="dxa"/>
          </w:tcPr>
          <w:p>
            <w:pPr>
              <w:pStyle w:val="TableParagraph"/>
              <w:spacing w:before="10"/>
              <w:rPr>
                <w:sz w:val="16"/>
              </w:rPr>
            </w:pPr>
          </w:p>
          <w:p>
            <w:pPr>
              <w:pStyle w:val="TableParagraph"/>
              <w:ind w:left="241" w:right="122"/>
              <w:jc w:val="center"/>
              <w:rPr>
                <w:sz w:val="14"/>
              </w:rPr>
            </w:pPr>
            <w:r>
              <w:rPr>
                <w:w w:val="105"/>
                <w:sz w:val="14"/>
              </w:rPr>
              <w:t>9000-9999</w:t>
            </w:r>
          </w:p>
        </w:tc>
        <w:tc>
          <w:tcPr>
            <w:tcW w:w="1115" w:type="dxa"/>
          </w:tcPr>
          <w:p>
            <w:pPr>
              <w:pStyle w:val="TableParagraph"/>
              <w:spacing w:line="242" w:lineRule="auto" w:before="31"/>
              <w:ind w:left="269" w:right="145" w:firstLine="127"/>
              <w:rPr>
                <w:sz w:val="14"/>
              </w:rPr>
            </w:pPr>
            <w:r>
              <w:rPr>
                <w:w w:val="105"/>
                <w:sz w:val="14"/>
              </w:rPr>
              <w:t>Except </w:t>
            </w:r>
            <w:r>
              <w:rPr>
                <w:sz w:val="14"/>
              </w:rPr>
              <w:t>7600-7699</w:t>
            </w:r>
          </w:p>
        </w:tc>
        <w:tc>
          <w:tcPr>
            <w:tcW w:w="1782" w:type="dxa"/>
          </w:tcPr>
          <w:p>
            <w:pPr>
              <w:pStyle w:val="TableParagraph"/>
              <w:spacing w:before="10"/>
              <w:rPr>
                <w:sz w:val="16"/>
              </w:rPr>
            </w:pPr>
          </w:p>
          <w:p>
            <w:pPr>
              <w:pStyle w:val="TableParagraph"/>
              <w:ind w:right="299"/>
              <w:jc w:val="right"/>
              <w:rPr>
                <w:sz w:val="14"/>
              </w:rPr>
            </w:pPr>
            <w:r>
              <w:rPr>
                <w:sz w:val="14"/>
              </w:rPr>
              <w:t>0.00</w:t>
            </w:r>
          </w:p>
        </w:tc>
        <w:tc>
          <w:tcPr>
            <w:tcW w:w="1518" w:type="dxa"/>
            <w:shd w:val="clear" w:color="auto" w:fill="DFDFDF"/>
          </w:tcPr>
          <w:p>
            <w:pPr>
              <w:pStyle w:val="TableParagraph"/>
              <w:spacing w:before="10"/>
              <w:rPr>
                <w:sz w:val="16"/>
              </w:rPr>
            </w:pPr>
          </w:p>
          <w:p>
            <w:pPr>
              <w:pStyle w:val="TableParagraph"/>
              <w:ind w:right="254"/>
              <w:jc w:val="right"/>
              <w:rPr>
                <w:sz w:val="14"/>
              </w:rPr>
            </w:pPr>
            <w:r>
              <w:rPr>
                <w:sz w:val="14"/>
              </w:rPr>
              <w:t>0.00</w:t>
            </w:r>
          </w:p>
        </w:tc>
        <w:tc>
          <w:tcPr>
            <w:tcW w:w="1405" w:type="dxa"/>
            <w:gridSpan w:val="2"/>
            <w:shd w:val="clear" w:color="auto" w:fill="DFDFDF"/>
          </w:tcPr>
          <w:p>
            <w:pPr>
              <w:pStyle w:val="TableParagraph"/>
              <w:spacing w:before="10"/>
              <w:rPr>
                <w:sz w:val="16"/>
              </w:rPr>
            </w:pPr>
          </w:p>
          <w:p>
            <w:pPr>
              <w:pStyle w:val="TableParagraph"/>
              <w:ind w:right="48"/>
              <w:jc w:val="right"/>
              <w:rPr>
                <w:sz w:val="14"/>
              </w:rPr>
            </w:pPr>
            <w:r>
              <w:rPr>
                <w:sz w:val="14"/>
              </w:rPr>
              <w:t>0.0%</w:t>
            </w:r>
          </w:p>
        </w:tc>
      </w:tr>
      <w:tr>
        <w:trPr>
          <w:trHeight w:val="277" w:hRule="atLeast"/>
        </w:trPr>
        <w:tc>
          <w:tcPr>
            <w:tcW w:w="3766" w:type="dxa"/>
          </w:tcPr>
          <w:p>
            <w:pPr>
              <w:pStyle w:val="TableParagraph"/>
              <w:spacing w:line="145" w:lineRule="exact" w:before="112"/>
              <w:ind w:left="171"/>
              <w:rPr>
                <w:sz w:val="14"/>
              </w:rPr>
            </w:pPr>
            <w:r>
              <w:rPr>
                <w:w w:val="105"/>
                <w:sz w:val="14"/>
              </w:rPr>
              <w:t>10) TOTAL, EXPENDITURES</w:t>
            </w:r>
          </w:p>
        </w:tc>
        <w:tc>
          <w:tcPr>
            <w:tcW w:w="1518" w:type="dxa"/>
          </w:tcPr>
          <w:p>
            <w:pPr>
              <w:pStyle w:val="TableParagraph"/>
              <w:rPr>
                <w:rFonts w:ascii="Times New Roman"/>
                <w:sz w:val="14"/>
              </w:rPr>
            </w:pPr>
          </w:p>
        </w:tc>
        <w:tc>
          <w:tcPr>
            <w:tcW w:w="1115" w:type="dxa"/>
          </w:tcPr>
          <w:p>
            <w:pPr>
              <w:pStyle w:val="TableParagraph"/>
              <w:rPr>
                <w:rFonts w:ascii="Times New Roman"/>
                <w:sz w:val="14"/>
              </w:rPr>
            </w:pPr>
          </w:p>
        </w:tc>
        <w:tc>
          <w:tcPr>
            <w:tcW w:w="1782" w:type="dxa"/>
          </w:tcPr>
          <w:p>
            <w:pPr>
              <w:pStyle w:val="TableParagraph"/>
              <w:spacing w:line="145" w:lineRule="exact" w:before="112"/>
              <w:ind w:right="299"/>
              <w:jc w:val="right"/>
              <w:rPr>
                <w:sz w:val="14"/>
              </w:rPr>
            </w:pPr>
            <w:r>
              <w:rPr>
                <w:sz w:val="14"/>
              </w:rPr>
              <w:t>0.00</w:t>
            </w:r>
          </w:p>
        </w:tc>
        <w:tc>
          <w:tcPr>
            <w:tcW w:w="1518" w:type="dxa"/>
            <w:shd w:val="clear" w:color="auto" w:fill="DFDFDF"/>
          </w:tcPr>
          <w:p>
            <w:pPr>
              <w:pStyle w:val="TableParagraph"/>
              <w:spacing w:line="145" w:lineRule="exact" w:before="112"/>
              <w:ind w:right="254"/>
              <w:jc w:val="right"/>
              <w:rPr>
                <w:sz w:val="14"/>
              </w:rPr>
            </w:pPr>
            <w:r>
              <w:rPr>
                <w:sz w:val="14"/>
              </w:rPr>
              <w:t>0.00</w:t>
            </w:r>
          </w:p>
        </w:tc>
        <w:tc>
          <w:tcPr>
            <w:tcW w:w="1405" w:type="dxa"/>
            <w:gridSpan w:val="2"/>
            <w:shd w:val="clear" w:color="auto" w:fill="DFDFDF"/>
          </w:tcPr>
          <w:p>
            <w:pPr>
              <w:pStyle w:val="TableParagraph"/>
              <w:spacing w:line="145" w:lineRule="exact" w:before="112"/>
              <w:ind w:right="48"/>
              <w:jc w:val="right"/>
              <w:rPr>
                <w:sz w:val="14"/>
              </w:rPr>
            </w:pPr>
            <w:r>
              <w:rPr>
                <w:sz w:val="14"/>
              </w:rPr>
              <w:t>0.0%</w:t>
            </w:r>
          </w:p>
        </w:tc>
      </w:tr>
      <w:tr>
        <w:trPr>
          <w:trHeight w:val="400" w:hRule="atLeast"/>
        </w:trPr>
        <w:tc>
          <w:tcPr>
            <w:tcW w:w="3766" w:type="dxa"/>
          </w:tcPr>
          <w:p>
            <w:pPr>
              <w:pStyle w:val="TableParagraph"/>
              <w:rPr>
                <w:sz w:val="19"/>
              </w:rPr>
            </w:pPr>
          </w:p>
          <w:p>
            <w:pPr>
              <w:pStyle w:val="TableParagraph"/>
              <w:ind w:left="50"/>
              <w:rPr>
                <w:b/>
                <w:sz w:val="14"/>
              </w:rPr>
            </w:pPr>
            <w:r>
              <w:rPr>
                <w:b/>
                <w:w w:val="105"/>
                <w:sz w:val="14"/>
              </w:rPr>
              <w:t>C. EXCESS (DEFICIENCY) OF REVENUES</w:t>
            </w:r>
          </w:p>
        </w:tc>
        <w:tc>
          <w:tcPr>
            <w:tcW w:w="1518" w:type="dxa"/>
          </w:tcPr>
          <w:p>
            <w:pPr>
              <w:pStyle w:val="TableParagraph"/>
              <w:rPr>
                <w:rFonts w:ascii="Times New Roman"/>
                <w:sz w:val="14"/>
              </w:rPr>
            </w:pPr>
          </w:p>
        </w:tc>
        <w:tc>
          <w:tcPr>
            <w:tcW w:w="1115" w:type="dxa"/>
          </w:tcPr>
          <w:p>
            <w:pPr>
              <w:pStyle w:val="TableParagraph"/>
              <w:rPr>
                <w:rFonts w:ascii="Times New Roman"/>
                <w:sz w:val="14"/>
              </w:rPr>
            </w:pPr>
          </w:p>
        </w:tc>
        <w:tc>
          <w:tcPr>
            <w:tcW w:w="1782" w:type="dxa"/>
          </w:tcPr>
          <w:p>
            <w:pPr>
              <w:pStyle w:val="TableParagraph"/>
              <w:rPr>
                <w:rFonts w:ascii="Times New Roman"/>
                <w:sz w:val="14"/>
              </w:rPr>
            </w:pPr>
          </w:p>
        </w:tc>
        <w:tc>
          <w:tcPr>
            <w:tcW w:w="1518" w:type="dxa"/>
          </w:tcPr>
          <w:p>
            <w:pPr>
              <w:pStyle w:val="TableParagraph"/>
              <w:rPr>
                <w:rFonts w:ascii="Times New Roman"/>
                <w:sz w:val="14"/>
              </w:rPr>
            </w:pPr>
          </w:p>
        </w:tc>
        <w:tc>
          <w:tcPr>
            <w:tcW w:w="1405" w:type="dxa"/>
            <w:gridSpan w:val="2"/>
          </w:tcPr>
          <w:p>
            <w:pPr>
              <w:pStyle w:val="TableParagraph"/>
              <w:rPr>
                <w:rFonts w:ascii="Times New Roman"/>
                <w:sz w:val="14"/>
              </w:rPr>
            </w:pPr>
          </w:p>
        </w:tc>
      </w:tr>
      <w:tr>
        <w:trPr>
          <w:trHeight w:val="201" w:hRule="atLeast"/>
        </w:trPr>
        <w:tc>
          <w:tcPr>
            <w:tcW w:w="3766" w:type="dxa"/>
          </w:tcPr>
          <w:p>
            <w:pPr>
              <w:pStyle w:val="TableParagraph"/>
              <w:spacing w:before="20"/>
              <w:ind w:left="252"/>
              <w:rPr>
                <w:b/>
                <w:sz w:val="14"/>
              </w:rPr>
            </w:pPr>
            <w:r>
              <w:rPr>
                <w:b/>
                <w:w w:val="105"/>
                <w:sz w:val="14"/>
              </w:rPr>
              <w:t>OVER EXPENDITURES BEFORE OTHER</w:t>
            </w:r>
          </w:p>
        </w:tc>
        <w:tc>
          <w:tcPr>
            <w:tcW w:w="1518" w:type="dxa"/>
          </w:tcPr>
          <w:p>
            <w:pPr>
              <w:pStyle w:val="TableParagraph"/>
              <w:rPr>
                <w:rFonts w:ascii="Times New Roman"/>
                <w:sz w:val="14"/>
              </w:rPr>
            </w:pPr>
          </w:p>
        </w:tc>
        <w:tc>
          <w:tcPr>
            <w:tcW w:w="1115" w:type="dxa"/>
          </w:tcPr>
          <w:p>
            <w:pPr>
              <w:pStyle w:val="TableParagraph"/>
              <w:rPr>
                <w:rFonts w:ascii="Times New Roman"/>
                <w:sz w:val="14"/>
              </w:rPr>
            </w:pPr>
          </w:p>
        </w:tc>
        <w:tc>
          <w:tcPr>
            <w:tcW w:w="1782" w:type="dxa"/>
          </w:tcPr>
          <w:p>
            <w:pPr>
              <w:pStyle w:val="TableParagraph"/>
              <w:rPr>
                <w:rFonts w:ascii="Times New Roman"/>
                <w:sz w:val="14"/>
              </w:rPr>
            </w:pPr>
          </w:p>
        </w:tc>
        <w:tc>
          <w:tcPr>
            <w:tcW w:w="1518" w:type="dxa"/>
          </w:tcPr>
          <w:p>
            <w:pPr>
              <w:pStyle w:val="TableParagraph"/>
              <w:rPr>
                <w:rFonts w:ascii="Times New Roman"/>
                <w:sz w:val="14"/>
              </w:rPr>
            </w:pPr>
          </w:p>
        </w:tc>
        <w:tc>
          <w:tcPr>
            <w:tcW w:w="1405" w:type="dxa"/>
            <w:gridSpan w:val="2"/>
          </w:tcPr>
          <w:p>
            <w:pPr>
              <w:pStyle w:val="TableParagraph"/>
              <w:rPr>
                <w:rFonts w:ascii="Times New Roman"/>
                <w:sz w:val="14"/>
              </w:rPr>
            </w:pPr>
          </w:p>
        </w:tc>
      </w:tr>
      <w:tr>
        <w:trPr>
          <w:trHeight w:val="295" w:hRule="atLeast"/>
        </w:trPr>
        <w:tc>
          <w:tcPr>
            <w:tcW w:w="3766" w:type="dxa"/>
          </w:tcPr>
          <w:p>
            <w:pPr>
              <w:pStyle w:val="TableParagraph"/>
              <w:spacing w:before="20"/>
              <w:ind w:left="252"/>
              <w:rPr>
                <w:b/>
                <w:sz w:val="14"/>
              </w:rPr>
            </w:pPr>
            <w:r>
              <w:rPr>
                <w:b/>
                <w:w w:val="105"/>
                <w:sz w:val="14"/>
              </w:rPr>
              <w:t>FINANCING SOURCES AND USES (A5 - B10)</w:t>
            </w:r>
          </w:p>
        </w:tc>
        <w:tc>
          <w:tcPr>
            <w:tcW w:w="1518" w:type="dxa"/>
          </w:tcPr>
          <w:p>
            <w:pPr>
              <w:pStyle w:val="TableParagraph"/>
              <w:rPr>
                <w:rFonts w:ascii="Times New Roman"/>
                <w:sz w:val="14"/>
              </w:rPr>
            </w:pPr>
          </w:p>
        </w:tc>
        <w:tc>
          <w:tcPr>
            <w:tcW w:w="1115" w:type="dxa"/>
          </w:tcPr>
          <w:p>
            <w:pPr>
              <w:pStyle w:val="TableParagraph"/>
              <w:rPr>
                <w:rFonts w:ascii="Times New Roman"/>
                <w:sz w:val="14"/>
              </w:rPr>
            </w:pPr>
          </w:p>
        </w:tc>
        <w:tc>
          <w:tcPr>
            <w:tcW w:w="1782" w:type="dxa"/>
          </w:tcPr>
          <w:p>
            <w:pPr>
              <w:pStyle w:val="TableParagraph"/>
              <w:spacing w:before="22"/>
              <w:ind w:right="298"/>
              <w:jc w:val="right"/>
              <w:rPr>
                <w:sz w:val="14"/>
              </w:rPr>
            </w:pPr>
            <w:r>
              <w:rPr>
                <w:sz w:val="14"/>
              </w:rPr>
              <w:t>5,451.00</w:t>
            </w:r>
          </w:p>
        </w:tc>
        <w:tc>
          <w:tcPr>
            <w:tcW w:w="1518" w:type="dxa"/>
          </w:tcPr>
          <w:p>
            <w:pPr>
              <w:pStyle w:val="TableParagraph"/>
              <w:spacing w:before="22"/>
              <w:ind w:right="253"/>
              <w:jc w:val="right"/>
              <w:rPr>
                <w:sz w:val="14"/>
              </w:rPr>
            </w:pPr>
            <w:r>
              <w:rPr>
                <w:sz w:val="14"/>
              </w:rPr>
              <w:t>5,451.00</w:t>
            </w:r>
          </w:p>
        </w:tc>
        <w:tc>
          <w:tcPr>
            <w:tcW w:w="1405" w:type="dxa"/>
            <w:gridSpan w:val="2"/>
          </w:tcPr>
          <w:p>
            <w:pPr>
              <w:pStyle w:val="TableParagraph"/>
              <w:spacing w:before="22"/>
              <w:ind w:right="48"/>
              <w:jc w:val="right"/>
              <w:rPr>
                <w:sz w:val="14"/>
              </w:rPr>
            </w:pPr>
            <w:r>
              <w:rPr>
                <w:sz w:val="14"/>
              </w:rPr>
              <w:t>0.0%</w:t>
            </w:r>
          </w:p>
        </w:tc>
      </w:tr>
      <w:tr>
        <w:trPr>
          <w:trHeight w:val="271" w:hRule="atLeast"/>
        </w:trPr>
        <w:tc>
          <w:tcPr>
            <w:tcW w:w="3766" w:type="dxa"/>
          </w:tcPr>
          <w:p>
            <w:pPr>
              <w:pStyle w:val="TableParagraph"/>
              <w:spacing w:line="140" w:lineRule="exact" w:before="111"/>
              <w:ind w:left="50"/>
              <w:rPr>
                <w:b/>
                <w:sz w:val="14"/>
              </w:rPr>
            </w:pPr>
            <w:r>
              <w:rPr>
                <w:b/>
                <w:w w:val="105"/>
                <w:sz w:val="14"/>
              </w:rPr>
              <w:t>D. OTHER FINANCING SOURCES/USES</w:t>
            </w:r>
          </w:p>
        </w:tc>
        <w:tc>
          <w:tcPr>
            <w:tcW w:w="7338" w:type="dxa"/>
            <w:gridSpan w:val="6"/>
          </w:tcPr>
          <w:p>
            <w:pPr>
              <w:pStyle w:val="TableParagraph"/>
              <w:rPr>
                <w:rFonts w:ascii="Times New Roman"/>
                <w:sz w:val="14"/>
              </w:rPr>
            </w:pPr>
          </w:p>
        </w:tc>
      </w:tr>
      <w:tr>
        <w:trPr>
          <w:trHeight w:val="426" w:hRule="atLeast"/>
        </w:trPr>
        <w:tc>
          <w:tcPr>
            <w:tcW w:w="3766" w:type="dxa"/>
          </w:tcPr>
          <w:p>
            <w:pPr>
              <w:pStyle w:val="TableParagraph"/>
              <w:spacing w:before="4"/>
              <w:rPr>
                <w:sz w:val="21"/>
              </w:rPr>
            </w:pPr>
          </w:p>
          <w:p>
            <w:pPr>
              <w:pStyle w:val="TableParagraph"/>
              <w:ind w:left="212"/>
              <w:rPr>
                <w:sz w:val="14"/>
              </w:rPr>
            </w:pPr>
            <w:r>
              <w:rPr>
                <w:w w:val="105"/>
                <w:sz w:val="14"/>
              </w:rPr>
              <w:t>1) Interfund Transfers</w:t>
            </w:r>
          </w:p>
        </w:tc>
        <w:tc>
          <w:tcPr>
            <w:tcW w:w="2633" w:type="dxa"/>
            <w:gridSpan w:val="2"/>
          </w:tcPr>
          <w:p>
            <w:pPr>
              <w:pStyle w:val="TableParagraph"/>
              <w:rPr>
                <w:rFonts w:ascii="Times New Roman"/>
                <w:sz w:val="14"/>
              </w:rPr>
            </w:pPr>
          </w:p>
        </w:tc>
        <w:tc>
          <w:tcPr>
            <w:tcW w:w="1782" w:type="dxa"/>
          </w:tcPr>
          <w:p>
            <w:pPr>
              <w:pStyle w:val="TableParagraph"/>
              <w:rPr>
                <w:rFonts w:ascii="Times New Roman"/>
                <w:sz w:val="14"/>
              </w:rPr>
            </w:pPr>
          </w:p>
        </w:tc>
        <w:tc>
          <w:tcPr>
            <w:tcW w:w="1518" w:type="dxa"/>
          </w:tcPr>
          <w:p>
            <w:pPr>
              <w:pStyle w:val="TableParagraph"/>
              <w:rPr>
                <w:rFonts w:ascii="Times New Roman"/>
                <w:sz w:val="14"/>
              </w:rPr>
            </w:pPr>
          </w:p>
        </w:tc>
        <w:tc>
          <w:tcPr>
            <w:tcW w:w="1405" w:type="dxa"/>
            <w:gridSpan w:val="2"/>
          </w:tcPr>
          <w:p>
            <w:pPr>
              <w:pStyle w:val="TableParagraph"/>
              <w:rPr>
                <w:rFonts w:ascii="Times New Roman"/>
                <w:sz w:val="14"/>
              </w:rPr>
            </w:pPr>
          </w:p>
        </w:tc>
      </w:tr>
      <w:tr>
        <w:trPr>
          <w:trHeight w:val="294" w:hRule="atLeast"/>
        </w:trPr>
        <w:tc>
          <w:tcPr>
            <w:tcW w:w="3766" w:type="dxa"/>
          </w:tcPr>
          <w:p>
            <w:pPr>
              <w:pStyle w:val="TableParagraph"/>
              <w:spacing w:before="20"/>
              <w:ind w:left="376"/>
              <w:rPr>
                <w:sz w:val="14"/>
              </w:rPr>
            </w:pPr>
            <w:r>
              <w:rPr>
                <w:w w:val="105"/>
                <w:sz w:val="14"/>
              </w:rPr>
              <w:t>a) Transfers In</w:t>
            </w:r>
          </w:p>
        </w:tc>
        <w:tc>
          <w:tcPr>
            <w:tcW w:w="2633" w:type="dxa"/>
            <w:gridSpan w:val="2"/>
          </w:tcPr>
          <w:p>
            <w:pPr>
              <w:pStyle w:val="TableParagraph"/>
              <w:spacing w:before="20"/>
              <w:ind w:right="149"/>
              <w:jc w:val="right"/>
              <w:rPr>
                <w:sz w:val="14"/>
              </w:rPr>
            </w:pPr>
            <w:r>
              <w:rPr>
                <w:sz w:val="14"/>
              </w:rPr>
              <w:t>8900-8929</w:t>
            </w:r>
          </w:p>
        </w:tc>
        <w:tc>
          <w:tcPr>
            <w:tcW w:w="1782" w:type="dxa"/>
          </w:tcPr>
          <w:p>
            <w:pPr>
              <w:pStyle w:val="TableParagraph"/>
              <w:spacing w:before="20"/>
              <w:ind w:right="299"/>
              <w:jc w:val="right"/>
              <w:rPr>
                <w:sz w:val="14"/>
              </w:rPr>
            </w:pPr>
            <w:r>
              <w:rPr>
                <w:sz w:val="14"/>
              </w:rPr>
              <w:t>0.00</w:t>
            </w:r>
          </w:p>
        </w:tc>
        <w:tc>
          <w:tcPr>
            <w:tcW w:w="1518" w:type="dxa"/>
          </w:tcPr>
          <w:p>
            <w:pPr>
              <w:pStyle w:val="TableParagraph"/>
              <w:spacing w:before="20"/>
              <w:ind w:right="254"/>
              <w:jc w:val="right"/>
              <w:rPr>
                <w:sz w:val="14"/>
              </w:rPr>
            </w:pPr>
            <w:r>
              <w:rPr>
                <w:sz w:val="14"/>
              </w:rPr>
              <w:t>0.00</w:t>
            </w:r>
          </w:p>
        </w:tc>
        <w:tc>
          <w:tcPr>
            <w:tcW w:w="1405" w:type="dxa"/>
            <w:gridSpan w:val="2"/>
          </w:tcPr>
          <w:p>
            <w:pPr>
              <w:pStyle w:val="TableParagraph"/>
              <w:spacing w:before="20"/>
              <w:ind w:right="48"/>
              <w:jc w:val="right"/>
              <w:rPr>
                <w:sz w:val="14"/>
              </w:rPr>
            </w:pPr>
            <w:r>
              <w:rPr>
                <w:sz w:val="14"/>
              </w:rPr>
              <w:t>0.0%</w:t>
            </w:r>
          </w:p>
        </w:tc>
      </w:tr>
      <w:tr>
        <w:trPr>
          <w:trHeight w:val="386" w:hRule="atLeast"/>
        </w:trPr>
        <w:tc>
          <w:tcPr>
            <w:tcW w:w="3766" w:type="dxa"/>
          </w:tcPr>
          <w:p>
            <w:pPr>
              <w:pStyle w:val="TableParagraph"/>
              <w:spacing w:before="112"/>
              <w:ind w:left="376"/>
              <w:rPr>
                <w:sz w:val="14"/>
              </w:rPr>
            </w:pPr>
            <w:r>
              <w:rPr>
                <w:w w:val="105"/>
                <w:sz w:val="14"/>
              </w:rPr>
              <w:t>b) Transfers Out</w:t>
            </w:r>
          </w:p>
        </w:tc>
        <w:tc>
          <w:tcPr>
            <w:tcW w:w="2633" w:type="dxa"/>
            <w:gridSpan w:val="2"/>
          </w:tcPr>
          <w:p>
            <w:pPr>
              <w:pStyle w:val="TableParagraph"/>
              <w:spacing w:before="112"/>
              <w:ind w:right="149"/>
              <w:jc w:val="right"/>
              <w:rPr>
                <w:sz w:val="14"/>
              </w:rPr>
            </w:pPr>
            <w:r>
              <w:rPr>
                <w:sz w:val="14"/>
              </w:rPr>
              <w:t>7600-7629</w:t>
            </w:r>
          </w:p>
        </w:tc>
        <w:tc>
          <w:tcPr>
            <w:tcW w:w="1782" w:type="dxa"/>
          </w:tcPr>
          <w:p>
            <w:pPr>
              <w:pStyle w:val="TableParagraph"/>
              <w:spacing w:before="112"/>
              <w:ind w:right="299"/>
              <w:jc w:val="right"/>
              <w:rPr>
                <w:sz w:val="14"/>
              </w:rPr>
            </w:pPr>
            <w:r>
              <w:rPr>
                <w:sz w:val="14"/>
              </w:rPr>
              <w:t>0.00</w:t>
            </w:r>
          </w:p>
        </w:tc>
        <w:tc>
          <w:tcPr>
            <w:tcW w:w="1518" w:type="dxa"/>
          </w:tcPr>
          <w:p>
            <w:pPr>
              <w:pStyle w:val="TableParagraph"/>
              <w:spacing w:before="112"/>
              <w:ind w:right="254"/>
              <w:jc w:val="right"/>
              <w:rPr>
                <w:sz w:val="14"/>
              </w:rPr>
            </w:pPr>
            <w:r>
              <w:rPr>
                <w:sz w:val="14"/>
              </w:rPr>
              <w:t>0.00</w:t>
            </w:r>
          </w:p>
        </w:tc>
        <w:tc>
          <w:tcPr>
            <w:tcW w:w="1405" w:type="dxa"/>
            <w:gridSpan w:val="2"/>
          </w:tcPr>
          <w:p>
            <w:pPr>
              <w:pStyle w:val="TableParagraph"/>
              <w:spacing w:before="112"/>
              <w:ind w:right="48"/>
              <w:jc w:val="right"/>
              <w:rPr>
                <w:sz w:val="14"/>
              </w:rPr>
            </w:pPr>
            <w:r>
              <w:rPr>
                <w:sz w:val="14"/>
              </w:rPr>
              <w:t>0.0%</w:t>
            </w:r>
          </w:p>
        </w:tc>
      </w:tr>
      <w:tr>
        <w:trPr>
          <w:trHeight w:val="294" w:hRule="atLeast"/>
        </w:trPr>
        <w:tc>
          <w:tcPr>
            <w:tcW w:w="3766" w:type="dxa"/>
          </w:tcPr>
          <w:p>
            <w:pPr>
              <w:pStyle w:val="TableParagraph"/>
              <w:spacing w:before="112"/>
              <w:ind w:left="212"/>
              <w:rPr>
                <w:sz w:val="14"/>
              </w:rPr>
            </w:pPr>
            <w:r>
              <w:rPr>
                <w:w w:val="105"/>
                <w:sz w:val="14"/>
              </w:rPr>
              <w:t>2) Other Sources/Uses</w:t>
            </w:r>
          </w:p>
        </w:tc>
        <w:tc>
          <w:tcPr>
            <w:tcW w:w="2633" w:type="dxa"/>
            <w:gridSpan w:val="2"/>
          </w:tcPr>
          <w:p>
            <w:pPr>
              <w:pStyle w:val="TableParagraph"/>
              <w:rPr>
                <w:rFonts w:ascii="Times New Roman"/>
                <w:sz w:val="14"/>
              </w:rPr>
            </w:pPr>
          </w:p>
        </w:tc>
        <w:tc>
          <w:tcPr>
            <w:tcW w:w="1782" w:type="dxa"/>
          </w:tcPr>
          <w:p>
            <w:pPr>
              <w:pStyle w:val="TableParagraph"/>
              <w:rPr>
                <w:rFonts w:ascii="Times New Roman"/>
                <w:sz w:val="14"/>
              </w:rPr>
            </w:pPr>
          </w:p>
        </w:tc>
        <w:tc>
          <w:tcPr>
            <w:tcW w:w="1518" w:type="dxa"/>
          </w:tcPr>
          <w:p>
            <w:pPr>
              <w:pStyle w:val="TableParagraph"/>
              <w:rPr>
                <w:rFonts w:ascii="Times New Roman"/>
                <w:sz w:val="14"/>
              </w:rPr>
            </w:pPr>
          </w:p>
        </w:tc>
        <w:tc>
          <w:tcPr>
            <w:tcW w:w="1405" w:type="dxa"/>
            <w:gridSpan w:val="2"/>
          </w:tcPr>
          <w:p>
            <w:pPr>
              <w:pStyle w:val="TableParagraph"/>
              <w:rPr>
                <w:rFonts w:ascii="Times New Roman"/>
                <w:sz w:val="14"/>
              </w:rPr>
            </w:pPr>
          </w:p>
        </w:tc>
      </w:tr>
      <w:tr>
        <w:trPr>
          <w:trHeight w:val="294" w:hRule="atLeast"/>
        </w:trPr>
        <w:tc>
          <w:tcPr>
            <w:tcW w:w="3766" w:type="dxa"/>
          </w:tcPr>
          <w:p>
            <w:pPr>
              <w:pStyle w:val="TableParagraph"/>
              <w:spacing w:before="20"/>
              <w:ind w:left="376"/>
              <w:rPr>
                <w:sz w:val="14"/>
              </w:rPr>
            </w:pPr>
            <w:r>
              <w:rPr>
                <w:w w:val="105"/>
                <w:sz w:val="14"/>
              </w:rPr>
              <w:t>a) Sources</w:t>
            </w:r>
          </w:p>
        </w:tc>
        <w:tc>
          <w:tcPr>
            <w:tcW w:w="2633" w:type="dxa"/>
            <w:gridSpan w:val="2"/>
          </w:tcPr>
          <w:p>
            <w:pPr>
              <w:pStyle w:val="TableParagraph"/>
              <w:spacing w:before="20"/>
              <w:ind w:right="149"/>
              <w:jc w:val="right"/>
              <w:rPr>
                <w:sz w:val="14"/>
              </w:rPr>
            </w:pPr>
            <w:r>
              <w:rPr>
                <w:sz w:val="14"/>
              </w:rPr>
              <w:t>8930-8979</w:t>
            </w:r>
          </w:p>
        </w:tc>
        <w:tc>
          <w:tcPr>
            <w:tcW w:w="1782" w:type="dxa"/>
          </w:tcPr>
          <w:p>
            <w:pPr>
              <w:pStyle w:val="TableParagraph"/>
              <w:spacing w:before="20"/>
              <w:ind w:right="299"/>
              <w:jc w:val="right"/>
              <w:rPr>
                <w:sz w:val="14"/>
              </w:rPr>
            </w:pPr>
            <w:r>
              <w:rPr>
                <w:sz w:val="14"/>
              </w:rPr>
              <w:t>0.00</w:t>
            </w:r>
          </w:p>
        </w:tc>
        <w:tc>
          <w:tcPr>
            <w:tcW w:w="1518" w:type="dxa"/>
          </w:tcPr>
          <w:p>
            <w:pPr>
              <w:pStyle w:val="TableParagraph"/>
              <w:spacing w:before="20"/>
              <w:ind w:right="254"/>
              <w:jc w:val="right"/>
              <w:rPr>
                <w:sz w:val="14"/>
              </w:rPr>
            </w:pPr>
            <w:r>
              <w:rPr>
                <w:sz w:val="14"/>
              </w:rPr>
              <w:t>0.00</w:t>
            </w:r>
          </w:p>
        </w:tc>
        <w:tc>
          <w:tcPr>
            <w:tcW w:w="1405" w:type="dxa"/>
            <w:gridSpan w:val="2"/>
          </w:tcPr>
          <w:p>
            <w:pPr>
              <w:pStyle w:val="TableParagraph"/>
              <w:spacing w:before="20"/>
              <w:ind w:right="48"/>
              <w:jc w:val="right"/>
              <w:rPr>
                <w:sz w:val="14"/>
              </w:rPr>
            </w:pPr>
            <w:r>
              <w:rPr>
                <w:sz w:val="14"/>
              </w:rPr>
              <w:t>0.0%</w:t>
            </w:r>
          </w:p>
        </w:tc>
      </w:tr>
      <w:tr>
        <w:trPr>
          <w:trHeight w:val="386" w:hRule="atLeast"/>
        </w:trPr>
        <w:tc>
          <w:tcPr>
            <w:tcW w:w="3766" w:type="dxa"/>
          </w:tcPr>
          <w:p>
            <w:pPr>
              <w:pStyle w:val="TableParagraph"/>
              <w:spacing w:before="112"/>
              <w:ind w:left="376"/>
              <w:rPr>
                <w:sz w:val="14"/>
              </w:rPr>
            </w:pPr>
            <w:r>
              <w:rPr>
                <w:w w:val="105"/>
                <w:sz w:val="14"/>
              </w:rPr>
              <w:t>b) Uses</w:t>
            </w:r>
          </w:p>
        </w:tc>
        <w:tc>
          <w:tcPr>
            <w:tcW w:w="2633" w:type="dxa"/>
            <w:gridSpan w:val="2"/>
          </w:tcPr>
          <w:p>
            <w:pPr>
              <w:pStyle w:val="TableParagraph"/>
              <w:spacing w:before="112"/>
              <w:ind w:right="149"/>
              <w:jc w:val="right"/>
              <w:rPr>
                <w:sz w:val="14"/>
              </w:rPr>
            </w:pPr>
            <w:r>
              <w:rPr>
                <w:sz w:val="14"/>
              </w:rPr>
              <w:t>7630-7699</w:t>
            </w:r>
          </w:p>
        </w:tc>
        <w:tc>
          <w:tcPr>
            <w:tcW w:w="1782" w:type="dxa"/>
          </w:tcPr>
          <w:p>
            <w:pPr>
              <w:pStyle w:val="TableParagraph"/>
              <w:spacing w:before="112"/>
              <w:ind w:right="299"/>
              <w:jc w:val="right"/>
              <w:rPr>
                <w:sz w:val="14"/>
              </w:rPr>
            </w:pPr>
            <w:r>
              <w:rPr>
                <w:sz w:val="14"/>
              </w:rPr>
              <w:t>0.00</w:t>
            </w:r>
          </w:p>
        </w:tc>
        <w:tc>
          <w:tcPr>
            <w:tcW w:w="1518" w:type="dxa"/>
          </w:tcPr>
          <w:p>
            <w:pPr>
              <w:pStyle w:val="TableParagraph"/>
              <w:spacing w:before="112"/>
              <w:ind w:right="254"/>
              <w:jc w:val="right"/>
              <w:rPr>
                <w:sz w:val="14"/>
              </w:rPr>
            </w:pPr>
            <w:r>
              <w:rPr>
                <w:sz w:val="14"/>
              </w:rPr>
              <w:t>0.00</w:t>
            </w:r>
          </w:p>
        </w:tc>
        <w:tc>
          <w:tcPr>
            <w:tcW w:w="1405" w:type="dxa"/>
            <w:gridSpan w:val="2"/>
          </w:tcPr>
          <w:p>
            <w:pPr>
              <w:pStyle w:val="TableParagraph"/>
              <w:spacing w:before="112"/>
              <w:ind w:right="48"/>
              <w:jc w:val="right"/>
              <w:rPr>
                <w:sz w:val="14"/>
              </w:rPr>
            </w:pPr>
            <w:r>
              <w:rPr>
                <w:sz w:val="14"/>
              </w:rPr>
              <w:t>0.0%</w:t>
            </w:r>
          </w:p>
        </w:tc>
      </w:tr>
      <w:tr>
        <w:trPr>
          <w:trHeight w:val="386" w:hRule="atLeast"/>
        </w:trPr>
        <w:tc>
          <w:tcPr>
            <w:tcW w:w="3766" w:type="dxa"/>
          </w:tcPr>
          <w:p>
            <w:pPr>
              <w:pStyle w:val="TableParagraph"/>
              <w:spacing w:before="112"/>
              <w:ind w:left="212"/>
              <w:rPr>
                <w:sz w:val="14"/>
              </w:rPr>
            </w:pPr>
            <w:r>
              <w:rPr>
                <w:w w:val="105"/>
                <w:sz w:val="14"/>
              </w:rPr>
              <w:t>3) Contributions</w:t>
            </w:r>
          </w:p>
        </w:tc>
        <w:tc>
          <w:tcPr>
            <w:tcW w:w="2633" w:type="dxa"/>
            <w:gridSpan w:val="2"/>
          </w:tcPr>
          <w:p>
            <w:pPr>
              <w:pStyle w:val="TableParagraph"/>
              <w:spacing w:before="112"/>
              <w:ind w:right="149"/>
              <w:jc w:val="right"/>
              <w:rPr>
                <w:sz w:val="14"/>
              </w:rPr>
            </w:pPr>
            <w:r>
              <w:rPr>
                <w:sz w:val="14"/>
              </w:rPr>
              <w:t>8980-8999</w:t>
            </w:r>
          </w:p>
        </w:tc>
        <w:tc>
          <w:tcPr>
            <w:tcW w:w="1782" w:type="dxa"/>
          </w:tcPr>
          <w:p>
            <w:pPr>
              <w:pStyle w:val="TableParagraph"/>
              <w:spacing w:before="112"/>
              <w:ind w:right="299"/>
              <w:jc w:val="right"/>
              <w:rPr>
                <w:sz w:val="14"/>
              </w:rPr>
            </w:pPr>
            <w:r>
              <w:rPr>
                <w:sz w:val="14"/>
              </w:rPr>
              <w:t>0.00</w:t>
            </w:r>
          </w:p>
        </w:tc>
        <w:tc>
          <w:tcPr>
            <w:tcW w:w="1518" w:type="dxa"/>
          </w:tcPr>
          <w:p>
            <w:pPr>
              <w:pStyle w:val="TableParagraph"/>
              <w:spacing w:before="112"/>
              <w:ind w:right="254"/>
              <w:jc w:val="right"/>
              <w:rPr>
                <w:sz w:val="14"/>
              </w:rPr>
            </w:pPr>
            <w:r>
              <w:rPr>
                <w:sz w:val="14"/>
              </w:rPr>
              <w:t>0.00</w:t>
            </w:r>
          </w:p>
        </w:tc>
        <w:tc>
          <w:tcPr>
            <w:tcW w:w="1405" w:type="dxa"/>
            <w:gridSpan w:val="2"/>
          </w:tcPr>
          <w:p>
            <w:pPr>
              <w:pStyle w:val="TableParagraph"/>
              <w:spacing w:before="112"/>
              <w:ind w:right="48"/>
              <w:jc w:val="right"/>
              <w:rPr>
                <w:sz w:val="14"/>
              </w:rPr>
            </w:pPr>
            <w:r>
              <w:rPr>
                <w:sz w:val="14"/>
              </w:rPr>
              <w:t>0.0%</w:t>
            </w:r>
          </w:p>
        </w:tc>
      </w:tr>
      <w:tr>
        <w:trPr>
          <w:trHeight w:val="274" w:hRule="atLeast"/>
        </w:trPr>
        <w:tc>
          <w:tcPr>
            <w:tcW w:w="3766" w:type="dxa"/>
          </w:tcPr>
          <w:p>
            <w:pPr>
              <w:pStyle w:val="TableParagraph"/>
              <w:spacing w:line="142" w:lineRule="exact" w:before="112"/>
              <w:ind w:left="212"/>
              <w:rPr>
                <w:sz w:val="14"/>
              </w:rPr>
            </w:pPr>
            <w:r>
              <w:rPr>
                <w:w w:val="105"/>
                <w:sz w:val="14"/>
              </w:rPr>
              <w:t>4) TOTAL, OTHER FINANCING SOURCES/USES</w:t>
            </w:r>
          </w:p>
        </w:tc>
        <w:tc>
          <w:tcPr>
            <w:tcW w:w="2633" w:type="dxa"/>
            <w:gridSpan w:val="2"/>
          </w:tcPr>
          <w:p>
            <w:pPr>
              <w:pStyle w:val="TableParagraph"/>
              <w:rPr>
                <w:rFonts w:ascii="Times New Roman"/>
                <w:sz w:val="14"/>
              </w:rPr>
            </w:pPr>
          </w:p>
        </w:tc>
        <w:tc>
          <w:tcPr>
            <w:tcW w:w="1782" w:type="dxa"/>
          </w:tcPr>
          <w:p>
            <w:pPr>
              <w:pStyle w:val="TableParagraph"/>
              <w:spacing w:line="142" w:lineRule="exact" w:before="112"/>
              <w:ind w:right="299"/>
              <w:jc w:val="right"/>
              <w:rPr>
                <w:sz w:val="14"/>
              </w:rPr>
            </w:pPr>
            <w:r>
              <w:rPr>
                <w:sz w:val="14"/>
              </w:rPr>
              <w:t>0.00</w:t>
            </w:r>
          </w:p>
        </w:tc>
        <w:tc>
          <w:tcPr>
            <w:tcW w:w="1518" w:type="dxa"/>
          </w:tcPr>
          <w:p>
            <w:pPr>
              <w:pStyle w:val="TableParagraph"/>
              <w:spacing w:line="142" w:lineRule="exact" w:before="112"/>
              <w:ind w:right="254"/>
              <w:jc w:val="right"/>
              <w:rPr>
                <w:sz w:val="14"/>
              </w:rPr>
            </w:pPr>
            <w:r>
              <w:rPr>
                <w:sz w:val="14"/>
              </w:rPr>
              <w:t>0.00</w:t>
            </w:r>
          </w:p>
        </w:tc>
        <w:tc>
          <w:tcPr>
            <w:tcW w:w="1405" w:type="dxa"/>
            <w:gridSpan w:val="2"/>
          </w:tcPr>
          <w:p>
            <w:pPr>
              <w:pStyle w:val="TableParagraph"/>
              <w:spacing w:line="142" w:lineRule="exact" w:before="112"/>
              <w:ind w:right="48"/>
              <w:jc w:val="right"/>
              <w:rPr>
                <w:sz w:val="14"/>
              </w:rPr>
            </w:pPr>
            <w:r>
              <w:rPr>
                <w:sz w:val="14"/>
              </w:rPr>
              <w:t>0.0%</w:t>
            </w:r>
          </w:p>
        </w:tc>
      </w:tr>
    </w:tbl>
    <w:p>
      <w:pPr>
        <w:spacing w:after="0" w:line="142" w:lineRule="exact"/>
        <w:jc w:val="right"/>
        <w:rPr>
          <w:sz w:val="14"/>
        </w:rPr>
        <w:sectPr>
          <w:headerReference w:type="default" r:id="rId815"/>
          <w:footerReference w:type="default" r:id="rId816"/>
          <w:pgSz w:w="12240" w:h="15840"/>
          <w:pgMar w:header="673" w:footer="451" w:top="1280" w:bottom="640" w:left="160" w:right="180"/>
        </w:sectPr>
      </w:pPr>
    </w:p>
    <w:p>
      <w:pPr>
        <w:pStyle w:val="BodyText"/>
        <w:rPr>
          <w:sz w:val="20"/>
        </w:rPr>
      </w:pPr>
    </w:p>
    <w:p>
      <w:pPr>
        <w:pStyle w:val="BodyText"/>
        <w:rPr>
          <w:sz w:val="20"/>
        </w:rPr>
      </w:pPr>
    </w:p>
    <w:p>
      <w:pPr>
        <w:pStyle w:val="BodyText"/>
        <w:spacing w:before="2"/>
        <w:rPr>
          <w:sz w:val="20"/>
        </w:rPr>
      </w:pPr>
    </w:p>
    <w:p>
      <w:pPr>
        <w:spacing w:after="0"/>
        <w:rPr>
          <w:sz w:val="20"/>
        </w:rPr>
        <w:sectPr>
          <w:headerReference w:type="default" r:id="rId822"/>
          <w:footerReference w:type="default" r:id="rId823"/>
          <w:pgSz w:w="12240" w:h="15840"/>
          <w:pgMar w:header="673" w:footer="451" w:top="1280" w:bottom="640" w:left="160" w:right="180"/>
        </w:sectPr>
      </w:pPr>
    </w:p>
    <w:p>
      <w:pPr>
        <w:pStyle w:val="BodyText"/>
        <w:spacing w:before="7"/>
        <w:rPr>
          <w:sz w:val="23"/>
        </w:rPr>
      </w:pPr>
    </w:p>
    <w:p>
      <w:pPr>
        <w:tabs>
          <w:tab w:pos="4409" w:val="left" w:leader="none"/>
          <w:tab w:pos="5803" w:val="left" w:leader="none"/>
        </w:tabs>
        <w:spacing w:before="1"/>
        <w:ind w:left="423" w:right="0" w:firstLine="0"/>
        <w:jc w:val="left"/>
        <w:rPr>
          <w:b/>
          <w:sz w:val="14"/>
        </w:rPr>
      </w:pPr>
      <w:r>
        <w:rPr>
          <w:b/>
          <w:w w:val="105"/>
          <w:sz w:val="14"/>
        </w:rPr>
        <w:t>Description</w:t>
        <w:tab/>
        <w:t>Function</w:t>
      </w:r>
      <w:r>
        <w:rPr>
          <w:b/>
          <w:spacing w:val="-6"/>
          <w:w w:val="105"/>
          <w:sz w:val="14"/>
        </w:rPr>
        <w:t> </w:t>
      </w:r>
      <w:r>
        <w:rPr>
          <w:b/>
          <w:w w:val="105"/>
          <w:sz w:val="14"/>
        </w:rPr>
        <w:t>Codes</w:t>
        <w:tab/>
        <w:t>Object</w:t>
      </w:r>
      <w:r>
        <w:rPr>
          <w:b/>
          <w:spacing w:val="-3"/>
          <w:w w:val="105"/>
          <w:sz w:val="14"/>
        </w:rPr>
        <w:t> </w:t>
      </w:r>
      <w:r>
        <w:rPr>
          <w:b/>
          <w:spacing w:val="-5"/>
          <w:w w:val="105"/>
          <w:sz w:val="14"/>
        </w:rPr>
        <w:t>Codes</w:t>
      </w:r>
    </w:p>
    <w:p>
      <w:pPr>
        <w:spacing w:before="102"/>
        <w:ind w:left="118" w:right="8" w:firstLine="0"/>
        <w:jc w:val="center"/>
        <w:rPr>
          <w:b/>
          <w:sz w:val="14"/>
        </w:rPr>
      </w:pPr>
      <w:r>
        <w:rPr/>
        <w:br w:type="column"/>
      </w:r>
      <w:r>
        <w:rPr>
          <w:b/>
          <w:w w:val="105"/>
          <w:sz w:val="14"/>
        </w:rPr>
        <w:t>2020-21</w:t>
      </w:r>
    </w:p>
    <w:p>
      <w:pPr>
        <w:spacing w:before="9"/>
        <w:ind w:left="118" w:right="12" w:firstLine="0"/>
        <w:jc w:val="center"/>
        <w:rPr>
          <w:b/>
          <w:sz w:val="14"/>
        </w:rPr>
      </w:pPr>
      <w:r>
        <w:rPr/>
        <w:pict>
          <v:group style="position:absolute;margin-left:27.120001pt;margin-top:-31.384087pt;width:554.3pt;height:442.95pt;mso-position-horizontal-relative:page;mso-position-vertical-relative:paragraph;z-index:-314331136" coordorigin="542,-628" coordsize="11086,8859">
            <v:shape style="position:absolute;left:542;top:-628;width:3766;height:814" type="#_x0000_t75" stroked="false">
              <v:imagedata r:id="rId522" o:title=""/>
            </v:shape>
            <v:shape style="position:absolute;left:4300;top:-628;width:7328;height:1402" type="#_x0000_t75" stroked="false">
              <v:imagedata r:id="rId824" o:title=""/>
            </v:shape>
            <v:line style="position:absolute" from="1379,176" to="1379,556" stroked="true" strokeweight=".360003pt" strokecolor="#ffffff">
              <v:stroke dashstyle="solid"/>
            </v:line>
            <v:shape style="position:absolute;left:542;top:171;width:3766;height:603" type="#_x0000_t75" stroked="false">
              <v:imagedata r:id="rId551" o:title=""/>
            </v:shape>
            <v:line style="position:absolute" from="1379,764" to="1379,1144" stroked="true" strokeweight=".360003pt" strokecolor="#ffffff">
              <v:stroke dashstyle="solid"/>
            </v:line>
            <v:shape style="position:absolute;left:6926;top:557;width:4702;height:1359" type="#_x0000_t75" stroked="false">
              <v:imagedata r:id="rId552" o:title=""/>
            </v:shape>
            <v:shape style="position:absolute;left:6926;top:1549;width:4702;height:728" type="#_x0000_t75" stroked="false">
              <v:imagedata r:id="rId554" o:title=""/>
            </v:shape>
            <v:shape style="position:absolute;left:542;top:759;width:3766;height:7472" type="#_x0000_t75" stroked="false">
              <v:imagedata r:id="rId553" o:title=""/>
            </v:shape>
            <w10:wrap type="none"/>
          </v:group>
        </w:pict>
      </w:r>
      <w:r>
        <w:rPr>
          <w:b/>
          <w:w w:val="105"/>
          <w:sz w:val="14"/>
        </w:rPr>
        <w:t>Estimated Actuals</w:t>
      </w:r>
    </w:p>
    <w:p>
      <w:pPr>
        <w:spacing w:before="102"/>
        <w:ind w:left="423" w:right="0" w:firstLine="0"/>
        <w:jc w:val="left"/>
        <w:rPr>
          <w:b/>
          <w:sz w:val="14"/>
        </w:rPr>
      </w:pPr>
      <w:r>
        <w:rPr/>
        <w:br w:type="column"/>
      </w:r>
      <w:r>
        <w:rPr>
          <w:b/>
          <w:w w:val="105"/>
          <w:sz w:val="14"/>
        </w:rPr>
        <w:t>2021-22</w:t>
      </w:r>
    </w:p>
    <w:p>
      <w:pPr>
        <w:spacing w:before="9"/>
        <w:ind w:left="439" w:right="0" w:firstLine="0"/>
        <w:jc w:val="left"/>
        <w:rPr>
          <w:b/>
          <w:sz w:val="14"/>
        </w:rPr>
      </w:pPr>
      <w:r>
        <w:rPr>
          <w:b/>
          <w:w w:val="105"/>
          <w:sz w:val="14"/>
        </w:rPr>
        <w:t>Budget</w:t>
      </w:r>
    </w:p>
    <w:p>
      <w:pPr>
        <w:spacing w:line="254" w:lineRule="auto" w:before="102"/>
        <w:ind w:left="423" w:right="283" w:firstLine="88"/>
        <w:jc w:val="left"/>
        <w:rPr>
          <w:b/>
          <w:sz w:val="14"/>
        </w:rPr>
      </w:pPr>
      <w:r>
        <w:rPr/>
        <w:br w:type="column"/>
      </w:r>
      <w:r>
        <w:rPr>
          <w:b/>
          <w:w w:val="105"/>
          <w:sz w:val="14"/>
        </w:rPr>
        <w:t>Percent </w:t>
      </w:r>
      <w:r>
        <w:rPr>
          <w:b/>
          <w:sz w:val="14"/>
        </w:rPr>
        <w:t>Difference</w:t>
      </w:r>
    </w:p>
    <w:p>
      <w:pPr>
        <w:spacing w:after="0" w:line="254" w:lineRule="auto"/>
        <w:jc w:val="left"/>
        <w:rPr>
          <w:sz w:val="14"/>
        </w:rPr>
        <w:sectPr>
          <w:type w:val="continuous"/>
          <w:pgSz w:w="12240" w:h="15840"/>
          <w:pgMar w:top="1500" w:bottom="840" w:left="160" w:right="180"/>
          <w:cols w:num="4" w:equalWidth="0">
            <w:col w:w="6741" w:space="40"/>
            <w:col w:w="1445" w:space="203"/>
            <w:col w:w="1000" w:space="473"/>
            <w:col w:w="1998"/>
          </w:cols>
        </w:sectPr>
      </w:pPr>
    </w:p>
    <w:p>
      <w:pPr>
        <w:pStyle w:val="BodyText"/>
        <w:spacing w:before="11"/>
        <w:rPr>
          <w:b/>
          <w:sz w:val="9"/>
        </w:rPr>
      </w:pPr>
    </w:p>
    <w:p>
      <w:pPr>
        <w:pStyle w:val="ListParagraph"/>
        <w:numPr>
          <w:ilvl w:val="0"/>
          <w:numId w:val="30"/>
        </w:numPr>
        <w:tabs>
          <w:tab w:pos="604" w:val="left" w:leader="none"/>
        </w:tabs>
        <w:spacing w:line="240" w:lineRule="auto" w:before="101" w:after="0"/>
        <w:ind w:left="603" w:right="0" w:hanging="181"/>
        <w:jc w:val="left"/>
        <w:rPr>
          <w:b/>
          <w:sz w:val="14"/>
        </w:rPr>
      </w:pPr>
      <w:r>
        <w:rPr>
          <w:b/>
          <w:w w:val="105"/>
          <w:sz w:val="14"/>
        </w:rPr>
        <w:t>NET INCREASE (DECREASE) IN</w:t>
      </w:r>
      <w:r>
        <w:rPr>
          <w:b/>
          <w:spacing w:val="-6"/>
          <w:w w:val="105"/>
          <w:sz w:val="14"/>
        </w:rPr>
        <w:t> </w:t>
      </w:r>
      <w:r>
        <w:rPr>
          <w:b/>
          <w:w w:val="105"/>
          <w:sz w:val="14"/>
        </w:rPr>
        <w:t>FUND</w:t>
      </w:r>
    </w:p>
    <w:p>
      <w:pPr>
        <w:tabs>
          <w:tab w:pos="7683" w:val="left" w:leader="none"/>
          <w:tab w:pos="9245" w:val="left" w:leader="none"/>
          <w:tab w:pos="11093" w:val="left" w:leader="none"/>
        </w:tabs>
        <w:spacing w:before="43"/>
        <w:ind w:left="626" w:right="0" w:firstLine="0"/>
        <w:jc w:val="left"/>
        <w:rPr>
          <w:sz w:val="14"/>
        </w:rPr>
      </w:pPr>
      <w:r>
        <w:rPr>
          <w:b/>
          <w:spacing w:val="-3"/>
          <w:w w:val="105"/>
          <w:sz w:val="14"/>
        </w:rPr>
        <w:t>BALANCE </w:t>
      </w:r>
      <w:r>
        <w:rPr>
          <w:b/>
          <w:w w:val="105"/>
          <w:sz w:val="14"/>
        </w:rPr>
        <w:t>(C</w:t>
      </w:r>
      <w:r>
        <w:rPr>
          <w:b/>
          <w:spacing w:val="1"/>
          <w:w w:val="105"/>
          <w:sz w:val="14"/>
        </w:rPr>
        <w:t> </w:t>
      </w:r>
      <w:r>
        <w:rPr>
          <w:b/>
          <w:w w:val="105"/>
          <w:sz w:val="14"/>
        </w:rPr>
        <w:t>+</w:t>
      </w:r>
      <w:r>
        <w:rPr>
          <w:b/>
          <w:spacing w:val="-1"/>
          <w:w w:val="105"/>
          <w:sz w:val="14"/>
        </w:rPr>
        <w:t> </w:t>
      </w:r>
      <w:r>
        <w:rPr>
          <w:b/>
          <w:w w:val="105"/>
          <w:sz w:val="14"/>
        </w:rPr>
        <w:t>D4)</w:t>
        <w:tab/>
      </w:r>
      <w:r>
        <w:rPr>
          <w:w w:val="105"/>
          <w:sz w:val="14"/>
        </w:rPr>
        <w:t>5,451.00</w:t>
        <w:tab/>
        <w:t>5,451.00</w:t>
        <w:tab/>
        <w:t>0.0%</w:t>
      </w:r>
    </w:p>
    <w:p>
      <w:pPr>
        <w:pStyle w:val="BodyText"/>
        <w:spacing w:before="7"/>
        <w:rPr>
          <w:sz w:val="10"/>
        </w:rPr>
      </w:pPr>
    </w:p>
    <w:p>
      <w:pPr>
        <w:pStyle w:val="Heading8"/>
        <w:numPr>
          <w:ilvl w:val="0"/>
          <w:numId w:val="30"/>
        </w:numPr>
        <w:tabs>
          <w:tab w:pos="593" w:val="left" w:leader="none"/>
        </w:tabs>
        <w:spacing w:line="240" w:lineRule="auto" w:before="101" w:after="0"/>
        <w:ind w:left="592" w:right="0" w:hanging="170"/>
        <w:jc w:val="left"/>
      </w:pPr>
      <w:r>
        <w:rPr>
          <w:w w:val="105"/>
        </w:rPr>
        <w:t>FUND BALANCE,</w:t>
      </w:r>
      <w:r>
        <w:rPr>
          <w:spacing w:val="-3"/>
          <w:w w:val="105"/>
        </w:rPr>
        <w:t> </w:t>
      </w:r>
      <w:r>
        <w:rPr>
          <w:w w:val="105"/>
        </w:rPr>
        <w:t>RESERVES</w:t>
      </w:r>
    </w:p>
    <w:p>
      <w:pPr>
        <w:pStyle w:val="BodyText"/>
        <w:spacing w:before="5"/>
        <w:rPr>
          <w:b/>
          <w:sz w:val="12"/>
        </w:rPr>
      </w:pPr>
    </w:p>
    <w:p>
      <w:pPr>
        <w:pStyle w:val="Heading9"/>
        <w:numPr>
          <w:ilvl w:val="1"/>
          <w:numId w:val="30"/>
        </w:numPr>
        <w:tabs>
          <w:tab w:pos="757" w:val="left" w:leader="none"/>
        </w:tabs>
        <w:spacing w:line="240" w:lineRule="auto" w:before="101" w:after="0"/>
        <w:ind w:left="756" w:right="0" w:hanging="172"/>
        <w:jc w:val="left"/>
      </w:pPr>
      <w:r>
        <w:rPr/>
        <w:pict>
          <v:group style="position:absolute;margin-left:215.039993pt;margin-top:31.055916pt;width:366.4pt;height:316.1pt;mso-position-horizontal-relative:page;mso-position-vertical-relative:paragraph;z-index:-314330112" coordorigin="4301,621" coordsize="7328,6322">
            <v:shape style="position:absolute;left:6926;top:621;width:4702;height:728" type="#_x0000_t75" stroked="false">
              <v:imagedata r:id="rId555" o:title=""/>
            </v:shape>
            <v:shape style="position:absolute;left:6926;top:981;width:4702;height:728" type="#_x0000_t75" stroked="false">
              <v:imagedata r:id="rId555" o:title=""/>
            </v:shape>
            <v:shape style="position:absolute;left:6926;top:1341;width:4702;height:728" type="#_x0000_t75" stroked="false">
              <v:imagedata r:id="rId555" o:title=""/>
            </v:shape>
            <v:shape style="position:absolute;left:6926;top:1701;width:4702;height:728" type="#_x0000_t75" stroked="false">
              <v:imagedata r:id="rId555" o:title=""/>
            </v:shape>
            <v:shape style="position:absolute;left:8488;top:2061;width:3140;height:622" type="#_x0000_t75" stroked="false">
              <v:imagedata r:id="rId825" o:title=""/>
            </v:shape>
            <v:shape style="position:absolute;left:6926;top:2061;width:1570;height:622" type="#_x0000_t75" stroked="false">
              <v:imagedata r:id="rId826" o:title=""/>
            </v:shape>
            <v:shape style="position:absolute;left:8488;top:2421;width:3140;height:1025" type="#_x0000_t75" stroked="false">
              <v:imagedata r:id="rId827" o:title=""/>
            </v:shape>
            <v:shape style="position:absolute;left:6926;top:2680;width:1570;height:766" type="#_x0000_t75" stroked="false">
              <v:imagedata r:id="rId828" o:title=""/>
            </v:shape>
            <v:shape style="position:absolute;left:8488;top:3083;width:3140;height:723" type="#_x0000_t75" stroked="false">
              <v:imagedata r:id="rId561" o:title=""/>
            </v:shape>
            <v:shape style="position:absolute;left:6926;top:3443;width:1570;height:365" type="#_x0000_t75" stroked="false">
              <v:imagedata r:id="rId562" o:title=""/>
            </v:shape>
            <v:shape style="position:absolute;left:8488;top:3443;width:3140;height:728" type="#_x0000_t75" stroked="false">
              <v:imagedata r:id="rId690" o:title=""/>
            </v:shape>
            <v:shape style="position:absolute;left:6926;top:3803;width:1570;height:368" type="#_x0000_t75" stroked="false">
              <v:imagedata r:id="rId691" o:title=""/>
            </v:shape>
            <v:shape style="position:absolute;left:6926;top:3803;width:4702;height:1289" type="#_x0000_t75" stroked="false">
              <v:imagedata r:id="rId829" o:title=""/>
            </v:shape>
            <v:shape style="position:absolute;left:6926;top:4883;width:4702;height:1131" type="#_x0000_t75" stroked="false">
              <v:imagedata r:id="rId830" o:title=""/>
            </v:shape>
            <v:shape style="position:absolute;left:6926;top:5805;width:4702;height:771" type="#_x0000_t75" stroked="false">
              <v:imagedata r:id="rId831" o:title=""/>
            </v:shape>
            <v:shape style="position:absolute;left:4300;top:6366;width:7328;height:576" type="#_x0000_t75" stroked="false">
              <v:imagedata r:id="rId832" o:title=""/>
            </v:shape>
            <w10:wrap type="none"/>
          </v:group>
        </w:pict>
      </w:r>
      <w:r>
        <w:rPr>
          <w:w w:val="105"/>
        </w:rPr>
        <w:t>Beginning Fund</w:t>
      </w:r>
      <w:r>
        <w:rPr>
          <w:spacing w:val="2"/>
          <w:w w:val="105"/>
        </w:rPr>
        <w:t> </w:t>
      </w:r>
      <w:r>
        <w:rPr>
          <w:w w:val="105"/>
        </w:rPr>
        <w:t>Balance</w:t>
      </w:r>
    </w:p>
    <w:p>
      <w:pPr>
        <w:pStyle w:val="BodyText"/>
        <w:spacing w:before="3"/>
        <w:rPr>
          <w:sz w:val="17"/>
        </w:rPr>
      </w:pPr>
    </w:p>
    <w:tbl>
      <w:tblPr>
        <w:tblW w:w="0" w:type="auto"/>
        <w:jc w:val="left"/>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523"/>
        <w:gridCol w:w="712"/>
        <w:gridCol w:w="1896"/>
        <w:gridCol w:w="1786"/>
        <w:gridCol w:w="1037"/>
      </w:tblGrid>
      <w:tr>
        <w:trPr>
          <w:trHeight w:val="261" w:hRule="atLeast"/>
        </w:trPr>
        <w:tc>
          <w:tcPr>
            <w:tcW w:w="5523" w:type="dxa"/>
          </w:tcPr>
          <w:p>
            <w:pPr>
              <w:pStyle w:val="TableParagraph"/>
              <w:spacing w:before="1"/>
              <w:ind w:left="214"/>
              <w:rPr>
                <w:sz w:val="14"/>
              </w:rPr>
            </w:pPr>
            <w:r>
              <w:rPr>
                <w:w w:val="105"/>
                <w:sz w:val="14"/>
              </w:rPr>
              <w:t>a) As of July 1 - Unaudited</w:t>
            </w:r>
          </w:p>
        </w:tc>
        <w:tc>
          <w:tcPr>
            <w:tcW w:w="712" w:type="dxa"/>
          </w:tcPr>
          <w:p>
            <w:pPr>
              <w:pStyle w:val="TableParagraph"/>
              <w:spacing w:before="1"/>
              <w:ind w:left="50"/>
              <w:rPr>
                <w:sz w:val="14"/>
              </w:rPr>
            </w:pPr>
            <w:r>
              <w:rPr>
                <w:w w:val="105"/>
                <w:sz w:val="14"/>
              </w:rPr>
              <w:t>9791</w:t>
            </w:r>
          </w:p>
        </w:tc>
        <w:tc>
          <w:tcPr>
            <w:tcW w:w="1896" w:type="dxa"/>
          </w:tcPr>
          <w:p>
            <w:pPr>
              <w:pStyle w:val="TableParagraph"/>
              <w:spacing w:before="1"/>
              <w:ind w:right="412"/>
              <w:jc w:val="right"/>
              <w:rPr>
                <w:sz w:val="14"/>
              </w:rPr>
            </w:pPr>
            <w:r>
              <w:rPr>
                <w:sz w:val="14"/>
              </w:rPr>
              <w:t>399,462.00</w:t>
            </w:r>
          </w:p>
        </w:tc>
        <w:tc>
          <w:tcPr>
            <w:tcW w:w="1786" w:type="dxa"/>
          </w:tcPr>
          <w:p>
            <w:pPr>
              <w:pStyle w:val="TableParagraph"/>
              <w:spacing w:before="1"/>
              <w:ind w:right="635"/>
              <w:jc w:val="right"/>
              <w:rPr>
                <w:sz w:val="14"/>
              </w:rPr>
            </w:pPr>
            <w:r>
              <w:rPr>
                <w:sz w:val="14"/>
              </w:rPr>
              <w:t>404,913.00</w:t>
            </w:r>
          </w:p>
        </w:tc>
        <w:tc>
          <w:tcPr>
            <w:tcW w:w="1037" w:type="dxa"/>
          </w:tcPr>
          <w:p>
            <w:pPr>
              <w:pStyle w:val="TableParagraph"/>
              <w:spacing w:before="1"/>
              <w:ind w:right="60"/>
              <w:jc w:val="right"/>
              <w:rPr>
                <w:sz w:val="14"/>
              </w:rPr>
            </w:pPr>
            <w:r>
              <w:rPr>
                <w:w w:val="105"/>
                <w:sz w:val="14"/>
              </w:rPr>
              <w:t>1.4%</w:t>
            </w:r>
          </w:p>
        </w:tc>
      </w:tr>
      <w:tr>
        <w:trPr>
          <w:trHeight w:val="360" w:hRule="atLeast"/>
        </w:trPr>
        <w:tc>
          <w:tcPr>
            <w:tcW w:w="5523" w:type="dxa"/>
          </w:tcPr>
          <w:p>
            <w:pPr>
              <w:pStyle w:val="TableParagraph"/>
              <w:spacing w:before="99"/>
              <w:ind w:left="214"/>
              <w:rPr>
                <w:sz w:val="14"/>
              </w:rPr>
            </w:pPr>
            <w:r>
              <w:rPr>
                <w:w w:val="105"/>
                <w:sz w:val="14"/>
              </w:rPr>
              <w:t>b) Audit Adjustments</w:t>
            </w:r>
          </w:p>
        </w:tc>
        <w:tc>
          <w:tcPr>
            <w:tcW w:w="712" w:type="dxa"/>
          </w:tcPr>
          <w:p>
            <w:pPr>
              <w:pStyle w:val="TableParagraph"/>
              <w:spacing w:before="99"/>
              <w:ind w:left="50"/>
              <w:rPr>
                <w:sz w:val="14"/>
              </w:rPr>
            </w:pPr>
            <w:r>
              <w:rPr>
                <w:w w:val="105"/>
                <w:sz w:val="14"/>
              </w:rPr>
              <w:t>9793</w:t>
            </w:r>
          </w:p>
        </w:tc>
        <w:tc>
          <w:tcPr>
            <w:tcW w:w="1896" w:type="dxa"/>
          </w:tcPr>
          <w:p>
            <w:pPr>
              <w:pStyle w:val="TableParagraph"/>
              <w:spacing w:before="99"/>
              <w:ind w:right="411"/>
              <w:jc w:val="right"/>
              <w:rPr>
                <w:sz w:val="14"/>
              </w:rPr>
            </w:pPr>
            <w:r>
              <w:rPr>
                <w:sz w:val="14"/>
              </w:rPr>
              <w:t>0.00</w:t>
            </w:r>
          </w:p>
        </w:tc>
        <w:tc>
          <w:tcPr>
            <w:tcW w:w="1786" w:type="dxa"/>
          </w:tcPr>
          <w:p>
            <w:pPr>
              <w:pStyle w:val="TableParagraph"/>
              <w:spacing w:before="99"/>
              <w:ind w:right="636"/>
              <w:jc w:val="right"/>
              <w:rPr>
                <w:sz w:val="14"/>
              </w:rPr>
            </w:pPr>
            <w:r>
              <w:rPr>
                <w:sz w:val="14"/>
              </w:rPr>
              <w:t>0.00</w:t>
            </w:r>
          </w:p>
        </w:tc>
        <w:tc>
          <w:tcPr>
            <w:tcW w:w="1037" w:type="dxa"/>
          </w:tcPr>
          <w:p>
            <w:pPr>
              <w:pStyle w:val="TableParagraph"/>
              <w:spacing w:before="99"/>
              <w:ind w:right="60"/>
              <w:jc w:val="right"/>
              <w:rPr>
                <w:sz w:val="14"/>
              </w:rPr>
            </w:pPr>
            <w:r>
              <w:rPr>
                <w:w w:val="105"/>
                <w:sz w:val="14"/>
              </w:rPr>
              <w:t>0.0%</w:t>
            </w:r>
          </w:p>
        </w:tc>
      </w:tr>
      <w:tr>
        <w:trPr>
          <w:trHeight w:val="360" w:hRule="atLeast"/>
        </w:trPr>
        <w:tc>
          <w:tcPr>
            <w:tcW w:w="5523" w:type="dxa"/>
          </w:tcPr>
          <w:p>
            <w:pPr>
              <w:pStyle w:val="TableParagraph"/>
              <w:spacing w:before="99"/>
              <w:ind w:left="214"/>
              <w:rPr>
                <w:sz w:val="14"/>
              </w:rPr>
            </w:pPr>
            <w:r>
              <w:rPr>
                <w:w w:val="105"/>
                <w:sz w:val="14"/>
              </w:rPr>
              <w:t>c) As of July 1 - Audited (F1a + F1b)</w:t>
            </w:r>
          </w:p>
        </w:tc>
        <w:tc>
          <w:tcPr>
            <w:tcW w:w="712" w:type="dxa"/>
          </w:tcPr>
          <w:p>
            <w:pPr>
              <w:pStyle w:val="TableParagraph"/>
              <w:rPr>
                <w:rFonts w:ascii="Times New Roman"/>
                <w:sz w:val="14"/>
              </w:rPr>
            </w:pPr>
          </w:p>
        </w:tc>
        <w:tc>
          <w:tcPr>
            <w:tcW w:w="1896" w:type="dxa"/>
          </w:tcPr>
          <w:p>
            <w:pPr>
              <w:pStyle w:val="TableParagraph"/>
              <w:spacing w:before="99"/>
              <w:ind w:right="412"/>
              <w:jc w:val="right"/>
              <w:rPr>
                <w:sz w:val="14"/>
              </w:rPr>
            </w:pPr>
            <w:r>
              <w:rPr>
                <w:sz w:val="14"/>
              </w:rPr>
              <w:t>399,462.00</w:t>
            </w:r>
          </w:p>
        </w:tc>
        <w:tc>
          <w:tcPr>
            <w:tcW w:w="1786" w:type="dxa"/>
          </w:tcPr>
          <w:p>
            <w:pPr>
              <w:pStyle w:val="TableParagraph"/>
              <w:spacing w:before="99"/>
              <w:ind w:right="635"/>
              <w:jc w:val="right"/>
              <w:rPr>
                <w:sz w:val="14"/>
              </w:rPr>
            </w:pPr>
            <w:r>
              <w:rPr>
                <w:sz w:val="14"/>
              </w:rPr>
              <w:t>404,913.00</w:t>
            </w:r>
          </w:p>
        </w:tc>
        <w:tc>
          <w:tcPr>
            <w:tcW w:w="1037" w:type="dxa"/>
          </w:tcPr>
          <w:p>
            <w:pPr>
              <w:pStyle w:val="TableParagraph"/>
              <w:spacing w:before="99"/>
              <w:ind w:right="60"/>
              <w:jc w:val="right"/>
              <w:rPr>
                <w:sz w:val="14"/>
              </w:rPr>
            </w:pPr>
            <w:r>
              <w:rPr>
                <w:w w:val="105"/>
                <w:sz w:val="14"/>
              </w:rPr>
              <w:t>1.4%</w:t>
            </w:r>
          </w:p>
        </w:tc>
      </w:tr>
      <w:tr>
        <w:trPr>
          <w:trHeight w:val="360" w:hRule="atLeast"/>
        </w:trPr>
        <w:tc>
          <w:tcPr>
            <w:tcW w:w="5523" w:type="dxa"/>
          </w:tcPr>
          <w:p>
            <w:pPr>
              <w:pStyle w:val="TableParagraph"/>
              <w:spacing w:before="99"/>
              <w:ind w:left="214"/>
              <w:rPr>
                <w:sz w:val="14"/>
              </w:rPr>
            </w:pPr>
            <w:r>
              <w:rPr>
                <w:w w:val="105"/>
                <w:sz w:val="14"/>
              </w:rPr>
              <w:t>d) Other Restatements</w:t>
            </w:r>
          </w:p>
        </w:tc>
        <w:tc>
          <w:tcPr>
            <w:tcW w:w="712" w:type="dxa"/>
          </w:tcPr>
          <w:p>
            <w:pPr>
              <w:pStyle w:val="TableParagraph"/>
              <w:spacing w:before="99"/>
              <w:ind w:left="50"/>
              <w:rPr>
                <w:sz w:val="14"/>
              </w:rPr>
            </w:pPr>
            <w:r>
              <w:rPr>
                <w:w w:val="105"/>
                <w:sz w:val="14"/>
              </w:rPr>
              <w:t>9795</w:t>
            </w:r>
          </w:p>
        </w:tc>
        <w:tc>
          <w:tcPr>
            <w:tcW w:w="1896" w:type="dxa"/>
          </w:tcPr>
          <w:p>
            <w:pPr>
              <w:pStyle w:val="TableParagraph"/>
              <w:spacing w:before="99"/>
              <w:ind w:right="411"/>
              <w:jc w:val="right"/>
              <w:rPr>
                <w:sz w:val="14"/>
              </w:rPr>
            </w:pPr>
            <w:r>
              <w:rPr>
                <w:sz w:val="14"/>
              </w:rPr>
              <w:t>0.00</w:t>
            </w:r>
          </w:p>
        </w:tc>
        <w:tc>
          <w:tcPr>
            <w:tcW w:w="1786" w:type="dxa"/>
          </w:tcPr>
          <w:p>
            <w:pPr>
              <w:pStyle w:val="TableParagraph"/>
              <w:spacing w:before="99"/>
              <w:ind w:right="636"/>
              <w:jc w:val="right"/>
              <w:rPr>
                <w:sz w:val="14"/>
              </w:rPr>
            </w:pPr>
            <w:r>
              <w:rPr>
                <w:sz w:val="14"/>
              </w:rPr>
              <w:t>0.00</w:t>
            </w:r>
          </w:p>
        </w:tc>
        <w:tc>
          <w:tcPr>
            <w:tcW w:w="1037" w:type="dxa"/>
          </w:tcPr>
          <w:p>
            <w:pPr>
              <w:pStyle w:val="TableParagraph"/>
              <w:spacing w:before="99"/>
              <w:ind w:right="60"/>
              <w:jc w:val="right"/>
              <w:rPr>
                <w:sz w:val="14"/>
              </w:rPr>
            </w:pPr>
            <w:r>
              <w:rPr>
                <w:w w:val="105"/>
                <w:sz w:val="14"/>
              </w:rPr>
              <w:t>0.0%</w:t>
            </w:r>
          </w:p>
        </w:tc>
      </w:tr>
      <w:tr>
        <w:trPr>
          <w:trHeight w:val="360" w:hRule="atLeast"/>
        </w:trPr>
        <w:tc>
          <w:tcPr>
            <w:tcW w:w="5523" w:type="dxa"/>
          </w:tcPr>
          <w:p>
            <w:pPr>
              <w:pStyle w:val="TableParagraph"/>
              <w:spacing w:before="99"/>
              <w:ind w:left="214"/>
              <w:rPr>
                <w:sz w:val="14"/>
              </w:rPr>
            </w:pPr>
            <w:r>
              <w:rPr>
                <w:w w:val="105"/>
                <w:sz w:val="14"/>
              </w:rPr>
              <w:t>e) Adjusted Beginning Balance (F1c + F1d)</w:t>
            </w:r>
          </w:p>
        </w:tc>
        <w:tc>
          <w:tcPr>
            <w:tcW w:w="712" w:type="dxa"/>
          </w:tcPr>
          <w:p>
            <w:pPr>
              <w:pStyle w:val="TableParagraph"/>
              <w:rPr>
                <w:rFonts w:ascii="Times New Roman"/>
                <w:sz w:val="14"/>
              </w:rPr>
            </w:pPr>
          </w:p>
        </w:tc>
        <w:tc>
          <w:tcPr>
            <w:tcW w:w="1896" w:type="dxa"/>
          </w:tcPr>
          <w:p>
            <w:pPr>
              <w:pStyle w:val="TableParagraph"/>
              <w:spacing w:before="99"/>
              <w:ind w:right="412"/>
              <w:jc w:val="right"/>
              <w:rPr>
                <w:sz w:val="14"/>
              </w:rPr>
            </w:pPr>
            <w:r>
              <w:rPr>
                <w:sz w:val="14"/>
              </w:rPr>
              <w:t>399,462.00</w:t>
            </w:r>
          </w:p>
        </w:tc>
        <w:tc>
          <w:tcPr>
            <w:tcW w:w="1786" w:type="dxa"/>
          </w:tcPr>
          <w:p>
            <w:pPr>
              <w:pStyle w:val="TableParagraph"/>
              <w:spacing w:before="99"/>
              <w:ind w:right="635"/>
              <w:jc w:val="right"/>
              <w:rPr>
                <w:sz w:val="14"/>
              </w:rPr>
            </w:pPr>
            <w:r>
              <w:rPr>
                <w:sz w:val="14"/>
              </w:rPr>
              <w:t>404,913.00</w:t>
            </w:r>
          </w:p>
        </w:tc>
        <w:tc>
          <w:tcPr>
            <w:tcW w:w="1037" w:type="dxa"/>
          </w:tcPr>
          <w:p>
            <w:pPr>
              <w:pStyle w:val="TableParagraph"/>
              <w:spacing w:before="99"/>
              <w:ind w:right="60"/>
              <w:jc w:val="right"/>
              <w:rPr>
                <w:sz w:val="14"/>
              </w:rPr>
            </w:pPr>
            <w:r>
              <w:rPr>
                <w:w w:val="105"/>
                <w:sz w:val="14"/>
              </w:rPr>
              <w:t>1.4%</w:t>
            </w:r>
          </w:p>
        </w:tc>
      </w:tr>
      <w:tr>
        <w:trPr>
          <w:trHeight w:val="264" w:hRule="atLeast"/>
        </w:trPr>
        <w:tc>
          <w:tcPr>
            <w:tcW w:w="5523" w:type="dxa"/>
          </w:tcPr>
          <w:p>
            <w:pPr>
              <w:pStyle w:val="TableParagraph"/>
              <w:spacing w:line="145" w:lineRule="exact" w:before="99"/>
              <w:ind w:left="50"/>
              <w:rPr>
                <w:sz w:val="14"/>
              </w:rPr>
            </w:pPr>
            <w:r>
              <w:rPr>
                <w:w w:val="105"/>
                <w:sz w:val="14"/>
              </w:rPr>
              <w:t>2) Ending Balance, June 30 (E + F1e)</w:t>
            </w:r>
          </w:p>
        </w:tc>
        <w:tc>
          <w:tcPr>
            <w:tcW w:w="712" w:type="dxa"/>
          </w:tcPr>
          <w:p>
            <w:pPr>
              <w:pStyle w:val="TableParagraph"/>
              <w:rPr>
                <w:rFonts w:ascii="Times New Roman"/>
                <w:sz w:val="14"/>
              </w:rPr>
            </w:pPr>
          </w:p>
        </w:tc>
        <w:tc>
          <w:tcPr>
            <w:tcW w:w="1896" w:type="dxa"/>
          </w:tcPr>
          <w:p>
            <w:pPr>
              <w:pStyle w:val="TableParagraph"/>
              <w:spacing w:line="145" w:lineRule="exact" w:before="99"/>
              <w:ind w:right="412"/>
              <w:jc w:val="right"/>
              <w:rPr>
                <w:sz w:val="14"/>
              </w:rPr>
            </w:pPr>
            <w:r>
              <w:rPr>
                <w:sz w:val="14"/>
              </w:rPr>
              <w:t>404,913.00</w:t>
            </w:r>
          </w:p>
        </w:tc>
        <w:tc>
          <w:tcPr>
            <w:tcW w:w="1786" w:type="dxa"/>
          </w:tcPr>
          <w:p>
            <w:pPr>
              <w:pStyle w:val="TableParagraph"/>
              <w:spacing w:line="145" w:lineRule="exact" w:before="99"/>
              <w:ind w:right="635"/>
              <w:jc w:val="right"/>
              <w:rPr>
                <w:sz w:val="14"/>
              </w:rPr>
            </w:pPr>
            <w:r>
              <w:rPr>
                <w:sz w:val="14"/>
              </w:rPr>
              <w:t>410,364.00</w:t>
            </w:r>
          </w:p>
        </w:tc>
        <w:tc>
          <w:tcPr>
            <w:tcW w:w="1037" w:type="dxa"/>
          </w:tcPr>
          <w:p>
            <w:pPr>
              <w:pStyle w:val="TableParagraph"/>
              <w:spacing w:line="145" w:lineRule="exact" w:before="99"/>
              <w:ind w:right="60"/>
              <w:jc w:val="right"/>
              <w:rPr>
                <w:sz w:val="14"/>
              </w:rPr>
            </w:pPr>
            <w:r>
              <w:rPr>
                <w:w w:val="105"/>
                <w:sz w:val="14"/>
              </w:rPr>
              <w:t>1.3%</w:t>
            </w:r>
          </w:p>
        </w:tc>
      </w:tr>
      <w:tr>
        <w:trPr>
          <w:trHeight w:val="496" w:hRule="atLeast"/>
        </w:trPr>
        <w:tc>
          <w:tcPr>
            <w:tcW w:w="6235" w:type="dxa"/>
            <w:gridSpan w:val="2"/>
          </w:tcPr>
          <w:p>
            <w:pPr>
              <w:pStyle w:val="TableParagraph"/>
              <w:spacing w:before="94"/>
              <w:ind w:left="214"/>
              <w:rPr>
                <w:sz w:val="14"/>
              </w:rPr>
            </w:pPr>
            <w:r>
              <w:rPr>
                <w:w w:val="105"/>
                <w:sz w:val="14"/>
              </w:rPr>
              <w:t>Components of Ending Fund Balance</w:t>
            </w:r>
          </w:p>
          <w:p>
            <w:pPr>
              <w:pStyle w:val="TableParagraph"/>
              <w:spacing w:before="41"/>
              <w:ind w:left="214"/>
              <w:rPr>
                <w:sz w:val="14"/>
              </w:rPr>
            </w:pPr>
            <w:r>
              <w:rPr>
                <w:w w:val="105"/>
                <w:sz w:val="14"/>
              </w:rPr>
              <w:t>a) Nonspendable</w:t>
            </w:r>
          </w:p>
        </w:tc>
        <w:tc>
          <w:tcPr>
            <w:tcW w:w="4719" w:type="dxa"/>
            <w:gridSpan w:val="3"/>
            <w:shd w:val="clear" w:color="auto" w:fill="DFDFDF"/>
          </w:tcPr>
          <w:p>
            <w:pPr>
              <w:pStyle w:val="TableParagraph"/>
              <w:rPr>
                <w:rFonts w:ascii="Times New Roman"/>
                <w:sz w:val="14"/>
              </w:rPr>
            </w:pPr>
          </w:p>
        </w:tc>
      </w:tr>
      <w:tr>
        <w:trPr>
          <w:trHeight w:val="261" w:hRule="atLeast"/>
        </w:trPr>
        <w:tc>
          <w:tcPr>
            <w:tcW w:w="5523" w:type="dxa"/>
          </w:tcPr>
          <w:p>
            <w:pPr>
              <w:pStyle w:val="TableParagraph"/>
              <w:spacing w:before="1"/>
              <w:ind w:left="416"/>
              <w:rPr>
                <w:sz w:val="14"/>
              </w:rPr>
            </w:pPr>
            <w:r>
              <w:rPr>
                <w:w w:val="105"/>
                <w:sz w:val="14"/>
              </w:rPr>
              <w:t>Revolving Cash</w:t>
            </w:r>
          </w:p>
        </w:tc>
        <w:tc>
          <w:tcPr>
            <w:tcW w:w="712" w:type="dxa"/>
          </w:tcPr>
          <w:p>
            <w:pPr>
              <w:pStyle w:val="TableParagraph"/>
              <w:spacing w:before="1"/>
              <w:ind w:left="50"/>
              <w:rPr>
                <w:sz w:val="14"/>
              </w:rPr>
            </w:pPr>
            <w:r>
              <w:rPr>
                <w:w w:val="105"/>
                <w:sz w:val="14"/>
              </w:rPr>
              <w:t>9711</w:t>
            </w:r>
          </w:p>
        </w:tc>
        <w:tc>
          <w:tcPr>
            <w:tcW w:w="1896" w:type="dxa"/>
            <w:shd w:val="clear" w:color="auto" w:fill="DFDFDF"/>
          </w:tcPr>
          <w:p>
            <w:pPr>
              <w:pStyle w:val="TableParagraph"/>
              <w:spacing w:before="1"/>
              <w:ind w:right="411"/>
              <w:jc w:val="right"/>
              <w:rPr>
                <w:sz w:val="14"/>
              </w:rPr>
            </w:pPr>
            <w:r>
              <w:rPr>
                <w:sz w:val="14"/>
              </w:rPr>
              <w:t>0.00</w:t>
            </w:r>
          </w:p>
        </w:tc>
        <w:tc>
          <w:tcPr>
            <w:tcW w:w="1786" w:type="dxa"/>
            <w:shd w:val="clear" w:color="auto" w:fill="DFDFDF"/>
          </w:tcPr>
          <w:p>
            <w:pPr>
              <w:pStyle w:val="TableParagraph"/>
              <w:spacing w:before="1"/>
              <w:ind w:right="636"/>
              <w:jc w:val="right"/>
              <w:rPr>
                <w:sz w:val="14"/>
              </w:rPr>
            </w:pPr>
            <w:r>
              <w:rPr>
                <w:sz w:val="14"/>
              </w:rPr>
              <w:t>0.00</w:t>
            </w:r>
          </w:p>
        </w:tc>
        <w:tc>
          <w:tcPr>
            <w:tcW w:w="1037" w:type="dxa"/>
            <w:shd w:val="clear" w:color="auto" w:fill="DFDFDF"/>
          </w:tcPr>
          <w:p>
            <w:pPr>
              <w:pStyle w:val="TableParagraph"/>
              <w:spacing w:before="1"/>
              <w:ind w:right="60"/>
              <w:jc w:val="right"/>
              <w:rPr>
                <w:sz w:val="14"/>
              </w:rPr>
            </w:pPr>
            <w:r>
              <w:rPr>
                <w:w w:val="105"/>
                <w:sz w:val="14"/>
              </w:rPr>
              <w:t>0.0%</w:t>
            </w:r>
          </w:p>
        </w:tc>
      </w:tr>
      <w:tr>
        <w:trPr>
          <w:trHeight w:val="360" w:hRule="atLeast"/>
        </w:trPr>
        <w:tc>
          <w:tcPr>
            <w:tcW w:w="5523" w:type="dxa"/>
          </w:tcPr>
          <w:p>
            <w:pPr>
              <w:pStyle w:val="TableParagraph"/>
              <w:spacing w:before="99"/>
              <w:ind w:left="416"/>
              <w:rPr>
                <w:sz w:val="14"/>
              </w:rPr>
            </w:pPr>
            <w:r>
              <w:rPr>
                <w:w w:val="105"/>
                <w:sz w:val="14"/>
              </w:rPr>
              <w:t>Stores</w:t>
            </w:r>
          </w:p>
        </w:tc>
        <w:tc>
          <w:tcPr>
            <w:tcW w:w="712" w:type="dxa"/>
          </w:tcPr>
          <w:p>
            <w:pPr>
              <w:pStyle w:val="TableParagraph"/>
              <w:spacing w:before="99"/>
              <w:ind w:left="50"/>
              <w:rPr>
                <w:sz w:val="14"/>
              </w:rPr>
            </w:pPr>
            <w:r>
              <w:rPr>
                <w:w w:val="105"/>
                <w:sz w:val="14"/>
              </w:rPr>
              <w:t>9712</w:t>
            </w:r>
          </w:p>
        </w:tc>
        <w:tc>
          <w:tcPr>
            <w:tcW w:w="1896" w:type="dxa"/>
            <w:shd w:val="clear" w:color="auto" w:fill="DFDFDF"/>
          </w:tcPr>
          <w:p>
            <w:pPr>
              <w:pStyle w:val="TableParagraph"/>
              <w:spacing w:before="99"/>
              <w:ind w:right="411"/>
              <w:jc w:val="right"/>
              <w:rPr>
                <w:sz w:val="14"/>
              </w:rPr>
            </w:pPr>
            <w:r>
              <w:rPr>
                <w:sz w:val="14"/>
              </w:rPr>
              <w:t>0.00</w:t>
            </w:r>
          </w:p>
        </w:tc>
        <w:tc>
          <w:tcPr>
            <w:tcW w:w="1786" w:type="dxa"/>
            <w:shd w:val="clear" w:color="auto" w:fill="DFDFDF"/>
          </w:tcPr>
          <w:p>
            <w:pPr>
              <w:pStyle w:val="TableParagraph"/>
              <w:spacing w:before="99"/>
              <w:ind w:right="636"/>
              <w:jc w:val="right"/>
              <w:rPr>
                <w:sz w:val="14"/>
              </w:rPr>
            </w:pPr>
            <w:r>
              <w:rPr>
                <w:sz w:val="14"/>
              </w:rPr>
              <w:t>0.00</w:t>
            </w:r>
          </w:p>
        </w:tc>
        <w:tc>
          <w:tcPr>
            <w:tcW w:w="1037" w:type="dxa"/>
            <w:shd w:val="clear" w:color="auto" w:fill="DFDFDF"/>
          </w:tcPr>
          <w:p>
            <w:pPr>
              <w:pStyle w:val="TableParagraph"/>
              <w:spacing w:before="99"/>
              <w:ind w:right="60"/>
              <w:jc w:val="right"/>
              <w:rPr>
                <w:sz w:val="14"/>
              </w:rPr>
            </w:pPr>
            <w:r>
              <w:rPr>
                <w:w w:val="105"/>
                <w:sz w:val="14"/>
              </w:rPr>
              <w:t>0.0%</w:t>
            </w:r>
          </w:p>
        </w:tc>
      </w:tr>
      <w:tr>
        <w:trPr>
          <w:trHeight w:val="360" w:hRule="atLeast"/>
        </w:trPr>
        <w:tc>
          <w:tcPr>
            <w:tcW w:w="5523" w:type="dxa"/>
          </w:tcPr>
          <w:p>
            <w:pPr>
              <w:pStyle w:val="TableParagraph"/>
              <w:spacing w:before="99"/>
              <w:ind w:left="416"/>
              <w:rPr>
                <w:sz w:val="14"/>
              </w:rPr>
            </w:pPr>
            <w:r>
              <w:rPr>
                <w:w w:val="105"/>
                <w:sz w:val="14"/>
              </w:rPr>
              <w:t>Prepaid Items</w:t>
            </w:r>
          </w:p>
        </w:tc>
        <w:tc>
          <w:tcPr>
            <w:tcW w:w="712" w:type="dxa"/>
          </w:tcPr>
          <w:p>
            <w:pPr>
              <w:pStyle w:val="TableParagraph"/>
              <w:spacing w:before="99"/>
              <w:ind w:left="50"/>
              <w:rPr>
                <w:sz w:val="14"/>
              </w:rPr>
            </w:pPr>
            <w:r>
              <w:rPr>
                <w:w w:val="105"/>
                <w:sz w:val="14"/>
              </w:rPr>
              <w:t>9713</w:t>
            </w:r>
          </w:p>
        </w:tc>
        <w:tc>
          <w:tcPr>
            <w:tcW w:w="1896" w:type="dxa"/>
          </w:tcPr>
          <w:p>
            <w:pPr>
              <w:pStyle w:val="TableParagraph"/>
              <w:spacing w:before="99"/>
              <w:ind w:right="411"/>
              <w:jc w:val="right"/>
              <w:rPr>
                <w:sz w:val="14"/>
              </w:rPr>
            </w:pPr>
            <w:r>
              <w:rPr>
                <w:sz w:val="14"/>
              </w:rPr>
              <w:t>0.00</w:t>
            </w:r>
          </w:p>
        </w:tc>
        <w:tc>
          <w:tcPr>
            <w:tcW w:w="1786" w:type="dxa"/>
            <w:shd w:val="clear" w:color="auto" w:fill="DFDFDF"/>
          </w:tcPr>
          <w:p>
            <w:pPr>
              <w:pStyle w:val="TableParagraph"/>
              <w:spacing w:before="99"/>
              <w:ind w:right="636"/>
              <w:jc w:val="right"/>
              <w:rPr>
                <w:sz w:val="14"/>
              </w:rPr>
            </w:pPr>
            <w:r>
              <w:rPr>
                <w:sz w:val="14"/>
              </w:rPr>
              <w:t>0.00</w:t>
            </w:r>
          </w:p>
        </w:tc>
        <w:tc>
          <w:tcPr>
            <w:tcW w:w="1037" w:type="dxa"/>
            <w:shd w:val="clear" w:color="auto" w:fill="DFDFDF"/>
          </w:tcPr>
          <w:p>
            <w:pPr>
              <w:pStyle w:val="TableParagraph"/>
              <w:spacing w:before="99"/>
              <w:ind w:right="60"/>
              <w:jc w:val="right"/>
              <w:rPr>
                <w:sz w:val="14"/>
              </w:rPr>
            </w:pPr>
            <w:r>
              <w:rPr>
                <w:w w:val="105"/>
                <w:sz w:val="14"/>
              </w:rPr>
              <w:t>0.0%</w:t>
            </w:r>
          </w:p>
        </w:tc>
      </w:tr>
      <w:tr>
        <w:trPr>
          <w:trHeight w:val="264" w:hRule="atLeast"/>
        </w:trPr>
        <w:tc>
          <w:tcPr>
            <w:tcW w:w="5523" w:type="dxa"/>
          </w:tcPr>
          <w:p>
            <w:pPr>
              <w:pStyle w:val="TableParagraph"/>
              <w:spacing w:line="145" w:lineRule="exact" w:before="99"/>
              <w:ind w:left="416"/>
              <w:rPr>
                <w:sz w:val="14"/>
              </w:rPr>
            </w:pPr>
            <w:r>
              <w:rPr>
                <w:w w:val="105"/>
                <w:sz w:val="14"/>
              </w:rPr>
              <w:t>All Others</w:t>
            </w:r>
          </w:p>
        </w:tc>
        <w:tc>
          <w:tcPr>
            <w:tcW w:w="712" w:type="dxa"/>
          </w:tcPr>
          <w:p>
            <w:pPr>
              <w:pStyle w:val="TableParagraph"/>
              <w:spacing w:line="145" w:lineRule="exact" w:before="99"/>
              <w:ind w:left="50"/>
              <w:rPr>
                <w:sz w:val="14"/>
              </w:rPr>
            </w:pPr>
            <w:r>
              <w:rPr>
                <w:w w:val="105"/>
                <w:sz w:val="14"/>
              </w:rPr>
              <w:t>9719</w:t>
            </w:r>
          </w:p>
        </w:tc>
        <w:tc>
          <w:tcPr>
            <w:tcW w:w="1896" w:type="dxa"/>
            <w:shd w:val="clear" w:color="auto" w:fill="DFDFDF"/>
          </w:tcPr>
          <w:p>
            <w:pPr>
              <w:pStyle w:val="TableParagraph"/>
              <w:spacing w:line="145" w:lineRule="exact" w:before="99"/>
              <w:ind w:right="411"/>
              <w:jc w:val="right"/>
              <w:rPr>
                <w:sz w:val="14"/>
              </w:rPr>
            </w:pPr>
            <w:r>
              <w:rPr>
                <w:sz w:val="14"/>
              </w:rPr>
              <w:t>0.00</w:t>
            </w:r>
          </w:p>
        </w:tc>
        <w:tc>
          <w:tcPr>
            <w:tcW w:w="1786" w:type="dxa"/>
            <w:shd w:val="clear" w:color="auto" w:fill="DFDFDF"/>
          </w:tcPr>
          <w:p>
            <w:pPr>
              <w:pStyle w:val="TableParagraph"/>
              <w:spacing w:line="145" w:lineRule="exact" w:before="99"/>
              <w:ind w:right="636"/>
              <w:jc w:val="right"/>
              <w:rPr>
                <w:sz w:val="14"/>
              </w:rPr>
            </w:pPr>
            <w:r>
              <w:rPr>
                <w:sz w:val="14"/>
              </w:rPr>
              <w:t>0.00</w:t>
            </w:r>
          </w:p>
        </w:tc>
        <w:tc>
          <w:tcPr>
            <w:tcW w:w="1037" w:type="dxa"/>
            <w:shd w:val="clear" w:color="auto" w:fill="DFDFDF"/>
          </w:tcPr>
          <w:p>
            <w:pPr>
              <w:pStyle w:val="TableParagraph"/>
              <w:spacing w:line="145" w:lineRule="exact" w:before="99"/>
              <w:ind w:right="60"/>
              <w:jc w:val="right"/>
              <w:rPr>
                <w:sz w:val="14"/>
              </w:rPr>
            </w:pPr>
            <w:r>
              <w:rPr>
                <w:w w:val="105"/>
                <w:sz w:val="14"/>
              </w:rPr>
              <w:t>0.0%</w:t>
            </w:r>
          </w:p>
        </w:tc>
      </w:tr>
      <w:tr>
        <w:trPr>
          <w:trHeight w:val="357" w:hRule="atLeast"/>
        </w:trPr>
        <w:tc>
          <w:tcPr>
            <w:tcW w:w="6235" w:type="dxa"/>
            <w:gridSpan w:val="2"/>
          </w:tcPr>
          <w:p>
            <w:pPr>
              <w:pStyle w:val="TableParagraph"/>
              <w:tabs>
                <w:tab w:pos="5898" w:val="right" w:leader="none"/>
              </w:tabs>
              <w:spacing w:line="142" w:lineRule="exact" w:before="195"/>
              <w:ind w:left="214"/>
              <w:rPr>
                <w:sz w:val="14"/>
              </w:rPr>
            </w:pPr>
            <w:r>
              <w:rPr>
                <w:w w:val="105"/>
                <w:sz w:val="14"/>
              </w:rPr>
              <w:t>b)</w:t>
            </w:r>
            <w:r>
              <w:rPr>
                <w:spacing w:val="-1"/>
                <w:w w:val="105"/>
                <w:sz w:val="14"/>
              </w:rPr>
              <w:t> </w:t>
            </w:r>
            <w:r>
              <w:rPr>
                <w:w w:val="105"/>
                <w:sz w:val="14"/>
              </w:rPr>
              <w:t>Restricted</w:t>
              <w:tab/>
              <w:t>9740</w:t>
            </w:r>
          </w:p>
        </w:tc>
        <w:tc>
          <w:tcPr>
            <w:tcW w:w="1896" w:type="dxa"/>
          </w:tcPr>
          <w:p>
            <w:pPr>
              <w:pStyle w:val="TableParagraph"/>
              <w:spacing w:before="11"/>
              <w:rPr>
                <w:sz w:val="16"/>
              </w:rPr>
            </w:pPr>
          </w:p>
          <w:p>
            <w:pPr>
              <w:pStyle w:val="TableParagraph"/>
              <w:spacing w:line="142" w:lineRule="exact"/>
              <w:ind w:right="411"/>
              <w:jc w:val="right"/>
              <w:rPr>
                <w:sz w:val="14"/>
              </w:rPr>
            </w:pPr>
            <w:r>
              <w:rPr>
                <w:sz w:val="14"/>
              </w:rPr>
              <w:t>0.00</w:t>
            </w:r>
          </w:p>
        </w:tc>
        <w:tc>
          <w:tcPr>
            <w:tcW w:w="1786" w:type="dxa"/>
          </w:tcPr>
          <w:p>
            <w:pPr>
              <w:pStyle w:val="TableParagraph"/>
              <w:spacing w:before="11"/>
              <w:rPr>
                <w:sz w:val="16"/>
              </w:rPr>
            </w:pPr>
          </w:p>
          <w:p>
            <w:pPr>
              <w:pStyle w:val="TableParagraph"/>
              <w:spacing w:line="142" w:lineRule="exact"/>
              <w:ind w:right="636"/>
              <w:jc w:val="right"/>
              <w:rPr>
                <w:sz w:val="14"/>
              </w:rPr>
            </w:pPr>
            <w:r>
              <w:rPr>
                <w:sz w:val="14"/>
              </w:rPr>
              <w:t>0.00</w:t>
            </w:r>
          </w:p>
        </w:tc>
        <w:tc>
          <w:tcPr>
            <w:tcW w:w="1037" w:type="dxa"/>
          </w:tcPr>
          <w:p>
            <w:pPr>
              <w:pStyle w:val="TableParagraph"/>
              <w:spacing w:before="11"/>
              <w:rPr>
                <w:sz w:val="16"/>
              </w:rPr>
            </w:pPr>
          </w:p>
          <w:p>
            <w:pPr>
              <w:pStyle w:val="TableParagraph"/>
              <w:spacing w:line="142" w:lineRule="exact"/>
              <w:ind w:right="60"/>
              <w:jc w:val="right"/>
              <w:rPr>
                <w:sz w:val="14"/>
              </w:rPr>
            </w:pPr>
            <w:r>
              <w:rPr>
                <w:w w:val="105"/>
                <w:sz w:val="14"/>
              </w:rPr>
              <w:t>0.0%</w:t>
            </w:r>
          </w:p>
        </w:tc>
      </w:tr>
      <w:tr>
        <w:trPr>
          <w:trHeight w:val="659" w:hRule="atLeast"/>
        </w:trPr>
        <w:tc>
          <w:tcPr>
            <w:tcW w:w="5523" w:type="dxa"/>
          </w:tcPr>
          <w:p>
            <w:pPr>
              <w:pStyle w:val="TableParagraph"/>
              <w:spacing w:before="2"/>
              <w:rPr>
                <w:sz w:val="17"/>
              </w:rPr>
            </w:pPr>
          </w:p>
          <w:p>
            <w:pPr>
              <w:pStyle w:val="TableParagraph"/>
              <w:ind w:left="214"/>
              <w:rPr>
                <w:sz w:val="14"/>
              </w:rPr>
            </w:pPr>
            <w:r>
              <w:rPr>
                <w:w w:val="105"/>
                <w:sz w:val="14"/>
              </w:rPr>
              <w:t>c) Committed</w:t>
            </w:r>
          </w:p>
          <w:p>
            <w:pPr>
              <w:pStyle w:val="TableParagraph"/>
              <w:spacing w:before="41"/>
              <w:ind w:left="416"/>
              <w:rPr>
                <w:sz w:val="14"/>
              </w:rPr>
            </w:pPr>
            <w:r>
              <w:rPr>
                <w:w w:val="105"/>
                <w:sz w:val="14"/>
              </w:rPr>
              <w:t>Stabilization Arrangements</w:t>
            </w:r>
          </w:p>
        </w:tc>
        <w:tc>
          <w:tcPr>
            <w:tcW w:w="712" w:type="dxa"/>
          </w:tcPr>
          <w:p>
            <w:pPr>
              <w:pStyle w:val="TableParagraph"/>
              <w:rPr>
                <w:sz w:val="16"/>
              </w:rPr>
            </w:pPr>
          </w:p>
          <w:p>
            <w:pPr>
              <w:pStyle w:val="TableParagraph"/>
              <w:spacing w:before="8"/>
              <w:rPr>
                <w:sz w:val="18"/>
              </w:rPr>
            </w:pPr>
          </w:p>
          <w:p>
            <w:pPr>
              <w:pStyle w:val="TableParagraph"/>
              <w:ind w:left="50"/>
              <w:rPr>
                <w:sz w:val="14"/>
              </w:rPr>
            </w:pPr>
            <w:r>
              <w:rPr>
                <w:w w:val="105"/>
                <w:sz w:val="14"/>
              </w:rPr>
              <w:t>9750</w:t>
            </w:r>
          </w:p>
        </w:tc>
        <w:tc>
          <w:tcPr>
            <w:tcW w:w="1896" w:type="dxa"/>
          </w:tcPr>
          <w:p>
            <w:pPr>
              <w:pStyle w:val="TableParagraph"/>
              <w:rPr>
                <w:sz w:val="16"/>
              </w:rPr>
            </w:pPr>
          </w:p>
          <w:p>
            <w:pPr>
              <w:pStyle w:val="TableParagraph"/>
              <w:spacing w:before="8"/>
              <w:rPr>
                <w:sz w:val="18"/>
              </w:rPr>
            </w:pPr>
          </w:p>
          <w:p>
            <w:pPr>
              <w:pStyle w:val="TableParagraph"/>
              <w:ind w:right="411"/>
              <w:jc w:val="right"/>
              <w:rPr>
                <w:sz w:val="14"/>
              </w:rPr>
            </w:pPr>
            <w:r>
              <w:rPr>
                <w:sz w:val="14"/>
              </w:rPr>
              <w:t>0.00</w:t>
            </w:r>
          </w:p>
        </w:tc>
        <w:tc>
          <w:tcPr>
            <w:tcW w:w="1786" w:type="dxa"/>
          </w:tcPr>
          <w:p>
            <w:pPr>
              <w:pStyle w:val="TableParagraph"/>
              <w:rPr>
                <w:sz w:val="16"/>
              </w:rPr>
            </w:pPr>
          </w:p>
          <w:p>
            <w:pPr>
              <w:pStyle w:val="TableParagraph"/>
              <w:spacing w:before="8"/>
              <w:rPr>
                <w:sz w:val="18"/>
              </w:rPr>
            </w:pPr>
          </w:p>
          <w:p>
            <w:pPr>
              <w:pStyle w:val="TableParagraph"/>
              <w:ind w:right="636"/>
              <w:jc w:val="right"/>
              <w:rPr>
                <w:sz w:val="14"/>
              </w:rPr>
            </w:pPr>
            <w:r>
              <w:rPr>
                <w:sz w:val="14"/>
              </w:rPr>
              <w:t>0.00</w:t>
            </w:r>
          </w:p>
        </w:tc>
        <w:tc>
          <w:tcPr>
            <w:tcW w:w="1037" w:type="dxa"/>
          </w:tcPr>
          <w:p>
            <w:pPr>
              <w:pStyle w:val="TableParagraph"/>
              <w:rPr>
                <w:sz w:val="16"/>
              </w:rPr>
            </w:pPr>
          </w:p>
          <w:p>
            <w:pPr>
              <w:pStyle w:val="TableParagraph"/>
              <w:spacing w:before="8"/>
              <w:rPr>
                <w:sz w:val="18"/>
              </w:rPr>
            </w:pPr>
          </w:p>
          <w:p>
            <w:pPr>
              <w:pStyle w:val="TableParagraph"/>
              <w:ind w:right="60"/>
              <w:jc w:val="right"/>
              <w:rPr>
                <w:sz w:val="14"/>
              </w:rPr>
            </w:pPr>
            <w:r>
              <w:rPr>
                <w:w w:val="105"/>
                <w:sz w:val="14"/>
              </w:rPr>
              <w:t>0.0%</w:t>
            </w:r>
          </w:p>
        </w:tc>
      </w:tr>
      <w:tr>
        <w:trPr>
          <w:trHeight w:val="360" w:hRule="atLeast"/>
        </w:trPr>
        <w:tc>
          <w:tcPr>
            <w:tcW w:w="5523" w:type="dxa"/>
          </w:tcPr>
          <w:p>
            <w:pPr>
              <w:pStyle w:val="TableParagraph"/>
              <w:spacing w:before="99"/>
              <w:ind w:left="416"/>
              <w:rPr>
                <w:sz w:val="14"/>
              </w:rPr>
            </w:pPr>
            <w:r>
              <w:rPr>
                <w:w w:val="105"/>
                <w:sz w:val="14"/>
              </w:rPr>
              <w:t>Other Commitments (by Resource/Object)</w:t>
            </w:r>
          </w:p>
        </w:tc>
        <w:tc>
          <w:tcPr>
            <w:tcW w:w="712" w:type="dxa"/>
          </w:tcPr>
          <w:p>
            <w:pPr>
              <w:pStyle w:val="TableParagraph"/>
              <w:spacing w:before="99"/>
              <w:ind w:left="50"/>
              <w:rPr>
                <w:sz w:val="14"/>
              </w:rPr>
            </w:pPr>
            <w:r>
              <w:rPr>
                <w:w w:val="105"/>
                <w:sz w:val="14"/>
              </w:rPr>
              <w:t>9760</w:t>
            </w:r>
          </w:p>
        </w:tc>
        <w:tc>
          <w:tcPr>
            <w:tcW w:w="1896" w:type="dxa"/>
          </w:tcPr>
          <w:p>
            <w:pPr>
              <w:pStyle w:val="TableParagraph"/>
              <w:spacing w:before="99"/>
              <w:ind w:right="411"/>
              <w:jc w:val="right"/>
              <w:rPr>
                <w:sz w:val="14"/>
              </w:rPr>
            </w:pPr>
            <w:r>
              <w:rPr>
                <w:sz w:val="14"/>
              </w:rPr>
              <w:t>0.00</w:t>
            </w:r>
          </w:p>
        </w:tc>
        <w:tc>
          <w:tcPr>
            <w:tcW w:w="1786" w:type="dxa"/>
          </w:tcPr>
          <w:p>
            <w:pPr>
              <w:pStyle w:val="TableParagraph"/>
              <w:spacing w:before="99"/>
              <w:ind w:right="636"/>
              <w:jc w:val="right"/>
              <w:rPr>
                <w:sz w:val="14"/>
              </w:rPr>
            </w:pPr>
            <w:r>
              <w:rPr>
                <w:sz w:val="14"/>
              </w:rPr>
              <w:t>0.00</w:t>
            </w:r>
          </w:p>
        </w:tc>
        <w:tc>
          <w:tcPr>
            <w:tcW w:w="1037" w:type="dxa"/>
          </w:tcPr>
          <w:p>
            <w:pPr>
              <w:pStyle w:val="TableParagraph"/>
              <w:spacing w:before="99"/>
              <w:ind w:right="60"/>
              <w:jc w:val="right"/>
              <w:rPr>
                <w:sz w:val="14"/>
              </w:rPr>
            </w:pPr>
            <w:r>
              <w:rPr>
                <w:w w:val="105"/>
                <w:sz w:val="14"/>
              </w:rPr>
              <w:t>0.0%</w:t>
            </w:r>
          </w:p>
        </w:tc>
      </w:tr>
      <w:tr>
        <w:trPr>
          <w:trHeight w:val="463" w:hRule="atLeast"/>
        </w:trPr>
        <w:tc>
          <w:tcPr>
            <w:tcW w:w="5523" w:type="dxa"/>
          </w:tcPr>
          <w:p>
            <w:pPr>
              <w:pStyle w:val="TableParagraph"/>
              <w:spacing w:before="99"/>
              <w:ind w:left="214"/>
              <w:rPr>
                <w:sz w:val="14"/>
              </w:rPr>
            </w:pPr>
            <w:r>
              <w:rPr>
                <w:w w:val="105"/>
                <w:sz w:val="14"/>
              </w:rPr>
              <w:t>d) Assigned</w:t>
            </w:r>
          </w:p>
          <w:p>
            <w:pPr>
              <w:pStyle w:val="TableParagraph"/>
              <w:spacing w:line="142" w:lineRule="exact" w:before="41"/>
              <w:ind w:left="416"/>
              <w:rPr>
                <w:sz w:val="14"/>
              </w:rPr>
            </w:pPr>
            <w:r>
              <w:rPr>
                <w:w w:val="105"/>
                <w:sz w:val="14"/>
              </w:rPr>
              <w:t>Other Assignments (by Resource/Object)</w:t>
            </w:r>
          </w:p>
        </w:tc>
        <w:tc>
          <w:tcPr>
            <w:tcW w:w="712" w:type="dxa"/>
          </w:tcPr>
          <w:p>
            <w:pPr>
              <w:pStyle w:val="TableParagraph"/>
              <w:rPr>
                <w:sz w:val="16"/>
              </w:rPr>
            </w:pPr>
          </w:p>
          <w:p>
            <w:pPr>
              <w:pStyle w:val="TableParagraph"/>
              <w:spacing w:line="142" w:lineRule="exact" w:before="117"/>
              <w:ind w:left="50"/>
              <w:rPr>
                <w:sz w:val="14"/>
              </w:rPr>
            </w:pPr>
            <w:r>
              <w:rPr>
                <w:w w:val="105"/>
                <w:sz w:val="14"/>
              </w:rPr>
              <w:t>9780</w:t>
            </w:r>
          </w:p>
        </w:tc>
        <w:tc>
          <w:tcPr>
            <w:tcW w:w="1896" w:type="dxa"/>
          </w:tcPr>
          <w:p>
            <w:pPr>
              <w:pStyle w:val="TableParagraph"/>
              <w:rPr>
                <w:sz w:val="16"/>
              </w:rPr>
            </w:pPr>
          </w:p>
          <w:p>
            <w:pPr>
              <w:pStyle w:val="TableParagraph"/>
              <w:spacing w:line="142" w:lineRule="exact" w:before="117"/>
              <w:ind w:right="411"/>
              <w:jc w:val="right"/>
              <w:rPr>
                <w:sz w:val="14"/>
              </w:rPr>
            </w:pPr>
            <w:r>
              <w:rPr>
                <w:sz w:val="14"/>
              </w:rPr>
              <w:t>0.00</w:t>
            </w:r>
          </w:p>
        </w:tc>
        <w:tc>
          <w:tcPr>
            <w:tcW w:w="1786" w:type="dxa"/>
          </w:tcPr>
          <w:p>
            <w:pPr>
              <w:pStyle w:val="TableParagraph"/>
              <w:rPr>
                <w:sz w:val="16"/>
              </w:rPr>
            </w:pPr>
          </w:p>
          <w:p>
            <w:pPr>
              <w:pStyle w:val="TableParagraph"/>
              <w:spacing w:line="142" w:lineRule="exact" w:before="117"/>
              <w:ind w:right="636"/>
              <w:jc w:val="right"/>
              <w:rPr>
                <w:sz w:val="14"/>
              </w:rPr>
            </w:pPr>
            <w:r>
              <w:rPr>
                <w:sz w:val="14"/>
              </w:rPr>
              <w:t>0.00</w:t>
            </w:r>
          </w:p>
        </w:tc>
        <w:tc>
          <w:tcPr>
            <w:tcW w:w="1037" w:type="dxa"/>
          </w:tcPr>
          <w:p>
            <w:pPr>
              <w:pStyle w:val="TableParagraph"/>
              <w:rPr>
                <w:sz w:val="16"/>
              </w:rPr>
            </w:pPr>
          </w:p>
          <w:p>
            <w:pPr>
              <w:pStyle w:val="TableParagraph"/>
              <w:spacing w:line="142" w:lineRule="exact" w:before="117"/>
              <w:ind w:right="60"/>
              <w:jc w:val="right"/>
              <w:rPr>
                <w:sz w:val="14"/>
              </w:rPr>
            </w:pPr>
            <w:r>
              <w:rPr>
                <w:w w:val="105"/>
                <w:sz w:val="14"/>
              </w:rPr>
              <w:t>0.0%</w:t>
            </w:r>
          </w:p>
        </w:tc>
      </w:tr>
      <w:tr>
        <w:trPr>
          <w:trHeight w:val="360" w:hRule="atLeast"/>
        </w:trPr>
        <w:tc>
          <w:tcPr>
            <w:tcW w:w="5523" w:type="dxa"/>
          </w:tcPr>
          <w:p>
            <w:pPr>
              <w:pStyle w:val="TableParagraph"/>
              <w:spacing w:before="2"/>
              <w:rPr>
                <w:sz w:val="17"/>
              </w:rPr>
            </w:pPr>
          </w:p>
          <w:p>
            <w:pPr>
              <w:pStyle w:val="TableParagraph"/>
              <w:spacing w:line="142" w:lineRule="exact"/>
              <w:ind w:left="214"/>
              <w:rPr>
                <w:sz w:val="14"/>
              </w:rPr>
            </w:pPr>
            <w:r>
              <w:rPr>
                <w:w w:val="105"/>
                <w:sz w:val="14"/>
              </w:rPr>
              <w:t>e) Unassigned/Unappropriated</w:t>
            </w:r>
          </w:p>
        </w:tc>
        <w:tc>
          <w:tcPr>
            <w:tcW w:w="712" w:type="dxa"/>
          </w:tcPr>
          <w:p>
            <w:pPr>
              <w:pStyle w:val="TableParagraph"/>
              <w:rPr>
                <w:rFonts w:ascii="Times New Roman"/>
                <w:sz w:val="14"/>
              </w:rPr>
            </w:pPr>
          </w:p>
        </w:tc>
        <w:tc>
          <w:tcPr>
            <w:tcW w:w="1896" w:type="dxa"/>
          </w:tcPr>
          <w:p>
            <w:pPr>
              <w:pStyle w:val="TableParagraph"/>
              <w:rPr>
                <w:rFonts w:ascii="Times New Roman"/>
                <w:sz w:val="14"/>
              </w:rPr>
            </w:pPr>
          </w:p>
        </w:tc>
        <w:tc>
          <w:tcPr>
            <w:tcW w:w="1786" w:type="dxa"/>
          </w:tcPr>
          <w:p>
            <w:pPr>
              <w:pStyle w:val="TableParagraph"/>
              <w:rPr>
                <w:rFonts w:ascii="Times New Roman"/>
                <w:sz w:val="14"/>
              </w:rPr>
            </w:pPr>
          </w:p>
        </w:tc>
        <w:tc>
          <w:tcPr>
            <w:tcW w:w="1037" w:type="dxa"/>
          </w:tcPr>
          <w:p>
            <w:pPr>
              <w:pStyle w:val="TableParagraph"/>
              <w:rPr>
                <w:rFonts w:ascii="Times New Roman"/>
                <w:sz w:val="14"/>
              </w:rPr>
            </w:pPr>
          </w:p>
        </w:tc>
      </w:tr>
      <w:tr>
        <w:trPr>
          <w:trHeight w:val="299" w:hRule="atLeast"/>
        </w:trPr>
        <w:tc>
          <w:tcPr>
            <w:tcW w:w="5523" w:type="dxa"/>
          </w:tcPr>
          <w:p>
            <w:pPr>
              <w:pStyle w:val="TableParagraph"/>
              <w:spacing w:before="39"/>
              <w:ind w:left="377"/>
              <w:rPr>
                <w:sz w:val="14"/>
              </w:rPr>
            </w:pPr>
            <w:r>
              <w:rPr>
                <w:w w:val="105"/>
                <w:sz w:val="14"/>
              </w:rPr>
              <w:t>Reserve for Economic Uncertainties</w:t>
            </w:r>
          </w:p>
        </w:tc>
        <w:tc>
          <w:tcPr>
            <w:tcW w:w="712" w:type="dxa"/>
          </w:tcPr>
          <w:p>
            <w:pPr>
              <w:pStyle w:val="TableParagraph"/>
              <w:spacing w:before="39"/>
              <w:ind w:left="50"/>
              <w:rPr>
                <w:sz w:val="14"/>
              </w:rPr>
            </w:pPr>
            <w:r>
              <w:rPr>
                <w:w w:val="105"/>
                <w:sz w:val="14"/>
              </w:rPr>
              <w:t>9789</w:t>
            </w:r>
          </w:p>
        </w:tc>
        <w:tc>
          <w:tcPr>
            <w:tcW w:w="1896" w:type="dxa"/>
          </w:tcPr>
          <w:p>
            <w:pPr>
              <w:pStyle w:val="TableParagraph"/>
              <w:spacing w:before="39"/>
              <w:ind w:right="412"/>
              <w:jc w:val="right"/>
              <w:rPr>
                <w:sz w:val="14"/>
              </w:rPr>
            </w:pPr>
            <w:r>
              <w:rPr>
                <w:sz w:val="14"/>
              </w:rPr>
              <w:t>404,913.00</w:t>
            </w:r>
          </w:p>
        </w:tc>
        <w:tc>
          <w:tcPr>
            <w:tcW w:w="1786" w:type="dxa"/>
          </w:tcPr>
          <w:p>
            <w:pPr>
              <w:pStyle w:val="TableParagraph"/>
              <w:spacing w:before="39"/>
              <w:ind w:right="635"/>
              <w:jc w:val="right"/>
              <w:rPr>
                <w:sz w:val="14"/>
              </w:rPr>
            </w:pPr>
            <w:r>
              <w:rPr>
                <w:sz w:val="14"/>
              </w:rPr>
              <w:t>410,364.00</w:t>
            </w:r>
          </w:p>
        </w:tc>
        <w:tc>
          <w:tcPr>
            <w:tcW w:w="1037" w:type="dxa"/>
          </w:tcPr>
          <w:p>
            <w:pPr>
              <w:pStyle w:val="TableParagraph"/>
              <w:spacing w:before="39"/>
              <w:ind w:right="60"/>
              <w:jc w:val="right"/>
              <w:rPr>
                <w:sz w:val="14"/>
              </w:rPr>
            </w:pPr>
            <w:r>
              <w:rPr>
                <w:w w:val="105"/>
                <w:sz w:val="14"/>
              </w:rPr>
              <w:t>1.3%</w:t>
            </w:r>
          </w:p>
        </w:tc>
      </w:tr>
      <w:tr>
        <w:trPr>
          <w:trHeight w:val="261" w:hRule="atLeast"/>
        </w:trPr>
        <w:tc>
          <w:tcPr>
            <w:tcW w:w="5523" w:type="dxa"/>
          </w:tcPr>
          <w:p>
            <w:pPr>
              <w:pStyle w:val="TableParagraph"/>
              <w:spacing w:line="142" w:lineRule="exact" w:before="99"/>
              <w:ind w:left="377"/>
              <w:rPr>
                <w:sz w:val="14"/>
              </w:rPr>
            </w:pPr>
            <w:r>
              <w:rPr>
                <w:w w:val="105"/>
                <w:sz w:val="14"/>
              </w:rPr>
              <w:t>Unassigned/Unappropriated Amount</w:t>
            </w:r>
          </w:p>
        </w:tc>
        <w:tc>
          <w:tcPr>
            <w:tcW w:w="712" w:type="dxa"/>
          </w:tcPr>
          <w:p>
            <w:pPr>
              <w:pStyle w:val="TableParagraph"/>
              <w:spacing w:line="142" w:lineRule="exact" w:before="99"/>
              <w:ind w:left="50"/>
              <w:rPr>
                <w:sz w:val="14"/>
              </w:rPr>
            </w:pPr>
            <w:r>
              <w:rPr>
                <w:w w:val="105"/>
                <w:sz w:val="14"/>
              </w:rPr>
              <w:t>9790</w:t>
            </w:r>
          </w:p>
        </w:tc>
        <w:tc>
          <w:tcPr>
            <w:tcW w:w="1896" w:type="dxa"/>
          </w:tcPr>
          <w:p>
            <w:pPr>
              <w:pStyle w:val="TableParagraph"/>
              <w:spacing w:line="142" w:lineRule="exact" w:before="99"/>
              <w:ind w:right="411"/>
              <w:jc w:val="right"/>
              <w:rPr>
                <w:sz w:val="14"/>
              </w:rPr>
            </w:pPr>
            <w:r>
              <w:rPr>
                <w:sz w:val="14"/>
              </w:rPr>
              <w:t>0.00</w:t>
            </w:r>
          </w:p>
        </w:tc>
        <w:tc>
          <w:tcPr>
            <w:tcW w:w="1786" w:type="dxa"/>
          </w:tcPr>
          <w:p>
            <w:pPr>
              <w:pStyle w:val="TableParagraph"/>
              <w:spacing w:line="142" w:lineRule="exact" w:before="99"/>
              <w:ind w:right="636"/>
              <w:jc w:val="right"/>
              <w:rPr>
                <w:sz w:val="14"/>
              </w:rPr>
            </w:pPr>
            <w:r>
              <w:rPr>
                <w:sz w:val="14"/>
              </w:rPr>
              <w:t>0.00</w:t>
            </w:r>
          </w:p>
        </w:tc>
        <w:tc>
          <w:tcPr>
            <w:tcW w:w="1037" w:type="dxa"/>
          </w:tcPr>
          <w:p>
            <w:pPr>
              <w:pStyle w:val="TableParagraph"/>
              <w:spacing w:line="142" w:lineRule="exact" w:before="99"/>
              <w:ind w:right="60"/>
              <w:jc w:val="right"/>
              <w:rPr>
                <w:sz w:val="14"/>
              </w:rPr>
            </w:pPr>
            <w:r>
              <w:rPr>
                <w:w w:val="105"/>
                <w:sz w:val="14"/>
              </w:rPr>
              <w:t>0.0%</w:t>
            </w:r>
          </w:p>
        </w:tc>
      </w:tr>
    </w:tbl>
    <w:p>
      <w:pPr>
        <w:spacing w:after="0" w:line="142" w:lineRule="exact"/>
        <w:jc w:val="right"/>
        <w:rPr>
          <w:sz w:val="14"/>
        </w:rPr>
        <w:sectPr>
          <w:type w:val="continuous"/>
          <w:pgSz w:w="12240" w:h="15840"/>
          <w:pgMar w:top="1500" w:bottom="840" w:left="160" w:right="180"/>
        </w:sectPr>
      </w:pPr>
    </w:p>
    <w:p>
      <w:pPr>
        <w:spacing w:line="237" w:lineRule="auto" w:before="0"/>
        <w:ind w:left="747" w:right="0" w:firstLine="0"/>
        <w:jc w:val="left"/>
        <w:rPr>
          <w:sz w:val="15"/>
        </w:rPr>
      </w:pPr>
      <w:r>
        <w:rPr>
          <w:sz w:val="15"/>
        </w:rPr>
        <w:t>Winship-Robbins Elementary Sutter County</w:t>
      </w:r>
    </w:p>
    <w:p>
      <w:pPr>
        <w:spacing w:line="237" w:lineRule="auto" w:before="0"/>
        <w:ind w:left="1680" w:right="0" w:hanging="934"/>
        <w:jc w:val="left"/>
        <w:rPr>
          <w:sz w:val="15"/>
        </w:rPr>
      </w:pPr>
      <w:r>
        <w:rPr/>
        <w:br w:type="column"/>
      </w:r>
      <w:r>
        <w:rPr>
          <w:sz w:val="15"/>
        </w:rPr>
        <w:t>Special Reserve Fund for Other Than Capital Outlay Projects Exhibit: Restricted Balance Detail</w:t>
      </w:r>
    </w:p>
    <w:p>
      <w:pPr>
        <w:spacing w:line="169" w:lineRule="exact" w:before="0"/>
        <w:ind w:left="0" w:right="726" w:firstLine="0"/>
        <w:jc w:val="right"/>
        <w:rPr>
          <w:sz w:val="15"/>
        </w:rPr>
      </w:pPr>
      <w:r>
        <w:rPr/>
        <w:br w:type="column"/>
      </w:r>
      <w:r>
        <w:rPr>
          <w:sz w:val="15"/>
        </w:rPr>
        <w:t>51 71456</w:t>
      </w:r>
      <w:r>
        <w:rPr>
          <w:spacing w:val="9"/>
          <w:sz w:val="15"/>
        </w:rPr>
        <w:t> </w:t>
      </w:r>
      <w:r>
        <w:rPr>
          <w:sz w:val="15"/>
        </w:rPr>
        <w:t>0000000</w:t>
      </w:r>
    </w:p>
    <w:p>
      <w:pPr>
        <w:spacing w:line="171" w:lineRule="exact" w:before="0"/>
        <w:ind w:left="0" w:right="726" w:firstLine="0"/>
        <w:jc w:val="right"/>
        <w:rPr>
          <w:sz w:val="15"/>
        </w:rPr>
      </w:pPr>
      <w:r>
        <w:rPr>
          <w:sz w:val="15"/>
        </w:rPr>
        <w:t>Form </w:t>
      </w:r>
      <w:r>
        <w:rPr>
          <w:spacing w:val="5"/>
          <w:sz w:val="15"/>
        </w:rPr>
        <w:t> </w:t>
      </w:r>
      <w:r>
        <w:rPr>
          <w:sz w:val="15"/>
        </w:rPr>
        <w:t>17</w:t>
      </w:r>
    </w:p>
    <w:p>
      <w:pPr>
        <w:spacing w:after="0" w:line="171" w:lineRule="exact"/>
        <w:jc w:val="right"/>
        <w:rPr>
          <w:sz w:val="15"/>
        </w:rPr>
        <w:sectPr>
          <w:headerReference w:type="default" r:id="rId833"/>
          <w:footerReference w:type="default" r:id="rId834"/>
          <w:pgSz w:w="12240" w:h="15840"/>
          <w:pgMar w:header="574" w:footer="0" w:top="760" w:bottom="280" w:left="160" w:right="180"/>
          <w:cols w:num="3" w:equalWidth="0">
            <w:col w:w="2746" w:space="410"/>
            <w:col w:w="4893" w:space="1114"/>
            <w:col w:w="2737"/>
          </w:cols>
        </w:sectPr>
      </w:pPr>
    </w:p>
    <w:p>
      <w:pPr>
        <w:pStyle w:val="BodyText"/>
        <w:spacing w:before="3" w:after="1"/>
        <w:rPr>
          <w:sz w:val="23"/>
        </w:rPr>
      </w:pPr>
    </w:p>
    <w:tbl>
      <w:tblPr>
        <w:tblW w:w="0" w:type="auto"/>
        <w:jc w:val="left"/>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78"/>
        <w:gridCol w:w="3275"/>
        <w:gridCol w:w="3952"/>
        <w:gridCol w:w="1015"/>
      </w:tblGrid>
      <w:tr>
        <w:trPr>
          <w:trHeight w:val="223" w:hRule="atLeast"/>
        </w:trPr>
        <w:tc>
          <w:tcPr>
            <w:tcW w:w="4353" w:type="dxa"/>
            <w:gridSpan w:val="2"/>
          </w:tcPr>
          <w:p>
            <w:pPr>
              <w:pStyle w:val="TableParagraph"/>
              <w:rPr>
                <w:rFonts w:ascii="Times New Roman"/>
                <w:sz w:val="14"/>
              </w:rPr>
            </w:pPr>
          </w:p>
        </w:tc>
        <w:tc>
          <w:tcPr>
            <w:tcW w:w="3952" w:type="dxa"/>
          </w:tcPr>
          <w:p>
            <w:pPr>
              <w:pStyle w:val="TableParagraph"/>
              <w:spacing w:line="203" w:lineRule="exact"/>
              <w:ind w:left="2020" w:right="281"/>
              <w:jc w:val="center"/>
              <w:rPr>
                <w:b/>
                <w:sz w:val="18"/>
              </w:rPr>
            </w:pPr>
            <w:r>
              <w:rPr>
                <w:b/>
                <w:sz w:val="18"/>
              </w:rPr>
              <w:t>2020-21</w:t>
            </w:r>
          </w:p>
        </w:tc>
        <w:tc>
          <w:tcPr>
            <w:tcW w:w="1015" w:type="dxa"/>
          </w:tcPr>
          <w:p>
            <w:pPr>
              <w:pStyle w:val="TableParagraph"/>
              <w:spacing w:line="203" w:lineRule="exact"/>
              <w:ind w:right="46"/>
              <w:jc w:val="right"/>
              <w:rPr>
                <w:b/>
                <w:sz w:val="18"/>
              </w:rPr>
            </w:pPr>
            <w:r>
              <w:rPr>
                <w:b/>
                <w:sz w:val="18"/>
              </w:rPr>
              <w:t>2021-22</w:t>
            </w:r>
          </w:p>
        </w:tc>
      </w:tr>
      <w:tr>
        <w:trPr>
          <w:trHeight w:val="223" w:hRule="atLeast"/>
        </w:trPr>
        <w:tc>
          <w:tcPr>
            <w:tcW w:w="1078" w:type="dxa"/>
          </w:tcPr>
          <w:p>
            <w:pPr>
              <w:pStyle w:val="TableParagraph"/>
              <w:spacing w:line="188" w:lineRule="exact" w:before="15"/>
              <w:ind w:left="50"/>
              <w:rPr>
                <w:b/>
                <w:sz w:val="18"/>
              </w:rPr>
            </w:pPr>
            <w:r>
              <w:rPr>
                <w:b/>
                <w:sz w:val="18"/>
              </w:rPr>
              <w:t>Resource</w:t>
            </w:r>
          </w:p>
        </w:tc>
        <w:tc>
          <w:tcPr>
            <w:tcW w:w="3275" w:type="dxa"/>
          </w:tcPr>
          <w:p>
            <w:pPr>
              <w:pStyle w:val="TableParagraph"/>
              <w:spacing w:line="188" w:lineRule="exact" w:before="15"/>
              <w:ind w:left="186"/>
              <w:rPr>
                <w:b/>
                <w:sz w:val="18"/>
              </w:rPr>
            </w:pPr>
            <w:r>
              <w:rPr>
                <w:b/>
                <w:sz w:val="18"/>
              </w:rPr>
              <w:t>Description</w:t>
            </w:r>
          </w:p>
        </w:tc>
        <w:tc>
          <w:tcPr>
            <w:tcW w:w="3952" w:type="dxa"/>
          </w:tcPr>
          <w:p>
            <w:pPr>
              <w:pStyle w:val="TableParagraph"/>
              <w:spacing w:line="188" w:lineRule="exact" w:before="15"/>
              <w:ind w:left="2069" w:right="281"/>
              <w:jc w:val="center"/>
              <w:rPr>
                <w:b/>
                <w:sz w:val="18"/>
              </w:rPr>
            </w:pPr>
            <w:r>
              <w:rPr>
                <w:b/>
                <w:sz w:val="18"/>
              </w:rPr>
              <w:t>Estimated Actuals</w:t>
            </w:r>
          </w:p>
        </w:tc>
        <w:tc>
          <w:tcPr>
            <w:tcW w:w="1015" w:type="dxa"/>
          </w:tcPr>
          <w:p>
            <w:pPr>
              <w:pStyle w:val="TableParagraph"/>
              <w:spacing w:line="188" w:lineRule="exact" w:before="15"/>
              <w:ind w:right="68"/>
              <w:jc w:val="right"/>
              <w:rPr>
                <w:b/>
                <w:sz w:val="18"/>
              </w:rPr>
            </w:pPr>
            <w:r>
              <w:rPr>
                <w:b/>
                <w:sz w:val="18"/>
              </w:rPr>
              <w:t>Budget</w:t>
            </w:r>
          </w:p>
        </w:tc>
      </w:tr>
    </w:tbl>
    <w:p>
      <w:pPr>
        <w:pStyle w:val="BodyText"/>
        <w:spacing w:line="20" w:lineRule="exact"/>
        <w:ind w:left="1059"/>
        <w:rPr>
          <w:sz w:val="2"/>
        </w:rPr>
      </w:pPr>
      <w:r>
        <w:rPr>
          <w:sz w:val="2"/>
        </w:rPr>
        <w:drawing>
          <wp:inline distT="0" distB="0" distL="0" distR="0">
            <wp:extent cx="6198198" cy="4572"/>
            <wp:effectExtent l="0" t="0" r="0" b="0"/>
            <wp:docPr id="27" name="image551.png"/>
            <wp:cNvGraphicFramePr>
              <a:graphicFrameLocks noChangeAspect="1"/>
            </wp:cNvGraphicFramePr>
            <a:graphic>
              <a:graphicData uri="http://schemas.openxmlformats.org/drawingml/2006/picture">
                <pic:pic>
                  <pic:nvPicPr>
                    <pic:cNvPr id="28" name="image551.png"/>
                    <pic:cNvPicPr/>
                  </pic:nvPicPr>
                  <pic:blipFill>
                    <a:blip r:embed="rId572" cstate="print"/>
                    <a:stretch>
                      <a:fillRect/>
                    </a:stretch>
                  </pic:blipFill>
                  <pic:spPr>
                    <a:xfrm>
                      <a:off x="0" y="0"/>
                      <a:ext cx="6198198" cy="4572"/>
                    </a:xfrm>
                    <a:prstGeom prst="rect">
                      <a:avLst/>
                    </a:prstGeom>
                  </pic:spPr>
                </pic:pic>
              </a:graphicData>
            </a:graphic>
          </wp:inline>
        </w:drawing>
      </w:r>
      <w:r>
        <w:rPr>
          <w:sz w:val="2"/>
        </w:rPr>
      </w:r>
    </w:p>
    <w:p>
      <w:pPr>
        <w:pStyle w:val="BodyText"/>
        <w:rPr>
          <w:sz w:val="20"/>
        </w:rPr>
      </w:pPr>
    </w:p>
    <w:p>
      <w:pPr>
        <w:pStyle w:val="BodyText"/>
        <w:rPr>
          <w:sz w:val="12"/>
        </w:rPr>
      </w:pPr>
      <w:r>
        <w:rPr/>
        <w:drawing>
          <wp:anchor distT="0" distB="0" distL="0" distR="0" allowOverlap="1" layoutInCell="1" locked="0" behindDoc="0" simplePos="0" relativeHeight="371">
            <wp:simplePos x="0" y="0"/>
            <wp:positionH relativeFrom="page">
              <wp:posOffset>4767072</wp:posOffset>
            </wp:positionH>
            <wp:positionV relativeFrom="paragraph">
              <wp:posOffset>112534</wp:posOffset>
            </wp:positionV>
            <wp:extent cx="2205250" cy="4572"/>
            <wp:effectExtent l="0" t="0" r="0" b="0"/>
            <wp:wrapTopAndBottom/>
            <wp:docPr id="29" name="image552.png"/>
            <wp:cNvGraphicFramePr>
              <a:graphicFrameLocks noChangeAspect="1"/>
            </wp:cNvGraphicFramePr>
            <a:graphic>
              <a:graphicData uri="http://schemas.openxmlformats.org/drawingml/2006/picture">
                <pic:pic>
                  <pic:nvPicPr>
                    <pic:cNvPr id="30" name="image552.png"/>
                    <pic:cNvPicPr/>
                  </pic:nvPicPr>
                  <pic:blipFill>
                    <a:blip r:embed="rId573" cstate="print"/>
                    <a:stretch>
                      <a:fillRect/>
                    </a:stretch>
                  </pic:blipFill>
                  <pic:spPr>
                    <a:xfrm>
                      <a:off x="0" y="0"/>
                      <a:ext cx="2205250" cy="4572"/>
                    </a:xfrm>
                    <a:prstGeom prst="rect">
                      <a:avLst/>
                    </a:prstGeom>
                  </pic:spPr>
                </pic:pic>
              </a:graphicData>
            </a:graphic>
          </wp:anchor>
        </w:drawing>
      </w:r>
    </w:p>
    <w:p>
      <w:pPr>
        <w:tabs>
          <w:tab w:pos="8626" w:val="left" w:leader="none"/>
          <w:tab w:pos="10359" w:val="left" w:leader="none"/>
        </w:tabs>
        <w:spacing w:before="8"/>
        <w:ind w:left="1097" w:right="0" w:firstLine="0"/>
        <w:jc w:val="left"/>
        <w:rPr>
          <w:sz w:val="18"/>
        </w:rPr>
      </w:pPr>
      <w:r>
        <w:rPr>
          <w:sz w:val="18"/>
        </w:rPr>
        <w:t>Total,</w:t>
      </w:r>
      <w:r>
        <w:rPr>
          <w:spacing w:val="9"/>
          <w:sz w:val="18"/>
        </w:rPr>
        <w:t> </w:t>
      </w:r>
      <w:r>
        <w:rPr>
          <w:sz w:val="18"/>
        </w:rPr>
        <w:t>Restricted</w:t>
      </w:r>
      <w:r>
        <w:rPr>
          <w:spacing w:val="14"/>
          <w:sz w:val="18"/>
        </w:rPr>
        <w:t> </w:t>
      </w:r>
      <w:r>
        <w:rPr>
          <w:sz w:val="18"/>
        </w:rPr>
        <w:t>Balance</w:t>
        <w:tab/>
        <w:t>0.00</w:t>
        <w:tab/>
        <w:t>0.00</w:t>
      </w:r>
    </w:p>
    <w:p>
      <w:pPr>
        <w:pStyle w:val="BodyText"/>
        <w:spacing w:line="20" w:lineRule="exact"/>
        <w:ind w:left="7347"/>
        <w:rPr>
          <w:sz w:val="2"/>
        </w:rPr>
      </w:pPr>
      <w:r>
        <w:rPr>
          <w:sz w:val="2"/>
        </w:rPr>
        <w:drawing>
          <wp:inline distT="0" distB="0" distL="0" distR="0">
            <wp:extent cx="2205250" cy="4572"/>
            <wp:effectExtent l="0" t="0" r="0" b="0"/>
            <wp:docPr id="31" name="image552.png"/>
            <wp:cNvGraphicFramePr>
              <a:graphicFrameLocks noChangeAspect="1"/>
            </wp:cNvGraphicFramePr>
            <a:graphic>
              <a:graphicData uri="http://schemas.openxmlformats.org/drawingml/2006/picture">
                <pic:pic>
                  <pic:nvPicPr>
                    <pic:cNvPr id="32" name="image552.png"/>
                    <pic:cNvPicPr/>
                  </pic:nvPicPr>
                  <pic:blipFill>
                    <a:blip r:embed="rId573" cstate="print"/>
                    <a:stretch>
                      <a:fillRect/>
                    </a:stretch>
                  </pic:blipFill>
                  <pic:spPr>
                    <a:xfrm>
                      <a:off x="0" y="0"/>
                      <a:ext cx="2205250" cy="4572"/>
                    </a:xfrm>
                    <a:prstGeom prst="rect">
                      <a:avLst/>
                    </a:prstGeom>
                  </pic:spPr>
                </pic:pic>
              </a:graphicData>
            </a:graphic>
          </wp:inline>
        </w:drawing>
      </w:r>
      <w:r>
        <w:rPr>
          <w:sz w:val="2"/>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line="171" w:lineRule="exact" w:before="0"/>
        <w:ind w:left="747" w:right="0" w:firstLine="0"/>
        <w:jc w:val="left"/>
        <w:rPr>
          <w:sz w:val="15"/>
        </w:rPr>
      </w:pPr>
      <w:r>
        <w:rPr>
          <w:sz w:val="15"/>
        </w:rPr>
        <w:t>California Dept of Education</w:t>
      </w:r>
    </w:p>
    <w:p>
      <w:pPr>
        <w:spacing w:line="170" w:lineRule="exact" w:before="0"/>
        <w:ind w:left="747" w:right="0" w:firstLine="0"/>
        <w:jc w:val="left"/>
        <w:rPr>
          <w:sz w:val="15"/>
        </w:rPr>
      </w:pPr>
      <w:r>
        <w:rPr>
          <w:sz w:val="15"/>
        </w:rPr>
        <w:t>SACS Financial Reporting Software - 2021.1.0</w:t>
      </w:r>
    </w:p>
    <w:p>
      <w:pPr>
        <w:tabs>
          <w:tab w:pos="5718" w:val="left" w:leader="none"/>
          <w:tab w:pos="9232" w:val="left" w:leader="none"/>
        </w:tabs>
        <w:spacing w:line="171" w:lineRule="exact" w:before="0"/>
        <w:ind w:left="747" w:right="0" w:firstLine="0"/>
        <w:jc w:val="left"/>
        <w:rPr>
          <w:sz w:val="15"/>
        </w:rPr>
      </w:pPr>
      <w:r>
        <w:rPr>
          <w:sz w:val="15"/>
        </w:rPr>
        <w:t>File: fund-b</w:t>
      </w:r>
      <w:r>
        <w:rPr>
          <w:spacing w:val="8"/>
          <w:sz w:val="15"/>
        </w:rPr>
        <w:t> </w:t>
      </w:r>
      <w:r>
        <w:rPr>
          <w:sz w:val="15"/>
        </w:rPr>
        <w:t>(Rev</w:t>
      </w:r>
      <w:r>
        <w:rPr>
          <w:spacing w:val="7"/>
          <w:sz w:val="15"/>
        </w:rPr>
        <w:t> </w:t>
      </w:r>
      <w:r>
        <w:rPr>
          <w:sz w:val="15"/>
        </w:rPr>
        <w:t>04/17/2019)</w:t>
        <w:tab/>
        <w:t>Page</w:t>
      </w:r>
      <w:r>
        <w:rPr>
          <w:spacing w:val="2"/>
          <w:sz w:val="15"/>
        </w:rPr>
        <w:t> </w:t>
      </w:r>
      <w:r>
        <w:rPr>
          <w:sz w:val="15"/>
        </w:rPr>
        <w:t>1</w:t>
        <w:tab/>
        <w:t>Printed: 6/4/2021 10:07</w:t>
      </w:r>
      <w:r>
        <w:rPr>
          <w:spacing w:val="10"/>
          <w:sz w:val="15"/>
        </w:rPr>
        <w:t> </w:t>
      </w:r>
      <w:r>
        <w:rPr>
          <w:sz w:val="15"/>
        </w:rPr>
        <w:t>AM</w:t>
      </w:r>
    </w:p>
    <w:p>
      <w:pPr>
        <w:spacing w:after="0" w:line="171" w:lineRule="exact"/>
        <w:jc w:val="left"/>
        <w:rPr>
          <w:sz w:val="15"/>
        </w:rPr>
        <w:sectPr>
          <w:type w:val="continuous"/>
          <w:pgSz w:w="12240" w:h="15840"/>
          <w:pgMar w:top="1500" w:bottom="840" w:left="160" w:right="180"/>
        </w:sectPr>
      </w:pPr>
    </w:p>
    <w:p>
      <w:pPr>
        <w:spacing w:line="232" w:lineRule="auto" w:before="1"/>
        <w:ind w:left="308" w:right="0" w:firstLine="0"/>
        <w:jc w:val="left"/>
        <w:rPr>
          <w:sz w:val="18"/>
        </w:rPr>
      </w:pPr>
      <w:bookmarkStart w:name="FORM 25" w:id="8"/>
      <w:bookmarkEnd w:id="8"/>
      <w:r>
        <w:rPr/>
      </w:r>
      <w:r>
        <w:rPr>
          <w:sz w:val="18"/>
        </w:rPr>
        <w:t>Winship-Robbins Elementary Sutter County</w:t>
      </w:r>
    </w:p>
    <w:p>
      <w:pPr>
        <w:spacing w:line="232" w:lineRule="auto" w:before="1"/>
        <w:ind w:left="308" w:right="33" w:firstLine="43"/>
        <w:jc w:val="left"/>
        <w:rPr>
          <w:sz w:val="18"/>
        </w:rPr>
      </w:pPr>
      <w:r>
        <w:rPr/>
        <w:br w:type="column"/>
      </w:r>
      <w:r>
        <w:rPr>
          <w:sz w:val="18"/>
        </w:rPr>
        <w:t>Capital Facilities Fund Expenditures by Object</w:t>
      </w:r>
    </w:p>
    <w:p>
      <w:pPr>
        <w:spacing w:line="200" w:lineRule="exact" w:before="0"/>
        <w:ind w:left="0" w:right="287" w:firstLine="0"/>
        <w:jc w:val="right"/>
        <w:rPr>
          <w:sz w:val="18"/>
        </w:rPr>
      </w:pPr>
      <w:r>
        <w:rPr/>
        <w:br w:type="column"/>
      </w:r>
      <w:r>
        <w:rPr>
          <w:sz w:val="18"/>
        </w:rPr>
        <w:t>51 71456</w:t>
      </w:r>
      <w:r>
        <w:rPr>
          <w:spacing w:val="3"/>
          <w:sz w:val="18"/>
        </w:rPr>
        <w:t> </w:t>
      </w:r>
      <w:r>
        <w:rPr>
          <w:sz w:val="18"/>
        </w:rPr>
        <w:t>0000000</w:t>
      </w:r>
    </w:p>
    <w:p>
      <w:pPr>
        <w:spacing w:line="204" w:lineRule="exact" w:before="0"/>
        <w:ind w:left="0" w:right="285" w:firstLine="0"/>
        <w:jc w:val="right"/>
        <w:rPr>
          <w:sz w:val="18"/>
        </w:rPr>
      </w:pPr>
      <w:r>
        <w:rPr>
          <w:sz w:val="18"/>
        </w:rPr>
        <w:t>Form </w:t>
      </w:r>
      <w:r>
        <w:rPr>
          <w:spacing w:val="3"/>
          <w:sz w:val="18"/>
        </w:rPr>
        <w:t> </w:t>
      </w:r>
      <w:r>
        <w:rPr>
          <w:sz w:val="18"/>
        </w:rPr>
        <w:t>25</w:t>
      </w:r>
    </w:p>
    <w:p>
      <w:pPr>
        <w:spacing w:after="0" w:line="204" w:lineRule="exact"/>
        <w:jc w:val="right"/>
        <w:rPr>
          <w:sz w:val="18"/>
        </w:rPr>
        <w:sectPr>
          <w:headerReference w:type="default" r:id="rId835"/>
          <w:footerReference w:type="default" r:id="rId836"/>
          <w:pgSz w:w="12240" w:h="15840"/>
          <w:pgMar w:header="651" w:footer="437" w:top="840" w:bottom="620" w:left="160" w:right="180"/>
          <w:pgNumType w:start="1"/>
          <w:cols w:num="3" w:equalWidth="0">
            <w:col w:w="2698" w:space="2015"/>
            <w:col w:w="2222" w:space="2857"/>
            <w:col w:w="2108"/>
          </w:cols>
        </w:sectPr>
      </w:pPr>
    </w:p>
    <w:p>
      <w:pPr>
        <w:pStyle w:val="BodyText"/>
        <w:rPr>
          <w:sz w:val="20"/>
        </w:rPr>
      </w:pPr>
    </w:p>
    <w:p>
      <w:pPr>
        <w:pStyle w:val="BodyText"/>
        <w:rPr>
          <w:sz w:val="20"/>
        </w:rPr>
      </w:pPr>
    </w:p>
    <w:p>
      <w:pPr>
        <w:pStyle w:val="BodyText"/>
        <w:spacing w:before="8" w:after="1"/>
        <w:rPr>
          <w:sz w:val="26"/>
        </w:rPr>
      </w:pPr>
    </w:p>
    <w:tbl>
      <w:tblPr>
        <w:tblW w:w="0" w:type="auto"/>
        <w:jc w:val="left"/>
        <w:tblInd w:w="3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07"/>
        <w:gridCol w:w="2323"/>
        <w:gridCol w:w="1068"/>
        <w:gridCol w:w="1725"/>
        <w:gridCol w:w="1475"/>
        <w:gridCol w:w="981"/>
        <w:gridCol w:w="384"/>
      </w:tblGrid>
      <w:tr>
        <w:trPr>
          <w:trHeight w:val="334" w:hRule="atLeast"/>
        </w:trPr>
        <w:tc>
          <w:tcPr>
            <w:tcW w:w="2807" w:type="dxa"/>
          </w:tcPr>
          <w:p>
            <w:pPr>
              <w:pStyle w:val="TableParagraph"/>
              <w:spacing w:before="5"/>
              <w:rPr>
                <w:sz w:val="14"/>
              </w:rPr>
            </w:pPr>
          </w:p>
          <w:p>
            <w:pPr>
              <w:pStyle w:val="TableParagraph"/>
              <w:spacing w:line="147" w:lineRule="exact" w:before="1"/>
              <w:ind w:left="50"/>
              <w:rPr>
                <w:b/>
                <w:sz w:val="14"/>
              </w:rPr>
            </w:pPr>
            <w:r>
              <w:rPr>
                <w:b/>
                <w:w w:val="105"/>
                <w:sz w:val="14"/>
              </w:rPr>
              <w:t>Description</w:t>
            </w:r>
          </w:p>
        </w:tc>
        <w:tc>
          <w:tcPr>
            <w:tcW w:w="2323" w:type="dxa"/>
          </w:tcPr>
          <w:p>
            <w:pPr>
              <w:pStyle w:val="TableParagraph"/>
              <w:spacing w:before="5"/>
              <w:rPr>
                <w:sz w:val="14"/>
              </w:rPr>
            </w:pPr>
          </w:p>
          <w:p>
            <w:pPr>
              <w:pStyle w:val="TableParagraph"/>
              <w:spacing w:line="147" w:lineRule="exact" w:before="1"/>
              <w:ind w:left="1070"/>
              <w:rPr>
                <w:b/>
                <w:sz w:val="14"/>
              </w:rPr>
            </w:pPr>
            <w:r>
              <w:rPr>
                <w:b/>
                <w:w w:val="105"/>
                <w:sz w:val="14"/>
              </w:rPr>
              <w:t>Resource Codes</w:t>
            </w:r>
          </w:p>
        </w:tc>
        <w:tc>
          <w:tcPr>
            <w:tcW w:w="1068" w:type="dxa"/>
          </w:tcPr>
          <w:p>
            <w:pPr>
              <w:pStyle w:val="TableParagraph"/>
              <w:spacing w:before="5"/>
              <w:rPr>
                <w:sz w:val="14"/>
              </w:rPr>
            </w:pPr>
          </w:p>
          <w:p>
            <w:pPr>
              <w:pStyle w:val="TableParagraph"/>
              <w:spacing w:line="147" w:lineRule="exact" w:before="1"/>
              <w:ind w:left="99"/>
              <w:jc w:val="center"/>
              <w:rPr>
                <w:b/>
                <w:sz w:val="14"/>
              </w:rPr>
            </w:pPr>
            <w:r>
              <w:rPr>
                <w:b/>
                <w:w w:val="105"/>
                <w:sz w:val="14"/>
              </w:rPr>
              <w:t>Object Codes</w:t>
            </w:r>
          </w:p>
        </w:tc>
        <w:tc>
          <w:tcPr>
            <w:tcW w:w="1725" w:type="dxa"/>
          </w:tcPr>
          <w:p>
            <w:pPr>
              <w:pStyle w:val="TableParagraph"/>
              <w:spacing w:line="160" w:lineRule="exact"/>
              <w:ind w:left="102" w:right="300"/>
              <w:jc w:val="center"/>
              <w:rPr>
                <w:b/>
                <w:sz w:val="14"/>
              </w:rPr>
            </w:pPr>
            <w:r>
              <w:rPr>
                <w:b/>
                <w:w w:val="105"/>
                <w:sz w:val="14"/>
              </w:rPr>
              <w:t>2020-21</w:t>
            </w:r>
          </w:p>
          <w:p>
            <w:pPr>
              <w:pStyle w:val="TableParagraph"/>
              <w:spacing w:line="147" w:lineRule="exact" w:before="7"/>
              <w:ind w:left="102" w:right="303"/>
              <w:jc w:val="center"/>
              <w:rPr>
                <w:b/>
                <w:sz w:val="14"/>
              </w:rPr>
            </w:pPr>
            <w:r>
              <w:rPr>
                <w:b/>
                <w:w w:val="105"/>
                <w:sz w:val="14"/>
              </w:rPr>
              <w:t>Estimated Actuals</w:t>
            </w:r>
          </w:p>
        </w:tc>
        <w:tc>
          <w:tcPr>
            <w:tcW w:w="1475" w:type="dxa"/>
          </w:tcPr>
          <w:p>
            <w:pPr>
              <w:pStyle w:val="TableParagraph"/>
              <w:spacing w:line="160" w:lineRule="exact"/>
              <w:ind w:left="286"/>
              <w:rPr>
                <w:b/>
                <w:sz w:val="14"/>
              </w:rPr>
            </w:pPr>
            <w:r>
              <w:rPr>
                <w:b/>
                <w:w w:val="105"/>
                <w:sz w:val="14"/>
              </w:rPr>
              <w:t>2021-22</w:t>
            </w:r>
          </w:p>
          <w:p>
            <w:pPr>
              <w:pStyle w:val="TableParagraph"/>
              <w:spacing w:line="147" w:lineRule="exact" w:before="7"/>
              <w:ind w:left="298"/>
              <w:rPr>
                <w:b/>
                <w:sz w:val="14"/>
              </w:rPr>
            </w:pPr>
            <w:r>
              <w:rPr>
                <w:b/>
                <w:w w:val="105"/>
                <w:sz w:val="14"/>
              </w:rPr>
              <w:t>Budget</w:t>
            </w:r>
          </w:p>
        </w:tc>
        <w:tc>
          <w:tcPr>
            <w:tcW w:w="981" w:type="dxa"/>
          </w:tcPr>
          <w:p>
            <w:pPr>
              <w:pStyle w:val="TableParagraph"/>
              <w:spacing w:line="160" w:lineRule="exact"/>
              <w:ind w:left="336"/>
              <w:rPr>
                <w:b/>
                <w:sz w:val="14"/>
              </w:rPr>
            </w:pPr>
            <w:r>
              <w:rPr>
                <w:b/>
                <w:w w:val="105"/>
                <w:sz w:val="14"/>
              </w:rPr>
              <w:t>Percent</w:t>
            </w:r>
          </w:p>
          <w:p>
            <w:pPr>
              <w:pStyle w:val="TableParagraph"/>
              <w:spacing w:line="147" w:lineRule="exact" w:before="7"/>
              <w:ind w:left="249"/>
              <w:rPr>
                <w:b/>
                <w:sz w:val="14"/>
              </w:rPr>
            </w:pPr>
            <w:r>
              <w:rPr>
                <w:b/>
                <w:w w:val="105"/>
                <w:sz w:val="14"/>
              </w:rPr>
              <w:t>Difference</w:t>
            </w:r>
          </w:p>
        </w:tc>
        <w:tc>
          <w:tcPr>
            <w:tcW w:w="384" w:type="dxa"/>
          </w:tcPr>
          <w:p>
            <w:pPr>
              <w:pStyle w:val="TableParagraph"/>
              <w:rPr>
                <w:rFonts w:ascii="Times New Roman"/>
                <w:sz w:val="14"/>
              </w:rPr>
            </w:pPr>
          </w:p>
        </w:tc>
      </w:tr>
      <w:tr>
        <w:trPr>
          <w:trHeight w:val="578" w:hRule="atLeast"/>
        </w:trPr>
        <w:tc>
          <w:tcPr>
            <w:tcW w:w="2807" w:type="dxa"/>
          </w:tcPr>
          <w:p>
            <w:pPr>
              <w:pStyle w:val="TableParagraph"/>
              <w:spacing w:before="2"/>
              <w:rPr>
                <w:sz w:val="18"/>
              </w:rPr>
            </w:pPr>
          </w:p>
          <w:p>
            <w:pPr>
              <w:pStyle w:val="TableParagraph"/>
              <w:ind w:left="50"/>
              <w:rPr>
                <w:b/>
                <w:sz w:val="14"/>
              </w:rPr>
            </w:pPr>
            <w:r>
              <w:rPr>
                <w:b/>
                <w:w w:val="105"/>
                <w:sz w:val="14"/>
              </w:rPr>
              <w:t>A. REVENUES</w:t>
            </w:r>
          </w:p>
        </w:tc>
        <w:tc>
          <w:tcPr>
            <w:tcW w:w="2323" w:type="dxa"/>
          </w:tcPr>
          <w:p>
            <w:pPr>
              <w:pStyle w:val="TableParagraph"/>
              <w:rPr>
                <w:rFonts w:ascii="Times New Roman"/>
                <w:sz w:val="14"/>
              </w:rPr>
            </w:pPr>
          </w:p>
        </w:tc>
        <w:tc>
          <w:tcPr>
            <w:tcW w:w="1068" w:type="dxa"/>
          </w:tcPr>
          <w:p>
            <w:pPr>
              <w:pStyle w:val="TableParagraph"/>
              <w:rPr>
                <w:rFonts w:ascii="Times New Roman"/>
                <w:sz w:val="14"/>
              </w:rPr>
            </w:pPr>
          </w:p>
        </w:tc>
        <w:tc>
          <w:tcPr>
            <w:tcW w:w="1725" w:type="dxa"/>
          </w:tcPr>
          <w:p>
            <w:pPr>
              <w:pStyle w:val="TableParagraph"/>
              <w:rPr>
                <w:rFonts w:ascii="Times New Roman"/>
                <w:sz w:val="14"/>
              </w:rPr>
            </w:pPr>
          </w:p>
        </w:tc>
        <w:tc>
          <w:tcPr>
            <w:tcW w:w="1475" w:type="dxa"/>
          </w:tcPr>
          <w:p>
            <w:pPr>
              <w:pStyle w:val="TableParagraph"/>
              <w:rPr>
                <w:rFonts w:ascii="Times New Roman"/>
                <w:sz w:val="14"/>
              </w:rPr>
            </w:pPr>
          </w:p>
        </w:tc>
        <w:tc>
          <w:tcPr>
            <w:tcW w:w="981" w:type="dxa"/>
            <w:shd w:val="clear" w:color="auto" w:fill="DFDFDF"/>
          </w:tcPr>
          <w:p>
            <w:pPr>
              <w:pStyle w:val="TableParagraph"/>
              <w:rPr>
                <w:rFonts w:ascii="Times New Roman"/>
                <w:sz w:val="14"/>
              </w:rPr>
            </w:pPr>
          </w:p>
        </w:tc>
        <w:tc>
          <w:tcPr>
            <w:tcW w:w="384" w:type="dxa"/>
            <w:shd w:val="clear" w:color="auto" w:fill="DFDFDF"/>
          </w:tcPr>
          <w:p>
            <w:pPr>
              <w:pStyle w:val="TableParagraph"/>
              <w:rPr>
                <w:rFonts w:ascii="Times New Roman"/>
                <w:sz w:val="14"/>
              </w:rPr>
            </w:pPr>
          </w:p>
        </w:tc>
      </w:tr>
      <w:tr>
        <w:trPr>
          <w:trHeight w:val="476" w:hRule="atLeast"/>
        </w:trPr>
        <w:tc>
          <w:tcPr>
            <w:tcW w:w="2807" w:type="dxa"/>
          </w:tcPr>
          <w:p>
            <w:pPr>
              <w:pStyle w:val="TableParagraph"/>
              <w:spacing w:before="11"/>
              <w:rPr>
                <w:sz w:val="17"/>
              </w:rPr>
            </w:pPr>
          </w:p>
          <w:p>
            <w:pPr>
              <w:pStyle w:val="TableParagraph"/>
              <w:ind w:left="213"/>
              <w:rPr>
                <w:sz w:val="14"/>
              </w:rPr>
            </w:pPr>
            <w:r>
              <w:rPr>
                <w:w w:val="105"/>
                <w:sz w:val="14"/>
              </w:rPr>
              <w:t>1) LCFF Sources</w:t>
            </w:r>
          </w:p>
        </w:tc>
        <w:tc>
          <w:tcPr>
            <w:tcW w:w="2323" w:type="dxa"/>
          </w:tcPr>
          <w:p>
            <w:pPr>
              <w:pStyle w:val="TableParagraph"/>
              <w:rPr>
                <w:rFonts w:ascii="Times New Roman"/>
                <w:sz w:val="14"/>
              </w:rPr>
            </w:pPr>
          </w:p>
        </w:tc>
        <w:tc>
          <w:tcPr>
            <w:tcW w:w="1068" w:type="dxa"/>
          </w:tcPr>
          <w:p>
            <w:pPr>
              <w:pStyle w:val="TableParagraph"/>
              <w:spacing w:before="11"/>
              <w:rPr>
                <w:sz w:val="17"/>
              </w:rPr>
            </w:pPr>
          </w:p>
          <w:p>
            <w:pPr>
              <w:pStyle w:val="TableParagraph"/>
              <w:ind w:left="100"/>
              <w:jc w:val="center"/>
              <w:rPr>
                <w:sz w:val="14"/>
              </w:rPr>
            </w:pPr>
            <w:r>
              <w:rPr>
                <w:w w:val="105"/>
                <w:sz w:val="14"/>
              </w:rPr>
              <w:t>8010-8099</w:t>
            </w:r>
          </w:p>
        </w:tc>
        <w:tc>
          <w:tcPr>
            <w:tcW w:w="1725" w:type="dxa"/>
            <w:shd w:val="clear" w:color="auto" w:fill="DFDFDF"/>
          </w:tcPr>
          <w:p>
            <w:pPr>
              <w:pStyle w:val="TableParagraph"/>
              <w:spacing w:before="11"/>
              <w:rPr>
                <w:sz w:val="17"/>
              </w:rPr>
            </w:pPr>
          </w:p>
          <w:p>
            <w:pPr>
              <w:pStyle w:val="TableParagraph"/>
              <w:ind w:right="284"/>
              <w:jc w:val="right"/>
              <w:rPr>
                <w:sz w:val="14"/>
              </w:rPr>
            </w:pPr>
            <w:r>
              <w:rPr>
                <w:sz w:val="14"/>
              </w:rPr>
              <w:t>0.00</w:t>
            </w:r>
          </w:p>
        </w:tc>
        <w:tc>
          <w:tcPr>
            <w:tcW w:w="1475" w:type="dxa"/>
            <w:shd w:val="clear" w:color="auto" w:fill="DFDFDF"/>
          </w:tcPr>
          <w:p>
            <w:pPr>
              <w:pStyle w:val="TableParagraph"/>
              <w:spacing w:before="11"/>
              <w:rPr>
                <w:sz w:val="17"/>
              </w:rPr>
            </w:pPr>
          </w:p>
          <w:p>
            <w:pPr>
              <w:pStyle w:val="TableParagraph"/>
              <w:ind w:right="247"/>
              <w:jc w:val="right"/>
              <w:rPr>
                <w:sz w:val="14"/>
              </w:rPr>
            </w:pPr>
            <w:r>
              <w:rPr>
                <w:sz w:val="14"/>
              </w:rPr>
              <w:t>0.00</w:t>
            </w:r>
          </w:p>
        </w:tc>
        <w:tc>
          <w:tcPr>
            <w:tcW w:w="981" w:type="dxa"/>
            <w:shd w:val="clear" w:color="auto" w:fill="DFDFDF"/>
          </w:tcPr>
          <w:p>
            <w:pPr>
              <w:pStyle w:val="TableParagraph"/>
              <w:rPr>
                <w:rFonts w:ascii="Times New Roman"/>
                <w:sz w:val="14"/>
              </w:rPr>
            </w:pPr>
          </w:p>
        </w:tc>
        <w:tc>
          <w:tcPr>
            <w:tcW w:w="384" w:type="dxa"/>
            <w:shd w:val="clear" w:color="auto" w:fill="DFDFDF"/>
          </w:tcPr>
          <w:p>
            <w:pPr>
              <w:pStyle w:val="TableParagraph"/>
              <w:spacing w:before="11"/>
              <w:rPr>
                <w:sz w:val="17"/>
              </w:rPr>
            </w:pPr>
          </w:p>
          <w:p>
            <w:pPr>
              <w:pStyle w:val="TableParagraph"/>
              <w:ind w:left="31"/>
              <w:rPr>
                <w:sz w:val="14"/>
              </w:rPr>
            </w:pPr>
            <w:r>
              <w:rPr>
                <w:w w:val="105"/>
                <w:sz w:val="14"/>
              </w:rPr>
              <w:t>0.0%</w:t>
            </w:r>
          </w:p>
        </w:tc>
      </w:tr>
      <w:tr>
        <w:trPr>
          <w:trHeight w:val="271" w:hRule="atLeast"/>
        </w:trPr>
        <w:tc>
          <w:tcPr>
            <w:tcW w:w="2807" w:type="dxa"/>
          </w:tcPr>
          <w:p>
            <w:pPr>
              <w:pStyle w:val="TableParagraph"/>
              <w:spacing w:line="145" w:lineRule="exact" w:before="107"/>
              <w:ind w:left="213"/>
              <w:rPr>
                <w:sz w:val="14"/>
              </w:rPr>
            </w:pPr>
            <w:r>
              <w:rPr>
                <w:w w:val="105"/>
                <w:sz w:val="14"/>
              </w:rPr>
              <w:t>2) Federal Revenue</w:t>
            </w:r>
          </w:p>
        </w:tc>
        <w:tc>
          <w:tcPr>
            <w:tcW w:w="2323" w:type="dxa"/>
          </w:tcPr>
          <w:p>
            <w:pPr>
              <w:pStyle w:val="TableParagraph"/>
              <w:rPr>
                <w:rFonts w:ascii="Times New Roman"/>
                <w:sz w:val="14"/>
              </w:rPr>
            </w:pPr>
          </w:p>
        </w:tc>
        <w:tc>
          <w:tcPr>
            <w:tcW w:w="1068" w:type="dxa"/>
          </w:tcPr>
          <w:p>
            <w:pPr>
              <w:pStyle w:val="TableParagraph"/>
              <w:spacing w:line="145" w:lineRule="exact" w:before="107"/>
              <w:ind w:left="100"/>
              <w:jc w:val="center"/>
              <w:rPr>
                <w:sz w:val="14"/>
              </w:rPr>
            </w:pPr>
            <w:r>
              <w:rPr>
                <w:w w:val="105"/>
                <w:sz w:val="14"/>
              </w:rPr>
              <w:t>8100-8299</w:t>
            </w:r>
          </w:p>
        </w:tc>
        <w:tc>
          <w:tcPr>
            <w:tcW w:w="1725" w:type="dxa"/>
            <w:shd w:val="clear" w:color="auto" w:fill="DFDFDF"/>
          </w:tcPr>
          <w:p>
            <w:pPr>
              <w:pStyle w:val="TableParagraph"/>
              <w:spacing w:line="145" w:lineRule="exact" w:before="107"/>
              <w:ind w:right="284"/>
              <w:jc w:val="right"/>
              <w:rPr>
                <w:sz w:val="14"/>
              </w:rPr>
            </w:pPr>
            <w:r>
              <w:rPr>
                <w:sz w:val="14"/>
              </w:rPr>
              <w:t>0.00</w:t>
            </w:r>
          </w:p>
        </w:tc>
        <w:tc>
          <w:tcPr>
            <w:tcW w:w="1475" w:type="dxa"/>
            <w:shd w:val="clear" w:color="auto" w:fill="DFDFDF"/>
          </w:tcPr>
          <w:p>
            <w:pPr>
              <w:pStyle w:val="TableParagraph"/>
              <w:spacing w:line="145" w:lineRule="exact" w:before="107"/>
              <w:ind w:right="247"/>
              <w:jc w:val="right"/>
              <w:rPr>
                <w:sz w:val="14"/>
              </w:rPr>
            </w:pPr>
            <w:r>
              <w:rPr>
                <w:sz w:val="14"/>
              </w:rPr>
              <w:t>0.00</w:t>
            </w:r>
          </w:p>
        </w:tc>
        <w:tc>
          <w:tcPr>
            <w:tcW w:w="981" w:type="dxa"/>
            <w:shd w:val="clear" w:color="auto" w:fill="DFDFDF"/>
          </w:tcPr>
          <w:p>
            <w:pPr>
              <w:pStyle w:val="TableParagraph"/>
              <w:rPr>
                <w:rFonts w:ascii="Times New Roman"/>
                <w:sz w:val="14"/>
              </w:rPr>
            </w:pPr>
          </w:p>
        </w:tc>
        <w:tc>
          <w:tcPr>
            <w:tcW w:w="384" w:type="dxa"/>
            <w:shd w:val="clear" w:color="auto" w:fill="DFDFDF"/>
          </w:tcPr>
          <w:p>
            <w:pPr>
              <w:pStyle w:val="TableParagraph"/>
              <w:spacing w:line="145" w:lineRule="exact" w:before="107"/>
              <w:ind w:left="31"/>
              <w:rPr>
                <w:sz w:val="14"/>
              </w:rPr>
            </w:pPr>
            <w:r>
              <w:rPr>
                <w:w w:val="105"/>
                <w:sz w:val="14"/>
              </w:rPr>
              <w:t>0.0%</w:t>
            </w:r>
          </w:p>
        </w:tc>
      </w:tr>
      <w:tr>
        <w:trPr>
          <w:trHeight w:val="481" w:hRule="atLeast"/>
        </w:trPr>
        <w:tc>
          <w:tcPr>
            <w:tcW w:w="2807" w:type="dxa"/>
          </w:tcPr>
          <w:p>
            <w:pPr>
              <w:pStyle w:val="TableParagraph"/>
              <w:spacing w:before="4"/>
              <w:rPr>
                <w:sz w:val="18"/>
              </w:rPr>
            </w:pPr>
          </w:p>
          <w:p>
            <w:pPr>
              <w:pStyle w:val="TableParagraph"/>
              <w:spacing w:before="1"/>
              <w:ind w:right="1073"/>
              <w:jc w:val="right"/>
              <w:rPr>
                <w:sz w:val="14"/>
              </w:rPr>
            </w:pPr>
            <w:r>
              <w:rPr>
                <w:w w:val="105"/>
                <w:sz w:val="14"/>
              </w:rPr>
              <w:t>3) Other State Revenue</w:t>
            </w:r>
          </w:p>
        </w:tc>
        <w:tc>
          <w:tcPr>
            <w:tcW w:w="2323" w:type="dxa"/>
          </w:tcPr>
          <w:p>
            <w:pPr>
              <w:pStyle w:val="TableParagraph"/>
              <w:rPr>
                <w:rFonts w:ascii="Times New Roman"/>
                <w:sz w:val="14"/>
              </w:rPr>
            </w:pPr>
          </w:p>
        </w:tc>
        <w:tc>
          <w:tcPr>
            <w:tcW w:w="1068" w:type="dxa"/>
          </w:tcPr>
          <w:p>
            <w:pPr>
              <w:pStyle w:val="TableParagraph"/>
              <w:spacing w:before="4"/>
              <w:rPr>
                <w:sz w:val="18"/>
              </w:rPr>
            </w:pPr>
          </w:p>
          <w:p>
            <w:pPr>
              <w:pStyle w:val="TableParagraph"/>
              <w:spacing w:before="1"/>
              <w:ind w:left="100"/>
              <w:jc w:val="center"/>
              <w:rPr>
                <w:sz w:val="14"/>
              </w:rPr>
            </w:pPr>
            <w:r>
              <w:rPr>
                <w:w w:val="105"/>
                <w:sz w:val="14"/>
              </w:rPr>
              <w:t>8300-8599</w:t>
            </w:r>
          </w:p>
        </w:tc>
        <w:tc>
          <w:tcPr>
            <w:tcW w:w="1725" w:type="dxa"/>
          </w:tcPr>
          <w:p>
            <w:pPr>
              <w:pStyle w:val="TableParagraph"/>
              <w:spacing w:before="4"/>
              <w:rPr>
                <w:sz w:val="18"/>
              </w:rPr>
            </w:pPr>
          </w:p>
          <w:p>
            <w:pPr>
              <w:pStyle w:val="TableParagraph"/>
              <w:spacing w:before="1"/>
              <w:ind w:right="284"/>
              <w:jc w:val="right"/>
              <w:rPr>
                <w:sz w:val="14"/>
              </w:rPr>
            </w:pPr>
            <w:r>
              <w:rPr>
                <w:sz w:val="14"/>
              </w:rPr>
              <w:t>0.00</w:t>
            </w:r>
          </w:p>
        </w:tc>
        <w:tc>
          <w:tcPr>
            <w:tcW w:w="1475" w:type="dxa"/>
          </w:tcPr>
          <w:p>
            <w:pPr>
              <w:pStyle w:val="TableParagraph"/>
              <w:spacing w:before="4"/>
              <w:rPr>
                <w:sz w:val="18"/>
              </w:rPr>
            </w:pPr>
          </w:p>
          <w:p>
            <w:pPr>
              <w:pStyle w:val="TableParagraph"/>
              <w:spacing w:before="1"/>
              <w:ind w:right="247"/>
              <w:jc w:val="right"/>
              <w:rPr>
                <w:sz w:val="14"/>
              </w:rPr>
            </w:pPr>
            <w:r>
              <w:rPr>
                <w:sz w:val="14"/>
              </w:rPr>
              <w:t>0.00</w:t>
            </w:r>
          </w:p>
        </w:tc>
        <w:tc>
          <w:tcPr>
            <w:tcW w:w="981" w:type="dxa"/>
          </w:tcPr>
          <w:p>
            <w:pPr>
              <w:pStyle w:val="TableParagraph"/>
              <w:rPr>
                <w:rFonts w:ascii="Times New Roman"/>
                <w:sz w:val="14"/>
              </w:rPr>
            </w:pPr>
          </w:p>
        </w:tc>
        <w:tc>
          <w:tcPr>
            <w:tcW w:w="384" w:type="dxa"/>
          </w:tcPr>
          <w:p>
            <w:pPr>
              <w:pStyle w:val="TableParagraph"/>
              <w:spacing w:before="4"/>
              <w:rPr>
                <w:sz w:val="18"/>
              </w:rPr>
            </w:pPr>
          </w:p>
          <w:p>
            <w:pPr>
              <w:pStyle w:val="TableParagraph"/>
              <w:spacing w:before="1"/>
              <w:ind w:left="31"/>
              <w:rPr>
                <w:sz w:val="14"/>
              </w:rPr>
            </w:pPr>
            <w:r>
              <w:rPr>
                <w:w w:val="105"/>
                <w:sz w:val="14"/>
              </w:rPr>
              <w:t>0.0%</w:t>
            </w:r>
          </w:p>
        </w:tc>
      </w:tr>
      <w:tr>
        <w:trPr>
          <w:trHeight w:val="376" w:hRule="atLeast"/>
        </w:trPr>
        <w:tc>
          <w:tcPr>
            <w:tcW w:w="2807" w:type="dxa"/>
          </w:tcPr>
          <w:p>
            <w:pPr>
              <w:pStyle w:val="TableParagraph"/>
              <w:spacing w:before="107"/>
              <w:ind w:right="1068"/>
              <w:jc w:val="right"/>
              <w:rPr>
                <w:sz w:val="14"/>
              </w:rPr>
            </w:pPr>
            <w:r>
              <w:rPr>
                <w:w w:val="105"/>
                <w:sz w:val="14"/>
              </w:rPr>
              <w:t>4) Other Local Revenue</w:t>
            </w:r>
          </w:p>
        </w:tc>
        <w:tc>
          <w:tcPr>
            <w:tcW w:w="2323" w:type="dxa"/>
          </w:tcPr>
          <w:p>
            <w:pPr>
              <w:pStyle w:val="TableParagraph"/>
              <w:rPr>
                <w:rFonts w:ascii="Times New Roman"/>
                <w:sz w:val="14"/>
              </w:rPr>
            </w:pPr>
          </w:p>
        </w:tc>
        <w:tc>
          <w:tcPr>
            <w:tcW w:w="1068" w:type="dxa"/>
          </w:tcPr>
          <w:p>
            <w:pPr>
              <w:pStyle w:val="TableParagraph"/>
              <w:spacing w:before="107"/>
              <w:ind w:left="100"/>
              <w:jc w:val="center"/>
              <w:rPr>
                <w:sz w:val="14"/>
              </w:rPr>
            </w:pPr>
            <w:r>
              <w:rPr>
                <w:w w:val="105"/>
                <w:sz w:val="14"/>
              </w:rPr>
              <w:t>8600-8799</w:t>
            </w:r>
          </w:p>
        </w:tc>
        <w:tc>
          <w:tcPr>
            <w:tcW w:w="1725" w:type="dxa"/>
          </w:tcPr>
          <w:p>
            <w:pPr>
              <w:pStyle w:val="TableParagraph"/>
              <w:spacing w:before="107"/>
              <w:ind w:right="283"/>
              <w:jc w:val="right"/>
              <w:rPr>
                <w:sz w:val="14"/>
              </w:rPr>
            </w:pPr>
            <w:r>
              <w:rPr>
                <w:sz w:val="14"/>
              </w:rPr>
              <w:t>175.00</w:t>
            </w:r>
          </w:p>
        </w:tc>
        <w:tc>
          <w:tcPr>
            <w:tcW w:w="1475" w:type="dxa"/>
          </w:tcPr>
          <w:p>
            <w:pPr>
              <w:pStyle w:val="TableParagraph"/>
              <w:spacing w:before="107"/>
              <w:ind w:right="246"/>
              <w:jc w:val="right"/>
              <w:rPr>
                <w:sz w:val="14"/>
              </w:rPr>
            </w:pPr>
            <w:r>
              <w:rPr>
                <w:sz w:val="14"/>
              </w:rPr>
              <w:t>175.00</w:t>
            </w:r>
          </w:p>
        </w:tc>
        <w:tc>
          <w:tcPr>
            <w:tcW w:w="981" w:type="dxa"/>
          </w:tcPr>
          <w:p>
            <w:pPr>
              <w:pStyle w:val="TableParagraph"/>
              <w:rPr>
                <w:rFonts w:ascii="Times New Roman"/>
                <w:sz w:val="14"/>
              </w:rPr>
            </w:pPr>
          </w:p>
        </w:tc>
        <w:tc>
          <w:tcPr>
            <w:tcW w:w="384" w:type="dxa"/>
          </w:tcPr>
          <w:p>
            <w:pPr>
              <w:pStyle w:val="TableParagraph"/>
              <w:spacing w:before="107"/>
              <w:ind w:left="31"/>
              <w:rPr>
                <w:sz w:val="14"/>
              </w:rPr>
            </w:pPr>
            <w:r>
              <w:rPr>
                <w:w w:val="105"/>
                <w:sz w:val="14"/>
              </w:rPr>
              <w:t>0.0%</w:t>
            </w:r>
          </w:p>
        </w:tc>
      </w:tr>
      <w:tr>
        <w:trPr>
          <w:trHeight w:val="268" w:hRule="atLeast"/>
        </w:trPr>
        <w:tc>
          <w:tcPr>
            <w:tcW w:w="2807" w:type="dxa"/>
          </w:tcPr>
          <w:p>
            <w:pPr>
              <w:pStyle w:val="TableParagraph"/>
              <w:spacing w:line="142" w:lineRule="exact" w:before="107"/>
              <w:ind w:right="1084"/>
              <w:jc w:val="right"/>
              <w:rPr>
                <w:sz w:val="14"/>
              </w:rPr>
            </w:pPr>
            <w:r>
              <w:rPr>
                <w:w w:val="105"/>
                <w:sz w:val="14"/>
              </w:rPr>
              <w:t>5) TOTAL, REVENUES</w:t>
            </w:r>
          </w:p>
        </w:tc>
        <w:tc>
          <w:tcPr>
            <w:tcW w:w="2323" w:type="dxa"/>
          </w:tcPr>
          <w:p>
            <w:pPr>
              <w:pStyle w:val="TableParagraph"/>
              <w:rPr>
                <w:rFonts w:ascii="Times New Roman"/>
                <w:sz w:val="14"/>
              </w:rPr>
            </w:pPr>
          </w:p>
        </w:tc>
        <w:tc>
          <w:tcPr>
            <w:tcW w:w="1068" w:type="dxa"/>
          </w:tcPr>
          <w:p>
            <w:pPr>
              <w:pStyle w:val="TableParagraph"/>
              <w:rPr>
                <w:rFonts w:ascii="Times New Roman"/>
                <w:sz w:val="14"/>
              </w:rPr>
            </w:pPr>
          </w:p>
        </w:tc>
        <w:tc>
          <w:tcPr>
            <w:tcW w:w="1725" w:type="dxa"/>
          </w:tcPr>
          <w:p>
            <w:pPr>
              <w:pStyle w:val="TableParagraph"/>
              <w:spacing w:line="142" w:lineRule="exact" w:before="107"/>
              <w:ind w:right="283"/>
              <w:jc w:val="right"/>
              <w:rPr>
                <w:sz w:val="14"/>
              </w:rPr>
            </w:pPr>
            <w:r>
              <w:rPr>
                <w:sz w:val="14"/>
              </w:rPr>
              <w:t>175.00</w:t>
            </w:r>
          </w:p>
        </w:tc>
        <w:tc>
          <w:tcPr>
            <w:tcW w:w="1475" w:type="dxa"/>
          </w:tcPr>
          <w:p>
            <w:pPr>
              <w:pStyle w:val="TableParagraph"/>
              <w:spacing w:line="142" w:lineRule="exact" w:before="107"/>
              <w:ind w:right="246"/>
              <w:jc w:val="right"/>
              <w:rPr>
                <w:sz w:val="14"/>
              </w:rPr>
            </w:pPr>
            <w:r>
              <w:rPr>
                <w:sz w:val="14"/>
              </w:rPr>
              <w:t>175.00</w:t>
            </w:r>
          </w:p>
        </w:tc>
        <w:tc>
          <w:tcPr>
            <w:tcW w:w="981" w:type="dxa"/>
          </w:tcPr>
          <w:p>
            <w:pPr>
              <w:pStyle w:val="TableParagraph"/>
              <w:rPr>
                <w:rFonts w:ascii="Times New Roman"/>
                <w:sz w:val="14"/>
              </w:rPr>
            </w:pPr>
          </w:p>
        </w:tc>
        <w:tc>
          <w:tcPr>
            <w:tcW w:w="384" w:type="dxa"/>
          </w:tcPr>
          <w:p>
            <w:pPr>
              <w:pStyle w:val="TableParagraph"/>
              <w:spacing w:line="142" w:lineRule="exact" w:before="107"/>
              <w:ind w:left="31"/>
              <w:rPr>
                <w:sz w:val="14"/>
              </w:rPr>
            </w:pPr>
            <w:r>
              <w:rPr>
                <w:w w:val="105"/>
                <w:sz w:val="14"/>
              </w:rPr>
              <w:t>0.0%</w:t>
            </w:r>
          </w:p>
        </w:tc>
      </w:tr>
    </w:tbl>
    <w:p>
      <w:pPr>
        <w:pStyle w:val="BodyText"/>
        <w:spacing w:before="10"/>
        <w:rPr>
          <w:sz w:val="9"/>
        </w:rPr>
      </w:pPr>
    </w:p>
    <w:p>
      <w:pPr>
        <w:spacing w:before="99"/>
        <w:ind w:left="370" w:right="0" w:firstLine="0"/>
        <w:jc w:val="left"/>
        <w:rPr>
          <w:b/>
          <w:sz w:val="14"/>
        </w:rPr>
      </w:pPr>
      <w:r>
        <w:rPr/>
        <w:pict>
          <v:group style="position:absolute;margin-left:24.719999pt;margin-top:-167.404083pt;width:538pt;height:561.4pt;mso-position-horizontal-relative:page;mso-position-vertical-relative:paragraph;z-index:-314328064" coordorigin="494,-3348" coordsize="10760,11228">
            <v:shape style="position:absolute;left:494;top:-3349;width:3646;height:790" type="#_x0000_t75" stroked="false">
              <v:imagedata r:id="rId406" o:title=""/>
            </v:shape>
            <v:shape style="position:absolute;left:4132;top:-3349;width:7121;height:790" type="#_x0000_t75" stroked="false">
              <v:imagedata r:id="rId407" o:title=""/>
            </v:shape>
            <v:line style="position:absolute" from="1304,-2568" to="1304,-2198" stroked="true" strokeweight=".359997pt" strokecolor="#ffffff">
              <v:stroke dashstyle="solid"/>
            </v:line>
            <v:shape style="position:absolute;left:494;top:-2573;width:3646;height:2837" type="#_x0000_t75" stroked="false">
              <v:imagedata r:id="rId837" o:title=""/>
            </v:shape>
            <v:shape style="position:absolute;left:6674;top:-2581;width:1520;height:389" type="#_x0000_t75" stroked="false">
              <v:imagedata r:id="rId410" o:title=""/>
            </v:shape>
            <v:shape style="position:absolute;left:8186;top:-2581;width:1520;height:389" type="#_x0000_t75" stroked="false">
              <v:imagedata r:id="rId410" o:title=""/>
            </v:shape>
            <v:shape style="position:absolute;left:8186;top:-2581;width:3068;height:1342" type="#_x0000_t75" stroked="false">
              <v:imagedata r:id="rId838" o:title=""/>
            </v:shape>
            <v:shape style="position:absolute;left:6674;top:-2197;width:1520;height:958" type="#_x0000_t75" stroked="false">
              <v:imagedata r:id="rId710" o:title=""/>
            </v:shape>
            <v:shape style="position:absolute;left:6674;top:-1623;width:4580;height:761" type="#_x0000_t75" stroked="false">
              <v:imagedata r:id="rId839" o:title=""/>
            </v:shape>
            <v:shape style="position:absolute;left:9698;top:-1246;width:1556;height:756" type="#_x0000_t75" stroked="false">
              <v:imagedata r:id="rId580" o:title=""/>
            </v:shape>
            <v:shape style="position:absolute;left:4132;top:-869;width:7121;height:1712" type="#_x0000_t75" stroked="false">
              <v:imagedata r:id="rId840" o:title=""/>
            </v:shape>
            <v:shape style="position:absolute;left:6674;top:458;width:4580;height:761" type="#_x0000_t75" stroked="false">
              <v:imagedata r:id="rId418" o:title=""/>
            </v:shape>
            <v:shape style="position:absolute;left:494;top:261;width:3646;height:3800" type="#_x0000_t75" stroked="false">
              <v:imagedata r:id="rId420" o:title=""/>
            </v:shape>
            <v:shape style="position:absolute;left:6674;top:835;width:4580;height:761" type="#_x0000_t75" stroked="false">
              <v:imagedata r:id="rId418" o:title=""/>
            </v:shape>
            <v:shape style="position:absolute;left:6674;top:1211;width:4580;height:761" type="#_x0000_t75" stroked="false">
              <v:imagedata r:id="rId418" o:title=""/>
            </v:shape>
            <v:shape style="position:absolute;left:6674;top:1588;width:4580;height:761" type="#_x0000_t75" stroked="false">
              <v:imagedata r:id="rId418" o:title=""/>
            </v:shape>
            <v:shape style="position:absolute;left:6674;top:1965;width:4580;height:761" type="#_x0000_t75" stroked="false">
              <v:imagedata r:id="rId418" o:title=""/>
            </v:shape>
            <v:shape style="position:absolute;left:8186;top:2342;width:3068;height:953" type="#_x0000_t75" stroked="false">
              <v:imagedata r:id="rId841" o:title=""/>
            </v:shape>
            <v:shape style="position:absolute;left:6674;top:2719;width:1520;height:958" type="#_x0000_t75" stroked="false">
              <v:imagedata r:id="rId842" o:title=""/>
            </v:shape>
            <v:rect style="position:absolute;left:6679;top:3297;width:1512;height:377" filled="true" fillcolor="#dfdfdf" stroked="false">
              <v:fill type="solid"/>
            </v:rect>
            <v:shape style="position:absolute;left:8186;top:3095;width:1520;height:581" type="#_x0000_t75" stroked="false">
              <v:imagedata r:id="rId843" o:title=""/>
            </v:shape>
            <v:rect style="position:absolute;left:9703;top:3297;width:1541;height:377" filled="true" fillcolor="#dfdfdf" stroked="false">
              <v:fill type="solid"/>
            </v:rect>
            <v:shape style="position:absolute;left:4132;top:3095;width:7121;height:965" type="#_x0000_t75" stroked="false">
              <v:imagedata r:id="rId711" o:title=""/>
            </v:shape>
            <v:line style="position:absolute" from="1304,4051" to="1304,4421" stroked="true" strokeweight=".359997pt" strokecolor="#ffffff">
              <v:stroke dashstyle="solid"/>
            </v:line>
            <v:shape style="position:absolute;left:494;top:4046;width:3646;height:785" type="#_x0000_t75" stroked="false">
              <v:imagedata r:id="rId427" o:title=""/>
            </v:shape>
            <v:shape style="position:absolute;left:4132;top:3669;width:7121;height:2122" type="#_x0000_t75" stroked="false">
              <v:imagedata r:id="rId712" o:title=""/>
            </v:shape>
            <v:line style="position:absolute" from="1304,4822" to="1304,5191" stroked="true" strokeweight=".359997pt" strokecolor="#ffffff">
              <v:stroke dashstyle="solid"/>
            </v:line>
            <v:shape style="position:absolute;left:494;top:4816;width:3646;height:3063" type="#_x0000_t75" stroked="false">
              <v:imagedata r:id="rId431" o:title=""/>
            </v:shape>
            <w10:wrap type="none"/>
          </v:group>
        </w:pict>
      </w:r>
      <w:r>
        <w:rPr>
          <w:b/>
          <w:w w:val="105"/>
          <w:sz w:val="14"/>
        </w:rPr>
        <w:t>B. EXPENDITURES</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3"/>
        <w:rPr>
          <w:b/>
          <w:sz w:val="19"/>
        </w:rPr>
      </w:pPr>
    </w:p>
    <w:p>
      <w:pPr>
        <w:spacing w:before="99"/>
        <w:ind w:left="370" w:right="0" w:firstLine="0"/>
        <w:jc w:val="left"/>
        <w:rPr>
          <w:b/>
          <w:sz w:val="14"/>
        </w:rPr>
      </w:pPr>
      <w:r>
        <w:rPr/>
        <w:pict>
          <v:shape style="position:absolute;margin-left:32.181297pt;margin-top:-174.26973pt;width:531.25pt;height:207.15pt;mso-position-horizontal-relative:page;mso-position-vertical-relative:paragraph;z-index:252041216"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35"/>
                    <w:gridCol w:w="2340"/>
                    <w:gridCol w:w="1538"/>
                    <w:gridCol w:w="1606"/>
                    <w:gridCol w:w="1008"/>
                  </w:tblGrid>
                  <w:tr>
                    <w:trPr>
                      <w:trHeight w:val="268" w:hRule="atLeast"/>
                    </w:trPr>
                    <w:tc>
                      <w:tcPr>
                        <w:tcW w:w="4135" w:type="dxa"/>
                      </w:tcPr>
                      <w:p>
                        <w:pPr>
                          <w:pStyle w:val="TableParagraph"/>
                          <w:spacing w:line="160" w:lineRule="exact"/>
                          <w:ind w:left="50"/>
                          <w:rPr>
                            <w:sz w:val="14"/>
                          </w:rPr>
                        </w:pPr>
                        <w:r>
                          <w:rPr>
                            <w:w w:val="105"/>
                            <w:sz w:val="14"/>
                          </w:rPr>
                          <w:t>1) Certificated Salaries</w:t>
                        </w:r>
                      </w:p>
                    </w:tc>
                    <w:tc>
                      <w:tcPr>
                        <w:tcW w:w="2340" w:type="dxa"/>
                      </w:tcPr>
                      <w:p>
                        <w:pPr>
                          <w:pStyle w:val="TableParagraph"/>
                          <w:spacing w:line="160" w:lineRule="exact"/>
                          <w:ind w:right="580"/>
                          <w:jc w:val="right"/>
                          <w:rPr>
                            <w:sz w:val="14"/>
                          </w:rPr>
                        </w:pPr>
                        <w:r>
                          <w:rPr>
                            <w:sz w:val="14"/>
                          </w:rPr>
                          <w:t>1000-1999</w:t>
                        </w:r>
                      </w:p>
                    </w:tc>
                    <w:tc>
                      <w:tcPr>
                        <w:tcW w:w="1538" w:type="dxa"/>
                      </w:tcPr>
                      <w:p>
                        <w:pPr>
                          <w:pStyle w:val="TableParagraph"/>
                          <w:spacing w:line="160" w:lineRule="exact"/>
                          <w:ind w:right="537"/>
                          <w:jc w:val="right"/>
                          <w:rPr>
                            <w:sz w:val="14"/>
                          </w:rPr>
                        </w:pPr>
                        <w:r>
                          <w:rPr>
                            <w:sz w:val="14"/>
                          </w:rPr>
                          <w:t>0.00</w:t>
                        </w:r>
                      </w:p>
                    </w:tc>
                    <w:tc>
                      <w:tcPr>
                        <w:tcW w:w="1606" w:type="dxa"/>
                      </w:tcPr>
                      <w:p>
                        <w:pPr>
                          <w:pStyle w:val="TableParagraph"/>
                          <w:spacing w:line="160" w:lineRule="exact"/>
                          <w:ind w:right="631"/>
                          <w:jc w:val="right"/>
                          <w:rPr>
                            <w:sz w:val="14"/>
                          </w:rPr>
                        </w:pPr>
                        <w:r>
                          <w:rPr>
                            <w:sz w:val="14"/>
                          </w:rPr>
                          <w:t>0.00</w:t>
                        </w:r>
                      </w:p>
                    </w:tc>
                    <w:tc>
                      <w:tcPr>
                        <w:tcW w:w="1008" w:type="dxa"/>
                      </w:tcPr>
                      <w:p>
                        <w:pPr>
                          <w:pStyle w:val="TableParagraph"/>
                          <w:spacing w:line="160" w:lineRule="exact"/>
                          <w:ind w:right="50"/>
                          <w:jc w:val="right"/>
                          <w:rPr>
                            <w:sz w:val="14"/>
                          </w:rPr>
                        </w:pPr>
                        <w:r>
                          <w:rPr>
                            <w:sz w:val="14"/>
                          </w:rPr>
                          <w:t>0.0%</w:t>
                        </w:r>
                      </w:p>
                    </w:tc>
                  </w:tr>
                  <w:tr>
                    <w:trPr>
                      <w:trHeight w:val="376" w:hRule="atLeast"/>
                    </w:trPr>
                    <w:tc>
                      <w:tcPr>
                        <w:tcW w:w="4135" w:type="dxa"/>
                      </w:tcPr>
                      <w:p>
                        <w:pPr>
                          <w:pStyle w:val="TableParagraph"/>
                          <w:spacing w:before="107"/>
                          <w:ind w:left="50"/>
                          <w:rPr>
                            <w:sz w:val="14"/>
                          </w:rPr>
                        </w:pPr>
                        <w:r>
                          <w:rPr>
                            <w:w w:val="105"/>
                            <w:sz w:val="14"/>
                          </w:rPr>
                          <w:t>2) Classified Salaries</w:t>
                        </w:r>
                      </w:p>
                    </w:tc>
                    <w:tc>
                      <w:tcPr>
                        <w:tcW w:w="2340" w:type="dxa"/>
                      </w:tcPr>
                      <w:p>
                        <w:pPr>
                          <w:pStyle w:val="TableParagraph"/>
                          <w:spacing w:before="107"/>
                          <w:ind w:right="580"/>
                          <w:jc w:val="right"/>
                          <w:rPr>
                            <w:sz w:val="14"/>
                          </w:rPr>
                        </w:pPr>
                        <w:r>
                          <w:rPr>
                            <w:sz w:val="14"/>
                          </w:rPr>
                          <w:t>2000-2999</w:t>
                        </w:r>
                      </w:p>
                    </w:tc>
                    <w:tc>
                      <w:tcPr>
                        <w:tcW w:w="1538" w:type="dxa"/>
                      </w:tcPr>
                      <w:p>
                        <w:pPr>
                          <w:pStyle w:val="TableParagraph"/>
                          <w:spacing w:before="107"/>
                          <w:ind w:right="537"/>
                          <w:jc w:val="right"/>
                          <w:rPr>
                            <w:sz w:val="14"/>
                          </w:rPr>
                        </w:pPr>
                        <w:r>
                          <w:rPr>
                            <w:sz w:val="14"/>
                          </w:rPr>
                          <w:t>0.00</w:t>
                        </w:r>
                      </w:p>
                    </w:tc>
                    <w:tc>
                      <w:tcPr>
                        <w:tcW w:w="1606" w:type="dxa"/>
                      </w:tcPr>
                      <w:p>
                        <w:pPr>
                          <w:pStyle w:val="TableParagraph"/>
                          <w:spacing w:before="107"/>
                          <w:ind w:right="631"/>
                          <w:jc w:val="right"/>
                          <w:rPr>
                            <w:sz w:val="14"/>
                          </w:rPr>
                        </w:pPr>
                        <w:r>
                          <w:rPr>
                            <w:sz w:val="14"/>
                          </w:rPr>
                          <w:t>0.00</w:t>
                        </w:r>
                      </w:p>
                    </w:tc>
                    <w:tc>
                      <w:tcPr>
                        <w:tcW w:w="1008" w:type="dxa"/>
                      </w:tcPr>
                      <w:p>
                        <w:pPr>
                          <w:pStyle w:val="TableParagraph"/>
                          <w:spacing w:before="107"/>
                          <w:ind w:right="50"/>
                          <w:jc w:val="right"/>
                          <w:rPr>
                            <w:sz w:val="14"/>
                          </w:rPr>
                        </w:pPr>
                        <w:r>
                          <w:rPr>
                            <w:sz w:val="14"/>
                          </w:rPr>
                          <w:t>0.0%</w:t>
                        </w:r>
                      </w:p>
                    </w:tc>
                  </w:tr>
                  <w:tr>
                    <w:trPr>
                      <w:trHeight w:val="376" w:hRule="atLeast"/>
                    </w:trPr>
                    <w:tc>
                      <w:tcPr>
                        <w:tcW w:w="4135" w:type="dxa"/>
                      </w:tcPr>
                      <w:p>
                        <w:pPr>
                          <w:pStyle w:val="TableParagraph"/>
                          <w:spacing w:before="107"/>
                          <w:ind w:left="50"/>
                          <w:rPr>
                            <w:sz w:val="14"/>
                          </w:rPr>
                        </w:pPr>
                        <w:r>
                          <w:rPr>
                            <w:w w:val="105"/>
                            <w:sz w:val="14"/>
                          </w:rPr>
                          <w:t>3) Employee Benefits</w:t>
                        </w:r>
                      </w:p>
                    </w:tc>
                    <w:tc>
                      <w:tcPr>
                        <w:tcW w:w="2340" w:type="dxa"/>
                      </w:tcPr>
                      <w:p>
                        <w:pPr>
                          <w:pStyle w:val="TableParagraph"/>
                          <w:spacing w:before="107"/>
                          <w:ind w:right="580"/>
                          <w:jc w:val="right"/>
                          <w:rPr>
                            <w:sz w:val="14"/>
                          </w:rPr>
                        </w:pPr>
                        <w:r>
                          <w:rPr>
                            <w:sz w:val="14"/>
                          </w:rPr>
                          <w:t>3000-3999</w:t>
                        </w:r>
                      </w:p>
                    </w:tc>
                    <w:tc>
                      <w:tcPr>
                        <w:tcW w:w="1538" w:type="dxa"/>
                      </w:tcPr>
                      <w:p>
                        <w:pPr>
                          <w:pStyle w:val="TableParagraph"/>
                          <w:spacing w:before="107"/>
                          <w:ind w:right="537"/>
                          <w:jc w:val="right"/>
                          <w:rPr>
                            <w:sz w:val="14"/>
                          </w:rPr>
                        </w:pPr>
                        <w:r>
                          <w:rPr>
                            <w:sz w:val="14"/>
                          </w:rPr>
                          <w:t>0.00</w:t>
                        </w:r>
                      </w:p>
                    </w:tc>
                    <w:tc>
                      <w:tcPr>
                        <w:tcW w:w="1606" w:type="dxa"/>
                      </w:tcPr>
                      <w:p>
                        <w:pPr>
                          <w:pStyle w:val="TableParagraph"/>
                          <w:spacing w:before="107"/>
                          <w:ind w:right="631"/>
                          <w:jc w:val="right"/>
                          <w:rPr>
                            <w:sz w:val="14"/>
                          </w:rPr>
                        </w:pPr>
                        <w:r>
                          <w:rPr>
                            <w:sz w:val="14"/>
                          </w:rPr>
                          <w:t>0.00</w:t>
                        </w:r>
                      </w:p>
                    </w:tc>
                    <w:tc>
                      <w:tcPr>
                        <w:tcW w:w="1008" w:type="dxa"/>
                      </w:tcPr>
                      <w:p>
                        <w:pPr>
                          <w:pStyle w:val="TableParagraph"/>
                          <w:spacing w:before="107"/>
                          <w:ind w:right="50"/>
                          <w:jc w:val="right"/>
                          <w:rPr>
                            <w:sz w:val="14"/>
                          </w:rPr>
                        </w:pPr>
                        <w:r>
                          <w:rPr>
                            <w:sz w:val="14"/>
                          </w:rPr>
                          <w:t>0.0%</w:t>
                        </w:r>
                      </w:p>
                    </w:tc>
                  </w:tr>
                  <w:tr>
                    <w:trPr>
                      <w:trHeight w:val="376" w:hRule="atLeast"/>
                    </w:trPr>
                    <w:tc>
                      <w:tcPr>
                        <w:tcW w:w="4135" w:type="dxa"/>
                      </w:tcPr>
                      <w:p>
                        <w:pPr>
                          <w:pStyle w:val="TableParagraph"/>
                          <w:spacing w:before="107"/>
                          <w:ind w:left="50"/>
                          <w:rPr>
                            <w:sz w:val="14"/>
                          </w:rPr>
                        </w:pPr>
                        <w:r>
                          <w:rPr>
                            <w:w w:val="105"/>
                            <w:sz w:val="14"/>
                          </w:rPr>
                          <w:t>4) Books and Supplies</w:t>
                        </w:r>
                      </w:p>
                    </w:tc>
                    <w:tc>
                      <w:tcPr>
                        <w:tcW w:w="2340" w:type="dxa"/>
                      </w:tcPr>
                      <w:p>
                        <w:pPr>
                          <w:pStyle w:val="TableParagraph"/>
                          <w:spacing w:before="107"/>
                          <w:ind w:right="580"/>
                          <w:jc w:val="right"/>
                          <w:rPr>
                            <w:sz w:val="14"/>
                          </w:rPr>
                        </w:pPr>
                        <w:r>
                          <w:rPr>
                            <w:sz w:val="14"/>
                          </w:rPr>
                          <w:t>4000-4999</w:t>
                        </w:r>
                      </w:p>
                    </w:tc>
                    <w:tc>
                      <w:tcPr>
                        <w:tcW w:w="1538" w:type="dxa"/>
                      </w:tcPr>
                      <w:p>
                        <w:pPr>
                          <w:pStyle w:val="TableParagraph"/>
                          <w:spacing w:before="107"/>
                          <w:ind w:right="537"/>
                          <w:jc w:val="right"/>
                          <w:rPr>
                            <w:sz w:val="14"/>
                          </w:rPr>
                        </w:pPr>
                        <w:r>
                          <w:rPr>
                            <w:sz w:val="14"/>
                          </w:rPr>
                          <w:t>0.00</w:t>
                        </w:r>
                      </w:p>
                    </w:tc>
                    <w:tc>
                      <w:tcPr>
                        <w:tcW w:w="1606" w:type="dxa"/>
                      </w:tcPr>
                      <w:p>
                        <w:pPr>
                          <w:pStyle w:val="TableParagraph"/>
                          <w:spacing w:before="107"/>
                          <w:ind w:right="631"/>
                          <w:jc w:val="right"/>
                          <w:rPr>
                            <w:sz w:val="14"/>
                          </w:rPr>
                        </w:pPr>
                        <w:r>
                          <w:rPr>
                            <w:sz w:val="14"/>
                          </w:rPr>
                          <w:t>0.00</w:t>
                        </w:r>
                      </w:p>
                    </w:tc>
                    <w:tc>
                      <w:tcPr>
                        <w:tcW w:w="1008" w:type="dxa"/>
                      </w:tcPr>
                      <w:p>
                        <w:pPr>
                          <w:pStyle w:val="TableParagraph"/>
                          <w:spacing w:before="107"/>
                          <w:ind w:right="50"/>
                          <w:jc w:val="right"/>
                          <w:rPr>
                            <w:sz w:val="14"/>
                          </w:rPr>
                        </w:pPr>
                        <w:r>
                          <w:rPr>
                            <w:sz w:val="14"/>
                          </w:rPr>
                          <w:t>0.0%</w:t>
                        </w:r>
                      </w:p>
                    </w:tc>
                  </w:tr>
                  <w:tr>
                    <w:trPr>
                      <w:trHeight w:val="376" w:hRule="atLeast"/>
                    </w:trPr>
                    <w:tc>
                      <w:tcPr>
                        <w:tcW w:w="4135" w:type="dxa"/>
                      </w:tcPr>
                      <w:p>
                        <w:pPr>
                          <w:pStyle w:val="TableParagraph"/>
                          <w:spacing w:before="107"/>
                          <w:ind w:left="50"/>
                          <w:rPr>
                            <w:sz w:val="14"/>
                          </w:rPr>
                        </w:pPr>
                        <w:r>
                          <w:rPr>
                            <w:w w:val="105"/>
                            <w:sz w:val="14"/>
                          </w:rPr>
                          <w:t>5) Services and Other Operating Expenditures</w:t>
                        </w:r>
                      </w:p>
                    </w:tc>
                    <w:tc>
                      <w:tcPr>
                        <w:tcW w:w="2340" w:type="dxa"/>
                      </w:tcPr>
                      <w:p>
                        <w:pPr>
                          <w:pStyle w:val="TableParagraph"/>
                          <w:spacing w:before="107"/>
                          <w:ind w:right="580"/>
                          <w:jc w:val="right"/>
                          <w:rPr>
                            <w:sz w:val="14"/>
                          </w:rPr>
                        </w:pPr>
                        <w:r>
                          <w:rPr>
                            <w:sz w:val="14"/>
                          </w:rPr>
                          <w:t>5000-5999</w:t>
                        </w:r>
                      </w:p>
                    </w:tc>
                    <w:tc>
                      <w:tcPr>
                        <w:tcW w:w="1538" w:type="dxa"/>
                      </w:tcPr>
                      <w:p>
                        <w:pPr>
                          <w:pStyle w:val="TableParagraph"/>
                          <w:spacing w:before="107"/>
                          <w:ind w:right="537"/>
                          <w:jc w:val="right"/>
                          <w:rPr>
                            <w:sz w:val="14"/>
                          </w:rPr>
                        </w:pPr>
                        <w:r>
                          <w:rPr>
                            <w:sz w:val="14"/>
                          </w:rPr>
                          <w:t>0.00</w:t>
                        </w:r>
                      </w:p>
                    </w:tc>
                    <w:tc>
                      <w:tcPr>
                        <w:tcW w:w="1606" w:type="dxa"/>
                      </w:tcPr>
                      <w:p>
                        <w:pPr>
                          <w:pStyle w:val="TableParagraph"/>
                          <w:spacing w:before="107"/>
                          <w:ind w:right="631"/>
                          <w:jc w:val="right"/>
                          <w:rPr>
                            <w:sz w:val="14"/>
                          </w:rPr>
                        </w:pPr>
                        <w:r>
                          <w:rPr>
                            <w:sz w:val="14"/>
                          </w:rPr>
                          <w:t>0.00</w:t>
                        </w:r>
                      </w:p>
                    </w:tc>
                    <w:tc>
                      <w:tcPr>
                        <w:tcW w:w="1008" w:type="dxa"/>
                      </w:tcPr>
                      <w:p>
                        <w:pPr>
                          <w:pStyle w:val="TableParagraph"/>
                          <w:spacing w:before="107"/>
                          <w:ind w:right="50"/>
                          <w:jc w:val="right"/>
                          <w:rPr>
                            <w:sz w:val="14"/>
                          </w:rPr>
                        </w:pPr>
                        <w:r>
                          <w:rPr>
                            <w:sz w:val="14"/>
                          </w:rPr>
                          <w:t>0.0%</w:t>
                        </w:r>
                      </w:p>
                    </w:tc>
                  </w:tr>
                  <w:tr>
                    <w:trPr>
                      <w:trHeight w:val="376" w:hRule="atLeast"/>
                    </w:trPr>
                    <w:tc>
                      <w:tcPr>
                        <w:tcW w:w="4135" w:type="dxa"/>
                      </w:tcPr>
                      <w:p>
                        <w:pPr>
                          <w:pStyle w:val="TableParagraph"/>
                          <w:spacing w:before="107"/>
                          <w:ind w:left="50"/>
                          <w:rPr>
                            <w:sz w:val="14"/>
                          </w:rPr>
                        </w:pPr>
                        <w:r>
                          <w:rPr>
                            <w:w w:val="105"/>
                            <w:sz w:val="14"/>
                          </w:rPr>
                          <w:t>6) Capital Outlay</w:t>
                        </w:r>
                      </w:p>
                    </w:tc>
                    <w:tc>
                      <w:tcPr>
                        <w:tcW w:w="2340" w:type="dxa"/>
                      </w:tcPr>
                      <w:p>
                        <w:pPr>
                          <w:pStyle w:val="TableParagraph"/>
                          <w:spacing w:before="107"/>
                          <w:ind w:right="580"/>
                          <w:jc w:val="right"/>
                          <w:rPr>
                            <w:sz w:val="14"/>
                          </w:rPr>
                        </w:pPr>
                        <w:r>
                          <w:rPr>
                            <w:sz w:val="14"/>
                          </w:rPr>
                          <w:t>6000-6999</w:t>
                        </w:r>
                      </w:p>
                    </w:tc>
                    <w:tc>
                      <w:tcPr>
                        <w:tcW w:w="1538" w:type="dxa"/>
                      </w:tcPr>
                      <w:p>
                        <w:pPr>
                          <w:pStyle w:val="TableParagraph"/>
                          <w:spacing w:before="107"/>
                          <w:ind w:right="537"/>
                          <w:jc w:val="right"/>
                          <w:rPr>
                            <w:sz w:val="14"/>
                          </w:rPr>
                        </w:pPr>
                        <w:r>
                          <w:rPr>
                            <w:sz w:val="14"/>
                          </w:rPr>
                          <w:t>0.00</w:t>
                        </w:r>
                      </w:p>
                    </w:tc>
                    <w:tc>
                      <w:tcPr>
                        <w:tcW w:w="1606" w:type="dxa"/>
                      </w:tcPr>
                      <w:p>
                        <w:pPr>
                          <w:pStyle w:val="TableParagraph"/>
                          <w:spacing w:before="107"/>
                          <w:ind w:right="631"/>
                          <w:jc w:val="right"/>
                          <w:rPr>
                            <w:sz w:val="14"/>
                          </w:rPr>
                        </w:pPr>
                        <w:r>
                          <w:rPr>
                            <w:sz w:val="14"/>
                          </w:rPr>
                          <w:t>0.00</w:t>
                        </w:r>
                      </w:p>
                    </w:tc>
                    <w:tc>
                      <w:tcPr>
                        <w:tcW w:w="1008" w:type="dxa"/>
                      </w:tcPr>
                      <w:p>
                        <w:pPr>
                          <w:pStyle w:val="TableParagraph"/>
                          <w:spacing w:before="107"/>
                          <w:ind w:right="50"/>
                          <w:jc w:val="right"/>
                          <w:rPr>
                            <w:sz w:val="14"/>
                          </w:rPr>
                        </w:pPr>
                        <w:r>
                          <w:rPr>
                            <w:sz w:val="14"/>
                          </w:rPr>
                          <w:t>0.0%</w:t>
                        </w:r>
                      </w:p>
                    </w:tc>
                  </w:tr>
                  <w:tr>
                    <w:trPr>
                      <w:trHeight w:val="286" w:hRule="atLeast"/>
                    </w:trPr>
                    <w:tc>
                      <w:tcPr>
                        <w:tcW w:w="4135" w:type="dxa"/>
                      </w:tcPr>
                      <w:p>
                        <w:pPr>
                          <w:pStyle w:val="TableParagraph"/>
                          <w:spacing w:line="160" w:lineRule="exact" w:before="107"/>
                          <w:ind w:left="50"/>
                          <w:rPr>
                            <w:sz w:val="14"/>
                          </w:rPr>
                        </w:pPr>
                        <w:r>
                          <w:rPr>
                            <w:w w:val="105"/>
                            <w:sz w:val="14"/>
                          </w:rPr>
                          <w:t>7) Other Outgo (excluding Transfers of Indirect</w:t>
                        </w:r>
                      </w:p>
                    </w:tc>
                    <w:tc>
                      <w:tcPr>
                        <w:tcW w:w="2340" w:type="dxa"/>
                      </w:tcPr>
                      <w:p>
                        <w:pPr>
                          <w:pStyle w:val="TableParagraph"/>
                          <w:spacing w:line="160" w:lineRule="exact" w:before="107"/>
                          <w:ind w:right="561"/>
                          <w:jc w:val="right"/>
                          <w:rPr>
                            <w:sz w:val="14"/>
                          </w:rPr>
                        </w:pPr>
                        <w:r>
                          <w:rPr>
                            <w:sz w:val="14"/>
                          </w:rPr>
                          <w:t>7100-7299,</w:t>
                        </w:r>
                      </w:p>
                    </w:tc>
                    <w:tc>
                      <w:tcPr>
                        <w:tcW w:w="1538" w:type="dxa"/>
                      </w:tcPr>
                      <w:p>
                        <w:pPr>
                          <w:pStyle w:val="TableParagraph"/>
                          <w:rPr>
                            <w:rFonts w:ascii="Times New Roman"/>
                            <w:sz w:val="14"/>
                          </w:rPr>
                        </w:pPr>
                      </w:p>
                    </w:tc>
                    <w:tc>
                      <w:tcPr>
                        <w:tcW w:w="1606" w:type="dxa"/>
                      </w:tcPr>
                      <w:p>
                        <w:pPr>
                          <w:pStyle w:val="TableParagraph"/>
                          <w:rPr>
                            <w:rFonts w:ascii="Times New Roman"/>
                            <w:sz w:val="14"/>
                          </w:rPr>
                        </w:pPr>
                      </w:p>
                    </w:tc>
                    <w:tc>
                      <w:tcPr>
                        <w:tcW w:w="1008" w:type="dxa"/>
                      </w:tcPr>
                      <w:p>
                        <w:pPr>
                          <w:pStyle w:val="TableParagraph"/>
                          <w:rPr>
                            <w:rFonts w:ascii="Times New Roman"/>
                            <w:sz w:val="14"/>
                          </w:rPr>
                        </w:pPr>
                      </w:p>
                    </w:tc>
                  </w:tr>
                  <w:tr>
                    <w:trPr>
                      <w:trHeight w:val="286" w:hRule="atLeast"/>
                    </w:trPr>
                    <w:tc>
                      <w:tcPr>
                        <w:tcW w:w="4135" w:type="dxa"/>
                      </w:tcPr>
                      <w:p>
                        <w:pPr>
                          <w:pStyle w:val="TableParagraph"/>
                          <w:spacing w:before="17"/>
                          <w:ind w:left="253"/>
                          <w:rPr>
                            <w:sz w:val="14"/>
                          </w:rPr>
                        </w:pPr>
                        <w:r>
                          <w:rPr>
                            <w:w w:val="105"/>
                            <w:sz w:val="14"/>
                          </w:rPr>
                          <w:t>Costs)</w:t>
                        </w:r>
                      </w:p>
                    </w:tc>
                    <w:tc>
                      <w:tcPr>
                        <w:tcW w:w="2340" w:type="dxa"/>
                      </w:tcPr>
                      <w:p>
                        <w:pPr>
                          <w:pStyle w:val="TableParagraph"/>
                          <w:spacing w:before="17"/>
                          <w:ind w:right="580"/>
                          <w:jc w:val="right"/>
                          <w:rPr>
                            <w:sz w:val="14"/>
                          </w:rPr>
                        </w:pPr>
                        <w:r>
                          <w:rPr>
                            <w:sz w:val="14"/>
                          </w:rPr>
                          <w:t>7400-7499</w:t>
                        </w:r>
                      </w:p>
                    </w:tc>
                    <w:tc>
                      <w:tcPr>
                        <w:tcW w:w="1538" w:type="dxa"/>
                      </w:tcPr>
                      <w:p>
                        <w:pPr>
                          <w:pStyle w:val="TableParagraph"/>
                          <w:spacing w:before="17"/>
                          <w:ind w:right="537"/>
                          <w:jc w:val="right"/>
                          <w:rPr>
                            <w:sz w:val="14"/>
                          </w:rPr>
                        </w:pPr>
                        <w:r>
                          <w:rPr>
                            <w:sz w:val="14"/>
                          </w:rPr>
                          <w:t>0.00</w:t>
                        </w:r>
                      </w:p>
                    </w:tc>
                    <w:tc>
                      <w:tcPr>
                        <w:tcW w:w="1606" w:type="dxa"/>
                      </w:tcPr>
                      <w:p>
                        <w:pPr>
                          <w:pStyle w:val="TableParagraph"/>
                          <w:spacing w:before="17"/>
                          <w:ind w:right="631"/>
                          <w:jc w:val="right"/>
                          <w:rPr>
                            <w:sz w:val="14"/>
                          </w:rPr>
                        </w:pPr>
                        <w:r>
                          <w:rPr>
                            <w:sz w:val="14"/>
                          </w:rPr>
                          <w:t>0.00</w:t>
                        </w:r>
                      </w:p>
                    </w:tc>
                    <w:tc>
                      <w:tcPr>
                        <w:tcW w:w="1008" w:type="dxa"/>
                      </w:tcPr>
                      <w:p>
                        <w:pPr>
                          <w:pStyle w:val="TableParagraph"/>
                          <w:spacing w:before="17"/>
                          <w:ind w:right="50"/>
                          <w:jc w:val="right"/>
                          <w:rPr>
                            <w:sz w:val="14"/>
                          </w:rPr>
                        </w:pPr>
                        <w:r>
                          <w:rPr>
                            <w:sz w:val="14"/>
                          </w:rPr>
                          <w:t>0.0%</w:t>
                        </w:r>
                      </w:p>
                    </w:tc>
                  </w:tr>
                  <w:tr>
                    <w:trPr>
                      <w:trHeight w:val="376" w:hRule="atLeast"/>
                    </w:trPr>
                    <w:tc>
                      <w:tcPr>
                        <w:tcW w:w="4135" w:type="dxa"/>
                      </w:tcPr>
                      <w:p>
                        <w:pPr>
                          <w:pStyle w:val="TableParagraph"/>
                          <w:spacing w:before="107"/>
                          <w:ind w:left="50"/>
                          <w:rPr>
                            <w:sz w:val="14"/>
                          </w:rPr>
                        </w:pPr>
                        <w:r>
                          <w:rPr>
                            <w:w w:val="105"/>
                            <w:sz w:val="14"/>
                          </w:rPr>
                          <w:t>8) Other Outgo - Transfers of Indirect Costs</w:t>
                        </w:r>
                      </w:p>
                    </w:tc>
                    <w:tc>
                      <w:tcPr>
                        <w:tcW w:w="2340" w:type="dxa"/>
                      </w:tcPr>
                      <w:p>
                        <w:pPr>
                          <w:pStyle w:val="TableParagraph"/>
                          <w:spacing w:before="107"/>
                          <w:ind w:right="580"/>
                          <w:jc w:val="right"/>
                          <w:rPr>
                            <w:sz w:val="14"/>
                          </w:rPr>
                        </w:pPr>
                        <w:r>
                          <w:rPr>
                            <w:sz w:val="14"/>
                          </w:rPr>
                          <w:t>7300-7399</w:t>
                        </w:r>
                      </w:p>
                    </w:tc>
                    <w:tc>
                      <w:tcPr>
                        <w:tcW w:w="1538" w:type="dxa"/>
                      </w:tcPr>
                      <w:p>
                        <w:pPr>
                          <w:pStyle w:val="TableParagraph"/>
                          <w:spacing w:before="107"/>
                          <w:ind w:right="537"/>
                          <w:jc w:val="right"/>
                          <w:rPr>
                            <w:sz w:val="14"/>
                          </w:rPr>
                        </w:pPr>
                        <w:r>
                          <w:rPr>
                            <w:sz w:val="14"/>
                          </w:rPr>
                          <w:t>0.00</w:t>
                        </w:r>
                      </w:p>
                    </w:tc>
                    <w:tc>
                      <w:tcPr>
                        <w:tcW w:w="1606" w:type="dxa"/>
                      </w:tcPr>
                      <w:p>
                        <w:pPr>
                          <w:pStyle w:val="TableParagraph"/>
                          <w:spacing w:before="107"/>
                          <w:ind w:right="631"/>
                          <w:jc w:val="right"/>
                          <w:rPr>
                            <w:sz w:val="14"/>
                          </w:rPr>
                        </w:pPr>
                        <w:r>
                          <w:rPr>
                            <w:sz w:val="14"/>
                          </w:rPr>
                          <w:t>0.00</w:t>
                        </w:r>
                      </w:p>
                    </w:tc>
                    <w:tc>
                      <w:tcPr>
                        <w:tcW w:w="1008" w:type="dxa"/>
                      </w:tcPr>
                      <w:p>
                        <w:pPr>
                          <w:pStyle w:val="TableParagraph"/>
                          <w:spacing w:before="107"/>
                          <w:ind w:right="50"/>
                          <w:jc w:val="right"/>
                          <w:rPr>
                            <w:sz w:val="14"/>
                          </w:rPr>
                        </w:pPr>
                        <w:r>
                          <w:rPr>
                            <w:sz w:val="14"/>
                          </w:rPr>
                          <w:t>0.0%</w:t>
                        </w:r>
                      </w:p>
                    </w:tc>
                  </w:tr>
                  <w:tr>
                    <w:trPr>
                      <w:trHeight w:val="268" w:hRule="atLeast"/>
                    </w:trPr>
                    <w:tc>
                      <w:tcPr>
                        <w:tcW w:w="4135" w:type="dxa"/>
                      </w:tcPr>
                      <w:p>
                        <w:pPr>
                          <w:pStyle w:val="TableParagraph"/>
                          <w:spacing w:line="142" w:lineRule="exact" w:before="107"/>
                          <w:ind w:left="50"/>
                          <w:rPr>
                            <w:sz w:val="14"/>
                          </w:rPr>
                        </w:pPr>
                        <w:r>
                          <w:rPr>
                            <w:w w:val="105"/>
                            <w:sz w:val="14"/>
                          </w:rPr>
                          <w:t>9) TOTAL, EXPENDITURES</w:t>
                        </w:r>
                      </w:p>
                    </w:tc>
                    <w:tc>
                      <w:tcPr>
                        <w:tcW w:w="2340" w:type="dxa"/>
                      </w:tcPr>
                      <w:p>
                        <w:pPr>
                          <w:pStyle w:val="TableParagraph"/>
                          <w:rPr>
                            <w:rFonts w:ascii="Times New Roman"/>
                            <w:sz w:val="14"/>
                          </w:rPr>
                        </w:pPr>
                      </w:p>
                    </w:tc>
                    <w:tc>
                      <w:tcPr>
                        <w:tcW w:w="1538" w:type="dxa"/>
                      </w:tcPr>
                      <w:p>
                        <w:pPr>
                          <w:pStyle w:val="TableParagraph"/>
                          <w:spacing w:line="142" w:lineRule="exact" w:before="107"/>
                          <w:ind w:right="537"/>
                          <w:jc w:val="right"/>
                          <w:rPr>
                            <w:sz w:val="14"/>
                          </w:rPr>
                        </w:pPr>
                        <w:r>
                          <w:rPr>
                            <w:sz w:val="14"/>
                          </w:rPr>
                          <w:t>0.00</w:t>
                        </w:r>
                      </w:p>
                    </w:tc>
                    <w:tc>
                      <w:tcPr>
                        <w:tcW w:w="1606" w:type="dxa"/>
                      </w:tcPr>
                      <w:p>
                        <w:pPr>
                          <w:pStyle w:val="TableParagraph"/>
                          <w:spacing w:line="142" w:lineRule="exact" w:before="107"/>
                          <w:ind w:right="631"/>
                          <w:jc w:val="right"/>
                          <w:rPr>
                            <w:sz w:val="14"/>
                          </w:rPr>
                        </w:pPr>
                        <w:r>
                          <w:rPr>
                            <w:sz w:val="14"/>
                          </w:rPr>
                          <w:t>0.00</w:t>
                        </w:r>
                      </w:p>
                    </w:tc>
                    <w:tc>
                      <w:tcPr>
                        <w:tcW w:w="1008" w:type="dxa"/>
                      </w:tcPr>
                      <w:p>
                        <w:pPr>
                          <w:pStyle w:val="TableParagraph"/>
                          <w:spacing w:line="142" w:lineRule="exact" w:before="107"/>
                          <w:ind w:right="50"/>
                          <w:jc w:val="right"/>
                          <w:rPr>
                            <w:sz w:val="14"/>
                          </w:rPr>
                        </w:pPr>
                        <w:r>
                          <w:rPr>
                            <w:sz w:val="14"/>
                          </w:rPr>
                          <w:t>0.0%</w:t>
                        </w:r>
                      </w:p>
                    </w:tc>
                  </w:tr>
                  <w:tr>
                    <w:trPr>
                      <w:trHeight w:val="770" w:hRule="atLeast"/>
                    </w:trPr>
                    <w:tc>
                      <w:tcPr>
                        <w:tcW w:w="4135" w:type="dxa"/>
                      </w:tcPr>
                      <w:p>
                        <w:pPr>
                          <w:pStyle w:val="TableParagraph"/>
                          <w:spacing w:before="11"/>
                          <w:rPr>
                            <w:b/>
                            <w:sz w:val="15"/>
                          </w:rPr>
                        </w:pPr>
                      </w:p>
                      <w:p>
                        <w:pPr>
                          <w:pStyle w:val="TableParagraph"/>
                          <w:spacing w:line="190" w:lineRule="atLeast"/>
                          <w:ind w:left="89" w:right="947" w:hanging="100"/>
                          <w:rPr>
                            <w:b/>
                            <w:sz w:val="14"/>
                          </w:rPr>
                        </w:pPr>
                        <w:r>
                          <w:rPr>
                            <w:b/>
                            <w:w w:val="105"/>
                            <w:sz w:val="14"/>
                          </w:rPr>
                          <w:t>. EXCESS (DEFICIENCY) OF REVENUES OVER EXPENDITURES BEFORE OTHER FINANCING SOURCES AND USES (A5 - B9)</w:t>
                        </w:r>
                      </w:p>
                    </w:tc>
                    <w:tc>
                      <w:tcPr>
                        <w:tcW w:w="3878" w:type="dxa"/>
                        <w:gridSpan w:val="2"/>
                      </w:tcPr>
                      <w:p>
                        <w:pPr>
                          <w:pStyle w:val="TableParagraph"/>
                          <w:rPr>
                            <w:b/>
                            <w:sz w:val="16"/>
                          </w:rPr>
                        </w:pPr>
                      </w:p>
                      <w:p>
                        <w:pPr>
                          <w:pStyle w:val="TableParagraph"/>
                          <w:rPr>
                            <w:b/>
                            <w:sz w:val="16"/>
                          </w:rPr>
                        </w:pPr>
                      </w:p>
                      <w:p>
                        <w:pPr>
                          <w:pStyle w:val="TableParagraph"/>
                          <w:spacing w:before="10"/>
                          <w:rPr>
                            <w:b/>
                            <w:sz w:val="20"/>
                          </w:rPr>
                        </w:pPr>
                      </w:p>
                      <w:p>
                        <w:pPr>
                          <w:pStyle w:val="TableParagraph"/>
                          <w:spacing w:line="142" w:lineRule="exact"/>
                          <w:ind w:right="536"/>
                          <w:jc w:val="right"/>
                          <w:rPr>
                            <w:sz w:val="14"/>
                          </w:rPr>
                        </w:pPr>
                        <w:r>
                          <w:rPr>
                            <w:sz w:val="14"/>
                          </w:rPr>
                          <w:t>175.00</w:t>
                        </w:r>
                      </w:p>
                    </w:tc>
                    <w:tc>
                      <w:tcPr>
                        <w:tcW w:w="1606" w:type="dxa"/>
                      </w:tcPr>
                      <w:p>
                        <w:pPr>
                          <w:pStyle w:val="TableParagraph"/>
                          <w:rPr>
                            <w:b/>
                            <w:sz w:val="16"/>
                          </w:rPr>
                        </w:pPr>
                      </w:p>
                      <w:p>
                        <w:pPr>
                          <w:pStyle w:val="TableParagraph"/>
                          <w:rPr>
                            <w:b/>
                            <w:sz w:val="16"/>
                          </w:rPr>
                        </w:pPr>
                      </w:p>
                      <w:p>
                        <w:pPr>
                          <w:pStyle w:val="TableParagraph"/>
                          <w:spacing w:before="10"/>
                          <w:rPr>
                            <w:b/>
                            <w:sz w:val="20"/>
                          </w:rPr>
                        </w:pPr>
                      </w:p>
                      <w:p>
                        <w:pPr>
                          <w:pStyle w:val="TableParagraph"/>
                          <w:spacing w:line="142" w:lineRule="exact"/>
                          <w:ind w:right="630"/>
                          <w:jc w:val="right"/>
                          <w:rPr>
                            <w:sz w:val="14"/>
                          </w:rPr>
                        </w:pPr>
                        <w:r>
                          <w:rPr>
                            <w:sz w:val="14"/>
                          </w:rPr>
                          <w:t>175.00</w:t>
                        </w:r>
                      </w:p>
                    </w:tc>
                    <w:tc>
                      <w:tcPr>
                        <w:tcW w:w="1008" w:type="dxa"/>
                      </w:tcPr>
                      <w:p>
                        <w:pPr>
                          <w:pStyle w:val="TableParagraph"/>
                          <w:rPr>
                            <w:b/>
                            <w:sz w:val="16"/>
                          </w:rPr>
                        </w:pPr>
                      </w:p>
                      <w:p>
                        <w:pPr>
                          <w:pStyle w:val="TableParagraph"/>
                          <w:rPr>
                            <w:b/>
                            <w:sz w:val="16"/>
                          </w:rPr>
                        </w:pPr>
                      </w:p>
                      <w:p>
                        <w:pPr>
                          <w:pStyle w:val="TableParagraph"/>
                          <w:spacing w:before="10"/>
                          <w:rPr>
                            <w:b/>
                            <w:sz w:val="20"/>
                          </w:rPr>
                        </w:pPr>
                      </w:p>
                      <w:p>
                        <w:pPr>
                          <w:pStyle w:val="TableParagraph"/>
                          <w:spacing w:line="142" w:lineRule="exact"/>
                          <w:ind w:right="50"/>
                          <w:jc w:val="right"/>
                          <w:rPr>
                            <w:sz w:val="14"/>
                          </w:rPr>
                        </w:pPr>
                        <w:r>
                          <w:rPr>
                            <w:sz w:val="14"/>
                          </w:rPr>
                          <w:t>0.0%</w:t>
                        </w:r>
                      </w:p>
                    </w:tc>
                  </w:tr>
                </w:tbl>
                <w:p>
                  <w:pPr>
                    <w:pStyle w:val="BodyText"/>
                  </w:pPr>
                </w:p>
              </w:txbxContent>
            </v:textbox>
            <w10:wrap type="none"/>
          </v:shape>
        </w:pict>
      </w:r>
      <w:r>
        <w:rPr>
          <w:b/>
          <w:w w:val="102"/>
          <w:sz w:val="14"/>
        </w:rPr>
        <w:t>C</w:t>
      </w:r>
    </w:p>
    <w:p>
      <w:pPr>
        <w:pStyle w:val="BodyText"/>
        <w:rPr>
          <w:b/>
          <w:sz w:val="16"/>
        </w:rPr>
      </w:pPr>
    </w:p>
    <w:p>
      <w:pPr>
        <w:pStyle w:val="BodyText"/>
        <w:rPr>
          <w:b/>
          <w:sz w:val="16"/>
        </w:rPr>
      </w:pPr>
    </w:p>
    <w:p>
      <w:pPr>
        <w:pStyle w:val="BodyText"/>
        <w:rPr>
          <w:b/>
          <w:sz w:val="21"/>
        </w:rPr>
      </w:pPr>
    </w:p>
    <w:p>
      <w:pPr>
        <w:spacing w:before="0"/>
        <w:ind w:left="370" w:right="0" w:firstLine="0"/>
        <w:jc w:val="left"/>
        <w:rPr>
          <w:b/>
          <w:sz w:val="14"/>
        </w:rPr>
      </w:pPr>
      <w:r>
        <w:rPr/>
        <w:pict>
          <v:group style="position:absolute;margin-left:206.639984pt;margin-top:27.805944pt;width:356.05pt;height:114.6pt;mso-position-horizontal-relative:page;mso-position-vertical-relative:paragraph;z-index:-314327040" coordorigin="4133,556" coordsize="7121,2292">
            <v:shape style="position:absolute;left:6674;top:556;width:4580;height:581" type="#_x0000_t75" stroked="false">
              <v:imagedata r:id="rId429" o:title=""/>
            </v:shape>
            <v:shape style="position:absolute;left:6674;top:752;width:4580;height:958" type="#_x0000_t75" stroked="false">
              <v:imagedata r:id="rId430" o:title=""/>
            </v:shape>
            <v:shape style="position:absolute;left:6674;top:1506;width:4580;height:581" type="#_x0000_t75" stroked="false">
              <v:imagedata r:id="rId429" o:title=""/>
            </v:shape>
            <v:shape style="position:absolute;left:8186;top:1703;width:3068;height:384" type="#_x0000_t75" stroked="false">
              <v:imagedata r:id="rId583" o:title=""/>
            </v:shape>
            <v:shape style="position:absolute;left:6674;top:2080;width:1520;height:384" type="#_x0000_t75" stroked="false">
              <v:imagedata r:id="rId584" o:title=""/>
            </v:shape>
            <v:shape style="position:absolute;left:8186;top:2080;width:1520;height:384" type="#_x0000_t75" stroked="false">
              <v:imagedata r:id="rId584" o:title=""/>
            </v:shape>
            <v:rect style="position:absolute;left:9703;top:2084;width:1541;height:377" filled="true" fillcolor="#dfdfdf" stroked="false">
              <v:fill type="solid"/>
            </v:rect>
            <v:shape style="position:absolute;left:4132;top:2080;width:7121;height:768" type="#_x0000_t75" stroked="false">
              <v:imagedata r:id="rId585" o:title=""/>
            </v:shape>
            <v:shape style="position:absolute;left:9698;top:2456;width:1556;height:392" type="#_x0000_t75" stroked="false">
              <v:imagedata r:id="rId586" o:title=""/>
            </v:shape>
            <w10:wrap type="none"/>
          </v:group>
        </w:pict>
      </w:r>
      <w:r>
        <w:rPr>
          <w:b/>
          <w:w w:val="105"/>
          <w:sz w:val="14"/>
        </w:rPr>
        <w:t>D. OTHER FINANCING SOURCES/USES</w:t>
      </w:r>
    </w:p>
    <w:p>
      <w:pPr>
        <w:pStyle w:val="BodyText"/>
        <w:spacing w:before="6"/>
        <w:rPr>
          <w:b/>
          <w:sz w:val="20"/>
        </w:rPr>
      </w:pPr>
    </w:p>
    <w:tbl>
      <w:tblPr>
        <w:tblW w:w="0" w:type="auto"/>
        <w:jc w:val="left"/>
        <w:tblInd w:w="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47"/>
        <w:gridCol w:w="2296"/>
        <w:gridCol w:w="1546"/>
        <w:gridCol w:w="1526"/>
        <w:gridCol w:w="1007"/>
      </w:tblGrid>
      <w:tr>
        <w:trPr>
          <w:trHeight w:val="465" w:hRule="atLeast"/>
        </w:trPr>
        <w:tc>
          <w:tcPr>
            <w:tcW w:w="4247" w:type="dxa"/>
          </w:tcPr>
          <w:p>
            <w:pPr>
              <w:pStyle w:val="TableParagraph"/>
              <w:numPr>
                <w:ilvl w:val="0"/>
                <w:numId w:val="31"/>
              </w:numPr>
              <w:tabs>
                <w:tab w:pos="217" w:val="left" w:leader="none"/>
              </w:tabs>
              <w:spacing w:line="160" w:lineRule="exact" w:before="0" w:after="0"/>
              <w:ind w:left="216" w:right="0" w:hanging="167"/>
              <w:jc w:val="left"/>
              <w:rPr>
                <w:sz w:val="14"/>
              </w:rPr>
            </w:pPr>
            <w:r>
              <w:rPr>
                <w:w w:val="105"/>
                <w:sz w:val="14"/>
              </w:rPr>
              <w:t>Interfund</w:t>
            </w:r>
            <w:r>
              <w:rPr>
                <w:spacing w:val="-3"/>
                <w:w w:val="105"/>
                <w:sz w:val="14"/>
              </w:rPr>
              <w:t> </w:t>
            </w:r>
            <w:r>
              <w:rPr>
                <w:w w:val="105"/>
                <w:sz w:val="14"/>
              </w:rPr>
              <w:t>Transfers</w:t>
            </w:r>
          </w:p>
          <w:p>
            <w:pPr>
              <w:pStyle w:val="TableParagraph"/>
              <w:numPr>
                <w:ilvl w:val="1"/>
                <w:numId w:val="31"/>
              </w:numPr>
              <w:tabs>
                <w:tab w:pos="381" w:val="left" w:leader="none"/>
              </w:tabs>
              <w:spacing w:line="240" w:lineRule="auto" w:before="36" w:after="0"/>
              <w:ind w:left="380" w:right="0" w:hanging="168"/>
              <w:jc w:val="left"/>
              <w:rPr>
                <w:sz w:val="14"/>
              </w:rPr>
            </w:pPr>
            <w:r>
              <w:rPr>
                <w:w w:val="105"/>
                <w:sz w:val="14"/>
              </w:rPr>
              <w:t>Transfers</w:t>
            </w:r>
            <w:r>
              <w:rPr>
                <w:spacing w:val="-2"/>
                <w:w w:val="105"/>
                <w:sz w:val="14"/>
              </w:rPr>
              <w:t> </w:t>
            </w:r>
            <w:r>
              <w:rPr>
                <w:w w:val="105"/>
                <w:sz w:val="14"/>
              </w:rPr>
              <w:t>In</w:t>
            </w:r>
          </w:p>
        </w:tc>
        <w:tc>
          <w:tcPr>
            <w:tcW w:w="2296" w:type="dxa"/>
          </w:tcPr>
          <w:p>
            <w:pPr>
              <w:pStyle w:val="TableParagraph"/>
              <w:rPr>
                <w:b/>
                <w:sz w:val="17"/>
              </w:rPr>
            </w:pPr>
          </w:p>
          <w:p>
            <w:pPr>
              <w:pStyle w:val="TableParagraph"/>
              <w:ind w:right="648"/>
              <w:jc w:val="right"/>
              <w:rPr>
                <w:sz w:val="14"/>
              </w:rPr>
            </w:pPr>
            <w:r>
              <w:rPr>
                <w:sz w:val="14"/>
              </w:rPr>
              <w:t>8900-8929</w:t>
            </w:r>
          </w:p>
        </w:tc>
        <w:tc>
          <w:tcPr>
            <w:tcW w:w="1546" w:type="dxa"/>
          </w:tcPr>
          <w:p>
            <w:pPr>
              <w:pStyle w:val="TableParagraph"/>
              <w:rPr>
                <w:b/>
                <w:sz w:val="17"/>
              </w:rPr>
            </w:pPr>
          </w:p>
          <w:p>
            <w:pPr>
              <w:pStyle w:val="TableParagraph"/>
              <w:ind w:left="627" w:right="591"/>
              <w:jc w:val="center"/>
              <w:rPr>
                <w:sz w:val="14"/>
              </w:rPr>
            </w:pPr>
            <w:r>
              <w:rPr>
                <w:w w:val="105"/>
                <w:sz w:val="14"/>
              </w:rPr>
              <w:t>0.00</w:t>
            </w:r>
          </w:p>
        </w:tc>
        <w:tc>
          <w:tcPr>
            <w:tcW w:w="1526" w:type="dxa"/>
          </w:tcPr>
          <w:p>
            <w:pPr>
              <w:pStyle w:val="TableParagraph"/>
              <w:rPr>
                <w:b/>
                <w:sz w:val="17"/>
              </w:rPr>
            </w:pPr>
          </w:p>
          <w:p>
            <w:pPr>
              <w:pStyle w:val="TableParagraph"/>
              <w:ind w:left="593" w:right="602"/>
              <w:jc w:val="center"/>
              <w:rPr>
                <w:sz w:val="14"/>
              </w:rPr>
            </w:pPr>
            <w:r>
              <w:rPr>
                <w:w w:val="105"/>
                <w:sz w:val="14"/>
              </w:rPr>
              <w:t>0.00</w:t>
            </w:r>
          </w:p>
        </w:tc>
        <w:tc>
          <w:tcPr>
            <w:tcW w:w="1007" w:type="dxa"/>
          </w:tcPr>
          <w:p>
            <w:pPr>
              <w:pStyle w:val="TableParagraph"/>
              <w:rPr>
                <w:b/>
                <w:sz w:val="17"/>
              </w:rPr>
            </w:pPr>
          </w:p>
          <w:p>
            <w:pPr>
              <w:pStyle w:val="TableParagraph"/>
              <w:ind w:right="45"/>
              <w:jc w:val="right"/>
              <w:rPr>
                <w:sz w:val="14"/>
              </w:rPr>
            </w:pPr>
            <w:r>
              <w:rPr>
                <w:sz w:val="14"/>
              </w:rPr>
              <w:t>0.0%</w:t>
            </w:r>
          </w:p>
        </w:tc>
      </w:tr>
      <w:tr>
        <w:trPr>
          <w:trHeight w:val="376" w:hRule="atLeast"/>
        </w:trPr>
        <w:tc>
          <w:tcPr>
            <w:tcW w:w="4247" w:type="dxa"/>
          </w:tcPr>
          <w:p>
            <w:pPr>
              <w:pStyle w:val="TableParagraph"/>
              <w:spacing w:before="107"/>
              <w:ind w:left="213"/>
              <w:rPr>
                <w:sz w:val="14"/>
              </w:rPr>
            </w:pPr>
            <w:r>
              <w:rPr>
                <w:w w:val="105"/>
                <w:sz w:val="14"/>
              </w:rPr>
              <w:t>b) Transfers Out</w:t>
            </w:r>
          </w:p>
        </w:tc>
        <w:tc>
          <w:tcPr>
            <w:tcW w:w="2296" w:type="dxa"/>
          </w:tcPr>
          <w:p>
            <w:pPr>
              <w:pStyle w:val="TableParagraph"/>
              <w:spacing w:before="107"/>
              <w:ind w:right="648"/>
              <w:jc w:val="right"/>
              <w:rPr>
                <w:sz w:val="14"/>
              </w:rPr>
            </w:pPr>
            <w:r>
              <w:rPr>
                <w:sz w:val="14"/>
              </w:rPr>
              <w:t>7600-7629</w:t>
            </w:r>
          </w:p>
        </w:tc>
        <w:tc>
          <w:tcPr>
            <w:tcW w:w="1546" w:type="dxa"/>
          </w:tcPr>
          <w:p>
            <w:pPr>
              <w:pStyle w:val="TableParagraph"/>
              <w:spacing w:before="107"/>
              <w:ind w:left="627" w:right="591"/>
              <w:jc w:val="center"/>
              <w:rPr>
                <w:sz w:val="14"/>
              </w:rPr>
            </w:pPr>
            <w:r>
              <w:rPr>
                <w:w w:val="105"/>
                <w:sz w:val="14"/>
              </w:rPr>
              <w:t>0.00</w:t>
            </w:r>
          </w:p>
        </w:tc>
        <w:tc>
          <w:tcPr>
            <w:tcW w:w="1526" w:type="dxa"/>
          </w:tcPr>
          <w:p>
            <w:pPr>
              <w:pStyle w:val="TableParagraph"/>
              <w:spacing w:before="107"/>
              <w:ind w:left="593" w:right="602"/>
              <w:jc w:val="center"/>
              <w:rPr>
                <w:sz w:val="14"/>
              </w:rPr>
            </w:pPr>
            <w:r>
              <w:rPr>
                <w:w w:val="105"/>
                <w:sz w:val="14"/>
              </w:rPr>
              <w:t>0.00</w:t>
            </w:r>
          </w:p>
        </w:tc>
        <w:tc>
          <w:tcPr>
            <w:tcW w:w="1007" w:type="dxa"/>
          </w:tcPr>
          <w:p>
            <w:pPr>
              <w:pStyle w:val="TableParagraph"/>
              <w:spacing w:before="107"/>
              <w:ind w:right="45"/>
              <w:jc w:val="right"/>
              <w:rPr>
                <w:sz w:val="14"/>
              </w:rPr>
            </w:pPr>
            <w:r>
              <w:rPr>
                <w:sz w:val="14"/>
              </w:rPr>
              <w:t>0.0%</w:t>
            </w:r>
          </w:p>
        </w:tc>
      </w:tr>
      <w:tr>
        <w:trPr>
          <w:trHeight w:val="573" w:hRule="atLeast"/>
        </w:trPr>
        <w:tc>
          <w:tcPr>
            <w:tcW w:w="4247" w:type="dxa"/>
          </w:tcPr>
          <w:p>
            <w:pPr>
              <w:pStyle w:val="TableParagraph"/>
              <w:numPr>
                <w:ilvl w:val="0"/>
                <w:numId w:val="32"/>
              </w:numPr>
              <w:tabs>
                <w:tab w:pos="217" w:val="left" w:leader="none"/>
              </w:tabs>
              <w:spacing w:line="240" w:lineRule="auto" w:before="107" w:after="0"/>
              <w:ind w:left="216" w:right="0" w:hanging="167"/>
              <w:jc w:val="left"/>
              <w:rPr>
                <w:sz w:val="14"/>
              </w:rPr>
            </w:pPr>
            <w:r>
              <w:rPr>
                <w:w w:val="105"/>
                <w:sz w:val="14"/>
              </w:rPr>
              <w:t>Other</w:t>
            </w:r>
            <w:r>
              <w:rPr>
                <w:spacing w:val="-1"/>
                <w:w w:val="105"/>
                <w:sz w:val="14"/>
              </w:rPr>
              <w:t> </w:t>
            </w:r>
            <w:r>
              <w:rPr>
                <w:w w:val="105"/>
                <w:sz w:val="14"/>
              </w:rPr>
              <w:t>Sources/Uses</w:t>
            </w:r>
          </w:p>
          <w:p>
            <w:pPr>
              <w:pStyle w:val="TableParagraph"/>
              <w:numPr>
                <w:ilvl w:val="1"/>
                <w:numId w:val="32"/>
              </w:numPr>
              <w:tabs>
                <w:tab w:pos="381" w:val="left" w:leader="none"/>
              </w:tabs>
              <w:spacing w:line="240" w:lineRule="auto" w:before="35" w:after="0"/>
              <w:ind w:left="380" w:right="0" w:hanging="168"/>
              <w:jc w:val="left"/>
              <w:rPr>
                <w:sz w:val="14"/>
              </w:rPr>
            </w:pPr>
            <w:r>
              <w:rPr>
                <w:w w:val="105"/>
                <w:sz w:val="14"/>
              </w:rPr>
              <w:t>Sources</w:t>
            </w:r>
          </w:p>
        </w:tc>
        <w:tc>
          <w:tcPr>
            <w:tcW w:w="2296" w:type="dxa"/>
          </w:tcPr>
          <w:p>
            <w:pPr>
              <w:pStyle w:val="TableParagraph"/>
              <w:rPr>
                <w:b/>
                <w:sz w:val="16"/>
              </w:rPr>
            </w:pPr>
          </w:p>
          <w:p>
            <w:pPr>
              <w:pStyle w:val="TableParagraph"/>
              <w:spacing w:before="119"/>
              <w:ind w:right="648"/>
              <w:jc w:val="right"/>
              <w:rPr>
                <w:sz w:val="14"/>
              </w:rPr>
            </w:pPr>
            <w:r>
              <w:rPr>
                <w:sz w:val="14"/>
              </w:rPr>
              <w:t>8930-8979</w:t>
            </w:r>
          </w:p>
        </w:tc>
        <w:tc>
          <w:tcPr>
            <w:tcW w:w="1546" w:type="dxa"/>
          </w:tcPr>
          <w:p>
            <w:pPr>
              <w:pStyle w:val="TableParagraph"/>
              <w:rPr>
                <w:b/>
                <w:sz w:val="16"/>
              </w:rPr>
            </w:pPr>
          </w:p>
          <w:p>
            <w:pPr>
              <w:pStyle w:val="TableParagraph"/>
              <w:spacing w:before="119"/>
              <w:ind w:left="627" w:right="591"/>
              <w:jc w:val="center"/>
              <w:rPr>
                <w:sz w:val="14"/>
              </w:rPr>
            </w:pPr>
            <w:r>
              <w:rPr>
                <w:w w:val="105"/>
                <w:sz w:val="14"/>
              </w:rPr>
              <w:t>0.00</w:t>
            </w:r>
          </w:p>
        </w:tc>
        <w:tc>
          <w:tcPr>
            <w:tcW w:w="1526" w:type="dxa"/>
          </w:tcPr>
          <w:p>
            <w:pPr>
              <w:pStyle w:val="TableParagraph"/>
              <w:rPr>
                <w:b/>
                <w:sz w:val="16"/>
              </w:rPr>
            </w:pPr>
          </w:p>
          <w:p>
            <w:pPr>
              <w:pStyle w:val="TableParagraph"/>
              <w:spacing w:before="119"/>
              <w:ind w:left="593" w:right="602"/>
              <w:jc w:val="center"/>
              <w:rPr>
                <w:sz w:val="14"/>
              </w:rPr>
            </w:pPr>
            <w:r>
              <w:rPr>
                <w:w w:val="105"/>
                <w:sz w:val="14"/>
              </w:rPr>
              <w:t>0.00</w:t>
            </w:r>
          </w:p>
        </w:tc>
        <w:tc>
          <w:tcPr>
            <w:tcW w:w="1007" w:type="dxa"/>
          </w:tcPr>
          <w:p>
            <w:pPr>
              <w:pStyle w:val="TableParagraph"/>
              <w:rPr>
                <w:b/>
                <w:sz w:val="16"/>
              </w:rPr>
            </w:pPr>
          </w:p>
          <w:p>
            <w:pPr>
              <w:pStyle w:val="TableParagraph"/>
              <w:spacing w:before="119"/>
              <w:ind w:right="45"/>
              <w:jc w:val="right"/>
              <w:rPr>
                <w:sz w:val="14"/>
              </w:rPr>
            </w:pPr>
            <w:r>
              <w:rPr>
                <w:sz w:val="14"/>
              </w:rPr>
              <w:t>0.0%</w:t>
            </w:r>
          </w:p>
        </w:tc>
      </w:tr>
      <w:tr>
        <w:trPr>
          <w:trHeight w:val="376" w:hRule="atLeast"/>
        </w:trPr>
        <w:tc>
          <w:tcPr>
            <w:tcW w:w="4247" w:type="dxa"/>
          </w:tcPr>
          <w:p>
            <w:pPr>
              <w:pStyle w:val="TableParagraph"/>
              <w:spacing w:before="107"/>
              <w:ind w:left="213"/>
              <w:rPr>
                <w:sz w:val="14"/>
              </w:rPr>
            </w:pPr>
            <w:r>
              <w:rPr>
                <w:w w:val="105"/>
                <w:sz w:val="14"/>
              </w:rPr>
              <w:t>b) Uses</w:t>
            </w:r>
          </w:p>
        </w:tc>
        <w:tc>
          <w:tcPr>
            <w:tcW w:w="2296" w:type="dxa"/>
          </w:tcPr>
          <w:p>
            <w:pPr>
              <w:pStyle w:val="TableParagraph"/>
              <w:spacing w:before="107"/>
              <w:ind w:right="648"/>
              <w:jc w:val="right"/>
              <w:rPr>
                <w:sz w:val="14"/>
              </w:rPr>
            </w:pPr>
            <w:r>
              <w:rPr>
                <w:sz w:val="14"/>
              </w:rPr>
              <w:t>7630-7699</w:t>
            </w:r>
          </w:p>
        </w:tc>
        <w:tc>
          <w:tcPr>
            <w:tcW w:w="1546" w:type="dxa"/>
          </w:tcPr>
          <w:p>
            <w:pPr>
              <w:pStyle w:val="TableParagraph"/>
              <w:spacing w:before="107"/>
              <w:ind w:left="627" w:right="591"/>
              <w:jc w:val="center"/>
              <w:rPr>
                <w:sz w:val="14"/>
              </w:rPr>
            </w:pPr>
            <w:r>
              <w:rPr>
                <w:w w:val="105"/>
                <w:sz w:val="14"/>
              </w:rPr>
              <w:t>0.00</w:t>
            </w:r>
          </w:p>
        </w:tc>
        <w:tc>
          <w:tcPr>
            <w:tcW w:w="1526" w:type="dxa"/>
          </w:tcPr>
          <w:p>
            <w:pPr>
              <w:pStyle w:val="TableParagraph"/>
              <w:spacing w:before="107"/>
              <w:ind w:left="593" w:right="602"/>
              <w:jc w:val="center"/>
              <w:rPr>
                <w:sz w:val="14"/>
              </w:rPr>
            </w:pPr>
            <w:r>
              <w:rPr>
                <w:w w:val="105"/>
                <w:sz w:val="14"/>
              </w:rPr>
              <w:t>0.00</w:t>
            </w:r>
          </w:p>
        </w:tc>
        <w:tc>
          <w:tcPr>
            <w:tcW w:w="1007" w:type="dxa"/>
          </w:tcPr>
          <w:p>
            <w:pPr>
              <w:pStyle w:val="TableParagraph"/>
              <w:spacing w:before="107"/>
              <w:ind w:right="45"/>
              <w:jc w:val="right"/>
              <w:rPr>
                <w:sz w:val="14"/>
              </w:rPr>
            </w:pPr>
            <w:r>
              <w:rPr>
                <w:sz w:val="14"/>
              </w:rPr>
              <w:t>0.0%</w:t>
            </w:r>
          </w:p>
        </w:tc>
      </w:tr>
      <w:tr>
        <w:trPr>
          <w:trHeight w:val="376" w:hRule="atLeast"/>
        </w:trPr>
        <w:tc>
          <w:tcPr>
            <w:tcW w:w="4247" w:type="dxa"/>
          </w:tcPr>
          <w:p>
            <w:pPr>
              <w:pStyle w:val="TableParagraph"/>
              <w:spacing w:before="107"/>
              <w:ind w:left="50"/>
              <w:rPr>
                <w:sz w:val="14"/>
              </w:rPr>
            </w:pPr>
            <w:r>
              <w:rPr>
                <w:w w:val="105"/>
                <w:sz w:val="14"/>
              </w:rPr>
              <w:t>3) Contributions</w:t>
            </w:r>
          </w:p>
        </w:tc>
        <w:tc>
          <w:tcPr>
            <w:tcW w:w="2296" w:type="dxa"/>
          </w:tcPr>
          <w:p>
            <w:pPr>
              <w:pStyle w:val="TableParagraph"/>
              <w:spacing w:before="107"/>
              <w:ind w:right="648"/>
              <w:jc w:val="right"/>
              <w:rPr>
                <w:sz w:val="14"/>
              </w:rPr>
            </w:pPr>
            <w:r>
              <w:rPr>
                <w:sz w:val="14"/>
              </w:rPr>
              <w:t>8980-8999</w:t>
            </w:r>
          </w:p>
        </w:tc>
        <w:tc>
          <w:tcPr>
            <w:tcW w:w="1546" w:type="dxa"/>
          </w:tcPr>
          <w:p>
            <w:pPr>
              <w:pStyle w:val="TableParagraph"/>
              <w:spacing w:before="107"/>
              <w:ind w:left="627" w:right="591"/>
              <w:jc w:val="center"/>
              <w:rPr>
                <w:sz w:val="14"/>
              </w:rPr>
            </w:pPr>
            <w:r>
              <w:rPr>
                <w:w w:val="105"/>
                <w:sz w:val="14"/>
              </w:rPr>
              <w:t>0.00</w:t>
            </w:r>
          </w:p>
        </w:tc>
        <w:tc>
          <w:tcPr>
            <w:tcW w:w="1526" w:type="dxa"/>
          </w:tcPr>
          <w:p>
            <w:pPr>
              <w:pStyle w:val="TableParagraph"/>
              <w:spacing w:before="107"/>
              <w:ind w:left="593" w:right="602"/>
              <w:jc w:val="center"/>
              <w:rPr>
                <w:sz w:val="14"/>
              </w:rPr>
            </w:pPr>
            <w:r>
              <w:rPr>
                <w:w w:val="105"/>
                <w:sz w:val="14"/>
              </w:rPr>
              <w:t>0.00</w:t>
            </w:r>
          </w:p>
        </w:tc>
        <w:tc>
          <w:tcPr>
            <w:tcW w:w="1007" w:type="dxa"/>
          </w:tcPr>
          <w:p>
            <w:pPr>
              <w:pStyle w:val="TableParagraph"/>
              <w:spacing w:before="107"/>
              <w:ind w:right="45"/>
              <w:jc w:val="right"/>
              <w:rPr>
                <w:sz w:val="14"/>
              </w:rPr>
            </w:pPr>
            <w:r>
              <w:rPr>
                <w:sz w:val="14"/>
              </w:rPr>
              <w:t>0.0%</w:t>
            </w:r>
          </w:p>
        </w:tc>
      </w:tr>
      <w:tr>
        <w:trPr>
          <w:trHeight w:val="268" w:hRule="atLeast"/>
        </w:trPr>
        <w:tc>
          <w:tcPr>
            <w:tcW w:w="4247" w:type="dxa"/>
          </w:tcPr>
          <w:p>
            <w:pPr>
              <w:pStyle w:val="TableParagraph"/>
              <w:spacing w:line="142" w:lineRule="exact" w:before="107"/>
              <w:ind w:left="50"/>
              <w:rPr>
                <w:sz w:val="14"/>
              </w:rPr>
            </w:pPr>
            <w:r>
              <w:rPr>
                <w:w w:val="105"/>
                <w:sz w:val="14"/>
              </w:rPr>
              <w:t>4) TOTAL, OTHER FINANCING SOURCES/USES</w:t>
            </w:r>
          </w:p>
        </w:tc>
        <w:tc>
          <w:tcPr>
            <w:tcW w:w="2296" w:type="dxa"/>
          </w:tcPr>
          <w:p>
            <w:pPr>
              <w:pStyle w:val="TableParagraph"/>
              <w:rPr>
                <w:rFonts w:ascii="Times New Roman"/>
                <w:sz w:val="14"/>
              </w:rPr>
            </w:pPr>
          </w:p>
        </w:tc>
        <w:tc>
          <w:tcPr>
            <w:tcW w:w="1546" w:type="dxa"/>
          </w:tcPr>
          <w:p>
            <w:pPr>
              <w:pStyle w:val="TableParagraph"/>
              <w:spacing w:line="142" w:lineRule="exact" w:before="107"/>
              <w:ind w:left="627" w:right="591"/>
              <w:jc w:val="center"/>
              <w:rPr>
                <w:sz w:val="14"/>
              </w:rPr>
            </w:pPr>
            <w:r>
              <w:rPr>
                <w:w w:val="105"/>
                <w:sz w:val="14"/>
              </w:rPr>
              <w:t>0.00</w:t>
            </w:r>
          </w:p>
        </w:tc>
        <w:tc>
          <w:tcPr>
            <w:tcW w:w="1526" w:type="dxa"/>
          </w:tcPr>
          <w:p>
            <w:pPr>
              <w:pStyle w:val="TableParagraph"/>
              <w:spacing w:line="142" w:lineRule="exact" w:before="107"/>
              <w:ind w:left="593" w:right="602"/>
              <w:jc w:val="center"/>
              <w:rPr>
                <w:sz w:val="14"/>
              </w:rPr>
            </w:pPr>
            <w:r>
              <w:rPr>
                <w:w w:val="105"/>
                <w:sz w:val="14"/>
              </w:rPr>
              <w:t>0.00</w:t>
            </w:r>
          </w:p>
        </w:tc>
        <w:tc>
          <w:tcPr>
            <w:tcW w:w="1007" w:type="dxa"/>
          </w:tcPr>
          <w:p>
            <w:pPr>
              <w:pStyle w:val="TableParagraph"/>
              <w:spacing w:line="142" w:lineRule="exact" w:before="107"/>
              <w:ind w:right="45"/>
              <w:jc w:val="right"/>
              <w:rPr>
                <w:sz w:val="14"/>
              </w:rPr>
            </w:pPr>
            <w:r>
              <w:rPr>
                <w:sz w:val="14"/>
              </w:rPr>
              <w:t>0.0%</w:t>
            </w:r>
          </w:p>
        </w:tc>
      </w:tr>
    </w:tbl>
    <w:p>
      <w:pPr>
        <w:spacing w:after="0" w:line="142" w:lineRule="exact"/>
        <w:jc w:val="right"/>
        <w:rPr>
          <w:sz w:val="14"/>
        </w:rPr>
        <w:sectPr>
          <w:type w:val="continuous"/>
          <w:pgSz w:w="12240" w:h="15840"/>
          <w:pgMar w:top="1500" w:bottom="840" w:left="160" w:right="180"/>
        </w:sectPr>
      </w:pPr>
    </w:p>
    <w:p>
      <w:pPr>
        <w:spacing w:line="232" w:lineRule="auto" w:before="1"/>
        <w:ind w:left="308" w:right="0" w:firstLine="0"/>
        <w:jc w:val="left"/>
        <w:rPr>
          <w:sz w:val="18"/>
        </w:rPr>
      </w:pPr>
      <w:r>
        <w:rPr/>
        <w:pict>
          <v:group style="position:absolute;margin-left:24.719999pt;margin-top:36.318634pt;width:538.5pt;height:415.95pt;mso-position-horizontal-relative:page;mso-position-vertical-relative:paragraph;z-index:-314300416" coordorigin="494,726" coordsize="10770,8319">
            <v:shape style="position:absolute;left:494;top:726;width:3646;height:790" type="#_x0000_t75" stroked="false">
              <v:imagedata r:id="rId406" o:title=""/>
            </v:shape>
            <v:shape style="position:absolute;left:4132;top:726;width:7121;height:1364" type="#_x0000_t75" stroked="false">
              <v:imagedata r:id="rId779" o:title=""/>
            </v:shape>
            <v:line style="position:absolute" from="1304,1506" to="1304,1876" stroked="true" strokeweight=".359997pt" strokecolor="#ffffff">
              <v:stroke dashstyle="solid"/>
            </v:line>
            <v:shape style="position:absolute;left:494;top:1501;width:3646;height:588" type="#_x0000_t75" stroked="false">
              <v:imagedata r:id="rId434" o:title=""/>
            </v:shape>
            <v:line style="position:absolute" from="1304,2080" to="1304,2450" stroked="true" strokeweight=".359997pt" strokecolor="#ffffff">
              <v:stroke dashstyle="solid"/>
            </v:line>
            <v:shape style="position:absolute;left:6674;top:1878;width:4580;height:1172" type="#_x0000_t75" stroked="false">
              <v:imagedata r:id="rId428" o:title=""/>
            </v:shape>
            <v:shape style="position:absolute;left:494;top:2075;width:3646;height:6970" type="#_x0000_t75" stroked="false">
              <v:imagedata r:id="rId844" o:title=""/>
            </v:shape>
            <v:shape style="position:absolute;left:6674;top:2845;width:4580;height:552" type="#_x0000_t75" stroked="false">
              <v:imagedata r:id="rId436" o:title=""/>
            </v:shape>
            <v:shape style="position:absolute;left:6674;top:3042;width:4580;height:704" type="#_x0000_t75" stroked="false">
              <v:imagedata r:id="rId437" o:title=""/>
            </v:shape>
            <v:shape style="position:absolute;left:6674;top:3390;width:4580;height:704" type="#_x0000_t75" stroked="false">
              <v:imagedata r:id="rId438" o:title=""/>
            </v:shape>
            <v:shape style="position:absolute;left:6674;top:3738;width:4580;height:704" type="#_x0000_t75" stroked="false">
              <v:imagedata r:id="rId437" o:title=""/>
            </v:shape>
            <v:shape style="position:absolute;left:6674;top:4086;width:4580;height:704" type="#_x0000_t75" stroked="false">
              <v:imagedata r:id="rId438" o:title=""/>
            </v:shape>
            <v:shape style="position:absolute;left:6674;top:4434;width:4580;height:941" type="#_x0000_t75" stroked="false">
              <v:imagedata r:id="rId714" o:title=""/>
            </v:shape>
            <v:shape style="position:absolute;left:6674;top:5372;width:1520;height:348" type="#_x0000_t75" stroked="false">
              <v:imagedata r:id="rId845" o:title=""/>
            </v:shape>
            <v:shape style="position:absolute;left:8186;top:5175;width:1520;height:545" type="#_x0000_t75" stroked="false">
              <v:imagedata r:id="rId846" o:title=""/>
            </v:shape>
            <v:rect style="position:absolute;left:9703;top:5377;width:1541;height:341" filled="true" fillcolor="#dfdfdf" stroked="false">
              <v:fill type="solid"/>
            </v:rect>
            <v:shape style="position:absolute;left:6674;top:5175;width:4580;height:1227" type="#_x0000_t75" stroked="false">
              <v:imagedata r:id="rId847" o:title=""/>
            </v:shape>
            <v:shape style="position:absolute;left:8186;top:6054;width:3068;height:1025" type="#_x0000_t75" stroked="false">
              <v:imagedata r:id="rId848" o:title=""/>
            </v:shape>
            <v:shape style="position:absolute;left:6674;top:6395;width:1520;height:684" type="#_x0000_t75" stroked="false">
              <v:imagedata r:id="rId849" o:title=""/>
            </v:shape>
            <v:shape style="position:absolute;left:6674;top:7076;width:1520;height:204" type="#_x0000_t75" stroked="false">
              <v:imagedata r:id="rId425" o:title=""/>
            </v:shape>
            <v:shape style="position:absolute;left:8186;top:7076;width:1520;height:204" type="#_x0000_t75" stroked="false">
              <v:imagedata r:id="rId425" o:title=""/>
            </v:shape>
            <v:shape style="position:absolute;left:6674;top:6735;width:4580;height:1424" type="#_x0000_t75" stroked="false">
              <v:imagedata r:id="rId850" o:title=""/>
            </v:shape>
            <v:shape style="position:absolute;left:8186;top:7955;width:3068;height:204" type="#_x0000_t75" stroked="false">
              <v:imagedata r:id="rId593" o:title=""/>
            </v:shape>
            <v:shape style="position:absolute;left:6674;top:8151;width:1520;height:346" type="#_x0000_t75" stroked="false">
              <v:imagedata r:id="rId851" o:title=""/>
            </v:shape>
            <v:shape style="position:absolute;left:8186;top:8151;width:1520;height:346" type="#_x0000_t75" stroked="false">
              <v:imagedata r:id="rId851" o:title=""/>
            </v:shape>
            <v:rect style="position:absolute;left:9703;top:8156;width:1541;height:341" filled="true" fillcolor="#dfdfdf" stroked="false">
              <v:fill type="solid"/>
            </v:rect>
            <v:shape style="position:absolute;left:6674;top:8492;width:1520;height:204" type="#_x0000_t75" stroked="false">
              <v:imagedata r:id="rId425" o:title=""/>
            </v:shape>
            <v:shape style="position:absolute;left:8186;top:8492;width:1520;height:204" type="#_x0000_t75" stroked="false">
              <v:imagedata r:id="rId425" o:title=""/>
            </v:shape>
            <v:rect style="position:absolute;left:9703;top:8497;width:1541;height:197" filled="true" fillcolor="#dfdfdf" stroked="false">
              <v:fill type="solid"/>
            </v:rect>
            <v:shape style="position:absolute;left:4132;top:8151;width:7121;height:893" type="#_x0000_t75" stroked="false">
              <v:imagedata r:id="rId852" o:title=""/>
            </v:shape>
            <v:shape style="position:absolute;left:530;top:1340;width:811;height:161" type="#_x0000_t202" filled="false" stroked="false">
              <v:textbox inset="0,0,0,0">
                <w:txbxContent>
                  <w:p>
                    <w:pPr>
                      <w:spacing w:line="160" w:lineRule="exact" w:before="0"/>
                      <w:ind w:left="0" w:right="0" w:firstLine="0"/>
                      <w:jc w:val="left"/>
                      <w:rPr>
                        <w:b/>
                        <w:sz w:val="14"/>
                      </w:rPr>
                    </w:pPr>
                    <w:r>
                      <w:rPr>
                        <w:b/>
                        <w:sz w:val="14"/>
                      </w:rPr>
                      <w:t>Description</w:t>
                    </w:r>
                  </w:p>
                </w:txbxContent>
              </v:textbox>
              <w10:wrap type="none"/>
            </v:shape>
            <v:shape style="position:absolute;left:4358;top:1172;width:3722;height:329" type="#_x0000_t202" filled="false" stroked="false">
              <v:textbox inset="0,0,0,0">
                <w:txbxContent>
                  <w:p>
                    <w:pPr>
                      <w:spacing w:line="160" w:lineRule="exact" w:before="0"/>
                      <w:ind w:left="2820" w:right="0" w:firstLine="0"/>
                      <w:jc w:val="left"/>
                      <w:rPr>
                        <w:b/>
                        <w:sz w:val="14"/>
                      </w:rPr>
                    </w:pPr>
                    <w:r>
                      <w:rPr>
                        <w:b/>
                        <w:w w:val="105"/>
                        <w:sz w:val="14"/>
                      </w:rPr>
                      <w:t>2020-21</w:t>
                    </w:r>
                  </w:p>
                  <w:p>
                    <w:pPr>
                      <w:tabs>
                        <w:tab w:pos="1372" w:val="left" w:leader="none"/>
                      </w:tabs>
                      <w:spacing w:before="7"/>
                      <w:ind w:left="0" w:right="0" w:firstLine="0"/>
                      <w:jc w:val="left"/>
                      <w:rPr>
                        <w:b/>
                        <w:sz w:val="14"/>
                      </w:rPr>
                    </w:pPr>
                    <w:r>
                      <w:rPr>
                        <w:b/>
                        <w:w w:val="105"/>
                        <w:sz w:val="14"/>
                      </w:rPr>
                      <w:t>Resource</w:t>
                    </w:r>
                    <w:r>
                      <w:rPr>
                        <w:b/>
                        <w:spacing w:val="-12"/>
                        <w:w w:val="105"/>
                        <w:sz w:val="14"/>
                      </w:rPr>
                      <w:t> </w:t>
                    </w:r>
                    <w:r>
                      <w:rPr>
                        <w:b/>
                        <w:w w:val="105"/>
                        <w:sz w:val="14"/>
                      </w:rPr>
                      <w:t>Codes</w:t>
                      <w:tab/>
                      <w:t>Object Codes Estimated</w:t>
                    </w:r>
                    <w:r>
                      <w:rPr>
                        <w:b/>
                        <w:spacing w:val="-15"/>
                        <w:w w:val="105"/>
                        <w:sz w:val="14"/>
                      </w:rPr>
                      <w:t> </w:t>
                    </w:r>
                    <w:r>
                      <w:rPr>
                        <w:b/>
                        <w:w w:val="105"/>
                        <w:sz w:val="14"/>
                      </w:rPr>
                      <w:t>Actuals</w:t>
                    </w:r>
                  </w:p>
                </w:txbxContent>
              </v:textbox>
              <w10:wrap type="none"/>
            </v:shape>
            <v:shape style="position:absolute;left:8690;top:1172;width:545;height:329" type="#_x0000_t202" filled="false" stroked="false">
              <v:textbox inset="0,0,0,0">
                <w:txbxContent>
                  <w:p>
                    <w:pPr>
                      <w:spacing w:line="160" w:lineRule="exact" w:before="0"/>
                      <w:ind w:left="0" w:right="0" w:firstLine="0"/>
                      <w:jc w:val="left"/>
                      <w:rPr>
                        <w:b/>
                        <w:sz w:val="14"/>
                      </w:rPr>
                    </w:pPr>
                    <w:r>
                      <w:rPr>
                        <w:b/>
                        <w:sz w:val="14"/>
                      </w:rPr>
                      <w:t>2021-22</w:t>
                    </w:r>
                  </w:p>
                  <w:p>
                    <w:pPr>
                      <w:spacing w:before="7"/>
                      <w:ind w:left="11" w:right="0" w:firstLine="0"/>
                      <w:jc w:val="left"/>
                      <w:rPr>
                        <w:b/>
                        <w:sz w:val="14"/>
                      </w:rPr>
                    </w:pPr>
                    <w:r>
                      <w:rPr>
                        <w:b/>
                        <w:w w:val="105"/>
                        <w:sz w:val="14"/>
                      </w:rPr>
                      <w:t>Budget</w:t>
                    </w:r>
                  </w:p>
                </w:txbxContent>
              </v:textbox>
              <w10:wrap type="none"/>
            </v:shape>
            <v:shape style="position:absolute;left:10128;top:1172;width:721;height:329" type="#_x0000_t202" filled="false" stroked="false">
              <v:textbox inset="0,0,0,0">
                <w:txbxContent>
                  <w:p>
                    <w:pPr>
                      <w:spacing w:line="249" w:lineRule="auto" w:before="0"/>
                      <w:ind w:left="0" w:right="16" w:firstLine="86"/>
                      <w:jc w:val="left"/>
                      <w:rPr>
                        <w:b/>
                        <w:sz w:val="14"/>
                      </w:rPr>
                    </w:pPr>
                    <w:r>
                      <w:rPr>
                        <w:b/>
                        <w:w w:val="105"/>
                        <w:sz w:val="14"/>
                      </w:rPr>
                      <w:t>Percent </w:t>
                    </w:r>
                    <w:r>
                      <w:rPr>
                        <w:b/>
                        <w:sz w:val="14"/>
                      </w:rPr>
                      <w:t>Difference</w:t>
                    </w:r>
                  </w:p>
                </w:txbxContent>
              </v:textbox>
              <w10:wrap type="none"/>
            </v:shape>
            <v:shape style="position:absolute;left:530;top:1717;width:2815;height:358" type="#_x0000_t202" filled="false" stroked="false">
              <v:textbox inset="0,0,0,0">
                <w:txbxContent>
                  <w:p>
                    <w:pPr>
                      <w:spacing w:line="160" w:lineRule="exact" w:before="0"/>
                      <w:ind w:left="0" w:right="0" w:firstLine="0"/>
                      <w:jc w:val="left"/>
                      <w:rPr>
                        <w:b/>
                        <w:sz w:val="14"/>
                      </w:rPr>
                    </w:pPr>
                    <w:r>
                      <w:rPr>
                        <w:b/>
                        <w:w w:val="105"/>
                        <w:sz w:val="14"/>
                      </w:rPr>
                      <w:t>E.</w:t>
                    </w:r>
                    <w:r>
                      <w:rPr>
                        <w:b/>
                        <w:spacing w:val="-14"/>
                        <w:w w:val="105"/>
                        <w:sz w:val="14"/>
                      </w:rPr>
                      <w:t> </w:t>
                    </w:r>
                    <w:r>
                      <w:rPr>
                        <w:b/>
                        <w:w w:val="105"/>
                        <w:sz w:val="14"/>
                      </w:rPr>
                      <w:t>NET</w:t>
                    </w:r>
                    <w:r>
                      <w:rPr>
                        <w:b/>
                        <w:spacing w:val="-13"/>
                        <w:w w:val="105"/>
                        <w:sz w:val="14"/>
                      </w:rPr>
                      <w:t> </w:t>
                    </w:r>
                    <w:r>
                      <w:rPr>
                        <w:b/>
                        <w:w w:val="105"/>
                        <w:sz w:val="14"/>
                      </w:rPr>
                      <w:t>INCREASE</w:t>
                    </w:r>
                    <w:r>
                      <w:rPr>
                        <w:b/>
                        <w:spacing w:val="-15"/>
                        <w:w w:val="105"/>
                        <w:sz w:val="14"/>
                      </w:rPr>
                      <w:t> </w:t>
                    </w:r>
                    <w:r>
                      <w:rPr>
                        <w:b/>
                        <w:w w:val="105"/>
                        <w:sz w:val="14"/>
                      </w:rPr>
                      <w:t>(DECREASE)</w:t>
                    </w:r>
                    <w:r>
                      <w:rPr>
                        <w:b/>
                        <w:spacing w:val="-13"/>
                        <w:w w:val="105"/>
                        <w:sz w:val="14"/>
                      </w:rPr>
                      <w:t> </w:t>
                    </w:r>
                    <w:r>
                      <w:rPr>
                        <w:b/>
                        <w:w w:val="105"/>
                        <w:sz w:val="14"/>
                      </w:rPr>
                      <w:t>IN</w:t>
                    </w:r>
                    <w:r>
                      <w:rPr>
                        <w:b/>
                        <w:spacing w:val="-14"/>
                        <w:w w:val="105"/>
                        <w:sz w:val="14"/>
                      </w:rPr>
                      <w:t> </w:t>
                    </w:r>
                    <w:r>
                      <w:rPr>
                        <w:b/>
                        <w:w w:val="105"/>
                        <w:sz w:val="14"/>
                      </w:rPr>
                      <w:t>FUND</w:t>
                    </w:r>
                  </w:p>
                  <w:p>
                    <w:pPr>
                      <w:spacing w:before="36"/>
                      <w:ind w:left="203" w:right="0" w:firstLine="0"/>
                      <w:jc w:val="left"/>
                      <w:rPr>
                        <w:b/>
                        <w:sz w:val="14"/>
                      </w:rPr>
                    </w:pPr>
                    <w:r>
                      <w:rPr>
                        <w:b/>
                        <w:w w:val="105"/>
                        <w:sz w:val="14"/>
                      </w:rPr>
                      <w:t>BALANCE (C + D4)</w:t>
                    </w:r>
                  </w:p>
                </w:txbxContent>
              </v:textbox>
              <w10:wrap type="none"/>
            </v:shape>
            <v:shape style="position:absolute;left:7680;top:1916;width:458;height:161" type="#_x0000_t202" filled="false" stroked="false">
              <v:textbox inset="0,0,0,0">
                <w:txbxContent>
                  <w:p>
                    <w:pPr>
                      <w:spacing w:line="160" w:lineRule="exact" w:before="0"/>
                      <w:ind w:left="0" w:right="0" w:firstLine="0"/>
                      <w:jc w:val="left"/>
                      <w:rPr>
                        <w:sz w:val="14"/>
                      </w:rPr>
                    </w:pPr>
                    <w:r>
                      <w:rPr>
                        <w:w w:val="105"/>
                        <w:sz w:val="14"/>
                      </w:rPr>
                      <w:t>175.00</w:t>
                    </w:r>
                  </w:p>
                </w:txbxContent>
              </v:textbox>
              <w10:wrap type="none"/>
            </v:shape>
            <v:shape style="position:absolute;left:9192;top:1916;width:458;height:161" type="#_x0000_t202" filled="false" stroked="false">
              <v:textbox inset="0,0,0,0">
                <w:txbxContent>
                  <w:p>
                    <w:pPr>
                      <w:spacing w:line="160" w:lineRule="exact" w:before="0"/>
                      <w:ind w:left="0" w:right="0" w:firstLine="0"/>
                      <w:jc w:val="left"/>
                      <w:rPr>
                        <w:sz w:val="14"/>
                      </w:rPr>
                    </w:pPr>
                    <w:r>
                      <w:rPr>
                        <w:w w:val="105"/>
                        <w:sz w:val="14"/>
                      </w:rPr>
                      <w:t>175.00</w:t>
                    </w:r>
                  </w:p>
                </w:txbxContent>
              </v:textbox>
              <w10:wrap type="none"/>
            </v:shape>
            <v:shape style="position:absolute;left:10891;top:1916;width:347;height:161" type="#_x0000_t202" filled="false" stroked="false">
              <v:textbox inset="0,0,0,0">
                <w:txbxContent>
                  <w:p>
                    <w:pPr>
                      <w:spacing w:line="160" w:lineRule="exact" w:before="0"/>
                      <w:ind w:left="0" w:right="0" w:firstLine="0"/>
                      <w:jc w:val="left"/>
                      <w:rPr>
                        <w:sz w:val="14"/>
                      </w:rPr>
                    </w:pPr>
                    <w:r>
                      <w:rPr>
                        <w:w w:val="105"/>
                        <w:sz w:val="14"/>
                      </w:rPr>
                      <w:t>0.0%</w:t>
                    </w:r>
                  </w:p>
                </w:txbxContent>
              </v:textbox>
              <w10:wrap type="none"/>
            </v:shape>
            <v:shape style="position:absolute;left:530;top:2290;width:2182;height:161" type="#_x0000_t202" filled="false" stroked="false">
              <v:textbox inset="0,0,0,0">
                <w:txbxContent>
                  <w:p>
                    <w:pPr>
                      <w:spacing w:line="160" w:lineRule="exact" w:before="0"/>
                      <w:ind w:left="0" w:right="0" w:firstLine="0"/>
                      <w:jc w:val="left"/>
                      <w:rPr>
                        <w:b/>
                        <w:sz w:val="14"/>
                      </w:rPr>
                    </w:pPr>
                    <w:r>
                      <w:rPr>
                        <w:b/>
                        <w:w w:val="105"/>
                        <w:sz w:val="14"/>
                      </w:rPr>
                      <w:t>F.</w:t>
                    </w:r>
                    <w:r>
                      <w:rPr>
                        <w:b/>
                        <w:spacing w:val="-18"/>
                        <w:w w:val="105"/>
                        <w:sz w:val="14"/>
                      </w:rPr>
                      <w:t> </w:t>
                    </w:r>
                    <w:r>
                      <w:rPr>
                        <w:b/>
                        <w:w w:val="105"/>
                        <w:sz w:val="14"/>
                      </w:rPr>
                      <w:t>FUND</w:t>
                    </w:r>
                    <w:r>
                      <w:rPr>
                        <w:b/>
                        <w:spacing w:val="-18"/>
                        <w:w w:val="105"/>
                        <w:sz w:val="14"/>
                      </w:rPr>
                      <w:t> </w:t>
                    </w:r>
                    <w:r>
                      <w:rPr>
                        <w:b/>
                        <w:w w:val="105"/>
                        <w:sz w:val="14"/>
                      </w:rPr>
                      <w:t>BALANCE,</w:t>
                    </w:r>
                    <w:r>
                      <w:rPr>
                        <w:b/>
                        <w:spacing w:val="-18"/>
                        <w:w w:val="105"/>
                        <w:sz w:val="14"/>
                      </w:rPr>
                      <w:t> </w:t>
                    </w:r>
                    <w:r>
                      <w:rPr>
                        <w:b/>
                        <w:w w:val="105"/>
                        <w:sz w:val="14"/>
                      </w:rPr>
                      <w:t>RESERVES</w:t>
                    </w:r>
                  </w:p>
                </w:txbxContent>
              </v:textbox>
              <w10:wrap type="none"/>
            </v:shape>
            <v:shape style="position:absolute;left:1060;top:7114;width:1726;height:161" type="#_x0000_t202" filled="false" stroked="false">
              <v:textbox inset="0,0,0,0">
                <w:txbxContent>
                  <w:p>
                    <w:pPr>
                      <w:spacing w:line="160" w:lineRule="exact" w:before="0"/>
                      <w:ind w:left="0" w:right="0" w:firstLine="0"/>
                      <w:jc w:val="left"/>
                      <w:rPr>
                        <w:sz w:val="14"/>
                      </w:rPr>
                    </w:pPr>
                    <w:r>
                      <w:rPr>
                        <w:sz w:val="14"/>
                      </w:rPr>
                      <w:t>Stabilization Arrangements</w:t>
                    </w:r>
                  </w:p>
                </w:txbxContent>
              </v:textbox>
              <w10:wrap type="none"/>
            </v:shape>
            <v:shape style="position:absolute;left:6036;top:7114;width:338;height:161" type="#_x0000_t202" filled="false" stroked="false">
              <v:textbox inset="0,0,0,0">
                <w:txbxContent>
                  <w:p>
                    <w:pPr>
                      <w:spacing w:line="160" w:lineRule="exact" w:before="0"/>
                      <w:ind w:left="0" w:right="0" w:firstLine="0"/>
                      <w:jc w:val="left"/>
                      <w:rPr>
                        <w:sz w:val="14"/>
                      </w:rPr>
                    </w:pPr>
                    <w:r>
                      <w:rPr>
                        <w:w w:val="105"/>
                        <w:sz w:val="14"/>
                      </w:rPr>
                      <w:t>9750</w:t>
                    </w:r>
                  </w:p>
                </w:txbxContent>
              </v:textbox>
              <w10:wrap type="none"/>
            </v:shape>
            <v:shape style="position:absolute;left:7838;top:7114;width:299;height:161" type="#_x0000_t202" filled="false" stroked="false">
              <v:textbox inset="0,0,0,0">
                <w:txbxContent>
                  <w:p>
                    <w:pPr>
                      <w:spacing w:line="160" w:lineRule="exact" w:before="0"/>
                      <w:ind w:left="0" w:right="0" w:firstLine="0"/>
                      <w:jc w:val="left"/>
                      <w:rPr>
                        <w:sz w:val="14"/>
                      </w:rPr>
                    </w:pPr>
                    <w:r>
                      <w:rPr>
                        <w:w w:val="105"/>
                        <w:sz w:val="14"/>
                      </w:rPr>
                      <w:t>0.00</w:t>
                    </w:r>
                  </w:p>
                </w:txbxContent>
              </v:textbox>
              <w10:wrap type="none"/>
            </v:shape>
            <v:shape style="position:absolute;left:9350;top:7114;width:1914;height:162" type="#_x0000_t202" filled="false" stroked="false">
              <v:textbox inset="0,0,0,0">
                <w:txbxContent>
                  <w:p>
                    <w:pPr>
                      <w:tabs>
                        <w:tab w:pos="1540" w:val="left" w:leader="none"/>
                      </w:tabs>
                      <w:spacing w:line="160" w:lineRule="exact" w:before="0"/>
                      <w:ind w:left="0" w:right="0" w:firstLine="0"/>
                      <w:jc w:val="left"/>
                      <w:rPr>
                        <w:sz w:val="14"/>
                      </w:rPr>
                    </w:pPr>
                    <w:r>
                      <w:rPr>
                        <w:w w:val="105"/>
                        <w:sz w:val="14"/>
                      </w:rPr>
                      <w:t>0.00</w:t>
                    </w:r>
                    <w:r>
                      <w:rPr>
                        <w:w w:val="105"/>
                        <w:sz w:val="14"/>
                        <w:shd w:fill="DFDFDF" w:color="auto" w:val="clear"/>
                      </w:rPr>
                      <w:tab/>
                      <w:t>0.0%</w:t>
                    </w:r>
                    <w:r>
                      <w:rPr>
                        <w:spacing w:val="-13"/>
                        <w:sz w:val="14"/>
                        <w:shd w:fill="DFDFDF" w:color="auto" w:val="clear"/>
                      </w:rPr>
                      <w:t> </w:t>
                    </w:r>
                  </w:p>
                </w:txbxContent>
              </v:textbox>
              <w10:wrap type="none"/>
            </v:shape>
            <v:shape style="position:absolute;left:1060;top:7455;width:1298;height:161" type="#_x0000_t202" filled="false" stroked="false">
              <v:textbox inset="0,0,0,0">
                <w:txbxContent>
                  <w:p>
                    <w:pPr>
                      <w:spacing w:line="160" w:lineRule="exact" w:before="0"/>
                      <w:ind w:left="0" w:right="0" w:firstLine="0"/>
                      <w:jc w:val="left"/>
                      <w:rPr>
                        <w:sz w:val="14"/>
                      </w:rPr>
                    </w:pPr>
                    <w:r>
                      <w:rPr>
                        <w:w w:val="105"/>
                        <w:sz w:val="14"/>
                      </w:rPr>
                      <w:t>Other</w:t>
                    </w:r>
                    <w:r>
                      <w:rPr>
                        <w:spacing w:val="-26"/>
                        <w:w w:val="105"/>
                        <w:sz w:val="14"/>
                      </w:rPr>
                      <w:t> </w:t>
                    </w:r>
                    <w:r>
                      <w:rPr>
                        <w:w w:val="105"/>
                        <w:sz w:val="14"/>
                      </w:rPr>
                      <w:t>Commitments</w:t>
                    </w:r>
                  </w:p>
                </w:txbxContent>
              </v:textbox>
              <w10:wrap type="none"/>
            </v:shape>
            <v:shape style="position:absolute;left:6036;top:7455;width:338;height:161" type="#_x0000_t202" filled="false" stroked="false">
              <v:textbox inset="0,0,0,0">
                <w:txbxContent>
                  <w:p>
                    <w:pPr>
                      <w:spacing w:line="160" w:lineRule="exact" w:before="0"/>
                      <w:ind w:left="0" w:right="0" w:firstLine="0"/>
                      <w:jc w:val="left"/>
                      <w:rPr>
                        <w:sz w:val="14"/>
                      </w:rPr>
                    </w:pPr>
                    <w:r>
                      <w:rPr>
                        <w:w w:val="105"/>
                        <w:sz w:val="14"/>
                      </w:rPr>
                      <w:t>9760</w:t>
                    </w:r>
                  </w:p>
                </w:txbxContent>
              </v:textbox>
              <w10:wrap type="none"/>
            </v:shape>
            <v:shape style="position:absolute;left:7838;top:7455;width:299;height:161" type="#_x0000_t202" filled="false" stroked="false">
              <v:textbox inset="0,0,0,0">
                <w:txbxContent>
                  <w:p>
                    <w:pPr>
                      <w:spacing w:line="160" w:lineRule="exact" w:before="0"/>
                      <w:ind w:left="0" w:right="0" w:firstLine="0"/>
                      <w:jc w:val="left"/>
                      <w:rPr>
                        <w:sz w:val="14"/>
                      </w:rPr>
                    </w:pPr>
                    <w:r>
                      <w:rPr>
                        <w:w w:val="105"/>
                        <w:sz w:val="14"/>
                      </w:rPr>
                      <w:t>0.00</w:t>
                    </w:r>
                  </w:p>
                </w:txbxContent>
              </v:textbox>
              <w10:wrap type="none"/>
            </v:shape>
            <v:shape style="position:absolute;left:9350;top:7455;width:299;height:161" type="#_x0000_t202" filled="false" stroked="false">
              <v:textbox inset="0,0,0,0">
                <w:txbxContent>
                  <w:p>
                    <w:pPr>
                      <w:spacing w:line="160" w:lineRule="exact" w:before="0"/>
                      <w:ind w:left="0" w:right="0" w:firstLine="0"/>
                      <w:jc w:val="left"/>
                      <w:rPr>
                        <w:sz w:val="14"/>
                      </w:rPr>
                    </w:pPr>
                    <w:r>
                      <w:rPr>
                        <w:w w:val="105"/>
                        <w:sz w:val="14"/>
                      </w:rPr>
                      <w:t>0.00</w:t>
                    </w:r>
                  </w:p>
                </w:txbxContent>
              </v:textbox>
              <w10:wrap type="none"/>
            </v:shape>
            <v:shape style="position:absolute;left:10891;top:7455;width:347;height:161" type="#_x0000_t202" filled="false" stroked="false">
              <v:textbox inset="0,0,0,0">
                <w:txbxContent>
                  <w:p>
                    <w:pPr>
                      <w:spacing w:line="160" w:lineRule="exact" w:before="0"/>
                      <w:ind w:left="0" w:right="0" w:firstLine="0"/>
                      <w:jc w:val="left"/>
                      <w:rPr>
                        <w:sz w:val="14"/>
                      </w:rPr>
                    </w:pPr>
                    <w:r>
                      <w:rPr>
                        <w:w w:val="105"/>
                        <w:sz w:val="14"/>
                      </w:rPr>
                      <w:t>0.0%</w:t>
                    </w:r>
                  </w:p>
                </w:txbxContent>
              </v:textbox>
              <w10:wrap type="none"/>
            </v:shape>
            <v:shape style="position:absolute;left:856;top:7796;width:1441;height:358" type="#_x0000_t202" filled="false" stroked="false">
              <v:textbox inset="0,0,0,0">
                <w:txbxContent>
                  <w:p>
                    <w:pPr>
                      <w:spacing w:line="160" w:lineRule="exact" w:before="0"/>
                      <w:ind w:left="0" w:right="0" w:firstLine="0"/>
                      <w:jc w:val="left"/>
                      <w:rPr>
                        <w:sz w:val="14"/>
                      </w:rPr>
                    </w:pPr>
                    <w:r>
                      <w:rPr>
                        <w:w w:val="105"/>
                        <w:sz w:val="14"/>
                      </w:rPr>
                      <w:t>d) Assigned</w:t>
                    </w:r>
                  </w:p>
                  <w:p>
                    <w:pPr>
                      <w:spacing w:before="36"/>
                      <w:ind w:left="203" w:right="0" w:firstLine="0"/>
                      <w:jc w:val="left"/>
                      <w:rPr>
                        <w:sz w:val="14"/>
                      </w:rPr>
                    </w:pPr>
                    <w:r>
                      <w:rPr>
                        <w:w w:val="105"/>
                        <w:sz w:val="14"/>
                      </w:rPr>
                      <w:t>Other</w:t>
                    </w:r>
                    <w:r>
                      <w:rPr>
                        <w:spacing w:val="-23"/>
                        <w:w w:val="105"/>
                        <w:sz w:val="14"/>
                      </w:rPr>
                      <w:t> </w:t>
                    </w:r>
                    <w:r>
                      <w:rPr>
                        <w:w w:val="105"/>
                        <w:sz w:val="14"/>
                      </w:rPr>
                      <w:t>Assignments</w:t>
                    </w:r>
                  </w:p>
                </w:txbxContent>
              </v:textbox>
              <w10:wrap type="none"/>
            </v:shape>
            <v:shape style="position:absolute;left:6036;top:7993;width:338;height:161" type="#_x0000_t202" filled="false" stroked="false">
              <v:textbox inset="0,0,0,0">
                <w:txbxContent>
                  <w:p>
                    <w:pPr>
                      <w:spacing w:line="160" w:lineRule="exact" w:before="0"/>
                      <w:ind w:left="0" w:right="0" w:firstLine="0"/>
                      <w:jc w:val="left"/>
                      <w:rPr>
                        <w:sz w:val="14"/>
                      </w:rPr>
                    </w:pPr>
                    <w:r>
                      <w:rPr>
                        <w:w w:val="105"/>
                        <w:sz w:val="14"/>
                      </w:rPr>
                      <w:t>9780</w:t>
                    </w:r>
                  </w:p>
                </w:txbxContent>
              </v:textbox>
              <w10:wrap type="none"/>
            </v:shape>
            <v:shape style="position:absolute;left:7838;top:7993;width:299;height:161" type="#_x0000_t202" filled="false" stroked="false">
              <v:textbox inset="0,0,0,0">
                <w:txbxContent>
                  <w:p>
                    <w:pPr>
                      <w:spacing w:line="160" w:lineRule="exact" w:before="0"/>
                      <w:ind w:left="0" w:right="0" w:firstLine="0"/>
                      <w:jc w:val="left"/>
                      <w:rPr>
                        <w:sz w:val="14"/>
                      </w:rPr>
                    </w:pPr>
                    <w:r>
                      <w:rPr>
                        <w:w w:val="105"/>
                        <w:sz w:val="14"/>
                      </w:rPr>
                      <w:t>0.00</w:t>
                    </w:r>
                  </w:p>
                </w:txbxContent>
              </v:textbox>
              <w10:wrap type="none"/>
            </v:shape>
            <v:shape style="position:absolute;left:9350;top:7993;width:299;height:161" type="#_x0000_t202" filled="false" stroked="false">
              <v:textbox inset="0,0,0,0">
                <w:txbxContent>
                  <w:p>
                    <w:pPr>
                      <w:spacing w:line="160" w:lineRule="exact" w:before="0"/>
                      <w:ind w:left="0" w:right="0" w:firstLine="0"/>
                      <w:jc w:val="left"/>
                      <w:rPr>
                        <w:sz w:val="14"/>
                      </w:rPr>
                    </w:pPr>
                    <w:r>
                      <w:rPr>
                        <w:w w:val="105"/>
                        <w:sz w:val="14"/>
                      </w:rPr>
                      <w:t>0.00</w:t>
                    </w:r>
                  </w:p>
                </w:txbxContent>
              </v:textbox>
              <w10:wrap type="none"/>
            </v:shape>
            <v:shape style="position:absolute;left:10891;top:7993;width:347;height:161" type="#_x0000_t202" filled="false" stroked="false">
              <v:textbox inset="0,0,0,0">
                <w:txbxContent>
                  <w:p>
                    <w:pPr>
                      <w:spacing w:line="160" w:lineRule="exact" w:before="0"/>
                      <w:ind w:left="0" w:right="0" w:firstLine="0"/>
                      <w:jc w:val="left"/>
                      <w:rPr>
                        <w:sz w:val="14"/>
                      </w:rPr>
                    </w:pPr>
                    <w:r>
                      <w:rPr>
                        <w:w w:val="105"/>
                        <w:sz w:val="14"/>
                      </w:rPr>
                      <w:t>0.0%</w:t>
                    </w:r>
                  </w:p>
                </w:txbxContent>
              </v:textbox>
              <w10:wrap type="none"/>
            </v:shape>
            <v:shape style="position:absolute;left:856;top:8333;width:1966;height:161" type="#_x0000_t202" filled="false" stroked="false">
              <v:textbox inset="0,0,0,0">
                <w:txbxContent>
                  <w:p>
                    <w:pPr>
                      <w:spacing w:line="160" w:lineRule="exact" w:before="0"/>
                      <w:ind w:left="0" w:right="0" w:firstLine="0"/>
                      <w:jc w:val="left"/>
                      <w:rPr>
                        <w:sz w:val="14"/>
                      </w:rPr>
                    </w:pPr>
                    <w:r>
                      <w:rPr>
                        <w:sz w:val="14"/>
                      </w:rPr>
                      <w:t>e) Unassigned/Unappropriated</w:t>
                    </w:r>
                  </w:p>
                </w:txbxContent>
              </v:textbox>
              <w10:wrap type="none"/>
            </v:shape>
            <w10:wrap type="none"/>
          </v:group>
        </w:pict>
      </w:r>
      <w:r>
        <w:rPr>
          <w:sz w:val="18"/>
        </w:rPr>
        <w:t>Winship-Robbins Elementary Sutter County</w:t>
      </w:r>
    </w:p>
    <w:p>
      <w:pPr>
        <w:spacing w:line="232" w:lineRule="auto" w:before="1"/>
        <w:ind w:left="308" w:right="33" w:firstLine="43"/>
        <w:jc w:val="left"/>
        <w:rPr>
          <w:sz w:val="18"/>
        </w:rPr>
      </w:pPr>
      <w:r>
        <w:rPr/>
        <w:br w:type="column"/>
      </w:r>
      <w:r>
        <w:rPr>
          <w:sz w:val="18"/>
        </w:rPr>
        <w:t>Capital Facilities Fund Expenditures by Object</w:t>
      </w:r>
    </w:p>
    <w:p>
      <w:pPr>
        <w:spacing w:line="200" w:lineRule="exact" w:before="0"/>
        <w:ind w:left="0" w:right="287" w:firstLine="0"/>
        <w:jc w:val="right"/>
        <w:rPr>
          <w:sz w:val="18"/>
        </w:rPr>
      </w:pPr>
      <w:r>
        <w:rPr/>
        <w:br w:type="column"/>
      </w:r>
      <w:r>
        <w:rPr>
          <w:sz w:val="18"/>
        </w:rPr>
        <w:t>51 71456</w:t>
      </w:r>
      <w:r>
        <w:rPr>
          <w:spacing w:val="3"/>
          <w:sz w:val="18"/>
        </w:rPr>
        <w:t> </w:t>
      </w:r>
      <w:r>
        <w:rPr>
          <w:sz w:val="18"/>
        </w:rPr>
        <w:t>0000000</w:t>
      </w:r>
    </w:p>
    <w:p>
      <w:pPr>
        <w:spacing w:line="204" w:lineRule="exact" w:before="0"/>
        <w:ind w:left="0" w:right="285" w:firstLine="0"/>
        <w:jc w:val="right"/>
        <w:rPr>
          <w:sz w:val="18"/>
        </w:rPr>
      </w:pPr>
      <w:r>
        <w:rPr>
          <w:sz w:val="18"/>
        </w:rPr>
        <w:t>Form </w:t>
      </w:r>
      <w:r>
        <w:rPr>
          <w:spacing w:val="3"/>
          <w:sz w:val="18"/>
        </w:rPr>
        <w:t> </w:t>
      </w:r>
      <w:r>
        <w:rPr>
          <w:sz w:val="18"/>
        </w:rPr>
        <w:t>25</w:t>
      </w:r>
    </w:p>
    <w:p>
      <w:pPr>
        <w:spacing w:after="0" w:line="204" w:lineRule="exact"/>
        <w:jc w:val="right"/>
        <w:rPr>
          <w:sz w:val="18"/>
        </w:rPr>
        <w:sectPr>
          <w:pgSz w:w="12240" w:h="15840"/>
          <w:pgMar w:header="651" w:footer="437" w:top="840" w:bottom="620" w:left="160" w:right="180"/>
          <w:cols w:num="3" w:equalWidth="0">
            <w:col w:w="2698" w:space="2015"/>
            <w:col w:w="2222" w:space="2857"/>
            <w:col w:w="2108"/>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8"/>
        </w:rPr>
      </w:pPr>
    </w:p>
    <w:tbl>
      <w:tblPr>
        <w:tblW w:w="0" w:type="auto"/>
        <w:jc w:val="left"/>
        <w:tblInd w:w="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42"/>
        <w:gridCol w:w="693"/>
        <w:gridCol w:w="1876"/>
        <w:gridCol w:w="1705"/>
        <w:gridCol w:w="1007"/>
      </w:tblGrid>
      <w:tr>
        <w:trPr>
          <w:trHeight w:val="196" w:hRule="atLeast"/>
        </w:trPr>
        <w:tc>
          <w:tcPr>
            <w:tcW w:w="5342" w:type="dxa"/>
          </w:tcPr>
          <w:p>
            <w:pPr>
              <w:pStyle w:val="TableParagraph"/>
              <w:spacing w:line="160" w:lineRule="exact"/>
              <w:ind w:left="50"/>
              <w:rPr>
                <w:sz w:val="14"/>
              </w:rPr>
            </w:pPr>
            <w:r>
              <w:rPr>
                <w:w w:val="105"/>
                <w:sz w:val="14"/>
              </w:rPr>
              <w:t>1) Beginning Fund Balance</w:t>
            </w:r>
          </w:p>
        </w:tc>
        <w:tc>
          <w:tcPr>
            <w:tcW w:w="5281" w:type="dxa"/>
            <w:gridSpan w:val="4"/>
          </w:tcPr>
          <w:p>
            <w:pPr>
              <w:pStyle w:val="TableParagraph"/>
              <w:rPr>
                <w:rFonts w:ascii="Times New Roman"/>
                <w:sz w:val="12"/>
              </w:rPr>
            </w:pPr>
          </w:p>
        </w:tc>
      </w:tr>
      <w:tr>
        <w:trPr>
          <w:trHeight w:val="254" w:hRule="atLeast"/>
        </w:trPr>
        <w:tc>
          <w:tcPr>
            <w:tcW w:w="5342" w:type="dxa"/>
          </w:tcPr>
          <w:p>
            <w:pPr>
              <w:pStyle w:val="TableParagraph"/>
              <w:spacing w:line="160" w:lineRule="exact"/>
              <w:ind w:left="213"/>
              <w:rPr>
                <w:sz w:val="14"/>
              </w:rPr>
            </w:pPr>
            <w:r>
              <w:rPr>
                <w:w w:val="105"/>
                <w:sz w:val="14"/>
              </w:rPr>
              <w:t>a) As of July 1 - Unaudited</w:t>
            </w:r>
          </w:p>
        </w:tc>
        <w:tc>
          <w:tcPr>
            <w:tcW w:w="693" w:type="dxa"/>
          </w:tcPr>
          <w:p>
            <w:pPr>
              <w:pStyle w:val="TableParagraph"/>
              <w:spacing w:line="160" w:lineRule="exact"/>
              <w:ind w:left="50"/>
              <w:rPr>
                <w:sz w:val="14"/>
              </w:rPr>
            </w:pPr>
            <w:r>
              <w:rPr>
                <w:w w:val="105"/>
                <w:sz w:val="14"/>
              </w:rPr>
              <w:t>9791</w:t>
            </w:r>
          </w:p>
        </w:tc>
        <w:tc>
          <w:tcPr>
            <w:tcW w:w="1876" w:type="dxa"/>
          </w:tcPr>
          <w:p>
            <w:pPr>
              <w:pStyle w:val="TableParagraph"/>
              <w:spacing w:line="160" w:lineRule="exact"/>
              <w:ind w:right="435"/>
              <w:jc w:val="right"/>
              <w:rPr>
                <w:sz w:val="14"/>
              </w:rPr>
            </w:pPr>
            <w:r>
              <w:rPr>
                <w:sz w:val="14"/>
              </w:rPr>
              <w:t>12,795.00</w:t>
            </w:r>
          </w:p>
        </w:tc>
        <w:tc>
          <w:tcPr>
            <w:tcW w:w="1705" w:type="dxa"/>
          </w:tcPr>
          <w:p>
            <w:pPr>
              <w:pStyle w:val="TableParagraph"/>
              <w:spacing w:line="160" w:lineRule="exact"/>
              <w:ind w:right="628"/>
              <w:jc w:val="right"/>
              <w:rPr>
                <w:sz w:val="14"/>
              </w:rPr>
            </w:pPr>
            <w:r>
              <w:rPr>
                <w:sz w:val="14"/>
              </w:rPr>
              <w:t>12,970.00</w:t>
            </w:r>
          </w:p>
        </w:tc>
        <w:tc>
          <w:tcPr>
            <w:tcW w:w="1007" w:type="dxa"/>
          </w:tcPr>
          <w:p>
            <w:pPr>
              <w:pStyle w:val="TableParagraph"/>
              <w:spacing w:line="160" w:lineRule="exact"/>
              <w:ind w:right="46"/>
              <w:jc w:val="right"/>
              <w:rPr>
                <w:sz w:val="14"/>
              </w:rPr>
            </w:pPr>
            <w:r>
              <w:rPr>
                <w:sz w:val="14"/>
              </w:rPr>
              <w:t>1.4%</w:t>
            </w:r>
          </w:p>
        </w:tc>
      </w:tr>
      <w:tr>
        <w:trPr>
          <w:trHeight w:val="347" w:hRule="atLeast"/>
        </w:trPr>
        <w:tc>
          <w:tcPr>
            <w:tcW w:w="5342" w:type="dxa"/>
          </w:tcPr>
          <w:p>
            <w:pPr>
              <w:pStyle w:val="TableParagraph"/>
              <w:spacing w:before="92"/>
              <w:ind w:left="213"/>
              <w:rPr>
                <w:sz w:val="14"/>
              </w:rPr>
            </w:pPr>
            <w:r>
              <w:rPr>
                <w:w w:val="105"/>
                <w:sz w:val="14"/>
              </w:rPr>
              <w:t>b) Audit Adjustments</w:t>
            </w:r>
          </w:p>
        </w:tc>
        <w:tc>
          <w:tcPr>
            <w:tcW w:w="693" w:type="dxa"/>
          </w:tcPr>
          <w:p>
            <w:pPr>
              <w:pStyle w:val="TableParagraph"/>
              <w:spacing w:before="92"/>
              <w:ind w:left="50"/>
              <w:rPr>
                <w:sz w:val="14"/>
              </w:rPr>
            </w:pPr>
            <w:r>
              <w:rPr>
                <w:w w:val="105"/>
                <w:sz w:val="14"/>
              </w:rPr>
              <w:t>9793</w:t>
            </w:r>
          </w:p>
        </w:tc>
        <w:tc>
          <w:tcPr>
            <w:tcW w:w="1876" w:type="dxa"/>
          </w:tcPr>
          <w:p>
            <w:pPr>
              <w:pStyle w:val="TableParagraph"/>
              <w:spacing w:before="92"/>
              <w:ind w:right="435"/>
              <w:jc w:val="right"/>
              <w:rPr>
                <w:sz w:val="14"/>
              </w:rPr>
            </w:pPr>
            <w:r>
              <w:rPr>
                <w:sz w:val="14"/>
              </w:rPr>
              <w:t>0.00</w:t>
            </w:r>
          </w:p>
        </w:tc>
        <w:tc>
          <w:tcPr>
            <w:tcW w:w="1705" w:type="dxa"/>
          </w:tcPr>
          <w:p>
            <w:pPr>
              <w:pStyle w:val="TableParagraph"/>
              <w:spacing w:before="92"/>
              <w:ind w:right="628"/>
              <w:jc w:val="right"/>
              <w:rPr>
                <w:sz w:val="14"/>
              </w:rPr>
            </w:pPr>
            <w:r>
              <w:rPr>
                <w:sz w:val="14"/>
              </w:rPr>
              <w:t>0.00</w:t>
            </w:r>
          </w:p>
        </w:tc>
        <w:tc>
          <w:tcPr>
            <w:tcW w:w="1007" w:type="dxa"/>
          </w:tcPr>
          <w:p>
            <w:pPr>
              <w:pStyle w:val="TableParagraph"/>
              <w:spacing w:before="92"/>
              <w:ind w:right="46"/>
              <w:jc w:val="right"/>
              <w:rPr>
                <w:sz w:val="14"/>
              </w:rPr>
            </w:pPr>
            <w:r>
              <w:rPr>
                <w:sz w:val="14"/>
              </w:rPr>
              <w:t>0.0%</w:t>
            </w:r>
          </w:p>
        </w:tc>
      </w:tr>
      <w:tr>
        <w:trPr>
          <w:trHeight w:val="347" w:hRule="atLeast"/>
        </w:trPr>
        <w:tc>
          <w:tcPr>
            <w:tcW w:w="5342" w:type="dxa"/>
          </w:tcPr>
          <w:p>
            <w:pPr>
              <w:pStyle w:val="TableParagraph"/>
              <w:spacing w:before="92"/>
              <w:ind w:left="213"/>
              <w:rPr>
                <w:sz w:val="14"/>
              </w:rPr>
            </w:pPr>
            <w:r>
              <w:rPr>
                <w:w w:val="105"/>
                <w:sz w:val="14"/>
              </w:rPr>
              <w:t>c) As of July 1 - Audited (F1a + F1b)</w:t>
            </w:r>
          </w:p>
        </w:tc>
        <w:tc>
          <w:tcPr>
            <w:tcW w:w="693" w:type="dxa"/>
          </w:tcPr>
          <w:p>
            <w:pPr>
              <w:pStyle w:val="TableParagraph"/>
              <w:rPr>
                <w:rFonts w:ascii="Times New Roman"/>
                <w:sz w:val="14"/>
              </w:rPr>
            </w:pPr>
          </w:p>
        </w:tc>
        <w:tc>
          <w:tcPr>
            <w:tcW w:w="1876" w:type="dxa"/>
          </w:tcPr>
          <w:p>
            <w:pPr>
              <w:pStyle w:val="TableParagraph"/>
              <w:spacing w:before="92"/>
              <w:ind w:right="435"/>
              <w:jc w:val="right"/>
              <w:rPr>
                <w:sz w:val="14"/>
              </w:rPr>
            </w:pPr>
            <w:r>
              <w:rPr>
                <w:sz w:val="14"/>
              </w:rPr>
              <w:t>12,795.00</w:t>
            </w:r>
          </w:p>
        </w:tc>
        <w:tc>
          <w:tcPr>
            <w:tcW w:w="1705" w:type="dxa"/>
          </w:tcPr>
          <w:p>
            <w:pPr>
              <w:pStyle w:val="TableParagraph"/>
              <w:spacing w:before="92"/>
              <w:ind w:right="628"/>
              <w:jc w:val="right"/>
              <w:rPr>
                <w:sz w:val="14"/>
              </w:rPr>
            </w:pPr>
            <w:r>
              <w:rPr>
                <w:sz w:val="14"/>
              </w:rPr>
              <w:t>12,970.00</w:t>
            </w:r>
          </w:p>
        </w:tc>
        <w:tc>
          <w:tcPr>
            <w:tcW w:w="1007" w:type="dxa"/>
          </w:tcPr>
          <w:p>
            <w:pPr>
              <w:pStyle w:val="TableParagraph"/>
              <w:spacing w:before="92"/>
              <w:ind w:right="46"/>
              <w:jc w:val="right"/>
              <w:rPr>
                <w:sz w:val="14"/>
              </w:rPr>
            </w:pPr>
            <w:r>
              <w:rPr>
                <w:sz w:val="14"/>
              </w:rPr>
              <w:t>1.4%</w:t>
            </w:r>
          </w:p>
        </w:tc>
      </w:tr>
      <w:tr>
        <w:trPr>
          <w:trHeight w:val="347" w:hRule="atLeast"/>
        </w:trPr>
        <w:tc>
          <w:tcPr>
            <w:tcW w:w="5342" w:type="dxa"/>
          </w:tcPr>
          <w:p>
            <w:pPr>
              <w:pStyle w:val="TableParagraph"/>
              <w:spacing w:before="92"/>
              <w:ind w:left="213"/>
              <w:rPr>
                <w:sz w:val="14"/>
              </w:rPr>
            </w:pPr>
            <w:r>
              <w:rPr>
                <w:w w:val="105"/>
                <w:sz w:val="14"/>
              </w:rPr>
              <w:t>d) Other Restatements</w:t>
            </w:r>
          </w:p>
        </w:tc>
        <w:tc>
          <w:tcPr>
            <w:tcW w:w="693" w:type="dxa"/>
          </w:tcPr>
          <w:p>
            <w:pPr>
              <w:pStyle w:val="TableParagraph"/>
              <w:spacing w:before="92"/>
              <w:ind w:left="50"/>
              <w:rPr>
                <w:sz w:val="14"/>
              </w:rPr>
            </w:pPr>
            <w:r>
              <w:rPr>
                <w:w w:val="105"/>
                <w:sz w:val="14"/>
              </w:rPr>
              <w:t>9795</w:t>
            </w:r>
          </w:p>
        </w:tc>
        <w:tc>
          <w:tcPr>
            <w:tcW w:w="1876" w:type="dxa"/>
          </w:tcPr>
          <w:p>
            <w:pPr>
              <w:pStyle w:val="TableParagraph"/>
              <w:spacing w:before="92"/>
              <w:ind w:right="435"/>
              <w:jc w:val="right"/>
              <w:rPr>
                <w:sz w:val="14"/>
              </w:rPr>
            </w:pPr>
            <w:r>
              <w:rPr>
                <w:sz w:val="14"/>
              </w:rPr>
              <w:t>0.00</w:t>
            </w:r>
          </w:p>
        </w:tc>
        <w:tc>
          <w:tcPr>
            <w:tcW w:w="1705" w:type="dxa"/>
          </w:tcPr>
          <w:p>
            <w:pPr>
              <w:pStyle w:val="TableParagraph"/>
              <w:spacing w:before="92"/>
              <w:ind w:right="628"/>
              <w:jc w:val="right"/>
              <w:rPr>
                <w:sz w:val="14"/>
              </w:rPr>
            </w:pPr>
            <w:r>
              <w:rPr>
                <w:sz w:val="14"/>
              </w:rPr>
              <w:t>0.00</w:t>
            </w:r>
          </w:p>
        </w:tc>
        <w:tc>
          <w:tcPr>
            <w:tcW w:w="1007" w:type="dxa"/>
          </w:tcPr>
          <w:p>
            <w:pPr>
              <w:pStyle w:val="TableParagraph"/>
              <w:spacing w:before="92"/>
              <w:ind w:right="46"/>
              <w:jc w:val="right"/>
              <w:rPr>
                <w:sz w:val="14"/>
              </w:rPr>
            </w:pPr>
            <w:r>
              <w:rPr>
                <w:sz w:val="14"/>
              </w:rPr>
              <w:t>0.0%</w:t>
            </w:r>
          </w:p>
        </w:tc>
      </w:tr>
      <w:tr>
        <w:trPr>
          <w:trHeight w:val="348" w:hRule="atLeast"/>
        </w:trPr>
        <w:tc>
          <w:tcPr>
            <w:tcW w:w="5342" w:type="dxa"/>
          </w:tcPr>
          <w:p>
            <w:pPr>
              <w:pStyle w:val="TableParagraph"/>
              <w:spacing w:before="92"/>
              <w:ind w:left="213"/>
              <w:rPr>
                <w:sz w:val="14"/>
              </w:rPr>
            </w:pPr>
            <w:r>
              <w:rPr>
                <w:w w:val="105"/>
                <w:sz w:val="14"/>
              </w:rPr>
              <w:t>e) Adjusted Beginning Balance (F1c + F1d)</w:t>
            </w:r>
          </w:p>
        </w:tc>
        <w:tc>
          <w:tcPr>
            <w:tcW w:w="693" w:type="dxa"/>
          </w:tcPr>
          <w:p>
            <w:pPr>
              <w:pStyle w:val="TableParagraph"/>
              <w:rPr>
                <w:rFonts w:ascii="Times New Roman"/>
                <w:sz w:val="14"/>
              </w:rPr>
            </w:pPr>
          </w:p>
        </w:tc>
        <w:tc>
          <w:tcPr>
            <w:tcW w:w="1876" w:type="dxa"/>
          </w:tcPr>
          <w:p>
            <w:pPr>
              <w:pStyle w:val="TableParagraph"/>
              <w:spacing w:before="92"/>
              <w:ind w:right="435"/>
              <w:jc w:val="right"/>
              <w:rPr>
                <w:sz w:val="14"/>
              </w:rPr>
            </w:pPr>
            <w:r>
              <w:rPr>
                <w:sz w:val="14"/>
              </w:rPr>
              <w:t>12,795.00</w:t>
            </w:r>
          </w:p>
        </w:tc>
        <w:tc>
          <w:tcPr>
            <w:tcW w:w="1705" w:type="dxa"/>
          </w:tcPr>
          <w:p>
            <w:pPr>
              <w:pStyle w:val="TableParagraph"/>
              <w:spacing w:before="92"/>
              <w:ind w:right="628"/>
              <w:jc w:val="right"/>
              <w:rPr>
                <w:sz w:val="14"/>
              </w:rPr>
            </w:pPr>
            <w:r>
              <w:rPr>
                <w:sz w:val="14"/>
              </w:rPr>
              <w:t>12,970.00</w:t>
            </w:r>
          </w:p>
        </w:tc>
        <w:tc>
          <w:tcPr>
            <w:tcW w:w="1007" w:type="dxa"/>
          </w:tcPr>
          <w:p>
            <w:pPr>
              <w:pStyle w:val="TableParagraph"/>
              <w:spacing w:before="92"/>
              <w:ind w:right="46"/>
              <w:jc w:val="right"/>
              <w:rPr>
                <w:sz w:val="14"/>
              </w:rPr>
            </w:pPr>
            <w:r>
              <w:rPr>
                <w:sz w:val="14"/>
              </w:rPr>
              <w:t>1.4%</w:t>
            </w:r>
          </w:p>
        </w:tc>
      </w:tr>
      <w:tr>
        <w:trPr>
          <w:trHeight w:val="647" w:hRule="atLeast"/>
        </w:trPr>
        <w:tc>
          <w:tcPr>
            <w:tcW w:w="5342" w:type="dxa"/>
          </w:tcPr>
          <w:p>
            <w:pPr>
              <w:pStyle w:val="TableParagraph"/>
              <w:numPr>
                <w:ilvl w:val="0"/>
                <w:numId w:val="33"/>
              </w:numPr>
              <w:tabs>
                <w:tab w:pos="217" w:val="left" w:leader="none"/>
              </w:tabs>
              <w:spacing w:line="292" w:lineRule="auto" w:before="92" w:after="0"/>
              <w:ind w:left="213" w:right="2748" w:hanging="164"/>
              <w:jc w:val="left"/>
              <w:rPr>
                <w:sz w:val="14"/>
              </w:rPr>
            </w:pPr>
            <w:r>
              <w:rPr>
                <w:w w:val="105"/>
                <w:sz w:val="14"/>
              </w:rPr>
              <w:t>Ending Balance, June 30 (E + F1e) Components</w:t>
            </w:r>
            <w:r>
              <w:rPr>
                <w:spacing w:val="-14"/>
                <w:w w:val="105"/>
                <w:sz w:val="14"/>
              </w:rPr>
              <w:t> </w:t>
            </w:r>
            <w:r>
              <w:rPr>
                <w:w w:val="105"/>
                <w:sz w:val="14"/>
              </w:rPr>
              <w:t>of</w:t>
            </w:r>
            <w:r>
              <w:rPr>
                <w:spacing w:val="-13"/>
                <w:w w:val="105"/>
                <w:sz w:val="14"/>
              </w:rPr>
              <w:t> </w:t>
            </w:r>
            <w:r>
              <w:rPr>
                <w:w w:val="105"/>
                <w:sz w:val="14"/>
              </w:rPr>
              <w:t>Ending</w:t>
            </w:r>
            <w:r>
              <w:rPr>
                <w:spacing w:val="-14"/>
                <w:w w:val="105"/>
                <w:sz w:val="14"/>
              </w:rPr>
              <w:t> </w:t>
            </w:r>
            <w:r>
              <w:rPr>
                <w:w w:val="105"/>
                <w:sz w:val="14"/>
              </w:rPr>
              <w:t>Fund</w:t>
            </w:r>
            <w:r>
              <w:rPr>
                <w:spacing w:val="-15"/>
                <w:w w:val="105"/>
                <w:sz w:val="14"/>
              </w:rPr>
              <w:t> </w:t>
            </w:r>
            <w:r>
              <w:rPr>
                <w:spacing w:val="-3"/>
                <w:w w:val="105"/>
                <w:sz w:val="14"/>
              </w:rPr>
              <w:t>Balance</w:t>
            </w:r>
          </w:p>
          <w:p>
            <w:pPr>
              <w:pStyle w:val="TableParagraph"/>
              <w:numPr>
                <w:ilvl w:val="1"/>
                <w:numId w:val="33"/>
              </w:numPr>
              <w:tabs>
                <w:tab w:pos="381" w:val="left" w:leader="none"/>
              </w:tabs>
              <w:spacing w:line="142" w:lineRule="exact" w:before="1" w:after="0"/>
              <w:ind w:left="380" w:right="0" w:hanging="168"/>
              <w:jc w:val="left"/>
              <w:rPr>
                <w:sz w:val="14"/>
              </w:rPr>
            </w:pPr>
            <w:r>
              <w:rPr>
                <w:w w:val="105"/>
                <w:sz w:val="14"/>
              </w:rPr>
              <w:t>Nonspendable</w:t>
            </w:r>
          </w:p>
        </w:tc>
        <w:tc>
          <w:tcPr>
            <w:tcW w:w="693" w:type="dxa"/>
          </w:tcPr>
          <w:p>
            <w:pPr>
              <w:pStyle w:val="TableParagraph"/>
              <w:rPr>
                <w:rFonts w:ascii="Times New Roman"/>
                <w:sz w:val="14"/>
              </w:rPr>
            </w:pPr>
          </w:p>
        </w:tc>
        <w:tc>
          <w:tcPr>
            <w:tcW w:w="1876" w:type="dxa"/>
          </w:tcPr>
          <w:p>
            <w:pPr>
              <w:pStyle w:val="TableParagraph"/>
              <w:spacing w:before="92"/>
              <w:ind w:right="435"/>
              <w:jc w:val="right"/>
              <w:rPr>
                <w:sz w:val="14"/>
              </w:rPr>
            </w:pPr>
            <w:r>
              <w:rPr>
                <w:sz w:val="14"/>
              </w:rPr>
              <w:t>12,970.00</w:t>
            </w:r>
          </w:p>
        </w:tc>
        <w:tc>
          <w:tcPr>
            <w:tcW w:w="1705" w:type="dxa"/>
          </w:tcPr>
          <w:p>
            <w:pPr>
              <w:pStyle w:val="TableParagraph"/>
              <w:spacing w:before="92"/>
              <w:ind w:right="628"/>
              <w:jc w:val="right"/>
              <w:rPr>
                <w:sz w:val="14"/>
              </w:rPr>
            </w:pPr>
            <w:r>
              <w:rPr>
                <w:sz w:val="14"/>
              </w:rPr>
              <w:t>13,145.00</w:t>
            </w:r>
          </w:p>
        </w:tc>
        <w:tc>
          <w:tcPr>
            <w:tcW w:w="1007" w:type="dxa"/>
          </w:tcPr>
          <w:p>
            <w:pPr>
              <w:pStyle w:val="TableParagraph"/>
              <w:spacing w:before="92"/>
              <w:ind w:right="46"/>
              <w:jc w:val="right"/>
              <w:rPr>
                <w:sz w:val="14"/>
              </w:rPr>
            </w:pPr>
            <w:r>
              <w:rPr>
                <w:sz w:val="14"/>
              </w:rPr>
              <w:t>1.3%</w:t>
            </w:r>
          </w:p>
        </w:tc>
      </w:tr>
      <w:tr>
        <w:trPr>
          <w:trHeight w:val="286" w:hRule="atLeast"/>
        </w:trPr>
        <w:tc>
          <w:tcPr>
            <w:tcW w:w="5342" w:type="dxa"/>
          </w:tcPr>
          <w:p>
            <w:pPr>
              <w:pStyle w:val="TableParagraph"/>
              <w:spacing w:before="35"/>
              <w:ind w:left="416"/>
              <w:rPr>
                <w:sz w:val="14"/>
              </w:rPr>
            </w:pPr>
            <w:r>
              <w:rPr>
                <w:w w:val="105"/>
                <w:sz w:val="14"/>
              </w:rPr>
              <w:t>Revolving Cash</w:t>
            </w:r>
          </w:p>
        </w:tc>
        <w:tc>
          <w:tcPr>
            <w:tcW w:w="693" w:type="dxa"/>
          </w:tcPr>
          <w:p>
            <w:pPr>
              <w:pStyle w:val="TableParagraph"/>
              <w:spacing w:before="35"/>
              <w:ind w:left="50"/>
              <w:rPr>
                <w:sz w:val="14"/>
              </w:rPr>
            </w:pPr>
            <w:r>
              <w:rPr>
                <w:w w:val="105"/>
                <w:sz w:val="14"/>
              </w:rPr>
              <w:t>9711</w:t>
            </w:r>
          </w:p>
        </w:tc>
        <w:tc>
          <w:tcPr>
            <w:tcW w:w="1876" w:type="dxa"/>
          </w:tcPr>
          <w:p>
            <w:pPr>
              <w:pStyle w:val="TableParagraph"/>
              <w:spacing w:before="35"/>
              <w:ind w:right="435"/>
              <w:jc w:val="right"/>
              <w:rPr>
                <w:sz w:val="14"/>
              </w:rPr>
            </w:pPr>
            <w:r>
              <w:rPr>
                <w:sz w:val="14"/>
              </w:rPr>
              <w:t>0.00</w:t>
            </w:r>
          </w:p>
        </w:tc>
        <w:tc>
          <w:tcPr>
            <w:tcW w:w="1705" w:type="dxa"/>
          </w:tcPr>
          <w:p>
            <w:pPr>
              <w:pStyle w:val="TableParagraph"/>
              <w:spacing w:before="35"/>
              <w:ind w:right="628"/>
              <w:jc w:val="right"/>
              <w:rPr>
                <w:sz w:val="14"/>
              </w:rPr>
            </w:pPr>
            <w:r>
              <w:rPr>
                <w:sz w:val="14"/>
              </w:rPr>
              <w:t>0.00</w:t>
            </w:r>
          </w:p>
        </w:tc>
        <w:tc>
          <w:tcPr>
            <w:tcW w:w="1007" w:type="dxa"/>
          </w:tcPr>
          <w:p>
            <w:pPr>
              <w:pStyle w:val="TableParagraph"/>
              <w:spacing w:before="35"/>
              <w:ind w:right="46"/>
              <w:jc w:val="right"/>
              <w:rPr>
                <w:sz w:val="14"/>
              </w:rPr>
            </w:pPr>
            <w:r>
              <w:rPr>
                <w:sz w:val="14"/>
              </w:rPr>
              <w:t>0.0%</w:t>
            </w:r>
          </w:p>
        </w:tc>
      </w:tr>
      <w:tr>
        <w:trPr>
          <w:trHeight w:val="340" w:hRule="atLeast"/>
        </w:trPr>
        <w:tc>
          <w:tcPr>
            <w:tcW w:w="5342" w:type="dxa"/>
          </w:tcPr>
          <w:p>
            <w:pPr>
              <w:pStyle w:val="TableParagraph"/>
              <w:spacing w:before="89"/>
              <w:ind w:left="416"/>
              <w:rPr>
                <w:sz w:val="14"/>
              </w:rPr>
            </w:pPr>
            <w:r>
              <w:rPr>
                <w:w w:val="105"/>
                <w:sz w:val="14"/>
              </w:rPr>
              <w:t>Stores</w:t>
            </w:r>
          </w:p>
        </w:tc>
        <w:tc>
          <w:tcPr>
            <w:tcW w:w="693" w:type="dxa"/>
          </w:tcPr>
          <w:p>
            <w:pPr>
              <w:pStyle w:val="TableParagraph"/>
              <w:spacing w:before="89"/>
              <w:ind w:left="50"/>
              <w:rPr>
                <w:sz w:val="14"/>
              </w:rPr>
            </w:pPr>
            <w:r>
              <w:rPr>
                <w:w w:val="105"/>
                <w:sz w:val="14"/>
              </w:rPr>
              <w:t>9712</w:t>
            </w:r>
          </w:p>
        </w:tc>
        <w:tc>
          <w:tcPr>
            <w:tcW w:w="1876" w:type="dxa"/>
          </w:tcPr>
          <w:p>
            <w:pPr>
              <w:pStyle w:val="TableParagraph"/>
              <w:spacing w:before="89"/>
              <w:ind w:right="435"/>
              <w:jc w:val="right"/>
              <w:rPr>
                <w:sz w:val="14"/>
              </w:rPr>
            </w:pPr>
            <w:r>
              <w:rPr>
                <w:sz w:val="14"/>
              </w:rPr>
              <w:t>0.00</w:t>
            </w:r>
          </w:p>
        </w:tc>
        <w:tc>
          <w:tcPr>
            <w:tcW w:w="1705" w:type="dxa"/>
          </w:tcPr>
          <w:p>
            <w:pPr>
              <w:pStyle w:val="TableParagraph"/>
              <w:spacing w:before="89"/>
              <w:ind w:right="628"/>
              <w:jc w:val="right"/>
              <w:rPr>
                <w:sz w:val="14"/>
              </w:rPr>
            </w:pPr>
            <w:r>
              <w:rPr>
                <w:sz w:val="14"/>
              </w:rPr>
              <w:t>0.00</w:t>
            </w:r>
          </w:p>
        </w:tc>
        <w:tc>
          <w:tcPr>
            <w:tcW w:w="1007" w:type="dxa"/>
          </w:tcPr>
          <w:p>
            <w:pPr>
              <w:pStyle w:val="TableParagraph"/>
              <w:spacing w:before="89"/>
              <w:ind w:right="46"/>
              <w:jc w:val="right"/>
              <w:rPr>
                <w:sz w:val="14"/>
              </w:rPr>
            </w:pPr>
            <w:r>
              <w:rPr>
                <w:sz w:val="14"/>
              </w:rPr>
              <w:t>0.0%</w:t>
            </w:r>
          </w:p>
        </w:tc>
      </w:tr>
      <w:tr>
        <w:trPr>
          <w:trHeight w:val="340" w:hRule="atLeast"/>
        </w:trPr>
        <w:tc>
          <w:tcPr>
            <w:tcW w:w="5342" w:type="dxa"/>
          </w:tcPr>
          <w:p>
            <w:pPr>
              <w:pStyle w:val="TableParagraph"/>
              <w:spacing w:before="89"/>
              <w:ind w:left="416"/>
              <w:rPr>
                <w:sz w:val="14"/>
              </w:rPr>
            </w:pPr>
            <w:r>
              <w:rPr>
                <w:w w:val="105"/>
                <w:sz w:val="14"/>
              </w:rPr>
              <w:t>Prepaid Items</w:t>
            </w:r>
          </w:p>
        </w:tc>
        <w:tc>
          <w:tcPr>
            <w:tcW w:w="693" w:type="dxa"/>
          </w:tcPr>
          <w:p>
            <w:pPr>
              <w:pStyle w:val="TableParagraph"/>
              <w:spacing w:before="89"/>
              <w:ind w:left="50"/>
              <w:rPr>
                <w:sz w:val="14"/>
              </w:rPr>
            </w:pPr>
            <w:r>
              <w:rPr>
                <w:w w:val="105"/>
                <w:sz w:val="14"/>
              </w:rPr>
              <w:t>9713</w:t>
            </w:r>
          </w:p>
        </w:tc>
        <w:tc>
          <w:tcPr>
            <w:tcW w:w="1876" w:type="dxa"/>
          </w:tcPr>
          <w:p>
            <w:pPr>
              <w:pStyle w:val="TableParagraph"/>
              <w:spacing w:before="89"/>
              <w:ind w:right="435"/>
              <w:jc w:val="right"/>
              <w:rPr>
                <w:sz w:val="14"/>
              </w:rPr>
            </w:pPr>
            <w:r>
              <w:rPr>
                <w:sz w:val="14"/>
              </w:rPr>
              <w:t>0.00</w:t>
            </w:r>
          </w:p>
        </w:tc>
        <w:tc>
          <w:tcPr>
            <w:tcW w:w="1705" w:type="dxa"/>
          </w:tcPr>
          <w:p>
            <w:pPr>
              <w:pStyle w:val="TableParagraph"/>
              <w:spacing w:before="89"/>
              <w:ind w:right="628"/>
              <w:jc w:val="right"/>
              <w:rPr>
                <w:sz w:val="14"/>
              </w:rPr>
            </w:pPr>
            <w:r>
              <w:rPr>
                <w:sz w:val="14"/>
              </w:rPr>
              <w:t>0.00</w:t>
            </w:r>
          </w:p>
        </w:tc>
        <w:tc>
          <w:tcPr>
            <w:tcW w:w="1007" w:type="dxa"/>
          </w:tcPr>
          <w:p>
            <w:pPr>
              <w:pStyle w:val="TableParagraph"/>
              <w:spacing w:before="89"/>
              <w:ind w:right="46"/>
              <w:jc w:val="right"/>
              <w:rPr>
                <w:sz w:val="14"/>
              </w:rPr>
            </w:pPr>
            <w:r>
              <w:rPr>
                <w:sz w:val="14"/>
              </w:rPr>
              <w:t>0.0%</w:t>
            </w:r>
          </w:p>
        </w:tc>
      </w:tr>
      <w:tr>
        <w:trPr>
          <w:trHeight w:val="250" w:hRule="atLeast"/>
        </w:trPr>
        <w:tc>
          <w:tcPr>
            <w:tcW w:w="5342" w:type="dxa"/>
          </w:tcPr>
          <w:p>
            <w:pPr>
              <w:pStyle w:val="TableParagraph"/>
              <w:spacing w:line="142" w:lineRule="exact" w:before="89"/>
              <w:ind w:left="416"/>
              <w:rPr>
                <w:sz w:val="14"/>
              </w:rPr>
            </w:pPr>
            <w:r>
              <w:rPr>
                <w:w w:val="105"/>
                <w:sz w:val="14"/>
              </w:rPr>
              <w:t>All Others</w:t>
            </w:r>
          </w:p>
        </w:tc>
        <w:tc>
          <w:tcPr>
            <w:tcW w:w="693" w:type="dxa"/>
          </w:tcPr>
          <w:p>
            <w:pPr>
              <w:pStyle w:val="TableParagraph"/>
              <w:spacing w:line="142" w:lineRule="exact" w:before="89"/>
              <w:ind w:left="50"/>
              <w:rPr>
                <w:sz w:val="14"/>
              </w:rPr>
            </w:pPr>
            <w:r>
              <w:rPr>
                <w:w w:val="105"/>
                <w:sz w:val="14"/>
              </w:rPr>
              <w:t>9719</w:t>
            </w:r>
          </w:p>
        </w:tc>
        <w:tc>
          <w:tcPr>
            <w:tcW w:w="1876" w:type="dxa"/>
          </w:tcPr>
          <w:p>
            <w:pPr>
              <w:pStyle w:val="TableParagraph"/>
              <w:spacing w:line="142" w:lineRule="exact" w:before="89"/>
              <w:ind w:right="435"/>
              <w:jc w:val="right"/>
              <w:rPr>
                <w:sz w:val="14"/>
              </w:rPr>
            </w:pPr>
            <w:r>
              <w:rPr>
                <w:sz w:val="14"/>
              </w:rPr>
              <w:t>0.00</w:t>
            </w:r>
          </w:p>
        </w:tc>
        <w:tc>
          <w:tcPr>
            <w:tcW w:w="1705" w:type="dxa"/>
          </w:tcPr>
          <w:p>
            <w:pPr>
              <w:pStyle w:val="TableParagraph"/>
              <w:spacing w:line="142" w:lineRule="exact" w:before="89"/>
              <w:ind w:right="628"/>
              <w:jc w:val="right"/>
              <w:rPr>
                <w:sz w:val="14"/>
              </w:rPr>
            </w:pPr>
            <w:r>
              <w:rPr>
                <w:sz w:val="14"/>
              </w:rPr>
              <w:t>0.00</w:t>
            </w:r>
          </w:p>
        </w:tc>
        <w:tc>
          <w:tcPr>
            <w:tcW w:w="1007" w:type="dxa"/>
          </w:tcPr>
          <w:p>
            <w:pPr>
              <w:pStyle w:val="TableParagraph"/>
              <w:spacing w:line="142" w:lineRule="exact" w:before="89"/>
              <w:ind w:right="46"/>
              <w:jc w:val="right"/>
              <w:rPr>
                <w:sz w:val="14"/>
              </w:rPr>
            </w:pPr>
            <w:r>
              <w:rPr>
                <w:sz w:val="14"/>
              </w:rPr>
              <w:t>0.0%</w:t>
            </w:r>
          </w:p>
        </w:tc>
      </w:tr>
      <w:tr>
        <w:trPr>
          <w:trHeight w:val="343" w:hRule="atLeast"/>
        </w:trPr>
        <w:tc>
          <w:tcPr>
            <w:tcW w:w="6035" w:type="dxa"/>
            <w:gridSpan w:val="2"/>
          </w:tcPr>
          <w:p>
            <w:pPr>
              <w:pStyle w:val="TableParagraph"/>
              <w:tabs>
                <w:tab w:pos="5709" w:val="right" w:leader="none"/>
              </w:tabs>
              <w:spacing w:line="145" w:lineRule="exact" w:before="179"/>
              <w:ind w:left="213"/>
              <w:rPr>
                <w:sz w:val="14"/>
              </w:rPr>
            </w:pPr>
            <w:r>
              <w:rPr>
                <w:w w:val="105"/>
                <w:sz w:val="14"/>
              </w:rPr>
              <w:t>b)</w:t>
            </w:r>
            <w:r>
              <w:rPr>
                <w:spacing w:val="-2"/>
                <w:w w:val="105"/>
                <w:sz w:val="14"/>
              </w:rPr>
              <w:t> </w:t>
            </w:r>
            <w:r>
              <w:rPr>
                <w:w w:val="105"/>
                <w:sz w:val="14"/>
              </w:rPr>
              <w:t>Restricted</w:t>
              <w:tab/>
              <w:t>9740</w:t>
            </w:r>
          </w:p>
        </w:tc>
        <w:tc>
          <w:tcPr>
            <w:tcW w:w="1876" w:type="dxa"/>
          </w:tcPr>
          <w:p>
            <w:pPr>
              <w:pStyle w:val="TableParagraph"/>
              <w:spacing w:before="6"/>
              <w:rPr>
                <w:sz w:val="15"/>
              </w:rPr>
            </w:pPr>
          </w:p>
          <w:p>
            <w:pPr>
              <w:pStyle w:val="TableParagraph"/>
              <w:spacing w:line="145" w:lineRule="exact"/>
              <w:ind w:right="435"/>
              <w:jc w:val="right"/>
              <w:rPr>
                <w:sz w:val="14"/>
              </w:rPr>
            </w:pPr>
            <w:r>
              <w:rPr>
                <w:sz w:val="14"/>
              </w:rPr>
              <w:t>12,970.00</w:t>
            </w:r>
          </w:p>
        </w:tc>
        <w:tc>
          <w:tcPr>
            <w:tcW w:w="1705" w:type="dxa"/>
          </w:tcPr>
          <w:p>
            <w:pPr>
              <w:pStyle w:val="TableParagraph"/>
              <w:spacing w:before="6"/>
              <w:rPr>
                <w:sz w:val="15"/>
              </w:rPr>
            </w:pPr>
          </w:p>
          <w:p>
            <w:pPr>
              <w:pStyle w:val="TableParagraph"/>
              <w:spacing w:line="145" w:lineRule="exact"/>
              <w:ind w:right="628"/>
              <w:jc w:val="right"/>
              <w:rPr>
                <w:sz w:val="14"/>
              </w:rPr>
            </w:pPr>
            <w:r>
              <w:rPr>
                <w:sz w:val="14"/>
              </w:rPr>
              <w:t>13,145.00</w:t>
            </w:r>
          </w:p>
        </w:tc>
        <w:tc>
          <w:tcPr>
            <w:tcW w:w="1007" w:type="dxa"/>
          </w:tcPr>
          <w:p>
            <w:pPr>
              <w:pStyle w:val="TableParagraph"/>
              <w:spacing w:before="6"/>
              <w:rPr>
                <w:sz w:val="15"/>
              </w:rPr>
            </w:pPr>
          </w:p>
          <w:p>
            <w:pPr>
              <w:pStyle w:val="TableParagraph"/>
              <w:spacing w:line="145" w:lineRule="exact"/>
              <w:ind w:right="46"/>
              <w:jc w:val="right"/>
              <w:rPr>
                <w:sz w:val="14"/>
              </w:rPr>
            </w:pPr>
            <w:r>
              <w:rPr>
                <w:sz w:val="14"/>
              </w:rPr>
              <w:t>1.3%</w:t>
            </w:r>
          </w:p>
        </w:tc>
      </w:tr>
      <w:tr>
        <w:trPr>
          <w:trHeight w:val="340" w:hRule="atLeast"/>
        </w:trPr>
        <w:tc>
          <w:tcPr>
            <w:tcW w:w="6035" w:type="dxa"/>
            <w:gridSpan w:val="2"/>
          </w:tcPr>
          <w:p>
            <w:pPr>
              <w:pStyle w:val="TableParagraph"/>
              <w:spacing w:before="3"/>
              <w:rPr>
                <w:sz w:val="15"/>
              </w:rPr>
            </w:pPr>
          </w:p>
          <w:p>
            <w:pPr>
              <w:pStyle w:val="TableParagraph"/>
              <w:spacing w:line="145" w:lineRule="exact"/>
              <w:ind w:left="213"/>
              <w:rPr>
                <w:sz w:val="14"/>
              </w:rPr>
            </w:pPr>
            <w:r>
              <w:rPr>
                <w:w w:val="105"/>
                <w:sz w:val="14"/>
              </w:rPr>
              <w:t>c) Committed</w:t>
            </w:r>
          </w:p>
        </w:tc>
        <w:tc>
          <w:tcPr>
            <w:tcW w:w="1876" w:type="dxa"/>
            <w:shd w:val="clear" w:color="auto" w:fill="DFDFDF"/>
          </w:tcPr>
          <w:p>
            <w:pPr>
              <w:pStyle w:val="TableParagraph"/>
              <w:rPr>
                <w:rFonts w:ascii="Times New Roman"/>
                <w:sz w:val="14"/>
              </w:rPr>
            </w:pPr>
          </w:p>
        </w:tc>
        <w:tc>
          <w:tcPr>
            <w:tcW w:w="1705" w:type="dxa"/>
            <w:shd w:val="clear" w:color="auto" w:fill="DFDFDF"/>
          </w:tcPr>
          <w:p>
            <w:pPr>
              <w:pStyle w:val="TableParagraph"/>
              <w:rPr>
                <w:rFonts w:ascii="Times New Roman"/>
                <w:sz w:val="14"/>
              </w:rPr>
            </w:pPr>
          </w:p>
        </w:tc>
        <w:tc>
          <w:tcPr>
            <w:tcW w:w="1007" w:type="dxa"/>
            <w:shd w:val="clear" w:color="auto" w:fill="DFDFDF"/>
          </w:tcPr>
          <w:p>
            <w:pPr>
              <w:pStyle w:val="TableParagraph"/>
              <w:rPr>
                <w:rFonts w:ascii="Times New Roman"/>
                <w:sz w:val="14"/>
              </w:rPr>
            </w:pP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6"/>
        </w:rPr>
      </w:pPr>
    </w:p>
    <w:tbl>
      <w:tblPr>
        <w:tblW w:w="0" w:type="auto"/>
        <w:jc w:val="left"/>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12"/>
        <w:gridCol w:w="2413"/>
        <w:gridCol w:w="1638"/>
        <w:gridCol w:w="1526"/>
        <w:gridCol w:w="1020"/>
      </w:tblGrid>
      <w:tr>
        <w:trPr>
          <w:trHeight w:val="250" w:hRule="atLeast"/>
        </w:trPr>
        <w:tc>
          <w:tcPr>
            <w:tcW w:w="3712" w:type="dxa"/>
          </w:tcPr>
          <w:p>
            <w:pPr>
              <w:pStyle w:val="TableParagraph"/>
              <w:spacing w:line="160" w:lineRule="exact"/>
              <w:ind w:left="50"/>
              <w:rPr>
                <w:sz w:val="14"/>
              </w:rPr>
            </w:pPr>
            <w:r>
              <w:rPr>
                <w:w w:val="105"/>
                <w:sz w:val="14"/>
              </w:rPr>
              <w:t>Reserve for Economic Uncertainties</w:t>
            </w:r>
          </w:p>
        </w:tc>
        <w:tc>
          <w:tcPr>
            <w:tcW w:w="2413" w:type="dxa"/>
          </w:tcPr>
          <w:p>
            <w:pPr>
              <w:pStyle w:val="TableParagraph"/>
              <w:spacing w:line="160" w:lineRule="exact"/>
              <w:ind w:right="741"/>
              <w:jc w:val="right"/>
              <w:rPr>
                <w:sz w:val="14"/>
              </w:rPr>
            </w:pPr>
            <w:r>
              <w:rPr>
                <w:sz w:val="14"/>
              </w:rPr>
              <w:t>9789</w:t>
            </w:r>
          </w:p>
        </w:tc>
        <w:tc>
          <w:tcPr>
            <w:tcW w:w="1638" w:type="dxa"/>
          </w:tcPr>
          <w:p>
            <w:pPr>
              <w:pStyle w:val="TableParagraph"/>
              <w:spacing w:line="160" w:lineRule="exact"/>
              <w:ind w:right="613"/>
              <w:jc w:val="right"/>
              <w:rPr>
                <w:sz w:val="14"/>
              </w:rPr>
            </w:pPr>
            <w:r>
              <w:rPr>
                <w:sz w:val="14"/>
              </w:rPr>
              <w:t>0.00</w:t>
            </w:r>
          </w:p>
        </w:tc>
        <w:tc>
          <w:tcPr>
            <w:tcW w:w="1526" w:type="dxa"/>
          </w:tcPr>
          <w:p>
            <w:pPr>
              <w:pStyle w:val="TableParagraph"/>
              <w:spacing w:line="160" w:lineRule="exact"/>
              <w:ind w:left="593" w:right="603"/>
              <w:jc w:val="center"/>
              <w:rPr>
                <w:sz w:val="14"/>
              </w:rPr>
            </w:pPr>
            <w:r>
              <w:rPr>
                <w:w w:val="105"/>
                <w:sz w:val="14"/>
              </w:rPr>
              <w:t>0.00</w:t>
            </w:r>
          </w:p>
        </w:tc>
        <w:tc>
          <w:tcPr>
            <w:tcW w:w="1020" w:type="dxa"/>
          </w:tcPr>
          <w:p>
            <w:pPr>
              <w:pStyle w:val="TableParagraph"/>
              <w:spacing w:line="160" w:lineRule="exact"/>
              <w:ind w:right="59"/>
              <w:jc w:val="right"/>
              <w:rPr>
                <w:sz w:val="14"/>
              </w:rPr>
            </w:pPr>
            <w:r>
              <w:rPr>
                <w:sz w:val="14"/>
              </w:rPr>
              <w:t>0.0%</w:t>
            </w:r>
          </w:p>
        </w:tc>
      </w:tr>
      <w:tr>
        <w:trPr>
          <w:trHeight w:val="250" w:hRule="atLeast"/>
        </w:trPr>
        <w:tc>
          <w:tcPr>
            <w:tcW w:w="3712" w:type="dxa"/>
          </w:tcPr>
          <w:p>
            <w:pPr>
              <w:pStyle w:val="TableParagraph"/>
              <w:spacing w:line="142" w:lineRule="exact" w:before="89"/>
              <w:ind w:left="50"/>
              <w:rPr>
                <w:sz w:val="14"/>
              </w:rPr>
            </w:pPr>
            <w:r>
              <w:rPr>
                <w:w w:val="105"/>
                <w:sz w:val="14"/>
              </w:rPr>
              <w:t>Unassigned/Unappropriated Amount</w:t>
            </w:r>
          </w:p>
        </w:tc>
        <w:tc>
          <w:tcPr>
            <w:tcW w:w="2413" w:type="dxa"/>
          </w:tcPr>
          <w:p>
            <w:pPr>
              <w:pStyle w:val="TableParagraph"/>
              <w:spacing w:line="142" w:lineRule="exact" w:before="89"/>
              <w:ind w:right="741"/>
              <w:jc w:val="right"/>
              <w:rPr>
                <w:sz w:val="14"/>
              </w:rPr>
            </w:pPr>
            <w:r>
              <w:rPr>
                <w:sz w:val="14"/>
              </w:rPr>
              <w:t>9790</w:t>
            </w:r>
          </w:p>
        </w:tc>
        <w:tc>
          <w:tcPr>
            <w:tcW w:w="1638" w:type="dxa"/>
          </w:tcPr>
          <w:p>
            <w:pPr>
              <w:pStyle w:val="TableParagraph"/>
              <w:spacing w:line="142" w:lineRule="exact" w:before="89"/>
              <w:ind w:right="613"/>
              <w:jc w:val="right"/>
              <w:rPr>
                <w:sz w:val="14"/>
              </w:rPr>
            </w:pPr>
            <w:r>
              <w:rPr>
                <w:sz w:val="14"/>
              </w:rPr>
              <w:t>0.00</w:t>
            </w:r>
          </w:p>
        </w:tc>
        <w:tc>
          <w:tcPr>
            <w:tcW w:w="1526" w:type="dxa"/>
          </w:tcPr>
          <w:p>
            <w:pPr>
              <w:pStyle w:val="TableParagraph"/>
              <w:spacing w:line="142" w:lineRule="exact" w:before="89"/>
              <w:ind w:left="593" w:right="603"/>
              <w:jc w:val="center"/>
              <w:rPr>
                <w:sz w:val="14"/>
              </w:rPr>
            </w:pPr>
            <w:r>
              <w:rPr>
                <w:w w:val="105"/>
                <w:sz w:val="14"/>
              </w:rPr>
              <w:t>0.00</w:t>
            </w:r>
          </w:p>
        </w:tc>
        <w:tc>
          <w:tcPr>
            <w:tcW w:w="1020" w:type="dxa"/>
          </w:tcPr>
          <w:p>
            <w:pPr>
              <w:pStyle w:val="TableParagraph"/>
              <w:spacing w:line="142" w:lineRule="exact" w:before="89"/>
              <w:ind w:right="59"/>
              <w:jc w:val="right"/>
              <w:rPr>
                <w:sz w:val="14"/>
              </w:rPr>
            </w:pPr>
            <w:r>
              <w:rPr>
                <w:sz w:val="14"/>
              </w:rPr>
              <w:t>0.0%</w:t>
            </w:r>
          </w:p>
        </w:tc>
      </w:tr>
    </w:tbl>
    <w:p>
      <w:pPr>
        <w:spacing w:after="0" w:line="142" w:lineRule="exact"/>
        <w:jc w:val="right"/>
        <w:rPr>
          <w:sz w:val="14"/>
        </w:rPr>
        <w:sectPr>
          <w:type w:val="continuous"/>
          <w:pgSz w:w="12240" w:h="15840"/>
          <w:pgMar w:top="1500" w:bottom="840" w:left="160" w:right="180"/>
        </w:sectPr>
      </w:pPr>
    </w:p>
    <w:p>
      <w:pPr>
        <w:spacing w:line="232" w:lineRule="auto" w:before="1"/>
        <w:ind w:left="308" w:right="0" w:firstLine="0"/>
        <w:jc w:val="left"/>
        <w:rPr>
          <w:sz w:val="18"/>
        </w:rPr>
      </w:pPr>
      <w:r>
        <w:rPr>
          <w:sz w:val="18"/>
        </w:rPr>
        <w:t>Winship-Robbins Elementary Sutter County</w:t>
      </w:r>
    </w:p>
    <w:p>
      <w:pPr>
        <w:spacing w:line="232" w:lineRule="auto" w:before="1"/>
        <w:ind w:left="308" w:right="33" w:firstLine="43"/>
        <w:jc w:val="left"/>
        <w:rPr>
          <w:sz w:val="18"/>
        </w:rPr>
      </w:pPr>
      <w:r>
        <w:rPr/>
        <w:br w:type="column"/>
      </w:r>
      <w:r>
        <w:rPr>
          <w:sz w:val="18"/>
        </w:rPr>
        <w:t>Capital Facilities Fund Expenditures by Object</w:t>
      </w:r>
    </w:p>
    <w:p>
      <w:pPr>
        <w:spacing w:line="200" w:lineRule="exact" w:before="0"/>
        <w:ind w:left="0" w:right="287" w:firstLine="0"/>
        <w:jc w:val="right"/>
        <w:rPr>
          <w:sz w:val="18"/>
        </w:rPr>
      </w:pPr>
      <w:r>
        <w:rPr/>
        <w:br w:type="column"/>
      </w:r>
      <w:r>
        <w:rPr>
          <w:sz w:val="18"/>
        </w:rPr>
        <w:t>51 71456</w:t>
      </w:r>
      <w:r>
        <w:rPr>
          <w:spacing w:val="3"/>
          <w:sz w:val="18"/>
        </w:rPr>
        <w:t> </w:t>
      </w:r>
      <w:r>
        <w:rPr>
          <w:sz w:val="18"/>
        </w:rPr>
        <w:t>0000000</w:t>
      </w:r>
    </w:p>
    <w:p>
      <w:pPr>
        <w:spacing w:line="204" w:lineRule="exact" w:before="0"/>
        <w:ind w:left="0" w:right="285" w:firstLine="0"/>
        <w:jc w:val="right"/>
        <w:rPr>
          <w:sz w:val="18"/>
        </w:rPr>
      </w:pPr>
      <w:r>
        <w:rPr>
          <w:sz w:val="18"/>
        </w:rPr>
        <w:t>Form </w:t>
      </w:r>
      <w:r>
        <w:rPr>
          <w:spacing w:val="3"/>
          <w:sz w:val="18"/>
        </w:rPr>
        <w:t> </w:t>
      </w:r>
      <w:r>
        <w:rPr>
          <w:sz w:val="18"/>
        </w:rPr>
        <w:t>25</w:t>
      </w:r>
    </w:p>
    <w:p>
      <w:pPr>
        <w:spacing w:after="0" w:line="204" w:lineRule="exact"/>
        <w:jc w:val="right"/>
        <w:rPr>
          <w:sz w:val="18"/>
        </w:rPr>
        <w:sectPr>
          <w:pgSz w:w="12240" w:h="15840"/>
          <w:pgMar w:header="651" w:footer="437" w:top="840" w:bottom="620" w:left="160" w:right="180"/>
          <w:cols w:num="3" w:equalWidth="0">
            <w:col w:w="2698" w:space="2015"/>
            <w:col w:w="2222" w:space="2857"/>
            <w:col w:w="2108"/>
          </w:cols>
        </w:sectPr>
      </w:pPr>
    </w:p>
    <w:p>
      <w:pPr>
        <w:pStyle w:val="BodyText"/>
        <w:rPr>
          <w:sz w:val="20"/>
        </w:rPr>
      </w:pPr>
    </w:p>
    <w:p>
      <w:pPr>
        <w:pStyle w:val="BodyText"/>
        <w:rPr>
          <w:sz w:val="20"/>
        </w:rPr>
      </w:pPr>
    </w:p>
    <w:p>
      <w:pPr>
        <w:pStyle w:val="BodyText"/>
        <w:spacing w:before="8" w:after="1"/>
        <w:rPr>
          <w:sz w:val="26"/>
        </w:rPr>
      </w:pPr>
    </w:p>
    <w:tbl>
      <w:tblPr>
        <w:tblW w:w="0" w:type="auto"/>
        <w:jc w:val="left"/>
        <w:tblInd w:w="3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70"/>
        <w:gridCol w:w="1261"/>
        <w:gridCol w:w="1127"/>
        <w:gridCol w:w="1429"/>
        <w:gridCol w:w="1503"/>
        <w:gridCol w:w="1206"/>
      </w:tblGrid>
      <w:tr>
        <w:trPr>
          <w:trHeight w:val="436" w:hRule="atLeast"/>
        </w:trPr>
        <w:tc>
          <w:tcPr>
            <w:tcW w:w="3870" w:type="dxa"/>
          </w:tcPr>
          <w:p>
            <w:pPr>
              <w:pStyle w:val="TableParagraph"/>
              <w:spacing w:before="5"/>
              <w:rPr>
                <w:sz w:val="14"/>
              </w:rPr>
            </w:pPr>
          </w:p>
          <w:p>
            <w:pPr>
              <w:pStyle w:val="TableParagraph"/>
              <w:spacing w:before="1"/>
              <w:ind w:left="50"/>
              <w:rPr>
                <w:b/>
                <w:sz w:val="14"/>
              </w:rPr>
            </w:pPr>
            <w:r>
              <w:rPr>
                <w:b/>
                <w:w w:val="105"/>
                <w:sz w:val="14"/>
              </w:rPr>
              <w:t>Description</w:t>
            </w:r>
          </w:p>
        </w:tc>
        <w:tc>
          <w:tcPr>
            <w:tcW w:w="1261" w:type="dxa"/>
          </w:tcPr>
          <w:p>
            <w:pPr>
              <w:pStyle w:val="TableParagraph"/>
              <w:spacing w:before="5"/>
              <w:rPr>
                <w:sz w:val="14"/>
              </w:rPr>
            </w:pPr>
          </w:p>
          <w:p>
            <w:pPr>
              <w:pStyle w:val="TableParagraph"/>
              <w:spacing w:before="1"/>
              <w:ind w:left="7"/>
              <w:rPr>
                <w:b/>
                <w:sz w:val="14"/>
              </w:rPr>
            </w:pPr>
            <w:r>
              <w:rPr>
                <w:b/>
                <w:w w:val="105"/>
                <w:sz w:val="14"/>
              </w:rPr>
              <w:t>Resource Codes</w:t>
            </w:r>
          </w:p>
        </w:tc>
        <w:tc>
          <w:tcPr>
            <w:tcW w:w="1127" w:type="dxa"/>
          </w:tcPr>
          <w:p>
            <w:pPr>
              <w:pStyle w:val="TableParagraph"/>
              <w:spacing w:before="5"/>
              <w:rPr>
                <w:sz w:val="14"/>
              </w:rPr>
            </w:pPr>
          </w:p>
          <w:p>
            <w:pPr>
              <w:pStyle w:val="TableParagraph"/>
              <w:spacing w:before="1"/>
              <w:ind w:left="87" w:right="49"/>
              <w:jc w:val="center"/>
              <w:rPr>
                <w:b/>
                <w:sz w:val="14"/>
              </w:rPr>
            </w:pPr>
            <w:r>
              <w:rPr>
                <w:b/>
                <w:w w:val="105"/>
                <w:sz w:val="14"/>
              </w:rPr>
              <w:t>Object Codes</w:t>
            </w:r>
          </w:p>
        </w:tc>
        <w:tc>
          <w:tcPr>
            <w:tcW w:w="1429" w:type="dxa"/>
          </w:tcPr>
          <w:p>
            <w:pPr>
              <w:pStyle w:val="TableParagraph"/>
              <w:spacing w:line="160" w:lineRule="exact"/>
              <w:ind w:left="44" w:right="66"/>
              <w:jc w:val="center"/>
              <w:rPr>
                <w:b/>
                <w:sz w:val="14"/>
              </w:rPr>
            </w:pPr>
            <w:r>
              <w:rPr>
                <w:b/>
                <w:w w:val="105"/>
                <w:sz w:val="14"/>
              </w:rPr>
              <w:t>2020-21</w:t>
            </w:r>
          </w:p>
          <w:p>
            <w:pPr>
              <w:pStyle w:val="TableParagraph"/>
              <w:spacing w:before="7"/>
              <w:ind w:left="44" w:right="69"/>
              <w:jc w:val="center"/>
              <w:rPr>
                <w:b/>
                <w:sz w:val="14"/>
              </w:rPr>
            </w:pPr>
            <w:r>
              <w:rPr>
                <w:b/>
                <w:w w:val="105"/>
                <w:sz w:val="14"/>
              </w:rPr>
              <w:t>Estimated Actuals</w:t>
            </w:r>
          </w:p>
        </w:tc>
        <w:tc>
          <w:tcPr>
            <w:tcW w:w="1503" w:type="dxa"/>
          </w:tcPr>
          <w:p>
            <w:pPr>
              <w:pStyle w:val="TableParagraph"/>
              <w:spacing w:line="160" w:lineRule="exact"/>
              <w:ind w:left="522"/>
              <w:rPr>
                <w:b/>
                <w:sz w:val="14"/>
              </w:rPr>
            </w:pPr>
            <w:r>
              <w:rPr>
                <w:b/>
                <w:w w:val="105"/>
                <w:sz w:val="14"/>
              </w:rPr>
              <w:t>2021-22</w:t>
            </w:r>
          </w:p>
          <w:p>
            <w:pPr>
              <w:pStyle w:val="TableParagraph"/>
              <w:spacing w:before="7"/>
              <w:ind w:left="534"/>
              <w:rPr>
                <w:b/>
                <w:sz w:val="14"/>
              </w:rPr>
            </w:pPr>
            <w:r>
              <w:rPr>
                <w:b/>
                <w:w w:val="105"/>
                <w:sz w:val="14"/>
              </w:rPr>
              <w:t>Budget</w:t>
            </w:r>
          </w:p>
        </w:tc>
        <w:tc>
          <w:tcPr>
            <w:tcW w:w="1206" w:type="dxa"/>
          </w:tcPr>
          <w:p>
            <w:pPr>
              <w:pStyle w:val="TableParagraph"/>
              <w:spacing w:line="249" w:lineRule="auto"/>
              <w:ind w:left="457" w:right="44" w:firstLine="86"/>
              <w:rPr>
                <w:b/>
                <w:sz w:val="14"/>
              </w:rPr>
            </w:pPr>
            <w:r>
              <w:rPr>
                <w:b/>
                <w:w w:val="105"/>
                <w:sz w:val="14"/>
              </w:rPr>
              <w:t>Percent </w:t>
            </w:r>
            <w:r>
              <w:rPr>
                <w:b/>
                <w:sz w:val="14"/>
              </w:rPr>
              <w:t>Difference</w:t>
            </w:r>
          </w:p>
        </w:tc>
      </w:tr>
      <w:tr>
        <w:trPr>
          <w:trHeight w:val="766" w:hRule="atLeast"/>
        </w:trPr>
        <w:tc>
          <w:tcPr>
            <w:tcW w:w="3870" w:type="dxa"/>
          </w:tcPr>
          <w:p>
            <w:pPr>
              <w:pStyle w:val="TableParagraph"/>
              <w:spacing w:before="107"/>
              <w:ind w:left="50"/>
              <w:rPr>
                <w:b/>
                <w:sz w:val="14"/>
              </w:rPr>
            </w:pPr>
            <w:r>
              <w:rPr>
                <w:b/>
                <w:w w:val="105"/>
                <w:sz w:val="14"/>
              </w:rPr>
              <w:t>G. ASSETS</w:t>
            </w:r>
          </w:p>
          <w:p>
            <w:pPr>
              <w:pStyle w:val="TableParagraph"/>
              <w:numPr>
                <w:ilvl w:val="0"/>
                <w:numId w:val="34"/>
              </w:numPr>
              <w:tabs>
                <w:tab w:pos="381" w:val="left" w:leader="none"/>
              </w:tabs>
              <w:spacing w:line="240" w:lineRule="auto" w:before="38" w:after="0"/>
              <w:ind w:left="380" w:right="0" w:hanging="168"/>
              <w:jc w:val="left"/>
              <w:rPr>
                <w:sz w:val="14"/>
              </w:rPr>
            </w:pPr>
            <w:r>
              <w:rPr>
                <w:w w:val="105"/>
                <w:sz w:val="14"/>
              </w:rPr>
              <w:t>Cash</w:t>
            </w:r>
          </w:p>
          <w:p>
            <w:pPr>
              <w:pStyle w:val="TableParagraph"/>
              <w:numPr>
                <w:ilvl w:val="1"/>
                <w:numId w:val="34"/>
              </w:numPr>
              <w:tabs>
                <w:tab w:pos="544" w:val="left" w:leader="none"/>
              </w:tabs>
              <w:spacing w:line="240" w:lineRule="auto" w:before="36" w:after="0"/>
              <w:ind w:left="543" w:right="0" w:hanging="168"/>
              <w:jc w:val="left"/>
              <w:rPr>
                <w:sz w:val="14"/>
              </w:rPr>
            </w:pPr>
            <w:r>
              <w:rPr>
                <w:w w:val="105"/>
                <w:sz w:val="14"/>
              </w:rPr>
              <w:t>in County</w:t>
            </w:r>
            <w:r>
              <w:rPr>
                <w:spacing w:val="-6"/>
                <w:w w:val="105"/>
                <w:sz w:val="14"/>
              </w:rPr>
              <w:t> </w:t>
            </w:r>
            <w:r>
              <w:rPr>
                <w:w w:val="105"/>
                <w:sz w:val="14"/>
              </w:rPr>
              <w:t>Treasury</w:t>
            </w:r>
          </w:p>
        </w:tc>
        <w:tc>
          <w:tcPr>
            <w:tcW w:w="1261" w:type="dxa"/>
          </w:tcPr>
          <w:p>
            <w:pPr>
              <w:pStyle w:val="TableParagraph"/>
              <w:rPr>
                <w:rFonts w:ascii="Times New Roman"/>
                <w:sz w:val="14"/>
              </w:rPr>
            </w:pPr>
          </w:p>
        </w:tc>
        <w:tc>
          <w:tcPr>
            <w:tcW w:w="1127" w:type="dxa"/>
          </w:tcPr>
          <w:p>
            <w:pPr>
              <w:pStyle w:val="TableParagraph"/>
              <w:rPr>
                <w:sz w:val="16"/>
              </w:rPr>
            </w:pPr>
          </w:p>
          <w:p>
            <w:pPr>
              <w:pStyle w:val="TableParagraph"/>
              <w:rPr>
                <w:sz w:val="16"/>
              </w:rPr>
            </w:pPr>
          </w:p>
          <w:p>
            <w:pPr>
              <w:pStyle w:val="TableParagraph"/>
              <w:spacing w:before="135"/>
              <w:ind w:left="88" w:right="49"/>
              <w:jc w:val="center"/>
              <w:rPr>
                <w:sz w:val="14"/>
              </w:rPr>
            </w:pPr>
            <w:r>
              <w:rPr>
                <w:w w:val="105"/>
                <w:sz w:val="14"/>
              </w:rPr>
              <w:t>9110</w:t>
            </w:r>
          </w:p>
        </w:tc>
        <w:tc>
          <w:tcPr>
            <w:tcW w:w="1429" w:type="dxa"/>
          </w:tcPr>
          <w:p>
            <w:pPr>
              <w:pStyle w:val="TableParagraph"/>
              <w:rPr>
                <w:sz w:val="16"/>
              </w:rPr>
            </w:pPr>
          </w:p>
          <w:p>
            <w:pPr>
              <w:pStyle w:val="TableParagraph"/>
              <w:rPr>
                <w:sz w:val="16"/>
              </w:rPr>
            </w:pPr>
          </w:p>
          <w:p>
            <w:pPr>
              <w:pStyle w:val="TableParagraph"/>
              <w:spacing w:before="135"/>
              <w:ind w:right="47"/>
              <w:jc w:val="right"/>
              <w:rPr>
                <w:sz w:val="14"/>
              </w:rPr>
            </w:pPr>
            <w:r>
              <w:rPr>
                <w:sz w:val="14"/>
              </w:rPr>
              <w:t>12,869.59</w:t>
            </w:r>
          </w:p>
        </w:tc>
        <w:tc>
          <w:tcPr>
            <w:tcW w:w="1503" w:type="dxa"/>
          </w:tcPr>
          <w:p>
            <w:pPr>
              <w:pStyle w:val="TableParagraph"/>
              <w:rPr>
                <w:rFonts w:ascii="Times New Roman"/>
                <w:sz w:val="14"/>
              </w:rPr>
            </w:pPr>
          </w:p>
        </w:tc>
        <w:tc>
          <w:tcPr>
            <w:tcW w:w="1206" w:type="dxa"/>
          </w:tcPr>
          <w:p>
            <w:pPr>
              <w:pStyle w:val="TableParagraph"/>
              <w:rPr>
                <w:rFonts w:ascii="Times New Roman"/>
                <w:sz w:val="14"/>
              </w:rPr>
            </w:pPr>
          </w:p>
        </w:tc>
      </w:tr>
      <w:tr>
        <w:trPr>
          <w:trHeight w:val="364" w:hRule="atLeast"/>
        </w:trPr>
        <w:tc>
          <w:tcPr>
            <w:tcW w:w="3870" w:type="dxa"/>
          </w:tcPr>
          <w:p>
            <w:pPr>
              <w:pStyle w:val="TableParagraph"/>
              <w:spacing w:before="101"/>
              <w:ind w:left="497"/>
              <w:rPr>
                <w:sz w:val="14"/>
              </w:rPr>
            </w:pPr>
            <w:r>
              <w:rPr>
                <w:w w:val="105"/>
                <w:sz w:val="14"/>
              </w:rPr>
              <w:t>1)</w:t>
            </w:r>
            <w:r>
              <w:rPr>
                <w:spacing w:val="-11"/>
                <w:w w:val="105"/>
                <w:sz w:val="14"/>
              </w:rPr>
              <w:t> </w:t>
            </w:r>
            <w:r>
              <w:rPr>
                <w:w w:val="105"/>
                <w:sz w:val="14"/>
              </w:rPr>
              <w:t>Fair</w:t>
            </w:r>
            <w:r>
              <w:rPr>
                <w:spacing w:val="-10"/>
                <w:w w:val="105"/>
                <w:sz w:val="14"/>
              </w:rPr>
              <w:t> </w:t>
            </w:r>
            <w:r>
              <w:rPr>
                <w:w w:val="105"/>
                <w:sz w:val="14"/>
              </w:rPr>
              <w:t>Value</w:t>
            </w:r>
            <w:r>
              <w:rPr>
                <w:spacing w:val="-12"/>
                <w:w w:val="105"/>
                <w:sz w:val="14"/>
              </w:rPr>
              <w:t> </w:t>
            </w:r>
            <w:r>
              <w:rPr>
                <w:w w:val="105"/>
                <w:sz w:val="14"/>
              </w:rPr>
              <w:t>Adjustment</w:t>
            </w:r>
            <w:r>
              <w:rPr>
                <w:spacing w:val="-10"/>
                <w:w w:val="105"/>
                <w:sz w:val="14"/>
              </w:rPr>
              <w:t> </w:t>
            </w:r>
            <w:r>
              <w:rPr>
                <w:w w:val="105"/>
                <w:sz w:val="14"/>
              </w:rPr>
              <w:t>to</w:t>
            </w:r>
            <w:r>
              <w:rPr>
                <w:spacing w:val="-11"/>
                <w:w w:val="105"/>
                <w:sz w:val="14"/>
              </w:rPr>
              <w:t> </w:t>
            </w:r>
            <w:r>
              <w:rPr>
                <w:w w:val="105"/>
                <w:sz w:val="14"/>
              </w:rPr>
              <w:t>Cash</w:t>
            </w:r>
            <w:r>
              <w:rPr>
                <w:spacing w:val="-11"/>
                <w:w w:val="105"/>
                <w:sz w:val="14"/>
              </w:rPr>
              <w:t> </w:t>
            </w:r>
            <w:r>
              <w:rPr>
                <w:w w:val="105"/>
                <w:sz w:val="14"/>
              </w:rPr>
              <w:t>in</w:t>
            </w:r>
            <w:r>
              <w:rPr>
                <w:spacing w:val="-12"/>
                <w:w w:val="105"/>
                <w:sz w:val="14"/>
              </w:rPr>
              <w:t> </w:t>
            </w:r>
            <w:r>
              <w:rPr>
                <w:w w:val="105"/>
                <w:sz w:val="14"/>
              </w:rPr>
              <w:t>County</w:t>
            </w:r>
            <w:r>
              <w:rPr>
                <w:spacing w:val="-12"/>
                <w:w w:val="105"/>
                <w:sz w:val="14"/>
              </w:rPr>
              <w:t> </w:t>
            </w:r>
            <w:r>
              <w:rPr>
                <w:w w:val="105"/>
                <w:sz w:val="14"/>
              </w:rPr>
              <w:t>Treasury</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9111</w:t>
            </w:r>
          </w:p>
        </w:tc>
        <w:tc>
          <w:tcPr>
            <w:tcW w:w="1429" w:type="dxa"/>
          </w:tcPr>
          <w:p>
            <w:pPr>
              <w:pStyle w:val="TableParagraph"/>
              <w:spacing w:before="101"/>
              <w:ind w:right="48"/>
              <w:jc w:val="right"/>
              <w:rPr>
                <w:sz w:val="14"/>
              </w:rPr>
            </w:pPr>
            <w:r>
              <w:rPr>
                <w:sz w:val="14"/>
              </w:rPr>
              <w:t>0.00</w:t>
            </w:r>
          </w:p>
        </w:tc>
        <w:tc>
          <w:tcPr>
            <w:tcW w:w="1503" w:type="dxa"/>
          </w:tcPr>
          <w:p>
            <w:pPr>
              <w:pStyle w:val="TableParagraph"/>
              <w:rPr>
                <w:rFonts w:ascii="Times New Roman"/>
                <w:sz w:val="14"/>
              </w:rPr>
            </w:pPr>
          </w:p>
        </w:tc>
        <w:tc>
          <w:tcPr>
            <w:tcW w:w="1206" w:type="dxa"/>
          </w:tcPr>
          <w:p>
            <w:pPr>
              <w:pStyle w:val="TableParagraph"/>
              <w:rPr>
                <w:rFonts w:ascii="Times New Roman"/>
                <w:sz w:val="14"/>
              </w:rPr>
            </w:pPr>
          </w:p>
        </w:tc>
      </w:tr>
      <w:tr>
        <w:trPr>
          <w:trHeight w:val="364" w:hRule="atLeast"/>
        </w:trPr>
        <w:tc>
          <w:tcPr>
            <w:tcW w:w="3870" w:type="dxa"/>
          </w:tcPr>
          <w:p>
            <w:pPr>
              <w:pStyle w:val="TableParagraph"/>
              <w:spacing w:before="101"/>
              <w:ind w:left="376"/>
              <w:rPr>
                <w:sz w:val="14"/>
              </w:rPr>
            </w:pPr>
            <w:r>
              <w:rPr>
                <w:w w:val="105"/>
                <w:sz w:val="14"/>
              </w:rPr>
              <w:t>b) in Banks</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9120</w:t>
            </w:r>
          </w:p>
        </w:tc>
        <w:tc>
          <w:tcPr>
            <w:tcW w:w="1429" w:type="dxa"/>
          </w:tcPr>
          <w:p>
            <w:pPr>
              <w:pStyle w:val="TableParagraph"/>
              <w:spacing w:before="101"/>
              <w:ind w:right="48"/>
              <w:jc w:val="right"/>
              <w:rPr>
                <w:sz w:val="14"/>
              </w:rPr>
            </w:pPr>
            <w:r>
              <w:rPr>
                <w:sz w:val="14"/>
              </w:rPr>
              <w:t>0.00</w:t>
            </w:r>
          </w:p>
        </w:tc>
        <w:tc>
          <w:tcPr>
            <w:tcW w:w="1503" w:type="dxa"/>
          </w:tcPr>
          <w:p>
            <w:pPr>
              <w:pStyle w:val="TableParagraph"/>
              <w:rPr>
                <w:rFonts w:ascii="Times New Roman"/>
                <w:sz w:val="14"/>
              </w:rPr>
            </w:pPr>
          </w:p>
        </w:tc>
        <w:tc>
          <w:tcPr>
            <w:tcW w:w="1206" w:type="dxa"/>
          </w:tcPr>
          <w:p>
            <w:pPr>
              <w:pStyle w:val="TableParagraph"/>
              <w:rPr>
                <w:rFonts w:ascii="Times New Roman"/>
                <w:sz w:val="14"/>
              </w:rPr>
            </w:pPr>
          </w:p>
        </w:tc>
      </w:tr>
      <w:tr>
        <w:trPr>
          <w:trHeight w:val="364" w:hRule="atLeast"/>
        </w:trPr>
        <w:tc>
          <w:tcPr>
            <w:tcW w:w="3870" w:type="dxa"/>
          </w:tcPr>
          <w:p>
            <w:pPr>
              <w:pStyle w:val="TableParagraph"/>
              <w:spacing w:before="101"/>
              <w:ind w:left="376"/>
              <w:rPr>
                <w:sz w:val="14"/>
              </w:rPr>
            </w:pPr>
            <w:r>
              <w:rPr>
                <w:w w:val="105"/>
                <w:sz w:val="14"/>
              </w:rPr>
              <w:t>c) in Revolving Cash Account</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9130</w:t>
            </w:r>
          </w:p>
        </w:tc>
        <w:tc>
          <w:tcPr>
            <w:tcW w:w="1429" w:type="dxa"/>
          </w:tcPr>
          <w:p>
            <w:pPr>
              <w:pStyle w:val="TableParagraph"/>
              <w:spacing w:before="101"/>
              <w:ind w:right="48"/>
              <w:jc w:val="right"/>
              <w:rPr>
                <w:sz w:val="14"/>
              </w:rPr>
            </w:pPr>
            <w:r>
              <w:rPr>
                <w:sz w:val="14"/>
              </w:rPr>
              <w:t>0.00</w:t>
            </w:r>
          </w:p>
        </w:tc>
        <w:tc>
          <w:tcPr>
            <w:tcW w:w="1503" w:type="dxa"/>
          </w:tcPr>
          <w:p>
            <w:pPr>
              <w:pStyle w:val="TableParagraph"/>
              <w:rPr>
                <w:rFonts w:ascii="Times New Roman"/>
                <w:sz w:val="14"/>
              </w:rPr>
            </w:pPr>
          </w:p>
        </w:tc>
        <w:tc>
          <w:tcPr>
            <w:tcW w:w="1206" w:type="dxa"/>
          </w:tcPr>
          <w:p>
            <w:pPr>
              <w:pStyle w:val="TableParagraph"/>
              <w:rPr>
                <w:rFonts w:ascii="Times New Roman"/>
                <w:sz w:val="14"/>
              </w:rPr>
            </w:pPr>
          </w:p>
        </w:tc>
      </w:tr>
      <w:tr>
        <w:trPr>
          <w:trHeight w:val="364" w:hRule="atLeast"/>
        </w:trPr>
        <w:tc>
          <w:tcPr>
            <w:tcW w:w="3870" w:type="dxa"/>
          </w:tcPr>
          <w:p>
            <w:pPr>
              <w:pStyle w:val="TableParagraph"/>
              <w:spacing w:before="101"/>
              <w:ind w:left="376"/>
              <w:rPr>
                <w:sz w:val="14"/>
              </w:rPr>
            </w:pPr>
            <w:r>
              <w:rPr>
                <w:w w:val="105"/>
                <w:sz w:val="14"/>
              </w:rPr>
              <w:t>d) with Fiscal Agent/Trustee</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9135</w:t>
            </w:r>
          </w:p>
        </w:tc>
        <w:tc>
          <w:tcPr>
            <w:tcW w:w="1429" w:type="dxa"/>
          </w:tcPr>
          <w:p>
            <w:pPr>
              <w:pStyle w:val="TableParagraph"/>
              <w:spacing w:before="101"/>
              <w:ind w:right="48"/>
              <w:jc w:val="right"/>
              <w:rPr>
                <w:sz w:val="14"/>
              </w:rPr>
            </w:pPr>
            <w:r>
              <w:rPr>
                <w:sz w:val="14"/>
              </w:rPr>
              <w:t>0.00</w:t>
            </w:r>
          </w:p>
        </w:tc>
        <w:tc>
          <w:tcPr>
            <w:tcW w:w="1503" w:type="dxa"/>
          </w:tcPr>
          <w:p>
            <w:pPr>
              <w:pStyle w:val="TableParagraph"/>
              <w:rPr>
                <w:rFonts w:ascii="Times New Roman"/>
                <w:sz w:val="14"/>
              </w:rPr>
            </w:pPr>
          </w:p>
        </w:tc>
        <w:tc>
          <w:tcPr>
            <w:tcW w:w="1206" w:type="dxa"/>
          </w:tcPr>
          <w:p>
            <w:pPr>
              <w:pStyle w:val="TableParagraph"/>
              <w:rPr>
                <w:rFonts w:ascii="Times New Roman"/>
                <w:sz w:val="14"/>
              </w:rPr>
            </w:pPr>
          </w:p>
        </w:tc>
      </w:tr>
      <w:tr>
        <w:trPr>
          <w:trHeight w:val="364" w:hRule="atLeast"/>
        </w:trPr>
        <w:tc>
          <w:tcPr>
            <w:tcW w:w="3870" w:type="dxa"/>
          </w:tcPr>
          <w:p>
            <w:pPr>
              <w:pStyle w:val="TableParagraph"/>
              <w:spacing w:before="101"/>
              <w:ind w:left="376"/>
              <w:rPr>
                <w:sz w:val="14"/>
              </w:rPr>
            </w:pPr>
            <w:r>
              <w:rPr>
                <w:w w:val="105"/>
                <w:sz w:val="14"/>
              </w:rPr>
              <w:t>e) Collections Awaiting Deposit</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9140</w:t>
            </w:r>
          </w:p>
        </w:tc>
        <w:tc>
          <w:tcPr>
            <w:tcW w:w="1429" w:type="dxa"/>
          </w:tcPr>
          <w:p>
            <w:pPr>
              <w:pStyle w:val="TableParagraph"/>
              <w:spacing w:before="101"/>
              <w:ind w:right="48"/>
              <w:jc w:val="right"/>
              <w:rPr>
                <w:sz w:val="14"/>
              </w:rPr>
            </w:pPr>
            <w:r>
              <w:rPr>
                <w:sz w:val="14"/>
              </w:rPr>
              <w:t>0.00</w:t>
            </w:r>
          </w:p>
        </w:tc>
        <w:tc>
          <w:tcPr>
            <w:tcW w:w="1503" w:type="dxa"/>
          </w:tcPr>
          <w:p>
            <w:pPr>
              <w:pStyle w:val="TableParagraph"/>
              <w:rPr>
                <w:rFonts w:ascii="Times New Roman"/>
                <w:sz w:val="14"/>
              </w:rPr>
            </w:pPr>
          </w:p>
        </w:tc>
        <w:tc>
          <w:tcPr>
            <w:tcW w:w="1206" w:type="dxa"/>
          </w:tcPr>
          <w:p>
            <w:pPr>
              <w:pStyle w:val="TableParagraph"/>
              <w:rPr>
                <w:rFonts w:ascii="Times New Roman"/>
                <w:sz w:val="14"/>
              </w:rPr>
            </w:pPr>
          </w:p>
        </w:tc>
      </w:tr>
      <w:tr>
        <w:trPr>
          <w:trHeight w:val="364" w:hRule="atLeast"/>
        </w:trPr>
        <w:tc>
          <w:tcPr>
            <w:tcW w:w="3870" w:type="dxa"/>
          </w:tcPr>
          <w:p>
            <w:pPr>
              <w:pStyle w:val="TableParagraph"/>
              <w:spacing w:before="101"/>
              <w:ind w:left="213"/>
              <w:rPr>
                <w:sz w:val="14"/>
              </w:rPr>
            </w:pPr>
            <w:r>
              <w:rPr>
                <w:w w:val="105"/>
                <w:sz w:val="14"/>
              </w:rPr>
              <w:t>2) Investments</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9150</w:t>
            </w:r>
          </w:p>
        </w:tc>
        <w:tc>
          <w:tcPr>
            <w:tcW w:w="1429" w:type="dxa"/>
          </w:tcPr>
          <w:p>
            <w:pPr>
              <w:pStyle w:val="TableParagraph"/>
              <w:spacing w:before="101"/>
              <w:ind w:right="48"/>
              <w:jc w:val="right"/>
              <w:rPr>
                <w:sz w:val="14"/>
              </w:rPr>
            </w:pPr>
            <w:r>
              <w:rPr>
                <w:sz w:val="14"/>
              </w:rPr>
              <w:t>0.00</w:t>
            </w:r>
          </w:p>
        </w:tc>
        <w:tc>
          <w:tcPr>
            <w:tcW w:w="1503" w:type="dxa"/>
          </w:tcPr>
          <w:p>
            <w:pPr>
              <w:pStyle w:val="TableParagraph"/>
              <w:rPr>
                <w:rFonts w:ascii="Times New Roman"/>
                <w:sz w:val="14"/>
              </w:rPr>
            </w:pPr>
          </w:p>
        </w:tc>
        <w:tc>
          <w:tcPr>
            <w:tcW w:w="1206" w:type="dxa"/>
          </w:tcPr>
          <w:p>
            <w:pPr>
              <w:pStyle w:val="TableParagraph"/>
              <w:rPr>
                <w:rFonts w:ascii="Times New Roman"/>
                <w:sz w:val="14"/>
              </w:rPr>
            </w:pPr>
          </w:p>
        </w:tc>
      </w:tr>
      <w:tr>
        <w:trPr>
          <w:trHeight w:val="364" w:hRule="atLeast"/>
        </w:trPr>
        <w:tc>
          <w:tcPr>
            <w:tcW w:w="3870" w:type="dxa"/>
          </w:tcPr>
          <w:p>
            <w:pPr>
              <w:pStyle w:val="TableParagraph"/>
              <w:spacing w:before="101"/>
              <w:ind w:left="213"/>
              <w:rPr>
                <w:sz w:val="14"/>
              </w:rPr>
            </w:pPr>
            <w:r>
              <w:rPr>
                <w:w w:val="105"/>
                <w:sz w:val="14"/>
              </w:rPr>
              <w:t>3) Accounts Receivable</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9200</w:t>
            </w:r>
          </w:p>
        </w:tc>
        <w:tc>
          <w:tcPr>
            <w:tcW w:w="1429" w:type="dxa"/>
          </w:tcPr>
          <w:p>
            <w:pPr>
              <w:pStyle w:val="TableParagraph"/>
              <w:spacing w:before="101"/>
              <w:ind w:right="48"/>
              <w:jc w:val="right"/>
              <w:rPr>
                <w:sz w:val="14"/>
              </w:rPr>
            </w:pPr>
            <w:r>
              <w:rPr>
                <w:sz w:val="14"/>
              </w:rPr>
              <w:t>0.00</w:t>
            </w:r>
          </w:p>
        </w:tc>
        <w:tc>
          <w:tcPr>
            <w:tcW w:w="1503" w:type="dxa"/>
          </w:tcPr>
          <w:p>
            <w:pPr>
              <w:pStyle w:val="TableParagraph"/>
              <w:rPr>
                <w:rFonts w:ascii="Times New Roman"/>
                <w:sz w:val="14"/>
              </w:rPr>
            </w:pPr>
          </w:p>
        </w:tc>
        <w:tc>
          <w:tcPr>
            <w:tcW w:w="1206" w:type="dxa"/>
          </w:tcPr>
          <w:p>
            <w:pPr>
              <w:pStyle w:val="TableParagraph"/>
              <w:rPr>
                <w:rFonts w:ascii="Times New Roman"/>
                <w:sz w:val="14"/>
              </w:rPr>
            </w:pPr>
          </w:p>
        </w:tc>
      </w:tr>
      <w:tr>
        <w:trPr>
          <w:trHeight w:val="364" w:hRule="atLeast"/>
        </w:trPr>
        <w:tc>
          <w:tcPr>
            <w:tcW w:w="3870" w:type="dxa"/>
          </w:tcPr>
          <w:p>
            <w:pPr>
              <w:pStyle w:val="TableParagraph"/>
              <w:spacing w:before="101"/>
              <w:ind w:left="213"/>
              <w:rPr>
                <w:sz w:val="14"/>
              </w:rPr>
            </w:pPr>
            <w:r>
              <w:rPr>
                <w:w w:val="105"/>
                <w:sz w:val="14"/>
              </w:rPr>
              <w:t>4) Due from Grantor Government</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9290</w:t>
            </w:r>
          </w:p>
        </w:tc>
        <w:tc>
          <w:tcPr>
            <w:tcW w:w="1429" w:type="dxa"/>
          </w:tcPr>
          <w:p>
            <w:pPr>
              <w:pStyle w:val="TableParagraph"/>
              <w:spacing w:before="101"/>
              <w:ind w:right="48"/>
              <w:jc w:val="right"/>
              <w:rPr>
                <w:sz w:val="14"/>
              </w:rPr>
            </w:pPr>
            <w:r>
              <w:rPr>
                <w:sz w:val="14"/>
              </w:rPr>
              <w:t>0.00</w:t>
            </w:r>
          </w:p>
        </w:tc>
        <w:tc>
          <w:tcPr>
            <w:tcW w:w="1503" w:type="dxa"/>
          </w:tcPr>
          <w:p>
            <w:pPr>
              <w:pStyle w:val="TableParagraph"/>
              <w:rPr>
                <w:rFonts w:ascii="Times New Roman"/>
                <w:sz w:val="14"/>
              </w:rPr>
            </w:pPr>
          </w:p>
        </w:tc>
        <w:tc>
          <w:tcPr>
            <w:tcW w:w="1206" w:type="dxa"/>
          </w:tcPr>
          <w:p>
            <w:pPr>
              <w:pStyle w:val="TableParagraph"/>
              <w:rPr>
                <w:rFonts w:ascii="Times New Roman"/>
                <w:sz w:val="14"/>
              </w:rPr>
            </w:pPr>
          </w:p>
        </w:tc>
      </w:tr>
      <w:tr>
        <w:trPr>
          <w:trHeight w:val="364" w:hRule="atLeast"/>
        </w:trPr>
        <w:tc>
          <w:tcPr>
            <w:tcW w:w="3870" w:type="dxa"/>
          </w:tcPr>
          <w:p>
            <w:pPr>
              <w:pStyle w:val="TableParagraph"/>
              <w:spacing w:before="101"/>
              <w:ind w:left="213"/>
              <w:rPr>
                <w:sz w:val="14"/>
              </w:rPr>
            </w:pPr>
            <w:r>
              <w:rPr>
                <w:w w:val="105"/>
                <w:sz w:val="14"/>
              </w:rPr>
              <w:t>5) Due from Other Funds</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9310</w:t>
            </w:r>
          </w:p>
        </w:tc>
        <w:tc>
          <w:tcPr>
            <w:tcW w:w="1429" w:type="dxa"/>
          </w:tcPr>
          <w:p>
            <w:pPr>
              <w:pStyle w:val="TableParagraph"/>
              <w:spacing w:before="101"/>
              <w:ind w:right="48"/>
              <w:jc w:val="right"/>
              <w:rPr>
                <w:sz w:val="14"/>
              </w:rPr>
            </w:pPr>
            <w:r>
              <w:rPr>
                <w:sz w:val="14"/>
              </w:rPr>
              <w:t>0.00</w:t>
            </w:r>
          </w:p>
        </w:tc>
        <w:tc>
          <w:tcPr>
            <w:tcW w:w="1503" w:type="dxa"/>
          </w:tcPr>
          <w:p>
            <w:pPr>
              <w:pStyle w:val="TableParagraph"/>
              <w:rPr>
                <w:rFonts w:ascii="Times New Roman"/>
                <w:sz w:val="14"/>
              </w:rPr>
            </w:pPr>
          </w:p>
        </w:tc>
        <w:tc>
          <w:tcPr>
            <w:tcW w:w="1206" w:type="dxa"/>
          </w:tcPr>
          <w:p>
            <w:pPr>
              <w:pStyle w:val="TableParagraph"/>
              <w:rPr>
                <w:rFonts w:ascii="Times New Roman"/>
                <w:sz w:val="14"/>
              </w:rPr>
            </w:pPr>
          </w:p>
        </w:tc>
      </w:tr>
      <w:tr>
        <w:trPr>
          <w:trHeight w:val="364" w:hRule="atLeast"/>
        </w:trPr>
        <w:tc>
          <w:tcPr>
            <w:tcW w:w="3870" w:type="dxa"/>
          </w:tcPr>
          <w:p>
            <w:pPr>
              <w:pStyle w:val="TableParagraph"/>
              <w:spacing w:before="101"/>
              <w:ind w:left="213"/>
              <w:rPr>
                <w:sz w:val="14"/>
              </w:rPr>
            </w:pPr>
            <w:r>
              <w:rPr>
                <w:w w:val="105"/>
                <w:sz w:val="14"/>
              </w:rPr>
              <w:t>6) Stores</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9320</w:t>
            </w:r>
          </w:p>
        </w:tc>
        <w:tc>
          <w:tcPr>
            <w:tcW w:w="1429" w:type="dxa"/>
          </w:tcPr>
          <w:p>
            <w:pPr>
              <w:pStyle w:val="TableParagraph"/>
              <w:spacing w:before="101"/>
              <w:ind w:right="48"/>
              <w:jc w:val="right"/>
              <w:rPr>
                <w:sz w:val="14"/>
              </w:rPr>
            </w:pPr>
            <w:r>
              <w:rPr>
                <w:sz w:val="14"/>
              </w:rPr>
              <w:t>0.00</w:t>
            </w:r>
          </w:p>
        </w:tc>
        <w:tc>
          <w:tcPr>
            <w:tcW w:w="1503" w:type="dxa"/>
          </w:tcPr>
          <w:p>
            <w:pPr>
              <w:pStyle w:val="TableParagraph"/>
              <w:rPr>
                <w:rFonts w:ascii="Times New Roman"/>
                <w:sz w:val="14"/>
              </w:rPr>
            </w:pPr>
          </w:p>
        </w:tc>
        <w:tc>
          <w:tcPr>
            <w:tcW w:w="1206" w:type="dxa"/>
          </w:tcPr>
          <w:p>
            <w:pPr>
              <w:pStyle w:val="TableParagraph"/>
              <w:rPr>
                <w:rFonts w:ascii="Times New Roman"/>
                <w:sz w:val="14"/>
              </w:rPr>
            </w:pPr>
          </w:p>
        </w:tc>
      </w:tr>
      <w:tr>
        <w:trPr>
          <w:trHeight w:val="364" w:hRule="atLeast"/>
        </w:trPr>
        <w:tc>
          <w:tcPr>
            <w:tcW w:w="3870" w:type="dxa"/>
          </w:tcPr>
          <w:p>
            <w:pPr>
              <w:pStyle w:val="TableParagraph"/>
              <w:spacing w:before="101"/>
              <w:ind w:left="213"/>
              <w:rPr>
                <w:sz w:val="14"/>
              </w:rPr>
            </w:pPr>
            <w:r>
              <w:rPr>
                <w:w w:val="105"/>
                <w:sz w:val="14"/>
              </w:rPr>
              <w:t>7) Prepaid Expenditures</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9330</w:t>
            </w:r>
          </w:p>
        </w:tc>
        <w:tc>
          <w:tcPr>
            <w:tcW w:w="1429" w:type="dxa"/>
          </w:tcPr>
          <w:p>
            <w:pPr>
              <w:pStyle w:val="TableParagraph"/>
              <w:spacing w:before="101"/>
              <w:ind w:right="48"/>
              <w:jc w:val="right"/>
              <w:rPr>
                <w:sz w:val="14"/>
              </w:rPr>
            </w:pPr>
            <w:r>
              <w:rPr>
                <w:sz w:val="14"/>
              </w:rPr>
              <w:t>0.00</w:t>
            </w:r>
          </w:p>
        </w:tc>
        <w:tc>
          <w:tcPr>
            <w:tcW w:w="1503" w:type="dxa"/>
          </w:tcPr>
          <w:p>
            <w:pPr>
              <w:pStyle w:val="TableParagraph"/>
              <w:rPr>
                <w:rFonts w:ascii="Times New Roman"/>
                <w:sz w:val="14"/>
              </w:rPr>
            </w:pPr>
          </w:p>
        </w:tc>
        <w:tc>
          <w:tcPr>
            <w:tcW w:w="1206" w:type="dxa"/>
          </w:tcPr>
          <w:p>
            <w:pPr>
              <w:pStyle w:val="TableParagraph"/>
              <w:rPr>
                <w:rFonts w:ascii="Times New Roman"/>
                <w:sz w:val="14"/>
              </w:rPr>
            </w:pPr>
          </w:p>
        </w:tc>
      </w:tr>
      <w:tr>
        <w:trPr>
          <w:trHeight w:val="370" w:hRule="atLeast"/>
        </w:trPr>
        <w:tc>
          <w:tcPr>
            <w:tcW w:w="3870" w:type="dxa"/>
          </w:tcPr>
          <w:p>
            <w:pPr>
              <w:pStyle w:val="TableParagraph"/>
              <w:spacing w:before="101"/>
              <w:ind w:left="213"/>
              <w:rPr>
                <w:sz w:val="14"/>
              </w:rPr>
            </w:pPr>
            <w:r>
              <w:rPr>
                <w:w w:val="105"/>
                <w:sz w:val="14"/>
              </w:rPr>
              <w:t>8) Other Current Assets</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9340</w:t>
            </w:r>
          </w:p>
        </w:tc>
        <w:tc>
          <w:tcPr>
            <w:tcW w:w="1429" w:type="dxa"/>
          </w:tcPr>
          <w:p>
            <w:pPr>
              <w:pStyle w:val="TableParagraph"/>
              <w:spacing w:before="101"/>
              <w:ind w:right="48"/>
              <w:jc w:val="right"/>
              <w:rPr>
                <w:sz w:val="14"/>
              </w:rPr>
            </w:pPr>
            <w:r>
              <w:rPr>
                <w:sz w:val="14"/>
              </w:rPr>
              <w:t>0.00</w:t>
            </w:r>
          </w:p>
        </w:tc>
        <w:tc>
          <w:tcPr>
            <w:tcW w:w="1503" w:type="dxa"/>
          </w:tcPr>
          <w:p>
            <w:pPr>
              <w:pStyle w:val="TableParagraph"/>
              <w:rPr>
                <w:rFonts w:ascii="Times New Roman"/>
                <w:sz w:val="14"/>
              </w:rPr>
            </w:pPr>
          </w:p>
        </w:tc>
        <w:tc>
          <w:tcPr>
            <w:tcW w:w="1206" w:type="dxa"/>
          </w:tcPr>
          <w:p>
            <w:pPr>
              <w:pStyle w:val="TableParagraph"/>
              <w:rPr>
                <w:rFonts w:ascii="Times New Roman"/>
                <w:sz w:val="14"/>
              </w:rPr>
            </w:pPr>
          </w:p>
        </w:tc>
      </w:tr>
      <w:tr>
        <w:trPr>
          <w:trHeight w:val="369" w:hRule="atLeast"/>
        </w:trPr>
        <w:tc>
          <w:tcPr>
            <w:tcW w:w="3870" w:type="dxa"/>
          </w:tcPr>
          <w:p>
            <w:pPr>
              <w:pStyle w:val="TableParagraph"/>
              <w:spacing w:before="107"/>
              <w:ind w:left="171"/>
              <w:rPr>
                <w:sz w:val="14"/>
              </w:rPr>
            </w:pPr>
            <w:r>
              <w:rPr>
                <w:w w:val="105"/>
                <w:sz w:val="14"/>
              </w:rPr>
              <w:t>9) TOTAL, ASSETS</w:t>
            </w:r>
          </w:p>
        </w:tc>
        <w:tc>
          <w:tcPr>
            <w:tcW w:w="1261" w:type="dxa"/>
          </w:tcPr>
          <w:p>
            <w:pPr>
              <w:pStyle w:val="TableParagraph"/>
              <w:rPr>
                <w:rFonts w:ascii="Times New Roman"/>
                <w:sz w:val="14"/>
              </w:rPr>
            </w:pPr>
          </w:p>
        </w:tc>
        <w:tc>
          <w:tcPr>
            <w:tcW w:w="1127" w:type="dxa"/>
          </w:tcPr>
          <w:p>
            <w:pPr>
              <w:pStyle w:val="TableParagraph"/>
              <w:rPr>
                <w:rFonts w:ascii="Times New Roman"/>
                <w:sz w:val="14"/>
              </w:rPr>
            </w:pPr>
          </w:p>
        </w:tc>
        <w:tc>
          <w:tcPr>
            <w:tcW w:w="1429" w:type="dxa"/>
          </w:tcPr>
          <w:p>
            <w:pPr>
              <w:pStyle w:val="TableParagraph"/>
              <w:spacing w:before="107"/>
              <w:ind w:right="47"/>
              <w:jc w:val="right"/>
              <w:rPr>
                <w:sz w:val="14"/>
              </w:rPr>
            </w:pPr>
            <w:r>
              <w:rPr>
                <w:sz w:val="14"/>
              </w:rPr>
              <w:t>12,869.59</w:t>
            </w:r>
          </w:p>
        </w:tc>
        <w:tc>
          <w:tcPr>
            <w:tcW w:w="1503" w:type="dxa"/>
          </w:tcPr>
          <w:p>
            <w:pPr>
              <w:pStyle w:val="TableParagraph"/>
              <w:rPr>
                <w:rFonts w:ascii="Times New Roman"/>
                <w:sz w:val="14"/>
              </w:rPr>
            </w:pPr>
          </w:p>
        </w:tc>
        <w:tc>
          <w:tcPr>
            <w:tcW w:w="1206" w:type="dxa"/>
          </w:tcPr>
          <w:p>
            <w:pPr>
              <w:pStyle w:val="TableParagraph"/>
              <w:rPr>
                <w:rFonts w:ascii="Times New Roman"/>
                <w:sz w:val="14"/>
              </w:rPr>
            </w:pPr>
          </w:p>
        </w:tc>
      </w:tr>
      <w:tr>
        <w:trPr>
          <w:trHeight w:val="259" w:hRule="atLeast"/>
        </w:trPr>
        <w:tc>
          <w:tcPr>
            <w:tcW w:w="3870" w:type="dxa"/>
          </w:tcPr>
          <w:p>
            <w:pPr>
              <w:pStyle w:val="TableParagraph"/>
              <w:spacing w:line="140" w:lineRule="exact" w:before="99"/>
              <w:ind w:left="50"/>
              <w:rPr>
                <w:b/>
                <w:sz w:val="14"/>
              </w:rPr>
            </w:pPr>
            <w:r>
              <w:rPr>
                <w:b/>
                <w:w w:val="105"/>
                <w:sz w:val="14"/>
              </w:rPr>
              <w:t>H. DEFERRED OUTFLOWS OF RESOURCES</w:t>
            </w:r>
          </w:p>
        </w:tc>
        <w:tc>
          <w:tcPr>
            <w:tcW w:w="6526" w:type="dxa"/>
            <w:gridSpan w:val="5"/>
          </w:tcPr>
          <w:p>
            <w:pPr>
              <w:pStyle w:val="TableParagraph"/>
              <w:rPr>
                <w:rFonts w:ascii="Times New Roman"/>
                <w:sz w:val="14"/>
              </w:rPr>
            </w:pPr>
          </w:p>
        </w:tc>
      </w:tr>
      <w:tr>
        <w:trPr>
          <w:trHeight w:val="470" w:hRule="atLeast"/>
        </w:trPr>
        <w:tc>
          <w:tcPr>
            <w:tcW w:w="3870" w:type="dxa"/>
          </w:tcPr>
          <w:p>
            <w:pPr>
              <w:pStyle w:val="TableParagraph"/>
              <w:rPr>
                <w:sz w:val="18"/>
              </w:rPr>
            </w:pPr>
          </w:p>
          <w:p>
            <w:pPr>
              <w:pStyle w:val="TableParagraph"/>
              <w:ind w:left="213"/>
              <w:rPr>
                <w:sz w:val="14"/>
              </w:rPr>
            </w:pPr>
            <w:r>
              <w:rPr>
                <w:w w:val="105"/>
                <w:sz w:val="14"/>
              </w:rPr>
              <w:t>1) Deferred Outflows of Resources</w:t>
            </w:r>
          </w:p>
        </w:tc>
        <w:tc>
          <w:tcPr>
            <w:tcW w:w="2388" w:type="dxa"/>
            <w:gridSpan w:val="2"/>
          </w:tcPr>
          <w:p>
            <w:pPr>
              <w:pStyle w:val="TableParagraph"/>
              <w:rPr>
                <w:sz w:val="18"/>
              </w:rPr>
            </w:pPr>
          </w:p>
          <w:p>
            <w:pPr>
              <w:pStyle w:val="TableParagraph"/>
              <w:ind w:right="383"/>
              <w:jc w:val="right"/>
              <w:rPr>
                <w:sz w:val="14"/>
              </w:rPr>
            </w:pPr>
            <w:r>
              <w:rPr>
                <w:sz w:val="14"/>
              </w:rPr>
              <w:t>9490</w:t>
            </w:r>
          </w:p>
        </w:tc>
        <w:tc>
          <w:tcPr>
            <w:tcW w:w="4138" w:type="dxa"/>
            <w:gridSpan w:val="3"/>
          </w:tcPr>
          <w:p>
            <w:pPr>
              <w:pStyle w:val="TableParagraph"/>
              <w:rPr>
                <w:sz w:val="18"/>
              </w:rPr>
            </w:pPr>
          </w:p>
          <w:p>
            <w:pPr>
              <w:pStyle w:val="TableParagraph"/>
              <w:ind w:left="1099"/>
              <w:rPr>
                <w:sz w:val="14"/>
              </w:rPr>
            </w:pPr>
            <w:r>
              <w:rPr>
                <w:w w:val="105"/>
                <w:sz w:val="14"/>
              </w:rPr>
              <w:t>0.00</w:t>
            </w:r>
          </w:p>
        </w:tc>
      </w:tr>
      <w:tr>
        <w:trPr>
          <w:trHeight w:val="262" w:hRule="atLeast"/>
        </w:trPr>
        <w:tc>
          <w:tcPr>
            <w:tcW w:w="3870" w:type="dxa"/>
          </w:tcPr>
          <w:p>
            <w:pPr>
              <w:pStyle w:val="TableParagraph"/>
              <w:spacing w:line="142" w:lineRule="exact" w:before="101"/>
              <w:ind w:left="213"/>
              <w:rPr>
                <w:sz w:val="14"/>
              </w:rPr>
            </w:pPr>
            <w:r>
              <w:rPr>
                <w:w w:val="105"/>
                <w:sz w:val="14"/>
              </w:rPr>
              <w:t>2) TOTAL, DEFERRED OUTFLOWS</w:t>
            </w:r>
          </w:p>
        </w:tc>
        <w:tc>
          <w:tcPr>
            <w:tcW w:w="2388" w:type="dxa"/>
            <w:gridSpan w:val="2"/>
          </w:tcPr>
          <w:p>
            <w:pPr>
              <w:pStyle w:val="TableParagraph"/>
              <w:rPr>
                <w:rFonts w:ascii="Times New Roman"/>
                <w:sz w:val="14"/>
              </w:rPr>
            </w:pPr>
          </w:p>
        </w:tc>
        <w:tc>
          <w:tcPr>
            <w:tcW w:w="4138" w:type="dxa"/>
            <w:gridSpan w:val="3"/>
          </w:tcPr>
          <w:p>
            <w:pPr>
              <w:pStyle w:val="TableParagraph"/>
              <w:spacing w:line="142" w:lineRule="exact" w:before="101"/>
              <w:ind w:left="1099"/>
              <w:rPr>
                <w:sz w:val="14"/>
              </w:rPr>
            </w:pPr>
            <w:r>
              <w:rPr>
                <w:w w:val="105"/>
                <w:sz w:val="14"/>
              </w:rPr>
              <w:t>0.00</w:t>
            </w:r>
          </w:p>
        </w:tc>
      </w:tr>
    </w:tbl>
    <w:p>
      <w:pPr>
        <w:pStyle w:val="BodyText"/>
        <w:spacing w:before="10"/>
        <w:rPr>
          <w:sz w:val="9"/>
        </w:rPr>
      </w:pPr>
    </w:p>
    <w:p>
      <w:pPr>
        <w:spacing w:before="99"/>
        <w:ind w:left="370" w:right="0" w:firstLine="0"/>
        <w:jc w:val="left"/>
        <w:rPr>
          <w:b/>
          <w:sz w:val="14"/>
        </w:rPr>
      </w:pPr>
      <w:r>
        <w:rPr/>
        <w:pict>
          <v:group style="position:absolute;margin-left:24.719999pt;margin-top:-375.4841pt;width:538pt;height:601pt;mso-position-horizontal-relative:page;mso-position-vertical-relative:paragraph;z-index:-314299392" coordorigin="494,-7510" coordsize="10760,12020">
            <v:shape style="position:absolute;left:494;top:-7510;width:3646;height:790" type="#_x0000_t75" stroked="false">
              <v:imagedata r:id="rId406" o:title=""/>
            </v:shape>
            <v:shape style="position:absolute;left:494;top:-6735;width:3646;height:5540" type="#_x0000_t75" stroked="false">
              <v:imagedata r:id="rId853" o:title=""/>
            </v:shape>
            <v:shape style="position:absolute;left:6679;top:-3406;width:1512;height:1095" coordorigin="6679,-3406" coordsize="1512,1095" path="m8191,-2676l6679,-2676,6679,-2311,8191,-2311,8191,-2676m8191,-3406l6679,-3406,6679,-3041,8191,-3041,8191,-3406e" filled="true" fillcolor="#dfdfdf" stroked="false">
              <v:path arrowok="t"/>
              <v:fill type="solid"/>
            </v:shape>
            <v:shape style="position:absolute;left:4132;top:-7510;width:7121;height:12020" type="#_x0000_t75" stroked="false">
              <v:imagedata r:id="rId854" o:title=""/>
            </v:shape>
            <v:line style="position:absolute" from="1304,-1205" to="1304,-847" stroked="true" strokeweight=".359997pt" strokecolor="#ffffff">
              <v:stroke dashstyle="solid"/>
            </v:line>
            <v:shape style="position:absolute;left:494;top:-1210;width:3646;height:1109" type="#_x0000_t75" stroked="false">
              <v:imagedata r:id="rId855" o:title=""/>
            </v:shape>
            <v:line style="position:absolute" from="1304,-110" to="1304,259" stroked="true" strokeweight=".359997pt" strokecolor="#ffffff">
              <v:stroke dashstyle="solid"/>
            </v:line>
            <v:shape style="position:absolute;left:494;top:-116;width:3646;height:2580" type="#_x0000_t75" stroked="false">
              <v:imagedata r:id="rId453" o:title=""/>
            </v:shape>
            <v:line style="position:absolute" from="1304,2455" to="1304,2813" stroked="true" strokeweight=".359997pt" strokecolor="#ffffff">
              <v:stroke dashstyle="solid"/>
            </v:line>
            <v:shape style="position:absolute;left:494;top:2450;width:3646;height:1109" type="#_x0000_t75" stroked="false">
              <v:imagedata r:id="rId855" o:title=""/>
            </v:shape>
            <v:line style="position:absolute" from="1304,3550" to="1304,3919" stroked="true" strokeweight=".359997pt" strokecolor="#ffffff">
              <v:stroke dashstyle="solid"/>
            </v:line>
            <v:shape style="position:absolute;left:494;top:3544;width:3646;height:965" type="#_x0000_t75" stroked="false">
              <v:imagedata r:id="rId455" o:title=""/>
            </v:shape>
            <w10:wrap type="none"/>
          </v:group>
        </w:pict>
      </w:r>
      <w:r>
        <w:rPr/>
        <w:pict>
          <v:shape style="position:absolute;margin-left:32.181297pt;margin-top:23.370277pt;width:377.4pt;height:153.950pt;mso-position-horizontal-relative:page;mso-position-vertical-relative:paragraph;z-index:252068864"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27"/>
                    <w:gridCol w:w="2209"/>
                    <w:gridCol w:w="1512"/>
                  </w:tblGrid>
                  <w:tr>
                    <w:trPr>
                      <w:trHeight w:val="163" w:hRule="atLeast"/>
                    </w:trPr>
                    <w:tc>
                      <w:tcPr>
                        <w:tcW w:w="3827" w:type="dxa"/>
                      </w:tcPr>
                      <w:p>
                        <w:pPr>
                          <w:pStyle w:val="TableParagraph"/>
                          <w:spacing w:line="144" w:lineRule="exact"/>
                          <w:ind w:left="50"/>
                          <w:rPr>
                            <w:sz w:val="14"/>
                          </w:rPr>
                        </w:pPr>
                        <w:r>
                          <w:rPr>
                            <w:w w:val="105"/>
                            <w:sz w:val="14"/>
                          </w:rPr>
                          <w:t>1) Accounts Payable</w:t>
                        </w:r>
                      </w:p>
                    </w:tc>
                    <w:tc>
                      <w:tcPr>
                        <w:tcW w:w="2209" w:type="dxa"/>
                      </w:tcPr>
                      <w:p>
                        <w:pPr>
                          <w:pStyle w:val="TableParagraph"/>
                          <w:spacing w:line="144" w:lineRule="exact"/>
                          <w:ind w:right="324"/>
                          <w:jc w:val="right"/>
                          <w:rPr>
                            <w:sz w:val="14"/>
                          </w:rPr>
                        </w:pPr>
                        <w:r>
                          <w:rPr>
                            <w:sz w:val="14"/>
                          </w:rPr>
                          <w:t>9500</w:t>
                        </w:r>
                      </w:p>
                    </w:tc>
                    <w:tc>
                      <w:tcPr>
                        <w:tcW w:w="1512" w:type="dxa"/>
                      </w:tcPr>
                      <w:p>
                        <w:pPr>
                          <w:pStyle w:val="TableParagraph"/>
                          <w:spacing w:line="144" w:lineRule="exact"/>
                          <w:ind w:right="72"/>
                          <w:jc w:val="right"/>
                          <w:rPr>
                            <w:sz w:val="14"/>
                          </w:rPr>
                        </w:pPr>
                        <w:r>
                          <w:rPr>
                            <w:sz w:val="14"/>
                          </w:rPr>
                          <w:t>0.00</w:t>
                        </w:r>
                      </w:p>
                    </w:tc>
                  </w:tr>
                  <w:tr>
                    <w:trPr>
                      <w:trHeight w:val="364" w:hRule="atLeast"/>
                    </w:trPr>
                    <w:tc>
                      <w:tcPr>
                        <w:tcW w:w="3827" w:type="dxa"/>
                      </w:tcPr>
                      <w:p>
                        <w:pPr>
                          <w:pStyle w:val="TableParagraph"/>
                          <w:spacing w:before="4"/>
                          <w:rPr>
                            <w:sz w:val="17"/>
                          </w:rPr>
                        </w:pPr>
                      </w:p>
                      <w:p>
                        <w:pPr>
                          <w:pStyle w:val="TableParagraph"/>
                          <w:spacing w:line="145" w:lineRule="exact"/>
                          <w:ind w:left="50"/>
                          <w:rPr>
                            <w:sz w:val="14"/>
                          </w:rPr>
                        </w:pPr>
                        <w:r>
                          <w:rPr>
                            <w:w w:val="105"/>
                            <w:sz w:val="14"/>
                          </w:rPr>
                          <w:t>2) Due to Grantor Governments</w:t>
                        </w:r>
                      </w:p>
                    </w:tc>
                    <w:tc>
                      <w:tcPr>
                        <w:tcW w:w="2209" w:type="dxa"/>
                      </w:tcPr>
                      <w:p>
                        <w:pPr>
                          <w:pStyle w:val="TableParagraph"/>
                          <w:spacing w:before="4"/>
                          <w:rPr>
                            <w:sz w:val="17"/>
                          </w:rPr>
                        </w:pPr>
                      </w:p>
                      <w:p>
                        <w:pPr>
                          <w:pStyle w:val="TableParagraph"/>
                          <w:spacing w:line="145" w:lineRule="exact"/>
                          <w:ind w:right="324"/>
                          <w:jc w:val="right"/>
                          <w:rPr>
                            <w:sz w:val="14"/>
                          </w:rPr>
                        </w:pPr>
                        <w:r>
                          <w:rPr>
                            <w:sz w:val="14"/>
                          </w:rPr>
                          <w:t>9590</w:t>
                        </w:r>
                      </w:p>
                    </w:tc>
                    <w:tc>
                      <w:tcPr>
                        <w:tcW w:w="1512" w:type="dxa"/>
                        <w:shd w:val="clear" w:color="auto" w:fill="DFDFDF"/>
                      </w:tcPr>
                      <w:p>
                        <w:pPr>
                          <w:pStyle w:val="TableParagraph"/>
                          <w:spacing w:before="4"/>
                          <w:rPr>
                            <w:sz w:val="17"/>
                          </w:rPr>
                        </w:pPr>
                      </w:p>
                      <w:p>
                        <w:pPr>
                          <w:pStyle w:val="TableParagraph"/>
                          <w:spacing w:line="145" w:lineRule="exact"/>
                          <w:ind w:right="72"/>
                          <w:jc w:val="right"/>
                          <w:rPr>
                            <w:sz w:val="14"/>
                          </w:rPr>
                        </w:pPr>
                        <w:r>
                          <w:rPr>
                            <w:sz w:val="14"/>
                          </w:rPr>
                          <w:t>0.00</w:t>
                        </w:r>
                      </w:p>
                    </w:tc>
                  </w:tr>
                  <w:tr>
                    <w:trPr>
                      <w:trHeight w:val="463" w:hRule="atLeast"/>
                    </w:trPr>
                    <w:tc>
                      <w:tcPr>
                        <w:tcW w:w="3827" w:type="dxa"/>
                      </w:tcPr>
                      <w:p>
                        <w:pPr>
                          <w:pStyle w:val="TableParagraph"/>
                          <w:spacing w:before="4"/>
                          <w:rPr>
                            <w:sz w:val="17"/>
                          </w:rPr>
                        </w:pPr>
                      </w:p>
                      <w:p>
                        <w:pPr>
                          <w:pStyle w:val="TableParagraph"/>
                          <w:ind w:left="50"/>
                          <w:rPr>
                            <w:sz w:val="14"/>
                          </w:rPr>
                        </w:pPr>
                        <w:r>
                          <w:rPr>
                            <w:w w:val="105"/>
                            <w:sz w:val="14"/>
                          </w:rPr>
                          <w:t>3) Due to Other Funds</w:t>
                        </w:r>
                      </w:p>
                    </w:tc>
                    <w:tc>
                      <w:tcPr>
                        <w:tcW w:w="2209" w:type="dxa"/>
                      </w:tcPr>
                      <w:p>
                        <w:pPr>
                          <w:pStyle w:val="TableParagraph"/>
                          <w:spacing w:before="4"/>
                          <w:rPr>
                            <w:sz w:val="17"/>
                          </w:rPr>
                        </w:pPr>
                      </w:p>
                      <w:p>
                        <w:pPr>
                          <w:pStyle w:val="TableParagraph"/>
                          <w:ind w:right="324"/>
                          <w:jc w:val="right"/>
                          <w:rPr>
                            <w:sz w:val="14"/>
                          </w:rPr>
                        </w:pPr>
                        <w:r>
                          <w:rPr>
                            <w:sz w:val="14"/>
                          </w:rPr>
                          <w:t>9610</w:t>
                        </w:r>
                      </w:p>
                    </w:tc>
                    <w:tc>
                      <w:tcPr>
                        <w:tcW w:w="1512" w:type="dxa"/>
                      </w:tcPr>
                      <w:p>
                        <w:pPr>
                          <w:pStyle w:val="TableParagraph"/>
                          <w:spacing w:before="4"/>
                          <w:rPr>
                            <w:sz w:val="17"/>
                          </w:rPr>
                        </w:pPr>
                      </w:p>
                      <w:p>
                        <w:pPr>
                          <w:pStyle w:val="TableParagraph"/>
                          <w:ind w:right="72"/>
                          <w:jc w:val="right"/>
                          <w:rPr>
                            <w:sz w:val="14"/>
                          </w:rPr>
                        </w:pPr>
                        <w:r>
                          <w:rPr>
                            <w:sz w:val="14"/>
                          </w:rPr>
                          <w:t>0.00</w:t>
                        </w:r>
                      </w:p>
                    </w:tc>
                  </w:tr>
                  <w:tr>
                    <w:trPr>
                      <w:trHeight w:val="364" w:hRule="atLeast"/>
                    </w:trPr>
                    <w:tc>
                      <w:tcPr>
                        <w:tcW w:w="3827" w:type="dxa"/>
                      </w:tcPr>
                      <w:p>
                        <w:pPr>
                          <w:pStyle w:val="TableParagraph"/>
                          <w:spacing w:before="101"/>
                          <w:ind w:left="50"/>
                          <w:rPr>
                            <w:sz w:val="14"/>
                          </w:rPr>
                        </w:pPr>
                        <w:r>
                          <w:rPr>
                            <w:w w:val="105"/>
                            <w:sz w:val="14"/>
                          </w:rPr>
                          <w:t>4) Current Loans</w:t>
                        </w:r>
                      </w:p>
                    </w:tc>
                    <w:tc>
                      <w:tcPr>
                        <w:tcW w:w="2209" w:type="dxa"/>
                      </w:tcPr>
                      <w:p>
                        <w:pPr>
                          <w:pStyle w:val="TableParagraph"/>
                          <w:spacing w:before="101"/>
                          <w:ind w:right="324"/>
                          <w:jc w:val="right"/>
                          <w:rPr>
                            <w:sz w:val="14"/>
                          </w:rPr>
                        </w:pPr>
                        <w:r>
                          <w:rPr>
                            <w:sz w:val="14"/>
                          </w:rPr>
                          <w:t>9640</w:t>
                        </w:r>
                      </w:p>
                    </w:tc>
                    <w:tc>
                      <w:tcPr>
                        <w:tcW w:w="1512" w:type="dxa"/>
                      </w:tcPr>
                      <w:p>
                        <w:pPr>
                          <w:pStyle w:val="TableParagraph"/>
                          <w:spacing w:before="101"/>
                          <w:ind w:right="72"/>
                          <w:jc w:val="right"/>
                          <w:rPr>
                            <w:sz w:val="14"/>
                          </w:rPr>
                        </w:pPr>
                        <w:r>
                          <w:rPr>
                            <w:sz w:val="14"/>
                          </w:rPr>
                          <w:t>0.00</w:t>
                        </w:r>
                      </w:p>
                    </w:tc>
                  </w:tr>
                  <w:tr>
                    <w:trPr>
                      <w:trHeight w:val="364" w:hRule="atLeast"/>
                    </w:trPr>
                    <w:tc>
                      <w:tcPr>
                        <w:tcW w:w="3827" w:type="dxa"/>
                      </w:tcPr>
                      <w:p>
                        <w:pPr>
                          <w:pStyle w:val="TableParagraph"/>
                          <w:spacing w:before="101"/>
                          <w:ind w:left="50"/>
                          <w:rPr>
                            <w:sz w:val="14"/>
                          </w:rPr>
                        </w:pPr>
                        <w:r>
                          <w:rPr>
                            <w:w w:val="105"/>
                            <w:sz w:val="14"/>
                          </w:rPr>
                          <w:t>5) Unearned Revenue</w:t>
                        </w:r>
                      </w:p>
                    </w:tc>
                    <w:tc>
                      <w:tcPr>
                        <w:tcW w:w="2209" w:type="dxa"/>
                      </w:tcPr>
                      <w:p>
                        <w:pPr>
                          <w:pStyle w:val="TableParagraph"/>
                          <w:spacing w:before="101"/>
                          <w:ind w:right="324"/>
                          <w:jc w:val="right"/>
                          <w:rPr>
                            <w:sz w:val="14"/>
                          </w:rPr>
                        </w:pPr>
                        <w:r>
                          <w:rPr>
                            <w:sz w:val="14"/>
                          </w:rPr>
                          <w:t>9650</w:t>
                        </w:r>
                      </w:p>
                    </w:tc>
                    <w:tc>
                      <w:tcPr>
                        <w:tcW w:w="1512" w:type="dxa"/>
                      </w:tcPr>
                      <w:p>
                        <w:pPr>
                          <w:pStyle w:val="TableParagraph"/>
                          <w:spacing w:before="101"/>
                          <w:ind w:right="72"/>
                          <w:jc w:val="right"/>
                          <w:rPr>
                            <w:sz w:val="14"/>
                          </w:rPr>
                        </w:pPr>
                        <w:r>
                          <w:rPr>
                            <w:sz w:val="14"/>
                          </w:rPr>
                          <w:t>0.00</w:t>
                        </w:r>
                      </w:p>
                    </w:tc>
                  </w:tr>
                  <w:tr>
                    <w:trPr>
                      <w:trHeight w:val="363" w:hRule="atLeast"/>
                    </w:trPr>
                    <w:tc>
                      <w:tcPr>
                        <w:tcW w:w="3827" w:type="dxa"/>
                      </w:tcPr>
                      <w:p>
                        <w:pPr>
                          <w:pStyle w:val="TableParagraph"/>
                          <w:spacing w:before="101"/>
                          <w:ind w:left="50"/>
                          <w:rPr>
                            <w:sz w:val="14"/>
                          </w:rPr>
                        </w:pPr>
                        <w:r>
                          <w:rPr>
                            <w:w w:val="105"/>
                            <w:sz w:val="14"/>
                          </w:rPr>
                          <w:t>6) TOTAL, LIABILITIES</w:t>
                        </w:r>
                      </w:p>
                    </w:tc>
                    <w:tc>
                      <w:tcPr>
                        <w:tcW w:w="2209" w:type="dxa"/>
                      </w:tcPr>
                      <w:p>
                        <w:pPr>
                          <w:pStyle w:val="TableParagraph"/>
                          <w:rPr>
                            <w:rFonts w:ascii="Times New Roman"/>
                            <w:sz w:val="14"/>
                          </w:rPr>
                        </w:pPr>
                      </w:p>
                    </w:tc>
                    <w:tc>
                      <w:tcPr>
                        <w:tcW w:w="1512" w:type="dxa"/>
                      </w:tcPr>
                      <w:p>
                        <w:pPr>
                          <w:pStyle w:val="TableParagraph"/>
                          <w:spacing w:before="101"/>
                          <w:ind w:right="72"/>
                          <w:jc w:val="right"/>
                          <w:rPr>
                            <w:sz w:val="14"/>
                          </w:rPr>
                        </w:pPr>
                        <w:r>
                          <w:rPr>
                            <w:sz w:val="14"/>
                          </w:rPr>
                          <w:t>0.00</w:t>
                        </w:r>
                      </w:p>
                    </w:tc>
                  </w:tr>
                  <w:tr>
                    <w:trPr>
                      <w:trHeight w:val="259" w:hRule="atLeast"/>
                    </w:trPr>
                    <w:tc>
                      <w:tcPr>
                        <w:tcW w:w="3827" w:type="dxa"/>
                      </w:tcPr>
                      <w:p>
                        <w:pPr>
                          <w:pStyle w:val="TableParagraph"/>
                          <w:spacing w:line="140" w:lineRule="exact" w:before="99"/>
                          <w:ind w:left="47"/>
                          <w:rPr>
                            <w:b/>
                            <w:sz w:val="14"/>
                          </w:rPr>
                        </w:pPr>
                        <w:r>
                          <w:rPr>
                            <w:b/>
                            <w:w w:val="105"/>
                            <w:sz w:val="14"/>
                          </w:rPr>
                          <w:t>DEFERRED INFLOWS OF RESOURCES</w:t>
                        </w:r>
                      </w:p>
                    </w:tc>
                    <w:tc>
                      <w:tcPr>
                        <w:tcW w:w="3721" w:type="dxa"/>
                        <w:gridSpan w:val="2"/>
                      </w:tcPr>
                      <w:p>
                        <w:pPr>
                          <w:pStyle w:val="TableParagraph"/>
                          <w:rPr>
                            <w:rFonts w:ascii="Times New Roman"/>
                            <w:sz w:val="14"/>
                          </w:rPr>
                        </w:pPr>
                      </w:p>
                    </w:tc>
                  </w:tr>
                  <w:tr>
                    <w:trPr>
                      <w:trHeight w:val="470" w:hRule="atLeast"/>
                    </w:trPr>
                    <w:tc>
                      <w:tcPr>
                        <w:tcW w:w="3827" w:type="dxa"/>
                      </w:tcPr>
                      <w:p>
                        <w:pPr>
                          <w:pStyle w:val="TableParagraph"/>
                          <w:rPr>
                            <w:sz w:val="18"/>
                          </w:rPr>
                        </w:pPr>
                      </w:p>
                      <w:p>
                        <w:pPr>
                          <w:pStyle w:val="TableParagraph"/>
                          <w:ind w:left="50"/>
                          <w:rPr>
                            <w:sz w:val="14"/>
                          </w:rPr>
                        </w:pPr>
                        <w:r>
                          <w:rPr>
                            <w:w w:val="105"/>
                            <w:sz w:val="14"/>
                          </w:rPr>
                          <w:t>1) Deferred Inflows of Resources</w:t>
                        </w:r>
                      </w:p>
                    </w:tc>
                    <w:tc>
                      <w:tcPr>
                        <w:tcW w:w="2209" w:type="dxa"/>
                      </w:tcPr>
                      <w:p>
                        <w:pPr>
                          <w:pStyle w:val="TableParagraph"/>
                          <w:rPr>
                            <w:sz w:val="18"/>
                          </w:rPr>
                        </w:pPr>
                      </w:p>
                      <w:p>
                        <w:pPr>
                          <w:pStyle w:val="TableParagraph"/>
                          <w:ind w:right="324"/>
                          <w:jc w:val="right"/>
                          <w:rPr>
                            <w:sz w:val="14"/>
                          </w:rPr>
                        </w:pPr>
                        <w:r>
                          <w:rPr>
                            <w:sz w:val="14"/>
                          </w:rPr>
                          <w:t>9690</w:t>
                        </w:r>
                      </w:p>
                    </w:tc>
                    <w:tc>
                      <w:tcPr>
                        <w:tcW w:w="1512" w:type="dxa"/>
                      </w:tcPr>
                      <w:p>
                        <w:pPr>
                          <w:pStyle w:val="TableParagraph"/>
                          <w:rPr>
                            <w:sz w:val="18"/>
                          </w:rPr>
                        </w:pPr>
                      </w:p>
                      <w:p>
                        <w:pPr>
                          <w:pStyle w:val="TableParagraph"/>
                          <w:ind w:right="72"/>
                          <w:jc w:val="right"/>
                          <w:rPr>
                            <w:sz w:val="14"/>
                          </w:rPr>
                        </w:pPr>
                        <w:r>
                          <w:rPr>
                            <w:sz w:val="14"/>
                          </w:rPr>
                          <w:t>0.00</w:t>
                        </w:r>
                      </w:p>
                    </w:tc>
                  </w:tr>
                  <w:tr>
                    <w:trPr>
                      <w:trHeight w:val="262" w:hRule="atLeast"/>
                    </w:trPr>
                    <w:tc>
                      <w:tcPr>
                        <w:tcW w:w="3827" w:type="dxa"/>
                      </w:tcPr>
                      <w:p>
                        <w:pPr>
                          <w:pStyle w:val="TableParagraph"/>
                          <w:spacing w:line="142" w:lineRule="exact" w:before="101"/>
                          <w:ind w:left="50"/>
                          <w:rPr>
                            <w:sz w:val="14"/>
                          </w:rPr>
                        </w:pPr>
                        <w:r>
                          <w:rPr>
                            <w:w w:val="105"/>
                            <w:sz w:val="14"/>
                          </w:rPr>
                          <w:t>2) TOTAL, DEFERRED INFLOWS</w:t>
                        </w:r>
                      </w:p>
                    </w:tc>
                    <w:tc>
                      <w:tcPr>
                        <w:tcW w:w="2209" w:type="dxa"/>
                      </w:tcPr>
                      <w:p>
                        <w:pPr>
                          <w:pStyle w:val="TableParagraph"/>
                          <w:rPr>
                            <w:rFonts w:ascii="Times New Roman"/>
                            <w:sz w:val="14"/>
                          </w:rPr>
                        </w:pPr>
                      </w:p>
                    </w:tc>
                    <w:tc>
                      <w:tcPr>
                        <w:tcW w:w="1512" w:type="dxa"/>
                      </w:tcPr>
                      <w:p>
                        <w:pPr>
                          <w:pStyle w:val="TableParagraph"/>
                          <w:spacing w:line="142" w:lineRule="exact" w:before="101"/>
                          <w:ind w:right="72"/>
                          <w:jc w:val="right"/>
                          <w:rPr>
                            <w:sz w:val="14"/>
                          </w:rPr>
                        </w:pPr>
                        <w:r>
                          <w:rPr>
                            <w:sz w:val="14"/>
                          </w:rPr>
                          <w:t>0.00</w:t>
                        </w:r>
                      </w:p>
                    </w:tc>
                  </w:tr>
                </w:tbl>
                <w:p>
                  <w:pPr>
                    <w:pStyle w:val="BodyText"/>
                  </w:pPr>
                </w:p>
              </w:txbxContent>
            </v:textbox>
            <w10:wrap type="none"/>
          </v:shape>
        </w:pict>
      </w:r>
      <w:r>
        <w:rPr>
          <w:b/>
          <w:w w:val="105"/>
          <w:sz w:val="14"/>
        </w:rPr>
        <w:t>I. LIABILITIES</w:t>
      </w: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spacing w:before="1"/>
        <w:ind w:left="370" w:right="0" w:firstLine="0"/>
        <w:jc w:val="left"/>
        <w:rPr>
          <w:b/>
          <w:sz w:val="14"/>
        </w:rPr>
      </w:pPr>
      <w:r>
        <w:rPr>
          <w:b/>
          <w:w w:val="105"/>
          <w:sz w:val="14"/>
        </w:rPr>
        <w:t>J.</w:t>
      </w:r>
    </w:p>
    <w:p>
      <w:pPr>
        <w:pStyle w:val="BodyText"/>
        <w:rPr>
          <w:b/>
          <w:sz w:val="16"/>
        </w:rPr>
      </w:pPr>
    </w:p>
    <w:p>
      <w:pPr>
        <w:pStyle w:val="BodyText"/>
        <w:rPr>
          <w:b/>
          <w:sz w:val="16"/>
        </w:rPr>
      </w:pPr>
    </w:p>
    <w:p>
      <w:pPr>
        <w:pStyle w:val="BodyText"/>
        <w:rPr>
          <w:b/>
          <w:sz w:val="16"/>
        </w:rPr>
      </w:pPr>
    </w:p>
    <w:p>
      <w:pPr>
        <w:pStyle w:val="BodyText"/>
        <w:rPr>
          <w:b/>
          <w:sz w:val="16"/>
        </w:rPr>
      </w:pPr>
    </w:p>
    <w:p>
      <w:pPr>
        <w:pStyle w:val="BodyText"/>
        <w:spacing w:before="2"/>
        <w:rPr>
          <w:b/>
          <w:sz w:val="18"/>
        </w:rPr>
      </w:pPr>
    </w:p>
    <w:p>
      <w:pPr>
        <w:spacing w:before="0"/>
        <w:ind w:left="370" w:right="0" w:firstLine="0"/>
        <w:jc w:val="left"/>
        <w:rPr>
          <w:b/>
          <w:sz w:val="14"/>
        </w:rPr>
      </w:pPr>
      <w:r>
        <w:rPr>
          <w:b/>
          <w:w w:val="105"/>
          <w:sz w:val="14"/>
        </w:rPr>
        <w:t>K. FUND EQUITY</w:t>
      </w:r>
    </w:p>
    <w:p>
      <w:pPr>
        <w:pStyle w:val="BodyText"/>
        <w:spacing w:before="4"/>
        <w:rPr>
          <w:b/>
          <w:sz w:val="10"/>
        </w:rPr>
      </w:pPr>
    </w:p>
    <w:p>
      <w:pPr>
        <w:spacing w:before="99"/>
        <w:ind w:left="533" w:right="0" w:firstLine="0"/>
        <w:jc w:val="left"/>
        <w:rPr>
          <w:sz w:val="14"/>
        </w:rPr>
      </w:pPr>
      <w:r>
        <w:rPr>
          <w:w w:val="105"/>
          <w:sz w:val="14"/>
        </w:rPr>
        <w:t>Ending Fund Balance, June 30</w:t>
      </w:r>
    </w:p>
    <w:p>
      <w:pPr>
        <w:tabs>
          <w:tab w:pos="7320" w:val="left" w:leader="none"/>
        </w:tabs>
        <w:spacing w:before="36"/>
        <w:ind w:left="533" w:right="0" w:firstLine="0"/>
        <w:jc w:val="left"/>
        <w:rPr>
          <w:sz w:val="14"/>
        </w:rPr>
      </w:pPr>
      <w:r>
        <w:rPr>
          <w:w w:val="105"/>
          <w:sz w:val="14"/>
        </w:rPr>
        <w:t>(G9 + H2) - (I6</w:t>
      </w:r>
      <w:r>
        <w:rPr>
          <w:spacing w:val="-21"/>
          <w:w w:val="105"/>
          <w:sz w:val="14"/>
        </w:rPr>
        <w:t> </w:t>
      </w:r>
      <w:r>
        <w:rPr>
          <w:w w:val="105"/>
          <w:sz w:val="14"/>
        </w:rPr>
        <w:t>+</w:t>
      </w:r>
      <w:r>
        <w:rPr>
          <w:spacing w:val="-4"/>
          <w:w w:val="105"/>
          <w:sz w:val="14"/>
        </w:rPr>
        <w:t> </w:t>
      </w:r>
      <w:r>
        <w:rPr>
          <w:w w:val="105"/>
          <w:sz w:val="14"/>
        </w:rPr>
        <w:t>J2)</w:t>
        <w:tab/>
        <w:t>12,869.59</w:t>
      </w:r>
    </w:p>
    <w:p>
      <w:pPr>
        <w:spacing w:after="0"/>
        <w:jc w:val="left"/>
        <w:rPr>
          <w:sz w:val="14"/>
        </w:rPr>
        <w:sectPr>
          <w:type w:val="continuous"/>
          <w:pgSz w:w="12240" w:h="15840"/>
          <w:pgMar w:top="1500" w:bottom="840" w:left="160" w:right="180"/>
        </w:sectPr>
      </w:pPr>
    </w:p>
    <w:p>
      <w:pPr>
        <w:pStyle w:val="BodyText"/>
        <w:rPr>
          <w:sz w:val="20"/>
        </w:rPr>
      </w:pPr>
    </w:p>
    <w:p>
      <w:pPr>
        <w:pStyle w:val="BodyText"/>
        <w:rPr>
          <w:sz w:val="20"/>
        </w:rPr>
      </w:pPr>
    </w:p>
    <w:p>
      <w:pPr>
        <w:pStyle w:val="BodyText"/>
        <w:rPr>
          <w:sz w:val="18"/>
        </w:rPr>
      </w:pPr>
    </w:p>
    <w:p>
      <w:pPr>
        <w:spacing w:after="0"/>
        <w:rPr>
          <w:sz w:val="18"/>
        </w:rPr>
        <w:sectPr>
          <w:headerReference w:type="default" r:id="rId856"/>
          <w:footerReference w:type="default" r:id="rId857"/>
          <w:pgSz w:w="12240" w:h="15840"/>
          <w:pgMar w:header="651" w:footer="437" w:top="1240" w:bottom="620" w:left="160" w:right="180"/>
          <w:pgNumType w:start="4"/>
        </w:sectPr>
      </w:pPr>
    </w:p>
    <w:p>
      <w:pPr>
        <w:pStyle w:val="BodyText"/>
        <w:spacing w:before="2"/>
        <w:rPr>
          <w:sz w:val="23"/>
        </w:rPr>
      </w:pPr>
    </w:p>
    <w:p>
      <w:pPr>
        <w:tabs>
          <w:tab w:pos="4198" w:val="left" w:leader="none"/>
          <w:tab w:pos="5571" w:val="left" w:leader="none"/>
        </w:tabs>
        <w:spacing w:before="0"/>
        <w:ind w:left="370" w:right="0" w:firstLine="0"/>
        <w:jc w:val="left"/>
        <w:rPr>
          <w:b/>
          <w:sz w:val="14"/>
        </w:rPr>
      </w:pPr>
      <w:r>
        <w:rPr>
          <w:b/>
          <w:w w:val="105"/>
          <w:sz w:val="14"/>
        </w:rPr>
        <w:t>Description</w:t>
        <w:tab/>
        <w:t>Resource</w:t>
      </w:r>
      <w:r>
        <w:rPr>
          <w:b/>
          <w:spacing w:val="-12"/>
          <w:w w:val="105"/>
          <w:sz w:val="14"/>
        </w:rPr>
        <w:t> </w:t>
      </w:r>
      <w:r>
        <w:rPr>
          <w:b/>
          <w:w w:val="105"/>
          <w:sz w:val="14"/>
        </w:rPr>
        <w:t>Codes</w:t>
        <w:tab/>
        <w:t>Object</w:t>
      </w:r>
      <w:r>
        <w:rPr>
          <w:b/>
          <w:spacing w:val="-14"/>
          <w:w w:val="105"/>
          <w:sz w:val="14"/>
        </w:rPr>
        <w:t> </w:t>
      </w:r>
      <w:r>
        <w:rPr>
          <w:b/>
          <w:spacing w:val="-4"/>
          <w:w w:val="105"/>
          <w:sz w:val="14"/>
        </w:rPr>
        <w:t>Codes</w:t>
      </w:r>
    </w:p>
    <w:p>
      <w:pPr>
        <w:spacing w:before="99"/>
        <w:ind w:left="83" w:right="0" w:firstLine="0"/>
        <w:jc w:val="center"/>
        <w:rPr>
          <w:b/>
          <w:sz w:val="14"/>
        </w:rPr>
      </w:pPr>
      <w:r>
        <w:rPr/>
        <w:br w:type="column"/>
      </w:r>
      <w:r>
        <w:rPr>
          <w:b/>
          <w:w w:val="105"/>
          <w:sz w:val="14"/>
        </w:rPr>
        <w:t>2020-21</w:t>
      </w:r>
    </w:p>
    <w:p>
      <w:pPr>
        <w:spacing w:before="7"/>
        <w:ind w:left="83" w:right="3" w:firstLine="0"/>
        <w:jc w:val="center"/>
        <w:rPr>
          <w:b/>
          <w:sz w:val="14"/>
        </w:rPr>
      </w:pPr>
      <w:r>
        <w:rPr/>
        <w:pict>
          <v:group style="position:absolute;margin-left:24.719999pt;margin-top:-30.284115pt;width:538pt;height:584.550pt;mso-position-horizontal-relative:page;mso-position-vertical-relative:paragraph;z-index:-314297344" coordorigin="494,-606" coordsize="10760,11691">
            <v:shape style="position:absolute;left:494;top:-606;width:3646;height:790" type="#_x0000_t75" stroked="false">
              <v:imagedata r:id="rId406" o:title=""/>
            </v:shape>
            <v:shape style="position:absolute;left:494;top:-606;width:10760;height:1152" type="#_x0000_t75" stroked="false">
              <v:imagedata r:id="rId858" o:title=""/>
            </v:shape>
            <v:line style="position:absolute" from="1304,174" to="1304,542" stroked="true" strokeweight=".359997pt" strokecolor="#ffffff">
              <v:stroke dashstyle="solid"/>
            </v:line>
            <v:shape style="position:absolute;left:4132;top:169;width:7121;height:1308" type="#_x0000_t75" stroked="false">
              <v:imagedata r:id="rId859" o:title=""/>
            </v:shape>
            <v:shape style="position:absolute;left:6674;top:1105;width:4580;height:934" type="#_x0000_t75" stroked="false">
              <v:imagedata r:id="rId804" o:title=""/>
            </v:shape>
            <v:shape style="position:absolute;left:494;top:543;width:3646;height:2237" type="#_x0000_t75" stroked="false">
              <v:imagedata r:id="rId860" o:title=""/>
            </v:shape>
            <v:shape style="position:absolute;left:6674;top:1835;width:4580;height:569" type="#_x0000_t75" stroked="false">
              <v:imagedata r:id="rId861" o:title=""/>
            </v:shape>
            <v:shape style="position:absolute;left:4132;top:2031;width:7121;height:749" type="#_x0000_t75" stroked="false">
              <v:imagedata r:id="rId608" o:title=""/>
            </v:shape>
            <v:shape style="position:absolute;left:494;top:2773;width:3646;height:339" type="#_x0000_t75" stroked="false">
              <v:imagedata r:id="rId609" o:title=""/>
            </v:shape>
            <v:shape style="position:absolute;left:4132;top:2396;width:7121;height:1856" type="#_x0000_t75" stroked="false">
              <v:imagedata r:id="rId862" o:title=""/>
            </v:shape>
            <v:shape style="position:absolute;left:494;top:3109;width:3646;height:7976" type="#_x0000_t75" stroked="false">
              <v:imagedata r:id="rId863" o:title=""/>
            </v:shape>
            <w10:wrap type="none"/>
          </v:group>
        </w:pict>
      </w:r>
      <w:r>
        <w:rPr>
          <w:b/>
          <w:w w:val="105"/>
          <w:sz w:val="14"/>
        </w:rPr>
        <w:t>Estimated Actuals</w:t>
      </w:r>
    </w:p>
    <w:p>
      <w:pPr>
        <w:spacing w:before="99"/>
        <w:ind w:left="370" w:right="0" w:firstLine="0"/>
        <w:jc w:val="left"/>
        <w:rPr>
          <w:b/>
          <w:sz w:val="14"/>
        </w:rPr>
      </w:pPr>
      <w:r>
        <w:rPr/>
        <w:br w:type="column"/>
      </w:r>
      <w:r>
        <w:rPr>
          <w:b/>
          <w:w w:val="105"/>
          <w:sz w:val="14"/>
        </w:rPr>
        <w:t>2021-22</w:t>
      </w:r>
    </w:p>
    <w:p>
      <w:pPr>
        <w:spacing w:before="7"/>
        <w:ind w:left="382" w:right="0" w:firstLine="0"/>
        <w:jc w:val="left"/>
        <w:rPr>
          <w:b/>
          <w:sz w:val="14"/>
        </w:rPr>
      </w:pPr>
      <w:r>
        <w:rPr>
          <w:b/>
          <w:w w:val="105"/>
          <w:sz w:val="14"/>
        </w:rPr>
        <w:t>Budget</w:t>
      </w:r>
    </w:p>
    <w:p>
      <w:pPr>
        <w:spacing w:line="249" w:lineRule="auto" w:before="99"/>
        <w:ind w:left="370" w:right="1227" w:firstLine="86"/>
        <w:jc w:val="left"/>
        <w:rPr>
          <w:b/>
          <w:sz w:val="14"/>
        </w:rPr>
      </w:pPr>
      <w:r>
        <w:rPr/>
        <w:br w:type="column"/>
      </w:r>
      <w:r>
        <w:rPr>
          <w:b/>
          <w:w w:val="105"/>
          <w:sz w:val="14"/>
        </w:rPr>
        <w:t>Percent </w:t>
      </w:r>
      <w:r>
        <w:rPr>
          <w:b/>
          <w:sz w:val="14"/>
        </w:rPr>
        <w:t>Difference</w:t>
      </w:r>
    </w:p>
    <w:p>
      <w:pPr>
        <w:spacing w:after="0" w:line="249" w:lineRule="auto"/>
        <w:jc w:val="left"/>
        <w:rPr>
          <w:sz w:val="14"/>
        </w:rPr>
        <w:sectPr>
          <w:type w:val="continuous"/>
          <w:pgSz w:w="12240" w:h="15840"/>
          <w:pgMar w:top="1500" w:bottom="840" w:left="160" w:right="180"/>
          <w:cols w:num="4" w:equalWidth="0">
            <w:col w:w="6498" w:space="40"/>
            <w:col w:w="1402" w:space="220"/>
            <w:col w:w="935" w:space="503"/>
            <w:col w:w="2302"/>
          </w:cols>
        </w:sectPr>
      </w:pPr>
    </w:p>
    <w:p>
      <w:pPr>
        <w:pStyle w:val="BodyText"/>
        <w:spacing w:before="5"/>
        <w:rPr>
          <w:b/>
          <w:sz w:val="9"/>
        </w:rPr>
      </w:pPr>
    </w:p>
    <w:p>
      <w:pPr>
        <w:spacing w:before="99"/>
        <w:ind w:left="370" w:right="0" w:firstLine="0"/>
        <w:jc w:val="left"/>
        <w:rPr>
          <w:b/>
          <w:sz w:val="14"/>
        </w:rPr>
      </w:pPr>
      <w:r>
        <w:rPr>
          <w:b/>
          <w:w w:val="105"/>
          <w:sz w:val="14"/>
        </w:rPr>
        <w:t>OTHER STATE REVENUE</w:t>
      </w:r>
    </w:p>
    <w:p>
      <w:pPr>
        <w:pStyle w:val="BodyText"/>
        <w:spacing w:before="4"/>
        <w:rPr>
          <w:b/>
          <w:sz w:val="9"/>
        </w:rPr>
      </w:pPr>
    </w:p>
    <w:p>
      <w:pPr>
        <w:spacing w:line="292" w:lineRule="auto" w:before="99"/>
        <w:ind w:left="615" w:right="9614" w:hanging="82"/>
        <w:jc w:val="left"/>
        <w:rPr>
          <w:sz w:val="14"/>
        </w:rPr>
      </w:pPr>
      <w:r>
        <w:rPr>
          <w:w w:val="105"/>
          <w:sz w:val="14"/>
        </w:rPr>
        <w:t>Tax Relief Subventions Restricted</w:t>
      </w:r>
      <w:r>
        <w:rPr>
          <w:spacing w:val="-13"/>
          <w:w w:val="105"/>
          <w:sz w:val="14"/>
        </w:rPr>
        <w:t> </w:t>
      </w:r>
      <w:r>
        <w:rPr>
          <w:w w:val="105"/>
          <w:sz w:val="14"/>
        </w:rPr>
        <w:t>Levies</w:t>
      </w:r>
      <w:r>
        <w:rPr>
          <w:spacing w:val="-13"/>
          <w:w w:val="105"/>
          <w:sz w:val="14"/>
        </w:rPr>
        <w:t> </w:t>
      </w:r>
      <w:r>
        <w:rPr>
          <w:w w:val="105"/>
          <w:sz w:val="14"/>
        </w:rPr>
        <w:t>-</w:t>
      </w:r>
      <w:r>
        <w:rPr>
          <w:spacing w:val="-12"/>
          <w:w w:val="105"/>
          <w:sz w:val="14"/>
        </w:rPr>
        <w:t> </w:t>
      </w:r>
      <w:r>
        <w:rPr>
          <w:spacing w:val="-3"/>
          <w:w w:val="105"/>
          <w:sz w:val="14"/>
        </w:rPr>
        <w:t>Other</w:t>
      </w:r>
    </w:p>
    <w:p>
      <w:pPr>
        <w:pStyle w:val="BodyText"/>
        <w:spacing w:before="8" w:after="1"/>
        <w:rPr>
          <w:sz w:val="14"/>
        </w:rPr>
      </w:pPr>
    </w:p>
    <w:tbl>
      <w:tblPr>
        <w:tblW w:w="0" w:type="auto"/>
        <w:jc w:val="left"/>
        <w:tblInd w:w="4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913"/>
        <w:gridCol w:w="2620"/>
        <w:gridCol w:w="1638"/>
        <w:gridCol w:w="1526"/>
        <w:gridCol w:w="1007"/>
      </w:tblGrid>
      <w:tr>
        <w:trPr>
          <w:trHeight w:val="262" w:hRule="atLeast"/>
        </w:trPr>
        <w:tc>
          <w:tcPr>
            <w:tcW w:w="3913" w:type="dxa"/>
          </w:tcPr>
          <w:p>
            <w:pPr>
              <w:pStyle w:val="TableParagraph"/>
              <w:spacing w:line="160" w:lineRule="exact"/>
              <w:ind w:left="294"/>
              <w:rPr>
                <w:sz w:val="14"/>
              </w:rPr>
            </w:pPr>
            <w:r>
              <w:rPr>
                <w:w w:val="105"/>
                <w:sz w:val="14"/>
              </w:rPr>
              <w:t>Homeowners' Exemptions</w:t>
            </w:r>
          </w:p>
        </w:tc>
        <w:tc>
          <w:tcPr>
            <w:tcW w:w="2620" w:type="dxa"/>
          </w:tcPr>
          <w:p>
            <w:pPr>
              <w:pStyle w:val="TableParagraph"/>
              <w:spacing w:line="160" w:lineRule="exact"/>
              <w:ind w:right="739"/>
              <w:jc w:val="right"/>
              <w:rPr>
                <w:sz w:val="14"/>
              </w:rPr>
            </w:pPr>
            <w:r>
              <w:rPr>
                <w:sz w:val="14"/>
              </w:rPr>
              <w:t>8575</w:t>
            </w:r>
          </w:p>
        </w:tc>
        <w:tc>
          <w:tcPr>
            <w:tcW w:w="1638" w:type="dxa"/>
          </w:tcPr>
          <w:p>
            <w:pPr>
              <w:pStyle w:val="TableParagraph"/>
              <w:spacing w:line="160" w:lineRule="exact"/>
              <w:ind w:right="613"/>
              <w:jc w:val="right"/>
              <w:rPr>
                <w:sz w:val="14"/>
              </w:rPr>
            </w:pPr>
            <w:r>
              <w:rPr>
                <w:sz w:val="14"/>
              </w:rPr>
              <w:t>0.00</w:t>
            </w:r>
          </w:p>
        </w:tc>
        <w:tc>
          <w:tcPr>
            <w:tcW w:w="1526" w:type="dxa"/>
          </w:tcPr>
          <w:p>
            <w:pPr>
              <w:pStyle w:val="TableParagraph"/>
              <w:spacing w:line="160" w:lineRule="exact"/>
              <w:ind w:left="593" w:right="603"/>
              <w:jc w:val="center"/>
              <w:rPr>
                <w:sz w:val="14"/>
              </w:rPr>
            </w:pPr>
            <w:r>
              <w:rPr>
                <w:w w:val="105"/>
                <w:sz w:val="14"/>
              </w:rPr>
              <w:t>0.00</w:t>
            </w:r>
          </w:p>
        </w:tc>
        <w:tc>
          <w:tcPr>
            <w:tcW w:w="1007" w:type="dxa"/>
          </w:tcPr>
          <w:p>
            <w:pPr>
              <w:pStyle w:val="TableParagraph"/>
              <w:spacing w:line="160" w:lineRule="exact"/>
              <w:ind w:right="46"/>
              <w:jc w:val="right"/>
              <w:rPr>
                <w:sz w:val="14"/>
              </w:rPr>
            </w:pPr>
            <w:r>
              <w:rPr>
                <w:sz w:val="14"/>
              </w:rPr>
              <w:t>0.0%</w:t>
            </w:r>
          </w:p>
        </w:tc>
      </w:tr>
      <w:tr>
        <w:trPr>
          <w:trHeight w:val="561" w:hRule="atLeast"/>
        </w:trPr>
        <w:tc>
          <w:tcPr>
            <w:tcW w:w="3913" w:type="dxa"/>
          </w:tcPr>
          <w:p>
            <w:pPr>
              <w:pStyle w:val="TableParagraph"/>
              <w:spacing w:line="292" w:lineRule="auto" w:before="101"/>
              <w:ind w:left="334" w:right="1612" w:hanging="40"/>
              <w:rPr>
                <w:sz w:val="14"/>
              </w:rPr>
            </w:pPr>
            <w:r>
              <w:rPr>
                <w:sz w:val="14"/>
              </w:rPr>
              <w:t>Other Subventions/In-Lieu </w:t>
            </w:r>
            <w:r>
              <w:rPr>
                <w:w w:val="105"/>
                <w:sz w:val="14"/>
              </w:rPr>
              <w:t>Taxes</w:t>
            </w:r>
          </w:p>
        </w:tc>
        <w:tc>
          <w:tcPr>
            <w:tcW w:w="2620" w:type="dxa"/>
          </w:tcPr>
          <w:p>
            <w:pPr>
              <w:pStyle w:val="TableParagraph"/>
              <w:rPr>
                <w:sz w:val="16"/>
              </w:rPr>
            </w:pPr>
          </w:p>
          <w:p>
            <w:pPr>
              <w:pStyle w:val="TableParagraph"/>
              <w:spacing w:before="113"/>
              <w:ind w:right="739"/>
              <w:jc w:val="right"/>
              <w:rPr>
                <w:sz w:val="14"/>
              </w:rPr>
            </w:pPr>
            <w:r>
              <w:rPr>
                <w:sz w:val="14"/>
              </w:rPr>
              <w:t>8576</w:t>
            </w:r>
          </w:p>
        </w:tc>
        <w:tc>
          <w:tcPr>
            <w:tcW w:w="1638" w:type="dxa"/>
          </w:tcPr>
          <w:p>
            <w:pPr>
              <w:pStyle w:val="TableParagraph"/>
              <w:rPr>
                <w:sz w:val="16"/>
              </w:rPr>
            </w:pPr>
          </w:p>
          <w:p>
            <w:pPr>
              <w:pStyle w:val="TableParagraph"/>
              <w:spacing w:before="113"/>
              <w:ind w:right="613"/>
              <w:jc w:val="right"/>
              <w:rPr>
                <w:sz w:val="14"/>
              </w:rPr>
            </w:pPr>
            <w:r>
              <w:rPr>
                <w:sz w:val="14"/>
              </w:rPr>
              <w:t>0.00</w:t>
            </w:r>
          </w:p>
        </w:tc>
        <w:tc>
          <w:tcPr>
            <w:tcW w:w="1526" w:type="dxa"/>
          </w:tcPr>
          <w:p>
            <w:pPr>
              <w:pStyle w:val="TableParagraph"/>
              <w:rPr>
                <w:sz w:val="16"/>
              </w:rPr>
            </w:pPr>
          </w:p>
          <w:p>
            <w:pPr>
              <w:pStyle w:val="TableParagraph"/>
              <w:spacing w:before="113"/>
              <w:ind w:left="593" w:right="603"/>
              <w:jc w:val="center"/>
              <w:rPr>
                <w:sz w:val="14"/>
              </w:rPr>
            </w:pPr>
            <w:r>
              <w:rPr>
                <w:w w:val="105"/>
                <w:sz w:val="14"/>
              </w:rPr>
              <w:t>0.00</w:t>
            </w:r>
          </w:p>
        </w:tc>
        <w:tc>
          <w:tcPr>
            <w:tcW w:w="1007" w:type="dxa"/>
          </w:tcPr>
          <w:p>
            <w:pPr>
              <w:pStyle w:val="TableParagraph"/>
              <w:rPr>
                <w:sz w:val="16"/>
              </w:rPr>
            </w:pPr>
          </w:p>
          <w:p>
            <w:pPr>
              <w:pStyle w:val="TableParagraph"/>
              <w:spacing w:before="113"/>
              <w:ind w:right="46"/>
              <w:jc w:val="right"/>
              <w:rPr>
                <w:sz w:val="14"/>
              </w:rPr>
            </w:pPr>
            <w:r>
              <w:rPr>
                <w:sz w:val="14"/>
              </w:rPr>
              <w:t>0.0%</w:t>
            </w:r>
          </w:p>
        </w:tc>
      </w:tr>
      <w:tr>
        <w:trPr>
          <w:trHeight w:val="370" w:hRule="atLeast"/>
        </w:trPr>
        <w:tc>
          <w:tcPr>
            <w:tcW w:w="3913" w:type="dxa"/>
          </w:tcPr>
          <w:p>
            <w:pPr>
              <w:pStyle w:val="TableParagraph"/>
              <w:spacing w:before="101"/>
              <w:ind w:left="131"/>
              <w:rPr>
                <w:sz w:val="14"/>
              </w:rPr>
            </w:pPr>
            <w:r>
              <w:rPr>
                <w:w w:val="105"/>
                <w:sz w:val="14"/>
              </w:rPr>
              <w:t>All Other State Revenue</w:t>
            </w:r>
          </w:p>
        </w:tc>
        <w:tc>
          <w:tcPr>
            <w:tcW w:w="2620" w:type="dxa"/>
          </w:tcPr>
          <w:p>
            <w:pPr>
              <w:pStyle w:val="TableParagraph"/>
              <w:spacing w:before="101"/>
              <w:ind w:right="739"/>
              <w:jc w:val="right"/>
              <w:rPr>
                <w:sz w:val="14"/>
              </w:rPr>
            </w:pPr>
            <w:r>
              <w:rPr>
                <w:sz w:val="14"/>
              </w:rPr>
              <w:t>8590</w:t>
            </w:r>
          </w:p>
        </w:tc>
        <w:tc>
          <w:tcPr>
            <w:tcW w:w="1638" w:type="dxa"/>
          </w:tcPr>
          <w:p>
            <w:pPr>
              <w:pStyle w:val="TableParagraph"/>
              <w:spacing w:before="101"/>
              <w:ind w:right="613"/>
              <w:jc w:val="right"/>
              <w:rPr>
                <w:sz w:val="14"/>
              </w:rPr>
            </w:pPr>
            <w:r>
              <w:rPr>
                <w:sz w:val="14"/>
              </w:rPr>
              <w:t>0.00</w:t>
            </w:r>
          </w:p>
        </w:tc>
        <w:tc>
          <w:tcPr>
            <w:tcW w:w="1526" w:type="dxa"/>
          </w:tcPr>
          <w:p>
            <w:pPr>
              <w:pStyle w:val="TableParagraph"/>
              <w:spacing w:before="101"/>
              <w:ind w:left="593" w:right="603"/>
              <w:jc w:val="center"/>
              <w:rPr>
                <w:sz w:val="14"/>
              </w:rPr>
            </w:pPr>
            <w:r>
              <w:rPr>
                <w:w w:val="105"/>
                <w:sz w:val="14"/>
              </w:rPr>
              <w:t>0.00</w:t>
            </w:r>
          </w:p>
        </w:tc>
        <w:tc>
          <w:tcPr>
            <w:tcW w:w="1007" w:type="dxa"/>
          </w:tcPr>
          <w:p>
            <w:pPr>
              <w:pStyle w:val="TableParagraph"/>
              <w:spacing w:before="101"/>
              <w:ind w:right="46"/>
              <w:jc w:val="right"/>
              <w:rPr>
                <w:sz w:val="14"/>
              </w:rPr>
            </w:pPr>
            <w:r>
              <w:rPr>
                <w:sz w:val="14"/>
              </w:rPr>
              <w:t>0.0%</w:t>
            </w:r>
          </w:p>
        </w:tc>
      </w:tr>
      <w:tr>
        <w:trPr>
          <w:trHeight w:val="268" w:hRule="atLeast"/>
        </w:trPr>
        <w:tc>
          <w:tcPr>
            <w:tcW w:w="3913" w:type="dxa"/>
          </w:tcPr>
          <w:p>
            <w:pPr>
              <w:pStyle w:val="TableParagraph"/>
              <w:spacing w:line="142" w:lineRule="exact" w:before="107"/>
              <w:ind w:left="50"/>
              <w:rPr>
                <w:sz w:val="14"/>
              </w:rPr>
            </w:pPr>
            <w:r>
              <w:rPr>
                <w:w w:val="105"/>
                <w:sz w:val="14"/>
              </w:rPr>
              <w:t>TOTAL, OTHER STATE REVENUE</w:t>
            </w:r>
          </w:p>
        </w:tc>
        <w:tc>
          <w:tcPr>
            <w:tcW w:w="2620" w:type="dxa"/>
          </w:tcPr>
          <w:p>
            <w:pPr>
              <w:pStyle w:val="TableParagraph"/>
              <w:rPr>
                <w:rFonts w:ascii="Times New Roman"/>
                <w:sz w:val="14"/>
              </w:rPr>
            </w:pPr>
          </w:p>
        </w:tc>
        <w:tc>
          <w:tcPr>
            <w:tcW w:w="1638" w:type="dxa"/>
          </w:tcPr>
          <w:p>
            <w:pPr>
              <w:pStyle w:val="TableParagraph"/>
              <w:spacing w:line="142" w:lineRule="exact" w:before="107"/>
              <w:ind w:right="613"/>
              <w:jc w:val="right"/>
              <w:rPr>
                <w:sz w:val="14"/>
              </w:rPr>
            </w:pPr>
            <w:r>
              <w:rPr>
                <w:sz w:val="14"/>
              </w:rPr>
              <w:t>0.00</w:t>
            </w:r>
          </w:p>
        </w:tc>
        <w:tc>
          <w:tcPr>
            <w:tcW w:w="1526" w:type="dxa"/>
          </w:tcPr>
          <w:p>
            <w:pPr>
              <w:pStyle w:val="TableParagraph"/>
              <w:spacing w:line="142" w:lineRule="exact" w:before="107"/>
              <w:ind w:left="593" w:right="603"/>
              <w:jc w:val="center"/>
              <w:rPr>
                <w:sz w:val="14"/>
              </w:rPr>
            </w:pPr>
            <w:r>
              <w:rPr>
                <w:w w:val="105"/>
                <w:sz w:val="14"/>
              </w:rPr>
              <w:t>0.00</w:t>
            </w:r>
          </w:p>
        </w:tc>
        <w:tc>
          <w:tcPr>
            <w:tcW w:w="1007" w:type="dxa"/>
          </w:tcPr>
          <w:p>
            <w:pPr>
              <w:pStyle w:val="TableParagraph"/>
              <w:spacing w:line="142" w:lineRule="exact" w:before="107"/>
              <w:ind w:right="46"/>
              <w:jc w:val="right"/>
              <w:rPr>
                <w:sz w:val="14"/>
              </w:rPr>
            </w:pPr>
            <w:r>
              <w:rPr>
                <w:sz w:val="14"/>
              </w:rPr>
              <w:t>0.0%</w:t>
            </w:r>
          </w:p>
        </w:tc>
      </w:tr>
    </w:tbl>
    <w:p>
      <w:pPr>
        <w:pStyle w:val="BodyText"/>
        <w:spacing w:before="10"/>
        <w:rPr>
          <w:sz w:val="14"/>
        </w:rPr>
      </w:pPr>
    </w:p>
    <w:p>
      <w:pPr>
        <w:spacing w:before="1"/>
        <w:ind w:left="370" w:right="0" w:firstLine="0"/>
        <w:jc w:val="left"/>
        <w:rPr>
          <w:b/>
          <w:sz w:val="14"/>
        </w:rPr>
      </w:pPr>
      <w:r>
        <w:rPr>
          <w:b/>
          <w:w w:val="105"/>
          <w:sz w:val="14"/>
        </w:rPr>
        <w:t>OTHER</w:t>
      </w:r>
      <w:r>
        <w:rPr>
          <w:b/>
          <w:spacing w:val="-24"/>
          <w:w w:val="105"/>
          <w:sz w:val="14"/>
        </w:rPr>
        <w:t> </w:t>
      </w:r>
      <w:r>
        <w:rPr>
          <w:b/>
          <w:w w:val="105"/>
          <w:sz w:val="14"/>
        </w:rPr>
        <w:t>LOCAL</w:t>
      </w:r>
      <w:r>
        <w:rPr>
          <w:b/>
          <w:spacing w:val="-23"/>
          <w:w w:val="105"/>
          <w:sz w:val="14"/>
        </w:rPr>
        <w:t> </w:t>
      </w:r>
      <w:r>
        <w:rPr>
          <w:b/>
          <w:w w:val="105"/>
          <w:sz w:val="14"/>
        </w:rPr>
        <w:t>REVENUE</w:t>
      </w:r>
    </w:p>
    <w:p>
      <w:pPr>
        <w:pStyle w:val="BodyText"/>
        <w:spacing w:before="4"/>
        <w:rPr>
          <w:b/>
          <w:sz w:val="10"/>
        </w:rPr>
      </w:pPr>
    </w:p>
    <w:p>
      <w:pPr>
        <w:spacing w:line="292" w:lineRule="auto" w:before="99"/>
        <w:ind w:left="533" w:right="9614" w:hanging="82"/>
        <w:jc w:val="left"/>
        <w:rPr>
          <w:sz w:val="14"/>
        </w:rPr>
      </w:pPr>
      <w:r>
        <w:rPr>
          <w:w w:val="105"/>
          <w:sz w:val="14"/>
        </w:rPr>
        <w:t>Other Local Revenue County</w:t>
      </w:r>
      <w:r>
        <w:rPr>
          <w:spacing w:val="-15"/>
          <w:w w:val="105"/>
          <w:sz w:val="14"/>
        </w:rPr>
        <w:t> </w:t>
      </w:r>
      <w:r>
        <w:rPr>
          <w:w w:val="105"/>
          <w:sz w:val="14"/>
        </w:rPr>
        <w:t>and</w:t>
      </w:r>
      <w:r>
        <w:rPr>
          <w:spacing w:val="-15"/>
          <w:w w:val="105"/>
          <w:sz w:val="14"/>
        </w:rPr>
        <w:t> </w:t>
      </w:r>
      <w:r>
        <w:rPr>
          <w:w w:val="105"/>
          <w:sz w:val="14"/>
        </w:rPr>
        <w:t>District</w:t>
      </w:r>
      <w:r>
        <w:rPr>
          <w:spacing w:val="-13"/>
          <w:w w:val="105"/>
          <w:sz w:val="14"/>
        </w:rPr>
        <w:t> </w:t>
      </w:r>
      <w:r>
        <w:rPr>
          <w:spacing w:val="-3"/>
          <w:w w:val="105"/>
          <w:sz w:val="14"/>
        </w:rPr>
        <w:t>Taxes</w:t>
      </w:r>
    </w:p>
    <w:p>
      <w:pPr>
        <w:pStyle w:val="BodyText"/>
        <w:spacing w:before="7"/>
        <w:rPr>
          <w:sz w:val="14"/>
        </w:rPr>
      </w:pPr>
    </w:p>
    <w:p>
      <w:pPr>
        <w:spacing w:before="1" w:after="37"/>
        <w:ind w:left="615" w:right="0" w:firstLine="0"/>
        <w:jc w:val="left"/>
        <w:rPr>
          <w:sz w:val="14"/>
        </w:rPr>
      </w:pPr>
      <w:r>
        <w:rPr/>
        <w:pict>
          <v:group style="position:absolute;margin-left:24.719999pt;margin-top:8.055898pt;width:538pt;height:371.05pt;mso-position-horizontal-relative:page;mso-position-vertical-relative:paragraph;z-index:-314296320" coordorigin="494,161" coordsize="10760,7421">
            <v:shape style="position:absolute;left:6674;top:161;width:4580;height:569" type="#_x0000_t75" stroked="false">
              <v:imagedata r:id="rId636" o:title=""/>
            </v:shape>
            <v:shape style="position:absolute;left:6674;top:357;width:4580;height:737" type="#_x0000_t75" stroked="false">
              <v:imagedata r:id="rId464" o:title=""/>
            </v:shape>
            <v:shape style="position:absolute;left:6674;top:722;width:4580;height:737" type="#_x0000_t75" stroked="false">
              <v:imagedata r:id="rId464" o:title=""/>
            </v:shape>
            <v:shape style="position:absolute;left:6674;top:1087;width:4580;height:934" type="#_x0000_t75" stroked="false">
              <v:imagedata r:id="rId804" o:title=""/>
            </v:shape>
            <v:shape style="position:absolute;left:6674;top:1817;width:4580;height:569" type="#_x0000_t75" stroked="false">
              <v:imagedata r:id="rId636" o:title=""/>
            </v:shape>
            <v:shape style="position:absolute;left:6674;top:2013;width:4580;height:934" type="#_x0000_t75" stroked="false">
              <v:imagedata r:id="rId804" o:title=""/>
            </v:shape>
            <v:shape style="position:absolute;left:6674;top:2743;width:4580;height:963" type="#_x0000_t75" stroked="false">
              <v:imagedata r:id="rId864" o:title=""/>
            </v:shape>
            <v:shape style="position:absolute;left:6674;top:3501;width:4580;height:766" type="#_x0000_t75" stroked="false">
              <v:imagedata r:id="rId865" o:title=""/>
            </v:shape>
            <v:shape style="position:absolute;left:6674;top:4063;width:4580;height:569" type="#_x0000_t75" stroked="false">
              <v:imagedata r:id="rId636" o:title=""/>
            </v:shape>
            <v:shape style="position:absolute;left:6674;top:4260;width:4580;height:737" type="#_x0000_t75" stroked="false">
              <v:imagedata r:id="rId464" o:title=""/>
            </v:shape>
            <v:shape style="position:absolute;left:6674;top:4625;width:4580;height:1102" type="#_x0000_t75" stroked="false">
              <v:imagedata r:id="rId614" o:title=""/>
            </v:shape>
            <v:shape style="position:absolute;left:6674;top:5354;width:4580;height:1102" type="#_x0000_t75" stroked="false">
              <v:imagedata r:id="rId614" o:title=""/>
            </v:shape>
            <v:shape style="position:absolute;left:6674;top:6084;width:4580;height:737" type="#_x0000_t75" stroked="false">
              <v:imagedata r:id="rId642" o:title=""/>
            </v:shape>
            <v:shape style="position:absolute;left:4132;top:6449;width:7121;height:749" type="#_x0000_t75" stroked="false">
              <v:imagedata r:id="rId479" o:title=""/>
            </v:shape>
            <v:shape style="position:absolute;left:494;top:7190;width:3646;height:392" type="#_x0000_t75" stroked="false">
              <v:imagedata r:id="rId617" o:title=""/>
            </v:shape>
            <v:shape style="position:absolute;left:4132;top:6813;width:7121;height:768" type="#_x0000_t75" stroked="false">
              <v:imagedata r:id="rId797" o:title=""/>
            </v:shape>
            <v:shape style="position:absolute;left:8186;top:7190;width:3068;height:392" type="#_x0000_t75" stroked="false">
              <v:imagedata r:id="rId798" o:title=""/>
            </v:shape>
            <w10:wrap type="none"/>
          </v:group>
        </w:pict>
      </w:r>
      <w:r>
        <w:rPr>
          <w:w w:val="105"/>
          <w:sz w:val="14"/>
        </w:rPr>
        <w:t>Other</w:t>
      </w:r>
      <w:r>
        <w:rPr>
          <w:spacing w:val="-20"/>
          <w:w w:val="105"/>
          <w:sz w:val="14"/>
        </w:rPr>
        <w:t> </w:t>
      </w:r>
      <w:r>
        <w:rPr>
          <w:w w:val="105"/>
          <w:sz w:val="14"/>
        </w:rPr>
        <w:t>Restricted</w:t>
      </w:r>
      <w:r>
        <w:rPr>
          <w:spacing w:val="-20"/>
          <w:w w:val="105"/>
          <w:sz w:val="14"/>
        </w:rPr>
        <w:t> </w:t>
      </w:r>
      <w:r>
        <w:rPr>
          <w:w w:val="105"/>
          <w:sz w:val="14"/>
        </w:rPr>
        <w:t>Levies</w:t>
      </w:r>
    </w:p>
    <w:tbl>
      <w:tblPr>
        <w:tblW w:w="0" w:type="auto"/>
        <w:jc w:val="left"/>
        <w:tblInd w:w="3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93"/>
        <w:gridCol w:w="1844"/>
        <w:gridCol w:w="1639"/>
        <w:gridCol w:w="1606"/>
        <w:gridCol w:w="1008"/>
      </w:tblGrid>
      <w:tr>
        <w:trPr>
          <w:trHeight w:val="262" w:hRule="atLeast"/>
        </w:trPr>
        <w:tc>
          <w:tcPr>
            <w:tcW w:w="4693" w:type="dxa"/>
          </w:tcPr>
          <w:p>
            <w:pPr>
              <w:pStyle w:val="TableParagraph"/>
              <w:spacing w:line="160" w:lineRule="exact"/>
              <w:ind w:left="416"/>
              <w:rPr>
                <w:sz w:val="14"/>
              </w:rPr>
            </w:pPr>
            <w:r>
              <w:rPr>
                <w:w w:val="105"/>
                <w:sz w:val="14"/>
              </w:rPr>
              <w:t>Secured Roll</w:t>
            </w:r>
          </w:p>
        </w:tc>
        <w:tc>
          <w:tcPr>
            <w:tcW w:w="1844" w:type="dxa"/>
          </w:tcPr>
          <w:p>
            <w:pPr>
              <w:pStyle w:val="TableParagraph"/>
              <w:spacing w:line="160" w:lineRule="exact"/>
              <w:ind w:right="662"/>
              <w:jc w:val="right"/>
              <w:rPr>
                <w:sz w:val="14"/>
              </w:rPr>
            </w:pPr>
            <w:r>
              <w:rPr>
                <w:sz w:val="14"/>
              </w:rPr>
              <w:t>8615</w:t>
            </w:r>
          </w:p>
        </w:tc>
        <w:tc>
          <w:tcPr>
            <w:tcW w:w="1639" w:type="dxa"/>
          </w:tcPr>
          <w:p>
            <w:pPr>
              <w:pStyle w:val="TableParagraph"/>
              <w:spacing w:line="160" w:lineRule="exact"/>
              <w:ind w:right="537"/>
              <w:jc w:val="right"/>
              <w:rPr>
                <w:sz w:val="14"/>
              </w:rPr>
            </w:pPr>
            <w:r>
              <w:rPr>
                <w:sz w:val="14"/>
              </w:rPr>
              <w:t>0.00</w:t>
            </w:r>
          </w:p>
        </w:tc>
        <w:tc>
          <w:tcPr>
            <w:tcW w:w="1606" w:type="dxa"/>
          </w:tcPr>
          <w:p>
            <w:pPr>
              <w:pStyle w:val="TableParagraph"/>
              <w:spacing w:line="160" w:lineRule="exact"/>
              <w:ind w:right="631"/>
              <w:jc w:val="right"/>
              <w:rPr>
                <w:sz w:val="14"/>
              </w:rPr>
            </w:pPr>
            <w:r>
              <w:rPr>
                <w:sz w:val="14"/>
              </w:rPr>
              <w:t>0.00</w:t>
            </w:r>
          </w:p>
        </w:tc>
        <w:tc>
          <w:tcPr>
            <w:tcW w:w="1008" w:type="dxa"/>
          </w:tcPr>
          <w:p>
            <w:pPr>
              <w:pStyle w:val="TableParagraph"/>
              <w:spacing w:line="160" w:lineRule="exact"/>
              <w:ind w:right="50"/>
              <w:jc w:val="right"/>
              <w:rPr>
                <w:sz w:val="14"/>
              </w:rPr>
            </w:pPr>
            <w:r>
              <w:rPr>
                <w:sz w:val="14"/>
              </w:rPr>
              <w:t>0.0%</w:t>
            </w:r>
          </w:p>
        </w:tc>
      </w:tr>
      <w:tr>
        <w:trPr>
          <w:trHeight w:val="364" w:hRule="atLeast"/>
        </w:trPr>
        <w:tc>
          <w:tcPr>
            <w:tcW w:w="4693" w:type="dxa"/>
          </w:tcPr>
          <w:p>
            <w:pPr>
              <w:pStyle w:val="TableParagraph"/>
              <w:spacing w:before="101"/>
              <w:ind w:left="416"/>
              <w:rPr>
                <w:sz w:val="14"/>
              </w:rPr>
            </w:pPr>
            <w:r>
              <w:rPr>
                <w:w w:val="105"/>
                <w:sz w:val="14"/>
              </w:rPr>
              <w:t>Unsecured Roll</w:t>
            </w:r>
          </w:p>
        </w:tc>
        <w:tc>
          <w:tcPr>
            <w:tcW w:w="1844" w:type="dxa"/>
          </w:tcPr>
          <w:p>
            <w:pPr>
              <w:pStyle w:val="TableParagraph"/>
              <w:spacing w:before="101"/>
              <w:ind w:right="662"/>
              <w:jc w:val="right"/>
              <w:rPr>
                <w:sz w:val="14"/>
              </w:rPr>
            </w:pPr>
            <w:r>
              <w:rPr>
                <w:sz w:val="14"/>
              </w:rPr>
              <w:t>8616</w:t>
            </w:r>
          </w:p>
        </w:tc>
        <w:tc>
          <w:tcPr>
            <w:tcW w:w="1639" w:type="dxa"/>
          </w:tcPr>
          <w:p>
            <w:pPr>
              <w:pStyle w:val="TableParagraph"/>
              <w:spacing w:before="101"/>
              <w:ind w:right="537"/>
              <w:jc w:val="right"/>
              <w:rPr>
                <w:sz w:val="14"/>
              </w:rPr>
            </w:pPr>
            <w:r>
              <w:rPr>
                <w:sz w:val="14"/>
              </w:rPr>
              <w:t>0.00</w:t>
            </w:r>
          </w:p>
        </w:tc>
        <w:tc>
          <w:tcPr>
            <w:tcW w:w="1606" w:type="dxa"/>
          </w:tcPr>
          <w:p>
            <w:pPr>
              <w:pStyle w:val="TableParagraph"/>
              <w:spacing w:before="101"/>
              <w:ind w:right="631"/>
              <w:jc w:val="right"/>
              <w:rPr>
                <w:sz w:val="14"/>
              </w:rPr>
            </w:pPr>
            <w:r>
              <w:rPr>
                <w:sz w:val="14"/>
              </w:rPr>
              <w:t>0.00</w:t>
            </w:r>
          </w:p>
        </w:tc>
        <w:tc>
          <w:tcPr>
            <w:tcW w:w="1008" w:type="dxa"/>
          </w:tcPr>
          <w:p>
            <w:pPr>
              <w:pStyle w:val="TableParagraph"/>
              <w:spacing w:before="101"/>
              <w:ind w:right="50"/>
              <w:jc w:val="right"/>
              <w:rPr>
                <w:sz w:val="14"/>
              </w:rPr>
            </w:pPr>
            <w:r>
              <w:rPr>
                <w:sz w:val="14"/>
              </w:rPr>
              <w:t>0.0%</w:t>
            </w:r>
          </w:p>
        </w:tc>
      </w:tr>
      <w:tr>
        <w:trPr>
          <w:trHeight w:val="364" w:hRule="atLeast"/>
        </w:trPr>
        <w:tc>
          <w:tcPr>
            <w:tcW w:w="4693" w:type="dxa"/>
          </w:tcPr>
          <w:p>
            <w:pPr>
              <w:pStyle w:val="TableParagraph"/>
              <w:spacing w:before="101"/>
              <w:ind w:left="416"/>
              <w:rPr>
                <w:sz w:val="14"/>
              </w:rPr>
            </w:pPr>
            <w:r>
              <w:rPr>
                <w:w w:val="105"/>
                <w:sz w:val="14"/>
              </w:rPr>
              <w:t>Prior Years' Taxes</w:t>
            </w:r>
          </w:p>
        </w:tc>
        <w:tc>
          <w:tcPr>
            <w:tcW w:w="1844" w:type="dxa"/>
          </w:tcPr>
          <w:p>
            <w:pPr>
              <w:pStyle w:val="TableParagraph"/>
              <w:spacing w:before="101"/>
              <w:ind w:right="662"/>
              <w:jc w:val="right"/>
              <w:rPr>
                <w:sz w:val="14"/>
              </w:rPr>
            </w:pPr>
            <w:r>
              <w:rPr>
                <w:sz w:val="14"/>
              </w:rPr>
              <w:t>8617</w:t>
            </w:r>
          </w:p>
        </w:tc>
        <w:tc>
          <w:tcPr>
            <w:tcW w:w="1639" w:type="dxa"/>
          </w:tcPr>
          <w:p>
            <w:pPr>
              <w:pStyle w:val="TableParagraph"/>
              <w:spacing w:before="101"/>
              <w:ind w:right="537"/>
              <w:jc w:val="right"/>
              <w:rPr>
                <w:sz w:val="14"/>
              </w:rPr>
            </w:pPr>
            <w:r>
              <w:rPr>
                <w:sz w:val="14"/>
              </w:rPr>
              <w:t>0.00</w:t>
            </w:r>
          </w:p>
        </w:tc>
        <w:tc>
          <w:tcPr>
            <w:tcW w:w="1606" w:type="dxa"/>
          </w:tcPr>
          <w:p>
            <w:pPr>
              <w:pStyle w:val="TableParagraph"/>
              <w:spacing w:before="101"/>
              <w:ind w:right="631"/>
              <w:jc w:val="right"/>
              <w:rPr>
                <w:sz w:val="14"/>
              </w:rPr>
            </w:pPr>
            <w:r>
              <w:rPr>
                <w:sz w:val="14"/>
              </w:rPr>
              <w:t>0.00</w:t>
            </w:r>
          </w:p>
        </w:tc>
        <w:tc>
          <w:tcPr>
            <w:tcW w:w="1008" w:type="dxa"/>
          </w:tcPr>
          <w:p>
            <w:pPr>
              <w:pStyle w:val="TableParagraph"/>
              <w:spacing w:before="101"/>
              <w:ind w:right="50"/>
              <w:jc w:val="right"/>
              <w:rPr>
                <w:sz w:val="14"/>
              </w:rPr>
            </w:pPr>
            <w:r>
              <w:rPr>
                <w:sz w:val="14"/>
              </w:rPr>
              <w:t>0.0%</w:t>
            </w:r>
          </w:p>
        </w:tc>
      </w:tr>
      <w:tr>
        <w:trPr>
          <w:trHeight w:val="364" w:hRule="atLeast"/>
        </w:trPr>
        <w:tc>
          <w:tcPr>
            <w:tcW w:w="4693" w:type="dxa"/>
          </w:tcPr>
          <w:p>
            <w:pPr>
              <w:pStyle w:val="TableParagraph"/>
              <w:spacing w:before="101"/>
              <w:ind w:left="416"/>
              <w:rPr>
                <w:sz w:val="14"/>
              </w:rPr>
            </w:pPr>
            <w:r>
              <w:rPr>
                <w:w w:val="105"/>
                <w:sz w:val="14"/>
              </w:rPr>
              <w:t>Supplemental Taxes</w:t>
            </w:r>
          </w:p>
        </w:tc>
        <w:tc>
          <w:tcPr>
            <w:tcW w:w="1844" w:type="dxa"/>
          </w:tcPr>
          <w:p>
            <w:pPr>
              <w:pStyle w:val="TableParagraph"/>
              <w:spacing w:before="101"/>
              <w:ind w:right="662"/>
              <w:jc w:val="right"/>
              <w:rPr>
                <w:sz w:val="14"/>
              </w:rPr>
            </w:pPr>
            <w:r>
              <w:rPr>
                <w:sz w:val="14"/>
              </w:rPr>
              <w:t>8618</w:t>
            </w:r>
          </w:p>
        </w:tc>
        <w:tc>
          <w:tcPr>
            <w:tcW w:w="1639" w:type="dxa"/>
          </w:tcPr>
          <w:p>
            <w:pPr>
              <w:pStyle w:val="TableParagraph"/>
              <w:spacing w:before="101"/>
              <w:ind w:right="537"/>
              <w:jc w:val="right"/>
              <w:rPr>
                <w:sz w:val="14"/>
              </w:rPr>
            </w:pPr>
            <w:r>
              <w:rPr>
                <w:sz w:val="14"/>
              </w:rPr>
              <w:t>0.00</w:t>
            </w:r>
          </w:p>
        </w:tc>
        <w:tc>
          <w:tcPr>
            <w:tcW w:w="1606" w:type="dxa"/>
          </w:tcPr>
          <w:p>
            <w:pPr>
              <w:pStyle w:val="TableParagraph"/>
              <w:spacing w:before="101"/>
              <w:ind w:right="631"/>
              <w:jc w:val="right"/>
              <w:rPr>
                <w:sz w:val="14"/>
              </w:rPr>
            </w:pPr>
            <w:r>
              <w:rPr>
                <w:sz w:val="14"/>
              </w:rPr>
              <w:t>0.00</w:t>
            </w:r>
          </w:p>
        </w:tc>
        <w:tc>
          <w:tcPr>
            <w:tcW w:w="1008" w:type="dxa"/>
          </w:tcPr>
          <w:p>
            <w:pPr>
              <w:pStyle w:val="TableParagraph"/>
              <w:spacing w:before="101"/>
              <w:ind w:right="50"/>
              <w:jc w:val="right"/>
              <w:rPr>
                <w:sz w:val="14"/>
              </w:rPr>
            </w:pPr>
            <w:r>
              <w:rPr>
                <w:sz w:val="14"/>
              </w:rPr>
              <w:t>0.0%</w:t>
            </w:r>
          </w:p>
        </w:tc>
      </w:tr>
      <w:tr>
        <w:trPr>
          <w:trHeight w:val="561" w:hRule="atLeast"/>
        </w:trPr>
        <w:tc>
          <w:tcPr>
            <w:tcW w:w="4693" w:type="dxa"/>
          </w:tcPr>
          <w:p>
            <w:pPr>
              <w:pStyle w:val="TableParagraph"/>
              <w:spacing w:line="292" w:lineRule="auto" w:before="101"/>
              <w:ind w:left="416" w:right="2548" w:hanging="122"/>
              <w:rPr>
                <w:sz w:val="14"/>
              </w:rPr>
            </w:pPr>
            <w:r>
              <w:rPr>
                <w:w w:val="105"/>
                <w:sz w:val="14"/>
              </w:rPr>
              <w:t>Non-Ad Valorem Taxes Parcel Taxes</w:t>
            </w:r>
          </w:p>
        </w:tc>
        <w:tc>
          <w:tcPr>
            <w:tcW w:w="1844" w:type="dxa"/>
          </w:tcPr>
          <w:p>
            <w:pPr>
              <w:pStyle w:val="TableParagraph"/>
              <w:rPr>
                <w:sz w:val="16"/>
              </w:rPr>
            </w:pPr>
          </w:p>
          <w:p>
            <w:pPr>
              <w:pStyle w:val="TableParagraph"/>
              <w:spacing w:before="113"/>
              <w:ind w:right="662"/>
              <w:jc w:val="right"/>
              <w:rPr>
                <w:sz w:val="14"/>
              </w:rPr>
            </w:pPr>
            <w:r>
              <w:rPr>
                <w:sz w:val="14"/>
              </w:rPr>
              <w:t>8621</w:t>
            </w:r>
          </w:p>
        </w:tc>
        <w:tc>
          <w:tcPr>
            <w:tcW w:w="1639" w:type="dxa"/>
          </w:tcPr>
          <w:p>
            <w:pPr>
              <w:pStyle w:val="TableParagraph"/>
              <w:rPr>
                <w:sz w:val="16"/>
              </w:rPr>
            </w:pPr>
          </w:p>
          <w:p>
            <w:pPr>
              <w:pStyle w:val="TableParagraph"/>
              <w:spacing w:before="113"/>
              <w:ind w:right="537"/>
              <w:jc w:val="right"/>
              <w:rPr>
                <w:sz w:val="14"/>
              </w:rPr>
            </w:pPr>
            <w:r>
              <w:rPr>
                <w:sz w:val="14"/>
              </w:rPr>
              <w:t>0.00</w:t>
            </w:r>
          </w:p>
        </w:tc>
        <w:tc>
          <w:tcPr>
            <w:tcW w:w="1606" w:type="dxa"/>
          </w:tcPr>
          <w:p>
            <w:pPr>
              <w:pStyle w:val="TableParagraph"/>
              <w:rPr>
                <w:sz w:val="16"/>
              </w:rPr>
            </w:pPr>
          </w:p>
          <w:p>
            <w:pPr>
              <w:pStyle w:val="TableParagraph"/>
              <w:spacing w:before="113"/>
              <w:ind w:right="631"/>
              <w:jc w:val="right"/>
              <w:rPr>
                <w:sz w:val="14"/>
              </w:rPr>
            </w:pPr>
            <w:r>
              <w:rPr>
                <w:sz w:val="14"/>
              </w:rPr>
              <w:t>0.00</w:t>
            </w:r>
          </w:p>
        </w:tc>
        <w:tc>
          <w:tcPr>
            <w:tcW w:w="1008" w:type="dxa"/>
          </w:tcPr>
          <w:p>
            <w:pPr>
              <w:pStyle w:val="TableParagraph"/>
              <w:rPr>
                <w:sz w:val="16"/>
              </w:rPr>
            </w:pPr>
          </w:p>
          <w:p>
            <w:pPr>
              <w:pStyle w:val="TableParagraph"/>
              <w:spacing w:before="113"/>
              <w:ind w:right="50"/>
              <w:jc w:val="right"/>
              <w:rPr>
                <w:sz w:val="14"/>
              </w:rPr>
            </w:pPr>
            <w:r>
              <w:rPr>
                <w:sz w:val="14"/>
              </w:rPr>
              <w:t>0.0%</w:t>
            </w:r>
          </w:p>
        </w:tc>
      </w:tr>
      <w:tr>
        <w:trPr>
          <w:trHeight w:val="364" w:hRule="atLeast"/>
        </w:trPr>
        <w:tc>
          <w:tcPr>
            <w:tcW w:w="4693" w:type="dxa"/>
          </w:tcPr>
          <w:p>
            <w:pPr>
              <w:pStyle w:val="TableParagraph"/>
              <w:spacing w:before="101"/>
              <w:ind w:left="416"/>
              <w:rPr>
                <w:sz w:val="14"/>
              </w:rPr>
            </w:pPr>
            <w:r>
              <w:rPr>
                <w:w w:val="105"/>
                <w:sz w:val="14"/>
              </w:rPr>
              <w:t>Other</w:t>
            </w:r>
          </w:p>
        </w:tc>
        <w:tc>
          <w:tcPr>
            <w:tcW w:w="1844" w:type="dxa"/>
          </w:tcPr>
          <w:p>
            <w:pPr>
              <w:pStyle w:val="TableParagraph"/>
              <w:spacing w:before="101"/>
              <w:ind w:right="662"/>
              <w:jc w:val="right"/>
              <w:rPr>
                <w:sz w:val="14"/>
              </w:rPr>
            </w:pPr>
            <w:r>
              <w:rPr>
                <w:sz w:val="14"/>
              </w:rPr>
              <w:t>8622</w:t>
            </w:r>
          </w:p>
        </w:tc>
        <w:tc>
          <w:tcPr>
            <w:tcW w:w="1639" w:type="dxa"/>
          </w:tcPr>
          <w:p>
            <w:pPr>
              <w:pStyle w:val="TableParagraph"/>
              <w:spacing w:before="101"/>
              <w:ind w:right="537"/>
              <w:jc w:val="right"/>
              <w:rPr>
                <w:sz w:val="14"/>
              </w:rPr>
            </w:pPr>
            <w:r>
              <w:rPr>
                <w:sz w:val="14"/>
              </w:rPr>
              <w:t>0.00</w:t>
            </w:r>
          </w:p>
        </w:tc>
        <w:tc>
          <w:tcPr>
            <w:tcW w:w="1606" w:type="dxa"/>
          </w:tcPr>
          <w:p>
            <w:pPr>
              <w:pStyle w:val="TableParagraph"/>
              <w:spacing w:before="101"/>
              <w:ind w:right="631"/>
              <w:jc w:val="right"/>
              <w:rPr>
                <w:sz w:val="14"/>
              </w:rPr>
            </w:pPr>
            <w:r>
              <w:rPr>
                <w:sz w:val="14"/>
              </w:rPr>
              <w:t>0.00</w:t>
            </w:r>
          </w:p>
        </w:tc>
        <w:tc>
          <w:tcPr>
            <w:tcW w:w="1008" w:type="dxa"/>
          </w:tcPr>
          <w:p>
            <w:pPr>
              <w:pStyle w:val="TableParagraph"/>
              <w:spacing w:before="101"/>
              <w:ind w:right="50"/>
              <w:jc w:val="right"/>
              <w:rPr>
                <w:sz w:val="14"/>
              </w:rPr>
            </w:pPr>
            <w:r>
              <w:rPr>
                <w:sz w:val="14"/>
              </w:rPr>
              <w:t>0.0%</w:t>
            </w:r>
          </w:p>
        </w:tc>
      </w:tr>
      <w:tr>
        <w:trPr>
          <w:trHeight w:val="561" w:hRule="atLeast"/>
        </w:trPr>
        <w:tc>
          <w:tcPr>
            <w:tcW w:w="4693" w:type="dxa"/>
          </w:tcPr>
          <w:p>
            <w:pPr>
              <w:pStyle w:val="TableParagraph"/>
              <w:spacing w:line="292" w:lineRule="auto" w:before="101"/>
              <w:ind w:left="334" w:right="2115" w:hanging="40"/>
              <w:rPr>
                <w:sz w:val="14"/>
              </w:rPr>
            </w:pPr>
            <w:r>
              <w:rPr>
                <w:w w:val="105"/>
                <w:sz w:val="14"/>
              </w:rPr>
              <w:t>Community Redevelopment Funds Not Subject to LCFF Deduction</w:t>
            </w:r>
          </w:p>
        </w:tc>
        <w:tc>
          <w:tcPr>
            <w:tcW w:w="1844" w:type="dxa"/>
          </w:tcPr>
          <w:p>
            <w:pPr>
              <w:pStyle w:val="TableParagraph"/>
              <w:rPr>
                <w:sz w:val="16"/>
              </w:rPr>
            </w:pPr>
          </w:p>
          <w:p>
            <w:pPr>
              <w:pStyle w:val="TableParagraph"/>
              <w:spacing w:before="113"/>
              <w:ind w:right="662"/>
              <w:jc w:val="right"/>
              <w:rPr>
                <w:sz w:val="14"/>
              </w:rPr>
            </w:pPr>
            <w:r>
              <w:rPr>
                <w:sz w:val="14"/>
              </w:rPr>
              <w:t>8625</w:t>
            </w:r>
          </w:p>
        </w:tc>
        <w:tc>
          <w:tcPr>
            <w:tcW w:w="1639" w:type="dxa"/>
          </w:tcPr>
          <w:p>
            <w:pPr>
              <w:pStyle w:val="TableParagraph"/>
              <w:rPr>
                <w:sz w:val="16"/>
              </w:rPr>
            </w:pPr>
          </w:p>
          <w:p>
            <w:pPr>
              <w:pStyle w:val="TableParagraph"/>
              <w:spacing w:before="113"/>
              <w:ind w:right="537"/>
              <w:jc w:val="right"/>
              <w:rPr>
                <w:sz w:val="14"/>
              </w:rPr>
            </w:pPr>
            <w:r>
              <w:rPr>
                <w:sz w:val="14"/>
              </w:rPr>
              <w:t>0.00</w:t>
            </w:r>
          </w:p>
        </w:tc>
        <w:tc>
          <w:tcPr>
            <w:tcW w:w="1606" w:type="dxa"/>
          </w:tcPr>
          <w:p>
            <w:pPr>
              <w:pStyle w:val="TableParagraph"/>
              <w:rPr>
                <w:sz w:val="16"/>
              </w:rPr>
            </w:pPr>
          </w:p>
          <w:p>
            <w:pPr>
              <w:pStyle w:val="TableParagraph"/>
              <w:spacing w:before="113"/>
              <w:ind w:right="631"/>
              <w:jc w:val="right"/>
              <w:rPr>
                <w:sz w:val="14"/>
              </w:rPr>
            </w:pPr>
            <w:r>
              <w:rPr>
                <w:sz w:val="14"/>
              </w:rPr>
              <w:t>0.00</w:t>
            </w:r>
          </w:p>
        </w:tc>
        <w:tc>
          <w:tcPr>
            <w:tcW w:w="1008" w:type="dxa"/>
          </w:tcPr>
          <w:p>
            <w:pPr>
              <w:pStyle w:val="TableParagraph"/>
              <w:rPr>
                <w:sz w:val="16"/>
              </w:rPr>
            </w:pPr>
          </w:p>
          <w:p>
            <w:pPr>
              <w:pStyle w:val="TableParagraph"/>
              <w:spacing w:before="113"/>
              <w:ind w:right="50"/>
              <w:jc w:val="right"/>
              <w:rPr>
                <w:sz w:val="14"/>
              </w:rPr>
            </w:pPr>
            <w:r>
              <w:rPr>
                <w:sz w:val="14"/>
              </w:rPr>
              <w:t>0.0%</w:t>
            </w:r>
          </w:p>
        </w:tc>
      </w:tr>
      <w:tr>
        <w:trPr>
          <w:trHeight w:val="656" w:hRule="atLeast"/>
        </w:trPr>
        <w:tc>
          <w:tcPr>
            <w:tcW w:w="4693" w:type="dxa"/>
          </w:tcPr>
          <w:p>
            <w:pPr>
              <w:pStyle w:val="TableParagraph"/>
              <w:spacing w:line="190" w:lineRule="atLeast" w:before="72"/>
              <w:ind w:left="334" w:right="2548" w:hanging="40"/>
              <w:rPr>
                <w:sz w:val="14"/>
              </w:rPr>
            </w:pPr>
            <w:r>
              <w:rPr>
                <w:w w:val="105"/>
                <w:sz w:val="14"/>
              </w:rPr>
              <w:t>Penalties and Interest from Delinquent Non-LCFF Taxes</w:t>
            </w:r>
          </w:p>
        </w:tc>
        <w:tc>
          <w:tcPr>
            <w:tcW w:w="1844" w:type="dxa"/>
          </w:tcPr>
          <w:p>
            <w:pPr>
              <w:pStyle w:val="TableParagraph"/>
              <w:rPr>
                <w:sz w:val="16"/>
              </w:rPr>
            </w:pPr>
          </w:p>
          <w:p>
            <w:pPr>
              <w:pStyle w:val="TableParagraph"/>
              <w:rPr>
                <w:sz w:val="16"/>
              </w:rPr>
            </w:pPr>
          </w:p>
          <w:p>
            <w:pPr>
              <w:pStyle w:val="TableParagraph"/>
              <w:spacing w:line="142" w:lineRule="exact" w:before="126"/>
              <w:ind w:right="662"/>
              <w:jc w:val="right"/>
              <w:rPr>
                <w:sz w:val="14"/>
              </w:rPr>
            </w:pPr>
            <w:r>
              <w:rPr>
                <w:sz w:val="14"/>
              </w:rPr>
              <w:t>8629</w:t>
            </w:r>
          </w:p>
        </w:tc>
        <w:tc>
          <w:tcPr>
            <w:tcW w:w="1639" w:type="dxa"/>
          </w:tcPr>
          <w:p>
            <w:pPr>
              <w:pStyle w:val="TableParagraph"/>
              <w:rPr>
                <w:sz w:val="16"/>
              </w:rPr>
            </w:pPr>
          </w:p>
          <w:p>
            <w:pPr>
              <w:pStyle w:val="TableParagraph"/>
              <w:rPr>
                <w:sz w:val="16"/>
              </w:rPr>
            </w:pPr>
          </w:p>
          <w:p>
            <w:pPr>
              <w:pStyle w:val="TableParagraph"/>
              <w:spacing w:line="142" w:lineRule="exact" w:before="126"/>
              <w:ind w:right="537"/>
              <w:jc w:val="right"/>
              <w:rPr>
                <w:sz w:val="14"/>
              </w:rPr>
            </w:pPr>
            <w:r>
              <w:rPr>
                <w:sz w:val="14"/>
              </w:rPr>
              <w:t>0.00</w:t>
            </w:r>
          </w:p>
        </w:tc>
        <w:tc>
          <w:tcPr>
            <w:tcW w:w="1606" w:type="dxa"/>
          </w:tcPr>
          <w:p>
            <w:pPr>
              <w:pStyle w:val="TableParagraph"/>
              <w:rPr>
                <w:sz w:val="16"/>
              </w:rPr>
            </w:pPr>
          </w:p>
          <w:p>
            <w:pPr>
              <w:pStyle w:val="TableParagraph"/>
              <w:rPr>
                <w:sz w:val="16"/>
              </w:rPr>
            </w:pPr>
          </w:p>
          <w:p>
            <w:pPr>
              <w:pStyle w:val="TableParagraph"/>
              <w:spacing w:line="142" w:lineRule="exact" w:before="126"/>
              <w:ind w:right="631"/>
              <w:jc w:val="right"/>
              <w:rPr>
                <w:sz w:val="14"/>
              </w:rPr>
            </w:pPr>
            <w:r>
              <w:rPr>
                <w:sz w:val="14"/>
              </w:rPr>
              <w:t>0.00</w:t>
            </w:r>
          </w:p>
        </w:tc>
        <w:tc>
          <w:tcPr>
            <w:tcW w:w="1008" w:type="dxa"/>
          </w:tcPr>
          <w:p>
            <w:pPr>
              <w:pStyle w:val="TableParagraph"/>
              <w:rPr>
                <w:sz w:val="16"/>
              </w:rPr>
            </w:pPr>
          </w:p>
          <w:p>
            <w:pPr>
              <w:pStyle w:val="TableParagraph"/>
              <w:rPr>
                <w:sz w:val="16"/>
              </w:rPr>
            </w:pPr>
          </w:p>
          <w:p>
            <w:pPr>
              <w:pStyle w:val="TableParagraph"/>
              <w:spacing w:line="142" w:lineRule="exact" w:before="126"/>
              <w:ind w:right="50"/>
              <w:jc w:val="right"/>
              <w:rPr>
                <w:sz w:val="14"/>
              </w:rPr>
            </w:pPr>
            <w:r>
              <w:rPr>
                <w:sz w:val="14"/>
              </w:rPr>
              <w:t>0.0%</w:t>
            </w:r>
          </w:p>
        </w:tc>
      </w:tr>
      <w:tr>
        <w:trPr>
          <w:trHeight w:val="364" w:hRule="atLeast"/>
        </w:trPr>
        <w:tc>
          <w:tcPr>
            <w:tcW w:w="4693" w:type="dxa"/>
          </w:tcPr>
          <w:p>
            <w:pPr>
              <w:pStyle w:val="TableParagraph"/>
              <w:spacing w:before="7"/>
              <w:rPr>
                <w:sz w:val="17"/>
              </w:rPr>
            </w:pPr>
          </w:p>
          <w:p>
            <w:pPr>
              <w:pStyle w:val="TableParagraph"/>
              <w:spacing w:line="142" w:lineRule="exact"/>
              <w:ind w:left="213"/>
              <w:rPr>
                <w:sz w:val="14"/>
              </w:rPr>
            </w:pPr>
            <w:r>
              <w:rPr>
                <w:w w:val="105"/>
                <w:sz w:val="14"/>
              </w:rPr>
              <w:t>Sales</w:t>
            </w:r>
          </w:p>
        </w:tc>
        <w:tc>
          <w:tcPr>
            <w:tcW w:w="1844" w:type="dxa"/>
          </w:tcPr>
          <w:p>
            <w:pPr>
              <w:pStyle w:val="TableParagraph"/>
              <w:rPr>
                <w:rFonts w:ascii="Times New Roman"/>
                <w:sz w:val="14"/>
              </w:rPr>
            </w:pPr>
          </w:p>
        </w:tc>
        <w:tc>
          <w:tcPr>
            <w:tcW w:w="1639" w:type="dxa"/>
          </w:tcPr>
          <w:p>
            <w:pPr>
              <w:pStyle w:val="TableParagraph"/>
              <w:rPr>
                <w:rFonts w:ascii="Times New Roman"/>
                <w:sz w:val="14"/>
              </w:rPr>
            </w:pPr>
          </w:p>
        </w:tc>
        <w:tc>
          <w:tcPr>
            <w:tcW w:w="1606" w:type="dxa"/>
          </w:tcPr>
          <w:p>
            <w:pPr>
              <w:pStyle w:val="TableParagraph"/>
              <w:rPr>
                <w:rFonts w:ascii="Times New Roman"/>
                <w:sz w:val="14"/>
              </w:rPr>
            </w:pPr>
          </w:p>
        </w:tc>
        <w:tc>
          <w:tcPr>
            <w:tcW w:w="1008" w:type="dxa"/>
          </w:tcPr>
          <w:p>
            <w:pPr>
              <w:pStyle w:val="TableParagraph"/>
              <w:rPr>
                <w:rFonts w:ascii="Times New Roman"/>
                <w:sz w:val="14"/>
              </w:rPr>
            </w:pPr>
          </w:p>
        </w:tc>
      </w:tr>
      <w:tr>
        <w:trPr>
          <w:trHeight w:val="298" w:hRule="atLeast"/>
        </w:trPr>
        <w:tc>
          <w:tcPr>
            <w:tcW w:w="4693" w:type="dxa"/>
          </w:tcPr>
          <w:p>
            <w:pPr>
              <w:pStyle w:val="TableParagraph"/>
              <w:spacing w:before="35"/>
              <w:ind w:left="294"/>
              <w:rPr>
                <w:sz w:val="14"/>
              </w:rPr>
            </w:pPr>
            <w:r>
              <w:rPr>
                <w:w w:val="105"/>
                <w:sz w:val="14"/>
              </w:rPr>
              <w:t>Sale of Equipment/Supplies</w:t>
            </w:r>
          </w:p>
        </w:tc>
        <w:tc>
          <w:tcPr>
            <w:tcW w:w="1844" w:type="dxa"/>
          </w:tcPr>
          <w:p>
            <w:pPr>
              <w:pStyle w:val="TableParagraph"/>
              <w:spacing w:before="35"/>
              <w:ind w:right="662"/>
              <w:jc w:val="right"/>
              <w:rPr>
                <w:sz w:val="14"/>
              </w:rPr>
            </w:pPr>
            <w:r>
              <w:rPr>
                <w:sz w:val="14"/>
              </w:rPr>
              <w:t>8631</w:t>
            </w:r>
          </w:p>
        </w:tc>
        <w:tc>
          <w:tcPr>
            <w:tcW w:w="1639" w:type="dxa"/>
          </w:tcPr>
          <w:p>
            <w:pPr>
              <w:pStyle w:val="TableParagraph"/>
              <w:spacing w:before="35"/>
              <w:ind w:right="537"/>
              <w:jc w:val="right"/>
              <w:rPr>
                <w:sz w:val="14"/>
              </w:rPr>
            </w:pPr>
            <w:r>
              <w:rPr>
                <w:sz w:val="14"/>
              </w:rPr>
              <w:t>0.00</w:t>
            </w:r>
          </w:p>
        </w:tc>
        <w:tc>
          <w:tcPr>
            <w:tcW w:w="1606" w:type="dxa"/>
          </w:tcPr>
          <w:p>
            <w:pPr>
              <w:pStyle w:val="TableParagraph"/>
              <w:spacing w:before="35"/>
              <w:ind w:right="631"/>
              <w:jc w:val="right"/>
              <w:rPr>
                <w:sz w:val="14"/>
              </w:rPr>
            </w:pPr>
            <w:r>
              <w:rPr>
                <w:sz w:val="14"/>
              </w:rPr>
              <w:t>0.00</w:t>
            </w:r>
          </w:p>
        </w:tc>
        <w:tc>
          <w:tcPr>
            <w:tcW w:w="1008" w:type="dxa"/>
          </w:tcPr>
          <w:p>
            <w:pPr>
              <w:pStyle w:val="TableParagraph"/>
              <w:spacing w:before="35"/>
              <w:ind w:right="50"/>
              <w:jc w:val="right"/>
              <w:rPr>
                <w:sz w:val="14"/>
              </w:rPr>
            </w:pPr>
            <w:r>
              <w:rPr>
                <w:sz w:val="14"/>
              </w:rPr>
              <w:t>0.0%</w:t>
            </w:r>
          </w:p>
        </w:tc>
      </w:tr>
      <w:tr>
        <w:trPr>
          <w:trHeight w:val="364" w:hRule="atLeast"/>
        </w:trPr>
        <w:tc>
          <w:tcPr>
            <w:tcW w:w="4693" w:type="dxa"/>
          </w:tcPr>
          <w:p>
            <w:pPr>
              <w:pStyle w:val="TableParagraph"/>
              <w:spacing w:before="101"/>
              <w:ind w:left="213"/>
              <w:rPr>
                <w:sz w:val="14"/>
              </w:rPr>
            </w:pPr>
            <w:r>
              <w:rPr>
                <w:w w:val="105"/>
                <w:sz w:val="14"/>
              </w:rPr>
              <w:t>Interest</w:t>
            </w:r>
          </w:p>
        </w:tc>
        <w:tc>
          <w:tcPr>
            <w:tcW w:w="1844" w:type="dxa"/>
          </w:tcPr>
          <w:p>
            <w:pPr>
              <w:pStyle w:val="TableParagraph"/>
              <w:spacing w:before="101"/>
              <w:ind w:right="662"/>
              <w:jc w:val="right"/>
              <w:rPr>
                <w:sz w:val="14"/>
              </w:rPr>
            </w:pPr>
            <w:r>
              <w:rPr>
                <w:sz w:val="14"/>
              </w:rPr>
              <w:t>8660</w:t>
            </w:r>
          </w:p>
        </w:tc>
        <w:tc>
          <w:tcPr>
            <w:tcW w:w="1639" w:type="dxa"/>
          </w:tcPr>
          <w:p>
            <w:pPr>
              <w:pStyle w:val="TableParagraph"/>
              <w:spacing w:before="101"/>
              <w:ind w:right="536"/>
              <w:jc w:val="right"/>
              <w:rPr>
                <w:sz w:val="14"/>
              </w:rPr>
            </w:pPr>
            <w:r>
              <w:rPr>
                <w:sz w:val="14"/>
              </w:rPr>
              <w:t>175.00</w:t>
            </w:r>
          </w:p>
        </w:tc>
        <w:tc>
          <w:tcPr>
            <w:tcW w:w="1606" w:type="dxa"/>
          </w:tcPr>
          <w:p>
            <w:pPr>
              <w:pStyle w:val="TableParagraph"/>
              <w:spacing w:before="101"/>
              <w:ind w:right="630"/>
              <w:jc w:val="right"/>
              <w:rPr>
                <w:sz w:val="14"/>
              </w:rPr>
            </w:pPr>
            <w:r>
              <w:rPr>
                <w:sz w:val="14"/>
              </w:rPr>
              <w:t>175.00</w:t>
            </w:r>
          </w:p>
        </w:tc>
        <w:tc>
          <w:tcPr>
            <w:tcW w:w="1008" w:type="dxa"/>
          </w:tcPr>
          <w:p>
            <w:pPr>
              <w:pStyle w:val="TableParagraph"/>
              <w:spacing w:before="101"/>
              <w:ind w:right="50"/>
              <w:jc w:val="right"/>
              <w:rPr>
                <w:sz w:val="14"/>
              </w:rPr>
            </w:pPr>
            <w:r>
              <w:rPr>
                <w:sz w:val="14"/>
              </w:rPr>
              <w:t>0.0%</w:t>
            </w:r>
          </w:p>
        </w:tc>
      </w:tr>
      <w:tr>
        <w:trPr>
          <w:trHeight w:val="364" w:hRule="atLeast"/>
        </w:trPr>
        <w:tc>
          <w:tcPr>
            <w:tcW w:w="4693" w:type="dxa"/>
          </w:tcPr>
          <w:p>
            <w:pPr>
              <w:pStyle w:val="TableParagraph"/>
              <w:spacing w:before="101"/>
              <w:ind w:left="213"/>
              <w:rPr>
                <w:sz w:val="14"/>
              </w:rPr>
            </w:pPr>
            <w:r>
              <w:rPr>
                <w:w w:val="105"/>
                <w:sz w:val="14"/>
              </w:rPr>
              <w:t>Net Increase (Decrease) in the Fair Value of Investments</w:t>
            </w:r>
          </w:p>
        </w:tc>
        <w:tc>
          <w:tcPr>
            <w:tcW w:w="1844" w:type="dxa"/>
          </w:tcPr>
          <w:p>
            <w:pPr>
              <w:pStyle w:val="TableParagraph"/>
              <w:spacing w:before="101"/>
              <w:ind w:right="662"/>
              <w:jc w:val="right"/>
              <w:rPr>
                <w:sz w:val="14"/>
              </w:rPr>
            </w:pPr>
            <w:r>
              <w:rPr>
                <w:sz w:val="14"/>
              </w:rPr>
              <w:t>8662</w:t>
            </w:r>
          </w:p>
        </w:tc>
        <w:tc>
          <w:tcPr>
            <w:tcW w:w="1639" w:type="dxa"/>
          </w:tcPr>
          <w:p>
            <w:pPr>
              <w:pStyle w:val="TableParagraph"/>
              <w:spacing w:before="101"/>
              <w:ind w:right="537"/>
              <w:jc w:val="right"/>
              <w:rPr>
                <w:sz w:val="14"/>
              </w:rPr>
            </w:pPr>
            <w:r>
              <w:rPr>
                <w:sz w:val="14"/>
              </w:rPr>
              <w:t>0.00</w:t>
            </w:r>
          </w:p>
        </w:tc>
        <w:tc>
          <w:tcPr>
            <w:tcW w:w="1606" w:type="dxa"/>
          </w:tcPr>
          <w:p>
            <w:pPr>
              <w:pStyle w:val="TableParagraph"/>
              <w:spacing w:before="101"/>
              <w:ind w:right="631"/>
              <w:jc w:val="right"/>
              <w:rPr>
                <w:sz w:val="14"/>
              </w:rPr>
            </w:pPr>
            <w:r>
              <w:rPr>
                <w:sz w:val="14"/>
              </w:rPr>
              <w:t>0.00</w:t>
            </w:r>
          </w:p>
        </w:tc>
        <w:tc>
          <w:tcPr>
            <w:tcW w:w="1008" w:type="dxa"/>
          </w:tcPr>
          <w:p>
            <w:pPr>
              <w:pStyle w:val="TableParagraph"/>
              <w:spacing w:before="101"/>
              <w:ind w:right="50"/>
              <w:jc w:val="right"/>
              <w:rPr>
                <w:sz w:val="14"/>
              </w:rPr>
            </w:pPr>
            <w:r>
              <w:rPr>
                <w:sz w:val="14"/>
              </w:rPr>
              <w:t>0.0%</w:t>
            </w:r>
          </w:p>
        </w:tc>
      </w:tr>
      <w:tr>
        <w:trPr>
          <w:trHeight w:val="364" w:hRule="atLeast"/>
        </w:trPr>
        <w:tc>
          <w:tcPr>
            <w:tcW w:w="4693" w:type="dxa"/>
          </w:tcPr>
          <w:p>
            <w:pPr>
              <w:pStyle w:val="TableParagraph"/>
              <w:spacing w:before="101"/>
              <w:ind w:left="213"/>
              <w:rPr>
                <w:sz w:val="14"/>
              </w:rPr>
            </w:pPr>
            <w:r>
              <w:rPr>
                <w:w w:val="105"/>
                <w:sz w:val="14"/>
              </w:rPr>
              <w:t>Fees and Contracts</w:t>
            </w:r>
          </w:p>
        </w:tc>
        <w:tc>
          <w:tcPr>
            <w:tcW w:w="1844" w:type="dxa"/>
          </w:tcPr>
          <w:p>
            <w:pPr>
              <w:pStyle w:val="TableParagraph"/>
              <w:rPr>
                <w:rFonts w:ascii="Times New Roman"/>
                <w:sz w:val="14"/>
              </w:rPr>
            </w:pPr>
          </w:p>
        </w:tc>
        <w:tc>
          <w:tcPr>
            <w:tcW w:w="1639" w:type="dxa"/>
          </w:tcPr>
          <w:p>
            <w:pPr>
              <w:pStyle w:val="TableParagraph"/>
              <w:rPr>
                <w:rFonts w:ascii="Times New Roman"/>
                <w:sz w:val="14"/>
              </w:rPr>
            </w:pPr>
          </w:p>
        </w:tc>
        <w:tc>
          <w:tcPr>
            <w:tcW w:w="1606" w:type="dxa"/>
          </w:tcPr>
          <w:p>
            <w:pPr>
              <w:pStyle w:val="TableParagraph"/>
              <w:rPr>
                <w:rFonts w:ascii="Times New Roman"/>
                <w:sz w:val="14"/>
              </w:rPr>
            </w:pPr>
          </w:p>
        </w:tc>
        <w:tc>
          <w:tcPr>
            <w:tcW w:w="1008" w:type="dxa"/>
          </w:tcPr>
          <w:p>
            <w:pPr>
              <w:pStyle w:val="TableParagraph"/>
              <w:rPr>
                <w:rFonts w:ascii="Times New Roman"/>
                <w:sz w:val="14"/>
              </w:rPr>
            </w:pPr>
          </w:p>
        </w:tc>
      </w:tr>
      <w:tr>
        <w:trPr>
          <w:trHeight w:val="262" w:hRule="atLeast"/>
        </w:trPr>
        <w:tc>
          <w:tcPr>
            <w:tcW w:w="4693" w:type="dxa"/>
          </w:tcPr>
          <w:p>
            <w:pPr>
              <w:pStyle w:val="TableParagraph"/>
              <w:spacing w:line="142" w:lineRule="exact" w:before="101"/>
              <w:ind w:left="294"/>
              <w:rPr>
                <w:sz w:val="14"/>
              </w:rPr>
            </w:pPr>
            <w:r>
              <w:rPr>
                <w:w w:val="105"/>
                <w:sz w:val="14"/>
              </w:rPr>
              <w:t>Mitigation/Developer Fees</w:t>
            </w:r>
          </w:p>
        </w:tc>
        <w:tc>
          <w:tcPr>
            <w:tcW w:w="1844" w:type="dxa"/>
          </w:tcPr>
          <w:p>
            <w:pPr>
              <w:pStyle w:val="TableParagraph"/>
              <w:spacing w:line="142" w:lineRule="exact" w:before="101"/>
              <w:ind w:right="662"/>
              <w:jc w:val="right"/>
              <w:rPr>
                <w:sz w:val="14"/>
              </w:rPr>
            </w:pPr>
            <w:r>
              <w:rPr>
                <w:sz w:val="14"/>
              </w:rPr>
              <w:t>8681</w:t>
            </w:r>
          </w:p>
        </w:tc>
        <w:tc>
          <w:tcPr>
            <w:tcW w:w="1639" w:type="dxa"/>
          </w:tcPr>
          <w:p>
            <w:pPr>
              <w:pStyle w:val="TableParagraph"/>
              <w:spacing w:line="142" w:lineRule="exact" w:before="101"/>
              <w:ind w:right="537"/>
              <w:jc w:val="right"/>
              <w:rPr>
                <w:sz w:val="14"/>
              </w:rPr>
            </w:pPr>
            <w:r>
              <w:rPr>
                <w:sz w:val="14"/>
              </w:rPr>
              <w:t>0.00</w:t>
            </w:r>
          </w:p>
        </w:tc>
        <w:tc>
          <w:tcPr>
            <w:tcW w:w="1606" w:type="dxa"/>
          </w:tcPr>
          <w:p>
            <w:pPr>
              <w:pStyle w:val="TableParagraph"/>
              <w:spacing w:line="142" w:lineRule="exact" w:before="101"/>
              <w:ind w:right="631"/>
              <w:jc w:val="right"/>
              <w:rPr>
                <w:sz w:val="14"/>
              </w:rPr>
            </w:pPr>
            <w:r>
              <w:rPr>
                <w:sz w:val="14"/>
              </w:rPr>
              <w:t>0.00</w:t>
            </w:r>
          </w:p>
        </w:tc>
        <w:tc>
          <w:tcPr>
            <w:tcW w:w="1008" w:type="dxa"/>
          </w:tcPr>
          <w:p>
            <w:pPr>
              <w:pStyle w:val="TableParagraph"/>
              <w:spacing w:line="142" w:lineRule="exact" w:before="101"/>
              <w:ind w:right="50"/>
              <w:jc w:val="right"/>
              <w:rPr>
                <w:sz w:val="14"/>
              </w:rPr>
            </w:pPr>
            <w:r>
              <w:rPr>
                <w:sz w:val="14"/>
              </w:rPr>
              <w:t>0.0%</w:t>
            </w:r>
          </w:p>
        </w:tc>
      </w:tr>
      <w:tr>
        <w:trPr>
          <w:trHeight w:val="364" w:hRule="atLeast"/>
        </w:trPr>
        <w:tc>
          <w:tcPr>
            <w:tcW w:w="4693" w:type="dxa"/>
          </w:tcPr>
          <w:p>
            <w:pPr>
              <w:pStyle w:val="TableParagraph"/>
              <w:spacing w:before="7"/>
              <w:rPr>
                <w:sz w:val="17"/>
              </w:rPr>
            </w:pPr>
          </w:p>
          <w:p>
            <w:pPr>
              <w:pStyle w:val="TableParagraph"/>
              <w:spacing w:line="142" w:lineRule="exact"/>
              <w:ind w:left="213"/>
              <w:rPr>
                <w:sz w:val="14"/>
              </w:rPr>
            </w:pPr>
            <w:r>
              <w:rPr>
                <w:w w:val="105"/>
                <w:sz w:val="14"/>
              </w:rPr>
              <w:t>Other Local Revenue</w:t>
            </w:r>
          </w:p>
        </w:tc>
        <w:tc>
          <w:tcPr>
            <w:tcW w:w="1844" w:type="dxa"/>
          </w:tcPr>
          <w:p>
            <w:pPr>
              <w:pStyle w:val="TableParagraph"/>
              <w:rPr>
                <w:rFonts w:ascii="Times New Roman"/>
                <w:sz w:val="14"/>
              </w:rPr>
            </w:pPr>
          </w:p>
        </w:tc>
        <w:tc>
          <w:tcPr>
            <w:tcW w:w="1639" w:type="dxa"/>
          </w:tcPr>
          <w:p>
            <w:pPr>
              <w:pStyle w:val="TableParagraph"/>
              <w:rPr>
                <w:rFonts w:ascii="Times New Roman"/>
                <w:sz w:val="14"/>
              </w:rPr>
            </w:pPr>
          </w:p>
        </w:tc>
        <w:tc>
          <w:tcPr>
            <w:tcW w:w="1606" w:type="dxa"/>
          </w:tcPr>
          <w:p>
            <w:pPr>
              <w:pStyle w:val="TableParagraph"/>
              <w:rPr>
                <w:rFonts w:ascii="Times New Roman"/>
                <w:sz w:val="14"/>
              </w:rPr>
            </w:pPr>
          </w:p>
        </w:tc>
        <w:tc>
          <w:tcPr>
            <w:tcW w:w="1008" w:type="dxa"/>
          </w:tcPr>
          <w:p>
            <w:pPr>
              <w:pStyle w:val="TableParagraph"/>
              <w:rPr>
                <w:rFonts w:ascii="Times New Roman"/>
                <w:sz w:val="14"/>
              </w:rPr>
            </w:pPr>
          </w:p>
        </w:tc>
      </w:tr>
      <w:tr>
        <w:trPr>
          <w:trHeight w:val="466" w:hRule="atLeast"/>
        </w:trPr>
        <w:tc>
          <w:tcPr>
            <w:tcW w:w="4693" w:type="dxa"/>
          </w:tcPr>
          <w:p>
            <w:pPr>
              <w:pStyle w:val="TableParagraph"/>
              <w:spacing w:before="7"/>
              <w:rPr>
                <w:sz w:val="17"/>
              </w:rPr>
            </w:pPr>
          </w:p>
          <w:p>
            <w:pPr>
              <w:pStyle w:val="TableParagraph"/>
              <w:ind w:left="294"/>
              <w:rPr>
                <w:sz w:val="14"/>
              </w:rPr>
            </w:pPr>
            <w:r>
              <w:rPr>
                <w:w w:val="105"/>
                <w:sz w:val="14"/>
              </w:rPr>
              <w:t>All Other Local Revenue</w:t>
            </w:r>
          </w:p>
        </w:tc>
        <w:tc>
          <w:tcPr>
            <w:tcW w:w="1844" w:type="dxa"/>
          </w:tcPr>
          <w:p>
            <w:pPr>
              <w:pStyle w:val="TableParagraph"/>
              <w:spacing w:before="7"/>
              <w:rPr>
                <w:sz w:val="17"/>
              </w:rPr>
            </w:pPr>
          </w:p>
          <w:p>
            <w:pPr>
              <w:pStyle w:val="TableParagraph"/>
              <w:ind w:right="662"/>
              <w:jc w:val="right"/>
              <w:rPr>
                <w:sz w:val="14"/>
              </w:rPr>
            </w:pPr>
            <w:r>
              <w:rPr>
                <w:sz w:val="14"/>
              </w:rPr>
              <w:t>8699</w:t>
            </w:r>
          </w:p>
        </w:tc>
        <w:tc>
          <w:tcPr>
            <w:tcW w:w="1639" w:type="dxa"/>
          </w:tcPr>
          <w:p>
            <w:pPr>
              <w:pStyle w:val="TableParagraph"/>
              <w:spacing w:before="7"/>
              <w:rPr>
                <w:sz w:val="17"/>
              </w:rPr>
            </w:pPr>
          </w:p>
          <w:p>
            <w:pPr>
              <w:pStyle w:val="TableParagraph"/>
              <w:ind w:right="537"/>
              <w:jc w:val="right"/>
              <w:rPr>
                <w:sz w:val="14"/>
              </w:rPr>
            </w:pPr>
            <w:r>
              <w:rPr>
                <w:sz w:val="14"/>
              </w:rPr>
              <w:t>0.00</w:t>
            </w:r>
          </w:p>
        </w:tc>
        <w:tc>
          <w:tcPr>
            <w:tcW w:w="1606" w:type="dxa"/>
          </w:tcPr>
          <w:p>
            <w:pPr>
              <w:pStyle w:val="TableParagraph"/>
              <w:spacing w:before="7"/>
              <w:rPr>
                <w:sz w:val="17"/>
              </w:rPr>
            </w:pPr>
          </w:p>
          <w:p>
            <w:pPr>
              <w:pStyle w:val="TableParagraph"/>
              <w:ind w:right="631"/>
              <w:jc w:val="right"/>
              <w:rPr>
                <w:sz w:val="14"/>
              </w:rPr>
            </w:pPr>
            <w:r>
              <w:rPr>
                <w:sz w:val="14"/>
              </w:rPr>
              <w:t>0.00</w:t>
            </w:r>
          </w:p>
        </w:tc>
        <w:tc>
          <w:tcPr>
            <w:tcW w:w="1008" w:type="dxa"/>
          </w:tcPr>
          <w:p>
            <w:pPr>
              <w:pStyle w:val="TableParagraph"/>
              <w:spacing w:before="7"/>
              <w:rPr>
                <w:sz w:val="17"/>
              </w:rPr>
            </w:pPr>
          </w:p>
          <w:p>
            <w:pPr>
              <w:pStyle w:val="TableParagraph"/>
              <w:ind w:right="50"/>
              <w:jc w:val="right"/>
              <w:rPr>
                <w:sz w:val="14"/>
              </w:rPr>
            </w:pPr>
            <w:r>
              <w:rPr>
                <w:sz w:val="14"/>
              </w:rPr>
              <w:t>0.0%</w:t>
            </w:r>
          </w:p>
        </w:tc>
      </w:tr>
      <w:tr>
        <w:trPr>
          <w:trHeight w:val="370" w:hRule="atLeast"/>
        </w:trPr>
        <w:tc>
          <w:tcPr>
            <w:tcW w:w="4693" w:type="dxa"/>
          </w:tcPr>
          <w:p>
            <w:pPr>
              <w:pStyle w:val="TableParagraph"/>
              <w:spacing w:before="101"/>
              <w:ind w:left="376"/>
              <w:rPr>
                <w:sz w:val="14"/>
              </w:rPr>
            </w:pPr>
            <w:r>
              <w:rPr>
                <w:w w:val="105"/>
                <w:sz w:val="14"/>
              </w:rPr>
              <w:t>All Other Transfers In from All Others</w:t>
            </w:r>
          </w:p>
        </w:tc>
        <w:tc>
          <w:tcPr>
            <w:tcW w:w="1844" w:type="dxa"/>
          </w:tcPr>
          <w:p>
            <w:pPr>
              <w:pStyle w:val="TableParagraph"/>
              <w:spacing w:before="101"/>
              <w:ind w:right="662"/>
              <w:jc w:val="right"/>
              <w:rPr>
                <w:sz w:val="14"/>
              </w:rPr>
            </w:pPr>
            <w:r>
              <w:rPr>
                <w:sz w:val="14"/>
              </w:rPr>
              <w:t>8799</w:t>
            </w:r>
          </w:p>
        </w:tc>
        <w:tc>
          <w:tcPr>
            <w:tcW w:w="1639" w:type="dxa"/>
          </w:tcPr>
          <w:p>
            <w:pPr>
              <w:pStyle w:val="TableParagraph"/>
              <w:spacing w:before="101"/>
              <w:ind w:right="537"/>
              <w:jc w:val="right"/>
              <w:rPr>
                <w:sz w:val="14"/>
              </w:rPr>
            </w:pPr>
            <w:r>
              <w:rPr>
                <w:sz w:val="14"/>
              </w:rPr>
              <w:t>0.00</w:t>
            </w:r>
          </w:p>
        </w:tc>
        <w:tc>
          <w:tcPr>
            <w:tcW w:w="1606" w:type="dxa"/>
          </w:tcPr>
          <w:p>
            <w:pPr>
              <w:pStyle w:val="TableParagraph"/>
              <w:spacing w:before="101"/>
              <w:ind w:right="631"/>
              <w:jc w:val="right"/>
              <w:rPr>
                <w:sz w:val="14"/>
              </w:rPr>
            </w:pPr>
            <w:r>
              <w:rPr>
                <w:sz w:val="14"/>
              </w:rPr>
              <w:t>0.00</w:t>
            </w:r>
          </w:p>
        </w:tc>
        <w:tc>
          <w:tcPr>
            <w:tcW w:w="1008" w:type="dxa"/>
          </w:tcPr>
          <w:p>
            <w:pPr>
              <w:pStyle w:val="TableParagraph"/>
              <w:spacing w:before="101"/>
              <w:ind w:right="50"/>
              <w:jc w:val="right"/>
              <w:rPr>
                <w:sz w:val="14"/>
              </w:rPr>
            </w:pPr>
            <w:r>
              <w:rPr>
                <w:sz w:val="14"/>
              </w:rPr>
              <w:t>0.0%</w:t>
            </w:r>
          </w:p>
        </w:tc>
      </w:tr>
      <w:tr>
        <w:trPr>
          <w:trHeight w:val="376" w:hRule="atLeast"/>
        </w:trPr>
        <w:tc>
          <w:tcPr>
            <w:tcW w:w="4693" w:type="dxa"/>
          </w:tcPr>
          <w:p>
            <w:pPr>
              <w:pStyle w:val="TableParagraph"/>
              <w:spacing w:before="107"/>
              <w:ind w:left="131"/>
              <w:rPr>
                <w:sz w:val="14"/>
              </w:rPr>
            </w:pPr>
            <w:r>
              <w:rPr>
                <w:w w:val="105"/>
                <w:sz w:val="14"/>
              </w:rPr>
              <w:t>TOTAL, OTHER LOCAL REVENUE</w:t>
            </w:r>
          </w:p>
        </w:tc>
        <w:tc>
          <w:tcPr>
            <w:tcW w:w="1844" w:type="dxa"/>
          </w:tcPr>
          <w:p>
            <w:pPr>
              <w:pStyle w:val="TableParagraph"/>
              <w:rPr>
                <w:rFonts w:ascii="Times New Roman"/>
                <w:sz w:val="14"/>
              </w:rPr>
            </w:pPr>
          </w:p>
        </w:tc>
        <w:tc>
          <w:tcPr>
            <w:tcW w:w="1639" w:type="dxa"/>
          </w:tcPr>
          <w:p>
            <w:pPr>
              <w:pStyle w:val="TableParagraph"/>
              <w:spacing w:before="107"/>
              <w:ind w:right="536"/>
              <w:jc w:val="right"/>
              <w:rPr>
                <w:sz w:val="14"/>
              </w:rPr>
            </w:pPr>
            <w:r>
              <w:rPr>
                <w:sz w:val="14"/>
              </w:rPr>
              <w:t>175.00</w:t>
            </w:r>
          </w:p>
        </w:tc>
        <w:tc>
          <w:tcPr>
            <w:tcW w:w="1606" w:type="dxa"/>
          </w:tcPr>
          <w:p>
            <w:pPr>
              <w:pStyle w:val="TableParagraph"/>
              <w:spacing w:before="107"/>
              <w:ind w:right="630"/>
              <w:jc w:val="right"/>
              <w:rPr>
                <w:sz w:val="14"/>
              </w:rPr>
            </w:pPr>
            <w:r>
              <w:rPr>
                <w:sz w:val="14"/>
              </w:rPr>
              <w:t>175.00</w:t>
            </w:r>
          </w:p>
        </w:tc>
        <w:tc>
          <w:tcPr>
            <w:tcW w:w="1008" w:type="dxa"/>
          </w:tcPr>
          <w:p>
            <w:pPr>
              <w:pStyle w:val="TableParagraph"/>
              <w:spacing w:before="107"/>
              <w:ind w:right="50"/>
              <w:jc w:val="right"/>
              <w:rPr>
                <w:sz w:val="14"/>
              </w:rPr>
            </w:pPr>
            <w:r>
              <w:rPr>
                <w:sz w:val="14"/>
              </w:rPr>
              <w:t>0.0%</w:t>
            </w:r>
          </w:p>
        </w:tc>
      </w:tr>
      <w:tr>
        <w:trPr>
          <w:trHeight w:val="268" w:hRule="atLeast"/>
        </w:trPr>
        <w:tc>
          <w:tcPr>
            <w:tcW w:w="4693" w:type="dxa"/>
          </w:tcPr>
          <w:p>
            <w:pPr>
              <w:pStyle w:val="TableParagraph"/>
              <w:spacing w:line="142" w:lineRule="exact" w:before="107"/>
              <w:ind w:left="50"/>
              <w:rPr>
                <w:sz w:val="14"/>
              </w:rPr>
            </w:pPr>
            <w:r>
              <w:rPr>
                <w:w w:val="105"/>
                <w:sz w:val="14"/>
              </w:rPr>
              <w:t>TOTAL, REVENUES</w:t>
            </w:r>
          </w:p>
        </w:tc>
        <w:tc>
          <w:tcPr>
            <w:tcW w:w="1844" w:type="dxa"/>
          </w:tcPr>
          <w:p>
            <w:pPr>
              <w:pStyle w:val="TableParagraph"/>
              <w:rPr>
                <w:rFonts w:ascii="Times New Roman"/>
                <w:sz w:val="14"/>
              </w:rPr>
            </w:pPr>
          </w:p>
        </w:tc>
        <w:tc>
          <w:tcPr>
            <w:tcW w:w="1639" w:type="dxa"/>
          </w:tcPr>
          <w:p>
            <w:pPr>
              <w:pStyle w:val="TableParagraph"/>
              <w:spacing w:line="142" w:lineRule="exact" w:before="107"/>
              <w:ind w:right="536"/>
              <w:jc w:val="right"/>
              <w:rPr>
                <w:sz w:val="14"/>
              </w:rPr>
            </w:pPr>
            <w:r>
              <w:rPr>
                <w:sz w:val="14"/>
              </w:rPr>
              <w:t>175.00</w:t>
            </w:r>
          </w:p>
        </w:tc>
        <w:tc>
          <w:tcPr>
            <w:tcW w:w="1606" w:type="dxa"/>
          </w:tcPr>
          <w:p>
            <w:pPr>
              <w:pStyle w:val="TableParagraph"/>
              <w:spacing w:line="142" w:lineRule="exact" w:before="107"/>
              <w:ind w:right="630"/>
              <w:jc w:val="right"/>
              <w:rPr>
                <w:sz w:val="14"/>
              </w:rPr>
            </w:pPr>
            <w:r>
              <w:rPr>
                <w:sz w:val="14"/>
              </w:rPr>
              <w:t>175.00</w:t>
            </w:r>
          </w:p>
        </w:tc>
        <w:tc>
          <w:tcPr>
            <w:tcW w:w="1008" w:type="dxa"/>
          </w:tcPr>
          <w:p>
            <w:pPr>
              <w:pStyle w:val="TableParagraph"/>
              <w:spacing w:line="142" w:lineRule="exact" w:before="107"/>
              <w:ind w:right="50"/>
              <w:jc w:val="right"/>
              <w:rPr>
                <w:sz w:val="14"/>
              </w:rPr>
            </w:pPr>
            <w:r>
              <w:rPr>
                <w:sz w:val="14"/>
              </w:rPr>
              <w:t>0.0%</w:t>
            </w:r>
          </w:p>
        </w:tc>
      </w:tr>
    </w:tbl>
    <w:p>
      <w:pPr>
        <w:spacing w:after="0" w:line="142" w:lineRule="exact"/>
        <w:jc w:val="right"/>
        <w:rPr>
          <w:sz w:val="14"/>
        </w:rPr>
        <w:sectPr>
          <w:type w:val="continuous"/>
          <w:pgSz w:w="12240" w:h="15840"/>
          <w:pgMar w:top="1500" w:bottom="840" w:left="160" w:right="180"/>
        </w:sectPr>
      </w:pPr>
    </w:p>
    <w:p>
      <w:pPr>
        <w:pStyle w:val="BodyText"/>
        <w:rPr>
          <w:sz w:val="20"/>
        </w:rPr>
      </w:pPr>
    </w:p>
    <w:p>
      <w:pPr>
        <w:pStyle w:val="BodyText"/>
        <w:rPr>
          <w:sz w:val="20"/>
        </w:rPr>
      </w:pPr>
    </w:p>
    <w:p>
      <w:pPr>
        <w:pStyle w:val="BodyText"/>
        <w:rPr>
          <w:sz w:val="18"/>
        </w:rPr>
      </w:pPr>
    </w:p>
    <w:p>
      <w:pPr>
        <w:spacing w:after="0"/>
        <w:rPr>
          <w:sz w:val="18"/>
        </w:rPr>
        <w:sectPr>
          <w:pgSz w:w="12240" w:h="15840"/>
          <w:pgMar w:header="651" w:footer="437" w:top="1240" w:bottom="620" w:left="160" w:right="180"/>
        </w:sectPr>
      </w:pPr>
    </w:p>
    <w:p>
      <w:pPr>
        <w:pStyle w:val="BodyText"/>
        <w:spacing w:before="2"/>
        <w:rPr>
          <w:sz w:val="23"/>
        </w:rPr>
      </w:pPr>
    </w:p>
    <w:p>
      <w:pPr>
        <w:tabs>
          <w:tab w:pos="4198" w:val="left" w:leader="none"/>
          <w:tab w:pos="5571" w:val="left" w:leader="none"/>
        </w:tabs>
        <w:spacing w:before="0"/>
        <w:ind w:left="370" w:right="0" w:firstLine="0"/>
        <w:jc w:val="left"/>
        <w:rPr>
          <w:b/>
          <w:sz w:val="14"/>
        </w:rPr>
      </w:pPr>
      <w:r>
        <w:rPr>
          <w:b/>
          <w:w w:val="105"/>
          <w:sz w:val="14"/>
        </w:rPr>
        <w:t>Description</w:t>
        <w:tab/>
        <w:t>Resource</w:t>
      </w:r>
      <w:r>
        <w:rPr>
          <w:b/>
          <w:spacing w:val="-12"/>
          <w:w w:val="105"/>
          <w:sz w:val="14"/>
        </w:rPr>
        <w:t> </w:t>
      </w:r>
      <w:r>
        <w:rPr>
          <w:b/>
          <w:w w:val="105"/>
          <w:sz w:val="14"/>
        </w:rPr>
        <w:t>Codes</w:t>
        <w:tab/>
        <w:t>Object</w:t>
      </w:r>
      <w:r>
        <w:rPr>
          <w:b/>
          <w:spacing w:val="-14"/>
          <w:w w:val="105"/>
          <w:sz w:val="14"/>
        </w:rPr>
        <w:t> </w:t>
      </w:r>
      <w:r>
        <w:rPr>
          <w:b/>
          <w:spacing w:val="-4"/>
          <w:w w:val="105"/>
          <w:sz w:val="14"/>
        </w:rPr>
        <w:t>Codes</w:t>
      </w:r>
    </w:p>
    <w:p>
      <w:pPr>
        <w:spacing w:before="99"/>
        <w:ind w:left="83" w:right="0" w:firstLine="0"/>
        <w:jc w:val="center"/>
        <w:rPr>
          <w:b/>
          <w:sz w:val="14"/>
        </w:rPr>
      </w:pPr>
      <w:r>
        <w:rPr/>
        <w:br w:type="column"/>
      </w:r>
      <w:r>
        <w:rPr>
          <w:b/>
          <w:w w:val="105"/>
          <w:sz w:val="14"/>
        </w:rPr>
        <w:t>2020-21</w:t>
      </w:r>
    </w:p>
    <w:p>
      <w:pPr>
        <w:spacing w:before="7"/>
        <w:ind w:left="83" w:right="3" w:firstLine="0"/>
        <w:jc w:val="center"/>
        <w:rPr>
          <w:b/>
          <w:sz w:val="14"/>
        </w:rPr>
      </w:pPr>
      <w:r>
        <w:rPr/>
        <w:pict>
          <v:group style="position:absolute;margin-left:24.719999pt;margin-top:-30.284115pt;width:538pt;height:556.450pt;mso-position-horizontal-relative:page;mso-position-vertical-relative:paragraph;z-index:-314295296" coordorigin="494,-606" coordsize="10760,11129">
            <v:shape style="position:absolute;left:494;top:-606;width:3646;height:790" type="#_x0000_t75" stroked="false">
              <v:imagedata r:id="rId406" o:title=""/>
            </v:shape>
            <v:shape style="position:absolute;left:4132;top:-606;width:7121;height:1721" type="#_x0000_t75" stroked="false">
              <v:imagedata r:id="rId866" o:title=""/>
            </v:shape>
            <v:line style="position:absolute" from="1304,174" to="1304,544" stroked="true" strokeweight=".359997pt" strokecolor="#ffffff">
              <v:stroke dashstyle="solid"/>
            </v:line>
            <v:shape style="position:absolute;left:494;top:169;width:3646;height:1323" type="#_x0000_t75" stroked="false">
              <v:imagedata r:id="rId867" o:title=""/>
            </v:shape>
            <v:shape style="position:absolute;left:4132;top:743;width:7121;height:749" type="#_x0000_t75" stroked="false">
              <v:imagedata r:id="rId479" o:title=""/>
            </v:shape>
            <v:shape style="position:absolute;left:494;top:1484;width:3646;height:380" type="#_x0000_t75" stroked="false">
              <v:imagedata r:id="rId513" o:title=""/>
            </v:shape>
            <v:shape style="position:absolute;left:4132;top:1107;width:7121;height:1301" type="#_x0000_t75" stroked="false">
              <v:imagedata r:id="rId868" o:title=""/>
            </v:shape>
            <v:shape style="position:absolute;left:6674;top:2036;width:4580;height:737" type="#_x0000_t75" stroked="false">
              <v:imagedata r:id="rId464" o:title=""/>
            </v:shape>
            <v:shape style="position:absolute;left:494;top:1861;width:3646;height:2019" type="#_x0000_t75" stroked="false">
              <v:imagedata r:id="rId869" o:title=""/>
            </v:shape>
            <v:shape style="position:absolute;left:6674;top:2401;width:4580;height:737" type="#_x0000_t75" stroked="false">
              <v:imagedata r:id="rId464" o:title=""/>
            </v:shape>
            <v:shape style="position:absolute;left:6674;top:2766;width:4580;height:737" type="#_x0000_t75" stroked="false">
              <v:imagedata r:id="rId464" o:title=""/>
            </v:shape>
            <v:shape style="position:absolute;left:4132;top:3131;width:7121;height:749" type="#_x0000_t75" stroked="false">
              <v:imagedata r:id="rId479" o:title=""/>
            </v:shape>
            <v:shape style="position:absolute;left:494;top:3872;width:3646;height:380" type="#_x0000_t75" stroked="false">
              <v:imagedata r:id="rId513" o:title=""/>
            </v:shape>
            <v:shape style="position:absolute;left:4132;top:3495;width:7121;height:1323" type="#_x0000_t75" stroked="false">
              <v:imagedata r:id="rId870" o:title=""/>
            </v:shape>
            <v:shape style="position:absolute;left:6674;top:4446;width:4580;height:737" type="#_x0000_t75" stroked="false">
              <v:imagedata r:id="rId464" o:title=""/>
            </v:shape>
            <v:shape style="position:absolute;left:494;top:4249;width:3646;height:3864" type="#_x0000_t75" stroked="false">
              <v:imagedata r:id="rId871" o:title=""/>
            </v:shape>
            <v:shape style="position:absolute;left:6674;top:4811;width:4580;height:737" type="#_x0000_t75" stroked="false">
              <v:imagedata r:id="rId469" o:title=""/>
            </v:shape>
            <v:shape style="position:absolute;left:6674;top:5175;width:4580;height:737" type="#_x0000_t75" stroked="false">
              <v:imagedata r:id="rId469" o:title=""/>
            </v:shape>
            <v:shape style="position:absolute;left:6674;top:5540;width:4580;height:737" type="#_x0000_t75" stroked="false">
              <v:imagedata r:id="rId469" o:title=""/>
            </v:shape>
            <v:shape style="position:absolute;left:8186;top:5905;width:3068;height:732" type="#_x0000_t75" stroked="false">
              <v:imagedata r:id="rId470" o:title=""/>
            </v:shape>
            <v:shape style="position:absolute;left:6674;top:6270;width:4580;height:732" type="#_x0000_t75" stroked="false">
              <v:imagedata r:id="rId872" o:title=""/>
            </v:shape>
            <v:shape style="position:absolute;left:6674;top:6635;width:4580;height:737" type="#_x0000_t75" stroked="false">
              <v:imagedata r:id="rId873" o:title=""/>
            </v:shape>
            <v:shape style="position:absolute;left:6674;top:6999;width:4580;height:737" type="#_x0000_t75" stroked="false">
              <v:imagedata r:id="rId625" o:title=""/>
            </v:shape>
            <v:shape style="position:absolute;left:4132;top:7364;width:7121;height:749" type="#_x0000_t75" stroked="false">
              <v:imagedata r:id="rId874" o:title=""/>
            </v:shape>
            <v:shape style="position:absolute;left:8186;top:7729;width:3068;height:384" type="#_x0000_t75" stroked="false">
              <v:imagedata r:id="rId875" o:title=""/>
            </v:shape>
            <v:shape style="position:absolute;left:494;top:8106;width:3646;height:380" type="#_x0000_t75" stroked="false">
              <v:imagedata r:id="rId513" o:title=""/>
            </v:shape>
            <v:shape style="position:absolute;left:4132;top:8106;width:2549;height:8" type="#_x0000_t75" stroked="false">
              <v:imagedata r:id="rId661" o:title=""/>
            </v:shape>
            <v:shape style="position:absolute;left:6674;top:8106;width:1520;height:382" type="#_x0000_t75" stroked="false">
              <v:imagedata r:id="rId663" o:title=""/>
            </v:shape>
            <v:shape style="position:absolute;left:8186;top:8106;width:1520;height:382" type="#_x0000_t75" stroked="false">
              <v:imagedata r:id="rId663" o:title=""/>
            </v:shape>
            <v:shape style="position:absolute;left:6679;top:8111;width:4565;height:939" coordorigin="6679,8111" coordsize="4565,939" path="m11244,8111l9703,8111,9703,8488,8191,8488,6679,8488,6679,8685,6679,9050,8191,9050,9703,9050,9703,8685,11244,8685,11244,8488,11244,8111e" filled="true" fillcolor="#dfdfdf" stroked="false">
              <v:path arrowok="t"/>
              <v:fill type="solid"/>
            </v:shape>
            <v:shape style="position:absolute;left:8186;top:8106;width:3068;height:1311" type="#_x0000_t75" stroked="false">
              <v:imagedata r:id="rId876" o:title=""/>
            </v:shape>
            <v:rect style="position:absolute;left:9703;top:8684;width:1541;height:365" filled="true" fillcolor="#dfdfdf" stroked="false">
              <v:fill type="solid"/>
            </v:rect>
            <v:shape style="position:absolute;left:6674;top:8483;width:1520;height:934" type="#_x0000_t75" stroked="false">
              <v:imagedata r:id="rId877" o:title=""/>
            </v:shape>
            <v:shape style="position:absolute;left:494;top:8483;width:3646;height:2040" type="#_x0000_t75" stroked="false">
              <v:imagedata r:id="rId878" o:title=""/>
            </v:shape>
            <w10:wrap type="none"/>
          </v:group>
        </w:pict>
      </w:r>
      <w:r>
        <w:rPr>
          <w:b/>
          <w:w w:val="105"/>
          <w:sz w:val="14"/>
        </w:rPr>
        <w:t>Estimated Actuals</w:t>
      </w:r>
    </w:p>
    <w:p>
      <w:pPr>
        <w:spacing w:before="99"/>
        <w:ind w:left="370" w:right="0" w:firstLine="0"/>
        <w:jc w:val="left"/>
        <w:rPr>
          <w:b/>
          <w:sz w:val="14"/>
        </w:rPr>
      </w:pPr>
      <w:r>
        <w:rPr/>
        <w:br w:type="column"/>
      </w:r>
      <w:r>
        <w:rPr>
          <w:b/>
          <w:w w:val="105"/>
          <w:sz w:val="14"/>
        </w:rPr>
        <w:t>2021-22</w:t>
      </w:r>
    </w:p>
    <w:p>
      <w:pPr>
        <w:spacing w:before="7"/>
        <w:ind w:left="382" w:right="0" w:firstLine="0"/>
        <w:jc w:val="left"/>
        <w:rPr>
          <w:b/>
          <w:sz w:val="14"/>
        </w:rPr>
      </w:pPr>
      <w:r>
        <w:rPr>
          <w:b/>
          <w:w w:val="105"/>
          <w:sz w:val="14"/>
        </w:rPr>
        <w:t>Budget</w:t>
      </w:r>
    </w:p>
    <w:p>
      <w:pPr>
        <w:spacing w:line="249" w:lineRule="auto" w:before="99"/>
        <w:ind w:left="370" w:right="1227" w:firstLine="86"/>
        <w:jc w:val="left"/>
        <w:rPr>
          <w:b/>
          <w:sz w:val="14"/>
        </w:rPr>
      </w:pPr>
      <w:r>
        <w:rPr/>
        <w:br w:type="column"/>
      </w:r>
      <w:r>
        <w:rPr>
          <w:b/>
          <w:w w:val="105"/>
          <w:sz w:val="14"/>
        </w:rPr>
        <w:t>Percent </w:t>
      </w:r>
      <w:r>
        <w:rPr>
          <w:b/>
          <w:sz w:val="14"/>
        </w:rPr>
        <w:t>Difference</w:t>
      </w:r>
    </w:p>
    <w:p>
      <w:pPr>
        <w:spacing w:after="0" w:line="249" w:lineRule="auto"/>
        <w:jc w:val="left"/>
        <w:rPr>
          <w:sz w:val="14"/>
        </w:rPr>
        <w:sectPr>
          <w:type w:val="continuous"/>
          <w:pgSz w:w="12240" w:h="15840"/>
          <w:pgMar w:top="1500" w:bottom="840" w:left="160" w:right="180"/>
          <w:cols w:num="4" w:equalWidth="0">
            <w:col w:w="6498" w:space="40"/>
            <w:col w:w="1402" w:space="220"/>
            <w:col w:w="935" w:space="503"/>
            <w:col w:w="2302"/>
          </w:cols>
        </w:sectPr>
      </w:pPr>
    </w:p>
    <w:p>
      <w:pPr>
        <w:pStyle w:val="BodyText"/>
        <w:spacing w:before="7"/>
        <w:rPr>
          <w:b/>
          <w:sz w:val="9"/>
        </w:rPr>
      </w:pPr>
    </w:p>
    <w:p>
      <w:pPr>
        <w:spacing w:before="99"/>
        <w:ind w:left="370" w:right="0" w:firstLine="0"/>
        <w:jc w:val="left"/>
        <w:rPr>
          <w:b/>
          <w:sz w:val="14"/>
        </w:rPr>
      </w:pPr>
      <w:r>
        <w:rPr>
          <w:b/>
          <w:w w:val="105"/>
          <w:sz w:val="14"/>
        </w:rPr>
        <w:t>CERTIFICATED SALARIES</w:t>
      </w:r>
    </w:p>
    <w:p>
      <w:pPr>
        <w:pStyle w:val="BodyText"/>
        <w:spacing w:before="5"/>
        <w:rPr>
          <w:b/>
          <w:sz w:val="26"/>
        </w:rPr>
      </w:pPr>
    </w:p>
    <w:p>
      <w:pPr>
        <w:tabs>
          <w:tab w:pos="5875" w:val="left" w:leader="none"/>
          <w:tab w:pos="7678" w:val="left" w:leader="none"/>
          <w:tab w:pos="9190" w:val="left" w:leader="none"/>
          <w:tab w:pos="10731" w:val="left" w:leader="none"/>
        </w:tabs>
        <w:spacing w:before="99"/>
        <w:ind w:left="452" w:right="0" w:firstLine="0"/>
        <w:jc w:val="left"/>
        <w:rPr>
          <w:sz w:val="14"/>
        </w:rPr>
      </w:pPr>
      <w:r>
        <w:rPr>
          <w:w w:val="105"/>
          <w:sz w:val="14"/>
        </w:rPr>
        <w:t>Other</w:t>
      </w:r>
      <w:r>
        <w:rPr>
          <w:spacing w:val="-12"/>
          <w:w w:val="105"/>
          <w:sz w:val="14"/>
        </w:rPr>
        <w:t> </w:t>
      </w:r>
      <w:r>
        <w:rPr>
          <w:w w:val="105"/>
          <w:sz w:val="14"/>
        </w:rPr>
        <w:t>Certificated</w:t>
      </w:r>
      <w:r>
        <w:rPr>
          <w:spacing w:val="-13"/>
          <w:w w:val="105"/>
          <w:sz w:val="14"/>
        </w:rPr>
        <w:t> </w:t>
      </w:r>
      <w:r>
        <w:rPr>
          <w:w w:val="105"/>
          <w:sz w:val="14"/>
        </w:rPr>
        <w:t>Salaries</w:t>
        <w:tab/>
        <w:t>1900</w:t>
        <w:tab/>
        <w:t>0.00</w:t>
        <w:tab/>
        <w:t>0.00</w:t>
        <w:tab/>
        <w:t>0.0%</w:t>
      </w:r>
    </w:p>
    <w:p>
      <w:pPr>
        <w:pStyle w:val="BodyText"/>
        <w:spacing w:before="2"/>
        <w:rPr>
          <w:sz w:val="10"/>
        </w:rPr>
      </w:pPr>
    </w:p>
    <w:p>
      <w:pPr>
        <w:tabs>
          <w:tab w:pos="7678" w:val="left" w:leader="none"/>
          <w:tab w:pos="9190" w:val="left" w:leader="none"/>
          <w:tab w:pos="10731" w:val="left" w:leader="none"/>
        </w:tabs>
        <w:spacing w:before="99"/>
        <w:ind w:left="452" w:right="0" w:firstLine="0"/>
        <w:jc w:val="left"/>
        <w:rPr>
          <w:sz w:val="14"/>
        </w:rPr>
      </w:pPr>
      <w:r>
        <w:rPr>
          <w:w w:val="105"/>
          <w:sz w:val="14"/>
        </w:rPr>
        <w:t>TOTAL,</w:t>
      </w:r>
      <w:r>
        <w:rPr>
          <w:spacing w:val="-13"/>
          <w:w w:val="105"/>
          <w:sz w:val="14"/>
        </w:rPr>
        <w:t> </w:t>
      </w:r>
      <w:r>
        <w:rPr>
          <w:w w:val="105"/>
          <w:sz w:val="14"/>
        </w:rPr>
        <w:t>CERTIFICATED</w:t>
      </w:r>
      <w:r>
        <w:rPr>
          <w:spacing w:val="-14"/>
          <w:w w:val="105"/>
          <w:sz w:val="14"/>
        </w:rPr>
        <w:t> </w:t>
      </w:r>
      <w:r>
        <w:rPr>
          <w:w w:val="105"/>
          <w:sz w:val="14"/>
        </w:rPr>
        <w:t>SALARIES</w:t>
        <w:tab/>
        <w:t>0.00</w:t>
        <w:tab/>
        <w:t>0.00</w:t>
        <w:tab/>
        <w:t>0.0%</w:t>
      </w:r>
    </w:p>
    <w:p>
      <w:pPr>
        <w:pStyle w:val="BodyText"/>
        <w:rPr>
          <w:sz w:val="10"/>
        </w:rPr>
      </w:pPr>
    </w:p>
    <w:p>
      <w:pPr>
        <w:spacing w:before="99"/>
        <w:ind w:left="370" w:right="0" w:firstLine="0"/>
        <w:jc w:val="left"/>
        <w:rPr>
          <w:b/>
          <w:sz w:val="14"/>
        </w:rPr>
      </w:pPr>
      <w:r>
        <w:rPr>
          <w:b/>
          <w:w w:val="105"/>
          <w:sz w:val="14"/>
        </w:rPr>
        <w:t>CLASSIFIED SALARIES</w:t>
      </w:r>
    </w:p>
    <w:p>
      <w:pPr>
        <w:pStyle w:val="BodyText"/>
        <w:rPr>
          <w:b/>
          <w:sz w:val="20"/>
        </w:rPr>
      </w:pPr>
    </w:p>
    <w:p>
      <w:pPr>
        <w:pStyle w:val="BodyText"/>
        <w:spacing w:before="3"/>
        <w:rPr>
          <w:b/>
        </w:rPr>
      </w:pPr>
    </w:p>
    <w:tbl>
      <w:tblPr>
        <w:tblW w:w="0" w:type="auto"/>
        <w:jc w:val="left"/>
        <w:tblInd w:w="4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91"/>
        <w:gridCol w:w="2142"/>
        <w:gridCol w:w="1638"/>
        <w:gridCol w:w="1526"/>
        <w:gridCol w:w="1007"/>
      </w:tblGrid>
      <w:tr>
        <w:trPr>
          <w:trHeight w:val="262" w:hRule="atLeast"/>
        </w:trPr>
        <w:tc>
          <w:tcPr>
            <w:tcW w:w="4391" w:type="dxa"/>
          </w:tcPr>
          <w:p>
            <w:pPr>
              <w:pStyle w:val="TableParagraph"/>
              <w:spacing w:line="160" w:lineRule="exact"/>
              <w:ind w:left="50"/>
              <w:rPr>
                <w:sz w:val="14"/>
              </w:rPr>
            </w:pPr>
            <w:r>
              <w:rPr>
                <w:w w:val="105"/>
                <w:sz w:val="14"/>
              </w:rPr>
              <w:t>Classified Support Salaries</w:t>
            </w:r>
          </w:p>
        </w:tc>
        <w:tc>
          <w:tcPr>
            <w:tcW w:w="2142" w:type="dxa"/>
          </w:tcPr>
          <w:p>
            <w:pPr>
              <w:pStyle w:val="TableParagraph"/>
              <w:spacing w:line="160" w:lineRule="exact"/>
              <w:ind w:right="739"/>
              <w:jc w:val="right"/>
              <w:rPr>
                <w:sz w:val="14"/>
              </w:rPr>
            </w:pPr>
            <w:r>
              <w:rPr>
                <w:sz w:val="14"/>
              </w:rPr>
              <w:t>2200</w:t>
            </w:r>
          </w:p>
        </w:tc>
        <w:tc>
          <w:tcPr>
            <w:tcW w:w="1638" w:type="dxa"/>
          </w:tcPr>
          <w:p>
            <w:pPr>
              <w:pStyle w:val="TableParagraph"/>
              <w:spacing w:line="160" w:lineRule="exact"/>
              <w:ind w:right="613"/>
              <w:jc w:val="right"/>
              <w:rPr>
                <w:sz w:val="14"/>
              </w:rPr>
            </w:pPr>
            <w:r>
              <w:rPr>
                <w:sz w:val="14"/>
              </w:rPr>
              <w:t>0.00</w:t>
            </w:r>
          </w:p>
        </w:tc>
        <w:tc>
          <w:tcPr>
            <w:tcW w:w="1526" w:type="dxa"/>
          </w:tcPr>
          <w:p>
            <w:pPr>
              <w:pStyle w:val="TableParagraph"/>
              <w:spacing w:line="160" w:lineRule="exact"/>
              <w:ind w:left="593" w:right="603"/>
              <w:jc w:val="center"/>
              <w:rPr>
                <w:sz w:val="14"/>
              </w:rPr>
            </w:pPr>
            <w:r>
              <w:rPr>
                <w:w w:val="105"/>
                <w:sz w:val="14"/>
              </w:rPr>
              <w:t>0.00</w:t>
            </w:r>
          </w:p>
        </w:tc>
        <w:tc>
          <w:tcPr>
            <w:tcW w:w="1007" w:type="dxa"/>
          </w:tcPr>
          <w:p>
            <w:pPr>
              <w:pStyle w:val="TableParagraph"/>
              <w:spacing w:line="160" w:lineRule="exact"/>
              <w:ind w:right="46"/>
              <w:jc w:val="right"/>
              <w:rPr>
                <w:sz w:val="14"/>
              </w:rPr>
            </w:pPr>
            <w:r>
              <w:rPr>
                <w:sz w:val="14"/>
              </w:rPr>
              <w:t>0.0%</w:t>
            </w:r>
          </w:p>
        </w:tc>
      </w:tr>
      <w:tr>
        <w:trPr>
          <w:trHeight w:val="364" w:hRule="atLeast"/>
        </w:trPr>
        <w:tc>
          <w:tcPr>
            <w:tcW w:w="4391" w:type="dxa"/>
          </w:tcPr>
          <w:p>
            <w:pPr>
              <w:pStyle w:val="TableParagraph"/>
              <w:spacing w:before="101"/>
              <w:ind w:left="50"/>
              <w:rPr>
                <w:sz w:val="14"/>
              </w:rPr>
            </w:pPr>
            <w:r>
              <w:rPr>
                <w:w w:val="105"/>
                <w:sz w:val="14"/>
              </w:rPr>
              <w:t>Classified Supervisors' and Administrators' Salaries</w:t>
            </w:r>
          </w:p>
        </w:tc>
        <w:tc>
          <w:tcPr>
            <w:tcW w:w="2142" w:type="dxa"/>
          </w:tcPr>
          <w:p>
            <w:pPr>
              <w:pStyle w:val="TableParagraph"/>
              <w:spacing w:before="101"/>
              <w:ind w:right="739"/>
              <w:jc w:val="right"/>
              <w:rPr>
                <w:sz w:val="14"/>
              </w:rPr>
            </w:pPr>
            <w:r>
              <w:rPr>
                <w:sz w:val="14"/>
              </w:rPr>
              <w:t>2300</w:t>
            </w:r>
          </w:p>
        </w:tc>
        <w:tc>
          <w:tcPr>
            <w:tcW w:w="1638" w:type="dxa"/>
          </w:tcPr>
          <w:p>
            <w:pPr>
              <w:pStyle w:val="TableParagraph"/>
              <w:spacing w:before="101"/>
              <w:ind w:right="613"/>
              <w:jc w:val="right"/>
              <w:rPr>
                <w:sz w:val="14"/>
              </w:rPr>
            </w:pPr>
            <w:r>
              <w:rPr>
                <w:sz w:val="14"/>
              </w:rPr>
              <w:t>0.00</w:t>
            </w:r>
          </w:p>
        </w:tc>
        <w:tc>
          <w:tcPr>
            <w:tcW w:w="1526" w:type="dxa"/>
          </w:tcPr>
          <w:p>
            <w:pPr>
              <w:pStyle w:val="TableParagraph"/>
              <w:spacing w:before="101"/>
              <w:ind w:left="593" w:right="603"/>
              <w:jc w:val="center"/>
              <w:rPr>
                <w:sz w:val="14"/>
              </w:rPr>
            </w:pPr>
            <w:r>
              <w:rPr>
                <w:w w:val="105"/>
                <w:sz w:val="14"/>
              </w:rPr>
              <w:t>0.00</w:t>
            </w:r>
          </w:p>
        </w:tc>
        <w:tc>
          <w:tcPr>
            <w:tcW w:w="1007" w:type="dxa"/>
          </w:tcPr>
          <w:p>
            <w:pPr>
              <w:pStyle w:val="TableParagraph"/>
              <w:spacing w:before="101"/>
              <w:ind w:right="46"/>
              <w:jc w:val="right"/>
              <w:rPr>
                <w:sz w:val="14"/>
              </w:rPr>
            </w:pPr>
            <w:r>
              <w:rPr>
                <w:sz w:val="14"/>
              </w:rPr>
              <w:t>0.0%</w:t>
            </w:r>
          </w:p>
        </w:tc>
      </w:tr>
      <w:tr>
        <w:trPr>
          <w:trHeight w:val="364" w:hRule="atLeast"/>
        </w:trPr>
        <w:tc>
          <w:tcPr>
            <w:tcW w:w="4391" w:type="dxa"/>
          </w:tcPr>
          <w:p>
            <w:pPr>
              <w:pStyle w:val="TableParagraph"/>
              <w:spacing w:before="101"/>
              <w:ind w:left="50"/>
              <w:rPr>
                <w:sz w:val="14"/>
              </w:rPr>
            </w:pPr>
            <w:r>
              <w:rPr>
                <w:w w:val="105"/>
                <w:sz w:val="14"/>
              </w:rPr>
              <w:t>Clerical, Technical and Office Salaries</w:t>
            </w:r>
          </w:p>
        </w:tc>
        <w:tc>
          <w:tcPr>
            <w:tcW w:w="2142" w:type="dxa"/>
          </w:tcPr>
          <w:p>
            <w:pPr>
              <w:pStyle w:val="TableParagraph"/>
              <w:spacing w:before="101"/>
              <w:ind w:right="739"/>
              <w:jc w:val="right"/>
              <w:rPr>
                <w:sz w:val="14"/>
              </w:rPr>
            </w:pPr>
            <w:r>
              <w:rPr>
                <w:sz w:val="14"/>
              </w:rPr>
              <w:t>2400</w:t>
            </w:r>
          </w:p>
        </w:tc>
        <w:tc>
          <w:tcPr>
            <w:tcW w:w="1638" w:type="dxa"/>
          </w:tcPr>
          <w:p>
            <w:pPr>
              <w:pStyle w:val="TableParagraph"/>
              <w:spacing w:before="101"/>
              <w:ind w:right="613"/>
              <w:jc w:val="right"/>
              <w:rPr>
                <w:sz w:val="14"/>
              </w:rPr>
            </w:pPr>
            <w:r>
              <w:rPr>
                <w:sz w:val="14"/>
              </w:rPr>
              <w:t>0.00</w:t>
            </w:r>
          </w:p>
        </w:tc>
        <w:tc>
          <w:tcPr>
            <w:tcW w:w="1526" w:type="dxa"/>
          </w:tcPr>
          <w:p>
            <w:pPr>
              <w:pStyle w:val="TableParagraph"/>
              <w:spacing w:before="101"/>
              <w:ind w:left="593" w:right="603"/>
              <w:jc w:val="center"/>
              <w:rPr>
                <w:sz w:val="14"/>
              </w:rPr>
            </w:pPr>
            <w:r>
              <w:rPr>
                <w:w w:val="105"/>
                <w:sz w:val="14"/>
              </w:rPr>
              <w:t>0.00</w:t>
            </w:r>
          </w:p>
        </w:tc>
        <w:tc>
          <w:tcPr>
            <w:tcW w:w="1007" w:type="dxa"/>
          </w:tcPr>
          <w:p>
            <w:pPr>
              <w:pStyle w:val="TableParagraph"/>
              <w:spacing w:before="101"/>
              <w:ind w:right="46"/>
              <w:jc w:val="right"/>
              <w:rPr>
                <w:sz w:val="14"/>
              </w:rPr>
            </w:pPr>
            <w:r>
              <w:rPr>
                <w:sz w:val="14"/>
              </w:rPr>
              <w:t>0.0%</w:t>
            </w:r>
          </w:p>
        </w:tc>
      </w:tr>
      <w:tr>
        <w:trPr>
          <w:trHeight w:val="370" w:hRule="atLeast"/>
        </w:trPr>
        <w:tc>
          <w:tcPr>
            <w:tcW w:w="4391" w:type="dxa"/>
          </w:tcPr>
          <w:p>
            <w:pPr>
              <w:pStyle w:val="TableParagraph"/>
              <w:spacing w:before="101"/>
              <w:ind w:left="50"/>
              <w:rPr>
                <w:sz w:val="14"/>
              </w:rPr>
            </w:pPr>
            <w:r>
              <w:rPr>
                <w:w w:val="105"/>
                <w:sz w:val="14"/>
              </w:rPr>
              <w:t>Other Classified Salaries</w:t>
            </w:r>
          </w:p>
        </w:tc>
        <w:tc>
          <w:tcPr>
            <w:tcW w:w="2142" w:type="dxa"/>
          </w:tcPr>
          <w:p>
            <w:pPr>
              <w:pStyle w:val="TableParagraph"/>
              <w:spacing w:before="101"/>
              <w:ind w:right="739"/>
              <w:jc w:val="right"/>
              <w:rPr>
                <w:sz w:val="14"/>
              </w:rPr>
            </w:pPr>
            <w:r>
              <w:rPr>
                <w:sz w:val="14"/>
              </w:rPr>
              <w:t>2900</w:t>
            </w:r>
          </w:p>
        </w:tc>
        <w:tc>
          <w:tcPr>
            <w:tcW w:w="1638" w:type="dxa"/>
          </w:tcPr>
          <w:p>
            <w:pPr>
              <w:pStyle w:val="TableParagraph"/>
              <w:spacing w:before="101"/>
              <w:ind w:right="613"/>
              <w:jc w:val="right"/>
              <w:rPr>
                <w:sz w:val="14"/>
              </w:rPr>
            </w:pPr>
            <w:r>
              <w:rPr>
                <w:sz w:val="14"/>
              </w:rPr>
              <w:t>0.00</w:t>
            </w:r>
          </w:p>
        </w:tc>
        <w:tc>
          <w:tcPr>
            <w:tcW w:w="1526" w:type="dxa"/>
          </w:tcPr>
          <w:p>
            <w:pPr>
              <w:pStyle w:val="TableParagraph"/>
              <w:spacing w:before="101"/>
              <w:ind w:left="593" w:right="603"/>
              <w:jc w:val="center"/>
              <w:rPr>
                <w:sz w:val="14"/>
              </w:rPr>
            </w:pPr>
            <w:r>
              <w:rPr>
                <w:w w:val="105"/>
                <w:sz w:val="14"/>
              </w:rPr>
              <w:t>0.00</w:t>
            </w:r>
          </w:p>
        </w:tc>
        <w:tc>
          <w:tcPr>
            <w:tcW w:w="1007" w:type="dxa"/>
          </w:tcPr>
          <w:p>
            <w:pPr>
              <w:pStyle w:val="TableParagraph"/>
              <w:spacing w:before="101"/>
              <w:ind w:right="46"/>
              <w:jc w:val="right"/>
              <w:rPr>
                <w:sz w:val="14"/>
              </w:rPr>
            </w:pPr>
            <w:r>
              <w:rPr>
                <w:sz w:val="14"/>
              </w:rPr>
              <w:t>0.0%</w:t>
            </w:r>
          </w:p>
        </w:tc>
      </w:tr>
      <w:tr>
        <w:trPr>
          <w:trHeight w:val="268" w:hRule="atLeast"/>
        </w:trPr>
        <w:tc>
          <w:tcPr>
            <w:tcW w:w="4391" w:type="dxa"/>
          </w:tcPr>
          <w:p>
            <w:pPr>
              <w:pStyle w:val="TableParagraph"/>
              <w:spacing w:line="142" w:lineRule="exact" w:before="107"/>
              <w:ind w:left="50"/>
              <w:rPr>
                <w:sz w:val="14"/>
              </w:rPr>
            </w:pPr>
            <w:r>
              <w:rPr>
                <w:w w:val="105"/>
                <w:sz w:val="14"/>
              </w:rPr>
              <w:t>TOTAL, CLASSIFIED SALARIES</w:t>
            </w:r>
          </w:p>
        </w:tc>
        <w:tc>
          <w:tcPr>
            <w:tcW w:w="2142" w:type="dxa"/>
          </w:tcPr>
          <w:p>
            <w:pPr>
              <w:pStyle w:val="TableParagraph"/>
              <w:rPr>
                <w:rFonts w:ascii="Times New Roman"/>
                <w:sz w:val="14"/>
              </w:rPr>
            </w:pPr>
          </w:p>
        </w:tc>
        <w:tc>
          <w:tcPr>
            <w:tcW w:w="1638" w:type="dxa"/>
          </w:tcPr>
          <w:p>
            <w:pPr>
              <w:pStyle w:val="TableParagraph"/>
              <w:spacing w:line="142" w:lineRule="exact" w:before="107"/>
              <w:ind w:right="613"/>
              <w:jc w:val="right"/>
              <w:rPr>
                <w:sz w:val="14"/>
              </w:rPr>
            </w:pPr>
            <w:r>
              <w:rPr>
                <w:sz w:val="14"/>
              </w:rPr>
              <w:t>0.00</w:t>
            </w:r>
          </w:p>
        </w:tc>
        <w:tc>
          <w:tcPr>
            <w:tcW w:w="1526" w:type="dxa"/>
          </w:tcPr>
          <w:p>
            <w:pPr>
              <w:pStyle w:val="TableParagraph"/>
              <w:spacing w:line="142" w:lineRule="exact" w:before="107"/>
              <w:ind w:left="593" w:right="603"/>
              <w:jc w:val="center"/>
              <w:rPr>
                <w:sz w:val="14"/>
              </w:rPr>
            </w:pPr>
            <w:r>
              <w:rPr>
                <w:w w:val="105"/>
                <w:sz w:val="14"/>
              </w:rPr>
              <w:t>0.00</w:t>
            </w:r>
          </w:p>
        </w:tc>
        <w:tc>
          <w:tcPr>
            <w:tcW w:w="1007" w:type="dxa"/>
          </w:tcPr>
          <w:p>
            <w:pPr>
              <w:pStyle w:val="TableParagraph"/>
              <w:spacing w:line="142" w:lineRule="exact" w:before="107"/>
              <w:ind w:right="46"/>
              <w:jc w:val="right"/>
              <w:rPr>
                <w:sz w:val="14"/>
              </w:rPr>
            </w:pPr>
            <w:r>
              <w:rPr>
                <w:sz w:val="14"/>
              </w:rPr>
              <w:t>0.0%</w:t>
            </w:r>
          </w:p>
        </w:tc>
      </w:tr>
    </w:tbl>
    <w:p>
      <w:pPr>
        <w:pStyle w:val="BodyText"/>
        <w:spacing w:before="5"/>
        <w:rPr>
          <w:b/>
          <w:sz w:val="18"/>
        </w:rPr>
      </w:pPr>
    </w:p>
    <w:p>
      <w:pPr>
        <w:spacing w:before="0"/>
        <w:ind w:left="370" w:right="0" w:firstLine="0"/>
        <w:jc w:val="left"/>
        <w:rPr>
          <w:b/>
          <w:sz w:val="14"/>
        </w:rPr>
      </w:pPr>
      <w:r>
        <w:rPr>
          <w:b/>
          <w:w w:val="105"/>
          <w:sz w:val="14"/>
        </w:rPr>
        <w:t>EMPLOYEE BENEFITS</w:t>
      </w:r>
    </w:p>
    <w:p>
      <w:pPr>
        <w:pStyle w:val="BodyText"/>
        <w:rPr>
          <w:b/>
          <w:sz w:val="20"/>
        </w:rPr>
      </w:pPr>
    </w:p>
    <w:p>
      <w:pPr>
        <w:pStyle w:val="BodyText"/>
        <w:spacing w:before="2"/>
        <w:rPr>
          <w:b/>
          <w:sz w:val="15"/>
        </w:rPr>
      </w:pPr>
    </w:p>
    <w:tbl>
      <w:tblPr>
        <w:tblW w:w="0" w:type="auto"/>
        <w:jc w:val="left"/>
        <w:tblInd w:w="4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14"/>
        <w:gridCol w:w="2911"/>
        <w:gridCol w:w="1547"/>
        <w:gridCol w:w="1527"/>
        <w:gridCol w:w="1021"/>
      </w:tblGrid>
      <w:tr>
        <w:trPr>
          <w:trHeight w:val="262" w:hRule="atLeast"/>
        </w:trPr>
        <w:tc>
          <w:tcPr>
            <w:tcW w:w="3714" w:type="dxa"/>
          </w:tcPr>
          <w:p>
            <w:pPr>
              <w:pStyle w:val="TableParagraph"/>
              <w:spacing w:line="160" w:lineRule="exact"/>
              <w:ind w:left="50"/>
              <w:rPr>
                <w:sz w:val="14"/>
              </w:rPr>
            </w:pPr>
            <w:r>
              <w:rPr>
                <w:w w:val="105"/>
                <w:sz w:val="14"/>
              </w:rPr>
              <w:t>STRS</w:t>
            </w:r>
          </w:p>
        </w:tc>
        <w:tc>
          <w:tcPr>
            <w:tcW w:w="2911" w:type="dxa"/>
          </w:tcPr>
          <w:p>
            <w:pPr>
              <w:pStyle w:val="TableParagraph"/>
              <w:spacing w:line="160" w:lineRule="exact"/>
              <w:ind w:right="649"/>
              <w:jc w:val="right"/>
              <w:rPr>
                <w:sz w:val="14"/>
              </w:rPr>
            </w:pPr>
            <w:r>
              <w:rPr>
                <w:sz w:val="14"/>
              </w:rPr>
              <w:t>3101-3102</w:t>
            </w:r>
          </w:p>
        </w:tc>
        <w:tc>
          <w:tcPr>
            <w:tcW w:w="1547" w:type="dxa"/>
          </w:tcPr>
          <w:p>
            <w:pPr>
              <w:pStyle w:val="TableParagraph"/>
              <w:spacing w:line="160" w:lineRule="exact"/>
              <w:ind w:left="626" w:right="592"/>
              <w:jc w:val="center"/>
              <w:rPr>
                <w:sz w:val="14"/>
              </w:rPr>
            </w:pPr>
            <w:r>
              <w:rPr>
                <w:w w:val="105"/>
                <w:sz w:val="14"/>
              </w:rPr>
              <w:t>0.00</w:t>
            </w:r>
          </w:p>
        </w:tc>
        <w:tc>
          <w:tcPr>
            <w:tcW w:w="1527" w:type="dxa"/>
          </w:tcPr>
          <w:p>
            <w:pPr>
              <w:pStyle w:val="TableParagraph"/>
              <w:spacing w:line="160" w:lineRule="exact"/>
              <w:ind w:left="592" w:right="605"/>
              <w:jc w:val="center"/>
              <w:rPr>
                <w:sz w:val="14"/>
              </w:rPr>
            </w:pPr>
            <w:r>
              <w:rPr>
                <w:w w:val="105"/>
                <w:sz w:val="14"/>
              </w:rPr>
              <w:t>0.00</w:t>
            </w:r>
          </w:p>
        </w:tc>
        <w:tc>
          <w:tcPr>
            <w:tcW w:w="1021" w:type="dxa"/>
          </w:tcPr>
          <w:p>
            <w:pPr>
              <w:pStyle w:val="TableParagraph"/>
              <w:spacing w:line="160" w:lineRule="exact"/>
              <w:ind w:right="62"/>
              <w:jc w:val="right"/>
              <w:rPr>
                <w:sz w:val="14"/>
              </w:rPr>
            </w:pPr>
            <w:r>
              <w:rPr>
                <w:sz w:val="14"/>
              </w:rPr>
              <w:t>0.0%</w:t>
            </w:r>
          </w:p>
        </w:tc>
      </w:tr>
      <w:tr>
        <w:trPr>
          <w:trHeight w:val="364" w:hRule="atLeast"/>
        </w:trPr>
        <w:tc>
          <w:tcPr>
            <w:tcW w:w="3714" w:type="dxa"/>
          </w:tcPr>
          <w:p>
            <w:pPr>
              <w:pStyle w:val="TableParagraph"/>
              <w:spacing w:before="101"/>
              <w:ind w:left="50"/>
              <w:rPr>
                <w:sz w:val="14"/>
              </w:rPr>
            </w:pPr>
            <w:r>
              <w:rPr>
                <w:w w:val="105"/>
                <w:sz w:val="14"/>
              </w:rPr>
              <w:t>PERS</w:t>
            </w:r>
          </w:p>
        </w:tc>
        <w:tc>
          <w:tcPr>
            <w:tcW w:w="2911" w:type="dxa"/>
          </w:tcPr>
          <w:p>
            <w:pPr>
              <w:pStyle w:val="TableParagraph"/>
              <w:spacing w:before="101"/>
              <w:ind w:right="649"/>
              <w:jc w:val="right"/>
              <w:rPr>
                <w:sz w:val="14"/>
              </w:rPr>
            </w:pPr>
            <w:r>
              <w:rPr>
                <w:sz w:val="14"/>
              </w:rPr>
              <w:t>3201-3202</w:t>
            </w:r>
          </w:p>
        </w:tc>
        <w:tc>
          <w:tcPr>
            <w:tcW w:w="1547" w:type="dxa"/>
          </w:tcPr>
          <w:p>
            <w:pPr>
              <w:pStyle w:val="TableParagraph"/>
              <w:spacing w:before="101"/>
              <w:ind w:left="626" w:right="592"/>
              <w:jc w:val="center"/>
              <w:rPr>
                <w:sz w:val="14"/>
              </w:rPr>
            </w:pPr>
            <w:r>
              <w:rPr>
                <w:w w:val="105"/>
                <w:sz w:val="14"/>
              </w:rPr>
              <w:t>0.00</w:t>
            </w:r>
          </w:p>
        </w:tc>
        <w:tc>
          <w:tcPr>
            <w:tcW w:w="1527" w:type="dxa"/>
          </w:tcPr>
          <w:p>
            <w:pPr>
              <w:pStyle w:val="TableParagraph"/>
              <w:spacing w:before="101"/>
              <w:ind w:left="592" w:right="605"/>
              <w:jc w:val="center"/>
              <w:rPr>
                <w:sz w:val="14"/>
              </w:rPr>
            </w:pPr>
            <w:r>
              <w:rPr>
                <w:w w:val="105"/>
                <w:sz w:val="14"/>
              </w:rPr>
              <w:t>0.00</w:t>
            </w:r>
          </w:p>
        </w:tc>
        <w:tc>
          <w:tcPr>
            <w:tcW w:w="1021" w:type="dxa"/>
          </w:tcPr>
          <w:p>
            <w:pPr>
              <w:pStyle w:val="TableParagraph"/>
              <w:spacing w:before="101"/>
              <w:ind w:right="62"/>
              <w:jc w:val="right"/>
              <w:rPr>
                <w:sz w:val="14"/>
              </w:rPr>
            </w:pPr>
            <w:r>
              <w:rPr>
                <w:sz w:val="14"/>
              </w:rPr>
              <w:t>0.0%</w:t>
            </w:r>
          </w:p>
        </w:tc>
      </w:tr>
      <w:tr>
        <w:trPr>
          <w:trHeight w:val="364" w:hRule="atLeast"/>
        </w:trPr>
        <w:tc>
          <w:tcPr>
            <w:tcW w:w="3714" w:type="dxa"/>
          </w:tcPr>
          <w:p>
            <w:pPr>
              <w:pStyle w:val="TableParagraph"/>
              <w:spacing w:before="101"/>
              <w:ind w:left="50"/>
              <w:rPr>
                <w:sz w:val="14"/>
              </w:rPr>
            </w:pPr>
            <w:r>
              <w:rPr>
                <w:w w:val="105"/>
                <w:sz w:val="14"/>
              </w:rPr>
              <w:t>OASDI/Medicare/Alternative</w:t>
            </w:r>
          </w:p>
        </w:tc>
        <w:tc>
          <w:tcPr>
            <w:tcW w:w="2911" w:type="dxa"/>
          </w:tcPr>
          <w:p>
            <w:pPr>
              <w:pStyle w:val="TableParagraph"/>
              <w:spacing w:before="101"/>
              <w:ind w:right="649"/>
              <w:jc w:val="right"/>
              <w:rPr>
                <w:sz w:val="14"/>
              </w:rPr>
            </w:pPr>
            <w:r>
              <w:rPr>
                <w:sz w:val="14"/>
              </w:rPr>
              <w:t>3301-3302</w:t>
            </w:r>
          </w:p>
        </w:tc>
        <w:tc>
          <w:tcPr>
            <w:tcW w:w="1547" w:type="dxa"/>
          </w:tcPr>
          <w:p>
            <w:pPr>
              <w:pStyle w:val="TableParagraph"/>
              <w:spacing w:before="101"/>
              <w:ind w:left="626" w:right="592"/>
              <w:jc w:val="center"/>
              <w:rPr>
                <w:sz w:val="14"/>
              </w:rPr>
            </w:pPr>
            <w:r>
              <w:rPr>
                <w:w w:val="105"/>
                <w:sz w:val="14"/>
              </w:rPr>
              <w:t>0.00</w:t>
            </w:r>
          </w:p>
        </w:tc>
        <w:tc>
          <w:tcPr>
            <w:tcW w:w="1527" w:type="dxa"/>
          </w:tcPr>
          <w:p>
            <w:pPr>
              <w:pStyle w:val="TableParagraph"/>
              <w:spacing w:before="101"/>
              <w:ind w:left="592" w:right="605"/>
              <w:jc w:val="center"/>
              <w:rPr>
                <w:sz w:val="14"/>
              </w:rPr>
            </w:pPr>
            <w:r>
              <w:rPr>
                <w:w w:val="105"/>
                <w:sz w:val="14"/>
              </w:rPr>
              <w:t>0.00</w:t>
            </w:r>
          </w:p>
        </w:tc>
        <w:tc>
          <w:tcPr>
            <w:tcW w:w="1021" w:type="dxa"/>
          </w:tcPr>
          <w:p>
            <w:pPr>
              <w:pStyle w:val="TableParagraph"/>
              <w:spacing w:before="101"/>
              <w:ind w:right="62"/>
              <w:jc w:val="right"/>
              <w:rPr>
                <w:sz w:val="14"/>
              </w:rPr>
            </w:pPr>
            <w:r>
              <w:rPr>
                <w:sz w:val="14"/>
              </w:rPr>
              <w:t>0.0%</w:t>
            </w:r>
          </w:p>
        </w:tc>
      </w:tr>
      <w:tr>
        <w:trPr>
          <w:trHeight w:val="364" w:hRule="atLeast"/>
        </w:trPr>
        <w:tc>
          <w:tcPr>
            <w:tcW w:w="3714" w:type="dxa"/>
          </w:tcPr>
          <w:p>
            <w:pPr>
              <w:pStyle w:val="TableParagraph"/>
              <w:spacing w:before="101"/>
              <w:ind w:left="50"/>
              <w:rPr>
                <w:sz w:val="14"/>
              </w:rPr>
            </w:pPr>
            <w:r>
              <w:rPr>
                <w:w w:val="105"/>
                <w:sz w:val="14"/>
              </w:rPr>
              <w:t>Health and Welfare Benefits</w:t>
            </w:r>
          </w:p>
        </w:tc>
        <w:tc>
          <w:tcPr>
            <w:tcW w:w="2911" w:type="dxa"/>
          </w:tcPr>
          <w:p>
            <w:pPr>
              <w:pStyle w:val="TableParagraph"/>
              <w:spacing w:before="101"/>
              <w:ind w:right="649"/>
              <w:jc w:val="right"/>
              <w:rPr>
                <w:sz w:val="14"/>
              </w:rPr>
            </w:pPr>
            <w:r>
              <w:rPr>
                <w:sz w:val="14"/>
              </w:rPr>
              <w:t>3401-3402</w:t>
            </w:r>
          </w:p>
        </w:tc>
        <w:tc>
          <w:tcPr>
            <w:tcW w:w="1547" w:type="dxa"/>
          </w:tcPr>
          <w:p>
            <w:pPr>
              <w:pStyle w:val="TableParagraph"/>
              <w:spacing w:before="101"/>
              <w:ind w:left="626" w:right="592"/>
              <w:jc w:val="center"/>
              <w:rPr>
                <w:sz w:val="14"/>
              </w:rPr>
            </w:pPr>
            <w:r>
              <w:rPr>
                <w:w w:val="105"/>
                <w:sz w:val="14"/>
              </w:rPr>
              <w:t>0.00</w:t>
            </w:r>
          </w:p>
        </w:tc>
        <w:tc>
          <w:tcPr>
            <w:tcW w:w="1527" w:type="dxa"/>
          </w:tcPr>
          <w:p>
            <w:pPr>
              <w:pStyle w:val="TableParagraph"/>
              <w:spacing w:before="101"/>
              <w:ind w:left="592" w:right="605"/>
              <w:jc w:val="center"/>
              <w:rPr>
                <w:sz w:val="14"/>
              </w:rPr>
            </w:pPr>
            <w:r>
              <w:rPr>
                <w:w w:val="105"/>
                <w:sz w:val="14"/>
              </w:rPr>
              <w:t>0.00</w:t>
            </w:r>
          </w:p>
        </w:tc>
        <w:tc>
          <w:tcPr>
            <w:tcW w:w="1021" w:type="dxa"/>
          </w:tcPr>
          <w:p>
            <w:pPr>
              <w:pStyle w:val="TableParagraph"/>
              <w:spacing w:before="101"/>
              <w:ind w:right="62"/>
              <w:jc w:val="right"/>
              <w:rPr>
                <w:sz w:val="14"/>
              </w:rPr>
            </w:pPr>
            <w:r>
              <w:rPr>
                <w:sz w:val="14"/>
              </w:rPr>
              <w:t>0.0%</w:t>
            </w:r>
          </w:p>
        </w:tc>
      </w:tr>
      <w:tr>
        <w:trPr>
          <w:trHeight w:val="364" w:hRule="atLeast"/>
        </w:trPr>
        <w:tc>
          <w:tcPr>
            <w:tcW w:w="3714" w:type="dxa"/>
          </w:tcPr>
          <w:p>
            <w:pPr>
              <w:pStyle w:val="TableParagraph"/>
              <w:spacing w:before="101"/>
              <w:ind w:left="50"/>
              <w:rPr>
                <w:sz w:val="14"/>
              </w:rPr>
            </w:pPr>
            <w:r>
              <w:rPr>
                <w:w w:val="105"/>
                <w:sz w:val="14"/>
              </w:rPr>
              <w:t>Unemployment Insurance</w:t>
            </w:r>
          </w:p>
        </w:tc>
        <w:tc>
          <w:tcPr>
            <w:tcW w:w="2911" w:type="dxa"/>
          </w:tcPr>
          <w:p>
            <w:pPr>
              <w:pStyle w:val="TableParagraph"/>
              <w:spacing w:before="101"/>
              <w:ind w:right="649"/>
              <w:jc w:val="right"/>
              <w:rPr>
                <w:sz w:val="14"/>
              </w:rPr>
            </w:pPr>
            <w:r>
              <w:rPr>
                <w:sz w:val="14"/>
              </w:rPr>
              <w:t>3501-3502</w:t>
            </w:r>
          </w:p>
        </w:tc>
        <w:tc>
          <w:tcPr>
            <w:tcW w:w="1547" w:type="dxa"/>
          </w:tcPr>
          <w:p>
            <w:pPr>
              <w:pStyle w:val="TableParagraph"/>
              <w:spacing w:before="101"/>
              <w:ind w:left="626" w:right="592"/>
              <w:jc w:val="center"/>
              <w:rPr>
                <w:sz w:val="14"/>
              </w:rPr>
            </w:pPr>
            <w:r>
              <w:rPr>
                <w:w w:val="105"/>
                <w:sz w:val="14"/>
              </w:rPr>
              <w:t>0.00</w:t>
            </w:r>
          </w:p>
        </w:tc>
        <w:tc>
          <w:tcPr>
            <w:tcW w:w="1527" w:type="dxa"/>
          </w:tcPr>
          <w:p>
            <w:pPr>
              <w:pStyle w:val="TableParagraph"/>
              <w:spacing w:before="101"/>
              <w:ind w:left="592" w:right="605"/>
              <w:jc w:val="center"/>
              <w:rPr>
                <w:sz w:val="14"/>
              </w:rPr>
            </w:pPr>
            <w:r>
              <w:rPr>
                <w:w w:val="105"/>
                <w:sz w:val="14"/>
              </w:rPr>
              <w:t>0.00</w:t>
            </w:r>
          </w:p>
        </w:tc>
        <w:tc>
          <w:tcPr>
            <w:tcW w:w="1021" w:type="dxa"/>
          </w:tcPr>
          <w:p>
            <w:pPr>
              <w:pStyle w:val="TableParagraph"/>
              <w:spacing w:before="101"/>
              <w:ind w:right="62"/>
              <w:jc w:val="right"/>
              <w:rPr>
                <w:sz w:val="14"/>
              </w:rPr>
            </w:pPr>
            <w:r>
              <w:rPr>
                <w:sz w:val="14"/>
              </w:rPr>
              <w:t>0.0%</w:t>
            </w:r>
          </w:p>
        </w:tc>
      </w:tr>
      <w:tr>
        <w:trPr>
          <w:trHeight w:val="364" w:hRule="atLeast"/>
        </w:trPr>
        <w:tc>
          <w:tcPr>
            <w:tcW w:w="3714" w:type="dxa"/>
          </w:tcPr>
          <w:p>
            <w:pPr>
              <w:pStyle w:val="TableParagraph"/>
              <w:spacing w:before="101"/>
              <w:ind w:left="50"/>
              <w:rPr>
                <w:sz w:val="14"/>
              </w:rPr>
            </w:pPr>
            <w:r>
              <w:rPr>
                <w:w w:val="105"/>
                <w:sz w:val="14"/>
              </w:rPr>
              <w:t>Workers' Compensation</w:t>
            </w:r>
          </w:p>
        </w:tc>
        <w:tc>
          <w:tcPr>
            <w:tcW w:w="2911" w:type="dxa"/>
          </w:tcPr>
          <w:p>
            <w:pPr>
              <w:pStyle w:val="TableParagraph"/>
              <w:spacing w:before="101"/>
              <w:ind w:right="649"/>
              <w:jc w:val="right"/>
              <w:rPr>
                <w:sz w:val="14"/>
              </w:rPr>
            </w:pPr>
            <w:r>
              <w:rPr>
                <w:sz w:val="14"/>
              </w:rPr>
              <w:t>3601-3602</w:t>
            </w:r>
          </w:p>
        </w:tc>
        <w:tc>
          <w:tcPr>
            <w:tcW w:w="1547" w:type="dxa"/>
          </w:tcPr>
          <w:p>
            <w:pPr>
              <w:pStyle w:val="TableParagraph"/>
              <w:spacing w:before="101"/>
              <w:ind w:left="626" w:right="592"/>
              <w:jc w:val="center"/>
              <w:rPr>
                <w:sz w:val="14"/>
              </w:rPr>
            </w:pPr>
            <w:r>
              <w:rPr>
                <w:w w:val="105"/>
                <w:sz w:val="14"/>
              </w:rPr>
              <w:t>0.00</w:t>
            </w:r>
          </w:p>
        </w:tc>
        <w:tc>
          <w:tcPr>
            <w:tcW w:w="1527" w:type="dxa"/>
          </w:tcPr>
          <w:p>
            <w:pPr>
              <w:pStyle w:val="TableParagraph"/>
              <w:spacing w:before="101"/>
              <w:ind w:left="592" w:right="605"/>
              <w:jc w:val="center"/>
              <w:rPr>
                <w:sz w:val="14"/>
              </w:rPr>
            </w:pPr>
            <w:r>
              <w:rPr>
                <w:w w:val="105"/>
                <w:sz w:val="14"/>
              </w:rPr>
              <w:t>0.00</w:t>
            </w:r>
          </w:p>
        </w:tc>
        <w:tc>
          <w:tcPr>
            <w:tcW w:w="1021" w:type="dxa"/>
          </w:tcPr>
          <w:p>
            <w:pPr>
              <w:pStyle w:val="TableParagraph"/>
              <w:spacing w:before="101"/>
              <w:ind w:right="62"/>
              <w:jc w:val="right"/>
              <w:rPr>
                <w:sz w:val="14"/>
              </w:rPr>
            </w:pPr>
            <w:r>
              <w:rPr>
                <w:sz w:val="14"/>
              </w:rPr>
              <w:t>0.0%</w:t>
            </w:r>
          </w:p>
        </w:tc>
      </w:tr>
      <w:tr>
        <w:trPr>
          <w:trHeight w:val="364" w:hRule="atLeast"/>
        </w:trPr>
        <w:tc>
          <w:tcPr>
            <w:tcW w:w="3714" w:type="dxa"/>
          </w:tcPr>
          <w:p>
            <w:pPr>
              <w:pStyle w:val="TableParagraph"/>
              <w:spacing w:before="101"/>
              <w:ind w:left="50"/>
              <w:rPr>
                <w:sz w:val="14"/>
              </w:rPr>
            </w:pPr>
            <w:r>
              <w:rPr>
                <w:w w:val="105"/>
                <w:sz w:val="14"/>
              </w:rPr>
              <w:t>OPEB, Allocated</w:t>
            </w:r>
          </w:p>
        </w:tc>
        <w:tc>
          <w:tcPr>
            <w:tcW w:w="2911" w:type="dxa"/>
          </w:tcPr>
          <w:p>
            <w:pPr>
              <w:pStyle w:val="TableParagraph"/>
              <w:spacing w:before="101"/>
              <w:ind w:right="649"/>
              <w:jc w:val="right"/>
              <w:rPr>
                <w:sz w:val="14"/>
              </w:rPr>
            </w:pPr>
            <w:r>
              <w:rPr>
                <w:sz w:val="14"/>
              </w:rPr>
              <w:t>3701-3702</w:t>
            </w:r>
          </w:p>
        </w:tc>
        <w:tc>
          <w:tcPr>
            <w:tcW w:w="1547" w:type="dxa"/>
          </w:tcPr>
          <w:p>
            <w:pPr>
              <w:pStyle w:val="TableParagraph"/>
              <w:spacing w:before="101"/>
              <w:ind w:left="626" w:right="592"/>
              <w:jc w:val="center"/>
              <w:rPr>
                <w:sz w:val="14"/>
              </w:rPr>
            </w:pPr>
            <w:r>
              <w:rPr>
                <w:w w:val="105"/>
                <w:sz w:val="14"/>
              </w:rPr>
              <w:t>0.00</w:t>
            </w:r>
          </w:p>
        </w:tc>
        <w:tc>
          <w:tcPr>
            <w:tcW w:w="1527" w:type="dxa"/>
          </w:tcPr>
          <w:p>
            <w:pPr>
              <w:pStyle w:val="TableParagraph"/>
              <w:spacing w:before="101"/>
              <w:ind w:left="592" w:right="605"/>
              <w:jc w:val="center"/>
              <w:rPr>
                <w:sz w:val="14"/>
              </w:rPr>
            </w:pPr>
            <w:r>
              <w:rPr>
                <w:w w:val="105"/>
                <w:sz w:val="14"/>
              </w:rPr>
              <w:t>0.00</w:t>
            </w:r>
          </w:p>
        </w:tc>
        <w:tc>
          <w:tcPr>
            <w:tcW w:w="1021" w:type="dxa"/>
          </w:tcPr>
          <w:p>
            <w:pPr>
              <w:pStyle w:val="TableParagraph"/>
              <w:spacing w:before="101"/>
              <w:ind w:right="62"/>
              <w:jc w:val="right"/>
              <w:rPr>
                <w:sz w:val="14"/>
              </w:rPr>
            </w:pPr>
            <w:r>
              <w:rPr>
                <w:sz w:val="14"/>
              </w:rPr>
              <w:t>0.0%</w:t>
            </w:r>
          </w:p>
        </w:tc>
      </w:tr>
      <w:tr>
        <w:trPr>
          <w:trHeight w:val="364" w:hRule="atLeast"/>
        </w:trPr>
        <w:tc>
          <w:tcPr>
            <w:tcW w:w="3714" w:type="dxa"/>
          </w:tcPr>
          <w:p>
            <w:pPr>
              <w:pStyle w:val="TableParagraph"/>
              <w:spacing w:before="101"/>
              <w:ind w:left="50"/>
              <w:rPr>
                <w:sz w:val="14"/>
              </w:rPr>
            </w:pPr>
            <w:r>
              <w:rPr>
                <w:w w:val="105"/>
                <w:sz w:val="14"/>
              </w:rPr>
              <w:t>OPEB, Active Employees</w:t>
            </w:r>
          </w:p>
        </w:tc>
        <w:tc>
          <w:tcPr>
            <w:tcW w:w="2911" w:type="dxa"/>
          </w:tcPr>
          <w:p>
            <w:pPr>
              <w:pStyle w:val="TableParagraph"/>
              <w:spacing w:before="101"/>
              <w:ind w:right="649"/>
              <w:jc w:val="right"/>
              <w:rPr>
                <w:sz w:val="14"/>
              </w:rPr>
            </w:pPr>
            <w:r>
              <w:rPr>
                <w:sz w:val="14"/>
              </w:rPr>
              <w:t>3751-3752</w:t>
            </w:r>
          </w:p>
        </w:tc>
        <w:tc>
          <w:tcPr>
            <w:tcW w:w="1547" w:type="dxa"/>
          </w:tcPr>
          <w:p>
            <w:pPr>
              <w:pStyle w:val="TableParagraph"/>
              <w:spacing w:before="101"/>
              <w:ind w:left="626" w:right="592"/>
              <w:jc w:val="center"/>
              <w:rPr>
                <w:sz w:val="14"/>
              </w:rPr>
            </w:pPr>
            <w:r>
              <w:rPr>
                <w:w w:val="105"/>
                <w:sz w:val="14"/>
              </w:rPr>
              <w:t>0.00</w:t>
            </w:r>
          </w:p>
        </w:tc>
        <w:tc>
          <w:tcPr>
            <w:tcW w:w="1527" w:type="dxa"/>
          </w:tcPr>
          <w:p>
            <w:pPr>
              <w:pStyle w:val="TableParagraph"/>
              <w:spacing w:before="101"/>
              <w:ind w:left="592" w:right="605"/>
              <w:jc w:val="center"/>
              <w:rPr>
                <w:sz w:val="14"/>
              </w:rPr>
            </w:pPr>
            <w:r>
              <w:rPr>
                <w:w w:val="105"/>
                <w:sz w:val="14"/>
              </w:rPr>
              <w:t>0.00</w:t>
            </w:r>
          </w:p>
        </w:tc>
        <w:tc>
          <w:tcPr>
            <w:tcW w:w="1021" w:type="dxa"/>
          </w:tcPr>
          <w:p>
            <w:pPr>
              <w:pStyle w:val="TableParagraph"/>
              <w:spacing w:before="101"/>
              <w:ind w:right="62"/>
              <w:jc w:val="right"/>
              <w:rPr>
                <w:sz w:val="14"/>
              </w:rPr>
            </w:pPr>
            <w:r>
              <w:rPr>
                <w:sz w:val="14"/>
              </w:rPr>
              <w:t>0.0%</w:t>
            </w:r>
          </w:p>
        </w:tc>
      </w:tr>
      <w:tr>
        <w:trPr>
          <w:trHeight w:val="370" w:hRule="atLeast"/>
        </w:trPr>
        <w:tc>
          <w:tcPr>
            <w:tcW w:w="3714" w:type="dxa"/>
          </w:tcPr>
          <w:p>
            <w:pPr>
              <w:pStyle w:val="TableParagraph"/>
              <w:spacing w:before="101"/>
              <w:ind w:left="50"/>
              <w:rPr>
                <w:sz w:val="14"/>
              </w:rPr>
            </w:pPr>
            <w:r>
              <w:rPr>
                <w:w w:val="105"/>
                <w:sz w:val="14"/>
              </w:rPr>
              <w:t>Other Employee Benefits</w:t>
            </w:r>
          </w:p>
        </w:tc>
        <w:tc>
          <w:tcPr>
            <w:tcW w:w="2911" w:type="dxa"/>
          </w:tcPr>
          <w:p>
            <w:pPr>
              <w:pStyle w:val="TableParagraph"/>
              <w:spacing w:before="101"/>
              <w:ind w:right="649"/>
              <w:jc w:val="right"/>
              <w:rPr>
                <w:sz w:val="14"/>
              </w:rPr>
            </w:pPr>
            <w:r>
              <w:rPr>
                <w:sz w:val="14"/>
              </w:rPr>
              <w:t>3901-3902</w:t>
            </w:r>
          </w:p>
        </w:tc>
        <w:tc>
          <w:tcPr>
            <w:tcW w:w="1547" w:type="dxa"/>
          </w:tcPr>
          <w:p>
            <w:pPr>
              <w:pStyle w:val="TableParagraph"/>
              <w:spacing w:before="101"/>
              <w:ind w:left="626" w:right="592"/>
              <w:jc w:val="center"/>
              <w:rPr>
                <w:sz w:val="14"/>
              </w:rPr>
            </w:pPr>
            <w:r>
              <w:rPr>
                <w:w w:val="105"/>
                <w:sz w:val="14"/>
              </w:rPr>
              <w:t>0.00</w:t>
            </w:r>
          </w:p>
        </w:tc>
        <w:tc>
          <w:tcPr>
            <w:tcW w:w="1527" w:type="dxa"/>
          </w:tcPr>
          <w:p>
            <w:pPr>
              <w:pStyle w:val="TableParagraph"/>
              <w:spacing w:before="101"/>
              <w:ind w:left="592" w:right="605"/>
              <w:jc w:val="center"/>
              <w:rPr>
                <w:sz w:val="14"/>
              </w:rPr>
            </w:pPr>
            <w:r>
              <w:rPr>
                <w:w w:val="105"/>
                <w:sz w:val="14"/>
              </w:rPr>
              <w:t>0.00</w:t>
            </w:r>
          </w:p>
        </w:tc>
        <w:tc>
          <w:tcPr>
            <w:tcW w:w="1021" w:type="dxa"/>
          </w:tcPr>
          <w:p>
            <w:pPr>
              <w:pStyle w:val="TableParagraph"/>
              <w:spacing w:before="101"/>
              <w:ind w:right="62"/>
              <w:jc w:val="right"/>
              <w:rPr>
                <w:sz w:val="14"/>
              </w:rPr>
            </w:pPr>
            <w:r>
              <w:rPr>
                <w:sz w:val="14"/>
              </w:rPr>
              <w:t>0.0%</w:t>
            </w:r>
          </w:p>
        </w:tc>
      </w:tr>
      <w:tr>
        <w:trPr>
          <w:trHeight w:val="268" w:hRule="atLeast"/>
        </w:trPr>
        <w:tc>
          <w:tcPr>
            <w:tcW w:w="3714" w:type="dxa"/>
          </w:tcPr>
          <w:p>
            <w:pPr>
              <w:pStyle w:val="TableParagraph"/>
              <w:spacing w:line="142" w:lineRule="exact" w:before="107"/>
              <w:ind w:left="50"/>
              <w:rPr>
                <w:sz w:val="14"/>
              </w:rPr>
            </w:pPr>
            <w:r>
              <w:rPr>
                <w:w w:val="105"/>
                <w:sz w:val="14"/>
              </w:rPr>
              <w:t>TOTAL, EMPLOYEE BENEFITS</w:t>
            </w:r>
          </w:p>
        </w:tc>
        <w:tc>
          <w:tcPr>
            <w:tcW w:w="2911" w:type="dxa"/>
          </w:tcPr>
          <w:p>
            <w:pPr>
              <w:pStyle w:val="TableParagraph"/>
              <w:rPr>
                <w:rFonts w:ascii="Times New Roman"/>
                <w:sz w:val="14"/>
              </w:rPr>
            </w:pPr>
          </w:p>
        </w:tc>
        <w:tc>
          <w:tcPr>
            <w:tcW w:w="1547" w:type="dxa"/>
          </w:tcPr>
          <w:p>
            <w:pPr>
              <w:pStyle w:val="TableParagraph"/>
              <w:spacing w:line="142" w:lineRule="exact" w:before="107"/>
              <w:ind w:left="626" w:right="592"/>
              <w:jc w:val="center"/>
              <w:rPr>
                <w:sz w:val="14"/>
              </w:rPr>
            </w:pPr>
            <w:r>
              <w:rPr>
                <w:w w:val="105"/>
                <w:sz w:val="14"/>
              </w:rPr>
              <w:t>0.00</w:t>
            </w:r>
          </w:p>
        </w:tc>
        <w:tc>
          <w:tcPr>
            <w:tcW w:w="1527" w:type="dxa"/>
          </w:tcPr>
          <w:p>
            <w:pPr>
              <w:pStyle w:val="TableParagraph"/>
              <w:spacing w:line="142" w:lineRule="exact" w:before="107"/>
              <w:ind w:left="592" w:right="605"/>
              <w:jc w:val="center"/>
              <w:rPr>
                <w:sz w:val="14"/>
              </w:rPr>
            </w:pPr>
            <w:r>
              <w:rPr>
                <w:w w:val="105"/>
                <w:sz w:val="14"/>
              </w:rPr>
              <w:t>0.00</w:t>
            </w:r>
          </w:p>
        </w:tc>
        <w:tc>
          <w:tcPr>
            <w:tcW w:w="1021" w:type="dxa"/>
          </w:tcPr>
          <w:p>
            <w:pPr>
              <w:pStyle w:val="TableParagraph"/>
              <w:spacing w:line="142" w:lineRule="exact" w:before="107"/>
              <w:ind w:right="62"/>
              <w:jc w:val="right"/>
              <w:rPr>
                <w:sz w:val="14"/>
              </w:rPr>
            </w:pPr>
            <w:r>
              <w:rPr>
                <w:sz w:val="14"/>
              </w:rPr>
              <w:t>0.0%</w:t>
            </w:r>
          </w:p>
        </w:tc>
      </w:tr>
    </w:tbl>
    <w:p>
      <w:pPr>
        <w:pStyle w:val="BodyText"/>
        <w:spacing w:before="10"/>
        <w:rPr>
          <w:b/>
          <w:sz w:val="9"/>
        </w:rPr>
      </w:pPr>
    </w:p>
    <w:p>
      <w:pPr>
        <w:spacing w:before="99"/>
        <w:ind w:left="370" w:right="0" w:firstLine="0"/>
        <w:jc w:val="left"/>
        <w:rPr>
          <w:b/>
          <w:sz w:val="14"/>
        </w:rPr>
      </w:pPr>
      <w:r>
        <w:rPr/>
        <w:pict>
          <v:group style="position:absolute;margin-left:206.639984pt;margin-top:41.155933pt;width:356.05pt;height:73.95pt;mso-position-horizontal-relative:page;mso-position-vertical-relative:paragraph;z-index:-314294272" coordorigin="4133,823" coordsize="7121,1479">
            <v:shape style="position:absolute;left:6674;top:823;width:4580;height:1102" type="#_x0000_t75" stroked="false">
              <v:imagedata r:id="rId879" o:title=""/>
            </v:shape>
            <v:shape style="position:absolute;left:4132;top:1552;width:7121;height:749" type="#_x0000_t75" stroked="false">
              <v:imagedata r:id="rId479" o:title=""/>
            </v:shape>
            <v:shape style="position:absolute;left:8186;top:1917;width:3068;height:384" type="#_x0000_t75" stroked="false">
              <v:imagedata r:id="rId583" o:title=""/>
            </v:shape>
            <w10:wrap type="none"/>
          </v:group>
        </w:pict>
      </w:r>
      <w:r>
        <w:rPr>
          <w:b/>
          <w:w w:val="105"/>
          <w:sz w:val="14"/>
        </w:rPr>
        <w:t>BOOKS AND SUPPLIES</w:t>
      </w:r>
    </w:p>
    <w:p>
      <w:pPr>
        <w:pStyle w:val="BodyText"/>
        <w:rPr>
          <w:b/>
          <w:sz w:val="20"/>
        </w:rPr>
      </w:pPr>
    </w:p>
    <w:p>
      <w:pPr>
        <w:pStyle w:val="BodyText"/>
        <w:spacing w:before="1" w:after="1"/>
        <w:rPr>
          <w:b/>
          <w:sz w:val="15"/>
        </w:rPr>
      </w:pPr>
    </w:p>
    <w:tbl>
      <w:tblPr>
        <w:tblW w:w="0" w:type="auto"/>
        <w:jc w:val="left"/>
        <w:tblInd w:w="4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52"/>
        <w:gridCol w:w="1766"/>
        <w:gridCol w:w="2055"/>
        <w:gridCol w:w="1527"/>
        <w:gridCol w:w="984"/>
      </w:tblGrid>
      <w:tr>
        <w:trPr>
          <w:trHeight w:val="262" w:hRule="atLeast"/>
        </w:trPr>
        <w:tc>
          <w:tcPr>
            <w:tcW w:w="4352" w:type="dxa"/>
          </w:tcPr>
          <w:p>
            <w:pPr>
              <w:pStyle w:val="TableParagraph"/>
              <w:spacing w:line="160" w:lineRule="exact"/>
              <w:ind w:left="50"/>
              <w:rPr>
                <w:sz w:val="14"/>
              </w:rPr>
            </w:pPr>
            <w:r>
              <w:rPr>
                <w:w w:val="105"/>
                <w:sz w:val="14"/>
              </w:rPr>
              <w:t>Approved Textbooks and Core Curricula Materials</w:t>
            </w:r>
          </w:p>
        </w:tc>
        <w:tc>
          <w:tcPr>
            <w:tcW w:w="1766" w:type="dxa"/>
          </w:tcPr>
          <w:p>
            <w:pPr>
              <w:pStyle w:val="TableParagraph"/>
              <w:spacing w:line="160" w:lineRule="exact"/>
              <w:ind w:right="324"/>
              <w:jc w:val="right"/>
              <w:rPr>
                <w:sz w:val="14"/>
              </w:rPr>
            </w:pPr>
            <w:r>
              <w:rPr>
                <w:sz w:val="14"/>
              </w:rPr>
              <w:t>4100</w:t>
            </w:r>
          </w:p>
        </w:tc>
        <w:tc>
          <w:tcPr>
            <w:tcW w:w="2055" w:type="dxa"/>
            <w:shd w:val="clear" w:color="auto" w:fill="DFDFDF"/>
          </w:tcPr>
          <w:p>
            <w:pPr>
              <w:pStyle w:val="TableParagraph"/>
              <w:spacing w:line="160" w:lineRule="exact"/>
              <w:ind w:right="615"/>
              <w:jc w:val="right"/>
              <w:rPr>
                <w:sz w:val="14"/>
              </w:rPr>
            </w:pPr>
            <w:r>
              <w:rPr>
                <w:sz w:val="14"/>
              </w:rPr>
              <w:t>0.00</w:t>
            </w:r>
          </w:p>
        </w:tc>
        <w:tc>
          <w:tcPr>
            <w:tcW w:w="1527" w:type="dxa"/>
            <w:shd w:val="clear" w:color="auto" w:fill="DFDFDF"/>
          </w:tcPr>
          <w:p>
            <w:pPr>
              <w:pStyle w:val="TableParagraph"/>
              <w:spacing w:line="160" w:lineRule="exact"/>
              <w:ind w:left="591" w:right="606"/>
              <w:jc w:val="center"/>
              <w:rPr>
                <w:sz w:val="14"/>
              </w:rPr>
            </w:pPr>
            <w:r>
              <w:rPr>
                <w:w w:val="105"/>
                <w:sz w:val="14"/>
              </w:rPr>
              <w:t>0.00</w:t>
            </w:r>
          </w:p>
        </w:tc>
        <w:tc>
          <w:tcPr>
            <w:tcW w:w="984" w:type="dxa"/>
            <w:shd w:val="clear" w:color="auto" w:fill="DFDFDF"/>
          </w:tcPr>
          <w:p>
            <w:pPr>
              <w:pStyle w:val="TableParagraph"/>
              <w:spacing w:line="160" w:lineRule="exact"/>
              <w:ind w:right="26"/>
              <w:jc w:val="right"/>
              <w:rPr>
                <w:sz w:val="14"/>
              </w:rPr>
            </w:pPr>
            <w:r>
              <w:rPr>
                <w:sz w:val="14"/>
              </w:rPr>
              <w:t>0.0%</w:t>
            </w:r>
          </w:p>
        </w:tc>
      </w:tr>
      <w:tr>
        <w:trPr>
          <w:trHeight w:val="265" w:hRule="atLeast"/>
        </w:trPr>
        <w:tc>
          <w:tcPr>
            <w:tcW w:w="4352" w:type="dxa"/>
          </w:tcPr>
          <w:p>
            <w:pPr>
              <w:pStyle w:val="TableParagraph"/>
              <w:spacing w:line="145" w:lineRule="exact" w:before="101"/>
              <w:ind w:left="50"/>
              <w:rPr>
                <w:sz w:val="14"/>
              </w:rPr>
            </w:pPr>
            <w:r>
              <w:rPr>
                <w:w w:val="105"/>
                <w:sz w:val="14"/>
              </w:rPr>
              <w:t>Books and Other Reference Materials</w:t>
            </w:r>
          </w:p>
        </w:tc>
        <w:tc>
          <w:tcPr>
            <w:tcW w:w="1766" w:type="dxa"/>
          </w:tcPr>
          <w:p>
            <w:pPr>
              <w:pStyle w:val="TableParagraph"/>
              <w:spacing w:line="145" w:lineRule="exact" w:before="101"/>
              <w:ind w:right="324"/>
              <w:jc w:val="right"/>
              <w:rPr>
                <w:sz w:val="14"/>
              </w:rPr>
            </w:pPr>
            <w:r>
              <w:rPr>
                <w:sz w:val="14"/>
              </w:rPr>
              <w:t>4200</w:t>
            </w:r>
          </w:p>
        </w:tc>
        <w:tc>
          <w:tcPr>
            <w:tcW w:w="2055" w:type="dxa"/>
            <w:shd w:val="clear" w:color="auto" w:fill="DFDFDF"/>
          </w:tcPr>
          <w:p>
            <w:pPr>
              <w:pStyle w:val="TableParagraph"/>
              <w:spacing w:line="145" w:lineRule="exact" w:before="101"/>
              <w:ind w:right="615"/>
              <w:jc w:val="right"/>
              <w:rPr>
                <w:sz w:val="14"/>
              </w:rPr>
            </w:pPr>
            <w:r>
              <w:rPr>
                <w:sz w:val="14"/>
              </w:rPr>
              <w:t>0.00</w:t>
            </w:r>
          </w:p>
        </w:tc>
        <w:tc>
          <w:tcPr>
            <w:tcW w:w="1527" w:type="dxa"/>
            <w:shd w:val="clear" w:color="auto" w:fill="DFDFDF"/>
          </w:tcPr>
          <w:p>
            <w:pPr>
              <w:pStyle w:val="TableParagraph"/>
              <w:spacing w:line="145" w:lineRule="exact" w:before="101"/>
              <w:ind w:left="591" w:right="606"/>
              <w:jc w:val="center"/>
              <w:rPr>
                <w:sz w:val="14"/>
              </w:rPr>
            </w:pPr>
            <w:r>
              <w:rPr>
                <w:w w:val="105"/>
                <w:sz w:val="14"/>
              </w:rPr>
              <w:t>0.00</w:t>
            </w:r>
          </w:p>
        </w:tc>
        <w:tc>
          <w:tcPr>
            <w:tcW w:w="984" w:type="dxa"/>
            <w:shd w:val="clear" w:color="auto" w:fill="DFDFDF"/>
          </w:tcPr>
          <w:p>
            <w:pPr>
              <w:pStyle w:val="TableParagraph"/>
              <w:spacing w:line="145" w:lineRule="exact" w:before="101"/>
              <w:ind w:right="26"/>
              <w:jc w:val="right"/>
              <w:rPr>
                <w:sz w:val="14"/>
              </w:rPr>
            </w:pPr>
            <w:r>
              <w:rPr>
                <w:sz w:val="14"/>
              </w:rPr>
              <w:t>0.0%</w:t>
            </w:r>
          </w:p>
        </w:tc>
      </w:tr>
      <w:tr>
        <w:trPr>
          <w:trHeight w:val="463" w:hRule="atLeast"/>
        </w:trPr>
        <w:tc>
          <w:tcPr>
            <w:tcW w:w="4352" w:type="dxa"/>
          </w:tcPr>
          <w:p>
            <w:pPr>
              <w:pStyle w:val="TableParagraph"/>
              <w:spacing w:before="4"/>
              <w:rPr>
                <w:b/>
                <w:sz w:val="17"/>
              </w:rPr>
            </w:pPr>
          </w:p>
          <w:p>
            <w:pPr>
              <w:pStyle w:val="TableParagraph"/>
              <w:ind w:left="50"/>
              <w:rPr>
                <w:sz w:val="14"/>
              </w:rPr>
            </w:pPr>
            <w:r>
              <w:rPr>
                <w:w w:val="105"/>
                <w:sz w:val="14"/>
              </w:rPr>
              <w:t>Materials and Supplies</w:t>
            </w:r>
          </w:p>
        </w:tc>
        <w:tc>
          <w:tcPr>
            <w:tcW w:w="1766" w:type="dxa"/>
          </w:tcPr>
          <w:p>
            <w:pPr>
              <w:pStyle w:val="TableParagraph"/>
              <w:spacing w:before="4"/>
              <w:rPr>
                <w:b/>
                <w:sz w:val="17"/>
              </w:rPr>
            </w:pPr>
          </w:p>
          <w:p>
            <w:pPr>
              <w:pStyle w:val="TableParagraph"/>
              <w:ind w:right="324"/>
              <w:jc w:val="right"/>
              <w:rPr>
                <w:sz w:val="14"/>
              </w:rPr>
            </w:pPr>
            <w:r>
              <w:rPr>
                <w:sz w:val="14"/>
              </w:rPr>
              <w:t>4300</w:t>
            </w:r>
          </w:p>
        </w:tc>
        <w:tc>
          <w:tcPr>
            <w:tcW w:w="2055" w:type="dxa"/>
          </w:tcPr>
          <w:p>
            <w:pPr>
              <w:pStyle w:val="TableParagraph"/>
              <w:spacing w:before="4"/>
              <w:rPr>
                <w:b/>
                <w:sz w:val="17"/>
              </w:rPr>
            </w:pPr>
          </w:p>
          <w:p>
            <w:pPr>
              <w:pStyle w:val="TableParagraph"/>
              <w:ind w:right="615"/>
              <w:jc w:val="right"/>
              <w:rPr>
                <w:sz w:val="14"/>
              </w:rPr>
            </w:pPr>
            <w:r>
              <w:rPr>
                <w:sz w:val="14"/>
              </w:rPr>
              <w:t>0.00</w:t>
            </w:r>
          </w:p>
        </w:tc>
        <w:tc>
          <w:tcPr>
            <w:tcW w:w="1527" w:type="dxa"/>
          </w:tcPr>
          <w:p>
            <w:pPr>
              <w:pStyle w:val="TableParagraph"/>
              <w:spacing w:before="4"/>
              <w:rPr>
                <w:b/>
                <w:sz w:val="17"/>
              </w:rPr>
            </w:pPr>
          </w:p>
          <w:p>
            <w:pPr>
              <w:pStyle w:val="TableParagraph"/>
              <w:ind w:left="591" w:right="606"/>
              <w:jc w:val="center"/>
              <w:rPr>
                <w:sz w:val="14"/>
              </w:rPr>
            </w:pPr>
            <w:r>
              <w:rPr>
                <w:w w:val="105"/>
                <w:sz w:val="14"/>
              </w:rPr>
              <w:t>0.00</w:t>
            </w:r>
          </w:p>
        </w:tc>
        <w:tc>
          <w:tcPr>
            <w:tcW w:w="984" w:type="dxa"/>
          </w:tcPr>
          <w:p>
            <w:pPr>
              <w:pStyle w:val="TableParagraph"/>
              <w:spacing w:before="4"/>
              <w:rPr>
                <w:b/>
                <w:sz w:val="17"/>
              </w:rPr>
            </w:pPr>
          </w:p>
          <w:p>
            <w:pPr>
              <w:pStyle w:val="TableParagraph"/>
              <w:ind w:right="26"/>
              <w:jc w:val="right"/>
              <w:rPr>
                <w:sz w:val="14"/>
              </w:rPr>
            </w:pPr>
            <w:r>
              <w:rPr>
                <w:sz w:val="14"/>
              </w:rPr>
              <w:t>0.0%</w:t>
            </w:r>
          </w:p>
        </w:tc>
      </w:tr>
      <w:tr>
        <w:trPr>
          <w:trHeight w:val="370" w:hRule="atLeast"/>
        </w:trPr>
        <w:tc>
          <w:tcPr>
            <w:tcW w:w="4352" w:type="dxa"/>
          </w:tcPr>
          <w:p>
            <w:pPr>
              <w:pStyle w:val="TableParagraph"/>
              <w:spacing w:before="101"/>
              <w:ind w:left="50"/>
              <w:rPr>
                <w:sz w:val="14"/>
              </w:rPr>
            </w:pPr>
            <w:r>
              <w:rPr>
                <w:w w:val="105"/>
                <w:sz w:val="14"/>
              </w:rPr>
              <w:t>Noncapitalized Equipment</w:t>
            </w:r>
          </w:p>
        </w:tc>
        <w:tc>
          <w:tcPr>
            <w:tcW w:w="1766" w:type="dxa"/>
          </w:tcPr>
          <w:p>
            <w:pPr>
              <w:pStyle w:val="TableParagraph"/>
              <w:spacing w:before="101"/>
              <w:ind w:right="324"/>
              <w:jc w:val="right"/>
              <w:rPr>
                <w:sz w:val="14"/>
              </w:rPr>
            </w:pPr>
            <w:r>
              <w:rPr>
                <w:sz w:val="14"/>
              </w:rPr>
              <w:t>4400</w:t>
            </w:r>
          </w:p>
        </w:tc>
        <w:tc>
          <w:tcPr>
            <w:tcW w:w="2055" w:type="dxa"/>
          </w:tcPr>
          <w:p>
            <w:pPr>
              <w:pStyle w:val="TableParagraph"/>
              <w:spacing w:before="101"/>
              <w:ind w:right="615"/>
              <w:jc w:val="right"/>
              <w:rPr>
                <w:sz w:val="14"/>
              </w:rPr>
            </w:pPr>
            <w:r>
              <w:rPr>
                <w:sz w:val="14"/>
              </w:rPr>
              <w:t>0.00</w:t>
            </w:r>
          </w:p>
        </w:tc>
        <w:tc>
          <w:tcPr>
            <w:tcW w:w="1527" w:type="dxa"/>
          </w:tcPr>
          <w:p>
            <w:pPr>
              <w:pStyle w:val="TableParagraph"/>
              <w:spacing w:before="101"/>
              <w:ind w:left="591" w:right="606"/>
              <w:jc w:val="center"/>
              <w:rPr>
                <w:sz w:val="14"/>
              </w:rPr>
            </w:pPr>
            <w:r>
              <w:rPr>
                <w:w w:val="105"/>
                <w:sz w:val="14"/>
              </w:rPr>
              <w:t>0.00</w:t>
            </w:r>
          </w:p>
        </w:tc>
        <w:tc>
          <w:tcPr>
            <w:tcW w:w="984" w:type="dxa"/>
          </w:tcPr>
          <w:p>
            <w:pPr>
              <w:pStyle w:val="TableParagraph"/>
              <w:spacing w:before="101"/>
              <w:ind w:right="26"/>
              <w:jc w:val="right"/>
              <w:rPr>
                <w:sz w:val="14"/>
              </w:rPr>
            </w:pPr>
            <w:r>
              <w:rPr>
                <w:sz w:val="14"/>
              </w:rPr>
              <w:t>0.0%</w:t>
            </w:r>
          </w:p>
        </w:tc>
      </w:tr>
      <w:tr>
        <w:trPr>
          <w:trHeight w:val="268" w:hRule="atLeast"/>
        </w:trPr>
        <w:tc>
          <w:tcPr>
            <w:tcW w:w="4352" w:type="dxa"/>
          </w:tcPr>
          <w:p>
            <w:pPr>
              <w:pStyle w:val="TableParagraph"/>
              <w:spacing w:line="142" w:lineRule="exact" w:before="107"/>
              <w:ind w:left="50"/>
              <w:rPr>
                <w:sz w:val="14"/>
              </w:rPr>
            </w:pPr>
            <w:r>
              <w:rPr>
                <w:w w:val="105"/>
                <w:sz w:val="14"/>
              </w:rPr>
              <w:t>TOTAL, BOOKS AND SUPPLIES</w:t>
            </w:r>
          </w:p>
        </w:tc>
        <w:tc>
          <w:tcPr>
            <w:tcW w:w="1766" w:type="dxa"/>
          </w:tcPr>
          <w:p>
            <w:pPr>
              <w:pStyle w:val="TableParagraph"/>
              <w:rPr>
                <w:rFonts w:ascii="Times New Roman"/>
                <w:sz w:val="14"/>
              </w:rPr>
            </w:pPr>
          </w:p>
        </w:tc>
        <w:tc>
          <w:tcPr>
            <w:tcW w:w="2055" w:type="dxa"/>
          </w:tcPr>
          <w:p>
            <w:pPr>
              <w:pStyle w:val="TableParagraph"/>
              <w:spacing w:line="142" w:lineRule="exact" w:before="107"/>
              <w:ind w:right="615"/>
              <w:jc w:val="right"/>
              <w:rPr>
                <w:sz w:val="14"/>
              </w:rPr>
            </w:pPr>
            <w:r>
              <w:rPr>
                <w:sz w:val="14"/>
              </w:rPr>
              <w:t>0.00</w:t>
            </w:r>
          </w:p>
        </w:tc>
        <w:tc>
          <w:tcPr>
            <w:tcW w:w="1527" w:type="dxa"/>
          </w:tcPr>
          <w:p>
            <w:pPr>
              <w:pStyle w:val="TableParagraph"/>
              <w:spacing w:line="142" w:lineRule="exact" w:before="107"/>
              <w:ind w:left="591" w:right="606"/>
              <w:jc w:val="center"/>
              <w:rPr>
                <w:sz w:val="14"/>
              </w:rPr>
            </w:pPr>
            <w:r>
              <w:rPr>
                <w:w w:val="105"/>
                <w:sz w:val="14"/>
              </w:rPr>
              <w:t>0.00</w:t>
            </w:r>
          </w:p>
        </w:tc>
        <w:tc>
          <w:tcPr>
            <w:tcW w:w="984" w:type="dxa"/>
          </w:tcPr>
          <w:p>
            <w:pPr>
              <w:pStyle w:val="TableParagraph"/>
              <w:spacing w:line="142" w:lineRule="exact" w:before="107"/>
              <w:ind w:right="26"/>
              <w:jc w:val="right"/>
              <w:rPr>
                <w:sz w:val="14"/>
              </w:rPr>
            </w:pPr>
            <w:r>
              <w:rPr>
                <w:sz w:val="14"/>
              </w:rPr>
              <w:t>0.0%</w:t>
            </w:r>
          </w:p>
        </w:tc>
      </w:tr>
    </w:tbl>
    <w:p>
      <w:pPr>
        <w:spacing w:after="0" w:line="142" w:lineRule="exact"/>
        <w:jc w:val="right"/>
        <w:rPr>
          <w:sz w:val="14"/>
        </w:rPr>
        <w:sectPr>
          <w:type w:val="continuous"/>
          <w:pgSz w:w="12240" w:h="15840"/>
          <w:pgMar w:top="1500" w:bottom="840" w:left="160" w:right="180"/>
        </w:sectPr>
      </w:pPr>
    </w:p>
    <w:p>
      <w:pPr>
        <w:pStyle w:val="BodyText"/>
        <w:rPr>
          <w:b/>
          <w:sz w:val="20"/>
        </w:rPr>
      </w:pPr>
      <w:r>
        <w:rPr/>
        <w:pict>
          <v:group style="position:absolute;margin-left:24.719999pt;margin-top:78.959999pt;width:538pt;height:252.25pt;mso-position-horizontal-relative:page;mso-position-vertical-relative:page;z-index:-314288128" coordorigin="494,1579" coordsize="10760,5045">
            <v:shape style="position:absolute;left:494;top:1579;width:3646;height:790" type="#_x0000_t75" stroked="false">
              <v:imagedata r:id="rId406" o:title=""/>
            </v:shape>
            <v:shape style="position:absolute;left:4132;top:1579;width:7121;height:790" type="#_x0000_t75" stroked="false">
              <v:imagedata r:id="rId407" o:title=""/>
            </v:shape>
            <v:shape style="position:absolute;left:494;top:2354;width:5220;height:380" type="#_x0000_t75" stroked="false">
              <v:imagedata r:id="rId628" o:title=""/>
            </v:shape>
            <v:shape style="position:absolute;left:5707;top:2354;width:5547;height:778" type="#_x0000_t75" stroked="false">
              <v:imagedata r:id="rId629" o:title=""/>
            </v:shape>
            <v:shape style="position:absolute;left:494;top:2731;width:5220;height:3893" type="#_x0000_t75" stroked="false">
              <v:imagedata r:id="rId880" o:title=""/>
            </v:shape>
            <v:shape style="position:absolute;left:530;top:2193;width:811;height:161" type="#_x0000_t202" filled="false" stroked="false">
              <v:textbox inset="0,0,0,0">
                <w:txbxContent>
                  <w:p>
                    <w:pPr>
                      <w:spacing w:line="160" w:lineRule="exact" w:before="0"/>
                      <w:ind w:left="0" w:right="0" w:firstLine="0"/>
                      <w:jc w:val="left"/>
                      <w:rPr>
                        <w:b/>
                        <w:sz w:val="14"/>
                      </w:rPr>
                    </w:pPr>
                    <w:r>
                      <w:rPr>
                        <w:b/>
                        <w:sz w:val="14"/>
                      </w:rPr>
                      <w:t>Description</w:t>
                    </w:r>
                  </w:p>
                </w:txbxContent>
              </v:textbox>
              <w10:wrap type="none"/>
            </v:shape>
            <v:shape style="position:absolute;left:4358;top:2025;width:3722;height:329" type="#_x0000_t202" filled="false" stroked="false">
              <v:textbox inset="0,0,0,0">
                <w:txbxContent>
                  <w:p>
                    <w:pPr>
                      <w:spacing w:line="160" w:lineRule="exact" w:before="0"/>
                      <w:ind w:left="2820" w:right="0" w:firstLine="0"/>
                      <w:jc w:val="left"/>
                      <w:rPr>
                        <w:b/>
                        <w:sz w:val="14"/>
                      </w:rPr>
                    </w:pPr>
                    <w:r>
                      <w:rPr>
                        <w:b/>
                        <w:w w:val="105"/>
                        <w:sz w:val="14"/>
                      </w:rPr>
                      <w:t>2020-21</w:t>
                    </w:r>
                  </w:p>
                  <w:p>
                    <w:pPr>
                      <w:tabs>
                        <w:tab w:pos="1372" w:val="left" w:leader="none"/>
                      </w:tabs>
                      <w:spacing w:before="7"/>
                      <w:ind w:left="0" w:right="0" w:firstLine="0"/>
                      <w:jc w:val="left"/>
                      <w:rPr>
                        <w:b/>
                        <w:sz w:val="14"/>
                      </w:rPr>
                    </w:pPr>
                    <w:r>
                      <w:rPr>
                        <w:b/>
                        <w:w w:val="105"/>
                        <w:sz w:val="14"/>
                      </w:rPr>
                      <w:t>Resource</w:t>
                    </w:r>
                    <w:r>
                      <w:rPr>
                        <w:b/>
                        <w:spacing w:val="-12"/>
                        <w:w w:val="105"/>
                        <w:sz w:val="14"/>
                      </w:rPr>
                      <w:t> </w:t>
                    </w:r>
                    <w:r>
                      <w:rPr>
                        <w:b/>
                        <w:w w:val="105"/>
                        <w:sz w:val="14"/>
                      </w:rPr>
                      <w:t>Codes</w:t>
                      <w:tab/>
                      <w:t>Object Codes Estimated</w:t>
                    </w:r>
                    <w:r>
                      <w:rPr>
                        <w:b/>
                        <w:spacing w:val="-15"/>
                        <w:w w:val="105"/>
                        <w:sz w:val="14"/>
                      </w:rPr>
                      <w:t> </w:t>
                    </w:r>
                    <w:r>
                      <w:rPr>
                        <w:b/>
                        <w:w w:val="105"/>
                        <w:sz w:val="14"/>
                      </w:rPr>
                      <w:t>Actuals</w:t>
                    </w:r>
                  </w:p>
                </w:txbxContent>
              </v:textbox>
              <w10:wrap type="none"/>
            </v:shape>
            <v:shape style="position:absolute;left:8690;top:2025;width:545;height:329" type="#_x0000_t202" filled="false" stroked="false">
              <v:textbox inset="0,0,0,0">
                <w:txbxContent>
                  <w:p>
                    <w:pPr>
                      <w:spacing w:line="160" w:lineRule="exact" w:before="0"/>
                      <w:ind w:left="0" w:right="0" w:firstLine="0"/>
                      <w:jc w:val="left"/>
                      <w:rPr>
                        <w:b/>
                        <w:sz w:val="14"/>
                      </w:rPr>
                    </w:pPr>
                    <w:r>
                      <w:rPr>
                        <w:b/>
                        <w:sz w:val="14"/>
                      </w:rPr>
                      <w:t>2021-22</w:t>
                    </w:r>
                  </w:p>
                  <w:p>
                    <w:pPr>
                      <w:spacing w:before="7"/>
                      <w:ind w:left="11" w:right="0" w:firstLine="0"/>
                      <w:jc w:val="left"/>
                      <w:rPr>
                        <w:b/>
                        <w:sz w:val="14"/>
                      </w:rPr>
                    </w:pPr>
                    <w:r>
                      <w:rPr>
                        <w:b/>
                        <w:w w:val="105"/>
                        <w:sz w:val="14"/>
                      </w:rPr>
                      <w:t>Budget</w:t>
                    </w:r>
                  </w:p>
                </w:txbxContent>
              </v:textbox>
              <w10:wrap type="none"/>
            </v:shape>
            <v:shape style="position:absolute;left:10128;top:2025;width:721;height:329" type="#_x0000_t202" filled="false" stroked="false">
              <v:textbox inset="0,0,0,0">
                <w:txbxContent>
                  <w:p>
                    <w:pPr>
                      <w:spacing w:line="249" w:lineRule="auto" w:before="0"/>
                      <w:ind w:left="0" w:right="16" w:firstLine="86"/>
                      <w:jc w:val="left"/>
                      <w:rPr>
                        <w:b/>
                        <w:sz w:val="14"/>
                      </w:rPr>
                    </w:pPr>
                    <w:r>
                      <w:rPr>
                        <w:b/>
                        <w:w w:val="105"/>
                        <w:sz w:val="14"/>
                      </w:rPr>
                      <w:t>Percent </w:t>
                    </w:r>
                    <w:r>
                      <w:rPr>
                        <w:b/>
                        <w:sz w:val="14"/>
                      </w:rPr>
                      <w:t>Difference</w:t>
                    </w:r>
                  </w:p>
                </w:txbxContent>
              </v:textbox>
              <w10:wrap type="none"/>
            </v:shape>
            <v:shape style="position:absolute;left:530;top:2569;width:3686;height:161" type="#_x0000_t202" filled="false" stroked="false">
              <v:textbox inset="0,0,0,0">
                <w:txbxContent>
                  <w:p>
                    <w:pPr>
                      <w:spacing w:line="160" w:lineRule="exact" w:before="0"/>
                      <w:ind w:left="0" w:right="0" w:firstLine="0"/>
                      <w:jc w:val="left"/>
                      <w:rPr>
                        <w:b/>
                        <w:sz w:val="14"/>
                      </w:rPr>
                    </w:pPr>
                    <w:r>
                      <w:rPr>
                        <w:b/>
                        <w:w w:val="105"/>
                        <w:sz w:val="14"/>
                      </w:rPr>
                      <w:t>SERVICES</w:t>
                    </w:r>
                    <w:r>
                      <w:rPr>
                        <w:b/>
                        <w:spacing w:val="-19"/>
                        <w:w w:val="105"/>
                        <w:sz w:val="14"/>
                      </w:rPr>
                      <w:t> </w:t>
                    </w:r>
                    <w:r>
                      <w:rPr>
                        <w:b/>
                        <w:spacing w:val="-3"/>
                        <w:w w:val="105"/>
                        <w:sz w:val="14"/>
                      </w:rPr>
                      <w:t>AND</w:t>
                    </w:r>
                    <w:r>
                      <w:rPr>
                        <w:b/>
                        <w:spacing w:val="-20"/>
                        <w:w w:val="105"/>
                        <w:sz w:val="14"/>
                      </w:rPr>
                      <w:t> </w:t>
                    </w:r>
                    <w:r>
                      <w:rPr>
                        <w:b/>
                        <w:w w:val="105"/>
                        <w:sz w:val="14"/>
                      </w:rPr>
                      <w:t>OTHER</w:t>
                    </w:r>
                    <w:r>
                      <w:rPr>
                        <w:b/>
                        <w:spacing w:val="-19"/>
                        <w:w w:val="105"/>
                        <w:sz w:val="14"/>
                      </w:rPr>
                      <w:t> </w:t>
                    </w:r>
                    <w:r>
                      <w:rPr>
                        <w:b/>
                        <w:w w:val="105"/>
                        <w:sz w:val="14"/>
                      </w:rPr>
                      <w:t>OPERATING</w:t>
                    </w:r>
                    <w:r>
                      <w:rPr>
                        <w:b/>
                        <w:spacing w:val="-19"/>
                        <w:w w:val="105"/>
                        <w:sz w:val="14"/>
                      </w:rPr>
                      <w:t> </w:t>
                    </w:r>
                    <w:r>
                      <w:rPr>
                        <w:b/>
                        <w:w w:val="105"/>
                        <w:sz w:val="14"/>
                      </w:rPr>
                      <w:t>EXPENDITURES</w:t>
                    </w:r>
                  </w:p>
                </w:txbxContent>
              </v:textbox>
              <w10:wrap type="none"/>
            </v:shape>
            <w10:wrap type="none"/>
          </v:group>
        </w:pic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
        <w:rPr>
          <w:b/>
          <w:sz w:val="28"/>
        </w:rPr>
      </w:pPr>
    </w:p>
    <w:tbl>
      <w:tblPr>
        <w:tblW w:w="0" w:type="auto"/>
        <w:jc w:val="left"/>
        <w:tblInd w:w="3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07"/>
        <w:gridCol w:w="1850"/>
        <w:gridCol w:w="1547"/>
        <w:gridCol w:w="1527"/>
        <w:gridCol w:w="1008"/>
      </w:tblGrid>
      <w:tr>
        <w:trPr>
          <w:trHeight w:val="262" w:hRule="atLeast"/>
        </w:trPr>
        <w:tc>
          <w:tcPr>
            <w:tcW w:w="4807" w:type="dxa"/>
          </w:tcPr>
          <w:p>
            <w:pPr>
              <w:pStyle w:val="TableParagraph"/>
              <w:spacing w:line="160" w:lineRule="exact"/>
              <w:ind w:left="81"/>
              <w:rPr>
                <w:sz w:val="14"/>
              </w:rPr>
            </w:pPr>
            <w:r>
              <w:rPr>
                <w:w w:val="105"/>
                <w:sz w:val="14"/>
              </w:rPr>
              <w:t>Subagreements for Services</w:t>
            </w:r>
          </w:p>
        </w:tc>
        <w:tc>
          <w:tcPr>
            <w:tcW w:w="1850" w:type="dxa"/>
          </w:tcPr>
          <w:p>
            <w:pPr>
              <w:pStyle w:val="TableParagraph"/>
              <w:spacing w:line="160" w:lineRule="exact"/>
              <w:ind w:left="487" w:right="620"/>
              <w:jc w:val="center"/>
              <w:rPr>
                <w:sz w:val="14"/>
              </w:rPr>
            </w:pPr>
            <w:r>
              <w:rPr>
                <w:w w:val="105"/>
                <w:sz w:val="14"/>
              </w:rPr>
              <w:t>5100</w:t>
            </w:r>
          </w:p>
        </w:tc>
        <w:tc>
          <w:tcPr>
            <w:tcW w:w="1547" w:type="dxa"/>
          </w:tcPr>
          <w:p>
            <w:pPr>
              <w:pStyle w:val="TableParagraph"/>
              <w:spacing w:line="160" w:lineRule="exact"/>
              <w:ind w:left="626" w:right="593"/>
              <w:jc w:val="center"/>
              <w:rPr>
                <w:sz w:val="14"/>
              </w:rPr>
            </w:pPr>
            <w:r>
              <w:rPr>
                <w:w w:val="105"/>
                <w:sz w:val="14"/>
              </w:rPr>
              <w:t>0.00</w:t>
            </w:r>
          </w:p>
        </w:tc>
        <w:tc>
          <w:tcPr>
            <w:tcW w:w="1527" w:type="dxa"/>
          </w:tcPr>
          <w:p>
            <w:pPr>
              <w:pStyle w:val="TableParagraph"/>
              <w:spacing w:line="160" w:lineRule="exact"/>
              <w:ind w:left="592" w:right="606"/>
              <w:jc w:val="center"/>
              <w:rPr>
                <w:sz w:val="14"/>
              </w:rPr>
            </w:pPr>
            <w:r>
              <w:rPr>
                <w:w w:val="105"/>
                <w:sz w:val="14"/>
              </w:rPr>
              <w:t>0.00</w:t>
            </w:r>
          </w:p>
        </w:tc>
        <w:tc>
          <w:tcPr>
            <w:tcW w:w="1008" w:type="dxa"/>
          </w:tcPr>
          <w:p>
            <w:pPr>
              <w:pStyle w:val="TableParagraph"/>
              <w:spacing w:line="160" w:lineRule="exact"/>
              <w:ind w:right="49"/>
              <w:jc w:val="right"/>
              <w:rPr>
                <w:sz w:val="14"/>
              </w:rPr>
            </w:pPr>
            <w:r>
              <w:rPr>
                <w:sz w:val="14"/>
              </w:rPr>
              <w:t>0.0%</w:t>
            </w:r>
          </w:p>
        </w:tc>
      </w:tr>
      <w:tr>
        <w:trPr>
          <w:trHeight w:val="364" w:hRule="atLeast"/>
        </w:trPr>
        <w:tc>
          <w:tcPr>
            <w:tcW w:w="4807" w:type="dxa"/>
          </w:tcPr>
          <w:p>
            <w:pPr>
              <w:pStyle w:val="TableParagraph"/>
              <w:spacing w:before="101"/>
              <w:ind w:left="81"/>
              <w:rPr>
                <w:sz w:val="14"/>
              </w:rPr>
            </w:pPr>
            <w:r>
              <w:rPr>
                <w:w w:val="105"/>
                <w:sz w:val="14"/>
              </w:rPr>
              <w:t>Travel and Conferences</w:t>
            </w:r>
          </w:p>
        </w:tc>
        <w:tc>
          <w:tcPr>
            <w:tcW w:w="1850" w:type="dxa"/>
          </w:tcPr>
          <w:p>
            <w:pPr>
              <w:pStyle w:val="TableParagraph"/>
              <w:spacing w:before="101"/>
              <w:ind w:left="487" w:right="620"/>
              <w:jc w:val="center"/>
              <w:rPr>
                <w:sz w:val="14"/>
              </w:rPr>
            </w:pPr>
            <w:r>
              <w:rPr>
                <w:w w:val="105"/>
                <w:sz w:val="14"/>
              </w:rPr>
              <w:t>5200</w:t>
            </w:r>
          </w:p>
        </w:tc>
        <w:tc>
          <w:tcPr>
            <w:tcW w:w="1547" w:type="dxa"/>
          </w:tcPr>
          <w:p>
            <w:pPr>
              <w:pStyle w:val="TableParagraph"/>
              <w:spacing w:before="101"/>
              <w:ind w:left="626" w:right="593"/>
              <w:jc w:val="center"/>
              <w:rPr>
                <w:sz w:val="14"/>
              </w:rPr>
            </w:pPr>
            <w:r>
              <w:rPr>
                <w:w w:val="105"/>
                <w:sz w:val="14"/>
              </w:rPr>
              <w:t>0.00</w:t>
            </w:r>
          </w:p>
        </w:tc>
        <w:tc>
          <w:tcPr>
            <w:tcW w:w="1527" w:type="dxa"/>
          </w:tcPr>
          <w:p>
            <w:pPr>
              <w:pStyle w:val="TableParagraph"/>
              <w:spacing w:before="101"/>
              <w:ind w:left="592" w:right="606"/>
              <w:jc w:val="center"/>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364" w:hRule="atLeast"/>
        </w:trPr>
        <w:tc>
          <w:tcPr>
            <w:tcW w:w="4807" w:type="dxa"/>
          </w:tcPr>
          <w:p>
            <w:pPr>
              <w:pStyle w:val="TableParagraph"/>
              <w:spacing w:before="101"/>
              <w:ind w:left="81"/>
              <w:rPr>
                <w:sz w:val="14"/>
              </w:rPr>
            </w:pPr>
            <w:r>
              <w:rPr>
                <w:w w:val="105"/>
                <w:sz w:val="14"/>
              </w:rPr>
              <w:t>Insurance</w:t>
            </w:r>
          </w:p>
        </w:tc>
        <w:tc>
          <w:tcPr>
            <w:tcW w:w="1850" w:type="dxa"/>
          </w:tcPr>
          <w:p>
            <w:pPr>
              <w:pStyle w:val="TableParagraph"/>
              <w:spacing w:before="101"/>
              <w:ind w:left="487" w:right="620"/>
              <w:jc w:val="center"/>
              <w:rPr>
                <w:sz w:val="14"/>
              </w:rPr>
            </w:pPr>
            <w:r>
              <w:rPr>
                <w:w w:val="105"/>
                <w:sz w:val="14"/>
              </w:rPr>
              <w:t>5400-5450</w:t>
            </w:r>
          </w:p>
        </w:tc>
        <w:tc>
          <w:tcPr>
            <w:tcW w:w="1547" w:type="dxa"/>
          </w:tcPr>
          <w:p>
            <w:pPr>
              <w:pStyle w:val="TableParagraph"/>
              <w:spacing w:before="101"/>
              <w:ind w:left="626" w:right="593"/>
              <w:jc w:val="center"/>
              <w:rPr>
                <w:sz w:val="14"/>
              </w:rPr>
            </w:pPr>
            <w:r>
              <w:rPr>
                <w:w w:val="105"/>
                <w:sz w:val="14"/>
              </w:rPr>
              <w:t>0.00</w:t>
            </w:r>
          </w:p>
        </w:tc>
        <w:tc>
          <w:tcPr>
            <w:tcW w:w="1527" w:type="dxa"/>
          </w:tcPr>
          <w:p>
            <w:pPr>
              <w:pStyle w:val="TableParagraph"/>
              <w:spacing w:before="101"/>
              <w:ind w:left="592" w:right="606"/>
              <w:jc w:val="center"/>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364" w:hRule="atLeast"/>
        </w:trPr>
        <w:tc>
          <w:tcPr>
            <w:tcW w:w="4807" w:type="dxa"/>
          </w:tcPr>
          <w:p>
            <w:pPr>
              <w:pStyle w:val="TableParagraph"/>
              <w:spacing w:before="101"/>
              <w:ind w:left="81"/>
              <w:rPr>
                <w:sz w:val="14"/>
              </w:rPr>
            </w:pPr>
            <w:r>
              <w:rPr>
                <w:w w:val="105"/>
                <w:sz w:val="14"/>
              </w:rPr>
              <w:t>Operations and Housekeeping Services</w:t>
            </w:r>
          </w:p>
        </w:tc>
        <w:tc>
          <w:tcPr>
            <w:tcW w:w="1850" w:type="dxa"/>
          </w:tcPr>
          <w:p>
            <w:pPr>
              <w:pStyle w:val="TableParagraph"/>
              <w:spacing w:before="101"/>
              <w:ind w:left="487" w:right="620"/>
              <w:jc w:val="center"/>
              <w:rPr>
                <w:sz w:val="14"/>
              </w:rPr>
            </w:pPr>
            <w:r>
              <w:rPr>
                <w:w w:val="105"/>
                <w:sz w:val="14"/>
              </w:rPr>
              <w:t>5500</w:t>
            </w:r>
          </w:p>
        </w:tc>
        <w:tc>
          <w:tcPr>
            <w:tcW w:w="1547" w:type="dxa"/>
          </w:tcPr>
          <w:p>
            <w:pPr>
              <w:pStyle w:val="TableParagraph"/>
              <w:spacing w:before="101"/>
              <w:ind w:left="626" w:right="593"/>
              <w:jc w:val="center"/>
              <w:rPr>
                <w:sz w:val="14"/>
              </w:rPr>
            </w:pPr>
            <w:r>
              <w:rPr>
                <w:w w:val="105"/>
                <w:sz w:val="14"/>
              </w:rPr>
              <w:t>0.00</w:t>
            </w:r>
          </w:p>
        </w:tc>
        <w:tc>
          <w:tcPr>
            <w:tcW w:w="1527" w:type="dxa"/>
          </w:tcPr>
          <w:p>
            <w:pPr>
              <w:pStyle w:val="TableParagraph"/>
              <w:spacing w:before="101"/>
              <w:ind w:left="592" w:right="606"/>
              <w:jc w:val="center"/>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364" w:hRule="atLeast"/>
        </w:trPr>
        <w:tc>
          <w:tcPr>
            <w:tcW w:w="4807" w:type="dxa"/>
          </w:tcPr>
          <w:p>
            <w:pPr>
              <w:pStyle w:val="TableParagraph"/>
              <w:spacing w:before="101"/>
              <w:ind w:left="81"/>
              <w:rPr>
                <w:sz w:val="14"/>
              </w:rPr>
            </w:pPr>
            <w:r>
              <w:rPr>
                <w:w w:val="105"/>
                <w:sz w:val="14"/>
              </w:rPr>
              <w:t>Rentals, Leases, Repairs, and Noncapitalized Improvements</w:t>
            </w:r>
          </w:p>
        </w:tc>
        <w:tc>
          <w:tcPr>
            <w:tcW w:w="1850" w:type="dxa"/>
          </w:tcPr>
          <w:p>
            <w:pPr>
              <w:pStyle w:val="TableParagraph"/>
              <w:spacing w:before="101"/>
              <w:ind w:left="487" w:right="620"/>
              <w:jc w:val="center"/>
              <w:rPr>
                <w:sz w:val="14"/>
              </w:rPr>
            </w:pPr>
            <w:r>
              <w:rPr>
                <w:w w:val="105"/>
                <w:sz w:val="14"/>
              </w:rPr>
              <w:t>5600</w:t>
            </w:r>
          </w:p>
        </w:tc>
        <w:tc>
          <w:tcPr>
            <w:tcW w:w="1547" w:type="dxa"/>
          </w:tcPr>
          <w:p>
            <w:pPr>
              <w:pStyle w:val="TableParagraph"/>
              <w:spacing w:before="101"/>
              <w:ind w:left="626" w:right="593"/>
              <w:jc w:val="center"/>
              <w:rPr>
                <w:sz w:val="14"/>
              </w:rPr>
            </w:pPr>
            <w:r>
              <w:rPr>
                <w:w w:val="105"/>
                <w:sz w:val="14"/>
              </w:rPr>
              <w:t>0.00</w:t>
            </w:r>
          </w:p>
        </w:tc>
        <w:tc>
          <w:tcPr>
            <w:tcW w:w="1527" w:type="dxa"/>
          </w:tcPr>
          <w:p>
            <w:pPr>
              <w:pStyle w:val="TableParagraph"/>
              <w:spacing w:before="101"/>
              <w:ind w:left="592" w:right="606"/>
              <w:jc w:val="center"/>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364" w:hRule="atLeast"/>
        </w:trPr>
        <w:tc>
          <w:tcPr>
            <w:tcW w:w="4807" w:type="dxa"/>
          </w:tcPr>
          <w:p>
            <w:pPr>
              <w:pStyle w:val="TableParagraph"/>
              <w:spacing w:before="101"/>
              <w:ind w:left="81"/>
              <w:rPr>
                <w:sz w:val="14"/>
              </w:rPr>
            </w:pPr>
            <w:r>
              <w:rPr>
                <w:w w:val="105"/>
                <w:sz w:val="14"/>
              </w:rPr>
              <w:t>Transfers of Direct Costs</w:t>
            </w:r>
          </w:p>
        </w:tc>
        <w:tc>
          <w:tcPr>
            <w:tcW w:w="1850" w:type="dxa"/>
          </w:tcPr>
          <w:p>
            <w:pPr>
              <w:pStyle w:val="TableParagraph"/>
              <w:spacing w:before="101"/>
              <w:ind w:left="487" w:right="620"/>
              <w:jc w:val="center"/>
              <w:rPr>
                <w:sz w:val="14"/>
              </w:rPr>
            </w:pPr>
            <w:r>
              <w:rPr>
                <w:w w:val="105"/>
                <w:sz w:val="14"/>
              </w:rPr>
              <w:t>5710</w:t>
            </w:r>
          </w:p>
        </w:tc>
        <w:tc>
          <w:tcPr>
            <w:tcW w:w="1547" w:type="dxa"/>
          </w:tcPr>
          <w:p>
            <w:pPr>
              <w:pStyle w:val="TableParagraph"/>
              <w:spacing w:before="101"/>
              <w:ind w:left="626" w:right="593"/>
              <w:jc w:val="center"/>
              <w:rPr>
                <w:sz w:val="14"/>
              </w:rPr>
            </w:pPr>
            <w:r>
              <w:rPr>
                <w:w w:val="105"/>
                <w:sz w:val="14"/>
              </w:rPr>
              <w:t>0.00</w:t>
            </w:r>
          </w:p>
        </w:tc>
        <w:tc>
          <w:tcPr>
            <w:tcW w:w="1527" w:type="dxa"/>
          </w:tcPr>
          <w:p>
            <w:pPr>
              <w:pStyle w:val="TableParagraph"/>
              <w:spacing w:before="101"/>
              <w:ind w:left="592" w:right="606"/>
              <w:jc w:val="center"/>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364" w:hRule="atLeast"/>
        </w:trPr>
        <w:tc>
          <w:tcPr>
            <w:tcW w:w="4807" w:type="dxa"/>
          </w:tcPr>
          <w:p>
            <w:pPr>
              <w:pStyle w:val="TableParagraph"/>
              <w:spacing w:before="101"/>
              <w:ind w:left="81"/>
              <w:rPr>
                <w:sz w:val="14"/>
              </w:rPr>
            </w:pPr>
            <w:r>
              <w:rPr>
                <w:w w:val="105"/>
                <w:sz w:val="14"/>
              </w:rPr>
              <w:t>Transfers of Direct Costs - Interfund</w:t>
            </w:r>
          </w:p>
        </w:tc>
        <w:tc>
          <w:tcPr>
            <w:tcW w:w="1850" w:type="dxa"/>
          </w:tcPr>
          <w:p>
            <w:pPr>
              <w:pStyle w:val="TableParagraph"/>
              <w:spacing w:before="101"/>
              <w:ind w:left="487" w:right="620"/>
              <w:jc w:val="center"/>
              <w:rPr>
                <w:sz w:val="14"/>
              </w:rPr>
            </w:pPr>
            <w:r>
              <w:rPr>
                <w:w w:val="105"/>
                <w:sz w:val="14"/>
              </w:rPr>
              <w:t>5750</w:t>
            </w:r>
          </w:p>
        </w:tc>
        <w:tc>
          <w:tcPr>
            <w:tcW w:w="1547" w:type="dxa"/>
          </w:tcPr>
          <w:p>
            <w:pPr>
              <w:pStyle w:val="TableParagraph"/>
              <w:spacing w:before="101"/>
              <w:ind w:left="626" w:right="593"/>
              <w:jc w:val="center"/>
              <w:rPr>
                <w:sz w:val="14"/>
              </w:rPr>
            </w:pPr>
            <w:r>
              <w:rPr>
                <w:w w:val="105"/>
                <w:sz w:val="14"/>
              </w:rPr>
              <w:t>0.00</w:t>
            </w:r>
          </w:p>
        </w:tc>
        <w:tc>
          <w:tcPr>
            <w:tcW w:w="1527" w:type="dxa"/>
          </w:tcPr>
          <w:p>
            <w:pPr>
              <w:pStyle w:val="TableParagraph"/>
              <w:spacing w:before="101"/>
              <w:ind w:left="592" w:right="606"/>
              <w:jc w:val="center"/>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561" w:hRule="atLeast"/>
        </w:trPr>
        <w:tc>
          <w:tcPr>
            <w:tcW w:w="4807" w:type="dxa"/>
          </w:tcPr>
          <w:p>
            <w:pPr>
              <w:pStyle w:val="TableParagraph"/>
              <w:spacing w:line="292" w:lineRule="auto" w:before="101"/>
              <w:ind w:left="121" w:right="2271" w:hanging="40"/>
              <w:rPr>
                <w:sz w:val="14"/>
              </w:rPr>
            </w:pPr>
            <w:r>
              <w:rPr>
                <w:w w:val="105"/>
                <w:sz w:val="14"/>
              </w:rPr>
              <w:t>Professional/Consulting Services and Operating Expenditures</w:t>
            </w:r>
          </w:p>
        </w:tc>
        <w:tc>
          <w:tcPr>
            <w:tcW w:w="1850" w:type="dxa"/>
          </w:tcPr>
          <w:p>
            <w:pPr>
              <w:pStyle w:val="TableParagraph"/>
              <w:rPr>
                <w:b/>
                <w:sz w:val="16"/>
              </w:rPr>
            </w:pPr>
          </w:p>
          <w:p>
            <w:pPr>
              <w:pStyle w:val="TableParagraph"/>
              <w:spacing w:before="113"/>
              <w:ind w:left="487" w:right="620"/>
              <w:jc w:val="center"/>
              <w:rPr>
                <w:sz w:val="14"/>
              </w:rPr>
            </w:pPr>
            <w:r>
              <w:rPr>
                <w:w w:val="105"/>
                <w:sz w:val="14"/>
              </w:rPr>
              <w:t>5800</w:t>
            </w:r>
          </w:p>
        </w:tc>
        <w:tc>
          <w:tcPr>
            <w:tcW w:w="1547" w:type="dxa"/>
          </w:tcPr>
          <w:p>
            <w:pPr>
              <w:pStyle w:val="TableParagraph"/>
              <w:rPr>
                <w:b/>
                <w:sz w:val="16"/>
              </w:rPr>
            </w:pPr>
          </w:p>
          <w:p>
            <w:pPr>
              <w:pStyle w:val="TableParagraph"/>
              <w:spacing w:before="113"/>
              <w:ind w:left="626" w:right="593"/>
              <w:jc w:val="center"/>
              <w:rPr>
                <w:sz w:val="14"/>
              </w:rPr>
            </w:pPr>
            <w:r>
              <w:rPr>
                <w:w w:val="105"/>
                <w:sz w:val="14"/>
              </w:rPr>
              <w:t>0.00</w:t>
            </w:r>
          </w:p>
        </w:tc>
        <w:tc>
          <w:tcPr>
            <w:tcW w:w="1527" w:type="dxa"/>
          </w:tcPr>
          <w:p>
            <w:pPr>
              <w:pStyle w:val="TableParagraph"/>
              <w:rPr>
                <w:b/>
                <w:sz w:val="16"/>
              </w:rPr>
            </w:pPr>
          </w:p>
          <w:p>
            <w:pPr>
              <w:pStyle w:val="TableParagraph"/>
              <w:spacing w:before="113"/>
              <w:ind w:left="592" w:right="606"/>
              <w:jc w:val="center"/>
              <w:rPr>
                <w:sz w:val="14"/>
              </w:rPr>
            </w:pPr>
            <w:r>
              <w:rPr>
                <w:w w:val="105"/>
                <w:sz w:val="14"/>
              </w:rPr>
              <w:t>0.00</w:t>
            </w:r>
          </w:p>
        </w:tc>
        <w:tc>
          <w:tcPr>
            <w:tcW w:w="1008" w:type="dxa"/>
          </w:tcPr>
          <w:p>
            <w:pPr>
              <w:pStyle w:val="TableParagraph"/>
              <w:rPr>
                <w:b/>
                <w:sz w:val="16"/>
              </w:rPr>
            </w:pPr>
          </w:p>
          <w:p>
            <w:pPr>
              <w:pStyle w:val="TableParagraph"/>
              <w:spacing w:before="113"/>
              <w:ind w:right="49"/>
              <w:jc w:val="right"/>
              <w:rPr>
                <w:sz w:val="14"/>
              </w:rPr>
            </w:pPr>
            <w:r>
              <w:rPr>
                <w:sz w:val="14"/>
              </w:rPr>
              <w:t>0.0%</w:t>
            </w:r>
          </w:p>
        </w:tc>
      </w:tr>
      <w:tr>
        <w:trPr>
          <w:trHeight w:val="370" w:hRule="atLeast"/>
        </w:trPr>
        <w:tc>
          <w:tcPr>
            <w:tcW w:w="4807" w:type="dxa"/>
          </w:tcPr>
          <w:p>
            <w:pPr>
              <w:pStyle w:val="TableParagraph"/>
              <w:spacing w:before="101"/>
              <w:ind w:left="81"/>
              <w:rPr>
                <w:sz w:val="14"/>
              </w:rPr>
            </w:pPr>
            <w:r>
              <w:rPr>
                <w:w w:val="105"/>
                <w:sz w:val="14"/>
              </w:rPr>
              <w:t>Communications</w:t>
            </w:r>
          </w:p>
        </w:tc>
        <w:tc>
          <w:tcPr>
            <w:tcW w:w="1850" w:type="dxa"/>
          </w:tcPr>
          <w:p>
            <w:pPr>
              <w:pStyle w:val="TableParagraph"/>
              <w:spacing w:before="101"/>
              <w:ind w:left="487" w:right="620"/>
              <w:jc w:val="center"/>
              <w:rPr>
                <w:sz w:val="14"/>
              </w:rPr>
            </w:pPr>
            <w:r>
              <w:rPr>
                <w:w w:val="105"/>
                <w:sz w:val="14"/>
              </w:rPr>
              <w:t>5900</w:t>
            </w:r>
          </w:p>
        </w:tc>
        <w:tc>
          <w:tcPr>
            <w:tcW w:w="1547" w:type="dxa"/>
          </w:tcPr>
          <w:p>
            <w:pPr>
              <w:pStyle w:val="TableParagraph"/>
              <w:spacing w:before="101"/>
              <w:ind w:left="626" w:right="593"/>
              <w:jc w:val="center"/>
              <w:rPr>
                <w:sz w:val="14"/>
              </w:rPr>
            </w:pPr>
            <w:r>
              <w:rPr>
                <w:w w:val="105"/>
                <w:sz w:val="14"/>
              </w:rPr>
              <w:t>0.00</w:t>
            </w:r>
          </w:p>
        </w:tc>
        <w:tc>
          <w:tcPr>
            <w:tcW w:w="1527" w:type="dxa"/>
          </w:tcPr>
          <w:p>
            <w:pPr>
              <w:pStyle w:val="TableParagraph"/>
              <w:spacing w:before="101"/>
              <w:ind w:left="592" w:right="606"/>
              <w:jc w:val="center"/>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268" w:hRule="atLeast"/>
        </w:trPr>
        <w:tc>
          <w:tcPr>
            <w:tcW w:w="4807" w:type="dxa"/>
          </w:tcPr>
          <w:p>
            <w:pPr>
              <w:pStyle w:val="TableParagraph"/>
              <w:spacing w:line="142" w:lineRule="exact" w:before="107"/>
              <w:ind w:left="81"/>
              <w:rPr>
                <w:sz w:val="14"/>
              </w:rPr>
            </w:pPr>
            <w:r>
              <w:rPr>
                <w:w w:val="105"/>
                <w:sz w:val="14"/>
              </w:rPr>
              <w:t>TOTAL, SERVICES AND OTHER OPERATING EXPENDITURES</w:t>
            </w:r>
          </w:p>
        </w:tc>
        <w:tc>
          <w:tcPr>
            <w:tcW w:w="1850" w:type="dxa"/>
          </w:tcPr>
          <w:p>
            <w:pPr>
              <w:pStyle w:val="TableParagraph"/>
              <w:rPr>
                <w:rFonts w:ascii="Times New Roman"/>
                <w:sz w:val="14"/>
              </w:rPr>
            </w:pPr>
          </w:p>
        </w:tc>
        <w:tc>
          <w:tcPr>
            <w:tcW w:w="1547" w:type="dxa"/>
          </w:tcPr>
          <w:p>
            <w:pPr>
              <w:pStyle w:val="TableParagraph"/>
              <w:spacing w:line="142" w:lineRule="exact" w:before="107"/>
              <w:ind w:left="626" w:right="593"/>
              <w:jc w:val="center"/>
              <w:rPr>
                <w:sz w:val="14"/>
              </w:rPr>
            </w:pPr>
            <w:r>
              <w:rPr>
                <w:w w:val="105"/>
                <w:sz w:val="14"/>
              </w:rPr>
              <w:t>0.00</w:t>
            </w:r>
          </w:p>
        </w:tc>
        <w:tc>
          <w:tcPr>
            <w:tcW w:w="1527" w:type="dxa"/>
          </w:tcPr>
          <w:p>
            <w:pPr>
              <w:pStyle w:val="TableParagraph"/>
              <w:spacing w:line="142" w:lineRule="exact" w:before="107"/>
              <w:ind w:left="592" w:right="606"/>
              <w:jc w:val="center"/>
              <w:rPr>
                <w:sz w:val="14"/>
              </w:rPr>
            </w:pPr>
            <w:r>
              <w:rPr>
                <w:w w:val="105"/>
                <w:sz w:val="14"/>
              </w:rPr>
              <w:t>0.00</w:t>
            </w:r>
          </w:p>
        </w:tc>
        <w:tc>
          <w:tcPr>
            <w:tcW w:w="1008" w:type="dxa"/>
          </w:tcPr>
          <w:p>
            <w:pPr>
              <w:pStyle w:val="TableParagraph"/>
              <w:spacing w:line="142" w:lineRule="exact" w:before="107"/>
              <w:ind w:right="49"/>
              <w:jc w:val="right"/>
              <w:rPr>
                <w:sz w:val="14"/>
              </w:rPr>
            </w:pPr>
            <w:r>
              <w:rPr>
                <w:sz w:val="14"/>
              </w:rPr>
              <w:t>0.0%</w:t>
            </w:r>
          </w:p>
        </w:tc>
      </w:tr>
      <w:tr>
        <w:trPr>
          <w:trHeight w:val="367" w:hRule="atLeast"/>
        </w:trPr>
        <w:tc>
          <w:tcPr>
            <w:tcW w:w="4807" w:type="dxa"/>
          </w:tcPr>
          <w:p>
            <w:pPr>
              <w:pStyle w:val="TableParagraph"/>
              <w:spacing w:before="9"/>
              <w:rPr>
                <w:b/>
                <w:sz w:val="17"/>
              </w:rPr>
            </w:pPr>
          </w:p>
          <w:p>
            <w:pPr>
              <w:pStyle w:val="TableParagraph"/>
              <w:spacing w:line="142" w:lineRule="exact" w:before="1"/>
              <w:rPr>
                <w:b/>
                <w:sz w:val="14"/>
              </w:rPr>
            </w:pPr>
            <w:r>
              <w:rPr>
                <w:b/>
                <w:w w:val="105"/>
                <w:sz w:val="14"/>
              </w:rPr>
              <w:t>CAPITAL OUTLAY</w:t>
            </w:r>
          </w:p>
        </w:tc>
        <w:tc>
          <w:tcPr>
            <w:tcW w:w="1850" w:type="dxa"/>
          </w:tcPr>
          <w:p>
            <w:pPr>
              <w:pStyle w:val="TableParagraph"/>
              <w:rPr>
                <w:rFonts w:ascii="Times New Roman"/>
                <w:sz w:val="14"/>
              </w:rPr>
            </w:pPr>
          </w:p>
        </w:tc>
        <w:tc>
          <w:tcPr>
            <w:tcW w:w="1547" w:type="dxa"/>
          </w:tcPr>
          <w:p>
            <w:pPr>
              <w:pStyle w:val="TableParagraph"/>
              <w:rPr>
                <w:rFonts w:ascii="Times New Roman"/>
                <w:sz w:val="14"/>
              </w:rPr>
            </w:pPr>
          </w:p>
        </w:tc>
        <w:tc>
          <w:tcPr>
            <w:tcW w:w="1527" w:type="dxa"/>
          </w:tcPr>
          <w:p>
            <w:pPr>
              <w:pStyle w:val="TableParagraph"/>
              <w:rPr>
                <w:rFonts w:ascii="Times New Roman"/>
                <w:sz w:val="14"/>
              </w:rPr>
            </w:pPr>
          </w:p>
        </w:tc>
        <w:tc>
          <w:tcPr>
            <w:tcW w:w="1008" w:type="dxa"/>
          </w:tcPr>
          <w:p>
            <w:pPr>
              <w:pStyle w:val="TableParagraph"/>
              <w:rPr>
                <w:rFonts w:ascii="Times New Roman"/>
                <w:sz w:val="14"/>
              </w:rPr>
            </w:pPr>
          </w:p>
        </w:tc>
      </w:tr>
      <w:tr>
        <w:trPr>
          <w:trHeight w:val="469" w:hRule="atLeast"/>
        </w:trPr>
        <w:tc>
          <w:tcPr>
            <w:tcW w:w="4807" w:type="dxa"/>
          </w:tcPr>
          <w:p>
            <w:pPr>
              <w:pStyle w:val="TableParagraph"/>
              <w:spacing w:before="9"/>
              <w:rPr>
                <w:b/>
                <w:sz w:val="17"/>
              </w:rPr>
            </w:pPr>
          </w:p>
          <w:p>
            <w:pPr>
              <w:pStyle w:val="TableParagraph"/>
              <w:spacing w:before="1"/>
              <w:ind w:left="81"/>
              <w:rPr>
                <w:sz w:val="14"/>
              </w:rPr>
            </w:pPr>
            <w:r>
              <w:rPr>
                <w:w w:val="105"/>
                <w:sz w:val="14"/>
              </w:rPr>
              <w:t>Land</w:t>
            </w:r>
          </w:p>
        </w:tc>
        <w:tc>
          <w:tcPr>
            <w:tcW w:w="1850" w:type="dxa"/>
          </w:tcPr>
          <w:p>
            <w:pPr>
              <w:pStyle w:val="TableParagraph"/>
              <w:spacing w:before="9"/>
              <w:rPr>
                <w:b/>
                <w:sz w:val="17"/>
              </w:rPr>
            </w:pPr>
          </w:p>
          <w:p>
            <w:pPr>
              <w:pStyle w:val="TableParagraph"/>
              <w:spacing w:before="1"/>
              <w:ind w:left="487" w:right="620"/>
              <w:jc w:val="center"/>
              <w:rPr>
                <w:sz w:val="14"/>
              </w:rPr>
            </w:pPr>
            <w:r>
              <w:rPr>
                <w:w w:val="105"/>
                <w:sz w:val="14"/>
              </w:rPr>
              <w:t>6100</w:t>
            </w:r>
          </w:p>
        </w:tc>
        <w:tc>
          <w:tcPr>
            <w:tcW w:w="1547" w:type="dxa"/>
          </w:tcPr>
          <w:p>
            <w:pPr>
              <w:pStyle w:val="TableParagraph"/>
              <w:spacing w:before="9"/>
              <w:rPr>
                <w:b/>
                <w:sz w:val="17"/>
              </w:rPr>
            </w:pPr>
          </w:p>
          <w:p>
            <w:pPr>
              <w:pStyle w:val="TableParagraph"/>
              <w:spacing w:before="1"/>
              <w:ind w:left="626" w:right="593"/>
              <w:jc w:val="center"/>
              <w:rPr>
                <w:sz w:val="14"/>
              </w:rPr>
            </w:pPr>
            <w:r>
              <w:rPr>
                <w:w w:val="105"/>
                <w:sz w:val="14"/>
              </w:rPr>
              <w:t>0.00</w:t>
            </w:r>
          </w:p>
        </w:tc>
        <w:tc>
          <w:tcPr>
            <w:tcW w:w="1527" w:type="dxa"/>
          </w:tcPr>
          <w:p>
            <w:pPr>
              <w:pStyle w:val="TableParagraph"/>
              <w:spacing w:before="9"/>
              <w:rPr>
                <w:b/>
                <w:sz w:val="17"/>
              </w:rPr>
            </w:pPr>
          </w:p>
          <w:p>
            <w:pPr>
              <w:pStyle w:val="TableParagraph"/>
              <w:spacing w:before="1"/>
              <w:ind w:left="592" w:right="606"/>
              <w:jc w:val="center"/>
              <w:rPr>
                <w:sz w:val="14"/>
              </w:rPr>
            </w:pPr>
            <w:r>
              <w:rPr>
                <w:w w:val="105"/>
                <w:sz w:val="14"/>
              </w:rPr>
              <w:t>0.00</w:t>
            </w:r>
          </w:p>
        </w:tc>
        <w:tc>
          <w:tcPr>
            <w:tcW w:w="1008" w:type="dxa"/>
          </w:tcPr>
          <w:p>
            <w:pPr>
              <w:pStyle w:val="TableParagraph"/>
              <w:spacing w:before="9"/>
              <w:rPr>
                <w:b/>
                <w:sz w:val="17"/>
              </w:rPr>
            </w:pPr>
          </w:p>
          <w:p>
            <w:pPr>
              <w:pStyle w:val="TableParagraph"/>
              <w:spacing w:before="1"/>
              <w:ind w:right="49"/>
              <w:jc w:val="right"/>
              <w:rPr>
                <w:sz w:val="14"/>
              </w:rPr>
            </w:pPr>
            <w:r>
              <w:rPr>
                <w:sz w:val="14"/>
              </w:rPr>
              <w:t>0.0%</w:t>
            </w:r>
          </w:p>
        </w:tc>
      </w:tr>
      <w:tr>
        <w:trPr>
          <w:trHeight w:val="364" w:hRule="atLeast"/>
        </w:trPr>
        <w:tc>
          <w:tcPr>
            <w:tcW w:w="4807" w:type="dxa"/>
          </w:tcPr>
          <w:p>
            <w:pPr>
              <w:pStyle w:val="TableParagraph"/>
              <w:spacing w:before="101"/>
              <w:ind w:left="81"/>
              <w:rPr>
                <w:sz w:val="14"/>
              </w:rPr>
            </w:pPr>
            <w:r>
              <w:rPr>
                <w:w w:val="105"/>
                <w:sz w:val="14"/>
              </w:rPr>
              <w:t>Land Improvements</w:t>
            </w:r>
          </w:p>
        </w:tc>
        <w:tc>
          <w:tcPr>
            <w:tcW w:w="1850" w:type="dxa"/>
          </w:tcPr>
          <w:p>
            <w:pPr>
              <w:pStyle w:val="TableParagraph"/>
              <w:spacing w:before="101"/>
              <w:ind w:left="487" w:right="620"/>
              <w:jc w:val="center"/>
              <w:rPr>
                <w:sz w:val="14"/>
              </w:rPr>
            </w:pPr>
            <w:r>
              <w:rPr>
                <w:w w:val="105"/>
                <w:sz w:val="14"/>
              </w:rPr>
              <w:t>6170</w:t>
            </w:r>
          </w:p>
        </w:tc>
        <w:tc>
          <w:tcPr>
            <w:tcW w:w="1547" w:type="dxa"/>
          </w:tcPr>
          <w:p>
            <w:pPr>
              <w:pStyle w:val="TableParagraph"/>
              <w:spacing w:before="101"/>
              <w:ind w:left="626" w:right="593"/>
              <w:jc w:val="center"/>
              <w:rPr>
                <w:sz w:val="14"/>
              </w:rPr>
            </w:pPr>
            <w:r>
              <w:rPr>
                <w:w w:val="105"/>
                <w:sz w:val="14"/>
              </w:rPr>
              <w:t>0.00</w:t>
            </w:r>
          </w:p>
        </w:tc>
        <w:tc>
          <w:tcPr>
            <w:tcW w:w="1527" w:type="dxa"/>
          </w:tcPr>
          <w:p>
            <w:pPr>
              <w:pStyle w:val="TableParagraph"/>
              <w:spacing w:before="101"/>
              <w:ind w:left="592" w:right="606"/>
              <w:jc w:val="center"/>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364" w:hRule="atLeast"/>
        </w:trPr>
        <w:tc>
          <w:tcPr>
            <w:tcW w:w="4807" w:type="dxa"/>
          </w:tcPr>
          <w:p>
            <w:pPr>
              <w:pStyle w:val="TableParagraph"/>
              <w:spacing w:before="101"/>
              <w:ind w:left="81"/>
              <w:rPr>
                <w:sz w:val="14"/>
              </w:rPr>
            </w:pPr>
            <w:r>
              <w:rPr>
                <w:w w:val="105"/>
                <w:sz w:val="14"/>
              </w:rPr>
              <w:t>Buildings and Improvements of Buildings</w:t>
            </w:r>
          </w:p>
        </w:tc>
        <w:tc>
          <w:tcPr>
            <w:tcW w:w="1850" w:type="dxa"/>
          </w:tcPr>
          <w:p>
            <w:pPr>
              <w:pStyle w:val="TableParagraph"/>
              <w:spacing w:before="101"/>
              <w:ind w:left="487" w:right="620"/>
              <w:jc w:val="center"/>
              <w:rPr>
                <w:sz w:val="14"/>
              </w:rPr>
            </w:pPr>
            <w:r>
              <w:rPr>
                <w:w w:val="105"/>
                <w:sz w:val="14"/>
              </w:rPr>
              <w:t>6200</w:t>
            </w:r>
          </w:p>
        </w:tc>
        <w:tc>
          <w:tcPr>
            <w:tcW w:w="1547" w:type="dxa"/>
          </w:tcPr>
          <w:p>
            <w:pPr>
              <w:pStyle w:val="TableParagraph"/>
              <w:spacing w:before="101"/>
              <w:ind w:left="626" w:right="593"/>
              <w:jc w:val="center"/>
              <w:rPr>
                <w:sz w:val="14"/>
              </w:rPr>
            </w:pPr>
            <w:r>
              <w:rPr>
                <w:w w:val="105"/>
                <w:sz w:val="14"/>
              </w:rPr>
              <w:t>0.00</w:t>
            </w:r>
          </w:p>
        </w:tc>
        <w:tc>
          <w:tcPr>
            <w:tcW w:w="1527" w:type="dxa"/>
          </w:tcPr>
          <w:p>
            <w:pPr>
              <w:pStyle w:val="TableParagraph"/>
              <w:spacing w:before="101"/>
              <w:ind w:left="592" w:right="606"/>
              <w:jc w:val="center"/>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286" w:hRule="atLeast"/>
        </w:trPr>
        <w:tc>
          <w:tcPr>
            <w:tcW w:w="4807" w:type="dxa"/>
          </w:tcPr>
          <w:p>
            <w:pPr>
              <w:pStyle w:val="TableParagraph"/>
              <w:spacing w:before="101"/>
              <w:ind w:left="81"/>
              <w:rPr>
                <w:sz w:val="14"/>
              </w:rPr>
            </w:pPr>
            <w:r>
              <w:rPr>
                <w:w w:val="105"/>
                <w:sz w:val="14"/>
              </w:rPr>
              <w:t>Books and Media for New School Libraries</w:t>
            </w:r>
          </w:p>
        </w:tc>
        <w:tc>
          <w:tcPr>
            <w:tcW w:w="1850" w:type="dxa"/>
          </w:tcPr>
          <w:p>
            <w:pPr>
              <w:pStyle w:val="TableParagraph"/>
              <w:rPr>
                <w:rFonts w:ascii="Times New Roman"/>
                <w:sz w:val="14"/>
              </w:rPr>
            </w:pPr>
          </w:p>
        </w:tc>
        <w:tc>
          <w:tcPr>
            <w:tcW w:w="1547" w:type="dxa"/>
          </w:tcPr>
          <w:p>
            <w:pPr>
              <w:pStyle w:val="TableParagraph"/>
              <w:rPr>
                <w:rFonts w:ascii="Times New Roman"/>
                <w:sz w:val="14"/>
              </w:rPr>
            </w:pPr>
          </w:p>
        </w:tc>
        <w:tc>
          <w:tcPr>
            <w:tcW w:w="1527" w:type="dxa"/>
          </w:tcPr>
          <w:p>
            <w:pPr>
              <w:pStyle w:val="TableParagraph"/>
              <w:rPr>
                <w:rFonts w:ascii="Times New Roman"/>
                <w:sz w:val="14"/>
              </w:rPr>
            </w:pPr>
          </w:p>
        </w:tc>
        <w:tc>
          <w:tcPr>
            <w:tcW w:w="1008" w:type="dxa"/>
          </w:tcPr>
          <w:p>
            <w:pPr>
              <w:pStyle w:val="TableParagraph"/>
              <w:rPr>
                <w:rFonts w:ascii="Times New Roman"/>
                <w:sz w:val="14"/>
              </w:rPr>
            </w:pPr>
          </w:p>
        </w:tc>
      </w:tr>
      <w:tr>
        <w:trPr>
          <w:trHeight w:val="286" w:hRule="atLeast"/>
        </w:trPr>
        <w:tc>
          <w:tcPr>
            <w:tcW w:w="4807" w:type="dxa"/>
          </w:tcPr>
          <w:p>
            <w:pPr>
              <w:pStyle w:val="TableParagraph"/>
              <w:spacing w:before="23"/>
              <w:ind w:left="121"/>
              <w:rPr>
                <w:sz w:val="14"/>
              </w:rPr>
            </w:pPr>
            <w:r>
              <w:rPr>
                <w:w w:val="105"/>
                <w:sz w:val="14"/>
              </w:rPr>
              <w:t>or Major Expansion of School Libraries</w:t>
            </w:r>
          </w:p>
        </w:tc>
        <w:tc>
          <w:tcPr>
            <w:tcW w:w="1850" w:type="dxa"/>
          </w:tcPr>
          <w:p>
            <w:pPr>
              <w:pStyle w:val="TableParagraph"/>
              <w:spacing w:before="23"/>
              <w:ind w:left="487" w:right="620"/>
              <w:jc w:val="center"/>
              <w:rPr>
                <w:sz w:val="14"/>
              </w:rPr>
            </w:pPr>
            <w:r>
              <w:rPr>
                <w:w w:val="105"/>
                <w:sz w:val="14"/>
              </w:rPr>
              <w:t>6300</w:t>
            </w:r>
          </w:p>
        </w:tc>
        <w:tc>
          <w:tcPr>
            <w:tcW w:w="1547" w:type="dxa"/>
          </w:tcPr>
          <w:p>
            <w:pPr>
              <w:pStyle w:val="TableParagraph"/>
              <w:spacing w:before="23"/>
              <w:ind w:left="626" w:right="593"/>
              <w:jc w:val="center"/>
              <w:rPr>
                <w:sz w:val="14"/>
              </w:rPr>
            </w:pPr>
            <w:r>
              <w:rPr>
                <w:w w:val="105"/>
                <w:sz w:val="14"/>
              </w:rPr>
              <w:t>0.00</w:t>
            </w:r>
          </w:p>
        </w:tc>
        <w:tc>
          <w:tcPr>
            <w:tcW w:w="1527" w:type="dxa"/>
          </w:tcPr>
          <w:p>
            <w:pPr>
              <w:pStyle w:val="TableParagraph"/>
              <w:spacing w:before="23"/>
              <w:ind w:left="592" w:right="606"/>
              <w:jc w:val="center"/>
              <w:rPr>
                <w:sz w:val="14"/>
              </w:rPr>
            </w:pPr>
            <w:r>
              <w:rPr>
                <w:w w:val="105"/>
                <w:sz w:val="14"/>
              </w:rPr>
              <w:t>0.00</w:t>
            </w:r>
          </w:p>
        </w:tc>
        <w:tc>
          <w:tcPr>
            <w:tcW w:w="1008" w:type="dxa"/>
          </w:tcPr>
          <w:p>
            <w:pPr>
              <w:pStyle w:val="TableParagraph"/>
              <w:spacing w:before="23"/>
              <w:ind w:right="49"/>
              <w:jc w:val="right"/>
              <w:rPr>
                <w:sz w:val="14"/>
              </w:rPr>
            </w:pPr>
            <w:r>
              <w:rPr>
                <w:sz w:val="14"/>
              </w:rPr>
              <w:t>0.0%</w:t>
            </w:r>
          </w:p>
        </w:tc>
      </w:tr>
      <w:tr>
        <w:trPr>
          <w:trHeight w:val="364" w:hRule="atLeast"/>
        </w:trPr>
        <w:tc>
          <w:tcPr>
            <w:tcW w:w="4807" w:type="dxa"/>
          </w:tcPr>
          <w:p>
            <w:pPr>
              <w:pStyle w:val="TableParagraph"/>
              <w:spacing w:before="101"/>
              <w:ind w:left="81"/>
              <w:rPr>
                <w:sz w:val="14"/>
              </w:rPr>
            </w:pPr>
            <w:r>
              <w:rPr>
                <w:w w:val="105"/>
                <w:sz w:val="14"/>
              </w:rPr>
              <w:t>Equipment</w:t>
            </w:r>
          </w:p>
        </w:tc>
        <w:tc>
          <w:tcPr>
            <w:tcW w:w="1850" w:type="dxa"/>
          </w:tcPr>
          <w:p>
            <w:pPr>
              <w:pStyle w:val="TableParagraph"/>
              <w:spacing w:before="101"/>
              <w:ind w:left="487" w:right="620"/>
              <w:jc w:val="center"/>
              <w:rPr>
                <w:sz w:val="14"/>
              </w:rPr>
            </w:pPr>
            <w:r>
              <w:rPr>
                <w:w w:val="105"/>
                <w:sz w:val="14"/>
              </w:rPr>
              <w:t>6400</w:t>
            </w:r>
          </w:p>
        </w:tc>
        <w:tc>
          <w:tcPr>
            <w:tcW w:w="1547" w:type="dxa"/>
          </w:tcPr>
          <w:p>
            <w:pPr>
              <w:pStyle w:val="TableParagraph"/>
              <w:spacing w:before="101"/>
              <w:ind w:left="626" w:right="593"/>
              <w:jc w:val="center"/>
              <w:rPr>
                <w:sz w:val="14"/>
              </w:rPr>
            </w:pPr>
            <w:r>
              <w:rPr>
                <w:w w:val="105"/>
                <w:sz w:val="14"/>
              </w:rPr>
              <w:t>0.00</w:t>
            </w:r>
          </w:p>
        </w:tc>
        <w:tc>
          <w:tcPr>
            <w:tcW w:w="1527" w:type="dxa"/>
          </w:tcPr>
          <w:p>
            <w:pPr>
              <w:pStyle w:val="TableParagraph"/>
              <w:spacing w:before="101"/>
              <w:ind w:left="592" w:right="606"/>
              <w:jc w:val="center"/>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350" w:hRule="atLeast"/>
        </w:trPr>
        <w:tc>
          <w:tcPr>
            <w:tcW w:w="4807" w:type="dxa"/>
          </w:tcPr>
          <w:p>
            <w:pPr>
              <w:pStyle w:val="TableParagraph"/>
              <w:spacing w:before="101"/>
              <w:ind w:left="81"/>
              <w:rPr>
                <w:sz w:val="14"/>
              </w:rPr>
            </w:pPr>
            <w:r>
              <w:rPr>
                <w:w w:val="105"/>
                <w:sz w:val="14"/>
              </w:rPr>
              <w:t>Equipment Replacement</w:t>
            </w:r>
          </w:p>
        </w:tc>
        <w:tc>
          <w:tcPr>
            <w:tcW w:w="1850" w:type="dxa"/>
          </w:tcPr>
          <w:p>
            <w:pPr>
              <w:pStyle w:val="TableParagraph"/>
              <w:spacing w:before="101"/>
              <w:ind w:left="487" w:right="620"/>
              <w:jc w:val="center"/>
              <w:rPr>
                <w:sz w:val="14"/>
              </w:rPr>
            </w:pPr>
            <w:r>
              <w:rPr>
                <w:w w:val="105"/>
                <w:sz w:val="14"/>
              </w:rPr>
              <w:t>6500</w:t>
            </w:r>
          </w:p>
        </w:tc>
        <w:tc>
          <w:tcPr>
            <w:tcW w:w="1547" w:type="dxa"/>
          </w:tcPr>
          <w:p>
            <w:pPr>
              <w:pStyle w:val="TableParagraph"/>
              <w:spacing w:before="101"/>
              <w:ind w:left="626" w:right="593"/>
              <w:jc w:val="center"/>
              <w:rPr>
                <w:sz w:val="14"/>
              </w:rPr>
            </w:pPr>
            <w:r>
              <w:rPr>
                <w:w w:val="105"/>
                <w:sz w:val="14"/>
              </w:rPr>
              <w:t>0.00</w:t>
            </w:r>
          </w:p>
        </w:tc>
        <w:tc>
          <w:tcPr>
            <w:tcW w:w="1527" w:type="dxa"/>
          </w:tcPr>
          <w:p>
            <w:pPr>
              <w:pStyle w:val="TableParagraph"/>
              <w:spacing w:before="101"/>
              <w:ind w:left="592" w:right="606"/>
              <w:jc w:val="center"/>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356" w:hRule="atLeast"/>
        </w:trPr>
        <w:tc>
          <w:tcPr>
            <w:tcW w:w="4807" w:type="dxa"/>
          </w:tcPr>
          <w:p>
            <w:pPr>
              <w:pStyle w:val="TableParagraph"/>
              <w:spacing w:before="86"/>
              <w:ind w:left="81"/>
              <w:rPr>
                <w:sz w:val="14"/>
              </w:rPr>
            </w:pPr>
            <w:r>
              <w:rPr>
                <w:w w:val="105"/>
                <w:sz w:val="14"/>
              </w:rPr>
              <w:t>Lease Assets</w:t>
            </w:r>
          </w:p>
        </w:tc>
        <w:tc>
          <w:tcPr>
            <w:tcW w:w="1850" w:type="dxa"/>
          </w:tcPr>
          <w:p>
            <w:pPr>
              <w:pStyle w:val="TableParagraph"/>
              <w:spacing w:before="86"/>
              <w:ind w:left="487" w:right="620"/>
              <w:jc w:val="center"/>
              <w:rPr>
                <w:sz w:val="14"/>
              </w:rPr>
            </w:pPr>
            <w:r>
              <w:rPr>
                <w:w w:val="105"/>
                <w:sz w:val="14"/>
              </w:rPr>
              <w:t>6600</w:t>
            </w:r>
          </w:p>
        </w:tc>
        <w:tc>
          <w:tcPr>
            <w:tcW w:w="1547" w:type="dxa"/>
          </w:tcPr>
          <w:p>
            <w:pPr>
              <w:pStyle w:val="TableParagraph"/>
              <w:spacing w:before="86"/>
              <w:ind w:left="626" w:right="593"/>
              <w:jc w:val="center"/>
              <w:rPr>
                <w:sz w:val="14"/>
              </w:rPr>
            </w:pPr>
            <w:r>
              <w:rPr>
                <w:w w:val="105"/>
                <w:sz w:val="14"/>
              </w:rPr>
              <w:t>0.00</w:t>
            </w:r>
          </w:p>
        </w:tc>
        <w:tc>
          <w:tcPr>
            <w:tcW w:w="1527" w:type="dxa"/>
          </w:tcPr>
          <w:p>
            <w:pPr>
              <w:pStyle w:val="TableParagraph"/>
              <w:spacing w:before="86"/>
              <w:ind w:left="592" w:right="606"/>
              <w:jc w:val="center"/>
              <w:rPr>
                <w:sz w:val="14"/>
              </w:rPr>
            </w:pPr>
            <w:r>
              <w:rPr>
                <w:w w:val="105"/>
                <w:sz w:val="14"/>
              </w:rPr>
              <w:t>0.00</w:t>
            </w:r>
          </w:p>
        </w:tc>
        <w:tc>
          <w:tcPr>
            <w:tcW w:w="1008" w:type="dxa"/>
          </w:tcPr>
          <w:p>
            <w:pPr>
              <w:pStyle w:val="TableParagraph"/>
              <w:spacing w:before="86"/>
              <w:ind w:right="49"/>
              <w:jc w:val="right"/>
              <w:rPr>
                <w:sz w:val="14"/>
              </w:rPr>
            </w:pPr>
            <w:r>
              <w:rPr>
                <w:sz w:val="14"/>
              </w:rPr>
              <w:t>0.0%</w:t>
            </w:r>
          </w:p>
        </w:tc>
      </w:tr>
      <w:tr>
        <w:trPr>
          <w:trHeight w:val="268" w:hRule="atLeast"/>
        </w:trPr>
        <w:tc>
          <w:tcPr>
            <w:tcW w:w="4807" w:type="dxa"/>
          </w:tcPr>
          <w:p>
            <w:pPr>
              <w:pStyle w:val="TableParagraph"/>
              <w:spacing w:line="142" w:lineRule="exact" w:before="107"/>
              <w:ind w:left="81"/>
              <w:rPr>
                <w:sz w:val="14"/>
              </w:rPr>
            </w:pPr>
            <w:r>
              <w:rPr>
                <w:w w:val="105"/>
                <w:sz w:val="14"/>
              </w:rPr>
              <w:t>TOTAL, CAPITAL OUTLAY</w:t>
            </w:r>
          </w:p>
        </w:tc>
        <w:tc>
          <w:tcPr>
            <w:tcW w:w="1850" w:type="dxa"/>
          </w:tcPr>
          <w:p>
            <w:pPr>
              <w:pStyle w:val="TableParagraph"/>
              <w:rPr>
                <w:rFonts w:ascii="Times New Roman"/>
                <w:sz w:val="14"/>
              </w:rPr>
            </w:pPr>
          </w:p>
        </w:tc>
        <w:tc>
          <w:tcPr>
            <w:tcW w:w="1547" w:type="dxa"/>
          </w:tcPr>
          <w:p>
            <w:pPr>
              <w:pStyle w:val="TableParagraph"/>
              <w:spacing w:line="142" w:lineRule="exact" w:before="107"/>
              <w:ind w:left="626" w:right="593"/>
              <w:jc w:val="center"/>
              <w:rPr>
                <w:sz w:val="14"/>
              </w:rPr>
            </w:pPr>
            <w:r>
              <w:rPr>
                <w:w w:val="105"/>
                <w:sz w:val="14"/>
              </w:rPr>
              <w:t>0.00</w:t>
            </w:r>
          </w:p>
        </w:tc>
        <w:tc>
          <w:tcPr>
            <w:tcW w:w="1527" w:type="dxa"/>
          </w:tcPr>
          <w:p>
            <w:pPr>
              <w:pStyle w:val="TableParagraph"/>
              <w:spacing w:line="142" w:lineRule="exact" w:before="107"/>
              <w:ind w:left="592" w:right="606"/>
              <w:jc w:val="center"/>
              <w:rPr>
                <w:sz w:val="14"/>
              </w:rPr>
            </w:pPr>
            <w:r>
              <w:rPr>
                <w:w w:val="105"/>
                <w:sz w:val="14"/>
              </w:rPr>
              <w:t>0.00</w:t>
            </w:r>
          </w:p>
        </w:tc>
        <w:tc>
          <w:tcPr>
            <w:tcW w:w="1008" w:type="dxa"/>
          </w:tcPr>
          <w:p>
            <w:pPr>
              <w:pStyle w:val="TableParagraph"/>
              <w:spacing w:line="142" w:lineRule="exact" w:before="107"/>
              <w:ind w:right="49"/>
              <w:jc w:val="right"/>
              <w:rPr>
                <w:sz w:val="14"/>
              </w:rPr>
            </w:pPr>
            <w:r>
              <w:rPr>
                <w:sz w:val="14"/>
              </w:rPr>
              <w:t>0.0%</w:t>
            </w:r>
          </w:p>
        </w:tc>
      </w:tr>
    </w:tbl>
    <w:p>
      <w:pPr>
        <w:pStyle w:val="BodyText"/>
        <w:spacing w:before="10"/>
        <w:rPr>
          <w:b/>
          <w:sz w:val="9"/>
        </w:rPr>
      </w:pPr>
    </w:p>
    <w:p>
      <w:pPr>
        <w:spacing w:before="99"/>
        <w:ind w:left="370" w:right="0" w:firstLine="0"/>
        <w:jc w:val="left"/>
        <w:rPr>
          <w:b/>
          <w:sz w:val="14"/>
        </w:rPr>
      </w:pPr>
      <w:r>
        <w:rPr/>
        <w:pict>
          <v:group style="position:absolute;margin-left:24.719999pt;margin-top:-364.204041pt;width:538pt;height:487.7pt;mso-position-horizontal-relative:page;mso-position-vertical-relative:paragraph;z-index:-314287104" coordorigin="494,-7284" coordsize="10760,9754">
            <v:shape style="position:absolute;left:6674;top:-7285;width:4580;height:569" type="#_x0000_t75" stroked="false">
              <v:imagedata r:id="rId631" o:title=""/>
            </v:shape>
            <v:shape style="position:absolute;left:8186;top:-7088;width:3068;height:732" type="#_x0000_t75" stroked="false">
              <v:imagedata r:id="rId489" o:title=""/>
            </v:shape>
            <v:shape style="position:absolute;left:6674;top:-6723;width:4580;height:1097" type="#_x0000_t75" stroked="false">
              <v:imagedata r:id="rId632" o:title=""/>
            </v:shape>
            <v:shape style="position:absolute;left:6674;top:-5993;width:1520;height:737" type="#_x0000_t75" stroked="false">
              <v:imagedata r:id="rId634" o:title=""/>
            </v:shape>
            <v:shape style="position:absolute;left:8186;top:-5993;width:1520;height:737" type="#_x0000_t75" stroked="false">
              <v:imagedata r:id="rId634" o:title=""/>
            </v:shape>
            <v:rect style="position:absolute;left:9703;top:-5624;width:1541;height:365" filled="true" fillcolor="#dfdfdf" stroked="false">
              <v:fill type="solid"/>
            </v:rect>
            <v:shape style="position:absolute;left:6674;top:-5993;width:4580;height:1664" type="#_x0000_t75" stroked="false">
              <v:imagedata r:id="rId635" o:title=""/>
            </v:shape>
            <v:shape style="position:absolute;left:6674;top:-4534;width:4580;height:569" type="#_x0000_t75" stroked="false">
              <v:imagedata r:id="rId636" o:title=""/>
            </v:shape>
            <v:shape style="position:absolute;left:5707;top:-4337;width:5547;height:749" type="#_x0000_t75" stroked="false">
              <v:imagedata r:id="rId495" o:title=""/>
            </v:shape>
            <v:shape style="position:absolute;left:494;top:-3596;width:3646;height:372" type="#_x0000_t75" stroked="false">
              <v:imagedata r:id="rId881" o:title=""/>
            </v:shape>
            <v:shape style="position:absolute;left:4132;top:-3973;width:7121;height:1119" type="#_x0000_t75" stroked="false">
              <v:imagedata r:id="rId882" o:title=""/>
            </v:shape>
            <v:shape style="position:absolute;left:6674;top:-3226;width:4580;height:737" type="#_x0000_t75" stroked="false">
              <v:imagedata r:id="rId464" o:title=""/>
            </v:shape>
            <v:shape style="position:absolute;left:6674;top:-2861;width:4580;height:737" type="#_x0000_t75" stroked="false">
              <v:imagedata r:id="rId464" o:title=""/>
            </v:shape>
            <v:shape style="position:absolute;left:6674;top:-2497;width:4580;height:946" type="#_x0000_t75" stroked="false">
              <v:imagedata r:id="rId883" o:title=""/>
            </v:shape>
            <v:shape style="position:absolute;left:6674;top:-1767;width:4580;height:581" type="#_x0000_t75" stroked="false">
              <v:imagedata r:id="rId884" o:title=""/>
            </v:shape>
            <v:shape style="position:absolute;left:494;top:-3226;width:3646;height:3118" type="#_x0000_t75" stroked="false">
              <v:imagedata r:id="rId885" o:title=""/>
            </v:shape>
            <v:shape style="position:absolute;left:8186;top:-1558;width:3068;height:732" type="#_x0000_t75" stroked="false">
              <v:imagedata r:id="rId489" o:title=""/>
            </v:shape>
            <v:shape style="position:absolute;left:8186;top:-1193;width:3068;height:372" type="#_x0000_t75" stroked="false">
              <v:imagedata r:id="rId490" o:title=""/>
            </v:shape>
            <v:rect style="position:absolute;left:6679;top:-824;width:1512;height:336" filled="true" fillcolor="#dfdfdf" stroked="false">
              <v:fill type="solid"/>
            </v:rect>
            <v:shape style="position:absolute;left:4132;top:-1193;width:7121;height:1085" type="#_x0000_t75" stroked="false">
              <v:imagedata r:id="rId886" o:title=""/>
            </v:shape>
            <v:shape style="position:absolute;left:494;top:-116;width:5220;height:380" type="#_x0000_t75" stroked="false">
              <v:imagedata r:id="rId480" o:title=""/>
            </v:shape>
            <v:shape style="position:absolute;left:5707;top:-493;width:5547;height:1491" type="#_x0000_t75" stroked="false">
              <v:imagedata r:id="rId640" o:title=""/>
            </v:shape>
            <v:shape style="position:absolute;left:6674;top:626;width:4580;height:1102" type="#_x0000_t75" stroked="false">
              <v:imagedata r:id="rId641" o:title=""/>
            </v:shape>
            <v:shape style="position:absolute;left:6674;top:1355;width:4580;height:737" type="#_x0000_t75" stroked="false">
              <v:imagedata r:id="rId642" o:title=""/>
            </v:shape>
            <v:shape style="position:absolute;left:494;top:261;width:5220;height:2208" type="#_x0000_t75" stroked="false">
              <v:imagedata r:id="rId887" o:title=""/>
            </v:shape>
            <w10:wrap type="none"/>
          </v:group>
        </w:pict>
      </w:r>
      <w:r>
        <w:rPr>
          <w:b/>
          <w:w w:val="105"/>
          <w:sz w:val="14"/>
        </w:rPr>
        <w:t>OTHER OUTGO (excluding Transfers of Indirect Costs)</w:t>
      </w:r>
    </w:p>
    <w:p>
      <w:pPr>
        <w:pStyle w:val="BodyText"/>
        <w:spacing w:before="4"/>
        <w:rPr>
          <w:b/>
          <w:sz w:val="9"/>
        </w:rPr>
      </w:pPr>
    </w:p>
    <w:p>
      <w:pPr>
        <w:spacing w:before="99"/>
        <w:ind w:left="452" w:right="0" w:firstLine="0"/>
        <w:jc w:val="left"/>
        <w:rPr>
          <w:sz w:val="14"/>
        </w:rPr>
      </w:pPr>
      <w:r>
        <w:rPr>
          <w:w w:val="105"/>
          <w:sz w:val="14"/>
        </w:rPr>
        <w:t>Other Transfers Out</w:t>
      </w:r>
    </w:p>
    <w:p>
      <w:pPr>
        <w:pStyle w:val="BodyText"/>
        <w:spacing w:before="1"/>
        <w:rPr>
          <w:sz w:val="9"/>
        </w:rPr>
      </w:pPr>
    </w:p>
    <w:p>
      <w:pPr>
        <w:tabs>
          <w:tab w:pos="5875" w:val="left" w:leader="none"/>
          <w:tab w:pos="7678" w:val="left" w:leader="none"/>
          <w:tab w:pos="9190" w:val="left" w:leader="none"/>
          <w:tab w:pos="10731" w:val="left" w:leader="none"/>
        </w:tabs>
        <w:spacing w:before="99"/>
        <w:ind w:left="533" w:right="0" w:firstLine="0"/>
        <w:jc w:val="left"/>
        <w:rPr>
          <w:sz w:val="14"/>
        </w:rPr>
      </w:pPr>
      <w:r>
        <w:rPr>
          <w:w w:val="105"/>
          <w:sz w:val="14"/>
        </w:rPr>
        <w:t>All</w:t>
      </w:r>
      <w:r>
        <w:rPr>
          <w:spacing w:val="-9"/>
          <w:w w:val="105"/>
          <w:sz w:val="14"/>
        </w:rPr>
        <w:t> </w:t>
      </w:r>
      <w:r>
        <w:rPr>
          <w:w w:val="105"/>
          <w:sz w:val="14"/>
        </w:rPr>
        <w:t>Other</w:t>
      </w:r>
      <w:r>
        <w:rPr>
          <w:spacing w:val="-6"/>
          <w:w w:val="105"/>
          <w:sz w:val="14"/>
        </w:rPr>
        <w:t> </w:t>
      </w:r>
      <w:r>
        <w:rPr>
          <w:w w:val="105"/>
          <w:sz w:val="14"/>
        </w:rPr>
        <w:t>Transfers</w:t>
      </w:r>
      <w:r>
        <w:rPr>
          <w:spacing w:val="-7"/>
          <w:w w:val="105"/>
          <w:sz w:val="14"/>
        </w:rPr>
        <w:t> </w:t>
      </w:r>
      <w:r>
        <w:rPr>
          <w:w w:val="105"/>
          <w:sz w:val="14"/>
        </w:rPr>
        <w:t>Out</w:t>
      </w:r>
      <w:r>
        <w:rPr>
          <w:spacing w:val="-5"/>
          <w:w w:val="105"/>
          <w:sz w:val="14"/>
        </w:rPr>
        <w:t> </w:t>
      </w:r>
      <w:r>
        <w:rPr>
          <w:w w:val="105"/>
          <w:sz w:val="14"/>
        </w:rPr>
        <w:t>to</w:t>
      </w:r>
      <w:r>
        <w:rPr>
          <w:spacing w:val="-7"/>
          <w:w w:val="105"/>
          <w:sz w:val="14"/>
        </w:rPr>
        <w:t> </w:t>
      </w:r>
      <w:r>
        <w:rPr>
          <w:w w:val="105"/>
          <w:sz w:val="14"/>
        </w:rPr>
        <w:t>All</w:t>
      </w:r>
      <w:r>
        <w:rPr>
          <w:spacing w:val="-8"/>
          <w:w w:val="105"/>
          <w:sz w:val="14"/>
        </w:rPr>
        <w:t> </w:t>
      </w:r>
      <w:r>
        <w:rPr>
          <w:w w:val="105"/>
          <w:sz w:val="14"/>
        </w:rPr>
        <w:t>Others</w:t>
        <w:tab/>
        <w:t>7299</w:t>
        <w:tab/>
        <w:t>0.00</w:t>
        <w:tab/>
        <w:t>0.00</w:t>
        <w:tab/>
        <w:t>0.0%</w:t>
      </w:r>
    </w:p>
    <w:p>
      <w:pPr>
        <w:pStyle w:val="BodyText"/>
        <w:spacing w:before="1"/>
        <w:rPr>
          <w:sz w:val="9"/>
        </w:rPr>
      </w:pPr>
    </w:p>
    <w:p>
      <w:pPr>
        <w:spacing w:before="99"/>
        <w:ind w:left="452" w:right="0" w:firstLine="0"/>
        <w:jc w:val="left"/>
        <w:rPr>
          <w:sz w:val="14"/>
        </w:rPr>
      </w:pPr>
      <w:r>
        <w:rPr/>
        <w:pict>
          <v:group style="position:absolute;margin-left:24.719999pt;margin-top:31.195917pt;width:538pt;height:64.1pt;mso-position-horizontal-relative:page;mso-position-vertical-relative:paragraph;z-index:-314286080" coordorigin="494,624" coordsize="10760,1282">
            <v:shape style="position:absolute;left:5707;top:623;width:5547;height:749" type="#_x0000_t75" stroked="false">
              <v:imagedata r:id="rId888" o:title=""/>
            </v:shape>
            <v:shape style="position:absolute;left:494;top:1365;width:3646;height:540" type="#_x0000_t75" stroked="false">
              <v:imagedata r:id="rId496" o:title=""/>
            </v:shape>
            <v:shape style="position:absolute;left:4132;top:988;width:7121;height:917" type="#_x0000_t75" stroked="false">
              <v:imagedata r:id="rId889" o:title=""/>
            </v:shape>
            <v:shape style="position:absolute;left:8186;top:1562;width:3068;height:344" type="#_x0000_t75" stroked="false">
              <v:imagedata r:id="rId646" o:title=""/>
            </v:shape>
            <w10:wrap type="none"/>
          </v:group>
        </w:pict>
      </w:r>
      <w:r>
        <w:rPr>
          <w:w w:val="105"/>
          <w:sz w:val="14"/>
        </w:rPr>
        <w:t>Debt Service</w:t>
      </w:r>
    </w:p>
    <w:p>
      <w:pPr>
        <w:pStyle w:val="BodyText"/>
        <w:spacing w:before="10"/>
        <w:rPr>
          <w:sz w:val="17"/>
        </w:rPr>
      </w:pPr>
    </w:p>
    <w:tbl>
      <w:tblPr>
        <w:tblW w:w="0" w:type="auto"/>
        <w:jc w:val="left"/>
        <w:tblInd w:w="3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91"/>
        <w:gridCol w:w="1723"/>
        <w:gridCol w:w="1637"/>
        <w:gridCol w:w="1525"/>
        <w:gridCol w:w="1006"/>
      </w:tblGrid>
      <w:tr>
        <w:trPr>
          <w:trHeight w:val="262" w:hRule="atLeast"/>
        </w:trPr>
        <w:tc>
          <w:tcPr>
            <w:tcW w:w="4891" w:type="dxa"/>
          </w:tcPr>
          <w:p>
            <w:pPr>
              <w:pStyle w:val="TableParagraph"/>
              <w:spacing w:line="160" w:lineRule="exact"/>
              <w:ind w:left="213"/>
              <w:rPr>
                <w:sz w:val="14"/>
              </w:rPr>
            </w:pPr>
            <w:r>
              <w:rPr>
                <w:w w:val="105"/>
                <w:sz w:val="14"/>
              </w:rPr>
              <w:t>Debt Service - Interest</w:t>
            </w:r>
          </w:p>
        </w:tc>
        <w:tc>
          <w:tcPr>
            <w:tcW w:w="1723" w:type="dxa"/>
          </w:tcPr>
          <w:p>
            <w:pPr>
              <w:pStyle w:val="TableParagraph"/>
              <w:spacing w:line="160" w:lineRule="exact"/>
              <w:ind w:left="664"/>
              <w:rPr>
                <w:sz w:val="14"/>
              </w:rPr>
            </w:pPr>
            <w:r>
              <w:rPr>
                <w:w w:val="105"/>
                <w:sz w:val="14"/>
              </w:rPr>
              <w:t>7438</w:t>
            </w:r>
          </w:p>
        </w:tc>
        <w:tc>
          <w:tcPr>
            <w:tcW w:w="1637" w:type="dxa"/>
          </w:tcPr>
          <w:p>
            <w:pPr>
              <w:pStyle w:val="TableParagraph"/>
              <w:spacing w:line="160" w:lineRule="exact"/>
              <w:ind w:right="612"/>
              <w:jc w:val="right"/>
              <w:rPr>
                <w:sz w:val="14"/>
              </w:rPr>
            </w:pPr>
            <w:r>
              <w:rPr>
                <w:sz w:val="14"/>
              </w:rPr>
              <w:t>0.00</w:t>
            </w:r>
          </w:p>
        </w:tc>
        <w:tc>
          <w:tcPr>
            <w:tcW w:w="1525" w:type="dxa"/>
          </w:tcPr>
          <w:p>
            <w:pPr>
              <w:pStyle w:val="TableParagraph"/>
              <w:spacing w:line="160" w:lineRule="exact"/>
              <w:ind w:left="595" w:right="601"/>
              <w:jc w:val="center"/>
              <w:rPr>
                <w:sz w:val="14"/>
              </w:rPr>
            </w:pPr>
            <w:r>
              <w:rPr>
                <w:w w:val="105"/>
                <w:sz w:val="14"/>
              </w:rPr>
              <w:t>0.00</w:t>
            </w:r>
          </w:p>
        </w:tc>
        <w:tc>
          <w:tcPr>
            <w:tcW w:w="1006" w:type="dxa"/>
          </w:tcPr>
          <w:p>
            <w:pPr>
              <w:pStyle w:val="TableParagraph"/>
              <w:spacing w:line="160" w:lineRule="exact"/>
              <w:ind w:right="42"/>
              <w:jc w:val="right"/>
              <w:rPr>
                <w:sz w:val="14"/>
              </w:rPr>
            </w:pPr>
            <w:r>
              <w:rPr>
                <w:sz w:val="14"/>
              </w:rPr>
              <w:t>0.0%</w:t>
            </w:r>
          </w:p>
        </w:tc>
      </w:tr>
      <w:tr>
        <w:trPr>
          <w:trHeight w:val="370" w:hRule="atLeast"/>
        </w:trPr>
        <w:tc>
          <w:tcPr>
            <w:tcW w:w="4891" w:type="dxa"/>
          </w:tcPr>
          <w:p>
            <w:pPr>
              <w:pStyle w:val="TableParagraph"/>
              <w:spacing w:before="101"/>
              <w:ind w:left="213"/>
              <w:rPr>
                <w:sz w:val="14"/>
              </w:rPr>
            </w:pPr>
            <w:r>
              <w:rPr>
                <w:w w:val="105"/>
                <w:sz w:val="14"/>
              </w:rPr>
              <w:t>Other Debt Service - Principal</w:t>
            </w:r>
          </w:p>
        </w:tc>
        <w:tc>
          <w:tcPr>
            <w:tcW w:w="1723" w:type="dxa"/>
          </w:tcPr>
          <w:p>
            <w:pPr>
              <w:pStyle w:val="TableParagraph"/>
              <w:spacing w:before="101"/>
              <w:ind w:left="664"/>
              <w:rPr>
                <w:sz w:val="14"/>
              </w:rPr>
            </w:pPr>
            <w:r>
              <w:rPr>
                <w:w w:val="105"/>
                <w:sz w:val="14"/>
              </w:rPr>
              <w:t>7439</w:t>
            </w:r>
          </w:p>
        </w:tc>
        <w:tc>
          <w:tcPr>
            <w:tcW w:w="1637" w:type="dxa"/>
          </w:tcPr>
          <w:p>
            <w:pPr>
              <w:pStyle w:val="TableParagraph"/>
              <w:spacing w:before="101"/>
              <w:ind w:right="612"/>
              <w:jc w:val="right"/>
              <w:rPr>
                <w:sz w:val="14"/>
              </w:rPr>
            </w:pPr>
            <w:r>
              <w:rPr>
                <w:sz w:val="14"/>
              </w:rPr>
              <w:t>0.00</w:t>
            </w:r>
          </w:p>
        </w:tc>
        <w:tc>
          <w:tcPr>
            <w:tcW w:w="1525" w:type="dxa"/>
          </w:tcPr>
          <w:p>
            <w:pPr>
              <w:pStyle w:val="TableParagraph"/>
              <w:spacing w:before="101"/>
              <w:ind w:left="595" w:right="601"/>
              <w:jc w:val="center"/>
              <w:rPr>
                <w:sz w:val="14"/>
              </w:rPr>
            </w:pPr>
            <w:r>
              <w:rPr>
                <w:w w:val="105"/>
                <w:sz w:val="14"/>
              </w:rPr>
              <w:t>0.00</w:t>
            </w:r>
          </w:p>
        </w:tc>
        <w:tc>
          <w:tcPr>
            <w:tcW w:w="1006" w:type="dxa"/>
          </w:tcPr>
          <w:p>
            <w:pPr>
              <w:pStyle w:val="TableParagraph"/>
              <w:spacing w:before="101"/>
              <w:ind w:right="42"/>
              <w:jc w:val="right"/>
              <w:rPr>
                <w:sz w:val="14"/>
              </w:rPr>
            </w:pPr>
            <w:r>
              <w:rPr>
                <w:sz w:val="14"/>
              </w:rPr>
              <w:t>0.0%</w:t>
            </w:r>
          </w:p>
        </w:tc>
      </w:tr>
      <w:tr>
        <w:trPr>
          <w:trHeight w:val="451" w:hRule="atLeast"/>
        </w:trPr>
        <w:tc>
          <w:tcPr>
            <w:tcW w:w="4891" w:type="dxa"/>
          </w:tcPr>
          <w:p>
            <w:pPr>
              <w:pStyle w:val="TableParagraph"/>
              <w:spacing w:before="107"/>
              <w:ind w:left="131"/>
              <w:rPr>
                <w:sz w:val="14"/>
              </w:rPr>
            </w:pPr>
            <w:r>
              <w:rPr>
                <w:w w:val="105"/>
                <w:sz w:val="14"/>
              </w:rPr>
              <w:t>TOTAL, OTHER OUTGO (excluding Transfers of Indirect Costs)</w:t>
            </w:r>
          </w:p>
        </w:tc>
        <w:tc>
          <w:tcPr>
            <w:tcW w:w="1723" w:type="dxa"/>
          </w:tcPr>
          <w:p>
            <w:pPr>
              <w:pStyle w:val="TableParagraph"/>
              <w:rPr>
                <w:rFonts w:ascii="Times New Roman"/>
                <w:sz w:val="14"/>
              </w:rPr>
            </w:pPr>
          </w:p>
        </w:tc>
        <w:tc>
          <w:tcPr>
            <w:tcW w:w="1637" w:type="dxa"/>
          </w:tcPr>
          <w:p>
            <w:pPr>
              <w:pStyle w:val="TableParagraph"/>
              <w:spacing w:before="107"/>
              <w:ind w:right="612"/>
              <w:jc w:val="right"/>
              <w:rPr>
                <w:sz w:val="14"/>
              </w:rPr>
            </w:pPr>
            <w:r>
              <w:rPr>
                <w:sz w:val="14"/>
              </w:rPr>
              <w:t>0.00</w:t>
            </w:r>
          </w:p>
        </w:tc>
        <w:tc>
          <w:tcPr>
            <w:tcW w:w="1525" w:type="dxa"/>
          </w:tcPr>
          <w:p>
            <w:pPr>
              <w:pStyle w:val="TableParagraph"/>
              <w:spacing w:before="107"/>
              <w:ind w:left="595" w:right="601"/>
              <w:jc w:val="center"/>
              <w:rPr>
                <w:sz w:val="14"/>
              </w:rPr>
            </w:pPr>
            <w:r>
              <w:rPr>
                <w:w w:val="105"/>
                <w:sz w:val="14"/>
              </w:rPr>
              <w:t>0.00</w:t>
            </w:r>
          </w:p>
        </w:tc>
        <w:tc>
          <w:tcPr>
            <w:tcW w:w="1006" w:type="dxa"/>
          </w:tcPr>
          <w:p>
            <w:pPr>
              <w:pStyle w:val="TableParagraph"/>
              <w:spacing w:before="107"/>
              <w:ind w:right="42"/>
              <w:jc w:val="right"/>
              <w:rPr>
                <w:sz w:val="14"/>
              </w:rPr>
            </w:pPr>
            <w:r>
              <w:rPr>
                <w:sz w:val="14"/>
              </w:rPr>
              <w:t>0.0%</w:t>
            </w:r>
          </w:p>
        </w:tc>
      </w:tr>
      <w:tr>
        <w:trPr>
          <w:trHeight w:val="343" w:hRule="atLeast"/>
        </w:trPr>
        <w:tc>
          <w:tcPr>
            <w:tcW w:w="4891" w:type="dxa"/>
          </w:tcPr>
          <w:p>
            <w:pPr>
              <w:pStyle w:val="TableParagraph"/>
              <w:spacing w:before="8"/>
              <w:rPr>
                <w:sz w:val="15"/>
              </w:rPr>
            </w:pPr>
          </w:p>
          <w:p>
            <w:pPr>
              <w:pStyle w:val="TableParagraph"/>
              <w:spacing w:line="142" w:lineRule="exact" w:before="1"/>
              <w:ind w:left="50"/>
              <w:rPr>
                <w:sz w:val="14"/>
              </w:rPr>
            </w:pPr>
            <w:r>
              <w:rPr>
                <w:w w:val="105"/>
                <w:sz w:val="14"/>
              </w:rPr>
              <w:t>TOTAL, EXPENDITURES</w:t>
            </w:r>
          </w:p>
        </w:tc>
        <w:tc>
          <w:tcPr>
            <w:tcW w:w="1723" w:type="dxa"/>
          </w:tcPr>
          <w:p>
            <w:pPr>
              <w:pStyle w:val="TableParagraph"/>
              <w:rPr>
                <w:rFonts w:ascii="Times New Roman"/>
                <w:sz w:val="14"/>
              </w:rPr>
            </w:pPr>
          </w:p>
        </w:tc>
        <w:tc>
          <w:tcPr>
            <w:tcW w:w="1637" w:type="dxa"/>
          </w:tcPr>
          <w:p>
            <w:pPr>
              <w:pStyle w:val="TableParagraph"/>
              <w:spacing w:before="8"/>
              <w:rPr>
                <w:sz w:val="15"/>
              </w:rPr>
            </w:pPr>
          </w:p>
          <w:p>
            <w:pPr>
              <w:pStyle w:val="TableParagraph"/>
              <w:spacing w:line="142" w:lineRule="exact" w:before="1"/>
              <w:ind w:right="612"/>
              <w:jc w:val="right"/>
              <w:rPr>
                <w:sz w:val="14"/>
              </w:rPr>
            </w:pPr>
            <w:r>
              <w:rPr>
                <w:sz w:val="14"/>
              </w:rPr>
              <w:t>0.00</w:t>
            </w:r>
          </w:p>
        </w:tc>
        <w:tc>
          <w:tcPr>
            <w:tcW w:w="1525" w:type="dxa"/>
          </w:tcPr>
          <w:p>
            <w:pPr>
              <w:pStyle w:val="TableParagraph"/>
              <w:spacing w:before="8"/>
              <w:rPr>
                <w:sz w:val="15"/>
              </w:rPr>
            </w:pPr>
          </w:p>
          <w:p>
            <w:pPr>
              <w:pStyle w:val="TableParagraph"/>
              <w:spacing w:line="142" w:lineRule="exact" w:before="1"/>
              <w:ind w:left="595" w:right="601"/>
              <w:jc w:val="center"/>
              <w:rPr>
                <w:sz w:val="14"/>
              </w:rPr>
            </w:pPr>
            <w:r>
              <w:rPr>
                <w:w w:val="105"/>
                <w:sz w:val="14"/>
              </w:rPr>
              <w:t>0.00</w:t>
            </w:r>
          </w:p>
        </w:tc>
        <w:tc>
          <w:tcPr>
            <w:tcW w:w="1006" w:type="dxa"/>
          </w:tcPr>
          <w:p>
            <w:pPr>
              <w:pStyle w:val="TableParagraph"/>
              <w:spacing w:before="8"/>
              <w:rPr>
                <w:sz w:val="15"/>
              </w:rPr>
            </w:pPr>
          </w:p>
          <w:p>
            <w:pPr>
              <w:pStyle w:val="TableParagraph"/>
              <w:spacing w:line="142" w:lineRule="exact" w:before="1"/>
              <w:ind w:right="42"/>
              <w:jc w:val="right"/>
              <w:rPr>
                <w:sz w:val="14"/>
              </w:rPr>
            </w:pPr>
            <w:r>
              <w:rPr>
                <w:sz w:val="14"/>
              </w:rPr>
              <w:t>0.0%</w:t>
            </w:r>
          </w:p>
        </w:tc>
      </w:tr>
    </w:tbl>
    <w:p>
      <w:pPr>
        <w:spacing w:after="0" w:line="142" w:lineRule="exact"/>
        <w:jc w:val="right"/>
        <w:rPr>
          <w:sz w:val="14"/>
        </w:rPr>
        <w:sectPr>
          <w:pgSz w:w="12240" w:h="15840"/>
          <w:pgMar w:header="651" w:footer="437" w:top="1240" w:bottom="620" w:left="160" w:right="180"/>
        </w:sectPr>
      </w:pPr>
    </w:p>
    <w:p>
      <w:pPr>
        <w:pStyle w:val="BodyText"/>
        <w:rPr>
          <w:sz w:val="20"/>
        </w:rPr>
      </w:pPr>
    </w:p>
    <w:p>
      <w:pPr>
        <w:pStyle w:val="BodyText"/>
        <w:rPr>
          <w:sz w:val="20"/>
        </w:rPr>
      </w:pPr>
    </w:p>
    <w:p>
      <w:pPr>
        <w:pStyle w:val="BodyText"/>
        <w:rPr>
          <w:sz w:val="18"/>
        </w:rPr>
      </w:pPr>
    </w:p>
    <w:p>
      <w:pPr>
        <w:spacing w:after="0"/>
        <w:rPr>
          <w:sz w:val="18"/>
        </w:rPr>
        <w:sectPr>
          <w:pgSz w:w="12240" w:h="15840"/>
          <w:pgMar w:header="651" w:footer="437" w:top="1240" w:bottom="620" w:left="160" w:right="180"/>
        </w:sectPr>
      </w:pPr>
    </w:p>
    <w:p>
      <w:pPr>
        <w:pStyle w:val="BodyText"/>
        <w:spacing w:before="2"/>
        <w:rPr>
          <w:sz w:val="23"/>
        </w:rPr>
      </w:pPr>
    </w:p>
    <w:p>
      <w:pPr>
        <w:tabs>
          <w:tab w:pos="4198" w:val="left" w:leader="none"/>
          <w:tab w:pos="5571" w:val="left" w:leader="none"/>
        </w:tabs>
        <w:spacing w:before="0"/>
        <w:ind w:left="370" w:right="0" w:firstLine="0"/>
        <w:jc w:val="left"/>
        <w:rPr>
          <w:b/>
          <w:sz w:val="14"/>
        </w:rPr>
      </w:pPr>
      <w:r>
        <w:rPr>
          <w:b/>
          <w:w w:val="105"/>
          <w:sz w:val="14"/>
        </w:rPr>
        <w:t>Description</w:t>
        <w:tab/>
        <w:t>Resource</w:t>
      </w:r>
      <w:r>
        <w:rPr>
          <w:b/>
          <w:spacing w:val="-12"/>
          <w:w w:val="105"/>
          <w:sz w:val="14"/>
        </w:rPr>
        <w:t> </w:t>
      </w:r>
      <w:r>
        <w:rPr>
          <w:b/>
          <w:w w:val="105"/>
          <w:sz w:val="14"/>
        </w:rPr>
        <w:t>Codes</w:t>
        <w:tab/>
        <w:t>Object</w:t>
      </w:r>
      <w:r>
        <w:rPr>
          <w:b/>
          <w:spacing w:val="-14"/>
          <w:w w:val="105"/>
          <w:sz w:val="14"/>
        </w:rPr>
        <w:t> </w:t>
      </w:r>
      <w:r>
        <w:rPr>
          <w:b/>
          <w:spacing w:val="-4"/>
          <w:w w:val="105"/>
          <w:sz w:val="14"/>
        </w:rPr>
        <w:t>Codes</w:t>
      </w:r>
    </w:p>
    <w:p>
      <w:pPr>
        <w:spacing w:before="99"/>
        <w:ind w:left="83" w:right="0" w:firstLine="0"/>
        <w:jc w:val="center"/>
        <w:rPr>
          <w:b/>
          <w:sz w:val="14"/>
        </w:rPr>
      </w:pPr>
      <w:r>
        <w:rPr/>
        <w:br w:type="column"/>
      </w:r>
      <w:r>
        <w:rPr>
          <w:b/>
          <w:w w:val="105"/>
          <w:sz w:val="14"/>
        </w:rPr>
        <w:t>2020-21</w:t>
      </w:r>
    </w:p>
    <w:p>
      <w:pPr>
        <w:spacing w:before="7"/>
        <w:ind w:left="83" w:right="3" w:firstLine="0"/>
        <w:jc w:val="center"/>
        <w:rPr>
          <w:b/>
          <w:sz w:val="14"/>
        </w:rPr>
      </w:pPr>
      <w:r>
        <w:rPr>
          <w:b/>
          <w:w w:val="105"/>
          <w:sz w:val="14"/>
        </w:rPr>
        <w:t>Estimated Actuals</w:t>
      </w:r>
    </w:p>
    <w:p>
      <w:pPr>
        <w:spacing w:before="99"/>
        <w:ind w:left="370" w:right="0" w:firstLine="0"/>
        <w:jc w:val="left"/>
        <w:rPr>
          <w:b/>
          <w:sz w:val="14"/>
        </w:rPr>
      </w:pPr>
      <w:r>
        <w:rPr/>
        <w:br w:type="column"/>
      </w:r>
      <w:r>
        <w:rPr>
          <w:b/>
          <w:w w:val="105"/>
          <w:sz w:val="14"/>
        </w:rPr>
        <w:t>2021-22</w:t>
      </w:r>
    </w:p>
    <w:p>
      <w:pPr>
        <w:spacing w:before="7"/>
        <w:ind w:left="382" w:right="0" w:firstLine="0"/>
        <w:jc w:val="left"/>
        <w:rPr>
          <w:b/>
          <w:sz w:val="14"/>
        </w:rPr>
      </w:pPr>
      <w:r>
        <w:rPr>
          <w:b/>
          <w:w w:val="105"/>
          <w:sz w:val="14"/>
        </w:rPr>
        <w:t>Budget</w:t>
      </w:r>
    </w:p>
    <w:p>
      <w:pPr>
        <w:spacing w:line="249" w:lineRule="auto" w:before="99"/>
        <w:ind w:left="370" w:right="1227" w:firstLine="86"/>
        <w:jc w:val="left"/>
        <w:rPr>
          <w:b/>
          <w:sz w:val="14"/>
        </w:rPr>
      </w:pPr>
      <w:r>
        <w:rPr/>
        <w:br w:type="column"/>
      </w:r>
      <w:r>
        <w:rPr>
          <w:b/>
          <w:w w:val="105"/>
          <w:sz w:val="14"/>
        </w:rPr>
        <w:t>Percent </w:t>
      </w:r>
      <w:r>
        <w:rPr>
          <w:b/>
          <w:sz w:val="14"/>
        </w:rPr>
        <w:t>Difference</w:t>
      </w:r>
    </w:p>
    <w:p>
      <w:pPr>
        <w:spacing w:after="0" w:line="249" w:lineRule="auto"/>
        <w:jc w:val="left"/>
        <w:rPr>
          <w:sz w:val="14"/>
        </w:rPr>
        <w:sectPr>
          <w:type w:val="continuous"/>
          <w:pgSz w:w="12240" w:h="15840"/>
          <w:pgMar w:top="1500" w:bottom="840" w:left="160" w:right="180"/>
          <w:cols w:num="4" w:equalWidth="0">
            <w:col w:w="6498" w:space="40"/>
            <w:col w:w="1402" w:space="220"/>
            <w:col w:w="935" w:space="503"/>
            <w:col w:w="2302"/>
          </w:cols>
        </w:sectPr>
      </w:pPr>
    </w:p>
    <w:p>
      <w:pPr>
        <w:pStyle w:val="BodyText"/>
        <w:spacing w:before="7"/>
        <w:rPr>
          <w:b/>
          <w:sz w:val="9"/>
        </w:rPr>
      </w:pPr>
    </w:p>
    <w:p>
      <w:pPr>
        <w:spacing w:before="99"/>
        <w:ind w:left="370" w:right="0" w:firstLine="0"/>
        <w:jc w:val="left"/>
        <w:rPr>
          <w:b/>
          <w:sz w:val="14"/>
        </w:rPr>
      </w:pPr>
      <w:r>
        <w:rPr>
          <w:b/>
          <w:w w:val="105"/>
          <w:sz w:val="14"/>
        </w:rPr>
        <w:t>INTERFUND TRANSFERS</w:t>
      </w:r>
    </w:p>
    <w:p>
      <w:pPr>
        <w:pStyle w:val="BodyText"/>
        <w:spacing w:before="3"/>
        <w:rPr>
          <w:b/>
          <w:sz w:val="27"/>
        </w:rPr>
      </w:pPr>
    </w:p>
    <w:p>
      <w:pPr>
        <w:spacing w:before="99"/>
        <w:ind w:left="452" w:right="0" w:firstLine="0"/>
        <w:jc w:val="left"/>
        <w:rPr>
          <w:b/>
          <w:sz w:val="14"/>
        </w:rPr>
      </w:pPr>
      <w:r>
        <w:rPr>
          <w:b/>
          <w:w w:val="105"/>
          <w:sz w:val="14"/>
        </w:rPr>
        <w:t>INTERFUND TRANSFERS IN</w:t>
      </w:r>
    </w:p>
    <w:p>
      <w:pPr>
        <w:pStyle w:val="BodyText"/>
        <w:rPr>
          <w:b/>
          <w:sz w:val="20"/>
        </w:rPr>
      </w:pPr>
    </w:p>
    <w:p>
      <w:pPr>
        <w:pStyle w:val="BodyText"/>
        <w:spacing w:before="2"/>
        <w:rPr>
          <w:b/>
          <w:sz w:val="15"/>
        </w:rPr>
      </w:pPr>
    </w:p>
    <w:tbl>
      <w:tblPr>
        <w:tblW w:w="0" w:type="auto"/>
        <w:jc w:val="left"/>
        <w:tblInd w:w="4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90"/>
        <w:gridCol w:w="2344"/>
        <w:gridCol w:w="1638"/>
        <w:gridCol w:w="1526"/>
        <w:gridCol w:w="1007"/>
      </w:tblGrid>
      <w:tr>
        <w:trPr>
          <w:trHeight w:val="268" w:hRule="atLeast"/>
        </w:trPr>
        <w:tc>
          <w:tcPr>
            <w:tcW w:w="4190" w:type="dxa"/>
          </w:tcPr>
          <w:p>
            <w:pPr>
              <w:pStyle w:val="TableParagraph"/>
              <w:spacing w:line="160" w:lineRule="exact"/>
              <w:ind w:left="131"/>
              <w:rPr>
                <w:sz w:val="14"/>
              </w:rPr>
            </w:pPr>
            <w:r>
              <w:rPr>
                <w:w w:val="105"/>
                <w:sz w:val="14"/>
              </w:rPr>
              <w:t>Other Authorized Interfund Transfers In</w:t>
            </w:r>
          </w:p>
        </w:tc>
        <w:tc>
          <w:tcPr>
            <w:tcW w:w="2344" w:type="dxa"/>
          </w:tcPr>
          <w:p>
            <w:pPr>
              <w:pStyle w:val="TableParagraph"/>
              <w:spacing w:line="160" w:lineRule="exact"/>
              <w:ind w:right="740"/>
              <w:jc w:val="right"/>
              <w:rPr>
                <w:sz w:val="14"/>
              </w:rPr>
            </w:pPr>
            <w:r>
              <w:rPr>
                <w:sz w:val="14"/>
              </w:rPr>
              <w:t>8919</w:t>
            </w:r>
          </w:p>
        </w:tc>
        <w:tc>
          <w:tcPr>
            <w:tcW w:w="1638" w:type="dxa"/>
          </w:tcPr>
          <w:p>
            <w:pPr>
              <w:pStyle w:val="TableParagraph"/>
              <w:spacing w:line="160" w:lineRule="exact"/>
              <w:ind w:right="614"/>
              <w:jc w:val="right"/>
              <w:rPr>
                <w:sz w:val="14"/>
              </w:rPr>
            </w:pPr>
            <w:r>
              <w:rPr>
                <w:sz w:val="14"/>
              </w:rPr>
              <w:t>0.00</w:t>
            </w:r>
          </w:p>
        </w:tc>
        <w:tc>
          <w:tcPr>
            <w:tcW w:w="1526" w:type="dxa"/>
          </w:tcPr>
          <w:p>
            <w:pPr>
              <w:pStyle w:val="TableParagraph"/>
              <w:spacing w:line="160" w:lineRule="exact"/>
              <w:ind w:left="592" w:right="604"/>
              <w:jc w:val="center"/>
              <w:rPr>
                <w:sz w:val="14"/>
              </w:rPr>
            </w:pPr>
            <w:r>
              <w:rPr>
                <w:w w:val="105"/>
                <w:sz w:val="14"/>
              </w:rPr>
              <w:t>0.00</w:t>
            </w:r>
          </w:p>
        </w:tc>
        <w:tc>
          <w:tcPr>
            <w:tcW w:w="1007" w:type="dxa"/>
          </w:tcPr>
          <w:p>
            <w:pPr>
              <w:pStyle w:val="TableParagraph"/>
              <w:spacing w:line="160" w:lineRule="exact"/>
              <w:ind w:right="47"/>
              <w:jc w:val="right"/>
              <w:rPr>
                <w:sz w:val="14"/>
              </w:rPr>
            </w:pPr>
            <w:r>
              <w:rPr>
                <w:sz w:val="14"/>
              </w:rPr>
              <w:t>0.0%</w:t>
            </w:r>
          </w:p>
        </w:tc>
      </w:tr>
      <w:tr>
        <w:trPr>
          <w:trHeight w:val="375" w:hRule="atLeast"/>
        </w:trPr>
        <w:tc>
          <w:tcPr>
            <w:tcW w:w="4190" w:type="dxa"/>
          </w:tcPr>
          <w:p>
            <w:pPr>
              <w:pStyle w:val="TableParagraph"/>
              <w:spacing w:before="107"/>
              <w:ind w:left="50"/>
              <w:rPr>
                <w:sz w:val="14"/>
              </w:rPr>
            </w:pPr>
            <w:r>
              <w:rPr>
                <w:w w:val="105"/>
                <w:sz w:val="14"/>
              </w:rPr>
              <w:t>(a) TOTAL, INTERFUND TRANSFERS IN</w:t>
            </w:r>
          </w:p>
        </w:tc>
        <w:tc>
          <w:tcPr>
            <w:tcW w:w="2344" w:type="dxa"/>
          </w:tcPr>
          <w:p>
            <w:pPr>
              <w:pStyle w:val="TableParagraph"/>
              <w:rPr>
                <w:rFonts w:ascii="Times New Roman"/>
                <w:sz w:val="14"/>
              </w:rPr>
            </w:pPr>
          </w:p>
        </w:tc>
        <w:tc>
          <w:tcPr>
            <w:tcW w:w="1638" w:type="dxa"/>
          </w:tcPr>
          <w:p>
            <w:pPr>
              <w:pStyle w:val="TableParagraph"/>
              <w:spacing w:before="107"/>
              <w:ind w:right="614"/>
              <w:jc w:val="right"/>
              <w:rPr>
                <w:sz w:val="14"/>
              </w:rPr>
            </w:pPr>
            <w:r>
              <w:rPr>
                <w:sz w:val="14"/>
              </w:rPr>
              <w:t>0.00</w:t>
            </w:r>
          </w:p>
        </w:tc>
        <w:tc>
          <w:tcPr>
            <w:tcW w:w="1526" w:type="dxa"/>
          </w:tcPr>
          <w:p>
            <w:pPr>
              <w:pStyle w:val="TableParagraph"/>
              <w:spacing w:before="107"/>
              <w:ind w:left="592" w:right="604"/>
              <w:jc w:val="center"/>
              <w:rPr>
                <w:sz w:val="14"/>
              </w:rPr>
            </w:pPr>
            <w:r>
              <w:rPr>
                <w:w w:val="105"/>
                <w:sz w:val="14"/>
              </w:rPr>
              <w:t>0.00</w:t>
            </w:r>
          </w:p>
        </w:tc>
        <w:tc>
          <w:tcPr>
            <w:tcW w:w="1007" w:type="dxa"/>
          </w:tcPr>
          <w:p>
            <w:pPr>
              <w:pStyle w:val="TableParagraph"/>
              <w:spacing w:before="107"/>
              <w:ind w:right="47"/>
              <w:jc w:val="right"/>
              <w:rPr>
                <w:sz w:val="14"/>
              </w:rPr>
            </w:pPr>
            <w:r>
              <w:rPr>
                <w:sz w:val="14"/>
              </w:rPr>
              <w:t>0.0%</w:t>
            </w:r>
          </w:p>
        </w:tc>
      </w:tr>
      <w:tr>
        <w:trPr>
          <w:trHeight w:val="469" w:hRule="atLeast"/>
        </w:trPr>
        <w:tc>
          <w:tcPr>
            <w:tcW w:w="4190" w:type="dxa"/>
          </w:tcPr>
          <w:p>
            <w:pPr>
              <w:pStyle w:val="TableParagraph"/>
              <w:spacing w:before="105"/>
              <w:ind w:left="50"/>
              <w:rPr>
                <w:b/>
                <w:sz w:val="14"/>
              </w:rPr>
            </w:pPr>
            <w:r>
              <w:rPr>
                <w:b/>
                <w:w w:val="105"/>
                <w:sz w:val="14"/>
              </w:rPr>
              <w:t>INTERFUND TRANSFERS OUT</w:t>
            </w:r>
          </w:p>
        </w:tc>
        <w:tc>
          <w:tcPr>
            <w:tcW w:w="2344" w:type="dxa"/>
          </w:tcPr>
          <w:p>
            <w:pPr>
              <w:pStyle w:val="TableParagraph"/>
              <w:rPr>
                <w:rFonts w:ascii="Times New Roman"/>
                <w:sz w:val="14"/>
              </w:rPr>
            </w:pPr>
          </w:p>
        </w:tc>
        <w:tc>
          <w:tcPr>
            <w:tcW w:w="1638" w:type="dxa"/>
          </w:tcPr>
          <w:p>
            <w:pPr>
              <w:pStyle w:val="TableParagraph"/>
              <w:rPr>
                <w:rFonts w:ascii="Times New Roman"/>
                <w:sz w:val="14"/>
              </w:rPr>
            </w:pPr>
          </w:p>
        </w:tc>
        <w:tc>
          <w:tcPr>
            <w:tcW w:w="1526" w:type="dxa"/>
          </w:tcPr>
          <w:p>
            <w:pPr>
              <w:pStyle w:val="TableParagraph"/>
              <w:rPr>
                <w:rFonts w:ascii="Times New Roman"/>
                <w:sz w:val="14"/>
              </w:rPr>
            </w:pPr>
          </w:p>
        </w:tc>
        <w:tc>
          <w:tcPr>
            <w:tcW w:w="1007" w:type="dxa"/>
          </w:tcPr>
          <w:p>
            <w:pPr>
              <w:pStyle w:val="TableParagraph"/>
              <w:rPr>
                <w:rFonts w:ascii="Times New Roman"/>
                <w:sz w:val="14"/>
              </w:rPr>
            </w:pPr>
          </w:p>
        </w:tc>
      </w:tr>
      <w:tr>
        <w:trPr>
          <w:trHeight w:val="661" w:hRule="atLeast"/>
        </w:trPr>
        <w:tc>
          <w:tcPr>
            <w:tcW w:w="4190" w:type="dxa"/>
          </w:tcPr>
          <w:p>
            <w:pPr>
              <w:pStyle w:val="TableParagraph"/>
              <w:spacing w:before="5"/>
              <w:rPr>
                <w:b/>
                <w:sz w:val="17"/>
              </w:rPr>
            </w:pPr>
          </w:p>
          <w:p>
            <w:pPr>
              <w:pStyle w:val="TableParagraph"/>
              <w:spacing w:line="292" w:lineRule="auto"/>
              <w:ind w:left="171" w:right="1971" w:hanging="40"/>
              <w:rPr>
                <w:sz w:val="14"/>
              </w:rPr>
            </w:pPr>
            <w:r>
              <w:rPr>
                <w:w w:val="105"/>
                <w:sz w:val="14"/>
              </w:rPr>
              <w:t>To: State School Building Fund/ County School Facilities Fund</w:t>
            </w:r>
          </w:p>
        </w:tc>
        <w:tc>
          <w:tcPr>
            <w:tcW w:w="2344" w:type="dxa"/>
          </w:tcPr>
          <w:p>
            <w:pPr>
              <w:pStyle w:val="TableParagraph"/>
              <w:rPr>
                <w:b/>
                <w:sz w:val="16"/>
              </w:rPr>
            </w:pPr>
          </w:p>
          <w:p>
            <w:pPr>
              <w:pStyle w:val="TableParagraph"/>
              <w:spacing w:before="6"/>
              <w:rPr>
                <w:b/>
                <w:sz w:val="18"/>
              </w:rPr>
            </w:pPr>
          </w:p>
          <w:p>
            <w:pPr>
              <w:pStyle w:val="TableParagraph"/>
              <w:ind w:right="740"/>
              <w:jc w:val="right"/>
              <w:rPr>
                <w:sz w:val="14"/>
              </w:rPr>
            </w:pPr>
            <w:r>
              <w:rPr>
                <w:sz w:val="14"/>
              </w:rPr>
              <w:t>7613</w:t>
            </w:r>
          </w:p>
        </w:tc>
        <w:tc>
          <w:tcPr>
            <w:tcW w:w="1638" w:type="dxa"/>
          </w:tcPr>
          <w:p>
            <w:pPr>
              <w:pStyle w:val="TableParagraph"/>
              <w:rPr>
                <w:b/>
                <w:sz w:val="16"/>
              </w:rPr>
            </w:pPr>
          </w:p>
          <w:p>
            <w:pPr>
              <w:pStyle w:val="TableParagraph"/>
              <w:spacing w:before="6"/>
              <w:rPr>
                <w:b/>
                <w:sz w:val="18"/>
              </w:rPr>
            </w:pPr>
          </w:p>
          <w:p>
            <w:pPr>
              <w:pStyle w:val="TableParagraph"/>
              <w:ind w:right="614"/>
              <w:jc w:val="right"/>
              <w:rPr>
                <w:sz w:val="14"/>
              </w:rPr>
            </w:pPr>
            <w:r>
              <w:rPr>
                <w:sz w:val="14"/>
              </w:rPr>
              <w:t>0.00</w:t>
            </w:r>
          </w:p>
        </w:tc>
        <w:tc>
          <w:tcPr>
            <w:tcW w:w="1526" w:type="dxa"/>
          </w:tcPr>
          <w:p>
            <w:pPr>
              <w:pStyle w:val="TableParagraph"/>
              <w:rPr>
                <w:b/>
                <w:sz w:val="16"/>
              </w:rPr>
            </w:pPr>
          </w:p>
          <w:p>
            <w:pPr>
              <w:pStyle w:val="TableParagraph"/>
              <w:spacing w:before="6"/>
              <w:rPr>
                <w:b/>
                <w:sz w:val="18"/>
              </w:rPr>
            </w:pPr>
          </w:p>
          <w:p>
            <w:pPr>
              <w:pStyle w:val="TableParagraph"/>
              <w:ind w:left="592" w:right="604"/>
              <w:jc w:val="center"/>
              <w:rPr>
                <w:sz w:val="14"/>
              </w:rPr>
            </w:pPr>
            <w:r>
              <w:rPr>
                <w:w w:val="105"/>
                <w:sz w:val="14"/>
              </w:rPr>
              <w:t>0.00</w:t>
            </w:r>
          </w:p>
        </w:tc>
        <w:tc>
          <w:tcPr>
            <w:tcW w:w="1007" w:type="dxa"/>
          </w:tcPr>
          <w:p>
            <w:pPr>
              <w:pStyle w:val="TableParagraph"/>
              <w:rPr>
                <w:b/>
                <w:sz w:val="16"/>
              </w:rPr>
            </w:pPr>
          </w:p>
          <w:p>
            <w:pPr>
              <w:pStyle w:val="TableParagraph"/>
              <w:spacing w:before="6"/>
              <w:rPr>
                <w:b/>
                <w:sz w:val="18"/>
              </w:rPr>
            </w:pPr>
          </w:p>
          <w:p>
            <w:pPr>
              <w:pStyle w:val="TableParagraph"/>
              <w:ind w:right="47"/>
              <w:jc w:val="right"/>
              <w:rPr>
                <w:sz w:val="14"/>
              </w:rPr>
            </w:pPr>
            <w:r>
              <w:rPr>
                <w:sz w:val="14"/>
              </w:rPr>
              <w:t>0.0%</w:t>
            </w:r>
          </w:p>
        </w:tc>
      </w:tr>
      <w:tr>
        <w:trPr>
          <w:trHeight w:val="370" w:hRule="atLeast"/>
        </w:trPr>
        <w:tc>
          <w:tcPr>
            <w:tcW w:w="4190" w:type="dxa"/>
          </w:tcPr>
          <w:p>
            <w:pPr>
              <w:pStyle w:val="TableParagraph"/>
              <w:spacing w:before="101"/>
              <w:ind w:left="131"/>
              <w:rPr>
                <w:sz w:val="14"/>
              </w:rPr>
            </w:pPr>
            <w:r>
              <w:rPr>
                <w:w w:val="105"/>
                <w:sz w:val="14"/>
              </w:rPr>
              <w:t>Other Authorized Interfund Transfers Out</w:t>
            </w:r>
          </w:p>
        </w:tc>
        <w:tc>
          <w:tcPr>
            <w:tcW w:w="2344" w:type="dxa"/>
          </w:tcPr>
          <w:p>
            <w:pPr>
              <w:pStyle w:val="TableParagraph"/>
              <w:spacing w:before="101"/>
              <w:ind w:right="740"/>
              <w:jc w:val="right"/>
              <w:rPr>
                <w:sz w:val="14"/>
              </w:rPr>
            </w:pPr>
            <w:r>
              <w:rPr>
                <w:sz w:val="14"/>
              </w:rPr>
              <w:t>7619</w:t>
            </w:r>
          </w:p>
        </w:tc>
        <w:tc>
          <w:tcPr>
            <w:tcW w:w="1638" w:type="dxa"/>
          </w:tcPr>
          <w:p>
            <w:pPr>
              <w:pStyle w:val="TableParagraph"/>
              <w:spacing w:before="101"/>
              <w:ind w:right="614"/>
              <w:jc w:val="right"/>
              <w:rPr>
                <w:sz w:val="14"/>
              </w:rPr>
            </w:pPr>
            <w:r>
              <w:rPr>
                <w:sz w:val="14"/>
              </w:rPr>
              <w:t>0.00</w:t>
            </w:r>
          </w:p>
        </w:tc>
        <w:tc>
          <w:tcPr>
            <w:tcW w:w="1526" w:type="dxa"/>
          </w:tcPr>
          <w:p>
            <w:pPr>
              <w:pStyle w:val="TableParagraph"/>
              <w:spacing w:before="101"/>
              <w:ind w:left="592" w:right="604"/>
              <w:jc w:val="center"/>
              <w:rPr>
                <w:sz w:val="14"/>
              </w:rPr>
            </w:pPr>
            <w:r>
              <w:rPr>
                <w:w w:val="105"/>
                <w:sz w:val="14"/>
              </w:rPr>
              <w:t>0.00</w:t>
            </w:r>
          </w:p>
        </w:tc>
        <w:tc>
          <w:tcPr>
            <w:tcW w:w="1007" w:type="dxa"/>
          </w:tcPr>
          <w:p>
            <w:pPr>
              <w:pStyle w:val="TableParagraph"/>
              <w:spacing w:before="101"/>
              <w:ind w:right="47"/>
              <w:jc w:val="right"/>
              <w:rPr>
                <w:sz w:val="14"/>
              </w:rPr>
            </w:pPr>
            <w:r>
              <w:rPr>
                <w:sz w:val="14"/>
              </w:rPr>
              <w:t>0.0%</w:t>
            </w:r>
          </w:p>
        </w:tc>
      </w:tr>
      <w:tr>
        <w:trPr>
          <w:trHeight w:val="268" w:hRule="atLeast"/>
        </w:trPr>
        <w:tc>
          <w:tcPr>
            <w:tcW w:w="4190" w:type="dxa"/>
          </w:tcPr>
          <w:p>
            <w:pPr>
              <w:pStyle w:val="TableParagraph"/>
              <w:spacing w:line="142" w:lineRule="exact" w:before="107"/>
              <w:ind w:left="50"/>
              <w:rPr>
                <w:sz w:val="14"/>
              </w:rPr>
            </w:pPr>
            <w:r>
              <w:rPr>
                <w:w w:val="105"/>
                <w:sz w:val="14"/>
              </w:rPr>
              <w:t>(b) TOTAL, INTERFUND TRANSFERS OUT</w:t>
            </w:r>
          </w:p>
        </w:tc>
        <w:tc>
          <w:tcPr>
            <w:tcW w:w="2344" w:type="dxa"/>
          </w:tcPr>
          <w:p>
            <w:pPr>
              <w:pStyle w:val="TableParagraph"/>
              <w:rPr>
                <w:rFonts w:ascii="Times New Roman"/>
                <w:sz w:val="14"/>
              </w:rPr>
            </w:pPr>
          </w:p>
        </w:tc>
        <w:tc>
          <w:tcPr>
            <w:tcW w:w="1638" w:type="dxa"/>
          </w:tcPr>
          <w:p>
            <w:pPr>
              <w:pStyle w:val="TableParagraph"/>
              <w:spacing w:line="142" w:lineRule="exact" w:before="107"/>
              <w:ind w:right="614"/>
              <w:jc w:val="right"/>
              <w:rPr>
                <w:sz w:val="14"/>
              </w:rPr>
            </w:pPr>
            <w:r>
              <w:rPr>
                <w:sz w:val="14"/>
              </w:rPr>
              <w:t>0.00</w:t>
            </w:r>
          </w:p>
        </w:tc>
        <w:tc>
          <w:tcPr>
            <w:tcW w:w="1526" w:type="dxa"/>
          </w:tcPr>
          <w:p>
            <w:pPr>
              <w:pStyle w:val="TableParagraph"/>
              <w:spacing w:line="142" w:lineRule="exact" w:before="107"/>
              <w:ind w:left="592" w:right="604"/>
              <w:jc w:val="center"/>
              <w:rPr>
                <w:sz w:val="14"/>
              </w:rPr>
            </w:pPr>
            <w:r>
              <w:rPr>
                <w:w w:val="105"/>
                <w:sz w:val="14"/>
              </w:rPr>
              <w:t>0.00</w:t>
            </w:r>
          </w:p>
        </w:tc>
        <w:tc>
          <w:tcPr>
            <w:tcW w:w="1007" w:type="dxa"/>
          </w:tcPr>
          <w:p>
            <w:pPr>
              <w:pStyle w:val="TableParagraph"/>
              <w:spacing w:line="142" w:lineRule="exact" w:before="107"/>
              <w:ind w:right="47"/>
              <w:jc w:val="right"/>
              <w:rPr>
                <w:sz w:val="14"/>
              </w:rPr>
            </w:pPr>
            <w:r>
              <w:rPr>
                <w:sz w:val="14"/>
              </w:rPr>
              <w:t>0.0%</w:t>
            </w:r>
          </w:p>
        </w:tc>
      </w:tr>
    </w:tbl>
    <w:p>
      <w:pPr>
        <w:spacing w:before="143"/>
        <w:ind w:left="370" w:right="0" w:firstLine="0"/>
        <w:jc w:val="left"/>
        <w:rPr>
          <w:b/>
          <w:sz w:val="14"/>
        </w:rPr>
      </w:pPr>
      <w:r>
        <w:rPr>
          <w:b/>
          <w:w w:val="105"/>
          <w:sz w:val="14"/>
        </w:rPr>
        <w:t>OTHER SOURCES/USES</w:t>
      </w:r>
    </w:p>
    <w:p>
      <w:pPr>
        <w:pStyle w:val="BodyText"/>
        <w:spacing w:before="11"/>
        <w:rPr>
          <w:b/>
          <w:sz w:val="19"/>
        </w:rPr>
      </w:pPr>
    </w:p>
    <w:p>
      <w:pPr>
        <w:spacing w:before="99"/>
        <w:ind w:left="452" w:right="0" w:firstLine="0"/>
        <w:jc w:val="left"/>
        <w:rPr>
          <w:b/>
          <w:sz w:val="14"/>
        </w:rPr>
      </w:pPr>
      <w:r>
        <w:rPr>
          <w:b/>
          <w:w w:val="105"/>
          <w:sz w:val="14"/>
        </w:rPr>
        <w:t>SOURCES</w:t>
      </w:r>
    </w:p>
    <w:p>
      <w:pPr>
        <w:pStyle w:val="BodyText"/>
        <w:spacing w:before="2"/>
        <w:rPr>
          <w:b/>
          <w:sz w:val="20"/>
        </w:rPr>
      </w:pPr>
    </w:p>
    <w:p>
      <w:pPr>
        <w:spacing w:before="99"/>
        <w:ind w:left="533" w:right="0" w:firstLine="0"/>
        <w:jc w:val="left"/>
        <w:rPr>
          <w:sz w:val="14"/>
        </w:rPr>
      </w:pPr>
      <w:r>
        <w:rPr>
          <w:w w:val="105"/>
          <w:sz w:val="14"/>
        </w:rPr>
        <w:t>Proceeds</w:t>
      </w:r>
    </w:p>
    <w:p>
      <w:pPr>
        <w:spacing w:before="105"/>
        <w:ind w:left="615" w:right="0" w:firstLine="0"/>
        <w:jc w:val="left"/>
        <w:rPr>
          <w:sz w:val="14"/>
        </w:rPr>
      </w:pPr>
      <w:r>
        <w:rPr>
          <w:w w:val="105"/>
          <w:sz w:val="14"/>
        </w:rPr>
        <w:t>Proceeds from Disposal of</w:t>
      </w:r>
    </w:p>
    <w:p>
      <w:pPr>
        <w:tabs>
          <w:tab w:pos="5875" w:val="left" w:leader="none"/>
          <w:tab w:pos="7678" w:val="left" w:leader="none"/>
          <w:tab w:pos="9190" w:val="left" w:leader="none"/>
          <w:tab w:pos="10731" w:val="left" w:leader="none"/>
        </w:tabs>
        <w:spacing w:before="36"/>
        <w:ind w:left="655" w:right="0" w:firstLine="0"/>
        <w:jc w:val="left"/>
        <w:rPr>
          <w:sz w:val="14"/>
        </w:rPr>
      </w:pPr>
      <w:r>
        <w:rPr>
          <w:w w:val="105"/>
          <w:sz w:val="14"/>
        </w:rPr>
        <w:t>Capital</w:t>
      </w:r>
      <w:r>
        <w:rPr>
          <w:spacing w:val="-9"/>
          <w:w w:val="105"/>
          <w:sz w:val="14"/>
        </w:rPr>
        <w:t> </w:t>
      </w:r>
      <w:r>
        <w:rPr>
          <w:w w:val="105"/>
          <w:sz w:val="14"/>
        </w:rPr>
        <w:t>Assets</w:t>
        <w:tab/>
        <w:t>8953</w:t>
        <w:tab/>
        <w:t>0.00</w:t>
        <w:tab/>
        <w:t>0.00</w:t>
        <w:tab/>
        <w:t>0.0%</w:t>
      </w:r>
    </w:p>
    <w:p>
      <w:pPr>
        <w:pStyle w:val="BodyText"/>
        <w:spacing w:before="2"/>
        <w:rPr>
          <w:sz w:val="10"/>
        </w:rPr>
      </w:pPr>
    </w:p>
    <w:p>
      <w:pPr>
        <w:spacing w:before="99"/>
        <w:ind w:left="533" w:right="0" w:firstLine="0"/>
        <w:jc w:val="left"/>
        <w:rPr>
          <w:sz w:val="14"/>
        </w:rPr>
      </w:pPr>
      <w:r>
        <w:rPr>
          <w:w w:val="105"/>
          <w:sz w:val="14"/>
        </w:rPr>
        <w:t>Other Sources</w:t>
      </w:r>
    </w:p>
    <w:p>
      <w:pPr>
        <w:spacing w:before="117"/>
        <w:ind w:left="615" w:right="0" w:firstLine="0"/>
        <w:jc w:val="left"/>
        <w:rPr>
          <w:sz w:val="14"/>
        </w:rPr>
      </w:pPr>
      <w:r>
        <w:rPr>
          <w:w w:val="105"/>
          <w:sz w:val="14"/>
        </w:rPr>
        <w:t>Transfers from Funds of</w:t>
      </w:r>
    </w:p>
    <w:p>
      <w:pPr>
        <w:tabs>
          <w:tab w:pos="5875" w:val="left" w:leader="none"/>
          <w:tab w:pos="7678" w:val="left" w:leader="none"/>
          <w:tab w:pos="9190" w:val="left" w:leader="none"/>
          <w:tab w:pos="10731" w:val="left" w:leader="none"/>
        </w:tabs>
        <w:spacing w:line="376" w:lineRule="auto" w:before="36"/>
        <w:ind w:left="533" w:right="840" w:firstLine="121"/>
        <w:jc w:val="left"/>
        <w:rPr>
          <w:sz w:val="14"/>
        </w:rPr>
      </w:pPr>
      <w:r>
        <w:rPr>
          <w:w w:val="105"/>
          <w:sz w:val="14"/>
        </w:rPr>
        <w:t>Lapsed/Reorganized</w:t>
      </w:r>
      <w:r>
        <w:rPr>
          <w:spacing w:val="-19"/>
          <w:w w:val="105"/>
          <w:sz w:val="14"/>
        </w:rPr>
        <w:t> </w:t>
      </w:r>
      <w:r>
        <w:rPr>
          <w:w w:val="105"/>
          <w:sz w:val="14"/>
        </w:rPr>
        <w:t>LEAs</w:t>
        <w:tab/>
        <w:t>8965</w:t>
        <w:tab/>
        <w:t>0.00</w:t>
        <w:tab/>
        <w:t>0.00</w:t>
        <w:tab/>
      </w:r>
      <w:r>
        <w:rPr>
          <w:spacing w:val="-6"/>
          <w:w w:val="105"/>
          <w:sz w:val="14"/>
        </w:rPr>
        <w:t>0.0% </w:t>
      </w:r>
      <w:r>
        <w:rPr>
          <w:w w:val="105"/>
          <w:sz w:val="14"/>
        </w:rPr>
        <w:t>Long-Term Debt</w:t>
      </w:r>
      <w:r>
        <w:rPr>
          <w:spacing w:val="-4"/>
          <w:w w:val="105"/>
          <w:sz w:val="14"/>
        </w:rPr>
        <w:t> </w:t>
      </w:r>
      <w:r>
        <w:rPr>
          <w:w w:val="105"/>
          <w:sz w:val="14"/>
        </w:rPr>
        <w:t>Proceeds</w:t>
      </w:r>
    </w:p>
    <w:p>
      <w:pPr>
        <w:spacing w:line="131" w:lineRule="exact" w:before="0"/>
        <w:ind w:left="615" w:right="0" w:firstLine="0"/>
        <w:jc w:val="left"/>
        <w:rPr>
          <w:sz w:val="14"/>
        </w:rPr>
      </w:pPr>
      <w:r>
        <w:rPr>
          <w:w w:val="105"/>
          <w:sz w:val="14"/>
        </w:rPr>
        <w:t>Proceeds from Certificates</w:t>
      </w:r>
    </w:p>
    <w:p>
      <w:pPr>
        <w:tabs>
          <w:tab w:pos="5875" w:val="left" w:leader="none"/>
          <w:tab w:pos="7678" w:val="left" w:leader="none"/>
          <w:tab w:pos="9190" w:val="left" w:leader="none"/>
          <w:tab w:pos="10731" w:val="left" w:leader="none"/>
        </w:tabs>
        <w:spacing w:before="36"/>
        <w:ind w:left="655" w:right="0" w:firstLine="0"/>
        <w:jc w:val="left"/>
        <w:rPr>
          <w:sz w:val="14"/>
        </w:rPr>
      </w:pPr>
      <w:r>
        <w:rPr>
          <w:w w:val="105"/>
          <w:sz w:val="14"/>
        </w:rPr>
        <w:t>of</w:t>
      </w:r>
      <w:r>
        <w:rPr>
          <w:spacing w:val="-9"/>
          <w:w w:val="105"/>
          <w:sz w:val="14"/>
        </w:rPr>
        <w:t> </w:t>
      </w:r>
      <w:r>
        <w:rPr>
          <w:w w:val="105"/>
          <w:sz w:val="14"/>
        </w:rPr>
        <w:t>Participation</w:t>
        <w:tab/>
        <w:t>8971</w:t>
        <w:tab/>
        <w:t>0.00</w:t>
        <w:tab/>
        <w:t>0.00</w:t>
        <w:tab/>
        <w:t>0.0%</w:t>
      </w:r>
    </w:p>
    <w:p>
      <w:pPr>
        <w:pStyle w:val="BodyText"/>
        <w:spacing w:before="11"/>
        <w:rPr>
          <w:sz w:val="9"/>
        </w:rPr>
      </w:pPr>
    </w:p>
    <w:p>
      <w:pPr>
        <w:tabs>
          <w:tab w:pos="5875" w:val="left" w:leader="none"/>
          <w:tab w:pos="7678" w:val="left" w:leader="none"/>
          <w:tab w:pos="9190" w:val="left" w:leader="none"/>
          <w:tab w:pos="10731" w:val="left" w:leader="none"/>
        </w:tabs>
        <w:spacing w:before="99"/>
        <w:ind w:left="615" w:right="0" w:firstLine="0"/>
        <w:jc w:val="left"/>
        <w:rPr>
          <w:sz w:val="14"/>
        </w:rPr>
      </w:pPr>
      <w:r>
        <w:rPr>
          <w:w w:val="105"/>
          <w:sz w:val="14"/>
        </w:rPr>
        <w:t>Proceeds</w:t>
      </w:r>
      <w:r>
        <w:rPr>
          <w:spacing w:val="-10"/>
          <w:w w:val="105"/>
          <w:sz w:val="14"/>
        </w:rPr>
        <w:t> </w:t>
      </w:r>
      <w:r>
        <w:rPr>
          <w:w w:val="105"/>
          <w:sz w:val="14"/>
        </w:rPr>
        <w:t>from</w:t>
      </w:r>
      <w:r>
        <w:rPr>
          <w:spacing w:val="-13"/>
          <w:w w:val="105"/>
          <w:sz w:val="14"/>
        </w:rPr>
        <w:t> </w:t>
      </w:r>
      <w:r>
        <w:rPr>
          <w:w w:val="105"/>
          <w:sz w:val="14"/>
        </w:rPr>
        <w:t>Leases</w:t>
        <w:tab/>
        <w:t>8972</w:t>
        <w:tab/>
        <w:t>0.00</w:t>
        <w:tab/>
        <w:t>0.00</w:t>
        <w:tab/>
        <w:t>0.0%</w:t>
      </w:r>
    </w:p>
    <w:p>
      <w:pPr>
        <w:pStyle w:val="BodyText"/>
        <w:spacing w:before="11"/>
        <w:rPr>
          <w:sz w:val="9"/>
        </w:rPr>
      </w:pPr>
    </w:p>
    <w:p>
      <w:pPr>
        <w:tabs>
          <w:tab w:pos="5875" w:val="left" w:leader="none"/>
          <w:tab w:pos="7678" w:val="left" w:leader="none"/>
          <w:tab w:pos="9190" w:val="left" w:leader="none"/>
          <w:tab w:pos="10731" w:val="left" w:leader="none"/>
        </w:tabs>
        <w:spacing w:before="99"/>
        <w:ind w:left="615" w:right="0" w:firstLine="0"/>
        <w:jc w:val="left"/>
        <w:rPr>
          <w:sz w:val="14"/>
        </w:rPr>
      </w:pPr>
      <w:r>
        <w:rPr>
          <w:w w:val="105"/>
          <w:sz w:val="14"/>
        </w:rPr>
        <w:t>Proceeds</w:t>
      </w:r>
      <w:r>
        <w:rPr>
          <w:spacing w:val="-11"/>
          <w:w w:val="105"/>
          <w:sz w:val="14"/>
        </w:rPr>
        <w:t> </w:t>
      </w:r>
      <w:r>
        <w:rPr>
          <w:w w:val="105"/>
          <w:sz w:val="14"/>
        </w:rPr>
        <w:t>from</w:t>
      </w:r>
      <w:r>
        <w:rPr>
          <w:spacing w:val="-13"/>
          <w:w w:val="105"/>
          <w:sz w:val="14"/>
        </w:rPr>
        <w:t> </w:t>
      </w:r>
      <w:r>
        <w:rPr>
          <w:w w:val="105"/>
          <w:sz w:val="14"/>
        </w:rPr>
        <w:t>Lease</w:t>
      </w:r>
      <w:r>
        <w:rPr>
          <w:spacing w:val="-12"/>
          <w:w w:val="105"/>
          <w:sz w:val="14"/>
        </w:rPr>
        <w:t> </w:t>
      </w:r>
      <w:r>
        <w:rPr>
          <w:w w:val="105"/>
          <w:sz w:val="14"/>
        </w:rPr>
        <w:t>Revenue</w:t>
      </w:r>
      <w:r>
        <w:rPr>
          <w:spacing w:val="-12"/>
          <w:w w:val="105"/>
          <w:sz w:val="14"/>
        </w:rPr>
        <w:t> </w:t>
      </w:r>
      <w:r>
        <w:rPr>
          <w:w w:val="105"/>
          <w:sz w:val="14"/>
        </w:rPr>
        <w:t>Bonds</w:t>
        <w:tab/>
        <w:t>8973</w:t>
        <w:tab/>
        <w:t>0.00</w:t>
        <w:tab/>
        <w:t>0.00</w:t>
        <w:tab/>
        <w:t>0.0%</w:t>
      </w:r>
    </w:p>
    <w:p>
      <w:pPr>
        <w:pStyle w:val="BodyText"/>
        <w:spacing w:before="11"/>
        <w:rPr>
          <w:sz w:val="9"/>
        </w:rPr>
      </w:pPr>
    </w:p>
    <w:p>
      <w:pPr>
        <w:tabs>
          <w:tab w:pos="5875" w:val="left" w:leader="none"/>
          <w:tab w:pos="7678" w:val="left" w:leader="none"/>
          <w:tab w:pos="9190" w:val="left" w:leader="none"/>
          <w:tab w:pos="10731" w:val="left" w:leader="none"/>
        </w:tabs>
        <w:spacing w:before="99"/>
        <w:ind w:left="533" w:right="0" w:firstLine="0"/>
        <w:jc w:val="left"/>
        <w:rPr>
          <w:sz w:val="14"/>
        </w:rPr>
      </w:pPr>
      <w:r>
        <w:rPr>
          <w:w w:val="105"/>
          <w:sz w:val="14"/>
        </w:rPr>
        <w:t>All Other</w:t>
      </w:r>
      <w:r>
        <w:rPr>
          <w:spacing w:val="-21"/>
          <w:w w:val="105"/>
          <w:sz w:val="14"/>
        </w:rPr>
        <w:t> </w:t>
      </w:r>
      <w:r>
        <w:rPr>
          <w:w w:val="105"/>
          <w:sz w:val="14"/>
        </w:rPr>
        <w:t>Financing</w:t>
      </w:r>
      <w:r>
        <w:rPr>
          <w:spacing w:val="-11"/>
          <w:w w:val="105"/>
          <w:sz w:val="14"/>
        </w:rPr>
        <w:t> </w:t>
      </w:r>
      <w:r>
        <w:rPr>
          <w:w w:val="105"/>
          <w:sz w:val="14"/>
        </w:rPr>
        <w:t>Sources</w:t>
        <w:tab/>
        <w:t>8979</w:t>
        <w:tab/>
        <w:t>0.00</w:t>
        <w:tab/>
        <w:t>0.00</w:t>
        <w:tab/>
        <w:t>0.0%</w:t>
      </w:r>
    </w:p>
    <w:p>
      <w:pPr>
        <w:pStyle w:val="BodyText"/>
        <w:spacing w:before="11"/>
        <w:rPr>
          <w:sz w:val="9"/>
        </w:rPr>
      </w:pPr>
    </w:p>
    <w:p>
      <w:pPr>
        <w:tabs>
          <w:tab w:pos="7678" w:val="left" w:leader="none"/>
          <w:tab w:pos="9190" w:val="left" w:leader="none"/>
          <w:tab w:pos="10731" w:val="left" w:leader="none"/>
        </w:tabs>
        <w:spacing w:before="99"/>
        <w:ind w:left="452" w:right="0" w:firstLine="0"/>
        <w:jc w:val="left"/>
        <w:rPr>
          <w:sz w:val="14"/>
        </w:rPr>
      </w:pPr>
      <w:r>
        <w:rPr>
          <w:w w:val="105"/>
          <w:sz w:val="14"/>
        </w:rPr>
        <w:t>(c)</w:t>
      </w:r>
      <w:r>
        <w:rPr>
          <w:spacing w:val="-8"/>
          <w:w w:val="105"/>
          <w:sz w:val="14"/>
        </w:rPr>
        <w:t> </w:t>
      </w:r>
      <w:r>
        <w:rPr>
          <w:w w:val="105"/>
          <w:sz w:val="14"/>
        </w:rPr>
        <w:t>TOTAL,</w:t>
      </w:r>
      <w:r>
        <w:rPr>
          <w:spacing w:val="-7"/>
          <w:w w:val="105"/>
          <w:sz w:val="14"/>
        </w:rPr>
        <w:t> </w:t>
      </w:r>
      <w:r>
        <w:rPr>
          <w:w w:val="105"/>
          <w:sz w:val="14"/>
        </w:rPr>
        <w:t>SOURCES</w:t>
        <w:tab/>
        <w:t>0.00</w:t>
        <w:tab/>
        <w:t>0.00</w:t>
        <w:tab/>
        <w:t>0.0%</w:t>
      </w:r>
    </w:p>
    <w:p>
      <w:pPr>
        <w:spacing w:before="115"/>
        <w:ind w:left="452" w:right="0" w:firstLine="0"/>
        <w:jc w:val="left"/>
        <w:rPr>
          <w:b/>
          <w:sz w:val="14"/>
        </w:rPr>
      </w:pPr>
      <w:r>
        <w:rPr>
          <w:b/>
          <w:w w:val="105"/>
          <w:sz w:val="14"/>
        </w:rPr>
        <w:t>USES</w:t>
      </w:r>
    </w:p>
    <w:p>
      <w:pPr>
        <w:pStyle w:val="BodyText"/>
        <w:spacing w:before="11"/>
        <w:rPr>
          <w:b/>
          <w:sz w:val="24"/>
        </w:rPr>
      </w:pPr>
    </w:p>
    <w:p>
      <w:pPr>
        <w:spacing w:before="99"/>
        <w:ind w:left="533" w:right="0" w:firstLine="0"/>
        <w:jc w:val="left"/>
        <w:rPr>
          <w:sz w:val="14"/>
        </w:rPr>
      </w:pPr>
      <w:r>
        <w:rPr>
          <w:w w:val="105"/>
          <w:sz w:val="14"/>
        </w:rPr>
        <w:t>Transfers of Funds from</w:t>
      </w:r>
    </w:p>
    <w:p>
      <w:pPr>
        <w:tabs>
          <w:tab w:pos="5875" w:val="left" w:leader="none"/>
          <w:tab w:pos="7678" w:val="left" w:leader="none"/>
          <w:tab w:pos="9190" w:val="left" w:leader="none"/>
          <w:tab w:pos="10731" w:val="left" w:leader="none"/>
        </w:tabs>
        <w:spacing w:before="36"/>
        <w:ind w:left="573" w:right="0" w:firstLine="0"/>
        <w:jc w:val="left"/>
        <w:rPr>
          <w:sz w:val="14"/>
        </w:rPr>
      </w:pPr>
      <w:r>
        <w:rPr>
          <w:w w:val="105"/>
          <w:sz w:val="14"/>
        </w:rPr>
        <w:t>Lapsed/Reorganized</w:t>
      </w:r>
      <w:r>
        <w:rPr>
          <w:spacing w:val="-19"/>
          <w:w w:val="105"/>
          <w:sz w:val="14"/>
        </w:rPr>
        <w:t> </w:t>
      </w:r>
      <w:r>
        <w:rPr>
          <w:w w:val="105"/>
          <w:sz w:val="14"/>
        </w:rPr>
        <w:t>LEAs</w:t>
        <w:tab/>
        <w:t>7651</w:t>
        <w:tab/>
        <w:t>0.00</w:t>
        <w:tab/>
        <w:t>0.00</w:t>
        <w:tab/>
        <w:t>0.0%</w:t>
      </w:r>
    </w:p>
    <w:p>
      <w:pPr>
        <w:pStyle w:val="BodyText"/>
        <w:spacing w:before="2"/>
        <w:rPr>
          <w:sz w:val="10"/>
        </w:rPr>
      </w:pPr>
    </w:p>
    <w:p>
      <w:pPr>
        <w:tabs>
          <w:tab w:pos="5875" w:val="left" w:leader="none"/>
          <w:tab w:pos="7678" w:val="left" w:leader="none"/>
          <w:tab w:pos="9190" w:val="left" w:leader="none"/>
          <w:tab w:pos="10731" w:val="left" w:leader="none"/>
        </w:tabs>
        <w:spacing w:before="99"/>
        <w:ind w:left="533" w:right="0" w:firstLine="0"/>
        <w:jc w:val="left"/>
        <w:rPr>
          <w:sz w:val="14"/>
        </w:rPr>
      </w:pPr>
      <w:r>
        <w:rPr>
          <w:w w:val="105"/>
          <w:sz w:val="14"/>
        </w:rPr>
        <w:t>All Other</w:t>
      </w:r>
      <w:r>
        <w:rPr>
          <w:spacing w:val="-19"/>
          <w:w w:val="105"/>
          <w:sz w:val="14"/>
        </w:rPr>
        <w:t> </w:t>
      </w:r>
      <w:r>
        <w:rPr>
          <w:w w:val="105"/>
          <w:sz w:val="14"/>
        </w:rPr>
        <w:t>Financing</w:t>
      </w:r>
      <w:r>
        <w:rPr>
          <w:spacing w:val="-10"/>
          <w:w w:val="105"/>
          <w:sz w:val="14"/>
        </w:rPr>
        <w:t> </w:t>
      </w:r>
      <w:r>
        <w:rPr>
          <w:w w:val="105"/>
          <w:sz w:val="14"/>
        </w:rPr>
        <w:t>Uses</w:t>
        <w:tab/>
        <w:t>7699</w:t>
        <w:tab/>
        <w:t>0.00</w:t>
        <w:tab/>
        <w:t>0.00</w:t>
        <w:tab/>
        <w:t>0.0%</w:t>
      </w:r>
    </w:p>
    <w:p>
      <w:pPr>
        <w:pStyle w:val="BodyText"/>
        <w:spacing w:before="10"/>
        <w:rPr>
          <w:sz w:val="9"/>
        </w:rPr>
      </w:pPr>
    </w:p>
    <w:p>
      <w:pPr>
        <w:tabs>
          <w:tab w:pos="7678" w:val="left" w:leader="none"/>
          <w:tab w:pos="9190" w:val="left" w:leader="none"/>
          <w:tab w:pos="10731" w:val="left" w:leader="none"/>
        </w:tabs>
        <w:spacing w:before="99"/>
        <w:ind w:left="452" w:right="0" w:firstLine="0"/>
        <w:jc w:val="left"/>
        <w:rPr>
          <w:sz w:val="14"/>
        </w:rPr>
      </w:pPr>
      <w:r>
        <w:rPr>
          <w:w w:val="105"/>
          <w:sz w:val="14"/>
        </w:rPr>
        <w:t>(d)</w:t>
      </w:r>
      <w:r>
        <w:rPr>
          <w:spacing w:val="-6"/>
          <w:w w:val="105"/>
          <w:sz w:val="14"/>
        </w:rPr>
        <w:t> </w:t>
      </w:r>
      <w:r>
        <w:rPr>
          <w:w w:val="105"/>
          <w:sz w:val="14"/>
        </w:rPr>
        <w:t>TOTAL,</w:t>
      </w:r>
      <w:r>
        <w:rPr>
          <w:spacing w:val="-6"/>
          <w:w w:val="105"/>
          <w:sz w:val="14"/>
        </w:rPr>
        <w:t> </w:t>
      </w:r>
      <w:r>
        <w:rPr>
          <w:w w:val="105"/>
          <w:sz w:val="14"/>
        </w:rPr>
        <w:t>USES</w:t>
        <w:tab/>
        <w:t>0.00</w:t>
        <w:tab/>
        <w:t>0.00</w:t>
        <w:tab/>
        <w:t>0.0%</w:t>
      </w:r>
    </w:p>
    <w:p>
      <w:pPr>
        <w:pStyle w:val="BodyText"/>
        <w:rPr>
          <w:sz w:val="10"/>
        </w:rPr>
      </w:pPr>
    </w:p>
    <w:p>
      <w:pPr>
        <w:spacing w:before="99"/>
        <w:ind w:left="452" w:right="0" w:firstLine="0"/>
        <w:jc w:val="left"/>
        <w:rPr>
          <w:b/>
          <w:sz w:val="14"/>
        </w:rPr>
      </w:pPr>
      <w:r>
        <w:rPr>
          <w:b/>
          <w:w w:val="105"/>
          <w:sz w:val="14"/>
        </w:rPr>
        <w:t>CONTRIBUTIONS</w:t>
      </w:r>
    </w:p>
    <w:p>
      <w:pPr>
        <w:pStyle w:val="BodyText"/>
        <w:spacing w:before="5"/>
        <w:rPr>
          <w:b/>
          <w:sz w:val="27"/>
        </w:rPr>
      </w:pPr>
    </w:p>
    <w:p>
      <w:pPr>
        <w:spacing w:after="0"/>
        <w:rPr>
          <w:sz w:val="27"/>
        </w:rPr>
        <w:sectPr>
          <w:type w:val="continuous"/>
          <w:pgSz w:w="12240" w:h="15840"/>
          <w:pgMar w:top="1500" w:bottom="840" w:left="160" w:right="180"/>
        </w:sectPr>
      </w:pPr>
    </w:p>
    <w:sdt>
      <w:sdtPr>
        <w:docPartObj>
          <w:docPartGallery w:val="Table of Contents"/>
          <w:docPartUnique/>
        </w:docPartObj>
      </w:sdtPr>
      <w:sdtEndPr/>
      <w:sdtContent>
        <w:p>
          <w:pPr>
            <w:pStyle w:val="TOC1"/>
            <w:tabs>
              <w:tab w:pos="6192" w:val="right" w:leader="none"/>
            </w:tabs>
          </w:pPr>
          <w:r>
            <w:rPr>
              <w:w w:val="105"/>
            </w:rPr>
            <w:t>Contributions from</w:t>
          </w:r>
          <w:r>
            <w:rPr>
              <w:spacing w:val="-7"/>
              <w:w w:val="105"/>
            </w:rPr>
            <w:t> </w:t>
          </w:r>
          <w:r>
            <w:rPr>
              <w:w w:val="105"/>
            </w:rPr>
            <w:t>Unrestricted</w:t>
          </w:r>
          <w:r>
            <w:rPr>
              <w:spacing w:val="-3"/>
              <w:w w:val="105"/>
            </w:rPr>
            <w:t> </w:t>
          </w:r>
          <w:r>
            <w:rPr>
              <w:w w:val="105"/>
            </w:rPr>
            <w:t>Revenues</w:t>
            <w:tab/>
            <w:t>8980</w:t>
          </w:r>
        </w:p>
        <w:p>
          <w:pPr>
            <w:pStyle w:val="TOC1"/>
            <w:tabs>
              <w:tab w:pos="2003" w:val="left" w:leader="none"/>
            </w:tabs>
          </w:pPr>
          <w:hyperlink w:history="true" w:anchor="_TOC_250001">
            <w:r>
              <w:rPr/>
              <w:br w:type="column"/>
            </w:r>
            <w:r>
              <w:rPr>
                <w:w w:val="105"/>
              </w:rPr>
              <w:t>0.00</w:t>
              <w:tab/>
              <w:t>0.00</w:t>
            </w:r>
          </w:hyperlink>
        </w:p>
        <w:p>
          <w:pPr>
            <w:pStyle w:val="TOC1"/>
          </w:pPr>
          <w:hyperlink w:history="true" w:anchor="_TOC_250000">
            <w:r>
              <w:rPr/>
              <w:br w:type="column"/>
            </w:r>
            <w:r>
              <w:rPr>
                <w:w w:val="105"/>
              </w:rPr>
              <w:t>0.0%</w:t>
            </w:r>
          </w:hyperlink>
        </w:p>
      </w:sdtContent>
    </w:sdt>
    <w:p>
      <w:pPr>
        <w:spacing w:after="0"/>
        <w:sectPr>
          <w:type w:val="continuous"/>
          <w:pgSz w:w="12240" w:h="15840"/>
          <w:pgMar w:top="1500" w:bottom="840" w:left="160" w:right="180"/>
          <w:cols w:num="3" w:equalWidth="0">
            <w:col w:w="6234" w:space="953"/>
            <w:col w:w="2323" w:space="729"/>
            <w:col w:w="1661"/>
          </w:cols>
        </w:sectPr>
      </w:pPr>
    </w:p>
    <w:p>
      <w:pPr>
        <w:pStyle w:val="Heading9"/>
        <w:tabs>
          <w:tab w:pos="6192" w:val="right" w:leader="none"/>
        </w:tabs>
        <w:spacing w:before="214"/>
        <w:ind w:left="491"/>
      </w:pPr>
      <w:r>
        <w:rPr>
          <w:w w:val="105"/>
        </w:rPr>
        <w:t>Contributions from</w:t>
      </w:r>
      <w:r>
        <w:rPr>
          <w:spacing w:val="-6"/>
          <w:w w:val="105"/>
        </w:rPr>
        <w:t> </w:t>
      </w:r>
      <w:r>
        <w:rPr>
          <w:w w:val="105"/>
        </w:rPr>
        <w:t>Restricted</w:t>
      </w:r>
      <w:r>
        <w:rPr>
          <w:spacing w:val="-2"/>
          <w:w w:val="105"/>
        </w:rPr>
        <w:t> </w:t>
      </w:r>
      <w:r>
        <w:rPr>
          <w:w w:val="105"/>
        </w:rPr>
        <w:t>Revenues</w:t>
        <w:tab/>
        <w:t>8990</w:t>
      </w:r>
    </w:p>
    <w:p>
      <w:pPr>
        <w:pStyle w:val="Heading9"/>
        <w:tabs>
          <w:tab w:pos="2003" w:val="left" w:leader="none"/>
        </w:tabs>
        <w:spacing w:before="214"/>
        <w:ind w:left="491"/>
      </w:pPr>
      <w:bookmarkStart w:name="_TOC_250001" w:id="9"/>
      <w:r>
        <w:rPr/>
        <w:br w:type="column"/>
      </w:r>
      <w:bookmarkEnd w:id="9"/>
      <w:r>
        <w:rPr>
          <w:w w:val="105"/>
        </w:rPr>
        <w:t>0.00</w:t>
        <w:tab/>
        <w:t>0.00</w:t>
      </w:r>
    </w:p>
    <w:p>
      <w:pPr>
        <w:pStyle w:val="Heading9"/>
        <w:spacing w:before="214"/>
        <w:ind w:left="491"/>
      </w:pPr>
      <w:bookmarkStart w:name="_TOC_250000" w:id="10"/>
      <w:r>
        <w:rPr/>
        <w:br w:type="column"/>
      </w:r>
      <w:bookmarkEnd w:id="10"/>
      <w:r>
        <w:rPr>
          <w:w w:val="105"/>
        </w:rPr>
        <w:t>0.0%</w:t>
      </w:r>
    </w:p>
    <w:p>
      <w:pPr>
        <w:spacing w:after="0"/>
        <w:sectPr>
          <w:type w:val="continuous"/>
          <w:pgSz w:w="12240" w:h="15840"/>
          <w:pgMar w:top="1500" w:bottom="840" w:left="160" w:right="180"/>
          <w:cols w:num="3" w:equalWidth="0">
            <w:col w:w="6234" w:space="953"/>
            <w:col w:w="2323" w:space="729"/>
            <w:col w:w="1661"/>
          </w:cols>
        </w:sectPr>
      </w:pPr>
    </w:p>
    <w:p>
      <w:pPr>
        <w:tabs>
          <w:tab w:pos="7678" w:val="left" w:leader="none"/>
          <w:tab w:pos="9190" w:val="left" w:leader="none"/>
          <w:tab w:pos="10731" w:val="left" w:leader="none"/>
        </w:tabs>
        <w:spacing w:before="216"/>
        <w:ind w:left="452" w:right="0" w:firstLine="0"/>
        <w:jc w:val="left"/>
        <w:rPr>
          <w:sz w:val="14"/>
        </w:rPr>
      </w:pPr>
      <w:r>
        <w:rPr/>
        <w:pict>
          <v:group style="position:absolute;margin-left:24.719999pt;margin-top:78.959999pt;width:538pt;height:678.5pt;mso-position-horizontal-relative:page;mso-position-vertical-relative:page;z-index:-314285056" coordorigin="494,1579" coordsize="10760,13570">
            <v:shape style="position:absolute;left:494;top:1579;width:3646;height:790" type="#_x0000_t75" stroked="false">
              <v:imagedata r:id="rId406" o:title=""/>
            </v:shape>
            <v:shape style="position:absolute;left:494;top:1579;width:10760;height:1155" type="#_x0000_t75" stroked="false">
              <v:imagedata r:id="rId799" o:title=""/>
            </v:shape>
            <v:line style="position:absolute" from="1304,2359" to="1304,2729" stroked="true" strokeweight=".359997pt" strokecolor="#ffffff">
              <v:stroke dashstyle="solid"/>
            </v:line>
            <v:shape style="position:absolute;left:4132;top:2347;width:7121;height:1522" type="#_x0000_t75" stroked="false">
              <v:imagedata r:id="rId741" o:title=""/>
            </v:shape>
            <v:shape style="position:absolute;left:494;top:2731;width:3646;height:1520" type="#_x0000_t75" stroked="false">
              <v:imagedata r:id="rId890" o:title=""/>
            </v:shape>
            <v:shape style="position:absolute;left:4132;top:3501;width:7121;height:749" type="#_x0000_t75" stroked="false">
              <v:imagedata r:id="rId891" o:title=""/>
            </v:shape>
            <v:shape style="position:absolute;left:494;top:4243;width:3646;height:380" type="#_x0000_t75" stroked="false">
              <v:imagedata r:id="rId513" o:title=""/>
            </v:shape>
            <v:shape style="position:absolute;left:4132;top:3866;width:7121;height:1520" type="#_x0000_t75" stroked="false">
              <v:imagedata r:id="rId892" o:title=""/>
            </v:shape>
            <v:shape style="position:absolute;left:6674;top:5181;width:4580;height:569" type="#_x0000_t75" stroked="false">
              <v:imagedata r:id="rId636" o:title=""/>
            </v:shape>
            <v:shape style="position:absolute;left:494;top:4620;width:3646;height:1508" type="#_x0000_t75" stroked="false">
              <v:imagedata r:id="rId893" o:title=""/>
            </v:shape>
            <v:shape style="position:absolute;left:4132;top:5378;width:7121;height:749" type="#_x0000_t75" stroked="false">
              <v:imagedata r:id="rId479" o:title=""/>
            </v:shape>
            <v:shape style="position:absolute;left:494;top:6120;width:3646;height:310" type="#_x0000_t75" stroked="false">
              <v:imagedata r:id="rId894" o:title=""/>
            </v:shape>
            <v:shape style="position:absolute;left:4132;top:5743;width:7121;height:2134" type="#_x0000_t75" stroked="false">
              <v:imagedata r:id="rId895" o:title=""/>
            </v:shape>
            <v:shape style="position:absolute;left:6674;top:7672;width:4580;height:1056" type="#_x0000_t75" stroked="false">
              <v:imagedata r:id="rId896" o:title=""/>
            </v:shape>
            <v:shape style="position:absolute;left:6674;top:8524;width:4580;height:876" type="#_x0000_t75" stroked="false">
              <v:imagedata r:id="rId653" o:title=""/>
            </v:shape>
            <v:shape style="position:absolute;left:494;top:6427;width:3646;height:4472" type="#_x0000_t75" stroked="false">
              <v:imagedata r:id="rId897" o:title=""/>
            </v:shape>
            <v:shape style="position:absolute;left:6674;top:9196;width:4580;height:579" type="#_x0000_t75" stroked="false">
              <v:imagedata r:id="rId654" o:title=""/>
            </v:shape>
            <v:shape style="position:absolute;left:8186;top:9393;width:3068;height:752" type="#_x0000_t75" stroked="false">
              <v:imagedata r:id="rId898" o:title=""/>
            </v:shape>
            <v:shape style="position:absolute;left:4132;top:9768;width:7121;height:1131" type="#_x0000_t75" stroked="false">
              <v:imagedata r:id="rId899" o:title=""/>
            </v:shape>
            <v:shape style="position:absolute;left:494;top:10516;width:10760;height:1200" type="#_x0000_t75" stroked="false">
              <v:imagedata r:id="rId900" o:title=""/>
            </v:shape>
            <v:shape style="position:absolute;left:6674;top:11337;width:4580;height:953" type="#_x0000_t75" stroked="false">
              <v:imagedata r:id="rId658" o:title=""/>
            </v:shape>
            <v:shape style="position:absolute;left:494;top:11714;width:3646;height:956" type="#_x0000_t75" stroked="false">
              <v:imagedata r:id="rId659" o:title=""/>
            </v:shape>
            <v:shape style="position:absolute;left:494;top:11911;width:10760;height:1131" type="#_x0000_t75" stroked="false">
              <v:imagedata r:id="rId660" o:title=""/>
            </v:shape>
            <v:shape style="position:absolute;left:4132;top:12662;width:2549;height:8" type="#_x0000_t75" stroked="false">
              <v:imagedata r:id="rId661" o:title=""/>
            </v:shape>
            <v:shape style="position:absolute;left:6674;top:12662;width:1520;height:382" type="#_x0000_t75" stroked="false">
              <v:imagedata r:id="rId663" o:title=""/>
            </v:shape>
            <v:shape style="position:absolute;left:8186;top:12662;width:1520;height:382" type="#_x0000_t75" stroked="false">
              <v:imagedata r:id="rId663" o:title=""/>
            </v:shape>
            <v:shape style="position:absolute;left:6679;top:12667;width:4565;height:951" coordorigin="6679,12667" coordsize="4565,951" path="m11244,12667l9703,12667,9703,13044,8191,13044,6679,13044,6679,13241,6679,13618,8191,13618,9703,13618,11244,13618,11244,13241,11244,13044,11244,12667e" filled="true" fillcolor="#dfdfdf" stroked="false">
              <v:path arrowok="t"/>
              <v:fill type="solid"/>
            </v:shape>
            <v:shape style="position:absolute;left:8186;top:12662;width:3068;height:1332" type="#_x0000_t75" stroked="false">
              <v:imagedata r:id="rId664" o:title=""/>
            </v:shape>
            <v:shape style="position:absolute;left:6674;top:13039;width:1520;height:956" type="#_x0000_t75" stroked="false">
              <v:imagedata r:id="rId665" o:title=""/>
            </v:shape>
            <v:rect style="position:absolute;left:6679;top:13617;width:1512;height:375" filled="true" fillcolor="#dfdfdf" stroked="false">
              <v:fill type="solid"/>
            </v:rect>
            <v:shape style="position:absolute;left:494;top:13039;width:3646;height:1332" type="#_x0000_t75" stroked="false">
              <v:imagedata r:id="rId516" o:title=""/>
            </v:shape>
            <v:rect style="position:absolute;left:8191;top:13617;width:1512;height:375" filled="true" fillcolor="#dfdfdf" stroked="false">
              <v:fill type="solid"/>
            </v:rect>
            <v:shape style="position:absolute;left:9698;top:13612;width:1556;height:382" type="#_x0000_t75" stroked="false">
              <v:imagedata r:id="rId666" o:title=""/>
            </v:shape>
            <v:shape style="position:absolute;left:4132;top:14364;width:2549;height:8" type="#_x0000_t75" stroked="false">
              <v:imagedata r:id="rId661" o:title=""/>
            </v:shape>
            <v:shape style="position:absolute;left:6674;top:13987;width:1520;height:384" type="#_x0000_t75" stroked="false">
              <v:imagedata r:id="rId584" o:title=""/>
            </v:shape>
            <v:shape style="position:absolute;left:8186;top:13987;width:1520;height:384" type="#_x0000_t75" stroked="false">
              <v:imagedata r:id="rId584" o:title=""/>
            </v:shape>
            <v:shape style="position:absolute;left:9698;top:13987;width:1556;height:953" type="#_x0000_t75" stroked="false">
              <v:imagedata r:id="rId901" o:title=""/>
            </v:shape>
            <v:shape style="position:absolute;left:494;top:14364;width:10760;height:785" type="#_x0000_t75" stroked="false">
              <v:imagedata r:id="rId902" o:title=""/>
            </v:shape>
            <w10:wrap type="none"/>
          </v:group>
        </w:pict>
      </w:r>
      <w:r>
        <w:rPr>
          <w:w w:val="105"/>
          <w:sz w:val="14"/>
        </w:rPr>
        <w:t>(e)</w:t>
      </w:r>
      <w:r>
        <w:rPr>
          <w:spacing w:val="-11"/>
          <w:w w:val="105"/>
          <w:sz w:val="14"/>
        </w:rPr>
        <w:t> </w:t>
      </w:r>
      <w:r>
        <w:rPr>
          <w:w w:val="105"/>
          <w:sz w:val="14"/>
        </w:rPr>
        <w:t>TOTAL,</w:t>
      </w:r>
      <w:r>
        <w:rPr>
          <w:spacing w:val="-10"/>
          <w:w w:val="105"/>
          <w:sz w:val="14"/>
        </w:rPr>
        <w:t> </w:t>
      </w:r>
      <w:r>
        <w:rPr>
          <w:w w:val="105"/>
          <w:sz w:val="14"/>
        </w:rPr>
        <w:t>CONTRIBUTIONS</w:t>
        <w:tab/>
        <w:t>0.00</w:t>
        <w:tab/>
        <w:t>0.00</w:t>
        <w:tab/>
        <w:t>0.0%</w:t>
      </w:r>
    </w:p>
    <w:p>
      <w:pPr>
        <w:spacing w:before="215"/>
        <w:ind w:left="370" w:right="0" w:firstLine="0"/>
        <w:jc w:val="left"/>
        <w:rPr>
          <w:sz w:val="14"/>
        </w:rPr>
      </w:pPr>
      <w:r>
        <w:rPr>
          <w:w w:val="105"/>
          <w:sz w:val="14"/>
        </w:rPr>
        <w:t>TOTAL, OTHER FINANCING SOURCES/USES</w:t>
      </w:r>
    </w:p>
    <w:p>
      <w:pPr>
        <w:tabs>
          <w:tab w:pos="7678" w:val="left" w:leader="none"/>
          <w:tab w:pos="9190" w:val="left" w:leader="none"/>
          <w:tab w:pos="10731" w:val="left" w:leader="none"/>
        </w:tabs>
        <w:spacing w:before="36"/>
        <w:ind w:left="452" w:right="0" w:firstLine="0"/>
        <w:jc w:val="left"/>
        <w:rPr>
          <w:sz w:val="14"/>
        </w:rPr>
      </w:pPr>
      <w:r>
        <w:rPr>
          <w:w w:val="105"/>
          <w:sz w:val="14"/>
        </w:rPr>
        <w:t>(a - b + c - d</w:t>
      </w:r>
      <w:r>
        <w:rPr>
          <w:spacing w:val="-18"/>
          <w:w w:val="105"/>
          <w:sz w:val="14"/>
        </w:rPr>
        <w:t> </w:t>
      </w:r>
      <w:r>
        <w:rPr>
          <w:w w:val="105"/>
          <w:sz w:val="14"/>
        </w:rPr>
        <w:t>+</w:t>
      </w:r>
      <w:r>
        <w:rPr>
          <w:spacing w:val="-2"/>
          <w:w w:val="105"/>
          <w:sz w:val="14"/>
        </w:rPr>
        <w:t> </w:t>
      </w:r>
      <w:r>
        <w:rPr>
          <w:w w:val="105"/>
          <w:sz w:val="14"/>
        </w:rPr>
        <w:t>e)</w:t>
        <w:tab/>
        <w:t>0.00</w:t>
        <w:tab/>
        <w:t>0.00</w:t>
        <w:tab/>
        <w:t>0.0%</w:t>
      </w:r>
    </w:p>
    <w:p>
      <w:pPr>
        <w:spacing w:after="0"/>
        <w:jc w:val="left"/>
        <w:rPr>
          <w:sz w:val="14"/>
        </w:rPr>
        <w:sectPr>
          <w:type w:val="continuous"/>
          <w:pgSz w:w="12240" w:h="15840"/>
          <w:pgMar w:top="1500" w:bottom="840" w:left="160" w:right="180"/>
        </w:sectPr>
      </w:pPr>
    </w:p>
    <w:p>
      <w:pPr>
        <w:pStyle w:val="BodyText"/>
        <w:rPr>
          <w:sz w:val="20"/>
        </w:rPr>
      </w:pPr>
      <w:r>
        <w:rPr/>
        <w:pict>
          <v:group style="position:absolute;margin-left:27.120001pt;margin-top:81.360008pt;width:554.3pt;height:40.7pt;mso-position-horizontal-relative:page;mso-position-vertical-relative:page;z-index:-314284032" coordorigin="542,1627" coordsize="11086,814">
            <v:shape style="position:absolute;left:542;top:1627;width:3766;height:814" type="#_x0000_t75" stroked="false">
              <v:imagedata r:id="rId522" o:title=""/>
            </v:shape>
            <v:shape style="position:absolute;left:4300;top:1627;width:7328;height:814" type="#_x0000_t75" stroked="false">
              <v:imagedata r:id="rId523" o:title=""/>
            </v:shape>
            <w10:wrap type="none"/>
          </v:group>
        </w:pict>
      </w:r>
      <w:r>
        <w:rPr/>
        <w:pict>
          <v:group style="position:absolute;margin-left:27.120001pt;margin-top:120.959999pt;width:554.3pt;height:545.4pt;mso-position-horizontal-relative:page;mso-position-vertical-relative:page;z-index:-314283008" coordorigin="542,2419" coordsize="11086,10908">
            <v:line style="position:absolute" from="1379,2431" to="1379,2810" stroked="true" strokeweight=".360003pt" strokecolor="#ffffff">
              <v:stroke dashstyle="solid"/>
            </v:line>
            <v:shape style="position:absolute;left:542;top:2426;width:3766;height:2909" type="#_x0000_t75" stroked="false">
              <v:imagedata r:id="rId524" o:title=""/>
            </v:shape>
            <v:shape style="position:absolute;left:6926;top:2419;width:1570;height:399" type="#_x0000_t75" stroked="false">
              <v:imagedata r:id="rId525" o:title=""/>
            </v:shape>
            <v:shape style="position:absolute;left:8488;top:2419;width:1570;height:399" type="#_x0000_t75" stroked="false">
              <v:imagedata r:id="rId525" o:title=""/>
            </v:shape>
            <v:shape style="position:absolute;left:8488;top:2419;width:3140;height:1376" type="#_x0000_t75" stroked="false">
              <v:imagedata r:id="rId905" o:title=""/>
            </v:shape>
            <v:shape style="position:absolute;left:6926;top:2812;width:1570;height:982" type="#_x0000_t75" stroked="false">
              <v:imagedata r:id="rId906" o:title=""/>
            </v:shape>
            <v:shape style="position:absolute;left:6926;top:3400;width:4702;height:780" type="#_x0000_t75" stroked="false">
              <v:imagedata r:id="rId530" o:title=""/>
            </v:shape>
            <v:shape style="position:absolute;left:6926;top:3787;width:4702;height:780" type="#_x0000_t75" stroked="false">
              <v:imagedata r:id="rId673" o:title=""/>
            </v:shape>
            <v:shape style="position:absolute;left:8488;top:4173;width:3140;height:1162" type="#_x0000_t75" stroked="false">
              <v:imagedata r:id="rId756" o:title=""/>
            </v:shape>
            <v:shape style="position:absolute;left:6926;top:4560;width:1570;height:776" type="#_x0000_t75" stroked="false">
              <v:imagedata r:id="rId532" o:title=""/>
            </v:shape>
            <v:shape style="position:absolute;left:4300;top:4560;width:2633;height:401" type="#_x0000_t75" stroked="false">
              <v:imagedata r:id="rId533" o:title=""/>
            </v:shape>
            <v:shape style="position:absolute;left:8488;top:4939;width:3140;height:1371" type="#_x0000_t75" stroked="false">
              <v:imagedata r:id="rId526" o:title=""/>
            </v:shape>
            <v:shape style="position:absolute;left:6926;top:5332;width:1570;height:977" type="#_x0000_t75" stroked="false">
              <v:imagedata r:id="rId527" o:title=""/>
            </v:shape>
            <v:shape style="position:absolute;left:8488;top:5920;width:3140;height:776" type="#_x0000_t75" stroked="false">
              <v:imagedata r:id="rId757" o:title=""/>
            </v:shape>
            <v:shape style="position:absolute;left:6926;top:6307;width:1570;height:392" type="#_x0000_t75" stroked="false">
              <v:imagedata r:id="rId758" o:title=""/>
            </v:shape>
            <v:shape style="position:absolute;left:8488;top:6307;width:3140;height:776" type="#_x0000_t75" stroked="false">
              <v:imagedata r:id="rId757" o:title=""/>
            </v:shape>
            <v:shape style="position:absolute;left:6926;top:6693;width:1570;height:392" type="#_x0000_t75" stroked="false">
              <v:imagedata r:id="rId759" o:title=""/>
            </v:shape>
            <v:shape style="position:absolute;left:8488;top:6693;width:3140;height:776" type="#_x0000_t75" stroked="false">
              <v:imagedata r:id="rId757" o:title=""/>
            </v:shape>
            <v:shape style="position:absolute;left:6926;top:7080;width:1570;height:392" type="#_x0000_t75" stroked="false">
              <v:imagedata r:id="rId758" o:title=""/>
            </v:shape>
            <v:shape style="position:absolute;left:8488;top:7080;width:3140;height:780" type="#_x0000_t75" stroked="false">
              <v:imagedata r:id="rId528" o:title=""/>
            </v:shape>
            <v:shape style="position:absolute;left:6926;top:7466;width:1570;height:394" type="#_x0000_t75" stroked="false">
              <v:imagedata r:id="rId529" o:title=""/>
            </v:shape>
            <v:shape style="position:absolute;left:6926;top:7466;width:4702;height:1167" type="#_x0000_t75" stroked="false">
              <v:imagedata r:id="rId678" o:title=""/>
            </v:shape>
            <v:shape style="position:absolute;left:542;top:5332;width:3766;height:4080" type="#_x0000_t75" stroked="false">
              <v:imagedata r:id="rId537" o:title=""/>
            </v:shape>
            <v:shape style="position:absolute;left:6926;top:8239;width:4702;height:780" type="#_x0000_t75" stroked="false">
              <v:imagedata r:id="rId679" o:title=""/>
            </v:shape>
            <v:shape style="position:absolute;left:4300;top:8625;width:7328;height:788" type="#_x0000_t75" stroked="false">
              <v:imagedata r:id="rId680" o:title=""/>
            </v:shape>
            <v:line style="position:absolute" from="1379,9403" to="1379,9782" stroked="true" strokeweight=".360003pt" strokecolor="#ffffff">
              <v:stroke dashstyle="solid"/>
            </v:line>
            <v:shape style="position:absolute;left:4300;top:9012;width:7328;height:1191" type="#_x0000_t75" stroked="false">
              <v:imagedata r:id="rId681" o:title=""/>
            </v:shape>
            <v:shape style="position:absolute;left:542;top:9398;width:3766;height:804" type="#_x0000_t75" stroked="false">
              <v:imagedata r:id="rId541" o:title=""/>
            </v:shape>
            <v:line style="position:absolute" from="1379,10193" to="1379,10572" stroked="true" strokeweight=".360003pt" strokecolor="#ffffff">
              <v:stroke dashstyle="solid"/>
            </v:line>
            <v:shape style="position:absolute;left:6926;top:9986;width:4702;height:1200" type="#_x0000_t75" stroked="false">
              <v:imagedata r:id="rId682" o:title=""/>
            </v:shape>
            <v:shape style="position:absolute;left:6926;top:10977;width:4702;height:596" type="#_x0000_t75" stroked="false">
              <v:imagedata r:id="rId683" o:title=""/>
            </v:shape>
            <v:shape style="position:absolute;left:6926;top:11179;width:4702;height:982" type="#_x0000_t75" stroked="false">
              <v:imagedata r:id="rId684" o:title=""/>
            </v:shape>
            <v:shape style="position:absolute;left:6926;top:11952;width:4702;height:596" type="#_x0000_t75" stroked="false">
              <v:imagedata r:id="rId683" o:title=""/>
            </v:shape>
            <v:shape style="position:absolute;left:542;top:10188;width:3766;height:3140" type="#_x0000_t75" stroked="false">
              <v:imagedata r:id="rId546" o:title=""/>
            </v:shape>
            <v:shape style="position:absolute;left:8488;top:12153;width:3140;height:394" type="#_x0000_t75" stroked="false">
              <v:imagedata r:id="rId685" o:title=""/>
            </v:shape>
            <v:shape style="position:absolute;left:6926;top:12540;width:1570;height:394" type="#_x0000_t75" stroked="false">
              <v:imagedata r:id="rId529" o:title=""/>
            </v:shape>
            <v:shape style="position:absolute;left:8488;top:12540;width:1570;height:394" type="#_x0000_t75" stroked="false">
              <v:imagedata r:id="rId529" o:title=""/>
            </v:shape>
            <v:rect style="position:absolute;left:10056;top:12544;width:1563;height:387" filled="true" fillcolor="#dfdfdf" stroked="false">
              <v:fill type="solid"/>
            </v:rect>
            <v:shape style="position:absolute;left:4300;top:12540;width:7328;height:788" type="#_x0000_t75" stroked="false">
              <v:imagedata r:id="rId686" o:title=""/>
            </v:shape>
            <v:shape style="position:absolute;left:10051;top:12926;width:1577;height:401" type="#_x0000_t75" stroked="false">
              <v:imagedata r:id="rId549" o:title=""/>
            </v:shape>
            <w10:wrap type="none"/>
          </v:group>
        </w:pict>
      </w:r>
    </w:p>
    <w:p>
      <w:pPr>
        <w:pStyle w:val="BodyText"/>
        <w:rPr>
          <w:sz w:val="20"/>
        </w:rPr>
      </w:pPr>
    </w:p>
    <w:p>
      <w:pPr>
        <w:pStyle w:val="BodyText"/>
        <w:spacing w:before="11"/>
        <w:rPr>
          <w:sz w:val="28"/>
        </w:rPr>
      </w:pPr>
    </w:p>
    <w:tbl>
      <w:tblPr>
        <w:tblW w:w="0" w:type="auto"/>
        <w:jc w:val="left"/>
        <w:tblInd w:w="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66"/>
        <w:gridCol w:w="1518"/>
        <w:gridCol w:w="1115"/>
        <w:gridCol w:w="1782"/>
        <w:gridCol w:w="1519"/>
        <w:gridCol w:w="997"/>
        <w:gridCol w:w="412"/>
      </w:tblGrid>
      <w:tr>
        <w:trPr>
          <w:trHeight w:val="338" w:hRule="atLeast"/>
        </w:trPr>
        <w:tc>
          <w:tcPr>
            <w:tcW w:w="3766" w:type="dxa"/>
          </w:tcPr>
          <w:p>
            <w:pPr>
              <w:pStyle w:val="TableParagraph"/>
              <w:spacing w:line="147" w:lineRule="exact" w:before="171"/>
              <w:ind w:left="50"/>
              <w:rPr>
                <w:b/>
                <w:sz w:val="14"/>
              </w:rPr>
            </w:pPr>
            <w:r>
              <w:rPr>
                <w:b/>
                <w:w w:val="105"/>
                <w:sz w:val="14"/>
              </w:rPr>
              <w:t>Description</w:t>
            </w:r>
          </w:p>
        </w:tc>
        <w:tc>
          <w:tcPr>
            <w:tcW w:w="1518" w:type="dxa"/>
          </w:tcPr>
          <w:p>
            <w:pPr>
              <w:pStyle w:val="TableParagraph"/>
              <w:spacing w:before="10"/>
              <w:rPr>
                <w:sz w:val="14"/>
              </w:rPr>
            </w:pPr>
          </w:p>
          <w:p>
            <w:pPr>
              <w:pStyle w:val="TableParagraph"/>
              <w:spacing w:line="147" w:lineRule="exact"/>
              <w:ind w:left="244" w:right="122"/>
              <w:jc w:val="center"/>
              <w:rPr>
                <w:b/>
                <w:sz w:val="14"/>
              </w:rPr>
            </w:pPr>
            <w:r>
              <w:rPr>
                <w:b/>
                <w:w w:val="105"/>
                <w:sz w:val="14"/>
              </w:rPr>
              <w:t>Function Codes</w:t>
            </w:r>
          </w:p>
        </w:tc>
        <w:tc>
          <w:tcPr>
            <w:tcW w:w="1115" w:type="dxa"/>
          </w:tcPr>
          <w:p>
            <w:pPr>
              <w:pStyle w:val="TableParagraph"/>
              <w:spacing w:before="10"/>
              <w:rPr>
                <w:sz w:val="14"/>
              </w:rPr>
            </w:pPr>
          </w:p>
          <w:p>
            <w:pPr>
              <w:pStyle w:val="TableParagraph"/>
              <w:spacing w:line="147" w:lineRule="exact"/>
              <w:ind w:left="121" w:right="6"/>
              <w:jc w:val="center"/>
              <w:rPr>
                <w:b/>
                <w:sz w:val="14"/>
              </w:rPr>
            </w:pPr>
            <w:r>
              <w:rPr>
                <w:b/>
                <w:w w:val="105"/>
                <w:sz w:val="14"/>
              </w:rPr>
              <w:t>Object Codes</w:t>
            </w:r>
          </w:p>
        </w:tc>
        <w:tc>
          <w:tcPr>
            <w:tcW w:w="1782" w:type="dxa"/>
          </w:tcPr>
          <w:p>
            <w:pPr>
              <w:pStyle w:val="TableParagraph"/>
              <w:spacing w:before="1"/>
              <w:ind w:left="127" w:right="335"/>
              <w:jc w:val="center"/>
              <w:rPr>
                <w:b/>
                <w:sz w:val="14"/>
              </w:rPr>
            </w:pPr>
            <w:r>
              <w:rPr>
                <w:b/>
                <w:w w:val="105"/>
                <w:sz w:val="14"/>
              </w:rPr>
              <w:t>2020-21</w:t>
            </w:r>
          </w:p>
          <w:p>
            <w:pPr>
              <w:pStyle w:val="TableParagraph"/>
              <w:spacing w:line="147" w:lineRule="exact" w:before="9"/>
              <w:ind w:left="127" w:right="339"/>
              <w:jc w:val="center"/>
              <w:rPr>
                <w:b/>
                <w:sz w:val="14"/>
              </w:rPr>
            </w:pPr>
            <w:r>
              <w:rPr>
                <w:b/>
                <w:w w:val="105"/>
                <w:sz w:val="14"/>
              </w:rPr>
              <w:t>Estimated Actuals</w:t>
            </w:r>
          </w:p>
        </w:tc>
        <w:tc>
          <w:tcPr>
            <w:tcW w:w="1519" w:type="dxa"/>
          </w:tcPr>
          <w:p>
            <w:pPr>
              <w:pStyle w:val="TableParagraph"/>
              <w:spacing w:before="1"/>
              <w:ind w:left="297"/>
              <w:rPr>
                <w:b/>
                <w:sz w:val="14"/>
              </w:rPr>
            </w:pPr>
            <w:r>
              <w:rPr>
                <w:b/>
                <w:w w:val="105"/>
                <w:sz w:val="14"/>
              </w:rPr>
              <w:t>2021-22</w:t>
            </w:r>
          </w:p>
          <w:p>
            <w:pPr>
              <w:pStyle w:val="TableParagraph"/>
              <w:spacing w:line="147" w:lineRule="exact" w:before="9"/>
              <w:ind w:left="314"/>
              <w:rPr>
                <w:b/>
                <w:sz w:val="14"/>
              </w:rPr>
            </w:pPr>
            <w:r>
              <w:rPr>
                <w:b/>
                <w:w w:val="105"/>
                <w:sz w:val="14"/>
              </w:rPr>
              <w:t>Budget</w:t>
            </w:r>
          </w:p>
        </w:tc>
        <w:tc>
          <w:tcPr>
            <w:tcW w:w="997" w:type="dxa"/>
          </w:tcPr>
          <w:p>
            <w:pPr>
              <w:pStyle w:val="TableParagraph"/>
              <w:spacing w:before="1"/>
              <w:ind w:left="341"/>
              <w:rPr>
                <w:b/>
                <w:sz w:val="14"/>
              </w:rPr>
            </w:pPr>
            <w:r>
              <w:rPr>
                <w:b/>
                <w:w w:val="105"/>
                <w:sz w:val="14"/>
              </w:rPr>
              <w:t>Percent</w:t>
            </w:r>
          </w:p>
          <w:p>
            <w:pPr>
              <w:pStyle w:val="TableParagraph"/>
              <w:spacing w:line="147" w:lineRule="exact" w:before="9"/>
              <w:ind w:left="252"/>
              <w:rPr>
                <w:b/>
                <w:sz w:val="14"/>
              </w:rPr>
            </w:pPr>
            <w:r>
              <w:rPr>
                <w:b/>
                <w:w w:val="105"/>
                <w:sz w:val="14"/>
              </w:rPr>
              <w:t>Difference</w:t>
            </w:r>
          </w:p>
        </w:tc>
        <w:tc>
          <w:tcPr>
            <w:tcW w:w="412" w:type="dxa"/>
          </w:tcPr>
          <w:p>
            <w:pPr>
              <w:pStyle w:val="TableParagraph"/>
              <w:rPr>
                <w:rFonts w:ascii="Times New Roman"/>
                <w:sz w:val="14"/>
              </w:rPr>
            </w:pPr>
          </w:p>
        </w:tc>
      </w:tr>
      <w:tr>
        <w:trPr>
          <w:trHeight w:val="594" w:hRule="atLeast"/>
        </w:trPr>
        <w:tc>
          <w:tcPr>
            <w:tcW w:w="3766" w:type="dxa"/>
          </w:tcPr>
          <w:p>
            <w:pPr>
              <w:pStyle w:val="TableParagraph"/>
              <w:rPr>
                <w:sz w:val="19"/>
              </w:rPr>
            </w:pPr>
          </w:p>
          <w:p>
            <w:pPr>
              <w:pStyle w:val="TableParagraph"/>
              <w:ind w:left="50"/>
              <w:rPr>
                <w:b/>
                <w:sz w:val="14"/>
              </w:rPr>
            </w:pPr>
            <w:r>
              <w:rPr>
                <w:b/>
                <w:w w:val="105"/>
                <w:sz w:val="14"/>
              </w:rPr>
              <w:t>A. REVENUES</w:t>
            </w:r>
          </w:p>
        </w:tc>
        <w:tc>
          <w:tcPr>
            <w:tcW w:w="1518" w:type="dxa"/>
          </w:tcPr>
          <w:p>
            <w:pPr>
              <w:pStyle w:val="TableParagraph"/>
              <w:rPr>
                <w:rFonts w:ascii="Times New Roman"/>
                <w:sz w:val="14"/>
              </w:rPr>
            </w:pPr>
          </w:p>
        </w:tc>
        <w:tc>
          <w:tcPr>
            <w:tcW w:w="1115" w:type="dxa"/>
          </w:tcPr>
          <w:p>
            <w:pPr>
              <w:pStyle w:val="TableParagraph"/>
              <w:rPr>
                <w:rFonts w:ascii="Times New Roman"/>
                <w:sz w:val="14"/>
              </w:rPr>
            </w:pPr>
          </w:p>
        </w:tc>
        <w:tc>
          <w:tcPr>
            <w:tcW w:w="1782" w:type="dxa"/>
          </w:tcPr>
          <w:p>
            <w:pPr>
              <w:pStyle w:val="TableParagraph"/>
              <w:rPr>
                <w:rFonts w:ascii="Times New Roman"/>
                <w:sz w:val="14"/>
              </w:rPr>
            </w:pPr>
          </w:p>
        </w:tc>
        <w:tc>
          <w:tcPr>
            <w:tcW w:w="1519" w:type="dxa"/>
          </w:tcPr>
          <w:p>
            <w:pPr>
              <w:pStyle w:val="TableParagraph"/>
              <w:rPr>
                <w:rFonts w:ascii="Times New Roman"/>
                <w:sz w:val="14"/>
              </w:rPr>
            </w:pPr>
          </w:p>
        </w:tc>
        <w:tc>
          <w:tcPr>
            <w:tcW w:w="997" w:type="dxa"/>
            <w:shd w:val="clear" w:color="auto" w:fill="DFDFDF"/>
          </w:tcPr>
          <w:p>
            <w:pPr>
              <w:pStyle w:val="TableParagraph"/>
              <w:rPr>
                <w:rFonts w:ascii="Times New Roman"/>
                <w:sz w:val="14"/>
              </w:rPr>
            </w:pPr>
          </w:p>
        </w:tc>
        <w:tc>
          <w:tcPr>
            <w:tcW w:w="412" w:type="dxa"/>
            <w:shd w:val="clear" w:color="auto" w:fill="DFDFDF"/>
          </w:tcPr>
          <w:p>
            <w:pPr>
              <w:pStyle w:val="TableParagraph"/>
              <w:rPr>
                <w:rFonts w:ascii="Times New Roman"/>
                <w:sz w:val="14"/>
              </w:rPr>
            </w:pPr>
          </w:p>
        </w:tc>
      </w:tr>
      <w:tr>
        <w:trPr>
          <w:trHeight w:val="488" w:hRule="atLeast"/>
        </w:trPr>
        <w:tc>
          <w:tcPr>
            <w:tcW w:w="3766" w:type="dxa"/>
          </w:tcPr>
          <w:p>
            <w:pPr>
              <w:pStyle w:val="TableParagraph"/>
              <w:spacing w:before="7"/>
              <w:rPr>
                <w:sz w:val="18"/>
              </w:rPr>
            </w:pPr>
          </w:p>
          <w:p>
            <w:pPr>
              <w:pStyle w:val="TableParagraph"/>
              <w:ind w:left="212"/>
              <w:rPr>
                <w:sz w:val="14"/>
              </w:rPr>
            </w:pPr>
            <w:r>
              <w:rPr>
                <w:w w:val="105"/>
                <w:sz w:val="14"/>
              </w:rPr>
              <w:t>1) LCFF Sources</w:t>
            </w:r>
          </w:p>
        </w:tc>
        <w:tc>
          <w:tcPr>
            <w:tcW w:w="1518" w:type="dxa"/>
          </w:tcPr>
          <w:p>
            <w:pPr>
              <w:pStyle w:val="TableParagraph"/>
              <w:rPr>
                <w:rFonts w:ascii="Times New Roman"/>
                <w:sz w:val="14"/>
              </w:rPr>
            </w:pPr>
          </w:p>
        </w:tc>
        <w:tc>
          <w:tcPr>
            <w:tcW w:w="1115" w:type="dxa"/>
          </w:tcPr>
          <w:p>
            <w:pPr>
              <w:pStyle w:val="TableParagraph"/>
              <w:spacing w:before="7"/>
              <w:rPr>
                <w:sz w:val="18"/>
              </w:rPr>
            </w:pPr>
          </w:p>
          <w:p>
            <w:pPr>
              <w:pStyle w:val="TableParagraph"/>
              <w:ind w:left="118" w:right="6"/>
              <w:jc w:val="center"/>
              <w:rPr>
                <w:sz w:val="14"/>
              </w:rPr>
            </w:pPr>
            <w:r>
              <w:rPr>
                <w:w w:val="105"/>
                <w:sz w:val="14"/>
              </w:rPr>
              <w:t>8010-8099</w:t>
            </w:r>
          </w:p>
        </w:tc>
        <w:tc>
          <w:tcPr>
            <w:tcW w:w="1782" w:type="dxa"/>
            <w:shd w:val="clear" w:color="auto" w:fill="DFDFDF"/>
          </w:tcPr>
          <w:p>
            <w:pPr>
              <w:pStyle w:val="TableParagraph"/>
              <w:spacing w:before="7"/>
              <w:rPr>
                <w:sz w:val="18"/>
              </w:rPr>
            </w:pPr>
          </w:p>
          <w:p>
            <w:pPr>
              <w:pStyle w:val="TableParagraph"/>
              <w:ind w:right="299"/>
              <w:jc w:val="right"/>
              <w:rPr>
                <w:sz w:val="14"/>
              </w:rPr>
            </w:pPr>
            <w:r>
              <w:rPr>
                <w:sz w:val="14"/>
              </w:rPr>
              <w:t>0.00</w:t>
            </w:r>
          </w:p>
        </w:tc>
        <w:tc>
          <w:tcPr>
            <w:tcW w:w="1519" w:type="dxa"/>
            <w:shd w:val="clear" w:color="auto" w:fill="DFDFDF"/>
          </w:tcPr>
          <w:p>
            <w:pPr>
              <w:pStyle w:val="TableParagraph"/>
              <w:spacing w:before="7"/>
              <w:rPr>
                <w:sz w:val="18"/>
              </w:rPr>
            </w:pPr>
          </w:p>
          <w:p>
            <w:pPr>
              <w:pStyle w:val="TableParagraph"/>
              <w:ind w:right="255"/>
              <w:jc w:val="right"/>
              <w:rPr>
                <w:sz w:val="14"/>
              </w:rPr>
            </w:pPr>
            <w:r>
              <w:rPr>
                <w:sz w:val="14"/>
              </w:rPr>
              <w:t>0.00</w:t>
            </w:r>
          </w:p>
        </w:tc>
        <w:tc>
          <w:tcPr>
            <w:tcW w:w="997" w:type="dxa"/>
            <w:shd w:val="clear" w:color="auto" w:fill="DFDFDF"/>
          </w:tcPr>
          <w:p>
            <w:pPr>
              <w:pStyle w:val="TableParagraph"/>
              <w:rPr>
                <w:rFonts w:ascii="Times New Roman"/>
                <w:sz w:val="14"/>
              </w:rPr>
            </w:pPr>
          </w:p>
        </w:tc>
        <w:tc>
          <w:tcPr>
            <w:tcW w:w="412" w:type="dxa"/>
            <w:shd w:val="clear" w:color="auto" w:fill="DFDFDF"/>
          </w:tcPr>
          <w:p>
            <w:pPr>
              <w:pStyle w:val="TableParagraph"/>
              <w:spacing w:before="7"/>
              <w:rPr>
                <w:sz w:val="18"/>
              </w:rPr>
            </w:pPr>
          </w:p>
          <w:p>
            <w:pPr>
              <w:pStyle w:val="TableParagraph"/>
              <w:ind w:right="53"/>
              <w:jc w:val="right"/>
              <w:rPr>
                <w:sz w:val="14"/>
              </w:rPr>
            </w:pPr>
            <w:r>
              <w:rPr>
                <w:sz w:val="14"/>
              </w:rPr>
              <w:t>0.0%</w:t>
            </w:r>
          </w:p>
        </w:tc>
      </w:tr>
      <w:tr>
        <w:trPr>
          <w:trHeight w:val="277" w:hRule="atLeast"/>
        </w:trPr>
        <w:tc>
          <w:tcPr>
            <w:tcW w:w="3766" w:type="dxa"/>
          </w:tcPr>
          <w:p>
            <w:pPr>
              <w:pStyle w:val="TableParagraph"/>
              <w:spacing w:line="145" w:lineRule="exact" w:before="112"/>
              <w:ind w:left="212"/>
              <w:rPr>
                <w:sz w:val="14"/>
              </w:rPr>
            </w:pPr>
            <w:r>
              <w:rPr>
                <w:w w:val="105"/>
                <w:sz w:val="14"/>
              </w:rPr>
              <w:t>2) Federal Revenue</w:t>
            </w:r>
          </w:p>
        </w:tc>
        <w:tc>
          <w:tcPr>
            <w:tcW w:w="1518" w:type="dxa"/>
          </w:tcPr>
          <w:p>
            <w:pPr>
              <w:pStyle w:val="TableParagraph"/>
              <w:rPr>
                <w:rFonts w:ascii="Times New Roman"/>
                <w:sz w:val="14"/>
              </w:rPr>
            </w:pPr>
          </w:p>
        </w:tc>
        <w:tc>
          <w:tcPr>
            <w:tcW w:w="1115" w:type="dxa"/>
          </w:tcPr>
          <w:p>
            <w:pPr>
              <w:pStyle w:val="TableParagraph"/>
              <w:spacing w:line="145" w:lineRule="exact" w:before="112"/>
              <w:ind w:left="118" w:right="6"/>
              <w:jc w:val="center"/>
              <w:rPr>
                <w:sz w:val="14"/>
              </w:rPr>
            </w:pPr>
            <w:r>
              <w:rPr>
                <w:w w:val="105"/>
                <w:sz w:val="14"/>
              </w:rPr>
              <w:t>8100-8299</w:t>
            </w:r>
          </w:p>
        </w:tc>
        <w:tc>
          <w:tcPr>
            <w:tcW w:w="1782" w:type="dxa"/>
            <w:shd w:val="clear" w:color="auto" w:fill="DFDFDF"/>
          </w:tcPr>
          <w:p>
            <w:pPr>
              <w:pStyle w:val="TableParagraph"/>
              <w:spacing w:line="145" w:lineRule="exact" w:before="112"/>
              <w:ind w:right="299"/>
              <w:jc w:val="right"/>
              <w:rPr>
                <w:sz w:val="14"/>
              </w:rPr>
            </w:pPr>
            <w:r>
              <w:rPr>
                <w:sz w:val="14"/>
              </w:rPr>
              <w:t>0.00</w:t>
            </w:r>
          </w:p>
        </w:tc>
        <w:tc>
          <w:tcPr>
            <w:tcW w:w="1519" w:type="dxa"/>
            <w:shd w:val="clear" w:color="auto" w:fill="DFDFDF"/>
          </w:tcPr>
          <w:p>
            <w:pPr>
              <w:pStyle w:val="TableParagraph"/>
              <w:spacing w:line="145" w:lineRule="exact" w:before="112"/>
              <w:ind w:right="255"/>
              <w:jc w:val="right"/>
              <w:rPr>
                <w:sz w:val="14"/>
              </w:rPr>
            </w:pPr>
            <w:r>
              <w:rPr>
                <w:sz w:val="14"/>
              </w:rPr>
              <w:t>0.00</w:t>
            </w:r>
          </w:p>
        </w:tc>
        <w:tc>
          <w:tcPr>
            <w:tcW w:w="997" w:type="dxa"/>
            <w:shd w:val="clear" w:color="auto" w:fill="DFDFDF"/>
          </w:tcPr>
          <w:p>
            <w:pPr>
              <w:pStyle w:val="TableParagraph"/>
              <w:rPr>
                <w:rFonts w:ascii="Times New Roman"/>
                <w:sz w:val="14"/>
              </w:rPr>
            </w:pPr>
          </w:p>
        </w:tc>
        <w:tc>
          <w:tcPr>
            <w:tcW w:w="412" w:type="dxa"/>
            <w:shd w:val="clear" w:color="auto" w:fill="DFDFDF"/>
          </w:tcPr>
          <w:p>
            <w:pPr>
              <w:pStyle w:val="TableParagraph"/>
              <w:spacing w:line="145" w:lineRule="exact" w:before="112"/>
              <w:ind w:right="53"/>
              <w:jc w:val="right"/>
              <w:rPr>
                <w:sz w:val="14"/>
              </w:rPr>
            </w:pPr>
            <w:r>
              <w:rPr>
                <w:sz w:val="14"/>
              </w:rPr>
              <w:t>0.0%</w:t>
            </w:r>
          </w:p>
        </w:tc>
      </w:tr>
      <w:tr>
        <w:trPr>
          <w:trHeight w:val="495" w:hRule="atLeast"/>
        </w:trPr>
        <w:tc>
          <w:tcPr>
            <w:tcW w:w="3766" w:type="dxa"/>
          </w:tcPr>
          <w:p>
            <w:pPr>
              <w:pStyle w:val="TableParagraph"/>
              <w:spacing w:before="3"/>
              <w:rPr>
                <w:sz w:val="19"/>
              </w:rPr>
            </w:pPr>
          </w:p>
          <w:p>
            <w:pPr>
              <w:pStyle w:val="TableParagraph"/>
              <w:ind w:left="212"/>
              <w:rPr>
                <w:sz w:val="14"/>
              </w:rPr>
            </w:pPr>
            <w:r>
              <w:rPr>
                <w:w w:val="105"/>
                <w:sz w:val="14"/>
              </w:rPr>
              <w:t>3) Other State Revenue</w:t>
            </w:r>
          </w:p>
        </w:tc>
        <w:tc>
          <w:tcPr>
            <w:tcW w:w="1518" w:type="dxa"/>
          </w:tcPr>
          <w:p>
            <w:pPr>
              <w:pStyle w:val="TableParagraph"/>
              <w:rPr>
                <w:rFonts w:ascii="Times New Roman"/>
                <w:sz w:val="14"/>
              </w:rPr>
            </w:pPr>
          </w:p>
        </w:tc>
        <w:tc>
          <w:tcPr>
            <w:tcW w:w="1115" w:type="dxa"/>
          </w:tcPr>
          <w:p>
            <w:pPr>
              <w:pStyle w:val="TableParagraph"/>
              <w:spacing w:before="3"/>
              <w:rPr>
                <w:sz w:val="19"/>
              </w:rPr>
            </w:pPr>
          </w:p>
          <w:p>
            <w:pPr>
              <w:pStyle w:val="TableParagraph"/>
              <w:ind w:left="118" w:right="6"/>
              <w:jc w:val="center"/>
              <w:rPr>
                <w:sz w:val="14"/>
              </w:rPr>
            </w:pPr>
            <w:r>
              <w:rPr>
                <w:w w:val="105"/>
                <w:sz w:val="14"/>
              </w:rPr>
              <w:t>8300-8599</w:t>
            </w:r>
          </w:p>
        </w:tc>
        <w:tc>
          <w:tcPr>
            <w:tcW w:w="1782" w:type="dxa"/>
          </w:tcPr>
          <w:p>
            <w:pPr>
              <w:pStyle w:val="TableParagraph"/>
              <w:spacing w:before="3"/>
              <w:rPr>
                <w:sz w:val="19"/>
              </w:rPr>
            </w:pPr>
          </w:p>
          <w:p>
            <w:pPr>
              <w:pStyle w:val="TableParagraph"/>
              <w:ind w:right="299"/>
              <w:jc w:val="right"/>
              <w:rPr>
                <w:sz w:val="14"/>
              </w:rPr>
            </w:pPr>
            <w:r>
              <w:rPr>
                <w:sz w:val="14"/>
              </w:rPr>
              <w:t>0.00</w:t>
            </w:r>
          </w:p>
        </w:tc>
        <w:tc>
          <w:tcPr>
            <w:tcW w:w="1519" w:type="dxa"/>
          </w:tcPr>
          <w:p>
            <w:pPr>
              <w:pStyle w:val="TableParagraph"/>
              <w:spacing w:before="3"/>
              <w:rPr>
                <w:sz w:val="19"/>
              </w:rPr>
            </w:pPr>
          </w:p>
          <w:p>
            <w:pPr>
              <w:pStyle w:val="TableParagraph"/>
              <w:ind w:right="255"/>
              <w:jc w:val="right"/>
              <w:rPr>
                <w:sz w:val="14"/>
              </w:rPr>
            </w:pPr>
            <w:r>
              <w:rPr>
                <w:sz w:val="14"/>
              </w:rPr>
              <w:t>0.00</w:t>
            </w:r>
          </w:p>
        </w:tc>
        <w:tc>
          <w:tcPr>
            <w:tcW w:w="997" w:type="dxa"/>
          </w:tcPr>
          <w:p>
            <w:pPr>
              <w:pStyle w:val="TableParagraph"/>
              <w:rPr>
                <w:rFonts w:ascii="Times New Roman"/>
                <w:sz w:val="14"/>
              </w:rPr>
            </w:pPr>
          </w:p>
        </w:tc>
        <w:tc>
          <w:tcPr>
            <w:tcW w:w="412" w:type="dxa"/>
          </w:tcPr>
          <w:p>
            <w:pPr>
              <w:pStyle w:val="TableParagraph"/>
              <w:spacing w:before="3"/>
              <w:rPr>
                <w:sz w:val="19"/>
              </w:rPr>
            </w:pPr>
          </w:p>
          <w:p>
            <w:pPr>
              <w:pStyle w:val="TableParagraph"/>
              <w:ind w:right="53"/>
              <w:jc w:val="right"/>
              <w:rPr>
                <w:sz w:val="14"/>
              </w:rPr>
            </w:pPr>
            <w:r>
              <w:rPr>
                <w:sz w:val="14"/>
              </w:rPr>
              <w:t>0.0%</w:t>
            </w:r>
          </w:p>
        </w:tc>
      </w:tr>
      <w:tr>
        <w:trPr>
          <w:trHeight w:val="386" w:hRule="atLeast"/>
        </w:trPr>
        <w:tc>
          <w:tcPr>
            <w:tcW w:w="3766" w:type="dxa"/>
          </w:tcPr>
          <w:p>
            <w:pPr>
              <w:pStyle w:val="TableParagraph"/>
              <w:spacing w:before="112"/>
              <w:ind w:left="212"/>
              <w:rPr>
                <w:sz w:val="14"/>
              </w:rPr>
            </w:pPr>
            <w:r>
              <w:rPr>
                <w:w w:val="105"/>
                <w:sz w:val="14"/>
              </w:rPr>
              <w:t>4) Other Local Revenue</w:t>
            </w:r>
          </w:p>
        </w:tc>
        <w:tc>
          <w:tcPr>
            <w:tcW w:w="1518" w:type="dxa"/>
          </w:tcPr>
          <w:p>
            <w:pPr>
              <w:pStyle w:val="TableParagraph"/>
              <w:rPr>
                <w:rFonts w:ascii="Times New Roman"/>
                <w:sz w:val="14"/>
              </w:rPr>
            </w:pPr>
          </w:p>
        </w:tc>
        <w:tc>
          <w:tcPr>
            <w:tcW w:w="1115" w:type="dxa"/>
          </w:tcPr>
          <w:p>
            <w:pPr>
              <w:pStyle w:val="TableParagraph"/>
              <w:spacing w:before="112"/>
              <w:ind w:left="118" w:right="6"/>
              <w:jc w:val="center"/>
              <w:rPr>
                <w:sz w:val="14"/>
              </w:rPr>
            </w:pPr>
            <w:r>
              <w:rPr>
                <w:w w:val="105"/>
                <w:sz w:val="14"/>
              </w:rPr>
              <w:t>8600-8799</w:t>
            </w:r>
          </w:p>
        </w:tc>
        <w:tc>
          <w:tcPr>
            <w:tcW w:w="1782" w:type="dxa"/>
          </w:tcPr>
          <w:p>
            <w:pPr>
              <w:pStyle w:val="TableParagraph"/>
              <w:spacing w:before="112"/>
              <w:ind w:right="299"/>
              <w:jc w:val="right"/>
              <w:rPr>
                <w:sz w:val="14"/>
              </w:rPr>
            </w:pPr>
            <w:r>
              <w:rPr>
                <w:sz w:val="14"/>
              </w:rPr>
              <w:t>175.00</w:t>
            </w:r>
          </w:p>
        </w:tc>
        <w:tc>
          <w:tcPr>
            <w:tcW w:w="1519" w:type="dxa"/>
          </w:tcPr>
          <w:p>
            <w:pPr>
              <w:pStyle w:val="TableParagraph"/>
              <w:spacing w:before="112"/>
              <w:ind w:right="256"/>
              <w:jc w:val="right"/>
              <w:rPr>
                <w:sz w:val="14"/>
              </w:rPr>
            </w:pPr>
            <w:r>
              <w:rPr>
                <w:sz w:val="14"/>
              </w:rPr>
              <w:t>175.00</w:t>
            </w:r>
          </w:p>
        </w:tc>
        <w:tc>
          <w:tcPr>
            <w:tcW w:w="997" w:type="dxa"/>
          </w:tcPr>
          <w:p>
            <w:pPr>
              <w:pStyle w:val="TableParagraph"/>
              <w:rPr>
                <w:rFonts w:ascii="Times New Roman"/>
                <w:sz w:val="14"/>
              </w:rPr>
            </w:pPr>
          </w:p>
        </w:tc>
        <w:tc>
          <w:tcPr>
            <w:tcW w:w="412" w:type="dxa"/>
          </w:tcPr>
          <w:p>
            <w:pPr>
              <w:pStyle w:val="TableParagraph"/>
              <w:spacing w:before="112"/>
              <w:ind w:right="53"/>
              <w:jc w:val="right"/>
              <w:rPr>
                <w:sz w:val="14"/>
              </w:rPr>
            </w:pPr>
            <w:r>
              <w:rPr>
                <w:sz w:val="14"/>
              </w:rPr>
              <w:t>0.0%</w:t>
            </w:r>
          </w:p>
        </w:tc>
      </w:tr>
      <w:tr>
        <w:trPr>
          <w:trHeight w:val="277" w:hRule="atLeast"/>
        </w:trPr>
        <w:tc>
          <w:tcPr>
            <w:tcW w:w="3766" w:type="dxa"/>
          </w:tcPr>
          <w:p>
            <w:pPr>
              <w:pStyle w:val="TableParagraph"/>
              <w:spacing w:line="145" w:lineRule="exact" w:before="112"/>
              <w:ind w:left="212"/>
              <w:rPr>
                <w:sz w:val="14"/>
              </w:rPr>
            </w:pPr>
            <w:r>
              <w:rPr>
                <w:w w:val="105"/>
                <w:sz w:val="14"/>
              </w:rPr>
              <w:t>5) TOTAL, REVENUES</w:t>
            </w:r>
          </w:p>
        </w:tc>
        <w:tc>
          <w:tcPr>
            <w:tcW w:w="1518" w:type="dxa"/>
          </w:tcPr>
          <w:p>
            <w:pPr>
              <w:pStyle w:val="TableParagraph"/>
              <w:rPr>
                <w:rFonts w:ascii="Times New Roman"/>
                <w:sz w:val="14"/>
              </w:rPr>
            </w:pPr>
          </w:p>
        </w:tc>
        <w:tc>
          <w:tcPr>
            <w:tcW w:w="1115" w:type="dxa"/>
          </w:tcPr>
          <w:p>
            <w:pPr>
              <w:pStyle w:val="TableParagraph"/>
              <w:rPr>
                <w:rFonts w:ascii="Times New Roman"/>
                <w:sz w:val="14"/>
              </w:rPr>
            </w:pPr>
          </w:p>
        </w:tc>
        <w:tc>
          <w:tcPr>
            <w:tcW w:w="1782" w:type="dxa"/>
          </w:tcPr>
          <w:p>
            <w:pPr>
              <w:pStyle w:val="TableParagraph"/>
              <w:spacing w:line="145" w:lineRule="exact" w:before="112"/>
              <w:ind w:right="299"/>
              <w:jc w:val="right"/>
              <w:rPr>
                <w:sz w:val="14"/>
              </w:rPr>
            </w:pPr>
            <w:r>
              <w:rPr>
                <w:sz w:val="14"/>
              </w:rPr>
              <w:t>175.00</w:t>
            </w:r>
          </w:p>
        </w:tc>
        <w:tc>
          <w:tcPr>
            <w:tcW w:w="1519" w:type="dxa"/>
          </w:tcPr>
          <w:p>
            <w:pPr>
              <w:pStyle w:val="TableParagraph"/>
              <w:spacing w:line="145" w:lineRule="exact" w:before="112"/>
              <w:ind w:right="256"/>
              <w:jc w:val="right"/>
              <w:rPr>
                <w:sz w:val="14"/>
              </w:rPr>
            </w:pPr>
            <w:r>
              <w:rPr>
                <w:sz w:val="14"/>
              </w:rPr>
              <w:t>175.00</w:t>
            </w:r>
          </w:p>
        </w:tc>
        <w:tc>
          <w:tcPr>
            <w:tcW w:w="997" w:type="dxa"/>
          </w:tcPr>
          <w:p>
            <w:pPr>
              <w:pStyle w:val="TableParagraph"/>
              <w:rPr>
                <w:rFonts w:ascii="Times New Roman"/>
                <w:sz w:val="14"/>
              </w:rPr>
            </w:pPr>
          </w:p>
        </w:tc>
        <w:tc>
          <w:tcPr>
            <w:tcW w:w="412" w:type="dxa"/>
          </w:tcPr>
          <w:p>
            <w:pPr>
              <w:pStyle w:val="TableParagraph"/>
              <w:spacing w:line="145" w:lineRule="exact" w:before="112"/>
              <w:ind w:right="53"/>
              <w:jc w:val="right"/>
              <w:rPr>
                <w:sz w:val="14"/>
              </w:rPr>
            </w:pPr>
            <w:r>
              <w:rPr>
                <w:sz w:val="14"/>
              </w:rPr>
              <w:t>0.0%</w:t>
            </w:r>
          </w:p>
        </w:tc>
      </w:tr>
      <w:tr>
        <w:trPr>
          <w:trHeight w:val="808" w:hRule="atLeast"/>
        </w:trPr>
        <w:tc>
          <w:tcPr>
            <w:tcW w:w="6399" w:type="dxa"/>
            <w:gridSpan w:val="3"/>
          </w:tcPr>
          <w:p>
            <w:pPr>
              <w:pStyle w:val="TableParagraph"/>
              <w:rPr>
                <w:sz w:val="19"/>
              </w:rPr>
            </w:pPr>
          </w:p>
          <w:p>
            <w:pPr>
              <w:pStyle w:val="TableParagraph"/>
              <w:ind w:left="50"/>
              <w:rPr>
                <w:b/>
                <w:sz w:val="14"/>
              </w:rPr>
            </w:pPr>
            <w:r>
              <w:rPr>
                <w:b/>
                <w:w w:val="105"/>
                <w:sz w:val="14"/>
              </w:rPr>
              <w:t>B. EXPENDITURES (Objects 1000-7999)</w:t>
            </w:r>
          </w:p>
        </w:tc>
        <w:tc>
          <w:tcPr>
            <w:tcW w:w="4710" w:type="dxa"/>
            <w:gridSpan w:val="4"/>
            <w:shd w:val="clear" w:color="auto" w:fill="DFDFDF"/>
          </w:tcPr>
          <w:p>
            <w:pPr>
              <w:pStyle w:val="TableParagraph"/>
              <w:rPr>
                <w:rFonts w:ascii="Times New Roman"/>
                <w:sz w:val="14"/>
              </w:rPr>
            </w:pPr>
          </w:p>
        </w:tc>
      </w:tr>
      <w:tr>
        <w:trPr>
          <w:trHeight w:val="274" w:hRule="atLeast"/>
        </w:trPr>
        <w:tc>
          <w:tcPr>
            <w:tcW w:w="3766" w:type="dxa"/>
          </w:tcPr>
          <w:p>
            <w:pPr>
              <w:pStyle w:val="TableParagraph"/>
              <w:spacing w:before="1"/>
              <w:ind w:left="212"/>
              <w:rPr>
                <w:sz w:val="14"/>
              </w:rPr>
            </w:pPr>
            <w:r>
              <w:rPr>
                <w:w w:val="105"/>
                <w:sz w:val="14"/>
              </w:rPr>
              <w:t>1) Instruction</w:t>
            </w:r>
          </w:p>
        </w:tc>
        <w:tc>
          <w:tcPr>
            <w:tcW w:w="1518" w:type="dxa"/>
          </w:tcPr>
          <w:p>
            <w:pPr>
              <w:pStyle w:val="TableParagraph"/>
              <w:spacing w:before="1"/>
              <w:ind w:left="241" w:right="122"/>
              <w:jc w:val="center"/>
              <w:rPr>
                <w:sz w:val="14"/>
              </w:rPr>
            </w:pPr>
            <w:r>
              <w:rPr>
                <w:w w:val="105"/>
                <w:sz w:val="14"/>
              </w:rPr>
              <w:t>1000-1999</w:t>
            </w:r>
          </w:p>
        </w:tc>
        <w:tc>
          <w:tcPr>
            <w:tcW w:w="1115" w:type="dxa"/>
          </w:tcPr>
          <w:p>
            <w:pPr>
              <w:pStyle w:val="TableParagraph"/>
              <w:rPr>
                <w:rFonts w:ascii="Times New Roman"/>
                <w:sz w:val="14"/>
              </w:rPr>
            </w:pPr>
          </w:p>
        </w:tc>
        <w:tc>
          <w:tcPr>
            <w:tcW w:w="1782" w:type="dxa"/>
            <w:shd w:val="clear" w:color="auto" w:fill="DFDFDF"/>
          </w:tcPr>
          <w:p>
            <w:pPr>
              <w:pStyle w:val="TableParagraph"/>
              <w:spacing w:before="1"/>
              <w:ind w:right="299"/>
              <w:jc w:val="right"/>
              <w:rPr>
                <w:sz w:val="14"/>
              </w:rPr>
            </w:pPr>
            <w:r>
              <w:rPr>
                <w:sz w:val="14"/>
              </w:rPr>
              <w:t>0.00</w:t>
            </w:r>
          </w:p>
        </w:tc>
        <w:tc>
          <w:tcPr>
            <w:tcW w:w="1519" w:type="dxa"/>
            <w:shd w:val="clear" w:color="auto" w:fill="DFDFDF"/>
          </w:tcPr>
          <w:p>
            <w:pPr>
              <w:pStyle w:val="TableParagraph"/>
              <w:spacing w:before="1"/>
              <w:ind w:right="255"/>
              <w:jc w:val="right"/>
              <w:rPr>
                <w:sz w:val="14"/>
              </w:rPr>
            </w:pPr>
            <w:r>
              <w:rPr>
                <w:sz w:val="14"/>
              </w:rPr>
              <w:t>0.00</w:t>
            </w:r>
          </w:p>
        </w:tc>
        <w:tc>
          <w:tcPr>
            <w:tcW w:w="1409" w:type="dxa"/>
            <w:gridSpan w:val="2"/>
            <w:shd w:val="clear" w:color="auto" w:fill="DFDFDF"/>
          </w:tcPr>
          <w:p>
            <w:pPr>
              <w:pStyle w:val="TableParagraph"/>
              <w:spacing w:before="1"/>
              <w:ind w:right="53"/>
              <w:jc w:val="right"/>
              <w:rPr>
                <w:sz w:val="14"/>
              </w:rPr>
            </w:pPr>
            <w:r>
              <w:rPr>
                <w:sz w:val="14"/>
              </w:rPr>
              <w:t>0.0%</w:t>
            </w:r>
          </w:p>
        </w:tc>
      </w:tr>
      <w:tr>
        <w:trPr>
          <w:trHeight w:val="386" w:hRule="atLeast"/>
        </w:trPr>
        <w:tc>
          <w:tcPr>
            <w:tcW w:w="3766" w:type="dxa"/>
          </w:tcPr>
          <w:p>
            <w:pPr>
              <w:pStyle w:val="TableParagraph"/>
              <w:spacing w:before="112"/>
              <w:ind w:left="212"/>
              <w:rPr>
                <w:sz w:val="14"/>
              </w:rPr>
            </w:pPr>
            <w:r>
              <w:rPr>
                <w:w w:val="105"/>
                <w:sz w:val="14"/>
              </w:rPr>
              <w:t>2) Instruction - Related Services</w:t>
            </w:r>
          </w:p>
        </w:tc>
        <w:tc>
          <w:tcPr>
            <w:tcW w:w="1518" w:type="dxa"/>
          </w:tcPr>
          <w:p>
            <w:pPr>
              <w:pStyle w:val="TableParagraph"/>
              <w:spacing w:before="112"/>
              <w:ind w:left="241" w:right="122"/>
              <w:jc w:val="center"/>
              <w:rPr>
                <w:sz w:val="14"/>
              </w:rPr>
            </w:pPr>
            <w:r>
              <w:rPr>
                <w:w w:val="105"/>
                <w:sz w:val="14"/>
              </w:rPr>
              <w:t>2000-2999</w:t>
            </w:r>
          </w:p>
        </w:tc>
        <w:tc>
          <w:tcPr>
            <w:tcW w:w="1115" w:type="dxa"/>
          </w:tcPr>
          <w:p>
            <w:pPr>
              <w:pStyle w:val="TableParagraph"/>
              <w:rPr>
                <w:rFonts w:ascii="Times New Roman"/>
                <w:sz w:val="14"/>
              </w:rPr>
            </w:pPr>
          </w:p>
        </w:tc>
        <w:tc>
          <w:tcPr>
            <w:tcW w:w="1782" w:type="dxa"/>
            <w:shd w:val="clear" w:color="auto" w:fill="DFDFDF"/>
          </w:tcPr>
          <w:p>
            <w:pPr>
              <w:pStyle w:val="TableParagraph"/>
              <w:spacing w:before="112"/>
              <w:ind w:right="299"/>
              <w:jc w:val="right"/>
              <w:rPr>
                <w:sz w:val="14"/>
              </w:rPr>
            </w:pPr>
            <w:r>
              <w:rPr>
                <w:sz w:val="14"/>
              </w:rPr>
              <w:t>0.00</w:t>
            </w:r>
          </w:p>
        </w:tc>
        <w:tc>
          <w:tcPr>
            <w:tcW w:w="1519" w:type="dxa"/>
            <w:shd w:val="clear" w:color="auto" w:fill="DFDFDF"/>
          </w:tcPr>
          <w:p>
            <w:pPr>
              <w:pStyle w:val="TableParagraph"/>
              <w:spacing w:before="112"/>
              <w:ind w:right="255"/>
              <w:jc w:val="right"/>
              <w:rPr>
                <w:sz w:val="14"/>
              </w:rPr>
            </w:pPr>
            <w:r>
              <w:rPr>
                <w:sz w:val="14"/>
              </w:rPr>
              <w:t>0.00</w:t>
            </w:r>
          </w:p>
        </w:tc>
        <w:tc>
          <w:tcPr>
            <w:tcW w:w="1409" w:type="dxa"/>
            <w:gridSpan w:val="2"/>
            <w:shd w:val="clear" w:color="auto" w:fill="DFDFDF"/>
          </w:tcPr>
          <w:p>
            <w:pPr>
              <w:pStyle w:val="TableParagraph"/>
              <w:spacing w:before="112"/>
              <w:ind w:right="53"/>
              <w:jc w:val="right"/>
              <w:rPr>
                <w:sz w:val="14"/>
              </w:rPr>
            </w:pPr>
            <w:r>
              <w:rPr>
                <w:sz w:val="14"/>
              </w:rPr>
              <w:t>0.0%</w:t>
            </w:r>
          </w:p>
        </w:tc>
      </w:tr>
      <w:tr>
        <w:trPr>
          <w:trHeight w:val="386" w:hRule="atLeast"/>
        </w:trPr>
        <w:tc>
          <w:tcPr>
            <w:tcW w:w="3766" w:type="dxa"/>
          </w:tcPr>
          <w:p>
            <w:pPr>
              <w:pStyle w:val="TableParagraph"/>
              <w:spacing w:before="112"/>
              <w:ind w:left="212"/>
              <w:rPr>
                <w:sz w:val="14"/>
              </w:rPr>
            </w:pPr>
            <w:r>
              <w:rPr>
                <w:w w:val="105"/>
                <w:sz w:val="14"/>
              </w:rPr>
              <w:t>3) Pupil Services</w:t>
            </w:r>
          </w:p>
        </w:tc>
        <w:tc>
          <w:tcPr>
            <w:tcW w:w="1518" w:type="dxa"/>
          </w:tcPr>
          <w:p>
            <w:pPr>
              <w:pStyle w:val="TableParagraph"/>
              <w:spacing w:before="112"/>
              <w:ind w:left="241" w:right="122"/>
              <w:jc w:val="center"/>
              <w:rPr>
                <w:sz w:val="14"/>
              </w:rPr>
            </w:pPr>
            <w:r>
              <w:rPr>
                <w:w w:val="105"/>
                <w:sz w:val="14"/>
              </w:rPr>
              <w:t>3000-3999</w:t>
            </w:r>
          </w:p>
        </w:tc>
        <w:tc>
          <w:tcPr>
            <w:tcW w:w="1115" w:type="dxa"/>
          </w:tcPr>
          <w:p>
            <w:pPr>
              <w:pStyle w:val="TableParagraph"/>
              <w:rPr>
                <w:rFonts w:ascii="Times New Roman"/>
                <w:sz w:val="14"/>
              </w:rPr>
            </w:pPr>
          </w:p>
        </w:tc>
        <w:tc>
          <w:tcPr>
            <w:tcW w:w="1782" w:type="dxa"/>
          </w:tcPr>
          <w:p>
            <w:pPr>
              <w:pStyle w:val="TableParagraph"/>
              <w:spacing w:before="112"/>
              <w:ind w:right="299"/>
              <w:jc w:val="right"/>
              <w:rPr>
                <w:sz w:val="14"/>
              </w:rPr>
            </w:pPr>
            <w:r>
              <w:rPr>
                <w:sz w:val="14"/>
              </w:rPr>
              <w:t>0.00</w:t>
            </w:r>
          </w:p>
        </w:tc>
        <w:tc>
          <w:tcPr>
            <w:tcW w:w="1519" w:type="dxa"/>
            <w:shd w:val="clear" w:color="auto" w:fill="DFDFDF"/>
          </w:tcPr>
          <w:p>
            <w:pPr>
              <w:pStyle w:val="TableParagraph"/>
              <w:spacing w:before="112"/>
              <w:ind w:right="255"/>
              <w:jc w:val="right"/>
              <w:rPr>
                <w:sz w:val="14"/>
              </w:rPr>
            </w:pPr>
            <w:r>
              <w:rPr>
                <w:sz w:val="14"/>
              </w:rPr>
              <w:t>0.00</w:t>
            </w:r>
          </w:p>
        </w:tc>
        <w:tc>
          <w:tcPr>
            <w:tcW w:w="1409" w:type="dxa"/>
            <w:gridSpan w:val="2"/>
            <w:shd w:val="clear" w:color="auto" w:fill="DFDFDF"/>
          </w:tcPr>
          <w:p>
            <w:pPr>
              <w:pStyle w:val="TableParagraph"/>
              <w:spacing w:before="112"/>
              <w:ind w:right="53"/>
              <w:jc w:val="right"/>
              <w:rPr>
                <w:sz w:val="14"/>
              </w:rPr>
            </w:pPr>
            <w:r>
              <w:rPr>
                <w:sz w:val="14"/>
              </w:rPr>
              <w:t>0.0%</w:t>
            </w:r>
          </w:p>
        </w:tc>
      </w:tr>
      <w:tr>
        <w:trPr>
          <w:trHeight w:val="386" w:hRule="atLeast"/>
        </w:trPr>
        <w:tc>
          <w:tcPr>
            <w:tcW w:w="3766" w:type="dxa"/>
          </w:tcPr>
          <w:p>
            <w:pPr>
              <w:pStyle w:val="TableParagraph"/>
              <w:spacing w:before="112"/>
              <w:ind w:left="212"/>
              <w:rPr>
                <w:sz w:val="14"/>
              </w:rPr>
            </w:pPr>
            <w:r>
              <w:rPr>
                <w:w w:val="105"/>
                <w:sz w:val="14"/>
              </w:rPr>
              <w:t>4) Ancillary Services</w:t>
            </w:r>
          </w:p>
        </w:tc>
        <w:tc>
          <w:tcPr>
            <w:tcW w:w="1518" w:type="dxa"/>
          </w:tcPr>
          <w:p>
            <w:pPr>
              <w:pStyle w:val="TableParagraph"/>
              <w:spacing w:before="112"/>
              <w:ind w:left="241" w:right="122"/>
              <w:jc w:val="center"/>
              <w:rPr>
                <w:sz w:val="14"/>
              </w:rPr>
            </w:pPr>
            <w:r>
              <w:rPr>
                <w:w w:val="105"/>
                <w:sz w:val="14"/>
              </w:rPr>
              <w:t>4000-4999</w:t>
            </w:r>
          </w:p>
        </w:tc>
        <w:tc>
          <w:tcPr>
            <w:tcW w:w="1115" w:type="dxa"/>
          </w:tcPr>
          <w:p>
            <w:pPr>
              <w:pStyle w:val="TableParagraph"/>
              <w:rPr>
                <w:rFonts w:ascii="Times New Roman"/>
                <w:sz w:val="14"/>
              </w:rPr>
            </w:pPr>
          </w:p>
        </w:tc>
        <w:tc>
          <w:tcPr>
            <w:tcW w:w="1782" w:type="dxa"/>
          </w:tcPr>
          <w:p>
            <w:pPr>
              <w:pStyle w:val="TableParagraph"/>
              <w:spacing w:before="112"/>
              <w:ind w:right="299"/>
              <w:jc w:val="right"/>
              <w:rPr>
                <w:sz w:val="14"/>
              </w:rPr>
            </w:pPr>
            <w:r>
              <w:rPr>
                <w:sz w:val="14"/>
              </w:rPr>
              <w:t>0.00</w:t>
            </w:r>
          </w:p>
        </w:tc>
        <w:tc>
          <w:tcPr>
            <w:tcW w:w="1519" w:type="dxa"/>
            <w:shd w:val="clear" w:color="auto" w:fill="DFDFDF"/>
          </w:tcPr>
          <w:p>
            <w:pPr>
              <w:pStyle w:val="TableParagraph"/>
              <w:spacing w:before="112"/>
              <w:ind w:right="255"/>
              <w:jc w:val="right"/>
              <w:rPr>
                <w:sz w:val="14"/>
              </w:rPr>
            </w:pPr>
            <w:r>
              <w:rPr>
                <w:sz w:val="14"/>
              </w:rPr>
              <w:t>0.00</w:t>
            </w:r>
          </w:p>
        </w:tc>
        <w:tc>
          <w:tcPr>
            <w:tcW w:w="1409" w:type="dxa"/>
            <w:gridSpan w:val="2"/>
            <w:shd w:val="clear" w:color="auto" w:fill="DFDFDF"/>
          </w:tcPr>
          <w:p>
            <w:pPr>
              <w:pStyle w:val="TableParagraph"/>
              <w:spacing w:before="112"/>
              <w:ind w:right="53"/>
              <w:jc w:val="right"/>
              <w:rPr>
                <w:sz w:val="14"/>
              </w:rPr>
            </w:pPr>
            <w:r>
              <w:rPr>
                <w:sz w:val="14"/>
              </w:rPr>
              <w:t>0.0%</w:t>
            </w:r>
          </w:p>
        </w:tc>
      </w:tr>
      <w:tr>
        <w:trPr>
          <w:trHeight w:val="386" w:hRule="atLeast"/>
        </w:trPr>
        <w:tc>
          <w:tcPr>
            <w:tcW w:w="3766" w:type="dxa"/>
          </w:tcPr>
          <w:p>
            <w:pPr>
              <w:pStyle w:val="TableParagraph"/>
              <w:spacing w:before="112"/>
              <w:ind w:left="212"/>
              <w:rPr>
                <w:sz w:val="14"/>
              </w:rPr>
            </w:pPr>
            <w:r>
              <w:rPr>
                <w:w w:val="105"/>
                <w:sz w:val="14"/>
              </w:rPr>
              <w:t>5) Community Services</w:t>
            </w:r>
          </w:p>
        </w:tc>
        <w:tc>
          <w:tcPr>
            <w:tcW w:w="1518" w:type="dxa"/>
          </w:tcPr>
          <w:p>
            <w:pPr>
              <w:pStyle w:val="TableParagraph"/>
              <w:spacing w:before="112"/>
              <w:ind w:left="241" w:right="122"/>
              <w:jc w:val="center"/>
              <w:rPr>
                <w:sz w:val="14"/>
              </w:rPr>
            </w:pPr>
            <w:r>
              <w:rPr>
                <w:w w:val="105"/>
                <w:sz w:val="14"/>
              </w:rPr>
              <w:t>5000-5999</w:t>
            </w:r>
          </w:p>
        </w:tc>
        <w:tc>
          <w:tcPr>
            <w:tcW w:w="1115" w:type="dxa"/>
          </w:tcPr>
          <w:p>
            <w:pPr>
              <w:pStyle w:val="TableParagraph"/>
              <w:rPr>
                <w:rFonts w:ascii="Times New Roman"/>
                <w:sz w:val="14"/>
              </w:rPr>
            </w:pPr>
          </w:p>
        </w:tc>
        <w:tc>
          <w:tcPr>
            <w:tcW w:w="1782" w:type="dxa"/>
          </w:tcPr>
          <w:p>
            <w:pPr>
              <w:pStyle w:val="TableParagraph"/>
              <w:spacing w:before="112"/>
              <w:ind w:right="299"/>
              <w:jc w:val="right"/>
              <w:rPr>
                <w:sz w:val="14"/>
              </w:rPr>
            </w:pPr>
            <w:r>
              <w:rPr>
                <w:sz w:val="14"/>
              </w:rPr>
              <w:t>0.00</w:t>
            </w:r>
          </w:p>
        </w:tc>
        <w:tc>
          <w:tcPr>
            <w:tcW w:w="1519" w:type="dxa"/>
            <w:shd w:val="clear" w:color="auto" w:fill="DFDFDF"/>
          </w:tcPr>
          <w:p>
            <w:pPr>
              <w:pStyle w:val="TableParagraph"/>
              <w:spacing w:before="112"/>
              <w:ind w:right="255"/>
              <w:jc w:val="right"/>
              <w:rPr>
                <w:sz w:val="14"/>
              </w:rPr>
            </w:pPr>
            <w:r>
              <w:rPr>
                <w:sz w:val="14"/>
              </w:rPr>
              <w:t>0.00</w:t>
            </w:r>
          </w:p>
        </w:tc>
        <w:tc>
          <w:tcPr>
            <w:tcW w:w="1409" w:type="dxa"/>
            <w:gridSpan w:val="2"/>
            <w:shd w:val="clear" w:color="auto" w:fill="DFDFDF"/>
          </w:tcPr>
          <w:p>
            <w:pPr>
              <w:pStyle w:val="TableParagraph"/>
              <w:spacing w:before="112"/>
              <w:ind w:right="53"/>
              <w:jc w:val="right"/>
              <w:rPr>
                <w:sz w:val="14"/>
              </w:rPr>
            </w:pPr>
            <w:r>
              <w:rPr>
                <w:sz w:val="14"/>
              </w:rPr>
              <w:t>0.0%</w:t>
            </w:r>
          </w:p>
        </w:tc>
      </w:tr>
      <w:tr>
        <w:trPr>
          <w:trHeight w:val="277" w:hRule="atLeast"/>
        </w:trPr>
        <w:tc>
          <w:tcPr>
            <w:tcW w:w="3766" w:type="dxa"/>
          </w:tcPr>
          <w:p>
            <w:pPr>
              <w:pStyle w:val="TableParagraph"/>
              <w:spacing w:line="145" w:lineRule="exact" w:before="112"/>
              <w:ind w:left="212"/>
              <w:rPr>
                <w:sz w:val="14"/>
              </w:rPr>
            </w:pPr>
            <w:r>
              <w:rPr>
                <w:w w:val="105"/>
                <w:sz w:val="14"/>
              </w:rPr>
              <w:t>6) Enterprise</w:t>
            </w:r>
          </w:p>
        </w:tc>
        <w:tc>
          <w:tcPr>
            <w:tcW w:w="1518" w:type="dxa"/>
          </w:tcPr>
          <w:p>
            <w:pPr>
              <w:pStyle w:val="TableParagraph"/>
              <w:spacing w:line="145" w:lineRule="exact" w:before="112"/>
              <w:ind w:left="241" w:right="122"/>
              <w:jc w:val="center"/>
              <w:rPr>
                <w:sz w:val="14"/>
              </w:rPr>
            </w:pPr>
            <w:r>
              <w:rPr>
                <w:w w:val="105"/>
                <w:sz w:val="14"/>
              </w:rPr>
              <w:t>6000-6999</w:t>
            </w:r>
          </w:p>
        </w:tc>
        <w:tc>
          <w:tcPr>
            <w:tcW w:w="1115" w:type="dxa"/>
          </w:tcPr>
          <w:p>
            <w:pPr>
              <w:pStyle w:val="TableParagraph"/>
              <w:rPr>
                <w:rFonts w:ascii="Times New Roman"/>
                <w:sz w:val="14"/>
              </w:rPr>
            </w:pPr>
          </w:p>
        </w:tc>
        <w:tc>
          <w:tcPr>
            <w:tcW w:w="1782" w:type="dxa"/>
          </w:tcPr>
          <w:p>
            <w:pPr>
              <w:pStyle w:val="TableParagraph"/>
              <w:spacing w:line="145" w:lineRule="exact" w:before="112"/>
              <w:ind w:right="299"/>
              <w:jc w:val="right"/>
              <w:rPr>
                <w:sz w:val="14"/>
              </w:rPr>
            </w:pPr>
            <w:r>
              <w:rPr>
                <w:sz w:val="14"/>
              </w:rPr>
              <w:t>0.00</w:t>
            </w:r>
          </w:p>
        </w:tc>
        <w:tc>
          <w:tcPr>
            <w:tcW w:w="1519" w:type="dxa"/>
            <w:shd w:val="clear" w:color="auto" w:fill="DFDFDF"/>
          </w:tcPr>
          <w:p>
            <w:pPr>
              <w:pStyle w:val="TableParagraph"/>
              <w:spacing w:line="145" w:lineRule="exact" w:before="112"/>
              <w:ind w:right="255"/>
              <w:jc w:val="right"/>
              <w:rPr>
                <w:sz w:val="14"/>
              </w:rPr>
            </w:pPr>
            <w:r>
              <w:rPr>
                <w:sz w:val="14"/>
              </w:rPr>
              <w:t>0.00</w:t>
            </w:r>
          </w:p>
        </w:tc>
        <w:tc>
          <w:tcPr>
            <w:tcW w:w="1409" w:type="dxa"/>
            <w:gridSpan w:val="2"/>
            <w:shd w:val="clear" w:color="auto" w:fill="DFDFDF"/>
          </w:tcPr>
          <w:p>
            <w:pPr>
              <w:pStyle w:val="TableParagraph"/>
              <w:spacing w:line="145" w:lineRule="exact" w:before="112"/>
              <w:ind w:right="53"/>
              <w:jc w:val="right"/>
              <w:rPr>
                <w:sz w:val="14"/>
              </w:rPr>
            </w:pPr>
            <w:r>
              <w:rPr>
                <w:sz w:val="14"/>
              </w:rPr>
              <w:t>0.0%</w:t>
            </w:r>
          </w:p>
        </w:tc>
      </w:tr>
      <w:tr>
        <w:trPr>
          <w:trHeight w:val="495" w:hRule="atLeast"/>
        </w:trPr>
        <w:tc>
          <w:tcPr>
            <w:tcW w:w="3766" w:type="dxa"/>
          </w:tcPr>
          <w:p>
            <w:pPr>
              <w:pStyle w:val="TableParagraph"/>
              <w:spacing w:before="3"/>
              <w:rPr>
                <w:sz w:val="19"/>
              </w:rPr>
            </w:pPr>
          </w:p>
          <w:p>
            <w:pPr>
              <w:pStyle w:val="TableParagraph"/>
              <w:ind w:left="212"/>
              <w:rPr>
                <w:sz w:val="14"/>
              </w:rPr>
            </w:pPr>
            <w:r>
              <w:rPr>
                <w:w w:val="105"/>
                <w:sz w:val="14"/>
              </w:rPr>
              <w:t>7) General Administration</w:t>
            </w:r>
          </w:p>
        </w:tc>
        <w:tc>
          <w:tcPr>
            <w:tcW w:w="1518" w:type="dxa"/>
          </w:tcPr>
          <w:p>
            <w:pPr>
              <w:pStyle w:val="TableParagraph"/>
              <w:spacing w:before="3"/>
              <w:rPr>
                <w:sz w:val="19"/>
              </w:rPr>
            </w:pPr>
          </w:p>
          <w:p>
            <w:pPr>
              <w:pStyle w:val="TableParagraph"/>
              <w:ind w:left="241" w:right="122"/>
              <w:jc w:val="center"/>
              <w:rPr>
                <w:sz w:val="14"/>
              </w:rPr>
            </w:pPr>
            <w:r>
              <w:rPr>
                <w:w w:val="105"/>
                <w:sz w:val="14"/>
              </w:rPr>
              <w:t>7000-7999</w:t>
            </w:r>
          </w:p>
        </w:tc>
        <w:tc>
          <w:tcPr>
            <w:tcW w:w="1115" w:type="dxa"/>
          </w:tcPr>
          <w:p>
            <w:pPr>
              <w:pStyle w:val="TableParagraph"/>
              <w:rPr>
                <w:rFonts w:ascii="Times New Roman"/>
                <w:sz w:val="14"/>
              </w:rPr>
            </w:pPr>
          </w:p>
        </w:tc>
        <w:tc>
          <w:tcPr>
            <w:tcW w:w="1782" w:type="dxa"/>
          </w:tcPr>
          <w:p>
            <w:pPr>
              <w:pStyle w:val="TableParagraph"/>
              <w:spacing w:before="3"/>
              <w:rPr>
                <w:sz w:val="19"/>
              </w:rPr>
            </w:pPr>
          </w:p>
          <w:p>
            <w:pPr>
              <w:pStyle w:val="TableParagraph"/>
              <w:ind w:right="299"/>
              <w:jc w:val="right"/>
              <w:rPr>
                <w:sz w:val="14"/>
              </w:rPr>
            </w:pPr>
            <w:r>
              <w:rPr>
                <w:sz w:val="14"/>
              </w:rPr>
              <w:t>0.00</w:t>
            </w:r>
          </w:p>
        </w:tc>
        <w:tc>
          <w:tcPr>
            <w:tcW w:w="1519" w:type="dxa"/>
          </w:tcPr>
          <w:p>
            <w:pPr>
              <w:pStyle w:val="TableParagraph"/>
              <w:spacing w:before="3"/>
              <w:rPr>
                <w:sz w:val="19"/>
              </w:rPr>
            </w:pPr>
          </w:p>
          <w:p>
            <w:pPr>
              <w:pStyle w:val="TableParagraph"/>
              <w:ind w:right="255"/>
              <w:jc w:val="right"/>
              <w:rPr>
                <w:sz w:val="14"/>
              </w:rPr>
            </w:pPr>
            <w:r>
              <w:rPr>
                <w:sz w:val="14"/>
              </w:rPr>
              <w:t>0.00</w:t>
            </w:r>
          </w:p>
        </w:tc>
        <w:tc>
          <w:tcPr>
            <w:tcW w:w="1409" w:type="dxa"/>
            <w:gridSpan w:val="2"/>
          </w:tcPr>
          <w:p>
            <w:pPr>
              <w:pStyle w:val="TableParagraph"/>
              <w:spacing w:before="3"/>
              <w:rPr>
                <w:sz w:val="19"/>
              </w:rPr>
            </w:pPr>
          </w:p>
          <w:p>
            <w:pPr>
              <w:pStyle w:val="TableParagraph"/>
              <w:ind w:right="53"/>
              <w:jc w:val="right"/>
              <w:rPr>
                <w:sz w:val="14"/>
              </w:rPr>
            </w:pPr>
            <w:r>
              <w:rPr>
                <w:sz w:val="14"/>
              </w:rPr>
              <w:t>0.0%</w:t>
            </w:r>
          </w:p>
        </w:tc>
      </w:tr>
      <w:tr>
        <w:trPr>
          <w:trHeight w:val="304" w:hRule="atLeast"/>
        </w:trPr>
        <w:tc>
          <w:tcPr>
            <w:tcW w:w="3766" w:type="dxa"/>
          </w:tcPr>
          <w:p>
            <w:pPr>
              <w:pStyle w:val="TableParagraph"/>
              <w:spacing w:before="112"/>
              <w:ind w:left="212"/>
              <w:rPr>
                <w:sz w:val="14"/>
              </w:rPr>
            </w:pPr>
            <w:r>
              <w:rPr>
                <w:w w:val="105"/>
                <w:sz w:val="14"/>
              </w:rPr>
              <w:t>8) Plant Services</w:t>
            </w:r>
          </w:p>
        </w:tc>
        <w:tc>
          <w:tcPr>
            <w:tcW w:w="1518" w:type="dxa"/>
          </w:tcPr>
          <w:p>
            <w:pPr>
              <w:pStyle w:val="TableParagraph"/>
              <w:spacing w:before="112"/>
              <w:ind w:left="241" w:right="122"/>
              <w:jc w:val="center"/>
              <w:rPr>
                <w:sz w:val="14"/>
              </w:rPr>
            </w:pPr>
            <w:r>
              <w:rPr>
                <w:w w:val="105"/>
                <w:sz w:val="14"/>
              </w:rPr>
              <w:t>8000-8999</w:t>
            </w:r>
          </w:p>
        </w:tc>
        <w:tc>
          <w:tcPr>
            <w:tcW w:w="1115" w:type="dxa"/>
          </w:tcPr>
          <w:p>
            <w:pPr>
              <w:pStyle w:val="TableParagraph"/>
              <w:rPr>
                <w:rFonts w:ascii="Times New Roman"/>
                <w:sz w:val="14"/>
              </w:rPr>
            </w:pPr>
          </w:p>
        </w:tc>
        <w:tc>
          <w:tcPr>
            <w:tcW w:w="1782" w:type="dxa"/>
          </w:tcPr>
          <w:p>
            <w:pPr>
              <w:pStyle w:val="TableParagraph"/>
              <w:spacing w:before="112"/>
              <w:ind w:right="299"/>
              <w:jc w:val="right"/>
              <w:rPr>
                <w:sz w:val="14"/>
              </w:rPr>
            </w:pPr>
            <w:r>
              <w:rPr>
                <w:sz w:val="14"/>
              </w:rPr>
              <w:t>0.00</w:t>
            </w:r>
          </w:p>
        </w:tc>
        <w:tc>
          <w:tcPr>
            <w:tcW w:w="1519" w:type="dxa"/>
          </w:tcPr>
          <w:p>
            <w:pPr>
              <w:pStyle w:val="TableParagraph"/>
              <w:spacing w:before="112"/>
              <w:ind w:right="255"/>
              <w:jc w:val="right"/>
              <w:rPr>
                <w:sz w:val="14"/>
              </w:rPr>
            </w:pPr>
            <w:r>
              <w:rPr>
                <w:sz w:val="14"/>
              </w:rPr>
              <w:t>0.00</w:t>
            </w:r>
          </w:p>
        </w:tc>
        <w:tc>
          <w:tcPr>
            <w:tcW w:w="1409" w:type="dxa"/>
            <w:gridSpan w:val="2"/>
          </w:tcPr>
          <w:p>
            <w:pPr>
              <w:pStyle w:val="TableParagraph"/>
              <w:spacing w:before="112"/>
              <w:ind w:right="53"/>
              <w:jc w:val="right"/>
              <w:rPr>
                <w:sz w:val="14"/>
              </w:rPr>
            </w:pPr>
            <w:r>
              <w:rPr>
                <w:sz w:val="14"/>
              </w:rPr>
              <w:t>0.0%</w:t>
            </w:r>
          </w:p>
        </w:tc>
      </w:tr>
      <w:tr>
        <w:trPr>
          <w:trHeight w:val="468" w:hRule="atLeast"/>
        </w:trPr>
        <w:tc>
          <w:tcPr>
            <w:tcW w:w="3766" w:type="dxa"/>
          </w:tcPr>
          <w:p>
            <w:pPr>
              <w:pStyle w:val="TableParagraph"/>
              <w:spacing w:before="10"/>
              <w:rPr>
                <w:sz w:val="16"/>
              </w:rPr>
            </w:pPr>
          </w:p>
          <w:p>
            <w:pPr>
              <w:pStyle w:val="TableParagraph"/>
              <w:ind w:left="212"/>
              <w:rPr>
                <w:sz w:val="14"/>
              </w:rPr>
            </w:pPr>
            <w:r>
              <w:rPr>
                <w:w w:val="105"/>
                <w:sz w:val="14"/>
              </w:rPr>
              <w:t>9) Other Outgo</w:t>
            </w:r>
          </w:p>
        </w:tc>
        <w:tc>
          <w:tcPr>
            <w:tcW w:w="1518" w:type="dxa"/>
          </w:tcPr>
          <w:p>
            <w:pPr>
              <w:pStyle w:val="TableParagraph"/>
              <w:spacing w:before="10"/>
              <w:rPr>
                <w:sz w:val="16"/>
              </w:rPr>
            </w:pPr>
          </w:p>
          <w:p>
            <w:pPr>
              <w:pStyle w:val="TableParagraph"/>
              <w:ind w:left="241" w:right="122"/>
              <w:jc w:val="center"/>
              <w:rPr>
                <w:sz w:val="14"/>
              </w:rPr>
            </w:pPr>
            <w:r>
              <w:rPr>
                <w:w w:val="105"/>
                <w:sz w:val="14"/>
              </w:rPr>
              <w:t>9000-9999</w:t>
            </w:r>
          </w:p>
        </w:tc>
        <w:tc>
          <w:tcPr>
            <w:tcW w:w="1115" w:type="dxa"/>
          </w:tcPr>
          <w:p>
            <w:pPr>
              <w:pStyle w:val="TableParagraph"/>
              <w:spacing w:line="242" w:lineRule="auto" w:before="31"/>
              <w:ind w:left="269" w:right="145" w:firstLine="127"/>
              <w:rPr>
                <w:sz w:val="14"/>
              </w:rPr>
            </w:pPr>
            <w:r>
              <w:rPr>
                <w:w w:val="105"/>
                <w:sz w:val="14"/>
              </w:rPr>
              <w:t>Except </w:t>
            </w:r>
            <w:r>
              <w:rPr>
                <w:sz w:val="14"/>
              </w:rPr>
              <w:t>7600-7699</w:t>
            </w:r>
          </w:p>
        </w:tc>
        <w:tc>
          <w:tcPr>
            <w:tcW w:w="1782" w:type="dxa"/>
          </w:tcPr>
          <w:p>
            <w:pPr>
              <w:pStyle w:val="TableParagraph"/>
              <w:spacing w:before="10"/>
              <w:rPr>
                <w:sz w:val="16"/>
              </w:rPr>
            </w:pPr>
          </w:p>
          <w:p>
            <w:pPr>
              <w:pStyle w:val="TableParagraph"/>
              <w:ind w:right="299"/>
              <w:jc w:val="right"/>
              <w:rPr>
                <w:sz w:val="14"/>
              </w:rPr>
            </w:pPr>
            <w:r>
              <w:rPr>
                <w:sz w:val="14"/>
              </w:rPr>
              <w:t>0.00</w:t>
            </w:r>
          </w:p>
        </w:tc>
        <w:tc>
          <w:tcPr>
            <w:tcW w:w="1519" w:type="dxa"/>
          </w:tcPr>
          <w:p>
            <w:pPr>
              <w:pStyle w:val="TableParagraph"/>
              <w:spacing w:before="10"/>
              <w:rPr>
                <w:sz w:val="16"/>
              </w:rPr>
            </w:pPr>
          </w:p>
          <w:p>
            <w:pPr>
              <w:pStyle w:val="TableParagraph"/>
              <w:ind w:right="255"/>
              <w:jc w:val="right"/>
              <w:rPr>
                <w:sz w:val="14"/>
              </w:rPr>
            </w:pPr>
            <w:r>
              <w:rPr>
                <w:sz w:val="14"/>
              </w:rPr>
              <w:t>0.00</w:t>
            </w:r>
          </w:p>
        </w:tc>
        <w:tc>
          <w:tcPr>
            <w:tcW w:w="1409" w:type="dxa"/>
            <w:gridSpan w:val="2"/>
          </w:tcPr>
          <w:p>
            <w:pPr>
              <w:pStyle w:val="TableParagraph"/>
              <w:spacing w:before="10"/>
              <w:rPr>
                <w:sz w:val="16"/>
              </w:rPr>
            </w:pPr>
          </w:p>
          <w:p>
            <w:pPr>
              <w:pStyle w:val="TableParagraph"/>
              <w:ind w:right="53"/>
              <w:jc w:val="right"/>
              <w:rPr>
                <w:sz w:val="14"/>
              </w:rPr>
            </w:pPr>
            <w:r>
              <w:rPr>
                <w:sz w:val="14"/>
              </w:rPr>
              <w:t>0.0%</w:t>
            </w:r>
          </w:p>
        </w:tc>
      </w:tr>
      <w:tr>
        <w:trPr>
          <w:trHeight w:val="385" w:hRule="atLeast"/>
        </w:trPr>
        <w:tc>
          <w:tcPr>
            <w:tcW w:w="3766" w:type="dxa"/>
          </w:tcPr>
          <w:p>
            <w:pPr>
              <w:pStyle w:val="TableParagraph"/>
              <w:spacing w:before="112"/>
              <w:ind w:left="171"/>
              <w:rPr>
                <w:sz w:val="14"/>
              </w:rPr>
            </w:pPr>
            <w:r>
              <w:rPr>
                <w:w w:val="105"/>
                <w:sz w:val="14"/>
              </w:rPr>
              <w:t>10) TOTAL, EXPENDITURES</w:t>
            </w:r>
          </w:p>
        </w:tc>
        <w:tc>
          <w:tcPr>
            <w:tcW w:w="1518" w:type="dxa"/>
          </w:tcPr>
          <w:p>
            <w:pPr>
              <w:pStyle w:val="TableParagraph"/>
              <w:rPr>
                <w:rFonts w:ascii="Times New Roman"/>
                <w:sz w:val="14"/>
              </w:rPr>
            </w:pPr>
          </w:p>
        </w:tc>
        <w:tc>
          <w:tcPr>
            <w:tcW w:w="1115" w:type="dxa"/>
          </w:tcPr>
          <w:p>
            <w:pPr>
              <w:pStyle w:val="TableParagraph"/>
              <w:rPr>
                <w:rFonts w:ascii="Times New Roman"/>
                <w:sz w:val="14"/>
              </w:rPr>
            </w:pPr>
          </w:p>
        </w:tc>
        <w:tc>
          <w:tcPr>
            <w:tcW w:w="1782" w:type="dxa"/>
          </w:tcPr>
          <w:p>
            <w:pPr>
              <w:pStyle w:val="TableParagraph"/>
              <w:spacing w:before="112"/>
              <w:ind w:right="299"/>
              <w:jc w:val="right"/>
              <w:rPr>
                <w:sz w:val="14"/>
              </w:rPr>
            </w:pPr>
            <w:r>
              <w:rPr>
                <w:sz w:val="14"/>
              </w:rPr>
              <w:t>0.00</w:t>
            </w:r>
          </w:p>
        </w:tc>
        <w:tc>
          <w:tcPr>
            <w:tcW w:w="1519" w:type="dxa"/>
          </w:tcPr>
          <w:p>
            <w:pPr>
              <w:pStyle w:val="TableParagraph"/>
              <w:spacing w:before="112"/>
              <w:ind w:right="255"/>
              <w:jc w:val="right"/>
              <w:rPr>
                <w:sz w:val="14"/>
              </w:rPr>
            </w:pPr>
            <w:r>
              <w:rPr>
                <w:sz w:val="14"/>
              </w:rPr>
              <w:t>0.00</w:t>
            </w:r>
          </w:p>
        </w:tc>
        <w:tc>
          <w:tcPr>
            <w:tcW w:w="1409" w:type="dxa"/>
            <w:gridSpan w:val="2"/>
          </w:tcPr>
          <w:p>
            <w:pPr>
              <w:pStyle w:val="TableParagraph"/>
              <w:spacing w:before="112"/>
              <w:ind w:right="53"/>
              <w:jc w:val="right"/>
              <w:rPr>
                <w:sz w:val="14"/>
              </w:rPr>
            </w:pPr>
            <w:r>
              <w:rPr>
                <w:sz w:val="14"/>
              </w:rPr>
              <w:t>0.0%</w:t>
            </w:r>
          </w:p>
        </w:tc>
      </w:tr>
      <w:tr>
        <w:trPr>
          <w:trHeight w:val="292" w:hRule="atLeast"/>
        </w:trPr>
        <w:tc>
          <w:tcPr>
            <w:tcW w:w="3766" w:type="dxa"/>
          </w:tcPr>
          <w:p>
            <w:pPr>
              <w:pStyle w:val="TableParagraph"/>
              <w:spacing w:before="111"/>
              <w:ind w:left="50"/>
              <w:rPr>
                <w:b/>
                <w:sz w:val="14"/>
              </w:rPr>
            </w:pPr>
            <w:r>
              <w:rPr>
                <w:b/>
                <w:w w:val="105"/>
                <w:sz w:val="14"/>
              </w:rPr>
              <w:t>C. EXCESS (DEFICIENCY) OF REVENUES</w:t>
            </w:r>
          </w:p>
        </w:tc>
        <w:tc>
          <w:tcPr>
            <w:tcW w:w="1518" w:type="dxa"/>
          </w:tcPr>
          <w:p>
            <w:pPr>
              <w:pStyle w:val="TableParagraph"/>
              <w:rPr>
                <w:rFonts w:ascii="Times New Roman"/>
                <w:sz w:val="14"/>
              </w:rPr>
            </w:pPr>
          </w:p>
        </w:tc>
        <w:tc>
          <w:tcPr>
            <w:tcW w:w="1115" w:type="dxa"/>
          </w:tcPr>
          <w:p>
            <w:pPr>
              <w:pStyle w:val="TableParagraph"/>
              <w:rPr>
                <w:rFonts w:ascii="Times New Roman"/>
                <w:sz w:val="14"/>
              </w:rPr>
            </w:pPr>
          </w:p>
        </w:tc>
        <w:tc>
          <w:tcPr>
            <w:tcW w:w="1782" w:type="dxa"/>
          </w:tcPr>
          <w:p>
            <w:pPr>
              <w:pStyle w:val="TableParagraph"/>
              <w:rPr>
                <w:rFonts w:ascii="Times New Roman"/>
                <w:sz w:val="14"/>
              </w:rPr>
            </w:pPr>
          </w:p>
        </w:tc>
        <w:tc>
          <w:tcPr>
            <w:tcW w:w="1519" w:type="dxa"/>
          </w:tcPr>
          <w:p>
            <w:pPr>
              <w:pStyle w:val="TableParagraph"/>
              <w:rPr>
                <w:rFonts w:ascii="Times New Roman"/>
                <w:sz w:val="14"/>
              </w:rPr>
            </w:pPr>
          </w:p>
        </w:tc>
        <w:tc>
          <w:tcPr>
            <w:tcW w:w="1409" w:type="dxa"/>
            <w:gridSpan w:val="2"/>
          </w:tcPr>
          <w:p>
            <w:pPr>
              <w:pStyle w:val="TableParagraph"/>
              <w:rPr>
                <w:rFonts w:ascii="Times New Roman"/>
                <w:sz w:val="14"/>
              </w:rPr>
            </w:pPr>
          </w:p>
        </w:tc>
      </w:tr>
      <w:tr>
        <w:trPr>
          <w:trHeight w:val="201" w:hRule="atLeast"/>
        </w:trPr>
        <w:tc>
          <w:tcPr>
            <w:tcW w:w="3766" w:type="dxa"/>
          </w:tcPr>
          <w:p>
            <w:pPr>
              <w:pStyle w:val="TableParagraph"/>
              <w:spacing w:before="20"/>
              <w:ind w:left="252"/>
              <w:rPr>
                <w:b/>
                <w:sz w:val="14"/>
              </w:rPr>
            </w:pPr>
            <w:r>
              <w:rPr>
                <w:b/>
                <w:w w:val="105"/>
                <w:sz w:val="14"/>
              </w:rPr>
              <w:t>OVER EXPENDITURES BEFORE OTHER</w:t>
            </w:r>
          </w:p>
        </w:tc>
        <w:tc>
          <w:tcPr>
            <w:tcW w:w="1518" w:type="dxa"/>
          </w:tcPr>
          <w:p>
            <w:pPr>
              <w:pStyle w:val="TableParagraph"/>
              <w:rPr>
                <w:rFonts w:ascii="Times New Roman"/>
                <w:sz w:val="14"/>
              </w:rPr>
            </w:pPr>
          </w:p>
        </w:tc>
        <w:tc>
          <w:tcPr>
            <w:tcW w:w="1115" w:type="dxa"/>
          </w:tcPr>
          <w:p>
            <w:pPr>
              <w:pStyle w:val="TableParagraph"/>
              <w:rPr>
                <w:rFonts w:ascii="Times New Roman"/>
                <w:sz w:val="14"/>
              </w:rPr>
            </w:pPr>
          </w:p>
        </w:tc>
        <w:tc>
          <w:tcPr>
            <w:tcW w:w="1782" w:type="dxa"/>
          </w:tcPr>
          <w:p>
            <w:pPr>
              <w:pStyle w:val="TableParagraph"/>
              <w:rPr>
                <w:rFonts w:ascii="Times New Roman"/>
                <w:sz w:val="14"/>
              </w:rPr>
            </w:pPr>
          </w:p>
        </w:tc>
        <w:tc>
          <w:tcPr>
            <w:tcW w:w="1519" w:type="dxa"/>
          </w:tcPr>
          <w:p>
            <w:pPr>
              <w:pStyle w:val="TableParagraph"/>
              <w:rPr>
                <w:rFonts w:ascii="Times New Roman"/>
                <w:sz w:val="14"/>
              </w:rPr>
            </w:pPr>
          </w:p>
        </w:tc>
        <w:tc>
          <w:tcPr>
            <w:tcW w:w="1409" w:type="dxa"/>
            <w:gridSpan w:val="2"/>
          </w:tcPr>
          <w:p>
            <w:pPr>
              <w:pStyle w:val="TableParagraph"/>
              <w:rPr>
                <w:rFonts w:ascii="Times New Roman"/>
                <w:sz w:val="14"/>
              </w:rPr>
            </w:pPr>
          </w:p>
        </w:tc>
      </w:tr>
      <w:tr>
        <w:trPr>
          <w:trHeight w:val="295" w:hRule="atLeast"/>
        </w:trPr>
        <w:tc>
          <w:tcPr>
            <w:tcW w:w="3766" w:type="dxa"/>
          </w:tcPr>
          <w:p>
            <w:pPr>
              <w:pStyle w:val="TableParagraph"/>
              <w:spacing w:before="20"/>
              <w:ind w:left="252"/>
              <w:rPr>
                <w:b/>
                <w:sz w:val="14"/>
              </w:rPr>
            </w:pPr>
            <w:r>
              <w:rPr>
                <w:b/>
                <w:w w:val="105"/>
                <w:sz w:val="14"/>
              </w:rPr>
              <w:t>FINANCING SOURCES AND USES (A5 - B10)</w:t>
            </w:r>
          </w:p>
        </w:tc>
        <w:tc>
          <w:tcPr>
            <w:tcW w:w="1518" w:type="dxa"/>
          </w:tcPr>
          <w:p>
            <w:pPr>
              <w:pStyle w:val="TableParagraph"/>
              <w:rPr>
                <w:rFonts w:ascii="Times New Roman"/>
                <w:sz w:val="14"/>
              </w:rPr>
            </w:pPr>
          </w:p>
        </w:tc>
        <w:tc>
          <w:tcPr>
            <w:tcW w:w="1115" w:type="dxa"/>
          </w:tcPr>
          <w:p>
            <w:pPr>
              <w:pStyle w:val="TableParagraph"/>
              <w:rPr>
                <w:rFonts w:ascii="Times New Roman"/>
                <w:sz w:val="14"/>
              </w:rPr>
            </w:pPr>
          </w:p>
        </w:tc>
        <w:tc>
          <w:tcPr>
            <w:tcW w:w="1782" w:type="dxa"/>
          </w:tcPr>
          <w:p>
            <w:pPr>
              <w:pStyle w:val="TableParagraph"/>
              <w:spacing w:before="22"/>
              <w:ind w:right="299"/>
              <w:jc w:val="right"/>
              <w:rPr>
                <w:sz w:val="14"/>
              </w:rPr>
            </w:pPr>
            <w:r>
              <w:rPr>
                <w:sz w:val="14"/>
              </w:rPr>
              <w:t>175.00</w:t>
            </w:r>
          </w:p>
        </w:tc>
        <w:tc>
          <w:tcPr>
            <w:tcW w:w="1519" w:type="dxa"/>
          </w:tcPr>
          <w:p>
            <w:pPr>
              <w:pStyle w:val="TableParagraph"/>
              <w:spacing w:before="22"/>
              <w:ind w:right="256"/>
              <w:jc w:val="right"/>
              <w:rPr>
                <w:sz w:val="14"/>
              </w:rPr>
            </w:pPr>
            <w:r>
              <w:rPr>
                <w:sz w:val="14"/>
              </w:rPr>
              <w:t>175.00</w:t>
            </w:r>
          </w:p>
        </w:tc>
        <w:tc>
          <w:tcPr>
            <w:tcW w:w="1409" w:type="dxa"/>
            <w:gridSpan w:val="2"/>
          </w:tcPr>
          <w:p>
            <w:pPr>
              <w:pStyle w:val="TableParagraph"/>
              <w:spacing w:before="22"/>
              <w:ind w:right="53"/>
              <w:jc w:val="right"/>
              <w:rPr>
                <w:sz w:val="14"/>
              </w:rPr>
            </w:pPr>
            <w:r>
              <w:rPr>
                <w:sz w:val="14"/>
              </w:rPr>
              <w:t>0.0%</w:t>
            </w:r>
          </w:p>
        </w:tc>
      </w:tr>
      <w:tr>
        <w:trPr>
          <w:trHeight w:val="271" w:hRule="atLeast"/>
        </w:trPr>
        <w:tc>
          <w:tcPr>
            <w:tcW w:w="3766" w:type="dxa"/>
          </w:tcPr>
          <w:p>
            <w:pPr>
              <w:pStyle w:val="TableParagraph"/>
              <w:spacing w:line="140" w:lineRule="exact" w:before="111"/>
              <w:ind w:left="50"/>
              <w:rPr>
                <w:b/>
                <w:sz w:val="14"/>
              </w:rPr>
            </w:pPr>
            <w:r>
              <w:rPr>
                <w:b/>
                <w:w w:val="105"/>
                <w:sz w:val="14"/>
              </w:rPr>
              <w:t>D. OTHER FINANCING SOURCES/USES</w:t>
            </w:r>
          </w:p>
        </w:tc>
        <w:tc>
          <w:tcPr>
            <w:tcW w:w="7343" w:type="dxa"/>
            <w:gridSpan w:val="6"/>
          </w:tcPr>
          <w:p>
            <w:pPr>
              <w:pStyle w:val="TableParagraph"/>
              <w:rPr>
                <w:rFonts w:ascii="Times New Roman"/>
                <w:sz w:val="14"/>
              </w:rPr>
            </w:pPr>
          </w:p>
        </w:tc>
      </w:tr>
      <w:tr>
        <w:trPr>
          <w:trHeight w:val="426" w:hRule="atLeast"/>
        </w:trPr>
        <w:tc>
          <w:tcPr>
            <w:tcW w:w="3766" w:type="dxa"/>
          </w:tcPr>
          <w:p>
            <w:pPr>
              <w:pStyle w:val="TableParagraph"/>
              <w:spacing w:before="4"/>
              <w:rPr>
                <w:sz w:val="21"/>
              </w:rPr>
            </w:pPr>
          </w:p>
          <w:p>
            <w:pPr>
              <w:pStyle w:val="TableParagraph"/>
              <w:ind w:left="212"/>
              <w:rPr>
                <w:sz w:val="14"/>
              </w:rPr>
            </w:pPr>
            <w:r>
              <w:rPr>
                <w:w w:val="105"/>
                <w:sz w:val="14"/>
              </w:rPr>
              <w:t>1) Interfund Transfers</w:t>
            </w:r>
          </w:p>
        </w:tc>
        <w:tc>
          <w:tcPr>
            <w:tcW w:w="2633" w:type="dxa"/>
            <w:gridSpan w:val="2"/>
          </w:tcPr>
          <w:p>
            <w:pPr>
              <w:pStyle w:val="TableParagraph"/>
              <w:rPr>
                <w:rFonts w:ascii="Times New Roman"/>
                <w:sz w:val="14"/>
              </w:rPr>
            </w:pPr>
          </w:p>
        </w:tc>
        <w:tc>
          <w:tcPr>
            <w:tcW w:w="1782" w:type="dxa"/>
          </w:tcPr>
          <w:p>
            <w:pPr>
              <w:pStyle w:val="TableParagraph"/>
              <w:rPr>
                <w:rFonts w:ascii="Times New Roman"/>
                <w:sz w:val="14"/>
              </w:rPr>
            </w:pPr>
          </w:p>
        </w:tc>
        <w:tc>
          <w:tcPr>
            <w:tcW w:w="1519" w:type="dxa"/>
          </w:tcPr>
          <w:p>
            <w:pPr>
              <w:pStyle w:val="TableParagraph"/>
              <w:rPr>
                <w:rFonts w:ascii="Times New Roman"/>
                <w:sz w:val="14"/>
              </w:rPr>
            </w:pPr>
          </w:p>
        </w:tc>
        <w:tc>
          <w:tcPr>
            <w:tcW w:w="1409" w:type="dxa"/>
            <w:gridSpan w:val="2"/>
          </w:tcPr>
          <w:p>
            <w:pPr>
              <w:pStyle w:val="TableParagraph"/>
              <w:rPr>
                <w:rFonts w:ascii="Times New Roman"/>
                <w:sz w:val="14"/>
              </w:rPr>
            </w:pPr>
          </w:p>
        </w:tc>
      </w:tr>
      <w:tr>
        <w:trPr>
          <w:trHeight w:val="294" w:hRule="atLeast"/>
        </w:trPr>
        <w:tc>
          <w:tcPr>
            <w:tcW w:w="3766" w:type="dxa"/>
          </w:tcPr>
          <w:p>
            <w:pPr>
              <w:pStyle w:val="TableParagraph"/>
              <w:spacing w:before="20"/>
              <w:ind w:left="376"/>
              <w:rPr>
                <w:sz w:val="14"/>
              </w:rPr>
            </w:pPr>
            <w:r>
              <w:rPr>
                <w:w w:val="105"/>
                <w:sz w:val="14"/>
              </w:rPr>
              <w:t>a) Transfers In</w:t>
            </w:r>
          </w:p>
        </w:tc>
        <w:tc>
          <w:tcPr>
            <w:tcW w:w="2633" w:type="dxa"/>
            <w:gridSpan w:val="2"/>
          </w:tcPr>
          <w:p>
            <w:pPr>
              <w:pStyle w:val="TableParagraph"/>
              <w:spacing w:before="20"/>
              <w:ind w:right="149"/>
              <w:jc w:val="right"/>
              <w:rPr>
                <w:sz w:val="14"/>
              </w:rPr>
            </w:pPr>
            <w:r>
              <w:rPr>
                <w:sz w:val="14"/>
              </w:rPr>
              <w:t>8900-8929</w:t>
            </w:r>
          </w:p>
        </w:tc>
        <w:tc>
          <w:tcPr>
            <w:tcW w:w="1782" w:type="dxa"/>
          </w:tcPr>
          <w:p>
            <w:pPr>
              <w:pStyle w:val="TableParagraph"/>
              <w:spacing w:before="20"/>
              <w:ind w:right="299"/>
              <w:jc w:val="right"/>
              <w:rPr>
                <w:sz w:val="14"/>
              </w:rPr>
            </w:pPr>
            <w:r>
              <w:rPr>
                <w:sz w:val="14"/>
              </w:rPr>
              <w:t>0.00</w:t>
            </w:r>
          </w:p>
        </w:tc>
        <w:tc>
          <w:tcPr>
            <w:tcW w:w="1519" w:type="dxa"/>
          </w:tcPr>
          <w:p>
            <w:pPr>
              <w:pStyle w:val="TableParagraph"/>
              <w:spacing w:before="20"/>
              <w:ind w:right="255"/>
              <w:jc w:val="right"/>
              <w:rPr>
                <w:sz w:val="14"/>
              </w:rPr>
            </w:pPr>
            <w:r>
              <w:rPr>
                <w:sz w:val="14"/>
              </w:rPr>
              <w:t>0.00</w:t>
            </w:r>
          </w:p>
        </w:tc>
        <w:tc>
          <w:tcPr>
            <w:tcW w:w="1409" w:type="dxa"/>
            <w:gridSpan w:val="2"/>
          </w:tcPr>
          <w:p>
            <w:pPr>
              <w:pStyle w:val="TableParagraph"/>
              <w:spacing w:before="20"/>
              <w:ind w:right="53"/>
              <w:jc w:val="right"/>
              <w:rPr>
                <w:sz w:val="14"/>
              </w:rPr>
            </w:pPr>
            <w:r>
              <w:rPr>
                <w:sz w:val="14"/>
              </w:rPr>
              <w:t>0.0%</w:t>
            </w:r>
          </w:p>
        </w:tc>
      </w:tr>
      <w:tr>
        <w:trPr>
          <w:trHeight w:val="386" w:hRule="atLeast"/>
        </w:trPr>
        <w:tc>
          <w:tcPr>
            <w:tcW w:w="3766" w:type="dxa"/>
          </w:tcPr>
          <w:p>
            <w:pPr>
              <w:pStyle w:val="TableParagraph"/>
              <w:spacing w:before="112"/>
              <w:ind w:left="376"/>
              <w:rPr>
                <w:sz w:val="14"/>
              </w:rPr>
            </w:pPr>
            <w:r>
              <w:rPr>
                <w:w w:val="105"/>
                <w:sz w:val="14"/>
              </w:rPr>
              <w:t>b) Transfers Out</w:t>
            </w:r>
          </w:p>
        </w:tc>
        <w:tc>
          <w:tcPr>
            <w:tcW w:w="2633" w:type="dxa"/>
            <w:gridSpan w:val="2"/>
          </w:tcPr>
          <w:p>
            <w:pPr>
              <w:pStyle w:val="TableParagraph"/>
              <w:spacing w:before="112"/>
              <w:ind w:right="149"/>
              <w:jc w:val="right"/>
              <w:rPr>
                <w:sz w:val="14"/>
              </w:rPr>
            </w:pPr>
            <w:r>
              <w:rPr>
                <w:sz w:val="14"/>
              </w:rPr>
              <w:t>7600-7629</w:t>
            </w:r>
          </w:p>
        </w:tc>
        <w:tc>
          <w:tcPr>
            <w:tcW w:w="1782" w:type="dxa"/>
          </w:tcPr>
          <w:p>
            <w:pPr>
              <w:pStyle w:val="TableParagraph"/>
              <w:spacing w:before="112"/>
              <w:ind w:right="299"/>
              <w:jc w:val="right"/>
              <w:rPr>
                <w:sz w:val="14"/>
              </w:rPr>
            </w:pPr>
            <w:r>
              <w:rPr>
                <w:sz w:val="14"/>
              </w:rPr>
              <w:t>0.00</w:t>
            </w:r>
          </w:p>
        </w:tc>
        <w:tc>
          <w:tcPr>
            <w:tcW w:w="1519" w:type="dxa"/>
          </w:tcPr>
          <w:p>
            <w:pPr>
              <w:pStyle w:val="TableParagraph"/>
              <w:spacing w:before="112"/>
              <w:ind w:right="255"/>
              <w:jc w:val="right"/>
              <w:rPr>
                <w:sz w:val="14"/>
              </w:rPr>
            </w:pPr>
            <w:r>
              <w:rPr>
                <w:sz w:val="14"/>
              </w:rPr>
              <w:t>0.00</w:t>
            </w:r>
          </w:p>
        </w:tc>
        <w:tc>
          <w:tcPr>
            <w:tcW w:w="1409" w:type="dxa"/>
            <w:gridSpan w:val="2"/>
          </w:tcPr>
          <w:p>
            <w:pPr>
              <w:pStyle w:val="TableParagraph"/>
              <w:spacing w:before="112"/>
              <w:ind w:right="53"/>
              <w:jc w:val="right"/>
              <w:rPr>
                <w:sz w:val="14"/>
              </w:rPr>
            </w:pPr>
            <w:r>
              <w:rPr>
                <w:sz w:val="14"/>
              </w:rPr>
              <w:t>0.0%</w:t>
            </w:r>
          </w:p>
        </w:tc>
      </w:tr>
      <w:tr>
        <w:trPr>
          <w:trHeight w:val="294" w:hRule="atLeast"/>
        </w:trPr>
        <w:tc>
          <w:tcPr>
            <w:tcW w:w="3766" w:type="dxa"/>
          </w:tcPr>
          <w:p>
            <w:pPr>
              <w:pStyle w:val="TableParagraph"/>
              <w:spacing w:before="112"/>
              <w:ind w:left="212"/>
              <w:rPr>
                <w:sz w:val="14"/>
              </w:rPr>
            </w:pPr>
            <w:r>
              <w:rPr>
                <w:w w:val="105"/>
                <w:sz w:val="14"/>
              </w:rPr>
              <w:t>2) Other Sources/Uses</w:t>
            </w:r>
          </w:p>
        </w:tc>
        <w:tc>
          <w:tcPr>
            <w:tcW w:w="2633" w:type="dxa"/>
            <w:gridSpan w:val="2"/>
          </w:tcPr>
          <w:p>
            <w:pPr>
              <w:pStyle w:val="TableParagraph"/>
              <w:rPr>
                <w:rFonts w:ascii="Times New Roman"/>
                <w:sz w:val="14"/>
              </w:rPr>
            </w:pPr>
          </w:p>
        </w:tc>
        <w:tc>
          <w:tcPr>
            <w:tcW w:w="1782" w:type="dxa"/>
          </w:tcPr>
          <w:p>
            <w:pPr>
              <w:pStyle w:val="TableParagraph"/>
              <w:rPr>
                <w:rFonts w:ascii="Times New Roman"/>
                <w:sz w:val="14"/>
              </w:rPr>
            </w:pPr>
          </w:p>
        </w:tc>
        <w:tc>
          <w:tcPr>
            <w:tcW w:w="1519" w:type="dxa"/>
          </w:tcPr>
          <w:p>
            <w:pPr>
              <w:pStyle w:val="TableParagraph"/>
              <w:rPr>
                <w:rFonts w:ascii="Times New Roman"/>
                <w:sz w:val="14"/>
              </w:rPr>
            </w:pPr>
          </w:p>
        </w:tc>
        <w:tc>
          <w:tcPr>
            <w:tcW w:w="1409" w:type="dxa"/>
            <w:gridSpan w:val="2"/>
          </w:tcPr>
          <w:p>
            <w:pPr>
              <w:pStyle w:val="TableParagraph"/>
              <w:rPr>
                <w:rFonts w:ascii="Times New Roman"/>
                <w:sz w:val="14"/>
              </w:rPr>
            </w:pPr>
          </w:p>
        </w:tc>
      </w:tr>
      <w:tr>
        <w:trPr>
          <w:trHeight w:val="294" w:hRule="atLeast"/>
        </w:trPr>
        <w:tc>
          <w:tcPr>
            <w:tcW w:w="3766" w:type="dxa"/>
          </w:tcPr>
          <w:p>
            <w:pPr>
              <w:pStyle w:val="TableParagraph"/>
              <w:spacing w:before="20"/>
              <w:ind w:left="376"/>
              <w:rPr>
                <w:sz w:val="14"/>
              </w:rPr>
            </w:pPr>
            <w:r>
              <w:rPr>
                <w:w w:val="105"/>
                <w:sz w:val="14"/>
              </w:rPr>
              <w:t>a) Sources</w:t>
            </w:r>
          </w:p>
        </w:tc>
        <w:tc>
          <w:tcPr>
            <w:tcW w:w="2633" w:type="dxa"/>
            <w:gridSpan w:val="2"/>
          </w:tcPr>
          <w:p>
            <w:pPr>
              <w:pStyle w:val="TableParagraph"/>
              <w:spacing w:before="20"/>
              <w:ind w:right="149"/>
              <w:jc w:val="right"/>
              <w:rPr>
                <w:sz w:val="14"/>
              </w:rPr>
            </w:pPr>
            <w:r>
              <w:rPr>
                <w:sz w:val="14"/>
              </w:rPr>
              <w:t>8930-8979</w:t>
            </w:r>
          </w:p>
        </w:tc>
        <w:tc>
          <w:tcPr>
            <w:tcW w:w="1782" w:type="dxa"/>
          </w:tcPr>
          <w:p>
            <w:pPr>
              <w:pStyle w:val="TableParagraph"/>
              <w:spacing w:before="20"/>
              <w:ind w:right="299"/>
              <w:jc w:val="right"/>
              <w:rPr>
                <w:sz w:val="14"/>
              </w:rPr>
            </w:pPr>
            <w:r>
              <w:rPr>
                <w:sz w:val="14"/>
              </w:rPr>
              <w:t>0.00</w:t>
            </w:r>
          </w:p>
        </w:tc>
        <w:tc>
          <w:tcPr>
            <w:tcW w:w="1519" w:type="dxa"/>
          </w:tcPr>
          <w:p>
            <w:pPr>
              <w:pStyle w:val="TableParagraph"/>
              <w:spacing w:before="20"/>
              <w:ind w:right="255"/>
              <w:jc w:val="right"/>
              <w:rPr>
                <w:sz w:val="14"/>
              </w:rPr>
            </w:pPr>
            <w:r>
              <w:rPr>
                <w:sz w:val="14"/>
              </w:rPr>
              <w:t>0.00</w:t>
            </w:r>
          </w:p>
        </w:tc>
        <w:tc>
          <w:tcPr>
            <w:tcW w:w="1409" w:type="dxa"/>
            <w:gridSpan w:val="2"/>
          </w:tcPr>
          <w:p>
            <w:pPr>
              <w:pStyle w:val="TableParagraph"/>
              <w:spacing w:before="20"/>
              <w:ind w:right="53"/>
              <w:jc w:val="right"/>
              <w:rPr>
                <w:sz w:val="14"/>
              </w:rPr>
            </w:pPr>
            <w:r>
              <w:rPr>
                <w:sz w:val="14"/>
              </w:rPr>
              <w:t>0.0%</w:t>
            </w:r>
          </w:p>
        </w:tc>
      </w:tr>
      <w:tr>
        <w:trPr>
          <w:trHeight w:val="386" w:hRule="atLeast"/>
        </w:trPr>
        <w:tc>
          <w:tcPr>
            <w:tcW w:w="3766" w:type="dxa"/>
          </w:tcPr>
          <w:p>
            <w:pPr>
              <w:pStyle w:val="TableParagraph"/>
              <w:spacing w:before="112"/>
              <w:ind w:left="376"/>
              <w:rPr>
                <w:sz w:val="14"/>
              </w:rPr>
            </w:pPr>
            <w:r>
              <w:rPr>
                <w:w w:val="105"/>
                <w:sz w:val="14"/>
              </w:rPr>
              <w:t>b) Uses</w:t>
            </w:r>
          </w:p>
        </w:tc>
        <w:tc>
          <w:tcPr>
            <w:tcW w:w="2633" w:type="dxa"/>
            <w:gridSpan w:val="2"/>
          </w:tcPr>
          <w:p>
            <w:pPr>
              <w:pStyle w:val="TableParagraph"/>
              <w:spacing w:before="112"/>
              <w:ind w:right="149"/>
              <w:jc w:val="right"/>
              <w:rPr>
                <w:sz w:val="14"/>
              </w:rPr>
            </w:pPr>
            <w:r>
              <w:rPr>
                <w:sz w:val="14"/>
              </w:rPr>
              <w:t>7630-7699</w:t>
            </w:r>
          </w:p>
        </w:tc>
        <w:tc>
          <w:tcPr>
            <w:tcW w:w="1782" w:type="dxa"/>
          </w:tcPr>
          <w:p>
            <w:pPr>
              <w:pStyle w:val="TableParagraph"/>
              <w:spacing w:before="112"/>
              <w:ind w:right="299"/>
              <w:jc w:val="right"/>
              <w:rPr>
                <w:sz w:val="14"/>
              </w:rPr>
            </w:pPr>
            <w:r>
              <w:rPr>
                <w:sz w:val="14"/>
              </w:rPr>
              <w:t>0.00</w:t>
            </w:r>
          </w:p>
        </w:tc>
        <w:tc>
          <w:tcPr>
            <w:tcW w:w="1519" w:type="dxa"/>
          </w:tcPr>
          <w:p>
            <w:pPr>
              <w:pStyle w:val="TableParagraph"/>
              <w:spacing w:before="112"/>
              <w:ind w:right="255"/>
              <w:jc w:val="right"/>
              <w:rPr>
                <w:sz w:val="14"/>
              </w:rPr>
            </w:pPr>
            <w:r>
              <w:rPr>
                <w:sz w:val="14"/>
              </w:rPr>
              <w:t>0.00</w:t>
            </w:r>
          </w:p>
        </w:tc>
        <w:tc>
          <w:tcPr>
            <w:tcW w:w="1409" w:type="dxa"/>
            <w:gridSpan w:val="2"/>
          </w:tcPr>
          <w:p>
            <w:pPr>
              <w:pStyle w:val="TableParagraph"/>
              <w:spacing w:before="112"/>
              <w:ind w:right="53"/>
              <w:jc w:val="right"/>
              <w:rPr>
                <w:sz w:val="14"/>
              </w:rPr>
            </w:pPr>
            <w:r>
              <w:rPr>
                <w:sz w:val="14"/>
              </w:rPr>
              <w:t>0.0%</w:t>
            </w:r>
          </w:p>
        </w:tc>
      </w:tr>
      <w:tr>
        <w:trPr>
          <w:trHeight w:val="386" w:hRule="atLeast"/>
        </w:trPr>
        <w:tc>
          <w:tcPr>
            <w:tcW w:w="3766" w:type="dxa"/>
          </w:tcPr>
          <w:p>
            <w:pPr>
              <w:pStyle w:val="TableParagraph"/>
              <w:spacing w:before="112"/>
              <w:ind w:left="212"/>
              <w:rPr>
                <w:sz w:val="14"/>
              </w:rPr>
            </w:pPr>
            <w:r>
              <w:rPr>
                <w:w w:val="105"/>
                <w:sz w:val="14"/>
              </w:rPr>
              <w:t>3) Contributions</w:t>
            </w:r>
          </w:p>
        </w:tc>
        <w:tc>
          <w:tcPr>
            <w:tcW w:w="2633" w:type="dxa"/>
            <w:gridSpan w:val="2"/>
          </w:tcPr>
          <w:p>
            <w:pPr>
              <w:pStyle w:val="TableParagraph"/>
              <w:spacing w:before="112"/>
              <w:ind w:right="149"/>
              <w:jc w:val="right"/>
              <w:rPr>
                <w:sz w:val="14"/>
              </w:rPr>
            </w:pPr>
            <w:r>
              <w:rPr>
                <w:sz w:val="14"/>
              </w:rPr>
              <w:t>8980-8999</w:t>
            </w:r>
          </w:p>
        </w:tc>
        <w:tc>
          <w:tcPr>
            <w:tcW w:w="1782" w:type="dxa"/>
          </w:tcPr>
          <w:p>
            <w:pPr>
              <w:pStyle w:val="TableParagraph"/>
              <w:spacing w:before="112"/>
              <w:ind w:right="299"/>
              <w:jc w:val="right"/>
              <w:rPr>
                <w:sz w:val="14"/>
              </w:rPr>
            </w:pPr>
            <w:r>
              <w:rPr>
                <w:sz w:val="14"/>
              </w:rPr>
              <w:t>0.00</w:t>
            </w:r>
          </w:p>
        </w:tc>
        <w:tc>
          <w:tcPr>
            <w:tcW w:w="1519" w:type="dxa"/>
          </w:tcPr>
          <w:p>
            <w:pPr>
              <w:pStyle w:val="TableParagraph"/>
              <w:spacing w:before="112"/>
              <w:ind w:right="255"/>
              <w:jc w:val="right"/>
              <w:rPr>
                <w:sz w:val="14"/>
              </w:rPr>
            </w:pPr>
            <w:r>
              <w:rPr>
                <w:sz w:val="14"/>
              </w:rPr>
              <w:t>0.00</w:t>
            </w:r>
          </w:p>
        </w:tc>
        <w:tc>
          <w:tcPr>
            <w:tcW w:w="1409" w:type="dxa"/>
            <w:gridSpan w:val="2"/>
          </w:tcPr>
          <w:p>
            <w:pPr>
              <w:pStyle w:val="TableParagraph"/>
              <w:spacing w:before="112"/>
              <w:ind w:right="53"/>
              <w:jc w:val="right"/>
              <w:rPr>
                <w:sz w:val="14"/>
              </w:rPr>
            </w:pPr>
            <w:r>
              <w:rPr>
                <w:sz w:val="14"/>
              </w:rPr>
              <w:t>0.0%</w:t>
            </w:r>
          </w:p>
        </w:tc>
      </w:tr>
      <w:tr>
        <w:trPr>
          <w:trHeight w:val="274" w:hRule="atLeast"/>
        </w:trPr>
        <w:tc>
          <w:tcPr>
            <w:tcW w:w="3766" w:type="dxa"/>
          </w:tcPr>
          <w:p>
            <w:pPr>
              <w:pStyle w:val="TableParagraph"/>
              <w:spacing w:line="142" w:lineRule="exact" w:before="112"/>
              <w:ind w:left="212"/>
              <w:rPr>
                <w:sz w:val="14"/>
              </w:rPr>
            </w:pPr>
            <w:r>
              <w:rPr>
                <w:w w:val="105"/>
                <w:sz w:val="14"/>
              </w:rPr>
              <w:t>4) TOTAL, OTHER FINANCING SOURCES/USES</w:t>
            </w:r>
          </w:p>
        </w:tc>
        <w:tc>
          <w:tcPr>
            <w:tcW w:w="2633" w:type="dxa"/>
            <w:gridSpan w:val="2"/>
          </w:tcPr>
          <w:p>
            <w:pPr>
              <w:pStyle w:val="TableParagraph"/>
              <w:rPr>
                <w:rFonts w:ascii="Times New Roman"/>
                <w:sz w:val="14"/>
              </w:rPr>
            </w:pPr>
          </w:p>
        </w:tc>
        <w:tc>
          <w:tcPr>
            <w:tcW w:w="1782" w:type="dxa"/>
          </w:tcPr>
          <w:p>
            <w:pPr>
              <w:pStyle w:val="TableParagraph"/>
              <w:spacing w:line="142" w:lineRule="exact" w:before="112"/>
              <w:ind w:right="299"/>
              <w:jc w:val="right"/>
              <w:rPr>
                <w:sz w:val="14"/>
              </w:rPr>
            </w:pPr>
            <w:r>
              <w:rPr>
                <w:sz w:val="14"/>
              </w:rPr>
              <w:t>0.00</w:t>
            </w:r>
          </w:p>
        </w:tc>
        <w:tc>
          <w:tcPr>
            <w:tcW w:w="1519" w:type="dxa"/>
          </w:tcPr>
          <w:p>
            <w:pPr>
              <w:pStyle w:val="TableParagraph"/>
              <w:spacing w:line="142" w:lineRule="exact" w:before="112"/>
              <w:ind w:right="255"/>
              <w:jc w:val="right"/>
              <w:rPr>
                <w:sz w:val="14"/>
              </w:rPr>
            </w:pPr>
            <w:r>
              <w:rPr>
                <w:sz w:val="14"/>
              </w:rPr>
              <w:t>0.00</w:t>
            </w:r>
          </w:p>
        </w:tc>
        <w:tc>
          <w:tcPr>
            <w:tcW w:w="1409" w:type="dxa"/>
            <w:gridSpan w:val="2"/>
          </w:tcPr>
          <w:p>
            <w:pPr>
              <w:pStyle w:val="TableParagraph"/>
              <w:spacing w:line="142" w:lineRule="exact" w:before="112"/>
              <w:ind w:right="53"/>
              <w:jc w:val="right"/>
              <w:rPr>
                <w:sz w:val="14"/>
              </w:rPr>
            </w:pPr>
            <w:r>
              <w:rPr>
                <w:sz w:val="14"/>
              </w:rPr>
              <w:t>0.0%</w:t>
            </w:r>
          </w:p>
        </w:tc>
      </w:tr>
    </w:tbl>
    <w:p>
      <w:pPr>
        <w:spacing w:after="0" w:line="142" w:lineRule="exact"/>
        <w:jc w:val="right"/>
        <w:rPr>
          <w:sz w:val="14"/>
        </w:rPr>
        <w:sectPr>
          <w:headerReference w:type="default" r:id="rId903"/>
          <w:footerReference w:type="default" r:id="rId904"/>
          <w:pgSz w:w="12240" w:h="15840"/>
          <w:pgMar w:header="673" w:footer="451" w:top="1280" w:bottom="640" w:left="160" w:right="180"/>
        </w:sectPr>
      </w:pPr>
    </w:p>
    <w:p>
      <w:pPr>
        <w:pStyle w:val="BodyText"/>
        <w:rPr>
          <w:sz w:val="20"/>
        </w:rPr>
      </w:pPr>
      <w:r>
        <w:rPr/>
        <w:pict>
          <v:group style="position:absolute;margin-left:27.120001pt;margin-top:81.360008pt;width:554.3pt;height:436.35pt;mso-position-horizontal-relative:page;mso-position-vertical-relative:page;z-index:-314272768" coordorigin="542,1627" coordsize="11086,8727">
            <v:shape style="position:absolute;left:542;top:1627;width:3766;height:814" type="#_x0000_t75" stroked="false">
              <v:imagedata r:id="rId522" o:title=""/>
            </v:shape>
            <v:shape style="position:absolute;left:4300;top:1627;width:7328;height:1402" type="#_x0000_t75" stroked="false">
              <v:imagedata r:id="rId824" o:title=""/>
            </v:shape>
            <v:line style="position:absolute" from="1379,2431" to="1379,2810" stroked="true" strokeweight=".360003pt" strokecolor="#ffffff">
              <v:stroke dashstyle="solid"/>
            </v:line>
            <v:shape style="position:absolute;left:542;top:2426;width:3766;height:603" type="#_x0000_t75" stroked="false">
              <v:imagedata r:id="rId551" o:title=""/>
            </v:shape>
            <v:line style="position:absolute" from="1379,3019" to="1379,3398" stroked="true" strokeweight=".360003pt" strokecolor="#ffffff">
              <v:stroke dashstyle="solid"/>
            </v:line>
            <v:shape style="position:absolute;left:6926;top:2812;width:4702;height:1359" type="#_x0000_t75" stroked="false">
              <v:imagedata r:id="rId552" o:title=""/>
            </v:shape>
            <v:shape style="position:absolute;left:542;top:3014;width:3766;height:7340" type="#_x0000_t75" stroked="false">
              <v:imagedata r:id="rId909" o:title=""/>
            </v:shape>
            <v:shape style="position:absolute;left:583;top:2262;width:824;height:164" type="#_x0000_t202" filled="false" stroked="false">
              <v:textbox inset="0,0,0,0">
                <w:txbxContent>
                  <w:p>
                    <w:pPr>
                      <w:spacing w:before="1"/>
                      <w:ind w:left="0" w:right="0" w:firstLine="0"/>
                      <w:jc w:val="left"/>
                      <w:rPr>
                        <w:b/>
                        <w:sz w:val="14"/>
                      </w:rPr>
                    </w:pPr>
                    <w:r>
                      <w:rPr>
                        <w:b/>
                        <w:w w:val="105"/>
                        <w:sz w:val="14"/>
                      </w:rPr>
                      <w:t>Description</w:t>
                    </w:r>
                  </w:p>
                </w:txbxContent>
              </v:textbox>
              <w10:wrap type="none"/>
            </v:shape>
            <v:shape style="position:absolute;left:4569;top:2092;width:3795;height:334" type="#_x0000_t202" filled="false" stroked="false">
              <v:textbox inset="0,0,0,0">
                <w:txbxContent>
                  <w:p>
                    <w:pPr>
                      <w:spacing w:before="1"/>
                      <w:ind w:left="2880" w:right="0" w:firstLine="0"/>
                      <w:jc w:val="left"/>
                      <w:rPr>
                        <w:b/>
                        <w:sz w:val="14"/>
                      </w:rPr>
                    </w:pPr>
                    <w:r>
                      <w:rPr>
                        <w:b/>
                        <w:w w:val="105"/>
                        <w:sz w:val="14"/>
                      </w:rPr>
                      <w:t>2020-21</w:t>
                    </w:r>
                  </w:p>
                  <w:p>
                    <w:pPr>
                      <w:tabs>
                        <w:tab w:pos="1394" w:val="left" w:leader="none"/>
                      </w:tabs>
                      <w:spacing w:before="9"/>
                      <w:ind w:left="0" w:right="0" w:firstLine="0"/>
                      <w:jc w:val="left"/>
                      <w:rPr>
                        <w:b/>
                        <w:sz w:val="14"/>
                      </w:rPr>
                    </w:pPr>
                    <w:r>
                      <w:rPr>
                        <w:b/>
                        <w:w w:val="105"/>
                        <w:sz w:val="14"/>
                      </w:rPr>
                      <w:t>Function</w:t>
                    </w:r>
                    <w:r>
                      <w:rPr>
                        <w:b/>
                        <w:spacing w:val="-6"/>
                        <w:w w:val="105"/>
                        <w:sz w:val="14"/>
                      </w:rPr>
                      <w:t> </w:t>
                    </w:r>
                    <w:r>
                      <w:rPr>
                        <w:b/>
                        <w:w w:val="105"/>
                        <w:sz w:val="14"/>
                      </w:rPr>
                      <w:t>Codes</w:t>
                      <w:tab/>
                      <w:t>Object Codes Estimated</w:t>
                    </w:r>
                    <w:r>
                      <w:rPr>
                        <w:b/>
                        <w:spacing w:val="-6"/>
                        <w:w w:val="105"/>
                        <w:sz w:val="14"/>
                      </w:rPr>
                      <w:t> </w:t>
                    </w:r>
                    <w:r>
                      <w:rPr>
                        <w:b/>
                        <w:w w:val="105"/>
                        <w:sz w:val="14"/>
                      </w:rPr>
                      <w:t>Actuals</w:t>
                    </w:r>
                  </w:p>
                </w:txbxContent>
              </v:textbox>
              <w10:wrap type="none"/>
            </v:shape>
            <v:shape style="position:absolute;left:9012;top:2092;width:557;height:334" type="#_x0000_t202" filled="false" stroked="false">
              <v:textbox inset="0,0,0,0">
                <w:txbxContent>
                  <w:p>
                    <w:pPr>
                      <w:spacing w:before="1"/>
                      <w:ind w:left="0" w:right="0" w:firstLine="0"/>
                      <w:jc w:val="left"/>
                      <w:rPr>
                        <w:b/>
                        <w:sz w:val="14"/>
                      </w:rPr>
                    </w:pPr>
                    <w:r>
                      <w:rPr>
                        <w:b/>
                        <w:w w:val="105"/>
                        <w:sz w:val="14"/>
                      </w:rPr>
                      <w:t>2021-22</w:t>
                    </w:r>
                  </w:p>
                  <w:p>
                    <w:pPr>
                      <w:spacing w:before="9"/>
                      <w:ind w:left="16" w:right="0" w:firstLine="0"/>
                      <w:jc w:val="left"/>
                      <w:rPr>
                        <w:b/>
                        <w:sz w:val="14"/>
                      </w:rPr>
                    </w:pPr>
                    <w:r>
                      <w:rPr>
                        <w:b/>
                        <w:w w:val="105"/>
                        <w:sz w:val="14"/>
                      </w:rPr>
                      <w:t>Budget</w:t>
                    </w:r>
                  </w:p>
                </w:txbxContent>
              </v:textbox>
              <w10:wrap type="none"/>
            </v:shape>
            <v:shape style="position:absolute;left:10485;top:2092;width:734;height:334" type="#_x0000_t202" filled="false" stroked="false">
              <v:textbox inset="0,0,0,0">
                <w:txbxContent>
                  <w:p>
                    <w:pPr>
                      <w:spacing w:line="254" w:lineRule="auto" w:before="1"/>
                      <w:ind w:left="0" w:right="0" w:firstLine="88"/>
                      <w:jc w:val="left"/>
                      <w:rPr>
                        <w:b/>
                        <w:sz w:val="14"/>
                      </w:rPr>
                    </w:pPr>
                    <w:r>
                      <w:rPr>
                        <w:b/>
                        <w:w w:val="105"/>
                        <w:sz w:val="14"/>
                      </w:rPr>
                      <w:t>Percent </w:t>
                    </w:r>
                    <w:r>
                      <w:rPr>
                        <w:b/>
                        <w:sz w:val="14"/>
                      </w:rPr>
                      <w:t>Difference</w:t>
                    </w:r>
                  </w:p>
                </w:txbxContent>
              </v:textbox>
              <w10:wrap type="none"/>
            </v:shape>
            <v:shape style="position:absolute;left:583;top:2649;width:2862;height:365" type="#_x0000_t202" filled="false" stroked="false">
              <v:textbox inset="0,0,0,0">
                <w:txbxContent>
                  <w:p>
                    <w:pPr>
                      <w:spacing w:before="1"/>
                      <w:ind w:left="0" w:right="0" w:firstLine="0"/>
                      <w:jc w:val="left"/>
                      <w:rPr>
                        <w:b/>
                        <w:sz w:val="14"/>
                      </w:rPr>
                    </w:pPr>
                    <w:r>
                      <w:rPr>
                        <w:b/>
                        <w:w w:val="105"/>
                        <w:sz w:val="14"/>
                      </w:rPr>
                      <w:t>E. NET INCREASE (DECREASE) IN</w:t>
                    </w:r>
                    <w:r>
                      <w:rPr>
                        <w:b/>
                        <w:spacing w:val="-29"/>
                        <w:w w:val="105"/>
                        <w:sz w:val="14"/>
                      </w:rPr>
                      <w:t> </w:t>
                    </w:r>
                    <w:r>
                      <w:rPr>
                        <w:b/>
                        <w:w w:val="105"/>
                        <w:sz w:val="14"/>
                      </w:rPr>
                      <w:t>FUND</w:t>
                    </w:r>
                  </w:p>
                  <w:p>
                    <w:pPr>
                      <w:spacing w:before="40"/>
                      <w:ind w:left="202" w:right="0" w:firstLine="0"/>
                      <w:jc w:val="left"/>
                      <w:rPr>
                        <w:b/>
                        <w:sz w:val="14"/>
                      </w:rPr>
                    </w:pPr>
                    <w:r>
                      <w:rPr>
                        <w:b/>
                        <w:w w:val="105"/>
                        <w:sz w:val="14"/>
                      </w:rPr>
                      <w:t>BALANCE (C + D4)</w:t>
                    </w:r>
                  </w:p>
                </w:txbxContent>
              </v:textbox>
              <w10:wrap type="none"/>
            </v:shape>
            <v:shape style="position:absolute;left:7965;top:2853;width:467;height:164" type="#_x0000_t202" filled="false" stroked="false">
              <v:textbox inset="0,0,0,0">
                <w:txbxContent>
                  <w:p>
                    <w:pPr>
                      <w:spacing w:before="1"/>
                      <w:ind w:left="0" w:right="0" w:firstLine="0"/>
                      <w:jc w:val="left"/>
                      <w:rPr>
                        <w:sz w:val="14"/>
                      </w:rPr>
                    </w:pPr>
                    <w:r>
                      <w:rPr>
                        <w:w w:val="105"/>
                        <w:sz w:val="14"/>
                      </w:rPr>
                      <w:t>175.00</w:t>
                    </w:r>
                  </w:p>
                </w:txbxContent>
              </v:textbox>
              <w10:wrap type="none"/>
            </v:shape>
            <v:shape style="position:absolute;left:9528;top:2853;width:467;height:164" type="#_x0000_t202" filled="false" stroked="false">
              <v:textbox inset="0,0,0,0">
                <w:txbxContent>
                  <w:p>
                    <w:pPr>
                      <w:spacing w:before="1"/>
                      <w:ind w:left="0" w:right="0" w:firstLine="0"/>
                      <w:jc w:val="left"/>
                      <w:rPr>
                        <w:sz w:val="14"/>
                      </w:rPr>
                    </w:pPr>
                    <w:r>
                      <w:rPr>
                        <w:w w:val="105"/>
                        <w:sz w:val="14"/>
                      </w:rPr>
                      <w:t>175.00</w:t>
                    </w:r>
                  </w:p>
                </w:txbxContent>
              </v:textbox>
              <w10:wrap type="none"/>
            </v:shape>
            <v:shape style="position:absolute;left:11253;top:2853;width:354;height:164" type="#_x0000_t202" filled="false" stroked="false">
              <v:textbox inset="0,0,0,0">
                <w:txbxContent>
                  <w:p>
                    <w:pPr>
                      <w:spacing w:before="1"/>
                      <w:ind w:left="0" w:right="0" w:firstLine="0"/>
                      <w:jc w:val="left"/>
                      <w:rPr>
                        <w:sz w:val="14"/>
                      </w:rPr>
                    </w:pPr>
                    <w:r>
                      <w:rPr>
                        <w:w w:val="105"/>
                        <w:sz w:val="14"/>
                      </w:rPr>
                      <w:t>0.0%</w:t>
                    </w:r>
                  </w:p>
                </w:txbxContent>
              </v:textbox>
              <w10:wrap type="none"/>
            </v:shape>
            <v:shape style="position:absolute;left:583;top:3237;width:2217;height:164" type="#_x0000_t202" filled="false" stroked="false">
              <v:textbox inset="0,0,0,0">
                <w:txbxContent>
                  <w:p>
                    <w:pPr>
                      <w:spacing w:before="1"/>
                      <w:ind w:left="0" w:right="0" w:firstLine="0"/>
                      <w:jc w:val="left"/>
                      <w:rPr>
                        <w:b/>
                        <w:sz w:val="14"/>
                      </w:rPr>
                    </w:pPr>
                    <w:r>
                      <w:rPr>
                        <w:b/>
                        <w:w w:val="105"/>
                        <w:sz w:val="14"/>
                      </w:rPr>
                      <w:t>F. FUND BALANCE,</w:t>
                    </w:r>
                    <w:r>
                      <w:rPr>
                        <w:b/>
                        <w:spacing w:val="-25"/>
                        <w:w w:val="105"/>
                        <w:sz w:val="14"/>
                      </w:rPr>
                      <w:t> </w:t>
                    </w:r>
                    <w:r>
                      <w:rPr>
                        <w:b/>
                        <w:w w:val="105"/>
                        <w:sz w:val="14"/>
                      </w:rPr>
                      <w:t>RESERVES</w:t>
                    </w:r>
                  </w:p>
                </w:txbxContent>
              </v:textbox>
              <w10:wrap type="none"/>
            </v:shape>
            <w10:wrap type="none"/>
          </v:group>
        </w:pict>
      </w:r>
      <w:r>
        <w:rPr/>
        <w:pict>
          <v:group style="position:absolute;margin-left:215.039993pt;margin-top:190.200012pt;width:366.4pt;height:327.5pt;mso-position-horizontal-relative:page;mso-position-vertical-relative:page;z-index:-314271744" coordorigin="4301,3804" coordsize="7328,6550">
            <v:shape style="position:absolute;left:6926;top:3804;width:4702;height:728" type="#_x0000_t75" stroked="false">
              <v:imagedata r:id="rId554" o:title=""/>
            </v:shape>
            <v:shape style="position:absolute;left:6926;top:4164;width:4702;height:728" type="#_x0000_t75" stroked="false">
              <v:imagedata r:id="rId555" o:title=""/>
            </v:shape>
            <v:shape style="position:absolute;left:6926;top:4524;width:4702;height:728" type="#_x0000_t75" stroked="false">
              <v:imagedata r:id="rId555" o:title=""/>
            </v:shape>
            <v:shape style="position:absolute;left:6926;top:4884;width:4702;height:728" type="#_x0000_t75" stroked="false">
              <v:imagedata r:id="rId555" o:title=""/>
            </v:shape>
            <v:shape style="position:absolute;left:6926;top:5244;width:4702;height:728" type="#_x0000_t75" stroked="false">
              <v:imagedata r:id="rId555" o:title=""/>
            </v:shape>
            <v:shape style="position:absolute;left:8488;top:5604;width:3140;height:968" type="#_x0000_t75" stroked="false">
              <v:imagedata r:id="rId910" o:title=""/>
            </v:shape>
            <v:shape style="position:absolute;left:6926;top:5964;width:1570;height:963" type="#_x0000_t75" stroked="false">
              <v:imagedata r:id="rId911" o:title=""/>
            </v:shape>
            <v:rect style="position:absolute;left:6931;top:6573;width:1563;height:351" filled="true" fillcolor="#dfdfdf" stroked="false">
              <v:fill type="solid"/>
            </v:rect>
            <v:shape style="position:absolute;left:8488;top:6367;width:1570;height:560" type="#_x0000_t75" stroked="false">
              <v:imagedata r:id="rId912" o:title=""/>
            </v:shape>
            <v:rect style="position:absolute;left:10056;top:6573;width:1563;height:351" filled="true" fillcolor="#dfdfdf" stroked="false">
              <v:fill type="solid"/>
            </v:rect>
            <v:shape style="position:absolute;left:6926;top:6367;width:4702;height:1260" type="#_x0000_t75" stroked="false">
              <v:imagedata r:id="rId913" o:title=""/>
            </v:shape>
            <v:shape style="position:absolute;left:6926;top:7269;width:4702;height:704" type="#_x0000_t75" stroked="false">
              <v:imagedata r:id="rId914" o:title=""/>
            </v:shape>
            <v:shape style="position:absolute;left:8488;top:7620;width:3140;height:704" type="#_x0000_t75" stroked="false">
              <v:imagedata r:id="rId915" o:title=""/>
            </v:shape>
            <v:shape style="position:absolute;left:6926;top:7970;width:1570;height:356" type="#_x0000_t75" stroked="false">
              <v:imagedata r:id="rId916" o:title=""/>
            </v:shape>
            <v:shape style="position:absolute;left:8493;top:7975;width:3125;height:351" coordorigin="8494,7975" coordsize="3125,351" path="m11618,7975l10056,7975,8494,7975,8494,8326,10056,8326,11618,8326,11618,7975e" filled="true" fillcolor="#dfdfdf" stroked="false">
              <v:path arrowok="t"/>
              <v:fill type="solid"/>
            </v:shape>
            <v:shape style="position:absolute;left:6926;top:8320;width:1570;height:209" type="#_x0000_t75" stroked="false">
              <v:imagedata r:id="rId568" o:title=""/>
            </v:shape>
            <v:shape style="position:absolute;left:8488;top:8320;width:1570;height:209" type="#_x0000_t75" stroked="false">
              <v:imagedata r:id="rId568" o:title=""/>
            </v:shape>
            <v:shape style="position:absolute;left:6926;top:7970;width:4702;height:1457" type="#_x0000_t75" stroked="false">
              <v:imagedata r:id="rId917" o:title=""/>
            </v:shape>
            <v:shape style="position:absolute;left:8488;top:9223;width:3140;height:209" type="#_x0000_t75" stroked="false">
              <v:imagedata r:id="rId918" o:title=""/>
            </v:shape>
            <v:shape style="position:absolute;left:6926;top:9424;width:1570;height:356" type="#_x0000_t75" stroked="false">
              <v:imagedata r:id="rId916" o:title=""/>
            </v:shape>
            <v:shape style="position:absolute;left:8488;top:9424;width:1570;height:356" type="#_x0000_t75" stroked="false">
              <v:imagedata r:id="rId916" o:title=""/>
            </v:shape>
            <v:rect style="position:absolute;left:10056;top:9429;width:1563;height:351" filled="true" fillcolor="#dfdfdf" stroked="false">
              <v:fill type="solid"/>
            </v:rect>
            <v:shape style="position:absolute;left:6926;top:9775;width:1570;height:209" type="#_x0000_t75" stroked="false">
              <v:imagedata r:id="rId568" o:title=""/>
            </v:shape>
            <v:shape style="position:absolute;left:8488;top:9775;width:1570;height:209" type="#_x0000_t75" stroked="false">
              <v:imagedata r:id="rId568" o:title=""/>
            </v:shape>
            <v:rect style="position:absolute;left:10056;top:9780;width:1563;height:202" filled="true" fillcolor="#dfdfdf" stroked="false">
              <v:fill type="solid"/>
            </v:rect>
            <v:shape style="position:absolute;left:4300;top:9424;width:7328;height:929" type="#_x0000_t75" stroked="false">
              <v:imagedata r:id="rId919" o:titl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3"/>
        </w:rPr>
      </w:pPr>
    </w:p>
    <w:tbl>
      <w:tblPr>
        <w:tblW w:w="0" w:type="auto"/>
        <w:jc w:val="left"/>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523"/>
        <w:gridCol w:w="959"/>
        <w:gridCol w:w="1691"/>
        <w:gridCol w:w="1147"/>
        <w:gridCol w:w="1652"/>
      </w:tblGrid>
      <w:tr>
        <w:trPr>
          <w:trHeight w:val="360" w:hRule="atLeast"/>
        </w:trPr>
        <w:tc>
          <w:tcPr>
            <w:tcW w:w="5523" w:type="dxa"/>
          </w:tcPr>
          <w:p>
            <w:pPr>
              <w:pStyle w:val="TableParagraph"/>
              <w:spacing w:before="1"/>
              <w:ind w:left="50"/>
              <w:rPr>
                <w:sz w:val="14"/>
              </w:rPr>
            </w:pPr>
            <w:r>
              <w:rPr>
                <w:w w:val="105"/>
                <w:sz w:val="14"/>
              </w:rPr>
              <w:t>1) Beginning Fund Balance</w:t>
            </w:r>
          </w:p>
        </w:tc>
        <w:tc>
          <w:tcPr>
            <w:tcW w:w="5449" w:type="dxa"/>
            <w:gridSpan w:val="4"/>
          </w:tcPr>
          <w:p>
            <w:pPr>
              <w:pStyle w:val="TableParagraph"/>
              <w:rPr>
                <w:rFonts w:ascii="Times New Roman"/>
                <w:sz w:val="14"/>
              </w:rPr>
            </w:pPr>
          </w:p>
        </w:tc>
      </w:tr>
      <w:tr>
        <w:trPr>
          <w:trHeight w:val="261" w:hRule="atLeast"/>
        </w:trPr>
        <w:tc>
          <w:tcPr>
            <w:tcW w:w="5523" w:type="dxa"/>
          </w:tcPr>
          <w:p>
            <w:pPr>
              <w:pStyle w:val="TableParagraph"/>
              <w:spacing w:before="1"/>
              <w:ind w:left="214"/>
              <w:rPr>
                <w:sz w:val="14"/>
              </w:rPr>
            </w:pPr>
            <w:r>
              <w:rPr>
                <w:w w:val="105"/>
                <w:sz w:val="14"/>
              </w:rPr>
              <w:t>a) As of July 1 - Unaudited</w:t>
            </w:r>
          </w:p>
        </w:tc>
        <w:tc>
          <w:tcPr>
            <w:tcW w:w="959" w:type="dxa"/>
          </w:tcPr>
          <w:p>
            <w:pPr>
              <w:pStyle w:val="TableParagraph"/>
              <w:spacing w:before="1"/>
              <w:ind w:left="50"/>
              <w:rPr>
                <w:sz w:val="14"/>
              </w:rPr>
            </w:pPr>
            <w:r>
              <w:rPr>
                <w:w w:val="105"/>
                <w:sz w:val="14"/>
              </w:rPr>
              <w:t>9791</w:t>
            </w:r>
          </w:p>
        </w:tc>
        <w:tc>
          <w:tcPr>
            <w:tcW w:w="1691" w:type="dxa"/>
          </w:tcPr>
          <w:p>
            <w:pPr>
              <w:pStyle w:val="TableParagraph"/>
              <w:spacing w:before="1"/>
              <w:ind w:right="454"/>
              <w:jc w:val="right"/>
              <w:rPr>
                <w:sz w:val="14"/>
              </w:rPr>
            </w:pPr>
            <w:r>
              <w:rPr>
                <w:sz w:val="14"/>
              </w:rPr>
              <w:t>12,795.00</w:t>
            </w:r>
          </w:p>
        </w:tc>
        <w:tc>
          <w:tcPr>
            <w:tcW w:w="1147" w:type="dxa"/>
          </w:tcPr>
          <w:p>
            <w:pPr>
              <w:pStyle w:val="TableParagraph"/>
              <w:spacing w:before="1"/>
              <w:ind w:right="38"/>
              <w:jc w:val="right"/>
              <w:rPr>
                <w:sz w:val="14"/>
              </w:rPr>
            </w:pPr>
            <w:r>
              <w:rPr>
                <w:sz w:val="14"/>
              </w:rPr>
              <w:t>12,970.00</w:t>
            </w:r>
          </w:p>
        </w:tc>
        <w:tc>
          <w:tcPr>
            <w:tcW w:w="1652" w:type="dxa"/>
          </w:tcPr>
          <w:p>
            <w:pPr>
              <w:pStyle w:val="TableParagraph"/>
              <w:spacing w:before="1"/>
              <w:ind w:right="78"/>
              <w:jc w:val="right"/>
              <w:rPr>
                <w:sz w:val="14"/>
              </w:rPr>
            </w:pPr>
            <w:r>
              <w:rPr>
                <w:sz w:val="14"/>
              </w:rPr>
              <w:t>1.4%</w:t>
            </w:r>
          </w:p>
        </w:tc>
      </w:tr>
      <w:tr>
        <w:trPr>
          <w:trHeight w:val="360" w:hRule="atLeast"/>
        </w:trPr>
        <w:tc>
          <w:tcPr>
            <w:tcW w:w="5523" w:type="dxa"/>
          </w:tcPr>
          <w:p>
            <w:pPr>
              <w:pStyle w:val="TableParagraph"/>
              <w:spacing w:before="99"/>
              <w:ind w:left="214"/>
              <w:rPr>
                <w:sz w:val="14"/>
              </w:rPr>
            </w:pPr>
            <w:r>
              <w:rPr>
                <w:w w:val="105"/>
                <w:sz w:val="14"/>
              </w:rPr>
              <w:t>b) Audit Adjustments</w:t>
            </w:r>
          </w:p>
        </w:tc>
        <w:tc>
          <w:tcPr>
            <w:tcW w:w="959" w:type="dxa"/>
          </w:tcPr>
          <w:p>
            <w:pPr>
              <w:pStyle w:val="TableParagraph"/>
              <w:spacing w:before="99"/>
              <w:ind w:left="50"/>
              <w:rPr>
                <w:sz w:val="14"/>
              </w:rPr>
            </w:pPr>
            <w:r>
              <w:rPr>
                <w:w w:val="105"/>
                <w:sz w:val="14"/>
              </w:rPr>
              <w:t>9793</w:t>
            </w:r>
          </w:p>
        </w:tc>
        <w:tc>
          <w:tcPr>
            <w:tcW w:w="1691" w:type="dxa"/>
          </w:tcPr>
          <w:p>
            <w:pPr>
              <w:pStyle w:val="TableParagraph"/>
              <w:spacing w:before="99"/>
              <w:ind w:right="453"/>
              <w:jc w:val="right"/>
              <w:rPr>
                <w:sz w:val="14"/>
              </w:rPr>
            </w:pPr>
            <w:r>
              <w:rPr>
                <w:w w:val="105"/>
                <w:sz w:val="14"/>
              </w:rPr>
              <w:t>0.00</w:t>
            </w:r>
          </w:p>
        </w:tc>
        <w:tc>
          <w:tcPr>
            <w:tcW w:w="1147" w:type="dxa"/>
          </w:tcPr>
          <w:p>
            <w:pPr>
              <w:pStyle w:val="TableParagraph"/>
              <w:spacing w:before="99"/>
              <w:ind w:right="39"/>
              <w:jc w:val="right"/>
              <w:rPr>
                <w:sz w:val="14"/>
              </w:rPr>
            </w:pPr>
            <w:r>
              <w:rPr>
                <w:w w:val="105"/>
                <w:sz w:val="14"/>
              </w:rPr>
              <w:t>0.00</w:t>
            </w:r>
          </w:p>
        </w:tc>
        <w:tc>
          <w:tcPr>
            <w:tcW w:w="1652" w:type="dxa"/>
          </w:tcPr>
          <w:p>
            <w:pPr>
              <w:pStyle w:val="TableParagraph"/>
              <w:spacing w:before="99"/>
              <w:ind w:right="78"/>
              <w:jc w:val="right"/>
              <w:rPr>
                <w:sz w:val="14"/>
              </w:rPr>
            </w:pPr>
            <w:r>
              <w:rPr>
                <w:sz w:val="14"/>
              </w:rPr>
              <w:t>0.0%</w:t>
            </w:r>
          </w:p>
        </w:tc>
      </w:tr>
      <w:tr>
        <w:trPr>
          <w:trHeight w:val="360" w:hRule="atLeast"/>
        </w:trPr>
        <w:tc>
          <w:tcPr>
            <w:tcW w:w="5523" w:type="dxa"/>
          </w:tcPr>
          <w:p>
            <w:pPr>
              <w:pStyle w:val="TableParagraph"/>
              <w:spacing w:before="99"/>
              <w:ind w:left="214"/>
              <w:rPr>
                <w:sz w:val="14"/>
              </w:rPr>
            </w:pPr>
            <w:r>
              <w:rPr>
                <w:w w:val="105"/>
                <w:sz w:val="14"/>
              </w:rPr>
              <w:t>c) As of July 1 - Audited (F1a + F1b)</w:t>
            </w:r>
          </w:p>
        </w:tc>
        <w:tc>
          <w:tcPr>
            <w:tcW w:w="959" w:type="dxa"/>
          </w:tcPr>
          <w:p>
            <w:pPr>
              <w:pStyle w:val="TableParagraph"/>
              <w:rPr>
                <w:rFonts w:ascii="Times New Roman"/>
                <w:sz w:val="14"/>
              </w:rPr>
            </w:pPr>
          </w:p>
        </w:tc>
        <w:tc>
          <w:tcPr>
            <w:tcW w:w="1691" w:type="dxa"/>
          </w:tcPr>
          <w:p>
            <w:pPr>
              <w:pStyle w:val="TableParagraph"/>
              <w:spacing w:before="99"/>
              <w:ind w:right="454"/>
              <w:jc w:val="right"/>
              <w:rPr>
                <w:sz w:val="14"/>
              </w:rPr>
            </w:pPr>
            <w:r>
              <w:rPr>
                <w:sz w:val="14"/>
              </w:rPr>
              <w:t>12,795.00</w:t>
            </w:r>
          </w:p>
        </w:tc>
        <w:tc>
          <w:tcPr>
            <w:tcW w:w="1147" w:type="dxa"/>
          </w:tcPr>
          <w:p>
            <w:pPr>
              <w:pStyle w:val="TableParagraph"/>
              <w:spacing w:before="99"/>
              <w:ind w:right="38"/>
              <w:jc w:val="right"/>
              <w:rPr>
                <w:sz w:val="14"/>
              </w:rPr>
            </w:pPr>
            <w:r>
              <w:rPr>
                <w:sz w:val="14"/>
              </w:rPr>
              <w:t>12,970.00</w:t>
            </w:r>
          </w:p>
        </w:tc>
        <w:tc>
          <w:tcPr>
            <w:tcW w:w="1652" w:type="dxa"/>
          </w:tcPr>
          <w:p>
            <w:pPr>
              <w:pStyle w:val="TableParagraph"/>
              <w:spacing w:before="99"/>
              <w:ind w:right="78"/>
              <w:jc w:val="right"/>
              <w:rPr>
                <w:sz w:val="14"/>
              </w:rPr>
            </w:pPr>
            <w:r>
              <w:rPr>
                <w:sz w:val="14"/>
              </w:rPr>
              <w:t>1.4%</w:t>
            </w:r>
          </w:p>
        </w:tc>
      </w:tr>
      <w:tr>
        <w:trPr>
          <w:trHeight w:val="360" w:hRule="atLeast"/>
        </w:trPr>
        <w:tc>
          <w:tcPr>
            <w:tcW w:w="5523" w:type="dxa"/>
          </w:tcPr>
          <w:p>
            <w:pPr>
              <w:pStyle w:val="TableParagraph"/>
              <w:spacing w:before="99"/>
              <w:ind w:left="214"/>
              <w:rPr>
                <w:sz w:val="14"/>
              </w:rPr>
            </w:pPr>
            <w:r>
              <w:rPr>
                <w:w w:val="105"/>
                <w:sz w:val="14"/>
              </w:rPr>
              <w:t>d) Other Restatements</w:t>
            </w:r>
          </w:p>
        </w:tc>
        <w:tc>
          <w:tcPr>
            <w:tcW w:w="959" w:type="dxa"/>
          </w:tcPr>
          <w:p>
            <w:pPr>
              <w:pStyle w:val="TableParagraph"/>
              <w:spacing w:before="99"/>
              <w:ind w:left="50"/>
              <w:rPr>
                <w:sz w:val="14"/>
              </w:rPr>
            </w:pPr>
            <w:r>
              <w:rPr>
                <w:w w:val="105"/>
                <w:sz w:val="14"/>
              </w:rPr>
              <w:t>9795</w:t>
            </w:r>
          </w:p>
        </w:tc>
        <w:tc>
          <w:tcPr>
            <w:tcW w:w="1691" w:type="dxa"/>
          </w:tcPr>
          <w:p>
            <w:pPr>
              <w:pStyle w:val="TableParagraph"/>
              <w:spacing w:before="99"/>
              <w:ind w:right="453"/>
              <w:jc w:val="right"/>
              <w:rPr>
                <w:sz w:val="14"/>
              </w:rPr>
            </w:pPr>
            <w:r>
              <w:rPr>
                <w:w w:val="105"/>
                <w:sz w:val="14"/>
              </w:rPr>
              <w:t>0.00</w:t>
            </w:r>
          </w:p>
        </w:tc>
        <w:tc>
          <w:tcPr>
            <w:tcW w:w="1147" w:type="dxa"/>
          </w:tcPr>
          <w:p>
            <w:pPr>
              <w:pStyle w:val="TableParagraph"/>
              <w:spacing w:before="99"/>
              <w:ind w:right="39"/>
              <w:jc w:val="right"/>
              <w:rPr>
                <w:sz w:val="14"/>
              </w:rPr>
            </w:pPr>
            <w:r>
              <w:rPr>
                <w:w w:val="105"/>
                <w:sz w:val="14"/>
              </w:rPr>
              <w:t>0.00</w:t>
            </w:r>
          </w:p>
        </w:tc>
        <w:tc>
          <w:tcPr>
            <w:tcW w:w="1652" w:type="dxa"/>
          </w:tcPr>
          <w:p>
            <w:pPr>
              <w:pStyle w:val="TableParagraph"/>
              <w:spacing w:before="99"/>
              <w:ind w:right="78"/>
              <w:jc w:val="right"/>
              <w:rPr>
                <w:sz w:val="14"/>
              </w:rPr>
            </w:pPr>
            <w:r>
              <w:rPr>
                <w:sz w:val="14"/>
              </w:rPr>
              <w:t>0.0%</w:t>
            </w:r>
          </w:p>
        </w:tc>
      </w:tr>
      <w:tr>
        <w:trPr>
          <w:trHeight w:val="360" w:hRule="atLeast"/>
        </w:trPr>
        <w:tc>
          <w:tcPr>
            <w:tcW w:w="5523" w:type="dxa"/>
          </w:tcPr>
          <w:p>
            <w:pPr>
              <w:pStyle w:val="TableParagraph"/>
              <w:spacing w:before="99"/>
              <w:ind w:left="214"/>
              <w:rPr>
                <w:sz w:val="14"/>
              </w:rPr>
            </w:pPr>
            <w:r>
              <w:rPr>
                <w:w w:val="105"/>
                <w:sz w:val="14"/>
              </w:rPr>
              <w:t>e) Adjusted Beginning Balance (F1c + F1d)</w:t>
            </w:r>
          </w:p>
        </w:tc>
        <w:tc>
          <w:tcPr>
            <w:tcW w:w="959" w:type="dxa"/>
          </w:tcPr>
          <w:p>
            <w:pPr>
              <w:pStyle w:val="TableParagraph"/>
              <w:rPr>
                <w:rFonts w:ascii="Times New Roman"/>
                <w:sz w:val="14"/>
              </w:rPr>
            </w:pPr>
          </w:p>
        </w:tc>
        <w:tc>
          <w:tcPr>
            <w:tcW w:w="1691" w:type="dxa"/>
          </w:tcPr>
          <w:p>
            <w:pPr>
              <w:pStyle w:val="TableParagraph"/>
              <w:spacing w:before="99"/>
              <w:ind w:right="454"/>
              <w:jc w:val="right"/>
              <w:rPr>
                <w:sz w:val="14"/>
              </w:rPr>
            </w:pPr>
            <w:r>
              <w:rPr>
                <w:sz w:val="14"/>
              </w:rPr>
              <w:t>12,795.00</w:t>
            </w:r>
          </w:p>
        </w:tc>
        <w:tc>
          <w:tcPr>
            <w:tcW w:w="1147" w:type="dxa"/>
          </w:tcPr>
          <w:p>
            <w:pPr>
              <w:pStyle w:val="TableParagraph"/>
              <w:spacing w:before="99"/>
              <w:ind w:right="38"/>
              <w:jc w:val="right"/>
              <w:rPr>
                <w:sz w:val="14"/>
              </w:rPr>
            </w:pPr>
            <w:r>
              <w:rPr>
                <w:sz w:val="14"/>
              </w:rPr>
              <w:t>12,970.00</w:t>
            </w:r>
          </w:p>
        </w:tc>
        <w:tc>
          <w:tcPr>
            <w:tcW w:w="1652" w:type="dxa"/>
          </w:tcPr>
          <w:p>
            <w:pPr>
              <w:pStyle w:val="TableParagraph"/>
              <w:spacing w:before="99"/>
              <w:ind w:right="78"/>
              <w:jc w:val="right"/>
              <w:rPr>
                <w:sz w:val="14"/>
              </w:rPr>
            </w:pPr>
            <w:r>
              <w:rPr>
                <w:sz w:val="14"/>
              </w:rPr>
              <w:t>1.4%</w:t>
            </w:r>
          </w:p>
        </w:tc>
      </w:tr>
      <w:tr>
        <w:trPr>
          <w:trHeight w:val="664" w:hRule="atLeast"/>
        </w:trPr>
        <w:tc>
          <w:tcPr>
            <w:tcW w:w="5523" w:type="dxa"/>
          </w:tcPr>
          <w:p>
            <w:pPr>
              <w:pStyle w:val="TableParagraph"/>
              <w:numPr>
                <w:ilvl w:val="0"/>
                <w:numId w:val="35"/>
              </w:numPr>
              <w:tabs>
                <w:tab w:pos="221" w:val="left" w:leader="none"/>
              </w:tabs>
              <w:spacing w:line="300" w:lineRule="auto" w:before="99" w:after="0"/>
              <w:ind w:left="214" w:right="2867" w:hanging="165"/>
              <w:jc w:val="left"/>
              <w:rPr>
                <w:sz w:val="14"/>
              </w:rPr>
            </w:pPr>
            <w:r>
              <w:rPr>
                <w:w w:val="105"/>
                <w:sz w:val="14"/>
              </w:rPr>
              <w:t>Ending Balance, June 30 (E + F1e) Components of Ending Fund</w:t>
            </w:r>
            <w:r>
              <w:rPr>
                <w:spacing w:val="-20"/>
                <w:w w:val="105"/>
                <w:sz w:val="14"/>
              </w:rPr>
              <w:t> </w:t>
            </w:r>
            <w:r>
              <w:rPr>
                <w:w w:val="105"/>
                <w:sz w:val="14"/>
              </w:rPr>
              <w:t>Balance</w:t>
            </w:r>
          </w:p>
          <w:p>
            <w:pPr>
              <w:pStyle w:val="TableParagraph"/>
              <w:numPr>
                <w:ilvl w:val="1"/>
                <w:numId w:val="35"/>
              </w:numPr>
              <w:tabs>
                <w:tab w:pos="384" w:val="left" w:leader="none"/>
              </w:tabs>
              <w:spacing w:line="142" w:lineRule="exact" w:before="1" w:after="0"/>
              <w:ind w:left="383" w:right="0" w:hanging="170"/>
              <w:jc w:val="left"/>
              <w:rPr>
                <w:sz w:val="14"/>
              </w:rPr>
            </w:pPr>
            <w:r>
              <w:rPr>
                <w:w w:val="105"/>
                <w:sz w:val="14"/>
              </w:rPr>
              <w:t>Nonspendable</w:t>
            </w:r>
          </w:p>
        </w:tc>
        <w:tc>
          <w:tcPr>
            <w:tcW w:w="959" w:type="dxa"/>
          </w:tcPr>
          <w:p>
            <w:pPr>
              <w:pStyle w:val="TableParagraph"/>
              <w:rPr>
                <w:rFonts w:ascii="Times New Roman"/>
                <w:sz w:val="14"/>
              </w:rPr>
            </w:pPr>
          </w:p>
        </w:tc>
        <w:tc>
          <w:tcPr>
            <w:tcW w:w="1691" w:type="dxa"/>
          </w:tcPr>
          <w:p>
            <w:pPr>
              <w:pStyle w:val="TableParagraph"/>
              <w:spacing w:before="99"/>
              <w:ind w:right="454"/>
              <w:jc w:val="right"/>
              <w:rPr>
                <w:sz w:val="14"/>
              </w:rPr>
            </w:pPr>
            <w:r>
              <w:rPr>
                <w:sz w:val="14"/>
              </w:rPr>
              <w:t>12,970.00</w:t>
            </w:r>
          </w:p>
        </w:tc>
        <w:tc>
          <w:tcPr>
            <w:tcW w:w="1147" w:type="dxa"/>
          </w:tcPr>
          <w:p>
            <w:pPr>
              <w:pStyle w:val="TableParagraph"/>
              <w:spacing w:before="99"/>
              <w:ind w:right="38"/>
              <w:jc w:val="right"/>
              <w:rPr>
                <w:sz w:val="14"/>
              </w:rPr>
            </w:pPr>
            <w:r>
              <w:rPr>
                <w:sz w:val="14"/>
              </w:rPr>
              <w:t>13,145.00</w:t>
            </w:r>
          </w:p>
        </w:tc>
        <w:tc>
          <w:tcPr>
            <w:tcW w:w="1652" w:type="dxa"/>
          </w:tcPr>
          <w:p>
            <w:pPr>
              <w:pStyle w:val="TableParagraph"/>
              <w:spacing w:before="99"/>
              <w:ind w:right="78"/>
              <w:jc w:val="right"/>
              <w:rPr>
                <w:sz w:val="14"/>
              </w:rPr>
            </w:pPr>
            <w:r>
              <w:rPr>
                <w:sz w:val="14"/>
              </w:rPr>
              <w:t>1.3%</w:t>
            </w:r>
          </w:p>
        </w:tc>
      </w:tr>
      <w:tr>
        <w:trPr>
          <w:trHeight w:val="295" w:hRule="atLeast"/>
        </w:trPr>
        <w:tc>
          <w:tcPr>
            <w:tcW w:w="5523" w:type="dxa"/>
          </w:tcPr>
          <w:p>
            <w:pPr>
              <w:pStyle w:val="TableParagraph"/>
              <w:spacing w:before="39"/>
              <w:ind w:left="416"/>
              <w:rPr>
                <w:sz w:val="14"/>
              </w:rPr>
            </w:pPr>
            <w:r>
              <w:rPr>
                <w:w w:val="105"/>
                <w:sz w:val="14"/>
              </w:rPr>
              <w:t>Revolving Cash</w:t>
            </w:r>
          </w:p>
        </w:tc>
        <w:tc>
          <w:tcPr>
            <w:tcW w:w="959" w:type="dxa"/>
          </w:tcPr>
          <w:p>
            <w:pPr>
              <w:pStyle w:val="TableParagraph"/>
              <w:spacing w:before="39"/>
              <w:ind w:left="50"/>
              <w:rPr>
                <w:sz w:val="14"/>
              </w:rPr>
            </w:pPr>
            <w:r>
              <w:rPr>
                <w:w w:val="105"/>
                <w:sz w:val="14"/>
              </w:rPr>
              <w:t>9711</w:t>
            </w:r>
          </w:p>
        </w:tc>
        <w:tc>
          <w:tcPr>
            <w:tcW w:w="1691" w:type="dxa"/>
          </w:tcPr>
          <w:p>
            <w:pPr>
              <w:pStyle w:val="TableParagraph"/>
              <w:spacing w:before="39"/>
              <w:ind w:right="453"/>
              <w:jc w:val="right"/>
              <w:rPr>
                <w:sz w:val="14"/>
              </w:rPr>
            </w:pPr>
            <w:r>
              <w:rPr>
                <w:w w:val="105"/>
                <w:sz w:val="14"/>
              </w:rPr>
              <w:t>0.00</w:t>
            </w:r>
          </w:p>
        </w:tc>
        <w:tc>
          <w:tcPr>
            <w:tcW w:w="1147" w:type="dxa"/>
          </w:tcPr>
          <w:p>
            <w:pPr>
              <w:pStyle w:val="TableParagraph"/>
              <w:spacing w:before="39"/>
              <w:ind w:right="39"/>
              <w:jc w:val="right"/>
              <w:rPr>
                <w:sz w:val="14"/>
              </w:rPr>
            </w:pPr>
            <w:r>
              <w:rPr>
                <w:w w:val="105"/>
                <w:sz w:val="14"/>
              </w:rPr>
              <w:t>0.00</w:t>
            </w:r>
          </w:p>
        </w:tc>
        <w:tc>
          <w:tcPr>
            <w:tcW w:w="1652" w:type="dxa"/>
          </w:tcPr>
          <w:p>
            <w:pPr>
              <w:pStyle w:val="TableParagraph"/>
              <w:spacing w:before="39"/>
              <w:ind w:right="78"/>
              <w:jc w:val="right"/>
              <w:rPr>
                <w:sz w:val="14"/>
              </w:rPr>
            </w:pPr>
            <w:r>
              <w:rPr>
                <w:sz w:val="14"/>
              </w:rPr>
              <w:t>0.0%</w:t>
            </w:r>
          </w:p>
        </w:tc>
      </w:tr>
      <w:tr>
        <w:trPr>
          <w:trHeight w:val="350" w:hRule="atLeast"/>
        </w:trPr>
        <w:tc>
          <w:tcPr>
            <w:tcW w:w="5523" w:type="dxa"/>
          </w:tcPr>
          <w:p>
            <w:pPr>
              <w:pStyle w:val="TableParagraph"/>
              <w:spacing w:before="94"/>
              <w:ind w:left="416"/>
              <w:rPr>
                <w:sz w:val="14"/>
              </w:rPr>
            </w:pPr>
            <w:r>
              <w:rPr>
                <w:w w:val="105"/>
                <w:sz w:val="14"/>
              </w:rPr>
              <w:t>Stores</w:t>
            </w:r>
          </w:p>
        </w:tc>
        <w:tc>
          <w:tcPr>
            <w:tcW w:w="959" w:type="dxa"/>
          </w:tcPr>
          <w:p>
            <w:pPr>
              <w:pStyle w:val="TableParagraph"/>
              <w:spacing w:before="94"/>
              <w:ind w:left="50"/>
              <w:rPr>
                <w:sz w:val="14"/>
              </w:rPr>
            </w:pPr>
            <w:r>
              <w:rPr>
                <w:w w:val="105"/>
                <w:sz w:val="14"/>
              </w:rPr>
              <w:t>9712</w:t>
            </w:r>
          </w:p>
        </w:tc>
        <w:tc>
          <w:tcPr>
            <w:tcW w:w="1691" w:type="dxa"/>
          </w:tcPr>
          <w:p>
            <w:pPr>
              <w:pStyle w:val="TableParagraph"/>
              <w:spacing w:before="94"/>
              <w:ind w:right="453"/>
              <w:jc w:val="right"/>
              <w:rPr>
                <w:sz w:val="14"/>
              </w:rPr>
            </w:pPr>
            <w:r>
              <w:rPr>
                <w:w w:val="105"/>
                <w:sz w:val="14"/>
              </w:rPr>
              <w:t>0.00</w:t>
            </w:r>
          </w:p>
        </w:tc>
        <w:tc>
          <w:tcPr>
            <w:tcW w:w="1147" w:type="dxa"/>
          </w:tcPr>
          <w:p>
            <w:pPr>
              <w:pStyle w:val="TableParagraph"/>
              <w:spacing w:before="94"/>
              <w:ind w:right="39"/>
              <w:jc w:val="right"/>
              <w:rPr>
                <w:sz w:val="14"/>
              </w:rPr>
            </w:pPr>
            <w:r>
              <w:rPr>
                <w:w w:val="105"/>
                <w:sz w:val="14"/>
              </w:rPr>
              <w:t>0.00</w:t>
            </w:r>
          </w:p>
        </w:tc>
        <w:tc>
          <w:tcPr>
            <w:tcW w:w="1652" w:type="dxa"/>
          </w:tcPr>
          <w:p>
            <w:pPr>
              <w:pStyle w:val="TableParagraph"/>
              <w:spacing w:before="94"/>
              <w:ind w:right="78"/>
              <w:jc w:val="right"/>
              <w:rPr>
                <w:sz w:val="14"/>
              </w:rPr>
            </w:pPr>
            <w:r>
              <w:rPr>
                <w:sz w:val="14"/>
              </w:rPr>
              <w:t>0.0%</w:t>
            </w:r>
          </w:p>
        </w:tc>
      </w:tr>
      <w:tr>
        <w:trPr>
          <w:trHeight w:val="350" w:hRule="atLeast"/>
        </w:trPr>
        <w:tc>
          <w:tcPr>
            <w:tcW w:w="5523" w:type="dxa"/>
          </w:tcPr>
          <w:p>
            <w:pPr>
              <w:pStyle w:val="TableParagraph"/>
              <w:spacing w:before="94"/>
              <w:ind w:left="416"/>
              <w:rPr>
                <w:sz w:val="14"/>
              </w:rPr>
            </w:pPr>
            <w:r>
              <w:rPr>
                <w:w w:val="105"/>
                <w:sz w:val="14"/>
              </w:rPr>
              <w:t>Prepaid Items</w:t>
            </w:r>
          </w:p>
        </w:tc>
        <w:tc>
          <w:tcPr>
            <w:tcW w:w="959" w:type="dxa"/>
          </w:tcPr>
          <w:p>
            <w:pPr>
              <w:pStyle w:val="TableParagraph"/>
              <w:spacing w:before="94"/>
              <w:ind w:left="50"/>
              <w:rPr>
                <w:sz w:val="14"/>
              </w:rPr>
            </w:pPr>
            <w:r>
              <w:rPr>
                <w:w w:val="105"/>
                <w:sz w:val="14"/>
              </w:rPr>
              <w:t>9713</w:t>
            </w:r>
          </w:p>
        </w:tc>
        <w:tc>
          <w:tcPr>
            <w:tcW w:w="1691" w:type="dxa"/>
          </w:tcPr>
          <w:p>
            <w:pPr>
              <w:pStyle w:val="TableParagraph"/>
              <w:spacing w:before="94"/>
              <w:ind w:right="453"/>
              <w:jc w:val="right"/>
              <w:rPr>
                <w:sz w:val="14"/>
              </w:rPr>
            </w:pPr>
            <w:r>
              <w:rPr>
                <w:w w:val="105"/>
                <w:sz w:val="14"/>
              </w:rPr>
              <w:t>0.00</w:t>
            </w:r>
          </w:p>
        </w:tc>
        <w:tc>
          <w:tcPr>
            <w:tcW w:w="1147" w:type="dxa"/>
          </w:tcPr>
          <w:p>
            <w:pPr>
              <w:pStyle w:val="TableParagraph"/>
              <w:spacing w:before="94"/>
              <w:ind w:right="39"/>
              <w:jc w:val="right"/>
              <w:rPr>
                <w:sz w:val="14"/>
              </w:rPr>
            </w:pPr>
            <w:r>
              <w:rPr>
                <w:w w:val="105"/>
                <w:sz w:val="14"/>
              </w:rPr>
              <w:t>0.00</w:t>
            </w:r>
          </w:p>
        </w:tc>
        <w:tc>
          <w:tcPr>
            <w:tcW w:w="1652" w:type="dxa"/>
          </w:tcPr>
          <w:p>
            <w:pPr>
              <w:pStyle w:val="TableParagraph"/>
              <w:spacing w:before="94"/>
              <w:ind w:right="78"/>
              <w:jc w:val="right"/>
              <w:rPr>
                <w:sz w:val="14"/>
              </w:rPr>
            </w:pPr>
            <w:r>
              <w:rPr>
                <w:sz w:val="14"/>
              </w:rPr>
              <w:t>0.0%</w:t>
            </w:r>
          </w:p>
        </w:tc>
      </w:tr>
      <w:tr>
        <w:trPr>
          <w:trHeight w:val="256" w:hRule="atLeast"/>
        </w:trPr>
        <w:tc>
          <w:tcPr>
            <w:tcW w:w="5523" w:type="dxa"/>
          </w:tcPr>
          <w:p>
            <w:pPr>
              <w:pStyle w:val="TableParagraph"/>
              <w:spacing w:line="142" w:lineRule="exact" w:before="94"/>
              <w:ind w:left="416"/>
              <w:rPr>
                <w:sz w:val="14"/>
              </w:rPr>
            </w:pPr>
            <w:r>
              <w:rPr>
                <w:w w:val="105"/>
                <w:sz w:val="14"/>
              </w:rPr>
              <w:t>All Others</w:t>
            </w:r>
          </w:p>
        </w:tc>
        <w:tc>
          <w:tcPr>
            <w:tcW w:w="959" w:type="dxa"/>
          </w:tcPr>
          <w:p>
            <w:pPr>
              <w:pStyle w:val="TableParagraph"/>
              <w:spacing w:line="142" w:lineRule="exact" w:before="94"/>
              <w:ind w:left="50"/>
              <w:rPr>
                <w:sz w:val="14"/>
              </w:rPr>
            </w:pPr>
            <w:r>
              <w:rPr>
                <w:w w:val="105"/>
                <w:sz w:val="14"/>
              </w:rPr>
              <w:t>9719</w:t>
            </w:r>
          </w:p>
        </w:tc>
        <w:tc>
          <w:tcPr>
            <w:tcW w:w="1691" w:type="dxa"/>
          </w:tcPr>
          <w:p>
            <w:pPr>
              <w:pStyle w:val="TableParagraph"/>
              <w:spacing w:line="142" w:lineRule="exact" w:before="94"/>
              <w:ind w:right="453"/>
              <w:jc w:val="right"/>
              <w:rPr>
                <w:sz w:val="14"/>
              </w:rPr>
            </w:pPr>
            <w:r>
              <w:rPr>
                <w:w w:val="105"/>
                <w:sz w:val="14"/>
              </w:rPr>
              <w:t>0.00</w:t>
            </w:r>
          </w:p>
        </w:tc>
        <w:tc>
          <w:tcPr>
            <w:tcW w:w="1147" w:type="dxa"/>
          </w:tcPr>
          <w:p>
            <w:pPr>
              <w:pStyle w:val="TableParagraph"/>
              <w:spacing w:line="142" w:lineRule="exact" w:before="94"/>
              <w:ind w:right="39"/>
              <w:jc w:val="right"/>
              <w:rPr>
                <w:sz w:val="14"/>
              </w:rPr>
            </w:pPr>
            <w:r>
              <w:rPr>
                <w:w w:val="105"/>
                <w:sz w:val="14"/>
              </w:rPr>
              <w:t>0.00</w:t>
            </w:r>
          </w:p>
        </w:tc>
        <w:tc>
          <w:tcPr>
            <w:tcW w:w="1652" w:type="dxa"/>
          </w:tcPr>
          <w:p>
            <w:pPr>
              <w:pStyle w:val="TableParagraph"/>
              <w:spacing w:line="142" w:lineRule="exact" w:before="94"/>
              <w:ind w:right="78"/>
              <w:jc w:val="right"/>
              <w:rPr>
                <w:sz w:val="14"/>
              </w:rPr>
            </w:pPr>
            <w:r>
              <w:rPr>
                <w:sz w:val="14"/>
              </w:rPr>
              <w:t>0.0%</w:t>
            </w:r>
          </w:p>
        </w:tc>
      </w:tr>
      <w:tr>
        <w:trPr>
          <w:trHeight w:val="537" w:hRule="atLeast"/>
        </w:trPr>
        <w:tc>
          <w:tcPr>
            <w:tcW w:w="6482" w:type="dxa"/>
            <w:gridSpan w:val="2"/>
          </w:tcPr>
          <w:p>
            <w:pPr>
              <w:pStyle w:val="TableParagraph"/>
              <w:tabs>
                <w:tab w:pos="5898" w:val="right" w:leader="none"/>
              </w:tabs>
              <w:spacing w:before="188"/>
              <w:ind w:left="214"/>
              <w:rPr>
                <w:sz w:val="14"/>
              </w:rPr>
            </w:pPr>
            <w:r>
              <w:rPr>
                <w:w w:val="105"/>
                <w:sz w:val="14"/>
              </w:rPr>
              <w:t>b)</w:t>
            </w:r>
            <w:r>
              <w:rPr>
                <w:spacing w:val="-1"/>
                <w:w w:val="105"/>
                <w:sz w:val="14"/>
              </w:rPr>
              <w:t> </w:t>
            </w:r>
            <w:r>
              <w:rPr>
                <w:w w:val="105"/>
                <w:sz w:val="14"/>
              </w:rPr>
              <w:t>Restricted</w:t>
              <w:tab/>
              <w:t>9740</w:t>
            </w:r>
          </w:p>
        </w:tc>
        <w:tc>
          <w:tcPr>
            <w:tcW w:w="1691" w:type="dxa"/>
          </w:tcPr>
          <w:p>
            <w:pPr>
              <w:pStyle w:val="TableParagraph"/>
              <w:spacing w:before="4"/>
              <w:rPr>
                <w:sz w:val="16"/>
              </w:rPr>
            </w:pPr>
          </w:p>
          <w:p>
            <w:pPr>
              <w:pStyle w:val="TableParagraph"/>
              <w:ind w:right="454"/>
              <w:jc w:val="right"/>
              <w:rPr>
                <w:sz w:val="14"/>
              </w:rPr>
            </w:pPr>
            <w:r>
              <w:rPr>
                <w:sz w:val="14"/>
              </w:rPr>
              <w:t>12,970.00</w:t>
            </w:r>
          </w:p>
        </w:tc>
        <w:tc>
          <w:tcPr>
            <w:tcW w:w="1147" w:type="dxa"/>
          </w:tcPr>
          <w:p>
            <w:pPr>
              <w:pStyle w:val="TableParagraph"/>
              <w:spacing w:before="4"/>
              <w:rPr>
                <w:sz w:val="16"/>
              </w:rPr>
            </w:pPr>
          </w:p>
          <w:p>
            <w:pPr>
              <w:pStyle w:val="TableParagraph"/>
              <w:ind w:right="38"/>
              <w:jc w:val="right"/>
              <w:rPr>
                <w:sz w:val="14"/>
              </w:rPr>
            </w:pPr>
            <w:r>
              <w:rPr>
                <w:sz w:val="14"/>
              </w:rPr>
              <w:t>13,145.00</w:t>
            </w:r>
          </w:p>
        </w:tc>
        <w:tc>
          <w:tcPr>
            <w:tcW w:w="1652" w:type="dxa"/>
          </w:tcPr>
          <w:p>
            <w:pPr>
              <w:pStyle w:val="TableParagraph"/>
              <w:spacing w:before="4"/>
              <w:rPr>
                <w:sz w:val="16"/>
              </w:rPr>
            </w:pPr>
          </w:p>
          <w:p>
            <w:pPr>
              <w:pStyle w:val="TableParagraph"/>
              <w:ind w:right="78"/>
              <w:jc w:val="right"/>
              <w:rPr>
                <w:sz w:val="14"/>
              </w:rPr>
            </w:pPr>
            <w:r>
              <w:rPr>
                <w:sz w:val="14"/>
              </w:rPr>
              <w:t>1.3%</w:t>
            </w:r>
          </w:p>
        </w:tc>
      </w:tr>
      <w:tr>
        <w:trPr>
          <w:trHeight w:val="458" w:hRule="atLeast"/>
        </w:trPr>
        <w:tc>
          <w:tcPr>
            <w:tcW w:w="5523" w:type="dxa"/>
          </w:tcPr>
          <w:p>
            <w:pPr>
              <w:pStyle w:val="TableParagraph"/>
              <w:spacing w:before="1"/>
              <w:ind w:left="214"/>
              <w:rPr>
                <w:sz w:val="14"/>
              </w:rPr>
            </w:pPr>
            <w:r>
              <w:rPr>
                <w:w w:val="105"/>
                <w:sz w:val="14"/>
              </w:rPr>
              <w:t>c) Committed</w:t>
            </w:r>
          </w:p>
          <w:p>
            <w:pPr>
              <w:pStyle w:val="TableParagraph"/>
              <w:spacing w:before="40"/>
              <w:ind w:left="416"/>
              <w:rPr>
                <w:sz w:val="14"/>
              </w:rPr>
            </w:pPr>
            <w:r>
              <w:rPr>
                <w:w w:val="105"/>
                <w:sz w:val="14"/>
              </w:rPr>
              <w:t>Stabilization Arrangements</w:t>
            </w:r>
          </w:p>
        </w:tc>
        <w:tc>
          <w:tcPr>
            <w:tcW w:w="959" w:type="dxa"/>
          </w:tcPr>
          <w:p>
            <w:pPr>
              <w:pStyle w:val="TableParagraph"/>
              <w:spacing w:before="7"/>
              <w:rPr>
                <w:sz w:val="17"/>
              </w:rPr>
            </w:pPr>
          </w:p>
          <w:p>
            <w:pPr>
              <w:pStyle w:val="TableParagraph"/>
              <w:ind w:left="50"/>
              <w:rPr>
                <w:sz w:val="14"/>
              </w:rPr>
            </w:pPr>
            <w:r>
              <w:rPr>
                <w:w w:val="105"/>
                <w:sz w:val="14"/>
              </w:rPr>
              <w:t>9750</w:t>
            </w:r>
          </w:p>
        </w:tc>
        <w:tc>
          <w:tcPr>
            <w:tcW w:w="1691" w:type="dxa"/>
          </w:tcPr>
          <w:p>
            <w:pPr>
              <w:pStyle w:val="TableParagraph"/>
              <w:spacing w:before="7"/>
              <w:rPr>
                <w:sz w:val="17"/>
              </w:rPr>
            </w:pPr>
          </w:p>
          <w:p>
            <w:pPr>
              <w:pStyle w:val="TableParagraph"/>
              <w:ind w:right="453"/>
              <w:jc w:val="right"/>
              <w:rPr>
                <w:sz w:val="14"/>
              </w:rPr>
            </w:pPr>
            <w:r>
              <w:rPr>
                <w:w w:val="105"/>
                <w:sz w:val="14"/>
              </w:rPr>
              <w:t>0.00</w:t>
            </w:r>
          </w:p>
        </w:tc>
        <w:tc>
          <w:tcPr>
            <w:tcW w:w="1147" w:type="dxa"/>
          </w:tcPr>
          <w:p>
            <w:pPr>
              <w:pStyle w:val="TableParagraph"/>
              <w:spacing w:before="7"/>
              <w:rPr>
                <w:sz w:val="17"/>
              </w:rPr>
            </w:pPr>
          </w:p>
          <w:p>
            <w:pPr>
              <w:pStyle w:val="TableParagraph"/>
              <w:ind w:right="39"/>
              <w:jc w:val="right"/>
              <w:rPr>
                <w:sz w:val="14"/>
              </w:rPr>
            </w:pPr>
            <w:r>
              <w:rPr>
                <w:w w:val="105"/>
                <w:sz w:val="14"/>
              </w:rPr>
              <w:t>0.00</w:t>
            </w:r>
          </w:p>
        </w:tc>
        <w:tc>
          <w:tcPr>
            <w:tcW w:w="1652" w:type="dxa"/>
          </w:tcPr>
          <w:p>
            <w:pPr>
              <w:pStyle w:val="TableParagraph"/>
              <w:spacing w:before="7"/>
              <w:rPr>
                <w:sz w:val="17"/>
              </w:rPr>
            </w:pPr>
          </w:p>
          <w:p>
            <w:pPr>
              <w:pStyle w:val="TableParagraph"/>
              <w:tabs>
                <w:tab w:pos="1197" w:val="left" w:leader="none"/>
              </w:tabs>
              <w:ind w:right="47"/>
              <w:jc w:val="right"/>
              <w:rPr>
                <w:sz w:val="14"/>
              </w:rPr>
            </w:pPr>
            <w:r>
              <w:rPr>
                <w:rFonts w:ascii="Times New Roman"/>
                <w:w w:val="104"/>
                <w:sz w:val="14"/>
                <w:shd w:fill="DFDFDF" w:color="auto" w:val="clear"/>
              </w:rPr>
              <w:t> </w:t>
            </w:r>
            <w:r>
              <w:rPr>
                <w:rFonts w:ascii="Times New Roman"/>
                <w:sz w:val="14"/>
                <w:shd w:fill="DFDFDF" w:color="auto" w:val="clear"/>
              </w:rPr>
              <w:tab/>
            </w:r>
            <w:r>
              <w:rPr>
                <w:sz w:val="14"/>
                <w:shd w:fill="DFDFDF" w:color="auto" w:val="clear"/>
              </w:rPr>
              <w:t>0.0%</w:t>
            </w:r>
            <w:r>
              <w:rPr>
                <w:spacing w:val="-8"/>
                <w:sz w:val="14"/>
                <w:shd w:fill="DFDFDF" w:color="auto" w:val="clear"/>
              </w:rPr>
              <w:t> </w:t>
            </w:r>
          </w:p>
        </w:tc>
      </w:tr>
      <w:tr>
        <w:trPr>
          <w:trHeight w:val="350" w:hRule="atLeast"/>
        </w:trPr>
        <w:tc>
          <w:tcPr>
            <w:tcW w:w="5523" w:type="dxa"/>
          </w:tcPr>
          <w:p>
            <w:pPr>
              <w:pStyle w:val="TableParagraph"/>
              <w:spacing w:before="94"/>
              <w:ind w:left="416"/>
              <w:rPr>
                <w:sz w:val="14"/>
              </w:rPr>
            </w:pPr>
            <w:r>
              <w:rPr>
                <w:w w:val="105"/>
                <w:sz w:val="14"/>
              </w:rPr>
              <w:t>Other Commitments (by Resource/Object)</w:t>
            </w:r>
          </w:p>
        </w:tc>
        <w:tc>
          <w:tcPr>
            <w:tcW w:w="959" w:type="dxa"/>
          </w:tcPr>
          <w:p>
            <w:pPr>
              <w:pStyle w:val="TableParagraph"/>
              <w:spacing w:before="94"/>
              <w:ind w:left="50"/>
              <w:rPr>
                <w:sz w:val="14"/>
              </w:rPr>
            </w:pPr>
            <w:r>
              <w:rPr>
                <w:w w:val="105"/>
                <w:sz w:val="14"/>
              </w:rPr>
              <w:t>9760</w:t>
            </w:r>
          </w:p>
        </w:tc>
        <w:tc>
          <w:tcPr>
            <w:tcW w:w="1691" w:type="dxa"/>
          </w:tcPr>
          <w:p>
            <w:pPr>
              <w:pStyle w:val="TableParagraph"/>
              <w:spacing w:before="94"/>
              <w:ind w:right="453"/>
              <w:jc w:val="right"/>
              <w:rPr>
                <w:sz w:val="14"/>
              </w:rPr>
            </w:pPr>
            <w:r>
              <w:rPr>
                <w:w w:val="105"/>
                <w:sz w:val="14"/>
              </w:rPr>
              <w:t>0.00</w:t>
            </w:r>
          </w:p>
        </w:tc>
        <w:tc>
          <w:tcPr>
            <w:tcW w:w="1147" w:type="dxa"/>
          </w:tcPr>
          <w:p>
            <w:pPr>
              <w:pStyle w:val="TableParagraph"/>
              <w:spacing w:before="94"/>
              <w:ind w:right="39"/>
              <w:jc w:val="right"/>
              <w:rPr>
                <w:sz w:val="14"/>
              </w:rPr>
            </w:pPr>
            <w:r>
              <w:rPr>
                <w:w w:val="105"/>
                <w:sz w:val="14"/>
              </w:rPr>
              <w:t>0.00</w:t>
            </w:r>
          </w:p>
        </w:tc>
        <w:tc>
          <w:tcPr>
            <w:tcW w:w="1652" w:type="dxa"/>
          </w:tcPr>
          <w:p>
            <w:pPr>
              <w:pStyle w:val="TableParagraph"/>
              <w:spacing w:before="94"/>
              <w:ind w:right="78"/>
              <w:jc w:val="right"/>
              <w:rPr>
                <w:sz w:val="14"/>
              </w:rPr>
            </w:pPr>
            <w:r>
              <w:rPr>
                <w:sz w:val="14"/>
              </w:rPr>
              <w:t>0.0%</w:t>
            </w:r>
          </w:p>
        </w:tc>
      </w:tr>
      <w:tr>
        <w:trPr>
          <w:trHeight w:val="552" w:hRule="atLeast"/>
        </w:trPr>
        <w:tc>
          <w:tcPr>
            <w:tcW w:w="5523" w:type="dxa"/>
          </w:tcPr>
          <w:p>
            <w:pPr>
              <w:pStyle w:val="TableParagraph"/>
              <w:spacing w:before="94"/>
              <w:ind w:left="214"/>
              <w:rPr>
                <w:sz w:val="14"/>
              </w:rPr>
            </w:pPr>
            <w:r>
              <w:rPr>
                <w:w w:val="105"/>
                <w:sz w:val="14"/>
              </w:rPr>
              <w:t>d) Assigned</w:t>
            </w:r>
          </w:p>
          <w:p>
            <w:pPr>
              <w:pStyle w:val="TableParagraph"/>
              <w:spacing w:before="41"/>
              <w:ind w:left="416"/>
              <w:rPr>
                <w:sz w:val="14"/>
              </w:rPr>
            </w:pPr>
            <w:r>
              <w:rPr>
                <w:w w:val="105"/>
                <w:sz w:val="14"/>
              </w:rPr>
              <w:t>Other Assignments (by Resource/Object)</w:t>
            </w:r>
          </w:p>
        </w:tc>
        <w:tc>
          <w:tcPr>
            <w:tcW w:w="959" w:type="dxa"/>
          </w:tcPr>
          <w:p>
            <w:pPr>
              <w:pStyle w:val="TableParagraph"/>
              <w:rPr>
                <w:sz w:val="16"/>
              </w:rPr>
            </w:pPr>
          </w:p>
          <w:p>
            <w:pPr>
              <w:pStyle w:val="TableParagraph"/>
              <w:spacing w:before="112"/>
              <w:ind w:left="50"/>
              <w:rPr>
                <w:sz w:val="14"/>
              </w:rPr>
            </w:pPr>
            <w:r>
              <w:rPr>
                <w:w w:val="105"/>
                <w:sz w:val="14"/>
              </w:rPr>
              <w:t>9780</w:t>
            </w:r>
          </w:p>
        </w:tc>
        <w:tc>
          <w:tcPr>
            <w:tcW w:w="1691" w:type="dxa"/>
          </w:tcPr>
          <w:p>
            <w:pPr>
              <w:pStyle w:val="TableParagraph"/>
              <w:rPr>
                <w:sz w:val="16"/>
              </w:rPr>
            </w:pPr>
          </w:p>
          <w:p>
            <w:pPr>
              <w:pStyle w:val="TableParagraph"/>
              <w:spacing w:before="112"/>
              <w:ind w:right="453"/>
              <w:jc w:val="right"/>
              <w:rPr>
                <w:sz w:val="14"/>
              </w:rPr>
            </w:pPr>
            <w:r>
              <w:rPr>
                <w:w w:val="105"/>
                <w:sz w:val="14"/>
              </w:rPr>
              <w:t>0.00</w:t>
            </w:r>
          </w:p>
        </w:tc>
        <w:tc>
          <w:tcPr>
            <w:tcW w:w="1147" w:type="dxa"/>
          </w:tcPr>
          <w:p>
            <w:pPr>
              <w:pStyle w:val="TableParagraph"/>
              <w:rPr>
                <w:sz w:val="16"/>
              </w:rPr>
            </w:pPr>
          </w:p>
          <w:p>
            <w:pPr>
              <w:pStyle w:val="TableParagraph"/>
              <w:spacing w:before="112"/>
              <w:ind w:right="39"/>
              <w:jc w:val="right"/>
              <w:rPr>
                <w:sz w:val="14"/>
              </w:rPr>
            </w:pPr>
            <w:r>
              <w:rPr>
                <w:w w:val="105"/>
                <w:sz w:val="14"/>
              </w:rPr>
              <w:t>0.00</w:t>
            </w:r>
          </w:p>
        </w:tc>
        <w:tc>
          <w:tcPr>
            <w:tcW w:w="1652" w:type="dxa"/>
          </w:tcPr>
          <w:p>
            <w:pPr>
              <w:pStyle w:val="TableParagraph"/>
              <w:rPr>
                <w:sz w:val="16"/>
              </w:rPr>
            </w:pPr>
          </w:p>
          <w:p>
            <w:pPr>
              <w:pStyle w:val="TableParagraph"/>
              <w:spacing w:before="112"/>
              <w:ind w:right="78"/>
              <w:jc w:val="right"/>
              <w:rPr>
                <w:sz w:val="14"/>
              </w:rPr>
            </w:pPr>
            <w:r>
              <w:rPr>
                <w:sz w:val="14"/>
              </w:rPr>
              <w:t>0.0%</w:t>
            </w:r>
          </w:p>
        </w:tc>
      </w:tr>
      <w:tr>
        <w:trPr>
          <w:trHeight w:val="295" w:hRule="atLeast"/>
        </w:trPr>
        <w:tc>
          <w:tcPr>
            <w:tcW w:w="9320" w:type="dxa"/>
            <w:gridSpan w:val="4"/>
          </w:tcPr>
          <w:p>
            <w:pPr>
              <w:pStyle w:val="TableParagraph"/>
              <w:spacing w:before="94"/>
              <w:ind w:left="214"/>
              <w:rPr>
                <w:sz w:val="14"/>
              </w:rPr>
            </w:pPr>
            <w:r>
              <w:rPr>
                <w:w w:val="105"/>
                <w:sz w:val="14"/>
              </w:rPr>
              <w:t>e) Unassigned/Unappropriated</w:t>
            </w:r>
          </w:p>
        </w:tc>
        <w:tc>
          <w:tcPr>
            <w:tcW w:w="1652" w:type="dxa"/>
            <w:shd w:val="clear" w:color="auto" w:fill="DFDFDF"/>
          </w:tcPr>
          <w:p>
            <w:pPr>
              <w:pStyle w:val="TableParagraph"/>
              <w:rPr>
                <w:rFonts w:ascii="Times New Roman"/>
                <w:sz w:val="14"/>
              </w:rPr>
            </w:pPr>
          </w:p>
        </w:tc>
      </w:tr>
      <w:tr>
        <w:trPr>
          <w:trHeight w:val="262" w:hRule="atLeast"/>
        </w:trPr>
        <w:tc>
          <w:tcPr>
            <w:tcW w:w="5523" w:type="dxa"/>
          </w:tcPr>
          <w:p>
            <w:pPr>
              <w:pStyle w:val="TableParagraph"/>
              <w:spacing w:before="1"/>
              <w:ind w:left="377"/>
              <w:rPr>
                <w:sz w:val="14"/>
              </w:rPr>
            </w:pPr>
            <w:r>
              <w:rPr>
                <w:w w:val="105"/>
                <w:sz w:val="14"/>
              </w:rPr>
              <w:t>Reserve for Economic Uncertainties</w:t>
            </w:r>
          </w:p>
        </w:tc>
        <w:tc>
          <w:tcPr>
            <w:tcW w:w="959" w:type="dxa"/>
          </w:tcPr>
          <w:p>
            <w:pPr>
              <w:pStyle w:val="TableParagraph"/>
              <w:spacing w:before="1"/>
              <w:ind w:left="50"/>
              <w:rPr>
                <w:sz w:val="14"/>
              </w:rPr>
            </w:pPr>
            <w:r>
              <w:rPr>
                <w:w w:val="105"/>
                <w:sz w:val="14"/>
              </w:rPr>
              <w:t>9789</w:t>
            </w:r>
          </w:p>
        </w:tc>
        <w:tc>
          <w:tcPr>
            <w:tcW w:w="1691" w:type="dxa"/>
          </w:tcPr>
          <w:p>
            <w:pPr>
              <w:pStyle w:val="TableParagraph"/>
              <w:spacing w:before="1"/>
              <w:ind w:right="453"/>
              <w:jc w:val="right"/>
              <w:rPr>
                <w:sz w:val="14"/>
              </w:rPr>
            </w:pPr>
            <w:r>
              <w:rPr>
                <w:w w:val="105"/>
                <w:sz w:val="14"/>
              </w:rPr>
              <w:t>0.00</w:t>
            </w:r>
          </w:p>
        </w:tc>
        <w:tc>
          <w:tcPr>
            <w:tcW w:w="1147" w:type="dxa"/>
          </w:tcPr>
          <w:p>
            <w:pPr>
              <w:pStyle w:val="TableParagraph"/>
              <w:spacing w:before="1"/>
              <w:ind w:right="39"/>
              <w:jc w:val="right"/>
              <w:rPr>
                <w:sz w:val="14"/>
              </w:rPr>
            </w:pPr>
            <w:r>
              <w:rPr>
                <w:w w:val="105"/>
                <w:sz w:val="14"/>
              </w:rPr>
              <w:t>0.00</w:t>
            </w:r>
          </w:p>
        </w:tc>
        <w:tc>
          <w:tcPr>
            <w:tcW w:w="1652" w:type="dxa"/>
          </w:tcPr>
          <w:p>
            <w:pPr>
              <w:pStyle w:val="TableParagraph"/>
              <w:spacing w:before="1"/>
              <w:ind w:right="78"/>
              <w:jc w:val="right"/>
              <w:rPr>
                <w:sz w:val="14"/>
              </w:rPr>
            </w:pPr>
            <w:r>
              <w:rPr>
                <w:sz w:val="14"/>
              </w:rPr>
              <w:t>0.0%</w:t>
            </w:r>
          </w:p>
        </w:tc>
      </w:tr>
      <w:tr>
        <w:trPr>
          <w:trHeight w:val="262" w:hRule="atLeast"/>
        </w:trPr>
        <w:tc>
          <w:tcPr>
            <w:tcW w:w="5523" w:type="dxa"/>
          </w:tcPr>
          <w:p>
            <w:pPr>
              <w:pStyle w:val="TableParagraph"/>
              <w:spacing w:line="142" w:lineRule="exact" w:before="100"/>
              <w:ind w:left="377"/>
              <w:rPr>
                <w:sz w:val="14"/>
              </w:rPr>
            </w:pPr>
            <w:r>
              <w:rPr>
                <w:w w:val="105"/>
                <w:sz w:val="14"/>
              </w:rPr>
              <w:t>Unassigned/Unappropriated Amount</w:t>
            </w:r>
          </w:p>
        </w:tc>
        <w:tc>
          <w:tcPr>
            <w:tcW w:w="959" w:type="dxa"/>
          </w:tcPr>
          <w:p>
            <w:pPr>
              <w:pStyle w:val="TableParagraph"/>
              <w:spacing w:line="142" w:lineRule="exact" w:before="100"/>
              <w:ind w:left="50"/>
              <w:rPr>
                <w:sz w:val="14"/>
              </w:rPr>
            </w:pPr>
            <w:r>
              <w:rPr>
                <w:w w:val="105"/>
                <w:sz w:val="14"/>
              </w:rPr>
              <w:t>9790</w:t>
            </w:r>
          </w:p>
        </w:tc>
        <w:tc>
          <w:tcPr>
            <w:tcW w:w="1691" w:type="dxa"/>
          </w:tcPr>
          <w:p>
            <w:pPr>
              <w:pStyle w:val="TableParagraph"/>
              <w:spacing w:line="142" w:lineRule="exact" w:before="100"/>
              <w:ind w:right="453"/>
              <w:jc w:val="right"/>
              <w:rPr>
                <w:sz w:val="14"/>
              </w:rPr>
            </w:pPr>
            <w:r>
              <w:rPr>
                <w:w w:val="105"/>
                <w:sz w:val="14"/>
              </w:rPr>
              <w:t>0.00</w:t>
            </w:r>
          </w:p>
        </w:tc>
        <w:tc>
          <w:tcPr>
            <w:tcW w:w="1147" w:type="dxa"/>
          </w:tcPr>
          <w:p>
            <w:pPr>
              <w:pStyle w:val="TableParagraph"/>
              <w:spacing w:line="142" w:lineRule="exact" w:before="100"/>
              <w:ind w:right="39"/>
              <w:jc w:val="right"/>
              <w:rPr>
                <w:sz w:val="14"/>
              </w:rPr>
            </w:pPr>
            <w:r>
              <w:rPr>
                <w:w w:val="105"/>
                <w:sz w:val="14"/>
              </w:rPr>
              <w:t>0.00</w:t>
            </w:r>
          </w:p>
        </w:tc>
        <w:tc>
          <w:tcPr>
            <w:tcW w:w="1652" w:type="dxa"/>
          </w:tcPr>
          <w:p>
            <w:pPr>
              <w:pStyle w:val="TableParagraph"/>
              <w:spacing w:line="142" w:lineRule="exact" w:before="100"/>
              <w:ind w:right="78"/>
              <w:jc w:val="right"/>
              <w:rPr>
                <w:sz w:val="14"/>
              </w:rPr>
            </w:pPr>
            <w:r>
              <w:rPr>
                <w:sz w:val="14"/>
              </w:rPr>
              <w:t>0.0%</w:t>
            </w:r>
          </w:p>
        </w:tc>
      </w:tr>
    </w:tbl>
    <w:p>
      <w:pPr>
        <w:spacing w:after="0" w:line="142" w:lineRule="exact"/>
        <w:jc w:val="right"/>
        <w:rPr>
          <w:sz w:val="14"/>
        </w:rPr>
        <w:sectPr>
          <w:headerReference w:type="default" r:id="rId907"/>
          <w:footerReference w:type="default" r:id="rId908"/>
          <w:pgSz w:w="12240" w:h="15840"/>
          <w:pgMar w:header="673" w:footer="451" w:top="1280" w:bottom="640" w:left="160" w:right="180"/>
        </w:sectPr>
      </w:pPr>
    </w:p>
    <w:p>
      <w:pPr>
        <w:spacing w:line="230" w:lineRule="auto" w:before="0"/>
        <w:ind w:left="735" w:right="3" w:firstLine="0"/>
        <w:jc w:val="left"/>
        <w:rPr>
          <w:sz w:val="15"/>
        </w:rPr>
      </w:pPr>
      <w:r>
        <w:rPr>
          <w:sz w:val="15"/>
        </w:rPr>
        <w:t>Winship-Robbins Elementary Sutter County</w:t>
      </w:r>
    </w:p>
    <w:p>
      <w:pPr>
        <w:spacing w:line="230" w:lineRule="auto" w:before="0"/>
        <w:ind w:left="735" w:right="-14" w:firstLine="364"/>
        <w:jc w:val="left"/>
        <w:rPr>
          <w:sz w:val="15"/>
        </w:rPr>
      </w:pPr>
      <w:r>
        <w:rPr/>
        <w:br w:type="column"/>
      </w:r>
      <w:r>
        <w:rPr>
          <w:sz w:val="15"/>
        </w:rPr>
        <w:t>Capital Facilities Fund Exhibit: Restricted Balance Detail</w:t>
      </w:r>
    </w:p>
    <w:p>
      <w:pPr>
        <w:spacing w:line="163" w:lineRule="exact" w:before="0"/>
        <w:ind w:left="0" w:right="715" w:firstLine="0"/>
        <w:jc w:val="right"/>
        <w:rPr>
          <w:sz w:val="15"/>
        </w:rPr>
      </w:pPr>
      <w:r>
        <w:rPr/>
        <w:br w:type="column"/>
      </w:r>
      <w:r>
        <w:rPr>
          <w:sz w:val="15"/>
        </w:rPr>
        <w:t>51 71456</w:t>
      </w:r>
      <w:r>
        <w:rPr>
          <w:spacing w:val="-30"/>
          <w:sz w:val="15"/>
        </w:rPr>
        <w:t> </w:t>
      </w:r>
      <w:r>
        <w:rPr>
          <w:sz w:val="15"/>
        </w:rPr>
        <w:t>0000000</w:t>
      </w:r>
    </w:p>
    <w:p>
      <w:pPr>
        <w:spacing w:line="169" w:lineRule="exact" w:before="0"/>
        <w:ind w:left="0" w:right="714" w:firstLine="0"/>
        <w:jc w:val="right"/>
        <w:rPr>
          <w:sz w:val="15"/>
        </w:rPr>
      </w:pPr>
      <w:r>
        <w:rPr>
          <w:sz w:val="15"/>
        </w:rPr>
        <w:t>Form</w:t>
      </w:r>
      <w:r>
        <w:rPr>
          <w:spacing w:val="-7"/>
          <w:sz w:val="15"/>
        </w:rPr>
        <w:t> </w:t>
      </w:r>
      <w:r>
        <w:rPr>
          <w:sz w:val="15"/>
        </w:rPr>
        <w:t>25</w:t>
      </w:r>
    </w:p>
    <w:p>
      <w:pPr>
        <w:spacing w:after="0" w:line="169" w:lineRule="exact"/>
        <w:jc w:val="right"/>
        <w:rPr>
          <w:sz w:val="15"/>
        </w:rPr>
        <w:sectPr>
          <w:headerReference w:type="default" r:id="rId920"/>
          <w:footerReference w:type="default" r:id="rId921"/>
          <w:pgSz w:w="12240" w:h="15840"/>
          <w:pgMar w:header="563" w:footer="0" w:top="760" w:bottom="280" w:left="160" w:right="180"/>
          <w:cols w:num="3" w:equalWidth="0">
            <w:col w:w="2693" w:space="1438"/>
            <w:col w:w="2959" w:space="2133"/>
            <w:col w:w="2677"/>
          </w:cols>
        </w:sectPr>
      </w:pPr>
    </w:p>
    <w:p>
      <w:pPr>
        <w:pStyle w:val="BodyText"/>
        <w:spacing w:before="6" w:after="1"/>
        <w:rPr>
          <w:sz w:val="23"/>
        </w:rPr>
      </w:pPr>
    </w:p>
    <w:tbl>
      <w:tblPr>
        <w:tblW w:w="0" w:type="auto"/>
        <w:jc w:val="left"/>
        <w:tblInd w:w="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90"/>
        <w:gridCol w:w="3222"/>
        <w:gridCol w:w="3851"/>
        <w:gridCol w:w="987"/>
      </w:tblGrid>
      <w:tr>
        <w:trPr>
          <w:trHeight w:val="220" w:hRule="atLeast"/>
        </w:trPr>
        <w:tc>
          <w:tcPr>
            <w:tcW w:w="4312" w:type="dxa"/>
            <w:gridSpan w:val="2"/>
          </w:tcPr>
          <w:p>
            <w:pPr>
              <w:pStyle w:val="TableParagraph"/>
              <w:rPr>
                <w:rFonts w:ascii="Times New Roman"/>
                <w:sz w:val="14"/>
              </w:rPr>
            </w:pPr>
          </w:p>
        </w:tc>
        <w:tc>
          <w:tcPr>
            <w:tcW w:w="3851" w:type="dxa"/>
          </w:tcPr>
          <w:p>
            <w:pPr>
              <w:pStyle w:val="TableParagraph"/>
              <w:spacing w:line="200" w:lineRule="exact"/>
              <w:ind w:left="1946" w:right="255"/>
              <w:jc w:val="center"/>
              <w:rPr>
                <w:b/>
                <w:sz w:val="18"/>
              </w:rPr>
            </w:pPr>
            <w:r>
              <w:rPr>
                <w:b/>
                <w:sz w:val="18"/>
              </w:rPr>
              <w:t>2020-21</w:t>
            </w:r>
          </w:p>
        </w:tc>
        <w:tc>
          <w:tcPr>
            <w:tcW w:w="987" w:type="dxa"/>
          </w:tcPr>
          <w:p>
            <w:pPr>
              <w:pStyle w:val="TableParagraph"/>
              <w:spacing w:line="200" w:lineRule="exact"/>
              <w:ind w:right="45"/>
              <w:jc w:val="right"/>
              <w:rPr>
                <w:b/>
                <w:sz w:val="18"/>
              </w:rPr>
            </w:pPr>
            <w:r>
              <w:rPr>
                <w:b/>
                <w:sz w:val="18"/>
              </w:rPr>
              <w:t>2021-22</w:t>
            </w:r>
          </w:p>
        </w:tc>
      </w:tr>
      <w:tr>
        <w:trPr>
          <w:trHeight w:val="220" w:hRule="atLeast"/>
        </w:trPr>
        <w:tc>
          <w:tcPr>
            <w:tcW w:w="1090" w:type="dxa"/>
          </w:tcPr>
          <w:p>
            <w:pPr>
              <w:pStyle w:val="TableParagraph"/>
              <w:spacing w:line="187" w:lineRule="exact" w:before="13"/>
              <w:ind w:left="50"/>
              <w:rPr>
                <w:b/>
                <w:sz w:val="18"/>
              </w:rPr>
            </w:pPr>
            <w:r>
              <w:rPr>
                <w:b/>
                <w:sz w:val="18"/>
              </w:rPr>
              <w:t>Resource</w:t>
            </w:r>
          </w:p>
        </w:tc>
        <w:tc>
          <w:tcPr>
            <w:tcW w:w="3222" w:type="dxa"/>
          </w:tcPr>
          <w:p>
            <w:pPr>
              <w:pStyle w:val="TableParagraph"/>
              <w:spacing w:line="187" w:lineRule="exact" w:before="13"/>
              <w:ind w:left="212"/>
              <w:rPr>
                <w:b/>
                <w:sz w:val="18"/>
              </w:rPr>
            </w:pPr>
            <w:r>
              <w:rPr>
                <w:b/>
                <w:sz w:val="18"/>
              </w:rPr>
              <w:t>Description</w:t>
            </w:r>
          </w:p>
        </w:tc>
        <w:tc>
          <w:tcPr>
            <w:tcW w:w="3851" w:type="dxa"/>
          </w:tcPr>
          <w:p>
            <w:pPr>
              <w:pStyle w:val="TableParagraph"/>
              <w:spacing w:line="187" w:lineRule="exact" w:before="13"/>
              <w:ind w:left="1995" w:right="255"/>
              <w:jc w:val="center"/>
              <w:rPr>
                <w:b/>
                <w:sz w:val="18"/>
              </w:rPr>
            </w:pPr>
            <w:r>
              <w:rPr>
                <w:b/>
                <w:sz w:val="18"/>
              </w:rPr>
              <w:t>Estimated Actuals</w:t>
            </w:r>
          </w:p>
        </w:tc>
        <w:tc>
          <w:tcPr>
            <w:tcW w:w="987" w:type="dxa"/>
          </w:tcPr>
          <w:p>
            <w:pPr>
              <w:pStyle w:val="TableParagraph"/>
              <w:spacing w:line="187" w:lineRule="exact" w:before="13"/>
              <w:ind w:right="66"/>
              <w:jc w:val="right"/>
              <w:rPr>
                <w:b/>
                <w:sz w:val="18"/>
              </w:rPr>
            </w:pPr>
            <w:r>
              <w:rPr>
                <w:b/>
                <w:sz w:val="18"/>
              </w:rPr>
              <w:t>Budget</w:t>
            </w:r>
          </w:p>
        </w:tc>
      </w:tr>
    </w:tbl>
    <w:p>
      <w:pPr>
        <w:pStyle w:val="BodyText"/>
        <w:spacing w:line="20" w:lineRule="exact"/>
        <w:ind w:left="1040"/>
        <w:rPr>
          <w:sz w:val="2"/>
        </w:rPr>
      </w:pPr>
      <w:r>
        <w:rPr>
          <w:sz w:val="2"/>
        </w:rPr>
        <w:drawing>
          <wp:inline distT="0" distB="0" distL="0" distR="0">
            <wp:extent cx="6123431" cy="4572"/>
            <wp:effectExtent l="0" t="0" r="0" b="0"/>
            <wp:docPr id="33" name="image865.png"/>
            <wp:cNvGraphicFramePr>
              <a:graphicFrameLocks noChangeAspect="1"/>
            </wp:cNvGraphicFramePr>
            <a:graphic>
              <a:graphicData uri="http://schemas.openxmlformats.org/drawingml/2006/picture">
                <pic:pic>
                  <pic:nvPicPr>
                    <pic:cNvPr id="34" name="image865.png"/>
                    <pic:cNvPicPr/>
                  </pic:nvPicPr>
                  <pic:blipFill>
                    <a:blip r:embed="rId922" cstate="print"/>
                    <a:stretch>
                      <a:fillRect/>
                    </a:stretch>
                  </pic:blipFill>
                  <pic:spPr>
                    <a:xfrm>
                      <a:off x="0" y="0"/>
                      <a:ext cx="6123431" cy="4572"/>
                    </a:xfrm>
                    <a:prstGeom prst="rect">
                      <a:avLst/>
                    </a:prstGeom>
                  </pic:spPr>
                </pic:pic>
              </a:graphicData>
            </a:graphic>
          </wp:inline>
        </w:drawing>
      </w:r>
      <w:r>
        <w:rPr>
          <w:sz w:val="2"/>
        </w:rPr>
      </w:r>
    </w:p>
    <w:p>
      <w:pPr>
        <w:pStyle w:val="BodyText"/>
        <w:spacing w:before="3"/>
        <w:rPr>
          <w:sz w:val="15"/>
        </w:rPr>
      </w:pPr>
    </w:p>
    <w:p>
      <w:pPr>
        <w:tabs>
          <w:tab w:pos="1041" w:val="left" w:leader="none"/>
          <w:tab w:pos="6763" w:val="left" w:leader="none"/>
          <w:tab w:pos="8450" w:val="left" w:leader="none"/>
        </w:tabs>
        <w:spacing w:before="96"/>
        <w:ind w:left="0" w:right="1314" w:firstLine="0"/>
        <w:jc w:val="right"/>
        <w:rPr>
          <w:sz w:val="18"/>
        </w:rPr>
      </w:pPr>
      <w:r>
        <w:rPr>
          <w:sz w:val="18"/>
        </w:rPr>
        <w:t>9010</w:t>
        <w:tab/>
        <w:t>Other</w:t>
      </w:r>
      <w:r>
        <w:rPr>
          <w:spacing w:val="1"/>
          <w:sz w:val="18"/>
        </w:rPr>
        <w:t> </w:t>
      </w:r>
      <w:r>
        <w:rPr>
          <w:sz w:val="18"/>
        </w:rPr>
        <w:t>Restricted</w:t>
      </w:r>
      <w:r>
        <w:rPr>
          <w:spacing w:val="2"/>
          <w:sz w:val="18"/>
        </w:rPr>
        <w:t> </w:t>
      </w:r>
      <w:r>
        <w:rPr>
          <w:sz w:val="18"/>
        </w:rPr>
        <w:t>Local</w:t>
        <w:tab/>
        <w:t>12,970.00</w:t>
        <w:tab/>
      </w:r>
      <w:r>
        <w:rPr>
          <w:spacing w:val="-1"/>
          <w:sz w:val="18"/>
        </w:rPr>
        <w:t>13,145.00</w:t>
      </w:r>
    </w:p>
    <w:p>
      <w:pPr>
        <w:pStyle w:val="BodyText"/>
        <w:spacing w:before="9"/>
        <w:rPr>
          <w:sz w:val="14"/>
        </w:rPr>
      </w:pPr>
      <w:r>
        <w:rPr/>
        <w:drawing>
          <wp:anchor distT="0" distB="0" distL="0" distR="0" allowOverlap="1" layoutInCell="1" locked="0" behindDoc="0" simplePos="0" relativeHeight="428">
            <wp:simplePos x="0" y="0"/>
            <wp:positionH relativeFrom="page">
              <wp:posOffset>4738115</wp:posOffset>
            </wp:positionH>
            <wp:positionV relativeFrom="paragraph">
              <wp:posOffset>132938</wp:posOffset>
            </wp:positionV>
            <wp:extent cx="2147338" cy="4572"/>
            <wp:effectExtent l="0" t="0" r="0" b="0"/>
            <wp:wrapTopAndBottom/>
            <wp:docPr id="35" name="image866.png"/>
            <wp:cNvGraphicFramePr>
              <a:graphicFrameLocks noChangeAspect="1"/>
            </wp:cNvGraphicFramePr>
            <a:graphic>
              <a:graphicData uri="http://schemas.openxmlformats.org/drawingml/2006/picture">
                <pic:pic>
                  <pic:nvPicPr>
                    <pic:cNvPr id="36" name="image866.png"/>
                    <pic:cNvPicPr/>
                  </pic:nvPicPr>
                  <pic:blipFill>
                    <a:blip r:embed="rId923" cstate="print"/>
                    <a:stretch>
                      <a:fillRect/>
                    </a:stretch>
                  </pic:blipFill>
                  <pic:spPr>
                    <a:xfrm>
                      <a:off x="0" y="0"/>
                      <a:ext cx="2147338" cy="4572"/>
                    </a:xfrm>
                    <a:prstGeom prst="rect">
                      <a:avLst/>
                    </a:prstGeom>
                  </pic:spPr>
                </pic:pic>
              </a:graphicData>
            </a:graphic>
          </wp:anchor>
        </w:drawing>
      </w:r>
    </w:p>
    <w:p>
      <w:pPr>
        <w:tabs>
          <w:tab w:pos="7012" w:val="left" w:leader="none"/>
          <w:tab w:pos="8699" w:val="left" w:leader="none"/>
        </w:tabs>
        <w:spacing w:before="8"/>
        <w:ind w:left="0" w:right="1314" w:firstLine="0"/>
        <w:jc w:val="right"/>
        <w:rPr>
          <w:sz w:val="18"/>
        </w:rPr>
      </w:pPr>
      <w:r>
        <w:rPr>
          <w:sz w:val="18"/>
        </w:rPr>
        <w:t>Total,</w:t>
      </w:r>
      <w:r>
        <w:rPr>
          <w:spacing w:val="3"/>
          <w:sz w:val="18"/>
        </w:rPr>
        <w:t> </w:t>
      </w:r>
      <w:r>
        <w:rPr>
          <w:sz w:val="18"/>
        </w:rPr>
        <w:t>Restricted</w:t>
      </w:r>
      <w:r>
        <w:rPr>
          <w:spacing w:val="3"/>
          <w:sz w:val="18"/>
        </w:rPr>
        <w:t> </w:t>
      </w:r>
      <w:r>
        <w:rPr>
          <w:sz w:val="18"/>
        </w:rPr>
        <w:t>Balance</w:t>
        <w:tab/>
        <w:t>12,970.00</w:t>
        <w:tab/>
      </w:r>
      <w:r>
        <w:rPr>
          <w:spacing w:val="-1"/>
          <w:sz w:val="18"/>
        </w:rPr>
        <w:t>13,145.00</w:t>
      </w:r>
    </w:p>
    <w:p>
      <w:pPr>
        <w:pStyle w:val="BodyText"/>
        <w:spacing w:line="20" w:lineRule="exact"/>
        <w:ind w:left="7301"/>
        <w:rPr>
          <w:sz w:val="2"/>
        </w:rPr>
      </w:pPr>
      <w:r>
        <w:rPr>
          <w:sz w:val="2"/>
        </w:rPr>
        <w:drawing>
          <wp:inline distT="0" distB="0" distL="0" distR="0">
            <wp:extent cx="2147333" cy="4572"/>
            <wp:effectExtent l="0" t="0" r="0" b="0"/>
            <wp:docPr id="37" name="image866.png"/>
            <wp:cNvGraphicFramePr>
              <a:graphicFrameLocks noChangeAspect="1"/>
            </wp:cNvGraphicFramePr>
            <a:graphic>
              <a:graphicData uri="http://schemas.openxmlformats.org/drawingml/2006/picture">
                <pic:pic>
                  <pic:nvPicPr>
                    <pic:cNvPr id="38" name="image866.png"/>
                    <pic:cNvPicPr/>
                  </pic:nvPicPr>
                  <pic:blipFill>
                    <a:blip r:embed="rId923" cstate="print"/>
                    <a:stretch>
                      <a:fillRect/>
                    </a:stretch>
                  </pic:blipFill>
                  <pic:spPr>
                    <a:xfrm>
                      <a:off x="0" y="0"/>
                      <a:ext cx="2147333" cy="4572"/>
                    </a:xfrm>
                    <a:prstGeom prst="rect">
                      <a:avLst/>
                    </a:prstGeom>
                  </pic:spPr>
                </pic:pic>
              </a:graphicData>
            </a:graphic>
          </wp:inline>
        </w:drawing>
      </w:r>
      <w:r>
        <w:rPr>
          <w:sz w:val="2"/>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9"/>
        </w:rPr>
      </w:pPr>
    </w:p>
    <w:p>
      <w:pPr>
        <w:spacing w:line="169" w:lineRule="exact" w:before="0"/>
        <w:ind w:left="735" w:right="0" w:firstLine="0"/>
        <w:jc w:val="left"/>
        <w:rPr>
          <w:sz w:val="15"/>
        </w:rPr>
      </w:pPr>
      <w:r>
        <w:rPr>
          <w:sz w:val="15"/>
        </w:rPr>
        <w:t>California Dept of Education</w:t>
      </w:r>
    </w:p>
    <w:p>
      <w:pPr>
        <w:spacing w:line="166" w:lineRule="exact" w:before="0"/>
        <w:ind w:left="735" w:right="0" w:firstLine="0"/>
        <w:jc w:val="left"/>
        <w:rPr>
          <w:sz w:val="15"/>
        </w:rPr>
      </w:pPr>
      <w:r>
        <w:rPr>
          <w:sz w:val="15"/>
        </w:rPr>
        <w:t>SACS Financial Reporting Software - 2021.1.0</w:t>
      </w:r>
    </w:p>
    <w:p>
      <w:pPr>
        <w:tabs>
          <w:tab w:pos="5723" w:val="left" w:leader="none"/>
          <w:tab w:pos="9310" w:val="left" w:leader="none"/>
        </w:tabs>
        <w:spacing w:line="169" w:lineRule="exact" w:before="0"/>
        <w:ind w:left="735" w:right="0" w:firstLine="0"/>
        <w:jc w:val="left"/>
        <w:rPr>
          <w:sz w:val="15"/>
        </w:rPr>
      </w:pPr>
      <w:r>
        <w:rPr>
          <w:sz w:val="15"/>
        </w:rPr>
        <w:t>File: fund-d</w:t>
      </w:r>
      <w:r>
        <w:rPr>
          <w:spacing w:val="-16"/>
          <w:sz w:val="15"/>
        </w:rPr>
        <w:t> </w:t>
      </w:r>
      <w:r>
        <w:rPr>
          <w:sz w:val="15"/>
        </w:rPr>
        <w:t>(Rev</w:t>
      </w:r>
      <w:r>
        <w:rPr>
          <w:spacing w:val="-7"/>
          <w:sz w:val="15"/>
        </w:rPr>
        <w:t> </w:t>
      </w:r>
      <w:r>
        <w:rPr>
          <w:sz w:val="15"/>
        </w:rPr>
        <w:t>04/17/2019)</w:t>
        <w:tab/>
        <w:t>Page</w:t>
      </w:r>
      <w:r>
        <w:rPr>
          <w:spacing w:val="-5"/>
          <w:sz w:val="15"/>
        </w:rPr>
        <w:t> </w:t>
      </w:r>
      <w:r>
        <w:rPr>
          <w:sz w:val="15"/>
        </w:rPr>
        <w:t>1</w:t>
        <w:tab/>
        <w:t>Printed: 6/4/2021 10:07</w:t>
      </w:r>
      <w:r>
        <w:rPr>
          <w:spacing w:val="-16"/>
          <w:sz w:val="15"/>
        </w:rPr>
        <w:t> </w:t>
      </w:r>
      <w:r>
        <w:rPr>
          <w:sz w:val="15"/>
        </w:rPr>
        <w:t>AM</w:t>
      </w:r>
    </w:p>
    <w:p>
      <w:pPr>
        <w:spacing w:after="0" w:line="169" w:lineRule="exact"/>
        <w:jc w:val="left"/>
        <w:rPr>
          <w:sz w:val="15"/>
        </w:rPr>
        <w:sectPr>
          <w:type w:val="continuous"/>
          <w:pgSz w:w="12240" w:h="15840"/>
          <w:pgMar w:top="1500" w:bottom="840" w:left="160" w:right="180"/>
        </w:sectPr>
      </w:pPr>
    </w:p>
    <w:p>
      <w:pPr>
        <w:spacing w:line="232" w:lineRule="auto" w:before="1"/>
        <w:ind w:left="308" w:right="0" w:firstLine="0"/>
        <w:jc w:val="left"/>
        <w:rPr>
          <w:sz w:val="18"/>
        </w:rPr>
      </w:pPr>
      <w:bookmarkStart w:name="FORM 35" w:id="11"/>
      <w:bookmarkEnd w:id="11"/>
      <w:r>
        <w:rPr/>
      </w:r>
      <w:r>
        <w:rPr>
          <w:sz w:val="18"/>
        </w:rPr>
        <w:t>Winship-Robbins Elementary Sutter County</w:t>
      </w:r>
    </w:p>
    <w:p>
      <w:pPr>
        <w:spacing w:line="232" w:lineRule="auto" w:before="1"/>
        <w:ind w:left="572" w:right="0" w:hanging="264"/>
        <w:jc w:val="left"/>
        <w:rPr>
          <w:sz w:val="18"/>
        </w:rPr>
      </w:pPr>
      <w:r>
        <w:rPr/>
        <w:br w:type="column"/>
      </w:r>
      <w:r>
        <w:rPr>
          <w:sz w:val="18"/>
        </w:rPr>
        <w:t>County School Facilities Fund Expenditures by Object</w:t>
      </w:r>
    </w:p>
    <w:p>
      <w:pPr>
        <w:spacing w:line="200" w:lineRule="exact" w:before="0"/>
        <w:ind w:left="0" w:right="287" w:firstLine="0"/>
        <w:jc w:val="right"/>
        <w:rPr>
          <w:sz w:val="18"/>
        </w:rPr>
      </w:pPr>
      <w:r>
        <w:rPr/>
        <w:br w:type="column"/>
      </w:r>
      <w:r>
        <w:rPr>
          <w:sz w:val="18"/>
        </w:rPr>
        <w:t>51 71456</w:t>
      </w:r>
      <w:r>
        <w:rPr>
          <w:spacing w:val="3"/>
          <w:sz w:val="18"/>
        </w:rPr>
        <w:t> </w:t>
      </w:r>
      <w:r>
        <w:rPr>
          <w:sz w:val="18"/>
        </w:rPr>
        <w:t>0000000</w:t>
      </w:r>
    </w:p>
    <w:p>
      <w:pPr>
        <w:spacing w:line="204" w:lineRule="exact" w:before="0"/>
        <w:ind w:left="0" w:right="285" w:firstLine="0"/>
        <w:jc w:val="right"/>
        <w:rPr>
          <w:sz w:val="18"/>
        </w:rPr>
      </w:pPr>
      <w:r>
        <w:rPr>
          <w:sz w:val="18"/>
        </w:rPr>
        <w:t>Form </w:t>
      </w:r>
      <w:r>
        <w:rPr>
          <w:spacing w:val="3"/>
          <w:sz w:val="18"/>
        </w:rPr>
        <w:t> </w:t>
      </w:r>
      <w:r>
        <w:rPr>
          <w:sz w:val="18"/>
        </w:rPr>
        <w:t>35</w:t>
      </w:r>
    </w:p>
    <w:p>
      <w:pPr>
        <w:spacing w:after="0" w:line="204" w:lineRule="exact"/>
        <w:jc w:val="right"/>
        <w:rPr>
          <w:sz w:val="18"/>
        </w:rPr>
        <w:sectPr>
          <w:headerReference w:type="default" r:id="rId924"/>
          <w:footerReference w:type="default" r:id="rId925"/>
          <w:pgSz w:w="12240" w:h="15840"/>
          <w:pgMar w:header="651" w:footer="437" w:top="840" w:bottom="620" w:left="160" w:right="180"/>
          <w:pgNumType w:start="1"/>
          <w:cols w:num="3" w:equalWidth="0">
            <w:col w:w="2698" w:space="1751"/>
            <w:col w:w="2749" w:space="2594"/>
            <w:col w:w="2108"/>
          </w:cols>
        </w:sectPr>
      </w:pPr>
    </w:p>
    <w:p>
      <w:pPr>
        <w:pStyle w:val="BodyText"/>
        <w:rPr>
          <w:sz w:val="20"/>
        </w:rPr>
      </w:pPr>
    </w:p>
    <w:p>
      <w:pPr>
        <w:pStyle w:val="BodyText"/>
        <w:rPr>
          <w:sz w:val="20"/>
        </w:rPr>
      </w:pPr>
    </w:p>
    <w:p>
      <w:pPr>
        <w:pStyle w:val="BodyText"/>
        <w:spacing w:before="8" w:after="1"/>
        <w:rPr>
          <w:sz w:val="26"/>
        </w:rPr>
      </w:pPr>
    </w:p>
    <w:tbl>
      <w:tblPr>
        <w:tblW w:w="0" w:type="auto"/>
        <w:jc w:val="left"/>
        <w:tblInd w:w="3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07"/>
        <w:gridCol w:w="2323"/>
        <w:gridCol w:w="1068"/>
        <w:gridCol w:w="1725"/>
        <w:gridCol w:w="1299"/>
        <w:gridCol w:w="1541"/>
      </w:tblGrid>
      <w:tr>
        <w:trPr>
          <w:trHeight w:val="334" w:hRule="atLeast"/>
        </w:trPr>
        <w:tc>
          <w:tcPr>
            <w:tcW w:w="2807" w:type="dxa"/>
          </w:tcPr>
          <w:p>
            <w:pPr>
              <w:pStyle w:val="TableParagraph"/>
              <w:spacing w:before="5"/>
              <w:rPr>
                <w:sz w:val="14"/>
              </w:rPr>
            </w:pPr>
          </w:p>
          <w:p>
            <w:pPr>
              <w:pStyle w:val="TableParagraph"/>
              <w:spacing w:line="147" w:lineRule="exact" w:before="1"/>
              <w:ind w:left="50"/>
              <w:rPr>
                <w:b/>
                <w:sz w:val="14"/>
              </w:rPr>
            </w:pPr>
            <w:r>
              <w:rPr>
                <w:b/>
                <w:w w:val="105"/>
                <w:sz w:val="14"/>
              </w:rPr>
              <w:t>Description</w:t>
            </w:r>
          </w:p>
        </w:tc>
        <w:tc>
          <w:tcPr>
            <w:tcW w:w="2323" w:type="dxa"/>
          </w:tcPr>
          <w:p>
            <w:pPr>
              <w:pStyle w:val="TableParagraph"/>
              <w:spacing w:before="5"/>
              <w:rPr>
                <w:sz w:val="14"/>
              </w:rPr>
            </w:pPr>
          </w:p>
          <w:p>
            <w:pPr>
              <w:pStyle w:val="TableParagraph"/>
              <w:spacing w:line="147" w:lineRule="exact" w:before="1"/>
              <w:ind w:left="1070"/>
              <w:rPr>
                <w:b/>
                <w:sz w:val="14"/>
              </w:rPr>
            </w:pPr>
            <w:r>
              <w:rPr>
                <w:b/>
                <w:w w:val="105"/>
                <w:sz w:val="14"/>
              </w:rPr>
              <w:t>Resource Codes</w:t>
            </w:r>
          </w:p>
        </w:tc>
        <w:tc>
          <w:tcPr>
            <w:tcW w:w="1068" w:type="dxa"/>
          </w:tcPr>
          <w:p>
            <w:pPr>
              <w:pStyle w:val="TableParagraph"/>
              <w:spacing w:before="5"/>
              <w:rPr>
                <w:sz w:val="14"/>
              </w:rPr>
            </w:pPr>
          </w:p>
          <w:p>
            <w:pPr>
              <w:pStyle w:val="TableParagraph"/>
              <w:spacing w:line="147" w:lineRule="exact" w:before="1"/>
              <w:ind w:left="99"/>
              <w:jc w:val="center"/>
              <w:rPr>
                <w:b/>
                <w:sz w:val="14"/>
              </w:rPr>
            </w:pPr>
            <w:r>
              <w:rPr>
                <w:b/>
                <w:w w:val="105"/>
                <w:sz w:val="14"/>
              </w:rPr>
              <w:t>Object Codes</w:t>
            </w:r>
          </w:p>
        </w:tc>
        <w:tc>
          <w:tcPr>
            <w:tcW w:w="1725" w:type="dxa"/>
          </w:tcPr>
          <w:p>
            <w:pPr>
              <w:pStyle w:val="TableParagraph"/>
              <w:spacing w:line="160" w:lineRule="exact"/>
              <w:ind w:left="102" w:right="300"/>
              <w:jc w:val="center"/>
              <w:rPr>
                <w:b/>
                <w:sz w:val="14"/>
              </w:rPr>
            </w:pPr>
            <w:r>
              <w:rPr>
                <w:b/>
                <w:w w:val="105"/>
                <w:sz w:val="14"/>
              </w:rPr>
              <w:t>2020-21</w:t>
            </w:r>
          </w:p>
          <w:p>
            <w:pPr>
              <w:pStyle w:val="TableParagraph"/>
              <w:spacing w:line="147" w:lineRule="exact" w:before="7"/>
              <w:ind w:left="102" w:right="303"/>
              <w:jc w:val="center"/>
              <w:rPr>
                <w:b/>
                <w:sz w:val="14"/>
              </w:rPr>
            </w:pPr>
            <w:r>
              <w:rPr>
                <w:b/>
                <w:w w:val="105"/>
                <w:sz w:val="14"/>
              </w:rPr>
              <w:t>Estimated Actuals</w:t>
            </w:r>
          </w:p>
        </w:tc>
        <w:tc>
          <w:tcPr>
            <w:tcW w:w="1299" w:type="dxa"/>
          </w:tcPr>
          <w:p>
            <w:pPr>
              <w:pStyle w:val="TableParagraph"/>
              <w:spacing w:line="160" w:lineRule="exact"/>
              <w:ind w:left="286"/>
              <w:rPr>
                <w:b/>
                <w:sz w:val="14"/>
              </w:rPr>
            </w:pPr>
            <w:r>
              <w:rPr>
                <w:b/>
                <w:w w:val="105"/>
                <w:sz w:val="14"/>
              </w:rPr>
              <w:t>2021-22</w:t>
            </w:r>
          </w:p>
          <w:p>
            <w:pPr>
              <w:pStyle w:val="TableParagraph"/>
              <w:spacing w:line="147" w:lineRule="exact" w:before="7"/>
              <w:ind w:left="298"/>
              <w:rPr>
                <w:b/>
                <w:sz w:val="14"/>
              </w:rPr>
            </w:pPr>
            <w:r>
              <w:rPr>
                <w:b/>
                <w:w w:val="105"/>
                <w:sz w:val="14"/>
              </w:rPr>
              <w:t>Budget</w:t>
            </w:r>
          </w:p>
        </w:tc>
        <w:tc>
          <w:tcPr>
            <w:tcW w:w="1541" w:type="dxa"/>
          </w:tcPr>
          <w:p>
            <w:pPr>
              <w:pStyle w:val="TableParagraph"/>
              <w:spacing w:line="160" w:lineRule="exact"/>
              <w:ind w:left="512"/>
              <w:rPr>
                <w:b/>
                <w:sz w:val="14"/>
              </w:rPr>
            </w:pPr>
            <w:r>
              <w:rPr>
                <w:b/>
                <w:w w:val="105"/>
                <w:sz w:val="14"/>
              </w:rPr>
              <w:t>Percent</w:t>
            </w:r>
          </w:p>
          <w:p>
            <w:pPr>
              <w:pStyle w:val="TableParagraph"/>
              <w:spacing w:line="147" w:lineRule="exact" w:before="7"/>
              <w:ind w:left="425"/>
              <w:rPr>
                <w:b/>
                <w:sz w:val="14"/>
              </w:rPr>
            </w:pPr>
            <w:r>
              <w:rPr>
                <w:b/>
                <w:w w:val="105"/>
                <w:sz w:val="14"/>
              </w:rPr>
              <w:t>Difference</w:t>
            </w:r>
          </w:p>
        </w:tc>
      </w:tr>
      <w:tr>
        <w:trPr>
          <w:trHeight w:val="376" w:hRule="atLeast"/>
        </w:trPr>
        <w:tc>
          <w:tcPr>
            <w:tcW w:w="2807" w:type="dxa"/>
          </w:tcPr>
          <w:p>
            <w:pPr>
              <w:pStyle w:val="TableParagraph"/>
              <w:spacing w:before="2"/>
              <w:rPr>
                <w:sz w:val="18"/>
              </w:rPr>
            </w:pPr>
          </w:p>
          <w:p>
            <w:pPr>
              <w:pStyle w:val="TableParagraph"/>
              <w:spacing w:line="147" w:lineRule="exact"/>
              <w:ind w:left="50"/>
              <w:rPr>
                <w:b/>
                <w:sz w:val="14"/>
              </w:rPr>
            </w:pPr>
            <w:r>
              <w:rPr>
                <w:b/>
                <w:w w:val="105"/>
                <w:sz w:val="14"/>
              </w:rPr>
              <w:t>A. REVENUES</w:t>
            </w:r>
          </w:p>
        </w:tc>
        <w:tc>
          <w:tcPr>
            <w:tcW w:w="2323" w:type="dxa"/>
          </w:tcPr>
          <w:p>
            <w:pPr>
              <w:pStyle w:val="TableParagraph"/>
              <w:rPr>
                <w:rFonts w:ascii="Times New Roman"/>
                <w:sz w:val="14"/>
              </w:rPr>
            </w:pPr>
          </w:p>
        </w:tc>
        <w:tc>
          <w:tcPr>
            <w:tcW w:w="1068" w:type="dxa"/>
          </w:tcPr>
          <w:p>
            <w:pPr>
              <w:pStyle w:val="TableParagraph"/>
              <w:rPr>
                <w:rFonts w:ascii="Times New Roman"/>
                <w:sz w:val="14"/>
              </w:rPr>
            </w:pPr>
          </w:p>
        </w:tc>
        <w:tc>
          <w:tcPr>
            <w:tcW w:w="1725" w:type="dxa"/>
          </w:tcPr>
          <w:p>
            <w:pPr>
              <w:pStyle w:val="TableParagraph"/>
              <w:rPr>
                <w:rFonts w:ascii="Times New Roman"/>
                <w:sz w:val="14"/>
              </w:rPr>
            </w:pPr>
          </w:p>
        </w:tc>
        <w:tc>
          <w:tcPr>
            <w:tcW w:w="1299" w:type="dxa"/>
          </w:tcPr>
          <w:p>
            <w:pPr>
              <w:pStyle w:val="TableParagraph"/>
              <w:rPr>
                <w:rFonts w:ascii="Times New Roman"/>
                <w:sz w:val="14"/>
              </w:rPr>
            </w:pPr>
          </w:p>
        </w:tc>
        <w:tc>
          <w:tcPr>
            <w:tcW w:w="1541" w:type="dxa"/>
            <w:shd w:val="clear" w:color="auto" w:fill="DFDFDF"/>
          </w:tcPr>
          <w:p>
            <w:pPr>
              <w:pStyle w:val="TableParagraph"/>
              <w:rPr>
                <w:rFonts w:ascii="Times New Roman"/>
                <w:sz w:val="14"/>
              </w:rPr>
            </w:pPr>
          </w:p>
        </w:tc>
      </w:tr>
      <w:tr>
        <w:trPr>
          <w:trHeight w:val="196" w:hRule="atLeast"/>
        </w:trPr>
        <w:tc>
          <w:tcPr>
            <w:tcW w:w="2807" w:type="dxa"/>
          </w:tcPr>
          <w:p>
            <w:pPr>
              <w:pStyle w:val="TableParagraph"/>
              <w:rPr>
                <w:rFonts w:ascii="Times New Roman"/>
                <w:sz w:val="12"/>
              </w:rPr>
            </w:pPr>
          </w:p>
        </w:tc>
        <w:tc>
          <w:tcPr>
            <w:tcW w:w="2323" w:type="dxa"/>
          </w:tcPr>
          <w:p>
            <w:pPr>
              <w:pStyle w:val="TableParagraph"/>
              <w:rPr>
                <w:rFonts w:ascii="Times New Roman"/>
                <w:sz w:val="12"/>
              </w:rPr>
            </w:pPr>
          </w:p>
        </w:tc>
        <w:tc>
          <w:tcPr>
            <w:tcW w:w="1068" w:type="dxa"/>
          </w:tcPr>
          <w:p>
            <w:pPr>
              <w:pStyle w:val="TableParagraph"/>
              <w:rPr>
                <w:rFonts w:ascii="Times New Roman"/>
                <w:sz w:val="12"/>
              </w:rPr>
            </w:pPr>
          </w:p>
        </w:tc>
        <w:tc>
          <w:tcPr>
            <w:tcW w:w="1725" w:type="dxa"/>
            <w:shd w:val="clear" w:color="auto" w:fill="DFDFDF"/>
          </w:tcPr>
          <w:p>
            <w:pPr>
              <w:pStyle w:val="TableParagraph"/>
              <w:rPr>
                <w:rFonts w:ascii="Times New Roman"/>
                <w:sz w:val="12"/>
              </w:rPr>
            </w:pPr>
          </w:p>
        </w:tc>
        <w:tc>
          <w:tcPr>
            <w:tcW w:w="1299" w:type="dxa"/>
            <w:shd w:val="clear" w:color="auto" w:fill="DFDFDF"/>
          </w:tcPr>
          <w:p>
            <w:pPr>
              <w:pStyle w:val="TableParagraph"/>
              <w:rPr>
                <w:rFonts w:ascii="Times New Roman"/>
                <w:sz w:val="12"/>
              </w:rPr>
            </w:pPr>
          </w:p>
        </w:tc>
        <w:tc>
          <w:tcPr>
            <w:tcW w:w="1541" w:type="dxa"/>
            <w:shd w:val="clear" w:color="auto" w:fill="DFDFDF"/>
          </w:tcPr>
          <w:p>
            <w:pPr>
              <w:pStyle w:val="TableParagraph"/>
              <w:rPr>
                <w:rFonts w:ascii="Times New Roman"/>
                <w:sz w:val="12"/>
              </w:rPr>
            </w:pPr>
          </w:p>
        </w:tc>
      </w:tr>
      <w:tr>
        <w:trPr>
          <w:trHeight w:val="376" w:hRule="atLeast"/>
        </w:trPr>
        <w:tc>
          <w:tcPr>
            <w:tcW w:w="2807" w:type="dxa"/>
          </w:tcPr>
          <w:p>
            <w:pPr>
              <w:pStyle w:val="TableParagraph"/>
              <w:spacing w:before="4"/>
              <w:rPr>
                <w:sz w:val="18"/>
              </w:rPr>
            </w:pPr>
          </w:p>
          <w:p>
            <w:pPr>
              <w:pStyle w:val="TableParagraph"/>
              <w:spacing w:line="145" w:lineRule="exact" w:before="1"/>
              <w:ind w:left="213"/>
              <w:rPr>
                <w:sz w:val="14"/>
              </w:rPr>
            </w:pPr>
            <w:r>
              <w:rPr>
                <w:w w:val="105"/>
                <w:sz w:val="14"/>
              </w:rPr>
              <w:t>1) LCFF Sources</w:t>
            </w:r>
          </w:p>
        </w:tc>
        <w:tc>
          <w:tcPr>
            <w:tcW w:w="2323" w:type="dxa"/>
          </w:tcPr>
          <w:p>
            <w:pPr>
              <w:pStyle w:val="TableParagraph"/>
              <w:rPr>
                <w:rFonts w:ascii="Times New Roman"/>
                <w:sz w:val="14"/>
              </w:rPr>
            </w:pPr>
          </w:p>
        </w:tc>
        <w:tc>
          <w:tcPr>
            <w:tcW w:w="1068" w:type="dxa"/>
          </w:tcPr>
          <w:p>
            <w:pPr>
              <w:pStyle w:val="TableParagraph"/>
              <w:spacing w:before="4"/>
              <w:rPr>
                <w:sz w:val="18"/>
              </w:rPr>
            </w:pPr>
          </w:p>
          <w:p>
            <w:pPr>
              <w:pStyle w:val="TableParagraph"/>
              <w:spacing w:line="145" w:lineRule="exact" w:before="1"/>
              <w:ind w:left="100"/>
              <w:jc w:val="center"/>
              <w:rPr>
                <w:sz w:val="14"/>
              </w:rPr>
            </w:pPr>
            <w:r>
              <w:rPr>
                <w:w w:val="105"/>
                <w:sz w:val="14"/>
              </w:rPr>
              <w:t>8010-8099</w:t>
            </w:r>
          </w:p>
        </w:tc>
        <w:tc>
          <w:tcPr>
            <w:tcW w:w="1725" w:type="dxa"/>
          </w:tcPr>
          <w:p>
            <w:pPr>
              <w:pStyle w:val="TableParagraph"/>
              <w:spacing w:before="4"/>
              <w:rPr>
                <w:sz w:val="18"/>
              </w:rPr>
            </w:pPr>
          </w:p>
          <w:p>
            <w:pPr>
              <w:pStyle w:val="TableParagraph"/>
              <w:spacing w:line="145" w:lineRule="exact" w:before="1"/>
              <w:ind w:right="284"/>
              <w:jc w:val="right"/>
              <w:rPr>
                <w:sz w:val="14"/>
              </w:rPr>
            </w:pPr>
            <w:r>
              <w:rPr>
                <w:sz w:val="14"/>
              </w:rPr>
              <w:t>0.00</w:t>
            </w:r>
          </w:p>
        </w:tc>
        <w:tc>
          <w:tcPr>
            <w:tcW w:w="1299" w:type="dxa"/>
          </w:tcPr>
          <w:p>
            <w:pPr>
              <w:pStyle w:val="TableParagraph"/>
              <w:spacing w:before="4"/>
              <w:rPr>
                <w:sz w:val="18"/>
              </w:rPr>
            </w:pPr>
          </w:p>
          <w:p>
            <w:pPr>
              <w:pStyle w:val="TableParagraph"/>
              <w:spacing w:line="145" w:lineRule="exact" w:before="1"/>
              <w:ind w:right="71"/>
              <w:jc w:val="right"/>
              <w:rPr>
                <w:sz w:val="14"/>
              </w:rPr>
            </w:pPr>
            <w:r>
              <w:rPr>
                <w:sz w:val="14"/>
              </w:rPr>
              <w:t>0.00</w:t>
            </w:r>
          </w:p>
        </w:tc>
        <w:tc>
          <w:tcPr>
            <w:tcW w:w="1541" w:type="dxa"/>
            <w:shd w:val="clear" w:color="auto" w:fill="DFDFDF"/>
          </w:tcPr>
          <w:p>
            <w:pPr>
              <w:pStyle w:val="TableParagraph"/>
              <w:spacing w:before="4"/>
              <w:rPr>
                <w:sz w:val="18"/>
              </w:rPr>
            </w:pPr>
          </w:p>
          <w:p>
            <w:pPr>
              <w:pStyle w:val="TableParagraph"/>
              <w:spacing w:line="145" w:lineRule="exact" w:before="1"/>
              <w:ind w:right="23"/>
              <w:jc w:val="right"/>
              <w:rPr>
                <w:sz w:val="14"/>
              </w:rPr>
            </w:pPr>
            <w:r>
              <w:rPr>
                <w:sz w:val="14"/>
              </w:rPr>
              <w:t>0.0%</w:t>
            </w:r>
          </w:p>
        </w:tc>
      </w:tr>
      <w:tr>
        <w:trPr>
          <w:trHeight w:val="481" w:hRule="atLeast"/>
        </w:trPr>
        <w:tc>
          <w:tcPr>
            <w:tcW w:w="2807" w:type="dxa"/>
          </w:tcPr>
          <w:p>
            <w:pPr>
              <w:pStyle w:val="TableParagraph"/>
              <w:spacing w:before="4"/>
              <w:rPr>
                <w:sz w:val="18"/>
              </w:rPr>
            </w:pPr>
          </w:p>
          <w:p>
            <w:pPr>
              <w:pStyle w:val="TableParagraph"/>
              <w:spacing w:before="1"/>
              <w:ind w:left="213"/>
              <w:rPr>
                <w:sz w:val="14"/>
              </w:rPr>
            </w:pPr>
            <w:r>
              <w:rPr>
                <w:w w:val="105"/>
                <w:sz w:val="14"/>
              </w:rPr>
              <w:t>2) Federal Revenue</w:t>
            </w:r>
          </w:p>
        </w:tc>
        <w:tc>
          <w:tcPr>
            <w:tcW w:w="2323" w:type="dxa"/>
          </w:tcPr>
          <w:p>
            <w:pPr>
              <w:pStyle w:val="TableParagraph"/>
              <w:rPr>
                <w:rFonts w:ascii="Times New Roman"/>
                <w:sz w:val="14"/>
              </w:rPr>
            </w:pPr>
          </w:p>
        </w:tc>
        <w:tc>
          <w:tcPr>
            <w:tcW w:w="1068" w:type="dxa"/>
          </w:tcPr>
          <w:p>
            <w:pPr>
              <w:pStyle w:val="TableParagraph"/>
              <w:spacing w:before="4"/>
              <w:rPr>
                <w:sz w:val="18"/>
              </w:rPr>
            </w:pPr>
          </w:p>
          <w:p>
            <w:pPr>
              <w:pStyle w:val="TableParagraph"/>
              <w:spacing w:before="1"/>
              <w:ind w:left="100"/>
              <w:jc w:val="center"/>
              <w:rPr>
                <w:sz w:val="14"/>
              </w:rPr>
            </w:pPr>
            <w:r>
              <w:rPr>
                <w:w w:val="105"/>
                <w:sz w:val="14"/>
              </w:rPr>
              <w:t>8100-8299</w:t>
            </w:r>
          </w:p>
        </w:tc>
        <w:tc>
          <w:tcPr>
            <w:tcW w:w="1725" w:type="dxa"/>
          </w:tcPr>
          <w:p>
            <w:pPr>
              <w:pStyle w:val="TableParagraph"/>
              <w:spacing w:before="4"/>
              <w:rPr>
                <w:sz w:val="18"/>
              </w:rPr>
            </w:pPr>
          </w:p>
          <w:p>
            <w:pPr>
              <w:pStyle w:val="TableParagraph"/>
              <w:spacing w:before="1"/>
              <w:ind w:right="284"/>
              <w:jc w:val="right"/>
              <w:rPr>
                <w:sz w:val="14"/>
              </w:rPr>
            </w:pPr>
            <w:r>
              <w:rPr>
                <w:sz w:val="14"/>
              </w:rPr>
              <w:t>0.00</w:t>
            </w:r>
          </w:p>
        </w:tc>
        <w:tc>
          <w:tcPr>
            <w:tcW w:w="1299" w:type="dxa"/>
          </w:tcPr>
          <w:p>
            <w:pPr>
              <w:pStyle w:val="TableParagraph"/>
              <w:spacing w:before="4"/>
              <w:rPr>
                <w:sz w:val="18"/>
              </w:rPr>
            </w:pPr>
          </w:p>
          <w:p>
            <w:pPr>
              <w:pStyle w:val="TableParagraph"/>
              <w:spacing w:before="1"/>
              <w:ind w:right="71"/>
              <w:jc w:val="right"/>
              <w:rPr>
                <w:sz w:val="14"/>
              </w:rPr>
            </w:pPr>
            <w:r>
              <w:rPr>
                <w:sz w:val="14"/>
              </w:rPr>
              <w:t>0.00</w:t>
            </w:r>
          </w:p>
        </w:tc>
        <w:tc>
          <w:tcPr>
            <w:tcW w:w="1541" w:type="dxa"/>
          </w:tcPr>
          <w:p>
            <w:pPr>
              <w:pStyle w:val="TableParagraph"/>
              <w:spacing w:before="4"/>
              <w:rPr>
                <w:sz w:val="18"/>
              </w:rPr>
            </w:pPr>
          </w:p>
          <w:p>
            <w:pPr>
              <w:pStyle w:val="TableParagraph"/>
              <w:spacing w:before="1"/>
              <w:ind w:right="23"/>
              <w:jc w:val="right"/>
              <w:rPr>
                <w:sz w:val="14"/>
              </w:rPr>
            </w:pPr>
            <w:r>
              <w:rPr>
                <w:sz w:val="14"/>
              </w:rPr>
              <w:t>0.0%</w:t>
            </w:r>
          </w:p>
        </w:tc>
      </w:tr>
      <w:tr>
        <w:trPr>
          <w:trHeight w:val="376" w:hRule="atLeast"/>
        </w:trPr>
        <w:tc>
          <w:tcPr>
            <w:tcW w:w="2807" w:type="dxa"/>
          </w:tcPr>
          <w:p>
            <w:pPr>
              <w:pStyle w:val="TableParagraph"/>
              <w:spacing w:before="107"/>
              <w:ind w:right="1073"/>
              <w:jc w:val="right"/>
              <w:rPr>
                <w:sz w:val="14"/>
              </w:rPr>
            </w:pPr>
            <w:r>
              <w:rPr>
                <w:w w:val="105"/>
                <w:sz w:val="14"/>
              </w:rPr>
              <w:t>3) Other State Revenue</w:t>
            </w:r>
          </w:p>
        </w:tc>
        <w:tc>
          <w:tcPr>
            <w:tcW w:w="2323" w:type="dxa"/>
          </w:tcPr>
          <w:p>
            <w:pPr>
              <w:pStyle w:val="TableParagraph"/>
              <w:rPr>
                <w:rFonts w:ascii="Times New Roman"/>
                <w:sz w:val="14"/>
              </w:rPr>
            </w:pPr>
          </w:p>
        </w:tc>
        <w:tc>
          <w:tcPr>
            <w:tcW w:w="1068" w:type="dxa"/>
          </w:tcPr>
          <w:p>
            <w:pPr>
              <w:pStyle w:val="TableParagraph"/>
              <w:spacing w:before="107"/>
              <w:ind w:left="100"/>
              <w:jc w:val="center"/>
              <w:rPr>
                <w:sz w:val="14"/>
              </w:rPr>
            </w:pPr>
            <w:r>
              <w:rPr>
                <w:w w:val="105"/>
                <w:sz w:val="14"/>
              </w:rPr>
              <w:t>8300-8599</w:t>
            </w:r>
          </w:p>
        </w:tc>
        <w:tc>
          <w:tcPr>
            <w:tcW w:w="1725" w:type="dxa"/>
          </w:tcPr>
          <w:p>
            <w:pPr>
              <w:pStyle w:val="TableParagraph"/>
              <w:spacing w:before="107"/>
              <w:ind w:right="284"/>
              <w:jc w:val="right"/>
              <w:rPr>
                <w:sz w:val="14"/>
              </w:rPr>
            </w:pPr>
            <w:r>
              <w:rPr>
                <w:sz w:val="14"/>
              </w:rPr>
              <w:t>0.00</w:t>
            </w:r>
          </w:p>
        </w:tc>
        <w:tc>
          <w:tcPr>
            <w:tcW w:w="1299" w:type="dxa"/>
          </w:tcPr>
          <w:p>
            <w:pPr>
              <w:pStyle w:val="TableParagraph"/>
              <w:spacing w:before="107"/>
              <w:ind w:right="71"/>
              <w:jc w:val="right"/>
              <w:rPr>
                <w:sz w:val="14"/>
              </w:rPr>
            </w:pPr>
            <w:r>
              <w:rPr>
                <w:sz w:val="14"/>
              </w:rPr>
              <w:t>0.00</w:t>
            </w:r>
          </w:p>
        </w:tc>
        <w:tc>
          <w:tcPr>
            <w:tcW w:w="1541" w:type="dxa"/>
          </w:tcPr>
          <w:p>
            <w:pPr>
              <w:pStyle w:val="TableParagraph"/>
              <w:spacing w:before="107"/>
              <w:ind w:right="23"/>
              <w:jc w:val="right"/>
              <w:rPr>
                <w:sz w:val="14"/>
              </w:rPr>
            </w:pPr>
            <w:r>
              <w:rPr>
                <w:sz w:val="14"/>
              </w:rPr>
              <w:t>0.0%</w:t>
            </w:r>
          </w:p>
        </w:tc>
      </w:tr>
      <w:tr>
        <w:trPr>
          <w:trHeight w:val="376" w:hRule="atLeast"/>
        </w:trPr>
        <w:tc>
          <w:tcPr>
            <w:tcW w:w="2807" w:type="dxa"/>
          </w:tcPr>
          <w:p>
            <w:pPr>
              <w:pStyle w:val="TableParagraph"/>
              <w:spacing w:before="107"/>
              <w:ind w:right="1068"/>
              <w:jc w:val="right"/>
              <w:rPr>
                <w:sz w:val="14"/>
              </w:rPr>
            </w:pPr>
            <w:r>
              <w:rPr>
                <w:w w:val="105"/>
                <w:sz w:val="14"/>
              </w:rPr>
              <w:t>4) Other Local Revenue</w:t>
            </w:r>
          </w:p>
        </w:tc>
        <w:tc>
          <w:tcPr>
            <w:tcW w:w="2323" w:type="dxa"/>
          </w:tcPr>
          <w:p>
            <w:pPr>
              <w:pStyle w:val="TableParagraph"/>
              <w:rPr>
                <w:rFonts w:ascii="Times New Roman"/>
                <w:sz w:val="14"/>
              </w:rPr>
            </w:pPr>
          </w:p>
        </w:tc>
        <w:tc>
          <w:tcPr>
            <w:tcW w:w="1068" w:type="dxa"/>
          </w:tcPr>
          <w:p>
            <w:pPr>
              <w:pStyle w:val="TableParagraph"/>
              <w:spacing w:before="107"/>
              <w:ind w:left="100"/>
              <w:jc w:val="center"/>
              <w:rPr>
                <w:sz w:val="14"/>
              </w:rPr>
            </w:pPr>
            <w:r>
              <w:rPr>
                <w:w w:val="105"/>
                <w:sz w:val="14"/>
              </w:rPr>
              <w:t>8600-8799</w:t>
            </w:r>
          </w:p>
        </w:tc>
        <w:tc>
          <w:tcPr>
            <w:tcW w:w="1725" w:type="dxa"/>
          </w:tcPr>
          <w:p>
            <w:pPr>
              <w:pStyle w:val="TableParagraph"/>
              <w:spacing w:before="107"/>
              <w:ind w:right="283"/>
              <w:jc w:val="right"/>
              <w:rPr>
                <w:sz w:val="14"/>
              </w:rPr>
            </w:pPr>
            <w:r>
              <w:rPr>
                <w:sz w:val="14"/>
              </w:rPr>
              <w:t>20.00</w:t>
            </w:r>
          </w:p>
        </w:tc>
        <w:tc>
          <w:tcPr>
            <w:tcW w:w="1299" w:type="dxa"/>
          </w:tcPr>
          <w:p>
            <w:pPr>
              <w:pStyle w:val="TableParagraph"/>
              <w:spacing w:before="107"/>
              <w:ind w:right="71"/>
              <w:jc w:val="right"/>
              <w:rPr>
                <w:sz w:val="14"/>
              </w:rPr>
            </w:pPr>
            <w:r>
              <w:rPr>
                <w:sz w:val="14"/>
              </w:rPr>
              <w:t>0.00</w:t>
            </w:r>
          </w:p>
        </w:tc>
        <w:tc>
          <w:tcPr>
            <w:tcW w:w="1541" w:type="dxa"/>
          </w:tcPr>
          <w:p>
            <w:pPr>
              <w:pStyle w:val="TableParagraph"/>
              <w:spacing w:before="107"/>
              <w:ind w:right="23"/>
              <w:jc w:val="right"/>
              <w:rPr>
                <w:sz w:val="14"/>
              </w:rPr>
            </w:pPr>
            <w:r>
              <w:rPr>
                <w:sz w:val="14"/>
              </w:rPr>
              <w:t>-100.0%</w:t>
            </w:r>
          </w:p>
        </w:tc>
      </w:tr>
      <w:tr>
        <w:trPr>
          <w:trHeight w:val="268" w:hRule="atLeast"/>
        </w:trPr>
        <w:tc>
          <w:tcPr>
            <w:tcW w:w="2807" w:type="dxa"/>
          </w:tcPr>
          <w:p>
            <w:pPr>
              <w:pStyle w:val="TableParagraph"/>
              <w:spacing w:line="142" w:lineRule="exact" w:before="107"/>
              <w:ind w:right="1084"/>
              <w:jc w:val="right"/>
              <w:rPr>
                <w:sz w:val="14"/>
              </w:rPr>
            </w:pPr>
            <w:r>
              <w:rPr>
                <w:w w:val="105"/>
                <w:sz w:val="14"/>
              </w:rPr>
              <w:t>5) TOTAL, REVENUES</w:t>
            </w:r>
          </w:p>
        </w:tc>
        <w:tc>
          <w:tcPr>
            <w:tcW w:w="2323" w:type="dxa"/>
          </w:tcPr>
          <w:p>
            <w:pPr>
              <w:pStyle w:val="TableParagraph"/>
              <w:rPr>
                <w:rFonts w:ascii="Times New Roman"/>
                <w:sz w:val="14"/>
              </w:rPr>
            </w:pPr>
          </w:p>
        </w:tc>
        <w:tc>
          <w:tcPr>
            <w:tcW w:w="1068" w:type="dxa"/>
          </w:tcPr>
          <w:p>
            <w:pPr>
              <w:pStyle w:val="TableParagraph"/>
              <w:rPr>
                <w:rFonts w:ascii="Times New Roman"/>
                <w:sz w:val="14"/>
              </w:rPr>
            </w:pPr>
          </w:p>
        </w:tc>
        <w:tc>
          <w:tcPr>
            <w:tcW w:w="1725" w:type="dxa"/>
          </w:tcPr>
          <w:p>
            <w:pPr>
              <w:pStyle w:val="TableParagraph"/>
              <w:spacing w:line="142" w:lineRule="exact" w:before="107"/>
              <w:ind w:right="283"/>
              <w:jc w:val="right"/>
              <w:rPr>
                <w:sz w:val="14"/>
              </w:rPr>
            </w:pPr>
            <w:r>
              <w:rPr>
                <w:sz w:val="14"/>
              </w:rPr>
              <w:t>20.00</w:t>
            </w:r>
          </w:p>
        </w:tc>
        <w:tc>
          <w:tcPr>
            <w:tcW w:w="1299" w:type="dxa"/>
          </w:tcPr>
          <w:p>
            <w:pPr>
              <w:pStyle w:val="TableParagraph"/>
              <w:spacing w:line="142" w:lineRule="exact" w:before="107"/>
              <w:ind w:right="71"/>
              <w:jc w:val="right"/>
              <w:rPr>
                <w:sz w:val="14"/>
              </w:rPr>
            </w:pPr>
            <w:r>
              <w:rPr>
                <w:sz w:val="14"/>
              </w:rPr>
              <w:t>0.00</w:t>
            </w:r>
          </w:p>
        </w:tc>
        <w:tc>
          <w:tcPr>
            <w:tcW w:w="1541" w:type="dxa"/>
          </w:tcPr>
          <w:p>
            <w:pPr>
              <w:pStyle w:val="TableParagraph"/>
              <w:spacing w:line="142" w:lineRule="exact" w:before="107"/>
              <w:ind w:right="23"/>
              <w:jc w:val="right"/>
              <w:rPr>
                <w:sz w:val="14"/>
              </w:rPr>
            </w:pPr>
            <w:r>
              <w:rPr>
                <w:sz w:val="14"/>
              </w:rPr>
              <w:t>-100.0%</w:t>
            </w:r>
          </w:p>
        </w:tc>
      </w:tr>
    </w:tbl>
    <w:p>
      <w:pPr>
        <w:pStyle w:val="BodyText"/>
        <w:spacing w:before="10"/>
        <w:rPr>
          <w:sz w:val="9"/>
        </w:rPr>
      </w:pPr>
    </w:p>
    <w:p>
      <w:pPr>
        <w:spacing w:before="99"/>
        <w:ind w:left="370" w:right="0" w:firstLine="0"/>
        <w:jc w:val="left"/>
        <w:rPr>
          <w:b/>
          <w:sz w:val="14"/>
        </w:rPr>
      </w:pPr>
      <w:r>
        <w:rPr/>
        <w:pict>
          <v:group style="position:absolute;margin-left:24.719999pt;margin-top:-167.404083pt;width:538pt;height:561.4pt;mso-position-horizontal-relative:page;mso-position-vertical-relative:paragraph;z-index:-314269696" coordorigin="494,-3348" coordsize="10760,11228">
            <v:shape style="position:absolute;left:494;top:-3349;width:3646;height:790" type="#_x0000_t75" stroked="false">
              <v:imagedata r:id="rId406" o:title=""/>
            </v:shape>
            <v:shape style="position:absolute;left:4132;top:-3349;width:7121;height:790" type="#_x0000_t75" stroked="false">
              <v:imagedata r:id="rId407" o:title=""/>
            </v:shape>
            <v:line style="position:absolute" from="1304,-2568" to="1304,-2198" stroked="true" strokeweight=".359997pt" strokecolor="#ffffff">
              <v:stroke dashstyle="solid"/>
            </v:line>
            <v:shape style="position:absolute;left:494;top:-2573;width:3646;height:2837" type="#_x0000_t75" stroked="false">
              <v:imagedata r:id="rId837" o:title=""/>
            </v:shape>
            <v:shape style="position:absolute;left:6674;top:-2581;width:1520;height:389" type="#_x0000_t75" stroked="false">
              <v:imagedata r:id="rId410" o:title=""/>
            </v:shape>
            <v:shape style="position:absolute;left:8186;top:-2581;width:1520;height:389" type="#_x0000_t75" stroked="false">
              <v:imagedata r:id="rId410" o:title=""/>
            </v:shape>
            <v:shape style="position:absolute;left:6674;top:-2197;width:1520;height:581" type="#_x0000_t75" stroked="false">
              <v:imagedata r:id="rId577" o:title=""/>
            </v:shape>
            <v:shape style="position:absolute;left:8186;top:-2197;width:1520;height:581" type="#_x0000_t75" stroked="false">
              <v:imagedata r:id="rId577" o:title=""/>
            </v:shape>
            <v:shape style="position:absolute;left:6674;top:-2581;width:4580;height:1342" type="#_x0000_t75" stroked="false">
              <v:imagedata r:id="rId578" o:title=""/>
            </v:shape>
            <v:shape style="position:absolute;left:6674;top:-1623;width:4580;height:761" type="#_x0000_t75" stroked="false">
              <v:imagedata r:id="rId579" o:title=""/>
            </v:shape>
            <v:shape style="position:absolute;left:9698;top:-1246;width:1556;height:756" type="#_x0000_t75" stroked="false">
              <v:imagedata r:id="rId580" o:title=""/>
            </v:shape>
            <v:shape style="position:absolute;left:4132;top:-869;width:7121;height:768" type="#_x0000_t75" stroked="false">
              <v:imagedata r:id="rId926" o:title=""/>
            </v:shape>
            <v:shape style="position:absolute;left:6674;top:-123;width:1520;height:389" type="#_x0000_t75" stroked="false">
              <v:imagedata r:id="rId706" o:title=""/>
            </v:shape>
            <v:shape style="position:absolute;left:8186;top:-123;width:1520;height:389" type="#_x0000_t75" stroked="false">
              <v:imagedata r:id="rId706" o:title=""/>
            </v:shape>
            <v:shape style="position:absolute;left:6679;top:-111;width:4565;height:574" coordorigin="6679,-110" coordsize="4565,574" path="m11244,-110l9703,-110,9703,266,8191,266,6679,266,6679,463,8191,463,9703,463,11244,463,11244,266,11244,-110e" filled="true" fillcolor="#dfdfdf" stroked="false">
              <v:path arrowok="t"/>
              <v:fill type="solid"/>
            </v:shape>
            <v:shape style="position:absolute;left:6674;top:261;width:1520;height:581" type="#_x0000_t75" stroked="false">
              <v:imagedata r:id="rId927" o:title=""/>
            </v:shape>
            <v:shape style="position:absolute;left:8186;top:261;width:1520;height:581" type="#_x0000_t75" stroked="false">
              <v:imagedata r:id="rId927" o:title=""/>
            </v:shape>
            <v:shape style="position:absolute;left:6674;top:-123;width:4580;height:1342" type="#_x0000_t75" stroked="false">
              <v:imagedata r:id="rId578" o:title=""/>
            </v:shape>
            <v:rect style="position:absolute;left:9703;top:463;width:1541;height:377" filled="true" fillcolor="#dfdfdf" stroked="false">
              <v:fill type="solid"/>
            </v:rect>
            <v:shape style="position:absolute;left:494;top:261;width:3646;height:3800" type="#_x0000_t75" stroked="false">
              <v:imagedata r:id="rId420" o:title=""/>
            </v:shape>
            <v:shape style="position:absolute;left:6674;top:835;width:4580;height:761" type="#_x0000_t75" stroked="false">
              <v:imagedata r:id="rId579" o:title=""/>
            </v:shape>
            <v:shape style="position:absolute;left:6674;top:1211;width:4580;height:761" type="#_x0000_t75" stroked="false">
              <v:imagedata r:id="rId579" o:title=""/>
            </v:shape>
            <v:shape style="position:absolute;left:6674;top:1588;width:4580;height:761" type="#_x0000_t75" stroked="false">
              <v:imagedata r:id="rId579" o:title=""/>
            </v:shape>
            <v:shape style="position:absolute;left:6674;top:1965;width:4580;height:761" type="#_x0000_t75" stroked="false">
              <v:imagedata r:id="rId579" o:title=""/>
            </v:shape>
            <v:shape style="position:absolute;left:9698;top:2342;width:1556;height:953" type="#_x0000_t75" stroked="false">
              <v:imagedata r:id="rId709" o:title=""/>
            </v:shape>
            <v:shape style="position:absolute;left:6674;top:2719;width:1520;height:958" type="#_x0000_t75" stroked="false">
              <v:imagedata r:id="rId710" o:title=""/>
            </v:shape>
            <v:rect style="position:absolute;left:6679;top:3297;width:1512;height:377" filled="true" fillcolor="#dfdfdf" stroked="false">
              <v:fill type="solid"/>
            </v:rect>
            <v:shape style="position:absolute;left:8186;top:3292;width:1520;height:384" type="#_x0000_t75" stroked="false">
              <v:imagedata r:id="rId584" o:title=""/>
            </v:shape>
            <v:rect style="position:absolute;left:9703;top:3297;width:1541;height:377" filled="true" fillcolor="#dfdfdf" stroked="false">
              <v:fill type="solid"/>
            </v:rect>
            <v:shape style="position:absolute;left:4132;top:3095;width:7121;height:965" type="#_x0000_t75" stroked="false">
              <v:imagedata r:id="rId711" o:title=""/>
            </v:shape>
            <v:line style="position:absolute" from="1304,4051" to="1304,4421" stroked="true" strokeweight=".359997pt" strokecolor="#ffffff">
              <v:stroke dashstyle="solid"/>
            </v:line>
            <v:shape style="position:absolute;left:494;top:4046;width:3646;height:785" type="#_x0000_t75" stroked="false">
              <v:imagedata r:id="rId427" o:title=""/>
            </v:shape>
            <v:shape style="position:absolute;left:4132;top:3669;width:7121;height:2122" type="#_x0000_t75" stroked="false">
              <v:imagedata r:id="rId712" o:title=""/>
            </v:shape>
            <v:line style="position:absolute" from="1304,4822" to="1304,5191" stroked="true" strokeweight=".359997pt" strokecolor="#ffffff">
              <v:stroke dashstyle="solid"/>
            </v:line>
            <v:shape style="position:absolute;left:494;top:4816;width:3646;height:3063" type="#_x0000_t75" stroked="false">
              <v:imagedata r:id="rId431" o:title=""/>
            </v:shape>
            <w10:wrap type="none"/>
          </v:group>
        </w:pict>
      </w:r>
      <w:r>
        <w:rPr>
          <w:b/>
          <w:w w:val="105"/>
          <w:sz w:val="14"/>
        </w:rPr>
        <w:t>B. EXPENDITURES</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3"/>
        <w:rPr>
          <w:b/>
          <w:sz w:val="19"/>
        </w:rPr>
      </w:pPr>
    </w:p>
    <w:p>
      <w:pPr>
        <w:spacing w:before="99"/>
        <w:ind w:left="370" w:right="0" w:firstLine="0"/>
        <w:jc w:val="left"/>
        <w:rPr>
          <w:b/>
          <w:sz w:val="14"/>
        </w:rPr>
      </w:pPr>
      <w:r>
        <w:rPr/>
        <w:pict>
          <v:shape style="position:absolute;margin-left:32.181297pt;margin-top:-174.26973pt;width:531.25pt;height:207.15pt;mso-position-horizontal-relative:page;mso-position-vertical-relative:paragraph;z-index:252099584"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35"/>
                    <w:gridCol w:w="2379"/>
                    <w:gridCol w:w="1577"/>
                    <w:gridCol w:w="1423"/>
                    <w:gridCol w:w="1111"/>
                  </w:tblGrid>
                  <w:tr>
                    <w:trPr>
                      <w:trHeight w:val="268" w:hRule="atLeast"/>
                    </w:trPr>
                    <w:tc>
                      <w:tcPr>
                        <w:tcW w:w="4135" w:type="dxa"/>
                      </w:tcPr>
                      <w:p>
                        <w:pPr>
                          <w:pStyle w:val="TableParagraph"/>
                          <w:spacing w:line="160" w:lineRule="exact"/>
                          <w:ind w:left="50"/>
                          <w:rPr>
                            <w:sz w:val="14"/>
                          </w:rPr>
                        </w:pPr>
                        <w:r>
                          <w:rPr>
                            <w:w w:val="105"/>
                            <w:sz w:val="14"/>
                          </w:rPr>
                          <w:t>1) Certificated Salaries</w:t>
                        </w:r>
                      </w:p>
                    </w:tc>
                    <w:tc>
                      <w:tcPr>
                        <w:tcW w:w="2379" w:type="dxa"/>
                      </w:tcPr>
                      <w:p>
                        <w:pPr>
                          <w:pStyle w:val="TableParagraph"/>
                          <w:spacing w:line="160" w:lineRule="exact"/>
                          <w:ind w:right="619"/>
                          <w:jc w:val="right"/>
                          <w:rPr>
                            <w:sz w:val="14"/>
                          </w:rPr>
                        </w:pPr>
                        <w:r>
                          <w:rPr>
                            <w:sz w:val="14"/>
                          </w:rPr>
                          <w:t>1000-1999</w:t>
                        </w:r>
                      </w:p>
                    </w:tc>
                    <w:tc>
                      <w:tcPr>
                        <w:tcW w:w="1577" w:type="dxa"/>
                      </w:tcPr>
                      <w:p>
                        <w:pPr>
                          <w:pStyle w:val="TableParagraph"/>
                          <w:spacing w:line="160" w:lineRule="exact"/>
                          <w:ind w:right="615"/>
                          <w:jc w:val="right"/>
                          <w:rPr>
                            <w:sz w:val="14"/>
                          </w:rPr>
                        </w:pPr>
                        <w:r>
                          <w:rPr>
                            <w:sz w:val="14"/>
                          </w:rPr>
                          <w:t>0.00</w:t>
                        </w:r>
                      </w:p>
                    </w:tc>
                    <w:tc>
                      <w:tcPr>
                        <w:tcW w:w="1423" w:type="dxa"/>
                      </w:tcPr>
                      <w:p>
                        <w:pPr>
                          <w:pStyle w:val="TableParagraph"/>
                          <w:spacing w:line="160" w:lineRule="exact"/>
                          <w:ind w:right="526"/>
                          <w:jc w:val="right"/>
                          <w:rPr>
                            <w:sz w:val="14"/>
                          </w:rPr>
                        </w:pPr>
                        <w:r>
                          <w:rPr>
                            <w:sz w:val="14"/>
                          </w:rPr>
                          <w:t>0.00</w:t>
                        </w:r>
                      </w:p>
                    </w:tc>
                    <w:tc>
                      <w:tcPr>
                        <w:tcW w:w="1111" w:type="dxa"/>
                      </w:tcPr>
                      <w:p>
                        <w:pPr>
                          <w:pStyle w:val="TableParagraph"/>
                          <w:spacing w:line="160" w:lineRule="exact"/>
                          <w:ind w:right="48"/>
                          <w:jc w:val="right"/>
                          <w:rPr>
                            <w:sz w:val="14"/>
                          </w:rPr>
                        </w:pPr>
                        <w:r>
                          <w:rPr>
                            <w:sz w:val="14"/>
                          </w:rPr>
                          <w:t>0.0%</w:t>
                        </w:r>
                      </w:p>
                    </w:tc>
                  </w:tr>
                  <w:tr>
                    <w:trPr>
                      <w:trHeight w:val="376" w:hRule="atLeast"/>
                    </w:trPr>
                    <w:tc>
                      <w:tcPr>
                        <w:tcW w:w="4135" w:type="dxa"/>
                      </w:tcPr>
                      <w:p>
                        <w:pPr>
                          <w:pStyle w:val="TableParagraph"/>
                          <w:spacing w:before="107"/>
                          <w:ind w:left="50"/>
                          <w:rPr>
                            <w:sz w:val="14"/>
                          </w:rPr>
                        </w:pPr>
                        <w:r>
                          <w:rPr>
                            <w:w w:val="105"/>
                            <w:sz w:val="14"/>
                          </w:rPr>
                          <w:t>2) Classified Salaries</w:t>
                        </w:r>
                      </w:p>
                    </w:tc>
                    <w:tc>
                      <w:tcPr>
                        <w:tcW w:w="2379" w:type="dxa"/>
                      </w:tcPr>
                      <w:p>
                        <w:pPr>
                          <w:pStyle w:val="TableParagraph"/>
                          <w:spacing w:before="107"/>
                          <w:ind w:right="619"/>
                          <w:jc w:val="right"/>
                          <w:rPr>
                            <w:sz w:val="14"/>
                          </w:rPr>
                        </w:pPr>
                        <w:r>
                          <w:rPr>
                            <w:sz w:val="14"/>
                          </w:rPr>
                          <w:t>2000-2999</w:t>
                        </w:r>
                      </w:p>
                    </w:tc>
                    <w:tc>
                      <w:tcPr>
                        <w:tcW w:w="1577" w:type="dxa"/>
                      </w:tcPr>
                      <w:p>
                        <w:pPr>
                          <w:pStyle w:val="TableParagraph"/>
                          <w:spacing w:before="107"/>
                          <w:ind w:right="615"/>
                          <w:jc w:val="right"/>
                          <w:rPr>
                            <w:sz w:val="14"/>
                          </w:rPr>
                        </w:pPr>
                        <w:r>
                          <w:rPr>
                            <w:sz w:val="14"/>
                          </w:rPr>
                          <w:t>0.00</w:t>
                        </w:r>
                      </w:p>
                    </w:tc>
                    <w:tc>
                      <w:tcPr>
                        <w:tcW w:w="1423" w:type="dxa"/>
                      </w:tcPr>
                      <w:p>
                        <w:pPr>
                          <w:pStyle w:val="TableParagraph"/>
                          <w:spacing w:before="107"/>
                          <w:ind w:right="526"/>
                          <w:jc w:val="right"/>
                          <w:rPr>
                            <w:sz w:val="14"/>
                          </w:rPr>
                        </w:pPr>
                        <w:r>
                          <w:rPr>
                            <w:sz w:val="14"/>
                          </w:rPr>
                          <w:t>0.00</w:t>
                        </w:r>
                      </w:p>
                    </w:tc>
                    <w:tc>
                      <w:tcPr>
                        <w:tcW w:w="1111" w:type="dxa"/>
                      </w:tcPr>
                      <w:p>
                        <w:pPr>
                          <w:pStyle w:val="TableParagraph"/>
                          <w:spacing w:before="107"/>
                          <w:ind w:right="48"/>
                          <w:jc w:val="right"/>
                          <w:rPr>
                            <w:sz w:val="14"/>
                          </w:rPr>
                        </w:pPr>
                        <w:r>
                          <w:rPr>
                            <w:sz w:val="14"/>
                          </w:rPr>
                          <w:t>0.0%</w:t>
                        </w:r>
                      </w:p>
                    </w:tc>
                  </w:tr>
                  <w:tr>
                    <w:trPr>
                      <w:trHeight w:val="376" w:hRule="atLeast"/>
                    </w:trPr>
                    <w:tc>
                      <w:tcPr>
                        <w:tcW w:w="4135" w:type="dxa"/>
                      </w:tcPr>
                      <w:p>
                        <w:pPr>
                          <w:pStyle w:val="TableParagraph"/>
                          <w:spacing w:before="107"/>
                          <w:ind w:left="50"/>
                          <w:rPr>
                            <w:sz w:val="14"/>
                          </w:rPr>
                        </w:pPr>
                        <w:r>
                          <w:rPr>
                            <w:w w:val="105"/>
                            <w:sz w:val="14"/>
                          </w:rPr>
                          <w:t>3) Employee Benefits</w:t>
                        </w:r>
                      </w:p>
                    </w:tc>
                    <w:tc>
                      <w:tcPr>
                        <w:tcW w:w="2379" w:type="dxa"/>
                      </w:tcPr>
                      <w:p>
                        <w:pPr>
                          <w:pStyle w:val="TableParagraph"/>
                          <w:spacing w:before="107"/>
                          <w:ind w:right="619"/>
                          <w:jc w:val="right"/>
                          <w:rPr>
                            <w:sz w:val="14"/>
                          </w:rPr>
                        </w:pPr>
                        <w:r>
                          <w:rPr>
                            <w:sz w:val="14"/>
                          </w:rPr>
                          <w:t>3000-3999</w:t>
                        </w:r>
                      </w:p>
                    </w:tc>
                    <w:tc>
                      <w:tcPr>
                        <w:tcW w:w="1577" w:type="dxa"/>
                      </w:tcPr>
                      <w:p>
                        <w:pPr>
                          <w:pStyle w:val="TableParagraph"/>
                          <w:spacing w:before="107"/>
                          <w:ind w:right="615"/>
                          <w:jc w:val="right"/>
                          <w:rPr>
                            <w:sz w:val="14"/>
                          </w:rPr>
                        </w:pPr>
                        <w:r>
                          <w:rPr>
                            <w:sz w:val="14"/>
                          </w:rPr>
                          <w:t>0.00</w:t>
                        </w:r>
                      </w:p>
                    </w:tc>
                    <w:tc>
                      <w:tcPr>
                        <w:tcW w:w="1423" w:type="dxa"/>
                      </w:tcPr>
                      <w:p>
                        <w:pPr>
                          <w:pStyle w:val="TableParagraph"/>
                          <w:spacing w:before="107"/>
                          <w:ind w:right="526"/>
                          <w:jc w:val="right"/>
                          <w:rPr>
                            <w:sz w:val="14"/>
                          </w:rPr>
                        </w:pPr>
                        <w:r>
                          <w:rPr>
                            <w:sz w:val="14"/>
                          </w:rPr>
                          <w:t>0.00</w:t>
                        </w:r>
                      </w:p>
                    </w:tc>
                    <w:tc>
                      <w:tcPr>
                        <w:tcW w:w="1111" w:type="dxa"/>
                      </w:tcPr>
                      <w:p>
                        <w:pPr>
                          <w:pStyle w:val="TableParagraph"/>
                          <w:spacing w:before="107"/>
                          <w:ind w:right="48"/>
                          <w:jc w:val="right"/>
                          <w:rPr>
                            <w:sz w:val="14"/>
                          </w:rPr>
                        </w:pPr>
                        <w:r>
                          <w:rPr>
                            <w:sz w:val="14"/>
                          </w:rPr>
                          <w:t>0.0%</w:t>
                        </w:r>
                      </w:p>
                    </w:tc>
                  </w:tr>
                  <w:tr>
                    <w:trPr>
                      <w:trHeight w:val="376" w:hRule="atLeast"/>
                    </w:trPr>
                    <w:tc>
                      <w:tcPr>
                        <w:tcW w:w="4135" w:type="dxa"/>
                      </w:tcPr>
                      <w:p>
                        <w:pPr>
                          <w:pStyle w:val="TableParagraph"/>
                          <w:spacing w:before="107"/>
                          <w:ind w:left="50"/>
                          <w:rPr>
                            <w:sz w:val="14"/>
                          </w:rPr>
                        </w:pPr>
                        <w:r>
                          <w:rPr>
                            <w:w w:val="105"/>
                            <w:sz w:val="14"/>
                          </w:rPr>
                          <w:t>4) Books and Supplies</w:t>
                        </w:r>
                      </w:p>
                    </w:tc>
                    <w:tc>
                      <w:tcPr>
                        <w:tcW w:w="2379" w:type="dxa"/>
                      </w:tcPr>
                      <w:p>
                        <w:pPr>
                          <w:pStyle w:val="TableParagraph"/>
                          <w:spacing w:before="107"/>
                          <w:ind w:right="619"/>
                          <w:jc w:val="right"/>
                          <w:rPr>
                            <w:sz w:val="14"/>
                          </w:rPr>
                        </w:pPr>
                        <w:r>
                          <w:rPr>
                            <w:sz w:val="14"/>
                          </w:rPr>
                          <w:t>4000-4999</w:t>
                        </w:r>
                      </w:p>
                    </w:tc>
                    <w:tc>
                      <w:tcPr>
                        <w:tcW w:w="1577" w:type="dxa"/>
                      </w:tcPr>
                      <w:p>
                        <w:pPr>
                          <w:pStyle w:val="TableParagraph"/>
                          <w:spacing w:before="107"/>
                          <w:ind w:right="615"/>
                          <w:jc w:val="right"/>
                          <w:rPr>
                            <w:sz w:val="14"/>
                          </w:rPr>
                        </w:pPr>
                        <w:r>
                          <w:rPr>
                            <w:sz w:val="14"/>
                          </w:rPr>
                          <w:t>0.00</w:t>
                        </w:r>
                      </w:p>
                    </w:tc>
                    <w:tc>
                      <w:tcPr>
                        <w:tcW w:w="1423" w:type="dxa"/>
                      </w:tcPr>
                      <w:p>
                        <w:pPr>
                          <w:pStyle w:val="TableParagraph"/>
                          <w:spacing w:before="107"/>
                          <w:ind w:right="526"/>
                          <w:jc w:val="right"/>
                          <w:rPr>
                            <w:sz w:val="14"/>
                          </w:rPr>
                        </w:pPr>
                        <w:r>
                          <w:rPr>
                            <w:sz w:val="14"/>
                          </w:rPr>
                          <w:t>0.00</w:t>
                        </w:r>
                      </w:p>
                    </w:tc>
                    <w:tc>
                      <w:tcPr>
                        <w:tcW w:w="1111" w:type="dxa"/>
                      </w:tcPr>
                      <w:p>
                        <w:pPr>
                          <w:pStyle w:val="TableParagraph"/>
                          <w:spacing w:before="107"/>
                          <w:ind w:right="48"/>
                          <w:jc w:val="right"/>
                          <w:rPr>
                            <w:sz w:val="14"/>
                          </w:rPr>
                        </w:pPr>
                        <w:r>
                          <w:rPr>
                            <w:sz w:val="14"/>
                          </w:rPr>
                          <w:t>0.0%</w:t>
                        </w:r>
                      </w:p>
                    </w:tc>
                  </w:tr>
                  <w:tr>
                    <w:trPr>
                      <w:trHeight w:val="376" w:hRule="atLeast"/>
                    </w:trPr>
                    <w:tc>
                      <w:tcPr>
                        <w:tcW w:w="4135" w:type="dxa"/>
                      </w:tcPr>
                      <w:p>
                        <w:pPr>
                          <w:pStyle w:val="TableParagraph"/>
                          <w:spacing w:before="107"/>
                          <w:ind w:left="50"/>
                          <w:rPr>
                            <w:sz w:val="14"/>
                          </w:rPr>
                        </w:pPr>
                        <w:r>
                          <w:rPr>
                            <w:w w:val="105"/>
                            <w:sz w:val="14"/>
                          </w:rPr>
                          <w:t>5) Services and Other Operating Expenditures</w:t>
                        </w:r>
                      </w:p>
                    </w:tc>
                    <w:tc>
                      <w:tcPr>
                        <w:tcW w:w="2379" w:type="dxa"/>
                      </w:tcPr>
                      <w:p>
                        <w:pPr>
                          <w:pStyle w:val="TableParagraph"/>
                          <w:spacing w:before="107"/>
                          <w:ind w:right="619"/>
                          <w:jc w:val="right"/>
                          <w:rPr>
                            <w:sz w:val="14"/>
                          </w:rPr>
                        </w:pPr>
                        <w:r>
                          <w:rPr>
                            <w:sz w:val="14"/>
                          </w:rPr>
                          <w:t>5000-5999</w:t>
                        </w:r>
                      </w:p>
                    </w:tc>
                    <w:tc>
                      <w:tcPr>
                        <w:tcW w:w="1577" w:type="dxa"/>
                      </w:tcPr>
                      <w:p>
                        <w:pPr>
                          <w:pStyle w:val="TableParagraph"/>
                          <w:spacing w:before="107"/>
                          <w:ind w:right="615"/>
                          <w:jc w:val="right"/>
                          <w:rPr>
                            <w:sz w:val="14"/>
                          </w:rPr>
                        </w:pPr>
                        <w:r>
                          <w:rPr>
                            <w:sz w:val="14"/>
                          </w:rPr>
                          <w:t>0.00</w:t>
                        </w:r>
                      </w:p>
                    </w:tc>
                    <w:tc>
                      <w:tcPr>
                        <w:tcW w:w="1423" w:type="dxa"/>
                      </w:tcPr>
                      <w:p>
                        <w:pPr>
                          <w:pStyle w:val="TableParagraph"/>
                          <w:spacing w:before="107"/>
                          <w:ind w:right="526"/>
                          <w:jc w:val="right"/>
                          <w:rPr>
                            <w:sz w:val="14"/>
                          </w:rPr>
                        </w:pPr>
                        <w:r>
                          <w:rPr>
                            <w:sz w:val="14"/>
                          </w:rPr>
                          <w:t>0.00</w:t>
                        </w:r>
                      </w:p>
                    </w:tc>
                    <w:tc>
                      <w:tcPr>
                        <w:tcW w:w="1111" w:type="dxa"/>
                      </w:tcPr>
                      <w:p>
                        <w:pPr>
                          <w:pStyle w:val="TableParagraph"/>
                          <w:spacing w:before="107"/>
                          <w:ind w:right="48"/>
                          <w:jc w:val="right"/>
                          <w:rPr>
                            <w:sz w:val="14"/>
                          </w:rPr>
                        </w:pPr>
                        <w:r>
                          <w:rPr>
                            <w:sz w:val="14"/>
                          </w:rPr>
                          <w:t>0.0%</w:t>
                        </w:r>
                      </w:p>
                    </w:tc>
                  </w:tr>
                  <w:tr>
                    <w:trPr>
                      <w:trHeight w:val="376" w:hRule="atLeast"/>
                    </w:trPr>
                    <w:tc>
                      <w:tcPr>
                        <w:tcW w:w="4135" w:type="dxa"/>
                      </w:tcPr>
                      <w:p>
                        <w:pPr>
                          <w:pStyle w:val="TableParagraph"/>
                          <w:spacing w:before="107"/>
                          <w:ind w:left="50"/>
                          <w:rPr>
                            <w:sz w:val="14"/>
                          </w:rPr>
                        </w:pPr>
                        <w:r>
                          <w:rPr>
                            <w:w w:val="105"/>
                            <w:sz w:val="14"/>
                          </w:rPr>
                          <w:t>6) Capital Outlay</w:t>
                        </w:r>
                      </w:p>
                    </w:tc>
                    <w:tc>
                      <w:tcPr>
                        <w:tcW w:w="2379" w:type="dxa"/>
                      </w:tcPr>
                      <w:p>
                        <w:pPr>
                          <w:pStyle w:val="TableParagraph"/>
                          <w:spacing w:before="107"/>
                          <w:ind w:right="619"/>
                          <w:jc w:val="right"/>
                          <w:rPr>
                            <w:sz w:val="14"/>
                          </w:rPr>
                        </w:pPr>
                        <w:r>
                          <w:rPr>
                            <w:sz w:val="14"/>
                          </w:rPr>
                          <w:t>6000-6999</w:t>
                        </w:r>
                      </w:p>
                    </w:tc>
                    <w:tc>
                      <w:tcPr>
                        <w:tcW w:w="1577" w:type="dxa"/>
                      </w:tcPr>
                      <w:p>
                        <w:pPr>
                          <w:pStyle w:val="TableParagraph"/>
                          <w:spacing w:before="107"/>
                          <w:ind w:right="615"/>
                          <w:jc w:val="right"/>
                          <w:rPr>
                            <w:sz w:val="14"/>
                          </w:rPr>
                        </w:pPr>
                        <w:r>
                          <w:rPr>
                            <w:sz w:val="14"/>
                          </w:rPr>
                          <w:t>0.00</w:t>
                        </w:r>
                      </w:p>
                    </w:tc>
                    <w:tc>
                      <w:tcPr>
                        <w:tcW w:w="1423" w:type="dxa"/>
                      </w:tcPr>
                      <w:p>
                        <w:pPr>
                          <w:pStyle w:val="TableParagraph"/>
                          <w:spacing w:before="107"/>
                          <w:ind w:right="526"/>
                          <w:jc w:val="right"/>
                          <w:rPr>
                            <w:sz w:val="14"/>
                          </w:rPr>
                        </w:pPr>
                        <w:r>
                          <w:rPr>
                            <w:sz w:val="14"/>
                          </w:rPr>
                          <w:t>0.00</w:t>
                        </w:r>
                      </w:p>
                    </w:tc>
                    <w:tc>
                      <w:tcPr>
                        <w:tcW w:w="1111" w:type="dxa"/>
                      </w:tcPr>
                      <w:p>
                        <w:pPr>
                          <w:pStyle w:val="TableParagraph"/>
                          <w:spacing w:before="107"/>
                          <w:ind w:right="48"/>
                          <w:jc w:val="right"/>
                          <w:rPr>
                            <w:sz w:val="14"/>
                          </w:rPr>
                        </w:pPr>
                        <w:r>
                          <w:rPr>
                            <w:sz w:val="14"/>
                          </w:rPr>
                          <w:t>0.0%</w:t>
                        </w:r>
                      </w:p>
                    </w:tc>
                  </w:tr>
                  <w:tr>
                    <w:trPr>
                      <w:trHeight w:val="286" w:hRule="atLeast"/>
                    </w:trPr>
                    <w:tc>
                      <w:tcPr>
                        <w:tcW w:w="4135" w:type="dxa"/>
                      </w:tcPr>
                      <w:p>
                        <w:pPr>
                          <w:pStyle w:val="TableParagraph"/>
                          <w:spacing w:line="160" w:lineRule="exact" w:before="107"/>
                          <w:ind w:left="50"/>
                          <w:rPr>
                            <w:sz w:val="14"/>
                          </w:rPr>
                        </w:pPr>
                        <w:r>
                          <w:rPr>
                            <w:w w:val="105"/>
                            <w:sz w:val="14"/>
                          </w:rPr>
                          <w:t>7) Other Outgo (excluding Transfers of Indirect</w:t>
                        </w:r>
                      </w:p>
                    </w:tc>
                    <w:tc>
                      <w:tcPr>
                        <w:tcW w:w="2379" w:type="dxa"/>
                      </w:tcPr>
                      <w:p>
                        <w:pPr>
                          <w:pStyle w:val="TableParagraph"/>
                          <w:spacing w:line="160" w:lineRule="exact" w:before="107"/>
                          <w:ind w:right="600"/>
                          <w:jc w:val="right"/>
                          <w:rPr>
                            <w:sz w:val="14"/>
                          </w:rPr>
                        </w:pPr>
                        <w:r>
                          <w:rPr>
                            <w:sz w:val="14"/>
                          </w:rPr>
                          <w:t>7100-7299,</w:t>
                        </w:r>
                      </w:p>
                    </w:tc>
                    <w:tc>
                      <w:tcPr>
                        <w:tcW w:w="1577" w:type="dxa"/>
                      </w:tcPr>
                      <w:p>
                        <w:pPr>
                          <w:pStyle w:val="TableParagraph"/>
                          <w:rPr>
                            <w:rFonts w:ascii="Times New Roman"/>
                            <w:sz w:val="14"/>
                          </w:rPr>
                        </w:pPr>
                      </w:p>
                    </w:tc>
                    <w:tc>
                      <w:tcPr>
                        <w:tcW w:w="1423" w:type="dxa"/>
                      </w:tcPr>
                      <w:p>
                        <w:pPr>
                          <w:pStyle w:val="TableParagraph"/>
                          <w:rPr>
                            <w:rFonts w:ascii="Times New Roman"/>
                            <w:sz w:val="14"/>
                          </w:rPr>
                        </w:pPr>
                      </w:p>
                    </w:tc>
                    <w:tc>
                      <w:tcPr>
                        <w:tcW w:w="1111" w:type="dxa"/>
                      </w:tcPr>
                      <w:p>
                        <w:pPr>
                          <w:pStyle w:val="TableParagraph"/>
                          <w:rPr>
                            <w:rFonts w:ascii="Times New Roman"/>
                            <w:sz w:val="14"/>
                          </w:rPr>
                        </w:pPr>
                      </w:p>
                    </w:tc>
                  </w:tr>
                  <w:tr>
                    <w:trPr>
                      <w:trHeight w:val="286" w:hRule="atLeast"/>
                    </w:trPr>
                    <w:tc>
                      <w:tcPr>
                        <w:tcW w:w="4135" w:type="dxa"/>
                      </w:tcPr>
                      <w:p>
                        <w:pPr>
                          <w:pStyle w:val="TableParagraph"/>
                          <w:spacing w:before="17"/>
                          <w:ind w:left="253"/>
                          <w:rPr>
                            <w:sz w:val="14"/>
                          </w:rPr>
                        </w:pPr>
                        <w:r>
                          <w:rPr>
                            <w:w w:val="105"/>
                            <w:sz w:val="14"/>
                          </w:rPr>
                          <w:t>Costs)</w:t>
                        </w:r>
                      </w:p>
                    </w:tc>
                    <w:tc>
                      <w:tcPr>
                        <w:tcW w:w="2379" w:type="dxa"/>
                      </w:tcPr>
                      <w:p>
                        <w:pPr>
                          <w:pStyle w:val="TableParagraph"/>
                          <w:spacing w:before="17"/>
                          <w:ind w:right="619"/>
                          <w:jc w:val="right"/>
                          <w:rPr>
                            <w:sz w:val="14"/>
                          </w:rPr>
                        </w:pPr>
                        <w:r>
                          <w:rPr>
                            <w:sz w:val="14"/>
                          </w:rPr>
                          <w:t>7400-7499</w:t>
                        </w:r>
                      </w:p>
                    </w:tc>
                    <w:tc>
                      <w:tcPr>
                        <w:tcW w:w="1577" w:type="dxa"/>
                      </w:tcPr>
                      <w:p>
                        <w:pPr>
                          <w:pStyle w:val="TableParagraph"/>
                          <w:spacing w:before="17"/>
                          <w:ind w:right="615"/>
                          <w:jc w:val="right"/>
                          <w:rPr>
                            <w:sz w:val="14"/>
                          </w:rPr>
                        </w:pPr>
                        <w:r>
                          <w:rPr>
                            <w:sz w:val="14"/>
                          </w:rPr>
                          <w:t>0.00</w:t>
                        </w:r>
                      </w:p>
                    </w:tc>
                    <w:tc>
                      <w:tcPr>
                        <w:tcW w:w="1423" w:type="dxa"/>
                      </w:tcPr>
                      <w:p>
                        <w:pPr>
                          <w:pStyle w:val="TableParagraph"/>
                          <w:spacing w:before="17"/>
                          <w:ind w:right="526"/>
                          <w:jc w:val="right"/>
                          <w:rPr>
                            <w:sz w:val="14"/>
                          </w:rPr>
                        </w:pPr>
                        <w:r>
                          <w:rPr>
                            <w:sz w:val="14"/>
                          </w:rPr>
                          <w:t>0.00</w:t>
                        </w:r>
                      </w:p>
                    </w:tc>
                    <w:tc>
                      <w:tcPr>
                        <w:tcW w:w="1111" w:type="dxa"/>
                      </w:tcPr>
                      <w:p>
                        <w:pPr>
                          <w:pStyle w:val="TableParagraph"/>
                          <w:spacing w:before="17"/>
                          <w:ind w:right="48"/>
                          <w:jc w:val="right"/>
                          <w:rPr>
                            <w:sz w:val="14"/>
                          </w:rPr>
                        </w:pPr>
                        <w:r>
                          <w:rPr>
                            <w:sz w:val="14"/>
                          </w:rPr>
                          <w:t>0.0%</w:t>
                        </w:r>
                      </w:p>
                    </w:tc>
                  </w:tr>
                  <w:tr>
                    <w:trPr>
                      <w:trHeight w:val="376" w:hRule="atLeast"/>
                    </w:trPr>
                    <w:tc>
                      <w:tcPr>
                        <w:tcW w:w="4135" w:type="dxa"/>
                      </w:tcPr>
                      <w:p>
                        <w:pPr>
                          <w:pStyle w:val="TableParagraph"/>
                          <w:spacing w:before="107"/>
                          <w:ind w:left="50"/>
                          <w:rPr>
                            <w:sz w:val="14"/>
                          </w:rPr>
                        </w:pPr>
                        <w:r>
                          <w:rPr>
                            <w:w w:val="105"/>
                            <w:sz w:val="14"/>
                          </w:rPr>
                          <w:t>8) Other Outgo - Transfers of Indirect Costs</w:t>
                        </w:r>
                      </w:p>
                    </w:tc>
                    <w:tc>
                      <w:tcPr>
                        <w:tcW w:w="2379" w:type="dxa"/>
                      </w:tcPr>
                      <w:p>
                        <w:pPr>
                          <w:pStyle w:val="TableParagraph"/>
                          <w:spacing w:before="107"/>
                          <w:ind w:right="619"/>
                          <w:jc w:val="right"/>
                          <w:rPr>
                            <w:sz w:val="14"/>
                          </w:rPr>
                        </w:pPr>
                        <w:r>
                          <w:rPr>
                            <w:sz w:val="14"/>
                          </w:rPr>
                          <w:t>7300-7399</w:t>
                        </w:r>
                      </w:p>
                    </w:tc>
                    <w:tc>
                      <w:tcPr>
                        <w:tcW w:w="1577" w:type="dxa"/>
                      </w:tcPr>
                      <w:p>
                        <w:pPr>
                          <w:pStyle w:val="TableParagraph"/>
                          <w:spacing w:before="107"/>
                          <w:ind w:right="615"/>
                          <w:jc w:val="right"/>
                          <w:rPr>
                            <w:sz w:val="14"/>
                          </w:rPr>
                        </w:pPr>
                        <w:r>
                          <w:rPr>
                            <w:sz w:val="14"/>
                          </w:rPr>
                          <w:t>0.00</w:t>
                        </w:r>
                      </w:p>
                    </w:tc>
                    <w:tc>
                      <w:tcPr>
                        <w:tcW w:w="1423" w:type="dxa"/>
                      </w:tcPr>
                      <w:p>
                        <w:pPr>
                          <w:pStyle w:val="TableParagraph"/>
                          <w:spacing w:before="107"/>
                          <w:ind w:right="526"/>
                          <w:jc w:val="right"/>
                          <w:rPr>
                            <w:sz w:val="14"/>
                          </w:rPr>
                        </w:pPr>
                        <w:r>
                          <w:rPr>
                            <w:sz w:val="14"/>
                          </w:rPr>
                          <w:t>0.00</w:t>
                        </w:r>
                      </w:p>
                    </w:tc>
                    <w:tc>
                      <w:tcPr>
                        <w:tcW w:w="1111" w:type="dxa"/>
                      </w:tcPr>
                      <w:p>
                        <w:pPr>
                          <w:pStyle w:val="TableParagraph"/>
                          <w:spacing w:before="107"/>
                          <w:ind w:right="48"/>
                          <w:jc w:val="right"/>
                          <w:rPr>
                            <w:sz w:val="14"/>
                          </w:rPr>
                        </w:pPr>
                        <w:r>
                          <w:rPr>
                            <w:sz w:val="14"/>
                          </w:rPr>
                          <w:t>0.0%</w:t>
                        </w:r>
                      </w:p>
                    </w:tc>
                  </w:tr>
                  <w:tr>
                    <w:trPr>
                      <w:trHeight w:val="268" w:hRule="atLeast"/>
                    </w:trPr>
                    <w:tc>
                      <w:tcPr>
                        <w:tcW w:w="4135" w:type="dxa"/>
                      </w:tcPr>
                      <w:p>
                        <w:pPr>
                          <w:pStyle w:val="TableParagraph"/>
                          <w:spacing w:line="142" w:lineRule="exact" w:before="107"/>
                          <w:ind w:left="50"/>
                          <w:rPr>
                            <w:sz w:val="14"/>
                          </w:rPr>
                        </w:pPr>
                        <w:r>
                          <w:rPr>
                            <w:w w:val="105"/>
                            <w:sz w:val="14"/>
                          </w:rPr>
                          <w:t>9) TOTAL, EXPENDITURES</w:t>
                        </w:r>
                      </w:p>
                    </w:tc>
                    <w:tc>
                      <w:tcPr>
                        <w:tcW w:w="2379" w:type="dxa"/>
                      </w:tcPr>
                      <w:p>
                        <w:pPr>
                          <w:pStyle w:val="TableParagraph"/>
                          <w:rPr>
                            <w:rFonts w:ascii="Times New Roman"/>
                            <w:sz w:val="14"/>
                          </w:rPr>
                        </w:pPr>
                      </w:p>
                    </w:tc>
                    <w:tc>
                      <w:tcPr>
                        <w:tcW w:w="1577" w:type="dxa"/>
                      </w:tcPr>
                      <w:p>
                        <w:pPr>
                          <w:pStyle w:val="TableParagraph"/>
                          <w:spacing w:line="142" w:lineRule="exact" w:before="107"/>
                          <w:ind w:right="615"/>
                          <w:jc w:val="right"/>
                          <w:rPr>
                            <w:sz w:val="14"/>
                          </w:rPr>
                        </w:pPr>
                        <w:r>
                          <w:rPr>
                            <w:sz w:val="14"/>
                          </w:rPr>
                          <w:t>0.00</w:t>
                        </w:r>
                      </w:p>
                    </w:tc>
                    <w:tc>
                      <w:tcPr>
                        <w:tcW w:w="1423" w:type="dxa"/>
                      </w:tcPr>
                      <w:p>
                        <w:pPr>
                          <w:pStyle w:val="TableParagraph"/>
                          <w:spacing w:line="142" w:lineRule="exact" w:before="107"/>
                          <w:ind w:right="526"/>
                          <w:jc w:val="right"/>
                          <w:rPr>
                            <w:sz w:val="14"/>
                          </w:rPr>
                        </w:pPr>
                        <w:r>
                          <w:rPr>
                            <w:sz w:val="14"/>
                          </w:rPr>
                          <w:t>0.00</w:t>
                        </w:r>
                      </w:p>
                    </w:tc>
                    <w:tc>
                      <w:tcPr>
                        <w:tcW w:w="1111" w:type="dxa"/>
                      </w:tcPr>
                      <w:p>
                        <w:pPr>
                          <w:pStyle w:val="TableParagraph"/>
                          <w:spacing w:line="142" w:lineRule="exact" w:before="107"/>
                          <w:ind w:right="48"/>
                          <w:jc w:val="right"/>
                          <w:rPr>
                            <w:sz w:val="14"/>
                          </w:rPr>
                        </w:pPr>
                        <w:r>
                          <w:rPr>
                            <w:sz w:val="14"/>
                          </w:rPr>
                          <w:t>0.0%</w:t>
                        </w:r>
                      </w:p>
                    </w:tc>
                  </w:tr>
                  <w:tr>
                    <w:trPr>
                      <w:trHeight w:val="770" w:hRule="atLeast"/>
                    </w:trPr>
                    <w:tc>
                      <w:tcPr>
                        <w:tcW w:w="4135" w:type="dxa"/>
                      </w:tcPr>
                      <w:p>
                        <w:pPr>
                          <w:pStyle w:val="TableParagraph"/>
                          <w:spacing w:before="11"/>
                          <w:rPr>
                            <w:b/>
                            <w:sz w:val="15"/>
                          </w:rPr>
                        </w:pPr>
                      </w:p>
                      <w:p>
                        <w:pPr>
                          <w:pStyle w:val="TableParagraph"/>
                          <w:spacing w:line="190" w:lineRule="atLeast"/>
                          <w:ind w:left="89" w:right="947" w:hanging="100"/>
                          <w:rPr>
                            <w:b/>
                            <w:sz w:val="14"/>
                          </w:rPr>
                        </w:pPr>
                        <w:r>
                          <w:rPr>
                            <w:b/>
                            <w:w w:val="105"/>
                            <w:sz w:val="14"/>
                          </w:rPr>
                          <w:t>. EXCESS (DEFICIENCY) OF REVENUES OVER EXPENDITURES BEFORE OTHER FINANCING SOURCES AND USES (A5 - B9)</w:t>
                        </w:r>
                      </w:p>
                    </w:tc>
                    <w:tc>
                      <w:tcPr>
                        <w:tcW w:w="3956" w:type="dxa"/>
                        <w:gridSpan w:val="2"/>
                      </w:tcPr>
                      <w:p>
                        <w:pPr>
                          <w:pStyle w:val="TableParagraph"/>
                          <w:rPr>
                            <w:b/>
                            <w:sz w:val="16"/>
                          </w:rPr>
                        </w:pPr>
                      </w:p>
                      <w:p>
                        <w:pPr>
                          <w:pStyle w:val="TableParagraph"/>
                          <w:rPr>
                            <w:b/>
                            <w:sz w:val="16"/>
                          </w:rPr>
                        </w:pPr>
                      </w:p>
                      <w:p>
                        <w:pPr>
                          <w:pStyle w:val="TableParagraph"/>
                          <w:spacing w:before="10"/>
                          <w:rPr>
                            <w:b/>
                            <w:sz w:val="20"/>
                          </w:rPr>
                        </w:pPr>
                      </w:p>
                      <w:p>
                        <w:pPr>
                          <w:pStyle w:val="TableParagraph"/>
                          <w:spacing w:line="142" w:lineRule="exact"/>
                          <w:ind w:right="614"/>
                          <w:jc w:val="right"/>
                          <w:rPr>
                            <w:sz w:val="14"/>
                          </w:rPr>
                        </w:pPr>
                        <w:r>
                          <w:rPr>
                            <w:sz w:val="14"/>
                          </w:rPr>
                          <w:t>20.00</w:t>
                        </w:r>
                      </w:p>
                    </w:tc>
                    <w:tc>
                      <w:tcPr>
                        <w:tcW w:w="1423" w:type="dxa"/>
                      </w:tcPr>
                      <w:p>
                        <w:pPr>
                          <w:pStyle w:val="TableParagraph"/>
                          <w:rPr>
                            <w:b/>
                            <w:sz w:val="16"/>
                          </w:rPr>
                        </w:pPr>
                      </w:p>
                      <w:p>
                        <w:pPr>
                          <w:pStyle w:val="TableParagraph"/>
                          <w:rPr>
                            <w:b/>
                            <w:sz w:val="16"/>
                          </w:rPr>
                        </w:pPr>
                      </w:p>
                      <w:p>
                        <w:pPr>
                          <w:pStyle w:val="TableParagraph"/>
                          <w:spacing w:before="10"/>
                          <w:rPr>
                            <w:b/>
                            <w:sz w:val="20"/>
                          </w:rPr>
                        </w:pPr>
                      </w:p>
                      <w:p>
                        <w:pPr>
                          <w:pStyle w:val="TableParagraph"/>
                          <w:spacing w:line="142" w:lineRule="exact"/>
                          <w:ind w:right="526"/>
                          <w:jc w:val="right"/>
                          <w:rPr>
                            <w:sz w:val="14"/>
                          </w:rPr>
                        </w:pPr>
                        <w:r>
                          <w:rPr>
                            <w:sz w:val="14"/>
                          </w:rPr>
                          <w:t>0.00</w:t>
                        </w:r>
                      </w:p>
                    </w:tc>
                    <w:tc>
                      <w:tcPr>
                        <w:tcW w:w="1111" w:type="dxa"/>
                      </w:tcPr>
                      <w:p>
                        <w:pPr>
                          <w:pStyle w:val="TableParagraph"/>
                          <w:rPr>
                            <w:b/>
                            <w:sz w:val="16"/>
                          </w:rPr>
                        </w:pPr>
                      </w:p>
                      <w:p>
                        <w:pPr>
                          <w:pStyle w:val="TableParagraph"/>
                          <w:rPr>
                            <w:b/>
                            <w:sz w:val="16"/>
                          </w:rPr>
                        </w:pPr>
                      </w:p>
                      <w:p>
                        <w:pPr>
                          <w:pStyle w:val="TableParagraph"/>
                          <w:spacing w:before="10"/>
                          <w:rPr>
                            <w:b/>
                            <w:sz w:val="20"/>
                          </w:rPr>
                        </w:pPr>
                      </w:p>
                      <w:p>
                        <w:pPr>
                          <w:pStyle w:val="TableParagraph"/>
                          <w:spacing w:line="142" w:lineRule="exact"/>
                          <w:ind w:right="48"/>
                          <w:jc w:val="right"/>
                          <w:rPr>
                            <w:sz w:val="14"/>
                          </w:rPr>
                        </w:pPr>
                        <w:r>
                          <w:rPr>
                            <w:sz w:val="14"/>
                          </w:rPr>
                          <w:t>-100.0%</w:t>
                        </w:r>
                      </w:p>
                    </w:tc>
                  </w:tr>
                </w:tbl>
                <w:p>
                  <w:pPr>
                    <w:pStyle w:val="BodyText"/>
                  </w:pPr>
                </w:p>
              </w:txbxContent>
            </v:textbox>
            <w10:wrap type="none"/>
          </v:shape>
        </w:pict>
      </w:r>
      <w:r>
        <w:rPr>
          <w:b/>
          <w:w w:val="102"/>
          <w:sz w:val="14"/>
        </w:rPr>
        <w:t>C</w:t>
      </w:r>
    </w:p>
    <w:p>
      <w:pPr>
        <w:pStyle w:val="BodyText"/>
        <w:rPr>
          <w:b/>
          <w:sz w:val="16"/>
        </w:rPr>
      </w:pPr>
    </w:p>
    <w:p>
      <w:pPr>
        <w:pStyle w:val="BodyText"/>
        <w:rPr>
          <w:b/>
          <w:sz w:val="16"/>
        </w:rPr>
      </w:pPr>
    </w:p>
    <w:p>
      <w:pPr>
        <w:pStyle w:val="BodyText"/>
        <w:rPr>
          <w:b/>
          <w:sz w:val="21"/>
        </w:rPr>
      </w:pPr>
    </w:p>
    <w:p>
      <w:pPr>
        <w:spacing w:before="0"/>
        <w:ind w:left="370" w:right="0" w:firstLine="0"/>
        <w:jc w:val="left"/>
        <w:rPr>
          <w:b/>
          <w:sz w:val="14"/>
        </w:rPr>
      </w:pPr>
      <w:r>
        <w:rPr/>
        <w:pict>
          <v:group style="position:absolute;margin-left:206.639984pt;margin-top:27.805944pt;width:356.05pt;height:114.6pt;mso-position-horizontal-relative:page;mso-position-vertical-relative:paragraph;z-index:-314268672" coordorigin="4133,556" coordsize="7121,2292">
            <v:shape style="position:absolute;left:6674;top:556;width:4580;height:581" type="#_x0000_t75" stroked="false">
              <v:imagedata r:id="rId429" o:title=""/>
            </v:shape>
            <v:shape style="position:absolute;left:6674;top:752;width:4580;height:958" type="#_x0000_t75" stroked="false">
              <v:imagedata r:id="rId430" o:title=""/>
            </v:shape>
            <v:shape style="position:absolute;left:6674;top:1506;width:4580;height:581" type="#_x0000_t75" stroked="false">
              <v:imagedata r:id="rId429" o:title=""/>
            </v:shape>
            <v:shape style="position:absolute;left:8186;top:1703;width:3068;height:384" type="#_x0000_t75" stroked="false">
              <v:imagedata r:id="rId583" o:title=""/>
            </v:shape>
            <v:shape style="position:absolute;left:6674;top:2080;width:1520;height:384" type="#_x0000_t75" stroked="false">
              <v:imagedata r:id="rId584" o:title=""/>
            </v:shape>
            <v:shape style="position:absolute;left:8186;top:2080;width:1520;height:384" type="#_x0000_t75" stroked="false">
              <v:imagedata r:id="rId584" o:title=""/>
            </v:shape>
            <v:rect style="position:absolute;left:9703;top:2084;width:1541;height:377" filled="true" fillcolor="#dfdfdf" stroked="false">
              <v:fill type="solid"/>
            </v:rect>
            <v:shape style="position:absolute;left:4132;top:2080;width:7121;height:768" type="#_x0000_t75" stroked="false">
              <v:imagedata r:id="rId585" o:title=""/>
            </v:shape>
            <v:shape style="position:absolute;left:9698;top:2456;width:1556;height:392" type="#_x0000_t75" stroked="false">
              <v:imagedata r:id="rId586" o:title=""/>
            </v:shape>
            <w10:wrap type="none"/>
          </v:group>
        </w:pict>
      </w:r>
      <w:r>
        <w:rPr>
          <w:b/>
          <w:w w:val="105"/>
          <w:sz w:val="14"/>
        </w:rPr>
        <w:t>D. OTHER FINANCING SOURCES/USES</w:t>
      </w:r>
    </w:p>
    <w:p>
      <w:pPr>
        <w:pStyle w:val="BodyText"/>
        <w:spacing w:before="6"/>
        <w:rPr>
          <w:b/>
          <w:sz w:val="20"/>
        </w:rPr>
      </w:pPr>
    </w:p>
    <w:tbl>
      <w:tblPr>
        <w:tblW w:w="0" w:type="auto"/>
        <w:jc w:val="left"/>
        <w:tblInd w:w="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47"/>
        <w:gridCol w:w="2296"/>
        <w:gridCol w:w="1546"/>
        <w:gridCol w:w="1526"/>
        <w:gridCol w:w="1007"/>
      </w:tblGrid>
      <w:tr>
        <w:trPr>
          <w:trHeight w:val="465" w:hRule="atLeast"/>
        </w:trPr>
        <w:tc>
          <w:tcPr>
            <w:tcW w:w="4247" w:type="dxa"/>
          </w:tcPr>
          <w:p>
            <w:pPr>
              <w:pStyle w:val="TableParagraph"/>
              <w:numPr>
                <w:ilvl w:val="0"/>
                <w:numId w:val="36"/>
              </w:numPr>
              <w:tabs>
                <w:tab w:pos="217" w:val="left" w:leader="none"/>
              </w:tabs>
              <w:spacing w:line="160" w:lineRule="exact" w:before="0" w:after="0"/>
              <w:ind w:left="216" w:right="0" w:hanging="167"/>
              <w:jc w:val="left"/>
              <w:rPr>
                <w:sz w:val="14"/>
              </w:rPr>
            </w:pPr>
            <w:r>
              <w:rPr>
                <w:w w:val="105"/>
                <w:sz w:val="14"/>
              </w:rPr>
              <w:t>Interfund</w:t>
            </w:r>
            <w:r>
              <w:rPr>
                <w:spacing w:val="-3"/>
                <w:w w:val="105"/>
                <w:sz w:val="14"/>
              </w:rPr>
              <w:t> </w:t>
            </w:r>
            <w:r>
              <w:rPr>
                <w:w w:val="105"/>
                <w:sz w:val="14"/>
              </w:rPr>
              <w:t>Transfers</w:t>
            </w:r>
          </w:p>
          <w:p>
            <w:pPr>
              <w:pStyle w:val="TableParagraph"/>
              <w:numPr>
                <w:ilvl w:val="1"/>
                <w:numId w:val="36"/>
              </w:numPr>
              <w:tabs>
                <w:tab w:pos="381" w:val="left" w:leader="none"/>
              </w:tabs>
              <w:spacing w:line="240" w:lineRule="auto" w:before="36" w:after="0"/>
              <w:ind w:left="380" w:right="0" w:hanging="168"/>
              <w:jc w:val="left"/>
              <w:rPr>
                <w:sz w:val="14"/>
              </w:rPr>
            </w:pPr>
            <w:r>
              <w:rPr>
                <w:w w:val="105"/>
                <w:sz w:val="14"/>
              </w:rPr>
              <w:t>Transfers</w:t>
            </w:r>
            <w:r>
              <w:rPr>
                <w:spacing w:val="-2"/>
                <w:w w:val="105"/>
                <w:sz w:val="14"/>
              </w:rPr>
              <w:t> </w:t>
            </w:r>
            <w:r>
              <w:rPr>
                <w:w w:val="105"/>
                <w:sz w:val="14"/>
              </w:rPr>
              <w:t>In</w:t>
            </w:r>
          </w:p>
        </w:tc>
        <w:tc>
          <w:tcPr>
            <w:tcW w:w="2296" w:type="dxa"/>
          </w:tcPr>
          <w:p>
            <w:pPr>
              <w:pStyle w:val="TableParagraph"/>
              <w:rPr>
                <w:b/>
                <w:sz w:val="17"/>
              </w:rPr>
            </w:pPr>
          </w:p>
          <w:p>
            <w:pPr>
              <w:pStyle w:val="TableParagraph"/>
              <w:ind w:right="648"/>
              <w:jc w:val="right"/>
              <w:rPr>
                <w:sz w:val="14"/>
              </w:rPr>
            </w:pPr>
            <w:r>
              <w:rPr>
                <w:sz w:val="14"/>
              </w:rPr>
              <w:t>8900-8929</w:t>
            </w:r>
          </w:p>
        </w:tc>
        <w:tc>
          <w:tcPr>
            <w:tcW w:w="1546" w:type="dxa"/>
          </w:tcPr>
          <w:p>
            <w:pPr>
              <w:pStyle w:val="TableParagraph"/>
              <w:rPr>
                <w:b/>
                <w:sz w:val="17"/>
              </w:rPr>
            </w:pPr>
          </w:p>
          <w:p>
            <w:pPr>
              <w:pStyle w:val="TableParagraph"/>
              <w:ind w:left="627" w:right="591"/>
              <w:jc w:val="center"/>
              <w:rPr>
                <w:sz w:val="14"/>
              </w:rPr>
            </w:pPr>
            <w:r>
              <w:rPr>
                <w:w w:val="105"/>
                <w:sz w:val="14"/>
              </w:rPr>
              <w:t>0.00</w:t>
            </w:r>
          </w:p>
        </w:tc>
        <w:tc>
          <w:tcPr>
            <w:tcW w:w="1526" w:type="dxa"/>
          </w:tcPr>
          <w:p>
            <w:pPr>
              <w:pStyle w:val="TableParagraph"/>
              <w:rPr>
                <w:b/>
                <w:sz w:val="17"/>
              </w:rPr>
            </w:pPr>
          </w:p>
          <w:p>
            <w:pPr>
              <w:pStyle w:val="TableParagraph"/>
              <w:ind w:left="593" w:right="602"/>
              <w:jc w:val="center"/>
              <w:rPr>
                <w:sz w:val="14"/>
              </w:rPr>
            </w:pPr>
            <w:r>
              <w:rPr>
                <w:w w:val="105"/>
                <w:sz w:val="14"/>
              </w:rPr>
              <w:t>0.00</w:t>
            </w:r>
          </w:p>
        </w:tc>
        <w:tc>
          <w:tcPr>
            <w:tcW w:w="1007" w:type="dxa"/>
          </w:tcPr>
          <w:p>
            <w:pPr>
              <w:pStyle w:val="TableParagraph"/>
              <w:rPr>
                <w:b/>
                <w:sz w:val="17"/>
              </w:rPr>
            </w:pPr>
          </w:p>
          <w:p>
            <w:pPr>
              <w:pStyle w:val="TableParagraph"/>
              <w:ind w:right="45"/>
              <w:jc w:val="right"/>
              <w:rPr>
                <w:sz w:val="14"/>
              </w:rPr>
            </w:pPr>
            <w:r>
              <w:rPr>
                <w:sz w:val="14"/>
              </w:rPr>
              <w:t>0.0%</w:t>
            </w:r>
          </w:p>
        </w:tc>
      </w:tr>
      <w:tr>
        <w:trPr>
          <w:trHeight w:val="376" w:hRule="atLeast"/>
        </w:trPr>
        <w:tc>
          <w:tcPr>
            <w:tcW w:w="4247" w:type="dxa"/>
          </w:tcPr>
          <w:p>
            <w:pPr>
              <w:pStyle w:val="TableParagraph"/>
              <w:spacing w:before="107"/>
              <w:ind w:left="213"/>
              <w:rPr>
                <w:sz w:val="14"/>
              </w:rPr>
            </w:pPr>
            <w:r>
              <w:rPr>
                <w:w w:val="105"/>
                <w:sz w:val="14"/>
              </w:rPr>
              <w:t>b) Transfers Out</w:t>
            </w:r>
          </w:p>
        </w:tc>
        <w:tc>
          <w:tcPr>
            <w:tcW w:w="2296" w:type="dxa"/>
          </w:tcPr>
          <w:p>
            <w:pPr>
              <w:pStyle w:val="TableParagraph"/>
              <w:spacing w:before="107"/>
              <w:ind w:right="648"/>
              <w:jc w:val="right"/>
              <w:rPr>
                <w:sz w:val="14"/>
              </w:rPr>
            </w:pPr>
            <w:r>
              <w:rPr>
                <w:sz w:val="14"/>
              </w:rPr>
              <w:t>7600-7629</w:t>
            </w:r>
          </w:p>
        </w:tc>
        <w:tc>
          <w:tcPr>
            <w:tcW w:w="1546" w:type="dxa"/>
          </w:tcPr>
          <w:p>
            <w:pPr>
              <w:pStyle w:val="TableParagraph"/>
              <w:spacing w:before="107"/>
              <w:ind w:left="627" w:right="591"/>
              <w:jc w:val="center"/>
              <w:rPr>
                <w:sz w:val="14"/>
              </w:rPr>
            </w:pPr>
            <w:r>
              <w:rPr>
                <w:w w:val="105"/>
                <w:sz w:val="14"/>
              </w:rPr>
              <w:t>0.00</w:t>
            </w:r>
          </w:p>
        </w:tc>
        <w:tc>
          <w:tcPr>
            <w:tcW w:w="1526" w:type="dxa"/>
          </w:tcPr>
          <w:p>
            <w:pPr>
              <w:pStyle w:val="TableParagraph"/>
              <w:spacing w:before="107"/>
              <w:ind w:left="593" w:right="602"/>
              <w:jc w:val="center"/>
              <w:rPr>
                <w:sz w:val="14"/>
              </w:rPr>
            </w:pPr>
            <w:r>
              <w:rPr>
                <w:w w:val="105"/>
                <w:sz w:val="14"/>
              </w:rPr>
              <w:t>0.00</w:t>
            </w:r>
          </w:p>
        </w:tc>
        <w:tc>
          <w:tcPr>
            <w:tcW w:w="1007" w:type="dxa"/>
          </w:tcPr>
          <w:p>
            <w:pPr>
              <w:pStyle w:val="TableParagraph"/>
              <w:spacing w:before="107"/>
              <w:ind w:right="45"/>
              <w:jc w:val="right"/>
              <w:rPr>
                <w:sz w:val="14"/>
              </w:rPr>
            </w:pPr>
            <w:r>
              <w:rPr>
                <w:sz w:val="14"/>
              </w:rPr>
              <w:t>0.0%</w:t>
            </w:r>
          </w:p>
        </w:tc>
      </w:tr>
      <w:tr>
        <w:trPr>
          <w:trHeight w:val="573" w:hRule="atLeast"/>
        </w:trPr>
        <w:tc>
          <w:tcPr>
            <w:tcW w:w="4247" w:type="dxa"/>
          </w:tcPr>
          <w:p>
            <w:pPr>
              <w:pStyle w:val="TableParagraph"/>
              <w:numPr>
                <w:ilvl w:val="0"/>
                <w:numId w:val="37"/>
              </w:numPr>
              <w:tabs>
                <w:tab w:pos="217" w:val="left" w:leader="none"/>
              </w:tabs>
              <w:spacing w:line="240" w:lineRule="auto" w:before="107" w:after="0"/>
              <w:ind w:left="216" w:right="0" w:hanging="167"/>
              <w:jc w:val="left"/>
              <w:rPr>
                <w:sz w:val="14"/>
              </w:rPr>
            </w:pPr>
            <w:r>
              <w:rPr>
                <w:w w:val="105"/>
                <w:sz w:val="14"/>
              </w:rPr>
              <w:t>Other</w:t>
            </w:r>
            <w:r>
              <w:rPr>
                <w:spacing w:val="-1"/>
                <w:w w:val="105"/>
                <w:sz w:val="14"/>
              </w:rPr>
              <w:t> </w:t>
            </w:r>
            <w:r>
              <w:rPr>
                <w:w w:val="105"/>
                <w:sz w:val="14"/>
              </w:rPr>
              <w:t>Sources/Uses</w:t>
            </w:r>
          </w:p>
          <w:p>
            <w:pPr>
              <w:pStyle w:val="TableParagraph"/>
              <w:numPr>
                <w:ilvl w:val="1"/>
                <w:numId w:val="37"/>
              </w:numPr>
              <w:tabs>
                <w:tab w:pos="381" w:val="left" w:leader="none"/>
              </w:tabs>
              <w:spacing w:line="240" w:lineRule="auto" w:before="35" w:after="0"/>
              <w:ind w:left="380" w:right="0" w:hanging="168"/>
              <w:jc w:val="left"/>
              <w:rPr>
                <w:sz w:val="14"/>
              </w:rPr>
            </w:pPr>
            <w:r>
              <w:rPr>
                <w:w w:val="105"/>
                <w:sz w:val="14"/>
              </w:rPr>
              <w:t>Sources</w:t>
            </w:r>
          </w:p>
        </w:tc>
        <w:tc>
          <w:tcPr>
            <w:tcW w:w="2296" w:type="dxa"/>
          </w:tcPr>
          <w:p>
            <w:pPr>
              <w:pStyle w:val="TableParagraph"/>
              <w:rPr>
                <w:b/>
                <w:sz w:val="16"/>
              </w:rPr>
            </w:pPr>
          </w:p>
          <w:p>
            <w:pPr>
              <w:pStyle w:val="TableParagraph"/>
              <w:spacing w:before="119"/>
              <w:ind w:right="648"/>
              <w:jc w:val="right"/>
              <w:rPr>
                <w:sz w:val="14"/>
              </w:rPr>
            </w:pPr>
            <w:r>
              <w:rPr>
                <w:sz w:val="14"/>
              </w:rPr>
              <w:t>8930-8979</w:t>
            </w:r>
          </w:p>
        </w:tc>
        <w:tc>
          <w:tcPr>
            <w:tcW w:w="1546" w:type="dxa"/>
          </w:tcPr>
          <w:p>
            <w:pPr>
              <w:pStyle w:val="TableParagraph"/>
              <w:rPr>
                <w:b/>
                <w:sz w:val="16"/>
              </w:rPr>
            </w:pPr>
          </w:p>
          <w:p>
            <w:pPr>
              <w:pStyle w:val="TableParagraph"/>
              <w:spacing w:before="119"/>
              <w:ind w:left="627" w:right="591"/>
              <w:jc w:val="center"/>
              <w:rPr>
                <w:sz w:val="14"/>
              </w:rPr>
            </w:pPr>
            <w:r>
              <w:rPr>
                <w:w w:val="105"/>
                <w:sz w:val="14"/>
              </w:rPr>
              <w:t>0.00</w:t>
            </w:r>
          </w:p>
        </w:tc>
        <w:tc>
          <w:tcPr>
            <w:tcW w:w="1526" w:type="dxa"/>
          </w:tcPr>
          <w:p>
            <w:pPr>
              <w:pStyle w:val="TableParagraph"/>
              <w:rPr>
                <w:b/>
                <w:sz w:val="16"/>
              </w:rPr>
            </w:pPr>
          </w:p>
          <w:p>
            <w:pPr>
              <w:pStyle w:val="TableParagraph"/>
              <w:spacing w:before="119"/>
              <w:ind w:left="593" w:right="602"/>
              <w:jc w:val="center"/>
              <w:rPr>
                <w:sz w:val="14"/>
              </w:rPr>
            </w:pPr>
            <w:r>
              <w:rPr>
                <w:w w:val="105"/>
                <w:sz w:val="14"/>
              </w:rPr>
              <w:t>0.00</w:t>
            </w:r>
          </w:p>
        </w:tc>
        <w:tc>
          <w:tcPr>
            <w:tcW w:w="1007" w:type="dxa"/>
          </w:tcPr>
          <w:p>
            <w:pPr>
              <w:pStyle w:val="TableParagraph"/>
              <w:rPr>
                <w:b/>
                <w:sz w:val="16"/>
              </w:rPr>
            </w:pPr>
          </w:p>
          <w:p>
            <w:pPr>
              <w:pStyle w:val="TableParagraph"/>
              <w:spacing w:before="119"/>
              <w:ind w:right="45"/>
              <w:jc w:val="right"/>
              <w:rPr>
                <w:sz w:val="14"/>
              </w:rPr>
            </w:pPr>
            <w:r>
              <w:rPr>
                <w:sz w:val="14"/>
              </w:rPr>
              <w:t>0.0%</w:t>
            </w:r>
          </w:p>
        </w:tc>
      </w:tr>
      <w:tr>
        <w:trPr>
          <w:trHeight w:val="376" w:hRule="atLeast"/>
        </w:trPr>
        <w:tc>
          <w:tcPr>
            <w:tcW w:w="4247" w:type="dxa"/>
          </w:tcPr>
          <w:p>
            <w:pPr>
              <w:pStyle w:val="TableParagraph"/>
              <w:spacing w:before="107"/>
              <w:ind w:left="213"/>
              <w:rPr>
                <w:sz w:val="14"/>
              </w:rPr>
            </w:pPr>
            <w:r>
              <w:rPr>
                <w:w w:val="105"/>
                <w:sz w:val="14"/>
              </w:rPr>
              <w:t>b) Uses</w:t>
            </w:r>
          </w:p>
        </w:tc>
        <w:tc>
          <w:tcPr>
            <w:tcW w:w="2296" w:type="dxa"/>
          </w:tcPr>
          <w:p>
            <w:pPr>
              <w:pStyle w:val="TableParagraph"/>
              <w:spacing w:before="107"/>
              <w:ind w:right="648"/>
              <w:jc w:val="right"/>
              <w:rPr>
                <w:sz w:val="14"/>
              </w:rPr>
            </w:pPr>
            <w:r>
              <w:rPr>
                <w:sz w:val="14"/>
              </w:rPr>
              <w:t>7630-7699</w:t>
            </w:r>
          </w:p>
        </w:tc>
        <w:tc>
          <w:tcPr>
            <w:tcW w:w="1546" w:type="dxa"/>
          </w:tcPr>
          <w:p>
            <w:pPr>
              <w:pStyle w:val="TableParagraph"/>
              <w:spacing w:before="107"/>
              <w:ind w:left="627" w:right="591"/>
              <w:jc w:val="center"/>
              <w:rPr>
                <w:sz w:val="14"/>
              </w:rPr>
            </w:pPr>
            <w:r>
              <w:rPr>
                <w:w w:val="105"/>
                <w:sz w:val="14"/>
              </w:rPr>
              <w:t>0.00</w:t>
            </w:r>
          </w:p>
        </w:tc>
        <w:tc>
          <w:tcPr>
            <w:tcW w:w="1526" w:type="dxa"/>
          </w:tcPr>
          <w:p>
            <w:pPr>
              <w:pStyle w:val="TableParagraph"/>
              <w:spacing w:before="107"/>
              <w:ind w:left="593" w:right="602"/>
              <w:jc w:val="center"/>
              <w:rPr>
                <w:sz w:val="14"/>
              </w:rPr>
            </w:pPr>
            <w:r>
              <w:rPr>
                <w:w w:val="105"/>
                <w:sz w:val="14"/>
              </w:rPr>
              <w:t>0.00</w:t>
            </w:r>
          </w:p>
        </w:tc>
        <w:tc>
          <w:tcPr>
            <w:tcW w:w="1007" w:type="dxa"/>
          </w:tcPr>
          <w:p>
            <w:pPr>
              <w:pStyle w:val="TableParagraph"/>
              <w:spacing w:before="107"/>
              <w:ind w:right="45"/>
              <w:jc w:val="right"/>
              <w:rPr>
                <w:sz w:val="14"/>
              </w:rPr>
            </w:pPr>
            <w:r>
              <w:rPr>
                <w:sz w:val="14"/>
              </w:rPr>
              <w:t>0.0%</w:t>
            </w:r>
          </w:p>
        </w:tc>
      </w:tr>
      <w:tr>
        <w:trPr>
          <w:trHeight w:val="376" w:hRule="atLeast"/>
        </w:trPr>
        <w:tc>
          <w:tcPr>
            <w:tcW w:w="4247" w:type="dxa"/>
          </w:tcPr>
          <w:p>
            <w:pPr>
              <w:pStyle w:val="TableParagraph"/>
              <w:spacing w:before="107"/>
              <w:ind w:left="50"/>
              <w:rPr>
                <w:sz w:val="14"/>
              </w:rPr>
            </w:pPr>
            <w:r>
              <w:rPr>
                <w:w w:val="105"/>
                <w:sz w:val="14"/>
              </w:rPr>
              <w:t>3) Contributions</w:t>
            </w:r>
          </w:p>
        </w:tc>
        <w:tc>
          <w:tcPr>
            <w:tcW w:w="2296" w:type="dxa"/>
          </w:tcPr>
          <w:p>
            <w:pPr>
              <w:pStyle w:val="TableParagraph"/>
              <w:spacing w:before="107"/>
              <w:ind w:right="648"/>
              <w:jc w:val="right"/>
              <w:rPr>
                <w:sz w:val="14"/>
              </w:rPr>
            </w:pPr>
            <w:r>
              <w:rPr>
                <w:sz w:val="14"/>
              </w:rPr>
              <w:t>8980-8999</w:t>
            </w:r>
          </w:p>
        </w:tc>
        <w:tc>
          <w:tcPr>
            <w:tcW w:w="1546" w:type="dxa"/>
          </w:tcPr>
          <w:p>
            <w:pPr>
              <w:pStyle w:val="TableParagraph"/>
              <w:spacing w:before="107"/>
              <w:ind w:left="627" w:right="591"/>
              <w:jc w:val="center"/>
              <w:rPr>
                <w:sz w:val="14"/>
              </w:rPr>
            </w:pPr>
            <w:r>
              <w:rPr>
                <w:w w:val="105"/>
                <w:sz w:val="14"/>
              </w:rPr>
              <w:t>0.00</w:t>
            </w:r>
          </w:p>
        </w:tc>
        <w:tc>
          <w:tcPr>
            <w:tcW w:w="1526" w:type="dxa"/>
          </w:tcPr>
          <w:p>
            <w:pPr>
              <w:pStyle w:val="TableParagraph"/>
              <w:spacing w:before="107"/>
              <w:ind w:left="593" w:right="602"/>
              <w:jc w:val="center"/>
              <w:rPr>
                <w:sz w:val="14"/>
              </w:rPr>
            </w:pPr>
            <w:r>
              <w:rPr>
                <w:w w:val="105"/>
                <w:sz w:val="14"/>
              </w:rPr>
              <w:t>0.00</w:t>
            </w:r>
          </w:p>
        </w:tc>
        <w:tc>
          <w:tcPr>
            <w:tcW w:w="1007" w:type="dxa"/>
          </w:tcPr>
          <w:p>
            <w:pPr>
              <w:pStyle w:val="TableParagraph"/>
              <w:spacing w:before="107"/>
              <w:ind w:right="45"/>
              <w:jc w:val="right"/>
              <w:rPr>
                <w:sz w:val="14"/>
              </w:rPr>
            </w:pPr>
            <w:r>
              <w:rPr>
                <w:sz w:val="14"/>
              </w:rPr>
              <w:t>0.0%</w:t>
            </w:r>
          </w:p>
        </w:tc>
      </w:tr>
      <w:tr>
        <w:trPr>
          <w:trHeight w:val="268" w:hRule="atLeast"/>
        </w:trPr>
        <w:tc>
          <w:tcPr>
            <w:tcW w:w="4247" w:type="dxa"/>
          </w:tcPr>
          <w:p>
            <w:pPr>
              <w:pStyle w:val="TableParagraph"/>
              <w:spacing w:line="142" w:lineRule="exact" w:before="107"/>
              <w:ind w:left="50"/>
              <w:rPr>
                <w:sz w:val="14"/>
              </w:rPr>
            </w:pPr>
            <w:r>
              <w:rPr>
                <w:w w:val="105"/>
                <w:sz w:val="14"/>
              </w:rPr>
              <w:t>4) TOTAL, OTHER FINANCING SOURCES/USES</w:t>
            </w:r>
          </w:p>
        </w:tc>
        <w:tc>
          <w:tcPr>
            <w:tcW w:w="2296" w:type="dxa"/>
          </w:tcPr>
          <w:p>
            <w:pPr>
              <w:pStyle w:val="TableParagraph"/>
              <w:rPr>
                <w:rFonts w:ascii="Times New Roman"/>
                <w:sz w:val="14"/>
              </w:rPr>
            </w:pPr>
          </w:p>
        </w:tc>
        <w:tc>
          <w:tcPr>
            <w:tcW w:w="1546" w:type="dxa"/>
          </w:tcPr>
          <w:p>
            <w:pPr>
              <w:pStyle w:val="TableParagraph"/>
              <w:spacing w:line="142" w:lineRule="exact" w:before="107"/>
              <w:ind w:left="627" w:right="591"/>
              <w:jc w:val="center"/>
              <w:rPr>
                <w:sz w:val="14"/>
              </w:rPr>
            </w:pPr>
            <w:r>
              <w:rPr>
                <w:w w:val="105"/>
                <w:sz w:val="14"/>
              </w:rPr>
              <w:t>0.00</w:t>
            </w:r>
          </w:p>
        </w:tc>
        <w:tc>
          <w:tcPr>
            <w:tcW w:w="1526" w:type="dxa"/>
          </w:tcPr>
          <w:p>
            <w:pPr>
              <w:pStyle w:val="TableParagraph"/>
              <w:spacing w:line="142" w:lineRule="exact" w:before="107"/>
              <w:ind w:left="593" w:right="602"/>
              <w:jc w:val="center"/>
              <w:rPr>
                <w:sz w:val="14"/>
              </w:rPr>
            </w:pPr>
            <w:r>
              <w:rPr>
                <w:w w:val="105"/>
                <w:sz w:val="14"/>
              </w:rPr>
              <w:t>0.00</w:t>
            </w:r>
          </w:p>
        </w:tc>
        <w:tc>
          <w:tcPr>
            <w:tcW w:w="1007" w:type="dxa"/>
          </w:tcPr>
          <w:p>
            <w:pPr>
              <w:pStyle w:val="TableParagraph"/>
              <w:spacing w:line="142" w:lineRule="exact" w:before="107"/>
              <w:ind w:right="45"/>
              <w:jc w:val="right"/>
              <w:rPr>
                <w:sz w:val="14"/>
              </w:rPr>
            </w:pPr>
            <w:r>
              <w:rPr>
                <w:sz w:val="14"/>
              </w:rPr>
              <w:t>0.0%</w:t>
            </w:r>
          </w:p>
        </w:tc>
      </w:tr>
    </w:tbl>
    <w:p>
      <w:pPr>
        <w:spacing w:after="0" w:line="142" w:lineRule="exact"/>
        <w:jc w:val="right"/>
        <w:rPr>
          <w:sz w:val="14"/>
        </w:rPr>
        <w:sectPr>
          <w:type w:val="continuous"/>
          <w:pgSz w:w="12240" w:h="15840"/>
          <w:pgMar w:top="1500" w:bottom="840" w:left="160" w:right="180"/>
        </w:sectPr>
      </w:pPr>
    </w:p>
    <w:p>
      <w:pPr>
        <w:spacing w:line="232" w:lineRule="auto" w:before="1"/>
        <w:ind w:left="308" w:right="0" w:firstLine="0"/>
        <w:jc w:val="left"/>
        <w:rPr>
          <w:sz w:val="18"/>
        </w:rPr>
      </w:pPr>
      <w:r>
        <w:rPr/>
        <w:pict>
          <v:group style="position:absolute;margin-left:24.719999pt;margin-top:36.318634pt;width:538.5pt;height:415.95pt;mso-position-horizontal-relative:page;mso-position-vertical-relative:paragraph;z-index:-314242048" coordorigin="494,726" coordsize="10770,8319">
            <v:shape style="position:absolute;left:494;top:726;width:3646;height:790" type="#_x0000_t75" stroked="false">
              <v:imagedata r:id="rId406" o:title=""/>
            </v:shape>
            <v:shape style="position:absolute;left:4132;top:726;width:7121;height:1364" type="#_x0000_t75" stroked="false">
              <v:imagedata r:id="rId779" o:title=""/>
            </v:shape>
            <v:line style="position:absolute" from="1304,1506" to="1304,1876" stroked="true" strokeweight=".359997pt" strokecolor="#ffffff">
              <v:stroke dashstyle="solid"/>
            </v:line>
            <v:shape style="position:absolute;left:494;top:1501;width:3646;height:588" type="#_x0000_t75" stroked="false">
              <v:imagedata r:id="rId434" o:title=""/>
            </v:shape>
            <v:line style="position:absolute" from="1304,2080" to="1304,2450" stroked="true" strokeweight=".359997pt" strokecolor="#ffffff">
              <v:stroke dashstyle="solid"/>
            </v:line>
            <v:shape style="position:absolute;left:6674;top:1878;width:4580;height:1172" type="#_x0000_t75" stroked="false">
              <v:imagedata r:id="rId428" o:title=""/>
            </v:shape>
            <v:shape style="position:absolute;left:494;top:2075;width:3646;height:6970" type="#_x0000_t75" stroked="false">
              <v:imagedata r:id="rId844" o:title=""/>
            </v:shape>
            <v:shape style="position:absolute;left:6674;top:2845;width:4580;height:552" type="#_x0000_t75" stroked="false">
              <v:imagedata r:id="rId436" o:title=""/>
            </v:shape>
            <v:shape style="position:absolute;left:6674;top:3042;width:4580;height:704" type="#_x0000_t75" stroked="false">
              <v:imagedata r:id="rId437" o:title=""/>
            </v:shape>
            <v:shape style="position:absolute;left:6674;top:3390;width:4580;height:704" type="#_x0000_t75" stroked="false">
              <v:imagedata r:id="rId438" o:title=""/>
            </v:shape>
            <v:shape style="position:absolute;left:6674;top:3738;width:4580;height:704" type="#_x0000_t75" stroked="false">
              <v:imagedata r:id="rId437" o:title=""/>
            </v:shape>
            <v:shape style="position:absolute;left:6674;top:4086;width:4580;height:704" type="#_x0000_t75" stroked="false">
              <v:imagedata r:id="rId438" o:title=""/>
            </v:shape>
            <v:shape style="position:absolute;left:6674;top:4434;width:4580;height:941" type="#_x0000_t75" stroked="false">
              <v:imagedata r:id="rId714" o:title=""/>
            </v:shape>
            <v:shape style="position:absolute;left:6674;top:5372;width:1520;height:348" type="#_x0000_t75" stroked="false">
              <v:imagedata r:id="rId845" o:title=""/>
            </v:shape>
            <v:shape style="position:absolute;left:8186;top:5175;width:1520;height:545" type="#_x0000_t75" stroked="false">
              <v:imagedata r:id="rId846" o:title=""/>
            </v:shape>
            <v:rect style="position:absolute;left:9703;top:5377;width:1541;height:341" filled="true" fillcolor="#dfdfdf" stroked="false">
              <v:fill type="solid"/>
            </v:rect>
            <v:shape style="position:absolute;left:6674;top:5175;width:4580;height:1227" type="#_x0000_t75" stroked="false">
              <v:imagedata r:id="rId847" o:title=""/>
            </v:shape>
            <v:shape style="position:absolute;left:8186;top:6054;width:3068;height:1025" type="#_x0000_t75" stroked="false">
              <v:imagedata r:id="rId848" o:title=""/>
            </v:shape>
            <v:shape style="position:absolute;left:6674;top:6395;width:1520;height:684" type="#_x0000_t75" stroked="false">
              <v:imagedata r:id="rId849" o:title=""/>
            </v:shape>
            <v:shape style="position:absolute;left:6674;top:7076;width:1520;height:204" type="#_x0000_t75" stroked="false">
              <v:imagedata r:id="rId425" o:title=""/>
            </v:shape>
            <v:shape style="position:absolute;left:8186;top:7076;width:1520;height:204" type="#_x0000_t75" stroked="false">
              <v:imagedata r:id="rId425" o:title=""/>
            </v:shape>
            <v:shape style="position:absolute;left:6674;top:6735;width:4580;height:1424" type="#_x0000_t75" stroked="false">
              <v:imagedata r:id="rId850" o:title=""/>
            </v:shape>
            <v:shape style="position:absolute;left:8186;top:7955;width:3068;height:204" type="#_x0000_t75" stroked="false">
              <v:imagedata r:id="rId593" o:title=""/>
            </v:shape>
            <v:shape style="position:absolute;left:6674;top:8151;width:1520;height:346" type="#_x0000_t75" stroked="false">
              <v:imagedata r:id="rId851" o:title=""/>
            </v:shape>
            <v:shape style="position:absolute;left:8186;top:8151;width:1520;height:346" type="#_x0000_t75" stroked="false">
              <v:imagedata r:id="rId851" o:title=""/>
            </v:shape>
            <v:rect style="position:absolute;left:9703;top:8156;width:1541;height:341" filled="true" fillcolor="#dfdfdf" stroked="false">
              <v:fill type="solid"/>
            </v:rect>
            <v:shape style="position:absolute;left:6674;top:8492;width:1520;height:204" type="#_x0000_t75" stroked="false">
              <v:imagedata r:id="rId425" o:title=""/>
            </v:shape>
            <v:shape style="position:absolute;left:8186;top:8492;width:1520;height:204" type="#_x0000_t75" stroked="false">
              <v:imagedata r:id="rId425" o:title=""/>
            </v:shape>
            <v:rect style="position:absolute;left:9703;top:8497;width:1541;height:197" filled="true" fillcolor="#dfdfdf" stroked="false">
              <v:fill type="solid"/>
            </v:rect>
            <v:shape style="position:absolute;left:4132;top:8151;width:7121;height:893" type="#_x0000_t75" stroked="false">
              <v:imagedata r:id="rId852" o:title=""/>
            </v:shape>
            <v:shape style="position:absolute;left:530;top:1340;width:811;height:161" type="#_x0000_t202" filled="false" stroked="false">
              <v:textbox inset="0,0,0,0">
                <w:txbxContent>
                  <w:p>
                    <w:pPr>
                      <w:spacing w:line="160" w:lineRule="exact" w:before="0"/>
                      <w:ind w:left="0" w:right="0" w:firstLine="0"/>
                      <w:jc w:val="left"/>
                      <w:rPr>
                        <w:b/>
                        <w:sz w:val="14"/>
                      </w:rPr>
                    </w:pPr>
                    <w:r>
                      <w:rPr>
                        <w:b/>
                        <w:sz w:val="14"/>
                      </w:rPr>
                      <w:t>Description</w:t>
                    </w:r>
                  </w:p>
                </w:txbxContent>
              </v:textbox>
              <w10:wrap type="none"/>
            </v:shape>
            <v:shape style="position:absolute;left:4358;top:1172;width:3722;height:329" type="#_x0000_t202" filled="false" stroked="false">
              <v:textbox inset="0,0,0,0">
                <w:txbxContent>
                  <w:p>
                    <w:pPr>
                      <w:spacing w:line="160" w:lineRule="exact" w:before="0"/>
                      <w:ind w:left="2820" w:right="0" w:firstLine="0"/>
                      <w:jc w:val="left"/>
                      <w:rPr>
                        <w:b/>
                        <w:sz w:val="14"/>
                      </w:rPr>
                    </w:pPr>
                    <w:r>
                      <w:rPr>
                        <w:b/>
                        <w:w w:val="105"/>
                        <w:sz w:val="14"/>
                      </w:rPr>
                      <w:t>2020-21</w:t>
                    </w:r>
                  </w:p>
                  <w:p>
                    <w:pPr>
                      <w:tabs>
                        <w:tab w:pos="1372" w:val="left" w:leader="none"/>
                      </w:tabs>
                      <w:spacing w:before="7"/>
                      <w:ind w:left="0" w:right="0" w:firstLine="0"/>
                      <w:jc w:val="left"/>
                      <w:rPr>
                        <w:b/>
                        <w:sz w:val="14"/>
                      </w:rPr>
                    </w:pPr>
                    <w:r>
                      <w:rPr>
                        <w:b/>
                        <w:w w:val="105"/>
                        <w:sz w:val="14"/>
                      </w:rPr>
                      <w:t>Resource</w:t>
                    </w:r>
                    <w:r>
                      <w:rPr>
                        <w:b/>
                        <w:spacing w:val="-12"/>
                        <w:w w:val="105"/>
                        <w:sz w:val="14"/>
                      </w:rPr>
                      <w:t> </w:t>
                    </w:r>
                    <w:r>
                      <w:rPr>
                        <w:b/>
                        <w:w w:val="105"/>
                        <w:sz w:val="14"/>
                      </w:rPr>
                      <w:t>Codes</w:t>
                      <w:tab/>
                      <w:t>Object Codes Estimated</w:t>
                    </w:r>
                    <w:r>
                      <w:rPr>
                        <w:b/>
                        <w:spacing w:val="-15"/>
                        <w:w w:val="105"/>
                        <w:sz w:val="14"/>
                      </w:rPr>
                      <w:t> </w:t>
                    </w:r>
                    <w:r>
                      <w:rPr>
                        <w:b/>
                        <w:w w:val="105"/>
                        <w:sz w:val="14"/>
                      </w:rPr>
                      <w:t>Actuals</w:t>
                    </w:r>
                  </w:p>
                </w:txbxContent>
              </v:textbox>
              <w10:wrap type="none"/>
            </v:shape>
            <v:shape style="position:absolute;left:8690;top:1172;width:545;height:329" type="#_x0000_t202" filled="false" stroked="false">
              <v:textbox inset="0,0,0,0">
                <w:txbxContent>
                  <w:p>
                    <w:pPr>
                      <w:spacing w:line="160" w:lineRule="exact" w:before="0"/>
                      <w:ind w:left="0" w:right="0" w:firstLine="0"/>
                      <w:jc w:val="left"/>
                      <w:rPr>
                        <w:b/>
                        <w:sz w:val="14"/>
                      </w:rPr>
                    </w:pPr>
                    <w:r>
                      <w:rPr>
                        <w:b/>
                        <w:sz w:val="14"/>
                      </w:rPr>
                      <w:t>2021-22</w:t>
                    </w:r>
                  </w:p>
                  <w:p>
                    <w:pPr>
                      <w:spacing w:before="7"/>
                      <w:ind w:left="11" w:right="0" w:firstLine="0"/>
                      <w:jc w:val="left"/>
                      <w:rPr>
                        <w:b/>
                        <w:sz w:val="14"/>
                      </w:rPr>
                    </w:pPr>
                    <w:r>
                      <w:rPr>
                        <w:b/>
                        <w:w w:val="105"/>
                        <w:sz w:val="14"/>
                      </w:rPr>
                      <w:t>Budget</w:t>
                    </w:r>
                  </w:p>
                </w:txbxContent>
              </v:textbox>
              <w10:wrap type="none"/>
            </v:shape>
            <v:shape style="position:absolute;left:10128;top:1172;width:721;height:329" type="#_x0000_t202" filled="false" stroked="false">
              <v:textbox inset="0,0,0,0">
                <w:txbxContent>
                  <w:p>
                    <w:pPr>
                      <w:spacing w:line="249" w:lineRule="auto" w:before="0"/>
                      <w:ind w:left="0" w:right="16" w:firstLine="86"/>
                      <w:jc w:val="left"/>
                      <w:rPr>
                        <w:b/>
                        <w:sz w:val="14"/>
                      </w:rPr>
                    </w:pPr>
                    <w:r>
                      <w:rPr>
                        <w:b/>
                        <w:w w:val="105"/>
                        <w:sz w:val="14"/>
                      </w:rPr>
                      <w:t>Percent </w:t>
                    </w:r>
                    <w:r>
                      <w:rPr>
                        <w:b/>
                        <w:sz w:val="14"/>
                      </w:rPr>
                      <w:t>Difference</w:t>
                    </w:r>
                  </w:p>
                </w:txbxContent>
              </v:textbox>
              <w10:wrap type="none"/>
            </v:shape>
            <v:shape style="position:absolute;left:530;top:1717;width:2815;height:358" type="#_x0000_t202" filled="false" stroked="false">
              <v:textbox inset="0,0,0,0">
                <w:txbxContent>
                  <w:p>
                    <w:pPr>
                      <w:spacing w:line="160" w:lineRule="exact" w:before="0"/>
                      <w:ind w:left="0" w:right="0" w:firstLine="0"/>
                      <w:jc w:val="left"/>
                      <w:rPr>
                        <w:b/>
                        <w:sz w:val="14"/>
                      </w:rPr>
                    </w:pPr>
                    <w:r>
                      <w:rPr>
                        <w:b/>
                        <w:w w:val="105"/>
                        <w:sz w:val="14"/>
                      </w:rPr>
                      <w:t>E.</w:t>
                    </w:r>
                    <w:r>
                      <w:rPr>
                        <w:b/>
                        <w:spacing w:val="-14"/>
                        <w:w w:val="105"/>
                        <w:sz w:val="14"/>
                      </w:rPr>
                      <w:t> </w:t>
                    </w:r>
                    <w:r>
                      <w:rPr>
                        <w:b/>
                        <w:w w:val="105"/>
                        <w:sz w:val="14"/>
                      </w:rPr>
                      <w:t>NET</w:t>
                    </w:r>
                    <w:r>
                      <w:rPr>
                        <w:b/>
                        <w:spacing w:val="-13"/>
                        <w:w w:val="105"/>
                        <w:sz w:val="14"/>
                      </w:rPr>
                      <w:t> </w:t>
                    </w:r>
                    <w:r>
                      <w:rPr>
                        <w:b/>
                        <w:w w:val="105"/>
                        <w:sz w:val="14"/>
                      </w:rPr>
                      <w:t>INCREASE</w:t>
                    </w:r>
                    <w:r>
                      <w:rPr>
                        <w:b/>
                        <w:spacing w:val="-15"/>
                        <w:w w:val="105"/>
                        <w:sz w:val="14"/>
                      </w:rPr>
                      <w:t> </w:t>
                    </w:r>
                    <w:r>
                      <w:rPr>
                        <w:b/>
                        <w:w w:val="105"/>
                        <w:sz w:val="14"/>
                      </w:rPr>
                      <w:t>(DECREASE)</w:t>
                    </w:r>
                    <w:r>
                      <w:rPr>
                        <w:b/>
                        <w:spacing w:val="-13"/>
                        <w:w w:val="105"/>
                        <w:sz w:val="14"/>
                      </w:rPr>
                      <w:t> </w:t>
                    </w:r>
                    <w:r>
                      <w:rPr>
                        <w:b/>
                        <w:w w:val="105"/>
                        <w:sz w:val="14"/>
                      </w:rPr>
                      <w:t>IN</w:t>
                    </w:r>
                    <w:r>
                      <w:rPr>
                        <w:b/>
                        <w:spacing w:val="-14"/>
                        <w:w w:val="105"/>
                        <w:sz w:val="14"/>
                      </w:rPr>
                      <w:t> </w:t>
                    </w:r>
                    <w:r>
                      <w:rPr>
                        <w:b/>
                        <w:w w:val="105"/>
                        <w:sz w:val="14"/>
                      </w:rPr>
                      <w:t>FUND</w:t>
                    </w:r>
                  </w:p>
                  <w:p>
                    <w:pPr>
                      <w:spacing w:before="36"/>
                      <w:ind w:left="203" w:right="0" w:firstLine="0"/>
                      <w:jc w:val="left"/>
                      <w:rPr>
                        <w:b/>
                        <w:sz w:val="14"/>
                      </w:rPr>
                    </w:pPr>
                    <w:r>
                      <w:rPr>
                        <w:b/>
                        <w:w w:val="105"/>
                        <w:sz w:val="14"/>
                      </w:rPr>
                      <w:t>BALANCE (C + D4)</w:t>
                    </w:r>
                  </w:p>
                </w:txbxContent>
              </v:textbox>
              <w10:wrap type="none"/>
            </v:shape>
            <v:shape style="position:absolute;left:7759;top:1916;width:379;height:161" type="#_x0000_t202" filled="false" stroked="false">
              <v:textbox inset="0,0,0,0">
                <w:txbxContent>
                  <w:p>
                    <w:pPr>
                      <w:spacing w:line="160" w:lineRule="exact" w:before="0"/>
                      <w:ind w:left="0" w:right="0" w:firstLine="0"/>
                      <w:jc w:val="left"/>
                      <w:rPr>
                        <w:sz w:val="14"/>
                      </w:rPr>
                    </w:pPr>
                    <w:r>
                      <w:rPr>
                        <w:w w:val="105"/>
                        <w:sz w:val="14"/>
                      </w:rPr>
                      <w:t>20.00</w:t>
                    </w:r>
                  </w:p>
                </w:txbxContent>
              </v:textbox>
              <w10:wrap type="none"/>
            </v:shape>
            <v:shape style="position:absolute;left:9350;top:1916;width:299;height:161" type="#_x0000_t202" filled="false" stroked="false">
              <v:textbox inset="0,0,0,0">
                <w:txbxContent>
                  <w:p>
                    <w:pPr>
                      <w:spacing w:line="160" w:lineRule="exact" w:before="0"/>
                      <w:ind w:left="0" w:right="0" w:firstLine="0"/>
                      <w:jc w:val="left"/>
                      <w:rPr>
                        <w:sz w:val="14"/>
                      </w:rPr>
                    </w:pPr>
                    <w:r>
                      <w:rPr>
                        <w:w w:val="105"/>
                        <w:sz w:val="14"/>
                      </w:rPr>
                      <w:t>0.00</w:t>
                    </w:r>
                  </w:p>
                </w:txbxContent>
              </v:textbox>
              <w10:wrap type="none"/>
            </v:shape>
            <v:shape style="position:absolute;left:10684;top:1916;width:554;height:161" type="#_x0000_t202" filled="false" stroked="false">
              <v:textbox inset="0,0,0,0">
                <w:txbxContent>
                  <w:p>
                    <w:pPr>
                      <w:spacing w:line="160" w:lineRule="exact" w:before="0"/>
                      <w:ind w:left="0" w:right="0" w:firstLine="0"/>
                      <w:jc w:val="left"/>
                      <w:rPr>
                        <w:sz w:val="14"/>
                      </w:rPr>
                    </w:pPr>
                    <w:r>
                      <w:rPr>
                        <w:sz w:val="14"/>
                      </w:rPr>
                      <w:t>-100.0%</w:t>
                    </w:r>
                  </w:p>
                </w:txbxContent>
              </v:textbox>
              <w10:wrap type="none"/>
            </v:shape>
            <v:shape style="position:absolute;left:530;top:2290;width:2182;height:161" type="#_x0000_t202" filled="false" stroked="false">
              <v:textbox inset="0,0,0,0">
                <w:txbxContent>
                  <w:p>
                    <w:pPr>
                      <w:spacing w:line="160" w:lineRule="exact" w:before="0"/>
                      <w:ind w:left="0" w:right="0" w:firstLine="0"/>
                      <w:jc w:val="left"/>
                      <w:rPr>
                        <w:b/>
                        <w:sz w:val="14"/>
                      </w:rPr>
                    </w:pPr>
                    <w:r>
                      <w:rPr>
                        <w:b/>
                        <w:w w:val="105"/>
                        <w:sz w:val="14"/>
                      </w:rPr>
                      <w:t>F.</w:t>
                    </w:r>
                    <w:r>
                      <w:rPr>
                        <w:b/>
                        <w:spacing w:val="-18"/>
                        <w:w w:val="105"/>
                        <w:sz w:val="14"/>
                      </w:rPr>
                      <w:t> </w:t>
                    </w:r>
                    <w:r>
                      <w:rPr>
                        <w:b/>
                        <w:w w:val="105"/>
                        <w:sz w:val="14"/>
                      </w:rPr>
                      <w:t>FUND</w:t>
                    </w:r>
                    <w:r>
                      <w:rPr>
                        <w:b/>
                        <w:spacing w:val="-18"/>
                        <w:w w:val="105"/>
                        <w:sz w:val="14"/>
                      </w:rPr>
                      <w:t> </w:t>
                    </w:r>
                    <w:r>
                      <w:rPr>
                        <w:b/>
                        <w:w w:val="105"/>
                        <w:sz w:val="14"/>
                      </w:rPr>
                      <w:t>BALANCE,</w:t>
                    </w:r>
                    <w:r>
                      <w:rPr>
                        <w:b/>
                        <w:spacing w:val="-18"/>
                        <w:w w:val="105"/>
                        <w:sz w:val="14"/>
                      </w:rPr>
                      <w:t> </w:t>
                    </w:r>
                    <w:r>
                      <w:rPr>
                        <w:b/>
                        <w:w w:val="105"/>
                        <w:sz w:val="14"/>
                      </w:rPr>
                      <w:t>RESERVES</w:t>
                    </w:r>
                  </w:p>
                </w:txbxContent>
              </v:textbox>
              <w10:wrap type="none"/>
            </v:shape>
            <v:shape style="position:absolute;left:1060;top:7114;width:1726;height:161" type="#_x0000_t202" filled="false" stroked="false">
              <v:textbox inset="0,0,0,0">
                <w:txbxContent>
                  <w:p>
                    <w:pPr>
                      <w:spacing w:line="160" w:lineRule="exact" w:before="0"/>
                      <w:ind w:left="0" w:right="0" w:firstLine="0"/>
                      <w:jc w:val="left"/>
                      <w:rPr>
                        <w:sz w:val="14"/>
                      </w:rPr>
                    </w:pPr>
                    <w:r>
                      <w:rPr>
                        <w:sz w:val="14"/>
                      </w:rPr>
                      <w:t>Stabilization Arrangements</w:t>
                    </w:r>
                  </w:p>
                </w:txbxContent>
              </v:textbox>
              <w10:wrap type="none"/>
            </v:shape>
            <v:shape style="position:absolute;left:6036;top:7114;width:338;height:161" type="#_x0000_t202" filled="false" stroked="false">
              <v:textbox inset="0,0,0,0">
                <w:txbxContent>
                  <w:p>
                    <w:pPr>
                      <w:spacing w:line="160" w:lineRule="exact" w:before="0"/>
                      <w:ind w:left="0" w:right="0" w:firstLine="0"/>
                      <w:jc w:val="left"/>
                      <w:rPr>
                        <w:sz w:val="14"/>
                      </w:rPr>
                    </w:pPr>
                    <w:r>
                      <w:rPr>
                        <w:w w:val="105"/>
                        <w:sz w:val="14"/>
                      </w:rPr>
                      <w:t>9750</w:t>
                    </w:r>
                  </w:p>
                </w:txbxContent>
              </v:textbox>
              <w10:wrap type="none"/>
            </v:shape>
            <v:shape style="position:absolute;left:7838;top:7114;width:299;height:161" type="#_x0000_t202" filled="false" stroked="false">
              <v:textbox inset="0,0,0,0">
                <w:txbxContent>
                  <w:p>
                    <w:pPr>
                      <w:spacing w:line="160" w:lineRule="exact" w:before="0"/>
                      <w:ind w:left="0" w:right="0" w:firstLine="0"/>
                      <w:jc w:val="left"/>
                      <w:rPr>
                        <w:sz w:val="14"/>
                      </w:rPr>
                    </w:pPr>
                    <w:r>
                      <w:rPr>
                        <w:w w:val="105"/>
                        <w:sz w:val="14"/>
                      </w:rPr>
                      <w:t>0.00</w:t>
                    </w:r>
                  </w:p>
                </w:txbxContent>
              </v:textbox>
              <w10:wrap type="none"/>
            </v:shape>
            <v:shape style="position:absolute;left:9350;top:7114;width:1914;height:162" type="#_x0000_t202" filled="false" stroked="false">
              <v:textbox inset="0,0,0,0">
                <w:txbxContent>
                  <w:p>
                    <w:pPr>
                      <w:tabs>
                        <w:tab w:pos="1540" w:val="left" w:leader="none"/>
                      </w:tabs>
                      <w:spacing w:line="160" w:lineRule="exact" w:before="0"/>
                      <w:ind w:left="0" w:right="0" w:firstLine="0"/>
                      <w:jc w:val="left"/>
                      <w:rPr>
                        <w:sz w:val="14"/>
                      </w:rPr>
                    </w:pPr>
                    <w:r>
                      <w:rPr>
                        <w:w w:val="105"/>
                        <w:sz w:val="14"/>
                      </w:rPr>
                      <w:t>0.00</w:t>
                    </w:r>
                    <w:r>
                      <w:rPr>
                        <w:w w:val="105"/>
                        <w:sz w:val="14"/>
                        <w:shd w:fill="DFDFDF" w:color="auto" w:val="clear"/>
                      </w:rPr>
                      <w:tab/>
                      <w:t>0.0%</w:t>
                    </w:r>
                    <w:r>
                      <w:rPr>
                        <w:spacing w:val="-13"/>
                        <w:sz w:val="14"/>
                        <w:shd w:fill="DFDFDF" w:color="auto" w:val="clear"/>
                      </w:rPr>
                      <w:t> </w:t>
                    </w:r>
                  </w:p>
                </w:txbxContent>
              </v:textbox>
              <w10:wrap type="none"/>
            </v:shape>
            <v:shape style="position:absolute;left:1060;top:7455;width:1298;height:161" type="#_x0000_t202" filled="false" stroked="false">
              <v:textbox inset="0,0,0,0">
                <w:txbxContent>
                  <w:p>
                    <w:pPr>
                      <w:spacing w:line="160" w:lineRule="exact" w:before="0"/>
                      <w:ind w:left="0" w:right="0" w:firstLine="0"/>
                      <w:jc w:val="left"/>
                      <w:rPr>
                        <w:sz w:val="14"/>
                      </w:rPr>
                    </w:pPr>
                    <w:r>
                      <w:rPr>
                        <w:w w:val="105"/>
                        <w:sz w:val="14"/>
                      </w:rPr>
                      <w:t>Other</w:t>
                    </w:r>
                    <w:r>
                      <w:rPr>
                        <w:spacing w:val="-26"/>
                        <w:w w:val="105"/>
                        <w:sz w:val="14"/>
                      </w:rPr>
                      <w:t> </w:t>
                    </w:r>
                    <w:r>
                      <w:rPr>
                        <w:w w:val="105"/>
                        <w:sz w:val="14"/>
                      </w:rPr>
                      <w:t>Commitments</w:t>
                    </w:r>
                  </w:p>
                </w:txbxContent>
              </v:textbox>
              <w10:wrap type="none"/>
            </v:shape>
            <v:shape style="position:absolute;left:6036;top:7455;width:338;height:161" type="#_x0000_t202" filled="false" stroked="false">
              <v:textbox inset="0,0,0,0">
                <w:txbxContent>
                  <w:p>
                    <w:pPr>
                      <w:spacing w:line="160" w:lineRule="exact" w:before="0"/>
                      <w:ind w:left="0" w:right="0" w:firstLine="0"/>
                      <w:jc w:val="left"/>
                      <w:rPr>
                        <w:sz w:val="14"/>
                      </w:rPr>
                    </w:pPr>
                    <w:r>
                      <w:rPr>
                        <w:w w:val="105"/>
                        <w:sz w:val="14"/>
                      </w:rPr>
                      <w:t>9760</w:t>
                    </w:r>
                  </w:p>
                </w:txbxContent>
              </v:textbox>
              <w10:wrap type="none"/>
            </v:shape>
            <v:shape style="position:absolute;left:7838;top:7455;width:299;height:161" type="#_x0000_t202" filled="false" stroked="false">
              <v:textbox inset="0,0,0,0">
                <w:txbxContent>
                  <w:p>
                    <w:pPr>
                      <w:spacing w:line="160" w:lineRule="exact" w:before="0"/>
                      <w:ind w:left="0" w:right="0" w:firstLine="0"/>
                      <w:jc w:val="left"/>
                      <w:rPr>
                        <w:sz w:val="14"/>
                      </w:rPr>
                    </w:pPr>
                    <w:r>
                      <w:rPr>
                        <w:w w:val="105"/>
                        <w:sz w:val="14"/>
                      </w:rPr>
                      <w:t>0.00</w:t>
                    </w:r>
                  </w:p>
                </w:txbxContent>
              </v:textbox>
              <w10:wrap type="none"/>
            </v:shape>
            <v:shape style="position:absolute;left:9350;top:7455;width:299;height:161" type="#_x0000_t202" filled="false" stroked="false">
              <v:textbox inset="0,0,0,0">
                <w:txbxContent>
                  <w:p>
                    <w:pPr>
                      <w:spacing w:line="160" w:lineRule="exact" w:before="0"/>
                      <w:ind w:left="0" w:right="0" w:firstLine="0"/>
                      <w:jc w:val="left"/>
                      <w:rPr>
                        <w:sz w:val="14"/>
                      </w:rPr>
                    </w:pPr>
                    <w:r>
                      <w:rPr>
                        <w:w w:val="105"/>
                        <w:sz w:val="14"/>
                      </w:rPr>
                      <w:t>0.00</w:t>
                    </w:r>
                  </w:p>
                </w:txbxContent>
              </v:textbox>
              <w10:wrap type="none"/>
            </v:shape>
            <v:shape style="position:absolute;left:10891;top:7455;width:347;height:161" type="#_x0000_t202" filled="false" stroked="false">
              <v:textbox inset="0,0,0,0">
                <w:txbxContent>
                  <w:p>
                    <w:pPr>
                      <w:spacing w:line="160" w:lineRule="exact" w:before="0"/>
                      <w:ind w:left="0" w:right="0" w:firstLine="0"/>
                      <w:jc w:val="left"/>
                      <w:rPr>
                        <w:sz w:val="14"/>
                      </w:rPr>
                    </w:pPr>
                    <w:r>
                      <w:rPr>
                        <w:w w:val="105"/>
                        <w:sz w:val="14"/>
                      </w:rPr>
                      <w:t>0.0%</w:t>
                    </w:r>
                  </w:p>
                </w:txbxContent>
              </v:textbox>
              <w10:wrap type="none"/>
            </v:shape>
            <v:shape style="position:absolute;left:856;top:7796;width:1441;height:358" type="#_x0000_t202" filled="false" stroked="false">
              <v:textbox inset="0,0,0,0">
                <w:txbxContent>
                  <w:p>
                    <w:pPr>
                      <w:spacing w:line="160" w:lineRule="exact" w:before="0"/>
                      <w:ind w:left="0" w:right="0" w:firstLine="0"/>
                      <w:jc w:val="left"/>
                      <w:rPr>
                        <w:sz w:val="14"/>
                      </w:rPr>
                    </w:pPr>
                    <w:r>
                      <w:rPr>
                        <w:w w:val="105"/>
                        <w:sz w:val="14"/>
                      </w:rPr>
                      <w:t>d) Assigned</w:t>
                    </w:r>
                  </w:p>
                  <w:p>
                    <w:pPr>
                      <w:spacing w:before="36"/>
                      <w:ind w:left="203" w:right="0" w:firstLine="0"/>
                      <w:jc w:val="left"/>
                      <w:rPr>
                        <w:sz w:val="14"/>
                      </w:rPr>
                    </w:pPr>
                    <w:r>
                      <w:rPr>
                        <w:w w:val="105"/>
                        <w:sz w:val="14"/>
                      </w:rPr>
                      <w:t>Other</w:t>
                    </w:r>
                    <w:r>
                      <w:rPr>
                        <w:spacing w:val="-23"/>
                        <w:w w:val="105"/>
                        <w:sz w:val="14"/>
                      </w:rPr>
                      <w:t> </w:t>
                    </w:r>
                    <w:r>
                      <w:rPr>
                        <w:w w:val="105"/>
                        <w:sz w:val="14"/>
                      </w:rPr>
                      <w:t>Assignments</w:t>
                    </w:r>
                  </w:p>
                </w:txbxContent>
              </v:textbox>
              <w10:wrap type="none"/>
            </v:shape>
            <v:shape style="position:absolute;left:6036;top:7993;width:338;height:161" type="#_x0000_t202" filled="false" stroked="false">
              <v:textbox inset="0,0,0,0">
                <w:txbxContent>
                  <w:p>
                    <w:pPr>
                      <w:spacing w:line="160" w:lineRule="exact" w:before="0"/>
                      <w:ind w:left="0" w:right="0" w:firstLine="0"/>
                      <w:jc w:val="left"/>
                      <w:rPr>
                        <w:sz w:val="14"/>
                      </w:rPr>
                    </w:pPr>
                    <w:r>
                      <w:rPr>
                        <w:w w:val="105"/>
                        <w:sz w:val="14"/>
                      </w:rPr>
                      <w:t>9780</w:t>
                    </w:r>
                  </w:p>
                </w:txbxContent>
              </v:textbox>
              <w10:wrap type="none"/>
            </v:shape>
            <v:shape style="position:absolute;left:7759;top:7993;width:379;height:161" type="#_x0000_t202" filled="false" stroked="false">
              <v:textbox inset="0,0,0,0">
                <w:txbxContent>
                  <w:p>
                    <w:pPr>
                      <w:spacing w:line="160" w:lineRule="exact" w:before="0"/>
                      <w:ind w:left="0" w:right="0" w:firstLine="0"/>
                      <w:jc w:val="left"/>
                      <w:rPr>
                        <w:sz w:val="14"/>
                      </w:rPr>
                    </w:pPr>
                    <w:r>
                      <w:rPr>
                        <w:w w:val="105"/>
                        <w:sz w:val="14"/>
                      </w:rPr>
                      <w:t>20.00</w:t>
                    </w:r>
                  </w:p>
                </w:txbxContent>
              </v:textbox>
              <w10:wrap type="none"/>
            </v:shape>
            <v:shape style="position:absolute;left:9271;top:7993;width:379;height:161" type="#_x0000_t202" filled="false" stroked="false">
              <v:textbox inset="0,0,0,0">
                <w:txbxContent>
                  <w:p>
                    <w:pPr>
                      <w:spacing w:line="160" w:lineRule="exact" w:before="0"/>
                      <w:ind w:left="0" w:right="0" w:firstLine="0"/>
                      <w:jc w:val="left"/>
                      <w:rPr>
                        <w:sz w:val="14"/>
                      </w:rPr>
                    </w:pPr>
                    <w:r>
                      <w:rPr>
                        <w:w w:val="105"/>
                        <w:sz w:val="14"/>
                      </w:rPr>
                      <w:t>20.00</w:t>
                    </w:r>
                  </w:p>
                </w:txbxContent>
              </v:textbox>
              <w10:wrap type="none"/>
            </v:shape>
            <v:shape style="position:absolute;left:10891;top:7993;width:347;height:161" type="#_x0000_t202" filled="false" stroked="false">
              <v:textbox inset="0,0,0,0">
                <w:txbxContent>
                  <w:p>
                    <w:pPr>
                      <w:spacing w:line="160" w:lineRule="exact" w:before="0"/>
                      <w:ind w:left="0" w:right="0" w:firstLine="0"/>
                      <w:jc w:val="left"/>
                      <w:rPr>
                        <w:sz w:val="14"/>
                      </w:rPr>
                    </w:pPr>
                    <w:r>
                      <w:rPr>
                        <w:w w:val="105"/>
                        <w:sz w:val="14"/>
                      </w:rPr>
                      <w:t>0.0%</w:t>
                    </w:r>
                  </w:p>
                </w:txbxContent>
              </v:textbox>
              <w10:wrap type="none"/>
            </v:shape>
            <v:shape style="position:absolute;left:856;top:8333;width:1966;height:161" type="#_x0000_t202" filled="false" stroked="false">
              <v:textbox inset="0,0,0,0">
                <w:txbxContent>
                  <w:p>
                    <w:pPr>
                      <w:spacing w:line="160" w:lineRule="exact" w:before="0"/>
                      <w:ind w:left="0" w:right="0" w:firstLine="0"/>
                      <w:jc w:val="left"/>
                      <w:rPr>
                        <w:sz w:val="14"/>
                      </w:rPr>
                    </w:pPr>
                    <w:r>
                      <w:rPr>
                        <w:sz w:val="14"/>
                      </w:rPr>
                      <w:t>e) Unassigned/Unappropriated</w:t>
                    </w:r>
                  </w:p>
                </w:txbxContent>
              </v:textbox>
              <w10:wrap type="none"/>
            </v:shape>
            <w10:wrap type="none"/>
          </v:group>
        </w:pict>
      </w:r>
      <w:r>
        <w:rPr>
          <w:sz w:val="18"/>
        </w:rPr>
        <w:t>Winship-Robbins Elementary Sutter County</w:t>
      </w:r>
    </w:p>
    <w:p>
      <w:pPr>
        <w:spacing w:line="232" w:lineRule="auto" w:before="1"/>
        <w:ind w:left="572" w:right="0" w:hanging="264"/>
        <w:jc w:val="left"/>
        <w:rPr>
          <w:sz w:val="18"/>
        </w:rPr>
      </w:pPr>
      <w:r>
        <w:rPr/>
        <w:br w:type="column"/>
      </w:r>
      <w:r>
        <w:rPr>
          <w:sz w:val="18"/>
        </w:rPr>
        <w:t>County School Facilities Fund Expenditures by Object</w:t>
      </w:r>
    </w:p>
    <w:p>
      <w:pPr>
        <w:spacing w:line="200" w:lineRule="exact" w:before="0"/>
        <w:ind w:left="0" w:right="287" w:firstLine="0"/>
        <w:jc w:val="right"/>
        <w:rPr>
          <w:sz w:val="18"/>
        </w:rPr>
      </w:pPr>
      <w:r>
        <w:rPr/>
        <w:br w:type="column"/>
      </w:r>
      <w:r>
        <w:rPr>
          <w:sz w:val="18"/>
        </w:rPr>
        <w:t>51 71456</w:t>
      </w:r>
      <w:r>
        <w:rPr>
          <w:spacing w:val="3"/>
          <w:sz w:val="18"/>
        </w:rPr>
        <w:t> </w:t>
      </w:r>
      <w:r>
        <w:rPr>
          <w:sz w:val="18"/>
        </w:rPr>
        <w:t>0000000</w:t>
      </w:r>
    </w:p>
    <w:p>
      <w:pPr>
        <w:spacing w:line="204" w:lineRule="exact" w:before="0"/>
        <w:ind w:left="0" w:right="285" w:firstLine="0"/>
        <w:jc w:val="right"/>
        <w:rPr>
          <w:sz w:val="18"/>
        </w:rPr>
      </w:pPr>
      <w:r>
        <w:rPr>
          <w:sz w:val="18"/>
        </w:rPr>
        <w:t>Form </w:t>
      </w:r>
      <w:r>
        <w:rPr>
          <w:spacing w:val="3"/>
          <w:sz w:val="18"/>
        </w:rPr>
        <w:t> </w:t>
      </w:r>
      <w:r>
        <w:rPr>
          <w:sz w:val="18"/>
        </w:rPr>
        <w:t>35</w:t>
      </w:r>
    </w:p>
    <w:p>
      <w:pPr>
        <w:spacing w:after="0" w:line="204" w:lineRule="exact"/>
        <w:jc w:val="right"/>
        <w:rPr>
          <w:sz w:val="18"/>
        </w:rPr>
        <w:sectPr>
          <w:pgSz w:w="12240" w:h="15840"/>
          <w:pgMar w:header="651" w:footer="437" w:top="840" w:bottom="620" w:left="160" w:right="180"/>
          <w:cols w:num="3" w:equalWidth="0">
            <w:col w:w="2698" w:space="1751"/>
            <w:col w:w="2749" w:space="2594"/>
            <w:col w:w="2108"/>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8"/>
        </w:rPr>
      </w:pPr>
    </w:p>
    <w:tbl>
      <w:tblPr>
        <w:tblW w:w="0" w:type="auto"/>
        <w:jc w:val="left"/>
        <w:tblInd w:w="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42"/>
        <w:gridCol w:w="693"/>
        <w:gridCol w:w="2015"/>
        <w:gridCol w:w="1566"/>
        <w:gridCol w:w="1008"/>
      </w:tblGrid>
      <w:tr>
        <w:trPr>
          <w:trHeight w:val="196" w:hRule="atLeast"/>
        </w:trPr>
        <w:tc>
          <w:tcPr>
            <w:tcW w:w="5342" w:type="dxa"/>
          </w:tcPr>
          <w:p>
            <w:pPr>
              <w:pStyle w:val="TableParagraph"/>
              <w:spacing w:line="160" w:lineRule="exact"/>
              <w:ind w:left="50"/>
              <w:rPr>
                <w:sz w:val="14"/>
              </w:rPr>
            </w:pPr>
            <w:r>
              <w:rPr>
                <w:w w:val="105"/>
                <w:sz w:val="14"/>
              </w:rPr>
              <w:t>1) Beginning Fund Balance</w:t>
            </w:r>
          </w:p>
        </w:tc>
        <w:tc>
          <w:tcPr>
            <w:tcW w:w="5282" w:type="dxa"/>
            <w:gridSpan w:val="4"/>
          </w:tcPr>
          <w:p>
            <w:pPr>
              <w:pStyle w:val="TableParagraph"/>
              <w:rPr>
                <w:rFonts w:ascii="Times New Roman"/>
                <w:sz w:val="12"/>
              </w:rPr>
            </w:pPr>
          </w:p>
        </w:tc>
      </w:tr>
      <w:tr>
        <w:trPr>
          <w:trHeight w:val="254" w:hRule="atLeast"/>
        </w:trPr>
        <w:tc>
          <w:tcPr>
            <w:tcW w:w="5342" w:type="dxa"/>
          </w:tcPr>
          <w:p>
            <w:pPr>
              <w:pStyle w:val="TableParagraph"/>
              <w:spacing w:line="160" w:lineRule="exact"/>
              <w:ind w:left="213"/>
              <w:rPr>
                <w:sz w:val="14"/>
              </w:rPr>
            </w:pPr>
            <w:r>
              <w:rPr>
                <w:w w:val="105"/>
                <w:sz w:val="14"/>
              </w:rPr>
              <w:t>a) As of July 1 - Unaudited</w:t>
            </w:r>
          </w:p>
        </w:tc>
        <w:tc>
          <w:tcPr>
            <w:tcW w:w="693" w:type="dxa"/>
          </w:tcPr>
          <w:p>
            <w:pPr>
              <w:pStyle w:val="TableParagraph"/>
              <w:spacing w:line="160" w:lineRule="exact"/>
              <w:ind w:left="50"/>
              <w:rPr>
                <w:sz w:val="14"/>
              </w:rPr>
            </w:pPr>
            <w:r>
              <w:rPr>
                <w:w w:val="105"/>
                <w:sz w:val="14"/>
              </w:rPr>
              <w:t>9791</w:t>
            </w:r>
          </w:p>
        </w:tc>
        <w:tc>
          <w:tcPr>
            <w:tcW w:w="2015" w:type="dxa"/>
          </w:tcPr>
          <w:p>
            <w:pPr>
              <w:pStyle w:val="TableParagraph"/>
              <w:spacing w:line="160" w:lineRule="exact"/>
              <w:ind w:right="574"/>
              <w:jc w:val="right"/>
              <w:rPr>
                <w:sz w:val="14"/>
              </w:rPr>
            </w:pPr>
            <w:r>
              <w:rPr>
                <w:sz w:val="14"/>
              </w:rPr>
              <w:t>0.00</w:t>
            </w:r>
          </w:p>
        </w:tc>
        <w:tc>
          <w:tcPr>
            <w:tcW w:w="1566" w:type="dxa"/>
          </w:tcPr>
          <w:p>
            <w:pPr>
              <w:pStyle w:val="TableParagraph"/>
              <w:spacing w:line="160" w:lineRule="exact"/>
              <w:ind w:right="627"/>
              <w:jc w:val="right"/>
              <w:rPr>
                <w:sz w:val="14"/>
              </w:rPr>
            </w:pPr>
            <w:r>
              <w:rPr>
                <w:sz w:val="14"/>
              </w:rPr>
              <w:t>20.00</w:t>
            </w:r>
          </w:p>
        </w:tc>
        <w:tc>
          <w:tcPr>
            <w:tcW w:w="1008" w:type="dxa"/>
          </w:tcPr>
          <w:p>
            <w:pPr>
              <w:pStyle w:val="TableParagraph"/>
              <w:spacing w:line="160" w:lineRule="exact"/>
              <w:ind w:right="46"/>
              <w:jc w:val="right"/>
              <w:rPr>
                <w:sz w:val="14"/>
              </w:rPr>
            </w:pPr>
            <w:r>
              <w:rPr>
                <w:sz w:val="14"/>
              </w:rPr>
              <w:t>New</w:t>
            </w:r>
          </w:p>
        </w:tc>
      </w:tr>
      <w:tr>
        <w:trPr>
          <w:trHeight w:val="347" w:hRule="atLeast"/>
        </w:trPr>
        <w:tc>
          <w:tcPr>
            <w:tcW w:w="5342" w:type="dxa"/>
          </w:tcPr>
          <w:p>
            <w:pPr>
              <w:pStyle w:val="TableParagraph"/>
              <w:spacing w:before="92"/>
              <w:ind w:left="213"/>
              <w:rPr>
                <w:sz w:val="14"/>
              </w:rPr>
            </w:pPr>
            <w:r>
              <w:rPr>
                <w:w w:val="105"/>
                <w:sz w:val="14"/>
              </w:rPr>
              <w:t>b) Audit Adjustments</w:t>
            </w:r>
          </w:p>
        </w:tc>
        <w:tc>
          <w:tcPr>
            <w:tcW w:w="693" w:type="dxa"/>
          </w:tcPr>
          <w:p>
            <w:pPr>
              <w:pStyle w:val="TableParagraph"/>
              <w:spacing w:before="92"/>
              <w:ind w:left="50"/>
              <w:rPr>
                <w:sz w:val="14"/>
              </w:rPr>
            </w:pPr>
            <w:r>
              <w:rPr>
                <w:w w:val="105"/>
                <w:sz w:val="14"/>
              </w:rPr>
              <w:t>9793</w:t>
            </w:r>
          </w:p>
        </w:tc>
        <w:tc>
          <w:tcPr>
            <w:tcW w:w="2015" w:type="dxa"/>
          </w:tcPr>
          <w:p>
            <w:pPr>
              <w:pStyle w:val="TableParagraph"/>
              <w:spacing w:before="92"/>
              <w:ind w:right="574"/>
              <w:jc w:val="right"/>
              <w:rPr>
                <w:sz w:val="14"/>
              </w:rPr>
            </w:pPr>
            <w:r>
              <w:rPr>
                <w:sz w:val="14"/>
              </w:rPr>
              <w:t>0.00</w:t>
            </w:r>
          </w:p>
        </w:tc>
        <w:tc>
          <w:tcPr>
            <w:tcW w:w="1566" w:type="dxa"/>
          </w:tcPr>
          <w:p>
            <w:pPr>
              <w:pStyle w:val="TableParagraph"/>
              <w:spacing w:before="92"/>
              <w:ind w:right="628"/>
              <w:jc w:val="right"/>
              <w:rPr>
                <w:sz w:val="14"/>
              </w:rPr>
            </w:pPr>
            <w:r>
              <w:rPr>
                <w:sz w:val="14"/>
              </w:rPr>
              <w:t>0.00</w:t>
            </w:r>
          </w:p>
        </w:tc>
        <w:tc>
          <w:tcPr>
            <w:tcW w:w="1008" w:type="dxa"/>
          </w:tcPr>
          <w:p>
            <w:pPr>
              <w:pStyle w:val="TableParagraph"/>
              <w:spacing w:before="92"/>
              <w:ind w:right="47"/>
              <w:jc w:val="right"/>
              <w:rPr>
                <w:sz w:val="14"/>
              </w:rPr>
            </w:pPr>
            <w:r>
              <w:rPr>
                <w:sz w:val="14"/>
              </w:rPr>
              <w:t>0.0%</w:t>
            </w:r>
          </w:p>
        </w:tc>
      </w:tr>
      <w:tr>
        <w:trPr>
          <w:trHeight w:val="347" w:hRule="atLeast"/>
        </w:trPr>
        <w:tc>
          <w:tcPr>
            <w:tcW w:w="5342" w:type="dxa"/>
          </w:tcPr>
          <w:p>
            <w:pPr>
              <w:pStyle w:val="TableParagraph"/>
              <w:spacing w:before="92"/>
              <w:ind w:left="213"/>
              <w:rPr>
                <w:sz w:val="14"/>
              </w:rPr>
            </w:pPr>
            <w:r>
              <w:rPr>
                <w:w w:val="105"/>
                <w:sz w:val="14"/>
              </w:rPr>
              <w:t>c) As of July 1 - Audited (F1a + F1b)</w:t>
            </w:r>
          </w:p>
        </w:tc>
        <w:tc>
          <w:tcPr>
            <w:tcW w:w="693" w:type="dxa"/>
          </w:tcPr>
          <w:p>
            <w:pPr>
              <w:pStyle w:val="TableParagraph"/>
              <w:rPr>
                <w:rFonts w:ascii="Times New Roman"/>
                <w:sz w:val="14"/>
              </w:rPr>
            </w:pPr>
          </w:p>
        </w:tc>
        <w:tc>
          <w:tcPr>
            <w:tcW w:w="2015" w:type="dxa"/>
          </w:tcPr>
          <w:p>
            <w:pPr>
              <w:pStyle w:val="TableParagraph"/>
              <w:spacing w:before="92"/>
              <w:ind w:right="574"/>
              <w:jc w:val="right"/>
              <w:rPr>
                <w:sz w:val="14"/>
              </w:rPr>
            </w:pPr>
            <w:r>
              <w:rPr>
                <w:sz w:val="14"/>
              </w:rPr>
              <w:t>0.00</w:t>
            </w:r>
          </w:p>
        </w:tc>
        <w:tc>
          <w:tcPr>
            <w:tcW w:w="1566" w:type="dxa"/>
          </w:tcPr>
          <w:p>
            <w:pPr>
              <w:pStyle w:val="TableParagraph"/>
              <w:spacing w:before="92"/>
              <w:ind w:right="627"/>
              <w:jc w:val="right"/>
              <w:rPr>
                <w:sz w:val="14"/>
              </w:rPr>
            </w:pPr>
            <w:r>
              <w:rPr>
                <w:sz w:val="14"/>
              </w:rPr>
              <w:t>20.00</w:t>
            </w:r>
          </w:p>
        </w:tc>
        <w:tc>
          <w:tcPr>
            <w:tcW w:w="1008" w:type="dxa"/>
          </w:tcPr>
          <w:p>
            <w:pPr>
              <w:pStyle w:val="TableParagraph"/>
              <w:spacing w:before="92"/>
              <w:ind w:right="46"/>
              <w:jc w:val="right"/>
              <w:rPr>
                <w:sz w:val="14"/>
              </w:rPr>
            </w:pPr>
            <w:r>
              <w:rPr>
                <w:sz w:val="14"/>
              </w:rPr>
              <w:t>New</w:t>
            </w:r>
          </w:p>
        </w:tc>
      </w:tr>
      <w:tr>
        <w:trPr>
          <w:trHeight w:val="347" w:hRule="atLeast"/>
        </w:trPr>
        <w:tc>
          <w:tcPr>
            <w:tcW w:w="5342" w:type="dxa"/>
          </w:tcPr>
          <w:p>
            <w:pPr>
              <w:pStyle w:val="TableParagraph"/>
              <w:spacing w:before="92"/>
              <w:ind w:left="213"/>
              <w:rPr>
                <w:sz w:val="14"/>
              </w:rPr>
            </w:pPr>
            <w:r>
              <w:rPr>
                <w:w w:val="105"/>
                <w:sz w:val="14"/>
              </w:rPr>
              <w:t>d) Other Restatements</w:t>
            </w:r>
          </w:p>
        </w:tc>
        <w:tc>
          <w:tcPr>
            <w:tcW w:w="693" w:type="dxa"/>
          </w:tcPr>
          <w:p>
            <w:pPr>
              <w:pStyle w:val="TableParagraph"/>
              <w:spacing w:before="92"/>
              <w:ind w:left="50"/>
              <w:rPr>
                <w:sz w:val="14"/>
              </w:rPr>
            </w:pPr>
            <w:r>
              <w:rPr>
                <w:w w:val="105"/>
                <w:sz w:val="14"/>
              </w:rPr>
              <w:t>9795</w:t>
            </w:r>
          </w:p>
        </w:tc>
        <w:tc>
          <w:tcPr>
            <w:tcW w:w="2015" w:type="dxa"/>
          </w:tcPr>
          <w:p>
            <w:pPr>
              <w:pStyle w:val="TableParagraph"/>
              <w:spacing w:before="92"/>
              <w:ind w:right="574"/>
              <w:jc w:val="right"/>
              <w:rPr>
                <w:sz w:val="14"/>
              </w:rPr>
            </w:pPr>
            <w:r>
              <w:rPr>
                <w:sz w:val="14"/>
              </w:rPr>
              <w:t>0.00</w:t>
            </w:r>
          </w:p>
        </w:tc>
        <w:tc>
          <w:tcPr>
            <w:tcW w:w="1566" w:type="dxa"/>
          </w:tcPr>
          <w:p>
            <w:pPr>
              <w:pStyle w:val="TableParagraph"/>
              <w:spacing w:before="92"/>
              <w:ind w:right="628"/>
              <w:jc w:val="right"/>
              <w:rPr>
                <w:sz w:val="14"/>
              </w:rPr>
            </w:pPr>
            <w:r>
              <w:rPr>
                <w:sz w:val="14"/>
              </w:rPr>
              <w:t>0.00</w:t>
            </w:r>
          </w:p>
        </w:tc>
        <w:tc>
          <w:tcPr>
            <w:tcW w:w="1008" w:type="dxa"/>
          </w:tcPr>
          <w:p>
            <w:pPr>
              <w:pStyle w:val="TableParagraph"/>
              <w:spacing w:before="92"/>
              <w:ind w:right="47"/>
              <w:jc w:val="right"/>
              <w:rPr>
                <w:sz w:val="14"/>
              </w:rPr>
            </w:pPr>
            <w:r>
              <w:rPr>
                <w:sz w:val="14"/>
              </w:rPr>
              <w:t>0.0%</w:t>
            </w:r>
          </w:p>
        </w:tc>
      </w:tr>
      <w:tr>
        <w:trPr>
          <w:trHeight w:val="348" w:hRule="atLeast"/>
        </w:trPr>
        <w:tc>
          <w:tcPr>
            <w:tcW w:w="5342" w:type="dxa"/>
          </w:tcPr>
          <w:p>
            <w:pPr>
              <w:pStyle w:val="TableParagraph"/>
              <w:spacing w:before="92"/>
              <w:ind w:left="213"/>
              <w:rPr>
                <w:sz w:val="14"/>
              </w:rPr>
            </w:pPr>
            <w:r>
              <w:rPr>
                <w:w w:val="105"/>
                <w:sz w:val="14"/>
              </w:rPr>
              <w:t>e) Adjusted Beginning Balance (F1c + F1d)</w:t>
            </w:r>
          </w:p>
        </w:tc>
        <w:tc>
          <w:tcPr>
            <w:tcW w:w="693" w:type="dxa"/>
          </w:tcPr>
          <w:p>
            <w:pPr>
              <w:pStyle w:val="TableParagraph"/>
              <w:rPr>
                <w:rFonts w:ascii="Times New Roman"/>
                <w:sz w:val="14"/>
              </w:rPr>
            </w:pPr>
          </w:p>
        </w:tc>
        <w:tc>
          <w:tcPr>
            <w:tcW w:w="2015" w:type="dxa"/>
          </w:tcPr>
          <w:p>
            <w:pPr>
              <w:pStyle w:val="TableParagraph"/>
              <w:spacing w:before="92"/>
              <w:ind w:right="574"/>
              <w:jc w:val="right"/>
              <w:rPr>
                <w:sz w:val="14"/>
              </w:rPr>
            </w:pPr>
            <w:r>
              <w:rPr>
                <w:sz w:val="14"/>
              </w:rPr>
              <w:t>0.00</w:t>
            </w:r>
          </w:p>
        </w:tc>
        <w:tc>
          <w:tcPr>
            <w:tcW w:w="1566" w:type="dxa"/>
          </w:tcPr>
          <w:p>
            <w:pPr>
              <w:pStyle w:val="TableParagraph"/>
              <w:spacing w:before="92"/>
              <w:ind w:right="627"/>
              <w:jc w:val="right"/>
              <w:rPr>
                <w:sz w:val="14"/>
              </w:rPr>
            </w:pPr>
            <w:r>
              <w:rPr>
                <w:sz w:val="14"/>
              </w:rPr>
              <w:t>20.00</w:t>
            </w:r>
          </w:p>
        </w:tc>
        <w:tc>
          <w:tcPr>
            <w:tcW w:w="1008" w:type="dxa"/>
          </w:tcPr>
          <w:p>
            <w:pPr>
              <w:pStyle w:val="TableParagraph"/>
              <w:spacing w:before="92"/>
              <w:ind w:right="46"/>
              <w:jc w:val="right"/>
              <w:rPr>
                <w:sz w:val="14"/>
              </w:rPr>
            </w:pPr>
            <w:r>
              <w:rPr>
                <w:sz w:val="14"/>
              </w:rPr>
              <w:t>New</w:t>
            </w:r>
          </w:p>
        </w:tc>
      </w:tr>
      <w:tr>
        <w:trPr>
          <w:trHeight w:val="647" w:hRule="atLeast"/>
        </w:trPr>
        <w:tc>
          <w:tcPr>
            <w:tcW w:w="5342" w:type="dxa"/>
          </w:tcPr>
          <w:p>
            <w:pPr>
              <w:pStyle w:val="TableParagraph"/>
              <w:numPr>
                <w:ilvl w:val="0"/>
                <w:numId w:val="38"/>
              </w:numPr>
              <w:tabs>
                <w:tab w:pos="217" w:val="left" w:leader="none"/>
              </w:tabs>
              <w:spacing w:line="292" w:lineRule="auto" w:before="92" w:after="0"/>
              <w:ind w:left="213" w:right="2748" w:hanging="164"/>
              <w:jc w:val="left"/>
              <w:rPr>
                <w:sz w:val="14"/>
              </w:rPr>
            </w:pPr>
            <w:r>
              <w:rPr>
                <w:w w:val="105"/>
                <w:sz w:val="14"/>
              </w:rPr>
              <w:t>Ending Balance, June 30 (E + F1e) Components</w:t>
            </w:r>
            <w:r>
              <w:rPr>
                <w:spacing w:val="-14"/>
                <w:w w:val="105"/>
                <w:sz w:val="14"/>
              </w:rPr>
              <w:t> </w:t>
            </w:r>
            <w:r>
              <w:rPr>
                <w:w w:val="105"/>
                <w:sz w:val="14"/>
              </w:rPr>
              <w:t>of</w:t>
            </w:r>
            <w:r>
              <w:rPr>
                <w:spacing w:val="-13"/>
                <w:w w:val="105"/>
                <w:sz w:val="14"/>
              </w:rPr>
              <w:t> </w:t>
            </w:r>
            <w:r>
              <w:rPr>
                <w:w w:val="105"/>
                <w:sz w:val="14"/>
              </w:rPr>
              <w:t>Ending</w:t>
            </w:r>
            <w:r>
              <w:rPr>
                <w:spacing w:val="-14"/>
                <w:w w:val="105"/>
                <w:sz w:val="14"/>
              </w:rPr>
              <w:t> </w:t>
            </w:r>
            <w:r>
              <w:rPr>
                <w:w w:val="105"/>
                <w:sz w:val="14"/>
              </w:rPr>
              <w:t>Fund</w:t>
            </w:r>
            <w:r>
              <w:rPr>
                <w:spacing w:val="-15"/>
                <w:w w:val="105"/>
                <w:sz w:val="14"/>
              </w:rPr>
              <w:t> </w:t>
            </w:r>
            <w:r>
              <w:rPr>
                <w:spacing w:val="-3"/>
                <w:w w:val="105"/>
                <w:sz w:val="14"/>
              </w:rPr>
              <w:t>Balance</w:t>
            </w:r>
          </w:p>
          <w:p>
            <w:pPr>
              <w:pStyle w:val="TableParagraph"/>
              <w:numPr>
                <w:ilvl w:val="1"/>
                <w:numId w:val="38"/>
              </w:numPr>
              <w:tabs>
                <w:tab w:pos="381" w:val="left" w:leader="none"/>
              </w:tabs>
              <w:spacing w:line="142" w:lineRule="exact" w:before="1" w:after="0"/>
              <w:ind w:left="380" w:right="0" w:hanging="168"/>
              <w:jc w:val="left"/>
              <w:rPr>
                <w:sz w:val="14"/>
              </w:rPr>
            </w:pPr>
            <w:r>
              <w:rPr>
                <w:w w:val="105"/>
                <w:sz w:val="14"/>
              </w:rPr>
              <w:t>Nonspendable</w:t>
            </w:r>
          </w:p>
        </w:tc>
        <w:tc>
          <w:tcPr>
            <w:tcW w:w="693" w:type="dxa"/>
          </w:tcPr>
          <w:p>
            <w:pPr>
              <w:pStyle w:val="TableParagraph"/>
              <w:rPr>
                <w:rFonts w:ascii="Times New Roman"/>
                <w:sz w:val="14"/>
              </w:rPr>
            </w:pPr>
          </w:p>
        </w:tc>
        <w:tc>
          <w:tcPr>
            <w:tcW w:w="2015" w:type="dxa"/>
          </w:tcPr>
          <w:p>
            <w:pPr>
              <w:pStyle w:val="TableParagraph"/>
              <w:spacing w:before="92"/>
              <w:ind w:right="573"/>
              <w:jc w:val="right"/>
              <w:rPr>
                <w:sz w:val="14"/>
              </w:rPr>
            </w:pPr>
            <w:r>
              <w:rPr>
                <w:sz w:val="14"/>
              </w:rPr>
              <w:t>20.00</w:t>
            </w:r>
          </w:p>
        </w:tc>
        <w:tc>
          <w:tcPr>
            <w:tcW w:w="1566" w:type="dxa"/>
          </w:tcPr>
          <w:p>
            <w:pPr>
              <w:pStyle w:val="TableParagraph"/>
              <w:spacing w:before="92"/>
              <w:ind w:right="627"/>
              <w:jc w:val="right"/>
              <w:rPr>
                <w:sz w:val="14"/>
              </w:rPr>
            </w:pPr>
            <w:r>
              <w:rPr>
                <w:sz w:val="14"/>
              </w:rPr>
              <w:t>20.00</w:t>
            </w:r>
          </w:p>
        </w:tc>
        <w:tc>
          <w:tcPr>
            <w:tcW w:w="1008" w:type="dxa"/>
          </w:tcPr>
          <w:p>
            <w:pPr>
              <w:pStyle w:val="TableParagraph"/>
              <w:spacing w:before="92"/>
              <w:ind w:right="47"/>
              <w:jc w:val="right"/>
              <w:rPr>
                <w:sz w:val="14"/>
              </w:rPr>
            </w:pPr>
            <w:r>
              <w:rPr>
                <w:sz w:val="14"/>
              </w:rPr>
              <w:t>0.0%</w:t>
            </w:r>
          </w:p>
        </w:tc>
      </w:tr>
      <w:tr>
        <w:trPr>
          <w:trHeight w:val="286" w:hRule="atLeast"/>
        </w:trPr>
        <w:tc>
          <w:tcPr>
            <w:tcW w:w="5342" w:type="dxa"/>
          </w:tcPr>
          <w:p>
            <w:pPr>
              <w:pStyle w:val="TableParagraph"/>
              <w:spacing w:before="35"/>
              <w:ind w:left="416"/>
              <w:rPr>
                <w:sz w:val="14"/>
              </w:rPr>
            </w:pPr>
            <w:r>
              <w:rPr>
                <w:w w:val="105"/>
                <w:sz w:val="14"/>
              </w:rPr>
              <w:t>Revolving Cash</w:t>
            </w:r>
          </w:p>
        </w:tc>
        <w:tc>
          <w:tcPr>
            <w:tcW w:w="693" w:type="dxa"/>
          </w:tcPr>
          <w:p>
            <w:pPr>
              <w:pStyle w:val="TableParagraph"/>
              <w:spacing w:before="35"/>
              <w:ind w:left="50"/>
              <w:rPr>
                <w:sz w:val="14"/>
              </w:rPr>
            </w:pPr>
            <w:r>
              <w:rPr>
                <w:w w:val="105"/>
                <w:sz w:val="14"/>
              </w:rPr>
              <w:t>9711</w:t>
            </w:r>
          </w:p>
        </w:tc>
        <w:tc>
          <w:tcPr>
            <w:tcW w:w="2015" w:type="dxa"/>
          </w:tcPr>
          <w:p>
            <w:pPr>
              <w:pStyle w:val="TableParagraph"/>
              <w:spacing w:before="35"/>
              <w:ind w:right="574"/>
              <w:jc w:val="right"/>
              <w:rPr>
                <w:sz w:val="14"/>
              </w:rPr>
            </w:pPr>
            <w:r>
              <w:rPr>
                <w:sz w:val="14"/>
              </w:rPr>
              <w:t>0.00</w:t>
            </w:r>
          </w:p>
        </w:tc>
        <w:tc>
          <w:tcPr>
            <w:tcW w:w="1566" w:type="dxa"/>
          </w:tcPr>
          <w:p>
            <w:pPr>
              <w:pStyle w:val="TableParagraph"/>
              <w:spacing w:before="35"/>
              <w:ind w:right="628"/>
              <w:jc w:val="right"/>
              <w:rPr>
                <w:sz w:val="14"/>
              </w:rPr>
            </w:pPr>
            <w:r>
              <w:rPr>
                <w:sz w:val="14"/>
              </w:rPr>
              <w:t>0.00</w:t>
            </w:r>
          </w:p>
        </w:tc>
        <w:tc>
          <w:tcPr>
            <w:tcW w:w="1008" w:type="dxa"/>
          </w:tcPr>
          <w:p>
            <w:pPr>
              <w:pStyle w:val="TableParagraph"/>
              <w:spacing w:before="35"/>
              <w:ind w:right="47"/>
              <w:jc w:val="right"/>
              <w:rPr>
                <w:sz w:val="14"/>
              </w:rPr>
            </w:pPr>
            <w:r>
              <w:rPr>
                <w:sz w:val="14"/>
              </w:rPr>
              <w:t>0.0%</w:t>
            </w:r>
          </w:p>
        </w:tc>
      </w:tr>
      <w:tr>
        <w:trPr>
          <w:trHeight w:val="340" w:hRule="atLeast"/>
        </w:trPr>
        <w:tc>
          <w:tcPr>
            <w:tcW w:w="5342" w:type="dxa"/>
          </w:tcPr>
          <w:p>
            <w:pPr>
              <w:pStyle w:val="TableParagraph"/>
              <w:spacing w:before="89"/>
              <w:ind w:left="416"/>
              <w:rPr>
                <w:sz w:val="14"/>
              </w:rPr>
            </w:pPr>
            <w:r>
              <w:rPr>
                <w:w w:val="105"/>
                <w:sz w:val="14"/>
              </w:rPr>
              <w:t>Stores</w:t>
            </w:r>
          </w:p>
        </w:tc>
        <w:tc>
          <w:tcPr>
            <w:tcW w:w="693" w:type="dxa"/>
          </w:tcPr>
          <w:p>
            <w:pPr>
              <w:pStyle w:val="TableParagraph"/>
              <w:spacing w:before="89"/>
              <w:ind w:left="50"/>
              <w:rPr>
                <w:sz w:val="14"/>
              </w:rPr>
            </w:pPr>
            <w:r>
              <w:rPr>
                <w:w w:val="105"/>
                <w:sz w:val="14"/>
              </w:rPr>
              <w:t>9712</w:t>
            </w:r>
          </w:p>
        </w:tc>
        <w:tc>
          <w:tcPr>
            <w:tcW w:w="2015" w:type="dxa"/>
          </w:tcPr>
          <w:p>
            <w:pPr>
              <w:pStyle w:val="TableParagraph"/>
              <w:spacing w:before="89"/>
              <w:ind w:right="574"/>
              <w:jc w:val="right"/>
              <w:rPr>
                <w:sz w:val="14"/>
              </w:rPr>
            </w:pPr>
            <w:r>
              <w:rPr>
                <w:sz w:val="14"/>
              </w:rPr>
              <w:t>0.00</w:t>
            </w:r>
          </w:p>
        </w:tc>
        <w:tc>
          <w:tcPr>
            <w:tcW w:w="1566" w:type="dxa"/>
          </w:tcPr>
          <w:p>
            <w:pPr>
              <w:pStyle w:val="TableParagraph"/>
              <w:spacing w:before="89"/>
              <w:ind w:right="628"/>
              <w:jc w:val="right"/>
              <w:rPr>
                <w:sz w:val="14"/>
              </w:rPr>
            </w:pPr>
            <w:r>
              <w:rPr>
                <w:sz w:val="14"/>
              </w:rPr>
              <w:t>0.00</w:t>
            </w:r>
          </w:p>
        </w:tc>
        <w:tc>
          <w:tcPr>
            <w:tcW w:w="1008" w:type="dxa"/>
          </w:tcPr>
          <w:p>
            <w:pPr>
              <w:pStyle w:val="TableParagraph"/>
              <w:spacing w:before="89"/>
              <w:ind w:right="47"/>
              <w:jc w:val="right"/>
              <w:rPr>
                <w:sz w:val="14"/>
              </w:rPr>
            </w:pPr>
            <w:r>
              <w:rPr>
                <w:sz w:val="14"/>
              </w:rPr>
              <w:t>0.0%</w:t>
            </w:r>
          </w:p>
        </w:tc>
      </w:tr>
      <w:tr>
        <w:trPr>
          <w:trHeight w:val="340" w:hRule="atLeast"/>
        </w:trPr>
        <w:tc>
          <w:tcPr>
            <w:tcW w:w="5342" w:type="dxa"/>
          </w:tcPr>
          <w:p>
            <w:pPr>
              <w:pStyle w:val="TableParagraph"/>
              <w:spacing w:before="89"/>
              <w:ind w:left="416"/>
              <w:rPr>
                <w:sz w:val="14"/>
              </w:rPr>
            </w:pPr>
            <w:r>
              <w:rPr>
                <w:w w:val="105"/>
                <w:sz w:val="14"/>
              </w:rPr>
              <w:t>Prepaid Items</w:t>
            </w:r>
          </w:p>
        </w:tc>
        <w:tc>
          <w:tcPr>
            <w:tcW w:w="693" w:type="dxa"/>
          </w:tcPr>
          <w:p>
            <w:pPr>
              <w:pStyle w:val="TableParagraph"/>
              <w:spacing w:before="89"/>
              <w:ind w:left="50"/>
              <w:rPr>
                <w:sz w:val="14"/>
              </w:rPr>
            </w:pPr>
            <w:r>
              <w:rPr>
                <w:w w:val="105"/>
                <w:sz w:val="14"/>
              </w:rPr>
              <w:t>9713</w:t>
            </w:r>
          </w:p>
        </w:tc>
        <w:tc>
          <w:tcPr>
            <w:tcW w:w="2015" w:type="dxa"/>
          </w:tcPr>
          <w:p>
            <w:pPr>
              <w:pStyle w:val="TableParagraph"/>
              <w:spacing w:before="89"/>
              <w:ind w:right="574"/>
              <w:jc w:val="right"/>
              <w:rPr>
                <w:sz w:val="14"/>
              </w:rPr>
            </w:pPr>
            <w:r>
              <w:rPr>
                <w:sz w:val="14"/>
              </w:rPr>
              <w:t>0.00</w:t>
            </w:r>
          </w:p>
        </w:tc>
        <w:tc>
          <w:tcPr>
            <w:tcW w:w="1566" w:type="dxa"/>
          </w:tcPr>
          <w:p>
            <w:pPr>
              <w:pStyle w:val="TableParagraph"/>
              <w:spacing w:before="89"/>
              <w:ind w:right="628"/>
              <w:jc w:val="right"/>
              <w:rPr>
                <w:sz w:val="14"/>
              </w:rPr>
            </w:pPr>
            <w:r>
              <w:rPr>
                <w:sz w:val="14"/>
              </w:rPr>
              <w:t>0.00</w:t>
            </w:r>
          </w:p>
        </w:tc>
        <w:tc>
          <w:tcPr>
            <w:tcW w:w="1008" w:type="dxa"/>
          </w:tcPr>
          <w:p>
            <w:pPr>
              <w:pStyle w:val="TableParagraph"/>
              <w:spacing w:before="89"/>
              <w:ind w:right="47"/>
              <w:jc w:val="right"/>
              <w:rPr>
                <w:sz w:val="14"/>
              </w:rPr>
            </w:pPr>
            <w:r>
              <w:rPr>
                <w:sz w:val="14"/>
              </w:rPr>
              <w:t>0.0%</w:t>
            </w:r>
          </w:p>
        </w:tc>
      </w:tr>
      <w:tr>
        <w:trPr>
          <w:trHeight w:val="250" w:hRule="atLeast"/>
        </w:trPr>
        <w:tc>
          <w:tcPr>
            <w:tcW w:w="5342" w:type="dxa"/>
          </w:tcPr>
          <w:p>
            <w:pPr>
              <w:pStyle w:val="TableParagraph"/>
              <w:spacing w:line="142" w:lineRule="exact" w:before="89"/>
              <w:ind w:left="416"/>
              <w:rPr>
                <w:sz w:val="14"/>
              </w:rPr>
            </w:pPr>
            <w:r>
              <w:rPr>
                <w:w w:val="105"/>
                <w:sz w:val="14"/>
              </w:rPr>
              <w:t>All Others</w:t>
            </w:r>
          </w:p>
        </w:tc>
        <w:tc>
          <w:tcPr>
            <w:tcW w:w="693" w:type="dxa"/>
          </w:tcPr>
          <w:p>
            <w:pPr>
              <w:pStyle w:val="TableParagraph"/>
              <w:spacing w:line="142" w:lineRule="exact" w:before="89"/>
              <w:ind w:left="50"/>
              <w:rPr>
                <w:sz w:val="14"/>
              </w:rPr>
            </w:pPr>
            <w:r>
              <w:rPr>
                <w:w w:val="105"/>
                <w:sz w:val="14"/>
              </w:rPr>
              <w:t>9719</w:t>
            </w:r>
          </w:p>
        </w:tc>
        <w:tc>
          <w:tcPr>
            <w:tcW w:w="2015" w:type="dxa"/>
          </w:tcPr>
          <w:p>
            <w:pPr>
              <w:pStyle w:val="TableParagraph"/>
              <w:spacing w:line="142" w:lineRule="exact" w:before="89"/>
              <w:ind w:right="574"/>
              <w:jc w:val="right"/>
              <w:rPr>
                <w:sz w:val="14"/>
              </w:rPr>
            </w:pPr>
            <w:r>
              <w:rPr>
                <w:sz w:val="14"/>
              </w:rPr>
              <w:t>0.00</w:t>
            </w:r>
          </w:p>
        </w:tc>
        <w:tc>
          <w:tcPr>
            <w:tcW w:w="1566" w:type="dxa"/>
          </w:tcPr>
          <w:p>
            <w:pPr>
              <w:pStyle w:val="TableParagraph"/>
              <w:spacing w:line="142" w:lineRule="exact" w:before="89"/>
              <w:ind w:right="628"/>
              <w:jc w:val="right"/>
              <w:rPr>
                <w:sz w:val="14"/>
              </w:rPr>
            </w:pPr>
            <w:r>
              <w:rPr>
                <w:sz w:val="14"/>
              </w:rPr>
              <w:t>0.00</w:t>
            </w:r>
          </w:p>
        </w:tc>
        <w:tc>
          <w:tcPr>
            <w:tcW w:w="1008" w:type="dxa"/>
          </w:tcPr>
          <w:p>
            <w:pPr>
              <w:pStyle w:val="TableParagraph"/>
              <w:spacing w:line="142" w:lineRule="exact" w:before="89"/>
              <w:ind w:right="47"/>
              <w:jc w:val="right"/>
              <w:rPr>
                <w:sz w:val="14"/>
              </w:rPr>
            </w:pPr>
            <w:r>
              <w:rPr>
                <w:sz w:val="14"/>
              </w:rPr>
              <w:t>0.0%</w:t>
            </w:r>
          </w:p>
        </w:tc>
      </w:tr>
      <w:tr>
        <w:trPr>
          <w:trHeight w:val="343" w:hRule="atLeast"/>
        </w:trPr>
        <w:tc>
          <w:tcPr>
            <w:tcW w:w="6035" w:type="dxa"/>
            <w:gridSpan w:val="2"/>
          </w:tcPr>
          <w:p>
            <w:pPr>
              <w:pStyle w:val="TableParagraph"/>
              <w:tabs>
                <w:tab w:pos="5709" w:val="right" w:leader="none"/>
              </w:tabs>
              <w:spacing w:line="145" w:lineRule="exact" w:before="179"/>
              <w:ind w:left="213"/>
              <w:rPr>
                <w:sz w:val="14"/>
              </w:rPr>
            </w:pPr>
            <w:r>
              <w:rPr>
                <w:w w:val="105"/>
                <w:sz w:val="14"/>
              </w:rPr>
              <w:t>b)</w:t>
            </w:r>
            <w:r>
              <w:rPr>
                <w:spacing w:val="-2"/>
                <w:w w:val="105"/>
                <w:sz w:val="14"/>
              </w:rPr>
              <w:t> </w:t>
            </w:r>
            <w:r>
              <w:rPr>
                <w:w w:val="105"/>
                <w:sz w:val="14"/>
              </w:rPr>
              <w:t>Restricted</w:t>
              <w:tab/>
              <w:t>9740</w:t>
            </w:r>
          </w:p>
        </w:tc>
        <w:tc>
          <w:tcPr>
            <w:tcW w:w="2015" w:type="dxa"/>
          </w:tcPr>
          <w:p>
            <w:pPr>
              <w:pStyle w:val="TableParagraph"/>
              <w:spacing w:before="6"/>
              <w:rPr>
                <w:sz w:val="15"/>
              </w:rPr>
            </w:pPr>
          </w:p>
          <w:p>
            <w:pPr>
              <w:pStyle w:val="TableParagraph"/>
              <w:spacing w:line="145" w:lineRule="exact"/>
              <w:ind w:right="574"/>
              <w:jc w:val="right"/>
              <w:rPr>
                <w:sz w:val="14"/>
              </w:rPr>
            </w:pPr>
            <w:r>
              <w:rPr>
                <w:sz w:val="14"/>
              </w:rPr>
              <w:t>0.00</w:t>
            </w:r>
          </w:p>
        </w:tc>
        <w:tc>
          <w:tcPr>
            <w:tcW w:w="1566" w:type="dxa"/>
          </w:tcPr>
          <w:p>
            <w:pPr>
              <w:pStyle w:val="TableParagraph"/>
              <w:spacing w:before="6"/>
              <w:rPr>
                <w:sz w:val="15"/>
              </w:rPr>
            </w:pPr>
          </w:p>
          <w:p>
            <w:pPr>
              <w:pStyle w:val="TableParagraph"/>
              <w:spacing w:line="145" w:lineRule="exact"/>
              <w:ind w:right="628"/>
              <w:jc w:val="right"/>
              <w:rPr>
                <w:sz w:val="14"/>
              </w:rPr>
            </w:pPr>
            <w:r>
              <w:rPr>
                <w:sz w:val="14"/>
              </w:rPr>
              <w:t>0.00</w:t>
            </w:r>
          </w:p>
        </w:tc>
        <w:tc>
          <w:tcPr>
            <w:tcW w:w="1008" w:type="dxa"/>
          </w:tcPr>
          <w:p>
            <w:pPr>
              <w:pStyle w:val="TableParagraph"/>
              <w:spacing w:before="6"/>
              <w:rPr>
                <w:sz w:val="15"/>
              </w:rPr>
            </w:pPr>
          </w:p>
          <w:p>
            <w:pPr>
              <w:pStyle w:val="TableParagraph"/>
              <w:spacing w:line="145" w:lineRule="exact"/>
              <w:ind w:right="47"/>
              <w:jc w:val="right"/>
              <w:rPr>
                <w:sz w:val="14"/>
              </w:rPr>
            </w:pPr>
            <w:r>
              <w:rPr>
                <w:sz w:val="14"/>
              </w:rPr>
              <w:t>0.0%</w:t>
            </w:r>
          </w:p>
        </w:tc>
      </w:tr>
      <w:tr>
        <w:trPr>
          <w:trHeight w:val="340" w:hRule="atLeast"/>
        </w:trPr>
        <w:tc>
          <w:tcPr>
            <w:tcW w:w="6035" w:type="dxa"/>
            <w:gridSpan w:val="2"/>
          </w:tcPr>
          <w:p>
            <w:pPr>
              <w:pStyle w:val="TableParagraph"/>
              <w:spacing w:before="3"/>
              <w:rPr>
                <w:sz w:val="15"/>
              </w:rPr>
            </w:pPr>
          </w:p>
          <w:p>
            <w:pPr>
              <w:pStyle w:val="TableParagraph"/>
              <w:spacing w:line="145" w:lineRule="exact"/>
              <w:ind w:left="213"/>
              <w:rPr>
                <w:sz w:val="14"/>
              </w:rPr>
            </w:pPr>
            <w:r>
              <w:rPr>
                <w:w w:val="105"/>
                <w:sz w:val="14"/>
              </w:rPr>
              <w:t>c) Committed</w:t>
            </w:r>
          </w:p>
        </w:tc>
        <w:tc>
          <w:tcPr>
            <w:tcW w:w="2015" w:type="dxa"/>
            <w:shd w:val="clear" w:color="auto" w:fill="DFDFDF"/>
          </w:tcPr>
          <w:p>
            <w:pPr>
              <w:pStyle w:val="TableParagraph"/>
              <w:rPr>
                <w:rFonts w:ascii="Times New Roman"/>
                <w:sz w:val="14"/>
              </w:rPr>
            </w:pPr>
          </w:p>
        </w:tc>
        <w:tc>
          <w:tcPr>
            <w:tcW w:w="1566" w:type="dxa"/>
            <w:shd w:val="clear" w:color="auto" w:fill="DFDFDF"/>
          </w:tcPr>
          <w:p>
            <w:pPr>
              <w:pStyle w:val="TableParagraph"/>
              <w:rPr>
                <w:rFonts w:ascii="Times New Roman"/>
                <w:sz w:val="14"/>
              </w:rPr>
            </w:pPr>
          </w:p>
        </w:tc>
        <w:tc>
          <w:tcPr>
            <w:tcW w:w="1008" w:type="dxa"/>
            <w:shd w:val="clear" w:color="auto" w:fill="DFDFDF"/>
          </w:tcPr>
          <w:p>
            <w:pPr>
              <w:pStyle w:val="TableParagraph"/>
              <w:rPr>
                <w:rFonts w:ascii="Times New Roman"/>
                <w:sz w:val="14"/>
              </w:rPr>
            </w:pP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6"/>
        </w:rPr>
      </w:pPr>
    </w:p>
    <w:tbl>
      <w:tblPr>
        <w:tblW w:w="0" w:type="auto"/>
        <w:jc w:val="left"/>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12"/>
        <w:gridCol w:w="2413"/>
        <w:gridCol w:w="1638"/>
        <w:gridCol w:w="1526"/>
        <w:gridCol w:w="1020"/>
      </w:tblGrid>
      <w:tr>
        <w:trPr>
          <w:trHeight w:val="250" w:hRule="atLeast"/>
        </w:trPr>
        <w:tc>
          <w:tcPr>
            <w:tcW w:w="3712" w:type="dxa"/>
          </w:tcPr>
          <w:p>
            <w:pPr>
              <w:pStyle w:val="TableParagraph"/>
              <w:spacing w:line="160" w:lineRule="exact"/>
              <w:ind w:left="50"/>
              <w:rPr>
                <w:sz w:val="14"/>
              </w:rPr>
            </w:pPr>
            <w:r>
              <w:rPr>
                <w:w w:val="105"/>
                <w:sz w:val="14"/>
              </w:rPr>
              <w:t>Reserve for Economic Uncertainties</w:t>
            </w:r>
          </w:p>
        </w:tc>
        <w:tc>
          <w:tcPr>
            <w:tcW w:w="2413" w:type="dxa"/>
          </w:tcPr>
          <w:p>
            <w:pPr>
              <w:pStyle w:val="TableParagraph"/>
              <w:spacing w:line="160" w:lineRule="exact"/>
              <w:ind w:right="741"/>
              <w:jc w:val="right"/>
              <w:rPr>
                <w:sz w:val="14"/>
              </w:rPr>
            </w:pPr>
            <w:r>
              <w:rPr>
                <w:sz w:val="14"/>
              </w:rPr>
              <w:t>9789</w:t>
            </w:r>
          </w:p>
        </w:tc>
        <w:tc>
          <w:tcPr>
            <w:tcW w:w="1638" w:type="dxa"/>
          </w:tcPr>
          <w:p>
            <w:pPr>
              <w:pStyle w:val="TableParagraph"/>
              <w:spacing w:line="160" w:lineRule="exact"/>
              <w:ind w:right="613"/>
              <w:jc w:val="right"/>
              <w:rPr>
                <w:sz w:val="14"/>
              </w:rPr>
            </w:pPr>
            <w:r>
              <w:rPr>
                <w:sz w:val="14"/>
              </w:rPr>
              <w:t>0.00</w:t>
            </w:r>
          </w:p>
        </w:tc>
        <w:tc>
          <w:tcPr>
            <w:tcW w:w="1526" w:type="dxa"/>
          </w:tcPr>
          <w:p>
            <w:pPr>
              <w:pStyle w:val="TableParagraph"/>
              <w:spacing w:line="160" w:lineRule="exact"/>
              <w:ind w:left="593" w:right="603"/>
              <w:jc w:val="center"/>
              <w:rPr>
                <w:sz w:val="14"/>
              </w:rPr>
            </w:pPr>
            <w:r>
              <w:rPr>
                <w:w w:val="105"/>
                <w:sz w:val="14"/>
              </w:rPr>
              <w:t>0.00</w:t>
            </w:r>
          </w:p>
        </w:tc>
        <w:tc>
          <w:tcPr>
            <w:tcW w:w="1020" w:type="dxa"/>
          </w:tcPr>
          <w:p>
            <w:pPr>
              <w:pStyle w:val="TableParagraph"/>
              <w:spacing w:line="160" w:lineRule="exact"/>
              <w:ind w:right="59"/>
              <w:jc w:val="right"/>
              <w:rPr>
                <w:sz w:val="14"/>
              </w:rPr>
            </w:pPr>
            <w:r>
              <w:rPr>
                <w:sz w:val="14"/>
              </w:rPr>
              <w:t>0.0%</w:t>
            </w:r>
          </w:p>
        </w:tc>
      </w:tr>
      <w:tr>
        <w:trPr>
          <w:trHeight w:val="250" w:hRule="atLeast"/>
        </w:trPr>
        <w:tc>
          <w:tcPr>
            <w:tcW w:w="3712" w:type="dxa"/>
          </w:tcPr>
          <w:p>
            <w:pPr>
              <w:pStyle w:val="TableParagraph"/>
              <w:spacing w:line="142" w:lineRule="exact" w:before="89"/>
              <w:ind w:left="50"/>
              <w:rPr>
                <w:sz w:val="14"/>
              </w:rPr>
            </w:pPr>
            <w:r>
              <w:rPr>
                <w:w w:val="105"/>
                <w:sz w:val="14"/>
              </w:rPr>
              <w:t>Unassigned/Unappropriated Amount</w:t>
            </w:r>
          </w:p>
        </w:tc>
        <w:tc>
          <w:tcPr>
            <w:tcW w:w="2413" w:type="dxa"/>
          </w:tcPr>
          <w:p>
            <w:pPr>
              <w:pStyle w:val="TableParagraph"/>
              <w:spacing w:line="142" w:lineRule="exact" w:before="89"/>
              <w:ind w:right="741"/>
              <w:jc w:val="right"/>
              <w:rPr>
                <w:sz w:val="14"/>
              </w:rPr>
            </w:pPr>
            <w:r>
              <w:rPr>
                <w:sz w:val="14"/>
              </w:rPr>
              <w:t>9790</w:t>
            </w:r>
          </w:p>
        </w:tc>
        <w:tc>
          <w:tcPr>
            <w:tcW w:w="1638" w:type="dxa"/>
          </w:tcPr>
          <w:p>
            <w:pPr>
              <w:pStyle w:val="TableParagraph"/>
              <w:spacing w:line="142" w:lineRule="exact" w:before="89"/>
              <w:ind w:right="613"/>
              <w:jc w:val="right"/>
              <w:rPr>
                <w:sz w:val="14"/>
              </w:rPr>
            </w:pPr>
            <w:r>
              <w:rPr>
                <w:sz w:val="14"/>
              </w:rPr>
              <w:t>0.00</w:t>
            </w:r>
          </w:p>
        </w:tc>
        <w:tc>
          <w:tcPr>
            <w:tcW w:w="1526" w:type="dxa"/>
          </w:tcPr>
          <w:p>
            <w:pPr>
              <w:pStyle w:val="TableParagraph"/>
              <w:spacing w:line="142" w:lineRule="exact" w:before="89"/>
              <w:ind w:left="593" w:right="603"/>
              <w:jc w:val="center"/>
              <w:rPr>
                <w:sz w:val="14"/>
              </w:rPr>
            </w:pPr>
            <w:r>
              <w:rPr>
                <w:w w:val="105"/>
                <w:sz w:val="14"/>
              </w:rPr>
              <w:t>0.00</w:t>
            </w:r>
          </w:p>
        </w:tc>
        <w:tc>
          <w:tcPr>
            <w:tcW w:w="1020" w:type="dxa"/>
          </w:tcPr>
          <w:p>
            <w:pPr>
              <w:pStyle w:val="TableParagraph"/>
              <w:spacing w:line="142" w:lineRule="exact" w:before="89"/>
              <w:ind w:right="59"/>
              <w:jc w:val="right"/>
              <w:rPr>
                <w:sz w:val="14"/>
              </w:rPr>
            </w:pPr>
            <w:r>
              <w:rPr>
                <w:sz w:val="14"/>
              </w:rPr>
              <w:t>0.0%</w:t>
            </w:r>
          </w:p>
        </w:tc>
      </w:tr>
    </w:tbl>
    <w:p>
      <w:pPr>
        <w:spacing w:after="0" w:line="142" w:lineRule="exact"/>
        <w:jc w:val="right"/>
        <w:rPr>
          <w:sz w:val="14"/>
        </w:rPr>
        <w:sectPr>
          <w:type w:val="continuous"/>
          <w:pgSz w:w="12240" w:h="15840"/>
          <w:pgMar w:top="1500" w:bottom="840" w:left="160" w:right="180"/>
        </w:sectPr>
      </w:pPr>
    </w:p>
    <w:p>
      <w:pPr>
        <w:spacing w:line="232" w:lineRule="auto" w:before="1"/>
        <w:ind w:left="308" w:right="0" w:firstLine="0"/>
        <w:jc w:val="left"/>
        <w:rPr>
          <w:sz w:val="18"/>
        </w:rPr>
      </w:pPr>
      <w:r>
        <w:rPr>
          <w:sz w:val="18"/>
        </w:rPr>
        <w:t>Winship-Robbins Elementary Sutter County</w:t>
      </w:r>
    </w:p>
    <w:p>
      <w:pPr>
        <w:spacing w:line="232" w:lineRule="auto" w:before="1"/>
        <w:ind w:left="572" w:right="0" w:hanging="264"/>
        <w:jc w:val="left"/>
        <w:rPr>
          <w:sz w:val="18"/>
        </w:rPr>
      </w:pPr>
      <w:r>
        <w:rPr/>
        <w:br w:type="column"/>
      </w:r>
      <w:r>
        <w:rPr>
          <w:sz w:val="18"/>
        </w:rPr>
        <w:t>County School Facilities Fund Expenditures by Object</w:t>
      </w:r>
    </w:p>
    <w:p>
      <w:pPr>
        <w:spacing w:line="200" w:lineRule="exact" w:before="0"/>
        <w:ind w:left="0" w:right="287" w:firstLine="0"/>
        <w:jc w:val="right"/>
        <w:rPr>
          <w:sz w:val="18"/>
        </w:rPr>
      </w:pPr>
      <w:r>
        <w:rPr/>
        <w:br w:type="column"/>
      </w:r>
      <w:r>
        <w:rPr>
          <w:sz w:val="18"/>
        </w:rPr>
        <w:t>51 71456</w:t>
      </w:r>
      <w:r>
        <w:rPr>
          <w:spacing w:val="3"/>
          <w:sz w:val="18"/>
        </w:rPr>
        <w:t> </w:t>
      </w:r>
      <w:r>
        <w:rPr>
          <w:sz w:val="18"/>
        </w:rPr>
        <w:t>0000000</w:t>
      </w:r>
    </w:p>
    <w:p>
      <w:pPr>
        <w:spacing w:line="204" w:lineRule="exact" w:before="0"/>
        <w:ind w:left="0" w:right="285" w:firstLine="0"/>
        <w:jc w:val="right"/>
        <w:rPr>
          <w:sz w:val="18"/>
        </w:rPr>
      </w:pPr>
      <w:r>
        <w:rPr>
          <w:sz w:val="18"/>
        </w:rPr>
        <w:t>Form </w:t>
      </w:r>
      <w:r>
        <w:rPr>
          <w:spacing w:val="3"/>
          <w:sz w:val="18"/>
        </w:rPr>
        <w:t> </w:t>
      </w:r>
      <w:r>
        <w:rPr>
          <w:sz w:val="18"/>
        </w:rPr>
        <w:t>35</w:t>
      </w:r>
    </w:p>
    <w:p>
      <w:pPr>
        <w:spacing w:after="0" w:line="204" w:lineRule="exact"/>
        <w:jc w:val="right"/>
        <w:rPr>
          <w:sz w:val="18"/>
        </w:rPr>
        <w:sectPr>
          <w:pgSz w:w="12240" w:h="15840"/>
          <w:pgMar w:header="651" w:footer="437" w:top="840" w:bottom="620" w:left="160" w:right="180"/>
          <w:cols w:num="3" w:equalWidth="0">
            <w:col w:w="2698" w:space="1751"/>
            <w:col w:w="2749" w:space="2594"/>
            <w:col w:w="2108"/>
          </w:cols>
        </w:sectPr>
      </w:pPr>
    </w:p>
    <w:p>
      <w:pPr>
        <w:pStyle w:val="BodyText"/>
        <w:rPr>
          <w:sz w:val="20"/>
        </w:rPr>
      </w:pPr>
    </w:p>
    <w:p>
      <w:pPr>
        <w:pStyle w:val="BodyText"/>
        <w:rPr>
          <w:sz w:val="20"/>
        </w:rPr>
      </w:pPr>
    </w:p>
    <w:p>
      <w:pPr>
        <w:pStyle w:val="BodyText"/>
        <w:spacing w:before="8" w:after="1"/>
        <w:rPr>
          <w:sz w:val="26"/>
        </w:rPr>
      </w:pPr>
    </w:p>
    <w:tbl>
      <w:tblPr>
        <w:tblW w:w="0" w:type="auto"/>
        <w:jc w:val="left"/>
        <w:tblInd w:w="3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70"/>
        <w:gridCol w:w="1261"/>
        <w:gridCol w:w="1127"/>
        <w:gridCol w:w="1453"/>
        <w:gridCol w:w="1480"/>
        <w:gridCol w:w="1207"/>
      </w:tblGrid>
      <w:tr>
        <w:trPr>
          <w:trHeight w:val="436" w:hRule="atLeast"/>
        </w:trPr>
        <w:tc>
          <w:tcPr>
            <w:tcW w:w="3870" w:type="dxa"/>
          </w:tcPr>
          <w:p>
            <w:pPr>
              <w:pStyle w:val="TableParagraph"/>
              <w:spacing w:before="5"/>
              <w:rPr>
                <w:sz w:val="14"/>
              </w:rPr>
            </w:pPr>
          </w:p>
          <w:p>
            <w:pPr>
              <w:pStyle w:val="TableParagraph"/>
              <w:spacing w:before="1"/>
              <w:ind w:left="50"/>
              <w:rPr>
                <w:b/>
                <w:sz w:val="14"/>
              </w:rPr>
            </w:pPr>
            <w:r>
              <w:rPr>
                <w:b/>
                <w:w w:val="105"/>
                <w:sz w:val="14"/>
              </w:rPr>
              <w:t>Description</w:t>
            </w:r>
          </w:p>
        </w:tc>
        <w:tc>
          <w:tcPr>
            <w:tcW w:w="1261" w:type="dxa"/>
          </w:tcPr>
          <w:p>
            <w:pPr>
              <w:pStyle w:val="TableParagraph"/>
              <w:spacing w:before="5"/>
              <w:rPr>
                <w:sz w:val="14"/>
              </w:rPr>
            </w:pPr>
          </w:p>
          <w:p>
            <w:pPr>
              <w:pStyle w:val="TableParagraph"/>
              <w:spacing w:before="1"/>
              <w:ind w:left="7"/>
              <w:rPr>
                <w:b/>
                <w:sz w:val="14"/>
              </w:rPr>
            </w:pPr>
            <w:r>
              <w:rPr>
                <w:b/>
                <w:w w:val="105"/>
                <w:sz w:val="14"/>
              </w:rPr>
              <w:t>Resource Codes</w:t>
            </w:r>
          </w:p>
        </w:tc>
        <w:tc>
          <w:tcPr>
            <w:tcW w:w="1127" w:type="dxa"/>
          </w:tcPr>
          <w:p>
            <w:pPr>
              <w:pStyle w:val="TableParagraph"/>
              <w:spacing w:before="5"/>
              <w:rPr>
                <w:sz w:val="14"/>
              </w:rPr>
            </w:pPr>
          </w:p>
          <w:p>
            <w:pPr>
              <w:pStyle w:val="TableParagraph"/>
              <w:spacing w:before="1"/>
              <w:ind w:left="87" w:right="49"/>
              <w:jc w:val="center"/>
              <w:rPr>
                <w:b/>
                <w:sz w:val="14"/>
              </w:rPr>
            </w:pPr>
            <w:r>
              <w:rPr>
                <w:b/>
                <w:w w:val="105"/>
                <w:sz w:val="14"/>
              </w:rPr>
              <w:t>Object Codes</w:t>
            </w:r>
          </w:p>
        </w:tc>
        <w:tc>
          <w:tcPr>
            <w:tcW w:w="1453" w:type="dxa"/>
          </w:tcPr>
          <w:p>
            <w:pPr>
              <w:pStyle w:val="TableParagraph"/>
              <w:spacing w:line="160" w:lineRule="exact"/>
              <w:ind w:left="44" w:right="90"/>
              <w:jc w:val="center"/>
              <w:rPr>
                <w:b/>
                <w:sz w:val="14"/>
              </w:rPr>
            </w:pPr>
            <w:r>
              <w:rPr>
                <w:b/>
                <w:w w:val="105"/>
                <w:sz w:val="14"/>
              </w:rPr>
              <w:t>2020-21</w:t>
            </w:r>
          </w:p>
          <w:p>
            <w:pPr>
              <w:pStyle w:val="TableParagraph"/>
              <w:spacing w:before="7"/>
              <w:ind w:left="44" w:right="93"/>
              <w:jc w:val="center"/>
              <w:rPr>
                <w:b/>
                <w:sz w:val="14"/>
              </w:rPr>
            </w:pPr>
            <w:r>
              <w:rPr>
                <w:b/>
                <w:w w:val="105"/>
                <w:sz w:val="14"/>
              </w:rPr>
              <w:t>Estimated Actuals</w:t>
            </w:r>
          </w:p>
        </w:tc>
        <w:tc>
          <w:tcPr>
            <w:tcW w:w="1480" w:type="dxa"/>
          </w:tcPr>
          <w:p>
            <w:pPr>
              <w:pStyle w:val="TableParagraph"/>
              <w:spacing w:line="160" w:lineRule="exact"/>
              <w:ind w:left="498"/>
              <w:rPr>
                <w:b/>
                <w:sz w:val="14"/>
              </w:rPr>
            </w:pPr>
            <w:r>
              <w:rPr>
                <w:b/>
                <w:w w:val="105"/>
                <w:sz w:val="14"/>
              </w:rPr>
              <w:t>2021-22</w:t>
            </w:r>
          </w:p>
          <w:p>
            <w:pPr>
              <w:pStyle w:val="TableParagraph"/>
              <w:spacing w:before="7"/>
              <w:ind w:left="510"/>
              <w:rPr>
                <w:b/>
                <w:sz w:val="14"/>
              </w:rPr>
            </w:pPr>
            <w:r>
              <w:rPr>
                <w:b/>
                <w:w w:val="105"/>
                <w:sz w:val="14"/>
              </w:rPr>
              <w:t>Budget</w:t>
            </w:r>
          </w:p>
        </w:tc>
        <w:tc>
          <w:tcPr>
            <w:tcW w:w="1207" w:type="dxa"/>
          </w:tcPr>
          <w:p>
            <w:pPr>
              <w:pStyle w:val="TableParagraph"/>
              <w:spacing w:line="249" w:lineRule="auto"/>
              <w:ind w:left="456" w:right="46" w:firstLine="86"/>
              <w:rPr>
                <w:b/>
                <w:sz w:val="14"/>
              </w:rPr>
            </w:pPr>
            <w:r>
              <w:rPr>
                <w:b/>
                <w:w w:val="105"/>
                <w:sz w:val="14"/>
              </w:rPr>
              <w:t>Percent </w:t>
            </w:r>
            <w:r>
              <w:rPr>
                <w:b/>
                <w:sz w:val="14"/>
              </w:rPr>
              <w:t>Difference</w:t>
            </w:r>
          </w:p>
        </w:tc>
      </w:tr>
      <w:tr>
        <w:trPr>
          <w:trHeight w:val="766" w:hRule="atLeast"/>
        </w:trPr>
        <w:tc>
          <w:tcPr>
            <w:tcW w:w="3870" w:type="dxa"/>
          </w:tcPr>
          <w:p>
            <w:pPr>
              <w:pStyle w:val="TableParagraph"/>
              <w:spacing w:before="107"/>
              <w:ind w:left="50"/>
              <w:rPr>
                <w:b/>
                <w:sz w:val="14"/>
              </w:rPr>
            </w:pPr>
            <w:r>
              <w:rPr>
                <w:b/>
                <w:w w:val="105"/>
                <w:sz w:val="14"/>
              </w:rPr>
              <w:t>G. ASSETS</w:t>
            </w:r>
          </w:p>
          <w:p>
            <w:pPr>
              <w:pStyle w:val="TableParagraph"/>
              <w:numPr>
                <w:ilvl w:val="0"/>
                <w:numId w:val="39"/>
              </w:numPr>
              <w:tabs>
                <w:tab w:pos="381" w:val="left" w:leader="none"/>
              </w:tabs>
              <w:spacing w:line="240" w:lineRule="auto" w:before="38" w:after="0"/>
              <w:ind w:left="380" w:right="0" w:hanging="168"/>
              <w:jc w:val="left"/>
              <w:rPr>
                <w:sz w:val="14"/>
              </w:rPr>
            </w:pPr>
            <w:r>
              <w:rPr>
                <w:w w:val="105"/>
                <w:sz w:val="14"/>
              </w:rPr>
              <w:t>Cash</w:t>
            </w:r>
          </w:p>
          <w:p>
            <w:pPr>
              <w:pStyle w:val="TableParagraph"/>
              <w:numPr>
                <w:ilvl w:val="1"/>
                <w:numId w:val="39"/>
              </w:numPr>
              <w:tabs>
                <w:tab w:pos="544" w:val="left" w:leader="none"/>
              </w:tabs>
              <w:spacing w:line="240" w:lineRule="auto" w:before="36" w:after="0"/>
              <w:ind w:left="543" w:right="0" w:hanging="168"/>
              <w:jc w:val="left"/>
              <w:rPr>
                <w:sz w:val="14"/>
              </w:rPr>
            </w:pPr>
            <w:r>
              <w:rPr>
                <w:w w:val="105"/>
                <w:sz w:val="14"/>
              </w:rPr>
              <w:t>in County</w:t>
            </w:r>
            <w:r>
              <w:rPr>
                <w:spacing w:val="-6"/>
                <w:w w:val="105"/>
                <w:sz w:val="14"/>
              </w:rPr>
              <w:t> </w:t>
            </w:r>
            <w:r>
              <w:rPr>
                <w:w w:val="105"/>
                <w:sz w:val="14"/>
              </w:rPr>
              <w:t>Treasury</w:t>
            </w:r>
          </w:p>
        </w:tc>
        <w:tc>
          <w:tcPr>
            <w:tcW w:w="1261" w:type="dxa"/>
          </w:tcPr>
          <w:p>
            <w:pPr>
              <w:pStyle w:val="TableParagraph"/>
              <w:rPr>
                <w:rFonts w:ascii="Times New Roman"/>
                <w:sz w:val="14"/>
              </w:rPr>
            </w:pPr>
          </w:p>
        </w:tc>
        <w:tc>
          <w:tcPr>
            <w:tcW w:w="1127" w:type="dxa"/>
          </w:tcPr>
          <w:p>
            <w:pPr>
              <w:pStyle w:val="TableParagraph"/>
              <w:rPr>
                <w:sz w:val="16"/>
              </w:rPr>
            </w:pPr>
          </w:p>
          <w:p>
            <w:pPr>
              <w:pStyle w:val="TableParagraph"/>
              <w:rPr>
                <w:sz w:val="16"/>
              </w:rPr>
            </w:pPr>
          </w:p>
          <w:p>
            <w:pPr>
              <w:pStyle w:val="TableParagraph"/>
              <w:spacing w:before="135"/>
              <w:ind w:left="88" w:right="49"/>
              <w:jc w:val="center"/>
              <w:rPr>
                <w:sz w:val="14"/>
              </w:rPr>
            </w:pPr>
            <w:r>
              <w:rPr>
                <w:w w:val="105"/>
                <w:sz w:val="14"/>
              </w:rPr>
              <w:t>9110</w:t>
            </w:r>
          </w:p>
        </w:tc>
        <w:tc>
          <w:tcPr>
            <w:tcW w:w="1453" w:type="dxa"/>
          </w:tcPr>
          <w:p>
            <w:pPr>
              <w:pStyle w:val="TableParagraph"/>
              <w:rPr>
                <w:sz w:val="16"/>
              </w:rPr>
            </w:pPr>
          </w:p>
          <w:p>
            <w:pPr>
              <w:pStyle w:val="TableParagraph"/>
              <w:rPr>
                <w:sz w:val="16"/>
              </w:rPr>
            </w:pPr>
          </w:p>
          <w:p>
            <w:pPr>
              <w:pStyle w:val="TableParagraph"/>
              <w:spacing w:before="135"/>
              <w:ind w:right="24"/>
              <w:jc w:val="right"/>
              <w:rPr>
                <w:sz w:val="14"/>
              </w:rPr>
            </w:pPr>
            <w:r>
              <w:rPr>
                <w:sz w:val="14"/>
              </w:rPr>
              <w:t>(24.60)</w:t>
            </w:r>
          </w:p>
        </w:tc>
        <w:tc>
          <w:tcPr>
            <w:tcW w:w="1480" w:type="dxa"/>
          </w:tcPr>
          <w:p>
            <w:pPr>
              <w:pStyle w:val="TableParagraph"/>
              <w:rPr>
                <w:rFonts w:ascii="Times New Roman"/>
                <w:sz w:val="14"/>
              </w:rPr>
            </w:pPr>
          </w:p>
        </w:tc>
        <w:tc>
          <w:tcPr>
            <w:tcW w:w="1207" w:type="dxa"/>
          </w:tcPr>
          <w:p>
            <w:pPr>
              <w:pStyle w:val="TableParagraph"/>
              <w:rPr>
                <w:rFonts w:ascii="Times New Roman"/>
                <w:sz w:val="14"/>
              </w:rPr>
            </w:pPr>
          </w:p>
        </w:tc>
      </w:tr>
      <w:tr>
        <w:trPr>
          <w:trHeight w:val="364" w:hRule="atLeast"/>
        </w:trPr>
        <w:tc>
          <w:tcPr>
            <w:tcW w:w="3870" w:type="dxa"/>
          </w:tcPr>
          <w:p>
            <w:pPr>
              <w:pStyle w:val="TableParagraph"/>
              <w:spacing w:before="101"/>
              <w:ind w:left="497"/>
              <w:rPr>
                <w:sz w:val="14"/>
              </w:rPr>
            </w:pPr>
            <w:r>
              <w:rPr>
                <w:w w:val="105"/>
                <w:sz w:val="14"/>
              </w:rPr>
              <w:t>1)</w:t>
            </w:r>
            <w:r>
              <w:rPr>
                <w:spacing w:val="-11"/>
                <w:w w:val="105"/>
                <w:sz w:val="14"/>
              </w:rPr>
              <w:t> </w:t>
            </w:r>
            <w:r>
              <w:rPr>
                <w:w w:val="105"/>
                <w:sz w:val="14"/>
              </w:rPr>
              <w:t>Fair</w:t>
            </w:r>
            <w:r>
              <w:rPr>
                <w:spacing w:val="-10"/>
                <w:w w:val="105"/>
                <w:sz w:val="14"/>
              </w:rPr>
              <w:t> </w:t>
            </w:r>
            <w:r>
              <w:rPr>
                <w:w w:val="105"/>
                <w:sz w:val="14"/>
              </w:rPr>
              <w:t>Value</w:t>
            </w:r>
            <w:r>
              <w:rPr>
                <w:spacing w:val="-12"/>
                <w:w w:val="105"/>
                <w:sz w:val="14"/>
              </w:rPr>
              <w:t> </w:t>
            </w:r>
            <w:r>
              <w:rPr>
                <w:w w:val="105"/>
                <w:sz w:val="14"/>
              </w:rPr>
              <w:t>Adjustment</w:t>
            </w:r>
            <w:r>
              <w:rPr>
                <w:spacing w:val="-10"/>
                <w:w w:val="105"/>
                <w:sz w:val="14"/>
              </w:rPr>
              <w:t> </w:t>
            </w:r>
            <w:r>
              <w:rPr>
                <w:w w:val="105"/>
                <w:sz w:val="14"/>
              </w:rPr>
              <w:t>to</w:t>
            </w:r>
            <w:r>
              <w:rPr>
                <w:spacing w:val="-11"/>
                <w:w w:val="105"/>
                <w:sz w:val="14"/>
              </w:rPr>
              <w:t> </w:t>
            </w:r>
            <w:r>
              <w:rPr>
                <w:w w:val="105"/>
                <w:sz w:val="14"/>
              </w:rPr>
              <w:t>Cash</w:t>
            </w:r>
            <w:r>
              <w:rPr>
                <w:spacing w:val="-11"/>
                <w:w w:val="105"/>
                <w:sz w:val="14"/>
              </w:rPr>
              <w:t> </w:t>
            </w:r>
            <w:r>
              <w:rPr>
                <w:w w:val="105"/>
                <w:sz w:val="14"/>
              </w:rPr>
              <w:t>in</w:t>
            </w:r>
            <w:r>
              <w:rPr>
                <w:spacing w:val="-12"/>
                <w:w w:val="105"/>
                <w:sz w:val="14"/>
              </w:rPr>
              <w:t> </w:t>
            </w:r>
            <w:r>
              <w:rPr>
                <w:w w:val="105"/>
                <w:sz w:val="14"/>
              </w:rPr>
              <w:t>County</w:t>
            </w:r>
            <w:r>
              <w:rPr>
                <w:spacing w:val="-12"/>
                <w:w w:val="105"/>
                <w:sz w:val="14"/>
              </w:rPr>
              <w:t> </w:t>
            </w:r>
            <w:r>
              <w:rPr>
                <w:w w:val="105"/>
                <w:sz w:val="14"/>
              </w:rPr>
              <w:t>Treasury</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9111</w:t>
            </w:r>
          </w:p>
        </w:tc>
        <w:tc>
          <w:tcPr>
            <w:tcW w:w="1453" w:type="dxa"/>
          </w:tcPr>
          <w:p>
            <w:pPr>
              <w:pStyle w:val="TableParagraph"/>
              <w:spacing w:before="101"/>
              <w:ind w:right="72"/>
              <w:jc w:val="right"/>
              <w:rPr>
                <w:sz w:val="14"/>
              </w:rPr>
            </w:pPr>
            <w:r>
              <w:rPr>
                <w:sz w:val="14"/>
              </w:rPr>
              <w:t>0.00</w:t>
            </w:r>
          </w:p>
        </w:tc>
        <w:tc>
          <w:tcPr>
            <w:tcW w:w="1480" w:type="dxa"/>
          </w:tcPr>
          <w:p>
            <w:pPr>
              <w:pStyle w:val="TableParagraph"/>
              <w:rPr>
                <w:rFonts w:ascii="Times New Roman"/>
                <w:sz w:val="14"/>
              </w:rPr>
            </w:pPr>
          </w:p>
        </w:tc>
        <w:tc>
          <w:tcPr>
            <w:tcW w:w="1207" w:type="dxa"/>
          </w:tcPr>
          <w:p>
            <w:pPr>
              <w:pStyle w:val="TableParagraph"/>
              <w:rPr>
                <w:rFonts w:ascii="Times New Roman"/>
                <w:sz w:val="14"/>
              </w:rPr>
            </w:pPr>
          </w:p>
        </w:tc>
      </w:tr>
      <w:tr>
        <w:trPr>
          <w:trHeight w:val="364" w:hRule="atLeast"/>
        </w:trPr>
        <w:tc>
          <w:tcPr>
            <w:tcW w:w="3870" w:type="dxa"/>
          </w:tcPr>
          <w:p>
            <w:pPr>
              <w:pStyle w:val="TableParagraph"/>
              <w:spacing w:before="101"/>
              <w:ind w:left="376"/>
              <w:rPr>
                <w:sz w:val="14"/>
              </w:rPr>
            </w:pPr>
            <w:r>
              <w:rPr>
                <w:w w:val="105"/>
                <w:sz w:val="14"/>
              </w:rPr>
              <w:t>b) in Banks</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9120</w:t>
            </w:r>
          </w:p>
        </w:tc>
        <w:tc>
          <w:tcPr>
            <w:tcW w:w="1453" w:type="dxa"/>
          </w:tcPr>
          <w:p>
            <w:pPr>
              <w:pStyle w:val="TableParagraph"/>
              <w:spacing w:before="101"/>
              <w:ind w:right="72"/>
              <w:jc w:val="right"/>
              <w:rPr>
                <w:sz w:val="14"/>
              </w:rPr>
            </w:pPr>
            <w:r>
              <w:rPr>
                <w:sz w:val="14"/>
              </w:rPr>
              <w:t>0.00</w:t>
            </w:r>
          </w:p>
        </w:tc>
        <w:tc>
          <w:tcPr>
            <w:tcW w:w="1480" w:type="dxa"/>
          </w:tcPr>
          <w:p>
            <w:pPr>
              <w:pStyle w:val="TableParagraph"/>
              <w:rPr>
                <w:rFonts w:ascii="Times New Roman"/>
                <w:sz w:val="14"/>
              </w:rPr>
            </w:pPr>
          </w:p>
        </w:tc>
        <w:tc>
          <w:tcPr>
            <w:tcW w:w="1207" w:type="dxa"/>
          </w:tcPr>
          <w:p>
            <w:pPr>
              <w:pStyle w:val="TableParagraph"/>
              <w:rPr>
                <w:rFonts w:ascii="Times New Roman"/>
                <w:sz w:val="14"/>
              </w:rPr>
            </w:pPr>
          </w:p>
        </w:tc>
      </w:tr>
      <w:tr>
        <w:trPr>
          <w:trHeight w:val="364" w:hRule="atLeast"/>
        </w:trPr>
        <w:tc>
          <w:tcPr>
            <w:tcW w:w="3870" w:type="dxa"/>
          </w:tcPr>
          <w:p>
            <w:pPr>
              <w:pStyle w:val="TableParagraph"/>
              <w:spacing w:before="101"/>
              <w:ind w:left="376"/>
              <w:rPr>
                <w:sz w:val="14"/>
              </w:rPr>
            </w:pPr>
            <w:r>
              <w:rPr>
                <w:w w:val="105"/>
                <w:sz w:val="14"/>
              </w:rPr>
              <w:t>c) in Revolving Cash Account</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9130</w:t>
            </w:r>
          </w:p>
        </w:tc>
        <w:tc>
          <w:tcPr>
            <w:tcW w:w="1453" w:type="dxa"/>
          </w:tcPr>
          <w:p>
            <w:pPr>
              <w:pStyle w:val="TableParagraph"/>
              <w:spacing w:before="101"/>
              <w:ind w:right="72"/>
              <w:jc w:val="right"/>
              <w:rPr>
                <w:sz w:val="14"/>
              </w:rPr>
            </w:pPr>
            <w:r>
              <w:rPr>
                <w:sz w:val="14"/>
              </w:rPr>
              <w:t>0.00</w:t>
            </w:r>
          </w:p>
        </w:tc>
        <w:tc>
          <w:tcPr>
            <w:tcW w:w="1480" w:type="dxa"/>
          </w:tcPr>
          <w:p>
            <w:pPr>
              <w:pStyle w:val="TableParagraph"/>
              <w:rPr>
                <w:rFonts w:ascii="Times New Roman"/>
                <w:sz w:val="14"/>
              </w:rPr>
            </w:pPr>
          </w:p>
        </w:tc>
        <w:tc>
          <w:tcPr>
            <w:tcW w:w="1207" w:type="dxa"/>
          </w:tcPr>
          <w:p>
            <w:pPr>
              <w:pStyle w:val="TableParagraph"/>
              <w:rPr>
                <w:rFonts w:ascii="Times New Roman"/>
                <w:sz w:val="14"/>
              </w:rPr>
            </w:pPr>
          </w:p>
        </w:tc>
      </w:tr>
      <w:tr>
        <w:trPr>
          <w:trHeight w:val="364" w:hRule="atLeast"/>
        </w:trPr>
        <w:tc>
          <w:tcPr>
            <w:tcW w:w="3870" w:type="dxa"/>
          </w:tcPr>
          <w:p>
            <w:pPr>
              <w:pStyle w:val="TableParagraph"/>
              <w:spacing w:before="101"/>
              <w:ind w:left="376"/>
              <w:rPr>
                <w:sz w:val="14"/>
              </w:rPr>
            </w:pPr>
            <w:r>
              <w:rPr>
                <w:w w:val="105"/>
                <w:sz w:val="14"/>
              </w:rPr>
              <w:t>d) with Fiscal Agent/Trustee</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9135</w:t>
            </w:r>
          </w:p>
        </w:tc>
        <w:tc>
          <w:tcPr>
            <w:tcW w:w="1453" w:type="dxa"/>
          </w:tcPr>
          <w:p>
            <w:pPr>
              <w:pStyle w:val="TableParagraph"/>
              <w:spacing w:before="101"/>
              <w:ind w:right="72"/>
              <w:jc w:val="right"/>
              <w:rPr>
                <w:sz w:val="14"/>
              </w:rPr>
            </w:pPr>
            <w:r>
              <w:rPr>
                <w:sz w:val="14"/>
              </w:rPr>
              <w:t>0.00</w:t>
            </w:r>
          </w:p>
        </w:tc>
        <w:tc>
          <w:tcPr>
            <w:tcW w:w="1480" w:type="dxa"/>
          </w:tcPr>
          <w:p>
            <w:pPr>
              <w:pStyle w:val="TableParagraph"/>
              <w:rPr>
                <w:rFonts w:ascii="Times New Roman"/>
                <w:sz w:val="14"/>
              </w:rPr>
            </w:pPr>
          </w:p>
        </w:tc>
        <w:tc>
          <w:tcPr>
            <w:tcW w:w="1207" w:type="dxa"/>
          </w:tcPr>
          <w:p>
            <w:pPr>
              <w:pStyle w:val="TableParagraph"/>
              <w:rPr>
                <w:rFonts w:ascii="Times New Roman"/>
                <w:sz w:val="14"/>
              </w:rPr>
            </w:pPr>
          </w:p>
        </w:tc>
      </w:tr>
      <w:tr>
        <w:trPr>
          <w:trHeight w:val="364" w:hRule="atLeast"/>
        </w:trPr>
        <w:tc>
          <w:tcPr>
            <w:tcW w:w="3870" w:type="dxa"/>
          </w:tcPr>
          <w:p>
            <w:pPr>
              <w:pStyle w:val="TableParagraph"/>
              <w:spacing w:before="101"/>
              <w:ind w:left="376"/>
              <w:rPr>
                <w:sz w:val="14"/>
              </w:rPr>
            </w:pPr>
            <w:r>
              <w:rPr>
                <w:w w:val="105"/>
                <w:sz w:val="14"/>
              </w:rPr>
              <w:t>e) Collections Awaiting Deposit</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9140</w:t>
            </w:r>
          </w:p>
        </w:tc>
        <w:tc>
          <w:tcPr>
            <w:tcW w:w="1453" w:type="dxa"/>
          </w:tcPr>
          <w:p>
            <w:pPr>
              <w:pStyle w:val="TableParagraph"/>
              <w:spacing w:before="101"/>
              <w:ind w:right="72"/>
              <w:jc w:val="right"/>
              <w:rPr>
                <w:sz w:val="14"/>
              </w:rPr>
            </w:pPr>
            <w:r>
              <w:rPr>
                <w:sz w:val="14"/>
              </w:rPr>
              <w:t>0.00</w:t>
            </w:r>
          </w:p>
        </w:tc>
        <w:tc>
          <w:tcPr>
            <w:tcW w:w="1480" w:type="dxa"/>
          </w:tcPr>
          <w:p>
            <w:pPr>
              <w:pStyle w:val="TableParagraph"/>
              <w:rPr>
                <w:rFonts w:ascii="Times New Roman"/>
                <w:sz w:val="14"/>
              </w:rPr>
            </w:pPr>
          </w:p>
        </w:tc>
        <w:tc>
          <w:tcPr>
            <w:tcW w:w="1207" w:type="dxa"/>
          </w:tcPr>
          <w:p>
            <w:pPr>
              <w:pStyle w:val="TableParagraph"/>
              <w:rPr>
                <w:rFonts w:ascii="Times New Roman"/>
                <w:sz w:val="14"/>
              </w:rPr>
            </w:pPr>
          </w:p>
        </w:tc>
      </w:tr>
      <w:tr>
        <w:trPr>
          <w:trHeight w:val="364" w:hRule="atLeast"/>
        </w:trPr>
        <w:tc>
          <w:tcPr>
            <w:tcW w:w="3870" w:type="dxa"/>
          </w:tcPr>
          <w:p>
            <w:pPr>
              <w:pStyle w:val="TableParagraph"/>
              <w:spacing w:before="101"/>
              <w:ind w:left="213"/>
              <w:rPr>
                <w:sz w:val="14"/>
              </w:rPr>
            </w:pPr>
            <w:r>
              <w:rPr>
                <w:w w:val="105"/>
                <w:sz w:val="14"/>
              </w:rPr>
              <w:t>2) Investments</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9150</w:t>
            </w:r>
          </w:p>
        </w:tc>
        <w:tc>
          <w:tcPr>
            <w:tcW w:w="1453" w:type="dxa"/>
          </w:tcPr>
          <w:p>
            <w:pPr>
              <w:pStyle w:val="TableParagraph"/>
              <w:spacing w:before="101"/>
              <w:ind w:right="72"/>
              <w:jc w:val="right"/>
              <w:rPr>
                <w:sz w:val="14"/>
              </w:rPr>
            </w:pPr>
            <w:r>
              <w:rPr>
                <w:sz w:val="14"/>
              </w:rPr>
              <w:t>0.00</w:t>
            </w:r>
          </w:p>
        </w:tc>
        <w:tc>
          <w:tcPr>
            <w:tcW w:w="1480" w:type="dxa"/>
          </w:tcPr>
          <w:p>
            <w:pPr>
              <w:pStyle w:val="TableParagraph"/>
              <w:rPr>
                <w:rFonts w:ascii="Times New Roman"/>
                <w:sz w:val="14"/>
              </w:rPr>
            </w:pPr>
          </w:p>
        </w:tc>
        <w:tc>
          <w:tcPr>
            <w:tcW w:w="1207" w:type="dxa"/>
          </w:tcPr>
          <w:p>
            <w:pPr>
              <w:pStyle w:val="TableParagraph"/>
              <w:rPr>
                <w:rFonts w:ascii="Times New Roman"/>
                <w:sz w:val="14"/>
              </w:rPr>
            </w:pPr>
          </w:p>
        </w:tc>
      </w:tr>
      <w:tr>
        <w:trPr>
          <w:trHeight w:val="364" w:hRule="atLeast"/>
        </w:trPr>
        <w:tc>
          <w:tcPr>
            <w:tcW w:w="3870" w:type="dxa"/>
          </w:tcPr>
          <w:p>
            <w:pPr>
              <w:pStyle w:val="TableParagraph"/>
              <w:spacing w:before="101"/>
              <w:ind w:left="213"/>
              <w:rPr>
                <w:sz w:val="14"/>
              </w:rPr>
            </w:pPr>
            <w:r>
              <w:rPr>
                <w:w w:val="105"/>
                <w:sz w:val="14"/>
              </w:rPr>
              <w:t>3) Accounts Receivable</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9200</w:t>
            </w:r>
          </w:p>
        </w:tc>
        <w:tc>
          <w:tcPr>
            <w:tcW w:w="1453" w:type="dxa"/>
          </w:tcPr>
          <w:p>
            <w:pPr>
              <w:pStyle w:val="TableParagraph"/>
              <w:spacing w:before="101"/>
              <w:ind w:right="72"/>
              <w:jc w:val="right"/>
              <w:rPr>
                <w:sz w:val="14"/>
              </w:rPr>
            </w:pPr>
            <w:r>
              <w:rPr>
                <w:sz w:val="14"/>
              </w:rPr>
              <w:t>0.00</w:t>
            </w:r>
          </w:p>
        </w:tc>
        <w:tc>
          <w:tcPr>
            <w:tcW w:w="1480" w:type="dxa"/>
          </w:tcPr>
          <w:p>
            <w:pPr>
              <w:pStyle w:val="TableParagraph"/>
              <w:rPr>
                <w:rFonts w:ascii="Times New Roman"/>
                <w:sz w:val="14"/>
              </w:rPr>
            </w:pPr>
          </w:p>
        </w:tc>
        <w:tc>
          <w:tcPr>
            <w:tcW w:w="1207" w:type="dxa"/>
          </w:tcPr>
          <w:p>
            <w:pPr>
              <w:pStyle w:val="TableParagraph"/>
              <w:rPr>
                <w:rFonts w:ascii="Times New Roman"/>
                <w:sz w:val="14"/>
              </w:rPr>
            </w:pPr>
          </w:p>
        </w:tc>
      </w:tr>
      <w:tr>
        <w:trPr>
          <w:trHeight w:val="364" w:hRule="atLeast"/>
        </w:trPr>
        <w:tc>
          <w:tcPr>
            <w:tcW w:w="3870" w:type="dxa"/>
          </w:tcPr>
          <w:p>
            <w:pPr>
              <w:pStyle w:val="TableParagraph"/>
              <w:spacing w:before="101"/>
              <w:ind w:left="213"/>
              <w:rPr>
                <w:sz w:val="14"/>
              </w:rPr>
            </w:pPr>
            <w:r>
              <w:rPr>
                <w:w w:val="105"/>
                <w:sz w:val="14"/>
              </w:rPr>
              <w:t>4) Due from Grantor Government</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9290</w:t>
            </w:r>
          </w:p>
        </w:tc>
        <w:tc>
          <w:tcPr>
            <w:tcW w:w="1453" w:type="dxa"/>
          </w:tcPr>
          <w:p>
            <w:pPr>
              <w:pStyle w:val="TableParagraph"/>
              <w:spacing w:before="101"/>
              <w:ind w:right="72"/>
              <w:jc w:val="right"/>
              <w:rPr>
                <w:sz w:val="14"/>
              </w:rPr>
            </w:pPr>
            <w:r>
              <w:rPr>
                <w:sz w:val="14"/>
              </w:rPr>
              <w:t>0.00</w:t>
            </w:r>
          </w:p>
        </w:tc>
        <w:tc>
          <w:tcPr>
            <w:tcW w:w="1480" w:type="dxa"/>
          </w:tcPr>
          <w:p>
            <w:pPr>
              <w:pStyle w:val="TableParagraph"/>
              <w:rPr>
                <w:rFonts w:ascii="Times New Roman"/>
                <w:sz w:val="14"/>
              </w:rPr>
            </w:pPr>
          </w:p>
        </w:tc>
        <w:tc>
          <w:tcPr>
            <w:tcW w:w="1207" w:type="dxa"/>
          </w:tcPr>
          <w:p>
            <w:pPr>
              <w:pStyle w:val="TableParagraph"/>
              <w:rPr>
                <w:rFonts w:ascii="Times New Roman"/>
                <w:sz w:val="14"/>
              </w:rPr>
            </w:pPr>
          </w:p>
        </w:tc>
      </w:tr>
      <w:tr>
        <w:trPr>
          <w:trHeight w:val="364" w:hRule="atLeast"/>
        </w:trPr>
        <w:tc>
          <w:tcPr>
            <w:tcW w:w="3870" w:type="dxa"/>
          </w:tcPr>
          <w:p>
            <w:pPr>
              <w:pStyle w:val="TableParagraph"/>
              <w:spacing w:before="101"/>
              <w:ind w:left="213"/>
              <w:rPr>
                <w:sz w:val="14"/>
              </w:rPr>
            </w:pPr>
            <w:r>
              <w:rPr>
                <w:w w:val="105"/>
                <w:sz w:val="14"/>
              </w:rPr>
              <w:t>5) Due from Other Funds</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9310</w:t>
            </w:r>
          </w:p>
        </w:tc>
        <w:tc>
          <w:tcPr>
            <w:tcW w:w="1453" w:type="dxa"/>
          </w:tcPr>
          <w:p>
            <w:pPr>
              <w:pStyle w:val="TableParagraph"/>
              <w:spacing w:before="101"/>
              <w:ind w:right="72"/>
              <w:jc w:val="right"/>
              <w:rPr>
                <w:sz w:val="14"/>
              </w:rPr>
            </w:pPr>
            <w:r>
              <w:rPr>
                <w:sz w:val="14"/>
              </w:rPr>
              <w:t>0.00</w:t>
            </w:r>
          </w:p>
        </w:tc>
        <w:tc>
          <w:tcPr>
            <w:tcW w:w="1480" w:type="dxa"/>
          </w:tcPr>
          <w:p>
            <w:pPr>
              <w:pStyle w:val="TableParagraph"/>
              <w:rPr>
                <w:rFonts w:ascii="Times New Roman"/>
                <w:sz w:val="14"/>
              </w:rPr>
            </w:pPr>
          </w:p>
        </w:tc>
        <w:tc>
          <w:tcPr>
            <w:tcW w:w="1207" w:type="dxa"/>
          </w:tcPr>
          <w:p>
            <w:pPr>
              <w:pStyle w:val="TableParagraph"/>
              <w:rPr>
                <w:rFonts w:ascii="Times New Roman"/>
                <w:sz w:val="14"/>
              </w:rPr>
            </w:pPr>
          </w:p>
        </w:tc>
      </w:tr>
      <w:tr>
        <w:trPr>
          <w:trHeight w:val="364" w:hRule="atLeast"/>
        </w:trPr>
        <w:tc>
          <w:tcPr>
            <w:tcW w:w="3870" w:type="dxa"/>
          </w:tcPr>
          <w:p>
            <w:pPr>
              <w:pStyle w:val="TableParagraph"/>
              <w:spacing w:before="101"/>
              <w:ind w:left="213"/>
              <w:rPr>
                <w:sz w:val="14"/>
              </w:rPr>
            </w:pPr>
            <w:r>
              <w:rPr>
                <w:w w:val="105"/>
                <w:sz w:val="14"/>
              </w:rPr>
              <w:t>6) Stores</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9320</w:t>
            </w:r>
          </w:p>
        </w:tc>
        <w:tc>
          <w:tcPr>
            <w:tcW w:w="1453" w:type="dxa"/>
          </w:tcPr>
          <w:p>
            <w:pPr>
              <w:pStyle w:val="TableParagraph"/>
              <w:spacing w:before="101"/>
              <w:ind w:right="72"/>
              <w:jc w:val="right"/>
              <w:rPr>
                <w:sz w:val="14"/>
              </w:rPr>
            </w:pPr>
            <w:r>
              <w:rPr>
                <w:sz w:val="14"/>
              </w:rPr>
              <w:t>0.00</w:t>
            </w:r>
          </w:p>
        </w:tc>
        <w:tc>
          <w:tcPr>
            <w:tcW w:w="1480" w:type="dxa"/>
          </w:tcPr>
          <w:p>
            <w:pPr>
              <w:pStyle w:val="TableParagraph"/>
              <w:rPr>
                <w:rFonts w:ascii="Times New Roman"/>
                <w:sz w:val="14"/>
              </w:rPr>
            </w:pPr>
          </w:p>
        </w:tc>
        <w:tc>
          <w:tcPr>
            <w:tcW w:w="1207" w:type="dxa"/>
          </w:tcPr>
          <w:p>
            <w:pPr>
              <w:pStyle w:val="TableParagraph"/>
              <w:rPr>
                <w:rFonts w:ascii="Times New Roman"/>
                <w:sz w:val="14"/>
              </w:rPr>
            </w:pPr>
          </w:p>
        </w:tc>
      </w:tr>
      <w:tr>
        <w:trPr>
          <w:trHeight w:val="364" w:hRule="atLeast"/>
        </w:trPr>
        <w:tc>
          <w:tcPr>
            <w:tcW w:w="3870" w:type="dxa"/>
          </w:tcPr>
          <w:p>
            <w:pPr>
              <w:pStyle w:val="TableParagraph"/>
              <w:spacing w:before="101"/>
              <w:ind w:left="213"/>
              <w:rPr>
                <w:sz w:val="14"/>
              </w:rPr>
            </w:pPr>
            <w:r>
              <w:rPr>
                <w:w w:val="105"/>
                <w:sz w:val="14"/>
              </w:rPr>
              <w:t>7) Prepaid Expenditures</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9330</w:t>
            </w:r>
          </w:p>
        </w:tc>
        <w:tc>
          <w:tcPr>
            <w:tcW w:w="1453" w:type="dxa"/>
          </w:tcPr>
          <w:p>
            <w:pPr>
              <w:pStyle w:val="TableParagraph"/>
              <w:spacing w:before="101"/>
              <w:ind w:right="72"/>
              <w:jc w:val="right"/>
              <w:rPr>
                <w:sz w:val="14"/>
              </w:rPr>
            </w:pPr>
            <w:r>
              <w:rPr>
                <w:sz w:val="14"/>
              </w:rPr>
              <w:t>0.00</w:t>
            </w:r>
          </w:p>
        </w:tc>
        <w:tc>
          <w:tcPr>
            <w:tcW w:w="1480" w:type="dxa"/>
          </w:tcPr>
          <w:p>
            <w:pPr>
              <w:pStyle w:val="TableParagraph"/>
              <w:rPr>
                <w:rFonts w:ascii="Times New Roman"/>
                <w:sz w:val="14"/>
              </w:rPr>
            </w:pPr>
          </w:p>
        </w:tc>
        <w:tc>
          <w:tcPr>
            <w:tcW w:w="1207" w:type="dxa"/>
          </w:tcPr>
          <w:p>
            <w:pPr>
              <w:pStyle w:val="TableParagraph"/>
              <w:rPr>
                <w:rFonts w:ascii="Times New Roman"/>
                <w:sz w:val="14"/>
              </w:rPr>
            </w:pPr>
          </w:p>
        </w:tc>
      </w:tr>
      <w:tr>
        <w:trPr>
          <w:trHeight w:val="370" w:hRule="atLeast"/>
        </w:trPr>
        <w:tc>
          <w:tcPr>
            <w:tcW w:w="3870" w:type="dxa"/>
          </w:tcPr>
          <w:p>
            <w:pPr>
              <w:pStyle w:val="TableParagraph"/>
              <w:spacing w:before="101"/>
              <w:ind w:left="213"/>
              <w:rPr>
                <w:sz w:val="14"/>
              </w:rPr>
            </w:pPr>
            <w:r>
              <w:rPr>
                <w:w w:val="105"/>
                <w:sz w:val="14"/>
              </w:rPr>
              <w:t>8) Other Current Assets</w:t>
            </w:r>
          </w:p>
        </w:tc>
        <w:tc>
          <w:tcPr>
            <w:tcW w:w="1261" w:type="dxa"/>
          </w:tcPr>
          <w:p>
            <w:pPr>
              <w:pStyle w:val="TableParagraph"/>
              <w:rPr>
                <w:rFonts w:ascii="Times New Roman"/>
                <w:sz w:val="14"/>
              </w:rPr>
            </w:pPr>
          </w:p>
        </w:tc>
        <w:tc>
          <w:tcPr>
            <w:tcW w:w="1127" w:type="dxa"/>
          </w:tcPr>
          <w:p>
            <w:pPr>
              <w:pStyle w:val="TableParagraph"/>
              <w:spacing w:before="101"/>
              <w:ind w:left="88" w:right="49"/>
              <w:jc w:val="center"/>
              <w:rPr>
                <w:sz w:val="14"/>
              </w:rPr>
            </w:pPr>
            <w:r>
              <w:rPr>
                <w:w w:val="105"/>
                <w:sz w:val="14"/>
              </w:rPr>
              <w:t>9340</w:t>
            </w:r>
          </w:p>
        </w:tc>
        <w:tc>
          <w:tcPr>
            <w:tcW w:w="1453" w:type="dxa"/>
          </w:tcPr>
          <w:p>
            <w:pPr>
              <w:pStyle w:val="TableParagraph"/>
              <w:spacing w:before="101"/>
              <w:ind w:right="72"/>
              <w:jc w:val="right"/>
              <w:rPr>
                <w:sz w:val="14"/>
              </w:rPr>
            </w:pPr>
            <w:r>
              <w:rPr>
                <w:sz w:val="14"/>
              </w:rPr>
              <w:t>0.00</w:t>
            </w:r>
          </w:p>
        </w:tc>
        <w:tc>
          <w:tcPr>
            <w:tcW w:w="1480" w:type="dxa"/>
          </w:tcPr>
          <w:p>
            <w:pPr>
              <w:pStyle w:val="TableParagraph"/>
              <w:rPr>
                <w:rFonts w:ascii="Times New Roman"/>
                <w:sz w:val="14"/>
              </w:rPr>
            </w:pPr>
          </w:p>
        </w:tc>
        <w:tc>
          <w:tcPr>
            <w:tcW w:w="1207" w:type="dxa"/>
          </w:tcPr>
          <w:p>
            <w:pPr>
              <w:pStyle w:val="TableParagraph"/>
              <w:rPr>
                <w:rFonts w:ascii="Times New Roman"/>
                <w:sz w:val="14"/>
              </w:rPr>
            </w:pPr>
          </w:p>
        </w:tc>
      </w:tr>
      <w:tr>
        <w:trPr>
          <w:trHeight w:val="369" w:hRule="atLeast"/>
        </w:trPr>
        <w:tc>
          <w:tcPr>
            <w:tcW w:w="3870" w:type="dxa"/>
          </w:tcPr>
          <w:p>
            <w:pPr>
              <w:pStyle w:val="TableParagraph"/>
              <w:spacing w:before="107"/>
              <w:ind w:left="171"/>
              <w:rPr>
                <w:sz w:val="14"/>
              </w:rPr>
            </w:pPr>
            <w:r>
              <w:rPr>
                <w:w w:val="105"/>
                <w:sz w:val="14"/>
              </w:rPr>
              <w:t>9) TOTAL, ASSETS</w:t>
            </w:r>
          </w:p>
        </w:tc>
        <w:tc>
          <w:tcPr>
            <w:tcW w:w="1261" w:type="dxa"/>
          </w:tcPr>
          <w:p>
            <w:pPr>
              <w:pStyle w:val="TableParagraph"/>
              <w:rPr>
                <w:rFonts w:ascii="Times New Roman"/>
                <w:sz w:val="14"/>
              </w:rPr>
            </w:pPr>
          </w:p>
        </w:tc>
        <w:tc>
          <w:tcPr>
            <w:tcW w:w="1127" w:type="dxa"/>
          </w:tcPr>
          <w:p>
            <w:pPr>
              <w:pStyle w:val="TableParagraph"/>
              <w:rPr>
                <w:rFonts w:ascii="Times New Roman"/>
                <w:sz w:val="14"/>
              </w:rPr>
            </w:pPr>
          </w:p>
        </w:tc>
        <w:tc>
          <w:tcPr>
            <w:tcW w:w="1453" w:type="dxa"/>
          </w:tcPr>
          <w:p>
            <w:pPr>
              <w:pStyle w:val="TableParagraph"/>
              <w:spacing w:before="107"/>
              <w:ind w:right="24"/>
              <w:jc w:val="right"/>
              <w:rPr>
                <w:sz w:val="14"/>
              </w:rPr>
            </w:pPr>
            <w:r>
              <w:rPr>
                <w:sz w:val="14"/>
              </w:rPr>
              <w:t>(24.60)</w:t>
            </w:r>
          </w:p>
        </w:tc>
        <w:tc>
          <w:tcPr>
            <w:tcW w:w="1480" w:type="dxa"/>
          </w:tcPr>
          <w:p>
            <w:pPr>
              <w:pStyle w:val="TableParagraph"/>
              <w:rPr>
                <w:rFonts w:ascii="Times New Roman"/>
                <w:sz w:val="14"/>
              </w:rPr>
            </w:pPr>
          </w:p>
        </w:tc>
        <w:tc>
          <w:tcPr>
            <w:tcW w:w="1207" w:type="dxa"/>
          </w:tcPr>
          <w:p>
            <w:pPr>
              <w:pStyle w:val="TableParagraph"/>
              <w:rPr>
                <w:rFonts w:ascii="Times New Roman"/>
                <w:sz w:val="14"/>
              </w:rPr>
            </w:pPr>
          </w:p>
        </w:tc>
      </w:tr>
      <w:tr>
        <w:trPr>
          <w:trHeight w:val="259" w:hRule="atLeast"/>
        </w:trPr>
        <w:tc>
          <w:tcPr>
            <w:tcW w:w="3870" w:type="dxa"/>
          </w:tcPr>
          <w:p>
            <w:pPr>
              <w:pStyle w:val="TableParagraph"/>
              <w:spacing w:line="140" w:lineRule="exact" w:before="99"/>
              <w:ind w:left="50"/>
              <w:rPr>
                <w:b/>
                <w:sz w:val="14"/>
              </w:rPr>
            </w:pPr>
            <w:r>
              <w:rPr>
                <w:b/>
                <w:w w:val="105"/>
                <w:sz w:val="14"/>
              </w:rPr>
              <w:t>H. DEFERRED OUTFLOWS OF RESOURCES</w:t>
            </w:r>
          </w:p>
        </w:tc>
        <w:tc>
          <w:tcPr>
            <w:tcW w:w="6528" w:type="dxa"/>
            <w:gridSpan w:val="5"/>
          </w:tcPr>
          <w:p>
            <w:pPr>
              <w:pStyle w:val="TableParagraph"/>
              <w:rPr>
                <w:rFonts w:ascii="Times New Roman"/>
                <w:sz w:val="14"/>
              </w:rPr>
            </w:pPr>
          </w:p>
        </w:tc>
      </w:tr>
      <w:tr>
        <w:trPr>
          <w:trHeight w:val="470" w:hRule="atLeast"/>
        </w:trPr>
        <w:tc>
          <w:tcPr>
            <w:tcW w:w="3870" w:type="dxa"/>
          </w:tcPr>
          <w:p>
            <w:pPr>
              <w:pStyle w:val="TableParagraph"/>
              <w:rPr>
                <w:sz w:val="18"/>
              </w:rPr>
            </w:pPr>
          </w:p>
          <w:p>
            <w:pPr>
              <w:pStyle w:val="TableParagraph"/>
              <w:ind w:left="213"/>
              <w:rPr>
                <w:sz w:val="14"/>
              </w:rPr>
            </w:pPr>
            <w:r>
              <w:rPr>
                <w:w w:val="105"/>
                <w:sz w:val="14"/>
              </w:rPr>
              <w:t>1) Deferred Outflows of Resources</w:t>
            </w:r>
          </w:p>
        </w:tc>
        <w:tc>
          <w:tcPr>
            <w:tcW w:w="2388" w:type="dxa"/>
            <w:gridSpan w:val="2"/>
          </w:tcPr>
          <w:p>
            <w:pPr>
              <w:pStyle w:val="TableParagraph"/>
              <w:rPr>
                <w:sz w:val="18"/>
              </w:rPr>
            </w:pPr>
          </w:p>
          <w:p>
            <w:pPr>
              <w:pStyle w:val="TableParagraph"/>
              <w:ind w:right="383"/>
              <w:jc w:val="right"/>
              <w:rPr>
                <w:sz w:val="14"/>
              </w:rPr>
            </w:pPr>
            <w:r>
              <w:rPr>
                <w:sz w:val="14"/>
              </w:rPr>
              <w:t>9490</w:t>
            </w:r>
          </w:p>
        </w:tc>
        <w:tc>
          <w:tcPr>
            <w:tcW w:w="4140" w:type="dxa"/>
            <w:gridSpan w:val="3"/>
          </w:tcPr>
          <w:p>
            <w:pPr>
              <w:pStyle w:val="TableParagraph"/>
              <w:rPr>
                <w:sz w:val="18"/>
              </w:rPr>
            </w:pPr>
          </w:p>
          <w:p>
            <w:pPr>
              <w:pStyle w:val="TableParagraph"/>
              <w:ind w:left="1099"/>
              <w:rPr>
                <w:sz w:val="14"/>
              </w:rPr>
            </w:pPr>
            <w:r>
              <w:rPr>
                <w:w w:val="105"/>
                <w:sz w:val="14"/>
              </w:rPr>
              <w:t>0.00</w:t>
            </w:r>
          </w:p>
        </w:tc>
      </w:tr>
      <w:tr>
        <w:trPr>
          <w:trHeight w:val="262" w:hRule="atLeast"/>
        </w:trPr>
        <w:tc>
          <w:tcPr>
            <w:tcW w:w="3870" w:type="dxa"/>
          </w:tcPr>
          <w:p>
            <w:pPr>
              <w:pStyle w:val="TableParagraph"/>
              <w:spacing w:line="142" w:lineRule="exact" w:before="101"/>
              <w:ind w:left="213"/>
              <w:rPr>
                <w:sz w:val="14"/>
              </w:rPr>
            </w:pPr>
            <w:r>
              <w:rPr>
                <w:w w:val="105"/>
                <w:sz w:val="14"/>
              </w:rPr>
              <w:t>2) TOTAL, DEFERRED OUTFLOWS</w:t>
            </w:r>
          </w:p>
        </w:tc>
        <w:tc>
          <w:tcPr>
            <w:tcW w:w="2388" w:type="dxa"/>
            <w:gridSpan w:val="2"/>
          </w:tcPr>
          <w:p>
            <w:pPr>
              <w:pStyle w:val="TableParagraph"/>
              <w:rPr>
                <w:rFonts w:ascii="Times New Roman"/>
                <w:sz w:val="14"/>
              </w:rPr>
            </w:pPr>
          </w:p>
        </w:tc>
        <w:tc>
          <w:tcPr>
            <w:tcW w:w="4140" w:type="dxa"/>
            <w:gridSpan w:val="3"/>
          </w:tcPr>
          <w:p>
            <w:pPr>
              <w:pStyle w:val="TableParagraph"/>
              <w:spacing w:line="142" w:lineRule="exact" w:before="101"/>
              <w:ind w:left="1099"/>
              <w:rPr>
                <w:sz w:val="14"/>
              </w:rPr>
            </w:pPr>
            <w:r>
              <w:rPr>
                <w:w w:val="105"/>
                <w:sz w:val="14"/>
              </w:rPr>
              <w:t>0.00</w:t>
            </w:r>
          </w:p>
        </w:tc>
      </w:tr>
    </w:tbl>
    <w:p>
      <w:pPr>
        <w:pStyle w:val="BodyText"/>
        <w:spacing w:before="10"/>
        <w:rPr>
          <w:sz w:val="9"/>
        </w:rPr>
      </w:pPr>
    </w:p>
    <w:p>
      <w:pPr>
        <w:spacing w:before="99"/>
        <w:ind w:left="370" w:right="0" w:firstLine="0"/>
        <w:jc w:val="left"/>
        <w:rPr>
          <w:b/>
          <w:sz w:val="14"/>
        </w:rPr>
      </w:pPr>
      <w:r>
        <w:rPr/>
        <w:pict>
          <v:group style="position:absolute;margin-left:24.719999pt;margin-top:-375.4841pt;width:538pt;height:601pt;mso-position-horizontal-relative:page;mso-position-vertical-relative:paragraph;z-index:-314241024" coordorigin="494,-7510" coordsize="10760,12020">
            <v:shape style="position:absolute;left:494;top:-7510;width:3646;height:790" type="#_x0000_t75" stroked="false">
              <v:imagedata r:id="rId406" o:title=""/>
            </v:shape>
            <v:shape style="position:absolute;left:494;top:-6735;width:3646;height:5540" type="#_x0000_t75" stroked="false">
              <v:imagedata r:id="rId853" o:title=""/>
            </v:shape>
            <v:rect style="position:absolute;left:6679;top:-2677;width:1512;height:365" filled="true" fillcolor="#dfdfdf" stroked="false">
              <v:fill type="solid"/>
            </v:rect>
            <v:shape style="position:absolute;left:4132;top:-7510;width:7121;height:12020" type="#_x0000_t75" stroked="false">
              <v:imagedata r:id="rId854" o:title=""/>
            </v:shape>
            <v:line style="position:absolute" from="1304,-1205" to="1304,-847" stroked="true" strokeweight=".359997pt" strokecolor="#ffffff">
              <v:stroke dashstyle="solid"/>
            </v:line>
            <v:shape style="position:absolute;left:494;top:-1210;width:3646;height:1109" type="#_x0000_t75" stroked="false">
              <v:imagedata r:id="rId855" o:title=""/>
            </v:shape>
            <v:line style="position:absolute" from="1304,-110" to="1304,259" stroked="true" strokeweight=".359997pt" strokecolor="#ffffff">
              <v:stroke dashstyle="solid"/>
            </v:line>
            <v:shape style="position:absolute;left:494;top:-116;width:3646;height:2580" type="#_x0000_t75" stroked="false">
              <v:imagedata r:id="rId453" o:title=""/>
            </v:shape>
            <v:line style="position:absolute" from="1304,2455" to="1304,2813" stroked="true" strokeweight=".359997pt" strokecolor="#ffffff">
              <v:stroke dashstyle="solid"/>
            </v:line>
            <v:shape style="position:absolute;left:494;top:2450;width:3646;height:1109" type="#_x0000_t75" stroked="false">
              <v:imagedata r:id="rId855" o:title=""/>
            </v:shape>
            <v:line style="position:absolute" from="1304,3550" to="1304,3919" stroked="true" strokeweight=".359997pt" strokecolor="#ffffff">
              <v:stroke dashstyle="solid"/>
            </v:line>
            <v:shape style="position:absolute;left:494;top:3544;width:3646;height:965" type="#_x0000_t75" stroked="false">
              <v:imagedata r:id="rId455" o:title=""/>
            </v:shape>
            <w10:wrap type="none"/>
          </v:group>
        </w:pict>
      </w:r>
      <w:r>
        <w:rPr/>
        <w:pict>
          <v:shape style="position:absolute;margin-left:32.181297pt;margin-top:23.370277pt;width:376.2pt;height:153.950pt;mso-position-horizontal-relative:page;mso-position-vertical-relative:paragraph;z-index:252127232"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27"/>
                    <w:gridCol w:w="2626"/>
                    <w:gridCol w:w="1072"/>
                  </w:tblGrid>
                  <w:tr>
                    <w:trPr>
                      <w:trHeight w:val="262" w:hRule="atLeast"/>
                    </w:trPr>
                    <w:tc>
                      <w:tcPr>
                        <w:tcW w:w="3827" w:type="dxa"/>
                      </w:tcPr>
                      <w:p>
                        <w:pPr>
                          <w:pStyle w:val="TableParagraph"/>
                          <w:spacing w:line="160" w:lineRule="exact"/>
                          <w:ind w:left="50"/>
                          <w:rPr>
                            <w:sz w:val="14"/>
                          </w:rPr>
                        </w:pPr>
                        <w:r>
                          <w:rPr>
                            <w:w w:val="105"/>
                            <w:sz w:val="14"/>
                          </w:rPr>
                          <w:t>1) Accounts Payable</w:t>
                        </w:r>
                      </w:p>
                    </w:tc>
                    <w:tc>
                      <w:tcPr>
                        <w:tcW w:w="2626" w:type="dxa"/>
                      </w:tcPr>
                      <w:p>
                        <w:pPr>
                          <w:pStyle w:val="TableParagraph"/>
                          <w:spacing w:line="160" w:lineRule="exact"/>
                          <w:ind w:right="741"/>
                          <w:jc w:val="right"/>
                          <w:rPr>
                            <w:sz w:val="14"/>
                          </w:rPr>
                        </w:pPr>
                        <w:r>
                          <w:rPr>
                            <w:sz w:val="14"/>
                          </w:rPr>
                          <w:t>9500</w:t>
                        </w:r>
                      </w:p>
                    </w:tc>
                    <w:tc>
                      <w:tcPr>
                        <w:tcW w:w="1072" w:type="dxa"/>
                      </w:tcPr>
                      <w:p>
                        <w:pPr>
                          <w:pStyle w:val="TableParagraph"/>
                          <w:spacing w:line="160" w:lineRule="exact"/>
                          <w:ind w:right="49"/>
                          <w:jc w:val="right"/>
                          <w:rPr>
                            <w:sz w:val="14"/>
                          </w:rPr>
                        </w:pPr>
                        <w:r>
                          <w:rPr>
                            <w:sz w:val="14"/>
                          </w:rPr>
                          <w:t>0.00</w:t>
                        </w:r>
                      </w:p>
                    </w:tc>
                  </w:tr>
                  <w:tr>
                    <w:trPr>
                      <w:trHeight w:val="364" w:hRule="atLeast"/>
                    </w:trPr>
                    <w:tc>
                      <w:tcPr>
                        <w:tcW w:w="3827" w:type="dxa"/>
                      </w:tcPr>
                      <w:p>
                        <w:pPr>
                          <w:pStyle w:val="TableParagraph"/>
                          <w:spacing w:before="101"/>
                          <w:ind w:left="50"/>
                          <w:rPr>
                            <w:sz w:val="14"/>
                          </w:rPr>
                        </w:pPr>
                        <w:r>
                          <w:rPr>
                            <w:w w:val="105"/>
                            <w:sz w:val="14"/>
                          </w:rPr>
                          <w:t>2) Due to Grantor Governments</w:t>
                        </w:r>
                      </w:p>
                    </w:tc>
                    <w:tc>
                      <w:tcPr>
                        <w:tcW w:w="2626" w:type="dxa"/>
                      </w:tcPr>
                      <w:p>
                        <w:pPr>
                          <w:pStyle w:val="TableParagraph"/>
                          <w:spacing w:before="101"/>
                          <w:ind w:right="741"/>
                          <w:jc w:val="right"/>
                          <w:rPr>
                            <w:sz w:val="14"/>
                          </w:rPr>
                        </w:pPr>
                        <w:r>
                          <w:rPr>
                            <w:sz w:val="14"/>
                          </w:rPr>
                          <w:t>9590</w:t>
                        </w:r>
                      </w:p>
                    </w:tc>
                    <w:tc>
                      <w:tcPr>
                        <w:tcW w:w="1072" w:type="dxa"/>
                      </w:tcPr>
                      <w:p>
                        <w:pPr>
                          <w:pStyle w:val="TableParagraph"/>
                          <w:spacing w:before="101"/>
                          <w:ind w:right="49"/>
                          <w:jc w:val="right"/>
                          <w:rPr>
                            <w:sz w:val="14"/>
                          </w:rPr>
                        </w:pPr>
                        <w:r>
                          <w:rPr>
                            <w:sz w:val="14"/>
                          </w:rPr>
                          <w:t>0.00</w:t>
                        </w:r>
                      </w:p>
                    </w:tc>
                  </w:tr>
                  <w:tr>
                    <w:trPr>
                      <w:trHeight w:val="364" w:hRule="atLeast"/>
                    </w:trPr>
                    <w:tc>
                      <w:tcPr>
                        <w:tcW w:w="3827" w:type="dxa"/>
                      </w:tcPr>
                      <w:p>
                        <w:pPr>
                          <w:pStyle w:val="TableParagraph"/>
                          <w:spacing w:before="101"/>
                          <w:ind w:left="50"/>
                          <w:rPr>
                            <w:sz w:val="14"/>
                          </w:rPr>
                        </w:pPr>
                        <w:r>
                          <w:rPr>
                            <w:w w:val="105"/>
                            <w:sz w:val="14"/>
                          </w:rPr>
                          <w:t>3) Due to Other Funds</w:t>
                        </w:r>
                      </w:p>
                    </w:tc>
                    <w:tc>
                      <w:tcPr>
                        <w:tcW w:w="2626" w:type="dxa"/>
                      </w:tcPr>
                      <w:p>
                        <w:pPr>
                          <w:pStyle w:val="TableParagraph"/>
                          <w:spacing w:before="101"/>
                          <w:ind w:right="741"/>
                          <w:jc w:val="right"/>
                          <w:rPr>
                            <w:sz w:val="14"/>
                          </w:rPr>
                        </w:pPr>
                        <w:r>
                          <w:rPr>
                            <w:sz w:val="14"/>
                          </w:rPr>
                          <w:t>9610</w:t>
                        </w:r>
                      </w:p>
                    </w:tc>
                    <w:tc>
                      <w:tcPr>
                        <w:tcW w:w="1072" w:type="dxa"/>
                      </w:tcPr>
                      <w:p>
                        <w:pPr>
                          <w:pStyle w:val="TableParagraph"/>
                          <w:spacing w:before="101"/>
                          <w:ind w:right="49"/>
                          <w:jc w:val="right"/>
                          <w:rPr>
                            <w:sz w:val="14"/>
                          </w:rPr>
                        </w:pPr>
                        <w:r>
                          <w:rPr>
                            <w:sz w:val="14"/>
                          </w:rPr>
                          <w:t>0.00</w:t>
                        </w:r>
                      </w:p>
                    </w:tc>
                  </w:tr>
                  <w:tr>
                    <w:trPr>
                      <w:trHeight w:val="364" w:hRule="atLeast"/>
                    </w:trPr>
                    <w:tc>
                      <w:tcPr>
                        <w:tcW w:w="3827" w:type="dxa"/>
                      </w:tcPr>
                      <w:p>
                        <w:pPr>
                          <w:pStyle w:val="TableParagraph"/>
                          <w:spacing w:before="101"/>
                          <w:ind w:left="50"/>
                          <w:rPr>
                            <w:sz w:val="14"/>
                          </w:rPr>
                        </w:pPr>
                        <w:r>
                          <w:rPr>
                            <w:w w:val="105"/>
                            <w:sz w:val="14"/>
                          </w:rPr>
                          <w:t>4) Current Loans</w:t>
                        </w:r>
                      </w:p>
                    </w:tc>
                    <w:tc>
                      <w:tcPr>
                        <w:tcW w:w="2626" w:type="dxa"/>
                      </w:tcPr>
                      <w:p>
                        <w:pPr>
                          <w:pStyle w:val="TableParagraph"/>
                          <w:spacing w:before="101"/>
                          <w:ind w:right="741"/>
                          <w:jc w:val="right"/>
                          <w:rPr>
                            <w:sz w:val="14"/>
                          </w:rPr>
                        </w:pPr>
                        <w:r>
                          <w:rPr>
                            <w:sz w:val="14"/>
                          </w:rPr>
                          <w:t>9640</w:t>
                        </w:r>
                      </w:p>
                    </w:tc>
                    <w:tc>
                      <w:tcPr>
                        <w:tcW w:w="1072" w:type="dxa"/>
                      </w:tcPr>
                      <w:p>
                        <w:pPr>
                          <w:pStyle w:val="TableParagraph"/>
                          <w:spacing w:before="101"/>
                          <w:ind w:right="49"/>
                          <w:jc w:val="right"/>
                          <w:rPr>
                            <w:sz w:val="14"/>
                          </w:rPr>
                        </w:pPr>
                        <w:r>
                          <w:rPr>
                            <w:sz w:val="14"/>
                          </w:rPr>
                          <w:t>0.00</w:t>
                        </w:r>
                      </w:p>
                    </w:tc>
                  </w:tr>
                  <w:tr>
                    <w:trPr>
                      <w:trHeight w:val="364" w:hRule="atLeast"/>
                    </w:trPr>
                    <w:tc>
                      <w:tcPr>
                        <w:tcW w:w="3827" w:type="dxa"/>
                      </w:tcPr>
                      <w:p>
                        <w:pPr>
                          <w:pStyle w:val="TableParagraph"/>
                          <w:spacing w:before="101"/>
                          <w:ind w:left="50"/>
                          <w:rPr>
                            <w:sz w:val="14"/>
                          </w:rPr>
                        </w:pPr>
                        <w:r>
                          <w:rPr>
                            <w:w w:val="105"/>
                            <w:sz w:val="14"/>
                          </w:rPr>
                          <w:t>5) Unearned Revenue</w:t>
                        </w:r>
                      </w:p>
                    </w:tc>
                    <w:tc>
                      <w:tcPr>
                        <w:tcW w:w="2626" w:type="dxa"/>
                      </w:tcPr>
                      <w:p>
                        <w:pPr>
                          <w:pStyle w:val="TableParagraph"/>
                          <w:spacing w:before="101"/>
                          <w:ind w:right="741"/>
                          <w:jc w:val="right"/>
                          <w:rPr>
                            <w:sz w:val="14"/>
                          </w:rPr>
                        </w:pPr>
                        <w:r>
                          <w:rPr>
                            <w:sz w:val="14"/>
                          </w:rPr>
                          <w:t>9650</w:t>
                        </w:r>
                      </w:p>
                    </w:tc>
                    <w:tc>
                      <w:tcPr>
                        <w:tcW w:w="1072" w:type="dxa"/>
                      </w:tcPr>
                      <w:p>
                        <w:pPr>
                          <w:pStyle w:val="TableParagraph"/>
                          <w:spacing w:before="101"/>
                          <w:ind w:right="49"/>
                          <w:jc w:val="right"/>
                          <w:rPr>
                            <w:sz w:val="14"/>
                          </w:rPr>
                        </w:pPr>
                        <w:r>
                          <w:rPr>
                            <w:sz w:val="14"/>
                          </w:rPr>
                          <w:t>0.00</w:t>
                        </w:r>
                      </w:p>
                    </w:tc>
                  </w:tr>
                  <w:tr>
                    <w:trPr>
                      <w:trHeight w:val="363" w:hRule="atLeast"/>
                    </w:trPr>
                    <w:tc>
                      <w:tcPr>
                        <w:tcW w:w="3827" w:type="dxa"/>
                      </w:tcPr>
                      <w:p>
                        <w:pPr>
                          <w:pStyle w:val="TableParagraph"/>
                          <w:spacing w:before="101"/>
                          <w:ind w:left="50"/>
                          <w:rPr>
                            <w:sz w:val="14"/>
                          </w:rPr>
                        </w:pPr>
                        <w:r>
                          <w:rPr>
                            <w:w w:val="105"/>
                            <w:sz w:val="14"/>
                          </w:rPr>
                          <w:t>6) TOTAL, LIABILITIES</w:t>
                        </w:r>
                      </w:p>
                    </w:tc>
                    <w:tc>
                      <w:tcPr>
                        <w:tcW w:w="2626" w:type="dxa"/>
                      </w:tcPr>
                      <w:p>
                        <w:pPr>
                          <w:pStyle w:val="TableParagraph"/>
                          <w:rPr>
                            <w:rFonts w:ascii="Times New Roman"/>
                            <w:sz w:val="14"/>
                          </w:rPr>
                        </w:pPr>
                      </w:p>
                    </w:tc>
                    <w:tc>
                      <w:tcPr>
                        <w:tcW w:w="1072" w:type="dxa"/>
                      </w:tcPr>
                      <w:p>
                        <w:pPr>
                          <w:pStyle w:val="TableParagraph"/>
                          <w:spacing w:before="101"/>
                          <w:ind w:right="49"/>
                          <w:jc w:val="right"/>
                          <w:rPr>
                            <w:sz w:val="14"/>
                          </w:rPr>
                        </w:pPr>
                        <w:r>
                          <w:rPr>
                            <w:sz w:val="14"/>
                          </w:rPr>
                          <w:t>0.00</w:t>
                        </w:r>
                      </w:p>
                    </w:tc>
                  </w:tr>
                  <w:tr>
                    <w:trPr>
                      <w:trHeight w:val="259" w:hRule="atLeast"/>
                    </w:trPr>
                    <w:tc>
                      <w:tcPr>
                        <w:tcW w:w="3827" w:type="dxa"/>
                      </w:tcPr>
                      <w:p>
                        <w:pPr>
                          <w:pStyle w:val="TableParagraph"/>
                          <w:spacing w:line="140" w:lineRule="exact" w:before="99"/>
                          <w:ind w:left="47"/>
                          <w:rPr>
                            <w:b/>
                            <w:sz w:val="14"/>
                          </w:rPr>
                        </w:pPr>
                        <w:r>
                          <w:rPr>
                            <w:b/>
                            <w:w w:val="105"/>
                            <w:sz w:val="14"/>
                          </w:rPr>
                          <w:t>DEFERRED INFLOWS OF RESOURCES</w:t>
                        </w:r>
                      </w:p>
                    </w:tc>
                    <w:tc>
                      <w:tcPr>
                        <w:tcW w:w="3698" w:type="dxa"/>
                        <w:gridSpan w:val="2"/>
                      </w:tcPr>
                      <w:p>
                        <w:pPr>
                          <w:pStyle w:val="TableParagraph"/>
                          <w:rPr>
                            <w:rFonts w:ascii="Times New Roman"/>
                            <w:sz w:val="14"/>
                          </w:rPr>
                        </w:pPr>
                      </w:p>
                    </w:tc>
                  </w:tr>
                  <w:tr>
                    <w:trPr>
                      <w:trHeight w:val="470" w:hRule="atLeast"/>
                    </w:trPr>
                    <w:tc>
                      <w:tcPr>
                        <w:tcW w:w="3827" w:type="dxa"/>
                      </w:tcPr>
                      <w:p>
                        <w:pPr>
                          <w:pStyle w:val="TableParagraph"/>
                          <w:rPr>
                            <w:sz w:val="18"/>
                          </w:rPr>
                        </w:pPr>
                      </w:p>
                      <w:p>
                        <w:pPr>
                          <w:pStyle w:val="TableParagraph"/>
                          <w:ind w:left="50"/>
                          <w:rPr>
                            <w:sz w:val="14"/>
                          </w:rPr>
                        </w:pPr>
                        <w:r>
                          <w:rPr>
                            <w:w w:val="105"/>
                            <w:sz w:val="14"/>
                          </w:rPr>
                          <w:t>1) Deferred Inflows of Resources</w:t>
                        </w:r>
                      </w:p>
                    </w:tc>
                    <w:tc>
                      <w:tcPr>
                        <w:tcW w:w="2626" w:type="dxa"/>
                      </w:tcPr>
                      <w:p>
                        <w:pPr>
                          <w:pStyle w:val="TableParagraph"/>
                          <w:rPr>
                            <w:sz w:val="18"/>
                          </w:rPr>
                        </w:pPr>
                      </w:p>
                      <w:p>
                        <w:pPr>
                          <w:pStyle w:val="TableParagraph"/>
                          <w:ind w:right="741"/>
                          <w:jc w:val="right"/>
                          <w:rPr>
                            <w:sz w:val="14"/>
                          </w:rPr>
                        </w:pPr>
                        <w:r>
                          <w:rPr>
                            <w:sz w:val="14"/>
                          </w:rPr>
                          <w:t>9690</w:t>
                        </w:r>
                      </w:p>
                    </w:tc>
                    <w:tc>
                      <w:tcPr>
                        <w:tcW w:w="1072" w:type="dxa"/>
                      </w:tcPr>
                      <w:p>
                        <w:pPr>
                          <w:pStyle w:val="TableParagraph"/>
                          <w:rPr>
                            <w:sz w:val="18"/>
                          </w:rPr>
                        </w:pPr>
                      </w:p>
                      <w:p>
                        <w:pPr>
                          <w:pStyle w:val="TableParagraph"/>
                          <w:ind w:right="49"/>
                          <w:jc w:val="right"/>
                          <w:rPr>
                            <w:sz w:val="14"/>
                          </w:rPr>
                        </w:pPr>
                        <w:r>
                          <w:rPr>
                            <w:sz w:val="14"/>
                          </w:rPr>
                          <w:t>0.00</w:t>
                        </w:r>
                      </w:p>
                    </w:tc>
                  </w:tr>
                  <w:tr>
                    <w:trPr>
                      <w:trHeight w:val="262" w:hRule="atLeast"/>
                    </w:trPr>
                    <w:tc>
                      <w:tcPr>
                        <w:tcW w:w="3827" w:type="dxa"/>
                      </w:tcPr>
                      <w:p>
                        <w:pPr>
                          <w:pStyle w:val="TableParagraph"/>
                          <w:spacing w:line="142" w:lineRule="exact" w:before="101"/>
                          <w:ind w:left="50"/>
                          <w:rPr>
                            <w:sz w:val="14"/>
                          </w:rPr>
                        </w:pPr>
                        <w:r>
                          <w:rPr>
                            <w:w w:val="105"/>
                            <w:sz w:val="14"/>
                          </w:rPr>
                          <w:t>2) TOTAL, DEFERRED INFLOWS</w:t>
                        </w:r>
                      </w:p>
                    </w:tc>
                    <w:tc>
                      <w:tcPr>
                        <w:tcW w:w="2626" w:type="dxa"/>
                      </w:tcPr>
                      <w:p>
                        <w:pPr>
                          <w:pStyle w:val="TableParagraph"/>
                          <w:rPr>
                            <w:rFonts w:ascii="Times New Roman"/>
                            <w:sz w:val="14"/>
                          </w:rPr>
                        </w:pPr>
                      </w:p>
                    </w:tc>
                    <w:tc>
                      <w:tcPr>
                        <w:tcW w:w="1072" w:type="dxa"/>
                      </w:tcPr>
                      <w:p>
                        <w:pPr>
                          <w:pStyle w:val="TableParagraph"/>
                          <w:spacing w:line="142" w:lineRule="exact" w:before="101"/>
                          <w:ind w:right="49"/>
                          <w:jc w:val="right"/>
                          <w:rPr>
                            <w:sz w:val="14"/>
                          </w:rPr>
                        </w:pPr>
                        <w:r>
                          <w:rPr>
                            <w:sz w:val="14"/>
                          </w:rPr>
                          <w:t>0.00</w:t>
                        </w:r>
                      </w:p>
                    </w:tc>
                  </w:tr>
                </w:tbl>
                <w:p>
                  <w:pPr>
                    <w:pStyle w:val="BodyText"/>
                  </w:pPr>
                </w:p>
              </w:txbxContent>
            </v:textbox>
            <w10:wrap type="none"/>
          </v:shape>
        </w:pict>
      </w:r>
      <w:r>
        <w:rPr>
          <w:b/>
          <w:w w:val="105"/>
          <w:sz w:val="14"/>
        </w:rPr>
        <w:t>I. LIABILITIES</w:t>
      </w: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spacing w:before="1"/>
        <w:ind w:left="370" w:right="0" w:firstLine="0"/>
        <w:jc w:val="left"/>
        <w:rPr>
          <w:b/>
          <w:sz w:val="14"/>
        </w:rPr>
      </w:pPr>
      <w:r>
        <w:rPr>
          <w:b/>
          <w:w w:val="105"/>
          <w:sz w:val="14"/>
        </w:rPr>
        <w:t>J.</w:t>
      </w:r>
    </w:p>
    <w:p>
      <w:pPr>
        <w:pStyle w:val="BodyText"/>
        <w:rPr>
          <w:b/>
          <w:sz w:val="16"/>
        </w:rPr>
      </w:pPr>
    </w:p>
    <w:p>
      <w:pPr>
        <w:pStyle w:val="BodyText"/>
        <w:rPr>
          <w:b/>
          <w:sz w:val="16"/>
        </w:rPr>
      </w:pPr>
    </w:p>
    <w:p>
      <w:pPr>
        <w:pStyle w:val="BodyText"/>
        <w:rPr>
          <w:b/>
          <w:sz w:val="16"/>
        </w:rPr>
      </w:pPr>
    </w:p>
    <w:p>
      <w:pPr>
        <w:pStyle w:val="BodyText"/>
        <w:rPr>
          <w:b/>
          <w:sz w:val="16"/>
        </w:rPr>
      </w:pPr>
    </w:p>
    <w:p>
      <w:pPr>
        <w:pStyle w:val="BodyText"/>
        <w:spacing w:before="2"/>
        <w:rPr>
          <w:b/>
          <w:sz w:val="18"/>
        </w:rPr>
      </w:pPr>
    </w:p>
    <w:p>
      <w:pPr>
        <w:spacing w:before="0"/>
        <w:ind w:left="370" w:right="0" w:firstLine="0"/>
        <w:jc w:val="left"/>
        <w:rPr>
          <w:b/>
          <w:sz w:val="14"/>
        </w:rPr>
      </w:pPr>
      <w:r>
        <w:rPr>
          <w:b/>
          <w:w w:val="105"/>
          <w:sz w:val="14"/>
        </w:rPr>
        <w:t>K. FUND EQUITY</w:t>
      </w:r>
    </w:p>
    <w:p>
      <w:pPr>
        <w:pStyle w:val="BodyText"/>
        <w:spacing w:before="4"/>
        <w:rPr>
          <w:b/>
          <w:sz w:val="10"/>
        </w:rPr>
      </w:pPr>
    </w:p>
    <w:p>
      <w:pPr>
        <w:spacing w:before="99"/>
        <w:ind w:left="533" w:right="0" w:firstLine="0"/>
        <w:jc w:val="left"/>
        <w:rPr>
          <w:sz w:val="14"/>
        </w:rPr>
      </w:pPr>
      <w:r>
        <w:rPr>
          <w:w w:val="105"/>
          <w:sz w:val="14"/>
        </w:rPr>
        <w:t>Ending Fund Balance, June 30</w:t>
      </w:r>
    </w:p>
    <w:p>
      <w:pPr>
        <w:tabs>
          <w:tab w:pos="7551" w:val="left" w:leader="none"/>
        </w:tabs>
        <w:spacing w:before="36"/>
        <w:ind w:left="533" w:right="0" w:firstLine="0"/>
        <w:jc w:val="left"/>
        <w:rPr>
          <w:sz w:val="14"/>
        </w:rPr>
      </w:pPr>
      <w:r>
        <w:rPr>
          <w:w w:val="105"/>
          <w:sz w:val="14"/>
        </w:rPr>
        <w:t>(G9 + H2) - (I6</w:t>
      </w:r>
      <w:r>
        <w:rPr>
          <w:spacing w:val="-21"/>
          <w:w w:val="105"/>
          <w:sz w:val="14"/>
        </w:rPr>
        <w:t> </w:t>
      </w:r>
      <w:r>
        <w:rPr>
          <w:w w:val="105"/>
          <w:sz w:val="14"/>
        </w:rPr>
        <w:t>+</w:t>
      </w:r>
      <w:r>
        <w:rPr>
          <w:spacing w:val="-4"/>
          <w:w w:val="105"/>
          <w:sz w:val="14"/>
        </w:rPr>
        <w:t> </w:t>
      </w:r>
      <w:r>
        <w:rPr>
          <w:w w:val="105"/>
          <w:sz w:val="14"/>
        </w:rPr>
        <w:t>J2)</w:t>
        <w:tab/>
        <w:t>(24.60)</w:t>
      </w:r>
    </w:p>
    <w:p>
      <w:pPr>
        <w:spacing w:after="0"/>
        <w:jc w:val="left"/>
        <w:rPr>
          <w:sz w:val="14"/>
        </w:rPr>
        <w:sectPr>
          <w:type w:val="continuous"/>
          <w:pgSz w:w="12240" w:h="15840"/>
          <w:pgMar w:top="1500" w:bottom="840" w:left="160" w:right="180"/>
        </w:sectPr>
      </w:pPr>
    </w:p>
    <w:p>
      <w:pPr>
        <w:spacing w:line="232" w:lineRule="auto" w:before="1"/>
        <w:ind w:left="308" w:right="0" w:firstLine="0"/>
        <w:jc w:val="left"/>
        <w:rPr>
          <w:sz w:val="18"/>
        </w:rPr>
      </w:pPr>
      <w:r>
        <w:rPr/>
        <w:pict>
          <v:group style="position:absolute;margin-left:24.719999pt;margin-top:36.318634pt;width:538pt;height:131.0500pt;mso-position-horizontal-relative:page;mso-position-vertical-relative:paragraph;z-index:-314225664" coordorigin="494,726" coordsize="10760,2621">
            <v:shape style="position:absolute;left:494;top:726;width:3646;height:790" type="#_x0000_t75" stroked="false">
              <v:imagedata r:id="rId406" o:title=""/>
            </v:shape>
            <v:shape style="position:absolute;left:494;top:726;width:10760;height:1148" type="#_x0000_t75" stroked="false">
              <v:imagedata r:id="rId595" o:title=""/>
            </v:shape>
            <v:line style="position:absolute" from="1304,1506" to="1304,1869" stroked="true" strokeweight=".359997pt" strokecolor="#ffffff">
              <v:stroke dashstyle="solid"/>
            </v:line>
            <v:shape style="position:absolute;left:4132;top:1501;width:7121;height:737" type="#_x0000_t75" stroked="false">
              <v:imagedata r:id="rId928" o:title=""/>
            </v:shape>
            <v:shape style="position:absolute;left:494;top:1871;width:3646;height:737" type="#_x0000_t75" stroked="false">
              <v:imagedata r:id="rId929" o:title=""/>
            </v:shape>
            <v:shape style="position:absolute;left:494;top:1871;width:10760;height:1107" type="#_x0000_t75" stroked="false">
              <v:imagedata r:id="rId930" o:title=""/>
            </v:shape>
            <v:shape style="position:absolute;left:4132;top:2600;width:7121;height:747" type="#_x0000_t75" stroked="false">
              <v:imagedata r:id="rId931" o:title=""/>
            </v:shape>
            <v:shape style="position:absolute;left:530;top:1340;width:811;height:161" type="#_x0000_t202" filled="false" stroked="false">
              <v:textbox inset="0,0,0,0">
                <w:txbxContent>
                  <w:p>
                    <w:pPr>
                      <w:spacing w:line="160" w:lineRule="exact" w:before="0"/>
                      <w:ind w:left="0" w:right="0" w:firstLine="0"/>
                      <w:jc w:val="left"/>
                      <w:rPr>
                        <w:b/>
                        <w:sz w:val="14"/>
                      </w:rPr>
                    </w:pPr>
                    <w:r>
                      <w:rPr>
                        <w:b/>
                        <w:sz w:val="14"/>
                      </w:rPr>
                      <w:t>Description</w:t>
                    </w:r>
                  </w:p>
                </w:txbxContent>
              </v:textbox>
              <w10:wrap type="none"/>
            </v:shape>
            <v:shape style="position:absolute;left:4358;top:1172;width:3722;height:329" type="#_x0000_t202" filled="false" stroked="false">
              <v:textbox inset="0,0,0,0">
                <w:txbxContent>
                  <w:p>
                    <w:pPr>
                      <w:spacing w:line="160" w:lineRule="exact" w:before="0"/>
                      <w:ind w:left="2820" w:right="0" w:firstLine="0"/>
                      <w:jc w:val="left"/>
                      <w:rPr>
                        <w:b/>
                        <w:sz w:val="14"/>
                      </w:rPr>
                    </w:pPr>
                    <w:r>
                      <w:rPr>
                        <w:b/>
                        <w:w w:val="105"/>
                        <w:sz w:val="14"/>
                      </w:rPr>
                      <w:t>2020-21</w:t>
                    </w:r>
                  </w:p>
                  <w:p>
                    <w:pPr>
                      <w:tabs>
                        <w:tab w:pos="1372" w:val="left" w:leader="none"/>
                      </w:tabs>
                      <w:spacing w:before="7"/>
                      <w:ind w:left="0" w:right="0" w:firstLine="0"/>
                      <w:jc w:val="left"/>
                      <w:rPr>
                        <w:b/>
                        <w:sz w:val="14"/>
                      </w:rPr>
                    </w:pPr>
                    <w:r>
                      <w:rPr>
                        <w:b/>
                        <w:w w:val="105"/>
                        <w:sz w:val="14"/>
                      </w:rPr>
                      <w:t>Resource</w:t>
                    </w:r>
                    <w:r>
                      <w:rPr>
                        <w:b/>
                        <w:spacing w:val="-12"/>
                        <w:w w:val="105"/>
                        <w:sz w:val="14"/>
                      </w:rPr>
                      <w:t> </w:t>
                    </w:r>
                    <w:r>
                      <w:rPr>
                        <w:b/>
                        <w:w w:val="105"/>
                        <w:sz w:val="14"/>
                      </w:rPr>
                      <w:t>Codes</w:t>
                      <w:tab/>
                      <w:t>Object Codes Estimated</w:t>
                    </w:r>
                    <w:r>
                      <w:rPr>
                        <w:b/>
                        <w:spacing w:val="-15"/>
                        <w:w w:val="105"/>
                        <w:sz w:val="14"/>
                      </w:rPr>
                      <w:t> </w:t>
                    </w:r>
                    <w:r>
                      <w:rPr>
                        <w:b/>
                        <w:w w:val="105"/>
                        <w:sz w:val="14"/>
                      </w:rPr>
                      <w:t>Actuals</w:t>
                    </w:r>
                  </w:p>
                </w:txbxContent>
              </v:textbox>
              <w10:wrap type="none"/>
            </v:shape>
            <v:shape style="position:absolute;left:8690;top:1172;width:545;height:329" type="#_x0000_t202" filled="false" stroked="false">
              <v:textbox inset="0,0,0,0">
                <w:txbxContent>
                  <w:p>
                    <w:pPr>
                      <w:spacing w:line="160" w:lineRule="exact" w:before="0"/>
                      <w:ind w:left="0" w:right="0" w:firstLine="0"/>
                      <w:jc w:val="left"/>
                      <w:rPr>
                        <w:b/>
                        <w:sz w:val="14"/>
                      </w:rPr>
                    </w:pPr>
                    <w:r>
                      <w:rPr>
                        <w:b/>
                        <w:sz w:val="14"/>
                      </w:rPr>
                      <w:t>2021-22</w:t>
                    </w:r>
                  </w:p>
                  <w:p>
                    <w:pPr>
                      <w:spacing w:before="7"/>
                      <w:ind w:left="11" w:right="0" w:firstLine="0"/>
                      <w:jc w:val="left"/>
                      <w:rPr>
                        <w:b/>
                        <w:sz w:val="14"/>
                      </w:rPr>
                    </w:pPr>
                    <w:r>
                      <w:rPr>
                        <w:b/>
                        <w:w w:val="105"/>
                        <w:sz w:val="14"/>
                      </w:rPr>
                      <w:t>Budget</w:t>
                    </w:r>
                  </w:p>
                </w:txbxContent>
              </v:textbox>
              <w10:wrap type="none"/>
            </v:shape>
            <v:shape style="position:absolute;left:10128;top:1172;width:721;height:329" type="#_x0000_t202" filled="false" stroked="false">
              <v:textbox inset="0,0,0,0">
                <w:txbxContent>
                  <w:p>
                    <w:pPr>
                      <w:spacing w:line="249" w:lineRule="auto" w:before="0"/>
                      <w:ind w:left="0" w:right="16" w:firstLine="86"/>
                      <w:jc w:val="left"/>
                      <w:rPr>
                        <w:b/>
                        <w:sz w:val="14"/>
                      </w:rPr>
                    </w:pPr>
                    <w:r>
                      <w:rPr>
                        <w:b/>
                        <w:w w:val="105"/>
                        <w:sz w:val="14"/>
                      </w:rPr>
                      <w:t>Percent </w:t>
                    </w:r>
                    <w:r>
                      <w:rPr>
                        <w:b/>
                        <w:sz w:val="14"/>
                      </w:rPr>
                      <w:t>Difference</w:t>
                    </w:r>
                  </w:p>
                </w:txbxContent>
              </v:textbox>
              <w10:wrap type="none"/>
            </v:shape>
            <v:shape style="position:absolute;left:530;top:1709;width:1801;height:528" type="#_x0000_t202" filled="false" stroked="false">
              <v:textbox inset="0,0,0,0">
                <w:txbxContent>
                  <w:p>
                    <w:pPr>
                      <w:spacing w:line="160" w:lineRule="exact" w:before="0"/>
                      <w:ind w:left="0" w:right="0" w:firstLine="0"/>
                      <w:jc w:val="left"/>
                      <w:rPr>
                        <w:b/>
                        <w:sz w:val="14"/>
                      </w:rPr>
                    </w:pPr>
                    <w:r>
                      <w:rPr>
                        <w:b/>
                        <w:w w:val="105"/>
                        <w:sz w:val="14"/>
                      </w:rPr>
                      <w:t>FEDERAL REVENUE</w:t>
                    </w:r>
                  </w:p>
                  <w:p>
                    <w:pPr>
                      <w:spacing w:line="240" w:lineRule="auto" w:before="10"/>
                      <w:rPr>
                        <w:b/>
                        <w:sz w:val="17"/>
                      </w:rPr>
                    </w:pPr>
                  </w:p>
                  <w:p>
                    <w:pPr>
                      <w:spacing w:before="0"/>
                      <w:ind w:left="81" w:right="0" w:firstLine="0"/>
                      <w:jc w:val="left"/>
                      <w:rPr>
                        <w:sz w:val="14"/>
                      </w:rPr>
                    </w:pPr>
                    <w:r>
                      <w:rPr>
                        <w:w w:val="105"/>
                        <w:sz w:val="14"/>
                      </w:rPr>
                      <w:t>All</w:t>
                    </w:r>
                    <w:r>
                      <w:rPr>
                        <w:spacing w:val="-14"/>
                        <w:w w:val="105"/>
                        <w:sz w:val="14"/>
                      </w:rPr>
                      <w:t> </w:t>
                    </w:r>
                    <w:r>
                      <w:rPr>
                        <w:w w:val="105"/>
                        <w:sz w:val="14"/>
                      </w:rPr>
                      <w:t>Other</w:t>
                    </w:r>
                    <w:r>
                      <w:rPr>
                        <w:spacing w:val="-12"/>
                        <w:w w:val="105"/>
                        <w:sz w:val="14"/>
                      </w:rPr>
                      <w:t> </w:t>
                    </w:r>
                    <w:r>
                      <w:rPr>
                        <w:w w:val="105"/>
                        <w:sz w:val="14"/>
                      </w:rPr>
                      <w:t>Federal</w:t>
                    </w:r>
                    <w:r>
                      <w:rPr>
                        <w:spacing w:val="-13"/>
                        <w:w w:val="105"/>
                        <w:sz w:val="14"/>
                      </w:rPr>
                      <w:t> </w:t>
                    </w:r>
                    <w:r>
                      <w:rPr>
                        <w:w w:val="105"/>
                        <w:sz w:val="14"/>
                      </w:rPr>
                      <w:t>Revenue</w:t>
                    </w:r>
                  </w:p>
                </w:txbxContent>
              </v:textbox>
              <w10:wrap type="none"/>
            </v:shape>
            <v:shape style="position:absolute;left:6036;top:2077;width:338;height:161" type="#_x0000_t202" filled="false" stroked="false">
              <v:textbox inset="0,0,0,0">
                <w:txbxContent>
                  <w:p>
                    <w:pPr>
                      <w:spacing w:line="160" w:lineRule="exact" w:before="0"/>
                      <w:ind w:left="0" w:right="0" w:firstLine="0"/>
                      <w:jc w:val="left"/>
                      <w:rPr>
                        <w:sz w:val="14"/>
                      </w:rPr>
                    </w:pPr>
                    <w:r>
                      <w:rPr>
                        <w:w w:val="105"/>
                        <w:sz w:val="14"/>
                      </w:rPr>
                      <w:t>8290</w:t>
                    </w:r>
                  </w:p>
                </w:txbxContent>
              </v:textbox>
              <w10:wrap type="none"/>
            </v:shape>
            <v:shape style="position:absolute;left:7838;top:2077;width:299;height:161" type="#_x0000_t202" filled="false" stroked="false">
              <v:textbox inset="0,0,0,0">
                <w:txbxContent>
                  <w:p>
                    <w:pPr>
                      <w:spacing w:line="160" w:lineRule="exact" w:before="0"/>
                      <w:ind w:left="0" w:right="0" w:firstLine="0"/>
                      <w:jc w:val="left"/>
                      <w:rPr>
                        <w:sz w:val="14"/>
                      </w:rPr>
                    </w:pPr>
                    <w:r>
                      <w:rPr>
                        <w:w w:val="105"/>
                        <w:sz w:val="14"/>
                      </w:rPr>
                      <w:t>0.00</w:t>
                    </w:r>
                  </w:p>
                </w:txbxContent>
              </v:textbox>
              <w10:wrap type="none"/>
            </v:shape>
            <v:shape style="position:absolute;left:9350;top:2077;width:299;height:161" type="#_x0000_t202" filled="false" stroked="false">
              <v:textbox inset="0,0,0,0">
                <w:txbxContent>
                  <w:p>
                    <w:pPr>
                      <w:spacing w:line="160" w:lineRule="exact" w:before="0"/>
                      <w:ind w:left="0" w:right="0" w:firstLine="0"/>
                      <w:jc w:val="left"/>
                      <w:rPr>
                        <w:sz w:val="14"/>
                      </w:rPr>
                    </w:pPr>
                    <w:r>
                      <w:rPr>
                        <w:w w:val="105"/>
                        <w:sz w:val="14"/>
                      </w:rPr>
                      <w:t>0.00</w:t>
                    </w:r>
                  </w:p>
                </w:txbxContent>
              </v:textbox>
              <w10:wrap type="none"/>
            </v:shape>
            <v:shape style="position:absolute;left:10891;top:2077;width:347;height:161" type="#_x0000_t202" filled="false" stroked="false">
              <v:textbox inset="0,0,0,0">
                <w:txbxContent>
                  <w:p>
                    <w:pPr>
                      <w:spacing w:line="160" w:lineRule="exact" w:before="0"/>
                      <w:ind w:left="0" w:right="0" w:firstLine="0"/>
                      <w:jc w:val="left"/>
                      <w:rPr>
                        <w:sz w:val="14"/>
                      </w:rPr>
                    </w:pPr>
                    <w:r>
                      <w:rPr>
                        <w:w w:val="105"/>
                        <w:sz w:val="14"/>
                      </w:rPr>
                      <w:t>0.0%</w:t>
                    </w:r>
                  </w:p>
                </w:txbxContent>
              </v:textbox>
              <w10:wrap type="none"/>
            </v:shape>
            <v:shape style="position:absolute;left:612;top:2441;width:1967;height:161" type="#_x0000_t202" filled="false" stroked="false">
              <v:textbox inset="0,0,0,0">
                <w:txbxContent>
                  <w:p>
                    <w:pPr>
                      <w:spacing w:line="160" w:lineRule="exact" w:before="0"/>
                      <w:ind w:left="0" w:right="0" w:firstLine="0"/>
                      <w:jc w:val="left"/>
                      <w:rPr>
                        <w:sz w:val="14"/>
                      </w:rPr>
                    </w:pPr>
                    <w:r>
                      <w:rPr>
                        <w:w w:val="105"/>
                        <w:sz w:val="14"/>
                      </w:rPr>
                      <w:t>TOTAL, FEDERAL</w:t>
                    </w:r>
                    <w:r>
                      <w:rPr>
                        <w:spacing w:val="-33"/>
                        <w:w w:val="105"/>
                        <w:sz w:val="14"/>
                      </w:rPr>
                      <w:t> </w:t>
                    </w:r>
                    <w:r>
                      <w:rPr>
                        <w:w w:val="105"/>
                        <w:sz w:val="14"/>
                      </w:rPr>
                      <w:t>REVENUE</w:t>
                    </w:r>
                  </w:p>
                </w:txbxContent>
              </v:textbox>
              <w10:wrap type="none"/>
            </v:shape>
            <v:shape style="position:absolute;left:7838;top:2441;width:299;height:161" type="#_x0000_t202" filled="false" stroked="false">
              <v:textbox inset="0,0,0,0">
                <w:txbxContent>
                  <w:p>
                    <w:pPr>
                      <w:spacing w:line="160" w:lineRule="exact" w:before="0"/>
                      <w:ind w:left="0" w:right="0" w:firstLine="0"/>
                      <w:jc w:val="left"/>
                      <w:rPr>
                        <w:sz w:val="14"/>
                      </w:rPr>
                    </w:pPr>
                    <w:r>
                      <w:rPr>
                        <w:w w:val="105"/>
                        <w:sz w:val="14"/>
                      </w:rPr>
                      <w:t>0.00</w:t>
                    </w:r>
                  </w:p>
                </w:txbxContent>
              </v:textbox>
              <w10:wrap type="none"/>
            </v:shape>
            <v:shape style="position:absolute;left:9350;top:2441;width:299;height:161" type="#_x0000_t202" filled="false" stroked="false">
              <v:textbox inset="0,0,0,0">
                <w:txbxContent>
                  <w:p>
                    <w:pPr>
                      <w:spacing w:line="160" w:lineRule="exact" w:before="0"/>
                      <w:ind w:left="0" w:right="0" w:firstLine="0"/>
                      <w:jc w:val="left"/>
                      <w:rPr>
                        <w:sz w:val="14"/>
                      </w:rPr>
                    </w:pPr>
                    <w:r>
                      <w:rPr>
                        <w:w w:val="105"/>
                        <w:sz w:val="14"/>
                      </w:rPr>
                      <w:t>0.00</w:t>
                    </w:r>
                  </w:p>
                </w:txbxContent>
              </v:textbox>
              <w10:wrap type="none"/>
            </v:shape>
            <v:shape style="position:absolute;left:10891;top:2441;width:347;height:161" type="#_x0000_t202" filled="false" stroked="false">
              <v:textbox inset="0,0,0,0">
                <w:txbxContent>
                  <w:p>
                    <w:pPr>
                      <w:spacing w:line="160" w:lineRule="exact" w:before="0"/>
                      <w:ind w:left="0" w:right="0" w:firstLine="0"/>
                      <w:jc w:val="left"/>
                      <w:rPr>
                        <w:sz w:val="14"/>
                      </w:rPr>
                    </w:pPr>
                    <w:r>
                      <w:rPr>
                        <w:w w:val="105"/>
                        <w:sz w:val="14"/>
                      </w:rPr>
                      <w:t>0.0%</w:t>
                    </w:r>
                  </w:p>
                </w:txbxContent>
              </v:textbox>
              <w10:wrap type="none"/>
            </v:shape>
            <w10:wrap type="none"/>
          </v:group>
        </w:pict>
      </w:r>
      <w:r>
        <w:rPr>
          <w:sz w:val="18"/>
        </w:rPr>
        <w:t>Winship-Robbins Elementary Sutter County</w:t>
      </w:r>
    </w:p>
    <w:p>
      <w:pPr>
        <w:spacing w:line="232" w:lineRule="auto" w:before="1"/>
        <w:ind w:left="572" w:right="0" w:hanging="264"/>
        <w:jc w:val="left"/>
        <w:rPr>
          <w:sz w:val="18"/>
        </w:rPr>
      </w:pPr>
      <w:r>
        <w:rPr/>
        <w:br w:type="column"/>
      </w:r>
      <w:r>
        <w:rPr>
          <w:sz w:val="18"/>
        </w:rPr>
        <w:t>County School Facilities Fund Expenditures by Object</w:t>
      </w:r>
    </w:p>
    <w:p>
      <w:pPr>
        <w:spacing w:line="200" w:lineRule="exact" w:before="0"/>
        <w:ind w:left="0" w:right="287" w:firstLine="0"/>
        <w:jc w:val="right"/>
        <w:rPr>
          <w:sz w:val="18"/>
        </w:rPr>
      </w:pPr>
      <w:r>
        <w:rPr/>
        <w:br w:type="column"/>
      </w:r>
      <w:r>
        <w:rPr>
          <w:sz w:val="18"/>
        </w:rPr>
        <w:t>51 71456</w:t>
      </w:r>
      <w:r>
        <w:rPr>
          <w:spacing w:val="3"/>
          <w:sz w:val="18"/>
        </w:rPr>
        <w:t> </w:t>
      </w:r>
      <w:r>
        <w:rPr>
          <w:sz w:val="18"/>
        </w:rPr>
        <w:t>0000000</w:t>
      </w:r>
    </w:p>
    <w:p>
      <w:pPr>
        <w:spacing w:line="204" w:lineRule="exact" w:before="0"/>
        <w:ind w:left="0" w:right="285" w:firstLine="0"/>
        <w:jc w:val="right"/>
        <w:rPr>
          <w:sz w:val="18"/>
        </w:rPr>
      </w:pPr>
      <w:r>
        <w:rPr>
          <w:sz w:val="18"/>
        </w:rPr>
        <w:t>Form </w:t>
      </w:r>
      <w:r>
        <w:rPr>
          <w:spacing w:val="3"/>
          <w:sz w:val="18"/>
        </w:rPr>
        <w:t> </w:t>
      </w:r>
      <w:r>
        <w:rPr>
          <w:sz w:val="18"/>
        </w:rPr>
        <w:t>35</w:t>
      </w:r>
    </w:p>
    <w:p>
      <w:pPr>
        <w:spacing w:after="0" w:line="204" w:lineRule="exact"/>
        <w:jc w:val="right"/>
        <w:rPr>
          <w:sz w:val="18"/>
        </w:rPr>
        <w:sectPr>
          <w:pgSz w:w="12240" w:h="15840"/>
          <w:pgMar w:header="651" w:footer="437" w:top="840" w:bottom="620" w:left="160" w:right="180"/>
          <w:cols w:num="3" w:equalWidth="0">
            <w:col w:w="2698" w:space="1751"/>
            <w:col w:w="2749" w:space="2594"/>
            <w:col w:w="2108"/>
          </w:cols>
        </w:sectPr>
      </w:pPr>
    </w:p>
    <w:p>
      <w:pPr>
        <w:pStyle w:val="BodyText"/>
        <w:rPr>
          <w:sz w:val="20"/>
        </w:rPr>
      </w:pPr>
      <w:r>
        <w:rPr/>
        <w:pict>
          <v:group style="position:absolute;margin-left:24.719999pt;margin-top:191.399994pt;width:538pt;height:276.150pt;mso-position-horizontal-relative:page;mso-position-vertical-relative:page;z-index:-314224640" coordorigin="494,3828" coordsize="10760,5523">
            <v:shape style="position:absolute;left:6674;top:3828;width:4580;height:934" type="#_x0000_t75" stroked="false">
              <v:imagedata r:id="rId804" o:title=""/>
            </v:shape>
            <v:shape style="position:absolute;left:6674;top:4557;width:4580;height:569" type="#_x0000_t75" stroked="false">
              <v:imagedata r:id="rId861" o:title=""/>
            </v:shape>
            <v:shape style="position:absolute;left:494;top:3828;width:3646;height:1676" type="#_x0000_t75" stroked="false">
              <v:imagedata r:id="rId731" o:title=""/>
            </v:shape>
            <v:shape style="position:absolute;left:4132;top:4754;width:7121;height:749" type="#_x0000_t75" stroked="false">
              <v:imagedata r:id="rId608" o:title=""/>
            </v:shape>
            <v:shape style="position:absolute;left:494;top:5496;width:3646;height:339" type="#_x0000_t75" stroked="false">
              <v:imagedata r:id="rId609" o:title=""/>
            </v:shape>
            <v:shape style="position:absolute;left:4132;top:5119;width:7121;height:1282" type="#_x0000_t75" stroked="false">
              <v:imagedata r:id="rId932" o:title=""/>
            </v:shape>
            <v:shape style="position:absolute;left:6674;top:6196;width:4580;height:569" type="#_x0000_t75" stroked="false">
              <v:imagedata r:id="rId636" o:title=""/>
            </v:shape>
            <v:shape style="position:absolute;left:6674;top:6393;width:4580;height:737" type="#_x0000_t75" stroked="false">
              <v:imagedata r:id="rId464" o:title=""/>
            </v:shape>
            <v:shape style="position:absolute;left:6674;top:6758;width:4580;height:737" type="#_x0000_t75" stroked="false">
              <v:imagedata r:id="rId464" o:title=""/>
            </v:shape>
            <v:shape style="position:absolute;left:6674;top:7123;width:4580;height:1102" type="#_x0000_t75" stroked="false">
              <v:imagedata r:id="rId614" o:title=""/>
            </v:shape>
            <v:shape style="position:absolute;left:494;top:5832;width:3646;height:3135" type="#_x0000_t75" stroked="false">
              <v:imagedata r:id="rId933" o:title=""/>
            </v:shape>
            <v:shape style="position:absolute;left:6674;top:7852;width:4580;height:737" type="#_x0000_t75" stroked="false">
              <v:imagedata r:id="rId642" o:title=""/>
            </v:shape>
            <v:shape style="position:absolute;left:4132;top:8217;width:7121;height:749" type="#_x0000_t75" stroked="false">
              <v:imagedata r:id="rId479" o:title=""/>
            </v:shape>
            <v:shape style="position:absolute;left:494;top:8959;width:3646;height:392" type="#_x0000_t75" stroked="false">
              <v:imagedata r:id="rId617" o:title=""/>
            </v:shape>
            <v:shape style="position:absolute;left:4132;top:8582;width:7121;height:768" type="#_x0000_t75" stroked="false">
              <v:imagedata r:id="rId797" o:title=""/>
            </v:shape>
            <v:shape style="position:absolute;left:8186;top:8959;width:3068;height:392" type="#_x0000_t75" stroked="false">
              <v:imagedata r:id="rId798" o:titl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9"/>
        </w:rPr>
      </w:pPr>
    </w:p>
    <w:tbl>
      <w:tblPr>
        <w:tblW w:w="0" w:type="auto"/>
        <w:jc w:val="left"/>
        <w:tblInd w:w="3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93"/>
        <w:gridCol w:w="1883"/>
        <w:gridCol w:w="1678"/>
        <w:gridCol w:w="1423"/>
        <w:gridCol w:w="1111"/>
      </w:tblGrid>
      <w:tr>
        <w:trPr>
          <w:trHeight w:val="367" w:hRule="atLeast"/>
        </w:trPr>
        <w:tc>
          <w:tcPr>
            <w:tcW w:w="4693" w:type="dxa"/>
          </w:tcPr>
          <w:p>
            <w:pPr>
              <w:pStyle w:val="TableParagraph"/>
              <w:spacing w:line="160" w:lineRule="exact"/>
              <w:ind w:left="50"/>
              <w:rPr>
                <w:b/>
                <w:sz w:val="14"/>
              </w:rPr>
            </w:pPr>
            <w:r>
              <w:rPr>
                <w:b/>
                <w:w w:val="105"/>
                <w:sz w:val="14"/>
              </w:rPr>
              <w:t>OTHER STATE REVENUE</w:t>
            </w:r>
          </w:p>
        </w:tc>
        <w:tc>
          <w:tcPr>
            <w:tcW w:w="6095" w:type="dxa"/>
            <w:gridSpan w:val="4"/>
          </w:tcPr>
          <w:p>
            <w:pPr>
              <w:pStyle w:val="TableParagraph"/>
              <w:rPr>
                <w:rFonts w:ascii="Times New Roman"/>
                <w:sz w:val="14"/>
              </w:rPr>
            </w:pPr>
          </w:p>
        </w:tc>
      </w:tr>
      <w:tr>
        <w:trPr>
          <w:trHeight w:val="262" w:hRule="atLeast"/>
        </w:trPr>
        <w:tc>
          <w:tcPr>
            <w:tcW w:w="4693" w:type="dxa"/>
          </w:tcPr>
          <w:p>
            <w:pPr>
              <w:pStyle w:val="TableParagraph"/>
              <w:spacing w:line="160" w:lineRule="exact"/>
              <w:ind w:left="213"/>
              <w:rPr>
                <w:sz w:val="14"/>
              </w:rPr>
            </w:pPr>
            <w:r>
              <w:rPr>
                <w:w w:val="105"/>
                <w:sz w:val="14"/>
              </w:rPr>
              <w:t>School Facilities Apportionments</w:t>
            </w:r>
          </w:p>
        </w:tc>
        <w:tc>
          <w:tcPr>
            <w:tcW w:w="1883" w:type="dxa"/>
          </w:tcPr>
          <w:p>
            <w:pPr>
              <w:pStyle w:val="TableParagraph"/>
              <w:spacing w:line="160" w:lineRule="exact"/>
              <w:ind w:right="701"/>
              <w:jc w:val="right"/>
              <w:rPr>
                <w:sz w:val="14"/>
              </w:rPr>
            </w:pPr>
            <w:r>
              <w:rPr>
                <w:sz w:val="14"/>
              </w:rPr>
              <w:t>8545</w:t>
            </w:r>
          </w:p>
        </w:tc>
        <w:tc>
          <w:tcPr>
            <w:tcW w:w="1678" w:type="dxa"/>
          </w:tcPr>
          <w:p>
            <w:pPr>
              <w:pStyle w:val="TableParagraph"/>
              <w:spacing w:line="160" w:lineRule="exact"/>
              <w:ind w:right="615"/>
              <w:jc w:val="right"/>
              <w:rPr>
                <w:sz w:val="14"/>
              </w:rPr>
            </w:pPr>
            <w:r>
              <w:rPr>
                <w:sz w:val="14"/>
              </w:rPr>
              <w:t>0.00</w:t>
            </w:r>
          </w:p>
        </w:tc>
        <w:tc>
          <w:tcPr>
            <w:tcW w:w="1423" w:type="dxa"/>
          </w:tcPr>
          <w:p>
            <w:pPr>
              <w:pStyle w:val="TableParagraph"/>
              <w:spacing w:line="160" w:lineRule="exact"/>
              <w:ind w:right="526"/>
              <w:jc w:val="right"/>
              <w:rPr>
                <w:sz w:val="14"/>
              </w:rPr>
            </w:pPr>
            <w:r>
              <w:rPr>
                <w:sz w:val="14"/>
              </w:rPr>
              <w:t>0.00</w:t>
            </w:r>
          </w:p>
        </w:tc>
        <w:tc>
          <w:tcPr>
            <w:tcW w:w="1111" w:type="dxa"/>
          </w:tcPr>
          <w:p>
            <w:pPr>
              <w:pStyle w:val="TableParagraph"/>
              <w:spacing w:line="160" w:lineRule="exact"/>
              <w:ind w:right="48"/>
              <w:jc w:val="right"/>
              <w:rPr>
                <w:sz w:val="14"/>
              </w:rPr>
            </w:pPr>
            <w:r>
              <w:rPr>
                <w:sz w:val="14"/>
              </w:rPr>
              <w:t>0.0%</w:t>
            </w:r>
          </w:p>
        </w:tc>
      </w:tr>
      <w:tr>
        <w:trPr>
          <w:trHeight w:val="561" w:hRule="atLeast"/>
        </w:trPr>
        <w:tc>
          <w:tcPr>
            <w:tcW w:w="4693" w:type="dxa"/>
          </w:tcPr>
          <w:p>
            <w:pPr>
              <w:pStyle w:val="TableParagraph"/>
              <w:spacing w:line="292" w:lineRule="auto" w:before="101"/>
              <w:ind w:left="253" w:right="2499" w:hanging="40"/>
              <w:rPr>
                <w:sz w:val="14"/>
              </w:rPr>
            </w:pPr>
            <w:r>
              <w:rPr>
                <w:w w:val="105"/>
                <w:sz w:val="14"/>
              </w:rPr>
              <w:t>Pass-Through Revenues from State Sources</w:t>
            </w:r>
          </w:p>
        </w:tc>
        <w:tc>
          <w:tcPr>
            <w:tcW w:w="1883" w:type="dxa"/>
          </w:tcPr>
          <w:p>
            <w:pPr>
              <w:pStyle w:val="TableParagraph"/>
              <w:rPr>
                <w:sz w:val="16"/>
              </w:rPr>
            </w:pPr>
          </w:p>
          <w:p>
            <w:pPr>
              <w:pStyle w:val="TableParagraph"/>
              <w:spacing w:before="113"/>
              <w:ind w:right="701"/>
              <w:jc w:val="right"/>
              <w:rPr>
                <w:sz w:val="14"/>
              </w:rPr>
            </w:pPr>
            <w:r>
              <w:rPr>
                <w:sz w:val="14"/>
              </w:rPr>
              <w:t>8587</w:t>
            </w:r>
          </w:p>
        </w:tc>
        <w:tc>
          <w:tcPr>
            <w:tcW w:w="1678" w:type="dxa"/>
          </w:tcPr>
          <w:p>
            <w:pPr>
              <w:pStyle w:val="TableParagraph"/>
              <w:rPr>
                <w:sz w:val="16"/>
              </w:rPr>
            </w:pPr>
          </w:p>
          <w:p>
            <w:pPr>
              <w:pStyle w:val="TableParagraph"/>
              <w:spacing w:before="113"/>
              <w:ind w:right="615"/>
              <w:jc w:val="right"/>
              <w:rPr>
                <w:sz w:val="14"/>
              </w:rPr>
            </w:pPr>
            <w:r>
              <w:rPr>
                <w:sz w:val="14"/>
              </w:rPr>
              <w:t>0.00</w:t>
            </w:r>
          </w:p>
        </w:tc>
        <w:tc>
          <w:tcPr>
            <w:tcW w:w="1423" w:type="dxa"/>
          </w:tcPr>
          <w:p>
            <w:pPr>
              <w:pStyle w:val="TableParagraph"/>
              <w:rPr>
                <w:sz w:val="16"/>
              </w:rPr>
            </w:pPr>
          </w:p>
          <w:p>
            <w:pPr>
              <w:pStyle w:val="TableParagraph"/>
              <w:spacing w:before="113"/>
              <w:ind w:right="526"/>
              <w:jc w:val="right"/>
              <w:rPr>
                <w:sz w:val="14"/>
              </w:rPr>
            </w:pPr>
            <w:r>
              <w:rPr>
                <w:sz w:val="14"/>
              </w:rPr>
              <w:t>0.00</w:t>
            </w:r>
          </w:p>
        </w:tc>
        <w:tc>
          <w:tcPr>
            <w:tcW w:w="1111" w:type="dxa"/>
          </w:tcPr>
          <w:p>
            <w:pPr>
              <w:pStyle w:val="TableParagraph"/>
              <w:rPr>
                <w:sz w:val="16"/>
              </w:rPr>
            </w:pPr>
          </w:p>
          <w:p>
            <w:pPr>
              <w:pStyle w:val="TableParagraph"/>
              <w:spacing w:before="113"/>
              <w:ind w:right="48"/>
              <w:jc w:val="right"/>
              <w:rPr>
                <w:sz w:val="14"/>
              </w:rPr>
            </w:pPr>
            <w:r>
              <w:rPr>
                <w:sz w:val="14"/>
              </w:rPr>
              <w:t>0.0%</w:t>
            </w:r>
          </w:p>
        </w:tc>
      </w:tr>
      <w:tr>
        <w:trPr>
          <w:trHeight w:val="370" w:hRule="atLeast"/>
        </w:trPr>
        <w:tc>
          <w:tcPr>
            <w:tcW w:w="4693" w:type="dxa"/>
          </w:tcPr>
          <w:p>
            <w:pPr>
              <w:pStyle w:val="TableParagraph"/>
              <w:spacing w:before="101"/>
              <w:ind w:left="213"/>
              <w:rPr>
                <w:sz w:val="14"/>
              </w:rPr>
            </w:pPr>
            <w:r>
              <w:rPr>
                <w:w w:val="105"/>
                <w:sz w:val="14"/>
              </w:rPr>
              <w:t>All Other State Revenue</w:t>
            </w:r>
          </w:p>
        </w:tc>
        <w:tc>
          <w:tcPr>
            <w:tcW w:w="1883" w:type="dxa"/>
          </w:tcPr>
          <w:p>
            <w:pPr>
              <w:pStyle w:val="TableParagraph"/>
              <w:spacing w:before="101"/>
              <w:ind w:right="701"/>
              <w:jc w:val="right"/>
              <w:rPr>
                <w:sz w:val="14"/>
              </w:rPr>
            </w:pPr>
            <w:r>
              <w:rPr>
                <w:sz w:val="14"/>
              </w:rPr>
              <w:t>8590</w:t>
            </w:r>
          </w:p>
        </w:tc>
        <w:tc>
          <w:tcPr>
            <w:tcW w:w="1678" w:type="dxa"/>
          </w:tcPr>
          <w:p>
            <w:pPr>
              <w:pStyle w:val="TableParagraph"/>
              <w:spacing w:before="101"/>
              <w:ind w:right="615"/>
              <w:jc w:val="right"/>
              <w:rPr>
                <w:sz w:val="14"/>
              </w:rPr>
            </w:pPr>
            <w:r>
              <w:rPr>
                <w:sz w:val="14"/>
              </w:rPr>
              <w:t>0.00</w:t>
            </w:r>
          </w:p>
        </w:tc>
        <w:tc>
          <w:tcPr>
            <w:tcW w:w="1423" w:type="dxa"/>
          </w:tcPr>
          <w:p>
            <w:pPr>
              <w:pStyle w:val="TableParagraph"/>
              <w:spacing w:before="101"/>
              <w:ind w:right="526"/>
              <w:jc w:val="right"/>
              <w:rPr>
                <w:sz w:val="14"/>
              </w:rPr>
            </w:pPr>
            <w:r>
              <w:rPr>
                <w:sz w:val="14"/>
              </w:rPr>
              <w:t>0.00</w:t>
            </w:r>
          </w:p>
        </w:tc>
        <w:tc>
          <w:tcPr>
            <w:tcW w:w="1111" w:type="dxa"/>
          </w:tcPr>
          <w:p>
            <w:pPr>
              <w:pStyle w:val="TableParagraph"/>
              <w:spacing w:before="101"/>
              <w:ind w:right="48"/>
              <w:jc w:val="right"/>
              <w:rPr>
                <w:sz w:val="14"/>
              </w:rPr>
            </w:pPr>
            <w:r>
              <w:rPr>
                <w:sz w:val="14"/>
              </w:rPr>
              <w:t>0.0%</w:t>
            </w:r>
          </w:p>
        </w:tc>
      </w:tr>
      <w:tr>
        <w:trPr>
          <w:trHeight w:val="268" w:hRule="atLeast"/>
        </w:trPr>
        <w:tc>
          <w:tcPr>
            <w:tcW w:w="4693" w:type="dxa"/>
          </w:tcPr>
          <w:p>
            <w:pPr>
              <w:pStyle w:val="TableParagraph"/>
              <w:spacing w:line="142" w:lineRule="exact" w:before="107"/>
              <w:ind w:left="131"/>
              <w:rPr>
                <w:sz w:val="14"/>
              </w:rPr>
            </w:pPr>
            <w:r>
              <w:rPr>
                <w:w w:val="105"/>
                <w:sz w:val="14"/>
              </w:rPr>
              <w:t>TOTAL, OTHER STATE REVENUE</w:t>
            </w:r>
          </w:p>
        </w:tc>
        <w:tc>
          <w:tcPr>
            <w:tcW w:w="1883" w:type="dxa"/>
          </w:tcPr>
          <w:p>
            <w:pPr>
              <w:pStyle w:val="TableParagraph"/>
              <w:rPr>
                <w:rFonts w:ascii="Times New Roman"/>
                <w:sz w:val="14"/>
              </w:rPr>
            </w:pPr>
          </w:p>
        </w:tc>
        <w:tc>
          <w:tcPr>
            <w:tcW w:w="1678" w:type="dxa"/>
          </w:tcPr>
          <w:p>
            <w:pPr>
              <w:pStyle w:val="TableParagraph"/>
              <w:spacing w:line="142" w:lineRule="exact" w:before="107"/>
              <w:ind w:right="615"/>
              <w:jc w:val="right"/>
              <w:rPr>
                <w:sz w:val="14"/>
              </w:rPr>
            </w:pPr>
            <w:r>
              <w:rPr>
                <w:sz w:val="14"/>
              </w:rPr>
              <w:t>0.00</w:t>
            </w:r>
          </w:p>
        </w:tc>
        <w:tc>
          <w:tcPr>
            <w:tcW w:w="1423" w:type="dxa"/>
          </w:tcPr>
          <w:p>
            <w:pPr>
              <w:pStyle w:val="TableParagraph"/>
              <w:spacing w:line="142" w:lineRule="exact" w:before="107"/>
              <w:ind w:right="526"/>
              <w:jc w:val="right"/>
              <w:rPr>
                <w:sz w:val="14"/>
              </w:rPr>
            </w:pPr>
            <w:r>
              <w:rPr>
                <w:sz w:val="14"/>
              </w:rPr>
              <w:t>0.00</w:t>
            </w:r>
          </w:p>
        </w:tc>
        <w:tc>
          <w:tcPr>
            <w:tcW w:w="1111" w:type="dxa"/>
          </w:tcPr>
          <w:p>
            <w:pPr>
              <w:pStyle w:val="TableParagraph"/>
              <w:spacing w:line="142" w:lineRule="exact" w:before="107"/>
              <w:ind w:right="48"/>
              <w:jc w:val="right"/>
              <w:rPr>
                <w:sz w:val="14"/>
              </w:rPr>
            </w:pPr>
            <w:r>
              <w:rPr>
                <w:sz w:val="14"/>
              </w:rPr>
              <w:t>0.0%</w:t>
            </w:r>
          </w:p>
        </w:tc>
      </w:tr>
      <w:tr>
        <w:trPr>
          <w:trHeight w:val="700" w:hRule="atLeast"/>
        </w:trPr>
        <w:tc>
          <w:tcPr>
            <w:tcW w:w="4693" w:type="dxa"/>
          </w:tcPr>
          <w:p>
            <w:pPr>
              <w:pStyle w:val="TableParagraph"/>
              <w:spacing w:before="10"/>
              <w:rPr>
                <w:sz w:val="14"/>
              </w:rPr>
            </w:pPr>
          </w:p>
          <w:p>
            <w:pPr>
              <w:pStyle w:val="TableParagraph"/>
              <w:spacing w:before="1"/>
              <w:ind w:left="50"/>
              <w:rPr>
                <w:b/>
                <w:sz w:val="14"/>
              </w:rPr>
            </w:pPr>
            <w:r>
              <w:rPr>
                <w:b/>
                <w:w w:val="105"/>
                <w:sz w:val="14"/>
              </w:rPr>
              <w:t>OTHER LOCAL REVENUE</w:t>
            </w:r>
          </w:p>
          <w:p>
            <w:pPr>
              <w:pStyle w:val="TableParagraph"/>
              <w:spacing w:before="10"/>
              <w:rPr>
                <w:sz w:val="17"/>
              </w:rPr>
            </w:pPr>
          </w:p>
          <w:p>
            <w:pPr>
              <w:pStyle w:val="TableParagraph"/>
              <w:spacing w:line="142" w:lineRule="exact"/>
              <w:ind w:left="213"/>
              <w:rPr>
                <w:sz w:val="14"/>
              </w:rPr>
            </w:pPr>
            <w:r>
              <w:rPr>
                <w:w w:val="105"/>
                <w:sz w:val="14"/>
              </w:rPr>
              <w:t>Sales</w:t>
            </w:r>
          </w:p>
        </w:tc>
        <w:tc>
          <w:tcPr>
            <w:tcW w:w="1883" w:type="dxa"/>
          </w:tcPr>
          <w:p>
            <w:pPr>
              <w:pStyle w:val="TableParagraph"/>
              <w:rPr>
                <w:rFonts w:ascii="Times New Roman"/>
                <w:sz w:val="14"/>
              </w:rPr>
            </w:pPr>
          </w:p>
        </w:tc>
        <w:tc>
          <w:tcPr>
            <w:tcW w:w="1678" w:type="dxa"/>
          </w:tcPr>
          <w:p>
            <w:pPr>
              <w:pStyle w:val="TableParagraph"/>
              <w:rPr>
                <w:rFonts w:ascii="Times New Roman"/>
                <w:sz w:val="14"/>
              </w:rPr>
            </w:pPr>
          </w:p>
        </w:tc>
        <w:tc>
          <w:tcPr>
            <w:tcW w:w="1423" w:type="dxa"/>
          </w:tcPr>
          <w:p>
            <w:pPr>
              <w:pStyle w:val="TableParagraph"/>
              <w:rPr>
                <w:rFonts w:ascii="Times New Roman"/>
                <w:sz w:val="14"/>
              </w:rPr>
            </w:pPr>
          </w:p>
        </w:tc>
        <w:tc>
          <w:tcPr>
            <w:tcW w:w="1111" w:type="dxa"/>
          </w:tcPr>
          <w:p>
            <w:pPr>
              <w:pStyle w:val="TableParagraph"/>
              <w:rPr>
                <w:rFonts w:ascii="Times New Roman"/>
                <w:sz w:val="14"/>
              </w:rPr>
            </w:pPr>
          </w:p>
        </w:tc>
      </w:tr>
      <w:tr>
        <w:trPr>
          <w:trHeight w:val="298" w:hRule="atLeast"/>
        </w:trPr>
        <w:tc>
          <w:tcPr>
            <w:tcW w:w="4693" w:type="dxa"/>
          </w:tcPr>
          <w:p>
            <w:pPr>
              <w:pStyle w:val="TableParagraph"/>
              <w:spacing w:before="35"/>
              <w:ind w:left="294"/>
              <w:rPr>
                <w:sz w:val="14"/>
              </w:rPr>
            </w:pPr>
            <w:r>
              <w:rPr>
                <w:w w:val="105"/>
                <w:sz w:val="14"/>
              </w:rPr>
              <w:t>Sale of Equipment/Supplies</w:t>
            </w:r>
          </w:p>
        </w:tc>
        <w:tc>
          <w:tcPr>
            <w:tcW w:w="1883" w:type="dxa"/>
          </w:tcPr>
          <w:p>
            <w:pPr>
              <w:pStyle w:val="TableParagraph"/>
              <w:spacing w:before="35"/>
              <w:ind w:right="701"/>
              <w:jc w:val="right"/>
              <w:rPr>
                <w:sz w:val="14"/>
              </w:rPr>
            </w:pPr>
            <w:r>
              <w:rPr>
                <w:sz w:val="14"/>
              </w:rPr>
              <w:t>8631</w:t>
            </w:r>
          </w:p>
        </w:tc>
        <w:tc>
          <w:tcPr>
            <w:tcW w:w="1678" w:type="dxa"/>
          </w:tcPr>
          <w:p>
            <w:pPr>
              <w:pStyle w:val="TableParagraph"/>
              <w:spacing w:before="35"/>
              <w:ind w:right="615"/>
              <w:jc w:val="right"/>
              <w:rPr>
                <w:sz w:val="14"/>
              </w:rPr>
            </w:pPr>
            <w:r>
              <w:rPr>
                <w:sz w:val="14"/>
              </w:rPr>
              <w:t>0.00</w:t>
            </w:r>
          </w:p>
        </w:tc>
        <w:tc>
          <w:tcPr>
            <w:tcW w:w="1423" w:type="dxa"/>
          </w:tcPr>
          <w:p>
            <w:pPr>
              <w:pStyle w:val="TableParagraph"/>
              <w:spacing w:before="35"/>
              <w:ind w:right="526"/>
              <w:jc w:val="right"/>
              <w:rPr>
                <w:sz w:val="14"/>
              </w:rPr>
            </w:pPr>
            <w:r>
              <w:rPr>
                <w:sz w:val="14"/>
              </w:rPr>
              <w:t>0.00</w:t>
            </w:r>
          </w:p>
        </w:tc>
        <w:tc>
          <w:tcPr>
            <w:tcW w:w="1111" w:type="dxa"/>
          </w:tcPr>
          <w:p>
            <w:pPr>
              <w:pStyle w:val="TableParagraph"/>
              <w:spacing w:before="35"/>
              <w:ind w:right="48"/>
              <w:jc w:val="right"/>
              <w:rPr>
                <w:sz w:val="14"/>
              </w:rPr>
            </w:pPr>
            <w:r>
              <w:rPr>
                <w:sz w:val="14"/>
              </w:rPr>
              <w:t>0.0%</w:t>
            </w:r>
          </w:p>
        </w:tc>
      </w:tr>
      <w:tr>
        <w:trPr>
          <w:trHeight w:val="364" w:hRule="atLeast"/>
        </w:trPr>
        <w:tc>
          <w:tcPr>
            <w:tcW w:w="4693" w:type="dxa"/>
          </w:tcPr>
          <w:p>
            <w:pPr>
              <w:pStyle w:val="TableParagraph"/>
              <w:spacing w:before="101"/>
              <w:ind w:left="213"/>
              <w:rPr>
                <w:sz w:val="14"/>
              </w:rPr>
            </w:pPr>
            <w:r>
              <w:rPr>
                <w:w w:val="105"/>
                <w:sz w:val="14"/>
              </w:rPr>
              <w:t>Leases and Rentals</w:t>
            </w:r>
          </w:p>
        </w:tc>
        <w:tc>
          <w:tcPr>
            <w:tcW w:w="1883" w:type="dxa"/>
          </w:tcPr>
          <w:p>
            <w:pPr>
              <w:pStyle w:val="TableParagraph"/>
              <w:spacing w:before="101"/>
              <w:ind w:right="701"/>
              <w:jc w:val="right"/>
              <w:rPr>
                <w:sz w:val="14"/>
              </w:rPr>
            </w:pPr>
            <w:r>
              <w:rPr>
                <w:sz w:val="14"/>
              </w:rPr>
              <w:t>8650</w:t>
            </w:r>
          </w:p>
        </w:tc>
        <w:tc>
          <w:tcPr>
            <w:tcW w:w="1678" w:type="dxa"/>
          </w:tcPr>
          <w:p>
            <w:pPr>
              <w:pStyle w:val="TableParagraph"/>
              <w:spacing w:before="101"/>
              <w:ind w:right="615"/>
              <w:jc w:val="right"/>
              <w:rPr>
                <w:sz w:val="14"/>
              </w:rPr>
            </w:pPr>
            <w:r>
              <w:rPr>
                <w:sz w:val="14"/>
              </w:rPr>
              <w:t>0.00</w:t>
            </w:r>
          </w:p>
        </w:tc>
        <w:tc>
          <w:tcPr>
            <w:tcW w:w="1423" w:type="dxa"/>
          </w:tcPr>
          <w:p>
            <w:pPr>
              <w:pStyle w:val="TableParagraph"/>
              <w:spacing w:before="101"/>
              <w:ind w:right="526"/>
              <w:jc w:val="right"/>
              <w:rPr>
                <w:sz w:val="14"/>
              </w:rPr>
            </w:pPr>
            <w:r>
              <w:rPr>
                <w:sz w:val="14"/>
              </w:rPr>
              <w:t>0.00</w:t>
            </w:r>
          </w:p>
        </w:tc>
        <w:tc>
          <w:tcPr>
            <w:tcW w:w="1111" w:type="dxa"/>
          </w:tcPr>
          <w:p>
            <w:pPr>
              <w:pStyle w:val="TableParagraph"/>
              <w:spacing w:before="101"/>
              <w:ind w:right="48"/>
              <w:jc w:val="right"/>
              <w:rPr>
                <w:sz w:val="14"/>
              </w:rPr>
            </w:pPr>
            <w:r>
              <w:rPr>
                <w:sz w:val="14"/>
              </w:rPr>
              <w:t>0.0%</w:t>
            </w:r>
          </w:p>
        </w:tc>
      </w:tr>
      <w:tr>
        <w:trPr>
          <w:trHeight w:val="364" w:hRule="atLeast"/>
        </w:trPr>
        <w:tc>
          <w:tcPr>
            <w:tcW w:w="4693" w:type="dxa"/>
          </w:tcPr>
          <w:p>
            <w:pPr>
              <w:pStyle w:val="TableParagraph"/>
              <w:spacing w:before="101"/>
              <w:ind w:left="213"/>
              <w:rPr>
                <w:sz w:val="14"/>
              </w:rPr>
            </w:pPr>
            <w:r>
              <w:rPr>
                <w:w w:val="105"/>
                <w:sz w:val="14"/>
              </w:rPr>
              <w:t>Interest</w:t>
            </w:r>
          </w:p>
        </w:tc>
        <w:tc>
          <w:tcPr>
            <w:tcW w:w="1883" w:type="dxa"/>
          </w:tcPr>
          <w:p>
            <w:pPr>
              <w:pStyle w:val="TableParagraph"/>
              <w:spacing w:before="101"/>
              <w:ind w:right="701"/>
              <w:jc w:val="right"/>
              <w:rPr>
                <w:sz w:val="14"/>
              </w:rPr>
            </w:pPr>
            <w:r>
              <w:rPr>
                <w:sz w:val="14"/>
              </w:rPr>
              <w:t>8660</w:t>
            </w:r>
          </w:p>
        </w:tc>
        <w:tc>
          <w:tcPr>
            <w:tcW w:w="1678" w:type="dxa"/>
          </w:tcPr>
          <w:p>
            <w:pPr>
              <w:pStyle w:val="TableParagraph"/>
              <w:spacing w:before="101"/>
              <w:ind w:right="614"/>
              <w:jc w:val="right"/>
              <w:rPr>
                <w:sz w:val="14"/>
              </w:rPr>
            </w:pPr>
            <w:r>
              <w:rPr>
                <w:sz w:val="14"/>
              </w:rPr>
              <w:t>20.00</w:t>
            </w:r>
          </w:p>
        </w:tc>
        <w:tc>
          <w:tcPr>
            <w:tcW w:w="1423" w:type="dxa"/>
          </w:tcPr>
          <w:p>
            <w:pPr>
              <w:pStyle w:val="TableParagraph"/>
              <w:spacing w:before="101"/>
              <w:ind w:right="526"/>
              <w:jc w:val="right"/>
              <w:rPr>
                <w:sz w:val="14"/>
              </w:rPr>
            </w:pPr>
            <w:r>
              <w:rPr>
                <w:sz w:val="14"/>
              </w:rPr>
              <w:t>0.00</w:t>
            </w:r>
          </w:p>
        </w:tc>
        <w:tc>
          <w:tcPr>
            <w:tcW w:w="1111" w:type="dxa"/>
          </w:tcPr>
          <w:p>
            <w:pPr>
              <w:pStyle w:val="TableParagraph"/>
              <w:spacing w:before="101"/>
              <w:ind w:right="48"/>
              <w:jc w:val="right"/>
              <w:rPr>
                <w:sz w:val="14"/>
              </w:rPr>
            </w:pPr>
            <w:r>
              <w:rPr>
                <w:sz w:val="14"/>
              </w:rPr>
              <w:t>-100.0%</w:t>
            </w:r>
          </w:p>
        </w:tc>
      </w:tr>
      <w:tr>
        <w:trPr>
          <w:trHeight w:val="364" w:hRule="atLeast"/>
        </w:trPr>
        <w:tc>
          <w:tcPr>
            <w:tcW w:w="4693" w:type="dxa"/>
          </w:tcPr>
          <w:p>
            <w:pPr>
              <w:pStyle w:val="TableParagraph"/>
              <w:spacing w:before="101"/>
              <w:ind w:left="213"/>
              <w:rPr>
                <w:sz w:val="14"/>
              </w:rPr>
            </w:pPr>
            <w:r>
              <w:rPr>
                <w:w w:val="105"/>
                <w:sz w:val="14"/>
              </w:rPr>
              <w:t>Net Increase (Decrease) in the Fair Value of Investments</w:t>
            </w:r>
          </w:p>
        </w:tc>
        <w:tc>
          <w:tcPr>
            <w:tcW w:w="1883" w:type="dxa"/>
          </w:tcPr>
          <w:p>
            <w:pPr>
              <w:pStyle w:val="TableParagraph"/>
              <w:spacing w:before="101"/>
              <w:ind w:right="701"/>
              <w:jc w:val="right"/>
              <w:rPr>
                <w:sz w:val="14"/>
              </w:rPr>
            </w:pPr>
            <w:r>
              <w:rPr>
                <w:sz w:val="14"/>
              </w:rPr>
              <w:t>8662</w:t>
            </w:r>
          </w:p>
        </w:tc>
        <w:tc>
          <w:tcPr>
            <w:tcW w:w="1678" w:type="dxa"/>
          </w:tcPr>
          <w:p>
            <w:pPr>
              <w:pStyle w:val="TableParagraph"/>
              <w:spacing w:before="101"/>
              <w:ind w:right="615"/>
              <w:jc w:val="right"/>
              <w:rPr>
                <w:sz w:val="14"/>
              </w:rPr>
            </w:pPr>
            <w:r>
              <w:rPr>
                <w:sz w:val="14"/>
              </w:rPr>
              <w:t>0.00</w:t>
            </w:r>
          </w:p>
        </w:tc>
        <w:tc>
          <w:tcPr>
            <w:tcW w:w="1423" w:type="dxa"/>
          </w:tcPr>
          <w:p>
            <w:pPr>
              <w:pStyle w:val="TableParagraph"/>
              <w:spacing w:before="101"/>
              <w:ind w:right="526"/>
              <w:jc w:val="right"/>
              <w:rPr>
                <w:sz w:val="14"/>
              </w:rPr>
            </w:pPr>
            <w:r>
              <w:rPr>
                <w:sz w:val="14"/>
              </w:rPr>
              <w:t>0.00</w:t>
            </w:r>
          </w:p>
        </w:tc>
        <w:tc>
          <w:tcPr>
            <w:tcW w:w="1111" w:type="dxa"/>
          </w:tcPr>
          <w:p>
            <w:pPr>
              <w:pStyle w:val="TableParagraph"/>
              <w:spacing w:before="101"/>
              <w:ind w:right="48"/>
              <w:jc w:val="right"/>
              <w:rPr>
                <w:sz w:val="14"/>
              </w:rPr>
            </w:pPr>
            <w:r>
              <w:rPr>
                <w:sz w:val="14"/>
              </w:rPr>
              <w:t>0.0%</w:t>
            </w:r>
          </w:p>
        </w:tc>
      </w:tr>
      <w:tr>
        <w:trPr>
          <w:trHeight w:val="364" w:hRule="atLeast"/>
        </w:trPr>
        <w:tc>
          <w:tcPr>
            <w:tcW w:w="4693" w:type="dxa"/>
          </w:tcPr>
          <w:p>
            <w:pPr>
              <w:pStyle w:val="TableParagraph"/>
              <w:spacing w:before="101"/>
              <w:ind w:left="213"/>
              <w:rPr>
                <w:sz w:val="14"/>
              </w:rPr>
            </w:pPr>
            <w:r>
              <w:rPr>
                <w:w w:val="105"/>
                <w:sz w:val="14"/>
              </w:rPr>
              <w:t>Other Local Revenue</w:t>
            </w:r>
          </w:p>
        </w:tc>
        <w:tc>
          <w:tcPr>
            <w:tcW w:w="1883" w:type="dxa"/>
          </w:tcPr>
          <w:p>
            <w:pPr>
              <w:pStyle w:val="TableParagraph"/>
              <w:rPr>
                <w:rFonts w:ascii="Times New Roman"/>
                <w:sz w:val="14"/>
              </w:rPr>
            </w:pPr>
          </w:p>
        </w:tc>
        <w:tc>
          <w:tcPr>
            <w:tcW w:w="1678" w:type="dxa"/>
          </w:tcPr>
          <w:p>
            <w:pPr>
              <w:pStyle w:val="TableParagraph"/>
              <w:rPr>
                <w:rFonts w:ascii="Times New Roman"/>
                <w:sz w:val="14"/>
              </w:rPr>
            </w:pPr>
          </w:p>
        </w:tc>
        <w:tc>
          <w:tcPr>
            <w:tcW w:w="1423" w:type="dxa"/>
          </w:tcPr>
          <w:p>
            <w:pPr>
              <w:pStyle w:val="TableParagraph"/>
              <w:rPr>
                <w:rFonts w:ascii="Times New Roman"/>
                <w:sz w:val="14"/>
              </w:rPr>
            </w:pPr>
          </w:p>
        </w:tc>
        <w:tc>
          <w:tcPr>
            <w:tcW w:w="1111" w:type="dxa"/>
          </w:tcPr>
          <w:p>
            <w:pPr>
              <w:pStyle w:val="TableParagraph"/>
              <w:rPr>
                <w:rFonts w:ascii="Times New Roman"/>
                <w:sz w:val="14"/>
              </w:rPr>
            </w:pPr>
          </w:p>
        </w:tc>
      </w:tr>
      <w:tr>
        <w:trPr>
          <w:trHeight w:val="364" w:hRule="atLeast"/>
        </w:trPr>
        <w:tc>
          <w:tcPr>
            <w:tcW w:w="4693" w:type="dxa"/>
          </w:tcPr>
          <w:p>
            <w:pPr>
              <w:pStyle w:val="TableParagraph"/>
              <w:spacing w:before="101"/>
              <w:ind w:left="294"/>
              <w:rPr>
                <w:sz w:val="14"/>
              </w:rPr>
            </w:pPr>
            <w:r>
              <w:rPr>
                <w:w w:val="105"/>
                <w:sz w:val="14"/>
              </w:rPr>
              <w:t>All Other Local Revenue</w:t>
            </w:r>
          </w:p>
        </w:tc>
        <w:tc>
          <w:tcPr>
            <w:tcW w:w="1883" w:type="dxa"/>
          </w:tcPr>
          <w:p>
            <w:pPr>
              <w:pStyle w:val="TableParagraph"/>
              <w:spacing w:before="101"/>
              <w:ind w:right="701"/>
              <w:jc w:val="right"/>
              <w:rPr>
                <w:sz w:val="14"/>
              </w:rPr>
            </w:pPr>
            <w:r>
              <w:rPr>
                <w:sz w:val="14"/>
              </w:rPr>
              <w:t>8699</w:t>
            </w:r>
          </w:p>
        </w:tc>
        <w:tc>
          <w:tcPr>
            <w:tcW w:w="1678" w:type="dxa"/>
          </w:tcPr>
          <w:p>
            <w:pPr>
              <w:pStyle w:val="TableParagraph"/>
              <w:spacing w:before="101"/>
              <w:ind w:right="615"/>
              <w:jc w:val="right"/>
              <w:rPr>
                <w:sz w:val="14"/>
              </w:rPr>
            </w:pPr>
            <w:r>
              <w:rPr>
                <w:sz w:val="14"/>
              </w:rPr>
              <w:t>0.00</w:t>
            </w:r>
          </w:p>
        </w:tc>
        <w:tc>
          <w:tcPr>
            <w:tcW w:w="1423" w:type="dxa"/>
          </w:tcPr>
          <w:p>
            <w:pPr>
              <w:pStyle w:val="TableParagraph"/>
              <w:spacing w:before="101"/>
              <w:ind w:right="526"/>
              <w:jc w:val="right"/>
              <w:rPr>
                <w:sz w:val="14"/>
              </w:rPr>
            </w:pPr>
            <w:r>
              <w:rPr>
                <w:sz w:val="14"/>
              </w:rPr>
              <w:t>0.00</w:t>
            </w:r>
          </w:p>
        </w:tc>
        <w:tc>
          <w:tcPr>
            <w:tcW w:w="1111" w:type="dxa"/>
          </w:tcPr>
          <w:p>
            <w:pPr>
              <w:pStyle w:val="TableParagraph"/>
              <w:spacing w:before="101"/>
              <w:ind w:right="48"/>
              <w:jc w:val="right"/>
              <w:rPr>
                <w:sz w:val="14"/>
              </w:rPr>
            </w:pPr>
            <w:r>
              <w:rPr>
                <w:sz w:val="14"/>
              </w:rPr>
              <w:t>0.0%</w:t>
            </w:r>
          </w:p>
        </w:tc>
      </w:tr>
      <w:tr>
        <w:trPr>
          <w:trHeight w:val="370" w:hRule="atLeast"/>
        </w:trPr>
        <w:tc>
          <w:tcPr>
            <w:tcW w:w="4693" w:type="dxa"/>
          </w:tcPr>
          <w:p>
            <w:pPr>
              <w:pStyle w:val="TableParagraph"/>
              <w:spacing w:before="101"/>
              <w:ind w:left="376"/>
              <w:rPr>
                <w:sz w:val="14"/>
              </w:rPr>
            </w:pPr>
            <w:r>
              <w:rPr>
                <w:w w:val="105"/>
                <w:sz w:val="14"/>
              </w:rPr>
              <w:t>All Other Transfers In from All Others</w:t>
            </w:r>
          </w:p>
        </w:tc>
        <w:tc>
          <w:tcPr>
            <w:tcW w:w="1883" w:type="dxa"/>
          </w:tcPr>
          <w:p>
            <w:pPr>
              <w:pStyle w:val="TableParagraph"/>
              <w:spacing w:before="101"/>
              <w:ind w:right="701"/>
              <w:jc w:val="right"/>
              <w:rPr>
                <w:sz w:val="14"/>
              </w:rPr>
            </w:pPr>
            <w:r>
              <w:rPr>
                <w:sz w:val="14"/>
              </w:rPr>
              <w:t>8799</w:t>
            </w:r>
          </w:p>
        </w:tc>
        <w:tc>
          <w:tcPr>
            <w:tcW w:w="1678" w:type="dxa"/>
          </w:tcPr>
          <w:p>
            <w:pPr>
              <w:pStyle w:val="TableParagraph"/>
              <w:spacing w:before="101"/>
              <w:ind w:right="615"/>
              <w:jc w:val="right"/>
              <w:rPr>
                <w:sz w:val="14"/>
              </w:rPr>
            </w:pPr>
            <w:r>
              <w:rPr>
                <w:sz w:val="14"/>
              </w:rPr>
              <w:t>0.00</w:t>
            </w:r>
          </w:p>
        </w:tc>
        <w:tc>
          <w:tcPr>
            <w:tcW w:w="1423" w:type="dxa"/>
          </w:tcPr>
          <w:p>
            <w:pPr>
              <w:pStyle w:val="TableParagraph"/>
              <w:spacing w:before="101"/>
              <w:ind w:right="526"/>
              <w:jc w:val="right"/>
              <w:rPr>
                <w:sz w:val="14"/>
              </w:rPr>
            </w:pPr>
            <w:r>
              <w:rPr>
                <w:sz w:val="14"/>
              </w:rPr>
              <w:t>0.00</w:t>
            </w:r>
          </w:p>
        </w:tc>
        <w:tc>
          <w:tcPr>
            <w:tcW w:w="1111" w:type="dxa"/>
          </w:tcPr>
          <w:p>
            <w:pPr>
              <w:pStyle w:val="TableParagraph"/>
              <w:spacing w:before="101"/>
              <w:ind w:right="48"/>
              <w:jc w:val="right"/>
              <w:rPr>
                <w:sz w:val="14"/>
              </w:rPr>
            </w:pPr>
            <w:r>
              <w:rPr>
                <w:sz w:val="14"/>
              </w:rPr>
              <w:t>0.0%</w:t>
            </w:r>
          </w:p>
        </w:tc>
      </w:tr>
      <w:tr>
        <w:trPr>
          <w:trHeight w:val="376" w:hRule="atLeast"/>
        </w:trPr>
        <w:tc>
          <w:tcPr>
            <w:tcW w:w="4693" w:type="dxa"/>
          </w:tcPr>
          <w:p>
            <w:pPr>
              <w:pStyle w:val="TableParagraph"/>
              <w:spacing w:before="107"/>
              <w:ind w:left="131"/>
              <w:rPr>
                <w:sz w:val="14"/>
              </w:rPr>
            </w:pPr>
            <w:r>
              <w:rPr>
                <w:w w:val="105"/>
                <w:sz w:val="14"/>
              </w:rPr>
              <w:t>TOTAL, OTHER LOCAL REVENUE</w:t>
            </w:r>
          </w:p>
        </w:tc>
        <w:tc>
          <w:tcPr>
            <w:tcW w:w="1883" w:type="dxa"/>
          </w:tcPr>
          <w:p>
            <w:pPr>
              <w:pStyle w:val="TableParagraph"/>
              <w:rPr>
                <w:rFonts w:ascii="Times New Roman"/>
                <w:sz w:val="14"/>
              </w:rPr>
            </w:pPr>
          </w:p>
        </w:tc>
        <w:tc>
          <w:tcPr>
            <w:tcW w:w="1678" w:type="dxa"/>
          </w:tcPr>
          <w:p>
            <w:pPr>
              <w:pStyle w:val="TableParagraph"/>
              <w:spacing w:before="107"/>
              <w:ind w:right="614"/>
              <w:jc w:val="right"/>
              <w:rPr>
                <w:sz w:val="14"/>
              </w:rPr>
            </w:pPr>
            <w:r>
              <w:rPr>
                <w:sz w:val="14"/>
              </w:rPr>
              <w:t>20.00</w:t>
            </w:r>
          </w:p>
        </w:tc>
        <w:tc>
          <w:tcPr>
            <w:tcW w:w="1423" w:type="dxa"/>
          </w:tcPr>
          <w:p>
            <w:pPr>
              <w:pStyle w:val="TableParagraph"/>
              <w:spacing w:before="107"/>
              <w:ind w:right="526"/>
              <w:jc w:val="right"/>
              <w:rPr>
                <w:sz w:val="14"/>
              </w:rPr>
            </w:pPr>
            <w:r>
              <w:rPr>
                <w:sz w:val="14"/>
              </w:rPr>
              <w:t>0.00</w:t>
            </w:r>
          </w:p>
        </w:tc>
        <w:tc>
          <w:tcPr>
            <w:tcW w:w="1111" w:type="dxa"/>
          </w:tcPr>
          <w:p>
            <w:pPr>
              <w:pStyle w:val="TableParagraph"/>
              <w:spacing w:before="107"/>
              <w:ind w:right="48"/>
              <w:jc w:val="right"/>
              <w:rPr>
                <w:sz w:val="14"/>
              </w:rPr>
            </w:pPr>
            <w:r>
              <w:rPr>
                <w:sz w:val="14"/>
              </w:rPr>
              <w:t>-100.0%</w:t>
            </w:r>
          </w:p>
        </w:tc>
      </w:tr>
      <w:tr>
        <w:trPr>
          <w:trHeight w:val="268" w:hRule="atLeast"/>
        </w:trPr>
        <w:tc>
          <w:tcPr>
            <w:tcW w:w="4693" w:type="dxa"/>
          </w:tcPr>
          <w:p>
            <w:pPr>
              <w:pStyle w:val="TableParagraph"/>
              <w:spacing w:line="142" w:lineRule="exact" w:before="107"/>
              <w:ind w:left="50"/>
              <w:rPr>
                <w:sz w:val="14"/>
              </w:rPr>
            </w:pPr>
            <w:r>
              <w:rPr>
                <w:w w:val="105"/>
                <w:sz w:val="14"/>
              </w:rPr>
              <w:t>TOTAL, REVENUES</w:t>
            </w:r>
          </w:p>
        </w:tc>
        <w:tc>
          <w:tcPr>
            <w:tcW w:w="1883" w:type="dxa"/>
          </w:tcPr>
          <w:p>
            <w:pPr>
              <w:pStyle w:val="TableParagraph"/>
              <w:rPr>
                <w:rFonts w:ascii="Times New Roman"/>
                <w:sz w:val="14"/>
              </w:rPr>
            </w:pPr>
          </w:p>
        </w:tc>
        <w:tc>
          <w:tcPr>
            <w:tcW w:w="1678" w:type="dxa"/>
          </w:tcPr>
          <w:p>
            <w:pPr>
              <w:pStyle w:val="TableParagraph"/>
              <w:spacing w:line="142" w:lineRule="exact" w:before="107"/>
              <w:ind w:right="614"/>
              <w:jc w:val="right"/>
              <w:rPr>
                <w:sz w:val="14"/>
              </w:rPr>
            </w:pPr>
            <w:r>
              <w:rPr>
                <w:sz w:val="14"/>
              </w:rPr>
              <w:t>20.00</w:t>
            </w:r>
          </w:p>
        </w:tc>
        <w:tc>
          <w:tcPr>
            <w:tcW w:w="1423" w:type="dxa"/>
          </w:tcPr>
          <w:p>
            <w:pPr>
              <w:pStyle w:val="TableParagraph"/>
              <w:spacing w:line="142" w:lineRule="exact" w:before="107"/>
              <w:ind w:right="526"/>
              <w:jc w:val="right"/>
              <w:rPr>
                <w:sz w:val="14"/>
              </w:rPr>
            </w:pPr>
            <w:r>
              <w:rPr>
                <w:sz w:val="14"/>
              </w:rPr>
              <w:t>0.00</w:t>
            </w:r>
          </w:p>
        </w:tc>
        <w:tc>
          <w:tcPr>
            <w:tcW w:w="1111" w:type="dxa"/>
          </w:tcPr>
          <w:p>
            <w:pPr>
              <w:pStyle w:val="TableParagraph"/>
              <w:spacing w:line="142" w:lineRule="exact" w:before="107"/>
              <w:ind w:right="48"/>
              <w:jc w:val="right"/>
              <w:rPr>
                <w:sz w:val="14"/>
              </w:rPr>
            </w:pPr>
            <w:r>
              <w:rPr>
                <w:sz w:val="14"/>
              </w:rPr>
              <w:t>-100.0%</w:t>
            </w:r>
          </w:p>
        </w:tc>
      </w:tr>
    </w:tbl>
    <w:p>
      <w:pPr>
        <w:spacing w:after="0" w:line="142" w:lineRule="exact"/>
        <w:jc w:val="right"/>
        <w:rPr>
          <w:sz w:val="14"/>
        </w:rPr>
        <w:sectPr>
          <w:type w:val="continuous"/>
          <w:pgSz w:w="12240" w:h="15840"/>
          <w:pgMar w:top="1500" w:bottom="840" w:left="160" w:right="180"/>
        </w:sectPr>
      </w:pPr>
    </w:p>
    <w:p>
      <w:pPr>
        <w:spacing w:line="232" w:lineRule="auto" w:before="1"/>
        <w:ind w:left="308" w:right="0" w:firstLine="0"/>
        <w:jc w:val="left"/>
        <w:rPr>
          <w:sz w:val="18"/>
        </w:rPr>
      </w:pPr>
      <w:r>
        <w:rPr/>
        <w:pict>
          <v:group style="position:absolute;margin-left:24.719999pt;margin-top:36.318634pt;width:538pt;height:57.75pt;mso-position-horizontal-relative:page;mso-position-vertical-relative:paragraph;z-index:-314223616" coordorigin="494,726" coordsize="10760,1155">
            <v:shape style="position:absolute;left:494;top:726;width:3646;height:790" type="#_x0000_t75" stroked="false">
              <v:imagedata r:id="rId406" o:title=""/>
            </v:shape>
            <v:shape style="position:absolute;left:494;top:726;width:10760;height:1155" type="#_x0000_t75" stroked="false">
              <v:imagedata r:id="rId934" o:title=""/>
            </v:shape>
            <w10:wrap type="none"/>
          </v:group>
        </w:pict>
      </w:r>
      <w:r>
        <w:rPr/>
        <w:pict>
          <v:group style="position:absolute;margin-left:24.719999pt;margin-top:75.078636pt;width:538pt;height:433.7pt;mso-position-horizontal-relative:page;mso-position-vertical-relative:paragraph;z-index:-314220544" coordorigin="494,1502" coordsize="10760,8674">
            <v:line style="position:absolute" from="1304,1506" to="1304,1876" stroked="true" strokeweight=".359997pt" strokecolor="#ffffff">
              <v:stroke dashstyle="solid"/>
            </v:line>
            <v:shape style="position:absolute;left:4132;top:1501;width:7121;height:924" type="#_x0000_t75" stroked="false">
              <v:imagedata r:id="rId729" o:title=""/>
            </v:shape>
            <v:shape style="position:absolute;left:6674;top:2053;width:4580;height:737" type="#_x0000_t75" stroked="false">
              <v:imagedata r:id="rId464" o:title=""/>
            </v:shape>
            <v:shape style="position:absolute;left:6674;top:2418;width:4580;height:737" type="#_x0000_t75" stroked="false">
              <v:imagedata r:id="rId464" o:title=""/>
            </v:shape>
            <v:shape style="position:absolute;left:494;top:1878;width:3646;height:2019" type="#_x0000_t75" stroked="false">
              <v:imagedata r:id="rId869" o:title=""/>
            </v:shape>
            <v:shape style="position:absolute;left:6674;top:2783;width:4580;height:737" type="#_x0000_t75" stroked="false">
              <v:imagedata r:id="rId464" o:title=""/>
            </v:shape>
            <v:shape style="position:absolute;left:4132;top:3147;width:7121;height:749" type="#_x0000_t75" stroked="false">
              <v:imagedata r:id="rId479" o:title=""/>
            </v:shape>
            <v:shape style="position:absolute;left:494;top:3889;width:3646;height:380" type="#_x0000_t75" stroked="false">
              <v:imagedata r:id="rId513" o:title=""/>
            </v:shape>
            <v:shape style="position:absolute;left:4132;top:3512;width:7121;height:1323" type="#_x0000_t75" stroked="false">
              <v:imagedata r:id="rId870" o:title=""/>
            </v:shape>
            <v:shape style="position:absolute;left:6674;top:4463;width:4580;height:737" type="#_x0000_t75" stroked="false">
              <v:imagedata r:id="rId464" o:title=""/>
            </v:shape>
            <v:shape style="position:absolute;left:494;top:4266;width:3646;height:3864" type="#_x0000_t75" stroked="false">
              <v:imagedata r:id="rId871" o:title=""/>
            </v:shape>
            <v:shape style="position:absolute;left:6674;top:4827;width:4580;height:737" type="#_x0000_t75" stroked="false">
              <v:imagedata r:id="rId469" o:title=""/>
            </v:shape>
            <v:shape style="position:absolute;left:6674;top:5192;width:4580;height:737" type="#_x0000_t75" stroked="false">
              <v:imagedata r:id="rId469" o:title=""/>
            </v:shape>
            <v:shape style="position:absolute;left:6674;top:5557;width:4580;height:737" type="#_x0000_t75" stroked="false">
              <v:imagedata r:id="rId469" o:title=""/>
            </v:shape>
            <v:shape style="position:absolute;left:8186;top:5922;width:3068;height:732" type="#_x0000_t75" stroked="false">
              <v:imagedata r:id="rId470" o:title=""/>
            </v:shape>
            <v:shape style="position:absolute;left:6674;top:6287;width:4580;height:732" type="#_x0000_t75" stroked="false">
              <v:imagedata r:id="rId872" o:title=""/>
            </v:shape>
            <v:shape style="position:absolute;left:6674;top:6651;width:4580;height:737" type="#_x0000_t75" stroked="false">
              <v:imagedata r:id="rId873" o:title=""/>
            </v:shape>
            <v:shape style="position:absolute;left:6674;top:7016;width:4580;height:737" type="#_x0000_t75" stroked="false">
              <v:imagedata r:id="rId625" o:title=""/>
            </v:shape>
            <v:shape style="position:absolute;left:4132;top:7381;width:7121;height:749" type="#_x0000_t75" stroked="false">
              <v:imagedata r:id="rId874" o:title=""/>
            </v:shape>
            <v:shape style="position:absolute;left:8186;top:7746;width:3068;height:384" type="#_x0000_t75" stroked="false">
              <v:imagedata r:id="rId875" o:title=""/>
            </v:shape>
            <v:shape style="position:absolute;left:494;top:8123;width:3646;height:380" type="#_x0000_t75" stroked="false">
              <v:imagedata r:id="rId513" o:title=""/>
            </v:shape>
            <v:shape style="position:absolute;left:4132;top:8123;width:2549;height:8" type="#_x0000_t75" stroked="false">
              <v:imagedata r:id="rId661" o:title=""/>
            </v:shape>
            <v:shape style="position:absolute;left:6674;top:8123;width:1520;height:382" type="#_x0000_t75" stroked="false">
              <v:imagedata r:id="rId663" o:title=""/>
            </v:shape>
            <v:shape style="position:absolute;left:8186;top:8123;width:1520;height:382" type="#_x0000_t75" stroked="false">
              <v:imagedata r:id="rId663" o:title=""/>
            </v:shape>
            <v:shape style="position:absolute;left:6679;top:8127;width:4565;height:574" coordorigin="6679,8128" coordsize="4565,574" path="m11244,8128l9703,8128,9703,8505,8191,8505,6679,8505,6679,8702,8191,8702,9703,8702,11244,8702,11244,8505,11244,8128e" filled="true" fillcolor="#dfdfdf" stroked="false">
              <v:path arrowok="t"/>
              <v:fill type="solid"/>
            </v:shape>
            <v:shape style="position:absolute;left:6674;top:8499;width:1520;height:569" type="#_x0000_t75" stroked="false">
              <v:imagedata r:id="rId935" o:title=""/>
            </v:shape>
            <v:shape style="position:absolute;left:8186;top:8499;width:1520;height:569" type="#_x0000_t75" stroked="false">
              <v:imagedata r:id="rId935" o:title=""/>
            </v:shape>
            <v:rect style="position:absolute;left:9703;top:8701;width:1541;height:365" filled="true" fillcolor="#dfdfdf" stroked="false">
              <v:fill type="solid"/>
            </v:rect>
            <v:shape style="position:absolute;left:6674;top:8123;width:4580;height:1676" type="#_x0000_t75" stroked="false">
              <v:imagedata r:id="rId936" o:title=""/>
            </v:shape>
            <v:shape style="position:absolute;left:494;top:8499;width:3646;height:1676" type="#_x0000_t75" stroked="false">
              <v:imagedata r:id="rId731" o:title=""/>
            </v:shape>
            <v:shape style="position:absolute;left:530;top:4105;width:1576;height:161" type="#_x0000_t202" filled="false" stroked="false">
              <v:textbox inset="0,0,0,0">
                <w:txbxContent>
                  <w:p>
                    <w:pPr>
                      <w:spacing w:line="160" w:lineRule="exact" w:before="0"/>
                      <w:ind w:left="0" w:right="0" w:firstLine="0"/>
                      <w:jc w:val="left"/>
                      <w:rPr>
                        <w:b/>
                        <w:sz w:val="14"/>
                      </w:rPr>
                    </w:pPr>
                    <w:r>
                      <w:rPr>
                        <w:b/>
                        <w:w w:val="105"/>
                        <w:sz w:val="14"/>
                      </w:rPr>
                      <w:t>EMPLOYEE</w:t>
                    </w:r>
                    <w:r>
                      <w:rPr>
                        <w:b/>
                        <w:spacing w:val="-21"/>
                        <w:w w:val="105"/>
                        <w:sz w:val="14"/>
                      </w:rPr>
                      <w:t> </w:t>
                    </w:r>
                    <w:r>
                      <w:rPr>
                        <w:b/>
                        <w:w w:val="105"/>
                        <w:sz w:val="14"/>
                      </w:rPr>
                      <w:t>BENEFITS</w:t>
                    </w:r>
                  </w:p>
                </w:txbxContent>
              </v:textbox>
              <w10:wrap type="none"/>
            </v:shape>
            <v:shape style="position:absolute;left:530;top:8338;width:1645;height:161" type="#_x0000_t202" filled="false" stroked="false">
              <v:textbox inset="0,0,0,0">
                <w:txbxContent>
                  <w:p>
                    <w:pPr>
                      <w:spacing w:line="160" w:lineRule="exact" w:before="0"/>
                      <w:ind w:left="0" w:right="0" w:firstLine="0"/>
                      <w:jc w:val="left"/>
                      <w:rPr>
                        <w:b/>
                        <w:sz w:val="14"/>
                      </w:rPr>
                    </w:pPr>
                    <w:r>
                      <w:rPr>
                        <w:b/>
                        <w:w w:val="105"/>
                        <w:sz w:val="14"/>
                      </w:rPr>
                      <w:t>BOOKS</w:t>
                    </w:r>
                    <w:r>
                      <w:rPr>
                        <w:b/>
                        <w:spacing w:val="-17"/>
                        <w:w w:val="105"/>
                        <w:sz w:val="14"/>
                      </w:rPr>
                      <w:t> </w:t>
                    </w:r>
                    <w:r>
                      <w:rPr>
                        <w:b/>
                        <w:w w:val="105"/>
                        <w:sz w:val="14"/>
                      </w:rPr>
                      <w:t>AND</w:t>
                    </w:r>
                    <w:r>
                      <w:rPr>
                        <w:b/>
                        <w:spacing w:val="-17"/>
                        <w:w w:val="105"/>
                        <w:sz w:val="14"/>
                      </w:rPr>
                      <w:t> </w:t>
                    </w:r>
                    <w:r>
                      <w:rPr>
                        <w:b/>
                        <w:w w:val="105"/>
                        <w:sz w:val="14"/>
                      </w:rPr>
                      <w:t>SUPPLIES</w:t>
                    </w:r>
                  </w:p>
                </w:txbxContent>
              </v:textbox>
              <w10:wrap type="none"/>
            </v:shape>
            <w10:wrap type="none"/>
          </v:group>
        </w:pict>
      </w:r>
      <w:r>
        <w:rPr>
          <w:sz w:val="18"/>
        </w:rPr>
        <w:t>Winship-Robbins Elementary Sutter County</w:t>
      </w:r>
    </w:p>
    <w:p>
      <w:pPr>
        <w:spacing w:line="232" w:lineRule="auto" w:before="1"/>
        <w:ind w:left="572" w:right="0" w:hanging="264"/>
        <w:jc w:val="left"/>
        <w:rPr>
          <w:sz w:val="18"/>
        </w:rPr>
      </w:pPr>
      <w:r>
        <w:rPr/>
        <w:br w:type="column"/>
      </w:r>
      <w:r>
        <w:rPr>
          <w:sz w:val="18"/>
        </w:rPr>
        <w:t>County School Facilities Fund Expenditures by Object</w:t>
      </w:r>
    </w:p>
    <w:p>
      <w:pPr>
        <w:spacing w:line="200" w:lineRule="exact" w:before="0"/>
        <w:ind w:left="0" w:right="287" w:firstLine="0"/>
        <w:jc w:val="right"/>
        <w:rPr>
          <w:sz w:val="18"/>
        </w:rPr>
      </w:pPr>
      <w:r>
        <w:rPr/>
        <w:br w:type="column"/>
      </w:r>
      <w:r>
        <w:rPr>
          <w:sz w:val="18"/>
        </w:rPr>
        <w:t>51 71456</w:t>
      </w:r>
      <w:r>
        <w:rPr>
          <w:spacing w:val="3"/>
          <w:sz w:val="18"/>
        </w:rPr>
        <w:t> </w:t>
      </w:r>
      <w:r>
        <w:rPr>
          <w:sz w:val="18"/>
        </w:rPr>
        <w:t>0000000</w:t>
      </w:r>
    </w:p>
    <w:p>
      <w:pPr>
        <w:spacing w:line="204" w:lineRule="exact" w:before="0"/>
        <w:ind w:left="0" w:right="285" w:firstLine="0"/>
        <w:jc w:val="right"/>
        <w:rPr>
          <w:sz w:val="18"/>
        </w:rPr>
      </w:pPr>
      <w:r>
        <w:rPr>
          <w:sz w:val="18"/>
        </w:rPr>
        <w:t>Form </w:t>
      </w:r>
      <w:r>
        <w:rPr>
          <w:spacing w:val="3"/>
          <w:sz w:val="18"/>
        </w:rPr>
        <w:t> </w:t>
      </w:r>
      <w:r>
        <w:rPr>
          <w:sz w:val="18"/>
        </w:rPr>
        <w:t>35</w:t>
      </w:r>
    </w:p>
    <w:p>
      <w:pPr>
        <w:spacing w:after="0" w:line="204" w:lineRule="exact"/>
        <w:jc w:val="right"/>
        <w:rPr>
          <w:sz w:val="18"/>
        </w:rPr>
        <w:sectPr>
          <w:pgSz w:w="12240" w:h="15840"/>
          <w:pgMar w:header="651" w:footer="437" w:top="840" w:bottom="620" w:left="160" w:right="180"/>
          <w:cols w:num="3" w:equalWidth="0">
            <w:col w:w="2698" w:space="1751"/>
            <w:col w:w="2749" w:space="2594"/>
            <w:col w:w="2108"/>
          </w:cols>
        </w:sectPr>
      </w:pPr>
    </w:p>
    <w:p>
      <w:pPr>
        <w:pStyle w:val="BodyText"/>
        <w:rPr>
          <w:sz w:val="20"/>
        </w:rPr>
      </w:pPr>
      <w:r>
        <w:rPr/>
        <w:pict>
          <v:group style="position:absolute;margin-left:206.639984pt;margin-top:513.960022pt;width:356.05pt;height:37.450pt;mso-position-horizontal-relative:page;mso-position-vertical-relative:page;z-index:-314219520" coordorigin="4133,10279" coordsize="7121,749">
            <v:shape style="position:absolute;left:4132;top:10279;width:7121;height:749" type="#_x0000_t75" stroked="false">
              <v:imagedata r:id="rId479" o:title=""/>
            </v:shape>
            <v:shape style="position:absolute;left:8186;top:10644;width:3068;height:384" type="#_x0000_t75" stroked="false">
              <v:imagedata r:id="rId583" o:title=""/>
            </v:shape>
            <w10:wrap type="none"/>
          </v:group>
        </w:pict>
      </w:r>
    </w:p>
    <w:p>
      <w:pPr>
        <w:pStyle w:val="BodyText"/>
        <w:rPr>
          <w:sz w:val="20"/>
        </w:rPr>
      </w:pPr>
    </w:p>
    <w:p>
      <w:pPr>
        <w:pStyle w:val="BodyText"/>
        <w:spacing w:before="8" w:after="1"/>
        <w:rPr>
          <w:sz w:val="26"/>
        </w:rPr>
      </w:pPr>
    </w:p>
    <w:tbl>
      <w:tblPr>
        <w:tblW w:w="0" w:type="auto"/>
        <w:jc w:val="left"/>
        <w:tblInd w:w="3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34"/>
        <w:gridCol w:w="1496"/>
        <w:gridCol w:w="1127"/>
        <w:gridCol w:w="1666"/>
        <w:gridCol w:w="1475"/>
        <w:gridCol w:w="981"/>
        <w:gridCol w:w="408"/>
      </w:tblGrid>
      <w:tr>
        <w:trPr>
          <w:trHeight w:val="436" w:hRule="atLeast"/>
        </w:trPr>
        <w:tc>
          <w:tcPr>
            <w:tcW w:w="3634" w:type="dxa"/>
          </w:tcPr>
          <w:p>
            <w:pPr>
              <w:pStyle w:val="TableParagraph"/>
              <w:spacing w:before="5"/>
              <w:rPr>
                <w:sz w:val="14"/>
              </w:rPr>
            </w:pPr>
          </w:p>
          <w:p>
            <w:pPr>
              <w:pStyle w:val="TableParagraph"/>
              <w:spacing w:before="1"/>
              <w:ind w:left="50"/>
              <w:rPr>
                <w:b/>
                <w:sz w:val="14"/>
              </w:rPr>
            </w:pPr>
            <w:r>
              <w:rPr>
                <w:b/>
                <w:w w:val="105"/>
                <w:sz w:val="14"/>
              </w:rPr>
              <w:t>Description</w:t>
            </w:r>
          </w:p>
        </w:tc>
        <w:tc>
          <w:tcPr>
            <w:tcW w:w="1496" w:type="dxa"/>
          </w:tcPr>
          <w:p>
            <w:pPr>
              <w:pStyle w:val="TableParagraph"/>
              <w:spacing w:before="5"/>
              <w:rPr>
                <w:sz w:val="14"/>
              </w:rPr>
            </w:pPr>
          </w:p>
          <w:p>
            <w:pPr>
              <w:pStyle w:val="TableParagraph"/>
              <w:spacing w:before="1"/>
              <w:ind w:left="243"/>
              <w:rPr>
                <w:b/>
                <w:sz w:val="14"/>
              </w:rPr>
            </w:pPr>
            <w:r>
              <w:rPr>
                <w:b/>
                <w:w w:val="105"/>
                <w:sz w:val="14"/>
              </w:rPr>
              <w:t>Resource Codes</w:t>
            </w:r>
          </w:p>
        </w:tc>
        <w:tc>
          <w:tcPr>
            <w:tcW w:w="1127" w:type="dxa"/>
          </w:tcPr>
          <w:p>
            <w:pPr>
              <w:pStyle w:val="TableParagraph"/>
              <w:spacing w:before="5"/>
              <w:rPr>
                <w:sz w:val="14"/>
              </w:rPr>
            </w:pPr>
          </w:p>
          <w:p>
            <w:pPr>
              <w:pStyle w:val="TableParagraph"/>
              <w:spacing w:before="1"/>
              <w:ind w:left="88" w:right="48"/>
              <w:jc w:val="center"/>
              <w:rPr>
                <w:b/>
                <w:sz w:val="14"/>
              </w:rPr>
            </w:pPr>
            <w:r>
              <w:rPr>
                <w:b/>
                <w:w w:val="105"/>
                <w:sz w:val="14"/>
              </w:rPr>
              <w:t>Object Codes</w:t>
            </w:r>
          </w:p>
        </w:tc>
        <w:tc>
          <w:tcPr>
            <w:tcW w:w="1666" w:type="dxa"/>
          </w:tcPr>
          <w:p>
            <w:pPr>
              <w:pStyle w:val="TableParagraph"/>
              <w:spacing w:line="160" w:lineRule="exact"/>
              <w:ind w:left="44" w:right="301"/>
              <w:jc w:val="center"/>
              <w:rPr>
                <w:b/>
                <w:sz w:val="14"/>
              </w:rPr>
            </w:pPr>
            <w:r>
              <w:rPr>
                <w:b/>
                <w:w w:val="105"/>
                <w:sz w:val="14"/>
              </w:rPr>
              <w:t>2020-21</w:t>
            </w:r>
          </w:p>
          <w:p>
            <w:pPr>
              <w:pStyle w:val="TableParagraph"/>
              <w:spacing w:before="7"/>
              <w:ind w:left="44" w:right="304"/>
              <w:jc w:val="center"/>
              <w:rPr>
                <w:b/>
                <w:sz w:val="14"/>
              </w:rPr>
            </w:pPr>
            <w:r>
              <w:rPr>
                <w:b/>
                <w:w w:val="105"/>
                <w:sz w:val="14"/>
              </w:rPr>
              <w:t>Estimated Actuals</w:t>
            </w:r>
          </w:p>
        </w:tc>
        <w:tc>
          <w:tcPr>
            <w:tcW w:w="1475" w:type="dxa"/>
          </w:tcPr>
          <w:p>
            <w:pPr>
              <w:pStyle w:val="TableParagraph"/>
              <w:spacing w:line="160" w:lineRule="exact"/>
              <w:ind w:left="286"/>
              <w:rPr>
                <w:b/>
                <w:sz w:val="14"/>
              </w:rPr>
            </w:pPr>
            <w:r>
              <w:rPr>
                <w:b/>
                <w:w w:val="105"/>
                <w:sz w:val="14"/>
              </w:rPr>
              <w:t>2021-22</w:t>
            </w:r>
          </w:p>
          <w:p>
            <w:pPr>
              <w:pStyle w:val="TableParagraph"/>
              <w:spacing w:before="7"/>
              <w:ind w:left="298"/>
              <w:rPr>
                <w:b/>
                <w:sz w:val="14"/>
              </w:rPr>
            </w:pPr>
            <w:r>
              <w:rPr>
                <w:b/>
                <w:w w:val="105"/>
                <w:sz w:val="14"/>
              </w:rPr>
              <w:t>Budget</w:t>
            </w:r>
          </w:p>
        </w:tc>
        <w:tc>
          <w:tcPr>
            <w:tcW w:w="981" w:type="dxa"/>
          </w:tcPr>
          <w:p>
            <w:pPr>
              <w:pStyle w:val="TableParagraph"/>
              <w:spacing w:line="249" w:lineRule="auto"/>
              <w:ind w:left="249" w:right="27" w:firstLine="86"/>
              <w:rPr>
                <w:b/>
                <w:sz w:val="14"/>
              </w:rPr>
            </w:pPr>
            <w:r>
              <w:rPr>
                <w:b/>
                <w:w w:val="105"/>
                <w:sz w:val="14"/>
              </w:rPr>
              <w:t>Percent </w:t>
            </w:r>
            <w:r>
              <w:rPr>
                <w:b/>
                <w:sz w:val="14"/>
              </w:rPr>
              <w:t>Difference</w:t>
            </w:r>
          </w:p>
        </w:tc>
        <w:tc>
          <w:tcPr>
            <w:tcW w:w="408" w:type="dxa"/>
            <w:vMerge w:val="restart"/>
          </w:tcPr>
          <w:p>
            <w:pPr>
              <w:pStyle w:val="TableParagraph"/>
              <w:rPr>
                <w:rFonts w:ascii="Times New Roman"/>
                <w:sz w:val="14"/>
              </w:rPr>
            </w:pPr>
          </w:p>
        </w:tc>
      </w:tr>
      <w:tr>
        <w:trPr>
          <w:trHeight w:val="459" w:hRule="atLeast"/>
        </w:trPr>
        <w:tc>
          <w:tcPr>
            <w:tcW w:w="3634" w:type="dxa"/>
          </w:tcPr>
          <w:p>
            <w:pPr>
              <w:pStyle w:val="TableParagraph"/>
              <w:spacing w:before="107"/>
              <w:ind w:left="50"/>
              <w:rPr>
                <w:b/>
                <w:sz w:val="14"/>
              </w:rPr>
            </w:pPr>
            <w:r>
              <w:rPr>
                <w:b/>
                <w:w w:val="105"/>
                <w:sz w:val="14"/>
              </w:rPr>
              <w:t>CLASSIFIED SALARIES</w:t>
            </w:r>
          </w:p>
        </w:tc>
        <w:tc>
          <w:tcPr>
            <w:tcW w:w="1496" w:type="dxa"/>
          </w:tcPr>
          <w:p>
            <w:pPr>
              <w:pStyle w:val="TableParagraph"/>
              <w:rPr>
                <w:rFonts w:ascii="Times New Roman"/>
                <w:sz w:val="14"/>
              </w:rPr>
            </w:pPr>
          </w:p>
        </w:tc>
        <w:tc>
          <w:tcPr>
            <w:tcW w:w="1127" w:type="dxa"/>
          </w:tcPr>
          <w:p>
            <w:pPr>
              <w:pStyle w:val="TableParagraph"/>
              <w:rPr>
                <w:rFonts w:ascii="Times New Roman"/>
                <w:sz w:val="14"/>
              </w:rPr>
            </w:pPr>
          </w:p>
        </w:tc>
        <w:tc>
          <w:tcPr>
            <w:tcW w:w="1666" w:type="dxa"/>
          </w:tcPr>
          <w:p>
            <w:pPr>
              <w:pStyle w:val="TableParagraph"/>
              <w:rPr>
                <w:rFonts w:ascii="Times New Roman"/>
                <w:sz w:val="14"/>
              </w:rPr>
            </w:pPr>
          </w:p>
        </w:tc>
        <w:tc>
          <w:tcPr>
            <w:tcW w:w="1475" w:type="dxa"/>
          </w:tcPr>
          <w:p>
            <w:pPr>
              <w:pStyle w:val="TableParagraph"/>
              <w:rPr>
                <w:rFonts w:ascii="Times New Roman"/>
                <w:sz w:val="14"/>
              </w:rPr>
            </w:pPr>
          </w:p>
        </w:tc>
        <w:tc>
          <w:tcPr>
            <w:tcW w:w="981" w:type="dxa"/>
          </w:tcPr>
          <w:p>
            <w:pPr>
              <w:pStyle w:val="TableParagraph"/>
              <w:rPr>
                <w:rFonts w:ascii="Times New Roman"/>
                <w:sz w:val="14"/>
              </w:rPr>
            </w:pPr>
          </w:p>
        </w:tc>
        <w:tc>
          <w:tcPr>
            <w:tcW w:w="408" w:type="dxa"/>
            <w:vMerge/>
            <w:tcBorders>
              <w:top w:val="nil"/>
            </w:tcBorders>
          </w:tcPr>
          <w:p>
            <w:pPr>
              <w:rPr>
                <w:sz w:val="2"/>
                <w:szCs w:val="2"/>
              </w:rPr>
            </w:pPr>
          </w:p>
        </w:tc>
      </w:tr>
      <w:tr>
        <w:trPr>
          <w:trHeight w:val="453" w:hRule="atLeast"/>
        </w:trPr>
        <w:tc>
          <w:tcPr>
            <w:tcW w:w="3634" w:type="dxa"/>
          </w:tcPr>
          <w:p>
            <w:pPr>
              <w:pStyle w:val="TableParagraph"/>
              <w:spacing w:before="5"/>
              <w:rPr>
                <w:sz w:val="16"/>
              </w:rPr>
            </w:pPr>
          </w:p>
          <w:p>
            <w:pPr>
              <w:pStyle w:val="TableParagraph"/>
              <w:ind w:left="131"/>
              <w:rPr>
                <w:sz w:val="14"/>
              </w:rPr>
            </w:pPr>
            <w:r>
              <w:rPr>
                <w:w w:val="105"/>
                <w:sz w:val="14"/>
              </w:rPr>
              <w:t>Classified Support Salaries</w:t>
            </w:r>
          </w:p>
        </w:tc>
        <w:tc>
          <w:tcPr>
            <w:tcW w:w="1496" w:type="dxa"/>
          </w:tcPr>
          <w:p>
            <w:pPr>
              <w:pStyle w:val="TableParagraph"/>
              <w:rPr>
                <w:rFonts w:ascii="Times New Roman"/>
                <w:sz w:val="14"/>
              </w:rPr>
            </w:pPr>
          </w:p>
        </w:tc>
        <w:tc>
          <w:tcPr>
            <w:tcW w:w="1127" w:type="dxa"/>
          </w:tcPr>
          <w:p>
            <w:pPr>
              <w:pStyle w:val="TableParagraph"/>
              <w:spacing w:before="5"/>
              <w:rPr>
                <w:sz w:val="16"/>
              </w:rPr>
            </w:pPr>
          </w:p>
          <w:p>
            <w:pPr>
              <w:pStyle w:val="TableParagraph"/>
              <w:ind w:left="88" w:right="47"/>
              <w:jc w:val="center"/>
              <w:rPr>
                <w:sz w:val="14"/>
              </w:rPr>
            </w:pPr>
            <w:r>
              <w:rPr>
                <w:w w:val="105"/>
                <w:sz w:val="14"/>
              </w:rPr>
              <w:t>2200</w:t>
            </w:r>
          </w:p>
        </w:tc>
        <w:tc>
          <w:tcPr>
            <w:tcW w:w="1666" w:type="dxa"/>
          </w:tcPr>
          <w:p>
            <w:pPr>
              <w:pStyle w:val="TableParagraph"/>
              <w:spacing w:before="5"/>
              <w:rPr>
                <w:sz w:val="16"/>
              </w:rPr>
            </w:pPr>
          </w:p>
          <w:p>
            <w:pPr>
              <w:pStyle w:val="TableParagraph"/>
              <w:ind w:right="284"/>
              <w:jc w:val="right"/>
              <w:rPr>
                <w:sz w:val="14"/>
              </w:rPr>
            </w:pPr>
            <w:r>
              <w:rPr>
                <w:sz w:val="14"/>
              </w:rPr>
              <w:t>0.00</w:t>
            </w:r>
          </w:p>
        </w:tc>
        <w:tc>
          <w:tcPr>
            <w:tcW w:w="1475" w:type="dxa"/>
          </w:tcPr>
          <w:p>
            <w:pPr>
              <w:pStyle w:val="TableParagraph"/>
              <w:spacing w:before="5"/>
              <w:rPr>
                <w:sz w:val="16"/>
              </w:rPr>
            </w:pPr>
          </w:p>
          <w:p>
            <w:pPr>
              <w:pStyle w:val="TableParagraph"/>
              <w:ind w:right="247"/>
              <w:jc w:val="right"/>
              <w:rPr>
                <w:sz w:val="14"/>
              </w:rPr>
            </w:pPr>
            <w:r>
              <w:rPr>
                <w:sz w:val="14"/>
              </w:rPr>
              <w:t>0.00</w:t>
            </w:r>
          </w:p>
        </w:tc>
        <w:tc>
          <w:tcPr>
            <w:tcW w:w="981" w:type="dxa"/>
          </w:tcPr>
          <w:p>
            <w:pPr>
              <w:pStyle w:val="TableParagraph"/>
              <w:rPr>
                <w:rFonts w:ascii="Times New Roman"/>
                <w:sz w:val="14"/>
              </w:rPr>
            </w:pPr>
          </w:p>
        </w:tc>
        <w:tc>
          <w:tcPr>
            <w:tcW w:w="408" w:type="dxa"/>
          </w:tcPr>
          <w:p>
            <w:pPr>
              <w:pStyle w:val="TableParagraph"/>
              <w:spacing w:before="5"/>
              <w:rPr>
                <w:sz w:val="16"/>
              </w:rPr>
            </w:pPr>
          </w:p>
          <w:p>
            <w:pPr>
              <w:pStyle w:val="TableParagraph"/>
              <w:ind w:left="31"/>
              <w:rPr>
                <w:sz w:val="14"/>
              </w:rPr>
            </w:pPr>
            <w:r>
              <w:rPr>
                <w:w w:val="105"/>
                <w:sz w:val="14"/>
              </w:rPr>
              <w:t>0.0%</w:t>
            </w:r>
          </w:p>
        </w:tc>
      </w:tr>
      <w:tr>
        <w:trPr>
          <w:trHeight w:val="364" w:hRule="atLeast"/>
        </w:trPr>
        <w:tc>
          <w:tcPr>
            <w:tcW w:w="3634" w:type="dxa"/>
          </w:tcPr>
          <w:p>
            <w:pPr>
              <w:pStyle w:val="TableParagraph"/>
              <w:spacing w:before="101"/>
              <w:ind w:left="131"/>
              <w:rPr>
                <w:sz w:val="14"/>
              </w:rPr>
            </w:pPr>
            <w:r>
              <w:rPr>
                <w:w w:val="105"/>
                <w:sz w:val="14"/>
              </w:rPr>
              <w:t>Classified Supervisors' and Administrators' Salaries</w:t>
            </w:r>
          </w:p>
        </w:tc>
        <w:tc>
          <w:tcPr>
            <w:tcW w:w="1496" w:type="dxa"/>
          </w:tcPr>
          <w:p>
            <w:pPr>
              <w:pStyle w:val="TableParagraph"/>
              <w:rPr>
                <w:rFonts w:ascii="Times New Roman"/>
                <w:sz w:val="14"/>
              </w:rPr>
            </w:pPr>
          </w:p>
        </w:tc>
        <w:tc>
          <w:tcPr>
            <w:tcW w:w="1127" w:type="dxa"/>
          </w:tcPr>
          <w:p>
            <w:pPr>
              <w:pStyle w:val="TableParagraph"/>
              <w:spacing w:before="101"/>
              <w:ind w:left="88" w:right="47"/>
              <w:jc w:val="center"/>
              <w:rPr>
                <w:sz w:val="14"/>
              </w:rPr>
            </w:pPr>
            <w:r>
              <w:rPr>
                <w:w w:val="105"/>
                <w:sz w:val="14"/>
              </w:rPr>
              <w:t>2300</w:t>
            </w:r>
          </w:p>
        </w:tc>
        <w:tc>
          <w:tcPr>
            <w:tcW w:w="1666" w:type="dxa"/>
          </w:tcPr>
          <w:p>
            <w:pPr>
              <w:pStyle w:val="TableParagraph"/>
              <w:spacing w:before="101"/>
              <w:ind w:right="284"/>
              <w:jc w:val="right"/>
              <w:rPr>
                <w:sz w:val="14"/>
              </w:rPr>
            </w:pPr>
            <w:r>
              <w:rPr>
                <w:sz w:val="14"/>
              </w:rPr>
              <w:t>0.00</w:t>
            </w:r>
          </w:p>
        </w:tc>
        <w:tc>
          <w:tcPr>
            <w:tcW w:w="1475" w:type="dxa"/>
          </w:tcPr>
          <w:p>
            <w:pPr>
              <w:pStyle w:val="TableParagraph"/>
              <w:spacing w:before="101"/>
              <w:ind w:right="247"/>
              <w:jc w:val="right"/>
              <w:rPr>
                <w:sz w:val="14"/>
              </w:rPr>
            </w:pPr>
            <w:r>
              <w:rPr>
                <w:sz w:val="14"/>
              </w:rPr>
              <w:t>0.00</w:t>
            </w:r>
          </w:p>
        </w:tc>
        <w:tc>
          <w:tcPr>
            <w:tcW w:w="981" w:type="dxa"/>
          </w:tcPr>
          <w:p>
            <w:pPr>
              <w:pStyle w:val="TableParagraph"/>
              <w:rPr>
                <w:rFonts w:ascii="Times New Roman"/>
                <w:sz w:val="14"/>
              </w:rPr>
            </w:pPr>
          </w:p>
        </w:tc>
        <w:tc>
          <w:tcPr>
            <w:tcW w:w="408" w:type="dxa"/>
          </w:tcPr>
          <w:p>
            <w:pPr>
              <w:pStyle w:val="TableParagraph"/>
              <w:spacing w:before="101"/>
              <w:ind w:left="31"/>
              <w:rPr>
                <w:sz w:val="14"/>
              </w:rPr>
            </w:pPr>
            <w:r>
              <w:rPr>
                <w:w w:val="105"/>
                <w:sz w:val="14"/>
              </w:rPr>
              <w:t>0.0%</w:t>
            </w:r>
          </w:p>
        </w:tc>
      </w:tr>
      <w:tr>
        <w:trPr>
          <w:trHeight w:val="364" w:hRule="atLeast"/>
        </w:trPr>
        <w:tc>
          <w:tcPr>
            <w:tcW w:w="3634" w:type="dxa"/>
          </w:tcPr>
          <w:p>
            <w:pPr>
              <w:pStyle w:val="TableParagraph"/>
              <w:spacing w:before="101"/>
              <w:ind w:left="131"/>
              <w:rPr>
                <w:sz w:val="14"/>
              </w:rPr>
            </w:pPr>
            <w:r>
              <w:rPr>
                <w:w w:val="105"/>
                <w:sz w:val="14"/>
              </w:rPr>
              <w:t>Clerical, Technical and Office Salaries</w:t>
            </w:r>
          </w:p>
        </w:tc>
        <w:tc>
          <w:tcPr>
            <w:tcW w:w="1496" w:type="dxa"/>
          </w:tcPr>
          <w:p>
            <w:pPr>
              <w:pStyle w:val="TableParagraph"/>
              <w:rPr>
                <w:rFonts w:ascii="Times New Roman"/>
                <w:sz w:val="14"/>
              </w:rPr>
            </w:pPr>
          </w:p>
        </w:tc>
        <w:tc>
          <w:tcPr>
            <w:tcW w:w="1127" w:type="dxa"/>
          </w:tcPr>
          <w:p>
            <w:pPr>
              <w:pStyle w:val="TableParagraph"/>
              <w:spacing w:before="101"/>
              <w:ind w:left="88" w:right="47"/>
              <w:jc w:val="center"/>
              <w:rPr>
                <w:sz w:val="14"/>
              </w:rPr>
            </w:pPr>
            <w:r>
              <w:rPr>
                <w:w w:val="105"/>
                <w:sz w:val="14"/>
              </w:rPr>
              <w:t>2400</w:t>
            </w:r>
          </w:p>
        </w:tc>
        <w:tc>
          <w:tcPr>
            <w:tcW w:w="1666" w:type="dxa"/>
          </w:tcPr>
          <w:p>
            <w:pPr>
              <w:pStyle w:val="TableParagraph"/>
              <w:spacing w:before="101"/>
              <w:ind w:right="284"/>
              <w:jc w:val="right"/>
              <w:rPr>
                <w:sz w:val="14"/>
              </w:rPr>
            </w:pPr>
            <w:r>
              <w:rPr>
                <w:sz w:val="14"/>
              </w:rPr>
              <w:t>0.00</w:t>
            </w:r>
          </w:p>
        </w:tc>
        <w:tc>
          <w:tcPr>
            <w:tcW w:w="1475" w:type="dxa"/>
          </w:tcPr>
          <w:p>
            <w:pPr>
              <w:pStyle w:val="TableParagraph"/>
              <w:spacing w:before="101"/>
              <w:ind w:right="247"/>
              <w:jc w:val="right"/>
              <w:rPr>
                <w:sz w:val="14"/>
              </w:rPr>
            </w:pPr>
            <w:r>
              <w:rPr>
                <w:sz w:val="14"/>
              </w:rPr>
              <w:t>0.00</w:t>
            </w:r>
          </w:p>
        </w:tc>
        <w:tc>
          <w:tcPr>
            <w:tcW w:w="981" w:type="dxa"/>
          </w:tcPr>
          <w:p>
            <w:pPr>
              <w:pStyle w:val="TableParagraph"/>
              <w:rPr>
                <w:rFonts w:ascii="Times New Roman"/>
                <w:sz w:val="14"/>
              </w:rPr>
            </w:pPr>
          </w:p>
        </w:tc>
        <w:tc>
          <w:tcPr>
            <w:tcW w:w="408" w:type="dxa"/>
          </w:tcPr>
          <w:p>
            <w:pPr>
              <w:pStyle w:val="TableParagraph"/>
              <w:spacing w:before="101"/>
              <w:ind w:left="31"/>
              <w:rPr>
                <w:sz w:val="14"/>
              </w:rPr>
            </w:pPr>
            <w:r>
              <w:rPr>
                <w:w w:val="105"/>
                <w:sz w:val="14"/>
              </w:rPr>
              <w:t>0.0%</w:t>
            </w:r>
          </w:p>
        </w:tc>
      </w:tr>
      <w:tr>
        <w:trPr>
          <w:trHeight w:val="370" w:hRule="atLeast"/>
        </w:trPr>
        <w:tc>
          <w:tcPr>
            <w:tcW w:w="3634" w:type="dxa"/>
          </w:tcPr>
          <w:p>
            <w:pPr>
              <w:pStyle w:val="TableParagraph"/>
              <w:spacing w:before="101"/>
              <w:ind w:left="131"/>
              <w:rPr>
                <w:sz w:val="14"/>
              </w:rPr>
            </w:pPr>
            <w:r>
              <w:rPr>
                <w:w w:val="105"/>
                <w:sz w:val="14"/>
              </w:rPr>
              <w:t>Other Classified Salaries</w:t>
            </w:r>
          </w:p>
        </w:tc>
        <w:tc>
          <w:tcPr>
            <w:tcW w:w="1496" w:type="dxa"/>
          </w:tcPr>
          <w:p>
            <w:pPr>
              <w:pStyle w:val="TableParagraph"/>
              <w:rPr>
                <w:rFonts w:ascii="Times New Roman"/>
                <w:sz w:val="14"/>
              </w:rPr>
            </w:pPr>
          </w:p>
        </w:tc>
        <w:tc>
          <w:tcPr>
            <w:tcW w:w="1127" w:type="dxa"/>
          </w:tcPr>
          <w:p>
            <w:pPr>
              <w:pStyle w:val="TableParagraph"/>
              <w:spacing w:before="101"/>
              <w:ind w:left="88" w:right="47"/>
              <w:jc w:val="center"/>
              <w:rPr>
                <w:sz w:val="14"/>
              </w:rPr>
            </w:pPr>
            <w:r>
              <w:rPr>
                <w:w w:val="105"/>
                <w:sz w:val="14"/>
              </w:rPr>
              <w:t>2900</w:t>
            </w:r>
          </w:p>
        </w:tc>
        <w:tc>
          <w:tcPr>
            <w:tcW w:w="1666" w:type="dxa"/>
          </w:tcPr>
          <w:p>
            <w:pPr>
              <w:pStyle w:val="TableParagraph"/>
              <w:spacing w:before="101"/>
              <w:ind w:right="284"/>
              <w:jc w:val="right"/>
              <w:rPr>
                <w:sz w:val="14"/>
              </w:rPr>
            </w:pPr>
            <w:r>
              <w:rPr>
                <w:sz w:val="14"/>
              </w:rPr>
              <w:t>0.00</w:t>
            </w:r>
          </w:p>
        </w:tc>
        <w:tc>
          <w:tcPr>
            <w:tcW w:w="1475" w:type="dxa"/>
          </w:tcPr>
          <w:p>
            <w:pPr>
              <w:pStyle w:val="TableParagraph"/>
              <w:spacing w:before="101"/>
              <w:ind w:right="247"/>
              <w:jc w:val="right"/>
              <w:rPr>
                <w:sz w:val="14"/>
              </w:rPr>
            </w:pPr>
            <w:r>
              <w:rPr>
                <w:sz w:val="14"/>
              </w:rPr>
              <w:t>0.00</w:t>
            </w:r>
          </w:p>
        </w:tc>
        <w:tc>
          <w:tcPr>
            <w:tcW w:w="981" w:type="dxa"/>
          </w:tcPr>
          <w:p>
            <w:pPr>
              <w:pStyle w:val="TableParagraph"/>
              <w:rPr>
                <w:rFonts w:ascii="Times New Roman"/>
                <w:sz w:val="14"/>
              </w:rPr>
            </w:pPr>
          </w:p>
        </w:tc>
        <w:tc>
          <w:tcPr>
            <w:tcW w:w="408" w:type="dxa"/>
          </w:tcPr>
          <w:p>
            <w:pPr>
              <w:pStyle w:val="TableParagraph"/>
              <w:spacing w:before="101"/>
              <w:ind w:left="31"/>
              <w:rPr>
                <w:sz w:val="14"/>
              </w:rPr>
            </w:pPr>
            <w:r>
              <w:rPr>
                <w:w w:val="105"/>
                <w:sz w:val="14"/>
              </w:rPr>
              <w:t>0.0%</w:t>
            </w:r>
          </w:p>
        </w:tc>
      </w:tr>
      <w:tr>
        <w:trPr>
          <w:trHeight w:val="268" w:hRule="atLeast"/>
        </w:trPr>
        <w:tc>
          <w:tcPr>
            <w:tcW w:w="3634" w:type="dxa"/>
          </w:tcPr>
          <w:p>
            <w:pPr>
              <w:pStyle w:val="TableParagraph"/>
              <w:spacing w:line="142" w:lineRule="exact" w:before="107"/>
              <w:ind w:left="131"/>
              <w:rPr>
                <w:sz w:val="14"/>
              </w:rPr>
            </w:pPr>
            <w:r>
              <w:rPr>
                <w:w w:val="105"/>
                <w:sz w:val="14"/>
              </w:rPr>
              <w:t>TOTAL, CLASSIFIED SALARIES</w:t>
            </w:r>
          </w:p>
        </w:tc>
        <w:tc>
          <w:tcPr>
            <w:tcW w:w="1496" w:type="dxa"/>
          </w:tcPr>
          <w:p>
            <w:pPr>
              <w:pStyle w:val="TableParagraph"/>
              <w:rPr>
                <w:rFonts w:ascii="Times New Roman"/>
                <w:sz w:val="14"/>
              </w:rPr>
            </w:pPr>
          </w:p>
        </w:tc>
        <w:tc>
          <w:tcPr>
            <w:tcW w:w="1127" w:type="dxa"/>
          </w:tcPr>
          <w:p>
            <w:pPr>
              <w:pStyle w:val="TableParagraph"/>
              <w:rPr>
                <w:rFonts w:ascii="Times New Roman"/>
                <w:sz w:val="14"/>
              </w:rPr>
            </w:pPr>
          </w:p>
        </w:tc>
        <w:tc>
          <w:tcPr>
            <w:tcW w:w="1666" w:type="dxa"/>
          </w:tcPr>
          <w:p>
            <w:pPr>
              <w:pStyle w:val="TableParagraph"/>
              <w:spacing w:line="142" w:lineRule="exact" w:before="107"/>
              <w:ind w:right="284"/>
              <w:jc w:val="right"/>
              <w:rPr>
                <w:sz w:val="14"/>
              </w:rPr>
            </w:pPr>
            <w:r>
              <w:rPr>
                <w:sz w:val="14"/>
              </w:rPr>
              <w:t>0.00</w:t>
            </w:r>
          </w:p>
        </w:tc>
        <w:tc>
          <w:tcPr>
            <w:tcW w:w="1475" w:type="dxa"/>
          </w:tcPr>
          <w:p>
            <w:pPr>
              <w:pStyle w:val="TableParagraph"/>
              <w:spacing w:line="142" w:lineRule="exact" w:before="107"/>
              <w:ind w:right="247"/>
              <w:jc w:val="right"/>
              <w:rPr>
                <w:sz w:val="14"/>
              </w:rPr>
            </w:pPr>
            <w:r>
              <w:rPr>
                <w:sz w:val="14"/>
              </w:rPr>
              <w:t>0.00</w:t>
            </w:r>
          </w:p>
        </w:tc>
        <w:tc>
          <w:tcPr>
            <w:tcW w:w="981" w:type="dxa"/>
          </w:tcPr>
          <w:p>
            <w:pPr>
              <w:pStyle w:val="TableParagraph"/>
              <w:rPr>
                <w:rFonts w:ascii="Times New Roman"/>
                <w:sz w:val="14"/>
              </w:rPr>
            </w:pPr>
          </w:p>
        </w:tc>
        <w:tc>
          <w:tcPr>
            <w:tcW w:w="408" w:type="dxa"/>
          </w:tcPr>
          <w:p>
            <w:pPr>
              <w:pStyle w:val="TableParagraph"/>
              <w:spacing w:line="142" w:lineRule="exact" w:before="107"/>
              <w:ind w:left="31"/>
              <w:rPr>
                <w:sz w:val="14"/>
              </w:rPr>
            </w:pPr>
            <w:r>
              <w:rPr>
                <w:w w:val="105"/>
                <w:sz w:val="14"/>
              </w:rPr>
              <w:t>0.0%</w:t>
            </w:r>
          </w:p>
        </w:tc>
      </w:tr>
    </w:tbl>
    <w:p>
      <w:pPr>
        <w:pStyle w:val="BodyText"/>
        <w:rPr>
          <w:sz w:val="20"/>
        </w:rPr>
      </w:pPr>
    </w:p>
    <w:p>
      <w:pPr>
        <w:pStyle w:val="BodyText"/>
        <w:rPr>
          <w:sz w:val="20"/>
        </w:rPr>
      </w:pPr>
    </w:p>
    <w:p>
      <w:pPr>
        <w:pStyle w:val="BodyText"/>
        <w:spacing w:before="7"/>
        <w:rPr>
          <w:sz w:val="27"/>
        </w:rPr>
      </w:pPr>
    </w:p>
    <w:tbl>
      <w:tblPr>
        <w:tblW w:w="0" w:type="auto"/>
        <w:jc w:val="left"/>
        <w:tblInd w:w="4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14"/>
        <w:gridCol w:w="2911"/>
        <w:gridCol w:w="1547"/>
        <w:gridCol w:w="1527"/>
        <w:gridCol w:w="1021"/>
      </w:tblGrid>
      <w:tr>
        <w:trPr>
          <w:trHeight w:val="262" w:hRule="atLeast"/>
        </w:trPr>
        <w:tc>
          <w:tcPr>
            <w:tcW w:w="3714" w:type="dxa"/>
          </w:tcPr>
          <w:p>
            <w:pPr>
              <w:pStyle w:val="TableParagraph"/>
              <w:spacing w:line="160" w:lineRule="exact"/>
              <w:ind w:left="50"/>
              <w:rPr>
                <w:sz w:val="14"/>
              </w:rPr>
            </w:pPr>
            <w:r>
              <w:rPr>
                <w:w w:val="105"/>
                <w:sz w:val="14"/>
              </w:rPr>
              <w:t>STRS</w:t>
            </w:r>
          </w:p>
        </w:tc>
        <w:tc>
          <w:tcPr>
            <w:tcW w:w="2911" w:type="dxa"/>
          </w:tcPr>
          <w:p>
            <w:pPr>
              <w:pStyle w:val="TableParagraph"/>
              <w:spacing w:line="160" w:lineRule="exact"/>
              <w:ind w:right="649"/>
              <w:jc w:val="right"/>
              <w:rPr>
                <w:sz w:val="14"/>
              </w:rPr>
            </w:pPr>
            <w:r>
              <w:rPr>
                <w:sz w:val="14"/>
              </w:rPr>
              <w:t>3101-3102</w:t>
            </w:r>
          </w:p>
        </w:tc>
        <w:tc>
          <w:tcPr>
            <w:tcW w:w="1547" w:type="dxa"/>
          </w:tcPr>
          <w:p>
            <w:pPr>
              <w:pStyle w:val="TableParagraph"/>
              <w:spacing w:line="160" w:lineRule="exact"/>
              <w:ind w:left="626" w:right="592"/>
              <w:jc w:val="center"/>
              <w:rPr>
                <w:sz w:val="14"/>
              </w:rPr>
            </w:pPr>
            <w:r>
              <w:rPr>
                <w:w w:val="105"/>
                <w:sz w:val="14"/>
              </w:rPr>
              <w:t>0.00</w:t>
            </w:r>
          </w:p>
        </w:tc>
        <w:tc>
          <w:tcPr>
            <w:tcW w:w="1527" w:type="dxa"/>
          </w:tcPr>
          <w:p>
            <w:pPr>
              <w:pStyle w:val="TableParagraph"/>
              <w:spacing w:line="160" w:lineRule="exact"/>
              <w:ind w:left="592" w:right="605"/>
              <w:jc w:val="center"/>
              <w:rPr>
                <w:sz w:val="14"/>
              </w:rPr>
            </w:pPr>
            <w:r>
              <w:rPr>
                <w:w w:val="105"/>
                <w:sz w:val="14"/>
              </w:rPr>
              <w:t>0.00</w:t>
            </w:r>
          </w:p>
        </w:tc>
        <w:tc>
          <w:tcPr>
            <w:tcW w:w="1021" w:type="dxa"/>
          </w:tcPr>
          <w:p>
            <w:pPr>
              <w:pStyle w:val="TableParagraph"/>
              <w:spacing w:line="160" w:lineRule="exact"/>
              <w:ind w:right="62"/>
              <w:jc w:val="right"/>
              <w:rPr>
                <w:sz w:val="14"/>
              </w:rPr>
            </w:pPr>
            <w:r>
              <w:rPr>
                <w:sz w:val="14"/>
              </w:rPr>
              <w:t>0.0%</w:t>
            </w:r>
          </w:p>
        </w:tc>
      </w:tr>
      <w:tr>
        <w:trPr>
          <w:trHeight w:val="364" w:hRule="atLeast"/>
        </w:trPr>
        <w:tc>
          <w:tcPr>
            <w:tcW w:w="3714" w:type="dxa"/>
          </w:tcPr>
          <w:p>
            <w:pPr>
              <w:pStyle w:val="TableParagraph"/>
              <w:spacing w:before="101"/>
              <w:ind w:left="50"/>
              <w:rPr>
                <w:sz w:val="14"/>
              </w:rPr>
            </w:pPr>
            <w:r>
              <w:rPr>
                <w:w w:val="105"/>
                <w:sz w:val="14"/>
              </w:rPr>
              <w:t>PERS</w:t>
            </w:r>
          </w:p>
        </w:tc>
        <w:tc>
          <w:tcPr>
            <w:tcW w:w="2911" w:type="dxa"/>
          </w:tcPr>
          <w:p>
            <w:pPr>
              <w:pStyle w:val="TableParagraph"/>
              <w:spacing w:before="101"/>
              <w:ind w:right="649"/>
              <w:jc w:val="right"/>
              <w:rPr>
                <w:sz w:val="14"/>
              </w:rPr>
            </w:pPr>
            <w:r>
              <w:rPr>
                <w:sz w:val="14"/>
              </w:rPr>
              <w:t>3201-3202</w:t>
            </w:r>
          </w:p>
        </w:tc>
        <w:tc>
          <w:tcPr>
            <w:tcW w:w="1547" w:type="dxa"/>
          </w:tcPr>
          <w:p>
            <w:pPr>
              <w:pStyle w:val="TableParagraph"/>
              <w:spacing w:before="101"/>
              <w:ind w:left="626" w:right="592"/>
              <w:jc w:val="center"/>
              <w:rPr>
                <w:sz w:val="14"/>
              </w:rPr>
            </w:pPr>
            <w:r>
              <w:rPr>
                <w:w w:val="105"/>
                <w:sz w:val="14"/>
              </w:rPr>
              <w:t>0.00</w:t>
            </w:r>
          </w:p>
        </w:tc>
        <w:tc>
          <w:tcPr>
            <w:tcW w:w="1527" w:type="dxa"/>
          </w:tcPr>
          <w:p>
            <w:pPr>
              <w:pStyle w:val="TableParagraph"/>
              <w:spacing w:before="101"/>
              <w:ind w:left="592" w:right="605"/>
              <w:jc w:val="center"/>
              <w:rPr>
                <w:sz w:val="14"/>
              </w:rPr>
            </w:pPr>
            <w:r>
              <w:rPr>
                <w:w w:val="105"/>
                <w:sz w:val="14"/>
              </w:rPr>
              <w:t>0.00</w:t>
            </w:r>
          </w:p>
        </w:tc>
        <w:tc>
          <w:tcPr>
            <w:tcW w:w="1021" w:type="dxa"/>
          </w:tcPr>
          <w:p>
            <w:pPr>
              <w:pStyle w:val="TableParagraph"/>
              <w:spacing w:before="101"/>
              <w:ind w:right="62"/>
              <w:jc w:val="right"/>
              <w:rPr>
                <w:sz w:val="14"/>
              </w:rPr>
            </w:pPr>
            <w:r>
              <w:rPr>
                <w:sz w:val="14"/>
              </w:rPr>
              <w:t>0.0%</w:t>
            </w:r>
          </w:p>
        </w:tc>
      </w:tr>
      <w:tr>
        <w:trPr>
          <w:trHeight w:val="364" w:hRule="atLeast"/>
        </w:trPr>
        <w:tc>
          <w:tcPr>
            <w:tcW w:w="3714" w:type="dxa"/>
          </w:tcPr>
          <w:p>
            <w:pPr>
              <w:pStyle w:val="TableParagraph"/>
              <w:spacing w:before="101"/>
              <w:ind w:left="50"/>
              <w:rPr>
                <w:sz w:val="14"/>
              </w:rPr>
            </w:pPr>
            <w:r>
              <w:rPr>
                <w:w w:val="105"/>
                <w:sz w:val="14"/>
              </w:rPr>
              <w:t>OASDI/Medicare/Alternative</w:t>
            </w:r>
          </w:p>
        </w:tc>
        <w:tc>
          <w:tcPr>
            <w:tcW w:w="2911" w:type="dxa"/>
          </w:tcPr>
          <w:p>
            <w:pPr>
              <w:pStyle w:val="TableParagraph"/>
              <w:spacing w:before="101"/>
              <w:ind w:right="649"/>
              <w:jc w:val="right"/>
              <w:rPr>
                <w:sz w:val="14"/>
              </w:rPr>
            </w:pPr>
            <w:r>
              <w:rPr>
                <w:sz w:val="14"/>
              </w:rPr>
              <w:t>3301-3302</w:t>
            </w:r>
          </w:p>
        </w:tc>
        <w:tc>
          <w:tcPr>
            <w:tcW w:w="1547" w:type="dxa"/>
          </w:tcPr>
          <w:p>
            <w:pPr>
              <w:pStyle w:val="TableParagraph"/>
              <w:spacing w:before="101"/>
              <w:ind w:left="626" w:right="592"/>
              <w:jc w:val="center"/>
              <w:rPr>
                <w:sz w:val="14"/>
              </w:rPr>
            </w:pPr>
            <w:r>
              <w:rPr>
                <w:w w:val="105"/>
                <w:sz w:val="14"/>
              </w:rPr>
              <w:t>0.00</w:t>
            </w:r>
          </w:p>
        </w:tc>
        <w:tc>
          <w:tcPr>
            <w:tcW w:w="1527" w:type="dxa"/>
          </w:tcPr>
          <w:p>
            <w:pPr>
              <w:pStyle w:val="TableParagraph"/>
              <w:spacing w:before="101"/>
              <w:ind w:left="592" w:right="605"/>
              <w:jc w:val="center"/>
              <w:rPr>
                <w:sz w:val="14"/>
              </w:rPr>
            </w:pPr>
            <w:r>
              <w:rPr>
                <w:w w:val="105"/>
                <w:sz w:val="14"/>
              </w:rPr>
              <w:t>0.00</w:t>
            </w:r>
          </w:p>
        </w:tc>
        <w:tc>
          <w:tcPr>
            <w:tcW w:w="1021" w:type="dxa"/>
          </w:tcPr>
          <w:p>
            <w:pPr>
              <w:pStyle w:val="TableParagraph"/>
              <w:spacing w:before="101"/>
              <w:ind w:right="62"/>
              <w:jc w:val="right"/>
              <w:rPr>
                <w:sz w:val="14"/>
              </w:rPr>
            </w:pPr>
            <w:r>
              <w:rPr>
                <w:sz w:val="14"/>
              </w:rPr>
              <w:t>0.0%</w:t>
            </w:r>
          </w:p>
        </w:tc>
      </w:tr>
      <w:tr>
        <w:trPr>
          <w:trHeight w:val="364" w:hRule="atLeast"/>
        </w:trPr>
        <w:tc>
          <w:tcPr>
            <w:tcW w:w="3714" w:type="dxa"/>
          </w:tcPr>
          <w:p>
            <w:pPr>
              <w:pStyle w:val="TableParagraph"/>
              <w:spacing w:before="101"/>
              <w:ind w:left="50"/>
              <w:rPr>
                <w:sz w:val="14"/>
              </w:rPr>
            </w:pPr>
            <w:r>
              <w:rPr>
                <w:w w:val="105"/>
                <w:sz w:val="14"/>
              </w:rPr>
              <w:t>Health and Welfare Benefits</w:t>
            </w:r>
          </w:p>
        </w:tc>
        <w:tc>
          <w:tcPr>
            <w:tcW w:w="2911" w:type="dxa"/>
          </w:tcPr>
          <w:p>
            <w:pPr>
              <w:pStyle w:val="TableParagraph"/>
              <w:spacing w:before="101"/>
              <w:ind w:right="649"/>
              <w:jc w:val="right"/>
              <w:rPr>
                <w:sz w:val="14"/>
              </w:rPr>
            </w:pPr>
            <w:r>
              <w:rPr>
                <w:sz w:val="14"/>
              </w:rPr>
              <w:t>3401-3402</w:t>
            </w:r>
          </w:p>
        </w:tc>
        <w:tc>
          <w:tcPr>
            <w:tcW w:w="1547" w:type="dxa"/>
          </w:tcPr>
          <w:p>
            <w:pPr>
              <w:pStyle w:val="TableParagraph"/>
              <w:spacing w:before="101"/>
              <w:ind w:left="626" w:right="592"/>
              <w:jc w:val="center"/>
              <w:rPr>
                <w:sz w:val="14"/>
              </w:rPr>
            </w:pPr>
            <w:r>
              <w:rPr>
                <w:w w:val="105"/>
                <w:sz w:val="14"/>
              </w:rPr>
              <w:t>0.00</w:t>
            </w:r>
          </w:p>
        </w:tc>
        <w:tc>
          <w:tcPr>
            <w:tcW w:w="1527" w:type="dxa"/>
          </w:tcPr>
          <w:p>
            <w:pPr>
              <w:pStyle w:val="TableParagraph"/>
              <w:spacing w:before="101"/>
              <w:ind w:left="592" w:right="605"/>
              <w:jc w:val="center"/>
              <w:rPr>
                <w:sz w:val="14"/>
              </w:rPr>
            </w:pPr>
            <w:r>
              <w:rPr>
                <w:w w:val="105"/>
                <w:sz w:val="14"/>
              </w:rPr>
              <w:t>0.00</w:t>
            </w:r>
          </w:p>
        </w:tc>
        <w:tc>
          <w:tcPr>
            <w:tcW w:w="1021" w:type="dxa"/>
          </w:tcPr>
          <w:p>
            <w:pPr>
              <w:pStyle w:val="TableParagraph"/>
              <w:spacing w:before="101"/>
              <w:ind w:right="62"/>
              <w:jc w:val="right"/>
              <w:rPr>
                <w:sz w:val="14"/>
              </w:rPr>
            </w:pPr>
            <w:r>
              <w:rPr>
                <w:sz w:val="14"/>
              </w:rPr>
              <w:t>0.0%</w:t>
            </w:r>
          </w:p>
        </w:tc>
      </w:tr>
      <w:tr>
        <w:trPr>
          <w:trHeight w:val="364" w:hRule="atLeast"/>
        </w:trPr>
        <w:tc>
          <w:tcPr>
            <w:tcW w:w="3714" w:type="dxa"/>
          </w:tcPr>
          <w:p>
            <w:pPr>
              <w:pStyle w:val="TableParagraph"/>
              <w:spacing w:before="101"/>
              <w:ind w:left="50"/>
              <w:rPr>
                <w:sz w:val="14"/>
              </w:rPr>
            </w:pPr>
            <w:r>
              <w:rPr>
                <w:w w:val="105"/>
                <w:sz w:val="14"/>
              </w:rPr>
              <w:t>Unemployment Insurance</w:t>
            </w:r>
          </w:p>
        </w:tc>
        <w:tc>
          <w:tcPr>
            <w:tcW w:w="2911" w:type="dxa"/>
          </w:tcPr>
          <w:p>
            <w:pPr>
              <w:pStyle w:val="TableParagraph"/>
              <w:spacing w:before="101"/>
              <w:ind w:right="649"/>
              <w:jc w:val="right"/>
              <w:rPr>
                <w:sz w:val="14"/>
              </w:rPr>
            </w:pPr>
            <w:r>
              <w:rPr>
                <w:sz w:val="14"/>
              </w:rPr>
              <w:t>3501-3502</w:t>
            </w:r>
          </w:p>
        </w:tc>
        <w:tc>
          <w:tcPr>
            <w:tcW w:w="1547" w:type="dxa"/>
          </w:tcPr>
          <w:p>
            <w:pPr>
              <w:pStyle w:val="TableParagraph"/>
              <w:spacing w:before="101"/>
              <w:ind w:left="626" w:right="592"/>
              <w:jc w:val="center"/>
              <w:rPr>
                <w:sz w:val="14"/>
              </w:rPr>
            </w:pPr>
            <w:r>
              <w:rPr>
                <w:w w:val="105"/>
                <w:sz w:val="14"/>
              </w:rPr>
              <w:t>0.00</w:t>
            </w:r>
          </w:p>
        </w:tc>
        <w:tc>
          <w:tcPr>
            <w:tcW w:w="1527" w:type="dxa"/>
          </w:tcPr>
          <w:p>
            <w:pPr>
              <w:pStyle w:val="TableParagraph"/>
              <w:spacing w:before="101"/>
              <w:ind w:left="592" w:right="605"/>
              <w:jc w:val="center"/>
              <w:rPr>
                <w:sz w:val="14"/>
              </w:rPr>
            </w:pPr>
            <w:r>
              <w:rPr>
                <w:w w:val="105"/>
                <w:sz w:val="14"/>
              </w:rPr>
              <w:t>0.00</w:t>
            </w:r>
          </w:p>
        </w:tc>
        <w:tc>
          <w:tcPr>
            <w:tcW w:w="1021" w:type="dxa"/>
          </w:tcPr>
          <w:p>
            <w:pPr>
              <w:pStyle w:val="TableParagraph"/>
              <w:spacing w:before="101"/>
              <w:ind w:right="62"/>
              <w:jc w:val="right"/>
              <w:rPr>
                <w:sz w:val="14"/>
              </w:rPr>
            </w:pPr>
            <w:r>
              <w:rPr>
                <w:sz w:val="14"/>
              </w:rPr>
              <w:t>0.0%</w:t>
            </w:r>
          </w:p>
        </w:tc>
      </w:tr>
      <w:tr>
        <w:trPr>
          <w:trHeight w:val="364" w:hRule="atLeast"/>
        </w:trPr>
        <w:tc>
          <w:tcPr>
            <w:tcW w:w="3714" w:type="dxa"/>
          </w:tcPr>
          <w:p>
            <w:pPr>
              <w:pStyle w:val="TableParagraph"/>
              <w:spacing w:before="101"/>
              <w:ind w:left="50"/>
              <w:rPr>
                <w:sz w:val="14"/>
              </w:rPr>
            </w:pPr>
            <w:r>
              <w:rPr>
                <w:w w:val="105"/>
                <w:sz w:val="14"/>
              </w:rPr>
              <w:t>Workers' Compensation</w:t>
            </w:r>
          </w:p>
        </w:tc>
        <w:tc>
          <w:tcPr>
            <w:tcW w:w="2911" w:type="dxa"/>
          </w:tcPr>
          <w:p>
            <w:pPr>
              <w:pStyle w:val="TableParagraph"/>
              <w:spacing w:before="101"/>
              <w:ind w:right="649"/>
              <w:jc w:val="right"/>
              <w:rPr>
                <w:sz w:val="14"/>
              </w:rPr>
            </w:pPr>
            <w:r>
              <w:rPr>
                <w:sz w:val="14"/>
              </w:rPr>
              <w:t>3601-3602</w:t>
            </w:r>
          </w:p>
        </w:tc>
        <w:tc>
          <w:tcPr>
            <w:tcW w:w="1547" w:type="dxa"/>
          </w:tcPr>
          <w:p>
            <w:pPr>
              <w:pStyle w:val="TableParagraph"/>
              <w:spacing w:before="101"/>
              <w:ind w:left="626" w:right="592"/>
              <w:jc w:val="center"/>
              <w:rPr>
                <w:sz w:val="14"/>
              </w:rPr>
            </w:pPr>
            <w:r>
              <w:rPr>
                <w:w w:val="105"/>
                <w:sz w:val="14"/>
              </w:rPr>
              <w:t>0.00</w:t>
            </w:r>
          </w:p>
        </w:tc>
        <w:tc>
          <w:tcPr>
            <w:tcW w:w="1527" w:type="dxa"/>
          </w:tcPr>
          <w:p>
            <w:pPr>
              <w:pStyle w:val="TableParagraph"/>
              <w:spacing w:before="101"/>
              <w:ind w:left="592" w:right="605"/>
              <w:jc w:val="center"/>
              <w:rPr>
                <w:sz w:val="14"/>
              </w:rPr>
            </w:pPr>
            <w:r>
              <w:rPr>
                <w:w w:val="105"/>
                <w:sz w:val="14"/>
              </w:rPr>
              <w:t>0.00</w:t>
            </w:r>
          </w:p>
        </w:tc>
        <w:tc>
          <w:tcPr>
            <w:tcW w:w="1021" w:type="dxa"/>
          </w:tcPr>
          <w:p>
            <w:pPr>
              <w:pStyle w:val="TableParagraph"/>
              <w:spacing w:before="101"/>
              <w:ind w:right="62"/>
              <w:jc w:val="right"/>
              <w:rPr>
                <w:sz w:val="14"/>
              </w:rPr>
            </w:pPr>
            <w:r>
              <w:rPr>
                <w:sz w:val="14"/>
              </w:rPr>
              <w:t>0.0%</w:t>
            </w:r>
          </w:p>
        </w:tc>
      </w:tr>
      <w:tr>
        <w:trPr>
          <w:trHeight w:val="364" w:hRule="atLeast"/>
        </w:trPr>
        <w:tc>
          <w:tcPr>
            <w:tcW w:w="3714" w:type="dxa"/>
          </w:tcPr>
          <w:p>
            <w:pPr>
              <w:pStyle w:val="TableParagraph"/>
              <w:spacing w:before="101"/>
              <w:ind w:left="50"/>
              <w:rPr>
                <w:sz w:val="14"/>
              </w:rPr>
            </w:pPr>
            <w:r>
              <w:rPr>
                <w:w w:val="105"/>
                <w:sz w:val="14"/>
              </w:rPr>
              <w:t>OPEB, Allocated</w:t>
            </w:r>
          </w:p>
        </w:tc>
        <w:tc>
          <w:tcPr>
            <w:tcW w:w="2911" w:type="dxa"/>
          </w:tcPr>
          <w:p>
            <w:pPr>
              <w:pStyle w:val="TableParagraph"/>
              <w:spacing w:before="101"/>
              <w:ind w:right="649"/>
              <w:jc w:val="right"/>
              <w:rPr>
                <w:sz w:val="14"/>
              </w:rPr>
            </w:pPr>
            <w:r>
              <w:rPr>
                <w:sz w:val="14"/>
              </w:rPr>
              <w:t>3701-3702</w:t>
            </w:r>
          </w:p>
        </w:tc>
        <w:tc>
          <w:tcPr>
            <w:tcW w:w="1547" w:type="dxa"/>
          </w:tcPr>
          <w:p>
            <w:pPr>
              <w:pStyle w:val="TableParagraph"/>
              <w:spacing w:before="101"/>
              <w:ind w:left="626" w:right="592"/>
              <w:jc w:val="center"/>
              <w:rPr>
                <w:sz w:val="14"/>
              </w:rPr>
            </w:pPr>
            <w:r>
              <w:rPr>
                <w:w w:val="105"/>
                <w:sz w:val="14"/>
              </w:rPr>
              <w:t>0.00</w:t>
            </w:r>
          </w:p>
        </w:tc>
        <w:tc>
          <w:tcPr>
            <w:tcW w:w="1527" w:type="dxa"/>
          </w:tcPr>
          <w:p>
            <w:pPr>
              <w:pStyle w:val="TableParagraph"/>
              <w:spacing w:before="101"/>
              <w:ind w:left="592" w:right="605"/>
              <w:jc w:val="center"/>
              <w:rPr>
                <w:sz w:val="14"/>
              </w:rPr>
            </w:pPr>
            <w:r>
              <w:rPr>
                <w:w w:val="105"/>
                <w:sz w:val="14"/>
              </w:rPr>
              <w:t>0.00</w:t>
            </w:r>
          </w:p>
        </w:tc>
        <w:tc>
          <w:tcPr>
            <w:tcW w:w="1021" w:type="dxa"/>
          </w:tcPr>
          <w:p>
            <w:pPr>
              <w:pStyle w:val="TableParagraph"/>
              <w:spacing w:before="101"/>
              <w:ind w:right="62"/>
              <w:jc w:val="right"/>
              <w:rPr>
                <w:sz w:val="14"/>
              </w:rPr>
            </w:pPr>
            <w:r>
              <w:rPr>
                <w:sz w:val="14"/>
              </w:rPr>
              <w:t>0.0%</w:t>
            </w:r>
          </w:p>
        </w:tc>
      </w:tr>
      <w:tr>
        <w:trPr>
          <w:trHeight w:val="364" w:hRule="atLeast"/>
        </w:trPr>
        <w:tc>
          <w:tcPr>
            <w:tcW w:w="3714" w:type="dxa"/>
          </w:tcPr>
          <w:p>
            <w:pPr>
              <w:pStyle w:val="TableParagraph"/>
              <w:spacing w:before="101"/>
              <w:ind w:left="50"/>
              <w:rPr>
                <w:sz w:val="14"/>
              </w:rPr>
            </w:pPr>
            <w:r>
              <w:rPr>
                <w:w w:val="105"/>
                <w:sz w:val="14"/>
              </w:rPr>
              <w:t>OPEB, Active Employees</w:t>
            </w:r>
          </w:p>
        </w:tc>
        <w:tc>
          <w:tcPr>
            <w:tcW w:w="2911" w:type="dxa"/>
          </w:tcPr>
          <w:p>
            <w:pPr>
              <w:pStyle w:val="TableParagraph"/>
              <w:spacing w:before="101"/>
              <w:ind w:right="649"/>
              <w:jc w:val="right"/>
              <w:rPr>
                <w:sz w:val="14"/>
              </w:rPr>
            </w:pPr>
            <w:r>
              <w:rPr>
                <w:sz w:val="14"/>
              </w:rPr>
              <w:t>3751-3752</w:t>
            </w:r>
          </w:p>
        </w:tc>
        <w:tc>
          <w:tcPr>
            <w:tcW w:w="1547" w:type="dxa"/>
          </w:tcPr>
          <w:p>
            <w:pPr>
              <w:pStyle w:val="TableParagraph"/>
              <w:spacing w:before="101"/>
              <w:ind w:left="626" w:right="592"/>
              <w:jc w:val="center"/>
              <w:rPr>
                <w:sz w:val="14"/>
              </w:rPr>
            </w:pPr>
            <w:r>
              <w:rPr>
                <w:w w:val="105"/>
                <w:sz w:val="14"/>
              </w:rPr>
              <w:t>0.00</w:t>
            </w:r>
          </w:p>
        </w:tc>
        <w:tc>
          <w:tcPr>
            <w:tcW w:w="1527" w:type="dxa"/>
          </w:tcPr>
          <w:p>
            <w:pPr>
              <w:pStyle w:val="TableParagraph"/>
              <w:spacing w:before="101"/>
              <w:ind w:left="592" w:right="605"/>
              <w:jc w:val="center"/>
              <w:rPr>
                <w:sz w:val="14"/>
              </w:rPr>
            </w:pPr>
            <w:r>
              <w:rPr>
                <w:w w:val="105"/>
                <w:sz w:val="14"/>
              </w:rPr>
              <w:t>0.00</w:t>
            </w:r>
          </w:p>
        </w:tc>
        <w:tc>
          <w:tcPr>
            <w:tcW w:w="1021" w:type="dxa"/>
          </w:tcPr>
          <w:p>
            <w:pPr>
              <w:pStyle w:val="TableParagraph"/>
              <w:spacing w:before="101"/>
              <w:ind w:right="62"/>
              <w:jc w:val="right"/>
              <w:rPr>
                <w:sz w:val="14"/>
              </w:rPr>
            </w:pPr>
            <w:r>
              <w:rPr>
                <w:sz w:val="14"/>
              </w:rPr>
              <w:t>0.0%</w:t>
            </w:r>
          </w:p>
        </w:tc>
      </w:tr>
      <w:tr>
        <w:trPr>
          <w:trHeight w:val="370" w:hRule="atLeast"/>
        </w:trPr>
        <w:tc>
          <w:tcPr>
            <w:tcW w:w="3714" w:type="dxa"/>
          </w:tcPr>
          <w:p>
            <w:pPr>
              <w:pStyle w:val="TableParagraph"/>
              <w:spacing w:before="101"/>
              <w:ind w:left="50"/>
              <w:rPr>
                <w:sz w:val="14"/>
              </w:rPr>
            </w:pPr>
            <w:r>
              <w:rPr>
                <w:w w:val="105"/>
                <w:sz w:val="14"/>
              </w:rPr>
              <w:t>Other Employee Benefits</w:t>
            </w:r>
          </w:p>
        </w:tc>
        <w:tc>
          <w:tcPr>
            <w:tcW w:w="2911" w:type="dxa"/>
          </w:tcPr>
          <w:p>
            <w:pPr>
              <w:pStyle w:val="TableParagraph"/>
              <w:spacing w:before="101"/>
              <w:ind w:right="649"/>
              <w:jc w:val="right"/>
              <w:rPr>
                <w:sz w:val="14"/>
              </w:rPr>
            </w:pPr>
            <w:r>
              <w:rPr>
                <w:sz w:val="14"/>
              </w:rPr>
              <w:t>3901-3902</w:t>
            </w:r>
          </w:p>
        </w:tc>
        <w:tc>
          <w:tcPr>
            <w:tcW w:w="1547" w:type="dxa"/>
          </w:tcPr>
          <w:p>
            <w:pPr>
              <w:pStyle w:val="TableParagraph"/>
              <w:spacing w:before="101"/>
              <w:ind w:left="626" w:right="592"/>
              <w:jc w:val="center"/>
              <w:rPr>
                <w:sz w:val="14"/>
              </w:rPr>
            </w:pPr>
            <w:r>
              <w:rPr>
                <w:w w:val="105"/>
                <w:sz w:val="14"/>
              </w:rPr>
              <w:t>0.00</w:t>
            </w:r>
          </w:p>
        </w:tc>
        <w:tc>
          <w:tcPr>
            <w:tcW w:w="1527" w:type="dxa"/>
          </w:tcPr>
          <w:p>
            <w:pPr>
              <w:pStyle w:val="TableParagraph"/>
              <w:spacing w:before="101"/>
              <w:ind w:left="592" w:right="605"/>
              <w:jc w:val="center"/>
              <w:rPr>
                <w:sz w:val="14"/>
              </w:rPr>
            </w:pPr>
            <w:r>
              <w:rPr>
                <w:w w:val="105"/>
                <w:sz w:val="14"/>
              </w:rPr>
              <w:t>0.00</w:t>
            </w:r>
          </w:p>
        </w:tc>
        <w:tc>
          <w:tcPr>
            <w:tcW w:w="1021" w:type="dxa"/>
          </w:tcPr>
          <w:p>
            <w:pPr>
              <w:pStyle w:val="TableParagraph"/>
              <w:spacing w:before="101"/>
              <w:ind w:right="62"/>
              <w:jc w:val="right"/>
              <w:rPr>
                <w:sz w:val="14"/>
              </w:rPr>
            </w:pPr>
            <w:r>
              <w:rPr>
                <w:sz w:val="14"/>
              </w:rPr>
              <w:t>0.0%</w:t>
            </w:r>
          </w:p>
        </w:tc>
      </w:tr>
      <w:tr>
        <w:trPr>
          <w:trHeight w:val="268" w:hRule="atLeast"/>
        </w:trPr>
        <w:tc>
          <w:tcPr>
            <w:tcW w:w="3714" w:type="dxa"/>
          </w:tcPr>
          <w:p>
            <w:pPr>
              <w:pStyle w:val="TableParagraph"/>
              <w:spacing w:line="142" w:lineRule="exact" w:before="107"/>
              <w:ind w:left="50"/>
              <w:rPr>
                <w:sz w:val="14"/>
              </w:rPr>
            </w:pPr>
            <w:r>
              <w:rPr>
                <w:w w:val="105"/>
                <w:sz w:val="14"/>
              </w:rPr>
              <w:t>TOTAL, EMPLOYEE BENEFITS</w:t>
            </w:r>
          </w:p>
        </w:tc>
        <w:tc>
          <w:tcPr>
            <w:tcW w:w="2911" w:type="dxa"/>
          </w:tcPr>
          <w:p>
            <w:pPr>
              <w:pStyle w:val="TableParagraph"/>
              <w:rPr>
                <w:rFonts w:ascii="Times New Roman"/>
                <w:sz w:val="14"/>
              </w:rPr>
            </w:pPr>
          </w:p>
        </w:tc>
        <w:tc>
          <w:tcPr>
            <w:tcW w:w="1547" w:type="dxa"/>
          </w:tcPr>
          <w:p>
            <w:pPr>
              <w:pStyle w:val="TableParagraph"/>
              <w:spacing w:line="142" w:lineRule="exact" w:before="107"/>
              <w:ind w:left="626" w:right="592"/>
              <w:jc w:val="center"/>
              <w:rPr>
                <w:sz w:val="14"/>
              </w:rPr>
            </w:pPr>
            <w:r>
              <w:rPr>
                <w:w w:val="105"/>
                <w:sz w:val="14"/>
              </w:rPr>
              <w:t>0.00</w:t>
            </w:r>
          </w:p>
        </w:tc>
        <w:tc>
          <w:tcPr>
            <w:tcW w:w="1527" w:type="dxa"/>
          </w:tcPr>
          <w:p>
            <w:pPr>
              <w:pStyle w:val="TableParagraph"/>
              <w:spacing w:line="142" w:lineRule="exact" w:before="107"/>
              <w:ind w:left="592" w:right="605"/>
              <w:jc w:val="center"/>
              <w:rPr>
                <w:sz w:val="14"/>
              </w:rPr>
            </w:pPr>
            <w:r>
              <w:rPr>
                <w:w w:val="105"/>
                <w:sz w:val="14"/>
              </w:rPr>
              <w:t>0.00</w:t>
            </w:r>
          </w:p>
        </w:tc>
        <w:tc>
          <w:tcPr>
            <w:tcW w:w="1021" w:type="dxa"/>
          </w:tcPr>
          <w:p>
            <w:pPr>
              <w:pStyle w:val="TableParagraph"/>
              <w:spacing w:line="142" w:lineRule="exact" w:before="107"/>
              <w:ind w:right="62"/>
              <w:jc w:val="right"/>
              <w:rPr>
                <w:sz w:val="14"/>
              </w:rPr>
            </w:pPr>
            <w:r>
              <w:rPr>
                <w:sz w:val="14"/>
              </w:rPr>
              <w:t>0.0%</w:t>
            </w:r>
          </w:p>
        </w:tc>
      </w:tr>
    </w:tbl>
    <w:p>
      <w:pPr>
        <w:pStyle w:val="BodyText"/>
        <w:rPr>
          <w:sz w:val="20"/>
        </w:rPr>
      </w:pPr>
    </w:p>
    <w:p>
      <w:pPr>
        <w:pStyle w:val="BodyText"/>
        <w:rPr>
          <w:sz w:val="20"/>
        </w:rPr>
      </w:pPr>
    </w:p>
    <w:p>
      <w:pPr>
        <w:pStyle w:val="BodyText"/>
        <w:spacing w:before="7"/>
        <w:rPr>
          <w:sz w:val="27"/>
        </w:rPr>
      </w:pPr>
    </w:p>
    <w:tbl>
      <w:tblPr>
        <w:tblW w:w="0" w:type="auto"/>
        <w:jc w:val="left"/>
        <w:tblInd w:w="4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961"/>
        <w:gridCol w:w="2572"/>
        <w:gridCol w:w="1637"/>
        <w:gridCol w:w="1525"/>
        <w:gridCol w:w="1019"/>
      </w:tblGrid>
      <w:tr>
        <w:trPr>
          <w:trHeight w:val="262" w:hRule="atLeast"/>
        </w:trPr>
        <w:tc>
          <w:tcPr>
            <w:tcW w:w="3961" w:type="dxa"/>
          </w:tcPr>
          <w:p>
            <w:pPr>
              <w:pStyle w:val="TableParagraph"/>
              <w:spacing w:line="160" w:lineRule="exact"/>
              <w:ind w:left="50"/>
              <w:rPr>
                <w:sz w:val="14"/>
              </w:rPr>
            </w:pPr>
            <w:r>
              <w:rPr>
                <w:w w:val="105"/>
                <w:sz w:val="14"/>
              </w:rPr>
              <w:t>Books and Other Reference Materials</w:t>
            </w:r>
          </w:p>
        </w:tc>
        <w:tc>
          <w:tcPr>
            <w:tcW w:w="2572" w:type="dxa"/>
          </w:tcPr>
          <w:p>
            <w:pPr>
              <w:pStyle w:val="TableParagraph"/>
              <w:spacing w:line="160" w:lineRule="exact"/>
              <w:ind w:right="739"/>
              <w:jc w:val="right"/>
              <w:rPr>
                <w:sz w:val="14"/>
              </w:rPr>
            </w:pPr>
            <w:r>
              <w:rPr>
                <w:sz w:val="14"/>
              </w:rPr>
              <w:t>4200</w:t>
            </w:r>
          </w:p>
        </w:tc>
        <w:tc>
          <w:tcPr>
            <w:tcW w:w="1637" w:type="dxa"/>
          </w:tcPr>
          <w:p>
            <w:pPr>
              <w:pStyle w:val="TableParagraph"/>
              <w:spacing w:line="160" w:lineRule="exact"/>
              <w:ind w:right="612"/>
              <w:jc w:val="right"/>
              <w:rPr>
                <w:sz w:val="14"/>
              </w:rPr>
            </w:pPr>
            <w:r>
              <w:rPr>
                <w:sz w:val="14"/>
              </w:rPr>
              <w:t>0.00</w:t>
            </w:r>
          </w:p>
        </w:tc>
        <w:tc>
          <w:tcPr>
            <w:tcW w:w="1525" w:type="dxa"/>
          </w:tcPr>
          <w:p>
            <w:pPr>
              <w:pStyle w:val="TableParagraph"/>
              <w:spacing w:line="160" w:lineRule="exact"/>
              <w:ind w:left="595" w:right="602"/>
              <w:jc w:val="center"/>
              <w:rPr>
                <w:sz w:val="14"/>
              </w:rPr>
            </w:pPr>
            <w:r>
              <w:rPr>
                <w:w w:val="105"/>
                <w:sz w:val="14"/>
              </w:rPr>
              <w:t>0.00</w:t>
            </w:r>
          </w:p>
        </w:tc>
        <w:tc>
          <w:tcPr>
            <w:tcW w:w="1019" w:type="dxa"/>
          </w:tcPr>
          <w:p>
            <w:pPr>
              <w:pStyle w:val="TableParagraph"/>
              <w:spacing w:line="160" w:lineRule="exact"/>
              <w:ind w:right="56"/>
              <w:jc w:val="right"/>
              <w:rPr>
                <w:sz w:val="14"/>
              </w:rPr>
            </w:pPr>
            <w:r>
              <w:rPr>
                <w:sz w:val="14"/>
              </w:rPr>
              <w:t>0.0%</w:t>
            </w:r>
          </w:p>
        </w:tc>
      </w:tr>
      <w:tr>
        <w:trPr>
          <w:trHeight w:val="364" w:hRule="atLeast"/>
        </w:trPr>
        <w:tc>
          <w:tcPr>
            <w:tcW w:w="3961" w:type="dxa"/>
          </w:tcPr>
          <w:p>
            <w:pPr>
              <w:pStyle w:val="TableParagraph"/>
              <w:spacing w:before="101"/>
              <w:ind w:left="50"/>
              <w:rPr>
                <w:sz w:val="14"/>
              </w:rPr>
            </w:pPr>
            <w:r>
              <w:rPr>
                <w:w w:val="105"/>
                <w:sz w:val="14"/>
              </w:rPr>
              <w:t>Materials and Supplies</w:t>
            </w:r>
          </w:p>
        </w:tc>
        <w:tc>
          <w:tcPr>
            <w:tcW w:w="2572" w:type="dxa"/>
          </w:tcPr>
          <w:p>
            <w:pPr>
              <w:pStyle w:val="TableParagraph"/>
              <w:spacing w:before="101"/>
              <w:ind w:right="739"/>
              <w:jc w:val="right"/>
              <w:rPr>
                <w:sz w:val="14"/>
              </w:rPr>
            </w:pPr>
            <w:r>
              <w:rPr>
                <w:sz w:val="14"/>
              </w:rPr>
              <w:t>4300</w:t>
            </w:r>
          </w:p>
        </w:tc>
        <w:tc>
          <w:tcPr>
            <w:tcW w:w="1637" w:type="dxa"/>
          </w:tcPr>
          <w:p>
            <w:pPr>
              <w:pStyle w:val="TableParagraph"/>
              <w:spacing w:before="101"/>
              <w:ind w:right="612"/>
              <w:jc w:val="right"/>
              <w:rPr>
                <w:sz w:val="14"/>
              </w:rPr>
            </w:pPr>
            <w:r>
              <w:rPr>
                <w:sz w:val="14"/>
              </w:rPr>
              <w:t>0.00</w:t>
            </w:r>
          </w:p>
        </w:tc>
        <w:tc>
          <w:tcPr>
            <w:tcW w:w="1525" w:type="dxa"/>
          </w:tcPr>
          <w:p>
            <w:pPr>
              <w:pStyle w:val="TableParagraph"/>
              <w:spacing w:before="101"/>
              <w:ind w:left="595" w:right="602"/>
              <w:jc w:val="center"/>
              <w:rPr>
                <w:sz w:val="14"/>
              </w:rPr>
            </w:pPr>
            <w:r>
              <w:rPr>
                <w:w w:val="105"/>
                <w:sz w:val="14"/>
              </w:rPr>
              <w:t>0.00</w:t>
            </w:r>
          </w:p>
        </w:tc>
        <w:tc>
          <w:tcPr>
            <w:tcW w:w="1019" w:type="dxa"/>
          </w:tcPr>
          <w:p>
            <w:pPr>
              <w:pStyle w:val="TableParagraph"/>
              <w:spacing w:before="101"/>
              <w:ind w:right="56"/>
              <w:jc w:val="right"/>
              <w:rPr>
                <w:sz w:val="14"/>
              </w:rPr>
            </w:pPr>
            <w:r>
              <w:rPr>
                <w:sz w:val="14"/>
              </w:rPr>
              <w:t>0.0%</w:t>
            </w:r>
          </w:p>
        </w:tc>
      </w:tr>
      <w:tr>
        <w:trPr>
          <w:trHeight w:val="370" w:hRule="atLeast"/>
        </w:trPr>
        <w:tc>
          <w:tcPr>
            <w:tcW w:w="3961" w:type="dxa"/>
          </w:tcPr>
          <w:p>
            <w:pPr>
              <w:pStyle w:val="TableParagraph"/>
              <w:spacing w:before="101"/>
              <w:ind w:left="50"/>
              <w:rPr>
                <w:sz w:val="14"/>
              </w:rPr>
            </w:pPr>
            <w:r>
              <w:rPr>
                <w:w w:val="105"/>
                <w:sz w:val="14"/>
              </w:rPr>
              <w:t>Noncapitalized Equipment</w:t>
            </w:r>
          </w:p>
        </w:tc>
        <w:tc>
          <w:tcPr>
            <w:tcW w:w="2572" w:type="dxa"/>
          </w:tcPr>
          <w:p>
            <w:pPr>
              <w:pStyle w:val="TableParagraph"/>
              <w:spacing w:before="101"/>
              <w:ind w:right="739"/>
              <w:jc w:val="right"/>
              <w:rPr>
                <w:sz w:val="14"/>
              </w:rPr>
            </w:pPr>
            <w:r>
              <w:rPr>
                <w:sz w:val="14"/>
              </w:rPr>
              <w:t>4400</w:t>
            </w:r>
          </w:p>
        </w:tc>
        <w:tc>
          <w:tcPr>
            <w:tcW w:w="1637" w:type="dxa"/>
          </w:tcPr>
          <w:p>
            <w:pPr>
              <w:pStyle w:val="TableParagraph"/>
              <w:spacing w:before="101"/>
              <w:ind w:right="612"/>
              <w:jc w:val="right"/>
              <w:rPr>
                <w:sz w:val="14"/>
              </w:rPr>
            </w:pPr>
            <w:r>
              <w:rPr>
                <w:sz w:val="14"/>
              </w:rPr>
              <w:t>0.00</w:t>
            </w:r>
          </w:p>
        </w:tc>
        <w:tc>
          <w:tcPr>
            <w:tcW w:w="1525" w:type="dxa"/>
          </w:tcPr>
          <w:p>
            <w:pPr>
              <w:pStyle w:val="TableParagraph"/>
              <w:spacing w:before="101"/>
              <w:ind w:left="595" w:right="602"/>
              <w:jc w:val="center"/>
              <w:rPr>
                <w:sz w:val="14"/>
              </w:rPr>
            </w:pPr>
            <w:r>
              <w:rPr>
                <w:w w:val="105"/>
                <w:sz w:val="14"/>
              </w:rPr>
              <w:t>0.00</w:t>
            </w:r>
          </w:p>
        </w:tc>
        <w:tc>
          <w:tcPr>
            <w:tcW w:w="1019" w:type="dxa"/>
          </w:tcPr>
          <w:p>
            <w:pPr>
              <w:pStyle w:val="TableParagraph"/>
              <w:spacing w:before="101"/>
              <w:ind w:right="56"/>
              <w:jc w:val="right"/>
              <w:rPr>
                <w:sz w:val="14"/>
              </w:rPr>
            </w:pPr>
            <w:r>
              <w:rPr>
                <w:sz w:val="14"/>
              </w:rPr>
              <w:t>0.0%</w:t>
            </w:r>
          </w:p>
        </w:tc>
      </w:tr>
      <w:tr>
        <w:trPr>
          <w:trHeight w:val="268" w:hRule="atLeast"/>
        </w:trPr>
        <w:tc>
          <w:tcPr>
            <w:tcW w:w="3961" w:type="dxa"/>
          </w:tcPr>
          <w:p>
            <w:pPr>
              <w:pStyle w:val="TableParagraph"/>
              <w:spacing w:line="142" w:lineRule="exact" w:before="107"/>
              <w:ind w:left="50"/>
              <w:rPr>
                <w:sz w:val="14"/>
              </w:rPr>
            </w:pPr>
            <w:r>
              <w:rPr>
                <w:w w:val="105"/>
                <w:sz w:val="14"/>
              </w:rPr>
              <w:t>TOTAL, BOOKS AND SUPPLIES</w:t>
            </w:r>
          </w:p>
        </w:tc>
        <w:tc>
          <w:tcPr>
            <w:tcW w:w="2572" w:type="dxa"/>
          </w:tcPr>
          <w:p>
            <w:pPr>
              <w:pStyle w:val="TableParagraph"/>
              <w:rPr>
                <w:rFonts w:ascii="Times New Roman"/>
                <w:sz w:val="14"/>
              </w:rPr>
            </w:pPr>
          </w:p>
        </w:tc>
        <w:tc>
          <w:tcPr>
            <w:tcW w:w="1637" w:type="dxa"/>
          </w:tcPr>
          <w:p>
            <w:pPr>
              <w:pStyle w:val="TableParagraph"/>
              <w:spacing w:line="142" w:lineRule="exact" w:before="107"/>
              <w:ind w:right="612"/>
              <w:jc w:val="right"/>
              <w:rPr>
                <w:sz w:val="14"/>
              </w:rPr>
            </w:pPr>
            <w:r>
              <w:rPr>
                <w:sz w:val="14"/>
              </w:rPr>
              <w:t>0.00</w:t>
            </w:r>
          </w:p>
        </w:tc>
        <w:tc>
          <w:tcPr>
            <w:tcW w:w="1525" w:type="dxa"/>
          </w:tcPr>
          <w:p>
            <w:pPr>
              <w:pStyle w:val="TableParagraph"/>
              <w:spacing w:line="142" w:lineRule="exact" w:before="107"/>
              <w:ind w:left="595" w:right="602"/>
              <w:jc w:val="center"/>
              <w:rPr>
                <w:sz w:val="14"/>
              </w:rPr>
            </w:pPr>
            <w:r>
              <w:rPr>
                <w:w w:val="105"/>
                <w:sz w:val="14"/>
              </w:rPr>
              <w:t>0.00</w:t>
            </w:r>
          </w:p>
        </w:tc>
        <w:tc>
          <w:tcPr>
            <w:tcW w:w="1019" w:type="dxa"/>
          </w:tcPr>
          <w:p>
            <w:pPr>
              <w:pStyle w:val="TableParagraph"/>
              <w:spacing w:line="142" w:lineRule="exact" w:before="107"/>
              <w:ind w:right="56"/>
              <w:jc w:val="right"/>
              <w:rPr>
                <w:sz w:val="14"/>
              </w:rPr>
            </w:pPr>
            <w:r>
              <w:rPr>
                <w:sz w:val="14"/>
              </w:rPr>
              <w:t>0.0%</w:t>
            </w:r>
          </w:p>
        </w:tc>
      </w:tr>
    </w:tbl>
    <w:p>
      <w:pPr>
        <w:spacing w:after="0" w:line="142" w:lineRule="exact"/>
        <w:jc w:val="right"/>
        <w:rPr>
          <w:sz w:val="14"/>
        </w:rPr>
        <w:sectPr>
          <w:type w:val="continuous"/>
          <w:pgSz w:w="12240" w:h="15840"/>
          <w:pgMar w:top="1500" w:bottom="840" w:left="160" w:right="180"/>
        </w:sectPr>
      </w:pPr>
    </w:p>
    <w:p>
      <w:pPr>
        <w:spacing w:line="232" w:lineRule="auto" w:before="1"/>
        <w:ind w:left="308" w:right="0" w:firstLine="0"/>
        <w:jc w:val="left"/>
        <w:rPr>
          <w:sz w:val="18"/>
        </w:rPr>
      </w:pPr>
      <w:r>
        <w:rPr/>
        <w:pict>
          <v:group style="position:absolute;margin-left:24.719999pt;margin-top:36.318634pt;width:538pt;height:252.25pt;mso-position-horizontal-relative:page;mso-position-vertical-relative:paragraph;z-index:-314213376" coordorigin="494,726" coordsize="10760,5045">
            <v:shape style="position:absolute;left:494;top:726;width:3646;height:790" type="#_x0000_t75" stroked="false">
              <v:imagedata r:id="rId406" o:title=""/>
            </v:shape>
            <v:shape style="position:absolute;left:4132;top:726;width:7121;height:790" type="#_x0000_t75" stroked="false">
              <v:imagedata r:id="rId407" o:title=""/>
            </v:shape>
            <v:shape style="position:absolute;left:494;top:1501;width:5220;height:380" type="#_x0000_t75" stroked="false">
              <v:imagedata r:id="rId628" o:title=""/>
            </v:shape>
            <v:shape style="position:absolute;left:5707;top:1501;width:5547;height:778" type="#_x0000_t75" stroked="false">
              <v:imagedata r:id="rId629" o:title=""/>
            </v:shape>
            <v:shape style="position:absolute;left:494;top:1878;width:5220;height:3893" type="#_x0000_t75" stroked="false">
              <v:imagedata r:id="rId880" o:title=""/>
            </v:shape>
            <v:shape style="position:absolute;left:530;top:1340;width:811;height:161" type="#_x0000_t202" filled="false" stroked="false">
              <v:textbox inset="0,0,0,0">
                <w:txbxContent>
                  <w:p>
                    <w:pPr>
                      <w:spacing w:line="160" w:lineRule="exact" w:before="0"/>
                      <w:ind w:left="0" w:right="0" w:firstLine="0"/>
                      <w:jc w:val="left"/>
                      <w:rPr>
                        <w:b/>
                        <w:sz w:val="14"/>
                      </w:rPr>
                    </w:pPr>
                    <w:r>
                      <w:rPr>
                        <w:b/>
                        <w:sz w:val="14"/>
                      </w:rPr>
                      <w:t>Description</w:t>
                    </w:r>
                  </w:p>
                </w:txbxContent>
              </v:textbox>
              <w10:wrap type="none"/>
            </v:shape>
            <v:shape style="position:absolute;left:4358;top:1172;width:3722;height:329" type="#_x0000_t202" filled="false" stroked="false">
              <v:textbox inset="0,0,0,0">
                <w:txbxContent>
                  <w:p>
                    <w:pPr>
                      <w:spacing w:line="160" w:lineRule="exact" w:before="0"/>
                      <w:ind w:left="2820" w:right="0" w:firstLine="0"/>
                      <w:jc w:val="left"/>
                      <w:rPr>
                        <w:b/>
                        <w:sz w:val="14"/>
                      </w:rPr>
                    </w:pPr>
                    <w:r>
                      <w:rPr>
                        <w:b/>
                        <w:w w:val="105"/>
                        <w:sz w:val="14"/>
                      </w:rPr>
                      <w:t>2020-21</w:t>
                    </w:r>
                  </w:p>
                  <w:p>
                    <w:pPr>
                      <w:tabs>
                        <w:tab w:pos="1372" w:val="left" w:leader="none"/>
                      </w:tabs>
                      <w:spacing w:before="7"/>
                      <w:ind w:left="0" w:right="0" w:firstLine="0"/>
                      <w:jc w:val="left"/>
                      <w:rPr>
                        <w:b/>
                        <w:sz w:val="14"/>
                      </w:rPr>
                    </w:pPr>
                    <w:r>
                      <w:rPr>
                        <w:b/>
                        <w:w w:val="105"/>
                        <w:sz w:val="14"/>
                      </w:rPr>
                      <w:t>Resource</w:t>
                    </w:r>
                    <w:r>
                      <w:rPr>
                        <w:b/>
                        <w:spacing w:val="-12"/>
                        <w:w w:val="105"/>
                        <w:sz w:val="14"/>
                      </w:rPr>
                      <w:t> </w:t>
                    </w:r>
                    <w:r>
                      <w:rPr>
                        <w:b/>
                        <w:w w:val="105"/>
                        <w:sz w:val="14"/>
                      </w:rPr>
                      <w:t>Codes</w:t>
                      <w:tab/>
                      <w:t>Object Codes Estimated</w:t>
                    </w:r>
                    <w:r>
                      <w:rPr>
                        <w:b/>
                        <w:spacing w:val="-15"/>
                        <w:w w:val="105"/>
                        <w:sz w:val="14"/>
                      </w:rPr>
                      <w:t> </w:t>
                    </w:r>
                    <w:r>
                      <w:rPr>
                        <w:b/>
                        <w:w w:val="105"/>
                        <w:sz w:val="14"/>
                      </w:rPr>
                      <w:t>Actuals</w:t>
                    </w:r>
                  </w:p>
                </w:txbxContent>
              </v:textbox>
              <w10:wrap type="none"/>
            </v:shape>
            <v:shape style="position:absolute;left:8690;top:1172;width:545;height:329" type="#_x0000_t202" filled="false" stroked="false">
              <v:textbox inset="0,0,0,0">
                <w:txbxContent>
                  <w:p>
                    <w:pPr>
                      <w:spacing w:line="160" w:lineRule="exact" w:before="0"/>
                      <w:ind w:left="0" w:right="0" w:firstLine="0"/>
                      <w:jc w:val="left"/>
                      <w:rPr>
                        <w:b/>
                        <w:sz w:val="14"/>
                      </w:rPr>
                    </w:pPr>
                    <w:r>
                      <w:rPr>
                        <w:b/>
                        <w:sz w:val="14"/>
                      </w:rPr>
                      <w:t>2021-22</w:t>
                    </w:r>
                  </w:p>
                  <w:p>
                    <w:pPr>
                      <w:spacing w:before="7"/>
                      <w:ind w:left="11" w:right="0" w:firstLine="0"/>
                      <w:jc w:val="left"/>
                      <w:rPr>
                        <w:b/>
                        <w:sz w:val="14"/>
                      </w:rPr>
                    </w:pPr>
                    <w:r>
                      <w:rPr>
                        <w:b/>
                        <w:w w:val="105"/>
                        <w:sz w:val="14"/>
                      </w:rPr>
                      <w:t>Budget</w:t>
                    </w:r>
                  </w:p>
                </w:txbxContent>
              </v:textbox>
              <w10:wrap type="none"/>
            </v:shape>
            <v:shape style="position:absolute;left:10128;top:1172;width:721;height:329" type="#_x0000_t202" filled="false" stroked="false">
              <v:textbox inset="0,0,0,0">
                <w:txbxContent>
                  <w:p>
                    <w:pPr>
                      <w:spacing w:line="249" w:lineRule="auto" w:before="0"/>
                      <w:ind w:left="0" w:right="16" w:firstLine="86"/>
                      <w:jc w:val="left"/>
                      <w:rPr>
                        <w:b/>
                        <w:sz w:val="14"/>
                      </w:rPr>
                    </w:pPr>
                    <w:r>
                      <w:rPr>
                        <w:b/>
                        <w:w w:val="105"/>
                        <w:sz w:val="14"/>
                      </w:rPr>
                      <w:t>Percent </w:t>
                    </w:r>
                    <w:r>
                      <w:rPr>
                        <w:b/>
                        <w:sz w:val="14"/>
                      </w:rPr>
                      <w:t>Difference</w:t>
                    </w:r>
                  </w:p>
                </w:txbxContent>
              </v:textbox>
              <w10:wrap type="none"/>
            </v:shape>
            <v:shape style="position:absolute;left:530;top:1717;width:3686;height:161" type="#_x0000_t202" filled="false" stroked="false">
              <v:textbox inset="0,0,0,0">
                <w:txbxContent>
                  <w:p>
                    <w:pPr>
                      <w:spacing w:line="160" w:lineRule="exact" w:before="0"/>
                      <w:ind w:left="0" w:right="0" w:firstLine="0"/>
                      <w:jc w:val="left"/>
                      <w:rPr>
                        <w:b/>
                        <w:sz w:val="14"/>
                      </w:rPr>
                    </w:pPr>
                    <w:r>
                      <w:rPr>
                        <w:b/>
                        <w:w w:val="105"/>
                        <w:sz w:val="14"/>
                      </w:rPr>
                      <w:t>SERVICES</w:t>
                    </w:r>
                    <w:r>
                      <w:rPr>
                        <w:b/>
                        <w:spacing w:val="-19"/>
                        <w:w w:val="105"/>
                        <w:sz w:val="14"/>
                      </w:rPr>
                      <w:t> </w:t>
                    </w:r>
                    <w:r>
                      <w:rPr>
                        <w:b/>
                        <w:spacing w:val="-3"/>
                        <w:w w:val="105"/>
                        <w:sz w:val="14"/>
                      </w:rPr>
                      <w:t>AND</w:t>
                    </w:r>
                    <w:r>
                      <w:rPr>
                        <w:b/>
                        <w:spacing w:val="-20"/>
                        <w:w w:val="105"/>
                        <w:sz w:val="14"/>
                      </w:rPr>
                      <w:t> </w:t>
                    </w:r>
                    <w:r>
                      <w:rPr>
                        <w:b/>
                        <w:w w:val="105"/>
                        <w:sz w:val="14"/>
                      </w:rPr>
                      <w:t>OTHER</w:t>
                    </w:r>
                    <w:r>
                      <w:rPr>
                        <w:b/>
                        <w:spacing w:val="-19"/>
                        <w:w w:val="105"/>
                        <w:sz w:val="14"/>
                      </w:rPr>
                      <w:t> </w:t>
                    </w:r>
                    <w:r>
                      <w:rPr>
                        <w:b/>
                        <w:w w:val="105"/>
                        <w:sz w:val="14"/>
                      </w:rPr>
                      <w:t>OPERATING</w:t>
                    </w:r>
                    <w:r>
                      <w:rPr>
                        <w:b/>
                        <w:spacing w:val="-19"/>
                        <w:w w:val="105"/>
                        <w:sz w:val="14"/>
                      </w:rPr>
                      <w:t> </w:t>
                    </w:r>
                    <w:r>
                      <w:rPr>
                        <w:b/>
                        <w:w w:val="105"/>
                        <w:sz w:val="14"/>
                      </w:rPr>
                      <w:t>EXPENDITURES</w:t>
                    </w:r>
                  </w:p>
                </w:txbxContent>
              </v:textbox>
              <w10:wrap type="none"/>
            </v:shape>
            <w10:wrap type="none"/>
          </v:group>
        </w:pict>
      </w:r>
      <w:r>
        <w:rPr>
          <w:sz w:val="18"/>
        </w:rPr>
        <w:t>Winship-Robbins Elementary Sutter County</w:t>
      </w:r>
    </w:p>
    <w:p>
      <w:pPr>
        <w:spacing w:line="232" w:lineRule="auto" w:before="1"/>
        <w:ind w:left="572" w:right="0" w:hanging="264"/>
        <w:jc w:val="left"/>
        <w:rPr>
          <w:sz w:val="18"/>
        </w:rPr>
      </w:pPr>
      <w:r>
        <w:rPr/>
        <w:br w:type="column"/>
      </w:r>
      <w:r>
        <w:rPr>
          <w:sz w:val="18"/>
        </w:rPr>
        <w:t>County School Facilities Fund Expenditures by Object</w:t>
      </w:r>
    </w:p>
    <w:p>
      <w:pPr>
        <w:spacing w:line="200" w:lineRule="exact" w:before="0"/>
        <w:ind w:left="0" w:right="287" w:firstLine="0"/>
        <w:jc w:val="right"/>
        <w:rPr>
          <w:sz w:val="18"/>
        </w:rPr>
      </w:pPr>
      <w:r>
        <w:rPr/>
        <w:br w:type="column"/>
      </w:r>
      <w:r>
        <w:rPr>
          <w:sz w:val="18"/>
        </w:rPr>
        <w:t>51 71456</w:t>
      </w:r>
      <w:r>
        <w:rPr>
          <w:spacing w:val="3"/>
          <w:sz w:val="18"/>
        </w:rPr>
        <w:t> </w:t>
      </w:r>
      <w:r>
        <w:rPr>
          <w:sz w:val="18"/>
        </w:rPr>
        <w:t>0000000</w:t>
      </w:r>
    </w:p>
    <w:p>
      <w:pPr>
        <w:spacing w:line="204" w:lineRule="exact" w:before="0"/>
        <w:ind w:left="0" w:right="285" w:firstLine="0"/>
        <w:jc w:val="right"/>
        <w:rPr>
          <w:sz w:val="18"/>
        </w:rPr>
      </w:pPr>
      <w:r>
        <w:rPr>
          <w:sz w:val="18"/>
        </w:rPr>
        <w:t>Form </w:t>
      </w:r>
      <w:r>
        <w:rPr>
          <w:spacing w:val="3"/>
          <w:sz w:val="18"/>
        </w:rPr>
        <w:t> </w:t>
      </w:r>
      <w:r>
        <w:rPr>
          <w:sz w:val="18"/>
        </w:rPr>
        <w:t>35</w:t>
      </w:r>
    </w:p>
    <w:p>
      <w:pPr>
        <w:spacing w:after="0" w:line="204" w:lineRule="exact"/>
        <w:jc w:val="right"/>
        <w:rPr>
          <w:sz w:val="18"/>
        </w:rPr>
        <w:sectPr>
          <w:pgSz w:w="12240" w:h="15840"/>
          <w:pgMar w:header="651" w:footer="437" w:top="840" w:bottom="620" w:left="160" w:right="180"/>
          <w:cols w:num="3" w:equalWidth="0">
            <w:col w:w="2698" w:space="1751"/>
            <w:col w:w="2749" w:space="2594"/>
            <w:col w:w="2108"/>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8"/>
        </w:rPr>
      </w:pPr>
    </w:p>
    <w:tbl>
      <w:tblPr>
        <w:tblW w:w="0" w:type="auto"/>
        <w:jc w:val="left"/>
        <w:tblInd w:w="3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07"/>
        <w:gridCol w:w="1850"/>
        <w:gridCol w:w="1547"/>
        <w:gridCol w:w="1527"/>
        <w:gridCol w:w="1008"/>
      </w:tblGrid>
      <w:tr>
        <w:trPr>
          <w:trHeight w:val="262" w:hRule="atLeast"/>
        </w:trPr>
        <w:tc>
          <w:tcPr>
            <w:tcW w:w="4807" w:type="dxa"/>
          </w:tcPr>
          <w:p>
            <w:pPr>
              <w:pStyle w:val="TableParagraph"/>
              <w:spacing w:line="160" w:lineRule="exact"/>
              <w:ind w:left="81"/>
              <w:rPr>
                <w:sz w:val="14"/>
              </w:rPr>
            </w:pPr>
            <w:r>
              <w:rPr>
                <w:w w:val="105"/>
                <w:sz w:val="14"/>
              </w:rPr>
              <w:t>Subagreements for Services</w:t>
            </w:r>
          </w:p>
        </w:tc>
        <w:tc>
          <w:tcPr>
            <w:tcW w:w="1850" w:type="dxa"/>
          </w:tcPr>
          <w:p>
            <w:pPr>
              <w:pStyle w:val="TableParagraph"/>
              <w:spacing w:line="160" w:lineRule="exact"/>
              <w:ind w:left="487" w:right="620"/>
              <w:jc w:val="center"/>
              <w:rPr>
                <w:sz w:val="14"/>
              </w:rPr>
            </w:pPr>
            <w:r>
              <w:rPr>
                <w:w w:val="105"/>
                <w:sz w:val="14"/>
              </w:rPr>
              <w:t>5100</w:t>
            </w:r>
          </w:p>
        </w:tc>
        <w:tc>
          <w:tcPr>
            <w:tcW w:w="1547" w:type="dxa"/>
          </w:tcPr>
          <w:p>
            <w:pPr>
              <w:pStyle w:val="TableParagraph"/>
              <w:spacing w:line="160" w:lineRule="exact"/>
              <w:ind w:left="626" w:right="593"/>
              <w:jc w:val="center"/>
              <w:rPr>
                <w:sz w:val="14"/>
              </w:rPr>
            </w:pPr>
            <w:r>
              <w:rPr>
                <w:w w:val="105"/>
                <w:sz w:val="14"/>
              </w:rPr>
              <w:t>0.00</w:t>
            </w:r>
          </w:p>
        </w:tc>
        <w:tc>
          <w:tcPr>
            <w:tcW w:w="1527" w:type="dxa"/>
          </w:tcPr>
          <w:p>
            <w:pPr>
              <w:pStyle w:val="TableParagraph"/>
              <w:spacing w:line="160" w:lineRule="exact"/>
              <w:ind w:left="592" w:right="606"/>
              <w:jc w:val="center"/>
              <w:rPr>
                <w:sz w:val="14"/>
              </w:rPr>
            </w:pPr>
            <w:r>
              <w:rPr>
                <w:w w:val="105"/>
                <w:sz w:val="14"/>
              </w:rPr>
              <w:t>0.00</w:t>
            </w:r>
          </w:p>
        </w:tc>
        <w:tc>
          <w:tcPr>
            <w:tcW w:w="1008" w:type="dxa"/>
          </w:tcPr>
          <w:p>
            <w:pPr>
              <w:pStyle w:val="TableParagraph"/>
              <w:spacing w:line="160" w:lineRule="exact"/>
              <w:ind w:right="49"/>
              <w:jc w:val="right"/>
              <w:rPr>
                <w:sz w:val="14"/>
              </w:rPr>
            </w:pPr>
            <w:r>
              <w:rPr>
                <w:sz w:val="14"/>
              </w:rPr>
              <w:t>0.0%</w:t>
            </w:r>
          </w:p>
        </w:tc>
      </w:tr>
      <w:tr>
        <w:trPr>
          <w:trHeight w:val="364" w:hRule="atLeast"/>
        </w:trPr>
        <w:tc>
          <w:tcPr>
            <w:tcW w:w="4807" w:type="dxa"/>
          </w:tcPr>
          <w:p>
            <w:pPr>
              <w:pStyle w:val="TableParagraph"/>
              <w:spacing w:before="101"/>
              <w:ind w:left="81"/>
              <w:rPr>
                <w:sz w:val="14"/>
              </w:rPr>
            </w:pPr>
            <w:r>
              <w:rPr>
                <w:w w:val="105"/>
                <w:sz w:val="14"/>
              </w:rPr>
              <w:t>Travel and Conferences</w:t>
            </w:r>
          </w:p>
        </w:tc>
        <w:tc>
          <w:tcPr>
            <w:tcW w:w="1850" w:type="dxa"/>
          </w:tcPr>
          <w:p>
            <w:pPr>
              <w:pStyle w:val="TableParagraph"/>
              <w:spacing w:before="101"/>
              <w:ind w:left="487" w:right="620"/>
              <w:jc w:val="center"/>
              <w:rPr>
                <w:sz w:val="14"/>
              </w:rPr>
            </w:pPr>
            <w:r>
              <w:rPr>
                <w:w w:val="105"/>
                <w:sz w:val="14"/>
              </w:rPr>
              <w:t>5200</w:t>
            </w:r>
          </w:p>
        </w:tc>
        <w:tc>
          <w:tcPr>
            <w:tcW w:w="1547" w:type="dxa"/>
          </w:tcPr>
          <w:p>
            <w:pPr>
              <w:pStyle w:val="TableParagraph"/>
              <w:spacing w:before="101"/>
              <w:ind w:left="626" w:right="593"/>
              <w:jc w:val="center"/>
              <w:rPr>
                <w:sz w:val="14"/>
              </w:rPr>
            </w:pPr>
            <w:r>
              <w:rPr>
                <w:w w:val="105"/>
                <w:sz w:val="14"/>
              </w:rPr>
              <w:t>0.00</w:t>
            </w:r>
          </w:p>
        </w:tc>
        <w:tc>
          <w:tcPr>
            <w:tcW w:w="1527" w:type="dxa"/>
          </w:tcPr>
          <w:p>
            <w:pPr>
              <w:pStyle w:val="TableParagraph"/>
              <w:spacing w:before="101"/>
              <w:ind w:left="592" w:right="606"/>
              <w:jc w:val="center"/>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364" w:hRule="atLeast"/>
        </w:trPr>
        <w:tc>
          <w:tcPr>
            <w:tcW w:w="4807" w:type="dxa"/>
          </w:tcPr>
          <w:p>
            <w:pPr>
              <w:pStyle w:val="TableParagraph"/>
              <w:spacing w:before="101"/>
              <w:ind w:left="81"/>
              <w:rPr>
                <w:sz w:val="14"/>
              </w:rPr>
            </w:pPr>
            <w:r>
              <w:rPr>
                <w:w w:val="105"/>
                <w:sz w:val="14"/>
              </w:rPr>
              <w:t>Insurance</w:t>
            </w:r>
          </w:p>
        </w:tc>
        <w:tc>
          <w:tcPr>
            <w:tcW w:w="1850" w:type="dxa"/>
          </w:tcPr>
          <w:p>
            <w:pPr>
              <w:pStyle w:val="TableParagraph"/>
              <w:spacing w:before="101"/>
              <w:ind w:left="487" w:right="620"/>
              <w:jc w:val="center"/>
              <w:rPr>
                <w:sz w:val="14"/>
              </w:rPr>
            </w:pPr>
            <w:r>
              <w:rPr>
                <w:w w:val="105"/>
                <w:sz w:val="14"/>
              </w:rPr>
              <w:t>5400-5450</w:t>
            </w:r>
          </w:p>
        </w:tc>
        <w:tc>
          <w:tcPr>
            <w:tcW w:w="1547" w:type="dxa"/>
          </w:tcPr>
          <w:p>
            <w:pPr>
              <w:pStyle w:val="TableParagraph"/>
              <w:spacing w:before="101"/>
              <w:ind w:left="626" w:right="593"/>
              <w:jc w:val="center"/>
              <w:rPr>
                <w:sz w:val="14"/>
              </w:rPr>
            </w:pPr>
            <w:r>
              <w:rPr>
                <w:w w:val="105"/>
                <w:sz w:val="14"/>
              </w:rPr>
              <w:t>0.00</w:t>
            </w:r>
          </w:p>
        </w:tc>
        <w:tc>
          <w:tcPr>
            <w:tcW w:w="1527" w:type="dxa"/>
          </w:tcPr>
          <w:p>
            <w:pPr>
              <w:pStyle w:val="TableParagraph"/>
              <w:spacing w:before="101"/>
              <w:ind w:left="592" w:right="606"/>
              <w:jc w:val="center"/>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364" w:hRule="atLeast"/>
        </w:trPr>
        <w:tc>
          <w:tcPr>
            <w:tcW w:w="4807" w:type="dxa"/>
          </w:tcPr>
          <w:p>
            <w:pPr>
              <w:pStyle w:val="TableParagraph"/>
              <w:spacing w:before="101"/>
              <w:ind w:left="81"/>
              <w:rPr>
                <w:sz w:val="14"/>
              </w:rPr>
            </w:pPr>
            <w:r>
              <w:rPr>
                <w:w w:val="105"/>
                <w:sz w:val="14"/>
              </w:rPr>
              <w:t>Operations and Housekeeping Services</w:t>
            </w:r>
          </w:p>
        </w:tc>
        <w:tc>
          <w:tcPr>
            <w:tcW w:w="1850" w:type="dxa"/>
          </w:tcPr>
          <w:p>
            <w:pPr>
              <w:pStyle w:val="TableParagraph"/>
              <w:spacing w:before="101"/>
              <w:ind w:left="487" w:right="620"/>
              <w:jc w:val="center"/>
              <w:rPr>
                <w:sz w:val="14"/>
              </w:rPr>
            </w:pPr>
            <w:r>
              <w:rPr>
                <w:w w:val="105"/>
                <w:sz w:val="14"/>
              </w:rPr>
              <w:t>5500</w:t>
            </w:r>
          </w:p>
        </w:tc>
        <w:tc>
          <w:tcPr>
            <w:tcW w:w="1547" w:type="dxa"/>
          </w:tcPr>
          <w:p>
            <w:pPr>
              <w:pStyle w:val="TableParagraph"/>
              <w:spacing w:before="101"/>
              <w:ind w:left="626" w:right="593"/>
              <w:jc w:val="center"/>
              <w:rPr>
                <w:sz w:val="14"/>
              </w:rPr>
            </w:pPr>
            <w:r>
              <w:rPr>
                <w:w w:val="105"/>
                <w:sz w:val="14"/>
              </w:rPr>
              <w:t>0.00</w:t>
            </w:r>
          </w:p>
        </w:tc>
        <w:tc>
          <w:tcPr>
            <w:tcW w:w="1527" w:type="dxa"/>
          </w:tcPr>
          <w:p>
            <w:pPr>
              <w:pStyle w:val="TableParagraph"/>
              <w:spacing w:before="101"/>
              <w:ind w:left="592" w:right="606"/>
              <w:jc w:val="center"/>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364" w:hRule="atLeast"/>
        </w:trPr>
        <w:tc>
          <w:tcPr>
            <w:tcW w:w="4807" w:type="dxa"/>
          </w:tcPr>
          <w:p>
            <w:pPr>
              <w:pStyle w:val="TableParagraph"/>
              <w:spacing w:before="101"/>
              <w:ind w:left="81"/>
              <w:rPr>
                <w:sz w:val="14"/>
              </w:rPr>
            </w:pPr>
            <w:r>
              <w:rPr>
                <w:w w:val="105"/>
                <w:sz w:val="14"/>
              </w:rPr>
              <w:t>Rentals, Leases, Repairs, and Noncapitalized Improvements</w:t>
            </w:r>
          </w:p>
        </w:tc>
        <w:tc>
          <w:tcPr>
            <w:tcW w:w="1850" w:type="dxa"/>
          </w:tcPr>
          <w:p>
            <w:pPr>
              <w:pStyle w:val="TableParagraph"/>
              <w:spacing w:before="101"/>
              <w:ind w:left="487" w:right="620"/>
              <w:jc w:val="center"/>
              <w:rPr>
                <w:sz w:val="14"/>
              </w:rPr>
            </w:pPr>
            <w:r>
              <w:rPr>
                <w:w w:val="105"/>
                <w:sz w:val="14"/>
              </w:rPr>
              <w:t>5600</w:t>
            </w:r>
          </w:p>
        </w:tc>
        <w:tc>
          <w:tcPr>
            <w:tcW w:w="1547" w:type="dxa"/>
          </w:tcPr>
          <w:p>
            <w:pPr>
              <w:pStyle w:val="TableParagraph"/>
              <w:spacing w:before="101"/>
              <w:ind w:left="626" w:right="593"/>
              <w:jc w:val="center"/>
              <w:rPr>
                <w:sz w:val="14"/>
              </w:rPr>
            </w:pPr>
            <w:r>
              <w:rPr>
                <w:w w:val="105"/>
                <w:sz w:val="14"/>
              </w:rPr>
              <w:t>0.00</w:t>
            </w:r>
          </w:p>
        </w:tc>
        <w:tc>
          <w:tcPr>
            <w:tcW w:w="1527" w:type="dxa"/>
          </w:tcPr>
          <w:p>
            <w:pPr>
              <w:pStyle w:val="TableParagraph"/>
              <w:spacing w:before="101"/>
              <w:ind w:left="592" w:right="606"/>
              <w:jc w:val="center"/>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364" w:hRule="atLeast"/>
        </w:trPr>
        <w:tc>
          <w:tcPr>
            <w:tcW w:w="4807" w:type="dxa"/>
          </w:tcPr>
          <w:p>
            <w:pPr>
              <w:pStyle w:val="TableParagraph"/>
              <w:spacing w:before="101"/>
              <w:ind w:left="81"/>
              <w:rPr>
                <w:sz w:val="14"/>
              </w:rPr>
            </w:pPr>
            <w:r>
              <w:rPr>
                <w:w w:val="105"/>
                <w:sz w:val="14"/>
              </w:rPr>
              <w:t>Transfers of Direct Costs</w:t>
            </w:r>
          </w:p>
        </w:tc>
        <w:tc>
          <w:tcPr>
            <w:tcW w:w="1850" w:type="dxa"/>
          </w:tcPr>
          <w:p>
            <w:pPr>
              <w:pStyle w:val="TableParagraph"/>
              <w:spacing w:before="101"/>
              <w:ind w:left="487" w:right="620"/>
              <w:jc w:val="center"/>
              <w:rPr>
                <w:sz w:val="14"/>
              </w:rPr>
            </w:pPr>
            <w:r>
              <w:rPr>
                <w:w w:val="105"/>
                <w:sz w:val="14"/>
              </w:rPr>
              <w:t>5710</w:t>
            </w:r>
          </w:p>
        </w:tc>
        <w:tc>
          <w:tcPr>
            <w:tcW w:w="1547" w:type="dxa"/>
          </w:tcPr>
          <w:p>
            <w:pPr>
              <w:pStyle w:val="TableParagraph"/>
              <w:spacing w:before="101"/>
              <w:ind w:left="626" w:right="593"/>
              <w:jc w:val="center"/>
              <w:rPr>
                <w:sz w:val="14"/>
              </w:rPr>
            </w:pPr>
            <w:r>
              <w:rPr>
                <w:w w:val="105"/>
                <w:sz w:val="14"/>
              </w:rPr>
              <w:t>0.00</w:t>
            </w:r>
          </w:p>
        </w:tc>
        <w:tc>
          <w:tcPr>
            <w:tcW w:w="1527" w:type="dxa"/>
          </w:tcPr>
          <w:p>
            <w:pPr>
              <w:pStyle w:val="TableParagraph"/>
              <w:spacing w:before="101"/>
              <w:ind w:left="592" w:right="606"/>
              <w:jc w:val="center"/>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364" w:hRule="atLeast"/>
        </w:trPr>
        <w:tc>
          <w:tcPr>
            <w:tcW w:w="4807" w:type="dxa"/>
          </w:tcPr>
          <w:p>
            <w:pPr>
              <w:pStyle w:val="TableParagraph"/>
              <w:spacing w:before="101"/>
              <w:ind w:left="81"/>
              <w:rPr>
                <w:sz w:val="14"/>
              </w:rPr>
            </w:pPr>
            <w:r>
              <w:rPr>
                <w:w w:val="105"/>
                <w:sz w:val="14"/>
              </w:rPr>
              <w:t>Transfers of Direct Costs - Interfund</w:t>
            </w:r>
          </w:p>
        </w:tc>
        <w:tc>
          <w:tcPr>
            <w:tcW w:w="1850" w:type="dxa"/>
          </w:tcPr>
          <w:p>
            <w:pPr>
              <w:pStyle w:val="TableParagraph"/>
              <w:spacing w:before="101"/>
              <w:ind w:left="487" w:right="620"/>
              <w:jc w:val="center"/>
              <w:rPr>
                <w:sz w:val="14"/>
              </w:rPr>
            </w:pPr>
            <w:r>
              <w:rPr>
                <w:w w:val="105"/>
                <w:sz w:val="14"/>
              </w:rPr>
              <w:t>5750</w:t>
            </w:r>
          </w:p>
        </w:tc>
        <w:tc>
          <w:tcPr>
            <w:tcW w:w="1547" w:type="dxa"/>
          </w:tcPr>
          <w:p>
            <w:pPr>
              <w:pStyle w:val="TableParagraph"/>
              <w:spacing w:before="101"/>
              <w:ind w:left="626" w:right="593"/>
              <w:jc w:val="center"/>
              <w:rPr>
                <w:sz w:val="14"/>
              </w:rPr>
            </w:pPr>
            <w:r>
              <w:rPr>
                <w:w w:val="105"/>
                <w:sz w:val="14"/>
              </w:rPr>
              <w:t>0.00</w:t>
            </w:r>
          </w:p>
        </w:tc>
        <w:tc>
          <w:tcPr>
            <w:tcW w:w="1527" w:type="dxa"/>
          </w:tcPr>
          <w:p>
            <w:pPr>
              <w:pStyle w:val="TableParagraph"/>
              <w:spacing w:before="101"/>
              <w:ind w:left="592" w:right="606"/>
              <w:jc w:val="center"/>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561" w:hRule="atLeast"/>
        </w:trPr>
        <w:tc>
          <w:tcPr>
            <w:tcW w:w="4807" w:type="dxa"/>
          </w:tcPr>
          <w:p>
            <w:pPr>
              <w:pStyle w:val="TableParagraph"/>
              <w:spacing w:line="292" w:lineRule="auto" w:before="101"/>
              <w:ind w:left="121" w:right="2271" w:hanging="40"/>
              <w:rPr>
                <w:sz w:val="14"/>
              </w:rPr>
            </w:pPr>
            <w:r>
              <w:rPr>
                <w:w w:val="105"/>
                <w:sz w:val="14"/>
              </w:rPr>
              <w:t>Professional/Consulting Services and Operating Expenditures</w:t>
            </w:r>
          </w:p>
        </w:tc>
        <w:tc>
          <w:tcPr>
            <w:tcW w:w="1850" w:type="dxa"/>
          </w:tcPr>
          <w:p>
            <w:pPr>
              <w:pStyle w:val="TableParagraph"/>
              <w:rPr>
                <w:sz w:val="16"/>
              </w:rPr>
            </w:pPr>
          </w:p>
          <w:p>
            <w:pPr>
              <w:pStyle w:val="TableParagraph"/>
              <w:spacing w:before="113"/>
              <w:ind w:left="487" w:right="620"/>
              <w:jc w:val="center"/>
              <w:rPr>
                <w:sz w:val="14"/>
              </w:rPr>
            </w:pPr>
            <w:r>
              <w:rPr>
                <w:w w:val="105"/>
                <w:sz w:val="14"/>
              </w:rPr>
              <w:t>5800</w:t>
            </w:r>
          </w:p>
        </w:tc>
        <w:tc>
          <w:tcPr>
            <w:tcW w:w="1547" w:type="dxa"/>
          </w:tcPr>
          <w:p>
            <w:pPr>
              <w:pStyle w:val="TableParagraph"/>
              <w:rPr>
                <w:sz w:val="16"/>
              </w:rPr>
            </w:pPr>
          </w:p>
          <w:p>
            <w:pPr>
              <w:pStyle w:val="TableParagraph"/>
              <w:spacing w:before="113"/>
              <w:ind w:left="626" w:right="593"/>
              <w:jc w:val="center"/>
              <w:rPr>
                <w:sz w:val="14"/>
              </w:rPr>
            </w:pPr>
            <w:r>
              <w:rPr>
                <w:w w:val="105"/>
                <w:sz w:val="14"/>
              </w:rPr>
              <w:t>0.00</w:t>
            </w:r>
          </w:p>
        </w:tc>
        <w:tc>
          <w:tcPr>
            <w:tcW w:w="1527" w:type="dxa"/>
          </w:tcPr>
          <w:p>
            <w:pPr>
              <w:pStyle w:val="TableParagraph"/>
              <w:rPr>
                <w:sz w:val="16"/>
              </w:rPr>
            </w:pPr>
          </w:p>
          <w:p>
            <w:pPr>
              <w:pStyle w:val="TableParagraph"/>
              <w:spacing w:before="113"/>
              <w:ind w:left="592" w:right="606"/>
              <w:jc w:val="center"/>
              <w:rPr>
                <w:sz w:val="14"/>
              </w:rPr>
            </w:pPr>
            <w:r>
              <w:rPr>
                <w:w w:val="105"/>
                <w:sz w:val="14"/>
              </w:rPr>
              <w:t>0.00</w:t>
            </w:r>
          </w:p>
        </w:tc>
        <w:tc>
          <w:tcPr>
            <w:tcW w:w="1008" w:type="dxa"/>
          </w:tcPr>
          <w:p>
            <w:pPr>
              <w:pStyle w:val="TableParagraph"/>
              <w:rPr>
                <w:sz w:val="16"/>
              </w:rPr>
            </w:pPr>
          </w:p>
          <w:p>
            <w:pPr>
              <w:pStyle w:val="TableParagraph"/>
              <w:spacing w:before="113"/>
              <w:ind w:right="49"/>
              <w:jc w:val="right"/>
              <w:rPr>
                <w:sz w:val="14"/>
              </w:rPr>
            </w:pPr>
            <w:r>
              <w:rPr>
                <w:sz w:val="14"/>
              </w:rPr>
              <w:t>0.0%</w:t>
            </w:r>
          </w:p>
        </w:tc>
      </w:tr>
      <w:tr>
        <w:trPr>
          <w:trHeight w:val="370" w:hRule="atLeast"/>
        </w:trPr>
        <w:tc>
          <w:tcPr>
            <w:tcW w:w="4807" w:type="dxa"/>
          </w:tcPr>
          <w:p>
            <w:pPr>
              <w:pStyle w:val="TableParagraph"/>
              <w:spacing w:before="101"/>
              <w:ind w:left="81"/>
              <w:rPr>
                <w:sz w:val="14"/>
              </w:rPr>
            </w:pPr>
            <w:r>
              <w:rPr>
                <w:w w:val="105"/>
                <w:sz w:val="14"/>
              </w:rPr>
              <w:t>Communications</w:t>
            </w:r>
          </w:p>
        </w:tc>
        <w:tc>
          <w:tcPr>
            <w:tcW w:w="1850" w:type="dxa"/>
          </w:tcPr>
          <w:p>
            <w:pPr>
              <w:pStyle w:val="TableParagraph"/>
              <w:spacing w:before="101"/>
              <w:ind w:left="487" w:right="620"/>
              <w:jc w:val="center"/>
              <w:rPr>
                <w:sz w:val="14"/>
              </w:rPr>
            </w:pPr>
            <w:r>
              <w:rPr>
                <w:w w:val="105"/>
                <w:sz w:val="14"/>
              </w:rPr>
              <w:t>5900</w:t>
            </w:r>
          </w:p>
        </w:tc>
        <w:tc>
          <w:tcPr>
            <w:tcW w:w="1547" w:type="dxa"/>
          </w:tcPr>
          <w:p>
            <w:pPr>
              <w:pStyle w:val="TableParagraph"/>
              <w:spacing w:before="101"/>
              <w:ind w:left="626" w:right="593"/>
              <w:jc w:val="center"/>
              <w:rPr>
                <w:sz w:val="14"/>
              </w:rPr>
            </w:pPr>
            <w:r>
              <w:rPr>
                <w:w w:val="105"/>
                <w:sz w:val="14"/>
              </w:rPr>
              <w:t>0.00</w:t>
            </w:r>
          </w:p>
        </w:tc>
        <w:tc>
          <w:tcPr>
            <w:tcW w:w="1527" w:type="dxa"/>
          </w:tcPr>
          <w:p>
            <w:pPr>
              <w:pStyle w:val="TableParagraph"/>
              <w:spacing w:before="101"/>
              <w:ind w:left="592" w:right="606"/>
              <w:jc w:val="center"/>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268" w:hRule="atLeast"/>
        </w:trPr>
        <w:tc>
          <w:tcPr>
            <w:tcW w:w="4807" w:type="dxa"/>
          </w:tcPr>
          <w:p>
            <w:pPr>
              <w:pStyle w:val="TableParagraph"/>
              <w:spacing w:line="142" w:lineRule="exact" w:before="107"/>
              <w:ind w:left="81"/>
              <w:rPr>
                <w:sz w:val="14"/>
              </w:rPr>
            </w:pPr>
            <w:r>
              <w:rPr>
                <w:w w:val="105"/>
                <w:sz w:val="14"/>
              </w:rPr>
              <w:t>TOTAL, SERVICES AND OTHER OPERATING EXPENDITURES</w:t>
            </w:r>
          </w:p>
        </w:tc>
        <w:tc>
          <w:tcPr>
            <w:tcW w:w="1850" w:type="dxa"/>
          </w:tcPr>
          <w:p>
            <w:pPr>
              <w:pStyle w:val="TableParagraph"/>
              <w:rPr>
                <w:rFonts w:ascii="Times New Roman"/>
                <w:sz w:val="14"/>
              </w:rPr>
            </w:pPr>
          </w:p>
        </w:tc>
        <w:tc>
          <w:tcPr>
            <w:tcW w:w="1547" w:type="dxa"/>
          </w:tcPr>
          <w:p>
            <w:pPr>
              <w:pStyle w:val="TableParagraph"/>
              <w:spacing w:line="142" w:lineRule="exact" w:before="107"/>
              <w:ind w:left="626" w:right="593"/>
              <w:jc w:val="center"/>
              <w:rPr>
                <w:sz w:val="14"/>
              </w:rPr>
            </w:pPr>
            <w:r>
              <w:rPr>
                <w:w w:val="105"/>
                <w:sz w:val="14"/>
              </w:rPr>
              <w:t>0.00</w:t>
            </w:r>
          </w:p>
        </w:tc>
        <w:tc>
          <w:tcPr>
            <w:tcW w:w="1527" w:type="dxa"/>
          </w:tcPr>
          <w:p>
            <w:pPr>
              <w:pStyle w:val="TableParagraph"/>
              <w:spacing w:line="142" w:lineRule="exact" w:before="107"/>
              <w:ind w:left="592" w:right="606"/>
              <w:jc w:val="center"/>
              <w:rPr>
                <w:sz w:val="14"/>
              </w:rPr>
            </w:pPr>
            <w:r>
              <w:rPr>
                <w:w w:val="105"/>
                <w:sz w:val="14"/>
              </w:rPr>
              <w:t>0.00</w:t>
            </w:r>
          </w:p>
        </w:tc>
        <w:tc>
          <w:tcPr>
            <w:tcW w:w="1008" w:type="dxa"/>
          </w:tcPr>
          <w:p>
            <w:pPr>
              <w:pStyle w:val="TableParagraph"/>
              <w:spacing w:line="142" w:lineRule="exact" w:before="107"/>
              <w:ind w:right="49"/>
              <w:jc w:val="right"/>
              <w:rPr>
                <w:sz w:val="14"/>
              </w:rPr>
            </w:pPr>
            <w:r>
              <w:rPr>
                <w:sz w:val="14"/>
              </w:rPr>
              <w:t>0.0%</w:t>
            </w:r>
          </w:p>
        </w:tc>
      </w:tr>
      <w:tr>
        <w:trPr>
          <w:trHeight w:val="367" w:hRule="atLeast"/>
        </w:trPr>
        <w:tc>
          <w:tcPr>
            <w:tcW w:w="4807" w:type="dxa"/>
          </w:tcPr>
          <w:p>
            <w:pPr>
              <w:pStyle w:val="TableParagraph"/>
              <w:spacing w:before="9"/>
              <w:rPr>
                <w:sz w:val="17"/>
              </w:rPr>
            </w:pPr>
          </w:p>
          <w:p>
            <w:pPr>
              <w:pStyle w:val="TableParagraph"/>
              <w:spacing w:line="142" w:lineRule="exact" w:before="1"/>
              <w:rPr>
                <w:b/>
                <w:sz w:val="14"/>
              </w:rPr>
            </w:pPr>
            <w:r>
              <w:rPr>
                <w:b/>
                <w:w w:val="105"/>
                <w:sz w:val="14"/>
              </w:rPr>
              <w:t>CAPITAL OUTLAY</w:t>
            </w:r>
          </w:p>
        </w:tc>
        <w:tc>
          <w:tcPr>
            <w:tcW w:w="1850" w:type="dxa"/>
          </w:tcPr>
          <w:p>
            <w:pPr>
              <w:pStyle w:val="TableParagraph"/>
              <w:rPr>
                <w:rFonts w:ascii="Times New Roman"/>
                <w:sz w:val="14"/>
              </w:rPr>
            </w:pPr>
          </w:p>
        </w:tc>
        <w:tc>
          <w:tcPr>
            <w:tcW w:w="1547" w:type="dxa"/>
          </w:tcPr>
          <w:p>
            <w:pPr>
              <w:pStyle w:val="TableParagraph"/>
              <w:rPr>
                <w:rFonts w:ascii="Times New Roman"/>
                <w:sz w:val="14"/>
              </w:rPr>
            </w:pPr>
          </w:p>
        </w:tc>
        <w:tc>
          <w:tcPr>
            <w:tcW w:w="1527" w:type="dxa"/>
          </w:tcPr>
          <w:p>
            <w:pPr>
              <w:pStyle w:val="TableParagraph"/>
              <w:rPr>
                <w:rFonts w:ascii="Times New Roman"/>
                <w:sz w:val="14"/>
              </w:rPr>
            </w:pPr>
          </w:p>
        </w:tc>
        <w:tc>
          <w:tcPr>
            <w:tcW w:w="1008" w:type="dxa"/>
          </w:tcPr>
          <w:p>
            <w:pPr>
              <w:pStyle w:val="TableParagraph"/>
              <w:rPr>
                <w:rFonts w:ascii="Times New Roman"/>
                <w:sz w:val="14"/>
              </w:rPr>
            </w:pPr>
          </w:p>
        </w:tc>
      </w:tr>
      <w:tr>
        <w:trPr>
          <w:trHeight w:val="469" w:hRule="atLeast"/>
        </w:trPr>
        <w:tc>
          <w:tcPr>
            <w:tcW w:w="4807" w:type="dxa"/>
          </w:tcPr>
          <w:p>
            <w:pPr>
              <w:pStyle w:val="TableParagraph"/>
              <w:spacing w:before="9"/>
              <w:rPr>
                <w:sz w:val="17"/>
              </w:rPr>
            </w:pPr>
          </w:p>
          <w:p>
            <w:pPr>
              <w:pStyle w:val="TableParagraph"/>
              <w:spacing w:before="1"/>
              <w:ind w:left="81"/>
              <w:rPr>
                <w:sz w:val="14"/>
              </w:rPr>
            </w:pPr>
            <w:r>
              <w:rPr>
                <w:w w:val="105"/>
                <w:sz w:val="14"/>
              </w:rPr>
              <w:t>Land</w:t>
            </w:r>
          </w:p>
        </w:tc>
        <w:tc>
          <w:tcPr>
            <w:tcW w:w="1850" w:type="dxa"/>
          </w:tcPr>
          <w:p>
            <w:pPr>
              <w:pStyle w:val="TableParagraph"/>
              <w:spacing w:before="9"/>
              <w:rPr>
                <w:sz w:val="17"/>
              </w:rPr>
            </w:pPr>
          </w:p>
          <w:p>
            <w:pPr>
              <w:pStyle w:val="TableParagraph"/>
              <w:spacing w:before="1"/>
              <w:ind w:left="487" w:right="620"/>
              <w:jc w:val="center"/>
              <w:rPr>
                <w:sz w:val="14"/>
              </w:rPr>
            </w:pPr>
            <w:r>
              <w:rPr>
                <w:w w:val="105"/>
                <w:sz w:val="14"/>
              </w:rPr>
              <w:t>6100</w:t>
            </w:r>
          </w:p>
        </w:tc>
        <w:tc>
          <w:tcPr>
            <w:tcW w:w="1547" w:type="dxa"/>
          </w:tcPr>
          <w:p>
            <w:pPr>
              <w:pStyle w:val="TableParagraph"/>
              <w:spacing w:before="9"/>
              <w:rPr>
                <w:sz w:val="17"/>
              </w:rPr>
            </w:pPr>
          </w:p>
          <w:p>
            <w:pPr>
              <w:pStyle w:val="TableParagraph"/>
              <w:spacing w:before="1"/>
              <w:ind w:left="626" w:right="593"/>
              <w:jc w:val="center"/>
              <w:rPr>
                <w:sz w:val="14"/>
              </w:rPr>
            </w:pPr>
            <w:r>
              <w:rPr>
                <w:w w:val="105"/>
                <w:sz w:val="14"/>
              </w:rPr>
              <w:t>0.00</w:t>
            </w:r>
          </w:p>
        </w:tc>
        <w:tc>
          <w:tcPr>
            <w:tcW w:w="1527" w:type="dxa"/>
          </w:tcPr>
          <w:p>
            <w:pPr>
              <w:pStyle w:val="TableParagraph"/>
              <w:spacing w:before="9"/>
              <w:rPr>
                <w:sz w:val="17"/>
              </w:rPr>
            </w:pPr>
          </w:p>
          <w:p>
            <w:pPr>
              <w:pStyle w:val="TableParagraph"/>
              <w:spacing w:before="1"/>
              <w:ind w:left="592" w:right="606"/>
              <w:jc w:val="center"/>
              <w:rPr>
                <w:sz w:val="14"/>
              </w:rPr>
            </w:pPr>
            <w:r>
              <w:rPr>
                <w:w w:val="105"/>
                <w:sz w:val="14"/>
              </w:rPr>
              <w:t>0.00</w:t>
            </w:r>
          </w:p>
        </w:tc>
        <w:tc>
          <w:tcPr>
            <w:tcW w:w="1008" w:type="dxa"/>
          </w:tcPr>
          <w:p>
            <w:pPr>
              <w:pStyle w:val="TableParagraph"/>
              <w:spacing w:before="9"/>
              <w:rPr>
                <w:sz w:val="17"/>
              </w:rPr>
            </w:pPr>
          </w:p>
          <w:p>
            <w:pPr>
              <w:pStyle w:val="TableParagraph"/>
              <w:spacing w:before="1"/>
              <w:ind w:right="49"/>
              <w:jc w:val="right"/>
              <w:rPr>
                <w:sz w:val="14"/>
              </w:rPr>
            </w:pPr>
            <w:r>
              <w:rPr>
                <w:sz w:val="14"/>
              </w:rPr>
              <w:t>0.0%</w:t>
            </w:r>
          </w:p>
        </w:tc>
      </w:tr>
      <w:tr>
        <w:trPr>
          <w:trHeight w:val="364" w:hRule="atLeast"/>
        </w:trPr>
        <w:tc>
          <w:tcPr>
            <w:tcW w:w="4807" w:type="dxa"/>
          </w:tcPr>
          <w:p>
            <w:pPr>
              <w:pStyle w:val="TableParagraph"/>
              <w:spacing w:before="101"/>
              <w:ind w:left="81"/>
              <w:rPr>
                <w:sz w:val="14"/>
              </w:rPr>
            </w:pPr>
            <w:r>
              <w:rPr>
                <w:w w:val="105"/>
                <w:sz w:val="14"/>
              </w:rPr>
              <w:t>Land Improvements</w:t>
            </w:r>
          </w:p>
        </w:tc>
        <w:tc>
          <w:tcPr>
            <w:tcW w:w="1850" w:type="dxa"/>
          </w:tcPr>
          <w:p>
            <w:pPr>
              <w:pStyle w:val="TableParagraph"/>
              <w:spacing w:before="101"/>
              <w:ind w:left="487" w:right="620"/>
              <w:jc w:val="center"/>
              <w:rPr>
                <w:sz w:val="14"/>
              </w:rPr>
            </w:pPr>
            <w:r>
              <w:rPr>
                <w:w w:val="105"/>
                <w:sz w:val="14"/>
              </w:rPr>
              <w:t>6170</w:t>
            </w:r>
          </w:p>
        </w:tc>
        <w:tc>
          <w:tcPr>
            <w:tcW w:w="1547" w:type="dxa"/>
          </w:tcPr>
          <w:p>
            <w:pPr>
              <w:pStyle w:val="TableParagraph"/>
              <w:spacing w:before="101"/>
              <w:ind w:left="626" w:right="593"/>
              <w:jc w:val="center"/>
              <w:rPr>
                <w:sz w:val="14"/>
              </w:rPr>
            </w:pPr>
            <w:r>
              <w:rPr>
                <w:w w:val="105"/>
                <w:sz w:val="14"/>
              </w:rPr>
              <w:t>0.00</w:t>
            </w:r>
          </w:p>
        </w:tc>
        <w:tc>
          <w:tcPr>
            <w:tcW w:w="1527" w:type="dxa"/>
          </w:tcPr>
          <w:p>
            <w:pPr>
              <w:pStyle w:val="TableParagraph"/>
              <w:spacing w:before="101"/>
              <w:ind w:left="592" w:right="606"/>
              <w:jc w:val="center"/>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364" w:hRule="atLeast"/>
        </w:trPr>
        <w:tc>
          <w:tcPr>
            <w:tcW w:w="4807" w:type="dxa"/>
          </w:tcPr>
          <w:p>
            <w:pPr>
              <w:pStyle w:val="TableParagraph"/>
              <w:spacing w:before="101"/>
              <w:ind w:left="81"/>
              <w:rPr>
                <w:sz w:val="14"/>
              </w:rPr>
            </w:pPr>
            <w:r>
              <w:rPr>
                <w:w w:val="105"/>
                <w:sz w:val="14"/>
              </w:rPr>
              <w:t>Buildings and Improvements of Buildings</w:t>
            </w:r>
          </w:p>
        </w:tc>
        <w:tc>
          <w:tcPr>
            <w:tcW w:w="1850" w:type="dxa"/>
          </w:tcPr>
          <w:p>
            <w:pPr>
              <w:pStyle w:val="TableParagraph"/>
              <w:spacing w:before="101"/>
              <w:ind w:left="487" w:right="620"/>
              <w:jc w:val="center"/>
              <w:rPr>
                <w:sz w:val="14"/>
              </w:rPr>
            </w:pPr>
            <w:r>
              <w:rPr>
                <w:w w:val="105"/>
                <w:sz w:val="14"/>
              </w:rPr>
              <w:t>6200</w:t>
            </w:r>
          </w:p>
        </w:tc>
        <w:tc>
          <w:tcPr>
            <w:tcW w:w="1547" w:type="dxa"/>
          </w:tcPr>
          <w:p>
            <w:pPr>
              <w:pStyle w:val="TableParagraph"/>
              <w:spacing w:before="101"/>
              <w:ind w:left="626" w:right="593"/>
              <w:jc w:val="center"/>
              <w:rPr>
                <w:sz w:val="14"/>
              </w:rPr>
            </w:pPr>
            <w:r>
              <w:rPr>
                <w:w w:val="105"/>
                <w:sz w:val="14"/>
              </w:rPr>
              <w:t>0.00</w:t>
            </w:r>
          </w:p>
        </w:tc>
        <w:tc>
          <w:tcPr>
            <w:tcW w:w="1527" w:type="dxa"/>
          </w:tcPr>
          <w:p>
            <w:pPr>
              <w:pStyle w:val="TableParagraph"/>
              <w:spacing w:before="101"/>
              <w:ind w:left="592" w:right="606"/>
              <w:jc w:val="center"/>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286" w:hRule="atLeast"/>
        </w:trPr>
        <w:tc>
          <w:tcPr>
            <w:tcW w:w="4807" w:type="dxa"/>
          </w:tcPr>
          <w:p>
            <w:pPr>
              <w:pStyle w:val="TableParagraph"/>
              <w:spacing w:before="101"/>
              <w:ind w:left="81"/>
              <w:rPr>
                <w:sz w:val="14"/>
              </w:rPr>
            </w:pPr>
            <w:r>
              <w:rPr>
                <w:w w:val="105"/>
                <w:sz w:val="14"/>
              </w:rPr>
              <w:t>Books and Media for New School Libraries</w:t>
            </w:r>
          </w:p>
        </w:tc>
        <w:tc>
          <w:tcPr>
            <w:tcW w:w="1850" w:type="dxa"/>
          </w:tcPr>
          <w:p>
            <w:pPr>
              <w:pStyle w:val="TableParagraph"/>
              <w:rPr>
                <w:rFonts w:ascii="Times New Roman"/>
                <w:sz w:val="14"/>
              </w:rPr>
            </w:pPr>
          </w:p>
        </w:tc>
        <w:tc>
          <w:tcPr>
            <w:tcW w:w="1547" w:type="dxa"/>
          </w:tcPr>
          <w:p>
            <w:pPr>
              <w:pStyle w:val="TableParagraph"/>
              <w:rPr>
                <w:rFonts w:ascii="Times New Roman"/>
                <w:sz w:val="14"/>
              </w:rPr>
            </w:pPr>
          </w:p>
        </w:tc>
        <w:tc>
          <w:tcPr>
            <w:tcW w:w="1527" w:type="dxa"/>
          </w:tcPr>
          <w:p>
            <w:pPr>
              <w:pStyle w:val="TableParagraph"/>
              <w:rPr>
                <w:rFonts w:ascii="Times New Roman"/>
                <w:sz w:val="14"/>
              </w:rPr>
            </w:pPr>
          </w:p>
        </w:tc>
        <w:tc>
          <w:tcPr>
            <w:tcW w:w="1008" w:type="dxa"/>
          </w:tcPr>
          <w:p>
            <w:pPr>
              <w:pStyle w:val="TableParagraph"/>
              <w:rPr>
                <w:rFonts w:ascii="Times New Roman"/>
                <w:sz w:val="14"/>
              </w:rPr>
            </w:pPr>
          </w:p>
        </w:tc>
      </w:tr>
      <w:tr>
        <w:trPr>
          <w:trHeight w:val="286" w:hRule="atLeast"/>
        </w:trPr>
        <w:tc>
          <w:tcPr>
            <w:tcW w:w="4807" w:type="dxa"/>
          </w:tcPr>
          <w:p>
            <w:pPr>
              <w:pStyle w:val="TableParagraph"/>
              <w:spacing w:before="23"/>
              <w:ind w:left="121"/>
              <w:rPr>
                <w:sz w:val="14"/>
              </w:rPr>
            </w:pPr>
            <w:r>
              <w:rPr>
                <w:w w:val="105"/>
                <w:sz w:val="14"/>
              </w:rPr>
              <w:t>or Major Expansion of School Libraries</w:t>
            </w:r>
          </w:p>
        </w:tc>
        <w:tc>
          <w:tcPr>
            <w:tcW w:w="1850" w:type="dxa"/>
          </w:tcPr>
          <w:p>
            <w:pPr>
              <w:pStyle w:val="TableParagraph"/>
              <w:spacing w:before="23"/>
              <w:ind w:left="487" w:right="620"/>
              <w:jc w:val="center"/>
              <w:rPr>
                <w:sz w:val="14"/>
              </w:rPr>
            </w:pPr>
            <w:r>
              <w:rPr>
                <w:w w:val="105"/>
                <w:sz w:val="14"/>
              </w:rPr>
              <w:t>6300</w:t>
            </w:r>
          </w:p>
        </w:tc>
        <w:tc>
          <w:tcPr>
            <w:tcW w:w="1547" w:type="dxa"/>
          </w:tcPr>
          <w:p>
            <w:pPr>
              <w:pStyle w:val="TableParagraph"/>
              <w:spacing w:before="23"/>
              <w:ind w:left="626" w:right="593"/>
              <w:jc w:val="center"/>
              <w:rPr>
                <w:sz w:val="14"/>
              </w:rPr>
            </w:pPr>
            <w:r>
              <w:rPr>
                <w:w w:val="105"/>
                <w:sz w:val="14"/>
              </w:rPr>
              <w:t>0.00</w:t>
            </w:r>
          </w:p>
        </w:tc>
        <w:tc>
          <w:tcPr>
            <w:tcW w:w="1527" w:type="dxa"/>
          </w:tcPr>
          <w:p>
            <w:pPr>
              <w:pStyle w:val="TableParagraph"/>
              <w:spacing w:before="23"/>
              <w:ind w:left="592" w:right="606"/>
              <w:jc w:val="center"/>
              <w:rPr>
                <w:sz w:val="14"/>
              </w:rPr>
            </w:pPr>
            <w:r>
              <w:rPr>
                <w:w w:val="105"/>
                <w:sz w:val="14"/>
              </w:rPr>
              <w:t>0.00</w:t>
            </w:r>
          </w:p>
        </w:tc>
        <w:tc>
          <w:tcPr>
            <w:tcW w:w="1008" w:type="dxa"/>
          </w:tcPr>
          <w:p>
            <w:pPr>
              <w:pStyle w:val="TableParagraph"/>
              <w:spacing w:before="23"/>
              <w:ind w:right="49"/>
              <w:jc w:val="right"/>
              <w:rPr>
                <w:sz w:val="14"/>
              </w:rPr>
            </w:pPr>
            <w:r>
              <w:rPr>
                <w:sz w:val="14"/>
              </w:rPr>
              <w:t>0.0%</w:t>
            </w:r>
          </w:p>
        </w:tc>
      </w:tr>
      <w:tr>
        <w:trPr>
          <w:trHeight w:val="364" w:hRule="atLeast"/>
        </w:trPr>
        <w:tc>
          <w:tcPr>
            <w:tcW w:w="4807" w:type="dxa"/>
          </w:tcPr>
          <w:p>
            <w:pPr>
              <w:pStyle w:val="TableParagraph"/>
              <w:spacing w:before="101"/>
              <w:ind w:left="81"/>
              <w:rPr>
                <w:sz w:val="14"/>
              </w:rPr>
            </w:pPr>
            <w:r>
              <w:rPr>
                <w:w w:val="105"/>
                <w:sz w:val="14"/>
              </w:rPr>
              <w:t>Equipment</w:t>
            </w:r>
          </w:p>
        </w:tc>
        <w:tc>
          <w:tcPr>
            <w:tcW w:w="1850" w:type="dxa"/>
          </w:tcPr>
          <w:p>
            <w:pPr>
              <w:pStyle w:val="TableParagraph"/>
              <w:spacing w:before="101"/>
              <w:ind w:left="487" w:right="620"/>
              <w:jc w:val="center"/>
              <w:rPr>
                <w:sz w:val="14"/>
              </w:rPr>
            </w:pPr>
            <w:r>
              <w:rPr>
                <w:w w:val="105"/>
                <w:sz w:val="14"/>
              </w:rPr>
              <w:t>6400</w:t>
            </w:r>
          </w:p>
        </w:tc>
        <w:tc>
          <w:tcPr>
            <w:tcW w:w="1547" w:type="dxa"/>
          </w:tcPr>
          <w:p>
            <w:pPr>
              <w:pStyle w:val="TableParagraph"/>
              <w:spacing w:before="101"/>
              <w:ind w:left="626" w:right="593"/>
              <w:jc w:val="center"/>
              <w:rPr>
                <w:sz w:val="14"/>
              </w:rPr>
            </w:pPr>
            <w:r>
              <w:rPr>
                <w:w w:val="105"/>
                <w:sz w:val="14"/>
              </w:rPr>
              <w:t>0.00</w:t>
            </w:r>
          </w:p>
        </w:tc>
        <w:tc>
          <w:tcPr>
            <w:tcW w:w="1527" w:type="dxa"/>
          </w:tcPr>
          <w:p>
            <w:pPr>
              <w:pStyle w:val="TableParagraph"/>
              <w:spacing w:before="101"/>
              <w:ind w:left="592" w:right="606"/>
              <w:jc w:val="center"/>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350" w:hRule="atLeast"/>
        </w:trPr>
        <w:tc>
          <w:tcPr>
            <w:tcW w:w="4807" w:type="dxa"/>
          </w:tcPr>
          <w:p>
            <w:pPr>
              <w:pStyle w:val="TableParagraph"/>
              <w:spacing w:before="101"/>
              <w:ind w:left="81"/>
              <w:rPr>
                <w:sz w:val="14"/>
              </w:rPr>
            </w:pPr>
            <w:r>
              <w:rPr>
                <w:w w:val="105"/>
                <w:sz w:val="14"/>
              </w:rPr>
              <w:t>Equipment Replacement</w:t>
            </w:r>
          </w:p>
        </w:tc>
        <w:tc>
          <w:tcPr>
            <w:tcW w:w="1850" w:type="dxa"/>
          </w:tcPr>
          <w:p>
            <w:pPr>
              <w:pStyle w:val="TableParagraph"/>
              <w:spacing w:before="101"/>
              <w:ind w:left="487" w:right="620"/>
              <w:jc w:val="center"/>
              <w:rPr>
                <w:sz w:val="14"/>
              </w:rPr>
            </w:pPr>
            <w:r>
              <w:rPr>
                <w:w w:val="105"/>
                <w:sz w:val="14"/>
              </w:rPr>
              <w:t>6500</w:t>
            </w:r>
          </w:p>
        </w:tc>
        <w:tc>
          <w:tcPr>
            <w:tcW w:w="1547" w:type="dxa"/>
          </w:tcPr>
          <w:p>
            <w:pPr>
              <w:pStyle w:val="TableParagraph"/>
              <w:spacing w:before="101"/>
              <w:ind w:left="626" w:right="593"/>
              <w:jc w:val="center"/>
              <w:rPr>
                <w:sz w:val="14"/>
              </w:rPr>
            </w:pPr>
            <w:r>
              <w:rPr>
                <w:w w:val="105"/>
                <w:sz w:val="14"/>
              </w:rPr>
              <w:t>0.00</w:t>
            </w:r>
          </w:p>
        </w:tc>
        <w:tc>
          <w:tcPr>
            <w:tcW w:w="1527" w:type="dxa"/>
          </w:tcPr>
          <w:p>
            <w:pPr>
              <w:pStyle w:val="TableParagraph"/>
              <w:spacing w:before="101"/>
              <w:ind w:left="592" w:right="606"/>
              <w:jc w:val="center"/>
              <w:rPr>
                <w:sz w:val="14"/>
              </w:rPr>
            </w:pPr>
            <w:r>
              <w:rPr>
                <w:w w:val="105"/>
                <w:sz w:val="14"/>
              </w:rPr>
              <w:t>0.00</w:t>
            </w:r>
          </w:p>
        </w:tc>
        <w:tc>
          <w:tcPr>
            <w:tcW w:w="1008" w:type="dxa"/>
          </w:tcPr>
          <w:p>
            <w:pPr>
              <w:pStyle w:val="TableParagraph"/>
              <w:spacing w:before="101"/>
              <w:ind w:right="49"/>
              <w:jc w:val="right"/>
              <w:rPr>
                <w:sz w:val="14"/>
              </w:rPr>
            </w:pPr>
            <w:r>
              <w:rPr>
                <w:sz w:val="14"/>
              </w:rPr>
              <w:t>0.0%</w:t>
            </w:r>
          </w:p>
        </w:tc>
      </w:tr>
      <w:tr>
        <w:trPr>
          <w:trHeight w:val="356" w:hRule="atLeast"/>
        </w:trPr>
        <w:tc>
          <w:tcPr>
            <w:tcW w:w="4807" w:type="dxa"/>
          </w:tcPr>
          <w:p>
            <w:pPr>
              <w:pStyle w:val="TableParagraph"/>
              <w:spacing w:before="86"/>
              <w:ind w:left="81"/>
              <w:rPr>
                <w:sz w:val="14"/>
              </w:rPr>
            </w:pPr>
            <w:r>
              <w:rPr>
                <w:w w:val="105"/>
                <w:sz w:val="14"/>
              </w:rPr>
              <w:t>Lease Assets</w:t>
            </w:r>
          </w:p>
        </w:tc>
        <w:tc>
          <w:tcPr>
            <w:tcW w:w="1850" w:type="dxa"/>
          </w:tcPr>
          <w:p>
            <w:pPr>
              <w:pStyle w:val="TableParagraph"/>
              <w:spacing w:before="86"/>
              <w:ind w:left="487" w:right="620"/>
              <w:jc w:val="center"/>
              <w:rPr>
                <w:sz w:val="14"/>
              </w:rPr>
            </w:pPr>
            <w:r>
              <w:rPr>
                <w:w w:val="105"/>
                <w:sz w:val="14"/>
              </w:rPr>
              <w:t>6600</w:t>
            </w:r>
          </w:p>
        </w:tc>
        <w:tc>
          <w:tcPr>
            <w:tcW w:w="1547" w:type="dxa"/>
          </w:tcPr>
          <w:p>
            <w:pPr>
              <w:pStyle w:val="TableParagraph"/>
              <w:spacing w:before="86"/>
              <w:ind w:left="626" w:right="593"/>
              <w:jc w:val="center"/>
              <w:rPr>
                <w:sz w:val="14"/>
              </w:rPr>
            </w:pPr>
            <w:r>
              <w:rPr>
                <w:w w:val="105"/>
                <w:sz w:val="14"/>
              </w:rPr>
              <w:t>0.00</w:t>
            </w:r>
          </w:p>
        </w:tc>
        <w:tc>
          <w:tcPr>
            <w:tcW w:w="1527" w:type="dxa"/>
          </w:tcPr>
          <w:p>
            <w:pPr>
              <w:pStyle w:val="TableParagraph"/>
              <w:spacing w:before="86"/>
              <w:ind w:left="592" w:right="606"/>
              <w:jc w:val="center"/>
              <w:rPr>
                <w:sz w:val="14"/>
              </w:rPr>
            </w:pPr>
            <w:r>
              <w:rPr>
                <w:w w:val="105"/>
                <w:sz w:val="14"/>
              </w:rPr>
              <w:t>0.00</w:t>
            </w:r>
          </w:p>
        </w:tc>
        <w:tc>
          <w:tcPr>
            <w:tcW w:w="1008" w:type="dxa"/>
          </w:tcPr>
          <w:p>
            <w:pPr>
              <w:pStyle w:val="TableParagraph"/>
              <w:spacing w:before="86"/>
              <w:ind w:right="49"/>
              <w:jc w:val="right"/>
              <w:rPr>
                <w:sz w:val="14"/>
              </w:rPr>
            </w:pPr>
            <w:r>
              <w:rPr>
                <w:sz w:val="14"/>
              </w:rPr>
              <w:t>0.0%</w:t>
            </w:r>
          </w:p>
        </w:tc>
      </w:tr>
      <w:tr>
        <w:trPr>
          <w:trHeight w:val="268" w:hRule="atLeast"/>
        </w:trPr>
        <w:tc>
          <w:tcPr>
            <w:tcW w:w="4807" w:type="dxa"/>
          </w:tcPr>
          <w:p>
            <w:pPr>
              <w:pStyle w:val="TableParagraph"/>
              <w:spacing w:line="142" w:lineRule="exact" w:before="107"/>
              <w:ind w:left="81"/>
              <w:rPr>
                <w:sz w:val="14"/>
              </w:rPr>
            </w:pPr>
            <w:r>
              <w:rPr>
                <w:w w:val="105"/>
                <w:sz w:val="14"/>
              </w:rPr>
              <w:t>TOTAL, CAPITAL OUTLAY</w:t>
            </w:r>
          </w:p>
        </w:tc>
        <w:tc>
          <w:tcPr>
            <w:tcW w:w="1850" w:type="dxa"/>
          </w:tcPr>
          <w:p>
            <w:pPr>
              <w:pStyle w:val="TableParagraph"/>
              <w:rPr>
                <w:rFonts w:ascii="Times New Roman"/>
                <w:sz w:val="14"/>
              </w:rPr>
            </w:pPr>
          </w:p>
        </w:tc>
        <w:tc>
          <w:tcPr>
            <w:tcW w:w="1547" w:type="dxa"/>
          </w:tcPr>
          <w:p>
            <w:pPr>
              <w:pStyle w:val="TableParagraph"/>
              <w:spacing w:line="142" w:lineRule="exact" w:before="107"/>
              <w:ind w:left="626" w:right="593"/>
              <w:jc w:val="center"/>
              <w:rPr>
                <w:sz w:val="14"/>
              </w:rPr>
            </w:pPr>
            <w:r>
              <w:rPr>
                <w:w w:val="105"/>
                <w:sz w:val="14"/>
              </w:rPr>
              <w:t>0.00</w:t>
            </w:r>
          </w:p>
        </w:tc>
        <w:tc>
          <w:tcPr>
            <w:tcW w:w="1527" w:type="dxa"/>
          </w:tcPr>
          <w:p>
            <w:pPr>
              <w:pStyle w:val="TableParagraph"/>
              <w:spacing w:line="142" w:lineRule="exact" w:before="107"/>
              <w:ind w:left="592" w:right="606"/>
              <w:jc w:val="center"/>
              <w:rPr>
                <w:sz w:val="14"/>
              </w:rPr>
            </w:pPr>
            <w:r>
              <w:rPr>
                <w:w w:val="105"/>
                <w:sz w:val="14"/>
              </w:rPr>
              <w:t>0.00</w:t>
            </w:r>
          </w:p>
        </w:tc>
        <w:tc>
          <w:tcPr>
            <w:tcW w:w="1008" w:type="dxa"/>
          </w:tcPr>
          <w:p>
            <w:pPr>
              <w:pStyle w:val="TableParagraph"/>
              <w:spacing w:line="142" w:lineRule="exact" w:before="107"/>
              <w:ind w:right="49"/>
              <w:jc w:val="right"/>
              <w:rPr>
                <w:sz w:val="14"/>
              </w:rPr>
            </w:pPr>
            <w:r>
              <w:rPr>
                <w:sz w:val="14"/>
              </w:rPr>
              <w:t>0.0%</w:t>
            </w:r>
          </w:p>
        </w:tc>
      </w:tr>
    </w:tbl>
    <w:p>
      <w:pPr>
        <w:pStyle w:val="BodyText"/>
        <w:spacing w:before="10"/>
        <w:rPr>
          <w:sz w:val="9"/>
        </w:rPr>
      </w:pPr>
    </w:p>
    <w:p>
      <w:pPr>
        <w:spacing w:before="99"/>
        <w:ind w:left="370" w:right="0" w:firstLine="0"/>
        <w:jc w:val="left"/>
        <w:rPr>
          <w:b/>
          <w:sz w:val="14"/>
        </w:rPr>
      </w:pPr>
      <w:r>
        <w:rPr/>
        <w:pict>
          <v:group style="position:absolute;margin-left:24.719999pt;margin-top:-364.204041pt;width:538pt;height:552.25pt;mso-position-horizontal-relative:page;mso-position-vertical-relative:paragraph;z-index:-314212352" coordorigin="494,-7284" coordsize="10760,11045">
            <v:shape style="position:absolute;left:6674;top:-7285;width:4580;height:569" type="#_x0000_t75" stroked="false">
              <v:imagedata r:id="rId631" o:title=""/>
            </v:shape>
            <v:shape style="position:absolute;left:8186;top:-7088;width:3068;height:732" type="#_x0000_t75" stroked="false">
              <v:imagedata r:id="rId489" o:title=""/>
            </v:shape>
            <v:shape style="position:absolute;left:6674;top:-6723;width:4580;height:1097" type="#_x0000_t75" stroked="false">
              <v:imagedata r:id="rId632" o:title=""/>
            </v:shape>
            <v:shape style="position:absolute;left:6674;top:-5993;width:1520;height:737" type="#_x0000_t75" stroked="false">
              <v:imagedata r:id="rId634" o:title=""/>
            </v:shape>
            <v:shape style="position:absolute;left:8186;top:-5993;width:1520;height:737" type="#_x0000_t75" stroked="false">
              <v:imagedata r:id="rId634" o:title=""/>
            </v:shape>
            <v:rect style="position:absolute;left:9703;top:-5624;width:1541;height:365" filled="true" fillcolor="#dfdfdf" stroked="false">
              <v:fill type="solid"/>
            </v:rect>
            <v:shape style="position:absolute;left:6674;top:-5993;width:4580;height:1664" type="#_x0000_t75" stroked="false">
              <v:imagedata r:id="rId635" o:title=""/>
            </v:shape>
            <v:shape style="position:absolute;left:6674;top:-4534;width:4580;height:569" type="#_x0000_t75" stroked="false">
              <v:imagedata r:id="rId636" o:title=""/>
            </v:shape>
            <v:shape style="position:absolute;left:5707;top:-4337;width:5547;height:749" type="#_x0000_t75" stroked="false">
              <v:imagedata r:id="rId495" o:title=""/>
            </v:shape>
            <v:shape style="position:absolute;left:494;top:-3596;width:3646;height:372" type="#_x0000_t75" stroked="false">
              <v:imagedata r:id="rId881" o:title=""/>
            </v:shape>
            <v:shape style="position:absolute;left:4132;top:-3973;width:7121;height:1119" type="#_x0000_t75" stroked="false">
              <v:imagedata r:id="rId882" o:title=""/>
            </v:shape>
            <v:shape style="position:absolute;left:6674;top:-3226;width:4580;height:737" type="#_x0000_t75" stroked="false">
              <v:imagedata r:id="rId464" o:title=""/>
            </v:shape>
            <v:shape style="position:absolute;left:6674;top:-2861;width:4580;height:737" type="#_x0000_t75" stroked="false">
              <v:imagedata r:id="rId464" o:title=""/>
            </v:shape>
            <v:shape style="position:absolute;left:6674;top:-2497;width:4580;height:946" type="#_x0000_t75" stroked="false">
              <v:imagedata r:id="rId883" o:title=""/>
            </v:shape>
            <v:shape style="position:absolute;left:6674;top:-1767;width:4580;height:581" type="#_x0000_t75" stroked="false">
              <v:imagedata r:id="rId884" o:title=""/>
            </v:shape>
            <v:shape style="position:absolute;left:494;top:-3226;width:3646;height:3118" type="#_x0000_t75" stroked="false">
              <v:imagedata r:id="rId885" o:title=""/>
            </v:shape>
            <v:shape style="position:absolute;left:8186;top:-1558;width:3068;height:732" type="#_x0000_t75" stroked="false">
              <v:imagedata r:id="rId489" o:title=""/>
            </v:shape>
            <v:shape style="position:absolute;left:8186;top:-1193;width:3068;height:372" type="#_x0000_t75" stroked="false">
              <v:imagedata r:id="rId490" o:title=""/>
            </v:shape>
            <v:rect style="position:absolute;left:6679;top:-824;width:1512;height:336" filled="true" fillcolor="#dfdfdf" stroked="false">
              <v:fill type="solid"/>
            </v:rect>
            <v:shape style="position:absolute;left:4132;top:-1193;width:7121;height:1085" type="#_x0000_t75" stroked="false">
              <v:imagedata r:id="rId886" o:title=""/>
            </v:shape>
            <v:shape style="position:absolute;left:494;top:-116;width:5220;height:380" type="#_x0000_t75" stroked="false">
              <v:imagedata r:id="rId480" o:title=""/>
            </v:shape>
            <v:shape style="position:absolute;left:5707;top:-493;width:5547;height:1688" type="#_x0000_t75" stroked="false">
              <v:imagedata r:id="rId937" o:title=""/>
            </v:shape>
            <v:shape style="position:absolute;left:494;top:261;width:5220;height:3500" type="#_x0000_t75" stroked="false">
              <v:imagedata r:id="rId938" o:title=""/>
            </v:shape>
            <w10:wrap type="none"/>
          </v:group>
        </w:pict>
      </w:r>
      <w:r>
        <w:rPr>
          <w:b/>
          <w:w w:val="105"/>
          <w:sz w:val="14"/>
        </w:rPr>
        <w:t>OTHER OUTGO (excluding Transfers of Indirect Costs)</w:t>
      </w:r>
    </w:p>
    <w:p>
      <w:pPr>
        <w:pStyle w:val="BodyText"/>
        <w:spacing w:before="4"/>
        <w:rPr>
          <w:b/>
          <w:sz w:val="9"/>
        </w:rPr>
      </w:pPr>
    </w:p>
    <w:p>
      <w:pPr>
        <w:spacing w:before="99"/>
        <w:ind w:left="452" w:right="0" w:firstLine="0"/>
        <w:jc w:val="left"/>
        <w:rPr>
          <w:sz w:val="14"/>
        </w:rPr>
      </w:pPr>
      <w:r>
        <w:rPr>
          <w:w w:val="105"/>
          <w:sz w:val="14"/>
        </w:rPr>
        <w:t>Other Transfers Out</w:t>
      </w:r>
    </w:p>
    <w:p>
      <w:pPr>
        <w:pStyle w:val="BodyText"/>
        <w:spacing w:before="1"/>
        <w:rPr>
          <w:sz w:val="9"/>
        </w:rPr>
      </w:pPr>
    </w:p>
    <w:p>
      <w:pPr>
        <w:spacing w:before="99" w:after="37"/>
        <w:ind w:left="533" w:right="0" w:firstLine="0"/>
        <w:jc w:val="left"/>
        <w:rPr>
          <w:sz w:val="14"/>
        </w:rPr>
      </w:pPr>
      <w:r>
        <w:rPr/>
        <w:pict>
          <v:group style="position:absolute;margin-left:24.719999pt;margin-top:12.955927pt;width:538pt;height:165.15pt;mso-position-horizontal-relative:page;mso-position-vertical-relative:paragraph;z-index:-314211328" coordorigin="494,259" coordsize="10760,3303">
            <v:shape style="position:absolute;left:8186;top:259;width:3068;height:564" type="#_x0000_t75" stroked="false">
              <v:imagedata r:id="rId805" o:title=""/>
            </v:shape>
            <v:shape style="position:absolute;left:6674;top:455;width:4580;height:1102" type="#_x0000_t75" stroked="false">
              <v:imagedata r:id="rId939" o:title=""/>
            </v:shape>
            <v:shape style="position:absolute;left:6674;top:1185;width:4580;height:1102" type="#_x0000_t75" stroked="false">
              <v:imagedata r:id="rId641" o:title=""/>
            </v:shape>
            <v:shape style="position:absolute;left:6674;top:1915;width:4580;height:737" type="#_x0000_t75" stroked="false">
              <v:imagedata r:id="rId642" o:title=""/>
            </v:shape>
            <v:shape style="position:absolute;left:5707;top:2279;width:5547;height:749" type="#_x0000_t75" stroked="false">
              <v:imagedata r:id="rId888" o:title=""/>
            </v:shape>
            <v:shape style="position:absolute;left:494;top:3021;width:3646;height:540" type="#_x0000_t75" stroked="false">
              <v:imagedata r:id="rId496" o:title=""/>
            </v:shape>
            <v:shape style="position:absolute;left:4132;top:2644;width:7121;height:917" type="#_x0000_t75" stroked="false">
              <v:imagedata r:id="rId889" o:title=""/>
            </v:shape>
            <v:shape style="position:absolute;left:8186;top:3218;width:3068;height:344" type="#_x0000_t75" stroked="false">
              <v:imagedata r:id="rId646" o:title=""/>
            </v:shape>
            <w10:wrap type="none"/>
          </v:group>
        </w:pict>
      </w:r>
      <w:r>
        <w:rPr>
          <w:w w:val="105"/>
          <w:sz w:val="14"/>
        </w:rPr>
        <w:t>Transfers of Pass-Through Revenues</w:t>
      </w:r>
    </w:p>
    <w:tbl>
      <w:tblPr>
        <w:tblW w:w="0" w:type="auto"/>
        <w:jc w:val="left"/>
        <w:tblInd w:w="3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91"/>
        <w:gridCol w:w="1723"/>
        <w:gridCol w:w="1637"/>
        <w:gridCol w:w="1525"/>
        <w:gridCol w:w="1006"/>
      </w:tblGrid>
      <w:tr>
        <w:trPr>
          <w:trHeight w:val="262" w:hRule="atLeast"/>
        </w:trPr>
        <w:tc>
          <w:tcPr>
            <w:tcW w:w="4891" w:type="dxa"/>
          </w:tcPr>
          <w:p>
            <w:pPr>
              <w:pStyle w:val="TableParagraph"/>
              <w:spacing w:line="160" w:lineRule="exact"/>
              <w:ind w:left="294"/>
              <w:rPr>
                <w:sz w:val="14"/>
              </w:rPr>
            </w:pPr>
            <w:r>
              <w:rPr>
                <w:w w:val="105"/>
                <w:sz w:val="14"/>
              </w:rPr>
              <w:t>To Districts or Charter Schools</w:t>
            </w:r>
          </w:p>
        </w:tc>
        <w:tc>
          <w:tcPr>
            <w:tcW w:w="1723" w:type="dxa"/>
          </w:tcPr>
          <w:p>
            <w:pPr>
              <w:pStyle w:val="TableParagraph"/>
              <w:spacing w:line="160" w:lineRule="exact"/>
              <w:ind w:left="664"/>
              <w:rPr>
                <w:sz w:val="14"/>
              </w:rPr>
            </w:pPr>
            <w:r>
              <w:rPr>
                <w:w w:val="105"/>
                <w:sz w:val="14"/>
              </w:rPr>
              <w:t>7211</w:t>
            </w:r>
          </w:p>
        </w:tc>
        <w:tc>
          <w:tcPr>
            <w:tcW w:w="1637" w:type="dxa"/>
          </w:tcPr>
          <w:p>
            <w:pPr>
              <w:pStyle w:val="TableParagraph"/>
              <w:spacing w:line="160" w:lineRule="exact"/>
              <w:ind w:right="612"/>
              <w:jc w:val="right"/>
              <w:rPr>
                <w:sz w:val="14"/>
              </w:rPr>
            </w:pPr>
            <w:r>
              <w:rPr>
                <w:sz w:val="14"/>
              </w:rPr>
              <w:t>0.00</w:t>
            </w:r>
          </w:p>
        </w:tc>
        <w:tc>
          <w:tcPr>
            <w:tcW w:w="1525" w:type="dxa"/>
          </w:tcPr>
          <w:p>
            <w:pPr>
              <w:pStyle w:val="TableParagraph"/>
              <w:spacing w:line="160" w:lineRule="exact"/>
              <w:ind w:left="595" w:right="601"/>
              <w:jc w:val="center"/>
              <w:rPr>
                <w:sz w:val="14"/>
              </w:rPr>
            </w:pPr>
            <w:r>
              <w:rPr>
                <w:w w:val="105"/>
                <w:sz w:val="14"/>
              </w:rPr>
              <w:t>0.00</w:t>
            </w:r>
          </w:p>
        </w:tc>
        <w:tc>
          <w:tcPr>
            <w:tcW w:w="1006" w:type="dxa"/>
          </w:tcPr>
          <w:p>
            <w:pPr>
              <w:pStyle w:val="TableParagraph"/>
              <w:spacing w:line="160" w:lineRule="exact"/>
              <w:ind w:right="42"/>
              <w:jc w:val="right"/>
              <w:rPr>
                <w:sz w:val="14"/>
              </w:rPr>
            </w:pPr>
            <w:r>
              <w:rPr>
                <w:sz w:val="14"/>
              </w:rPr>
              <w:t>0.0%</w:t>
            </w:r>
          </w:p>
        </w:tc>
      </w:tr>
      <w:tr>
        <w:trPr>
          <w:trHeight w:val="364" w:hRule="atLeast"/>
        </w:trPr>
        <w:tc>
          <w:tcPr>
            <w:tcW w:w="4891" w:type="dxa"/>
          </w:tcPr>
          <w:p>
            <w:pPr>
              <w:pStyle w:val="TableParagraph"/>
              <w:spacing w:before="101"/>
              <w:ind w:left="294"/>
              <w:rPr>
                <w:sz w:val="14"/>
              </w:rPr>
            </w:pPr>
            <w:r>
              <w:rPr>
                <w:w w:val="105"/>
                <w:sz w:val="14"/>
              </w:rPr>
              <w:t>To County Offices</w:t>
            </w:r>
          </w:p>
        </w:tc>
        <w:tc>
          <w:tcPr>
            <w:tcW w:w="1723" w:type="dxa"/>
          </w:tcPr>
          <w:p>
            <w:pPr>
              <w:pStyle w:val="TableParagraph"/>
              <w:spacing w:before="101"/>
              <w:ind w:left="664"/>
              <w:rPr>
                <w:sz w:val="14"/>
              </w:rPr>
            </w:pPr>
            <w:r>
              <w:rPr>
                <w:w w:val="105"/>
                <w:sz w:val="14"/>
              </w:rPr>
              <w:t>7212</w:t>
            </w:r>
          </w:p>
        </w:tc>
        <w:tc>
          <w:tcPr>
            <w:tcW w:w="1637" w:type="dxa"/>
          </w:tcPr>
          <w:p>
            <w:pPr>
              <w:pStyle w:val="TableParagraph"/>
              <w:spacing w:before="101"/>
              <w:ind w:right="612"/>
              <w:jc w:val="right"/>
              <w:rPr>
                <w:sz w:val="14"/>
              </w:rPr>
            </w:pPr>
            <w:r>
              <w:rPr>
                <w:sz w:val="14"/>
              </w:rPr>
              <w:t>0.00</w:t>
            </w:r>
          </w:p>
        </w:tc>
        <w:tc>
          <w:tcPr>
            <w:tcW w:w="1525" w:type="dxa"/>
          </w:tcPr>
          <w:p>
            <w:pPr>
              <w:pStyle w:val="TableParagraph"/>
              <w:spacing w:before="101"/>
              <w:ind w:left="595" w:right="601"/>
              <w:jc w:val="center"/>
              <w:rPr>
                <w:sz w:val="14"/>
              </w:rPr>
            </w:pPr>
            <w:r>
              <w:rPr>
                <w:w w:val="105"/>
                <w:sz w:val="14"/>
              </w:rPr>
              <w:t>0.00</w:t>
            </w:r>
          </w:p>
        </w:tc>
        <w:tc>
          <w:tcPr>
            <w:tcW w:w="1006" w:type="dxa"/>
          </w:tcPr>
          <w:p>
            <w:pPr>
              <w:pStyle w:val="TableParagraph"/>
              <w:spacing w:before="101"/>
              <w:ind w:right="42"/>
              <w:jc w:val="right"/>
              <w:rPr>
                <w:sz w:val="14"/>
              </w:rPr>
            </w:pPr>
            <w:r>
              <w:rPr>
                <w:sz w:val="14"/>
              </w:rPr>
              <w:t>0.0%</w:t>
            </w:r>
          </w:p>
        </w:tc>
      </w:tr>
      <w:tr>
        <w:trPr>
          <w:trHeight w:val="364" w:hRule="atLeast"/>
        </w:trPr>
        <w:tc>
          <w:tcPr>
            <w:tcW w:w="4891" w:type="dxa"/>
          </w:tcPr>
          <w:p>
            <w:pPr>
              <w:pStyle w:val="TableParagraph"/>
              <w:spacing w:before="101"/>
              <w:ind w:left="294"/>
              <w:rPr>
                <w:sz w:val="14"/>
              </w:rPr>
            </w:pPr>
            <w:r>
              <w:rPr>
                <w:w w:val="105"/>
                <w:sz w:val="14"/>
              </w:rPr>
              <w:t>To JPAs</w:t>
            </w:r>
          </w:p>
        </w:tc>
        <w:tc>
          <w:tcPr>
            <w:tcW w:w="1723" w:type="dxa"/>
          </w:tcPr>
          <w:p>
            <w:pPr>
              <w:pStyle w:val="TableParagraph"/>
              <w:spacing w:before="101"/>
              <w:ind w:left="664"/>
              <w:rPr>
                <w:sz w:val="14"/>
              </w:rPr>
            </w:pPr>
            <w:r>
              <w:rPr>
                <w:w w:val="105"/>
                <w:sz w:val="14"/>
              </w:rPr>
              <w:t>7213</w:t>
            </w:r>
          </w:p>
        </w:tc>
        <w:tc>
          <w:tcPr>
            <w:tcW w:w="1637" w:type="dxa"/>
          </w:tcPr>
          <w:p>
            <w:pPr>
              <w:pStyle w:val="TableParagraph"/>
              <w:spacing w:before="101"/>
              <w:ind w:right="612"/>
              <w:jc w:val="right"/>
              <w:rPr>
                <w:sz w:val="14"/>
              </w:rPr>
            </w:pPr>
            <w:r>
              <w:rPr>
                <w:sz w:val="14"/>
              </w:rPr>
              <w:t>0.00</w:t>
            </w:r>
          </w:p>
        </w:tc>
        <w:tc>
          <w:tcPr>
            <w:tcW w:w="1525" w:type="dxa"/>
          </w:tcPr>
          <w:p>
            <w:pPr>
              <w:pStyle w:val="TableParagraph"/>
              <w:spacing w:before="101"/>
              <w:ind w:left="595" w:right="601"/>
              <w:jc w:val="center"/>
              <w:rPr>
                <w:sz w:val="14"/>
              </w:rPr>
            </w:pPr>
            <w:r>
              <w:rPr>
                <w:w w:val="105"/>
                <w:sz w:val="14"/>
              </w:rPr>
              <w:t>0.00</w:t>
            </w:r>
          </w:p>
        </w:tc>
        <w:tc>
          <w:tcPr>
            <w:tcW w:w="1006" w:type="dxa"/>
          </w:tcPr>
          <w:p>
            <w:pPr>
              <w:pStyle w:val="TableParagraph"/>
              <w:spacing w:before="101"/>
              <w:ind w:right="42"/>
              <w:jc w:val="right"/>
              <w:rPr>
                <w:sz w:val="14"/>
              </w:rPr>
            </w:pPr>
            <w:r>
              <w:rPr>
                <w:sz w:val="14"/>
              </w:rPr>
              <w:t>0.0%</w:t>
            </w:r>
          </w:p>
        </w:tc>
      </w:tr>
      <w:tr>
        <w:trPr>
          <w:trHeight w:val="262" w:hRule="atLeast"/>
        </w:trPr>
        <w:tc>
          <w:tcPr>
            <w:tcW w:w="4891" w:type="dxa"/>
          </w:tcPr>
          <w:p>
            <w:pPr>
              <w:pStyle w:val="TableParagraph"/>
              <w:spacing w:line="142" w:lineRule="exact" w:before="101"/>
              <w:ind w:left="213"/>
              <w:rPr>
                <w:sz w:val="14"/>
              </w:rPr>
            </w:pPr>
            <w:r>
              <w:rPr>
                <w:w w:val="105"/>
                <w:sz w:val="14"/>
              </w:rPr>
              <w:t>All Other Transfers Out to All Others</w:t>
            </w:r>
          </w:p>
        </w:tc>
        <w:tc>
          <w:tcPr>
            <w:tcW w:w="1723" w:type="dxa"/>
          </w:tcPr>
          <w:p>
            <w:pPr>
              <w:pStyle w:val="TableParagraph"/>
              <w:spacing w:line="142" w:lineRule="exact" w:before="101"/>
              <w:ind w:left="664"/>
              <w:rPr>
                <w:sz w:val="14"/>
              </w:rPr>
            </w:pPr>
            <w:r>
              <w:rPr>
                <w:w w:val="105"/>
                <w:sz w:val="14"/>
              </w:rPr>
              <w:t>7299</w:t>
            </w:r>
          </w:p>
        </w:tc>
        <w:tc>
          <w:tcPr>
            <w:tcW w:w="1637" w:type="dxa"/>
          </w:tcPr>
          <w:p>
            <w:pPr>
              <w:pStyle w:val="TableParagraph"/>
              <w:spacing w:line="142" w:lineRule="exact" w:before="101"/>
              <w:ind w:right="612"/>
              <w:jc w:val="right"/>
              <w:rPr>
                <w:sz w:val="14"/>
              </w:rPr>
            </w:pPr>
            <w:r>
              <w:rPr>
                <w:sz w:val="14"/>
              </w:rPr>
              <w:t>0.00</w:t>
            </w:r>
          </w:p>
        </w:tc>
        <w:tc>
          <w:tcPr>
            <w:tcW w:w="1525" w:type="dxa"/>
          </w:tcPr>
          <w:p>
            <w:pPr>
              <w:pStyle w:val="TableParagraph"/>
              <w:spacing w:line="142" w:lineRule="exact" w:before="101"/>
              <w:ind w:left="595" w:right="601"/>
              <w:jc w:val="center"/>
              <w:rPr>
                <w:sz w:val="14"/>
              </w:rPr>
            </w:pPr>
            <w:r>
              <w:rPr>
                <w:w w:val="105"/>
                <w:sz w:val="14"/>
              </w:rPr>
              <w:t>0.00</w:t>
            </w:r>
          </w:p>
        </w:tc>
        <w:tc>
          <w:tcPr>
            <w:tcW w:w="1006" w:type="dxa"/>
          </w:tcPr>
          <w:p>
            <w:pPr>
              <w:pStyle w:val="TableParagraph"/>
              <w:spacing w:line="142" w:lineRule="exact" w:before="101"/>
              <w:ind w:right="42"/>
              <w:jc w:val="right"/>
              <w:rPr>
                <w:sz w:val="14"/>
              </w:rPr>
            </w:pPr>
            <w:r>
              <w:rPr>
                <w:sz w:val="14"/>
              </w:rPr>
              <w:t>0.0%</w:t>
            </w:r>
          </w:p>
        </w:tc>
      </w:tr>
      <w:tr>
        <w:trPr>
          <w:trHeight w:val="364" w:hRule="atLeast"/>
        </w:trPr>
        <w:tc>
          <w:tcPr>
            <w:tcW w:w="4891" w:type="dxa"/>
          </w:tcPr>
          <w:p>
            <w:pPr>
              <w:pStyle w:val="TableParagraph"/>
              <w:spacing w:before="7"/>
              <w:rPr>
                <w:sz w:val="17"/>
              </w:rPr>
            </w:pPr>
          </w:p>
          <w:p>
            <w:pPr>
              <w:pStyle w:val="TableParagraph"/>
              <w:spacing w:line="142" w:lineRule="exact"/>
              <w:ind w:left="131"/>
              <w:rPr>
                <w:sz w:val="14"/>
              </w:rPr>
            </w:pPr>
            <w:r>
              <w:rPr>
                <w:w w:val="105"/>
                <w:sz w:val="14"/>
              </w:rPr>
              <w:t>Debt Service</w:t>
            </w:r>
          </w:p>
        </w:tc>
        <w:tc>
          <w:tcPr>
            <w:tcW w:w="1723" w:type="dxa"/>
          </w:tcPr>
          <w:p>
            <w:pPr>
              <w:pStyle w:val="TableParagraph"/>
              <w:rPr>
                <w:rFonts w:ascii="Times New Roman"/>
                <w:sz w:val="14"/>
              </w:rPr>
            </w:pPr>
          </w:p>
        </w:tc>
        <w:tc>
          <w:tcPr>
            <w:tcW w:w="1637" w:type="dxa"/>
          </w:tcPr>
          <w:p>
            <w:pPr>
              <w:pStyle w:val="TableParagraph"/>
              <w:rPr>
                <w:rFonts w:ascii="Times New Roman"/>
                <w:sz w:val="14"/>
              </w:rPr>
            </w:pPr>
          </w:p>
        </w:tc>
        <w:tc>
          <w:tcPr>
            <w:tcW w:w="1525" w:type="dxa"/>
          </w:tcPr>
          <w:p>
            <w:pPr>
              <w:pStyle w:val="TableParagraph"/>
              <w:rPr>
                <w:rFonts w:ascii="Times New Roman"/>
                <w:sz w:val="14"/>
              </w:rPr>
            </w:pPr>
          </w:p>
        </w:tc>
        <w:tc>
          <w:tcPr>
            <w:tcW w:w="1006" w:type="dxa"/>
          </w:tcPr>
          <w:p>
            <w:pPr>
              <w:pStyle w:val="TableParagraph"/>
              <w:rPr>
                <w:rFonts w:ascii="Times New Roman"/>
                <w:sz w:val="14"/>
              </w:rPr>
            </w:pPr>
          </w:p>
        </w:tc>
      </w:tr>
      <w:tr>
        <w:trPr>
          <w:trHeight w:val="466" w:hRule="atLeast"/>
        </w:trPr>
        <w:tc>
          <w:tcPr>
            <w:tcW w:w="4891" w:type="dxa"/>
          </w:tcPr>
          <w:p>
            <w:pPr>
              <w:pStyle w:val="TableParagraph"/>
              <w:spacing w:before="7"/>
              <w:rPr>
                <w:sz w:val="17"/>
              </w:rPr>
            </w:pPr>
          </w:p>
          <w:p>
            <w:pPr>
              <w:pStyle w:val="TableParagraph"/>
              <w:ind w:left="213"/>
              <w:rPr>
                <w:sz w:val="14"/>
              </w:rPr>
            </w:pPr>
            <w:r>
              <w:rPr>
                <w:w w:val="105"/>
                <w:sz w:val="14"/>
              </w:rPr>
              <w:t>Debt Service - Interest</w:t>
            </w:r>
          </w:p>
        </w:tc>
        <w:tc>
          <w:tcPr>
            <w:tcW w:w="1723" w:type="dxa"/>
          </w:tcPr>
          <w:p>
            <w:pPr>
              <w:pStyle w:val="TableParagraph"/>
              <w:spacing w:before="7"/>
              <w:rPr>
                <w:sz w:val="17"/>
              </w:rPr>
            </w:pPr>
          </w:p>
          <w:p>
            <w:pPr>
              <w:pStyle w:val="TableParagraph"/>
              <w:ind w:left="664"/>
              <w:rPr>
                <w:sz w:val="14"/>
              </w:rPr>
            </w:pPr>
            <w:r>
              <w:rPr>
                <w:w w:val="105"/>
                <w:sz w:val="14"/>
              </w:rPr>
              <w:t>7438</w:t>
            </w:r>
          </w:p>
        </w:tc>
        <w:tc>
          <w:tcPr>
            <w:tcW w:w="1637" w:type="dxa"/>
          </w:tcPr>
          <w:p>
            <w:pPr>
              <w:pStyle w:val="TableParagraph"/>
              <w:spacing w:before="7"/>
              <w:rPr>
                <w:sz w:val="17"/>
              </w:rPr>
            </w:pPr>
          </w:p>
          <w:p>
            <w:pPr>
              <w:pStyle w:val="TableParagraph"/>
              <w:ind w:right="612"/>
              <w:jc w:val="right"/>
              <w:rPr>
                <w:sz w:val="14"/>
              </w:rPr>
            </w:pPr>
            <w:r>
              <w:rPr>
                <w:sz w:val="14"/>
              </w:rPr>
              <w:t>0.00</w:t>
            </w:r>
          </w:p>
        </w:tc>
        <w:tc>
          <w:tcPr>
            <w:tcW w:w="1525" w:type="dxa"/>
          </w:tcPr>
          <w:p>
            <w:pPr>
              <w:pStyle w:val="TableParagraph"/>
              <w:spacing w:before="7"/>
              <w:rPr>
                <w:sz w:val="17"/>
              </w:rPr>
            </w:pPr>
          </w:p>
          <w:p>
            <w:pPr>
              <w:pStyle w:val="TableParagraph"/>
              <w:ind w:left="595" w:right="601"/>
              <w:jc w:val="center"/>
              <w:rPr>
                <w:sz w:val="14"/>
              </w:rPr>
            </w:pPr>
            <w:r>
              <w:rPr>
                <w:w w:val="105"/>
                <w:sz w:val="14"/>
              </w:rPr>
              <w:t>0.00</w:t>
            </w:r>
          </w:p>
        </w:tc>
        <w:tc>
          <w:tcPr>
            <w:tcW w:w="1006" w:type="dxa"/>
          </w:tcPr>
          <w:p>
            <w:pPr>
              <w:pStyle w:val="TableParagraph"/>
              <w:spacing w:before="7"/>
              <w:rPr>
                <w:sz w:val="17"/>
              </w:rPr>
            </w:pPr>
          </w:p>
          <w:p>
            <w:pPr>
              <w:pStyle w:val="TableParagraph"/>
              <w:ind w:right="42"/>
              <w:jc w:val="right"/>
              <w:rPr>
                <w:sz w:val="14"/>
              </w:rPr>
            </w:pPr>
            <w:r>
              <w:rPr>
                <w:sz w:val="14"/>
              </w:rPr>
              <w:t>0.0%</w:t>
            </w:r>
          </w:p>
        </w:tc>
      </w:tr>
      <w:tr>
        <w:trPr>
          <w:trHeight w:val="370" w:hRule="atLeast"/>
        </w:trPr>
        <w:tc>
          <w:tcPr>
            <w:tcW w:w="4891" w:type="dxa"/>
          </w:tcPr>
          <w:p>
            <w:pPr>
              <w:pStyle w:val="TableParagraph"/>
              <w:spacing w:before="101"/>
              <w:ind w:left="213"/>
              <w:rPr>
                <w:sz w:val="14"/>
              </w:rPr>
            </w:pPr>
            <w:r>
              <w:rPr>
                <w:w w:val="105"/>
                <w:sz w:val="14"/>
              </w:rPr>
              <w:t>Other Debt Service - Principal</w:t>
            </w:r>
          </w:p>
        </w:tc>
        <w:tc>
          <w:tcPr>
            <w:tcW w:w="1723" w:type="dxa"/>
          </w:tcPr>
          <w:p>
            <w:pPr>
              <w:pStyle w:val="TableParagraph"/>
              <w:spacing w:before="101"/>
              <w:ind w:left="664"/>
              <w:rPr>
                <w:sz w:val="14"/>
              </w:rPr>
            </w:pPr>
            <w:r>
              <w:rPr>
                <w:w w:val="105"/>
                <w:sz w:val="14"/>
              </w:rPr>
              <w:t>7439</w:t>
            </w:r>
          </w:p>
        </w:tc>
        <w:tc>
          <w:tcPr>
            <w:tcW w:w="1637" w:type="dxa"/>
          </w:tcPr>
          <w:p>
            <w:pPr>
              <w:pStyle w:val="TableParagraph"/>
              <w:spacing w:before="101"/>
              <w:ind w:right="612"/>
              <w:jc w:val="right"/>
              <w:rPr>
                <w:sz w:val="14"/>
              </w:rPr>
            </w:pPr>
            <w:r>
              <w:rPr>
                <w:sz w:val="14"/>
              </w:rPr>
              <w:t>0.00</w:t>
            </w:r>
          </w:p>
        </w:tc>
        <w:tc>
          <w:tcPr>
            <w:tcW w:w="1525" w:type="dxa"/>
          </w:tcPr>
          <w:p>
            <w:pPr>
              <w:pStyle w:val="TableParagraph"/>
              <w:spacing w:before="101"/>
              <w:ind w:left="595" w:right="601"/>
              <w:jc w:val="center"/>
              <w:rPr>
                <w:sz w:val="14"/>
              </w:rPr>
            </w:pPr>
            <w:r>
              <w:rPr>
                <w:w w:val="105"/>
                <w:sz w:val="14"/>
              </w:rPr>
              <w:t>0.00</w:t>
            </w:r>
          </w:p>
        </w:tc>
        <w:tc>
          <w:tcPr>
            <w:tcW w:w="1006" w:type="dxa"/>
          </w:tcPr>
          <w:p>
            <w:pPr>
              <w:pStyle w:val="TableParagraph"/>
              <w:spacing w:before="101"/>
              <w:ind w:right="42"/>
              <w:jc w:val="right"/>
              <w:rPr>
                <w:sz w:val="14"/>
              </w:rPr>
            </w:pPr>
            <w:r>
              <w:rPr>
                <w:sz w:val="14"/>
              </w:rPr>
              <w:t>0.0%</w:t>
            </w:r>
          </w:p>
        </w:tc>
      </w:tr>
      <w:tr>
        <w:trPr>
          <w:trHeight w:val="451" w:hRule="atLeast"/>
        </w:trPr>
        <w:tc>
          <w:tcPr>
            <w:tcW w:w="4891" w:type="dxa"/>
          </w:tcPr>
          <w:p>
            <w:pPr>
              <w:pStyle w:val="TableParagraph"/>
              <w:spacing w:before="107"/>
              <w:ind w:left="131"/>
              <w:rPr>
                <w:sz w:val="14"/>
              </w:rPr>
            </w:pPr>
            <w:r>
              <w:rPr>
                <w:w w:val="105"/>
                <w:sz w:val="14"/>
              </w:rPr>
              <w:t>TOTAL, OTHER OUTGO (excluding Transfers of Indirect Costs)</w:t>
            </w:r>
          </w:p>
        </w:tc>
        <w:tc>
          <w:tcPr>
            <w:tcW w:w="1723" w:type="dxa"/>
          </w:tcPr>
          <w:p>
            <w:pPr>
              <w:pStyle w:val="TableParagraph"/>
              <w:rPr>
                <w:rFonts w:ascii="Times New Roman"/>
                <w:sz w:val="14"/>
              </w:rPr>
            </w:pPr>
          </w:p>
        </w:tc>
        <w:tc>
          <w:tcPr>
            <w:tcW w:w="1637" w:type="dxa"/>
          </w:tcPr>
          <w:p>
            <w:pPr>
              <w:pStyle w:val="TableParagraph"/>
              <w:spacing w:before="107"/>
              <w:ind w:right="612"/>
              <w:jc w:val="right"/>
              <w:rPr>
                <w:sz w:val="14"/>
              </w:rPr>
            </w:pPr>
            <w:r>
              <w:rPr>
                <w:sz w:val="14"/>
              </w:rPr>
              <w:t>0.00</w:t>
            </w:r>
          </w:p>
        </w:tc>
        <w:tc>
          <w:tcPr>
            <w:tcW w:w="1525" w:type="dxa"/>
          </w:tcPr>
          <w:p>
            <w:pPr>
              <w:pStyle w:val="TableParagraph"/>
              <w:spacing w:before="107"/>
              <w:ind w:left="595" w:right="601"/>
              <w:jc w:val="center"/>
              <w:rPr>
                <w:sz w:val="14"/>
              </w:rPr>
            </w:pPr>
            <w:r>
              <w:rPr>
                <w:w w:val="105"/>
                <w:sz w:val="14"/>
              </w:rPr>
              <w:t>0.00</w:t>
            </w:r>
          </w:p>
        </w:tc>
        <w:tc>
          <w:tcPr>
            <w:tcW w:w="1006" w:type="dxa"/>
          </w:tcPr>
          <w:p>
            <w:pPr>
              <w:pStyle w:val="TableParagraph"/>
              <w:spacing w:before="107"/>
              <w:ind w:right="42"/>
              <w:jc w:val="right"/>
              <w:rPr>
                <w:sz w:val="14"/>
              </w:rPr>
            </w:pPr>
            <w:r>
              <w:rPr>
                <w:sz w:val="14"/>
              </w:rPr>
              <w:t>0.0%</w:t>
            </w:r>
          </w:p>
        </w:tc>
      </w:tr>
      <w:tr>
        <w:trPr>
          <w:trHeight w:val="343" w:hRule="atLeast"/>
        </w:trPr>
        <w:tc>
          <w:tcPr>
            <w:tcW w:w="4891" w:type="dxa"/>
          </w:tcPr>
          <w:p>
            <w:pPr>
              <w:pStyle w:val="TableParagraph"/>
              <w:spacing w:before="8"/>
              <w:rPr>
                <w:sz w:val="15"/>
              </w:rPr>
            </w:pPr>
          </w:p>
          <w:p>
            <w:pPr>
              <w:pStyle w:val="TableParagraph"/>
              <w:spacing w:line="142" w:lineRule="exact" w:before="1"/>
              <w:ind w:left="50"/>
              <w:rPr>
                <w:sz w:val="14"/>
              </w:rPr>
            </w:pPr>
            <w:r>
              <w:rPr>
                <w:w w:val="105"/>
                <w:sz w:val="14"/>
              </w:rPr>
              <w:t>TOTAL, EXPENDITURES</w:t>
            </w:r>
          </w:p>
        </w:tc>
        <w:tc>
          <w:tcPr>
            <w:tcW w:w="1723" w:type="dxa"/>
          </w:tcPr>
          <w:p>
            <w:pPr>
              <w:pStyle w:val="TableParagraph"/>
              <w:rPr>
                <w:rFonts w:ascii="Times New Roman"/>
                <w:sz w:val="14"/>
              </w:rPr>
            </w:pPr>
          </w:p>
        </w:tc>
        <w:tc>
          <w:tcPr>
            <w:tcW w:w="1637" w:type="dxa"/>
          </w:tcPr>
          <w:p>
            <w:pPr>
              <w:pStyle w:val="TableParagraph"/>
              <w:spacing w:before="8"/>
              <w:rPr>
                <w:sz w:val="15"/>
              </w:rPr>
            </w:pPr>
          </w:p>
          <w:p>
            <w:pPr>
              <w:pStyle w:val="TableParagraph"/>
              <w:spacing w:line="142" w:lineRule="exact" w:before="1"/>
              <w:ind w:right="612"/>
              <w:jc w:val="right"/>
              <w:rPr>
                <w:sz w:val="14"/>
              </w:rPr>
            </w:pPr>
            <w:r>
              <w:rPr>
                <w:sz w:val="14"/>
              </w:rPr>
              <w:t>0.00</w:t>
            </w:r>
          </w:p>
        </w:tc>
        <w:tc>
          <w:tcPr>
            <w:tcW w:w="1525" w:type="dxa"/>
          </w:tcPr>
          <w:p>
            <w:pPr>
              <w:pStyle w:val="TableParagraph"/>
              <w:spacing w:before="8"/>
              <w:rPr>
                <w:sz w:val="15"/>
              </w:rPr>
            </w:pPr>
          </w:p>
          <w:p>
            <w:pPr>
              <w:pStyle w:val="TableParagraph"/>
              <w:spacing w:line="142" w:lineRule="exact" w:before="1"/>
              <w:ind w:left="595" w:right="601"/>
              <w:jc w:val="center"/>
              <w:rPr>
                <w:sz w:val="14"/>
              </w:rPr>
            </w:pPr>
            <w:r>
              <w:rPr>
                <w:w w:val="105"/>
                <w:sz w:val="14"/>
              </w:rPr>
              <w:t>0.00</w:t>
            </w:r>
          </w:p>
        </w:tc>
        <w:tc>
          <w:tcPr>
            <w:tcW w:w="1006" w:type="dxa"/>
          </w:tcPr>
          <w:p>
            <w:pPr>
              <w:pStyle w:val="TableParagraph"/>
              <w:spacing w:before="8"/>
              <w:rPr>
                <w:sz w:val="15"/>
              </w:rPr>
            </w:pPr>
          </w:p>
          <w:p>
            <w:pPr>
              <w:pStyle w:val="TableParagraph"/>
              <w:spacing w:line="142" w:lineRule="exact" w:before="1"/>
              <w:ind w:right="42"/>
              <w:jc w:val="right"/>
              <w:rPr>
                <w:sz w:val="14"/>
              </w:rPr>
            </w:pPr>
            <w:r>
              <w:rPr>
                <w:sz w:val="14"/>
              </w:rPr>
              <w:t>0.0%</w:t>
            </w:r>
          </w:p>
        </w:tc>
      </w:tr>
    </w:tbl>
    <w:p>
      <w:pPr>
        <w:spacing w:after="0" w:line="142" w:lineRule="exact"/>
        <w:jc w:val="right"/>
        <w:rPr>
          <w:sz w:val="14"/>
        </w:rPr>
        <w:sectPr>
          <w:type w:val="continuous"/>
          <w:pgSz w:w="12240" w:h="15840"/>
          <w:pgMar w:top="1500" w:bottom="840" w:left="160" w:right="180"/>
        </w:sectPr>
      </w:pPr>
    </w:p>
    <w:p>
      <w:pPr>
        <w:pStyle w:val="BodyText"/>
        <w:rPr>
          <w:sz w:val="20"/>
        </w:rPr>
      </w:pPr>
      <w:r>
        <w:rPr/>
        <w:pict>
          <v:group style="position:absolute;margin-left:24.719999pt;margin-top:78.959999pt;width:538pt;height:265.350pt;mso-position-horizontal-relative:page;mso-position-vertical-relative:page;z-index:-314204160" coordorigin="494,1579" coordsize="10760,5307">
            <v:shape style="position:absolute;left:494;top:1579;width:3646;height:790" type="#_x0000_t75" stroked="false">
              <v:imagedata r:id="rId406" o:title=""/>
            </v:shape>
            <v:shape style="position:absolute;left:494;top:1579;width:10760;height:1155" type="#_x0000_t75" stroked="false">
              <v:imagedata r:id="rId799" o:title=""/>
            </v:shape>
            <v:line style="position:absolute" from="1304,2359" to="1304,2729" stroked="true" strokeweight=".359997pt" strokecolor="#ffffff">
              <v:stroke dashstyle="solid"/>
            </v:line>
            <v:shape style="position:absolute;left:4132;top:2347;width:7121;height:1920" type="#_x0000_t75" stroked="false">
              <v:imagedata r:id="rId942" o:title=""/>
            </v:shape>
            <v:shape style="position:absolute;left:494;top:2731;width:3646;height:2278" type="#_x0000_t75" stroked="false">
              <v:imagedata r:id="rId943" o:title=""/>
            </v:shape>
            <v:shape style="position:absolute;left:6674;top:4063;width:4580;height:569" type="#_x0000_t75" stroked="false">
              <v:imagedata r:id="rId636" o:title=""/>
            </v:shape>
            <v:shape style="position:absolute;left:4132;top:4260;width:7121;height:749" type="#_x0000_t75" stroked="false">
              <v:imagedata r:id="rId944" o:title=""/>
            </v:shape>
            <v:shape style="position:absolute;left:494;top:5001;width:3646;height:380" type="#_x0000_t75" stroked="false">
              <v:imagedata r:id="rId513" o:title=""/>
            </v:shape>
            <v:shape style="position:absolute;left:4132;top:4624;width:7121;height:1520" type="#_x0000_t75" stroked="false">
              <v:imagedata r:id="rId945" o:title=""/>
            </v:shape>
            <v:shape style="position:absolute;left:6674;top:5940;width:4580;height:569" type="#_x0000_t75" stroked="false">
              <v:imagedata r:id="rId636" o:title=""/>
            </v:shape>
            <v:shape style="position:absolute;left:494;top:5378;width:3646;height:1508" type="#_x0000_t75" stroked="false">
              <v:imagedata r:id="rId893" o:title=""/>
            </v:shape>
            <v:shape style="position:absolute;left:530;top:2193;width:811;height:161" type="#_x0000_t202" filled="false" stroked="false">
              <v:textbox inset="0,0,0,0">
                <w:txbxContent>
                  <w:p>
                    <w:pPr>
                      <w:spacing w:line="160" w:lineRule="exact" w:before="0"/>
                      <w:ind w:left="0" w:right="0" w:firstLine="0"/>
                      <w:jc w:val="left"/>
                      <w:rPr>
                        <w:b/>
                        <w:sz w:val="14"/>
                      </w:rPr>
                    </w:pPr>
                    <w:r>
                      <w:rPr>
                        <w:b/>
                        <w:sz w:val="14"/>
                      </w:rPr>
                      <w:t>Description</w:t>
                    </w:r>
                  </w:p>
                </w:txbxContent>
              </v:textbox>
              <w10:wrap type="none"/>
            </v:shape>
            <v:shape style="position:absolute;left:4358;top:2025;width:3722;height:329" type="#_x0000_t202" filled="false" stroked="false">
              <v:textbox inset="0,0,0,0">
                <w:txbxContent>
                  <w:p>
                    <w:pPr>
                      <w:spacing w:line="160" w:lineRule="exact" w:before="0"/>
                      <w:ind w:left="2820" w:right="0" w:firstLine="0"/>
                      <w:jc w:val="left"/>
                      <w:rPr>
                        <w:b/>
                        <w:sz w:val="14"/>
                      </w:rPr>
                    </w:pPr>
                    <w:r>
                      <w:rPr>
                        <w:b/>
                        <w:w w:val="105"/>
                        <w:sz w:val="14"/>
                      </w:rPr>
                      <w:t>2020-21</w:t>
                    </w:r>
                  </w:p>
                  <w:p>
                    <w:pPr>
                      <w:tabs>
                        <w:tab w:pos="1372" w:val="left" w:leader="none"/>
                      </w:tabs>
                      <w:spacing w:before="7"/>
                      <w:ind w:left="0" w:right="0" w:firstLine="0"/>
                      <w:jc w:val="left"/>
                      <w:rPr>
                        <w:b/>
                        <w:sz w:val="14"/>
                      </w:rPr>
                    </w:pPr>
                    <w:r>
                      <w:rPr>
                        <w:b/>
                        <w:w w:val="105"/>
                        <w:sz w:val="14"/>
                      </w:rPr>
                      <w:t>Resource</w:t>
                    </w:r>
                    <w:r>
                      <w:rPr>
                        <w:b/>
                        <w:spacing w:val="-12"/>
                        <w:w w:val="105"/>
                        <w:sz w:val="14"/>
                      </w:rPr>
                      <w:t> </w:t>
                    </w:r>
                    <w:r>
                      <w:rPr>
                        <w:b/>
                        <w:w w:val="105"/>
                        <w:sz w:val="14"/>
                      </w:rPr>
                      <w:t>Codes</w:t>
                      <w:tab/>
                      <w:t>Object Codes Estimated</w:t>
                    </w:r>
                    <w:r>
                      <w:rPr>
                        <w:b/>
                        <w:spacing w:val="-15"/>
                        <w:w w:val="105"/>
                        <w:sz w:val="14"/>
                      </w:rPr>
                      <w:t> </w:t>
                    </w:r>
                    <w:r>
                      <w:rPr>
                        <w:b/>
                        <w:w w:val="105"/>
                        <w:sz w:val="14"/>
                      </w:rPr>
                      <w:t>Actuals</w:t>
                    </w:r>
                  </w:p>
                </w:txbxContent>
              </v:textbox>
              <w10:wrap type="none"/>
            </v:shape>
            <v:shape style="position:absolute;left:8690;top:2025;width:545;height:329" type="#_x0000_t202" filled="false" stroked="false">
              <v:textbox inset="0,0,0,0">
                <w:txbxContent>
                  <w:p>
                    <w:pPr>
                      <w:spacing w:line="160" w:lineRule="exact" w:before="0"/>
                      <w:ind w:left="0" w:right="0" w:firstLine="0"/>
                      <w:jc w:val="left"/>
                      <w:rPr>
                        <w:b/>
                        <w:sz w:val="14"/>
                      </w:rPr>
                    </w:pPr>
                    <w:r>
                      <w:rPr>
                        <w:b/>
                        <w:sz w:val="14"/>
                      </w:rPr>
                      <w:t>2021-22</w:t>
                    </w:r>
                  </w:p>
                  <w:p>
                    <w:pPr>
                      <w:spacing w:before="7"/>
                      <w:ind w:left="11" w:right="0" w:firstLine="0"/>
                      <w:jc w:val="left"/>
                      <w:rPr>
                        <w:b/>
                        <w:sz w:val="14"/>
                      </w:rPr>
                    </w:pPr>
                    <w:r>
                      <w:rPr>
                        <w:b/>
                        <w:w w:val="105"/>
                        <w:sz w:val="14"/>
                      </w:rPr>
                      <w:t>Budget</w:t>
                    </w:r>
                  </w:p>
                </w:txbxContent>
              </v:textbox>
              <w10:wrap type="none"/>
            </v:shape>
            <v:shape style="position:absolute;left:10128;top:2025;width:721;height:329" type="#_x0000_t202" filled="false" stroked="false">
              <v:textbox inset="0,0,0,0">
                <w:txbxContent>
                  <w:p>
                    <w:pPr>
                      <w:spacing w:line="249" w:lineRule="auto" w:before="0"/>
                      <w:ind w:left="0" w:right="16" w:firstLine="86"/>
                      <w:jc w:val="left"/>
                      <w:rPr>
                        <w:b/>
                        <w:sz w:val="14"/>
                      </w:rPr>
                    </w:pPr>
                    <w:r>
                      <w:rPr>
                        <w:b/>
                        <w:w w:val="105"/>
                        <w:sz w:val="14"/>
                      </w:rPr>
                      <w:t>Percent </w:t>
                    </w:r>
                    <w:r>
                      <w:rPr>
                        <w:b/>
                        <w:sz w:val="14"/>
                      </w:rPr>
                      <w:t>Difference</w:t>
                    </w:r>
                  </w:p>
                </w:txbxContent>
              </v:textbox>
              <w10:wrap type="none"/>
            </v:shape>
            <v:shape style="position:absolute;left:530;top:2569;width:1764;height:161" type="#_x0000_t202" filled="false" stroked="false">
              <v:textbox inset="0,0,0,0">
                <w:txbxContent>
                  <w:p>
                    <w:pPr>
                      <w:spacing w:line="160" w:lineRule="exact" w:before="0"/>
                      <w:ind w:left="0" w:right="0" w:firstLine="0"/>
                      <w:jc w:val="left"/>
                      <w:rPr>
                        <w:b/>
                        <w:sz w:val="14"/>
                      </w:rPr>
                    </w:pPr>
                    <w:r>
                      <w:rPr>
                        <w:b/>
                        <w:sz w:val="14"/>
                      </w:rPr>
                      <w:t>INTERFUND TRANSFERS</w:t>
                    </w:r>
                  </w:p>
                </w:txbxContent>
              </v:textbox>
              <w10:wrap type="none"/>
            </v:shape>
            <v:shape style="position:absolute;left:612;top:3143;width:1948;height:161" type="#_x0000_t202" filled="false" stroked="false">
              <v:textbox inset="0,0,0,0">
                <w:txbxContent>
                  <w:p>
                    <w:pPr>
                      <w:spacing w:line="160" w:lineRule="exact" w:before="0"/>
                      <w:ind w:left="0" w:right="0" w:firstLine="0"/>
                      <w:jc w:val="left"/>
                      <w:rPr>
                        <w:b/>
                        <w:sz w:val="14"/>
                      </w:rPr>
                    </w:pPr>
                    <w:r>
                      <w:rPr>
                        <w:b/>
                        <w:w w:val="105"/>
                        <w:sz w:val="14"/>
                      </w:rPr>
                      <w:t>INTERFUND</w:t>
                    </w:r>
                    <w:r>
                      <w:rPr>
                        <w:b/>
                        <w:spacing w:val="-21"/>
                        <w:w w:val="105"/>
                        <w:sz w:val="14"/>
                      </w:rPr>
                      <w:t> </w:t>
                    </w:r>
                    <w:r>
                      <w:rPr>
                        <w:b/>
                        <w:w w:val="105"/>
                        <w:sz w:val="14"/>
                      </w:rPr>
                      <w:t>TRANSFERS</w:t>
                    </w:r>
                    <w:r>
                      <w:rPr>
                        <w:b/>
                        <w:spacing w:val="-20"/>
                        <w:w w:val="105"/>
                        <w:sz w:val="14"/>
                      </w:rPr>
                      <w:t> </w:t>
                    </w:r>
                    <w:r>
                      <w:rPr>
                        <w:b/>
                        <w:w w:val="105"/>
                        <w:sz w:val="14"/>
                      </w:rPr>
                      <w:t>IN</w:t>
                    </w:r>
                  </w:p>
                </w:txbxContent>
              </v:textbox>
              <w10:wrap type="none"/>
            </v:shape>
            <w10:wrap type="none"/>
          </v:group>
        </w:pict>
      </w:r>
      <w:r>
        <w:rPr/>
        <w:pict>
          <v:group style="position:absolute;margin-left:206.639984pt;margin-top:306.839996pt;width:356.05pt;height:37.450pt;mso-position-horizontal-relative:page;mso-position-vertical-relative:page;z-index:-314203136" coordorigin="4133,6137" coordsize="7121,749">
            <v:shape style="position:absolute;left:4132;top:6136;width:7121;height:749" type="#_x0000_t75" stroked="false">
              <v:imagedata r:id="rId479" o:title=""/>
            </v:shape>
            <v:shape style="position:absolute;left:8186;top:6501;width:3068;height:384" type="#_x0000_t75" stroked="false">
              <v:imagedata r:id="rId583" o:titl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pPr>
    </w:p>
    <w:tbl>
      <w:tblPr>
        <w:tblW w:w="0" w:type="auto"/>
        <w:jc w:val="left"/>
        <w:tblInd w:w="4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190"/>
        <w:gridCol w:w="2344"/>
        <w:gridCol w:w="1638"/>
        <w:gridCol w:w="1526"/>
        <w:gridCol w:w="1007"/>
      </w:tblGrid>
      <w:tr>
        <w:trPr>
          <w:trHeight w:val="375" w:hRule="atLeast"/>
        </w:trPr>
        <w:tc>
          <w:tcPr>
            <w:tcW w:w="4190" w:type="dxa"/>
          </w:tcPr>
          <w:p>
            <w:pPr>
              <w:pStyle w:val="TableParagraph"/>
              <w:spacing w:line="160" w:lineRule="exact"/>
              <w:ind w:left="50"/>
              <w:rPr>
                <w:sz w:val="14"/>
              </w:rPr>
            </w:pPr>
            <w:r>
              <w:rPr>
                <w:w w:val="105"/>
                <w:sz w:val="14"/>
              </w:rPr>
              <w:t>To: State School Building Fund/</w:t>
            </w:r>
          </w:p>
          <w:p>
            <w:pPr>
              <w:pStyle w:val="TableParagraph"/>
              <w:spacing w:line="160" w:lineRule="exact" w:before="36"/>
              <w:ind w:left="131"/>
              <w:rPr>
                <w:sz w:val="14"/>
              </w:rPr>
            </w:pPr>
            <w:r>
              <w:rPr>
                <w:w w:val="105"/>
                <w:sz w:val="14"/>
              </w:rPr>
              <w:t>County School Facilities Fund</w:t>
            </w:r>
          </w:p>
        </w:tc>
        <w:tc>
          <w:tcPr>
            <w:tcW w:w="6515" w:type="dxa"/>
            <w:gridSpan w:val="4"/>
          </w:tcPr>
          <w:p>
            <w:pPr>
              <w:pStyle w:val="TableParagraph"/>
              <w:rPr>
                <w:rFonts w:ascii="Times New Roman"/>
                <w:sz w:val="14"/>
              </w:rPr>
            </w:pPr>
          </w:p>
        </w:tc>
      </w:tr>
      <w:tr>
        <w:trPr>
          <w:trHeight w:val="178" w:hRule="atLeast"/>
        </w:trPr>
        <w:tc>
          <w:tcPr>
            <w:tcW w:w="4190" w:type="dxa"/>
          </w:tcPr>
          <w:p>
            <w:pPr>
              <w:pStyle w:val="TableParagraph"/>
              <w:spacing w:line="142" w:lineRule="exact" w:before="17"/>
              <w:ind w:left="131"/>
              <w:rPr>
                <w:sz w:val="14"/>
              </w:rPr>
            </w:pPr>
            <w:r>
              <w:rPr>
                <w:w w:val="105"/>
                <w:sz w:val="14"/>
              </w:rPr>
              <w:t>From: All Other Funds</w:t>
            </w:r>
          </w:p>
        </w:tc>
        <w:tc>
          <w:tcPr>
            <w:tcW w:w="2344" w:type="dxa"/>
          </w:tcPr>
          <w:p>
            <w:pPr>
              <w:pStyle w:val="TableParagraph"/>
              <w:spacing w:line="142" w:lineRule="exact" w:before="17"/>
              <w:ind w:right="740"/>
              <w:jc w:val="right"/>
              <w:rPr>
                <w:sz w:val="14"/>
              </w:rPr>
            </w:pPr>
            <w:r>
              <w:rPr>
                <w:sz w:val="14"/>
              </w:rPr>
              <w:t>8913</w:t>
            </w:r>
          </w:p>
        </w:tc>
        <w:tc>
          <w:tcPr>
            <w:tcW w:w="1638" w:type="dxa"/>
          </w:tcPr>
          <w:p>
            <w:pPr>
              <w:pStyle w:val="TableParagraph"/>
              <w:spacing w:line="142" w:lineRule="exact" w:before="17"/>
              <w:ind w:right="614"/>
              <w:jc w:val="right"/>
              <w:rPr>
                <w:sz w:val="14"/>
              </w:rPr>
            </w:pPr>
            <w:r>
              <w:rPr>
                <w:sz w:val="14"/>
              </w:rPr>
              <w:t>0.00</w:t>
            </w:r>
          </w:p>
        </w:tc>
        <w:tc>
          <w:tcPr>
            <w:tcW w:w="1526" w:type="dxa"/>
          </w:tcPr>
          <w:p>
            <w:pPr>
              <w:pStyle w:val="TableParagraph"/>
              <w:spacing w:line="142" w:lineRule="exact" w:before="17"/>
              <w:ind w:left="592" w:right="604"/>
              <w:jc w:val="center"/>
              <w:rPr>
                <w:sz w:val="14"/>
              </w:rPr>
            </w:pPr>
            <w:r>
              <w:rPr>
                <w:w w:val="105"/>
                <w:sz w:val="14"/>
              </w:rPr>
              <w:t>0.00</w:t>
            </w:r>
          </w:p>
        </w:tc>
        <w:tc>
          <w:tcPr>
            <w:tcW w:w="1007" w:type="dxa"/>
          </w:tcPr>
          <w:p>
            <w:pPr>
              <w:pStyle w:val="TableParagraph"/>
              <w:spacing w:line="142" w:lineRule="exact" w:before="17"/>
              <w:ind w:right="47"/>
              <w:jc w:val="right"/>
              <w:rPr>
                <w:sz w:val="14"/>
              </w:rPr>
            </w:pPr>
            <w:r>
              <w:rPr>
                <w:sz w:val="14"/>
              </w:rPr>
              <w:t>0.0%</w:t>
            </w:r>
          </w:p>
        </w:tc>
      </w:tr>
      <w:tr>
        <w:trPr>
          <w:trHeight w:val="472" w:hRule="atLeast"/>
        </w:trPr>
        <w:tc>
          <w:tcPr>
            <w:tcW w:w="4190" w:type="dxa"/>
          </w:tcPr>
          <w:p>
            <w:pPr>
              <w:pStyle w:val="TableParagraph"/>
              <w:spacing w:before="7"/>
              <w:rPr>
                <w:sz w:val="17"/>
              </w:rPr>
            </w:pPr>
          </w:p>
          <w:p>
            <w:pPr>
              <w:pStyle w:val="TableParagraph"/>
              <w:ind w:left="131"/>
              <w:rPr>
                <w:sz w:val="14"/>
              </w:rPr>
            </w:pPr>
            <w:r>
              <w:rPr>
                <w:w w:val="105"/>
                <w:sz w:val="14"/>
              </w:rPr>
              <w:t>Other Authorized Interfund Transfers In</w:t>
            </w:r>
          </w:p>
        </w:tc>
        <w:tc>
          <w:tcPr>
            <w:tcW w:w="2344" w:type="dxa"/>
          </w:tcPr>
          <w:p>
            <w:pPr>
              <w:pStyle w:val="TableParagraph"/>
              <w:spacing w:before="7"/>
              <w:rPr>
                <w:sz w:val="17"/>
              </w:rPr>
            </w:pPr>
          </w:p>
          <w:p>
            <w:pPr>
              <w:pStyle w:val="TableParagraph"/>
              <w:ind w:right="740"/>
              <w:jc w:val="right"/>
              <w:rPr>
                <w:sz w:val="14"/>
              </w:rPr>
            </w:pPr>
            <w:r>
              <w:rPr>
                <w:sz w:val="14"/>
              </w:rPr>
              <w:t>8919</w:t>
            </w:r>
          </w:p>
        </w:tc>
        <w:tc>
          <w:tcPr>
            <w:tcW w:w="1638" w:type="dxa"/>
          </w:tcPr>
          <w:p>
            <w:pPr>
              <w:pStyle w:val="TableParagraph"/>
              <w:spacing w:before="7"/>
              <w:rPr>
                <w:sz w:val="17"/>
              </w:rPr>
            </w:pPr>
          </w:p>
          <w:p>
            <w:pPr>
              <w:pStyle w:val="TableParagraph"/>
              <w:ind w:right="614"/>
              <w:jc w:val="right"/>
              <w:rPr>
                <w:sz w:val="14"/>
              </w:rPr>
            </w:pPr>
            <w:r>
              <w:rPr>
                <w:sz w:val="14"/>
              </w:rPr>
              <w:t>0.00</w:t>
            </w:r>
          </w:p>
        </w:tc>
        <w:tc>
          <w:tcPr>
            <w:tcW w:w="1526" w:type="dxa"/>
          </w:tcPr>
          <w:p>
            <w:pPr>
              <w:pStyle w:val="TableParagraph"/>
              <w:spacing w:before="7"/>
              <w:rPr>
                <w:sz w:val="17"/>
              </w:rPr>
            </w:pPr>
          </w:p>
          <w:p>
            <w:pPr>
              <w:pStyle w:val="TableParagraph"/>
              <w:ind w:left="592" w:right="604"/>
              <w:jc w:val="center"/>
              <w:rPr>
                <w:sz w:val="14"/>
              </w:rPr>
            </w:pPr>
            <w:r>
              <w:rPr>
                <w:w w:val="105"/>
                <w:sz w:val="14"/>
              </w:rPr>
              <w:t>0.00</w:t>
            </w:r>
          </w:p>
        </w:tc>
        <w:tc>
          <w:tcPr>
            <w:tcW w:w="1007" w:type="dxa"/>
          </w:tcPr>
          <w:p>
            <w:pPr>
              <w:pStyle w:val="TableParagraph"/>
              <w:spacing w:before="7"/>
              <w:rPr>
                <w:sz w:val="17"/>
              </w:rPr>
            </w:pPr>
          </w:p>
          <w:p>
            <w:pPr>
              <w:pStyle w:val="TableParagraph"/>
              <w:ind w:right="47"/>
              <w:jc w:val="right"/>
              <w:rPr>
                <w:sz w:val="14"/>
              </w:rPr>
            </w:pPr>
            <w:r>
              <w:rPr>
                <w:sz w:val="14"/>
              </w:rPr>
              <w:t>0.0%</w:t>
            </w:r>
          </w:p>
        </w:tc>
      </w:tr>
      <w:tr>
        <w:trPr>
          <w:trHeight w:val="375" w:hRule="atLeast"/>
        </w:trPr>
        <w:tc>
          <w:tcPr>
            <w:tcW w:w="4190" w:type="dxa"/>
          </w:tcPr>
          <w:p>
            <w:pPr>
              <w:pStyle w:val="TableParagraph"/>
              <w:spacing w:before="107"/>
              <w:ind w:left="50"/>
              <w:rPr>
                <w:sz w:val="14"/>
              </w:rPr>
            </w:pPr>
            <w:r>
              <w:rPr>
                <w:w w:val="105"/>
                <w:sz w:val="14"/>
              </w:rPr>
              <w:t>(a) TOTAL, INTERFUND TRANSFERS IN</w:t>
            </w:r>
          </w:p>
        </w:tc>
        <w:tc>
          <w:tcPr>
            <w:tcW w:w="2344" w:type="dxa"/>
          </w:tcPr>
          <w:p>
            <w:pPr>
              <w:pStyle w:val="TableParagraph"/>
              <w:rPr>
                <w:rFonts w:ascii="Times New Roman"/>
                <w:sz w:val="14"/>
              </w:rPr>
            </w:pPr>
          </w:p>
        </w:tc>
        <w:tc>
          <w:tcPr>
            <w:tcW w:w="1638" w:type="dxa"/>
          </w:tcPr>
          <w:p>
            <w:pPr>
              <w:pStyle w:val="TableParagraph"/>
              <w:spacing w:before="107"/>
              <w:ind w:right="614"/>
              <w:jc w:val="right"/>
              <w:rPr>
                <w:sz w:val="14"/>
              </w:rPr>
            </w:pPr>
            <w:r>
              <w:rPr>
                <w:sz w:val="14"/>
              </w:rPr>
              <w:t>0.00</w:t>
            </w:r>
          </w:p>
        </w:tc>
        <w:tc>
          <w:tcPr>
            <w:tcW w:w="1526" w:type="dxa"/>
          </w:tcPr>
          <w:p>
            <w:pPr>
              <w:pStyle w:val="TableParagraph"/>
              <w:spacing w:before="107"/>
              <w:ind w:left="592" w:right="604"/>
              <w:jc w:val="center"/>
              <w:rPr>
                <w:sz w:val="14"/>
              </w:rPr>
            </w:pPr>
            <w:r>
              <w:rPr>
                <w:w w:val="105"/>
                <w:sz w:val="14"/>
              </w:rPr>
              <w:t>0.00</w:t>
            </w:r>
          </w:p>
        </w:tc>
        <w:tc>
          <w:tcPr>
            <w:tcW w:w="1007" w:type="dxa"/>
          </w:tcPr>
          <w:p>
            <w:pPr>
              <w:pStyle w:val="TableParagraph"/>
              <w:spacing w:before="107"/>
              <w:ind w:right="47"/>
              <w:jc w:val="right"/>
              <w:rPr>
                <w:sz w:val="14"/>
              </w:rPr>
            </w:pPr>
            <w:r>
              <w:rPr>
                <w:sz w:val="14"/>
              </w:rPr>
              <w:t>0.0%</w:t>
            </w:r>
          </w:p>
        </w:tc>
      </w:tr>
      <w:tr>
        <w:trPr>
          <w:trHeight w:val="469" w:hRule="atLeast"/>
        </w:trPr>
        <w:tc>
          <w:tcPr>
            <w:tcW w:w="4190" w:type="dxa"/>
          </w:tcPr>
          <w:p>
            <w:pPr>
              <w:pStyle w:val="TableParagraph"/>
              <w:spacing w:before="105"/>
              <w:ind w:left="50"/>
              <w:rPr>
                <w:b/>
                <w:sz w:val="14"/>
              </w:rPr>
            </w:pPr>
            <w:r>
              <w:rPr>
                <w:b/>
                <w:w w:val="105"/>
                <w:sz w:val="14"/>
              </w:rPr>
              <w:t>INTERFUND TRANSFERS OUT</w:t>
            </w:r>
          </w:p>
        </w:tc>
        <w:tc>
          <w:tcPr>
            <w:tcW w:w="2344" w:type="dxa"/>
          </w:tcPr>
          <w:p>
            <w:pPr>
              <w:pStyle w:val="TableParagraph"/>
              <w:rPr>
                <w:rFonts w:ascii="Times New Roman"/>
                <w:sz w:val="14"/>
              </w:rPr>
            </w:pPr>
          </w:p>
        </w:tc>
        <w:tc>
          <w:tcPr>
            <w:tcW w:w="1638" w:type="dxa"/>
          </w:tcPr>
          <w:p>
            <w:pPr>
              <w:pStyle w:val="TableParagraph"/>
              <w:rPr>
                <w:rFonts w:ascii="Times New Roman"/>
                <w:sz w:val="14"/>
              </w:rPr>
            </w:pPr>
          </w:p>
        </w:tc>
        <w:tc>
          <w:tcPr>
            <w:tcW w:w="1526" w:type="dxa"/>
          </w:tcPr>
          <w:p>
            <w:pPr>
              <w:pStyle w:val="TableParagraph"/>
              <w:rPr>
                <w:rFonts w:ascii="Times New Roman"/>
                <w:sz w:val="14"/>
              </w:rPr>
            </w:pPr>
          </w:p>
        </w:tc>
        <w:tc>
          <w:tcPr>
            <w:tcW w:w="1007" w:type="dxa"/>
          </w:tcPr>
          <w:p>
            <w:pPr>
              <w:pStyle w:val="TableParagraph"/>
              <w:rPr>
                <w:rFonts w:ascii="Times New Roman"/>
                <w:sz w:val="14"/>
              </w:rPr>
            </w:pPr>
          </w:p>
        </w:tc>
      </w:tr>
      <w:tr>
        <w:trPr>
          <w:trHeight w:val="661" w:hRule="atLeast"/>
        </w:trPr>
        <w:tc>
          <w:tcPr>
            <w:tcW w:w="4190" w:type="dxa"/>
          </w:tcPr>
          <w:p>
            <w:pPr>
              <w:pStyle w:val="TableParagraph"/>
              <w:spacing w:before="5"/>
              <w:rPr>
                <w:sz w:val="17"/>
              </w:rPr>
            </w:pPr>
          </w:p>
          <w:p>
            <w:pPr>
              <w:pStyle w:val="TableParagraph"/>
              <w:spacing w:line="292" w:lineRule="auto"/>
              <w:ind w:left="171" w:right="1971" w:hanging="40"/>
              <w:rPr>
                <w:sz w:val="14"/>
              </w:rPr>
            </w:pPr>
            <w:r>
              <w:rPr>
                <w:w w:val="105"/>
                <w:sz w:val="14"/>
              </w:rPr>
              <w:t>To: State School Building Fund/ County School Facilities Fund</w:t>
            </w:r>
          </w:p>
        </w:tc>
        <w:tc>
          <w:tcPr>
            <w:tcW w:w="2344" w:type="dxa"/>
          </w:tcPr>
          <w:p>
            <w:pPr>
              <w:pStyle w:val="TableParagraph"/>
              <w:rPr>
                <w:sz w:val="16"/>
              </w:rPr>
            </w:pPr>
          </w:p>
          <w:p>
            <w:pPr>
              <w:pStyle w:val="TableParagraph"/>
              <w:spacing w:before="6"/>
              <w:rPr>
                <w:sz w:val="18"/>
              </w:rPr>
            </w:pPr>
          </w:p>
          <w:p>
            <w:pPr>
              <w:pStyle w:val="TableParagraph"/>
              <w:ind w:right="740"/>
              <w:jc w:val="right"/>
              <w:rPr>
                <w:sz w:val="14"/>
              </w:rPr>
            </w:pPr>
            <w:r>
              <w:rPr>
                <w:sz w:val="14"/>
              </w:rPr>
              <w:t>7613</w:t>
            </w:r>
          </w:p>
        </w:tc>
        <w:tc>
          <w:tcPr>
            <w:tcW w:w="1638" w:type="dxa"/>
          </w:tcPr>
          <w:p>
            <w:pPr>
              <w:pStyle w:val="TableParagraph"/>
              <w:rPr>
                <w:sz w:val="16"/>
              </w:rPr>
            </w:pPr>
          </w:p>
          <w:p>
            <w:pPr>
              <w:pStyle w:val="TableParagraph"/>
              <w:spacing w:before="6"/>
              <w:rPr>
                <w:sz w:val="18"/>
              </w:rPr>
            </w:pPr>
          </w:p>
          <w:p>
            <w:pPr>
              <w:pStyle w:val="TableParagraph"/>
              <w:ind w:right="614"/>
              <w:jc w:val="right"/>
              <w:rPr>
                <w:sz w:val="14"/>
              </w:rPr>
            </w:pPr>
            <w:r>
              <w:rPr>
                <w:sz w:val="14"/>
              </w:rPr>
              <w:t>0.00</w:t>
            </w:r>
          </w:p>
        </w:tc>
        <w:tc>
          <w:tcPr>
            <w:tcW w:w="1526" w:type="dxa"/>
          </w:tcPr>
          <w:p>
            <w:pPr>
              <w:pStyle w:val="TableParagraph"/>
              <w:rPr>
                <w:sz w:val="16"/>
              </w:rPr>
            </w:pPr>
          </w:p>
          <w:p>
            <w:pPr>
              <w:pStyle w:val="TableParagraph"/>
              <w:spacing w:before="6"/>
              <w:rPr>
                <w:sz w:val="18"/>
              </w:rPr>
            </w:pPr>
          </w:p>
          <w:p>
            <w:pPr>
              <w:pStyle w:val="TableParagraph"/>
              <w:ind w:left="592" w:right="604"/>
              <w:jc w:val="center"/>
              <w:rPr>
                <w:sz w:val="14"/>
              </w:rPr>
            </w:pPr>
            <w:r>
              <w:rPr>
                <w:w w:val="105"/>
                <w:sz w:val="14"/>
              </w:rPr>
              <w:t>0.00</w:t>
            </w:r>
          </w:p>
        </w:tc>
        <w:tc>
          <w:tcPr>
            <w:tcW w:w="1007" w:type="dxa"/>
          </w:tcPr>
          <w:p>
            <w:pPr>
              <w:pStyle w:val="TableParagraph"/>
              <w:rPr>
                <w:sz w:val="16"/>
              </w:rPr>
            </w:pPr>
          </w:p>
          <w:p>
            <w:pPr>
              <w:pStyle w:val="TableParagraph"/>
              <w:spacing w:before="6"/>
              <w:rPr>
                <w:sz w:val="18"/>
              </w:rPr>
            </w:pPr>
          </w:p>
          <w:p>
            <w:pPr>
              <w:pStyle w:val="TableParagraph"/>
              <w:ind w:right="47"/>
              <w:jc w:val="right"/>
              <w:rPr>
                <w:sz w:val="14"/>
              </w:rPr>
            </w:pPr>
            <w:r>
              <w:rPr>
                <w:sz w:val="14"/>
              </w:rPr>
              <w:t>0.0%</w:t>
            </w:r>
          </w:p>
        </w:tc>
      </w:tr>
      <w:tr>
        <w:trPr>
          <w:trHeight w:val="370" w:hRule="atLeast"/>
        </w:trPr>
        <w:tc>
          <w:tcPr>
            <w:tcW w:w="4190" w:type="dxa"/>
          </w:tcPr>
          <w:p>
            <w:pPr>
              <w:pStyle w:val="TableParagraph"/>
              <w:spacing w:before="101"/>
              <w:ind w:left="131"/>
              <w:rPr>
                <w:sz w:val="14"/>
              </w:rPr>
            </w:pPr>
            <w:r>
              <w:rPr>
                <w:w w:val="105"/>
                <w:sz w:val="14"/>
              </w:rPr>
              <w:t>Other Authorized Interfund Transfers Out</w:t>
            </w:r>
          </w:p>
        </w:tc>
        <w:tc>
          <w:tcPr>
            <w:tcW w:w="2344" w:type="dxa"/>
          </w:tcPr>
          <w:p>
            <w:pPr>
              <w:pStyle w:val="TableParagraph"/>
              <w:spacing w:before="101"/>
              <w:ind w:right="740"/>
              <w:jc w:val="right"/>
              <w:rPr>
                <w:sz w:val="14"/>
              </w:rPr>
            </w:pPr>
            <w:r>
              <w:rPr>
                <w:sz w:val="14"/>
              </w:rPr>
              <w:t>7619</w:t>
            </w:r>
          </w:p>
        </w:tc>
        <w:tc>
          <w:tcPr>
            <w:tcW w:w="1638" w:type="dxa"/>
          </w:tcPr>
          <w:p>
            <w:pPr>
              <w:pStyle w:val="TableParagraph"/>
              <w:spacing w:before="101"/>
              <w:ind w:right="614"/>
              <w:jc w:val="right"/>
              <w:rPr>
                <w:sz w:val="14"/>
              </w:rPr>
            </w:pPr>
            <w:r>
              <w:rPr>
                <w:sz w:val="14"/>
              </w:rPr>
              <w:t>0.00</w:t>
            </w:r>
          </w:p>
        </w:tc>
        <w:tc>
          <w:tcPr>
            <w:tcW w:w="1526" w:type="dxa"/>
          </w:tcPr>
          <w:p>
            <w:pPr>
              <w:pStyle w:val="TableParagraph"/>
              <w:spacing w:before="101"/>
              <w:ind w:left="592" w:right="604"/>
              <w:jc w:val="center"/>
              <w:rPr>
                <w:sz w:val="14"/>
              </w:rPr>
            </w:pPr>
            <w:r>
              <w:rPr>
                <w:w w:val="105"/>
                <w:sz w:val="14"/>
              </w:rPr>
              <w:t>0.00</w:t>
            </w:r>
          </w:p>
        </w:tc>
        <w:tc>
          <w:tcPr>
            <w:tcW w:w="1007" w:type="dxa"/>
          </w:tcPr>
          <w:p>
            <w:pPr>
              <w:pStyle w:val="TableParagraph"/>
              <w:spacing w:before="101"/>
              <w:ind w:right="47"/>
              <w:jc w:val="right"/>
              <w:rPr>
                <w:sz w:val="14"/>
              </w:rPr>
            </w:pPr>
            <w:r>
              <w:rPr>
                <w:sz w:val="14"/>
              </w:rPr>
              <w:t>0.0%</w:t>
            </w:r>
          </w:p>
        </w:tc>
      </w:tr>
      <w:tr>
        <w:trPr>
          <w:trHeight w:val="268" w:hRule="atLeast"/>
        </w:trPr>
        <w:tc>
          <w:tcPr>
            <w:tcW w:w="4190" w:type="dxa"/>
          </w:tcPr>
          <w:p>
            <w:pPr>
              <w:pStyle w:val="TableParagraph"/>
              <w:spacing w:line="142" w:lineRule="exact" w:before="107"/>
              <w:ind w:left="50"/>
              <w:rPr>
                <w:sz w:val="14"/>
              </w:rPr>
            </w:pPr>
            <w:r>
              <w:rPr>
                <w:w w:val="105"/>
                <w:sz w:val="14"/>
              </w:rPr>
              <w:t>(b) TOTAL, INTERFUND TRANSFERS OUT</w:t>
            </w:r>
          </w:p>
        </w:tc>
        <w:tc>
          <w:tcPr>
            <w:tcW w:w="2344" w:type="dxa"/>
          </w:tcPr>
          <w:p>
            <w:pPr>
              <w:pStyle w:val="TableParagraph"/>
              <w:rPr>
                <w:rFonts w:ascii="Times New Roman"/>
                <w:sz w:val="14"/>
              </w:rPr>
            </w:pPr>
          </w:p>
        </w:tc>
        <w:tc>
          <w:tcPr>
            <w:tcW w:w="1638" w:type="dxa"/>
          </w:tcPr>
          <w:p>
            <w:pPr>
              <w:pStyle w:val="TableParagraph"/>
              <w:spacing w:line="142" w:lineRule="exact" w:before="107"/>
              <w:ind w:right="614"/>
              <w:jc w:val="right"/>
              <w:rPr>
                <w:sz w:val="14"/>
              </w:rPr>
            </w:pPr>
            <w:r>
              <w:rPr>
                <w:sz w:val="14"/>
              </w:rPr>
              <w:t>0.00</w:t>
            </w:r>
          </w:p>
        </w:tc>
        <w:tc>
          <w:tcPr>
            <w:tcW w:w="1526" w:type="dxa"/>
          </w:tcPr>
          <w:p>
            <w:pPr>
              <w:pStyle w:val="TableParagraph"/>
              <w:spacing w:line="142" w:lineRule="exact" w:before="107"/>
              <w:ind w:left="592" w:right="604"/>
              <w:jc w:val="center"/>
              <w:rPr>
                <w:sz w:val="14"/>
              </w:rPr>
            </w:pPr>
            <w:r>
              <w:rPr>
                <w:w w:val="105"/>
                <w:sz w:val="14"/>
              </w:rPr>
              <w:t>0.00</w:t>
            </w:r>
          </w:p>
        </w:tc>
        <w:tc>
          <w:tcPr>
            <w:tcW w:w="1007" w:type="dxa"/>
          </w:tcPr>
          <w:p>
            <w:pPr>
              <w:pStyle w:val="TableParagraph"/>
              <w:spacing w:line="142" w:lineRule="exact" w:before="107"/>
              <w:ind w:right="47"/>
              <w:jc w:val="right"/>
              <w:rPr>
                <w:sz w:val="14"/>
              </w:rPr>
            </w:pPr>
            <w:r>
              <w:rPr>
                <w:sz w:val="14"/>
              </w:rPr>
              <w:t>0.0%</w:t>
            </w:r>
          </w:p>
        </w:tc>
      </w:tr>
    </w:tbl>
    <w:p>
      <w:pPr>
        <w:spacing w:after="0" w:line="142" w:lineRule="exact"/>
        <w:jc w:val="right"/>
        <w:rPr>
          <w:sz w:val="14"/>
        </w:rPr>
        <w:sectPr>
          <w:headerReference w:type="default" r:id="rId940"/>
          <w:footerReference w:type="default" r:id="rId941"/>
          <w:pgSz w:w="12240" w:h="15840"/>
          <w:pgMar w:header="651" w:footer="437" w:top="1240" w:bottom="620" w:left="160" w:right="180"/>
          <w:pgNumType w:start="7"/>
        </w:sectPr>
      </w:pPr>
    </w:p>
    <w:p>
      <w:pPr>
        <w:pStyle w:val="BodyText"/>
        <w:rPr>
          <w:sz w:val="20"/>
        </w:rPr>
      </w:pPr>
    </w:p>
    <w:p>
      <w:pPr>
        <w:pStyle w:val="BodyText"/>
        <w:rPr>
          <w:sz w:val="20"/>
        </w:rPr>
      </w:pPr>
    </w:p>
    <w:p>
      <w:pPr>
        <w:pStyle w:val="BodyText"/>
        <w:rPr>
          <w:sz w:val="18"/>
        </w:rPr>
      </w:pPr>
    </w:p>
    <w:p>
      <w:pPr>
        <w:spacing w:after="0"/>
        <w:rPr>
          <w:sz w:val="18"/>
        </w:rPr>
        <w:sectPr>
          <w:pgSz w:w="12240" w:h="15840"/>
          <w:pgMar w:header="651" w:footer="437" w:top="1240" w:bottom="620" w:left="160" w:right="180"/>
        </w:sectPr>
      </w:pPr>
    </w:p>
    <w:p>
      <w:pPr>
        <w:pStyle w:val="BodyText"/>
        <w:spacing w:before="2"/>
        <w:rPr>
          <w:sz w:val="23"/>
        </w:rPr>
      </w:pPr>
    </w:p>
    <w:p>
      <w:pPr>
        <w:tabs>
          <w:tab w:pos="4198" w:val="left" w:leader="none"/>
          <w:tab w:pos="5571" w:val="left" w:leader="none"/>
        </w:tabs>
        <w:spacing w:line="458" w:lineRule="auto" w:before="0"/>
        <w:ind w:left="370" w:right="0" w:firstLine="0"/>
        <w:jc w:val="left"/>
        <w:rPr>
          <w:b/>
          <w:sz w:val="14"/>
        </w:rPr>
      </w:pPr>
      <w:r>
        <w:rPr>
          <w:b/>
          <w:w w:val="105"/>
          <w:sz w:val="14"/>
        </w:rPr>
        <w:t>Description</w:t>
        <w:tab/>
        <w:t>Resource</w:t>
      </w:r>
      <w:r>
        <w:rPr>
          <w:b/>
          <w:spacing w:val="-12"/>
          <w:w w:val="105"/>
          <w:sz w:val="14"/>
        </w:rPr>
        <w:t> </w:t>
      </w:r>
      <w:r>
        <w:rPr>
          <w:b/>
          <w:w w:val="105"/>
          <w:sz w:val="14"/>
        </w:rPr>
        <w:t>Codes</w:t>
        <w:tab/>
        <w:t>Object</w:t>
      </w:r>
      <w:r>
        <w:rPr>
          <w:b/>
          <w:spacing w:val="-14"/>
          <w:w w:val="105"/>
          <w:sz w:val="14"/>
        </w:rPr>
        <w:t> </w:t>
      </w:r>
      <w:r>
        <w:rPr>
          <w:b/>
          <w:spacing w:val="-4"/>
          <w:w w:val="105"/>
          <w:sz w:val="14"/>
        </w:rPr>
        <w:t>Codes </w:t>
      </w:r>
      <w:r>
        <w:rPr>
          <w:b/>
          <w:w w:val="105"/>
          <w:sz w:val="14"/>
        </w:rPr>
        <w:t>OTHER</w:t>
      </w:r>
      <w:r>
        <w:rPr>
          <w:b/>
          <w:spacing w:val="-2"/>
          <w:w w:val="105"/>
          <w:sz w:val="14"/>
        </w:rPr>
        <w:t> </w:t>
      </w:r>
      <w:r>
        <w:rPr>
          <w:b/>
          <w:w w:val="105"/>
          <w:sz w:val="14"/>
        </w:rPr>
        <w:t>SOURCES/USES</w:t>
      </w:r>
    </w:p>
    <w:p>
      <w:pPr>
        <w:spacing w:before="99"/>
        <w:ind w:left="83" w:right="0" w:firstLine="0"/>
        <w:jc w:val="center"/>
        <w:rPr>
          <w:b/>
          <w:sz w:val="14"/>
        </w:rPr>
      </w:pPr>
      <w:r>
        <w:rPr/>
        <w:br w:type="column"/>
      </w:r>
      <w:r>
        <w:rPr>
          <w:b/>
          <w:w w:val="105"/>
          <w:sz w:val="14"/>
        </w:rPr>
        <w:t>2020-21</w:t>
      </w:r>
    </w:p>
    <w:p>
      <w:pPr>
        <w:spacing w:before="7"/>
        <w:ind w:left="83" w:right="3" w:firstLine="0"/>
        <w:jc w:val="center"/>
        <w:rPr>
          <w:b/>
          <w:sz w:val="14"/>
        </w:rPr>
      </w:pPr>
      <w:r>
        <w:rPr/>
        <w:pict>
          <v:group style="position:absolute;margin-left:24.719999pt;margin-top:-30.284115pt;width:538pt;height:481.2pt;mso-position-horizontal-relative:page;mso-position-vertical-relative:paragraph;z-index:-314202112" coordorigin="494,-606" coordsize="10760,9624">
            <v:shape style="position:absolute;left:494;top:-606;width:3646;height:790" type="#_x0000_t75" stroked="false">
              <v:imagedata r:id="rId406" o:title=""/>
            </v:shape>
            <v:shape style="position:absolute;left:494;top:-606;width:10760;height:1085" type="#_x0000_t75" stroked="false">
              <v:imagedata r:id="rId946" o:title=""/>
            </v:shape>
            <v:line style="position:absolute" from="1304,174" to="1304,474" stroked="true" strokeweight=".359997pt" strokecolor="#ffffff">
              <v:stroke dashstyle="solid"/>
            </v:line>
            <v:shape style="position:absolute;left:4132;top:169;width:7121;height:1757" type="#_x0000_t75" stroked="false">
              <v:imagedata r:id="rId947" o:title=""/>
            </v:shape>
            <v:shape style="position:absolute;left:6674;top:1722;width:4580;height:1056" type="#_x0000_t75" stroked="false">
              <v:imagedata r:id="rId896" o:title=""/>
            </v:shape>
            <v:shape style="position:absolute;left:6674;top:2574;width:4580;height:876" type="#_x0000_t75" stroked="false">
              <v:imagedata r:id="rId653" o:title=""/>
            </v:shape>
            <v:shape style="position:absolute;left:494;top:476;width:3646;height:4472" type="#_x0000_t75" stroked="false">
              <v:imagedata r:id="rId897" o:title=""/>
            </v:shape>
            <v:shape style="position:absolute;left:6674;top:3246;width:4580;height:579" type="#_x0000_t75" stroked="false">
              <v:imagedata r:id="rId654" o:title=""/>
            </v:shape>
            <v:shape style="position:absolute;left:8186;top:3443;width:3068;height:752" type="#_x0000_t75" stroked="false">
              <v:imagedata r:id="rId898" o:title=""/>
            </v:shape>
            <v:shape style="position:absolute;left:4132;top:3817;width:7121;height:1131" type="#_x0000_t75" stroked="false">
              <v:imagedata r:id="rId899" o:title=""/>
            </v:shape>
            <v:shape style="position:absolute;left:494;top:4566;width:10760;height:1200" type="#_x0000_t75" stroked="false">
              <v:imagedata r:id="rId900" o:title=""/>
            </v:shape>
            <v:shape style="position:absolute;left:4132;top:5387;width:7121;height:956" type="#_x0000_t75" stroked="false">
              <v:imagedata r:id="rId810" o:title=""/>
            </v:shape>
            <v:shape style="position:absolute;left:494;top:5763;width:3646;height:579" type="#_x0000_t75" stroked="false">
              <v:imagedata r:id="rId512" o:title=""/>
            </v:shape>
            <v:shape style="position:absolute;left:8186;top:5960;width:3068;height:382" type="#_x0000_t75" stroked="false">
              <v:imagedata r:id="rId811" o:title=""/>
            </v:shape>
            <v:shape style="position:absolute;left:494;top:6335;width:3646;height:380" type="#_x0000_t75" stroked="false">
              <v:imagedata r:id="rId513" o:title=""/>
            </v:shape>
            <v:shape style="position:absolute;left:4132;top:6335;width:2549;height:8" type="#_x0000_t75" stroked="false">
              <v:imagedata r:id="rId661" o:title=""/>
            </v:shape>
            <v:shape style="position:absolute;left:6674;top:6335;width:1520;height:382" type="#_x0000_t75" stroked="false">
              <v:imagedata r:id="rId663" o:title=""/>
            </v:shape>
            <v:shape style="position:absolute;left:8186;top:6335;width:1520;height:382" type="#_x0000_t75" stroked="false">
              <v:imagedata r:id="rId663" o:title=""/>
            </v:shape>
            <v:shape style="position:absolute;left:6679;top:6339;width:4565;height:951" coordorigin="6679,6340" coordsize="4565,951" path="m11244,6340l9703,6340,9703,6717,8191,6717,6679,6717,6679,6914,6679,7290,8191,7290,9703,7290,11244,7290,11244,6914,11244,6717,11244,6340e" filled="true" fillcolor="#dfdfdf" stroked="false">
              <v:path arrowok="t"/>
              <v:fill type="solid"/>
            </v:shape>
            <v:shape style="position:absolute;left:8186;top:6335;width:3068;height:1332" type="#_x0000_t75" stroked="false">
              <v:imagedata r:id="rId664" o:title=""/>
            </v:shape>
            <v:shape style="position:absolute;left:6674;top:6711;width:1520;height:956" type="#_x0000_t75" stroked="false">
              <v:imagedata r:id="rId665" o:title=""/>
            </v:shape>
            <v:rect style="position:absolute;left:6679;top:7290;width:1512;height:375" filled="true" fillcolor="#dfdfdf" stroked="false">
              <v:fill type="solid"/>
            </v:rect>
            <v:shape style="position:absolute;left:494;top:6711;width:3646;height:1332" type="#_x0000_t75" stroked="false">
              <v:imagedata r:id="rId516" o:title=""/>
            </v:shape>
            <v:rect style="position:absolute;left:8191;top:7290;width:1512;height:375" filled="true" fillcolor="#dfdfdf" stroked="false">
              <v:fill type="solid"/>
            </v:rect>
            <v:shape style="position:absolute;left:9698;top:7285;width:1556;height:382" type="#_x0000_t75" stroked="false">
              <v:imagedata r:id="rId666" o:title=""/>
            </v:shape>
            <v:shape style="position:absolute;left:4132;top:8036;width:2549;height:8" type="#_x0000_t75" stroked="false">
              <v:imagedata r:id="rId661" o:title=""/>
            </v:shape>
            <v:shape style="position:absolute;left:6674;top:7659;width:1520;height:384" type="#_x0000_t75" stroked="false">
              <v:imagedata r:id="rId584" o:title=""/>
            </v:shape>
            <v:shape style="position:absolute;left:8186;top:7659;width:1520;height:384" type="#_x0000_t75" stroked="false">
              <v:imagedata r:id="rId584" o:title=""/>
            </v:shape>
            <v:shape style="position:absolute;left:9698;top:7659;width:1556;height:1150" type="#_x0000_t75" stroked="false">
              <v:imagedata r:id="rId948" o:title=""/>
            </v:shape>
            <v:shape style="position:absolute;left:494;top:8036;width:10760;height:982" type="#_x0000_t75" stroked="false">
              <v:imagedata r:id="rId668" o:title=""/>
            </v:shape>
            <w10:wrap type="none"/>
          </v:group>
        </w:pict>
      </w:r>
      <w:r>
        <w:rPr>
          <w:b/>
          <w:w w:val="105"/>
          <w:sz w:val="14"/>
        </w:rPr>
        <w:t>Estimated Actuals</w:t>
      </w:r>
    </w:p>
    <w:p>
      <w:pPr>
        <w:spacing w:before="99"/>
        <w:ind w:left="370" w:right="0" w:firstLine="0"/>
        <w:jc w:val="left"/>
        <w:rPr>
          <w:b/>
          <w:sz w:val="14"/>
        </w:rPr>
      </w:pPr>
      <w:r>
        <w:rPr/>
        <w:br w:type="column"/>
      </w:r>
      <w:r>
        <w:rPr>
          <w:b/>
          <w:w w:val="105"/>
          <w:sz w:val="14"/>
        </w:rPr>
        <w:t>2021-22</w:t>
      </w:r>
    </w:p>
    <w:p>
      <w:pPr>
        <w:spacing w:before="7"/>
        <w:ind w:left="382" w:right="0" w:firstLine="0"/>
        <w:jc w:val="left"/>
        <w:rPr>
          <w:b/>
          <w:sz w:val="14"/>
        </w:rPr>
      </w:pPr>
      <w:r>
        <w:rPr>
          <w:b/>
          <w:w w:val="105"/>
          <w:sz w:val="14"/>
        </w:rPr>
        <w:t>Budget</w:t>
      </w:r>
    </w:p>
    <w:p>
      <w:pPr>
        <w:spacing w:line="249" w:lineRule="auto" w:before="99"/>
        <w:ind w:left="370" w:right="1227" w:firstLine="86"/>
        <w:jc w:val="left"/>
        <w:rPr>
          <w:b/>
          <w:sz w:val="14"/>
        </w:rPr>
      </w:pPr>
      <w:r>
        <w:rPr/>
        <w:br w:type="column"/>
      </w:r>
      <w:r>
        <w:rPr>
          <w:b/>
          <w:w w:val="105"/>
          <w:sz w:val="14"/>
        </w:rPr>
        <w:t>Percent </w:t>
      </w:r>
      <w:r>
        <w:rPr>
          <w:b/>
          <w:sz w:val="14"/>
        </w:rPr>
        <w:t>Difference</w:t>
      </w:r>
    </w:p>
    <w:p>
      <w:pPr>
        <w:spacing w:after="0" w:line="249" w:lineRule="auto"/>
        <w:jc w:val="left"/>
        <w:rPr>
          <w:sz w:val="14"/>
        </w:rPr>
        <w:sectPr>
          <w:type w:val="continuous"/>
          <w:pgSz w:w="12240" w:h="15840"/>
          <w:pgMar w:top="1500" w:bottom="840" w:left="160" w:right="180"/>
          <w:cols w:num="4" w:equalWidth="0">
            <w:col w:w="6498" w:space="40"/>
            <w:col w:w="1402" w:space="220"/>
            <w:col w:w="935" w:space="503"/>
            <w:col w:w="2302"/>
          </w:cols>
        </w:sectPr>
      </w:pPr>
    </w:p>
    <w:p>
      <w:pPr>
        <w:pStyle w:val="BodyText"/>
        <w:spacing w:before="10"/>
        <w:rPr>
          <w:b/>
          <w:sz w:val="15"/>
        </w:rPr>
      </w:pPr>
    </w:p>
    <w:p>
      <w:pPr>
        <w:spacing w:before="0"/>
        <w:ind w:left="452" w:right="0" w:firstLine="0"/>
        <w:jc w:val="left"/>
        <w:rPr>
          <w:b/>
          <w:sz w:val="14"/>
        </w:rPr>
      </w:pPr>
      <w:r>
        <w:rPr>
          <w:b/>
          <w:w w:val="105"/>
          <w:sz w:val="14"/>
        </w:rPr>
        <w:t>SOURCES</w:t>
      </w:r>
    </w:p>
    <w:p>
      <w:pPr>
        <w:pStyle w:val="BodyText"/>
        <w:spacing w:before="2"/>
        <w:rPr>
          <w:b/>
          <w:sz w:val="20"/>
        </w:rPr>
      </w:pPr>
    </w:p>
    <w:p>
      <w:pPr>
        <w:spacing w:before="99"/>
        <w:ind w:left="533" w:right="0" w:firstLine="0"/>
        <w:jc w:val="left"/>
        <w:rPr>
          <w:sz w:val="14"/>
        </w:rPr>
      </w:pPr>
      <w:r>
        <w:rPr>
          <w:w w:val="105"/>
          <w:sz w:val="14"/>
        </w:rPr>
        <w:t>Proceeds</w:t>
      </w:r>
    </w:p>
    <w:p>
      <w:pPr>
        <w:spacing w:before="105"/>
        <w:ind w:left="615" w:right="0" w:firstLine="0"/>
        <w:jc w:val="left"/>
        <w:rPr>
          <w:sz w:val="14"/>
        </w:rPr>
      </w:pPr>
      <w:r>
        <w:rPr>
          <w:w w:val="105"/>
          <w:sz w:val="14"/>
        </w:rPr>
        <w:t>Proceeds from Disposal of</w:t>
      </w:r>
    </w:p>
    <w:p>
      <w:pPr>
        <w:tabs>
          <w:tab w:pos="5875" w:val="left" w:leader="none"/>
          <w:tab w:pos="7678" w:val="left" w:leader="none"/>
          <w:tab w:pos="9190" w:val="left" w:leader="none"/>
          <w:tab w:pos="10731" w:val="left" w:leader="none"/>
        </w:tabs>
        <w:spacing w:before="36"/>
        <w:ind w:left="655" w:right="0" w:firstLine="0"/>
        <w:jc w:val="left"/>
        <w:rPr>
          <w:sz w:val="14"/>
        </w:rPr>
      </w:pPr>
      <w:r>
        <w:rPr>
          <w:w w:val="105"/>
          <w:sz w:val="14"/>
        </w:rPr>
        <w:t>Capital</w:t>
      </w:r>
      <w:r>
        <w:rPr>
          <w:spacing w:val="-9"/>
          <w:w w:val="105"/>
          <w:sz w:val="14"/>
        </w:rPr>
        <w:t> </w:t>
      </w:r>
      <w:r>
        <w:rPr>
          <w:w w:val="105"/>
          <w:sz w:val="14"/>
        </w:rPr>
        <w:t>Assets</w:t>
        <w:tab/>
        <w:t>8953</w:t>
        <w:tab/>
        <w:t>0.00</w:t>
        <w:tab/>
        <w:t>0.00</w:t>
        <w:tab/>
        <w:t>0.0%</w:t>
      </w:r>
    </w:p>
    <w:p>
      <w:pPr>
        <w:pStyle w:val="BodyText"/>
        <w:spacing w:before="2"/>
        <w:rPr>
          <w:sz w:val="10"/>
        </w:rPr>
      </w:pPr>
    </w:p>
    <w:p>
      <w:pPr>
        <w:spacing w:before="99"/>
        <w:ind w:left="533" w:right="0" w:firstLine="0"/>
        <w:jc w:val="left"/>
        <w:rPr>
          <w:sz w:val="14"/>
        </w:rPr>
      </w:pPr>
      <w:r>
        <w:rPr>
          <w:w w:val="105"/>
          <w:sz w:val="14"/>
        </w:rPr>
        <w:t>Other Sources</w:t>
      </w:r>
    </w:p>
    <w:p>
      <w:pPr>
        <w:spacing w:before="117"/>
        <w:ind w:left="615" w:right="0" w:firstLine="0"/>
        <w:jc w:val="left"/>
        <w:rPr>
          <w:sz w:val="14"/>
        </w:rPr>
      </w:pPr>
      <w:r>
        <w:rPr>
          <w:w w:val="105"/>
          <w:sz w:val="14"/>
        </w:rPr>
        <w:t>Transfers from Funds of</w:t>
      </w:r>
    </w:p>
    <w:p>
      <w:pPr>
        <w:tabs>
          <w:tab w:pos="5875" w:val="left" w:leader="none"/>
          <w:tab w:pos="7678" w:val="left" w:leader="none"/>
          <w:tab w:pos="9190" w:val="left" w:leader="none"/>
          <w:tab w:pos="10731" w:val="left" w:leader="none"/>
        </w:tabs>
        <w:spacing w:line="376" w:lineRule="auto" w:before="36"/>
        <w:ind w:left="533" w:right="840" w:firstLine="121"/>
        <w:jc w:val="left"/>
        <w:rPr>
          <w:sz w:val="14"/>
        </w:rPr>
      </w:pPr>
      <w:r>
        <w:rPr>
          <w:w w:val="105"/>
          <w:sz w:val="14"/>
        </w:rPr>
        <w:t>Lapsed/Reorganized</w:t>
      </w:r>
      <w:r>
        <w:rPr>
          <w:spacing w:val="-19"/>
          <w:w w:val="105"/>
          <w:sz w:val="14"/>
        </w:rPr>
        <w:t> </w:t>
      </w:r>
      <w:r>
        <w:rPr>
          <w:w w:val="105"/>
          <w:sz w:val="14"/>
        </w:rPr>
        <w:t>LEAs</w:t>
        <w:tab/>
        <w:t>8965</w:t>
        <w:tab/>
        <w:t>0.00</w:t>
        <w:tab/>
        <w:t>0.00</w:t>
        <w:tab/>
      </w:r>
      <w:r>
        <w:rPr>
          <w:spacing w:val="-6"/>
          <w:w w:val="105"/>
          <w:sz w:val="14"/>
        </w:rPr>
        <w:t>0.0% </w:t>
      </w:r>
      <w:r>
        <w:rPr>
          <w:w w:val="105"/>
          <w:sz w:val="14"/>
        </w:rPr>
        <w:t>Long-Term Debt</w:t>
      </w:r>
      <w:r>
        <w:rPr>
          <w:spacing w:val="-4"/>
          <w:w w:val="105"/>
          <w:sz w:val="14"/>
        </w:rPr>
        <w:t> </w:t>
      </w:r>
      <w:r>
        <w:rPr>
          <w:w w:val="105"/>
          <w:sz w:val="14"/>
        </w:rPr>
        <w:t>Proceeds</w:t>
      </w:r>
    </w:p>
    <w:p>
      <w:pPr>
        <w:spacing w:line="131" w:lineRule="exact" w:before="0"/>
        <w:ind w:left="615" w:right="0" w:firstLine="0"/>
        <w:jc w:val="left"/>
        <w:rPr>
          <w:sz w:val="14"/>
        </w:rPr>
      </w:pPr>
      <w:r>
        <w:rPr>
          <w:w w:val="105"/>
          <w:sz w:val="14"/>
        </w:rPr>
        <w:t>Proceeds from Certificates</w:t>
      </w:r>
    </w:p>
    <w:p>
      <w:pPr>
        <w:tabs>
          <w:tab w:pos="5875" w:val="left" w:leader="none"/>
          <w:tab w:pos="7678" w:val="left" w:leader="none"/>
          <w:tab w:pos="9190" w:val="left" w:leader="none"/>
          <w:tab w:pos="10731" w:val="left" w:leader="none"/>
        </w:tabs>
        <w:spacing w:before="36"/>
        <w:ind w:left="655" w:right="0" w:firstLine="0"/>
        <w:jc w:val="left"/>
        <w:rPr>
          <w:sz w:val="14"/>
        </w:rPr>
      </w:pPr>
      <w:r>
        <w:rPr>
          <w:w w:val="105"/>
          <w:sz w:val="14"/>
        </w:rPr>
        <w:t>of</w:t>
      </w:r>
      <w:r>
        <w:rPr>
          <w:spacing w:val="-9"/>
          <w:w w:val="105"/>
          <w:sz w:val="14"/>
        </w:rPr>
        <w:t> </w:t>
      </w:r>
      <w:r>
        <w:rPr>
          <w:w w:val="105"/>
          <w:sz w:val="14"/>
        </w:rPr>
        <w:t>Participation</w:t>
        <w:tab/>
        <w:t>8971</w:t>
        <w:tab/>
        <w:t>0.00</w:t>
        <w:tab/>
        <w:t>0.00</w:t>
        <w:tab/>
        <w:t>0.0%</w:t>
      </w:r>
    </w:p>
    <w:p>
      <w:pPr>
        <w:pStyle w:val="BodyText"/>
        <w:spacing w:before="11"/>
        <w:rPr>
          <w:sz w:val="9"/>
        </w:rPr>
      </w:pPr>
    </w:p>
    <w:p>
      <w:pPr>
        <w:tabs>
          <w:tab w:pos="5875" w:val="left" w:leader="none"/>
          <w:tab w:pos="7678" w:val="left" w:leader="none"/>
          <w:tab w:pos="9190" w:val="left" w:leader="none"/>
          <w:tab w:pos="10731" w:val="left" w:leader="none"/>
        </w:tabs>
        <w:spacing w:before="99"/>
        <w:ind w:left="615" w:right="0" w:firstLine="0"/>
        <w:jc w:val="left"/>
        <w:rPr>
          <w:sz w:val="14"/>
        </w:rPr>
      </w:pPr>
      <w:r>
        <w:rPr>
          <w:w w:val="105"/>
          <w:sz w:val="14"/>
        </w:rPr>
        <w:t>Proceeds</w:t>
      </w:r>
      <w:r>
        <w:rPr>
          <w:spacing w:val="-10"/>
          <w:w w:val="105"/>
          <w:sz w:val="14"/>
        </w:rPr>
        <w:t> </w:t>
      </w:r>
      <w:r>
        <w:rPr>
          <w:w w:val="105"/>
          <w:sz w:val="14"/>
        </w:rPr>
        <w:t>from</w:t>
      </w:r>
      <w:r>
        <w:rPr>
          <w:spacing w:val="-13"/>
          <w:w w:val="105"/>
          <w:sz w:val="14"/>
        </w:rPr>
        <w:t> </w:t>
      </w:r>
      <w:r>
        <w:rPr>
          <w:w w:val="105"/>
          <w:sz w:val="14"/>
        </w:rPr>
        <w:t>Leases</w:t>
        <w:tab/>
        <w:t>8972</w:t>
        <w:tab/>
        <w:t>0.00</w:t>
        <w:tab/>
        <w:t>0.00</w:t>
        <w:tab/>
        <w:t>0.0%</w:t>
      </w:r>
    </w:p>
    <w:p>
      <w:pPr>
        <w:pStyle w:val="BodyText"/>
        <w:spacing w:before="11"/>
        <w:rPr>
          <w:sz w:val="9"/>
        </w:rPr>
      </w:pPr>
    </w:p>
    <w:p>
      <w:pPr>
        <w:tabs>
          <w:tab w:pos="5875" w:val="left" w:leader="none"/>
          <w:tab w:pos="7678" w:val="left" w:leader="none"/>
          <w:tab w:pos="9190" w:val="left" w:leader="none"/>
          <w:tab w:pos="10731" w:val="left" w:leader="none"/>
        </w:tabs>
        <w:spacing w:before="99"/>
        <w:ind w:left="615" w:right="0" w:firstLine="0"/>
        <w:jc w:val="left"/>
        <w:rPr>
          <w:sz w:val="14"/>
        </w:rPr>
      </w:pPr>
      <w:r>
        <w:rPr>
          <w:w w:val="105"/>
          <w:sz w:val="14"/>
        </w:rPr>
        <w:t>Proceeds</w:t>
      </w:r>
      <w:r>
        <w:rPr>
          <w:spacing w:val="-11"/>
          <w:w w:val="105"/>
          <w:sz w:val="14"/>
        </w:rPr>
        <w:t> </w:t>
      </w:r>
      <w:r>
        <w:rPr>
          <w:w w:val="105"/>
          <w:sz w:val="14"/>
        </w:rPr>
        <w:t>from</w:t>
      </w:r>
      <w:r>
        <w:rPr>
          <w:spacing w:val="-13"/>
          <w:w w:val="105"/>
          <w:sz w:val="14"/>
        </w:rPr>
        <w:t> </w:t>
      </w:r>
      <w:r>
        <w:rPr>
          <w:w w:val="105"/>
          <w:sz w:val="14"/>
        </w:rPr>
        <w:t>Lease</w:t>
      </w:r>
      <w:r>
        <w:rPr>
          <w:spacing w:val="-12"/>
          <w:w w:val="105"/>
          <w:sz w:val="14"/>
        </w:rPr>
        <w:t> </w:t>
      </w:r>
      <w:r>
        <w:rPr>
          <w:w w:val="105"/>
          <w:sz w:val="14"/>
        </w:rPr>
        <w:t>Revenue</w:t>
      </w:r>
      <w:r>
        <w:rPr>
          <w:spacing w:val="-12"/>
          <w:w w:val="105"/>
          <w:sz w:val="14"/>
        </w:rPr>
        <w:t> </w:t>
      </w:r>
      <w:r>
        <w:rPr>
          <w:w w:val="105"/>
          <w:sz w:val="14"/>
        </w:rPr>
        <w:t>Bonds</w:t>
        <w:tab/>
        <w:t>8973</w:t>
        <w:tab/>
        <w:t>0.00</w:t>
        <w:tab/>
        <w:t>0.00</w:t>
        <w:tab/>
        <w:t>0.0%</w:t>
      </w:r>
    </w:p>
    <w:p>
      <w:pPr>
        <w:pStyle w:val="BodyText"/>
        <w:spacing w:before="11"/>
        <w:rPr>
          <w:sz w:val="9"/>
        </w:rPr>
      </w:pPr>
    </w:p>
    <w:p>
      <w:pPr>
        <w:tabs>
          <w:tab w:pos="5875" w:val="left" w:leader="none"/>
          <w:tab w:pos="7678" w:val="left" w:leader="none"/>
          <w:tab w:pos="9190" w:val="left" w:leader="none"/>
          <w:tab w:pos="10731" w:val="left" w:leader="none"/>
        </w:tabs>
        <w:spacing w:before="99"/>
        <w:ind w:left="533" w:right="0" w:firstLine="0"/>
        <w:jc w:val="left"/>
        <w:rPr>
          <w:sz w:val="14"/>
        </w:rPr>
      </w:pPr>
      <w:r>
        <w:rPr>
          <w:w w:val="105"/>
          <w:sz w:val="14"/>
        </w:rPr>
        <w:t>All Other</w:t>
      </w:r>
      <w:r>
        <w:rPr>
          <w:spacing w:val="-21"/>
          <w:w w:val="105"/>
          <w:sz w:val="14"/>
        </w:rPr>
        <w:t> </w:t>
      </w:r>
      <w:r>
        <w:rPr>
          <w:w w:val="105"/>
          <w:sz w:val="14"/>
        </w:rPr>
        <w:t>Financing</w:t>
      </w:r>
      <w:r>
        <w:rPr>
          <w:spacing w:val="-11"/>
          <w:w w:val="105"/>
          <w:sz w:val="14"/>
        </w:rPr>
        <w:t> </w:t>
      </w:r>
      <w:r>
        <w:rPr>
          <w:w w:val="105"/>
          <w:sz w:val="14"/>
        </w:rPr>
        <w:t>Sources</w:t>
        <w:tab/>
        <w:t>8979</w:t>
        <w:tab/>
        <w:t>0.00</w:t>
        <w:tab/>
        <w:t>0.00</w:t>
        <w:tab/>
        <w:t>0.0%</w:t>
      </w:r>
    </w:p>
    <w:p>
      <w:pPr>
        <w:pStyle w:val="BodyText"/>
        <w:spacing w:before="11"/>
        <w:rPr>
          <w:sz w:val="9"/>
        </w:rPr>
      </w:pPr>
    </w:p>
    <w:p>
      <w:pPr>
        <w:tabs>
          <w:tab w:pos="7678" w:val="left" w:leader="none"/>
          <w:tab w:pos="9190" w:val="left" w:leader="none"/>
          <w:tab w:pos="10731" w:val="left" w:leader="none"/>
        </w:tabs>
        <w:spacing w:before="99"/>
        <w:ind w:left="452" w:right="0" w:firstLine="0"/>
        <w:jc w:val="left"/>
        <w:rPr>
          <w:sz w:val="14"/>
        </w:rPr>
      </w:pPr>
      <w:r>
        <w:rPr>
          <w:w w:val="105"/>
          <w:sz w:val="14"/>
        </w:rPr>
        <w:t>(c)</w:t>
      </w:r>
      <w:r>
        <w:rPr>
          <w:spacing w:val="-8"/>
          <w:w w:val="105"/>
          <w:sz w:val="14"/>
        </w:rPr>
        <w:t> </w:t>
      </w:r>
      <w:r>
        <w:rPr>
          <w:w w:val="105"/>
          <w:sz w:val="14"/>
        </w:rPr>
        <w:t>TOTAL,</w:t>
      </w:r>
      <w:r>
        <w:rPr>
          <w:spacing w:val="-7"/>
          <w:w w:val="105"/>
          <w:sz w:val="14"/>
        </w:rPr>
        <w:t> </w:t>
      </w:r>
      <w:r>
        <w:rPr>
          <w:w w:val="105"/>
          <w:sz w:val="14"/>
        </w:rPr>
        <w:t>SOURCES</w:t>
        <w:tab/>
        <w:t>0.00</w:t>
        <w:tab/>
        <w:t>0.00</w:t>
        <w:tab/>
        <w:t>0.0%</w:t>
      </w:r>
    </w:p>
    <w:p>
      <w:pPr>
        <w:spacing w:before="115"/>
        <w:ind w:left="452" w:right="0" w:firstLine="0"/>
        <w:jc w:val="left"/>
        <w:rPr>
          <w:b/>
          <w:sz w:val="14"/>
        </w:rPr>
      </w:pPr>
      <w:r>
        <w:rPr>
          <w:b/>
          <w:w w:val="105"/>
          <w:sz w:val="14"/>
        </w:rPr>
        <w:t>USES</w:t>
      </w:r>
    </w:p>
    <w:p>
      <w:pPr>
        <w:pStyle w:val="BodyText"/>
        <w:spacing w:before="11"/>
        <w:rPr>
          <w:b/>
          <w:sz w:val="24"/>
        </w:rPr>
      </w:pPr>
    </w:p>
    <w:p>
      <w:pPr>
        <w:spacing w:before="99"/>
        <w:ind w:left="533" w:right="0" w:firstLine="0"/>
        <w:jc w:val="left"/>
        <w:rPr>
          <w:sz w:val="14"/>
        </w:rPr>
      </w:pPr>
      <w:r>
        <w:rPr>
          <w:w w:val="105"/>
          <w:sz w:val="14"/>
        </w:rPr>
        <w:t>Transfers of Funds from</w:t>
      </w:r>
    </w:p>
    <w:p>
      <w:pPr>
        <w:tabs>
          <w:tab w:pos="5875" w:val="left" w:leader="none"/>
          <w:tab w:pos="7678" w:val="left" w:leader="none"/>
          <w:tab w:pos="9190" w:val="left" w:leader="none"/>
          <w:tab w:pos="10731" w:val="left" w:leader="none"/>
        </w:tabs>
        <w:spacing w:before="36"/>
        <w:ind w:left="573" w:right="0" w:firstLine="0"/>
        <w:jc w:val="left"/>
        <w:rPr>
          <w:sz w:val="14"/>
        </w:rPr>
      </w:pPr>
      <w:r>
        <w:rPr>
          <w:w w:val="105"/>
          <w:sz w:val="14"/>
        </w:rPr>
        <w:t>Lapsed/Reorganized</w:t>
      </w:r>
      <w:r>
        <w:rPr>
          <w:spacing w:val="-19"/>
          <w:w w:val="105"/>
          <w:sz w:val="14"/>
        </w:rPr>
        <w:t> </w:t>
      </w:r>
      <w:r>
        <w:rPr>
          <w:w w:val="105"/>
          <w:sz w:val="14"/>
        </w:rPr>
        <w:t>LEAs</w:t>
        <w:tab/>
        <w:t>7651</w:t>
        <w:tab/>
        <w:t>0.00</w:t>
        <w:tab/>
        <w:t>0.00</w:t>
        <w:tab/>
        <w:t>0.0%</w:t>
      </w:r>
    </w:p>
    <w:p>
      <w:pPr>
        <w:pStyle w:val="BodyText"/>
        <w:spacing w:before="11"/>
        <w:rPr>
          <w:sz w:val="9"/>
        </w:rPr>
      </w:pPr>
    </w:p>
    <w:p>
      <w:pPr>
        <w:tabs>
          <w:tab w:pos="7678" w:val="left" w:leader="none"/>
          <w:tab w:pos="9190" w:val="left" w:leader="none"/>
          <w:tab w:pos="10731" w:val="left" w:leader="none"/>
        </w:tabs>
        <w:spacing w:before="99"/>
        <w:ind w:left="452" w:right="0" w:firstLine="0"/>
        <w:jc w:val="left"/>
        <w:rPr>
          <w:sz w:val="14"/>
        </w:rPr>
      </w:pPr>
      <w:r>
        <w:rPr>
          <w:w w:val="105"/>
          <w:sz w:val="14"/>
        </w:rPr>
        <w:t>(d)</w:t>
      </w:r>
      <w:r>
        <w:rPr>
          <w:spacing w:val="-6"/>
          <w:w w:val="105"/>
          <w:sz w:val="14"/>
        </w:rPr>
        <w:t> </w:t>
      </w:r>
      <w:r>
        <w:rPr>
          <w:w w:val="105"/>
          <w:sz w:val="14"/>
        </w:rPr>
        <w:t>TOTAL,</w:t>
      </w:r>
      <w:r>
        <w:rPr>
          <w:spacing w:val="-6"/>
          <w:w w:val="105"/>
          <w:sz w:val="14"/>
        </w:rPr>
        <w:t> </w:t>
      </w:r>
      <w:r>
        <w:rPr>
          <w:w w:val="105"/>
          <w:sz w:val="14"/>
        </w:rPr>
        <w:t>USES</w:t>
        <w:tab/>
        <w:t>0.00</w:t>
        <w:tab/>
        <w:t>0.00</w:t>
        <w:tab/>
        <w:t>0.0%</w:t>
      </w:r>
    </w:p>
    <w:p>
      <w:pPr>
        <w:pStyle w:val="BodyText"/>
        <w:spacing w:before="10"/>
        <w:rPr>
          <w:sz w:val="9"/>
        </w:rPr>
      </w:pPr>
    </w:p>
    <w:p>
      <w:pPr>
        <w:spacing w:before="99"/>
        <w:ind w:left="452" w:right="0" w:firstLine="0"/>
        <w:jc w:val="left"/>
        <w:rPr>
          <w:b/>
          <w:sz w:val="14"/>
        </w:rPr>
      </w:pPr>
      <w:r>
        <w:rPr>
          <w:b/>
          <w:w w:val="105"/>
          <w:sz w:val="14"/>
        </w:rPr>
        <w:t>CONTRIBUTIONS</w:t>
      </w:r>
    </w:p>
    <w:p>
      <w:pPr>
        <w:pStyle w:val="BodyText"/>
        <w:spacing w:before="6"/>
        <w:rPr>
          <w:b/>
          <w:sz w:val="27"/>
        </w:rPr>
      </w:pPr>
    </w:p>
    <w:p>
      <w:pPr>
        <w:spacing w:after="0"/>
        <w:rPr>
          <w:sz w:val="27"/>
        </w:rPr>
        <w:sectPr>
          <w:type w:val="continuous"/>
          <w:pgSz w:w="12240" w:h="15840"/>
          <w:pgMar w:top="1500" w:bottom="840" w:left="160" w:right="180"/>
        </w:sectPr>
      </w:pPr>
    </w:p>
    <w:p>
      <w:pPr>
        <w:pStyle w:val="Heading9"/>
        <w:tabs>
          <w:tab w:pos="6192" w:val="right" w:leader="none"/>
        </w:tabs>
        <w:ind w:left="491"/>
      </w:pPr>
      <w:r>
        <w:rPr>
          <w:w w:val="105"/>
        </w:rPr>
        <w:t>Contributions from</w:t>
      </w:r>
      <w:r>
        <w:rPr>
          <w:spacing w:val="-7"/>
          <w:w w:val="105"/>
        </w:rPr>
        <w:t> </w:t>
      </w:r>
      <w:r>
        <w:rPr>
          <w:w w:val="105"/>
        </w:rPr>
        <w:t>Unrestricted</w:t>
      </w:r>
      <w:r>
        <w:rPr>
          <w:spacing w:val="-3"/>
          <w:w w:val="105"/>
        </w:rPr>
        <w:t> </w:t>
      </w:r>
      <w:r>
        <w:rPr>
          <w:w w:val="105"/>
        </w:rPr>
        <w:t>Revenues</w:t>
        <w:tab/>
        <w:t>8980</w:t>
      </w:r>
    </w:p>
    <w:p>
      <w:pPr>
        <w:pStyle w:val="Heading9"/>
        <w:tabs>
          <w:tab w:pos="2003" w:val="left" w:leader="none"/>
        </w:tabs>
        <w:ind w:left="491"/>
      </w:pPr>
      <w:r>
        <w:rPr/>
        <w:br w:type="column"/>
      </w:r>
      <w:r>
        <w:rPr>
          <w:w w:val="105"/>
        </w:rPr>
        <w:t>0.00</w:t>
        <w:tab/>
        <w:t>0.00</w:t>
      </w:r>
    </w:p>
    <w:p>
      <w:pPr>
        <w:pStyle w:val="Heading9"/>
        <w:ind w:left="491"/>
      </w:pPr>
      <w:r>
        <w:rPr/>
        <w:br w:type="column"/>
      </w:r>
      <w:r>
        <w:rPr>
          <w:w w:val="105"/>
        </w:rPr>
        <w:t>0.0%</w:t>
      </w:r>
    </w:p>
    <w:p>
      <w:pPr>
        <w:spacing w:after="0"/>
        <w:sectPr>
          <w:type w:val="continuous"/>
          <w:pgSz w:w="12240" w:h="15840"/>
          <w:pgMar w:top="1500" w:bottom="840" w:left="160" w:right="180"/>
          <w:cols w:num="3" w:equalWidth="0">
            <w:col w:w="6234" w:space="953"/>
            <w:col w:w="2323" w:space="729"/>
            <w:col w:w="1661"/>
          </w:cols>
        </w:sectPr>
      </w:pPr>
    </w:p>
    <w:p>
      <w:pPr>
        <w:pStyle w:val="Heading9"/>
        <w:tabs>
          <w:tab w:pos="6192" w:val="right" w:leader="none"/>
        </w:tabs>
        <w:spacing w:before="213"/>
        <w:ind w:left="491"/>
      </w:pPr>
      <w:r>
        <w:rPr>
          <w:w w:val="105"/>
        </w:rPr>
        <w:t>Contributions from</w:t>
      </w:r>
      <w:r>
        <w:rPr>
          <w:spacing w:val="-6"/>
          <w:w w:val="105"/>
        </w:rPr>
        <w:t> </w:t>
      </w:r>
      <w:r>
        <w:rPr>
          <w:w w:val="105"/>
        </w:rPr>
        <w:t>Restricted</w:t>
      </w:r>
      <w:r>
        <w:rPr>
          <w:spacing w:val="-2"/>
          <w:w w:val="105"/>
        </w:rPr>
        <w:t> </w:t>
      </w:r>
      <w:r>
        <w:rPr>
          <w:w w:val="105"/>
        </w:rPr>
        <w:t>Revenues</w:t>
        <w:tab/>
        <w:t>8990</w:t>
      </w:r>
    </w:p>
    <w:p>
      <w:pPr>
        <w:tabs>
          <w:tab w:pos="2003" w:val="left" w:leader="none"/>
        </w:tabs>
        <w:spacing w:before="213"/>
        <w:ind w:left="491" w:right="0" w:firstLine="0"/>
        <w:jc w:val="left"/>
        <w:rPr>
          <w:sz w:val="14"/>
        </w:rPr>
      </w:pPr>
      <w:r>
        <w:rPr/>
        <w:br w:type="column"/>
      </w:r>
      <w:r>
        <w:rPr>
          <w:w w:val="105"/>
          <w:sz w:val="14"/>
        </w:rPr>
        <w:t>0.00</w:t>
        <w:tab/>
        <w:t>0.00</w:t>
      </w:r>
    </w:p>
    <w:p>
      <w:pPr>
        <w:spacing w:before="213"/>
        <w:ind w:left="491" w:right="0" w:firstLine="0"/>
        <w:jc w:val="left"/>
        <w:rPr>
          <w:sz w:val="14"/>
        </w:rPr>
      </w:pPr>
      <w:r>
        <w:rPr/>
        <w:br w:type="column"/>
      </w:r>
      <w:r>
        <w:rPr>
          <w:w w:val="105"/>
          <w:sz w:val="14"/>
        </w:rPr>
        <w:t>0.0%</w:t>
      </w:r>
    </w:p>
    <w:p>
      <w:pPr>
        <w:spacing w:after="0"/>
        <w:jc w:val="left"/>
        <w:rPr>
          <w:sz w:val="14"/>
        </w:rPr>
        <w:sectPr>
          <w:type w:val="continuous"/>
          <w:pgSz w:w="12240" w:h="15840"/>
          <w:pgMar w:top="1500" w:bottom="840" w:left="160" w:right="180"/>
          <w:cols w:num="3" w:equalWidth="0">
            <w:col w:w="6234" w:space="953"/>
            <w:col w:w="2323" w:space="729"/>
            <w:col w:w="1661"/>
          </w:cols>
        </w:sectPr>
      </w:pPr>
    </w:p>
    <w:p>
      <w:pPr>
        <w:pStyle w:val="ListParagraph"/>
        <w:numPr>
          <w:ilvl w:val="0"/>
          <w:numId w:val="40"/>
        </w:numPr>
        <w:tabs>
          <w:tab w:pos="667" w:val="left" w:leader="none"/>
          <w:tab w:pos="7678" w:val="left" w:leader="none"/>
          <w:tab w:pos="9190" w:val="left" w:leader="none"/>
          <w:tab w:pos="10731" w:val="left" w:leader="none"/>
        </w:tabs>
        <w:spacing w:line="240" w:lineRule="auto" w:before="216" w:after="0"/>
        <w:ind w:left="666" w:right="0" w:hanging="215"/>
        <w:jc w:val="left"/>
        <w:rPr>
          <w:sz w:val="14"/>
        </w:rPr>
      </w:pPr>
      <w:r>
        <w:rPr>
          <w:w w:val="105"/>
          <w:sz w:val="14"/>
        </w:rPr>
        <w:t>TOTAL,</w:t>
      </w:r>
      <w:r>
        <w:rPr>
          <w:spacing w:val="-12"/>
          <w:w w:val="105"/>
          <w:sz w:val="14"/>
        </w:rPr>
        <w:t> </w:t>
      </w:r>
      <w:r>
        <w:rPr>
          <w:w w:val="105"/>
          <w:sz w:val="14"/>
        </w:rPr>
        <w:t>CONTRIBUTIONS</w:t>
        <w:tab/>
        <w:t>0.00</w:t>
        <w:tab/>
        <w:t>0.00</w:t>
        <w:tab/>
        <w:t>0.0%</w:t>
      </w:r>
    </w:p>
    <w:p>
      <w:pPr>
        <w:spacing w:before="413"/>
        <w:ind w:left="370" w:right="0" w:firstLine="0"/>
        <w:jc w:val="left"/>
        <w:rPr>
          <w:sz w:val="14"/>
        </w:rPr>
      </w:pPr>
      <w:r>
        <w:rPr>
          <w:w w:val="105"/>
          <w:sz w:val="14"/>
        </w:rPr>
        <w:t>TOTAL, OTHER FINANCING SOURCES/USES</w:t>
      </w:r>
    </w:p>
    <w:p>
      <w:pPr>
        <w:tabs>
          <w:tab w:pos="7678" w:val="left" w:leader="none"/>
          <w:tab w:pos="9190" w:val="left" w:leader="none"/>
          <w:tab w:pos="10731" w:val="left" w:leader="none"/>
        </w:tabs>
        <w:spacing w:before="36"/>
        <w:ind w:left="452" w:right="0" w:firstLine="0"/>
        <w:jc w:val="left"/>
        <w:rPr>
          <w:sz w:val="14"/>
        </w:rPr>
      </w:pPr>
      <w:r>
        <w:rPr>
          <w:w w:val="105"/>
          <w:sz w:val="14"/>
        </w:rPr>
        <w:t>(a - b + c - d</w:t>
      </w:r>
      <w:r>
        <w:rPr>
          <w:spacing w:val="-18"/>
          <w:w w:val="105"/>
          <w:sz w:val="14"/>
        </w:rPr>
        <w:t> </w:t>
      </w:r>
      <w:r>
        <w:rPr>
          <w:w w:val="105"/>
          <w:sz w:val="14"/>
        </w:rPr>
        <w:t>+</w:t>
      </w:r>
      <w:r>
        <w:rPr>
          <w:spacing w:val="-2"/>
          <w:w w:val="105"/>
          <w:sz w:val="14"/>
        </w:rPr>
        <w:t> </w:t>
      </w:r>
      <w:r>
        <w:rPr>
          <w:w w:val="105"/>
          <w:sz w:val="14"/>
        </w:rPr>
        <w:t>e)</w:t>
        <w:tab/>
        <w:t>0.00</w:t>
        <w:tab/>
        <w:t>0.00</w:t>
        <w:tab/>
        <w:t>0.0%</w:t>
      </w:r>
    </w:p>
    <w:p>
      <w:pPr>
        <w:spacing w:after="0"/>
        <w:jc w:val="left"/>
        <w:rPr>
          <w:sz w:val="14"/>
        </w:rPr>
        <w:sectPr>
          <w:type w:val="continuous"/>
          <w:pgSz w:w="12240" w:h="15840"/>
          <w:pgMar w:top="1500" w:bottom="840" w:left="160" w:right="180"/>
        </w:sectPr>
      </w:pPr>
    </w:p>
    <w:p>
      <w:pPr>
        <w:pStyle w:val="BodyText"/>
        <w:rPr>
          <w:sz w:val="20"/>
        </w:rPr>
      </w:pPr>
      <w:r>
        <w:rPr/>
        <w:pict>
          <v:group style="position:absolute;margin-left:27.120001pt;margin-top:81.360008pt;width:554.3pt;height:40.7pt;mso-position-horizontal-relative:page;mso-position-vertical-relative:page;z-index:-314201088" coordorigin="542,1627" coordsize="11086,814">
            <v:shape style="position:absolute;left:542;top:1627;width:3766;height:814" type="#_x0000_t75" stroked="false">
              <v:imagedata r:id="rId522" o:title=""/>
            </v:shape>
            <v:shape style="position:absolute;left:4300;top:1627;width:7328;height:814" type="#_x0000_t75" stroked="false">
              <v:imagedata r:id="rId523" o:title=""/>
            </v:shape>
            <w10:wrap type="none"/>
          </v:group>
        </w:pict>
      </w:r>
      <w:r>
        <w:rPr/>
        <w:pict>
          <v:group style="position:absolute;margin-left:27.120001pt;margin-top:120.959999pt;width:554.3pt;height:545.4pt;mso-position-horizontal-relative:page;mso-position-vertical-relative:page;z-index:-314200064" coordorigin="542,2419" coordsize="11086,10908">
            <v:line style="position:absolute" from="1379,2431" to="1379,2810" stroked="true" strokeweight=".360003pt" strokecolor="#ffffff">
              <v:stroke dashstyle="solid"/>
            </v:line>
            <v:shape style="position:absolute;left:542;top:2426;width:3766;height:2909" type="#_x0000_t75" stroked="false">
              <v:imagedata r:id="rId524" o:title=""/>
            </v:shape>
            <v:shape style="position:absolute;left:6926;top:2419;width:1570;height:399" type="#_x0000_t75" stroked="false">
              <v:imagedata r:id="rId525" o:title=""/>
            </v:shape>
            <v:shape style="position:absolute;left:8488;top:2419;width:1570;height:399" type="#_x0000_t75" stroked="false">
              <v:imagedata r:id="rId525" o:title=""/>
            </v:shape>
            <v:shape style="position:absolute;left:6926;top:2812;width:1570;height:596" type="#_x0000_t75" stroked="false">
              <v:imagedata r:id="rId671" o:title=""/>
            </v:shape>
            <v:shape style="position:absolute;left:8488;top:2812;width:1570;height:596" type="#_x0000_t75" stroked="false">
              <v:imagedata r:id="rId671" o:title=""/>
            </v:shape>
            <v:shape style="position:absolute;left:6926;top:2419;width:4702;height:1376" type="#_x0000_t75" stroked="false">
              <v:imagedata r:id="rId672" o:title=""/>
            </v:shape>
            <v:shape style="position:absolute;left:6926;top:3400;width:4702;height:780" type="#_x0000_t75" stroked="false">
              <v:imagedata r:id="rId673" o:title=""/>
            </v:shape>
            <v:shape style="position:absolute;left:6926;top:3787;width:4702;height:780" type="#_x0000_t75" stroked="false">
              <v:imagedata r:id="rId530" o:title=""/>
            </v:shape>
            <v:shape style="position:absolute;left:8488;top:4173;width:3140;height:1162" type="#_x0000_t75" stroked="false">
              <v:imagedata r:id="rId756" o:title=""/>
            </v:shape>
            <v:shape style="position:absolute;left:6926;top:4560;width:1570;height:776" type="#_x0000_t75" stroked="false">
              <v:imagedata r:id="rId532" o:title=""/>
            </v:shape>
            <v:shape style="position:absolute;left:4300;top:4560;width:2633;height:401" type="#_x0000_t75" stroked="false">
              <v:imagedata r:id="rId533" o:title=""/>
            </v:shape>
            <v:shape style="position:absolute;left:8488;top:4939;width:3140;height:1371" type="#_x0000_t75" stroked="false">
              <v:imagedata r:id="rId526" o:title=""/>
            </v:shape>
            <v:shape style="position:absolute;left:6926;top:5332;width:1570;height:977" type="#_x0000_t75" stroked="false">
              <v:imagedata r:id="rId527" o:title=""/>
            </v:shape>
            <v:shape style="position:absolute;left:8488;top:5920;width:3140;height:776" type="#_x0000_t75" stroked="false">
              <v:imagedata r:id="rId757" o:title=""/>
            </v:shape>
            <v:shape style="position:absolute;left:6926;top:6307;width:1570;height:392" type="#_x0000_t75" stroked="false">
              <v:imagedata r:id="rId758" o:title=""/>
            </v:shape>
            <v:shape style="position:absolute;left:8488;top:6307;width:3140;height:776" type="#_x0000_t75" stroked="false">
              <v:imagedata r:id="rId757" o:title=""/>
            </v:shape>
            <v:shape style="position:absolute;left:6926;top:6693;width:1570;height:392" type="#_x0000_t75" stroked="false">
              <v:imagedata r:id="rId759" o:title=""/>
            </v:shape>
            <v:shape style="position:absolute;left:8488;top:6693;width:3140;height:776" type="#_x0000_t75" stroked="false">
              <v:imagedata r:id="rId757" o:title=""/>
            </v:shape>
            <v:shape style="position:absolute;left:6926;top:7080;width:1570;height:392" type="#_x0000_t75" stroked="false">
              <v:imagedata r:id="rId758" o:title=""/>
            </v:shape>
            <v:shape style="position:absolute;left:8488;top:7080;width:3140;height:776" type="#_x0000_t75" stroked="false">
              <v:imagedata r:id="rId757" o:title=""/>
            </v:shape>
            <v:shape style="position:absolute;left:6926;top:7466;width:1570;height:392" type="#_x0000_t75" stroked="false">
              <v:imagedata r:id="rId758" o:title=""/>
            </v:shape>
            <v:shape style="position:absolute;left:8488;top:7466;width:3140;height:780" type="#_x0000_t75" stroked="false">
              <v:imagedata r:id="rId528" o:title=""/>
            </v:shape>
            <v:shape style="position:absolute;left:6926;top:7852;width:1570;height:394" type="#_x0000_t75" stroked="false">
              <v:imagedata r:id="rId539" o:title=""/>
            </v:shape>
            <v:shape style="position:absolute;left:542;top:5332;width:3766;height:4080" type="#_x0000_t75" stroked="false">
              <v:imagedata r:id="rId537" o:title=""/>
            </v:shape>
            <v:shape style="position:absolute;left:6926;top:7852;width:4702;height:1167" type="#_x0000_t75" stroked="false">
              <v:imagedata r:id="rId678" o:title=""/>
            </v:shape>
            <v:shape style="position:absolute;left:4300;top:8625;width:7328;height:788" type="#_x0000_t75" stroked="false">
              <v:imagedata r:id="rId680" o:title=""/>
            </v:shape>
            <v:line style="position:absolute" from="1379,9403" to="1379,9782" stroked="true" strokeweight=".360003pt" strokecolor="#ffffff">
              <v:stroke dashstyle="solid"/>
            </v:line>
            <v:shape style="position:absolute;left:4300;top:9012;width:7328;height:1191" type="#_x0000_t75" stroked="false">
              <v:imagedata r:id="rId681" o:title=""/>
            </v:shape>
            <v:shape style="position:absolute;left:542;top:9398;width:3766;height:804" type="#_x0000_t75" stroked="false">
              <v:imagedata r:id="rId541" o:title=""/>
            </v:shape>
            <v:line style="position:absolute" from="1379,10193" to="1379,10572" stroked="true" strokeweight=".360003pt" strokecolor="#ffffff">
              <v:stroke dashstyle="solid"/>
            </v:line>
            <v:shape style="position:absolute;left:6926;top:9986;width:4702;height:1200" type="#_x0000_t75" stroked="false">
              <v:imagedata r:id="rId682" o:title=""/>
            </v:shape>
            <v:shape style="position:absolute;left:6926;top:10977;width:4702;height:596" type="#_x0000_t75" stroked="false">
              <v:imagedata r:id="rId683" o:title=""/>
            </v:shape>
            <v:shape style="position:absolute;left:6926;top:11179;width:4702;height:982" type="#_x0000_t75" stroked="false">
              <v:imagedata r:id="rId684" o:title=""/>
            </v:shape>
            <v:shape style="position:absolute;left:6926;top:11952;width:4702;height:596" type="#_x0000_t75" stroked="false">
              <v:imagedata r:id="rId683" o:title=""/>
            </v:shape>
            <v:shape style="position:absolute;left:542;top:10188;width:3766;height:3140" type="#_x0000_t75" stroked="false">
              <v:imagedata r:id="rId546" o:title=""/>
            </v:shape>
            <v:shape style="position:absolute;left:8488;top:12153;width:3140;height:394" type="#_x0000_t75" stroked="false">
              <v:imagedata r:id="rId685" o:title=""/>
            </v:shape>
            <v:shape style="position:absolute;left:6926;top:12540;width:1570;height:394" type="#_x0000_t75" stroked="false">
              <v:imagedata r:id="rId529" o:title=""/>
            </v:shape>
            <v:shape style="position:absolute;left:8488;top:12540;width:1570;height:394" type="#_x0000_t75" stroked="false">
              <v:imagedata r:id="rId529" o:title=""/>
            </v:shape>
            <v:rect style="position:absolute;left:10056;top:12544;width:1563;height:387" filled="true" fillcolor="#dfdfdf" stroked="false">
              <v:fill type="solid"/>
            </v:rect>
            <v:shape style="position:absolute;left:4300;top:12540;width:7328;height:788" type="#_x0000_t75" stroked="false">
              <v:imagedata r:id="rId686" o:title=""/>
            </v:shape>
            <v:shape style="position:absolute;left:10051;top:12926;width:1577;height:401" type="#_x0000_t75" stroked="false">
              <v:imagedata r:id="rId549" o:title=""/>
            </v:shape>
            <w10:wrap type="none"/>
          </v:group>
        </w:pict>
      </w:r>
    </w:p>
    <w:p>
      <w:pPr>
        <w:pStyle w:val="BodyText"/>
        <w:rPr>
          <w:sz w:val="20"/>
        </w:rPr>
      </w:pPr>
    </w:p>
    <w:p>
      <w:pPr>
        <w:pStyle w:val="BodyText"/>
        <w:spacing w:before="11"/>
        <w:rPr>
          <w:sz w:val="28"/>
        </w:rPr>
      </w:pPr>
    </w:p>
    <w:tbl>
      <w:tblPr>
        <w:tblW w:w="0" w:type="auto"/>
        <w:jc w:val="left"/>
        <w:tblInd w:w="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66"/>
        <w:gridCol w:w="1518"/>
        <w:gridCol w:w="1115"/>
        <w:gridCol w:w="1782"/>
        <w:gridCol w:w="908"/>
        <w:gridCol w:w="437"/>
        <w:gridCol w:w="1581"/>
      </w:tblGrid>
      <w:tr>
        <w:trPr>
          <w:trHeight w:val="338" w:hRule="atLeast"/>
        </w:trPr>
        <w:tc>
          <w:tcPr>
            <w:tcW w:w="3766" w:type="dxa"/>
          </w:tcPr>
          <w:p>
            <w:pPr>
              <w:pStyle w:val="TableParagraph"/>
              <w:spacing w:line="147" w:lineRule="exact" w:before="171"/>
              <w:ind w:left="50"/>
              <w:rPr>
                <w:b/>
                <w:sz w:val="14"/>
              </w:rPr>
            </w:pPr>
            <w:r>
              <w:rPr>
                <w:b/>
                <w:w w:val="105"/>
                <w:sz w:val="14"/>
              </w:rPr>
              <w:t>Description</w:t>
            </w:r>
          </w:p>
        </w:tc>
        <w:tc>
          <w:tcPr>
            <w:tcW w:w="1518" w:type="dxa"/>
          </w:tcPr>
          <w:p>
            <w:pPr>
              <w:pStyle w:val="TableParagraph"/>
              <w:spacing w:before="10"/>
              <w:rPr>
                <w:sz w:val="14"/>
              </w:rPr>
            </w:pPr>
          </w:p>
          <w:p>
            <w:pPr>
              <w:pStyle w:val="TableParagraph"/>
              <w:spacing w:line="147" w:lineRule="exact"/>
              <w:ind w:left="244" w:right="122"/>
              <w:jc w:val="center"/>
              <w:rPr>
                <w:b/>
                <w:sz w:val="14"/>
              </w:rPr>
            </w:pPr>
            <w:r>
              <w:rPr>
                <w:b/>
                <w:w w:val="105"/>
                <w:sz w:val="14"/>
              </w:rPr>
              <w:t>Function Codes</w:t>
            </w:r>
          </w:p>
        </w:tc>
        <w:tc>
          <w:tcPr>
            <w:tcW w:w="1115" w:type="dxa"/>
          </w:tcPr>
          <w:p>
            <w:pPr>
              <w:pStyle w:val="TableParagraph"/>
              <w:spacing w:before="10"/>
              <w:rPr>
                <w:sz w:val="14"/>
              </w:rPr>
            </w:pPr>
          </w:p>
          <w:p>
            <w:pPr>
              <w:pStyle w:val="TableParagraph"/>
              <w:spacing w:line="147" w:lineRule="exact"/>
              <w:ind w:left="121" w:right="6"/>
              <w:jc w:val="center"/>
              <w:rPr>
                <w:b/>
                <w:sz w:val="14"/>
              </w:rPr>
            </w:pPr>
            <w:r>
              <w:rPr>
                <w:b/>
                <w:w w:val="105"/>
                <w:sz w:val="14"/>
              </w:rPr>
              <w:t>Object Codes</w:t>
            </w:r>
          </w:p>
        </w:tc>
        <w:tc>
          <w:tcPr>
            <w:tcW w:w="1782" w:type="dxa"/>
          </w:tcPr>
          <w:p>
            <w:pPr>
              <w:pStyle w:val="TableParagraph"/>
              <w:spacing w:before="1"/>
              <w:ind w:left="127" w:right="335"/>
              <w:jc w:val="center"/>
              <w:rPr>
                <w:b/>
                <w:sz w:val="14"/>
              </w:rPr>
            </w:pPr>
            <w:r>
              <w:rPr>
                <w:b/>
                <w:w w:val="105"/>
                <w:sz w:val="14"/>
              </w:rPr>
              <w:t>2020-21</w:t>
            </w:r>
          </w:p>
          <w:p>
            <w:pPr>
              <w:pStyle w:val="TableParagraph"/>
              <w:spacing w:line="147" w:lineRule="exact" w:before="9"/>
              <w:ind w:left="127" w:right="339"/>
              <w:jc w:val="center"/>
              <w:rPr>
                <w:b/>
                <w:sz w:val="14"/>
              </w:rPr>
            </w:pPr>
            <w:r>
              <w:rPr>
                <w:b/>
                <w:w w:val="105"/>
                <w:sz w:val="14"/>
              </w:rPr>
              <w:t>Estimated Actuals</w:t>
            </w:r>
          </w:p>
        </w:tc>
        <w:tc>
          <w:tcPr>
            <w:tcW w:w="908" w:type="dxa"/>
          </w:tcPr>
          <w:p>
            <w:pPr>
              <w:pStyle w:val="TableParagraph"/>
              <w:spacing w:before="1"/>
              <w:ind w:left="297"/>
              <w:rPr>
                <w:b/>
                <w:sz w:val="14"/>
              </w:rPr>
            </w:pPr>
            <w:r>
              <w:rPr>
                <w:b/>
                <w:w w:val="105"/>
                <w:sz w:val="14"/>
              </w:rPr>
              <w:t>2021-22</w:t>
            </w:r>
          </w:p>
          <w:p>
            <w:pPr>
              <w:pStyle w:val="TableParagraph"/>
              <w:spacing w:line="147" w:lineRule="exact" w:before="9"/>
              <w:ind w:left="314"/>
              <w:rPr>
                <w:b/>
                <w:sz w:val="14"/>
              </w:rPr>
            </w:pPr>
            <w:r>
              <w:rPr>
                <w:b/>
                <w:w w:val="105"/>
                <w:sz w:val="14"/>
              </w:rPr>
              <w:t>Budget</w:t>
            </w:r>
          </w:p>
        </w:tc>
        <w:tc>
          <w:tcPr>
            <w:tcW w:w="437" w:type="dxa"/>
          </w:tcPr>
          <w:p>
            <w:pPr>
              <w:pStyle w:val="TableParagraph"/>
              <w:rPr>
                <w:rFonts w:ascii="Times New Roman"/>
                <w:sz w:val="14"/>
              </w:rPr>
            </w:pPr>
          </w:p>
        </w:tc>
        <w:tc>
          <w:tcPr>
            <w:tcW w:w="1581" w:type="dxa"/>
          </w:tcPr>
          <w:p>
            <w:pPr>
              <w:pStyle w:val="TableParagraph"/>
              <w:spacing w:before="1"/>
              <w:ind w:left="515"/>
              <w:rPr>
                <w:b/>
                <w:sz w:val="14"/>
              </w:rPr>
            </w:pPr>
            <w:r>
              <w:rPr>
                <w:b/>
                <w:w w:val="105"/>
                <w:sz w:val="14"/>
              </w:rPr>
              <w:t>Percent</w:t>
            </w:r>
          </w:p>
          <w:p>
            <w:pPr>
              <w:pStyle w:val="TableParagraph"/>
              <w:spacing w:line="147" w:lineRule="exact" w:before="9"/>
              <w:ind w:left="426"/>
              <w:rPr>
                <w:b/>
                <w:sz w:val="14"/>
              </w:rPr>
            </w:pPr>
            <w:r>
              <w:rPr>
                <w:b/>
                <w:w w:val="105"/>
                <w:sz w:val="14"/>
              </w:rPr>
              <w:t>Difference</w:t>
            </w:r>
          </w:p>
        </w:tc>
      </w:tr>
      <w:tr>
        <w:trPr>
          <w:trHeight w:val="386" w:hRule="atLeast"/>
        </w:trPr>
        <w:tc>
          <w:tcPr>
            <w:tcW w:w="3766" w:type="dxa"/>
          </w:tcPr>
          <w:p>
            <w:pPr>
              <w:pStyle w:val="TableParagraph"/>
              <w:rPr>
                <w:sz w:val="19"/>
              </w:rPr>
            </w:pPr>
          </w:p>
          <w:p>
            <w:pPr>
              <w:pStyle w:val="TableParagraph"/>
              <w:spacing w:line="147" w:lineRule="exact"/>
              <w:ind w:left="50"/>
              <w:rPr>
                <w:b/>
                <w:sz w:val="14"/>
              </w:rPr>
            </w:pPr>
            <w:r>
              <w:rPr>
                <w:b/>
                <w:w w:val="105"/>
                <w:sz w:val="14"/>
              </w:rPr>
              <w:t>A. REVENUES</w:t>
            </w:r>
          </w:p>
        </w:tc>
        <w:tc>
          <w:tcPr>
            <w:tcW w:w="1518" w:type="dxa"/>
          </w:tcPr>
          <w:p>
            <w:pPr>
              <w:pStyle w:val="TableParagraph"/>
              <w:rPr>
                <w:rFonts w:ascii="Times New Roman"/>
                <w:sz w:val="14"/>
              </w:rPr>
            </w:pPr>
          </w:p>
        </w:tc>
        <w:tc>
          <w:tcPr>
            <w:tcW w:w="1115" w:type="dxa"/>
          </w:tcPr>
          <w:p>
            <w:pPr>
              <w:pStyle w:val="TableParagraph"/>
              <w:rPr>
                <w:rFonts w:ascii="Times New Roman"/>
                <w:sz w:val="14"/>
              </w:rPr>
            </w:pPr>
          </w:p>
        </w:tc>
        <w:tc>
          <w:tcPr>
            <w:tcW w:w="1782" w:type="dxa"/>
          </w:tcPr>
          <w:p>
            <w:pPr>
              <w:pStyle w:val="TableParagraph"/>
              <w:rPr>
                <w:rFonts w:ascii="Times New Roman"/>
                <w:sz w:val="14"/>
              </w:rPr>
            </w:pPr>
          </w:p>
        </w:tc>
        <w:tc>
          <w:tcPr>
            <w:tcW w:w="908" w:type="dxa"/>
          </w:tcPr>
          <w:p>
            <w:pPr>
              <w:pStyle w:val="TableParagraph"/>
              <w:rPr>
                <w:rFonts w:ascii="Times New Roman"/>
                <w:sz w:val="14"/>
              </w:rPr>
            </w:pPr>
          </w:p>
        </w:tc>
        <w:tc>
          <w:tcPr>
            <w:tcW w:w="437" w:type="dxa"/>
          </w:tcPr>
          <w:p>
            <w:pPr>
              <w:pStyle w:val="TableParagraph"/>
              <w:rPr>
                <w:rFonts w:ascii="Times New Roman"/>
                <w:sz w:val="14"/>
              </w:rPr>
            </w:pPr>
          </w:p>
        </w:tc>
        <w:tc>
          <w:tcPr>
            <w:tcW w:w="1581" w:type="dxa"/>
            <w:shd w:val="clear" w:color="auto" w:fill="DFDFDF"/>
          </w:tcPr>
          <w:p>
            <w:pPr>
              <w:pStyle w:val="TableParagraph"/>
              <w:rPr>
                <w:rFonts w:ascii="Times New Roman"/>
                <w:sz w:val="14"/>
              </w:rPr>
            </w:pPr>
          </w:p>
        </w:tc>
      </w:tr>
      <w:tr>
        <w:trPr>
          <w:trHeight w:val="201" w:hRule="atLeast"/>
        </w:trPr>
        <w:tc>
          <w:tcPr>
            <w:tcW w:w="3766" w:type="dxa"/>
          </w:tcPr>
          <w:p>
            <w:pPr>
              <w:pStyle w:val="TableParagraph"/>
              <w:rPr>
                <w:rFonts w:ascii="Times New Roman"/>
                <w:sz w:val="14"/>
              </w:rPr>
            </w:pPr>
          </w:p>
        </w:tc>
        <w:tc>
          <w:tcPr>
            <w:tcW w:w="1518" w:type="dxa"/>
          </w:tcPr>
          <w:p>
            <w:pPr>
              <w:pStyle w:val="TableParagraph"/>
              <w:rPr>
                <w:rFonts w:ascii="Times New Roman"/>
                <w:sz w:val="14"/>
              </w:rPr>
            </w:pPr>
          </w:p>
        </w:tc>
        <w:tc>
          <w:tcPr>
            <w:tcW w:w="1115" w:type="dxa"/>
          </w:tcPr>
          <w:p>
            <w:pPr>
              <w:pStyle w:val="TableParagraph"/>
              <w:rPr>
                <w:rFonts w:ascii="Times New Roman"/>
                <w:sz w:val="14"/>
              </w:rPr>
            </w:pPr>
          </w:p>
        </w:tc>
        <w:tc>
          <w:tcPr>
            <w:tcW w:w="1782" w:type="dxa"/>
            <w:shd w:val="clear" w:color="auto" w:fill="DFDFDF"/>
          </w:tcPr>
          <w:p>
            <w:pPr>
              <w:pStyle w:val="TableParagraph"/>
              <w:rPr>
                <w:rFonts w:ascii="Times New Roman"/>
                <w:sz w:val="14"/>
              </w:rPr>
            </w:pPr>
          </w:p>
        </w:tc>
        <w:tc>
          <w:tcPr>
            <w:tcW w:w="908" w:type="dxa"/>
            <w:shd w:val="clear" w:color="auto" w:fill="DFDFDF"/>
          </w:tcPr>
          <w:p>
            <w:pPr>
              <w:pStyle w:val="TableParagraph"/>
              <w:rPr>
                <w:rFonts w:ascii="Times New Roman"/>
                <w:sz w:val="14"/>
              </w:rPr>
            </w:pPr>
          </w:p>
        </w:tc>
        <w:tc>
          <w:tcPr>
            <w:tcW w:w="437" w:type="dxa"/>
            <w:shd w:val="clear" w:color="auto" w:fill="DFDFDF"/>
          </w:tcPr>
          <w:p>
            <w:pPr>
              <w:pStyle w:val="TableParagraph"/>
              <w:rPr>
                <w:rFonts w:ascii="Times New Roman"/>
                <w:sz w:val="14"/>
              </w:rPr>
            </w:pPr>
          </w:p>
        </w:tc>
        <w:tc>
          <w:tcPr>
            <w:tcW w:w="1581" w:type="dxa"/>
            <w:shd w:val="clear" w:color="auto" w:fill="DFDFDF"/>
          </w:tcPr>
          <w:p>
            <w:pPr>
              <w:pStyle w:val="TableParagraph"/>
              <w:rPr>
                <w:rFonts w:ascii="Times New Roman"/>
                <w:sz w:val="14"/>
              </w:rPr>
            </w:pPr>
          </w:p>
        </w:tc>
      </w:tr>
      <w:tr>
        <w:trPr>
          <w:trHeight w:val="386" w:hRule="atLeast"/>
        </w:trPr>
        <w:tc>
          <w:tcPr>
            <w:tcW w:w="3766" w:type="dxa"/>
          </w:tcPr>
          <w:p>
            <w:pPr>
              <w:pStyle w:val="TableParagraph"/>
              <w:spacing w:before="3"/>
              <w:rPr>
                <w:sz w:val="19"/>
              </w:rPr>
            </w:pPr>
          </w:p>
          <w:p>
            <w:pPr>
              <w:pStyle w:val="TableParagraph"/>
              <w:spacing w:line="145" w:lineRule="exact"/>
              <w:ind w:left="212"/>
              <w:rPr>
                <w:sz w:val="14"/>
              </w:rPr>
            </w:pPr>
            <w:r>
              <w:rPr>
                <w:w w:val="105"/>
                <w:sz w:val="14"/>
              </w:rPr>
              <w:t>1) LCFF Sources</w:t>
            </w:r>
          </w:p>
        </w:tc>
        <w:tc>
          <w:tcPr>
            <w:tcW w:w="1518" w:type="dxa"/>
          </w:tcPr>
          <w:p>
            <w:pPr>
              <w:pStyle w:val="TableParagraph"/>
              <w:rPr>
                <w:rFonts w:ascii="Times New Roman"/>
                <w:sz w:val="14"/>
              </w:rPr>
            </w:pPr>
          </w:p>
        </w:tc>
        <w:tc>
          <w:tcPr>
            <w:tcW w:w="1115" w:type="dxa"/>
          </w:tcPr>
          <w:p>
            <w:pPr>
              <w:pStyle w:val="TableParagraph"/>
              <w:spacing w:before="3"/>
              <w:rPr>
                <w:sz w:val="19"/>
              </w:rPr>
            </w:pPr>
          </w:p>
          <w:p>
            <w:pPr>
              <w:pStyle w:val="TableParagraph"/>
              <w:spacing w:line="145" w:lineRule="exact"/>
              <w:ind w:left="118" w:right="6"/>
              <w:jc w:val="center"/>
              <w:rPr>
                <w:sz w:val="14"/>
              </w:rPr>
            </w:pPr>
            <w:r>
              <w:rPr>
                <w:w w:val="105"/>
                <w:sz w:val="14"/>
              </w:rPr>
              <w:t>8010-8099</w:t>
            </w:r>
          </w:p>
        </w:tc>
        <w:tc>
          <w:tcPr>
            <w:tcW w:w="1782" w:type="dxa"/>
          </w:tcPr>
          <w:p>
            <w:pPr>
              <w:pStyle w:val="TableParagraph"/>
              <w:spacing w:before="3"/>
              <w:rPr>
                <w:sz w:val="19"/>
              </w:rPr>
            </w:pPr>
          </w:p>
          <w:p>
            <w:pPr>
              <w:pStyle w:val="TableParagraph"/>
              <w:spacing w:line="145" w:lineRule="exact"/>
              <w:ind w:right="299"/>
              <w:jc w:val="right"/>
              <w:rPr>
                <w:sz w:val="14"/>
              </w:rPr>
            </w:pPr>
            <w:r>
              <w:rPr>
                <w:sz w:val="14"/>
              </w:rPr>
              <w:t>0.00</w:t>
            </w:r>
          </w:p>
        </w:tc>
        <w:tc>
          <w:tcPr>
            <w:tcW w:w="908" w:type="dxa"/>
          </w:tcPr>
          <w:p>
            <w:pPr>
              <w:pStyle w:val="TableParagraph"/>
              <w:rPr>
                <w:rFonts w:ascii="Times New Roman"/>
                <w:sz w:val="14"/>
              </w:rPr>
            </w:pPr>
          </w:p>
        </w:tc>
        <w:tc>
          <w:tcPr>
            <w:tcW w:w="437" w:type="dxa"/>
          </w:tcPr>
          <w:p>
            <w:pPr>
              <w:pStyle w:val="TableParagraph"/>
              <w:spacing w:before="3"/>
              <w:rPr>
                <w:sz w:val="19"/>
              </w:rPr>
            </w:pPr>
          </w:p>
          <w:p>
            <w:pPr>
              <w:pStyle w:val="TableParagraph"/>
              <w:spacing w:line="145" w:lineRule="exact"/>
              <w:ind w:left="49" w:right="61"/>
              <w:jc w:val="center"/>
              <w:rPr>
                <w:sz w:val="14"/>
              </w:rPr>
            </w:pPr>
            <w:r>
              <w:rPr>
                <w:w w:val="105"/>
                <w:sz w:val="14"/>
              </w:rPr>
              <w:t>0.00</w:t>
            </w:r>
          </w:p>
        </w:tc>
        <w:tc>
          <w:tcPr>
            <w:tcW w:w="1581" w:type="dxa"/>
            <w:shd w:val="clear" w:color="auto" w:fill="DFDFDF"/>
          </w:tcPr>
          <w:p>
            <w:pPr>
              <w:pStyle w:val="TableParagraph"/>
              <w:spacing w:before="3"/>
              <w:rPr>
                <w:sz w:val="19"/>
              </w:rPr>
            </w:pPr>
          </w:p>
          <w:p>
            <w:pPr>
              <w:pStyle w:val="TableParagraph"/>
              <w:spacing w:line="145" w:lineRule="exact"/>
              <w:ind w:right="51"/>
              <w:jc w:val="right"/>
              <w:rPr>
                <w:sz w:val="14"/>
              </w:rPr>
            </w:pPr>
            <w:r>
              <w:rPr>
                <w:sz w:val="14"/>
              </w:rPr>
              <w:t>0.0%</w:t>
            </w:r>
          </w:p>
        </w:tc>
      </w:tr>
      <w:tr>
        <w:trPr>
          <w:trHeight w:val="495" w:hRule="atLeast"/>
        </w:trPr>
        <w:tc>
          <w:tcPr>
            <w:tcW w:w="3766" w:type="dxa"/>
          </w:tcPr>
          <w:p>
            <w:pPr>
              <w:pStyle w:val="TableParagraph"/>
              <w:spacing w:before="3"/>
              <w:rPr>
                <w:sz w:val="19"/>
              </w:rPr>
            </w:pPr>
          </w:p>
          <w:p>
            <w:pPr>
              <w:pStyle w:val="TableParagraph"/>
              <w:ind w:left="212"/>
              <w:rPr>
                <w:sz w:val="14"/>
              </w:rPr>
            </w:pPr>
            <w:r>
              <w:rPr>
                <w:w w:val="105"/>
                <w:sz w:val="14"/>
              </w:rPr>
              <w:t>2) Federal Revenue</w:t>
            </w:r>
          </w:p>
        </w:tc>
        <w:tc>
          <w:tcPr>
            <w:tcW w:w="1518" w:type="dxa"/>
          </w:tcPr>
          <w:p>
            <w:pPr>
              <w:pStyle w:val="TableParagraph"/>
              <w:rPr>
                <w:rFonts w:ascii="Times New Roman"/>
                <w:sz w:val="14"/>
              </w:rPr>
            </w:pPr>
          </w:p>
        </w:tc>
        <w:tc>
          <w:tcPr>
            <w:tcW w:w="1115" w:type="dxa"/>
          </w:tcPr>
          <w:p>
            <w:pPr>
              <w:pStyle w:val="TableParagraph"/>
              <w:spacing w:before="3"/>
              <w:rPr>
                <w:sz w:val="19"/>
              </w:rPr>
            </w:pPr>
          </w:p>
          <w:p>
            <w:pPr>
              <w:pStyle w:val="TableParagraph"/>
              <w:ind w:left="118" w:right="6"/>
              <w:jc w:val="center"/>
              <w:rPr>
                <w:sz w:val="14"/>
              </w:rPr>
            </w:pPr>
            <w:r>
              <w:rPr>
                <w:w w:val="105"/>
                <w:sz w:val="14"/>
              </w:rPr>
              <w:t>8100-8299</w:t>
            </w:r>
          </w:p>
        </w:tc>
        <w:tc>
          <w:tcPr>
            <w:tcW w:w="1782" w:type="dxa"/>
          </w:tcPr>
          <w:p>
            <w:pPr>
              <w:pStyle w:val="TableParagraph"/>
              <w:spacing w:before="3"/>
              <w:rPr>
                <w:sz w:val="19"/>
              </w:rPr>
            </w:pPr>
          </w:p>
          <w:p>
            <w:pPr>
              <w:pStyle w:val="TableParagraph"/>
              <w:ind w:right="299"/>
              <w:jc w:val="right"/>
              <w:rPr>
                <w:sz w:val="14"/>
              </w:rPr>
            </w:pPr>
            <w:r>
              <w:rPr>
                <w:sz w:val="14"/>
              </w:rPr>
              <w:t>0.00</w:t>
            </w:r>
          </w:p>
        </w:tc>
        <w:tc>
          <w:tcPr>
            <w:tcW w:w="908" w:type="dxa"/>
          </w:tcPr>
          <w:p>
            <w:pPr>
              <w:pStyle w:val="TableParagraph"/>
              <w:rPr>
                <w:rFonts w:ascii="Times New Roman"/>
                <w:sz w:val="14"/>
              </w:rPr>
            </w:pPr>
          </w:p>
        </w:tc>
        <w:tc>
          <w:tcPr>
            <w:tcW w:w="437" w:type="dxa"/>
          </w:tcPr>
          <w:p>
            <w:pPr>
              <w:pStyle w:val="TableParagraph"/>
              <w:spacing w:before="3"/>
              <w:rPr>
                <w:sz w:val="19"/>
              </w:rPr>
            </w:pPr>
          </w:p>
          <w:p>
            <w:pPr>
              <w:pStyle w:val="TableParagraph"/>
              <w:ind w:left="49" w:right="61"/>
              <w:jc w:val="center"/>
              <w:rPr>
                <w:sz w:val="14"/>
              </w:rPr>
            </w:pPr>
            <w:r>
              <w:rPr>
                <w:w w:val="105"/>
                <w:sz w:val="14"/>
              </w:rPr>
              <w:t>0.00</w:t>
            </w:r>
          </w:p>
        </w:tc>
        <w:tc>
          <w:tcPr>
            <w:tcW w:w="1581" w:type="dxa"/>
          </w:tcPr>
          <w:p>
            <w:pPr>
              <w:pStyle w:val="TableParagraph"/>
              <w:spacing w:before="3"/>
              <w:rPr>
                <w:sz w:val="19"/>
              </w:rPr>
            </w:pPr>
          </w:p>
          <w:p>
            <w:pPr>
              <w:pStyle w:val="TableParagraph"/>
              <w:ind w:right="51"/>
              <w:jc w:val="right"/>
              <w:rPr>
                <w:sz w:val="14"/>
              </w:rPr>
            </w:pPr>
            <w:r>
              <w:rPr>
                <w:sz w:val="14"/>
              </w:rPr>
              <w:t>0.0%</w:t>
            </w:r>
          </w:p>
        </w:tc>
      </w:tr>
      <w:tr>
        <w:trPr>
          <w:trHeight w:val="386" w:hRule="atLeast"/>
        </w:trPr>
        <w:tc>
          <w:tcPr>
            <w:tcW w:w="3766" w:type="dxa"/>
          </w:tcPr>
          <w:p>
            <w:pPr>
              <w:pStyle w:val="TableParagraph"/>
              <w:spacing w:before="112"/>
              <w:ind w:left="212"/>
              <w:rPr>
                <w:sz w:val="14"/>
              </w:rPr>
            </w:pPr>
            <w:r>
              <w:rPr>
                <w:w w:val="105"/>
                <w:sz w:val="14"/>
              </w:rPr>
              <w:t>3) Other State Revenue</w:t>
            </w:r>
          </w:p>
        </w:tc>
        <w:tc>
          <w:tcPr>
            <w:tcW w:w="1518" w:type="dxa"/>
          </w:tcPr>
          <w:p>
            <w:pPr>
              <w:pStyle w:val="TableParagraph"/>
              <w:rPr>
                <w:rFonts w:ascii="Times New Roman"/>
                <w:sz w:val="14"/>
              </w:rPr>
            </w:pPr>
          </w:p>
        </w:tc>
        <w:tc>
          <w:tcPr>
            <w:tcW w:w="1115" w:type="dxa"/>
          </w:tcPr>
          <w:p>
            <w:pPr>
              <w:pStyle w:val="TableParagraph"/>
              <w:spacing w:before="112"/>
              <w:ind w:left="118" w:right="6"/>
              <w:jc w:val="center"/>
              <w:rPr>
                <w:sz w:val="14"/>
              </w:rPr>
            </w:pPr>
            <w:r>
              <w:rPr>
                <w:w w:val="105"/>
                <w:sz w:val="14"/>
              </w:rPr>
              <w:t>8300-8599</w:t>
            </w:r>
          </w:p>
        </w:tc>
        <w:tc>
          <w:tcPr>
            <w:tcW w:w="1782" w:type="dxa"/>
          </w:tcPr>
          <w:p>
            <w:pPr>
              <w:pStyle w:val="TableParagraph"/>
              <w:spacing w:before="112"/>
              <w:ind w:right="299"/>
              <w:jc w:val="right"/>
              <w:rPr>
                <w:sz w:val="14"/>
              </w:rPr>
            </w:pPr>
            <w:r>
              <w:rPr>
                <w:sz w:val="14"/>
              </w:rPr>
              <w:t>0.00</w:t>
            </w:r>
          </w:p>
        </w:tc>
        <w:tc>
          <w:tcPr>
            <w:tcW w:w="908" w:type="dxa"/>
          </w:tcPr>
          <w:p>
            <w:pPr>
              <w:pStyle w:val="TableParagraph"/>
              <w:rPr>
                <w:rFonts w:ascii="Times New Roman"/>
                <w:sz w:val="14"/>
              </w:rPr>
            </w:pPr>
          </w:p>
        </w:tc>
        <w:tc>
          <w:tcPr>
            <w:tcW w:w="437" w:type="dxa"/>
          </w:tcPr>
          <w:p>
            <w:pPr>
              <w:pStyle w:val="TableParagraph"/>
              <w:spacing w:before="112"/>
              <w:ind w:left="49" w:right="61"/>
              <w:jc w:val="center"/>
              <w:rPr>
                <w:sz w:val="14"/>
              </w:rPr>
            </w:pPr>
            <w:r>
              <w:rPr>
                <w:w w:val="105"/>
                <w:sz w:val="14"/>
              </w:rPr>
              <w:t>0.00</w:t>
            </w:r>
          </w:p>
        </w:tc>
        <w:tc>
          <w:tcPr>
            <w:tcW w:w="1581" w:type="dxa"/>
          </w:tcPr>
          <w:p>
            <w:pPr>
              <w:pStyle w:val="TableParagraph"/>
              <w:spacing w:before="112"/>
              <w:ind w:right="51"/>
              <w:jc w:val="right"/>
              <w:rPr>
                <w:sz w:val="14"/>
              </w:rPr>
            </w:pPr>
            <w:r>
              <w:rPr>
                <w:sz w:val="14"/>
              </w:rPr>
              <w:t>0.0%</w:t>
            </w:r>
          </w:p>
        </w:tc>
      </w:tr>
      <w:tr>
        <w:trPr>
          <w:trHeight w:val="386" w:hRule="atLeast"/>
        </w:trPr>
        <w:tc>
          <w:tcPr>
            <w:tcW w:w="3766" w:type="dxa"/>
          </w:tcPr>
          <w:p>
            <w:pPr>
              <w:pStyle w:val="TableParagraph"/>
              <w:spacing w:before="112"/>
              <w:ind w:left="212"/>
              <w:rPr>
                <w:sz w:val="14"/>
              </w:rPr>
            </w:pPr>
            <w:r>
              <w:rPr>
                <w:w w:val="105"/>
                <w:sz w:val="14"/>
              </w:rPr>
              <w:t>4) Other Local Revenue</w:t>
            </w:r>
          </w:p>
        </w:tc>
        <w:tc>
          <w:tcPr>
            <w:tcW w:w="1518" w:type="dxa"/>
          </w:tcPr>
          <w:p>
            <w:pPr>
              <w:pStyle w:val="TableParagraph"/>
              <w:rPr>
                <w:rFonts w:ascii="Times New Roman"/>
                <w:sz w:val="14"/>
              </w:rPr>
            </w:pPr>
          </w:p>
        </w:tc>
        <w:tc>
          <w:tcPr>
            <w:tcW w:w="1115" w:type="dxa"/>
          </w:tcPr>
          <w:p>
            <w:pPr>
              <w:pStyle w:val="TableParagraph"/>
              <w:spacing w:before="112"/>
              <w:ind w:left="118" w:right="6"/>
              <w:jc w:val="center"/>
              <w:rPr>
                <w:sz w:val="14"/>
              </w:rPr>
            </w:pPr>
            <w:r>
              <w:rPr>
                <w:w w:val="105"/>
                <w:sz w:val="14"/>
              </w:rPr>
              <w:t>8600-8799</w:t>
            </w:r>
          </w:p>
        </w:tc>
        <w:tc>
          <w:tcPr>
            <w:tcW w:w="1782" w:type="dxa"/>
          </w:tcPr>
          <w:p>
            <w:pPr>
              <w:pStyle w:val="TableParagraph"/>
              <w:spacing w:before="112"/>
              <w:ind w:right="299"/>
              <w:jc w:val="right"/>
              <w:rPr>
                <w:sz w:val="14"/>
              </w:rPr>
            </w:pPr>
            <w:r>
              <w:rPr>
                <w:sz w:val="14"/>
              </w:rPr>
              <w:t>20.00</w:t>
            </w:r>
          </w:p>
        </w:tc>
        <w:tc>
          <w:tcPr>
            <w:tcW w:w="908" w:type="dxa"/>
          </w:tcPr>
          <w:p>
            <w:pPr>
              <w:pStyle w:val="TableParagraph"/>
              <w:rPr>
                <w:rFonts w:ascii="Times New Roman"/>
                <w:sz w:val="14"/>
              </w:rPr>
            </w:pPr>
          </w:p>
        </w:tc>
        <w:tc>
          <w:tcPr>
            <w:tcW w:w="437" w:type="dxa"/>
          </w:tcPr>
          <w:p>
            <w:pPr>
              <w:pStyle w:val="TableParagraph"/>
              <w:spacing w:before="112"/>
              <w:ind w:left="49" w:right="61"/>
              <w:jc w:val="center"/>
              <w:rPr>
                <w:sz w:val="14"/>
              </w:rPr>
            </w:pPr>
            <w:r>
              <w:rPr>
                <w:w w:val="105"/>
                <w:sz w:val="14"/>
              </w:rPr>
              <w:t>0.00</w:t>
            </w:r>
          </w:p>
        </w:tc>
        <w:tc>
          <w:tcPr>
            <w:tcW w:w="1581" w:type="dxa"/>
          </w:tcPr>
          <w:p>
            <w:pPr>
              <w:pStyle w:val="TableParagraph"/>
              <w:spacing w:before="112"/>
              <w:ind w:right="50"/>
              <w:jc w:val="right"/>
              <w:rPr>
                <w:sz w:val="14"/>
              </w:rPr>
            </w:pPr>
            <w:r>
              <w:rPr>
                <w:sz w:val="14"/>
              </w:rPr>
              <w:t>-100.0%</w:t>
            </w:r>
          </w:p>
        </w:tc>
      </w:tr>
      <w:tr>
        <w:trPr>
          <w:trHeight w:val="277" w:hRule="atLeast"/>
        </w:trPr>
        <w:tc>
          <w:tcPr>
            <w:tcW w:w="3766" w:type="dxa"/>
          </w:tcPr>
          <w:p>
            <w:pPr>
              <w:pStyle w:val="TableParagraph"/>
              <w:spacing w:line="145" w:lineRule="exact" w:before="112"/>
              <w:ind w:left="212"/>
              <w:rPr>
                <w:sz w:val="14"/>
              </w:rPr>
            </w:pPr>
            <w:r>
              <w:rPr>
                <w:w w:val="105"/>
                <w:sz w:val="14"/>
              </w:rPr>
              <w:t>5) TOTAL, REVENUES</w:t>
            </w:r>
          </w:p>
        </w:tc>
        <w:tc>
          <w:tcPr>
            <w:tcW w:w="1518" w:type="dxa"/>
          </w:tcPr>
          <w:p>
            <w:pPr>
              <w:pStyle w:val="TableParagraph"/>
              <w:rPr>
                <w:rFonts w:ascii="Times New Roman"/>
                <w:sz w:val="14"/>
              </w:rPr>
            </w:pPr>
          </w:p>
        </w:tc>
        <w:tc>
          <w:tcPr>
            <w:tcW w:w="1115" w:type="dxa"/>
          </w:tcPr>
          <w:p>
            <w:pPr>
              <w:pStyle w:val="TableParagraph"/>
              <w:rPr>
                <w:rFonts w:ascii="Times New Roman"/>
                <w:sz w:val="14"/>
              </w:rPr>
            </w:pPr>
          </w:p>
        </w:tc>
        <w:tc>
          <w:tcPr>
            <w:tcW w:w="1782" w:type="dxa"/>
          </w:tcPr>
          <w:p>
            <w:pPr>
              <w:pStyle w:val="TableParagraph"/>
              <w:spacing w:line="145" w:lineRule="exact" w:before="112"/>
              <w:ind w:right="299"/>
              <w:jc w:val="right"/>
              <w:rPr>
                <w:sz w:val="14"/>
              </w:rPr>
            </w:pPr>
            <w:r>
              <w:rPr>
                <w:sz w:val="14"/>
              </w:rPr>
              <w:t>20.00</w:t>
            </w:r>
          </w:p>
        </w:tc>
        <w:tc>
          <w:tcPr>
            <w:tcW w:w="908" w:type="dxa"/>
          </w:tcPr>
          <w:p>
            <w:pPr>
              <w:pStyle w:val="TableParagraph"/>
              <w:rPr>
                <w:rFonts w:ascii="Times New Roman"/>
                <w:sz w:val="14"/>
              </w:rPr>
            </w:pPr>
          </w:p>
        </w:tc>
        <w:tc>
          <w:tcPr>
            <w:tcW w:w="437" w:type="dxa"/>
          </w:tcPr>
          <w:p>
            <w:pPr>
              <w:pStyle w:val="TableParagraph"/>
              <w:spacing w:line="145" w:lineRule="exact" w:before="112"/>
              <w:ind w:left="49" w:right="61"/>
              <w:jc w:val="center"/>
              <w:rPr>
                <w:sz w:val="14"/>
              </w:rPr>
            </w:pPr>
            <w:r>
              <w:rPr>
                <w:w w:val="105"/>
                <w:sz w:val="14"/>
              </w:rPr>
              <w:t>0.00</w:t>
            </w:r>
          </w:p>
        </w:tc>
        <w:tc>
          <w:tcPr>
            <w:tcW w:w="1581" w:type="dxa"/>
          </w:tcPr>
          <w:p>
            <w:pPr>
              <w:pStyle w:val="TableParagraph"/>
              <w:spacing w:line="145" w:lineRule="exact" w:before="112"/>
              <w:ind w:right="50"/>
              <w:jc w:val="right"/>
              <w:rPr>
                <w:sz w:val="14"/>
              </w:rPr>
            </w:pPr>
            <w:r>
              <w:rPr>
                <w:sz w:val="14"/>
              </w:rPr>
              <w:t>-100.0%</w:t>
            </w:r>
          </w:p>
        </w:tc>
      </w:tr>
      <w:tr>
        <w:trPr>
          <w:trHeight w:val="808" w:hRule="atLeast"/>
        </w:trPr>
        <w:tc>
          <w:tcPr>
            <w:tcW w:w="6399" w:type="dxa"/>
            <w:gridSpan w:val="3"/>
          </w:tcPr>
          <w:p>
            <w:pPr>
              <w:pStyle w:val="TableParagraph"/>
              <w:rPr>
                <w:sz w:val="19"/>
              </w:rPr>
            </w:pPr>
          </w:p>
          <w:p>
            <w:pPr>
              <w:pStyle w:val="TableParagraph"/>
              <w:ind w:left="50"/>
              <w:rPr>
                <w:b/>
                <w:sz w:val="14"/>
              </w:rPr>
            </w:pPr>
            <w:r>
              <w:rPr>
                <w:b/>
                <w:w w:val="105"/>
                <w:sz w:val="14"/>
              </w:rPr>
              <w:t>B. EXPENDITURES (Objects 1000-7999)</w:t>
            </w:r>
          </w:p>
        </w:tc>
        <w:tc>
          <w:tcPr>
            <w:tcW w:w="4708" w:type="dxa"/>
            <w:gridSpan w:val="4"/>
            <w:shd w:val="clear" w:color="auto" w:fill="DFDFDF"/>
          </w:tcPr>
          <w:p>
            <w:pPr>
              <w:pStyle w:val="TableParagraph"/>
              <w:rPr>
                <w:rFonts w:ascii="Times New Roman"/>
                <w:sz w:val="14"/>
              </w:rPr>
            </w:pPr>
          </w:p>
        </w:tc>
      </w:tr>
      <w:tr>
        <w:trPr>
          <w:trHeight w:val="274" w:hRule="atLeast"/>
        </w:trPr>
        <w:tc>
          <w:tcPr>
            <w:tcW w:w="3766" w:type="dxa"/>
          </w:tcPr>
          <w:p>
            <w:pPr>
              <w:pStyle w:val="TableParagraph"/>
              <w:spacing w:before="1"/>
              <w:ind w:left="212"/>
              <w:rPr>
                <w:sz w:val="14"/>
              </w:rPr>
            </w:pPr>
            <w:r>
              <w:rPr>
                <w:w w:val="105"/>
                <w:sz w:val="14"/>
              </w:rPr>
              <w:t>1) Instruction</w:t>
            </w:r>
          </w:p>
        </w:tc>
        <w:tc>
          <w:tcPr>
            <w:tcW w:w="1518" w:type="dxa"/>
          </w:tcPr>
          <w:p>
            <w:pPr>
              <w:pStyle w:val="TableParagraph"/>
              <w:spacing w:before="1"/>
              <w:ind w:left="241" w:right="122"/>
              <w:jc w:val="center"/>
              <w:rPr>
                <w:sz w:val="14"/>
              </w:rPr>
            </w:pPr>
            <w:r>
              <w:rPr>
                <w:w w:val="105"/>
                <w:sz w:val="14"/>
              </w:rPr>
              <w:t>1000-1999</w:t>
            </w:r>
          </w:p>
        </w:tc>
        <w:tc>
          <w:tcPr>
            <w:tcW w:w="1115" w:type="dxa"/>
          </w:tcPr>
          <w:p>
            <w:pPr>
              <w:pStyle w:val="TableParagraph"/>
              <w:rPr>
                <w:rFonts w:ascii="Times New Roman"/>
                <w:sz w:val="14"/>
              </w:rPr>
            </w:pPr>
          </w:p>
        </w:tc>
        <w:tc>
          <w:tcPr>
            <w:tcW w:w="1782" w:type="dxa"/>
            <w:shd w:val="clear" w:color="auto" w:fill="DFDFDF"/>
          </w:tcPr>
          <w:p>
            <w:pPr>
              <w:pStyle w:val="TableParagraph"/>
              <w:spacing w:before="1"/>
              <w:ind w:right="299"/>
              <w:jc w:val="right"/>
              <w:rPr>
                <w:sz w:val="14"/>
              </w:rPr>
            </w:pPr>
            <w:r>
              <w:rPr>
                <w:sz w:val="14"/>
              </w:rPr>
              <w:t>0.00</w:t>
            </w:r>
          </w:p>
        </w:tc>
        <w:tc>
          <w:tcPr>
            <w:tcW w:w="1345" w:type="dxa"/>
            <w:gridSpan w:val="2"/>
            <w:shd w:val="clear" w:color="auto" w:fill="DFDFDF"/>
          </w:tcPr>
          <w:p>
            <w:pPr>
              <w:pStyle w:val="TableParagraph"/>
              <w:spacing w:before="1"/>
              <w:ind w:right="81"/>
              <w:jc w:val="right"/>
              <w:rPr>
                <w:sz w:val="14"/>
              </w:rPr>
            </w:pPr>
            <w:r>
              <w:rPr>
                <w:sz w:val="14"/>
              </w:rPr>
              <w:t>0.00</w:t>
            </w:r>
          </w:p>
        </w:tc>
        <w:tc>
          <w:tcPr>
            <w:tcW w:w="1581" w:type="dxa"/>
            <w:shd w:val="clear" w:color="auto" w:fill="DFDFDF"/>
          </w:tcPr>
          <w:p>
            <w:pPr>
              <w:pStyle w:val="TableParagraph"/>
              <w:spacing w:before="1"/>
              <w:ind w:right="51"/>
              <w:jc w:val="right"/>
              <w:rPr>
                <w:sz w:val="14"/>
              </w:rPr>
            </w:pPr>
            <w:r>
              <w:rPr>
                <w:sz w:val="14"/>
              </w:rPr>
              <w:t>0.0%</w:t>
            </w:r>
          </w:p>
        </w:tc>
      </w:tr>
      <w:tr>
        <w:trPr>
          <w:trHeight w:val="386" w:hRule="atLeast"/>
        </w:trPr>
        <w:tc>
          <w:tcPr>
            <w:tcW w:w="3766" w:type="dxa"/>
          </w:tcPr>
          <w:p>
            <w:pPr>
              <w:pStyle w:val="TableParagraph"/>
              <w:spacing w:before="112"/>
              <w:ind w:left="212"/>
              <w:rPr>
                <w:sz w:val="14"/>
              </w:rPr>
            </w:pPr>
            <w:r>
              <w:rPr>
                <w:w w:val="105"/>
                <w:sz w:val="14"/>
              </w:rPr>
              <w:t>2) Instruction - Related Services</w:t>
            </w:r>
          </w:p>
        </w:tc>
        <w:tc>
          <w:tcPr>
            <w:tcW w:w="1518" w:type="dxa"/>
          </w:tcPr>
          <w:p>
            <w:pPr>
              <w:pStyle w:val="TableParagraph"/>
              <w:spacing w:before="112"/>
              <w:ind w:left="241" w:right="122"/>
              <w:jc w:val="center"/>
              <w:rPr>
                <w:sz w:val="14"/>
              </w:rPr>
            </w:pPr>
            <w:r>
              <w:rPr>
                <w:w w:val="105"/>
                <w:sz w:val="14"/>
              </w:rPr>
              <w:t>2000-2999</w:t>
            </w:r>
          </w:p>
        </w:tc>
        <w:tc>
          <w:tcPr>
            <w:tcW w:w="1115" w:type="dxa"/>
          </w:tcPr>
          <w:p>
            <w:pPr>
              <w:pStyle w:val="TableParagraph"/>
              <w:rPr>
                <w:rFonts w:ascii="Times New Roman"/>
                <w:sz w:val="14"/>
              </w:rPr>
            </w:pPr>
          </w:p>
        </w:tc>
        <w:tc>
          <w:tcPr>
            <w:tcW w:w="1782" w:type="dxa"/>
            <w:shd w:val="clear" w:color="auto" w:fill="DFDFDF"/>
          </w:tcPr>
          <w:p>
            <w:pPr>
              <w:pStyle w:val="TableParagraph"/>
              <w:spacing w:before="112"/>
              <w:ind w:right="299"/>
              <w:jc w:val="right"/>
              <w:rPr>
                <w:sz w:val="14"/>
              </w:rPr>
            </w:pPr>
            <w:r>
              <w:rPr>
                <w:sz w:val="14"/>
              </w:rPr>
              <w:t>0.00</w:t>
            </w:r>
          </w:p>
        </w:tc>
        <w:tc>
          <w:tcPr>
            <w:tcW w:w="1345" w:type="dxa"/>
            <w:gridSpan w:val="2"/>
            <w:shd w:val="clear" w:color="auto" w:fill="DFDFDF"/>
          </w:tcPr>
          <w:p>
            <w:pPr>
              <w:pStyle w:val="TableParagraph"/>
              <w:spacing w:before="112"/>
              <w:ind w:right="81"/>
              <w:jc w:val="right"/>
              <w:rPr>
                <w:sz w:val="14"/>
              </w:rPr>
            </w:pPr>
            <w:r>
              <w:rPr>
                <w:sz w:val="14"/>
              </w:rPr>
              <w:t>0.00</w:t>
            </w:r>
          </w:p>
        </w:tc>
        <w:tc>
          <w:tcPr>
            <w:tcW w:w="1581" w:type="dxa"/>
            <w:shd w:val="clear" w:color="auto" w:fill="DFDFDF"/>
          </w:tcPr>
          <w:p>
            <w:pPr>
              <w:pStyle w:val="TableParagraph"/>
              <w:spacing w:before="112"/>
              <w:ind w:right="51"/>
              <w:jc w:val="right"/>
              <w:rPr>
                <w:sz w:val="14"/>
              </w:rPr>
            </w:pPr>
            <w:r>
              <w:rPr>
                <w:sz w:val="14"/>
              </w:rPr>
              <w:t>0.0%</w:t>
            </w:r>
          </w:p>
        </w:tc>
      </w:tr>
      <w:tr>
        <w:trPr>
          <w:trHeight w:val="386" w:hRule="atLeast"/>
        </w:trPr>
        <w:tc>
          <w:tcPr>
            <w:tcW w:w="3766" w:type="dxa"/>
          </w:tcPr>
          <w:p>
            <w:pPr>
              <w:pStyle w:val="TableParagraph"/>
              <w:spacing w:before="112"/>
              <w:ind w:left="212"/>
              <w:rPr>
                <w:sz w:val="14"/>
              </w:rPr>
            </w:pPr>
            <w:r>
              <w:rPr>
                <w:w w:val="105"/>
                <w:sz w:val="14"/>
              </w:rPr>
              <w:t>3) Pupil Services</w:t>
            </w:r>
          </w:p>
        </w:tc>
        <w:tc>
          <w:tcPr>
            <w:tcW w:w="1518" w:type="dxa"/>
          </w:tcPr>
          <w:p>
            <w:pPr>
              <w:pStyle w:val="TableParagraph"/>
              <w:spacing w:before="112"/>
              <w:ind w:left="241" w:right="122"/>
              <w:jc w:val="center"/>
              <w:rPr>
                <w:sz w:val="14"/>
              </w:rPr>
            </w:pPr>
            <w:r>
              <w:rPr>
                <w:w w:val="105"/>
                <w:sz w:val="14"/>
              </w:rPr>
              <w:t>3000-3999</w:t>
            </w:r>
          </w:p>
        </w:tc>
        <w:tc>
          <w:tcPr>
            <w:tcW w:w="1115" w:type="dxa"/>
          </w:tcPr>
          <w:p>
            <w:pPr>
              <w:pStyle w:val="TableParagraph"/>
              <w:rPr>
                <w:rFonts w:ascii="Times New Roman"/>
                <w:sz w:val="14"/>
              </w:rPr>
            </w:pPr>
          </w:p>
        </w:tc>
        <w:tc>
          <w:tcPr>
            <w:tcW w:w="1782" w:type="dxa"/>
          </w:tcPr>
          <w:p>
            <w:pPr>
              <w:pStyle w:val="TableParagraph"/>
              <w:spacing w:before="112"/>
              <w:ind w:right="299"/>
              <w:jc w:val="right"/>
              <w:rPr>
                <w:sz w:val="14"/>
              </w:rPr>
            </w:pPr>
            <w:r>
              <w:rPr>
                <w:sz w:val="14"/>
              </w:rPr>
              <w:t>0.00</w:t>
            </w:r>
          </w:p>
        </w:tc>
        <w:tc>
          <w:tcPr>
            <w:tcW w:w="1345" w:type="dxa"/>
            <w:gridSpan w:val="2"/>
            <w:shd w:val="clear" w:color="auto" w:fill="DFDFDF"/>
          </w:tcPr>
          <w:p>
            <w:pPr>
              <w:pStyle w:val="TableParagraph"/>
              <w:spacing w:before="112"/>
              <w:ind w:right="81"/>
              <w:jc w:val="right"/>
              <w:rPr>
                <w:sz w:val="14"/>
              </w:rPr>
            </w:pPr>
            <w:r>
              <w:rPr>
                <w:sz w:val="14"/>
              </w:rPr>
              <w:t>0.00</w:t>
            </w:r>
          </w:p>
        </w:tc>
        <w:tc>
          <w:tcPr>
            <w:tcW w:w="1581" w:type="dxa"/>
            <w:shd w:val="clear" w:color="auto" w:fill="DFDFDF"/>
          </w:tcPr>
          <w:p>
            <w:pPr>
              <w:pStyle w:val="TableParagraph"/>
              <w:spacing w:before="112"/>
              <w:ind w:right="51"/>
              <w:jc w:val="right"/>
              <w:rPr>
                <w:sz w:val="14"/>
              </w:rPr>
            </w:pPr>
            <w:r>
              <w:rPr>
                <w:sz w:val="14"/>
              </w:rPr>
              <w:t>0.0%</w:t>
            </w:r>
          </w:p>
        </w:tc>
      </w:tr>
      <w:tr>
        <w:trPr>
          <w:trHeight w:val="386" w:hRule="atLeast"/>
        </w:trPr>
        <w:tc>
          <w:tcPr>
            <w:tcW w:w="3766" w:type="dxa"/>
          </w:tcPr>
          <w:p>
            <w:pPr>
              <w:pStyle w:val="TableParagraph"/>
              <w:spacing w:before="112"/>
              <w:ind w:left="212"/>
              <w:rPr>
                <w:sz w:val="14"/>
              </w:rPr>
            </w:pPr>
            <w:r>
              <w:rPr>
                <w:w w:val="105"/>
                <w:sz w:val="14"/>
              </w:rPr>
              <w:t>4) Ancillary Services</w:t>
            </w:r>
          </w:p>
        </w:tc>
        <w:tc>
          <w:tcPr>
            <w:tcW w:w="1518" w:type="dxa"/>
          </w:tcPr>
          <w:p>
            <w:pPr>
              <w:pStyle w:val="TableParagraph"/>
              <w:spacing w:before="112"/>
              <w:ind w:left="241" w:right="122"/>
              <w:jc w:val="center"/>
              <w:rPr>
                <w:sz w:val="14"/>
              </w:rPr>
            </w:pPr>
            <w:r>
              <w:rPr>
                <w:w w:val="105"/>
                <w:sz w:val="14"/>
              </w:rPr>
              <w:t>4000-4999</w:t>
            </w:r>
          </w:p>
        </w:tc>
        <w:tc>
          <w:tcPr>
            <w:tcW w:w="1115" w:type="dxa"/>
          </w:tcPr>
          <w:p>
            <w:pPr>
              <w:pStyle w:val="TableParagraph"/>
              <w:rPr>
                <w:rFonts w:ascii="Times New Roman"/>
                <w:sz w:val="14"/>
              </w:rPr>
            </w:pPr>
          </w:p>
        </w:tc>
        <w:tc>
          <w:tcPr>
            <w:tcW w:w="1782" w:type="dxa"/>
          </w:tcPr>
          <w:p>
            <w:pPr>
              <w:pStyle w:val="TableParagraph"/>
              <w:spacing w:before="112"/>
              <w:ind w:right="299"/>
              <w:jc w:val="right"/>
              <w:rPr>
                <w:sz w:val="14"/>
              </w:rPr>
            </w:pPr>
            <w:r>
              <w:rPr>
                <w:sz w:val="14"/>
              </w:rPr>
              <w:t>0.00</w:t>
            </w:r>
          </w:p>
        </w:tc>
        <w:tc>
          <w:tcPr>
            <w:tcW w:w="1345" w:type="dxa"/>
            <w:gridSpan w:val="2"/>
            <w:shd w:val="clear" w:color="auto" w:fill="DFDFDF"/>
          </w:tcPr>
          <w:p>
            <w:pPr>
              <w:pStyle w:val="TableParagraph"/>
              <w:spacing w:before="112"/>
              <w:ind w:right="81"/>
              <w:jc w:val="right"/>
              <w:rPr>
                <w:sz w:val="14"/>
              </w:rPr>
            </w:pPr>
            <w:r>
              <w:rPr>
                <w:sz w:val="14"/>
              </w:rPr>
              <w:t>0.00</w:t>
            </w:r>
          </w:p>
        </w:tc>
        <w:tc>
          <w:tcPr>
            <w:tcW w:w="1581" w:type="dxa"/>
            <w:shd w:val="clear" w:color="auto" w:fill="DFDFDF"/>
          </w:tcPr>
          <w:p>
            <w:pPr>
              <w:pStyle w:val="TableParagraph"/>
              <w:spacing w:before="112"/>
              <w:ind w:right="51"/>
              <w:jc w:val="right"/>
              <w:rPr>
                <w:sz w:val="14"/>
              </w:rPr>
            </w:pPr>
            <w:r>
              <w:rPr>
                <w:sz w:val="14"/>
              </w:rPr>
              <w:t>0.0%</w:t>
            </w:r>
          </w:p>
        </w:tc>
      </w:tr>
      <w:tr>
        <w:trPr>
          <w:trHeight w:val="386" w:hRule="atLeast"/>
        </w:trPr>
        <w:tc>
          <w:tcPr>
            <w:tcW w:w="3766" w:type="dxa"/>
          </w:tcPr>
          <w:p>
            <w:pPr>
              <w:pStyle w:val="TableParagraph"/>
              <w:spacing w:before="112"/>
              <w:ind w:left="212"/>
              <w:rPr>
                <w:sz w:val="14"/>
              </w:rPr>
            </w:pPr>
            <w:r>
              <w:rPr>
                <w:w w:val="105"/>
                <w:sz w:val="14"/>
              </w:rPr>
              <w:t>5) Community Services</w:t>
            </w:r>
          </w:p>
        </w:tc>
        <w:tc>
          <w:tcPr>
            <w:tcW w:w="1518" w:type="dxa"/>
          </w:tcPr>
          <w:p>
            <w:pPr>
              <w:pStyle w:val="TableParagraph"/>
              <w:spacing w:before="112"/>
              <w:ind w:left="241" w:right="122"/>
              <w:jc w:val="center"/>
              <w:rPr>
                <w:sz w:val="14"/>
              </w:rPr>
            </w:pPr>
            <w:r>
              <w:rPr>
                <w:w w:val="105"/>
                <w:sz w:val="14"/>
              </w:rPr>
              <w:t>5000-5999</w:t>
            </w:r>
          </w:p>
        </w:tc>
        <w:tc>
          <w:tcPr>
            <w:tcW w:w="1115" w:type="dxa"/>
          </w:tcPr>
          <w:p>
            <w:pPr>
              <w:pStyle w:val="TableParagraph"/>
              <w:rPr>
                <w:rFonts w:ascii="Times New Roman"/>
                <w:sz w:val="14"/>
              </w:rPr>
            </w:pPr>
          </w:p>
        </w:tc>
        <w:tc>
          <w:tcPr>
            <w:tcW w:w="1782" w:type="dxa"/>
          </w:tcPr>
          <w:p>
            <w:pPr>
              <w:pStyle w:val="TableParagraph"/>
              <w:spacing w:before="112"/>
              <w:ind w:right="299"/>
              <w:jc w:val="right"/>
              <w:rPr>
                <w:sz w:val="14"/>
              </w:rPr>
            </w:pPr>
            <w:r>
              <w:rPr>
                <w:sz w:val="14"/>
              </w:rPr>
              <w:t>0.00</w:t>
            </w:r>
          </w:p>
        </w:tc>
        <w:tc>
          <w:tcPr>
            <w:tcW w:w="1345" w:type="dxa"/>
            <w:gridSpan w:val="2"/>
            <w:shd w:val="clear" w:color="auto" w:fill="DFDFDF"/>
          </w:tcPr>
          <w:p>
            <w:pPr>
              <w:pStyle w:val="TableParagraph"/>
              <w:spacing w:before="112"/>
              <w:ind w:right="81"/>
              <w:jc w:val="right"/>
              <w:rPr>
                <w:sz w:val="14"/>
              </w:rPr>
            </w:pPr>
            <w:r>
              <w:rPr>
                <w:sz w:val="14"/>
              </w:rPr>
              <w:t>0.00</w:t>
            </w:r>
          </w:p>
        </w:tc>
        <w:tc>
          <w:tcPr>
            <w:tcW w:w="1581" w:type="dxa"/>
            <w:shd w:val="clear" w:color="auto" w:fill="DFDFDF"/>
          </w:tcPr>
          <w:p>
            <w:pPr>
              <w:pStyle w:val="TableParagraph"/>
              <w:spacing w:before="112"/>
              <w:ind w:right="51"/>
              <w:jc w:val="right"/>
              <w:rPr>
                <w:sz w:val="14"/>
              </w:rPr>
            </w:pPr>
            <w:r>
              <w:rPr>
                <w:sz w:val="14"/>
              </w:rPr>
              <w:t>0.0%</w:t>
            </w:r>
          </w:p>
        </w:tc>
      </w:tr>
      <w:tr>
        <w:trPr>
          <w:trHeight w:val="386" w:hRule="atLeast"/>
        </w:trPr>
        <w:tc>
          <w:tcPr>
            <w:tcW w:w="3766" w:type="dxa"/>
          </w:tcPr>
          <w:p>
            <w:pPr>
              <w:pStyle w:val="TableParagraph"/>
              <w:spacing w:before="112"/>
              <w:ind w:left="212"/>
              <w:rPr>
                <w:sz w:val="14"/>
              </w:rPr>
            </w:pPr>
            <w:r>
              <w:rPr>
                <w:w w:val="105"/>
                <w:sz w:val="14"/>
              </w:rPr>
              <w:t>6) Enterprise</w:t>
            </w:r>
          </w:p>
        </w:tc>
        <w:tc>
          <w:tcPr>
            <w:tcW w:w="1518" w:type="dxa"/>
          </w:tcPr>
          <w:p>
            <w:pPr>
              <w:pStyle w:val="TableParagraph"/>
              <w:spacing w:before="112"/>
              <w:ind w:left="241" w:right="122"/>
              <w:jc w:val="center"/>
              <w:rPr>
                <w:sz w:val="14"/>
              </w:rPr>
            </w:pPr>
            <w:r>
              <w:rPr>
                <w:w w:val="105"/>
                <w:sz w:val="14"/>
              </w:rPr>
              <w:t>6000-6999</w:t>
            </w:r>
          </w:p>
        </w:tc>
        <w:tc>
          <w:tcPr>
            <w:tcW w:w="1115" w:type="dxa"/>
          </w:tcPr>
          <w:p>
            <w:pPr>
              <w:pStyle w:val="TableParagraph"/>
              <w:rPr>
                <w:rFonts w:ascii="Times New Roman"/>
                <w:sz w:val="14"/>
              </w:rPr>
            </w:pPr>
          </w:p>
        </w:tc>
        <w:tc>
          <w:tcPr>
            <w:tcW w:w="1782" w:type="dxa"/>
          </w:tcPr>
          <w:p>
            <w:pPr>
              <w:pStyle w:val="TableParagraph"/>
              <w:spacing w:before="112"/>
              <w:ind w:right="299"/>
              <w:jc w:val="right"/>
              <w:rPr>
                <w:sz w:val="14"/>
              </w:rPr>
            </w:pPr>
            <w:r>
              <w:rPr>
                <w:sz w:val="14"/>
              </w:rPr>
              <w:t>0.00</w:t>
            </w:r>
          </w:p>
        </w:tc>
        <w:tc>
          <w:tcPr>
            <w:tcW w:w="1345" w:type="dxa"/>
            <w:gridSpan w:val="2"/>
            <w:shd w:val="clear" w:color="auto" w:fill="DFDFDF"/>
          </w:tcPr>
          <w:p>
            <w:pPr>
              <w:pStyle w:val="TableParagraph"/>
              <w:spacing w:before="112"/>
              <w:ind w:right="81"/>
              <w:jc w:val="right"/>
              <w:rPr>
                <w:sz w:val="14"/>
              </w:rPr>
            </w:pPr>
            <w:r>
              <w:rPr>
                <w:sz w:val="14"/>
              </w:rPr>
              <w:t>0.00</w:t>
            </w:r>
          </w:p>
        </w:tc>
        <w:tc>
          <w:tcPr>
            <w:tcW w:w="1581" w:type="dxa"/>
            <w:shd w:val="clear" w:color="auto" w:fill="DFDFDF"/>
          </w:tcPr>
          <w:p>
            <w:pPr>
              <w:pStyle w:val="TableParagraph"/>
              <w:spacing w:before="112"/>
              <w:ind w:right="51"/>
              <w:jc w:val="right"/>
              <w:rPr>
                <w:sz w:val="14"/>
              </w:rPr>
            </w:pPr>
            <w:r>
              <w:rPr>
                <w:sz w:val="14"/>
              </w:rPr>
              <w:t>0.0%</w:t>
            </w:r>
          </w:p>
        </w:tc>
      </w:tr>
      <w:tr>
        <w:trPr>
          <w:trHeight w:val="277" w:hRule="atLeast"/>
        </w:trPr>
        <w:tc>
          <w:tcPr>
            <w:tcW w:w="3766" w:type="dxa"/>
          </w:tcPr>
          <w:p>
            <w:pPr>
              <w:pStyle w:val="TableParagraph"/>
              <w:spacing w:line="145" w:lineRule="exact" w:before="112"/>
              <w:ind w:left="212"/>
              <w:rPr>
                <w:sz w:val="14"/>
              </w:rPr>
            </w:pPr>
            <w:r>
              <w:rPr>
                <w:w w:val="105"/>
                <w:sz w:val="14"/>
              </w:rPr>
              <w:t>7) General Administration</w:t>
            </w:r>
          </w:p>
        </w:tc>
        <w:tc>
          <w:tcPr>
            <w:tcW w:w="1518" w:type="dxa"/>
          </w:tcPr>
          <w:p>
            <w:pPr>
              <w:pStyle w:val="TableParagraph"/>
              <w:spacing w:line="145" w:lineRule="exact" w:before="112"/>
              <w:ind w:left="241" w:right="122"/>
              <w:jc w:val="center"/>
              <w:rPr>
                <w:sz w:val="14"/>
              </w:rPr>
            </w:pPr>
            <w:r>
              <w:rPr>
                <w:w w:val="105"/>
                <w:sz w:val="14"/>
              </w:rPr>
              <w:t>7000-7999</w:t>
            </w:r>
          </w:p>
        </w:tc>
        <w:tc>
          <w:tcPr>
            <w:tcW w:w="1115" w:type="dxa"/>
          </w:tcPr>
          <w:p>
            <w:pPr>
              <w:pStyle w:val="TableParagraph"/>
              <w:rPr>
                <w:rFonts w:ascii="Times New Roman"/>
                <w:sz w:val="14"/>
              </w:rPr>
            </w:pPr>
          </w:p>
        </w:tc>
        <w:tc>
          <w:tcPr>
            <w:tcW w:w="1782" w:type="dxa"/>
          </w:tcPr>
          <w:p>
            <w:pPr>
              <w:pStyle w:val="TableParagraph"/>
              <w:spacing w:line="145" w:lineRule="exact" w:before="112"/>
              <w:ind w:right="299"/>
              <w:jc w:val="right"/>
              <w:rPr>
                <w:sz w:val="14"/>
              </w:rPr>
            </w:pPr>
            <w:r>
              <w:rPr>
                <w:sz w:val="14"/>
              </w:rPr>
              <w:t>0.00</w:t>
            </w:r>
          </w:p>
        </w:tc>
        <w:tc>
          <w:tcPr>
            <w:tcW w:w="1345" w:type="dxa"/>
            <w:gridSpan w:val="2"/>
            <w:shd w:val="clear" w:color="auto" w:fill="DFDFDF"/>
          </w:tcPr>
          <w:p>
            <w:pPr>
              <w:pStyle w:val="TableParagraph"/>
              <w:spacing w:line="145" w:lineRule="exact" w:before="112"/>
              <w:ind w:right="81"/>
              <w:jc w:val="right"/>
              <w:rPr>
                <w:sz w:val="14"/>
              </w:rPr>
            </w:pPr>
            <w:r>
              <w:rPr>
                <w:sz w:val="14"/>
              </w:rPr>
              <w:t>0.00</w:t>
            </w:r>
          </w:p>
        </w:tc>
        <w:tc>
          <w:tcPr>
            <w:tcW w:w="1581" w:type="dxa"/>
            <w:shd w:val="clear" w:color="auto" w:fill="DFDFDF"/>
          </w:tcPr>
          <w:p>
            <w:pPr>
              <w:pStyle w:val="TableParagraph"/>
              <w:spacing w:line="145" w:lineRule="exact" w:before="112"/>
              <w:ind w:right="51"/>
              <w:jc w:val="right"/>
              <w:rPr>
                <w:sz w:val="14"/>
              </w:rPr>
            </w:pPr>
            <w:r>
              <w:rPr>
                <w:sz w:val="14"/>
              </w:rPr>
              <w:t>0.0%</w:t>
            </w:r>
          </w:p>
        </w:tc>
      </w:tr>
      <w:tr>
        <w:trPr>
          <w:trHeight w:val="413" w:hRule="atLeast"/>
        </w:trPr>
        <w:tc>
          <w:tcPr>
            <w:tcW w:w="3766" w:type="dxa"/>
          </w:tcPr>
          <w:p>
            <w:pPr>
              <w:pStyle w:val="TableParagraph"/>
              <w:spacing w:before="3"/>
              <w:rPr>
                <w:sz w:val="19"/>
              </w:rPr>
            </w:pPr>
          </w:p>
          <w:p>
            <w:pPr>
              <w:pStyle w:val="TableParagraph"/>
              <w:ind w:left="212"/>
              <w:rPr>
                <w:sz w:val="14"/>
              </w:rPr>
            </w:pPr>
            <w:r>
              <w:rPr>
                <w:w w:val="105"/>
                <w:sz w:val="14"/>
              </w:rPr>
              <w:t>8) Plant Services</w:t>
            </w:r>
          </w:p>
        </w:tc>
        <w:tc>
          <w:tcPr>
            <w:tcW w:w="1518" w:type="dxa"/>
          </w:tcPr>
          <w:p>
            <w:pPr>
              <w:pStyle w:val="TableParagraph"/>
              <w:spacing w:before="3"/>
              <w:rPr>
                <w:sz w:val="19"/>
              </w:rPr>
            </w:pPr>
          </w:p>
          <w:p>
            <w:pPr>
              <w:pStyle w:val="TableParagraph"/>
              <w:ind w:left="241" w:right="122"/>
              <w:jc w:val="center"/>
              <w:rPr>
                <w:sz w:val="14"/>
              </w:rPr>
            </w:pPr>
            <w:r>
              <w:rPr>
                <w:w w:val="105"/>
                <w:sz w:val="14"/>
              </w:rPr>
              <w:t>8000-8999</w:t>
            </w:r>
          </w:p>
        </w:tc>
        <w:tc>
          <w:tcPr>
            <w:tcW w:w="1115" w:type="dxa"/>
          </w:tcPr>
          <w:p>
            <w:pPr>
              <w:pStyle w:val="TableParagraph"/>
              <w:rPr>
                <w:rFonts w:ascii="Times New Roman"/>
                <w:sz w:val="14"/>
              </w:rPr>
            </w:pPr>
          </w:p>
        </w:tc>
        <w:tc>
          <w:tcPr>
            <w:tcW w:w="1782" w:type="dxa"/>
          </w:tcPr>
          <w:p>
            <w:pPr>
              <w:pStyle w:val="TableParagraph"/>
              <w:spacing w:before="3"/>
              <w:rPr>
                <w:sz w:val="19"/>
              </w:rPr>
            </w:pPr>
          </w:p>
          <w:p>
            <w:pPr>
              <w:pStyle w:val="TableParagraph"/>
              <w:ind w:right="299"/>
              <w:jc w:val="right"/>
              <w:rPr>
                <w:sz w:val="14"/>
              </w:rPr>
            </w:pPr>
            <w:r>
              <w:rPr>
                <w:sz w:val="14"/>
              </w:rPr>
              <w:t>0.00</w:t>
            </w:r>
          </w:p>
        </w:tc>
        <w:tc>
          <w:tcPr>
            <w:tcW w:w="1345" w:type="dxa"/>
            <w:gridSpan w:val="2"/>
          </w:tcPr>
          <w:p>
            <w:pPr>
              <w:pStyle w:val="TableParagraph"/>
              <w:spacing w:before="3"/>
              <w:rPr>
                <w:sz w:val="19"/>
              </w:rPr>
            </w:pPr>
          </w:p>
          <w:p>
            <w:pPr>
              <w:pStyle w:val="TableParagraph"/>
              <w:ind w:right="81"/>
              <w:jc w:val="right"/>
              <w:rPr>
                <w:sz w:val="14"/>
              </w:rPr>
            </w:pPr>
            <w:r>
              <w:rPr>
                <w:sz w:val="14"/>
              </w:rPr>
              <w:t>0.00</w:t>
            </w:r>
          </w:p>
        </w:tc>
        <w:tc>
          <w:tcPr>
            <w:tcW w:w="1581" w:type="dxa"/>
          </w:tcPr>
          <w:p>
            <w:pPr>
              <w:pStyle w:val="TableParagraph"/>
              <w:spacing w:before="3"/>
              <w:rPr>
                <w:sz w:val="19"/>
              </w:rPr>
            </w:pPr>
          </w:p>
          <w:p>
            <w:pPr>
              <w:pStyle w:val="TableParagraph"/>
              <w:ind w:right="51"/>
              <w:jc w:val="right"/>
              <w:rPr>
                <w:sz w:val="14"/>
              </w:rPr>
            </w:pPr>
            <w:r>
              <w:rPr>
                <w:sz w:val="14"/>
              </w:rPr>
              <w:t>0.0%</w:t>
            </w:r>
          </w:p>
        </w:tc>
      </w:tr>
      <w:tr>
        <w:trPr>
          <w:trHeight w:val="468" w:hRule="atLeast"/>
        </w:trPr>
        <w:tc>
          <w:tcPr>
            <w:tcW w:w="3766" w:type="dxa"/>
          </w:tcPr>
          <w:p>
            <w:pPr>
              <w:pStyle w:val="TableParagraph"/>
              <w:spacing w:before="10"/>
              <w:rPr>
                <w:sz w:val="16"/>
              </w:rPr>
            </w:pPr>
          </w:p>
          <w:p>
            <w:pPr>
              <w:pStyle w:val="TableParagraph"/>
              <w:ind w:left="212"/>
              <w:rPr>
                <w:sz w:val="14"/>
              </w:rPr>
            </w:pPr>
            <w:r>
              <w:rPr>
                <w:w w:val="105"/>
                <w:sz w:val="14"/>
              </w:rPr>
              <w:t>9) Other Outgo</w:t>
            </w:r>
          </w:p>
        </w:tc>
        <w:tc>
          <w:tcPr>
            <w:tcW w:w="1518" w:type="dxa"/>
          </w:tcPr>
          <w:p>
            <w:pPr>
              <w:pStyle w:val="TableParagraph"/>
              <w:spacing w:before="10"/>
              <w:rPr>
                <w:sz w:val="16"/>
              </w:rPr>
            </w:pPr>
          </w:p>
          <w:p>
            <w:pPr>
              <w:pStyle w:val="TableParagraph"/>
              <w:ind w:left="241" w:right="122"/>
              <w:jc w:val="center"/>
              <w:rPr>
                <w:sz w:val="14"/>
              </w:rPr>
            </w:pPr>
            <w:r>
              <w:rPr>
                <w:w w:val="105"/>
                <w:sz w:val="14"/>
              </w:rPr>
              <w:t>9000-9999</w:t>
            </w:r>
          </w:p>
        </w:tc>
        <w:tc>
          <w:tcPr>
            <w:tcW w:w="1115" w:type="dxa"/>
          </w:tcPr>
          <w:p>
            <w:pPr>
              <w:pStyle w:val="TableParagraph"/>
              <w:spacing w:line="242" w:lineRule="auto" w:before="31"/>
              <w:ind w:left="269" w:right="145" w:firstLine="127"/>
              <w:rPr>
                <w:sz w:val="14"/>
              </w:rPr>
            </w:pPr>
            <w:r>
              <w:rPr>
                <w:w w:val="105"/>
                <w:sz w:val="14"/>
              </w:rPr>
              <w:t>Except </w:t>
            </w:r>
            <w:r>
              <w:rPr>
                <w:sz w:val="14"/>
              </w:rPr>
              <w:t>7600-7699</w:t>
            </w:r>
          </w:p>
        </w:tc>
        <w:tc>
          <w:tcPr>
            <w:tcW w:w="1782" w:type="dxa"/>
          </w:tcPr>
          <w:p>
            <w:pPr>
              <w:pStyle w:val="TableParagraph"/>
              <w:spacing w:before="10"/>
              <w:rPr>
                <w:sz w:val="16"/>
              </w:rPr>
            </w:pPr>
          </w:p>
          <w:p>
            <w:pPr>
              <w:pStyle w:val="TableParagraph"/>
              <w:ind w:right="299"/>
              <w:jc w:val="right"/>
              <w:rPr>
                <w:sz w:val="14"/>
              </w:rPr>
            </w:pPr>
            <w:r>
              <w:rPr>
                <w:sz w:val="14"/>
              </w:rPr>
              <w:t>0.00</w:t>
            </w:r>
          </w:p>
        </w:tc>
        <w:tc>
          <w:tcPr>
            <w:tcW w:w="1345" w:type="dxa"/>
            <w:gridSpan w:val="2"/>
          </w:tcPr>
          <w:p>
            <w:pPr>
              <w:pStyle w:val="TableParagraph"/>
              <w:spacing w:before="10"/>
              <w:rPr>
                <w:sz w:val="16"/>
              </w:rPr>
            </w:pPr>
          </w:p>
          <w:p>
            <w:pPr>
              <w:pStyle w:val="TableParagraph"/>
              <w:ind w:right="81"/>
              <w:jc w:val="right"/>
              <w:rPr>
                <w:sz w:val="14"/>
              </w:rPr>
            </w:pPr>
            <w:r>
              <w:rPr>
                <w:sz w:val="14"/>
              </w:rPr>
              <w:t>0.00</w:t>
            </w:r>
          </w:p>
        </w:tc>
        <w:tc>
          <w:tcPr>
            <w:tcW w:w="1581" w:type="dxa"/>
          </w:tcPr>
          <w:p>
            <w:pPr>
              <w:pStyle w:val="TableParagraph"/>
              <w:spacing w:before="10"/>
              <w:rPr>
                <w:sz w:val="16"/>
              </w:rPr>
            </w:pPr>
          </w:p>
          <w:p>
            <w:pPr>
              <w:pStyle w:val="TableParagraph"/>
              <w:ind w:right="51"/>
              <w:jc w:val="right"/>
              <w:rPr>
                <w:sz w:val="14"/>
              </w:rPr>
            </w:pPr>
            <w:r>
              <w:rPr>
                <w:sz w:val="14"/>
              </w:rPr>
              <w:t>0.0%</w:t>
            </w:r>
          </w:p>
        </w:tc>
      </w:tr>
      <w:tr>
        <w:trPr>
          <w:trHeight w:val="385" w:hRule="atLeast"/>
        </w:trPr>
        <w:tc>
          <w:tcPr>
            <w:tcW w:w="3766" w:type="dxa"/>
          </w:tcPr>
          <w:p>
            <w:pPr>
              <w:pStyle w:val="TableParagraph"/>
              <w:spacing w:before="112"/>
              <w:ind w:left="171"/>
              <w:rPr>
                <w:sz w:val="14"/>
              </w:rPr>
            </w:pPr>
            <w:r>
              <w:rPr>
                <w:w w:val="105"/>
                <w:sz w:val="14"/>
              </w:rPr>
              <w:t>10) TOTAL, EXPENDITURES</w:t>
            </w:r>
          </w:p>
        </w:tc>
        <w:tc>
          <w:tcPr>
            <w:tcW w:w="1518" w:type="dxa"/>
          </w:tcPr>
          <w:p>
            <w:pPr>
              <w:pStyle w:val="TableParagraph"/>
              <w:rPr>
                <w:rFonts w:ascii="Times New Roman"/>
                <w:sz w:val="14"/>
              </w:rPr>
            </w:pPr>
          </w:p>
        </w:tc>
        <w:tc>
          <w:tcPr>
            <w:tcW w:w="1115" w:type="dxa"/>
          </w:tcPr>
          <w:p>
            <w:pPr>
              <w:pStyle w:val="TableParagraph"/>
              <w:rPr>
                <w:rFonts w:ascii="Times New Roman"/>
                <w:sz w:val="14"/>
              </w:rPr>
            </w:pPr>
          </w:p>
        </w:tc>
        <w:tc>
          <w:tcPr>
            <w:tcW w:w="1782" w:type="dxa"/>
          </w:tcPr>
          <w:p>
            <w:pPr>
              <w:pStyle w:val="TableParagraph"/>
              <w:spacing w:before="112"/>
              <w:ind w:right="299"/>
              <w:jc w:val="right"/>
              <w:rPr>
                <w:sz w:val="14"/>
              </w:rPr>
            </w:pPr>
            <w:r>
              <w:rPr>
                <w:sz w:val="14"/>
              </w:rPr>
              <w:t>0.00</w:t>
            </w:r>
          </w:p>
        </w:tc>
        <w:tc>
          <w:tcPr>
            <w:tcW w:w="1345" w:type="dxa"/>
            <w:gridSpan w:val="2"/>
          </w:tcPr>
          <w:p>
            <w:pPr>
              <w:pStyle w:val="TableParagraph"/>
              <w:spacing w:before="112"/>
              <w:ind w:right="81"/>
              <w:jc w:val="right"/>
              <w:rPr>
                <w:sz w:val="14"/>
              </w:rPr>
            </w:pPr>
            <w:r>
              <w:rPr>
                <w:sz w:val="14"/>
              </w:rPr>
              <w:t>0.00</w:t>
            </w:r>
          </w:p>
        </w:tc>
        <w:tc>
          <w:tcPr>
            <w:tcW w:w="1581" w:type="dxa"/>
          </w:tcPr>
          <w:p>
            <w:pPr>
              <w:pStyle w:val="TableParagraph"/>
              <w:spacing w:before="112"/>
              <w:ind w:right="51"/>
              <w:jc w:val="right"/>
              <w:rPr>
                <w:sz w:val="14"/>
              </w:rPr>
            </w:pPr>
            <w:r>
              <w:rPr>
                <w:sz w:val="14"/>
              </w:rPr>
              <w:t>0.0%</w:t>
            </w:r>
          </w:p>
        </w:tc>
      </w:tr>
      <w:tr>
        <w:trPr>
          <w:trHeight w:val="292" w:hRule="atLeast"/>
        </w:trPr>
        <w:tc>
          <w:tcPr>
            <w:tcW w:w="3766" w:type="dxa"/>
          </w:tcPr>
          <w:p>
            <w:pPr>
              <w:pStyle w:val="TableParagraph"/>
              <w:spacing w:before="111"/>
              <w:ind w:left="50"/>
              <w:rPr>
                <w:b/>
                <w:sz w:val="14"/>
              </w:rPr>
            </w:pPr>
            <w:r>
              <w:rPr>
                <w:b/>
                <w:w w:val="105"/>
                <w:sz w:val="14"/>
              </w:rPr>
              <w:t>C. EXCESS (DEFICIENCY) OF REVENUES</w:t>
            </w:r>
          </w:p>
        </w:tc>
        <w:tc>
          <w:tcPr>
            <w:tcW w:w="1518" w:type="dxa"/>
          </w:tcPr>
          <w:p>
            <w:pPr>
              <w:pStyle w:val="TableParagraph"/>
              <w:rPr>
                <w:rFonts w:ascii="Times New Roman"/>
                <w:sz w:val="14"/>
              </w:rPr>
            </w:pPr>
          </w:p>
        </w:tc>
        <w:tc>
          <w:tcPr>
            <w:tcW w:w="1115" w:type="dxa"/>
          </w:tcPr>
          <w:p>
            <w:pPr>
              <w:pStyle w:val="TableParagraph"/>
              <w:rPr>
                <w:rFonts w:ascii="Times New Roman"/>
                <w:sz w:val="14"/>
              </w:rPr>
            </w:pPr>
          </w:p>
        </w:tc>
        <w:tc>
          <w:tcPr>
            <w:tcW w:w="1782" w:type="dxa"/>
          </w:tcPr>
          <w:p>
            <w:pPr>
              <w:pStyle w:val="TableParagraph"/>
              <w:rPr>
                <w:rFonts w:ascii="Times New Roman"/>
                <w:sz w:val="14"/>
              </w:rPr>
            </w:pPr>
          </w:p>
        </w:tc>
        <w:tc>
          <w:tcPr>
            <w:tcW w:w="1345" w:type="dxa"/>
            <w:gridSpan w:val="2"/>
          </w:tcPr>
          <w:p>
            <w:pPr>
              <w:pStyle w:val="TableParagraph"/>
              <w:rPr>
                <w:rFonts w:ascii="Times New Roman"/>
                <w:sz w:val="14"/>
              </w:rPr>
            </w:pPr>
          </w:p>
        </w:tc>
        <w:tc>
          <w:tcPr>
            <w:tcW w:w="1581" w:type="dxa"/>
          </w:tcPr>
          <w:p>
            <w:pPr>
              <w:pStyle w:val="TableParagraph"/>
              <w:rPr>
                <w:rFonts w:ascii="Times New Roman"/>
                <w:sz w:val="14"/>
              </w:rPr>
            </w:pPr>
          </w:p>
        </w:tc>
      </w:tr>
      <w:tr>
        <w:trPr>
          <w:trHeight w:val="201" w:hRule="atLeast"/>
        </w:trPr>
        <w:tc>
          <w:tcPr>
            <w:tcW w:w="3766" w:type="dxa"/>
          </w:tcPr>
          <w:p>
            <w:pPr>
              <w:pStyle w:val="TableParagraph"/>
              <w:spacing w:before="20"/>
              <w:ind w:left="252"/>
              <w:rPr>
                <w:b/>
                <w:sz w:val="14"/>
              </w:rPr>
            </w:pPr>
            <w:r>
              <w:rPr>
                <w:b/>
                <w:w w:val="105"/>
                <w:sz w:val="14"/>
              </w:rPr>
              <w:t>OVER EXPENDITURES BEFORE OTHER</w:t>
            </w:r>
          </w:p>
        </w:tc>
        <w:tc>
          <w:tcPr>
            <w:tcW w:w="1518" w:type="dxa"/>
          </w:tcPr>
          <w:p>
            <w:pPr>
              <w:pStyle w:val="TableParagraph"/>
              <w:rPr>
                <w:rFonts w:ascii="Times New Roman"/>
                <w:sz w:val="14"/>
              </w:rPr>
            </w:pPr>
          </w:p>
        </w:tc>
        <w:tc>
          <w:tcPr>
            <w:tcW w:w="1115" w:type="dxa"/>
          </w:tcPr>
          <w:p>
            <w:pPr>
              <w:pStyle w:val="TableParagraph"/>
              <w:rPr>
                <w:rFonts w:ascii="Times New Roman"/>
                <w:sz w:val="14"/>
              </w:rPr>
            </w:pPr>
          </w:p>
        </w:tc>
        <w:tc>
          <w:tcPr>
            <w:tcW w:w="1782" w:type="dxa"/>
          </w:tcPr>
          <w:p>
            <w:pPr>
              <w:pStyle w:val="TableParagraph"/>
              <w:rPr>
                <w:rFonts w:ascii="Times New Roman"/>
                <w:sz w:val="14"/>
              </w:rPr>
            </w:pPr>
          </w:p>
        </w:tc>
        <w:tc>
          <w:tcPr>
            <w:tcW w:w="1345" w:type="dxa"/>
            <w:gridSpan w:val="2"/>
          </w:tcPr>
          <w:p>
            <w:pPr>
              <w:pStyle w:val="TableParagraph"/>
              <w:rPr>
                <w:rFonts w:ascii="Times New Roman"/>
                <w:sz w:val="14"/>
              </w:rPr>
            </w:pPr>
          </w:p>
        </w:tc>
        <w:tc>
          <w:tcPr>
            <w:tcW w:w="1581" w:type="dxa"/>
          </w:tcPr>
          <w:p>
            <w:pPr>
              <w:pStyle w:val="TableParagraph"/>
              <w:rPr>
                <w:rFonts w:ascii="Times New Roman"/>
                <w:sz w:val="14"/>
              </w:rPr>
            </w:pPr>
          </w:p>
        </w:tc>
      </w:tr>
      <w:tr>
        <w:trPr>
          <w:trHeight w:val="295" w:hRule="atLeast"/>
        </w:trPr>
        <w:tc>
          <w:tcPr>
            <w:tcW w:w="3766" w:type="dxa"/>
          </w:tcPr>
          <w:p>
            <w:pPr>
              <w:pStyle w:val="TableParagraph"/>
              <w:spacing w:before="20"/>
              <w:ind w:left="252"/>
              <w:rPr>
                <w:b/>
                <w:sz w:val="14"/>
              </w:rPr>
            </w:pPr>
            <w:r>
              <w:rPr>
                <w:b/>
                <w:w w:val="105"/>
                <w:sz w:val="14"/>
              </w:rPr>
              <w:t>FINANCING SOURCES AND USES (A5 - B10)</w:t>
            </w:r>
          </w:p>
        </w:tc>
        <w:tc>
          <w:tcPr>
            <w:tcW w:w="1518" w:type="dxa"/>
          </w:tcPr>
          <w:p>
            <w:pPr>
              <w:pStyle w:val="TableParagraph"/>
              <w:rPr>
                <w:rFonts w:ascii="Times New Roman"/>
                <w:sz w:val="14"/>
              </w:rPr>
            </w:pPr>
          </w:p>
        </w:tc>
        <w:tc>
          <w:tcPr>
            <w:tcW w:w="1115" w:type="dxa"/>
          </w:tcPr>
          <w:p>
            <w:pPr>
              <w:pStyle w:val="TableParagraph"/>
              <w:rPr>
                <w:rFonts w:ascii="Times New Roman"/>
                <w:sz w:val="14"/>
              </w:rPr>
            </w:pPr>
          </w:p>
        </w:tc>
        <w:tc>
          <w:tcPr>
            <w:tcW w:w="1782" w:type="dxa"/>
          </w:tcPr>
          <w:p>
            <w:pPr>
              <w:pStyle w:val="TableParagraph"/>
              <w:spacing w:before="22"/>
              <w:ind w:right="299"/>
              <w:jc w:val="right"/>
              <w:rPr>
                <w:sz w:val="14"/>
              </w:rPr>
            </w:pPr>
            <w:r>
              <w:rPr>
                <w:sz w:val="14"/>
              </w:rPr>
              <w:t>20.00</w:t>
            </w:r>
          </w:p>
        </w:tc>
        <w:tc>
          <w:tcPr>
            <w:tcW w:w="1345" w:type="dxa"/>
            <w:gridSpan w:val="2"/>
          </w:tcPr>
          <w:p>
            <w:pPr>
              <w:pStyle w:val="TableParagraph"/>
              <w:spacing w:before="22"/>
              <w:ind w:right="81"/>
              <w:jc w:val="right"/>
              <w:rPr>
                <w:sz w:val="14"/>
              </w:rPr>
            </w:pPr>
            <w:r>
              <w:rPr>
                <w:sz w:val="14"/>
              </w:rPr>
              <w:t>0.00</w:t>
            </w:r>
          </w:p>
        </w:tc>
        <w:tc>
          <w:tcPr>
            <w:tcW w:w="1581" w:type="dxa"/>
          </w:tcPr>
          <w:p>
            <w:pPr>
              <w:pStyle w:val="TableParagraph"/>
              <w:spacing w:before="22"/>
              <w:ind w:right="50"/>
              <w:jc w:val="right"/>
              <w:rPr>
                <w:sz w:val="14"/>
              </w:rPr>
            </w:pPr>
            <w:r>
              <w:rPr>
                <w:sz w:val="14"/>
              </w:rPr>
              <w:t>-100.0%</w:t>
            </w:r>
          </w:p>
        </w:tc>
      </w:tr>
      <w:tr>
        <w:trPr>
          <w:trHeight w:val="271" w:hRule="atLeast"/>
        </w:trPr>
        <w:tc>
          <w:tcPr>
            <w:tcW w:w="3766" w:type="dxa"/>
          </w:tcPr>
          <w:p>
            <w:pPr>
              <w:pStyle w:val="TableParagraph"/>
              <w:spacing w:line="140" w:lineRule="exact" w:before="111"/>
              <w:ind w:left="50"/>
              <w:rPr>
                <w:b/>
                <w:sz w:val="14"/>
              </w:rPr>
            </w:pPr>
            <w:r>
              <w:rPr>
                <w:b/>
                <w:w w:val="105"/>
                <w:sz w:val="14"/>
              </w:rPr>
              <w:t>D. OTHER FINANCING SOURCES/USES</w:t>
            </w:r>
          </w:p>
        </w:tc>
        <w:tc>
          <w:tcPr>
            <w:tcW w:w="7341" w:type="dxa"/>
            <w:gridSpan w:val="6"/>
          </w:tcPr>
          <w:p>
            <w:pPr>
              <w:pStyle w:val="TableParagraph"/>
              <w:rPr>
                <w:rFonts w:ascii="Times New Roman"/>
                <w:sz w:val="14"/>
              </w:rPr>
            </w:pPr>
          </w:p>
        </w:tc>
      </w:tr>
      <w:tr>
        <w:trPr>
          <w:trHeight w:val="426" w:hRule="atLeast"/>
        </w:trPr>
        <w:tc>
          <w:tcPr>
            <w:tcW w:w="3766" w:type="dxa"/>
          </w:tcPr>
          <w:p>
            <w:pPr>
              <w:pStyle w:val="TableParagraph"/>
              <w:spacing w:before="4"/>
              <w:rPr>
                <w:sz w:val="21"/>
              </w:rPr>
            </w:pPr>
          </w:p>
          <w:p>
            <w:pPr>
              <w:pStyle w:val="TableParagraph"/>
              <w:ind w:left="212"/>
              <w:rPr>
                <w:sz w:val="14"/>
              </w:rPr>
            </w:pPr>
            <w:r>
              <w:rPr>
                <w:w w:val="105"/>
                <w:sz w:val="14"/>
              </w:rPr>
              <w:t>1) Interfund Transfers</w:t>
            </w:r>
          </w:p>
        </w:tc>
        <w:tc>
          <w:tcPr>
            <w:tcW w:w="2633" w:type="dxa"/>
            <w:gridSpan w:val="2"/>
          </w:tcPr>
          <w:p>
            <w:pPr>
              <w:pStyle w:val="TableParagraph"/>
              <w:rPr>
                <w:rFonts w:ascii="Times New Roman"/>
                <w:sz w:val="14"/>
              </w:rPr>
            </w:pPr>
          </w:p>
        </w:tc>
        <w:tc>
          <w:tcPr>
            <w:tcW w:w="1782" w:type="dxa"/>
          </w:tcPr>
          <w:p>
            <w:pPr>
              <w:pStyle w:val="TableParagraph"/>
              <w:rPr>
                <w:rFonts w:ascii="Times New Roman"/>
                <w:sz w:val="14"/>
              </w:rPr>
            </w:pPr>
          </w:p>
        </w:tc>
        <w:tc>
          <w:tcPr>
            <w:tcW w:w="1345" w:type="dxa"/>
            <w:gridSpan w:val="2"/>
          </w:tcPr>
          <w:p>
            <w:pPr>
              <w:pStyle w:val="TableParagraph"/>
              <w:rPr>
                <w:rFonts w:ascii="Times New Roman"/>
                <w:sz w:val="14"/>
              </w:rPr>
            </w:pPr>
          </w:p>
        </w:tc>
        <w:tc>
          <w:tcPr>
            <w:tcW w:w="1581" w:type="dxa"/>
          </w:tcPr>
          <w:p>
            <w:pPr>
              <w:pStyle w:val="TableParagraph"/>
              <w:rPr>
                <w:rFonts w:ascii="Times New Roman"/>
                <w:sz w:val="14"/>
              </w:rPr>
            </w:pPr>
          </w:p>
        </w:tc>
      </w:tr>
      <w:tr>
        <w:trPr>
          <w:trHeight w:val="294" w:hRule="atLeast"/>
        </w:trPr>
        <w:tc>
          <w:tcPr>
            <w:tcW w:w="3766" w:type="dxa"/>
          </w:tcPr>
          <w:p>
            <w:pPr>
              <w:pStyle w:val="TableParagraph"/>
              <w:spacing w:before="20"/>
              <w:ind w:left="376"/>
              <w:rPr>
                <w:sz w:val="14"/>
              </w:rPr>
            </w:pPr>
            <w:r>
              <w:rPr>
                <w:w w:val="105"/>
                <w:sz w:val="14"/>
              </w:rPr>
              <w:t>a) Transfers In</w:t>
            </w:r>
          </w:p>
        </w:tc>
        <w:tc>
          <w:tcPr>
            <w:tcW w:w="2633" w:type="dxa"/>
            <w:gridSpan w:val="2"/>
          </w:tcPr>
          <w:p>
            <w:pPr>
              <w:pStyle w:val="TableParagraph"/>
              <w:spacing w:before="20"/>
              <w:ind w:right="149"/>
              <w:jc w:val="right"/>
              <w:rPr>
                <w:sz w:val="14"/>
              </w:rPr>
            </w:pPr>
            <w:r>
              <w:rPr>
                <w:sz w:val="14"/>
              </w:rPr>
              <w:t>8900-8929</w:t>
            </w:r>
          </w:p>
        </w:tc>
        <w:tc>
          <w:tcPr>
            <w:tcW w:w="1782" w:type="dxa"/>
          </w:tcPr>
          <w:p>
            <w:pPr>
              <w:pStyle w:val="TableParagraph"/>
              <w:spacing w:before="20"/>
              <w:ind w:right="299"/>
              <w:jc w:val="right"/>
              <w:rPr>
                <w:sz w:val="14"/>
              </w:rPr>
            </w:pPr>
            <w:r>
              <w:rPr>
                <w:sz w:val="14"/>
              </w:rPr>
              <w:t>0.00</w:t>
            </w:r>
          </w:p>
        </w:tc>
        <w:tc>
          <w:tcPr>
            <w:tcW w:w="1345" w:type="dxa"/>
            <w:gridSpan w:val="2"/>
          </w:tcPr>
          <w:p>
            <w:pPr>
              <w:pStyle w:val="TableParagraph"/>
              <w:spacing w:before="20"/>
              <w:ind w:right="81"/>
              <w:jc w:val="right"/>
              <w:rPr>
                <w:sz w:val="14"/>
              </w:rPr>
            </w:pPr>
            <w:r>
              <w:rPr>
                <w:sz w:val="14"/>
              </w:rPr>
              <w:t>0.00</w:t>
            </w:r>
          </w:p>
        </w:tc>
        <w:tc>
          <w:tcPr>
            <w:tcW w:w="1581" w:type="dxa"/>
          </w:tcPr>
          <w:p>
            <w:pPr>
              <w:pStyle w:val="TableParagraph"/>
              <w:spacing w:before="20"/>
              <w:ind w:right="51"/>
              <w:jc w:val="right"/>
              <w:rPr>
                <w:sz w:val="14"/>
              </w:rPr>
            </w:pPr>
            <w:r>
              <w:rPr>
                <w:sz w:val="14"/>
              </w:rPr>
              <w:t>0.0%</w:t>
            </w:r>
          </w:p>
        </w:tc>
      </w:tr>
      <w:tr>
        <w:trPr>
          <w:trHeight w:val="386" w:hRule="atLeast"/>
        </w:trPr>
        <w:tc>
          <w:tcPr>
            <w:tcW w:w="3766" w:type="dxa"/>
          </w:tcPr>
          <w:p>
            <w:pPr>
              <w:pStyle w:val="TableParagraph"/>
              <w:spacing w:before="112"/>
              <w:ind w:left="376"/>
              <w:rPr>
                <w:sz w:val="14"/>
              </w:rPr>
            </w:pPr>
            <w:r>
              <w:rPr>
                <w:w w:val="105"/>
                <w:sz w:val="14"/>
              </w:rPr>
              <w:t>b) Transfers Out</w:t>
            </w:r>
          </w:p>
        </w:tc>
        <w:tc>
          <w:tcPr>
            <w:tcW w:w="2633" w:type="dxa"/>
            <w:gridSpan w:val="2"/>
          </w:tcPr>
          <w:p>
            <w:pPr>
              <w:pStyle w:val="TableParagraph"/>
              <w:spacing w:before="112"/>
              <w:ind w:right="149"/>
              <w:jc w:val="right"/>
              <w:rPr>
                <w:sz w:val="14"/>
              </w:rPr>
            </w:pPr>
            <w:r>
              <w:rPr>
                <w:sz w:val="14"/>
              </w:rPr>
              <w:t>7600-7629</w:t>
            </w:r>
          </w:p>
        </w:tc>
        <w:tc>
          <w:tcPr>
            <w:tcW w:w="1782" w:type="dxa"/>
          </w:tcPr>
          <w:p>
            <w:pPr>
              <w:pStyle w:val="TableParagraph"/>
              <w:spacing w:before="112"/>
              <w:ind w:right="299"/>
              <w:jc w:val="right"/>
              <w:rPr>
                <w:sz w:val="14"/>
              </w:rPr>
            </w:pPr>
            <w:r>
              <w:rPr>
                <w:sz w:val="14"/>
              </w:rPr>
              <w:t>0.00</w:t>
            </w:r>
          </w:p>
        </w:tc>
        <w:tc>
          <w:tcPr>
            <w:tcW w:w="1345" w:type="dxa"/>
            <w:gridSpan w:val="2"/>
          </w:tcPr>
          <w:p>
            <w:pPr>
              <w:pStyle w:val="TableParagraph"/>
              <w:spacing w:before="112"/>
              <w:ind w:right="81"/>
              <w:jc w:val="right"/>
              <w:rPr>
                <w:sz w:val="14"/>
              </w:rPr>
            </w:pPr>
            <w:r>
              <w:rPr>
                <w:sz w:val="14"/>
              </w:rPr>
              <w:t>0.00</w:t>
            </w:r>
          </w:p>
        </w:tc>
        <w:tc>
          <w:tcPr>
            <w:tcW w:w="1581" w:type="dxa"/>
          </w:tcPr>
          <w:p>
            <w:pPr>
              <w:pStyle w:val="TableParagraph"/>
              <w:spacing w:before="112"/>
              <w:ind w:right="51"/>
              <w:jc w:val="right"/>
              <w:rPr>
                <w:sz w:val="14"/>
              </w:rPr>
            </w:pPr>
            <w:r>
              <w:rPr>
                <w:sz w:val="14"/>
              </w:rPr>
              <w:t>0.0%</w:t>
            </w:r>
          </w:p>
        </w:tc>
      </w:tr>
      <w:tr>
        <w:trPr>
          <w:trHeight w:val="294" w:hRule="atLeast"/>
        </w:trPr>
        <w:tc>
          <w:tcPr>
            <w:tcW w:w="3766" w:type="dxa"/>
          </w:tcPr>
          <w:p>
            <w:pPr>
              <w:pStyle w:val="TableParagraph"/>
              <w:spacing w:before="112"/>
              <w:ind w:left="212"/>
              <w:rPr>
                <w:sz w:val="14"/>
              </w:rPr>
            </w:pPr>
            <w:r>
              <w:rPr>
                <w:w w:val="105"/>
                <w:sz w:val="14"/>
              </w:rPr>
              <w:t>2) Other Sources/Uses</w:t>
            </w:r>
          </w:p>
        </w:tc>
        <w:tc>
          <w:tcPr>
            <w:tcW w:w="2633" w:type="dxa"/>
            <w:gridSpan w:val="2"/>
          </w:tcPr>
          <w:p>
            <w:pPr>
              <w:pStyle w:val="TableParagraph"/>
              <w:rPr>
                <w:rFonts w:ascii="Times New Roman"/>
                <w:sz w:val="14"/>
              </w:rPr>
            </w:pPr>
          </w:p>
        </w:tc>
        <w:tc>
          <w:tcPr>
            <w:tcW w:w="1782" w:type="dxa"/>
          </w:tcPr>
          <w:p>
            <w:pPr>
              <w:pStyle w:val="TableParagraph"/>
              <w:rPr>
                <w:rFonts w:ascii="Times New Roman"/>
                <w:sz w:val="14"/>
              </w:rPr>
            </w:pPr>
          </w:p>
        </w:tc>
        <w:tc>
          <w:tcPr>
            <w:tcW w:w="1345" w:type="dxa"/>
            <w:gridSpan w:val="2"/>
          </w:tcPr>
          <w:p>
            <w:pPr>
              <w:pStyle w:val="TableParagraph"/>
              <w:rPr>
                <w:rFonts w:ascii="Times New Roman"/>
                <w:sz w:val="14"/>
              </w:rPr>
            </w:pPr>
          </w:p>
        </w:tc>
        <w:tc>
          <w:tcPr>
            <w:tcW w:w="1581" w:type="dxa"/>
          </w:tcPr>
          <w:p>
            <w:pPr>
              <w:pStyle w:val="TableParagraph"/>
              <w:rPr>
                <w:rFonts w:ascii="Times New Roman"/>
                <w:sz w:val="14"/>
              </w:rPr>
            </w:pPr>
          </w:p>
        </w:tc>
      </w:tr>
      <w:tr>
        <w:trPr>
          <w:trHeight w:val="294" w:hRule="atLeast"/>
        </w:trPr>
        <w:tc>
          <w:tcPr>
            <w:tcW w:w="3766" w:type="dxa"/>
          </w:tcPr>
          <w:p>
            <w:pPr>
              <w:pStyle w:val="TableParagraph"/>
              <w:spacing w:before="20"/>
              <w:ind w:left="376"/>
              <w:rPr>
                <w:sz w:val="14"/>
              </w:rPr>
            </w:pPr>
            <w:r>
              <w:rPr>
                <w:w w:val="105"/>
                <w:sz w:val="14"/>
              </w:rPr>
              <w:t>a) Sources</w:t>
            </w:r>
          </w:p>
        </w:tc>
        <w:tc>
          <w:tcPr>
            <w:tcW w:w="2633" w:type="dxa"/>
            <w:gridSpan w:val="2"/>
          </w:tcPr>
          <w:p>
            <w:pPr>
              <w:pStyle w:val="TableParagraph"/>
              <w:spacing w:before="20"/>
              <w:ind w:right="149"/>
              <w:jc w:val="right"/>
              <w:rPr>
                <w:sz w:val="14"/>
              </w:rPr>
            </w:pPr>
            <w:r>
              <w:rPr>
                <w:sz w:val="14"/>
              </w:rPr>
              <w:t>8930-8979</w:t>
            </w:r>
          </w:p>
        </w:tc>
        <w:tc>
          <w:tcPr>
            <w:tcW w:w="1782" w:type="dxa"/>
          </w:tcPr>
          <w:p>
            <w:pPr>
              <w:pStyle w:val="TableParagraph"/>
              <w:spacing w:before="20"/>
              <w:ind w:right="299"/>
              <w:jc w:val="right"/>
              <w:rPr>
                <w:sz w:val="14"/>
              </w:rPr>
            </w:pPr>
            <w:r>
              <w:rPr>
                <w:sz w:val="14"/>
              </w:rPr>
              <w:t>0.00</w:t>
            </w:r>
          </w:p>
        </w:tc>
        <w:tc>
          <w:tcPr>
            <w:tcW w:w="1345" w:type="dxa"/>
            <w:gridSpan w:val="2"/>
          </w:tcPr>
          <w:p>
            <w:pPr>
              <w:pStyle w:val="TableParagraph"/>
              <w:spacing w:before="20"/>
              <w:ind w:right="81"/>
              <w:jc w:val="right"/>
              <w:rPr>
                <w:sz w:val="14"/>
              </w:rPr>
            </w:pPr>
            <w:r>
              <w:rPr>
                <w:sz w:val="14"/>
              </w:rPr>
              <w:t>0.00</w:t>
            </w:r>
          </w:p>
        </w:tc>
        <w:tc>
          <w:tcPr>
            <w:tcW w:w="1581" w:type="dxa"/>
          </w:tcPr>
          <w:p>
            <w:pPr>
              <w:pStyle w:val="TableParagraph"/>
              <w:spacing w:before="20"/>
              <w:ind w:right="51"/>
              <w:jc w:val="right"/>
              <w:rPr>
                <w:sz w:val="14"/>
              </w:rPr>
            </w:pPr>
            <w:r>
              <w:rPr>
                <w:sz w:val="14"/>
              </w:rPr>
              <w:t>0.0%</w:t>
            </w:r>
          </w:p>
        </w:tc>
      </w:tr>
      <w:tr>
        <w:trPr>
          <w:trHeight w:val="386" w:hRule="atLeast"/>
        </w:trPr>
        <w:tc>
          <w:tcPr>
            <w:tcW w:w="3766" w:type="dxa"/>
          </w:tcPr>
          <w:p>
            <w:pPr>
              <w:pStyle w:val="TableParagraph"/>
              <w:spacing w:before="112"/>
              <w:ind w:left="376"/>
              <w:rPr>
                <w:sz w:val="14"/>
              </w:rPr>
            </w:pPr>
            <w:r>
              <w:rPr>
                <w:w w:val="105"/>
                <w:sz w:val="14"/>
              </w:rPr>
              <w:t>b) Uses</w:t>
            </w:r>
          </w:p>
        </w:tc>
        <w:tc>
          <w:tcPr>
            <w:tcW w:w="2633" w:type="dxa"/>
            <w:gridSpan w:val="2"/>
          </w:tcPr>
          <w:p>
            <w:pPr>
              <w:pStyle w:val="TableParagraph"/>
              <w:spacing w:before="112"/>
              <w:ind w:right="149"/>
              <w:jc w:val="right"/>
              <w:rPr>
                <w:sz w:val="14"/>
              </w:rPr>
            </w:pPr>
            <w:r>
              <w:rPr>
                <w:sz w:val="14"/>
              </w:rPr>
              <w:t>7630-7699</w:t>
            </w:r>
          </w:p>
        </w:tc>
        <w:tc>
          <w:tcPr>
            <w:tcW w:w="1782" w:type="dxa"/>
          </w:tcPr>
          <w:p>
            <w:pPr>
              <w:pStyle w:val="TableParagraph"/>
              <w:spacing w:before="112"/>
              <w:ind w:right="299"/>
              <w:jc w:val="right"/>
              <w:rPr>
                <w:sz w:val="14"/>
              </w:rPr>
            </w:pPr>
            <w:r>
              <w:rPr>
                <w:sz w:val="14"/>
              </w:rPr>
              <w:t>0.00</w:t>
            </w:r>
          </w:p>
        </w:tc>
        <w:tc>
          <w:tcPr>
            <w:tcW w:w="1345" w:type="dxa"/>
            <w:gridSpan w:val="2"/>
          </w:tcPr>
          <w:p>
            <w:pPr>
              <w:pStyle w:val="TableParagraph"/>
              <w:spacing w:before="112"/>
              <w:ind w:right="81"/>
              <w:jc w:val="right"/>
              <w:rPr>
                <w:sz w:val="14"/>
              </w:rPr>
            </w:pPr>
            <w:r>
              <w:rPr>
                <w:sz w:val="14"/>
              </w:rPr>
              <w:t>0.00</w:t>
            </w:r>
          </w:p>
        </w:tc>
        <w:tc>
          <w:tcPr>
            <w:tcW w:w="1581" w:type="dxa"/>
          </w:tcPr>
          <w:p>
            <w:pPr>
              <w:pStyle w:val="TableParagraph"/>
              <w:spacing w:before="112"/>
              <w:ind w:right="51"/>
              <w:jc w:val="right"/>
              <w:rPr>
                <w:sz w:val="14"/>
              </w:rPr>
            </w:pPr>
            <w:r>
              <w:rPr>
                <w:sz w:val="14"/>
              </w:rPr>
              <w:t>0.0%</w:t>
            </w:r>
          </w:p>
        </w:tc>
      </w:tr>
      <w:tr>
        <w:trPr>
          <w:trHeight w:val="386" w:hRule="atLeast"/>
        </w:trPr>
        <w:tc>
          <w:tcPr>
            <w:tcW w:w="3766" w:type="dxa"/>
          </w:tcPr>
          <w:p>
            <w:pPr>
              <w:pStyle w:val="TableParagraph"/>
              <w:spacing w:before="112"/>
              <w:ind w:left="212"/>
              <w:rPr>
                <w:sz w:val="14"/>
              </w:rPr>
            </w:pPr>
            <w:r>
              <w:rPr>
                <w:w w:val="105"/>
                <w:sz w:val="14"/>
              </w:rPr>
              <w:t>3) Contributions</w:t>
            </w:r>
          </w:p>
        </w:tc>
        <w:tc>
          <w:tcPr>
            <w:tcW w:w="2633" w:type="dxa"/>
            <w:gridSpan w:val="2"/>
          </w:tcPr>
          <w:p>
            <w:pPr>
              <w:pStyle w:val="TableParagraph"/>
              <w:spacing w:before="112"/>
              <w:ind w:right="149"/>
              <w:jc w:val="right"/>
              <w:rPr>
                <w:sz w:val="14"/>
              </w:rPr>
            </w:pPr>
            <w:r>
              <w:rPr>
                <w:sz w:val="14"/>
              </w:rPr>
              <w:t>8980-8999</w:t>
            </w:r>
          </w:p>
        </w:tc>
        <w:tc>
          <w:tcPr>
            <w:tcW w:w="1782" w:type="dxa"/>
          </w:tcPr>
          <w:p>
            <w:pPr>
              <w:pStyle w:val="TableParagraph"/>
              <w:spacing w:before="112"/>
              <w:ind w:right="299"/>
              <w:jc w:val="right"/>
              <w:rPr>
                <w:sz w:val="14"/>
              </w:rPr>
            </w:pPr>
            <w:r>
              <w:rPr>
                <w:sz w:val="14"/>
              </w:rPr>
              <w:t>0.00</w:t>
            </w:r>
          </w:p>
        </w:tc>
        <w:tc>
          <w:tcPr>
            <w:tcW w:w="1345" w:type="dxa"/>
            <w:gridSpan w:val="2"/>
          </w:tcPr>
          <w:p>
            <w:pPr>
              <w:pStyle w:val="TableParagraph"/>
              <w:spacing w:before="112"/>
              <w:ind w:right="81"/>
              <w:jc w:val="right"/>
              <w:rPr>
                <w:sz w:val="14"/>
              </w:rPr>
            </w:pPr>
            <w:r>
              <w:rPr>
                <w:sz w:val="14"/>
              </w:rPr>
              <w:t>0.00</w:t>
            </w:r>
          </w:p>
        </w:tc>
        <w:tc>
          <w:tcPr>
            <w:tcW w:w="1581" w:type="dxa"/>
          </w:tcPr>
          <w:p>
            <w:pPr>
              <w:pStyle w:val="TableParagraph"/>
              <w:spacing w:before="112"/>
              <w:ind w:right="51"/>
              <w:jc w:val="right"/>
              <w:rPr>
                <w:sz w:val="14"/>
              </w:rPr>
            </w:pPr>
            <w:r>
              <w:rPr>
                <w:sz w:val="14"/>
              </w:rPr>
              <w:t>0.0%</w:t>
            </w:r>
          </w:p>
        </w:tc>
      </w:tr>
      <w:tr>
        <w:trPr>
          <w:trHeight w:val="274" w:hRule="atLeast"/>
        </w:trPr>
        <w:tc>
          <w:tcPr>
            <w:tcW w:w="3766" w:type="dxa"/>
          </w:tcPr>
          <w:p>
            <w:pPr>
              <w:pStyle w:val="TableParagraph"/>
              <w:spacing w:line="142" w:lineRule="exact" w:before="112"/>
              <w:ind w:left="212"/>
              <w:rPr>
                <w:sz w:val="14"/>
              </w:rPr>
            </w:pPr>
            <w:r>
              <w:rPr>
                <w:w w:val="105"/>
                <w:sz w:val="14"/>
              </w:rPr>
              <w:t>4) TOTAL, OTHER FINANCING SOURCES/USES</w:t>
            </w:r>
          </w:p>
        </w:tc>
        <w:tc>
          <w:tcPr>
            <w:tcW w:w="2633" w:type="dxa"/>
            <w:gridSpan w:val="2"/>
          </w:tcPr>
          <w:p>
            <w:pPr>
              <w:pStyle w:val="TableParagraph"/>
              <w:rPr>
                <w:rFonts w:ascii="Times New Roman"/>
                <w:sz w:val="14"/>
              </w:rPr>
            </w:pPr>
          </w:p>
        </w:tc>
        <w:tc>
          <w:tcPr>
            <w:tcW w:w="1782" w:type="dxa"/>
          </w:tcPr>
          <w:p>
            <w:pPr>
              <w:pStyle w:val="TableParagraph"/>
              <w:spacing w:line="142" w:lineRule="exact" w:before="112"/>
              <w:ind w:right="299"/>
              <w:jc w:val="right"/>
              <w:rPr>
                <w:sz w:val="14"/>
              </w:rPr>
            </w:pPr>
            <w:r>
              <w:rPr>
                <w:sz w:val="14"/>
              </w:rPr>
              <w:t>0.00</w:t>
            </w:r>
          </w:p>
        </w:tc>
        <w:tc>
          <w:tcPr>
            <w:tcW w:w="1345" w:type="dxa"/>
            <w:gridSpan w:val="2"/>
          </w:tcPr>
          <w:p>
            <w:pPr>
              <w:pStyle w:val="TableParagraph"/>
              <w:spacing w:line="142" w:lineRule="exact" w:before="112"/>
              <w:ind w:right="81"/>
              <w:jc w:val="right"/>
              <w:rPr>
                <w:sz w:val="14"/>
              </w:rPr>
            </w:pPr>
            <w:r>
              <w:rPr>
                <w:sz w:val="14"/>
              </w:rPr>
              <w:t>0.00</w:t>
            </w:r>
          </w:p>
        </w:tc>
        <w:tc>
          <w:tcPr>
            <w:tcW w:w="1581" w:type="dxa"/>
          </w:tcPr>
          <w:p>
            <w:pPr>
              <w:pStyle w:val="TableParagraph"/>
              <w:spacing w:line="142" w:lineRule="exact" w:before="112"/>
              <w:ind w:right="51"/>
              <w:jc w:val="right"/>
              <w:rPr>
                <w:sz w:val="14"/>
              </w:rPr>
            </w:pPr>
            <w:r>
              <w:rPr>
                <w:sz w:val="14"/>
              </w:rPr>
              <w:t>0.0%</w:t>
            </w:r>
          </w:p>
        </w:tc>
      </w:tr>
    </w:tbl>
    <w:p>
      <w:pPr>
        <w:spacing w:after="0" w:line="142" w:lineRule="exact"/>
        <w:jc w:val="right"/>
        <w:rPr>
          <w:sz w:val="14"/>
        </w:rPr>
        <w:sectPr>
          <w:headerReference w:type="default" r:id="rId949"/>
          <w:footerReference w:type="default" r:id="rId950"/>
          <w:pgSz w:w="12240" w:h="15840"/>
          <w:pgMar w:header="673" w:footer="451" w:top="1280" w:bottom="640" w:left="160" w:right="180"/>
        </w:sectPr>
      </w:pPr>
    </w:p>
    <w:p>
      <w:pPr>
        <w:pStyle w:val="BodyText"/>
        <w:rPr>
          <w:sz w:val="20"/>
        </w:rPr>
      </w:pPr>
      <w:r>
        <w:rPr/>
        <w:pict>
          <v:group style="position:absolute;margin-left:27.120001pt;margin-top:81.360008pt;width:554.3pt;height:436.35pt;mso-position-horizontal-relative:page;mso-position-vertical-relative:page;z-index:-314189824" coordorigin="542,1627" coordsize="11086,8727">
            <v:shape style="position:absolute;left:542;top:1627;width:3766;height:814" type="#_x0000_t75" stroked="false">
              <v:imagedata r:id="rId522" o:title=""/>
            </v:shape>
            <v:shape style="position:absolute;left:4300;top:1627;width:7328;height:1402" type="#_x0000_t75" stroked="false">
              <v:imagedata r:id="rId824" o:title=""/>
            </v:shape>
            <v:line style="position:absolute" from="1379,2431" to="1379,2810" stroked="true" strokeweight=".360003pt" strokecolor="#ffffff">
              <v:stroke dashstyle="solid"/>
            </v:line>
            <v:shape style="position:absolute;left:542;top:2426;width:3766;height:603" type="#_x0000_t75" stroked="false">
              <v:imagedata r:id="rId551" o:title=""/>
            </v:shape>
            <v:line style="position:absolute" from="1379,3019" to="1379,3398" stroked="true" strokeweight=".360003pt" strokecolor="#ffffff">
              <v:stroke dashstyle="solid"/>
            </v:line>
            <v:shape style="position:absolute;left:6926;top:2812;width:4702;height:1359" type="#_x0000_t75" stroked="false">
              <v:imagedata r:id="rId552" o:title=""/>
            </v:shape>
            <v:shape style="position:absolute;left:542;top:3014;width:3766;height:7340" type="#_x0000_t75" stroked="false">
              <v:imagedata r:id="rId909" o:title=""/>
            </v:shape>
            <v:shape style="position:absolute;left:583;top:2262;width:824;height:164" type="#_x0000_t202" filled="false" stroked="false">
              <v:textbox inset="0,0,0,0">
                <w:txbxContent>
                  <w:p>
                    <w:pPr>
                      <w:spacing w:before="1"/>
                      <w:ind w:left="0" w:right="0" w:firstLine="0"/>
                      <w:jc w:val="left"/>
                      <w:rPr>
                        <w:b/>
                        <w:sz w:val="14"/>
                      </w:rPr>
                    </w:pPr>
                    <w:r>
                      <w:rPr>
                        <w:b/>
                        <w:w w:val="105"/>
                        <w:sz w:val="14"/>
                      </w:rPr>
                      <w:t>Description</w:t>
                    </w:r>
                  </w:p>
                </w:txbxContent>
              </v:textbox>
              <w10:wrap type="none"/>
            </v:shape>
            <v:shape style="position:absolute;left:4569;top:2092;width:3795;height:334" type="#_x0000_t202" filled="false" stroked="false">
              <v:textbox inset="0,0,0,0">
                <w:txbxContent>
                  <w:p>
                    <w:pPr>
                      <w:spacing w:before="1"/>
                      <w:ind w:left="2880" w:right="0" w:firstLine="0"/>
                      <w:jc w:val="left"/>
                      <w:rPr>
                        <w:b/>
                        <w:sz w:val="14"/>
                      </w:rPr>
                    </w:pPr>
                    <w:r>
                      <w:rPr>
                        <w:b/>
                        <w:w w:val="105"/>
                        <w:sz w:val="14"/>
                      </w:rPr>
                      <w:t>2020-21</w:t>
                    </w:r>
                  </w:p>
                  <w:p>
                    <w:pPr>
                      <w:tabs>
                        <w:tab w:pos="1394" w:val="left" w:leader="none"/>
                      </w:tabs>
                      <w:spacing w:before="9"/>
                      <w:ind w:left="0" w:right="0" w:firstLine="0"/>
                      <w:jc w:val="left"/>
                      <w:rPr>
                        <w:b/>
                        <w:sz w:val="14"/>
                      </w:rPr>
                    </w:pPr>
                    <w:r>
                      <w:rPr>
                        <w:b/>
                        <w:w w:val="105"/>
                        <w:sz w:val="14"/>
                      </w:rPr>
                      <w:t>Function</w:t>
                    </w:r>
                    <w:r>
                      <w:rPr>
                        <w:b/>
                        <w:spacing w:val="-6"/>
                        <w:w w:val="105"/>
                        <w:sz w:val="14"/>
                      </w:rPr>
                      <w:t> </w:t>
                    </w:r>
                    <w:r>
                      <w:rPr>
                        <w:b/>
                        <w:w w:val="105"/>
                        <w:sz w:val="14"/>
                      </w:rPr>
                      <w:t>Codes</w:t>
                      <w:tab/>
                      <w:t>Object Codes Estimated</w:t>
                    </w:r>
                    <w:r>
                      <w:rPr>
                        <w:b/>
                        <w:spacing w:val="-6"/>
                        <w:w w:val="105"/>
                        <w:sz w:val="14"/>
                      </w:rPr>
                      <w:t> </w:t>
                    </w:r>
                    <w:r>
                      <w:rPr>
                        <w:b/>
                        <w:w w:val="105"/>
                        <w:sz w:val="14"/>
                      </w:rPr>
                      <w:t>Actuals</w:t>
                    </w:r>
                  </w:p>
                </w:txbxContent>
              </v:textbox>
              <w10:wrap type="none"/>
            </v:shape>
            <v:shape style="position:absolute;left:9012;top:2092;width:557;height:334" type="#_x0000_t202" filled="false" stroked="false">
              <v:textbox inset="0,0,0,0">
                <w:txbxContent>
                  <w:p>
                    <w:pPr>
                      <w:spacing w:before="1"/>
                      <w:ind w:left="0" w:right="0" w:firstLine="0"/>
                      <w:jc w:val="left"/>
                      <w:rPr>
                        <w:b/>
                        <w:sz w:val="14"/>
                      </w:rPr>
                    </w:pPr>
                    <w:r>
                      <w:rPr>
                        <w:b/>
                        <w:w w:val="105"/>
                        <w:sz w:val="14"/>
                      </w:rPr>
                      <w:t>2021-22</w:t>
                    </w:r>
                  </w:p>
                  <w:p>
                    <w:pPr>
                      <w:spacing w:before="9"/>
                      <w:ind w:left="16" w:right="0" w:firstLine="0"/>
                      <w:jc w:val="left"/>
                      <w:rPr>
                        <w:b/>
                        <w:sz w:val="14"/>
                      </w:rPr>
                    </w:pPr>
                    <w:r>
                      <w:rPr>
                        <w:b/>
                        <w:w w:val="105"/>
                        <w:sz w:val="14"/>
                      </w:rPr>
                      <w:t>Budget</w:t>
                    </w:r>
                  </w:p>
                </w:txbxContent>
              </v:textbox>
              <w10:wrap type="none"/>
            </v:shape>
            <v:shape style="position:absolute;left:10485;top:2092;width:734;height:334" type="#_x0000_t202" filled="false" stroked="false">
              <v:textbox inset="0,0,0,0">
                <w:txbxContent>
                  <w:p>
                    <w:pPr>
                      <w:spacing w:line="254" w:lineRule="auto" w:before="1"/>
                      <w:ind w:left="0" w:right="0" w:firstLine="88"/>
                      <w:jc w:val="left"/>
                      <w:rPr>
                        <w:b/>
                        <w:sz w:val="14"/>
                      </w:rPr>
                    </w:pPr>
                    <w:r>
                      <w:rPr>
                        <w:b/>
                        <w:w w:val="105"/>
                        <w:sz w:val="14"/>
                      </w:rPr>
                      <w:t>Percent </w:t>
                    </w:r>
                    <w:r>
                      <w:rPr>
                        <w:b/>
                        <w:sz w:val="14"/>
                      </w:rPr>
                      <w:t>Difference</w:t>
                    </w:r>
                  </w:p>
                </w:txbxContent>
              </v:textbox>
              <w10:wrap type="none"/>
            </v:shape>
            <v:shape style="position:absolute;left:583;top:2649;width:2862;height:365" type="#_x0000_t202" filled="false" stroked="false">
              <v:textbox inset="0,0,0,0">
                <w:txbxContent>
                  <w:p>
                    <w:pPr>
                      <w:spacing w:before="1"/>
                      <w:ind w:left="0" w:right="0" w:firstLine="0"/>
                      <w:jc w:val="left"/>
                      <w:rPr>
                        <w:b/>
                        <w:sz w:val="14"/>
                      </w:rPr>
                    </w:pPr>
                    <w:r>
                      <w:rPr>
                        <w:b/>
                        <w:w w:val="105"/>
                        <w:sz w:val="14"/>
                      </w:rPr>
                      <w:t>E. NET INCREASE (DECREASE) IN</w:t>
                    </w:r>
                    <w:r>
                      <w:rPr>
                        <w:b/>
                        <w:spacing w:val="-29"/>
                        <w:w w:val="105"/>
                        <w:sz w:val="14"/>
                      </w:rPr>
                      <w:t> </w:t>
                    </w:r>
                    <w:r>
                      <w:rPr>
                        <w:b/>
                        <w:w w:val="105"/>
                        <w:sz w:val="14"/>
                      </w:rPr>
                      <w:t>FUND</w:t>
                    </w:r>
                  </w:p>
                  <w:p>
                    <w:pPr>
                      <w:spacing w:before="40"/>
                      <w:ind w:left="202" w:right="0" w:firstLine="0"/>
                      <w:jc w:val="left"/>
                      <w:rPr>
                        <w:b/>
                        <w:sz w:val="14"/>
                      </w:rPr>
                    </w:pPr>
                    <w:r>
                      <w:rPr>
                        <w:b/>
                        <w:w w:val="105"/>
                        <w:sz w:val="14"/>
                      </w:rPr>
                      <w:t>BALANCE (C + D4)</w:t>
                    </w:r>
                  </w:p>
                </w:txbxContent>
              </v:textbox>
              <w10:wrap type="none"/>
            </v:shape>
            <v:shape style="position:absolute;left:8047;top:2853;width:386;height:164" type="#_x0000_t202" filled="false" stroked="false">
              <v:textbox inset="0,0,0,0">
                <w:txbxContent>
                  <w:p>
                    <w:pPr>
                      <w:spacing w:before="1"/>
                      <w:ind w:left="0" w:right="0" w:firstLine="0"/>
                      <w:jc w:val="left"/>
                      <w:rPr>
                        <w:sz w:val="14"/>
                      </w:rPr>
                    </w:pPr>
                    <w:r>
                      <w:rPr>
                        <w:w w:val="105"/>
                        <w:sz w:val="14"/>
                      </w:rPr>
                      <w:t>20.00</w:t>
                    </w:r>
                  </w:p>
                </w:txbxContent>
              </v:textbox>
              <w10:wrap type="none"/>
            </v:shape>
            <v:shape style="position:absolute;left:9691;top:2853;width:305;height:164" type="#_x0000_t202" filled="false" stroked="false">
              <v:textbox inset="0,0,0,0">
                <w:txbxContent>
                  <w:p>
                    <w:pPr>
                      <w:spacing w:before="1"/>
                      <w:ind w:left="0" w:right="0" w:firstLine="0"/>
                      <w:jc w:val="left"/>
                      <w:rPr>
                        <w:sz w:val="14"/>
                      </w:rPr>
                    </w:pPr>
                    <w:r>
                      <w:rPr>
                        <w:w w:val="105"/>
                        <w:sz w:val="14"/>
                      </w:rPr>
                      <w:t>0.00</w:t>
                    </w:r>
                  </w:p>
                </w:txbxContent>
              </v:textbox>
              <w10:wrap type="none"/>
            </v:shape>
            <v:shape style="position:absolute;left:11042;top:2853;width:566;height:164" type="#_x0000_t202" filled="false" stroked="false">
              <v:textbox inset="0,0,0,0">
                <w:txbxContent>
                  <w:p>
                    <w:pPr>
                      <w:spacing w:before="1"/>
                      <w:ind w:left="0" w:right="0" w:firstLine="0"/>
                      <w:jc w:val="left"/>
                      <w:rPr>
                        <w:sz w:val="14"/>
                      </w:rPr>
                    </w:pPr>
                    <w:r>
                      <w:rPr>
                        <w:w w:val="105"/>
                        <w:sz w:val="14"/>
                      </w:rPr>
                      <w:t>-100.0%</w:t>
                    </w:r>
                  </w:p>
                </w:txbxContent>
              </v:textbox>
              <w10:wrap type="none"/>
            </v:shape>
            <v:shape style="position:absolute;left:583;top:3237;width:2217;height:164" type="#_x0000_t202" filled="false" stroked="false">
              <v:textbox inset="0,0,0,0">
                <w:txbxContent>
                  <w:p>
                    <w:pPr>
                      <w:spacing w:before="1"/>
                      <w:ind w:left="0" w:right="0" w:firstLine="0"/>
                      <w:jc w:val="left"/>
                      <w:rPr>
                        <w:b/>
                        <w:sz w:val="14"/>
                      </w:rPr>
                    </w:pPr>
                    <w:r>
                      <w:rPr>
                        <w:b/>
                        <w:w w:val="105"/>
                        <w:sz w:val="14"/>
                      </w:rPr>
                      <w:t>F. FUND BALANCE,</w:t>
                    </w:r>
                    <w:r>
                      <w:rPr>
                        <w:b/>
                        <w:spacing w:val="-25"/>
                        <w:w w:val="105"/>
                        <w:sz w:val="14"/>
                      </w:rPr>
                      <w:t> </w:t>
                    </w:r>
                    <w:r>
                      <w:rPr>
                        <w:b/>
                        <w:w w:val="105"/>
                        <w:sz w:val="14"/>
                      </w:rPr>
                      <w:t>RESERVES</w:t>
                    </w:r>
                  </w:p>
                </w:txbxContent>
              </v:textbox>
              <w10:wrap type="none"/>
            </v:shape>
            <w10:wrap type="none"/>
          </v:group>
        </w:pict>
      </w:r>
      <w:r>
        <w:rPr/>
        <w:pict>
          <v:group style="position:absolute;margin-left:215.039993pt;margin-top:190.200012pt;width:366.4pt;height:327.5pt;mso-position-horizontal-relative:page;mso-position-vertical-relative:page;z-index:-314188800" coordorigin="4301,3804" coordsize="7328,6550">
            <v:shape style="position:absolute;left:6926;top:3804;width:4702;height:728" type="#_x0000_t75" stroked="false">
              <v:imagedata r:id="rId554" o:title=""/>
            </v:shape>
            <v:shape style="position:absolute;left:6926;top:4164;width:4702;height:728" type="#_x0000_t75" stroked="false">
              <v:imagedata r:id="rId555" o:title=""/>
            </v:shape>
            <v:shape style="position:absolute;left:6926;top:4524;width:4702;height:728" type="#_x0000_t75" stroked="false">
              <v:imagedata r:id="rId555" o:title=""/>
            </v:shape>
            <v:shape style="position:absolute;left:6926;top:4884;width:4702;height:728" type="#_x0000_t75" stroked="false">
              <v:imagedata r:id="rId555" o:title=""/>
            </v:shape>
            <v:shape style="position:absolute;left:6926;top:5244;width:4702;height:728" type="#_x0000_t75" stroked="false">
              <v:imagedata r:id="rId555" o:title=""/>
            </v:shape>
            <v:shape style="position:absolute;left:8488;top:5604;width:3140;height:968" type="#_x0000_t75" stroked="false">
              <v:imagedata r:id="rId910" o:title=""/>
            </v:shape>
            <v:shape style="position:absolute;left:6926;top:5964;width:1570;height:963" type="#_x0000_t75" stroked="false">
              <v:imagedata r:id="rId911" o:title=""/>
            </v:shape>
            <v:rect style="position:absolute;left:6931;top:6573;width:1563;height:351" filled="true" fillcolor="#dfdfdf" stroked="false">
              <v:fill type="solid"/>
            </v:rect>
            <v:shape style="position:absolute;left:8488;top:6367;width:1570;height:560" type="#_x0000_t75" stroked="false">
              <v:imagedata r:id="rId912" o:title=""/>
            </v:shape>
            <v:rect style="position:absolute;left:10056;top:6573;width:1563;height:351" filled="true" fillcolor="#dfdfdf" stroked="false">
              <v:fill type="solid"/>
            </v:rect>
            <v:shape style="position:absolute;left:6926;top:6367;width:4702;height:1260" type="#_x0000_t75" stroked="false">
              <v:imagedata r:id="rId913" o:title=""/>
            </v:shape>
            <v:shape style="position:absolute;left:6926;top:7269;width:4702;height:704" type="#_x0000_t75" stroked="false">
              <v:imagedata r:id="rId914" o:title=""/>
            </v:shape>
            <v:shape style="position:absolute;left:8488;top:7620;width:3140;height:704" type="#_x0000_t75" stroked="false">
              <v:imagedata r:id="rId915" o:title=""/>
            </v:shape>
            <v:shape style="position:absolute;left:6926;top:7970;width:1570;height:356" type="#_x0000_t75" stroked="false">
              <v:imagedata r:id="rId916" o:title=""/>
            </v:shape>
            <v:shape style="position:absolute;left:8493;top:7975;width:3125;height:351" coordorigin="8494,7975" coordsize="3125,351" path="m11618,7975l10056,7975,8494,7975,8494,8326,10056,8326,11618,8326,11618,7975e" filled="true" fillcolor="#dfdfdf" stroked="false">
              <v:path arrowok="t"/>
              <v:fill type="solid"/>
            </v:shape>
            <v:shape style="position:absolute;left:6926;top:8320;width:1570;height:209" type="#_x0000_t75" stroked="false">
              <v:imagedata r:id="rId568" o:title=""/>
            </v:shape>
            <v:shape style="position:absolute;left:8488;top:8320;width:1570;height:209" type="#_x0000_t75" stroked="false">
              <v:imagedata r:id="rId568" o:title=""/>
            </v:shape>
            <v:shape style="position:absolute;left:6926;top:7970;width:4702;height:1457" type="#_x0000_t75" stroked="false">
              <v:imagedata r:id="rId917" o:title=""/>
            </v:shape>
            <v:shape style="position:absolute;left:8488;top:9223;width:3140;height:209" type="#_x0000_t75" stroked="false">
              <v:imagedata r:id="rId918" o:title=""/>
            </v:shape>
            <v:shape style="position:absolute;left:6926;top:9424;width:1570;height:356" type="#_x0000_t75" stroked="false">
              <v:imagedata r:id="rId916" o:title=""/>
            </v:shape>
            <v:shape style="position:absolute;left:8488;top:9424;width:1570;height:356" type="#_x0000_t75" stroked="false">
              <v:imagedata r:id="rId916" o:title=""/>
            </v:shape>
            <v:rect style="position:absolute;left:10056;top:9429;width:1563;height:351" filled="true" fillcolor="#dfdfdf" stroked="false">
              <v:fill type="solid"/>
            </v:rect>
            <v:shape style="position:absolute;left:6926;top:9775;width:1570;height:209" type="#_x0000_t75" stroked="false">
              <v:imagedata r:id="rId568" o:title=""/>
            </v:shape>
            <v:shape style="position:absolute;left:8488;top:9775;width:1570;height:209" type="#_x0000_t75" stroked="false">
              <v:imagedata r:id="rId568" o:title=""/>
            </v:shape>
            <v:rect style="position:absolute;left:10056;top:9780;width:1563;height:202" filled="true" fillcolor="#dfdfdf" stroked="false">
              <v:fill type="solid"/>
            </v:rect>
            <v:shape style="position:absolute;left:4300;top:9424;width:7328;height:929" type="#_x0000_t75" stroked="false">
              <v:imagedata r:id="rId919" o:titl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3"/>
        </w:rPr>
      </w:pPr>
    </w:p>
    <w:tbl>
      <w:tblPr>
        <w:tblW w:w="0" w:type="auto"/>
        <w:jc w:val="left"/>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523"/>
        <w:gridCol w:w="1102"/>
        <w:gridCol w:w="1691"/>
        <w:gridCol w:w="1005"/>
        <w:gridCol w:w="1653"/>
      </w:tblGrid>
      <w:tr>
        <w:trPr>
          <w:trHeight w:val="360" w:hRule="atLeast"/>
        </w:trPr>
        <w:tc>
          <w:tcPr>
            <w:tcW w:w="5523" w:type="dxa"/>
          </w:tcPr>
          <w:p>
            <w:pPr>
              <w:pStyle w:val="TableParagraph"/>
              <w:spacing w:before="1"/>
              <w:ind w:left="50"/>
              <w:rPr>
                <w:sz w:val="14"/>
              </w:rPr>
            </w:pPr>
            <w:r>
              <w:rPr>
                <w:w w:val="105"/>
                <w:sz w:val="14"/>
              </w:rPr>
              <w:t>1) Beginning Fund Balance</w:t>
            </w:r>
          </w:p>
        </w:tc>
        <w:tc>
          <w:tcPr>
            <w:tcW w:w="5451" w:type="dxa"/>
            <w:gridSpan w:val="4"/>
          </w:tcPr>
          <w:p>
            <w:pPr>
              <w:pStyle w:val="TableParagraph"/>
              <w:rPr>
                <w:rFonts w:ascii="Times New Roman"/>
                <w:sz w:val="14"/>
              </w:rPr>
            </w:pPr>
          </w:p>
        </w:tc>
      </w:tr>
      <w:tr>
        <w:trPr>
          <w:trHeight w:val="261" w:hRule="atLeast"/>
        </w:trPr>
        <w:tc>
          <w:tcPr>
            <w:tcW w:w="5523" w:type="dxa"/>
          </w:tcPr>
          <w:p>
            <w:pPr>
              <w:pStyle w:val="TableParagraph"/>
              <w:spacing w:before="1"/>
              <w:ind w:left="214"/>
              <w:rPr>
                <w:sz w:val="14"/>
              </w:rPr>
            </w:pPr>
            <w:r>
              <w:rPr>
                <w:w w:val="105"/>
                <w:sz w:val="14"/>
              </w:rPr>
              <w:t>a) As of July 1 - Unaudited</w:t>
            </w:r>
          </w:p>
        </w:tc>
        <w:tc>
          <w:tcPr>
            <w:tcW w:w="1102" w:type="dxa"/>
          </w:tcPr>
          <w:p>
            <w:pPr>
              <w:pStyle w:val="TableParagraph"/>
              <w:spacing w:before="1"/>
              <w:ind w:left="50"/>
              <w:rPr>
                <w:sz w:val="14"/>
              </w:rPr>
            </w:pPr>
            <w:r>
              <w:rPr>
                <w:w w:val="105"/>
                <w:sz w:val="14"/>
              </w:rPr>
              <w:t>9791</w:t>
            </w:r>
          </w:p>
        </w:tc>
        <w:tc>
          <w:tcPr>
            <w:tcW w:w="1691" w:type="dxa"/>
          </w:tcPr>
          <w:p>
            <w:pPr>
              <w:pStyle w:val="TableParagraph"/>
              <w:spacing w:before="1"/>
              <w:ind w:right="596"/>
              <w:jc w:val="right"/>
              <w:rPr>
                <w:sz w:val="14"/>
              </w:rPr>
            </w:pPr>
            <w:r>
              <w:rPr>
                <w:sz w:val="14"/>
              </w:rPr>
              <w:t>0.00</w:t>
            </w:r>
          </w:p>
        </w:tc>
        <w:tc>
          <w:tcPr>
            <w:tcW w:w="1005" w:type="dxa"/>
          </w:tcPr>
          <w:p>
            <w:pPr>
              <w:pStyle w:val="TableParagraph"/>
              <w:spacing w:before="1"/>
              <w:ind w:right="39"/>
              <w:jc w:val="right"/>
              <w:rPr>
                <w:sz w:val="14"/>
              </w:rPr>
            </w:pPr>
            <w:r>
              <w:rPr>
                <w:sz w:val="14"/>
              </w:rPr>
              <w:t>20.00</w:t>
            </w:r>
          </w:p>
        </w:tc>
        <w:tc>
          <w:tcPr>
            <w:tcW w:w="1653" w:type="dxa"/>
          </w:tcPr>
          <w:p>
            <w:pPr>
              <w:pStyle w:val="TableParagraph"/>
              <w:spacing w:before="1"/>
              <w:ind w:right="78"/>
              <w:jc w:val="right"/>
              <w:rPr>
                <w:sz w:val="14"/>
              </w:rPr>
            </w:pPr>
            <w:r>
              <w:rPr>
                <w:sz w:val="14"/>
              </w:rPr>
              <w:t>New</w:t>
            </w:r>
          </w:p>
        </w:tc>
      </w:tr>
      <w:tr>
        <w:trPr>
          <w:trHeight w:val="360" w:hRule="atLeast"/>
        </w:trPr>
        <w:tc>
          <w:tcPr>
            <w:tcW w:w="5523" w:type="dxa"/>
          </w:tcPr>
          <w:p>
            <w:pPr>
              <w:pStyle w:val="TableParagraph"/>
              <w:spacing w:before="99"/>
              <w:ind w:left="214"/>
              <w:rPr>
                <w:sz w:val="14"/>
              </w:rPr>
            </w:pPr>
            <w:r>
              <w:rPr>
                <w:w w:val="105"/>
                <w:sz w:val="14"/>
              </w:rPr>
              <w:t>b) Audit Adjustments</w:t>
            </w:r>
          </w:p>
        </w:tc>
        <w:tc>
          <w:tcPr>
            <w:tcW w:w="1102" w:type="dxa"/>
          </w:tcPr>
          <w:p>
            <w:pPr>
              <w:pStyle w:val="TableParagraph"/>
              <w:spacing w:before="99"/>
              <w:ind w:left="50"/>
              <w:rPr>
                <w:sz w:val="14"/>
              </w:rPr>
            </w:pPr>
            <w:r>
              <w:rPr>
                <w:w w:val="105"/>
                <w:sz w:val="14"/>
              </w:rPr>
              <w:t>9793</w:t>
            </w:r>
          </w:p>
        </w:tc>
        <w:tc>
          <w:tcPr>
            <w:tcW w:w="1691" w:type="dxa"/>
          </w:tcPr>
          <w:p>
            <w:pPr>
              <w:pStyle w:val="TableParagraph"/>
              <w:spacing w:before="99"/>
              <w:ind w:right="596"/>
              <w:jc w:val="right"/>
              <w:rPr>
                <w:sz w:val="14"/>
              </w:rPr>
            </w:pPr>
            <w:r>
              <w:rPr>
                <w:sz w:val="14"/>
              </w:rPr>
              <w:t>0.00</w:t>
            </w:r>
          </w:p>
        </w:tc>
        <w:tc>
          <w:tcPr>
            <w:tcW w:w="1005" w:type="dxa"/>
          </w:tcPr>
          <w:p>
            <w:pPr>
              <w:pStyle w:val="TableParagraph"/>
              <w:spacing w:before="99"/>
              <w:ind w:right="40"/>
              <w:jc w:val="right"/>
              <w:rPr>
                <w:sz w:val="14"/>
              </w:rPr>
            </w:pPr>
            <w:r>
              <w:rPr>
                <w:sz w:val="14"/>
              </w:rPr>
              <w:t>0.00</w:t>
            </w:r>
          </w:p>
        </w:tc>
        <w:tc>
          <w:tcPr>
            <w:tcW w:w="1653" w:type="dxa"/>
          </w:tcPr>
          <w:p>
            <w:pPr>
              <w:pStyle w:val="TableParagraph"/>
              <w:spacing w:before="99"/>
              <w:ind w:right="80"/>
              <w:jc w:val="right"/>
              <w:rPr>
                <w:sz w:val="14"/>
              </w:rPr>
            </w:pPr>
            <w:r>
              <w:rPr>
                <w:sz w:val="14"/>
              </w:rPr>
              <w:t>0.0%</w:t>
            </w:r>
          </w:p>
        </w:tc>
      </w:tr>
      <w:tr>
        <w:trPr>
          <w:trHeight w:val="360" w:hRule="atLeast"/>
        </w:trPr>
        <w:tc>
          <w:tcPr>
            <w:tcW w:w="5523" w:type="dxa"/>
          </w:tcPr>
          <w:p>
            <w:pPr>
              <w:pStyle w:val="TableParagraph"/>
              <w:spacing w:before="99"/>
              <w:ind w:left="214"/>
              <w:rPr>
                <w:sz w:val="14"/>
              </w:rPr>
            </w:pPr>
            <w:r>
              <w:rPr>
                <w:w w:val="105"/>
                <w:sz w:val="14"/>
              </w:rPr>
              <w:t>c) As of July 1 - Audited (F1a + F1b)</w:t>
            </w:r>
          </w:p>
        </w:tc>
        <w:tc>
          <w:tcPr>
            <w:tcW w:w="1102" w:type="dxa"/>
          </w:tcPr>
          <w:p>
            <w:pPr>
              <w:pStyle w:val="TableParagraph"/>
              <w:rPr>
                <w:rFonts w:ascii="Times New Roman"/>
                <w:sz w:val="14"/>
              </w:rPr>
            </w:pPr>
          </w:p>
        </w:tc>
        <w:tc>
          <w:tcPr>
            <w:tcW w:w="1691" w:type="dxa"/>
          </w:tcPr>
          <w:p>
            <w:pPr>
              <w:pStyle w:val="TableParagraph"/>
              <w:spacing w:before="99"/>
              <w:ind w:right="596"/>
              <w:jc w:val="right"/>
              <w:rPr>
                <w:sz w:val="14"/>
              </w:rPr>
            </w:pPr>
            <w:r>
              <w:rPr>
                <w:sz w:val="14"/>
              </w:rPr>
              <w:t>0.00</w:t>
            </w:r>
          </w:p>
        </w:tc>
        <w:tc>
          <w:tcPr>
            <w:tcW w:w="1005" w:type="dxa"/>
          </w:tcPr>
          <w:p>
            <w:pPr>
              <w:pStyle w:val="TableParagraph"/>
              <w:spacing w:before="99"/>
              <w:ind w:right="39"/>
              <w:jc w:val="right"/>
              <w:rPr>
                <w:sz w:val="14"/>
              </w:rPr>
            </w:pPr>
            <w:r>
              <w:rPr>
                <w:sz w:val="14"/>
              </w:rPr>
              <w:t>20.00</w:t>
            </w:r>
          </w:p>
        </w:tc>
        <w:tc>
          <w:tcPr>
            <w:tcW w:w="1653" w:type="dxa"/>
          </w:tcPr>
          <w:p>
            <w:pPr>
              <w:pStyle w:val="TableParagraph"/>
              <w:spacing w:before="99"/>
              <w:ind w:right="78"/>
              <w:jc w:val="right"/>
              <w:rPr>
                <w:sz w:val="14"/>
              </w:rPr>
            </w:pPr>
            <w:r>
              <w:rPr>
                <w:sz w:val="14"/>
              </w:rPr>
              <w:t>New</w:t>
            </w:r>
          </w:p>
        </w:tc>
      </w:tr>
      <w:tr>
        <w:trPr>
          <w:trHeight w:val="360" w:hRule="atLeast"/>
        </w:trPr>
        <w:tc>
          <w:tcPr>
            <w:tcW w:w="5523" w:type="dxa"/>
          </w:tcPr>
          <w:p>
            <w:pPr>
              <w:pStyle w:val="TableParagraph"/>
              <w:spacing w:before="99"/>
              <w:ind w:left="214"/>
              <w:rPr>
                <w:sz w:val="14"/>
              </w:rPr>
            </w:pPr>
            <w:r>
              <w:rPr>
                <w:w w:val="105"/>
                <w:sz w:val="14"/>
              </w:rPr>
              <w:t>d) Other Restatements</w:t>
            </w:r>
          </w:p>
        </w:tc>
        <w:tc>
          <w:tcPr>
            <w:tcW w:w="1102" w:type="dxa"/>
          </w:tcPr>
          <w:p>
            <w:pPr>
              <w:pStyle w:val="TableParagraph"/>
              <w:spacing w:before="99"/>
              <w:ind w:left="50"/>
              <w:rPr>
                <w:sz w:val="14"/>
              </w:rPr>
            </w:pPr>
            <w:r>
              <w:rPr>
                <w:w w:val="105"/>
                <w:sz w:val="14"/>
              </w:rPr>
              <w:t>9795</w:t>
            </w:r>
          </w:p>
        </w:tc>
        <w:tc>
          <w:tcPr>
            <w:tcW w:w="1691" w:type="dxa"/>
          </w:tcPr>
          <w:p>
            <w:pPr>
              <w:pStyle w:val="TableParagraph"/>
              <w:spacing w:before="99"/>
              <w:ind w:right="596"/>
              <w:jc w:val="right"/>
              <w:rPr>
                <w:sz w:val="14"/>
              </w:rPr>
            </w:pPr>
            <w:r>
              <w:rPr>
                <w:sz w:val="14"/>
              </w:rPr>
              <w:t>0.00</w:t>
            </w:r>
          </w:p>
        </w:tc>
        <w:tc>
          <w:tcPr>
            <w:tcW w:w="1005" w:type="dxa"/>
          </w:tcPr>
          <w:p>
            <w:pPr>
              <w:pStyle w:val="TableParagraph"/>
              <w:spacing w:before="99"/>
              <w:ind w:right="40"/>
              <w:jc w:val="right"/>
              <w:rPr>
                <w:sz w:val="14"/>
              </w:rPr>
            </w:pPr>
            <w:r>
              <w:rPr>
                <w:sz w:val="14"/>
              </w:rPr>
              <w:t>0.00</w:t>
            </w:r>
          </w:p>
        </w:tc>
        <w:tc>
          <w:tcPr>
            <w:tcW w:w="1653" w:type="dxa"/>
          </w:tcPr>
          <w:p>
            <w:pPr>
              <w:pStyle w:val="TableParagraph"/>
              <w:spacing w:before="99"/>
              <w:ind w:right="80"/>
              <w:jc w:val="right"/>
              <w:rPr>
                <w:sz w:val="14"/>
              </w:rPr>
            </w:pPr>
            <w:r>
              <w:rPr>
                <w:sz w:val="14"/>
              </w:rPr>
              <w:t>0.0%</w:t>
            </w:r>
          </w:p>
        </w:tc>
      </w:tr>
      <w:tr>
        <w:trPr>
          <w:trHeight w:val="360" w:hRule="atLeast"/>
        </w:trPr>
        <w:tc>
          <w:tcPr>
            <w:tcW w:w="5523" w:type="dxa"/>
          </w:tcPr>
          <w:p>
            <w:pPr>
              <w:pStyle w:val="TableParagraph"/>
              <w:spacing w:before="99"/>
              <w:ind w:left="214"/>
              <w:rPr>
                <w:sz w:val="14"/>
              </w:rPr>
            </w:pPr>
            <w:r>
              <w:rPr>
                <w:w w:val="105"/>
                <w:sz w:val="14"/>
              </w:rPr>
              <w:t>e) Adjusted Beginning Balance (F1c + F1d)</w:t>
            </w:r>
          </w:p>
        </w:tc>
        <w:tc>
          <w:tcPr>
            <w:tcW w:w="1102" w:type="dxa"/>
          </w:tcPr>
          <w:p>
            <w:pPr>
              <w:pStyle w:val="TableParagraph"/>
              <w:rPr>
                <w:rFonts w:ascii="Times New Roman"/>
                <w:sz w:val="14"/>
              </w:rPr>
            </w:pPr>
          </w:p>
        </w:tc>
        <w:tc>
          <w:tcPr>
            <w:tcW w:w="1691" w:type="dxa"/>
          </w:tcPr>
          <w:p>
            <w:pPr>
              <w:pStyle w:val="TableParagraph"/>
              <w:spacing w:before="99"/>
              <w:ind w:right="596"/>
              <w:jc w:val="right"/>
              <w:rPr>
                <w:sz w:val="14"/>
              </w:rPr>
            </w:pPr>
            <w:r>
              <w:rPr>
                <w:sz w:val="14"/>
              </w:rPr>
              <w:t>0.00</w:t>
            </w:r>
          </w:p>
        </w:tc>
        <w:tc>
          <w:tcPr>
            <w:tcW w:w="1005" w:type="dxa"/>
          </w:tcPr>
          <w:p>
            <w:pPr>
              <w:pStyle w:val="TableParagraph"/>
              <w:spacing w:before="99"/>
              <w:ind w:right="39"/>
              <w:jc w:val="right"/>
              <w:rPr>
                <w:sz w:val="14"/>
              </w:rPr>
            </w:pPr>
            <w:r>
              <w:rPr>
                <w:sz w:val="14"/>
              </w:rPr>
              <w:t>20.00</w:t>
            </w:r>
          </w:p>
        </w:tc>
        <w:tc>
          <w:tcPr>
            <w:tcW w:w="1653" w:type="dxa"/>
          </w:tcPr>
          <w:p>
            <w:pPr>
              <w:pStyle w:val="TableParagraph"/>
              <w:spacing w:before="99"/>
              <w:ind w:right="78"/>
              <w:jc w:val="right"/>
              <w:rPr>
                <w:sz w:val="14"/>
              </w:rPr>
            </w:pPr>
            <w:r>
              <w:rPr>
                <w:sz w:val="14"/>
              </w:rPr>
              <w:t>New</w:t>
            </w:r>
          </w:p>
        </w:tc>
      </w:tr>
      <w:tr>
        <w:trPr>
          <w:trHeight w:val="664" w:hRule="atLeast"/>
        </w:trPr>
        <w:tc>
          <w:tcPr>
            <w:tcW w:w="5523" w:type="dxa"/>
          </w:tcPr>
          <w:p>
            <w:pPr>
              <w:pStyle w:val="TableParagraph"/>
              <w:numPr>
                <w:ilvl w:val="0"/>
                <w:numId w:val="41"/>
              </w:numPr>
              <w:tabs>
                <w:tab w:pos="221" w:val="left" w:leader="none"/>
              </w:tabs>
              <w:spacing w:line="300" w:lineRule="auto" w:before="99" w:after="0"/>
              <w:ind w:left="214" w:right="2867" w:hanging="165"/>
              <w:jc w:val="left"/>
              <w:rPr>
                <w:sz w:val="14"/>
              </w:rPr>
            </w:pPr>
            <w:r>
              <w:rPr>
                <w:w w:val="105"/>
                <w:sz w:val="14"/>
              </w:rPr>
              <w:t>Ending Balance, June 30 (E + F1e) Components of Ending Fund</w:t>
            </w:r>
            <w:r>
              <w:rPr>
                <w:spacing w:val="-20"/>
                <w:w w:val="105"/>
                <w:sz w:val="14"/>
              </w:rPr>
              <w:t> </w:t>
            </w:r>
            <w:r>
              <w:rPr>
                <w:w w:val="105"/>
                <w:sz w:val="14"/>
              </w:rPr>
              <w:t>Balance</w:t>
            </w:r>
          </w:p>
          <w:p>
            <w:pPr>
              <w:pStyle w:val="TableParagraph"/>
              <w:numPr>
                <w:ilvl w:val="1"/>
                <w:numId w:val="41"/>
              </w:numPr>
              <w:tabs>
                <w:tab w:pos="384" w:val="left" w:leader="none"/>
              </w:tabs>
              <w:spacing w:line="142" w:lineRule="exact" w:before="1" w:after="0"/>
              <w:ind w:left="383" w:right="0" w:hanging="170"/>
              <w:jc w:val="left"/>
              <w:rPr>
                <w:sz w:val="14"/>
              </w:rPr>
            </w:pPr>
            <w:r>
              <w:rPr>
                <w:w w:val="105"/>
                <w:sz w:val="14"/>
              </w:rPr>
              <w:t>Nonspendable</w:t>
            </w:r>
          </w:p>
        </w:tc>
        <w:tc>
          <w:tcPr>
            <w:tcW w:w="1102" w:type="dxa"/>
          </w:tcPr>
          <w:p>
            <w:pPr>
              <w:pStyle w:val="TableParagraph"/>
              <w:rPr>
                <w:rFonts w:ascii="Times New Roman"/>
                <w:sz w:val="14"/>
              </w:rPr>
            </w:pPr>
          </w:p>
        </w:tc>
        <w:tc>
          <w:tcPr>
            <w:tcW w:w="1691" w:type="dxa"/>
          </w:tcPr>
          <w:p>
            <w:pPr>
              <w:pStyle w:val="TableParagraph"/>
              <w:spacing w:before="99"/>
              <w:ind w:right="596"/>
              <w:jc w:val="right"/>
              <w:rPr>
                <w:sz w:val="14"/>
              </w:rPr>
            </w:pPr>
            <w:r>
              <w:rPr>
                <w:sz w:val="14"/>
              </w:rPr>
              <w:t>20.00</w:t>
            </w:r>
          </w:p>
        </w:tc>
        <w:tc>
          <w:tcPr>
            <w:tcW w:w="1005" w:type="dxa"/>
          </w:tcPr>
          <w:p>
            <w:pPr>
              <w:pStyle w:val="TableParagraph"/>
              <w:spacing w:before="99"/>
              <w:ind w:right="39"/>
              <w:jc w:val="right"/>
              <w:rPr>
                <w:sz w:val="14"/>
              </w:rPr>
            </w:pPr>
            <w:r>
              <w:rPr>
                <w:sz w:val="14"/>
              </w:rPr>
              <w:t>20.00</w:t>
            </w:r>
          </w:p>
        </w:tc>
        <w:tc>
          <w:tcPr>
            <w:tcW w:w="1653" w:type="dxa"/>
          </w:tcPr>
          <w:p>
            <w:pPr>
              <w:pStyle w:val="TableParagraph"/>
              <w:spacing w:before="99"/>
              <w:ind w:right="80"/>
              <w:jc w:val="right"/>
              <w:rPr>
                <w:sz w:val="14"/>
              </w:rPr>
            </w:pPr>
            <w:r>
              <w:rPr>
                <w:sz w:val="14"/>
              </w:rPr>
              <w:t>0.0%</w:t>
            </w:r>
          </w:p>
        </w:tc>
      </w:tr>
      <w:tr>
        <w:trPr>
          <w:trHeight w:val="295" w:hRule="atLeast"/>
        </w:trPr>
        <w:tc>
          <w:tcPr>
            <w:tcW w:w="5523" w:type="dxa"/>
          </w:tcPr>
          <w:p>
            <w:pPr>
              <w:pStyle w:val="TableParagraph"/>
              <w:spacing w:before="39"/>
              <w:ind w:left="416"/>
              <w:rPr>
                <w:sz w:val="14"/>
              </w:rPr>
            </w:pPr>
            <w:r>
              <w:rPr>
                <w:w w:val="105"/>
                <w:sz w:val="14"/>
              </w:rPr>
              <w:t>Revolving Cash</w:t>
            </w:r>
          </w:p>
        </w:tc>
        <w:tc>
          <w:tcPr>
            <w:tcW w:w="1102" w:type="dxa"/>
          </w:tcPr>
          <w:p>
            <w:pPr>
              <w:pStyle w:val="TableParagraph"/>
              <w:spacing w:before="39"/>
              <w:ind w:left="50"/>
              <w:rPr>
                <w:sz w:val="14"/>
              </w:rPr>
            </w:pPr>
            <w:r>
              <w:rPr>
                <w:w w:val="105"/>
                <w:sz w:val="14"/>
              </w:rPr>
              <w:t>9711</w:t>
            </w:r>
          </w:p>
        </w:tc>
        <w:tc>
          <w:tcPr>
            <w:tcW w:w="1691" w:type="dxa"/>
          </w:tcPr>
          <w:p>
            <w:pPr>
              <w:pStyle w:val="TableParagraph"/>
              <w:spacing w:before="39"/>
              <w:ind w:right="596"/>
              <w:jc w:val="right"/>
              <w:rPr>
                <w:sz w:val="14"/>
              </w:rPr>
            </w:pPr>
            <w:r>
              <w:rPr>
                <w:sz w:val="14"/>
              </w:rPr>
              <w:t>0.00</w:t>
            </w:r>
          </w:p>
        </w:tc>
        <w:tc>
          <w:tcPr>
            <w:tcW w:w="1005" w:type="dxa"/>
          </w:tcPr>
          <w:p>
            <w:pPr>
              <w:pStyle w:val="TableParagraph"/>
              <w:spacing w:before="39"/>
              <w:ind w:right="40"/>
              <w:jc w:val="right"/>
              <w:rPr>
                <w:sz w:val="14"/>
              </w:rPr>
            </w:pPr>
            <w:r>
              <w:rPr>
                <w:sz w:val="14"/>
              </w:rPr>
              <w:t>0.00</w:t>
            </w:r>
          </w:p>
        </w:tc>
        <w:tc>
          <w:tcPr>
            <w:tcW w:w="1653" w:type="dxa"/>
          </w:tcPr>
          <w:p>
            <w:pPr>
              <w:pStyle w:val="TableParagraph"/>
              <w:spacing w:before="39"/>
              <w:ind w:right="80"/>
              <w:jc w:val="right"/>
              <w:rPr>
                <w:sz w:val="14"/>
              </w:rPr>
            </w:pPr>
            <w:r>
              <w:rPr>
                <w:sz w:val="14"/>
              </w:rPr>
              <w:t>0.0%</w:t>
            </w:r>
          </w:p>
        </w:tc>
      </w:tr>
      <w:tr>
        <w:trPr>
          <w:trHeight w:val="350" w:hRule="atLeast"/>
        </w:trPr>
        <w:tc>
          <w:tcPr>
            <w:tcW w:w="5523" w:type="dxa"/>
          </w:tcPr>
          <w:p>
            <w:pPr>
              <w:pStyle w:val="TableParagraph"/>
              <w:spacing w:before="94"/>
              <w:ind w:left="416"/>
              <w:rPr>
                <w:sz w:val="14"/>
              </w:rPr>
            </w:pPr>
            <w:r>
              <w:rPr>
                <w:w w:val="105"/>
                <w:sz w:val="14"/>
              </w:rPr>
              <w:t>Stores</w:t>
            </w:r>
          </w:p>
        </w:tc>
        <w:tc>
          <w:tcPr>
            <w:tcW w:w="1102" w:type="dxa"/>
          </w:tcPr>
          <w:p>
            <w:pPr>
              <w:pStyle w:val="TableParagraph"/>
              <w:spacing w:before="94"/>
              <w:ind w:left="50"/>
              <w:rPr>
                <w:sz w:val="14"/>
              </w:rPr>
            </w:pPr>
            <w:r>
              <w:rPr>
                <w:w w:val="105"/>
                <w:sz w:val="14"/>
              </w:rPr>
              <w:t>9712</w:t>
            </w:r>
          </w:p>
        </w:tc>
        <w:tc>
          <w:tcPr>
            <w:tcW w:w="1691" w:type="dxa"/>
          </w:tcPr>
          <w:p>
            <w:pPr>
              <w:pStyle w:val="TableParagraph"/>
              <w:spacing w:before="94"/>
              <w:ind w:right="596"/>
              <w:jc w:val="right"/>
              <w:rPr>
                <w:sz w:val="14"/>
              </w:rPr>
            </w:pPr>
            <w:r>
              <w:rPr>
                <w:sz w:val="14"/>
              </w:rPr>
              <w:t>0.00</w:t>
            </w:r>
          </w:p>
        </w:tc>
        <w:tc>
          <w:tcPr>
            <w:tcW w:w="1005" w:type="dxa"/>
          </w:tcPr>
          <w:p>
            <w:pPr>
              <w:pStyle w:val="TableParagraph"/>
              <w:spacing w:before="94"/>
              <w:ind w:right="40"/>
              <w:jc w:val="right"/>
              <w:rPr>
                <w:sz w:val="14"/>
              </w:rPr>
            </w:pPr>
            <w:r>
              <w:rPr>
                <w:sz w:val="14"/>
              </w:rPr>
              <w:t>0.00</w:t>
            </w:r>
          </w:p>
        </w:tc>
        <w:tc>
          <w:tcPr>
            <w:tcW w:w="1653" w:type="dxa"/>
          </w:tcPr>
          <w:p>
            <w:pPr>
              <w:pStyle w:val="TableParagraph"/>
              <w:spacing w:before="94"/>
              <w:ind w:right="80"/>
              <w:jc w:val="right"/>
              <w:rPr>
                <w:sz w:val="14"/>
              </w:rPr>
            </w:pPr>
            <w:r>
              <w:rPr>
                <w:sz w:val="14"/>
              </w:rPr>
              <w:t>0.0%</w:t>
            </w:r>
          </w:p>
        </w:tc>
      </w:tr>
      <w:tr>
        <w:trPr>
          <w:trHeight w:val="350" w:hRule="atLeast"/>
        </w:trPr>
        <w:tc>
          <w:tcPr>
            <w:tcW w:w="5523" w:type="dxa"/>
          </w:tcPr>
          <w:p>
            <w:pPr>
              <w:pStyle w:val="TableParagraph"/>
              <w:spacing w:before="94"/>
              <w:ind w:left="416"/>
              <w:rPr>
                <w:sz w:val="14"/>
              </w:rPr>
            </w:pPr>
            <w:r>
              <w:rPr>
                <w:w w:val="105"/>
                <w:sz w:val="14"/>
              </w:rPr>
              <w:t>Prepaid Items</w:t>
            </w:r>
          </w:p>
        </w:tc>
        <w:tc>
          <w:tcPr>
            <w:tcW w:w="1102" w:type="dxa"/>
          </w:tcPr>
          <w:p>
            <w:pPr>
              <w:pStyle w:val="TableParagraph"/>
              <w:spacing w:before="94"/>
              <w:ind w:left="50"/>
              <w:rPr>
                <w:sz w:val="14"/>
              </w:rPr>
            </w:pPr>
            <w:r>
              <w:rPr>
                <w:w w:val="105"/>
                <w:sz w:val="14"/>
              </w:rPr>
              <w:t>9713</w:t>
            </w:r>
          </w:p>
        </w:tc>
        <w:tc>
          <w:tcPr>
            <w:tcW w:w="1691" w:type="dxa"/>
          </w:tcPr>
          <w:p>
            <w:pPr>
              <w:pStyle w:val="TableParagraph"/>
              <w:spacing w:before="94"/>
              <w:ind w:right="596"/>
              <w:jc w:val="right"/>
              <w:rPr>
                <w:sz w:val="14"/>
              </w:rPr>
            </w:pPr>
            <w:r>
              <w:rPr>
                <w:sz w:val="14"/>
              </w:rPr>
              <w:t>0.00</w:t>
            </w:r>
          </w:p>
        </w:tc>
        <w:tc>
          <w:tcPr>
            <w:tcW w:w="1005" w:type="dxa"/>
          </w:tcPr>
          <w:p>
            <w:pPr>
              <w:pStyle w:val="TableParagraph"/>
              <w:spacing w:before="94"/>
              <w:ind w:right="40"/>
              <w:jc w:val="right"/>
              <w:rPr>
                <w:sz w:val="14"/>
              </w:rPr>
            </w:pPr>
            <w:r>
              <w:rPr>
                <w:sz w:val="14"/>
              </w:rPr>
              <w:t>0.00</w:t>
            </w:r>
          </w:p>
        </w:tc>
        <w:tc>
          <w:tcPr>
            <w:tcW w:w="1653" w:type="dxa"/>
          </w:tcPr>
          <w:p>
            <w:pPr>
              <w:pStyle w:val="TableParagraph"/>
              <w:spacing w:before="94"/>
              <w:ind w:right="80"/>
              <w:jc w:val="right"/>
              <w:rPr>
                <w:sz w:val="14"/>
              </w:rPr>
            </w:pPr>
            <w:r>
              <w:rPr>
                <w:sz w:val="14"/>
              </w:rPr>
              <w:t>0.0%</w:t>
            </w:r>
          </w:p>
        </w:tc>
      </w:tr>
      <w:tr>
        <w:trPr>
          <w:trHeight w:val="256" w:hRule="atLeast"/>
        </w:trPr>
        <w:tc>
          <w:tcPr>
            <w:tcW w:w="5523" w:type="dxa"/>
          </w:tcPr>
          <w:p>
            <w:pPr>
              <w:pStyle w:val="TableParagraph"/>
              <w:spacing w:line="142" w:lineRule="exact" w:before="94"/>
              <w:ind w:left="416"/>
              <w:rPr>
                <w:sz w:val="14"/>
              </w:rPr>
            </w:pPr>
            <w:r>
              <w:rPr>
                <w:w w:val="105"/>
                <w:sz w:val="14"/>
              </w:rPr>
              <w:t>All Others</w:t>
            </w:r>
          </w:p>
        </w:tc>
        <w:tc>
          <w:tcPr>
            <w:tcW w:w="1102" w:type="dxa"/>
          </w:tcPr>
          <w:p>
            <w:pPr>
              <w:pStyle w:val="TableParagraph"/>
              <w:spacing w:line="142" w:lineRule="exact" w:before="94"/>
              <w:ind w:left="50"/>
              <w:rPr>
                <w:sz w:val="14"/>
              </w:rPr>
            </w:pPr>
            <w:r>
              <w:rPr>
                <w:w w:val="105"/>
                <w:sz w:val="14"/>
              </w:rPr>
              <w:t>9719</w:t>
            </w:r>
          </w:p>
        </w:tc>
        <w:tc>
          <w:tcPr>
            <w:tcW w:w="1691" w:type="dxa"/>
          </w:tcPr>
          <w:p>
            <w:pPr>
              <w:pStyle w:val="TableParagraph"/>
              <w:spacing w:line="142" w:lineRule="exact" w:before="94"/>
              <w:ind w:right="596"/>
              <w:jc w:val="right"/>
              <w:rPr>
                <w:sz w:val="14"/>
              </w:rPr>
            </w:pPr>
            <w:r>
              <w:rPr>
                <w:sz w:val="14"/>
              </w:rPr>
              <w:t>0.00</w:t>
            </w:r>
          </w:p>
        </w:tc>
        <w:tc>
          <w:tcPr>
            <w:tcW w:w="1005" w:type="dxa"/>
          </w:tcPr>
          <w:p>
            <w:pPr>
              <w:pStyle w:val="TableParagraph"/>
              <w:spacing w:line="142" w:lineRule="exact" w:before="94"/>
              <w:ind w:right="40"/>
              <w:jc w:val="right"/>
              <w:rPr>
                <w:sz w:val="14"/>
              </w:rPr>
            </w:pPr>
            <w:r>
              <w:rPr>
                <w:sz w:val="14"/>
              </w:rPr>
              <w:t>0.00</w:t>
            </w:r>
          </w:p>
        </w:tc>
        <w:tc>
          <w:tcPr>
            <w:tcW w:w="1653" w:type="dxa"/>
          </w:tcPr>
          <w:p>
            <w:pPr>
              <w:pStyle w:val="TableParagraph"/>
              <w:spacing w:line="142" w:lineRule="exact" w:before="94"/>
              <w:ind w:right="80"/>
              <w:jc w:val="right"/>
              <w:rPr>
                <w:sz w:val="14"/>
              </w:rPr>
            </w:pPr>
            <w:r>
              <w:rPr>
                <w:sz w:val="14"/>
              </w:rPr>
              <w:t>0.0%</w:t>
            </w:r>
          </w:p>
        </w:tc>
      </w:tr>
      <w:tr>
        <w:trPr>
          <w:trHeight w:val="537" w:hRule="atLeast"/>
        </w:trPr>
        <w:tc>
          <w:tcPr>
            <w:tcW w:w="6625" w:type="dxa"/>
            <w:gridSpan w:val="2"/>
          </w:tcPr>
          <w:p>
            <w:pPr>
              <w:pStyle w:val="TableParagraph"/>
              <w:tabs>
                <w:tab w:pos="5898" w:val="right" w:leader="none"/>
              </w:tabs>
              <w:spacing w:before="188"/>
              <w:ind w:left="214"/>
              <w:rPr>
                <w:sz w:val="14"/>
              </w:rPr>
            </w:pPr>
            <w:r>
              <w:rPr>
                <w:w w:val="105"/>
                <w:sz w:val="14"/>
              </w:rPr>
              <w:t>b)</w:t>
            </w:r>
            <w:r>
              <w:rPr>
                <w:spacing w:val="-1"/>
                <w:w w:val="105"/>
                <w:sz w:val="14"/>
              </w:rPr>
              <w:t> </w:t>
            </w:r>
            <w:r>
              <w:rPr>
                <w:w w:val="105"/>
                <w:sz w:val="14"/>
              </w:rPr>
              <w:t>Restricted</w:t>
              <w:tab/>
              <w:t>9740</w:t>
            </w:r>
          </w:p>
        </w:tc>
        <w:tc>
          <w:tcPr>
            <w:tcW w:w="1691" w:type="dxa"/>
          </w:tcPr>
          <w:p>
            <w:pPr>
              <w:pStyle w:val="TableParagraph"/>
              <w:spacing w:before="4"/>
              <w:rPr>
                <w:sz w:val="16"/>
              </w:rPr>
            </w:pPr>
          </w:p>
          <w:p>
            <w:pPr>
              <w:pStyle w:val="TableParagraph"/>
              <w:ind w:right="596"/>
              <w:jc w:val="right"/>
              <w:rPr>
                <w:sz w:val="14"/>
              </w:rPr>
            </w:pPr>
            <w:r>
              <w:rPr>
                <w:sz w:val="14"/>
              </w:rPr>
              <w:t>0.00</w:t>
            </w:r>
          </w:p>
        </w:tc>
        <w:tc>
          <w:tcPr>
            <w:tcW w:w="1005" w:type="dxa"/>
          </w:tcPr>
          <w:p>
            <w:pPr>
              <w:pStyle w:val="TableParagraph"/>
              <w:spacing w:before="4"/>
              <w:rPr>
                <w:sz w:val="16"/>
              </w:rPr>
            </w:pPr>
          </w:p>
          <w:p>
            <w:pPr>
              <w:pStyle w:val="TableParagraph"/>
              <w:ind w:right="40"/>
              <w:jc w:val="right"/>
              <w:rPr>
                <w:sz w:val="14"/>
              </w:rPr>
            </w:pPr>
            <w:r>
              <w:rPr>
                <w:sz w:val="14"/>
              </w:rPr>
              <w:t>0.00</w:t>
            </w:r>
          </w:p>
        </w:tc>
        <w:tc>
          <w:tcPr>
            <w:tcW w:w="1653" w:type="dxa"/>
          </w:tcPr>
          <w:p>
            <w:pPr>
              <w:pStyle w:val="TableParagraph"/>
              <w:spacing w:before="4"/>
              <w:rPr>
                <w:sz w:val="16"/>
              </w:rPr>
            </w:pPr>
          </w:p>
          <w:p>
            <w:pPr>
              <w:pStyle w:val="TableParagraph"/>
              <w:ind w:right="80"/>
              <w:jc w:val="right"/>
              <w:rPr>
                <w:sz w:val="14"/>
              </w:rPr>
            </w:pPr>
            <w:r>
              <w:rPr>
                <w:sz w:val="14"/>
              </w:rPr>
              <w:t>0.0%</w:t>
            </w:r>
          </w:p>
        </w:tc>
      </w:tr>
      <w:tr>
        <w:trPr>
          <w:trHeight w:val="458" w:hRule="atLeast"/>
        </w:trPr>
        <w:tc>
          <w:tcPr>
            <w:tcW w:w="5523" w:type="dxa"/>
          </w:tcPr>
          <w:p>
            <w:pPr>
              <w:pStyle w:val="TableParagraph"/>
              <w:spacing w:before="1"/>
              <w:ind w:left="214"/>
              <w:rPr>
                <w:sz w:val="14"/>
              </w:rPr>
            </w:pPr>
            <w:r>
              <w:rPr>
                <w:w w:val="105"/>
                <w:sz w:val="14"/>
              </w:rPr>
              <w:t>c) Committed</w:t>
            </w:r>
          </w:p>
          <w:p>
            <w:pPr>
              <w:pStyle w:val="TableParagraph"/>
              <w:spacing w:before="40"/>
              <w:ind w:left="416"/>
              <w:rPr>
                <w:sz w:val="14"/>
              </w:rPr>
            </w:pPr>
            <w:r>
              <w:rPr>
                <w:w w:val="105"/>
                <w:sz w:val="14"/>
              </w:rPr>
              <w:t>Stabilization Arrangements</w:t>
            </w:r>
          </w:p>
        </w:tc>
        <w:tc>
          <w:tcPr>
            <w:tcW w:w="1102" w:type="dxa"/>
          </w:tcPr>
          <w:p>
            <w:pPr>
              <w:pStyle w:val="TableParagraph"/>
              <w:spacing w:before="7"/>
              <w:rPr>
                <w:sz w:val="17"/>
              </w:rPr>
            </w:pPr>
          </w:p>
          <w:p>
            <w:pPr>
              <w:pStyle w:val="TableParagraph"/>
              <w:ind w:left="50"/>
              <w:rPr>
                <w:sz w:val="14"/>
              </w:rPr>
            </w:pPr>
            <w:r>
              <w:rPr>
                <w:w w:val="105"/>
                <w:sz w:val="14"/>
              </w:rPr>
              <w:t>9750</w:t>
            </w:r>
          </w:p>
        </w:tc>
        <w:tc>
          <w:tcPr>
            <w:tcW w:w="1691" w:type="dxa"/>
          </w:tcPr>
          <w:p>
            <w:pPr>
              <w:pStyle w:val="TableParagraph"/>
              <w:spacing w:before="7"/>
              <w:rPr>
                <w:sz w:val="17"/>
              </w:rPr>
            </w:pPr>
          </w:p>
          <w:p>
            <w:pPr>
              <w:pStyle w:val="TableParagraph"/>
              <w:ind w:right="596"/>
              <w:jc w:val="right"/>
              <w:rPr>
                <w:sz w:val="14"/>
              </w:rPr>
            </w:pPr>
            <w:r>
              <w:rPr>
                <w:sz w:val="14"/>
              </w:rPr>
              <w:t>0.00</w:t>
            </w:r>
          </w:p>
        </w:tc>
        <w:tc>
          <w:tcPr>
            <w:tcW w:w="1005" w:type="dxa"/>
          </w:tcPr>
          <w:p>
            <w:pPr>
              <w:pStyle w:val="TableParagraph"/>
              <w:spacing w:before="7"/>
              <w:rPr>
                <w:sz w:val="17"/>
              </w:rPr>
            </w:pPr>
          </w:p>
          <w:p>
            <w:pPr>
              <w:pStyle w:val="TableParagraph"/>
              <w:ind w:right="40"/>
              <w:jc w:val="right"/>
              <w:rPr>
                <w:sz w:val="14"/>
              </w:rPr>
            </w:pPr>
            <w:r>
              <w:rPr>
                <w:sz w:val="14"/>
              </w:rPr>
              <w:t>0.00</w:t>
            </w:r>
          </w:p>
        </w:tc>
        <w:tc>
          <w:tcPr>
            <w:tcW w:w="1653" w:type="dxa"/>
          </w:tcPr>
          <w:p>
            <w:pPr>
              <w:pStyle w:val="TableParagraph"/>
              <w:spacing w:before="7"/>
              <w:rPr>
                <w:sz w:val="17"/>
              </w:rPr>
            </w:pPr>
          </w:p>
          <w:p>
            <w:pPr>
              <w:pStyle w:val="TableParagraph"/>
              <w:tabs>
                <w:tab w:pos="1197" w:val="left" w:leader="none"/>
              </w:tabs>
              <w:ind w:right="49"/>
              <w:jc w:val="right"/>
              <w:rPr>
                <w:sz w:val="14"/>
              </w:rPr>
            </w:pPr>
            <w:r>
              <w:rPr>
                <w:rFonts w:ascii="Times New Roman"/>
                <w:w w:val="104"/>
                <w:sz w:val="14"/>
                <w:shd w:fill="DFDFDF" w:color="auto" w:val="clear"/>
              </w:rPr>
              <w:t> </w:t>
            </w:r>
            <w:r>
              <w:rPr>
                <w:rFonts w:ascii="Times New Roman"/>
                <w:sz w:val="14"/>
                <w:shd w:fill="DFDFDF" w:color="auto" w:val="clear"/>
              </w:rPr>
              <w:tab/>
            </w:r>
            <w:r>
              <w:rPr>
                <w:sz w:val="14"/>
                <w:shd w:fill="DFDFDF" w:color="auto" w:val="clear"/>
              </w:rPr>
              <w:t>0.0%</w:t>
            </w:r>
            <w:r>
              <w:rPr>
                <w:spacing w:val="-8"/>
                <w:sz w:val="14"/>
                <w:shd w:fill="DFDFDF" w:color="auto" w:val="clear"/>
              </w:rPr>
              <w:t> </w:t>
            </w:r>
          </w:p>
        </w:tc>
      </w:tr>
      <w:tr>
        <w:trPr>
          <w:trHeight w:val="350" w:hRule="atLeast"/>
        </w:trPr>
        <w:tc>
          <w:tcPr>
            <w:tcW w:w="5523" w:type="dxa"/>
          </w:tcPr>
          <w:p>
            <w:pPr>
              <w:pStyle w:val="TableParagraph"/>
              <w:spacing w:before="94"/>
              <w:ind w:left="416"/>
              <w:rPr>
                <w:sz w:val="14"/>
              </w:rPr>
            </w:pPr>
            <w:r>
              <w:rPr>
                <w:w w:val="105"/>
                <w:sz w:val="14"/>
              </w:rPr>
              <w:t>Other Commitments (by Resource/Object)</w:t>
            </w:r>
          </w:p>
        </w:tc>
        <w:tc>
          <w:tcPr>
            <w:tcW w:w="1102" w:type="dxa"/>
          </w:tcPr>
          <w:p>
            <w:pPr>
              <w:pStyle w:val="TableParagraph"/>
              <w:spacing w:before="94"/>
              <w:ind w:left="50"/>
              <w:rPr>
                <w:sz w:val="14"/>
              </w:rPr>
            </w:pPr>
            <w:r>
              <w:rPr>
                <w:w w:val="105"/>
                <w:sz w:val="14"/>
              </w:rPr>
              <w:t>9760</w:t>
            </w:r>
          </w:p>
        </w:tc>
        <w:tc>
          <w:tcPr>
            <w:tcW w:w="1691" w:type="dxa"/>
          </w:tcPr>
          <w:p>
            <w:pPr>
              <w:pStyle w:val="TableParagraph"/>
              <w:spacing w:before="94"/>
              <w:ind w:right="596"/>
              <w:jc w:val="right"/>
              <w:rPr>
                <w:sz w:val="14"/>
              </w:rPr>
            </w:pPr>
            <w:r>
              <w:rPr>
                <w:sz w:val="14"/>
              </w:rPr>
              <w:t>0.00</w:t>
            </w:r>
          </w:p>
        </w:tc>
        <w:tc>
          <w:tcPr>
            <w:tcW w:w="1005" w:type="dxa"/>
          </w:tcPr>
          <w:p>
            <w:pPr>
              <w:pStyle w:val="TableParagraph"/>
              <w:spacing w:before="94"/>
              <w:ind w:right="40"/>
              <w:jc w:val="right"/>
              <w:rPr>
                <w:sz w:val="14"/>
              </w:rPr>
            </w:pPr>
            <w:r>
              <w:rPr>
                <w:sz w:val="14"/>
              </w:rPr>
              <w:t>0.00</w:t>
            </w:r>
          </w:p>
        </w:tc>
        <w:tc>
          <w:tcPr>
            <w:tcW w:w="1653" w:type="dxa"/>
          </w:tcPr>
          <w:p>
            <w:pPr>
              <w:pStyle w:val="TableParagraph"/>
              <w:spacing w:before="94"/>
              <w:ind w:right="80"/>
              <w:jc w:val="right"/>
              <w:rPr>
                <w:sz w:val="14"/>
              </w:rPr>
            </w:pPr>
            <w:r>
              <w:rPr>
                <w:sz w:val="14"/>
              </w:rPr>
              <w:t>0.0%</w:t>
            </w:r>
          </w:p>
        </w:tc>
      </w:tr>
      <w:tr>
        <w:trPr>
          <w:trHeight w:val="552" w:hRule="atLeast"/>
        </w:trPr>
        <w:tc>
          <w:tcPr>
            <w:tcW w:w="5523" w:type="dxa"/>
          </w:tcPr>
          <w:p>
            <w:pPr>
              <w:pStyle w:val="TableParagraph"/>
              <w:spacing w:before="94"/>
              <w:ind w:left="214"/>
              <w:rPr>
                <w:sz w:val="14"/>
              </w:rPr>
            </w:pPr>
            <w:r>
              <w:rPr>
                <w:w w:val="105"/>
                <w:sz w:val="14"/>
              </w:rPr>
              <w:t>d) Assigned</w:t>
            </w:r>
          </w:p>
          <w:p>
            <w:pPr>
              <w:pStyle w:val="TableParagraph"/>
              <w:spacing w:before="41"/>
              <w:ind w:left="416"/>
              <w:rPr>
                <w:sz w:val="14"/>
              </w:rPr>
            </w:pPr>
            <w:r>
              <w:rPr>
                <w:w w:val="105"/>
                <w:sz w:val="14"/>
              </w:rPr>
              <w:t>Other Assignments (by Resource/Object)</w:t>
            </w:r>
          </w:p>
        </w:tc>
        <w:tc>
          <w:tcPr>
            <w:tcW w:w="1102" w:type="dxa"/>
          </w:tcPr>
          <w:p>
            <w:pPr>
              <w:pStyle w:val="TableParagraph"/>
              <w:rPr>
                <w:sz w:val="16"/>
              </w:rPr>
            </w:pPr>
          </w:p>
          <w:p>
            <w:pPr>
              <w:pStyle w:val="TableParagraph"/>
              <w:spacing w:before="112"/>
              <w:ind w:left="50"/>
              <w:rPr>
                <w:sz w:val="14"/>
              </w:rPr>
            </w:pPr>
            <w:r>
              <w:rPr>
                <w:w w:val="105"/>
                <w:sz w:val="14"/>
              </w:rPr>
              <w:t>9780</w:t>
            </w:r>
          </w:p>
        </w:tc>
        <w:tc>
          <w:tcPr>
            <w:tcW w:w="1691" w:type="dxa"/>
          </w:tcPr>
          <w:p>
            <w:pPr>
              <w:pStyle w:val="TableParagraph"/>
              <w:rPr>
                <w:sz w:val="16"/>
              </w:rPr>
            </w:pPr>
          </w:p>
          <w:p>
            <w:pPr>
              <w:pStyle w:val="TableParagraph"/>
              <w:spacing w:before="112"/>
              <w:ind w:right="596"/>
              <w:jc w:val="right"/>
              <w:rPr>
                <w:sz w:val="14"/>
              </w:rPr>
            </w:pPr>
            <w:r>
              <w:rPr>
                <w:sz w:val="14"/>
              </w:rPr>
              <w:t>20.00</w:t>
            </w:r>
          </w:p>
        </w:tc>
        <w:tc>
          <w:tcPr>
            <w:tcW w:w="1005" w:type="dxa"/>
          </w:tcPr>
          <w:p>
            <w:pPr>
              <w:pStyle w:val="TableParagraph"/>
              <w:rPr>
                <w:sz w:val="16"/>
              </w:rPr>
            </w:pPr>
          </w:p>
          <w:p>
            <w:pPr>
              <w:pStyle w:val="TableParagraph"/>
              <w:spacing w:before="112"/>
              <w:ind w:right="39"/>
              <w:jc w:val="right"/>
              <w:rPr>
                <w:sz w:val="14"/>
              </w:rPr>
            </w:pPr>
            <w:r>
              <w:rPr>
                <w:sz w:val="14"/>
              </w:rPr>
              <w:t>20.00</w:t>
            </w:r>
          </w:p>
        </w:tc>
        <w:tc>
          <w:tcPr>
            <w:tcW w:w="1653" w:type="dxa"/>
          </w:tcPr>
          <w:p>
            <w:pPr>
              <w:pStyle w:val="TableParagraph"/>
              <w:rPr>
                <w:sz w:val="16"/>
              </w:rPr>
            </w:pPr>
          </w:p>
          <w:p>
            <w:pPr>
              <w:pStyle w:val="TableParagraph"/>
              <w:spacing w:before="112"/>
              <w:ind w:right="80"/>
              <w:jc w:val="right"/>
              <w:rPr>
                <w:sz w:val="14"/>
              </w:rPr>
            </w:pPr>
            <w:r>
              <w:rPr>
                <w:sz w:val="14"/>
              </w:rPr>
              <w:t>0.0%</w:t>
            </w:r>
          </w:p>
        </w:tc>
      </w:tr>
      <w:tr>
        <w:trPr>
          <w:trHeight w:val="295" w:hRule="atLeast"/>
        </w:trPr>
        <w:tc>
          <w:tcPr>
            <w:tcW w:w="9321" w:type="dxa"/>
            <w:gridSpan w:val="4"/>
          </w:tcPr>
          <w:p>
            <w:pPr>
              <w:pStyle w:val="TableParagraph"/>
              <w:spacing w:before="94"/>
              <w:ind w:left="214"/>
              <w:rPr>
                <w:sz w:val="14"/>
              </w:rPr>
            </w:pPr>
            <w:r>
              <w:rPr>
                <w:w w:val="105"/>
                <w:sz w:val="14"/>
              </w:rPr>
              <w:t>e) Unassigned/Unappropriated</w:t>
            </w:r>
          </w:p>
        </w:tc>
        <w:tc>
          <w:tcPr>
            <w:tcW w:w="1653" w:type="dxa"/>
            <w:shd w:val="clear" w:color="auto" w:fill="DFDFDF"/>
          </w:tcPr>
          <w:p>
            <w:pPr>
              <w:pStyle w:val="TableParagraph"/>
              <w:rPr>
                <w:rFonts w:ascii="Times New Roman"/>
                <w:sz w:val="14"/>
              </w:rPr>
            </w:pPr>
          </w:p>
        </w:tc>
      </w:tr>
      <w:tr>
        <w:trPr>
          <w:trHeight w:val="262" w:hRule="atLeast"/>
        </w:trPr>
        <w:tc>
          <w:tcPr>
            <w:tcW w:w="5523" w:type="dxa"/>
          </w:tcPr>
          <w:p>
            <w:pPr>
              <w:pStyle w:val="TableParagraph"/>
              <w:spacing w:before="1"/>
              <w:ind w:left="377"/>
              <w:rPr>
                <w:sz w:val="14"/>
              </w:rPr>
            </w:pPr>
            <w:r>
              <w:rPr>
                <w:w w:val="105"/>
                <w:sz w:val="14"/>
              </w:rPr>
              <w:t>Reserve for Economic Uncertainties</w:t>
            </w:r>
          </w:p>
        </w:tc>
        <w:tc>
          <w:tcPr>
            <w:tcW w:w="1102" w:type="dxa"/>
          </w:tcPr>
          <w:p>
            <w:pPr>
              <w:pStyle w:val="TableParagraph"/>
              <w:spacing w:before="1"/>
              <w:ind w:left="50"/>
              <w:rPr>
                <w:sz w:val="14"/>
              </w:rPr>
            </w:pPr>
            <w:r>
              <w:rPr>
                <w:w w:val="105"/>
                <w:sz w:val="14"/>
              </w:rPr>
              <w:t>9789</w:t>
            </w:r>
          </w:p>
        </w:tc>
        <w:tc>
          <w:tcPr>
            <w:tcW w:w="1691" w:type="dxa"/>
          </w:tcPr>
          <w:p>
            <w:pPr>
              <w:pStyle w:val="TableParagraph"/>
              <w:spacing w:before="1"/>
              <w:ind w:right="596"/>
              <w:jc w:val="right"/>
              <w:rPr>
                <w:sz w:val="14"/>
              </w:rPr>
            </w:pPr>
            <w:r>
              <w:rPr>
                <w:sz w:val="14"/>
              </w:rPr>
              <w:t>0.00</w:t>
            </w:r>
          </w:p>
        </w:tc>
        <w:tc>
          <w:tcPr>
            <w:tcW w:w="1005" w:type="dxa"/>
          </w:tcPr>
          <w:p>
            <w:pPr>
              <w:pStyle w:val="TableParagraph"/>
              <w:spacing w:before="1"/>
              <w:ind w:right="40"/>
              <w:jc w:val="right"/>
              <w:rPr>
                <w:sz w:val="14"/>
              </w:rPr>
            </w:pPr>
            <w:r>
              <w:rPr>
                <w:sz w:val="14"/>
              </w:rPr>
              <w:t>0.00</w:t>
            </w:r>
          </w:p>
        </w:tc>
        <w:tc>
          <w:tcPr>
            <w:tcW w:w="1653" w:type="dxa"/>
          </w:tcPr>
          <w:p>
            <w:pPr>
              <w:pStyle w:val="TableParagraph"/>
              <w:spacing w:before="1"/>
              <w:ind w:right="80"/>
              <w:jc w:val="right"/>
              <w:rPr>
                <w:sz w:val="14"/>
              </w:rPr>
            </w:pPr>
            <w:r>
              <w:rPr>
                <w:sz w:val="14"/>
              </w:rPr>
              <w:t>0.0%</w:t>
            </w:r>
          </w:p>
        </w:tc>
      </w:tr>
      <w:tr>
        <w:trPr>
          <w:trHeight w:val="262" w:hRule="atLeast"/>
        </w:trPr>
        <w:tc>
          <w:tcPr>
            <w:tcW w:w="5523" w:type="dxa"/>
          </w:tcPr>
          <w:p>
            <w:pPr>
              <w:pStyle w:val="TableParagraph"/>
              <w:spacing w:line="142" w:lineRule="exact" w:before="100"/>
              <w:ind w:left="377"/>
              <w:rPr>
                <w:sz w:val="14"/>
              </w:rPr>
            </w:pPr>
            <w:r>
              <w:rPr>
                <w:w w:val="105"/>
                <w:sz w:val="14"/>
              </w:rPr>
              <w:t>Unassigned/Unappropriated Amount</w:t>
            </w:r>
          </w:p>
        </w:tc>
        <w:tc>
          <w:tcPr>
            <w:tcW w:w="1102" w:type="dxa"/>
          </w:tcPr>
          <w:p>
            <w:pPr>
              <w:pStyle w:val="TableParagraph"/>
              <w:spacing w:line="142" w:lineRule="exact" w:before="100"/>
              <w:ind w:left="50"/>
              <w:rPr>
                <w:sz w:val="14"/>
              </w:rPr>
            </w:pPr>
            <w:r>
              <w:rPr>
                <w:w w:val="105"/>
                <w:sz w:val="14"/>
              </w:rPr>
              <w:t>9790</w:t>
            </w:r>
          </w:p>
        </w:tc>
        <w:tc>
          <w:tcPr>
            <w:tcW w:w="1691" w:type="dxa"/>
          </w:tcPr>
          <w:p>
            <w:pPr>
              <w:pStyle w:val="TableParagraph"/>
              <w:spacing w:line="142" w:lineRule="exact" w:before="100"/>
              <w:ind w:right="596"/>
              <w:jc w:val="right"/>
              <w:rPr>
                <w:sz w:val="14"/>
              </w:rPr>
            </w:pPr>
            <w:r>
              <w:rPr>
                <w:sz w:val="14"/>
              </w:rPr>
              <w:t>0.00</w:t>
            </w:r>
          </w:p>
        </w:tc>
        <w:tc>
          <w:tcPr>
            <w:tcW w:w="1005" w:type="dxa"/>
          </w:tcPr>
          <w:p>
            <w:pPr>
              <w:pStyle w:val="TableParagraph"/>
              <w:spacing w:line="142" w:lineRule="exact" w:before="100"/>
              <w:ind w:right="40"/>
              <w:jc w:val="right"/>
              <w:rPr>
                <w:sz w:val="14"/>
              </w:rPr>
            </w:pPr>
            <w:r>
              <w:rPr>
                <w:sz w:val="14"/>
              </w:rPr>
              <w:t>0.00</w:t>
            </w:r>
          </w:p>
        </w:tc>
        <w:tc>
          <w:tcPr>
            <w:tcW w:w="1653" w:type="dxa"/>
          </w:tcPr>
          <w:p>
            <w:pPr>
              <w:pStyle w:val="TableParagraph"/>
              <w:spacing w:line="142" w:lineRule="exact" w:before="100"/>
              <w:ind w:right="80"/>
              <w:jc w:val="right"/>
              <w:rPr>
                <w:sz w:val="14"/>
              </w:rPr>
            </w:pPr>
            <w:r>
              <w:rPr>
                <w:sz w:val="14"/>
              </w:rPr>
              <w:t>0.0%</w:t>
            </w:r>
          </w:p>
        </w:tc>
      </w:tr>
    </w:tbl>
    <w:p>
      <w:pPr>
        <w:spacing w:after="0" w:line="142" w:lineRule="exact"/>
        <w:jc w:val="right"/>
        <w:rPr>
          <w:sz w:val="14"/>
        </w:rPr>
        <w:sectPr>
          <w:headerReference w:type="default" r:id="rId951"/>
          <w:footerReference w:type="default" r:id="rId952"/>
          <w:pgSz w:w="12240" w:h="15840"/>
          <w:pgMar w:header="673" w:footer="451" w:top="1280" w:bottom="640" w:left="160" w:right="180"/>
        </w:sectPr>
      </w:pPr>
    </w:p>
    <w:p>
      <w:pPr>
        <w:pStyle w:val="BodyText"/>
        <w:spacing w:before="1"/>
        <w:rPr>
          <w:sz w:val="21"/>
        </w:rPr>
      </w:pPr>
    </w:p>
    <w:p>
      <w:pPr>
        <w:spacing w:line="230" w:lineRule="auto" w:before="0"/>
        <w:ind w:left="735" w:right="3" w:firstLine="0"/>
        <w:jc w:val="left"/>
        <w:rPr>
          <w:sz w:val="15"/>
        </w:rPr>
      </w:pPr>
      <w:r>
        <w:rPr>
          <w:sz w:val="15"/>
        </w:rPr>
        <w:t>Winship-Robbins Elementary Sutter County</w:t>
      </w:r>
    </w:p>
    <w:p>
      <w:pPr>
        <w:spacing w:line="169" w:lineRule="exact" w:before="71"/>
        <w:ind w:left="1353" w:right="657" w:firstLine="0"/>
        <w:jc w:val="center"/>
        <w:rPr>
          <w:sz w:val="15"/>
        </w:rPr>
      </w:pPr>
      <w:r>
        <w:rPr/>
        <w:br w:type="column"/>
      </w:r>
      <w:r>
        <w:rPr>
          <w:sz w:val="15"/>
        </w:rPr>
        <w:t>July 1 Budget</w:t>
      </w:r>
    </w:p>
    <w:p>
      <w:pPr>
        <w:spacing w:line="230" w:lineRule="auto" w:before="2"/>
        <w:ind w:left="735" w:right="38" w:firstLine="3"/>
        <w:jc w:val="center"/>
        <w:rPr>
          <w:sz w:val="15"/>
        </w:rPr>
      </w:pPr>
      <w:r>
        <w:rPr>
          <w:sz w:val="15"/>
        </w:rPr>
        <w:t>County School Facilities Fund Exhibit:</w:t>
      </w:r>
      <w:r>
        <w:rPr>
          <w:spacing w:val="-14"/>
          <w:sz w:val="15"/>
        </w:rPr>
        <w:t> </w:t>
      </w:r>
      <w:r>
        <w:rPr>
          <w:sz w:val="15"/>
        </w:rPr>
        <w:t>Restricted</w:t>
      </w:r>
      <w:r>
        <w:rPr>
          <w:spacing w:val="-14"/>
          <w:sz w:val="15"/>
        </w:rPr>
        <w:t> </w:t>
      </w:r>
      <w:r>
        <w:rPr>
          <w:sz w:val="15"/>
        </w:rPr>
        <w:t>Balance</w:t>
      </w:r>
      <w:r>
        <w:rPr>
          <w:spacing w:val="-14"/>
          <w:sz w:val="15"/>
        </w:rPr>
        <w:t> </w:t>
      </w:r>
      <w:r>
        <w:rPr>
          <w:sz w:val="15"/>
        </w:rPr>
        <w:t>Detail</w:t>
      </w:r>
    </w:p>
    <w:p>
      <w:pPr>
        <w:pStyle w:val="BodyText"/>
        <w:spacing w:before="6"/>
        <w:rPr>
          <w:sz w:val="20"/>
        </w:rPr>
      </w:pPr>
      <w:r>
        <w:rPr/>
        <w:br w:type="column"/>
      </w:r>
      <w:r>
        <w:rPr>
          <w:sz w:val="20"/>
        </w:rPr>
      </w:r>
    </w:p>
    <w:p>
      <w:pPr>
        <w:spacing w:line="169" w:lineRule="exact" w:before="1"/>
        <w:ind w:left="0" w:right="715" w:firstLine="0"/>
        <w:jc w:val="right"/>
        <w:rPr>
          <w:sz w:val="15"/>
        </w:rPr>
      </w:pPr>
      <w:r>
        <w:rPr>
          <w:sz w:val="15"/>
        </w:rPr>
        <w:t>51 71456</w:t>
      </w:r>
      <w:r>
        <w:rPr>
          <w:spacing w:val="-30"/>
          <w:sz w:val="15"/>
        </w:rPr>
        <w:t> </w:t>
      </w:r>
      <w:r>
        <w:rPr>
          <w:sz w:val="15"/>
        </w:rPr>
        <w:t>0000000</w:t>
      </w:r>
    </w:p>
    <w:p>
      <w:pPr>
        <w:spacing w:line="169" w:lineRule="exact" w:before="0"/>
        <w:ind w:left="0" w:right="714" w:firstLine="0"/>
        <w:jc w:val="right"/>
        <w:rPr>
          <w:sz w:val="15"/>
        </w:rPr>
      </w:pPr>
      <w:r>
        <w:rPr>
          <w:sz w:val="15"/>
        </w:rPr>
        <w:t>Form</w:t>
      </w:r>
      <w:r>
        <w:rPr>
          <w:spacing w:val="-7"/>
          <w:sz w:val="15"/>
        </w:rPr>
        <w:t> </w:t>
      </w:r>
      <w:r>
        <w:rPr>
          <w:sz w:val="15"/>
        </w:rPr>
        <w:t>35</w:t>
      </w:r>
    </w:p>
    <w:p>
      <w:pPr>
        <w:spacing w:after="0" w:line="169" w:lineRule="exact"/>
        <w:jc w:val="right"/>
        <w:rPr>
          <w:sz w:val="15"/>
        </w:rPr>
        <w:sectPr>
          <w:headerReference w:type="default" r:id="rId953"/>
          <w:footerReference w:type="default" r:id="rId954"/>
          <w:pgSz w:w="12240" w:h="15840"/>
          <w:pgMar w:header="0" w:footer="0" w:top="520" w:bottom="280" w:left="160" w:right="180"/>
          <w:cols w:num="3" w:equalWidth="0">
            <w:col w:w="2693" w:space="1438"/>
            <w:col w:w="2959" w:space="2133"/>
            <w:col w:w="2677"/>
          </w:cols>
        </w:sectPr>
      </w:pPr>
    </w:p>
    <w:p>
      <w:pPr>
        <w:pStyle w:val="BodyText"/>
        <w:spacing w:before="6" w:after="1"/>
        <w:rPr>
          <w:sz w:val="23"/>
        </w:rPr>
      </w:pPr>
    </w:p>
    <w:tbl>
      <w:tblPr>
        <w:tblW w:w="0" w:type="auto"/>
        <w:jc w:val="left"/>
        <w:tblInd w:w="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90"/>
        <w:gridCol w:w="3222"/>
        <w:gridCol w:w="3851"/>
        <w:gridCol w:w="987"/>
      </w:tblGrid>
      <w:tr>
        <w:trPr>
          <w:trHeight w:val="220" w:hRule="atLeast"/>
        </w:trPr>
        <w:tc>
          <w:tcPr>
            <w:tcW w:w="4312" w:type="dxa"/>
            <w:gridSpan w:val="2"/>
          </w:tcPr>
          <w:p>
            <w:pPr>
              <w:pStyle w:val="TableParagraph"/>
              <w:rPr>
                <w:rFonts w:ascii="Times New Roman"/>
                <w:sz w:val="14"/>
              </w:rPr>
            </w:pPr>
          </w:p>
        </w:tc>
        <w:tc>
          <w:tcPr>
            <w:tcW w:w="3851" w:type="dxa"/>
          </w:tcPr>
          <w:p>
            <w:pPr>
              <w:pStyle w:val="TableParagraph"/>
              <w:spacing w:line="200" w:lineRule="exact"/>
              <w:ind w:left="1946" w:right="255"/>
              <w:jc w:val="center"/>
              <w:rPr>
                <w:b/>
                <w:sz w:val="18"/>
              </w:rPr>
            </w:pPr>
            <w:r>
              <w:rPr>
                <w:b/>
                <w:sz w:val="18"/>
              </w:rPr>
              <w:t>2020-21</w:t>
            </w:r>
          </w:p>
        </w:tc>
        <w:tc>
          <w:tcPr>
            <w:tcW w:w="987" w:type="dxa"/>
          </w:tcPr>
          <w:p>
            <w:pPr>
              <w:pStyle w:val="TableParagraph"/>
              <w:spacing w:line="200" w:lineRule="exact"/>
              <w:ind w:right="45"/>
              <w:jc w:val="right"/>
              <w:rPr>
                <w:b/>
                <w:sz w:val="18"/>
              </w:rPr>
            </w:pPr>
            <w:r>
              <w:rPr>
                <w:b/>
                <w:sz w:val="18"/>
              </w:rPr>
              <w:t>2021-22</w:t>
            </w:r>
          </w:p>
        </w:tc>
      </w:tr>
      <w:tr>
        <w:trPr>
          <w:trHeight w:val="220" w:hRule="atLeast"/>
        </w:trPr>
        <w:tc>
          <w:tcPr>
            <w:tcW w:w="1090" w:type="dxa"/>
          </w:tcPr>
          <w:p>
            <w:pPr>
              <w:pStyle w:val="TableParagraph"/>
              <w:spacing w:line="187" w:lineRule="exact" w:before="13"/>
              <w:ind w:left="50"/>
              <w:rPr>
                <w:b/>
                <w:sz w:val="18"/>
              </w:rPr>
            </w:pPr>
            <w:r>
              <w:rPr>
                <w:b/>
                <w:sz w:val="18"/>
              </w:rPr>
              <w:t>Resource</w:t>
            </w:r>
          </w:p>
        </w:tc>
        <w:tc>
          <w:tcPr>
            <w:tcW w:w="3222" w:type="dxa"/>
          </w:tcPr>
          <w:p>
            <w:pPr>
              <w:pStyle w:val="TableParagraph"/>
              <w:spacing w:line="187" w:lineRule="exact" w:before="13"/>
              <w:ind w:left="212"/>
              <w:rPr>
                <w:b/>
                <w:sz w:val="18"/>
              </w:rPr>
            </w:pPr>
            <w:r>
              <w:rPr>
                <w:b/>
                <w:sz w:val="18"/>
              </w:rPr>
              <w:t>Description</w:t>
            </w:r>
          </w:p>
        </w:tc>
        <w:tc>
          <w:tcPr>
            <w:tcW w:w="3851" w:type="dxa"/>
          </w:tcPr>
          <w:p>
            <w:pPr>
              <w:pStyle w:val="TableParagraph"/>
              <w:spacing w:line="187" w:lineRule="exact" w:before="13"/>
              <w:ind w:left="1995" w:right="255"/>
              <w:jc w:val="center"/>
              <w:rPr>
                <w:b/>
                <w:sz w:val="18"/>
              </w:rPr>
            </w:pPr>
            <w:r>
              <w:rPr>
                <w:b/>
                <w:sz w:val="18"/>
              </w:rPr>
              <w:t>Estimated Actuals</w:t>
            </w:r>
          </w:p>
        </w:tc>
        <w:tc>
          <w:tcPr>
            <w:tcW w:w="987" w:type="dxa"/>
          </w:tcPr>
          <w:p>
            <w:pPr>
              <w:pStyle w:val="TableParagraph"/>
              <w:spacing w:line="187" w:lineRule="exact" w:before="13"/>
              <w:ind w:right="66"/>
              <w:jc w:val="right"/>
              <w:rPr>
                <w:b/>
                <w:sz w:val="18"/>
              </w:rPr>
            </w:pPr>
            <w:r>
              <w:rPr>
                <w:b/>
                <w:sz w:val="18"/>
              </w:rPr>
              <w:t>Budget</w:t>
            </w:r>
          </w:p>
        </w:tc>
      </w:tr>
    </w:tbl>
    <w:p>
      <w:pPr>
        <w:pStyle w:val="BodyText"/>
        <w:spacing w:line="20" w:lineRule="exact"/>
        <w:ind w:left="1040"/>
        <w:rPr>
          <w:sz w:val="2"/>
        </w:rPr>
      </w:pPr>
      <w:r>
        <w:rPr>
          <w:sz w:val="2"/>
        </w:rPr>
        <w:drawing>
          <wp:inline distT="0" distB="0" distL="0" distR="0">
            <wp:extent cx="6123431" cy="4572"/>
            <wp:effectExtent l="0" t="0" r="0" b="0"/>
            <wp:docPr id="39" name="image865.png"/>
            <wp:cNvGraphicFramePr>
              <a:graphicFrameLocks noChangeAspect="1"/>
            </wp:cNvGraphicFramePr>
            <a:graphic>
              <a:graphicData uri="http://schemas.openxmlformats.org/drawingml/2006/picture">
                <pic:pic>
                  <pic:nvPicPr>
                    <pic:cNvPr id="40" name="image865.png"/>
                    <pic:cNvPicPr/>
                  </pic:nvPicPr>
                  <pic:blipFill>
                    <a:blip r:embed="rId922" cstate="print"/>
                    <a:stretch>
                      <a:fillRect/>
                    </a:stretch>
                  </pic:blipFill>
                  <pic:spPr>
                    <a:xfrm>
                      <a:off x="0" y="0"/>
                      <a:ext cx="6123431" cy="4572"/>
                    </a:xfrm>
                    <a:prstGeom prst="rect">
                      <a:avLst/>
                    </a:prstGeom>
                  </pic:spPr>
                </pic:pic>
              </a:graphicData>
            </a:graphic>
          </wp:inline>
        </w:drawing>
      </w:r>
      <w:r>
        <w:rPr>
          <w:sz w:val="2"/>
        </w:rPr>
      </w:r>
    </w:p>
    <w:p>
      <w:pPr>
        <w:pStyle w:val="BodyText"/>
        <w:rPr>
          <w:sz w:val="20"/>
        </w:rPr>
      </w:pPr>
    </w:p>
    <w:p>
      <w:pPr>
        <w:pStyle w:val="BodyText"/>
        <w:spacing w:before="9"/>
        <w:rPr>
          <w:sz w:val="11"/>
        </w:rPr>
      </w:pPr>
      <w:r>
        <w:rPr/>
        <w:drawing>
          <wp:anchor distT="0" distB="0" distL="0" distR="0" allowOverlap="1" layoutInCell="1" locked="0" behindDoc="0" simplePos="0" relativeHeight="509">
            <wp:simplePos x="0" y="0"/>
            <wp:positionH relativeFrom="page">
              <wp:posOffset>4738115</wp:posOffset>
            </wp:positionH>
            <wp:positionV relativeFrom="paragraph">
              <wp:posOffset>110896</wp:posOffset>
            </wp:positionV>
            <wp:extent cx="2147333" cy="4572"/>
            <wp:effectExtent l="0" t="0" r="0" b="0"/>
            <wp:wrapTopAndBottom/>
            <wp:docPr id="41" name="image866.png"/>
            <wp:cNvGraphicFramePr>
              <a:graphicFrameLocks noChangeAspect="1"/>
            </wp:cNvGraphicFramePr>
            <a:graphic>
              <a:graphicData uri="http://schemas.openxmlformats.org/drawingml/2006/picture">
                <pic:pic>
                  <pic:nvPicPr>
                    <pic:cNvPr id="42" name="image866.png"/>
                    <pic:cNvPicPr/>
                  </pic:nvPicPr>
                  <pic:blipFill>
                    <a:blip r:embed="rId923" cstate="print"/>
                    <a:stretch>
                      <a:fillRect/>
                    </a:stretch>
                  </pic:blipFill>
                  <pic:spPr>
                    <a:xfrm>
                      <a:off x="0" y="0"/>
                      <a:ext cx="2147333" cy="4572"/>
                    </a:xfrm>
                    <a:prstGeom prst="rect">
                      <a:avLst/>
                    </a:prstGeom>
                  </pic:spPr>
                </pic:pic>
              </a:graphicData>
            </a:graphic>
          </wp:anchor>
        </w:drawing>
      </w:r>
    </w:p>
    <w:p>
      <w:pPr>
        <w:tabs>
          <w:tab w:pos="8544" w:val="left" w:leader="none"/>
          <w:tab w:pos="10231" w:val="left" w:leader="none"/>
        </w:tabs>
        <w:spacing w:before="8"/>
        <w:ind w:left="1078" w:right="0" w:firstLine="0"/>
        <w:jc w:val="left"/>
        <w:rPr>
          <w:sz w:val="18"/>
        </w:rPr>
      </w:pPr>
      <w:r>
        <w:rPr>
          <w:sz w:val="18"/>
        </w:rPr>
        <w:t>Total,</w:t>
      </w:r>
      <w:r>
        <w:rPr>
          <w:spacing w:val="3"/>
          <w:sz w:val="18"/>
        </w:rPr>
        <w:t> </w:t>
      </w:r>
      <w:r>
        <w:rPr>
          <w:sz w:val="18"/>
        </w:rPr>
        <w:t>Restricted</w:t>
      </w:r>
      <w:r>
        <w:rPr>
          <w:spacing w:val="3"/>
          <w:sz w:val="18"/>
        </w:rPr>
        <w:t> </w:t>
      </w:r>
      <w:r>
        <w:rPr>
          <w:sz w:val="18"/>
        </w:rPr>
        <w:t>Balance</w:t>
        <w:tab/>
        <w:t>0.00</w:t>
        <w:tab/>
        <w:t>0.00</w:t>
      </w:r>
    </w:p>
    <w:p>
      <w:pPr>
        <w:pStyle w:val="BodyText"/>
        <w:spacing w:line="20" w:lineRule="exact"/>
        <w:ind w:left="7301"/>
        <w:rPr>
          <w:sz w:val="2"/>
        </w:rPr>
      </w:pPr>
      <w:r>
        <w:rPr>
          <w:sz w:val="2"/>
        </w:rPr>
        <w:drawing>
          <wp:inline distT="0" distB="0" distL="0" distR="0">
            <wp:extent cx="2147333" cy="4572"/>
            <wp:effectExtent l="0" t="0" r="0" b="0"/>
            <wp:docPr id="43" name="image866.png"/>
            <wp:cNvGraphicFramePr>
              <a:graphicFrameLocks noChangeAspect="1"/>
            </wp:cNvGraphicFramePr>
            <a:graphic>
              <a:graphicData uri="http://schemas.openxmlformats.org/drawingml/2006/picture">
                <pic:pic>
                  <pic:nvPicPr>
                    <pic:cNvPr id="44" name="image866.png"/>
                    <pic:cNvPicPr/>
                  </pic:nvPicPr>
                  <pic:blipFill>
                    <a:blip r:embed="rId923" cstate="print"/>
                    <a:stretch>
                      <a:fillRect/>
                    </a:stretch>
                  </pic:blipFill>
                  <pic:spPr>
                    <a:xfrm>
                      <a:off x="0" y="0"/>
                      <a:ext cx="2147333" cy="4572"/>
                    </a:xfrm>
                    <a:prstGeom prst="rect">
                      <a:avLst/>
                    </a:prstGeom>
                  </pic:spPr>
                </pic:pic>
              </a:graphicData>
            </a:graphic>
          </wp:inline>
        </w:drawing>
      </w:r>
      <w:r>
        <w:rPr>
          <w:sz w:val="2"/>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4"/>
        </w:rPr>
      </w:pPr>
    </w:p>
    <w:p>
      <w:pPr>
        <w:spacing w:line="169" w:lineRule="exact" w:before="0"/>
        <w:ind w:left="735" w:right="0" w:firstLine="0"/>
        <w:jc w:val="left"/>
        <w:rPr>
          <w:sz w:val="15"/>
        </w:rPr>
      </w:pPr>
      <w:r>
        <w:rPr>
          <w:sz w:val="15"/>
        </w:rPr>
        <w:t>California Dept of Education</w:t>
      </w:r>
    </w:p>
    <w:p>
      <w:pPr>
        <w:spacing w:line="166" w:lineRule="exact" w:before="0"/>
        <w:ind w:left="735" w:right="0" w:firstLine="0"/>
        <w:jc w:val="left"/>
        <w:rPr>
          <w:sz w:val="15"/>
        </w:rPr>
      </w:pPr>
      <w:r>
        <w:rPr>
          <w:sz w:val="15"/>
        </w:rPr>
        <w:t>SACS Financial Reporting Software - 2021.1.0</w:t>
      </w:r>
    </w:p>
    <w:p>
      <w:pPr>
        <w:tabs>
          <w:tab w:pos="5723" w:val="left" w:leader="none"/>
          <w:tab w:pos="9310" w:val="left" w:leader="none"/>
        </w:tabs>
        <w:spacing w:line="169" w:lineRule="exact" w:before="0"/>
        <w:ind w:left="735" w:right="0" w:firstLine="0"/>
        <w:jc w:val="left"/>
        <w:rPr>
          <w:sz w:val="15"/>
        </w:rPr>
      </w:pPr>
      <w:r>
        <w:rPr>
          <w:sz w:val="15"/>
        </w:rPr>
        <w:t>File: fund-d</w:t>
      </w:r>
      <w:r>
        <w:rPr>
          <w:spacing w:val="-16"/>
          <w:sz w:val="15"/>
        </w:rPr>
        <w:t> </w:t>
      </w:r>
      <w:r>
        <w:rPr>
          <w:sz w:val="15"/>
        </w:rPr>
        <w:t>(Rev</w:t>
      </w:r>
      <w:r>
        <w:rPr>
          <w:spacing w:val="-7"/>
          <w:sz w:val="15"/>
        </w:rPr>
        <w:t> </w:t>
      </w:r>
      <w:r>
        <w:rPr>
          <w:sz w:val="15"/>
        </w:rPr>
        <w:t>04/17/2019)</w:t>
        <w:tab/>
        <w:t>Page</w:t>
      </w:r>
      <w:r>
        <w:rPr>
          <w:spacing w:val="-5"/>
          <w:sz w:val="15"/>
        </w:rPr>
        <w:t> </w:t>
      </w:r>
      <w:r>
        <w:rPr>
          <w:sz w:val="15"/>
        </w:rPr>
        <w:t>1</w:t>
        <w:tab/>
        <w:t>Printed: 6/4/2021 10:08</w:t>
      </w:r>
      <w:r>
        <w:rPr>
          <w:spacing w:val="-16"/>
          <w:sz w:val="15"/>
        </w:rPr>
        <w:t> </w:t>
      </w:r>
      <w:r>
        <w:rPr>
          <w:sz w:val="15"/>
        </w:rPr>
        <w:t>AM</w:t>
      </w:r>
    </w:p>
    <w:p>
      <w:pPr>
        <w:spacing w:after="0" w:line="169" w:lineRule="exact"/>
        <w:jc w:val="left"/>
        <w:rPr>
          <w:sz w:val="15"/>
        </w:rPr>
        <w:sectPr>
          <w:type w:val="continuous"/>
          <w:pgSz w:w="12240" w:h="15840"/>
          <w:pgMar w:top="1500" w:bottom="840" w:left="160" w:right="180"/>
        </w:sectPr>
      </w:pPr>
    </w:p>
    <w:p>
      <w:pPr>
        <w:pStyle w:val="BodyText"/>
        <w:spacing w:before="7"/>
        <w:rPr>
          <w:sz w:val="20"/>
        </w:rPr>
      </w:pPr>
    </w:p>
    <w:p>
      <w:pPr>
        <w:spacing w:line="230" w:lineRule="auto" w:before="0"/>
        <w:ind w:left="639" w:right="3" w:firstLine="0"/>
        <w:jc w:val="left"/>
        <w:rPr>
          <w:sz w:val="15"/>
        </w:rPr>
      </w:pPr>
      <w:bookmarkStart w:name="FORM A" w:id="12"/>
      <w:bookmarkEnd w:id="12"/>
      <w:r>
        <w:rPr/>
      </w:r>
      <w:r>
        <w:rPr>
          <w:sz w:val="15"/>
        </w:rPr>
        <w:t>Winship-Robbins Elementary Sutter County</w:t>
      </w:r>
    </w:p>
    <w:p>
      <w:pPr>
        <w:spacing w:line="169" w:lineRule="exact" w:before="66"/>
        <w:ind w:left="1020" w:right="0" w:firstLine="0"/>
        <w:jc w:val="left"/>
        <w:rPr>
          <w:sz w:val="15"/>
        </w:rPr>
      </w:pPr>
      <w:r>
        <w:rPr/>
        <w:br w:type="column"/>
      </w:r>
      <w:r>
        <w:rPr>
          <w:sz w:val="15"/>
        </w:rPr>
        <w:t>2021-22 July 1 Budget</w:t>
      </w:r>
    </w:p>
    <w:p>
      <w:pPr>
        <w:tabs>
          <w:tab w:pos="7076" w:val="right" w:leader="none"/>
        </w:tabs>
        <w:spacing w:line="166" w:lineRule="exact" w:before="0"/>
        <w:ind w:left="639" w:right="0" w:firstLine="0"/>
        <w:jc w:val="left"/>
        <w:rPr>
          <w:sz w:val="15"/>
        </w:rPr>
      </w:pPr>
      <w:r>
        <w:rPr>
          <w:sz w:val="15"/>
        </w:rPr>
        <w:t>AVERAGE</w:t>
      </w:r>
      <w:r>
        <w:rPr>
          <w:spacing w:val="-10"/>
          <w:sz w:val="15"/>
        </w:rPr>
        <w:t> </w:t>
      </w:r>
      <w:r>
        <w:rPr>
          <w:sz w:val="15"/>
        </w:rPr>
        <w:t>DAILY</w:t>
      </w:r>
      <w:r>
        <w:rPr>
          <w:spacing w:val="-13"/>
          <w:sz w:val="15"/>
        </w:rPr>
        <w:t> </w:t>
      </w:r>
      <w:r>
        <w:rPr>
          <w:sz w:val="15"/>
        </w:rPr>
        <w:t>ATTENDANCE</w:t>
        <w:tab/>
        <w:t>51 71456</w:t>
      </w:r>
      <w:r>
        <w:rPr>
          <w:spacing w:val="-28"/>
          <w:sz w:val="15"/>
        </w:rPr>
        <w:t> </w:t>
      </w:r>
      <w:r>
        <w:rPr>
          <w:sz w:val="15"/>
        </w:rPr>
        <w:t>0000000</w:t>
      </w:r>
    </w:p>
    <w:p>
      <w:pPr>
        <w:spacing w:line="169" w:lineRule="exact" w:before="0"/>
        <w:ind w:left="6588" w:right="0" w:firstLine="0"/>
        <w:jc w:val="left"/>
        <w:rPr>
          <w:sz w:val="15"/>
        </w:rPr>
      </w:pPr>
      <w:r>
        <w:rPr/>
        <w:pict>
          <v:group style="position:absolute;margin-left:46.560001pt;margin-top:9.62278pt;width:518.8pt;height:437.65pt;mso-position-horizontal-relative:page;mso-position-vertical-relative:paragraph;z-index:-314185728" coordorigin="931,192" coordsize="10376,8753">
            <v:shape style="position:absolute;left:931;top:192;width:10376;height:238" type="#_x0000_t75" stroked="false">
              <v:imagedata r:id="rId957" o:title=""/>
            </v:shape>
            <v:shape style="position:absolute;left:8001;top:192;width:3305;height:600" type="#_x0000_t75" stroked="false">
              <v:imagedata r:id="rId958" o:title=""/>
            </v:shape>
            <v:shape style="position:absolute;left:931;top:422;width:10376;height:2064" type="#_x0000_t75" stroked="false">
              <v:imagedata r:id="rId959" o:title=""/>
            </v:shape>
            <v:shape style="position:absolute;left:4718;top:2294;width:6588;height:1520" type="#_x0000_t75" stroked="false">
              <v:imagedata r:id="rId960" o:title=""/>
            </v:shape>
            <v:shape style="position:absolute;left:4718;top:3622;width:6588;height:1330" type="#_x0000_t75" stroked="false">
              <v:imagedata r:id="rId961" o:title=""/>
            </v:shape>
            <v:shape style="position:absolute;left:4718;top:4759;width:6588;height:572" type="#_x0000_t75" stroked="false">
              <v:imagedata r:id="rId962" o:title=""/>
            </v:shape>
            <v:shape style="position:absolute;left:4718;top:5138;width:6588;height:572" type="#_x0000_t75" stroked="false">
              <v:imagedata r:id="rId963" o:title=""/>
            </v:shape>
            <v:shape style="position:absolute;left:4718;top:5518;width:6588;height:576" type="#_x0000_t75" stroked="false">
              <v:imagedata r:id="rId964" o:title=""/>
            </v:shape>
            <v:shape style="position:absolute;left:4718;top:5897;width:6588;height:382" type="#_x0000_t75" stroked="false">
              <v:imagedata r:id="rId965" o:title=""/>
            </v:shape>
            <v:shape style="position:absolute;left:4718;top:6086;width:6588;height:951" type="#_x0000_t75" stroked="false">
              <v:imagedata r:id="rId966" o:title=""/>
            </v:shape>
            <v:shape style="position:absolute;left:931;top:2484;width:3802;height:6461" type="#_x0000_t75" stroked="false">
              <v:imagedata r:id="rId967" o:title=""/>
            </v:shape>
            <v:shape style="position:absolute;left:4718;top:6845;width:6588;height:572" type="#_x0000_t75" stroked="false">
              <v:imagedata r:id="rId962" o:title=""/>
            </v:shape>
            <v:shape style="position:absolute;left:4718;top:7224;width:6588;height:572" type="#_x0000_t75" stroked="false">
              <v:imagedata r:id="rId962" o:title=""/>
            </v:shape>
            <v:shape style="position:absolute;left:4718;top:7603;width:6588;height:572" type="#_x0000_t75" stroked="false">
              <v:imagedata r:id="rId962" o:title=""/>
            </v:shape>
            <v:shape style="position:absolute;left:4718;top:7982;width:6588;height:387" type="#_x0000_t75" stroked="false">
              <v:imagedata r:id="rId968" o:title=""/>
            </v:shape>
            <v:rect style="position:absolute;left:4730;top:8366;width:1095;height:190" filled="true" fillcolor="#bfbfbf" stroked="false">
              <v:fill type="solid"/>
            </v:rect>
            <v:shape style="position:absolute;left:5820;top:8362;width:8;height:192" type="#_x0000_t75" stroked="false">
              <v:imagedata r:id="rId969" o:title=""/>
            </v:shape>
            <v:rect style="position:absolute;left:5824;top:8366;width:1095;height:190" filled="true" fillcolor="#bfbfbf" stroked="false">
              <v:fill type="solid"/>
            </v:rect>
            <v:shape style="position:absolute;left:6914;top:8362;width:8;height:192" type="#_x0000_t75" stroked="false">
              <v:imagedata r:id="rId969" o:title=""/>
            </v:shape>
            <v:rect style="position:absolute;left:6919;top:8366;width:1095;height:190" filled="true" fillcolor="#bfbfbf" stroked="false">
              <v:fill type="solid"/>
            </v:rect>
            <v:shape style="position:absolute;left:8001;top:8362;width:22;height:192" type="#_x0000_t75" stroked="false">
              <v:imagedata r:id="rId970" o:title=""/>
            </v:shape>
            <v:shape style="position:absolute;left:8013;top:8366;width:2189;height:190" coordorigin="8014,8367" coordsize="2189,190" path="m10202,8367l9108,8367,8014,8367,8014,8556,9108,8556,10202,8556,10202,8367e" filled="true" fillcolor="#bfbfbf" stroked="false">
              <v:path arrowok="t"/>
              <v:fill type="solid"/>
            </v:shape>
            <v:shape style="position:absolute;left:10197;top:8362;width:8;height:192" type="#_x0000_t75" stroked="false">
              <v:imagedata r:id="rId969" o:title=""/>
            </v:shape>
            <v:rect style="position:absolute;left:10202;top:8366;width:1095;height:190" filled="true" fillcolor="#bfbfbf" stroked="false">
              <v:fill type="solid"/>
            </v:rect>
            <v:shape style="position:absolute;left:5820;top:8362;width:8;height:382" type="#_x0000_t75" stroked="false">
              <v:imagedata r:id="rId971" o:title=""/>
            </v:shape>
            <v:shape style="position:absolute;left:8001;top:8362;width:22;height:382" type="#_x0000_t75" stroked="false">
              <v:imagedata r:id="rId972" o:title=""/>
            </v:shape>
            <v:shape style="position:absolute;left:10197;top:8362;width:8;height:382" type="#_x0000_t75" stroked="false">
              <v:imagedata r:id="rId971" o:title=""/>
            </v:shape>
            <v:shape style="position:absolute;left:4730;top:8556;width:2189;height:190" coordorigin="4730,8556" coordsize="2189,190" path="m6919,8556l5825,8556,4730,8556,4730,8746,5825,8746,6919,8746,6919,8556e" filled="true" fillcolor="#bfbfbf" stroked="false">
              <v:path arrowok="t"/>
              <v:fill type="solid"/>
            </v:shape>
            <v:shape style="position:absolute;left:6914;top:8551;width:8;height:192" type="#_x0000_t75" stroked="false">
              <v:imagedata r:id="rId973" o:title=""/>
            </v:shape>
            <v:shape style="position:absolute;left:6919;top:8556;width:4378;height:190" coordorigin="6919,8556" coordsize="4378,190" path="m11297,8556l10202,8556,9108,8556,8014,8556,6919,8556,6919,8746,8014,8746,9108,8746,10202,8746,11297,8746,11297,8556e" filled="true" fillcolor="#bfbfbf" stroked="false">
              <v:path arrowok="t"/>
              <v:fill type="solid"/>
            </v:shape>
            <v:shape style="position:absolute;left:4718;top:8362;width:1109;height:584" type="#_x0000_t75" stroked="false">
              <v:imagedata r:id="rId974" o:title=""/>
            </v:shape>
            <v:shape style="position:absolute;left:4730;top:8746;width:2189;height:190" coordorigin="4730,8746" coordsize="2189,190" path="m6919,8746l5825,8746,4730,8746,4730,8936,5825,8936,6919,8936,6919,8746e" filled="true" fillcolor="#bfbfbf" stroked="false">
              <v:path arrowok="t"/>
              <v:fill type="solid"/>
            </v:shape>
            <v:shape style="position:absolute;left:6914;top:8551;width:1109;height:394" type="#_x0000_t75" stroked="false">
              <v:imagedata r:id="rId975" o:title=""/>
            </v:shape>
            <v:shape style="position:absolute;left:5820;top:8741;width:1102;height:204" type="#_x0000_t75" stroked="false">
              <v:imagedata r:id="rId976" o:title=""/>
            </v:shape>
            <v:rect style="position:absolute;left:6919;top:8746;width:1095;height:190" filled="true" fillcolor="#bfbfbf" stroked="false">
              <v:fill type="solid"/>
            </v:rect>
            <v:shape style="position:absolute;left:9103;top:8362;width:1102;height:584" type="#_x0000_t75" stroked="false">
              <v:imagedata r:id="rId977" o:title=""/>
            </v:shape>
            <v:shape style="position:absolute;left:10197;top:8362;width:1109;height:584" type="#_x0000_t75" stroked="false">
              <v:imagedata r:id="rId978" o:title=""/>
            </v:shape>
            <v:shape style="position:absolute;left:8001;top:8741;width:1109;height:204" type="#_x0000_t75" stroked="false">
              <v:imagedata r:id="rId979" o:title=""/>
            </v:shape>
            <v:shape style="position:absolute;left:9108;top:8746;width:2189;height:190" coordorigin="9108,8746" coordsize="2189,190" path="m11297,8746l10202,8746,9108,8746,9108,8936,10202,8936,11297,8936,11297,8746e" filled="true" fillcolor="#bfbfbf" stroked="false">
              <v:path arrowok="t"/>
              <v:fill type="solid"/>
            </v:shape>
            <w10:wrap type="none"/>
          </v:group>
        </w:pict>
      </w:r>
      <w:r>
        <w:rPr>
          <w:sz w:val="15"/>
        </w:rPr>
        <w:t>Form</w:t>
      </w:r>
      <w:r>
        <w:rPr>
          <w:spacing w:val="-5"/>
          <w:sz w:val="15"/>
        </w:rPr>
        <w:t> </w:t>
      </w:r>
      <w:r>
        <w:rPr>
          <w:sz w:val="15"/>
        </w:rPr>
        <w:t>A</w:t>
      </w:r>
    </w:p>
    <w:p>
      <w:pPr>
        <w:tabs>
          <w:tab w:pos="4635" w:val="left" w:leader="none"/>
        </w:tabs>
        <w:spacing w:before="54"/>
        <w:ind w:left="1014" w:right="0" w:firstLine="0"/>
        <w:jc w:val="left"/>
        <w:rPr>
          <w:b/>
          <w:sz w:val="17"/>
        </w:rPr>
      </w:pPr>
      <w:r>
        <w:rPr/>
        <w:pict>
          <v:shape style="position:absolute;margin-left:450pt;margin-top:2.649306pt;width:65.4pt;height:9.950pt;mso-position-horizontal-relative:page;mso-position-vertical-relative:paragraph;z-index:-314186752" type="#_x0000_t202" filled="false" stroked="false">
            <v:textbox inset="0,0,0,0">
              <w:txbxContent>
                <w:p>
                  <w:pPr>
                    <w:spacing w:before="1"/>
                    <w:ind w:left="0" w:right="0" w:firstLine="0"/>
                    <w:jc w:val="left"/>
                    <w:rPr>
                      <w:b/>
                      <w:sz w:val="17"/>
                    </w:rPr>
                  </w:pPr>
                  <w:r>
                    <w:rPr>
                      <w:b/>
                      <w:w w:val="105"/>
                      <w:sz w:val="17"/>
                    </w:rPr>
                    <w:t>2021-22 </w:t>
                  </w:r>
                  <w:r>
                    <w:rPr>
                      <w:b/>
                      <w:spacing w:val="-4"/>
                      <w:w w:val="105"/>
                      <w:sz w:val="17"/>
                    </w:rPr>
                    <w:t>Budget</w:t>
                  </w:r>
                </w:p>
              </w:txbxContent>
            </v:textbox>
            <w10:wrap type="none"/>
          </v:shape>
        </w:pict>
      </w:r>
      <w:r>
        <w:rPr>
          <w:b/>
          <w:w w:val="105"/>
          <w:sz w:val="17"/>
        </w:rPr>
        <w:t>2020-21</w:t>
      </w:r>
      <w:r>
        <w:rPr>
          <w:b/>
          <w:spacing w:val="-6"/>
          <w:w w:val="105"/>
          <w:sz w:val="17"/>
        </w:rPr>
        <w:t> </w:t>
      </w:r>
      <w:r>
        <w:rPr>
          <w:b/>
          <w:w w:val="105"/>
          <w:sz w:val="17"/>
        </w:rPr>
        <w:t>Estimated</w:t>
      </w:r>
      <w:r>
        <w:rPr>
          <w:b/>
          <w:spacing w:val="-6"/>
          <w:w w:val="105"/>
          <w:sz w:val="17"/>
        </w:rPr>
        <w:t> </w:t>
      </w:r>
      <w:r>
        <w:rPr>
          <w:b/>
          <w:w w:val="105"/>
          <w:sz w:val="17"/>
        </w:rPr>
        <w:t>Actuals</w:t>
        <w:tab/>
        <w:t>2021-22</w:t>
      </w:r>
      <w:r>
        <w:rPr>
          <w:b/>
          <w:spacing w:val="-1"/>
          <w:w w:val="105"/>
          <w:sz w:val="17"/>
        </w:rPr>
        <w:t> </w:t>
      </w:r>
      <w:r>
        <w:rPr>
          <w:b/>
          <w:w w:val="105"/>
          <w:sz w:val="17"/>
        </w:rPr>
        <w:t>Budget</w:t>
      </w:r>
    </w:p>
    <w:p>
      <w:pPr>
        <w:spacing w:after="0"/>
        <w:jc w:val="left"/>
        <w:rPr>
          <w:sz w:val="17"/>
        </w:rPr>
        <w:sectPr>
          <w:headerReference w:type="default" r:id="rId955"/>
          <w:footerReference w:type="default" r:id="rId956"/>
          <w:pgSz w:w="12240" w:h="15840"/>
          <w:pgMar w:header="0" w:footer="0" w:top="460" w:bottom="280" w:left="160" w:right="180"/>
          <w:cols w:num="2" w:equalWidth="0">
            <w:col w:w="2597" w:space="1608"/>
            <w:col w:w="7695"/>
          </w:cols>
        </w:sectPr>
      </w:pPr>
    </w:p>
    <w:p>
      <w:pPr>
        <w:tabs>
          <w:tab w:pos="4824" w:val="left" w:leader="none"/>
          <w:tab w:pos="5784" w:val="left" w:leader="none"/>
          <w:tab w:pos="6859" w:val="left" w:leader="none"/>
        </w:tabs>
        <w:spacing w:before="188"/>
        <w:ind w:left="812" w:right="0" w:firstLine="0"/>
        <w:jc w:val="left"/>
        <w:rPr>
          <w:b/>
          <w:sz w:val="15"/>
        </w:rPr>
      </w:pPr>
      <w:r>
        <w:rPr>
          <w:b/>
          <w:sz w:val="16"/>
        </w:rPr>
        <w:t>Description</w:t>
        <w:tab/>
      </w:r>
      <w:r>
        <w:rPr>
          <w:b/>
          <w:sz w:val="15"/>
        </w:rPr>
        <w:t>P-2</w:t>
      </w:r>
      <w:r>
        <w:rPr>
          <w:b/>
          <w:spacing w:val="-6"/>
          <w:sz w:val="15"/>
        </w:rPr>
        <w:t> </w:t>
      </w:r>
      <w:r>
        <w:rPr>
          <w:b/>
          <w:sz w:val="15"/>
        </w:rPr>
        <w:t>ADA</w:t>
        <w:tab/>
        <w:t>Annual</w:t>
      </w:r>
      <w:r>
        <w:rPr>
          <w:b/>
          <w:spacing w:val="-6"/>
          <w:sz w:val="15"/>
        </w:rPr>
        <w:t> </w:t>
      </w:r>
      <w:r>
        <w:rPr>
          <w:b/>
          <w:sz w:val="15"/>
        </w:rPr>
        <w:t>ADA</w:t>
        <w:tab/>
        <w:t>Funded</w:t>
      </w:r>
      <w:r>
        <w:rPr>
          <w:b/>
          <w:spacing w:val="-5"/>
          <w:sz w:val="15"/>
        </w:rPr>
        <w:t> </w:t>
      </w:r>
      <w:r>
        <w:rPr>
          <w:b/>
          <w:spacing w:val="-8"/>
          <w:sz w:val="15"/>
        </w:rPr>
        <w:t>ADA</w:t>
      </w:r>
    </w:p>
    <w:p>
      <w:pPr>
        <w:spacing w:before="25"/>
        <w:ind w:left="453" w:right="-10" w:hanging="334"/>
        <w:jc w:val="left"/>
        <w:rPr>
          <w:b/>
          <w:sz w:val="15"/>
        </w:rPr>
      </w:pPr>
      <w:r>
        <w:rPr/>
        <w:br w:type="column"/>
      </w:r>
      <w:r>
        <w:rPr>
          <w:b/>
          <w:sz w:val="15"/>
        </w:rPr>
        <w:t>Estimated </w:t>
      </w:r>
      <w:r>
        <w:rPr>
          <w:b/>
          <w:spacing w:val="-7"/>
          <w:sz w:val="15"/>
        </w:rPr>
        <w:t>P-2 </w:t>
      </w:r>
      <w:r>
        <w:rPr>
          <w:b/>
          <w:sz w:val="15"/>
        </w:rPr>
        <w:t>ADA</w:t>
      </w:r>
    </w:p>
    <w:p>
      <w:pPr>
        <w:spacing w:before="25"/>
        <w:ind w:left="137" w:right="-12" w:firstLine="74"/>
        <w:jc w:val="left"/>
        <w:rPr>
          <w:b/>
          <w:sz w:val="15"/>
        </w:rPr>
      </w:pPr>
      <w:r>
        <w:rPr/>
        <w:br w:type="column"/>
      </w:r>
      <w:r>
        <w:rPr>
          <w:b/>
          <w:sz w:val="15"/>
        </w:rPr>
        <w:t>Estimated Annual </w:t>
      </w:r>
      <w:r>
        <w:rPr>
          <w:b/>
          <w:spacing w:val="-8"/>
          <w:sz w:val="15"/>
        </w:rPr>
        <w:t>ADA</w:t>
      </w:r>
    </w:p>
    <w:p>
      <w:pPr>
        <w:spacing w:before="25"/>
        <w:ind w:left="176" w:right="421" w:firstLine="93"/>
        <w:jc w:val="left"/>
        <w:rPr>
          <w:b/>
          <w:sz w:val="15"/>
        </w:rPr>
      </w:pPr>
      <w:r>
        <w:rPr/>
        <w:br w:type="column"/>
      </w:r>
      <w:r>
        <w:rPr>
          <w:b/>
          <w:sz w:val="15"/>
        </w:rPr>
        <w:t>Estimated Funded ADA</w:t>
      </w:r>
    </w:p>
    <w:p>
      <w:pPr>
        <w:spacing w:after="0"/>
        <w:jc w:val="left"/>
        <w:rPr>
          <w:sz w:val="15"/>
        </w:rPr>
        <w:sectPr>
          <w:type w:val="continuous"/>
          <w:pgSz w:w="12240" w:h="15840"/>
          <w:pgMar w:top="1500" w:bottom="840" w:left="160" w:right="180"/>
          <w:cols w:num="4" w:equalWidth="0">
            <w:col w:w="7757" w:space="40"/>
            <w:col w:w="1100" w:space="39"/>
            <w:col w:w="996" w:space="39"/>
            <w:col w:w="1929"/>
          </w:cols>
        </w:sectPr>
      </w:pPr>
    </w:p>
    <w:p>
      <w:pPr>
        <w:pStyle w:val="BodyText"/>
        <w:spacing w:before="8"/>
        <w:rPr>
          <w:b/>
          <w:sz w:val="16"/>
        </w:rPr>
      </w:pPr>
    </w:p>
    <w:p>
      <w:pPr>
        <w:spacing w:before="1"/>
        <w:ind w:left="812" w:right="0" w:firstLine="0"/>
        <w:jc w:val="left"/>
        <w:rPr>
          <w:b/>
          <w:sz w:val="15"/>
        </w:rPr>
      </w:pPr>
      <w:r>
        <w:rPr>
          <w:b/>
          <w:sz w:val="15"/>
        </w:rPr>
        <w:t>A. DISTRICT</w:t>
      </w:r>
    </w:p>
    <w:p>
      <w:pPr>
        <w:pStyle w:val="ListParagraph"/>
        <w:numPr>
          <w:ilvl w:val="1"/>
          <w:numId w:val="40"/>
        </w:numPr>
        <w:tabs>
          <w:tab w:pos="1057" w:val="left" w:leader="none"/>
        </w:tabs>
        <w:spacing w:line="240" w:lineRule="auto" w:before="17" w:after="0"/>
        <w:ind w:left="1056" w:right="0" w:hanging="205"/>
        <w:jc w:val="left"/>
        <w:rPr>
          <w:b/>
          <w:sz w:val="15"/>
        </w:rPr>
      </w:pPr>
      <w:r>
        <w:rPr>
          <w:b/>
          <w:sz w:val="15"/>
        </w:rPr>
        <w:t>Total District Regular</w:t>
      </w:r>
      <w:r>
        <w:rPr>
          <w:b/>
          <w:spacing w:val="-6"/>
          <w:sz w:val="15"/>
        </w:rPr>
        <w:t> </w:t>
      </w:r>
      <w:r>
        <w:rPr>
          <w:b/>
          <w:sz w:val="15"/>
        </w:rPr>
        <w:t>ADA</w:t>
      </w:r>
    </w:p>
    <w:p>
      <w:pPr>
        <w:pStyle w:val="Heading7"/>
        <w:spacing w:line="264" w:lineRule="auto" w:before="22"/>
        <w:ind w:left="1056" w:right="8037"/>
      </w:pPr>
      <w:r>
        <w:rPr/>
        <w:t>Includes Opportunity Classes, Home &amp; Hospital, Special Day Class, Continuation Education, Special Education NPS/LCI and Extended Year, and Community Day School (includes Necessary Small School</w:t>
      </w:r>
    </w:p>
    <w:p>
      <w:pPr>
        <w:tabs>
          <w:tab w:pos="5134" w:val="left" w:leader="none"/>
          <w:tab w:pos="6228" w:val="left" w:leader="none"/>
          <w:tab w:pos="7323" w:val="left" w:leader="none"/>
          <w:tab w:pos="8417" w:val="left" w:leader="none"/>
          <w:tab w:pos="9511" w:val="left" w:leader="none"/>
          <w:tab w:pos="10606" w:val="left" w:leader="none"/>
        </w:tabs>
        <w:spacing w:line="172" w:lineRule="exact" w:before="0"/>
        <w:ind w:left="1015" w:right="0" w:firstLine="0"/>
        <w:jc w:val="left"/>
        <w:rPr>
          <w:sz w:val="15"/>
        </w:rPr>
      </w:pPr>
      <w:r>
        <w:rPr>
          <w:sz w:val="15"/>
        </w:rPr>
        <w:t>ADA)</w:t>
        <w:tab/>
        <w:t>113.57</w:t>
        <w:tab/>
        <w:t>113.57</w:t>
        <w:tab/>
        <w:t>113.57</w:t>
        <w:tab/>
        <w:t>113.57</w:t>
        <w:tab/>
        <w:t>113.57</w:t>
        <w:tab/>
        <w:t>113.57</w:t>
      </w:r>
    </w:p>
    <w:p>
      <w:pPr>
        <w:pStyle w:val="ListParagraph"/>
        <w:numPr>
          <w:ilvl w:val="1"/>
          <w:numId w:val="40"/>
        </w:numPr>
        <w:tabs>
          <w:tab w:pos="1057" w:val="left" w:leader="none"/>
        </w:tabs>
        <w:spacing w:line="264" w:lineRule="auto" w:before="12" w:after="0"/>
        <w:ind w:left="1015" w:right="8117" w:hanging="164"/>
        <w:jc w:val="left"/>
        <w:rPr>
          <w:sz w:val="15"/>
        </w:rPr>
      </w:pPr>
      <w:r>
        <w:rPr/>
        <w:tab/>
      </w:r>
      <w:r>
        <w:rPr>
          <w:b/>
          <w:sz w:val="15"/>
        </w:rPr>
        <w:t>Total Basic </w:t>
      </w:r>
      <w:r>
        <w:rPr>
          <w:b/>
          <w:spacing w:val="-2"/>
          <w:sz w:val="15"/>
        </w:rPr>
        <w:t>Aid </w:t>
      </w:r>
      <w:r>
        <w:rPr>
          <w:b/>
          <w:sz w:val="15"/>
        </w:rPr>
        <w:t>Choice/Court Ordered Voluntary Pupil Transfer Regular ADA </w:t>
      </w:r>
      <w:r>
        <w:rPr>
          <w:sz w:val="15"/>
        </w:rPr>
        <w:t>Includes Opportunity Classes, Home &amp; Hospital,</w:t>
      </w:r>
      <w:r>
        <w:rPr>
          <w:spacing w:val="-10"/>
          <w:sz w:val="15"/>
        </w:rPr>
        <w:t> </w:t>
      </w:r>
      <w:r>
        <w:rPr>
          <w:sz w:val="15"/>
        </w:rPr>
        <w:t>Special</w:t>
      </w:r>
      <w:r>
        <w:rPr>
          <w:spacing w:val="-8"/>
          <w:sz w:val="15"/>
        </w:rPr>
        <w:t> </w:t>
      </w:r>
      <w:r>
        <w:rPr>
          <w:sz w:val="15"/>
        </w:rPr>
        <w:t>Day</w:t>
      </w:r>
      <w:r>
        <w:rPr>
          <w:spacing w:val="-14"/>
          <w:sz w:val="15"/>
        </w:rPr>
        <w:t> </w:t>
      </w:r>
      <w:r>
        <w:rPr>
          <w:sz w:val="15"/>
        </w:rPr>
        <w:t>Class,</w:t>
      </w:r>
      <w:r>
        <w:rPr>
          <w:spacing w:val="-10"/>
          <w:sz w:val="15"/>
        </w:rPr>
        <w:t> </w:t>
      </w:r>
      <w:r>
        <w:rPr>
          <w:sz w:val="15"/>
        </w:rPr>
        <w:t>Continuation Education, Special Education NPS/LCI and</w:t>
      </w:r>
      <w:r>
        <w:rPr>
          <w:spacing w:val="-9"/>
          <w:sz w:val="15"/>
        </w:rPr>
        <w:t> </w:t>
      </w:r>
      <w:r>
        <w:rPr>
          <w:sz w:val="15"/>
        </w:rPr>
        <w:t>Extended</w:t>
      </w:r>
      <w:r>
        <w:rPr>
          <w:spacing w:val="-8"/>
          <w:sz w:val="15"/>
        </w:rPr>
        <w:t> </w:t>
      </w:r>
      <w:r>
        <w:rPr>
          <w:sz w:val="15"/>
        </w:rPr>
        <w:t>Year,</w:t>
      </w:r>
      <w:r>
        <w:rPr>
          <w:spacing w:val="-8"/>
          <w:sz w:val="15"/>
        </w:rPr>
        <w:t> </w:t>
      </w:r>
      <w:r>
        <w:rPr>
          <w:sz w:val="15"/>
        </w:rPr>
        <w:t>and</w:t>
      </w:r>
      <w:r>
        <w:rPr>
          <w:spacing w:val="-9"/>
          <w:sz w:val="15"/>
        </w:rPr>
        <w:t> </w:t>
      </w:r>
      <w:r>
        <w:rPr>
          <w:sz w:val="15"/>
        </w:rPr>
        <w:t>Community</w:t>
      </w:r>
      <w:r>
        <w:rPr>
          <w:spacing w:val="-11"/>
          <w:sz w:val="15"/>
        </w:rPr>
        <w:t> </w:t>
      </w:r>
      <w:r>
        <w:rPr>
          <w:sz w:val="15"/>
        </w:rPr>
        <w:t>Day</w:t>
      </w:r>
    </w:p>
    <w:p>
      <w:pPr>
        <w:pStyle w:val="Heading7"/>
        <w:tabs>
          <w:tab w:pos="5297" w:val="left" w:leader="none"/>
          <w:tab w:pos="6391" w:val="left" w:leader="none"/>
          <w:tab w:pos="7486" w:val="left" w:leader="none"/>
          <w:tab w:pos="8580" w:val="left" w:leader="none"/>
          <w:tab w:pos="9675" w:val="left" w:leader="none"/>
          <w:tab w:pos="10769" w:val="left" w:leader="none"/>
        </w:tabs>
        <w:spacing w:before="4"/>
        <w:ind w:left="1056"/>
      </w:pPr>
      <w:r>
        <w:rPr/>
        <w:t>School</w:t>
      </w:r>
      <w:r>
        <w:rPr>
          <w:spacing w:val="-7"/>
        </w:rPr>
        <w:t> </w:t>
      </w:r>
      <w:r>
        <w:rPr/>
        <w:t>(ADA</w:t>
      </w:r>
      <w:r>
        <w:rPr>
          <w:spacing w:val="-6"/>
        </w:rPr>
        <w:t> </w:t>
      </w:r>
      <w:r>
        <w:rPr/>
        <w:t>not</w:t>
      </w:r>
      <w:r>
        <w:rPr>
          <w:spacing w:val="-6"/>
        </w:rPr>
        <w:t> </w:t>
      </w:r>
      <w:r>
        <w:rPr/>
        <w:t>included</w:t>
      </w:r>
      <w:r>
        <w:rPr>
          <w:spacing w:val="-7"/>
        </w:rPr>
        <w:t> </w:t>
      </w:r>
      <w:r>
        <w:rPr/>
        <w:t>in</w:t>
      </w:r>
      <w:r>
        <w:rPr>
          <w:spacing w:val="-8"/>
        </w:rPr>
        <w:t> </w:t>
      </w:r>
      <w:r>
        <w:rPr/>
        <w:t>Line</w:t>
      </w:r>
      <w:r>
        <w:rPr>
          <w:spacing w:val="-7"/>
        </w:rPr>
        <w:t> </w:t>
      </w:r>
      <w:r>
        <w:rPr/>
        <w:t>A1</w:t>
      </w:r>
      <w:r>
        <w:rPr>
          <w:spacing w:val="-6"/>
        </w:rPr>
        <w:t> </w:t>
      </w:r>
      <w:r>
        <w:rPr/>
        <w:t>above)</w:t>
        <w:tab/>
        <w:t>0.00</w:t>
        <w:tab/>
        <w:t>0.00</w:t>
        <w:tab/>
        <w:t>0.00</w:t>
        <w:tab/>
        <w:t>0.00</w:t>
        <w:tab/>
        <w:t>0.00</w:t>
        <w:tab/>
        <w:t>0.00</w:t>
      </w:r>
    </w:p>
    <w:p>
      <w:pPr>
        <w:pStyle w:val="ListParagraph"/>
        <w:numPr>
          <w:ilvl w:val="1"/>
          <w:numId w:val="40"/>
        </w:numPr>
        <w:tabs>
          <w:tab w:pos="1057" w:val="left" w:leader="none"/>
        </w:tabs>
        <w:spacing w:line="240" w:lineRule="auto" w:before="12" w:after="0"/>
        <w:ind w:left="1056" w:right="0" w:hanging="205"/>
        <w:jc w:val="left"/>
        <w:rPr>
          <w:b/>
          <w:sz w:val="15"/>
        </w:rPr>
      </w:pPr>
      <w:r>
        <w:rPr>
          <w:b/>
          <w:sz w:val="15"/>
        </w:rPr>
        <w:t>Total Basic </w:t>
      </w:r>
      <w:r>
        <w:rPr>
          <w:b/>
          <w:spacing w:val="-2"/>
          <w:sz w:val="15"/>
        </w:rPr>
        <w:t>Aid </w:t>
      </w:r>
      <w:r>
        <w:rPr>
          <w:b/>
          <w:sz w:val="15"/>
        </w:rPr>
        <w:t>Open Enrollment Regular</w:t>
      </w:r>
      <w:r>
        <w:rPr>
          <w:b/>
          <w:spacing w:val="-9"/>
          <w:sz w:val="15"/>
        </w:rPr>
        <w:t> </w:t>
      </w:r>
      <w:r>
        <w:rPr>
          <w:b/>
          <w:sz w:val="15"/>
        </w:rPr>
        <w:t>ADA</w:t>
      </w:r>
    </w:p>
    <w:p>
      <w:pPr>
        <w:spacing w:line="264" w:lineRule="auto" w:before="22"/>
        <w:ind w:left="1056" w:right="8055" w:firstLine="0"/>
        <w:jc w:val="left"/>
        <w:rPr>
          <w:sz w:val="15"/>
        </w:rPr>
      </w:pPr>
      <w:r>
        <w:rPr>
          <w:sz w:val="15"/>
        </w:rPr>
        <w:t>Includes Opportunity Classes, Home &amp; Hospital, Special Day Class, Continuation Education, Special Education NPS/LCI and Extended Year, and Community Day</w:t>
      </w:r>
    </w:p>
    <w:p>
      <w:pPr>
        <w:tabs>
          <w:tab w:pos="5297" w:val="left" w:leader="none"/>
          <w:tab w:pos="6391" w:val="left" w:leader="none"/>
          <w:tab w:pos="7486" w:val="left" w:leader="none"/>
          <w:tab w:pos="8580" w:val="left" w:leader="none"/>
          <w:tab w:pos="9675" w:val="left" w:leader="none"/>
          <w:tab w:pos="10769" w:val="left" w:leader="none"/>
        </w:tabs>
        <w:spacing w:line="172" w:lineRule="exact" w:before="0"/>
        <w:ind w:left="1056" w:right="0" w:firstLine="0"/>
        <w:jc w:val="left"/>
        <w:rPr>
          <w:sz w:val="15"/>
        </w:rPr>
      </w:pPr>
      <w:r>
        <w:rPr>
          <w:sz w:val="15"/>
        </w:rPr>
        <w:t>School</w:t>
      </w:r>
      <w:r>
        <w:rPr>
          <w:spacing w:val="-7"/>
          <w:sz w:val="15"/>
        </w:rPr>
        <w:t> </w:t>
      </w:r>
      <w:r>
        <w:rPr>
          <w:sz w:val="15"/>
        </w:rPr>
        <w:t>(ADA</w:t>
      </w:r>
      <w:r>
        <w:rPr>
          <w:spacing w:val="-6"/>
          <w:sz w:val="15"/>
        </w:rPr>
        <w:t> </w:t>
      </w:r>
      <w:r>
        <w:rPr>
          <w:sz w:val="15"/>
        </w:rPr>
        <w:t>not</w:t>
      </w:r>
      <w:r>
        <w:rPr>
          <w:spacing w:val="-6"/>
          <w:sz w:val="15"/>
        </w:rPr>
        <w:t> </w:t>
      </w:r>
      <w:r>
        <w:rPr>
          <w:sz w:val="15"/>
        </w:rPr>
        <w:t>included</w:t>
      </w:r>
      <w:r>
        <w:rPr>
          <w:spacing w:val="-7"/>
          <w:sz w:val="15"/>
        </w:rPr>
        <w:t> </w:t>
      </w:r>
      <w:r>
        <w:rPr>
          <w:sz w:val="15"/>
        </w:rPr>
        <w:t>in</w:t>
      </w:r>
      <w:r>
        <w:rPr>
          <w:spacing w:val="-8"/>
          <w:sz w:val="15"/>
        </w:rPr>
        <w:t> </w:t>
      </w:r>
      <w:r>
        <w:rPr>
          <w:sz w:val="15"/>
        </w:rPr>
        <w:t>Line</w:t>
      </w:r>
      <w:r>
        <w:rPr>
          <w:spacing w:val="-7"/>
          <w:sz w:val="15"/>
        </w:rPr>
        <w:t> </w:t>
      </w:r>
      <w:r>
        <w:rPr>
          <w:sz w:val="15"/>
        </w:rPr>
        <w:t>A1</w:t>
      </w:r>
      <w:r>
        <w:rPr>
          <w:spacing w:val="-6"/>
          <w:sz w:val="15"/>
        </w:rPr>
        <w:t> </w:t>
      </w:r>
      <w:r>
        <w:rPr>
          <w:sz w:val="15"/>
        </w:rPr>
        <w:t>above)</w:t>
        <w:tab/>
        <w:t>0.00</w:t>
        <w:tab/>
        <w:t>0.00</w:t>
        <w:tab/>
        <w:t>0.00</w:t>
        <w:tab/>
        <w:t>0.00</w:t>
        <w:tab/>
        <w:t>0.00</w:t>
        <w:tab/>
        <w:t>0.00</w:t>
      </w:r>
    </w:p>
    <w:p>
      <w:pPr>
        <w:pStyle w:val="ListParagraph"/>
        <w:numPr>
          <w:ilvl w:val="1"/>
          <w:numId w:val="40"/>
        </w:numPr>
        <w:tabs>
          <w:tab w:pos="1057" w:val="left" w:leader="none"/>
        </w:tabs>
        <w:spacing w:line="240" w:lineRule="auto" w:before="13" w:after="0"/>
        <w:ind w:left="1056" w:right="0" w:hanging="205"/>
        <w:jc w:val="left"/>
        <w:rPr>
          <w:b/>
          <w:sz w:val="15"/>
        </w:rPr>
      </w:pPr>
      <w:r>
        <w:rPr>
          <w:b/>
          <w:sz w:val="15"/>
        </w:rPr>
        <w:t>Total, District Regular</w:t>
      </w:r>
      <w:r>
        <w:rPr>
          <w:b/>
          <w:spacing w:val="-6"/>
          <w:sz w:val="15"/>
        </w:rPr>
        <w:t> </w:t>
      </w:r>
      <w:r>
        <w:rPr>
          <w:b/>
          <w:sz w:val="15"/>
        </w:rPr>
        <w:t>ADA</w:t>
      </w:r>
    </w:p>
    <w:p>
      <w:pPr>
        <w:tabs>
          <w:tab w:pos="5134" w:val="left" w:leader="none"/>
          <w:tab w:pos="6228" w:val="left" w:leader="none"/>
          <w:tab w:pos="7323" w:val="left" w:leader="none"/>
          <w:tab w:pos="8417" w:val="left" w:leader="none"/>
          <w:tab w:pos="9511" w:val="left" w:leader="none"/>
          <w:tab w:pos="10606" w:val="left" w:leader="none"/>
        </w:tabs>
        <w:spacing w:before="21"/>
        <w:ind w:left="1056" w:right="0" w:firstLine="0"/>
        <w:jc w:val="left"/>
        <w:rPr>
          <w:sz w:val="15"/>
        </w:rPr>
      </w:pPr>
      <w:r>
        <w:rPr>
          <w:b/>
          <w:sz w:val="15"/>
        </w:rPr>
        <w:t>(Sum of Lines A1</w:t>
      </w:r>
      <w:r>
        <w:rPr>
          <w:b/>
          <w:spacing w:val="-24"/>
          <w:sz w:val="15"/>
        </w:rPr>
        <w:t> </w:t>
      </w:r>
      <w:r>
        <w:rPr>
          <w:b/>
          <w:sz w:val="15"/>
        </w:rPr>
        <w:t>through</w:t>
      </w:r>
      <w:r>
        <w:rPr>
          <w:b/>
          <w:spacing w:val="-5"/>
          <w:sz w:val="15"/>
        </w:rPr>
        <w:t> </w:t>
      </w:r>
      <w:r>
        <w:rPr>
          <w:b/>
          <w:sz w:val="15"/>
        </w:rPr>
        <w:t>A3)</w:t>
        <w:tab/>
      </w:r>
      <w:r>
        <w:rPr>
          <w:sz w:val="15"/>
        </w:rPr>
        <w:t>113.57</w:t>
        <w:tab/>
        <w:t>113.57</w:t>
        <w:tab/>
        <w:t>113.57</w:t>
        <w:tab/>
        <w:t>113.57</w:t>
        <w:tab/>
        <w:t>113.57</w:t>
        <w:tab/>
        <w:t>113.57</w:t>
      </w:r>
    </w:p>
    <w:p>
      <w:pPr>
        <w:pStyle w:val="Heading6"/>
        <w:numPr>
          <w:ilvl w:val="1"/>
          <w:numId w:val="40"/>
        </w:numPr>
        <w:tabs>
          <w:tab w:pos="1057" w:val="left" w:leader="none"/>
        </w:tabs>
        <w:spacing w:line="240" w:lineRule="auto" w:before="13" w:after="0"/>
        <w:ind w:left="1056" w:right="0" w:hanging="205"/>
        <w:jc w:val="left"/>
      </w:pPr>
      <w:r>
        <w:rPr/>
        <w:t>District Funded County Program</w:t>
      </w:r>
      <w:r>
        <w:rPr>
          <w:spacing w:val="-6"/>
        </w:rPr>
        <w:t> </w:t>
      </w:r>
      <w:r>
        <w:rPr/>
        <w:t>ADA</w:t>
      </w:r>
    </w:p>
    <w:p>
      <w:pPr>
        <w:pStyle w:val="Heading7"/>
        <w:tabs>
          <w:tab w:pos="5297" w:val="left" w:leader="none"/>
          <w:tab w:pos="6391" w:val="left" w:leader="none"/>
          <w:tab w:pos="7486" w:val="left" w:leader="none"/>
          <w:tab w:pos="8580" w:val="left" w:leader="none"/>
          <w:tab w:pos="9675" w:val="left" w:leader="none"/>
          <w:tab w:pos="10769" w:val="left" w:leader="none"/>
        </w:tabs>
        <w:spacing w:before="22"/>
        <w:ind w:left="1056"/>
      </w:pPr>
      <w:r>
        <w:rPr/>
        <w:t>a.  County</w:t>
      </w:r>
      <w:r>
        <w:rPr>
          <w:spacing w:val="-23"/>
        </w:rPr>
        <w:t> </w:t>
      </w:r>
      <w:r>
        <w:rPr/>
        <w:t>Community</w:t>
      </w:r>
      <w:r>
        <w:rPr>
          <w:spacing w:val="-11"/>
        </w:rPr>
        <w:t> </w:t>
      </w:r>
      <w:r>
        <w:rPr/>
        <w:t>Schools</w:t>
        <w:tab/>
        <w:t>0.00</w:t>
        <w:tab/>
        <w:t>0.00</w:t>
        <w:tab/>
        <w:t>0.00</w:t>
        <w:tab/>
        <w:t>0.00</w:t>
        <w:tab/>
        <w:t>0.00</w:t>
        <w:tab/>
        <w:t>0.00</w:t>
      </w:r>
    </w:p>
    <w:p>
      <w:pPr>
        <w:tabs>
          <w:tab w:pos="5297" w:val="left" w:leader="none"/>
          <w:tab w:pos="6391" w:val="left" w:leader="none"/>
          <w:tab w:pos="7486" w:val="left" w:leader="none"/>
          <w:tab w:pos="8580" w:val="left" w:leader="none"/>
          <w:tab w:pos="9675" w:val="left" w:leader="none"/>
          <w:tab w:pos="10769" w:val="left" w:leader="none"/>
        </w:tabs>
        <w:spacing w:before="17"/>
        <w:ind w:left="1056" w:right="0" w:firstLine="0"/>
        <w:jc w:val="left"/>
        <w:rPr>
          <w:sz w:val="15"/>
        </w:rPr>
      </w:pPr>
      <w:r>
        <w:rPr>
          <w:sz w:val="15"/>
        </w:rPr>
        <w:t>b.  Special Education-Special</w:t>
      </w:r>
      <w:r>
        <w:rPr>
          <w:spacing w:val="-28"/>
          <w:sz w:val="15"/>
        </w:rPr>
        <w:t> </w:t>
      </w:r>
      <w:r>
        <w:rPr>
          <w:sz w:val="15"/>
        </w:rPr>
        <w:t>Day</w:t>
      </w:r>
      <w:r>
        <w:rPr>
          <w:spacing w:val="-12"/>
          <w:sz w:val="15"/>
        </w:rPr>
        <w:t> </w:t>
      </w:r>
      <w:r>
        <w:rPr>
          <w:sz w:val="15"/>
        </w:rPr>
        <w:t>Class</w:t>
        <w:tab/>
        <w:t>1.84</w:t>
        <w:tab/>
        <w:t>1.84</w:t>
        <w:tab/>
        <w:t>1.84</w:t>
        <w:tab/>
        <w:t>1.84</w:t>
        <w:tab/>
        <w:t>1.84</w:t>
        <w:tab/>
        <w:t>1.84</w:t>
      </w:r>
    </w:p>
    <w:p>
      <w:pPr>
        <w:tabs>
          <w:tab w:pos="5297" w:val="left" w:leader="none"/>
          <w:tab w:pos="6391" w:val="left" w:leader="none"/>
          <w:tab w:pos="7486" w:val="left" w:leader="none"/>
          <w:tab w:pos="8580" w:val="left" w:leader="none"/>
          <w:tab w:pos="9675" w:val="left" w:leader="none"/>
          <w:tab w:pos="10769" w:val="left" w:leader="none"/>
        </w:tabs>
        <w:spacing w:before="17"/>
        <w:ind w:left="1056" w:right="0" w:firstLine="0"/>
        <w:jc w:val="left"/>
        <w:rPr>
          <w:sz w:val="15"/>
        </w:rPr>
      </w:pPr>
      <w:r>
        <w:rPr>
          <w:sz w:val="15"/>
        </w:rPr>
        <w:t>c.</w:t>
      </w:r>
      <w:r>
        <w:rPr>
          <w:spacing w:val="26"/>
          <w:sz w:val="15"/>
        </w:rPr>
        <w:t> </w:t>
      </w:r>
      <w:r>
        <w:rPr>
          <w:sz w:val="15"/>
        </w:rPr>
        <w:t>Special</w:t>
      </w:r>
      <w:r>
        <w:rPr>
          <w:spacing w:val="-8"/>
          <w:sz w:val="15"/>
        </w:rPr>
        <w:t> </w:t>
      </w:r>
      <w:r>
        <w:rPr>
          <w:sz w:val="15"/>
        </w:rPr>
        <w:t>Education-NPS/LCI</w:t>
        <w:tab/>
        <w:t>0.00</w:t>
        <w:tab/>
        <w:t>0.00</w:t>
        <w:tab/>
        <w:t>0.00</w:t>
        <w:tab/>
        <w:t>0.00</w:t>
        <w:tab/>
        <w:t>0.00</w:t>
        <w:tab/>
        <w:t>0.00</w:t>
      </w:r>
    </w:p>
    <w:p>
      <w:pPr>
        <w:pStyle w:val="ListParagraph"/>
        <w:numPr>
          <w:ilvl w:val="0"/>
          <w:numId w:val="42"/>
        </w:numPr>
        <w:tabs>
          <w:tab w:pos="1261" w:val="left" w:leader="none"/>
          <w:tab w:pos="5297" w:val="left" w:leader="none"/>
          <w:tab w:pos="6391" w:val="left" w:leader="none"/>
          <w:tab w:pos="7486" w:val="left" w:leader="none"/>
          <w:tab w:pos="8580" w:val="left" w:leader="none"/>
          <w:tab w:pos="9675" w:val="left" w:leader="none"/>
          <w:tab w:pos="10769" w:val="left" w:leader="none"/>
        </w:tabs>
        <w:spacing w:line="240" w:lineRule="auto" w:before="17" w:after="0"/>
        <w:ind w:left="1260" w:right="0" w:hanging="205"/>
        <w:jc w:val="left"/>
        <w:rPr>
          <w:sz w:val="15"/>
        </w:rPr>
      </w:pPr>
      <w:r>
        <w:rPr>
          <w:sz w:val="15"/>
        </w:rPr>
        <w:t>Special Education</w:t>
      </w:r>
      <w:r>
        <w:rPr>
          <w:spacing w:val="-22"/>
          <w:sz w:val="15"/>
        </w:rPr>
        <w:t> </w:t>
      </w:r>
      <w:r>
        <w:rPr>
          <w:sz w:val="15"/>
        </w:rPr>
        <w:t>Extended</w:t>
      </w:r>
      <w:r>
        <w:rPr>
          <w:spacing w:val="-12"/>
          <w:sz w:val="15"/>
        </w:rPr>
        <w:t> </w:t>
      </w:r>
      <w:r>
        <w:rPr>
          <w:sz w:val="15"/>
        </w:rPr>
        <w:t>Year</w:t>
        <w:tab/>
        <w:t>0.00</w:t>
        <w:tab/>
        <w:t>0.00</w:t>
        <w:tab/>
        <w:t>0.00</w:t>
        <w:tab/>
        <w:t>0.00</w:t>
        <w:tab/>
        <w:t>0.00</w:t>
        <w:tab/>
        <w:t>0.00</w:t>
      </w:r>
    </w:p>
    <w:p>
      <w:pPr>
        <w:pStyle w:val="ListParagraph"/>
        <w:numPr>
          <w:ilvl w:val="0"/>
          <w:numId w:val="42"/>
        </w:numPr>
        <w:tabs>
          <w:tab w:pos="1261" w:val="left" w:leader="none"/>
        </w:tabs>
        <w:spacing w:line="264" w:lineRule="auto" w:before="17" w:after="0"/>
        <w:ind w:left="1260" w:right="7730" w:hanging="204"/>
        <w:jc w:val="left"/>
        <w:rPr>
          <w:sz w:val="15"/>
        </w:rPr>
      </w:pPr>
      <w:r>
        <w:rPr>
          <w:sz w:val="15"/>
        </w:rPr>
        <w:t>Other County Operated Programs: Opportunity Schools and Full Day Opportunity</w:t>
      </w:r>
      <w:r>
        <w:rPr>
          <w:spacing w:val="-21"/>
          <w:sz w:val="15"/>
        </w:rPr>
        <w:t> </w:t>
      </w:r>
      <w:r>
        <w:rPr>
          <w:sz w:val="15"/>
        </w:rPr>
        <w:t>Classes,</w:t>
      </w:r>
      <w:r>
        <w:rPr>
          <w:spacing w:val="-17"/>
          <w:sz w:val="15"/>
        </w:rPr>
        <w:t> </w:t>
      </w:r>
      <w:r>
        <w:rPr>
          <w:sz w:val="15"/>
        </w:rPr>
        <w:t>Specialized</w:t>
      </w:r>
      <w:r>
        <w:rPr>
          <w:spacing w:val="-19"/>
          <w:sz w:val="15"/>
        </w:rPr>
        <w:t> </w:t>
      </w:r>
      <w:r>
        <w:rPr>
          <w:sz w:val="15"/>
        </w:rPr>
        <w:t>Secondary</w:t>
      </w:r>
    </w:p>
    <w:p>
      <w:pPr>
        <w:tabs>
          <w:tab w:pos="5297" w:val="left" w:leader="none"/>
          <w:tab w:pos="6391" w:val="left" w:leader="none"/>
          <w:tab w:pos="7486" w:val="left" w:leader="none"/>
          <w:tab w:pos="8580" w:val="left" w:leader="none"/>
          <w:tab w:pos="9675" w:val="left" w:leader="none"/>
          <w:tab w:pos="10769" w:val="left" w:leader="none"/>
        </w:tabs>
        <w:spacing w:line="172" w:lineRule="exact" w:before="0"/>
        <w:ind w:left="1260" w:right="0" w:firstLine="0"/>
        <w:jc w:val="left"/>
        <w:rPr>
          <w:sz w:val="15"/>
        </w:rPr>
      </w:pPr>
      <w:r>
        <w:rPr>
          <w:sz w:val="15"/>
        </w:rPr>
        <w:t>Schools</w:t>
        <w:tab/>
        <w:t>0.00</w:t>
        <w:tab/>
        <w:t>0.00</w:t>
        <w:tab/>
        <w:t>0.00</w:t>
        <w:tab/>
        <w:t>0.00</w:t>
        <w:tab/>
        <w:t>0.00</w:t>
        <w:tab/>
        <w:t>0.00</w:t>
      </w:r>
    </w:p>
    <w:p>
      <w:pPr>
        <w:pStyle w:val="ListParagraph"/>
        <w:numPr>
          <w:ilvl w:val="0"/>
          <w:numId w:val="42"/>
        </w:numPr>
        <w:tabs>
          <w:tab w:pos="1222" w:val="left" w:leader="none"/>
        </w:tabs>
        <w:spacing w:line="240" w:lineRule="auto" w:before="17" w:after="0"/>
        <w:ind w:left="1221" w:right="0" w:hanging="166"/>
        <w:jc w:val="left"/>
        <w:rPr>
          <w:sz w:val="15"/>
        </w:rPr>
      </w:pPr>
      <w:r>
        <w:rPr>
          <w:sz w:val="15"/>
        </w:rPr>
        <w:t>County School Tuition</w:t>
      </w:r>
      <w:r>
        <w:rPr>
          <w:spacing w:val="-10"/>
          <w:sz w:val="15"/>
        </w:rPr>
        <w:t> </w:t>
      </w:r>
      <w:r>
        <w:rPr>
          <w:sz w:val="15"/>
        </w:rPr>
        <w:t>Fund</w:t>
      </w:r>
    </w:p>
    <w:p>
      <w:pPr>
        <w:tabs>
          <w:tab w:pos="5297" w:val="left" w:leader="none"/>
          <w:tab w:pos="6391" w:val="left" w:leader="none"/>
          <w:tab w:pos="7486" w:val="left" w:leader="none"/>
          <w:tab w:pos="8580" w:val="left" w:leader="none"/>
          <w:tab w:pos="9675" w:val="left" w:leader="none"/>
          <w:tab w:pos="10769" w:val="left" w:leader="none"/>
        </w:tabs>
        <w:spacing w:before="17"/>
        <w:ind w:left="1260" w:right="0" w:firstLine="0"/>
        <w:jc w:val="left"/>
        <w:rPr>
          <w:sz w:val="15"/>
        </w:rPr>
      </w:pPr>
      <w:r>
        <w:rPr>
          <w:sz w:val="15"/>
        </w:rPr>
        <w:t>(Out</w:t>
      </w:r>
      <w:r>
        <w:rPr>
          <w:spacing w:val="-7"/>
          <w:sz w:val="15"/>
        </w:rPr>
        <w:t> </w:t>
      </w:r>
      <w:r>
        <w:rPr>
          <w:sz w:val="15"/>
        </w:rPr>
        <w:t>of</w:t>
      </w:r>
      <w:r>
        <w:rPr>
          <w:spacing w:val="-5"/>
          <w:sz w:val="15"/>
        </w:rPr>
        <w:t> </w:t>
      </w:r>
      <w:r>
        <w:rPr>
          <w:sz w:val="15"/>
        </w:rPr>
        <w:t>State</w:t>
      </w:r>
      <w:r>
        <w:rPr>
          <w:spacing w:val="-8"/>
          <w:sz w:val="15"/>
        </w:rPr>
        <w:t> </w:t>
      </w:r>
      <w:r>
        <w:rPr>
          <w:sz w:val="15"/>
        </w:rPr>
        <w:t>Tuition)</w:t>
      </w:r>
      <w:r>
        <w:rPr>
          <w:spacing w:val="-6"/>
          <w:sz w:val="15"/>
        </w:rPr>
        <w:t> </w:t>
      </w:r>
      <w:r>
        <w:rPr>
          <w:sz w:val="15"/>
        </w:rPr>
        <w:t>[EC</w:t>
      </w:r>
      <w:r>
        <w:rPr>
          <w:spacing w:val="-6"/>
          <w:sz w:val="15"/>
        </w:rPr>
        <w:t> </w:t>
      </w:r>
      <w:r>
        <w:rPr>
          <w:sz w:val="15"/>
        </w:rPr>
        <w:t>2000</w:t>
      </w:r>
      <w:r>
        <w:rPr>
          <w:spacing w:val="-7"/>
          <w:sz w:val="15"/>
        </w:rPr>
        <w:t> </w:t>
      </w:r>
      <w:r>
        <w:rPr>
          <w:sz w:val="15"/>
        </w:rPr>
        <w:t>and</w:t>
      </w:r>
      <w:r>
        <w:rPr>
          <w:spacing w:val="-7"/>
          <w:sz w:val="15"/>
        </w:rPr>
        <w:t> </w:t>
      </w:r>
      <w:r>
        <w:rPr>
          <w:sz w:val="15"/>
        </w:rPr>
        <w:t>46380]</w:t>
        <w:tab/>
        <w:t>0.00</w:t>
        <w:tab/>
        <w:t>0.00</w:t>
        <w:tab/>
        <w:t>0.00</w:t>
        <w:tab/>
        <w:t>0.00</w:t>
        <w:tab/>
        <w:t>0.00</w:t>
        <w:tab/>
        <w:t>0.00</w:t>
      </w:r>
    </w:p>
    <w:p>
      <w:pPr>
        <w:pStyle w:val="ListParagraph"/>
        <w:numPr>
          <w:ilvl w:val="0"/>
          <w:numId w:val="42"/>
        </w:numPr>
        <w:tabs>
          <w:tab w:pos="1270" w:val="left" w:leader="none"/>
        </w:tabs>
        <w:spacing w:line="240" w:lineRule="auto" w:before="13" w:after="0"/>
        <w:ind w:left="1269" w:right="0" w:hanging="214"/>
        <w:jc w:val="left"/>
        <w:rPr>
          <w:b/>
          <w:sz w:val="15"/>
        </w:rPr>
      </w:pPr>
      <w:r>
        <w:rPr>
          <w:b/>
          <w:sz w:val="15"/>
        </w:rPr>
        <w:t>Total, District Funded County Program</w:t>
      </w:r>
      <w:r>
        <w:rPr>
          <w:b/>
          <w:spacing w:val="-11"/>
          <w:sz w:val="15"/>
        </w:rPr>
        <w:t> </w:t>
      </w:r>
      <w:r>
        <w:rPr>
          <w:b/>
          <w:sz w:val="15"/>
        </w:rPr>
        <w:t>ADA</w:t>
      </w:r>
    </w:p>
    <w:p>
      <w:pPr>
        <w:tabs>
          <w:tab w:pos="5297" w:val="left" w:leader="none"/>
          <w:tab w:pos="6391" w:val="left" w:leader="none"/>
          <w:tab w:pos="7486" w:val="left" w:leader="none"/>
          <w:tab w:pos="8580" w:val="left" w:leader="none"/>
          <w:tab w:pos="9675" w:val="left" w:leader="none"/>
          <w:tab w:pos="10769" w:val="left" w:leader="none"/>
        </w:tabs>
        <w:spacing w:before="22"/>
        <w:ind w:left="1260" w:right="0" w:firstLine="0"/>
        <w:jc w:val="left"/>
        <w:rPr>
          <w:sz w:val="15"/>
        </w:rPr>
      </w:pPr>
      <w:r>
        <w:rPr>
          <w:b/>
          <w:sz w:val="15"/>
        </w:rPr>
        <w:t>(Sum of Lines A5a</w:t>
      </w:r>
      <w:r>
        <w:rPr>
          <w:b/>
          <w:spacing w:val="-25"/>
          <w:sz w:val="15"/>
        </w:rPr>
        <w:t> </w:t>
      </w:r>
      <w:r>
        <w:rPr>
          <w:b/>
          <w:sz w:val="15"/>
        </w:rPr>
        <w:t>through</w:t>
      </w:r>
      <w:r>
        <w:rPr>
          <w:b/>
          <w:spacing w:val="-5"/>
          <w:sz w:val="15"/>
        </w:rPr>
        <w:t> </w:t>
      </w:r>
      <w:r>
        <w:rPr>
          <w:b/>
          <w:sz w:val="15"/>
        </w:rPr>
        <w:t>A5f)</w:t>
        <w:tab/>
      </w:r>
      <w:r>
        <w:rPr>
          <w:sz w:val="15"/>
        </w:rPr>
        <w:t>1.84</w:t>
        <w:tab/>
        <w:t>1.84</w:t>
        <w:tab/>
        <w:t>1.84</w:t>
        <w:tab/>
        <w:t>1.84</w:t>
        <w:tab/>
        <w:t>1.84</w:t>
        <w:tab/>
        <w:t>1.84</w:t>
      </w:r>
    </w:p>
    <w:p>
      <w:pPr>
        <w:pStyle w:val="Heading6"/>
        <w:numPr>
          <w:ilvl w:val="1"/>
          <w:numId w:val="40"/>
        </w:numPr>
        <w:tabs>
          <w:tab w:pos="1057" w:val="left" w:leader="none"/>
        </w:tabs>
        <w:spacing w:line="240" w:lineRule="auto" w:before="12" w:after="0"/>
        <w:ind w:left="1056" w:right="0" w:hanging="205"/>
        <w:jc w:val="left"/>
      </w:pPr>
      <w:r>
        <w:rPr/>
        <w:t>TOTAL DISTRICT</w:t>
      </w:r>
      <w:r>
        <w:rPr>
          <w:spacing w:val="-3"/>
        </w:rPr>
        <w:t> </w:t>
      </w:r>
      <w:r>
        <w:rPr/>
        <w:t>ADA</w:t>
      </w:r>
    </w:p>
    <w:p>
      <w:pPr>
        <w:tabs>
          <w:tab w:pos="5134" w:val="left" w:leader="none"/>
          <w:tab w:pos="6228" w:val="left" w:leader="none"/>
          <w:tab w:pos="7323" w:val="left" w:leader="none"/>
          <w:tab w:pos="8417" w:val="left" w:leader="none"/>
          <w:tab w:pos="9511" w:val="left" w:leader="none"/>
          <w:tab w:pos="10606" w:val="left" w:leader="none"/>
        </w:tabs>
        <w:spacing w:before="22"/>
        <w:ind w:left="1056" w:right="0" w:firstLine="0"/>
        <w:jc w:val="left"/>
        <w:rPr>
          <w:sz w:val="15"/>
        </w:rPr>
      </w:pPr>
      <w:r>
        <w:rPr>
          <w:b/>
          <w:sz w:val="15"/>
        </w:rPr>
        <w:t>(Sum of Line A4 and</w:t>
      </w:r>
      <w:r>
        <w:rPr>
          <w:b/>
          <w:spacing w:val="-28"/>
          <w:sz w:val="15"/>
        </w:rPr>
        <w:t> </w:t>
      </w:r>
      <w:r>
        <w:rPr>
          <w:b/>
          <w:sz w:val="15"/>
        </w:rPr>
        <w:t>Line</w:t>
      </w:r>
      <w:r>
        <w:rPr>
          <w:b/>
          <w:spacing w:val="-6"/>
          <w:sz w:val="15"/>
        </w:rPr>
        <w:t> </w:t>
      </w:r>
      <w:r>
        <w:rPr>
          <w:b/>
          <w:sz w:val="15"/>
        </w:rPr>
        <w:t>A5g)</w:t>
        <w:tab/>
      </w:r>
      <w:r>
        <w:rPr>
          <w:sz w:val="15"/>
        </w:rPr>
        <w:t>115.41</w:t>
        <w:tab/>
        <w:t>115.41</w:t>
        <w:tab/>
        <w:t>115.41</w:t>
        <w:tab/>
        <w:t>115.41</w:t>
        <w:tab/>
        <w:t>115.41</w:t>
        <w:tab/>
        <w:t>115.41</w:t>
      </w:r>
    </w:p>
    <w:p>
      <w:pPr>
        <w:pStyle w:val="Heading6"/>
        <w:numPr>
          <w:ilvl w:val="1"/>
          <w:numId w:val="40"/>
        </w:numPr>
        <w:tabs>
          <w:tab w:pos="1057" w:val="left" w:leader="none"/>
        </w:tabs>
        <w:spacing w:line="240" w:lineRule="auto" w:before="12" w:after="0"/>
        <w:ind w:left="1056" w:right="0" w:hanging="205"/>
        <w:jc w:val="left"/>
      </w:pPr>
      <w:r>
        <w:rPr/>
        <w:t>Adults in Correctional</w:t>
      </w:r>
      <w:r>
        <w:rPr>
          <w:spacing w:val="-8"/>
        </w:rPr>
        <w:t> </w:t>
      </w:r>
      <w:r>
        <w:rPr/>
        <w:t>Facilities</w:t>
      </w:r>
    </w:p>
    <w:p>
      <w:pPr>
        <w:pStyle w:val="ListParagraph"/>
        <w:numPr>
          <w:ilvl w:val="1"/>
          <w:numId w:val="40"/>
        </w:numPr>
        <w:tabs>
          <w:tab w:pos="1057" w:val="left" w:leader="none"/>
        </w:tabs>
        <w:spacing w:line="240" w:lineRule="auto" w:before="17" w:after="0"/>
        <w:ind w:left="1056" w:right="0" w:hanging="205"/>
        <w:jc w:val="left"/>
        <w:rPr>
          <w:b/>
          <w:sz w:val="15"/>
        </w:rPr>
      </w:pPr>
      <w:r>
        <w:rPr>
          <w:b/>
          <w:sz w:val="15"/>
        </w:rPr>
        <w:t>Charter School</w:t>
      </w:r>
      <w:r>
        <w:rPr>
          <w:b/>
          <w:spacing w:val="-5"/>
          <w:sz w:val="15"/>
        </w:rPr>
        <w:t> </w:t>
      </w:r>
      <w:r>
        <w:rPr>
          <w:b/>
          <w:sz w:val="15"/>
        </w:rPr>
        <w:t>ADA</w:t>
      </w:r>
    </w:p>
    <w:p>
      <w:pPr>
        <w:spacing w:line="264" w:lineRule="auto" w:before="17"/>
        <w:ind w:left="1056" w:right="8238" w:firstLine="0"/>
        <w:jc w:val="left"/>
        <w:rPr>
          <w:b/>
          <w:sz w:val="15"/>
        </w:rPr>
      </w:pPr>
      <w:r>
        <w:rPr>
          <w:b/>
          <w:sz w:val="15"/>
        </w:rPr>
        <w:t>(Enter Charter School ADA using Tab C. Charter School ADA)</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4"/>
        <w:rPr>
          <w:b/>
          <w:sz w:val="26"/>
        </w:rPr>
      </w:pPr>
    </w:p>
    <w:p>
      <w:pPr>
        <w:pStyle w:val="Heading7"/>
        <w:spacing w:line="169" w:lineRule="exact" w:before="94"/>
        <w:ind w:left="639"/>
      </w:pPr>
      <w:r>
        <w:rPr/>
        <w:t>California Dept of Education</w:t>
      </w:r>
    </w:p>
    <w:p>
      <w:pPr>
        <w:spacing w:line="166" w:lineRule="exact" w:before="0"/>
        <w:ind w:left="639" w:right="0" w:firstLine="0"/>
        <w:jc w:val="left"/>
        <w:rPr>
          <w:sz w:val="15"/>
        </w:rPr>
      </w:pPr>
      <w:r>
        <w:rPr>
          <w:sz w:val="15"/>
        </w:rPr>
        <w:t>SACS Financial Reporting Software - 2021.1.0</w:t>
      </w:r>
    </w:p>
    <w:p>
      <w:pPr>
        <w:tabs>
          <w:tab w:pos="5581" w:val="left" w:leader="none"/>
          <w:tab w:pos="9408" w:val="left" w:leader="none"/>
        </w:tabs>
        <w:spacing w:line="169" w:lineRule="exact" w:before="0"/>
        <w:ind w:left="639" w:right="0" w:firstLine="0"/>
        <w:jc w:val="left"/>
        <w:rPr>
          <w:sz w:val="15"/>
        </w:rPr>
      </w:pPr>
      <w:r>
        <w:rPr>
          <w:sz w:val="15"/>
        </w:rPr>
        <w:t>File: ada</w:t>
      </w:r>
      <w:r>
        <w:rPr>
          <w:spacing w:val="-15"/>
          <w:sz w:val="15"/>
        </w:rPr>
        <w:t> </w:t>
      </w:r>
      <w:r>
        <w:rPr>
          <w:sz w:val="15"/>
        </w:rPr>
        <w:t>(Rev</w:t>
      </w:r>
      <w:r>
        <w:rPr>
          <w:spacing w:val="-8"/>
          <w:sz w:val="15"/>
        </w:rPr>
        <w:t> </w:t>
      </w:r>
      <w:r>
        <w:rPr>
          <w:sz w:val="15"/>
        </w:rPr>
        <w:t>03/27/2018)</w:t>
        <w:tab/>
        <w:t>Page 1</w:t>
      </w:r>
      <w:r>
        <w:rPr>
          <w:spacing w:val="-8"/>
          <w:sz w:val="15"/>
        </w:rPr>
        <w:t> </w:t>
      </w:r>
      <w:r>
        <w:rPr>
          <w:sz w:val="15"/>
        </w:rPr>
        <w:t>of</w:t>
      </w:r>
      <w:r>
        <w:rPr>
          <w:spacing w:val="-2"/>
          <w:sz w:val="15"/>
        </w:rPr>
        <w:t> </w:t>
      </w:r>
      <w:r>
        <w:rPr>
          <w:sz w:val="15"/>
        </w:rPr>
        <w:t>1</w:t>
        <w:tab/>
        <w:t>Printed: 6/4/2021 10:08</w:t>
      </w:r>
      <w:r>
        <w:rPr>
          <w:spacing w:val="-18"/>
          <w:sz w:val="15"/>
        </w:rPr>
        <w:t> </w:t>
      </w:r>
      <w:r>
        <w:rPr>
          <w:sz w:val="15"/>
        </w:rPr>
        <w:t>AM</w:t>
      </w:r>
    </w:p>
    <w:p>
      <w:pPr>
        <w:spacing w:after="0" w:line="169" w:lineRule="exact"/>
        <w:jc w:val="left"/>
        <w:rPr>
          <w:sz w:val="15"/>
        </w:rPr>
        <w:sectPr>
          <w:type w:val="continuous"/>
          <w:pgSz w:w="12240" w:h="15840"/>
          <w:pgMar w:top="1500" w:bottom="840" w:left="160" w:right="180"/>
        </w:sectPr>
      </w:pPr>
    </w:p>
    <w:p>
      <w:pPr>
        <w:pStyle w:val="BodyText"/>
        <w:rPr>
          <w:sz w:val="23"/>
        </w:rPr>
      </w:pPr>
    </w:p>
    <w:p>
      <w:pPr>
        <w:spacing w:line="235" w:lineRule="auto" w:before="0"/>
        <w:ind w:left="128" w:right="36" w:firstLine="0"/>
        <w:jc w:val="left"/>
        <w:rPr>
          <w:sz w:val="16"/>
        </w:rPr>
      </w:pPr>
      <w:r>
        <w:rPr/>
        <w:pict>
          <v:group style="position:absolute;margin-left:19.200001pt;margin-top:33.753857pt;width:573.4pt;height:333.5pt;mso-position-horizontal-relative:page;mso-position-vertical-relative:paragraph;z-index:-314172416" coordorigin="384,675" coordsize="11468,6670">
            <v:shape style="position:absolute;left:384;top:675;width:11468;height:255" type="#_x0000_t75" stroked="false">
              <v:imagedata r:id="rId982" o:title=""/>
            </v:shape>
            <v:shape style="position:absolute;left:8251;top:675;width:3600;height:454" type="#_x0000_t75" stroked="false">
              <v:imagedata r:id="rId983" o:title=""/>
            </v:shape>
            <v:shape style="position:absolute;left:384;top:922;width:11468;height:2331" type="#_x0000_t75" stroked="false">
              <v:imagedata r:id="rId984" o:title=""/>
            </v:shape>
            <v:shape style="position:absolute;left:4672;top:3046;width:7179;height:2859" type="#_x0000_t75" stroked="false">
              <v:imagedata r:id="rId985" o:title=""/>
            </v:shape>
            <v:shape style="position:absolute;left:4672;top:5698;width:7179;height:620" type="#_x0000_t75" stroked="false">
              <v:imagedata r:id="rId986" o:title=""/>
            </v:shape>
            <v:shape style="position:absolute;left:384;top:3250;width:4304;height:4095" type="#_x0000_t75" stroked="false">
              <v:imagedata r:id="rId987" o:title=""/>
            </v:shape>
            <v:shape style="position:absolute;left:4672;top:6106;width:7179;height:620" type="#_x0000_t75" stroked="false">
              <v:imagedata r:id="rId988" o:title=""/>
            </v:shape>
            <v:rect style="position:absolute;left:4684;top:6723;width:1193;height:204" filled="true" fillcolor="#bfbfbf" stroked="false">
              <v:fill type="solid"/>
            </v:rect>
            <v:shape style="position:absolute;left:5872;top:6718;width:8;height:207" type="#_x0000_t75" stroked="false">
              <v:imagedata r:id="rId989" o:title=""/>
            </v:shape>
            <v:rect style="position:absolute;left:5877;top:6723;width:1193;height:204" filled="true" fillcolor="#bfbfbf" stroked="false">
              <v:fill type="solid"/>
            </v:rect>
            <v:shape style="position:absolute;left:7065;top:6718;width:8;height:207" type="#_x0000_t75" stroked="false">
              <v:imagedata r:id="rId989" o:title=""/>
            </v:shape>
            <v:rect style="position:absolute;left:7070;top:6723;width:1193;height:204" filled="true" fillcolor="#bfbfbf" stroked="false">
              <v:fill type="solid"/>
            </v:rect>
            <v:shape style="position:absolute;left:8251;top:6718;width:22;height:207" type="#_x0000_t75" stroked="false">
              <v:imagedata r:id="rId990" o:title=""/>
            </v:shape>
            <v:shape style="position:absolute;left:8263;top:6723;width:2386;height:204" coordorigin="8263,6723" coordsize="2386,204" path="m10649,6723l9456,6723,8263,6723,8263,6927,9456,6927,10649,6927,10649,6723e" filled="true" fillcolor="#bfbfbf" stroked="false">
              <v:path arrowok="t"/>
              <v:fill type="solid"/>
            </v:shape>
            <v:shape style="position:absolute;left:10644;top:6718;width:8;height:207" type="#_x0000_t75" stroked="false">
              <v:imagedata r:id="rId989" o:title=""/>
            </v:shape>
            <v:rect style="position:absolute;left:10648;top:6723;width:1193;height:204" filled="true" fillcolor="#bfbfbf" stroked="false">
              <v:fill type="solid"/>
            </v:rect>
            <v:shape style="position:absolute;left:5872;top:6718;width:8;height:411" type="#_x0000_t75" stroked="false">
              <v:imagedata r:id="rId991" o:title=""/>
            </v:shape>
            <v:shape style="position:absolute;left:8251;top:6718;width:22;height:411" type="#_x0000_t75" stroked="false">
              <v:imagedata r:id="rId992" o:title=""/>
            </v:shape>
            <v:shape style="position:absolute;left:10644;top:6718;width:8;height:411" type="#_x0000_t75" stroked="false">
              <v:imagedata r:id="rId991" o:title=""/>
            </v:shape>
            <v:shape style="position:absolute;left:4684;top:6927;width:2386;height:204" coordorigin="4685,6927" coordsize="2386,204" path="m7070,6927l5878,6927,4685,6927,4685,7131,5878,7131,7070,7131,7070,6927e" filled="true" fillcolor="#bfbfbf" stroked="false">
              <v:path arrowok="t"/>
              <v:fill type="solid"/>
            </v:shape>
            <v:shape style="position:absolute;left:7065;top:6922;width:8;height:207" type="#_x0000_t75" stroked="false">
              <v:imagedata r:id="rId993" o:title=""/>
            </v:shape>
            <v:shape style="position:absolute;left:7070;top:6927;width:4772;height:204" coordorigin="7070,6927" coordsize="4772,204" path="m11842,6927l10649,6927,9456,6927,8263,6927,7070,6927,7070,7131,8263,7131,9456,7131,10649,7131,11842,7131,11842,6927e" filled="true" fillcolor="#bfbfbf" stroked="false">
              <v:path arrowok="t"/>
              <v:fill type="solid"/>
            </v:shape>
            <v:shape style="position:absolute;left:4672;top:6718;width:1208;height:627" type="#_x0000_t75" stroked="false">
              <v:imagedata r:id="rId994" o:title=""/>
            </v:shape>
            <v:shape style="position:absolute;left:4684;top:7131;width:2386;height:204" coordorigin="4685,7131" coordsize="2386,204" path="m7070,7131l5878,7131,4685,7131,4685,7335,5878,7335,7070,7335,7070,7131e" filled="true" fillcolor="#bfbfbf" stroked="false">
              <v:path arrowok="t"/>
              <v:fill type="solid"/>
            </v:shape>
            <v:shape style="position:absolute;left:7065;top:6922;width:1208;height:423" type="#_x0000_t75" stroked="false">
              <v:imagedata r:id="rId995" o:title=""/>
            </v:shape>
            <v:shape style="position:absolute;left:5872;top:7126;width:1200;height:219" type="#_x0000_t75" stroked="false">
              <v:imagedata r:id="rId996" o:title=""/>
            </v:shape>
            <v:rect style="position:absolute;left:7070;top:7131;width:1193;height:204" filled="true" fillcolor="#bfbfbf" stroked="false">
              <v:fill type="solid"/>
            </v:rect>
            <v:shape style="position:absolute;left:9451;top:6718;width:1200;height:627" type="#_x0000_t75" stroked="false">
              <v:imagedata r:id="rId997" o:title=""/>
            </v:shape>
            <v:shape style="position:absolute;left:10644;top:6718;width:1208;height:627" type="#_x0000_t75" stroked="false">
              <v:imagedata r:id="rId998" o:title=""/>
            </v:shape>
            <v:shape style="position:absolute;left:8251;top:7126;width:1208;height:219" type="#_x0000_t75" stroked="false">
              <v:imagedata r:id="rId999" o:title=""/>
            </v:shape>
            <v:shape style="position:absolute;left:9456;top:7131;width:2386;height:204" coordorigin="9456,7131" coordsize="2386,204" path="m11842,7131l10649,7131,9456,7131,9456,7335,10649,7335,11842,7335,11842,7131e" filled="true" fillcolor="#bfbfbf" stroked="false">
              <v:path arrowok="t"/>
              <v:fill type="solid"/>
            </v:shape>
            <v:shape style="position:absolute;left:5404;top:708;width:2423;height:215" type="#_x0000_t202" filled="false" stroked="false">
              <v:textbox inset="0,0,0,0">
                <w:txbxContent>
                  <w:p>
                    <w:pPr>
                      <w:spacing w:line="214" w:lineRule="exact" w:before="0"/>
                      <w:ind w:left="0" w:right="0" w:firstLine="0"/>
                      <w:jc w:val="left"/>
                      <w:rPr>
                        <w:b/>
                        <w:sz w:val="19"/>
                      </w:rPr>
                    </w:pPr>
                    <w:r>
                      <w:rPr>
                        <w:b/>
                        <w:sz w:val="19"/>
                      </w:rPr>
                      <w:t>2020-21 Estimated Actuals</w:t>
                    </w:r>
                  </w:p>
                </w:txbxContent>
              </v:textbox>
              <w10:wrap type="none"/>
            </v:shape>
            <v:shape style="position:absolute;left:9345;top:708;width:1432;height:215" type="#_x0000_t202" filled="false" stroked="false">
              <v:textbox inset="0,0,0,0">
                <w:txbxContent>
                  <w:p>
                    <w:pPr>
                      <w:spacing w:line="214" w:lineRule="exact" w:before="0"/>
                      <w:ind w:left="0" w:right="0" w:firstLine="0"/>
                      <w:jc w:val="left"/>
                      <w:rPr>
                        <w:b/>
                        <w:sz w:val="19"/>
                      </w:rPr>
                    </w:pPr>
                    <w:r>
                      <w:rPr>
                        <w:b/>
                        <w:sz w:val="19"/>
                      </w:rPr>
                      <w:t>2021-22 Budget</w:t>
                    </w:r>
                  </w:p>
                </w:txbxContent>
              </v:textbox>
              <w10:wrap type="none"/>
            </v:shape>
            <v:shape style="position:absolute;left:429;top:1155;width:4044;height:6174" type="#_x0000_t202" filled="false" stroked="false">
              <v:textbox inset="0,0,0,0">
                <w:txbxContent>
                  <w:p>
                    <w:pPr>
                      <w:spacing w:line="194" w:lineRule="exact" w:before="0"/>
                      <w:ind w:left="0" w:right="0" w:firstLine="0"/>
                      <w:jc w:val="left"/>
                      <w:rPr>
                        <w:b/>
                        <w:sz w:val="17"/>
                      </w:rPr>
                    </w:pPr>
                    <w:r>
                      <w:rPr>
                        <w:b/>
                        <w:w w:val="105"/>
                        <w:sz w:val="17"/>
                      </w:rPr>
                      <w:t>Description</w:t>
                    </w:r>
                  </w:p>
                  <w:p>
                    <w:pPr>
                      <w:spacing w:before="82"/>
                      <w:ind w:left="0" w:right="0" w:firstLine="0"/>
                      <w:jc w:val="left"/>
                      <w:rPr>
                        <w:b/>
                        <w:sz w:val="16"/>
                      </w:rPr>
                    </w:pPr>
                    <w:r>
                      <w:rPr>
                        <w:b/>
                        <w:sz w:val="16"/>
                      </w:rPr>
                      <w:t>B. COUNTY OFFICE OF EDUCATION</w:t>
                    </w:r>
                  </w:p>
                  <w:p>
                    <w:pPr>
                      <w:numPr>
                        <w:ilvl w:val="0"/>
                        <w:numId w:val="43"/>
                      </w:numPr>
                      <w:tabs>
                        <w:tab w:pos="272" w:val="left" w:leader="none"/>
                      </w:tabs>
                      <w:spacing w:line="266" w:lineRule="auto" w:before="20"/>
                      <w:ind w:left="273" w:right="831" w:hanging="229"/>
                      <w:jc w:val="left"/>
                      <w:rPr>
                        <w:b/>
                        <w:sz w:val="16"/>
                      </w:rPr>
                    </w:pPr>
                    <w:r>
                      <w:rPr>
                        <w:b/>
                        <w:sz w:val="16"/>
                      </w:rPr>
                      <w:t>County Program Alternative</w:t>
                    </w:r>
                    <w:r>
                      <w:rPr>
                        <w:b/>
                        <w:spacing w:val="-19"/>
                        <w:sz w:val="16"/>
                      </w:rPr>
                      <w:t> </w:t>
                    </w:r>
                    <w:r>
                      <w:rPr>
                        <w:b/>
                        <w:sz w:val="16"/>
                      </w:rPr>
                      <w:t>Education Grant </w:t>
                    </w:r>
                    <w:r>
                      <w:rPr>
                        <w:b/>
                        <w:spacing w:val="-3"/>
                        <w:sz w:val="16"/>
                      </w:rPr>
                      <w:t>ADA</w:t>
                    </w:r>
                  </w:p>
                  <w:p>
                    <w:pPr>
                      <w:numPr>
                        <w:ilvl w:val="1"/>
                        <w:numId w:val="43"/>
                      </w:numPr>
                      <w:tabs>
                        <w:tab w:pos="453" w:val="left" w:leader="none"/>
                      </w:tabs>
                      <w:spacing w:before="2"/>
                      <w:ind w:left="452" w:right="0" w:hanging="180"/>
                      <w:jc w:val="left"/>
                      <w:rPr>
                        <w:sz w:val="16"/>
                      </w:rPr>
                    </w:pPr>
                    <w:r>
                      <w:rPr>
                        <w:sz w:val="16"/>
                      </w:rPr>
                      <w:t>County Group Home and Institution</w:t>
                    </w:r>
                    <w:r>
                      <w:rPr>
                        <w:spacing w:val="1"/>
                        <w:sz w:val="16"/>
                      </w:rPr>
                      <w:t> </w:t>
                    </w:r>
                    <w:r>
                      <w:rPr>
                        <w:sz w:val="16"/>
                      </w:rPr>
                      <w:t>Pupils</w:t>
                    </w:r>
                  </w:p>
                  <w:p>
                    <w:pPr>
                      <w:numPr>
                        <w:ilvl w:val="1"/>
                        <w:numId w:val="43"/>
                      </w:numPr>
                      <w:tabs>
                        <w:tab w:pos="453" w:val="left" w:leader="none"/>
                      </w:tabs>
                      <w:spacing w:before="20"/>
                      <w:ind w:left="452" w:right="0" w:hanging="180"/>
                      <w:jc w:val="left"/>
                      <w:rPr>
                        <w:sz w:val="16"/>
                      </w:rPr>
                    </w:pPr>
                    <w:r>
                      <w:rPr>
                        <w:sz w:val="16"/>
                      </w:rPr>
                      <w:t>Juvenile Halls, Homes, and</w:t>
                    </w:r>
                    <w:r>
                      <w:rPr>
                        <w:spacing w:val="5"/>
                        <w:sz w:val="16"/>
                      </w:rPr>
                      <w:t> </w:t>
                    </w:r>
                    <w:r>
                      <w:rPr>
                        <w:sz w:val="16"/>
                      </w:rPr>
                      <w:t>Camps</w:t>
                    </w:r>
                  </w:p>
                  <w:p>
                    <w:pPr>
                      <w:numPr>
                        <w:ilvl w:val="1"/>
                        <w:numId w:val="43"/>
                      </w:numPr>
                      <w:tabs>
                        <w:tab w:pos="447" w:val="left" w:leader="none"/>
                      </w:tabs>
                      <w:spacing w:line="266" w:lineRule="auto" w:before="20"/>
                      <w:ind w:left="409" w:right="18" w:hanging="136"/>
                      <w:jc w:val="left"/>
                      <w:rPr>
                        <w:sz w:val="16"/>
                      </w:rPr>
                    </w:pPr>
                    <w:r>
                      <w:rPr>
                        <w:sz w:val="16"/>
                      </w:rPr>
                      <w:t>Probation Referred, On Probation or Parole, Expelled per EC 48915(a) or (c) [EC</w:t>
                    </w:r>
                    <w:r>
                      <w:rPr>
                        <w:spacing w:val="-14"/>
                        <w:sz w:val="16"/>
                      </w:rPr>
                      <w:t> </w:t>
                    </w:r>
                    <w:r>
                      <w:rPr>
                        <w:sz w:val="16"/>
                      </w:rPr>
                      <w:t>2574(c)(4)(A)]</w:t>
                    </w:r>
                  </w:p>
                  <w:p>
                    <w:pPr>
                      <w:numPr>
                        <w:ilvl w:val="1"/>
                        <w:numId w:val="43"/>
                      </w:numPr>
                      <w:tabs>
                        <w:tab w:pos="463" w:val="left" w:leader="none"/>
                      </w:tabs>
                      <w:spacing w:line="266" w:lineRule="auto" w:before="0"/>
                      <w:ind w:left="455" w:right="167" w:hanging="183"/>
                      <w:jc w:val="left"/>
                      <w:rPr>
                        <w:b/>
                        <w:sz w:val="16"/>
                      </w:rPr>
                    </w:pPr>
                    <w:r>
                      <w:rPr>
                        <w:b/>
                        <w:sz w:val="16"/>
                      </w:rPr>
                      <w:t>Total, County Program Alternative</w:t>
                    </w:r>
                    <w:r>
                      <w:rPr>
                        <w:b/>
                        <w:spacing w:val="-18"/>
                        <w:sz w:val="16"/>
                      </w:rPr>
                      <w:t> </w:t>
                    </w:r>
                    <w:r>
                      <w:rPr>
                        <w:b/>
                        <w:sz w:val="16"/>
                      </w:rPr>
                      <w:t>Education </w:t>
                    </w:r>
                    <w:r>
                      <w:rPr>
                        <w:b/>
                        <w:spacing w:val="-3"/>
                        <w:sz w:val="16"/>
                      </w:rPr>
                      <w:t>ADA </w:t>
                    </w:r>
                    <w:r>
                      <w:rPr>
                        <w:b/>
                        <w:sz w:val="16"/>
                      </w:rPr>
                      <w:t>(Sum of Lines B1a through</w:t>
                    </w:r>
                    <w:r>
                      <w:rPr>
                        <w:b/>
                        <w:spacing w:val="-2"/>
                        <w:sz w:val="16"/>
                      </w:rPr>
                      <w:t> </w:t>
                    </w:r>
                    <w:r>
                      <w:rPr>
                        <w:b/>
                        <w:sz w:val="16"/>
                      </w:rPr>
                      <w:t>B1c)</w:t>
                    </w:r>
                  </w:p>
                  <w:p>
                    <w:pPr>
                      <w:numPr>
                        <w:ilvl w:val="0"/>
                        <w:numId w:val="43"/>
                      </w:numPr>
                      <w:tabs>
                        <w:tab w:pos="272" w:val="left" w:leader="none"/>
                      </w:tabs>
                      <w:spacing w:line="184" w:lineRule="exact" w:before="0"/>
                      <w:ind w:left="271" w:right="0" w:hanging="228"/>
                      <w:jc w:val="left"/>
                      <w:rPr>
                        <w:b/>
                        <w:sz w:val="16"/>
                      </w:rPr>
                    </w:pPr>
                    <w:r>
                      <w:rPr>
                        <w:b/>
                        <w:sz w:val="16"/>
                      </w:rPr>
                      <w:t>District Funded County Program</w:t>
                    </w:r>
                    <w:r>
                      <w:rPr>
                        <w:b/>
                        <w:spacing w:val="-7"/>
                        <w:sz w:val="16"/>
                      </w:rPr>
                      <w:t> </w:t>
                    </w:r>
                    <w:r>
                      <w:rPr>
                        <w:b/>
                        <w:spacing w:val="-3"/>
                        <w:sz w:val="16"/>
                      </w:rPr>
                      <w:t>ADA</w:t>
                    </w:r>
                  </w:p>
                  <w:p>
                    <w:pPr>
                      <w:numPr>
                        <w:ilvl w:val="1"/>
                        <w:numId w:val="43"/>
                      </w:numPr>
                      <w:tabs>
                        <w:tab w:pos="500" w:val="left" w:leader="none"/>
                      </w:tabs>
                      <w:spacing w:before="20"/>
                      <w:ind w:left="499" w:right="0" w:hanging="227"/>
                      <w:jc w:val="left"/>
                      <w:rPr>
                        <w:sz w:val="16"/>
                      </w:rPr>
                    </w:pPr>
                    <w:r>
                      <w:rPr>
                        <w:sz w:val="16"/>
                      </w:rPr>
                      <w:t>County Community Schools</w:t>
                    </w:r>
                  </w:p>
                  <w:p>
                    <w:pPr>
                      <w:numPr>
                        <w:ilvl w:val="1"/>
                        <w:numId w:val="43"/>
                      </w:numPr>
                      <w:tabs>
                        <w:tab w:pos="500" w:val="left" w:leader="none"/>
                      </w:tabs>
                      <w:spacing w:before="20"/>
                      <w:ind w:left="499" w:right="0" w:hanging="227"/>
                      <w:jc w:val="left"/>
                      <w:rPr>
                        <w:sz w:val="16"/>
                      </w:rPr>
                    </w:pPr>
                    <w:r>
                      <w:rPr>
                        <w:sz w:val="16"/>
                      </w:rPr>
                      <w:t>Special Education-Special Day</w:t>
                    </w:r>
                    <w:r>
                      <w:rPr>
                        <w:spacing w:val="3"/>
                        <w:sz w:val="16"/>
                      </w:rPr>
                      <w:t> </w:t>
                    </w:r>
                    <w:r>
                      <w:rPr>
                        <w:sz w:val="16"/>
                      </w:rPr>
                      <w:t>Class</w:t>
                    </w:r>
                  </w:p>
                  <w:p>
                    <w:pPr>
                      <w:numPr>
                        <w:ilvl w:val="1"/>
                        <w:numId w:val="43"/>
                      </w:numPr>
                      <w:tabs>
                        <w:tab w:pos="491" w:val="left" w:leader="none"/>
                      </w:tabs>
                      <w:spacing w:before="20"/>
                      <w:ind w:left="490" w:right="0" w:hanging="218"/>
                      <w:jc w:val="left"/>
                      <w:rPr>
                        <w:sz w:val="16"/>
                      </w:rPr>
                    </w:pPr>
                    <w:r>
                      <w:rPr>
                        <w:sz w:val="16"/>
                      </w:rPr>
                      <w:t>Special</w:t>
                    </w:r>
                    <w:r>
                      <w:rPr>
                        <w:spacing w:val="2"/>
                        <w:sz w:val="16"/>
                      </w:rPr>
                      <w:t> </w:t>
                    </w:r>
                    <w:r>
                      <w:rPr>
                        <w:sz w:val="16"/>
                      </w:rPr>
                      <w:t>Education-NPS/LCI</w:t>
                    </w:r>
                  </w:p>
                  <w:p>
                    <w:pPr>
                      <w:numPr>
                        <w:ilvl w:val="1"/>
                        <w:numId w:val="43"/>
                      </w:numPr>
                      <w:tabs>
                        <w:tab w:pos="500" w:val="left" w:leader="none"/>
                      </w:tabs>
                      <w:spacing w:before="20"/>
                      <w:ind w:left="499" w:right="0" w:hanging="227"/>
                      <w:jc w:val="left"/>
                      <w:rPr>
                        <w:sz w:val="16"/>
                      </w:rPr>
                    </w:pPr>
                    <w:r>
                      <w:rPr>
                        <w:sz w:val="16"/>
                      </w:rPr>
                      <w:t>Special Education Extended</w:t>
                    </w:r>
                    <w:r>
                      <w:rPr>
                        <w:spacing w:val="2"/>
                        <w:sz w:val="16"/>
                      </w:rPr>
                      <w:t> </w:t>
                    </w:r>
                    <w:r>
                      <w:rPr>
                        <w:sz w:val="16"/>
                      </w:rPr>
                      <w:t>Year</w:t>
                    </w:r>
                  </w:p>
                  <w:p>
                    <w:pPr>
                      <w:numPr>
                        <w:ilvl w:val="1"/>
                        <w:numId w:val="43"/>
                      </w:numPr>
                      <w:tabs>
                        <w:tab w:pos="500" w:val="left" w:leader="none"/>
                      </w:tabs>
                      <w:spacing w:line="266" w:lineRule="auto" w:before="20"/>
                      <w:ind w:left="500" w:right="371" w:hanging="227"/>
                      <w:jc w:val="left"/>
                      <w:rPr>
                        <w:sz w:val="16"/>
                      </w:rPr>
                    </w:pPr>
                    <w:r>
                      <w:rPr>
                        <w:sz w:val="16"/>
                      </w:rPr>
                      <w:t>Other County Operated Programs: Opportunity Schools and Full Day Opportunity Classes, Specialized </w:t>
                    </w:r>
                    <w:r>
                      <w:rPr>
                        <w:spacing w:val="-3"/>
                        <w:sz w:val="16"/>
                      </w:rPr>
                      <w:t>Secondary </w:t>
                    </w:r>
                    <w:r>
                      <w:rPr>
                        <w:sz w:val="16"/>
                      </w:rPr>
                      <w:t>Schools</w:t>
                    </w:r>
                  </w:p>
                  <w:p>
                    <w:pPr>
                      <w:numPr>
                        <w:ilvl w:val="1"/>
                        <w:numId w:val="43"/>
                      </w:numPr>
                      <w:tabs>
                        <w:tab w:pos="456" w:val="left" w:leader="none"/>
                      </w:tabs>
                      <w:spacing w:line="183" w:lineRule="exact" w:before="0"/>
                      <w:ind w:left="455" w:right="0" w:hanging="183"/>
                      <w:jc w:val="left"/>
                      <w:rPr>
                        <w:sz w:val="16"/>
                      </w:rPr>
                    </w:pPr>
                    <w:r>
                      <w:rPr>
                        <w:sz w:val="16"/>
                      </w:rPr>
                      <w:t>County School Tuition</w:t>
                    </w:r>
                    <w:r>
                      <w:rPr>
                        <w:spacing w:val="1"/>
                        <w:sz w:val="16"/>
                      </w:rPr>
                      <w:t> </w:t>
                    </w:r>
                    <w:r>
                      <w:rPr>
                        <w:sz w:val="16"/>
                      </w:rPr>
                      <w:t>Fund</w:t>
                    </w:r>
                  </w:p>
                  <w:p>
                    <w:pPr>
                      <w:spacing w:before="20"/>
                      <w:ind w:left="500" w:right="0" w:firstLine="0"/>
                      <w:jc w:val="left"/>
                      <w:rPr>
                        <w:sz w:val="16"/>
                      </w:rPr>
                    </w:pPr>
                    <w:r>
                      <w:rPr>
                        <w:sz w:val="16"/>
                      </w:rPr>
                      <w:t>(Out of State Tuition) [EC 2000 and 46380]</w:t>
                    </w:r>
                  </w:p>
                  <w:p>
                    <w:pPr>
                      <w:numPr>
                        <w:ilvl w:val="1"/>
                        <w:numId w:val="43"/>
                      </w:numPr>
                      <w:tabs>
                        <w:tab w:pos="508" w:val="left" w:leader="none"/>
                      </w:tabs>
                      <w:spacing w:line="266" w:lineRule="auto" w:before="18"/>
                      <w:ind w:left="500" w:right="200" w:hanging="227"/>
                      <w:jc w:val="left"/>
                      <w:rPr>
                        <w:b/>
                        <w:sz w:val="16"/>
                      </w:rPr>
                    </w:pPr>
                    <w:r>
                      <w:rPr>
                        <w:b/>
                        <w:sz w:val="16"/>
                      </w:rPr>
                      <w:t>Total, District Funded County Program </w:t>
                    </w:r>
                    <w:r>
                      <w:rPr>
                        <w:b/>
                        <w:spacing w:val="-7"/>
                        <w:sz w:val="16"/>
                      </w:rPr>
                      <w:t>ADA </w:t>
                    </w:r>
                    <w:r>
                      <w:rPr>
                        <w:b/>
                        <w:sz w:val="16"/>
                      </w:rPr>
                      <w:t>(Sum of Lines B2a through</w:t>
                    </w:r>
                    <w:r>
                      <w:rPr>
                        <w:b/>
                        <w:spacing w:val="3"/>
                        <w:sz w:val="16"/>
                      </w:rPr>
                      <w:t> </w:t>
                    </w:r>
                    <w:r>
                      <w:rPr>
                        <w:b/>
                        <w:sz w:val="16"/>
                      </w:rPr>
                      <w:t>B2f)</w:t>
                    </w:r>
                  </w:p>
                  <w:p>
                    <w:pPr>
                      <w:numPr>
                        <w:ilvl w:val="0"/>
                        <w:numId w:val="43"/>
                      </w:numPr>
                      <w:tabs>
                        <w:tab w:pos="272" w:val="left" w:leader="none"/>
                      </w:tabs>
                      <w:spacing w:line="266" w:lineRule="auto" w:before="0"/>
                      <w:ind w:left="273" w:right="1509" w:hanging="229"/>
                      <w:jc w:val="left"/>
                      <w:rPr>
                        <w:b/>
                        <w:sz w:val="16"/>
                      </w:rPr>
                    </w:pPr>
                    <w:r>
                      <w:rPr>
                        <w:b/>
                        <w:spacing w:val="-3"/>
                        <w:sz w:val="16"/>
                      </w:rPr>
                      <w:t>TOTAL </w:t>
                    </w:r>
                    <w:r>
                      <w:rPr>
                        <w:b/>
                        <w:sz w:val="16"/>
                      </w:rPr>
                      <w:t>COUNTY OFFICE </w:t>
                    </w:r>
                    <w:r>
                      <w:rPr>
                        <w:b/>
                        <w:spacing w:val="-7"/>
                        <w:sz w:val="16"/>
                      </w:rPr>
                      <w:t>ADA </w:t>
                    </w:r>
                    <w:r>
                      <w:rPr>
                        <w:b/>
                        <w:sz w:val="16"/>
                      </w:rPr>
                      <w:t>(Sum of Lines B1d and</w:t>
                    </w:r>
                    <w:r>
                      <w:rPr>
                        <w:b/>
                        <w:spacing w:val="6"/>
                        <w:sz w:val="16"/>
                      </w:rPr>
                      <w:t> </w:t>
                    </w:r>
                    <w:r>
                      <w:rPr>
                        <w:b/>
                        <w:sz w:val="16"/>
                      </w:rPr>
                      <w:t>B2g)</w:t>
                    </w:r>
                  </w:p>
                  <w:p>
                    <w:pPr>
                      <w:numPr>
                        <w:ilvl w:val="0"/>
                        <w:numId w:val="43"/>
                      </w:numPr>
                      <w:tabs>
                        <w:tab w:pos="272" w:val="left" w:leader="none"/>
                      </w:tabs>
                      <w:spacing w:line="184" w:lineRule="exact" w:before="0"/>
                      <w:ind w:left="271" w:right="0" w:hanging="228"/>
                      <w:jc w:val="left"/>
                      <w:rPr>
                        <w:b/>
                        <w:sz w:val="16"/>
                      </w:rPr>
                    </w:pPr>
                    <w:r>
                      <w:rPr>
                        <w:b/>
                        <w:sz w:val="16"/>
                      </w:rPr>
                      <w:t>Adults in Correctional</w:t>
                    </w:r>
                    <w:r>
                      <w:rPr>
                        <w:b/>
                        <w:spacing w:val="3"/>
                        <w:sz w:val="16"/>
                      </w:rPr>
                      <w:t> </w:t>
                    </w:r>
                    <w:r>
                      <w:rPr>
                        <w:b/>
                        <w:sz w:val="16"/>
                      </w:rPr>
                      <w:t>Facilities</w:t>
                    </w:r>
                  </w:p>
                  <w:p>
                    <w:pPr>
                      <w:numPr>
                        <w:ilvl w:val="0"/>
                        <w:numId w:val="43"/>
                      </w:numPr>
                      <w:tabs>
                        <w:tab w:pos="272" w:val="left" w:leader="none"/>
                      </w:tabs>
                      <w:spacing w:before="19"/>
                      <w:ind w:left="271" w:right="0" w:hanging="228"/>
                      <w:jc w:val="left"/>
                      <w:rPr>
                        <w:b/>
                        <w:sz w:val="16"/>
                      </w:rPr>
                    </w:pPr>
                    <w:r>
                      <w:rPr>
                        <w:b/>
                        <w:sz w:val="16"/>
                      </w:rPr>
                      <w:t>County Operations Grant</w:t>
                    </w:r>
                    <w:r>
                      <w:rPr>
                        <w:b/>
                        <w:spacing w:val="-6"/>
                        <w:sz w:val="16"/>
                      </w:rPr>
                      <w:t> </w:t>
                    </w:r>
                    <w:r>
                      <w:rPr>
                        <w:b/>
                        <w:spacing w:val="-3"/>
                        <w:sz w:val="16"/>
                      </w:rPr>
                      <w:t>ADA</w:t>
                    </w:r>
                  </w:p>
                  <w:p>
                    <w:pPr>
                      <w:numPr>
                        <w:ilvl w:val="0"/>
                        <w:numId w:val="43"/>
                      </w:numPr>
                      <w:tabs>
                        <w:tab w:pos="272" w:val="left" w:leader="none"/>
                      </w:tabs>
                      <w:spacing w:before="20"/>
                      <w:ind w:left="271" w:right="0" w:hanging="228"/>
                      <w:jc w:val="left"/>
                      <w:rPr>
                        <w:b/>
                        <w:sz w:val="16"/>
                      </w:rPr>
                    </w:pPr>
                    <w:r>
                      <w:rPr>
                        <w:b/>
                        <w:sz w:val="16"/>
                      </w:rPr>
                      <w:t>Charter School</w:t>
                    </w:r>
                    <w:r>
                      <w:rPr>
                        <w:b/>
                        <w:spacing w:val="2"/>
                        <w:sz w:val="16"/>
                      </w:rPr>
                      <w:t> </w:t>
                    </w:r>
                    <w:r>
                      <w:rPr>
                        <w:b/>
                        <w:spacing w:val="-3"/>
                        <w:sz w:val="16"/>
                      </w:rPr>
                      <w:t>ADA</w:t>
                    </w:r>
                  </w:p>
                  <w:p>
                    <w:pPr>
                      <w:spacing w:line="266" w:lineRule="auto" w:before="20"/>
                      <w:ind w:left="273" w:right="990" w:firstLine="0"/>
                      <w:jc w:val="left"/>
                      <w:rPr>
                        <w:b/>
                        <w:sz w:val="16"/>
                      </w:rPr>
                    </w:pPr>
                    <w:r>
                      <w:rPr>
                        <w:b/>
                        <w:sz w:val="16"/>
                      </w:rPr>
                      <w:t>(Enter Charter School ADA using Tab C. Charter School ADA)</w:t>
                    </w:r>
                  </w:p>
                </w:txbxContent>
              </v:textbox>
              <w10:wrap type="none"/>
            </v:shape>
            <v:shape style="position:absolute;left:4968;top:1172;width:655;height:180" type="#_x0000_t202" filled="false" stroked="false">
              <v:textbox inset="0,0,0,0">
                <w:txbxContent>
                  <w:p>
                    <w:pPr>
                      <w:spacing w:line="179" w:lineRule="exact" w:before="0"/>
                      <w:ind w:left="0" w:right="0" w:firstLine="0"/>
                      <w:jc w:val="left"/>
                      <w:rPr>
                        <w:b/>
                        <w:sz w:val="16"/>
                      </w:rPr>
                    </w:pPr>
                    <w:r>
                      <w:rPr>
                        <w:b/>
                        <w:sz w:val="16"/>
                      </w:rPr>
                      <w:t>P-2 ADA</w:t>
                    </w:r>
                  </w:p>
                </w:txbxContent>
              </v:textbox>
              <w10:wrap type="none"/>
            </v:shape>
            <v:shape style="position:absolute;left:6016;top:944;width:5736;height:408" type="#_x0000_t202" filled="false" stroked="false">
              <v:textbox inset="0,0,0,0">
                <w:txbxContent>
                  <w:p>
                    <w:pPr>
                      <w:tabs>
                        <w:tab w:pos="3650" w:val="left" w:leader="none"/>
                        <w:tab w:pos="4821" w:val="left" w:leader="none"/>
                      </w:tabs>
                      <w:spacing w:line="179" w:lineRule="exact" w:before="0"/>
                      <w:ind w:left="2287" w:right="0" w:firstLine="0"/>
                      <w:jc w:val="left"/>
                      <w:rPr>
                        <w:b/>
                        <w:sz w:val="16"/>
                      </w:rPr>
                    </w:pPr>
                    <w:r>
                      <w:rPr>
                        <w:b/>
                        <w:sz w:val="16"/>
                      </w:rPr>
                      <w:t>Estimated</w:t>
                    </w:r>
                    <w:r>
                      <w:rPr>
                        <w:b/>
                        <w:spacing w:val="2"/>
                        <w:sz w:val="16"/>
                      </w:rPr>
                      <w:t> </w:t>
                    </w:r>
                    <w:r>
                      <w:rPr>
                        <w:b/>
                        <w:sz w:val="16"/>
                      </w:rPr>
                      <w:t>P-2</w:t>
                      <w:tab/>
                      <w:t>Estimated</w:t>
                      <w:tab/>
                      <w:t>Estimated</w:t>
                    </w:r>
                  </w:p>
                  <w:p>
                    <w:pPr>
                      <w:tabs>
                        <w:tab w:pos="1171" w:val="left" w:leader="none"/>
                        <w:tab w:pos="2675" w:val="left" w:leader="none"/>
                        <w:tab w:pos="3578" w:val="left" w:leader="none"/>
                        <w:tab w:pos="4749" w:val="left" w:leader="none"/>
                      </w:tabs>
                      <w:spacing w:before="44"/>
                      <w:ind w:left="0" w:right="0" w:firstLine="0"/>
                      <w:jc w:val="left"/>
                      <w:rPr>
                        <w:b/>
                        <w:sz w:val="16"/>
                      </w:rPr>
                    </w:pPr>
                    <w:r>
                      <w:rPr>
                        <w:b/>
                        <w:sz w:val="16"/>
                      </w:rPr>
                      <w:t>Annual</w:t>
                    </w:r>
                    <w:r>
                      <w:rPr>
                        <w:b/>
                        <w:spacing w:val="-1"/>
                        <w:sz w:val="16"/>
                      </w:rPr>
                      <w:t> </w:t>
                    </w:r>
                    <w:r>
                      <w:rPr>
                        <w:b/>
                        <w:spacing w:val="-3"/>
                        <w:sz w:val="16"/>
                      </w:rPr>
                      <w:t>ADA</w:t>
                      <w:tab/>
                    </w:r>
                    <w:r>
                      <w:rPr>
                        <w:b/>
                        <w:sz w:val="16"/>
                      </w:rPr>
                      <w:t>Funded</w:t>
                    </w:r>
                    <w:r>
                      <w:rPr>
                        <w:b/>
                        <w:spacing w:val="2"/>
                        <w:sz w:val="16"/>
                      </w:rPr>
                      <w:t> </w:t>
                    </w:r>
                    <w:r>
                      <w:rPr>
                        <w:b/>
                        <w:spacing w:val="-3"/>
                        <w:sz w:val="16"/>
                      </w:rPr>
                      <w:t>ADA</w:t>
                      <w:tab/>
                      <w:t>ADA</w:t>
                      <w:tab/>
                    </w:r>
                    <w:r>
                      <w:rPr>
                        <w:b/>
                        <w:sz w:val="16"/>
                      </w:rPr>
                      <w:t>Annual </w:t>
                    </w:r>
                    <w:r>
                      <w:rPr>
                        <w:b/>
                        <w:spacing w:val="-3"/>
                        <w:sz w:val="16"/>
                      </w:rPr>
                      <w:t>ADA</w:t>
                      <w:tab/>
                    </w:r>
                    <w:r>
                      <w:rPr>
                        <w:b/>
                        <w:sz w:val="16"/>
                      </w:rPr>
                      <w:t>Funded</w:t>
                    </w:r>
                    <w:r>
                      <w:rPr>
                        <w:b/>
                        <w:spacing w:val="3"/>
                        <w:sz w:val="16"/>
                      </w:rPr>
                      <w:t> </w:t>
                    </w:r>
                    <w:r>
                      <w:rPr>
                        <w:b/>
                        <w:spacing w:val="-3"/>
                        <w:sz w:val="16"/>
                      </w:rPr>
                      <w:t>ADA</w:t>
                    </w:r>
                  </w:p>
                </w:txbxContent>
              </v:textbox>
              <w10:wrap type="none"/>
            </v:shape>
            <v:shape style="position:absolute;left:5476;top:3071;width:333;height:180" type="#_x0000_t202" filled="false" stroked="false">
              <v:textbox inset="0,0,0,0">
                <w:txbxContent>
                  <w:p>
                    <w:pPr>
                      <w:spacing w:line="179" w:lineRule="exact" w:before="0"/>
                      <w:ind w:left="0" w:right="0" w:firstLine="0"/>
                      <w:jc w:val="left"/>
                      <w:rPr>
                        <w:sz w:val="16"/>
                      </w:rPr>
                    </w:pPr>
                    <w:r>
                      <w:rPr>
                        <w:sz w:val="16"/>
                      </w:rPr>
                      <w:t>0.00</w:t>
                    </w:r>
                  </w:p>
                </w:txbxContent>
              </v:textbox>
              <w10:wrap type="none"/>
            </v:shape>
            <v:shape style="position:absolute;left:6669;top:3071;width:333;height:180" type="#_x0000_t202" filled="false" stroked="false">
              <v:textbox inset="0,0,0,0">
                <w:txbxContent>
                  <w:p>
                    <w:pPr>
                      <w:spacing w:line="179" w:lineRule="exact" w:before="0"/>
                      <w:ind w:left="0" w:right="0" w:firstLine="0"/>
                      <w:jc w:val="left"/>
                      <w:rPr>
                        <w:sz w:val="16"/>
                      </w:rPr>
                    </w:pPr>
                    <w:r>
                      <w:rPr>
                        <w:sz w:val="16"/>
                      </w:rPr>
                      <w:t>0.00</w:t>
                    </w:r>
                  </w:p>
                </w:txbxContent>
              </v:textbox>
              <w10:wrap type="none"/>
            </v:shape>
            <v:shape style="position:absolute;left:7862;top:3071;width:333;height:180" type="#_x0000_t202" filled="false" stroked="false">
              <v:textbox inset="0,0,0,0">
                <w:txbxContent>
                  <w:p>
                    <w:pPr>
                      <w:spacing w:line="179" w:lineRule="exact" w:before="0"/>
                      <w:ind w:left="0" w:right="0" w:firstLine="0"/>
                      <w:jc w:val="left"/>
                      <w:rPr>
                        <w:sz w:val="16"/>
                      </w:rPr>
                    </w:pPr>
                    <w:r>
                      <w:rPr>
                        <w:sz w:val="16"/>
                      </w:rPr>
                      <w:t>0.00</w:t>
                    </w:r>
                  </w:p>
                </w:txbxContent>
              </v:textbox>
              <w10:wrap type="none"/>
            </v:shape>
            <v:shape style="position:absolute;left:9055;top:3071;width:333;height:180" type="#_x0000_t202" filled="false" stroked="false">
              <v:textbox inset="0,0,0,0">
                <w:txbxContent>
                  <w:p>
                    <w:pPr>
                      <w:spacing w:line="179" w:lineRule="exact" w:before="0"/>
                      <w:ind w:left="0" w:right="0" w:firstLine="0"/>
                      <w:jc w:val="left"/>
                      <w:rPr>
                        <w:sz w:val="16"/>
                      </w:rPr>
                    </w:pPr>
                    <w:r>
                      <w:rPr>
                        <w:sz w:val="16"/>
                      </w:rPr>
                      <w:t>0.00</w:t>
                    </w:r>
                  </w:p>
                </w:txbxContent>
              </v:textbox>
              <w10:wrap type="none"/>
            </v:shape>
            <v:shape style="position:absolute;left:10248;top:3071;width:333;height:180" type="#_x0000_t202" filled="false" stroked="false">
              <v:textbox inset="0,0,0,0">
                <w:txbxContent>
                  <w:p>
                    <w:pPr>
                      <w:spacing w:line="179" w:lineRule="exact" w:before="0"/>
                      <w:ind w:left="0" w:right="0" w:firstLine="0"/>
                      <w:jc w:val="left"/>
                      <w:rPr>
                        <w:sz w:val="16"/>
                      </w:rPr>
                    </w:pPr>
                    <w:r>
                      <w:rPr>
                        <w:sz w:val="16"/>
                      </w:rPr>
                      <w:t>0.00</w:t>
                    </w:r>
                  </w:p>
                </w:txbxContent>
              </v:textbox>
              <w10:wrap type="none"/>
            </v:shape>
            <v:shape style="position:absolute;left:11440;top:3071;width:333;height:180" type="#_x0000_t202" filled="false" stroked="false">
              <v:textbox inset="0,0,0,0">
                <w:txbxContent>
                  <w:p>
                    <w:pPr>
                      <w:spacing w:line="179" w:lineRule="exact" w:before="0"/>
                      <w:ind w:left="0" w:right="0" w:firstLine="0"/>
                      <w:jc w:val="left"/>
                      <w:rPr>
                        <w:sz w:val="16"/>
                      </w:rPr>
                    </w:pPr>
                    <w:r>
                      <w:rPr>
                        <w:sz w:val="16"/>
                      </w:rPr>
                      <w:t>0.00</w:t>
                    </w:r>
                  </w:p>
                </w:txbxContent>
              </v:textbox>
              <w10:wrap type="none"/>
            </v:shape>
            <w10:wrap type="none"/>
          </v:group>
        </w:pict>
      </w:r>
      <w:r>
        <w:rPr>
          <w:sz w:val="16"/>
        </w:rPr>
        <w:t>Winship-Robbins Elementary Sutter County</w:t>
      </w:r>
    </w:p>
    <w:p>
      <w:pPr>
        <w:spacing w:line="182" w:lineRule="exact" w:before="82"/>
        <w:ind w:left="538" w:right="0" w:firstLine="0"/>
        <w:jc w:val="left"/>
        <w:rPr>
          <w:sz w:val="16"/>
        </w:rPr>
      </w:pPr>
      <w:r>
        <w:rPr/>
        <w:br w:type="column"/>
      </w:r>
      <w:r>
        <w:rPr>
          <w:sz w:val="16"/>
        </w:rPr>
        <w:t>2021-22 July 1 Budget</w:t>
      </w:r>
    </w:p>
    <w:p>
      <w:pPr>
        <w:tabs>
          <w:tab w:pos="7170" w:val="right" w:leader="none"/>
        </w:tabs>
        <w:spacing w:line="180" w:lineRule="exact" w:before="0"/>
        <w:ind w:left="128" w:right="0" w:firstLine="0"/>
        <w:jc w:val="left"/>
        <w:rPr>
          <w:sz w:val="16"/>
        </w:rPr>
      </w:pPr>
      <w:r>
        <w:rPr>
          <w:sz w:val="16"/>
        </w:rPr>
        <w:t>AVERAGE</w:t>
      </w:r>
      <w:r>
        <w:rPr>
          <w:spacing w:val="4"/>
          <w:sz w:val="16"/>
        </w:rPr>
        <w:t> </w:t>
      </w:r>
      <w:r>
        <w:rPr>
          <w:sz w:val="16"/>
        </w:rPr>
        <w:t>DAILY</w:t>
      </w:r>
      <w:r>
        <w:rPr>
          <w:spacing w:val="4"/>
          <w:sz w:val="16"/>
        </w:rPr>
        <w:t> </w:t>
      </w:r>
      <w:r>
        <w:rPr>
          <w:sz w:val="16"/>
        </w:rPr>
        <w:t>ATTENDANCE</w:t>
        <w:tab/>
        <w:t>51 71456</w:t>
      </w:r>
      <w:r>
        <w:rPr>
          <w:spacing w:val="-2"/>
          <w:sz w:val="16"/>
        </w:rPr>
        <w:t> </w:t>
      </w:r>
      <w:r>
        <w:rPr>
          <w:sz w:val="16"/>
        </w:rPr>
        <w:t>0000000</w:t>
      </w:r>
    </w:p>
    <w:p>
      <w:pPr>
        <w:spacing w:line="182" w:lineRule="exact" w:before="0"/>
        <w:ind w:left="6643" w:right="0" w:firstLine="0"/>
        <w:jc w:val="left"/>
        <w:rPr>
          <w:sz w:val="16"/>
        </w:rPr>
      </w:pPr>
      <w:r>
        <w:rPr/>
        <w:pict>
          <v:shape style="position:absolute;margin-left:467.279968pt;margin-top:26.450129pt;width:70.6pt;height:10.75pt;mso-position-horizontal-relative:page;mso-position-vertical-relative:paragraph;z-index:-314184704" type="#_x0000_t202" filled="false" stroked="false">
            <v:textbox inset="0,0,0,0">
              <w:txbxContent>
                <w:p>
                  <w:pPr>
                    <w:spacing w:line="214" w:lineRule="exact" w:before="0"/>
                    <w:ind w:left="0" w:right="0" w:firstLine="0"/>
                    <w:jc w:val="left"/>
                    <w:rPr>
                      <w:b/>
                      <w:sz w:val="19"/>
                    </w:rPr>
                  </w:pPr>
                  <w:r>
                    <w:rPr>
                      <w:b/>
                      <w:sz w:val="19"/>
                    </w:rPr>
                    <w:t>2021-22 Budget</w:t>
                  </w:r>
                </w:p>
              </w:txbxContent>
            </v:textbox>
            <w10:wrap type="none"/>
          </v:shape>
        </w:pict>
      </w:r>
      <w:r>
        <w:rPr>
          <w:sz w:val="16"/>
        </w:rPr>
        <w:t>Form</w:t>
      </w:r>
      <w:r>
        <w:rPr>
          <w:spacing w:val="4"/>
          <w:sz w:val="16"/>
        </w:rPr>
        <w:t> </w:t>
      </w:r>
      <w:r>
        <w:rPr>
          <w:sz w:val="16"/>
        </w:rPr>
        <w:t>A</w:t>
      </w:r>
    </w:p>
    <w:p>
      <w:pPr>
        <w:spacing w:after="0" w:line="182" w:lineRule="exact"/>
        <w:jc w:val="left"/>
        <w:rPr>
          <w:sz w:val="16"/>
        </w:rPr>
        <w:sectPr>
          <w:headerReference w:type="default" r:id="rId980"/>
          <w:footerReference w:type="default" r:id="rId981"/>
          <w:pgSz w:w="12240" w:h="15840"/>
          <w:pgMar w:header="0" w:footer="0" w:top="200" w:bottom="0" w:left="160" w:right="180"/>
          <w:cols w:num="2" w:equalWidth="0">
            <w:col w:w="2248" w:space="2370"/>
            <w:col w:w="7282"/>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6"/>
        </w:rPr>
      </w:pPr>
    </w:p>
    <w:tbl>
      <w:tblPr>
        <w:tblW w:w="0" w:type="auto"/>
        <w:jc w:val="left"/>
        <w:tblInd w:w="52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03"/>
        <w:gridCol w:w="1193"/>
        <w:gridCol w:w="1193"/>
        <w:gridCol w:w="1193"/>
        <w:gridCol w:w="1193"/>
        <w:gridCol w:w="803"/>
      </w:tblGrid>
      <w:tr>
        <w:trPr>
          <w:trHeight w:val="293" w:hRule="atLeast"/>
        </w:trPr>
        <w:tc>
          <w:tcPr>
            <w:tcW w:w="803" w:type="dxa"/>
          </w:tcPr>
          <w:p>
            <w:pPr>
              <w:pStyle w:val="TableParagraph"/>
              <w:spacing w:line="179" w:lineRule="exact"/>
              <w:ind w:left="50"/>
              <w:rPr>
                <w:sz w:val="16"/>
              </w:rPr>
            </w:pPr>
            <w:r>
              <w:rPr>
                <w:sz w:val="16"/>
              </w:rPr>
              <w:t>0.00</w:t>
            </w:r>
          </w:p>
        </w:tc>
        <w:tc>
          <w:tcPr>
            <w:tcW w:w="1193" w:type="dxa"/>
          </w:tcPr>
          <w:p>
            <w:pPr>
              <w:pStyle w:val="TableParagraph"/>
              <w:spacing w:line="179" w:lineRule="exact"/>
              <w:ind w:left="439"/>
              <w:rPr>
                <w:sz w:val="16"/>
              </w:rPr>
            </w:pPr>
            <w:r>
              <w:rPr>
                <w:sz w:val="16"/>
              </w:rPr>
              <w:t>0.00</w:t>
            </w:r>
          </w:p>
        </w:tc>
        <w:tc>
          <w:tcPr>
            <w:tcW w:w="1193" w:type="dxa"/>
          </w:tcPr>
          <w:p>
            <w:pPr>
              <w:pStyle w:val="TableParagraph"/>
              <w:spacing w:line="179" w:lineRule="exact"/>
              <w:ind w:left="439"/>
              <w:rPr>
                <w:sz w:val="16"/>
              </w:rPr>
            </w:pPr>
            <w:r>
              <w:rPr>
                <w:sz w:val="16"/>
              </w:rPr>
              <w:t>0.00</w:t>
            </w:r>
          </w:p>
        </w:tc>
        <w:tc>
          <w:tcPr>
            <w:tcW w:w="1193" w:type="dxa"/>
          </w:tcPr>
          <w:p>
            <w:pPr>
              <w:pStyle w:val="TableParagraph"/>
              <w:spacing w:line="179" w:lineRule="exact"/>
              <w:ind w:left="439"/>
              <w:rPr>
                <w:sz w:val="16"/>
              </w:rPr>
            </w:pPr>
            <w:r>
              <w:rPr>
                <w:sz w:val="16"/>
              </w:rPr>
              <w:t>0.00</w:t>
            </w:r>
          </w:p>
        </w:tc>
        <w:tc>
          <w:tcPr>
            <w:tcW w:w="1193" w:type="dxa"/>
          </w:tcPr>
          <w:p>
            <w:pPr>
              <w:pStyle w:val="TableParagraph"/>
              <w:spacing w:line="179" w:lineRule="exact"/>
              <w:ind w:left="439"/>
              <w:rPr>
                <w:sz w:val="16"/>
              </w:rPr>
            </w:pPr>
            <w:r>
              <w:rPr>
                <w:sz w:val="16"/>
              </w:rPr>
              <w:t>0.00</w:t>
            </w:r>
          </w:p>
        </w:tc>
        <w:tc>
          <w:tcPr>
            <w:tcW w:w="803" w:type="dxa"/>
          </w:tcPr>
          <w:p>
            <w:pPr>
              <w:pStyle w:val="TableParagraph"/>
              <w:spacing w:line="179" w:lineRule="exact"/>
              <w:ind w:right="49"/>
              <w:jc w:val="right"/>
              <w:rPr>
                <w:sz w:val="16"/>
              </w:rPr>
            </w:pPr>
            <w:r>
              <w:rPr>
                <w:sz w:val="16"/>
              </w:rPr>
              <w:t>0.00</w:t>
            </w:r>
          </w:p>
        </w:tc>
      </w:tr>
      <w:tr>
        <w:trPr>
          <w:trHeight w:val="293" w:hRule="atLeast"/>
        </w:trPr>
        <w:tc>
          <w:tcPr>
            <w:tcW w:w="803" w:type="dxa"/>
          </w:tcPr>
          <w:p>
            <w:pPr>
              <w:pStyle w:val="TableParagraph"/>
              <w:spacing w:line="164" w:lineRule="exact" w:before="109"/>
              <w:ind w:left="50"/>
              <w:rPr>
                <w:sz w:val="16"/>
              </w:rPr>
            </w:pPr>
            <w:r>
              <w:rPr>
                <w:sz w:val="16"/>
              </w:rPr>
              <w:t>0.00</w:t>
            </w:r>
          </w:p>
        </w:tc>
        <w:tc>
          <w:tcPr>
            <w:tcW w:w="1193" w:type="dxa"/>
          </w:tcPr>
          <w:p>
            <w:pPr>
              <w:pStyle w:val="TableParagraph"/>
              <w:spacing w:line="164" w:lineRule="exact" w:before="109"/>
              <w:ind w:left="439"/>
              <w:rPr>
                <w:sz w:val="16"/>
              </w:rPr>
            </w:pPr>
            <w:r>
              <w:rPr>
                <w:sz w:val="16"/>
              </w:rPr>
              <w:t>0.00</w:t>
            </w:r>
          </w:p>
        </w:tc>
        <w:tc>
          <w:tcPr>
            <w:tcW w:w="1193" w:type="dxa"/>
          </w:tcPr>
          <w:p>
            <w:pPr>
              <w:pStyle w:val="TableParagraph"/>
              <w:spacing w:line="164" w:lineRule="exact" w:before="109"/>
              <w:ind w:left="439"/>
              <w:rPr>
                <w:sz w:val="16"/>
              </w:rPr>
            </w:pPr>
            <w:r>
              <w:rPr>
                <w:sz w:val="16"/>
              </w:rPr>
              <w:t>0.00</w:t>
            </w:r>
          </w:p>
        </w:tc>
        <w:tc>
          <w:tcPr>
            <w:tcW w:w="1193" w:type="dxa"/>
          </w:tcPr>
          <w:p>
            <w:pPr>
              <w:pStyle w:val="TableParagraph"/>
              <w:spacing w:line="164" w:lineRule="exact" w:before="109"/>
              <w:ind w:left="439"/>
              <w:rPr>
                <w:sz w:val="16"/>
              </w:rPr>
            </w:pPr>
            <w:r>
              <w:rPr>
                <w:sz w:val="16"/>
              </w:rPr>
              <w:t>0.00</w:t>
            </w:r>
          </w:p>
        </w:tc>
        <w:tc>
          <w:tcPr>
            <w:tcW w:w="1193" w:type="dxa"/>
          </w:tcPr>
          <w:p>
            <w:pPr>
              <w:pStyle w:val="TableParagraph"/>
              <w:spacing w:line="164" w:lineRule="exact" w:before="109"/>
              <w:ind w:left="439"/>
              <w:rPr>
                <w:sz w:val="16"/>
              </w:rPr>
            </w:pPr>
            <w:r>
              <w:rPr>
                <w:sz w:val="16"/>
              </w:rPr>
              <w:t>0.00</w:t>
            </w:r>
          </w:p>
        </w:tc>
        <w:tc>
          <w:tcPr>
            <w:tcW w:w="803" w:type="dxa"/>
          </w:tcPr>
          <w:p>
            <w:pPr>
              <w:pStyle w:val="TableParagraph"/>
              <w:spacing w:line="164" w:lineRule="exact" w:before="109"/>
              <w:ind w:right="49"/>
              <w:jc w:val="right"/>
              <w:rPr>
                <w:sz w:val="16"/>
              </w:rPr>
            </w:pPr>
            <w:r>
              <w:rPr>
                <w:sz w:val="16"/>
              </w:rPr>
              <w:t>0.00</w:t>
            </w:r>
          </w:p>
        </w:tc>
      </w:tr>
    </w:tbl>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spacing w:line="182" w:lineRule="exact" w:before="158"/>
        <w:ind w:left="128" w:right="0" w:firstLine="0"/>
        <w:jc w:val="left"/>
        <w:rPr>
          <w:sz w:val="16"/>
        </w:rPr>
      </w:pPr>
      <w:r>
        <w:rPr>
          <w:sz w:val="16"/>
        </w:rPr>
        <w:t>California Dept of Education</w:t>
      </w:r>
    </w:p>
    <w:p>
      <w:pPr>
        <w:spacing w:line="180" w:lineRule="exact" w:before="0"/>
        <w:ind w:left="128" w:right="0" w:firstLine="0"/>
        <w:jc w:val="left"/>
        <w:rPr>
          <w:sz w:val="16"/>
        </w:rPr>
      </w:pPr>
      <w:r>
        <w:rPr>
          <w:sz w:val="16"/>
        </w:rPr>
        <w:t>SACS Financial Reporting Software - 2021.1.0</w:t>
      </w:r>
    </w:p>
    <w:p>
      <w:pPr>
        <w:tabs>
          <w:tab w:pos="5546" w:val="left" w:leader="none"/>
          <w:tab w:pos="9742" w:val="left" w:leader="none"/>
        </w:tabs>
        <w:spacing w:line="182" w:lineRule="exact" w:before="0"/>
        <w:ind w:left="128" w:right="0" w:firstLine="0"/>
        <w:jc w:val="left"/>
        <w:rPr>
          <w:sz w:val="16"/>
        </w:rPr>
      </w:pPr>
      <w:r>
        <w:rPr>
          <w:sz w:val="16"/>
        </w:rPr>
        <w:t>File: ada</w:t>
      </w:r>
      <w:r>
        <w:rPr>
          <w:spacing w:val="1"/>
          <w:sz w:val="16"/>
        </w:rPr>
        <w:t> </w:t>
      </w:r>
      <w:r>
        <w:rPr>
          <w:sz w:val="16"/>
        </w:rPr>
        <w:t>(Rev 03/15/2021)</w:t>
        <w:tab/>
        <w:t>Page 1 of</w:t>
      </w:r>
      <w:r>
        <w:rPr>
          <w:spacing w:val="3"/>
          <w:sz w:val="16"/>
        </w:rPr>
        <w:t> </w:t>
      </w:r>
      <w:r>
        <w:rPr>
          <w:sz w:val="16"/>
        </w:rPr>
        <w:t>1</w:t>
        <w:tab/>
        <w:t>Printed: 6/4/2021 10:08</w:t>
      </w:r>
      <w:r>
        <w:rPr>
          <w:spacing w:val="5"/>
          <w:sz w:val="16"/>
        </w:rPr>
        <w:t> </w:t>
      </w:r>
      <w:r>
        <w:rPr>
          <w:sz w:val="16"/>
        </w:rPr>
        <w:t>AM</w:t>
      </w:r>
    </w:p>
    <w:p>
      <w:pPr>
        <w:spacing w:after="0" w:line="182" w:lineRule="exact"/>
        <w:jc w:val="left"/>
        <w:rPr>
          <w:sz w:val="16"/>
        </w:rPr>
        <w:sectPr>
          <w:type w:val="continuous"/>
          <w:pgSz w:w="12240" w:h="15840"/>
          <w:pgMar w:top="1500" w:bottom="840" w:left="160" w:right="180"/>
        </w:sectPr>
      </w:pPr>
    </w:p>
    <w:p>
      <w:pPr>
        <w:pStyle w:val="BodyText"/>
        <w:spacing w:before="7"/>
        <w:rPr>
          <w:sz w:val="20"/>
        </w:rPr>
      </w:pPr>
    </w:p>
    <w:p>
      <w:pPr>
        <w:spacing w:line="230" w:lineRule="auto" w:before="0"/>
        <w:ind w:left="639" w:right="3" w:firstLine="0"/>
        <w:jc w:val="left"/>
        <w:rPr>
          <w:sz w:val="15"/>
        </w:rPr>
      </w:pPr>
      <w:r>
        <w:rPr>
          <w:sz w:val="15"/>
        </w:rPr>
        <w:t>Winship-Robbins Elementary Sutter County</w:t>
      </w:r>
    </w:p>
    <w:p>
      <w:pPr>
        <w:spacing w:line="169" w:lineRule="exact" w:before="66"/>
        <w:ind w:left="1020" w:right="0" w:firstLine="0"/>
        <w:jc w:val="left"/>
        <w:rPr>
          <w:sz w:val="15"/>
        </w:rPr>
      </w:pPr>
      <w:r>
        <w:rPr/>
        <w:br w:type="column"/>
      </w:r>
      <w:r>
        <w:rPr>
          <w:sz w:val="15"/>
        </w:rPr>
        <w:t>2021-22 July 1 Budget</w:t>
      </w:r>
    </w:p>
    <w:p>
      <w:pPr>
        <w:tabs>
          <w:tab w:pos="7076" w:val="right" w:leader="none"/>
        </w:tabs>
        <w:spacing w:line="166" w:lineRule="exact" w:before="0"/>
        <w:ind w:left="639" w:right="0" w:firstLine="0"/>
        <w:jc w:val="left"/>
        <w:rPr>
          <w:sz w:val="15"/>
        </w:rPr>
      </w:pPr>
      <w:r>
        <w:rPr>
          <w:sz w:val="15"/>
        </w:rPr>
        <w:t>AVERAGE</w:t>
      </w:r>
      <w:r>
        <w:rPr>
          <w:spacing w:val="-10"/>
          <w:sz w:val="15"/>
        </w:rPr>
        <w:t> </w:t>
      </w:r>
      <w:r>
        <w:rPr>
          <w:sz w:val="15"/>
        </w:rPr>
        <w:t>DAILY</w:t>
      </w:r>
      <w:r>
        <w:rPr>
          <w:spacing w:val="-13"/>
          <w:sz w:val="15"/>
        </w:rPr>
        <w:t> </w:t>
      </w:r>
      <w:r>
        <w:rPr>
          <w:sz w:val="15"/>
        </w:rPr>
        <w:t>ATTENDANCE</w:t>
        <w:tab/>
        <w:t>51 71456</w:t>
      </w:r>
      <w:r>
        <w:rPr>
          <w:spacing w:val="-28"/>
          <w:sz w:val="15"/>
        </w:rPr>
        <w:t> </w:t>
      </w:r>
      <w:r>
        <w:rPr>
          <w:sz w:val="15"/>
        </w:rPr>
        <w:t>0000000</w:t>
      </w:r>
    </w:p>
    <w:p>
      <w:pPr>
        <w:spacing w:line="169" w:lineRule="exact" w:before="0"/>
        <w:ind w:left="6588" w:right="0" w:firstLine="0"/>
        <w:jc w:val="left"/>
        <w:rPr>
          <w:sz w:val="15"/>
        </w:rPr>
      </w:pPr>
      <w:r>
        <w:rPr/>
        <w:pict>
          <v:group style="position:absolute;margin-left:42.360001pt;margin-top:9.62278pt;width:527.050pt;height:590.3pt;mso-position-horizontal-relative:page;mso-position-vertical-relative:paragraph;z-index:-314167296" coordorigin="847,192" coordsize="10541,11806">
            <v:shape style="position:absolute;left:847;top:192;width:10541;height:238" type="#_x0000_t75" stroked="false">
              <v:imagedata r:id="rId1002" o:title=""/>
            </v:shape>
            <v:shape style="position:absolute;left:5901;top:192;width:5487;height:713" type="#_x0000_t75" stroked="false">
              <v:imagedata r:id="rId1003" o:title=""/>
            </v:shape>
            <v:shape style="position:absolute;left:847;top:422;width:5062;height:850" type="#_x0000_t75" stroked="false">
              <v:imagedata r:id="rId1004" o:title=""/>
            </v:shape>
            <v:shape style="position:absolute;left:9184;top:523;width:2204;height:749" type="#_x0000_t75" stroked="false">
              <v:imagedata r:id="rId1005" o:title=""/>
            </v:shape>
            <v:rect style="position:absolute;left:859;top:1085;width:10512;height:183" filled="true" fillcolor="#ffffff" stroked="false">
              <v:fill type="solid"/>
            </v:rect>
            <v:shape style="position:absolute;left:847;top:1080;width:22;height:382" type="#_x0000_t75" stroked="false">
              <v:imagedata r:id="rId972" o:title=""/>
            </v:shape>
            <v:shape style="position:absolute;left:11366;top:1080;width:22;height:382" type="#_x0000_t75" stroked="false">
              <v:imagedata r:id="rId972" o:title=""/>
            </v:shape>
            <v:shape style="position:absolute;left:847;top:1270;width:10541;height:538" type="#_x0000_t75" stroked="false">
              <v:imagedata r:id="rId1006" o:title=""/>
            </v:shape>
            <v:shape style="position:absolute;left:847;top:1452;width:10541;height:2316" type="#_x0000_t75" stroked="false">
              <v:imagedata r:id="rId1007" o:title=""/>
            </v:shape>
            <v:shape style="position:absolute;left:4800;top:3576;width:6588;height:2468" type="#_x0000_t75" stroked="false">
              <v:imagedata r:id="rId1008" o:title=""/>
            </v:shape>
            <v:shape style="position:absolute;left:4800;top:5851;width:6588;height:584" type="#_x0000_t75" stroked="false">
              <v:imagedata r:id="rId1009" o:title=""/>
            </v:shape>
            <v:shape style="position:absolute;left:847;top:3766;width:8345;height:3024" type="#_x0000_t75" stroked="false">
              <v:imagedata r:id="rId1010" o:title=""/>
            </v:shape>
            <v:line style="position:absolute" from="4808,6425" to="4808,6773" stroked="true" strokeweight=".359986pt" strokecolor="#ffffff">
              <v:stroke dashstyle="solid"/>
            </v:line>
            <v:shape style="position:absolute;left:5901;top:6230;width:5487;height:204" type="#_x0000_t75" stroked="false">
              <v:imagedata r:id="rId1011" o:title=""/>
            </v:shape>
            <v:shape style="position:absolute;left:5902;top:6425;width:1095;height:348" coordorigin="5903,6425" coordsize="1095,348" path="m5903,6425l5903,6773m6997,6425l6997,6773e" filled="false" stroked="true" strokeweight=".360008pt" strokecolor="#ffffff">
              <v:path arrowok="t"/>
              <v:stroke dashstyle="solid"/>
            </v:shape>
            <v:line style="position:absolute" from="8092,6425" to="8092,6773" stroked="true" strokeweight=".359986pt" strokecolor="#ffffff">
              <v:stroke dashstyle="solid"/>
            </v:line>
            <v:shape style="position:absolute;left:4800;top:6420;width:6588;height:2343" type="#_x0000_t75" stroked="false">
              <v:imagedata r:id="rId1012" o:title=""/>
            </v:shape>
            <v:shape style="position:absolute;left:4800;top:8570;width:6588;height:2468" type="#_x0000_t75" stroked="false">
              <v:imagedata r:id="rId1013" o:title=""/>
            </v:shape>
            <v:shape style="position:absolute;left:847;top:6775;width:10541;height:4654" type="#_x0000_t75" stroked="false">
              <v:imagedata r:id="rId1014" o:title=""/>
            </v:shape>
            <v:shape style="position:absolute;left:847;top:11225;width:10541;height:773" type="#_x0000_t75" stroked="false">
              <v:imagedata r:id="rId1015" o:title=""/>
            </v:shape>
            <w10:wrap type="none"/>
          </v:group>
        </w:pict>
      </w:r>
      <w:r>
        <w:rPr>
          <w:sz w:val="15"/>
        </w:rPr>
        <w:t>Form</w:t>
      </w:r>
      <w:r>
        <w:rPr>
          <w:spacing w:val="-5"/>
          <w:sz w:val="15"/>
        </w:rPr>
        <w:t> </w:t>
      </w:r>
      <w:r>
        <w:rPr>
          <w:sz w:val="15"/>
        </w:rPr>
        <w:t>A</w:t>
      </w:r>
    </w:p>
    <w:p>
      <w:pPr>
        <w:tabs>
          <w:tab w:pos="4716" w:val="left" w:leader="hyphen"/>
          <w:tab w:pos="7006" w:val="left" w:leader="none"/>
        </w:tabs>
        <w:spacing w:before="54"/>
        <w:ind w:left="1096" w:right="0" w:firstLine="0"/>
        <w:jc w:val="left"/>
        <w:rPr>
          <w:b/>
          <w:sz w:val="17"/>
        </w:rPr>
      </w:pPr>
      <w:r>
        <w:rPr/>
        <w:pict>
          <v:shape style="position:absolute;margin-left:454.079987pt;margin-top:2.649306pt;width:65.4pt;height:9.950pt;mso-position-horizontal-relative:page;mso-position-vertical-relative:paragraph;z-index:-314171392" type="#_x0000_t202" filled="false" stroked="false">
            <v:textbox inset="0,0,0,0">
              <w:txbxContent>
                <w:p>
                  <w:pPr>
                    <w:spacing w:before="1"/>
                    <w:ind w:left="0" w:right="0" w:firstLine="0"/>
                    <w:jc w:val="left"/>
                    <w:rPr>
                      <w:b/>
                      <w:sz w:val="17"/>
                    </w:rPr>
                  </w:pPr>
                  <w:r>
                    <w:rPr>
                      <w:b/>
                      <w:w w:val="105"/>
                      <w:sz w:val="17"/>
                    </w:rPr>
                    <w:t>2021-22 </w:t>
                  </w:r>
                  <w:r>
                    <w:rPr>
                      <w:b/>
                      <w:spacing w:val="-4"/>
                      <w:w w:val="105"/>
                      <w:sz w:val="17"/>
                    </w:rPr>
                    <w:t>Budget</w:t>
                  </w:r>
                </w:p>
              </w:txbxContent>
            </v:textbox>
            <w10:wrap type="none"/>
          </v:shape>
        </w:pict>
      </w:r>
      <w:r>
        <w:rPr>
          <w:b/>
          <w:w w:val="105"/>
          <w:sz w:val="17"/>
        </w:rPr>
        <w:t>2020-21</w:t>
      </w:r>
      <w:r>
        <w:rPr>
          <w:b/>
          <w:spacing w:val="-6"/>
          <w:w w:val="105"/>
          <w:sz w:val="17"/>
        </w:rPr>
        <w:t> </w:t>
      </w:r>
      <w:r>
        <w:rPr>
          <w:b/>
          <w:w w:val="105"/>
          <w:sz w:val="17"/>
        </w:rPr>
        <w:t>Estimated</w:t>
      </w:r>
      <w:r>
        <w:rPr>
          <w:b/>
          <w:spacing w:val="-6"/>
          <w:w w:val="105"/>
          <w:sz w:val="17"/>
        </w:rPr>
        <w:t> </w:t>
      </w:r>
      <w:r>
        <w:rPr>
          <w:b/>
          <w:w w:val="105"/>
          <w:sz w:val="17"/>
        </w:rPr>
        <w:t>Actuals</w:t>
        <w:tab/>
      </w:r>
      <w:r>
        <w:rPr>
          <w:b/>
          <w:w w:val="105"/>
          <w:sz w:val="17"/>
          <w:shd w:fill="FFFFFF" w:color="auto" w:val="clear"/>
        </w:rPr>
        <w:t>2021-22</w:t>
      </w:r>
      <w:r>
        <w:rPr>
          <w:b/>
          <w:spacing w:val="-14"/>
          <w:w w:val="105"/>
          <w:sz w:val="17"/>
          <w:shd w:fill="FFFFFF" w:color="auto" w:val="clear"/>
        </w:rPr>
        <w:t> </w:t>
      </w:r>
      <w:r>
        <w:rPr>
          <w:b/>
          <w:w w:val="105"/>
          <w:sz w:val="17"/>
          <w:shd w:fill="FFFFFF" w:color="auto" w:val="clear"/>
        </w:rPr>
        <w:t>Budget</w:t>
      </w:r>
      <w:r>
        <w:rPr>
          <w:b/>
          <w:sz w:val="17"/>
          <w:shd w:fill="FFFFFF" w:color="auto" w:val="clear"/>
        </w:rPr>
        <w:tab/>
      </w:r>
    </w:p>
    <w:p>
      <w:pPr>
        <w:spacing w:after="0"/>
        <w:jc w:val="left"/>
        <w:rPr>
          <w:sz w:val="17"/>
        </w:rPr>
        <w:sectPr>
          <w:headerReference w:type="default" r:id="rId1000"/>
          <w:footerReference w:type="default" r:id="rId1001"/>
          <w:pgSz w:w="12240" w:h="15840"/>
          <w:pgMar w:header="0" w:footer="0" w:top="460" w:bottom="280" w:left="160" w:right="180"/>
          <w:cols w:num="2" w:equalWidth="0">
            <w:col w:w="2597" w:space="1608"/>
            <w:col w:w="7695"/>
          </w:cols>
        </w:sectPr>
      </w:pPr>
    </w:p>
    <w:p>
      <w:pPr>
        <w:tabs>
          <w:tab w:pos="4906" w:val="left" w:leader="none"/>
          <w:tab w:pos="5866" w:val="left" w:leader="none"/>
          <w:tab w:pos="6941" w:val="left" w:leader="none"/>
        </w:tabs>
        <w:spacing w:before="289"/>
        <w:ind w:left="728" w:right="0" w:firstLine="0"/>
        <w:jc w:val="left"/>
        <w:rPr>
          <w:b/>
          <w:sz w:val="15"/>
        </w:rPr>
      </w:pPr>
      <w:r>
        <w:rPr>
          <w:b/>
          <w:sz w:val="16"/>
        </w:rPr>
        <w:t>Description</w:t>
        <w:tab/>
      </w:r>
      <w:r>
        <w:rPr>
          <w:b/>
          <w:sz w:val="15"/>
        </w:rPr>
        <w:t>P-2</w:t>
      </w:r>
      <w:r>
        <w:rPr>
          <w:b/>
          <w:spacing w:val="-6"/>
          <w:sz w:val="15"/>
        </w:rPr>
        <w:t> </w:t>
      </w:r>
      <w:r>
        <w:rPr>
          <w:b/>
          <w:sz w:val="15"/>
        </w:rPr>
        <w:t>ADA</w:t>
        <w:tab/>
        <w:t>Annual</w:t>
      </w:r>
      <w:r>
        <w:rPr>
          <w:b/>
          <w:spacing w:val="-6"/>
          <w:sz w:val="15"/>
        </w:rPr>
        <w:t> </w:t>
      </w:r>
      <w:r>
        <w:rPr>
          <w:b/>
          <w:sz w:val="15"/>
        </w:rPr>
        <w:t>ADA</w:t>
        <w:tab/>
        <w:t>Funded</w:t>
      </w:r>
      <w:r>
        <w:rPr>
          <w:b/>
          <w:spacing w:val="-6"/>
          <w:sz w:val="15"/>
        </w:rPr>
        <w:t> </w:t>
      </w:r>
      <w:r>
        <w:rPr>
          <w:b/>
          <w:spacing w:val="-8"/>
          <w:sz w:val="15"/>
        </w:rPr>
        <w:t>ADA</w:t>
      </w:r>
    </w:p>
    <w:p>
      <w:pPr>
        <w:pStyle w:val="Heading6"/>
        <w:spacing w:before="15"/>
        <w:ind w:left="728" w:firstLine="0"/>
      </w:pPr>
      <w:r>
        <w:rPr/>
        <w:t>C. CHARTER SCHOOL ADA</w:t>
      </w:r>
    </w:p>
    <w:p>
      <w:pPr>
        <w:spacing w:before="125"/>
        <w:ind w:left="453" w:right="-10" w:hanging="334"/>
        <w:jc w:val="left"/>
        <w:rPr>
          <w:b/>
          <w:sz w:val="15"/>
        </w:rPr>
      </w:pPr>
      <w:r>
        <w:rPr/>
        <w:br w:type="column"/>
      </w:r>
      <w:r>
        <w:rPr>
          <w:b/>
          <w:sz w:val="15"/>
        </w:rPr>
        <w:t>Estimated </w:t>
      </w:r>
      <w:r>
        <w:rPr>
          <w:b/>
          <w:spacing w:val="-7"/>
          <w:sz w:val="15"/>
        </w:rPr>
        <w:t>P-2 </w:t>
      </w:r>
      <w:r>
        <w:rPr>
          <w:b/>
          <w:sz w:val="15"/>
        </w:rPr>
        <w:t>ADA</w:t>
      </w:r>
    </w:p>
    <w:p>
      <w:pPr>
        <w:spacing w:before="125"/>
        <w:ind w:left="137" w:right="-12" w:firstLine="74"/>
        <w:jc w:val="left"/>
        <w:rPr>
          <w:b/>
          <w:sz w:val="15"/>
        </w:rPr>
      </w:pPr>
      <w:r>
        <w:rPr/>
        <w:br w:type="column"/>
      </w:r>
      <w:r>
        <w:rPr>
          <w:b/>
          <w:sz w:val="15"/>
        </w:rPr>
        <w:t>Estimated Annual </w:t>
      </w:r>
      <w:r>
        <w:rPr>
          <w:b/>
          <w:spacing w:val="-8"/>
          <w:sz w:val="15"/>
        </w:rPr>
        <w:t>ADA</w:t>
      </w:r>
    </w:p>
    <w:p>
      <w:pPr>
        <w:spacing w:before="125"/>
        <w:ind w:left="176" w:right="339" w:firstLine="93"/>
        <w:jc w:val="left"/>
        <w:rPr>
          <w:b/>
          <w:sz w:val="15"/>
        </w:rPr>
      </w:pPr>
      <w:r>
        <w:rPr/>
        <w:br w:type="column"/>
      </w:r>
      <w:r>
        <w:rPr>
          <w:b/>
          <w:sz w:val="15"/>
        </w:rPr>
        <w:t>Estimated Funded ADA</w:t>
      </w:r>
    </w:p>
    <w:p>
      <w:pPr>
        <w:spacing w:after="0"/>
        <w:jc w:val="left"/>
        <w:rPr>
          <w:sz w:val="15"/>
        </w:rPr>
        <w:sectPr>
          <w:type w:val="continuous"/>
          <w:pgSz w:w="12240" w:h="15840"/>
          <w:pgMar w:top="1500" w:bottom="840" w:left="160" w:right="180"/>
          <w:cols w:num="4" w:equalWidth="0">
            <w:col w:w="7838" w:space="40"/>
            <w:col w:w="1100" w:space="39"/>
            <w:col w:w="996" w:space="40"/>
            <w:col w:w="1847"/>
          </w:cols>
        </w:sectPr>
      </w:pPr>
    </w:p>
    <w:p>
      <w:pPr>
        <w:pStyle w:val="Heading7"/>
        <w:spacing w:line="264" w:lineRule="auto" w:before="22"/>
        <w:ind w:left="890" w:right="850"/>
      </w:pPr>
      <w:r>
        <w:rPr/>
        <w:pict>
          <v:shape style="position:absolute;margin-left:52.536301pt;margin-top:1.412443pt;width:485.25pt;height:8.3pt;mso-position-horizontal-relative:page;mso-position-vertical-relative:paragraph;z-index:-314170368" type="#_x0000_t202" filled="false" stroked="false">
            <v:textbox inset="0,0,0,0">
              <w:txbxContent>
                <w:p>
                  <w:pPr>
                    <w:spacing w:line="166" w:lineRule="exact" w:before="0"/>
                    <w:ind w:left="0" w:right="0" w:firstLine="0"/>
                    <w:jc w:val="left"/>
                    <w:rPr>
                      <w:sz w:val="15"/>
                    </w:rPr>
                  </w:pPr>
                  <w:r>
                    <w:rPr>
                      <w:sz w:val="15"/>
                    </w:rPr>
                    <w:t>Authorizing</w:t>
                  </w:r>
                  <w:r>
                    <w:rPr>
                      <w:spacing w:val="-9"/>
                      <w:sz w:val="15"/>
                    </w:rPr>
                    <w:t> </w:t>
                  </w:r>
                  <w:r>
                    <w:rPr>
                      <w:sz w:val="15"/>
                    </w:rPr>
                    <w:t>LEAs</w:t>
                  </w:r>
                  <w:r>
                    <w:rPr>
                      <w:spacing w:val="-7"/>
                      <w:sz w:val="15"/>
                    </w:rPr>
                    <w:t> </w:t>
                  </w:r>
                  <w:r>
                    <w:rPr>
                      <w:sz w:val="15"/>
                    </w:rPr>
                    <w:t>reporting</w:t>
                  </w:r>
                  <w:r>
                    <w:rPr>
                      <w:spacing w:val="-9"/>
                      <w:sz w:val="15"/>
                    </w:rPr>
                    <w:t> </w:t>
                  </w:r>
                  <w:r>
                    <w:rPr>
                      <w:sz w:val="15"/>
                    </w:rPr>
                    <w:t>charter</w:t>
                  </w:r>
                  <w:r>
                    <w:rPr>
                      <w:spacing w:val="-6"/>
                      <w:sz w:val="15"/>
                    </w:rPr>
                    <w:t> </w:t>
                  </w:r>
                  <w:r>
                    <w:rPr>
                      <w:sz w:val="15"/>
                    </w:rPr>
                    <w:t>school</w:t>
                  </w:r>
                  <w:r>
                    <w:rPr>
                      <w:spacing w:val="-8"/>
                      <w:sz w:val="15"/>
                    </w:rPr>
                    <w:t> </w:t>
                  </w:r>
                  <w:r>
                    <w:rPr>
                      <w:sz w:val="15"/>
                    </w:rPr>
                    <w:t>SACS</w:t>
                  </w:r>
                  <w:r>
                    <w:rPr>
                      <w:spacing w:val="-7"/>
                      <w:sz w:val="15"/>
                    </w:rPr>
                    <w:t> </w:t>
                  </w:r>
                  <w:r>
                    <w:rPr>
                      <w:sz w:val="15"/>
                    </w:rPr>
                    <w:t>financial</w:t>
                  </w:r>
                  <w:r>
                    <w:rPr>
                      <w:spacing w:val="-8"/>
                      <w:sz w:val="15"/>
                    </w:rPr>
                    <w:t> </w:t>
                  </w:r>
                  <w:r>
                    <w:rPr>
                      <w:sz w:val="15"/>
                    </w:rPr>
                    <w:t>data</w:t>
                  </w:r>
                  <w:r>
                    <w:rPr>
                      <w:spacing w:val="-9"/>
                      <w:sz w:val="15"/>
                    </w:rPr>
                    <w:t> </w:t>
                  </w:r>
                  <w:r>
                    <w:rPr>
                      <w:sz w:val="15"/>
                    </w:rPr>
                    <w:t>in</w:t>
                  </w:r>
                  <w:r>
                    <w:rPr>
                      <w:spacing w:val="-8"/>
                      <w:sz w:val="15"/>
                    </w:rPr>
                    <w:t> </w:t>
                  </w:r>
                  <w:r>
                    <w:rPr>
                      <w:sz w:val="15"/>
                    </w:rPr>
                    <w:t>their</w:t>
                  </w:r>
                  <w:r>
                    <w:rPr>
                      <w:spacing w:val="-7"/>
                      <w:sz w:val="15"/>
                    </w:rPr>
                    <w:t> </w:t>
                  </w:r>
                  <w:r>
                    <w:rPr>
                      <w:sz w:val="15"/>
                    </w:rPr>
                    <w:t>Fund</w:t>
                  </w:r>
                  <w:r>
                    <w:rPr>
                      <w:spacing w:val="-9"/>
                      <w:sz w:val="15"/>
                    </w:rPr>
                    <w:t> </w:t>
                  </w:r>
                  <w:r>
                    <w:rPr>
                      <w:sz w:val="15"/>
                    </w:rPr>
                    <w:t>01,</w:t>
                  </w:r>
                  <w:r>
                    <w:rPr>
                      <w:spacing w:val="-8"/>
                      <w:sz w:val="15"/>
                    </w:rPr>
                    <w:t> </w:t>
                  </w:r>
                  <w:r>
                    <w:rPr>
                      <w:sz w:val="15"/>
                    </w:rPr>
                    <w:t>09,</w:t>
                  </w:r>
                  <w:r>
                    <w:rPr>
                      <w:spacing w:val="-7"/>
                      <w:sz w:val="15"/>
                    </w:rPr>
                    <w:t> </w:t>
                  </w:r>
                  <w:r>
                    <w:rPr>
                      <w:sz w:val="15"/>
                    </w:rPr>
                    <w:t>or</w:t>
                  </w:r>
                  <w:r>
                    <w:rPr>
                      <w:spacing w:val="-7"/>
                      <w:sz w:val="15"/>
                    </w:rPr>
                    <w:t> </w:t>
                  </w:r>
                  <w:r>
                    <w:rPr>
                      <w:sz w:val="15"/>
                    </w:rPr>
                    <w:t>62</w:t>
                  </w:r>
                  <w:r>
                    <w:rPr>
                      <w:spacing w:val="-8"/>
                      <w:sz w:val="15"/>
                    </w:rPr>
                    <w:t> </w:t>
                  </w:r>
                  <w:r>
                    <w:rPr>
                      <w:sz w:val="15"/>
                    </w:rPr>
                    <w:t>use</w:t>
                  </w:r>
                  <w:r>
                    <w:rPr>
                      <w:spacing w:val="-8"/>
                      <w:sz w:val="15"/>
                    </w:rPr>
                    <w:t> </w:t>
                  </w:r>
                  <w:r>
                    <w:rPr>
                      <w:sz w:val="15"/>
                    </w:rPr>
                    <w:t>this</w:t>
                  </w:r>
                  <w:r>
                    <w:rPr>
                      <w:spacing w:val="-8"/>
                      <w:sz w:val="15"/>
                    </w:rPr>
                    <w:t> </w:t>
                  </w:r>
                  <w:r>
                    <w:rPr>
                      <w:sz w:val="15"/>
                    </w:rPr>
                    <w:t>worksheet</w:t>
                  </w:r>
                  <w:r>
                    <w:rPr>
                      <w:spacing w:val="-8"/>
                      <w:sz w:val="15"/>
                    </w:rPr>
                    <w:t> </w:t>
                  </w:r>
                  <w:r>
                    <w:rPr>
                      <w:sz w:val="15"/>
                    </w:rPr>
                    <w:t>to</w:t>
                  </w:r>
                  <w:r>
                    <w:rPr>
                      <w:spacing w:val="-7"/>
                      <w:sz w:val="15"/>
                    </w:rPr>
                    <w:t> </w:t>
                  </w:r>
                  <w:r>
                    <w:rPr>
                      <w:sz w:val="15"/>
                    </w:rPr>
                    <w:t>report</w:t>
                  </w:r>
                  <w:r>
                    <w:rPr>
                      <w:spacing w:val="-8"/>
                      <w:sz w:val="15"/>
                    </w:rPr>
                    <w:t> </w:t>
                  </w:r>
                  <w:r>
                    <w:rPr>
                      <w:sz w:val="15"/>
                    </w:rPr>
                    <w:t>ADA</w:t>
                  </w:r>
                  <w:r>
                    <w:rPr>
                      <w:spacing w:val="-9"/>
                      <w:sz w:val="15"/>
                    </w:rPr>
                    <w:t> </w:t>
                  </w:r>
                  <w:r>
                    <w:rPr>
                      <w:sz w:val="15"/>
                    </w:rPr>
                    <w:t>for</w:t>
                  </w:r>
                  <w:r>
                    <w:rPr>
                      <w:spacing w:val="-6"/>
                      <w:sz w:val="15"/>
                    </w:rPr>
                    <w:t> </w:t>
                  </w:r>
                  <w:r>
                    <w:rPr>
                      <w:sz w:val="15"/>
                    </w:rPr>
                    <w:t>those</w:t>
                  </w:r>
                  <w:r>
                    <w:rPr>
                      <w:spacing w:val="-8"/>
                      <w:sz w:val="15"/>
                    </w:rPr>
                    <w:t> </w:t>
                  </w:r>
                  <w:r>
                    <w:rPr>
                      <w:sz w:val="15"/>
                    </w:rPr>
                    <w:t>charter</w:t>
                  </w:r>
                  <w:r>
                    <w:rPr>
                      <w:spacing w:val="-6"/>
                      <w:sz w:val="15"/>
                    </w:rPr>
                    <w:t> </w:t>
                  </w:r>
                  <w:r>
                    <w:rPr>
                      <w:sz w:val="15"/>
                    </w:rPr>
                    <w:t>schools.</w:t>
                  </w:r>
                </w:p>
              </w:txbxContent>
            </v:textbox>
            <w10:wrap type="none"/>
          </v:shape>
        </w:pict>
      </w:r>
      <w:r>
        <w:rPr/>
        <w:pict>
          <v:shape style="position:absolute;margin-left:52.536301pt;margin-top:10.892443pt;width:480.7pt;height:8.3pt;mso-position-horizontal-relative:page;mso-position-vertical-relative:paragraph;z-index:-314169344" type="#_x0000_t202" filled="false" stroked="false">
            <v:textbox inset="0,0,0,0">
              <w:txbxContent>
                <w:p>
                  <w:pPr>
                    <w:spacing w:line="166" w:lineRule="exact" w:before="0"/>
                    <w:ind w:left="0" w:right="0" w:firstLine="0"/>
                    <w:jc w:val="left"/>
                    <w:rPr>
                      <w:sz w:val="15"/>
                    </w:rPr>
                  </w:pPr>
                  <w:r>
                    <w:rPr>
                      <w:sz w:val="15"/>
                    </w:rPr>
                    <w:t>Charter</w:t>
                  </w:r>
                  <w:r>
                    <w:rPr>
                      <w:spacing w:val="-6"/>
                      <w:sz w:val="15"/>
                    </w:rPr>
                    <w:t> </w:t>
                  </w:r>
                  <w:r>
                    <w:rPr>
                      <w:sz w:val="15"/>
                    </w:rPr>
                    <w:t>schools</w:t>
                  </w:r>
                  <w:r>
                    <w:rPr>
                      <w:spacing w:val="-8"/>
                      <w:sz w:val="15"/>
                    </w:rPr>
                    <w:t> </w:t>
                  </w:r>
                  <w:r>
                    <w:rPr>
                      <w:sz w:val="15"/>
                    </w:rPr>
                    <w:t>reporting</w:t>
                  </w:r>
                  <w:r>
                    <w:rPr>
                      <w:spacing w:val="-9"/>
                      <w:sz w:val="15"/>
                    </w:rPr>
                    <w:t> </w:t>
                  </w:r>
                  <w:r>
                    <w:rPr>
                      <w:sz w:val="15"/>
                    </w:rPr>
                    <w:t>SACS</w:t>
                  </w:r>
                  <w:r>
                    <w:rPr>
                      <w:spacing w:val="-7"/>
                      <w:sz w:val="15"/>
                    </w:rPr>
                    <w:t> </w:t>
                  </w:r>
                  <w:r>
                    <w:rPr>
                      <w:sz w:val="15"/>
                    </w:rPr>
                    <w:t>financial</w:t>
                  </w:r>
                  <w:r>
                    <w:rPr>
                      <w:spacing w:val="-8"/>
                      <w:sz w:val="15"/>
                    </w:rPr>
                    <w:t> </w:t>
                  </w:r>
                  <w:r>
                    <w:rPr>
                      <w:sz w:val="15"/>
                    </w:rPr>
                    <w:t>data</w:t>
                  </w:r>
                  <w:r>
                    <w:rPr>
                      <w:spacing w:val="-9"/>
                      <w:sz w:val="15"/>
                    </w:rPr>
                    <w:t> </w:t>
                  </w:r>
                  <w:r>
                    <w:rPr>
                      <w:sz w:val="15"/>
                    </w:rPr>
                    <w:t>separately</w:t>
                  </w:r>
                  <w:r>
                    <w:rPr>
                      <w:spacing w:val="-12"/>
                      <w:sz w:val="15"/>
                    </w:rPr>
                    <w:t> </w:t>
                  </w:r>
                  <w:r>
                    <w:rPr>
                      <w:sz w:val="15"/>
                    </w:rPr>
                    <w:t>from</w:t>
                  </w:r>
                  <w:r>
                    <w:rPr>
                      <w:spacing w:val="-6"/>
                      <w:sz w:val="15"/>
                    </w:rPr>
                    <w:t> </w:t>
                  </w:r>
                  <w:r>
                    <w:rPr>
                      <w:sz w:val="15"/>
                    </w:rPr>
                    <w:t>their</w:t>
                  </w:r>
                  <w:r>
                    <w:rPr>
                      <w:spacing w:val="-6"/>
                      <w:sz w:val="15"/>
                    </w:rPr>
                    <w:t> </w:t>
                  </w:r>
                  <w:r>
                    <w:rPr>
                      <w:sz w:val="15"/>
                    </w:rPr>
                    <w:t>authorizing</w:t>
                  </w:r>
                  <w:r>
                    <w:rPr>
                      <w:spacing w:val="-9"/>
                      <w:sz w:val="15"/>
                    </w:rPr>
                    <w:t> </w:t>
                  </w:r>
                  <w:r>
                    <w:rPr>
                      <w:sz w:val="15"/>
                    </w:rPr>
                    <w:t>LEAs</w:t>
                  </w:r>
                  <w:r>
                    <w:rPr>
                      <w:spacing w:val="-8"/>
                      <w:sz w:val="15"/>
                    </w:rPr>
                    <w:t> </w:t>
                  </w:r>
                  <w:r>
                    <w:rPr>
                      <w:sz w:val="15"/>
                    </w:rPr>
                    <w:t>in</w:t>
                  </w:r>
                  <w:r>
                    <w:rPr>
                      <w:spacing w:val="-8"/>
                      <w:sz w:val="15"/>
                    </w:rPr>
                    <w:t> </w:t>
                  </w:r>
                  <w:r>
                    <w:rPr>
                      <w:sz w:val="15"/>
                    </w:rPr>
                    <w:t>Fund</w:t>
                  </w:r>
                  <w:r>
                    <w:rPr>
                      <w:spacing w:val="-9"/>
                      <w:sz w:val="15"/>
                    </w:rPr>
                    <w:t> </w:t>
                  </w:r>
                  <w:r>
                    <w:rPr>
                      <w:sz w:val="15"/>
                    </w:rPr>
                    <w:t>01</w:t>
                  </w:r>
                  <w:r>
                    <w:rPr>
                      <w:spacing w:val="-8"/>
                      <w:sz w:val="15"/>
                    </w:rPr>
                    <w:t> </w:t>
                  </w:r>
                  <w:r>
                    <w:rPr>
                      <w:sz w:val="15"/>
                    </w:rPr>
                    <w:t>or</w:t>
                  </w:r>
                  <w:r>
                    <w:rPr>
                      <w:spacing w:val="-6"/>
                      <w:sz w:val="15"/>
                    </w:rPr>
                    <w:t> </w:t>
                  </w:r>
                  <w:r>
                    <w:rPr>
                      <w:sz w:val="15"/>
                    </w:rPr>
                    <w:t>Fund</w:t>
                  </w:r>
                  <w:r>
                    <w:rPr>
                      <w:spacing w:val="-9"/>
                      <w:sz w:val="15"/>
                    </w:rPr>
                    <w:t> </w:t>
                  </w:r>
                  <w:r>
                    <w:rPr>
                      <w:sz w:val="15"/>
                    </w:rPr>
                    <w:t>62</w:t>
                  </w:r>
                  <w:r>
                    <w:rPr>
                      <w:spacing w:val="-7"/>
                      <w:sz w:val="15"/>
                    </w:rPr>
                    <w:t> </w:t>
                  </w:r>
                  <w:r>
                    <w:rPr>
                      <w:sz w:val="15"/>
                    </w:rPr>
                    <w:t>use</w:t>
                  </w:r>
                  <w:r>
                    <w:rPr>
                      <w:spacing w:val="-9"/>
                      <w:sz w:val="15"/>
                    </w:rPr>
                    <w:t> </w:t>
                  </w:r>
                  <w:r>
                    <w:rPr>
                      <w:sz w:val="15"/>
                    </w:rPr>
                    <w:t>this</w:t>
                  </w:r>
                  <w:r>
                    <w:rPr>
                      <w:spacing w:val="-8"/>
                      <w:sz w:val="15"/>
                    </w:rPr>
                    <w:t> </w:t>
                  </w:r>
                  <w:r>
                    <w:rPr>
                      <w:sz w:val="15"/>
                    </w:rPr>
                    <w:t>worksheet</w:t>
                  </w:r>
                  <w:r>
                    <w:rPr>
                      <w:spacing w:val="-7"/>
                      <w:sz w:val="15"/>
                    </w:rPr>
                    <w:t> </w:t>
                  </w:r>
                  <w:r>
                    <w:rPr>
                      <w:sz w:val="15"/>
                    </w:rPr>
                    <w:t>to</w:t>
                  </w:r>
                  <w:r>
                    <w:rPr>
                      <w:spacing w:val="-9"/>
                      <w:sz w:val="15"/>
                    </w:rPr>
                    <w:t> </w:t>
                  </w:r>
                  <w:r>
                    <w:rPr>
                      <w:sz w:val="15"/>
                    </w:rPr>
                    <w:t>report</w:t>
                  </w:r>
                  <w:r>
                    <w:rPr>
                      <w:spacing w:val="-8"/>
                      <w:sz w:val="15"/>
                    </w:rPr>
                    <w:t> </w:t>
                  </w:r>
                  <w:r>
                    <w:rPr>
                      <w:sz w:val="15"/>
                    </w:rPr>
                    <w:t>their</w:t>
                  </w:r>
                  <w:r>
                    <w:rPr>
                      <w:spacing w:val="-6"/>
                      <w:sz w:val="15"/>
                    </w:rPr>
                    <w:t> </w:t>
                  </w:r>
                  <w:r>
                    <w:rPr>
                      <w:sz w:val="15"/>
                    </w:rPr>
                    <w:t>ADA.</w:t>
                  </w:r>
                </w:p>
              </w:txbxContent>
            </v:textbox>
            <w10:wrap type="none"/>
          </v:shape>
        </w:pict>
      </w:r>
      <w:r>
        <w:rPr/>
        <w:t>Authorizing</w:t>
      </w:r>
      <w:r>
        <w:rPr>
          <w:spacing w:val="-9"/>
        </w:rPr>
        <w:t> </w:t>
      </w:r>
      <w:r>
        <w:rPr/>
        <w:t>LEAs</w:t>
      </w:r>
      <w:r>
        <w:rPr>
          <w:spacing w:val="-7"/>
        </w:rPr>
        <w:t> </w:t>
      </w:r>
      <w:r>
        <w:rPr/>
        <w:t>reporting</w:t>
      </w:r>
      <w:r>
        <w:rPr>
          <w:spacing w:val="-9"/>
        </w:rPr>
        <w:t> </w:t>
      </w:r>
      <w:r>
        <w:rPr/>
        <w:t>charter</w:t>
      </w:r>
      <w:r>
        <w:rPr>
          <w:spacing w:val="-6"/>
        </w:rPr>
        <w:t> </w:t>
      </w:r>
      <w:r>
        <w:rPr/>
        <w:t>school</w:t>
      </w:r>
      <w:r>
        <w:rPr>
          <w:spacing w:val="-7"/>
        </w:rPr>
        <w:t> </w:t>
      </w:r>
      <w:r>
        <w:rPr/>
        <w:t>SACS</w:t>
      </w:r>
      <w:r>
        <w:rPr>
          <w:spacing w:val="-8"/>
        </w:rPr>
        <w:t> </w:t>
      </w:r>
      <w:r>
        <w:rPr/>
        <w:t>financial</w:t>
      </w:r>
      <w:r>
        <w:rPr>
          <w:spacing w:val="-8"/>
        </w:rPr>
        <w:t> </w:t>
      </w:r>
      <w:r>
        <w:rPr/>
        <w:t>data</w:t>
      </w:r>
      <w:r>
        <w:rPr>
          <w:spacing w:val="-9"/>
        </w:rPr>
        <w:t> </w:t>
      </w:r>
      <w:r>
        <w:rPr/>
        <w:t>in</w:t>
      </w:r>
      <w:r>
        <w:rPr>
          <w:spacing w:val="-8"/>
        </w:rPr>
        <w:t> </w:t>
      </w:r>
      <w:r>
        <w:rPr/>
        <w:t>their</w:t>
      </w:r>
      <w:r>
        <w:rPr>
          <w:spacing w:val="-7"/>
        </w:rPr>
        <w:t> </w:t>
      </w:r>
      <w:r>
        <w:rPr/>
        <w:t>Fund</w:t>
      </w:r>
      <w:r>
        <w:rPr>
          <w:spacing w:val="-9"/>
        </w:rPr>
        <w:t> </w:t>
      </w:r>
      <w:r>
        <w:rPr/>
        <w:t>01,</w:t>
      </w:r>
      <w:r>
        <w:rPr>
          <w:spacing w:val="-8"/>
        </w:rPr>
        <w:t> </w:t>
      </w:r>
      <w:r>
        <w:rPr/>
        <w:t>09,</w:t>
      </w:r>
      <w:r>
        <w:rPr>
          <w:spacing w:val="-7"/>
        </w:rPr>
        <w:t> </w:t>
      </w:r>
      <w:r>
        <w:rPr/>
        <w:t>or</w:t>
      </w:r>
      <w:r>
        <w:rPr>
          <w:spacing w:val="-6"/>
        </w:rPr>
        <w:t> </w:t>
      </w:r>
      <w:r>
        <w:rPr/>
        <w:t>62</w:t>
      </w:r>
      <w:r>
        <w:rPr>
          <w:spacing w:val="-9"/>
        </w:rPr>
        <w:t> </w:t>
      </w:r>
      <w:r>
        <w:rPr/>
        <w:t>use</w:t>
      </w:r>
      <w:r>
        <w:rPr>
          <w:spacing w:val="-8"/>
        </w:rPr>
        <w:t> </w:t>
      </w:r>
      <w:r>
        <w:rPr/>
        <w:t>this</w:t>
      </w:r>
      <w:r>
        <w:rPr>
          <w:spacing w:val="-7"/>
        </w:rPr>
        <w:t> </w:t>
      </w:r>
      <w:r>
        <w:rPr/>
        <w:t>worksheet</w:t>
      </w:r>
      <w:r>
        <w:rPr>
          <w:spacing w:val="-8"/>
        </w:rPr>
        <w:t> </w:t>
      </w:r>
      <w:r>
        <w:rPr/>
        <w:t>to</w:t>
      </w:r>
      <w:r>
        <w:rPr>
          <w:spacing w:val="-8"/>
        </w:rPr>
        <w:t> </w:t>
      </w:r>
      <w:r>
        <w:rPr/>
        <w:t>report</w:t>
      </w:r>
      <w:r>
        <w:rPr>
          <w:spacing w:val="-8"/>
        </w:rPr>
        <w:t> </w:t>
      </w:r>
      <w:r>
        <w:rPr/>
        <w:t>ADA</w:t>
      </w:r>
      <w:r>
        <w:rPr>
          <w:spacing w:val="-8"/>
        </w:rPr>
        <w:t> </w:t>
      </w:r>
      <w:r>
        <w:rPr/>
        <w:t>for</w:t>
      </w:r>
      <w:r>
        <w:rPr>
          <w:spacing w:val="-6"/>
        </w:rPr>
        <w:t> </w:t>
      </w:r>
      <w:r>
        <w:rPr/>
        <w:t>those</w:t>
      </w:r>
      <w:r>
        <w:rPr>
          <w:spacing w:val="-8"/>
        </w:rPr>
        <w:t> </w:t>
      </w:r>
      <w:r>
        <w:rPr/>
        <w:t>charter</w:t>
      </w:r>
      <w:r>
        <w:rPr>
          <w:spacing w:val="-6"/>
        </w:rPr>
        <w:t> </w:t>
      </w:r>
      <w:r>
        <w:rPr/>
        <w:t>schools. Charter</w:t>
      </w:r>
      <w:r>
        <w:rPr>
          <w:spacing w:val="-6"/>
        </w:rPr>
        <w:t> </w:t>
      </w:r>
      <w:r>
        <w:rPr/>
        <w:t>schools</w:t>
      </w:r>
      <w:r>
        <w:rPr>
          <w:spacing w:val="-7"/>
        </w:rPr>
        <w:t> </w:t>
      </w:r>
      <w:r>
        <w:rPr/>
        <w:t>reporting</w:t>
      </w:r>
      <w:r>
        <w:rPr>
          <w:spacing w:val="-8"/>
        </w:rPr>
        <w:t> </w:t>
      </w:r>
      <w:r>
        <w:rPr/>
        <w:t>SACS</w:t>
      </w:r>
      <w:r>
        <w:rPr>
          <w:spacing w:val="-7"/>
        </w:rPr>
        <w:t> </w:t>
      </w:r>
      <w:r>
        <w:rPr/>
        <w:t>financial</w:t>
      </w:r>
      <w:r>
        <w:rPr>
          <w:spacing w:val="-7"/>
        </w:rPr>
        <w:t> </w:t>
      </w:r>
      <w:r>
        <w:rPr/>
        <w:t>data</w:t>
      </w:r>
      <w:r>
        <w:rPr>
          <w:spacing w:val="-9"/>
        </w:rPr>
        <w:t> </w:t>
      </w:r>
      <w:r>
        <w:rPr/>
        <w:t>separately</w:t>
      </w:r>
      <w:r>
        <w:rPr>
          <w:spacing w:val="-11"/>
        </w:rPr>
        <w:t> </w:t>
      </w:r>
      <w:r>
        <w:rPr/>
        <w:t>from</w:t>
      </w:r>
      <w:r>
        <w:rPr>
          <w:spacing w:val="-5"/>
        </w:rPr>
        <w:t> </w:t>
      </w:r>
      <w:r>
        <w:rPr/>
        <w:t>their</w:t>
      </w:r>
      <w:r>
        <w:rPr>
          <w:spacing w:val="-7"/>
        </w:rPr>
        <w:t> </w:t>
      </w:r>
      <w:r>
        <w:rPr/>
        <w:t>authorizing</w:t>
      </w:r>
      <w:r>
        <w:rPr>
          <w:spacing w:val="-8"/>
        </w:rPr>
        <w:t> </w:t>
      </w:r>
      <w:r>
        <w:rPr/>
        <w:t>LEAs</w:t>
      </w:r>
      <w:r>
        <w:rPr>
          <w:spacing w:val="-7"/>
        </w:rPr>
        <w:t> </w:t>
      </w:r>
      <w:r>
        <w:rPr/>
        <w:t>in</w:t>
      </w:r>
      <w:r>
        <w:rPr>
          <w:spacing w:val="-8"/>
        </w:rPr>
        <w:t> </w:t>
      </w:r>
      <w:r>
        <w:rPr/>
        <w:t>Fund</w:t>
      </w:r>
      <w:r>
        <w:rPr>
          <w:spacing w:val="-8"/>
        </w:rPr>
        <w:t> </w:t>
      </w:r>
      <w:r>
        <w:rPr/>
        <w:t>01</w:t>
      </w:r>
      <w:r>
        <w:rPr>
          <w:spacing w:val="-8"/>
        </w:rPr>
        <w:t> </w:t>
      </w:r>
      <w:r>
        <w:rPr/>
        <w:t>or</w:t>
      </w:r>
      <w:r>
        <w:rPr>
          <w:spacing w:val="-6"/>
        </w:rPr>
        <w:t> </w:t>
      </w:r>
      <w:r>
        <w:rPr/>
        <w:t>Fund</w:t>
      </w:r>
      <w:r>
        <w:rPr>
          <w:spacing w:val="-8"/>
        </w:rPr>
        <w:t> </w:t>
      </w:r>
      <w:r>
        <w:rPr/>
        <w:t>62</w:t>
      </w:r>
      <w:r>
        <w:rPr>
          <w:spacing w:val="-7"/>
        </w:rPr>
        <w:t> </w:t>
      </w:r>
      <w:r>
        <w:rPr/>
        <w:t>use</w:t>
      </w:r>
      <w:r>
        <w:rPr>
          <w:spacing w:val="-8"/>
        </w:rPr>
        <w:t> </w:t>
      </w:r>
      <w:r>
        <w:rPr/>
        <w:t>this</w:t>
      </w:r>
      <w:r>
        <w:rPr>
          <w:spacing w:val="-7"/>
        </w:rPr>
        <w:t> </w:t>
      </w:r>
      <w:r>
        <w:rPr/>
        <w:t>worksheet</w:t>
      </w:r>
      <w:r>
        <w:rPr>
          <w:spacing w:val="-7"/>
        </w:rPr>
        <w:t> </w:t>
      </w:r>
      <w:r>
        <w:rPr/>
        <w:t>to</w:t>
      </w:r>
      <w:r>
        <w:rPr>
          <w:spacing w:val="-8"/>
        </w:rPr>
        <w:t> </w:t>
      </w:r>
      <w:r>
        <w:rPr/>
        <w:t>report</w:t>
      </w:r>
      <w:r>
        <w:rPr>
          <w:spacing w:val="-7"/>
        </w:rPr>
        <w:t> </w:t>
      </w:r>
      <w:r>
        <w:rPr/>
        <w:t>their</w:t>
      </w:r>
      <w:r>
        <w:rPr>
          <w:spacing w:val="-7"/>
        </w:rPr>
        <w:t> </w:t>
      </w:r>
      <w:r>
        <w:rPr/>
        <w:t>ADA.</w:t>
      </w:r>
    </w:p>
    <w:p>
      <w:pPr>
        <w:spacing w:before="139"/>
        <w:ind w:left="972" w:right="0" w:firstLine="0"/>
        <w:jc w:val="left"/>
        <w:rPr>
          <w:b/>
          <w:sz w:val="15"/>
        </w:rPr>
      </w:pPr>
      <w:r>
        <w:rPr/>
        <w:pict>
          <v:shape style="position:absolute;margin-left:56.60445pt;margin-top:7.262458pt;width:316.55pt;height:8.3pt;mso-position-horizontal-relative:page;mso-position-vertical-relative:paragraph;z-index:-314168320" type="#_x0000_t202" filled="false" stroked="false">
            <v:textbox inset="0,0,0,0">
              <w:txbxContent>
                <w:p>
                  <w:pPr>
                    <w:spacing w:line="166" w:lineRule="exact" w:before="0"/>
                    <w:ind w:left="0" w:right="0" w:firstLine="0"/>
                    <w:jc w:val="left"/>
                    <w:rPr>
                      <w:b/>
                      <w:sz w:val="15"/>
                    </w:rPr>
                  </w:pPr>
                  <w:r>
                    <w:rPr>
                      <w:b/>
                      <w:sz w:val="15"/>
                    </w:rPr>
                    <w:t>FUND</w:t>
                  </w:r>
                  <w:r>
                    <w:rPr>
                      <w:b/>
                      <w:spacing w:val="-7"/>
                      <w:sz w:val="15"/>
                    </w:rPr>
                    <w:t> </w:t>
                  </w:r>
                  <w:r>
                    <w:rPr>
                      <w:b/>
                      <w:sz w:val="15"/>
                    </w:rPr>
                    <w:t>01:</w:t>
                  </w:r>
                  <w:r>
                    <w:rPr>
                      <w:b/>
                      <w:spacing w:val="29"/>
                      <w:sz w:val="15"/>
                    </w:rPr>
                    <w:t> </w:t>
                  </w:r>
                  <w:r>
                    <w:rPr>
                      <w:b/>
                      <w:sz w:val="15"/>
                    </w:rPr>
                    <w:t>Charter</w:t>
                  </w:r>
                  <w:r>
                    <w:rPr>
                      <w:b/>
                      <w:spacing w:val="-7"/>
                      <w:sz w:val="15"/>
                    </w:rPr>
                    <w:t> </w:t>
                  </w:r>
                  <w:r>
                    <w:rPr>
                      <w:b/>
                      <w:sz w:val="15"/>
                    </w:rPr>
                    <w:t>School</w:t>
                  </w:r>
                  <w:r>
                    <w:rPr>
                      <w:b/>
                      <w:spacing w:val="-8"/>
                      <w:sz w:val="15"/>
                    </w:rPr>
                    <w:t> </w:t>
                  </w:r>
                  <w:r>
                    <w:rPr>
                      <w:b/>
                      <w:sz w:val="15"/>
                    </w:rPr>
                    <w:t>ADA</w:t>
                  </w:r>
                  <w:r>
                    <w:rPr>
                      <w:b/>
                      <w:spacing w:val="-11"/>
                      <w:sz w:val="15"/>
                    </w:rPr>
                    <w:t> </w:t>
                  </w:r>
                  <w:r>
                    <w:rPr>
                      <w:b/>
                      <w:sz w:val="15"/>
                    </w:rPr>
                    <w:t>corresponding</w:t>
                  </w:r>
                  <w:r>
                    <w:rPr>
                      <w:b/>
                      <w:spacing w:val="-7"/>
                      <w:sz w:val="15"/>
                    </w:rPr>
                    <w:t> </w:t>
                  </w:r>
                  <w:r>
                    <w:rPr>
                      <w:b/>
                      <w:sz w:val="15"/>
                    </w:rPr>
                    <w:t>to</w:t>
                  </w:r>
                  <w:r>
                    <w:rPr>
                      <w:b/>
                      <w:spacing w:val="-7"/>
                      <w:sz w:val="15"/>
                    </w:rPr>
                    <w:t> </w:t>
                  </w:r>
                  <w:r>
                    <w:rPr>
                      <w:b/>
                      <w:sz w:val="15"/>
                    </w:rPr>
                    <w:t>SACS</w:t>
                  </w:r>
                  <w:r>
                    <w:rPr>
                      <w:b/>
                      <w:spacing w:val="-7"/>
                      <w:sz w:val="15"/>
                    </w:rPr>
                    <w:t> </w:t>
                  </w:r>
                  <w:r>
                    <w:rPr>
                      <w:b/>
                      <w:sz w:val="15"/>
                    </w:rPr>
                    <w:t>financial</w:t>
                  </w:r>
                  <w:r>
                    <w:rPr>
                      <w:b/>
                      <w:spacing w:val="-8"/>
                      <w:sz w:val="15"/>
                    </w:rPr>
                    <w:t> </w:t>
                  </w:r>
                  <w:r>
                    <w:rPr>
                      <w:b/>
                      <w:sz w:val="15"/>
                    </w:rPr>
                    <w:t>data</w:t>
                  </w:r>
                  <w:r>
                    <w:rPr>
                      <w:b/>
                      <w:spacing w:val="-9"/>
                      <w:sz w:val="15"/>
                    </w:rPr>
                    <w:t> </w:t>
                  </w:r>
                  <w:r>
                    <w:rPr>
                      <w:b/>
                      <w:sz w:val="15"/>
                    </w:rPr>
                    <w:t>reported</w:t>
                  </w:r>
                  <w:r>
                    <w:rPr>
                      <w:b/>
                      <w:spacing w:val="-6"/>
                      <w:sz w:val="15"/>
                    </w:rPr>
                    <w:t> </w:t>
                  </w:r>
                  <w:r>
                    <w:rPr>
                      <w:b/>
                      <w:sz w:val="15"/>
                    </w:rPr>
                    <w:t>in</w:t>
                  </w:r>
                  <w:r>
                    <w:rPr>
                      <w:b/>
                      <w:spacing w:val="-7"/>
                      <w:sz w:val="15"/>
                    </w:rPr>
                    <w:t> </w:t>
                  </w:r>
                  <w:r>
                    <w:rPr>
                      <w:b/>
                      <w:sz w:val="15"/>
                    </w:rPr>
                    <w:t>Fund</w:t>
                  </w:r>
                  <w:r>
                    <w:rPr>
                      <w:b/>
                      <w:spacing w:val="-7"/>
                      <w:sz w:val="15"/>
                    </w:rPr>
                    <w:t> </w:t>
                  </w:r>
                  <w:r>
                    <w:rPr>
                      <w:b/>
                      <w:sz w:val="15"/>
                    </w:rPr>
                    <w:t>01.</w:t>
                  </w:r>
                </w:p>
              </w:txbxContent>
            </v:textbox>
            <w10:wrap type="none"/>
          </v:shape>
        </w:pict>
      </w:r>
      <w:r>
        <w:rPr>
          <w:b/>
          <w:sz w:val="15"/>
        </w:rPr>
        <w:t>FUND 01: Charter School ADA corresponding to SACS financial data reported in Fund 01.</w:t>
      </w:r>
    </w:p>
    <w:p>
      <w:pPr>
        <w:pStyle w:val="ListParagraph"/>
        <w:numPr>
          <w:ilvl w:val="0"/>
          <w:numId w:val="44"/>
        </w:numPr>
        <w:tabs>
          <w:tab w:pos="973" w:val="left" w:leader="none"/>
        </w:tabs>
        <w:spacing w:line="240" w:lineRule="auto" w:before="94" w:after="0"/>
        <w:ind w:left="972" w:right="0" w:hanging="205"/>
        <w:jc w:val="left"/>
        <w:rPr>
          <w:b/>
          <w:sz w:val="15"/>
        </w:rPr>
      </w:pPr>
      <w:r>
        <w:rPr>
          <w:b/>
          <w:sz w:val="15"/>
        </w:rPr>
        <w:t>Total Charter School Regular</w:t>
      </w:r>
      <w:r>
        <w:rPr>
          <w:b/>
          <w:spacing w:val="-9"/>
          <w:sz w:val="15"/>
        </w:rPr>
        <w:t> </w:t>
      </w:r>
      <w:r>
        <w:rPr>
          <w:b/>
          <w:sz w:val="15"/>
        </w:rPr>
        <w:t>ADA</w:t>
      </w:r>
    </w:p>
    <w:p>
      <w:pPr>
        <w:pStyle w:val="ListParagraph"/>
        <w:numPr>
          <w:ilvl w:val="0"/>
          <w:numId w:val="44"/>
        </w:numPr>
        <w:tabs>
          <w:tab w:pos="973" w:val="left" w:leader="none"/>
        </w:tabs>
        <w:spacing w:line="264" w:lineRule="auto" w:before="17" w:after="0"/>
        <w:ind w:left="972" w:right="7858" w:hanging="204"/>
        <w:jc w:val="left"/>
        <w:rPr>
          <w:b/>
          <w:sz w:val="15"/>
        </w:rPr>
      </w:pPr>
      <w:r>
        <w:rPr>
          <w:b/>
          <w:sz w:val="15"/>
        </w:rPr>
        <w:t>Charter</w:t>
      </w:r>
      <w:r>
        <w:rPr>
          <w:b/>
          <w:spacing w:val="-12"/>
          <w:sz w:val="15"/>
        </w:rPr>
        <w:t> </w:t>
      </w:r>
      <w:r>
        <w:rPr>
          <w:b/>
          <w:sz w:val="15"/>
        </w:rPr>
        <w:t>School</w:t>
      </w:r>
      <w:r>
        <w:rPr>
          <w:b/>
          <w:spacing w:val="-12"/>
          <w:sz w:val="15"/>
        </w:rPr>
        <w:t> </w:t>
      </w:r>
      <w:r>
        <w:rPr>
          <w:b/>
          <w:sz w:val="15"/>
        </w:rPr>
        <w:t>County</w:t>
      </w:r>
      <w:r>
        <w:rPr>
          <w:b/>
          <w:spacing w:val="-12"/>
          <w:sz w:val="15"/>
        </w:rPr>
        <w:t> </w:t>
      </w:r>
      <w:r>
        <w:rPr>
          <w:b/>
          <w:sz w:val="15"/>
        </w:rPr>
        <w:t>Program</w:t>
      </w:r>
      <w:r>
        <w:rPr>
          <w:b/>
          <w:spacing w:val="-12"/>
          <w:sz w:val="15"/>
        </w:rPr>
        <w:t> </w:t>
      </w:r>
      <w:r>
        <w:rPr>
          <w:b/>
          <w:sz w:val="15"/>
        </w:rPr>
        <w:t>Alternative Education</w:t>
      </w:r>
      <w:r>
        <w:rPr>
          <w:b/>
          <w:spacing w:val="-2"/>
          <w:sz w:val="15"/>
        </w:rPr>
        <w:t> </w:t>
      </w:r>
      <w:r>
        <w:rPr>
          <w:b/>
          <w:sz w:val="15"/>
        </w:rPr>
        <w:t>ADA</w:t>
      </w:r>
    </w:p>
    <w:p>
      <w:pPr>
        <w:pStyle w:val="ListParagraph"/>
        <w:numPr>
          <w:ilvl w:val="1"/>
          <w:numId w:val="44"/>
        </w:numPr>
        <w:tabs>
          <w:tab w:pos="1136" w:val="left" w:leader="none"/>
        </w:tabs>
        <w:spacing w:line="240" w:lineRule="auto" w:before="4" w:after="0"/>
        <w:ind w:left="1135" w:right="0" w:hanging="164"/>
        <w:jc w:val="left"/>
        <w:rPr>
          <w:sz w:val="15"/>
        </w:rPr>
      </w:pPr>
      <w:r>
        <w:rPr>
          <w:sz w:val="15"/>
        </w:rPr>
        <w:t>County Group Home and Institution</w:t>
      </w:r>
      <w:r>
        <w:rPr>
          <w:spacing w:val="-17"/>
          <w:sz w:val="15"/>
        </w:rPr>
        <w:t> </w:t>
      </w:r>
      <w:r>
        <w:rPr>
          <w:sz w:val="15"/>
        </w:rPr>
        <w:t>Pupils</w:t>
      </w:r>
    </w:p>
    <w:p>
      <w:pPr>
        <w:pStyle w:val="ListParagraph"/>
        <w:numPr>
          <w:ilvl w:val="1"/>
          <w:numId w:val="44"/>
        </w:numPr>
        <w:tabs>
          <w:tab w:pos="1136" w:val="left" w:leader="none"/>
        </w:tabs>
        <w:spacing w:line="240" w:lineRule="auto" w:before="17" w:after="0"/>
        <w:ind w:left="1135" w:right="0" w:hanging="164"/>
        <w:jc w:val="left"/>
        <w:rPr>
          <w:sz w:val="15"/>
        </w:rPr>
      </w:pPr>
      <w:r>
        <w:rPr>
          <w:sz w:val="15"/>
        </w:rPr>
        <w:t>Juvenile Halls, Homes, and</w:t>
      </w:r>
      <w:r>
        <w:rPr>
          <w:spacing w:val="-10"/>
          <w:sz w:val="15"/>
        </w:rPr>
        <w:t> </w:t>
      </w:r>
      <w:r>
        <w:rPr>
          <w:sz w:val="15"/>
        </w:rPr>
        <w:t>Camps</w:t>
      </w:r>
    </w:p>
    <w:p>
      <w:pPr>
        <w:pStyle w:val="ListParagraph"/>
        <w:numPr>
          <w:ilvl w:val="1"/>
          <w:numId w:val="44"/>
        </w:numPr>
        <w:tabs>
          <w:tab w:pos="1128" w:val="left" w:leader="none"/>
        </w:tabs>
        <w:spacing w:line="264" w:lineRule="auto" w:before="17" w:after="0"/>
        <w:ind w:left="1135" w:right="7424" w:hanging="164"/>
        <w:jc w:val="left"/>
        <w:rPr>
          <w:sz w:val="15"/>
        </w:rPr>
      </w:pPr>
      <w:r>
        <w:rPr>
          <w:sz w:val="15"/>
        </w:rPr>
        <w:t>Probation Referred, On Probation or Parole, Expelled</w:t>
      </w:r>
      <w:r>
        <w:rPr>
          <w:spacing w:val="-10"/>
          <w:sz w:val="15"/>
        </w:rPr>
        <w:t> </w:t>
      </w:r>
      <w:r>
        <w:rPr>
          <w:sz w:val="15"/>
        </w:rPr>
        <w:t>per</w:t>
      </w:r>
      <w:r>
        <w:rPr>
          <w:spacing w:val="-7"/>
          <w:sz w:val="15"/>
        </w:rPr>
        <w:t> </w:t>
      </w:r>
      <w:r>
        <w:rPr>
          <w:sz w:val="15"/>
        </w:rPr>
        <w:t>EC</w:t>
      </w:r>
      <w:r>
        <w:rPr>
          <w:spacing w:val="-8"/>
          <w:sz w:val="15"/>
        </w:rPr>
        <w:t> </w:t>
      </w:r>
      <w:r>
        <w:rPr>
          <w:sz w:val="15"/>
        </w:rPr>
        <w:t>48915(a)</w:t>
      </w:r>
      <w:r>
        <w:rPr>
          <w:spacing w:val="-7"/>
          <w:sz w:val="15"/>
        </w:rPr>
        <w:t> </w:t>
      </w:r>
      <w:r>
        <w:rPr>
          <w:sz w:val="15"/>
        </w:rPr>
        <w:t>or</w:t>
      </w:r>
      <w:r>
        <w:rPr>
          <w:spacing w:val="-8"/>
          <w:sz w:val="15"/>
        </w:rPr>
        <w:t> </w:t>
      </w:r>
      <w:r>
        <w:rPr>
          <w:sz w:val="15"/>
        </w:rPr>
        <w:t>(c)</w:t>
      </w:r>
      <w:r>
        <w:rPr>
          <w:spacing w:val="-7"/>
          <w:sz w:val="15"/>
        </w:rPr>
        <w:t> </w:t>
      </w:r>
      <w:r>
        <w:rPr>
          <w:sz w:val="15"/>
        </w:rPr>
        <w:t>[EC</w:t>
      </w:r>
      <w:r>
        <w:rPr>
          <w:spacing w:val="-7"/>
          <w:sz w:val="15"/>
        </w:rPr>
        <w:t> </w:t>
      </w:r>
      <w:r>
        <w:rPr>
          <w:sz w:val="15"/>
        </w:rPr>
        <w:t>2574(c)(4)(A)]</w:t>
      </w:r>
    </w:p>
    <w:p>
      <w:pPr>
        <w:pStyle w:val="ListParagraph"/>
        <w:numPr>
          <w:ilvl w:val="1"/>
          <w:numId w:val="44"/>
        </w:numPr>
        <w:tabs>
          <w:tab w:pos="1146" w:val="left" w:leader="none"/>
        </w:tabs>
        <w:spacing w:line="264" w:lineRule="auto" w:before="0" w:after="0"/>
        <w:ind w:left="1135" w:right="8050" w:hanging="164"/>
        <w:jc w:val="left"/>
        <w:rPr>
          <w:b/>
          <w:sz w:val="15"/>
        </w:rPr>
      </w:pPr>
      <w:r>
        <w:rPr>
          <w:b/>
          <w:sz w:val="15"/>
        </w:rPr>
        <w:t>Total, Charter School County</w:t>
      </w:r>
      <w:r>
        <w:rPr>
          <w:b/>
          <w:spacing w:val="-25"/>
          <w:sz w:val="15"/>
        </w:rPr>
        <w:t> </w:t>
      </w:r>
      <w:r>
        <w:rPr>
          <w:b/>
          <w:spacing w:val="-3"/>
          <w:sz w:val="15"/>
        </w:rPr>
        <w:t>Program </w:t>
      </w:r>
      <w:r>
        <w:rPr>
          <w:b/>
          <w:sz w:val="15"/>
        </w:rPr>
        <w:t>Alternative Education</w:t>
      </w:r>
      <w:r>
        <w:rPr>
          <w:b/>
          <w:spacing w:val="-9"/>
          <w:sz w:val="15"/>
        </w:rPr>
        <w:t> </w:t>
      </w:r>
      <w:r>
        <w:rPr>
          <w:b/>
          <w:sz w:val="15"/>
        </w:rPr>
        <w:t>ADA</w:t>
      </w:r>
    </w:p>
    <w:p>
      <w:pPr>
        <w:tabs>
          <w:tab w:pos="5379" w:val="left" w:leader="none"/>
          <w:tab w:pos="6473" w:val="left" w:leader="none"/>
          <w:tab w:pos="7567" w:val="left" w:leader="none"/>
          <w:tab w:pos="8662" w:val="left" w:leader="none"/>
          <w:tab w:pos="9756" w:val="left" w:leader="none"/>
          <w:tab w:pos="10851" w:val="left" w:leader="none"/>
        </w:tabs>
        <w:spacing w:before="0"/>
        <w:ind w:left="1135" w:right="0" w:firstLine="0"/>
        <w:jc w:val="left"/>
        <w:rPr>
          <w:sz w:val="15"/>
        </w:rPr>
      </w:pPr>
      <w:r>
        <w:rPr>
          <w:b/>
          <w:sz w:val="15"/>
        </w:rPr>
        <w:t>(Sum of Lines C2a</w:t>
      </w:r>
      <w:r>
        <w:rPr>
          <w:b/>
          <w:spacing w:val="-20"/>
          <w:sz w:val="15"/>
        </w:rPr>
        <w:t> </w:t>
      </w:r>
      <w:r>
        <w:rPr>
          <w:b/>
          <w:sz w:val="15"/>
        </w:rPr>
        <w:t>through</w:t>
      </w:r>
      <w:r>
        <w:rPr>
          <w:b/>
          <w:spacing w:val="-5"/>
          <w:sz w:val="15"/>
        </w:rPr>
        <w:t> </w:t>
      </w:r>
      <w:r>
        <w:rPr>
          <w:b/>
          <w:sz w:val="15"/>
        </w:rPr>
        <w:t>C2c)</w:t>
        <w:tab/>
      </w:r>
      <w:r>
        <w:rPr>
          <w:sz w:val="15"/>
        </w:rPr>
        <w:t>0.00</w:t>
        <w:tab/>
        <w:t>0.00</w:t>
        <w:tab/>
        <w:t>0.00</w:t>
        <w:tab/>
        <w:t>0.00</w:t>
        <w:tab/>
        <w:t>0.00</w:t>
        <w:tab/>
        <w:t>0.00</w:t>
      </w:r>
    </w:p>
    <w:p>
      <w:pPr>
        <w:pStyle w:val="Heading6"/>
        <w:numPr>
          <w:ilvl w:val="0"/>
          <w:numId w:val="44"/>
        </w:numPr>
        <w:tabs>
          <w:tab w:pos="973" w:val="left" w:leader="none"/>
        </w:tabs>
        <w:spacing w:line="240" w:lineRule="auto" w:before="12" w:after="0"/>
        <w:ind w:left="972" w:right="0" w:hanging="205"/>
        <w:jc w:val="left"/>
      </w:pPr>
      <w:r>
        <w:rPr/>
        <w:t>Charter School Funded County Program</w:t>
      </w:r>
      <w:r>
        <w:rPr>
          <w:spacing w:val="-10"/>
        </w:rPr>
        <w:t> </w:t>
      </w:r>
      <w:r>
        <w:rPr/>
        <w:t>ADA</w:t>
      </w:r>
    </w:p>
    <w:p>
      <w:pPr>
        <w:pStyle w:val="Heading7"/>
        <w:numPr>
          <w:ilvl w:val="1"/>
          <w:numId w:val="44"/>
        </w:numPr>
        <w:tabs>
          <w:tab w:pos="1177" w:val="left" w:leader="none"/>
        </w:tabs>
        <w:spacing w:line="240" w:lineRule="auto" w:before="22" w:after="0"/>
        <w:ind w:left="1176" w:right="0" w:hanging="205"/>
        <w:jc w:val="left"/>
      </w:pPr>
      <w:r>
        <w:rPr/>
        <w:t>County Community</w:t>
      </w:r>
      <w:r>
        <w:rPr>
          <w:spacing w:val="-15"/>
        </w:rPr>
        <w:t> </w:t>
      </w:r>
      <w:r>
        <w:rPr/>
        <w:t>Schools</w:t>
      </w:r>
    </w:p>
    <w:p>
      <w:pPr>
        <w:pStyle w:val="ListParagraph"/>
        <w:numPr>
          <w:ilvl w:val="1"/>
          <w:numId w:val="44"/>
        </w:numPr>
        <w:tabs>
          <w:tab w:pos="1177" w:val="left" w:leader="none"/>
        </w:tabs>
        <w:spacing w:line="240" w:lineRule="auto" w:before="17" w:after="0"/>
        <w:ind w:left="1176" w:right="0" w:hanging="205"/>
        <w:jc w:val="left"/>
        <w:rPr>
          <w:sz w:val="15"/>
        </w:rPr>
      </w:pPr>
      <w:r>
        <w:rPr>
          <w:sz w:val="15"/>
        </w:rPr>
        <w:t>Special Education-Special Day</w:t>
      </w:r>
      <w:r>
        <w:rPr>
          <w:spacing w:val="-10"/>
          <w:sz w:val="15"/>
        </w:rPr>
        <w:t> </w:t>
      </w:r>
      <w:r>
        <w:rPr>
          <w:sz w:val="15"/>
        </w:rPr>
        <w:t>Class</w:t>
      </w:r>
    </w:p>
    <w:p>
      <w:pPr>
        <w:pStyle w:val="ListParagraph"/>
        <w:numPr>
          <w:ilvl w:val="1"/>
          <w:numId w:val="44"/>
        </w:numPr>
        <w:tabs>
          <w:tab w:pos="1169" w:val="left" w:leader="none"/>
        </w:tabs>
        <w:spacing w:line="240" w:lineRule="auto" w:before="17" w:after="0"/>
        <w:ind w:left="1168" w:right="0" w:hanging="197"/>
        <w:jc w:val="left"/>
        <w:rPr>
          <w:sz w:val="15"/>
        </w:rPr>
      </w:pPr>
      <w:r>
        <w:rPr>
          <w:sz w:val="15"/>
        </w:rPr>
        <w:t>Special</w:t>
      </w:r>
      <w:r>
        <w:rPr>
          <w:spacing w:val="-2"/>
          <w:sz w:val="15"/>
        </w:rPr>
        <w:t> </w:t>
      </w:r>
      <w:r>
        <w:rPr>
          <w:sz w:val="15"/>
        </w:rPr>
        <w:t>Education-NPS/LCI</w:t>
      </w:r>
    </w:p>
    <w:p>
      <w:pPr>
        <w:pStyle w:val="ListParagraph"/>
        <w:numPr>
          <w:ilvl w:val="1"/>
          <w:numId w:val="44"/>
        </w:numPr>
        <w:tabs>
          <w:tab w:pos="1177" w:val="left" w:leader="none"/>
        </w:tabs>
        <w:spacing w:line="240" w:lineRule="auto" w:before="18" w:after="0"/>
        <w:ind w:left="1176" w:right="0" w:hanging="205"/>
        <w:jc w:val="left"/>
        <w:rPr>
          <w:sz w:val="15"/>
        </w:rPr>
      </w:pPr>
      <w:r>
        <w:rPr>
          <w:sz w:val="15"/>
        </w:rPr>
        <w:t>Special Education Extended</w:t>
      </w:r>
      <w:r>
        <w:rPr>
          <w:spacing w:val="-8"/>
          <w:sz w:val="15"/>
        </w:rPr>
        <w:t> </w:t>
      </w:r>
      <w:r>
        <w:rPr>
          <w:sz w:val="15"/>
        </w:rPr>
        <w:t>Year</w:t>
      </w:r>
    </w:p>
    <w:p>
      <w:pPr>
        <w:pStyle w:val="ListParagraph"/>
        <w:numPr>
          <w:ilvl w:val="1"/>
          <w:numId w:val="44"/>
        </w:numPr>
        <w:tabs>
          <w:tab w:pos="1177" w:val="left" w:leader="none"/>
        </w:tabs>
        <w:spacing w:line="264" w:lineRule="auto" w:before="17" w:after="0"/>
        <w:ind w:left="1176" w:right="7814" w:hanging="204"/>
        <w:jc w:val="left"/>
        <w:rPr>
          <w:sz w:val="15"/>
        </w:rPr>
      </w:pPr>
      <w:r>
        <w:rPr>
          <w:sz w:val="15"/>
        </w:rPr>
        <w:t>Other County Operated Programs: Opportunity Schools and Full Day Opportunity</w:t>
      </w:r>
      <w:r>
        <w:rPr>
          <w:spacing w:val="-21"/>
          <w:sz w:val="15"/>
        </w:rPr>
        <w:t> </w:t>
      </w:r>
      <w:r>
        <w:rPr>
          <w:sz w:val="15"/>
        </w:rPr>
        <w:t>Classes,</w:t>
      </w:r>
      <w:r>
        <w:rPr>
          <w:spacing w:val="-17"/>
          <w:sz w:val="15"/>
        </w:rPr>
        <w:t> </w:t>
      </w:r>
      <w:r>
        <w:rPr>
          <w:sz w:val="15"/>
        </w:rPr>
        <w:t>Specialized</w:t>
      </w:r>
      <w:r>
        <w:rPr>
          <w:spacing w:val="-19"/>
          <w:sz w:val="15"/>
        </w:rPr>
        <w:t> </w:t>
      </w:r>
      <w:r>
        <w:rPr>
          <w:sz w:val="15"/>
        </w:rPr>
        <w:t>Secondary Schools</w:t>
      </w:r>
    </w:p>
    <w:p>
      <w:pPr>
        <w:pStyle w:val="ListParagraph"/>
        <w:numPr>
          <w:ilvl w:val="1"/>
          <w:numId w:val="44"/>
        </w:numPr>
        <w:tabs>
          <w:tab w:pos="1146" w:val="left" w:leader="none"/>
        </w:tabs>
        <w:spacing w:line="264" w:lineRule="auto" w:before="0" w:after="0"/>
        <w:ind w:left="1135" w:right="8121" w:hanging="164"/>
        <w:jc w:val="left"/>
        <w:rPr>
          <w:b/>
          <w:sz w:val="15"/>
        </w:rPr>
      </w:pPr>
      <w:r>
        <w:rPr>
          <w:b/>
          <w:sz w:val="15"/>
        </w:rPr>
        <w:t>Total,</w:t>
      </w:r>
      <w:r>
        <w:rPr>
          <w:b/>
          <w:spacing w:val="-11"/>
          <w:sz w:val="15"/>
        </w:rPr>
        <w:t> </w:t>
      </w:r>
      <w:r>
        <w:rPr>
          <w:b/>
          <w:sz w:val="15"/>
        </w:rPr>
        <w:t>Charter</w:t>
      </w:r>
      <w:r>
        <w:rPr>
          <w:b/>
          <w:spacing w:val="-10"/>
          <w:sz w:val="15"/>
        </w:rPr>
        <w:t> </w:t>
      </w:r>
      <w:r>
        <w:rPr>
          <w:b/>
          <w:sz w:val="15"/>
        </w:rPr>
        <w:t>School</w:t>
      </w:r>
      <w:r>
        <w:rPr>
          <w:b/>
          <w:spacing w:val="-10"/>
          <w:sz w:val="15"/>
        </w:rPr>
        <w:t> </w:t>
      </w:r>
      <w:r>
        <w:rPr>
          <w:b/>
          <w:sz w:val="15"/>
        </w:rPr>
        <w:t>Funded</w:t>
      </w:r>
      <w:r>
        <w:rPr>
          <w:b/>
          <w:spacing w:val="-9"/>
          <w:sz w:val="15"/>
        </w:rPr>
        <w:t> </w:t>
      </w:r>
      <w:r>
        <w:rPr>
          <w:b/>
          <w:sz w:val="15"/>
        </w:rPr>
        <w:t>County Program</w:t>
      </w:r>
      <w:r>
        <w:rPr>
          <w:b/>
          <w:spacing w:val="-3"/>
          <w:sz w:val="15"/>
        </w:rPr>
        <w:t> </w:t>
      </w:r>
      <w:r>
        <w:rPr>
          <w:b/>
          <w:sz w:val="15"/>
        </w:rPr>
        <w:t>ADA</w:t>
      </w:r>
    </w:p>
    <w:p>
      <w:pPr>
        <w:spacing w:line="172" w:lineRule="exact" w:before="0"/>
        <w:ind w:left="1135" w:right="0" w:firstLine="0"/>
        <w:jc w:val="left"/>
        <w:rPr>
          <w:b/>
          <w:sz w:val="15"/>
        </w:rPr>
      </w:pPr>
      <w:r>
        <w:rPr/>
        <w:pict>
          <v:shape style="position:absolute;margin-left:274.459991pt;margin-top:.539028pt;width:292.95pt;height:27.3pt;mso-position-horizontal-relative:page;mso-position-vertical-relative:paragraph;z-index:252200960"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40"/>
                    <w:gridCol w:w="1094"/>
                    <w:gridCol w:w="1094"/>
                    <w:gridCol w:w="1094"/>
                    <w:gridCol w:w="1094"/>
                    <w:gridCol w:w="740"/>
                  </w:tblGrid>
                  <w:tr>
                    <w:trPr>
                      <w:trHeight w:val="272" w:hRule="atLeast"/>
                    </w:trPr>
                    <w:tc>
                      <w:tcPr>
                        <w:tcW w:w="740" w:type="dxa"/>
                      </w:tcPr>
                      <w:p>
                        <w:pPr>
                          <w:pStyle w:val="TableParagraph"/>
                          <w:spacing w:line="166" w:lineRule="exact"/>
                          <w:ind w:left="50"/>
                          <w:rPr>
                            <w:sz w:val="15"/>
                          </w:rPr>
                        </w:pPr>
                        <w:r>
                          <w:rPr>
                            <w:sz w:val="15"/>
                          </w:rPr>
                          <w:t>0.00</w:t>
                        </w:r>
                      </w:p>
                    </w:tc>
                    <w:tc>
                      <w:tcPr>
                        <w:tcW w:w="1094" w:type="dxa"/>
                      </w:tcPr>
                      <w:p>
                        <w:pPr>
                          <w:pStyle w:val="TableParagraph"/>
                          <w:spacing w:line="166" w:lineRule="exact"/>
                          <w:ind w:left="404"/>
                          <w:rPr>
                            <w:sz w:val="15"/>
                          </w:rPr>
                        </w:pPr>
                        <w:r>
                          <w:rPr>
                            <w:sz w:val="15"/>
                          </w:rPr>
                          <w:t>0.00</w:t>
                        </w:r>
                      </w:p>
                    </w:tc>
                    <w:tc>
                      <w:tcPr>
                        <w:tcW w:w="1094" w:type="dxa"/>
                      </w:tcPr>
                      <w:p>
                        <w:pPr>
                          <w:pStyle w:val="TableParagraph"/>
                          <w:spacing w:line="166" w:lineRule="exact"/>
                          <w:ind w:left="380" w:right="379"/>
                          <w:jc w:val="center"/>
                          <w:rPr>
                            <w:sz w:val="15"/>
                          </w:rPr>
                        </w:pPr>
                        <w:r>
                          <w:rPr>
                            <w:sz w:val="15"/>
                          </w:rPr>
                          <w:t>0.00</w:t>
                        </w:r>
                      </w:p>
                    </w:tc>
                    <w:tc>
                      <w:tcPr>
                        <w:tcW w:w="1094" w:type="dxa"/>
                      </w:tcPr>
                      <w:p>
                        <w:pPr>
                          <w:pStyle w:val="TableParagraph"/>
                          <w:spacing w:line="166" w:lineRule="exact"/>
                          <w:ind w:left="381" w:right="379"/>
                          <w:jc w:val="center"/>
                          <w:rPr>
                            <w:sz w:val="15"/>
                          </w:rPr>
                        </w:pPr>
                        <w:r>
                          <w:rPr>
                            <w:sz w:val="15"/>
                          </w:rPr>
                          <w:t>0.00</w:t>
                        </w:r>
                      </w:p>
                    </w:tc>
                    <w:tc>
                      <w:tcPr>
                        <w:tcW w:w="1094" w:type="dxa"/>
                      </w:tcPr>
                      <w:p>
                        <w:pPr>
                          <w:pStyle w:val="TableParagraph"/>
                          <w:spacing w:line="166" w:lineRule="exact"/>
                          <w:ind w:left="381" w:right="378"/>
                          <w:jc w:val="center"/>
                          <w:rPr>
                            <w:sz w:val="15"/>
                          </w:rPr>
                        </w:pPr>
                        <w:r>
                          <w:rPr>
                            <w:sz w:val="15"/>
                          </w:rPr>
                          <w:t>0.00</w:t>
                        </w:r>
                      </w:p>
                    </w:tc>
                    <w:tc>
                      <w:tcPr>
                        <w:tcW w:w="740" w:type="dxa"/>
                      </w:tcPr>
                      <w:p>
                        <w:pPr>
                          <w:pStyle w:val="TableParagraph"/>
                          <w:spacing w:line="166" w:lineRule="exact"/>
                          <w:ind w:right="45"/>
                          <w:jc w:val="right"/>
                          <w:rPr>
                            <w:sz w:val="15"/>
                          </w:rPr>
                        </w:pPr>
                        <w:r>
                          <w:rPr>
                            <w:w w:val="95"/>
                            <w:sz w:val="15"/>
                          </w:rPr>
                          <w:t>0.00</w:t>
                        </w:r>
                      </w:p>
                    </w:tc>
                  </w:tr>
                  <w:tr>
                    <w:trPr>
                      <w:trHeight w:val="272" w:hRule="atLeast"/>
                    </w:trPr>
                    <w:tc>
                      <w:tcPr>
                        <w:tcW w:w="740" w:type="dxa"/>
                      </w:tcPr>
                      <w:p>
                        <w:pPr>
                          <w:pStyle w:val="TableParagraph"/>
                          <w:spacing w:line="152" w:lineRule="exact" w:before="100"/>
                          <w:ind w:left="50"/>
                          <w:rPr>
                            <w:sz w:val="15"/>
                          </w:rPr>
                        </w:pPr>
                        <w:r>
                          <w:rPr>
                            <w:sz w:val="15"/>
                          </w:rPr>
                          <w:t>0.00</w:t>
                        </w:r>
                      </w:p>
                    </w:tc>
                    <w:tc>
                      <w:tcPr>
                        <w:tcW w:w="1094" w:type="dxa"/>
                      </w:tcPr>
                      <w:p>
                        <w:pPr>
                          <w:pStyle w:val="TableParagraph"/>
                          <w:spacing w:line="152" w:lineRule="exact" w:before="100"/>
                          <w:ind w:left="404"/>
                          <w:rPr>
                            <w:sz w:val="15"/>
                          </w:rPr>
                        </w:pPr>
                        <w:r>
                          <w:rPr>
                            <w:sz w:val="15"/>
                          </w:rPr>
                          <w:t>0.00</w:t>
                        </w:r>
                      </w:p>
                    </w:tc>
                    <w:tc>
                      <w:tcPr>
                        <w:tcW w:w="1094" w:type="dxa"/>
                      </w:tcPr>
                      <w:p>
                        <w:pPr>
                          <w:pStyle w:val="TableParagraph"/>
                          <w:spacing w:line="152" w:lineRule="exact" w:before="100"/>
                          <w:ind w:left="380" w:right="379"/>
                          <w:jc w:val="center"/>
                          <w:rPr>
                            <w:sz w:val="15"/>
                          </w:rPr>
                        </w:pPr>
                        <w:r>
                          <w:rPr>
                            <w:sz w:val="15"/>
                          </w:rPr>
                          <w:t>0.00</w:t>
                        </w:r>
                      </w:p>
                    </w:tc>
                    <w:tc>
                      <w:tcPr>
                        <w:tcW w:w="1094" w:type="dxa"/>
                      </w:tcPr>
                      <w:p>
                        <w:pPr>
                          <w:pStyle w:val="TableParagraph"/>
                          <w:spacing w:line="152" w:lineRule="exact" w:before="100"/>
                          <w:ind w:left="381" w:right="379"/>
                          <w:jc w:val="center"/>
                          <w:rPr>
                            <w:sz w:val="15"/>
                          </w:rPr>
                        </w:pPr>
                        <w:r>
                          <w:rPr>
                            <w:sz w:val="15"/>
                          </w:rPr>
                          <w:t>0.00</w:t>
                        </w:r>
                      </w:p>
                    </w:tc>
                    <w:tc>
                      <w:tcPr>
                        <w:tcW w:w="1094" w:type="dxa"/>
                      </w:tcPr>
                      <w:p>
                        <w:pPr>
                          <w:pStyle w:val="TableParagraph"/>
                          <w:spacing w:line="152" w:lineRule="exact" w:before="100"/>
                          <w:ind w:left="381" w:right="378"/>
                          <w:jc w:val="center"/>
                          <w:rPr>
                            <w:sz w:val="15"/>
                          </w:rPr>
                        </w:pPr>
                        <w:r>
                          <w:rPr>
                            <w:sz w:val="15"/>
                          </w:rPr>
                          <w:t>0.00</w:t>
                        </w:r>
                      </w:p>
                    </w:tc>
                    <w:tc>
                      <w:tcPr>
                        <w:tcW w:w="740" w:type="dxa"/>
                      </w:tcPr>
                      <w:p>
                        <w:pPr>
                          <w:pStyle w:val="TableParagraph"/>
                          <w:spacing w:line="152" w:lineRule="exact" w:before="100"/>
                          <w:ind w:right="45"/>
                          <w:jc w:val="right"/>
                          <w:rPr>
                            <w:sz w:val="15"/>
                          </w:rPr>
                        </w:pPr>
                        <w:r>
                          <w:rPr>
                            <w:w w:val="95"/>
                            <w:sz w:val="15"/>
                          </w:rPr>
                          <w:t>0.00</w:t>
                        </w:r>
                      </w:p>
                    </w:tc>
                  </w:tr>
                </w:tbl>
                <w:p>
                  <w:pPr>
                    <w:pStyle w:val="BodyText"/>
                  </w:pPr>
                </w:p>
              </w:txbxContent>
            </v:textbox>
            <w10:wrap type="none"/>
          </v:shape>
        </w:pict>
      </w:r>
      <w:r>
        <w:rPr>
          <w:b/>
          <w:sz w:val="15"/>
        </w:rPr>
        <w:t>(Sum of Lines C3a through C3e)</w:t>
      </w:r>
    </w:p>
    <w:p>
      <w:pPr>
        <w:pStyle w:val="ListParagraph"/>
        <w:numPr>
          <w:ilvl w:val="0"/>
          <w:numId w:val="44"/>
        </w:numPr>
        <w:tabs>
          <w:tab w:pos="973" w:val="left" w:leader="none"/>
        </w:tabs>
        <w:spacing w:line="264" w:lineRule="auto" w:before="11" w:after="0"/>
        <w:ind w:left="972" w:right="8632" w:hanging="204"/>
        <w:jc w:val="left"/>
        <w:rPr>
          <w:b/>
          <w:sz w:val="15"/>
        </w:rPr>
      </w:pPr>
      <w:r>
        <w:rPr>
          <w:b/>
          <w:sz w:val="15"/>
        </w:rPr>
        <w:t>TOTAL</w:t>
      </w:r>
      <w:r>
        <w:rPr>
          <w:b/>
          <w:spacing w:val="-13"/>
          <w:sz w:val="15"/>
        </w:rPr>
        <w:t> </w:t>
      </w:r>
      <w:r>
        <w:rPr>
          <w:b/>
          <w:sz w:val="15"/>
        </w:rPr>
        <w:t>CHARTER</w:t>
      </w:r>
      <w:r>
        <w:rPr>
          <w:b/>
          <w:spacing w:val="-12"/>
          <w:sz w:val="15"/>
        </w:rPr>
        <w:t> </w:t>
      </w:r>
      <w:r>
        <w:rPr>
          <w:b/>
          <w:sz w:val="15"/>
        </w:rPr>
        <w:t>SCHOOL</w:t>
      </w:r>
      <w:r>
        <w:rPr>
          <w:b/>
          <w:spacing w:val="-12"/>
          <w:sz w:val="15"/>
        </w:rPr>
        <w:t> </w:t>
      </w:r>
      <w:r>
        <w:rPr>
          <w:b/>
          <w:sz w:val="15"/>
        </w:rPr>
        <w:t>ADA (Sum of Lines C1, C2d, and</w:t>
      </w:r>
      <w:r>
        <w:rPr>
          <w:b/>
          <w:spacing w:val="-28"/>
          <w:sz w:val="15"/>
        </w:rPr>
        <w:t> </w:t>
      </w:r>
      <w:r>
        <w:rPr>
          <w:b/>
          <w:sz w:val="15"/>
        </w:rPr>
        <w:t>C3f)</w:t>
      </w:r>
    </w:p>
    <w:p>
      <w:pPr>
        <w:pStyle w:val="BodyText"/>
        <w:spacing w:before="5"/>
        <w:rPr>
          <w:b/>
          <w:sz w:val="14"/>
        </w:rPr>
      </w:pPr>
    </w:p>
    <w:p>
      <w:pPr>
        <w:spacing w:before="0"/>
        <w:ind w:left="972" w:right="0" w:firstLine="0"/>
        <w:jc w:val="left"/>
        <w:rPr>
          <w:b/>
          <w:sz w:val="15"/>
        </w:rPr>
      </w:pPr>
      <w:r>
        <w:rPr>
          <w:b/>
          <w:sz w:val="15"/>
        </w:rPr>
        <w:t>FUND 09 or 62: Charter School ADA corresponding to SACS financial data reported in Fund 09 or Fund 62.</w:t>
      </w:r>
    </w:p>
    <w:p>
      <w:pPr>
        <w:pStyle w:val="ListParagraph"/>
        <w:numPr>
          <w:ilvl w:val="0"/>
          <w:numId w:val="44"/>
        </w:numPr>
        <w:tabs>
          <w:tab w:pos="973" w:val="left" w:leader="none"/>
        </w:tabs>
        <w:spacing w:line="240" w:lineRule="auto" w:before="106" w:after="0"/>
        <w:ind w:left="972" w:right="0" w:hanging="205"/>
        <w:jc w:val="left"/>
        <w:rPr>
          <w:b/>
          <w:sz w:val="15"/>
        </w:rPr>
      </w:pPr>
      <w:r>
        <w:rPr>
          <w:b/>
          <w:sz w:val="15"/>
        </w:rPr>
        <w:t>Total Charter School Regular</w:t>
      </w:r>
      <w:r>
        <w:rPr>
          <w:b/>
          <w:spacing w:val="-9"/>
          <w:sz w:val="15"/>
        </w:rPr>
        <w:t> </w:t>
      </w:r>
      <w:r>
        <w:rPr>
          <w:b/>
          <w:sz w:val="15"/>
        </w:rPr>
        <w:t>ADA</w:t>
      </w:r>
    </w:p>
    <w:p>
      <w:pPr>
        <w:pStyle w:val="ListParagraph"/>
        <w:numPr>
          <w:ilvl w:val="0"/>
          <w:numId w:val="44"/>
        </w:numPr>
        <w:tabs>
          <w:tab w:pos="973" w:val="left" w:leader="none"/>
        </w:tabs>
        <w:spacing w:line="264" w:lineRule="auto" w:before="17" w:after="0"/>
        <w:ind w:left="972" w:right="7858" w:hanging="204"/>
        <w:jc w:val="left"/>
        <w:rPr>
          <w:b/>
          <w:sz w:val="15"/>
        </w:rPr>
      </w:pPr>
      <w:r>
        <w:rPr>
          <w:b/>
          <w:sz w:val="15"/>
        </w:rPr>
        <w:t>Charter</w:t>
      </w:r>
      <w:r>
        <w:rPr>
          <w:b/>
          <w:spacing w:val="-12"/>
          <w:sz w:val="15"/>
        </w:rPr>
        <w:t> </w:t>
      </w:r>
      <w:r>
        <w:rPr>
          <w:b/>
          <w:sz w:val="15"/>
        </w:rPr>
        <w:t>School</w:t>
      </w:r>
      <w:r>
        <w:rPr>
          <w:b/>
          <w:spacing w:val="-12"/>
          <w:sz w:val="15"/>
        </w:rPr>
        <w:t> </w:t>
      </w:r>
      <w:r>
        <w:rPr>
          <w:b/>
          <w:sz w:val="15"/>
        </w:rPr>
        <w:t>County</w:t>
      </w:r>
      <w:r>
        <w:rPr>
          <w:b/>
          <w:spacing w:val="-12"/>
          <w:sz w:val="15"/>
        </w:rPr>
        <w:t> </w:t>
      </w:r>
      <w:r>
        <w:rPr>
          <w:b/>
          <w:sz w:val="15"/>
        </w:rPr>
        <w:t>Program</w:t>
      </w:r>
      <w:r>
        <w:rPr>
          <w:b/>
          <w:spacing w:val="-12"/>
          <w:sz w:val="15"/>
        </w:rPr>
        <w:t> </w:t>
      </w:r>
      <w:r>
        <w:rPr>
          <w:b/>
          <w:sz w:val="15"/>
        </w:rPr>
        <w:t>Alternative Education</w:t>
      </w:r>
      <w:r>
        <w:rPr>
          <w:b/>
          <w:spacing w:val="-2"/>
          <w:sz w:val="15"/>
        </w:rPr>
        <w:t> </w:t>
      </w:r>
      <w:r>
        <w:rPr>
          <w:b/>
          <w:sz w:val="15"/>
        </w:rPr>
        <w:t>ADA</w:t>
      </w:r>
    </w:p>
    <w:p>
      <w:pPr>
        <w:pStyle w:val="ListParagraph"/>
        <w:numPr>
          <w:ilvl w:val="1"/>
          <w:numId w:val="44"/>
        </w:numPr>
        <w:tabs>
          <w:tab w:pos="1136" w:val="left" w:leader="none"/>
        </w:tabs>
        <w:spacing w:line="240" w:lineRule="auto" w:before="4" w:after="0"/>
        <w:ind w:left="1135" w:right="0" w:hanging="164"/>
        <w:jc w:val="left"/>
        <w:rPr>
          <w:sz w:val="15"/>
        </w:rPr>
      </w:pPr>
      <w:r>
        <w:rPr>
          <w:sz w:val="15"/>
        </w:rPr>
        <w:t>County Group Home and Institution</w:t>
      </w:r>
      <w:r>
        <w:rPr>
          <w:spacing w:val="-17"/>
          <w:sz w:val="15"/>
        </w:rPr>
        <w:t> </w:t>
      </w:r>
      <w:r>
        <w:rPr>
          <w:sz w:val="15"/>
        </w:rPr>
        <w:t>Pupils</w:t>
      </w:r>
    </w:p>
    <w:p>
      <w:pPr>
        <w:pStyle w:val="ListParagraph"/>
        <w:numPr>
          <w:ilvl w:val="1"/>
          <w:numId w:val="44"/>
        </w:numPr>
        <w:tabs>
          <w:tab w:pos="1136" w:val="left" w:leader="none"/>
        </w:tabs>
        <w:spacing w:line="240" w:lineRule="auto" w:before="17" w:after="0"/>
        <w:ind w:left="1135" w:right="0" w:hanging="164"/>
        <w:jc w:val="left"/>
        <w:rPr>
          <w:sz w:val="15"/>
        </w:rPr>
      </w:pPr>
      <w:r>
        <w:rPr>
          <w:sz w:val="15"/>
        </w:rPr>
        <w:t>Juvenile Halls, Homes, and</w:t>
      </w:r>
      <w:r>
        <w:rPr>
          <w:spacing w:val="-10"/>
          <w:sz w:val="15"/>
        </w:rPr>
        <w:t> </w:t>
      </w:r>
      <w:r>
        <w:rPr>
          <w:sz w:val="15"/>
        </w:rPr>
        <w:t>Camps</w:t>
      </w:r>
    </w:p>
    <w:p>
      <w:pPr>
        <w:pStyle w:val="ListParagraph"/>
        <w:numPr>
          <w:ilvl w:val="1"/>
          <w:numId w:val="44"/>
        </w:numPr>
        <w:tabs>
          <w:tab w:pos="1128" w:val="left" w:leader="none"/>
        </w:tabs>
        <w:spacing w:line="264" w:lineRule="auto" w:before="18" w:after="0"/>
        <w:ind w:left="1135" w:right="7424" w:hanging="164"/>
        <w:jc w:val="left"/>
        <w:rPr>
          <w:sz w:val="15"/>
        </w:rPr>
      </w:pPr>
      <w:r>
        <w:rPr>
          <w:sz w:val="15"/>
        </w:rPr>
        <w:t>Probation Referred, On Probation or Parole, Expelled</w:t>
      </w:r>
      <w:r>
        <w:rPr>
          <w:spacing w:val="-10"/>
          <w:sz w:val="15"/>
        </w:rPr>
        <w:t> </w:t>
      </w:r>
      <w:r>
        <w:rPr>
          <w:sz w:val="15"/>
        </w:rPr>
        <w:t>per</w:t>
      </w:r>
      <w:r>
        <w:rPr>
          <w:spacing w:val="-7"/>
          <w:sz w:val="15"/>
        </w:rPr>
        <w:t> </w:t>
      </w:r>
      <w:r>
        <w:rPr>
          <w:sz w:val="15"/>
        </w:rPr>
        <w:t>EC</w:t>
      </w:r>
      <w:r>
        <w:rPr>
          <w:spacing w:val="-8"/>
          <w:sz w:val="15"/>
        </w:rPr>
        <w:t> </w:t>
      </w:r>
      <w:r>
        <w:rPr>
          <w:sz w:val="15"/>
        </w:rPr>
        <w:t>48915(a)</w:t>
      </w:r>
      <w:r>
        <w:rPr>
          <w:spacing w:val="-7"/>
          <w:sz w:val="15"/>
        </w:rPr>
        <w:t> </w:t>
      </w:r>
      <w:r>
        <w:rPr>
          <w:sz w:val="15"/>
        </w:rPr>
        <w:t>or</w:t>
      </w:r>
      <w:r>
        <w:rPr>
          <w:spacing w:val="-8"/>
          <w:sz w:val="15"/>
        </w:rPr>
        <w:t> </w:t>
      </w:r>
      <w:r>
        <w:rPr>
          <w:sz w:val="15"/>
        </w:rPr>
        <w:t>(c)</w:t>
      </w:r>
      <w:r>
        <w:rPr>
          <w:spacing w:val="-7"/>
          <w:sz w:val="15"/>
        </w:rPr>
        <w:t> </w:t>
      </w:r>
      <w:r>
        <w:rPr>
          <w:sz w:val="15"/>
        </w:rPr>
        <w:t>[EC</w:t>
      </w:r>
      <w:r>
        <w:rPr>
          <w:spacing w:val="-7"/>
          <w:sz w:val="15"/>
        </w:rPr>
        <w:t> </w:t>
      </w:r>
      <w:r>
        <w:rPr>
          <w:sz w:val="15"/>
        </w:rPr>
        <w:t>2574(c)(4)(A)]</w:t>
      </w:r>
    </w:p>
    <w:p>
      <w:pPr>
        <w:pStyle w:val="ListParagraph"/>
        <w:numPr>
          <w:ilvl w:val="1"/>
          <w:numId w:val="44"/>
        </w:numPr>
        <w:tabs>
          <w:tab w:pos="1146" w:val="left" w:leader="none"/>
        </w:tabs>
        <w:spacing w:line="264" w:lineRule="auto" w:before="0" w:after="0"/>
        <w:ind w:left="1135" w:right="8050" w:hanging="164"/>
        <w:jc w:val="left"/>
        <w:rPr>
          <w:b/>
          <w:sz w:val="15"/>
        </w:rPr>
      </w:pPr>
      <w:r>
        <w:rPr>
          <w:b/>
          <w:sz w:val="15"/>
        </w:rPr>
        <w:t>Total, Charter School County</w:t>
      </w:r>
      <w:r>
        <w:rPr>
          <w:b/>
          <w:spacing w:val="-25"/>
          <w:sz w:val="15"/>
        </w:rPr>
        <w:t> </w:t>
      </w:r>
      <w:r>
        <w:rPr>
          <w:b/>
          <w:spacing w:val="-3"/>
          <w:sz w:val="15"/>
        </w:rPr>
        <w:t>Program </w:t>
      </w:r>
      <w:r>
        <w:rPr>
          <w:b/>
          <w:sz w:val="15"/>
        </w:rPr>
        <w:t>Alternative Education</w:t>
      </w:r>
      <w:r>
        <w:rPr>
          <w:b/>
          <w:spacing w:val="-9"/>
          <w:sz w:val="15"/>
        </w:rPr>
        <w:t> </w:t>
      </w:r>
      <w:r>
        <w:rPr>
          <w:b/>
          <w:sz w:val="15"/>
        </w:rPr>
        <w:t>ADA</w:t>
      </w:r>
    </w:p>
    <w:p>
      <w:pPr>
        <w:tabs>
          <w:tab w:pos="5379" w:val="left" w:leader="none"/>
          <w:tab w:pos="6473" w:val="left" w:leader="none"/>
          <w:tab w:pos="7567" w:val="left" w:leader="none"/>
          <w:tab w:pos="8662" w:val="left" w:leader="none"/>
          <w:tab w:pos="9756" w:val="left" w:leader="none"/>
          <w:tab w:pos="10851" w:val="left" w:leader="none"/>
        </w:tabs>
        <w:spacing w:line="172" w:lineRule="exact" w:before="0"/>
        <w:ind w:left="1135" w:right="0" w:firstLine="0"/>
        <w:jc w:val="left"/>
        <w:rPr>
          <w:sz w:val="15"/>
        </w:rPr>
      </w:pPr>
      <w:r>
        <w:rPr>
          <w:b/>
          <w:sz w:val="15"/>
        </w:rPr>
        <w:t>(Sum of Lines C6a</w:t>
      </w:r>
      <w:r>
        <w:rPr>
          <w:b/>
          <w:spacing w:val="-20"/>
          <w:sz w:val="15"/>
        </w:rPr>
        <w:t> </w:t>
      </w:r>
      <w:r>
        <w:rPr>
          <w:b/>
          <w:sz w:val="15"/>
        </w:rPr>
        <w:t>through</w:t>
      </w:r>
      <w:r>
        <w:rPr>
          <w:b/>
          <w:spacing w:val="-5"/>
          <w:sz w:val="15"/>
        </w:rPr>
        <w:t> </w:t>
      </w:r>
      <w:r>
        <w:rPr>
          <w:b/>
          <w:sz w:val="15"/>
        </w:rPr>
        <w:t>C6c)</w:t>
        <w:tab/>
      </w:r>
      <w:r>
        <w:rPr>
          <w:sz w:val="15"/>
        </w:rPr>
        <w:t>0.00</w:t>
        <w:tab/>
        <w:t>0.00</w:t>
        <w:tab/>
        <w:t>0.00</w:t>
        <w:tab/>
        <w:t>0.00</w:t>
        <w:tab/>
        <w:t>0.00</w:t>
        <w:tab/>
        <w:t>0.00</w:t>
      </w:r>
    </w:p>
    <w:p>
      <w:pPr>
        <w:pStyle w:val="Heading6"/>
        <w:numPr>
          <w:ilvl w:val="0"/>
          <w:numId w:val="44"/>
        </w:numPr>
        <w:tabs>
          <w:tab w:pos="973" w:val="left" w:leader="none"/>
        </w:tabs>
        <w:spacing w:line="240" w:lineRule="auto" w:before="12" w:after="0"/>
        <w:ind w:left="972" w:right="0" w:hanging="205"/>
        <w:jc w:val="left"/>
      </w:pPr>
      <w:r>
        <w:rPr/>
        <w:t>Charter School Funded County Program</w:t>
      </w:r>
      <w:r>
        <w:rPr>
          <w:spacing w:val="-10"/>
        </w:rPr>
        <w:t> </w:t>
      </w:r>
      <w:r>
        <w:rPr/>
        <w:t>ADA</w:t>
      </w:r>
    </w:p>
    <w:p>
      <w:pPr>
        <w:pStyle w:val="Heading7"/>
        <w:numPr>
          <w:ilvl w:val="1"/>
          <w:numId w:val="44"/>
        </w:numPr>
        <w:tabs>
          <w:tab w:pos="1177" w:val="left" w:leader="none"/>
        </w:tabs>
        <w:spacing w:line="240" w:lineRule="auto" w:before="22" w:after="0"/>
        <w:ind w:left="1176" w:right="0" w:hanging="205"/>
        <w:jc w:val="left"/>
      </w:pPr>
      <w:r>
        <w:rPr/>
        <w:t>County Community</w:t>
      </w:r>
      <w:r>
        <w:rPr>
          <w:spacing w:val="-15"/>
        </w:rPr>
        <w:t> </w:t>
      </w:r>
      <w:r>
        <w:rPr/>
        <w:t>Schools</w:t>
      </w:r>
    </w:p>
    <w:p>
      <w:pPr>
        <w:pStyle w:val="ListParagraph"/>
        <w:numPr>
          <w:ilvl w:val="1"/>
          <w:numId w:val="44"/>
        </w:numPr>
        <w:tabs>
          <w:tab w:pos="1177" w:val="left" w:leader="none"/>
        </w:tabs>
        <w:spacing w:line="240" w:lineRule="auto" w:before="17" w:after="0"/>
        <w:ind w:left="1176" w:right="0" w:hanging="205"/>
        <w:jc w:val="left"/>
        <w:rPr>
          <w:sz w:val="15"/>
        </w:rPr>
      </w:pPr>
      <w:r>
        <w:rPr>
          <w:sz w:val="15"/>
        </w:rPr>
        <w:t>Special Education-Special Day</w:t>
      </w:r>
      <w:r>
        <w:rPr>
          <w:spacing w:val="-10"/>
          <w:sz w:val="15"/>
        </w:rPr>
        <w:t> </w:t>
      </w:r>
      <w:r>
        <w:rPr>
          <w:sz w:val="15"/>
        </w:rPr>
        <w:t>Class</w:t>
      </w:r>
    </w:p>
    <w:p>
      <w:pPr>
        <w:pStyle w:val="ListParagraph"/>
        <w:numPr>
          <w:ilvl w:val="1"/>
          <w:numId w:val="44"/>
        </w:numPr>
        <w:tabs>
          <w:tab w:pos="1169" w:val="left" w:leader="none"/>
        </w:tabs>
        <w:spacing w:line="240" w:lineRule="auto" w:before="17" w:after="0"/>
        <w:ind w:left="1168" w:right="0" w:hanging="197"/>
        <w:jc w:val="left"/>
        <w:rPr>
          <w:sz w:val="15"/>
        </w:rPr>
      </w:pPr>
      <w:r>
        <w:rPr>
          <w:sz w:val="15"/>
        </w:rPr>
        <w:t>Special</w:t>
      </w:r>
      <w:r>
        <w:rPr>
          <w:spacing w:val="-2"/>
          <w:sz w:val="15"/>
        </w:rPr>
        <w:t> </w:t>
      </w:r>
      <w:r>
        <w:rPr>
          <w:sz w:val="15"/>
        </w:rPr>
        <w:t>Education-NPS/LCI</w:t>
      </w:r>
    </w:p>
    <w:p>
      <w:pPr>
        <w:pStyle w:val="ListParagraph"/>
        <w:numPr>
          <w:ilvl w:val="1"/>
          <w:numId w:val="44"/>
        </w:numPr>
        <w:tabs>
          <w:tab w:pos="1177" w:val="left" w:leader="none"/>
        </w:tabs>
        <w:spacing w:line="240" w:lineRule="auto" w:before="17" w:after="0"/>
        <w:ind w:left="1176" w:right="0" w:hanging="205"/>
        <w:jc w:val="left"/>
        <w:rPr>
          <w:sz w:val="15"/>
        </w:rPr>
      </w:pPr>
      <w:r>
        <w:rPr>
          <w:sz w:val="15"/>
        </w:rPr>
        <w:t>Special Education Extended</w:t>
      </w:r>
      <w:r>
        <w:rPr>
          <w:spacing w:val="-8"/>
          <w:sz w:val="15"/>
        </w:rPr>
        <w:t> </w:t>
      </w:r>
      <w:r>
        <w:rPr>
          <w:sz w:val="15"/>
        </w:rPr>
        <w:t>Year</w:t>
      </w:r>
    </w:p>
    <w:p>
      <w:pPr>
        <w:pStyle w:val="ListParagraph"/>
        <w:numPr>
          <w:ilvl w:val="1"/>
          <w:numId w:val="44"/>
        </w:numPr>
        <w:tabs>
          <w:tab w:pos="1177" w:val="left" w:leader="none"/>
        </w:tabs>
        <w:spacing w:line="264" w:lineRule="auto" w:before="17" w:after="0"/>
        <w:ind w:left="1176" w:right="7814" w:hanging="204"/>
        <w:jc w:val="left"/>
        <w:rPr>
          <w:sz w:val="15"/>
        </w:rPr>
      </w:pPr>
      <w:r>
        <w:rPr>
          <w:sz w:val="15"/>
        </w:rPr>
        <w:t>Other County Operated Programs: Opportunity Schools and Full Day Opportunity</w:t>
      </w:r>
      <w:r>
        <w:rPr>
          <w:spacing w:val="-21"/>
          <w:sz w:val="15"/>
        </w:rPr>
        <w:t> </w:t>
      </w:r>
      <w:r>
        <w:rPr>
          <w:sz w:val="15"/>
        </w:rPr>
        <w:t>Classes,</w:t>
      </w:r>
      <w:r>
        <w:rPr>
          <w:spacing w:val="-17"/>
          <w:sz w:val="15"/>
        </w:rPr>
        <w:t> </w:t>
      </w:r>
      <w:r>
        <w:rPr>
          <w:sz w:val="15"/>
        </w:rPr>
        <w:t>Specialized</w:t>
      </w:r>
      <w:r>
        <w:rPr>
          <w:spacing w:val="-19"/>
          <w:sz w:val="15"/>
        </w:rPr>
        <w:t> </w:t>
      </w:r>
      <w:r>
        <w:rPr>
          <w:sz w:val="15"/>
        </w:rPr>
        <w:t>Secondary Schools</w:t>
      </w:r>
    </w:p>
    <w:p>
      <w:pPr>
        <w:pStyle w:val="ListParagraph"/>
        <w:numPr>
          <w:ilvl w:val="1"/>
          <w:numId w:val="44"/>
        </w:numPr>
        <w:tabs>
          <w:tab w:pos="1146" w:val="left" w:leader="none"/>
        </w:tabs>
        <w:spacing w:line="264" w:lineRule="auto" w:before="0" w:after="0"/>
        <w:ind w:left="1135" w:right="8121" w:hanging="164"/>
        <w:jc w:val="left"/>
        <w:rPr>
          <w:b/>
          <w:sz w:val="15"/>
        </w:rPr>
      </w:pPr>
      <w:r>
        <w:rPr>
          <w:b/>
          <w:sz w:val="15"/>
        </w:rPr>
        <w:t>Total,</w:t>
      </w:r>
      <w:r>
        <w:rPr>
          <w:b/>
          <w:spacing w:val="-11"/>
          <w:sz w:val="15"/>
        </w:rPr>
        <w:t> </w:t>
      </w:r>
      <w:r>
        <w:rPr>
          <w:b/>
          <w:sz w:val="15"/>
        </w:rPr>
        <w:t>Charter</w:t>
      </w:r>
      <w:r>
        <w:rPr>
          <w:b/>
          <w:spacing w:val="-10"/>
          <w:sz w:val="15"/>
        </w:rPr>
        <w:t> </w:t>
      </w:r>
      <w:r>
        <w:rPr>
          <w:b/>
          <w:sz w:val="15"/>
        </w:rPr>
        <w:t>School</w:t>
      </w:r>
      <w:r>
        <w:rPr>
          <w:b/>
          <w:spacing w:val="-10"/>
          <w:sz w:val="15"/>
        </w:rPr>
        <w:t> </w:t>
      </w:r>
      <w:r>
        <w:rPr>
          <w:b/>
          <w:sz w:val="15"/>
        </w:rPr>
        <w:t>Funded</w:t>
      </w:r>
      <w:r>
        <w:rPr>
          <w:b/>
          <w:spacing w:val="-9"/>
          <w:sz w:val="15"/>
        </w:rPr>
        <w:t> </w:t>
      </w:r>
      <w:r>
        <w:rPr>
          <w:b/>
          <w:sz w:val="15"/>
        </w:rPr>
        <w:t>County Program</w:t>
      </w:r>
      <w:r>
        <w:rPr>
          <w:b/>
          <w:spacing w:val="-3"/>
          <w:sz w:val="15"/>
        </w:rPr>
        <w:t> </w:t>
      </w:r>
      <w:r>
        <w:rPr>
          <w:b/>
          <w:sz w:val="15"/>
        </w:rPr>
        <w:t>ADA</w:t>
      </w:r>
    </w:p>
    <w:p>
      <w:pPr>
        <w:spacing w:line="172" w:lineRule="exact" w:before="0"/>
        <w:ind w:left="1135" w:right="0" w:firstLine="0"/>
        <w:jc w:val="left"/>
        <w:rPr>
          <w:b/>
          <w:sz w:val="15"/>
        </w:rPr>
      </w:pPr>
      <w:r>
        <w:rPr/>
        <w:pict>
          <v:shape style="position:absolute;margin-left:274.459991pt;margin-top:.539074pt;width:292.95pt;height:55.7pt;mso-position-horizontal-relative:page;mso-position-vertical-relative:paragraph;z-index:252201984"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40"/>
                    <w:gridCol w:w="1094"/>
                    <w:gridCol w:w="1094"/>
                    <w:gridCol w:w="1094"/>
                    <w:gridCol w:w="1094"/>
                    <w:gridCol w:w="740"/>
                  </w:tblGrid>
                  <w:tr>
                    <w:trPr>
                      <w:trHeight w:val="272" w:hRule="atLeast"/>
                    </w:trPr>
                    <w:tc>
                      <w:tcPr>
                        <w:tcW w:w="740" w:type="dxa"/>
                      </w:tcPr>
                      <w:p>
                        <w:pPr>
                          <w:pStyle w:val="TableParagraph"/>
                          <w:spacing w:line="166" w:lineRule="exact"/>
                          <w:ind w:left="50"/>
                          <w:rPr>
                            <w:sz w:val="15"/>
                          </w:rPr>
                        </w:pPr>
                        <w:r>
                          <w:rPr>
                            <w:sz w:val="15"/>
                          </w:rPr>
                          <w:t>0.00</w:t>
                        </w:r>
                      </w:p>
                    </w:tc>
                    <w:tc>
                      <w:tcPr>
                        <w:tcW w:w="1094" w:type="dxa"/>
                      </w:tcPr>
                      <w:p>
                        <w:pPr>
                          <w:pStyle w:val="TableParagraph"/>
                          <w:spacing w:line="166" w:lineRule="exact"/>
                          <w:ind w:left="404"/>
                          <w:rPr>
                            <w:sz w:val="15"/>
                          </w:rPr>
                        </w:pPr>
                        <w:r>
                          <w:rPr>
                            <w:sz w:val="15"/>
                          </w:rPr>
                          <w:t>0.00</w:t>
                        </w:r>
                      </w:p>
                    </w:tc>
                    <w:tc>
                      <w:tcPr>
                        <w:tcW w:w="1094" w:type="dxa"/>
                      </w:tcPr>
                      <w:p>
                        <w:pPr>
                          <w:pStyle w:val="TableParagraph"/>
                          <w:spacing w:line="166" w:lineRule="exact"/>
                          <w:ind w:left="380" w:right="379"/>
                          <w:jc w:val="center"/>
                          <w:rPr>
                            <w:sz w:val="15"/>
                          </w:rPr>
                        </w:pPr>
                        <w:r>
                          <w:rPr>
                            <w:sz w:val="15"/>
                          </w:rPr>
                          <w:t>0.00</w:t>
                        </w:r>
                      </w:p>
                    </w:tc>
                    <w:tc>
                      <w:tcPr>
                        <w:tcW w:w="1094" w:type="dxa"/>
                      </w:tcPr>
                      <w:p>
                        <w:pPr>
                          <w:pStyle w:val="TableParagraph"/>
                          <w:spacing w:line="166" w:lineRule="exact"/>
                          <w:ind w:left="381" w:right="379"/>
                          <w:jc w:val="center"/>
                          <w:rPr>
                            <w:sz w:val="15"/>
                          </w:rPr>
                        </w:pPr>
                        <w:r>
                          <w:rPr>
                            <w:sz w:val="15"/>
                          </w:rPr>
                          <w:t>0.00</w:t>
                        </w:r>
                      </w:p>
                    </w:tc>
                    <w:tc>
                      <w:tcPr>
                        <w:tcW w:w="1094" w:type="dxa"/>
                      </w:tcPr>
                      <w:p>
                        <w:pPr>
                          <w:pStyle w:val="TableParagraph"/>
                          <w:spacing w:line="166" w:lineRule="exact"/>
                          <w:ind w:left="381" w:right="378"/>
                          <w:jc w:val="center"/>
                          <w:rPr>
                            <w:sz w:val="15"/>
                          </w:rPr>
                        </w:pPr>
                        <w:r>
                          <w:rPr>
                            <w:sz w:val="15"/>
                          </w:rPr>
                          <w:t>0.00</w:t>
                        </w:r>
                      </w:p>
                    </w:tc>
                    <w:tc>
                      <w:tcPr>
                        <w:tcW w:w="740" w:type="dxa"/>
                      </w:tcPr>
                      <w:p>
                        <w:pPr>
                          <w:pStyle w:val="TableParagraph"/>
                          <w:spacing w:line="166" w:lineRule="exact"/>
                          <w:ind w:right="45"/>
                          <w:jc w:val="right"/>
                          <w:rPr>
                            <w:sz w:val="15"/>
                          </w:rPr>
                        </w:pPr>
                        <w:r>
                          <w:rPr>
                            <w:w w:val="95"/>
                            <w:sz w:val="15"/>
                          </w:rPr>
                          <w:t>0.00</w:t>
                        </w:r>
                      </w:p>
                    </w:tc>
                  </w:tr>
                  <w:tr>
                    <w:trPr>
                      <w:trHeight w:val="474" w:hRule="atLeast"/>
                    </w:trPr>
                    <w:tc>
                      <w:tcPr>
                        <w:tcW w:w="740" w:type="dxa"/>
                      </w:tcPr>
                      <w:p>
                        <w:pPr>
                          <w:pStyle w:val="TableParagraph"/>
                          <w:spacing w:before="100"/>
                          <w:ind w:left="50"/>
                          <w:rPr>
                            <w:sz w:val="15"/>
                          </w:rPr>
                        </w:pPr>
                        <w:r>
                          <w:rPr>
                            <w:sz w:val="15"/>
                          </w:rPr>
                          <w:t>0.00</w:t>
                        </w:r>
                      </w:p>
                    </w:tc>
                    <w:tc>
                      <w:tcPr>
                        <w:tcW w:w="1094" w:type="dxa"/>
                      </w:tcPr>
                      <w:p>
                        <w:pPr>
                          <w:pStyle w:val="TableParagraph"/>
                          <w:spacing w:before="100"/>
                          <w:ind w:left="404"/>
                          <w:rPr>
                            <w:sz w:val="15"/>
                          </w:rPr>
                        </w:pPr>
                        <w:r>
                          <w:rPr>
                            <w:sz w:val="15"/>
                          </w:rPr>
                          <w:t>0.00</w:t>
                        </w:r>
                      </w:p>
                    </w:tc>
                    <w:tc>
                      <w:tcPr>
                        <w:tcW w:w="1094" w:type="dxa"/>
                      </w:tcPr>
                      <w:p>
                        <w:pPr>
                          <w:pStyle w:val="TableParagraph"/>
                          <w:spacing w:before="100"/>
                          <w:ind w:left="380" w:right="379"/>
                          <w:jc w:val="center"/>
                          <w:rPr>
                            <w:sz w:val="15"/>
                          </w:rPr>
                        </w:pPr>
                        <w:r>
                          <w:rPr>
                            <w:sz w:val="15"/>
                          </w:rPr>
                          <w:t>0.00</w:t>
                        </w:r>
                      </w:p>
                    </w:tc>
                    <w:tc>
                      <w:tcPr>
                        <w:tcW w:w="1094" w:type="dxa"/>
                      </w:tcPr>
                      <w:p>
                        <w:pPr>
                          <w:pStyle w:val="TableParagraph"/>
                          <w:spacing w:before="100"/>
                          <w:ind w:left="381" w:right="379"/>
                          <w:jc w:val="center"/>
                          <w:rPr>
                            <w:sz w:val="15"/>
                          </w:rPr>
                        </w:pPr>
                        <w:r>
                          <w:rPr>
                            <w:sz w:val="15"/>
                          </w:rPr>
                          <w:t>0.00</w:t>
                        </w:r>
                      </w:p>
                    </w:tc>
                    <w:tc>
                      <w:tcPr>
                        <w:tcW w:w="1094" w:type="dxa"/>
                      </w:tcPr>
                      <w:p>
                        <w:pPr>
                          <w:pStyle w:val="TableParagraph"/>
                          <w:spacing w:before="100"/>
                          <w:ind w:left="381" w:right="378"/>
                          <w:jc w:val="center"/>
                          <w:rPr>
                            <w:sz w:val="15"/>
                          </w:rPr>
                        </w:pPr>
                        <w:r>
                          <w:rPr>
                            <w:sz w:val="15"/>
                          </w:rPr>
                          <w:t>0.00</w:t>
                        </w:r>
                      </w:p>
                    </w:tc>
                    <w:tc>
                      <w:tcPr>
                        <w:tcW w:w="740" w:type="dxa"/>
                      </w:tcPr>
                      <w:p>
                        <w:pPr>
                          <w:pStyle w:val="TableParagraph"/>
                          <w:spacing w:before="100"/>
                          <w:ind w:right="45"/>
                          <w:jc w:val="right"/>
                          <w:rPr>
                            <w:sz w:val="15"/>
                          </w:rPr>
                        </w:pPr>
                        <w:r>
                          <w:rPr>
                            <w:w w:val="95"/>
                            <w:sz w:val="15"/>
                          </w:rPr>
                          <w:t>0.00</w:t>
                        </w:r>
                      </w:p>
                    </w:tc>
                  </w:tr>
                  <w:tr>
                    <w:trPr>
                      <w:trHeight w:val="367" w:hRule="atLeast"/>
                    </w:trPr>
                    <w:tc>
                      <w:tcPr>
                        <w:tcW w:w="740" w:type="dxa"/>
                      </w:tcPr>
                      <w:p>
                        <w:pPr>
                          <w:pStyle w:val="TableParagraph"/>
                          <w:spacing w:before="11"/>
                          <w:rPr>
                            <w:sz w:val="16"/>
                          </w:rPr>
                        </w:pPr>
                      </w:p>
                      <w:p>
                        <w:pPr>
                          <w:pStyle w:val="TableParagraph"/>
                          <w:spacing w:line="152" w:lineRule="exact"/>
                          <w:ind w:left="50"/>
                          <w:rPr>
                            <w:sz w:val="15"/>
                          </w:rPr>
                        </w:pPr>
                        <w:r>
                          <w:rPr>
                            <w:sz w:val="15"/>
                          </w:rPr>
                          <w:t>0.00</w:t>
                        </w:r>
                      </w:p>
                    </w:tc>
                    <w:tc>
                      <w:tcPr>
                        <w:tcW w:w="1094" w:type="dxa"/>
                      </w:tcPr>
                      <w:p>
                        <w:pPr>
                          <w:pStyle w:val="TableParagraph"/>
                          <w:spacing w:before="11"/>
                          <w:rPr>
                            <w:sz w:val="16"/>
                          </w:rPr>
                        </w:pPr>
                      </w:p>
                      <w:p>
                        <w:pPr>
                          <w:pStyle w:val="TableParagraph"/>
                          <w:spacing w:line="152" w:lineRule="exact"/>
                          <w:ind w:left="404"/>
                          <w:rPr>
                            <w:sz w:val="15"/>
                          </w:rPr>
                        </w:pPr>
                        <w:r>
                          <w:rPr>
                            <w:sz w:val="15"/>
                          </w:rPr>
                          <w:t>0.00</w:t>
                        </w:r>
                      </w:p>
                    </w:tc>
                    <w:tc>
                      <w:tcPr>
                        <w:tcW w:w="1094" w:type="dxa"/>
                      </w:tcPr>
                      <w:p>
                        <w:pPr>
                          <w:pStyle w:val="TableParagraph"/>
                          <w:spacing w:before="11"/>
                          <w:rPr>
                            <w:sz w:val="16"/>
                          </w:rPr>
                        </w:pPr>
                      </w:p>
                      <w:p>
                        <w:pPr>
                          <w:pStyle w:val="TableParagraph"/>
                          <w:spacing w:line="152" w:lineRule="exact"/>
                          <w:ind w:left="380" w:right="379"/>
                          <w:jc w:val="center"/>
                          <w:rPr>
                            <w:sz w:val="15"/>
                          </w:rPr>
                        </w:pPr>
                        <w:r>
                          <w:rPr>
                            <w:sz w:val="15"/>
                          </w:rPr>
                          <w:t>0.00</w:t>
                        </w:r>
                      </w:p>
                    </w:tc>
                    <w:tc>
                      <w:tcPr>
                        <w:tcW w:w="1094" w:type="dxa"/>
                      </w:tcPr>
                      <w:p>
                        <w:pPr>
                          <w:pStyle w:val="TableParagraph"/>
                          <w:spacing w:before="11"/>
                          <w:rPr>
                            <w:sz w:val="16"/>
                          </w:rPr>
                        </w:pPr>
                      </w:p>
                      <w:p>
                        <w:pPr>
                          <w:pStyle w:val="TableParagraph"/>
                          <w:spacing w:line="152" w:lineRule="exact"/>
                          <w:ind w:left="381" w:right="379"/>
                          <w:jc w:val="center"/>
                          <w:rPr>
                            <w:sz w:val="15"/>
                          </w:rPr>
                        </w:pPr>
                        <w:r>
                          <w:rPr>
                            <w:sz w:val="15"/>
                          </w:rPr>
                          <w:t>0.00</w:t>
                        </w:r>
                      </w:p>
                    </w:tc>
                    <w:tc>
                      <w:tcPr>
                        <w:tcW w:w="1094" w:type="dxa"/>
                      </w:tcPr>
                      <w:p>
                        <w:pPr>
                          <w:pStyle w:val="TableParagraph"/>
                          <w:spacing w:before="11"/>
                          <w:rPr>
                            <w:sz w:val="16"/>
                          </w:rPr>
                        </w:pPr>
                      </w:p>
                      <w:p>
                        <w:pPr>
                          <w:pStyle w:val="TableParagraph"/>
                          <w:spacing w:line="152" w:lineRule="exact"/>
                          <w:ind w:left="381" w:right="378"/>
                          <w:jc w:val="center"/>
                          <w:rPr>
                            <w:sz w:val="15"/>
                          </w:rPr>
                        </w:pPr>
                        <w:r>
                          <w:rPr>
                            <w:sz w:val="15"/>
                          </w:rPr>
                          <w:t>0.00</w:t>
                        </w:r>
                      </w:p>
                    </w:tc>
                    <w:tc>
                      <w:tcPr>
                        <w:tcW w:w="740" w:type="dxa"/>
                      </w:tcPr>
                      <w:p>
                        <w:pPr>
                          <w:pStyle w:val="TableParagraph"/>
                          <w:spacing w:before="11"/>
                          <w:rPr>
                            <w:sz w:val="16"/>
                          </w:rPr>
                        </w:pPr>
                      </w:p>
                      <w:p>
                        <w:pPr>
                          <w:pStyle w:val="TableParagraph"/>
                          <w:spacing w:line="152" w:lineRule="exact"/>
                          <w:ind w:right="45"/>
                          <w:jc w:val="right"/>
                          <w:rPr>
                            <w:sz w:val="15"/>
                          </w:rPr>
                        </w:pPr>
                        <w:r>
                          <w:rPr>
                            <w:w w:val="95"/>
                            <w:sz w:val="15"/>
                          </w:rPr>
                          <w:t>0.00</w:t>
                        </w:r>
                      </w:p>
                    </w:tc>
                  </w:tr>
                </w:tbl>
                <w:p>
                  <w:pPr>
                    <w:pStyle w:val="BodyText"/>
                  </w:pPr>
                </w:p>
              </w:txbxContent>
            </v:textbox>
            <w10:wrap type="none"/>
          </v:shape>
        </w:pict>
      </w:r>
      <w:r>
        <w:rPr>
          <w:b/>
          <w:sz w:val="15"/>
        </w:rPr>
        <w:t>(Sum of Lines C7a through C7e)</w:t>
      </w:r>
    </w:p>
    <w:p>
      <w:pPr>
        <w:pStyle w:val="ListParagraph"/>
        <w:numPr>
          <w:ilvl w:val="0"/>
          <w:numId w:val="44"/>
        </w:numPr>
        <w:tabs>
          <w:tab w:pos="973" w:val="left" w:leader="none"/>
        </w:tabs>
        <w:spacing w:line="264" w:lineRule="auto" w:before="12" w:after="0"/>
        <w:ind w:left="972" w:right="8632" w:hanging="204"/>
        <w:jc w:val="left"/>
        <w:rPr>
          <w:b/>
          <w:sz w:val="15"/>
        </w:rPr>
      </w:pPr>
      <w:r>
        <w:rPr>
          <w:b/>
          <w:sz w:val="15"/>
        </w:rPr>
        <w:t>TOTAL</w:t>
      </w:r>
      <w:r>
        <w:rPr>
          <w:b/>
          <w:spacing w:val="-13"/>
          <w:sz w:val="15"/>
        </w:rPr>
        <w:t> </w:t>
      </w:r>
      <w:r>
        <w:rPr>
          <w:b/>
          <w:sz w:val="15"/>
        </w:rPr>
        <w:t>CHARTER</w:t>
      </w:r>
      <w:r>
        <w:rPr>
          <w:b/>
          <w:spacing w:val="-12"/>
          <w:sz w:val="15"/>
        </w:rPr>
        <w:t> </w:t>
      </w:r>
      <w:r>
        <w:rPr>
          <w:b/>
          <w:sz w:val="15"/>
        </w:rPr>
        <w:t>SCHOOL</w:t>
      </w:r>
      <w:r>
        <w:rPr>
          <w:b/>
          <w:spacing w:val="-12"/>
          <w:sz w:val="15"/>
        </w:rPr>
        <w:t> </w:t>
      </w:r>
      <w:r>
        <w:rPr>
          <w:b/>
          <w:sz w:val="15"/>
        </w:rPr>
        <w:t>ADA (Sum of Lines C5, C6d, and</w:t>
      </w:r>
      <w:r>
        <w:rPr>
          <w:b/>
          <w:spacing w:val="-28"/>
          <w:sz w:val="15"/>
        </w:rPr>
        <w:t> </w:t>
      </w:r>
      <w:r>
        <w:rPr>
          <w:b/>
          <w:sz w:val="15"/>
        </w:rPr>
        <w:t>C7f)</w:t>
      </w:r>
    </w:p>
    <w:p>
      <w:pPr>
        <w:pStyle w:val="ListParagraph"/>
        <w:numPr>
          <w:ilvl w:val="0"/>
          <w:numId w:val="44"/>
        </w:numPr>
        <w:tabs>
          <w:tab w:pos="973" w:val="left" w:leader="none"/>
        </w:tabs>
        <w:spacing w:line="264" w:lineRule="auto" w:before="0" w:after="0"/>
        <w:ind w:left="972" w:right="8632" w:hanging="204"/>
        <w:jc w:val="left"/>
        <w:rPr>
          <w:b/>
          <w:sz w:val="15"/>
        </w:rPr>
      </w:pPr>
      <w:r>
        <w:rPr>
          <w:b/>
          <w:sz w:val="15"/>
        </w:rPr>
        <w:t>TOTAL</w:t>
      </w:r>
      <w:r>
        <w:rPr>
          <w:b/>
          <w:spacing w:val="-13"/>
          <w:sz w:val="15"/>
        </w:rPr>
        <w:t> </w:t>
      </w:r>
      <w:r>
        <w:rPr>
          <w:b/>
          <w:sz w:val="15"/>
        </w:rPr>
        <w:t>CHARTER</w:t>
      </w:r>
      <w:r>
        <w:rPr>
          <w:b/>
          <w:spacing w:val="-12"/>
          <w:sz w:val="15"/>
        </w:rPr>
        <w:t> </w:t>
      </w:r>
      <w:r>
        <w:rPr>
          <w:b/>
          <w:sz w:val="15"/>
        </w:rPr>
        <w:t>SCHOOL</w:t>
      </w:r>
      <w:r>
        <w:rPr>
          <w:b/>
          <w:spacing w:val="-12"/>
          <w:sz w:val="15"/>
        </w:rPr>
        <w:t> </w:t>
      </w:r>
      <w:r>
        <w:rPr>
          <w:b/>
          <w:sz w:val="15"/>
        </w:rPr>
        <w:t>ADA Reported in Fund 01, 09, or</w:t>
      </w:r>
      <w:r>
        <w:rPr>
          <w:b/>
          <w:spacing w:val="-23"/>
          <w:sz w:val="15"/>
        </w:rPr>
        <w:t> </w:t>
      </w:r>
      <w:r>
        <w:rPr>
          <w:b/>
          <w:sz w:val="15"/>
        </w:rPr>
        <w:t>62</w:t>
      </w:r>
    </w:p>
    <w:p>
      <w:pPr>
        <w:tabs>
          <w:tab w:pos="5741" w:val="left" w:leader="none"/>
        </w:tabs>
        <w:spacing w:line="188" w:lineRule="exact" w:before="0"/>
        <w:ind w:left="972" w:right="0" w:firstLine="0"/>
        <w:jc w:val="left"/>
        <w:rPr>
          <w:b/>
          <w:sz w:val="15"/>
        </w:rPr>
      </w:pPr>
      <w:r>
        <w:rPr>
          <w:b/>
          <w:sz w:val="15"/>
        </w:rPr>
        <w:t>(Sum of Lines C4</w:t>
      </w:r>
      <w:r>
        <w:rPr>
          <w:b/>
          <w:spacing w:val="-21"/>
          <w:sz w:val="15"/>
        </w:rPr>
        <w:t> </w:t>
      </w:r>
      <w:r>
        <w:rPr>
          <w:b/>
          <w:sz w:val="15"/>
        </w:rPr>
        <w:t>and</w:t>
      </w:r>
      <w:r>
        <w:rPr>
          <w:b/>
          <w:spacing w:val="-5"/>
          <w:sz w:val="15"/>
        </w:rPr>
        <w:t> </w:t>
      </w:r>
      <w:r>
        <w:rPr>
          <w:b/>
          <w:sz w:val="15"/>
        </w:rPr>
        <w:t>C8)</w:t>
        <w:tab/>
      </w:r>
      <w:r>
        <w:rPr>
          <w:b/>
          <w:position w:val="-4"/>
          <w:sz w:val="15"/>
        </w:rPr>
        <w:drawing>
          <wp:inline distT="0" distB="0" distL="0" distR="0">
            <wp:extent cx="3483863" cy="129539"/>
            <wp:effectExtent l="0" t="0" r="0" b="0"/>
            <wp:docPr id="45" name="image938.png"/>
            <wp:cNvGraphicFramePr>
              <a:graphicFrameLocks noChangeAspect="1"/>
            </wp:cNvGraphicFramePr>
            <a:graphic>
              <a:graphicData uri="http://schemas.openxmlformats.org/drawingml/2006/picture">
                <pic:pic>
                  <pic:nvPicPr>
                    <pic:cNvPr id="46" name="image938.png"/>
                    <pic:cNvPicPr/>
                  </pic:nvPicPr>
                  <pic:blipFill>
                    <a:blip r:embed="rId1011" cstate="print"/>
                    <a:stretch>
                      <a:fillRect/>
                    </a:stretch>
                  </pic:blipFill>
                  <pic:spPr>
                    <a:xfrm>
                      <a:off x="0" y="0"/>
                      <a:ext cx="3483863" cy="129539"/>
                    </a:xfrm>
                    <a:prstGeom prst="rect">
                      <a:avLst/>
                    </a:prstGeom>
                  </pic:spPr>
                </pic:pic>
              </a:graphicData>
            </a:graphic>
          </wp:inline>
        </w:drawing>
      </w:r>
      <w:r>
        <w:rPr>
          <w:b/>
          <w:position w:val="-4"/>
          <w:sz w:val="15"/>
        </w:rPr>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
        <w:rPr>
          <w:b/>
          <w:sz w:val="29"/>
        </w:rPr>
      </w:pPr>
    </w:p>
    <w:p>
      <w:pPr>
        <w:spacing w:line="169" w:lineRule="exact" w:before="0"/>
        <w:ind w:left="639" w:right="0" w:firstLine="0"/>
        <w:jc w:val="left"/>
        <w:rPr>
          <w:sz w:val="15"/>
        </w:rPr>
      </w:pPr>
      <w:r>
        <w:rPr>
          <w:sz w:val="15"/>
        </w:rPr>
        <w:t>California Dept of Education</w:t>
      </w:r>
    </w:p>
    <w:p>
      <w:pPr>
        <w:spacing w:line="166" w:lineRule="exact" w:before="0"/>
        <w:ind w:left="639" w:right="0" w:firstLine="0"/>
        <w:jc w:val="left"/>
        <w:rPr>
          <w:sz w:val="15"/>
        </w:rPr>
      </w:pPr>
      <w:r>
        <w:rPr>
          <w:sz w:val="15"/>
        </w:rPr>
        <w:t>SACS Financial Reporting Software - 2021.1.0</w:t>
      </w:r>
    </w:p>
    <w:p>
      <w:pPr>
        <w:tabs>
          <w:tab w:pos="5581" w:val="left" w:leader="none"/>
          <w:tab w:pos="9408" w:val="left" w:leader="none"/>
        </w:tabs>
        <w:spacing w:line="169" w:lineRule="exact" w:before="0"/>
        <w:ind w:left="639" w:right="0" w:firstLine="0"/>
        <w:jc w:val="left"/>
        <w:rPr>
          <w:sz w:val="15"/>
        </w:rPr>
      </w:pPr>
      <w:r>
        <w:rPr>
          <w:sz w:val="15"/>
        </w:rPr>
        <w:t>File: ada</w:t>
      </w:r>
      <w:r>
        <w:rPr>
          <w:spacing w:val="-15"/>
          <w:sz w:val="15"/>
        </w:rPr>
        <w:t> </w:t>
      </w:r>
      <w:r>
        <w:rPr>
          <w:sz w:val="15"/>
        </w:rPr>
        <w:t>(Rev</w:t>
      </w:r>
      <w:r>
        <w:rPr>
          <w:spacing w:val="-8"/>
          <w:sz w:val="15"/>
        </w:rPr>
        <w:t> </w:t>
      </w:r>
      <w:r>
        <w:rPr>
          <w:sz w:val="15"/>
        </w:rPr>
        <w:t>03/27/2018)</w:t>
        <w:tab/>
        <w:t>Page 1</w:t>
      </w:r>
      <w:r>
        <w:rPr>
          <w:spacing w:val="-8"/>
          <w:sz w:val="15"/>
        </w:rPr>
        <w:t> </w:t>
      </w:r>
      <w:r>
        <w:rPr>
          <w:sz w:val="15"/>
        </w:rPr>
        <w:t>of</w:t>
      </w:r>
      <w:r>
        <w:rPr>
          <w:spacing w:val="-2"/>
          <w:sz w:val="15"/>
        </w:rPr>
        <w:t> </w:t>
      </w:r>
      <w:r>
        <w:rPr>
          <w:sz w:val="15"/>
        </w:rPr>
        <w:t>1</w:t>
        <w:tab/>
        <w:t>Printed: 6/4/2021 10:09</w:t>
      </w:r>
      <w:r>
        <w:rPr>
          <w:spacing w:val="-18"/>
          <w:sz w:val="15"/>
        </w:rPr>
        <w:t> </w:t>
      </w:r>
      <w:r>
        <w:rPr>
          <w:sz w:val="15"/>
        </w:rPr>
        <w:t>AM</w:t>
      </w:r>
    </w:p>
    <w:p>
      <w:pPr>
        <w:spacing w:after="0" w:line="169" w:lineRule="exact"/>
        <w:jc w:val="left"/>
        <w:rPr>
          <w:sz w:val="15"/>
        </w:rPr>
        <w:sectPr>
          <w:type w:val="continuous"/>
          <w:pgSz w:w="12240" w:h="15840"/>
          <w:pgMar w:top="1500" w:bottom="840" w:left="160" w:right="180"/>
        </w:sectPr>
      </w:pPr>
    </w:p>
    <w:p>
      <w:pPr>
        <w:pStyle w:val="BodyText"/>
        <w:rPr>
          <w:sz w:val="20"/>
        </w:rPr>
      </w:pPr>
      <w:r>
        <w:rPr/>
        <w:pict>
          <v:group style="position:absolute;margin-left:47.880001pt;margin-top:49.800003pt;width:695.65pt;height:47.2pt;mso-position-horizontal-relative:page;mso-position-vertical-relative:page;z-index:-314163200" coordorigin="958,996" coordsize="13913,944">
            <v:shape style="position:absolute;left:957;top:996;width:3351;height:188" type="#_x0000_t75" stroked="false">
              <v:imagedata r:id="rId1018" o:title=""/>
            </v:shape>
            <v:shape style="position:absolute;left:4305;top:1008;width:1174;height:178" type="#_x0000_t75" stroked="false">
              <v:imagedata r:id="rId1019" o:title=""/>
            </v:shape>
            <v:shape style="position:absolute;left:4293;top:996;width:10577;height:586" type="#_x0000_t75" stroked="false">
              <v:imagedata r:id="rId1020" o:title=""/>
            </v:shape>
            <v:shape style="position:absolute;left:4305;top:1185;width:1174;height:399" type="#_x0000_t75" stroked="false">
              <v:imagedata r:id="rId1021" o:title=""/>
            </v:shape>
            <v:shape style="position:absolute;left:957;top:1180;width:3358;height:759" type="#_x0000_t75" stroked="false">
              <v:imagedata r:id="rId1022" o:title=""/>
            </v:shape>
            <v:shape style="position:absolute;left:4555;top:1023;width:697;height:319" type="#_x0000_t202" filled="false" stroked="false">
              <v:textbox inset="0,0,0,0">
                <w:txbxContent>
                  <w:p>
                    <w:pPr>
                      <w:spacing w:line="242" w:lineRule="auto" w:before="0"/>
                      <w:ind w:left="38" w:right="-7" w:hanging="39"/>
                      <w:jc w:val="left"/>
                      <w:rPr>
                        <w:b/>
                        <w:sz w:val="14"/>
                      </w:rPr>
                    </w:pPr>
                    <w:r>
                      <w:rPr>
                        <w:b/>
                        <w:sz w:val="14"/>
                      </w:rPr>
                      <w:t>Beginning Balances</w:t>
                    </w:r>
                  </w:p>
                </w:txbxContent>
              </v:textbox>
              <w10:wrap type="none"/>
            </v:shape>
            <w10:wrap type="none"/>
          </v:group>
        </w:pict>
      </w:r>
      <w:r>
        <w:rPr/>
        <w:pict>
          <v:group style="position:absolute;margin-left:47.880001pt;margin-top:78.600006pt;width:695.65pt;height:436.35pt;mso-position-horizontal-relative:page;mso-position-vertical-relative:page;z-index:-314162176" coordorigin="958,1572" coordsize="13913,8727">
            <v:shape style="position:absolute;left:4300;top:1572;width:1181;height:22" type="#_x0000_t75" stroked="false">
              <v:imagedata r:id="rId1023" o:title=""/>
            </v:shape>
            <v:shape style="position:absolute;left:5467;top:1572;width:1188;height:368" type="#_x0000_t75" stroked="false">
              <v:imagedata r:id="rId1024" o:title=""/>
            </v:shape>
            <v:shape style="position:absolute;left:6648;top:1572;width:1181;height:22" type="#_x0000_t75" stroked="false">
              <v:imagedata r:id="rId1023" o:title=""/>
            </v:shape>
            <v:shape style="position:absolute;left:7821;top:1572;width:1181;height:22" type="#_x0000_t75" stroked="false">
              <v:imagedata r:id="rId1023" o:title=""/>
            </v:shape>
            <v:shape style="position:absolute;left:8995;top:1572;width:1181;height:22" type="#_x0000_t75" stroked="false">
              <v:imagedata r:id="rId1023" o:title=""/>
            </v:shape>
            <v:shape style="position:absolute;left:10168;top:1572;width:1181;height:22" type="#_x0000_t75" stroked="false">
              <v:imagedata r:id="rId1023" o:title=""/>
            </v:shape>
            <v:shape style="position:absolute;left:11342;top:1572;width:1181;height:22" type="#_x0000_t75" stroked="false">
              <v:imagedata r:id="rId1023" o:title=""/>
            </v:shape>
            <v:shape style="position:absolute;left:12516;top:1572;width:1181;height:22" type="#_x0000_t75" stroked="false">
              <v:imagedata r:id="rId1023" o:title=""/>
            </v:shape>
            <v:shape style="position:absolute;left:13689;top:1572;width:1181;height:22" type="#_x0000_t75" stroked="false">
              <v:imagedata r:id="rId1023" o:title=""/>
            </v:shape>
            <v:shape style="position:absolute;left:3504;top:1924;width:812;height:192" type="#_x0000_t75" stroked="false">
              <v:imagedata r:id="rId1025" o:title=""/>
            </v:shape>
            <v:shape style="position:absolute;left:4293;top:1917;width:10577;height:365" type="#_x0000_t75" stroked="false">
              <v:imagedata r:id="rId1026" o:title=""/>
            </v:shape>
            <v:shape style="position:absolute;left:4293;top:2280;width:22;height:180" type="#_x0000_t75" stroked="false">
              <v:imagedata r:id="rId1027" o:title=""/>
            </v:shape>
            <v:shape style="position:absolute;left:4293;top:2457;width:22;height:180" type="#_x0000_t75" stroked="false">
              <v:imagedata r:id="rId1027" o:title=""/>
            </v:shape>
            <v:shape style="position:absolute;left:5467;top:2102;width:9404;height:540" type="#_x0000_t75" stroked="false">
              <v:imagedata r:id="rId1028" o:title=""/>
            </v:shape>
            <v:shape style="position:absolute;left:4293;top:2635;width:22;height:180" type="#_x0000_t75" stroked="false">
              <v:imagedata r:id="rId1027" o:title=""/>
            </v:shape>
            <v:shape style="position:absolute;left:5467;top:2635;width:9404;height:185" type="#_x0000_t75" stroked="false">
              <v:imagedata r:id="rId1029" o:title=""/>
            </v:shape>
            <v:shape style="position:absolute;left:4293;top:2812;width:22;height:180" type="#_x0000_t75" stroked="false">
              <v:imagedata r:id="rId1027" o:title=""/>
            </v:shape>
            <v:shape style="position:absolute;left:5467;top:2812;width:9404;height:185" type="#_x0000_t75" stroked="false">
              <v:imagedata r:id="rId1029" o:title=""/>
            </v:shape>
            <v:shape style="position:absolute;left:4293;top:2990;width:22;height:180" type="#_x0000_t75" stroked="false">
              <v:imagedata r:id="rId1027" o:title=""/>
            </v:shape>
            <v:shape style="position:absolute;left:5467;top:2990;width:9404;height:185" type="#_x0000_t75" stroked="false">
              <v:imagedata r:id="rId1029" o:title=""/>
            </v:shape>
            <v:shape style="position:absolute;left:957;top:1924;width:3358;height:2146" type="#_x0000_t75" stroked="false">
              <v:imagedata r:id="rId1030" o:title=""/>
            </v:shape>
            <v:shape style="position:absolute;left:4293;top:3168;width:22;height:180" type="#_x0000_t75" stroked="false">
              <v:imagedata r:id="rId1027" o:title=""/>
            </v:shape>
            <v:shape style="position:absolute;left:5467;top:3168;width:9404;height:185" type="#_x0000_t75" stroked="false">
              <v:imagedata r:id="rId1029" o:title=""/>
            </v:shape>
            <v:shape style="position:absolute;left:4293;top:3345;width:22;height:180" type="#_x0000_t75" stroked="false">
              <v:imagedata r:id="rId1027" o:title=""/>
            </v:shape>
            <v:shape style="position:absolute;left:5467;top:3345;width:9404;height:185" type="#_x0000_t75" stroked="false">
              <v:imagedata r:id="rId1029" o:title=""/>
            </v:shape>
            <v:shape style="position:absolute;left:4293;top:3523;width:22;height:180" type="#_x0000_t75" stroked="false">
              <v:imagedata r:id="rId1027" o:title=""/>
            </v:shape>
            <v:shape style="position:absolute;left:5467;top:3523;width:9404;height:185" type="#_x0000_t75" stroked="false">
              <v:imagedata r:id="rId1029" o:title=""/>
            </v:shape>
            <v:shape style="position:absolute;left:4293;top:3700;width:22;height:180" type="#_x0000_t75" stroked="false">
              <v:imagedata r:id="rId1027" o:title=""/>
            </v:shape>
            <v:shape style="position:absolute;left:5467;top:3700;width:9404;height:185" type="#_x0000_t75" stroked="false">
              <v:imagedata r:id="rId1029" o:title=""/>
            </v:shape>
            <v:shape style="position:absolute;left:5467;top:3878;width:9404;height:192" type="#_x0000_t75" stroked="false">
              <v:imagedata r:id="rId1031" o:title=""/>
            </v:shape>
            <v:shape style="position:absolute;left:4293;top:4056;width:22;height:180" type="#_x0000_t75" stroked="false">
              <v:imagedata r:id="rId1027" o:title=""/>
            </v:shape>
            <v:shape style="position:absolute;left:4293;top:4233;width:22;height:180" type="#_x0000_t75" stroked="false">
              <v:imagedata r:id="rId1027" o:title=""/>
            </v:shape>
            <v:shape style="position:absolute;left:5467;top:4048;width:9404;height:370" type="#_x0000_t75" stroked="false">
              <v:imagedata r:id="rId1032" o:title=""/>
            </v:shape>
            <v:shape style="position:absolute;left:4293;top:4411;width:22;height:180" type="#_x0000_t75" stroked="false">
              <v:imagedata r:id="rId1027" o:title=""/>
            </v:shape>
            <v:shape style="position:absolute;left:5467;top:4411;width:9404;height:185" type="#_x0000_t75" stroked="false">
              <v:imagedata r:id="rId1029" o:title=""/>
            </v:shape>
            <v:shape style="position:absolute;left:4293;top:4588;width:22;height:180" type="#_x0000_t75" stroked="false">
              <v:imagedata r:id="rId1027" o:title=""/>
            </v:shape>
            <v:shape style="position:absolute;left:5467;top:4588;width:9404;height:185" type="#_x0000_t75" stroked="false">
              <v:imagedata r:id="rId1029" o:title=""/>
            </v:shape>
            <v:shape style="position:absolute;left:4293;top:4766;width:22;height:180" type="#_x0000_t75" stroked="false">
              <v:imagedata r:id="rId1027" o:title=""/>
            </v:shape>
            <v:shape style="position:absolute;left:5467;top:4766;width:9404;height:185" type="#_x0000_t75" stroked="false">
              <v:imagedata r:id="rId1029" o:title=""/>
            </v:shape>
            <v:shape style="position:absolute;left:4293;top:4944;width:22;height:180" type="#_x0000_t75" stroked="false">
              <v:imagedata r:id="rId1027" o:title=""/>
            </v:shape>
            <v:shape style="position:absolute;left:5467;top:4944;width:9404;height:185" type="#_x0000_t75" stroked="false">
              <v:imagedata r:id="rId1029" o:title=""/>
            </v:shape>
            <v:shape style="position:absolute;left:4293;top:5121;width:22;height:180" type="#_x0000_t75" stroked="false">
              <v:imagedata r:id="rId1027" o:title=""/>
            </v:shape>
            <v:shape style="position:absolute;left:5467;top:5121;width:9404;height:185" type="#_x0000_t75" stroked="false">
              <v:imagedata r:id="rId1029" o:title=""/>
            </v:shape>
            <v:shape style="position:absolute;left:4293;top:5299;width:22;height:180" type="#_x0000_t75" stroked="false">
              <v:imagedata r:id="rId1027" o:title=""/>
            </v:shape>
            <v:shape style="position:absolute;left:5467;top:5299;width:9404;height:185" type="#_x0000_t75" stroked="false">
              <v:imagedata r:id="rId1029" o:title=""/>
            </v:shape>
            <v:shape style="position:absolute;left:4293;top:5476;width:22;height:180" type="#_x0000_t75" stroked="false">
              <v:imagedata r:id="rId1027" o:title=""/>
            </v:shape>
            <v:shape style="position:absolute;left:4293;top:5654;width:22;height:180" type="#_x0000_t75" stroked="false">
              <v:imagedata r:id="rId1027" o:title=""/>
            </v:shape>
            <v:shape style="position:absolute;left:5467;top:5476;width:9404;height:363" type="#_x0000_t75" stroked="false">
              <v:imagedata r:id="rId1033" o:title=""/>
            </v:shape>
            <v:shape style="position:absolute;left:957;top:4056;width:13913;height:2489" type="#_x0000_t75" stroked="false">
              <v:imagedata r:id="rId1034" o:title=""/>
            </v:shape>
            <v:shape style="position:absolute;left:4293;top:5832;width:22;height:180" type="#_x0000_t75" stroked="false">
              <v:imagedata r:id="rId1027" o:title=""/>
            </v:shape>
            <v:shape style="position:absolute;left:4293;top:6364;width:2362;height:358" type="#_x0000_t75" stroked="false">
              <v:imagedata r:id="rId1035" o:title=""/>
            </v:shape>
            <v:shape style="position:absolute;left:4300;top:6364;width:10570;height:363" type="#_x0000_t75" stroked="false">
              <v:imagedata r:id="rId1036" o:title=""/>
            </v:shape>
            <v:shape style="position:absolute;left:4293;top:6542;width:10577;height:1246" type="#_x0000_t75" stroked="false">
              <v:imagedata r:id="rId1037" o:title=""/>
            </v:shape>
            <v:shape style="position:absolute;left:4293;top:7608;width:10577;height:536" type="#_x0000_t75" stroked="false">
              <v:imagedata r:id="rId1038" o:title=""/>
            </v:shape>
            <v:shape style="position:absolute;left:4293;top:7963;width:10577;height:1068" type="#_x0000_t75" stroked="false">
              <v:imagedata r:id="rId1039" o:title=""/>
            </v:shape>
            <v:shape style="position:absolute;left:3504;top:6364;width:11367;height:3212" type="#_x0000_t75" stroked="false">
              <v:imagedata r:id="rId1040" o:title=""/>
            </v:shape>
            <v:shape style="position:absolute;left:4293;top:8851;width:10577;height:540" type="#_x0000_t75" stroked="false">
              <v:imagedata r:id="rId1041" o:title=""/>
            </v:shape>
            <v:shape style="position:absolute;left:5474;top:9384;width:9396;height:192" type="#_x0000_t75" stroked="false">
              <v:imagedata r:id="rId1042" o:title=""/>
            </v:shape>
            <v:shape style="position:absolute;left:3504;top:9561;width:812;height:192" type="#_x0000_t75" stroked="false">
              <v:imagedata r:id="rId1043" o:title=""/>
            </v:shape>
            <v:shape style="position:absolute;left:957;top:6542;width:3358;height:3756" type="#_x0000_t75" stroked="false">
              <v:imagedata r:id="rId1044" o:title=""/>
            </v:shape>
            <v:shape style="position:absolute;left:4293;top:9554;width:1196;height:365" type="#_x0000_t75" stroked="false">
              <v:imagedata r:id="rId1045" o:title=""/>
            </v:shape>
            <v:shape style="position:absolute;left:4293;top:9561;width:9404;height:370" type="#_x0000_t75" stroked="false">
              <v:imagedata r:id="rId1046" o:title=""/>
            </v:shape>
            <v:shape style="position:absolute;left:4293;top:9909;width:1196;height:389" type="#_x0000_t75" stroked="false">
              <v:imagedata r:id="rId1047" o:title=""/>
            </v:shape>
            <v:shape style="position:absolute;left:5474;top:9909;width:1181;height:389" type="#_x0000_t75" stroked="false">
              <v:imagedata r:id="rId1048" o:title=""/>
            </v:shape>
            <v:shape style="position:absolute;left:12516;top:9561;width:2355;height:737" type="#_x0000_t75" stroked="false">
              <v:imagedata r:id="rId1049" o:title=""/>
            </v:shape>
            <v:shape style="position:absolute;left:6648;top:9909;width:1181;height:389" type="#_x0000_t75" stroked="false">
              <v:imagedata r:id="rId1050" o:title=""/>
            </v:shape>
            <v:shape style="position:absolute;left:7821;top:9909;width:1181;height:389" type="#_x0000_t75" stroked="false">
              <v:imagedata r:id="rId1051" o:title=""/>
            </v:shape>
            <v:shape style="position:absolute;left:8995;top:9909;width:1181;height:389" type="#_x0000_t75" stroked="false">
              <v:imagedata r:id="rId1052" o:title=""/>
            </v:shape>
            <v:shape style="position:absolute;left:10168;top:9909;width:1181;height:389" type="#_x0000_t75" stroked="false">
              <v:imagedata r:id="rId1051" o:title=""/>
            </v:shape>
            <v:shape style="position:absolute;left:11342;top:9739;width:1181;height:560" type="#_x0000_t75" stroked="false">
              <v:imagedata r:id="rId1053" o:title=""/>
            </v:shape>
            <v:shape style="position:absolute;left:13689;top:9909;width:1181;height:389" type="#_x0000_t75" stroked="false">
              <v:imagedata r:id="rId1052" o:title=""/>
            </v:shape>
            <w10:wrap type="none"/>
          </v:group>
        </w:pict>
      </w:r>
    </w:p>
    <w:p>
      <w:pPr>
        <w:pStyle w:val="BodyText"/>
        <w:spacing w:before="10"/>
        <w:rPr>
          <w:sz w:val="17"/>
        </w:rPr>
      </w:pPr>
    </w:p>
    <w:tbl>
      <w:tblPr>
        <w:tblW w:w="0" w:type="auto"/>
        <w:jc w:val="left"/>
        <w:tblInd w:w="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87"/>
        <w:gridCol w:w="752"/>
        <w:gridCol w:w="1173"/>
        <w:gridCol w:w="1173"/>
        <w:gridCol w:w="1272"/>
        <w:gridCol w:w="1210"/>
        <w:gridCol w:w="1145"/>
        <w:gridCol w:w="1064"/>
        <w:gridCol w:w="1320"/>
        <w:gridCol w:w="1025"/>
        <w:gridCol w:w="1175"/>
      </w:tblGrid>
      <w:tr>
        <w:trPr>
          <w:trHeight w:val="162" w:hRule="atLeast"/>
        </w:trPr>
        <w:tc>
          <w:tcPr>
            <w:tcW w:w="2587" w:type="dxa"/>
          </w:tcPr>
          <w:p>
            <w:pPr>
              <w:pStyle w:val="TableParagraph"/>
              <w:rPr>
                <w:rFonts w:ascii="Times New Roman"/>
                <w:sz w:val="10"/>
              </w:rPr>
            </w:pPr>
          </w:p>
        </w:tc>
        <w:tc>
          <w:tcPr>
            <w:tcW w:w="752" w:type="dxa"/>
          </w:tcPr>
          <w:p>
            <w:pPr>
              <w:pStyle w:val="TableParagraph"/>
              <w:spacing w:line="142" w:lineRule="exact"/>
              <w:ind w:left="143"/>
              <w:rPr>
                <w:b/>
                <w:sz w:val="14"/>
              </w:rPr>
            </w:pPr>
            <w:bookmarkStart w:name="Form CASH" w:id="13"/>
            <w:bookmarkEnd w:id="13"/>
            <w:r>
              <w:rPr/>
            </w:r>
            <w:r>
              <w:rPr>
                <w:b/>
                <w:sz w:val="14"/>
              </w:rPr>
              <w:t>Object</w:t>
            </w:r>
          </w:p>
        </w:tc>
        <w:tc>
          <w:tcPr>
            <w:tcW w:w="1173" w:type="dxa"/>
          </w:tcPr>
          <w:p>
            <w:pPr>
              <w:pStyle w:val="TableParagraph"/>
              <w:spacing w:line="82" w:lineRule="exact"/>
              <w:ind w:left="245"/>
              <w:rPr>
                <w:b/>
                <w:sz w:val="14"/>
              </w:rPr>
            </w:pPr>
            <w:r>
              <w:rPr>
                <w:b/>
                <w:sz w:val="14"/>
              </w:rPr>
              <w:t>(Ref. Only)</w:t>
            </w:r>
          </w:p>
        </w:tc>
        <w:tc>
          <w:tcPr>
            <w:tcW w:w="1173" w:type="dxa"/>
          </w:tcPr>
          <w:p>
            <w:pPr>
              <w:pStyle w:val="TableParagraph"/>
              <w:spacing w:line="142" w:lineRule="exact"/>
              <w:ind w:left="82" w:right="73"/>
              <w:jc w:val="center"/>
              <w:rPr>
                <w:b/>
                <w:sz w:val="14"/>
              </w:rPr>
            </w:pPr>
            <w:r>
              <w:rPr>
                <w:b/>
                <w:sz w:val="14"/>
              </w:rPr>
              <w:t>July</w:t>
            </w:r>
          </w:p>
        </w:tc>
        <w:tc>
          <w:tcPr>
            <w:tcW w:w="1272" w:type="dxa"/>
          </w:tcPr>
          <w:p>
            <w:pPr>
              <w:pStyle w:val="TableParagraph"/>
              <w:spacing w:line="142" w:lineRule="exact"/>
              <w:ind w:left="352"/>
              <w:rPr>
                <w:b/>
                <w:sz w:val="14"/>
              </w:rPr>
            </w:pPr>
            <w:r>
              <w:rPr>
                <w:b/>
                <w:sz w:val="14"/>
              </w:rPr>
              <w:t>August</w:t>
            </w:r>
          </w:p>
        </w:tc>
        <w:tc>
          <w:tcPr>
            <w:tcW w:w="1210" w:type="dxa"/>
          </w:tcPr>
          <w:p>
            <w:pPr>
              <w:pStyle w:val="TableParagraph"/>
              <w:spacing w:line="142" w:lineRule="exact"/>
              <w:ind w:left="131"/>
              <w:rPr>
                <w:b/>
                <w:sz w:val="14"/>
              </w:rPr>
            </w:pPr>
            <w:r>
              <w:rPr>
                <w:b/>
                <w:sz w:val="14"/>
              </w:rPr>
              <w:t>September</w:t>
            </w:r>
          </w:p>
        </w:tc>
        <w:tc>
          <w:tcPr>
            <w:tcW w:w="1145" w:type="dxa"/>
          </w:tcPr>
          <w:p>
            <w:pPr>
              <w:pStyle w:val="TableParagraph"/>
              <w:spacing w:line="142" w:lineRule="exact"/>
              <w:ind w:left="169"/>
              <w:rPr>
                <w:b/>
                <w:sz w:val="14"/>
              </w:rPr>
            </w:pPr>
            <w:r>
              <w:rPr>
                <w:b/>
                <w:sz w:val="14"/>
              </w:rPr>
              <w:t>October</w:t>
            </w:r>
          </w:p>
        </w:tc>
        <w:tc>
          <w:tcPr>
            <w:tcW w:w="1064" w:type="dxa"/>
          </w:tcPr>
          <w:p>
            <w:pPr>
              <w:pStyle w:val="TableParagraph"/>
              <w:spacing w:line="142" w:lineRule="exact"/>
              <w:ind w:left="143"/>
              <w:rPr>
                <w:b/>
                <w:sz w:val="14"/>
              </w:rPr>
            </w:pPr>
            <w:r>
              <w:rPr>
                <w:b/>
                <w:sz w:val="14"/>
              </w:rPr>
              <w:t>November</w:t>
            </w:r>
          </w:p>
        </w:tc>
        <w:tc>
          <w:tcPr>
            <w:tcW w:w="1320" w:type="dxa"/>
          </w:tcPr>
          <w:p>
            <w:pPr>
              <w:pStyle w:val="TableParagraph"/>
              <w:spacing w:line="142" w:lineRule="exact"/>
              <w:ind w:left="255"/>
              <w:rPr>
                <w:b/>
                <w:sz w:val="14"/>
              </w:rPr>
            </w:pPr>
            <w:r>
              <w:rPr>
                <w:b/>
                <w:sz w:val="14"/>
              </w:rPr>
              <w:t>December</w:t>
            </w:r>
          </w:p>
        </w:tc>
        <w:tc>
          <w:tcPr>
            <w:tcW w:w="1025" w:type="dxa"/>
          </w:tcPr>
          <w:p>
            <w:pPr>
              <w:pStyle w:val="TableParagraph"/>
              <w:spacing w:line="142" w:lineRule="exact"/>
              <w:ind w:left="183"/>
              <w:rPr>
                <w:b/>
                <w:sz w:val="14"/>
              </w:rPr>
            </w:pPr>
            <w:r>
              <w:rPr>
                <w:b/>
                <w:sz w:val="14"/>
              </w:rPr>
              <w:t>January</w:t>
            </w:r>
          </w:p>
        </w:tc>
        <w:tc>
          <w:tcPr>
            <w:tcW w:w="1175" w:type="dxa"/>
          </w:tcPr>
          <w:p>
            <w:pPr>
              <w:pStyle w:val="TableParagraph"/>
              <w:spacing w:line="142" w:lineRule="exact"/>
              <w:ind w:left="300"/>
              <w:rPr>
                <w:b/>
                <w:sz w:val="14"/>
              </w:rPr>
            </w:pPr>
            <w:r>
              <w:rPr>
                <w:b/>
                <w:sz w:val="14"/>
              </w:rPr>
              <w:t>February</w:t>
            </w:r>
          </w:p>
        </w:tc>
      </w:tr>
      <w:tr>
        <w:trPr>
          <w:trHeight w:val="345" w:hRule="atLeast"/>
        </w:trPr>
        <w:tc>
          <w:tcPr>
            <w:tcW w:w="2587" w:type="dxa"/>
          </w:tcPr>
          <w:p>
            <w:pPr>
              <w:pStyle w:val="TableParagraph"/>
              <w:spacing w:line="160" w:lineRule="exact" w:before="22"/>
              <w:ind w:right="49"/>
              <w:jc w:val="right"/>
              <w:rPr>
                <w:sz w:val="14"/>
              </w:rPr>
            </w:pPr>
            <w:r>
              <w:rPr>
                <w:sz w:val="14"/>
              </w:rPr>
              <w:t>ESTIMATES THROUGH THE</w:t>
            </w:r>
            <w:r>
              <w:rPr>
                <w:spacing w:val="-19"/>
                <w:sz w:val="14"/>
              </w:rPr>
              <w:t> </w:t>
            </w:r>
            <w:r>
              <w:rPr>
                <w:sz w:val="14"/>
              </w:rPr>
              <w:t>MONTH</w:t>
            </w:r>
          </w:p>
          <w:p>
            <w:pPr>
              <w:pStyle w:val="TableParagraph"/>
              <w:spacing w:line="144" w:lineRule="exact"/>
              <w:ind w:right="50"/>
              <w:jc w:val="right"/>
              <w:rPr>
                <w:sz w:val="14"/>
              </w:rPr>
            </w:pPr>
            <w:r>
              <w:rPr>
                <w:spacing w:val="-1"/>
                <w:w w:val="95"/>
                <w:sz w:val="14"/>
              </w:rPr>
              <w:t>OF</w:t>
            </w:r>
          </w:p>
        </w:tc>
        <w:tc>
          <w:tcPr>
            <w:tcW w:w="752" w:type="dxa"/>
          </w:tcPr>
          <w:p>
            <w:pPr>
              <w:pStyle w:val="TableParagraph"/>
              <w:spacing w:before="6"/>
              <w:rPr>
                <w:sz w:val="17"/>
              </w:rPr>
            </w:pPr>
          </w:p>
          <w:p>
            <w:pPr>
              <w:pStyle w:val="TableParagraph"/>
              <w:spacing w:line="124" w:lineRule="exact"/>
              <w:ind w:left="191"/>
              <w:rPr>
                <w:sz w:val="12"/>
              </w:rPr>
            </w:pPr>
            <w:r>
              <w:rPr>
                <w:w w:val="105"/>
                <w:sz w:val="12"/>
              </w:rPr>
              <w:t>JUNE</w:t>
            </w:r>
          </w:p>
        </w:tc>
        <w:tc>
          <w:tcPr>
            <w:tcW w:w="1173" w:type="dxa"/>
            <w:shd w:val="clear" w:color="auto" w:fill="BFBFBF"/>
          </w:tcPr>
          <w:p>
            <w:pPr>
              <w:pStyle w:val="TableParagraph"/>
              <w:rPr>
                <w:rFonts w:ascii="Times New Roman"/>
                <w:sz w:val="12"/>
              </w:rPr>
            </w:pPr>
          </w:p>
        </w:tc>
        <w:tc>
          <w:tcPr>
            <w:tcW w:w="1173" w:type="dxa"/>
          </w:tcPr>
          <w:p>
            <w:pPr>
              <w:pStyle w:val="TableParagraph"/>
              <w:rPr>
                <w:rFonts w:ascii="Times New Roman"/>
                <w:sz w:val="12"/>
              </w:rPr>
            </w:pPr>
          </w:p>
        </w:tc>
        <w:tc>
          <w:tcPr>
            <w:tcW w:w="1272" w:type="dxa"/>
            <w:shd w:val="clear" w:color="auto" w:fill="BFBFBF"/>
          </w:tcPr>
          <w:p>
            <w:pPr>
              <w:pStyle w:val="TableParagraph"/>
              <w:rPr>
                <w:rFonts w:ascii="Times New Roman"/>
                <w:sz w:val="12"/>
              </w:rPr>
            </w:pPr>
          </w:p>
        </w:tc>
        <w:tc>
          <w:tcPr>
            <w:tcW w:w="1210" w:type="dxa"/>
            <w:shd w:val="clear" w:color="auto" w:fill="BFBFBF"/>
          </w:tcPr>
          <w:p>
            <w:pPr>
              <w:pStyle w:val="TableParagraph"/>
              <w:rPr>
                <w:rFonts w:ascii="Times New Roman"/>
                <w:sz w:val="12"/>
              </w:rPr>
            </w:pPr>
          </w:p>
        </w:tc>
        <w:tc>
          <w:tcPr>
            <w:tcW w:w="1145" w:type="dxa"/>
            <w:shd w:val="clear" w:color="auto" w:fill="BFBFBF"/>
          </w:tcPr>
          <w:p>
            <w:pPr>
              <w:pStyle w:val="TableParagraph"/>
              <w:rPr>
                <w:rFonts w:ascii="Times New Roman"/>
                <w:sz w:val="12"/>
              </w:rPr>
            </w:pPr>
          </w:p>
        </w:tc>
        <w:tc>
          <w:tcPr>
            <w:tcW w:w="1064" w:type="dxa"/>
            <w:shd w:val="clear" w:color="auto" w:fill="BFBFBF"/>
          </w:tcPr>
          <w:p>
            <w:pPr>
              <w:pStyle w:val="TableParagraph"/>
              <w:rPr>
                <w:rFonts w:ascii="Times New Roman"/>
                <w:sz w:val="12"/>
              </w:rPr>
            </w:pPr>
          </w:p>
        </w:tc>
        <w:tc>
          <w:tcPr>
            <w:tcW w:w="1320" w:type="dxa"/>
            <w:shd w:val="clear" w:color="auto" w:fill="BFBFBF"/>
          </w:tcPr>
          <w:p>
            <w:pPr>
              <w:pStyle w:val="TableParagraph"/>
              <w:rPr>
                <w:rFonts w:ascii="Times New Roman"/>
                <w:sz w:val="12"/>
              </w:rPr>
            </w:pPr>
          </w:p>
        </w:tc>
        <w:tc>
          <w:tcPr>
            <w:tcW w:w="1025" w:type="dxa"/>
            <w:shd w:val="clear" w:color="auto" w:fill="BFBFBF"/>
          </w:tcPr>
          <w:p>
            <w:pPr>
              <w:pStyle w:val="TableParagraph"/>
              <w:rPr>
                <w:rFonts w:ascii="Times New Roman"/>
                <w:sz w:val="12"/>
              </w:rPr>
            </w:pPr>
          </w:p>
        </w:tc>
        <w:tc>
          <w:tcPr>
            <w:tcW w:w="1175" w:type="dxa"/>
            <w:shd w:val="clear" w:color="auto" w:fill="BFBFBF"/>
          </w:tcPr>
          <w:p>
            <w:pPr>
              <w:pStyle w:val="TableParagraph"/>
              <w:rPr>
                <w:rFonts w:ascii="Times New Roman"/>
                <w:sz w:val="12"/>
              </w:rPr>
            </w:pPr>
          </w:p>
        </w:tc>
      </w:tr>
      <w:tr>
        <w:trPr>
          <w:trHeight w:val="184" w:hRule="atLeast"/>
        </w:trPr>
        <w:tc>
          <w:tcPr>
            <w:tcW w:w="2587" w:type="dxa"/>
          </w:tcPr>
          <w:p>
            <w:pPr>
              <w:pStyle w:val="TableParagraph"/>
              <w:spacing w:line="152" w:lineRule="exact" w:before="12"/>
              <w:ind w:left="32"/>
              <w:rPr>
                <w:sz w:val="14"/>
              </w:rPr>
            </w:pPr>
            <w:r>
              <w:rPr>
                <w:sz w:val="14"/>
              </w:rPr>
              <w:t>A. BEGINNING CASH</w:t>
            </w:r>
          </w:p>
        </w:tc>
        <w:tc>
          <w:tcPr>
            <w:tcW w:w="752" w:type="dxa"/>
          </w:tcPr>
          <w:p>
            <w:pPr>
              <w:pStyle w:val="TableParagraph"/>
              <w:rPr>
                <w:rFonts w:ascii="Times New Roman"/>
                <w:sz w:val="12"/>
              </w:rPr>
            </w:pPr>
          </w:p>
        </w:tc>
        <w:tc>
          <w:tcPr>
            <w:tcW w:w="1173" w:type="dxa"/>
            <w:shd w:val="clear" w:color="auto" w:fill="BFBFBF"/>
          </w:tcPr>
          <w:p>
            <w:pPr>
              <w:pStyle w:val="TableParagraph"/>
              <w:rPr>
                <w:rFonts w:ascii="Times New Roman"/>
                <w:sz w:val="12"/>
              </w:rPr>
            </w:pPr>
          </w:p>
        </w:tc>
        <w:tc>
          <w:tcPr>
            <w:tcW w:w="1173" w:type="dxa"/>
          </w:tcPr>
          <w:p>
            <w:pPr>
              <w:pStyle w:val="TableParagraph"/>
              <w:spacing w:line="131" w:lineRule="exact" w:before="34"/>
              <w:ind w:right="25"/>
              <w:jc w:val="right"/>
              <w:rPr>
                <w:sz w:val="12"/>
              </w:rPr>
            </w:pPr>
            <w:r>
              <w:rPr>
                <w:w w:val="105"/>
                <w:sz w:val="12"/>
              </w:rPr>
              <w:t>2,410,076.00</w:t>
            </w:r>
          </w:p>
        </w:tc>
        <w:tc>
          <w:tcPr>
            <w:tcW w:w="1272" w:type="dxa"/>
          </w:tcPr>
          <w:p>
            <w:pPr>
              <w:pStyle w:val="TableParagraph"/>
              <w:spacing w:line="131" w:lineRule="exact" w:before="34"/>
              <w:ind w:right="124"/>
              <w:jc w:val="right"/>
              <w:rPr>
                <w:sz w:val="12"/>
              </w:rPr>
            </w:pPr>
            <w:r>
              <w:rPr>
                <w:w w:val="105"/>
                <w:sz w:val="12"/>
              </w:rPr>
              <w:t>2,558,436.00</w:t>
            </w:r>
          </w:p>
        </w:tc>
        <w:tc>
          <w:tcPr>
            <w:tcW w:w="1210" w:type="dxa"/>
          </w:tcPr>
          <w:p>
            <w:pPr>
              <w:pStyle w:val="TableParagraph"/>
              <w:spacing w:line="131" w:lineRule="exact" w:before="34"/>
              <w:ind w:right="160"/>
              <w:jc w:val="right"/>
              <w:rPr>
                <w:sz w:val="12"/>
              </w:rPr>
            </w:pPr>
            <w:r>
              <w:rPr>
                <w:w w:val="105"/>
                <w:sz w:val="12"/>
              </w:rPr>
              <w:t>2,537,620.00</w:t>
            </w:r>
          </w:p>
        </w:tc>
        <w:tc>
          <w:tcPr>
            <w:tcW w:w="1145" w:type="dxa"/>
          </w:tcPr>
          <w:p>
            <w:pPr>
              <w:pStyle w:val="TableParagraph"/>
              <w:spacing w:line="131" w:lineRule="exact" w:before="34"/>
              <w:ind w:right="131"/>
              <w:jc w:val="right"/>
              <w:rPr>
                <w:sz w:val="12"/>
              </w:rPr>
            </w:pPr>
            <w:r>
              <w:rPr>
                <w:w w:val="105"/>
                <w:sz w:val="12"/>
              </w:rPr>
              <w:t>2,620,871.00</w:t>
            </w:r>
          </w:p>
        </w:tc>
        <w:tc>
          <w:tcPr>
            <w:tcW w:w="1064" w:type="dxa"/>
          </w:tcPr>
          <w:p>
            <w:pPr>
              <w:pStyle w:val="TableParagraph"/>
              <w:spacing w:line="131" w:lineRule="exact" w:before="34"/>
              <w:ind w:right="22"/>
              <w:jc w:val="right"/>
              <w:rPr>
                <w:sz w:val="12"/>
              </w:rPr>
            </w:pPr>
            <w:r>
              <w:rPr>
                <w:w w:val="105"/>
                <w:sz w:val="12"/>
              </w:rPr>
              <w:t>2,454,502.00</w:t>
            </w:r>
          </w:p>
        </w:tc>
        <w:tc>
          <w:tcPr>
            <w:tcW w:w="1320" w:type="dxa"/>
          </w:tcPr>
          <w:p>
            <w:pPr>
              <w:pStyle w:val="TableParagraph"/>
              <w:spacing w:line="131" w:lineRule="exact" w:before="34"/>
              <w:ind w:right="168"/>
              <w:jc w:val="right"/>
              <w:rPr>
                <w:sz w:val="12"/>
              </w:rPr>
            </w:pPr>
            <w:r>
              <w:rPr>
                <w:w w:val="105"/>
                <w:sz w:val="12"/>
              </w:rPr>
              <w:t>2,256,134.00</w:t>
            </w:r>
          </w:p>
        </w:tc>
        <w:tc>
          <w:tcPr>
            <w:tcW w:w="1025" w:type="dxa"/>
          </w:tcPr>
          <w:p>
            <w:pPr>
              <w:pStyle w:val="TableParagraph"/>
              <w:spacing w:line="131" w:lineRule="exact" w:before="34"/>
              <w:ind w:right="20"/>
              <w:jc w:val="right"/>
              <w:rPr>
                <w:sz w:val="12"/>
              </w:rPr>
            </w:pPr>
            <w:r>
              <w:rPr>
                <w:w w:val="105"/>
                <w:sz w:val="12"/>
              </w:rPr>
              <w:t>2,290,303.00</w:t>
            </w:r>
          </w:p>
        </w:tc>
        <w:tc>
          <w:tcPr>
            <w:tcW w:w="1175" w:type="dxa"/>
          </w:tcPr>
          <w:p>
            <w:pPr>
              <w:pStyle w:val="TableParagraph"/>
              <w:spacing w:line="131" w:lineRule="exact" w:before="34"/>
              <w:ind w:right="21"/>
              <w:jc w:val="right"/>
              <w:rPr>
                <w:sz w:val="12"/>
              </w:rPr>
            </w:pPr>
            <w:r>
              <w:rPr>
                <w:w w:val="105"/>
                <w:sz w:val="12"/>
              </w:rPr>
              <w:t>2,413,870.00</w:t>
            </w:r>
          </w:p>
        </w:tc>
      </w:tr>
      <w:tr>
        <w:trPr>
          <w:trHeight w:val="177" w:hRule="atLeast"/>
        </w:trPr>
        <w:tc>
          <w:tcPr>
            <w:tcW w:w="2587" w:type="dxa"/>
          </w:tcPr>
          <w:p>
            <w:pPr>
              <w:pStyle w:val="TableParagraph"/>
              <w:spacing w:line="152" w:lineRule="exact" w:before="6"/>
              <w:ind w:left="32"/>
              <w:rPr>
                <w:sz w:val="14"/>
              </w:rPr>
            </w:pPr>
            <w:r>
              <w:rPr>
                <w:sz w:val="14"/>
              </w:rPr>
              <w:t>B. RECEIPTS</w:t>
            </w:r>
          </w:p>
        </w:tc>
        <w:tc>
          <w:tcPr>
            <w:tcW w:w="752" w:type="dxa"/>
          </w:tcPr>
          <w:p>
            <w:pPr>
              <w:pStyle w:val="TableParagraph"/>
              <w:rPr>
                <w:rFonts w:ascii="Times New Roman"/>
                <w:sz w:val="10"/>
              </w:rPr>
            </w:pPr>
          </w:p>
        </w:tc>
        <w:tc>
          <w:tcPr>
            <w:tcW w:w="1173" w:type="dxa"/>
            <w:shd w:val="clear" w:color="auto" w:fill="BFBFBF"/>
          </w:tcPr>
          <w:p>
            <w:pPr>
              <w:pStyle w:val="TableParagraph"/>
              <w:rPr>
                <w:rFonts w:ascii="Times New Roman"/>
                <w:sz w:val="10"/>
              </w:rPr>
            </w:pPr>
          </w:p>
        </w:tc>
        <w:tc>
          <w:tcPr>
            <w:tcW w:w="1173" w:type="dxa"/>
          </w:tcPr>
          <w:p>
            <w:pPr>
              <w:pStyle w:val="TableParagraph"/>
              <w:rPr>
                <w:rFonts w:ascii="Times New Roman"/>
                <w:sz w:val="10"/>
              </w:rPr>
            </w:pPr>
          </w:p>
        </w:tc>
        <w:tc>
          <w:tcPr>
            <w:tcW w:w="1272" w:type="dxa"/>
          </w:tcPr>
          <w:p>
            <w:pPr>
              <w:pStyle w:val="TableParagraph"/>
              <w:rPr>
                <w:rFonts w:ascii="Times New Roman"/>
                <w:sz w:val="10"/>
              </w:rPr>
            </w:pPr>
          </w:p>
        </w:tc>
        <w:tc>
          <w:tcPr>
            <w:tcW w:w="1210" w:type="dxa"/>
          </w:tcPr>
          <w:p>
            <w:pPr>
              <w:pStyle w:val="TableParagraph"/>
              <w:rPr>
                <w:rFonts w:ascii="Times New Roman"/>
                <w:sz w:val="10"/>
              </w:rPr>
            </w:pPr>
          </w:p>
        </w:tc>
        <w:tc>
          <w:tcPr>
            <w:tcW w:w="1145" w:type="dxa"/>
          </w:tcPr>
          <w:p>
            <w:pPr>
              <w:pStyle w:val="TableParagraph"/>
              <w:rPr>
                <w:rFonts w:ascii="Times New Roman"/>
                <w:sz w:val="10"/>
              </w:rPr>
            </w:pPr>
          </w:p>
        </w:tc>
        <w:tc>
          <w:tcPr>
            <w:tcW w:w="1064" w:type="dxa"/>
          </w:tcPr>
          <w:p>
            <w:pPr>
              <w:pStyle w:val="TableParagraph"/>
              <w:rPr>
                <w:rFonts w:ascii="Times New Roman"/>
                <w:sz w:val="10"/>
              </w:rPr>
            </w:pPr>
          </w:p>
        </w:tc>
        <w:tc>
          <w:tcPr>
            <w:tcW w:w="1320" w:type="dxa"/>
          </w:tcPr>
          <w:p>
            <w:pPr>
              <w:pStyle w:val="TableParagraph"/>
              <w:rPr>
                <w:rFonts w:ascii="Times New Roman"/>
                <w:sz w:val="10"/>
              </w:rPr>
            </w:pPr>
          </w:p>
        </w:tc>
        <w:tc>
          <w:tcPr>
            <w:tcW w:w="1025" w:type="dxa"/>
          </w:tcPr>
          <w:p>
            <w:pPr>
              <w:pStyle w:val="TableParagraph"/>
              <w:rPr>
                <w:rFonts w:ascii="Times New Roman"/>
                <w:sz w:val="10"/>
              </w:rPr>
            </w:pPr>
          </w:p>
        </w:tc>
        <w:tc>
          <w:tcPr>
            <w:tcW w:w="1175" w:type="dxa"/>
          </w:tcPr>
          <w:p>
            <w:pPr>
              <w:pStyle w:val="TableParagraph"/>
              <w:rPr>
                <w:rFonts w:ascii="Times New Roman"/>
                <w:sz w:val="10"/>
              </w:rPr>
            </w:pPr>
          </w:p>
        </w:tc>
      </w:tr>
      <w:tr>
        <w:trPr>
          <w:trHeight w:val="177" w:hRule="atLeast"/>
        </w:trPr>
        <w:tc>
          <w:tcPr>
            <w:tcW w:w="2587" w:type="dxa"/>
          </w:tcPr>
          <w:p>
            <w:pPr>
              <w:pStyle w:val="TableParagraph"/>
              <w:spacing w:line="152" w:lineRule="exact" w:before="6"/>
              <w:ind w:left="186"/>
              <w:rPr>
                <w:sz w:val="14"/>
              </w:rPr>
            </w:pPr>
            <w:r>
              <w:rPr>
                <w:sz w:val="14"/>
              </w:rPr>
              <w:t>LCFF/Revenue Limit Sources</w:t>
            </w:r>
          </w:p>
        </w:tc>
        <w:tc>
          <w:tcPr>
            <w:tcW w:w="752" w:type="dxa"/>
          </w:tcPr>
          <w:p>
            <w:pPr>
              <w:pStyle w:val="TableParagraph"/>
              <w:rPr>
                <w:rFonts w:ascii="Times New Roman"/>
                <w:sz w:val="10"/>
              </w:rPr>
            </w:pPr>
          </w:p>
        </w:tc>
        <w:tc>
          <w:tcPr>
            <w:tcW w:w="1173" w:type="dxa"/>
            <w:shd w:val="clear" w:color="auto" w:fill="BFBFBF"/>
          </w:tcPr>
          <w:p>
            <w:pPr>
              <w:pStyle w:val="TableParagraph"/>
              <w:rPr>
                <w:rFonts w:ascii="Times New Roman"/>
                <w:sz w:val="10"/>
              </w:rPr>
            </w:pPr>
          </w:p>
        </w:tc>
        <w:tc>
          <w:tcPr>
            <w:tcW w:w="1173" w:type="dxa"/>
          </w:tcPr>
          <w:p>
            <w:pPr>
              <w:pStyle w:val="TableParagraph"/>
              <w:rPr>
                <w:rFonts w:ascii="Times New Roman"/>
                <w:sz w:val="10"/>
              </w:rPr>
            </w:pPr>
          </w:p>
        </w:tc>
        <w:tc>
          <w:tcPr>
            <w:tcW w:w="1272" w:type="dxa"/>
          </w:tcPr>
          <w:p>
            <w:pPr>
              <w:pStyle w:val="TableParagraph"/>
              <w:rPr>
                <w:rFonts w:ascii="Times New Roman"/>
                <w:sz w:val="10"/>
              </w:rPr>
            </w:pPr>
          </w:p>
        </w:tc>
        <w:tc>
          <w:tcPr>
            <w:tcW w:w="1210" w:type="dxa"/>
          </w:tcPr>
          <w:p>
            <w:pPr>
              <w:pStyle w:val="TableParagraph"/>
              <w:rPr>
                <w:rFonts w:ascii="Times New Roman"/>
                <w:sz w:val="10"/>
              </w:rPr>
            </w:pPr>
          </w:p>
        </w:tc>
        <w:tc>
          <w:tcPr>
            <w:tcW w:w="1145" w:type="dxa"/>
          </w:tcPr>
          <w:p>
            <w:pPr>
              <w:pStyle w:val="TableParagraph"/>
              <w:rPr>
                <w:rFonts w:ascii="Times New Roman"/>
                <w:sz w:val="10"/>
              </w:rPr>
            </w:pPr>
          </w:p>
        </w:tc>
        <w:tc>
          <w:tcPr>
            <w:tcW w:w="1064" w:type="dxa"/>
          </w:tcPr>
          <w:p>
            <w:pPr>
              <w:pStyle w:val="TableParagraph"/>
              <w:rPr>
                <w:rFonts w:ascii="Times New Roman"/>
                <w:sz w:val="10"/>
              </w:rPr>
            </w:pPr>
          </w:p>
        </w:tc>
        <w:tc>
          <w:tcPr>
            <w:tcW w:w="1320" w:type="dxa"/>
          </w:tcPr>
          <w:p>
            <w:pPr>
              <w:pStyle w:val="TableParagraph"/>
              <w:rPr>
                <w:rFonts w:ascii="Times New Roman"/>
                <w:sz w:val="10"/>
              </w:rPr>
            </w:pPr>
          </w:p>
        </w:tc>
        <w:tc>
          <w:tcPr>
            <w:tcW w:w="1025" w:type="dxa"/>
          </w:tcPr>
          <w:p>
            <w:pPr>
              <w:pStyle w:val="TableParagraph"/>
              <w:rPr>
                <w:rFonts w:ascii="Times New Roman"/>
                <w:sz w:val="10"/>
              </w:rPr>
            </w:pPr>
          </w:p>
        </w:tc>
        <w:tc>
          <w:tcPr>
            <w:tcW w:w="1175" w:type="dxa"/>
          </w:tcPr>
          <w:p>
            <w:pPr>
              <w:pStyle w:val="TableParagraph"/>
              <w:rPr>
                <w:rFonts w:ascii="Times New Roman"/>
                <w:sz w:val="10"/>
              </w:rPr>
            </w:pPr>
          </w:p>
        </w:tc>
      </w:tr>
      <w:tr>
        <w:trPr>
          <w:trHeight w:val="177" w:hRule="atLeast"/>
        </w:trPr>
        <w:tc>
          <w:tcPr>
            <w:tcW w:w="2587" w:type="dxa"/>
          </w:tcPr>
          <w:p>
            <w:pPr>
              <w:pStyle w:val="TableParagraph"/>
              <w:spacing w:line="152" w:lineRule="exact" w:before="6"/>
              <w:ind w:left="455"/>
              <w:rPr>
                <w:sz w:val="14"/>
              </w:rPr>
            </w:pPr>
            <w:r>
              <w:rPr>
                <w:sz w:val="14"/>
              </w:rPr>
              <w:t>Principal Apportionment</w:t>
            </w:r>
          </w:p>
        </w:tc>
        <w:tc>
          <w:tcPr>
            <w:tcW w:w="752" w:type="dxa"/>
          </w:tcPr>
          <w:p>
            <w:pPr>
              <w:pStyle w:val="TableParagraph"/>
              <w:spacing w:line="131" w:lineRule="exact" w:before="27"/>
              <w:ind w:left="57"/>
              <w:rPr>
                <w:sz w:val="12"/>
              </w:rPr>
            </w:pPr>
            <w:r>
              <w:rPr>
                <w:w w:val="105"/>
                <w:sz w:val="12"/>
              </w:rPr>
              <w:t>8010-8019</w:t>
            </w:r>
          </w:p>
        </w:tc>
        <w:tc>
          <w:tcPr>
            <w:tcW w:w="1173" w:type="dxa"/>
            <w:shd w:val="clear" w:color="auto" w:fill="BFBFBF"/>
          </w:tcPr>
          <w:p>
            <w:pPr>
              <w:pStyle w:val="TableParagraph"/>
              <w:rPr>
                <w:rFonts w:ascii="Times New Roman"/>
                <w:sz w:val="10"/>
              </w:rPr>
            </w:pPr>
          </w:p>
        </w:tc>
        <w:tc>
          <w:tcPr>
            <w:tcW w:w="1173" w:type="dxa"/>
          </w:tcPr>
          <w:p>
            <w:pPr>
              <w:pStyle w:val="TableParagraph"/>
              <w:spacing w:line="131" w:lineRule="exact" w:before="27"/>
              <w:ind w:right="25"/>
              <w:jc w:val="right"/>
              <w:rPr>
                <w:sz w:val="12"/>
              </w:rPr>
            </w:pPr>
            <w:r>
              <w:rPr>
                <w:w w:val="105"/>
                <w:sz w:val="12"/>
              </w:rPr>
              <w:t>154,934.00</w:t>
            </w:r>
          </w:p>
        </w:tc>
        <w:tc>
          <w:tcPr>
            <w:tcW w:w="1272" w:type="dxa"/>
          </w:tcPr>
          <w:p>
            <w:pPr>
              <w:pStyle w:val="TableParagraph"/>
              <w:spacing w:line="131" w:lineRule="exact" w:before="27"/>
              <w:ind w:right="124"/>
              <w:jc w:val="right"/>
              <w:rPr>
                <w:sz w:val="12"/>
              </w:rPr>
            </w:pPr>
            <w:r>
              <w:rPr>
                <w:w w:val="105"/>
                <w:sz w:val="12"/>
              </w:rPr>
              <w:t>154,934.00</w:t>
            </w:r>
          </w:p>
        </w:tc>
        <w:tc>
          <w:tcPr>
            <w:tcW w:w="1210" w:type="dxa"/>
          </w:tcPr>
          <w:p>
            <w:pPr>
              <w:pStyle w:val="TableParagraph"/>
              <w:spacing w:line="131" w:lineRule="exact" w:before="27"/>
              <w:ind w:right="160"/>
              <w:jc w:val="right"/>
              <w:rPr>
                <w:sz w:val="12"/>
              </w:rPr>
            </w:pPr>
            <w:r>
              <w:rPr>
                <w:w w:val="105"/>
                <w:sz w:val="12"/>
              </w:rPr>
              <w:t>220,300.00</w:t>
            </w:r>
          </w:p>
        </w:tc>
        <w:tc>
          <w:tcPr>
            <w:tcW w:w="1145" w:type="dxa"/>
          </w:tcPr>
          <w:p>
            <w:pPr>
              <w:pStyle w:val="TableParagraph"/>
              <w:spacing w:line="131" w:lineRule="exact" w:before="27"/>
              <w:ind w:right="132"/>
              <w:jc w:val="right"/>
              <w:rPr>
                <w:sz w:val="12"/>
              </w:rPr>
            </w:pPr>
            <w:r>
              <w:rPr>
                <w:w w:val="105"/>
                <w:sz w:val="12"/>
              </w:rPr>
              <w:t>154,934.00</w:t>
            </w:r>
          </w:p>
        </w:tc>
        <w:tc>
          <w:tcPr>
            <w:tcW w:w="1064" w:type="dxa"/>
          </w:tcPr>
          <w:p>
            <w:pPr>
              <w:pStyle w:val="TableParagraph"/>
              <w:spacing w:line="131" w:lineRule="exact" w:before="27"/>
              <w:ind w:right="21"/>
              <w:jc w:val="right"/>
              <w:rPr>
                <w:sz w:val="12"/>
              </w:rPr>
            </w:pPr>
            <w:r>
              <w:rPr>
                <w:w w:val="105"/>
                <w:sz w:val="12"/>
              </w:rPr>
              <w:t>0.00</w:t>
            </w:r>
          </w:p>
        </w:tc>
        <w:tc>
          <w:tcPr>
            <w:tcW w:w="1320" w:type="dxa"/>
          </w:tcPr>
          <w:p>
            <w:pPr>
              <w:pStyle w:val="TableParagraph"/>
              <w:spacing w:line="131" w:lineRule="exact" w:before="27"/>
              <w:ind w:right="168"/>
              <w:jc w:val="right"/>
              <w:rPr>
                <w:sz w:val="12"/>
              </w:rPr>
            </w:pPr>
            <w:r>
              <w:rPr>
                <w:w w:val="105"/>
                <w:sz w:val="12"/>
              </w:rPr>
              <w:t>65,366.00</w:t>
            </w:r>
          </w:p>
        </w:tc>
        <w:tc>
          <w:tcPr>
            <w:tcW w:w="1025" w:type="dxa"/>
          </w:tcPr>
          <w:p>
            <w:pPr>
              <w:pStyle w:val="TableParagraph"/>
              <w:spacing w:line="131" w:lineRule="exact" w:before="27"/>
              <w:ind w:right="19"/>
              <w:jc w:val="right"/>
              <w:rPr>
                <w:sz w:val="12"/>
              </w:rPr>
            </w:pPr>
            <w:r>
              <w:rPr>
                <w:w w:val="105"/>
                <w:sz w:val="12"/>
              </w:rPr>
              <w:t>61,974.00</w:t>
            </w:r>
          </w:p>
        </w:tc>
        <w:tc>
          <w:tcPr>
            <w:tcW w:w="1175" w:type="dxa"/>
          </w:tcPr>
          <w:p>
            <w:pPr>
              <w:pStyle w:val="TableParagraph"/>
              <w:spacing w:line="131" w:lineRule="exact" w:before="27"/>
              <w:ind w:right="20"/>
              <w:jc w:val="right"/>
              <w:rPr>
                <w:sz w:val="12"/>
              </w:rPr>
            </w:pPr>
            <w:r>
              <w:rPr>
                <w:w w:val="105"/>
                <w:sz w:val="12"/>
              </w:rPr>
              <w:t>70,237.00</w:t>
            </w:r>
          </w:p>
        </w:tc>
      </w:tr>
      <w:tr>
        <w:trPr>
          <w:trHeight w:val="177" w:hRule="atLeast"/>
        </w:trPr>
        <w:tc>
          <w:tcPr>
            <w:tcW w:w="2587" w:type="dxa"/>
          </w:tcPr>
          <w:p>
            <w:pPr>
              <w:pStyle w:val="TableParagraph"/>
              <w:spacing w:line="152" w:lineRule="exact" w:before="6"/>
              <w:ind w:left="455"/>
              <w:rPr>
                <w:sz w:val="14"/>
              </w:rPr>
            </w:pPr>
            <w:r>
              <w:rPr>
                <w:sz w:val="14"/>
              </w:rPr>
              <w:t>Property Taxes</w:t>
            </w:r>
          </w:p>
        </w:tc>
        <w:tc>
          <w:tcPr>
            <w:tcW w:w="752" w:type="dxa"/>
          </w:tcPr>
          <w:p>
            <w:pPr>
              <w:pStyle w:val="TableParagraph"/>
              <w:spacing w:line="131" w:lineRule="exact" w:before="27"/>
              <w:ind w:left="57"/>
              <w:rPr>
                <w:sz w:val="12"/>
              </w:rPr>
            </w:pPr>
            <w:r>
              <w:rPr>
                <w:w w:val="105"/>
                <w:sz w:val="12"/>
              </w:rPr>
              <w:t>8020-8079</w:t>
            </w:r>
          </w:p>
        </w:tc>
        <w:tc>
          <w:tcPr>
            <w:tcW w:w="1173" w:type="dxa"/>
            <w:shd w:val="clear" w:color="auto" w:fill="BFBFBF"/>
          </w:tcPr>
          <w:p>
            <w:pPr>
              <w:pStyle w:val="TableParagraph"/>
              <w:rPr>
                <w:rFonts w:ascii="Times New Roman"/>
                <w:sz w:val="10"/>
              </w:rPr>
            </w:pPr>
          </w:p>
        </w:tc>
        <w:tc>
          <w:tcPr>
            <w:tcW w:w="1173" w:type="dxa"/>
          </w:tcPr>
          <w:p>
            <w:pPr>
              <w:pStyle w:val="TableParagraph"/>
              <w:spacing w:line="131" w:lineRule="exact" w:before="27"/>
              <w:ind w:right="25"/>
              <w:jc w:val="right"/>
              <w:rPr>
                <w:sz w:val="12"/>
              </w:rPr>
            </w:pPr>
            <w:r>
              <w:rPr>
                <w:w w:val="105"/>
                <w:sz w:val="12"/>
              </w:rPr>
              <w:t>0.00</w:t>
            </w:r>
          </w:p>
        </w:tc>
        <w:tc>
          <w:tcPr>
            <w:tcW w:w="1272" w:type="dxa"/>
          </w:tcPr>
          <w:p>
            <w:pPr>
              <w:pStyle w:val="TableParagraph"/>
              <w:spacing w:line="131" w:lineRule="exact" w:before="27"/>
              <w:ind w:right="123"/>
              <w:jc w:val="right"/>
              <w:rPr>
                <w:sz w:val="12"/>
              </w:rPr>
            </w:pPr>
            <w:r>
              <w:rPr>
                <w:w w:val="105"/>
                <w:sz w:val="12"/>
              </w:rPr>
              <w:t>0.00</w:t>
            </w:r>
          </w:p>
        </w:tc>
        <w:tc>
          <w:tcPr>
            <w:tcW w:w="1210" w:type="dxa"/>
          </w:tcPr>
          <w:p>
            <w:pPr>
              <w:pStyle w:val="TableParagraph"/>
              <w:spacing w:line="131" w:lineRule="exact" w:before="27"/>
              <w:ind w:right="159"/>
              <w:jc w:val="right"/>
              <w:rPr>
                <w:sz w:val="12"/>
              </w:rPr>
            </w:pPr>
            <w:r>
              <w:rPr>
                <w:w w:val="105"/>
                <w:sz w:val="12"/>
              </w:rPr>
              <w:t>0.00</w:t>
            </w:r>
          </w:p>
        </w:tc>
        <w:tc>
          <w:tcPr>
            <w:tcW w:w="1145" w:type="dxa"/>
          </w:tcPr>
          <w:p>
            <w:pPr>
              <w:pStyle w:val="TableParagraph"/>
              <w:spacing w:line="131" w:lineRule="exact" w:before="27"/>
              <w:ind w:right="131"/>
              <w:jc w:val="right"/>
              <w:rPr>
                <w:sz w:val="12"/>
              </w:rPr>
            </w:pPr>
            <w:r>
              <w:rPr>
                <w:w w:val="105"/>
                <w:sz w:val="12"/>
              </w:rPr>
              <w:t>0.00</w:t>
            </w:r>
          </w:p>
        </w:tc>
        <w:tc>
          <w:tcPr>
            <w:tcW w:w="1064" w:type="dxa"/>
          </w:tcPr>
          <w:p>
            <w:pPr>
              <w:pStyle w:val="TableParagraph"/>
              <w:spacing w:line="131" w:lineRule="exact" w:before="27"/>
              <w:ind w:right="21"/>
              <w:jc w:val="right"/>
              <w:rPr>
                <w:sz w:val="12"/>
              </w:rPr>
            </w:pPr>
            <w:r>
              <w:rPr>
                <w:w w:val="105"/>
                <w:sz w:val="12"/>
              </w:rPr>
              <w:t>0.00</w:t>
            </w:r>
          </w:p>
        </w:tc>
        <w:tc>
          <w:tcPr>
            <w:tcW w:w="1320" w:type="dxa"/>
          </w:tcPr>
          <w:p>
            <w:pPr>
              <w:pStyle w:val="TableParagraph"/>
              <w:spacing w:line="131" w:lineRule="exact" w:before="27"/>
              <w:ind w:right="168"/>
              <w:jc w:val="right"/>
              <w:rPr>
                <w:sz w:val="12"/>
              </w:rPr>
            </w:pPr>
            <w:r>
              <w:rPr>
                <w:w w:val="105"/>
                <w:sz w:val="12"/>
              </w:rPr>
              <w:t>39,825.00</w:t>
            </w:r>
          </w:p>
        </w:tc>
        <w:tc>
          <w:tcPr>
            <w:tcW w:w="1025" w:type="dxa"/>
          </w:tcPr>
          <w:p>
            <w:pPr>
              <w:pStyle w:val="TableParagraph"/>
              <w:spacing w:line="131" w:lineRule="exact" w:before="27"/>
              <w:ind w:right="20"/>
              <w:jc w:val="right"/>
              <w:rPr>
                <w:sz w:val="12"/>
              </w:rPr>
            </w:pPr>
            <w:r>
              <w:rPr>
                <w:w w:val="105"/>
                <w:sz w:val="12"/>
              </w:rPr>
              <w:t>296,579.00</w:t>
            </w:r>
          </w:p>
        </w:tc>
        <w:tc>
          <w:tcPr>
            <w:tcW w:w="1175" w:type="dxa"/>
          </w:tcPr>
          <w:p>
            <w:pPr>
              <w:pStyle w:val="TableParagraph"/>
              <w:spacing w:line="131" w:lineRule="exact" w:before="27"/>
              <w:ind w:right="20"/>
              <w:jc w:val="right"/>
              <w:rPr>
                <w:sz w:val="12"/>
              </w:rPr>
            </w:pPr>
            <w:r>
              <w:rPr>
                <w:w w:val="105"/>
                <w:sz w:val="12"/>
              </w:rPr>
              <w:t>0.00</w:t>
            </w:r>
          </w:p>
        </w:tc>
      </w:tr>
      <w:tr>
        <w:trPr>
          <w:trHeight w:val="177" w:hRule="atLeast"/>
        </w:trPr>
        <w:tc>
          <w:tcPr>
            <w:tcW w:w="2587" w:type="dxa"/>
          </w:tcPr>
          <w:p>
            <w:pPr>
              <w:pStyle w:val="TableParagraph"/>
              <w:spacing w:line="152" w:lineRule="exact" w:before="6"/>
              <w:ind w:left="455"/>
              <w:rPr>
                <w:sz w:val="14"/>
              </w:rPr>
            </w:pPr>
            <w:r>
              <w:rPr>
                <w:sz w:val="14"/>
              </w:rPr>
              <w:t>Miscellaneous Funds</w:t>
            </w:r>
          </w:p>
        </w:tc>
        <w:tc>
          <w:tcPr>
            <w:tcW w:w="752" w:type="dxa"/>
          </w:tcPr>
          <w:p>
            <w:pPr>
              <w:pStyle w:val="TableParagraph"/>
              <w:spacing w:line="131" w:lineRule="exact" w:before="27"/>
              <w:ind w:left="57"/>
              <w:rPr>
                <w:sz w:val="12"/>
              </w:rPr>
            </w:pPr>
            <w:r>
              <w:rPr>
                <w:w w:val="105"/>
                <w:sz w:val="12"/>
              </w:rPr>
              <w:t>8080-8099</w:t>
            </w:r>
          </w:p>
        </w:tc>
        <w:tc>
          <w:tcPr>
            <w:tcW w:w="1173" w:type="dxa"/>
            <w:shd w:val="clear" w:color="auto" w:fill="BFBFBF"/>
          </w:tcPr>
          <w:p>
            <w:pPr>
              <w:pStyle w:val="TableParagraph"/>
              <w:rPr>
                <w:rFonts w:ascii="Times New Roman"/>
                <w:sz w:val="10"/>
              </w:rPr>
            </w:pPr>
          </w:p>
        </w:tc>
        <w:tc>
          <w:tcPr>
            <w:tcW w:w="1173" w:type="dxa"/>
          </w:tcPr>
          <w:p>
            <w:pPr>
              <w:pStyle w:val="TableParagraph"/>
              <w:spacing w:line="131" w:lineRule="exact" w:before="27"/>
              <w:ind w:right="25"/>
              <w:jc w:val="right"/>
              <w:rPr>
                <w:sz w:val="12"/>
              </w:rPr>
            </w:pPr>
            <w:r>
              <w:rPr>
                <w:w w:val="105"/>
                <w:sz w:val="12"/>
              </w:rPr>
              <w:t>0.00</w:t>
            </w:r>
          </w:p>
        </w:tc>
        <w:tc>
          <w:tcPr>
            <w:tcW w:w="1272" w:type="dxa"/>
          </w:tcPr>
          <w:p>
            <w:pPr>
              <w:pStyle w:val="TableParagraph"/>
              <w:spacing w:line="131" w:lineRule="exact" w:before="27"/>
              <w:ind w:right="123"/>
              <w:jc w:val="right"/>
              <w:rPr>
                <w:sz w:val="12"/>
              </w:rPr>
            </w:pPr>
            <w:r>
              <w:rPr>
                <w:w w:val="105"/>
                <w:sz w:val="12"/>
              </w:rPr>
              <w:t>0.00</w:t>
            </w:r>
          </w:p>
        </w:tc>
        <w:tc>
          <w:tcPr>
            <w:tcW w:w="1210" w:type="dxa"/>
          </w:tcPr>
          <w:p>
            <w:pPr>
              <w:pStyle w:val="TableParagraph"/>
              <w:spacing w:line="131" w:lineRule="exact" w:before="27"/>
              <w:ind w:right="162"/>
              <w:jc w:val="right"/>
              <w:rPr>
                <w:sz w:val="12"/>
              </w:rPr>
            </w:pPr>
            <w:r>
              <w:rPr>
                <w:w w:val="105"/>
                <w:sz w:val="12"/>
              </w:rPr>
              <w:t>(33,463.00)</w:t>
            </w:r>
          </w:p>
        </w:tc>
        <w:tc>
          <w:tcPr>
            <w:tcW w:w="1145" w:type="dxa"/>
          </w:tcPr>
          <w:p>
            <w:pPr>
              <w:pStyle w:val="TableParagraph"/>
              <w:spacing w:line="131" w:lineRule="exact" w:before="27"/>
              <w:ind w:right="133"/>
              <w:jc w:val="right"/>
              <w:rPr>
                <w:sz w:val="12"/>
              </w:rPr>
            </w:pPr>
            <w:r>
              <w:rPr>
                <w:w w:val="105"/>
                <w:sz w:val="12"/>
              </w:rPr>
              <w:t>(105,415.00)</w:t>
            </w:r>
          </w:p>
        </w:tc>
        <w:tc>
          <w:tcPr>
            <w:tcW w:w="1064" w:type="dxa"/>
          </w:tcPr>
          <w:p>
            <w:pPr>
              <w:pStyle w:val="TableParagraph"/>
              <w:spacing w:line="131" w:lineRule="exact" w:before="27"/>
              <w:ind w:right="23"/>
              <w:jc w:val="right"/>
              <w:rPr>
                <w:sz w:val="12"/>
              </w:rPr>
            </w:pPr>
            <w:r>
              <w:rPr>
                <w:w w:val="105"/>
                <w:sz w:val="12"/>
              </w:rPr>
              <w:t>(117,925.00)</w:t>
            </w:r>
          </w:p>
        </w:tc>
        <w:tc>
          <w:tcPr>
            <w:tcW w:w="1320" w:type="dxa"/>
          </w:tcPr>
          <w:p>
            <w:pPr>
              <w:pStyle w:val="TableParagraph"/>
              <w:spacing w:line="131" w:lineRule="exact" w:before="27"/>
              <w:ind w:right="170"/>
              <w:jc w:val="right"/>
              <w:rPr>
                <w:sz w:val="12"/>
              </w:rPr>
            </w:pPr>
            <w:r>
              <w:rPr>
                <w:w w:val="105"/>
                <w:sz w:val="12"/>
              </w:rPr>
              <w:t>(18,812.00)</w:t>
            </w:r>
          </w:p>
        </w:tc>
        <w:tc>
          <w:tcPr>
            <w:tcW w:w="1025" w:type="dxa"/>
          </w:tcPr>
          <w:p>
            <w:pPr>
              <w:pStyle w:val="TableParagraph"/>
              <w:spacing w:line="131" w:lineRule="exact" w:before="27"/>
              <w:ind w:right="21"/>
              <w:jc w:val="right"/>
              <w:rPr>
                <w:sz w:val="12"/>
              </w:rPr>
            </w:pPr>
            <w:r>
              <w:rPr>
                <w:w w:val="105"/>
                <w:sz w:val="12"/>
              </w:rPr>
              <w:t>(56,600.00)</w:t>
            </w:r>
          </w:p>
        </w:tc>
        <w:tc>
          <w:tcPr>
            <w:tcW w:w="1175" w:type="dxa"/>
          </w:tcPr>
          <w:p>
            <w:pPr>
              <w:pStyle w:val="TableParagraph"/>
              <w:spacing w:line="131" w:lineRule="exact" w:before="27"/>
              <w:ind w:right="23"/>
              <w:jc w:val="right"/>
              <w:rPr>
                <w:sz w:val="12"/>
              </w:rPr>
            </w:pPr>
            <w:r>
              <w:rPr>
                <w:w w:val="105"/>
                <w:sz w:val="12"/>
              </w:rPr>
              <w:t>(95,941.00)</w:t>
            </w:r>
          </w:p>
        </w:tc>
      </w:tr>
      <w:tr>
        <w:trPr>
          <w:trHeight w:val="177" w:hRule="atLeast"/>
        </w:trPr>
        <w:tc>
          <w:tcPr>
            <w:tcW w:w="2587" w:type="dxa"/>
          </w:tcPr>
          <w:p>
            <w:pPr>
              <w:pStyle w:val="TableParagraph"/>
              <w:spacing w:line="152" w:lineRule="exact" w:before="6"/>
              <w:ind w:left="186"/>
              <w:rPr>
                <w:sz w:val="14"/>
              </w:rPr>
            </w:pPr>
            <w:r>
              <w:rPr>
                <w:sz w:val="14"/>
              </w:rPr>
              <w:t>Federal Revenue</w:t>
            </w:r>
          </w:p>
        </w:tc>
        <w:tc>
          <w:tcPr>
            <w:tcW w:w="752" w:type="dxa"/>
          </w:tcPr>
          <w:p>
            <w:pPr>
              <w:pStyle w:val="TableParagraph"/>
              <w:spacing w:line="131" w:lineRule="exact" w:before="27"/>
              <w:ind w:left="57"/>
              <w:rPr>
                <w:sz w:val="12"/>
              </w:rPr>
            </w:pPr>
            <w:r>
              <w:rPr>
                <w:w w:val="105"/>
                <w:sz w:val="12"/>
              </w:rPr>
              <w:t>8100-8299</w:t>
            </w:r>
          </w:p>
        </w:tc>
        <w:tc>
          <w:tcPr>
            <w:tcW w:w="1173" w:type="dxa"/>
            <w:shd w:val="clear" w:color="auto" w:fill="BFBFBF"/>
          </w:tcPr>
          <w:p>
            <w:pPr>
              <w:pStyle w:val="TableParagraph"/>
              <w:rPr>
                <w:rFonts w:ascii="Times New Roman"/>
                <w:sz w:val="10"/>
              </w:rPr>
            </w:pPr>
          </w:p>
        </w:tc>
        <w:tc>
          <w:tcPr>
            <w:tcW w:w="1173" w:type="dxa"/>
          </w:tcPr>
          <w:p>
            <w:pPr>
              <w:pStyle w:val="TableParagraph"/>
              <w:spacing w:line="131" w:lineRule="exact" w:before="27"/>
              <w:ind w:right="25"/>
              <w:jc w:val="right"/>
              <w:rPr>
                <w:sz w:val="12"/>
              </w:rPr>
            </w:pPr>
            <w:r>
              <w:rPr>
                <w:w w:val="105"/>
                <w:sz w:val="12"/>
              </w:rPr>
              <w:t>0.00</w:t>
            </w:r>
          </w:p>
        </w:tc>
        <w:tc>
          <w:tcPr>
            <w:tcW w:w="1272" w:type="dxa"/>
          </w:tcPr>
          <w:p>
            <w:pPr>
              <w:pStyle w:val="TableParagraph"/>
              <w:spacing w:line="131" w:lineRule="exact" w:before="27"/>
              <w:ind w:right="123"/>
              <w:jc w:val="right"/>
              <w:rPr>
                <w:sz w:val="12"/>
              </w:rPr>
            </w:pPr>
            <w:r>
              <w:rPr>
                <w:w w:val="105"/>
                <w:sz w:val="12"/>
              </w:rPr>
              <w:t>0.00</w:t>
            </w:r>
          </w:p>
        </w:tc>
        <w:tc>
          <w:tcPr>
            <w:tcW w:w="1210" w:type="dxa"/>
          </w:tcPr>
          <w:p>
            <w:pPr>
              <w:pStyle w:val="TableParagraph"/>
              <w:spacing w:line="131" w:lineRule="exact" w:before="27"/>
              <w:ind w:right="159"/>
              <w:jc w:val="right"/>
              <w:rPr>
                <w:sz w:val="12"/>
              </w:rPr>
            </w:pPr>
            <w:r>
              <w:rPr>
                <w:w w:val="105"/>
                <w:sz w:val="12"/>
              </w:rPr>
              <w:t>18,398.00</w:t>
            </w:r>
          </w:p>
        </w:tc>
        <w:tc>
          <w:tcPr>
            <w:tcW w:w="1145" w:type="dxa"/>
          </w:tcPr>
          <w:p>
            <w:pPr>
              <w:pStyle w:val="TableParagraph"/>
              <w:spacing w:line="131" w:lineRule="exact" w:before="27"/>
              <w:ind w:right="131"/>
              <w:jc w:val="right"/>
              <w:rPr>
                <w:sz w:val="12"/>
              </w:rPr>
            </w:pPr>
            <w:r>
              <w:rPr>
                <w:w w:val="105"/>
                <w:sz w:val="12"/>
              </w:rPr>
              <w:t>2,569.00</w:t>
            </w:r>
          </w:p>
        </w:tc>
        <w:tc>
          <w:tcPr>
            <w:tcW w:w="1064" w:type="dxa"/>
          </w:tcPr>
          <w:p>
            <w:pPr>
              <w:pStyle w:val="TableParagraph"/>
              <w:spacing w:line="131" w:lineRule="exact" w:before="27"/>
              <w:ind w:right="22"/>
              <w:jc w:val="right"/>
              <w:rPr>
                <w:sz w:val="12"/>
              </w:rPr>
            </w:pPr>
            <w:r>
              <w:rPr>
                <w:w w:val="105"/>
                <w:sz w:val="12"/>
              </w:rPr>
              <w:t>4,838.00</w:t>
            </w:r>
          </w:p>
        </w:tc>
        <w:tc>
          <w:tcPr>
            <w:tcW w:w="1320" w:type="dxa"/>
          </w:tcPr>
          <w:p>
            <w:pPr>
              <w:pStyle w:val="TableParagraph"/>
              <w:spacing w:line="131" w:lineRule="exact" w:before="27"/>
              <w:ind w:right="168"/>
              <w:jc w:val="right"/>
              <w:rPr>
                <w:sz w:val="12"/>
              </w:rPr>
            </w:pPr>
            <w:r>
              <w:rPr>
                <w:w w:val="105"/>
                <w:sz w:val="12"/>
              </w:rPr>
              <w:t>29,032.00</w:t>
            </w:r>
          </w:p>
        </w:tc>
        <w:tc>
          <w:tcPr>
            <w:tcW w:w="1025" w:type="dxa"/>
          </w:tcPr>
          <w:p>
            <w:pPr>
              <w:pStyle w:val="TableParagraph"/>
              <w:spacing w:line="131" w:lineRule="exact" w:before="27"/>
              <w:ind w:right="19"/>
              <w:jc w:val="right"/>
              <w:rPr>
                <w:sz w:val="12"/>
              </w:rPr>
            </w:pPr>
            <w:r>
              <w:rPr>
                <w:w w:val="105"/>
                <w:sz w:val="12"/>
              </w:rPr>
              <w:t>6,176.00</w:t>
            </w:r>
          </w:p>
        </w:tc>
        <w:tc>
          <w:tcPr>
            <w:tcW w:w="1175" w:type="dxa"/>
          </w:tcPr>
          <w:p>
            <w:pPr>
              <w:pStyle w:val="TableParagraph"/>
              <w:spacing w:line="131" w:lineRule="exact" w:before="27"/>
              <w:ind w:right="21"/>
              <w:jc w:val="right"/>
              <w:rPr>
                <w:sz w:val="12"/>
              </w:rPr>
            </w:pPr>
            <w:r>
              <w:rPr>
                <w:w w:val="105"/>
                <w:sz w:val="12"/>
              </w:rPr>
              <w:t>8,153.00</w:t>
            </w:r>
          </w:p>
        </w:tc>
      </w:tr>
      <w:tr>
        <w:trPr>
          <w:trHeight w:val="177" w:hRule="atLeast"/>
        </w:trPr>
        <w:tc>
          <w:tcPr>
            <w:tcW w:w="2587" w:type="dxa"/>
          </w:tcPr>
          <w:p>
            <w:pPr>
              <w:pStyle w:val="TableParagraph"/>
              <w:spacing w:line="152" w:lineRule="exact" w:before="6"/>
              <w:ind w:left="186"/>
              <w:rPr>
                <w:sz w:val="14"/>
              </w:rPr>
            </w:pPr>
            <w:r>
              <w:rPr>
                <w:sz w:val="14"/>
              </w:rPr>
              <w:t>Other State Revenue</w:t>
            </w:r>
          </w:p>
        </w:tc>
        <w:tc>
          <w:tcPr>
            <w:tcW w:w="752" w:type="dxa"/>
          </w:tcPr>
          <w:p>
            <w:pPr>
              <w:pStyle w:val="TableParagraph"/>
              <w:spacing w:line="131" w:lineRule="exact" w:before="27"/>
              <w:ind w:left="57"/>
              <w:rPr>
                <w:sz w:val="12"/>
              </w:rPr>
            </w:pPr>
            <w:r>
              <w:rPr>
                <w:w w:val="105"/>
                <w:sz w:val="12"/>
              </w:rPr>
              <w:t>8300-8599</w:t>
            </w:r>
          </w:p>
        </w:tc>
        <w:tc>
          <w:tcPr>
            <w:tcW w:w="1173" w:type="dxa"/>
            <w:shd w:val="clear" w:color="auto" w:fill="BFBFBF"/>
          </w:tcPr>
          <w:p>
            <w:pPr>
              <w:pStyle w:val="TableParagraph"/>
              <w:rPr>
                <w:rFonts w:ascii="Times New Roman"/>
                <w:sz w:val="10"/>
              </w:rPr>
            </w:pPr>
          </w:p>
        </w:tc>
        <w:tc>
          <w:tcPr>
            <w:tcW w:w="1173" w:type="dxa"/>
          </w:tcPr>
          <w:p>
            <w:pPr>
              <w:pStyle w:val="TableParagraph"/>
              <w:spacing w:line="131" w:lineRule="exact" w:before="27"/>
              <w:ind w:right="25"/>
              <w:jc w:val="right"/>
              <w:rPr>
                <w:sz w:val="12"/>
              </w:rPr>
            </w:pPr>
            <w:r>
              <w:rPr>
                <w:w w:val="105"/>
                <w:sz w:val="12"/>
              </w:rPr>
              <w:t>19.00</w:t>
            </w:r>
          </w:p>
        </w:tc>
        <w:tc>
          <w:tcPr>
            <w:tcW w:w="1272" w:type="dxa"/>
          </w:tcPr>
          <w:p>
            <w:pPr>
              <w:pStyle w:val="TableParagraph"/>
              <w:spacing w:line="131" w:lineRule="exact" w:before="27"/>
              <w:ind w:right="123"/>
              <w:jc w:val="right"/>
              <w:rPr>
                <w:sz w:val="12"/>
              </w:rPr>
            </w:pPr>
            <w:r>
              <w:rPr>
                <w:w w:val="105"/>
                <w:sz w:val="12"/>
              </w:rPr>
              <w:t>6,898.00</w:t>
            </w:r>
          </w:p>
        </w:tc>
        <w:tc>
          <w:tcPr>
            <w:tcW w:w="1210" w:type="dxa"/>
          </w:tcPr>
          <w:p>
            <w:pPr>
              <w:pStyle w:val="TableParagraph"/>
              <w:spacing w:line="131" w:lineRule="exact" w:before="27"/>
              <w:ind w:right="160"/>
              <w:jc w:val="right"/>
              <w:rPr>
                <w:sz w:val="12"/>
              </w:rPr>
            </w:pPr>
            <w:r>
              <w:rPr>
                <w:w w:val="105"/>
                <w:sz w:val="12"/>
              </w:rPr>
              <w:t>595.00</w:t>
            </w:r>
          </w:p>
        </w:tc>
        <w:tc>
          <w:tcPr>
            <w:tcW w:w="1145" w:type="dxa"/>
          </w:tcPr>
          <w:p>
            <w:pPr>
              <w:pStyle w:val="TableParagraph"/>
              <w:spacing w:line="131" w:lineRule="exact" w:before="27"/>
              <w:ind w:right="131"/>
              <w:jc w:val="right"/>
              <w:rPr>
                <w:sz w:val="12"/>
              </w:rPr>
            </w:pPr>
            <w:r>
              <w:rPr>
                <w:w w:val="105"/>
                <w:sz w:val="12"/>
              </w:rPr>
              <w:t>1,362.00</w:t>
            </w:r>
          </w:p>
        </w:tc>
        <w:tc>
          <w:tcPr>
            <w:tcW w:w="1064" w:type="dxa"/>
          </w:tcPr>
          <w:p>
            <w:pPr>
              <w:pStyle w:val="TableParagraph"/>
              <w:spacing w:line="131" w:lineRule="exact" w:before="27"/>
              <w:ind w:right="21"/>
              <w:jc w:val="right"/>
              <w:rPr>
                <w:sz w:val="12"/>
              </w:rPr>
            </w:pPr>
            <w:r>
              <w:rPr>
                <w:w w:val="105"/>
                <w:sz w:val="12"/>
              </w:rPr>
              <w:t>14,269.00</w:t>
            </w:r>
          </w:p>
        </w:tc>
        <w:tc>
          <w:tcPr>
            <w:tcW w:w="1320" w:type="dxa"/>
          </w:tcPr>
          <w:p>
            <w:pPr>
              <w:pStyle w:val="TableParagraph"/>
              <w:spacing w:line="131" w:lineRule="exact" w:before="27"/>
              <w:ind w:right="168"/>
              <w:jc w:val="right"/>
              <w:rPr>
                <w:sz w:val="12"/>
              </w:rPr>
            </w:pPr>
            <w:r>
              <w:rPr>
                <w:w w:val="105"/>
                <w:sz w:val="12"/>
              </w:rPr>
              <w:t>25,918.00</w:t>
            </w:r>
          </w:p>
        </w:tc>
        <w:tc>
          <w:tcPr>
            <w:tcW w:w="1025" w:type="dxa"/>
          </w:tcPr>
          <w:p>
            <w:pPr>
              <w:pStyle w:val="TableParagraph"/>
              <w:spacing w:line="131" w:lineRule="exact" w:before="27"/>
              <w:ind w:right="19"/>
              <w:jc w:val="right"/>
              <w:rPr>
                <w:sz w:val="12"/>
              </w:rPr>
            </w:pPr>
            <w:r>
              <w:rPr>
                <w:w w:val="105"/>
                <w:sz w:val="12"/>
              </w:rPr>
              <w:t>7,459.00</w:t>
            </w:r>
          </w:p>
        </w:tc>
        <w:tc>
          <w:tcPr>
            <w:tcW w:w="1175" w:type="dxa"/>
          </w:tcPr>
          <w:p>
            <w:pPr>
              <w:pStyle w:val="TableParagraph"/>
              <w:spacing w:line="131" w:lineRule="exact" w:before="27"/>
              <w:ind w:right="21"/>
              <w:jc w:val="right"/>
              <w:rPr>
                <w:sz w:val="12"/>
              </w:rPr>
            </w:pPr>
            <w:r>
              <w:rPr>
                <w:w w:val="105"/>
                <w:sz w:val="12"/>
              </w:rPr>
              <w:t>531.00</w:t>
            </w:r>
          </w:p>
        </w:tc>
      </w:tr>
      <w:tr>
        <w:trPr>
          <w:trHeight w:val="177" w:hRule="atLeast"/>
        </w:trPr>
        <w:tc>
          <w:tcPr>
            <w:tcW w:w="2587" w:type="dxa"/>
          </w:tcPr>
          <w:p>
            <w:pPr>
              <w:pStyle w:val="TableParagraph"/>
              <w:spacing w:line="152" w:lineRule="exact" w:before="6"/>
              <w:ind w:left="186"/>
              <w:rPr>
                <w:sz w:val="14"/>
              </w:rPr>
            </w:pPr>
            <w:r>
              <w:rPr>
                <w:sz w:val="14"/>
              </w:rPr>
              <w:t>Other Local Revenue</w:t>
            </w:r>
          </w:p>
        </w:tc>
        <w:tc>
          <w:tcPr>
            <w:tcW w:w="752" w:type="dxa"/>
          </w:tcPr>
          <w:p>
            <w:pPr>
              <w:pStyle w:val="TableParagraph"/>
              <w:spacing w:line="131" w:lineRule="exact" w:before="27"/>
              <w:ind w:left="57"/>
              <w:rPr>
                <w:sz w:val="12"/>
              </w:rPr>
            </w:pPr>
            <w:r>
              <w:rPr>
                <w:w w:val="105"/>
                <w:sz w:val="12"/>
              </w:rPr>
              <w:t>8600-8799</w:t>
            </w:r>
          </w:p>
        </w:tc>
        <w:tc>
          <w:tcPr>
            <w:tcW w:w="1173" w:type="dxa"/>
            <w:shd w:val="clear" w:color="auto" w:fill="BFBFBF"/>
          </w:tcPr>
          <w:p>
            <w:pPr>
              <w:pStyle w:val="TableParagraph"/>
              <w:rPr>
                <w:rFonts w:ascii="Times New Roman"/>
                <w:sz w:val="10"/>
              </w:rPr>
            </w:pPr>
          </w:p>
        </w:tc>
        <w:tc>
          <w:tcPr>
            <w:tcW w:w="1173" w:type="dxa"/>
          </w:tcPr>
          <w:p>
            <w:pPr>
              <w:pStyle w:val="TableParagraph"/>
              <w:spacing w:line="131" w:lineRule="exact" w:before="27"/>
              <w:ind w:right="25"/>
              <w:jc w:val="right"/>
              <w:rPr>
                <w:sz w:val="12"/>
              </w:rPr>
            </w:pPr>
            <w:r>
              <w:rPr>
                <w:w w:val="105"/>
                <w:sz w:val="12"/>
              </w:rPr>
              <w:t>0.00</w:t>
            </w:r>
          </w:p>
        </w:tc>
        <w:tc>
          <w:tcPr>
            <w:tcW w:w="1272" w:type="dxa"/>
          </w:tcPr>
          <w:p>
            <w:pPr>
              <w:pStyle w:val="TableParagraph"/>
              <w:spacing w:line="131" w:lineRule="exact" w:before="27"/>
              <w:ind w:right="123"/>
              <w:jc w:val="right"/>
              <w:rPr>
                <w:sz w:val="12"/>
              </w:rPr>
            </w:pPr>
            <w:r>
              <w:rPr>
                <w:w w:val="105"/>
                <w:sz w:val="12"/>
              </w:rPr>
              <w:t>1,295.00</w:t>
            </w:r>
          </w:p>
        </w:tc>
        <w:tc>
          <w:tcPr>
            <w:tcW w:w="1210" w:type="dxa"/>
          </w:tcPr>
          <w:p>
            <w:pPr>
              <w:pStyle w:val="TableParagraph"/>
              <w:spacing w:line="131" w:lineRule="exact" w:before="27"/>
              <w:ind w:right="160"/>
              <w:jc w:val="right"/>
              <w:rPr>
                <w:sz w:val="12"/>
              </w:rPr>
            </w:pPr>
            <w:r>
              <w:rPr>
                <w:w w:val="105"/>
                <w:sz w:val="12"/>
              </w:rPr>
              <w:t>7,480.00</w:t>
            </w:r>
          </w:p>
        </w:tc>
        <w:tc>
          <w:tcPr>
            <w:tcW w:w="1145" w:type="dxa"/>
          </w:tcPr>
          <w:p>
            <w:pPr>
              <w:pStyle w:val="TableParagraph"/>
              <w:spacing w:line="131" w:lineRule="exact" w:before="27"/>
              <w:ind w:right="131"/>
              <w:jc w:val="right"/>
              <w:rPr>
                <w:sz w:val="12"/>
              </w:rPr>
            </w:pPr>
            <w:r>
              <w:rPr>
                <w:w w:val="105"/>
                <w:sz w:val="12"/>
              </w:rPr>
              <w:t>3,287.00</w:t>
            </w:r>
          </w:p>
        </w:tc>
        <w:tc>
          <w:tcPr>
            <w:tcW w:w="1064" w:type="dxa"/>
          </w:tcPr>
          <w:p>
            <w:pPr>
              <w:pStyle w:val="TableParagraph"/>
              <w:spacing w:line="131" w:lineRule="exact" w:before="27"/>
              <w:ind w:right="22"/>
              <w:jc w:val="right"/>
              <w:rPr>
                <w:sz w:val="12"/>
              </w:rPr>
            </w:pPr>
            <w:r>
              <w:rPr>
                <w:w w:val="105"/>
                <w:sz w:val="12"/>
              </w:rPr>
              <w:t>6,334.00</w:t>
            </w:r>
          </w:p>
        </w:tc>
        <w:tc>
          <w:tcPr>
            <w:tcW w:w="1320" w:type="dxa"/>
          </w:tcPr>
          <w:p>
            <w:pPr>
              <w:pStyle w:val="TableParagraph"/>
              <w:spacing w:line="131" w:lineRule="exact" w:before="27"/>
              <w:ind w:right="168"/>
              <w:jc w:val="right"/>
              <w:rPr>
                <w:sz w:val="12"/>
              </w:rPr>
            </w:pPr>
            <w:r>
              <w:rPr>
                <w:w w:val="105"/>
                <w:sz w:val="12"/>
              </w:rPr>
              <w:t>50,129.00</w:t>
            </w:r>
          </w:p>
        </w:tc>
        <w:tc>
          <w:tcPr>
            <w:tcW w:w="1025" w:type="dxa"/>
          </w:tcPr>
          <w:p>
            <w:pPr>
              <w:pStyle w:val="TableParagraph"/>
              <w:spacing w:line="131" w:lineRule="exact" w:before="27"/>
              <w:ind w:right="19"/>
              <w:jc w:val="right"/>
              <w:rPr>
                <w:sz w:val="12"/>
              </w:rPr>
            </w:pPr>
            <w:r>
              <w:rPr>
                <w:w w:val="105"/>
                <w:sz w:val="12"/>
              </w:rPr>
              <w:t>4,300.00</w:t>
            </w:r>
          </w:p>
        </w:tc>
        <w:tc>
          <w:tcPr>
            <w:tcW w:w="1175" w:type="dxa"/>
          </w:tcPr>
          <w:p>
            <w:pPr>
              <w:pStyle w:val="TableParagraph"/>
              <w:spacing w:line="131" w:lineRule="exact" w:before="27"/>
              <w:ind w:right="20"/>
              <w:jc w:val="right"/>
              <w:rPr>
                <w:sz w:val="12"/>
              </w:rPr>
            </w:pPr>
            <w:r>
              <w:rPr>
                <w:w w:val="105"/>
                <w:sz w:val="12"/>
              </w:rPr>
              <w:t>47,250.00</w:t>
            </w:r>
          </w:p>
        </w:tc>
      </w:tr>
      <w:tr>
        <w:trPr>
          <w:trHeight w:val="177" w:hRule="atLeast"/>
        </w:trPr>
        <w:tc>
          <w:tcPr>
            <w:tcW w:w="2587" w:type="dxa"/>
          </w:tcPr>
          <w:p>
            <w:pPr>
              <w:pStyle w:val="TableParagraph"/>
              <w:spacing w:line="152" w:lineRule="exact" w:before="6"/>
              <w:ind w:left="186"/>
              <w:rPr>
                <w:sz w:val="14"/>
              </w:rPr>
            </w:pPr>
            <w:r>
              <w:rPr>
                <w:sz w:val="14"/>
              </w:rPr>
              <w:t>Interfund Transfers In</w:t>
            </w:r>
          </w:p>
        </w:tc>
        <w:tc>
          <w:tcPr>
            <w:tcW w:w="752" w:type="dxa"/>
          </w:tcPr>
          <w:p>
            <w:pPr>
              <w:pStyle w:val="TableParagraph"/>
              <w:spacing w:line="131" w:lineRule="exact" w:before="27"/>
              <w:ind w:left="57"/>
              <w:rPr>
                <w:sz w:val="12"/>
              </w:rPr>
            </w:pPr>
            <w:r>
              <w:rPr>
                <w:w w:val="105"/>
                <w:sz w:val="12"/>
              </w:rPr>
              <w:t>8910-8929</w:t>
            </w:r>
          </w:p>
        </w:tc>
        <w:tc>
          <w:tcPr>
            <w:tcW w:w="1173" w:type="dxa"/>
            <w:shd w:val="clear" w:color="auto" w:fill="BFBFBF"/>
          </w:tcPr>
          <w:p>
            <w:pPr>
              <w:pStyle w:val="TableParagraph"/>
              <w:rPr>
                <w:rFonts w:ascii="Times New Roman"/>
                <w:sz w:val="10"/>
              </w:rPr>
            </w:pPr>
          </w:p>
        </w:tc>
        <w:tc>
          <w:tcPr>
            <w:tcW w:w="1173" w:type="dxa"/>
          </w:tcPr>
          <w:p>
            <w:pPr>
              <w:pStyle w:val="TableParagraph"/>
              <w:spacing w:line="131" w:lineRule="exact" w:before="27"/>
              <w:ind w:right="25"/>
              <w:jc w:val="right"/>
              <w:rPr>
                <w:sz w:val="12"/>
              </w:rPr>
            </w:pPr>
            <w:r>
              <w:rPr>
                <w:w w:val="105"/>
                <w:sz w:val="12"/>
              </w:rPr>
              <w:t>0.00</w:t>
            </w:r>
          </w:p>
        </w:tc>
        <w:tc>
          <w:tcPr>
            <w:tcW w:w="1272" w:type="dxa"/>
          </w:tcPr>
          <w:p>
            <w:pPr>
              <w:pStyle w:val="TableParagraph"/>
              <w:spacing w:line="131" w:lineRule="exact" w:before="27"/>
              <w:ind w:right="123"/>
              <w:jc w:val="right"/>
              <w:rPr>
                <w:sz w:val="12"/>
              </w:rPr>
            </w:pPr>
            <w:r>
              <w:rPr>
                <w:w w:val="105"/>
                <w:sz w:val="12"/>
              </w:rPr>
              <w:t>0.00</w:t>
            </w:r>
          </w:p>
        </w:tc>
        <w:tc>
          <w:tcPr>
            <w:tcW w:w="1210" w:type="dxa"/>
          </w:tcPr>
          <w:p>
            <w:pPr>
              <w:pStyle w:val="TableParagraph"/>
              <w:spacing w:line="131" w:lineRule="exact" w:before="27"/>
              <w:ind w:right="159"/>
              <w:jc w:val="right"/>
              <w:rPr>
                <w:sz w:val="12"/>
              </w:rPr>
            </w:pPr>
            <w:r>
              <w:rPr>
                <w:w w:val="105"/>
                <w:sz w:val="12"/>
              </w:rPr>
              <w:t>0.00</w:t>
            </w:r>
          </w:p>
        </w:tc>
        <w:tc>
          <w:tcPr>
            <w:tcW w:w="1145" w:type="dxa"/>
          </w:tcPr>
          <w:p>
            <w:pPr>
              <w:pStyle w:val="TableParagraph"/>
              <w:spacing w:line="131" w:lineRule="exact" w:before="27"/>
              <w:ind w:right="131"/>
              <w:jc w:val="right"/>
              <w:rPr>
                <w:sz w:val="12"/>
              </w:rPr>
            </w:pPr>
            <w:r>
              <w:rPr>
                <w:w w:val="105"/>
                <w:sz w:val="12"/>
              </w:rPr>
              <w:t>0.00</w:t>
            </w:r>
          </w:p>
        </w:tc>
        <w:tc>
          <w:tcPr>
            <w:tcW w:w="1064" w:type="dxa"/>
          </w:tcPr>
          <w:p>
            <w:pPr>
              <w:pStyle w:val="TableParagraph"/>
              <w:spacing w:line="131" w:lineRule="exact" w:before="27"/>
              <w:ind w:right="21"/>
              <w:jc w:val="right"/>
              <w:rPr>
                <w:sz w:val="12"/>
              </w:rPr>
            </w:pPr>
            <w:r>
              <w:rPr>
                <w:w w:val="105"/>
                <w:sz w:val="12"/>
              </w:rPr>
              <w:t>0.00</w:t>
            </w:r>
          </w:p>
        </w:tc>
        <w:tc>
          <w:tcPr>
            <w:tcW w:w="1320" w:type="dxa"/>
          </w:tcPr>
          <w:p>
            <w:pPr>
              <w:pStyle w:val="TableParagraph"/>
              <w:spacing w:line="131" w:lineRule="exact" w:before="27"/>
              <w:ind w:right="168"/>
              <w:jc w:val="right"/>
              <w:rPr>
                <w:sz w:val="12"/>
              </w:rPr>
            </w:pPr>
            <w:r>
              <w:rPr>
                <w:w w:val="105"/>
                <w:sz w:val="12"/>
              </w:rPr>
              <w:t>0.00</w:t>
            </w:r>
          </w:p>
        </w:tc>
        <w:tc>
          <w:tcPr>
            <w:tcW w:w="1025" w:type="dxa"/>
          </w:tcPr>
          <w:p>
            <w:pPr>
              <w:pStyle w:val="TableParagraph"/>
              <w:spacing w:line="131" w:lineRule="exact" w:before="27"/>
              <w:ind w:right="19"/>
              <w:jc w:val="right"/>
              <w:rPr>
                <w:sz w:val="12"/>
              </w:rPr>
            </w:pPr>
            <w:r>
              <w:rPr>
                <w:w w:val="105"/>
                <w:sz w:val="12"/>
              </w:rPr>
              <w:t>0.00</w:t>
            </w:r>
          </w:p>
        </w:tc>
        <w:tc>
          <w:tcPr>
            <w:tcW w:w="1175" w:type="dxa"/>
          </w:tcPr>
          <w:p>
            <w:pPr>
              <w:pStyle w:val="TableParagraph"/>
              <w:spacing w:line="131" w:lineRule="exact" w:before="27"/>
              <w:ind w:right="20"/>
              <w:jc w:val="right"/>
              <w:rPr>
                <w:sz w:val="12"/>
              </w:rPr>
            </w:pPr>
            <w:r>
              <w:rPr>
                <w:w w:val="105"/>
                <w:sz w:val="12"/>
              </w:rPr>
              <w:t>0.00</w:t>
            </w:r>
          </w:p>
        </w:tc>
      </w:tr>
      <w:tr>
        <w:trPr>
          <w:trHeight w:val="177" w:hRule="atLeast"/>
        </w:trPr>
        <w:tc>
          <w:tcPr>
            <w:tcW w:w="2587" w:type="dxa"/>
          </w:tcPr>
          <w:p>
            <w:pPr>
              <w:pStyle w:val="TableParagraph"/>
              <w:spacing w:line="152" w:lineRule="exact" w:before="6"/>
              <w:ind w:left="186"/>
              <w:rPr>
                <w:sz w:val="14"/>
              </w:rPr>
            </w:pPr>
            <w:r>
              <w:rPr>
                <w:sz w:val="14"/>
              </w:rPr>
              <w:t>All Other Financing Sources</w:t>
            </w:r>
          </w:p>
        </w:tc>
        <w:tc>
          <w:tcPr>
            <w:tcW w:w="752" w:type="dxa"/>
          </w:tcPr>
          <w:p>
            <w:pPr>
              <w:pStyle w:val="TableParagraph"/>
              <w:spacing w:line="131" w:lineRule="exact" w:before="27"/>
              <w:ind w:left="57"/>
              <w:rPr>
                <w:sz w:val="12"/>
              </w:rPr>
            </w:pPr>
            <w:r>
              <w:rPr>
                <w:w w:val="105"/>
                <w:sz w:val="12"/>
              </w:rPr>
              <w:t>8930-8979</w:t>
            </w:r>
          </w:p>
        </w:tc>
        <w:tc>
          <w:tcPr>
            <w:tcW w:w="1173" w:type="dxa"/>
            <w:shd w:val="clear" w:color="auto" w:fill="BFBFBF"/>
          </w:tcPr>
          <w:p>
            <w:pPr>
              <w:pStyle w:val="TableParagraph"/>
              <w:rPr>
                <w:rFonts w:ascii="Times New Roman"/>
                <w:sz w:val="10"/>
              </w:rPr>
            </w:pPr>
          </w:p>
        </w:tc>
        <w:tc>
          <w:tcPr>
            <w:tcW w:w="1173" w:type="dxa"/>
          </w:tcPr>
          <w:p>
            <w:pPr>
              <w:pStyle w:val="TableParagraph"/>
              <w:spacing w:line="131" w:lineRule="exact" w:before="27"/>
              <w:ind w:right="25"/>
              <w:jc w:val="right"/>
              <w:rPr>
                <w:sz w:val="12"/>
              </w:rPr>
            </w:pPr>
            <w:r>
              <w:rPr>
                <w:w w:val="105"/>
                <w:sz w:val="12"/>
              </w:rPr>
              <w:t>0.00</w:t>
            </w:r>
          </w:p>
        </w:tc>
        <w:tc>
          <w:tcPr>
            <w:tcW w:w="1272" w:type="dxa"/>
          </w:tcPr>
          <w:p>
            <w:pPr>
              <w:pStyle w:val="TableParagraph"/>
              <w:spacing w:line="131" w:lineRule="exact" w:before="27"/>
              <w:ind w:right="123"/>
              <w:jc w:val="right"/>
              <w:rPr>
                <w:sz w:val="12"/>
              </w:rPr>
            </w:pPr>
            <w:r>
              <w:rPr>
                <w:w w:val="105"/>
                <w:sz w:val="12"/>
              </w:rPr>
              <w:t>0.00</w:t>
            </w:r>
          </w:p>
        </w:tc>
        <w:tc>
          <w:tcPr>
            <w:tcW w:w="1210" w:type="dxa"/>
          </w:tcPr>
          <w:p>
            <w:pPr>
              <w:pStyle w:val="TableParagraph"/>
              <w:spacing w:line="131" w:lineRule="exact" w:before="27"/>
              <w:ind w:right="159"/>
              <w:jc w:val="right"/>
              <w:rPr>
                <w:sz w:val="12"/>
              </w:rPr>
            </w:pPr>
            <w:r>
              <w:rPr>
                <w:w w:val="105"/>
                <w:sz w:val="12"/>
              </w:rPr>
              <w:t>0.00</w:t>
            </w:r>
          </w:p>
        </w:tc>
        <w:tc>
          <w:tcPr>
            <w:tcW w:w="1145" w:type="dxa"/>
          </w:tcPr>
          <w:p>
            <w:pPr>
              <w:pStyle w:val="TableParagraph"/>
              <w:spacing w:line="131" w:lineRule="exact" w:before="27"/>
              <w:ind w:right="131"/>
              <w:jc w:val="right"/>
              <w:rPr>
                <w:sz w:val="12"/>
              </w:rPr>
            </w:pPr>
            <w:r>
              <w:rPr>
                <w:w w:val="105"/>
                <w:sz w:val="12"/>
              </w:rPr>
              <w:t>0.00</w:t>
            </w:r>
          </w:p>
        </w:tc>
        <w:tc>
          <w:tcPr>
            <w:tcW w:w="1064" w:type="dxa"/>
          </w:tcPr>
          <w:p>
            <w:pPr>
              <w:pStyle w:val="TableParagraph"/>
              <w:spacing w:line="131" w:lineRule="exact" w:before="27"/>
              <w:ind w:right="21"/>
              <w:jc w:val="right"/>
              <w:rPr>
                <w:sz w:val="12"/>
              </w:rPr>
            </w:pPr>
            <w:r>
              <w:rPr>
                <w:w w:val="105"/>
                <w:sz w:val="12"/>
              </w:rPr>
              <w:t>0.00</w:t>
            </w:r>
          </w:p>
        </w:tc>
        <w:tc>
          <w:tcPr>
            <w:tcW w:w="1320" w:type="dxa"/>
          </w:tcPr>
          <w:p>
            <w:pPr>
              <w:pStyle w:val="TableParagraph"/>
              <w:spacing w:line="131" w:lineRule="exact" w:before="27"/>
              <w:ind w:right="168"/>
              <w:jc w:val="right"/>
              <w:rPr>
                <w:sz w:val="12"/>
              </w:rPr>
            </w:pPr>
            <w:r>
              <w:rPr>
                <w:w w:val="105"/>
                <w:sz w:val="12"/>
              </w:rPr>
              <w:t>0.00</w:t>
            </w:r>
          </w:p>
        </w:tc>
        <w:tc>
          <w:tcPr>
            <w:tcW w:w="1025" w:type="dxa"/>
          </w:tcPr>
          <w:p>
            <w:pPr>
              <w:pStyle w:val="TableParagraph"/>
              <w:spacing w:line="131" w:lineRule="exact" w:before="27"/>
              <w:ind w:right="19"/>
              <w:jc w:val="right"/>
              <w:rPr>
                <w:sz w:val="12"/>
              </w:rPr>
            </w:pPr>
            <w:r>
              <w:rPr>
                <w:w w:val="105"/>
                <w:sz w:val="12"/>
              </w:rPr>
              <w:t>0.00</w:t>
            </w:r>
          </w:p>
        </w:tc>
        <w:tc>
          <w:tcPr>
            <w:tcW w:w="1175" w:type="dxa"/>
          </w:tcPr>
          <w:p>
            <w:pPr>
              <w:pStyle w:val="TableParagraph"/>
              <w:spacing w:line="131" w:lineRule="exact" w:before="27"/>
              <w:ind w:right="20"/>
              <w:jc w:val="right"/>
              <w:rPr>
                <w:sz w:val="12"/>
              </w:rPr>
            </w:pPr>
            <w:r>
              <w:rPr>
                <w:w w:val="105"/>
                <w:sz w:val="12"/>
              </w:rPr>
              <w:t>0.00</w:t>
            </w:r>
          </w:p>
        </w:tc>
      </w:tr>
      <w:tr>
        <w:trPr>
          <w:trHeight w:val="177" w:hRule="atLeast"/>
        </w:trPr>
        <w:tc>
          <w:tcPr>
            <w:tcW w:w="2587" w:type="dxa"/>
          </w:tcPr>
          <w:p>
            <w:pPr>
              <w:pStyle w:val="TableParagraph"/>
              <w:spacing w:line="152" w:lineRule="exact" w:before="6"/>
              <w:ind w:left="186"/>
              <w:rPr>
                <w:sz w:val="14"/>
              </w:rPr>
            </w:pPr>
            <w:r>
              <w:rPr>
                <w:sz w:val="14"/>
              </w:rPr>
              <w:t>TOTAL RECEIPTS</w:t>
            </w:r>
          </w:p>
        </w:tc>
        <w:tc>
          <w:tcPr>
            <w:tcW w:w="752" w:type="dxa"/>
          </w:tcPr>
          <w:p>
            <w:pPr>
              <w:pStyle w:val="TableParagraph"/>
              <w:rPr>
                <w:rFonts w:ascii="Times New Roman"/>
                <w:sz w:val="10"/>
              </w:rPr>
            </w:pPr>
          </w:p>
        </w:tc>
        <w:tc>
          <w:tcPr>
            <w:tcW w:w="1173" w:type="dxa"/>
            <w:shd w:val="clear" w:color="auto" w:fill="BFBFBF"/>
          </w:tcPr>
          <w:p>
            <w:pPr>
              <w:pStyle w:val="TableParagraph"/>
              <w:rPr>
                <w:rFonts w:ascii="Times New Roman"/>
                <w:sz w:val="10"/>
              </w:rPr>
            </w:pPr>
          </w:p>
        </w:tc>
        <w:tc>
          <w:tcPr>
            <w:tcW w:w="1173" w:type="dxa"/>
          </w:tcPr>
          <w:p>
            <w:pPr>
              <w:pStyle w:val="TableParagraph"/>
              <w:spacing w:line="131" w:lineRule="exact" w:before="27"/>
              <w:ind w:right="25"/>
              <w:jc w:val="right"/>
              <w:rPr>
                <w:sz w:val="12"/>
              </w:rPr>
            </w:pPr>
            <w:r>
              <w:rPr>
                <w:w w:val="105"/>
                <w:sz w:val="12"/>
              </w:rPr>
              <w:t>154,953.00</w:t>
            </w:r>
          </w:p>
        </w:tc>
        <w:tc>
          <w:tcPr>
            <w:tcW w:w="1272" w:type="dxa"/>
          </w:tcPr>
          <w:p>
            <w:pPr>
              <w:pStyle w:val="TableParagraph"/>
              <w:spacing w:line="131" w:lineRule="exact" w:before="27"/>
              <w:ind w:right="124"/>
              <w:jc w:val="right"/>
              <w:rPr>
                <w:sz w:val="12"/>
              </w:rPr>
            </w:pPr>
            <w:r>
              <w:rPr>
                <w:w w:val="105"/>
                <w:sz w:val="12"/>
              </w:rPr>
              <w:t>163,127.00</w:t>
            </w:r>
          </w:p>
        </w:tc>
        <w:tc>
          <w:tcPr>
            <w:tcW w:w="1210" w:type="dxa"/>
          </w:tcPr>
          <w:p>
            <w:pPr>
              <w:pStyle w:val="TableParagraph"/>
              <w:spacing w:line="131" w:lineRule="exact" w:before="27"/>
              <w:ind w:right="160"/>
              <w:jc w:val="right"/>
              <w:rPr>
                <w:sz w:val="12"/>
              </w:rPr>
            </w:pPr>
            <w:r>
              <w:rPr>
                <w:w w:val="105"/>
                <w:sz w:val="12"/>
              </w:rPr>
              <w:t>213,310.00</w:t>
            </w:r>
          </w:p>
        </w:tc>
        <w:tc>
          <w:tcPr>
            <w:tcW w:w="1145" w:type="dxa"/>
          </w:tcPr>
          <w:p>
            <w:pPr>
              <w:pStyle w:val="TableParagraph"/>
              <w:spacing w:line="131" w:lineRule="exact" w:before="27"/>
              <w:ind w:right="131"/>
              <w:jc w:val="right"/>
              <w:rPr>
                <w:sz w:val="12"/>
              </w:rPr>
            </w:pPr>
            <w:r>
              <w:rPr>
                <w:w w:val="105"/>
                <w:sz w:val="12"/>
              </w:rPr>
              <w:t>56,737.00</w:t>
            </w:r>
          </w:p>
        </w:tc>
        <w:tc>
          <w:tcPr>
            <w:tcW w:w="1064" w:type="dxa"/>
          </w:tcPr>
          <w:p>
            <w:pPr>
              <w:pStyle w:val="TableParagraph"/>
              <w:spacing w:line="131" w:lineRule="exact" w:before="27"/>
              <w:ind w:right="24"/>
              <w:jc w:val="right"/>
              <w:rPr>
                <w:sz w:val="12"/>
              </w:rPr>
            </w:pPr>
            <w:r>
              <w:rPr>
                <w:w w:val="105"/>
                <w:sz w:val="12"/>
              </w:rPr>
              <w:t>(92,484.00)</w:t>
            </w:r>
          </w:p>
        </w:tc>
        <w:tc>
          <w:tcPr>
            <w:tcW w:w="1320" w:type="dxa"/>
          </w:tcPr>
          <w:p>
            <w:pPr>
              <w:pStyle w:val="TableParagraph"/>
              <w:spacing w:line="131" w:lineRule="exact" w:before="27"/>
              <w:ind w:right="168"/>
              <w:jc w:val="right"/>
              <w:rPr>
                <w:sz w:val="12"/>
              </w:rPr>
            </w:pPr>
            <w:r>
              <w:rPr>
                <w:w w:val="105"/>
                <w:sz w:val="12"/>
              </w:rPr>
              <w:t>191,458.00</w:t>
            </w:r>
          </w:p>
        </w:tc>
        <w:tc>
          <w:tcPr>
            <w:tcW w:w="1025" w:type="dxa"/>
          </w:tcPr>
          <w:p>
            <w:pPr>
              <w:pStyle w:val="TableParagraph"/>
              <w:spacing w:line="131" w:lineRule="exact" w:before="27"/>
              <w:ind w:right="20"/>
              <w:jc w:val="right"/>
              <w:rPr>
                <w:sz w:val="12"/>
              </w:rPr>
            </w:pPr>
            <w:r>
              <w:rPr>
                <w:w w:val="105"/>
                <w:sz w:val="12"/>
              </w:rPr>
              <w:t>319,888.00</w:t>
            </w:r>
          </w:p>
        </w:tc>
        <w:tc>
          <w:tcPr>
            <w:tcW w:w="1175" w:type="dxa"/>
          </w:tcPr>
          <w:p>
            <w:pPr>
              <w:pStyle w:val="TableParagraph"/>
              <w:spacing w:line="131" w:lineRule="exact" w:before="27"/>
              <w:ind w:right="20"/>
              <w:jc w:val="right"/>
              <w:rPr>
                <w:sz w:val="12"/>
              </w:rPr>
            </w:pPr>
            <w:r>
              <w:rPr>
                <w:w w:val="105"/>
                <w:sz w:val="12"/>
              </w:rPr>
              <w:t>30,230.00</w:t>
            </w:r>
          </w:p>
        </w:tc>
      </w:tr>
      <w:tr>
        <w:trPr>
          <w:trHeight w:val="177" w:hRule="atLeast"/>
        </w:trPr>
        <w:tc>
          <w:tcPr>
            <w:tcW w:w="2587" w:type="dxa"/>
          </w:tcPr>
          <w:p>
            <w:pPr>
              <w:pStyle w:val="TableParagraph"/>
              <w:spacing w:line="152" w:lineRule="exact" w:before="6"/>
              <w:ind w:left="32"/>
              <w:rPr>
                <w:sz w:val="14"/>
              </w:rPr>
            </w:pPr>
            <w:r>
              <w:rPr>
                <w:sz w:val="14"/>
              </w:rPr>
              <w:t>C. DISBURSEMENTS</w:t>
            </w:r>
          </w:p>
        </w:tc>
        <w:tc>
          <w:tcPr>
            <w:tcW w:w="752" w:type="dxa"/>
          </w:tcPr>
          <w:p>
            <w:pPr>
              <w:pStyle w:val="TableParagraph"/>
              <w:rPr>
                <w:rFonts w:ascii="Times New Roman"/>
                <w:sz w:val="10"/>
              </w:rPr>
            </w:pPr>
          </w:p>
        </w:tc>
        <w:tc>
          <w:tcPr>
            <w:tcW w:w="1173" w:type="dxa"/>
            <w:shd w:val="clear" w:color="auto" w:fill="BFBFBF"/>
          </w:tcPr>
          <w:p>
            <w:pPr>
              <w:pStyle w:val="TableParagraph"/>
              <w:rPr>
                <w:rFonts w:ascii="Times New Roman"/>
                <w:sz w:val="10"/>
              </w:rPr>
            </w:pPr>
          </w:p>
        </w:tc>
        <w:tc>
          <w:tcPr>
            <w:tcW w:w="1173" w:type="dxa"/>
          </w:tcPr>
          <w:p>
            <w:pPr>
              <w:pStyle w:val="TableParagraph"/>
              <w:rPr>
                <w:rFonts w:ascii="Times New Roman"/>
                <w:sz w:val="10"/>
              </w:rPr>
            </w:pPr>
          </w:p>
        </w:tc>
        <w:tc>
          <w:tcPr>
            <w:tcW w:w="1272" w:type="dxa"/>
          </w:tcPr>
          <w:p>
            <w:pPr>
              <w:pStyle w:val="TableParagraph"/>
              <w:rPr>
                <w:rFonts w:ascii="Times New Roman"/>
                <w:sz w:val="10"/>
              </w:rPr>
            </w:pPr>
          </w:p>
        </w:tc>
        <w:tc>
          <w:tcPr>
            <w:tcW w:w="1210" w:type="dxa"/>
          </w:tcPr>
          <w:p>
            <w:pPr>
              <w:pStyle w:val="TableParagraph"/>
              <w:rPr>
                <w:rFonts w:ascii="Times New Roman"/>
                <w:sz w:val="10"/>
              </w:rPr>
            </w:pPr>
          </w:p>
        </w:tc>
        <w:tc>
          <w:tcPr>
            <w:tcW w:w="1145" w:type="dxa"/>
          </w:tcPr>
          <w:p>
            <w:pPr>
              <w:pStyle w:val="TableParagraph"/>
              <w:rPr>
                <w:rFonts w:ascii="Times New Roman"/>
                <w:sz w:val="10"/>
              </w:rPr>
            </w:pPr>
          </w:p>
        </w:tc>
        <w:tc>
          <w:tcPr>
            <w:tcW w:w="1064" w:type="dxa"/>
          </w:tcPr>
          <w:p>
            <w:pPr>
              <w:pStyle w:val="TableParagraph"/>
              <w:rPr>
                <w:rFonts w:ascii="Times New Roman"/>
                <w:sz w:val="10"/>
              </w:rPr>
            </w:pPr>
          </w:p>
        </w:tc>
        <w:tc>
          <w:tcPr>
            <w:tcW w:w="1320" w:type="dxa"/>
          </w:tcPr>
          <w:p>
            <w:pPr>
              <w:pStyle w:val="TableParagraph"/>
              <w:rPr>
                <w:rFonts w:ascii="Times New Roman"/>
                <w:sz w:val="10"/>
              </w:rPr>
            </w:pPr>
          </w:p>
        </w:tc>
        <w:tc>
          <w:tcPr>
            <w:tcW w:w="1025" w:type="dxa"/>
          </w:tcPr>
          <w:p>
            <w:pPr>
              <w:pStyle w:val="TableParagraph"/>
              <w:rPr>
                <w:rFonts w:ascii="Times New Roman"/>
                <w:sz w:val="10"/>
              </w:rPr>
            </w:pPr>
          </w:p>
        </w:tc>
        <w:tc>
          <w:tcPr>
            <w:tcW w:w="1175" w:type="dxa"/>
          </w:tcPr>
          <w:p>
            <w:pPr>
              <w:pStyle w:val="TableParagraph"/>
              <w:rPr>
                <w:rFonts w:ascii="Times New Roman"/>
                <w:sz w:val="10"/>
              </w:rPr>
            </w:pPr>
          </w:p>
        </w:tc>
      </w:tr>
      <w:tr>
        <w:trPr>
          <w:trHeight w:val="177" w:hRule="atLeast"/>
        </w:trPr>
        <w:tc>
          <w:tcPr>
            <w:tcW w:w="2587" w:type="dxa"/>
          </w:tcPr>
          <w:p>
            <w:pPr>
              <w:pStyle w:val="TableParagraph"/>
              <w:spacing w:line="152" w:lineRule="exact" w:before="6"/>
              <w:ind w:left="186"/>
              <w:rPr>
                <w:sz w:val="14"/>
              </w:rPr>
            </w:pPr>
            <w:r>
              <w:rPr>
                <w:sz w:val="14"/>
              </w:rPr>
              <w:t>Certificated Salaries</w:t>
            </w:r>
          </w:p>
        </w:tc>
        <w:tc>
          <w:tcPr>
            <w:tcW w:w="752" w:type="dxa"/>
          </w:tcPr>
          <w:p>
            <w:pPr>
              <w:pStyle w:val="TableParagraph"/>
              <w:spacing w:line="131" w:lineRule="exact" w:before="27"/>
              <w:ind w:left="57"/>
              <w:rPr>
                <w:sz w:val="12"/>
              </w:rPr>
            </w:pPr>
            <w:r>
              <w:rPr>
                <w:w w:val="105"/>
                <w:sz w:val="12"/>
              </w:rPr>
              <w:t>1000-1999</w:t>
            </w:r>
          </w:p>
        </w:tc>
        <w:tc>
          <w:tcPr>
            <w:tcW w:w="1173" w:type="dxa"/>
            <w:shd w:val="clear" w:color="auto" w:fill="BFBFBF"/>
          </w:tcPr>
          <w:p>
            <w:pPr>
              <w:pStyle w:val="TableParagraph"/>
              <w:rPr>
                <w:rFonts w:ascii="Times New Roman"/>
                <w:sz w:val="10"/>
              </w:rPr>
            </w:pPr>
          </w:p>
        </w:tc>
        <w:tc>
          <w:tcPr>
            <w:tcW w:w="1173" w:type="dxa"/>
          </w:tcPr>
          <w:p>
            <w:pPr>
              <w:pStyle w:val="TableParagraph"/>
              <w:spacing w:line="131" w:lineRule="exact" w:before="27"/>
              <w:ind w:right="25"/>
              <w:jc w:val="right"/>
              <w:rPr>
                <w:sz w:val="12"/>
              </w:rPr>
            </w:pPr>
            <w:r>
              <w:rPr>
                <w:w w:val="105"/>
                <w:sz w:val="12"/>
              </w:rPr>
              <w:t>10,425.00</w:t>
            </w:r>
          </w:p>
        </w:tc>
        <w:tc>
          <w:tcPr>
            <w:tcW w:w="1272" w:type="dxa"/>
          </w:tcPr>
          <w:p>
            <w:pPr>
              <w:pStyle w:val="TableParagraph"/>
              <w:spacing w:line="131" w:lineRule="exact" w:before="27"/>
              <w:ind w:right="123"/>
              <w:jc w:val="right"/>
              <w:rPr>
                <w:sz w:val="12"/>
              </w:rPr>
            </w:pPr>
            <w:r>
              <w:rPr>
                <w:w w:val="105"/>
                <w:sz w:val="12"/>
              </w:rPr>
              <w:t>52,171.00</w:t>
            </w:r>
          </w:p>
        </w:tc>
        <w:tc>
          <w:tcPr>
            <w:tcW w:w="1210" w:type="dxa"/>
          </w:tcPr>
          <w:p>
            <w:pPr>
              <w:pStyle w:val="TableParagraph"/>
              <w:spacing w:line="131" w:lineRule="exact" w:before="27"/>
              <w:ind w:right="159"/>
              <w:jc w:val="right"/>
              <w:rPr>
                <w:sz w:val="12"/>
              </w:rPr>
            </w:pPr>
            <w:r>
              <w:rPr>
                <w:w w:val="105"/>
                <w:sz w:val="12"/>
              </w:rPr>
              <w:t>51,761.00</w:t>
            </w:r>
          </w:p>
        </w:tc>
        <w:tc>
          <w:tcPr>
            <w:tcW w:w="1145" w:type="dxa"/>
          </w:tcPr>
          <w:p>
            <w:pPr>
              <w:pStyle w:val="TableParagraph"/>
              <w:spacing w:line="131" w:lineRule="exact" w:before="27"/>
              <w:ind w:right="131"/>
              <w:jc w:val="right"/>
              <w:rPr>
                <w:sz w:val="12"/>
              </w:rPr>
            </w:pPr>
            <w:r>
              <w:rPr>
                <w:w w:val="105"/>
                <w:sz w:val="12"/>
              </w:rPr>
              <w:t>51,166.00</w:t>
            </w:r>
          </w:p>
        </w:tc>
        <w:tc>
          <w:tcPr>
            <w:tcW w:w="1064" w:type="dxa"/>
          </w:tcPr>
          <w:p>
            <w:pPr>
              <w:pStyle w:val="TableParagraph"/>
              <w:spacing w:line="131" w:lineRule="exact" w:before="27"/>
              <w:ind w:right="21"/>
              <w:jc w:val="right"/>
              <w:rPr>
                <w:sz w:val="12"/>
              </w:rPr>
            </w:pPr>
            <w:r>
              <w:rPr>
                <w:w w:val="105"/>
                <w:sz w:val="12"/>
              </w:rPr>
              <w:t>52,900.00</w:t>
            </w:r>
          </w:p>
        </w:tc>
        <w:tc>
          <w:tcPr>
            <w:tcW w:w="1320" w:type="dxa"/>
          </w:tcPr>
          <w:p>
            <w:pPr>
              <w:pStyle w:val="TableParagraph"/>
              <w:spacing w:line="131" w:lineRule="exact" w:before="27"/>
              <w:ind w:right="168"/>
              <w:jc w:val="right"/>
              <w:rPr>
                <w:sz w:val="12"/>
              </w:rPr>
            </w:pPr>
            <w:r>
              <w:rPr>
                <w:w w:val="105"/>
                <w:sz w:val="12"/>
              </w:rPr>
              <w:t>50,607.00</w:t>
            </w:r>
          </w:p>
        </w:tc>
        <w:tc>
          <w:tcPr>
            <w:tcW w:w="1025" w:type="dxa"/>
          </w:tcPr>
          <w:p>
            <w:pPr>
              <w:pStyle w:val="TableParagraph"/>
              <w:spacing w:line="131" w:lineRule="exact" w:before="27"/>
              <w:ind w:right="19"/>
              <w:jc w:val="right"/>
              <w:rPr>
                <w:sz w:val="12"/>
              </w:rPr>
            </w:pPr>
            <w:r>
              <w:rPr>
                <w:w w:val="105"/>
                <w:sz w:val="12"/>
              </w:rPr>
              <w:t>51,108.00</w:t>
            </w:r>
          </w:p>
        </w:tc>
        <w:tc>
          <w:tcPr>
            <w:tcW w:w="1175" w:type="dxa"/>
          </w:tcPr>
          <w:p>
            <w:pPr>
              <w:pStyle w:val="TableParagraph"/>
              <w:spacing w:line="131" w:lineRule="exact" w:before="27"/>
              <w:ind w:right="20"/>
              <w:jc w:val="right"/>
              <w:rPr>
                <w:sz w:val="12"/>
              </w:rPr>
            </w:pPr>
            <w:r>
              <w:rPr>
                <w:w w:val="105"/>
                <w:sz w:val="12"/>
              </w:rPr>
              <w:t>49,238.00</w:t>
            </w:r>
          </w:p>
        </w:tc>
      </w:tr>
      <w:tr>
        <w:trPr>
          <w:trHeight w:val="177" w:hRule="atLeast"/>
        </w:trPr>
        <w:tc>
          <w:tcPr>
            <w:tcW w:w="2587" w:type="dxa"/>
          </w:tcPr>
          <w:p>
            <w:pPr>
              <w:pStyle w:val="TableParagraph"/>
              <w:spacing w:line="152" w:lineRule="exact" w:before="6"/>
              <w:ind w:left="186"/>
              <w:rPr>
                <w:sz w:val="14"/>
              </w:rPr>
            </w:pPr>
            <w:r>
              <w:rPr>
                <w:sz w:val="14"/>
              </w:rPr>
              <w:t>Classified Salaries</w:t>
            </w:r>
          </w:p>
        </w:tc>
        <w:tc>
          <w:tcPr>
            <w:tcW w:w="752" w:type="dxa"/>
          </w:tcPr>
          <w:p>
            <w:pPr>
              <w:pStyle w:val="TableParagraph"/>
              <w:spacing w:line="131" w:lineRule="exact" w:before="27"/>
              <w:ind w:left="57"/>
              <w:rPr>
                <w:sz w:val="12"/>
              </w:rPr>
            </w:pPr>
            <w:r>
              <w:rPr>
                <w:w w:val="105"/>
                <w:sz w:val="12"/>
              </w:rPr>
              <w:t>2000-2999</w:t>
            </w:r>
          </w:p>
        </w:tc>
        <w:tc>
          <w:tcPr>
            <w:tcW w:w="1173" w:type="dxa"/>
            <w:shd w:val="clear" w:color="auto" w:fill="BFBFBF"/>
          </w:tcPr>
          <w:p>
            <w:pPr>
              <w:pStyle w:val="TableParagraph"/>
              <w:rPr>
                <w:rFonts w:ascii="Times New Roman"/>
                <w:sz w:val="10"/>
              </w:rPr>
            </w:pPr>
          </w:p>
        </w:tc>
        <w:tc>
          <w:tcPr>
            <w:tcW w:w="1173" w:type="dxa"/>
          </w:tcPr>
          <w:p>
            <w:pPr>
              <w:pStyle w:val="TableParagraph"/>
              <w:spacing w:line="131" w:lineRule="exact" w:before="27"/>
              <w:ind w:right="25"/>
              <w:jc w:val="right"/>
              <w:rPr>
                <w:sz w:val="12"/>
              </w:rPr>
            </w:pPr>
            <w:r>
              <w:rPr>
                <w:w w:val="105"/>
                <w:sz w:val="12"/>
              </w:rPr>
              <w:t>16,939.00</w:t>
            </w:r>
          </w:p>
        </w:tc>
        <w:tc>
          <w:tcPr>
            <w:tcW w:w="1272" w:type="dxa"/>
          </w:tcPr>
          <w:p>
            <w:pPr>
              <w:pStyle w:val="TableParagraph"/>
              <w:spacing w:line="131" w:lineRule="exact" w:before="27"/>
              <w:ind w:right="123"/>
              <w:jc w:val="right"/>
              <w:rPr>
                <w:sz w:val="12"/>
              </w:rPr>
            </w:pPr>
            <w:r>
              <w:rPr>
                <w:w w:val="105"/>
                <w:sz w:val="12"/>
              </w:rPr>
              <w:t>39,973.00</w:t>
            </w:r>
          </w:p>
        </w:tc>
        <w:tc>
          <w:tcPr>
            <w:tcW w:w="1210" w:type="dxa"/>
          </w:tcPr>
          <w:p>
            <w:pPr>
              <w:pStyle w:val="TableParagraph"/>
              <w:spacing w:line="131" w:lineRule="exact" w:before="27"/>
              <w:ind w:right="159"/>
              <w:jc w:val="right"/>
              <w:rPr>
                <w:sz w:val="12"/>
              </w:rPr>
            </w:pPr>
            <w:r>
              <w:rPr>
                <w:w w:val="105"/>
                <w:sz w:val="12"/>
              </w:rPr>
              <w:t>40,927.00</w:t>
            </w:r>
          </w:p>
        </w:tc>
        <w:tc>
          <w:tcPr>
            <w:tcW w:w="1145" w:type="dxa"/>
          </w:tcPr>
          <w:p>
            <w:pPr>
              <w:pStyle w:val="TableParagraph"/>
              <w:spacing w:line="131" w:lineRule="exact" w:before="27"/>
              <w:ind w:right="131"/>
              <w:jc w:val="right"/>
              <w:rPr>
                <w:sz w:val="12"/>
              </w:rPr>
            </w:pPr>
            <w:r>
              <w:rPr>
                <w:w w:val="105"/>
                <w:sz w:val="12"/>
              </w:rPr>
              <w:t>44,848.00</w:t>
            </w:r>
          </w:p>
        </w:tc>
        <w:tc>
          <w:tcPr>
            <w:tcW w:w="1064" w:type="dxa"/>
          </w:tcPr>
          <w:p>
            <w:pPr>
              <w:pStyle w:val="TableParagraph"/>
              <w:spacing w:line="131" w:lineRule="exact" w:before="27"/>
              <w:ind w:right="21"/>
              <w:jc w:val="right"/>
              <w:rPr>
                <w:sz w:val="12"/>
              </w:rPr>
            </w:pPr>
            <w:r>
              <w:rPr>
                <w:w w:val="105"/>
                <w:sz w:val="12"/>
              </w:rPr>
              <w:t>42,014.00</w:t>
            </w:r>
          </w:p>
        </w:tc>
        <w:tc>
          <w:tcPr>
            <w:tcW w:w="1320" w:type="dxa"/>
          </w:tcPr>
          <w:p>
            <w:pPr>
              <w:pStyle w:val="TableParagraph"/>
              <w:spacing w:line="131" w:lineRule="exact" w:before="27"/>
              <w:ind w:right="168"/>
              <w:jc w:val="right"/>
              <w:rPr>
                <w:sz w:val="12"/>
              </w:rPr>
            </w:pPr>
            <w:r>
              <w:rPr>
                <w:w w:val="105"/>
                <w:sz w:val="12"/>
              </w:rPr>
              <w:t>40,578.00</w:t>
            </w:r>
          </w:p>
        </w:tc>
        <w:tc>
          <w:tcPr>
            <w:tcW w:w="1025" w:type="dxa"/>
          </w:tcPr>
          <w:p>
            <w:pPr>
              <w:pStyle w:val="TableParagraph"/>
              <w:spacing w:line="131" w:lineRule="exact" w:before="27"/>
              <w:ind w:right="19"/>
              <w:jc w:val="right"/>
              <w:rPr>
                <w:sz w:val="12"/>
              </w:rPr>
            </w:pPr>
            <w:r>
              <w:rPr>
                <w:w w:val="105"/>
                <w:sz w:val="12"/>
              </w:rPr>
              <w:t>39,491.00</w:t>
            </w:r>
          </w:p>
        </w:tc>
        <w:tc>
          <w:tcPr>
            <w:tcW w:w="1175" w:type="dxa"/>
          </w:tcPr>
          <w:p>
            <w:pPr>
              <w:pStyle w:val="TableParagraph"/>
              <w:spacing w:line="131" w:lineRule="exact" w:before="27"/>
              <w:ind w:right="20"/>
              <w:jc w:val="right"/>
              <w:rPr>
                <w:sz w:val="12"/>
              </w:rPr>
            </w:pPr>
            <w:r>
              <w:rPr>
                <w:w w:val="105"/>
                <w:sz w:val="12"/>
              </w:rPr>
              <w:t>39,964.00</w:t>
            </w:r>
          </w:p>
        </w:tc>
      </w:tr>
      <w:tr>
        <w:trPr>
          <w:trHeight w:val="177" w:hRule="atLeast"/>
        </w:trPr>
        <w:tc>
          <w:tcPr>
            <w:tcW w:w="2587" w:type="dxa"/>
          </w:tcPr>
          <w:p>
            <w:pPr>
              <w:pStyle w:val="TableParagraph"/>
              <w:spacing w:line="152" w:lineRule="exact" w:before="6"/>
              <w:ind w:left="186"/>
              <w:rPr>
                <w:sz w:val="14"/>
              </w:rPr>
            </w:pPr>
            <w:r>
              <w:rPr>
                <w:sz w:val="14"/>
              </w:rPr>
              <w:t>Employee Benefits</w:t>
            </w:r>
          </w:p>
        </w:tc>
        <w:tc>
          <w:tcPr>
            <w:tcW w:w="752" w:type="dxa"/>
          </w:tcPr>
          <w:p>
            <w:pPr>
              <w:pStyle w:val="TableParagraph"/>
              <w:spacing w:line="131" w:lineRule="exact" w:before="27"/>
              <w:ind w:left="57"/>
              <w:rPr>
                <w:sz w:val="12"/>
              </w:rPr>
            </w:pPr>
            <w:r>
              <w:rPr>
                <w:w w:val="105"/>
                <w:sz w:val="12"/>
              </w:rPr>
              <w:t>3000-3999</w:t>
            </w:r>
          </w:p>
        </w:tc>
        <w:tc>
          <w:tcPr>
            <w:tcW w:w="1173" w:type="dxa"/>
            <w:shd w:val="clear" w:color="auto" w:fill="BFBFBF"/>
          </w:tcPr>
          <w:p>
            <w:pPr>
              <w:pStyle w:val="TableParagraph"/>
              <w:rPr>
                <w:rFonts w:ascii="Times New Roman"/>
                <w:sz w:val="10"/>
              </w:rPr>
            </w:pPr>
          </w:p>
        </w:tc>
        <w:tc>
          <w:tcPr>
            <w:tcW w:w="1173" w:type="dxa"/>
          </w:tcPr>
          <w:p>
            <w:pPr>
              <w:pStyle w:val="TableParagraph"/>
              <w:spacing w:line="131" w:lineRule="exact" w:before="27"/>
              <w:ind w:right="25"/>
              <w:jc w:val="right"/>
              <w:rPr>
                <w:sz w:val="12"/>
              </w:rPr>
            </w:pPr>
            <w:r>
              <w:rPr>
                <w:w w:val="105"/>
                <w:sz w:val="12"/>
              </w:rPr>
              <w:t>9,527.00</w:t>
            </w:r>
          </w:p>
        </w:tc>
        <w:tc>
          <w:tcPr>
            <w:tcW w:w="1272" w:type="dxa"/>
          </w:tcPr>
          <w:p>
            <w:pPr>
              <w:pStyle w:val="TableParagraph"/>
              <w:spacing w:line="131" w:lineRule="exact" w:before="27"/>
              <w:ind w:right="123"/>
              <w:jc w:val="right"/>
              <w:rPr>
                <w:sz w:val="12"/>
              </w:rPr>
            </w:pPr>
            <w:r>
              <w:rPr>
                <w:w w:val="105"/>
                <w:sz w:val="12"/>
              </w:rPr>
              <w:t>29,318.00</w:t>
            </w:r>
          </w:p>
        </w:tc>
        <w:tc>
          <w:tcPr>
            <w:tcW w:w="1210" w:type="dxa"/>
          </w:tcPr>
          <w:p>
            <w:pPr>
              <w:pStyle w:val="TableParagraph"/>
              <w:spacing w:line="131" w:lineRule="exact" w:before="27"/>
              <w:ind w:right="159"/>
              <w:jc w:val="right"/>
              <w:rPr>
                <w:sz w:val="12"/>
              </w:rPr>
            </w:pPr>
            <w:r>
              <w:rPr>
                <w:w w:val="105"/>
                <w:sz w:val="12"/>
              </w:rPr>
              <w:t>29,753.00</w:t>
            </w:r>
          </w:p>
        </w:tc>
        <w:tc>
          <w:tcPr>
            <w:tcW w:w="1145" w:type="dxa"/>
          </w:tcPr>
          <w:p>
            <w:pPr>
              <w:pStyle w:val="TableParagraph"/>
              <w:spacing w:line="131" w:lineRule="exact" w:before="27"/>
              <w:ind w:right="131"/>
              <w:jc w:val="right"/>
              <w:rPr>
                <w:sz w:val="12"/>
              </w:rPr>
            </w:pPr>
            <w:r>
              <w:rPr>
                <w:w w:val="105"/>
                <w:sz w:val="12"/>
              </w:rPr>
              <w:t>29,927.00</w:t>
            </w:r>
          </w:p>
        </w:tc>
        <w:tc>
          <w:tcPr>
            <w:tcW w:w="1064" w:type="dxa"/>
          </w:tcPr>
          <w:p>
            <w:pPr>
              <w:pStyle w:val="TableParagraph"/>
              <w:spacing w:line="131" w:lineRule="exact" w:before="27"/>
              <w:ind w:right="21"/>
              <w:jc w:val="right"/>
              <w:rPr>
                <w:sz w:val="12"/>
              </w:rPr>
            </w:pPr>
            <w:r>
              <w:rPr>
                <w:w w:val="105"/>
                <w:sz w:val="12"/>
              </w:rPr>
              <w:t>30,264.00</w:t>
            </w:r>
          </w:p>
        </w:tc>
        <w:tc>
          <w:tcPr>
            <w:tcW w:w="1320" w:type="dxa"/>
          </w:tcPr>
          <w:p>
            <w:pPr>
              <w:pStyle w:val="TableParagraph"/>
              <w:spacing w:line="131" w:lineRule="exact" w:before="27"/>
              <w:ind w:right="168"/>
              <w:jc w:val="right"/>
              <w:rPr>
                <w:sz w:val="12"/>
              </w:rPr>
            </w:pPr>
            <w:r>
              <w:rPr>
                <w:w w:val="105"/>
                <w:sz w:val="12"/>
              </w:rPr>
              <w:t>29,663.00</w:t>
            </w:r>
          </w:p>
        </w:tc>
        <w:tc>
          <w:tcPr>
            <w:tcW w:w="1025" w:type="dxa"/>
          </w:tcPr>
          <w:p>
            <w:pPr>
              <w:pStyle w:val="TableParagraph"/>
              <w:spacing w:line="131" w:lineRule="exact" w:before="27"/>
              <w:ind w:right="19"/>
              <w:jc w:val="right"/>
              <w:rPr>
                <w:sz w:val="12"/>
              </w:rPr>
            </w:pPr>
            <w:r>
              <w:rPr>
                <w:w w:val="105"/>
                <w:sz w:val="12"/>
              </w:rPr>
              <w:t>28,201.00</w:t>
            </w:r>
          </w:p>
        </w:tc>
        <w:tc>
          <w:tcPr>
            <w:tcW w:w="1175" w:type="dxa"/>
          </w:tcPr>
          <w:p>
            <w:pPr>
              <w:pStyle w:val="TableParagraph"/>
              <w:spacing w:line="131" w:lineRule="exact" w:before="27"/>
              <w:ind w:right="20"/>
              <w:jc w:val="right"/>
              <w:rPr>
                <w:sz w:val="12"/>
              </w:rPr>
            </w:pPr>
            <w:r>
              <w:rPr>
                <w:w w:val="105"/>
                <w:sz w:val="12"/>
              </w:rPr>
              <w:t>31,098.00</w:t>
            </w:r>
          </w:p>
        </w:tc>
      </w:tr>
      <w:tr>
        <w:trPr>
          <w:trHeight w:val="177" w:hRule="atLeast"/>
        </w:trPr>
        <w:tc>
          <w:tcPr>
            <w:tcW w:w="2587" w:type="dxa"/>
          </w:tcPr>
          <w:p>
            <w:pPr>
              <w:pStyle w:val="TableParagraph"/>
              <w:spacing w:line="152" w:lineRule="exact" w:before="6"/>
              <w:ind w:left="186"/>
              <w:rPr>
                <w:sz w:val="14"/>
              </w:rPr>
            </w:pPr>
            <w:r>
              <w:rPr>
                <w:sz w:val="14"/>
              </w:rPr>
              <w:t>Books and Supplies</w:t>
            </w:r>
          </w:p>
        </w:tc>
        <w:tc>
          <w:tcPr>
            <w:tcW w:w="752" w:type="dxa"/>
          </w:tcPr>
          <w:p>
            <w:pPr>
              <w:pStyle w:val="TableParagraph"/>
              <w:spacing w:line="131" w:lineRule="exact" w:before="27"/>
              <w:ind w:left="57"/>
              <w:rPr>
                <w:sz w:val="12"/>
              </w:rPr>
            </w:pPr>
            <w:r>
              <w:rPr>
                <w:w w:val="105"/>
                <w:sz w:val="12"/>
              </w:rPr>
              <w:t>4000-4999</w:t>
            </w:r>
          </w:p>
        </w:tc>
        <w:tc>
          <w:tcPr>
            <w:tcW w:w="1173" w:type="dxa"/>
            <w:shd w:val="clear" w:color="auto" w:fill="BFBFBF"/>
          </w:tcPr>
          <w:p>
            <w:pPr>
              <w:pStyle w:val="TableParagraph"/>
              <w:rPr>
                <w:rFonts w:ascii="Times New Roman"/>
                <w:sz w:val="10"/>
              </w:rPr>
            </w:pPr>
          </w:p>
        </w:tc>
        <w:tc>
          <w:tcPr>
            <w:tcW w:w="1173" w:type="dxa"/>
          </w:tcPr>
          <w:p>
            <w:pPr>
              <w:pStyle w:val="TableParagraph"/>
              <w:spacing w:line="131" w:lineRule="exact" w:before="27"/>
              <w:ind w:right="25"/>
              <w:jc w:val="right"/>
              <w:rPr>
                <w:sz w:val="12"/>
              </w:rPr>
            </w:pPr>
            <w:r>
              <w:rPr>
                <w:w w:val="105"/>
                <w:sz w:val="12"/>
              </w:rPr>
              <w:t>2,710.00</w:t>
            </w:r>
          </w:p>
        </w:tc>
        <w:tc>
          <w:tcPr>
            <w:tcW w:w="1272" w:type="dxa"/>
          </w:tcPr>
          <w:p>
            <w:pPr>
              <w:pStyle w:val="TableParagraph"/>
              <w:spacing w:line="131" w:lineRule="exact" w:before="27"/>
              <w:ind w:right="123"/>
              <w:jc w:val="right"/>
              <w:rPr>
                <w:sz w:val="12"/>
              </w:rPr>
            </w:pPr>
            <w:r>
              <w:rPr>
                <w:w w:val="105"/>
                <w:sz w:val="12"/>
              </w:rPr>
              <w:t>14,789.00</w:t>
            </w:r>
          </w:p>
        </w:tc>
        <w:tc>
          <w:tcPr>
            <w:tcW w:w="1210" w:type="dxa"/>
          </w:tcPr>
          <w:p>
            <w:pPr>
              <w:pStyle w:val="TableParagraph"/>
              <w:spacing w:line="131" w:lineRule="exact" w:before="27"/>
              <w:ind w:right="159"/>
              <w:jc w:val="right"/>
              <w:rPr>
                <w:sz w:val="12"/>
              </w:rPr>
            </w:pPr>
            <w:r>
              <w:rPr>
                <w:w w:val="105"/>
                <w:sz w:val="12"/>
              </w:rPr>
              <w:t>25,127.00</w:t>
            </w:r>
          </w:p>
        </w:tc>
        <w:tc>
          <w:tcPr>
            <w:tcW w:w="1145" w:type="dxa"/>
          </w:tcPr>
          <w:p>
            <w:pPr>
              <w:pStyle w:val="TableParagraph"/>
              <w:spacing w:line="131" w:lineRule="exact" w:before="27"/>
              <w:ind w:right="131"/>
              <w:jc w:val="right"/>
              <w:rPr>
                <w:sz w:val="12"/>
              </w:rPr>
            </w:pPr>
            <w:r>
              <w:rPr>
                <w:w w:val="105"/>
                <w:sz w:val="12"/>
              </w:rPr>
              <w:t>19,295.00</w:t>
            </w:r>
          </w:p>
        </w:tc>
        <w:tc>
          <w:tcPr>
            <w:tcW w:w="1064" w:type="dxa"/>
          </w:tcPr>
          <w:p>
            <w:pPr>
              <w:pStyle w:val="TableParagraph"/>
              <w:spacing w:line="131" w:lineRule="exact" w:before="27"/>
              <w:ind w:right="21"/>
              <w:jc w:val="right"/>
              <w:rPr>
                <w:sz w:val="12"/>
              </w:rPr>
            </w:pPr>
            <w:r>
              <w:rPr>
                <w:w w:val="105"/>
                <w:sz w:val="12"/>
              </w:rPr>
              <w:t>11,996.00</w:t>
            </w:r>
          </w:p>
        </w:tc>
        <w:tc>
          <w:tcPr>
            <w:tcW w:w="1320" w:type="dxa"/>
          </w:tcPr>
          <w:p>
            <w:pPr>
              <w:pStyle w:val="TableParagraph"/>
              <w:spacing w:line="131" w:lineRule="exact" w:before="27"/>
              <w:ind w:right="168"/>
              <w:jc w:val="right"/>
              <w:rPr>
                <w:sz w:val="12"/>
              </w:rPr>
            </w:pPr>
            <w:r>
              <w:rPr>
                <w:w w:val="105"/>
                <w:sz w:val="12"/>
              </w:rPr>
              <w:t>7,063.00</w:t>
            </w:r>
          </w:p>
        </w:tc>
        <w:tc>
          <w:tcPr>
            <w:tcW w:w="1025" w:type="dxa"/>
          </w:tcPr>
          <w:p>
            <w:pPr>
              <w:pStyle w:val="TableParagraph"/>
              <w:spacing w:line="131" w:lineRule="exact" w:before="27"/>
              <w:ind w:right="19"/>
              <w:jc w:val="right"/>
              <w:rPr>
                <w:sz w:val="12"/>
              </w:rPr>
            </w:pPr>
            <w:r>
              <w:rPr>
                <w:w w:val="105"/>
                <w:sz w:val="12"/>
              </w:rPr>
              <w:t>9,221.00</w:t>
            </w:r>
          </w:p>
        </w:tc>
        <w:tc>
          <w:tcPr>
            <w:tcW w:w="1175" w:type="dxa"/>
          </w:tcPr>
          <w:p>
            <w:pPr>
              <w:pStyle w:val="TableParagraph"/>
              <w:spacing w:line="131" w:lineRule="exact" w:before="27"/>
              <w:ind w:right="20"/>
              <w:jc w:val="right"/>
              <w:rPr>
                <w:sz w:val="12"/>
              </w:rPr>
            </w:pPr>
            <w:r>
              <w:rPr>
                <w:w w:val="105"/>
                <w:sz w:val="12"/>
              </w:rPr>
              <w:t>10,021.00</w:t>
            </w:r>
          </w:p>
        </w:tc>
      </w:tr>
      <w:tr>
        <w:trPr>
          <w:trHeight w:val="177" w:hRule="atLeast"/>
        </w:trPr>
        <w:tc>
          <w:tcPr>
            <w:tcW w:w="2587" w:type="dxa"/>
          </w:tcPr>
          <w:p>
            <w:pPr>
              <w:pStyle w:val="TableParagraph"/>
              <w:spacing w:line="152" w:lineRule="exact" w:before="6"/>
              <w:ind w:left="186"/>
              <w:rPr>
                <w:sz w:val="14"/>
              </w:rPr>
            </w:pPr>
            <w:r>
              <w:rPr>
                <w:sz w:val="14"/>
              </w:rPr>
              <w:t>Services</w:t>
            </w:r>
          </w:p>
        </w:tc>
        <w:tc>
          <w:tcPr>
            <w:tcW w:w="752" w:type="dxa"/>
          </w:tcPr>
          <w:p>
            <w:pPr>
              <w:pStyle w:val="TableParagraph"/>
              <w:spacing w:line="131" w:lineRule="exact" w:before="27"/>
              <w:ind w:left="57"/>
              <w:rPr>
                <w:sz w:val="12"/>
              </w:rPr>
            </w:pPr>
            <w:r>
              <w:rPr>
                <w:w w:val="105"/>
                <w:sz w:val="12"/>
              </w:rPr>
              <w:t>5000-5999</w:t>
            </w:r>
          </w:p>
        </w:tc>
        <w:tc>
          <w:tcPr>
            <w:tcW w:w="1173" w:type="dxa"/>
            <w:shd w:val="clear" w:color="auto" w:fill="BFBFBF"/>
          </w:tcPr>
          <w:p>
            <w:pPr>
              <w:pStyle w:val="TableParagraph"/>
              <w:rPr>
                <w:rFonts w:ascii="Times New Roman"/>
                <w:sz w:val="10"/>
              </w:rPr>
            </w:pPr>
          </w:p>
        </w:tc>
        <w:tc>
          <w:tcPr>
            <w:tcW w:w="1173" w:type="dxa"/>
          </w:tcPr>
          <w:p>
            <w:pPr>
              <w:pStyle w:val="TableParagraph"/>
              <w:spacing w:line="131" w:lineRule="exact" w:before="27"/>
              <w:ind w:right="25"/>
              <w:jc w:val="right"/>
              <w:rPr>
                <w:sz w:val="12"/>
              </w:rPr>
            </w:pPr>
            <w:r>
              <w:rPr>
                <w:w w:val="105"/>
                <w:sz w:val="12"/>
              </w:rPr>
              <w:t>32,096.00</w:t>
            </w:r>
          </w:p>
        </w:tc>
        <w:tc>
          <w:tcPr>
            <w:tcW w:w="1272" w:type="dxa"/>
          </w:tcPr>
          <w:p>
            <w:pPr>
              <w:pStyle w:val="TableParagraph"/>
              <w:spacing w:line="131" w:lineRule="exact" w:before="27"/>
              <w:ind w:right="123"/>
              <w:jc w:val="right"/>
              <w:rPr>
                <w:sz w:val="12"/>
              </w:rPr>
            </w:pPr>
            <w:r>
              <w:rPr>
                <w:w w:val="105"/>
                <w:sz w:val="12"/>
              </w:rPr>
              <w:t>54,287.00</w:t>
            </w:r>
          </w:p>
        </w:tc>
        <w:tc>
          <w:tcPr>
            <w:tcW w:w="1210" w:type="dxa"/>
          </w:tcPr>
          <w:p>
            <w:pPr>
              <w:pStyle w:val="TableParagraph"/>
              <w:spacing w:line="131" w:lineRule="exact" w:before="27"/>
              <w:ind w:right="159"/>
              <w:jc w:val="right"/>
              <w:rPr>
                <w:sz w:val="12"/>
              </w:rPr>
            </w:pPr>
            <w:r>
              <w:rPr>
                <w:w w:val="105"/>
                <w:sz w:val="12"/>
              </w:rPr>
              <w:t>19,972.00</w:t>
            </w:r>
          </w:p>
        </w:tc>
        <w:tc>
          <w:tcPr>
            <w:tcW w:w="1145" w:type="dxa"/>
          </w:tcPr>
          <w:p>
            <w:pPr>
              <w:pStyle w:val="TableParagraph"/>
              <w:spacing w:line="131" w:lineRule="exact" w:before="27"/>
              <w:ind w:right="131"/>
              <w:jc w:val="right"/>
              <w:rPr>
                <w:sz w:val="12"/>
              </w:rPr>
            </w:pPr>
            <w:r>
              <w:rPr>
                <w:w w:val="105"/>
                <w:sz w:val="12"/>
              </w:rPr>
              <w:t>67,492.00</w:t>
            </w:r>
          </w:p>
        </w:tc>
        <w:tc>
          <w:tcPr>
            <w:tcW w:w="1064" w:type="dxa"/>
          </w:tcPr>
          <w:p>
            <w:pPr>
              <w:pStyle w:val="TableParagraph"/>
              <w:spacing w:line="131" w:lineRule="exact" w:before="27"/>
              <w:ind w:right="21"/>
              <w:jc w:val="right"/>
              <w:rPr>
                <w:sz w:val="12"/>
              </w:rPr>
            </w:pPr>
            <w:r>
              <w:rPr>
                <w:w w:val="105"/>
                <w:sz w:val="12"/>
              </w:rPr>
              <w:t>20,305.00</w:t>
            </w:r>
          </w:p>
        </w:tc>
        <w:tc>
          <w:tcPr>
            <w:tcW w:w="1320" w:type="dxa"/>
          </w:tcPr>
          <w:p>
            <w:pPr>
              <w:pStyle w:val="TableParagraph"/>
              <w:spacing w:line="131" w:lineRule="exact" w:before="27"/>
              <w:ind w:right="168"/>
              <w:jc w:val="right"/>
              <w:rPr>
                <w:sz w:val="12"/>
              </w:rPr>
            </w:pPr>
            <w:r>
              <w:rPr>
                <w:w w:val="105"/>
                <w:sz w:val="12"/>
              </w:rPr>
              <w:t>16,881.00</w:t>
            </w:r>
          </w:p>
        </w:tc>
        <w:tc>
          <w:tcPr>
            <w:tcW w:w="1025" w:type="dxa"/>
          </w:tcPr>
          <w:p>
            <w:pPr>
              <w:pStyle w:val="TableParagraph"/>
              <w:spacing w:line="131" w:lineRule="exact" w:before="27"/>
              <w:ind w:right="19"/>
              <w:jc w:val="right"/>
              <w:rPr>
                <w:sz w:val="12"/>
              </w:rPr>
            </w:pPr>
            <w:r>
              <w:rPr>
                <w:w w:val="105"/>
                <w:sz w:val="12"/>
              </w:rPr>
              <w:t>27,044.00</w:t>
            </w:r>
          </w:p>
        </w:tc>
        <w:tc>
          <w:tcPr>
            <w:tcW w:w="1175" w:type="dxa"/>
          </w:tcPr>
          <w:p>
            <w:pPr>
              <w:pStyle w:val="TableParagraph"/>
              <w:spacing w:line="131" w:lineRule="exact" w:before="27"/>
              <w:ind w:right="20"/>
              <w:jc w:val="right"/>
              <w:rPr>
                <w:sz w:val="12"/>
              </w:rPr>
            </w:pPr>
            <w:r>
              <w:rPr>
                <w:w w:val="105"/>
                <w:sz w:val="12"/>
              </w:rPr>
              <w:t>14,579.00</w:t>
            </w:r>
          </w:p>
        </w:tc>
      </w:tr>
      <w:tr>
        <w:trPr>
          <w:trHeight w:val="177" w:hRule="atLeast"/>
        </w:trPr>
        <w:tc>
          <w:tcPr>
            <w:tcW w:w="2587" w:type="dxa"/>
          </w:tcPr>
          <w:p>
            <w:pPr>
              <w:pStyle w:val="TableParagraph"/>
              <w:spacing w:line="152" w:lineRule="exact" w:before="6"/>
              <w:ind w:left="186"/>
              <w:rPr>
                <w:sz w:val="14"/>
              </w:rPr>
            </w:pPr>
            <w:r>
              <w:rPr>
                <w:sz w:val="14"/>
              </w:rPr>
              <w:t>Capital Outlay</w:t>
            </w:r>
          </w:p>
        </w:tc>
        <w:tc>
          <w:tcPr>
            <w:tcW w:w="752" w:type="dxa"/>
          </w:tcPr>
          <w:p>
            <w:pPr>
              <w:pStyle w:val="TableParagraph"/>
              <w:spacing w:line="131" w:lineRule="exact" w:before="27"/>
              <w:ind w:left="57"/>
              <w:rPr>
                <w:sz w:val="12"/>
              </w:rPr>
            </w:pPr>
            <w:r>
              <w:rPr>
                <w:w w:val="105"/>
                <w:sz w:val="12"/>
              </w:rPr>
              <w:t>6000-6599</w:t>
            </w:r>
          </w:p>
        </w:tc>
        <w:tc>
          <w:tcPr>
            <w:tcW w:w="1173" w:type="dxa"/>
            <w:shd w:val="clear" w:color="auto" w:fill="BFBFBF"/>
          </w:tcPr>
          <w:p>
            <w:pPr>
              <w:pStyle w:val="TableParagraph"/>
              <w:rPr>
                <w:rFonts w:ascii="Times New Roman"/>
                <w:sz w:val="10"/>
              </w:rPr>
            </w:pPr>
          </w:p>
        </w:tc>
        <w:tc>
          <w:tcPr>
            <w:tcW w:w="1173" w:type="dxa"/>
          </w:tcPr>
          <w:p>
            <w:pPr>
              <w:pStyle w:val="TableParagraph"/>
              <w:spacing w:line="131" w:lineRule="exact" w:before="27"/>
              <w:ind w:right="25"/>
              <w:jc w:val="right"/>
              <w:rPr>
                <w:sz w:val="12"/>
              </w:rPr>
            </w:pPr>
            <w:r>
              <w:rPr>
                <w:w w:val="105"/>
                <w:sz w:val="12"/>
              </w:rPr>
              <w:t>5,643.00</w:t>
            </w:r>
          </w:p>
        </w:tc>
        <w:tc>
          <w:tcPr>
            <w:tcW w:w="1272" w:type="dxa"/>
          </w:tcPr>
          <w:p>
            <w:pPr>
              <w:pStyle w:val="TableParagraph"/>
              <w:spacing w:line="131" w:lineRule="exact" w:before="27"/>
              <w:ind w:right="123"/>
              <w:jc w:val="right"/>
              <w:rPr>
                <w:sz w:val="12"/>
              </w:rPr>
            </w:pPr>
            <w:r>
              <w:rPr>
                <w:w w:val="105"/>
                <w:sz w:val="12"/>
              </w:rPr>
              <w:t>27,815.00</w:t>
            </w:r>
          </w:p>
        </w:tc>
        <w:tc>
          <w:tcPr>
            <w:tcW w:w="1210" w:type="dxa"/>
          </w:tcPr>
          <w:p>
            <w:pPr>
              <w:pStyle w:val="TableParagraph"/>
              <w:spacing w:line="131" w:lineRule="exact" w:before="27"/>
              <w:ind w:right="159"/>
              <w:jc w:val="right"/>
              <w:rPr>
                <w:sz w:val="12"/>
              </w:rPr>
            </w:pPr>
            <w:r>
              <w:rPr>
                <w:w w:val="105"/>
                <w:sz w:val="12"/>
              </w:rPr>
              <w:t>23,381.00</w:t>
            </w:r>
          </w:p>
        </w:tc>
        <w:tc>
          <w:tcPr>
            <w:tcW w:w="1145" w:type="dxa"/>
          </w:tcPr>
          <w:p>
            <w:pPr>
              <w:pStyle w:val="TableParagraph"/>
              <w:spacing w:line="131" w:lineRule="exact" w:before="27"/>
              <w:ind w:right="131"/>
              <w:jc w:val="right"/>
              <w:rPr>
                <w:sz w:val="12"/>
              </w:rPr>
            </w:pPr>
            <w:r>
              <w:rPr>
                <w:w w:val="105"/>
                <w:sz w:val="12"/>
              </w:rPr>
              <w:t>15,645.00</w:t>
            </w:r>
          </w:p>
        </w:tc>
        <w:tc>
          <w:tcPr>
            <w:tcW w:w="1064" w:type="dxa"/>
          </w:tcPr>
          <w:p>
            <w:pPr>
              <w:pStyle w:val="TableParagraph"/>
              <w:spacing w:line="131" w:lineRule="exact" w:before="27"/>
              <w:ind w:right="22"/>
              <w:jc w:val="right"/>
              <w:rPr>
                <w:sz w:val="12"/>
              </w:rPr>
            </w:pPr>
            <w:r>
              <w:rPr>
                <w:w w:val="105"/>
                <w:sz w:val="12"/>
              </w:rPr>
              <w:t>5,271.00</w:t>
            </w:r>
          </w:p>
        </w:tc>
        <w:tc>
          <w:tcPr>
            <w:tcW w:w="1320" w:type="dxa"/>
          </w:tcPr>
          <w:p>
            <w:pPr>
              <w:pStyle w:val="TableParagraph"/>
              <w:spacing w:line="131" w:lineRule="exact" w:before="27"/>
              <w:ind w:right="168"/>
              <w:jc w:val="right"/>
              <w:rPr>
                <w:sz w:val="12"/>
              </w:rPr>
            </w:pPr>
            <w:r>
              <w:rPr>
                <w:w w:val="105"/>
                <w:sz w:val="12"/>
              </w:rPr>
              <w:t>18,527.00</w:t>
            </w:r>
          </w:p>
        </w:tc>
        <w:tc>
          <w:tcPr>
            <w:tcW w:w="1025" w:type="dxa"/>
          </w:tcPr>
          <w:p>
            <w:pPr>
              <w:pStyle w:val="TableParagraph"/>
              <w:spacing w:line="131" w:lineRule="exact" w:before="27"/>
              <w:ind w:right="19"/>
              <w:jc w:val="right"/>
              <w:rPr>
                <w:sz w:val="12"/>
              </w:rPr>
            </w:pPr>
            <w:r>
              <w:rPr>
                <w:w w:val="105"/>
                <w:sz w:val="12"/>
              </w:rPr>
              <w:t>17,762.00</w:t>
            </w:r>
          </w:p>
        </w:tc>
        <w:tc>
          <w:tcPr>
            <w:tcW w:w="1175" w:type="dxa"/>
          </w:tcPr>
          <w:p>
            <w:pPr>
              <w:pStyle w:val="TableParagraph"/>
              <w:spacing w:line="131" w:lineRule="exact" w:before="27"/>
              <w:ind w:right="20"/>
              <w:jc w:val="right"/>
              <w:rPr>
                <w:sz w:val="12"/>
              </w:rPr>
            </w:pPr>
            <w:r>
              <w:rPr>
                <w:w w:val="105"/>
                <w:sz w:val="12"/>
              </w:rPr>
              <w:t>0.00</w:t>
            </w:r>
          </w:p>
        </w:tc>
      </w:tr>
      <w:tr>
        <w:trPr>
          <w:trHeight w:val="177" w:hRule="atLeast"/>
        </w:trPr>
        <w:tc>
          <w:tcPr>
            <w:tcW w:w="2587" w:type="dxa"/>
          </w:tcPr>
          <w:p>
            <w:pPr>
              <w:pStyle w:val="TableParagraph"/>
              <w:spacing w:line="152" w:lineRule="exact" w:before="6"/>
              <w:ind w:left="186"/>
              <w:rPr>
                <w:sz w:val="14"/>
              </w:rPr>
            </w:pPr>
            <w:r>
              <w:rPr>
                <w:sz w:val="14"/>
              </w:rPr>
              <w:t>Other Outgo</w:t>
            </w:r>
          </w:p>
        </w:tc>
        <w:tc>
          <w:tcPr>
            <w:tcW w:w="752" w:type="dxa"/>
          </w:tcPr>
          <w:p>
            <w:pPr>
              <w:pStyle w:val="TableParagraph"/>
              <w:spacing w:line="131" w:lineRule="exact" w:before="27"/>
              <w:ind w:left="57"/>
              <w:rPr>
                <w:sz w:val="12"/>
              </w:rPr>
            </w:pPr>
            <w:r>
              <w:rPr>
                <w:w w:val="105"/>
                <w:sz w:val="12"/>
              </w:rPr>
              <w:t>7000-7499</w:t>
            </w:r>
          </w:p>
        </w:tc>
        <w:tc>
          <w:tcPr>
            <w:tcW w:w="1173" w:type="dxa"/>
            <w:shd w:val="clear" w:color="auto" w:fill="BFBFBF"/>
          </w:tcPr>
          <w:p>
            <w:pPr>
              <w:pStyle w:val="TableParagraph"/>
              <w:rPr>
                <w:rFonts w:ascii="Times New Roman"/>
                <w:sz w:val="10"/>
              </w:rPr>
            </w:pPr>
          </w:p>
        </w:tc>
        <w:tc>
          <w:tcPr>
            <w:tcW w:w="1173" w:type="dxa"/>
          </w:tcPr>
          <w:p>
            <w:pPr>
              <w:pStyle w:val="TableParagraph"/>
              <w:spacing w:line="131" w:lineRule="exact" w:before="27"/>
              <w:ind w:right="25"/>
              <w:jc w:val="right"/>
              <w:rPr>
                <w:sz w:val="12"/>
              </w:rPr>
            </w:pPr>
            <w:r>
              <w:rPr>
                <w:w w:val="105"/>
                <w:sz w:val="12"/>
              </w:rPr>
              <w:t>0.00</w:t>
            </w:r>
          </w:p>
        </w:tc>
        <w:tc>
          <w:tcPr>
            <w:tcW w:w="1272" w:type="dxa"/>
          </w:tcPr>
          <w:p>
            <w:pPr>
              <w:pStyle w:val="TableParagraph"/>
              <w:spacing w:line="131" w:lineRule="exact" w:before="27"/>
              <w:ind w:right="123"/>
              <w:jc w:val="right"/>
              <w:rPr>
                <w:sz w:val="12"/>
              </w:rPr>
            </w:pPr>
            <w:r>
              <w:rPr>
                <w:w w:val="105"/>
                <w:sz w:val="12"/>
              </w:rPr>
              <w:t>0.00</w:t>
            </w:r>
          </w:p>
        </w:tc>
        <w:tc>
          <w:tcPr>
            <w:tcW w:w="1210" w:type="dxa"/>
          </w:tcPr>
          <w:p>
            <w:pPr>
              <w:pStyle w:val="TableParagraph"/>
              <w:spacing w:line="131" w:lineRule="exact" w:before="27"/>
              <w:ind w:right="159"/>
              <w:jc w:val="right"/>
              <w:rPr>
                <w:sz w:val="12"/>
              </w:rPr>
            </w:pPr>
            <w:r>
              <w:rPr>
                <w:w w:val="105"/>
                <w:sz w:val="12"/>
              </w:rPr>
              <w:t>0.00</w:t>
            </w:r>
          </w:p>
        </w:tc>
        <w:tc>
          <w:tcPr>
            <w:tcW w:w="1145" w:type="dxa"/>
          </w:tcPr>
          <w:p>
            <w:pPr>
              <w:pStyle w:val="TableParagraph"/>
              <w:spacing w:line="131" w:lineRule="exact" w:before="27"/>
              <w:ind w:right="131"/>
              <w:jc w:val="right"/>
              <w:rPr>
                <w:sz w:val="12"/>
              </w:rPr>
            </w:pPr>
            <w:r>
              <w:rPr>
                <w:w w:val="105"/>
                <w:sz w:val="12"/>
              </w:rPr>
              <w:t>0.00</w:t>
            </w:r>
          </w:p>
        </w:tc>
        <w:tc>
          <w:tcPr>
            <w:tcW w:w="1064" w:type="dxa"/>
          </w:tcPr>
          <w:p>
            <w:pPr>
              <w:pStyle w:val="TableParagraph"/>
              <w:spacing w:line="131" w:lineRule="exact" w:before="27"/>
              <w:ind w:right="21"/>
              <w:jc w:val="right"/>
              <w:rPr>
                <w:sz w:val="12"/>
              </w:rPr>
            </w:pPr>
            <w:r>
              <w:rPr>
                <w:w w:val="105"/>
                <w:sz w:val="12"/>
              </w:rPr>
              <w:t>0.00</w:t>
            </w:r>
          </w:p>
        </w:tc>
        <w:tc>
          <w:tcPr>
            <w:tcW w:w="1320" w:type="dxa"/>
          </w:tcPr>
          <w:p>
            <w:pPr>
              <w:pStyle w:val="TableParagraph"/>
              <w:spacing w:line="131" w:lineRule="exact" w:before="27"/>
              <w:ind w:right="168"/>
              <w:jc w:val="right"/>
              <w:rPr>
                <w:sz w:val="12"/>
              </w:rPr>
            </w:pPr>
            <w:r>
              <w:rPr>
                <w:w w:val="105"/>
                <w:sz w:val="12"/>
              </w:rPr>
              <w:t>0.00</w:t>
            </w:r>
          </w:p>
        </w:tc>
        <w:tc>
          <w:tcPr>
            <w:tcW w:w="1025" w:type="dxa"/>
          </w:tcPr>
          <w:p>
            <w:pPr>
              <w:pStyle w:val="TableParagraph"/>
              <w:spacing w:line="131" w:lineRule="exact" w:before="27"/>
              <w:ind w:right="19"/>
              <w:jc w:val="right"/>
              <w:rPr>
                <w:sz w:val="12"/>
              </w:rPr>
            </w:pPr>
            <w:r>
              <w:rPr>
                <w:w w:val="105"/>
                <w:sz w:val="12"/>
              </w:rPr>
              <w:t>0.00</w:t>
            </w:r>
          </w:p>
        </w:tc>
        <w:tc>
          <w:tcPr>
            <w:tcW w:w="1175" w:type="dxa"/>
          </w:tcPr>
          <w:p>
            <w:pPr>
              <w:pStyle w:val="TableParagraph"/>
              <w:spacing w:line="131" w:lineRule="exact" w:before="27"/>
              <w:ind w:right="20"/>
              <w:jc w:val="right"/>
              <w:rPr>
                <w:sz w:val="12"/>
              </w:rPr>
            </w:pPr>
            <w:r>
              <w:rPr>
                <w:w w:val="105"/>
                <w:sz w:val="12"/>
              </w:rPr>
              <w:t>0.00</w:t>
            </w:r>
          </w:p>
        </w:tc>
      </w:tr>
      <w:tr>
        <w:trPr>
          <w:trHeight w:val="177" w:hRule="atLeast"/>
        </w:trPr>
        <w:tc>
          <w:tcPr>
            <w:tcW w:w="2587" w:type="dxa"/>
          </w:tcPr>
          <w:p>
            <w:pPr>
              <w:pStyle w:val="TableParagraph"/>
              <w:spacing w:line="152" w:lineRule="exact" w:before="6"/>
              <w:ind w:left="186"/>
              <w:rPr>
                <w:sz w:val="14"/>
              </w:rPr>
            </w:pPr>
            <w:r>
              <w:rPr>
                <w:sz w:val="14"/>
              </w:rPr>
              <w:t>Interfund Transfers Out</w:t>
            </w:r>
          </w:p>
        </w:tc>
        <w:tc>
          <w:tcPr>
            <w:tcW w:w="752" w:type="dxa"/>
          </w:tcPr>
          <w:p>
            <w:pPr>
              <w:pStyle w:val="TableParagraph"/>
              <w:spacing w:line="131" w:lineRule="exact" w:before="27"/>
              <w:ind w:left="57"/>
              <w:rPr>
                <w:sz w:val="12"/>
              </w:rPr>
            </w:pPr>
            <w:r>
              <w:rPr>
                <w:w w:val="105"/>
                <w:sz w:val="12"/>
              </w:rPr>
              <w:t>7600-7629</w:t>
            </w:r>
          </w:p>
        </w:tc>
        <w:tc>
          <w:tcPr>
            <w:tcW w:w="1173" w:type="dxa"/>
            <w:shd w:val="clear" w:color="auto" w:fill="BFBFBF"/>
          </w:tcPr>
          <w:p>
            <w:pPr>
              <w:pStyle w:val="TableParagraph"/>
              <w:rPr>
                <w:rFonts w:ascii="Times New Roman"/>
                <w:sz w:val="10"/>
              </w:rPr>
            </w:pPr>
          </w:p>
        </w:tc>
        <w:tc>
          <w:tcPr>
            <w:tcW w:w="1173" w:type="dxa"/>
          </w:tcPr>
          <w:p>
            <w:pPr>
              <w:pStyle w:val="TableParagraph"/>
              <w:spacing w:line="131" w:lineRule="exact" w:before="27"/>
              <w:ind w:right="25"/>
              <w:jc w:val="right"/>
              <w:rPr>
                <w:sz w:val="12"/>
              </w:rPr>
            </w:pPr>
            <w:r>
              <w:rPr>
                <w:w w:val="105"/>
                <w:sz w:val="12"/>
              </w:rPr>
              <w:t>0.00</w:t>
            </w:r>
          </w:p>
        </w:tc>
        <w:tc>
          <w:tcPr>
            <w:tcW w:w="1272" w:type="dxa"/>
          </w:tcPr>
          <w:p>
            <w:pPr>
              <w:pStyle w:val="TableParagraph"/>
              <w:spacing w:line="131" w:lineRule="exact" w:before="27"/>
              <w:ind w:right="123"/>
              <w:jc w:val="right"/>
              <w:rPr>
                <w:sz w:val="12"/>
              </w:rPr>
            </w:pPr>
            <w:r>
              <w:rPr>
                <w:w w:val="105"/>
                <w:sz w:val="12"/>
              </w:rPr>
              <w:t>0.00</w:t>
            </w:r>
          </w:p>
        </w:tc>
        <w:tc>
          <w:tcPr>
            <w:tcW w:w="1210" w:type="dxa"/>
          </w:tcPr>
          <w:p>
            <w:pPr>
              <w:pStyle w:val="TableParagraph"/>
              <w:spacing w:line="131" w:lineRule="exact" w:before="27"/>
              <w:ind w:right="159"/>
              <w:jc w:val="right"/>
              <w:rPr>
                <w:sz w:val="12"/>
              </w:rPr>
            </w:pPr>
            <w:r>
              <w:rPr>
                <w:w w:val="105"/>
                <w:sz w:val="12"/>
              </w:rPr>
              <w:t>0.00</w:t>
            </w:r>
          </w:p>
        </w:tc>
        <w:tc>
          <w:tcPr>
            <w:tcW w:w="1145" w:type="dxa"/>
          </w:tcPr>
          <w:p>
            <w:pPr>
              <w:pStyle w:val="TableParagraph"/>
              <w:spacing w:line="131" w:lineRule="exact" w:before="27"/>
              <w:ind w:right="131"/>
              <w:jc w:val="right"/>
              <w:rPr>
                <w:sz w:val="12"/>
              </w:rPr>
            </w:pPr>
            <w:r>
              <w:rPr>
                <w:w w:val="105"/>
                <w:sz w:val="12"/>
              </w:rPr>
              <w:t>0.00</w:t>
            </w:r>
          </w:p>
        </w:tc>
        <w:tc>
          <w:tcPr>
            <w:tcW w:w="1064" w:type="dxa"/>
          </w:tcPr>
          <w:p>
            <w:pPr>
              <w:pStyle w:val="TableParagraph"/>
              <w:spacing w:line="131" w:lineRule="exact" w:before="27"/>
              <w:ind w:right="21"/>
              <w:jc w:val="right"/>
              <w:rPr>
                <w:sz w:val="12"/>
              </w:rPr>
            </w:pPr>
            <w:r>
              <w:rPr>
                <w:w w:val="105"/>
                <w:sz w:val="12"/>
              </w:rPr>
              <w:t>0.00</w:t>
            </w:r>
          </w:p>
        </w:tc>
        <w:tc>
          <w:tcPr>
            <w:tcW w:w="1320" w:type="dxa"/>
          </w:tcPr>
          <w:p>
            <w:pPr>
              <w:pStyle w:val="TableParagraph"/>
              <w:spacing w:line="131" w:lineRule="exact" w:before="27"/>
              <w:ind w:right="168"/>
              <w:jc w:val="right"/>
              <w:rPr>
                <w:sz w:val="12"/>
              </w:rPr>
            </w:pPr>
            <w:r>
              <w:rPr>
                <w:w w:val="105"/>
                <w:sz w:val="12"/>
              </w:rPr>
              <w:t>0.00</w:t>
            </w:r>
          </w:p>
        </w:tc>
        <w:tc>
          <w:tcPr>
            <w:tcW w:w="1025" w:type="dxa"/>
          </w:tcPr>
          <w:p>
            <w:pPr>
              <w:pStyle w:val="TableParagraph"/>
              <w:spacing w:line="131" w:lineRule="exact" w:before="27"/>
              <w:ind w:right="19"/>
              <w:jc w:val="right"/>
              <w:rPr>
                <w:sz w:val="12"/>
              </w:rPr>
            </w:pPr>
            <w:r>
              <w:rPr>
                <w:w w:val="105"/>
                <w:sz w:val="12"/>
              </w:rPr>
              <w:t>0.00</w:t>
            </w:r>
          </w:p>
        </w:tc>
        <w:tc>
          <w:tcPr>
            <w:tcW w:w="1175" w:type="dxa"/>
          </w:tcPr>
          <w:p>
            <w:pPr>
              <w:pStyle w:val="TableParagraph"/>
              <w:spacing w:line="131" w:lineRule="exact" w:before="27"/>
              <w:ind w:right="20"/>
              <w:jc w:val="right"/>
              <w:rPr>
                <w:sz w:val="12"/>
              </w:rPr>
            </w:pPr>
            <w:r>
              <w:rPr>
                <w:w w:val="105"/>
                <w:sz w:val="12"/>
              </w:rPr>
              <w:t>0.00</w:t>
            </w:r>
          </w:p>
        </w:tc>
      </w:tr>
      <w:tr>
        <w:trPr>
          <w:trHeight w:val="177" w:hRule="atLeast"/>
        </w:trPr>
        <w:tc>
          <w:tcPr>
            <w:tcW w:w="2587" w:type="dxa"/>
          </w:tcPr>
          <w:p>
            <w:pPr>
              <w:pStyle w:val="TableParagraph"/>
              <w:spacing w:line="152" w:lineRule="exact" w:before="6"/>
              <w:ind w:left="186"/>
              <w:rPr>
                <w:sz w:val="14"/>
              </w:rPr>
            </w:pPr>
            <w:r>
              <w:rPr>
                <w:sz w:val="14"/>
              </w:rPr>
              <w:t>All Other Financing Uses</w:t>
            </w:r>
          </w:p>
        </w:tc>
        <w:tc>
          <w:tcPr>
            <w:tcW w:w="752" w:type="dxa"/>
          </w:tcPr>
          <w:p>
            <w:pPr>
              <w:pStyle w:val="TableParagraph"/>
              <w:spacing w:line="131" w:lineRule="exact" w:before="27"/>
              <w:ind w:left="57"/>
              <w:rPr>
                <w:sz w:val="12"/>
              </w:rPr>
            </w:pPr>
            <w:r>
              <w:rPr>
                <w:w w:val="105"/>
                <w:sz w:val="12"/>
              </w:rPr>
              <w:t>7630-7699</w:t>
            </w:r>
          </w:p>
        </w:tc>
        <w:tc>
          <w:tcPr>
            <w:tcW w:w="1173" w:type="dxa"/>
            <w:shd w:val="clear" w:color="auto" w:fill="BFBFBF"/>
          </w:tcPr>
          <w:p>
            <w:pPr>
              <w:pStyle w:val="TableParagraph"/>
              <w:rPr>
                <w:rFonts w:ascii="Times New Roman"/>
                <w:sz w:val="10"/>
              </w:rPr>
            </w:pPr>
          </w:p>
        </w:tc>
        <w:tc>
          <w:tcPr>
            <w:tcW w:w="1173" w:type="dxa"/>
          </w:tcPr>
          <w:p>
            <w:pPr>
              <w:pStyle w:val="TableParagraph"/>
              <w:spacing w:line="131" w:lineRule="exact" w:before="27"/>
              <w:ind w:right="25"/>
              <w:jc w:val="right"/>
              <w:rPr>
                <w:sz w:val="12"/>
              </w:rPr>
            </w:pPr>
            <w:r>
              <w:rPr>
                <w:w w:val="105"/>
                <w:sz w:val="12"/>
              </w:rPr>
              <w:t>0.00</w:t>
            </w:r>
          </w:p>
        </w:tc>
        <w:tc>
          <w:tcPr>
            <w:tcW w:w="1272" w:type="dxa"/>
          </w:tcPr>
          <w:p>
            <w:pPr>
              <w:pStyle w:val="TableParagraph"/>
              <w:spacing w:line="131" w:lineRule="exact" w:before="27"/>
              <w:ind w:right="123"/>
              <w:jc w:val="right"/>
              <w:rPr>
                <w:sz w:val="12"/>
              </w:rPr>
            </w:pPr>
            <w:r>
              <w:rPr>
                <w:w w:val="105"/>
                <w:sz w:val="12"/>
              </w:rPr>
              <w:t>0.00</w:t>
            </w:r>
          </w:p>
        </w:tc>
        <w:tc>
          <w:tcPr>
            <w:tcW w:w="1210" w:type="dxa"/>
          </w:tcPr>
          <w:p>
            <w:pPr>
              <w:pStyle w:val="TableParagraph"/>
              <w:spacing w:line="131" w:lineRule="exact" w:before="27"/>
              <w:ind w:right="159"/>
              <w:jc w:val="right"/>
              <w:rPr>
                <w:sz w:val="12"/>
              </w:rPr>
            </w:pPr>
            <w:r>
              <w:rPr>
                <w:w w:val="105"/>
                <w:sz w:val="12"/>
              </w:rPr>
              <w:t>0.00</w:t>
            </w:r>
          </w:p>
        </w:tc>
        <w:tc>
          <w:tcPr>
            <w:tcW w:w="1145" w:type="dxa"/>
          </w:tcPr>
          <w:p>
            <w:pPr>
              <w:pStyle w:val="TableParagraph"/>
              <w:spacing w:line="131" w:lineRule="exact" w:before="27"/>
              <w:ind w:right="131"/>
              <w:jc w:val="right"/>
              <w:rPr>
                <w:sz w:val="12"/>
              </w:rPr>
            </w:pPr>
            <w:r>
              <w:rPr>
                <w:w w:val="105"/>
                <w:sz w:val="12"/>
              </w:rPr>
              <w:t>0.00</w:t>
            </w:r>
          </w:p>
        </w:tc>
        <w:tc>
          <w:tcPr>
            <w:tcW w:w="1064" w:type="dxa"/>
          </w:tcPr>
          <w:p>
            <w:pPr>
              <w:pStyle w:val="TableParagraph"/>
              <w:spacing w:line="131" w:lineRule="exact" w:before="27"/>
              <w:ind w:right="21"/>
              <w:jc w:val="right"/>
              <w:rPr>
                <w:sz w:val="12"/>
              </w:rPr>
            </w:pPr>
            <w:r>
              <w:rPr>
                <w:w w:val="105"/>
                <w:sz w:val="12"/>
              </w:rPr>
              <w:t>0.00</w:t>
            </w:r>
          </w:p>
        </w:tc>
        <w:tc>
          <w:tcPr>
            <w:tcW w:w="1320" w:type="dxa"/>
          </w:tcPr>
          <w:p>
            <w:pPr>
              <w:pStyle w:val="TableParagraph"/>
              <w:spacing w:line="131" w:lineRule="exact" w:before="27"/>
              <w:ind w:right="168"/>
              <w:jc w:val="right"/>
              <w:rPr>
                <w:sz w:val="12"/>
              </w:rPr>
            </w:pPr>
            <w:r>
              <w:rPr>
                <w:w w:val="105"/>
                <w:sz w:val="12"/>
              </w:rPr>
              <w:t>0.00</w:t>
            </w:r>
          </w:p>
        </w:tc>
        <w:tc>
          <w:tcPr>
            <w:tcW w:w="1025" w:type="dxa"/>
          </w:tcPr>
          <w:p>
            <w:pPr>
              <w:pStyle w:val="TableParagraph"/>
              <w:spacing w:line="131" w:lineRule="exact" w:before="27"/>
              <w:ind w:right="19"/>
              <w:jc w:val="right"/>
              <w:rPr>
                <w:sz w:val="12"/>
              </w:rPr>
            </w:pPr>
            <w:r>
              <w:rPr>
                <w:w w:val="105"/>
                <w:sz w:val="12"/>
              </w:rPr>
              <w:t>0.00</w:t>
            </w:r>
          </w:p>
        </w:tc>
        <w:tc>
          <w:tcPr>
            <w:tcW w:w="1175" w:type="dxa"/>
          </w:tcPr>
          <w:p>
            <w:pPr>
              <w:pStyle w:val="TableParagraph"/>
              <w:spacing w:line="131" w:lineRule="exact" w:before="27"/>
              <w:ind w:right="20"/>
              <w:jc w:val="right"/>
              <w:rPr>
                <w:sz w:val="12"/>
              </w:rPr>
            </w:pPr>
            <w:r>
              <w:rPr>
                <w:w w:val="105"/>
                <w:sz w:val="12"/>
              </w:rPr>
              <w:t>0.00</w:t>
            </w:r>
          </w:p>
        </w:tc>
      </w:tr>
      <w:tr>
        <w:trPr>
          <w:trHeight w:val="170" w:hRule="atLeast"/>
        </w:trPr>
        <w:tc>
          <w:tcPr>
            <w:tcW w:w="2587" w:type="dxa"/>
          </w:tcPr>
          <w:p>
            <w:pPr>
              <w:pStyle w:val="TableParagraph"/>
              <w:spacing w:line="145" w:lineRule="exact" w:before="6"/>
              <w:ind w:left="186"/>
              <w:rPr>
                <w:sz w:val="14"/>
              </w:rPr>
            </w:pPr>
            <w:r>
              <w:rPr>
                <w:sz w:val="14"/>
              </w:rPr>
              <w:t>TOTAL DISBURSEMENTS</w:t>
            </w:r>
          </w:p>
        </w:tc>
        <w:tc>
          <w:tcPr>
            <w:tcW w:w="752" w:type="dxa"/>
          </w:tcPr>
          <w:p>
            <w:pPr>
              <w:pStyle w:val="TableParagraph"/>
              <w:rPr>
                <w:rFonts w:ascii="Times New Roman"/>
                <w:sz w:val="10"/>
              </w:rPr>
            </w:pPr>
          </w:p>
        </w:tc>
        <w:tc>
          <w:tcPr>
            <w:tcW w:w="1173" w:type="dxa"/>
            <w:shd w:val="clear" w:color="auto" w:fill="BFBFBF"/>
          </w:tcPr>
          <w:p>
            <w:pPr>
              <w:pStyle w:val="TableParagraph"/>
              <w:rPr>
                <w:rFonts w:ascii="Times New Roman"/>
                <w:sz w:val="10"/>
              </w:rPr>
            </w:pPr>
          </w:p>
        </w:tc>
        <w:tc>
          <w:tcPr>
            <w:tcW w:w="1173" w:type="dxa"/>
          </w:tcPr>
          <w:p>
            <w:pPr>
              <w:pStyle w:val="TableParagraph"/>
              <w:spacing w:line="124" w:lineRule="exact" w:before="27"/>
              <w:ind w:right="25"/>
              <w:jc w:val="right"/>
              <w:rPr>
                <w:sz w:val="12"/>
              </w:rPr>
            </w:pPr>
            <w:r>
              <w:rPr>
                <w:w w:val="105"/>
                <w:sz w:val="12"/>
              </w:rPr>
              <w:t>77,340.00</w:t>
            </w:r>
          </w:p>
        </w:tc>
        <w:tc>
          <w:tcPr>
            <w:tcW w:w="1272" w:type="dxa"/>
          </w:tcPr>
          <w:p>
            <w:pPr>
              <w:pStyle w:val="TableParagraph"/>
              <w:spacing w:line="124" w:lineRule="exact" w:before="27"/>
              <w:ind w:right="124"/>
              <w:jc w:val="right"/>
              <w:rPr>
                <w:sz w:val="12"/>
              </w:rPr>
            </w:pPr>
            <w:r>
              <w:rPr>
                <w:w w:val="105"/>
                <w:sz w:val="12"/>
              </w:rPr>
              <w:t>218,353.00</w:t>
            </w:r>
          </w:p>
        </w:tc>
        <w:tc>
          <w:tcPr>
            <w:tcW w:w="1210" w:type="dxa"/>
          </w:tcPr>
          <w:p>
            <w:pPr>
              <w:pStyle w:val="TableParagraph"/>
              <w:spacing w:line="124" w:lineRule="exact" w:before="27"/>
              <w:ind w:right="160"/>
              <w:jc w:val="right"/>
              <w:rPr>
                <w:sz w:val="12"/>
              </w:rPr>
            </w:pPr>
            <w:r>
              <w:rPr>
                <w:w w:val="105"/>
                <w:sz w:val="12"/>
              </w:rPr>
              <w:t>190,921.00</w:t>
            </w:r>
          </w:p>
        </w:tc>
        <w:tc>
          <w:tcPr>
            <w:tcW w:w="1145" w:type="dxa"/>
          </w:tcPr>
          <w:p>
            <w:pPr>
              <w:pStyle w:val="TableParagraph"/>
              <w:spacing w:line="124" w:lineRule="exact" w:before="27"/>
              <w:ind w:right="132"/>
              <w:jc w:val="right"/>
              <w:rPr>
                <w:sz w:val="12"/>
              </w:rPr>
            </w:pPr>
            <w:r>
              <w:rPr>
                <w:w w:val="105"/>
                <w:sz w:val="12"/>
              </w:rPr>
              <w:t>228,373.00</w:t>
            </w:r>
          </w:p>
        </w:tc>
        <w:tc>
          <w:tcPr>
            <w:tcW w:w="1064" w:type="dxa"/>
          </w:tcPr>
          <w:p>
            <w:pPr>
              <w:pStyle w:val="TableParagraph"/>
              <w:spacing w:line="124" w:lineRule="exact" w:before="27"/>
              <w:ind w:right="22"/>
              <w:jc w:val="right"/>
              <w:rPr>
                <w:sz w:val="12"/>
              </w:rPr>
            </w:pPr>
            <w:r>
              <w:rPr>
                <w:w w:val="105"/>
                <w:sz w:val="12"/>
              </w:rPr>
              <w:t>162,750.00</w:t>
            </w:r>
          </w:p>
        </w:tc>
        <w:tc>
          <w:tcPr>
            <w:tcW w:w="1320" w:type="dxa"/>
          </w:tcPr>
          <w:p>
            <w:pPr>
              <w:pStyle w:val="TableParagraph"/>
              <w:spacing w:line="124" w:lineRule="exact" w:before="27"/>
              <w:ind w:right="168"/>
              <w:jc w:val="right"/>
              <w:rPr>
                <w:sz w:val="12"/>
              </w:rPr>
            </w:pPr>
            <w:r>
              <w:rPr>
                <w:w w:val="105"/>
                <w:sz w:val="12"/>
              </w:rPr>
              <w:t>163,319.00</w:t>
            </w:r>
          </w:p>
        </w:tc>
        <w:tc>
          <w:tcPr>
            <w:tcW w:w="1025" w:type="dxa"/>
          </w:tcPr>
          <w:p>
            <w:pPr>
              <w:pStyle w:val="TableParagraph"/>
              <w:spacing w:line="124" w:lineRule="exact" w:before="27"/>
              <w:ind w:right="20"/>
              <w:jc w:val="right"/>
              <w:rPr>
                <w:sz w:val="12"/>
              </w:rPr>
            </w:pPr>
            <w:r>
              <w:rPr>
                <w:w w:val="105"/>
                <w:sz w:val="12"/>
              </w:rPr>
              <w:t>172,827.00</w:t>
            </w:r>
          </w:p>
        </w:tc>
        <w:tc>
          <w:tcPr>
            <w:tcW w:w="1175" w:type="dxa"/>
          </w:tcPr>
          <w:p>
            <w:pPr>
              <w:pStyle w:val="TableParagraph"/>
              <w:spacing w:line="124" w:lineRule="exact" w:before="27"/>
              <w:ind w:right="21"/>
              <w:jc w:val="right"/>
              <w:rPr>
                <w:sz w:val="12"/>
              </w:rPr>
            </w:pPr>
            <w:r>
              <w:rPr>
                <w:w w:val="105"/>
                <w:sz w:val="12"/>
              </w:rPr>
              <w:t>144,900.00</w:t>
            </w:r>
          </w:p>
        </w:tc>
      </w:tr>
      <w:tr>
        <w:trPr>
          <w:trHeight w:val="184" w:hRule="atLeast"/>
        </w:trPr>
        <w:tc>
          <w:tcPr>
            <w:tcW w:w="2587" w:type="dxa"/>
          </w:tcPr>
          <w:p>
            <w:pPr>
              <w:pStyle w:val="TableParagraph"/>
              <w:spacing w:line="152" w:lineRule="exact" w:before="12"/>
              <w:ind w:left="32"/>
              <w:rPr>
                <w:sz w:val="14"/>
              </w:rPr>
            </w:pPr>
            <w:r>
              <w:rPr>
                <w:sz w:val="14"/>
              </w:rPr>
              <w:t>D. BALANCE SHEET ITEMS</w:t>
            </w:r>
          </w:p>
        </w:tc>
        <w:tc>
          <w:tcPr>
            <w:tcW w:w="752" w:type="dxa"/>
          </w:tcPr>
          <w:p>
            <w:pPr>
              <w:pStyle w:val="TableParagraph"/>
              <w:rPr>
                <w:rFonts w:ascii="Times New Roman"/>
                <w:sz w:val="12"/>
              </w:rPr>
            </w:pPr>
          </w:p>
        </w:tc>
        <w:tc>
          <w:tcPr>
            <w:tcW w:w="1173" w:type="dxa"/>
          </w:tcPr>
          <w:p>
            <w:pPr>
              <w:pStyle w:val="TableParagraph"/>
              <w:rPr>
                <w:rFonts w:ascii="Times New Roman"/>
                <w:sz w:val="12"/>
              </w:rPr>
            </w:pPr>
          </w:p>
        </w:tc>
        <w:tc>
          <w:tcPr>
            <w:tcW w:w="1173" w:type="dxa"/>
          </w:tcPr>
          <w:p>
            <w:pPr>
              <w:pStyle w:val="TableParagraph"/>
              <w:rPr>
                <w:rFonts w:ascii="Times New Roman"/>
                <w:sz w:val="12"/>
              </w:rPr>
            </w:pPr>
          </w:p>
        </w:tc>
        <w:tc>
          <w:tcPr>
            <w:tcW w:w="1272" w:type="dxa"/>
          </w:tcPr>
          <w:p>
            <w:pPr>
              <w:pStyle w:val="TableParagraph"/>
              <w:rPr>
                <w:rFonts w:ascii="Times New Roman"/>
                <w:sz w:val="12"/>
              </w:rPr>
            </w:pPr>
          </w:p>
        </w:tc>
        <w:tc>
          <w:tcPr>
            <w:tcW w:w="1210" w:type="dxa"/>
          </w:tcPr>
          <w:p>
            <w:pPr>
              <w:pStyle w:val="TableParagraph"/>
              <w:rPr>
                <w:rFonts w:ascii="Times New Roman"/>
                <w:sz w:val="12"/>
              </w:rPr>
            </w:pPr>
          </w:p>
        </w:tc>
        <w:tc>
          <w:tcPr>
            <w:tcW w:w="1145" w:type="dxa"/>
          </w:tcPr>
          <w:p>
            <w:pPr>
              <w:pStyle w:val="TableParagraph"/>
              <w:rPr>
                <w:rFonts w:ascii="Times New Roman"/>
                <w:sz w:val="12"/>
              </w:rPr>
            </w:pPr>
          </w:p>
        </w:tc>
        <w:tc>
          <w:tcPr>
            <w:tcW w:w="1064" w:type="dxa"/>
          </w:tcPr>
          <w:p>
            <w:pPr>
              <w:pStyle w:val="TableParagraph"/>
              <w:rPr>
                <w:rFonts w:ascii="Times New Roman"/>
                <w:sz w:val="12"/>
              </w:rPr>
            </w:pPr>
          </w:p>
        </w:tc>
        <w:tc>
          <w:tcPr>
            <w:tcW w:w="1320" w:type="dxa"/>
          </w:tcPr>
          <w:p>
            <w:pPr>
              <w:pStyle w:val="TableParagraph"/>
              <w:rPr>
                <w:rFonts w:ascii="Times New Roman"/>
                <w:sz w:val="12"/>
              </w:rPr>
            </w:pPr>
          </w:p>
        </w:tc>
        <w:tc>
          <w:tcPr>
            <w:tcW w:w="1025" w:type="dxa"/>
          </w:tcPr>
          <w:p>
            <w:pPr>
              <w:pStyle w:val="TableParagraph"/>
              <w:rPr>
                <w:rFonts w:ascii="Times New Roman"/>
                <w:sz w:val="12"/>
              </w:rPr>
            </w:pPr>
          </w:p>
        </w:tc>
        <w:tc>
          <w:tcPr>
            <w:tcW w:w="1175" w:type="dxa"/>
          </w:tcPr>
          <w:p>
            <w:pPr>
              <w:pStyle w:val="TableParagraph"/>
              <w:rPr>
                <w:rFonts w:ascii="Times New Roman"/>
                <w:sz w:val="12"/>
              </w:rPr>
            </w:pPr>
          </w:p>
        </w:tc>
      </w:tr>
      <w:tr>
        <w:trPr>
          <w:trHeight w:val="177" w:hRule="atLeast"/>
        </w:trPr>
        <w:tc>
          <w:tcPr>
            <w:tcW w:w="2587" w:type="dxa"/>
          </w:tcPr>
          <w:p>
            <w:pPr>
              <w:pStyle w:val="TableParagraph"/>
              <w:spacing w:line="152" w:lineRule="exact" w:before="6"/>
              <w:ind w:left="32"/>
              <w:rPr>
                <w:sz w:val="14"/>
              </w:rPr>
            </w:pPr>
            <w:r>
              <w:rPr>
                <w:spacing w:val="-94"/>
                <w:sz w:val="14"/>
                <w:u w:val="single"/>
              </w:rPr>
              <w:t>A</w:t>
            </w:r>
            <w:r>
              <w:rPr>
                <w:spacing w:val="54"/>
                <w:sz w:val="14"/>
              </w:rPr>
              <w:t> </w:t>
            </w:r>
            <w:r>
              <w:rPr>
                <w:sz w:val="14"/>
                <w:u w:val="single"/>
              </w:rPr>
              <w:t>ssets and Deferred Outflows</w:t>
            </w:r>
          </w:p>
        </w:tc>
        <w:tc>
          <w:tcPr>
            <w:tcW w:w="752" w:type="dxa"/>
          </w:tcPr>
          <w:p>
            <w:pPr>
              <w:pStyle w:val="TableParagraph"/>
              <w:rPr>
                <w:rFonts w:ascii="Times New Roman"/>
                <w:sz w:val="12"/>
              </w:rPr>
            </w:pPr>
          </w:p>
        </w:tc>
        <w:tc>
          <w:tcPr>
            <w:tcW w:w="1173" w:type="dxa"/>
          </w:tcPr>
          <w:p>
            <w:pPr>
              <w:pStyle w:val="TableParagraph"/>
              <w:rPr>
                <w:rFonts w:ascii="Times New Roman"/>
                <w:sz w:val="12"/>
              </w:rPr>
            </w:pPr>
          </w:p>
        </w:tc>
        <w:tc>
          <w:tcPr>
            <w:tcW w:w="1173" w:type="dxa"/>
          </w:tcPr>
          <w:p>
            <w:pPr>
              <w:pStyle w:val="TableParagraph"/>
              <w:rPr>
                <w:rFonts w:ascii="Times New Roman"/>
                <w:sz w:val="12"/>
              </w:rPr>
            </w:pPr>
          </w:p>
        </w:tc>
        <w:tc>
          <w:tcPr>
            <w:tcW w:w="1272" w:type="dxa"/>
          </w:tcPr>
          <w:p>
            <w:pPr>
              <w:pStyle w:val="TableParagraph"/>
              <w:rPr>
                <w:rFonts w:ascii="Times New Roman"/>
                <w:sz w:val="12"/>
              </w:rPr>
            </w:pPr>
          </w:p>
        </w:tc>
        <w:tc>
          <w:tcPr>
            <w:tcW w:w="1210" w:type="dxa"/>
          </w:tcPr>
          <w:p>
            <w:pPr>
              <w:pStyle w:val="TableParagraph"/>
              <w:rPr>
                <w:rFonts w:ascii="Times New Roman"/>
                <w:sz w:val="12"/>
              </w:rPr>
            </w:pPr>
          </w:p>
        </w:tc>
        <w:tc>
          <w:tcPr>
            <w:tcW w:w="1145" w:type="dxa"/>
          </w:tcPr>
          <w:p>
            <w:pPr>
              <w:pStyle w:val="TableParagraph"/>
              <w:rPr>
                <w:rFonts w:ascii="Times New Roman"/>
                <w:sz w:val="12"/>
              </w:rPr>
            </w:pPr>
          </w:p>
        </w:tc>
        <w:tc>
          <w:tcPr>
            <w:tcW w:w="1064" w:type="dxa"/>
          </w:tcPr>
          <w:p>
            <w:pPr>
              <w:pStyle w:val="TableParagraph"/>
              <w:rPr>
                <w:rFonts w:ascii="Times New Roman"/>
                <w:sz w:val="12"/>
              </w:rPr>
            </w:pPr>
          </w:p>
        </w:tc>
        <w:tc>
          <w:tcPr>
            <w:tcW w:w="1320" w:type="dxa"/>
          </w:tcPr>
          <w:p>
            <w:pPr>
              <w:pStyle w:val="TableParagraph"/>
              <w:rPr>
                <w:rFonts w:ascii="Times New Roman"/>
                <w:sz w:val="12"/>
              </w:rPr>
            </w:pPr>
          </w:p>
        </w:tc>
        <w:tc>
          <w:tcPr>
            <w:tcW w:w="1025" w:type="dxa"/>
          </w:tcPr>
          <w:p>
            <w:pPr>
              <w:pStyle w:val="TableParagraph"/>
              <w:rPr>
                <w:rFonts w:ascii="Times New Roman"/>
                <w:sz w:val="12"/>
              </w:rPr>
            </w:pPr>
          </w:p>
        </w:tc>
        <w:tc>
          <w:tcPr>
            <w:tcW w:w="1175" w:type="dxa"/>
          </w:tcPr>
          <w:p>
            <w:pPr>
              <w:pStyle w:val="TableParagraph"/>
              <w:rPr>
                <w:rFonts w:ascii="Times New Roman"/>
                <w:sz w:val="12"/>
              </w:rPr>
            </w:pPr>
          </w:p>
        </w:tc>
      </w:tr>
      <w:tr>
        <w:trPr>
          <w:trHeight w:val="177" w:hRule="atLeast"/>
        </w:trPr>
        <w:tc>
          <w:tcPr>
            <w:tcW w:w="2587" w:type="dxa"/>
          </w:tcPr>
          <w:p>
            <w:pPr>
              <w:pStyle w:val="TableParagraph"/>
              <w:spacing w:line="152" w:lineRule="exact" w:before="5"/>
              <w:ind w:left="186"/>
              <w:rPr>
                <w:sz w:val="14"/>
              </w:rPr>
            </w:pPr>
            <w:r>
              <w:rPr>
                <w:sz w:val="14"/>
              </w:rPr>
              <w:t>Cash Not In Treasury</w:t>
            </w:r>
          </w:p>
        </w:tc>
        <w:tc>
          <w:tcPr>
            <w:tcW w:w="752" w:type="dxa"/>
          </w:tcPr>
          <w:p>
            <w:pPr>
              <w:pStyle w:val="TableParagraph"/>
              <w:spacing w:line="131" w:lineRule="exact" w:before="26"/>
              <w:ind w:left="57"/>
              <w:rPr>
                <w:sz w:val="12"/>
              </w:rPr>
            </w:pPr>
            <w:r>
              <w:rPr>
                <w:w w:val="105"/>
                <w:sz w:val="12"/>
              </w:rPr>
              <w:t>9111-9199</w:t>
            </w:r>
          </w:p>
        </w:tc>
        <w:tc>
          <w:tcPr>
            <w:tcW w:w="1173" w:type="dxa"/>
          </w:tcPr>
          <w:p>
            <w:pPr>
              <w:pStyle w:val="TableParagraph"/>
              <w:rPr>
                <w:rFonts w:ascii="Times New Roman"/>
                <w:sz w:val="10"/>
              </w:rPr>
            </w:pPr>
          </w:p>
        </w:tc>
        <w:tc>
          <w:tcPr>
            <w:tcW w:w="1173" w:type="dxa"/>
          </w:tcPr>
          <w:p>
            <w:pPr>
              <w:pStyle w:val="TableParagraph"/>
              <w:rPr>
                <w:rFonts w:ascii="Times New Roman"/>
                <w:sz w:val="10"/>
              </w:rPr>
            </w:pPr>
          </w:p>
        </w:tc>
        <w:tc>
          <w:tcPr>
            <w:tcW w:w="1272" w:type="dxa"/>
          </w:tcPr>
          <w:p>
            <w:pPr>
              <w:pStyle w:val="TableParagraph"/>
              <w:rPr>
                <w:rFonts w:ascii="Times New Roman"/>
                <w:sz w:val="10"/>
              </w:rPr>
            </w:pPr>
          </w:p>
        </w:tc>
        <w:tc>
          <w:tcPr>
            <w:tcW w:w="1210" w:type="dxa"/>
          </w:tcPr>
          <w:p>
            <w:pPr>
              <w:pStyle w:val="TableParagraph"/>
              <w:rPr>
                <w:rFonts w:ascii="Times New Roman"/>
                <w:sz w:val="10"/>
              </w:rPr>
            </w:pPr>
          </w:p>
        </w:tc>
        <w:tc>
          <w:tcPr>
            <w:tcW w:w="1145" w:type="dxa"/>
          </w:tcPr>
          <w:p>
            <w:pPr>
              <w:pStyle w:val="TableParagraph"/>
              <w:rPr>
                <w:rFonts w:ascii="Times New Roman"/>
                <w:sz w:val="10"/>
              </w:rPr>
            </w:pPr>
          </w:p>
        </w:tc>
        <w:tc>
          <w:tcPr>
            <w:tcW w:w="1064" w:type="dxa"/>
          </w:tcPr>
          <w:p>
            <w:pPr>
              <w:pStyle w:val="TableParagraph"/>
              <w:rPr>
                <w:rFonts w:ascii="Times New Roman"/>
                <w:sz w:val="10"/>
              </w:rPr>
            </w:pPr>
          </w:p>
        </w:tc>
        <w:tc>
          <w:tcPr>
            <w:tcW w:w="1320" w:type="dxa"/>
          </w:tcPr>
          <w:p>
            <w:pPr>
              <w:pStyle w:val="TableParagraph"/>
              <w:rPr>
                <w:rFonts w:ascii="Times New Roman"/>
                <w:sz w:val="10"/>
              </w:rPr>
            </w:pPr>
          </w:p>
        </w:tc>
        <w:tc>
          <w:tcPr>
            <w:tcW w:w="1025" w:type="dxa"/>
          </w:tcPr>
          <w:p>
            <w:pPr>
              <w:pStyle w:val="TableParagraph"/>
              <w:rPr>
                <w:rFonts w:ascii="Times New Roman"/>
                <w:sz w:val="10"/>
              </w:rPr>
            </w:pPr>
          </w:p>
        </w:tc>
        <w:tc>
          <w:tcPr>
            <w:tcW w:w="1175" w:type="dxa"/>
          </w:tcPr>
          <w:p>
            <w:pPr>
              <w:pStyle w:val="TableParagraph"/>
              <w:rPr>
                <w:rFonts w:ascii="Times New Roman"/>
                <w:sz w:val="10"/>
              </w:rPr>
            </w:pPr>
          </w:p>
        </w:tc>
      </w:tr>
      <w:tr>
        <w:trPr>
          <w:trHeight w:val="177" w:hRule="atLeast"/>
        </w:trPr>
        <w:tc>
          <w:tcPr>
            <w:tcW w:w="2587" w:type="dxa"/>
          </w:tcPr>
          <w:p>
            <w:pPr>
              <w:pStyle w:val="TableParagraph"/>
              <w:spacing w:line="152" w:lineRule="exact" w:before="6"/>
              <w:ind w:left="186"/>
              <w:rPr>
                <w:sz w:val="14"/>
              </w:rPr>
            </w:pPr>
            <w:r>
              <w:rPr>
                <w:sz w:val="14"/>
              </w:rPr>
              <w:t>Accounts Receivable</w:t>
            </w:r>
          </w:p>
        </w:tc>
        <w:tc>
          <w:tcPr>
            <w:tcW w:w="752" w:type="dxa"/>
          </w:tcPr>
          <w:p>
            <w:pPr>
              <w:pStyle w:val="TableParagraph"/>
              <w:spacing w:line="131" w:lineRule="exact" w:before="27"/>
              <w:ind w:left="57"/>
              <w:rPr>
                <w:sz w:val="12"/>
              </w:rPr>
            </w:pPr>
            <w:r>
              <w:rPr>
                <w:w w:val="105"/>
                <w:sz w:val="12"/>
              </w:rPr>
              <w:t>9200-9299</w:t>
            </w:r>
          </w:p>
        </w:tc>
        <w:tc>
          <w:tcPr>
            <w:tcW w:w="1173" w:type="dxa"/>
          </w:tcPr>
          <w:p>
            <w:pPr>
              <w:pStyle w:val="TableParagraph"/>
              <w:spacing w:line="131" w:lineRule="exact" w:before="27"/>
              <w:ind w:right="26"/>
              <w:jc w:val="right"/>
              <w:rPr>
                <w:sz w:val="12"/>
              </w:rPr>
            </w:pPr>
            <w:r>
              <w:rPr>
                <w:w w:val="105"/>
                <w:sz w:val="12"/>
              </w:rPr>
              <w:t>399,359.00</w:t>
            </w:r>
          </w:p>
        </w:tc>
        <w:tc>
          <w:tcPr>
            <w:tcW w:w="1173" w:type="dxa"/>
          </w:tcPr>
          <w:p>
            <w:pPr>
              <w:pStyle w:val="TableParagraph"/>
              <w:spacing w:line="131" w:lineRule="exact" w:before="27"/>
              <w:ind w:right="25"/>
              <w:jc w:val="right"/>
              <w:rPr>
                <w:sz w:val="12"/>
              </w:rPr>
            </w:pPr>
            <w:r>
              <w:rPr>
                <w:w w:val="105"/>
                <w:sz w:val="12"/>
              </w:rPr>
              <w:t>84,110.00</w:t>
            </w:r>
          </w:p>
        </w:tc>
        <w:tc>
          <w:tcPr>
            <w:tcW w:w="1272" w:type="dxa"/>
          </w:tcPr>
          <w:p>
            <w:pPr>
              <w:pStyle w:val="TableParagraph"/>
              <w:spacing w:line="131" w:lineRule="exact" w:before="27"/>
              <w:ind w:right="123"/>
              <w:jc w:val="right"/>
              <w:rPr>
                <w:sz w:val="12"/>
              </w:rPr>
            </w:pPr>
            <w:r>
              <w:rPr>
                <w:w w:val="105"/>
                <w:sz w:val="12"/>
              </w:rPr>
              <w:t>68,635.00</w:t>
            </w:r>
          </w:p>
        </w:tc>
        <w:tc>
          <w:tcPr>
            <w:tcW w:w="1210" w:type="dxa"/>
          </w:tcPr>
          <w:p>
            <w:pPr>
              <w:pStyle w:val="TableParagraph"/>
              <w:spacing w:line="131" w:lineRule="exact" w:before="27"/>
              <w:ind w:right="159"/>
              <w:jc w:val="right"/>
              <w:rPr>
                <w:sz w:val="12"/>
              </w:rPr>
            </w:pPr>
            <w:r>
              <w:rPr>
                <w:w w:val="105"/>
                <w:sz w:val="12"/>
              </w:rPr>
              <w:t>59,832.00</w:t>
            </w:r>
          </w:p>
        </w:tc>
        <w:tc>
          <w:tcPr>
            <w:tcW w:w="1145" w:type="dxa"/>
          </w:tcPr>
          <w:p>
            <w:pPr>
              <w:pStyle w:val="TableParagraph"/>
              <w:spacing w:line="131" w:lineRule="exact" w:before="27"/>
              <w:ind w:right="132"/>
              <w:jc w:val="right"/>
              <w:rPr>
                <w:sz w:val="12"/>
              </w:rPr>
            </w:pPr>
            <w:r>
              <w:rPr>
                <w:w w:val="105"/>
                <w:sz w:val="12"/>
              </w:rPr>
              <w:t>101,718.00</w:t>
            </w:r>
          </w:p>
        </w:tc>
        <w:tc>
          <w:tcPr>
            <w:tcW w:w="1064" w:type="dxa"/>
          </w:tcPr>
          <w:p>
            <w:pPr>
              <w:pStyle w:val="TableParagraph"/>
              <w:spacing w:line="131" w:lineRule="exact" w:before="27"/>
              <w:ind w:right="21"/>
              <w:jc w:val="right"/>
              <w:rPr>
                <w:sz w:val="12"/>
              </w:rPr>
            </w:pPr>
            <w:r>
              <w:rPr>
                <w:w w:val="105"/>
                <w:sz w:val="12"/>
              </w:rPr>
              <w:t>69,741.00</w:t>
            </w:r>
          </w:p>
        </w:tc>
        <w:tc>
          <w:tcPr>
            <w:tcW w:w="1320" w:type="dxa"/>
          </w:tcPr>
          <w:p>
            <w:pPr>
              <w:pStyle w:val="TableParagraph"/>
              <w:spacing w:line="131" w:lineRule="exact" w:before="27"/>
              <w:ind w:right="168"/>
              <w:jc w:val="right"/>
              <w:rPr>
                <w:sz w:val="12"/>
              </w:rPr>
            </w:pPr>
            <w:r>
              <w:rPr>
                <w:w w:val="105"/>
                <w:sz w:val="12"/>
              </w:rPr>
              <w:t>0.00</w:t>
            </w:r>
          </w:p>
        </w:tc>
        <w:tc>
          <w:tcPr>
            <w:tcW w:w="1025" w:type="dxa"/>
          </w:tcPr>
          <w:p>
            <w:pPr>
              <w:pStyle w:val="TableParagraph"/>
              <w:spacing w:line="131" w:lineRule="exact" w:before="27"/>
              <w:ind w:right="19"/>
              <w:jc w:val="right"/>
              <w:rPr>
                <w:sz w:val="12"/>
              </w:rPr>
            </w:pPr>
            <w:r>
              <w:rPr>
                <w:w w:val="105"/>
                <w:sz w:val="12"/>
              </w:rPr>
              <w:t>0.00</w:t>
            </w:r>
          </w:p>
        </w:tc>
        <w:tc>
          <w:tcPr>
            <w:tcW w:w="1175" w:type="dxa"/>
          </w:tcPr>
          <w:p>
            <w:pPr>
              <w:pStyle w:val="TableParagraph"/>
              <w:spacing w:line="131" w:lineRule="exact" w:before="27"/>
              <w:ind w:right="20"/>
              <w:jc w:val="right"/>
              <w:rPr>
                <w:sz w:val="12"/>
              </w:rPr>
            </w:pPr>
            <w:r>
              <w:rPr>
                <w:w w:val="105"/>
                <w:sz w:val="12"/>
              </w:rPr>
              <w:t>0.00</w:t>
            </w:r>
          </w:p>
        </w:tc>
      </w:tr>
      <w:tr>
        <w:trPr>
          <w:trHeight w:val="177" w:hRule="atLeast"/>
        </w:trPr>
        <w:tc>
          <w:tcPr>
            <w:tcW w:w="2587" w:type="dxa"/>
          </w:tcPr>
          <w:p>
            <w:pPr>
              <w:pStyle w:val="TableParagraph"/>
              <w:spacing w:line="152" w:lineRule="exact" w:before="6"/>
              <w:ind w:left="186"/>
              <w:rPr>
                <w:sz w:val="14"/>
              </w:rPr>
            </w:pPr>
            <w:r>
              <w:rPr>
                <w:sz w:val="14"/>
              </w:rPr>
              <w:t>Due From Other Funds</w:t>
            </w:r>
          </w:p>
        </w:tc>
        <w:tc>
          <w:tcPr>
            <w:tcW w:w="752" w:type="dxa"/>
          </w:tcPr>
          <w:p>
            <w:pPr>
              <w:pStyle w:val="TableParagraph"/>
              <w:spacing w:line="131" w:lineRule="exact" w:before="27"/>
              <w:ind w:left="217"/>
              <w:rPr>
                <w:sz w:val="12"/>
              </w:rPr>
            </w:pPr>
            <w:r>
              <w:rPr>
                <w:w w:val="105"/>
                <w:sz w:val="12"/>
              </w:rPr>
              <w:t>9310</w:t>
            </w:r>
          </w:p>
        </w:tc>
        <w:tc>
          <w:tcPr>
            <w:tcW w:w="1173" w:type="dxa"/>
          </w:tcPr>
          <w:p>
            <w:pPr>
              <w:pStyle w:val="TableParagraph"/>
              <w:rPr>
                <w:rFonts w:ascii="Times New Roman"/>
                <w:sz w:val="10"/>
              </w:rPr>
            </w:pPr>
          </w:p>
        </w:tc>
        <w:tc>
          <w:tcPr>
            <w:tcW w:w="1173" w:type="dxa"/>
          </w:tcPr>
          <w:p>
            <w:pPr>
              <w:pStyle w:val="TableParagraph"/>
              <w:rPr>
                <w:rFonts w:ascii="Times New Roman"/>
                <w:sz w:val="10"/>
              </w:rPr>
            </w:pPr>
          </w:p>
        </w:tc>
        <w:tc>
          <w:tcPr>
            <w:tcW w:w="1272" w:type="dxa"/>
          </w:tcPr>
          <w:p>
            <w:pPr>
              <w:pStyle w:val="TableParagraph"/>
              <w:rPr>
                <w:rFonts w:ascii="Times New Roman"/>
                <w:sz w:val="10"/>
              </w:rPr>
            </w:pPr>
          </w:p>
        </w:tc>
        <w:tc>
          <w:tcPr>
            <w:tcW w:w="1210" w:type="dxa"/>
          </w:tcPr>
          <w:p>
            <w:pPr>
              <w:pStyle w:val="TableParagraph"/>
              <w:rPr>
                <w:rFonts w:ascii="Times New Roman"/>
                <w:sz w:val="10"/>
              </w:rPr>
            </w:pPr>
          </w:p>
        </w:tc>
        <w:tc>
          <w:tcPr>
            <w:tcW w:w="1145" w:type="dxa"/>
          </w:tcPr>
          <w:p>
            <w:pPr>
              <w:pStyle w:val="TableParagraph"/>
              <w:rPr>
                <w:rFonts w:ascii="Times New Roman"/>
                <w:sz w:val="10"/>
              </w:rPr>
            </w:pPr>
          </w:p>
        </w:tc>
        <w:tc>
          <w:tcPr>
            <w:tcW w:w="1064" w:type="dxa"/>
          </w:tcPr>
          <w:p>
            <w:pPr>
              <w:pStyle w:val="TableParagraph"/>
              <w:rPr>
                <w:rFonts w:ascii="Times New Roman"/>
                <w:sz w:val="10"/>
              </w:rPr>
            </w:pPr>
          </w:p>
        </w:tc>
        <w:tc>
          <w:tcPr>
            <w:tcW w:w="1320" w:type="dxa"/>
          </w:tcPr>
          <w:p>
            <w:pPr>
              <w:pStyle w:val="TableParagraph"/>
              <w:rPr>
                <w:rFonts w:ascii="Times New Roman"/>
                <w:sz w:val="10"/>
              </w:rPr>
            </w:pPr>
          </w:p>
        </w:tc>
        <w:tc>
          <w:tcPr>
            <w:tcW w:w="1025" w:type="dxa"/>
          </w:tcPr>
          <w:p>
            <w:pPr>
              <w:pStyle w:val="TableParagraph"/>
              <w:rPr>
                <w:rFonts w:ascii="Times New Roman"/>
                <w:sz w:val="10"/>
              </w:rPr>
            </w:pPr>
          </w:p>
        </w:tc>
        <w:tc>
          <w:tcPr>
            <w:tcW w:w="1175" w:type="dxa"/>
          </w:tcPr>
          <w:p>
            <w:pPr>
              <w:pStyle w:val="TableParagraph"/>
              <w:rPr>
                <w:rFonts w:ascii="Times New Roman"/>
                <w:sz w:val="10"/>
              </w:rPr>
            </w:pPr>
          </w:p>
        </w:tc>
      </w:tr>
      <w:tr>
        <w:trPr>
          <w:trHeight w:val="177" w:hRule="atLeast"/>
        </w:trPr>
        <w:tc>
          <w:tcPr>
            <w:tcW w:w="2587" w:type="dxa"/>
          </w:tcPr>
          <w:p>
            <w:pPr>
              <w:pStyle w:val="TableParagraph"/>
              <w:spacing w:line="152" w:lineRule="exact" w:before="6"/>
              <w:ind w:left="186"/>
              <w:rPr>
                <w:sz w:val="14"/>
              </w:rPr>
            </w:pPr>
            <w:r>
              <w:rPr>
                <w:sz w:val="14"/>
              </w:rPr>
              <w:t>Stores</w:t>
            </w:r>
          </w:p>
        </w:tc>
        <w:tc>
          <w:tcPr>
            <w:tcW w:w="752" w:type="dxa"/>
          </w:tcPr>
          <w:p>
            <w:pPr>
              <w:pStyle w:val="TableParagraph"/>
              <w:spacing w:line="131" w:lineRule="exact" w:before="27"/>
              <w:ind w:left="217"/>
              <w:rPr>
                <w:sz w:val="12"/>
              </w:rPr>
            </w:pPr>
            <w:r>
              <w:rPr>
                <w:w w:val="105"/>
                <w:sz w:val="12"/>
              </w:rPr>
              <w:t>9320</w:t>
            </w:r>
          </w:p>
        </w:tc>
        <w:tc>
          <w:tcPr>
            <w:tcW w:w="1173" w:type="dxa"/>
          </w:tcPr>
          <w:p>
            <w:pPr>
              <w:pStyle w:val="TableParagraph"/>
              <w:rPr>
                <w:rFonts w:ascii="Times New Roman"/>
                <w:sz w:val="10"/>
              </w:rPr>
            </w:pPr>
          </w:p>
        </w:tc>
        <w:tc>
          <w:tcPr>
            <w:tcW w:w="1173" w:type="dxa"/>
          </w:tcPr>
          <w:p>
            <w:pPr>
              <w:pStyle w:val="TableParagraph"/>
              <w:rPr>
                <w:rFonts w:ascii="Times New Roman"/>
                <w:sz w:val="10"/>
              </w:rPr>
            </w:pPr>
          </w:p>
        </w:tc>
        <w:tc>
          <w:tcPr>
            <w:tcW w:w="1272" w:type="dxa"/>
          </w:tcPr>
          <w:p>
            <w:pPr>
              <w:pStyle w:val="TableParagraph"/>
              <w:rPr>
                <w:rFonts w:ascii="Times New Roman"/>
                <w:sz w:val="10"/>
              </w:rPr>
            </w:pPr>
          </w:p>
        </w:tc>
        <w:tc>
          <w:tcPr>
            <w:tcW w:w="1210" w:type="dxa"/>
          </w:tcPr>
          <w:p>
            <w:pPr>
              <w:pStyle w:val="TableParagraph"/>
              <w:rPr>
                <w:rFonts w:ascii="Times New Roman"/>
                <w:sz w:val="10"/>
              </w:rPr>
            </w:pPr>
          </w:p>
        </w:tc>
        <w:tc>
          <w:tcPr>
            <w:tcW w:w="1145" w:type="dxa"/>
          </w:tcPr>
          <w:p>
            <w:pPr>
              <w:pStyle w:val="TableParagraph"/>
              <w:rPr>
                <w:rFonts w:ascii="Times New Roman"/>
                <w:sz w:val="10"/>
              </w:rPr>
            </w:pPr>
          </w:p>
        </w:tc>
        <w:tc>
          <w:tcPr>
            <w:tcW w:w="1064" w:type="dxa"/>
          </w:tcPr>
          <w:p>
            <w:pPr>
              <w:pStyle w:val="TableParagraph"/>
              <w:rPr>
                <w:rFonts w:ascii="Times New Roman"/>
                <w:sz w:val="10"/>
              </w:rPr>
            </w:pPr>
          </w:p>
        </w:tc>
        <w:tc>
          <w:tcPr>
            <w:tcW w:w="1320" w:type="dxa"/>
          </w:tcPr>
          <w:p>
            <w:pPr>
              <w:pStyle w:val="TableParagraph"/>
              <w:rPr>
                <w:rFonts w:ascii="Times New Roman"/>
                <w:sz w:val="10"/>
              </w:rPr>
            </w:pPr>
          </w:p>
        </w:tc>
        <w:tc>
          <w:tcPr>
            <w:tcW w:w="1025" w:type="dxa"/>
          </w:tcPr>
          <w:p>
            <w:pPr>
              <w:pStyle w:val="TableParagraph"/>
              <w:rPr>
                <w:rFonts w:ascii="Times New Roman"/>
                <w:sz w:val="10"/>
              </w:rPr>
            </w:pPr>
          </w:p>
        </w:tc>
        <w:tc>
          <w:tcPr>
            <w:tcW w:w="1175" w:type="dxa"/>
          </w:tcPr>
          <w:p>
            <w:pPr>
              <w:pStyle w:val="TableParagraph"/>
              <w:rPr>
                <w:rFonts w:ascii="Times New Roman"/>
                <w:sz w:val="10"/>
              </w:rPr>
            </w:pPr>
          </w:p>
        </w:tc>
      </w:tr>
      <w:tr>
        <w:trPr>
          <w:trHeight w:val="177" w:hRule="atLeast"/>
        </w:trPr>
        <w:tc>
          <w:tcPr>
            <w:tcW w:w="2587" w:type="dxa"/>
          </w:tcPr>
          <w:p>
            <w:pPr>
              <w:pStyle w:val="TableParagraph"/>
              <w:spacing w:line="152" w:lineRule="exact" w:before="6"/>
              <w:ind w:left="186"/>
              <w:rPr>
                <w:sz w:val="14"/>
              </w:rPr>
            </w:pPr>
            <w:r>
              <w:rPr>
                <w:sz w:val="14"/>
              </w:rPr>
              <w:t>Prepaid Expenditures</w:t>
            </w:r>
          </w:p>
        </w:tc>
        <w:tc>
          <w:tcPr>
            <w:tcW w:w="752" w:type="dxa"/>
          </w:tcPr>
          <w:p>
            <w:pPr>
              <w:pStyle w:val="TableParagraph"/>
              <w:spacing w:line="131" w:lineRule="exact" w:before="27"/>
              <w:ind w:left="217"/>
              <w:rPr>
                <w:sz w:val="12"/>
              </w:rPr>
            </w:pPr>
            <w:r>
              <w:rPr>
                <w:w w:val="105"/>
                <w:sz w:val="12"/>
              </w:rPr>
              <w:t>9330</w:t>
            </w:r>
          </w:p>
        </w:tc>
        <w:tc>
          <w:tcPr>
            <w:tcW w:w="1173" w:type="dxa"/>
          </w:tcPr>
          <w:p>
            <w:pPr>
              <w:pStyle w:val="TableParagraph"/>
              <w:rPr>
                <w:rFonts w:ascii="Times New Roman"/>
                <w:sz w:val="10"/>
              </w:rPr>
            </w:pPr>
          </w:p>
        </w:tc>
        <w:tc>
          <w:tcPr>
            <w:tcW w:w="1173" w:type="dxa"/>
          </w:tcPr>
          <w:p>
            <w:pPr>
              <w:pStyle w:val="TableParagraph"/>
              <w:rPr>
                <w:rFonts w:ascii="Times New Roman"/>
                <w:sz w:val="10"/>
              </w:rPr>
            </w:pPr>
          </w:p>
        </w:tc>
        <w:tc>
          <w:tcPr>
            <w:tcW w:w="1272" w:type="dxa"/>
          </w:tcPr>
          <w:p>
            <w:pPr>
              <w:pStyle w:val="TableParagraph"/>
              <w:rPr>
                <w:rFonts w:ascii="Times New Roman"/>
                <w:sz w:val="10"/>
              </w:rPr>
            </w:pPr>
          </w:p>
        </w:tc>
        <w:tc>
          <w:tcPr>
            <w:tcW w:w="1210" w:type="dxa"/>
          </w:tcPr>
          <w:p>
            <w:pPr>
              <w:pStyle w:val="TableParagraph"/>
              <w:rPr>
                <w:rFonts w:ascii="Times New Roman"/>
                <w:sz w:val="10"/>
              </w:rPr>
            </w:pPr>
          </w:p>
        </w:tc>
        <w:tc>
          <w:tcPr>
            <w:tcW w:w="1145" w:type="dxa"/>
          </w:tcPr>
          <w:p>
            <w:pPr>
              <w:pStyle w:val="TableParagraph"/>
              <w:rPr>
                <w:rFonts w:ascii="Times New Roman"/>
                <w:sz w:val="10"/>
              </w:rPr>
            </w:pPr>
          </w:p>
        </w:tc>
        <w:tc>
          <w:tcPr>
            <w:tcW w:w="1064" w:type="dxa"/>
          </w:tcPr>
          <w:p>
            <w:pPr>
              <w:pStyle w:val="TableParagraph"/>
              <w:rPr>
                <w:rFonts w:ascii="Times New Roman"/>
                <w:sz w:val="10"/>
              </w:rPr>
            </w:pPr>
          </w:p>
        </w:tc>
        <w:tc>
          <w:tcPr>
            <w:tcW w:w="1320" w:type="dxa"/>
          </w:tcPr>
          <w:p>
            <w:pPr>
              <w:pStyle w:val="TableParagraph"/>
              <w:rPr>
                <w:rFonts w:ascii="Times New Roman"/>
                <w:sz w:val="10"/>
              </w:rPr>
            </w:pPr>
          </w:p>
        </w:tc>
        <w:tc>
          <w:tcPr>
            <w:tcW w:w="1025" w:type="dxa"/>
          </w:tcPr>
          <w:p>
            <w:pPr>
              <w:pStyle w:val="TableParagraph"/>
              <w:rPr>
                <w:rFonts w:ascii="Times New Roman"/>
                <w:sz w:val="10"/>
              </w:rPr>
            </w:pPr>
          </w:p>
        </w:tc>
        <w:tc>
          <w:tcPr>
            <w:tcW w:w="1175" w:type="dxa"/>
          </w:tcPr>
          <w:p>
            <w:pPr>
              <w:pStyle w:val="TableParagraph"/>
              <w:rPr>
                <w:rFonts w:ascii="Times New Roman"/>
                <w:sz w:val="10"/>
              </w:rPr>
            </w:pPr>
          </w:p>
        </w:tc>
      </w:tr>
      <w:tr>
        <w:trPr>
          <w:trHeight w:val="177" w:hRule="atLeast"/>
        </w:trPr>
        <w:tc>
          <w:tcPr>
            <w:tcW w:w="2587" w:type="dxa"/>
          </w:tcPr>
          <w:p>
            <w:pPr>
              <w:pStyle w:val="TableParagraph"/>
              <w:spacing w:line="152" w:lineRule="exact" w:before="6"/>
              <w:ind w:left="186"/>
              <w:rPr>
                <w:sz w:val="14"/>
              </w:rPr>
            </w:pPr>
            <w:r>
              <w:rPr>
                <w:sz w:val="14"/>
              </w:rPr>
              <w:t>Other Current Assets</w:t>
            </w:r>
          </w:p>
        </w:tc>
        <w:tc>
          <w:tcPr>
            <w:tcW w:w="752" w:type="dxa"/>
          </w:tcPr>
          <w:p>
            <w:pPr>
              <w:pStyle w:val="TableParagraph"/>
              <w:spacing w:line="131" w:lineRule="exact" w:before="27"/>
              <w:ind w:left="217"/>
              <w:rPr>
                <w:sz w:val="12"/>
              </w:rPr>
            </w:pPr>
            <w:r>
              <w:rPr>
                <w:w w:val="105"/>
                <w:sz w:val="12"/>
              </w:rPr>
              <w:t>9340</w:t>
            </w:r>
          </w:p>
        </w:tc>
        <w:tc>
          <w:tcPr>
            <w:tcW w:w="1173" w:type="dxa"/>
          </w:tcPr>
          <w:p>
            <w:pPr>
              <w:pStyle w:val="TableParagraph"/>
              <w:rPr>
                <w:rFonts w:ascii="Times New Roman"/>
                <w:sz w:val="10"/>
              </w:rPr>
            </w:pPr>
          </w:p>
        </w:tc>
        <w:tc>
          <w:tcPr>
            <w:tcW w:w="1173" w:type="dxa"/>
          </w:tcPr>
          <w:p>
            <w:pPr>
              <w:pStyle w:val="TableParagraph"/>
              <w:rPr>
                <w:rFonts w:ascii="Times New Roman"/>
                <w:sz w:val="10"/>
              </w:rPr>
            </w:pPr>
          </w:p>
        </w:tc>
        <w:tc>
          <w:tcPr>
            <w:tcW w:w="1272" w:type="dxa"/>
          </w:tcPr>
          <w:p>
            <w:pPr>
              <w:pStyle w:val="TableParagraph"/>
              <w:rPr>
                <w:rFonts w:ascii="Times New Roman"/>
                <w:sz w:val="10"/>
              </w:rPr>
            </w:pPr>
          </w:p>
        </w:tc>
        <w:tc>
          <w:tcPr>
            <w:tcW w:w="1210" w:type="dxa"/>
          </w:tcPr>
          <w:p>
            <w:pPr>
              <w:pStyle w:val="TableParagraph"/>
              <w:rPr>
                <w:rFonts w:ascii="Times New Roman"/>
                <w:sz w:val="10"/>
              </w:rPr>
            </w:pPr>
          </w:p>
        </w:tc>
        <w:tc>
          <w:tcPr>
            <w:tcW w:w="1145" w:type="dxa"/>
          </w:tcPr>
          <w:p>
            <w:pPr>
              <w:pStyle w:val="TableParagraph"/>
              <w:rPr>
                <w:rFonts w:ascii="Times New Roman"/>
                <w:sz w:val="10"/>
              </w:rPr>
            </w:pPr>
          </w:p>
        </w:tc>
        <w:tc>
          <w:tcPr>
            <w:tcW w:w="1064" w:type="dxa"/>
          </w:tcPr>
          <w:p>
            <w:pPr>
              <w:pStyle w:val="TableParagraph"/>
              <w:rPr>
                <w:rFonts w:ascii="Times New Roman"/>
                <w:sz w:val="10"/>
              </w:rPr>
            </w:pPr>
          </w:p>
        </w:tc>
        <w:tc>
          <w:tcPr>
            <w:tcW w:w="1320" w:type="dxa"/>
          </w:tcPr>
          <w:p>
            <w:pPr>
              <w:pStyle w:val="TableParagraph"/>
              <w:rPr>
                <w:rFonts w:ascii="Times New Roman"/>
                <w:sz w:val="10"/>
              </w:rPr>
            </w:pPr>
          </w:p>
        </w:tc>
        <w:tc>
          <w:tcPr>
            <w:tcW w:w="1025" w:type="dxa"/>
          </w:tcPr>
          <w:p>
            <w:pPr>
              <w:pStyle w:val="TableParagraph"/>
              <w:rPr>
                <w:rFonts w:ascii="Times New Roman"/>
                <w:sz w:val="10"/>
              </w:rPr>
            </w:pPr>
          </w:p>
        </w:tc>
        <w:tc>
          <w:tcPr>
            <w:tcW w:w="1175" w:type="dxa"/>
          </w:tcPr>
          <w:p>
            <w:pPr>
              <w:pStyle w:val="TableParagraph"/>
              <w:rPr>
                <w:rFonts w:ascii="Times New Roman"/>
                <w:sz w:val="10"/>
              </w:rPr>
            </w:pPr>
          </w:p>
        </w:tc>
      </w:tr>
      <w:tr>
        <w:trPr>
          <w:trHeight w:val="177" w:hRule="atLeast"/>
        </w:trPr>
        <w:tc>
          <w:tcPr>
            <w:tcW w:w="2587" w:type="dxa"/>
          </w:tcPr>
          <w:p>
            <w:pPr>
              <w:pStyle w:val="TableParagraph"/>
              <w:spacing w:line="152" w:lineRule="exact" w:before="6"/>
              <w:ind w:left="186"/>
              <w:rPr>
                <w:sz w:val="14"/>
              </w:rPr>
            </w:pPr>
            <w:r>
              <w:rPr>
                <w:sz w:val="14"/>
              </w:rPr>
              <w:t>Deferred Outflows of Resources</w:t>
            </w:r>
          </w:p>
        </w:tc>
        <w:tc>
          <w:tcPr>
            <w:tcW w:w="752" w:type="dxa"/>
          </w:tcPr>
          <w:p>
            <w:pPr>
              <w:pStyle w:val="TableParagraph"/>
              <w:spacing w:line="131" w:lineRule="exact" w:before="27"/>
              <w:ind w:left="217"/>
              <w:rPr>
                <w:sz w:val="12"/>
              </w:rPr>
            </w:pPr>
            <w:r>
              <w:rPr>
                <w:w w:val="105"/>
                <w:sz w:val="12"/>
              </w:rPr>
              <w:t>9490</w:t>
            </w:r>
          </w:p>
        </w:tc>
        <w:tc>
          <w:tcPr>
            <w:tcW w:w="1173" w:type="dxa"/>
          </w:tcPr>
          <w:p>
            <w:pPr>
              <w:pStyle w:val="TableParagraph"/>
              <w:rPr>
                <w:rFonts w:ascii="Times New Roman"/>
                <w:sz w:val="10"/>
              </w:rPr>
            </w:pPr>
          </w:p>
        </w:tc>
        <w:tc>
          <w:tcPr>
            <w:tcW w:w="1173" w:type="dxa"/>
          </w:tcPr>
          <w:p>
            <w:pPr>
              <w:pStyle w:val="TableParagraph"/>
              <w:rPr>
                <w:rFonts w:ascii="Times New Roman"/>
                <w:sz w:val="10"/>
              </w:rPr>
            </w:pPr>
          </w:p>
        </w:tc>
        <w:tc>
          <w:tcPr>
            <w:tcW w:w="1272" w:type="dxa"/>
          </w:tcPr>
          <w:p>
            <w:pPr>
              <w:pStyle w:val="TableParagraph"/>
              <w:rPr>
                <w:rFonts w:ascii="Times New Roman"/>
                <w:sz w:val="10"/>
              </w:rPr>
            </w:pPr>
          </w:p>
        </w:tc>
        <w:tc>
          <w:tcPr>
            <w:tcW w:w="1210" w:type="dxa"/>
          </w:tcPr>
          <w:p>
            <w:pPr>
              <w:pStyle w:val="TableParagraph"/>
              <w:rPr>
                <w:rFonts w:ascii="Times New Roman"/>
                <w:sz w:val="10"/>
              </w:rPr>
            </w:pPr>
          </w:p>
        </w:tc>
        <w:tc>
          <w:tcPr>
            <w:tcW w:w="1145" w:type="dxa"/>
          </w:tcPr>
          <w:p>
            <w:pPr>
              <w:pStyle w:val="TableParagraph"/>
              <w:rPr>
                <w:rFonts w:ascii="Times New Roman"/>
                <w:sz w:val="10"/>
              </w:rPr>
            </w:pPr>
          </w:p>
        </w:tc>
        <w:tc>
          <w:tcPr>
            <w:tcW w:w="1064" w:type="dxa"/>
          </w:tcPr>
          <w:p>
            <w:pPr>
              <w:pStyle w:val="TableParagraph"/>
              <w:rPr>
                <w:rFonts w:ascii="Times New Roman"/>
                <w:sz w:val="10"/>
              </w:rPr>
            </w:pPr>
          </w:p>
        </w:tc>
        <w:tc>
          <w:tcPr>
            <w:tcW w:w="1320" w:type="dxa"/>
          </w:tcPr>
          <w:p>
            <w:pPr>
              <w:pStyle w:val="TableParagraph"/>
              <w:rPr>
                <w:rFonts w:ascii="Times New Roman"/>
                <w:sz w:val="10"/>
              </w:rPr>
            </w:pPr>
          </w:p>
        </w:tc>
        <w:tc>
          <w:tcPr>
            <w:tcW w:w="1025" w:type="dxa"/>
          </w:tcPr>
          <w:p>
            <w:pPr>
              <w:pStyle w:val="TableParagraph"/>
              <w:rPr>
                <w:rFonts w:ascii="Times New Roman"/>
                <w:sz w:val="10"/>
              </w:rPr>
            </w:pPr>
          </w:p>
        </w:tc>
        <w:tc>
          <w:tcPr>
            <w:tcW w:w="1175" w:type="dxa"/>
          </w:tcPr>
          <w:p>
            <w:pPr>
              <w:pStyle w:val="TableParagraph"/>
              <w:rPr>
                <w:rFonts w:ascii="Times New Roman"/>
                <w:sz w:val="10"/>
              </w:rPr>
            </w:pPr>
          </w:p>
        </w:tc>
      </w:tr>
      <w:tr>
        <w:trPr>
          <w:trHeight w:val="166" w:hRule="atLeast"/>
        </w:trPr>
        <w:tc>
          <w:tcPr>
            <w:tcW w:w="2587" w:type="dxa"/>
          </w:tcPr>
          <w:p>
            <w:pPr>
              <w:pStyle w:val="TableParagraph"/>
              <w:spacing w:line="141" w:lineRule="exact" w:before="6"/>
              <w:ind w:left="186"/>
              <w:rPr>
                <w:sz w:val="14"/>
              </w:rPr>
            </w:pPr>
            <w:r>
              <w:rPr>
                <w:sz w:val="14"/>
              </w:rPr>
              <w:t>SUBTOTAL</w:t>
            </w:r>
          </w:p>
        </w:tc>
        <w:tc>
          <w:tcPr>
            <w:tcW w:w="752" w:type="dxa"/>
          </w:tcPr>
          <w:p>
            <w:pPr>
              <w:pStyle w:val="TableParagraph"/>
              <w:rPr>
                <w:rFonts w:ascii="Times New Roman"/>
                <w:sz w:val="10"/>
              </w:rPr>
            </w:pPr>
          </w:p>
        </w:tc>
        <w:tc>
          <w:tcPr>
            <w:tcW w:w="1173" w:type="dxa"/>
          </w:tcPr>
          <w:p>
            <w:pPr>
              <w:pStyle w:val="TableParagraph"/>
              <w:spacing w:line="120" w:lineRule="exact" w:before="27"/>
              <w:ind w:right="26"/>
              <w:jc w:val="right"/>
              <w:rPr>
                <w:sz w:val="12"/>
              </w:rPr>
            </w:pPr>
            <w:r>
              <w:rPr>
                <w:w w:val="105"/>
                <w:sz w:val="12"/>
              </w:rPr>
              <w:t>399,359.00</w:t>
            </w:r>
          </w:p>
        </w:tc>
        <w:tc>
          <w:tcPr>
            <w:tcW w:w="1173" w:type="dxa"/>
          </w:tcPr>
          <w:p>
            <w:pPr>
              <w:pStyle w:val="TableParagraph"/>
              <w:spacing w:line="120" w:lineRule="exact" w:before="27"/>
              <w:ind w:right="25"/>
              <w:jc w:val="right"/>
              <w:rPr>
                <w:sz w:val="12"/>
              </w:rPr>
            </w:pPr>
            <w:r>
              <w:rPr>
                <w:w w:val="105"/>
                <w:sz w:val="12"/>
              </w:rPr>
              <w:t>84,110.00</w:t>
            </w:r>
          </w:p>
        </w:tc>
        <w:tc>
          <w:tcPr>
            <w:tcW w:w="1272" w:type="dxa"/>
          </w:tcPr>
          <w:p>
            <w:pPr>
              <w:pStyle w:val="TableParagraph"/>
              <w:spacing w:line="120" w:lineRule="exact" w:before="27"/>
              <w:ind w:right="123"/>
              <w:jc w:val="right"/>
              <w:rPr>
                <w:sz w:val="12"/>
              </w:rPr>
            </w:pPr>
            <w:r>
              <w:rPr>
                <w:w w:val="105"/>
                <w:sz w:val="12"/>
              </w:rPr>
              <w:t>68,635.00</w:t>
            </w:r>
          </w:p>
        </w:tc>
        <w:tc>
          <w:tcPr>
            <w:tcW w:w="1210" w:type="dxa"/>
          </w:tcPr>
          <w:p>
            <w:pPr>
              <w:pStyle w:val="TableParagraph"/>
              <w:spacing w:line="120" w:lineRule="exact" w:before="27"/>
              <w:ind w:right="159"/>
              <w:jc w:val="right"/>
              <w:rPr>
                <w:sz w:val="12"/>
              </w:rPr>
            </w:pPr>
            <w:r>
              <w:rPr>
                <w:w w:val="105"/>
                <w:sz w:val="12"/>
              </w:rPr>
              <w:t>59,832.00</w:t>
            </w:r>
          </w:p>
        </w:tc>
        <w:tc>
          <w:tcPr>
            <w:tcW w:w="1145" w:type="dxa"/>
          </w:tcPr>
          <w:p>
            <w:pPr>
              <w:pStyle w:val="TableParagraph"/>
              <w:spacing w:line="120" w:lineRule="exact" w:before="27"/>
              <w:ind w:right="132"/>
              <w:jc w:val="right"/>
              <w:rPr>
                <w:sz w:val="12"/>
              </w:rPr>
            </w:pPr>
            <w:r>
              <w:rPr>
                <w:w w:val="105"/>
                <w:sz w:val="12"/>
              </w:rPr>
              <w:t>101,718.00</w:t>
            </w:r>
          </w:p>
        </w:tc>
        <w:tc>
          <w:tcPr>
            <w:tcW w:w="1064" w:type="dxa"/>
          </w:tcPr>
          <w:p>
            <w:pPr>
              <w:pStyle w:val="TableParagraph"/>
              <w:spacing w:line="120" w:lineRule="exact" w:before="27"/>
              <w:ind w:right="21"/>
              <w:jc w:val="right"/>
              <w:rPr>
                <w:sz w:val="12"/>
              </w:rPr>
            </w:pPr>
            <w:r>
              <w:rPr>
                <w:w w:val="105"/>
                <w:sz w:val="12"/>
              </w:rPr>
              <w:t>69,741.00</w:t>
            </w:r>
          </w:p>
        </w:tc>
        <w:tc>
          <w:tcPr>
            <w:tcW w:w="1320" w:type="dxa"/>
          </w:tcPr>
          <w:p>
            <w:pPr>
              <w:pStyle w:val="TableParagraph"/>
              <w:spacing w:line="120" w:lineRule="exact" w:before="27"/>
              <w:ind w:right="168"/>
              <w:jc w:val="right"/>
              <w:rPr>
                <w:sz w:val="12"/>
              </w:rPr>
            </w:pPr>
            <w:r>
              <w:rPr>
                <w:w w:val="105"/>
                <w:sz w:val="12"/>
              </w:rPr>
              <w:t>0.00</w:t>
            </w:r>
          </w:p>
        </w:tc>
        <w:tc>
          <w:tcPr>
            <w:tcW w:w="1025" w:type="dxa"/>
          </w:tcPr>
          <w:p>
            <w:pPr>
              <w:pStyle w:val="TableParagraph"/>
              <w:spacing w:line="120" w:lineRule="exact" w:before="27"/>
              <w:ind w:right="19"/>
              <w:jc w:val="right"/>
              <w:rPr>
                <w:sz w:val="12"/>
              </w:rPr>
            </w:pPr>
            <w:r>
              <w:rPr>
                <w:w w:val="105"/>
                <w:sz w:val="12"/>
              </w:rPr>
              <w:t>0.00</w:t>
            </w:r>
          </w:p>
        </w:tc>
        <w:tc>
          <w:tcPr>
            <w:tcW w:w="1175" w:type="dxa"/>
          </w:tcPr>
          <w:p>
            <w:pPr>
              <w:pStyle w:val="TableParagraph"/>
              <w:spacing w:line="120" w:lineRule="exact" w:before="27"/>
              <w:ind w:right="20"/>
              <w:jc w:val="right"/>
              <w:rPr>
                <w:sz w:val="12"/>
              </w:rPr>
            </w:pPr>
            <w:r>
              <w:rPr>
                <w:w w:val="105"/>
                <w:sz w:val="12"/>
              </w:rPr>
              <w:t>0.00</w:t>
            </w:r>
          </w:p>
        </w:tc>
      </w:tr>
      <w:tr>
        <w:trPr>
          <w:trHeight w:val="177" w:hRule="atLeast"/>
        </w:trPr>
        <w:tc>
          <w:tcPr>
            <w:tcW w:w="2587" w:type="dxa"/>
          </w:tcPr>
          <w:p>
            <w:pPr>
              <w:pStyle w:val="TableParagraph"/>
              <w:spacing w:line="141" w:lineRule="exact" w:before="16"/>
              <w:ind w:left="32"/>
              <w:rPr>
                <w:sz w:val="14"/>
              </w:rPr>
            </w:pPr>
            <w:r>
              <w:rPr>
                <w:spacing w:val="-78"/>
                <w:sz w:val="14"/>
                <w:u w:val="single"/>
              </w:rPr>
              <w:t>L</w:t>
            </w:r>
            <w:r>
              <w:rPr>
                <w:spacing w:val="38"/>
                <w:sz w:val="14"/>
              </w:rPr>
              <w:t> </w:t>
            </w:r>
            <w:r>
              <w:rPr>
                <w:sz w:val="14"/>
                <w:u w:val="single"/>
              </w:rPr>
              <w:t>iabilities and Deferred Inflows</w:t>
            </w:r>
          </w:p>
        </w:tc>
        <w:tc>
          <w:tcPr>
            <w:tcW w:w="752" w:type="dxa"/>
          </w:tcPr>
          <w:p>
            <w:pPr>
              <w:pStyle w:val="TableParagraph"/>
              <w:rPr>
                <w:rFonts w:ascii="Times New Roman"/>
                <w:sz w:val="10"/>
              </w:rPr>
            </w:pPr>
          </w:p>
        </w:tc>
        <w:tc>
          <w:tcPr>
            <w:tcW w:w="1173" w:type="dxa"/>
          </w:tcPr>
          <w:p>
            <w:pPr>
              <w:pStyle w:val="TableParagraph"/>
              <w:rPr>
                <w:rFonts w:ascii="Times New Roman"/>
                <w:sz w:val="10"/>
              </w:rPr>
            </w:pPr>
          </w:p>
        </w:tc>
        <w:tc>
          <w:tcPr>
            <w:tcW w:w="1173" w:type="dxa"/>
          </w:tcPr>
          <w:p>
            <w:pPr>
              <w:pStyle w:val="TableParagraph"/>
              <w:rPr>
                <w:rFonts w:ascii="Times New Roman"/>
                <w:sz w:val="10"/>
              </w:rPr>
            </w:pPr>
          </w:p>
        </w:tc>
        <w:tc>
          <w:tcPr>
            <w:tcW w:w="1272" w:type="dxa"/>
          </w:tcPr>
          <w:p>
            <w:pPr>
              <w:pStyle w:val="TableParagraph"/>
              <w:rPr>
                <w:rFonts w:ascii="Times New Roman"/>
                <w:sz w:val="10"/>
              </w:rPr>
            </w:pPr>
          </w:p>
        </w:tc>
        <w:tc>
          <w:tcPr>
            <w:tcW w:w="1210" w:type="dxa"/>
          </w:tcPr>
          <w:p>
            <w:pPr>
              <w:pStyle w:val="TableParagraph"/>
              <w:rPr>
                <w:rFonts w:ascii="Times New Roman"/>
                <w:sz w:val="10"/>
              </w:rPr>
            </w:pPr>
          </w:p>
        </w:tc>
        <w:tc>
          <w:tcPr>
            <w:tcW w:w="1145" w:type="dxa"/>
          </w:tcPr>
          <w:p>
            <w:pPr>
              <w:pStyle w:val="TableParagraph"/>
              <w:rPr>
                <w:rFonts w:ascii="Times New Roman"/>
                <w:sz w:val="10"/>
              </w:rPr>
            </w:pPr>
          </w:p>
        </w:tc>
        <w:tc>
          <w:tcPr>
            <w:tcW w:w="1064" w:type="dxa"/>
          </w:tcPr>
          <w:p>
            <w:pPr>
              <w:pStyle w:val="TableParagraph"/>
              <w:rPr>
                <w:rFonts w:ascii="Times New Roman"/>
                <w:sz w:val="10"/>
              </w:rPr>
            </w:pPr>
          </w:p>
        </w:tc>
        <w:tc>
          <w:tcPr>
            <w:tcW w:w="1320" w:type="dxa"/>
          </w:tcPr>
          <w:p>
            <w:pPr>
              <w:pStyle w:val="TableParagraph"/>
              <w:rPr>
                <w:rFonts w:ascii="Times New Roman"/>
                <w:sz w:val="10"/>
              </w:rPr>
            </w:pPr>
          </w:p>
        </w:tc>
        <w:tc>
          <w:tcPr>
            <w:tcW w:w="1025" w:type="dxa"/>
          </w:tcPr>
          <w:p>
            <w:pPr>
              <w:pStyle w:val="TableParagraph"/>
              <w:rPr>
                <w:rFonts w:ascii="Times New Roman"/>
                <w:sz w:val="10"/>
              </w:rPr>
            </w:pPr>
          </w:p>
        </w:tc>
        <w:tc>
          <w:tcPr>
            <w:tcW w:w="1175" w:type="dxa"/>
          </w:tcPr>
          <w:p>
            <w:pPr>
              <w:pStyle w:val="TableParagraph"/>
              <w:rPr>
                <w:rFonts w:ascii="Times New Roman"/>
                <w:sz w:val="10"/>
              </w:rPr>
            </w:pPr>
          </w:p>
        </w:tc>
      </w:tr>
      <w:tr>
        <w:trPr>
          <w:trHeight w:val="188" w:hRule="atLeast"/>
        </w:trPr>
        <w:tc>
          <w:tcPr>
            <w:tcW w:w="2587" w:type="dxa"/>
          </w:tcPr>
          <w:p>
            <w:pPr>
              <w:pStyle w:val="TableParagraph"/>
              <w:spacing w:line="152" w:lineRule="exact" w:before="16"/>
              <w:ind w:left="186"/>
              <w:rPr>
                <w:sz w:val="14"/>
              </w:rPr>
            </w:pPr>
            <w:r>
              <w:rPr>
                <w:sz w:val="14"/>
              </w:rPr>
              <w:t>Accounts Payable</w:t>
            </w:r>
          </w:p>
        </w:tc>
        <w:tc>
          <w:tcPr>
            <w:tcW w:w="752" w:type="dxa"/>
          </w:tcPr>
          <w:p>
            <w:pPr>
              <w:pStyle w:val="TableParagraph"/>
              <w:spacing w:line="131" w:lineRule="exact" w:before="38"/>
              <w:ind w:left="57"/>
              <w:rPr>
                <w:sz w:val="12"/>
              </w:rPr>
            </w:pPr>
            <w:r>
              <w:rPr>
                <w:w w:val="105"/>
                <w:sz w:val="12"/>
              </w:rPr>
              <w:t>9500-9599</w:t>
            </w:r>
          </w:p>
        </w:tc>
        <w:tc>
          <w:tcPr>
            <w:tcW w:w="1173" w:type="dxa"/>
          </w:tcPr>
          <w:p>
            <w:pPr>
              <w:pStyle w:val="TableParagraph"/>
              <w:spacing w:line="131" w:lineRule="exact" w:before="38"/>
              <w:ind w:right="26"/>
              <w:jc w:val="right"/>
              <w:rPr>
                <w:sz w:val="12"/>
              </w:rPr>
            </w:pPr>
            <w:r>
              <w:rPr>
                <w:w w:val="105"/>
                <w:sz w:val="12"/>
              </w:rPr>
              <w:t>223,524.00</w:t>
            </w:r>
          </w:p>
        </w:tc>
        <w:tc>
          <w:tcPr>
            <w:tcW w:w="1173" w:type="dxa"/>
          </w:tcPr>
          <w:p>
            <w:pPr>
              <w:pStyle w:val="TableParagraph"/>
              <w:spacing w:line="131" w:lineRule="exact" w:before="38"/>
              <w:ind w:right="25"/>
              <w:jc w:val="right"/>
              <w:rPr>
                <w:sz w:val="12"/>
              </w:rPr>
            </w:pPr>
            <w:r>
              <w:rPr>
                <w:w w:val="105"/>
                <w:sz w:val="12"/>
              </w:rPr>
              <w:t>13,363.00</w:t>
            </w:r>
          </w:p>
        </w:tc>
        <w:tc>
          <w:tcPr>
            <w:tcW w:w="1272" w:type="dxa"/>
          </w:tcPr>
          <w:p>
            <w:pPr>
              <w:pStyle w:val="TableParagraph"/>
              <w:spacing w:line="131" w:lineRule="exact" w:before="38"/>
              <w:ind w:right="123"/>
              <w:jc w:val="right"/>
              <w:rPr>
                <w:sz w:val="12"/>
              </w:rPr>
            </w:pPr>
            <w:r>
              <w:rPr>
                <w:w w:val="105"/>
                <w:sz w:val="12"/>
              </w:rPr>
              <w:t>34,225.00</w:t>
            </w:r>
          </w:p>
        </w:tc>
        <w:tc>
          <w:tcPr>
            <w:tcW w:w="1210" w:type="dxa"/>
          </w:tcPr>
          <w:p>
            <w:pPr>
              <w:pStyle w:val="TableParagraph"/>
              <w:spacing w:line="131" w:lineRule="exact" w:before="38"/>
              <w:ind w:right="161"/>
              <w:jc w:val="right"/>
              <w:rPr>
                <w:sz w:val="12"/>
              </w:rPr>
            </w:pPr>
            <w:r>
              <w:rPr>
                <w:w w:val="105"/>
                <w:sz w:val="12"/>
              </w:rPr>
              <w:t>(1,030.00)</w:t>
            </w:r>
          </w:p>
        </w:tc>
        <w:tc>
          <w:tcPr>
            <w:tcW w:w="1145" w:type="dxa"/>
          </w:tcPr>
          <w:p>
            <w:pPr>
              <w:pStyle w:val="TableParagraph"/>
              <w:spacing w:line="131" w:lineRule="exact" w:before="38"/>
              <w:ind w:right="131"/>
              <w:jc w:val="right"/>
              <w:rPr>
                <w:sz w:val="12"/>
              </w:rPr>
            </w:pPr>
            <w:r>
              <w:rPr>
                <w:w w:val="105"/>
                <w:sz w:val="12"/>
              </w:rPr>
              <w:t>96,451.00</w:t>
            </w:r>
          </w:p>
        </w:tc>
        <w:tc>
          <w:tcPr>
            <w:tcW w:w="1064" w:type="dxa"/>
          </w:tcPr>
          <w:p>
            <w:pPr>
              <w:pStyle w:val="TableParagraph"/>
              <w:spacing w:line="131" w:lineRule="exact" w:before="38"/>
              <w:ind w:right="21"/>
              <w:jc w:val="right"/>
              <w:rPr>
                <w:sz w:val="12"/>
              </w:rPr>
            </w:pPr>
            <w:r>
              <w:rPr>
                <w:w w:val="105"/>
                <w:sz w:val="12"/>
              </w:rPr>
              <w:t>12,875.00</w:t>
            </w:r>
          </w:p>
        </w:tc>
        <w:tc>
          <w:tcPr>
            <w:tcW w:w="1320" w:type="dxa"/>
          </w:tcPr>
          <w:p>
            <w:pPr>
              <w:pStyle w:val="TableParagraph"/>
              <w:spacing w:line="131" w:lineRule="exact" w:before="38"/>
              <w:ind w:right="169"/>
              <w:jc w:val="right"/>
              <w:rPr>
                <w:sz w:val="12"/>
              </w:rPr>
            </w:pPr>
            <w:r>
              <w:rPr>
                <w:w w:val="105"/>
                <w:sz w:val="12"/>
              </w:rPr>
              <w:t>(6,030.00)</w:t>
            </w:r>
          </w:p>
        </w:tc>
        <w:tc>
          <w:tcPr>
            <w:tcW w:w="1025" w:type="dxa"/>
          </w:tcPr>
          <w:p>
            <w:pPr>
              <w:pStyle w:val="TableParagraph"/>
              <w:spacing w:line="131" w:lineRule="exact" w:before="38"/>
              <w:ind w:right="19"/>
              <w:jc w:val="right"/>
              <w:rPr>
                <w:sz w:val="12"/>
              </w:rPr>
            </w:pPr>
            <w:r>
              <w:rPr>
                <w:w w:val="105"/>
                <w:sz w:val="12"/>
              </w:rPr>
              <w:t>23,494.00</w:t>
            </w:r>
          </w:p>
        </w:tc>
        <w:tc>
          <w:tcPr>
            <w:tcW w:w="1175" w:type="dxa"/>
          </w:tcPr>
          <w:p>
            <w:pPr>
              <w:pStyle w:val="TableParagraph"/>
              <w:spacing w:line="131" w:lineRule="exact" w:before="38"/>
              <w:ind w:right="22"/>
              <w:jc w:val="right"/>
              <w:rPr>
                <w:sz w:val="12"/>
              </w:rPr>
            </w:pPr>
            <w:r>
              <w:rPr>
                <w:w w:val="105"/>
                <w:sz w:val="12"/>
              </w:rPr>
              <w:t>(3,200.00)</w:t>
            </w:r>
          </w:p>
        </w:tc>
      </w:tr>
      <w:tr>
        <w:trPr>
          <w:trHeight w:val="177" w:hRule="atLeast"/>
        </w:trPr>
        <w:tc>
          <w:tcPr>
            <w:tcW w:w="2587" w:type="dxa"/>
          </w:tcPr>
          <w:p>
            <w:pPr>
              <w:pStyle w:val="TableParagraph"/>
              <w:spacing w:line="152" w:lineRule="exact" w:before="6"/>
              <w:ind w:left="186"/>
              <w:rPr>
                <w:sz w:val="14"/>
              </w:rPr>
            </w:pPr>
            <w:r>
              <w:rPr>
                <w:sz w:val="14"/>
              </w:rPr>
              <w:t>Due To Other Funds</w:t>
            </w:r>
          </w:p>
        </w:tc>
        <w:tc>
          <w:tcPr>
            <w:tcW w:w="752" w:type="dxa"/>
          </w:tcPr>
          <w:p>
            <w:pPr>
              <w:pStyle w:val="TableParagraph"/>
              <w:spacing w:line="131" w:lineRule="exact" w:before="27"/>
              <w:ind w:left="217"/>
              <w:rPr>
                <w:sz w:val="12"/>
              </w:rPr>
            </w:pPr>
            <w:r>
              <w:rPr>
                <w:w w:val="105"/>
                <w:sz w:val="12"/>
              </w:rPr>
              <w:t>9610</w:t>
            </w:r>
          </w:p>
        </w:tc>
        <w:tc>
          <w:tcPr>
            <w:tcW w:w="1173" w:type="dxa"/>
          </w:tcPr>
          <w:p>
            <w:pPr>
              <w:pStyle w:val="TableParagraph"/>
              <w:rPr>
                <w:rFonts w:ascii="Times New Roman"/>
                <w:sz w:val="10"/>
              </w:rPr>
            </w:pPr>
          </w:p>
        </w:tc>
        <w:tc>
          <w:tcPr>
            <w:tcW w:w="1173" w:type="dxa"/>
          </w:tcPr>
          <w:p>
            <w:pPr>
              <w:pStyle w:val="TableParagraph"/>
              <w:rPr>
                <w:rFonts w:ascii="Times New Roman"/>
                <w:sz w:val="10"/>
              </w:rPr>
            </w:pPr>
          </w:p>
        </w:tc>
        <w:tc>
          <w:tcPr>
            <w:tcW w:w="1272" w:type="dxa"/>
          </w:tcPr>
          <w:p>
            <w:pPr>
              <w:pStyle w:val="TableParagraph"/>
              <w:rPr>
                <w:rFonts w:ascii="Times New Roman"/>
                <w:sz w:val="10"/>
              </w:rPr>
            </w:pPr>
          </w:p>
        </w:tc>
        <w:tc>
          <w:tcPr>
            <w:tcW w:w="1210" w:type="dxa"/>
          </w:tcPr>
          <w:p>
            <w:pPr>
              <w:pStyle w:val="TableParagraph"/>
              <w:rPr>
                <w:rFonts w:ascii="Times New Roman"/>
                <w:sz w:val="10"/>
              </w:rPr>
            </w:pPr>
          </w:p>
        </w:tc>
        <w:tc>
          <w:tcPr>
            <w:tcW w:w="1145" w:type="dxa"/>
          </w:tcPr>
          <w:p>
            <w:pPr>
              <w:pStyle w:val="TableParagraph"/>
              <w:rPr>
                <w:rFonts w:ascii="Times New Roman"/>
                <w:sz w:val="10"/>
              </w:rPr>
            </w:pPr>
          </w:p>
        </w:tc>
        <w:tc>
          <w:tcPr>
            <w:tcW w:w="1064" w:type="dxa"/>
          </w:tcPr>
          <w:p>
            <w:pPr>
              <w:pStyle w:val="TableParagraph"/>
              <w:rPr>
                <w:rFonts w:ascii="Times New Roman"/>
                <w:sz w:val="10"/>
              </w:rPr>
            </w:pPr>
          </w:p>
        </w:tc>
        <w:tc>
          <w:tcPr>
            <w:tcW w:w="1320" w:type="dxa"/>
          </w:tcPr>
          <w:p>
            <w:pPr>
              <w:pStyle w:val="TableParagraph"/>
              <w:rPr>
                <w:rFonts w:ascii="Times New Roman"/>
                <w:sz w:val="10"/>
              </w:rPr>
            </w:pPr>
          </w:p>
        </w:tc>
        <w:tc>
          <w:tcPr>
            <w:tcW w:w="1025" w:type="dxa"/>
          </w:tcPr>
          <w:p>
            <w:pPr>
              <w:pStyle w:val="TableParagraph"/>
              <w:rPr>
                <w:rFonts w:ascii="Times New Roman"/>
                <w:sz w:val="10"/>
              </w:rPr>
            </w:pPr>
          </w:p>
        </w:tc>
        <w:tc>
          <w:tcPr>
            <w:tcW w:w="1175" w:type="dxa"/>
          </w:tcPr>
          <w:p>
            <w:pPr>
              <w:pStyle w:val="TableParagraph"/>
              <w:rPr>
                <w:rFonts w:ascii="Times New Roman"/>
                <w:sz w:val="10"/>
              </w:rPr>
            </w:pPr>
          </w:p>
        </w:tc>
      </w:tr>
      <w:tr>
        <w:trPr>
          <w:trHeight w:val="177" w:hRule="atLeast"/>
        </w:trPr>
        <w:tc>
          <w:tcPr>
            <w:tcW w:w="2587" w:type="dxa"/>
          </w:tcPr>
          <w:p>
            <w:pPr>
              <w:pStyle w:val="TableParagraph"/>
              <w:spacing w:line="152" w:lineRule="exact" w:before="6"/>
              <w:ind w:left="186"/>
              <w:rPr>
                <w:sz w:val="14"/>
              </w:rPr>
            </w:pPr>
            <w:r>
              <w:rPr>
                <w:sz w:val="14"/>
              </w:rPr>
              <w:t>Current Loans</w:t>
            </w:r>
          </w:p>
        </w:tc>
        <w:tc>
          <w:tcPr>
            <w:tcW w:w="752" w:type="dxa"/>
          </w:tcPr>
          <w:p>
            <w:pPr>
              <w:pStyle w:val="TableParagraph"/>
              <w:spacing w:line="131" w:lineRule="exact" w:before="27"/>
              <w:ind w:left="217"/>
              <w:rPr>
                <w:sz w:val="12"/>
              </w:rPr>
            </w:pPr>
            <w:r>
              <w:rPr>
                <w:w w:val="105"/>
                <w:sz w:val="12"/>
              </w:rPr>
              <w:t>9640</w:t>
            </w:r>
          </w:p>
        </w:tc>
        <w:tc>
          <w:tcPr>
            <w:tcW w:w="1173" w:type="dxa"/>
          </w:tcPr>
          <w:p>
            <w:pPr>
              <w:pStyle w:val="TableParagraph"/>
              <w:rPr>
                <w:rFonts w:ascii="Times New Roman"/>
                <w:sz w:val="10"/>
              </w:rPr>
            </w:pPr>
          </w:p>
        </w:tc>
        <w:tc>
          <w:tcPr>
            <w:tcW w:w="1173" w:type="dxa"/>
          </w:tcPr>
          <w:p>
            <w:pPr>
              <w:pStyle w:val="TableParagraph"/>
              <w:rPr>
                <w:rFonts w:ascii="Times New Roman"/>
                <w:sz w:val="10"/>
              </w:rPr>
            </w:pPr>
          </w:p>
        </w:tc>
        <w:tc>
          <w:tcPr>
            <w:tcW w:w="1272" w:type="dxa"/>
          </w:tcPr>
          <w:p>
            <w:pPr>
              <w:pStyle w:val="TableParagraph"/>
              <w:rPr>
                <w:rFonts w:ascii="Times New Roman"/>
                <w:sz w:val="10"/>
              </w:rPr>
            </w:pPr>
          </w:p>
        </w:tc>
        <w:tc>
          <w:tcPr>
            <w:tcW w:w="1210" w:type="dxa"/>
          </w:tcPr>
          <w:p>
            <w:pPr>
              <w:pStyle w:val="TableParagraph"/>
              <w:rPr>
                <w:rFonts w:ascii="Times New Roman"/>
                <w:sz w:val="10"/>
              </w:rPr>
            </w:pPr>
          </w:p>
        </w:tc>
        <w:tc>
          <w:tcPr>
            <w:tcW w:w="1145" w:type="dxa"/>
          </w:tcPr>
          <w:p>
            <w:pPr>
              <w:pStyle w:val="TableParagraph"/>
              <w:rPr>
                <w:rFonts w:ascii="Times New Roman"/>
                <w:sz w:val="10"/>
              </w:rPr>
            </w:pPr>
          </w:p>
        </w:tc>
        <w:tc>
          <w:tcPr>
            <w:tcW w:w="1064" w:type="dxa"/>
          </w:tcPr>
          <w:p>
            <w:pPr>
              <w:pStyle w:val="TableParagraph"/>
              <w:rPr>
                <w:rFonts w:ascii="Times New Roman"/>
                <w:sz w:val="10"/>
              </w:rPr>
            </w:pPr>
          </w:p>
        </w:tc>
        <w:tc>
          <w:tcPr>
            <w:tcW w:w="1320" w:type="dxa"/>
          </w:tcPr>
          <w:p>
            <w:pPr>
              <w:pStyle w:val="TableParagraph"/>
              <w:rPr>
                <w:rFonts w:ascii="Times New Roman"/>
                <w:sz w:val="10"/>
              </w:rPr>
            </w:pPr>
          </w:p>
        </w:tc>
        <w:tc>
          <w:tcPr>
            <w:tcW w:w="1025" w:type="dxa"/>
          </w:tcPr>
          <w:p>
            <w:pPr>
              <w:pStyle w:val="TableParagraph"/>
              <w:rPr>
                <w:rFonts w:ascii="Times New Roman"/>
                <w:sz w:val="10"/>
              </w:rPr>
            </w:pPr>
          </w:p>
        </w:tc>
        <w:tc>
          <w:tcPr>
            <w:tcW w:w="1175" w:type="dxa"/>
          </w:tcPr>
          <w:p>
            <w:pPr>
              <w:pStyle w:val="TableParagraph"/>
              <w:rPr>
                <w:rFonts w:ascii="Times New Roman"/>
                <w:sz w:val="10"/>
              </w:rPr>
            </w:pPr>
          </w:p>
        </w:tc>
      </w:tr>
      <w:tr>
        <w:trPr>
          <w:trHeight w:val="177" w:hRule="atLeast"/>
        </w:trPr>
        <w:tc>
          <w:tcPr>
            <w:tcW w:w="2587" w:type="dxa"/>
          </w:tcPr>
          <w:p>
            <w:pPr>
              <w:pStyle w:val="TableParagraph"/>
              <w:spacing w:line="152" w:lineRule="exact" w:before="6"/>
              <w:ind w:left="186"/>
              <w:rPr>
                <w:sz w:val="14"/>
              </w:rPr>
            </w:pPr>
            <w:r>
              <w:rPr>
                <w:sz w:val="14"/>
              </w:rPr>
              <w:t>Unearned Revenues</w:t>
            </w:r>
          </w:p>
        </w:tc>
        <w:tc>
          <w:tcPr>
            <w:tcW w:w="752" w:type="dxa"/>
          </w:tcPr>
          <w:p>
            <w:pPr>
              <w:pStyle w:val="TableParagraph"/>
              <w:spacing w:line="131" w:lineRule="exact" w:before="27"/>
              <w:ind w:left="217"/>
              <w:rPr>
                <w:sz w:val="12"/>
              </w:rPr>
            </w:pPr>
            <w:r>
              <w:rPr>
                <w:w w:val="105"/>
                <w:sz w:val="12"/>
              </w:rPr>
              <w:t>9650</w:t>
            </w:r>
          </w:p>
        </w:tc>
        <w:tc>
          <w:tcPr>
            <w:tcW w:w="1173" w:type="dxa"/>
          </w:tcPr>
          <w:p>
            <w:pPr>
              <w:pStyle w:val="TableParagraph"/>
              <w:rPr>
                <w:rFonts w:ascii="Times New Roman"/>
                <w:sz w:val="10"/>
              </w:rPr>
            </w:pPr>
          </w:p>
        </w:tc>
        <w:tc>
          <w:tcPr>
            <w:tcW w:w="1173" w:type="dxa"/>
          </w:tcPr>
          <w:p>
            <w:pPr>
              <w:pStyle w:val="TableParagraph"/>
              <w:rPr>
                <w:rFonts w:ascii="Times New Roman"/>
                <w:sz w:val="10"/>
              </w:rPr>
            </w:pPr>
          </w:p>
        </w:tc>
        <w:tc>
          <w:tcPr>
            <w:tcW w:w="1272" w:type="dxa"/>
          </w:tcPr>
          <w:p>
            <w:pPr>
              <w:pStyle w:val="TableParagraph"/>
              <w:rPr>
                <w:rFonts w:ascii="Times New Roman"/>
                <w:sz w:val="10"/>
              </w:rPr>
            </w:pPr>
          </w:p>
        </w:tc>
        <w:tc>
          <w:tcPr>
            <w:tcW w:w="1210" w:type="dxa"/>
          </w:tcPr>
          <w:p>
            <w:pPr>
              <w:pStyle w:val="TableParagraph"/>
              <w:rPr>
                <w:rFonts w:ascii="Times New Roman"/>
                <w:sz w:val="10"/>
              </w:rPr>
            </w:pPr>
          </w:p>
        </w:tc>
        <w:tc>
          <w:tcPr>
            <w:tcW w:w="1145" w:type="dxa"/>
          </w:tcPr>
          <w:p>
            <w:pPr>
              <w:pStyle w:val="TableParagraph"/>
              <w:rPr>
                <w:rFonts w:ascii="Times New Roman"/>
                <w:sz w:val="10"/>
              </w:rPr>
            </w:pPr>
          </w:p>
        </w:tc>
        <w:tc>
          <w:tcPr>
            <w:tcW w:w="1064" w:type="dxa"/>
          </w:tcPr>
          <w:p>
            <w:pPr>
              <w:pStyle w:val="TableParagraph"/>
              <w:rPr>
                <w:rFonts w:ascii="Times New Roman"/>
                <w:sz w:val="10"/>
              </w:rPr>
            </w:pPr>
          </w:p>
        </w:tc>
        <w:tc>
          <w:tcPr>
            <w:tcW w:w="1320" w:type="dxa"/>
          </w:tcPr>
          <w:p>
            <w:pPr>
              <w:pStyle w:val="TableParagraph"/>
              <w:rPr>
                <w:rFonts w:ascii="Times New Roman"/>
                <w:sz w:val="10"/>
              </w:rPr>
            </w:pPr>
          </w:p>
        </w:tc>
        <w:tc>
          <w:tcPr>
            <w:tcW w:w="1025" w:type="dxa"/>
          </w:tcPr>
          <w:p>
            <w:pPr>
              <w:pStyle w:val="TableParagraph"/>
              <w:rPr>
                <w:rFonts w:ascii="Times New Roman"/>
                <w:sz w:val="10"/>
              </w:rPr>
            </w:pPr>
          </w:p>
        </w:tc>
        <w:tc>
          <w:tcPr>
            <w:tcW w:w="1175" w:type="dxa"/>
          </w:tcPr>
          <w:p>
            <w:pPr>
              <w:pStyle w:val="TableParagraph"/>
              <w:rPr>
                <w:rFonts w:ascii="Times New Roman"/>
                <w:sz w:val="10"/>
              </w:rPr>
            </w:pPr>
          </w:p>
        </w:tc>
      </w:tr>
      <w:tr>
        <w:trPr>
          <w:trHeight w:val="177" w:hRule="atLeast"/>
        </w:trPr>
        <w:tc>
          <w:tcPr>
            <w:tcW w:w="2587" w:type="dxa"/>
          </w:tcPr>
          <w:p>
            <w:pPr>
              <w:pStyle w:val="TableParagraph"/>
              <w:spacing w:line="152" w:lineRule="exact" w:before="6"/>
              <w:ind w:left="186"/>
              <w:rPr>
                <w:sz w:val="14"/>
              </w:rPr>
            </w:pPr>
            <w:r>
              <w:rPr>
                <w:sz w:val="14"/>
              </w:rPr>
              <w:t>Deferred Inflows of Resources</w:t>
            </w:r>
          </w:p>
        </w:tc>
        <w:tc>
          <w:tcPr>
            <w:tcW w:w="752" w:type="dxa"/>
          </w:tcPr>
          <w:p>
            <w:pPr>
              <w:pStyle w:val="TableParagraph"/>
              <w:spacing w:line="131" w:lineRule="exact" w:before="27"/>
              <w:ind w:left="217"/>
              <w:rPr>
                <w:sz w:val="12"/>
              </w:rPr>
            </w:pPr>
            <w:r>
              <w:rPr>
                <w:w w:val="105"/>
                <w:sz w:val="12"/>
              </w:rPr>
              <w:t>9690</w:t>
            </w:r>
          </w:p>
        </w:tc>
        <w:tc>
          <w:tcPr>
            <w:tcW w:w="1173" w:type="dxa"/>
          </w:tcPr>
          <w:p>
            <w:pPr>
              <w:pStyle w:val="TableParagraph"/>
              <w:rPr>
                <w:rFonts w:ascii="Times New Roman"/>
                <w:sz w:val="10"/>
              </w:rPr>
            </w:pPr>
          </w:p>
        </w:tc>
        <w:tc>
          <w:tcPr>
            <w:tcW w:w="1173" w:type="dxa"/>
          </w:tcPr>
          <w:p>
            <w:pPr>
              <w:pStyle w:val="TableParagraph"/>
              <w:rPr>
                <w:rFonts w:ascii="Times New Roman"/>
                <w:sz w:val="10"/>
              </w:rPr>
            </w:pPr>
          </w:p>
        </w:tc>
        <w:tc>
          <w:tcPr>
            <w:tcW w:w="1272" w:type="dxa"/>
          </w:tcPr>
          <w:p>
            <w:pPr>
              <w:pStyle w:val="TableParagraph"/>
              <w:rPr>
                <w:rFonts w:ascii="Times New Roman"/>
                <w:sz w:val="10"/>
              </w:rPr>
            </w:pPr>
          </w:p>
        </w:tc>
        <w:tc>
          <w:tcPr>
            <w:tcW w:w="1210" w:type="dxa"/>
          </w:tcPr>
          <w:p>
            <w:pPr>
              <w:pStyle w:val="TableParagraph"/>
              <w:rPr>
                <w:rFonts w:ascii="Times New Roman"/>
                <w:sz w:val="10"/>
              </w:rPr>
            </w:pPr>
          </w:p>
        </w:tc>
        <w:tc>
          <w:tcPr>
            <w:tcW w:w="1145" w:type="dxa"/>
          </w:tcPr>
          <w:p>
            <w:pPr>
              <w:pStyle w:val="TableParagraph"/>
              <w:rPr>
                <w:rFonts w:ascii="Times New Roman"/>
                <w:sz w:val="10"/>
              </w:rPr>
            </w:pPr>
          </w:p>
        </w:tc>
        <w:tc>
          <w:tcPr>
            <w:tcW w:w="1064" w:type="dxa"/>
          </w:tcPr>
          <w:p>
            <w:pPr>
              <w:pStyle w:val="TableParagraph"/>
              <w:rPr>
                <w:rFonts w:ascii="Times New Roman"/>
                <w:sz w:val="10"/>
              </w:rPr>
            </w:pPr>
          </w:p>
        </w:tc>
        <w:tc>
          <w:tcPr>
            <w:tcW w:w="1320" w:type="dxa"/>
          </w:tcPr>
          <w:p>
            <w:pPr>
              <w:pStyle w:val="TableParagraph"/>
              <w:rPr>
                <w:rFonts w:ascii="Times New Roman"/>
                <w:sz w:val="10"/>
              </w:rPr>
            </w:pPr>
          </w:p>
        </w:tc>
        <w:tc>
          <w:tcPr>
            <w:tcW w:w="1025" w:type="dxa"/>
          </w:tcPr>
          <w:p>
            <w:pPr>
              <w:pStyle w:val="TableParagraph"/>
              <w:rPr>
                <w:rFonts w:ascii="Times New Roman"/>
                <w:sz w:val="10"/>
              </w:rPr>
            </w:pPr>
          </w:p>
        </w:tc>
        <w:tc>
          <w:tcPr>
            <w:tcW w:w="1175" w:type="dxa"/>
          </w:tcPr>
          <w:p>
            <w:pPr>
              <w:pStyle w:val="TableParagraph"/>
              <w:rPr>
                <w:rFonts w:ascii="Times New Roman"/>
                <w:sz w:val="10"/>
              </w:rPr>
            </w:pPr>
          </w:p>
        </w:tc>
      </w:tr>
      <w:tr>
        <w:trPr>
          <w:trHeight w:val="177" w:hRule="atLeast"/>
        </w:trPr>
        <w:tc>
          <w:tcPr>
            <w:tcW w:w="2587" w:type="dxa"/>
          </w:tcPr>
          <w:p>
            <w:pPr>
              <w:pStyle w:val="TableParagraph"/>
              <w:spacing w:line="152" w:lineRule="exact" w:before="6"/>
              <w:ind w:left="186"/>
              <w:rPr>
                <w:sz w:val="14"/>
              </w:rPr>
            </w:pPr>
            <w:r>
              <w:rPr>
                <w:sz w:val="14"/>
              </w:rPr>
              <w:t>SUBTOTAL</w:t>
            </w:r>
          </w:p>
        </w:tc>
        <w:tc>
          <w:tcPr>
            <w:tcW w:w="752" w:type="dxa"/>
          </w:tcPr>
          <w:p>
            <w:pPr>
              <w:pStyle w:val="TableParagraph"/>
              <w:rPr>
                <w:rFonts w:ascii="Times New Roman"/>
                <w:sz w:val="10"/>
              </w:rPr>
            </w:pPr>
          </w:p>
        </w:tc>
        <w:tc>
          <w:tcPr>
            <w:tcW w:w="1173" w:type="dxa"/>
          </w:tcPr>
          <w:p>
            <w:pPr>
              <w:pStyle w:val="TableParagraph"/>
              <w:spacing w:line="131" w:lineRule="exact" w:before="27"/>
              <w:ind w:right="26"/>
              <w:jc w:val="right"/>
              <w:rPr>
                <w:sz w:val="12"/>
              </w:rPr>
            </w:pPr>
            <w:r>
              <w:rPr>
                <w:w w:val="105"/>
                <w:sz w:val="12"/>
              </w:rPr>
              <w:t>223,524.00</w:t>
            </w:r>
          </w:p>
        </w:tc>
        <w:tc>
          <w:tcPr>
            <w:tcW w:w="1173" w:type="dxa"/>
          </w:tcPr>
          <w:p>
            <w:pPr>
              <w:pStyle w:val="TableParagraph"/>
              <w:spacing w:line="131" w:lineRule="exact" w:before="27"/>
              <w:ind w:right="25"/>
              <w:jc w:val="right"/>
              <w:rPr>
                <w:sz w:val="12"/>
              </w:rPr>
            </w:pPr>
            <w:r>
              <w:rPr>
                <w:w w:val="105"/>
                <w:sz w:val="12"/>
              </w:rPr>
              <w:t>13,363.00</w:t>
            </w:r>
          </w:p>
        </w:tc>
        <w:tc>
          <w:tcPr>
            <w:tcW w:w="1272" w:type="dxa"/>
          </w:tcPr>
          <w:p>
            <w:pPr>
              <w:pStyle w:val="TableParagraph"/>
              <w:spacing w:line="131" w:lineRule="exact" w:before="27"/>
              <w:ind w:right="123"/>
              <w:jc w:val="right"/>
              <w:rPr>
                <w:sz w:val="12"/>
              </w:rPr>
            </w:pPr>
            <w:r>
              <w:rPr>
                <w:w w:val="105"/>
                <w:sz w:val="12"/>
              </w:rPr>
              <w:t>34,225.00</w:t>
            </w:r>
          </w:p>
        </w:tc>
        <w:tc>
          <w:tcPr>
            <w:tcW w:w="1210" w:type="dxa"/>
          </w:tcPr>
          <w:p>
            <w:pPr>
              <w:pStyle w:val="TableParagraph"/>
              <w:spacing w:line="131" w:lineRule="exact" w:before="27"/>
              <w:ind w:right="161"/>
              <w:jc w:val="right"/>
              <w:rPr>
                <w:sz w:val="12"/>
              </w:rPr>
            </w:pPr>
            <w:r>
              <w:rPr>
                <w:w w:val="105"/>
                <w:sz w:val="12"/>
              </w:rPr>
              <w:t>(1,030.00)</w:t>
            </w:r>
          </w:p>
        </w:tc>
        <w:tc>
          <w:tcPr>
            <w:tcW w:w="1145" w:type="dxa"/>
          </w:tcPr>
          <w:p>
            <w:pPr>
              <w:pStyle w:val="TableParagraph"/>
              <w:spacing w:line="131" w:lineRule="exact" w:before="27"/>
              <w:ind w:right="131"/>
              <w:jc w:val="right"/>
              <w:rPr>
                <w:sz w:val="12"/>
              </w:rPr>
            </w:pPr>
            <w:r>
              <w:rPr>
                <w:w w:val="105"/>
                <w:sz w:val="12"/>
              </w:rPr>
              <w:t>96,451.00</w:t>
            </w:r>
          </w:p>
        </w:tc>
        <w:tc>
          <w:tcPr>
            <w:tcW w:w="1064" w:type="dxa"/>
          </w:tcPr>
          <w:p>
            <w:pPr>
              <w:pStyle w:val="TableParagraph"/>
              <w:spacing w:line="131" w:lineRule="exact" w:before="27"/>
              <w:ind w:right="21"/>
              <w:jc w:val="right"/>
              <w:rPr>
                <w:sz w:val="12"/>
              </w:rPr>
            </w:pPr>
            <w:r>
              <w:rPr>
                <w:w w:val="105"/>
                <w:sz w:val="12"/>
              </w:rPr>
              <w:t>12,875.00</w:t>
            </w:r>
          </w:p>
        </w:tc>
        <w:tc>
          <w:tcPr>
            <w:tcW w:w="1320" w:type="dxa"/>
          </w:tcPr>
          <w:p>
            <w:pPr>
              <w:pStyle w:val="TableParagraph"/>
              <w:spacing w:line="131" w:lineRule="exact" w:before="27"/>
              <w:ind w:right="169"/>
              <w:jc w:val="right"/>
              <w:rPr>
                <w:sz w:val="12"/>
              </w:rPr>
            </w:pPr>
            <w:r>
              <w:rPr>
                <w:w w:val="105"/>
                <w:sz w:val="12"/>
              </w:rPr>
              <w:t>(6,030.00)</w:t>
            </w:r>
          </w:p>
        </w:tc>
        <w:tc>
          <w:tcPr>
            <w:tcW w:w="1025" w:type="dxa"/>
          </w:tcPr>
          <w:p>
            <w:pPr>
              <w:pStyle w:val="TableParagraph"/>
              <w:spacing w:line="131" w:lineRule="exact" w:before="27"/>
              <w:ind w:right="19"/>
              <w:jc w:val="right"/>
              <w:rPr>
                <w:sz w:val="12"/>
              </w:rPr>
            </w:pPr>
            <w:r>
              <w:rPr>
                <w:w w:val="105"/>
                <w:sz w:val="12"/>
              </w:rPr>
              <w:t>23,494.00</w:t>
            </w:r>
          </w:p>
        </w:tc>
        <w:tc>
          <w:tcPr>
            <w:tcW w:w="1175" w:type="dxa"/>
          </w:tcPr>
          <w:p>
            <w:pPr>
              <w:pStyle w:val="TableParagraph"/>
              <w:spacing w:line="131" w:lineRule="exact" w:before="27"/>
              <w:ind w:right="22"/>
              <w:jc w:val="right"/>
              <w:rPr>
                <w:sz w:val="12"/>
              </w:rPr>
            </w:pPr>
            <w:r>
              <w:rPr>
                <w:w w:val="105"/>
                <w:sz w:val="12"/>
              </w:rPr>
              <w:t>(3,200.00)</w:t>
            </w:r>
          </w:p>
        </w:tc>
      </w:tr>
      <w:tr>
        <w:trPr>
          <w:trHeight w:val="177" w:hRule="atLeast"/>
        </w:trPr>
        <w:tc>
          <w:tcPr>
            <w:tcW w:w="2587" w:type="dxa"/>
          </w:tcPr>
          <w:p>
            <w:pPr>
              <w:pStyle w:val="TableParagraph"/>
              <w:spacing w:line="152" w:lineRule="exact" w:before="6"/>
              <w:ind w:left="32"/>
              <w:rPr>
                <w:sz w:val="14"/>
              </w:rPr>
            </w:pPr>
            <w:r>
              <w:rPr>
                <w:spacing w:val="-101"/>
                <w:sz w:val="14"/>
                <w:u w:val="single"/>
              </w:rPr>
              <w:t>N</w:t>
            </w:r>
            <w:r>
              <w:rPr>
                <w:spacing w:val="64"/>
                <w:sz w:val="14"/>
              </w:rPr>
              <w:t> </w:t>
            </w:r>
            <w:r>
              <w:rPr>
                <w:sz w:val="14"/>
                <w:u w:val="single"/>
              </w:rPr>
              <w:t>onoperating</w:t>
            </w:r>
          </w:p>
        </w:tc>
        <w:tc>
          <w:tcPr>
            <w:tcW w:w="752" w:type="dxa"/>
          </w:tcPr>
          <w:p>
            <w:pPr>
              <w:pStyle w:val="TableParagraph"/>
              <w:rPr>
                <w:rFonts w:ascii="Times New Roman"/>
                <w:sz w:val="12"/>
              </w:rPr>
            </w:pPr>
          </w:p>
        </w:tc>
        <w:tc>
          <w:tcPr>
            <w:tcW w:w="1173" w:type="dxa"/>
          </w:tcPr>
          <w:p>
            <w:pPr>
              <w:pStyle w:val="TableParagraph"/>
              <w:rPr>
                <w:rFonts w:ascii="Times New Roman"/>
                <w:sz w:val="12"/>
              </w:rPr>
            </w:pPr>
          </w:p>
        </w:tc>
        <w:tc>
          <w:tcPr>
            <w:tcW w:w="1173" w:type="dxa"/>
          </w:tcPr>
          <w:p>
            <w:pPr>
              <w:pStyle w:val="TableParagraph"/>
              <w:rPr>
                <w:rFonts w:ascii="Times New Roman"/>
                <w:sz w:val="12"/>
              </w:rPr>
            </w:pPr>
          </w:p>
        </w:tc>
        <w:tc>
          <w:tcPr>
            <w:tcW w:w="1272" w:type="dxa"/>
          </w:tcPr>
          <w:p>
            <w:pPr>
              <w:pStyle w:val="TableParagraph"/>
              <w:rPr>
                <w:rFonts w:ascii="Times New Roman"/>
                <w:sz w:val="12"/>
              </w:rPr>
            </w:pPr>
          </w:p>
        </w:tc>
        <w:tc>
          <w:tcPr>
            <w:tcW w:w="1210" w:type="dxa"/>
          </w:tcPr>
          <w:p>
            <w:pPr>
              <w:pStyle w:val="TableParagraph"/>
              <w:rPr>
                <w:rFonts w:ascii="Times New Roman"/>
                <w:sz w:val="12"/>
              </w:rPr>
            </w:pPr>
          </w:p>
        </w:tc>
        <w:tc>
          <w:tcPr>
            <w:tcW w:w="1145" w:type="dxa"/>
          </w:tcPr>
          <w:p>
            <w:pPr>
              <w:pStyle w:val="TableParagraph"/>
              <w:rPr>
                <w:rFonts w:ascii="Times New Roman"/>
                <w:sz w:val="12"/>
              </w:rPr>
            </w:pPr>
          </w:p>
        </w:tc>
        <w:tc>
          <w:tcPr>
            <w:tcW w:w="1064" w:type="dxa"/>
          </w:tcPr>
          <w:p>
            <w:pPr>
              <w:pStyle w:val="TableParagraph"/>
              <w:rPr>
                <w:rFonts w:ascii="Times New Roman"/>
                <w:sz w:val="12"/>
              </w:rPr>
            </w:pPr>
          </w:p>
        </w:tc>
        <w:tc>
          <w:tcPr>
            <w:tcW w:w="1320" w:type="dxa"/>
          </w:tcPr>
          <w:p>
            <w:pPr>
              <w:pStyle w:val="TableParagraph"/>
              <w:rPr>
                <w:rFonts w:ascii="Times New Roman"/>
                <w:sz w:val="12"/>
              </w:rPr>
            </w:pPr>
          </w:p>
        </w:tc>
        <w:tc>
          <w:tcPr>
            <w:tcW w:w="1025" w:type="dxa"/>
          </w:tcPr>
          <w:p>
            <w:pPr>
              <w:pStyle w:val="TableParagraph"/>
              <w:rPr>
                <w:rFonts w:ascii="Times New Roman"/>
                <w:sz w:val="12"/>
              </w:rPr>
            </w:pPr>
          </w:p>
        </w:tc>
        <w:tc>
          <w:tcPr>
            <w:tcW w:w="1175" w:type="dxa"/>
          </w:tcPr>
          <w:p>
            <w:pPr>
              <w:pStyle w:val="TableParagraph"/>
              <w:rPr>
                <w:rFonts w:ascii="Times New Roman"/>
                <w:sz w:val="12"/>
              </w:rPr>
            </w:pPr>
          </w:p>
        </w:tc>
      </w:tr>
      <w:tr>
        <w:trPr>
          <w:trHeight w:val="177" w:hRule="atLeast"/>
        </w:trPr>
        <w:tc>
          <w:tcPr>
            <w:tcW w:w="2587" w:type="dxa"/>
          </w:tcPr>
          <w:p>
            <w:pPr>
              <w:pStyle w:val="TableParagraph"/>
              <w:spacing w:line="152" w:lineRule="exact" w:before="5"/>
              <w:ind w:left="186"/>
              <w:rPr>
                <w:sz w:val="14"/>
              </w:rPr>
            </w:pPr>
            <w:r>
              <w:rPr>
                <w:sz w:val="14"/>
              </w:rPr>
              <w:t>Suspense Clearing</w:t>
            </w:r>
          </w:p>
        </w:tc>
        <w:tc>
          <w:tcPr>
            <w:tcW w:w="752" w:type="dxa"/>
          </w:tcPr>
          <w:p>
            <w:pPr>
              <w:pStyle w:val="TableParagraph"/>
              <w:spacing w:line="131" w:lineRule="exact" w:before="26"/>
              <w:ind w:left="217"/>
              <w:rPr>
                <w:sz w:val="12"/>
              </w:rPr>
            </w:pPr>
            <w:r>
              <w:rPr>
                <w:w w:val="105"/>
                <w:sz w:val="12"/>
              </w:rPr>
              <w:t>9910</w:t>
            </w:r>
          </w:p>
        </w:tc>
        <w:tc>
          <w:tcPr>
            <w:tcW w:w="1173" w:type="dxa"/>
          </w:tcPr>
          <w:p>
            <w:pPr>
              <w:pStyle w:val="TableParagraph"/>
              <w:rPr>
                <w:rFonts w:ascii="Times New Roman"/>
                <w:sz w:val="10"/>
              </w:rPr>
            </w:pPr>
          </w:p>
        </w:tc>
        <w:tc>
          <w:tcPr>
            <w:tcW w:w="1173" w:type="dxa"/>
          </w:tcPr>
          <w:p>
            <w:pPr>
              <w:pStyle w:val="TableParagraph"/>
              <w:spacing w:line="131" w:lineRule="exact" w:before="26"/>
              <w:ind w:right="25"/>
              <w:jc w:val="right"/>
              <w:rPr>
                <w:sz w:val="12"/>
              </w:rPr>
            </w:pPr>
            <w:r>
              <w:rPr>
                <w:w w:val="105"/>
                <w:sz w:val="12"/>
              </w:rPr>
              <w:t>0.00</w:t>
            </w:r>
          </w:p>
        </w:tc>
        <w:tc>
          <w:tcPr>
            <w:tcW w:w="1272" w:type="dxa"/>
          </w:tcPr>
          <w:p>
            <w:pPr>
              <w:pStyle w:val="TableParagraph"/>
              <w:rPr>
                <w:rFonts w:ascii="Times New Roman"/>
                <w:sz w:val="10"/>
              </w:rPr>
            </w:pPr>
          </w:p>
        </w:tc>
        <w:tc>
          <w:tcPr>
            <w:tcW w:w="1210" w:type="dxa"/>
          </w:tcPr>
          <w:p>
            <w:pPr>
              <w:pStyle w:val="TableParagraph"/>
              <w:rPr>
                <w:rFonts w:ascii="Times New Roman"/>
                <w:sz w:val="10"/>
              </w:rPr>
            </w:pPr>
          </w:p>
        </w:tc>
        <w:tc>
          <w:tcPr>
            <w:tcW w:w="1145" w:type="dxa"/>
          </w:tcPr>
          <w:p>
            <w:pPr>
              <w:pStyle w:val="TableParagraph"/>
              <w:rPr>
                <w:rFonts w:ascii="Times New Roman"/>
                <w:sz w:val="10"/>
              </w:rPr>
            </w:pPr>
          </w:p>
        </w:tc>
        <w:tc>
          <w:tcPr>
            <w:tcW w:w="1064" w:type="dxa"/>
          </w:tcPr>
          <w:p>
            <w:pPr>
              <w:pStyle w:val="TableParagraph"/>
              <w:rPr>
                <w:rFonts w:ascii="Times New Roman"/>
                <w:sz w:val="10"/>
              </w:rPr>
            </w:pPr>
          </w:p>
        </w:tc>
        <w:tc>
          <w:tcPr>
            <w:tcW w:w="1320" w:type="dxa"/>
          </w:tcPr>
          <w:p>
            <w:pPr>
              <w:pStyle w:val="TableParagraph"/>
              <w:rPr>
                <w:rFonts w:ascii="Times New Roman"/>
                <w:sz w:val="10"/>
              </w:rPr>
            </w:pPr>
          </w:p>
        </w:tc>
        <w:tc>
          <w:tcPr>
            <w:tcW w:w="1025" w:type="dxa"/>
          </w:tcPr>
          <w:p>
            <w:pPr>
              <w:pStyle w:val="TableParagraph"/>
              <w:rPr>
                <w:rFonts w:ascii="Times New Roman"/>
                <w:sz w:val="10"/>
              </w:rPr>
            </w:pPr>
          </w:p>
        </w:tc>
        <w:tc>
          <w:tcPr>
            <w:tcW w:w="1175" w:type="dxa"/>
          </w:tcPr>
          <w:p>
            <w:pPr>
              <w:pStyle w:val="TableParagraph"/>
              <w:rPr>
                <w:rFonts w:ascii="Times New Roman"/>
                <w:sz w:val="10"/>
              </w:rPr>
            </w:pPr>
          </w:p>
        </w:tc>
      </w:tr>
      <w:tr>
        <w:trPr>
          <w:trHeight w:val="170" w:hRule="atLeast"/>
        </w:trPr>
        <w:tc>
          <w:tcPr>
            <w:tcW w:w="2587" w:type="dxa"/>
          </w:tcPr>
          <w:p>
            <w:pPr>
              <w:pStyle w:val="TableParagraph"/>
              <w:spacing w:line="145" w:lineRule="exact" w:before="6"/>
              <w:ind w:left="186"/>
              <w:rPr>
                <w:sz w:val="14"/>
              </w:rPr>
            </w:pPr>
            <w:r>
              <w:rPr>
                <w:sz w:val="14"/>
              </w:rPr>
              <w:t>TOTAL BALANCE SHEET ITEMS</w:t>
            </w:r>
          </w:p>
        </w:tc>
        <w:tc>
          <w:tcPr>
            <w:tcW w:w="752" w:type="dxa"/>
          </w:tcPr>
          <w:p>
            <w:pPr>
              <w:pStyle w:val="TableParagraph"/>
              <w:rPr>
                <w:rFonts w:ascii="Times New Roman"/>
                <w:sz w:val="10"/>
              </w:rPr>
            </w:pPr>
          </w:p>
        </w:tc>
        <w:tc>
          <w:tcPr>
            <w:tcW w:w="1173" w:type="dxa"/>
          </w:tcPr>
          <w:p>
            <w:pPr>
              <w:pStyle w:val="TableParagraph"/>
              <w:spacing w:line="124" w:lineRule="exact" w:before="27"/>
              <w:ind w:right="26"/>
              <w:jc w:val="right"/>
              <w:rPr>
                <w:sz w:val="12"/>
              </w:rPr>
            </w:pPr>
            <w:r>
              <w:rPr>
                <w:w w:val="105"/>
                <w:sz w:val="12"/>
              </w:rPr>
              <w:t>175,835.00</w:t>
            </w:r>
          </w:p>
        </w:tc>
        <w:tc>
          <w:tcPr>
            <w:tcW w:w="1173" w:type="dxa"/>
          </w:tcPr>
          <w:p>
            <w:pPr>
              <w:pStyle w:val="TableParagraph"/>
              <w:spacing w:line="124" w:lineRule="exact" w:before="27"/>
              <w:ind w:right="25"/>
              <w:jc w:val="right"/>
              <w:rPr>
                <w:sz w:val="12"/>
              </w:rPr>
            </w:pPr>
            <w:r>
              <w:rPr>
                <w:w w:val="105"/>
                <w:sz w:val="12"/>
              </w:rPr>
              <w:t>70,747.00</w:t>
            </w:r>
          </w:p>
        </w:tc>
        <w:tc>
          <w:tcPr>
            <w:tcW w:w="1272" w:type="dxa"/>
          </w:tcPr>
          <w:p>
            <w:pPr>
              <w:pStyle w:val="TableParagraph"/>
              <w:spacing w:line="124" w:lineRule="exact" w:before="27"/>
              <w:ind w:right="123"/>
              <w:jc w:val="right"/>
              <w:rPr>
                <w:sz w:val="12"/>
              </w:rPr>
            </w:pPr>
            <w:r>
              <w:rPr>
                <w:w w:val="105"/>
                <w:sz w:val="12"/>
              </w:rPr>
              <w:t>34,410.00</w:t>
            </w:r>
          </w:p>
        </w:tc>
        <w:tc>
          <w:tcPr>
            <w:tcW w:w="1210" w:type="dxa"/>
          </w:tcPr>
          <w:p>
            <w:pPr>
              <w:pStyle w:val="TableParagraph"/>
              <w:spacing w:line="124" w:lineRule="exact" w:before="27"/>
              <w:ind w:right="159"/>
              <w:jc w:val="right"/>
              <w:rPr>
                <w:sz w:val="12"/>
              </w:rPr>
            </w:pPr>
            <w:r>
              <w:rPr>
                <w:w w:val="105"/>
                <w:sz w:val="12"/>
              </w:rPr>
              <w:t>60,862.00</w:t>
            </w:r>
          </w:p>
        </w:tc>
        <w:tc>
          <w:tcPr>
            <w:tcW w:w="1145" w:type="dxa"/>
          </w:tcPr>
          <w:p>
            <w:pPr>
              <w:pStyle w:val="TableParagraph"/>
              <w:spacing w:line="124" w:lineRule="exact" w:before="27"/>
              <w:ind w:right="131"/>
              <w:jc w:val="right"/>
              <w:rPr>
                <w:sz w:val="12"/>
              </w:rPr>
            </w:pPr>
            <w:r>
              <w:rPr>
                <w:w w:val="105"/>
                <w:sz w:val="12"/>
              </w:rPr>
              <w:t>5,267.00</w:t>
            </w:r>
          </w:p>
        </w:tc>
        <w:tc>
          <w:tcPr>
            <w:tcW w:w="1064" w:type="dxa"/>
          </w:tcPr>
          <w:p>
            <w:pPr>
              <w:pStyle w:val="TableParagraph"/>
              <w:spacing w:line="124" w:lineRule="exact" w:before="27"/>
              <w:ind w:right="21"/>
              <w:jc w:val="right"/>
              <w:rPr>
                <w:sz w:val="12"/>
              </w:rPr>
            </w:pPr>
            <w:r>
              <w:rPr>
                <w:w w:val="105"/>
                <w:sz w:val="12"/>
              </w:rPr>
              <w:t>56,866.00</w:t>
            </w:r>
          </w:p>
        </w:tc>
        <w:tc>
          <w:tcPr>
            <w:tcW w:w="1320" w:type="dxa"/>
          </w:tcPr>
          <w:p>
            <w:pPr>
              <w:pStyle w:val="TableParagraph"/>
              <w:spacing w:line="124" w:lineRule="exact" w:before="27"/>
              <w:ind w:right="168"/>
              <w:jc w:val="right"/>
              <w:rPr>
                <w:sz w:val="12"/>
              </w:rPr>
            </w:pPr>
            <w:r>
              <w:rPr>
                <w:w w:val="105"/>
                <w:sz w:val="12"/>
              </w:rPr>
              <w:t>6,030.00</w:t>
            </w:r>
          </w:p>
        </w:tc>
        <w:tc>
          <w:tcPr>
            <w:tcW w:w="1025" w:type="dxa"/>
          </w:tcPr>
          <w:p>
            <w:pPr>
              <w:pStyle w:val="TableParagraph"/>
              <w:spacing w:line="124" w:lineRule="exact" w:before="27"/>
              <w:ind w:right="21"/>
              <w:jc w:val="right"/>
              <w:rPr>
                <w:sz w:val="12"/>
              </w:rPr>
            </w:pPr>
            <w:r>
              <w:rPr>
                <w:w w:val="105"/>
                <w:sz w:val="12"/>
              </w:rPr>
              <w:t>(23,494.00)</w:t>
            </w:r>
          </w:p>
        </w:tc>
        <w:tc>
          <w:tcPr>
            <w:tcW w:w="1175" w:type="dxa"/>
          </w:tcPr>
          <w:p>
            <w:pPr>
              <w:pStyle w:val="TableParagraph"/>
              <w:spacing w:line="124" w:lineRule="exact" w:before="27"/>
              <w:ind w:right="21"/>
              <w:jc w:val="right"/>
              <w:rPr>
                <w:sz w:val="12"/>
              </w:rPr>
            </w:pPr>
            <w:r>
              <w:rPr>
                <w:w w:val="105"/>
                <w:sz w:val="12"/>
              </w:rPr>
              <w:t>3,200.00</w:t>
            </w:r>
          </w:p>
        </w:tc>
      </w:tr>
      <w:tr>
        <w:trPr>
          <w:trHeight w:val="184" w:hRule="atLeast"/>
        </w:trPr>
        <w:tc>
          <w:tcPr>
            <w:tcW w:w="2587" w:type="dxa"/>
          </w:tcPr>
          <w:p>
            <w:pPr>
              <w:pStyle w:val="TableParagraph"/>
              <w:spacing w:line="152" w:lineRule="exact" w:before="12"/>
              <w:ind w:left="32"/>
              <w:rPr>
                <w:sz w:val="14"/>
              </w:rPr>
            </w:pPr>
            <w:r>
              <w:rPr>
                <w:sz w:val="14"/>
              </w:rPr>
              <w:t>E. NET INCREASE/DECREASE (B - C +</w:t>
            </w:r>
          </w:p>
        </w:tc>
        <w:tc>
          <w:tcPr>
            <w:tcW w:w="752" w:type="dxa"/>
          </w:tcPr>
          <w:p>
            <w:pPr>
              <w:pStyle w:val="TableParagraph"/>
              <w:spacing w:line="152" w:lineRule="exact" w:before="12"/>
              <w:ind w:left="19"/>
              <w:rPr>
                <w:sz w:val="14"/>
              </w:rPr>
            </w:pPr>
            <w:r>
              <w:rPr>
                <w:sz w:val="14"/>
              </w:rPr>
              <w:t>D)</w:t>
            </w:r>
          </w:p>
        </w:tc>
        <w:tc>
          <w:tcPr>
            <w:tcW w:w="1173" w:type="dxa"/>
            <w:shd w:val="clear" w:color="auto" w:fill="BFBFBF"/>
          </w:tcPr>
          <w:p>
            <w:pPr>
              <w:pStyle w:val="TableParagraph"/>
              <w:rPr>
                <w:rFonts w:ascii="Times New Roman"/>
                <w:sz w:val="12"/>
              </w:rPr>
            </w:pPr>
          </w:p>
        </w:tc>
        <w:tc>
          <w:tcPr>
            <w:tcW w:w="1173" w:type="dxa"/>
          </w:tcPr>
          <w:p>
            <w:pPr>
              <w:pStyle w:val="TableParagraph"/>
              <w:spacing w:line="131" w:lineRule="exact" w:before="34"/>
              <w:ind w:right="25"/>
              <w:jc w:val="right"/>
              <w:rPr>
                <w:sz w:val="12"/>
              </w:rPr>
            </w:pPr>
            <w:r>
              <w:rPr>
                <w:w w:val="105"/>
                <w:sz w:val="12"/>
              </w:rPr>
              <w:t>148,360.00</w:t>
            </w:r>
          </w:p>
        </w:tc>
        <w:tc>
          <w:tcPr>
            <w:tcW w:w="1272" w:type="dxa"/>
          </w:tcPr>
          <w:p>
            <w:pPr>
              <w:pStyle w:val="TableParagraph"/>
              <w:spacing w:line="131" w:lineRule="exact" w:before="34"/>
              <w:ind w:right="125"/>
              <w:jc w:val="right"/>
              <w:rPr>
                <w:sz w:val="12"/>
              </w:rPr>
            </w:pPr>
            <w:r>
              <w:rPr>
                <w:w w:val="105"/>
                <w:sz w:val="12"/>
              </w:rPr>
              <w:t>(20,816.00)</w:t>
            </w:r>
          </w:p>
        </w:tc>
        <w:tc>
          <w:tcPr>
            <w:tcW w:w="1210" w:type="dxa"/>
          </w:tcPr>
          <w:p>
            <w:pPr>
              <w:pStyle w:val="TableParagraph"/>
              <w:spacing w:line="131" w:lineRule="exact" w:before="34"/>
              <w:ind w:right="159"/>
              <w:jc w:val="right"/>
              <w:rPr>
                <w:sz w:val="12"/>
              </w:rPr>
            </w:pPr>
            <w:r>
              <w:rPr>
                <w:w w:val="105"/>
                <w:sz w:val="12"/>
              </w:rPr>
              <w:t>83,251.00</w:t>
            </w:r>
          </w:p>
        </w:tc>
        <w:tc>
          <w:tcPr>
            <w:tcW w:w="1145" w:type="dxa"/>
          </w:tcPr>
          <w:p>
            <w:pPr>
              <w:pStyle w:val="TableParagraph"/>
              <w:spacing w:line="131" w:lineRule="exact" w:before="34"/>
              <w:ind w:right="133"/>
              <w:jc w:val="right"/>
              <w:rPr>
                <w:sz w:val="12"/>
              </w:rPr>
            </w:pPr>
            <w:r>
              <w:rPr>
                <w:w w:val="105"/>
                <w:sz w:val="12"/>
              </w:rPr>
              <w:t>(166,369.00)</w:t>
            </w:r>
          </w:p>
        </w:tc>
        <w:tc>
          <w:tcPr>
            <w:tcW w:w="1064" w:type="dxa"/>
          </w:tcPr>
          <w:p>
            <w:pPr>
              <w:pStyle w:val="TableParagraph"/>
              <w:spacing w:line="131" w:lineRule="exact" w:before="34"/>
              <w:ind w:right="23"/>
              <w:jc w:val="right"/>
              <w:rPr>
                <w:sz w:val="12"/>
              </w:rPr>
            </w:pPr>
            <w:r>
              <w:rPr>
                <w:w w:val="105"/>
                <w:sz w:val="12"/>
              </w:rPr>
              <w:t>(198,368.00)</w:t>
            </w:r>
          </w:p>
        </w:tc>
        <w:tc>
          <w:tcPr>
            <w:tcW w:w="1320" w:type="dxa"/>
          </w:tcPr>
          <w:p>
            <w:pPr>
              <w:pStyle w:val="TableParagraph"/>
              <w:spacing w:line="131" w:lineRule="exact" w:before="34"/>
              <w:ind w:right="168"/>
              <w:jc w:val="right"/>
              <w:rPr>
                <w:sz w:val="12"/>
              </w:rPr>
            </w:pPr>
            <w:r>
              <w:rPr>
                <w:w w:val="105"/>
                <w:sz w:val="12"/>
              </w:rPr>
              <w:t>34,169.00</w:t>
            </w:r>
          </w:p>
        </w:tc>
        <w:tc>
          <w:tcPr>
            <w:tcW w:w="1025" w:type="dxa"/>
          </w:tcPr>
          <w:p>
            <w:pPr>
              <w:pStyle w:val="TableParagraph"/>
              <w:spacing w:line="131" w:lineRule="exact" w:before="34"/>
              <w:ind w:right="20"/>
              <w:jc w:val="right"/>
              <w:rPr>
                <w:sz w:val="12"/>
              </w:rPr>
            </w:pPr>
            <w:r>
              <w:rPr>
                <w:w w:val="105"/>
                <w:sz w:val="12"/>
              </w:rPr>
              <w:t>123,567.00</w:t>
            </w:r>
          </w:p>
        </w:tc>
        <w:tc>
          <w:tcPr>
            <w:tcW w:w="1175" w:type="dxa"/>
          </w:tcPr>
          <w:p>
            <w:pPr>
              <w:pStyle w:val="TableParagraph"/>
              <w:spacing w:line="131" w:lineRule="exact" w:before="34"/>
              <w:ind w:right="23"/>
              <w:jc w:val="right"/>
              <w:rPr>
                <w:sz w:val="12"/>
              </w:rPr>
            </w:pPr>
            <w:r>
              <w:rPr>
                <w:w w:val="105"/>
                <w:sz w:val="12"/>
              </w:rPr>
              <w:t>(111,470.00)</w:t>
            </w:r>
          </w:p>
        </w:tc>
      </w:tr>
      <w:tr>
        <w:trPr>
          <w:trHeight w:val="170" w:hRule="atLeast"/>
        </w:trPr>
        <w:tc>
          <w:tcPr>
            <w:tcW w:w="2587" w:type="dxa"/>
          </w:tcPr>
          <w:p>
            <w:pPr>
              <w:pStyle w:val="TableParagraph"/>
              <w:spacing w:line="145" w:lineRule="exact" w:before="6"/>
              <w:ind w:left="32"/>
              <w:rPr>
                <w:sz w:val="14"/>
              </w:rPr>
            </w:pPr>
            <w:r>
              <w:rPr>
                <w:sz w:val="14"/>
              </w:rPr>
              <w:t>F. ENDING CASH (A + E)</w:t>
            </w:r>
          </w:p>
        </w:tc>
        <w:tc>
          <w:tcPr>
            <w:tcW w:w="752" w:type="dxa"/>
          </w:tcPr>
          <w:p>
            <w:pPr>
              <w:pStyle w:val="TableParagraph"/>
              <w:rPr>
                <w:rFonts w:ascii="Times New Roman"/>
                <w:sz w:val="10"/>
              </w:rPr>
            </w:pPr>
          </w:p>
        </w:tc>
        <w:tc>
          <w:tcPr>
            <w:tcW w:w="1173" w:type="dxa"/>
            <w:shd w:val="clear" w:color="auto" w:fill="BFBFBF"/>
          </w:tcPr>
          <w:p>
            <w:pPr>
              <w:pStyle w:val="TableParagraph"/>
              <w:rPr>
                <w:rFonts w:ascii="Times New Roman"/>
                <w:sz w:val="10"/>
              </w:rPr>
            </w:pPr>
          </w:p>
        </w:tc>
        <w:tc>
          <w:tcPr>
            <w:tcW w:w="1173" w:type="dxa"/>
          </w:tcPr>
          <w:p>
            <w:pPr>
              <w:pStyle w:val="TableParagraph"/>
              <w:spacing w:line="124" w:lineRule="exact" w:before="27"/>
              <w:ind w:right="25"/>
              <w:jc w:val="right"/>
              <w:rPr>
                <w:sz w:val="12"/>
              </w:rPr>
            </w:pPr>
            <w:r>
              <w:rPr>
                <w:w w:val="105"/>
                <w:sz w:val="12"/>
              </w:rPr>
              <w:t>2,558,436.00</w:t>
            </w:r>
          </w:p>
        </w:tc>
        <w:tc>
          <w:tcPr>
            <w:tcW w:w="1272" w:type="dxa"/>
          </w:tcPr>
          <w:p>
            <w:pPr>
              <w:pStyle w:val="TableParagraph"/>
              <w:spacing w:line="124" w:lineRule="exact" w:before="27"/>
              <w:ind w:right="124"/>
              <w:jc w:val="right"/>
              <w:rPr>
                <w:sz w:val="12"/>
              </w:rPr>
            </w:pPr>
            <w:r>
              <w:rPr>
                <w:w w:val="105"/>
                <w:sz w:val="12"/>
              </w:rPr>
              <w:t>2,537,620.00</w:t>
            </w:r>
          </w:p>
        </w:tc>
        <w:tc>
          <w:tcPr>
            <w:tcW w:w="1210" w:type="dxa"/>
          </w:tcPr>
          <w:p>
            <w:pPr>
              <w:pStyle w:val="TableParagraph"/>
              <w:spacing w:line="124" w:lineRule="exact" w:before="27"/>
              <w:ind w:right="160"/>
              <w:jc w:val="right"/>
              <w:rPr>
                <w:sz w:val="12"/>
              </w:rPr>
            </w:pPr>
            <w:r>
              <w:rPr>
                <w:w w:val="105"/>
                <w:sz w:val="12"/>
              </w:rPr>
              <w:t>2,620,871.00</w:t>
            </w:r>
          </w:p>
        </w:tc>
        <w:tc>
          <w:tcPr>
            <w:tcW w:w="1145" w:type="dxa"/>
          </w:tcPr>
          <w:p>
            <w:pPr>
              <w:pStyle w:val="TableParagraph"/>
              <w:spacing w:line="124" w:lineRule="exact" w:before="27"/>
              <w:ind w:right="131"/>
              <w:jc w:val="right"/>
              <w:rPr>
                <w:sz w:val="12"/>
              </w:rPr>
            </w:pPr>
            <w:r>
              <w:rPr>
                <w:w w:val="105"/>
                <w:sz w:val="12"/>
              </w:rPr>
              <w:t>2,454,502.00</w:t>
            </w:r>
          </w:p>
        </w:tc>
        <w:tc>
          <w:tcPr>
            <w:tcW w:w="1064" w:type="dxa"/>
          </w:tcPr>
          <w:p>
            <w:pPr>
              <w:pStyle w:val="TableParagraph"/>
              <w:spacing w:line="124" w:lineRule="exact" w:before="27"/>
              <w:ind w:right="22"/>
              <w:jc w:val="right"/>
              <w:rPr>
                <w:sz w:val="12"/>
              </w:rPr>
            </w:pPr>
            <w:r>
              <w:rPr>
                <w:w w:val="105"/>
                <w:sz w:val="12"/>
              </w:rPr>
              <w:t>2,256,134.00</w:t>
            </w:r>
          </w:p>
        </w:tc>
        <w:tc>
          <w:tcPr>
            <w:tcW w:w="1320" w:type="dxa"/>
          </w:tcPr>
          <w:p>
            <w:pPr>
              <w:pStyle w:val="TableParagraph"/>
              <w:spacing w:line="124" w:lineRule="exact" w:before="27"/>
              <w:ind w:right="168"/>
              <w:jc w:val="right"/>
              <w:rPr>
                <w:sz w:val="12"/>
              </w:rPr>
            </w:pPr>
            <w:r>
              <w:rPr>
                <w:w w:val="105"/>
                <w:sz w:val="12"/>
              </w:rPr>
              <w:t>2,290,303.00</w:t>
            </w:r>
          </w:p>
        </w:tc>
        <w:tc>
          <w:tcPr>
            <w:tcW w:w="1025" w:type="dxa"/>
          </w:tcPr>
          <w:p>
            <w:pPr>
              <w:pStyle w:val="TableParagraph"/>
              <w:spacing w:line="124" w:lineRule="exact" w:before="27"/>
              <w:ind w:right="20"/>
              <w:jc w:val="right"/>
              <w:rPr>
                <w:sz w:val="12"/>
              </w:rPr>
            </w:pPr>
            <w:r>
              <w:rPr>
                <w:w w:val="105"/>
                <w:sz w:val="12"/>
              </w:rPr>
              <w:t>2,413,870.00</w:t>
            </w:r>
          </w:p>
        </w:tc>
        <w:tc>
          <w:tcPr>
            <w:tcW w:w="1175" w:type="dxa"/>
          </w:tcPr>
          <w:p>
            <w:pPr>
              <w:pStyle w:val="TableParagraph"/>
              <w:spacing w:line="124" w:lineRule="exact" w:before="27"/>
              <w:ind w:right="21"/>
              <w:jc w:val="right"/>
              <w:rPr>
                <w:sz w:val="12"/>
              </w:rPr>
            </w:pPr>
            <w:r>
              <w:rPr>
                <w:w w:val="105"/>
                <w:sz w:val="12"/>
              </w:rPr>
              <w:t>2,302,400.00</w:t>
            </w:r>
          </w:p>
        </w:tc>
      </w:tr>
      <w:tr>
        <w:trPr>
          <w:trHeight w:val="367" w:hRule="atLeast"/>
        </w:trPr>
        <w:tc>
          <w:tcPr>
            <w:tcW w:w="2587" w:type="dxa"/>
          </w:tcPr>
          <w:p>
            <w:pPr>
              <w:pStyle w:val="TableParagraph"/>
              <w:spacing w:line="158" w:lineRule="exact" w:before="48"/>
              <w:ind w:left="32"/>
              <w:rPr>
                <w:sz w:val="14"/>
              </w:rPr>
            </w:pPr>
            <w:r>
              <w:rPr>
                <w:sz w:val="14"/>
              </w:rPr>
              <w:t>G. ENDING CASH, PLUS CASH ACCRUALS AND ADJUSTMENTS</w:t>
            </w:r>
          </w:p>
        </w:tc>
        <w:tc>
          <w:tcPr>
            <w:tcW w:w="752" w:type="dxa"/>
          </w:tcPr>
          <w:p>
            <w:pPr>
              <w:pStyle w:val="TableParagraph"/>
              <w:rPr>
                <w:rFonts w:ascii="Times New Roman"/>
                <w:sz w:val="12"/>
              </w:rPr>
            </w:pPr>
          </w:p>
        </w:tc>
        <w:tc>
          <w:tcPr>
            <w:tcW w:w="1173" w:type="dxa"/>
          </w:tcPr>
          <w:p>
            <w:pPr>
              <w:pStyle w:val="TableParagraph"/>
              <w:rPr>
                <w:rFonts w:ascii="Times New Roman"/>
                <w:sz w:val="12"/>
              </w:rPr>
            </w:pPr>
          </w:p>
        </w:tc>
        <w:tc>
          <w:tcPr>
            <w:tcW w:w="1173" w:type="dxa"/>
          </w:tcPr>
          <w:p>
            <w:pPr>
              <w:pStyle w:val="TableParagraph"/>
              <w:rPr>
                <w:rFonts w:ascii="Times New Roman"/>
                <w:sz w:val="12"/>
              </w:rPr>
            </w:pPr>
          </w:p>
        </w:tc>
        <w:tc>
          <w:tcPr>
            <w:tcW w:w="1272" w:type="dxa"/>
          </w:tcPr>
          <w:p>
            <w:pPr>
              <w:pStyle w:val="TableParagraph"/>
              <w:rPr>
                <w:rFonts w:ascii="Times New Roman"/>
                <w:sz w:val="12"/>
              </w:rPr>
            </w:pPr>
          </w:p>
        </w:tc>
        <w:tc>
          <w:tcPr>
            <w:tcW w:w="1210" w:type="dxa"/>
          </w:tcPr>
          <w:p>
            <w:pPr>
              <w:pStyle w:val="TableParagraph"/>
              <w:rPr>
                <w:rFonts w:ascii="Times New Roman"/>
                <w:sz w:val="12"/>
              </w:rPr>
            </w:pPr>
          </w:p>
        </w:tc>
        <w:tc>
          <w:tcPr>
            <w:tcW w:w="1145" w:type="dxa"/>
          </w:tcPr>
          <w:p>
            <w:pPr>
              <w:pStyle w:val="TableParagraph"/>
              <w:rPr>
                <w:rFonts w:ascii="Times New Roman"/>
                <w:sz w:val="12"/>
              </w:rPr>
            </w:pPr>
          </w:p>
        </w:tc>
        <w:tc>
          <w:tcPr>
            <w:tcW w:w="1064" w:type="dxa"/>
          </w:tcPr>
          <w:p>
            <w:pPr>
              <w:pStyle w:val="TableParagraph"/>
              <w:rPr>
                <w:rFonts w:ascii="Times New Roman"/>
                <w:sz w:val="12"/>
              </w:rPr>
            </w:pPr>
          </w:p>
        </w:tc>
        <w:tc>
          <w:tcPr>
            <w:tcW w:w="1320" w:type="dxa"/>
            <w:shd w:val="clear" w:color="auto" w:fill="BFBFBF"/>
          </w:tcPr>
          <w:p>
            <w:pPr>
              <w:pStyle w:val="TableParagraph"/>
              <w:rPr>
                <w:rFonts w:ascii="Times New Roman"/>
                <w:sz w:val="12"/>
              </w:rPr>
            </w:pPr>
          </w:p>
        </w:tc>
        <w:tc>
          <w:tcPr>
            <w:tcW w:w="1025" w:type="dxa"/>
            <w:shd w:val="clear" w:color="auto" w:fill="BFBFBF"/>
          </w:tcPr>
          <w:p>
            <w:pPr>
              <w:pStyle w:val="TableParagraph"/>
              <w:rPr>
                <w:rFonts w:ascii="Times New Roman"/>
                <w:sz w:val="12"/>
              </w:rPr>
            </w:pPr>
          </w:p>
        </w:tc>
        <w:tc>
          <w:tcPr>
            <w:tcW w:w="1175" w:type="dxa"/>
          </w:tcPr>
          <w:p>
            <w:pPr>
              <w:pStyle w:val="TableParagraph"/>
              <w:rPr>
                <w:rFonts w:ascii="Times New Roman"/>
                <w:sz w:val="12"/>
              </w:rPr>
            </w:pPr>
          </w:p>
        </w:tc>
      </w:tr>
    </w:tbl>
    <w:p>
      <w:pPr>
        <w:spacing w:after="0"/>
        <w:rPr>
          <w:rFonts w:ascii="Times New Roman"/>
          <w:sz w:val="12"/>
        </w:rPr>
        <w:sectPr>
          <w:headerReference w:type="default" r:id="rId1016"/>
          <w:footerReference w:type="default" r:id="rId1017"/>
          <w:pgSz w:w="15840" w:h="12240" w:orient="landscape"/>
          <w:pgMar w:header="505" w:footer="778" w:top="980" w:bottom="960" w:left="860" w:right="860"/>
          <w:pgNumType w:start="1"/>
        </w:sectPr>
      </w:pPr>
    </w:p>
    <w:p>
      <w:pPr>
        <w:pStyle w:val="BodyText"/>
        <w:spacing w:before="2"/>
        <w:rPr>
          <w:sz w:val="29"/>
        </w:rPr>
      </w:pPr>
    </w:p>
    <w:p>
      <w:pPr>
        <w:spacing w:after="0"/>
        <w:rPr>
          <w:sz w:val="29"/>
        </w:rPr>
        <w:sectPr>
          <w:pgSz w:w="15840" w:h="12240" w:orient="landscape"/>
          <w:pgMar w:header="505" w:footer="778" w:top="980" w:bottom="960" w:left="860" w:right="860"/>
        </w:sectPr>
      </w:pPr>
    </w:p>
    <w:p>
      <w:pPr>
        <w:pStyle w:val="BodyText"/>
        <w:rPr>
          <w:sz w:val="16"/>
        </w:rPr>
      </w:pPr>
    </w:p>
    <w:p>
      <w:pPr>
        <w:pStyle w:val="Heading9"/>
        <w:spacing w:before="101"/>
        <w:ind w:left="827"/>
      </w:pPr>
      <w:r>
        <w:rPr/>
        <w:t>ESTIMATES THROUGH THE </w:t>
      </w:r>
      <w:r>
        <w:rPr>
          <w:spacing w:val="-4"/>
        </w:rPr>
        <w:t>MONTH</w:t>
      </w:r>
    </w:p>
    <w:p>
      <w:pPr>
        <w:spacing w:before="95"/>
        <w:ind w:left="155" w:right="0" w:firstLine="0"/>
        <w:jc w:val="left"/>
        <w:rPr>
          <w:b/>
          <w:sz w:val="14"/>
        </w:rPr>
      </w:pPr>
      <w:r>
        <w:rPr/>
        <w:br w:type="column"/>
      </w:r>
      <w:r>
        <w:rPr>
          <w:b/>
          <w:spacing w:val="-1"/>
          <w:sz w:val="14"/>
        </w:rPr>
        <w:t>Object</w:t>
      </w:r>
    </w:p>
    <w:p>
      <w:pPr>
        <w:tabs>
          <w:tab w:pos="1742" w:val="left" w:leader="none"/>
          <w:tab w:pos="2921" w:val="left" w:leader="none"/>
          <w:tab w:pos="4085" w:val="left" w:leader="none"/>
          <w:tab w:pos="5129" w:val="left" w:leader="none"/>
          <w:tab w:pos="6175" w:val="left" w:leader="none"/>
          <w:tab w:pos="7538" w:val="left" w:leader="none"/>
          <w:tab w:pos="8647" w:val="left" w:leader="none"/>
        </w:tabs>
        <w:spacing w:before="95"/>
        <w:ind w:left="521" w:right="0" w:firstLine="0"/>
        <w:jc w:val="left"/>
        <w:rPr>
          <w:b/>
          <w:sz w:val="14"/>
        </w:rPr>
      </w:pPr>
      <w:r>
        <w:rPr/>
        <w:br w:type="column"/>
      </w:r>
      <w:r>
        <w:rPr>
          <w:b/>
          <w:sz w:val="14"/>
        </w:rPr>
        <w:t>March</w:t>
        <w:tab/>
        <w:t>April</w:t>
        <w:tab/>
        <w:t>May</w:t>
        <w:tab/>
        <w:t>June</w:t>
        <w:tab/>
        <w:t>Accruals</w:t>
        <w:tab/>
        <w:t>Adjustments</w:t>
        <w:tab/>
        <w:t>TOTAL</w:t>
        <w:tab/>
        <w:t>BUDGET</w:t>
      </w:r>
    </w:p>
    <w:p>
      <w:pPr>
        <w:spacing w:after="0"/>
        <w:jc w:val="left"/>
        <w:rPr>
          <w:sz w:val="14"/>
        </w:rPr>
        <w:sectPr>
          <w:type w:val="continuous"/>
          <w:pgSz w:w="15840" w:h="12240" w:orient="landscape"/>
          <w:pgMar w:top="1500" w:bottom="840" w:left="860" w:right="860"/>
          <w:cols w:num="3" w:equalWidth="0">
            <w:col w:w="3229" w:space="40"/>
            <w:col w:w="586" w:space="39"/>
            <w:col w:w="10226"/>
          </w:cols>
        </w:sectPr>
      </w:pPr>
    </w:p>
    <w:p>
      <w:pPr>
        <w:pStyle w:val="BodyText"/>
        <w:spacing w:before="2"/>
        <w:rPr>
          <w:b/>
          <w:sz w:val="15"/>
        </w:rPr>
      </w:pPr>
    </w:p>
    <w:p>
      <w:pPr>
        <w:pStyle w:val="ListParagraph"/>
        <w:numPr>
          <w:ilvl w:val="0"/>
          <w:numId w:val="45"/>
        </w:numPr>
        <w:tabs>
          <w:tab w:pos="897" w:val="left" w:leader="none"/>
        </w:tabs>
        <w:spacing w:line="240" w:lineRule="auto" w:before="0" w:after="0"/>
        <w:ind w:left="896" w:right="0" w:hanging="171"/>
        <w:jc w:val="left"/>
        <w:rPr>
          <w:sz w:val="14"/>
        </w:rPr>
      </w:pPr>
      <w:r>
        <w:rPr>
          <w:sz w:val="14"/>
        </w:rPr>
        <w:t>BEGINNING</w:t>
      </w:r>
      <w:r>
        <w:rPr>
          <w:spacing w:val="-3"/>
          <w:sz w:val="14"/>
        </w:rPr>
        <w:t> </w:t>
      </w:r>
      <w:r>
        <w:rPr>
          <w:sz w:val="14"/>
        </w:rPr>
        <w:t>CASH</w:t>
      </w:r>
    </w:p>
    <w:p>
      <w:pPr>
        <w:pStyle w:val="ListParagraph"/>
        <w:numPr>
          <w:ilvl w:val="0"/>
          <w:numId w:val="45"/>
        </w:numPr>
        <w:tabs>
          <w:tab w:pos="897" w:val="left" w:leader="none"/>
        </w:tabs>
        <w:spacing w:line="240" w:lineRule="auto" w:before="17" w:after="0"/>
        <w:ind w:left="896" w:right="0" w:hanging="171"/>
        <w:jc w:val="left"/>
        <w:rPr>
          <w:sz w:val="14"/>
        </w:rPr>
      </w:pPr>
      <w:r>
        <w:rPr>
          <w:sz w:val="14"/>
        </w:rPr>
        <w:t>RECEIPTS</w:t>
      </w:r>
    </w:p>
    <w:p>
      <w:pPr>
        <w:spacing w:before="16"/>
        <w:ind w:left="880" w:right="0" w:firstLine="0"/>
        <w:jc w:val="left"/>
        <w:rPr>
          <w:sz w:val="14"/>
        </w:rPr>
      </w:pPr>
      <w:r>
        <w:rPr>
          <w:sz w:val="14"/>
        </w:rPr>
        <w:t>LCFF/Revenue Limit </w:t>
      </w:r>
      <w:r>
        <w:rPr>
          <w:spacing w:val="-4"/>
          <w:sz w:val="14"/>
        </w:rPr>
        <w:t>Sources</w:t>
      </w:r>
    </w:p>
    <w:p>
      <w:pPr>
        <w:tabs>
          <w:tab w:pos="730" w:val="left" w:leader="none"/>
        </w:tabs>
        <w:spacing w:line="161" w:lineRule="exact" w:before="0"/>
        <w:ind w:left="294" w:right="0" w:firstLine="0"/>
        <w:jc w:val="left"/>
        <w:rPr>
          <w:sz w:val="12"/>
        </w:rPr>
      </w:pPr>
      <w:r>
        <w:rPr/>
        <w:br w:type="column"/>
      </w:r>
      <w:r>
        <w:rPr>
          <w:w w:val="105"/>
          <w:sz w:val="14"/>
        </w:rPr>
        <w:t>OF</w:t>
        <w:tab/>
      </w:r>
      <w:r>
        <w:rPr>
          <w:spacing w:val="-6"/>
          <w:w w:val="105"/>
          <w:sz w:val="12"/>
        </w:rPr>
        <w:t>JUNE</w:t>
      </w:r>
    </w:p>
    <w:p>
      <w:pPr>
        <w:pStyle w:val="BodyText"/>
        <w:rPr>
          <w:sz w:val="17"/>
        </w:rPr>
      </w:pPr>
      <w:r>
        <w:rPr/>
        <w:br w:type="column"/>
      </w:r>
      <w:r>
        <w:rPr>
          <w:sz w:val="17"/>
        </w:rPr>
      </w:r>
    </w:p>
    <w:p>
      <w:pPr>
        <w:tabs>
          <w:tab w:pos="1770" w:val="left" w:leader="none"/>
          <w:tab w:pos="2944" w:val="left" w:leader="none"/>
          <w:tab w:pos="4117" w:val="left" w:leader="none"/>
        </w:tabs>
        <w:spacing w:before="0"/>
        <w:ind w:left="597" w:right="0" w:firstLine="0"/>
        <w:jc w:val="left"/>
        <w:rPr>
          <w:sz w:val="12"/>
        </w:rPr>
      </w:pPr>
      <w:r>
        <w:rPr>
          <w:w w:val="105"/>
          <w:sz w:val="12"/>
        </w:rPr>
        <w:t>2,302,400.00</w:t>
        <w:tab/>
        <w:t>2,211,292.00</w:t>
        <w:tab/>
        <w:t>2,180,020.00</w:t>
        <w:tab/>
        <w:t>2,442,319.00</w:t>
      </w:r>
    </w:p>
    <w:p>
      <w:pPr>
        <w:spacing w:after="0"/>
        <w:jc w:val="left"/>
        <w:rPr>
          <w:sz w:val="12"/>
        </w:rPr>
        <w:sectPr>
          <w:type w:val="continuous"/>
          <w:pgSz w:w="15840" w:h="12240" w:orient="landscape"/>
          <w:pgMar w:top="1500" w:bottom="840" w:left="860" w:right="860"/>
          <w:cols w:num="3" w:equalWidth="0">
            <w:col w:w="2702" w:space="40"/>
            <w:col w:w="1064" w:space="39"/>
            <w:col w:w="10275"/>
          </w:cols>
        </w:sectPr>
      </w:pPr>
    </w:p>
    <w:p>
      <w:pPr>
        <w:tabs>
          <w:tab w:pos="3938" w:val="right" w:leader="none"/>
        </w:tabs>
        <w:spacing w:before="19"/>
        <w:ind w:left="1149" w:right="0" w:firstLine="0"/>
        <w:jc w:val="left"/>
        <w:rPr>
          <w:sz w:val="12"/>
        </w:rPr>
      </w:pPr>
      <w:r>
        <w:rPr/>
        <w:pict>
          <v:group style="position:absolute;margin-left:77.279999pt;margin-top:49.800003pt;width:637.35pt;height:465.15pt;mso-position-horizontal-relative:page;mso-position-vertical-relative:page;z-index:-314161152" coordorigin="1546,996" coordsize="12747,9303">
            <v:shape style="position:absolute;left:1545;top:996;width:3351;height:586" type="#_x0000_t75" stroked="false">
              <v:imagedata r:id="rId1054" o:title=""/>
            </v:shape>
            <v:shape style="position:absolute;left:1545;top:1180;width:3358;height:924" type="#_x0000_t75" stroked="false">
              <v:imagedata r:id="rId1055" o:title=""/>
            </v:shape>
            <v:rect style="position:absolute;left:4104;top:1929;width:790;height:178" filled="true" fillcolor="#bfbfbf" stroked="false">
              <v:fill type="solid"/>
            </v:rect>
            <v:shape style="position:absolute;left:1545;top:1924;width:3358;height:713" type="#_x0000_t75" stroked="false">
              <v:imagedata r:id="rId1056" o:title=""/>
            </v:shape>
            <v:shape style="position:absolute;left:1545;top:2457;width:3358;height:1956" type="#_x0000_t75" stroked="false">
              <v:imagedata r:id="rId1057" o:title=""/>
            </v:shape>
            <v:shape style="position:absolute;left:1545;top:4233;width:3358;height:2312" type="#_x0000_t75" stroked="false">
              <v:imagedata r:id="rId1058" o:title=""/>
            </v:shape>
            <v:shape style="position:absolute;left:4092;top:6364;width:812;height:3212" type="#_x0000_t75" stroked="false">
              <v:imagedata r:id="rId1059" o:title=""/>
            </v:shape>
            <v:shape style="position:absolute;left:4092;top:9561;width:812;height:192" type="#_x0000_t75" stroked="false">
              <v:imagedata r:id="rId1043" o:title=""/>
            </v:shape>
            <v:shape style="position:absolute;left:4888;top:996;width:9404;height:586" type="#_x0000_t75" stroked="false">
              <v:imagedata r:id="rId1060" o:title=""/>
            </v:shape>
            <v:rect style="position:absolute;left:4893;top:1584;width:1174;height:346" filled="true" fillcolor="#bfbfbf" stroked="false">
              <v:fill type="solid"/>
            </v:rect>
            <v:shape style="position:absolute;left:4888;top:1572;width:1181;height:22" type="#_x0000_t75" stroked="false">
              <v:imagedata r:id="rId1023" o:title=""/>
            </v:shape>
            <v:rect style="position:absolute;left:6067;top:1584;width:1174;height:346" filled="true" fillcolor="#bfbfbf" stroked="false">
              <v:fill type="solid"/>
            </v:rect>
            <v:shape style="position:absolute;left:6062;top:1572;width:1181;height:22" type="#_x0000_t75" stroked="false">
              <v:imagedata r:id="rId1023" o:title=""/>
            </v:shape>
            <v:rect style="position:absolute;left:7240;top:1584;width:1174;height:346" filled="true" fillcolor="#bfbfbf" stroked="false">
              <v:fill type="solid"/>
            </v:rect>
            <v:shape style="position:absolute;left:7236;top:1572;width:1181;height:22" type="#_x0000_t75" stroked="false">
              <v:imagedata r:id="rId1023" o:title=""/>
            </v:shape>
            <v:rect style="position:absolute;left:8414;top:1584;width:1174;height:346" filled="true" fillcolor="#bfbfbf" stroked="false">
              <v:fill type="solid"/>
            </v:rect>
            <v:shape style="position:absolute;left:8409;top:1572;width:1181;height:22" type="#_x0000_t75" stroked="false">
              <v:imagedata r:id="rId1023" o:title=""/>
            </v:shape>
            <v:rect style="position:absolute;left:9588;top:1584;width:1174;height:346" filled="true" fillcolor="#bfbfbf" stroked="false">
              <v:fill type="solid"/>
            </v:rect>
            <v:shape style="position:absolute;left:10749;top:1180;width:1196;height:747" type="#_x0000_t75" stroked="false">
              <v:imagedata r:id="rId1061" o:title=""/>
            </v:shape>
            <v:shape style="position:absolute;left:9576;top:1572;width:1188;height:356" type="#_x0000_t75" stroked="false">
              <v:imagedata r:id="rId1062" o:title=""/>
            </v:shape>
            <v:rect style="position:absolute;left:10761;top:1584;width:1174;height:346" filled="true" fillcolor="#bfbfbf" stroked="false">
              <v:fill type="solid"/>
            </v:rect>
            <v:shape style="position:absolute;left:11923;top:1180;width:1196;height:747" type="#_x0000_t75" stroked="false">
              <v:imagedata r:id="rId1061" o:title=""/>
            </v:shape>
            <v:shape style="position:absolute;left:11935;top:1584;width:2348;height:346" coordorigin="11935,1584" coordsize="2348,346" path="m14282,1584l13109,1584,11935,1584,11935,1930,13109,1930,14282,1930,14282,1584e" filled="true" fillcolor="#bfbfbf" stroked="false">
              <v:path arrowok="t"/>
              <v:fill type="solid"/>
            </v:shape>
            <v:shape style="position:absolute;left:4888;top:1917;width:4702;height:200" type="#_x0000_t75" stroked="false">
              <v:imagedata r:id="rId1063" o:title=""/>
            </v:shape>
            <v:shape style="position:absolute;left:11923;top:1180;width:2369;height:936" type="#_x0000_t75" stroked="false">
              <v:imagedata r:id="rId1064" o:title=""/>
            </v:shape>
            <v:shape style="position:absolute;left:9576;top:1917;width:1188;height:200" type="#_x0000_t75" stroked="false">
              <v:imagedata r:id="rId1065" o:title=""/>
            </v:shape>
            <v:shape style="position:absolute;left:10749;top:1917;width:1188;height:200" type="#_x0000_t75" stroked="false">
              <v:imagedata r:id="rId1066" o:title=""/>
            </v:shape>
            <v:shape style="position:absolute;left:11935;top:1929;width:2348;height:178" coordorigin="11935,1930" coordsize="2348,178" path="m14282,1930l13109,1930,11935,1930,11935,2107,13109,2107,14282,2107,14282,1930e" filled="true" fillcolor="#bfbfbf" stroked="false">
              <v:path arrowok="t"/>
              <v:fill type="solid"/>
            </v:shape>
            <v:shape style="position:absolute;left:4888;top:1917;width:9404;height:903" type="#_x0000_t75" stroked="false">
              <v:imagedata r:id="rId1067" o:title=""/>
            </v:shape>
            <v:shape style="position:absolute;left:4888;top:2635;width:9404;height:363" type="#_x0000_t75" stroked="false">
              <v:imagedata r:id="rId1068" o:title=""/>
            </v:shape>
            <v:shape style="position:absolute;left:4888;top:2812;width:9404;height:363" type="#_x0000_t75" stroked="false">
              <v:imagedata r:id="rId1069" o:title=""/>
            </v:shape>
            <v:shape style="position:absolute;left:4888;top:2990;width:9404;height:363" type="#_x0000_t75" stroked="false">
              <v:imagedata r:id="rId1070" o:title=""/>
            </v:shape>
            <v:shape style="position:absolute;left:4888;top:3168;width:9404;height:363" type="#_x0000_t75" stroked="false">
              <v:imagedata r:id="rId1070" o:title=""/>
            </v:shape>
            <v:shape style="position:absolute;left:4888;top:3345;width:9404;height:363" type="#_x0000_t75" stroked="false">
              <v:imagedata r:id="rId1070" o:title=""/>
            </v:shape>
            <v:shape style="position:absolute;left:4888;top:3523;width:9404;height:363" type="#_x0000_t75" stroked="false">
              <v:imagedata r:id="rId1071" o:title=""/>
            </v:shape>
            <v:shape style="position:absolute;left:1545;top:5832;width:12747;height:4467" type="#_x0000_t75" stroked="false">
              <v:imagedata r:id="rId1072" o:title=""/>
            </v:shape>
            <v:shape style="position:absolute;left:4888;top:3700;width:9404;height:370" type="#_x0000_t75" stroked="false">
              <v:imagedata r:id="rId1073" o:title=""/>
            </v:shape>
            <v:shape style="position:absolute;left:4888;top:3878;width:9404;height:540" type="#_x0000_t75" stroked="false">
              <v:imagedata r:id="rId1074" o:title=""/>
            </v:shape>
            <v:shape style="position:absolute;left:4888;top:4233;width:7056;height:363" type="#_x0000_t75" stroked="false">
              <v:imagedata r:id="rId1075" o:title=""/>
            </v:shape>
            <v:shape style="position:absolute;left:8409;top:4233;width:5883;height:363" type="#_x0000_t75" stroked="false">
              <v:imagedata r:id="rId1076" o:title=""/>
            </v:shape>
            <v:shape style="position:absolute;left:4888;top:4411;width:9404;height:363" type="#_x0000_t75" stroked="false">
              <v:imagedata r:id="rId1077" o:title=""/>
            </v:shape>
            <v:shape style="position:absolute;left:4888;top:4588;width:9404;height:540" type="#_x0000_t75" stroked="false">
              <v:imagedata r:id="rId1078" o:title=""/>
            </v:shape>
            <v:shape style="position:absolute;left:4888;top:4944;width:9404;height:363" type="#_x0000_t75" stroked="false">
              <v:imagedata r:id="rId1068" o:title=""/>
            </v:shape>
            <v:shape style="position:absolute;left:4888;top:5121;width:9404;height:363" type="#_x0000_t75" stroked="false">
              <v:imagedata r:id="rId1070" o:title=""/>
            </v:shape>
            <v:shape style="position:absolute;left:8409;top:5299;width:5883;height:358" type="#_x0000_t75" stroked="false">
              <v:imagedata r:id="rId1079" o:title=""/>
            </v:shape>
            <v:shape style="position:absolute;left:4888;top:5476;width:9404;height:363" type="#_x0000_t75" stroked="false">
              <v:imagedata r:id="rId1080" o:title=""/>
            </v:shape>
            <v:shape style="position:absolute;left:4888;top:5654;width:9404;height:370" type="#_x0000_t75" stroked="false">
              <v:imagedata r:id="rId1081" o:title=""/>
            </v:shape>
            <v:shape style="position:absolute;left:13108;top:6014;width:1174;height:356" coordorigin="13109,6014" coordsize="1174,356" path="m14282,6014l13109,6014,13109,6192,13109,6370,14282,6370,14282,6192,14282,6014e" filled="true" fillcolor="#bfbfbf" stroked="false">
              <v:path arrowok="t"/>
              <v:fill type="solid"/>
            </v:shape>
            <v:shape style="position:absolute;left:6062;top:6009;width:7049;height:540" type="#_x0000_t75" stroked="false">
              <v:imagedata r:id="rId1082" o:title=""/>
            </v:shape>
            <v:shape style="position:absolute;left:13108;top:6369;width:1174;height:356" coordorigin="13109,6370" coordsize="1174,356" path="m14282,6370l13109,6370,13109,6547,13109,6725,14282,6725,14282,6547,14282,6370e" filled="true" fillcolor="#bfbfbf" stroked="false">
              <v:path arrowok="t"/>
              <v:fill type="solid"/>
            </v:shape>
            <v:shape style="position:absolute;left:4888;top:6542;width:8230;height:363" type="#_x0000_t75" stroked="false">
              <v:imagedata r:id="rId1083" o:title=""/>
            </v:shape>
            <v:rect style="position:absolute;left:13108;top:6724;width:1174;height:178" filled="true" fillcolor="#bfbfbf" stroked="false">
              <v:fill type="solid"/>
            </v:rect>
            <v:shape style="position:absolute;left:4888;top:6720;width:8230;height:363" type="#_x0000_t75" stroked="false">
              <v:imagedata r:id="rId1083" o:title=""/>
            </v:shape>
            <v:rect style="position:absolute;left:13108;top:6902;width:1174;height:178" filled="true" fillcolor="#bfbfbf" stroked="false">
              <v:fill type="solid"/>
            </v:rect>
            <v:shape style="position:absolute;left:4888;top:6897;width:8230;height:363" type="#_x0000_t75" stroked="false">
              <v:imagedata r:id="rId1083" o:title=""/>
            </v:shape>
            <v:rect style="position:absolute;left:13108;top:7080;width:1174;height:178" filled="true" fillcolor="#bfbfbf" stroked="false">
              <v:fill type="solid"/>
            </v:rect>
            <v:shape style="position:absolute;left:4888;top:7075;width:8230;height:358" type="#_x0000_t75" stroked="false">
              <v:imagedata r:id="rId1084" o:title=""/>
            </v:shape>
            <v:rect style="position:absolute;left:13108;top:7257;width:1174;height:178" filled="true" fillcolor="#bfbfbf" stroked="false">
              <v:fill type="solid"/>
            </v:rect>
            <v:shape style="position:absolute;left:4888;top:7252;width:8230;height:358" type="#_x0000_t75" stroked="false">
              <v:imagedata r:id="rId1084" o:title=""/>
            </v:shape>
            <v:rect style="position:absolute;left:13108;top:7435;width:1174;height:178" filled="true" fillcolor="#bfbfbf" stroked="false">
              <v:fill type="solid"/>
            </v:rect>
            <v:shape style="position:absolute;left:4888;top:7430;width:8230;height:363" type="#_x0000_t75" stroked="false">
              <v:imagedata r:id="rId1083" o:title=""/>
            </v:shape>
            <v:shape style="position:absolute;left:13108;top:7612;width:1174;height:356" coordorigin="13109,7613" coordsize="1174,356" path="m14282,7613l13109,7613,13109,7790,13109,7968,14282,7968,14282,7790,14282,7613e" filled="true" fillcolor="#bfbfbf" stroked="false">
              <v:path arrowok="t"/>
              <v:fill type="solid"/>
            </v:shape>
            <v:shape style="position:absolute;left:11923;top:7785;width:1188;height:363" type="#_x0000_t75" stroked="false">
              <v:imagedata r:id="rId1085" o:title=""/>
            </v:shape>
            <v:rect style="position:absolute;left:13108;top:7968;width:1174;height:178" filled="true" fillcolor="#bfbfbf" stroked="false">
              <v:fill type="solid"/>
            </v:rect>
            <v:shape style="position:absolute;left:4888;top:7608;width:8230;height:718" type="#_x0000_t75" stroked="false">
              <v:imagedata r:id="rId1086" o:title=""/>
            </v:shape>
            <v:rect style="position:absolute;left:13108;top:8145;width:1174;height:178" filled="true" fillcolor="#bfbfbf" stroked="false">
              <v:fill type="solid"/>
            </v:rect>
            <v:shape style="position:absolute;left:4888;top:8140;width:8230;height:363" type="#_x0000_t75" stroked="false">
              <v:imagedata r:id="rId1083" o:title=""/>
            </v:shape>
            <v:rect style="position:absolute;left:13108;top:8323;width:1174;height:178" filled="true" fillcolor="#bfbfbf" stroked="false">
              <v:fill type="solid"/>
            </v:rect>
            <v:shape style="position:absolute;left:4888;top:8318;width:8230;height:358" type="#_x0000_t75" stroked="false">
              <v:imagedata r:id="rId1084" o:title=""/>
            </v:shape>
            <v:rect style="position:absolute;left:13108;top:8500;width:1174;height:178" filled="true" fillcolor="#bfbfbf" stroked="false">
              <v:fill type="solid"/>
            </v:rect>
            <v:shape style="position:absolute;left:4888;top:8496;width:8230;height:358" type="#_x0000_t75" stroked="false">
              <v:imagedata r:id="rId1084" o:title=""/>
            </v:shape>
            <v:rect style="position:absolute;left:13108;top:8678;width:1174;height:178" filled="true" fillcolor="#bfbfbf" stroked="false">
              <v:fill type="solid"/>
            </v:rect>
            <v:shape style="position:absolute;left:4888;top:8673;width:8230;height:363" type="#_x0000_t75" stroked="false">
              <v:imagedata r:id="rId1087" o:title=""/>
            </v:shape>
            <v:shape style="position:absolute;left:11923;top:6542;width:2369;height:3377" type="#_x0000_t75" stroked="false">
              <v:imagedata r:id="rId1088" o:title=""/>
            </v:shape>
            <v:shape style="position:absolute;left:13108;top:8856;width:1174;height:356" coordorigin="13109,8856" coordsize="1174,356" path="m14282,8856l13109,8856,13109,9034,13109,9211,14282,9211,14282,9034,14282,8856e" filled="true" fillcolor="#bfbfbf" stroked="false">
              <v:path arrowok="t"/>
              <v:fill type="solid"/>
            </v:shape>
            <v:shape style="position:absolute;left:4888;top:9028;width:8223;height:363" type="#_x0000_t75" stroked="false">
              <v:imagedata r:id="rId1089" o:title=""/>
            </v:shape>
            <v:rect style="position:absolute;left:13108;top:9211;width:1174;height:178" filled="true" fillcolor="#bfbfbf" stroked="false">
              <v:fill type="solid"/>
            </v:rect>
            <v:shape style="position:absolute;left:4888;top:9384;width:8223;height:192" type="#_x0000_t75" stroked="false">
              <v:imagedata r:id="rId1090" o:title=""/>
            </v:shape>
            <v:rect style="position:absolute;left:13108;top:9388;width:1174;height:178" filled="true" fillcolor="#bfbfbf" stroked="false">
              <v:fill type="solid"/>
            </v:rect>
            <v:shape style="position:absolute;left:4888;top:9561;width:4709;height:358" type="#_x0000_t75" stroked="false">
              <v:imagedata r:id="rId1091" o:title=""/>
            </v:shape>
            <v:shape style="position:absolute;left:9576;top:9561;width:1196;height:358" type="#_x0000_t75" stroked="false">
              <v:imagedata r:id="rId1092" o:title=""/>
            </v:shape>
            <v:rect style="position:absolute;left:9588;top:9744;width:1174;height:178" filled="true" fillcolor="#bfbfbf" stroked="false">
              <v:fill type="solid"/>
            </v:rect>
            <v:shape style="position:absolute;left:10756;top:9561;width:1188;height:192" type="#_x0000_t75" stroked="false">
              <v:imagedata r:id="rId1093" o:title=""/>
            </v:shape>
            <v:shape style="position:absolute;left:4893;top:9744;width:9389;height:545" coordorigin="4894,9744" coordsize="9389,545" path="m6067,9922l4894,9922,4894,10289,6067,10289,6067,9922m14282,9744l13109,9744,11935,9744,10762,9744,10762,9922,11935,9922,13109,9922,14282,9922,14282,9744e" filled="true" fillcolor="#bfbfbf" stroked="false">
              <v:path arrowok="t"/>
              <v:fill type="solid"/>
            </v:shape>
            <v:shape style="position:absolute;left:4888;top:9909;width:1181;height:22" type="#_x0000_t75" stroked="false">
              <v:imagedata r:id="rId1023" o:title=""/>
            </v:shape>
            <v:shape style="position:absolute;left:4888;top:10276;width:1181;height:22" type="#_x0000_t75" stroked="false">
              <v:imagedata r:id="rId1023" o:title=""/>
            </v:shape>
            <v:shape style="position:absolute;left:6062;top:9909;width:1181;height:389" type="#_x0000_t75" stroked="false">
              <v:imagedata r:id="rId1052" o:title=""/>
            </v:shape>
            <v:shape style="position:absolute;left:7236;top:9909;width:1181;height:389" type="#_x0000_t75" stroked="false">
              <v:imagedata r:id="rId1051" o:title=""/>
            </v:shape>
            <v:rect style="position:absolute;left:8414;top:9921;width:1174;height:368" filled="true" fillcolor="#bfbfbf" stroked="false">
              <v:fill type="solid"/>
            </v:rect>
            <v:shape style="position:absolute;left:8409;top:9909;width:1181;height:22" type="#_x0000_t75" stroked="false">
              <v:imagedata r:id="rId1023" o:title=""/>
            </v:shape>
            <v:shape style="position:absolute;left:8409;top:10276;width:1181;height:22" type="#_x0000_t75" stroked="false">
              <v:imagedata r:id="rId1023" o:title=""/>
            </v:shape>
            <v:shape style="position:absolute;left:9576;top:9909;width:1196;height:389" type="#_x0000_t75" stroked="false">
              <v:imagedata r:id="rId1094" o:title=""/>
            </v:shape>
            <v:rect style="position:absolute;left:10761;top:9921;width:1174;height:368" filled="true" fillcolor="#bfbfbf" stroked="false">
              <v:fill type="solid"/>
            </v:rect>
            <v:shape style="position:absolute;left:10756;top:9732;width:3536;height:567" type="#_x0000_t75" stroked="false">
              <v:imagedata r:id="rId1095" o:title=""/>
            </v:shape>
            <v:shape style="position:absolute;left:13096;top:9909;width:1196;height:389" type="#_x0000_t75" stroked="false">
              <v:imagedata r:id="rId1047" o:title=""/>
            </v:shape>
            <w10:wrap type="none"/>
          </v:group>
        </w:pict>
      </w:r>
      <w:r>
        <w:rPr>
          <w:sz w:val="14"/>
        </w:rPr>
        <w:t>Principal</w:t>
      </w:r>
      <w:r>
        <w:rPr>
          <w:spacing w:val="-1"/>
          <w:sz w:val="14"/>
        </w:rPr>
        <w:t> </w:t>
      </w:r>
      <w:r>
        <w:rPr>
          <w:sz w:val="14"/>
        </w:rPr>
        <w:t>Apportionment</w:t>
        <w:tab/>
      </w:r>
      <w:r>
        <w:rPr>
          <w:sz w:val="12"/>
        </w:rPr>
        <w:t>8010-8019</w:t>
      </w:r>
    </w:p>
    <w:p>
      <w:pPr>
        <w:tabs>
          <w:tab w:pos="3938" w:val="right" w:leader="none"/>
        </w:tabs>
        <w:spacing w:before="17"/>
        <w:ind w:left="1149" w:right="0" w:firstLine="0"/>
        <w:jc w:val="left"/>
        <w:rPr>
          <w:sz w:val="12"/>
        </w:rPr>
      </w:pPr>
      <w:r>
        <w:rPr>
          <w:sz w:val="14"/>
        </w:rPr>
        <w:t>Property</w:t>
      </w:r>
      <w:r>
        <w:rPr>
          <w:spacing w:val="-6"/>
          <w:sz w:val="14"/>
        </w:rPr>
        <w:t> </w:t>
      </w:r>
      <w:r>
        <w:rPr>
          <w:sz w:val="14"/>
        </w:rPr>
        <w:t>Taxes</w:t>
        <w:tab/>
      </w:r>
      <w:r>
        <w:rPr>
          <w:sz w:val="12"/>
        </w:rPr>
        <w:t>8020-8079</w:t>
      </w:r>
    </w:p>
    <w:p>
      <w:pPr>
        <w:tabs>
          <w:tab w:pos="3938" w:val="right" w:leader="none"/>
        </w:tabs>
        <w:spacing w:before="17"/>
        <w:ind w:left="1149" w:right="0" w:firstLine="0"/>
        <w:jc w:val="left"/>
        <w:rPr>
          <w:sz w:val="12"/>
        </w:rPr>
      </w:pPr>
      <w:r>
        <w:rPr>
          <w:sz w:val="14"/>
        </w:rPr>
        <w:t>Miscellaneous</w:t>
      </w:r>
      <w:r>
        <w:rPr>
          <w:spacing w:val="-1"/>
          <w:sz w:val="14"/>
        </w:rPr>
        <w:t> </w:t>
      </w:r>
      <w:r>
        <w:rPr>
          <w:sz w:val="14"/>
        </w:rPr>
        <w:t>Funds</w:t>
        <w:tab/>
      </w:r>
      <w:r>
        <w:rPr>
          <w:sz w:val="12"/>
        </w:rPr>
        <w:t>8080-8099</w:t>
      </w:r>
    </w:p>
    <w:p>
      <w:pPr>
        <w:tabs>
          <w:tab w:pos="3938" w:val="right" w:leader="none"/>
        </w:tabs>
        <w:spacing w:before="16"/>
        <w:ind w:left="880" w:right="0" w:firstLine="0"/>
        <w:jc w:val="left"/>
        <w:rPr>
          <w:sz w:val="12"/>
        </w:rPr>
      </w:pPr>
      <w:r>
        <w:rPr>
          <w:sz w:val="14"/>
        </w:rPr>
        <w:t>Federal</w:t>
      </w:r>
      <w:r>
        <w:rPr>
          <w:spacing w:val="-1"/>
          <w:sz w:val="14"/>
        </w:rPr>
        <w:t> </w:t>
      </w:r>
      <w:r>
        <w:rPr>
          <w:sz w:val="14"/>
        </w:rPr>
        <w:t>Revenue</w:t>
        <w:tab/>
      </w:r>
      <w:r>
        <w:rPr>
          <w:sz w:val="12"/>
        </w:rPr>
        <w:t>8100-8299</w:t>
      </w:r>
    </w:p>
    <w:p>
      <w:pPr>
        <w:tabs>
          <w:tab w:pos="3938" w:val="right" w:leader="none"/>
        </w:tabs>
        <w:spacing w:before="17"/>
        <w:ind w:left="880" w:right="0" w:firstLine="0"/>
        <w:jc w:val="left"/>
        <w:rPr>
          <w:sz w:val="12"/>
        </w:rPr>
      </w:pPr>
      <w:r>
        <w:rPr>
          <w:sz w:val="14"/>
        </w:rPr>
        <w:t>Other</w:t>
      </w:r>
      <w:r>
        <w:rPr>
          <w:spacing w:val="-2"/>
          <w:sz w:val="14"/>
        </w:rPr>
        <w:t> </w:t>
      </w:r>
      <w:r>
        <w:rPr>
          <w:sz w:val="14"/>
        </w:rPr>
        <w:t>State</w:t>
      </w:r>
      <w:r>
        <w:rPr>
          <w:spacing w:val="-1"/>
          <w:sz w:val="14"/>
        </w:rPr>
        <w:t> </w:t>
      </w:r>
      <w:r>
        <w:rPr>
          <w:sz w:val="14"/>
        </w:rPr>
        <w:t>Revenue</w:t>
        <w:tab/>
      </w:r>
      <w:r>
        <w:rPr>
          <w:sz w:val="12"/>
        </w:rPr>
        <w:t>8300-8599</w:t>
      </w:r>
    </w:p>
    <w:p>
      <w:pPr>
        <w:tabs>
          <w:tab w:pos="3938" w:val="right" w:leader="none"/>
        </w:tabs>
        <w:spacing w:before="16"/>
        <w:ind w:left="880" w:right="0" w:firstLine="0"/>
        <w:jc w:val="left"/>
        <w:rPr>
          <w:sz w:val="12"/>
        </w:rPr>
      </w:pPr>
      <w:r>
        <w:rPr>
          <w:sz w:val="14"/>
        </w:rPr>
        <w:t>Other</w:t>
      </w:r>
      <w:r>
        <w:rPr>
          <w:spacing w:val="-2"/>
          <w:sz w:val="14"/>
        </w:rPr>
        <w:t> </w:t>
      </w:r>
      <w:r>
        <w:rPr>
          <w:sz w:val="14"/>
        </w:rPr>
        <w:t>Local</w:t>
      </w:r>
      <w:r>
        <w:rPr>
          <w:spacing w:val="-1"/>
          <w:sz w:val="14"/>
        </w:rPr>
        <w:t> </w:t>
      </w:r>
      <w:r>
        <w:rPr>
          <w:sz w:val="14"/>
        </w:rPr>
        <w:t>Revenue</w:t>
        <w:tab/>
      </w:r>
      <w:r>
        <w:rPr>
          <w:sz w:val="12"/>
        </w:rPr>
        <w:t>8600-8799</w:t>
      </w:r>
    </w:p>
    <w:p>
      <w:pPr>
        <w:tabs>
          <w:tab w:pos="3938" w:val="right" w:leader="none"/>
        </w:tabs>
        <w:spacing w:before="17"/>
        <w:ind w:left="880" w:right="0" w:firstLine="0"/>
        <w:jc w:val="left"/>
        <w:rPr>
          <w:sz w:val="12"/>
        </w:rPr>
      </w:pPr>
      <w:r>
        <w:rPr>
          <w:sz w:val="14"/>
        </w:rPr>
        <w:t>Interfund</w:t>
      </w:r>
      <w:r>
        <w:rPr>
          <w:spacing w:val="-1"/>
          <w:sz w:val="14"/>
        </w:rPr>
        <w:t> </w:t>
      </w:r>
      <w:r>
        <w:rPr>
          <w:sz w:val="14"/>
        </w:rPr>
        <w:t>Transfers</w:t>
      </w:r>
      <w:r>
        <w:rPr>
          <w:spacing w:val="-2"/>
          <w:sz w:val="14"/>
        </w:rPr>
        <w:t> </w:t>
      </w:r>
      <w:r>
        <w:rPr>
          <w:sz w:val="14"/>
        </w:rPr>
        <w:t>In</w:t>
        <w:tab/>
      </w:r>
      <w:r>
        <w:rPr>
          <w:sz w:val="12"/>
        </w:rPr>
        <w:t>8910-8929</w:t>
      </w:r>
    </w:p>
    <w:p>
      <w:pPr>
        <w:tabs>
          <w:tab w:pos="3938" w:val="right" w:leader="none"/>
        </w:tabs>
        <w:spacing w:before="17"/>
        <w:ind w:left="880" w:right="0" w:firstLine="0"/>
        <w:jc w:val="left"/>
        <w:rPr>
          <w:sz w:val="12"/>
        </w:rPr>
      </w:pPr>
      <w:r>
        <w:rPr>
          <w:sz w:val="14"/>
        </w:rPr>
        <w:t>All Other</w:t>
      </w:r>
      <w:r>
        <w:rPr>
          <w:spacing w:val="-3"/>
          <w:sz w:val="14"/>
        </w:rPr>
        <w:t> </w:t>
      </w:r>
      <w:r>
        <w:rPr>
          <w:sz w:val="14"/>
        </w:rPr>
        <w:t>Financing</w:t>
      </w:r>
      <w:r>
        <w:rPr>
          <w:spacing w:val="-1"/>
          <w:sz w:val="14"/>
        </w:rPr>
        <w:t> </w:t>
      </w:r>
      <w:r>
        <w:rPr>
          <w:sz w:val="14"/>
        </w:rPr>
        <w:t>Sources</w:t>
        <w:tab/>
      </w:r>
      <w:r>
        <w:rPr>
          <w:sz w:val="12"/>
        </w:rPr>
        <w:t>8930-8979</w:t>
      </w:r>
    </w:p>
    <w:p>
      <w:pPr>
        <w:pStyle w:val="Heading9"/>
        <w:spacing w:before="14"/>
        <w:ind w:left="0" w:right="1867"/>
        <w:jc w:val="right"/>
      </w:pPr>
      <w:r>
        <w:rPr/>
        <w:t>TOTAL</w:t>
      </w:r>
      <w:r>
        <w:rPr>
          <w:spacing w:val="-6"/>
        </w:rPr>
        <w:t> </w:t>
      </w:r>
      <w:r>
        <w:rPr/>
        <w:t>RECEIPTS</w:t>
      </w:r>
    </w:p>
    <w:p>
      <w:pPr>
        <w:pStyle w:val="Heading9"/>
        <w:numPr>
          <w:ilvl w:val="0"/>
          <w:numId w:val="45"/>
        </w:numPr>
        <w:tabs>
          <w:tab w:pos="179" w:val="left" w:leader="none"/>
        </w:tabs>
        <w:spacing w:line="240" w:lineRule="auto" w:before="16" w:after="0"/>
        <w:ind w:left="904" w:right="1831" w:hanging="905"/>
        <w:jc w:val="right"/>
      </w:pPr>
      <w:r>
        <w:rPr>
          <w:spacing w:val="-1"/>
        </w:rPr>
        <w:t>DISBURSEMENTS</w:t>
      </w:r>
    </w:p>
    <w:p>
      <w:pPr>
        <w:tabs>
          <w:tab w:pos="3938" w:val="right" w:leader="none"/>
        </w:tabs>
        <w:spacing w:before="19"/>
        <w:ind w:left="880" w:right="0" w:firstLine="0"/>
        <w:jc w:val="left"/>
        <w:rPr>
          <w:sz w:val="12"/>
        </w:rPr>
      </w:pPr>
      <w:r>
        <w:rPr>
          <w:sz w:val="14"/>
        </w:rPr>
        <w:t>Certificated</w:t>
      </w:r>
      <w:r>
        <w:rPr>
          <w:spacing w:val="-1"/>
          <w:sz w:val="14"/>
        </w:rPr>
        <w:t> </w:t>
      </w:r>
      <w:r>
        <w:rPr>
          <w:sz w:val="14"/>
        </w:rPr>
        <w:t>Salaries</w:t>
        <w:tab/>
      </w:r>
      <w:r>
        <w:rPr>
          <w:sz w:val="12"/>
        </w:rPr>
        <w:t>1000-1999</w:t>
      </w:r>
    </w:p>
    <w:p>
      <w:pPr>
        <w:tabs>
          <w:tab w:pos="3938" w:val="right" w:leader="none"/>
        </w:tabs>
        <w:spacing w:before="17"/>
        <w:ind w:left="880" w:right="0" w:firstLine="0"/>
        <w:jc w:val="left"/>
        <w:rPr>
          <w:sz w:val="12"/>
        </w:rPr>
      </w:pPr>
      <w:r>
        <w:rPr>
          <w:sz w:val="14"/>
        </w:rPr>
        <w:t>Classified</w:t>
      </w:r>
      <w:r>
        <w:rPr>
          <w:spacing w:val="-3"/>
          <w:sz w:val="14"/>
        </w:rPr>
        <w:t> </w:t>
      </w:r>
      <w:r>
        <w:rPr>
          <w:sz w:val="14"/>
        </w:rPr>
        <w:t>Salaries</w:t>
        <w:tab/>
      </w:r>
      <w:r>
        <w:rPr>
          <w:sz w:val="12"/>
        </w:rPr>
        <w:t>2000-2999</w:t>
      </w:r>
    </w:p>
    <w:p>
      <w:pPr>
        <w:tabs>
          <w:tab w:pos="3938" w:val="right" w:leader="none"/>
        </w:tabs>
        <w:spacing w:before="17"/>
        <w:ind w:left="880" w:right="0" w:firstLine="0"/>
        <w:jc w:val="left"/>
        <w:rPr>
          <w:sz w:val="12"/>
        </w:rPr>
      </w:pPr>
      <w:r>
        <w:rPr>
          <w:sz w:val="14"/>
        </w:rPr>
        <w:t>Employee</w:t>
      </w:r>
      <w:r>
        <w:rPr>
          <w:spacing w:val="-3"/>
          <w:sz w:val="14"/>
        </w:rPr>
        <w:t> </w:t>
      </w:r>
      <w:r>
        <w:rPr>
          <w:sz w:val="14"/>
        </w:rPr>
        <w:t>Benefits</w:t>
        <w:tab/>
      </w:r>
      <w:r>
        <w:rPr>
          <w:sz w:val="12"/>
        </w:rPr>
        <w:t>3000-3999</w:t>
      </w:r>
    </w:p>
    <w:p>
      <w:pPr>
        <w:tabs>
          <w:tab w:pos="3938" w:val="right" w:leader="none"/>
        </w:tabs>
        <w:spacing w:before="16"/>
        <w:ind w:left="880" w:right="0" w:firstLine="0"/>
        <w:jc w:val="left"/>
        <w:rPr>
          <w:sz w:val="12"/>
        </w:rPr>
      </w:pPr>
      <w:r>
        <w:rPr>
          <w:sz w:val="14"/>
        </w:rPr>
        <w:t>Books</w:t>
      </w:r>
      <w:r>
        <w:rPr>
          <w:spacing w:val="-2"/>
          <w:sz w:val="14"/>
        </w:rPr>
        <w:t> </w:t>
      </w:r>
      <w:r>
        <w:rPr>
          <w:sz w:val="14"/>
        </w:rPr>
        <w:t>and</w:t>
      </w:r>
      <w:r>
        <w:rPr>
          <w:spacing w:val="-1"/>
          <w:sz w:val="14"/>
        </w:rPr>
        <w:t> </w:t>
      </w:r>
      <w:r>
        <w:rPr>
          <w:sz w:val="14"/>
        </w:rPr>
        <w:t>Supplies</w:t>
        <w:tab/>
      </w:r>
      <w:r>
        <w:rPr>
          <w:sz w:val="12"/>
        </w:rPr>
        <w:t>4000-4999</w:t>
      </w:r>
    </w:p>
    <w:p>
      <w:pPr>
        <w:tabs>
          <w:tab w:pos="3938" w:val="right" w:leader="none"/>
        </w:tabs>
        <w:spacing w:before="17"/>
        <w:ind w:left="880" w:right="0" w:firstLine="0"/>
        <w:jc w:val="left"/>
        <w:rPr>
          <w:sz w:val="12"/>
        </w:rPr>
      </w:pPr>
      <w:r>
        <w:rPr>
          <w:w w:val="105"/>
          <w:sz w:val="14"/>
        </w:rPr>
        <w:t>Services</w:t>
        <w:tab/>
      </w:r>
      <w:r>
        <w:rPr>
          <w:w w:val="105"/>
          <w:sz w:val="12"/>
        </w:rPr>
        <w:t>5000-5999</w:t>
      </w:r>
    </w:p>
    <w:p>
      <w:pPr>
        <w:tabs>
          <w:tab w:pos="3938" w:val="right" w:leader="none"/>
        </w:tabs>
        <w:spacing w:before="16"/>
        <w:ind w:left="880" w:right="0" w:firstLine="0"/>
        <w:jc w:val="left"/>
        <w:rPr>
          <w:sz w:val="12"/>
        </w:rPr>
      </w:pPr>
      <w:r>
        <w:rPr>
          <w:w w:val="105"/>
          <w:sz w:val="14"/>
        </w:rPr>
        <w:t>Capital</w:t>
      </w:r>
      <w:r>
        <w:rPr>
          <w:spacing w:val="-5"/>
          <w:w w:val="105"/>
          <w:sz w:val="14"/>
        </w:rPr>
        <w:t> </w:t>
      </w:r>
      <w:r>
        <w:rPr>
          <w:w w:val="105"/>
          <w:sz w:val="14"/>
        </w:rPr>
        <w:t>Outlay</w:t>
        <w:tab/>
      </w:r>
      <w:r>
        <w:rPr>
          <w:w w:val="105"/>
          <w:sz w:val="12"/>
        </w:rPr>
        <w:t>6000-6599</w:t>
      </w:r>
    </w:p>
    <w:p>
      <w:pPr>
        <w:tabs>
          <w:tab w:pos="3938" w:val="right" w:leader="none"/>
        </w:tabs>
        <w:spacing w:before="17"/>
        <w:ind w:left="880" w:right="0" w:firstLine="0"/>
        <w:jc w:val="left"/>
        <w:rPr>
          <w:sz w:val="12"/>
        </w:rPr>
      </w:pPr>
      <w:r>
        <w:rPr>
          <w:w w:val="105"/>
          <w:sz w:val="14"/>
        </w:rPr>
        <w:t>Other</w:t>
      </w:r>
      <w:r>
        <w:rPr>
          <w:spacing w:val="-6"/>
          <w:w w:val="105"/>
          <w:sz w:val="14"/>
        </w:rPr>
        <w:t> </w:t>
      </w:r>
      <w:r>
        <w:rPr>
          <w:w w:val="105"/>
          <w:sz w:val="14"/>
        </w:rPr>
        <w:t>Outgo</w:t>
        <w:tab/>
      </w:r>
      <w:r>
        <w:rPr>
          <w:w w:val="105"/>
          <w:sz w:val="12"/>
        </w:rPr>
        <w:t>7000-7499</w:t>
      </w:r>
    </w:p>
    <w:p>
      <w:pPr>
        <w:tabs>
          <w:tab w:pos="3938" w:val="right" w:leader="none"/>
        </w:tabs>
        <w:spacing w:before="17"/>
        <w:ind w:left="880" w:right="0" w:firstLine="0"/>
        <w:jc w:val="left"/>
        <w:rPr>
          <w:sz w:val="12"/>
        </w:rPr>
      </w:pPr>
      <w:r>
        <w:rPr>
          <w:sz w:val="14"/>
        </w:rPr>
        <w:t>Interfund</w:t>
      </w:r>
      <w:r>
        <w:rPr>
          <w:spacing w:val="-1"/>
          <w:sz w:val="14"/>
        </w:rPr>
        <w:t> </w:t>
      </w:r>
      <w:r>
        <w:rPr>
          <w:sz w:val="14"/>
        </w:rPr>
        <w:t>Transfers</w:t>
      </w:r>
      <w:r>
        <w:rPr>
          <w:spacing w:val="-2"/>
          <w:sz w:val="14"/>
        </w:rPr>
        <w:t> </w:t>
      </w:r>
      <w:r>
        <w:rPr>
          <w:sz w:val="14"/>
        </w:rPr>
        <w:t>Out</w:t>
        <w:tab/>
      </w:r>
      <w:r>
        <w:rPr>
          <w:sz w:val="12"/>
        </w:rPr>
        <w:t>7600-7629</w:t>
      </w:r>
    </w:p>
    <w:p>
      <w:pPr>
        <w:tabs>
          <w:tab w:pos="3938" w:val="right" w:leader="none"/>
        </w:tabs>
        <w:spacing w:before="16"/>
        <w:ind w:left="880" w:right="0" w:firstLine="0"/>
        <w:jc w:val="left"/>
        <w:rPr>
          <w:sz w:val="12"/>
        </w:rPr>
      </w:pPr>
      <w:r>
        <w:rPr>
          <w:sz w:val="14"/>
        </w:rPr>
        <w:t>All Other</w:t>
      </w:r>
      <w:r>
        <w:rPr>
          <w:spacing w:val="-3"/>
          <w:sz w:val="14"/>
        </w:rPr>
        <w:t> </w:t>
      </w:r>
      <w:r>
        <w:rPr>
          <w:sz w:val="14"/>
        </w:rPr>
        <w:t>Financing</w:t>
      </w:r>
      <w:r>
        <w:rPr>
          <w:spacing w:val="-1"/>
          <w:sz w:val="14"/>
        </w:rPr>
        <w:t> </w:t>
      </w:r>
      <w:r>
        <w:rPr>
          <w:sz w:val="14"/>
        </w:rPr>
        <w:t>Uses</w:t>
        <w:tab/>
      </w:r>
      <w:r>
        <w:rPr>
          <w:sz w:val="12"/>
        </w:rPr>
        <w:t>7630-7699</w:t>
      </w:r>
    </w:p>
    <w:p>
      <w:pPr>
        <w:pStyle w:val="Heading9"/>
        <w:spacing w:before="15"/>
        <w:ind w:left="0" w:right="1365"/>
        <w:jc w:val="right"/>
      </w:pPr>
      <w:r>
        <w:rPr/>
        <w:t>TOTAL DISBURSEMENTS</w:t>
      </w:r>
    </w:p>
    <w:p>
      <w:pPr>
        <w:pStyle w:val="ListParagraph"/>
        <w:numPr>
          <w:ilvl w:val="0"/>
          <w:numId w:val="45"/>
        </w:numPr>
        <w:tabs>
          <w:tab w:pos="179" w:val="left" w:leader="none"/>
        </w:tabs>
        <w:spacing w:line="240" w:lineRule="auto" w:before="16" w:after="0"/>
        <w:ind w:left="904" w:right="1411" w:hanging="905"/>
        <w:jc w:val="right"/>
        <w:rPr>
          <w:sz w:val="14"/>
        </w:rPr>
      </w:pPr>
      <w:r>
        <w:rPr>
          <w:sz w:val="14"/>
        </w:rPr>
        <w:t>BALANCE SHEET</w:t>
      </w:r>
      <w:r>
        <w:rPr>
          <w:spacing w:val="-10"/>
          <w:sz w:val="14"/>
        </w:rPr>
        <w:t> </w:t>
      </w:r>
      <w:r>
        <w:rPr>
          <w:sz w:val="14"/>
        </w:rPr>
        <w:t>ITEMS</w:t>
      </w:r>
    </w:p>
    <w:p>
      <w:pPr>
        <w:spacing w:before="17"/>
        <w:ind w:left="726" w:right="0" w:firstLine="0"/>
        <w:jc w:val="left"/>
        <w:rPr>
          <w:sz w:val="14"/>
        </w:rPr>
      </w:pPr>
      <w:r>
        <w:rPr>
          <w:spacing w:val="-94"/>
          <w:sz w:val="14"/>
          <w:u w:val="single"/>
        </w:rPr>
        <w:t>A</w:t>
      </w:r>
      <w:r>
        <w:rPr>
          <w:spacing w:val="47"/>
          <w:sz w:val="14"/>
        </w:rPr>
        <w:t> </w:t>
      </w:r>
      <w:r>
        <w:rPr>
          <w:sz w:val="14"/>
          <w:u w:val="single"/>
        </w:rPr>
        <w:t>ssets and Deferred</w:t>
      </w:r>
      <w:r>
        <w:rPr>
          <w:spacing w:val="-15"/>
          <w:sz w:val="14"/>
          <w:u w:val="single"/>
        </w:rPr>
        <w:t> </w:t>
      </w:r>
      <w:r>
        <w:rPr>
          <w:sz w:val="14"/>
          <w:u w:val="single"/>
        </w:rPr>
        <w:t>Outflows</w:t>
      </w:r>
    </w:p>
    <w:p>
      <w:pPr>
        <w:tabs>
          <w:tab w:pos="3938" w:val="right" w:leader="none"/>
        </w:tabs>
        <w:spacing w:before="19"/>
        <w:ind w:left="880" w:right="0" w:firstLine="0"/>
        <w:jc w:val="left"/>
        <w:rPr>
          <w:sz w:val="12"/>
        </w:rPr>
      </w:pPr>
      <w:r>
        <w:rPr>
          <w:sz w:val="14"/>
        </w:rPr>
        <w:t>Cash Not</w:t>
      </w:r>
      <w:r>
        <w:rPr>
          <w:spacing w:val="-2"/>
          <w:sz w:val="14"/>
        </w:rPr>
        <w:t> </w:t>
      </w:r>
      <w:r>
        <w:rPr>
          <w:sz w:val="14"/>
        </w:rPr>
        <w:t>In</w:t>
      </w:r>
      <w:r>
        <w:rPr>
          <w:spacing w:val="-3"/>
          <w:sz w:val="14"/>
        </w:rPr>
        <w:t> </w:t>
      </w:r>
      <w:r>
        <w:rPr>
          <w:sz w:val="14"/>
        </w:rPr>
        <w:t>Treasury</w:t>
        <w:tab/>
      </w:r>
      <w:r>
        <w:rPr>
          <w:sz w:val="12"/>
        </w:rPr>
        <w:t>9111-9199</w:t>
      </w:r>
    </w:p>
    <w:p>
      <w:pPr>
        <w:tabs>
          <w:tab w:pos="3938" w:val="right" w:leader="none"/>
        </w:tabs>
        <w:spacing w:before="16"/>
        <w:ind w:left="880" w:right="0" w:firstLine="0"/>
        <w:jc w:val="left"/>
        <w:rPr>
          <w:sz w:val="12"/>
        </w:rPr>
      </w:pPr>
      <w:r>
        <w:rPr>
          <w:sz w:val="14"/>
        </w:rPr>
        <w:t>Accounts</w:t>
      </w:r>
      <w:r>
        <w:rPr>
          <w:spacing w:val="-1"/>
          <w:sz w:val="14"/>
        </w:rPr>
        <w:t> </w:t>
      </w:r>
      <w:r>
        <w:rPr>
          <w:sz w:val="14"/>
        </w:rPr>
        <w:t>Receivable</w:t>
        <w:tab/>
      </w:r>
      <w:r>
        <w:rPr>
          <w:sz w:val="12"/>
        </w:rPr>
        <w:t>9200-9299</w:t>
      </w:r>
    </w:p>
    <w:p>
      <w:pPr>
        <w:pStyle w:val="Heading9"/>
        <w:tabs>
          <w:tab w:pos="3778" w:val="right" w:leader="none"/>
        </w:tabs>
        <w:spacing w:before="17"/>
        <w:ind w:left="880"/>
        <w:rPr>
          <w:sz w:val="12"/>
        </w:rPr>
      </w:pPr>
      <w:r>
        <w:rPr/>
        <w:t>Due From</w:t>
      </w:r>
      <w:r>
        <w:rPr>
          <w:spacing w:val="-2"/>
        </w:rPr>
        <w:t> </w:t>
      </w:r>
      <w:r>
        <w:rPr/>
        <w:t>Other</w:t>
      </w:r>
      <w:r>
        <w:rPr>
          <w:spacing w:val="-2"/>
        </w:rPr>
        <w:t> </w:t>
      </w:r>
      <w:r>
        <w:rPr/>
        <w:t>Funds</w:t>
        <w:tab/>
      </w:r>
      <w:r>
        <w:rPr>
          <w:sz w:val="12"/>
        </w:rPr>
        <w:t>9310</w:t>
      </w:r>
    </w:p>
    <w:p>
      <w:pPr>
        <w:tabs>
          <w:tab w:pos="3778" w:val="right" w:leader="none"/>
        </w:tabs>
        <w:spacing w:before="17"/>
        <w:ind w:left="880" w:right="0" w:firstLine="0"/>
        <w:jc w:val="left"/>
        <w:rPr>
          <w:sz w:val="12"/>
        </w:rPr>
      </w:pPr>
      <w:r>
        <w:rPr>
          <w:w w:val="105"/>
          <w:sz w:val="14"/>
        </w:rPr>
        <w:t>Stores</w:t>
        <w:tab/>
      </w:r>
      <w:r>
        <w:rPr>
          <w:w w:val="105"/>
          <w:sz w:val="12"/>
        </w:rPr>
        <w:t>9320</w:t>
      </w:r>
    </w:p>
    <w:p>
      <w:pPr>
        <w:pStyle w:val="Heading9"/>
        <w:tabs>
          <w:tab w:pos="3778" w:val="right" w:leader="none"/>
        </w:tabs>
        <w:spacing w:before="16"/>
        <w:ind w:left="880"/>
        <w:rPr>
          <w:sz w:val="12"/>
        </w:rPr>
      </w:pPr>
      <w:r>
        <w:rPr/>
        <w:t>Prepaid</w:t>
      </w:r>
      <w:r>
        <w:rPr>
          <w:spacing w:val="-4"/>
        </w:rPr>
        <w:t> </w:t>
      </w:r>
      <w:r>
        <w:rPr/>
        <w:t>Expenditures</w:t>
        <w:tab/>
      </w:r>
      <w:r>
        <w:rPr>
          <w:sz w:val="12"/>
        </w:rPr>
        <w:t>9330</w:t>
      </w:r>
    </w:p>
    <w:p>
      <w:pPr>
        <w:pStyle w:val="Heading9"/>
        <w:tabs>
          <w:tab w:pos="3778" w:val="right" w:leader="none"/>
        </w:tabs>
        <w:spacing w:before="17"/>
        <w:ind w:left="880"/>
        <w:rPr>
          <w:sz w:val="12"/>
        </w:rPr>
      </w:pPr>
      <w:r>
        <w:rPr/>
        <w:t>Other</w:t>
      </w:r>
      <w:r>
        <w:rPr>
          <w:spacing w:val="-3"/>
        </w:rPr>
        <w:t> </w:t>
      </w:r>
      <w:r>
        <w:rPr/>
        <w:t>Current</w:t>
      </w:r>
      <w:r>
        <w:rPr>
          <w:spacing w:val="-2"/>
        </w:rPr>
        <w:t> </w:t>
      </w:r>
      <w:r>
        <w:rPr/>
        <w:t>Assets</w:t>
        <w:tab/>
      </w:r>
      <w:r>
        <w:rPr>
          <w:sz w:val="12"/>
        </w:rPr>
        <w:t>9340</w:t>
      </w:r>
    </w:p>
    <w:p>
      <w:pPr>
        <w:pStyle w:val="Heading9"/>
        <w:tabs>
          <w:tab w:pos="3778" w:val="right" w:leader="none"/>
        </w:tabs>
        <w:spacing w:before="16"/>
        <w:ind w:left="880"/>
        <w:rPr>
          <w:sz w:val="12"/>
        </w:rPr>
      </w:pPr>
      <w:r>
        <w:rPr/>
        <w:t>Deferred Outflows</w:t>
      </w:r>
      <w:r>
        <w:rPr>
          <w:spacing w:val="-4"/>
        </w:rPr>
        <w:t> </w:t>
      </w:r>
      <w:r>
        <w:rPr/>
        <w:t>of</w:t>
      </w:r>
      <w:r>
        <w:rPr>
          <w:spacing w:val="-1"/>
        </w:rPr>
        <w:t> </w:t>
      </w:r>
      <w:r>
        <w:rPr/>
        <w:t>Resources</w:t>
        <w:tab/>
      </w:r>
      <w:r>
        <w:rPr>
          <w:sz w:val="12"/>
        </w:rPr>
        <w:t>9490</w:t>
      </w:r>
    </w:p>
    <w:p>
      <w:pPr>
        <w:pStyle w:val="Heading9"/>
        <w:spacing w:before="15"/>
        <w:ind w:left="880"/>
      </w:pPr>
      <w:r>
        <w:rPr/>
        <w:t>SUBTOTAL</w:t>
      </w:r>
    </w:p>
    <w:p>
      <w:pPr>
        <w:pStyle w:val="Heading9"/>
        <w:spacing w:before="16"/>
        <w:ind w:left="726"/>
      </w:pPr>
      <w:r>
        <w:rPr>
          <w:spacing w:val="-78"/>
          <w:u w:val="single"/>
        </w:rPr>
        <w:t>L</w:t>
      </w:r>
      <w:r>
        <w:rPr>
          <w:spacing w:val="39"/>
        </w:rPr>
        <w:t> </w:t>
      </w:r>
      <w:r>
        <w:rPr>
          <w:u w:val="single"/>
        </w:rPr>
        <w:t>iabilities and Deferred Inflows</w:t>
      </w:r>
    </w:p>
    <w:p>
      <w:pPr>
        <w:tabs>
          <w:tab w:pos="3938" w:val="right" w:leader="none"/>
        </w:tabs>
        <w:spacing w:before="19"/>
        <w:ind w:left="880" w:right="0" w:firstLine="0"/>
        <w:jc w:val="left"/>
        <w:rPr>
          <w:sz w:val="12"/>
        </w:rPr>
      </w:pPr>
      <w:r>
        <w:rPr>
          <w:sz w:val="14"/>
        </w:rPr>
        <w:t>Accounts</w:t>
      </w:r>
      <w:r>
        <w:rPr>
          <w:spacing w:val="-1"/>
          <w:sz w:val="14"/>
        </w:rPr>
        <w:t> </w:t>
      </w:r>
      <w:r>
        <w:rPr>
          <w:sz w:val="14"/>
        </w:rPr>
        <w:t>Payable</w:t>
        <w:tab/>
      </w:r>
      <w:r>
        <w:rPr>
          <w:sz w:val="12"/>
        </w:rPr>
        <w:t>9500-9599</w:t>
      </w:r>
    </w:p>
    <w:p>
      <w:pPr>
        <w:pStyle w:val="Heading9"/>
        <w:tabs>
          <w:tab w:pos="3778" w:val="right" w:leader="none"/>
        </w:tabs>
        <w:spacing w:before="17"/>
        <w:ind w:left="880"/>
        <w:rPr>
          <w:sz w:val="12"/>
        </w:rPr>
      </w:pPr>
      <w:r>
        <w:rPr/>
        <w:t>Due To</w:t>
      </w:r>
      <w:r>
        <w:rPr>
          <w:spacing w:val="-2"/>
        </w:rPr>
        <w:t> </w:t>
      </w:r>
      <w:r>
        <w:rPr/>
        <w:t>Other</w:t>
      </w:r>
      <w:r>
        <w:rPr>
          <w:spacing w:val="-2"/>
        </w:rPr>
        <w:t> </w:t>
      </w:r>
      <w:r>
        <w:rPr/>
        <w:t>Funds</w:t>
        <w:tab/>
      </w:r>
      <w:r>
        <w:rPr>
          <w:sz w:val="12"/>
        </w:rPr>
        <w:t>9610</w:t>
      </w:r>
    </w:p>
    <w:p>
      <w:pPr>
        <w:tabs>
          <w:tab w:pos="3778" w:val="right" w:leader="none"/>
        </w:tabs>
        <w:spacing w:before="17"/>
        <w:ind w:left="880" w:right="0" w:firstLine="0"/>
        <w:jc w:val="left"/>
        <w:rPr>
          <w:sz w:val="12"/>
        </w:rPr>
      </w:pPr>
      <w:r>
        <w:rPr>
          <w:sz w:val="14"/>
        </w:rPr>
        <w:t>Current</w:t>
      </w:r>
      <w:r>
        <w:rPr>
          <w:spacing w:val="-2"/>
          <w:sz w:val="14"/>
        </w:rPr>
        <w:t> </w:t>
      </w:r>
      <w:r>
        <w:rPr>
          <w:sz w:val="14"/>
        </w:rPr>
        <w:t>Loans</w:t>
        <w:tab/>
      </w:r>
      <w:r>
        <w:rPr>
          <w:sz w:val="12"/>
        </w:rPr>
        <w:t>9640</w:t>
      </w:r>
    </w:p>
    <w:p>
      <w:pPr>
        <w:pStyle w:val="Heading9"/>
        <w:tabs>
          <w:tab w:pos="3778" w:val="right" w:leader="none"/>
        </w:tabs>
        <w:spacing w:before="16"/>
        <w:ind w:left="880"/>
        <w:rPr>
          <w:sz w:val="12"/>
        </w:rPr>
      </w:pPr>
      <w:r>
        <w:rPr/>
        <w:t>Unearned</w:t>
      </w:r>
      <w:r>
        <w:rPr>
          <w:spacing w:val="-2"/>
        </w:rPr>
        <w:t> </w:t>
      </w:r>
      <w:r>
        <w:rPr/>
        <w:t>Revenues</w:t>
        <w:tab/>
      </w:r>
      <w:r>
        <w:rPr>
          <w:sz w:val="12"/>
        </w:rPr>
        <w:t>9650</w:t>
      </w:r>
    </w:p>
    <w:p>
      <w:pPr>
        <w:pStyle w:val="Heading9"/>
        <w:tabs>
          <w:tab w:pos="3778" w:val="right" w:leader="none"/>
        </w:tabs>
        <w:spacing w:before="17"/>
        <w:ind w:left="880"/>
        <w:rPr>
          <w:sz w:val="12"/>
        </w:rPr>
      </w:pPr>
      <w:r>
        <w:rPr/>
        <w:t>Deferred Inflows</w:t>
      </w:r>
      <w:r>
        <w:rPr>
          <w:spacing w:val="-5"/>
        </w:rPr>
        <w:t> </w:t>
      </w:r>
      <w:r>
        <w:rPr/>
        <w:t>of</w:t>
      </w:r>
      <w:r>
        <w:rPr>
          <w:spacing w:val="-1"/>
        </w:rPr>
        <w:t> </w:t>
      </w:r>
      <w:r>
        <w:rPr/>
        <w:t>Resources</w:t>
        <w:tab/>
      </w:r>
      <w:r>
        <w:rPr>
          <w:sz w:val="12"/>
        </w:rPr>
        <w:t>9690</w:t>
      </w:r>
    </w:p>
    <w:p>
      <w:pPr>
        <w:pStyle w:val="Heading9"/>
        <w:spacing w:before="14"/>
        <w:ind w:left="880"/>
      </w:pPr>
      <w:r>
        <w:rPr/>
        <w:t>SUBTOTAL</w:t>
      </w:r>
    </w:p>
    <w:p>
      <w:pPr>
        <w:pStyle w:val="Heading9"/>
        <w:spacing w:before="17"/>
        <w:ind w:left="726"/>
      </w:pPr>
      <w:r>
        <w:rPr>
          <w:spacing w:val="-101"/>
          <w:u w:val="single"/>
        </w:rPr>
        <w:t>N</w:t>
      </w:r>
      <w:r>
        <w:rPr>
          <w:spacing w:val="64"/>
        </w:rPr>
        <w:t> </w:t>
      </w:r>
      <w:r>
        <w:rPr>
          <w:u w:val="single"/>
        </w:rPr>
        <w:t>onoperating</w:t>
      </w:r>
    </w:p>
    <w:p>
      <w:pPr>
        <w:pStyle w:val="Heading9"/>
        <w:tabs>
          <w:tab w:pos="3778" w:val="right" w:leader="none"/>
        </w:tabs>
        <w:spacing w:before="19"/>
        <w:ind w:left="880"/>
        <w:rPr>
          <w:sz w:val="12"/>
        </w:rPr>
      </w:pPr>
      <w:r>
        <w:rPr/>
        <w:t>Suspense</w:t>
      </w:r>
      <w:r>
        <w:rPr>
          <w:spacing w:val="-1"/>
        </w:rPr>
        <w:t> </w:t>
      </w:r>
      <w:r>
        <w:rPr/>
        <w:t>Clearing</w:t>
        <w:tab/>
      </w:r>
      <w:r>
        <w:rPr>
          <w:sz w:val="12"/>
        </w:rPr>
        <w:t>9910</w:t>
      </w:r>
    </w:p>
    <w:p>
      <w:pPr>
        <w:spacing w:before="14"/>
        <w:ind w:left="880" w:right="0" w:firstLine="0"/>
        <w:jc w:val="left"/>
        <w:rPr>
          <w:sz w:val="14"/>
        </w:rPr>
      </w:pPr>
      <w:r>
        <w:rPr>
          <w:sz w:val="14"/>
        </w:rPr>
        <w:t>TOTAL BALANCE SHEET ITEMS</w:t>
      </w:r>
    </w:p>
    <w:p>
      <w:pPr>
        <w:pStyle w:val="ListParagraph"/>
        <w:numPr>
          <w:ilvl w:val="0"/>
          <w:numId w:val="45"/>
        </w:numPr>
        <w:tabs>
          <w:tab w:pos="897" w:val="left" w:leader="none"/>
        </w:tabs>
        <w:spacing w:line="240" w:lineRule="auto" w:before="16" w:after="0"/>
        <w:ind w:left="896" w:right="0" w:hanging="171"/>
        <w:jc w:val="left"/>
        <w:rPr>
          <w:sz w:val="14"/>
        </w:rPr>
      </w:pPr>
      <w:r>
        <w:rPr>
          <w:sz w:val="14"/>
        </w:rPr>
        <w:t>NET INCREASE/DECREASE (B - C +</w:t>
      </w:r>
      <w:r>
        <w:rPr>
          <w:spacing w:val="-8"/>
          <w:sz w:val="14"/>
        </w:rPr>
        <w:t> </w:t>
      </w:r>
      <w:r>
        <w:rPr>
          <w:sz w:val="14"/>
        </w:rPr>
        <w:t>D)</w:t>
      </w:r>
    </w:p>
    <w:p>
      <w:pPr>
        <w:pStyle w:val="ListParagraph"/>
        <w:numPr>
          <w:ilvl w:val="0"/>
          <w:numId w:val="45"/>
        </w:numPr>
        <w:tabs>
          <w:tab w:pos="888" w:val="left" w:leader="none"/>
        </w:tabs>
        <w:spacing w:line="240" w:lineRule="auto" w:before="17" w:after="0"/>
        <w:ind w:left="887" w:right="0" w:hanging="162"/>
        <w:jc w:val="left"/>
        <w:rPr>
          <w:sz w:val="14"/>
        </w:rPr>
      </w:pPr>
      <w:r>
        <w:rPr>
          <w:sz w:val="14"/>
        </w:rPr>
        <w:t>ENDING CASH (A +</w:t>
      </w:r>
      <w:r>
        <w:rPr>
          <w:spacing w:val="-6"/>
          <w:sz w:val="14"/>
        </w:rPr>
        <w:t> </w:t>
      </w:r>
      <w:r>
        <w:rPr>
          <w:sz w:val="14"/>
        </w:rPr>
        <w:t>E)</w:t>
      </w:r>
    </w:p>
    <w:p>
      <w:pPr>
        <w:pStyle w:val="ListParagraph"/>
        <w:numPr>
          <w:ilvl w:val="0"/>
          <w:numId w:val="45"/>
        </w:numPr>
        <w:tabs>
          <w:tab w:pos="912" w:val="left" w:leader="none"/>
        </w:tabs>
        <w:spacing w:line="235" w:lineRule="auto" w:before="50" w:after="0"/>
        <w:ind w:left="726" w:right="1043" w:firstLine="0"/>
        <w:jc w:val="left"/>
        <w:rPr>
          <w:sz w:val="14"/>
        </w:rPr>
      </w:pPr>
      <w:r>
        <w:rPr>
          <w:sz w:val="14"/>
        </w:rPr>
        <w:t>ENDING CASH, PLUS CASH ACCRUALS AND</w:t>
      </w:r>
      <w:r>
        <w:rPr>
          <w:spacing w:val="-17"/>
          <w:sz w:val="14"/>
        </w:rPr>
        <w:t> </w:t>
      </w:r>
      <w:r>
        <w:rPr>
          <w:sz w:val="14"/>
        </w:rPr>
        <w:t>ADJUSTMENTS</w:t>
      </w:r>
    </w:p>
    <w:p>
      <w:pPr>
        <w:tabs>
          <w:tab w:pos="1243" w:val="left" w:leader="none"/>
          <w:tab w:pos="2416" w:val="left" w:leader="none"/>
          <w:tab w:pos="3590" w:val="left" w:leader="none"/>
          <w:tab w:pos="4763" w:val="left" w:leader="none"/>
          <w:tab w:pos="6935" w:val="left" w:leader="none"/>
          <w:tab w:pos="8109" w:val="left" w:leader="none"/>
        </w:tabs>
        <w:spacing w:before="38"/>
        <w:ind w:left="0" w:right="725" w:firstLine="0"/>
        <w:jc w:val="right"/>
        <w:rPr>
          <w:sz w:val="12"/>
        </w:rPr>
      </w:pPr>
      <w:r>
        <w:rPr/>
        <w:br w:type="column"/>
      </w:r>
      <w:r>
        <w:rPr>
          <w:w w:val="105"/>
          <w:sz w:val="12"/>
        </w:rPr>
        <w:t>135,603.00</w:t>
        <w:tab/>
        <w:t>70,237.00</w:t>
        <w:tab/>
        <w:t>70,237.00</w:t>
        <w:tab/>
        <w:t>65,366.00</w:t>
        <w:tab/>
        <w:t>70,237.00</w:t>
        <w:tab/>
        <w:t>1,294,359.00</w:t>
        <w:tab/>
      </w:r>
      <w:r>
        <w:rPr>
          <w:spacing w:val="-2"/>
          <w:w w:val="105"/>
          <w:sz w:val="12"/>
        </w:rPr>
        <w:t>1,294,359.00</w:t>
      </w:r>
    </w:p>
    <w:p>
      <w:pPr>
        <w:tabs>
          <w:tab w:pos="1103" w:val="left" w:leader="none"/>
          <w:tab w:pos="2277" w:val="left" w:leader="none"/>
          <w:tab w:pos="3520" w:val="left" w:leader="none"/>
          <w:tab w:pos="6971" w:val="left" w:leader="none"/>
          <w:tab w:pos="8145" w:val="left" w:leader="none"/>
        </w:tabs>
        <w:spacing w:before="40"/>
        <w:ind w:left="0" w:right="725" w:firstLine="0"/>
        <w:jc w:val="right"/>
        <w:rPr>
          <w:sz w:val="12"/>
        </w:rPr>
      </w:pPr>
      <w:r>
        <w:rPr>
          <w:w w:val="105"/>
          <w:sz w:val="12"/>
        </w:rPr>
        <w:t>39,825.00</w:t>
        <w:tab/>
        <w:t>132,444.00</w:t>
        <w:tab/>
        <w:t>285,876.00</w:t>
        <w:tab/>
        <w:t>61,561.00</w:t>
        <w:tab/>
        <w:t>856,110.00</w:t>
        <w:tab/>
      </w:r>
      <w:r>
        <w:rPr>
          <w:spacing w:val="-2"/>
          <w:w w:val="105"/>
          <w:sz w:val="12"/>
        </w:rPr>
        <w:t>856,110.00</w:t>
      </w:r>
    </w:p>
    <w:p>
      <w:pPr>
        <w:tabs>
          <w:tab w:pos="1103" w:val="left" w:leader="none"/>
          <w:tab w:pos="2347" w:val="left" w:leader="none"/>
          <w:tab w:pos="3451" w:val="left" w:leader="none"/>
          <w:tab w:pos="6971" w:val="left" w:leader="none"/>
          <w:tab w:pos="8145" w:val="left" w:leader="none"/>
        </w:tabs>
        <w:spacing w:before="39"/>
        <w:ind w:left="0" w:right="727" w:firstLine="0"/>
        <w:jc w:val="right"/>
        <w:rPr>
          <w:sz w:val="12"/>
        </w:rPr>
      </w:pPr>
      <w:r>
        <w:rPr>
          <w:w w:val="105"/>
          <w:sz w:val="12"/>
        </w:rPr>
        <w:t>(89,396.00)</w:t>
        <w:tab/>
        <w:t>(123,847.00)</w:t>
        <w:tab/>
        <w:t>(34,100.00)</w:t>
        <w:tab/>
        <w:t>(105,450.00)</w:t>
        <w:tab/>
        <w:t>(780,949.00)</w:t>
        <w:tab/>
      </w:r>
      <w:r>
        <w:rPr>
          <w:spacing w:val="-1"/>
          <w:w w:val="105"/>
          <w:sz w:val="12"/>
        </w:rPr>
        <w:t>(780,949.00)</w:t>
      </w:r>
    </w:p>
    <w:p>
      <w:pPr>
        <w:tabs>
          <w:tab w:pos="1103" w:val="left" w:leader="none"/>
          <w:tab w:pos="2277" w:val="left" w:leader="none"/>
          <w:tab w:pos="3451" w:val="left" w:leader="none"/>
          <w:tab w:pos="6902" w:val="left" w:leader="none"/>
          <w:tab w:pos="8075" w:val="left" w:leader="none"/>
        </w:tabs>
        <w:spacing w:before="40"/>
        <w:ind w:left="0" w:right="725" w:firstLine="0"/>
        <w:jc w:val="right"/>
        <w:rPr>
          <w:sz w:val="12"/>
        </w:rPr>
      </w:pPr>
      <w:r>
        <w:rPr>
          <w:w w:val="105"/>
          <w:sz w:val="12"/>
        </w:rPr>
        <w:t>3,938.00</w:t>
        <w:tab/>
        <w:t>13,643.00</w:t>
        <w:tab/>
        <w:t>19,409.00</w:t>
        <w:tab/>
        <w:t>60,623.00</w:t>
        <w:tab/>
        <w:t>166,779.00</w:t>
        <w:tab/>
      </w:r>
      <w:r>
        <w:rPr>
          <w:spacing w:val="-2"/>
          <w:w w:val="105"/>
          <w:sz w:val="12"/>
        </w:rPr>
        <w:t>166,779.00</w:t>
      </w:r>
    </w:p>
    <w:p>
      <w:pPr>
        <w:tabs>
          <w:tab w:pos="1067" w:val="left" w:leader="none"/>
          <w:tab w:pos="2241" w:val="left" w:leader="none"/>
          <w:tab w:pos="3275" w:val="left" w:leader="none"/>
          <w:tab w:pos="6796" w:val="left" w:leader="none"/>
          <w:tab w:pos="7970" w:val="left" w:leader="none"/>
        </w:tabs>
        <w:spacing w:before="40"/>
        <w:ind w:left="0" w:right="725" w:firstLine="0"/>
        <w:jc w:val="right"/>
        <w:rPr>
          <w:sz w:val="12"/>
        </w:rPr>
      </w:pPr>
      <w:r>
        <w:rPr>
          <w:w w:val="105"/>
          <w:sz w:val="12"/>
        </w:rPr>
        <w:t>314.00</w:t>
        <w:tab/>
        <w:t>9,404.00</w:t>
        <w:tab/>
        <w:t>6,667.00</w:t>
        <w:tab/>
        <w:t>111,332.00</w:t>
        <w:tab/>
        <w:t>184,768.00</w:t>
        <w:tab/>
      </w:r>
      <w:r>
        <w:rPr>
          <w:spacing w:val="-2"/>
          <w:w w:val="105"/>
          <w:sz w:val="12"/>
        </w:rPr>
        <w:t>184,768.00</w:t>
      </w:r>
    </w:p>
    <w:p>
      <w:pPr>
        <w:tabs>
          <w:tab w:pos="1067" w:val="left" w:leader="none"/>
          <w:tab w:pos="2171" w:val="left" w:leader="none"/>
          <w:tab w:pos="3275" w:val="left" w:leader="none"/>
          <w:tab w:pos="6796" w:val="left" w:leader="none"/>
          <w:tab w:pos="7970" w:val="left" w:leader="none"/>
        </w:tabs>
        <w:spacing w:before="39"/>
        <w:ind w:left="0" w:right="725" w:firstLine="0"/>
        <w:jc w:val="right"/>
        <w:rPr>
          <w:sz w:val="12"/>
        </w:rPr>
      </w:pPr>
      <w:r>
        <w:rPr>
          <w:w w:val="105"/>
          <w:sz w:val="12"/>
        </w:rPr>
        <w:t>962.00</w:t>
        <w:tab/>
        <w:t>2,821.00</w:t>
        <w:tab/>
        <w:t>60,666.00</w:t>
        <w:tab/>
        <w:t>193,142.00</w:t>
        <w:tab/>
        <w:t>377,666.00</w:t>
        <w:tab/>
      </w:r>
      <w:r>
        <w:rPr>
          <w:spacing w:val="-2"/>
          <w:w w:val="105"/>
          <w:sz w:val="12"/>
        </w:rPr>
        <w:t>377,666.00</w:t>
      </w:r>
    </w:p>
    <w:p>
      <w:pPr>
        <w:tabs>
          <w:tab w:pos="1173" w:val="left" w:leader="none"/>
          <w:tab w:pos="2347" w:val="left" w:leader="none"/>
          <w:tab w:pos="3520" w:val="left" w:leader="none"/>
          <w:tab w:pos="7041" w:val="left" w:leader="none"/>
          <w:tab w:pos="8215" w:val="left" w:leader="none"/>
        </w:tabs>
        <w:spacing w:before="40"/>
        <w:ind w:left="0" w:right="725" w:firstLine="0"/>
        <w:jc w:val="right"/>
        <w:rPr>
          <w:sz w:val="12"/>
        </w:rPr>
      </w:pPr>
      <w:r>
        <w:rPr>
          <w:w w:val="105"/>
          <w:sz w:val="12"/>
        </w:rPr>
        <w:t>0.00</w:t>
        <w:tab/>
        <w:t>0.00</w:t>
        <w:tab/>
        <w:t>0.00</w:t>
        <w:tab/>
        <w:t>0.00</w:t>
        <w:tab/>
        <w:t>0.00</w:t>
        <w:tab/>
      </w:r>
      <w:r>
        <w:rPr>
          <w:spacing w:val="-1"/>
          <w:w w:val="105"/>
          <w:sz w:val="12"/>
        </w:rPr>
        <w:t>0.00</w:t>
      </w:r>
    </w:p>
    <w:p>
      <w:pPr>
        <w:tabs>
          <w:tab w:pos="1173" w:val="left" w:leader="none"/>
          <w:tab w:pos="2347" w:val="left" w:leader="none"/>
          <w:tab w:pos="3520" w:val="left" w:leader="none"/>
          <w:tab w:pos="7041" w:val="left" w:leader="none"/>
          <w:tab w:pos="8215" w:val="left" w:leader="none"/>
        </w:tabs>
        <w:spacing w:before="39"/>
        <w:ind w:left="0" w:right="725" w:firstLine="0"/>
        <w:jc w:val="right"/>
        <w:rPr>
          <w:sz w:val="12"/>
        </w:rPr>
      </w:pPr>
      <w:r>
        <w:rPr>
          <w:w w:val="105"/>
          <w:sz w:val="12"/>
        </w:rPr>
        <w:t>0.00</w:t>
        <w:tab/>
        <w:t>0.00</w:t>
        <w:tab/>
        <w:t>0.00</w:t>
        <w:tab/>
        <w:t>0.00</w:t>
        <w:tab/>
        <w:t>0.00</w:t>
        <w:tab/>
      </w:r>
      <w:r>
        <w:rPr>
          <w:spacing w:val="-1"/>
          <w:w w:val="105"/>
          <w:sz w:val="12"/>
        </w:rPr>
        <w:t>0.00</w:t>
      </w:r>
    </w:p>
    <w:p>
      <w:pPr>
        <w:tabs>
          <w:tab w:pos="1103" w:val="left" w:leader="none"/>
          <w:tab w:pos="2277" w:val="left" w:leader="none"/>
          <w:tab w:pos="3451" w:val="left" w:leader="none"/>
          <w:tab w:pos="4694" w:val="left" w:leader="none"/>
          <w:tab w:pos="6182" w:val="left" w:leader="none"/>
          <w:tab w:pos="6866" w:val="left" w:leader="none"/>
          <w:tab w:pos="8039" w:val="left" w:leader="none"/>
        </w:tabs>
        <w:spacing w:before="40"/>
        <w:ind w:left="0" w:right="725" w:firstLine="0"/>
        <w:jc w:val="right"/>
        <w:rPr>
          <w:sz w:val="12"/>
        </w:rPr>
      </w:pPr>
      <w:r>
        <w:rPr>
          <w:w w:val="105"/>
          <w:sz w:val="12"/>
        </w:rPr>
        <w:t>91,246.00</w:t>
        <w:tab/>
        <w:t>104,702.00</w:t>
        <w:tab/>
        <w:t>408,755.00</w:t>
        <w:tab/>
        <w:t>386,574.00</w:t>
        <w:tab/>
        <w:t>70,237.00</w:t>
        <w:tab/>
        <w:t>0.00</w:t>
        <w:tab/>
        <w:t>2,098,733.00</w:t>
        <w:tab/>
      </w:r>
      <w:r>
        <w:rPr>
          <w:spacing w:val="-2"/>
          <w:w w:val="105"/>
          <w:sz w:val="12"/>
        </w:rPr>
        <w:t>2,098,733.00</w:t>
      </w:r>
    </w:p>
    <w:p>
      <w:pPr>
        <w:pStyle w:val="BodyText"/>
        <w:spacing w:before="10"/>
        <w:rPr>
          <w:sz w:val="18"/>
        </w:rPr>
      </w:pPr>
    </w:p>
    <w:p>
      <w:pPr>
        <w:tabs>
          <w:tab w:pos="1173" w:val="left" w:leader="none"/>
          <w:tab w:pos="2347" w:val="left" w:leader="none"/>
          <w:tab w:pos="3520" w:val="left" w:leader="none"/>
          <w:tab w:pos="6971" w:val="left" w:leader="none"/>
          <w:tab w:pos="8145" w:val="left" w:leader="none"/>
        </w:tabs>
        <w:spacing w:before="0"/>
        <w:ind w:left="0" w:right="725" w:firstLine="0"/>
        <w:jc w:val="right"/>
        <w:rPr>
          <w:sz w:val="12"/>
        </w:rPr>
      </w:pPr>
      <w:r>
        <w:rPr>
          <w:w w:val="105"/>
          <w:sz w:val="12"/>
        </w:rPr>
        <w:t>49,386.00</w:t>
        <w:tab/>
        <w:t>49,084.00</w:t>
        <w:tab/>
        <w:t>48,822.00</w:t>
        <w:tab/>
        <w:t>77,019.00</w:t>
        <w:tab/>
        <w:t>593,687.00</w:t>
        <w:tab/>
      </w:r>
      <w:r>
        <w:rPr>
          <w:spacing w:val="-2"/>
          <w:w w:val="105"/>
          <w:sz w:val="12"/>
        </w:rPr>
        <w:t>593,688.00</w:t>
      </w:r>
    </w:p>
    <w:p>
      <w:pPr>
        <w:tabs>
          <w:tab w:pos="1173" w:val="left" w:leader="none"/>
          <w:tab w:pos="2347" w:val="left" w:leader="none"/>
          <w:tab w:pos="3520" w:val="left" w:leader="none"/>
          <w:tab w:pos="6971" w:val="left" w:leader="none"/>
          <w:tab w:pos="8145" w:val="left" w:leader="none"/>
        </w:tabs>
        <w:spacing w:before="40"/>
        <w:ind w:left="0" w:right="725" w:firstLine="0"/>
        <w:jc w:val="right"/>
        <w:rPr>
          <w:sz w:val="12"/>
        </w:rPr>
      </w:pPr>
      <w:r>
        <w:rPr>
          <w:w w:val="105"/>
          <w:sz w:val="12"/>
        </w:rPr>
        <w:t>40,276.00</w:t>
        <w:tab/>
        <w:t>38,364.00</w:t>
        <w:tab/>
        <w:t>38,143.00</w:t>
        <w:tab/>
        <w:t>42,859.00</w:t>
        <w:tab/>
        <w:t>464,376.00</w:t>
        <w:tab/>
      </w:r>
      <w:r>
        <w:rPr>
          <w:spacing w:val="-2"/>
          <w:w w:val="105"/>
          <w:sz w:val="12"/>
        </w:rPr>
        <w:t>464,373.00</w:t>
      </w:r>
    </w:p>
    <w:p>
      <w:pPr>
        <w:tabs>
          <w:tab w:pos="1173" w:val="left" w:leader="none"/>
          <w:tab w:pos="2347" w:val="left" w:leader="none"/>
          <w:tab w:pos="3451" w:val="left" w:leader="none"/>
          <w:tab w:pos="6971" w:val="left" w:leader="none"/>
          <w:tab w:pos="8145" w:val="left" w:leader="none"/>
        </w:tabs>
        <w:spacing w:before="39"/>
        <w:ind w:left="0" w:right="725" w:firstLine="0"/>
        <w:jc w:val="right"/>
        <w:rPr>
          <w:sz w:val="12"/>
        </w:rPr>
      </w:pPr>
      <w:r>
        <w:rPr>
          <w:w w:val="105"/>
          <w:sz w:val="12"/>
        </w:rPr>
        <w:t>29,568.00</w:t>
        <w:tab/>
        <w:t>27,218.00</w:t>
        <w:tab/>
        <w:t>26,947.00</w:t>
        <w:tab/>
        <w:t>117,836.00</w:t>
        <w:tab/>
        <w:t>419,320.00</w:t>
        <w:tab/>
      </w:r>
      <w:r>
        <w:rPr>
          <w:spacing w:val="-2"/>
          <w:w w:val="105"/>
          <w:sz w:val="12"/>
        </w:rPr>
        <w:t>419,321.00</w:t>
      </w:r>
    </w:p>
    <w:p>
      <w:pPr>
        <w:tabs>
          <w:tab w:pos="1243" w:val="left" w:leader="none"/>
          <w:tab w:pos="2416" w:val="left" w:leader="none"/>
          <w:tab w:pos="3590" w:val="left" w:leader="none"/>
          <w:tab w:pos="6971" w:val="left" w:leader="none"/>
          <w:tab w:pos="8145" w:val="left" w:leader="none"/>
        </w:tabs>
        <w:spacing w:before="40"/>
        <w:ind w:left="0" w:right="725" w:firstLine="0"/>
        <w:jc w:val="right"/>
        <w:rPr>
          <w:sz w:val="12"/>
        </w:rPr>
      </w:pPr>
      <w:r>
        <w:rPr>
          <w:w w:val="105"/>
          <w:sz w:val="12"/>
        </w:rPr>
        <w:t>13,814.00</w:t>
        <w:tab/>
        <w:t>6,523.00</w:t>
        <w:tab/>
        <w:t>8,212.00</w:t>
        <w:tab/>
        <w:t>9,980.00</w:t>
        <w:tab/>
        <w:t>138,751.00</w:t>
        <w:tab/>
      </w:r>
      <w:r>
        <w:rPr>
          <w:spacing w:val="-2"/>
          <w:w w:val="105"/>
          <w:sz w:val="12"/>
        </w:rPr>
        <w:t>138,750.00</w:t>
      </w:r>
    </w:p>
    <w:p>
      <w:pPr>
        <w:tabs>
          <w:tab w:pos="1173" w:val="left" w:leader="none"/>
          <w:tab w:pos="2347" w:val="left" w:leader="none"/>
          <w:tab w:pos="3520" w:val="left" w:leader="none"/>
          <w:tab w:pos="6971" w:val="left" w:leader="none"/>
          <w:tab w:pos="8145" w:val="left" w:leader="none"/>
        </w:tabs>
        <w:spacing w:before="40"/>
        <w:ind w:left="0" w:right="725" w:firstLine="0"/>
        <w:jc w:val="right"/>
        <w:rPr>
          <w:sz w:val="12"/>
        </w:rPr>
      </w:pPr>
      <w:r>
        <w:rPr>
          <w:w w:val="105"/>
          <w:sz w:val="12"/>
        </w:rPr>
        <w:t>43,946.00</w:t>
        <w:tab/>
        <w:t>11,266.00</w:t>
        <w:tab/>
        <w:t>20,855.00</w:t>
        <w:tab/>
        <w:t>33,519.00</w:t>
        <w:tab/>
        <w:t>362,242.00</w:t>
        <w:tab/>
      </w:r>
      <w:r>
        <w:rPr>
          <w:spacing w:val="-2"/>
          <w:w w:val="105"/>
          <w:sz w:val="12"/>
        </w:rPr>
        <w:t>362,242.00</w:t>
      </w:r>
    </w:p>
    <w:p>
      <w:pPr>
        <w:tabs>
          <w:tab w:pos="928" w:val="left" w:leader="none"/>
          <w:tab w:pos="2102" w:val="left" w:leader="none"/>
          <w:tab w:pos="3206" w:val="left" w:leader="none"/>
          <w:tab w:pos="6657" w:val="left" w:leader="none"/>
          <w:tab w:pos="7831" w:val="left" w:leader="none"/>
        </w:tabs>
        <w:spacing w:before="39"/>
        <w:ind w:left="0" w:right="725" w:firstLine="0"/>
        <w:jc w:val="right"/>
        <w:rPr>
          <w:sz w:val="12"/>
        </w:rPr>
      </w:pPr>
      <w:r>
        <w:rPr>
          <w:w w:val="105"/>
          <w:sz w:val="12"/>
        </w:rPr>
        <w:t>0.00</w:t>
        <w:tab/>
        <w:t>2,216.00</w:t>
        <w:tab/>
        <w:t>7,731.00</w:t>
        <w:tab/>
        <w:t>15,009.00</w:t>
        <w:tab/>
        <w:t>139,000.00</w:t>
        <w:tab/>
      </w:r>
      <w:r>
        <w:rPr>
          <w:spacing w:val="-2"/>
          <w:w w:val="105"/>
          <w:sz w:val="12"/>
        </w:rPr>
        <w:t>139,000.00</w:t>
      </w:r>
    </w:p>
    <w:p>
      <w:pPr>
        <w:tabs>
          <w:tab w:pos="1173" w:val="left" w:leader="none"/>
          <w:tab w:pos="2347" w:val="left" w:leader="none"/>
          <w:tab w:pos="3520" w:val="left" w:leader="none"/>
          <w:tab w:pos="7041" w:val="left" w:leader="none"/>
          <w:tab w:pos="8215" w:val="left" w:leader="none"/>
        </w:tabs>
        <w:spacing w:before="40"/>
        <w:ind w:left="0" w:right="725" w:firstLine="0"/>
        <w:jc w:val="right"/>
        <w:rPr>
          <w:sz w:val="12"/>
        </w:rPr>
      </w:pPr>
      <w:r>
        <w:rPr>
          <w:w w:val="105"/>
          <w:sz w:val="12"/>
        </w:rPr>
        <w:t>0.00</w:t>
        <w:tab/>
        <w:t>0.00</w:t>
        <w:tab/>
        <w:t>0.00</w:t>
        <w:tab/>
        <w:t>0.00</w:t>
        <w:tab/>
        <w:t>0.00</w:t>
        <w:tab/>
      </w:r>
      <w:r>
        <w:rPr>
          <w:spacing w:val="-1"/>
          <w:w w:val="105"/>
          <w:sz w:val="12"/>
        </w:rPr>
        <w:t>0.00</w:t>
      </w:r>
    </w:p>
    <w:p>
      <w:pPr>
        <w:tabs>
          <w:tab w:pos="1173" w:val="left" w:leader="none"/>
          <w:tab w:pos="2347" w:val="left" w:leader="none"/>
          <w:tab w:pos="3520" w:val="left" w:leader="none"/>
          <w:tab w:pos="7041" w:val="left" w:leader="none"/>
          <w:tab w:pos="8215" w:val="left" w:leader="none"/>
        </w:tabs>
        <w:spacing w:before="39"/>
        <w:ind w:left="0" w:right="725" w:firstLine="0"/>
        <w:jc w:val="right"/>
        <w:rPr>
          <w:sz w:val="12"/>
        </w:rPr>
      </w:pPr>
      <w:r>
        <w:rPr>
          <w:w w:val="105"/>
          <w:sz w:val="12"/>
        </w:rPr>
        <w:t>0.00</w:t>
        <w:tab/>
        <w:t>0.00</w:t>
        <w:tab/>
        <w:t>0.00</w:t>
        <w:tab/>
        <w:t>0.00</w:t>
        <w:tab/>
        <w:t>0.00</w:t>
        <w:tab/>
      </w:r>
      <w:r>
        <w:rPr>
          <w:spacing w:val="-1"/>
          <w:w w:val="105"/>
          <w:sz w:val="12"/>
        </w:rPr>
        <w:t>0.00</w:t>
      </w:r>
    </w:p>
    <w:p>
      <w:pPr>
        <w:tabs>
          <w:tab w:pos="1173" w:val="left" w:leader="none"/>
          <w:tab w:pos="2347" w:val="left" w:leader="none"/>
          <w:tab w:pos="3520" w:val="left" w:leader="none"/>
          <w:tab w:pos="7041" w:val="left" w:leader="none"/>
          <w:tab w:pos="8215" w:val="left" w:leader="none"/>
        </w:tabs>
        <w:spacing w:before="40"/>
        <w:ind w:left="0" w:right="725" w:firstLine="0"/>
        <w:jc w:val="right"/>
        <w:rPr>
          <w:sz w:val="12"/>
        </w:rPr>
      </w:pPr>
      <w:r>
        <w:rPr>
          <w:w w:val="105"/>
          <w:sz w:val="12"/>
        </w:rPr>
        <w:t>0.00</w:t>
        <w:tab/>
        <w:t>0.00</w:t>
        <w:tab/>
        <w:t>0.00</w:t>
        <w:tab/>
        <w:t>0.00</w:t>
        <w:tab/>
        <w:t>0.00</w:t>
        <w:tab/>
      </w:r>
      <w:r>
        <w:rPr>
          <w:spacing w:val="-1"/>
          <w:w w:val="105"/>
          <w:sz w:val="12"/>
        </w:rPr>
        <w:t>0.00</w:t>
      </w:r>
    </w:p>
    <w:p>
      <w:pPr>
        <w:tabs>
          <w:tab w:pos="1173" w:val="left" w:leader="none"/>
          <w:tab w:pos="2347" w:val="left" w:leader="none"/>
          <w:tab w:pos="3520" w:val="left" w:leader="none"/>
          <w:tab w:pos="5078" w:val="left" w:leader="none"/>
          <w:tab w:pos="6251" w:val="left" w:leader="none"/>
          <w:tab w:pos="6935" w:val="left" w:leader="none"/>
          <w:tab w:pos="8109" w:val="left" w:leader="none"/>
        </w:tabs>
        <w:spacing w:before="40"/>
        <w:ind w:left="0" w:right="725" w:firstLine="0"/>
        <w:jc w:val="right"/>
        <w:rPr>
          <w:sz w:val="12"/>
        </w:rPr>
      </w:pPr>
      <w:r>
        <w:rPr>
          <w:w w:val="105"/>
          <w:sz w:val="12"/>
        </w:rPr>
        <w:t>176,990.00</w:t>
        <w:tab/>
        <w:t>134,671.00</w:t>
        <w:tab/>
        <w:t>150,710.00</w:t>
        <w:tab/>
        <w:t>296,222.00</w:t>
        <w:tab/>
        <w:t>0.00</w:t>
        <w:tab/>
        <w:t>0.00</w:t>
        <w:tab/>
        <w:t>2,117,376.00</w:t>
        <w:tab/>
      </w:r>
      <w:r>
        <w:rPr>
          <w:spacing w:val="-2"/>
          <w:w w:val="105"/>
          <w:sz w:val="12"/>
        </w:rPr>
        <w:t>2,117,374.00</w:t>
      </w:r>
    </w:p>
    <w:p>
      <w:pPr>
        <w:pStyle w:val="BodyText"/>
        <w:rPr>
          <w:sz w:val="14"/>
        </w:rPr>
      </w:pPr>
    </w:p>
    <w:p>
      <w:pPr>
        <w:pStyle w:val="BodyText"/>
        <w:spacing w:before="3"/>
        <w:rPr>
          <w:sz w:val="20"/>
        </w:rPr>
      </w:pPr>
    </w:p>
    <w:p>
      <w:pPr>
        <w:spacing w:before="1"/>
        <w:ind w:left="0" w:right="1898" w:firstLine="0"/>
        <w:jc w:val="right"/>
        <w:rPr>
          <w:sz w:val="12"/>
        </w:rPr>
      </w:pPr>
      <w:r>
        <w:rPr>
          <w:spacing w:val="-1"/>
          <w:w w:val="105"/>
          <w:sz w:val="12"/>
        </w:rPr>
        <w:t>0.00</w:t>
      </w:r>
    </w:p>
    <w:p>
      <w:pPr>
        <w:tabs>
          <w:tab w:pos="1173" w:val="left" w:leader="none"/>
          <w:tab w:pos="2347" w:val="left" w:leader="none"/>
          <w:tab w:pos="3259" w:val="left" w:leader="none"/>
          <w:tab w:pos="4519" w:val="left" w:leader="none"/>
          <w:tab w:pos="6796" w:val="left" w:leader="none"/>
        </w:tabs>
        <w:spacing w:before="39"/>
        <w:ind w:left="0" w:right="1899" w:firstLine="0"/>
        <w:jc w:val="right"/>
        <w:rPr>
          <w:sz w:val="12"/>
        </w:rPr>
      </w:pPr>
      <w:r>
        <w:rPr>
          <w:w w:val="105"/>
          <w:sz w:val="12"/>
        </w:rPr>
        <w:t>903.00</w:t>
        <w:tab/>
        <w:t>967.00</w:t>
        <w:tab/>
        <w:t>288.00</w:t>
        <w:tab/>
        <w:t>(74,002.00)</w:t>
        <w:tab/>
        <w:t>87,167.00</w:t>
        <w:tab/>
      </w:r>
      <w:r>
        <w:rPr>
          <w:spacing w:val="-2"/>
          <w:w w:val="105"/>
          <w:sz w:val="12"/>
        </w:rPr>
        <w:t>399,359.00</w:t>
      </w:r>
    </w:p>
    <w:p>
      <w:pPr>
        <w:spacing w:before="40"/>
        <w:ind w:left="0" w:right="1898" w:firstLine="0"/>
        <w:jc w:val="right"/>
        <w:rPr>
          <w:sz w:val="12"/>
        </w:rPr>
      </w:pPr>
      <w:r>
        <w:rPr>
          <w:spacing w:val="-1"/>
          <w:w w:val="105"/>
          <w:sz w:val="12"/>
        </w:rPr>
        <w:t>0.00</w:t>
      </w:r>
    </w:p>
    <w:p>
      <w:pPr>
        <w:spacing w:before="39"/>
        <w:ind w:left="0" w:right="1898" w:firstLine="0"/>
        <w:jc w:val="right"/>
        <w:rPr>
          <w:sz w:val="12"/>
        </w:rPr>
      </w:pPr>
      <w:r>
        <w:rPr>
          <w:spacing w:val="-1"/>
          <w:w w:val="105"/>
          <w:sz w:val="12"/>
        </w:rPr>
        <w:t>0.00</w:t>
      </w:r>
    </w:p>
    <w:p>
      <w:pPr>
        <w:spacing w:before="40"/>
        <w:ind w:left="0" w:right="1898" w:firstLine="0"/>
        <w:jc w:val="right"/>
        <w:rPr>
          <w:sz w:val="12"/>
        </w:rPr>
      </w:pPr>
      <w:r>
        <w:rPr>
          <w:spacing w:val="-1"/>
          <w:w w:val="105"/>
          <w:sz w:val="12"/>
        </w:rPr>
        <w:t>0.00</w:t>
      </w:r>
    </w:p>
    <w:p>
      <w:pPr>
        <w:spacing w:before="40"/>
        <w:ind w:left="0" w:right="1898" w:firstLine="0"/>
        <w:jc w:val="right"/>
        <w:rPr>
          <w:sz w:val="12"/>
        </w:rPr>
      </w:pPr>
      <w:r>
        <w:rPr>
          <w:spacing w:val="-1"/>
          <w:w w:val="105"/>
          <w:sz w:val="12"/>
        </w:rPr>
        <w:t>0.00</w:t>
      </w:r>
    </w:p>
    <w:p>
      <w:pPr>
        <w:tabs>
          <w:tab w:pos="3520" w:val="left" w:leader="none"/>
        </w:tabs>
        <w:spacing w:before="39"/>
        <w:ind w:left="0" w:right="1898" w:firstLine="0"/>
        <w:jc w:val="right"/>
        <w:rPr>
          <w:sz w:val="12"/>
        </w:rPr>
      </w:pPr>
      <w:r>
        <w:rPr>
          <w:w w:val="105"/>
          <w:sz w:val="12"/>
        </w:rPr>
        <w:t>0.00</w:t>
        <w:tab/>
      </w:r>
      <w:r>
        <w:rPr>
          <w:spacing w:val="-1"/>
          <w:w w:val="105"/>
          <w:sz w:val="12"/>
        </w:rPr>
        <w:t>0.00</w:t>
      </w:r>
    </w:p>
    <w:p>
      <w:pPr>
        <w:tabs>
          <w:tab w:pos="1173" w:val="left" w:leader="none"/>
          <w:tab w:pos="2347" w:val="left" w:leader="none"/>
          <w:tab w:pos="3259" w:val="left" w:leader="none"/>
          <w:tab w:pos="4519" w:val="left" w:leader="none"/>
          <w:tab w:pos="6007" w:val="left" w:leader="none"/>
          <w:tab w:pos="6796" w:val="left" w:leader="none"/>
        </w:tabs>
        <w:spacing w:before="40"/>
        <w:ind w:left="0" w:right="1899" w:firstLine="0"/>
        <w:jc w:val="right"/>
        <w:rPr>
          <w:sz w:val="12"/>
        </w:rPr>
      </w:pPr>
      <w:r>
        <w:rPr>
          <w:w w:val="105"/>
          <w:sz w:val="12"/>
        </w:rPr>
        <w:t>903.00</w:t>
        <w:tab/>
        <w:t>967.00</w:t>
        <w:tab/>
        <w:t>288.00</w:t>
        <w:tab/>
        <w:t>(74,002.00)</w:t>
        <w:tab/>
        <w:t>87,167.00</w:t>
        <w:tab/>
        <w:t>0.00</w:t>
        <w:tab/>
      </w:r>
      <w:r>
        <w:rPr>
          <w:spacing w:val="-2"/>
          <w:w w:val="105"/>
          <w:sz w:val="12"/>
        </w:rPr>
        <w:t>399,359.00</w:t>
      </w:r>
    </w:p>
    <w:p>
      <w:pPr>
        <w:pStyle w:val="BodyText"/>
        <w:spacing w:before="10"/>
        <w:rPr>
          <w:sz w:val="18"/>
        </w:rPr>
      </w:pPr>
    </w:p>
    <w:p>
      <w:pPr>
        <w:tabs>
          <w:tab w:pos="1173" w:val="left" w:leader="none"/>
          <w:tab w:pos="2260" w:val="left" w:leader="none"/>
          <w:tab w:pos="3295" w:val="left" w:leader="none"/>
          <w:tab w:pos="4555" w:val="left" w:leader="none"/>
          <w:tab w:pos="6902" w:val="left" w:leader="none"/>
        </w:tabs>
        <w:spacing w:before="0"/>
        <w:ind w:left="0" w:right="1899" w:firstLine="0"/>
        <w:jc w:val="right"/>
        <w:rPr>
          <w:sz w:val="12"/>
        </w:rPr>
      </w:pPr>
      <w:r>
        <w:rPr>
          <w:w w:val="105"/>
          <w:sz w:val="12"/>
        </w:rPr>
        <w:t>6,267.00</w:t>
        <w:tab/>
        <w:t>2,270.00</w:t>
        <w:tab/>
        <w:t>(3,966.00)</w:t>
        <w:tab/>
        <w:t>(233,273.00)</w:t>
        <w:tab/>
        <w:t>282,078.00</w:t>
        <w:tab/>
      </w:r>
      <w:r>
        <w:rPr>
          <w:spacing w:val="-2"/>
          <w:w w:val="105"/>
          <w:sz w:val="12"/>
        </w:rPr>
        <w:t>223,524.00</w:t>
      </w:r>
    </w:p>
    <w:p>
      <w:pPr>
        <w:spacing w:before="40"/>
        <w:ind w:left="0" w:right="1898" w:firstLine="0"/>
        <w:jc w:val="right"/>
        <w:rPr>
          <w:sz w:val="12"/>
        </w:rPr>
      </w:pPr>
      <w:r>
        <w:rPr>
          <w:spacing w:val="-1"/>
          <w:w w:val="105"/>
          <w:sz w:val="12"/>
        </w:rPr>
        <w:t>0.00</w:t>
      </w:r>
    </w:p>
    <w:p>
      <w:pPr>
        <w:spacing w:before="39"/>
        <w:ind w:left="0" w:right="1898" w:firstLine="0"/>
        <w:jc w:val="right"/>
        <w:rPr>
          <w:sz w:val="12"/>
        </w:rPr>
      </w:pPr>
      <w:r>
        <w:rPr>
          <w:spacing w:val="-1"/>
          <w:w w:val="105"/>
          <w:sz w:val="12"/>
        </w:rPr>
        <w:t>0.00</w:t>
      </w:r>
    </w:p>
    <w:p>
      <w:pPr>
        <w:spacing w:before="40"/>
        <w:ind w:left="0" w:right="1898" w:firstLine="0"/>
        <w:jc w:val="right"/>
        <w:rPr>
          <w:sz w:val="12"/>
        </w:rPr>
      </w:pPr>
      <w:r>
        <w:rPr>
          <w:spacing w:val="-1"/>
          <w:w w:val="105"/>
          <w:sz w:val="12"/>
        </w:rPr>
        <w:t>0.00</w:t>
      </w:r>
    </w:p>
    <w:p>
      <w:pPr>
        <w:spacing w:before="39"/>
        <w:ind w:left="0" w:right="1898" w:firstLine="0"/>
        <w:jc w:val="right"/>
        <w:rPr>
          <w:sz w:val="12"/>
        </w:rPr>
      </w:pPr>
      <w:r>
        <w:rPr>
          <w:spacing w:val="-1"/>
          <w:w w:val="105"/>
          <w:sz w:val="12"/>
        </w:rPr>
        <w:t>0.00</w:t>
      </w:r>
    </w:p>
    <w:p>
      <w:pPr>
        <w:tabs>
          <w:tab w:pos="1173" w:val="left" w:leader="none"/>
          <w:tab w:pos="2260" w:val="left" w:leader="none"/>
          <w:tab w:pos="3295" w:val="left" w:leader="none"/>
          <w:tab w:pos="4555" w:val="left" w:leader="none"/>
          <w:tab w:pos="6112" w:val="left" w:leader="none"/>
          <w:tab w:pos="6902" w:val="left" w:leader="none"/>
        </w:tabs>
        <w:spacing w:before="40"/>
        <w:ind w:left="0" w:right="1899" w:firstLine="0"/>
        <w:jc w:val="right"/>
        <w:rPr>
          <w:sz w:val="12"/>
        </w:rPr>
      </w:pPr>
      <w:r>
        <w:rPr>
          <w:w w:val="105"/>
          <w:sz w:val="12"/>
        </w:rPr>
        <w:t>6,267.00</w:t>
        <w:tab/>
        <w:t>2,270.00</w:t>
        <w:tab/>
        <w:t>(3,966.00)</w:t>
        <w:tab/>
        <w:t>(233,273.00)</w:t>
        <w:tab/>
        <w:t>282,078.00</w:t>
        <w:tab/>
        <w:t>0.00</w:t>
        <w:tab/>
      </w:r>
      <w:r>
        <w:rPr>
          <w:spacing w:val="-2"/>
          <w:w w:val="105"/>
          <w:sz w:val="12"/>
        </w:rPr>
        <w:t>223,524.00</w:t>
      </w:r>
    </w:p>
    <w:p>
      <w:pPr>
        <w:pStyle w:val="BodyText"/>
        <w:spacing w:before="10"/>
        <w:rPr>
          <w:sz w:val="18"/>
        </w:rPr>
      </w:pPr>
    </w:p>
    <w:p>
      <w:pPr>
        <w:spacing w:before="0"/>
        <w:ind w:left="0" w:right="1898" w:firstLine="0"/>
        <w:jc w:val="right"/>
        <w:rPr>
          <w:sz w:val="12"/>
        </w:rPr>
      </w:pPr>
      <w:r>
        <w:rPr>
          <w:spacing w:val="-1"/>
          <w:w w:val="105"/>
          <w:sz w:val="12"/>
        </w:rPr>
        <w:t>0.00</w:t>
      </w:r>
    </w:p>
    <w:p>
      <w:pPr>
        <w:tabs>
          <w:tab w:pos="1173" w:val="left" w:leader="none"/>
          <w:tab w:pos="2433" w:val="left" w:leader="none"/>
          <w:tab w:pos="3467" w:val="left" w:leader="none"/>
          <w:tab w:pos="4555" w:val="left" w:leader="none"/>
          <w:tab w:pos="6199" w:val="left" w:leader="none"/>
          <w:tab w:pos="6988" w:val="left" w:leader="none"/>
        </w:tabs>
        <w:spacing w:before="40"/>
        <w:ind w:left="0" w:right="1899" w:firstLine="0"/>
        <w:jc w:val="right"/>
        <w:rPr>
          <w:sz w:val="12"/>
        </w:rPr>
      </w:pPr>
      <w:r>
        <w:rPr>
          <w:w w:val="105"/>
          <w:sz w:val="12"/>
        </w:rPr>
        <w:t>(5,364.00)</w:t>
        <w:tab/>
        <w:t>(1,303.00)</w:t>
        <w:tab/>
        <w:t>4,254.00</w:t>
        <w:tab/>
        <w:t>159,271.00</w:t>
        <w:tab/>
        <w:t>(194,911.00)</w:t>
        <w:tab/>
        <w:t>0.00</w:t>
        <w:tab/>
      </w:r>
      <w:r>
        <w:rPr>
          <w:spacing w:val="-2"/>
          <w:w w:val="105"/>
          <w:sz w:val="12"/>
        </w:rPr>
        <w:t>175,835.00</w:t>
      </w:r>
    </w:p>
    <w:p>
      <w:pPr>
        <w:tabs>
          <w:tab w:pos="1725" w:val="left" w:leader="none"/>
          <w:tab w:pos="2915" w:val="left" w:leader="none"/>
          <w:tab w:pos="4089" w:val="left" w:leader="none"/>
          <w:tab w:pos="5176" w:val="left" w:leader="none"/>
          <w:tab w:pos="6820" w:val="left" w:leader="none"/>
          <w:tab w:pos="7610" w:val="left" w:leader="none"/>
          <w:tab w:pos="8766" w:val="left" w:leader="none"/>
        </w:tabs>
        <w:spacing w:before="40"/>
        <w:ind w:left="551" w:right="0" w:firstLine="0"/>
        <w:jc w:val="left"/>
        <w:rPr>
          <w:sz w:val="12"/>
        </w:rPr>
      </w:pPr>
      <w:r>
        <w:rPr>
          <w:w w:val="105"/>
          <w:sz w:val="12"/>
        </w:rPr>
        <w:t>(91,108.00)</w:t>
        <w:tab/>
        <w:t>(31,272.00)</w:t>
        <w:tab/>
        <w:t>262,299.00</w:t>
        <w:tab/>
        <w:t>249,623.00</w:t>
        <w:tab/>
        <w:t>(124,674.00)</w:t>
        <w:tab/>
        <w:t>0.00</w:t>
        <w:tab/>
        <w:t>157,192.00</w:t>
        <w:tab/>
        <w:t>(18,641.00)</w:t>
      </w:r>
    </w:p>
    <w:p>
      <w:pPr>
        <w:tabs>
          <w:tab w:pos="1636" w:val="left" w:leader="none"/>
          <w:tab w:pos="2810" w:val="left" w:leader="none"/>
          <w:tab w:pos="3983" w:val="left" w:leader="none"/>
        </w:tabs>
        <w:spacing w:before="39"/>
        <w:ind w:left="462" w:right="0" w:firstLine="0"/>
        <w:jc w:val="left"/>
        <w:rPr>
          <w:sz w:val="12"/>
        </w:rPr>
      </w:pPr>
      <w:r>
        <w:rPr>
          <w:w w:val="105"/>
          <w:sz w:val="12"/>
        </w:rPr>
        <w:t>2,211,292.00</w:t>
        <w:tab/>
        <w:t>2,180,020.00</w:t>
        <w:tab/>
        <w:t>2,442,319.00</w:t>
        <w:tab/>
        <w:t>2,691,942.00</w:t>
      </w:r>
    </w:p>
    <w:p>
      <w:pPr>
        <w:pStyle w:val="BodyText"/>
        <w:spacing w:before="11"/>
        <w:rPr>
          <w:sz w:val="19"/>
        </w:rPr>
      </w:pPr>
    </w:p>
    <w:p>
      <w:pPr>
        <w:spacing w:before="0"/>
        <w:ind w:left="0" w:right="1899" w:firstLine="0"/>
        <w:jc w:val="right"/>
        <w:rPr>
          <w:sz w:val="12"/>
        </w:rPr>
      </w:pPr>
      <w:r>
        <w:rPr>
          <w:w w:val="105"/>
          <w:sz w:val="12"/>
        </w:rPr>
        <w:t>2,567,268.00</w:t>
      </w:r>
    </w:p>
    <w:p>
      <w:pPr>
        <w:spacing w:after="0"/>
        <w:jc w:val="right"/>
        <w:rPr>
          <w:sz w:val="12"/>
        </w:rPr>
        <w:sectPr>
          <w:type w:val="continuous"/>
          <w:pgSz w:w="15840" w:h="12240" w:orient="landscape"/>
          <w:pgMar w:top="1500" w:bottom="840" w:left="860" w:right="860"/>
          <w:cols w:num="2" w:equalWidth="0">
            <w:col w:w="3939" w:space="40"/>
            <w:col w:w="10141"/>
          </w:cols>
        </w:sectPr>
      </w:pPr>
    </w:p>
    <w:p>
      <w:pPr>
        <w:pStyle w:val="BodyText"/>
        <w:rPr>
          <w:sz w:val="20"/>
        </w:rPr>
      </w:pPr>
      <w:r>
        <w:rPr/>
        <w:pict>
          <v:group style="position:absolute;margin-left:47.880001pt;margin-top:49.800003pt;width:695.65pt;height:47.2pt;mso-position-horizontal-relative:page;mso-position-vertical-relative:page;z-index:-314159104" coordorigin="958,996" coordsize="13913,944">
            <v:shape style="position:absolute;left:957;top:996;width:3351;height:188" type="#_x0000_t75" stroked="false">
              <v:imagedata r:id="rId1018" o:title=""/>
            </v:shape>
            <v:shape style="position:absolute;left:4305;top:1008;width:1174;height:178" type="#_x0000_t75" stroked="false">
              <v:imagedata r:id="rId1019" o:title=""/>
            </v:shape>
            <v:shape style="position:absolute;left:4293;top:996;width:10577;height:586" type="#_x0000_t75" stroked="false">
              <v:imagedata r:id="rId1020" o:title=""/>
            </v:shape>
            <v:shape style="position:absolute;left:4305;top:1185;width:1174;height:399" type="#_x0000_t75" stroked="false">
              <v:imagedata r:id="rId1021" o:title=""/>
            </v:shape>
            <v:shape style="position:absolute;left:957;top:1180;width:3358;height:759" type="#_x0000_t75" stroked="false">
              <v:imagedata r:id="rId1022" o:title=""/>
            </v:shape>
            <v:shape style="position:absolute;left:4555;top:1023;width:697;height:319" type="#_x0000_t202" filled="false" stroked="false">
              <v:textbox inset="0,0,0,0">
                <w:txbxContent>
                  <w:p>
                    <w:pPr>
                      <w:spacing w:line="242" w:lineRule="auto" w:before="0"/>
                      <w:ind w:left="38" w:right="-7" w:hanging="39"/>
                      <w:jc w:val="left"/>
                      <w:rPr>
                        <w:b/>
                        <w:sz w:val="14"/>
                      </w:rPr>
                    </w:pPr>
                    <w:r>
                      <w:rPr>
                        <w:b/>
                        <w:sz w:val="14"/>
                      </w:rPr>
                      <w:t>Beginning Balances</w:t>
                    </w:r>
                  </w:p>
                </w:txbxContent>
              </v:textbox>
              <w10:wrap type="none"/>
            </v:shape>
            <w10:wrap type="none"/>
          </v:group>
        </w:pict>
      </w:r>
      <w:r>
        <w:rPr/>
        <w:pict>
          <v:group style="position:absolute;margin-left:47.880001pt;margin-top:78.600006pt;width:695.65pt;height:436.35pt;mso-position-horizontal-relative:page;mso-position-vertical-relative:page;z-index:-314158080" coordorigin="958,1572" coordsize="13913,8727">
            <v:shape style="position:absolute;left:4300;top:1572;width:1181;height:22" type="#_x0000_t75" stroked="false">
              <v:imagedata r:id="rId1023" o:title=""/>
            </v:shape>
            <v:shape style="position:absolute;left:5467;top:1572;width:1188;height:358" type="#_x0000_t75" stroked="false">
              <v:imagedata r:id="rId1098" o:title=""/>
            </v:shape>
            <v:shape style="position:absolute;left:6648;top:1572;width:1181;height:22" type="#_x0000_t75" stroked="false">
              <v:imagedata r:id="rId1023" o:title=""/>
            </v:shape>
            <v:shape style="position:absolute;left:7821;top:1572;width:1181;height:22" type="#_x0000_t75" stroked="false">
              <v:imagedata r:id="rId1023" o:title=""/>
            </v:shape>
            <v:shape style="position:absolute;left:8995;top:1572;width:1181;height:22" type="#_x0000_t75" stroked="false">
              <v:imagedata r:id="rId1023" o:title=""/>
            </v:shape>
            <v:shape style="position:absolute;left:10168;top:1572;width:1181;height:22" type="#_x0000_t75" stroked="false">
              <v:imagedata r:id="rId1023" o:title=""/>
            </v:shape>
            <v:shape style="position:absolute;left:11342;top:1572;width:1181;height:22" type="#_x0000_t75" stroked="false">
              <v:imagedata r:id="rId1023" o:title=""/>
            </v:shape>
            <v:shape style="position:absolute;left:12516;top:1572;width:1181;height:22" type="#_x0000_t75" stroked="false">
              <v:imagedata r:id="rId1023" o:title=""/>
            </v:shape>
            <v:shape style="position:absolute;left:13689;top:1572;width:1181;height:22" type="#_x0000_t75" stroked="false">
              <v:imagedata r:id="rId1023" o:title=""/>
            </v:shape>
            <v:shape style="position:absolute;left:3504;top:1924;width:812;height:192" type="#_x0000_t75" stroked="false">
              <v:imagedata r:id="rId1025" o:title=""/>
            </v:shape>
            <v:shape style="position:absolute;left:4293;top:1917;width:10577;height:365" type="#_x0000_t75" stroked="false">
              <v:imagedata r:id="rId1099" o:title=""/>
            </v:shape>
            <v:shape style="position:absolute;left:4293;top:2095;width:1196;height:365" type="#_x0000_t75" stroked="false">
              <v:imagedata r:id="rId1100" o:title=""/>
            </v:shape>
            <v:shape style="position:absolute;left:4293;top:2457;width:22;height:180" type="#_x0000_t75" stroked="false">
              <v:imagedata r:id="rId1027" o:title=""/>
            </v:shape>
            <v:shape style="position:absolute;left:5467;top:2102;width:9404;height:540" type="#_x0000_t75" stroked="false">
              <v:imagedata r:id="rId1101" o:title=""/>
            </v:shape>
            <v:shape style="position:absolute;left:4293;top:2635;width:22;height:180" type="#_x0000_t75" stroked="false">
              <v:imagedata r:id="rId1027" o:title=""/>
            </v:shape>
            <v:shape style="position:absolute;left:5467;top:2635;width:9404;height:185" type="#_x0000_t75" stroked="false">
              <v:imagedata r:id="rId1029" o:title=""/>
            </v:shape>
            <v:shape style="position:absolute;left:4293;top:2812;width:22;height:180" type="#_x0000_t75" stroked="false">
              <v:imagedata r:id="rId1027" o:title=""/>
            </v:shape>
            <v:shape style="position:absolute;left:5467;top:2812;width:9404;height:185" type="#_x0000_t75" stroked="false">
              <v:imagedata r:id="rId1029" o:title=""/>
            </v:shape>
            <v:shape style="position:absolute;left:4293;top:2990;width:22;height:180" type="#_x0000_t75" stroked="false">
              <v:imagedata r:id="rId1027" o:title=""/>
            </v:shape>
            <v:shape style="position:absolute;left:5467;top:2990;width:9404;height:185" type="#_x0000_t75" stroked="false">
              <v:imagedata r:id="rId1029" o:title=""/>
            </v:shape>
            <v:shape style="position:absolute;left:957;top:1924;width:3358;height:2146" type="#_x0000_t75" stroked="false">
              <v:imagedata r:id="rId1030" o:title=""/>
            </v:shape>
            <v:shape style="position:absolute;left:4293;top:3168;width:22;height:180" type="#_x0000_t75" stroked="false">
              <v:imagedata r:id="rId1027" o:title=""/>
            </v:shape>
            <v:shape style="position:absolute;left:5467;top:3168;width:9404;height:185" type="#_x0000_t75" stroked="false">
              <v:imagedata r:id="rId1029" o:title=""/>
            </v:shape>
            <v:shape style="position:absolute;left:4293;top:3345;width:22;height:180" type="#_x0000_t75" stroked="false">
              <v:imagedata r:id="rId1027" o:title=""/>
            </v:shape>
            <v:shape style="position:absolute;left:5467;top:3345;width:9404;height:185" type="#_x0000_t75" stroked="false">
              <v:imagedata r:id="rId1029" o:title=""/>
            </v:shape>
            <v:shape style="position:absolute;left:4293;top:3523;width:22;height:180" type="#_x0000_t75" stroked="false">
              <v:imagedata r:id="rId1027" o:title=""/>
            </v:shape>
            <v:shape style="position:absolute;left:5467;top:3523;width:9404;height:185" type="#_x0000_t75" stroked="false">
              <v:imagedata r:id="rId1029" o:title=""/>
            </v:shape>
            <v:shape style="position:absolute;left:4293;top:3700;width:22;height:180" type="#_x0000_t75" stroked="false">
              <v:imagedata r:id="rId1027" o:title=""/>
            </v:shape>
            <v:shape style="position:absolute;left:5467;top:3700;width:9404;height:185" type="#_x0000_t75" stroked="false">
              <v:imagedata r:id="rId1029" o:title=""/>
            </v:shape>
            <v:shape style="position:absolute;left:5467;top:3878;width:9404;height:192" type="#_x0000_t75" stroked="false">
              <v:imagedata r:id="rId1031" o:title=""/>
            </v:shape>
            <v:shape style="position:absolute;left:4293;top:4056;width:22;height:180" type="#_x0000_t75" stroked="false">
              <v:imagedata r:id="rId1027" o:title=""/>
            </v:shape>
            <v:shape style="position:absolute;left:4293;top:4233;width:22;height:180" type="#_x0000_t75" stroked="false">
              <v:imagedata r:id="rId1027" o:title=""/>
            </v:shape>
            <v:shape style="position:absolute;left:5467;top:4048;width:9404;height:370" type="#_x0000_t75" stroked="false">
              <v:imagedata r:id="rId1032" o:title=""/>
            </v:shape>
            <v:shape style="position:absolute;left:4293;top:4411;width:22;height:180" type="#_x0000_t75" stroked="false">
              <v:imagedata r:id="rId1027" o:title=""/>
            </v:shape>
            <v:shape style="position:absolute;left:5467;top:4411;width:9404;height:185" type="#_x0000_t75" stroked="false">
              <v:imagedata r:id="rId1029" o:title=""/>
            </v:shape>
            <v:shape style="position:absolute;left:4293;top:4588;width:22;height:180" type="#_x0000_t75" stroked="false">
              <v:imagedata r:id="rId1027" o:title=""/>
            </v:shape>
            <v:shape style="position:absolute;left:5467;top:4588;width:9404;height:185" type="#_x0000_t75" stroked="false">
              <v:imagedata r:id="rId1029" o:title=""/>
            </v:shape>
            <v:shape style="position:absolute;left:4293;top:4766;width:22;height:180" type="#_x0000_t75" stroked="false">
              <v:imagedata r:id="rId1027" o:title=""/>
            </v:shape>
            <v:shape style="position:absolute;left:5467;top:4766;width:9404;height:185" type="#_x0000_t75" stroked="false">
              <v:imagedata r:id="rId1029" o:title=""/>
            </v:shape>
            <v:shape style="position:absolute;left:4293;top:4944;width:22;height:180" type="#_x0000_t75" stroked="false">
              <v:imagedata r:id="rId1027" o:title=""/>
            </v:shape>
            <v:shape style="position:absolute;left:5467;top:4944;width:9404;height:185" type="#_x0000_t75" stroked="false">
              <v:imagedata r:id="rId1029" o:title=""/>
            </v:shape>
            <v:shape style="position:absolute;left:4293;top:5121;width:22;height:180" type="#_x0000_t75" stroked="false">
              <v:imagedata r:id="rId1027" o:title=""/>
            </v:shape>
            <v:shape style="position:absolute;left:5467;top:5121;width:9404;height:185" type="#_x0000_t75" stroked="false">
              <v:imagedata r:id="rId1029" o:title=""/>
            </v:shape>
            <v:shape style="position:absolute;left:4293;top:5299;width:22;height:180" type="#_x0000_t75" stroked="false">
              <v:imagedata r:id="rId1027" o:title=""/>
            </v:shape>
            <v:shape style="position:absolute;left:5467;top:5299;width:9404;height:185" type="#_x0000_t75" stroked="false">
              <v:imagedata r:id="rId1029" o:title=""/>
            </v:shape>
            <v:shape style="position:absolute;left:4293;top:5476;width:22;height:180" type="#_x0000_t75" stroked="false">
              <v:imagedata r:id="rId1027" o:title=""/>
            </v:shape>
            <v:shape style="position:absolute;left:4293;top:5654;width:22;height:180" type="#_x0000_t75" stroked="false">
              <v:imagedata r:id="rId1027" o:title=""/>
            </v:shape>
            <v:shape style="position:absolute;left:5467;top:5476;width:9404;height:363" type="#_x0000_t75" stroked="false">
              <v:imagedata r:id="rId1033" o:title=""/>
            </v:shape>
            <v:shape style="position:absolute;left:957;top:4056;width:13913;height:2489" type="#_x0000_t75" stroked="false">
              <v:imagedata r:id="rId1034" o:title=""/>
            </v:shape>
            <v:shape style="position:absolute;left:4293;top:5832;width:22;height:180" type="#_x0000_t75" stroked="false">
              <v:imagedata r:id="rId1027" o:title=""/>
            </v:shape>
            <v:shape style="position:absolute;left:4293;top:6364;width:2362;height:358" type="#_x0000_t75" stroked="false">
              <v:imagedata r:id="rId1035" o:title=""/>
            </v:shape>
            <v:shape style="position:absolute;left:4300;top:6364;width:10570;height:363" type="#_x0000_t75" stroked="false">
              <v:imagedata r:id="rId1036" o:title=""/>
            </v:shape>
            <v:shape style="position:absolute;left:4293;top:6542;width:10577;height:1246" type="#_x0000_t75" stroked="false">
              <v:imagedata r:id="rId1102" o:title=""/>
            </v:shape>
            <v:shape style="position:absolute;left:4293;top:7608;width:10577;height:536" type="#_x0000_t75" stroked="false">
              <v:imagedata r:id="rId1103" o:title=""/>
            </v:shape>
            <v:shape style="position:absolute;left:4293;top:7963;width:10577;height:1068" type="#_x0000_t75" stroked="false">
              <v:imagedata r:id="rId1039" o:title=""/>
            </v:shape>
            <v:shape style="position:absolute;left:3504;top:6364;width:11367;height:3212" type="#_x0000_t75" stroked="false">
              <v:imagedata r:id="rId1104" o:title=""/>
            </v:shape>
            <v:shape style="position:absolute;left:957;top:6542;width:13913;height:3212" type="#_x0000_t75" stroked="false">
              <v:imagedata r:id="rId1105" o:title=""/>
            </v:shape>
            <v:shape style="position:absolute;left:4293;top:9554;width:1196;height:365" type="#_x0000_t75" stroked="false">
              <v:imagedata r:id="rId1106" o:title=""/>
            </v:shape>
            <v:shape style="position:absolute;left:5467;top:9561;width:8230;height:358" type="#_x0000_t75" stroked="false">
              <v:imagedata r:id="rId1107" o:title=""/>
            </v:shape>
            <v:shape style="position:absolute;left:957;top:9739;width:3358;height:560" type="#_x0000_t75" stroked="false">
              <v:imagedata r:id="rId1108" o:title=""/>
            </v:shape>
            <v:shape style="position:absolute;left:4293;top:9909;width:1196;height:389" type="#_x0000_t75" stroked="false">
              <v:imagedata r:id="rId1047" o:title=""/>
            </v:shape>
            <v:shape style="position:absolute;left:5474;top:9909;width:1181;height:389" type="#_x0000_t75" stroked="false">
              <v:imagedata r:id="rId1048" o:title=""/>
            </v:shape>
            <v:shape style="position:absolute;left:12516;top:9561;width:2355;height:737" type="#_x0000_t75" stroked="false">
              <v:imagedata r:id="rId1049" o:title=""/>
            </v:shape>
            <v:shape style="position:absolute;left:6648;top:9909;width:1181;height:389" type="#_x0000_t75" stroked="false">
              <v:imagedata r:id="rId1050" o:title=""/>
            </v:shape>
            <v:shape style="position:absolute;left:7821;top:9909;width:1181;height:389" type="#_x0000_t75" stroked="false">
              <v:imagedata r:id="rId1051" o:title=""/>
            </v:shape>
            <v:shape style="position:absolute;left:8995;top:9909;width:1181;height:389" type="#_x0000_t75" stroked="false">
              <v:imagedata r:id="rId1052" o:title=""/>
            </v:shape>
            <v:shape style="position:absolute;left:10168;top:9909;width:1181;height:389" type="#_x0000_t75" stroked="false">
              <v:imagedata r:id="rId1051" o:title=""/>
            </v:shape>
            <v:shape style="position:absolute;left:11342;top:9739;width:1181;height:560" type="#_x0000_t75" stroked="false">
              <v:imagedata r:id="rId1053" o:title=""/>
            </v:shape>
            <v:shape style="position:absolute;left:13689;top:9909;width:1181;height:389" type="#_x0000_t75" stroked="false">
              <v:imagedata r:id="rId1052" o:title=""/>
            </v:shape>
            <w10:wrap type="none"/>
          </v:group>
        </w:pict>
      </w:r>
    </w:p>
    <w:p>
      <w:pPr>
        <w:pStyle w:val="BodyText"/>
        <w:spacing w:before="10"/>
        <w:rPr>
          <w:sz w:val="17"/>
        </w:rPr>
      </w:pPr>
    </w:p>
    <w:tbl>
      <w:tblPr>
        <w:tblW w:w="0" w:type="auto"/>
        <w:jc w:val="left"/>
        <w:tblInd w:w="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68"/>
        <w:gridCol w:w="772"/>
        <w:gridCol w:w="1174"/>
        <w:gridCol w:w="1174"/>
        <w:gridCol w:w="1273"/>
        <w:gridCol w:w="1211"/>
        <w:gridCol w:w="1146"/>
        <w:gridCol w:w="1065"/>
        <w:gridCol w:w="1321"/>
        <w:gridCol w:w="1026"/>
        <w:gridCol w:w="1176"/>
      </w:tblGrid>
      <w:tr>
        <w:trPr>
          <w:trHeight w:val="162" w:hRule="atLeast"/>
        </w:trPr>
        <w:tc>
          <w:tcPr>
            <w:tcW w:w="2568" w:type="dxa"/>
          </w:tcPr>
          <w:p>
            <w:pPr>
              <w:pStyle w:val="TableParagraph"/>
              <w:rPr>
                <w:rFonts w:ascii="Times New Roman"/>
                <w:sz w:val="10"/>
              </w:rPr>
            </w:pPr>
          </w:p>
        </w:tc>
        <w:tc>
          <w:tcPr>
            <w:tcW w:w="772" w:type="dxa"/>
          </w:tcPr>
          <w:p>
            <w:pPr>
              <w:pStyle w:val="TableParagraph"/>
              <w:spacing w:line="142" w:lineRule="exact"/>
              <w:ind w:left="162"/>
              <w:rPr>
                <w:b/>
                <w:sz w:val="14"/>
              </w:rPr>
            </w:pPr>
            <w:r>
              <w:rPr>
                <w:b/>
                <w:sz w:val="14"/>
              </w:rPr>
              <w:t>Object</w:t>
            </w:r>
          </w:p>
        </w:tc>
        <w:tc>
          <w:tcPr>
            <w:tcW w:w="1174" w:type="dxa"/>
          </w:tcPr>
          <w:p>
            <w:pPr>
              <w:pStyle w:val="TableParagraph"/>
              <w:spacing w:line="82" w:lineRule="exact"/>
              <w:ind w:left="244"/>
              <w:rPr>
                <w:b/>
                <w:sz w:val="14"/>
              </w:rPr>
            </w:pPr>
            <w:r>
              <w:rPr>
                <w:b/>
                <w:sz w:val="14"/>
              </w:rPr>
              <w:t>(Ref. Only)</w:t>
            </w:r>
          </w:p>
        </w:tc>
        <w:tc>
          <w:tcPr>
            <w:tcW w:w="1174" w:type="dxa"/>
          </w:tcPr>
          <w:p>
            <w:pPr>
              <w:pStyle w:val="TableParagraph"/>
              <w:spacing w:line="142" w:lineRule="exact"/>
              <w:ind w:left="92" w:right="88"/>
              <w:jc w:val="center"/>
              <w:rPr>
                <w:b/>
                <w:sz w:val="14"/>
              </w:rPr>
            </w:pPr>
            <w:r>
              <w:rPr>
                <w:b/>
                <w:sz w:val="14"/>
              </w:rPr>
              <w:t>July</w:t>
            </w:r>
          </w:p>
        </w:tc>
        <w:tc>
          <w:tcPr>
            <w:tcW w:w="1273" w:type="dxa"/>
          </w:tcPr>
          <w:p>
            <w:pPr>
              <w:pStyle w:val="TableParagraph"/>
              <w:spacing w:line="142" w:lineRule="exact"/>
              <w:ind w:left="349"/>
              <w:rPr>
                <w:b/>
                <w:sz w:val="14"/>
              </w:rPr>
            </w:pPr>
            <w:r>
              <w:rPr>
                <w:b/>
                <w:sz w:val="14"/>
              </w:rPr>
              <w:t>August</w:t>
            </w:r>
          </w:p>
        </w:tc>
        <w:tc>
          <w:tcPr>
            <w:tcW w:w="1211" w:type="dxa"/>
          </w:tcPr>
          <w:p>
            <w:pPr>
              <w:pStyle w:val="TableParagraph"/>
              <w:spacing w:line="142" w:lineRule="exact"/>
              <w:ind w:left="127"/>
              <w:rPr>
                <w:b/>
                <w:sz w:val="14"/>
              </w:rPr>
            </w:pPr>
            <w:r>
              <w:rPr>
                <w:b/>
                <w:sz w:val="14"/>
              </w:rPr>
              <w:t>September</w:t>
            </w:r>
          </w:p>
        </w:tc>
        <w:tc>
          <w:tcPr>
            <w:tcW w:w="1146" w:type="dxa"/>
          </w:tcPr>
          <w:p>
            <w:pPr>
              <w:pStyle w:val="TableParagraph"/>
              <w:spacing w:line="142" w:lineRule="exact"/>
              <w:ind w:left="164"/>
              <w:rPr>
                <w:b/>
                <w:sz w:val="14"/>
              </w:rPr>
            </w:pPr>
            <w:r>
              <w:rPr>
                <w:b/>
                <w:sz w:val="14"/>
              </w:rPr>
              <w:t>October</w:t>
            </w:r>
          </w:p>
        </w:tc>
        <w:tc>
          <w:tcPr>
            <w:tcW w:w="1065" w:type="dxa"/>
          </w:tcPr>
          <w:p>
            <w:pPr>
              <w:pStyle w:val="TableParagraph"/>
              <w:spacing w:line="142" w:lineRule="exact"/>
              <w:ind w:left="137"/>
              <w:rPr>
                <w:b/>
                <w:sz w:val="14"/>
              </w:rPr>
            </w:pPr>
            <w:r>
              <w:rPr>
                <w:b/>
                <w:sz w:val="14"/>
              </w:rPr>
              <w:t>November</w:t>
            </w:r>
          </w:p>
        </w:tc>
        <w:tc>
          <w:tcPr>
            <w:tcW w:w="1321" w:type="dxa"/>
          </w:tcPr>
          <w:p>
            <w:pPr>
              <w:pStyle w:val="TableParagraph"/>
              <w:spacing w:line="142" w:lineRule="exact"/>
              <w:ind w:left="248"/>
              <w:rPr>
                <w:b/>
                <w:sz w:val="14"/>
              </w:rPr>
            </w:pPr>
            <w:r>
              <w:rPr>
                <w:b/>
                <w:sz w:val="14"/>
              </w:rPr>
              <w:t>December</w:t>
            </w:r>
          </w:p>
        </w:tc>
        <w:tc>
          <w:tcPr>
            <w:tcW w:w="1026" w:type="dxa"/>
          </w:tcPr>
          <w:p>
            <w:pPr>
              <w:pStyle w:val="TableParagraph"/>
              <w:spacing w:line="142" w:lineRule="exact"/>
              <w:ind w:left="175"/>
              <w:rPr>
                <w:b/>
                <w:sz w:val="14"/>
              </w:rPr>
            </w:pPr>
            <w:r>
              <w:rPr>
                <w:b/>
                <w:sz w:val="14"/>
              </w:rPr>
              <w:t>January</w:t>
            </w:r>
          </w:p>
        </w:tc>
        <w:tc>
          <w:tcPr>
            <w:tcW w:w="1176" w:type="dxa"/>
          </w:tcPr>
          <w:p>
            <w:pPr>
              <w:pStyle w:val="TableParagraph"/>
              <w:spacing w:line="142" w:lineRule="exact"/>
              <w:ind w:left="291"/>
              <w:rPr>
                <w:b/>
                <w:sz w:val="14"/>
              </w:rPr>
            </w:pPr>
            <w:r>
              <w:rPr>
                <w:b/>
                <w:sz w:val="14"/>
              </w:rPr>
              <w:t>February</w:t>
            </w:r>
          </w:p>
        </w:tc>
      </w:tr>
      <w:tr>
        <w:trPr>
          <w:trHeight w:val="345" w:hRule="atLeast"/>
        </w:trPr>
        <w:tc>
          <w:tcPr>
            <w:tcW w:w="2568" w:type="dxa"/>
          </w:tcPr>
          <w:p>
            <w:pPr>
              <w:pStyle w:val="TableParagraph"/>
              <w:spacing w:line="160" w:lineRule="exact" w:before="22"/>
              <w:ind w:right="30"/>
              <w:jc w:val="right"/>
              <w:rPr>
                <w:sz w:val="14"/>
              </w:rPr>
            </w:pPr>
            <w:r>
              <w:rPr>
                <w:sz w:val="14"/>
              </w:rPr>
              <w:t>ESTIMATES THROUGH THE</w:t>
            </w:r>
            <w:r>
              <w:rPr>
                <w:spacing w:val="-19"/>
                <w:sz w:val="14"/>
              </w:rPr>
              <w:t> </w:t>
            </w:r>
            <w:r>
              <w:rPr>
                <w:sz w:val="14"/>
              </w:rPr>
              <w:t>MONTH</w:t>
            </w:r>
          </w:p>
          <w:p>
            <w:pPr>
              <w:pStyle w:val="TableParagraph"/>
              <w:spacing w:line="144" w:lineRule="exact"/>
              <w:ind w:right="31"/>
              <w:jc w:val="right"/>
              <w:rPr>
                <w:sz w:val="14"/>
              </w:rPr>
            </w:pPr>
            <w:r>
              <w:rPr>
                <w:spacing w:val="-1"/>
                <w:w w:val="95"/>
                <w:sz w:val="14"/>
              </w:rPr>
              <w:t>OF</w:t>
            </w:r>
          </w:p>
        </w:tc>
        <w:tc>
          <w:tcPr>
            <w:tcW w:w="772" w:type="dxa"/>
          </w:tcPr>
          <w:p>
            <w:pPr>
              <w:pStyle w:val="TableParagraph"/>
              <w:spacing w:before="6"/>
              <w:rPr>
                <w:sz w:val="17"/>
              </w:rPr>
            </w:pPr>
          </w:p>
          <w:p>
            <w:pPr>
              <w:pStyle w:val="TableParagraph"/>
              <w:spacing w:line="124" w:lineRule="exact"/>
              <w:ind w:left="210"/>
              <w:rPr>
                <w:sz w:val="12"/>
              </w:rPr>
            </w:pPr>
            <w:r>
              <w:rPr>
                <w:w w:val="105"/>
                <w:sz w:val="12"/>
              </w:rPr>
              <w:t>JUNE</w:t>
            </w:r>
          </w:p>
        </w:tc>
        <w:tc>
          <w:tcPr>
            <w:tcW w:w="1174" w:type="dxa"/>
            <w:shd w:val="clear" w:color="auto" w:fill="BFBFBF"/>
          </w:tcPr>
          <w:p>
            <w:pPr>
              <w:pStyle w:val="TableParagraph"/>
              <w:rPr>
                <w:rFonts w:ascii="Times New Roman"/>
                <w:sz w:val="12"/>
              </w:rPr>
            </w:pPr>
          </w:p>
        </w:tc>
        <w:tc>
          <w:tcPr>
            <w:tcW w:w="1174" w:type="dxa"/>
          </w:tcPr>
          <w:p>
            <w:pPr>
              <w:pStyle w:val="TableParagraph"/>
              <w:rPr>
                <w:rFonts w:ascii="Times New Roman"/>
                <w:sz w:val="12"/>
              </w:rPr>
            </w:pPr>
          </w:p>
        </w:tc>
        <w:tc>
          <w:tcPr>
            <w:tcW w:w="1273" w:type="dxa"/>
            <w:shd w:val="clear" w:color="auto" w:fill="BFBFBF"/>
          </w:tcPr>
          <w:p>
            <w:pPr>
              <w:pStyle w:val="TableParagraph"/>
              <w:rPr>
                <w:rFonts w:ascii="Times New Roman"/>
                <w:sz w:val="12"/>
              </w:rPr>
            </w:pPr>
          </w:p>
        </w:tc>
        <w:tc>
          <w:tcPr>
            <w:tcW w:w="1211" w:type="dxa"/>
            <w:shd w:val="clear" w:color="auto" w:fill="BFBFBF"/>
          </w:tcPr>
          <w:p>
            <w:pPr>
              <w:pStyle w:val="TableParagraph"/>
              <w:rPr>
                <w:rFonts w:ascii="Times New Roman"/>
                <w:sz w:val="12"/>
              </w:rPr>
            </w:pPr>
          </w:p>
        </w:tc>
        <w:tc>
          <w:tcPr>
            <w:tcW w:w="1146" w:type="dxa"/>
            <w:shd w:val="clear" w:color="auto" w:fill="BFBFBF"/>
          </w:tcPr>
          <w:p>
            <w:pPr>
              <w:pStyle w:val="TableParagraph"/>
              <w:rPr>
                <w:rFonts w:ascii="Times New Roman"/>
                <w:sz w:val="12"/>
              </w:rPr>
            </w:pPr>
          </w:p>
        </w:tc>
        <w:tc>
          <w:tcPr>
            <w:tcW w:w="1065" w:type="dxa"/>
            <w:shd w:val="clear" w:color="auto" w:fill="BFBFBF"/>
          </w:tcPr>
          <w:p>
            <w:pPr>
              <w:pStyle w:val="TableParagraph"/>
              <w:rPr>
                <w:rFonts w:ascii="Times New Roman"/>
                <w:sz w:val="12"/>
              </w:rPr>
            </w:pPr>
          </w:p>
        </w:tc>
        <w:tc>
          <w:tcPr>
            <w:tcW w:w="1321" w:type="dxa"/>
            <w:shd w:val="clear" w:color="auto" w:fill="BFBFBF"/>
          </w:tcPr>
          <w:p>
            <w:pPr>
              <w:pStyle w:val="TableParagraph"/>
              <w:rPr>
                <w:rFonts w:ascii="Times New Roman"/>
                <w:sz w:val="12"/>
              </w:rPr>
            </w:pPr>
          </w:p>
        </w:tc>
        <w:tc>
          <w:tcPr>
            <w:tcW w:w="1026" w:type="dxa"/>
            <w:shd w:val="clear" w:color="auto" w:fill="BFBFBF"/>
          </w:tcPr>
          <w:p>
            <w:pPr>
              <w:pStyle w:val="TableParagraph"/>
              <w:rPr>
                <w:rFonts w:ascii="Times New Roman"/>
                <w:sz w:val="12"/>
              </w:rPr>
            </w:pPr>
          </w:p>
        </w:tc>
        <w:tc>
          <w:tcPr>
            <w:tcW w:w="1176" w:type="dxa"/>
            <w:shd w:val="clear" w:color="auto" w:fill="BFBFBF"/>
          </w:tcPr>
          <w:p>
            <w:pPr>
              <w:pStyle w:val="TableParagraph"/>
              <w:rPr>
                <w:rFonts w:ascii="Times New Roman"/>
                <w:sz w:val="12"/>
              </w:rPr>
            </w:pPr>
          </w:p>
        </w:tc>
      </w:tr>
      <w:tr>
        <w:trPr>
          <w:trHeight w:val="177" w:hRule="atLeast"/>
        </w:trPr>
        <w:tc>
          <w:tcPr>
            <w:tcW w:w="2568" w:type="dxa"/>
          </w:tcPr>
          <w:p>
            <w:pPr>
              <w:pStyle w:val="TableParagraph"/>
              <w:spacing w:line="145" w:lineRule="exact" w:before="12"/>
              <w:ind w:left="32"/>
              <w:rPr>
                <w:sz w:val="14"/>
              </w:rPr>
            </w:pPr>
            <w:r>
              <w:rPr>
                <w:sz w:val="14"/>
              </w:rPr>
              <w:t>A. BEGINNING CASH</w:t>
            </w:r>
          </w:p>
        </w:tc>
        <w:tc>
          <w:tcPr>
            <w:tcW w:w="772" w:type="dxa"/>
          </w:tcPr>
          <w:p>
            <w:pPr>
              <w:pStyle w:val="TableParagraph"/>
              <w:rPr>
                <w:rFonts w:ascii="Times New Roman"/>
                <w:sz w:val="10"/>
              </w:rPr>
            </w:pPr>
          </w:p>
        </w:tc>
        <w:tc>
          <w:tcPr>
            <w:tcW w:w="1174" w:type="dxa"/>
            <w:shd w:val="clear" w:color="auto" w:fill="BFBFBF"/>
          </w:tcPr>
          <w:p>
            <w:pPr>
              <w:pStyle w:val="TableParagraph"/>
              <w:rPr>
                <w:rFonts w:ascii="Times New Roman"/>
                <w:sz w:val="10"/>
              </w:rPr>
            </w:pPr>
          </w:p>
        </w:tc>
        <w:tc>
          <w:tcPr>
            <w:tcW w:w="1174" w:type="dxa"/>
          </w:tcPr>
          <w:p>
            <w:pPr>
              <w:pStyle w:val="TableParagraph"/>
              <w:spacing w:line="124" w:lineRule="exact" w:before="34"/>
              <w:ind w:right="28"/>
              <w:jc w:val="right"/>
              <w:rPr>
                <w:sz w:val="12"/>
              </w:rPr>
            </w:pPr>
            <w:r>
              <w:rPr>
                <w:w w:val="105"/>
                <w:sz w:val="12"/>
              </w:rPr>
              <w:t>2,691,942.00</w:t>
            </w:r>
          </w:p>
        </w:tc>
        <w:tc>
          <w:tcPr>
            <w:tcW w:w="1273" w:type="dxa"/>
          </w:tcPr>
          <w:p>
            <w:pPr>
              <w:pStyle w:val="TableParagraph"/>
              <w:spacing w:line="124" w:lineRule="exact" w:before="34"/>
              <w:ind w:right="128"/>
              <w:jc w:val="right"/>
              <w:rPr>
                <w:sz w:val="12"/>
              </w:rPr>
            </w:pPr>
            <w:r>
              <w:rPr>
                <w:w w:val="105"/>
                <w:sz w:val="12"/>
              </w:rPr>
              <w:t>2,856,117.00</w:t>
            </w:r>
          </w:p>
        </w:tc>
        <w:tc>
          <w:tcPr>
            <w:tcW w:w="1211" w:type="dxa"/>
          </w:tcPr>
          <w:p>
            <w:pPr>
              <w:pStyle w:val="TableParagraph"/>
              <w:spacing w:line="124" w:lineRule="exact" w:before="34"/>
              <w:ind w:right="165"/>
              <w:jc w:val="right"/>
              <w:rPr>
                <w:sz w:val="12"/>
              </w:rPr>
            </w:pPr>
            <w:r>
              <w:rPr>
                <w:w w:val="105"/>
                <w:sz w:val="12"/>
              </w:rPr>
              <w:t>2,796,935.00</w:t>
            </w:r>
          </w:p>
        </w:tc>
        <w:tc>
          <w:tcPr>
            <w:tcW w:w="1146" w:type="dxa"/>
          </w:tcPr>
          <w:p>
            <w:pPr>
              <w:pStyle w:val="TableParagraph"/>
              <w:spacing w:line="124" w:lineRule="exact" w:before="34"/>
              <w:ind w:right="137"/>
              <w:jc w:val="right"/>
              <w:rPr>
                <w:sz w:val="12"/>
              </w:rPr>
            </w:pPr>
            <w:r>
              <w:rPr>
                <w:w w:val="105"/>
                <w:sz w:val="12"/>
              </w:rPr>
              <w:t>2,846,440.00</w:t>
            </w:r>
          </w:p>
        </w:tc>
        <w:tc>
          <w:tcPr>
            <w:tcW w:w="1065" w:type="dxa"/>
          </w:tcPr>
          <w:p>
            <w:pPr>
              <w:pStyle w:val="TableParagraph"/>
              <w:spacing w:line="124" w:lineRule="exact" w:before="34"/>
              <w:ind w:right="29"/>
              <w:jc w:val="right"/>
              <w:rPr>
                <w:sz w:val="12"/>
              </w:rPr>
            </w:pPr>
            <w:r>
              <w:rPr>
                <w:w w:val="105"/>
                <w:sz w:val="12"/>
              </w:rPr>
              <w:t>2,603,310.00</w:t>
            </w:r>
          </w:p>
        </w:tc>
        <w:tc>
          <w:tcPr>
            <w:tcW w:w="1321" w:type="dxa"/>
          </w:tcPr>
          <w:p>
            <w:pPr>
              <w:pStyle w:val="TableParagraph"/>
              <w:spacing w:line="124" w:lineRule="exact" w:before="34"/>
              <w:ind w:right="176"/>
              <w:jc w:val="right"/>
              <w:rPr>
                <w:sz w:val="12"/>
              </w:rPr>
            </w:pPr>
            <w:r>
              <w:rPr>
                <w:w w:val="105"/>
                <w:sz w:val="12"/>
              </w:rPr>
              <w:t>2,350,023.00</w:t>
            </w:r>
          </w:p>
        </w:tc>
        <w:tc>
          <w:tcPr>
            <w:tcW w:w="1026" w:type="dxa"/>
          </w:tcPr>
          <w:p>
            <w:pPr>
              <w:pStyle w:val="TableParagraph"/>
              <w:spacing w:line="124" w:lineRule="exact" w:before="34"/>
              <w:ind w:right="29"/>
              <w:jc w:val="right"/>
              <w:rPr>
                <w:sz w:val="12"/>
              </w:rPr>
            </w:pPr>
            <w:r>
              <w:rPr>
                <w:w w:val="105"/>
                <w:sz w:val="12"/>
              </w:rPr>
              <w:t>2,380,115.00</w:t>
            </w:r>
          </w:p>
        </w:tc>
        <w:tc>
          <w:tcPr>
            <w:tcW w:w="1176" w:type="dxa"/>
          </w:tcPr>
          <w:p>
            <w:pPr>
              <w:pStyle w:val="TableParagraph"/>
              <w:spacing w:line="124" w:lineRule="exact" w:before="34"/>
              <w:ind w:right="31"/>
              <w:jc w:val="right"/>
              <w:rPr>
                <w:sz w:val="12"/>
              </w:rPr>
            </w:pPr>
            <w:r>
              <w:rPr>
                <w:w w:val="105"/>
                <w:sz w:val="12"/>
              </w:rPr>
              <w:t>2,510,899.00</w:t>
            </w:r>
          </w:p>
        </w:tc>
      </w:tr>
      <w:tr>
        <w:trPr>
          <w:trHeight w:val="177" w:hRule="atLeast"/>
        </w:trPr>
        <w:tc>
          <w:tcPr>
            <w:tcW w:w="2568" w:type="dxa"/>
          </w:tcPr>
          <w:p>
            <w:pPr>
              <w:pStyle w:val="TableParagraph"/>
              <w:spacing w:line="145" w:lineRule="exact" w:before="12"/>
              <w:ind w:left="32"/>
              <w:rPr>
                <w:sz w:val="14"/>
              </w:rPr>
            </w:pPr>
            <w:r>
              <w:rPr>
                <w:sz w:val="14"/>
              </w:rPr>
              <w:t>B. RECEIPTS</w:t>
            </w:r>
          </w:p>
        </w:tc>
        <w:tc>
          <w:tcPr>
            <w:tcW w:w="772" w:type="dxa"/>
          </w:tcPr>
          <w:p>
            <w:pPr>
              <w:pStyle w:val="TableParagraph"/>
              <w:rPr>
                <w:rFonts w:ascii="Times New Roman"/>
                <w:sz w:val="10"/>
              </w:rPr>
            </w:pPr>
          </w:p>
        </w:tc>
        <w:tc>
          <w:tcPr>
            <w:tcW w:w="1174" w:type="dxa"/>
          </w:tcPr>
          <w:p>
            <w:pPr>
              <w:pStyle w:val="TableParagraph"/>
              <w:rPr>
                <w:rFonts w:ascii="Times New Roman"/>
                <w:sz w:val="10"/>
              </w:rPr>
            </w:pPr>
          </w:p>
        </w:tc>
        <w:tc>
          <w:tcPr>
            <w:tcW w:w="1174" w:type="dxa"/>
          </w:tcPr>
          <w:p>
            <w:pPr>
              <w:pStyle w:val="TableParagraph"/>
              <w:rPr>
                <w:rFonts w:ascii="Times New Roman"/>
                <w:sz w:val="10"/>
              </w:rPr>
            </w:pPr>
          </w:p>
        </w:tc>
        <w:tc>
          <w:tcPr>
            <w:tcW w:w="1273" w:type="dxa"/>
          </w:tcPr>
          <w:p>
            <w:pPr>
              <w:pStyle w:val="TableParagraph"/>
              <w:rPr>
                <w:rFonts w:ascii="Times New Roman"/>
                <w:sz w:val="10"/>
              </w:rPr>
            </w:pPr>
          </w:p>
        </w:tc>
        <w:tc>
          <w:tcPr>
            <w:tcW w:w="1211" w:type="dxa"/>
          </w:tcPr>
          <w:p>
            <w:pPr>
              <w:pStyle w:val="TableParagraph"/>
              <w:rPr>
                <w:rFonts w:ascii="Times New Roman"/>
                <w:sz w:val="10"/>
              </w:rPr>
            </w:pPr>
          </w:p>
        </w:tc>
        <w:tc>
          <w:tcPr>
            <w:tcW w:w="1146" w:type="dxa"/>
          </w:tcPr>
          <w:p>
            <w:pPr>
              <w:pStyle w:val="TableParagraph"/>
              <w:rPr>
                <w:rFonts w:ascii="Times New Roman"/>
                <w:sz w:val="10"/>
              </w:rPr>
            </w:pPr>
          </w:p>
        </w:tc>
        <w:tc>
          <w:tcPr>
            <w:tcW w:w="1065" w:type="dxa"/>
          </w:tcPr>
          <w:p>
            <w:pPr>
              <w:pStyle w:val="TableParagraph"/>
              <w:rPr>
                <w:rFonts w:ascii="Times New Roman"/>
                <w:sz w:val="10"/>
              </w:rPr>
            </w:pPr>
          </w:p>
        </w:tc>
        <w:tc>
          <w:tcPr>
            <w:tcW w:w="1321" w:type="dxa"/>
          </w:tcPr>
          <w:p>
            <w:pPr>
              <w:pStyle w:val="TableParagraph"/>
              <w:rPr>
                <w:rFonts w:ascii="Times New Roman"/>
                <w:sz w:val="10"/>
              </w:rPr>
            </w:pPr>
          </w:p>
        </w:tc>
        <w:tc>
          <w:tcPr>
            <w:tcW w:w="1026" w:type="dxa"/>
          </w:tcPr>
          <w:p>
            <w:pPr>
              <w:pStyle w:val="TableParagraph"/>
              <w:rPr>
                <w:rFonts w:ascii="Times New Roman"/>
                <w:sz w:val="10"/>
              </w:rPr>
            </w:pPr>
          </w:p>
        </w:tc>
        <w:tc>
          <w:tcPr>
            <w:tcW w:w="1176" w:type="dxa"/>
          </w:tcPr>
          <w:p>
            <w:pPr>
              <w:pStyle w:val="TableParagraph"/>
              <w:rPr>
                <w:rFonts w:ascii="Times New Roman"/>
                <w:sz w:val="10"/>
              </w:rPr>
            </w:pPr>
          </w:p>
        </w:tc>
      </w:tr>
      <w:tr>
        <w:trPr>
          <w:trHeight w:val="184" w:hRule="atLeast"/>
        </w:trPr>
        <w:tc>
          <w:tcPr>
            <w:tcW w:w="2568" w:type="dxa"/>
          </w:tcPr>
          <w:p>
            <w:pPr>
              <w:pStyle w:val="TableParagraph"/>
              <w:spacing w:line="152" w:lineRule="exact" w:before="12"/>
              <w:ind w:left="186"/>
              <w:rPr>
                <w:sz w:val="14"/>
              </w:rPr>
            </w:pPr>
            <w:r>
              <w:rPr>
                <w:sz w:val="14"/>
              </w:rPr>
              <w:t>LCFF/Revenue Limit Sources</w:t>
            </w:r>
          </w:p>
        </w:tc>
        <w:tc>
          <w:tcPr>
            <w:tcW w:w="772" w:type="dxa"/>
          </w:tcPr>
          <w:p>
            <w:pPr>
              <w:pStyle w:val="TableParagraph"/>
              <w:rPr>
                <w:rFonts w:ascii="Times New Roman"/>
                <w:sz w:val="12"/>
              </w:rPr>
            </w:pPr>
          </w:p>
        </w:tc>
        <w:tc>
          <w:tcPr>
            <w:tcW w:w="1174" w:type="dxa"/>
            <w:shd w:val="clear" w:color="auto" w:fill="BFBFBF"/>
          </w:tcPr>
          <w:p>
            <w:pPr>
              <w:pStyle w:val="TableParagraph"/>
              <w:rPr>
                <w:rFonts w:ascii="Times New Roman"/>
                <w:sz w:val="12"/>
              </w:rPr>
            </w:pPr>
          </w:p>
        </w:tc>
        <w:tc>
          <w:tcPr>
            <w:tcW w:w="1174" w:type="dxa"/>
          </w:tcPr>
          <w:p>
            <w:pPr>
              <w:pStyle w:val="TableParagraph"/>
              <w:rPr>
                <w:rFonts w:ascii="Times New Roman"/>
                <w:sz w:val="12"/>
              </w:rPr>
            </w:pPr>
          </w:p>
        </w:tc>
        <w:tc>
          <w:tcPr>
            <w:tcW w:w="1273" w:type="dxa"/>
          </w:tcPr>
          <w:p>
            <w:pPr>
              <w:pStyle w:val="TableParagraph"/>
              <w:rPr>
                <w:rFonts w:ascii="Times New Roman"/>
                <w:sz w:val="12"/>
              </w:rPr>
            </w:pPr>
          </w:p>
        </w:tc>
        <w:tc>
          <w:tcPr>
            <w:tcW w:w="1211" w:type="dxa"/>
          </w:tcPr>
          <w:p>
            <w:pPr>
              <w:pStyle w:val="TableParagraph"/>
              <w:rPr>
                <w:rFonts w:ascii="Times New Roman"/>
                <w:sz w:val="12"/>
              </w:rPr>
            </w:pPr>
          </w:p>
        </w:tc>
        <w:tc>
          <w:tcPr>
            <w:tcW w:w="1146" w:type="dxa"/>
          </w:tcPr>
          <w:p>
            <w:pPr>
              <w:pStyle w:val="TableParagraph"/>
              <w:rPr>
                <w:rFonts w:ascii="Times New Roman"/>
                <w:sz w:val="12"/>
              </w:rPr>
            </w:pPr>
          </w:p>
        </w:tc>
        <w:tc>
          <w:tcPr>
            <w:tcW w:w="1065" w:type="dxa"/>
          </w:tcPr>
          <w:p>
            <w:pPr>
              <w:pStyle w:val="TableParagraph"/>
              <w:rPr>
                <w:rFonts w:ascii="Times New Roman"/>
                <w:sz w:val="12"/>
              </w:rPr>
            </w:pPr>
          </w:p>
        </w:tc>
        <w:tc>
          <w:tcPr>
            <w:tcW w:w="1321" w:type="dxa"/>
          </w:tcPr>
          <w:p>
            <w:pPr>
              <w:pStyle w:val="TableParagraph"/>
              <w:rPr>
                <w:rFonts w:ascii="Times New Roman"/>
                <w:sz w:val="12"/>
              </w:rPr>
            </w:pPr>
          </w:p>
        </w:tc>
        <w:tc>
          <w:tcPr>
            <w:tcW w:w="1026" w:type="dxa"/>
          </w:tcPr>
          <w:p>
            <w:pPr>
              <w:pStyle w:val="TableParagraph"/>
              <w:rPr>
                <w:rFonts w:ascii="Times New Roman"/>
                <w:sz w:val="12"/>
              </w:rPr>
            </w:pPr>
          </w:p>
        </w:tc>
        <w:tc>
          <w:tcPr>
            <w:tcW w:w="1176" w:type="dxa"/>
          </w:tcPr>
          <w:p>
            <w:pPr>
              <w:pStyle w:val="TableParagraph"/>
              <w:rPr>
                <w:rFonts w:ascii="Times New Roman"/>
                <w:sz w:val="12"/>
              </w:rPr>
            </w:pPr>
          </w:p>
        </w:tc>
      </w:tr>
      <w:tr>
        <w:trPr>
          <w:trHeight w:val="177" w:hRule="atLeast"/>
        </w:trPr>
        <w:tc>
          <w:tcPr>
            <w:tcW w:w="2568" w:type="dxa"/>
          </w:tcPr>
          <w:p>
            <w:pPr>
              <w:pStyle w:val="TableParagraph"/>
              <w:spacing w:line="152" w:lineRule="exact" w:before="6"/>
              <w:ind w:left="455"/>
              <w:rPr>
                <w:sz w:val="14"/>
              </w:rPr>
            </w:pPr>
            <w:r>
              <w:rPr>
                <w:sz w:val="14"/>
              </w:rPr>
              <w:t>Principal Apportionment</w:t>
            </w:r>
          </w:p>
        </w:tc>
        <w:tc>
          <w:tcPr>
            <w:tcW w:w="772" w:type="dxa"/>
          </w:tcPr>
          <w:p>
            <w:pPr>
              <w:pStyle w:val="TableParagraph"/>
              <w:spacing w:line="131" w:lineRule="exact" w:before="27"/>
              <w:ind w:left="76"/>
              <w:rPr>
                <w:sz w:val="12"/>
              </w:rPr>
            </w:pPr>
            <w:r>
              <w:rPr>
                <w:w w:val="105"/>
                <w:sz w:val="12"/>
              </w:rPr>
              <w:t>8010-8019</w:t>
            </w:r>
          </w:p>
        </w:tc>
        <w:tc>
          <w:tcPr>
            <w:tcW w:w="1174" w:type="dxa"/>
            <w:shd w:val="clear" w:color="auto" w:fill="BFBFBF"/>
          </w:tcPr>
          <w:p>
            <w:pPr>
              <w:pStyle w:val="TableParagraph"/>
              <w:rPr>
                <w:rFonts w:ascii="Times New Roman"/>
                <w:sz w:val="10"/>
              </w:rPr>
            </w:pPr>
          </w:p>
        </w:tc>
        <w:tc>
          <w:tcPr>
            <w:tcW w:w="1174" w:type="dxa"/>
          </w:tcPr>
          <w:p>
            <w:pPr>
              <w:pStyle w:val="TableParagraph"/>
              <w:spacing w:line="131" w:lineRule="exact" w:before="27"/>
              <w:ind w:right="28"/>
              <w:jc w:val="right"/>
              <w:rPr>
                <w:sz w:val="12"/>
              </w:rPr>
            </w:pPr>
            <w:r>
              <w:rPr>
                <w:w w:val="105"/>
                <w:sz w:val="12"/>
              </w:rPr>
              <w:t>162,685.00</w:t>
            </w:r>
          </w:p>
        </w:tc>
        <w:tc>
          <w:tcPr>
            <w:tcW w:w="1273" w:type="dxa"/>
          </w:tcPr>
          <w:p>
            <w:pPr>
              <w:pStyle w:val="TableParagraph"/>
              <w:spacing w:line="131" w:lineRule="exact" w:before="27"/>
              <w:ind w:right="128"/>
              <w:jc w:val="right"/>
              <w:rPr>
                <w:sz w:val="12"/>
              </w:rPr>
            </w:pPr>
            <w:r>
              <w:rPr>
                <w:w w:val="105"/>
                <w:sz w:val="12"/>
              </w:rPr>
              <w:t>162,685.00</w:t>
            </w:r>
          </w:p>
        </w:tc>
        <w:tc>
          <w:tcPr>
            <w:tcW w:w="1211" w:type="dxa"/>
          </w:tcPr>
          <w:p>
            <w:pPr>
              <w:pStyle w:val="TableParagraph"/>
              <w:spacing w:line="131" w:lineRule="exact" w:before="27"/>
              <w:ind w:right="165"/>
              <w:jc w:val="right"/>
              <w:rPr>
                <w:sz w:val="12"/>
              </w:rPr>
            </w:pPr>
            <w:r>
              <w:rPr>
                <w:w w:val="105"/>
                <w:sz w:val="12"/>
              </w:rPr>
              <w:t>228,051.00</w:t>
            </w:r>
          </w:p>
        </w:tc>
        <w:tc>
          <w:tcPr>
            <w:tcW w:w="1146" w:type="dxa"/>
          </w:tcPr>
          <w:p>
            <w:pPr>
              <w:pStyle w:val="TableParagraph"/>
              <w:spacing w:line="131" w:lineRule="exact" w:before="27"/>
              <w:ind w:right="138"/>
              <w:jc w:val="right"/>
              <w:rPr>
                <w:sz w:val="12"/>
              </w:rPr>
            </w:pPr>
            <w:r>
              <w:rPr>
                <w:w w:val="105"/>
                <w:sz w:val="12"/>
              </w:rPr>
              <w:t>162,685.00</w:t>
            </w:r>
          </w:p>
        </w:tc>
        <w:tc>
          <w:tcPr>
            <w:tcW w:w="1065" w:type="dxa"/>
          </w:tcPr>
          <w:p>
            <w:pPr>
              <w:pStyle w:val="TableParagraph"/>
              <w:spacing w:line="131" w:lineRule="exact" w:before="27"/>
              <w:ind w:right="28"/>
              <w:jc w:val="right"/>
              <w:rPr>
                <w:sz w:val="12"/>
              </w:rPr>
            </w:pPr>
            <w:r>
              <w:rPr>
                <w:w w:val="105"/>
                <w:sz w:val="12"/>
              </w:rPr>
              <w:t>0.00</w:t>
            </w:r>
          </w:p>
        </w:tc>
        <w:tc>
          <w:tcPr>
            <w:tcW w:w="1321" w:type="dxa"/>
          </w:tcPr>
          <w:p>
            <w:pPr>
              <w:pStyle w:val="TableParagraph"/>
              <w:spacing w:line="131" w:lineRule="exact" w:before="27"/>
              <w:ind w:right="176"/>
              <w:jc w:val="right"/>
              <w:rPr>
                <w:sz w:val="12"/>
              </w:rPr>
            </w:pPr>
            <w:r>
              <w:rPr>
                <w:w w:val="105"/>
                <w:sz w:val="12"/>
              </w:rPr>
              <w:t>65,366.00</w:t>
            </w:r>
          </w:p>
        </w:tc>
        <w:tc>
          <w:tcPr>
            <w:tcW w:w="1026" w:type="dxa"/>
          </w:tcPr>
          <w:p>
            <w:pPr>
              <w:pStyle w:val="TableParagraph"/>
              <w:spacing w:line="131" w:lineRule="exact" w:before="27"/>
              <w:ind w:right="28"/>
              <w:jc w:val="right"/>
              <w:rPr>
                <w:sz w:val="12"/>
              </w:rPr>
            </w:pPr>
            <w:r>
              <w:rPr>
                <w:w w:val="105"/>
                <w:sz w:val="12"/>
              </w:rPr>
              <w:t>65,074.00</w:t>
            </w:r>
          </w:p>
        </w:tc>
        <w:tc>
          <w:tcPr>
            <w:tcW w:w="1176" w:type="dxa"/>
          </w:tcPr>
          <w:p>
            <w:pPr>
              <w:pStyle w:val="TableParagraph"/>
              <w:spacing w:line="131" w:lineRule="exact" w:before="27"/>
              <w:ind w:right="30"/>
              <w:jc w:val="right"/>
              <w:rPr>
                <w:sz w:val="12"/>
              </w:rPr>
            </w:pPr>
            <w:r>
              <w:rPr>
                <w:w w:val="105"/>
                <w:sz w:val="12"/>
              </w:rPr>
              <w:t>73,750.00</w:t>
            </w:r>
          </w:p>
        </w:tc>
      </w:tr>
      <w:tr>
        <w:trPr>
          <w:trHeight w:val="177" w:hRule="atLeast"/>
        </w:trPr>
        <w:tc>
          <w:tcPr>
            <w:tcW w:w="2568" w:type="dxa"/>
          </w:tcPr>
          <w:p>
            <w:pPr>
              <w:pStyle w:val="TableParagraph"/>
              <w:spacing w:line="152" w:lineRule="exact" w:before="6"/>
              <w:ind w:left="455"/>
              <w:rPr>
                <w:sz w:val="14"/>
              </w:rPr>
            </w:pPr>
            <w:r>
              <w:rPr>
                <w:sz w:val="14"/>
              </w:rPr>
              <w:t>Property Taxes</w:t>
            </w:r>
          </w:p>
        </w:tc>
        <w:tc>
          <w:tcPr>
            <w:tcW w:w="772" w:type="dxa"/>
          </w:tcPr>
          <w:p>
            <w:pPr>
              <w:pStyle w:val="TableParagraph"/>
              <w:spacing w:line="131" w:lineRule="exact" w:before="27"/>
              <w:ind w:left="76"/>
              <w:rPr>
                <w:sz w:val="12"/>
              </w:rPr>
            </w:pPr>
            <w:r>
              <w:rPr>
                <w:w w:val="105"/>
                <w:sz w:val="12"/>
              </w:rPr>
              <w:t>8020-8079</w:t>
            </w:r>
          </w:p>
        </w:tc>
        <w:tc>
          <w:tcPr>
            <w:tcW w:w="1174" w:type="dxa"/>
            <w:shd w:val="clear" w:color="auto" w:fill="BFBFBF"/>
          </w:tcPr>
          <w:p>
            <w:pPr>
              <w:pStyle w:val="TableParagraph"/>
              <w:rPr>
                <w:rFonts w:ascii="Times New Roman"/>
                <w:sz w:val="10"/>
              </w:rPr>
            </w:pPr>
          </w:p>
        </w:tc>
        <w:tc>
          <w:tcPr>
            <w:tcW w:w="1174" w:type="dxa"/>
          </w:tcPr>
          <w:p>
            <w:pPr>
              <w:pStyle w:val="TableParagraph"/>
              <w:spacing w:line="131" w:lineRule="exact" w:before="27"/>
              <w:ind w:right="28"/>
              <w:jc w:val="right"/>
              <w:rPr>
                <w:sz w:val="12"/>
              </w:rPr>
            </w:pPr>
            <w:r>
              <w:rPr>
                <w:w w:val="105"/>
                <w:sz w:val="12"/>
              </w:rPr>
              <w:t>0.00</w:t>
            </w:r>
          </w:p>
        </w:tc>
        <w:tc>
          <w:tcPr>
            <w:tcW w:w="1273" w:type="dxa"/>
          </w:tcPr>
          <w:p>
            <w:pPr>
              <w:pStyle w:val="TableParagraph"/>
              <w:spacing w:line="131" w:lineRule="exact" w:before="27"/>
              <w:ind w:right="127"/>
              <w:jc w:val="right"/>
              <w:rPr>
                <w:sz w:val="12"/>
              </w:rPr>
            </w:pPr>
            <w:r>
              <w:rPr>
                <w:w w:val="105"/>
                <w:sz w:val="12"/>
              </w:rPr>
              <w:t>0.00</w:t>
            </w:r>
          </w:p>
        </w:tc>
        <w:tc>
          <w:tcPr>
            <w:tcW w:w="1211" w:type="dxa"/>
          </w:tcPr>
          <w:p>
            <w:pPr>
              <w:pStyle w:val="TableParagraph"/>
              <w:spacing w:line="131" w:lineRule="exact" w:before="27"/>
              <w:ind w:right="164"/>
              <w:jc w:val="right"/>
              <w:rPr>
                <w:sz w:val="12"/>
              </w:rPr>
            </w:pPr>
            <w:r>
              <w:rPr>
                <w:w w:val="105"/>
                <w:sz w:val="12"/>
              </w:rPr>
              <w:t>0.00</w:t>
            </w:r>
          </w:p>
        </w:tc>
        <w:tc>
          <w:tcPr>
            <w:tcW w:w="1146" w:type="dxa"/>
          </w:tcPr>
          <w:p>
            <w:pPr>
              <w:pStyle w:val="TableParagraph"/>
              <w:spacing w:line="131" w:lineRule="exact" w:before="27"/>
              <w:ind w:right="137"/>
              <w:jc w:val="right"/>
              <w:rPr>
                <w:sz w:val="12"/>
              </w:rPr>
            </w:pPr>
            <w:r>
              <w:rPr>
                <w:w w:val="105"/>
                <w:sz w:val="12"/>
              </w:rPr>
              <w:t>0.00</w:t>
            </w:r>
          </w:p>
        </w:tc>
        <w:tc>
          <w:tcPr>
            <w:tcW w:w="1065" w:type="dxa"/>
          </w:tcPr>
          <w:p>
            <w:pPr>
              <w:pStyle w:val="TableParagraph"/>
              <w:spacing w:line="131" w:lineRule="exact" w:before="27"/>
              <w:ind w:right="28"/>
              <w:jc w:val="right"/>
              <w:rPr>
                <w:sz w:val="12"/>
              </w:rPr>
            </w:pPr>
            <w:r>
              <w:rPr>
                <w:w w:val="105"/>
                <w:sz w:val="12"/>
              </w:rPr>
              <w:t>0.00</w:t>
            </w:r>
          </w:p>
        </w:tc>
        <w:tc>
          <w:tcPr>
            <w:tcW w:w="1321" w:type="dxa"/>
          </w:tcPr>
          <w:p>
            <w:pPr>
              <w:pStyle w:val="TableParagraph"/>
              <w:spacing w:line="131" w:lineRule="exact" w:before="27"/>
              <w:ind w:right="176"/>
              <w:jc w:val="right"/>
              <w:rPr>
                <w:sz w:val="12"/>
              </w:rPr>
            </w:pPr>
            <w:r>
              <w:rPr>
                <w:w w:val="105"/>
                <w:sz w:val="12"/>
              </w:rPr>
              <w:t>39,825.00</w:t>
            </w:r>
          </w:p>
        </w:tc>
        <w:tc>
          <w:tcPr>
            <w:tcW w:w="1026" w:type="dxa"/>
          </w:tcPr>
          <w:p>
            <w:pPr>
              <w:pStyle w:val="TableParagraph"/>
              <w:spacing w:line="131" w:lineRule="exact" w:before="27"/>
              <w:ind w:right="29"/>
              <w:jc w:val="right"/>
              <w:rPr>
                <w:sz w:val="12"/>
              </w:rPr>
            </w:pPr>
            <w:r>
              <w:rPr>
                <w:w w:val="105"/>
                <w:sz w:val="12"/>
              </w:rPr>
              <w:t>296,579.00</w:t>
            </w:r>
          </w:p>
        </w:tc>
        <w:tc>
          <w:tcPr>
            <w:tcW w:w="1176" w:type="dxa"/>
          </w:tcPr>
          <w:p>
            <w:pPr>
              <w:pStyle w:val="TableParagraph"/>
              <w:spacing w:line="131" w:lineRule="exact" w:before="27"/>
              <w:ind w:right="30"/>
              <w:jc w:val="right"/>
              <w:rPr>
                <w:sz w:val="12"/>
              </w:rPr>
            </w:pPr>
            <w:r>
              <w:rPr>
                <w:w w:val="105"/>
                <w:sz w:val="12"/>
              </w:rPr>
              <w:t>0.00</w:t>
            </w:r>
          </w:p>
        </w:tc>
      </w:tr>
      <w:tr>
        <w:trPr>
          <w:trHeight w:val="177" w:hRule="atLeast"/>
        </w:trPr>
        <w:tc>
          <w:tcPr>
            <w:tcW w:w="2568" w:type="dxa"/>
          </w:tcPr>
          <w:p>
            <w:pPr>
              <w:pStyle w:val="TableParagraph"/>
              <w:spacing w:line="152" w:lineRule="exact" w:before="6"/>
              <w:ind w:left="455"/>
              <w:rPr>
                <w:sz w:val="14"/>
              </w:rPr>
            </w:pPr>
            <w:r>
              <w:rPr>
                <w:sz w:val="14"/>
              </w:rPr>
              <w:t>Miscellaneous Funds</w:t>
            </w:r>
          </w:p>
        </w:tc>
        <w:tc>
          <w:tcPr>
            <w:tcW w:w="772" w:type="dxa"/>
          </w:tcPr>
          <w:p>
            <w:pPr>
              <w:pStyle w:val="TableParagraph"/>
              <w:spacing w:line="131" w:lineRule="exact" w:before="27"/>
              <w:ind w:left="76"/>
              <w:rPr>
                <w:sz w:val="12"/>
              </w:rPr>
            </w:pPr>
            <w:r>
              <w:rPr>
                <w:w w:val="105"/>
                <w:sz w:val="12"/>
              </w:rPr>
              <w:t>8080-8099</w:t>
            </w:r>
          </w:p>
        </w:tc>
        <w:tc>
          <w:tcPr>
            <w:tcW w:w="1174" w:type="dxa"/>
            <w:shd w:val="clear" w:color="auto" w:fill="BFBFBF"/>
          </w:tcPr>
          <w:p>
            <w:pPr>
              <w:pStyle w:val="TableParagraph"/>
              <w:rPr>
                <w:rFonts w:ascii="Times New Roman"/>
                <w:sz w:val="10"/>
              </w:rPr>
            </w:pPr>
          </w:p>
        </w:tc>
        <w:tc>
          <w:tcPr>
            <w:tcW w:w="1174" w:type="dxa"/>
          </w:tcPr>
          <w:p>
            <w:pPr>
              <w:pStyle w:val="TableParagraph"/>
              <w:spacing w:line="131" w:lineRule="exact" w:before="27"/>
              <w:ind w:right="28"/>
              <w:jc w:val="right"/>
              <w:rPr>
                <w:sz w:val="12"/>
              </w:rPr>
            </w:pPr>
            <w:r>
              <w:rPr>
                <w:w w:val="105"/>
                <w:sz w:val="12"/>
              </w:rPr>
              <w:t>0.00</w:t>
            </w:r>
          </w:p>
        </w:tc>
        <w:tc>
          <w:tcPr>
            <w:tcW w:w="1273" w:type="dxa"/>
          </w:tcPr>
          <w:p>
            <w:pPr>
              <w:pStyle w:val="TableParagraph"/>
              <w:spacing w:line="131" w:lineRule="exact" w:before="27"/>
              <w:ind w:right="127"/>
              <w:jc w:val="right"/>
              <w:rPr>
                <w:sz w:val="12"/>
              </w:rPr>
            </w:pPr>
            <w:r>
              <w:rPr>
                <w:w w:val="105"/>
                <w:sz w:val="12"/>
              </w:rPr>
              <w:t>0.00</w:t>
            </w:r>
          </w:p>
        </w:tc>
        <w:tc>
          <w:tcPr>
            <w:tcW w:w="1211" w:type="dxa"/>
          </w:tcPr>
          <w:p>
            <w:pPr>
              <w:pStyle w:val="TableParagraph"/>
              <w:spacing w:line="131" w:lineRule="exact" w:before="27"/>
              <w:ind w:right="167"/>
              <w:jc w:val="right"/>
              <w:rPr>
                <w:sz w:val="12"/>
              </w:rPr>
            </w:pPr>
            <w:r>
              <w:rPr>
                <w:w w:val="105"/>
                <w:sz w:val="12"/>
              </w:rPr>
              <w:t>(33,463.00)</w:t>
            </w:r>
          </w:p>
        </w:tc>
        <w:tc>
          <w:tcPr>
            <w:tcW w:w="1146" w:type="dxa"/>
          </w:tcPr>
          <w:p>
            <w:pPr>
              <w:pStyle w:val="TableParagraph"/>
              <w:spacing w:line="131" w:lineRule="exact" w:before="27"/>
              <w:ind w:right="139"/>
              <w:jc w:val="right"/>
              <w:rPr>
                <w:sz w:val="12"/>
              </w:rPr>
            </w:pPr>
            <w:r>
              <w:rPr>
                <w:w w:val="105"/>
                <w:sz w:val="12"/>
              </w:rPr>
              <w:t>(105,415.00)</w:t>
            </w:r>
          </w:p>
        </w:tc>
        <w:tc>
          <w:tcPr>
            <w:tcW w:w="1065" w:type="dxa"/>
          </w:tcPr>
          <w:p>
            <w:pPr>
              <w:pStyle w:val="TableParagraph"/>
              <w:spacing w:line="131" w:lineRule="exact" w:before="27"/>
              <w:ind w:right="30"/>
              <w:jc w:val="right"/>
              <w:rPr>
                <w:sz w:val="12"/>
              </w:rPr>
            </w:pPr>
            <w:r>
              <w:rPr>
                <w:w w:val="105"/>
                <w:sz w:val="12"/>
              </w:rPr>
              <w:t>(117,925.00)</w:t>
            </w:r>
          </w:p>
        </w:tc>
        <w:tc>
          <w:tcPr>
            <w:tcW w:w="1321" w:type="dxa"/>
          </w:tcPr>
          <w:p>
            <w:pPr>
              <w:pStyle w:val="TableParagraph"/>
              <w:spacing w:line="131" w:lineRule="exact" w:before="27"/>
              <w:ind w:right="178"/>
              <w:jc w:val="right"/>
              <w:rPr>
                <w:sz w:val="12"/>
              </w:rPr>
            </w:pPr>
            <w:r>
              <w:rPr>
                <w:w w:val="105"/>
                <w:sz w:val="12"/>
              </w:rPr>
              <w:t>(18,812.00)</w:t>
            </w:r>
          </w:p>
        </w:tc>
        <w:tc>
          <w:tcPr>
            <w:tcW w:w="1026" w:type="dxa"/>
          </w:tcPr>
          <w:p>
            <w:pPr>
              <w:pStyle w:val="TableParagraph"/>
              <w:spacing w:line="131" w:lineRule="exact" w:before="27"/>
              <w:ind w:right="30"/>
              <w:jc w:val="right"/>
              <w:rPr>
                <w:sz w:val="12"/>
              </w:rPr>
            </w:pPr>
            <w:r>
              <w:rPr>
                <w:w w:val="105"/>
                <w:sz w:val="12"/>
              </w:rPr>
              <w:t>(56,600.00)</w:t>
            </w:r>
          </w:p>
        </w:tc>
        <w:tc>
          <w:tcPr>
            <w:tcW w:w="1176" w:type="dxa"/>
          </w:tcPr>
          <w:p>
            <w:pPr>
              <w:pStyle w:val="TableParagraph"/>
              <w:spacing w:line="131" w:lineRule="exact" w:before="27"/>
              <w:ind w:right="33"/>
              <w:jc w:val="right"/>
              <w:rPr>
                <w:sz w:val="12"/>
              </w:rPr>
            </w:pPr>
            <w:r>
              <w:rPr>
                <w:w w:val="105"/>
                <w:sz w:val="12"/>
              </w:rPr>
              <w:t>(95,941.00)</w:t>
            </w:r>
          </w:p>
        </w:tc>
      </w:tr>
      <w:tr>
        <w:trPr>
          <w:trHeight w:val="177" w:hRule="atLeast"/>
        </w:trPr>
        <w:tc>
          <w:tcPr>
            <w:tcW w:w="2568" w:type="dxa"/>
          </w:tcPr>
          <w:p>
            <w:pPr>
              <w:pStyle w:val="TableParagraph"/>
              <w:spacing w:line="152" w:lineRule="exact" w:before="6"/>
              <w:ind w:left="186"/>
              <w:rPr>
                <w:sz w:val="14"/>
              </w:rPr>
            </w:pPr>
            <w:r>
              <w:rPr>
                <w:sz w:val="14"/>
              </w:rPr>
              <w:t>Federal Revenue</w:t>
            </w:r>
          </w:p>
        </w:tc>
        <w:tc>
          <w:tcPr>
            <w:tcW w:w="772" w:type="dxa"/>
          </w:tcPr>
          <w:p>
            <w:pPr>
              <w:pStyle w:val="TableParagraph"/>
              <w:spacing w:line="131" w:lineRule="exact" w:before="27"/>
              <w:ind w:left="76"/>
              <w:rPr>
                <w:sz w:val="12"/>
              </w:rPr>
            </w:pPr>
            <w:r>
              <w:rPr>
                <w:w w:val="105"/>
                <w:sz w:val="12"/>
              </w:rPr>
              <w:t>8100-8299</w:t>
            </w:r>
          </w:p>
        </w:tc>
        <w:tc>
          <w:tcPr>
            <w:tcW w:w="1174" w:type="dxa"/>
            <w:shd w:val="clear" w:color="auto" w:fill="BFBFBF"/>
          </w:tcPr>
          <w:p>
            <w:pPr>
              <w:pStyle w:val="TableParagraph"/>
              <w:rPr>
                <w:rFonts w:ascii="Times New Roman"/>
                <w:sz w:val="10"/>
              </w:rPr>
            </w:pPr>
          </w:p>
        </w:tc>
        <w:tc>
          <w:tcPr>
            <w:tcW w:w="1174" w:type="dxa"/>
          </w:tcPr>
          <w:p>
            <w:pPr>
              <w:pStyle w:val="TableParagraph"/>
              <w:spacing w:line="131" w:lineRule="exact" w:before="27"/>
              <w:ind w:right="28"/>
              <w:jc w:val="right"/>
              <w:rPr>
                <w:sz w:val="12"/>
              </w:rPr>
            </w:pPr>
            <w:r>
              <w:rPr>
                <w:w w:val="105"/>
                <w:sz w:val="12"/>
              </w:rPr>
              <w:t>0.00</w:t>
            </w:r>
          </w:p>
        </w:tc>
        <w:tc>
          <w:tcPr>
            <w:tcW w:w="1273" w:type="dxa"/>
          </w:tcPr>
          <w:p>
            <w:pPr>
              <w:pStyle w:val="TableParagraph"/>
              <w:spacing w:line="131" w:lineRule="exact" w:before="27"/>
              <w:ind w:right="127"/>
              <w:jc w:val="right"/>
              <w:rPr>
                <w:sz w:val="12"/>
              </w:rPr>
            </w:pPr>
            <w:r>
              <w:rPr>
                <w:w w:val="105"/>
                <w:sz w:val="12"/>
              </w:rPr>
              <w:t>0.00</w:t>
            </w:r>
          </w:p>
        </w:tc>
        <w:tc>
          <w:tcPr>
            <w:tcW w:w="1211" w:type="dxa"/>
          </w:tcPr>
          <w:p>
            <w:pPr>
              <w:pStyle w:val="TableParagraph"/>
              <w:spacing w:line="131" w:lineRule="exact" w:before="27"/>
              <w:ind w:right="164"/>
              <w:jc w:val="right"/>
              <w:rPr>
                <w:sz w:val="12"/>
              </w:rPr>
            </w:pPr>
            <w:r>
              <w:rPr>
                <w:w w:val="105"/>
                <w:sz w:val="12"/>
              </w:rPr>
              <w:t>11,716.00</w:t>
            </w:r>
          </w:p>
        </w:tc>
        <w:tc>
          <w:tcPr>
            <w:tcW w:w="1146" w:type="dxa"/>
          </w:tcPr>
          <w:p>
            <w:pPr>
              <w:pStyle w:val="TableParagraph"/>
              <w:spacing w:line="131" w:lineRule="exact" w:before="27"/>
              <w:ind w:right="137"/>
              <w:jc w:val="right"/>
              <w:rPr>
                <w:sz w:val="12"/>
              </w:rPr>
            </w:pPr>
            <w:r>
              <w:rPr>
                <w:w w:val="105"/>
                <w:sz w:val="12"/>
              </w:rPr>
              <w:t>1,636.00</w:t>
            </w:r>
          </w:p>
        </w:tc>
        <w:tc>
          <w:tcPr>
            <w:tcW w:w="1065" w:type="dxa"/>
          </w:tcPr>
          <w:p>
            <w:pPr>
              <w:pStyle w:val="TableParagraph"/>
              <w:spacing w:line="131" w:lineRule="exact" w:before="27"/>
              <w:ind w:right="29"/>
              <w:jc w:val="right"/>
              <w:rPr>
                <w:sz w:val="12"/>
              </w:rPr>
            </w:pPr>
            <w:r>
              <w:rPr>
                <w:w w:val="105"/>
                <w:sz w:val="12"/>
              </w:rPr>
              <w:t>3,081.00</w:t>
            </w:r>
          </w:p>
        </w:tc>
        <w:tc>
          <w:tcPr>
            <w:tcW w:w="1321" w:type="dxa"/>
          </w:tcPr>
          <w:p>
            <w:pPr>
              <w:pStyle w:val="TableParagraph"/>
              <w:spacing w:line="131" w:lineRule="exact" w:before="27"/>
              <w:ind w:right="176"/>
              <w:jc w:val="right"/>
              <w:rPr>
                <w:sz w:val="12"/>
              </w:rPr>
            </w:pPr>
            <w:r>
              <w:rPr>
                <w:w w:val="105"/>
                <w:sz w:val="12"/>
              </w:rPr>
              <w:t>18,486.00</w:t>
            </w:r>
          </w:p>
        </w:tc>
        <w:tc>
          <w:tcPr>
            <w:tcW w:w="1026" w:type="dxa"/>
          </w:tcPr>
          <w:p>
            <w:pPr>
              <w:pStyle w:val="TableParagraph"/>
              <w:spacing w:line="131" w:lineRule="exact" w:before="27"/>
              <w:ind w:right="28"/>
              <w:jc w:val="right"/>
              <w:rPr>
                <w:sz w:val="12"/>
              </w:rPr>
            </w:pPr>
            <w:r>
              <w:rPr>
                <w:w w:val="105"/>
                <w:sz w:val="12"/>
              </w:rPr>
              <w:t>3,933.00</w:t>
            </w:r>
          </w:p>
        </w:tc>
        <w:tc>
          <w:tcPr>
            <w:tcW w:w="1176" w:type="dxa"/>
          </w:tcPr>
          <w:p>
            <w:pPr>
              <w:pStyle w:val="TableParagraph"/>
              <w:spacing w:line="131" w:lineRule="exact" w:before="27"/>
              <w:ind w:right="31"/>
              <w:jc w:val="right"/>
              <w:rPr>
                <w:sz w:val="12"/>
              </w:rPr>
            </w:pPr>
            <w:r>
              <w:rPr>
                <w:w w:val="105"/>
                <w:sz w:val="12"/>
              </w:rPr>
              <w:t>5,192.00</w:t>
            </w:r>
          </w:p>
        </w:tc>
      </w:tr>
      <w:tr>
        <w:trPr>
          <w:trHeight w:val="177" w:hRule="atLeast"/>
        </w:trPr>
        <w:tc>
          <w:tcPr>
            <w:tcW w:w="2568" w:type="dxa"/>
          </w:tcPr>
          <w:p>
            <w:pPr>
              <w:pStyle w:val="TableParagraph"/>
              <w:spacing w:line="152" w:lineRule="exact" w:before="6"/>
              <w:ind w:left="186"/>
              <w:rPr>
                <w:sz w:val="14"/>
              </w:rPr>
            </w:pPr>
            <w:r>
              <w:rPr>
                <w:sz w:val="14"/>
              </w:rPr>
              <w:t>Other State Revenue</w:t>
            </w:r>
          </w:p>
        </w:tc>
        <w:tc>
          <w:tcPr>
            <w:tcW w:w="772" w:type="dxa"/>
          </w:tcPr>
          <w:p>
            <w:pPr>
              <w:pStyle w:val="TableParagraph"/>
              <w:spacing w:line="131" w:lineRule="exact" w:before="27"/>
              <w:ind w:left="76"/>
              <w:rPr>
                <w:sz w:val="12"/>
              </w:rPr>
            </w:pPr>
            <w:r>
              <w:rPr>
                <w:w w:val="105"/>
                <w:sz w:val="12"/>
              </w:rPr>
              <w:t>8300-8599</w:t>
            </w:r>
          </w:p>
        </w:tc>
        <w:tc>
          <w:tcPr>
            <w:tcW w:w="1174" w:type="dxa"/>
            <w:shd w:val="clear" w:color="auto" w:fill="BFBFBF"/>
          </w:tcPr>
          <w:p>
            <w:pPr>
              <w:pStyle w:val="TableParagraph"/>
              <w:rPr>
                <w:rFonts w:ascii="Times New Roman"/>
                <w:sz w:val="10"/>
              </w:rPr>
            </w:pPr>
          </w:p>
        </w:tc>
        <w:tc>
          <w:tcPr>
            <w:tcW w:w="1174" w:type="dxa"/>
          </w:tcPr>
          <w:p>
            <w:pPr>
              <w:pStyle w:val="TableParagraph"/>
              <w:spacing w:line="131" w:lineRule="exact" w:before="27"/>
              <w:ind w:right="28"/>
              <w:jc w:val="right"/>
              <w:rPr>
                <w:sz w:val="12"/>
              </w:rPr>
            </w:pPr>
            <w:r>
              <w:rPr>
                <w:w w:val="105"/>
                <w:sz w:val="12"/>
              </w:rPr>
              <w:t>10.00</w:t>
            </w:r>
          </w:p>
        </w:tc>
        <w:tc>
          <w:tcPr>
            <w:tcW w:w="1273" w:type="dxa"/>
          </w:tcPr>
          <w:p>
            <w:pPr>
              <w:pStyle w:val="TableParagraph"/>
              <w:spacing w:line="131" w:lineRule="exact" w:before="27"/>
              <w:ind w:right="127"/>
              <w:jc w:val="right"/>
              <w:rPr>
                <w:sz w:val="12"/>
              </w:rPr>
            </w:pPr>
            <w:r>
              <w:rPr>
                <w:w w:val="105"/>
                <w:sz w:val="12"/>
              </w:rPr>
              <w:t>3,803.00</w:t>
            </w:r>
          </w:p>
        </w:tc>
        <w:tc>
          <w:tcPr>
            <w:tcW w:w="1211" w:type="dxa"/>
          </w:tcPr>
          <w:p>
            <w:pPr>
              <w:pStyle w:val="TableParagraph"/>
              <w:spacing w:line="131" w:lineRule="exact" w:before="27"/>
              <w:ind w:right="165"/>
              <w:jc w:val="right"/>
              <w:rPr>
                <w:sz w:val="12"/>
              </w:rPr>
            </w:pPr>
            <w:r>
              <w:rPr>
                <w:w w:val="105"/>
                <w:sz w:val="12"/>
              </w:rPr>
              <w:t>328.00</w:t>
            </w:r>
          </w:p>
        </w:tc>
        <w:tc>
          <w:tcPr>
            <w:tcW w:w="1146" w:type="dxa"/>
          </w:tcPr>
          <w:p>
            <w:pPr>
              <w:pStyle w:val="TableParagraph"/>
              <w:spacing w:line="131" w:lineRule="exact" w:before="27"/>
              <w:ind w:right="137"/>
              <w:jc w:val="right"/>
              <w:rPr>
                <w:sz w:val="12"/>
              </w:rPr>
            </w:pPr>
            <w:r>
              <w:rPr>
                <w:w w:val="105"/>
                <w:sz w:val="12"/>
              </w:rPr>
              <w:t>751.00</w:t>
            </w:r>
          </w:p>
        </w:tc>
        <w:tc>
          <w:tcPr>
            <w:tcW w:w="1065" w:type="dxa"/>
          </w:tcPr>
          <w:p>
            <w:pPr>
              <w:pStyle w:val="TableParagraph"/>
              <w:spacing w:line="131" w:lineRule="exact" w:before="27"/>
              <w:ind w:right="29"/>
              <w:jc w:val="right"/>
              <w:rPr>
                <w:sz w:val="12"/>
              </w:rPr>
            </w:pPr>
            <w:r>
              <w:rPr>
                <w:w w:val="105"/>
                <w:sz w:val="12"/>
              </w:rPr>
              <w:t>7,867.00</w:t>
            </w:r>
          </w:p>
        </w:tc>
        <w:tc>
          <w:tcPr>
            <w:tcW w:w="1321" w:type="dxa"/>
          </w:tcPr>
          <w:p>
            <w:pPr>
              <w:pStyle w:val="TableParagraph"/>
              <w:spacing w:line="131" w:lineRule="exact" w:before="27"/>
              <w:ind w:right="176"/>
              <w:jc w:val="right"/>
              <w:rPr>
                <w:sz w:val="12"/>
              </w:rPr>
            </w:pPr>
            <w:r>
              <w:rPr>
                <w:w w:val="105"/>
                <w:sz w:val="12"/>
              </w:rPr>
              <w:t>14,288.00</w:t>
            </w:r>
          </w:p>
        </w:tc>
        <w:tc>
          <w:tcPr>
            <w:tcW w:w="1026" w:type="dxa"/>
          </w:tcPr>
          <w:p>
            <w:pPr>
              <w:pStyle w:val="TableParagraph"/>
              <w:spacing w:line="131" w:lineRule="exact" w:before="27"/>
              <w:ind w:right="28"/>
              <w:jc w:val="right"/>
              <w:rPr>
                <w:sz w:val="12"/>
              </w:rPr>
            </w:pPr>
            <w:r>
              <w:rPr>
                <w:w w:val="105"/>
                <w:sz w:val="12"/>
              </w:rPr>
              <w:t>4,112.00</w:t>
            </w:r>
          </w:p>
        </w:tc>
        <w:tc>
          <w:tcPr>
            <w:tcW w:w="1176" w:type="dxa"/>
          </w:tcPr>
          <w:p>
            <w:pPr>
              <w:pStyle w:val="TableParagraph"/>
              <w:spacing w:line="131" w:lineRule="exact" w:before="27"/>
              <w:ind w:right="31"/>
              <w:jc w:val="right"/>
              <w:rPr>
                <w:sz w:val="12"/>
              </w:rPr>
            </w:pPr>
            <w:r>
              <w:rPr>
                <w:w w:val="105"/>
                <w:sz w:val="12"/>
              </w:rPr>
              <w:t>293.00</w:t>
            </w:r>
          </w:p>
        </w:tc>
      </w:tr>
      <w:tr>
        <w:trPr>
          <w:trHeight w:val="177" w:hRule="atLeast"/>
        </w:trPr>
        <w:tc>
          <w:tcPr>
            <w:tcW w:w="2568" w:type="dxa"/>
          </w:tcPr>
          <w:p>
            <w:pPr>
              <w:pStyle w:val="TableParagraph"/>
              <w:spacing w:line="152" w:lineRule="exact" w:before="6"/>
              <w:ind w:left="186"/>
              <w:rPr>
                <w:sz w:val="14"/>
              </w:rPr>
            </w:pPr>
            <w:r>
              <w:rPr>
                <w:sz w:val="14"/>
              </w:rPr>
              <w:t>Other Local Revenue</w:t>
            </w:r>
          </w:p>
        </w:tc>
        <w:tc>
          <w:tcPr>
            <w:tcW w:w="772" w:type="dxa"/>
          </w:tcPr>
          <w:p>
            <w:pPr>
              <w:pStyle w:val="TableParagraph"/>
              <w:spacing w:line="131" w:lineRule="exact" w:before="27"/>
              <w:ind w:left="76"/>
              <w:rPr>
                <w:sz w:val="12"/>
              </w:rPr>
            </w:pPr>
            <w:r>
              <w:rPr>
                <w:w w:val="105"/>
                <w:sz w:val="12"/>
              </w:rPr>
              <w:t>8600-8799</w:t>
            </w:r>
          </w:p>
        </w:tc>
        <w:tc>
          <w:tcPr>
            <w:tcW w:w="1174" w:type="dxa"/>
            <w:shd w:val="clear" w:color="auto" w:fill="BFBFBF"/>
          </w:tcPr>
          <w:p>
            <w:pPr>
              <w:pStyle w:val="TableParagraph"/>
              <w:rPr>
                <w:rFonts w:ascii="Times New Roman"/>
                <w:sz w:val="10"/>
              </w:rPr>
            </w:pPr>
          </w:p>
        </w:tc>
        <w:tc>
          <w:tcPr>
            <w:tcW w:w="1174" w:type="dxa"/>
          </w:tcPr>
          <w:p>
            <w:pPr>
              <w:pStyle w:val="TableParagraph"/>
              <w:spacing w:line="131" w:lineRule="exact" w:before="27"/>
              <w:ind w:right="28"/>
              <w:jc w:val="right"/>
              <w:rPr>
                <w:sz w:val="12"/>
              </w:rPr>
            </w:pPr>
            <w:r>
              <w:rPr>
                <w:w w:val="105"/>
                <w:sz w:val="12"/>
              </w:rPr>
              <w:t>0.00</w:t>
            </w:r>
          </w:p>
        </w:tc>
        <w:tc>
          <w:tcPr>
            <w:tcW w:w="1273" w:type="dxa"/>
          </w:tcPr>
          <w:p>
            <w:pPr>
              <w:pStyle w:val="TableParagraph"/>
              <w:spacing w:line="131" w:lineRule="exact" w:before="27"/>
              <w:ind w:right="127"/>
              <w:jc w:val="right"/>
              <w:rPr>
                <w:sz w:val="12"/>
              </w:rPr>
            </w:pPr>
            <w:r>
              <w:rPr>
                <w:w w:val="105"/>
                <w:sz w:val="12"/>
              </w:rPr>
              <w:t>1,295.00</w:t>
            </w:r>
          </w:p>
        </w:tc>
        <w:tc>
          <w:tcPr>
            <w:tcW w:w="1211" w:type="dxa"/>
          </w:tcPr>
          <w:p>
            <w:pPr>
              <w:pStyle w:val="TableParagraph"/>
              <w:spacing w:line="131" w:lineRule="exact" w:before="27"/>
              <w:ind w:right="165"/>
              <w:jc w:val="right"/>
              <w:rPr>
                <w:sz w:val="12"/>
              </w:rPr>
            </w:pPr>
            <w:r>
              <w:rPr>
                <w:w w:val="105"/>
                <w:sz w:val="12"/>
              </w:rPr>
              <w:t>7,480.00</w:t>
            </w:r>
          </w:p>
        </w:tc>
        <w:tc>
          <w:tcPr>
            <w:tcW w:w="1146" w:type="dxa"/>
          </w:tcPr>
          <w:p>
            <w:pPr>
              <w:pStyle w:val="TableParagraph"/>
              <w:spacing w:line="131" w:lineRule="exact" w:before="27"/>
              <w:ind w:right="137"/>
              <w:jc w:val="right"/>
              <w:rPr>
                <w:sz w:val="12"/>
              </w:rPr>
            </w:pPr>
            <w:r>
              <w:rPr>
                <w:w w:val="105"/>
                <w:sz w:val="12"/>
              </w:rPr>
              <w:t>3,287.00</w:t>
            </w:r>
          </w:p>
        </w:tc>
        <w:tc>
          <w:tcPr>
            <w:tcW w:w="1065" w:type="dxa"/>
          </w:tcPr>
          <w:p>
            <w:pPr>
              <w:pStyle w:val="TableParagraph"/>
              <w:spacing w:line="131" w:lineRule="exact" w:before="27"/>
              <w:ind w:right="29"/>
              <w:jc w:val="right"/>
              <w:rPr>
                <w:sz w:val="12"/>
              </w:rPr>
            </w:pPr>
            <w:r>
              <w:rPr>
                <w:w w:val="105"/>
                <w:sz w:val="12"/>
              </w:rPr>
              <w:t>6,334.00</w:t>
            </w:r>
          </w:p>
        </w:tc>
        <w:tc>
          <w:tcPr>
            <w:tcW w:w="1321" w:type="dxa"/>
          </w:tcPr>
          <w:p>
            <w:pPr>
              <w:pStyle w:val="TableParagraph"/>
              <w:spacing w:line="131" w:lineRule="exact" w:before="27"/>
              <w:ind w:right="176"/>
              <w:jc w:val="right"/>
              <w:rPr>
                <w:sz w:val="12"/>
              </w:rPr>
            </w:pPr>
            <w:r>
              <w:rPr>
                <w:w w:val="105"/>
                <w:sz w:val="12"/>
              </w:rPr>
              <w:t>50,129.00</w:t>
            </w:r>
          </w:p>
        </w:tc>
        <w:tc>
          <w:tcPr>
            <w:tcW w:w="1026" w:type="dxa"/>
          </w:tcPr>
          <w:p>
            <w:pPr>
              <w:pStyle w:val="TableParagraph"/>
              <w:spacing w:line="131" w:lineRule="exact" w:before="27"/>
              <w:ind w:right="28"/>
              <w:jc w:val="right"/>
              <w:rPr>
                <w:sz w:val="12"/>
              </w:rPr>
            </w:pPr>
            <w:r>
              <w:rPr>
                <w:w w:val="105"/>
                <w:sz w:val="12"/>
              </w:rPr>
              <w:t>4,300.00</w:t>
            </w:r>
          </w:p>
        </w:tc>
        <w:tc>
          <w:tcPr>
            <w:tcW w:w="1176" w:type="dxa"/>
          </w:tcPr>
          <w:p>
            <w:pPr>
              <w:pStyle w:val="TableParagraph"/>
              <w:spacing w:line="131" w:lineRule="exact" w:before="27"/>
              <w:ind w:right="30"/>
              <w:jc w:val="right"/>
              <w:rPr>
                <w:sz w:val="12"/>
              </w:rPr>
            </w:pPr>
            <w:r>
              <w:rPr>
                <w:w w:val="105"/>
                <w:sz w:val="12"/>
              </w:rPr>
              <w:t>47,250.00</w:t>
            </w:r>
          </w:p>
        </w:tc>
      </w:tr>
      <w:tr>
        <w:trPr>
          <w:trHeight w:val="177" w:hRule="atLeast"/>
        </w:trPr>
        <w:tc>
          <w:tcPr>
            <w:tcW w:w="2568" w:type="dxa"/>
          </w:tcPr>
          <w:p>
            <w:pPr>
              <w:pStyle w:val="TableParagraph"/>
              <w:spacing w:line="152" w:lineRule="exact" w:before="6"/>
              <w:ind w:left="186"/>
              <w:rPr>
                <w:sz w:val="14"/>
              </w:rPr>
            </w:pPr>
            <w:r>
              <w:rPr>
                <w:sz w:val="14"/>
              </w:rPr>
              <w:t>Interfund Transfers In</w:t>
            </w:r>
          </w:p>
        </w:tc>
        <w:tc>
          <w:tcPr>
            <w:tcW w:w="772" w:type="dxa"/>
          </w:tcPr>
          <w:p>
            <w:pPr>
              <w:pStyle w:val="TableParagraph"/>
              <w:spacing w:line="131" w:lineRule="exact" w:before="27"/>
              <w:ind w:left="76"/>
              <w:rPr>
                <w:sz w:val="12"/>
              </w:rPr>
            </w:pPr>
            <w:r>
              <w:rPr>
                <w:w w:val="105"/>
                <w:sz w:val="12"/>
              </w:rPr>
              <w:t>8910-8929</w:t>
            </w:r>
          </w:p>
        </w:tc>
        <w:tc>
          <w:tcPr>
            <w:tcW w:w="1174" w:type="dxa"/>
            <w:shd w:val="clear" w:color="auto" w:fill="BFBFBF"/>
          </w:tcPr>
          <w:p>
            <w:pPr>
              <w:pStyle w:val="TableParagraph"/>
              <w:rPr>
                <w:rFonts w:ascii="Times New Roman"/>
                <w:sz w:val="10"/>
              </w:rPr>
            </w:pPr>
          </w:p>
        </w:tc>
        <w:tc>
          <w:tcPr>
            <w:tcW w:w="1174" w:type="dxa"/>
          </w:tcPr>
          <w:p>
            <w:pPr>
              <w:pStyle w:val="TableParagraph"/>
              <w:spacing w:line="131" w:lineRule="exact" w:before="27"/>
              <w:ind w:right="28"/>
              <w:jc w:val="right"/>
              <w:rPr>
                <w:sz w:val="12"/>
              </w:rPr>
            </w:pPr>
            <w:r>
              <w:rPr>
                <w:w w:val="105"/>
                <w:sz w:val="12"/>
              </w:rPr>
              <w:t>0.00</w:t>
            </w:r>
          </w:p>
        </w:tc>
        <w:tc>
          <w:tcPr>
            <w:tcW w:w="1273" w:type="dxa"/>
          </w:tcPr>
          <w:p>
            <w:pPr>
              <w:pStyle w:val="TableParagraph"/>
              <w:spacing w:line="131" w:lineRule="exact" w:before="27"/>
              <w:ind w:right="127"/>
              <w:jc w:val="right"/>
              <w:rPr>
                <w:sz w:val="12"/>
              </w:rPr>
            </w:pPr>
            <w:r>
              <w:rPr>
                <w:w w:val="105"/>
                <w:sz w:val="12"/>
              </w:rPr>
              <w:t>0.00</w:t>
            </w:r>
          </w:p>
        </w:tc>
        <w:tc>
          <w:tcPr>
            <w:tcW w:w="1211" w:type="dxa"/>
          </w:tcPr>
          <w:p>
            <w:pPr>
              <w:pStyle w:val="TableParagraph"/>
              <w:spacing w:line="131" w:lineRule="exact" w:before="27"/>
              <w:ind w:right="164"/>
              <w:jc w:val="right"/>
              <w:rPr>
                <w:sz w:val="12"/>
              </w:rPr>
            </w:pPr>
            <w:r>
              <w:rPr>
                <w:w w:val="105"/>
                <w:sz w:val="12"/>
              </w:rPr>
              <w:t>0.00</w:t>
            </w:r>
          </w:p>
        </w:tc>
        <w:tc>
          <w:tcPr>
            <w:tcW w:w="1146" w:type="dxa"/>
          </w:tcPr>
          <w:p>
            <w:pPr>
              <w:pStyle w:val="TableParagraph"/>
              <w:spacing w:line="131" w:lineRule="exact" w:before="27"/>
              <w:ind w:right="137"/>
              <w:jc w:val="right"/>
              <w:rPr>
                <w:sz w:val="12"/>
              </w:rPr>
            </w:pPr>
            <w:r>
              <w:rPr>
                <w:w w:val="105"/>
                <w:sz w:val="12"/>
              </w:rPr>
              <w:t>0.00</w:t>
            </w:r>
          </w:p>
        </w:tc>
        <w:tc>
          <w:tcPr>
            <w:tcW w:w="1065" w:type="dxa"/>
          </w:tcPr>
          <w:p>
            <w:pPr>
              <w:pStyle w:val="TableParagraph"/>
              <w:spacing w:line="131" w:lineRule="exact" w:before="27"/>
              <w:ind w:right="28"/>
              <w:jc w:val="right"/>
              <w:rPr>
                <w:sz w:val="12"/>
              </w:rPr>
            </w:pPr>
            <w:r>
              <w:rPr>
                <w:w w:val="105"/>
                <w:sz w:val="12"/>
              </w:rPr>
              <w:t>0.00</w:t>
            </w:r>
          </w:p>
        </w:tc>
        <w:tc>
          <w:tcPr>
            <w:tcW w:w="1321" w:type="dxa"/>
          </w:tcPr>
          <w:p>
            <w:pPr>
              <w:pStyle w:val="TableParagraph"/>
              <w:spacing w:line="131" w:lineRule="exact" w:before="27"/>
              <w:ind w:right="176"/>
              <w:jc w:val="right"/>
              <w:rPr>
                <w:sz w:val="12"/>
              </w:rPr>
            </w:pPr>
            <w:r>
              <w:rPr>
                <w:w w:val="105"/>
                <w:sz w:val="12"/>
              </w:rPr>
              <w:t>0.00</w:t>
            </w:r>
          </w:p>
        </w:tc>
        <w:tc>
          <w:tcPr>
            <w:tcW w:w="1026" w:type="dxa"/>
          </w:tcPr>
          <w:p>
            <w:pPr>
              <w:pStyle w:val="TableParagraph"/>
              <w:spacing w:line="131" w:lineRule="exact" w:before="27"/>
              <w:ind w:right="28"/>
              <w:jc w:val="right"/>
              <w:rPr>
                <w:sz w:val="12"/>
              </w:rPr>
            </w:pPr>
            <w:r>
              <w:rPr>
                <w:w w:val="105"/>
                <w:sz w:val="12"/>
              </w:rPr>
              <w:t>0.00</w:t>
            </w:r>
          </w:p>
        </w:tc>
        <w:tc>
          <w:tcPr>
            <w:tcW w:w="1176" w:type="dxa"/>
          </w:tcPr>
          <w:p>
            <w:pPr>
              <w:pStyle w:val="TableParagraph"/>
              <w:spacing w:line="131" w:lineRule="exact" w:before="27"/>
              <w:ind w:right="30"/>
              <w:jc w:val="right"/>
              <w:rPr>
                <w:sz w:val="12"/>
              </w:rPr>
            </w:pPr>
            <w:r>
              <w:rPr>
                <w:w w:val="105"/>
                <w:sz w:val="12"/>
              </w:rPr>
              <w:t>0.00</w:t>
            </w:r>
          </w:p>
        </w:tc>
      </w:tr>
      <w:tr>
        <w:trPr>
          <w:trHeight w:val="177" w:hRule="atLeast"/>
        </w:trPr>
        <w:tc>
          <w:tcPr>
            <w:tcW w:w="2568" w:type="dxa"/>
          </w:tcPr>
          <w:p>
            <w:pPr>
              <w:pStyle w:val="TableParagraph"/>
              <w:spacing w:line="152" w:lineRule="exact" w:before="6"/>
              <w:ind w:left="186"/>
              <w:rPr>
                <w:sz w:val="14"/>
              </w:rPr>
            </w:pPr>
            <w:r>
              <w:rPr>
                <w:sz w:val="14"/>
              </w:rPr>
              <w:t>All Other Financing Sources</w:t>
            </w:r>
          </w:p>
        </w:tc>
        <w:tc>
          <w:tcPr>
            <w:tcW w:w="772" w:type="dxa"/>
          </w:tcPr>
          <w:p>
            <w:pPr>
              <w:pStyle w:val="TableParagraph"/>
              <w:spacing w:line="131" w:lineRule="exact" w:before="27"/>
              <w:ind w:left="76"/>
              <w:rPr>
                <w:sz w:val="12"/>
              </w:rPr>
            </w:pPr>
            <w:r>
              <w:rPr>
                <w:w w:val="105"/>
                <w:sz w:val="12"/>
              </w:rPr>
              <w:t>8930-8979</w:t>
            </w:r>
          </w:p>
        </w:tc>
        <w:tc>
          <w:tcPr>
            <w:tcW w:w="1174" w:type="dxa"/>
            <w:shd w:val="clear" w:color="auto" w:fill="BFBFBF"/>
          </w:tcPr>
          <w:p>
            <w:pPr>
              <w:pStyle w:val="TableParagraph"/>
              <w:rPr>
                <w:rFonts w:ascii="Times New Roman"/>
                <w:sz w:val="10"/>
              </w:rPr>
            </w:pPr>
          </w:p>
        </w:tc>
        <w:tc>
          <w:tcPr>
            <w:tcW w:w="1174" w:type="dxa"/>
          </w:tcPr>
          <w:p>
            <w:pPr>
              <w:pStyle w:val="TableParagraph"/>
              <w:spacing w:line="131" w:lineRule="exact" w:before="27"/>
              <w:ind w:right="28"/>
              <w:jc w:val="right"/>
              <w:rPr>
                <w:sz w:val="12"/>
              </w:rPr>
            </w:pPr>
            <w:r>
              <w:rPr>
                <w:w w:val="105"/>
                <w:sz w:val="12"/>
              </w:rPr>
              <w:t>0.00</w:t>
            </w:r>
          </w:p>
        </w:tc>
        <w:tc>
          <w:tcPr>
            <w:tcW w:w="1273" w:type="dxa"/>
          </w:tcPr>
          <w:p>
            <w:pPr>
              <w:pStyle w:val="TableParagraph"/>
              <w:spacing w:line="131" w:lineRule="exact" w:before="27"/>
              <w:ind w:right="127"/>
              <w:jc w:val="right"/>
              <w:rPr>
                <w:sz w:val="12"/>
              </w:rPr>
            </w:pPr>
            <w:r>
              <w:rPr>
                <w:w w:val="105"/>
                <w:sz w:val="12"/>
              </w:rPr>
              <w:t>0.00</w:t>
            </w:r>
          </w:p>
        </w:tc>
        <w:tc>
          <w:tcPr>
            <w:tcW w:w="1211" w:type="dxa"/>
          </w:tcPr>
          <w:p>
            <w:pPr>
              <w:pStyle w:val="TableParagraph"/>
              <w:spacing w:line="131" w:lineRule="exact" w:before="27"/>
              <w:ind w:right="164"/>
              <w:jc w:val="right"/>
              <w:rPr>
                <w:sz w:val="12"/>
              </w:rPr>
            </w:pPr>
            <w:r>
              <w:rPr>
                <w:w w:val="105"/>
                <w:sz w:val="12"/>
              </w:rPr>
              <w:t>0.00</w:t>
            </w:r>
          </w:p>
        </w:tc>
        <w:tc>
          <w:tcPr>
            <w:tcW w:w="1146" w:type="dxa"/>
          </w:tcPr>
          <w:p>
            <w:pPr>
              <w:pStyle w:val="TableParagraph"/>
              <w:spacing w:line="131" w:lineRule="exact" w:before="27"/>
              <w:ind w:right="137"/>
              <w:jc w:val="right"/>
              <w:rPr>
                <w:sz w:val="12"/>
              </w:rPr>
            </w:pPr>
            <w:r>
              <w:rPr>
                <w:w w:val="105"/>
                <w:sz w:val="12"/>
              </w:rPr>
              <w:t>0.00</w:t>
            </w:r>
          </w:p>
        </w:tc>
        <w:tc>
          <w:tcPr>
            <w:tcW w:w="1065" w:type="dxa"/>
          </w:tcPr>
          <w:p>
            <w:pPr>
              <w:pStyle w:val="TableParagraph"/>
              <w:spacing w:line="131" w:lineRule="exact" w:before="27"/>
              <w:ind w:right="28"/>
              <w:jc w:val="right"/>
              <w:rPr>
                <w:sz w:val="12"/>
              </w:rPr>
            </w:pPr>
            <w:r>
              <w:rPr>
                <w:w w:val="105"/>
                <w:sz w:val="12"/>
              </w:rPr>
              <w:t>0.00</w:t>
            </w:r>
          </w:p>
        </w:tc>
        <w:tc>
          <w:tcPr>
            <w:tcW w:w="1321" w:type="dxa"/>
          </w:tcPr>
          <w:p>
            <w:pPr>
              <w:pStyle w:val="TableParagraph"/>
              <w:spacing w:line="131" w:lineRule="exact" w:before="27"/>
              <w:ind w:right="176"/>
              <w:jc w:val="right"/>
              <w:rPr>
                <w:sz w:val="12"/>
              </w:rPr>
            </w:pPr>
            <w:r>
              <w:rPr>
                <w:w w:val="105"/>
                <w:sz w:val="12"/>
              </w:rPr>
              <w:t>0.00</w:t>
            </w:r>
          </w:p>
        </w:tc>
        <w:tc>
          <w:tcPr>
            <w:tcW w:w="1026" w:type="dxa"/>
          </w:tcPr>
          <w:p>
            <w:pPr>
              <w:pStyle w:val="TableParagraph"/>
              <w:spacing w:line="131" w:lineRule="exact" w:before="27"/>
              <w:ind w:right="28"/>
              <w:jc w:val="right"/>
              <w:rPr>
                <w:sz w:val="12"/>
              </w:rPr>
            </w:pPr>
            <w:r>
              <w:rPr>
                <w:w w:val="105"/>
                <w:sz w:val="12"/>
              </w:rPr>
              <w:t>0.00</w:t>
            </w:r>
          </w:p>
        </w:tc>
        <w:tc>
          <w:tcPr>
            <w:tcW w:w="1176" w:type="dxa"/>
          </w:tcPr>
          <w:p>
            <w:pPr>
              <w:pStyle w:val="TableParagraph"/>
              <w:spacing w:line="131" w:lineRule="exact" w:before="27"/>
              <w:ind w:right="30"/>
              <w:jc w:val="right"/>
              <w:rPr>
                <w:sz w:val="12"/>
              </w:rPr>
            </w:pPr>
            <w:r>
              <w:rPr>
                <w:w w:val="105"/>
                <w:sz w:val="12"/>
              </w:rPr>
              <w:t>0.00</w:t>
            </w:r>
          </w:p>
        </w:tc>
      </w:tr>
      <w:tr>
        <w:trPr>
          <w:trHeight w:val="177" w:hRule="atLeast"/>
        </w:trPr>
        <w:tc>
          <w:tcPr>
            <w:tcW w:w="2568" w:type="dxa"/>
          </w:tcPr>
          <w:p>
            <w:pPr>
              <w:pStyle w:val="TableParagraph"/>
              <w:spacing w:line="152" w:lineRule="exact" w:before="6"/>
              <w:ind w:left="186"/>
              <w:rPr>
                <w:sz w:val="14"/>
              </w:rPr>
            </w:pPr>
            <w:r>
              <w:rPr>
                <w:sz w:val="14"/>
              </w:rPr>
              <w:t>TOTAL RECEIPTS</w:t>
            </w:r>
          </w:p>
        </w:tc>
        <w:tc>
          <w:tcPr>
            <w:tcW w:w="772" w:type="dxa"/>
          </w:tcPr>
          <w:p>
            <w:pPr>
              <w:pStyle w:val="TableParagraph"/>
              <w:rPr>
                <w:rFonts w:ascii="Times New Roman"/>
                <w:sz w:val="10"/>
              </w:rPr>
            </w:pPr>
          </w:p>
        </w:tc>
        <w:tc>
          <w:tcPr>
            <w:tcW w:w="1174" w:type="dxa"/>
            <w:shd w:val="clear" w:color="auto" w:fill="BFBFBF"/>
          </w:tcPr>
          <w:p>
            <w:pPr>
              <w:pStyle w:val="TableParagraph"/>
              <w:rPr>
                <w:rFonts w:ascii="Times New Roman"/>
                <w:sz w:val="10"/>
              </w:rPr>
            </w:pPr>
          </w:p>
        </w:tc>
        <w:tc>
          <w:tcPr>
            <w:tcW w:w="1174" w:type="dxa"/>
          </w:tcPr>
          <w:p>
            <w:pPr>
              <w:pStyle w:val="TableParagraph"/>
              <w:spacing w:line="131" w:lineRule="exact" w:before="27"/>
              <w:ind w:right="28"/>
              <w:jc w:val="right"/>
              <w:rPr>
                <w:sz w:val="12"/>
              </w:rPr>
            </w:pPr>
            <w:r>
              <w:rPr>
                <w:w w:val="105"/>
                <w:sz w:val="12"/>
              </w:rPr>
              <w:t>162,695.00</w:t>
            </w:r>
          </w:p>
        </w:tc>
        <w:tc>
          <w:tcPr>
            <w:tcW w:w="1273" w:type="dxa"/>
          </w:tcPr>
          <w:p>
            <w:pPr>
              <w:pStyle w:val="TableParagraph"/>
              <w:spacing w:line="131" w:lineRule="exact" w:before="27"/>
              <w:ind w:right="128"/>
              <w:jc w:val="right"/>
              <w:rPr>
                <w:sz w:val="12"/>
              </w:rPr>
            </w:pPr>
            <w:r>
              <w:rPr>
                <w:w w:val="105"/>
                <w:sz w:val="12"/>
              </w:rPr>
              <w:t>167,783.00</w:t>
            </w:r>
          </w:p>
        </w:tc>
        <w:tc>
          <w:tcPr>
            <w:tcW w:w="1211" w:type="dxa"/>
          </w:tcPr>
          <w:p>
            <w:pPr>
              <w:pStyle w:val="TableParagraph"/>
              <w:spacing w:line="131" w:lineRule="exact" w:before="27"/>
              <w:ind w:right="165"/>
              <w:jc w:val="right"/>
              <w:rPr>
                <w:sz w:val="12"/>
              </w:rPr>
            </w:pPr>
            <w:r>
              <w:rPr>
                <w:w w:val="105"/>
                <w:sz w:val="12"/>
              </w:rPr>
              <w:t>214,112.00</w:t>
            </w:r>
          </w:p>
        </w:tc>
        <w:tc>
          <w:tcPr>
            <w:tcW w:w="1146" w:type="dxa"/>
          </w:tcPr>
          <w:p>
            <w:pPr>
              <w:pStyle w:val="TableParagraph"/>
              <w:spacing w:line="131" w:lineRule="exact" w:before="27"/>
              <w:ind w:right="137"/>
              <w:jc w:val="right"/>
              <w:rPr>
                <w:sz w:val="12"/>
              </w:rPr>
            </w:pPr>
            <w:r>
              <w:rPr>
                <w:w w:val="105"/>
                <w:sz w:val="12"/>
              </w:rPr>
              <w:t>62,944.00</w:t>
            </w:r>
          </w:p>
        </w:tc>
        <w:tc>
          <w:tcPr>
            <w:tcW w:w="1065" w:type="dxa"/>
          </w:tcPr>
          <w:p>
            <w:pPr>
              <w:pStyle w:val="TableParagraph"/>
              <w:spacing w:line="131" w:lineRule="exact" w:before="27"/>
              <w:ind w:right="30"/>
              <w:jc w:val="right"/>
              <w:rPr>
                <w:sz w:val="12"/>
              </w:rPr>
            </w:pPr>
            <w:r>
              <w:rPr>
                <w:w w:val="105"/>
                <w:sz w:val="12"/>
              </w:rPr>
              <w:t>(100,643.00)</w:t>
            </w:r>
          </w:p>
        </w:tc>
        <w:tc>
          <w:tcPr>
            <w:tcW w:w="1321" w:type="dxa"/>
          </w:tcPr>
          <w:p>
            <w:pPr>
              <w:pStyle w:val="TableParagraph"/>
              <w:spacing w:line="131" w:lineRule="exact" w:before="27"/>
              <w:ind w:right="176"/>
              <w:jc w:val="right"/>
              <w:rPr>
                <w:sz w:val="12"/>
              </w:rPr>
            </w:pPr>
            <w:r>
              <w:rPr>
                <w:w w:val="105"/>
                <w:sz w:val="12"/>
              </w:rPr>
              <w:t>169,282.00</w:t>
            </w:r>
          </w:p>
        </w:tc>
        <w:tc>
          <w:tcPr>
            <w:tcW w:w="1026" w:type="dxa"/>
          </w:tcPr>
          <w:p>
            <w:pPr>
              <w:pStyle w:val="TableParagraph"/>
              <w:spacing w:line="131" w:lineRule="exact" w:before="27"/>
              <w:ind w:right="29"/>
              <w:jc w:val="right"/>
              <w:rPr>
                <w:sz w:val="12"/>
              </w:rPr>
            </w:pPr>
            <w:r>
              <w:rPr>
                <w:w w:val="105"/>
                <w:sz w:val="12"/>
              </w:rPr>
              <w:t>317,398.00</w:t>
            </w:r>
          </w:p>
        </w:tc>
        <w:tc>
          <w:tcPr>
            <w:tcW w:w="1176" w:type="dxa"/>
          </w:tcPr>
          <w:p>
            <w:pPr>
              <w:pStyle w:val="TableParagraph"/>
              <w:spacing w:line="131" w:lineRule="exact" w:before="27"/>
              <w:ind w:right="30"/>
              <w:jc w:val="right"/>
              <w:rPr>
                <w:sz w:val="12"/>
              </w:rPr>
            </w:pPr>
            <w:r>
              <w:rPr>
                <w:w w:val="105"/>
                <w:sz w:val="12"/>
              </w:rPr>
              <w:t>30,544.00</w:t>
            </w:r>
          </w:p>
        </w:tc>
      </w:tr>
      <w:tr>
        <w:trPr>
          <w:trHeight w:val="177" w:hRule="atLeast"/>
        </w:trPr>
        <w:tc>
          <w:tcPr>
            <w:tcW w:w="2568" w:type="dxa"/>
          </w:tcPr>
          <w:p>
            <w:pPr>
              <w:pStyle w:val="TableParagraph"/>
              <w:spacing w:line="152" w:lineRule="exact" w:before="6"/>
              <w:ind w:left="32"/>
              <w:rPr>
                <w:sz w:val="14"/>
              </w:rPr>
            </w:pPr>
            <w:r>
              <w:rPr>
                <w:sz w:val="14"/>
              </w:rPr>
              <w:t>C. DISBURSEMENTS</w:t>
            </w:r>
          </w:p>
        </w:tc>
        <w:tc>
          <w:tcPr>
            <w:tcW w:w="772" w:type="dxa"/>
          </w:tcPr>
          <w:p>
            <w:pPr>
              <w:pStyle w:val="TableParagraph"/>
              <w:rPr>
                <w:rFonts w:ascii="Times New Roman"/>
                <w:sz w:val="10"/>
              </w:rPr>
            </w:pPr>
          </w:p>
        </w:tc>
        <w:tc>
          <w:tcPr>
            <w:tcW w:w="1174" w:type="dxa"/>
            <w:shd w:val="clear" w:color="auto" w:fill="BFBFBF"/>
          </w:tcPr>
          <w:p>
            <w:pPr>
              <w:pStyle w:val="TableParagraph"/>
              <w:rPr>
                <w:rFonts w:ascii="Times New Roman"/>
                <w:sz w:val="10"/>
              </w:rPr>
            </w:pPr>
          </w:p>
        </w:tc>
        <w:tc>
          <w:tcPr>
            <w:tcW w:w="1174" w:type="dxa"/>
          </w:tcPr>
          <w:p>
            <w:pPr>
              <w:pStyle w:val="TableParagraph"/>
              <w:rPr>
                <w:rFonts w:ascii="Times New Roman"/>
                <w:sz w:val="10"/>
              </w:rPr>
            </w:pPr>
          </w:p>
        </w:tc>
        <w:tc>
          <w:tcPr>
            <w:tcW w:w="1273" w:type="dxa"/>
          </w:tcPr>
          <w:p>
            <w:pPr>
              <w:pStyle w:val="TableParagraph"/>
              <w:rPr>
                <w:rFonts w:ascii="Times New Roman"/>
                <w:sz w:val="10"/>
              </w:rPr>
            </w:pPr>
          </w:p>
        </w:tc>
        <w:tc>
          <w:tcPr>
            <w:tcW w:w="1211" w:type="dxa"/>
          </w:tcPr>
          <w:p>
            <w:pPr>
              <w:pStyle w:val="TableParagraph"/>
              <w:rPr>
                <w:rFonts w:ascii="Times New Roman"/>
                <w:sz w:val="10"/>
              </w:rPr>
            </w:pPr>
          </w:p>
        </w:tc>
        <w:tc>
          <w:tcPr>
            <w:tcW w:w="1146" w:type="dxa"/>
          </w:tcPr>
          <w:p>
            <w:pPr>
              <w:pStyle w:val="TableParagraph"/>
              <w:rPr>
                <w:rFonts w:ascii="Times New Roman"/>
                <w:sz w:val="10"/>
              </w:rPr>
            </w:pPr>
          </w:p>
        </w:tc>
        <w:tc>
          <w:tcPr>
            <w:tcW w:w="1065" w:type="dxa"/>
          </w:tcPr>
          <w:p>
            <w:pPr>
              <w:pStyle w:val="TableParagraph"/>
              <w:rPr>
                <w:rFonts w:ascii="Times New Roman"/>
                <w:sz w:val="10"/>
              </w:rPr>
            </w:pPr>
          </w:p>
        </w:tc>
        <w:tc>
          <w:tcPr>
            <w:tcW w:w="1321" w:type="dxa"/>
          </w:tcPr>
          <w:p>
            <w:pPr>
              <w:pStyle w:val="TableParagraph"/>
              <w:rPr>
                <w:rFonts w:ascii="Times New Roman"/>
                <w:sz w:val="10"/>
              </w:rPr>
            </w:pPr>
          </w:p>
        </w:tc>
        <w:tc>
          <w:tcPr>
            <w:tcW w:w="1026" w:type="dxa"/>
          </w:tcPr>
          <w:p>
            <w:pPr>
              <w:pStyle w:val="TableParagraph"/>
              <w:rPr>
                <w:rFonts w:ascii="Times New Roman"/>
                <w:sz w:val="10"/>
              </w:rPr>
            </w:pPr>
          </w:p>
        </w:tc>
        <w:tc>
          <w:tcPr>
            <w:tcW w:w="1176" w:type="dxa"/>
          </w:tcPr>
          <w:p>
            <w:pPr>
              <w:pStyle w:val="TableParagraph"/>
              <w:rPr>
                <w:rFonts w:ascii="Times New Roman"/>
                <w:sz w:val="10"/>
              </w:rPr>
            </w:pPr>
          </w:p>
        </w:tc>
      </w:tr>
      <w:tr>
        <w:trPr>
          <w:trHeight w:val="177" w:hRule="atLeast"/>
        </w:trPr>
        <w:tc>
          <w:tcPr>
            <w:tcW w:w="2568" w:type="dxa"/>
          </w:tcPr>
          <w:p>
            <w:pPr>
              <w:pStyle w:val="TableParagraph"/>
              <w:spacing w:line="152" w:lineRule="exact" w:before="6"/>
              <w:ind w:left="186"/>
              <w:rPr>
                <w:sz w:val="14"/>
              </w:rPr>
            </w:pPr>
            <w:r>
              <w:rPr>
                <w:sz w:val="14"/>
              </w:rPr>
              <w:t>Certificated Salaries</w:t>
            </w:r>
          </w:p>
        </w:tc>
        <w:tc>
          <w:tcPr>
            <w:tcW w:w="772" w:type="dxa"/>
          </w:tcPr>
          <w:p>
            <w:pPr>
              <w:pStyle w:val="TableParagraph"/>
              <w:spacing w:line="131" w:lineRule="exact" w:before="27"/>
              <w:ind w:left="76"/>
              <w:rPr>
                <w:sz w:val="12"/>
              </w:rPr>
            </w:pPr>
            <w:r>
              <w:rPr>
                <w:w w:val="105"/>
                <w:sz w:val="12"/>
              </w:rPr>
              <w:t>1000-1999</w:t>
            </w:r>
          </w:p>
        </w:tc>
        <w:tc>
          <w:tcPr>
            <w:tcW w:w="1174" w:type="dxa"/>
            <w:shd w:val="clear" w:color="auto" w:fill="BFBFBF"/>
          </w:tcPr>
          <w:p>
            <w:pPr>
              <w:pStyle w:val="TableParagraph"/>
              <w:rPr>
                <w:rFonts w:ascii="Times New Roman"/>
                <w:sz w:val="10"/>
              </w:rPr>
            </w:pPr>
          </w:p>
        </w:tc>
        <w:tc>
          <w:tcPr>
            <w:tcW w:w="1174" w:type="dxa"/>
          </w:tcPr>
          <w:p>
            <w:pPr>
              <w:pStyle w:val="TableParagraph"/>
              <w:spacing w:line="131" w:lineRule="exact" w:before="27"/>
              <w:ind w:right="28"/>
              <w:jc w:val="right"/>
              <w:rPr>
                <w:sz w:val="12"/>
              </w:rPr>
            </w:pPr>
            <w:r>
              <w:rPr>
                <w:w w:val="105"/>
                <w:sz w:val="12"/>
              </w:rPr>
              <w:t>10,281.00</w:t>
            </w:r>
          </w:p>
        </w:tc>
        <w:tc>
          <w:tcPr>
            <w:tcW w:w="1273" w:type="dxa"/>
          </w:tcPr>
          <w:p>
            <w:pPr>
              <w:pStyle w:val="TableParagraph"/>
              <w:spacing w:line="131" w:lineRule="exact" w:before="27"/>
              <w:ind w:right="127"/>
              <w:jc w:val="right"/>
              <w:rPr>
                <w:sz w:val="12"/>
              </w:rPr>
            </w:pPr>
            <w:r>
              <w:rPr>
                <w:w w:val="105"/>
                <w:sz w:val="12"/>
              </w:rPr>
              <w:t>51,447.00</w:t>
            </w:r>
          </w:p>
        </w:tc>
        <w:tc>
          <w:tcPr>
            <w:tcW w:w="1211" w:type="dxa"/>
          </w:tcPr>
          <w:p>
            <w:pPr>
              <w:pStyle w:val="TableParagraph"/>
              <w:spacing w:line="131" w:lineRule="exact" w:before="27"/>
              <w:ind w:right="164"/>
              <w:jc w:val="right"/>
              <w:rPr>
                <w:sz w:val="12"/>
              </w:rPr>
            </w:pPr>
            <w:r>
              <w:rPr>
                <w:w w:val="105"/>
                <w:sz w:val="12"/>
              </w:rPr>
              <w:t>51,043.00</w:t>
            </w:r>
          </w:p>
        </w:tc>
        <w:tc>
          <w:tcPr>
            <w:tcW w:w="1146" w:type="dxa"/>
          </w:tcPr>
          <w:p>
            <w:pPr>
              <w:pStyle w:val="TableParagraph"/>
              <w:spacing w:line="131" w:lineRule="exact" w:before="27"/>
              <w:ind w:right="137"/>
              <w:jc w:val="right"/>
              <w:rPr>
                <w:sz w:val="12"/>
              </w:rPr>
            </w:pPr>
            <w:r>
              <w:rPr>
                <w:w w:val="105"/>
                <w:sz w:val="12"/>
              </w:rPr>
              <w:t>50,456.00</w:t>
            </w:r>
          </w:p>
        </w:tc>
        <w:tc>
          <w:tcPr>
            <w:tcW w:w="1065" w:type="dxa"/>
          </w:tcPr>
          <w:p>
            <w:pPr>
              <w:pStyle w:val="TableParagraph"/>
              <w:spacing w:line="131" w:lineRule="exact" w:before="27"/>
              <w:ind w:right="28"/>
              <w:jc w:val="right"/>
              <w:rPr>
                <w:sz w:val="12"/>
              </w:rPr>
            </w:pPr>
            <w:r>
              <w:rPr>
                <w:w w:val="105"/>
                <w:sz w:val="12"/>
              </w:rPr>
              <w:t>52,166.00</w:t>
            </w:r>
          </w:p>
        </w:tc>
        <w:tc>
          <w:tcPr>
            <w:tcW w:w="1321" w:type="dxa"/>
          </w:tcPr>
          <w:p>
            <w:pPr>
              <w:pStyle w:val="TableParagraph"/>
              <w:spacing w:line="131" w:lineRule="exact" w:before="27"/>
              <w:ind w:right="176"/>
              <w:jc w:val="right"/>
              <w:rPr>
                <w:sz w:val="12"/>
              </w:rPr>
            </w:pPr>
            <w:r>
              <w:rPr>
                <w:w w:val="105"/>
                <w:sz w:val="12"/>
              </w:rPr>
              <w:t>49,904.00</w:t>
            </w:r>
          </w:p>
        </w:tc>
        <w:tc>
          <w:tcPr>
            <w:tcW w:w="1026" w:type="dxa"/>
          </w:tcPr>
          <w:p>
            <w:pPr>
              <w:pStyle w:val="TableParagraph"/>
              <w:spacing w:line="131" w:lineRule="exact" w:before="27"/>
              <w:ind w:right="28"/>
              <w:jc w:val="right"/>
              <w:rPr>
                <w:sz w:val="12"/>
              </w:rPr>
            </w:pPr>
            <w:r>
              <w:rPr>
                <w:w w:val="105"/>
                <w:sz w:val="12"/>
              </w:rPr>
              <w:t>50,399.00</w:t>
            </w:r>
          </w:p>
        </w:tc>
        <w:tc>
          <w:tcPr>
            <w:tcW w:w="1176" w:type="dxa"/>
          </w:tcPr>
          <w:p>
            <w:pPr>
              <w:pStyle w:val="TableParagraph"/>
              <w:spacing w:line="131" w:lineRule="exact" w:before="27"/>
              <w:ind w:right="30"/>
              <w:jc w:val="right"/>
              <w:rPr>
                <w:sz w:val="12"/>
              </w:rPr>
            </w:pPr>
            <w:r>
              <w:rPr>
                <w:w w:val="105"/>
                <w:sz w:val="12"/>
              </w:rPr>
              <w:t>48,555.00</w:t>
            </w:r>
          </w:p>
        </w:tc>
      </w:tr>
      <w:tr>
        <w:trPr>
          <w:trHeight w:val="177" w:hRule="atLeast"/>
        </w:trPr>
        <w:tc>
          <w:tcPr>
            <w:tcW w:w="2568" w:type="dxa"/>
          </w:tcPr>
          <w:p>
            <w:pPr>
              <w:pStyle w:val="TableParagraph"/>
              <w:spacing w:line="152" w:lineRule="exact" w:before="6"/>
              <w:ind w:left="186"/>
              <w:rPr>
                <w:sz w:val="14"/>
              </w:rPr>
            </w:pPr>
            <w:r>
              <w:rPr>
                <w:sz w:val="14"/>
              </w:rPr>
              <w:t>Classified Salaries</w:t>
            </w:r>
          </w:p>
        </w:tc>
        <w:tc>
          <w:tcPr>
            <w:tcW w:w="772" w:type="dxa"/>
          </w:tcPr>
          <w:p>
            <w:pPr>
              <w:pStyle w:val="TableParagraph"/>
              <w:spacing w:line="131" w:lineRule="exact" w:before="27"/>
              <w:ind w:left="76"/>
              <w:rPr>
                <w:sz w:val="12"/>
              </w:rPr>
            </w:pPr>
            <w:r>
              <w:rPr>
                <w:w w:val="105"/>
                <w:sz w:val="12"/>
              </w:rPr>
              <w:t>2000-2999</w:t>
            </w:r>
          </w:p>
        </w:tc>
        <w:tc>
          <w:tcPr>
            <w:tcW w:w="1174" w:type="dxa"/>
            <w:shd w:val="clear" w:color="auto" w:fill="BFBFBF"/>
          </w:tcPr>
          <w:p>
            <w:pPr>
              <w:pStyle w:val="TableParagraph"/>
              <w:rPr>
                <w:rFonts w:ascii="Times New Roman"/>
                <w:sz w:val="10"/>
              </w:rPr>
            </w:pPr>
          </w:p>
        </w:tc>
        <w:tc>
          <w:tcPr>
            <w:tcW w:w="1174" w:type="dxa"/>
          </w:tcPr>
          <w:p>
            <w:pPr>
              <w:pStyle w:val="TableParagraph"/>
              <w:spacing w:line="131" w:lineRule="exact" w:before="27"/>
              <w:ind w:right="28"/>
              <w:jc w:val="right"/>
              <w:rPr>
                <w:sz w:val="12"/>
              </w:rPr>
            </w:pPr>
            <w:r>
              <w:rPr>
                <w:w w:val="105"/>
                <w:sz w:val="12"/>
              </w:rPr>
              <w:t>17,168.00</w:t>
            </w:r>
          </w:p>
        </w:tc>
        <w:tc>
          <w:tcPr>
            <w:tcW w:w="1273" w:type="dxa"/>
          </w:tcPr>
          <w:p>
            <w:pPr>
              <w:pStyle w:val="TableParagraph"/>
              <w:spacing w:line="131" w:lineRule="exact" w:before="27"/>
              <w:ind w:right="127"/>
              <w:jc w:val="right"/>
              <w:rPr>
                <w:sz w:val="12"/>
              </w:rPr>
            </w:pPr>
            <w:r>
              <w:rPr>
                <w:w w:val="105"/>
                <w:sz w:val="12"/>
              </w:rPr>
              <w:t>40,522.00</w:t>
            </w:r>
          </w:p>
        </w:tc>
        <w:tc>
          <w:tcPr>
            <w:tcW w:w="1211" w:type="dxa"/>
          </w:tcPr>
          <w:p>
            <w:pPr>
              <w:pStyle w:val="TableParagraph"/>
              <w:spacing w:line="131" w:lineRule="exact" w:before="27"/>
              <w:ind w:right="164"/>
              <w:jc w:val="right"/>
              <w:rPr>
                <w:sz w:val="12"/>
              </w:rPr>
            </w:pPr>
            <w:r>
              <w:rPr>
                <w:w w:val="105"/>
                <w:sz w:val="12"/>
              </w:rPr>
              <w:t>41,489.00</w:t>
            </w:r>
          </w:p>
        </w:tc>
        <w:tc>
          <w:tcPr>
            <w:tcW w:w="1146" w:type="dxa"/>
          </w:tcPr>
          <w:p>
            <w:pPr>
              <w:pStyle w:val="TableParagraph"/>
              <w:spacing w:line="131" w:lineRule="exact" w:before="27"/>
              <w:ind w:right="137"/>
              <w:jc w:val="right"/>
              <w:rPr>
                <w:sz w:val="12"/>
              </w:rPr>
            </w:pPr>
            <w:r>
              <w:rPr>
                <w:w w:val="105"/>
                <w:sz w:val="12"/>
              </w:rPr>
              <w:t>45,464.00</w:t>
            </w:r>
          </w:p>
        </w:tc>
        <w:tc>
          <w:tcPr>
            <w:tcW w:w="1065" w:type="dxa"/>
          </w:tcPr>
          <w:p>
            <w:pPr>
              <w:pStyle w:val="TableParagraph"/>
              <w:spacing w:line="131" w:lineRule="exact" w:before="27"/>
              <w:ind w:right="28"/>
              <w:jc w:val="right"/>
              <w:rPr>
                <w:sz w:val="12"/>
              </w:rPr>
            </w:pPr>
            <w:r>
              <w:rPr>
                <w:w w:val="105"/>
                <w:sz w:val="12"/>
              </w:rPr>
              <w:t>42,591.00</w:t>
            </w:r>
          </w:p>
        </w:tc>
        <w:tc>
          <w:tcPr>
            <w:tcW w:w="1321" w:type="dxa"/>
          </w:tcPr>
          <w:p>
            <w:pPr>
              <w:pStyle w:val="TableParagraph"/>
              <w:spacing w:line="131" w:lineRule="exact" w:before="27"/>
              <w:ind w:right="176"/>
              <w:jc w:val="right"/>
              <w:rPr>
                <w:sz w:val="12"/>
              </w:rPr>
            </w:pPr>
            <w:r>
              <w:rPr>
                <w:w w:val="105"/>
                <w:sz w:val="12"/>
              </w:rPr>
              <w:t>41,135.00</w:t>
            </w:r>
          </w:p>
        </w:tc>
        <w:tc>
          <w:tcPr>
            <w:tcW w:w="1026" w:type="dxa"/>
          </w:tcPr>
          <w:p>
            <w:pPr>
              <w:pStyle w:val="TableParagraph"/>
              <w:spacing w:line="131" w:lineRule="exact" w:before="27"/>
              <w:ind w:right="28"/>
              <w:jc w:val="right"/>
              <w:rPr>
                <w:sz w:val="12"/>
              </w:rPr>
            </w:pPr>
            <w:r>
              <w:rPr>
                <w:w w:val="105"/>
                <w:sz w:val="12"/>
              </w:rPr>
              <w:t>40,033.00</w:t>
            </w:r>
          </w:p>
        </w:tc>
        <w:tc>
          <w:tcPr>
            <w:tcW w:w="1176" w:type="dxa"/>
          </w:tcPr>
          <w:p>
            <w:pPr>
              <w:pStyle w:val="TableParagraph"/>
              <w:spacing w:line="131" w:lineRule="exact" w:before="27"/>
              <w:ind w:right="30"/>
              <w:jc w:val="right"/>
              <w:rPr>
                <w:sz w:val="12"/>
              </w:rPr>
            </w:pPr>
            <w:r>
              <w:rPr>
                <w:w w:val="105"/>
                <w:sz w:val="12"/>
              </w:rPr>
              <w:t>40,513.00</w:t>
            </w:r>
          </w:p>
        </w:tc>
      </w:tr>
      <w:tr>
        <w:trPr>
          <w:trHeight w:val="177" w:hRule="atLeast"/>
        </w:trPr>
        <w:tc>
          <w:tcPr>
            <w:tcW w:w="2568" w:type="dxa"/>
          </w:tcPr>
          <w:p>
            <w:pPr>
              <w:pStyle w:val="TableParagraph"/>
              <w:spacing w:line="152" w:lineRule="exact" w:before="6"/>
              <w:ind w:left="186"/>
              <w:rPr>
                <w:sz w:val="14"/>
              </w:rPr>
            </w:pPr>
            <w:r>
              <w:rPr>
                <w:sz w:val="14"/>
              </w:rPr>
              <w:t>Employee Benefits</w:t>
            </w:r>
          </w:p>
        </w:tc>
        <w:tc>
          <w:tcPr>
            <w:tcW w:w="772" w:type="dxa"/>
          </w:tcPr>
          <w:p>
            <w:pPr>
              <w:pStyle w:val="TableParagraph"/>
              <w:spacing w:line="131" w:lineRule="exact" w:before="27"/>
              <w:ind w:left="76"/>
              <w:rPr>
                <w:sz w:val="12"/>
              </w:rPr>
            </w:pPr>
            <w:r>
              <w:rPr>
                <w:w w:val="105"/>
                <w:sz w:val="12"/>
              </w:rPr>
              <w:t>3000-3999</w:t>
            </w:r>
          </w:p>
        </w:tc>
        <w:tc>
          <w:tcPr>
            <w:tcW w:w="1174" w:type="dxa"/>
            <w:shd w:val="clear" w:color="auto" w:fill="BFBFBF"/>
          </w:tcPr>
          <w:p>
            <w:pPr>
              <w:pStyle w:val="TableParagraph"/>
              <w:rPr>
                <w:rFonts w:ascii="Times New Roman"/>
                <w:sz w:val="10"/>
              </w:rPr>
            </w:pPr>
          </w:p>
        </w:tc>
        <w:tc>
          <w:tcPr>
            <w:tcW w:w="1174" w:type="dxa"/>
          </w:tcPr>
          <w:p>
            <w:pPr>
              <w:pStyle w:val="TableParagraph"/>
              <w:spacing w:line="131" w:lineRule="exact" w:before="27"/>
              <w:ind w:right="28"/>
              <w:jc w:val="right"/>
              <w:rPr>
                <w:sz w:val="12"/>
              </w:rPr>
            </w:pPr>
            <w:r>
              <w:rPr>
                <w:w w:val="105"/>
                <w:sz w:val="12"/>
              </w:rPr>
              <w:t>9,792.00</w:t>
            </w:r>
          </w:p>
        </w:tc>
        <w:tc>
          <w:tcPr>
            <w:tcW w:w="1273" w:type="dxa"/>
          </w:tcPr>
          <w:p>
            <w:pPr>
              <w:pStyle w:val="TableParagraph"/>
              <w:spacing w:line="131" w:lineRule="exact" w:before="27"/>
              <w:ind w:right="127"/>
              <w:jc w:val="right"/>
              <w:rPr>
                <w:sz w:val="12"/>
              </w:rPr>
            </w:pPr>
            <w:r>
              <w:rPr>
                <w:w w:val="105"/>
                <w:sz w:val="12"/>
              </w:rPr>
              <w:t>30,132.00</w:t>
            </w:r>
          </w:p>
        </w:tc>
        <w:tc>
          <w:tcPr>
            <w:tcW w:w="1211" w:type="dxa"/>
          </w:tcPr>
          <w:p>
            <w:pPr>
              <w:pStyle w:val="TableParagraph"/>
              <w:spacing w:line="131" w:lineRule="exact" w:before="27"/>
              <w:ind w:right="164"/>
              <w:jc w:val="right"/>
              <w:rPr>
                <w:sz w:val="12"/>
              </w:rPr>
            </w:pPr>
            <w:r>
              <w:rPr>
                <w:w w:val="105"/>
                <w:sz w:val="12"/>
              </w:rPr>
              <w:t>30,579.00</w:t>
            </w:r>
          </w:p>
        </w:tc>
        <w:tc>
          <w:tcPr>
            <w:tcW w:w="1146" w:type="dxa"/>
          </w:tcPr>
          <w:p>
            <w:pPr>
              <w:pStyle w:val="TableParagraph"/>
              <w:spacing w:line="131" w:lineRule="exact" w:before="27"/>
              <w:ind w:right="137"/>
              <w:jc w:val="right"/>
              <w:rPr>
                <w:sz w:val="12"/>
              </w:rPr>
            </w:pPr>
            <w:r>
              <w:rPr>
                <w:w w:val="105"/>
                <w:sz w:val="12"/>
              </w:rPr>
              <w:t>30,757.00</w:t>
            </w:r>
          </w:p>
        </w:tc>
        <w:tc>
          <w:tcPr>
            <w:tcW w:w="1065" w:type="dxa"/>
          </w:tcPr>
          <w:p>
            <w:pPr>
              <w:pStyle w:val="TableParagraph"/>
              <w:spacing w:line="131" w:lineRule="exact" w:before="27"/>
              <w:ind w:right="28"/>
              <w:jc w:val="right"/>
              <w:rPr>
                <w:sz w:val="12"/>
              </w:rPr>
            </w:pPr>
            <w:r>
              <w:rPr>
                <w:w w:val="105"/>
                <w:sz w:val="12"/>
              </w:rPr>
              <w:t>31,104.00</w:t>
            </w:r>
          </w:p>
        </w:tc>
        <w:tc>
          <w:tcPr>
            <w:tcW w:w="1321" w:type="dxa"/>
          </w:tcPr>
          <w:p>
            <w:pPr>
              <w:pStyle w:val="TableParagraph"/>
              <w:spacing w:line="131" w:lineRule="exact" w:before="27"/>
              <w:ind w:right="176"/>
              <w:jc w:val="right"/>
              <w:rPr>
                <w:sz w:val="12"/>
              </w:rPr>
            </w:pPr>
            <w:r>
              <w:rPr>
                <w:w w:val="105"/>
                <w:sz w:val="12"/>
              </w:rPr>
              <w:t>30,487.00</w:t>
            </w:r>
          </w:p>
        </w:tc>
        <w:tc>
          <w:tcPr>
            <w:tcW w:w="1026" w:type="dxa"/>
          </w:tcPr>
          <w:p>
            <w:pPr>
              <w:pStyle w:val="TableParagraph"/>
              <w:spacing w:line="131" w:lineRule="exact" w:before="27"/>
              <w:ind w:right="28"/>
              <w:jc w:val="right"/>
              <w:rPr>
                <w:sz w:val="12"/>
              </w:rPr>
            </w:pPr>
            <w:r>
              <w:rPr>
                <w:w w:val="105"/>
                <w:sz w:val="12"/>
              </w:rPr>
              <w:t>28,984.00</w:t>
            </w:r>
          </w:p>
        </w:tc>
        <w:tc>
          <w:tcPr>
            <w:tcW w:w="1176" w:type="dxa"/>
          </w:tcPr>
          <w:p>
            <w:pPr>
              <w:pStyle w:val="TableParagraph"/>
              <w:spacing w:line="131" w:lineRule="exact" w:before="27"/>
              <w:ind w:right="30"/>
              <w:jc w:val="right"/>
              <w:rPr>
                <w:sz w:val="12"/>
              </w:rPr>
            </w:pPr>
            <w:r>
              <w:rPr>
                <w:w w:val="105"/>
                <w:sz w:val="12"/>
              </w:rPr>
              <w:t>31,961.00</w:t>
            </w:r>
          </w:p>
        </w:tc>
      </w:tr>
      <w:tr>
        <w:trPr>
          <w:trHeight w:val="177" w:hRule="atLeast"/>
        </w:trPr>
        <w:tc>
          <w:tcPr>
            <w:tcW w:w="2568" w:type="dxa"/>
          </w:tcPr>
          <w:p>
            <w:pPr>
              <w:pStyle w:val="TableParagraph"/>
              <w:spacing w:line="152" w:lineRule="exact" w:before="6"/>
              <w:ind w:left="186"/>
              <w:rPr>
                <w:sz w:val="14"/>
              </w:rPr>
            </w:pPr>
            <w:r>
              <w:rPr>
                <w:sz w:val="14"/>
              </w:rPr>
              <w:t>Books and Supplies</w:t>
            </w:r>
          </w:p>
        </w:tc>
        <w:tc>
          <w:tcPr>
            <w:tcW w:w="772" w:type="dxa"/>
          </w:tcPr>
          <w:p>
            <w:pPr>
              <w:pStyle w:val="TableParagraph"/>
              <w:spacing w:line="131" w:lineRule="exact" w:before="27"/>
              <w:ind w:left="76"/>
              <w:rPr>
                <w:sz w:val="12"/>
              </w:rPr>
            </w:pPr>
            <w:r>
              <w:rPr>
                <w:w w:val="105"/>
                <w:sz w:val="12"/>
              </w:rPr>
              <w:t>4000-4999</w:t>
            </w:r>
          </w:p>
        </w:tc>
        <w:tc>
          <w:tcPr>
            <w:tcW w:w="1174" w:type="dxa"/>
            <w:shd w:val="clear" w:color="auto" w:fill="BFBFBF"/>
          </w:tcPr>
          <w:p>
            <w:pPr>
              <w:pStyle w:val="TableParagraph"/>
              <w:rPr>
                <w:rFonts w:ascii="Times New Roman"/>
                <w:sz w:val="10"/>
              </w:rPr>
            </w:pPr>
          </w:p>
        </w:tc>
        <w:tc>
          <w:tcPr>
            <w:tcW w:w="1174" w:type="dxa"/>
          </w:tcPr>
          <w:p>
            <w:pPr>
              <w:pStyle w:val="TableParagraph"/>
              <w:spacing w:line="131" w:lineRule="exact" w:before="27"/>
              <w:ind w:right="28"/>
              <w:jc w:val="right"/>
              <w:rPr>
                <w:sz w:val="12"/>
              </w:rPr>
            </w:pPr>
            <w:r>
              <w:rPr>
                <w:w w:val="105"/>
                <w:sz w:val="12"/>
              </w:rPr>
              <w:t>2,695.00</w:t>
            </w:r>
          </w:p>
        </w:tc>
        <w:tc>
          <w:tcPr>
            <w:tcW w:w="1273" w:type="dxa"/>
          </w:tcPr>
          <w:p>
            <w:pPr>
              <w:pStyle w:val="TableParagraph"/>
              <w:spacing w:line="131" w:lineRule="exact" w:before="27"/>
              <w:ind w:right="127"/>
              <w:jc w:val="right"/>
              <w:rPr>
                <w:sz w:val="12"/>
              </w:rPr>
            </w:pPr>
            <w:r>
              <w:rPr>
                <w:w w:val="105"/>
                <w:sz w:val="12"/>
              </w:rPr>
              <w:t>14,710.00</w:t>
            </w:r>
          </w:p>
        </w:tc>
        <w:tc>
          <w:tcPr>
            <w:tcW w:w="1211" w:type="dxa"/>
          </w:tcPr>
          <w:p>
            <w:pPr>
              <w:pStyle w:val="TableParagraph"/>
              <w:spacing w:line="131" w:lineRule="exact" w:before="27"/>
              <w:ind w:right="164"/>
              <w:jc w:val="right"/>
              <w:rPr>
                <w:sz w:val="12"/>
              </w:rPr>
            </w:pPr>
            <w:r>
              <w:rPr>
                <w:w w:val="105"/>
                <w:sz w:val="12"/>
              </w:rPr>
              <w:t>24,993.00</w:t>
            </w:r>
          </w:p>
        </w:tc>
        <w:tc>
          <w:tcPr>
            <w:tcW w:w="1146" w:type="dxa"/>
          </w:tcPr>
          <w:p>
            <w:pPr>
              <w:pStyle w:val="TableParagraph"/>
              <w:spacing w:line="131" w:lineRule="exact" w:before="27"/>
              <w:ind w:right="137"/>
              <w:jc w:val="right"/>
              <w:rPr>
                <w:sz w:val="12"/>
              </w:rPr>
            </w:pPr>
            <w:r>
              <w:rPr>
                <w:w w:val="105"/>
                <w:sz w:val="12"/>
              </w:rPr>
              <w:t>19,192.00</w:t>
            </w:r>
          </w:p>
        </w:tc>
        <w:tc>
          <w:tcPr>
            <w:tcW w:w="1065" w:type="dxa"/>
          </w:tcPr>
          <w:p>
            <w:pPr>
              <w:pStyle w:val="TableParagraph"/>
              <w:spacing w:line="131" w:lineRule="exact" w:before="27"/>
              <w:ind w:right="28"/>
              <w:jc w:val="right"/>
              <w:rPr>
                <w:sz w:val="12"/>
              </w:rPr>
            </w:pPr>
            <w:r>
              <w:rPr>
                <w:w w:val="105"/>
                <w:sz w:val="12"/>
              </w:rPr>
              <w:t>11,932.00</w:t>
            </w:r>
          </w:p>
        </w:tc>
        <w:tc>
          <w:tcPr>
            <w:tcW w:w="1321" w:type="dxa"/>
          </w:tcPr>
          <w:p>
            <w:pPr>
              <w:pStyle w:val="TableParagraph"/>
              <w:spacing w:line="131" w:lineRule="exact" w:before="27"/>
              <w:ind w:right="176"/>
              <w:jc w:val="right"/>
              <w:rPr>
                <w:sz w:val="12"/>
              </w:rPr>
            </w:pPr>
            <w:r>
              <w:rPr>
                <w:w w:val="105"/>
                <w:sz w:val="12"/>
              </w:rPr>
              <w:t>7,025.00</w:t>
            </w:r>
          </w:p>
        </w:tc>
        <w:tc>
          <w:tcPr>
            <w:tcW w:w="1026" w:type="dxa"/>
          </w:tcPr>
          <w:p>
            <w:pPr>
              <w:pStyle w:val="TableParagraph"/>
              <w:spacing w:line="131" w:lineRule="exact" w:before="27"/>
              <w:ind w:right="28"/>
              <w:jc w:val="right"/>
              <w:rPr>
                <w:sz w:val="12"/>
              </w:rPr>
            </w:pPr>
            <w:r>
              <w:rPr>
                <w:w w:val="105"/>
                <w:sz w:val="12"/>
              </w:rPr>
              <w:t>9,171.00</w:t>
            </w:r>
          </w:p>
        </w:tc>
        <w:tc>
          <w:tcPr>
            <w:tcW w:w="1176" w:type="dxa"/>
          </w:tcPr>
          <w:p>
            <w:pPr>
              <w:pStyle w:val="TableParagraph"/>
              <w:spacing w:line="131" w:lineRule="exact" w:before="27"/>
              <w:ind w:right="31"/>
              <w:jc w:val="right"/>
              <w:rPr>
                <w:sz w:val="12"/>
              </w:rPr>
            </w:pPr>
            <w:r>
              <w:rPr>
                <w:w w:val="105"/>
                <w:sz w:val="12"/>
              </w:rPr>
              <w:t>9,967.00</w:t>
            </w:r>
          </w:p>
        </w:tc>
      </w:tr>
      <w:tr>
        <w:trPr>
          <w:trHeight w:val="177" w:hRule="atLeast"/>
        </w:trPr>
        <w:tc>
          <w:tcPr>
            <w:tcW w:w="2568" w:type="dxa"/>
          </w:tcPr>
          <w:p>
            <w:pPr>
              <w:pStyle w:val="TableParagraph"/>
              <w:spacing w:line="152" w:lineRule="exact" w:before="6"/>
              <w:ind w:left="186"/>
              <w:rPr>
                <w:sz w:val="14"/>
              </w:rPr>
            </w:pPr>
            <w:r>
              <w:rPr>
                <w:sz w:val="14"/>
              </w:rPr>
              <w:t>Services</w:t>
            </w:r>
          </w:p>
        </w:tc>
        <w:tc>
          <w:tcPr>
            <w:tcW w:w="772" w:type="dxa"/>
          </w:tcPr>
          <w:p>
            <w:pPr>
              <w:pStyle w:val="TableParagraph"/>
              <w:spacing w:line="131" w:lineRule="exact" w:before="27"/>
              <w:ind w:left="76"/>
              <w:rPr>
                <w:sz w:val="12"/>
              </w:rPr>
            </w:pPr>
            <w:r>
              <w:rPr>
                <w:w w:val="105"/>
                <w:sz w:val="12"/>
              </w:rPr>
              <w:t>5000-5999</w:t>
            </w:r>
          </w:p>
        </w:tc>
        <w:tc>
          <w:tcPr>
            <w:tcW w:w="1174" w:type="dxa"/>
            <w:shd w:val="clear" w:color="auto" w:fill="BFBFBF"/>
          </w:tcPr>
          <w:p>
            <w:pPr>
              <w:pStyle w:val="TableParagraph"/>
              <w:rPr>
                <w:rFonts w:ascii="Times New Roman"/>
                <w:sz w:val="10"/>
              </w:rPr>
            </w:pPr>
          </w:p>
        </w:tc>
        <w:tc>
          <w:tcPr>
            <w:tcW w:w="1174" w:type="dxa"/>
          </w:tcPr>
          <w:p>
            <w:pPr>
              <w:pStyle w:val="TableParagraph"/>
              <w:spacing w:line="131" w:lineRule="exact" w:before="27"/>
              <w:ind w:right="28"/>
              <w:jc w:val="right"/>
              <w:rPr>
                <w:sz w:val="12"/>
              </w:rPr>
            </w:pPr>
            <w:r>
              <w:rPr>
                <w:w w:val="105"/>
                <w:sz w:val="12"/>
              </w:rPr>
              <w:t>32,163.00</w:t>
            </w:r>
          </w:p>
        </w:tc>
        <w:tc>
          <w:tcPr>
            <w:tcW w:w="1273" w:type="dxa"/>
          </w:tcPr>
          <w:p>
            <w:pPr>
              <w:pStyle w:val="TableParagraph"/>
              <w:spacing w:line="131" w:lineRule="exact" w:before="27"/>
              <w:ind w:right="127"/>
              <w:jc w:val="right"/>
              <w:rPr>
                <w:sz w:val="12"/>
              </w:rPr>
            </w:pPr>
            <w:r>
              <w:rPr>
                <w:w w:val="105"/>
                <w:sz w:val="12"/>
              </w:rPr>
              <w:t>54,400.00</w:t>
            </w:r>
          </w:p>
        </w:tc>
        <w:tc>
          <w:tcPr>
            <w:tcW w:w="1211" w:type="dxa"/>
          </w:tcPr>
          <w:p>
            <w:pPr>
              <w:pStyle w:val="TableParagraph"/>
              <w:spacing w:line="131" w:lineRule="exact" w:before="27"/>
              <w:ind w:right="164"/>
              <w:jc w:val="right"/>
              <w:rPr>
                <w:sz w:val="12"/>
              </w:rPr>
            </w:pPr>
            <w:r>
              <w:rPr>
                <w:w w:val="105"/>
                <w:sz w:val="12"/>
              </w:rPr>
              <w:t>20,014.00</w:t>
            </w:r>
          </w:p>
        </w:tc>
        <w:tc>
          <w:tcPr>
            <w:tcW w:w="1146" w:type="dxa"/>
          </w:tcPr>
          <w:p>
            <w:pPr>
              <w:pStyle w:val="TableParagraph"/>
              <w:spacing w:line="131" w:lineRule="exact" w:before="27"/>
              <w:ind w:right="137"/>
              <w:jc w:val="right"/>
              <w:rPr>
                <w:sz w:val="12"/>
              </w:rPr>
            </w:pPr>
            <w:r>
              <w:rPr>
                <w:w w:val="105"/>
                <w:sz w:val="12"/>
              </w:rPr>
              <w:t>67,633.00</w:t>
            </w:r>
          </w:p>
        </w:tc>
        <w:tc>
          <w:tcPr>
            <w:tcW w:w="1065" w:type="dxa"/>
          </w:tcPr>
          <w:p>
            <w:pPr>
              <w:pStyle w:val="TableParagraph"/>
              <w:spacing w:line="131" w:lineRule="exact" w:before="27"/>
              <w:ind w:right="28"/>
              <w:jc w:val="right"/>
              <w:rPr>
                <w:sz w:val="12"/>
              </w:rPr>
            </w:pPr>
            <w:r>
              <w:rPr>
                <w:w w:val="105"/>
                <w:sz w:val="12"/>
              </w:rPr>
              <w:t>20,347.00</w:t>
            </w:r>
          </w:p>
        </w:tc>
        <w:tc>
          <w:tcPr>
            <w:tcW w:w="1321" w:type="dxa"/>
          </w:tcPr>
          <w:p>
            <w:pPr>
              <w:pStyle w:val="TableParagraph"/>
              <w:spacing w:line="131" w:lineRule="exact" w:before="27"/>
              <w:ind w:right="176"/>
              <w:jc w:val="right"/>
              <w:rPr>
                <w:sz w:val="12"/>
              </w:rPr>
            </w:pPr>
            <w:r>
              <w:rPr>
                <w:w w:val="105"/>
                <w:sz w:val="12"/>
              </w:rPr>
              <w:t>16,916.00</w:t>
            </w:r>
          </w:p>
        </w:tc>
        <w:tc>
          <w:tcPr>
            <w:tcW w:w="1026" w:type="dxa"/>
          </w:tcPr>
          <w:p>
            <w:pPr>
              <w:pStyle w:val="TableParagraph"/>
              <w:spacing w:line="131" w:lineRule="exact" w:before="27"/>
              <w:ind w:right="28"/>
              <w:jc w:val="right"/>
              <w:rPr>
                <w:sz w:val="12"/>
              </w:rPr>
            </w:pPr>
            <w:r>
              <w:rPr>
                <w:w w:val="105"/>
                <w:sz w:val="12"/>
              </w:rPr>
              <w:t>27,100.00</w:t>
            </w:r>
          </w:p>
        </w:tc>
        <w:tc>
          <w:tcPr>
            <w:tcW w:w="1176" w:type="dxa"/>
          </w:tcPr>
          <w:p>
            <w:pPr>
              <w:pStyle w:val="TableParagraph"/>
              <w:spacing w:line="131" w:lineRule="exact" w:before="27"/>
              <w:ind w:right="30"/>
              <w:jc w:val="right"/>
              <w:rPr>
                <w:sz w:val="12"/>
              </w:rPr>
            </w:pPr>
            <w:r>
              <w:rPr>
                <w:w w:val="105"/>
                <w:sz w:val="12"/>
              </w:rPr>
              <w:t>14,610.00</w:t>
            </w:r>
          </w:p>
        </w:tc>
      </w:tr>
      <w:tr>
        <w:trPr>
          <w:trHeight w:val="177" w:hRule="atLeast"/>
        </w:trPr>
        <w:tc>
          <w:tcPr>
            <w:tcW w:w="2568" w:type="dxa"/>
          </w:tcPr>
          <w:p>
            <w:pPr>
              <w:pStyle w:val="TableParagraph"/>
              <w:spacing w:line="152" w:lineRule="exact" w:before="6"/>
              <w:ind w:left="186"/>
              <w:rPr>
                <w:sz w:val="14"/>
              </w:rPr>
            </w:pPr>
            <w:r>
              <w:rPr>
                <w:sz w:val="14"/>
              </w:rPr>
              <w:t>Capital Outlay</w:t>
            </w:r>
          </w:p>
        </w:tc>
        <w:tc>
          <w:tcPr>
            <w:tcW w:w="772" w:type="dxa"/>
          </w:tcPr>
          <w:p>
            <w:pPr>
              <w:pStyle w:val="TableParagraph"/>
              <w:spacing w:line="131" w:lineRule="exact" w:before="27"/>
              <w:ind w:left="76"/>
              <w:rPr>
                <w:sz w:val="12"/>
              </w:rPr>
            </w:pPr>
            <w:r>
              <w:rPr>
                <w:w w:val="105"/>
                <w:sz w:val="12"/>
              </w:rPr>
              <w:t>6000-6599</w:t>
            </w:r>
          </w:p>
        </w:tc>
        <w:tc>
          <w:tcPr>
            <w:tcW w:w="1174" w:type="dxa"/>
            <w:shd w:val="clear" w:color="auto" w:fill="BFBFBF"/>
          </w:tcPr>
          <w:p>
            <w:pPr>
              <w:pStyle w:val="TableParagraph"/>
              <w:rPr>
                <w:rFonts w:ascii="Times New Roman"/>
                <w:sz w:val="10"/>
              </w:rPr>
            </w:pPr>
          </w:p>
        </w:tc>
        <w:tc>
          <w:tcPr>
            <w:tcW w:w="1174" w:type="dxa"/>
          </w:tcPr>
          <w:p>
            <w:pPr>
              <w:pStyle w:val="TableParagraph"/>
              <w:spacing w:line="131" w:lineRule="exact" w:before="27"/>
              <w:ind w:right="28"/>
              <w:jc w:val="right"/>
              <w:rPr>
                <w:sz w:val="12"/>
              </w:rPr>
            </w:pPr>
            <w:r>
              <w:rPr>
                <w:w w:val="105"/>
                <w:sz w:val="12"/>
              </w:rPr>
              <w:t>406.00</w:t>
            </w:r>
          </w:p>
        </w:tc>
        <w:tc>
          <w:tcPr>
            <w:tcW w:w="1273" w:type="dxa"/>
          </w:tcPr>
          <w:p>
            <w:pPr>
              <w:pStyle w:val="TableParagraph"/>
              <w:spacing w:line="131" w:lineRule="exact" w:before="27"/>
              <w:ind w:right="127"/>
              <w:jc w:val="right"/>
              <w:rPr>
                <w:sz w:val="12"/>
              </w:rPr>
            </w:pPr>
            <w:r>
              <w:rPr>
                <w:w w:val="105"/>
                <w:sz w:val="12"/>
              </w:rPr>
              <w:t>2,001.00</w:t>
            </w:r>
          </w:p>
        </w:tc>
        <w:tc>
          <w:tcPr>
            <w:tcW w:w="1211" w:type="dxa"/>
          </w:tcPr>
          <w:p>
            <w:pPr>
              <w:pStyle w:val="TableParagraph"/>
              <w:spacing w:line="131" w:lineRule="exact" w:before="27"/>
              <w:ind w:right="165"/>
              <w:jc w:val="right"/>
              <w:rPr>
                <w:sz w:val="12"/>
              </w:rPr>
            </w:pPr>
            <w:r>
              <w:rPr>
                <w:w w:val="105"/>
                <w:sz w:val="12"/>
              </w:rPr>
              <w:t>1,682.00</w:t>
            </w:r>
          </w:p>
        </w:tc>
        <w:tc>
          <w:tcPr>
            <w:tcW w:w="1146" w:type="dxa"/>
          </w:tcPr>
          <w:p>
            <w:pPr>
              <w:pStyle w:val="TableParagraph"/>
              <w:spacing w:line="131" w:lineRule="exact" w:before="27"/>
              <w:ind w:right="137"/>
              <w:jc w:val="right"/>
              <w:rPr>
                <w:sz w:val="12"/>
              </w:rPr>
            </w:pPr>
            <w:r>
              <w:rPr>
                <w:w w:val="105"/>
                <w:sz w:val="12"/>
              </w:rPr>
              <w:t>1,126.00</w:t>
            </w:r>
          </w:p>
        </w:tc>
        <w:tc>
          <w:tcPr>
            <w:tcW w:w="1065" w:type="dxa"/>
          </w:tcPr>
          <w:p>
            <w:pPr>
              <w:pStyle w:val="TableParagraph"/>
              <w:spacing w:line="131" w:lineRule="exact" w:before="27"/>
              <w:ind w:right="29"/>
              <w:jc w:val="right"/>
              <w:rPr>
                <w:sz w:val="12"/>
              </w:rPr>
            </w:pPr>
            <w:r>
              <w:rPr>
                <w:w w:val="105"/>
                <w:sz w:val="12"/>
              </w:rPr>
              <w:t>379.00</w:t>
            </w:r>
          </w:p>
        </w:tc>
        <w:tc>
          <w:tcPr>
            <w:tcW w:w="1321" w:type="dxa"/>
          </w:tcPr>
          <w:p>
            <w:pPr>
              <w:pStyle w:val="TableParagraph"/>
              <w:spacing w:line="131" w:lineRule="exact" w:before="27"/>
              <w:ind w:right="176"/>
              <w:jc w:val="right"/>
              <w:rPr>
                <w:sz w:val="12"/>
              </w:rPr>
            </w:pPr>
            <w:r>
              <w:rPr>
                <w:w w:val="105"/>
                <w:sz w:val="12"/>
              </w:rPr>
              <w:t>1,333.00</w:t>
            </w:r>
          </w:p>
        </w:tc>
        <w:tc>
          <w:tcPr>
            <w:tcW w:w="1026" w:type="dxa"/>
          </w:tcPr>
          <w:p>
            <w:pPr>
              <w:pStyle w:val="TableParagraph"/>
              <w:spacing w:line="131" w:lineRule="exact" w:before="27"/>
              <w:ind w:right="28"/>
              <w:jc w:val="right"/>
              <w:rPr>
                <w:sz w:val="12"/>
              </w:rPr>
            </w:pPr>
            <w:r>
              <w:rPr>
                <w:w w:val="105"/>
                <w:sz w:val="12"/>
              </w:rPr>
              <w:t>1,278.00</w:t>
            </w:r>
          </w:p>
        </w:tc>
        <w:tc>
          <w:tcPr>
            <w:tcW w:w="1176" w:type="dxa"/>
          </w:tcPr>
          <w:p>
            <w:pPr>
              <w:pStyle w:val="TableParagraph"/>
              <w:spacing w:line="131" w:lineRule="exact" w:before="27"/>
              <w:ind w:right="30"/>
              <w:jc w:val="right"/>
              <w:rPr>
                <w:sz w:val="12"/>
              </w:rPr>
            </w:pPr>
            <w:r>
              <w:rPr>
                <w:w w:val="105"/>
                <w:sz w:val="12"/>
              </w:rPr>
              <w:t>0.00</w:t>
            </w:r>
          </w:p>
        </w:tc>
      </w:tr>
      <w:tr>
        <w:trPr>
          <w:trHeight w:val="177" w:hRule="atLeast"/>
        </w:trPr>
        <w:tc>
          <w:tcPr>
            <w:tcW w:w="2568" w:type="dxa"/>
          </w:tcPr>
          <w:p>
            <w:pPr>
              <w:pStyle w:val="TableParagraph"/>
              <w:spacing w:line="152" w:lineRule="exact" w:before="6"/>
              <w:ind w:left="186"/>
              <w:rPr>
                <w:sz w:val="14"/>
              </w:rPr>
            </w:pPr>
            <w:r>
              <w:rPr>
                <w:sz w:val="14"/>
              </w:rPr>
              <w:t>Other Outgo</w:t>
            </w:r>
          </w:p>
        </w:tc>
        <w:tc>
          <w:tcPr>
            <w:tcW w:w="772" w:type="dxa"/>
          </w:tcPr>
          <w:p>
            <w:pPr>
              <w:pStyle w:val="TableParagraph"/>
              <w:spacing w:line="131" w:lineRule="exact" w:before="27"/>
              <w:ind w:left="76"/>
              <w:rPr>
                <w:sz w:val="12"/>
              </w:rPr>
            </w:pPr>
            <w:r>
              <w:rPr>
                <w:w w:val="105"/>
                <w:sz w:val="12"/>
              </w:rPr>
              <w:t>7000-7499</w:t>
            </w:r>
          </w:p>
        </w:tc>
        <w:tc>
          <w:tcPr>
            <w:tcW w:w="1174" w:type="dxa"/>
            <w:shd w:val="clear" w:color="auto" w:fill="BFBFBF"/>
          </w:tcPr>
          <w:p>
            <w:pPr>
              <w:pStyle w:val="TableParagraph"/>
              <w:rPr>
                <w:rFonts w:ascii="Times New Roman"/>
                <w:sz w:val="10"/>
              </w:rPr>
            </w:pPr>
          </w:p>
        </w:tc>
        <w:tc>
          <w:tcPr>
            <w:tcW w:w="1174" w:type="dxa"/>
          </w:tcPr>
          <w:p>
            <w:pPr>
              <w:pStyle w:val="TableParagraph"/>
              <w:spacing w:line="131" w:lineRule="exact" w:before="27"/>
              <w:ind w:right="28"/>
              <w:jc w:val="right"/>
              <w:rPr>
                <w:sz w:val="12"/>
              </w:rPr>
            </w:pPr>
            <w:r>
              <w:rPr>
                <w:w w:val="105"/>
                <w:sz w:val="12"/>
              </w:rPr>
              <w:t>0.00</w:t>
            </w:r>
          </w:p>
        </w:tc>
        <w:tc>
          <w:tcPr>
            <w:tcW w:w="1273" w:type="dxa"/>
          </w:tcPr>
          <w:p>
            <w:pPr>
              <w:pStyle w:val="TableParagraph"/>
              <w:spacing w:line="131" w:lineRule="exact" w:before="27"/>
              <w:ind w:right="127"/>
              <w:jc w:val="right"/>
              <w:rPr>
                <w:sz w:val="12"/>
              </w:rPr>
            </w:pPr>
            <w:r>
              <w:rPr>
                <w:w w:val="105"/>
                <w:sz w:val="12"/>
              </w:rPr>
              <w:t>0.00</w:t>
            </w:r>
          </w:p>
        </w:tc>
        <w:tc>
          <w:tcPr>
            <w:tcW w:w="1211" w:type="dxa"/>
          </w:tcPr>
          <w:p>
            <w:pPr>
              <w:pStyle w:val="TableParagraph"/>
              <w:spacing w:line="131" w:lineRule="exact" w:before="27"/>
              <w:ind w:right="164"/>
              <w:jc w:val="right"/>
              <w:rPr>
                <w:sz w:val="12"/>
              </w:rPr>
            </w:pPr>
            <w:r>
              <w:rPr>
                <w:w w:val="105"/>
                <w:sz w:val="12"/>
              </w:rPr>
              <w:t>0.00</w:t>
            </w:r>
          </w:p>
        </w:tc>
        <w:tc>
          <w:tcPr>
            <w:tcW w:w="1146" w:type="dxa"/>
          </w:tcPr>
          <w:p>
            <w:pPr>
              <w:pStyle w:val="TableParagraph"/>
              <w:spacing w:line="131" w:lineRule="exact" w:before="27"/>
              <w:ind w:right="137"/>
              <w:jc w:val="right"/>
              <w:rPr>
                <w:sz w:val="12"/>
              </w:rPr>
            </w:pPr>
            <w:r>
              <w:rPr>
                <w:w w:val="105"/>
                <w:sz w:val="12"/>
              </w:rPr>
              <w:t>0.00</w:t>
            </w:r>
          </w:p>
        </w:tc>
        <w:tc>
          <w:tcPr>
            <w:tcW w:w="1065" w:type="dxa"/>
          </w:tcPr>
          <w:p>
            <w:pPr>
              <w:pStyle w:val="TableParagraph"/>
              <w:spacing w:line="131" w:lineRule="exact" w:before="27"/>
              <w:ind w:right="28"/>
              <w:jc w:val="right"/>
              <w:rPr>
                <w:sz w:val="12"/>
              </w:rPr>
            </w:pPr>
            <w:r>
              <w:rPr>
                <w:w w:val="105"/>
                <w:sz w:val="12"/>
              </w:rPr>
              <w:t>0.00</w:t>
            </w:r>
          </w:p>
        </w:tc>
        <w:tc>
          <w:tcPr>
            <w:tcW w:w="1321" w:type="dxa"/>
          </w:tcPr>
          <w:p>
            <w:pPr>
              <w:pStyle w:val="TableParagraph"/>
              <w:spacing w:line="131" w:lineRule="exact" w:before="27"/>
              <w:ind w:right="176"/>
              <w:jc w:val="right"/>
              <w:rPr>
                <w:sz w:val="12"/>
              </w:rPr>
            </w:pPr>
            <w:r>
              <w:rPr>
                <w:w w:val="105"/>
                <w:sz w:val="12"/>
              </w:rPr>
              <w:t>0.00</w:t>
            </w:r>
          </w:p>
        </w:tc>
        <w:tc>
          <w:tcPr>
            <w:tcW w:w="1026" w:type="dxa"/>
          </w:tcPr>
          <w:p>
            <w:pPr>
              <w:pStyle w:val="TableParagraph"/>
              <w:spacing w:line="131" w:lineRule="exact" w:before="27"/>
              <w:ind w:right="28"/>
              <w:jc w:val="right"/>
              <w:rPr>
                <w:sz w:val="12"/>
              </w:rPr>
            </w:pPr>
            <w:r>
              <w:rPr>
                <w:w w:val="105"/>
                <w:sz w:val="12"/>
              </w:rPr>
              <w:t>0.00</w:t>
            </w:r>
          </w:p>
        </w:tc>
        <w:tc>
          <w:tcPr>
            <w:tcW w:w="1176" w:type="dxa"/>
          </w:tcPr>
          <w:p>
            <w:pPr>
              <w:pStyle w:val="TableParagraph"/>
              <w:spacing w:line="131" w:lineRule="exact" w:before="27"/>
              <w:ind w:right="30"/>
              <w:jc w:val="right"/>
              <w:rPr>
                <w:sz w:val="12"/>
              </w:rPr>
            </w:pPr>
            <w:r>
              <w:rPr>
                <w:w w:val="105"/>
                <w:sz w:val="12"/>
              </w:rPr>
              <w:t>0.00</w:t>
            </w:r>
          </w:p>
        </w:tc>
      </w:tr>
      <w:tr>
        <w:trPr>
          <w:trHeight w:val="177" w:hRule="atLeast"/>
        </w:trPr>
        <w:tc>
          <w:tcPr>
            <w:tcW w:w="2568" w:type="dxa"/>
          </w:tcPr>
          <w:p>
            <w:pPr>
              <w:pStyle w:val="TableParagraph"/>
              <w:spacing w:line="152" w:lineRule="exact" w:before="6"/>
              <w:ind w:left="186"/>
              <w:rPr>
                <w:sz w:val="14"/>
              </w:rPr>
            </w:pPr>
            <w:r>
              <w:rPr>
                <w:sz w:val="14"/>
              </w:rPr>
              <w:t>Interfund Transfers Out</w:t>
            </w:r>
          </w:p>
        </w:tc>
        <w:tc>
          <w:tcPr>
            <w:tcW w:w="772" w:type="dxa"/>
          </w:tcPr>
          <w:p>
            <w:pPr>
              <w:pStyle w:val="TableParagraph"/>
              <w:spacing w:line="131" w:lineRule="exact" w:before="27"/>
              <w:ind w:left="76"/>
              <w:rPr>
                <w:sz w:val="12"/>
              </w:rPr>
            </w:pPr>
            <w:r>
              <w:rPr>
                <w:w w:val="105"/>
                <w:sz w:val="12"/>
              </w:rPr>
              <w:t>7600-7629</w:t>
            </w:r>
          </w:p>
        </w:tc>
        <w:tc>
          <w:tcPr>
            <w:tcW w:w="1174" w:type="dxa"/>
            <w:shd w:val="clear" w:color="auto" w:fill="BFBFBF"/>
          </w:tcPr>
          <w:p>
            <w:pPr>
              <w:pStyle w:val="TableParagraph"/>
              <w:rPr>
                <w:rFonts w:ascii="Times New Roman"/>
                <w:sz w:val="10"/>
              </w:rPr>
            </w:pPr>
          </w:p>
        </w:tc>
        <w:tc>
          <w:tcPr>
            <w:tcW w:w="1174" w:type="dxa"/>
          </w:tcPr>
          <w:p>
            <w:pPr>
              <w:pStyle w:val="TableParagraph"/>
              <w:spacing w:line="131" w:lineRule="exact" w:before="27"/>
              <w:ind w:right="28"/>
              <w:jc w:val="right"/>
              <w:rPr>
                <w:sz w:val="12"/>
              </w:rPr>
            </w:pPr>
            <w:r>
              <w:rPr>
                <w:w w:val="105"/>
                <w:sz w:val="12"/>
              </w:rPr>
              <w:t>0.00</w:t>
            </w:r>
          </w:p>
        </w:tc>
        <w:tc>
          <w:tcPr>
            <w:tcW w:w="1273" w:type="dxa"/>
          </w:tcPr>
          <w:p>
            <w:pPr>
              <w:pStyle w:val="TableParagraph"/>
              <w:spacing w:line="131" w:lineRule="exact" w:before="27"/>
              <w:ind w:right="127"/>
              <w:jc w:val="right"/>
              <w:rPr>
                <w:sz w:val="12"/>
              </w:rPr>
            </w:pPr>
            <w:r>
              <w:rPr>
                <w:w w:val="105"/>
                <w:sz w:val="12"/>
              </w:rPr>
              <w:t>0.00</w:t>
            </w:r>
          </w:p>
        </w:tc>
        <w:tc>
          <w:tcPr>
            <w:tcW w:w="1211" w:type="dxa"/>
          </w:tcPr>
          <w:p>
            <w:pPr>
              <w:pStyle w:val="TableParagraph"/>
              <w:spacing w:line="131" w:lineRule="exact" w:before="27"/>
              <w:ind w:right="164"/>
              <w:jc w:val="right"/>
              <w:rPr>
                <w:sz w:val="12"/>
              </w:rPr>
            </w:pPr>
            <w:r>
              <w:rPr>
                <w:w w:val="105"/>
                <w:sz w:val="12"/>
              </w:rPr>
              <w:t>0.00</w:t>
            </w:r>
          </w:p>
        </w:tc>
        <w:tc>
          <w:tcPr>
            <w:tcW w:w="1146" w:type="dxa"/>
          </w:tcPr>
          <w:p>
            <w:pPr>
              <w:pStyle w:val="TableParagraph"/>
              <w:spacing w:line="131" w:lineRule="exact" w:before="27"/>
              <w:ind w:right="137"/>
              <w:jc w:val="right"/>
              <w:rPr>
                <w:sz w:val="12"/>
              </w:rPr>
            </w:pPr>
            <w:r>
              <w:rPr>
                <w:w w:val="105"/>
                <w:sz w:val="12"/>
              </w:rPr>
              <w:t>0.00</w:t>
            </w:r>
          </w:p>
        </w:tc>
        <w:tc>
          <w:tcPr>
            <w:tcW w:w="1065" w:type="dxa"/>
          </w:tcPr>
          <w:p>
            <w:pPr>
              <w:pStyle w:val="TableParagraph"/>
              <w:spacing w:line="131" w:lineRule="exact" w:before="27"/>
              <w:ind w:right="28"/>
              <w:jc w:val="right"/>
              <w:rPr>
                <w:sz w:val="12"/>
              </w:rPr>
            </w:pPr>
            <w:r>
              <w:rPr>
                <w:w w:val="105"/>
                <w:sz w:val="12"/>
              </w:rPr>
              <w:t>0.00</w:t>
            </w:r>
          </w:p>
        </w:tc>
        <w:tc>
          <w:tcPr>
            <w:tcW w:w="1321" w:type="dxa"/>
          </w:tcPr>
          <w:p>
            <w:pPr>
              <w:pStyle w:val="TableParagraph"/>
              <w:spacing w:line="131" w:lineRule="exact" w:before="27"/>
              <w:ind w:right="176"/>
              <w:jc w:val="right"/>
              <w:rPr>
                <w:sz w:val="12"/>
              </w:rPr>
            </w:pPr>
            <w:r>
              <w:rPr>
                <w:w w:val="105"/>
                <w:sz w:val="12"/>
              </w:rPr>
              <w:t>0.00</w:t>
            </w:r>
          </w:p>
        </w:tc>
        <w:tc>
          <w:tcPr>
            <w:tcW w:w="1026" w:type="dxa"/>
          </w:tcPr>
          <w:p>
            <w:pPr>
              <w:pStyle w:val="TableParagraph"/>
              <w:spacing w:line="131" w:lineRule="exact" w:before="27"/>
              <w:ind w:right="28"/>
              <w:jc w:val="right"/>
              <w:rPr>
                <w:sz w:val="12"/>
              </w:rPr>
            </w:pPr>
            <w:r>
              <w:rPr>
                <w:w w:val="105"/>
                <w:sz w:val="12"/>
              </w:rPr>
              <w:t>0.00</w:t>
            </w:r>
          </w:p>
        </w:tc>
        <w:tc>
          <w:tcPr>
            <w:tcW w:w="1176" w:type="dxa"/>
          </w:tcPr>
          <w:p>
            <w:pPr>
              <w:pStyle w:val="TableParagraph"/>
              <w:spacing w:line="131" w:lineRule="exact" w:before="27"/>
              <w:ind w:right="30"/>
              <w:jc w:val="right"/>
              <w:rPr>
                <w:sz w:val="12"/>
              </w:rPr>
            </w:pPr>
            <w:r>
              <w:rPr>
                <w:w w:val="105"/>
                <w:sz w:val="12"/>
              </w:rPr>
              <w:t>0.00</w:t>
            </w:r>
          </w:p>
        </w:tc>
      </w:tr>
      <w:tr>
        <w:trPr>
          <w:trHeight w:val="177" w:hRule="atLeast"/>
        </w:trPr>
        <w:tc>
          <w:tcPr>
            <w:tcW w:w="2568" w:type="dxa"/>
          </w:tcPr>
          <w:p>
            <w:pPr>
              <w:pStyle w:val="TableParagraph"/>
              <w:spacing w:line="152" w:lineRule="exact" w:before="6"/>
              <w:ind w:left="186"/>
              <w:rPr>
                <w:sz w:val="14"/>
              </w:rPr>
            </w:pPr>
            <w:r>
              <w:rPr>
                <w:sz w:val="14"/>
              </w:rPr>
              <w:t>All Other Financing Uses</w:t>
            </w:r>
          </w:p>
        </w:tc>
        <w:tc>
          <w:tcPr>
            <w:tcW w:w="772" w:type="dxa"/>
          </w:tcPr>
          <w:p>
            <w:pPr>
              <w:pStyle w:val="TableParagraph"/>
              <w:spacing w:line="131" w:lineRule="exact" w:before="27"/>
              <w:ind w:left="76"/>
              <w:rPr>
                <w:sz w:val="12"/>
              </w:rPr>
            </w:pPr>
            <w:r>
              <w:rPr>
                <w:w w:val="105"/>
                <w:sz w:val="12"/>
              </w:rPr>
              <w:t>7630-7699</w:t>
            </w:r>
          </w:p>
        </w:tc>
        <w:tc>
          <w:tcPr>
            <w:tcW w:w="1174" w:type="dxa"/>
            <w:shd w:val="clear" w:color="auto" w:fill="BFBFBF"/>
          </w:tcPr>
          <w:p>
            <w:pPr>
              <w:pStyle w:val="TableParagraph"/>
              <w:rPr>
                <w:rFonts w:ascii="Times New Roman"/>
                <w:sz w:val="10"/>
              </w:rPr>
            </w:pPr>
          </w:p>
        </w:tc>
        <w:tc>
          <w:tcPr>
            <w:tcW w:w="1174" w:type="dxa"/>
          </w:tcPr>
          <w:p>
            <w:pPr>
              <w:pStyle w:val="TableParagraph"/>
              <w:spacing w:line="131" w:lineRule="exact" w:before="27"/>
              <w:ind w:right="28"/>
              <w:jc w:val="right"/>
              <w:rPr>
                <w:sz w:val="12"/>
              </w:rPr>
            </w:pPr>
            <w:r>
              <w:rPr>
                <w:w w:val="105"/>
                <w:sz w:val="12"/>
              </w:rPr>
              <w:t>0.00</w:t>
            </w:r>
          </w:p>
        </w:tc>
        <w:tc>
          <w:tcPr>
            <w:tcW w:w="1273" w:type="dxa"/>
          </w:tcPr>
          <w:p>
            <w:pPr>
              <w:pStyle w:val="TableParagraph"/>
              <w:spacing w:line="131" w:lineRule="exact" w:before="27"/>
              <w:ind w:right="127"/>
              <w:jc w:val="right"/>
              <w:rPr>
                <w:sz w:val="12"/>
              </w:rPr>
            </w:pPr>
            <w:r>
              <w:rPr>
                <w:w w:val="105"/>
                <w:sz w:val="12"/>
              </w:rPr>
              <w:t>0.00</w:t>
            </w:r>
          </w:p>
        </w:tc>
        <w:tc>
          <w:tcPr>
            <w:tcW w:w="1211" w:type="dxa"/>
          </w:tcPr>
          <w:p>
            <w:pPr>
              <w:pStyle w:val="TableParagraph"/>
              <w:spacing w:line="131" w:lineRule="exact" w:before="27"/>
              <w:ind w:right="164"/>
              <w:jc w:val="right"/>
              <w:rPr>
                <w:sz w:val="12"/>
              </w:rPr>
            </w:pPr>
            <w:r>
              <w:rPr>
                <w:w w:val="105"/>
                <w:sz w:val="12"/>
              </w:rPr>
              <w:t>0.00</w:t>
            </w:r>
          </w:p>
        </w:tc>
        <w:tc>
          <w:tcPr>
            <w:tcW w:w="1146" w:type="dxa"/>
          </w:tcPr>
          <w:p>
            <w:pPr>
              <w:pStyle w:val="TableParagraph"/>
              <w:spacing w:line="131" w:lineRule="exact" w:before="27"/>
              <w:ind w:right="137"/>
              <w:jc w:val="right"/>
              <w:rPr>
                <w:sz w:val="12"/>
              </w:rPr>
            </w:pPr>
            <w:r>
              <w:rPr>
                <w:w w:val="105"/>
                <w:sz w:val="12"/>
              </w:rPr>
              <w:t>0.00</w:t>
            </w:r>
          </w:p>
        </w:tc>
        <w:tc>
          <w:tcPr>
            <w:tcW w:w="1065" w:type="dxa"/>
          </w:tcPr>
          <w:p>
            <w:pPr>
              <w:pStyle w:val="TableParagraph"/>
              <w:spacing w:line="131" w:lineRule="exact" w:before="27"/>
              <w:ind w:right="28"/>
              <w:jc w:val="right"/>
              <w:rPr>
                <w:sz w:val="12"/>
              </w:rPr>
            </w:pPr>
            <w:r>
              <w:rPr>
                <w:w w:val="105"/>
                <w:sz w:val="12"/>
              </w:rPr>
              <w:t>0.00</w:t>
            </w:r>
          </w:p>
        </w:tc>
        <w:tc>
          <w:tcPr>
            <w:tcW w:w="1321" w:type="dxa"/>
          </w:tcPr>
          <w:p>
            <w:pPr>
              <w:pStyle w:val="TableParagraph"/>
              <w:spacing w:line="131" w:lineRule="exact" w:before="27"/>
              <w:ind w:right="176"/>
              <w:jc w:val="right"/>
              <w:rPr>
                <w:sz w:val="12"/>
              </w:rPr>
            </w:pPr>
            <w:r>
              <w:rPr>
                <w:w w:val="105"/>
                <w:sz w:val="12"/>
              </w:rPr>
              <w:t>0.00</w:t>
            </w:r>
          </w:p>
        </w:tc>
        <w:tc>
          <w:tcPr>
            <w:tcW w:w="1026" w:type="dxa"/>
          </w:tcPr>
          <w:p>
            <w:pPr>
              <w:pStyle w:val="TableParagraph"/>
              <w:spacing w:line="131" w:lineRule="exact" w:before="27"/>
              <w:ind w:right="28"/>
              <w:jc w:val="right"/>
              <w:rPr>
                <w:sz w:val="12"/>
              </w:rPr>
            </w:pPr>
            <w:r>
              <w:rPr>
                <w:w w:val="105"/>
                <w:sz w:val="12"/>
              </w:rPr>
              <w:t>0.00</w:t>
            </w:r>
          </w:p>
        </w:tc>
        <w:tc>
          <w:tcPr>
            <w:tcW w:w="1176" w:type="dxa"/>
          </w:tcPr>
          <w:p>
            <w:pPr>
              <w:pStyle w:val="TableParagraph"/>
              <w:spacing w:line="131" w:lineRule="exact" w:before="27"/>
              <w:ind w:right="30"/>
              <w:jc w:val="right"/>
              <w:rPr>
                <w:sz w:val="12"/>
              </w:rPr>
            </w:pPr>
            <w:r>
              <w:rPr>
                <w:w w:val="105"/>
                <w:sz w:val="12"/>
              </w:rPr>
              <w:t>0.00</w:t>
            </w:r>
          </w:p>
        </w:tc>
      </w:tr>
      <w:tr>
        <w:trPr>
          <w:trHeight w:val="170" w:hRule="atLeast"/>
        </w:trPr>
        <w:tc>
          <w:tcPr>
            <w:tcW w:w="2568" w:type="dxa"/>
          </w:tcPr>
          <w:p>
            <w:pPr>
              <w:pStyle w:val="TableParagraph"/>
              <w:spacing w:line="145" w:lineRule="exact" w:before="6"/>
              <w:ind w:left="186"/>
              <w:rPr>
                <w:sz w:val="14"/>
              </w:rPr>
            </w:pPr>
            <w:r>
              <w:rPr>
                <w:sz w:val="14"/>
              </w:rPr>
              <w:t>TOTAL DISBURSEMENTS</w:t>
            </w:r>
          </w:p>
        </w:tc>
        <w:tc>
          <w:tcPr>
            <w:tcW w:w="772" w:type="dxa"/>
          </w:tcPr>
          <w:p>
            <w:pPr>
              <w:pStyle w:val="TableParagraph"/>
              <w:rPr>
                <w:rFonts w:ascii="Times New Roman"/>
                <w:sz w:val="10"/>
              </w:rPr>
            </w:pPr>
          </w:p>
        </w:tc>
        <w:tc>
          <w:tcPr>
            <w:tcW w:w="1174" w:type="dxa"/>
            <w:shd w:val="clear" w:color="auto" w:fill="BFBFBF"/>
          </w:tcPr>
          <w:p>
            <w:pPr>
              <w:pStyle w:val="TableParagraph"/>
              <w:rPr>
                <w:rFonts w:ascii="Times New Roman"/>
                <w:sz w:val="10"/>
              </w:rPr>
            </w:pPr>
          </w:p>
        </w:tc>
        <w:tc>
          <w:tcPr>
            <w:tcW w:w="1174" w:type="dxa"/>
          </w:tcPr>
          <w:p>
            <w:pPr>
              <w:pStyle w:val="TableParagraph"/>
              <w:spacing w:line="124" w:lineRule="exact" w:before="27"/>
              <w:ind w:right="28"/>
              <w:jc w:val="right"/>
              <w:rPr>
                <w:sz w:val="12"/>
              </w:rPr>
            </w:pPr>
            <w:r>
              <w:rPr>
                <w:w w:val="105"/>
                <w:sz w:val="12"/>
              </w:rPr>
              <w:t>72,505.00</w:t>
            </w:r>
          </w:p>
        </w:tc>
        <w:tc>
          <w:tcPr>
            <w:tcW w:w="1273" w:type="dxa"/>
          </w:tcPr>
          <w:p>
            <w:pPr>
              <w:pStyle w:val="TableParagraph"/>
              <w:spacing w:line="124" w:lineRule="exact" w:before="27"/>
              <w:ind w:right="128"/>
              <w:jc w:val="right"/>
              <w:rPr>
                <w:sz w:val="12"/>
              </w:rPr>
            </w:pPr>
            <w:r>
              <w:rPr>
                <w:w w:val="105"/>
                <w:sz w:val="12"/>
              </w:rPr>
              <w:t>193,212.00</w:t>
            </w:r>
          </w:p>
        </w:tc>
        <w:tc>
          <w:tcPr>
            <w:tcW w:w="1211" w:type="dxa"/>
          </w:tcPr>
          <w:p>
            <w:pPr>
              <w:pStyle w:val="TableParagraph"/>
              <w:spacing w:line="124" w:lineRule="exact" w:before="27"/>
              <w:ind w:right="165"/>
              <w:jc w:val="right"/>
              <w:rPr>
                <w:sz w:val="12"/>
              </w:rPr>
            </w:pPr>
            <w:r>
              <w:rPr>
                <w:w w:val="105"/>
                <w:sz w:val="12"/>
              </w:rPr>
              <w:t>169,800.00</w:t>
            </w:r>
          </w:p>
        </w:tc>
        <w:tc>
          <w:tcPr>
            <w:tcW w:w="1146" w:type="dxa"/>
          </w:tcPr>
          <w:p>
            <w:pPr>
              <w:pStyle w:val="TableParagraph"/>
              <w:spacing w:line="124" w:lineRule="exact" w:before="27"/>
              <w:ind w:right="138"/>
              <w:jc w:val="right"/>
              <w:rPr>
                <w:sz w:val="12"/>
              </w:rPr>
            </w:pPr>
            <w:r>
              <w:rPr>
                <w:w w:val="105"/>
                <w:sz w:val="12"/>
              </w:rPr>
              <w:t>214,628.00</w:t>
            </w:r>
          </w:p>
        </w:tc>
        <w:tc>
          <w:tcPr>
            <w:tcW w:w="1065" w:type="dxa"/>
          </w:tcPr>
          <w:p>
            <w:pPr>
              <w:pStyle w:val="TableParagraph"/>
              <w:spacing w:line="124" w:lineRule="exact" w:before="27"/>
              <w:ind w:right="29"/>
              <w:jc w:val="right"/>
              <w:rPr>
                <w:sz w:val="12"/>
              </w:rPr>
            </w:pPr>
            <w:r>
              <w:rPr>
                <w:w w:val="105"/>
                <w:sz w:val="12"/>
              </w:rPr>
              <w:t>158,519.00</w:t>
            </w:r>
          </w:p>
        </w:tc>
        <w:tc>
          <w:tcPr>
            <w:tcW w:w="1321" w:type="dxa"/>
          </w:tcPr>
          <w:p>
            <w:pPr>
              <w:pStyle w:val="TableParagraph"/>
              <w:spacing w:line="124" w:lineRule="exact" w:before="27"/>
              <w:ind w:right="176"/>
              <w:jc w:val="right"/>
              <w:rPr>
                <w:sz w:val="12"/>
              </w:rPr>
            </w:pPr>
            <w:r>
              <w:rPr>
                <w:w w:val="105"/>
                <w:sz w:val="12"/>
              </w:rPr>
              <w:t>146,800.00</w:t>
            </w:r>
          </w:p>
        </w:tc>
        <w:tc>
          <w:tcPr>
            <w:tcW w:w="1026" w:type="dxa"/>
          </w:tcPr>
          <w:p>
            <w:pPr>
              <w:pStyle w:val="TableParagraph"/>
              <w:spacing w:line="124" w:lineRule="exact" w:before="27"/>
              <w:ind w:right="29"/>
              <w:jc w:val="right"/>
              <w:rPr>
                <w:sz w:val="12"/>
              </w:rPr>
            </w:pPr>
            <w:r>
              <w:rPr>
                <w:w w:val="105"/>
                <w:sz w:val="12"/>
              </w:rPr>
              <w:t>156,965.00</w:t>
            </w:r>
          </w:p>
        </w:tc>
        <w:tc>
          <w:tcPr>
            <w:tcW w:w="1176" w:type="dxa"/>
          </w:tcPr>
          <w:p>
            <w:pPr>
              <w:pStyle w:val="TableParagraph"/>
              <w:spacing w:line="124" w:lineRule="exact" w:before="27"/>
              <w:ind w:right="31"/>
              <w:jc w:val="right"/>
              <w:rPr>
                <w:sz w:val="12"/>
              </w:rPr>
            </w:pPr>
            <w:r>
              <w:rPr>
                <w:w w:val="105"/>
                <w:sz w:val="12"/>
              </w:rPr>
              <w:t>145,606.00</w:t>
            </w:r>
          </w:p>
        </w:tc>
      </w:tr>
      <w:tr>
        <w:trPr>
          <w:trHeight w:val="184" w:hRule="atLeast"/>
        </w:trPr>
        <w:tc>
          <w:tcPr>
            <w:tcW w:w="2568" w:type="dxa"/>
          </w:tcPr>
          <w:p>
            <w:pPr>
              <w:pStyle w:val="TableParagraph"/>
              <w:spacing w:line="152" w:lineRule="exact" w:before="12"/>
              <w:ind w:left="32"/>
              <w:rPr>
                <w:sz w:val="14"/>
              </w:rPr>
            </w:pPr>
            <w:r>
              <w:rPr>
                <w:sz w:val="14"/>
              </w:rPr>
              <w:t>D. BALANCE SHEET ITEMS</w:t>
            </w:r>
          </w:p>
        </w:tc>
        <w:tc>
          <w:tcPr>
            <w:tcW w:w="772" w:type="dxa"/>
          </w:tcPr>
          <w:p>
            <w:pPr>
              <w:pStyle w:val="TableParagraph"/>
              <w:rPr>
                <w:rFonts w:ascii="Times New Roman"/>
                <w:sz w:val="12"/>
              </w:rPr>
            </w:pPr>
          </w:p>
        </w:tc>
        <w:tc>
          <w:tcPr>
            <w:tcW w:w="1174" w:type="dxa"/>
          </w:tcPr>
          <w:p>
            <w:pPr>
              <w:pStyle w:val="TableParagraph"/>
              <w:rPr>
                <w:rFonts w:ascii="Times New Roman"/>
                <w:sz w:val="12"/>
              </w:rPr>
            </w:pPr>
          </w:p>
        </w:tc>
        <w:tc>
          <w:tcPr>
            <w:tcW w:w="1174" w:type="dxa"/>
          </w:tcPr>
          <w:p>
            <w:pPr>
              <w:pStyle w:val="TableParagraph"/>
              <w:rPr>
                <w:rFonts w:ascii="Times New Roman"/>
                <w:sz w:val="12"/>
              </w:rPr>
            </w:pPr>
          </w:p>
        </w:tc>
        <w:tc>
          <w:tcPr>
            <w:tcW w:w="1273" w:type="dxa"/>
          </w:tcPr>
          <w:p>
            <w:pPr>
              <w:pStyle w:val="TableParagraph"/>
              <w:rPr>
                <w:rFonts w:ascii="Times New Roman"/>
                <w:sz w:val="12"/>
              </w:rPr>
            </w:pPr>
          </w:p>
        </w:tc>
        <w:tc>
          <w:tcPr>
            <w:tcW w:w="1211" w:type="dxa"/>
          </w:tcPr>
          <w:p>
            <w:pPr>
              <w:pStyle w:val="TableParagraph"/>
              <w:rPr>
                <w:rFonts w:ascii="Times New Roman"/>
                <w:sz w:val="12"/>
              </w:rPr>
            </w:pPr>
          </w:p>
        </w:tc>
        <w:tc>
          <w:tcPr>
            <w:tcW w:w="1146" w:type="dxa"/>
          </w:tcPr>
          <w:p>
            <w:pPr>
              <w:pStyle w:val="TableParagraph"/>
              <w:rPr>
                <w:rFonts w:ascii="Times New Roman"/>
                <w:sz w:val="12"/>
              </w:rPr>
            </w:pPr>
          </w:p>
        </w:tc>
        <w:tc>
          <w:tcPr>
            <w:tcW w:w="1065" w:type="dxa"/>
          </w:tcPr>
          <w:p>
            <w:pPr>
              <w:pStyle w:val="TableParagraph"/>
              <w:rPr>
                <w:rFonts w:ascii="Times New Roman"/>
                <w:sz w:val="12"/>
              </w:rPr>
            </w:pPr>
          </w:p>
        </w:tc>
        <w:tc>
          <w:tcPr>
            <w:tcW w:w="1321" w:type="dxa"/>
          </w:tcPr>
          <w:p>
            <w:pPr>
              <w:pStyle w:val="TableParagraph"/>
              <w:rPr>
                <w:rFonts w:ascii="Times New Roman"/>
                <w:sz w:val="12"/>
              </w:rPr>
            </w:pPr>
          </w:p>
        </w:tc>
        <w:tc>
          <w:tcPr>
            <w:tcW w:w="1026" w:type="dxa"/>
          </w:tcPr>
          <w:p>
            <w:pPr>
              <w:pStyle w:val="TableParagraph"/>
              <w:rPr>
                <w:rFonts w:ascii="Times New Roman"/>
                <w:sz w:val="12"/>
              </w:rPr>
            </w:pPr>
          </w:p>
        </w:tc>
        <w:tc>
          <w:tcPr>
            <w:tcW w:w="1176" w:type="dxa"/>
          </w:tcPr>
          <w:p>
            <w:pPr>
              <w:pStyle w:val="TableParagraph"/>
              <w:rPr>
                <w:rFonts w:ascii="Times New Roman"/>
                <w:sz w:val="12"/>
              </w:rPr>
            </w:pPr>
          </w:p>
        </w:tc>
      </w:tr>
      <w:tr>
        <w:trPr>
          <w:trHeight w:val="177" w:hRule="atLeast"/>
        </w:trPr>
        <w:tc>
          <w:tcPr>
            <w:tcW w:w="2568" w:type="dxa"/>
          </w:tcPr>
          <w:p>
            <w:pPr>
              <w:pStyle w:val="TableParagraph"/>
              <w:spacing w:line="152" w:lineRule="exact" w:before="6"/>
              <w:ind w:left="32"/>
              <w:rPr>
                <w:sz w:val="14"/>
              </w:rPr>
            </w:pPr>
            <w:r>
              <w:rPr>
                <w:spacing w:val="-94"/>
                <w:sz w:val="14"/>
                <w:u w:val="single"/>
              </w:rPr>
              <w:t>A</w:t>
            </w:r>
            <w:r>
              <w:rPr>
                <w:spacing w:val="54"/>
                <w:sz w:val="14"/>
              </w:rPr>
              <w:t> </w:t>
            </w:r>
            <w:r>
              <w:rPr>
                <w:sz w:val="14"/>
                <w:u w:val="single"/>
              </w:rPr>
              <w:t>ssets and Deferred Outflows</w:t>
            </w:r>
          </w:p>
        </w:tc>
        <w:tc>
          <w:tcPr>
            <w:tcW w:w="772" w:type="dxa"/>
          </w:tcPr>
          <w:p>
            <w:pPr>
              <w:pStyle w:val="TableParagraph"/>
              <w:rPr>
                <w:rFonts w:ascii="Times New Roman"/>
                <w:sz w:val="12"/>
              </w:rPr>
            </w:pPr>
          </w:p>
        </w:tc>
        <w:tc>
          <w:tcPr>
            <w:tcW w:w="1174" w:type="dxa"/>
          </w:tcPr>
          <w:p>
            <w:pPr>
              <w:pStyle w:val="TableParagraph"/>
              <w:rPr>
                <w:rFonts w:ascii="Times New Roman"/>
                <w:sz w:val="12"/>
              </w:rPr>
            </w:pPr>
          </w:p>
        </w:tc>
        <w:tc>
          <w:tcPr>
            <w:tcW w:w="1174" w:type="dxa"/>
          </w:tcPr>
          <w:p>
            <w:pPr>
              <w:pStyle w:val="TableParagraph"/>
              <w:rPr>
                <w:rFonts w:ascii="Times New Roman"/>
                <w:sz w:val="12"/>
              </w:rPr>
            </w:pPr>
          </w:p>
        </w:tc>
        <w:tc>
          <w:tcPr>
            <w:tcW w:w="1273" w:type="dxa"/>
          </w:tcPr>
          <w:p>
            <w:pPr>
              <w:pStyle w:val="TableParagraph"/>
              <w:rPr>
                <w:rFonts w:ascii="Times New Roman"/>
                <w:sz w:val="12"/>
              </w:rPr>
            </w:pPr>
          </w:p>
        </w:tc>
        <w:tc>
          <w:tcPr>
            <w:tcW w:w="1211" w:type="dxa"/>
          </w:tcPr>
          <w:p>
            <w:pPr>
              <w:pStyle w:val="TableParagraph"/>
              <w:rPr>
                <w:rFonts w:ascii="Times New Roman"/>
                <w:sz w:val="12"/>
              </w:rPr>
            </w:pPr>
          </w:p>
        </w:tc>
        <w:tc>
          <w:tcPr>
            <w:tcW w:w="1146" w:type="dxa"/>
          </w:tcPr>
          <w:p>
            <w:pPr>
              <w:pStyle w:val="TableParagraph"/>
              <w:rPr>
                <w:rFonts w:ascii="Times New Roman"/>
                <w:sz w:val="12"/>
              </w:rPr>
            </w:pPr>
          </w:p>
        </w:tc>
        <w:tc>
          <w:tcPr>
            <w:tcW w:w="1065" w:type="dxa"/>
          </w:tcPr>
          <w:p>
            <w:pPr>
              <w:pStyle w:val="TableParagraph"/>
              <w:rPr>
                <w:rFonts w:ascii="Times New Roman"/>
                <w:sz w:val="12"/>
              </w:rPr>
            </w:pPr>
          </w:p>
        </w:tc>
        <w:tc>
          <w:tcPr>
            <w:tcW w:w="1321" w:type="dxa"/>
          </w:tcPr>
          <w:p>
            <w:pPr>
              <w:pStyle w:val="TableParagraph"/>
              <w:rPr>
                <w:rFonts w:ascii="Times New Roman"/>
                <w:sz w:val="12"/>
              </w:rPr>
            </w:pPr>
          </w:p>
        </w:tc>
        <w:tc>
          <w:tcPr>
            <w:tcW w:w="1026" w:type="dxa"/>
          </w:tcPr>
          <w:p>
            <w:pPr>
              <w:pStyle w:val="TableParagraph"/>
              <w:rPr>
                <w:rFonts w:ascii="Times New Roman"/>
                <w:sz w:val="12"/>
              </w:rPr>
            </w:pPr>
          </w:p>
        </w:tc>
        <w:tc>
          <w:tcPr>
            <w:tcW w:w="1176" w:type="dxa"/>
          </w:tcPr>
          <w:p>
            <w:pPr>
              <w:pStyle w:val="TableParagraph"/>
              <w:rPr>
                <w:rFonts w:ascii="Times New Roman"/>
                <w:sz w:val="12"/>
              </w:rPr>
            </w:pPr>
          </w:p>
        </w:tc>
      </w:tr>
      <w:tr>
        <w:trPr>
          <w:trHeight w:val="177" w:hRule="atLeast"/>
        </w:trPr>
        <w:tc>
          <w:tcPr>
            <w:tcW w:w="2568" w:type="dxa"/>
          </w:tcPr>
          <w:p>
            <w:pPr>
              <w:pStyle w:val="TableParagraph"/>
              <w:spacing w:line="152" w:lineRule="exact" w:before="5"/>
              <w:ind w:left="186"/>
              <w:rPr>
                <w:sz w:val="14"/>
              </w:rPr>
            </w:pPr>
            <w:r>
              <w:rPr>
                <w:sz w:val="14"/>
              </w:rPr>
              <w:t>Cash Not In Treasury</w:t>
            </w:r>
          </w:p>
        </w:tc>
        <w:tc>
          <w:tcPr>
            <w:tcW w:w="772" w:type="dxa"/>
          </w:tcPr>
          <w:p>
            <w:pPr>
              <w:pStyle w:val="TableParagraph"/>
              <w:spacing w:line="131" w:lineRule="exact" w:before="26"/>
              <w:ind w:left="76"/>
              <w:rPr>
                <w:sz w:val="12"/>
              </w:rPr>
            </w:pPr>
            <w:r>
              <w:rPr>
                <w:w w:val="105"/>
                <w:sz w:val="12"/>
              </w:rPr>
              <w:t>9111-9199</w:t>
            </w:r>
          </w:p>
        </w:tc>
        <w:tc>
          <w:tcPr>
            <w:tcW w:w="1174" w:type="dxa"/>
          </w:tcPr>
          <w:p>
            <w:pPr>
              <w:pStyle w:val="TableParagraph"/>
              <w:rPr>
                <w:rFonts w:ascii="Times New Roman"/>
                <w:sz w:val="10"/>
              </w:rPr>
            </w:pPr>
          </w:p>
        </w:tc>
        <w:tc>
          <w:tcPr>
            <w:tcW w:w="1174" w:type="dxa"/>
          </w:tcPr>
          <w:p>
            <w:pPr>
              <w:pStyle w:val="TableParagraph"/>
              <w:rPr>
                <w:rFonts w:ascii="Times New Roman"/>
                <w:sz w:val="10"/>
              </w:rPr>
            </w:pPr>
          </w:p>
        </w:tc>
        <w:tc>
          <w:tcPr>
            <w:tcW w:w="1273" w:type="dxa"/>
          </w:tcPr>
          <w:p>
            <w:pPr>
              <w:pStyle w:val="TableParagraph"/>
              <w:rPr>
                <w:rFonts w:ascii="Times New Roman"/>
                <w:sz w:val="10"/>
              </w:rPr>
            </w:pPr>
          </w:p>
        </w:tc>
        <w:tc>
          <w:tcPr>
            <w:tcW w:w="1211" w:type="dxa"/>
          </w:tcPr>
          <w:p>
            <w:pPr>
              <w:pStyle w:val="TableParagraph"/>
              <w:rPr>
                <w:rFonts w:ascii="Times New Roman"/>
                <w:sz w:val="10"/>
              </w:rPr>
            </w:pPr>
          </w:p>
        </w:tc>
        <w:tc>
          <w:tcPr>
            <w:tcW w:w="1146" w:type="dxa"/>
          </w:tcPr>
          <w:p>
            <w:pPr>
              <w:pStyle w:val="TableParagraph"/>
              <w:rPr>
                <w:rFonts w:ascii="Times New Roman"/>
                <w:sz w:val="10"/>
              </w:rPr>
            </w:pPr>
          </w:p>
        </w:tc>
        <w:tc>
          <w:tcPr>
            <w:tcW w:w="1065" w:type="dxa"/>
          </w:tcPr>
          <w:p>
            <w:pPr>
              <w:pStyle w:val="TableParagraph"/>
              <w:rPr>
                <w:rFonts w:ascii="Times New Roman"/>
                <w:sz w:val="10"/>
              </w:rPr>
            </w:pPr>
          </w:p>
        </w:tc>
        <w:tc>
          <w:tcPr>
            <w:tcW w:w="1321" w:type="dxa"/>
          </w:tcPr>
          <w:p>
            <w:pPr>
              <w:pStyle w:val="TableParagraph"/>
              <w:rPr>
                <w:rFonts w:ascii="Times New Roman"/>
                <w:sz w:val="10"/>
              </w:rPr>
            </w:pPr>
          </w:p>
        </w:tc>
        <w:tc>
          <w:tcPr>
            <w:tcW w:w="1026" w:type="dxa"/>
          </w:tcPr>
          <w:p>
            <w:pPr>
              <w:pStyle w:val="TableParagraph"/>
              <w:rPr>
                <w:rFonts w:ascii="Times New Roman"/>
                <w:sz w:val="10"/>
              </w:rPr>
            </w:pPr>
          </w:p>
        </w:tc>
        <w:tc>
          <w:tcPr>
            <w:tcW w:w="1176" w:type="dxa"/>
          </w:tcPr>
          <w:p>
            <w:pPr>
              <w:pStyle w:val="TableParagraph"/>
              <w:rPr>
                <w:rFonts w:ascii="Times New Roman"/>
                <w:sz w:val="10"/>
              </w:rPr>
            </w:pPr>
          </w:p>
        </w:tc>
      </w:tr>
      <w:tr>
        <w:trPr>
          <w:trHeight w:val="177" w:hRule="atLeast"/>
        </w:trPr>
        <w:tc>
          <w:tcPr>
            <w:tcW w:w="2568" w:type="dxa"/>
          </w:tcPr>
          <w:p>
            <w:pPr>
              <w:pStyle w:val="TableParagraph"/>
              <w:spacing w:line="152" w:lineRule="exact" w:before="6"/>
              <w:ind w:left="186"/>
              <w:rPr>
                <w:sz w:val="14"/>
              </w:rPr>
            </w:pPr>
            <w:r>
              <w:rPr>
                <w:sz w:val="14"/>
              </w:rPr>
              <w:t>Accounts Receivable</w:t>
            </w:r>
          </w:p>
        </w:tc>
        <w:tc>
          <w:tcPr>
            <w:tcW w:w="772" w:type="dxa"/>
          </w:tcPr>
          <w:p>
            <w:pPr>
              <w:pStyle w:val="TableParagraph"/>
              <w:spacing w:line="131" w:lineRule="exact" w:before="27"/>
              <w:ind w:left="76"/>
              <w:rPr>
                <w:sz w:val="12"/>
              </w:rPr>
            </w:pPr>
            <w:r>
              <w:rPr>
                <w:w w:val="105"/>
                <w:sz w:val="12"/>
              </w:rPr>
              <w:t>9200-9299</w:t>
            </w:r>
          </w:p>
        </w:tc>
        <w:tc>
          <w:tcPr>
            <w:tcW w:w="1174" w:type="dxa"/>
          </w:tcPr>
          <w:p>
            <w:pPr>
              <w:pStyle w:val="TableParagraph"/>
              <w:spacing w:line="131" w:lineRule="exact" w:before="27"/>
              <w:ind w:right="28"/>
              <w:jc w:val="right"/>
              <w:rPr>
                <w:sz w:val="12"/>
              </w:rPr>
            </w:pPr>
            <w:r>
              <w:rPr>
                <w:w w:val="105"/>
                <w:sz w:val="12"/>
              </w:rPr>
              <w:t>157,403.00</w:t>
            </w:r>
          </w:p>
        </w:tc>
        <w:tc>
          <w:tcPr>
            <w:tcW w:w="1174" w:type="dxa"/>
          </w:tcPr>
          <w:p>
            <w:pPr>
              <w:pStyle w:val="TableParagraph"/>
              <w:spacing w:line="131" w:lineRule="exact" w:before="27"/>
              <w:ind w:right="28"/>
              <w:jc w:val="right"/>
              <w:rPr>
                <w:sz w:val="12"/>
              </w:rPr>
            </w:pPr>
            <w:r>
              <w:rPr>
                <w:w w:val="105"/>
                <w:sz w:val="12"/>
              </w:rPr>
              <w:t>90,848.00</w:t>
            </w:r>
          </w:p>
        </w:tc>
        <w:tc>
          <w:tcPr>
            <w:tcW w:w="1273" w:type="dxa"/>
          </w:tcPr>
          <w:p>
            <w:pPr>
              <w:pStyle w:val="TableParagraph"/>
              <w:spacing w:line="131" w:lineRule="exact" w:before="27"/>
              <w:ind w:right="127"/>
              <w:jc w:val="right"/>
              <w:rPr>
                <w:sz w:val="12"/>
              </w:rPr>
            </w:pPr>
            <w:r>
              <w:rPr>
                <w:w w:val="105"/>
                <w:sz w:val="12"/>
              </w:rPr>
              <w:t>9,437.00</w:t>
            </w:r>
          </w:p>
        </w:tc>
        <w:tc>
          <w:tcPr>
            <w:tcW w:w="1211" w:type="dxa"/>
          </w:tcPr>
          <w:p>
            <w:pPr>
              <w:pStyle w:val="TableParagraph"/>
              <w:spacing w:line="131" w:lineRule="exact" w:before="27"/>
              <w:ind w:right="165"/>
              <w:jc w:val="right"/>
              <w:rPr>
                <w:sz w:val="12"/>
              </w:rPr>
            </w:pPr>
            <w:r>
              <w:rPr>
                <w:w w:val="105"/>
                <w:sz w:val="12"/>
              </w:rPr>
              <w:t>3,893.00</w:t>
            </w:r>
          </w:p>
        </w:tc>
        <w:tc>
          <w:tcPr>
            <w:tcW w:w="1146" w:type="dxa"/>
          </w:tcPr>
          <w:p>
            <w:pPr>
              <w:pStyle w:val="TableParagraph"/>
              <w:spacing w:line="131" w:lineRule="exact" w:before="27"/>
              <w:ind w:right="137"/>
              <w:jc w:val="right"/>
              <w:rPr>
                <w:sz w:val="12"/>
              </w:rPr>
            </w:pPr>
            <w:r>
              <w:rPr>
                <w:w w:val="105"/>
                <w:sz w:val="12"/>
              </w:rPr>
              <w:t>30,271.00</w:t>
            </w:r>
          </w:p>
        </w:tc>
        <w:tc>
          <w:tcPr>
            <w:tcW w:w="1065" w:type="dxa"/>
          </w:tcPr>
          <w:p>
            <w:pPr>
              <w:pStyle w:val="TableParagraph"/>
              <w:spacing w:line="131" w:lineRule="exact" w:before="27"/>
              <w:ind w:right="28"/>
              <w:jc w:val="right"/>
              <w:rPr>
                <w:sz w:val="12"/>
              </w:rPr>
            </w:pPr>
            <w:r>
              <w:rPr>
                <w:w w:val="105"/>
                <w:sz w:val="12"/>
              </w:rPr>
              <w:t>22,122.00</w:t>
            </w:r>
          </w:p>
        </w:tc>
        <w:tc>
          <w:tcPr>
            <w:tcW w:w="1321" w:type="dxa"/>
          </w:tcPr>
          <w:p>
            <w:pPr>
              <w:pStyle w:val="TableParagraph"/>
              <w:spacing w:line="131" w:lineRule="exact" w:before="27"/>
              <w:ind w:right="176"/>
              <w:jc w:val="right"/>
              <w:rPr>
                <w:sz w:val="12"/>
              </w:rPr>
            </w:pPr>
            <w:r>
              <w:rPr>
                <w:w w:val="105"/>
                <w:sz w:val="12"/>
              </w:rPr>
              <w:t>0.00</w:t>
            </w:r>
          </w:p>
        </w:tc>
        <w:tc>
          <w:tcPr>
            <w:tcW w:w="1026" w:type="dxa"/>
          </w:tcPr>
          <w:p>
            <w:pPr>
              <w:pStyle w:val="TableParagraph"/>
              <w:spacing w:line="131" w:lineRule="exact" w:before="27"/>
              <w:ind w:right="28"/>
              <w:jc w:val="right"/>
              <w:rPr>
                <w:sz w:val="12"/>
              </w:rPr>
            </w:pPr>
            <w:r>
              <w:rPr>
                <w:w w:val="105"/>
                <w:sz w:val="12"/>
              </w:rPr>
              <w:t>0.00</w:t>
            </w:r>
          </w:p>
        </w:tc>
        <w:tc>
          <w:tcPr>
            <w:tcW w:w="1176" w:type="dxa"/>
          </w:tcPr>
          <w:p>
            <w:pPr>
              <w:pStyle w:val="TableParagraph"/>
              <w:spacing w:line="131" w:lineRule="exact" w:before="27"/>
              <w:ind w:right="30"/>
              <w:jc w:val="right"/>
              <w:rPr>
                <w:sz w:val="12"/>
              </w:rPr>
            </w:pPr>
            <w:r>
              <w:rPr>
                <w:w w:val="105"/>
                <w:sz w:val="12"/>
              </w:rPr>
              <w:t>0.00</w:t>
            </w:r>
          </w:p>
        </w:tc>
      </w:tr>
      <w:tr>
        <w:trPr>
          <w:trHeight w:val="177" w:hRule="atLeast"/>
        </w:trPr>
        <w:tc>
          <w:tcPr>
            <w:tcW w:w="2568" w:type="dxa"/>
          </w:tcPr>
          <w:p>
            <w:pPr>
              <w:pStyle w:val="TableParagraph"/>
              <w:spacing w:line="152" w:lineRule="exact" w:before="6"/>
              <w:ind w:left="186"/>
              <w:rPr>
                <w:sz w:val="14"/>
              </w:rPr>
            </w:pPr>
            <w:r>
              <w:rPr>
                <w:sz w:val="14"/>
              </w:rPr>
              <w:t>Due From Other Funds</w:t>
            </w:r>
          </w:p>
        </w:tc>
        <w:tc>
          <w:tcPr>
            <w:tcW w:w="772" w:type="dxa"/>
          </w:tcPr>
          <w:p>
            <w:pPr>
              <w:pStyle w:val="TableParagraph"/>
              <w:spacing w:line="131" w:lineRule="exact" w:before="27"/>
              <w:ind w:left="236"/>
              <w:rPr>
                <w:sz w:val="12"/>
              </w:rPr>
            </w:pPr>
            <w:r>
              <w:rPr>
                <w:w w:val="105"/>
                <w:sz w:val="12"/>
              </w:rPr>
              <w:t>9310</w:t>
            </w:r>
          </w:p>
        </w:tc>
        <w:tc>
          <w:tcPr>
            <w:tcW w:w="1174" w:type="dxa"/>
          </w:tcPr>
          <w:p>
            <w:pPr>
              <w:pStyle w:val="TableParagraph"/>
              <w:rPr>
                <w:rFonts w:ascii="Times New Roman"/>
                <w:sz w:val="10"/>
              </w:rPr>
            </w:pPr>
          </w:p>
        </w:tc>
        <w:tc>
          <w:tcPr>
            <w:tcW w:w="1174" w:type="dxa"/>
          </w:tcPr>
          <w:p>
            <w:pPr>
              <w:pStyle w:val="TableParagraph"/>
              <w:rPr>
                <w:rFonts w:ascii="Times New Roman"/>
                <w:sz w:val="10"/>
              </w:rPr>
            </w:pPr>
          </w:p>
        </w:tc>
        <w:tc>
          <w:tcPr>
            <w:tcW w:w="1273" w:type="dxa"/>
          </w:tcPr>
          <w:p>
            <w:pPr>
              <w:pStyle w:val="TableParagraph"/>
              <w:rPr>
                <w:rFonts w:ascii="Times New Roman"/>
                <w:sz w:val="10"/>
              </w:rPr>
            </w:pPr>
          </w:p>
        </w:tc>
        <w:tc>
          <w:tcPr>
            <w:tcW w:w="1211" w:type="dxa"/>
          </w:tcPr>
          <w:p>
            <w:pPr>
              <w:pStyle w:val="TableParagraph"/>
              <w:rPr>
                <w:rFonts w:ascii="Times New Roman"/>
                <w:sz w:val="10"/>
              </w:rPr>
            </w:pPr>
          </w:p>
        </w:tc>
        <w:tc>
          <w:tcPr>
            <w:tcW w:w="1146" w:type="dxa"/>
          </w:tcPr>
          <w:p>
            <w:pPr>
              <w:pStyle w:val="TableParagraph"/>
              <w:rPr>
                <w:rFonts w:ascii="Times New Roman"/>
                <w:sz w:val="10"/>
              </w:rPr>
            </w:pPr>
          </w:p>
        </w:tc>
        <w:tc>
          <w:tcPr>
            <w:tcW w:w="1065" w:type="dxa"/>
          </w:tcPr>
          <w:p>
            <w:pPr>
              <w:pStyle w:val="TableParagraph"/>
              <w:rPr>
                <w:rFonts w:ascii="Times New Roman"/>
                <w:sz w:val="10"/>
              </w:rPr>
            </w:pPr>
          </w:p>
        </w:tc>
        <w:tc>
          <w:tcPr>
            <w:tcW w:w="1321" w:type="dxa"/>
          </w:tcPr>
          <w:p>
            <w:pPr>
              <w:pStyle w:val="TableParagraph"/>
              <w:rPr>
                <w:rFonts w:ascii="Times New Roman"/>
                <w:sz w:val="10"/>
              </w:rPr>
            </w:pPr>
          </w:p>
        </w:tc>
        <w:tc>
          <w:tcPr>
            <w:tcW w:w="1026" w:type="dxa"/>
          </w:tcPr>
          <w:p>
            <w:pPr>
              <w:pStyle w:val="TableParagraph"/>
              <w:rPr>
                <w:rFonts w:ascii="Times New Roman"/>
                <w:sz w:val="10"/>
              </w:rPr>
            </w:pPr>
          </w:p>
        </w:tc>
        <w:tc>
          <w:tcPr>
            <w:tcW w:w="1176" w:type="dxa"/>
          </w:tcPr>
          <w:p>
            <w:pPr>
              <w:pStyle w:val="TableParagraph"/>
              <w:rPr>
                <w:rFonts w:ascii="Times New Roman"/>
                <w:sz w:val="10"/>
              </w:rPr>
            </w:pPr>
          </w:p>
        </w:tc>
      </w:tr>
      <w:tr>
        <w:trPr>
          <w:trHeight w:val="177" w:hRule="atLeast"/>
        </w:trPr>
        <w:tc>
          <w:tcPr>
            <w:tcW w:w="2568" w:type="dxa"/>
          </w:tcPr>
          <w:p>
            <w:pPr>
              <w:pStyle w:val="TableParagraph"/>
              <w:spacing w:line="152" w:lineRule="exact" w:before="6"/>
              <w:ind w:left="186"/>
              <w:rPr>
                <w:sz w:val="14"/>
              </w:rPr>
            </w:pPr>
            <w:r>
              <w:rPr>
                <w:sz w:val="14"/>
              </w:rPr>
              <w:t>Stores</w:t>
            </w:r>
          </w:p>
        </w:tc>
        <w:tc>
          <w:tcPr>
            <w:tcW w:w="772" w:type="dxa"/>
          </w:tcPr>
          <w:p>
            <w:pPr>
              <w:pStyle w:val="TableParagraph"/>
              <w:spacing w:line="131" w:lineRule="exact" w:before="27"/>
              <w:ind w:left="236"/>
              <w:rPr>
                <w:sz w:val="12"/>
              </w:rPr>
            </w:pPr>
            <w:r>
              <w:rPr>
                <w:w w:val="105"/>
                <w:sz w:val="12"/>
              </w:rPr>
              <w:t>9320</w:t>
            </w:r>
          </w:p>
        </w:tc>
        <w:tc>
          <w:tcPr>
            <w:tcW w:w="1174" w:type="dxa"/>
          </w:tcPr>
          <w:p>
            <w:pPr>
              <w:pStyle w:val="TableParagraph"/>
              <w:rPr>
                <w:rFonts w:ascii="Times New Roman"/>
                <w:sz w:val="10"/>
              </w:rPr>
            </w:pPr>
          </w:p>
        </w:tc>
        <w:tc>
          <w:tcPr>
            <w:tcW w:w="1174" w:type="dxa"/>
          </w:tcPr>
          <w:p>
            <w:pPr>
              <w:pStyle w:val="TableParagraph"/>
              <w:rPr>
                <w:rFonts w:ascii="Times New Roman"/>
                <w:sz w:val="10"/>
              </w:rPr>
            </w:pPr>
          </w:p>
        </w:tc>
        <w:tc>
          <w:tcPr>
            <w:tcW w:w="1273" w:type="dxa"/>
          </w:tcPr>
          <w:p>
            <w:pPr>
              <w:pStyle w:val="TableParagraph"/>
              <w:rPr>
                <w:rFonts w:ascii="Times New Roman"/>
                <w:sz w:val="10"/>
              </w:rPr>
            </w:pPr>
          </w:p>
        </w:tc>
        <w:tc>
          <w:tcPr>
            <w:tcW w:w="1211" w:type="dxa"/>
          </w:tcPr>
          <w:p>
            <w:pPr>
              <w:pStyle w:val="TableParagraph"/>
              <w:rPr>
                <w:rFonts w:ascii="Times New Roman"/>
                <w:sz w:val="10"/>
              </w:rPr>
            </w:pPr>
          </w:p>
        </w:tc>
        <w:tc>
          <w:tcPr>
            <w:tcW w:w="1146" w:type="dxa"/>
          </w:tcPr>
          <w:p>
            <w:pPr>
              <w:pStyle w:val="TableParagraph"/>
              <w:rPr>
                <w:rFonts w:ascii="Times New Roman"/>
                <w:sz w:val="10"/>
              </w:rPr>
            </w:pPr>
          </w:p>
        </w:tc>
        <w:tc>
          <w:tcPr>
            <w:tcW w:w="1065" w:type="dxa"/>
          </w:tcPr>
          <w:p>
            <w:pPr>
              <w:pStyle w:val="TableParagraph"/>
              <w:rPr>
                <w:rFonts w:ascii="Times New Roman"/>
                <w:sz w:val="10"/>
              </w:rPr>
            </w:pPr>
          </w:p>
        </w:tc>
        <w:tc>
          <w:tcPr>
            <w:tcW w:w="1321" w:type="dxa"/>
          </w:tcPr>
          <w:p>
            <w:pPr>
              <w:pStyle w:val="TableParagraph"/>
              <w:rPr>
                <w:rFonts w:ascii="Times New Roman"/>
                <w:sz w:val="10"/>
              </w:rPr>
            </w:pPr>
          </w:p>
        </w:tc>
        <w:tc>
          <w:tcPr>
            <w:tcW w:w="1026" w:type="dxa"/>
          </w:tcPr>
          <w:p>
            <w:pPr>
              <w:pStyle w:val="TableParagraph"/>
              <w:rPr>
                <w:rFonts w:ascii="Times New Roman"/>
                <w:sz w:val="10"/>
              </w:rPr>
            </w:pPr>
          </w:p>
        </w:tc>
        <w:tc>
          <w:tcPr>
            <w:tcW w:w="1176" w:type="dxa"/>
          </w:tcPr>
          <w:p>
            <w:pPr>
              <w:pStyle w:val="TableParagraph"/>
              <w:rPr>
                <w:rFonts w:ascii="Times New Roman"/>
                <w:sz w:val="10"/>
              </w:rPr>
            </w:pPr>
          </w:p>
        </w:tc>
      </w:tr>
      <w:tr>
        <w:trPr>
          <w:trHeight w:val="177" w:hRule="atLeast"/>
        </w:trPr>
        <w:tc>
          <w:tcPr>
            <w:tcW w:w="2568" w:type="dxa"/>
          </w:tcPr>
          <w:p>
            <w:pPr>
              <w:pStyle w:val="TableParagraph"/>
              <w:spacing w:line="152" w:lineRule="exact" w:before="6"/>
              <w:ind w:left="186"/>
              <w:rPr>
                <w:sz w:val="14"/>
              </w:rPr>
            </w:pPr>
            <w:r>
              <w:rPr>
                <w:sz w:val="14"/>
              </w:rPr>
              <w:t>Prepaid Expenditures</w:t>
            </w:r>
          </w:p>
        </w:tc>
        <w:tc>
          <w:tcPr>
            <w:tcW w:w="772" w:type="dxa"/>
          </w:tcPr>
          <w:p>
            <w:pPr>
              <w:pStyle w:val="TableParagraph"/>
              <w:spacing w:line="131" w:lineRule="exact" w:before="27"/>
              <w:ind w:left="236"/>
              <w:rPr>
                <w:sz w:val="12"/>
              </w:rPr>
            </w:pPr>
            <w:r>
              <w:rPr>
                <w:w w:val="105"/>
                <w:sz w:val="12"/>
              </w:rPr>
              <w:t>9330</w:t>
            </w:r>
          </w:p>
        </w:tc>
        <w:tc>
          <w:tcPr>
            <w:tcW w:w="1174" w:type="dxa"/>
          </w:tcPr>
          <w:p>
            <w:pPr>
              <w:pStyle w:val="TableParagraph"/>
              <w:rPr>
                <w:rFonts w:ascii="Times New Roman"/>
                <w:sz w:val="10"/>
              </w:rPr>
            </w:pPr>
          </w:p>
        </w:tc>
        <w:tc>
          <w:tcPr>
            <w:tcW w:w="1174" w:type="dxa"/>
          </w:tcPr>
          <w:p>
            <w:pPr>
              <w:pStyle w:val="TableParagraph"/>
              <w:rPr>
                <w:rFonts w:ascii="Times New Roman"/>
                <w:sz w:val="10"/>
              </w:rPr>
            </w:pPr>
          </w:p>
        </w:tc>
        <w:tc>
          <w:tcPr>
            <w:tcW w:w="1273" w:type="dxa"/>
          </w:tcPr>
          <w:p>
            <w:pPr>
              <w:pStyle w:val="TableParagraph"/>
              <w:rPr>
                <w:rFonts w:ascii="Times New Roman"/>
                <w:sz w:val="10"/>
              </w:rPr>
            </w:pPr>
          </w:p>
        </w:tc>
        <w:tc>
          <w:tcPr>
            <w:tcW w:w="1211" w:type="dxa"/>
          </w:tcPr>
          <w:p>
            <w:pPr>
              <w:pStyle w:val="TableParagraph"/>
              <w:rPr>
                <w:rFonts w:ascii="Times New Roman"/>
                <w:sz w:val="10"/>
              </w:rPr>
            </w:pPr>
          </w:p>
        </w:tc>
        <w:tc>
          <w:tcPr>
            <w:tcW w:w="1146" w:type="dxa"/>
          </w:tcPr>
          <w:p>
            <w:pPr>
              <w:pStyle w:val="TableParagraph"/>
              <w:rPr>
                <w:rFonts w:ascii="Times New Roman"/>
                <w:sz w:val="10"/>
              </w:rPr>
            </w:pPr>
          </w:p>
        </w:tc>
        <w:tc>
          <w:tcPr>
            <w:tcW w:w="1065" w:type="dxa"/>
          </w:tcPr>
          <w:p>
            <w:pPr>
              <w:pStyle w:val="TableParagraph"/>
              <w:rPr>
                <w:rFonts w:ascii="Times New Roman"/>
                <w:sz w:val="10"/>
              </w:rPr>
            </w:pPr>
          </w:p>
        </w:tc>
        <w:tc>
          <w:tcPr>
            <w:tcW w:w="1321" w:type="dxa"/>
          </w:tcPr>
          <w:p>
            <w:pPr>
              <w:pStyle w:val="TableParagraph"/>
              <w:rPr>
                <w:rFonts w:ascii="Times New Roman"/>
                <w:sz w:val="10"/>
              </w:rPr>
            </w:pPr>
          </w:p>
        </w:tc>
        <w:tc>
          <w:tcPr>
            <w:tcW w:w="1026" w:type="dxa"/>
          </w:tcPr>
          <w:p>
            <w:pPr>
              <w:pStyle w:val="TableParagraph"/>
              <w:rPr>
                <w:rFonts w:ascii="Times New Roman"/>
                <w:sz w:val="10"/>
              </w:rPr>
            </w:pPr>
          </w:p>
        </w:tc>
        <w:tc>
          <w:tcPr>
            <w:tcW w:w="1176" w:type="dxa"/>
          </w:tcPr>
          <w:p>
            <w:pPr>
              <w:pStyle w:val="TableParagraph"/>
              <w:rPr>
                <w:rFonts w:ascii="Times New Roman"/>
                <w:sz w:val="10"/>
              </w:rPr>
            </w:pPr>
          </w:p>
        </w:tc>
      </w:tr>
      <w:tr>
        <w:trPr>
          <w:trHeight w:val="177" w:hRule="atLeast"/>
        </w:trPr>
        <w:tc>
          <w:tcPr>
            <w:tcW w:w="2568" w:type="dxa"/>
          </w:tcPr>
          <w:p>
            <w:pPr>
              <w:pStyle w:val="TableParagraph"/>
              <w:spacing w:line="152" w:lineRule="exact" w:before="6"/>
              <w:ind w:left="186"/>
              <w:rPr>
                <w:sz w:val="14"/>
              </w:rPr>
            </w:pPr>
            <w:r>
              <w:rPr>
                <w:sz w:val="14"/>
              </w:rPr>
              <w:t>Other Current Assets</w:t>
            </w:r>
          </w:p>
        </w:tc>
        <w:tc>
          <w:tcPr>
            <w:tcW w:w="772" w:type="dxa"/>
          </w:tcPr>
          <w:p>
            <w:pPr>
              <w:pStyle w:val="TableParagraph"/>
              <w:spacing w:line="131" w:lineRule="exact" w:before="27"/>
              <w:ind w:left="236"/>
              <w:rPr>
                <w:sz w:val="12"/>
              </w:rPr>
            </w:pPr>
            <w:r>
              <w:rPr>
                <w:w w:val="105"/>
                <w:sz w:val="12"/>
              </w:rPr>
              <w:t>9340</w:t>
            </w:r>
          </w:p>
        </w:tc>
        <w:tc>
          <w:tcPr>
            <w:tcW w:w="1174" w:type="dxa"/>
          </w:tcPr>
          <w:p>
            <w:pPr>
              <w:pStyle w:val="TableParagraph"/>
              <w:rPr>
                <w:rFonts w:ascii="Times New Roman"/>
                <w:sz w:val="10"/>
              </w:rPr>
            </w:pPr>
          </w:p>
        </w:tc>
        <w:tc>
          <w:tcPr>
            <w:tcW w:w="1174" w:type="dxa"/>
          </w:tcPr>
          <w:p>
            <w:pPr>
              <w:pStyle w:val="TableParagraph"/>
              <w:rPr>
                <w:rFonts w:ascii="Times New Roman"/>
                <w:sz w:val="10"/>
              </w:rPr>
            </w:pPr>
          </w:p>
        </w:tc>
        <w:tc>
          <w:tcPr>
            <w:tcW w:w="1273" w:type="dxa"/>
          </w:tcPr>
          <w:p>
            <w:pPr>
              <w:pStyle w:val="TableParagraph"/>
              <w:rPr>
                <w:rFonts w:ascii="Times New Roman"/>
                <w:sz w:val="10"/>
              </w:rPr>
            </w:pPr>
          </w:p>
        </w:tc>
        <w:tc>
          <w:tcPr>
            <w:tcW w:w="1211" w:type="dxa"/>
          </w:tcPr>
          <w:p>
            <w:pPr>
              <w:pStyle w:val="TableParagraph"/>
              <w:rPr>
                <w:rFonts w:ascii="Times New Roman"/>
                <w:sz w:val="10"/>
              </w:rPr>
            </w:pPr>
          </w:p>
        </w:tc>
        <w:tc>
          <w:tcPr>
            <w:tcW w:w="1146" w:type="dxa"/>
          </w:tcPr>
          <w:p>
            <w:pPr>
              <w:pStyle w:val="TableParagraph"/>
              <w:rPr>
                <w:rFonts w:ascii="Times New Roman"/>
                <w:sz w:val="10"/>
              </w:rPr>
            </w:pPr>
          </w:p>
        </w:tc>
        <w:tc>
          <w:tcPr>
            <w:tcW w:w="1065" w:type="dxa"/>
          </w:tcPr>
          <w:p>
            <w:pPr>
              <w:pStyle w:val="TableParagraph"/>
              <w:rPr>
                <w:rFonts w:ascii="Times New Roman"/>
                <w:sz w:val="10"/>
              </w:rPr>
            </w:pPr>
          </w:p>
        </w:tc>
        <w:tc>
          <w:tcPr>
            <w:tcW w:w="1321" w:type="dxa"/>
          </w:tcPr>
          <w:p>
            <w:pPr>
              <w:pStyle w:val="TableParagraph"/>
              <w:rPr>
                <w:rFonts w:ascii="Times New Roman"/>
                <w:sz w:val="10"/>
              </w:rPr>
            </w:pPr>
          </w:p>
        </w:tc>
        <w:tc>
          <w:tcPr>
            <w:tcW w:w="1026" w:type="dxa"/>
          </w:tcPr>
          <w:p>
            <w:pPr>
              <w:pStyle w:val="TableParagraph"/>
              <w:rPr>
                <w:rFonts w:ascii="Times New Roman"/>
                <w:sz w:val="10"/>
              </w:rPr>
            </w:pPr>
          </w:p>
        </w:tc>
        <w:tc>
          <w:tcPr>
            <w:tcW w:w="1176" w:type="dxa"/>
          </w:tcPr>
          <w:p>
            <w:pPr>
              <w:pStyle w:val="TableParagraph"/>
              <w:rPr>
                <w:rFonts w:ascii="Times New Roman"/>
                <w:sz w:val="10"/>
              </w:rPr>
            </w:pPr>
          </w:p>
        </w:tc>
      </w:tr>
      <w:tr>
        <w:trPr>
          <w:trHeight w:val="177" w:hRule="atLeast"/>
        </w:trPr>
        <w:tc>
          <w:tcPr>
            <w:tcW w:w="2568" w:type="dxa"/>
          </w:tcPr>
          <w:p>
            <w:pPr>
              <w:pStyle w:val="TableParagraph"/>
              <w:spacing w:line="152" w:lineRule="exact" w:before="6"/>
              <w:ind w:left="186"/>
              <w:rPr>
                <w:sz w:val="14"/>
              </w:rPr>
            </w:pPr>
            <w:r>
              <w:rPr>
                <w:sz w:val="14"/>
              </w:rPr>
              <w:t>Deferred Outflows of Resources</w:t>
            </w:r>
          </w:p>
        </w:tc>
        <w:tc>
          <w:tcPr>
            <w:tcW w:w="772" w:type="dxa"/>
          </w:tcPr>
          <w:p>
            <w:pPr>
              <w:pStyle w:val="TableParagraph"/>
              <w:spacing w:line="131" w:lineRule="exact" w:before="27"/>
              <w:ind w:left="236"/>
              <w:rPr>
                <w:sz w:val="12"/>
              </w:rPr>
            </w:pPr>
            <w:r>
              <w:rPr>
                <w:w w:val="105"/>
                <w:sz w:val="12"/>
              </w:rPr>
              <w:t>9490</w:t>
            </w:r>
          </w:p>
        </w:tc>
        <w:tc>
          <w:tcPr>
            <w:tcW w:w="1174" w:type="dxa"/>
          </w:tcPr>
          <w:p>
            <w:pPr>
              <w:pStyle w:val="TableParagraph"/>
              <w:rPr>
                <w:rFonts w:ascii="Times New Roman"/>
                <w:sz w:val="10"/>
              </w:rPr>
            </w:pPr>
          </w:p>
        </w:tc>
        <w:tc>
          <w:tcPr>
            <w:tcW w:w="1174" w:type="dxa"/>
          </w:tcPr>
          <w:p>
            <w:pPr>
              <w:pStyle w:val="TableParagraph"/>
              <w:rPr>
                <w:rFonts w:ascii="Times New Roman"/>
                <w:sz w:val="10"/>
              </w:rPr>
            </w:pPr>
          </w:p>
        </w:tc>
        <w:tc>
          <w:tcPr>
            <w:tcW w:w="1273" w:type="dxa"/>
          </w:tcPr>
          <w:p>
            <w:pPr>
              <w:pStyle w:val="TableParagraph"/>
              <w:rPr>
                <w:rFonts w:ascii="Times New Roman"/>
                <w:sz w:val="10"/>
              </w:rPr>
            </w:pPr>
          </w:p>
        </w:tc>
        <w:tc>
          <w:tcPr>
            <w:tcW w:w="1211" w:type="dxa"/>
          </w:tcPr>
          <w:p>
            <w:pPr>
              <w:pStyle w:val="TableParagraph"/>
              <w:rPr>
                <w:rFonts w:ascii="Times New Roman"/>
                <w:sz w:val="10"/>
              </w:rPr>
            </w:pPr>
          </w:p>
        </w:tc>
        <w:tc>
          <w:tcPr>
            <w:tcW w:w="1146" w:type="dxa"/>
          </w:tcPr>
          <w:p>
            <w:pPr>
              <w:pStyle w:val="TableParagraph"/>
              <w:rPr>
                <w:rFonts w:ascii="Times New Roman"/>
                <w:sz w:val="10"/>
              </w:rPr>
            </w:pPr>
          </w:p>
        </w:tc>
        <w:tc>
          <w:tcPr>
            <w:tcW w:w="1065" w:type="dxa"/>
          </w:tcPr>
          <w:p>
            <w:pPr>
              <w:pStyle w:val="TableParagraph"/>
              <w:rPr>
                <w:rFonts w:ascii="Times New Roman"/>
                <w:sz w:val="10"/>
              </w:rPr>
            </w:pPr>
          </w:p>
        </w:tc>
        <w:tc>
          <w:tcPr>
            <w:tcW w:w="1321" w:type="dxa"/>
          </w:tcPr>
          <w:p>
            <w:pPr>
              <w:pStyle w:val="TableParagraph"/>
              <w:rPr>
                <w:rFonts w:ascii="Times New Roman"/>
                <w:sz w:val="10"/>
              </w:rPr>
            </w:pPr>
          </w:p>
        </w:tc>
        <w:tc>
          <w:tcPr>
            <w:tcW w:w="1026" w:type="dxa"/>
          </w:tcPr>
          <w:p>
            <w:pPr>
              <w:pStyle w:val="TableParagraph"/>
              <w:rPr>
                <w:rFonts w:ascii="Times New Roman"/>
                <w:sz w:val="10"/>
              </w:rPr>
            </w:pPr>
          </w:p>
        </w:tc>
        <w:tc>
          <w:tcPr>
            <w:tcW w:w="1176" w:type="dxa"/>
          </w:tcPr>
          <w:p>
            <w:pPr>
              <w:pStyle w:val="TableParagraph"/>
              <w:rPr>
                <w:rFonts w:ascii="Times New Roman"/>
                <w:sz w:val="10"/>
              </w:rPr>
            </w:pPr>
          </w:p>
        </w:tc>
      </w:tr>
      <w:tr>
        <w:trPr>
          <w:trHeight w:val="166" w:hRule="atLeast"/>
        </w:trPr>
        <w:tc>
          <w:tcPr>
            <w:tcW w:w="2568" w:type="dxa"/>
          </w:tcPr>
          <w:p>
            <w:pPr>
              <w:pStyle w:val="TableParagraph"/>
              <w:spacing w:line="141" w:lineRule="exact" w:before="6"/>
              <w:ind w:left="186"/>
              <w:rPr>
                <w:sz w:val="14"/>
              </w:rPr>
            </w:pPr>
            <w:r>
              <w:rPr>
                <w:sz w:val="14"/>
              </w:rPr>
              <w:t>SUBTOTAL</w:t>
            </w:r>
          </w:p>
        </w:tc>
        <w:tc>
          <w:tcPr>
            <w:tcW w:w="772" w:type="dxa"/>
          </w:tcPr>
          <w:p>
            <w:pPr>
              <w:pStyle w:val="TableParagraph"/>
              <w:rPr>
                <w:rFonts w:ascii="Times New Roman"/>
                <w:sz w:val="10"/>
              </w:rPr>
            </w:pPr>
          </w:p>
        </w:tc>
        <w:tc>
          <w:tcPr>
            <w:tcW w:w="1174" w:type="dxa"/>
          </w:tcPr>
          <w:p>
            <w:pPr>
              <w:pStyle w:val="TableParagraph"/>
              <w:spacing w:line="120" w:lineRule="exact" w:before="27"/>
              <w:ind w:right="28"/>
              <w:jc w:val="right"/>
              <w:rPr>
                <w:sz w:val="12"/>
              </w:rPr>
            </w:pPr>
            <w:r>
              <w:rPr>
                <w:w w:val="105"/>
                <w:sz w:val="12"/>
              </w:rPr>
              <w:t>157,403.00</w:t>
            </w:r>
          </w:p>
        </w:tc>
        <w:tc>
          <w:tcPr>
            <w:tcW w:w="1174" w:type="dxa"/>
          </w:tcPr>
          <w:p>
            <w:pPr>
              <w:pStyle w:val="TableParagraph"/>
              <w:spacing w:line="120" w:lineRule="exact" w:before="27"/>
              <w:ind w:right="28"/>
              <w:jc w:val="right"/>
              <w:rPr>
                <w:sz w:val="12"/>
              </w:rPr>
            </w:pPr>
            <w:r>
              <w:rPr>
                <w:w w:val="105"/>
                <w:sz w:val="12"/>
              </w:rPr>
              <w:t>90,848.00</w:t>
            </w:r>
          </w:p>
        </w:tc>
        <w:tc>
          <w:tcPr>
            <w:tcW w:w="1273" w:type="dxa"/>
          </w:tcPr>
          <w:p>
            <w:pPr>
              <w:pStyle w:val="TableParagraph"/>
              <w:spacing w:line="120" w:lineRule="exact" w:before="27"/>
              <w:ind w:right="127"/>
              <w:jc w:val="right"/>
              <w:rPr>
                <w:sz w:val="12"/>
              </w:rPr>
            </w:pPr>
            <w:r>
              <w:rPr>
                <w:w w:val="105"/>
                <w:sz w:val="12"/>
              </w:rPr>
              <w:t>9,437.00</w:t>
            </w:r>
          </w:p>
        </w:tc>
        <w:tc>
          <w:tcPr>
            <w:tcW w:w="1211" w:type="dxa"/>
          </w:tcPr>
          <w:p>
            <w:pPr>
              <w:pStyle w:val="TableParagraph"/>
              <w:spacing w:line="120" w:lineRule="exact" w:before="27"/>
              <w:ind w:right="165"/>
              <w:jc w:val="right"/>
              <w:rPr>
                <w:sz w:val="12"/>
              </w:rPr>
            </w:pPr>
            <w:r>
              <w:rPr>
                <w:w w:val="105"/>
                <w:sz w:val="12"/>
              </w:rPr>
              <w:t>3,893.00</w:t>
            </w:r>
          </w:p>
        </w:tc>
        <w:tc>
          <w:tcPr>
            <w:tcW w:w="1146" w:type="dxa"/>
          </w:tcPr>
          <w:p>
            <w:pPr>
              <w:pStyle w:val="TableParagraph"/>
              <w:spacing w:line="120" w:lineRule="exact" w:before="27"/>
              <w:ind w:right="137"/>
              <w:jc w:val="right"/>
              <w:rPr>
                <w:sz w:val="12"/>
              </w:rPr>
            </w:pPr>
            <w:r>
              <w:rPr>
                <w:w w:val="105"/>
                <w:sz w:val="12"/>
              </w:rPr>
              <w:t>30,271.00</w:t>
            </w:r>
          </w:p>
        </w:tc>
        <w:tc>
          <w:tcPr>
            <w:tcW w:w="1065" w:type="dxa"/>
          </w:tcPr>
          <w:p>
            <w:pPr>
              <w:pStyle w:val="TableParagraph"/>
              <w:spacing w:line="120" w:lineRule="exact" w:before="27"/>
              <w:ind w:right="28"/>
              <w:jc w:val="right"/>
              <w:rPr>
                <w:sz w:val="12"/>
              </w:rPr>
            </w:pPr>
            <w:r>
              <w:rPr>
                <w:w w:val="105"/>
                <w:sz w:val="12"/>
              </w:rPr>
              <w:t>22,122.00</w:t>
            </w:r>
          </w:p>
        </w:tc>
        <w:tc>
          <w:tcPr>
            <w:tcW w:w="1321" w:type="dxa"/>
          </w:tcPr>
          <w:p>
            <w:pPr>
              <w:pStyle w:val="TableParagraph"/>
              <w:spacing w:line="120" w:lineRule="exact" w:before="27"/>
              <w:ind w:right="176"/>
              <w:jc w:val="right"/>
              <w:rPr>
                <w:sz w:val="12"/>
              </w:rPr>
            </w:pPr>
            <w:r>
              <w:rPr>
                <w:w w:val="105"/>
                <w:sz w:val="12"/>
              </w:rPr>
              <w:t>0.00</w:t>
            </w:r>
          </w:p>
        </w:tc>
        <w:tc>
          <w:tcPr>
            <w:tcW w:w="1026" w:type="dxa"/>
          </w:tcPr>
          <w:p>
            <w:pPr>
              <w:pStyle w:val="TableParagraph"/>
              <w:spacing w:line="120" w:lineRule="exact" w:before="27"/>
              <w:ind w:right="28"/>
              <w:jc w:val="right"/>
              <w:rPr>
                <w:sz w:val="12"/>
              </w:rPr>
            </w:pPr>
            <w:r>
              <w:rPr>
                <w:w w:val="105"/>
                <w:sz w:val="12"/>
              </w:rPr>
              <w:t>0.00</w:t>
            </w:r>
          </w:p>
        </w:tc>
        <w:tc>
          <w:tcPr>
            <w:tcW w:w="1176" w:type="dxa"/>
          </w:tcPr>
          <w:p>
            <w:pPr>
              <w:pStyle w:val="TableParagraph"/>
              <w:spacing w:line="120" w:lineRule="exact" w:before="27"/>
              <w:ind w:right="30"/>
              <w:jc w:val="right"/>
              <w:rPr>
                <w:sz w:val="12"/>
              </w:rPr>
            </w:pPr>
            <w:r>
              <w:rPr>
                <w:w w:val="105"/>
                <w:sz w:val="12"/>
              </w:rPr>
              <w:t>0.00</w:t>
            </w:r>
          </w:p>
        </w:tc>
      </w:tr>
      <w:tr>
        <w:trPr>
          <w:trHeight w:val="177" w:hRule="atLeast"/>
        </w:trPr>
        <w:tc>
          <w:tcPr>
            <w:tcW w:w="2568" w:type="dxa"/>
          </w:tcPr>
          <w:p>
            <w:pPr>
              <w:pStyle w:val="TableParagraph"/>
              <w:spacing w:line="141" w:lineRule="exact" w:before="16"/>
              <w:ind w:left="32"/>
              <w:rPr>
                <w:sz w:val="14"/>
              </w:rPr>
            </w:pPr>
            <w:r>
              <w:rPr>
                <w:spacing w:val="-78"/>
                <w:sz w:val="14"/>
                <w:u w:val="single"/>
              </w:rPr>
              <w:t>L</w:t>
            </w:r>
            <w:r>
              <w:rPr>
                <w:spacing w:val="38"/>
                <w:sz w:val="14"/>
              </w:rPr>
              <w:t> </w:t>
            </w:r>
            <w:r>
              <w:rPr>
                <w:sz w:val="14"/>
                <w:u w:val="single"/>
              </w:rPr>
              <w:t>iabilities and Deferred Inflows</w:t>
            </w:r>
          </w:p>
        </w:tc>
        <w:tc>
          <w:tcPr>
            <w:tcW w:w="772" w:type="dxa"/>
          </w:tcPr>
          <w:p>
            <w:pPr>
              <w:pStyle w:val="TableParagraph"/>
              <w:rPr>
                <w:rFonts w:ascii="Times New Roman"/>
                <w:sz w:val="10"/>
              </w:rPr>
            </w:pPr>
          </w:p>
        </w:tc>
        <w:tc>
          <w:tcPr>
            <w:tcW w:w="1174" w:type="dxa"/>
          </w:tcPr>
          <w:p>
            <w:pPr>
              <w:pStyle w:val="TableParagraph"/>
              <w:rPr>
                <w:rFonts w:ascii="Times New Roman"/>
                <w:sz w:val="10"/>
              </w:rPr>
            </w:pPr>
          </w:p>
        </w:tc>
        <w:tc>
          <w:tcPr>
            <w:tcW w:w="1174" w:type="dxa"/>
          </w:tcPr>
          <w:p>
            <w:pPr>
              <w:pStyle w:val="TableParagraph"/>
              <w:rPr>
                <w:rFonts w:ascii="Times New Roman"/>
                <w:sz w:val="10"/>
              </w:rPr>
            </w:pPr>
          </w:p>
        </w:tc>
        <w:tc>
          <w:tcPr>
            <w:tcW w:w="1273" w:type="dxa"/>
          </w:tcPr>
          <w:p>
            <w:pPr>
              <w:pStyle w:val="TableParagraph"/>
              <w:rPr>
                <w:rFonts w:ascii="Times New Roman"/>
                <w:sz w:val="10"/>
              </w:rPr>
            </w:pPr>
          </w:p>
        </w:tc>
        <w:tc>
          <w:tcPr>
            <w:tcW w:w="1211" w:type="dxa"/>
          </w:tcPr>
          <w:p>
            <w:pPr>
              <w:pStyle w:val="TableParagraph"/>
              <w:rPr>
                <w:rFonts w:ascii="Times New Roman"/>
                <w:sz w:val="10"/>
              </w:rPr>
            </w:pPr>
          </w:p>
        </w:tc>
        <w:tc>
          <w:tcPr>
            <w:tcW w:w="1146" w:type="dxa"/>
          </w:tcPr>
          <w:p>
            <w:pPr>
              <w:pStyle w:val="TableParagraph"/>
              <w:rPr>
                <w:rFonts w:ascii="Times New Roman"/>
                <w:sz w:val="10"/>
              </w:rPr>
            </w:pPr>
          </w:p>
        </w:tc>
        <w:tc>
          <w:tcPr>
            <w:tcW w:w="1065" w:type="dxa"/>
          </w:tcPr>
          <w:p>
            <w:pPr>
              <w:pStyle w:val="TableParagraph"/>
              <w:rPr>
                <w:rFonts w:ascii="Times New Roman"/>
                <w:sz w:val="10"/>
              </w:rPr>
            </w:pPr>
          </w:p>
        </w:tc>
        <w:tc>
          <w:tcPr>
            <w:tcW w:w="1321" w:type="dxa"/>
          </w:tcPr>
          <w:p>
            <w:pPr>
              <w:pStyle w:val="TableParagraph"/>
              <w:rPr>
                <w:rFonts w:ascii="Times New Roman"/>
                <w:sz w:val="10"/>
              </w:rPr>
            </w:pPr>
          </w:p>
        </w:tc>
        <w:tc>
          <w:tcPr>
            <w:tcW w:w="1026" w:type="dxa"/>
          </w:tcPr>
          <w:p>
            <w:pPr>
              <w:pStyle w:val="TableParagraph"/>
              <w:rPr>
                <w:rFonts w:ascii="Times New Roman"/>
                <w:sz w:val="10"/>
              </w:rPr>
            </w:pPr>
          </w:p>
        </w:tc>
        <w:tc>
          <w:tcPr>
            <w:tcW w:w="1176" w:type="dxa"/>
          </w:tcPr>
          <w:p>
            <w:pPr>
              <w:pStyle w:val="TableParagraph"/>
              <w:rPr>
                <w:rFonts w:ascii="Times New Roman"/>
                <w:sz w:val="10"/>
              </w:rPr>
            </w:pPr>
          </w:p>
        </w:tc>
      </w:tr>
      <w:tr>
        <w:trPr>
          <w:trHeight w:val="188" w:hRule="atLeast"/>
        </w:trPr>
        <w:tc>
          <w:tcPr>
            <w:tcW w:w="2568" w:type="dxa"/>
          </w:tcPr>
          <w:p>
            <w:pPr>
              <w:pStyle w:val="TableParagraph"/>
              <w:spacing w:line="152" w:lineRule="exact" w:before="16"/>
              <w:ind w:left="186"/>
              <w:rPr>
                <w:sz w:val="14"/>
              </w:rPr>
            </w:pPr>
            <w:r>
              <w:rPr>
                <w:sz w:val="14"/>
              </w:rPr>
              <w:t>Accounts Payable</w:t>
            </w:r>
          </w:p>
        </w:tc>
        <w:tc>
          <w:tcPr>
            <w:tcW w:w="772" w:type="dxa"/>
          </w:tcPr>
          <w:p>
            <w:pPr>
              <w:pStyle w:val="TableParagraph"/>
              <w:spacing w:line="131" w:lineRule="exact" w:before="38"/>
              <w:ind w:left="76"/>
              <w:rPr>
                <w:sz w:val="12"/>
              </w:rPr>
            </w:pPr>
            <w:r>
              <w:rPr>
                <w:w w:val="105"/>
                <w:sz w:val="12"/>
              </w:rPr>
              <w:t>9500-9599</w:t>
            </w:r>
          </w:p>
        </w:tc>
        <w:tc>
          <w:tcPr>
            <w:tcW w:w="1174" w:type="dxa"/>
          </w:tcPr>
          <w:p>
            <w:pPr>
              <w:pStyle w:val="TableParagraph"/>
              <w:spacing w:line="131" w:lineRule="exact" w:before="38"/>
              <w:ind w:right="28"/>
              <w:jc w:val="right"/>
              <w:rPr>
                <w:sz w:val="12"/>
              </w:rPr>
            </w:pPr>
            <w:r>
              <w:rPr>
                <w:w w:val="105"/>
                <w:sz w:val="12"/>
              </w:rPr>
              <w:t>282,078.00</w:t>
            </w:r>
          </w:p>
        </w:tc>
        <w:tc>
          <w:tcPr>
            <w:tcW w:w="1174" w:type="dxa"/>
          </w:tcPr>
          <w:p>
            <w:pPr>
              <w:pStyle w:val="TableParagraph"/>
              <w:spacing w:line="131" w:lineRule="exact" w:before="38"/>
              <w:ind w:right="28"/>
              <w:jc w:val="right"/>
              <w:rPr>
                <w:sz w:val="12"/>
              </w:rPr>
            </w:pPr>
            <w:r>
              <w:rPr>
                <w:w w:val="105"/>
                <w:sz w:val="12"/>
              </w:rPr>
              <w:t>16,863.00</w:t>
            </w:r>
          </w:p>
        </w:tc>
        <w:tc>
          <w:tcPr>
            <w:tcW w:w="1273" w:type="dxa"/>
          </w:tcPr>
          <w:p>
            <w:pPr>
              <w:pStyle w:val="TableParagraph"/>
              <w:spacing w:line="131" w:lineRule="exact" w:before="38"/>
              <w:ind w:right="127"/>
              <w:jc w:val="right"/>
              <w:rPr>
                <w:sz w:val="12"/>
              </w:rPr>
            </w:pPr>
            <w:r>
              <w:rPr>
                <w:w w:val="105"/>
                <w:sz w:val="12"/>
              </w:rPr>
              <w:t>43,190.00</w:t>
            </w:r>
          </w:p>
        </w:tc>
        <w:tc>
          <w:tcPr>
            <w:tcW w:w="1211" w:type="dxa"/>
          </w:tcPr>
          <w:p>
            <w:pPr>
              <w:pStyle w:val="TableParagraph"/>
              <w:spacing w:line="131" w:lineRule="exact" w:before="38"/>
              <w:ind w:right="166"/>
              <w:jc w:val="right"/>
              <w:rPr>
                <w:sz w:val="12"/>
              </w:rPr>
            </w:pPr>
            <w:r>
              <w:rPr>
                <w:w w:val="105"/>
                <w:sz w:val="12"/>
              </w:rPr>
              <w:t>(1,300.00)</w:t>
            </w:r>
          </w:p>
        </w:tc>
        <w:tc>
          <w:tcPr>
            <w:tcW w:w="1146" w:type="dxa"/>
          </w:tcPr>
          <w:p>
            <w:pPr>
              <w:pStyle w:val="TableParagraph"/>
              <w:spacing w:line="131" w:lineRule="exact" w:before="38"/>
              <w:ind w:right="138"/>
              <w:jc w:val="right"/>
              <w:rPr>
                <w:sz w:val="12"/>
              </w:rPr>
            </w:pPr>
            <w:r>
              <w:rPr>
                <w:w w:val="105"/>
                <w:sz w:val="12"/>
              </w:rPr>
              <w:t>121,717.00</w:t>
            </w:r>
          </w:p>
        </w:tc>
        <w:tc>
          <w:tcPr>
            <w:tcW w:w="1065" w:type="dxa"/>
          </w:tcPr>
          <w:p>
            <w:pPr>
              <w:pStyle w:val="TableParagraph"/>
              <w:spacing w:line="131" w:lineRule="exact" w:before="38"/>
              <w:ind w:right="28"/>
              <w:jc w:val="right"/>
              <w:rPr>
                <w:sz w:val="12"/>
              </w:rPr>
            </w:pPr>
            <w:r>
              <w:rPr>
                <w:w w:val="105"/>
                <w:sz w:val="12"/>
              </w:rPr>
              <w:t>16,247.00</w:t>
            </w:r>
          </w:p>
        </w:tc>
        <w:tc>
          <w:tcPr>
            <w:tcW w:w="1321" w:type="dxa"/>
          </w:tcPr>
          <w:p>
            <w:pPr>
              <w:pStyle w:val="TableParagraph"/>
              <w:spacing w:line="131" w:lineRule="exact" w:before="38"/>
              <w:ind w:right="177"/>
              <w:jc w:val="right"/>
              <w:rPr>
                <w:sz w:val="12"/>
              </w:rPr>
            </w:pPr>
            <w:r>
              <w:rPr>
                <w:w w:val="105"/>
                <w:sz w:val="12"/>
              </w:rPr>
              <w:t>(7,610.00)</w:t>
            </w:r>
          </w:p>
        </w:tc>
        <w:tc>
          <w:tcPr>
            <w:tcW w:w="1026" w:type="dxa"/>
          </w:tcPr>
          <w:p>
            <w:pPr>
              <w:pStyle w:val="TableParagraph"/>
              <w:spacing w:line="131" w:lineRule="exact" w:before="38"/>
              <w:ind w:right="28"/>
              <w:jc w:val="right"/>
              <w:rPr>
                <w:sz w:val="12"/>
              </w:rPr>
            </w:pPr>
            <w:r>
              <w:rPr>
                <w:w w:val="105"/>
                <w:sz w:val="12"/>
              </w:rPr>
              <w:t>29,649.00</w:t>
            </w:r>
          </w:p>
        </w:tc>
        <w:tc>
          <w:tcPr>
            <w:tcW w:w="1176" w:type="dxa"/>
          </w:tcPr>
          <w:p>
            <w:pPr>
              <w:pStyle w:val="TableParagraph"/>
              <w:spacing w:line="131" w:lineRule="exact" w:before="38"/>
              <w:ind w:right="32"/>
              <w:jc w:val="right"/>
              <w:rPr>
                <w:sz w:val="12"/>
              </w:rPr>
            </w:pPr>
            <w:r>
              <w:rPr>
                <w:w w:val="105"/>
                <w:sz w:val="12"/>
              </w:rPr>
              <w:t>(4,038.00)</w:t>
            </w:r>
          </w:p>
        </w:tc>
      </w:tr>
      <w:tr>
        <w:trPr>
          <w:trHeight w:val="177" w:hRule="atLeast"/>
        </w:trPr>
        <w:tc>
          <w:tcPr>
            <w:tcW w:w="2568" w:type="dxa"/>
          </w:tcPr>
          <w:p>
            <w:pPr>
              <w:pStyle w:val="TableParagraph"/>
              <w:spacing w:line="152" w:lineRule="exact" w:before="6"/>
              <w:ind w:left="186"/>
              <w:rPr>
                <w:sz w:val="14"/>
              </w:rPr>
            </w:pPr>
            <w:r>
              <w:rPr>
                <w:sz w:val="14"/>
              </w:rPr>
              <w:t>Due To Other Funds</w:t>
            </w:r>
          </w:p>
        </w:tc>
        <w:tc>
          <w:tcPr>
            <w:tcW w:w="772" w:type="dxa"/>
          </w:tcPr>
          <w:p>
            <w:pPr>
              <w:pStyle w:val="TableParagraph"/>
              <w:spacing w:line="131" w:lineRule="exact" w:before="27"/>
              <w:ind w:left="236"/>
              <w:rPr>
                <w:sz w:val="12"/>
              </w:rPr>
            </w:pPr>
            <w:r>
              <w:rPr>
                <w:w w:val="105"/>
                <w:sz w:val="12"/>
              </w:rPr>
              <w:t>9610</w:t>
            </w:r>
          </w:p>
        </w:tc>
        <w:tc>
          <w:tcPr>
            <w:tcW w:w="1174" w:type="dxa"/>
          </w:tcPr>
          <w:p>
            <w:pPr>
              <w:pStyle w:val="TableParagraph"/>
              <w:rPr>
                <w:rFonts w:ascii="Times New Roman"/>
                <w:sz w:val="10"/>
              </w:rPr>
            </w:pPr>
          </w:p>
        </w:tc>
        <w:tc>
          <w:tcPr>
            <w:tcW w:w="1174" w:type="dxa"/>
          </w:tcPr>
          <w:p>
            <w:pPr>
              <w:pStyle w:val="TableParagraph"/>
              <w:rPr>
                <w:rFonts w:ascii="Times New Roman"/>
                <w:sz w:val="10"/>
              </w:rPr>
            </w:pPr>
          </w:p>
        </w:tc>
        <w:tc>
          <w:tcPr>
            <w:tcW w:w="1273" w:type="dxa"/>
          </w:tcPr>
          <w:p>
            <w:pPr>
              <w:pStyle w:val="TableParagraph"/>
              <w:rPr>
                <w:rFonts w:ascii="Times New Roman"/>
                <w:sz w:val="10"/>
              </w:rPr>
            </w:pPr>
          </w:p>
        </w:tc>
        <w:tc>
          <w:tcPr>
            <w:tcW w:w="1211" w:type="dxa"/>
          </w:tcPr>
          <w:p>
            <w:pPr>
              <w:pStyle w:val="TableParagraph"/>
              <w:rPr>
                <w:rFonts w:ascii="Times New Roman"/>
                <w:sz w:val="10"/>
              </w:rPr>
            </w:pPr>
          </w:p>
        </w:tc>
        <w:tc>
          <w:tcPr>
            <w:tcW w:w="1146" w:type="dxa"/>
          </w:tcPr>
          <w:p>
            <w:pPr>
              <w:pStyle w:val="TableParagraph"/>
              <w:rPr>
                <w:rFonts w:ascii="Times New Roman"/>
                <w:sz w:val="10"/>
              </w:rPr>
            </w:pPr>
          </w:p>
        </w:tc>
        <w:tc>
          <w:tcPr>
            <w:tcW w:w="1065" w:type="dxa"/>
          </w:tcPr>
          <w:p>
            <w:pPr>
              <w:pStyle w:val="TableParagraph"/>
              <w:rPr>
                <w:rFonts w:ascii="Times New Roman"/>
                <w:sz w:val="10"/>
              </w:rPr>
            </w:pPr>
          </w:p>
        </w:tc>
        <w:tc>
          <w:tcPr>
            <w:tcW w:w="1321" w:type="dxa"/>
          </w:tcPr>
          <w:p>
            <w:pPr>
              <w:pStyle w:val="TableParagraph"/>
              <w:rPr>
                <w:rFonts w:ascii="Times New Roman"/>
                <w:sz w:val="10"/>
              </w:rPr>
            </w:pPr>
          </w:p>
        </w:tc>
        <w:tc>
          <w:tcPr>
            <w:tcW w:w="1026" w:type="dxa"/>
          </w:tcPr>
          <w:p>
            <w:pPr>
              <w:pStyle w:val="TableParagraph"/>
              <w:rPr>
                <w:rFonts w:ascii="Times New Roman"/>
                <w:sz w:val="10"/>
              </w:rPr>
            </w:pPr>
          </w:p>
        </w:tc>
        <w:tc>
          <w:tcPr>
            <w:tcW w:w="1176" w:type="dxa"/>
          </w:tcPr>
          <w:p>
            <w:pPr>
              <w:pStyle w:val="TableParagraph"/>
              <w:rPr>
                <w:rFonts w:ascii="Times New Roman"/>
                <w:sz w:val="10"/>
              </w:rPr>
            </w:pPr>
          </w:p>
        </w:tc>
      </w:tr>
      <w:tr>
        <w:trPr>
          <w:trHeight w:val="177" w:hRule="atLeast"/>
        </w:trPr>
        <w:tc>
          <w:tcPr>
            <w:tcW w:w="2568" w:type="dxa"/>
          </w:tcPr>
          <w:p>
            <w:pPr>
              <w:pStyle w:val="TableParagraph"/>
              <w:spacing w:line="152" w:lineRule="exact" w:before="6"/>
              <w:ind w:left="186"/>
              <w:rPr>
                <w:sz w:val="14"/>
              </w:rPr>
            </w:pPr>
            <w:r>
              <w:rPr>
                <w:sz w:val="14"/>
              </w:rPr>
              <w:t>Current Loans</w:t>
            </w:r>
          </w:p>
        </w:tc>
        <w:tc>
          <w:tcPr>
            <w:tcW w:w="772" w:type="dxa"/>
          </w:tcPr>
          <w:p>
            <w:pPr>
              <w:pStyle w:val="TableParagraph"/>
              <w:spacing w:line="131" w:lineRule="exact" w:before="27"/>
              <w:ind w:left="236"/>
              <w:rPr>
                <w:sz w:val="12"/>
              </w:rPr>
            </w:pPr>
            <w:r>
              <w:rPr>
                <w:w w:val="105"/>
                <w:sz w:val="12"/>
              </w:rPr>
              <w:t>9640</w:t>
            </w:r>
          </w:p>
        </w:tc>
        <w:tc>
          <w:tcPr>
            <w:tcW w:w="1174" w:type="dxa"/>
          </w:tcPr>
          <w:p>
            <w:pPr>
              <w:pStyle w:val="TableParagraph"/>
              <w:rPr>
                <w:rFonts w:ascii="Times New Roman"/>
                <w:sz w:val="10"/>
              </w:rPr>
            </w:pPr>
          </w:p>
        </w:tc>
        <w:tc>
          <w:tcPr>
            <w:tcW w:w="1174" w:type="dxa"/>
          </w:tcPr>
          <w:p>
            <w:pPr>
              <w:pStyle w:val="TableParagraph"/>
              <w:rPr>
                <w:rFonts w:ascii="Times New Roman"/>
                <w:sz w:val="10"/>
              </w:rPr>
            </w:pPr>
          </w:p>
        </w:tc>
        <w:tc>
          <w:tcPr>
            <w:tcW w:w="1273" w:type="dxa"/>
          </w:tcPr>
          <w:p>
            <w:pPr>
              <w:pStyle w:val="TableParagraph"/>
              <w:rPr>
                <w:rFonts w:ascii="Times New Roman"/>
                <w:sz w:val="10"/>
              </w:rPr>
            </w:pPr>
          </w:p>
        </w:tc>
        <w:tc>
          <w:tcPr>
            <w:tcW w:w="1211" w:type="dxa"/>
          </w:tcPr>
          <w:p>
            <w:pPr>
              <w:pStyle w:val="TableParagraph"/>
              <w:rPr>
                <w:rFonts w:ascii="Times New Roman"/>
                <w:sz w:val="10"/>
              </w:rPr>
            </w:pPr>
          </w:p>
        </w:tc>
        <w:tc>
          <w:tcPr>
            <w:tcW w:w="1146" w:type="dxa"/>
          </w:tcPr>
          <w:p>
            <w:pPr>
              <w:pStyle w:val="TableParagraph"/>
              <w:rPr>
                <w:rFonts w:ascii="Times New Roman"/>
                <w:sz w:val="10"/>
              </w:rPr>
            </w:pPr>
          </w:p>
        </w:tc>
        <w:tc>
          <w:tcPr>
            <w:tcW w:w="1065" w:type="dxa"/>
          </w:tcPr>
          <w:p>
            <w:pPr>
              <w:pStyle w:val="TableParagraph"/>
              <w:rPr>
                <w:rFonts w:ascii="Times New Roman"/>
                <w:sz w:val="10"/>
              </w:rPr>
            </w:pPr>
          </w:p>
        </w:tc>
        <w:tc>
          <w:tcPr>
            <w:tcW w:w="1321" w:type="dxa"/>
          </w:tcPr>
          <w:p>
            <w:pPr>
              <w:pStyle w:val="TableParagraph"/>
              <w:rPr>
                <w:rFonts w:ascii="Times New Roman"/>
                <w:sz w:val="10"/>
              </w:rPr>
            </w:pPr>
          </w:p>
        </w:tc>
        <w:tc>
          <w:tcPr>
            <w:tcW w:w="1026" w:type="dxa"/>
          </w:tcPr>
          <w:p>
            <w:pPr>
              <w:pStyle w:val="TableParagraph"/>
              <w:rPr>
                <w:rFonts w:ascii="Times New Roman"/>
                <w:sz w:val="10"/>
              </w:rPr>
            </w:pPr>
          </w:p>
        </w:tc>
        <w:tc>
          <w:tcPr>
            <w:tcW w:w="1176" w:type="dxa"/>
          </w:tcPr>
          <w:p>
            <w:pPr>
              <w:pStyle w:val="TableParagraph"/>
              <w:rPr>
                <w:rFonts w:ascii="Times New Roman"/>
                <w:sz w:val="10"/>
              </w:rPr>
            </w:pPr>
          </w:p>
        </w:tc>
      </w:tr>
      <w:tr>
        <w:trPr>
          <w:trHeight w:val="177" w:hRule="atLeast"/>
        </w:trPr>
        <w:tc>
          <w:tcPr>
            <w:tcW w:w="2568" w:type="dxa"/>
          </w:tcPr>
          <w:p>
            <w:pPr>
              <w:pStyle w:val="TableParagraph"/>
              <w:spacing w:line="152" w:lineRule="exact" w:before="6"/>
              <w:ind w:left="186"/>
              <w:rPr>
                <w:sz w:val="14"/>
              </w:rPr>
            </w:pPr>
            <w:r>
              <w:rPr>
                <w:sz w:val="14"/>
              </w:rPr>
              <w:t>Unearned Revenues</w:t>
            </w:r>
          </w:p>
        </w:tc>
        <w:tc>
          <w:tcPr>
            <w:tcW w:w="772" w:type="dxa"/>
          </w:tcPr>
          <w:p>
            <w:pPr>
              <w:pStyle w:val="TableParagraph"/>
              <w:spacing w:line="131" w:lineRule="exact" w:before="27"/>
              <w:ind w:left="236"/>
              <w:rPr>
                <w:sz w:val="12"/>
              </w:rPr>
            </w:pPr>
            <w:r>
              <w:rPr>
                <w:w w:val="105"/>
                <w:sz w:val="12"/>
              </w:rPr>
              <w:t>9650</w:t>
            </w:r>
          </w:p>
        </w:tc>
        <w:tc>
          <w:tcPr>
            <w:tcW w:w="1174" w:type="dxa"/>
          </w:tcPr>
          <w:p>
            <w:pPr>
              <w:pStyle w:val="TableParagraph"/>
              <w:rPr>
                <w:rFonts w:ascii="Times New Roman"/>
                <w:sz w:val="10"/>
              </w:rPr>
            </w:pPr>
          </w:p>
        </w:tc>
        <w:tc>
          <w:tcPr>
            <w:tcW w:w="1174" w:type="dxa"/>
          </w:tcPr>
          <w:p>
            <w:pPr>
              <w:pStyle w:val="TableParagraph"/>
              <w:rPr>
                <w:rFonts w:ascii="Times New Roman"/>
                <w:sz w:val="10"/>
              </w:rPr>
            </w:pPr>
          </w:p>
        </w:tc>
        <w:tc>
          <w:tcPr>
            <w:tcW w:w="1273" w:type="dxa"/>
          </w:tcPr>
          <w:p>
            <w:pPr>
              <w:pStyle w:val="TableParagraph"/>
              <w:rPr>
                <w:rFonts w:ascii="Times New Roman"/>
                <w:sz w:val="10"/>
              </w:rPr>
            </w:pPr>
          </w:p>
        </w:tc>
        <w:tc>
          <w:tcPr>
            <w:tcW w:w="1211" w:type="dxa"/>
          </w:tcPr>
          <w:p>
            <w:pPr>
              <w:pStyle w:val="TableParagraph"/>
              <w:rPr>
                <w:rFonts w:ascii="Times New Roman"/>
                <w:sz w:val="10"/>
              </w:rPr>
            </w:pPr>
          </w:p>
        </w:tc>
        <w:tc>
          <w:tcPr>
            <w:tcW w:w="1146" w:type="dxa"/>
          </w:tcPr>
          <w:p>
            <w:pPr>
              <w:pStyle w:val="TableParagraph"/>
              <w:rPr>
                <w:rFonts w:ascii="Times New Roman"/>
                <w:sz w:val="10"/>
              </w:rPr>
            </w:pPr>
          </w:p>
        </w:tc>
        <w:tc>
          <w:tcPr>
            <w:tcW w:w="1065" w:type="dxa"/>
          </w:tcPr>
          <w:p>
            <w:pPr>
              <w:pStyle w:val="TableParagraph"/>
              <w:rPr>
                <w:rFonts w:ascii="Times New Roman"/>
                <w:sz w:val="10"/>
              </w:rPr>
            </w:pPr>
          </w:p>
        </w:tc>
        <w:tc>
          <w:tcPr>
            <w:tcW w:w="1321" w:type="dxa"/>
          </w:tcPr>
          <w:p>
            <w:pPr>
              <w:pStyle w:val="TableParagraph"/>
              <w:rPr>
                <w:rFonts w:ascii="Times New Roman"/>
                <w:sz w:val="10"/>
              </w:rPr>
            </w:pPr>
          </w:p>
        </w:tc>
        <w:tc>
          <w:tcPr>
            <w:tcW w:w="1026" w:type="dxa"/>
          </w:tcPr>
          <w:p>
            <w:pPr>
              <w:pStyle w:val="TableParagraph"/>
              <w:rPr>
                <w:rFonts w:ascii="Times New Roman"/>
                <w:sz w:val="10"/>
              </w:rPr>
            </w:pPr>
          </w:p>
        </w:tc>
        <w:tc>
          <w:tcPr>
            <w:tcW w:w="1176" w:type="dxa"/>
          </w:tcPr>
          <w:p>
            <w:pPr>
              <w:pStyle w:val="TableParagraph"/>
              <w:rPr>
                <w:rFonts w:ascii="Times New Roman"/>
                <w:sz w:val="10"/>
              </w:rPr>
            </w:pPr>
          </w:p>
        </w:tc>
      </w:tr>
      <w:tr>
        <w:trPr>
          <w:trHeight w:val="177" w:hRule="atLeast"/>
        </w:trPr>
        <w:tc>
          <w:tcPr>
            <w:tcW w:w="2568" w:type="dxa"/>
          </w:tcPr>
          <w:p>
            <w:pPr>
              <w:pStyle w:val="TableParagraph"/>
              <w:spacing w:line="152" w:lineRule="exact" w:before="6"/>
              <w:ind w:left="186"/>
              <w:rPr>
                <w:sz w:val="14"/>
              </w:rPr>
            </w:pPr>
            <w:r>
              <w:rPr>
                <w:sz w:val="14"/>
              </w:rPr>
              <w:t>Deferred Inflows of Resources</w:t>
            </w:r>
          </w:p>
        </w:tc>
        <w:tc>
          <w:tcPr>
            <w:tcW w:w="772" w:type="dxa"/>
          </w:tcPr>
          <w:p>
            <w:pPr>
              <w:pStyle w:val="TableParagraph"/>
              <w:spacing w:line="131" w:lineRule="exact" w:before="27"/>
              <w:ind w:left="236"/>
              <w:rPr>
                <w:sz w:val="12"/>
              </w:rPr>
            </w:pPr>
            <w:r>
              <w:rPr>
                <w:w w:val="105"/>
                <w:sz w:val="12"/>
              </w:rPr>
              <w:t>9690</w:t>
            </w:r>
          </w:p>
        </w:tc>
        <w:tc>
          <w:tcPr>
            <w:tcW w:w="1174" w:type="dxa"/>
          </w:tcPr>
          <w:p>
            <w:pPr>
              <w:pStyle w:val="TableParagraph"/>
              <w:rPr>
                <w:rFonts w:ascii="Times New Roman"/>
                <w:sz w:val="10"/>
              </w:rPr>
            </w:pPr>
          </w:p>
        </w:tc>
        <w:tc>
          <w:tcPr>
            <w:tcW w:w="1174" w:type="dxa"/>
          </w:tcPr>
          <w:p>
            <w:pPr>
              <w:pStyle w:val="TableParagraph"/>
              <w:rPr>
                <w:rFonts w:ascii="Times New Roman"/>
                <w:sz w:val="10"/>
              </w:rPr>
            </w:pPr>
          </w:p>
        </w:tc>
        <w:tc>
          <w:tcPr>
            <w:tcW w:w="1273" w:type="dxa"/>
          </w:tcPr>
          <w:p>
            <w:pPr>
              <w:pStyle w:val="TableParagraph"/>
              <w:rPr>
                <w:rFonts w:ascii="Times New Roman"/>
                <w:sz w:val="10"/>
              </w:rPr>
            </w:pPr>
          </w:p>
        </w:tc>
        <w:tc>
          <w:tcPr>
            <w:tcW w:w="1211" w:type="dxa"/>
          </w:tcPr>
          <w:p>
            <w:pPr>
              <w:pStyle w:val="TableParagraph"/>
              <w:rPr>
                <w:rFonts w:ascii="Times New Roman"/>
                <w:sz w:val="10"/>
              </w:rPr>
            </w:pPr>
          </w:p>
        </w:tc>
        <w:tc>
          <w:tcPr>
            <w:tcW w:w="1146" w:type="dxa"/>
          </w:tcPr>
          <w:p>
            <w:pPr>
              <w:pStyle w:val="TableParagraph"/>
              <w:rPr>
                <w:rFonts w:ascii="Times New Roman"/>
                <w:sz w:val="10"/>
              </w:rPr>
            </w:pPr>
          </w:p>
        </w:tc>
        <w:tc>
          <w:tcPr>
            <w:tcW w:w="1065" w:type="dxa"/>
          </w:tcPr>
          <w:p>
            <w:pPr>
              <w:pStyle w:val="TableParagraph"/>
              <w:rPr>
                <w:rFonts w:ascii="Times New Roman"/>
                <w:sz w:val="10"/>
              </w:rPr>
            </w:pPr>
          </w:p>
        </w:tc>
        <w:tc>
          <w:tcPr>
            <w:tcW w:w="1321" w:type="dxa"/>
          </w:tcPr>
          <w:p>
            <w:pPr>
              <w:pStyle w:val="TableParagraph"/>
              <w:rPr>
                <w:rFonts w:ascii="Times New Roman"/>
                <w:sz w:val="10"/>
              </w:rPr>
            </w:pPr>
          </w:p>
        </w:tc>
        <w:tc>
          <w:tcPr>
            <w:tcW w:w="1026" w:type="dxa"/>
          </w:tcPr>
          <w:p>
            <w:pPr>
              <w:pStyle w:val="TableParagraph"/>
              <w:rPr>
                <w:rFonts w:ascii="Times New Roman"/>
                <w:sz w:val="10"/>
              </w:rPr>
            </w:pPr>
          </w:p>
        </w:tc>
        <w:tc>
          <w:tcPr>
            <w:tcW w:w="1176" w:type="dxa"/>
          </w:tcPr>
          <w:p>
            <w:pPr>
              <w:pStyle w:val="TableParagraph"/>
              <w:rPr>
                <w:rFonts w:ascii="Times New Roman"/>
                <w:sz w:val="10"/>
              </w:rPr>
            </w:pPr>
          </w:p>
        </w:tc>
      </w:tr>
      <w:tr>
        <w:trPr>
          <w:trHeight w:val="177" w:hRule="atLeast"/>
        </w:trPr>
        <w:tc>
          <w:tcPr>
            <w:tcW w:w="2568" w:type="dxa"/>
          </w:tcPr>
          <w:p>
            <w:pPr>
              <w:pStyle w:val="TableParagraph"/>
              <w:spacing w:line="152" w:lineRule="exact" w:before="6"/>
              <w:ind w:left="186"/>
              <w:rPr>
                <w:sz w:val="14"/>
              </w:rPr>
            </w:pPr>
            <w:r>
              <w:rPr>
                <w:sz w:val="14"/>
              </w:rPr>
              <w:t>SUBTOTAL</w:t>
            </w:r>
          </w:p>
        </w:tc>
        <w:tc>
          <w:tcPr>
            <w:tcW w:w="772" w:type="dxa"/>
          </w:tcPr>
          <w:p>
            <w:pPr>
              <w:pStyle w:val="TableParagraph"/>
              <w:rPr>
                <w:rFonts w:ascii="Times New Roman"/>
                <w:sz w:val="10"/>
              </w:rPr>
            </w:pPr>
          </w:p>
        </w:tc>
        <w:tc>
          <w:tcPr>
            <w:tcW w:w="1174" w:type="dxa"/>
          </w:tcPr>
          <w:p>
            <w:pPr>
              <w:pStyle w:val="TableParagraph"/>
              <w:spacing w:line="131" w:lineRule="exact" w:before="27"/>
              <w:ind w:right="28"/>
              <w:jc w:val="right"/>
              <w:rPr>
                <w:sz w:val="12"/>
              </w:rPr>
            </w:pPr>
            <w:r>
              <w:rPr>
                <w:w w:val="105"/>
                <w:sz w:val="12"/>
              </w:rPr>
              <w:t>282,078.00</w:t>
            </w:r>
          </w:p>
        </w:tc>
        <w:tc>
          <w:tcPr>
            <w:tcW w:w="1174" w:type="dxa"/>
          </w:tcPr>
          <w:p>
            <w:pPr>
              <w:pStyle w:val="TableParagraph"/>
              <w:spacing w:line="131" w:lineRule="exact" w:before="27"/>
              <w:ind w:right="28"/>
              <w:jc w:val="right"/>
              <w:rPr>
                <w:sz w:val="12"/>
              </w:rPr>
            </w:pPr>
            <w:r>
              <w:rPr>
                <w:w w:val="105"/>
                <w:sz w:val="12"/>
              </w:rPr>
              <w:t>16,863.00</w:t>
            </w:r>
          </w:p>
        </w:tc>
        <w:tc>
          <w:tcPr>
            <w:tcW w:w="1273" w:type="dxa"/>
          </w:tcPr>
          <w:p>
            <w:pPr>
              <w:pStyle w:val="TableParagraph"/>
              <w:spacing w:line="131" w:lineRule="exact" w:before="27"/>
              <w:ind w:right="127"/>
              <w:jc w:val="right"/>
              <w:rPr>
                <w:sz w:val="12"/>
              </w:rPr>
            </w:pPr>
            <w:r>
              <w:rPr>
                <w:w w:val="105"/>
                <w:sz w:val="12"/>
              </w:rPr>
              <w:t>43,190.00</w:t>
            </w:r>
          </w:p>
        </w:tc>
        <w:tc>
          <w:tcPr>
            <w:tcW w:w="1211" w:type="dxa"/>
          </w:tcPr>
          <w:p>
            <w:pPr>
              <w:pStyle w:val="TableParagraph"/>
              <w:spacing w:line="131" w:lineRule="exact" w:before="27"/>
              <w:ind w:right="166"/>
              <w:jc w:val="right"/>
              <w:rPr>
                <w:sz w:val="12"/>
              </w:rPr>
            </w:pPr>
            <w:r>
              <w:rPr>
                <w:w w:val="105"/>
                <w:sz w:val="12"/>
              </w:rPr>
              <w:t>(1,300.00)</w:t>
            </w:r>
          </w:p>
        </w:tc>
        <w:tc>
          <w:tcPr>
            <w:tcW w:w="1146" w:type="dxa"/>
          </w:tcPr>
          <w:p>
            <w:pPr>
              <w:pStyle w:val="TableParagraph"/>
              <w:spacing w:line="131" w:lineRule="exact" w:before="27"/>
              <w:ind w:right="138"/>
              <w:jc w:val="right"/>
              <w:rPr>
                <w:sz w:val="12"/>
              </w:rPr>
            </w:pPr>
            <w:r>
              <w:rPr>
                <w:w w:val="105"/>
                <w:sz w:val="12"/>
              </w:rPr>
              <w:t>121,717.00</w:t>
            </w:r>
          </w:p>
        </w:tc>
        <w:tc>
          <w:tcPr>
            <w:tcW w:w="1065" w:type="dxa"/>
          </w:tcPr>
          <w:p>
            <w:pPr>
              <w:pStyle w:val="TableParagraph"/>
              <w:spacing w:line="131" w:lineRule="exact" w:before="27"/>
              <w:ind w:right="28"/>
              <w:jc w:val="right"/>
              <w:rPr>
                <w:sz w:val="12"/>
              </w:rPr>
            </w:pPr>
            <w:r>
              <w:rPr>
                <w:w w:val="105"/>
                <w:sz w:val="12"/>
              </w:rPr>
              <w:t>16,247.00</w:t>
            </w:r>
          </w:p>
        </w:tc>
        <w:tc>
          <w:tcPr>
            <w:tcW w:w="1321" w:type="dxa"/>
          </w:tcPr>
          <w:p>
            <w:pPr>
              <w:pStyle w:val="TableParagraph"/>
              <w:spacing w:line="131" w:lineRule="exact" w:before="27"/>
              <w:ind w:right="177"/>
              <w:jc w:val="right"/>
              <w:rPr>
                <w:sz w:val="12"/>
              </w:rPr>
            </w:pPr>
            <w:r>
              <w:rPr>
                <w:w w:val="105"/>
                <w:sz w:val="12"/>
              </w:rPr>
              <w:t>(7,610.00)</w:t>
            </w:r>
          </w:p>
        </w:tc>
        <w:tc>
          <w:tcPr>
            <w:tcW w:w="1026" w:type="dxa"/>
          </w:tcPr>
          <w:p>
            <w:pPr>
              <w:pStyle w:val="TableParagraph"/>
              <w:spacing w:line="131" w:lineRule="exact" w:before="27"/>
              <w:ind w:right="28"/>
              <w:jc w:val="right"/>
              <w:rPr>
                <w:sz w:val="12"/>
              </w:rPr>
            </w:pPr>
            <w:r>
              <w:rPr>
                <w:w w:val="105"/>
                <w:sz w:val="12"/>
              </w:rPr>
              <w:t>29,649.00</w:t>
            </w:r>
          </w:p>
        </w:tc>
        <w:tc>
          <w:tcPr>
            <w:tcW w:w="1176" w:type="dxa"/>
          </w:tcPr>
          <w:p>
            <w:pPr>
              <w:pStyle w:val="TableParagraph"/>
              <w:spacing w:line="131" w:lineRule="exact" w:before="27"/>
              <w:ind w:right="32"/>
              <w:jc w:val="right"/>
              <w:rPr>
                <w:sz w:val="12"/>
              </w:rPr>
            </w:pPr>
            <w:r>
              <w:rPr>
                <w:w w:val="105"/>
                <w:sz w:val="12"/>
              </w:rPr>
              <w:t>(4,038.00)</w:t>
            </w:r>
          </w:p>
        </w:tc>
      </w:tr>
      <w:tr>
        <w:trPr>
          <w:trHeight w:val="177" w:hRule="atLeast"/>
        </w:trPr>
        <w:tc>
          <w:tcPr>
            <w:tcW w:w="2568" w:type="dxa"/>
          </w:tcPr>
          <w:p>
            <w:pPr>
              <w:pStyle w:val="TableParagraph"/>
              <w:spacing w:line="152" w:lineRule="exact" w:before="6"/>
              <w:ind w:left="32"/>
              <w:rPr>
                <w:sz w:val="14"/>
              </w:rPr>
            </w:pPr>
            <w:r>
              <w:rPr>
                <w:spacing w:val="-101"/>
                <w:sz w:val="14"/>
                <w:u w:val="single"/>
              </w:rPr>
              <w:t>N</w:t>
            </w:r>
            <w:r>
              <w:rPr>
                <w:spacing w:val="64"/>
                <w:sz w:val="14"/>
              </w:rPr>
              <w:t> </w:t>
            </w:r>
            <w:r>
              <w:rPr>
                <w:sz w:val="14"/>
                <w:u w:val="single"/>
              </w:rPr>
              <w:t>onoperating</w:t>
            </w:r>
          </w:p>
        </w:tc>
        <w:tc>
          <w:tcPr>
            <w:tcW w:w="772" w:type="dxa"/>
          </w:tcPr>
          <w:p>
            <w:pPr>
              <w:pStyle w:val="TableParagraph"/>
              <w:rPr>
                <w:rFonts w:ascii="Times New Roman"/>
                <w:sz w:val="12"/>
              </w:rPr>
            </w:pPr>
          </w:p>
        </w:tc>
        <w:tc>
          <w:tcPr>
            <w:tcW w:w="1174" w:type="dxa"/>
          </w:tcPr>
          <w:p>
            <w:pPr>
              <w:pStyle w:val="TableParagraph"/>
              <w:rPr>
                <w:rFonts w:ascii="Times New Roman"/>
                <w:sz w:val="12"/>
              </w:rPr>
            </w:pPr>
          </w:p>
        </w:tc>
        <w:tc>
          <w:tcPr>
            <w:tcW w:w="1174" w:type="dxa"/>
          </w:tcPr>
          <w:p>
            <w:pPr>
              <w:pStyle w:val="TableParagraph"/>
              <w:rPr>
                <w:rFonts w:ascii="Times New Roman"/>
                <w:sz w:val="12"/>
              </w:rPr>
            </w:pPr>
          </w:p>
        </w:tc>
        <w:tc>
          <w:tcPr>
            <w:tcW w:w="1273" w:type="dxa"/>
          </w:tcPr>
          <w:p>
            <w:pPr>
              <w:pStyle w:val="TableParagraph"/>
              <w:rPr>
                <w:rFonts w:ascii="Times New Roman"/>
                <w:sz w:val="12"/>
              </w:rPr>
            </w:pPr>
          </w:p>
        </w:tc>
        <w:tc>
          <w:tcPr>
            <w:tcW w:w="1211" w:type="dxa"/>
          </w:tcPr>
          <w:p>
            <w:pPr>
              <w:pStyle w:val="TableParagraph"/>
              <w:rPr>
                <w:rFonts w:ascii="Times New Roman"/>
                <w:sz w:val="12"/>
              </w:rPr>
            </w:pPr>
          </w:p>
        </w:tc>
        <w:tc>
          <w:tcPr>
            <w:tcW w:w="1146" w:type="dxa"/>
          </w:tcPr>
          <w:p>
            <w:pPr>
              <w:pStyle w:val="TableParagraph"/>
              <w:rPr>
                <w:rFonts w:ascii="Times New Roman"/>
                <w:sz w:val="12"/>
              </w:rPr>
            </w:pPr>
          </w:p>
        </w:tc>
        <w:tc>
          <w:tcPr>
            <w:tcW w:w="1065" w:type="dxa"/>
          </w:tcPr>
          <w:p>
            <w:pPr>
              <w:pStyle w:val="TableParagraph"/>
              <w:rPr>
                <w:rFonts w:ascii="Times New Roman"/>
                <w:sz w:val="12"/>
              </w:rPr>
            </w:pPr>
          </w:p>
        </w:tc>
        <w:tc>
          <w:tcPr>
            <w:tcW w:w="1321" w:type="dxa"/>
          </w:tcPr>
          <w:p>
            <w:pPr>
              <w:pStyle w:val="TableParagraph"/>
              <w:rPr>
                <w:rFonts w:ascii="Times New Roman"/>
                <w:sz w:val="12"/>
              </w:rPr>
            </w:pPr>
          </w:p>
        </w:tc>
        <w:tc>
          <w:tcPr>
            <w:tcW w:w="1026" w:type="dxa"/>
          </w:tcPr>
          <w:p>
            <w:pPr>
              <w:pStyle w:val="TableParagraph"/>
              <w:rPr>
                <w:rFonts w:ascii="Times New Roman"/>
                <w:sz w:val="12"/>
              </w:rPr>
            </w:pPr>
          </w:p>
        </w:tc>
        <w:tc>
          <w:tcPr>
            <w:tcW w:w="1176" w:type="dxa"/>
          </w:tcPr>
          <w:p>
            <w:pPr>
              <w:pStyle w:val="TableParagraph"/>
              <w:rPr>
                <w:rFonts w:ascii="Times New Roman"/>
                <w:sz w:val="12"/>
              </w:rPr>
            </w:pPr>
          </w:p>
        </w:tc>
      </w:tr>
      <w:tr>
        <w:trPr>
          <w:trHeight w:val="177" w:hRule="atLeast"/>
        </w:trPr>
        <w:tc>
          <w:tcPr>
            <w:tcW w:w="2568" w:type="dxa"/>
          </w:tcPr>
          <w:p>
            <w:pPr>
              <w:pStyle w:val="TableParagraph"/>
              <w:spacing w:line="152" w:lineRule="exact" w:before="5"/>
              <w:ind w:left="186"/>
              <w:rPr>
                <w:sz w:val="14"/>
              </w:rPr>
            </w:pPr>
            <w:r>
              <w:rPr>
                <w:sz w:val="14"/>
              </w:rPr>
              <w:t>Suspense Clearing</w:t>
            </w:r>
          </w:p>
        </w:tc>
        <w:tc>
          <w:tcPr>
            <w:tcW w:w="772" w:type="dxa"/>
          </w:tcPr>
          <w:p>
            <w:pPr>
              <w:pStyle w:val="TableParagraph"/>
              <w:spacing w:line="131" w:lineRule="exact" w:before="26"/>
              <w:ind w:left="236"/>
              <w:rPr>
                <w:sz w:val="12"/>
              </w:rPr>
            </w:pPr>
            <w:r>
              <w:rPr>
                <w:w w:val="105"/>
                <w:sz w:val="12"/>
              </w:rPr>
              <w:t>9910</w:t>
            </w:r>
          </w:p>
        </w:tc>
        <w:tc>
          <w:tcPr>
            <w:tcW w:w="1174" w:type="dxa"/>
          </w:tcPr>
          <w:p>
            <w:pPr>
              <w:pStyle w:val="TableParagraph"/>
              <w:rPr>
                <w:rFonts w:ascii="Times New Roman"/>
                <w:sz w:val="10"/>
              </w:rPr>
            </w:pPr>
          </w:p>
        </w:tc>
        <w:tc>
          <w:tcPr>
            <w:tcW w:w="1174" w:type="dxa"/>
          </w:tcPr>
          <w:p>
            <w:pPr>
              <w:pStyle w:val="TableParagraph"/>
              <w:rPr>
                <w:rFonts w:ascii="Times New Roman"/>
                <w:sz w:val="10"/>
              </w:rPr>
            </w:pPr>
          </w:p>
        </w:tc>
        <w:tc>
          <w:tcPr>
            <w:tcW w:w="1273" w:type="dxa"/>
          </w:tcPr>
          <w:p>
            <w:pPr>
              <w:pStyle w:val="TableParagraph"/>
              <w:rPr>
                <w:rFonts w:ascii="Times New Roman"/>
                <w:sz w:val="10"/>
              </w:rPr>
            </w:pPr>
          </w:p>
        </w:tc>
        <w:tc>
          <w:tcPr>
            <w:tcW w:w="1211" w:type="dxa"/>
          </w:tcPr>
          <w:p>
            <w:pPr>
              <w:pStyle w:val="TableParagraph"/>
              <w:rPr>
                <w:rFonts w:ascii="Times New Roman"/>
                <w:sz w:val="10"/>
              </w:rPr>
            </w:pPr>
          </w:p>
        </w:tc>
        <w:tc>
          <w:tcPr>
            <w:tcW w:w="1146" w:type="dxa"/>
          </w:tcPr>
          <w:p>
            <w:pPr>
              <w:pStyle w:val="TableParagraph"/>
              <w:rPr>
                <w:rFonts w:ascii="Times New Roman"/>
                <w:sz w:val="10"/>
              </w:rPr>
            </w:pPr>
          </w:p>
        </w:tc>
        <w:tc>
          <w:tcPr>
            <w:tcW w:w="1065" w:type="dxa"/>
          </w:tcPr>
          <w:p>
            <w:pPr>
              <w:pStyle w:val="TableParagraph"/>
              <w:rPr>
                <w:rFonts w:ascii="Times New Roman"/>
                <w:sz w:val="10"/>
              </w:rPr>
            </w:pPr>
          </w:p>
        </w:tc>
        <w:tc>
          <w:tcPr>
            <w:tcW w:w="1321" w:type="dxa"/>
          </w:tcPr>
          <w:p>
            <w:pPr>
              <w:pStyle w:val="TableParagraph"/>
              <w:rPr>
                <w:rFonts w:ascii="Times New Roman"/>
                <w:sz w:val="10"/>
              </w:rPr>
            </w:pPr>
          </w:p>
        </w:tc>
        <w:tc>
          <w:tcPr>
            <w:tcW w:w="1026" w:type="dxa"/>
          </w:tcPr>
          <w:p>
            <w:pPr>
              <w:pStyle w:val="TableParagraph"/>
              <w:rPr>
                <w:rFonts w:ascii="Times New Roman"/>
                <w:sz w:val="10"/>
              </w:rPr>
            </w:pPr>
          </w:p>
        </w:tc>
        <w:tc>
          <w:tcPr>
            <w:tcW w:w="1176" w:type="dxa"/>
          </w:tcPr>
          <w:p>
            <w:pPr>
              <w:pStyle w:val="TableParagraph"/>
              <w:rPr>
                <w:rFonts w:ascii="Times New Roman"/>
                <w:sz w:val="10"/>
              </w:rPr>
            </w:pPr>
          </w:p>
        </w:tc>
      </w:tr>
      <w:tr>
        <w:trPr>
          <w:trHeight w:val="170" w:hRule="atLeast"/>
        </w:trPr>
        <w:tc>
          <w:tcPr>
            <w:tcW w:w="2568" w:type="dxa"/>
          </w:tcPr>
          <w:p>
            <w:pPr>
              <w:pStyle w:val="TableParagraph"/>
              <w:spacing w:line="145" w:lineRule="exact" w:before="6"/>
              <w:ind w:left="186"/>
              <w:rPr>
                <w:sz w:val="14"/>
              </w:rPr>
            </w:pPr>
            <w:r>
              <w:rPr>
                <w:sz w:val="14"/>
              </w:rPr>
              <w:t>TOTAL BALANCE SHEET ITEMS</w:t>
            </w:r>
          </w:p>
        </w:tc>
        <w:tc>
          <w:tcPr>
            <w:tcW w:w="772" w:type="dxa"/>
          </w:tcPr>
          <w:p>
            <w:pPr>
              <w:pStyle w:val="TableParagraph"/>
              <w:rPr>
                <w:rFonts w:ascii="Times New Roman"/>
                <w:sz w:val="10"/>
              </w:rPr>
            </w:pPr>
          </w:p>
        </w:tc>
        <w:tc>
          <w:tcPr>
            <w:tcW w:w="1174" w:type="dxa"/>
          </w:tcPr>
          <w:p>
            <w:pPr>
              <w:pStyle w:val="TableParagraph"/>
              <w:spacing w:line="124" w:lineRule="exact" w:before="27"/>
              <w:ind w:right="29"/>
              <w:jc w:val="right"/>
              <w:rPr>
                <w:sz w:val="12"/>
              </w:rPr>
            </w:pPr>
            <w:r>
              <w:rPr>
                <w:w w:val="105"/>
                <w:sz w:val="12"/>
              </w:rPr>
              <w:t>(124,675.00)</w:t>
            </w:r>
          </w:p>
        </w:tc>
        <w:tc>
          <w:tcPr>
            <w:tcW w:w="1174" w:type="dxa"/>
          </w:tcPr>
          <w:p>
            <w:pPr>
              <w:pStyle w:val="TableParagraph"/>
              <w:spacing w:line="124" w:lineRule="exact" w:before="27"/>
              <w:ind w:right="28"/>
              <w:jc w:val="right"/>
              <w:rPr>
                <w:sz w:val="12"/>
              </w:rPr>
            </w:pPr>
            <w:r>
              <w:rPr>
                <w:w w:val="105"/>
                <w:sz w:val="12"/>
              </w:rPr>
              <w:t>73,985.00</w:t>
            </w:r>
          </w:p>
        </w:tc>
        <w:tc>
          <w:tcPr>
            <w:tcW w:w="1273" w:type="dxa"/>
          </w:tcPr>
          <w:p>
            <w:pPr>
              <w:pStyle w:val="TableParagraph"/>
              <w:spacing w:line="124" w:lineRule="exact" w:before="27"/>
              <w:ind w:right="129"/>
              <w:jc w:val="right"/>
              <w:rPr>
                <w:sz w:val="12"/>
              </w:rPr>
            </w:pPr>
            <w:r>
              <w:rPr>
                <w:w w:val="105"/>
                <w:sz w:val="12"/>
              </w:rPr>
              <w:t>(33,753.00)</w:t>
            </w:r>
          </w:p>
        </w:tc>
        <w:tc>
          <w:tcPr>
            <w:tcW w:w="1211" w:type="dxa"/>
          </w:tcPr>
          <w:p>
            <w:pPr>
              <w:pStyle w:val="TableParagraph"/>
              <w:spacing w:line="124" w:lineRule="exact" w:before="27"/>
              <w:ind w:right="165"/>
              <w:jc w:val="right"/>
              <w:rPr>
                <w:sz w:val="12"/>
              </w:rPr>
            </w:pPr>
            <w:r>
              <w:rPr>
                <w:w w:val="105"/>
                <w:sz w:val="12"/>
              </w:rPr>
              <w:t>5,193.00</w:t>
            </w:r>
          </w:p>
        </w:tc>
        <w:tc>
          <w:tcPr>
            <w:tcW w:w="1146" w:type="dxa"/>
          </w:tcPr>
          <w:p>
            <w:pPr>
              <w:pStyle w:val="TableParagraph"/>
              <w:spacing w:line="124" w:lineRule="exact" w:before="27"/>
              <w:ind w:right="139"/>
              <w:jc w:val="right"/>
              <w:rPr>
                <w:sz w:val="12"/>
              </w:rPr>
            </w:pPr>
            <w:r>
              <w:rPr>
                <w:w w:val="105"/>
                <w:sz w:val="12"/>
              </w:rPr>
              <w:t>(91,446.00)</w:t>
            </w:r>
          </w:p>
        </w:tc>
        <w:tc>
          <w:tcPr>
            <w:tcW w:w="1065" w:type="dxa"/>
          </w:tcPr>
          <w:p>
            <w:pPr>
              <w:pStyle w:val="TableParagraph"/>
              <w:spacing w:line="124" w:lineRule="exact" w:before="27"/>
              <w:ind w:right="29"/>
              <w:jc w:val="right"/>
              <w:rPr>
                <w:sz w:val="12"/>
              </w:rPr>
            </w:pPr>
            <w:r>
              <w:rPr>
                <w:w w:val="105"/>
                <w:sz w:val="12"/>
              </w:rPr>
              <w:t>5,875.00</w:t>
            </w:r>
          </w:p>
        </w:tc>
        <w:tc>
          <w:tcPr>
            <w:tcW w:w="1321" w:type="dxa"/>
          </w:tcPr>
          <w:p>
            <w:pPr>
              <w:pStyle w:val="TableParagraph"/>
              <w:spacing w:line="124" w:lineRule="exact" w:before="27"/>
              <w:ind w:right="176"/>
              <w:jc w:val="right"/>
              <w:rPr>
                <w:sz w:val="12"/>
              </w:rPr>
            </w:pPr>
            <w:r>
              <w:rPr>
                <w:w w:val="105"/>
                <w:sz w:val="12"/>
              </w:rPr>
              <w:t>7,610.00</w:t>
            </w:r>
          </w:p>
        </w:tc>
        <w:tc>
          <w:tcPr>
            <w:tcW w:w="1026" w:type="dxa"/>
          </w:tcPr>
          <w:p>
            <w:pPr>
              <w:pStyle w:val="TableParagraph"/>
              <w:spacing w:line="124" w:lineRule="exact" w:before="27"/>
              <w:ind w:right="30"/>
              <w:jc w:val="right"/>
              <w:rPr>
                <w:sz w:val="12"/>
              </w:rPr>
            </w:pPr>
            <w:r>
              <w:rPr>
                <w:w w:val="105"/>
                <w:sz w:val="12"/>
              </w:rPr>
              <w:t>(29,649.00)</w:t>
            </w:r>
          </w:p>
        </w:tc>
        <w:tc>
          <w:tcPr>
            <w:tcW w:w="1176" w:type="dxa"/>
          </w:tcPr>
          <w:p>
            <w:pPr>
              <w:pStyle w:val="TableParagraph"/>
              <w:spacing w:line="124" w:lineRule="exact" w:before="27"/>
              <w:ind w:right="31"/>
              <w:jc w:val="right"/>
              <w:rPr>
                <w:sz w:val="12"/>
              </w:rPr>
            </w:pPr>
            <w:r>
              <w:rPr>
                <w:w w:val="105"/>
                <w:sz w:val="12"/>
              </w:rPr>
              <w:t>4,038.00</w:t>
            </w:r>
          </w:p>
        </w:tc>
      </w:tr>
      <w:tr>
        <w:trPr>
          <w:trHeight w:val="177" w:hRule="atLeast"/>
        </w:trPr>
        <w:tc>
          <w:tcPr>
            <w:tcW w:w="2568" w:type="dxa"/>
            <w:tcBorders>
              <w:right w:val="single" w:sz="4" w:space="0" w:color="FFFFFF"/>
            </w:tcBorders>
          </w:tcPr>
          <w:p>
            <w:pPr>
              <w:pStyle w:val="TableParagraph"/>
              <w:spacing w:line="145" w:lineRule="exact" w:before="12"/>
              <w:ind w:left="32" w:right="-15"/>
              <w:rPr>
                <w:sz w:val="14"/>
              </w:rPr>
            </w:pPr>
            <w:r>
              <w:rPr>
                <w:sz w:val="14"/>
              </w:rPr>
              <w:t>E. NET INCREASE/DECREASE (B - C</w:t>
            </w:r>
            <w:r>
              <w:rPr>
                <w:spacing w:val="-12"/>
                <w:sz w:val="14"/>
              </w:rPr>
              <w:t> </w:t>
            </w:r>
            <w:r>
              <w:rPr>
                <w:sz w:val="14"/>
              </w:rPr>
              <w:t>+</w:t>
            </w:r>
          </w:p>
        </w:tc>
        <w:tc>
          <w:tcPr>
            <w:tcW w:w="772" w:type="dxa"/>
            <w:tcBorders>
              <w:left w:val="single" w:sz="4" w:space="0" w:color="FFFFFF"/>
            </w:tcBorders>
          </w:tcPr>
          <w:p>
            <w:pPr>
              <w:pStyle w:val="TableParagraph"/>
              <w:spacing w:line="145" w:lineRule="exact" w:before="12"/>
              <w:ind w:left="33"/>
              <w:rPr>
                <w:sz w:val="14"/>
              </w:rPr>
            </w:pPr>
            <w:r>
              <w:rPr>
                <w:sz w:val="14"/>
              </w:rPr>
              <w:t>D)</w:t>
            </w:r>
          </w:p>
        </w:tc>
        <w:tc>
          <w:tcPr>
            <w:tcW w:w="1174" w:type="dxa"/>
          </w:tcPr>
          <w:p>
            <w:pPr>
              <w:pStyle w:val="TableParagraph"/>
              <w:rPr>
                <w:rFonts w:ascii="Times New Roman"/>
                <w:sz w:val="10"/>
              </w:rPr>
            </w:pPr>
          </w:p>
        </w:tc>
        <w:tc>
          <w:tcPr>
            <w:tcW w:w="1174" w:type="dxa"/>
          </w:tcPr>
          <w:p>
            <w:pPr>
              <w:pStyle w:val="TableParagraph"/>
              <w:spacing w:line="124" w:lineRule="exact" w:before="34"/>
              <w:ind w:right="28"/>
              <w:jc w:val="right"/>
              <w:rPr>
                <w:sz w:val="12"/>
              </w:rPr>
            </w:pPr>
            <w:r>
              <w:rPr>
                <w:w w:val="105"/>
                <w:sz w:val="12"/>
              </w:rPr>
              <w:t>164,175.00</w:t>
            </w:r>
          </w:p>
        </w:tc>
        <w:tc>
          <w:tcPr>
            <w:tcW w:w="1273" w:type="dxa"/>
          </w:tcPr>
          <w:p>
            <w:pPr>
              <w:pStyle w:val="TableParagraph"/>
              <w:spacing w:line="124" w:lineRule="exact" w:before="34"/>
              <w:ind w:right="129"/>
              <w:jc w:val="right"/>
              <w:rPr>
                <w:sz w:val="12"/>
              </w:rPr>
            </w:pPr>
            <w:r>
              <w:rPr>
                <w:w w:val="105"/>
                <w:sz w:val="12"/>
              </w:rPr>
              <w:t>(59,182.00)</w:t>
            </w:r>
          </w:p>
        </w:tc>
        <w:tc>
          <w:tcPr>
            <w:tcW w:w="1211" w:type="dxa"/>
          </w:tcPr>
          <w:p>
            <w:pPr>
              <w:pStyle w:val="TableParagraph"/>
              <w:spacing w:line="124" w:lineRule="exact" w:before="34"/>
              <w:ind w:right="164"/>
              <w:jc w:val="right"/>
              <w:rPr>
                <w:sz w:val="12"/>
              </w:rPr>
            </w:pPr>
            <w:r>
              <w:rPr>
                <w:w w:val="105"/>
                <w:sz w:val="12"/>
              </w:rPr>
              <w:t>49,505.00</w:t>
            </w:r>
          </w:p>
        </w:tc>
        <w:tc>
          <w:tcPr>
            <w:tcW w:w="1146" w:type="dxa"/>
          </w:tcPr>
          <w:p>
            <w:pPr>
              <w:pStyle w:val="TableParagraph"/>
              <w:spacing w:line="124" w:lineRule="exact" w:before="34"/>
              <w:ind w:right="139"/>
              <w:jc w:val="right"/>
              <w:rPr>
                <w:sz w:val="12"/>
              </w:rPr>
            </w:pPr>
            <w:r>
              <w:rPr>
                <w:w w:val="105"/>
                <w:sz w:val="12"/>
              </w:rPr>
              <w:t>(243,130.00)</w:t>
            </w:r>
          </w:p>
        </w:tc>
        <w:tc>
          <w:tcPr>
            <w:tcW w:w="1065" w:type="dxa"/>
          </w:tcPr>
          <w:p>
            <w:pPr>
              <w:pStyle w:val="TableParagraph"/>
              <w:spacing w:line="124" w:lineRule="exact" w:before="34"/>
              <w:ind w:right="30"/>
              <w:jc w:val="right"/>
              <w:rPr>
                <w:sz w:val="12"/>
              </w:rPr>
            </w:pPr>
            <w:r>
              <w:rPr>
                <w:w w:val="105"/>
                <w:sz w:val="12"/>
              </w:rPr>
              <w:t>(253,287.00)</w:t>
            </w:r>
          </w:p>
        </w:tc>
        <w:tc>
          <w:tcPr>
            <w:tcW w:w="1321" w:type="dxa"/>
          </w:tcPr>
          <w:p>
            <w:pPr>
              <w:pStyle w:val="TableParagraph"/>
              <w:spacing w:line="124" w:lineRule="exact" w:before="34"/>
              <w:ind w:right="176"/>
              <w:jc w:val="right"/>
              <w:rPr>
                <w:sz w:val="12"/>
              </w:rPr>
            </w:pPr>
            <w:r>
              <w:rPr>
                <w:w w:val="105"/>
                <w:sz w:val="12"/>
              </w:rPr>
              <w:t>30,092.00</w:t>
            </w:r>
          </w:p>
        </w:tc>
        <w:tc>
          <w:tcPr>
            <w:tcW w:w="1026" w:type="dxa"/>
          </w:tcPr>
          <w:p>
            <w:pPr>
              <w:pStyle w:val="TableParagraph"/>
              <w:spacing w:line="124" w:lineRule="exact" w:before="34"/>
              <w:ind w:right="29"/>
              <w:jc w:val="right"/>
              <w:rPr>
                <w:sz w:val="12"/>
              </w:rPr>
            </w:pPr>
            <w:r>
              <w:rPr>
                <w:w w:val="105"/>
                <w:sz w:val="12"/>
              </w:rPr>
              <w:t>130,784.00</w:t>
            </w:r>
          </w:p>
        </w:tc>
        <w:tc>
          <w:tcPr>
            <w:tcW w:w="1176" w:type="dxa"/>
          </w:tcPr>
          <w:p>
            <w:pPr>
              <w:pStyle w:val="TableParagraph"/>
              <w:spacing w:line="124" w:lineRule="exact" w:before="34"/>
              <w:ind w:right="33"/>
              <w:jc w:val="right"/>
              <w:rPr>
                <w:sz w:val="12"/>
              </w:rPr>
            </w:pPr>
            <w:r>
              <w:rPr>
                <w:w w:val="105"/>
                <w:sz w:val="12"/>
              </w:rPr>
              <w:t>(111,024.00)</w:t>
            </w:r>
          </w:p>
        </w:tc>
      </w:tr>
      <w:tr>
        <w:trPr>
          <w:trHeight w:val="177" w:hRule="atLeast"/>
        </w:trPr>
        <w:tc>
          <w:tcPr>
            <w:tcW w:w="2568" w:type="dxa"/>
          </w:tcPr>
          <w:p>
            <w:pPr>
              <w:pStyle w:val="TableParagraph"/>
              <w:spacing w:line="145" w:lineRule="exact" w:before="12"/>
              <w:ind w:left="32"/>
              <w:rPr>
                <w:sz w:val="14"/>
              </w:rPr>
            </w:pPr>
            <w:r>
              <w:rPr>
                <w:sz w:val="14"/>
              </w:rPr>
              <w:t>F. ENDING CASH (A + E)</w:t>
            </w:r>
          </w:p>
        </w:tc>
        <w:tc>
          <w:tcPr>
            <w:tcW w:w="772" w:type="dxa"/>
          </w:tcPr>
          <w:p>
            <w:pPr>
              <w:pStyle w:val="TableParagraph"/>
              <w:rPr>
                <w:rFonts w:ascii="Times New Roman"/>
                <w:sz w:val="10"/>
              </w:rPr>
            </w:pPr>
          </w:p>
        </w:tc>
        <w:tc>
          <w:tcPr>
            <w:tcW w:w="1174" w:type="dxa"/>
            <w:shd w:val="clear" w:color="auto" w:fill="BFBFBF"/>
          </w:tcPr>
          <w:p>
            <w:pPr>
              <w:pStyle w:val="TableParagraph"/>
              <w:rPr>
                <w:rFonts w:ascii="Times New Roman"/>
                <w:sz w:val="10"/>
              </w:rPr>
            </w:pPr>
          </w:p>
        </w:tc>
        <w:tc>
          <w:tcPr>
            <w:tcW w:w="1174" w:type="dxa"/>
          </w:tcPr>
          <w:p>
            <w:pPr>
              <w:pStyle w:val="TableParagraph"/>
              <w:spacing w:line="124" w:lineRule="exact" w:before="34"/>
              <w:ind w:right="28"/>
              <w:jc w:val="right"/>
              <w:rPr>
                <w:sz w:val="12"/>
              </w:rPr>
            </w:pPr>
            <w:r>
              <w:rPr>
                <w:w w:val="105"/>
                <w:sz w:val="12"/>
              </w:rPr>
              <w:t>2,856,117.00</w:t>
            </w:r>
          </w:p>
        </w:tc>
        <w:tc>
          <w:tcPr>
            <w:tcW w:w="1273" w:type="dxa"/>
          </w:tcPr>
          <w:p>
            <w:pPr>
              <w:pStyle w:val="TableParagraph"/>
              <w:spacing w:line="124" w:lineRule="exact" w:before="34"/>
              <w:ind w:right="128"/>
              <w:jc w:val="right"/>
              <w:rPr>
                <w:sz w:val="12"/>
              </w:rPr>
            </w:pPr>
            <w:r>
              <w:rPr>
                <w:w w:val="105"/>
                <w:sz w:val="12"/>
              </w:rPr>
              <w:t>2,796,935.00</w:t>
            </w:r>
          </w:p>
        </w:tc>
        <w:tc>
          <w:tcPr>
            <w:tcW w:w="1211" w:type="dxa"/>
          </w:tcPr>
          <w:p>
            <w:pPr>
              <w:pStyle w:val="TableParagraph"/>
              <w:spacing w:line="124" w:lineRule="exact" w:before="34"/>
              <w:ind w:right="165"/>
              <w:jc w:val="right"/>
              <w:rPr>
                <w:sz w:val="12"/>
              </w:rPr>
            </w:pPr>
            <w:r>
              <w:rPr>
                <w:w w:val="105"/>
                <w:sz w:val="12"/>
              </w:rPr>
              <w:t>2,846,440.00</w:t>
            </w:r>
          </w:p>
        </w:tc>
        <w:tc>
          <w:tcPr>
            <w:tcW w:w="1146" w:type="dxa"/>
          </w:tcPr>
          <w:p>
            <w:pPr>
              <w:pStyle w:val="TableParagraph"/>
              <w:spacing w:line="124" w:lineRule="exact" w:before="34"/>
              <w:ind w:right="137"/>
              <w:jc w:val="right"/>
              <w:rPr>
                <w:sz w:val="12"/>
              </w:rPr>
            </w:pPr>
            <w:r>
              <w:rPr>
                <w:w w:val="105"/>
                <w:sz w:val="12"/>
              </w:rPr>
              <w:t>2,603,310.00</w:t>
            </w:r>
          </w:p>
        </w:tc>
        <w:tc>
          <w:tcPr>
            <w:tcW w:w="1065" w:type="dxa"/>
          </w:tcPr>
          <w:p>
            <w:pPr>
              <w:pStyle w:val="TableParagraph"/>
              <w:spacing w:line="124" w:lineRule="exact" w:before="34"/>
              <w:ind w:right="29"/>
              <w:jc w:val="right"/>
              <w:rPr>
                <w:sz w:val="12"/>
              </w:rPr>
            </w:pPr>
            <w:r>
              <w:rPr>
                <w:w w:val="105"/>
                <w:sz w:val="12"/>
              </w:rPr>
              <w:t>2,350,023.00</w:t>
            </w:r>
          </w:p>
        </w:tc>
        <w:tc>
          <w:tcPr>
            <w:tcW w:w="1321" w:type="dxa"/>
          </w:tcPr>
          <w:p>
            <w:pPr>
              <w:pStyle w:val="TableParagraph"/>
              <w:spacing w:line="124" w:lineRule="exact" w:before="34"/>
              <w:ind w:right="176"/>
              <w:jc w:val="right"/>
              <w:rPr>
                <w:sz w:val="12"/>
              </w:rPr>
            </w:pPr>
            <w:r>
              <w:rPr>
                <w:w w:val="105"/>
                <w:sz w:val="12"/>
              </w:rPr>
              <w:t>2,380,115.00</w:t>
            </w:r>
          </w:p>
        </w:tc>
        <w:tc>
          <w:tcPr>
            <w:tcW w:w="1026" w:type="dxa"/>
          </w:tcPr>
          <w:p>
            <w:pPr>
              <w:pStyle w:val="TableParagraph"/>
              <w:spacing w:line="124" w:lineRule="exact" w:before="34"/>
              <w:ind w:right="29"/>
              <w:jc w:val="right"/>
              <w:rPr>
                <w:sz w:val="12"/>
              </w:rPr>
            </w:pPr>
            <w:r>
              <w:rPr>
                <w:w w:val="105"/>
                <w:sz w:val="12"/>
              </w:rPr>
              <w:t>2,510,899.00</w:t>
            </w:r>
          </w:p>
        </w:tc>
        <w:tc>
          <w:tcPr>
            <w:tcW w:w="1176" w:type="dxa"/>
          </w:tcPr>
          <w:p>
            <w:pPr>
              <w:pStyle w:val="TableParagraph"/>
              <w:spacing w:line="124" w:lineRule="exact" w:before="34"/>
              <w:ind w:right="31"/>
              <w:jc w:val="right"/>
              <w:rPr>
                <w:sz w:val="12"/>
              </w:rPr>
            </w:pPr>
            <w:r>
              <w:rPr>
                <w:w w:val="105"/>
                <w:sz w:val="12"/>
              </w:rPr>
              <w:t>2,399,875.00</w:t>
            </w:r>
          </w:p>
        </w:tc>
      </w:tr>
      <w:tr>
        <w:trPr>
          <w:trHeight w:val="367" w:hRule="atLeast"/>
        </w:trPr>
        <w:tc>
          <w:tcPr>
            <w:tcW w:w="2568" w:type="dxa"/>
          </w:tcPr>
          <w:p>
            <w:pPr>
              <w:pStyle w:val="TableParagraph"/>
              <w:spacing w:line="158" w:lineRule="exact" w:before="48"/>
              <w:ind w:left="32"/>
              <w:rPr>
                <w:sz w:val="14"/>
              </w:rPr>
            </w:pPr>
            <w:r>
              <w:rPr>
                <w:sz w:val="14"/>
              </w:rPr>
              <w:t>G. ENDING CASH, PLUS CASH ACCRUALS AND ADJUSTMENTS</w:t>
            </w:r>
          </w:p>
        </w:tc>
        <w:tc>
          <w:tcPr>
            <w:tcW w:w="772" w:type="dxa"/>
          </w:tcPr>
          <w:p>
            <w:pPr>
              <w:pStyle w:val="TableParagraph"/>
              <w:rPr>
                <w:rFonts w:ascii="Times New Roman"/>
                <w:sz w:val="12"/>
              </w:rPr>
            </w:pPr>
          </w:p>
        </w:tc>
        <w:tc>
          <w:tcPr>
            <w:tcW w:w="1174" w:type="dxa"/>
          </w:tcPr>
          <w:p>
            <w:pPr>
              <w:pStyle w:val="TableParagraph"/>
              <w:rPr>
                <w:rFonts w:ascii="Times New Roman"/>
                <w:sz w:val="12"/>
              </w:rPr>
            </w:pPr>
          </w:p>
        </w:tc>
        <w:tc>
          <w:tcPr>
            <w:tcW w:w="1174" w:type="dxa"/>
          </w:tcPr>
          <w:p>
            <w:pPr>
              <w:pStyle w:val="TableParagraph"/>
              <w:rPr>
                <w:rFonts w:ascii="Times New Roman"/>
                <w:sz w:val="12"/>
              </w:rPr>
            </w:pPr>
          </w:p>
        </w:tc>
        <w:tc>
          <w:tcPr>
            <w:tcW w:w="1273" w:type="dxa"/>
          </w:tcPr>
          <w:p>
            <w:pPr>
              <w:pStyle w:val="TableParagraph"/>
              <w:rPr>
                <w:rFonts w:ascii="Times New Roman"/>
                <w:sz w:val="12"/>
              </w:rPr>
            </w:pPr>
          </w:p>
        </w:tc>
        <w:tc>
          <w:tcPr>
            <w:tcW w:w="1211" w:type="dxa"/>
          </w:tcPr>
          <w:p>
            <w:pPr>
              <w:pStyle w:val="TableParagraph"/>
              <w:rPr>
                <w:rFonts w:ascii="Times New Roman"/>
                <w:sz w:val="12"/>
              </w:rPr>
            </w:pPr>
          </w:p>
        </w:tc>
        <w:tc>
          <w:tcPr>
            <w:tcW w:w="1146" w:type="dxa"/>
          </w:tcPr>
          <w:p>
            <w:pPr>
              <w:pStyle w:val="TableParagraph"/>
              <w:rPr>
                <w:rFonts w:ascii="Times New Roman"/>
                <w:sz w:val="12"/>
              </w:rPr>
            </w:pPr>
          </w:p>
        </w:tc>
        <w:tc>
          <w:tcPr>
            <w:tcW w:w="1065" w:type="dxa"/>
          </w:tcPr>
          <w:p>
            <w:pPr>
              <w:pStyle w:val="TableParagraph"/>
              <w:rPr>
                <w:rFonts w:ascii="Times New Roman"/>
                <w:sz w:val="12"/>
              </w:rPr>
            </w:pPr>
          </w:p>
        </w:tc>
        <w:tc>
          <w:tcPr>
            <w:tcW w:w="1321" w:type="dxa"/>
            <w:shd w:val="clear" w:color="auto" w:fill="BFBFBF"/>
          </w:tcPr>
          <w:p>
            <w:pPr>
              <w:pStyle w:val="TableParagraph"/>
              <w:rPr>
                <w:rFonts w:ascii="Times New Roman"/>
                <w:sz w:val="12"/>
              </w:rPr>
            </w:pPr>
          </w:p>
        </w:tc>
        <w:tc>
          <w:tcPr>
            <w:tcW w:w="1026" w:type="dxa"/>
            <w:shd w:val="clear" w:color="auto" w:fill="BFBFBF"/>
          </w:tcPr>
          <w:p>
            <w:pPr>
              <w:pStyle w:val="TableParagraph"/>
              <w:rPr>
                <w:rFonts w:ascii="Times New Roman"/>
                <w:sz w:val="12"/>
              </w:rPr>
            </w:pPr>
          </w:p>
        </w:tc>
        <w:tc>
          <w:tcPr>
            <w:tcW w:w="1176" w:type="dxa"/>
          </w:tcPr>
          <w:p>
            <w:pPr>
              <w:pStyle w:val="TableParagraph"/>
              <w:rPr>
                <w:rFonts w:ascii="Times New Roman"/>
                <w:sz w:val="12"/>
              </w:rPr>
            </w:pPr>
          </w:p>
        </w:tc>
      </w:tr>
    </w:tbl>
    <w:p>
      <w:pPr>
        <w:spacing w:after="0"/>
        <w:rPr>
          <w:rFonts w:ascii="Times New Roman"/>
          <w:sz w:val="12"/>
        </w:rPr>
        <w:sectPr>
          <w:headerReference w:type="default" r:id="rId1096"/>
          <w:footerReference w:type="default" r:id="rId1097"/>
          <w:pgSz w:w="15840" w:h="12240" w:orient="landscape"/>
          <w:pgMar w:header="505" w:footer="778" w:top="980" w:bottom="960" w:left="860" w:right="860"/>
        </w:sectPr>
      </w:pPr>
    </w:p>
    <w:p>
      <w:pPr>
        <w:pStyle w:val="BodyText"/>
        <w:spacing w:before="2"/>
        <w:rPr>
          <w:sz w:val="29"/>
        </w:rPr>
      </w:pPr>
    </w:p>
    <w:p>
      <w:pPr>
        <w:spacing w:after="0"/>
        <w:rPr>
          <w:sz w:val="29"/>
        </w:rPr>
        <w:sectPr>
          <w:headerReference w:type="default" r:id="rId1109"/>
          <w:footerReference w:type="default" r:id="rId1110"/>
          <w:pgSz w:w="15840" w:h="12240" w:orient="landscape"/>
          <w:pgMar w:header="505" w:footer="778" w:top="980" w:bottom="960" w:left="860" w:right="860"/>
        </w:sectPr>
      </w:pPr>
    </w:p>
    <w:p>
      <w:pPr>
        <w:pStyle w:val="BodyText"/>
        <w:rPr>
          <w:sz w:val="16"/>
        </w:rPr>
      </w:pPr>
    </w:p>
    <w:p>
      <w:pPr>
        <w:pStyle w:val="Heading9"/>
        <w:spacing w:before="101"/>
        <w:ind w:left="827"/>
      </w:pPr>
      <w:r>
        <w:rPr/>
        <w:t>ESTIMATES THROUGH THE </w:t>
      </w:r>
      <w:r>
        <w:rPr>
          <w:spacing w:val="-4"/>
        </w:rPr>
        <w:t>MONTH</w:t>
      </w:r>
    </w:p>
    <w:p>
      <w:pPr>
        <w:spacing w:before="95"/>
        <w:ind w:left="155" w:right="0" w:firstLine="0"/>
        <w:jc w:val="left"/>
        <w:rPr>
          <w:b/>
          <w:sz w:val="14"/>
        </w:rPr>
      </w:pPr>
      <w:r>
        <w:rPr/>
        <w:br w:type="column"/>
      </w:r>
      <w:r>
        <w:rPr>
          <w:b/>
          <w:spacing w:val="-1"/>
          <w:sz w:val="14"/>
        </w:rPr>
        <w:t>Object</w:t>
      </w:r>
    </w:p>
    <w:p>
      <w:pPr>
        <w:tabs>
          <w:tab w:pos="1742" w:val="left" w:leader="none"/>
          <w:tab w:pos="2921" w:val="left" w:leader="none"/>
          <w:tab w:pos="4085" w:val="left" w:leader="none"/>
          <w:tab w:pos="5129" w:val="left" w:leader="none"/>
          <w:tab w:pos="6175" w:val="left" w:leader="none"/>
          <w:tab w:pos="7538" w:val="left" w:leader="none"/>
          <w:tab w:pos="8647" w:val="left" w:leader="none"/>
        </w:tabs>
        <w:spacing w:before="95"/>
        <w:ind w:left="521" w:right="0" w:firstLine="0"/>
        <w:jc w:val="left"/>
        <w:rPr>
          <w:b/>
          <w:sz w:val="14"/>
        </w:rPr>
      </w:pPr>
      <w:r>
        <w:rPr/>
        <w:br w:type="column"/>
      </w:r>
      <w:r>
        <w:rPr>
          <w:b/>
          <w:sz w:val="14"/>
        </w:rPr>
        <w:t>March</w:t>
        <w:tab/>
        <w:t>April</w:t>
        <w:tab/>
        <w:t>May</w:t>
        <w:tab/>
        <w:t>June</w:t>
        <w:tab/>
        <w:t>Accruals</w:t>
        <w:tab/>
        <w:t>Adjustments</w:t>
        <w:tab/>
        <w:t>TOTAL</w:t>
        <w:tab/>
        <w:t>BUDGET</w:t>
      </w:r>
    </w:p>
    <w:p>
      <w:pPr>
        <w:spacing w:after="0"/>
        <w:jc w:val="left"/>
        <w:rPr>
          <w:sz w:val="14"/>
        </w:rPr>
        <w:sectPr>
          <w:type w:val="continuous"/>
          <w:pgSz w:w="15840" w:h="12240" w:orient="landscape"/>
          <w:pgMar w:top="1500" w:bottom="840" w:left="860" w:right="860"/>
          <w:cols w:num="3" w:equalWidth="0">
            <w:col w:w="3229" w:space="40"/>
            <w:col w:w="586" w:space="39"/>
            <w:col w:w="10226"/>
          </w:cols>
        </w:sectPr>
      </w:pPr>
    </w:p>
    <w:p>
      <w:pPr>
        <w:pStyle w:val="BodyText"/>
        <w:spacing w:before="2"/>
        <w:rPr>
          <w:b/>
          <w:sz w:val="15"/>
        </w:rPr>
      </w:pPr>
    </w:p>
    <w:p>
      <w:pPr>
        <w:pStyle w:val="ListParagraph"/>
        <w:numPr>
          <w:ilvl w:val="0"/>
          <w:numId w:val="46"/>
        </w:numPr>
        <w:tabs>
          <w:tab w:pos="897" w:val="left" w:leader="none"/>
        </w:tabs>
        <w:spacing w:line="240" w:lineRule="auto" w:before="0" w:after="0"/>
        <w:ind w:left="896" w:right="0" w:hanging="171"/>
        <w:jc w:val="left"/>
        <w:rPr>
          <w:sz w:val="14"/>
        </w:rPr>
      </w:pPr>
      <w:r>
        <w:rPr>
          <w:sz w:val="14"/>
        </w:rPr>
        <w:t>BEGINNING</w:t>
      </w:r>
      <w:r>
        <w:rPr>
          <w:spacing w:val="-3"/>
          <w:sz w:val="14"/>
        </w:rPr>
        <w:t> </w:t>
      </w:r>
      <w:r>
        <w:rPr>
          <w:sz w:val="14"/>
        </w:rPr>
        <w:t>CASH</w:t>
      </w:r>
    </w:p>
    <w:p>
      <w:pPr>
        <w:pStyle w:val="ListParagraph"/>
        <w:numPr>
          <w:ilvl w:val="0"/>
          <w:numId w:val="46"/>
        </w:numPr>
        <w:tabs>
          <w:tab w:pos="897" w:val="left" w:leader="none"/>
        </w:tabs>
        <w:spacing w:line="240" w:lineRule="auto" w:before="17" w:after="0"/>
        <w:ind w:left="896" w:right="0" w:hanging="171"/>
        <w:jc w:val="left"/>
        <w:rPr>
          <w:sz w:val="14"/>
        </w:rPr>
      </w:pPr>
      <w:r>
        <w:rPr>
          <w:sz w:val="14"/>
        </w:rPr>
        <w:t>RECEIPTS</w:t>
      </w:r>
    </w:p>
    <w:p>
      <w:pPr>
        <w:spacing w:before="16"/>
        <w:ind w:left="880" w:right="0" w:firstLine="0"/>
        <w:jc w:val="left"/>
        <w:rPr>
          <w:sz w:val="14"/>
        </w:rPr>
      </w:pPr>
      <w:r>
        <w:rPr>
          <w:sz w:val="14"/>
        </w:rPr>
        <w:t>LCFF/Revenue Limit </w:t>
      </w:r>
      <w:r>
        <w:rPr>
          <w:spacing w:val="-4"/>
          <w:sz w:val="14"/>
        </w:rPr>
        <w:t>Sources</w:t>
      </w:r>
    </w:p>
    <w:p>
      <w:pPr>
        <w:tabs>
          <w:tab w:pos="730" w:val="left" w:leader="none"/>
        </w:tabs>
        <w:spacing w:line="161" w:lineRule="exact" w:before="0"/>
        <w:ind w:left="294" w:right="0" w:firstLine="0"/>
        <w:jc w:val="left"/>
        <w:rPr>
          <w:sz w:val="12"/>
        </w:rPr>
      </w:pPr>
      <w:r>
        <w:rPr/>
        <w:br w:type="column"/>
      </w:r>
      <w:r>
        <w:rPr>
          <w:w w:val="105"/>
          <w:sz w:val="14"/>
        </w:rPr>
        <w:t>OF</w:t>
        <w:tab/>
      </w:r>
      <w:r>
        <w:rPr>
          <w:spacing w:val="-6"/>
          <w:w w:val="105"/>
          <w:sz w:val="12"/>
        </w:rPr>
        <w:t>JUNE</w:t>
      </w:r>
    </w:p>
    <w:p>
      <w:pPr>
        <w:pStyle w:val="BodyText"/>
        <w:rPr>
          <w:sz w:val="17"/>
        </w:rPr>
      </w:pPr>
      <w:r>
        <w:rPr/>
        <w:br w:type="column"/>
      </w:r>
      <w:r>
        <w:rPr>
          <w:sz w:val="17"/>
        </w:rPr>
      </w:r>
    </w:p>
    <w:p>
      <w:pPr>
        <w:tabs>
          <w:tab w:pos="1770" w:val="left" w:leader="none"/>
          <w:tab w:pos="2944" w:val="left" w:leader="none"/>
          <w:tab w:pos="4117" w:val="left" w:leader="none"/>
        </w:tabs>
        <w:spacing w:before="0"/>
        <w:ind w:left="597" w:right="0" w:firstLine="0"/>
        <w:jc w:val="left"/>
        <w:rPr>
          <w:sz w:val="12"/>
        </w:rPr>
      </w:pPr>
      <w:r>
        <w:rPr>
          <w:w w:val="105"/>
          <w:sz w:val="12"/>
        </w:rPr>
        <w:t>2,399,875.00</w:t>
        <w:tab/>
        <w:t>2,305,331.00</w:t>
        <w:tab/>
        <w:t>2,136,675.00</w:t>
        <w:tab/>
        <w:t>2,399,961.00</w:t>
      </w:r>
    </w:p>
    <w:p>
      <w:pPr>
        <w:spacing w:after="0"/>
        <w:jc w:val="left"/>
        <w:rPr>
          <w:sz w:val="12"/>
        </w:rPr>
        <w:sectPr>
          <w:type w:val="continuous"/>
          <w:pgSz w:w="15840" w:h="12240" w:orient="landscape"/>
          <w:pgMar w:top="1500" w:bottom="840" w:left="860" w:right="860"/>
          <w:cols w:num="3" w:equalWidth="0">
            <w:col w:w="2702" w:space="40"/>
            <w:col w:w="1064" w:space="39"/>
            <w:col w:w="10275"/>
          </w:cols>
        </w:sectPr>
      </w:pPr>
    </w:p>
    <w:p>
      <w:pPr>
        <w:tabs>
          <w:tab w:pos="3938" w:val="right" w:leader="none"/>
        </w:tabs>
        <w:spacing w:before="19"/>
        <w:ind w:left="1149" w:right="0" w:firstLine="0"/>
        <w:jc w:val="left"/>
        <w:rPr>
          <w:sz w:val="12"/>
        </w:rPr>
      </w:pPr>
      <w:r>
        <w:rPr/>
        <w:pict>
          <v:group style="position:absolute;margin-left:77.279999pt;margin-top:49.800003pt;width:637.35pt;height:465.15pt;mso-position-horizontal-relative:page;mso-position-vertical-relative:page;z-index:-314157056" coordorigin="1546,996" coordsize="12747,9303">
            <v:shape style="position:absolute;left:1545;top:996;width:3351;height:586" type="#_x0000_t75" stroked="false">
              <v:imagedata r:id="rId1054" o:title=""/>
            </v:shape>
            <v:shape style="position:absolute;left:1545;top:1180;width:3358;height:924" type="#_x0000_t75" stroked="false">
              <v:imagedata r:id="rId1055" o:title=""/>
            </v:shape>
            <v:rect style="position:absolute;left:4104;top:1929;width:790;height:178" filled="true" fillcolor="#bfbfbf" stroked="false">
              <v:fill type="solid"/>
            </v:rect>
            <v:shape style="position:absolute;left:1545;top:1924;width:3358;height:713" type="#_x0000_t75" stroked="false">
              <v:imagedata r:id="rId1056" o:title=""/>
            </v:shape>
            <v:shape style="position:absolute;left:1545;top:2457;width:3358;height:1956" type="#_x0000_t75" stroked="false">
              <v:imagedata r:id="rId1057" o:title=""/>
            </v:shape>
            <v:shape style="position:absolute;left:1545;top:4233;width:3358;height:2312" type="#_x0000_t75" stroked="false">
              <v:imagedata r:id="rId1058" o:title=""/>
            </v:shape>
            <v:shape style="position:absolute;left:4092;top:6364;width:812;height:3212" type="#_x0000_t75" stroked="false">
              <v:imagedata r:id="rId1059" o:title=""/>
            </v:shape>
            <v:shape style="position:absolute;left:1545;top:6542;width:3358;height:3212" type="#_x0000_t75" stroked="false">
              <v:imagedata r:id="rId1111" o:title=""/>
            </v:shape>
            <v:line style="position:absolute" from="4100,9566" to="4100,9737" stroked="true" strokeweight=".360008pt" strokecolor="#ffffff">
              <v:stroke dashstyle="solid"/>
            </v:line>
            <v:shape style="position:absolute;left:4888;top:996;width:9404;height:586" type="#_x0000_t75" stroked="false">
              <v:imagedata r:id="rId1060" o:title=""/>
            </v:shape>
            <v:rect style="position:absolute;left:4893;top:1584;width:1174;height:346" filled="true" fillcolor="#bfbfbf" stroked="false">
              <v:fill type="solid"/>
            </v:rect>
            <v:shape style="position:absolute;left:4888;top:1572;width:1181;height:22" type="#_x0000_t75" stroked="false">
              <v:imagedata r:id="rId1023" o:title=""/>
            </v:shape>
            <v:rect style="position:absolute;left:6067;top:1584;width:1174;height:346" filled="true" fillcolor="#bfbfbf" stroked="false">
              <v:fill type="solid"/>
            </v:rect>
            <v:shape style="position:absolute;left:6062;top:1572;width:1181;height:22" type="#_x0000_t75" stroked="false">
              <v:imagedata r:id="rId1023" o:title=""/>
            </v:shape>
            <v:rect style="position:absolute;left:7240;top:1584;width:1174;height:346" filled="true" fillcolor="#bfbfbf" stroked="false">
              <v:fill type="solid"/>
            </v:rect>
            <v:shape style="position:absolute;left:7236;top:1572;width:1181;height:22" type="#_x0000_t75" stroked="false">
              <v:imagedata r:id="rId1023" o:title=""/>
            </v:shape>
            <v:rect style="position:absolute;left:8414;top:1584;width:1174;height:346" filled="true" fillcolor="#bfbfbf" stroked="false">
              <v:fill type="solid"/>
            </v:rect>
            <v:shape style="position:absolute;left:8409;top:1572;width:1181;height:22" type="#_x0000_t75" stroked="false">
              <v:imagedata r:id="rId1023" o:title=""/>
            </v:shape>
            <v:rect style="position:absolute;left:9588;top:1584;width:1174;height:346" filled="true" fillcolor="#bfbfbf" stroked="false">
              <v:fill type="solid"/>
            </v:rect>
            <v:shape style="position:absolute;left:10749;top:1180;width:1196;height:747" type="#_x0000_t75" stroked="false">
              <v:imagedata r:id="rId1061" o:title=""/>
            </v:shape>
            <v:shape style="position:absolute;left:9576;top:1572;width:1188;height:356" type="#_x0000_t75" stroked="false">
              <v:imagedata r:id="rId1062" o:title=""/>
            </v:shape>
            <v:rect style="position:absolute;left:10761;top:1584;width:1174;height:346" filled="true" fillcolor="#bfbfbf" stroked="false">
              <v:fill type="solid"/>
            </v:rect>
            <v:shape style="position:absolute;left:11923;top:1180;width:1196;height:747" type="#_x0000_t75" stroked="false">
              <v:imagedata r:id="rId1061" o:title=""/>
            </v:shape>
            <v:shape style="position:absolute;left:11935;top:1584;width:2348;height:346" coordorigin="11935,1584" coordsize="2348,346" path="m14282,1584l13109,1584,11935,1584,11935,1930,13109,1930,14282,1930,14282,1584e" filled="true" fillcolor="#bfbfbf" stroked="false">
              <v:path arrowok="t"/>
              <v:fill type="solid"/>
            </v:shape>
            <v:shape style="position:absolute;left:4888;top:1917;width:4702;height:200" type="#_x0000_t75" stroked="false">
              <v:imagedata r:id="rId1063" o:title=""/>
            </v:shape>
            <v:shape style="position:absolute;left:11923;top:1180;width:2369;height:936" type="#_x0000_t75" stroked="false">
              <v:imagedata r:id="rId1064" o:title=""/>
            </v:shape>
            <v:shape style="position:absolute;left:9576;top:1917;width:1188;height:200" type="#_x0000_t75" stroked="false">
              <v:imagedata r:id="rId1065" o:title=""/>
            </v:shape>
            <v:shape style="position:absolute;left:10749;top:1917;width:1188;height:200" type="#_x0000_t75" stroked="false">
              <v:imagedata r:id="rId1066" o:title=""/>
            </v:shape>
            <v:shape style="position:absolute;left:11935;top:1929;width:2348;height:178" coordorigin="11935,1930" coordsize="2348,178" path="m14282,1930l13109,1930,11935,1930,11935,2107,13109,2107,14282,2107,14282,1930e" filled="true" fillcolor="#bfbfbf" stroked="false">
              <v:path arrowok="t"/>
              <v:fill type="solid"/>
            </v:shape>
            <v:shape style="position:absolute;left:4888;top:1917;width:9404;height:903" type="#_x0000_t75" stroked="false">
              <v:imagedata r:id="rId1067" o:title=""/>
            </v:shape>
            <v:shape style="position:absolute;left:4888;top:2635;width:9404;height:363" type="#_x0000_t75" stroked="false">
              <v:imagedata r:id="rId1068" o:title=""/>
            </v:shape>
            <v:shape style="position:absolute;left:4888;top:2812;width:9404;height:363" type="#_x0000_t75" stroked="false">
              <v:imagedata r:id="rId1069" o:title=""/>
            </v:shape>
            <v:shape style="position:absolute;left:4888;top:2990;width:9404;height:363" type="#_x0000_t75" stroked="false">
              <v:imagedata r:id="rId1070" o:title=""/>
            </v:shape>
            <v:shape style="position:absolute;left:4888;top:3168;width:9404;height:363" type="#_x0000_t75" stroked="false">
              <v:imagedata r:id="rId1070" o:title=""/>
            </v:shape>
            <v:shape style="position:absolute;left:4888;top:3345;width:9404;height:363" type="#_x0000_t75" stroked="false">
              <v:imagedata r:id="rId1070" o:title=""/>
            </v:shape>
            <v:shape style="position:absolute;left:4888;top:3523;width:9404;height:363" type="#_x0000_t75" stroked="false">
              <v:imagedata r:id="rId1071" o:title=""/>
            </v:shape>
            <v:shape style="position:absolute;left:4888;top:3700;width:9404;height:370" type="#_x0000_t75" stroked="false">
              <v:imagedata r:id="rId1073" o:title=""/>
            </v:shape>
            <v:shape style="position:absolute;left:4888;top:3878;width:9404;height:540" type="#_x0000_t75" stroked="false">
              <v:imagedata r:id="rId1074" o:title=""/>
            </v:shape>
            <v:shape style="position:absolute;left:1545;top:9561;width:8052;height:737" type="#_x0000_t75" stroked="false">
              <v:imagedata r:id="rId1112" o:title=""/>
            </v:shape>
            <v:shape style="position:absolute;left:4888;top:4233;width:7056;height:363" type="#_x0000_t75" stroked="false">
              <v:imagedata r:id="rId1075" o:title=""/>
            </v:shape>
            <v:shape style="position:absolute;left:8409;top:4233;width:5883;height:363" type="#_x0000_t75" stroked="false">
              <v:imagedata r:id="rId1076" o:title=""/>
            </v:shape>
            <v:shape style="position:absolute;left:4888;top:4411;width:9404;height:363" type="#_x0000_t75" stroked="false">
              <v:imagedata r:id="rId1077" o:title=""/>
            </v:shape>
            <v:shape style="position:absolute;left:4888;top:4588;width:9404;height:540" type="#_x0000_t75" stroked="false">
              <v:imagedata r:id="rId1078" o:title=""/>
            </v:shape>
            <v:shape style="position:absolute;left:4888;top:4944;width:9404;height:363" type="#_x0000_t75" stroked="false">
              <v:imagedata r:id="rId1068" o:title=""/>
            </v:shape>
            <v:shape style="position:absolute;left:4888;top:5121;width:9404;height:363" type="#_x0000_t75" stroked="false">
              <v:imagedata r:id="rId1070" o:title=""/>
            </v:shape>
            <v:shape style="position:absolute;left:8409;top:5299;width:5883;height:358" type="#_x0000_t75" stroked="false">
              <v:imagedata r:id="rId1079" o:title=""/>
            </v:shape>
            <v:shape style="position:absolute;left:4888;top:5476;width:9404;height:548" type="#_x0000_t75" stroked="false">
              <v:imagedata r:id="rId1113" o:title=""/>
            </v:shape>
            <v:shape style="position:absolute;left:7236;top:5832;width:5883;height:358" type="#_x0000_t75" stroked="false">
              <v:imagedata r:id="rId1114" o:title=""/>
            </v:shape>
            <v:shape style="position:absolute;left:13108;top:6014;width:1174;height:356" coordorigin="13109,6014" coordsize="1174,356" path="m14282,6014l13109,6014,13109,6192,13109,6370,14282,6370,14282,6192,14282,6014e" filled="true" fillcolor="#bfbfbf" stroked="false">
              <v:path arrowok="t"/>
              <v:fill type="solid"/>
            </v:shape>
            <v:shape style="position:absolute;left:6062;top:6009;width:7049;height:540" type="#_x0000_t75" stroked="false">
              <v:imagedata r:id="rId1115" o:title=""/>
            </v:shape>
            <v:rect style="position:absolute;left:13108;top:6369;width:1174;height:178" filled="true" fillcolor="#bfbfbf" stroked="false">
              <v:fill type="solid"/>
            </v:rect>
            <v:shape style="position:absolute;left:4888;top:5832;width:9404;height:896" type="#_x0000_t75" stroked="false">
              <v:imagedata r:id="rId1116" o:title=""/>
            </v:shape>
            <v:rect style="position:absolute;left:13108;top:6547;width:1174;height:178" filled="true" fillcolor="#bfbfbf" stroked="false">
              <v:fill type="solid"/>
            </v:rect>
            <v:shape style="position:absolute;left:4888;top:6542;width:8230;height:363" type="#_x0000_t75" stroked="false">
              <v:imagedata r:id="rId1083" o:title=""/>
            </v:shape>
            <v:rect style="position:absolute;left:13108;top:6724;width:1174;height:178" filled="true" fillcolor="#bfbfbf" stroked="false">
              <v:fill type="solid"/>
            </v:rect>
            <v:shape style="position:absolute;left:4888;top:6720;width:8230;height:363" type="#_x0000_t75" stroked="false">
              <v:imagedata r:id="rId1083" o:title=""/>
            </v:shape>
            <v:rect style="position:absolute;left:13108;top:6902;width:1174;height:178" filled="true" fillcolor="#bfbfbf" stroked="false">
              <v:fill type="solid"/>
            </v:rect>
            <v:shape style="position:absolute;left:4888;top:6897;width:8230;height:363" type="#_x0000_t75" stroked="false">
              <v:imagedata r:id="rId1117" o:title=""/>
            </v:shape>
            <v:rect style="position:absolute;left:13108;top:7080;width:1174;height:178" filled="true" fillcolor="#bfbfbf" stroked="false">
              <v:fill type="solid"/>
            </v:rect>
            <v:shape style="position:absolute;left:4888;top:7075;width:8230;height:363" type="#_x0000_t75" stroked="false">
              <v:imagedata r:id="rId1087" o:title=""/>
            </v:shape>
            <v:rect style="position:absolute;left:13108;top:7257;width:1174;height:178" filled="true" fillcolor="#bfbfbf" stroked="false">
              <v:fill type="solid"/>
            </v:rect>
            <v:shape style="position:absolute;left:8409;top:7252;width:4709;height:358" type="#_x0000_t75" stroked="false">
              <v:imagedata r:id="rId1118" o:title=""/>
            </v:shape>
            <v:rect style="position:absolute;left:13108;top:7435;width:1174;height:178" filled="true" fillcolor="#bfbfbf" stroked="false">
              <v:fill type="solid"/>
            </v:rect>
            <v:shape style="position:absolute;left:4888;top:7430;width:8230;height:363" type="#_x0000_t75" stroked="false">
              <v:imagedata r:id="rId1119" o:title=""/>
            </v:shape>
            <v:shape style="position:absolute;left:13108;top:7612;width:1174;height:356" coordorigin="13109,7613" coordsize="1174,356" path="m14282,7613l13109,7613,13109,7790,13109,7968,14282,7968,14282,7790,14282,7613e" filled="true" fillcolor="#bfbfbf" stroked="false">
              <v:path arrowok="t"/>
              <v:fill type="solid"/>
            </v:shape>
            <v:shape style="position:absolute;left:11923;top:7785;width:1188;height:363" type="#_x0000_t75" stroked="false">
              <v:imagedata r:id="rId1085" o:title=""/>
            </v:shape>
            <v:rect style="position:absolute;left:13108;top:7968;width:1174;height:178" filled="true" fillcolor="#bfbfbf" stroked="false">
              <v:fill type="solid"/>
            </v:rect>
            <v:shape style="position:absolute;left:4888;top:7608;width:8230;height:718" type="#_x0000_t75" stroked="false">
              <v:imagedata r:id="rId1086" o:title=""/>
            </v:shape>
            <v:rect style="position:absolute;left:13108;top:8145;width:1174;height:178" filled="true" fillcolor="#bfbfbf" stroked="false">
              <v:fill type="solid"/>
            </v:rect>
            <v:shape style="position:absolute;left:4888;top:8140;width:8230;height:363" type="#_x0000_t75" stroked="false">
              <v:imagedata r:id="rId1083" o:title=""/>
            </v:shape>
            <v:rect style="position:absolute;left:13108;top:8323;width:1174;height:178" filled="true" fillcolor="#bfbfbf" stroked="false">
              <v:fill type="solid"/>
            </v:rect>
            <v:shape style="position:absolute;left:4888;top:8318;width:8230;height:358" type="#_x0000_t75" stroked="false">
              <v:imagedata r:id="rId1084" o:title=""/>
            </v:shape>
            <v:rect style="position:absolute;left:13108;top:8500;width:1174;height:178" filled="true" fillcolor="#bfbfbf" stroked="false">
              <v:fill type="solid"/>
            </v:rect>
            <v:shape style="position:absolute;left:4888;top:8496;width:8230;height:358" type="#_x0000_t75" stroked="false">
              <v:imagedata r:id="rId1084" o:title=""/>
            </v:shape>
            <v:rect style="position:absolute;left:13108;top:8678;width:1174;height:178" filled="true" fillcolor="#bfbfbf" stroked="false">
              <v:fill type="solid"/>
            </v:rect>
            <v:shape style="position:absolute;left:4888;top:8673;width:8230;height:363" type="#_x0000_t75" stroked="false">
              <v:imagedata r:id="rId1083" o:title=""/>
            </v:shape>
            <v:shape style="position:absolute;left:11923;top:6542;width:2369;height:3377" type="#_x0000_t75" stroked="false">
              <v:imagedata r:id="rId1088" o:title=""/>
            </v:shape>
            <v:shape style="position:absolute;left:13108;top:8856;width:1174;height:356" coordorigin="13109,8856" coordsize="1174,356" path="m14282,8856l13109,8856,13109,9034,13109,9211,14282,9211,14282,9034,14282,8856e" filled="true" fillcolor="#bfbfbf" stroked="false">
              <v:path arrowok="t"/>
              <v:fill type="solid"/>
            </v:shape>
            <v:shape style="position:absolute;left:4888;top:9028;width:8223;height:363" type="#_x0000_t75" stroked="false">
              <v:imagedata r:id="rId1089" o:title=""/>
            </v:shape>
            <v:rect style="position:absolute;left:13108;top:9211;width:1174;height:178" filled="true" fillcolor="#bfbfbf" stroked="false">
              <v:fill type="solid"/>
            </v:rect>
            <v:shape style="position:absolute;left:4888;top:9384;width:8223;height:192" type="#_x0000_t75" stroked="false">
              <v:imagedata r:id="rId1090" o:title=""/>
            </v:shape>
            <v:rect style="position:absolute;left:13108;top:9388;width:1174;height:178" filled="true" fillcolor="#bfbfbf" stroked="false">
              <v:fill type="solid"/>
            </v:rect>
            <v:shape style="position:absolute;left:9576;top:9561;width:1196;height:358" type="#_x0000_t75" stroked="false">
              <v:imagedata r:id="rId1092" o:title=""/>
            </v:shape>
            <v:rect style="position:absolute;left:9588;top:9744;width:1174;height:178" filled="true" fillcolor="#bfbfbf" stroked="false">
              <v:fill type="solid"/>
            </v:rect>
            <v:shape style="position:absolute;left:10756;top:9561;width:1188;height:192" type="#_x0000_t75" stroked="false">
              <v:imagedata r:id="rId1093" o:title=""/>
            </v:shape>
            <v:shape style="position:absolute;left:4893;top:9744;width:9389;height:545" coordorigin="4894,9744" coordsize="9389,545" path="m6067,9922l4894,9922,4894,10289,6067,10289,6067,9922m14282,9744l13109,9744,11935,9744,10762,9744,10762,9922,11935,9922,13109,9922,14282,9922,14282,9744e" filled="true" fillcolor="#bfbfbf" stroked="false">
              <v:path arrowok="t"/>
              <v:fill type="solid"/>
            </v:shape>
            <v:shape style="position:absolute;left:4888;top:9909;width:1181;height:22" type="#_x0000_t75" stroked="false">
              <v:imagedata r:id="rId1023" o:title=""/>
            </v:shape>
            <v:shape style="position:absolute;left:4888;top:10276;width:1181;height:22" type="#_x0000_t75" stroked="false">
              <v:imagedata r:id="rId1023" o:title=""/>
            </v:shape>
            <v:shape style="position:absolute;left:6062;top:9909;width:1181;height:389" type="#_x0000_t75" stroked="false">
              <v:imagedata r:id="rId1052" o:title=""/>
            </v:shape>
            <v:shape style="position:absolute;left:7236;top:9909;width:1181;height:389" type="#_x0000_t75" stroked="false">
              <v:imagedata r:id="rId1051" o:title=""/>
            </v:shape>
            <v:rect style="position:absolute;left:8414;top:9921;width:1174;height:368" filled="true" fillcolor="#bfbfbf" stroked="false">
              <v:fill type="solid"/>
            </v:rect>
            <v:shape style="position:absolute;left:8409;top:9909;width:1181;height:22" type="#_x0000_t75" stroked="false">
              <v:imagedata r:id="rId1023" o:title=""/>
            </v:shape>
            <v:shape style="position:absolute;left:8409;top:10276;width:1181;height:22" type="#_x0000_t75" stroked="false">
              <v:imagedata r:id="rId1023" o:title=""/>
            </v:shape>
            <v:shape style="position:absolute;left:9576;top:9909;width:1196;height:389" type="#_x0000_t75" stroked="false">
              <v:imagedata r:id="rId1094" o:title=""/>
            </v:shape>
            <v:rect style="position:absolute;left:10761;top:9921;width:1174;height:368" filled="true" fillcolor="#bfbfbf" stroked="false">
              <v:fill type="solid"/>
            </v:rect>
            <v:shape style="position:absolute;left:10756;top:9732;width:3536;height:567" type="#_x0000_t75" stroked="false">
              <v:imagedata r:id="rId1095" o:title=""/>
            </v:shape>
            <v:shape style="position:absolute;left:13096;top:9909;width:1196;height:389" type="#_x0000_t75" stroked="false">
              <v:imagedata r:id="rId1047" o:title=""/>
            </v:shape>
            <w10:wrap type="none"/>
          </v:group>
        </w:pict>
      </w:r>
      <w:r>
        <w:rPr>
          <w:sz w:val="14"/>
        </w:rPr>
        <w:t>Principal</w:t>
      </w:r>
      <w:r>
        <w:rPr>
          <w:spacing w:val="-1"/>
          <w:sz w:val="14"/>
        </w:rPr>
        <w:t> </w:t>
      </w:r>
      <w:r>
        <w:rPr>
          <w:sz w:val="14"/>
        </w:rPr>
        <w:t>Apportionment</w:t>
        <w:tab/>
      </w:r>
      <w:r>
        <w:rPr>
          <w:sz w:val="12"/>
        </w:rPr>
        <w:t>8010-8019</w:t>
      </w:r>
    </w:p>
    <w:p>
      <w:pPr>
        <w:tabs>
          <w:tab w:pos="3938" w:val="right" w:leader="none"/>
        </w:tabs>
        <w:spacing w:before="17"/>
        <w:ind w:left="1149" w:right="0" w:firstLine="0"/>
        <w:jc w:val="left"/>
        <w:rPr>
          <w:sz w:val="12"/>
        </w:rPr>
      </w:pPr>
      <w:r>
        <w:rPr>
          <w:sz w:val="14"/>
        </w:rPr>
        <w:t>Property</w:t>
      </w:r>
      <w:r>
        <w:rPr>
          <w:spacing w:val="-6"/>
          <w:sz w:val="14"/>
        </w:rPr>
        <w:t> </w:t>
      </w:r>
      <w:r>
        <w:rPr>
          <w:sz w:val="14"/>
        </w:rPr>
        <w:t>Taxes</w:t>
        <w:tab/>
      </w:r>
      <w:r>
        <w:rPr>
          <w:sz w:val="12"/>
        </w:rPr>
        <w:t>8020-8079</w:t>
      </w:r>
    </w:p>
    <w:p>
      <w:pPr>
        <w:tabs>
          <w:tab w:pos="3938" w:val="right" w:leader="none"/>
        </w:tabs>
        <w:spacing w:before="17"/>
        <w:ind w:left="1149" w:right="0" w:firstLine="0"/>
        <w:jc w:val="left"/>
        <w:rPr>
          <w:sz w:val="12"/>
        </w:rPr>
      </w:pPr>
      <w:r>
        <w:rPr>
          <w:sz w:val="14"/>
        </w:rPr>
        <w:t>Miscellaneous</w:t>
      </w:r>
      <w:r>
        <w:rPr>
          <w:spacing w:val="-1"/>
          <w:sz w:val="14"/>
        </w:rPr>
        <w:t> </w:t>
      </w:r>
      <w:r>
        <w:rPr>
          <w:sz w:val="14"/>
        </w:rPr>
        <w:t>Funds</w:t>
        <w:tab/>
      </w:r>
      <w:r>
        <w:rPr>
          <w:sz w:val="12"/>
        </w:rPr>
        <w:t>8080-8099</w:t>
      </w:r>
    </w:p>
    <w:p>
      <w:pPr>
        <w:tabs>
          <w:tab w:pos="3938" w:val="right" w:leader="none"/>
        </w:tabs>
        <w:spacing w:before="16"/>
        <w:ind w:left="880" w:right="0" w:firstLine="0"/>
        <w:jc w:val="left"/>
        <w:rPr>
          <w:sz w:val="12"/>
        </w:rPr>
      </w:pPr>
      <w:r>
        <w:rPr>
          <w:sz w:val="14"/>
        </w:rPr>
        <w:t>Federal</w:t>
      </w:r>
      <w:r>
        <w:rPr>
          <w:spacing w:val="-1"/>
          <w:sz w:val="14"/>
        </w:rPr>
        <w:t> </w:t>
      </w:r>
      <w:r>
        <w:rPr>
          <w:sz w:val="14"/>
        </w:rPr>
        <w:t>Revenue</w:t>
        <w:tab/>
      </w:r>
      <w:r>
        <w:rPr>
          <w:sz w:val="12"/>
        </w:rPr>
        <w:t>8100-8299</w:t>
      </w:r>
    </w:p>
    <w:p>
      <w:pPr>
        <w:tabs>
          <w:tab w:pos="3938" w:val="right" w:leader="none"/>
        </w:tabs>
        <w:spacing w:before="17"/>
        <w:ind w:left="880" w:right="0" w:firstLine="0"/>
        <w:jc w:val="left"/>
        <w:rPr>
          <w:sz w:val="12"/>
        </w:rPr>
      </w:pPr>
      <w:r>
        <w:rPr>
          <w:sz w:val="14"/>
        </w:rPr>
        <w:t>Other</w:t>
      </w:r>
      <w:r>
        <w:rPr>
          <w:spacing w:val="-2"/>
          <w:sz w:val="14"/>
        </w:rPr>
        <w:t> </w:t>
      </w:r>
      <w:r>
        <w:rPr>
          <w:sz w:val="14"/>
        </w:rPr>
        <w:t>State</w:t>
      </w:r>
      <w:r>
        <w:rPr>
          <w:spacing w:val="-1"/>
          <w:sz w:val="14"/>
        </w:rPr>
        <w:t> </w:t>
      </w:r>
      <w:r>
        <w:rPr>
          <w:sz w:val="14"/>
        </w:rPr>
        <w:t>Revenue</w:t>
        <w:tab/>
      </w:r>
      <w:r>
        <w:rPr>
          <w:sz w:val="12"/>
        </w:rPr>
        <w:t>8300-8599</w:t>
      </w:r>
    </w:p>
    <w:p>
      <w:pPr>
        <w:tabs>
          <w:tab w:pos="3938" w:val="right" w:leader="none"/>
        </w:tabs>
        <w:spacing w:before="16"/>
        <w:ind w:left="880" w:right="0" w:firstLine="0"/>
        <w:jc w:val="left"/>
        <w:rPr>
          <w:sz w:val="12"/>
        </w:rPr>
      </w:pPr>
      <w:r>
        <w:rPr>
          <w:sz w:val="14"/>
        </w:rPr>
        <w:t>Other</w:t>
      </w:r>
      <w:r>
        <w:rPr>
          <w:spacing w:val="-2"/>
          <w:sz w:val="14"/>
        </w:rPr>
        <w:t> </w:t>
      </w:r>
      <w:r>
        <w:rPr>
          <w:sz w:val="14"/>
        </w:rPr>
        <w:t>Local</w:t>
      </w:r>
      <w:r>
        <w:rPr>
          <w:spacing w:val="-1"/>
          <w:sz w:val="14"/>
        </w:rPr>
        <w:t> </w:t>
      </w:r>
      <w:r>
        <w:rPr>
          <w:sz w:val="14"/>
        </w:rPr>
        <w:t>Revenue</w:t>
        <w:tab/>
      </w:r>
      <w:r>
        <w:rPr>
          <w:sz w:val="12"/>
        </w:rPr>
        <w:t>8600-8799</w:t>
      </w:r>
    </w:p>
    <w:p>
      <w:pPr>
        <w:tabs>
          <w:tab w:pos="3938" w:val="right" w:leader="none"/>
        </w:tabs>
        <w:spacing w:before="17"/>
        <w:ind w:left="880" w:right="0" w:firstLine="0"/>
        <w:jc w:val="left"/>
        <w:rPr>
          <w:sz w:val="12"/>
        </w:rPr>
      </w:pPr>
      <w:r>
        <w:rPr>
          <w:sz w:val="14"/>
        </w:rPr>
        <w:t>Interfund</w:t>
      </w:r>
      <w:r>
        <w:rPr>
          <w:spacing w:val="-1"/>
          <w:sz w:val="14"/>
        </w:rPr>
        <w:t> </w:t>
      </w:r>
      <w:r>
        <w:rPr>
          <w:sz w:val="14"/>
        </w:rPr>
        <w:t>Transfers</w:t>
      </w:r>
      <w:r>
        <w:rPr>
          <w:spacing w:val="-2"/>
          <w:sz w:val="14"/>
        </w:rPr>
        <w:t> </w:t>
      </w:r>
      <w:r>
        <w:rPr>
          <w:sz w:val="14"/>
        </w:rPr>
        <w:t>In</w:t>
        <w:tab/>
      </w:r>
      <w:r>
        <w:rPr>
          <w:sz w:val="12"/>
        </w:rPr>
        <w:t>8910-8929</w:t>
      </w:r>
    </w:p>
    <w:p>
      <w:pPr>
        <w:tabs>
          <w:tab w:pos="3938" w:val="right" w:leader="none"/>
        </w:tabs>
        <w:spacing w:before="17"/>
        <w:ind w:left="880" w:right="0" w:firstLine="0"/>
        <w:jc w:val="left"/>
        <w:rPr>
          <w:sz w:val="12"/>
        </w:rPr>
      </w:pPr>
      <w:r>
        <w:rPr>
          <w:sz w:val="14"/>
        </w:rPr>
        <w:t>All Other</w:t>
      </w:r>
      <w:r>
        <w:rPr>
          <w:spacing w:val="-3"/>
          <w:sz w:val="14"/>
        </w:rPr>
        <w:t> </w:t>
      </w:r>
      <w:r>
        <w:rPr>
          <w:sz w:val="14"/>
        </w:rPr>
        <w:t>Financing</w:t>
      </w:r>
      <w:r>
        <w:rPr>
          <w:spacing w:val="-1"/>
          <w:sz w:val="14"/>
        </w:rPr>
        <w:t> </w:t>
      </w:r>
      <w:r>
        <w:rPr>
          <w:sz w:val="14"/>
        </w:rPr>
        <w:t>Sources</w:t>
        <w:tab/>
      </w:r>
      <w:r>
        <w:rPr>
          <w:sz w:val="12"/>
        </w:rPr>
        <w:t>8930-8979</w:t>
      </w:r>
    </w:p>
    <w:p>
      <w:pPr>
        <w:pStyle w:val="Heading9"/>
        <w:spacing w:before="14"/>
        <w:ind w:left="0" w:right="1867"/>
        <w:jc w:val="right"/>
      </w:pPr>
      <w:r>
        <w:rPr/>
        <w:t>TOTAL</w:t>
      </w:r>
      <w:r>
        <w:rPr>
          <w:spacing w:val="-6"/>
        </w:rPr>
        <w:t> </w:t>
      </w:r>
      <w:r>
        <w:rPr/>
        <w:t>RECEIPTS</w:t>
      </w:r>
    </w:p>
    <w:p>
      <w:pPr>
        <w:pStyle w:val="Heading9"/>
        <w:numPr>
          <w:ilvl w:val="0"/>
          <w:numId w:val="46"/>
        </w:numPr>
        <w:tabs>
          <w:tab w:pos="179" w:val="left" w:leader="none"/>
        </w:tabs>
        <w:spacing w:line="240" w:lineRule="auto" w:before="16" w:after="0"/>
        <w:ind w:left="904" w:right="1831" w:hanging="905"/>
        <w:jc w:val="right"/>
      </w:pPr>
      <w:r>
        <w:rPr>
          <w:spacing w:val="-1"/>
        </w:rPr>
        <w:t>DISBURSEMENTS</w:t>
      </w:r>
    </w:p>
    <w:p>
      <w:pPr>
        <w:tabs>
          <w:tab w:pos="3938" w:val="right" w:leader="none"/>
        </w:tabs>
        <w:spacing w:before="19"/>
        <w:ind w:left="880" w:right="0" w:firstLine="0"/>
        <w:jc w:val="left"/>
        <w:rPr>
          <w:sz w:val="12"/>
        </w:rPr>
      </w:pPr>
      <w:r>
        <w:rPr>
          <w:sz w:val="14"/>
        </w:rPr>
        <w:t>Certificated</w:t>
      </w:r>
      <w:r>
        <w:rPr>
          <w:spacing w:val="-1"/>
          <w:sz w:val="14"/>
        </w:rPr>
        <w:t> </w:t>
      </w:r>
      <w:r>
        <w:rPr>
          <w:sz w:val="14"/>
        </w:rPr>
        <w:t>Salaries</w:t>
        <w:tab/>
      </w:r>
      <w:r>
        <w:rPr>
          <w:sz w:val="12"/>
        </w:rPr>
        <w:t>1000-1999</w:t>
      </w:r>
    </w:p>
    <w:p>
      <w:pPr>
        <w:tabs>
          <w:tab w:pos="3938" w:val="right" w:leader="none"/>
        </w:tabs>
        <w:spacing w:before="17"/>
        <w:ind w:left="880" w:right="0" w:firstLine="0"/>
        <w:jc w:val="left"/>
        <w:rPr>
          <w:sz w:val="12"/>
        </w:rPr>
      </w:pPr>
      <w:r>
        <w:rPr>
          <w:sz w:val="14"/>
        </w:rPr>
        <w:t>Classified</w:t>
      </w:r>
      <w:r>
        <w:rPr>
          <w:spacing w:val="-3"/>
          <w:sz w:val="14"/>
        </w:rPr>
        <w:t> </w:t>
      </w:r>
      <w:r>
        <w:rPr>
          <w:sz w:val="14"/>
        </w:rPr>
        <w:t>Salaries</w:t>
        <w:tab/>
      </w:r>
      <w:r>
        <w:rPr>
          <w:sz w:val="12"/>
        </w:rPr>
        <w:t>2000-2999</w:t>
      </w:r>
    </w:p>
    <w:p>
      <w:pPr>
        <w:tabs>
          <w:tab w:pos="3938" w:val="right" w:leader="none"/>
        </w:tabs>
        <w:spacing w:before="17"/>
        <w:ind w:left="880" w:right="0" w:firstLine="0"/>
        <w:jc w:val="left"/>
        <w:rPr>
          <w:sz w:val="12"/>
        </w:rPr>
      </w:pPr>
      <w:r>
        <w:rPr>
          <w:sz w:val="14"/>
        </w:rPr>
        <w:t>Employee</w:t>
      </w:r>
      <w:r>
        <w:rPr>
          <w:spacing w:val="-3"/>
          <w:sz w:val="14"/>
        </w:rPr>
        <w:t> </w:t>
      </w:r>
      <w:r>
        <w:rPr>
          <w:sz w:val="14"/>
        </w:rPr>
        <w:t>Benefits</w:t>
        <w:tab/>
      </w:r>
      <w:r>
        <w:rPr>
          <w:sz w:val="12"/>
        </w:rPr>
        <w:t>3000-3999</w:t>
      </w:r>
    </w:p>
    <w:p>
      <w:pPr>
        <w:tabs>
          <w:tab w:pos="3938" w:val="right" w:leader="none"/>
        </w:tabs>
        <w:spacing w:before="16"/>
        <w:ind w:left="880" w:right="0" w:firstLine="0"/>
        <w:jc w:val="left"/>
        <w:rPr>
          <w:sz w:val="12"/>
        </w:rPr>
      </w:pPr>
      <w:r>
        <w:rPr>
          <w:sz w:val="14"/>
        </w:rPr>
        <w:t>Books</w:t>
      </w:r>
      <w:r>
        <w:rPr>
          <w:spacing w:val="-2"/>
          <w:sz w:val="14"/>
        </w:rPr>
        <w:t> </w:t>
      </w:r>
      <w:r>
        <w:rPr>
          <w:sz w:val="14"/>
        </w:rPr>
        <w:t>and</w:t>
      </w:r>
      <w:r>
        <w:rPr>
          <w:spacing w:val="-1"/>
          <w:sz w:val="14"/>
        </w:rPr>
        <w:t> </w:t>
      </w:r>
      <w:r>
        <w:rPr>
          <w:sz w:val="14"/>
        </w:rPr>
        <w:t>Supplies</w:t>
        <w:tab/>
      </w:r>
      <w:r>
        <w:rPr>
          <w:sz w:val="12"/>
        </w:rPr>
        <w:t>4000-4999</w:t>
      </w:r>
    </w:p>
    <w:p>
      <w:pPr>
        <w:tabs>
          <w:tab w:pos="3938" w:val="right" w:leader="none"/>
        </w:tabs>
        <w:spacing w:before="17"/>
        <w:ind w:left="880" w:right="0" w:firstLine="0"/>
        <w:jc w:val="left"/>
        <w:rPr>
          <w:sz w:val="12"/>
        </w:rPr>
      </w:pPr>
      <w:r>
        <w:rPr>
          <w:w w:val="105"/>
          <w:sz w:val="14"/>
        </w:rPr>
        <w:t>Services</w:t>
        <w:tab/>
      </w:r>
      <w:r>
        <w:rPr>
          <w:w w:val="105"/>
          <w:sz w:val="12"/>
        </w:rPr>
        <w:t>5000-5999</w:t>
      </w:r>
    </w:p>
    <w:p>
      <w:pPr>
        <w:tabs>
          <w:tab w:pos="3938" w:val="right" w:leader="none"/>
        </w:tabs>
        <w:spacing w:before="16"/>
        <w:ind w:left="880" w:right="0" w:firstLine="0"/>
        <w:jc w:val="left"/>
        <w:rPr>
          <w:sz w:val="12"/>
        </w:rPr>
      </w:pPr>
      <w:r>
        <w:rPr>
          <w:w w:val="105"/>
          <w:sz w:val="14"/>
        </w:rPr>
        <w:t>Capital</w:t>
      </w:r>
      <w:r>
        <w:rPr>
          <w:spacing w:val="-5"/>
          <w:w w:val="105"/>
          <w:sz w:val="14"/>
        </w:rPr>
        <w:t> </w:t>
      </w:r>
      <w:r>
        <w:rPr>
          <w:w w:val="105"/>
          <w:sz w:val="14"/>
        </w:rPr>
        <w:t>Outlay</w:t>
        <w:tab/>
      </w:r>
      <w:r>
        <w:rPr>
          <w:w w:val="105"/>
          <w:sz w:val="12"/>
        </w:rPr>
        <w:t>6000-6599</w:t>
      </w:r>
    </w:p>
    <w:p>
      <w:pPr>
        <w:tabs>
          <w:tab w:pos="3938" w:val="right" w:leader="none"/>
        </w:tabs>
        <w:spacing w:before="17"/>
        <w:ind w:left="880" w:right="0" w:firstLine="0"/>
        <w:jc w:val="left"/>
        <w:rPr>
          <w:sz w:val="12"/>
        </w:rPr>
      </w:pPr>
      <w:r>
        <w:rPr>
          <w:w w:val="105"/>
          <w:sz w:val="14"/>
        </w:rPr>
        <w:t>Other</w:t>
      </w:r>
      <w:r>
        <w:rPr>
          <w:spacing w:val="-6"/>
          <w:w w:val="105"/>
          <w:sz w:val="14"/>
        </w:rPr>
        <w:t> </w:t>
      </w:r>
      <w:r>
        <w:rPr>
          <w:w w:val="105"/>
          <w:sz w:val="14"/>
        </w:rPr>
        <w:t>Outgo</w:t>
        <w:tab/>
      </w:r>
      <w:r>
        <w:rPr>
          <w:w w:val="105"/>
          <w:sz w:val="12"/>
        </w:rPr>
        <w:t>7000-7499</w:t>
      </w:r>
    </w:p>
    <w:p>
      <w:pPr>
        <w:tabs>
          <w:tab w:pos="3938" w:val="right" w:leader="none"/>
        </w:tabs>
        <w:spacing w:before="17"/>
        <w:ind w:left="880" w:right="0" w:firstLine="0"/>
        <w:jc w:val="left"/>
        <w:rPr>
          <w:sz w:val="12"/>
        </w:rPr>
      </w:pPr>
      <w:r>
        <w:rPr>
          <w:sz w:val="14"/>
        </w:rPr>
        <w:t>Interfund</w:t>
      </w:r>
      <w:r>
        <w:rPr>
          <w:spacing w:val="-1"/>
          <w:sz w:val="14"/>
        </w:rPr>
        <w:t> </w:t>
      </w:r>
      <w:r>
        <w:rPr>
          <w:sz w:val="14"/>
        </w:rPr>
        <w:t>Transfers</w:t>
      </w:r>
      <w:r>
        <w:rPr>
          <w:spacing w:val="-2"/>
          <w:sz w:val="14"/>
        </w:rPr>
        <w:t> </w:t>
      </w:r>
      <w:r>
        <w:rPr>
          <w:sz w:val="14"/>
        </w:rPr>
        <w:t>Out</w:t>
        <w:tab/>
      </w:r>
      <w:r>
        <w:rPr>
          <w:sz w:val="12"/>
        </w:rPr>
        <w:t>7600-7629</w:t>
      </w:r>
    </w:p>
    <w:p>
      <w:pPr>
        <w:tabs>
          <w:tab w:pos="3938" w:val="right" w:leader="none"/>
        </w:tabs>
        <w:spacing w:before="16"/>
        <w:ind w:left="880" w:right="0" w:firstLine="0"/>
        <w:jc w:val="left"/>
        <w:rPr>
          <w:sz w:val="12"/>
        </w:rPr>
      </w:pPr>
      <w:r>
        <w:rPr>
          <w:sz w:val="14"/>
        </w:rPr>
        <w:t>All Other</w:t>
      </w:r>
      <w:r>
        <w:rPr>
          <w:spacing w:val="-3"/>
          <w:sz w:val="14"/>
        </w:rPr>
        <w:t> </w:t>
      </w:r>
      <w:r>
        <w:rPr>
          <w:sz w:val="14"/>
        </w:rPr>
        <w:t>Financing</w:t>
      </w:r>
      <w:r>
        <w:rPr>
          <w:spacing w:val="-1"/>
          <w:sz w:val="14"/>
        </w:rPr>
        <w:t> </w:t>
      </w:r>
      <w:r>
        <w:rPr>
          <w:sz w:val="14"/>
        </w:rPr>
        <w:t>Uses</w:t>
        <w:tab/>
      </w:r>
      <w:r>
        <w:rPr>
          <w:sz w:val="12"/>
        </w:rPr>
        <w:t>7630-7699</w:t>
      </w:r>
    </w:p>
    <w:p>
      <w:pPr>
        <w:pStyle w:val="Heading9"/>
        <w:spacing w:before="15"/>
        <w:ind w:left="0" w:right="1365"/>
        <w:jc w:val="right"/>
      </w:pPr>
      <w:r>
        <w:rPr/>
        <w:t>TOTAL DISBURSEMENTS</w:t>
      </w:r>
    </w:p>
    <w:p>
      <w:pPr>
        <w:pStyle w:val="ListParagraph"/>
        <w:numPr>
          <w:ilvl w:val="0"/>
          <w:numId w:val="46"/>
        </w:numPr>
        <w:tabs>
          <w:tab w:pos="179" w:val="left" w:leader="none"/>
        </w:tabs>
        <w:spacing w:line="240" w:lineRule="auto" w:before="16" w:after="0"/>
        <w:ind w:left="904" w:right="1411" w:hanging="905"/>
        <w:jc w:val="right"/>
        <w:rPr>
          <w:sz w:val="14"/>
        </w:rPr>
      </w:pPr>
      <w:r>
        <w:rPr>
          <w:sz w:val="14"/>
        </w:rPr>
        <w:t>BALANCE SHEET</w:t>
      </w:r>
      <w:r>
        <w:rPr>
          <w:spacing w:val="-10"/>
          <w:sz w:val="14"/>
        </w:rPr>
        <w:t> </w:t>
      </w:r>
      <w:r>
        <w:rPr>
          <w:sz w:val="14"/>
        </w:rPr>
        <w:t>ITEMS</w:t>
      </w:r>
    </w:p>
    <w:p>
      <w:pPr>
        <w:spacing w:before="17"/>
        <w:ind w:left="726" w:right="0" w:firstLine="0"/>
        <w:jc w:val="left"/>
        <w:rPr>
          <w:sz w:val="14"/>
        </w:rPr>
      </w:pPr>
      <w:r>
        <w:rPr>
          <w:spacing w:val="-94"/>
          <w:sz w:val="14"/>
          <w:u w:val="single"/>
        </w:rPr>
        <w:t>A</w:t>
      </w:r>
      <w:r>
        <w:rPr>
          <w:spacing w:val="47"/>
          <w:sz w:val="14"/>
        </w:rPr>
        <w:t> </w:t>
      </w:r>
      <w:r>
        <w:rPr>
          <w:sz w:val="14"/>
          <w:u w:val="single"/>
        </w:rPr>
        <w:t>ssets and Deferred</w:t>
      </w:r>
      <w:r>
        <w:rPr>
          <w:spacing w:val="-15"/>
          <w:sz w:val="14"/>
          <w:u w:val="single"/>
        </w:rPr>
        <w:t> </w:t>
      </w:r>
      <w:r>
        <w:rPr>
          <w:sz w:val="14"/>
          <w:u w:val="single"/>
        </w:rPr>
        <w:t>Outflows</w:t>
      </w:r>
    </w:p>
    <w:p>
      <w:pPr>
        <w:tabs>
          <w:tab w:pos="3938" w:val="right" w:leader="none"/>
        </w:tabs>
        <w:spacing w:before="19"/>
        <w:ind w:left="880" w:right="0" w:firstLine="0"/>
        <w:jc w:val="left"/>
        <w:rPr>
          <w:sz w:val="12"/>
        </w:rPr>
      </w:pPr>
      <w:r>
        <w:rPr>
          <w:sz w:val="14"/>
        </w:rPr>
        <w:t>Cash Not</w:t>
      </w:r>
      <w:r>
        <w:rPr>
          <w:spacing w:val="-2"/>
          <w:sz w:val="14"/>
        </w:rPr>
        <w:t> </w:t>
      </w:r>
      <w:r>
        <w:rPr>
          <w:sz w:val="14"/>
        </w:rPr>
        <w:t>In</w:t>
      </w:r>
      <w:r>
        <w:rPr>
          <w:spacing w:val="-3"/>
          <w:sz w:val="14"/>
        </w:rPr>
        <w:t> </w:t>
      </w:r>
      <w:r>
        <w:rPr>
          <w:sz w:val="14"/>
        </w:rPr>
        <w:t>Treasury</w:t>
        <w:tab/>
      </w:r>
      <w:r>
        <w:rPr>
          <w:sz w:val="12"/>
        </w:rPr>
        <w:t>9111-9199</w:t>
      </w:r>
    </w:p>
    <w:p>
      <w:pPr>
        <w:tabs>
          <w:tab w:pos="3938" w:val="right" w:leader="none"/>
        </w:tabs>
        <w:spacing w:before="16"/>
        <w:ind w:left="880" w:right="0" w:firstLine="0"/>
        <w:jc w:val="left"/>
        <w:rPr>
          <w:sz w:val="12"/>
        </w:rPr>
      </w:pPr>
      <w:r>
        <w:rPr>
          <w:sz w:val="14"/>
        </w:rPr>
        <w:t>Accounts</w:t>
      </w:r>
      <w:r>
        <w:rPr>
          <w:spacing w:val="-1"/>
          <w:sz w:val="14"/>
        </w:rPr>
        <w:t> </w:t>
      </w:r>
      <w:r>
        <w:rPr>
          <w:sz w:val="14"/>
        </w:rPr>
        <w:t>Receivable</w:t>
        <w:tab/>
      </w:r>
      <w:r>
        <w:rPr>
          <w:sz w:val="12"/>
        </w:rPr>
        <w:t>9200-9299</w:t>
      </w:r>
    </w:p>
    <w:p>
      <w:pPr>
        <w:pStyle w:val="Heading9"/>
        <w:tabs>
          <w:tab w:pos="3778" w:val="right" w:leader="none"/>
        </w:tabs>
        <w:spacing w:before="17"/>
        <w:ind w:left="880"/>
        <w:rPr>
          <w:sz w:val="12"/>
        </w:rPr>
      </w:pPr>
      <w:r>
        <w:rPr/>
        <w:t>Due From</w:t>
      </w:r>
      <w:r>
        <w:rPr>
          <w:spacing w:val="-2"/>
        </w:rPr>
        <w:t> </w:t>
      </w:r>
      <w:r>
        <w:rPr/>
        <w:t>Other</w:t>
      </w:r>
      <w:r>
        <w:rPr>
          <w:spacing w:val="-2"/>
        </w:rPr>
        <w:t> </w:t>
      </w:r>
      <w:r>
        <w:rPr/>
        <w:t>Funds</w:t>
        <w:tab/>
      </w:r>
      <w:r>
        <w:rPr>
          <w:sz w:val="12"/>
        </w:rPr>
        <w:t>9310</w:t>
      </w:r>
    </w:p>
    <w:p>
      <w:pPr>
        <w:tabs>
          <w:tab w:pos="3778" w:val="right" w:leader="none"/>
        </w:tabs>
        <w:spacing w:before="17"/>
        <w:ind w:left="880" w:right="0" w:firstLine="0"/>
        <w:jc w:val="left"/>
        <w:rPr>
          <w:sz w:val="12"/>
        </w:rPr>
      </w:pPr>
      <w:r>
        <w:rPr>
          <w:w w:val="105"/>
          <w:sz w:val="14"/>
        </w:rPr>
        <w:t>Stores</w:t>
        <w:tab/>
      </w:r>
      <w:r>
        <w:rPr>
          <w:w w:val="105"/>
          <w:sz w:val="12"/>
        </w:rPr>
        <w:t>9320</w:t>
      </w:r>
    </w:p>
    <w:p>
      <w:pPr>
        <w:pStyle w:val="Heading9"/>
        <w:tabs>
          <w:tab w:pos="3778" w:val="right" w:leader="none"/>
        </w:tabs>
        <w:spacing w:before="16"/>
        <w:ind w:left="880"/>
        <w:rPr>
          <w:sz w:val="12"/>
        </w:rPr>
      </w:pPr>
      <w:r>
        <w:rPr/>
        <w:t>Prepaid</w:t>
      </w:r>
      <w:r>
        <w:rPr>
          <w:spacing w:val="-4"/>
        </w:rPr>
        <w:t> </w:t>
      </w:r>
      <w:r>
        <w:rPr/>
        <w:t>Expenditures</w:t>
        <w:tab/>
      </w:r>
      <w:r>
        <w:rPr>
          <w:sz w:val="12"/>
        </w:rPr>
        <w:t>9330</w:t>
      </w:r>
    </w:p>
    <w:p>
      <w:pPr>
        <w:pStyle w:val="Heading9"/>
        <w:tabs>
          <w:tab w:pos="3778" w:val="right" w:leader="none"/>
        </w:tabs>
        <w:spacing w:before="17"/>
        <w:ind w:left="880"/>
        <w:rPr>
          <w:sz w:val="12"/>
        </w:rPr>
      </w:pPr>
      <w:r>
        <w:rPr/>
        <w:t>Other</w:t>
      </w:r>
      <w:r>
        <w:rPr>
          <w:spacing w:val="-3"/>
        </w:rPr>
        <w:t> </w:t>
      </w:r>
      <w:r>
        <w:rPr/>
        <w:t>Current</w:t>
      </w:r>
      <w:r>
        <w:rPr>
          <w:spacing w:val="-2"/>
        </w:rPr>
        <w:t> </w:t>
      </w:r>
      <w:r>
        <w:rPr/>
        <w:t>Assets</w:t>
        <w:tab/>
      </w:r>
      <w:r>
        <w:rPr>
          <w:sz w:val="12"/>
        </w:rPr>
        <w:t>9340</w:t>
      </w:r>
    </w:p>
    <w:p>
      <w:pPr>
        <w:pStyle w:val="Heading9"/>
        <w:tabs>
          <w:tab w:pos="3778" w:val="right" w:leader="none"/>
        </w:tabs>
        <w:spacing w:before="16"/>
        <w:ind w:left="880"/>
        <w:rPr>
          <w:sz w:val="12"/>
        </w:rPr>
      </w:pPr>
      <w:r>
        <w:rPr/>
        <w:t>Deferred Outflows</w:t>
      </w:r>
      <w:r>
        <w:rPr>
          <w:spacing w:val="-4"/>
        </w:rPr>
        <w:t> </w:t>
      </w:r>
      <w:r>
        <w:rPr/>
        <w:t>of</w:t>
      </w:r>
      <w:r>
        <w:rPr>
          <w:spacing w:val="-1"/>
        </w:rPr>
        <w:t> </w:t>
      </w:r>
      <w:r>
        <w:rPr/>
        <w:t>Resources</w:t>
        <w:tab/>
      </w:r>
      <w:r>
        <w:rPr>
          <w:sz w:val="12"/>
        </w:rPr>
        <w:t>9490</w:t>
      </w:r>
    </w:p>
    <w:p>
      <w:pPr>
        <w:pStyle w:val="Heading9"/>
        <w:spacing w:before="15"/>
        <w:ind w:left="880"/>
      </w:pPr>
      <w:r>
        <w:rPr/>
        <w:t>SUBTOTAL</w:t>
      </w:r>
    </w:p>
    <w:p>
      <w:pPr>
        <w:pStyle w:val="Heading9"/>
        <w:spacing w:before="16"/>
        <w:ind w:left="726"/>
      </w:pPr>
      <w:r>
        <w:rPr>
          <w:spacing w:val="-78"/>
          <w:u w:val="single"/>
        </w:rPr>
        <w:t>L</w:t>
      </w:r>
      <w:r>
        <w:rPr>
          <w:spacing w:val="39"/>
        </w:rPr>
        <w:t> </w:t>
      </w:r>
      <w:r>
        <w:rPr>
          <w:u w:val="single"/>
        </w:rPr>
        <w:t>iabilities and Deferred Inflows</w:t>
      </w:r>
    </w:p>
    <w:p>
      <w:pPr>
        <w:tabs>
          <w:tab w:pos="3938" w:val="right" w:leader="none"/>
        </w:tabs>
        <w:spacing w:before="19"/>
        <w:ind w:left="880" w:right="0" w:firstLine="0"/>
        <w:jc w:val="left"/>
        <w:rPr>
          <w:sz w:val="12"/>
        </w:rPr>
      </w:pPr>
      <w:r>
        <w:rPr>
          <w:sz w:val="14"/>
        </w:rPr>
        <w:t>Accounts</w:t>
      </w:r>
      <w:r>
        <w:rPr>
          <w:spacing w:val="-1"/>
          <w:sz w:val="14"/>
        </w:rPr>
        <w:t> </w:t>
      </w:r>
      <w:r>
        <w:rPr>
          <w:sz w:val="14"/>
        </w:rPr>
        <w:t>Payable</w:t>
        <w:tab/>
      </w:r>
      <w:r>
        <w:rPr>
          <w:sz w:val="12"/>
        </w:rPr>
        <w:t>9500-9599</w:t>
      </w:r>
    </w:p>
    <w:p>
      <w:pPr>
        <w:pStyle w:val="Heading9"/>
        <w:tabs>
          <w:tab w:pos="3778" w:val="right" w:leader="none"/>
        </w:tabs>
        <w:spacing w:before="17"/>
        <w:ind w:left="880"/>
        <w:rPr>
          <w:sz w:val="12"/>
        </w:rPr>
      </w:pPr>
      <w:r>
        <w:rPr/>
        <w:t>Due To</w:t>
      </w:r>
      <w:r>
        <w:rPr>
          <w:spacing w:val="-2"/>
        </w:rPr>
        <w:t> </w:t>
      </w:r>
      <w:r>
        <w:rPr/>
        <w:t>Other</w:t>
      </w:r>
      <w:r>
        <w:rPr>
          <w:spacing w:val="-2"/>
        </w:rPr>
        <w:t> </w:t>
      </w:r>
      <w:r>
        <w:rPr/>
        <w:t>Funds</w:t>
        <w:tab/>
      </w:r>
      <w:r>
        <w:rPr>
          <w:sz w:val="12"/>
        </w:rPr>
        <w:t>9610</w:t>
      </w:r>
    </w:p>
    <w:p>
      <w:pPr>
        <w:tabs>
          <w:tab w:pos="3778" w:val="right" w:leader="none"/>
        </w:tabs>
        <w:spacing w:before="17"/>
        <w:ind w:left="880" w:right="0" w:firstLine="0"/>
        <w:jc w:val="left"/>
        <w:rPr>
          <w:sz w:val="12"/>
        </w:rPr>
      </w:pPr>
      <w:r>
        <w:rPr>
          <w:sz w:val="14"/>
        </w:rPr>
        <w:t>Current</w:t>
      </w:r>
      <w:r>
        <w:rPr>
          <w:spacing w:val="-2"/>
          <w:sz w:val="14"/>
        </w:rPr>
        <w:t> </w:t>
      </w:r>
      <w:r>
        <w:rPr>
          <w:sz w:val="14"/>
        </w:rPr>
        <w:t>Loans</w:t>
        <w:tab/>
      </w:r>
      <w:r>
        <w:rPr>
          <w:sz w:val="12"/>
        </w:rPr>
        <w:t>9640</w:t>
      </w:r>
    </w:p>
    <w:p>
      <w:pPr>
        <w:pStyle w:val="Heading9"/>
        <w:tabs>
          <w:tab w:pos="3778" w:val="right" w:leader="none"/>
        </w:tabs>
        <w:spacing w:before="16"/>
        <w:ind w:left="880"/>
        <w:rPr>
          <w:sz w:val="12"/>
        </w:rPr>
      </w:pPr>
      <w:r>
        <w:rPr/>
        <w:t>Unearned</w:t>
      </w:r>
      <w:r>
        <w:rPr>
          <w:spacing w:val="-2"/>
        </w:rPr>
        <w:t> </w:t>
      </w:r>
      <w:r>
        <w:rPr/>
        <w:t>Revenues</w:t>
        <w:tab/>
      </w:r>
      <w:r>
        <w:rPr>
          <w:sz w:val="12"/>
        </w:rPr>
        <w:t>9650</w:t>
      </w:r>
    </w:p>
    <w:p>
      <w:pPr>
        <w:pStyle w:val="Heading9"/>
        <w:tabs>
          <w:tab w:pos="3778" w:val="right" w:leader="none"/>
        </w:tabs>
        <w:spacing w:before="17"/>
        <w:ind w:left="880"/>
        <w:rPr>
          <w:sz w:val="12"/>
        </w:rPr>
      </w:pPr>
      <w:r>
        <w:rPr/>
        <w:t>Deferred Inflows</w:t>
      </w:r>
      <w:r>
        <w:rPr>
          <w:spacing w:val="-5"/>
        </w:rPr>
        <w:t> </w:t>
      </w:r>
      <w:r>
        <w:rPr/>
        <w:t>of</w:t>
      </w:r>
      <w:r>
        <w:rPr>
          <w:spacing w:val="-1"/>
        </w:rPr>
        <w:t> </w:t>
      </w:r>
      <w:r>
        <w:rPr/>
        <w:t>Resources</w:t>
        <w:tab/>
      </w:r>
      <w:r>
        <w:rPr>
          <w:sz w:val="12"/>
        </w:rPr>
        <w:t>9690</w:t>
      </w:r>
    </w:p>
    <w:p>
      <w:pPr>
        <w:pStyle w:val="Heading9"/>
        <w:spacing w:before="14"/>
        <w:ind w:left="880"/>
      </w:pPr>
      <w:r>
        <w:rPr/>
        <w:t>SUBTOTAL</w:t>
      </w:r>
    </w:p>
    <w:p>
      <w:pPr>
        <w:pStyle w:val="Heading9"/>
        <w:spacing w:before="17"/>
        <w:ind w:left="726"/>
      </w:pPr>
      <w:r>
        <w:rPr>
          <w:spacing w:val="-101"/>
          <w:u w:val="single"/>
        </w:rPr>
        <w:t>N</w:t>
      </w:r>
      <w:r>
        <w:rPr>
          <w:spacing w:val="64"/>
        </w:rPr>
        <w:t> </w:t>
      </w:r>
      <w:r>
        <w:rPr>
          <w:u w:val="single"/>
        </w:rPr>
        <w:t>onoperating</w:t>
      </w:r>
    </w:p>
    <w:p>
      <w:pPr>
        <w:pStyle w:val="Heading9"/>
        <w:tabs>
          <w:tab w:pos="3778" w:val="right" w:leader="none"/>
        </w:tabs>
        <w:spacing w:before="19"/>
        <w:ind w:left="880"/>
        <w:rPr>
          <w:sz w:val="12"/>
        </w:rPr>
      </w:pPr>
      <w:r>
        <w:rPr/>
        <w:t>Suspense</w:t>
      </w:r>
      <w:r>
        <w:rPr>
          <w:spacing w:val="-1"/>
        </w:rPr>
        <w:t> </w:t>
      </w:r>
      <w:r>
        <w:rPr/>
        <w:t>Clearing</w:t>
        <w:tab/>
      </w:r>
      <w:r>
        <w:rPr>
          <w:sz w:val="12"/>
        </w:rPr>
        <w:t>9910</w:t>
      </w:r>
    </w:p>
    <w:p>
      <w:pPr>
        <w:spacing w:before="14"/>
        <w:ind w:left="880" w:right="0" w:firstLine="0"/>
        <w:jc w:val="left"/>
        <w:rPr>
          <w:sz w:val="14"/>
        </w:rPr>
      </w:pPr>
      <w:r>
        <w:rPr>
          <w:sz w:val="14"/>
        </w:rPr>
        <w:t>TOTAL BALANCE SHEET ITEMS</w:t>
      </w:r>
    </w:p>
    <w:p>
      <w:pPr>
        <w:pStyle w:val="ListParagraph"/>
        <w:numPr>
          <w:ilvl w:val="0"/>
          <w:numId w:val="46"/>
        </w:numPr>
        <w:tabs>
          <w:tab w:pos="897" w:val="left" w:leader="none"/>
        </w:tabs>
        <w:spacing w:line="240" w:lineRule="auto" w:before="16" w:after="0"/>
        <w:ind w:left="896" w:right="0" w:hanging="171"/>
        <w:jc w:val="left"/>
        <w:rPr>
          <w:sz w:val="14"/>
        </w:rPr>
      </w:pPr>
      <w:r>
        <w:rPr>
          <w:sz w:val="14"/>
        </w:rPr>
        <w:t>NET INCREASE/DECREASE (B - C +</w:t>
      </w:r>
      <w:r>
        <w:rPr>
          <w:spacing w:val="-8"/>
          <w:sz w:val="14"/>
        </w:rPr>
        <w:t> </w:t>
      </w:r>
      <w:r>
        <w:rPr>
          <w:sz w:val="14"/>
        </w:rPr>
        <w:t>D)</w:t>
      </w:r>
    </w:p>
    <w:p>
      <w:pPr>
        <w:pStyle w:val="ListParagraph"/>
        <w:numPr>
          <w:ilvl w:val="0"/>
          <w:numId w:val="46"/>
        </w:numPr>
        <w:tabs>
          <w:tab w:pos="888" w:val="left" w:leader="none"/>
        </w:tabs>
        <w:spacing w:line="240" w:lineRule="auto" w:before="17" w:after="0"/>
        <w:ind w:left="887" w:right="0" w:hanging="162"/>
        <w:jc w:val="left"/>
        <w:rPr>
          <w:sz w:val="14"/>
        </w:rPr>
      </w:pPr>
      <w:r>
        <w:rPr>
          <w:sz w:val="14"/>
        </w:rPr>
        <w:t>ENDING CASH (A +</w:t>
      </w:r>
      <w:r>
        <w:rPr>
          <w:spacing w:val="-6"/>
          <w:sz w:val="14"/>
        </w:rPr>
        <w:t> </w:t>
      </w:r>
      <w:r>
        <w:rPr>
          <w:sz w:val="14"/>
        </w:rPr>
        <w:t>E)</w:t>
      </w:r>
    </w:p>
    <w:p>
      <w:pPr>
        <w:pStyle w:val="ListParagraph"/>
        <w:numPr>
          <w:ilvl w:val="0"/>
          <w:numId w:val="46"/>
        </w:numPr>
        <w:tabs>
          <w:tab w:pos="912" w:val="left" w:leader="none"/>
        </w:tabs>
        <w:spacing w:line="235" w:lineRule="auto" w:before="50" w:after="0"/>
        <w:ind w:left="726" w:right="1043" w:firstLine="0"/>
        <w:jc w:val="left"/>
        <w:rPr>
          <w:sz w:val="14"/>
        </w:rPr>
      </w:pPr>
      <w:r>
        <w:rPr>
          <w:sz w:val="14"/>
        </w:rPr>
        <w:t>ENDING CASH, PLUS CASH ACCRUALS AND</w:t>
      </w:r>
      <w:r>
        <w:rPr>
          <w:spacing w:val="-17"/>
          <w:sz w:val="14"/>
        </w:rPr>
        <w:t> </w:t>
      </w:r>
      <w:r>
        <w:rPr>
          <w:sz w:val="14"/>
        </w:rPr>
        <w:t>ADJUSTMENTS</w:t>
      </w:r>
    </w:p>
    <w:p>
      <w:pPr>
        <w:tabs>
          <w:tab w:pos="1243" w:val="left" w:leader="none"/>
          <w:tab w:pos="2416" w:val="left" w:leader="none"/>
          <w:tab w:pos="3520" w:val="left" w:leader="none"/>
          <w:tab w:pos="6935" w:val="left" w:leader="none"/>
          <w:tab w:pos="8109" w:val="left" w:leader="none"/>
        </w:tabs>
        <w:spacing w:before="38"/>
        <w:ind w:left="0" w:right="725" w:firstLine="0"/>
        <w:jc w:val="right"/>
        <w:rPr>
          <w:sz w:val="12"/>
        </w:rPr>
      </w:pPr>
      <w:r>
        <w:rPr/>
        <w:br w:type="column"/>
      </w:r>
      <w:r>
        <w:rPr>
          <w:w w:val="105"/>
          <w:sz w:val="12"/>
        </w:rPr>
        <w:t>139,117.00</w:t>
        <w:tab/>
        <w:t>73,750.00</w:t>
        <w:tab/>
        <w:t>73,750.00</w:t>
        <w:tab/>
        <w:t>139,117.00</w:t>
        <w:tab/>
        <w:t>1,346,030.00</w:t>
        <w:tab/>
      </w:r>
      <w:r>
        <w:rPr>
          <w:spacing w:val="-2"/>
          <w:w w:val="105"/>
          <w:sz w:val="12"/>
        </w:rPr>
        <w:t>1,346,030.00</w:t>
      </w:r>
    </w:p>
    <w:p>
      <w:pPr>
        <w:tabs>
          <w:tab w:pos="1348" w:val="left" w:leader="none"/>
          <w:tab w:pos="2277" w:val="left" w:leader="none"/>
          <w:tab w:pos="3451" w:val="left" w:leader="none"/>
          <w:tab w:pos="6971" w:val="left" w:leader="none"/>
          <w:tab w:pos="8145" w:val="left" w:leader="none"/>
        </w:tabs>
        <w:spacing w:before="40"/>
        <w:ind w:left="0" w:right="725" w:firstLine="0"/>
        <w:jc w:val="right"/>
        <w:rPr>
          <w:sz w:val="12"/>
        </w:rPr>
      </w:pPr>
      <w:r>
        <w:rPr>
          <w:w w:val="105"/>
          <w:sz w:val="12"/>
        </w:rPr>
        <w:t>37,128.00</w:t>
        <w:tab/>
        <w:t>205.00</w:t>
        <w:tab/>
        <w:t>285,876.00</w:t>
        <w:tab/>
        <w:t>196,497.00</w:t>
        <w:tab/>
        <w:t>856,110.00</w:t>
        <w:tab/>
      </w:r>
      <w:r>
        <w:rPr>
          <w:spacing w:val="-2"/>
          <w:w w:val="105"/>
          <w:sz w:val="12"/>
        </w:rPr>
        <w:t>856,110.00</w:t>
      </w:r>
    </w:p>
    <w:p>
      <w:pPr>
        <w:tabs>
          <w:tab w:pos="1103" w:val="left" w:leader="none"/>
          <w:tab w:pos="2347" w:val="left" w:leader="none"/>
          <w:tab w:pos="3451" w:val="left" w:leader="none"/>
          <w:tab w:pos="6971" w:val="left" w:leader="none"/>
          <w:tab w:pos="8145" w:val="left" w:leader="none"/>
        </w:tabs>
        <w:spacing w:before="39"/>
        <w:ind w:left="0" w:right="727" w:firstLine="0"/>
        <w:jc w:val="right"/>
        <w:rPr>
          <w:sz w:val="12"/>
        </w:rPr>
      </w:pPr>
      <w:r>
        <w:rPr>
          <w:w w:val="105"/>
          <w:sz w:val="12"/>
        </w:rPr>
        <w:t>(89,396.00)</w:t>
        <w:tab/>
        <w:t>(123,847.00)</w:t>
        <w:tab/>
        <w:t>(34,100.00)</w:t>
        <w:tab/>
        <w:t>(105,450.00)</w:t>
        <w:tab/>
        <w:t>(780,949.00)</w:t>
        <w:tab/>
      </w:r>
      <w:r>
        <w:rPr>
          <w:spacing w:val="-1"/>
          <w:w w:val="105"/>
          <w:sz w:val="12"/>
        </w:rPr>
        <w:t>(780,949.00)</w:t>
      </w:r>
    </w:p>
    <w:p>
      <w:pPr>
        <w:tabs>
          <w:tab w:pos="1173" w:val="left" w:leader="none"/>
          <w:tab w:pos="2277" w:val="left" w:leader="none"/>
          <w:tab w:pos="3451" w:val="left" w:leader="none"/>
          <w:tab w:pos="6902" w:val="left" w:leader="none"/>
          <w:tab w:pos="8075" w:val="left" w:leader="none"/>
        </w:tabs>
        <w:spacing w:before="40"/>
        <w:ind w:left="0" w:right="725" w:firstLine="0"/>
        <w:jc w:val="right"/>
        <w:rPr>
          <w:sz w:val="12"/>
        </w:rPr>
      </w:pPr>
      <w:r>
        <w:rPr>
          <w:w w:val="105"/>
          <w:sz w:val="12"/>
        </w:rPr>
        <w:t>2,508.00</w:t>
        <w:tab/>
        <w:t>8,688.00</w:t>
        <w:tab/>
        <w:t>12,360.00</w:t>
        <w:tab/>
        <w:t>38,609.00</w:t>
        <w:tab/>
        <w:t>106,209.00</w:t>
        <w:tab/>
      </w:r>
      <w:r>
        <w:rPr>
          <w:spacing w:val="-2"/>
          <w:w w:val="105"/>
          <w:sz w:val="12"/>
        </w:rPr>
        <w:t>106,209.00</w:t>
      </w:r>
    </w:p>
    <w:p>
      <w:pPr>
        <w:tabs>
          <w:tab w:pos="1067" w:val="left" w:leader="none"/>
          <w:tab w:pos="2241" w:val="left" w:leader="none"/>
          <w:tab w:pos="3345" w:val="left" w:leader="none"/>
          <w:tab w:pos="6796" w:val="left" w:leader="none"/>
          <w:tab w:pos="7970" w:val="left" w:leader="none"/>
        </w:tabs>
        <w:spacing w:before="40"/>
        <w:ind w:left="0" w:right="725" w:firstLine="0"/>
        <w:jc w:val="right"/>
        <w:rPr>
          <w:sz w:val="12"/>
        </w:rPr>
      </w:pPr>
      <w:r>
        <w:rPr>
          <w:w w:val="105"/>
          <w:sz w:val="12"/>
        </w:rPr>
        <w:t>173.00</w:t>
        <w:tab/>
        <w:t>5,184.00</w:t>
        <w:tab/>
        <w:t>3,676.00</w:t>
        <w:tab/>
        <w:t>61,376.00</w:t>
        <w:tab/>
        <w:t>101,861.00</w:t>
        <w:tab/>
      </w:r>
      <w:r>
        <w:rPr>
          <w:spacing w:val="-2"/>
          <w:w w:val="105"/>
          <w:sz w:val="12"/>
        </w:rPr>
        <w:t>101,861.00</w:t>
      </w:r>
    </w:p>
    <w:p>
      <w:pPr>
        <w:tabs>
          <w:tab w:pos="1067" w:val="left" w:leader="none"/>
          <w:tab w:pos="2171" w:val="left" w:leader="none"/>
          <w:tab w:pos="3275" w:val="left" w:leader="none"/>
          <w:tab w:pos="6796" w:val="left" w:leader="none"/>
          <w:tab w:pos="7970" w:val="left" w:leader="none"/>
        </w:tabs>
        <w:spacing w:before="39"/>
        <w:ind w:left="0" w:right="725" w:firstLine="0"/>
        <w:jc w:val="right"/>
        <w:rPr>
          <w:sz w:val="12"/>
        </w:rPr>
      </w:pPr>
      <w:r>
        <w:rPr>
          <w:w w:val="105"/>
          <w:sz w:val="12"/>
        </w:rPr>
        <w:t>962.00</w:t>
        <w:tab/>
        <w:t>2,821.00</w:t>
        <w:tab/>
        <w:t>60,666.00</w:t>
        <w:tab/>
        <w:t>193,142.00</w:t>
        <w:tab/>
        <w:t>377,666.00</w:t>
        <w:tab/>
      </w:r>
      <w:r>
        <w:rPr>
          <w:spacing w:val="-2"/>
          <w:w w:val="105"/>
          <w:sz w:val="12"/>
        </w:rPr>
        <w:t>377,666.00</w:t>
      </w:r>
    </w:p>
    <w:p>
      <w:pPr>
        <w:tabs>
          <w:tab w:pos="1173" w:val="left" w:leader="none"/>
          <w:tab w:pos="2347" w:val="left" w:leader="none"/>
          <w:tab w:pos="5867" w:val="left" w:leader="none"/>
          <w:tab w:pos="7041" w:val="left" w:leader="none"/>
        </w:tabs>
        <w:spacing w:before="40"/>
        <w:ind w:left="0" w:right="725" w:firstLine="0"/>
        <w:jc w:val="right"/>
        <w:rPr>
          <w:sz w:val="12"/>
        </w:rPr>
      </w:pPr>
      <w:r>
        <w:rPr>
          <w:w w:val="105"/>
          <w:sz w:val="12"/>
        </w:rPr>
        <w:t>0.00</w:t>
        <w:tab/>
        <w:t>0.00</w:t>
        <w:tab/>
        <w:t>0.00</w:t>
        <w:tab/>
        <w:t>0.00</w:t>
        <w:tab/>
      </w:r>
      <w:r>
        <w:rPr>
          <w:spacing w:val="-1"/>
          <w:w w:val="105"/>
          <w:sz w:val="12"/>
        </w:rPr>
        <w:t>0.00</w:t>
      </w:r>
    </w:p>
    <w:p>
      <w:pPr>
        <w:tabs>
          <w:tab w:pos="1173" w:val="left" w:leader="none"/>
          <w:tab w:pos="2347" w:val="left" w:leader="none"/>
          <w:tab w:pos="5867" w:val="left" w:leader="none"/>
          <w:tab w:pos="7041" w:val="left" w:leader="none"/>
        </w:tabs>
        <w:spacing w:before="39"/>
        <w:ind w:left="0" w:right="725" w:firstLine="0"/>
        <w:jc w:val="right"/>
        <w:rPr>
          <w:sz w:val="12"/>
        </w:rPr>
      </w:pPr>
      <w:r>
        <w:rPr>
          <w:w w:val="105"/>
          <w:sz w:val="12"/>
        </w:rPr>
        <w:t>0.00</w:t>
        <w:tab/>
        <w:t>0.00</w:t>
        <w:tab/>
        <w:t>0.00</w:t>
        <w:tab/>
        <w:t>0.00</w:t>
        <w:tab/>
      </w:r>
      <w:r>
        <w:rPr>
          <w:spacing w:val="-1"/>
          <w:w w:val="105"/>
          <w:sz w:val="12"/>
        </w:rPr>
        <w:t>0.00</w:t>
      </w:r>
    </w:p>
    <w:p>
      <w:pPr>
        <w:tabs>
          <w:tab w:pos="1087" w:val="left" w:leader="none"/>
          <w:tab w:pos="2277" w:val="left" w:leader="none"/>
          <w:tab w:pos="3451" w:val="left" w:leader="none"/>
          <w:tab w:pos="5008" w:val="left" w:leader="none"/>
          <w:tab w:pos="6182" w:val="left" w:leader="none"/>
          <w:tab w:pos="6866" w:val="left" w:leader="none"/>
          <w:tab w:pos="8039" w:val="left" w:leader="none"/>
        </w:tabs>
        <w:spacing w:before="40"/>
        <w:ind w:left="0" w:right="725" w:firstLine="0"/>
        <w:jc w:val="right"/>
        <w:rPr>
          <w:sz w:val="12"/>
        </w:rPr>
      </w:pPr>
      <w:r>
        <w:rPr>
          <w:w w:val="105"/>
          <w:sz w:val="12"/>
        </w:rPr>
        <w:t>90,492.00</w:t>
        <w:tab/>
        <w:t>(33,199.00)</w:t>
        <w:tab/>
        <w:t>402,228.00</w:t>
        <w:tab/>
        <w:t>523,291.00</w:t>
        <w:tab/>
        <w:t>0.00</w:t>
        <w:tab/>
        <w:t>0.00</w:t>
        <w:tab/>
        <w:t>2,006,927.00</w:t>
        <w:tab/>
      </w:r>
      <w:r>
        <w:rPr>
          <w:spacing w:val="-2"/>
          <w:w w:val="105"/>
          <w:sz w:val="12"/>
        </w:rPr>
        <w:t>2,006,927.00</w:t>
      </w:r>
    </w:p>
    <w:p>
      <w:pPr>
        <w:pStyle w:val="BodyText"/>
        <w:spacing w:before="10"/>
        <w:rPr>
          <w:sz w:val="18"/>
        </w:rPr>
      </w:pPr>
    </w:p>
    <w:p>
      <w:pPr>
        <w:tabs>
          <w:tab w:pos="1173" w:val="left" w:leader="none"/>
          <w:tab w:pos="2347" w:val="left" w:leader="none"/>
          <w:tab w:pos="3520" w:val="left" w:leader="none"/>
          <w:tab w:pos="6971" w:val="left" w:leader="none"/>
          <w:tab w:pos="8145" w:val="left" w:leader="none"/>
        </w:tabs>
        <w:spacing w:before="0"/>
        <w:ind w:left="0" w:right="725" w:firstLine="0"/>
        <w:jc w:val="right"/>
        <w:rPr>
          <w:sz w:val="12"/>
        </w:rPr>
      </w:pPr>
      <w:r>
        <w:rPr>
          <w:w w:val="105"/>
          <w:sz w:val="12"/>
        </w:rPr>
        <w:t>48,700.00</w:t>
        <w:tab/>
        <w:t>48,402.00</w:t>
        <w:tab/>
        <w:t>48,144.00</w:t>
        <w:tab/>
        <w:t>75,951.00</w:t>
        <w:tab/>
        <w:t>585,448.00</w:t>
        <w:tab/>
      </w:r>
      <w:r>
        <w:rPr>
          <w:spacing w:val="-2"/>
          <w:w w:val="105"/>
          <w:sz w:val="12"/>
        </w:rPr>
        <w:t>585,448.00</w:t>
      </w:r>
    </w:p>
    <w:p>
      <w:pPr>
        <w:tabs>
          <w:tab w:pos="1173" w:val="left" w:leader="none"/>
          <w:tab w:pos="2347" w:val="left" w:leader="none"/>
          <w:tab w:pos="3520" w:val="left" w:leader="none"/>
          <w:tab w:pos="6971" w:val="left" w:leader="none"/>
          <w:tab w:pos="8145" w:val="left" w:leader="none"/>
        </w:tabs>
        <w:spacing w:before="40"/>
        <w:ind w:left="0" w:right="725" w:firstLine="0"/>
        <w:jc w:val="right"/>
        <w:rPr>
          <w:sz w:val="12"/>
        </w:rPr>
      </w:pPr>
      <w:r>
        <w:rPr>
          <w:w w:val="105"/>
          <w:sz w:val="12"/>
        </w:rPr>
        <w:t>40,829.00</w:t>
        <w:tab/>
        <w:t>38,890.00</w:t>
        <w:tab/>
        <w:t>38,666.00</w:t>
        <w:tab/>
        <w:t>43,447.00</w:t>
        <w:tab/>
        <w:t>470,747.00</w:t>
        <w:tab/>
      </w:r>
      <w:r>
        <w:rPr>
          <w:spacing w:val="-2"/>
          <w:w w:val="105"/>
          <w:sz w:val="12"/>
        </w:rPr>
        <w:t>470,747.00</w:t>
      </w:r>
    </w:p>
    <w:p>
      <w:pPr>
        <w:tabs>
          <w:tab w:pos="1173" w:val="left" w:leader="none"/>
          <w:tab w:pos="2347" w:val="left" w:leader="none"/>
          <w:tab w:pos="3451" w:val="left" w:leader="none"/>
          <w:tab w:pos="6971" w:val="left" w:leader="none"/>
          <w:tab w:pos="8145" w:val="left" w:leader="none"/>
        </w:tabs>
        <w:spacing w:before="39"/>
        <w:ind w:left="0" w:right="725" w:firstLine="0"/>
        <w:jc w:val="right"/>
        <w:rPr>
          <w:sz w:val="12"/>
        </w:rPr>
      </w:pPr>
      <w:r>
        <w:rPr>
          <w:w w:val="105"/>
          <w:sz w:val="12"/>
        </w:rPr>
        <w:t>30,389.00</w:t>
        <w:tab/>
        <w:t>27,973.00</w:t>
        <w:tab/>
        <w:t>27,695.00</w:t>
        <w:tab/>
        <w:t>121,108.00</w:t>
        <w:tab/>
        <w:t>430,961.00</w:t>
        <w:tab/>
      </w:r>
      <w:r>
        <w:rPr>
          <w:spacing w:val="-2"/>
          <w:w w:val="105"/>
          <w:sz w:val="12"/>
        </w:rPr>
        <w:t>430,961.00</w:t>
      </w:r>
    </w:p>
    <w:p>
      <w:pPr>
        <w:tabs>
          <w:tab w:pos="1243" w:val="left" w:leader="none"/>
          <w:tab w:pos="2416" w:val="left" w:leader="none"/>
          <w:tab w:pos="3590" w:val="left" w:leader="none"/>
          <w:tab w:pos="6971" w:val="left" w:leader="none"/>
          <w:tab w:pos="8145" w:val="left" w:leader="none"/>
        </w:tabs>
        <w:spacing w:before="40"/>
        <w:ind w:left="0" w:right="725" w:firstLine="0"/>
        <w:jc w:val="right"/>
        <w:rPr>
          <w:sz w:val="12"/>
        </w:rPr>
      </w:pPr>
      <w:r>
        <w:rPr>
          <w:w w:val="105"/>
          <w:sz w:val="12"/>
        </w:rPr>
        <w:t>13,740.00</w:t>
        <w:tab/>
        <w:t>6,488.00</w:t>
        <w:tab/>
        <w:t>8,168.00</w:t>
        <w:tab/>
        <w:t>9,928.00</w:t>
        <w:tab/>
        <w:t>138,009.00</w:t>
        <w:tab/>
      </w:r>
      <w:r>
        <w:rPr>
          <w:spacing w:val="-2"/>
          <w:w w:val="105"/>
          <w:sz w:val="12"/>
        </w:rPr>
        <w:t>138,009.00</w:t>
      </w:r>
    </w:p>
    <w:p>
      <w:pPr>
        <w:tabs>
          <w:tab w:pos="1173" w:val="left" w:leader="none"/>
          <w:tab w:pos="2347" w:val="left" w:leader="none"/>
          <w:tab w:pos="3520" w:val="left" w:leader="none"/>
          <w:tab w:pos="6971" w:val="left" w:leader="none"/>
          <w:tab w:pos="8145" w:val="left" w:leader="none"/>
        </w:tabs>
        <w:spacing w:before="40"/>
        <w:ind w:left="0" w:right="725" w:firstLine="0"/>
        <w:jc w:val="right"/>
        <w:rPr>
          <w:sz w:val="12"/>
        </w:rPr>
      </w:pPr>
      <w:r>
        <w:rPr>
          <w:w w:val="105"/>
          <w:sz w:val="12"/>
        </w:rPr>
        <w:t>44,038.00</w:t>
        <w:tab/>
        <w:t>11,290.00</w:t>
        <w:tab/>
        <w:t>20,898.00</w:t>
        <w:tab/>
        <w:t>33,588.00</w:t>
        <w:tab/>
        <w:t>362,997.00</w:t>
        <w:tab/>
      </w:r>
      <w:r>
        <w:rPr>
          <w:spacing w:val="-2"/>
          <w:w w:val="105"/>
          <w:sz w:val="12"/>
        </w:rPr>
        <w:t>362,997.00</w:t>
      </w:r>
    </w:p>
    <w:p>
      <w:pPr>
        <w:tabs>
          <w:tab w:pos="1034" w:val="left" w:leader="none"/>
          <w:tab w:pos="2207" w:val="left" w:leader="none"/>
          <w:tab w:pos="3275" w:val="left" w:leader="none"/>
          <w:tab w:pos="6727" w:val="left" w:leader="none"/>
          <w:tab w:pos="7900" w:val="left" w:leader="none"/>
        </w:tabs>
        <w:spacing w:before="39"/>
        <w:ind w:left="0" w:right="725" w:firstLine="0"/>
        <w:jc w:val="right"/>
        <w:rPr>
          <w:sz w:val="12"/>
        </w:rPr>
      </w:pPr>
      <w:r>
        <w:rPr>
          <w:w w:val="105"/>
          <w:sz w:val="12"/>
        </w:rPr>
        <w:t>0.00</w:t>
        <w:tab/>
        <w:t>159.00</w:t>
        <w:tab/>
        <w:t>556.00</w:t>
        <w:tab/>
        <w:t>1,080.00</w:t>
        <w:tab/>
        <w:t>10,000.00</w:t>
        <w:tab/>
      </w:r>
      <w:r>
        <w:rPr>
          <w:spacing w:val="-1"/>
          <w:w w:val="105"/>
          <w:sz w:val="12"/>
        </w:rPr>
        <w:t>10,000.00</w:t>
      </w:r>
    </w:p>
    <w:p>
      <w:pPr>
        <w:tabs>
          <w:tab w:pos="2126" w:val="left" w:leader="none"/>
          <w:tab w:pos="3299" w:val="left" w:leader="none"/>
          <w:tab w:pos="4473" w:val="left" w:leader="none"/>
          <w:tab w:pos="7994" w:val="left" w:leader="none"/>
        </w:tabs>
        <w:spacing w:before="40"/>
        <w:ind w:left="952" w:right="0" w:firstLine="0"/>
        <w:jc w:val="left"/>
        <w:rPr>
          <w:sz w:val="12"/>
        </w:rPr>
      </w:pPr>
      <w:r>
        <w:rPr>
          <w:w w:val="105"/>
          <w:sz w:val="12"/>
        </w:rPr>
        <w:t>0.00</w:t>
        <w:tab/>
        <w:t>0.00</w:t>
        <w:tab/>
        <w:t>0.00</w:t>
        <w:tab/>
        <w:t>0.00</w:t>
        <w:tab/>
        <w:t>0.00</w:t>
      </w:r>
    </w:p>
    <w:p>
      <w:pPr>
        <w:tabs>
          <w:tab w:pos="2126" w:val="left" w:leader="none"/>
          <w:tab w:pos="3299" w:val="left" w:leader="none"/>
          <w:tab w:pos="4473" w:val="left" w:leader="none"/>
          <w:tab w:pos="7994" w:val="left" w:leader="none"/>
        </w:tabs>
        <w:spacing w:before="39"/>
        <w:ind w:left="952" w:right="0" w:firstLine="0"/>
        <w:jc w:val="left"/>
        <w:rPr>
          <w:sz w:val="12"/>
        </w:rPr>
      </w:pPr>
      <w:r>
        <w:rPr>
          <w:w w:val="105"/>
          <w:sz w:val="12"/>
        </w:rPr>
        <w:t>0.00</w:t>
        <w:tab/>
        <w:t>0.00</w:t>
        <w:tab/>
        <w:t>0.00</w:t>
        <w:tab/>
        <w:t>0.00</w:t>
        <w:tab/>
        <w:t>0.00</w:t>
      </w:r>
    </w:p>
    <w:p>
      <w:pPr>
        <w:tabs>
          <w:tab w:pos="2126" w:val="left" w:leader="none"/>
          <w:tab w:pos="3299" w:val="left" w:leader="none"/>
          <w:tab w:pos="4473" w:val="left" w:leader="none"/>
          <w:tab w:pos="7994" w:val="left" w:leader="none"/>
        </w:tabs>
        <w:spacing w:before="40"/>
        <w:ind w:left="952" w:right="0" w:firstLine="0"/>
        <w:jc w:val="left"/>
        <w:rPr>
          <w:sz w:val="12"/>
        </w:rPr>
      </w:pPr>
      <w:r>
        <w:rPr>
          <w:w w:val="105"/>
          <w:sz w:val="12"/>
        </w:rPr>
        <w:t>0.00</w:t>
        <w:tab/>
        <w:t>0.00</w:t>
        <w:tab/>
        <w:t>0.00</w:t>
        <w:tab/>
        <w:t>0.00</w:t>
        <w:tab/>
        <w:t>0.00</w:t>
      </w:r>
    </w:p>
    <w:p>
      <w:pPr>
        <w:tabs>
          <w:tab w:pos="1742" w:val="left" w:leader="none"/>
          <w:tab w:pos="2915" w:val="left" w:leader="none"/>
          <w:tab w:pos="4089" w:val="left" w:leader="none"/>
          <w:tab w:pos="5646" w:val="left" w:leader="none"/>
          <w:tab w:pos="6820" w:val="left" w:leader="none"/>
          <w:tab w:pos="7504" w:val="left" w:leader="none"/>
          <w:tab w:pos="8678" w:val="left" w:leader="none"/>
        </w:tabs>
        <w:spacing w:before="40"/>
        <w:ind w:left="568" w:right="0" w:firstLine="0"/>
        <w:jc w:val="left"/>
        <w:rPr>
          <w:sz w:val="12"/>
        </w:rPr>
      </w:pPr>
      <w:r>
        <w:rPr>
          <w:w w:val="105"/>
          <w:sz w:val="12"/>
        </w:rPr>
        <w:t>177,696.00</w:t>
        <w:tab/>
        <w:t>133,202.00</w:t>
        <w:tab/>
        <w:t>144,127.00</w:t>
        <w:tab/>
        <w:t>285,102.00</w:t>
        <w:tab/>
        <w:t>0.00</w:t>
        <w:tab/>
        <w:t>0.00</w:t>
        <w:tab/>
        <w:t>1,998,162.00</w:t>
        <w:tab/>
        <w:t>1,998,162.00</w:t>
      </w:r>
    </w:p>
    <w:p>
      <w:pPr>
        <w:pStyle w:val="BodyText"/>
        <w:rPr>
          <w:sz w:val="14"/>
        </w:rPr>
      </w:pPr>
    </w:p>
    <w:p>
      <w:pPr>
        <w:pStyle w:val="BodyText"/>
        <w:spacing w:before="3"/>
        <w:rPr>
          <w:sz w:val="20"/>
        </w:rPr>
      </w:pPr>
    </w:p>
    <w:p>
      <w:pPr>
        <w:spacing w:before="1"/>
        <w:ind w:left="0" w:right="1898" w:firstLine="0"/>
        <w:jc w:val="right"/>
        <w:rPr>
          <w:sz w:val="12"/>
        </w:rPr>
      </w:pPr>
      <w:r>
        <w:rPr>
          <w:spacing w:val="-1"/>
          <w:w w:val="105"/>
          <w:sz w:val="12"/>
        </w:rPr>
        <w:t>0.00</w:t>
      </w:r>
    </w:p>
    <w:p>
      <w:pPr>
        <w:tabs>
          <w:tab w:pos="1173" w:val="left" w:leader="none"/>
          <w:tab w:pos="2347" w:val="left" w:leader="none"/>
          <w:tab w:pos="3259" w:val="left" w:leader="none"/>
          <w:tab w:pos="4519" w:val="left" w:leader="none"/>
          <w:tab w:pos="6796" w:val="left" w:leader="none"/>
        </w:tabs>
        <w:spacing w:before="39"/>
        <w:ind w:left="0" w:right="1899" w:firstLine="0"/>
        <w:jc w:val="right"/>
        <w:rPr>
          <w:sz w:val="12"/>
        </w:rPr>
      </w:pPr>
      <w:r>
        <w:rPr>
          <w:w w:val="105"/>
          <w:sz w:val="12"/>
        </w:rPr>
        <w:t>569.00</w:t>
        <w:tab/>
        <w:t>609.00</w:t>
        <w:tab/>
        <w:t>180.00</w:t>
        <w:tab/>
        <w:t>(46,604.00)</w:t>
        <w:tab/>
        <w:t>46,078.00</w:t>
        <w:tab/>
      </w:r>
      <w:r>
        <w:rPr>
          <w:spacing w:val="-2"/>
          <w:w w:val="105"/>
          <w:sz w:val="12"/>
        </w:rPr>
        <w:t>157,403.00</w:t>
      </w:r>
    </w:p>
    <w:p>
      <w:pPr>
        <w:spacing w:before="40"/>
        <w:ind w:left="0" w:right="1898" w:firstLine="0"/>
        <w:jc w:val="right"/>
        <w:rPr>
          <w:sz w:val="12"/>
        </w:rPr>
      </w:pPr>
      <w:r>
        <w:rPr>
          <w:spacing w:val="-1"/>
          <w:w w:val="105"/>
          <w:sz w:val="12"/>
        </w:rPr>
        <w:t>0.00</w:t>
      </w:r>
    </w:p>
    <w:p>
      <w:pPr>
        <w:spacing w:before="39"/>
        <w:ind w:left="0" w:right="1898" w:firstLine="0"/>
        <w:jc w:val="right"/>
        <w:rPr>
          <w:sz w:val="12"/>
        </w:rPr>
      </w:pPr>
      <w:r>
        <w:rPr>
          <w:spacing w:val="-1"/>
          <w:w w:val="105"/>
          <w:sz w:val="12"/>
        </w:rPr>
        <w:t>0.00</w:t>
      </w:r>
    </w:p>
    <w:p>
      <w:pPr>
        <w:spacing w:before="40"/>
        <w:ind w:left="0" w:right="1898" w:firstLine="0"/>
        <w:jc w:val="right"/>
        <w:rPr>
          <w:sz w:val="12"/>
        </w:rPr>
      </w:pPr>
      <w:r>
        <w:rPr>
          <w:spacing w:val="-1"/>
          <w:w w:val="105"/>
          <w:sz w:val="12"/>
        </w:rPr>
        <w:t>0.00</w:t>
      </w:r>
    </w:p>
    <w:p>
      <w:pPr>
        <w:spacing w:before="40"/>
        <w:ind w:left="0" w:right="1898" w:firstLine="0"/>
        <w:jc w:val="right"/>
        <w:rPr>
          <w:sz w:val="12"/>
        </w:rPr>
      </w:pPr>
      <w:r>
        <w:rPr>
          <w:spacing w:val="-1"/>
          <w:w w:val="105"/>
          <w:sz w:val="12"/>
        </w:rPr>
        <w:t>0.00</w:t>
      </w:r>
    </w:p>
    <w:p>
      <w:pPr>
        <w:spacing w:before="39"/>
        <w:ind w:left="0" w:right="1898" w:firstLine="0"/>
        <w:jc w:val="right"/>
        <w:rPr>
          <w:sz w:val="12"/>
        </w:rPr>
      </w:pPr>
      <w:r>
        <w:rPr>
          <w:spacing w:val="-1"/>
          <w:w w:val="105"/>
          <w:sz w:val="12"/>
        </w:rPr>
        <w:t>0.00</w:t>
      </w:r>
    </w:p>
    <w:p>
      <w:pPr>
        <w:tabs>
          <w:tab w:pos="1173" w:val="left" w:leader="none"/>
          <w:tab w:pos="2347" w:val="left" w:leader="none"/>
          <w:tab w:pos="3259" w:val="left" w:leader="none"/>
          <w:tab w:pos="4519" w:val="left" w:leader="none"/>
          <w:tab w:pos="6007" w:val="left" w:leader="none"/>
          <w:tab w:pos="6796" w:val="left" w:leader="none"/>
        </w:tabs>
        <w:spacing w:before="40"/>
        <w:ind w:left="0" w:right="1899" w:firstLine="0"/>
        <w:jc w:val="right"/>
        <w:rPr>
          <w:sz w:val="12"/>
        </w:rPr>
      </w:pPr>
      <w:r>
        <w:rPr>
          <w:w w:val="105"/>
          <w:sz w:val="12"/>
        </w:rPr>
        <w:t>569.00</w:t>
        <w:tab/>
        <w:t>609.00</w:t>
        <w:tab/>
        <w:t>180.00</w:t>
        <w:tab/>
        <w:t>(46,604.00)</w:t>
        <w:tab/>
        <w:t>46,078.00</w:t>
        <w:tab/>
        <w:t>0.00</w:t>
        <w:tab/>
      </w:r>
      <w:r>
        <w:rPr>
          <w:spacing w:val="-2"/>
          <w:w w:val="105"/>
          <w:sz w:val="12"/>
        </w:rPr>
        <w:t>157,403.00</w:t>
      </w:r>
    </w:p>
    <w:p>
      <w:pPr>
        <w:pStyle w:val="BodyText"/>
        <w:spacing w:before="10"/>
        <w:rPr>
          <w:sz w:val="18"/>
        </w:rPr>
      </w:pPr>
    </w:p>
    <w:p>
      <w:pPr>
        <w:tabs>
          <w:tab w:pos="1173" w:val="left" w:leader="none"/>
          <w:tab w:pos="2260" w:val="left" w:leader="none"/>
          <w:tab w:pos="3295" w:val="left" w:leader="none"/>
          <w:tab w:pos="4555" w:val="left" w:leader="none"/>
          <w:tab w:pos="6902" w:val="left" w:leader="none"/>
        </w:tabs>
        <w:spacing w:before="0"/>
        <w:ind w:left="0" w:right="1899" w:firstLine="0"/>
        <w:jc w:val="right"/>
        <w:rPr>
          <w:sz w:val="12"/>
        </w:rPr>
      </w:pPr>
      <w:r>
        <w:rPr>
          <w:w w:val="105"/>
          <w:sz w:val="12"/>
        </w:rPr>
        <w:t>7,909.00</w:t>
        <w:tab/>
        <w:t>2,864.00</w:t>
        <w:tab/>
        <w:t>(5,005.00)</w:t>
        <w:tab/>
        <w:t>(294,379.00)</w:t>
        <w:tab/>
        <w:t>355,971.00</w:t>
        <w:tab/>
      </w:r>
      <w:r>
        <w:rPr>
          <w:spacing w:val="-2"/>
          <w:w w:val="105"/>
          <w:sz w:val="12"/>
        </w:rPr>
        <w:t>282,078.00</w:t>
      </w:r>
    </w:p>
    <w:p>
      <w:pPr>
        <w:spacing w:before="40"/>
        <w:ind w:left="0" w:right="1898" w:firstLine="0"/>
        <w:jc w:val="right"/>
        <w:rPr>
          <w:sz w:val="12"/>
        </w:rPr>
      </w:pPr>
      <w:r>
        <w:rPr>
          <w:spacing w:val="-1"/>
          <w:w w:val="105"/>
          <w:sz w:val="12"/>
        </w:rPr>
        <w:t>0.00</w:t>
      </w:r>
    </w:p>
    <w:p>
      <w:pPr>
        <w:spacing w:before="39"/>
        <w:ind w:left="0" w:right="1898" w:firstLine="0"/>
        <w:jc w:val="right"/>
        <w:rPr>
          <w:sz w:val="12"/>
        </w:rPr>
      </w:pPr>
      <w:r>
        <w:rPr>
          <w:spacing w:val="-1"/>
          <w:w w:val="105"/>
          <w:sz w:val="12"/>
        </w:rPr>
        <w:t>0.00</w:t>
      </w:r>
    </w:p>
    <w:p>
      <w:pPr>
        <w:spacing w:before="40"/>
        <w:ind w:left="0" w:right="1898" w:firstLine="0"/>
        <w:jc w:val="right"/>
        <w:rPr>
          <w:sz w:val="12"/>
        </w:rPr>
      </w:pPr>
      <w:r>
        <w:rPr>
          <w:spacing w:val="-1"/>
          <w:w w:val="105"/>
          <w:sz w:val="12"/>
        </w:rPr>
        <w:t>0.00</w:t>
      </w:r>
    </w:p>
    <w:p>
      <w:pPr>
        <w:spacing w:before="39"/>
        <w:ind w:left="0" w:right="1898" w:firstLine="0"/>
        <w:jc w:val="right"/>
        <w:rPr>
          <w:sz w:val="12"/>
        </w:rPr>
      </w:pPr>
      <w:r>
        <w:rPr>
          <w:spacing w:val="-1"/>
          <w:w w:val="105"/>
          <w:sz w:val="12"/>
        </w:rPr>
        <w:t>0.00</w:t>
      </w:r>
    </w:p>
    <w:p>
      <w:pPr>
        <w:tabs>
          <w:tab w:pos="1173" w:val="left" w:leader="none"/>
          <w:tab w:pos="2260" w:val="left" w:leader="none"/>
          <w:tab w:pos="3295" w:val="left" w:leader="none"/>
          <w:tab w:pos="4555" w:val="left" w:leader="none"/>
          <w:tab w:pos="6112" w:val="left" w:leader="none"/>
          <w:tab w:pos="6902" w:val="left" w:leader="none"/>
        </w:tabs>
        <w:spacing w:before="40"/>
        <w:ind w:left="0" w:right="1899" w:firstLine="0"/>
        <w:jc w:val="right"/>
        <w:rPr>
          <w:sz w:val="12"/>
        </w:rPr>
      </w:pPr>
      <w:r>
        <w:rPr>
          <w:w w:val="105"/>
          <w:sz w:val="12"/>
        </w:rPr>
        <w:t>7,909.00</w:t>
        <w:tab/>
        <w:t>2,864.00</w:t>
        <w:tab/>
        <w:t>(5,005.00)</w:t>
        <w:tab/>
        <w:t>(294,379.00)</w:t>
        <w:tab/>
        <w:t>355,971.00</w:t>
        <w:tab/>
        <w:t>0.00</w:t>
        <w:tab/>
      </w:r>
      <w:r>
        <w:rPr>
          <w:spacing w:val="-2"/>
          <w:w w:val="105"/>
          <w:sz w:val="12"/>
        </w:rPr>
        <w:t>282,078.00</w:t>
      </w:r>
    </w:p>
    <w:p>
      <w:pPr>
        <w:pStyle w:val="BodyText"/>
        <w:spacing w:before="10"/>
        <w:rPr>
          <w:sz w:val="18"/>
        </w:rPr>
      </w:pPr>
    </w:p>
    <w:p>
      <w:pPr>
        <w:spacing w:before="0"/>
        <w:ind w:left="0" w:right="1898" w:firstLine="0"/>
        <w:jc w:val="right"/>
        <w:rPr>
          <w:sz w:val="12"/>
        </w:rPr>
      </w:pPr>
      <w:r>
        <w:rPr>
          <w:spacing w:val="-1"/>
          <w:w w:val="105"/>
          <w:sz w:val="12"/>
        </w:rPr>
        <w:t>0.00</w:t>
      </w:r>
    </w:p>
    <w:p>
      <w:pPr>
        <w:tabs>
          <w:tab w:pos="1173" w:val="left" w:leader="none"/>
          <w:tab w:pos="2433" w:val="left" w:leader="none"/>
          <w:tab w:pos="3467" w:val="left" w:leader="none"/>
          <w:tab w:pos="4555" w:val="left" w:leader="none"/>
          <w:tab w:pos="6199" w:val="left" w:leader="none"/>
          <w:tab w:pos="6902" w:val="left" w:leader="none"/>
        </w:tabs>
        <w:spacing w:before="40"/>
        <w:ind w:left="0" w:right="1900" w:firstLine="0"/>
        <w:jc w:val="right"/>
        <w:rPr>
          <w:sz w:val="12"/>
        </w:rPr>
      </w:pPr>
      <w:r>
        <w:rPr>
          <w:w w:val="105"/>
          <w:sz w:val="12"/>
        </w:rPr>
        <w:t>(7,340.00)</w:t>
        <w:tab/>
        <w:t>(2,255.00)</w:t>
        <w:tab/>
        <w:t>5,185.00</w:t>
        <w:tab/>
        <w:t>247,775.00</w:t>
        <w:tab/>
        <w:t>(309,893.00)</w:t>
        <w:tab/>
        <w:t>0.00</w:t>
        <w:tab/>
      </w:r>
      <w:r>
        <w:rPr>
          <w:spacing w:val="-1"/>
          <w:w w:val="105"/>
          <w:sz w:val="12"/>
        </w:rPr>
        <w:t>(124,675.00)</w:t>
      </w:r>
    </w:p>
    <w:p>
      <w:pPr>
        <w:tabs>
          <w:tab w:pos="1655" w:val="left" w:leader="none"/>
          <w:tab w:pos="2915" w:val="left" w:leader="none"/>
          <w:tab w:pos="4089" w:val="left" w:leader="none"/>
          <w:tab w:pos="5176" w:val="left" w:leader="none"/>
          <w:tab w:pos="6820" w:val="left" w:leader="none"/>
          <w:tab w:pos="7523" w:val="left" w:leader="none"/>
          <w:tab w:pos="8922" w:val="left" w:leader="none"/>
        </w:tabs>
        <w:spacing w:before="40"/>
        <w:ind w:left="551" w:right="0" w:firstLine="0"/>
        <w:jc w:val="left"/>
        <w:rPr>
          <w:sz w:val="12"/>
        </w:rPr>
      </w:pPr>
      <w:r>
        <w:rPr>
          <w:w w:val="105"/>
          <w:sz w:val="12"/>
        </w:rPr>
        <w:t>(94,544.00)</w:t>
        <w:tab/>
        <w:t>(168,656.00)</w:t>
        <w:tab/>
        <w:t>263,286.00</w:t>
        <w:tab/>
        <w:t>485,964.00</w:t>
        <w:tab/>
        <w:t>(309,893.00)</w:t>
        <w:tab/>
        <w:t>0.00</w:t>
        <w:tab/>
        <w:t>(115,910.00)</w:t>
        <w:tab/>
        <w:t>8,765.00</w:t>
      </w:r>
    </w:p>
    <w:p>
      <w:pPr>
        <w:tabs>
          <w:tab w:pos="1636" w:val="left" w:leader="none"/>
          <w:tab w:pos="2810" w:val="left" w:leader="none"/>
          <w:tab w:pos="3983" w:val="left" w:leader="none"/>
        </w:tabs>
        <w:spacing w:before="39"/>
        <w:ind w:left="462" w:right="0" w:firstLine="0"/>
        <w:jc w:val="left"/>
        <w:rPr>
          <w:sz w:val="12"/>
        </w:rPr>
      </w:pPr>
      <w:r>
        <w:rPr>
          <w:w w:val="105"/>
          <w:sz w:val="12"/>
        </w:rPr>
        <w:t>2,305,331.00</w:t>
        <w:tab/>
        <w:t>2,136,675.00</w:t>
        <w:tab/>
        <w:t>2,399,961.00</w:t>
        <w:tab/>
        <w:t>2,885,925.00</w:t>
      </w:r>
    </w:p>
    <w:p>
      <w:pPr>
        <w:pStyle w:val="BodyText"/>
        <w:spacing w:before="11"/>
        <w:rPr>
          <w:sz w:val="19"/>
        </w:rPr>
      </w:pPr>
    </w:p>
    <w:p>
      <w:pPr>
        <w:spacing w:before="0"/>
        <w:ind w:left="0" w:right="1899" w:firstLine="0"/>
        <w:jc w:val="right"/>
        <w:rPr>
          <w:sz w:val="12"/>
        </w:rPr>
      </w:pPr>
      <w:r>
        <w:rPr>
          <w:w w:val="105"/>
          <w:sz w:val="12"/>
        </w:rPr>
        <w:t>2,576,032.00</w:t>
      </w:r>
    </w:p>
    <w:p>
      <w:pPr>
        <w:spacing w:after="0"/>
        <w:jc w:val="right"/>
        <w:rPr>
          <w:sz w:val="12"/>
        </w:rPr>
        <w:sectPr>
          <w:type w:val="continuous"/>
          <w:pgSz w:w="15840" w:h="12240" w:orient="landscape"/>
          <w:pgMar w:top="1500" w:bottom="840" w:left="860" w:right="860"/>
          <w:cols w:num="2" w:equalWidth="0">
            <w:col w:w="3939" w:space="40"/>
            <w:col w:w="10141"/>
          </w:cols>
        </w:sectPr>
      </w:pPr>
    </w:p>
    <w:p>
      <w:pPr>
        <w:pStyle w:val="BodyText"/>
        <w:rPr>
          <w:sz w:val="20"/>
        </w:rPr>
      </w:pPr>
      <w:r>
        <w:rPr/>
        <w:pict>
          <v:group style="position:absolute;margin-left:17.280001pt;margin-top:61.320004pt;width:577.35pt;height:643.950pt;mso-position-horizontal-relative:page;mso-position-vertical-relative:page;z-index:-314156032" coordorigin="346,1226" coordsize="11547,12879">
            <v:shape style="position:absolute;left:345;top:1226;width:11547;height:629" type="#_x0000_t75" stroked="false">
              <v:imagedata r:id="rId1122" o:title=""/>
            </v:shape>
            <v:shape style="position:absolute;left:9957;top:3849;width:1721;height:8" type="#_x0000_t75" stroked="false">
              <v:imagedata r:id="rId1123" o:title=""/>
            </v:shape>
            <v:shape style="position:absolute;left:9957;top:4576;width:1721;height:8" type="#_x0000_t75" stroked="false">
              <v:imagedata r:id="rId1123" o:title=""/>
            </v:shape>
            <v:shape style="position:absolute;left:1243;top:5280;width:8722;height:663" type="#_x0000_t75" stroked="false">
              <v:imagedata r:id="rId1124" o:title=""/>
            </v:shape>
            <v:shape style="position:absolute;left:345;top:1346;width:11547;height:6238" type="#_x0000_t75" stroked="false">
              <v:imagedata r:id="rId1125" o:title=""/>
            </v:shape>
            <v:shape style="position:absolute;left:9957;top:6770;width:1721;height:8" type="#_x0000_t75" stroked="false">
              <v:imagedata r:id="rId1123" o:title=""/>
            </v:shape>
            <v:shape style="position:absolute;left:345;top:7562;width:5528;height:569" type="#_x0000_t75" stroked="false">
              <v:imagedata r:id="rId1126" o:title=""/>
            </v:shape>
            <v:line style="position:absolute" from="4109,7574" to="4109,8124" stroked="true" strokeweight=".479988pt" strokecolor="#ffffff">
              <v:stroke dashstyle="solid"/>
            </v:line>
            <v:line style="position:absolute" from="4987,7574" to="4987,8124" stroked="true" strokeweight=".479988pt" strokecolor="#ffffff">
              <v:stroke dashstyle="solid"/>
            </v:line>
            <v:shape style="position:absolute;left:345;top:7562;width:11547;height:6543" type="#_x0000_t75" stroked="false">
              <v:imagedata r:id="rId1127" o:title=""/>
            </v:shape>
            <v:shape style="position:absolute;left:9957;top:12470;width:1721;height:8" type="#_x0000_t75" stroked="false">
              <v:imagedata r:id="rId1123" o:title=""/>
            </v:shape>
            <v:shape style="position:absolute;left:9957;top:13780;width:1721;height:8" type="#_x0000_t75" stroked="false">
              <v:imagedata r:id="rId1123" o:title=""/>
            </v:shape>
            <w10:wrap type="none"/>
          </v:group>
        </w:pict>
      </w:r>
    </w:p>
    <w:p>
      <w:pPr>
        <w:pStyle w:val="BodyText"/>
        <w:rPr>
          <w:sz w:val="20"/>
        </w:rPr>
      </w:pPr>
    </w:p>
    <w:p>
      <w:pPr>
        <w:pStyle w:val="BodyText"/>
        <w:rPr>
          <w:sz w:val="18"/>
        </w:rPr>
      </w:pPr>
    </w:p>
    <w:p>
      <w:pPr>
        <w:spacing w:before="97"/>
        <w:ind w:left="590" w:right="0" w:firstLine="0"/>
        <w:jc w:val="left"/>
        <w:rPr>
          <w:b/>
          <w:sz w:val="17"/>
        </w:rPr>
      </w:pPr>
      <w:bookmarkStart w:name="FORM ICR" w:id="14"/>
      <w:bookmarkEnd w:id="14"/>
      <w:r>
        <w:rPr/>
      </w:r>
      <w:r>
        <w:rPr>
          <w:b/>
          <w:sz w:val="17"/>
        </w:rPr>
        <w:t>Part I - General Administrative Share of Plant Services Costs</w:t>
      </w:r>
    </w:p>
    <w:p>
      <w:pPr>
        <w:spacing w:line="268" w:lineRule="auto" w:before="90"/>
        <w:ind w:left="590" w:right="932" w:firstLine="0"/>
        <w:jc w:val="left"/>
        <w:rPr>
          <w:sz w:val="17"/>
        </w:rPr>
      </w:pPr>
      <w:r>
        <w:rPr>
          <w:sz w:val="17"/>
        </w:rPr>
        <w:t>California's indirect cost plan allows that the general administrative costs in the indirect cost pool may include that portion of plant services costs (maintenance and operations costs and facilities rents and leases costs) attributable to the general administrative offices. The calculation of the plant services costs attributed to general administration and included in the pool is standardized and automated</w:t>
      </w:r>
    </w:p>
    <w:p>
      <w:pPr>
        <w:spacing w:line="268" w:lineRule="auto" w:before="0"/>
        <w:ind w:left="590" w:right="1868" w:firstLine="0"/>
        <w:jc w:val="left"/>
        <w:rPr>
          <w:sz w:val="17"/>
        </w:rPr>
      </w:pPr>
      <w:r>
        <w:rPr>
          <w:sz w:val="17"/>
        </w:rPr>
        <w:t>using the percentage of salaries and benefits relating to general administration as proxy for the percentage of square footage occupied by general administration.</w:t>
      </w:r>
    </w:p>
    <w:p>
      <w:pPr>
        <w:pStyle w:val="ListParagraph"/>
        <w:numPr>
          <w:ilvl w:val="0"/>
          <w:numId w:val="47"/>
        </w:numPr>
        <w:tabs>
          <w:tab w:pos="995" w:val="left" w:leader="none"/>
          <w:tab w:pos="996" w:val="left" w:leader="none"/>
        </w:tabs>
        <w:spacing w:line="240" w:lineRule="auto" w:before="132" w:after="0"/>
        <w:ind w:left="995" w:right="0" w:hanging="406"/>
        <w:jc w:val="left"/>
        <w:rPr>
          <w:b/>
          <w:sz w:val="17"/>
        </w:rPr>
      </w:pPr>
      <w:r>
        <w:rPr>
          <w:b/>
          <w:sz w:val="17"/>
        </w:rPr>
        <w:t>Salaries and Benefits - Other General Administration and Centralized Data</w:t>
      </w:r>
      <w:r>
        <w:rPr>
          <w:b/>
          <w:spacing w:val="6"/>
          <w:sz w:val="17"/>
        </w:rPr>
        <w:t> </w:t>
      </w:r>
      <w:r>
        <w:rPr>
          <w:b/>
          <w:sz w:val="17"/>
        </w:rPr>
        <w:t>Processing</w:t>
      </w:r>
    </w:p>
    <w:p>
      <w:pPr>
        <w:pStyle w:val="ListParagraph"/>
        <w:numPr>
          <w:ilvl w:val="1"/>
          <w:numId w:val="47"/>
        </w:numPr>
        <w:tabs>
          <w:tab w:pos="1310" w:val="left" w:leader="none"/>
        </w:tabs>
        <w:spacing w:line="240" w:lineRule="auto" w:before="49" w:after="0"/>
        <w:ind w:left="1309" w:right="0" w:hanging="288"/>
        <w:jc w:val="left"/>
        <w:rPr>
          <w:sz w:val="17"/>
        </w:rPr>
      </w:pPr>
      <w:r>
        <w:rPr>
          <w:sz w:val="17"/>
        </w:rPr>
        <w:t>Salaries and benefits paid through payroll (Funds 01, 09, and 62, objects 1000-3999 except</w:t>
      </w:r>
      <w:r>
        <w:rPr>
          <w:spacing w:val="15"/>
          <w:sz w:val="17"/>
        </w:rPr>
        <w:t> </w:t>
      </w:r>
      <w:r>
        <w:rPr>
          <w:sz w:val="17"/>
        </w:rPr>
        <w:t>3701-3702)</w:t>
      </w:r>
    </w:p>
    <w:p>
      <w:pPr>
        <w:tabs>
          <w:tab w:pos="10774" w:val="left" w:leader="none"/>
        </w:tabs>
        <w:spacing w:before="47"/>
        <w:ind w:left="1309" w:right="0" w:firstLine="0"/>
        <w:jc w:val="left"/>
        <w:rPr>
          <w:sz w:val="17"/>
        </w:rPr>
      </w:pPr>
      <w:r>
        <w:rPr>
          <w:sz w:val="17"/>
        </w:rPr>
        <w:t>(Functions 7200-7700, goals 0000</w:t>
      </w:r>
      <w:r>
        <w:rPr>
          <w:spacing w:val="24"/>
          <w:sz w:val="17"/>
        </w:rPr>
        <w:t> </w:t>
      </w:r>
      <w:r>
        <w:rPr>
          <w:sz w:val="17"/>
        </w:rPr>
        <w:t>and</w:t>
      </w:r>
      <w:r>
        <w:rPr>
          <w:spacing w:val="5"/>
          <w:sz w:val="17"/>
        </w:rPr>
        <w:t> </w:t>
      </w:r>
      <w:r>
        <w:rPr>
          <w:sz w:val="17"/>
        </w:rPr>
        <w:t>9000)</w:t>
        <w:tab/>
        <w:t>62,433.00</w:t>
      </w:r>
    </w:p>
    <w:p>
      <w:pPr>
        <w:pStyle w:val="ListParagraph"/>
        <w:numPr>
          <w:ilvl w:val="1"/>
          <w:numId w:val="47"/>
        </w:numPr>
        <w:tabs>
          <w:tab w:pos="1310" w:val="left" w:leader="none"/>
        </w:tabs>
        <w:spacing w:line="240" w:lineRule="auto" w:before="47" w:after="0"/>
        <w:ind w:left="1309" w:right="0" w:hanging="288"/>
        <w:jc w:val="left"/>
        <w:rPr>
          <w:sz w:val="17"/>
        </w:rPr>
      </w:pPr>
      <w:r>
        <w:rPr>
          <w:sz w:val="17"/>
        </w:rPr>
        <w:t>Contracted general administrative positions not paid through</w:t>
      </w:r>
      <w:r>
        <w:rPr>
          <w:spacing w:val="1"/>
          <w:sz w:val="17"/>
        </w:rPr>
        <w:t> </w:t>
      </w:r>
      <w:r>
        <w:rPr>
          <w:sz w:val="17"/>
        </w:rPr>
        <w:t>payroll</w:t>
      </w:r>
    </w:p>
    <w:p>
      <w:pPr>
        <w:pStyle w:val="ListParagraph"/>
        <w:numPr>
          <w:ilvl w:val="2"/>
          <w:numId w:val="47"/>
        </w:numPr>
        <w:tabs>
          <w:tab w:pos="1598" w:val="left" w:leader="none"/>
        </w:tabs>
        <w:spacing w:line="297" w:lineRule="auto" w:before="47" w:after="0"/>
        <w:ind w:left="1597" w:right="2463" w:hanging="288"/>
        <w:jc w:val="left"/>
        <w:rPr>
          <w:sz w:val="17"/>
        </w:rPr>
      </w:pPr>
      <w:r>
        <w:rPr>
          <w:sz w:val="17"/>
        </w:rPr>
        <w:t>Enter the costs, if any, of general administrative positions performing services ON SITE but paid through a contract, rather than through payroll, in functions 7200-7700, goals 0000 and 9000, Object</w:t>
      </w:r>
      <w:r>
        <w:rPr>
          <w:spacing w:val="34"/>
          <w:sz w:val="17"/>
        </w:rPr>
        <w:t> </w:t>
      </w:r>
      <w:r>
        <w:rPr>
          <w:sz w:val="17"/>
        </w:rPr>
        <w:t>5800.</w:t>
      </w:r>
    </w:p>
    <w:p>
      <w:pPr>
        <w:pStyle w:val="ListParagraph"/>
        <w:numPr>
          <w:ilvl w:val="2"/>
          <w:numId w:val="47"/>
        </w:numPr>
        <w:tabs>
          <w:tab w:pos="1598" w:val="left" w:leader="none"/>
        </w:tabs>
        <w:spacing w:line="171" w:lineRule="exact" w:before="0" w:after="0"/>
        <w:ind w:left="1597" w:right="0" w:hanging="289"/>
        <w:jc w:val="left"/>
        <w:rPr>
          <w:sz w:val="17"/>
        </w:rPr>
      </w:pPr>
      <w:r>
        <w:rPr>
          <w:sz w:val="17"/>
        </w:rPr>
        <w:t>If an amount is entered on Line A2a, provide the title, duties, and approximate FTE of each</w:t>
      </w:r>
      <w:r>
        <w:rPr>
          <w:spacing w:val="20"/>
          <w:sz w:val="17"/>
        </w:rPr>
        <w:t> </w:t>
      </w:r>
      <w:r>
        <w:rPr>
          <w:sz w:val="17"/>
        </w:rPr>
        <w:t>general</w:t>
      </w:r>
    </w:p>
    <w:p>
      <w:pPr>
        <w:spacing w:before="23"/>
        <w:ind w:left="1597" w:right="0" w:firstLine="0"/>
        <w:jc w:val="left"/>
        <w:rPr>
          <w:sz w:val="17"/>
        </w:rPr>
      </w:pPr>
      <w:r>
        <w:rPr>
          <w:sz w:val="17"/>
        </w:rPr>
        <w:t>administrative position paid through a contract. Retain supporting documentation in case of audit.</w:t>
      </w:r>
    </w:p>
    <w:p>
      <w:pPr>
        <w:pStyle w:val="BodyText"/>
        <w:rPr>
          <w:sz w:val="20"/>
        </w:rPr>
      </w:pPr>
    </w:p>
    <w:p>
      <w:pPr>
        <w:pStyle w:val="BodyText"/>
        <w:rPr>
          <w:sz w:val="20"/>
        </w:rPr>
      </w:pPr>
    </w:p>
    <w:p>
      <w:pPr>
        <w:pStyle w:val="BodyText"/>
        <w:rPr>
          <w:sz w:val="20"/>
        </w:rPr>
      </w:pPr>
    </w:p>
    <w:p>
      <w:pPr>
        <w:pStyle w:val="BodyText"/>
        <w:spacing w:before="1"/>
        <w:rPr>
          <w:sz w:val="29"/>
        </w:rPr>
      </w:pPr>
    </w:p>
    <w:p>
      <w:pPr>
        <w:pStyle w:val="ListParagraph"/>
        <w:numPr>
          <w:ilvl w:val="0"/>
          <w:numId w:val="47"/>
        </w:numPr>
        <w:tabs>
          <w:tab w:pos="1002" w:val="left" w:leader="none"/>
          <w:tab w:pos="1003" w:val="left" w:leader="none"/>
        </w:tabs>
        <w:spacing w:line="240" w:lineRule="auto" w:before="97" w:after="0"/>
        <w:ind w:left="1002" w:right="0" w:hanging="413"/>
        <w:jc w:val="left"/>
        <w:rPr>
          <w:b/>
          <w:sz w:val="17"/>
        </w:rPr>
      </w:pPr>
      <w:r>
        <w:rPr>
          <w:b/>
          <w:sz w:val="17"/>
        </w:rPr>
        <w:t>Salaries and Benefits - </w:t>
      </w:r>
      <w:r>
        <w:rPr>
          <w:b/>
          <w:spacing w:val="-3"/>
          <w:sz w:val="17"/>
        </w:rPr>
        <w:t>All </w:t>
      </w:r>
      <w:r>
        <w:rPr>
          <w:b/>
          <w:sz w:val="17"/>
        </w:rPr>
        <w:t>Other</w:t>
      </w:r>
      <w:r>
        <w:rPr>
          <w:b/>
          <w:spacing w:val="3"/>
          <w:sz w:val="17"/>
        </w:rPr>
        <w:t> </w:t>
      </w:r>
      <w:r>
        <w:rPr>
          <w:b/>
          <w:sz w:val="17"/>
        </w:rPr>
        <w:t>Activities</w:t>
      </w:r>
    </w:p>
    <w:p>
      <w:pPr>
        <w:pStyle w:val="ListParagraph"/>
        <w:numPr>
          <w:ilvl w:val="1"/>
          <w:numId w:val="47"/>
        </w:numPr>
        <w:tabs>
          <w:tab w:pos="1310" w:val="left" w:leader="none"/>
        </w:tabs>
        <w:spacing w:line="240" w:lineRule="auto" w:before="26" w:after="0"/>
        <w:ind w:left="1309" w:right="0" w:hanging="288"/>
        <w:jc w:val="left"/>
        <w:rPr>
          <w:sz w:val="17"/>
        </w:rPr>
      </w:pPr>
      <w:r>
        <w:rPr>
          <w:sz w:val="17"/>
        </w:rPr>
        <w:t>Salaries and benefits paid through payroll (Funds 01, 09, and 62, objects 1000-3999 except</w:t>
      </w:r>
      <w:r>
        <w:rPr>
          <w:spacing w:val="15"/>
          <w:sz w:val="17"/>
        </w:rPr>
        <w:t> </w:t>
      </w:r>
      <w:r>
        <w:rPr>
          <w:sz w:val="17"/>
        </w:rPr>
        <w:t>3701-3702)</w:t>
      </w:r>
    </w:p>
    <w:p>
      <w:pPr>
        <w:tabs>
          <w:tab w:pos="10534" w:val="left" w:leader="none"/>
        </w:tabs>
        <w:spacing w:before="22"/>
        <w:ind w:left="1309" w:right="0" w:firstLine="0"/>
        <w:jc w:val="left"/>
        <w:rPr>
          <w:sz w:val="17"/>
        </w:rPr>
      </w:pPr>
      <w:r>
        <w:rPr>
          <w:sz w:val="17"/>
        </w:rPr>
        <w:t>(Functions</w:t>
      </w:r>
      <w:r>
        <w:rPr>
          <w:spacing w:val="7"/>
          <w:sz w:val="17"/>
        </w:rPr>
        <w:t> </w:t>
      </w:r>
      <w:r>
        <w:rPr>
          <w:sz w:val="17"/>
        </w:rPr>
        <w:t>1000-6999,</w:t>
      </w:r>
      <w:r>
        <w:rPr>
          <w:spacing w:val="6"/>
          <w:sz w:val="17"/>
        </w:rPr>
        <w:t> </w:t>
      </w:r>
      <w:r>
        <w:rPr>
          <w:sz w:val="17"/>
        </w:rPr>
        <w:t>7100-7180,</w:t>
      </w:r>
      <w:r>
        <w:rPr>
          <w:spacing w:val="6"/>
          <w:sz w:val="17"/>
        </w:rPr>
        <w:t> </w:t>
      </w:r>
      <w:r>
        <w:rPr>
          <w:sz w:val="17"/>
        </w:rPr>
        <w:t>&amp;</w:t>
      </w:r>
      <w:r>
        <w:rPr>
          <w:spacing w:val="6"/>
          <w:sz w:val="17"/>
        </w:rPr>
        <w:t> </w:t>
      </w:r>
      <w:r>
        <w:rPr>
          <w:sz w:val="17"/>
        </w:rPr>
        <w:t>8100-8400;</w:t>
      </w:r>
      <w:r>
        <w:rPr>
          <w:spacing w:val="7"/>
          <w:sz w:val="17"/>
        </w:rPr>
        <w:t> </w:t>
      </w:r>
      <w:r>
        <w:rPr>
          <w:sz w:val="17"/>
        </w:rPr>
        <w:t>Functions</w:t>
      </w:r>
      <w:r>
        <w:rPr>
          <w:spacing w:val="6"/>
          <w:sz w:val="17"/>
        </w:rPr>
        <w:t> </w:t>
      </w:r>
      <w:r>
        <w:rPr>
          <w:sz w:val="17"/>
        </w:rPr>
        <w:t>7200-7700,</w:t>
      </w:r>
      <w:r>
        <w:rPr>
          <w:spacing w:val="6"/>
          <w:sz w:val="17"/>
        </w:rPr>
        <w:t> </w:t>
      </w:r>
      <w:r>
        <w:rPr>
          <w:sz w:val="17"/>
        </w:rPr>
        <w:t>all</w:t>
      </w:r>
      <w:r>
        <w:rPr>
          <w:spacing w:val="6"/>
          <w:sz w:val="17"/>
        </w:rPr>
        <w:t> </w:t>
      </w:r>
      <w:r>
        <w:rPr>
          <w:sz w:val="17"/>
        </w:rPr>
        <w:t>goals</w:t>
      </w:r>
      <w:r>
        <w:rPr>
          <w:spacing w:val="5"/>
          <w:sz w:val="17"/>
        </w:rPr>
        <w:t> </w:t>
      </w:r>
      <w:r>
        <w:rPr>
          <w:sz w:val="17"/>
        </w:rPr>
        <w:t>except</w:t>
      </w:r>
      <w:r>
        <w:rPr>
          <w:spacing w:val="6"/>
          <w:sz w:val="17"/>
        </w:rPr>
        <w:t> </w:t>
      </w:r>
      <w:r>
        <w:rPr>
          <w:sz w:val="17"/>
        </w:rPr>
        <w:t>0000</w:t>
      </w:r>
      <w:r>
        <w:rPr>
          <w:spacing w:val="7"/>
          <w:sz w:val="17"/>
        </w:rPr>
        <w:t> </w:t>
      </w:r>
      <w:r>
        <w:rPr>
          <w:sz w:val="17"/>
        </w:rPr>
        <w:t>&amp;</w:t>
      </w:r>
      <w:r>
        <w:rPr>
          <w:spacing w:val="6"/>
          <w:sz w:val="17"/>
        </w:rPr>
        <w:t> </w:t>
      </w:r>
      <w:r>
        <w:rPr>
          <w:sz w:val="17"/>
        </w:rPr>
        <w:t>9000)</w:t>
        <w:tab/>
        <w:t>1,268,429.00</w:t>
      </w:r>
    </w:p>
    <w:p>
      <w:pPr>
        <w:pStyle w:val="BodyText"/>
        <w:spacing w:before="5"/>
        <w:rPr>
          <w:sz w:val="12"/>
        </w:rPr>
      </w:pPr>
    </w:p>
    <w:p>
      <w:pPr>
        <w:pStyle w:val="ListParagraph"/>
        <w:numPr>
          <w:ilvl w:val="0"/>
          <w:numId w:val="47"/>
        </w:numPr>
        <w:tabs>
          <w:tab w:pos="1002" w:val="left" w:leader="none"/>
          <w:tab w:pos="1003" w:val="left" w:leader="none"/>
        </w:tabs>
        <w:spacing w:line="240" w:lineRule="auto" w:before="96" w:after="0"/>
        <w:ind w:left="1002" w:right="0" w:hanging="413"/>
        <w:jc w:val="left"/>
        <w:rPr>
          <w:b/>
          <w:sz w:val="17"/>
        </w:rPr>
      </w:pPr>
      <w:r>
        <w:rPr>
          <w:b/>
          <w:sz w:val="17"/>
        </w:rPr>
        <w:t>Percentage of Plant Services Costs Attributable to General Administration</w:t>
      </w:r>
    </w:p>
    <w:p>
      <w:pPr>
        <w:tabs>
          <w:tab w:pos="11110" w:val="left" w:leader="none"/>
        </w:tabs>
        <w:spacing w:before="26"/>
        <w:ind w:left="1022" w:right="0" w:firstLine="0"/>
        <w:jc w:val="left"/>
        <w:rPr>
          <w:sz w:val="17"/>
        </w:rPr>
      </w:pPr>
      <w:r>
        <w:rPr>
          <w:sz w:val="17"/>
        </w:rPr>
        <w:t>(Line</w:t>
      </w:r>
      <w:r>
        <w:rPr>
          <w:spacing w:val="4"/>
          <w:sz w:val="17"/>
        </w:rPr>
        <w:t> </w:t>
      </w:r>
      <w:r>
        <w:rPr>
          <w:sz w:val="17"/>
        </w:rPr>
        <w:t>A1</w:t>
      </w:r>
      <w:r>
        <w:rPr>
          <w:spacing w:val="3"/>
          <w:sz w:val="17"/>
        </w:rPr>
        <w:t> </w:t>
      </w:r>
      <w:r>
        <w:rPr>
          <w:sz w:val="17"/>
        </w:rPr>
        <w:t>plus</w:t>
      </w:r>
      <w:r>
        <w:rPr>
          <w:spacing w:val="4"/>
          <w:sz w:val="17"/>
        </w:rPr>
        <w:t> </w:t>
      </w:r>
      <w:r>
        <w:rPr>
          <w:sz w:val="17"/>
        </w:rPr>
        <w:t>Line</w:t>
      </w:r>
      <w:r>
        <w:rPr>
          <w:spacing w:val="4"/>
          <w:sz w:val="17"/>
        </w:rPr>
        <w:t> </w:t>
      </w:r>
      <w:r>
        <w:rPr>
          <w:sz w:val="17"/>
        </w:rPr>
        <w:t>A2a,</w:t>
      </w:r>
      <w:r>
        <w:rPr>
          <w:spacing w:val="4"/>
          <w:sz w:val="17"/>
        </w:rPr>
        <w:t> </w:t>
      </w:r>
      <w:r>
        <w:rPr>
          <w:sz w:val="17"/>
        </w:rPr>
        <w:t>divided</w:t>
      </w:r>
      <w:r>
        <w:rPr>
          <w:spacing w:val="4"/>
          <w:sz w:val="17"/>
        </w:rPr>
        <w:t> </w:t>
      </w:r>
      <w:r>
        <w:rPr>
          <w:sz w:val="17"/>
        </w:rPr>
        <w:t>by</w:t>
      </w:r>
      <w:r>
        <w:rPr>
          <w:spacing w:val="2"/>
          <w:sz w:val="17"/>
        </w:rPr>
        <w:t> </w:t>
      </w:r>
      <w:r>
        <w:rPr>
          <w:sz w:val="17"/>
        </w:rPr>
        <w:t>Line</w:t>
      </w:r>
      <w:r>
        <w:rPr>
          <w:spacing w:val="5"/>
          <w:sz w:val="17"/>
        </w:rPr>
        <w:t> </w:t>
      </w:r>
      <w:r>
        <w:rPr>
          <w:sz w:val="17"/>
        </w:rPr>
        <w:t>B1;</w:t>
      </w:r>
      <w:r>
        <w:rPr>
          <w:spacing w:val="4"/>
          <w:sz w:val="17"/>
        </w:rPr>
        <w:t> </w:t>
      </w:r>
      <w:r>
        <w:rPr>
          <w:sz w:val="17"/>
        </w:rPr>
        <w:t>zero</w:t>
      </w:r>
      <w:r>
        <w:rPr>
          <w:spacing w:val="3"/>
          <w:sz w:val="17"/>
        </w:rPr>
        <w:t> </w:t>
      </w:r>
      <w:r>
        <w:rPr>
          <w:sz w:val="17"/>
        </w:rPr>
        <w:t>if</w:t>
      </w:r>
      <w:r>
        <w:rPr>
          <w:spacing w:val="6"/>
          <w:sz w:val="17"/>
        </w:rPr>
        <w:t> </w:t>
      </w:r>
      <w:r>
        <w:rPr>
          <w:sz w:val="17"/>
        </w:rPr>
        <w:t>negative)</w:t>
      </w:r>
      <w:r>
        <w:rPr>
          <w:spacing w:val="5"/>
          <w:sz w:val="17"/>
        </w:rPr>
        <w:t> </w:t>
      </w:r>
      <w:r>
        <w:rPr>
          <w:sz w:val="17"/>
        </w:rPr>
        <w:t>(See</w:t>
      </w:r>
      <w:r>
        <w:rPr>
          <w:spacing w:val="5"/>
          <w:sz w:val="17"/>
        </w:rPr>
        <w:t> </w:t>
      </w:r>
      <w:r>
        <w:rPr>
          <w:sz w:val="17"/>
        </w:rPr>
        <w:t>Part</w:t>
      </w:r>
      <w:r>
        <w:rPr>
          <w:spacing w:val="3"/>
          <w:sz w:val="17"/>
        </w:rPr>
        <w:t> </w:t>
      </w:r>
      <w:r>
        <w:rPr>
          <w:sz w:val="17"/>
        </w:rPr>
        <w:t>III,</w:t>
      </w:r>
      <w:r>
        <w:rPr>
          <w:spacing w:val="4"/>
          <w:sz w:val="17"/>
        </w:rPr>
        <w:t> </w:t>
      </w:r>
      <w:r>
        <w:rPr>
          <w:sz w:val="17"/>
        </w:rPr>
        <w:t>Lines</w:t>
      </w:r>
      <w:r>
        <w:rPr>
          <w:spacing w:val="4"/>
          <w:sz w:val="17"/>
        </w:rPr>
        <w:t> </w:t>
      </w:r>
      <w:r>
        <w:rPr>
          <w:sz w:val="17"/>
        </w:rPr>
        <w:t>A5</w:t>
      </w:r>
      <w:r>
        <w:rPr>
          <w:spacing w:val="4"/>
          <w:sz w:val="17"/>
        </w:rPr>
        <w:t> </w:t>
      </w:r>
      <w:r>
        <w:rPr>
          <w:sz w:val="17"/>
        </w:rPr>
        <w:t>and</w:t>
      </w:r>
      <w:r>
        <w:rPr>
          <w:spacing w:val="4"/>
          <w:sz w:val="17"/>
        </w:rPr>
        <w:t> </w:t>
      </w:r>
      <w:r>
        <w:rPr>
          <w:sz w:val="17"/>
        </w:rPr>
        <w:t>A6)</w:t>
        <w:tab/>
        <w:t>4.92%</w:t>
      </w:r>
    </w:p>
    <w:p>
      <w:pPr>
        <w:pStyle w:val="BodyText"/>
        <w:rPr>
          <w:sz w:val="20"/>
        </w:rPr>
      </w:pPr>
    </w:p>
    <w:p>
      <w:pPr>
        <w:pStyle w:val="BodyText"/>
        <w:spacing w:before="10"/>
        <w:rPr>
          <w:sz w:val="23"/>
        </w:rPr>
      </w:pPr>
    </w:p>
    <w:p>
      <w:pPr>
        <w:spacing w:before="1"/>
        <w:ind w:left="590" w:right="0" w:firstLine="0"/>
        <w:jc w:val="both"/>
        <w:rPr>
          <w:b/>
          <w:sz w:val="17"/>
        </w:rPr>
      </w:pPr>
      <w:r>
        <w:rPr>
          <w:b/>
          <w:sz w:val="17"/>
        </w:rPr>
        <w:t>Part II - Adjustments for Employment Separation Costs</w:t>
      </w:r>
    </w:p>
    <w:p>
      <w:pPr>
        <w:spacing w:line="268" w:lineRule="auto" w:before="73"/>
        <w:ind w:left="590" w:right="1082" w:firstLine="0"/>
        <w:jc w:val="both"/>
        <w:rPr>
          <w:sz w:val="17"/>
        </w:rPr>
      </w:pPr>
      <w:r>
        <w:rPr>
          <w:spacing w:val="2"/>
          <w:sz w:val="17"/>
        </w:rPr>
        <w:t>When </w:t>
      </w:r>
      <w:r>
        <w:rPr>
          <w:sz w:val="17"/>
        </w:rPr>
        <w:t>an employee separates from service, the local educational agency (LEA) may incur costs associated with the separation in addition to the employee's regular salary and benefits for the final pay period. These additional costs can be categorized as "normal" or "abnormal or mass" separation costs.</w:t>
      </w:r>
    </w:p>
    <w:p>
      <w:pPr>
        <w:pStyle w:val="BodyText"/>
        <w:spacing w:before="5"/>
        <w:rPr>
          <w:sz w:val="10"/>
        </w:rPr>
      </w:pPr>
    </w:p>
    <w:p>
      <w:pPr>
        <w:spacing w:line="268" w:lineRule="auto" w:before="97"/>
        <w:ind w:left="590" w:right="1145" w:firstLine="0"/>
        <w:jc w:val="left"/>
        <w:rPr>
          <w:sz w:val="17"/>
        </w:rPr>
      </w:pPr>
      <w:r>
        <w:rPr>
          <w:sz w:val="17"/>
        </w:rPr>
        <w:t>Normal separation costs include items such as pay for accumulated unused leave or routine severance pay authorized by governing board policy. Normal separation costs are not allowable as direct costs to federal programs, but are allowable as indirect costs. State programs may have similar restrictions. </w:t>
      </w:r>
      <w:r>
        <w:rPr>
          <w:spacing w:val="2"/>
          <w:sz w:val="17"/>
        </w:rPr>
        <w:t>Where </w:t>
      </w:r>
      <w:r>
        <w:rPr>
          <w:sz w:val="17"/>
        </w:rPr>
        <w:t>federal or state program guidelines required that the LEA charge an employee's normal separation costs to an unrestricted resource rather than to the restricted program in which the employee worked, the LEA may identify and enter    these costs on Line A for inclusion in the indirect cost</w:t>
      </w:r>
      <w:r>
        <w:rPr>
          <w:spacing w:val="3"/>
          <w:sz w:val="17"/>
        </w:rPr>
        <w:t> </w:t>
      </w:r>
      <w:r>
        <w:rPr>
          <w:sz w:val="17"/>
        </w:rPr>
        <w:t>pool.</w:t>
      </w:r>
    </w:p>
    <w:p>
      <w:pPr>
        <w:pStyle w:val="BodyText"/>
        <w:spacing w:before="4"/>
        <w:rPr>
          <w:sz w:val="10"/>
        </w:rPr>
      </w:pPr>
    </w:p>
    <w:p>
      <w:pPr>
        <w:spacing w:line="268" w:lineRule="auto" w:before="96"/>
        <w:ind w:left="590" w:right="932" w:firstLine="0"/>
        <w:jc w:val="left"/>
        <w:rPr>
          <w:sz w:val="17"/>
        </w:rPr>
      </w:pPr>
      <w:r>
        <w:rPr>
          <w:sz w:val="17"/>
        </w:rPr>
        <w:t>Abnormal or mass separation costs are those costs resulting from actions taken by an LEA to influence employees to terminate their employment earlier than they normally would have. Abnormal or mass separation costs include retirement incentives such as a Golden Handshake or severance packages negotiated to effect termination. Abnormal or mass separation costs may not be charged to federal programs as either direct costs or indirect costs. Where an LEA paid abnormal or mass separation costs on behalf of positions in general administrative functions included in the indirect cost pool, the LEA must identify and enter these costs on Line B for exclusion from the pool.</w:t>
      </w:r>
    </w:p>
    <w:p>
      <w:pPr>
        <w:pStyle w:val="ListParagraph"/>
        <w:numPr>
          <w:ilvl w:val="0"/>
          <w:numId w:val="48"/>
        </w:numPr>
        <w:tabs>
          <w:tab w:pos="995" w:val="left" w:leader="none"/>
          <w:tab w:pos="996" w:val="left" w:leader="none"/>
        </w:tabs>
        <w:spacing w:line="240" w:lineRule="auto" w:before="139" w:after="0"/>
        <w:ind w:left="995" w:right="0" w:hanging="406"/>
        <w:jc w:val="left"/>
        <w:rPr>
          <w:b/>
          <w:sz w:val="17"/>
        </w:rPr>
      </w:pPr>
      <w:r>
        <w:rPr>
          <w:b/>
          <w:sz w:val="17"/>
        </w:rPr>
        <w:t>Normal Separation Costs (optional)</w:t>
      </w:r>
    </w:p>
    <w:p>
      <w:pPr>
        <w:spacing w:before="26"/>
        <w:ind w:left="1022" w:right="0" w:firstLine="0"/>
        <w:jc w:val="left"/>
        <w:rPr>
          <w:sz w:val="17"/>
        </w:rPr>
      </w:pPr>
      <w:r>
        <w:rPr>
          <w:sz w:val="17"/>
        </w:rPr>
        <w:t>Enter any normal separation costs paid on behalf of employees of restricted state or federal programs that</w:t>
      </w:r>
    </w:p>
    <w:p>
      <w:pPr>
        <w:spacing w:line="268" w:lineRule="auto" w:before="23"/>
        <w:ind w:left="1022" w:right="1868" w:firstLine="0"/>
        <w:jc w:val="left"/>
        <w:rPr>
          <w:sz w:val="17"/>
        </w:rPr>
      </w:pPr>
      <w:r>
        <w:rPr>
          <w:sz w:val="17"/>
        </w:rPr>
        <w:t>were charged to an unrestricted resource (0000-1999) in funds 01, 09, and 62 with functions 1000-6999 or 8100-8400 rather than to the restricted program. These costs will be moved in Part III from base costs to the indirect cost pool.</w:t>
      </w:r>
    </w:p>
    <w:p>
      <w:pPr>
        <w:spacing w:line="194" w:lineRule="exact" w:before="0"/>
        <w:ind w:left="1022" w:right="0" w:firstLine="0"/>
        <w:jc w:val="left"/>
        <w:rPr>
          <w:sz w:val="17"/>
        </w:rPr>
      </w:pPr>
      <w:r>
        <w:rPr>
          <w:sz w:val="17"/>
        </w:rPr>
        <w:t>Retain supporting documentation.</w:t>
      </w:r>
    </w:p>
    <w:p>
      <w:pPr>
        <w:pStyle w:val="BodyText"/>
        <w:spacing w:before="4"/>
        <w:rPr>
          <w:sz w:val="12"/>
        </w:rPr>
      </w:pPr>
    </w:p>
    <w:p>
      <w:pPr>
        <w:pStyle w:val="ListParagraph"/>
        <w:numPr>
          <w:ilvl w:val="0"/>
          <w:numId w:val="48"/>
        </w:numPr>
        <w:tabs>
          <w:tab w:pos="1002" w:val="left" w:leader="none"/>
          <w:tab w:pos="1003" w:val="left" w:leader="none"/>
        </w:tabs>
        <w:spacing w:line="240" w:lineRule="auto" w:before="96" w:after="0"/>
        <w:ind w:left="1002" w:right="0" w:hanging="413"/>
        <w:jc w:val="left"/>
        <w:rPr>
          <w:b/>
          <w:sz w:val="17"/>
        </w:rPr>
      </w:pPr>
      <w:r>
        <w:rPr>
          <w:b/>
          <w:sz w:val="17"/>
        </w:rPr>
        <w:t>Abnormal or Mass Separation Costs (required)</w:t>
      </w:r>
    </w:p>
    <w:p>
      <w:pPr>
        <w:spacing w:line="268" w:lineRule="auto" w:before="26"/>
        <w:ind w:left="1022" w:right="2366" w:firstLine="0"/>
        <w:jc w:val="left"/>
        <w:rPr>
          <w:sz w:val="17"/>
        </w:rPr>
      </w:pPr>
      <w:r>
        <w:rPr>
          <w:sz w:val="17"/>
        </w:rPr>
        <w:t>Enter any abnormal or mass separation costs paid on behalf of general administrative positions charged to unrestricted resources (0000-1999) in funds 01, 09, and 62 with functions 7200-7700. These costs will be</w:t>
      </w:r>
    </w:p>
    <w:p>
      <w:pPr>
        <w:tabs>
          <w:tab w:pos="11206" w:val="left" w:leader="none"/>
        </w:tabs>
        <w:spacing w:line="194" w:lineRule="exact" w:before="0"/>
        <w:ind w:left="1022" w:right="0" w:firstLine="0"/>
        <w:jc w:val="left"/>
        <w:rPr>
          <w:sz w:val="17"/>
        </w:rPr>
      </w:pPr>
      <w:r>
        <w:rPr>
          <w:sz w:val="17"/>
        </w:rPr>
        <w:t>moved in Part III from the indirect cost pool to base costs. If </w:t>
      </w:r>
      <w:r>
        <w:rPr>
          <w:spacing w:val="9"/>
          <w:sz w:val="17"/>
        </w:rPr>
        <w:t> </w:t>
      </w:r>
      <w:r>
        <w:rPr>
          <w:sz w:val="17"/>
        </w:rPr>
        <w:t>none, enter</w:t>
      </w:r>
      <w:r>
        <w:rPr>
          <w:spacing w:val="4"/>
          <w:sz w:val="17"/>
        </w:rPr>
        <w:t> </w:t>
      </w:r>
      <w:r>
        <w:rPr>
          <w:sz w:val="17"/>
        </w:rPr>
        <w:t>zero.</w:t>
        <w:tab/>
        <w:t>0.00</w:t>
      </w:r>
    </w:p>
    <w:p>
      <w:pPr>
        <w:spacing w:after="0" w:line="194" w:lineRule="exact"/>
        <w:jc w:val="left"/>
        <w:rPr>
          <w:sz w:val="17"/>
        </w:rPr>
        <w:sectPr>
          <w:headerReference w:type="default" r:id="rId1120"/>
          <w:footerReference w:type="default" r:id="rId1121"/>
          <w:pgSz w:w="12240" w:h="15840"/>
          <w:pgMar w:header="309" w:footer="693" w:top="880" w:bottom="880" w:left="40" w:right="40"/>
          <w:pgNumType w:start="1"/>
        </w:sectPr>
      </w:pPr>
    </w:p>
    <w:p>
      <w:pPr>
        <w:pStyle w:val="BodyText"/>
        <w:spacing w:before="5"/>
        <w:rPr>
          <w:sz w:val="29"/>
        </w:rPr>
      </w:pPr>
      <w:r>
        <w:rPr/>
        <w:pict>
          <v:group style="position:absolute;margin-left:17.280001pt;margin-top:61.320004pt;width:577.35pt;height:666.25pt;mso-position-horizontal-relative:page;mso-position-vertical-relative:page;z-index:-314155008" coordorigin="346,1226" coordsize="11547,13325">
            <v:shape style="position:absolute;left:345;top:1226;width:11547;height:300" type="#_x0000_t75" stroked="false">
              <v:imagedata r:id="rId1128" o:title=""/>
            </v:shape>
            <v:shape style="position:absolute;left:9957;top:2248;width:1721;height:8" type="#_x0000_t75" stroked="false">
              <v:imagedata r:id="rId1123" o:title=""/>
            </v:shape>
            <v:shape style="position:absolute;left:9957;top:2733;width:1721;height:8" type="#_x0000_t75" stroked="false">
              <v:imagedata r:id="rId1123" o:title=""/>
            </v:shape>
            <v:shape style="position:absolute;left:9957;top:3247;width:1721;height:8" type="#_x0000_t75" stroked="false">
              <v:imagedata r:id="rId1123" o:title=""/>
            </v:shape>
            <v:shape style="position:absolute;left:9957;top:3729;width:1721;height:8" type="#_x0000_t75" stroked="false">
              <v:imagedata r:id="rId1123" o:title=""/>
            </v:shape>
            <v:shape style="position:absolute;left:9957;top:4190;width:1721;height:8" type="#_x0000_t75" stroked="false">
              <v:imagedata r:id="rId1123" o:title=""/>
            </v:shape>
            <v:shape style="position:absolute;left:9957;top:4627;width:1721;height:8" type="#_x0000_t75" stroked="false">
              <v:imagedata r:id="rId1123" o:title=""/>
            </v:shape>
            <v:shape style="position:absolute;left:9957;top:5064;width:1721;height:8" type="#_x0000_t75" stroked="false">
              <v:imagedata r:id="rId1123" o:title=""/>
            </v:shape>
            <v:shape style="position:absolute;left:9957;top:5306;width:1721;height:8" type="#_x0000_t75" stroked="false">
              <v:imagedata r:id="rId1123" o:title=""/>
            </v:shape>
            <v:shape style="position:absolute;left:9957;top:5524;width:1721;height:8" type="#_x0000_t75" stroked="false">
              <v:imagedata r:id="rId1123" o:title=""/>
            </v:shape>
            <v:shape style="position:absolute;left:9957;top:5743;width:1721;height:8" type="#_x0000_t75" stroked="false">
              <v:imagedata r:id="rId1123" o:title=""/>
            </v:shape>
            <v:shape style="position:absolute;left:9957;top:5961;width:1721;height:8" type="#_x0000_t75" stroked="false">
              <v:imagedata r:id="rId1123" o:title=""/>
            </v:shape>
            <v:shape style="position:absolute;left:9957;top:6444;width:1721;height:8" type="#_x0000_t75" stroked="false">
              <v:imagedata r:id="rId1123" o:title=""/>
            </v:shape>
            <v:shape style="position:absolute;left:9957;top:6686;width:1721;height:8" type="#_x0000_t75" stroked="false">
              <v:imagedata r:id="rId1123" o:title=""/>
            </v:shape>
            <v:shape style="position:absolute;left:9957;top:6928;width:1721;height:8" type="#_x0000_t75" stroked="false">
              <v:imagedata r:id="rId1123" o:title=""/>
            </v:shape>
            <v:shape style="position:absolute;left:9957;top:7171;width:1721;height:8" type="#_x0000_t75" stroked="false">
              <v:imagedata r:id="rId1123" o:title=""/>
            </v:shape>
            <v:shape style="position:absolute;left:9957;top:7413;width:1721;height:8" type="#_x0000_t75" stroked="false">
              <v:imagedata r:id="rId1123" o:title=""/>
            </v:shape>
            <v:shape style="position:absolute;left:9957;top:7656;width:1721;height:8" type="#_x0000_t75" stroked="false">
              <v:imagedata r:id="rId1123" o:title=""/>
            </v:shape>
            <v:shape style="position:absolute;left:9957;top:8107;width:1721;height:8" type="#_x0000_t75" stroked="false">
              <v:imagedata r:id="rId1123" o:title=""/>
            </v:shape>
            <v:shape style="position:absolute;left:9957;top:8558;width:1721;height:8" type="#_x0000_t75" stroked="false">
              <v:imagedata r:id="rId1123" o:title=""/>
            </v:shape>
            <v:shape style="position:absolute;left:9957;top:9261;width:1721;height:8" type="#_x0000_t75" stroked="false">
              <v:imagedata r:id="rId1123" o:title=""/>
            </v:shape>
            <v:shape style="position:absolute;left:9957;top:9964;width:1721;height:8" type="#_x0000_t75" stroked="false">
              <v:imagedata r:id="rId1123" o:title=""/>
            </v:shape>
            <v:shape style="position:absolute;left:345;top:1281;width:11547;height:13270" type="#_x0000_t75" stroked="false">
              <v:imagedata r:id="rId1129" o:title=""/>
            </v:shape>
            <v:shape style="position:absolute;left:9957;top:10425;width:1721;height:8" type="#_x0000_t75" stroked="false">
              <v:imagedata r:id="rId1123" o:title=""/>
            </v:shape>
            <v:shape style="position:absolute;left:9957;top:10910;width:1721;height:8" type="#_x0000_t75" stroked="false">
              <v:imagedata r:id="rId1123" o:title=""/>
            </v:shape>
            <v:shape style="position:absolute;left:9957;top:11347;width:1721;height:8" type="#_x0000_t75" stroked="false">
              <v:imagedata r:id="rId1123" o:title=""/>
            </v:shape>
            <v:shape style="position:absolute;left:9957;top:11565;width:1721;height:8" type="#_x0000_t75" stroked="false">
              <v:imagedata r:id="rId1123" o:title=""/>
            </v:shape>
            <v:shape style="position:absolute;left:9957;top:11784;width:1721;height:8" type="#_x0000_t75" stroked="false">
              <v:imagedata r:id="rId1123" o:title=""/>
            </v:shape>
            <v:shape style="position:absolute;left:9957;top:12009;width:1721;height:8" type="#_x0000_t75" stroked="false">
              <v:imagedata r:id="rId1123" o:title=""/>
            </v:shape>
            <v:shape style="position:absolute;left:9957;top:12252;width:1721;height:8" type="#_x0000_t75" stroked="false">
              <v:imagedata r:id="rId1123" o:title=""/>
            </v:shape>
            <v:shape style="position:absolute;left:9957;top:12494;width:1721;height:8" type="#_x0000_t75" stroked="false">
              <v:imagedata r:id="rId1123" o:title=""/>
            </v:shape>
            <v:shape style="position:absolute;left:9957;top:12736;width:1721;height:8" type="#_x0000_t75" stroked="false">
              <v:imagedata r:id="rId1123" o:title=""/>
            </v:shape>
            <v:shape style="position:absolute;left:9957;top:12979;width:1721;height:8" type="#_x0000_t75" stroked="false">
              <v:imagedata r:id="rId1123" o:title=""/>
            </v:shape>
            <v:shape style="position:absolute;left:9957;top:13672;width:1721;height:8" type="#_x0000_t75" stroked="false">
              <v:imagedata r:id="rId1123" o:title=""/>
            </v:shape>
            <v:shape style="position:absolute;left:9957;top:14424;width:1721;height:8" type="#_x0000_t75" stroked="false">
              <v:imagedata r:id="rId1123" o:title=""/>
            </v:shape>
            <w10:wrap type="none"/>
          </v:group>
        </w:pict>
      </w:r>
    </w:p>
    <w:p>
      <w:pPr>
        <w:spacing w:before="96"/>
        <w:ind w:left="590" w:right="0" w:firstLine="0"/>
        <w:jc w:val="left"/>
        <w:rPr>
          <w:b/>
          <w:sz w:val="17"/>
        </w:rPr>
      </w:pPr>
      <w:r>
        <w:rPr>
          <w:b/>
          <w:sz w:val="17"/>
        </w:rPr>
        <w:t>Part III - Indirect Cost Rate Calculation (Funds 01, 09, and 62, unless indicated otherwise)</w:t>
      </w:r>
    </w:p>
    <w:p>
      <w:pPr>
        <w:pStyle w:val="ListParagraph"/>
        <w:numPr>
          <w:ilvl w:val="0"/>
          <w:numId w:val="49"/>
        </w:numPr>
        <w:tabs>
          <w:tab w:pos="995" w:val="left" w:leader="none"/>
          <w:tab w:pos="996" w:val="left" w:leader="none"/>
        </w:tabs>
        <w:spacing w:line="240" w:lineRule="auto" w:before="45" w:after="0"/>
        <w:ind w:left="995" w:right="0" w:hanging="406"/>
        <w:jc w:val="left"/>
        <w:rPr>
          <w:b/>
          <w:sz w:val="17"/>
        </w:rPr>
      </w:pPr>
      <w:r>
        <w:rPr>
          <w:b/>
          <w:sz w:val="17"/>
        </w:rPr>
        <w:t>Indirect Costs</w:t>
      </w:r>
    </w:p>
    <w:p>
      <w:pPr>
        <w:pStyle w:val="ListParagraph"/>
        <w:numPr>
          <w:ilvl w:val="1"/>
          <w:numId w:val="49"/>
        </w:numPr>
        <w:tabs>
          <w:tab w:pos="1358" w:val="left" w:leader="none"/>
        </w:tabs>
        <w:spacing w:line="240" w:lineRule="auto" w:before="49" w:after="0"/>
        <w:ind w:left="1357" w:right="0" w:hanging="336"/>
        <w:jc w:val="left"/>
        <w:rPr>
          <w:sz w:val="17"/>
        </w:rPr>
      </w:pPr>
      <w:r>
        <w:rPr>
          <w:sz w:val="17"/>
        </w:rPr>
        <w:t>Other General Administration, less portion charged to restricted resources or specific</w:t>
      </w:r>
      <w:r>
        <w:rPr>
          <w:spacing w:val="11"/>
          <w:sz w:val="17"/>
        </w:rPr>
        <w:t> </w:t>
      </w:r>
      <w:r>
        <w:rPr>
          <w:sz w:val="17"/>
        </w:rPr>
        <w:t>goals</w:t>
      </w:r>
    </w:p>
    <w:p>
      <w:pPr>
        <w:tabs>
          <w:tab w:pos="10678" w:val="left" w:leader="none"/>
        </w:tabs>
        <w:spacing w:before="47"/>
        <w:ind w:left="1357" w:right="0" w:firstLine="0"/>
        <w:jc w:val="left"/>
        <w:rPr>
          <w:sz w:val="17"/>
        </w:rPr>
      </w:pPr>
      <w:r>
        <w:rPr>
          <w:sz w:val="17"/>
        </w:rPr>
        <w:t>(Functions 7200-7600, objects 1000-5999, minus</w:t>
      </w:r>
      <w:r>
        <w:rPr>
          <w:spacing w:val="29"/>
          <w:sz w:val="17"/>
        </w:rPr>
        <w:t> </w:t>
      </w:r>
      <w:r>
        <w:rPr>
          <w:sz w:val="17"/>
        </w:rPr>
        <w:t>Line</w:t>
      </w:r>
      <w:r>
        <w:rPr>
          <w:spacing w:val="5"/>
          <w:sz w:val="17"/>
        </w:rPr>
        <w:t> </w:t>
      </w:r>
      <w:r>
        <w:rPr>
          <w:sz w:val="17"/>
        </w:rPr>
        <w:t>B9)</w:t>
        <w:tab/>
        <w:t>142,542.00</w:t>
      </w:r>
    </w:p>
    <w:p>
      <w:pPr>
        <w:pStyle w:val="ListParagraph"/>
        <w:numPr>
          <w:ilvl w:val="1"/>
          <w:numId w:val="49"/>
        </w:numPr>
        <w:tabs>
          <w:tab w:pos="1358" w:val="left" w:leader="none"/>
        </w:tabs>
        <w:spacing w:line="240" w:lineRule="auto" w:before="47" w:after="0"/>
        <w:ind w:left="1357" w:right="0" w:hanging="336"/>
        <w:jc w:val="left"/>
        <w:rPr>
          <w:sz w:val="17"/>
        </w:rPr>
      </w:pPr>
      <w:r>
        <w:rPr>
          <w:sz w:val="17"/>
        </w:rPr>
        <w:t>Centralized Data Processing, less portion charged to restricted resources or specific</w:t>
      </w:r>
      <w:r>
        <w:rPr>
          <w:spacing w:val="9"/>
          <w:sz w:val="17"/>
        </w:rPr>
        <w:t> </w:t>
      </w:r>
      <w:r>
        <w:rPr>
          <w:sz w:val="17"/>
        </w:rPr>
        <w:t>goals</w:t>
      </w:r>
    </w:p>
    <w:p>
      <w:pPr>
        <w:tabs>
          <w:tab w:pos="10870" w:val="left" w:leader="none"/>
        </w:tabs>
        <w:spacing w:before="47"/>
        <w:ind w:left="1357" w:right="0" w:firstLine="0"/>
        <w:jc w:val="left"/>
        <w:rPr>
          <w:sz w:val="17"/>
        </w:rPr>
      </w:pPr>
      <w:r>
        <w:rPr>
          <w:sz w:val="17"/>
        </w:rPr>
        <w:t>(Function 7700, objects 1000-5999, minus</w:t>
      </w:r>
      <w:r>
        <w:rPr>
          <w:spacing w:val="25"/>
          <w:sz w:val="17"/>
        </w:rPr>
        <w:t> </w:t>
      </w:r>
      <w:r>
        <w:rPr>
          <w:sz w:val="17"/>
        </w:rPr>
        <w:t>Line</w:t>
      </w:r>
      <w:r>
        <w:rPr>
          <w:spacing w:val="5"/>
          <w:sz w:val="17"/>
        </w:rPr>
        <w:t> </w:t>
      </w:r>
      <w:r>
        <w:rPr>
          <w:sz w:val="17"/>
        </w:rPr>
        <w:t>B10)</w:t>
        <w:tab/>
        <w:t>5,617.00</w:t>
      </w:r>
    </w:p>
    <w:p>
      <w:pPr>
        <w:pStyle w:val="ListParagraph"/>
        <w:numPr>
          <w:ilvl w:val="1"/>
          <w:numId w:val="49"/>
        </w:numPr>
        <w:tabs>
          <w:tab w:pos="1358" w:val="left" w:leader="none"/>
        </w:tabs>
        <w:spacing w:line="195" w:lineRule="exact" w:before="1" w:after="0"/>
        <w:ind w:left="1357" w:right="0" w:hanging="336"/>
        <w:jc w:val="left"/>
        <w:rPr>
          <w:sz w:val="17"/>
        </w:rPr>
      </w:pPr>
      <w:r>
        <w:rPr>
          <w:sz w:val="17"/>
        </w:rPr>
        <w:t>External Financial Audit - Single Audit (Function 7190, resources</w:t>
      </w:r>
      <w:r>
        <w:rPr>
          <w:spacing w:val="3"/>
          <w:sz w:val="17"/>
        </w:rPr>
        <w:t> </w:t>
      </w:r>
      <w:r>
        <w:rPr>
          <w:sz w:val="17"/>
        </w:rPr>
        <w:t>0000-1999,</w:t>
      </w:r>
    </w:p>
    <w:p>
      <w:pPr>
        <w:tabs>
          <w:tab w:pos="11206" w:val="left" w:leader="none"/>
        </w:tabs>
        <w:spacing w:line="237" w:lineRule="auto" w:before="0"/>
        <w:ind w:left="1357" w:right="0" w:firstLine="0"/>
        <w:jc w:val="left"/>
        <w:rPr>
          <w:sz w:val="17"/>
        </w:rPr>
      </w:pPr>
      <w:r>
        <w:rPr>
          <w:sz w:val="17"/>
        </w:rPr>
        <w:t>goals 0000 and 9000,</w:t>
      </w:r>
      <w:r>
        <w:rPr>
          <w:spacing w:val="15"/>
          <w:sz w:val="17"/>
        </w:rPr>
        <w:t> </w:t>
      </w:r>
      <w:r>
        <w:rPr>
          <w:sz w:val="17"/>
        </w:rPr>
        <w:t>objects</w:t>
      </w:r>
      <w:r>
        <w:rPr>
          <w:spacing w:val="4"/>
          <w:sz w:val="17"/>
        </w:rPr>
        <w:t> </w:t>
      </w:r>
      <w:r>
        <w:rPr>
          <w:sz w:val="17"/>
        </w:rPr>
        <w:t>5000-5999)</w:t>
        <w:tab/>
      </w:r>
      <w:r>
        <w:rPr>
          <w:position w:val="-11"/>
          <w:sz w:val="17"/>
        </w:rPr>
        <w:t>0.00</w:t>
      </w:r>
    </w:p>
    <w:p>
      <w:pPr>
        <w:pStyle w:val="ListParagraph"/>
        <w:numPr>
          <w:ilvl w:val="1"/>
          <w:numId w:val="49"/>
        </w:numPr>
        <w:tabs>
          <w:tab w:pos="1358" w:val="left" w:leader="none"/>
        </w:tabs>
        <w:spacing w:line="195" w:lineRule="exact" w:before="3" w:after="0"/>
        <w:ind w:left="1357" w:right="0" w:hanging="336"/>
        <w:jc w:val="left"/>
        <w:rPr>
          <w:sz w:val="17"/>
        </w:rPr>
      </w:pPr>
      <w:r>
        <w:rPr>
          <w:sz w:val="17"/>
        </w:rPr>
        <w:t>Staff Relations and Negotiations (Function 7120, resources</w:t>
      </w:r>
      <w:r>
        <w:rPr>
          <w:spacing w:val="4"/>
          <w:sz w:val="17"/>
        </w:rPr>
        <w:t> </w:t>
      </w:r>
      <w:r>
        <w:rPr>
          <w:sz w:val="17"/>
        </w:rPr>
        <w:t>0000-1999,</w:t>
      </w:r>
    </w:p>
    <w:p>
      <w:pPr>
        <w:tabs>
          <w:tab w:pos="11206" w:val="left" w:leader="none"/>
        </w:tabs>
        <w:spacing w:line="237" w:lineRule="auto" w:before="0"/>
        <w:ind w:left="1357" w:right="0" w:firstLine="0"/>
        <w:jc w:val="left"/>
        <w:rPr>
          <w:sz w:val="17"/>
        </w:rPr>
      </w:pPr>
      <w:r>
        <w:rPr>
          <w:sz w:val="17"/>
        </w:rPr>
        <w:t>goals 0000 and 9000,</w:t>
      </w:r>
      <w:r>
        <w:rPr>
          <w:spacing w:val="16"/>
          <w:sz w:val="17"/>
        </w:rPr>
        <w:t> </w:t>
      </w:r>
      <w:r>
        <w:rPr>
          <w:sz w:val="17"/>
        </w:rPr>
        <w:t>objects</w:t>
      </w:r>
      <w:r>
        <w:rPr>
          <w:spacing w:val="4"/>
          <w:sz w:val="17"/>
        </w:rPr>
        <w:t> </w:t>
      </w:r>
      <w:r>
        <w:rPr>
          <w:sz w:val="17"/>
        </w:rPr>
        <w:t>1000-5999)</w:t>
        <w:tab/>
      </w:r>
      <w:r>
        <w:rPr>
          <w:position w:val="-8"/>
          <w:sz w:val="17"/>
        </w:rPr>
        <w:t>0.00</w:t>
      </w:r>
    </w:p>
    <w:p>
      <w:pPr>
        <w:pStyle w:val="ListParagraph"/>
        <w:numPr>
          <w:ilvl w:val="1"/>
          <w:numId w:val="49"/>
        </w:numPr>
        <w:tabs>
          <w:tab w:pos="1358" w:val="left" w:leader="none"/>
        </w:tabs>
        <w:spacing w:line="240" w:lineRule="auto" w:before="24" w:after="0"/>
        <w:ind w:left="1357" w:right="0" w:hanging="336"/>
        <w:jc w:val="left"/>
        <w:rPr>
          <w:sz w:val="17"/>
        </w:rPr>
      </w:pPr>
      <w:r>
        <w:rPr>
          <w:sz w:val="17"/>
        </w:rPr>
        <w:t>Plant Maintenance and Operations (portion relating to general administrative offices</w:t>
      </w:r>
      <w:r>
        <w:rPr>
          <w:spacing w:val="9"/>
          <w:sz w:val="17"/>
        </w:rPr>
        <w:t> </w:t>
      </w:r>
      <w:r>
        <w:rPr>
          <w:sz w:val="17"/>
        </w:rPr>
        <w:t>only)</w:t>
      </w:r>
    </w:p>
    <w:p>
      <w:pPr>
        <w:tabs>
          <w:tab w:pos="10774" w:val="left" w:leader="none"/>
        </w:tabs>
        <w:spacing w:before="47"/>
        <w:ind w:left="1357" w:right="0" w:firstLine="0"/>
        <w:jc w:val="left"/>
        <w:rPr>
          <w:sz w:val="17"/>
        </w:rPr>
      </w:pPr>
      <w:r>
        <w:rPr>
          <w:sz w:val="17"/>
        </w:rPr>
        <w:t>(Functions 8100-8400, objects 1000-5999 except 5100, times Part I,</w:t>
      </w:r>
      <w:r>
        <w:rPr>
          <w:spacing w:val="46"/>
          <w:sz w:val="17"/>
        </w:rPr>
        <w:t> </w:t>
      </w:r>
      <w:r>
        <w:rPr>
          <w:sz w:val="17"/>
        </w:rPr>
        <w:t>Line</w:t>
      </w:r>
      <w:r>
        <w:rPr>
          <w:spacing w:val="4"/>
          <w:sz w:val="17"/>
        </w:rPr>
        <w:t> </w:t>
      </w:r>
      <w:r>
        <w:rPr>
          <w:sz w:val="17"/>
        </w:rPr>
        <w:t>C)</w:t>
        <w:tab/>
        <w:t>12,598.69</w:t>
      </w:r>
    </w:p>
    <w:p>
      <w:pPr>
        <w:pStyle w:val="ListParagraph"/>
        <w:numPr>
          <w:ilvl w:val="1"/>
          <w:numId w:val="49"/>
        </w:numPr>
        <w:tabs>
          <w:tab w:pos="1358" w:val="left" w:leader="none"/>
        </w:tabs>
        <w:spacing w:line="240" w:lineRule="auto" w:before="23" w:after="0"/>
        <w:ind w:left="1357" w:right="0" w:hanging="336"/>
        <w:jc w:val="left"/>
        <w:rPr>
          <w:sz w:val="17"/>
        </w:rPr>
      </w:pPr>
      <w:r>
        <w:rPr>
          <w:sz w:val="17"/>
        </w:rPr>
        <w:t>Facilities Rents and Leases (portion relating to general administrative offices</w:t>
      </w:r>
      <w:r>
        <w:rPr>
          <w:spacing w:val="7"/>
          <w:sz w:val="17"/>
        </w:rPr>
        <w:t> </w:t>
      </w:r>
      <w:r>
        <w:rPr>
          <w:sz w:val="17"/>
        </w:rPr>
        <w:t>only)</w:t>
      </w:r>
    </w:p>
    <w:p>
      <w:pPr>
        <w:tabs>
          <w:tab w:pos="11014" w:val="left" w:leader="none"/>
        </w:tabs>
        <w:spacing w:before="23"/>
        <w:ind w:left="1357" w:right="0" w:firstLine="0"/>
        <w:jc w:val="left"/>
        <w:rPr>
          <w:sz w:val="17"/>
        </w:rPr>
      </w:pPr>
      <w:r>
        <w:rPr>
          <w:sz w:val="17"/>
        </w:rPr>
        <w:t>(Function 8700, resources 0000-1999, objects 1000-5999 except 5100, times Part </w:t>
      </w:r>
      <w:r>
        <w:rPr>
          <w:spacing w:val="9"/>
          <w:sz w:val="17"/>
        </w:rPr>
        <w:t> </w:t>
      </w:r>
      <w:r>
        <w:rPr>
          <w:sz w:val="17"/>
        </w:rPr>
        <w:t>I, Line</w:t>
      </w:r>
      <w:r>
        <w:rPr>
          <w:spacing w:val="5"/>
          <w:sz w:val="17"/>
        </w:rPr>
        <w:t> </w:t>
      </w:r>
      <w:r>
        <w:rPr>
          <w:sz w:val="17"/>
        </w:rPr>
        <w:t>C)</w:t>
        <w:tab/>
        <w:t>393.60</w:t>
      </w:r>
    </w:p>
    <w:p>
      <w:pPr>
        <w:pStyle w:val="ListParagraph"/>
        <w:numPr>
          <w:ilvl w:val="1"/>
          <w:numId w:val="49"/>
        </w:numPr>
        <w:tabs>
          <w:tab w:pos="1358" w:val="left" w:leader="none"/>
        </w:tabs>
        <w:spacing w:line="240" w:lineRule="auto" w:before="23" w:after="0"/>
        <w:ind w:left="1357" w:right="0" w:hanging="336"/>
        <w:jc w:val="left"/>
        <w:rPr>
          <w:sz w:val="17"/>
        </w:rPr>
      </w:pPr>
      <w:r>
        <w:rPr>
          <w:sz w:val="17"/>
        </w:rPr>
        <w:t>Adjustment for Employment Separation</w:t>
      </w:r>
      <w:r>
        <w:rPr>
          <w:spacing w:val="1"/>
          <w:sz w:val="17"/>
        </w:rPr>
        <w:t> </w:t>
      </w:r>
      <w:r>
        <w:rPr>
          <w:sz w:val="17"/>
        </w:rPr>
        <w:t>Costs</w:t>
      </w:r>
    </w:p>
    <w:p>
      <w:pPr>
        <w:pStyle w:val="ListParagraph"/>
        <w:numPr>
          <w:ilvl w:val="2"/>
          <w:numId w:val="49"/>
        </w:numPr>
        <w:tabs>
          <w:tab w:pos="1646" w:val="left" w:leader="none"/>
          <w:tab w:pos="11206" w:val="left" w:leader="none"/>
        </w:tabs>
        <w:spacing w:line="240" w:lineRule="auto" w:before="23" w:after="0"/>
        <w:ind w:left="1645" w:right="0" w:hanging="289"/>
        <w:jc w:val="left"/>
        <w:rPr>
          <w:sz w:val="17"/>
        </w:rPr>
      </w:pPr>
      <w:r>
        <w:rPr>
          <w:sz w:val="17"/>
        </w:rPr>
        <w:t>Plus:  Normal Separation Costs (Part II,</w:t>
      </w:r>
      <w:r>
        <w:rPr>
          <w:spacing w:val="26"/>
          <w:sz w:val="17"/>
        </w:rPr>
        <w:t> </w:t>
      </w:r>
      <w:r>
        <w:rPr>
          <w:sz w:val="17"/>
        </w:rPr>
        <w:t>Line</w:t>
      </w:r>
      <w:r>
        <w:rPr>
          <w:spacing w:val="4"/>
          <w:sz w:val="17"/>
        </w:rPr>
        <w:t> </w:t>
      </w:r>
      <w:r>
        <w:rPr>
          <w:sz w:val="17"/>
        </w:rPr>
        <w:t>A)</w:t>
        <w:tab/>
        <w:t>0.00</w:t>
      </w:r>
    </w:p>
    <w:p>
      <w:pPr>
        <w:pStyle w:val="ListParagraph"/>
        <w:numPr>
          <w:ilvl w:val="2"/>
          <w:numId w:val="49"/>
        </w:numPr>
        <w:tabs>
          <w:tab w:pos="1646" w:val="left" w:leader="none"/>
          <w:tab w:pos="11206" w:val="left" w:leader="none"/>
        </w:tabs>
        <w:spacing w:line="240" w:lineRule="auto" w:before="47" w:after="0"/>
        <w:ind w:left="1645" w:right="0" w:hanging="289"/>
        <w:jc w:val="left"/>
        <w:rPr>
          <w:sz w:val="17"/>
        </w:rPr>
      </w:pPr>
      <w:r>
        <w:rPr>
          <w:sz w:val="17"/>
        </w:rPr>
        <w:t>Less:  Abnormal or Mass Separation Costs (Part II,</w:t>
      </w:r>
      <w:r>
        <w:rPr>
          <w:spacing w:val="40"/>
          <w:sz w:val="17"/>
        </w:rPr>
        <w:t> </w:t>
      </w:r>
      <w:r>
        <w:rPr>
          <w:sz w:val="17"/>
        </w:rPr>
        <w:t>Line</w:t>
      </w:r>
      <w:r>
        <w:rPr>
          <w:spacing w:val="4"/>
          <w:sz w:val="17"/>
        </w:rPr>
        <w:t> </w:t>
      </w:r>
      <w:r>
        <w:rPr>
          <w:sz w:val="17"/>
        </w:rPr>
        <w:t>B)</w:t>
        <w:tab/>
        <w:t>0.00</w:t>
      </w:r>
    </w:p>
    <w:p>
      <w:pPr>
        <w:pStyle w:val="ListParagraph"/>
        <w:numPr>
          <w:ilvl w:val="1"/>
          <w:numId w:val="49"/>
        </w:numPr>
        <w:tabs>
          <w:tab w:pos="1358" w:val="left" w:leader="none"/>
          <w:tab w:pos="10678" w:val="left" w:leader="none"/>
        </w:tabs>
        <w:spacing w:line="240" w:lineRule="auto" w:before="22" w:after="0"/>
        <w:ind w:left="1357" w:right="0" w:hanging="336"/>
        <w:jc w:val="left"/>
        <w:rPr>
          <w:sz w:val="17"/>
        </w:rPr>
      </w:pPr>
      <w:r>
        <w:rPr>
          <w:sz w:val="17"/>
        </w:rPr>
        <w:t>Total Indirect Costs (Lines A1 through A7a, minus</w:t>
      </w:r>
      <w:r>
        <w:rPr>
          <w:spacing w:val="40"/>
          <w:sz w:val="17"/>
        </w:rPr>
        <w:t> </w:t>
      </w:r>
      <w:r>
        <w:rPr>
          <w:sz w:val="17"/>
        </w:rPr>
        <w:t>Line</w:t>
      </w:r>
      <w:r>
        <w:rPr>
          <w:spacing w:val="5"/>
          <w:sz w:val="17"/>
        </w:rPr>
        <w:t> </w:t>
      </w:r>
      <w:r>
        <w:rPr>
          <w:sz w:val="17"/>
        </w:rPr>
        <w:t>A7b)</w:t>
        <w:tab/>
        <w:t>161,151.29</w:t>
      </w:r>
    </w:p>
    <w:p>
      <w:pPr>
        <w:pStyle w:val="ListParagraph"/>
        <w:numPr>
          <w:ilvl w:val="1"/>
          <w:numId w:val="49"/>
        </w:numPr>
        <w:tabs>
          <w:tab w:pos="1358" w:val="left" w:leader="none"/>
          <w:tab w:pos="10774" w:val="left" w:leader="none"/>
        </w:tabs>
        <w:spacing w:line="240" w:lineRule="auto" w:before="23" w:after="0"/>
        <w:ind w:left="1357" w:right="0" w:hanging="336"/>
        <w:jc w:val="left"/>
        <w:rPr>
          <w:sz w:val="17"/>
        </w:rPr>
      </w:pPr>
      <w:r>
        <w:rPr>
          <w:sz w:val="17"/>
        </w:rPr>
        <w:t>Carry-Forward Adjustment  (Part IV,</w:t>
      </w:r>
      <w:r>
        <w:rPr>
          <w:spacing w:val="23"/>
          <w:sz w:val="17"/>
        </w:rPr>
        <w:t> </w:t>
      </w:r>
      <w:r>
        <w:rPr>
          <w:sz w:val="17"/>
        </w:rPr>
        <w:t>Line</w:t>
      </w:r>
      <w:r>
        <w:rPr>
          <w:spacing w:val="4"/>
          <w:sz w:val="17"/>
        </w:rPr>
        <w:t> </w:t>
      </w:r>
      <w:r>
        <w:rPr>
          <w:sz w:val="17"/>
        </w:rPr>
        <w:t>F)</w:t>
        <w:tab/>
        <w:t>48,254.60</w:t>
      </w:r>
    </w:p>
    <w:p>
      <w:pPr>
        <w:pStyle w:val="ListParagraph"/>
        <w:numPr>
          <w:ilvl w:val="1"/>
          <w:numId w:val="49"/>
        </w:numPr>
        <w:tabs>
          <w:tab w:pos="1358" w:val="left" w:leader="none"/>
          <w:tab w:pos="10678" w:val="left" w:leader="none"/>
        </w:tabs>
        <w:spacing w:line="240" w:lineRule="auto" w:before="23" w:after="0"/>
        <w:ind w:left="1357" w:right="0" w:hanging="432"/>
        <w:jc w:val="left"/>
        <w:rPr>
          <w:sz w:val="17"/>
        </w:rPr>
      </w:pPr>
      <w:r>
        <w:rPr>
          <w:sz w:val="17"/>
        </w:rPr>
        <w:t>Total Adjusted Indirect Costs (Line A8 plus</w:t>
      </w:r>
      <w:r>
        <w:rPr>
          <w:spacing w:val="36"/>
          <w:sz w:val="17"/>
        </w:rPr>
        <w:t> </w:t>
      </w:r>
      <w:r>
        <w:rPr>
          <w:sz w:val="17"/>
        </w:rPr>
        <w:t>Line</w:t>
      </w:r>
      <w:r>
        <w:rPr>
          <w:spacing w:val="5"/>
          <w:sz w:val="17"/>
        </w:rPr>
        <w:t> </w:t>
      </w:r>
      <w:r>
        <w:rPr>
          <w:sz w:val="17"/>
        </w:rPr>
        <w:t>A9)</w:t>
        <w:tab/>
        <w:t>209,405.89</w:t>
      </w:r>
    </w:p>
    <w:p>
      <w:pPr>
        <w:pStyle w:val="ListParagraph"/>
        <w:numPr>
          <w:ilvl w:val="0"/>
          <w:numId w:val="49"/>
        </w:numPr>
        <w:tabs>
          <w:tab w:pos="1002" w:val="left" w:leader="none"/>
          <w:tab w:pos="1003" w:val="left" w:leader="none"/>
        </w:tabs>
        <w:spacing w:line="240" w:lineRule="auto" w:before="42" w:after="0"/>
        <w:ind w:left="1002" w:right="0" w:hanging="413"/>
        <w:jc w:val="left"/>
        <w:rPr>
          <w:b/>
          <w:sz w:val="17"/>
        </w:rPr>
      </w:pPr>
      <w:r>
        <w:rPr>
          <w:b/>
          <w:sz w:val="17"/>
        </w:rPr>
        <w:t>Base</w:t>
      </w:r>
      <w:r>
        <w:rPr>
          <w:b/>
          <w:spacing w:val="-1"/>
          <w:sz w:val="17"/>
        </w:rPr>
        <w:t> </w:t>
      </w:r>
      <w:r>
        <w:rPr>
          <w:b/>
          <w:sz w:val="17"/>
        </w:rPr>
        <w:t>Costs</w:t>
      </w:r>
    </w:p>
    <w:p>
      <w:pPr>
        <w:tabs>
          <w:tab w:pos="10678" w:val="left" w:leader="none"/>
        </w:tabs>
        <w:spacing w:before="50"/>
        <w:ind w:left="1022" w:right="0" w:firstLine="0"/>
        <w:jc w:val="left"/>
        <w:rPr>
          <w:sz w:val="17"/>
        </w:rPr>
      </w:pPr>
      <w:r>
        <w:rPr>
          <w:sz w:val="17"/>
        </w:rPr>
        <w:t>1.     Instruction (Functions 1000-1999, objects 1000-5999</w:t>
      </w:r>
      <w:r>
        <w:rPr>
          <w:spacing w:val="-7"/>
          <w:sz w:val="17"/>
        </w:rPr>
        <w:t> </w:t>
      </w:r>
      <w:r>
        <w:rPr>
          <w:sz w:val="17"/>
        </w:rPr>
        <w:t>except</w:t>
      </w:r>
      <w:r>
        <w:rPr>
          <w:spacing w:val="4"/>
          <w:sz w:val="17"/>
        </w:rPr>
        <w:t> </w:t>
      </w:r>
      <w:r>
        <w:rPr>
          <w:sz w:val="17"/>
        </w:rPr>
        <w:t>5100)</w:t>
        <w:tab/>
        <w:t>994,601.00</w:t>
      </w:r>
    </w:p>
    <w:p>
      <w:pPr>
        <w:pStyle w:val="ListParagraph"/>
        <w:numPr>
          <w:ilvl w:val="0"/>
          <w:numId w:val="50"/>
        </w:numPr>
        <w:tabs>
          <w:tab w:pos="1358" w:val="left" w:leader="none"/>
          <w:tab w:pos="10678" w:val="left" w:leader="none"/>
        </w:tabs>
        <w:spacing w:line="240" w:lineRule="auto" w:before="47" w:after="0"/>
        <w:ind w:left="1357" w:right="0" w:hanging="336"/>
        <w:jc w:val="left"/>
        <w:rPr>
          <w:sz w:val="17"/>
        </w:rPr>
      </w:pPr>
      <w:r>
        <w:rPr>
          <w:sz w:val="17"/>
        </w:rPr>
        <w:t>Instruction-Related Services (Functions 2000-2999, objects 1000-5999 </w:t>
      </w:r>
      <w:r>
        <w:rPr>
          <w:spacing w:val="2"/>
          <w:sz w:val="17"/>
        </w:rPr>
        <w:t> </w:t>
      </w:r>
      <w:r>
        <w:rPr>
          <w:sz w:val="17"/>
        </w:rPr>
        <w:t>except</w:t>
      </w:r>
      <w:r>
        <w:rPr>
          <w:spacing w:val="8"/>
          <w:sz w:val="17"/>
        </w:rPr>
        <w:t> </w:t>
      </w:r>
      <w:r>
        <w:rPr>
          <w:sz w:val="17"/>
        </w:rPr>
        <w:t>5100)</w:t>
        <w:tab/>
        <w:t>275,579.00</w:t>
      </w:r>
    </w:p>
    <w:p>
      <w:pPr>
        <w:pStyle w:val="ListParagraph"/>
        <w:numPr>
          <w:ilvl w:val="0"/>
          <w:numId w:val="50"/>
        </w:numPr>
        <w:tabs>
          <w:tab w:pos="1358" w:val="left" w:leader="none"/>
          <w:tab w:pos="10774" w:val="left" w:leader="none"/>
        </w:tabs>
        <w:spacing w:line="240" w:lineRule="auto" w:before="47" w:after="0"/>
        <w:ind w:left="1357" w:right="0" w:hanging="336"/>
        <w:jc w:val="left"/>
        <w:rPr>
          <w:sz w:val="17"/>
        </w:rPr>
      </w:pPr>
      <w:r>
        <w:rPr>
          <w:sz w:val="17"/>
        </w:rPr>
        <w:t>Pupil Services (Functions 3000-3999, objects 1000-5999 except 4700 </w:t>
      </w:r>
      <w:r>
        <w:rPr>
          <w:spacing w:val="5"/>
          <w:sz w:val="17"/>
        </w:rPr>
        <w:t> </w:t>
      </w:r>
      <w:r>
        <w:rPr>
          <w:sz w:val="17"/>
        </w:rPr>
        <w:t>and</w:t>
      </w:r>
      <w:r>
        <w:rPr>
          <w:spacing w:val="7"/>
          <w:sz w:val="17"/>
        </w:rPr>
        <w:t> </w:t>
      </w:r>
      <w:r>
        <w:rPr>
          <w:sz w:val="17"/>
        </w:rPr>
        <w:t>5100)</w:t>
        <w:tab/>
        <w:t>86,530.00</w:t>
      </w:r>
    </w:p>
    <w:p>
      <w:pPr>
        <w:pStyle w:val="ListParagraph"/>
        <w:numPr>
          <w:ilvl w:val="0"/>
          <w:numId w:val="50"/>
        </w:numPr>
        <w:tabs>
          <w:tab w:pos="1358" w:val="left" w:leader="none"/>
          <w:tab w:pos="10870" w:val="left" w:leader="none"/>
        </w:tabs>
        <w:spacing w:line="240" w:lineRule="auto" w:before="47" w:after="0"/>
        <w:ind w:left="1357" w:right="0" w:hanging="336"/>
        <w:jc w:val="left"/>
        <w:rPr>
          <w:sz w:val="17"/>
        </w:rPr>
      </w:pPr>
      <w:r>
        <w:rPr>
          <w:sz w:val="17"/>
        </w:rPr>
        <w:t>Ancillary Services (Functions 4000-4999, objects 1000-5999</w:t>
      </w:r>
      <w:r>
        <w:rPr>
          <w:spacing w:val="44"/>
          <w:sz w:val="17"/>
        </w:rPr>
        <w:t> </w:t>
      </w:r>
      <w:r>
        <w:rPr>
          <w:sz w:val="17"/>
        </w:rPr>
        <w:t>except</w:t>
      </w:r>
      <w:r>
        <w:rPr>
          <w:spacing w:val="8"/>
          <w:sz w:val="17"/>
        </w:rPr>
        <w:t> </w:t>
      </w:r>
      <w:r>
        <w:rPr>
          <w:sz w:val="17"/>
        </w:rPr>
        <w:t>5100)</w:t>
        <w:tab/>
        <w:t>6,152.00</w:t>
      </w:r>
    </w:p>
    <w:p>
      <w:pPr>
        <w:pStyle w:val="ListParagraph"/>
        <w:numPr>
          <w:ilvl w:val="0"/>
          <w:numId w:val="50"/>
        </w:numPr>
        <w:tabs>
          <w:tab w:pos="1358" w:val="left" w:leader="none"/>
          <w:tab w:pos="11206" w:val="left" w:leader="none"/>
        </w:tabs>
        <w:spacing w:line="240" w:lineRule="auto" w:before="46" w:after="0"/>
        <w:ind w:left="1357" w:right="0" w:hanging="336"/>
        <w:jc w:val="left"/>
        <w:rPr>
          <w:sz w:val="17"/>
        </w:rPr>
      </w:pPr>
      <w:r>
        <w:rPr>
          <w:sz w:val="17"/>
        </w:rPr>
        <w:t>Community Services (Functions 5000-5999, objects 1000-5999</w:t>
      </w:r>
      <w:r>
        <w:rPr>
          <w:spacing w:val="42"/>
          <w:sz w:val="17"/>
        </w:rPr>
        <w:t> </w:t>
      </w:r>
      <w:r>
        <w:rPr>
          <w:sz w:val="17"/>
        </w:rPr>
        <w:t>except</w:t>
      </w:r>
      <w:r>
        <w:rPr>
          <w:spacing w:val="8"/>
          <w:sz w:val="17"/>
        </w:rPr>
        <w:t> </w:t>
      </w:r>
      <w:r>
        <w:rPr>
          <w:sz w:val="17"/>
        </w:rPr>
        <w:t>5100)</w:t>
        <w:tab/>
        <w:t>0.00</w:t>
      </w:r>
    </w:p>
    <w:p>
      <w:pPr>
        <w:pStyle w:val="ListParagraph"/>
        <w:numPr>
          <w:ilvl w:val="0"/>
          <w:numId w:val="50"/>
        </w:numPr>
        <w:tabs>
          <w:tab w:pos="1358" w:val="left" w:leader="none"/>
          <w:tab w:pos="11206" w:val="left" w:leader="none"/>
        </w:tabs>
        <w:spacing w:line="240" w:lineRule="auto" w:before="47" w:after="0"/>
        <w:ind w:left="1357" w:right="0" w:hanging="336"/>
        <w:jc w:val="left"/>
        <w:rPr>
          <w:sz w:val="17"/>
        </w:rPr>
      </w:pPr>
      <w:r>
        <w:rPr>
          <w:sz w:val="17"/>
        </w:rPr>
        <w:t>Enterprise (Function 6000, objects 1000-5999 except 4700</w:t>
      </w:r>
      <w:r>
        <w:rPr>
          <w:spacing w:val="43"/>
          <w:sz w:val="17"/>
        </w:rPr>
        <w:t> </w:t>
      </w:r>
      <w:r>
        <w:rPr>
          <w:sz w:val="17"/>
        </w:rPr>
        <w:t>and</w:t>
      </w:r>
      <w:r>
        <w:rPr>
          <w:spacing w:val="6"/>
          <w:sz w:val="17"/>
        </w:rPr>
        <w:t> </w:t>
      </w:r>
      <w:r>
        <w:rPr>
          <w:sz w:val="17"/>
        </w:rPr>
        <w:t>5100)</w:t>
        <w:tab/>
        <w:t>0.00</w:t>
      </w:r>
    </w:p>
    <w:p>
      <w:pPr>
        <w:pStyle w:val="ListParagraph"/>
        <w:numPr>
          <w:ilvl w:val="0"/>
          <w:numId w:val="50"/>
        </w:numPr>
        <w:tabs>
          <w:tab w:pos="1358" w:val="left" w:leader="none"/>
        </w:tabs>
        <w:spacing w:line="195" w:lineRule="exact" w:before="2" w:after="0"/>
        <w:ind w:left="1357" w:right="0" w:hanging="336"/>
        <w:jc w:val="left"/>
        <w:rPr>
          <w:sz w:val="17"/>
        </w:rPr>
      </w:pPr>
      <w:r>
        <w:rPr>
          <w:sz w:val="17"/>
        </w:rPr>
        <w:t>Board and Superintendent (Functions 7100-7180, objects</w:t>
      </w:r>
      <w:r>
        <w:rPr>
          <w:spacing w:val="1"/>
          <w:sz w:val="17"/>
        </w:rPr>
        <w:t> </w:t>
      </w:r>
      <w:r>
        <w:rPr>
          <w:sz w:val="17"/>
        </w:rPr>
        <w:t>1000-5999,</w:t>
      </w:r>
    </w:p>
    <w:p>
      <w:pPr>
        <w:tabs>
          <w:tab w:pos="10678" w:val="left" w:leader="none"/>
        </w:tabs>
        <w:spacing w:line="237" w:lineRule="auto" w:before="0"/>
        <w:ind w:left="1357" w:right="0" w:firstLine="0"/>
        <w:jc w:val="left"/>
        <w:rPr>
          <w:sz w:val="17"/>
        </w:rPr>
      </w:pPr>
      <w:r>
        <w:rPr>
          <w:sz w:val="17"/>
        </w:rPr>
        <w:t>minus Part III,</w:t>
      </w:r>
      <w:r>
        <w:rPr>
          <w:spacing w:val="7"/>
          <w:sz w:val="17"/>
        </w:rPr>
        <w:t> </w:t>
      </w:r>
      <w:r>
        <w:rPr>
          <w:sz w:val="17"/>
        </w:rPr>
        <w:t>Line</w:t>
      </w:r>
      <w:r>
        <w:rPr>
          <w:spacing w:val="2"/>
          <w:sz w:val="17"/>
        </w:rPr>
        <w:t> </w:t>
      </w:r>
      <w:r>
        <w:rPr>
          <w:sz w:val="17"/>
        </w:rPr>
        <w:t>A4)</w:t>
        <w:tab/>
      </w:r>
      <w:r>
        <w:rPr>
          <w:position w:val="-5"/>
          <w:sz w:val="17"/>
        </w:rPr>
        <w:t>117,970.00</w:t>
      </w:r>
    </w:p>
    <w:p>
      <w:pPr>
        <w:pStyle w:val="ListParagraph"/>
        <w:numPr>
          <w:ilvl w:val="0"/>
          <w:numId w:val="50"/>
        </w:numPr>
        <w:tabs>
          <w:tab w:pos="1358" w:val="left" w:leader="none"/>
        </w:tabs>
        <w:spacing w:line="195" w:lineRule="exact" w:before="0" w:after="0"/>
        <w:ind w:left="1357" w:right="0" w:hanging="336"/>
        <w:jc w:val="left"/>
        <w:rPr>
          <w:sz w:val="17"/>
        </w:rPr>
      </w:pPr>
      <w:r>
        <w:rPr>
          <w:sz w:val="17"/>
        </w:rPr>
        <w:t>External Financial Audit - Single Audit and Other (Functions</w:t>
      </w:r>
      <w:r>
        <w:rPr>
          <w:spacing w:val="2"/>
          <w:sz w:val="17"/>
        </w:rPr>
        <w:t> </w:t>
      </w:r>
      <w:r>
        <w:rPr>
          <w:sz w:val="17"/>
        </w:rPr>
        <w:t>7190-7191,</w:t>
      </w:r>
    </w:p>
    <w:p>
      <w:pPr>
        <w:tabs>
          <w:tab w:pos="10774" w:val="left" w:leader="none"/>
        </w:tabs>
        <w:spacing w:line="237" w:lineRule="auto" w:before="0"/>
        <w:ind w:left="1357" w:right="0" w:firstLine="0"/>
        <w:jc w:val="left"/>
        <w:rPr>
          <w:sz w:val="17"/>
        </w:rPr>
      </w:pPr>
      <w:r>
        <w:rPr>
          <w:sz w:val="17"/>
        </w:rPr>
        <w:t>objects 5000-5999, minus Part III,</w:t>
      </w:r>
      <w:r>
        <w:rPr>
          <w:spacing w:val="17"/>
          <w:sz w:val="17"/>
        </w:rPr>
        <w:t> </w:t>
      </w:r>
      <w:r>
        <w:rPr>
          <w:sz w:val="17"/>
        </w:rPr>
        <w:t>Line</w:t>
      </w:r>
      <w:r>
        <w:rPr>
          <w:spacing w:val="4"/>
          <w:sz w:val="17"/>
        </w:rPr>
        <w:t> </w:t>
      </w:r>
      <w:r>
        <w:rPr>
          <w:sz w:val="17"/>
        </w:rPr>
        <w:t>A3)</w:t>
        <w:tab/>
      </w:r>
      <w:r>
        <w:rPr>
          <w:position w:val="-5"/>
          <w:sz w:val="17"/>
        </w:rPr>
        <w:t>28,000.00</w:t>
      </w:r>
    </w:p>
    <w:p>
      <w:pPr>
        <w:pStyle w:val="ListParagraph"/>
        <w:numPr>
          <w:ilvl w:val="0"/>
          <w:numId w:val="50"/>
        </w:numPr>
        <w:tabs>
          <w:tab w:pos="1358" w:val="left" w:leader="none"/>
        </w:tabs>
        <w:spacing w:line="297" w:lineRule="auto" w:before="47" w:after="0"/>
        <w:ind w:left="1357" w:right="3804" w:hanging="336"/>
        <w:jc w:val="left"/>
        <w:rPr>
          <w:sz w:val="17"/>
        </w:rPr>
      </w:pPr>
      <w:r>
        <w:rPr>
          <w:sz w:val="17"/>
        </w:rPr>
        <w:t>Other General Administration (portion charged to restricted resources or specific goals only) (Functions 7200-7600, resources 2000-9999, objects 1000-5999; Functions</w:t>
      </w:r>
      <w:r>
        <w:rPr>
          <w:spacing w:val="38"/>
          <w:sz w:val="17"/>
        </w:rPr>
        <w:t> </w:t>
      </w:r>
      <w:r>
        <w:rPr>
          <w:sz w:val="17"/>
        </w:rPr>
        <w:t>7200-7600,</w:t>
      </w:r>
    </w:p>
    <w:p>
      <w:pPr>
        <w:tabs>
          <w:tab w:pos="11206" w:val="left" w:leader="none"/>
        </w:tabs>
        <w:spacing w:line="171" w:lineRule="exact" w:before="0"/>
        <w:ind w:left="1357" w:right="0" w:firstLine="0"/>
        <w:jc w:val="left"/>
        <w:rPr>
          <w:sz w:val="17"/>
        </w:rPr>
      </w:pPr>
      <w:r>
        <w:rPr>
          <w:sz w:val="17"/>
        </w:rPr>
        <w:t>resources 0000-1999, all goals except 0000 and 9000,</w:t>
      </w:r>
      <w:r>
        <w:rPr>
          <w:spacing w:val="42"/>
          <w:sz w:val="17"/>
        </w:rPr>
        <w:t> </w:t>
      </w:r>
      <w:r>
        <w:rPr>
          <w:sz w:val="17"/>
        </w:rPr>
        <w:t>objects</w:t>
      </w:r>
      <w:r>
        <w:rPr>
          <w:spacing w:val="6"/>
          <w:sz w:val="17"/>
        </w:rPr>
        <w:t> </w:t>
      </w:r>
      <w:r>
        <w:rPr>
          <w:sz w:val="17"/>
        </w:rPr>
        <w:t>1000-5999)</w:t>
        <w:tab/>
        <w:t>0.00</w:t>
      </w:r>
    </w:p>
    <w:p>
      <w:pPr>
        <w:pStyle w:val="ListParagraph"/>
        <w:numPr>
          <w:ilvl w:val="0"/>
          <w:numId w:val="50"/>
        </w:numPr>
        <w:tabs>
          <w:tab w:pos="1358" w:val="left" w:leader="none"/>
        </w:tabs>
        <w:spacing w:line="240" w:lineRule="auto" w:before="47" w:after="0"/>
        <w:ind w:left="1357" w:right="0" w:hanging="432"/>
        <w:jc w:val="left"/>
        <w:rPr>
          <w:sz w:val="17"/>
        </w:rPr>
      </w:pPr>
      <w:r>
        <w:rPr>
          <w:sz w:val="17"/>
        </w:rPr>
        <w:t>Centralized Data Processing (portion charged to restricted resources or specific goals</w:t>
      </w:r>
      <w:r>
        <w:rPr>
          <w:spacing w:val="9"/>
          <w:sz w:val="17"/>
        </w:rPr>
        <w:t> </w:t>
      </w:r>
      <w:r>
        <w:rPr>
          <w:sz w:val="17"/>
        </w:rPr>
        <w:t>only)</w:t>
      </w:r>
    </w:p>
    <w:p>
      <w:pPr>
        <w:spacing w:before="47"/>
        <w:ind w:left="1357" w:right="0" w:firstLine="0"/>
        <w:jc w:val="left"/>
        <w:rPr>
          <w:sz w:val="17"/>
        </w:rPr>
      </w:pPr>
      <w:r>
        <w:rPr>
          <w:sz w:val="17"/>
        </w:rPr>
        <w:t>(Function 7700, resources 2000-9999, objects 1000-5999; Function 7700, resources 0000-1999, all goals</w:t>
      </w:r>
    </w:p>
    <w:p>
      <w:pPr>
        <w:tabs>
          <w:tab w:pos="11206" w:val="left" w:leader="none"/>
        </w:tabs>
        <w:spacing w:before="23"/>
        <w:ind w:left="1357" w:right="0" w:firstLine="0"/>
        <w:jc w:val="left"/>
        <w:rPr>
          <w:sz w:val="17"/>
        </w:rPr>
      </w:pPr>
      <w:r>
        <w:rPr>
          <w:sz w:val="17"/>
        </w:rPr>
        <w:t>except 0000 and 9000,</w:t>
      </w:r>
      <w:r>
        <w:rPr>
          <w:spacing w:val="17"/>
          <w:sz w:val="17"/>
        </w:rPr>
        <w:t> </w:t>
      </w:r>
      <w:r>
        <w:rPr>
          <w:sz w:val="17"/>
        </w:rPr>
        <w:t>objects</w:t>
      </w:r>
      <w:r>
        <w:rPr>
          <w:spacing w:val="5"/>
          <w:sz w:val="17"/>
        </w:rPr>
        <w:t> </w:t>
      </w:r>
      <w:r>
        <w:rPr>
          <w:sz w:val="17"/>
        </w:rPr>
        <w:t>1000-5999)</w:t>
        <w:tab/>
        <w:t>0.00</w:t>
      </w:r>
    </w:p>
    <w:p>
      <w:pPr>
        <w:pStyle w:val="ListParagraph"/>
        <w:numPr>
          <w:ilvl w:val="0"/>
          <w:numId w:val="50"/>
        </w:numPr>
        <w:tabs>
          <w:tab w:pos="1358" w:val="left" w:leader="none"/>
        </w:tabs>
        <w:spacing w:line="240" w:lineRule="auto" w:before="22" w:after="0"/>
        <w:ind w:left="1357" w:right="0" w:hanging="432"/>
        <w:jc w:val="left"/>
        <w:rPr>
          <w:sz w:val="17"/>
        </w:rPr>
      </w:pPr>
      <w:r>
        <w:rPr>
          <w:sz w:val="17"/>
        </w:rPr>
        <w:t>Plant Maintenance and Operations (all except portion relating to general administrative</w:t>
      </w:r>
      <w:r>
        <w:rPr>
          <w:spacing w:val="9"/>
          <w:sz w:val="17"/>
        </w:rPr>
        <w:t> </w:t>
      </w:r>
      <w:r>
        <w:rPr>
          <w:sz w:val="17"/>
        </w:rPr>
        <w:t>offices)</w:t>
      </w:r>
    </w:p>
    <w:p>
      <w:pPr>
        <w:tabs>
          <w:tab w:pos="10678" w:val="left" w:leader="none"/>
        </w:tabs>
        <w:spacing w:before="47"/>
        <w:ind w:left="1357" w:right="0" w:firstLine="0"/>
        <w:jc w:val="left"/>
        <w:rPr>
          <w:sz w:val="17"/>
        </w:rPr>
      </w:pPr>
      <w:r>
        <w:rPr>
          <w:sz w:val="17"/>
        </w:rPr>
        <w:t>(Functions 8100-8400, objects 1000-5999 except 5100, minus Part III,</w:t>
      </w:r>
      <w:r>
        <w:rPr>
          <w:spacing w:val="46"/>
          <w:sz w:val="17"/>
        </w:rPr>
        <w:t> </w:t>
      </w:r>
      <w:r>
        <w:rPr>
          <w:sz w:val="17"/>
        </w:rPr>
        <w:t>Line</w:t>
      </w:r>
      <w:r>
        <w:rPr>
          <w:spacing w:val="6"/>
          <w:sz w:val="17"/>
        </w:rPr>
        <w:t> </w:t>
      </w:r>
      <w:r>
        <w:rPr>
          <w:sz w:val="17"/>
        </w:rPr>
        <w:t>A5)</w:t>
        <w:tab/>
        <w:t>243,472.31</w:t>
      </w:r>
    </w:p>
    <w:p>
      <w:pPr>
        <w:pStyle w:val="ListParagraph"/>
        <w:numPr>
          <w:ilvl w:val="0"/>
          <w:numId w:val="50"/>
        </w:numPr>
        <w:tabs>
          <w:tab w:pos="1358" w:val="left" w:leader="none"/>
        </w:tabs>
        <w:spacing w:line="240" w:lineRule="auto" w:before="47" w:after="0"/>
        <w:ind w:left="1357" w:right="0" w:hanging="432"/>
        <w:jc w:val="left"/>
        <w:rPr>
          <w:sz w:val="17"/>
        </w:rPr>
      </w:pPr>
      <w:r>
        <w:rPr>
          <w:sz w:val="17"/>
        </w:rPr>
        <w:t>Facilities Rents and Leases (all except portion relating to general administrative</w:t>
      </w:r>
      <w:r>
        <w:rPr>
          <w:spacing w:val="8"/>
          <w:sz w:val="17"/>
        </w:rPr>
        <w:t> </w:t>
      </w:r>
      <w:r>
        <w:rPr>
          <w:sz w:val="17"/>
        </w:rPr>
        <w:t>offices)</w:t>
      </w:r>
    </w:p>
    <w:p>
      <w:pPr>
        <w:tabs>
          <w:tab w:pos="10870" w:val="left" w:leader="none"/>
        </w:tabs>
        <w:spacing w:before="47"/>
        <w:ind w:left="1357" w:right="0" w:firstLine="0"/>
        <w:jc w:val="left"/>
        <w:rPr>
          <w:sz w:val="17"/>
        </w:rPr>
      </w:pPr>
      <w:r>
        <w:rPr>
          <w:sz w:val="17"/>
        </w:rPr>
        <w:t>(Function 8700, objects 1000-5999 except 5100, minus Part III,</w:t>
      </w:r>
      <w:r>
        <w:rPr>
          <w:spacing w:val="41"/>
          <w:sz w:val="17"/>
        </w:rPr>
        <w:t> </w:t>
      </w:r>
      <w:r>
        <w:rPr>
          <w:sz w:val="17"/>
        </w:rPr>
        <w:t>Line</w:t>
      </w:r>
      <w:r>
        <w:rPr>
          <w:spacing w:val="5"/>
          <w:sz w:val="17"/>
        </w:rPr>
        <w:t> </w:t>
      </w:r>
      <w:r>
        <w:rPr>
          <w:sz w:val="17"/>
        </w:rPr>
        <w:t>A6)</w:t>
        <w:tab/>
        <w:t>7,606.40</w:t>
      </w:r>
    </w:p>
    <w:p>
      <w:pPr>
        <w:pStyle w:val="ListParagraph"/>
        <w:numPr>
          <w:ilvl w:val="0"/>
          <w:numId w:val="50"/>
        </w:numPr>
        <w:tabs>
          <w:tab w:pos="1358" w:val="left" w:leader="none"/>
        </w:tabs>
        <w:spacing w:line="240" w:lineRule="auto" w:before="23" w:after="0"/>
        <w:ind w:left="1357" w:right="0" w:hanging="432"/>
        <w:jc w:val="left"/>
        <w:rPr>
          <w:sz w:val="17"/>
        </w:rPr>
      </w:pPr>
      <w:r>
        <w:rPr>
          <w:sz w:val="17"/>
        </w:rPr>
        <w:t>Adjustment for Employment Separation</w:t>
      </w:r>
      <w:r>
        <w:rPr>
          <w:spacing w:val="1"/>
          <w:sz w:val="17"/>
        </w:rPr>
        <w:t> </w:t>
      </w:r>
      <w:r>
        <w:rPr>
          <w:sz w:val="17"/>
        </w:rPr>
        <w:t>Costs</w:t>
      </w:r>
    </w:p>
    <w:p>
      <w:pPr>
        <w:pStyle w:val="ListParagraph"/>
        <w:numPr>
          <w:ilvl w:val="1"/>
          <w:numId w:val="50"/>
        </w:numPr>
        <w:tabs>
          <w:tab w:pos="1646" w:val="left" w:leader="none"/>
          <w:tab w:pos="11206" w:val="left" w:leader="none"/>
        </w:tabs>
        <w:spacing w:line="240" w:lineRule="auto" w:before="23" w:after="0"/>
        <w:ind w:left="1645" w:right="0" w:hanging="289"/>
        <w:jc w:val="left"/>
        <w:rPr>
          <w:sz w:val="17"/>
        </w:rPr>
      </w:pPr>
      <w:r>
        <w:rPr>
          <w:sz w:val="17"/>
        </w:rPr>
        <w:t>Less:  Normal Separation Costs (Part II,</w:t>
      </w:r>
      <w:r>
        <w:rPr>
          <w:spacing w:val="27"/>
          <w:sz w:val="17"/>
        </w:rPr>
        <w:t> </w:t>
      </w:r>
      <w:r>
        <w:rPr>
          <w:sz w:val="17"/>
        </w:rPr>
        <w:t>Line</w:t>
      </w:r>
      <w:r>
        <w:rPr>
          <w:spacing w:val="4"/>
          <w:sz w:val="17"/>
        </w:rPr>
        <w:t> </w:t>
      </w:r>
      <w:r>
        <w:rPr>
          <w:sz w:val="17"/>
        </w:rPr>
        <w:t>A)</w:t>
        <w:tab/>
        <w:t>0.00</w:t>
      </w:r>
    </w:p>
    <w:p>
      <w:pPr>
        <w:pStyle w:val="ListParagraph"/>
        <w:numPr>
          <w:ilvl w:val="1"/>
          <w:numId w:val="50"/>
        </w:numPr>
        <w:tabs>
          <w:tab w:pos="1646" w:val="left" w:leader="none"/>
          <w:tab w:pos="11206" w:val="left" w:leader="none"/>
        </w:tabs>
        <w:spacing w:line="240" w:lineRule="auto" w:before="23" w:after="0"/>
        <w:ind w:left="1645" w:right="0" w:hanging="289"/>
        <w:jc w:val="left"/>
        <w:rPr>
          <w:sz w:val="17"/>
        </w:rPr>
      </w:pPr>
      <w:r>
        <w:rPr>
          <w:sz w:val="17"/>
        </w:rPr>
        <w:t>Plus:  Abnormal or Mass Separation Costs (Part II,</w:t>
      </w:r>
      <w:r>
        <w:rPr>
          <w:spacing w:val="38"/>
          <w:sz w:val="17"/>
        </w:rPr>
        <w:t> </w:t>
      </w:r>
      <w:r>
        <w:rPr>
          <w:sz w:val="17"/>
        </w:rPr>
        <w:t>Line</w:t>
      </w:r>
      <w:r>
        <w:rPr>
          <w:spacing w:val="5"/>
          <w:sz w:val="17"/>
        </w:rPr>
        <w:t> </w:t>
      </w:r>
      <w:r>
        <w:rPr>
          <w:sz w:val="17"/>
        </w:rPr>
        <w:t>B)</w:t>
        <w:tab/>
        <w:t>0.00</w:t>
      </w:r>
    </w:p>
    <w:p>
      <w:pPr>
        <w:pStyle w:val="ListParagraph"/>
        <w:numPr>
          <w:ilvl w:val="0"/>
          <w:numId w:val="50"/>
        </w:numPr>
        <w:tabs>
          <w:tab w:pos="1358" w:val="left" w:leader="none"/>
          <w:tab w:pos="10870" w:val="left" w:leader="none"/>
          <w:tab w:pos="11206" w:val="left" w:leader="none"/>
        </w:tabs>
        <w:spacing w:line="276" w:lineRule="auto" w:before="23" w:after="0"/>
        <w:ind w:left="926" w:right="615" w:firstLine="0"/>
        <w:jc w:val="left"/>
        <w:rPr>
          <w:sz w:val="17"/>
        </w:rPr>
      </w:pPr>
      <w:r>
        <w:rPr>
          <w:sz w:val="17"/>
        </w:rPr>
        <w:t>Student Activity (Fund 08, functions 4000-5999, objects 1000-5999 </w:t>
      </w:r>
      <w:r>
        <w:rPr>
          <w:spacing w:val="7"/>
          <w:sz w:val="17"/>
        </w:rPr>
        <w:t> </w:t>
      </w:r>
      <w:r>
        <w:rPr>
          <w:sz w:val="17"/>
        </w:rPr>
        <w:t>except</w:t>
      </w:r>
      <w:r>
        <w:rPr>
          <w:spacing w:val="7"/>
          <w:sz w:val="17"/>
        </w:rPr>
        <w:t> </w:t>
      </w:r>
      <w:r>
        <w:rPr>
          <w:sz w:val="17"/>
        </w:rPr>
        <w:t>5100)</w:t>
        <w:tab/>
      </w:r>
      <w:r>
        <w:rPr>
          <w:spacing w:val="-3"/>
          <w:sz w:val="17"/>
        </w:rPr>
        <w:t>4,100.00 </w:t>
      </w:r>
      <w:r>
        <w:rPr>
          <w:sz w:val="17"/>
        </w:rPr>
        <w:t>15.     Adult Education (Fund 11, functions 1000-6999, 8100-8400, and 8700, objects 1000-5999</w:t>
      </w:r>
      <w:r>
        <w:rPr>
          <w:spacing w:val="38"/>
          <w:sz w:val="17"/>
        </w:rPr>
        <w:t> </w:t>
      </w:r>
      <w:r>
        <w:rPr>
          <w:sz w:val="17"/>
        </w:rPr>
        <w:t>except</w:t>
      </w:r>
      <w:r>
        <w:rPr>
          <w:spacing w:val="5"/>
          <w:sz w:val="17"/>
        </w:rPr>
        <w:t> </w:t>
      </w:r>
      <w:r>
        <w:rPr>
          <w:sz w:val="17"/>
        </w:rPr>
        <w:t>5100)</w:t>
        <w:tab/>
        <w:tab/>
      </w:r>
      <w:r>
        <w:rPr>
          <w:spacing w:val="-5"/>
          <w:sz w:val="17"/>
        </w:rPr>
        <w:t>0.00</w:t>
      </w:r>
    </w:p>
    <w:p>
      <w:pPr>
        <w:tabs>
          <w:tab w:pos="11206" w:val="left" w:leader="none"/>
        </w:tabs>
        <w:spacing w:before="18"/>
        <w:ind w:left="926" w:right="0" w:firstLine="0"/>
        <w:jc w:val="left"/>
        <w:rPr>
          <w:sz w:val="17"/>
        </w:rPr>
      </w:pPr>
      <w:r>
        <w:rPr>
          <w:sz w:val="17"/>
        </w:rPr>
        <w:t>16.     Child Development (Fund 12, functions 1000-6999, 8100-8400 &amp; 8700, objects 1000-5999 except 4700</w:t>
      </w:r>
      <w:r>
        <w:rPr>
          <w:spacing w:val="37"/>
          <w:sz w:val="17"/>
        </w:rPr>
        <w:t> </w:t>
      </w:r>
      <w:r>
        <w:rPr>
          <w:sz w:val="17"/>
        </w:rPr>
        <w:t>&amp;</w:t>
      </w:r>
      <w:r>
        <w:rPr>
          <w:spacing w:val="5"/>
          <w:sz w:val="17"/>
        </w:rPr>
        <w:t> </w:t>
      </w:r>
      <w:r>
        <w:rPr>
          <w:sz w:val="17"/>
        </w:rPr>
        <w:t>5100)</w:t>
        <w:tab/>
        <w:t>0.00</w:t>
      </w:r>
    </w:p>
    <w:p>
      <w:pPr>
        <w:tabs>
          <w:tab w:pos="11206" w:val="left" w:leader="none"/>
        </w:tabs>
        <w:spacing w:before="47"/>
        <w:ind w:left="926" w:right="0" w:firstLine="0"/>
        <w:jc w:val="left"/>
        <w:rPr>
          <w:sz w:val="17"/>
        </w:rPr>
      </w:pPr>
      <w:r>
        <w:rPr>
          <w:sz w:val="17"/>
        </w:rPr>
        <w:t>17.     Cafeteria (Funds 13 &amp; 61, functions 1000-6999, 8100-8400 &amp; 8700, objects 1000-5999 except 4700</w:t>
      </w:r>
      <w:r>
        <w:rPr>
          <w:spacing w:val="37"/>
          <w:sz w:val="17"/>
        </w:rPr>
        <w:t> </w:t>
      </w:r>
      <w:r>
        <w:rPr>
          <w:sz w:val="17"/>
        </w:rPr>
        <w:t>&amp;</w:t>
      </w:r>
      <w:r>
        <w:rPr>
          <w:spacing w:val="4"/>
          <w:sz w:val="17"/>
        </w:rPr>
        <w:t> </w:t>
      </w:r>
      <w:r>
        <w:rPr>
          <w:sz w:val="17"/>
        </w:rPr>
        <w:t>5100)</w:t>
        <w:tab/>
        <w:t>0.00</w:t>
      </w:r>
    </w:p>
    <w:p>
      <w:pPr>
        <w:tabs>
          <w:tab w:pos="11206" w:val="left" w:leader="none"/>
        </w:tabs>
        <w:spacing w:before="47"/>
        <w:ind w:left="926" w:right="0" w:firstLine="0"/>
        <w:jc w:val="left"/>
        <w:rPr>
          <w:sz w:val="17"/>
        </w:rPr>
      </w:pPr>
      <w:r>
        <w:rPr>
          <w:sz w:val="17"/>
        </w:rPr>
        <w:t>18.     Foundation (Funds 19 &amp; 57, functions 1000-6999, 8100-8400 &amp; 8700, objects 1000-5999 except 4700</w:t>
      </w:r>
      <w:r>
        <w:rPr>
          <w:spacing w:val="36"/>
          <w:sz w:val="17"/>
        </w:rPr>
        <w:t> </w:t>
      </w:r>
      <w:r>
        <w:rPr>
          <w:sz w:val="17"/>
        </w:rPr>
        <w:t>&amp;</w:t>
      </w:r>
      <w:r>
        <w:rPr>
          <w:spacing w:val="5"/>
          <w:sz w:val="17"/>
        </w:rPr>
        <w:t> </w:t>
      </w:r>
      <w:r>
        <w:rPr>
          <w:sz w:val="17"/>
        </w:rPr>
        <w:t>5100)</w:t>
        <w:tab/>
        <w:t>0.00</w:t>
      </w:r>
    </w:p>
    <w:p>
      <w:pPr>
        <w:tabs>
          <w:tab w:pos="10534" w:val="left" w:leader="none"/>
        </w:tabs>
        <w:spacing w:before="47"/>
        <w:ind w:left="926" w:right="0" w:firstLine="0"/>
        <w:jc w:val="left"/>
        <w:rPr>
          <w:sz w:val="17"/>
        </w:rPr>
      </w:pPr>
      <w:r>
        <w:rPr>
          <w:sz w:val="17"/>
        </w:rPr>
        <w:t>19.     Total Base Costs (Lines B1 through B12 and Lines B13b through B18, minus</w:t>
      </w:r>
      <w:r>
        <w:rPr>
          <w:spacing w:val="22"/>
          <w:sz w:val="17"/>
        </w:rPr>
        <w:t> </w:t>
      </w:r>
      <w:r>
        <w:rPr>
          <w:sz w:val="17"/>
        </w:rPr>
        <w:t>Line</w:t>
      </w:r>
      <w:r>
        <w:rPr>
          <w:spacing w:val="4"/>
          <w:sz w:val="17"/>
        </w:rPr>
        <w:t> </w:t>
      </w:r>
      <w:r>
        <w:rPr>
          <w:sz w:val="17"/>
        </w:rPr>
        <w:t>B13a)</w:t>
        <w:tab/>
        <w:t>1,764,010.71</w:t>
      </w:r>
    </w:p>
    <w:p>
      <w:pPr>
        <w:pStyle w:val="ListParagraph"/>
        <w:numPr>
          <w:ilvl w:val="0"/>
          <w:numId w:val="49"/>
        </w:numPr>
        <w:tabs>
          <w:tab w:pos="955" w:val="left" w:leader="none"/>
        </w:tabs>
        <w:spacing w:line="240" w:lineRule="auto" w:before="52" w:after="0"/>
        <w:ind w:left="954" w:right="0" w:hanging="365"/>
        <w:jc w:val="left"/>
        <w:rPr>
          <w:b/>
          <w:sz w:val="17"/>
        </w:rPr>
      </w:pPr>
      <w:r>
        <w:rPr>
          <w:b/>
          <w:sz w:val="17"/>
        </w:rPr>
        <w:t>Straight Indirect Cost Percentage Before Carry-Forward</w:t>
      </w:r>
      <w:r>
        <w:rPr>
          <w:b/>
          <w:spacing w:val="1"/>
          <w:sz w:val="17"/>
        </w:rPr>
        <w:t> </w:t>
      </w:r>
      <w:r>
        <w:rPr>
          <w:b/>
          <w:sz w:val="17"/>
        </w:rPr>
        <w:t>Adjustment</w:t>
      </w:r>
    </w:p>
    <w:p>
      <w:pPr>
        <w:spacing w:before="23"/>
        <w:ind w:left="974" w:right="0" w:firstLine="0"/>
        <w:jc w:val="left"/>
        <w:rPr>
          <w:b/>
          <w:sz w:val="17"/>
        </w:rPr>
      </w:pPr>
      <w:r>
        <w:rPr>
          <w:b/>
          <w:sz w:val="17"/>
        </w:rPr>
        <w:t>(For information only - not for use when claiming/recovering indirect costs)</w:t>
      </w:r>
    </w:p>
    <w:p>
      <w:pPr>
        <w:tabs>
          <w:tab w:pos="11110" w:val="left" w:leader="none"/>
        </w:tabs>
        <w:spacing w:before="32"/>
        <w:ind w:left="974" w:right="0" w:firstLine="0"/>
        <w:jc w:val="left"/>
        <w:rPr>
          <w:sz w:val="17"/>
        </w:rPr>
      </w:pPr>
      <w:r>
        <w:rPr>
          <w:sz w:val="17"/>
        </w:rPr>
        <w:t>(Line A8 divided by</w:t>
      </w:r>
      <w:r>
        <w:rPr>
          <w:spacing w:val="12"/>
          <w:sz w:val="17"/>
        </w:rPr>
        <w:t> </w:t>
      </w:r>
      <w:r>
        <w:rPr>
          <w:sz w:val="17"/>
        </w:rPr>
        <w:t>Line</w:t>
      </w:r>
      <w:r>
        <w:rPr>
          <w:spacing w:val="5"/>
          <w:sz w:val="17"/>
        </w:rPr>
        <w:t> </w:t>
      </w:r>
      <w:r>
        <w:rPr>
          <w:sz w:val="17"/>
        </w:rPr>
        <w:t>B19)</w:t>
        <w:tab/>
        <w:t>9.14%</w:t>
      </w:r>
    </w:p>
    <w:p>
      <w:pPr>
        <w:pStyle w:val="ListParagraph"/>
        <w:numPr>
          <w:ilvl w:val="0"/>
          <w:numId w:val="49"/>
        </w:numPr>
        <w:tabs>
          <w:tab w:pos="955" w:val="left" w:leader="none"/>
        </w:tabs>
        <w:spacing w:line="240" w:lineRule="auto" w:before="93" w:after="0"/>
        <w:ind w:left="954" w:right="0" w:hanging="365"/>
        <w:jc w:val="left"/>
        <w:rPr>
          <w:b/>
          <w:sz w:val="17"/>
        </w:rPr>
      </w:pPr>
      <w:r>
        <w:rPr>
          <w:b/>
          <w:sz w:val="17"/>
        </w:rPr>
        <w:t>Preliminary Proposed Indirect Cost</w:t>
      </w:r>
      <w:r>
        <w:rPr>
          <w:b/>
          <w:spacing w:val="-4"/>
          <w:sz w:val="17"/>
        </w:rPr>
        <w:t> </w:t>
      </w:r>
      <w:r>
        <w:rPr>
          <w:b/>
          <w:sz w:val="17"/>
        </w:rPr>
        <w:t>Rate</w:t>
      </w:r>
    </w:p>
    <w:p>
      <w:pPr>
        <w:spacing w:before="23"/>
        <w:ind w:left="974" w:right="0" w:firstLine="0"/>
        <w:jc w:val="left"/>
        <w:rPr>
          <w:b/>
          <w:sz w:val="17"/>
        </w:rPr>
      </w:pPr>
      <w:r>
        <w:rPr>
          <w:b/>
          <w:sz w:val="17"/>
        </w:rPr>
        <w:t>(For final approved fixed-with-carry-forward rate for use in 2022-23 see </w:t>
      </w:r>
      <w:hyperlink r:id="rId1130">
        <w:r>
          <w:rPr>
            <w:b/>
            <w:sz w:val="17"/>
          </w:rPr>
          <w:t>www.cde.ca.gov/fg/ac/ic)</w:t>
        </w:r>
      </w:hyperlink>
    </w:p>
    <w:p>
      <w:pPr>
        <w:tabs>
          <w:tab w:pos="11014" w:val="left" w:leader="none"/>
        </w:tabs>
        <w:spacing w:before="49"/>
        <w:ind w:left="974" w:right="0" w:firstLine="0"/>
        <w:jc w:val="left"/>
        <w:rPr>
          <w:sz w:val="17"/>
        </w:rPr>
      </w:pPr>
      <w:r>
        <w:rPr>
          <w:sz w:val="17"/>
        </w:rPr>
        <w:t>(Line A10 divided by</w:t>
      </w:r>
      <w:r>
        <w:rPr>
          <w:spacing w:val="13"/>
          <w:sz w:val="17"/>
        </w:rPr>
        <w:t> </w:t>
      </w:r>
      <w:r>
        <w:rPr>
          <w:sz w:val="17"/>
        </w:rPr>
        <w:t>Line</w:t>
      </w:r>
      <w:r>
        <w:rPr>
          <w:spacing w:val="4"/>
          <w:sz w:val="17"/>
        </w:rPr>
        <w:t> </w:t>
      </w:r>
      <w:r>
        <w:rPr>
          <w:sz w:val="17"/>
        </w:rPr>
        <w:t>B19)</w:t>
        <w:tab/>
        <w:t>11.87%</w:t>
      </w:r>
    </w:p>
    <w:p>
      <w:pPr>
        <w:spacing w:after="0"/>
        <w:jc w:val="left"/>
        <w:rPr>
          <w:sz w:val="17"/>
        </w:rPr>
        <w:sectPr>
          <w:pgSz w:w="12240" w:h="15840"/>
          <w:pgMar w:header="309" w:footer="693" w:top="880" w:bottom="880" w:left="40" w:right="40"/>
        </w:sectPr>
      </w:pPr>
    </w:p>
    <w:p>
      <w:pPr>
        <w:pStyle w:val="BodyText"/>
        <w:rPr>
          <w:sz w:val="20"/>
        </w:rPr>
      </w:pPr>
      <w:r>
        <w:rPr/>
        <w:pict>
          <v:group style="position:absolute;margin-left:17.280001pt;margin-top:61.320004pt;width:577.35pt;height:634.450pt;mso-position-horizontal-relative:page;mso-position-vertical-relative:page;z-index:-314153984" coordorigin="346,1226" coordsize="11547,12689">
            <v:shape style="position:absolute;left:345;top:1226;width:11547;height:447" type="#_x0000_t75" stroked="false">
              <v:imagedata r:id="rId1131" o:title=""/>
            </v:shape>
            <v:shape style="position:absolute;left:9957;top:4291;width:1721;height:8" type="#_x0000_t75" stroked="false">
              <v:imagedata r:id="rId1123" o:title=""/>
            </v:shape>
            <v:shape style="position:absolute;left:9957;top:5164;width:1721;height:8" type="#_x0000_t75" stroked="false">
              <v:imagedata r:id="rId1123" o:title=""/>
            </v:shape>
            <v:shape style="position:absolute;left:9957;top:5601;width:1721;height:8" type="#_x0000_t75" stroked="false">
              <v:imagedata r:id="rId1123" o:title=""/>
            </v:shape>
            <v:shape style="position:absolute;left:9957;top:6693;width:1721;height:8" type="#_x0000_t75" stroked="false">
              <v:imagedata r:id="rId1123" o:title=""/>
            </v:shape>
            <v:shape style="position:absolute;left:9957;top:7567;width:1721;height:8" type="#_x0000_t75" stroked="false">
              <v:imagedata r:id="rId1123" o:title=""/>
            </v:shape>
            <v:shape style="position:absolute;left:9957;top:8004;width:1721;height:8" type="#_x0000_t75" stroked="false">
              <v:imagedata r:id="rId1123" o:title=""/>
            </v:shape>
            <v:shape style="position:absolute;left:345;top:1452;width:11547;height:12464" type="#_x0000_t75" stroked="false">
              <v:imagedata r:id="rId1132" o:title=""/>
            </v:shape>
            <v:shape style="position:absolute;left:9957;top:10188;width:1721;height:8" type="#_x0000_t75" stroked="false">
              <v:imagedata r:id="rId1123" o:title=""/>
            </v:shape>
            <v:shape style="position:absolute;left:9957;top:11061;width:1721;height:8" type="#_x0000_t75" stroked="false">
              <v:imagedata r:id="rId1123" o:title=""/>
            </v:shape>
            <v:shape style="position:absolute;left:9957;top:11942;width:1721;height:8" type="#_x0000_t75" stroked="false">
              <v:imagedata r:id="rId1123" o:title=""/>
            </v:shape>
            <v:shape style="position:absolute;left:9957;top:12784;width:1721;height:8" type="#_x0000_t75" stroked="false">
              <v:imagedata r:id="rId1123" o:title=""/>
            </v:shape>
            <v:shape style="position:absolute;left:9957;top:13440;width:1721;height:8" type="#_x0000_t75" stroked="false">
              <v:imagedata r:id="rId1123" o:title=""/>
            </v:shape>
            <w10:wrap type="none"/>
          </v:group>
        </w:pict>
      </w:r>
    </w:p>
    <w:p>
      <w:pPr>
        <w:pStyle w:val="BodyText"/>
        <w:spacing w:before="1"/>
        <w:rPr>
          <w:sz w:val="22"/>
        </w:rPr>
      </w:pPr>
    </w:p>
    <w:p>
      <w:pPr>
        <w:spacing w:before="97"/>
        <w:ind w:left="590" w:right="0" w:firstLine="0"/>
        <w:jc w:val="left"/>
        <w:rPr>
          <w:b/>
          <w:sz w:val="17"/>
        </w:rPr>
      </w:pPr>
      <w:r>
        <w:rPr>
          <w:b/>
          <w:sz w:val="17"/>
        </w:rPr>
        <w:t>Part IV - Carry-forward Adjustment</w:t>
      </w:r>
    </w:p>
    <w:p>
      <w:pPr>
        <w:pStyle w:val="BodyText"/>
        <w:spacing w:before="9"/>
        <w:rPr>
          <w:b/>
          <w:sz w:val="12"/>
        </w:rPr>
      </w:pPr>
    </w:p>
    <w:p>
      <w:pPr>
        <w:spacing w:line="268" w:lineRule="auto" w:before="97"/>
        <w:ind w:left="590" w:right="1468" w:firstLine="0"/>
        <w:jc w:val="left"/>
        <w:rPr>
          <w:sz w:val="17"/>
        </w:rPr>
      </w:pPr>
      <w:r>
        <w:rPr>
          <w:sz w:val="17"/>
        </w:rPr>
        <w:t>The carry-forward adjustment is an after-the-fact adjustment for the difference between indirect costs recoverable using the indirect cost rate approved for use in a given year, and the actual indirect costs incurred in that year. The carry-forward adjustment eliminates the need for LEAs to file amended federal reports when their actual indirect costs vary from the estimated indirect costs on which the approved rate was</w:t>
      </w:r>
      <w:r>
        <w:rPr>
          <w:spacing w:val="-1"/>
          <w:sz w:val="17"/>
        </w:rPr>
        <w:t> </w:t>
      </w:r>
      <w:r>
        <w:rPr>
          <w:sz w:val="17"/>
        </w:rPr>
        <w:t>based.</w:t>
      </w:r>
    </w:p>
    <w:p>
      <w:pPr>
        <w:pStyle w:val="BodyText"/>
        <w:spacing w:before="4"/>
        <w:rPr>
          <w:sz w:val="10"/>
        </w:rPr>
      </w:pPr>
    </w:p>
    <w:p>
      <w:pPr>
        <w:spacing w:line="268" w:lineRule="auto" w:before="97"/>
        <w:ind w:left="590" w:right="1128" w:firstLine="0"/>
        <w:jc w:val="left"/>
        <w:rPr>
          <w:sz w:val="17"/>
        </w:rPr>
      </w:pPr>
      <w:r>
        <w:rPr>
          <w:sz w:val="17"/>
        </w:rPr>
        <w:t>Where the ratio of indirect costs incurred in the current year is less than the estimated ratio of indirect costs on which the approved rate for use in the current year was based, the carry-forward adjustment is limited by using either the approved rate times current year base costs, or the highest rate actually used to recover costs from any program times current year base costs, if the highest rate used was less than   the approved rate. Rates used to recover costs from programs are displayed in Exhibit</w:t>
      </w:r>
      <w:r>
        <w:rPr>
          <w:spacing w:val="7"/>
          <w:sz w:val="17"/>
        </w:rPr>
        <w:t> </w:t>
      </w:r>
      <w:r>
        <w:rPr>
          <w:sz w:val="17"/>
        </w:rPr>
        <w:t>A.</w:t>
      </w:r>
    </w:p>
    <w:p>
      <w:pPr>
        <w:pStyle w:val="BodyText"/>
        <w:spacing w:before="2"/>
        <w:rPr>
          <w:sz w:val="10"/>
        </w:rPr>
      </w:pPr>
    </w:p>
    <w:p>
      <w:pPr>
        <w:pStyle w:val="ListParagraph"/>
        <w:numPr>
          <w:ilvl w:val="0"/>
          <w:numId w:val="51"/>
        </w:numPr>
        <w:tabs>
          <w:tab w:pos="995" w:val="left" w:leader="none"/>
          <w:tab w:pos="996" w:val="left" w:leader="none"/>
          <w:tab w:pos="10678" w:val="left" w:leader="none"/>
        </w:tabs>
        <w:spacing w:line="240" w:lineRule="auto" w:before="100" w:after="0"/>
        <w:ind w:left="995" w:right="0" w:hanging="406"/>
        <w:jc w:val="left"/>
        <w:rPr>
          <w:sz w:val="17"/>
        </w:rPr>
      </w:pPr>
      <w:r>
        <w:rPr>
          <w:b/>
          <w:sz w:val="17"/>
        </w:rPr>
        <w:t>Indirect costs incurred in the current year (Part III,  Line</w:t>
      </w:r>
      <w:r>
        <w:rPr>
          <w:b/>
          <w:spacing w:val="4"/>
          <w:sz w:val="17"/>
        </w:rPr>
        <w:t> </w:t>
      </w:r>
      <w:r>
        <w:rPr>
          <w:b/>
          <w:spacing w:val="-3"/>
          <w:sz w:val="17"/>
        </w:rPr>
        <w:t>A8)</w:t>
        <w:tab/>
      </w:r>
      <w:r>
        <w:rPr>
          <w:sz w:val="17"/>
        </w:rPr>
        <w:t>161,151.29</w:t>
      </w:r>
    </w:p>
    <w:p>
      <w:pPr>
        <w:pStyle w:val="BodyText"/>
        <w:spacing w:before="4"/>
        <w:rPr>
          <w:sz w:val="12"/>
        </w:rPr>
      </w:pPr>
    </w:p>
    <w:p>
      <w:pPr>
        <w:pStyle w:val="ListParagraph"/>
        <w:numPr>
          <w:ilvl w:val="0"/>
          <w:numId w:val="51"/>
        </w:numPr>
        <w:tabs>
          <w:tab w:pos="1002" w:val="left" w:leader="none"/>
          <w:tab w:pos="1003" w:val="left" w:leader="none"/>
        </w:tabs>
        <w:spacing w:line="240" w:lineRule="auto" w:before="96" w:after="0"/>
        <w:ind w:left="1002" w:right="0" w:hanging="413"/>
        <w:jc w:val="left"/>
        <w:rPr>
          <w:b/>
          <w:sz w:val="17"/>
        </w:rPr>
      </w:pPr>
      <w:r>
        <w:rPr>
          <w:b/>
          <w:sz w:val="17"/>
        </w:rPr>
        <w:t>Carry-forward adjustment from prior</w:t>
      </w:r>
      <w:r>
        <w:rPr>
          <w:b/>
          <w:spacing w:val="-1"/>
          <w:sz w:val="17"/>
        </w:rPr>
        <w:t> </w:t>
      </w:r>
      <w:r>
        <w:rPr>
          <w:b/>
          <w:sz w:val="17"/>
        </w:rPr>
        <w:t>year(s)</w:t>
      </w:r>
    </w:p>
    <w:p>
      <w:pPr>
        <w:pStyle w:val="BodyText"/>
        <w:spacing w:before="9"/>
        <w:rPr>
          <w:b/>
          <w:sz w:val="12"/>
        </w:rPr>
      </w:pPr>
    </w:p>
    <w:p>
      <w:pPr>
        <w:pStyle w:val="ListParagraph"/>
        <w:numPr>
          <w:ilvl w:val="1"/>
          <w:numId w:val="51"/>
        </w:numPr>
        <w:tabs>
          <w:tab w:pos="1358" w:val="left" w:leader="none"/>
          <w:tab w:pos="11206" w:val="left" w:leader="none"/>
        </w:tabs>
        <w:spacing w:line="240" w:lineRule="auto" w:before="97" w:after="0"/>
        <w:ind w:left="1357" w:right="0" w:hanging="336"/>
        <w:jc w:val="left"/>
        <w:rPr>
          <w:sz w:val="17"/>
        </w:rPr>
      </w:pPr>
      <w:r>
        <w:rPr>
          <w:sz w:val="17"/>
        </w:rPr>
        <w:t>Carry-forward adjustment from the second</w:t>
      </w:r>
      <w:r>
        <w:rPr>
          <w:spacing w:val="24"/>
          <w:sz w:val="17"/>
        </w:rPr>
        <w:t> </w:t>
      </w:r>
      <w:r>
        <w:rPr>
          <w:sz w:val="17"/>
        </w:rPr>
        <w:t>prior</w:t>
      </w:r>
      <w:r>
        <w:rPr>
          <w:spacing w:val="5"/>
          <w:sz w:val="17"/>
        </w:rPr>
        <w:t> </w:t>
      </w:r>
      <w:r>
        <w:rPr>
          <w:sz w:val="17"/>
        </w:rPr>
        <w:t>year</w:t>
        <w:tab/>
        <w:t>0.00</w:t>
      </w:r>
    </w:p>
    <w:p>
      <w:pPr>
        <w:pStyle w:val="BodyText"/>
        <w:spacing w:before="7"/>
        <w:rPr>
          <w:sz w:val="12"/>
        </w:rPr>
      </w:pPr>
    </w:p>
    <w:p>
      <w:pPr>
        <w:pStyle w:val="ListParagraph"/>
        <w:numPr>
          <w:ilvl w:val="1"/>
          <w:numId w:val="51"/>
        </w:numPr>
        <w:tabs>
          <w:tab w:pos="1358" w:val="left" w:leader="none"/>
          <w:tab w:pos="11206" w:val="left" w:leader="none"/>
        </w:tabs>
        <w:spacing w:line="240" w:lineRule="auto" w:before="97" w:after="0"/>
        <w:ind w:left="1357" w:right="0" w:hanging="336"/>
        <w:jc w:val="left"/>
        <w:rPr>
          <w:sz w:val="17"/>
        </w:rPr>
      </w:pPr>
      <w:r>
        <w:rPr>
          <w:sz w:val="17"/>
        </w:rPr>
        <w:t>Carry-forward adjustment amount deferred from prior year(s),</w:t>
      </w:r>
      <w:r>
        <w:rPr>
          <w:spacing w:val="38"/>
          <w:sz w:val="17"/>
        </w:rPr>
        <w:t> </w:t>
      </w:r>
      <w:r>
        <w:rPr>
          <w:sz w:val="17"/>
        </w:rPr>
        <w:t>if</w:t>
      </w:r>
      <w:r>
        <w:rPr>
          <w:spacing w:val="8"/>
          <w:sz w:val="17"/>
        </w:rPr>
        <w:t> </w:t>
      </w:r>
      <w:r>
        <w:rPr>
          <w:sz w:val="17"/>
        </w:rPr>
        <w:t>any</w:t>
        <w:tab/>
        <w:t>0.00</w:t>
      </w:r>
    </w:p>
    <w:p>
      <w:pPr>
        <w:pStyle w:val="BodyText"/>
        <w:spacing w:before="4"/>
        <w:rPr>
          <w:sz w:val="12"/>
        </w:rPr>
      </w:pPr>
    </w:p>
    <w:p>
      <w:pPr>
        <w:pStyle w:val="ListParagraph"/>
        <w:numPr>
          <w:ilvl w:val="0"/>
          <w:numId w:val="51"/>
        </w:numPr>
        <w:tabs>
          <w:tab w:pos="1002" w:val="left" w:leader="none"/>
          <w:tab w:pos="1003" w:val="left" w:leader="none"/>
        </w:tabs>
        <w:spacing w:line="240" w:lineRule="auto" w:before="96" w:after="0"/>
        <w:ind w:left="1002" w:right="0" w:hanging="413"/>
        <w:jc w:val="left"/>
        <w:rPr>
          <w:b/>
          <w:sz w:val="17"/>
        </w:rPr>
      </w:pPr>
      <w:r>
        <w:rPr>
          <w:b/>
          <w:sz w:val="17"/>
        </w:rPr>
        <w:t>Carry-forward adjustment for under- or over-recovery in the current</w:t>
      </w:r>
      <w:r>
        <w:rPr>
          <w:b/>
          <w:spacing w:val="-1"/>
          <w:sz w:val="17"/>
        </w:rPr>
        <w:t> </w:t>
      </w:r>
      <w:r>
        <w:rPr>
          <w:b/>
          <w:sz w:val="17"/>
        </w:rPr>
        <w:t>year</w:t>
      </w:r>
    </w:p>
    <w:p>
      <w:pPr>
        <w:pStyle w:val="BodyText"/>
        <w:spacing w:before="9"/>
        <w:rPr>
          <w:b/>
          <w:sz w:val="12"/>
        </w:rPr>
      </w:pPr>
    </w:p>
    <w:p>
      <w:pPr>
        <w:pStyle w:val="ListParagraph"/>
        <w:numPr>
          <w:ilvl w:val="1"/>
          <w:numId w:val="51"/>
        </w:numPr>
        <w:tabs>
          <w:tab w:pos="1358" w:val="left" w:leader="none"/>
        </w:tabs>
        <w:spacing w:line="240" w:lineRule="auto" w:before="97" w:after="0"/>
        <w:ind w:left="1357" w:right="0" w:hanging="336"/>
        <w:jc w:val="left"/>
        <w:rPr>
          <w:sz w:val="17"/>
        </w:rPr>
      </w:pPr>
      <w:r>
        <w:rPr>
          <w:sz w:val="17"/>
        </w:rPr>
        <w:t>Under-recovery: Part III, Line A8, plus carry-forward adjustment from prior years, minus (approved</w:t>
      </w:r>
      <w:r>
        <w:rPr>
          <w:spacing w:val="12"/>
          <w:sz w:val="17"/>
        </w:rPr>
        <w:t> </w:t>
      </w:r>
      <w:r>
        <w:rPr>
          <w:sz w:val="17"/>
        </w:rPr>
        <w:t>indirect</w:t>
      </w:r>
    </w:p>
    <w:p>
      <w:pPr>
        <w:tabs>
          <w:tab w:pos="10774" w:val="left" w:leader="none"/>
        </w:tabs>
        <w:spacing w:before="23"/>
        <w:ind w:left="1357" w:right="0" w:firstLine="0"/>
        <w:jc w:val="left"/>
        <w:rPr>
          <w:sz w:val="17"/>
        </w:rPr>
      </w:pPr>
      <w:r>
        <w:rPr>
          <w:sz w:val="17"/>
        </w:rPr>
        <w:t>cost rate (6.4%) times Part III, Line B19); zero</w:t>
      </w:r>
      <w:r>
        <w:rPr>
          <w:spacing w:val="36"/>
          <w:sz w:val="17"/>
        </w:rPr>
        <w:t> </w:t>
      </w:r>
      <w:r>
        <w:rPr>
          <w:sz w:val="17"/>
        </w:rPr>
        <w:t>if</w:t>
      </w:r>
      <w:r>
        <w:rPr>
          <w:spacing w:val="6"/>
          <w:sz w:val="17"/>
        </w:rPr>
        <w:t> </w:t>
      </w:r>
      <w:r>
        <w:rPr>
          <w:sz w:val="17"/>
        </w:rPr>
        <w:t>negative</w:t>
        <w:tab/>
        <w:t>48,254.60</w:t>
      </w:r>
    </w:p>
    <w:p>
      <w:pPr>
        <w:pStyle w:val="BodyText"/>
        <w:spacing w:before="7"/>
        <w:rPr>
          <w:sz w:val="12"/>
        </w:rPr>
      </w:pPr>
    </w:p>
    <w:p>
      <w:pPr>
        <w:pStyle w:val="ListParagraph"/>
        <w:numPr>
          <w:ilvl w:val="1"/>
          <w:numId w:val="51"/>
        </w:numPr>
        <w:tabs>
          <w:tab w:pos="1358" w:val="left" w:leader="none"/>
        </w:tabs>
        <w:spacing w:line="268" w:lineRule="auto" w:before="96" w:after="0"/>
        <w:ind w:left="1357" w:right="3265" w:hanging="336"/>
        <w:jc w:val="left"/>
        <w:rPr>
          <w:sz w:val="17"/>
        </w:rPr>
      </w:pPr>
      <w:r>
        <w:rPr>
          <w:sz w:val="17"/>
        </w:rPr>
        <w:t>Over-recovery: Part III, Line A8, plus carry-forward adjustment from prior years, minus the lesser of (approved indirect cost rate (6.4%) times Part III, Line B19) or (the highest rate used</w:t>
      </w:r>
      <w:r>
        <w:rPr>
          <w:spacing w:val="30"/>
          <w:sz w:val="17"/>
        </w:rPr>
        <w:t> </w:t>
      </w:r>
      <w:r>
        <w:rPr>
          <w:sz w:val="17"/>
        </w:rPr>
        <w:t>to</w:t>
      </w:r>
    </w:p>
    <w:p>
      <w:pPr>
        <w:tabs>
          <w:tab w:pos="11206" w:val="left" w:leader="none"/>
        </w:tabs>
        <w:spacing w:line="194" w:lineRule="exact" w:before="0"/>
        <w:ind w:left="1357" w:right="0" w:firstLine="0"/>
        <w:jc w:val="left"/>
        <w:rPr>
          <w:sz w:val="17"/>
        </w:rPr>
      </w:pPr>
      <w:r>
        <w:rPr>
          <w:sz w:val="17"/>
        </w:rPr>
        <w:t>recover costs from any program (0%) times Part III, Line B19); zero  if</w:t>
      </w:r>
      <w:r>
        <w:rPr>
          <w:spacing w:val="7"/>
          <w:sz w:val="17"/>
        </w:rPr>
        <w:t> </w:t>
      </w:r>
      <w:r>
        <w:rPr>
          <w:sz w:val="17"/>
        </w:rPr>
        <w:t>positive</w:t>
        <w:tab/>
        <w:t>0.00</w:t>
      </w:r>
    </w:p>
    <w:p>
      <w:pPr>
        <w:pStyle w:val="BodyText"/>
        <w:spacing w:before="4"/>
        <w:rPr>
          <w:sz w:val="12"/>
        </w:rPr>
      </w:pPr>
    </w:p>
    <w:p>
      <w:pPr>
        <w:pStyle w:val="ListParagraph"/>
        <w:numPr>
          <w:ilvl w:val="0"/>
          <w:numId w:val="51"/>
        </w:numPr>
        <w:tabs>
          <w:tab w:pos="1002" w:val="left" w:leader="none"/>
          <w:tab w:pos="1003" w:val="left" w:leader="none"/>
          <w:tab w:pos="10774" w:val="left" w:leader="none"/>
        </w:tabs>
        <w:spacing w:line="240" w:lineRule="auto" w:before="100" w:after="0"/>
        <w:ind w:left="1002" w:right="0" w:hanging="413"/>
        <w:jc w:val="left"/>
        <w:rPr>
          <w:sz w:val="17"/>
        </w:rPr>
      </w:pPr>
      <w:r>
        <w:rPr>
          <w:b/>
          <w:sz w:val="17"/>
        </w:rPr>
        <w:t>Preliminary carry-forward adjustment (Line C1</w:t>
      </w:r>
      <w:r>
        <w:rPr>
          <w:b/>
          <w:spacing w:val="30"/>
          <w:sz w:val="17"/>
        </w:rPr>
        <w:t> </w:t>
      </w:r>
      <w:r>
        <w:rPr>
          <w:b/>
          <w:sz w:val="17"/>
        </w:rPr>
        <w:t>or</w:t>
      </w:r>
      <w:r>
        <w:rPr>
          <w:b/>
          <w:spacing w:val="8"/>
          <w:sz w:val="17"/>
        </w:rPr>
        <w:t> </w:t>
      </w:r>
      <w:r>
        <w:rPr>
          <w:b/>
          <w:sz w:val="17"/>
        </w:rPr>
        <w:t>C2)</w:t>
        <w:tab/>
      </w:r>
      <w:r>
        <w:rPr>
          <w:sz w:val="17"/>
        </w:rPr>
        <w:t>48,254.60</w:t>
      </w:r>
    </w:p>
    <w:p>
      <w:pPr>
        <w:pStyle w:val="BodyText"/>
        <w:spacing w:before="4"/>
        <w:rPr>
          <w:sz w:val="12"/>
        </w:rPr>
      </w:pPr>
    </w:p>
    <w:p>
      <w:pPr>
        <w:pStyle w:val="ListParagraph"/>
        <w:numPr>
          <w:ilvl w:val="0"/>
          <w:numId w:val="51"/>
        </w:numPr>
        <w:tabs>
          <w:tab w:pos="993" w:val="left" w:leader="none"/>
          <w:tab w:pos="994" w:val="left" w:leader="none"/>
        </w:tabs>
        <w:spacing w:line="240" w:lineRule="auto" w:before="97" w:after="0"/>
        <w:ind w:left="993" w:right="0" w:hanging="404"/>
        <w:jc w:val="left"/>
        <w:rPr>
          <w:b/>
          <w:sz w:val="17"/>
        </w:rPr>
      </w:pPr>
      <w:r>
        <w:rPr>
          <w:b/>
          <w:sz w:val="17"/>
        </w:rPr>
        <w:t>Optional allocation of negative carry-forward adjustment over more than one</w:t>
      </w:r>
      <w:r>
        <w:rPr>
          <w:b/>
          <w:spacing w:val="7"/>
          <w:sz w:val="17"/>
        </w:rPr>
        <w:t> </w:t>
      </w:r>
      <w:r>
        <w:rPr>
          <w:b/>
          <w:sz w:val="17"/>
        </w:rPr>
        <w:t>year</w:t>
      </w:r>
    </w:p>
    <w:p>
      <w:pPr>
        <w:pStyle w:val="BodyText"/>
        <w:spacing w:before="9"/>
        <w:rPr>
          <w:b/>
          <w:sz w:val="12"/>
        </w:rPr>
      </w:pPr>
    </w:p>
    <w:p>
      <w:pPr>
        <w:spacing w:line="268" w:lineRule="auto" w:before="96"/>
        <w:ind w:left="1022" w:right="1128" w:firstLine="0"/>
        <w:jc w:val="left"/>
        <w:rPr>
          <w:sz w:val="17"/>
        </w:rPr>
      </w:pPr>
      <w:r>
        <w:rPr>
          <w:sz w:val="17"/>
        </w:rPr>
        <w:t>Where a negative carry-forward adjustment causes the proposed approved rate to fall below zero or would reduce the rate at which the LEA could recover indirect costs to such an extent that it would cause the LEA significant fiscal harm, the LEA may request that</w:t>
      </w:r>
    </w:p>
    <w:p>
      <w:pPr>
        <w:spacing w:line="268" w:lineRule="auto" w:before="0"/>
        <w:ind w:left="1022" w:right="932" w:firstLine="0"/>
        <w:jc w:val="left"/>
        <w:rPr>
          <w:sz w:val="17"/>
        </w:rPr>
      </w:pPr>
      <w:r>
        <w:rPr>
          <w:sz w:val="17"/>
        </w:rPr>
        <w:t>the carry-forward adjustment be allocated over more than one year. Where allocation of a negative carry-forward adjustment over more than one year does not resolve a negative rate, the CDE will work with the LEA on a case-by-case basis to establish an approved rate.</w:t>
      </w:r>
    </w:p>
    <w:p>
      <w:pPr>
        <w:pStyle w:val="BodyText"/>
        <w:spacing w:before="1"/>
        <w:rPr>
          <w:sz w:val="19"/>
        </w:rPr>
      </w:pPr>
    </w:p>
    <w:tbl>
      <w:tblPr>
        <w:tblW w:w="0" w:type="auto"/>
        <w:jc w:val="left"/>
        <w:tblInd w:w="9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31"/>
        <w:gridCol w:w="7692"/>
        <w:gridCol w:w="1867"/>
      </w:tblGrid>
      <w:tr>
        <w:trPr>
          <w:trHeight w:val="533" w:hRule="atLeast"/>
        </w:trPr>
        <w:tc>
          <w:tcPr>
            <w:tcW w:w="831" w:type="dxa"/>
          </w:tcPr>
          <w:p>
            <w:pPr>
              <w:pStyle w:val="TableParagraph"/>
              <w:spacing w:line="192" w:lineRule="exact"/>
              <w:ind w:left="50"/>
              <w:rPr>
                <w:sz w:val="17"/>
              </w:rPr>
            </w:pPr>
            <w:r>
              <w:rPr>
                <w:sz w:val="17"/>
              </w:rPr>
              <w:t>Option 1.</w:t>
            </w:r>
          </w:p>
        </w:tc>
        <w:tc>
          <w:tcPr>
            <w:tcW w:w="7692" w:type="dxa"/>
          </w:tcPr>
          <w:p>
            <w:pPr>
              <w:pStyle w:val="TableParagraph"/>
              <w:spacing w:line="268" w:lineRule="auto"/>
              <w:ind w:left="81" w:right="478" w:firstLine="28"/>
              <w:rPr>
                <w:sz w:val="17"/>
              </w:rPr>
            </w:pPr>
            <w:r>
              <w:rPr>
                <w:sz w:val="17"/>
              </w:rPr>
              <w:t>Preliminary proposed approved rate (Part III, Line D) if entire negative carry-forward adjustment is applied to the current year calculation:</w:t>
            </w:r>
          </w:p>
        </w:tc>
        <w:tc>
          <w:tcPr>
            <w:tcW w:w="1867" w:type="dxa"/>
          </w:tcPr>
          <w:p>
            <w:pPr>
              <w:pStyle w:val="TableParagraph"/>
              <w:spacing w:before="8"/>
              <w:rPr>
                <w:sz w:val="18"/>
              </w:rPr>
            </w:pPr>
          </w:p>
          <w:p>
            <w:pPr>
              <w:pStyle w:val="TableParagraph"/>
              <w:ind w:right="48"/>
              <w:jc w:val="right"/>
              <w:rPr>
                <w:sz w:val="17"/>
              </w:rPr>
            </w:pPr>
            <w:r>
              <w:rPr>
                <w:sz w:val="17"/>
              </w:rPr>
              <w:t>not applicable</w:t>
            </w:r>
          </w:p>
        </w:tc>
      </w:tr>
      <w:tr>
        <w:trPr>
          <w:trHeight w:val="877" w:hRule="atLeast"/>
        </w:trPr>
        <w:tc>
          <w:tcPr>
            <w:tcW w:w="831" w:type="dxa"/>
          </w:tcPr>
          <w:p>
            <w:pPr>
              <w:pStyle w:val="TableParagraph"/>
              <w:spacing w:before="118"/>
              <w:ind w:left="50"/>
              <w:rPr>
                <w:sz w:val="17"/>
              </w:rPr>
            </w:pPr>
            <w:r>
              <w:rPr>
                <w:sz w:val="17"/>
              </w:rPr>
              <w:t>Option 2.</w:t>
            </w:r>
          </w:p>
        </w:tc>
        <w:tc>
          <w:tcPr>
            <w:tcW w:w="7692" w:type="dxa"/>
          </w:tcPr>
          <w:p>
            <w:pPr>
              <w:pStyle w:val="TableParagraph"/>
              <w:spacing w:line="268" w:lineRule="auto" w:before="118"/>
              <w:ind w:left="81" w:right="478" w:firstLine="28"/>
              <w:rPr>
                <w:sz w:val="17"/>
              </w:rPr>
            </w:pPr>
            <w:r>
              <w:rPr>
                <w:sz w:val="17"/>
              </w:rPr>
              <w:t>Preliminary proposed approved rate (Part III, Line D) if one-half of negative carry-forward adjustment is applied to the current year calculation and the remainder</w:t>
            </w:r>
          </w:p>
          <w:p>
            <w:pPr>
              <w:pStyle w:val="TableParagraph"/>
              <w:spacing w:line="194" w:lineRule="exact"/>
              <w:ind w:left="81"/>
              <w:rPr>
                <w:sz w:val="17"/>
              </w:rPr>
            </w:pPr>
            <w:r>
              <w:rPr>
                <w:sz w:val="17"/>
              </w:rPr>
              <w:t>is deferred to one or more future years:</w:t>
            </w:r>
          </w:p>
        </w:tc>
        <w:tc>
          <w:tcPr>
            <w:tcW w:w="1867" w:type="dxa"/>
          </w:tcPr>
          <w:p>
            <w:pPr>
              <w:pStyle w:val="TableParagraph"/>
              <w:rPr>
                <w:sz w:val="18"/>
              </w:rPr>
            </w:pPr>
          </w:p>
          <w:p>
            <w:pPr>
              <w:pStyle w:val="TableParagraph"/>
              <w:rPr>
                <w:sz w:val="18"/>
              </w:rPr>
            </w:pPr>
          </w:p>
          <w:p>
            <w:pPr>
              <w:pStyle w:val="TableParagraph"/>
              <w:spacing w:before="141"/>
              <w:ind w:right="48"/>
              <w:jc w:val="right"/>
              <w:rPr>
                <w:sz w:val="17"/>
              </w:rPr>
            </w:pPr>
            <w:r>
              <w:rPr>
                <w:sz w:val="17"/>
              </w:rPr>
              <w:t>not applicable</w:t>
            </w:r>
          </w:p>
        </w:tc>
      </w:tr>
      <w:tr>
        <w:trPr>
          <w:trHeight w:val="755" w:hRule="atLeast"/>
        </w:trPr>
        <w:tc>
          <w:tcPr>
            <w:tcW w:w="831" w:type="dxa"/>
          </w:tcPr>
          <w:p>
            <w:pPr>
              <w:pStyle w:val="TableParagraph"/>
              <w:spacing w:before="122"/>
              <w:ind w:left="50"/>
              <w:rPr>
                <w:sz w:val="17"/>
              </w:rPr>
            </w:pPr>
            <w:r>
              <w:rPr>
                <w:sz w:val="17"/>
              </w:rPr>
              <w:t>Option 3.</w:t>
            </w:r>
          </w:p>
        </w:tc>
        <w:tc>
          <w:tcPr>
            <w:tcW w:w="7692" w:type="dxa"/>
          </w:tcPr>
          <w:p>
            <w:pPr>
              <w:pStyle w:val="TableParagraph"/>
              <w:spacing w:line="268" w:lineRule="auto" w:before="122"/>
              <w:ind w:left="81" w:right="478" w:firstLine="28"/>
              <w:rPr>
                <w:sz w:val="17"/>
              </w:rPr>
            </w:pPr>
            <w:r>
              <w:rPr>
                <w:sz w:val="17"/>
              </w:rPr>
              <w:t>Preliminary proposed approved rate (Part III, Line D) if one-third of negative carry-forward adjustment is applied to the current year calculation and the remainder</w:t>
            </w:r>
          </w:p>
          <w:p>
            <w:pPr>
              <w:pStyle w:val="TableParagraph"/>
              <w:spacing w:line="175" w:lineRule="exact"/>
              <w:ind w:left="81"/>
              <w:rPr>
                <w:sz w:val="17"/>
              </w:rPr>
            </w:pPr>
            <w:r>
              <w:rPr>
                <w:sz w:val="17"/>
              </w:rPr>
              <w:t>is deferred to one or more future years:</w:t>
            </w:r>
          </w:p>
        </w:tc>
        <w:tc>
          <w:tcPr>
            <w:tcW w:w="1867" w:type="dxa"/>
          </w:tcPr>
          <w:p>
            <w:pPr>
              <w:pStyle w:val="TableParagraph"/>
              <w:rPr>
                <w:sz w:val="18"/>
              </w:rPr>
            </w:pPr>
          </w:p>
          <w:p>
            <w:pPr>
              <w:pStyle w:val="TableParagraph"/>
              <w:rPr>
                <w:sz w:val="18"/>
              </w:rPr>
            </w:pPr>
          </w:p>
          <w:p>
            <w:pPr>
              <w:pStyle w:val="TableParagraph"/>
              <w:spacing w:line="176" w:lineRule="exact" w:before="145"/>
              <w:ind w:right="48"/>
              <w:jc w:val="right"/>
              <w:rPr>
                <w:sz w:val="17"/>
              </w:rPr>
            </w:pPr>
            <w:r>
              <w:rPr>
                <w:sz w:val="17"/>
              </w:rPr>
              <w:t>not applicable</w:t>
            </w:r>
          </w:p>
        </w:tc>
      </w:tr>
    </w:tbl>
    <w:p>
      <w:pPr>
        <w:pStyle w:val="BodyText"/>
        <w:rPr>
          <w:sz w:val="19"/>
        </w:rPr>
      </w:pPr>
    </w:p>
    <w:p>
      <w:pPr>
        <w:spacing w:before="0"/>
        <w:ind w:left="1022" w:right="0" w:firstLine="0"/>
        <w:jc w:val="left"/>
        <w:rPr>
          <w:sz w:val="17"/>
        </w:rPr>
      </w:pPr>
      <w:r>
        <w:rPr>
          <w:sz w:val="17"/>
        </w:rPr>
        <w:t>LEA request for Option 1, Option 2, or Option 3</w:t>
      </w:r>
    </w:p>
    <w:p>
      <w:pPr>
        <w:pStyle w:val="BodyText"/>
        <w:spacing w:before="9"/>
        <w:rPr>
          <w:sz w:val="11"/>
        </w:rPr>
      </w:pPr>
    </w:p>
    <w:p>
      <w:pPr>
        <w:spacing w:before="97"/>
        <w:ind w:left="0" w:right="1330" w:firstLine="0"/>
        <w:jc w:val="right"/>
        <w:rPr>
          <w:sz w:val="17"/>
        </w:rPr>
      </w:pPr>
      <w:r>
        <w:rPr>
          <w:w w:val="101"/>
          <w:sz w:val="17"/>
        </w:rPr>
        <w:t>1</w:t>
      </w:r>
    </w:p>
    <w:p>
      <w:pPr>
        <w:pStyle w:val="BodyText"/>
        <w:spacing w:before="4"/>
        <w:rPr>
          <w:sz w:val="12"/>
        </w:rPr>
      </w:pPr>
    </w:p>
    <w:p>
      <w:pPr>
        <w:pStyle w:val="ListParagraph"/>
        <w:numPr>
          <w:ilvl w:val="0"/>
          <w:numId w:val="51"/>
        </w:numPr>
        <w:tabs>
          <w:tab w:pos="983" w:val="left" w:leader="none"/>
          <w:tab w:pos="984" w:val="left" w:leader="none"/>
        </w:tabs>
        <w:spacing w:line="240" w:lineRule="auto" w:before="97" w:after="0"/>
        <w:ind w:left="983" w:right="0" w:hanging="394"/>
        <w:jc w:val="left"/>
        <w:rPr>
          <w:b/>
          <w:sz w:val="17"/>
        </w:rPr>
      </w:pPr>
      <w:r>
        <w:rPr>
          <w:b/>
          <w:sz w:val="17"/>
        </w:rPr>
        <w:t>Carry-forward adjustment used in Part III, Line </w:t>
      </w:r>
      <w:r>
        <w:rPr>
          <w:b/>
          <w:spacing w:val="-4"/>
          <w:sz w:val="17"/>
        </w:rPr>
        <w:t>A9 </w:t>
      </w:r>
      <w:r>
        <w:rPr>
          <w:b/>
          <w:sz w:val="17"/>
        </w:rPr>
        <w:t>(Line D minus amount deferred</w:t>
      </w:r>
      <w:r>
        <w:rPr>
          <w:b/>
          <w:spacing w:val="14"/>
          <w:sz w:val="17"/>
        </w:rPr>
        <w:t> </w:t>
      </w:r>
      <w:r>
        <w:rPr>
          <w:b/>
          <w:sz w:val="17"/>
        </w:rPr>
        <w:t>if</w:t>
      </w:r>
    </w:p>
    <w:p>
      <w:pPr>
        <w:tabs>
          <w:tab w:pos="10774" w:val="left" w:leader="none"/>
        </w:tabs>
        <w:spacing w:before="25"/>
        <w:ind w:left="974" w:right="0" w:firstLine="0"/>
        <w:jc w:val="left"/>
        <w:rPr>
          <w:sz w:val="17"/>
        </w:rPr>
      </w:pPr>
      <w:r>
        <w:rPr>
          <w:b/>
          <w:sz w:val="17"/>
        </w:rPr>
        <w:t>Option 2 or Option 3</w:t>
      </w:r>
      <w:r>
        <w:rPr>
          <w:b/>
          <w:spacing w:val="19"/>
          <w:sz w:val="17"/>
        </w:rPr>
        <w:t> </w:t>
      </w:r>
      <w:r>
        <w:rPr>
          <w:b/>
          <w:sz w:val="17"/>
        </w:rPr>
        <w:t>is</w:t>
      </w:r>
      <w:r>
        <w:rPr>
          <w:b/>
          <w:spacing w:val="4"/>
          <w:sz w:val="17"/>
        </w:rPr>
        <w:t> </w:t>
      </w:r>
      <w:r>
        <w:rPr>
          <w:b/>
          <w:sz w:val="17"/>
        </w:rPr>
        <w:t>selected)</w:t>
        <w:tab/>
      </w:r>
      <w:r>
        <w:rPr>
          <w:sz w:val="17"/>
        </w:rPr>
        <w:t>48,254.60</w:t>
      </w:r>
    </w:p>
    <w:p>
      <w:pPr>
        <w:spacing w:after="0"/>
        <w:jc w:val="left"/>
        <w:rPr>
          <w:sz w:val="17"/>
        </w:rPr>
        <w:sectPr>
          <w:pgSz w:w="12240" w:h="15840"/>
          <w:pgMar w:header="309" w:footer="693" w:top="880" w:bottom="880" w:left="40" w:right="40"/>
        </w:sectPr>
      </w:pPr>
    </w:p>
    <w:p>
      <w:pPr>
        <w:pStyle w:val="BodyText"/>
        <w:spacing w:before="5"/>
        <w:rPr>
          <w:sz w:val="25"/>
        </w:rPr>
      </w:pPr>
    </w:p>
    <w:p>
      <w:pPr>
        <w:spacing w:line="232" w:lineRule="auto" w:before="0"/>
        <w:ind w:left="984" w:right="-11" w:firstLine="0"/>
        <w:jc w:val="left"/>
        <w:rPr>
          <w:sz w:val="19"/>
        </w:rPr>
      </w:pPr>
      <w:r>
        <w:rPr>
          <w:sz w:val="19"/>
        </w:rPr>
        <w:t>Winship-Robbins Elementary Sutter County</w:t>
      </w:r>
    </w:p>
    <w:p>
      <w:pPr>
        <w:spacing w:line="215" w:lineRule="exact" w:before="76"/>
        <w:ind w:left="403" w:right="18" w:firstLine="0"/>
        <w:jc w:val="center"/>
        <w:rPr>
          <w:sz w:val="19"/>
        </w:rPr>
      </w:pPr>
      <w:r>
        <w:rPr/>
        <w:br w:type="column"/>
      </w:r>
      <w:r>
        <w:rPr>
          <w:sz w:val="19"/>
        </w:rPr>
        <w:t>July 1 Budget</w:t>
      </w:r>
    </w:p>
    <w:p>
      <w:pPr>
        <w:spacing w:line="211" w:lineRule="exact" w:before="0"/>
        <w:ind w:left="402" w:right="18" w:firstLine="0"/>
        <w:jc w:val="center"/>
        <w:rPr>
          <w:sz w:val="19"/>
        </w:rPr>
      </w:pPr>
      <w:r>
        <w:rPr>
          <w:sz w:val="19"/>
        </w:rPr>
        <w:t>2020-21 Estimated Actuals</w:t>
      </w:r>
    </w:p>
    <w:p>
      <w:pPr>
        <w:spacing w:line="215" w:lineRule="exact" w:before="0"/>
        <w:ind w:left="403" w:right="18" w:firstLine="0"/>
        <w:jc w:val="center"/>
        <w:rPr>
          <w:sz w:val="19"/>
        </w:rPr>
      </w:pPr>
      <w:r>
        <w:rPr>
          <w:sz w:val="19"/>
        </w:rPr>
        <w:t>Exhibit A: Indirect Cost Rates Charged to Programs</w:t>
      </w:r>
    </w:p>
    <w:p>
      <w:pPr>
        <w:pStyle w:val="BodyText"/>
        <w:spacing w:before="11"/>
        <w:rPr>
          <w:sz w:val="24"/>
        </w:rPr>
      </w:pPr>
      <w:r>
        <w:rPr/>
        <w:br w:type="column"/>
      </w:r>
      <w:r>
        <w:rPr>
          <w:sz w:val="24"/>
        </w:rPr>
      </w:r>
    </w:p>
    <w:p>
      <w:pPr>
        <w:spacing w:line="215" w:lineRule="exact" w:before="0"/>
        <w:ind w:left="984" w:right="0" w:firstLine="0"/>
        <w:jc w:val="left"/>
        <w:rPr>
          <w:sz w:val="19"/>
        </w:rPr>
      </w:pPr>
      <w:r>
        <w:rPr>
          <w:sz w:val="19"/>
        </w:rPr>
        <w:t>51 71456</w:t>
      </w:r>
      <w:r>
        <w:rPr>
          <w:spacing w:val="-7"/>
          <w:sz w:val="19"/>
        </w:rPr>
        <w:t> </w:t>
      </w:r>
      <w:r>
        <w:rPr>
          <w:sz w:val="19"/>
        </w:rPr>
        <w:t>0000000</w:t>
      </w:r>
    </w:p>
    <w:p>
      <w:pPr>
        <w:spacing w:line="215" w:lineRule="exact" w:before="0"/>
        <w:ind w:left="1750" w:right="0" w:firstLine="0"/>
        <w:jc w:val="left"/>
        <w:rPr>
          <w:sz w:val="19"/>
        </w:rPr>
      </w:pPr>
      <w:r>
        <w:rPr>
          <w:sz w:val="19"/>
        </w:rPr>
        <w:t>Form</w:t>
      </w:r>
      <w:r>
        <w:rPr>
          <w:spacing w:val="-8"/>
          <w:sz w:val="19"/>
        </w:rPr>
        <w:t> </w:t>
      </w:r>
      <w:r>
        <w:rPr>
          <w:sz w:val="19"/>
        </w:rPr>
        <w:t>ICR</w:t>
      </w:r>
    </w:p>
    <w:p>
      <w:pPr>
        <w:spacing w:after="0" w:line="215" w:lineRule="exact"/>
        <w:jc w:val="left"/>
        <w:rPr>
          <w:sz w:val="19"/>
        </w:rPr>
        <w:sectPr>
          <w:headerReference w:type="default" r:id="rId1133"/>
          <w:footerReference w:type="default" r:id="rId1134"/>
          <w:pgSz w:w="12240" w:h="15840"/>
          <w:pgMar w:header="0" w:footer="0" w:top="600" w:bottom="280" w:left="40" w:right="40"/>
          <w:cols w:num="3" w:equalWidth="0">
            <w:col w:w="3443" w:space="40"/>
            <w:col w:w="4802" w:space="319"/>
            <w:col w:w="3556"/>
          </w:cols>
        </w:sectPr>
      </w:pPr>
    </w:p>
    <w:p>
      <w:pPr>
        <w:pStyle w:val="BodyText"/>
        <w:spacing w:before="2"/>
        <w:rPr>
          <w:sz w:val="19"/>
        </w:rPr>
      </w:pPr>
    </w:p>
    <w:p>
      <w:pPr>
        <w:tabs>
          <w:tab w:pos="10152" w:val="left" w:leader="none"/>
        </w:tabs>
        <w:spacing w:line="266" w:lineRule="auto" w:before="94"/>
        <w:ind w:left="6867" w:right="1468" w:firstLine="544"/>
        <w:jc w:val="left"/>
        <w:rPr>
          <w:sz w:val="19"/>
        </w:rPr>
      </w:pPr>
      <w:r>
        <w:rPr/>
        <w:drawing>
          <wp:anchor distT="0" distB="0" distL="0" distR="0" allowOverlap="1" layoutInCell="1" locked="0" behindDoc="1" simplePos="0" relativeHeight="189163520">
            <wp:simplePos x="0" y="0"/>
            <wp:positionH relativeFrom="page">
              <wp:posOffset>6224015</wp:posOffset>
            </wp:positionH>
            <wp:positionV relativeFrom="paragraph">
              <wp:posOffset>197242</wp:posOffset>
            </wp:positionV>
            <wp:extent cx="617219" cy="4572"/>
            <wp:effectExtent l="0" t="0" r="0" b="0"/>
            <wp:wrapNone/>
            <wp:docPr id="47" name="image1051.png"/>
            <wp:cNvGraphicFramePr>
              <a:graphicFrameLocks noChangeAspect="1"/>
            </wp:cNvGraphicFramePr>
            <a:graphic>
              <a:graphicData uri="http://schemas.openxmlformats.org/drawingml/2006/picture">
                <pic:pic>
                  <pic:nvPicPr>
                    <pic:cNvPr id="48" name="image1051.png"/>
                    <pic:cNvPicPr/>
                  </pic:nvPicPr>
                  <pic:blipFill>
                    <a:blip r:embed="rId1135" cstate="print"/>
                    <a:stretch>
                      <a:fillRect/>
                    </a:stretch>
                  </pic:blipFill>
                  <pic:spPr>
                    <a:xfrm>
                      <a:off x="0" y="0"/>
                      <a:ext cx="617219" cy="4572"/>
                    </a:xfrm>
                    <a:prstGeom prst="rect">
                      <a:avLst/>
                    </a:prstGeom>
                  </pic:spPr>
                </pic:pic>
              </a:graphicData>
            </a:graphic>
          </wp:anchor>
        </w:drawing>
      </w:r>
      <w:r>
        <w:rPr/>
        <w:drawing>
          <wp:anchor distT="0" distB="0" distL="0" distR="0" allowOverlap="1" layoutInCell="1" locked="0" behindDoc="0" simplePos="0" relativeHeight="252215296">
            <wp:simplePos x="0" y="0"/>
            <wp:positionH relativeFrom="page">
              <wp:posOffset>6224015</wp:posOffset>
            </wp:positionH>
            <wp:positionV relativeFrom="paragraph">
              <wp:posOffset>351166</wp:posOffset>
            </wp:positionV>
            <wp:extent cx="578649" cy="4286"/>
            <wp:effectExtent l="0" t="0" r="0" b="0"/>
            <wp:wrapNone/>
            <wp:docPr id="49" name="image1051.png"/>
            <wp:cNvGraphicFramePr>
              <a:graphicFrameLocks noChangeAspect="1"/>
            </wp:cNvGraphicFramePr>
            <a:graphic>
              <a:graphicData uri="http://schemas.openxmlformats.org/drawingml/2006/picture">
                <pic:pic>
                  <pic:nvPicPr>
                    <pic:cNvPr id="50" name="image1051.png"/>
                    <pic:cNvPicPr/>
                  </pic:nvPicPr>
                  <pic:blipFill>
                    <a:blip r:embed="rId1135" cstate="print"/>
                    <a:stretch>
                      <a:fillRect/>
                    </a:stretch>
                  </pic:blipFill>
                  <pic:spPr>
                    <a:xfrm>
                      <a:off x="0" y="0"/>
                      <a:ext cx="578649" cy="4286"/>
                    </a:xfrm>
                    <a:prstGeom prst="rect">
                      <a:avLst/>
                    </a:prstGeom>
                  </pic:spPr>
                </pic:pic>
              </a:graphicData>
            </a:graphic>
          </wp:anchor>
        </w:drawing>
      </w:r>
      <w:r>
        <w:rPr>
          <w:sz w:val="19"/>
        </w:rPr>
        <w:t>Approved indirect</w:t>
      </w:r>
      <w:r>
        <w:rPr>
          <w:spacing w:val="-5"/>
          <w:sz w:val="19"/>
        </w:rPr>
        <w:t> </w:t>
      </w:r>
      <w:r>
        <w:rPr>
          <w:sz w:val="19"/>
        </w:rPr>
        <w:t>cost</w:t>
      </w:r>
      <w:r>
        <w:rPr>
          <w:spacing w:val="-3"/>
          <w:sz w:val="19"/>
        </w:rPr>
        <w:t> </w:t>
      </w:r>
      <w:r>
        <w:rPr>
          <w:sz w:val="19"/>
        </w:rPr>
        <w:t>rate:</w:t>
        <w:tab/>
      </w:r>
      <w:r>
        <w:rPr>
          <w:spacing w:val="-4"/>
          <w:sz w:val="19"/>
        </w:rPr>
        <w:t>6.40% </w:t>
      </w:r>
      <w:r>
        <w:rPr>
          <w:sz w:val="19"/>
        </w:rPr>
        <w:t>Highest rate used in</w:t>
      </w:r>
      <w:r>
        <w:rPr>
          <w:spacing w:val="-10"/>
          <w:sz w:val="19"/>
        </w:rPr>
        <w:t> </w:t>
      </w:r>
      <w:r>
        <w:rPr>
          <w:sz w:val="19"/>
        </w:rPr>
        <w:t>any</w:t>
      </w:r>
      <w:r>
        <w:rPr>
          <w:spacing w:val="-3"/>
          <w:sz w:val="19"/>
        </w:rPr>
        <w:t> </w:t>
      </w:r>
      <w:r>
        <w:rPr>
          <w:sz w:val="19"/>
        </w:rPr>
        <w:t>program:</w:t>
        <w:tab/>
      </w:r>
      <w:r>
        <w:rPr>
          <w:spacing w:val="-4"/>
          <w:sz w:val="19"/>
        </w:rPr>
        <w:t>0.00%</w:t>
      </w:r>
    </w:p>
    <w:p>
      <w:pPr>
        <w:pStyle w:val="BodyText"/>
        <w:rPr>
          <w:sz w:val="20"/>
        </w:rPr>
      </w:pPr>
    </w:p>
    <w:p>
      <w:pPr>
        <w:pStyle w:val="BodyText"/>
        <w:spacing w:before="6"/>
        <w:rPr>
          <w:sz w:val="23"/>
        </w:rPr>
      </w:pPr>
    </w:p>
    <w:p>
      <w:pPr>
        <w:spacing w:after="0"/>
        <w:rPr>
          <w:sz w:val="23"/>
        </w:rPr>
        <w:sectPr>
          <w:type w:val="continuous"/>
          <w:pgSz w:w="12240" w:h="15840"/>
          <w:pgMar w:top="1500" w:bottom="840" w:left="40" w:right="40"/>
        </w:sectPr>
      </w:pPr>
    </w:p>
    <w:p>
      <w:pPr>
        <w:pStyle w:val="BodyText"/>
        <w:rPr>
          <w:sz w:val="22"/>
        </w:rPr>
      </w:pPr>
    </w:p>
    <w:p>
      <w:pPr>
        <w:pStyle w:val="BodyText"/>
        <w:spacing w:before="9"/>
        <w:rPr>
          <w:sz w:val="27"/>
        </w:rPr>
      </w:pPr>
    </w:p>
    <w:p>
      <w:pPr>
        <w:tabs>
          <w:tab w:pos="3031" w:val="left" w:leader="none"/>
        </w:tabs>
        <w:spacing w:before="0"/>
        <w:ind w:left="2180" w:right="0" w:firstLine="0"/>
        <w:jc w:val="left"/>
        <w:rPr>
          <w:b/>
          <w:sz w:val="21"/>
        </w:rPr>
      </w:pPr>
      <w:r>
        <w:rPr>
          <w:b/>
          <w:sz w:val="21"/>
        </w:rPr>
        <w:t>Fund</w:t>
        <w:tab/>
      </w:r>
      <w:r>
        <w:rPr>
          <w:b/>
          <w:spacing w:val="-4"/>
          <w:sz w:val="21"/>
        </w:rPr>
        <w:t>Resource</w:t>
      </w:r>
    </w:p>
    <w:p>
      <w:pPr>
        <w:spacing w:before="92"/>
        <w:ind w:left="977" w:right="-5" w:hanging="233"/>
        <w:jc w:val="left"/>
        <w:rPr>
          <w:b/>
          <w:sz w:val="21"/>
        </w:rPr>
      </w:pPr>
      <w:r>
        <w:rPr/>
        <w:br w:type="column"/>
      </w:r>
      <w:r>
        <w:rPr>
          <w:b/>
          <w:sz w:val="21"/>
        </w:rPr>
        <w:t>Eligible </w:t>
      </w:r>
      <w:r>
        <w:rPr>
          <w:b/>
          <w:spacing w:val="-3"/>
          <w:sz w:val="21"/>
        </w:rPr>
        <w:t>Expenditures </w:t>
      </w:r>
      <w:r>
        <w:rPr>
          <w:b/>
          <w:sz w:val="21"/>
        </w:rPr>
        <w:t>(Objects</w:t>
      </w:r>
      <w:r>
        <w:rPr>
          <w:b/>
          <w:spacing w:val="-15"/>
          <w:sz w:val="21"/>
        </w:rPr>
        <w:t> </w:t>
      </w:r>
      <w:r>
        <w:rPr>
          <w:b/>
          <w:spacing w:val="-3"/>
          <w:sz w:val="21"/>
        </w:rPr>
        <w:t>1000-5999</w:t>
      </w:r>
    </w:p>
    <w:p>
      <w:pPr>
        <w:spacing w:line="239" w:lineRule="exact" w:before="0"/>
        <w:ind w:left="908" w:right="0" w:firstLine="0"/>
        <w:jc w:val="left"/>
        <w:rPr>
          <w:b/>
          <w:sz w:val="21"/>
        </w:rPr>
      </w:pPr>
      <w:r>
        <w:rPr>
          <w:b/>
          <w:sz w:val="21"/>
        </w:rPr>
        <w:t>except Object</w:t>
      </w:r>
      <w:r>
        <w:rPr>
          <w:b/>
          <w:spacing w:val="-17"/>
          <w:sz w:val="21"/>
        </w:rPr>
        <w:t> </w:t>
      </w:r>
      <w:r>
        <w:rPr>
          <w:b/>
          <w:spacing w:val="-5"/>
          <w:sz w:val="21"/>
        </w:rPr>
        <w:t>5100)</w:t>
      </w:r>
    </w:p>
    <w:p>
      <w:pPr>
        <w:pStyle w:val="BodyText"/>
        <w:spacing w:before="10"/>
        <w:rPr>
          <w:b/>
          <w:sz w:val="28"/>
        </w:rPr>
      </w:pPr>
      <w:r>
        <w:rPr/>
        <w:br w:type="column"/>
      </w:r>
      <w:r>
        <w:rPr>
          <w:b/>
          <w:sz w:val="28"/>
        </w:rPr>
      </w:r>
    </w:p>
    <w:p>
      <w:pPr>
        <w:spacing w:before="0"/>
        <w:ind w:left="459" w:right="-13" w:firstLine="76"/>
        <w:jc w:val="left"/>
        <w:rPr>
          <w:b/>
          <w:sz w:val="21"/>
        </w:rPr>
      </w:pPr>
      <w:r>
        <w:rPr>
          <w:b/>
          <w:sz w:val="21"/>
        </w:rPr>
        <w:t>Indirect Costs </w:t>
      </w:r>
      <w:r>
        <w:rPr>
          <w:b/>
          <w:spacing w:val="-4"/>
          <w:sz w:val="21"/>
        </w:rPr>
        <w:t>Charged </w:t>
      </w:r>
      <w:r>
        <w:rPr>
          <w:b/>
          <w:sz w:val="21"/>
        </w:rPr>
        <w:t>(Objects 7310 and</w:t>
      </w:r>
      <w:r>
        <w:rPr>
          <w:b/>
          <w:spacing w:val="-21"/>
          <w:sz w:val="21"/>
        </w:rPr>
        <w:t> </w:t>
      </w:r>
      <w:r>
        <w:rPr>
          <w:b/>
          <w:spacing w:val="-5"/>
          <w:sz w:val="21"/>
        </w:rPr>
        <w:t>7350)</w:t>
      </w:r>
    </w:p>
    <w:p>
      <w:pPr>
        <w:pStyle w:val="BodyText"/>
        <w:spacing w:before="10"/>
        <w:rPr>
          <w:b/>
          <w:sz w:val="28"/>
        </w:rPr>
      </w:pPr>
      <w:r>
        <w:rPr/>
        <w:br w:type="column"/>
      </w:r>
      <w:r>
        <w:rPr>
          <w:b/>
          <w:sz w:val="28"/>
        </w:rPr>
      </w:r>
    </w:p>
    <w:p>
      <w:pPr>
        <w:spacing w:before="0"/>
        <w:ind w:left="418" w:right="1001" w:firstLine="57"/>
        <w:jc w:val="left"/>
        <w:rPr>
          <w:b/>
          <w:sz w:val="21"/>
        </w:rPr>
      </w:pPr>
      <w:r>
        <w:rPr>
          <w:b/>
          <w:w w:val="95"/>
          <w:sz w:val="21"/>
        </w:rPr>
        <w:t>Rate Used</w:t>
      </w:r>
    </w:p>
    <w:p>
      <w:pPr>
        <w:spacing w:after="0"/>
        <w:jc w:val="left"/>
        <w:rPr>
          <w:sz w:val="21"/>
        </w:rPr>
        <w:sectPr>
          <w:type w:val="continuous"/>
          <w:pgSz w:w="12240" w:h="15840"/>
          <w:pgMar w:top="1500" w:bottom="840" w:left="40" w:right="40"/>
          <w:cols w:num="4" w:equalWidth="0">
            <w:col w:w="3980" w:space="40"/>
            <w:col w:w="2859" w:space="39"/>
            <w:col w:w="2825" w:space="40"/>
            <w:col w:w="2377"/>
          </w:cols>
        </w:sectPr>
      </w:pPr>
    </w:p>
    <w:p>
      <w:pPr>
        <w:pStyle w:val="BodyText"/>
        <w:spacing w:line="20" w:lineRule="exact"/>
        <w:ind w:left="1947"/>
        <w:rPr>
          <w:sz w:val="2"/>
        </w:rPr>
      </w:pPr>
      <w:r>
        <w:rPr>
          <w:sz w:val="2"/>
        </w:rPr>
        <w:drawing>
          <wp:inline distT="0" distB="0" distL="0" distR="0">
            <wp:extent cx="5579410" cy="4572"/>
            <wp:effectExtent l="0" t="0" r="0" b="0"/>
            <wp:docPr id="51" name="image1052.png"/>
            <wp:cNvGraphicFramePr>
              <a:graphicFrameLocks noChangeAspect="1"/>
            </wp:cNvGraphicFramePr>
            <a:graphic>
              <a:graphicData uri="http://schemas.openxmlformats.org/drawingml/2006/picture">
                <pic:pic>
                  <pic:nvPicPr>
                    <pic:cNvPr id="52" name="image1052.png"/>
                    <pic:cNvPicPr/>
                  </pic:nvPicPr>
                  <pic:blipFill>
                    <a:blip r:embed="rId1136" cstate="print"/>
                    <a:stretch>
                      <a:fillRect/>
                    </a:stretch>
                  </pic:blipFill>
                  <pic:spPr>
                    <a:xfrm>
                      <a:off x="0" y="0"/>
                      <a:ext cx="5579410" cy="4572"/>
                    </a:xfrm>
                    <a:prstGeom prst="rect">
                      <a:avLst/>
                    </a:prstGeom>
                  </pic:spPr>
                </pic:pic>
              </a:graphicData>
            </a:graphic>
          </wp:inline>
        </w:drawing>
      </w:r>
      <w:r>
        <w:rPr>
          <w:sz w:val="2"/>
        </w:rPr>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2"/>
        </w:rPr>
      </w:pPr>
    </w:p>
    <w:p>
      <w:pPr>
        <w:spacing w:line="215" w:lineRule="exact" w:before="0"/>
        <w:ind w:left="984" w:right="0" w:firstLine="0"/>
        <w:jc w:val="left"/>
        <w:rPr>
          <w:sz w:val="19"/>
        </w:rPr>
      </w:pPr>
      <w:r>
        <w:rPr>
          <w:sz w:val="19"/>
        </w:rPr>
        <w:t>California Dept of Education</w:t>
      </w:r>
    </w:p>
    <w:p>
      <w:pPr>
        <w:spacing w:line="211" w:lineRule="exact" w:before="0"/>
        <w:ind w:left="984" w:right="0" w:firstLine="0"/>
        <w:jc w:val="left"/>
        <w:rPr>
          <w:sz w:val="19"/>
        </w:rPr>
      </w:pPr>
      <w:r>
        <w:rPr>
          <w:sz w:val="19"/>
        </w:rPr>
        <w:t>SACS Financial Reporting Software - 2021.1.0</w:t>
      </w:r>
    </w:p>
    <w:p>
      <w:pPr>
        <w:tabs>
          <w:tab w:pos="5587" w:val="left" w:leader="none"/>
          <w:tab w:pos="8750" w:val="left" w:leader="none"/>
        </w:tabs>
        <w:spacing w:line="215" w:lineRule="exact" w:before="0"/>
        <w:ind w:left="984" w:right="0" w:firstLine="0"/>
        <w:jc w:val="left"/>
        <w:rPr>
          <w:sz w:val="19"/>
        </w:rPr>
      </w:pPr>
      <w:r>
        <w:rPr>
          <w:sz w:val="19"/>
        </w:rPr>
        <w:t>File: icr</w:t>
      </w:r>
      <w:r>
        <w:rPr>
          <w:spacing w:val="-5"/>
          <w:sz w:val="19"/>
        </w:rPr>
        <w:t> </w:t>
      </w:r>
      <w:r>
        <w:rPr>
          <w:sz w:val="19"/>
        </w:rPr>
        <w:t>(Rev</w:t>
      </w:r>
      <w:r>
        <w:rPr>
          <w:spacing w:val="-3"/>
          <w:sz w:val="19"/>
        </w:rPr>
        <w:t> </w:t>
      </w:r>
      <w:r>
        <w:rPr>
          <w:sz w:val="19"/>
        </w:rPr>
        <w:t>02/10/2020)</w:t>
        <w:tab/>
        <w:t>Page 1</w:t>
      </w:r>
      <w:r>
        <w:rPr>
          <w:spacing w:val="-1"/>
          <w:sz w:val="19"/>
        </w:rPr>
        <w:t> </w:t>
      </w:r>
      <w:r>
        <w:rPr>
          <w:sz w:val="19"/>
        </w:rPr>
        <w:t>of</w:t>
      </w:r>
      <w:r>
        <w:rPr>
          <w:spacing w:val="2"/>
          <w:sz w:val="19"/>
        </w:rPr>
        <w:t> </w:t>
      </w:r>
      <w:r>
        <w:rPr>
          <w:sz w:val="19"/>
        </w:rPr>
        <w:t>1</w:t>
        <w:tab/>
        <w:t>Printed: 6/4/2021 10:11 AM</w:t>
      </w:r>
    </w:p>
    <w:p>
      <w:pPr>
        <w:spacing w:after="0" w:line="215" w:lineRule="exact"/>
        <w:jc w:val="left"/>
        <w:rPr>
          <w:sz w:val="19"/>
        </w:rPr>
        <w:sectPr>
          <w:type w:val="continuous"/>
          <w:pgSz w:w="12240" w:h="15840"/>
          <w:pgMar w:top="1500" w:bottom="840" w:left="40" w:right="40"/>
        </w:sectPr>
      </w:pPr>
    </w:p>
    <w:p>
      <w:pPr>
        <w:pStyle w:val="BodyText"/>
        <w:rPr>
          <w:sz w:val="20"/>
        </w:rPr>
      </w:pPr>
      <w:r>
        <w:rPr/>
        <w:pict>
          <v:group style="position:absolute;margin-left:43.920002pt;margin-top:47.639999pt;width:523.9500pt;height:142.8pt;mso-position-horizontal-relative:page;mso-position-vertical-relative:page;z-index:-314142720" coordorigin="878,953" coordsize="10479,2856">
            <v:shape style="position:absolute;left:878;top:952;width:10479;height:776" type="#_x0000_t75" stroked="false">
              <v:imagedata r:id="rId1139" o:title=""/>
            </v:shape>
            <v:shape style="position:absolute;left:878;top:1706;width:4868;height:252" type="#_x0000_t75" stroked="false">
              <v:imagedata r:id="rId1140" o:title=""/>
            </v:shape>
            <v:shape style="position:absolute;left:5724;top:1706;width:5633;height:740" type="#_x0000_t75" stroked="false">
              <v:imagedata r:id="rId1141" o:title=""/>
            </v:shape>
            <v:shape style="position:absolute;left:5724;top:2277;width:5633;height:329" type="#_x0000_t75" stroked="false">
              <v:imagedata r:id="rId1142" o:title=""/>
            </v:shape>
            <v:shape style="position:absolute;left:5724;top:2438;width:5633;height:329" type="#_x0000_t75" stroked="false">
              <v:imagedata r:id="rId1142" o:title=""/>
            </v:shape>
            <v:shape style="position:absolute;left:7994;top:2599;width:3363;height:324" type="#_x0000_t75" stroked="false">
              <v:imagedata r:id="rId1143" o:title=""/>
            </v:shape>
            <v:shape style="position:absolute;left:5724;top:2760;width:5633;height:509" type="#_x0000_t75" stroked="false">
              <v:imagedata r:id="rId1144" o:title=""/>
            </v:shape>
            <v:shape style="position:absolute;left:5724;top:3091;width:3401;height:348" type="#_x0000_t75" stroked="false">
              <v:imagedata r:id="rId1145" o:title=""/>
            </v:shape>
            <v:shape style="position:absolute;left:7994;top:3091;width:3363;height:348" type="#_x0000_t75" stroked="false">
              <v:imagedata r:id="rId1146" o:title=""/>
            </v:shape>
            <v:shape style="position:absolute;left:10226;top:3261;width:1131;height:334" type="#_x0000_t75" stroked="false">
              <v:imagedata r:id="rId1147" o:title=""/>
            </v:shape>
            <v:shape style="position:absolute;left:878;top:1956;width:7124;height:1853" type="#_x0000_t75" stroked="false">
              <v:imagedata r:id="rId1148" o:title=""/>
            </v:shape>
            <v:shape style="position:absolute;left:919;top:1562;width:3716;height:713" type="#_x0000_t202" filled="false" stroked="false">
              <v:textbox inset="0,0,0,0">
                <w:txbxContent>
                  <w:p>
                    <w:pPr>
                      <w:spacing w:line="148" w:lineRule="exact" w:before="0"/>
                      <w:ind w:left="0" w:right="0" w:firstLine="0"/>
                      <w:jc w:val="left"/>
                      <w:rPr>
                        <w:rFonts w:ascii="Times New Roman"/>
                        <w:sz w:val="13"/>
                      </w:rPr>
                    </w:pPr>
                    <w:r>
                      <w:rPr>
                        <w:rFonts w:ascii="Times New Roman"/>
                        <w:w w:val="105"/>
                        <w:sz w:val="13"/>
                      </w:rPr>
                      <w:t>Description</w:t>
                    </w:r>
                  </w:p>
                  <w:p>
                    <w:pPr>
                      <w:spacing w:line="259" w:lineRule="auto" w:before="93"/>
                      <w:ind w:left="67" w:right="15" w:hanging="68"/>
                      <w:jc w:val="left"/>
                      <w:rPr>
                        <w:rFonts w:ascii="Times New Roman"/>
                        <w:sz w:val="13"/>
                      </w:rPr>
                    </w:pPr>
                    <w:r>
                      <w:rPr>
                        <w:rFonts w:ascii="Times New Roman"/>
                        <w:w w:val="105"/>
                        <w:sz w:val="13"/>
                      </w:rPr>
                      <w:t>(Enter</w:t>
                    </w:r>
                    <w:r>
                      <w:rPr>
                        <w:rFonts w:ascii="Times New Roman"/>
                        <w:spacing w:val="-7"/>
                        <w:w w:val="105"/>
                        <w:sz w:val="13"/>
                      </w:rPr>
                      <w:t> </w:t>
                    </w:r>
                    <w:r>
                      <w:rPr>
                        <w:rFonts w:ascii="Times New Roman"/>
                        <w:w w:val="105"/>
                        <w:sz w:val="13"/>
                      </w:rPr>
                      <w:t>projections</w:t>
                    </w:r>
                    <w:r>
                      <w:rPr>
                        <w:rFonts w:ascii="Times New Roman"/>
                        <w:spacing w:val="-5"/>
                        <w:w w:val="105"/>
                        <w:sz w:val="13"/>
                      </w:rPr>
                      <w:t> </w:t>
                    </w:r>
                    <w:r>
                      <w:rPr>
                        <w:rFonts w:ascii="Times New Roman"/>
                        <w:w w:val="105"/>
                        <w:sz w:val="13"/>
                      </w:rPr>
                      <w:t>for</w:t>
                    </w:r>
                    <w:r>
                      <w:rPr>
                        <w:rFonts w:ascii="Times New Roman"/>
                        <w:spacing w:val="-6"/>
                        <w:w w:val="105"/>
                        <w:sz w:val="13"/>
                      </w:rPr>
                      <w:t> </w:t>
                    </w:r>
                    <w:r>
                      <w:rPr>
                        <w:rFonts w:ascii="Times New Roman"/>
                        <w:w w:val="105"/>
                        <w:sz w:val="13"/>
                      </w:rPr>
                      <w:t>subsequent</w:t>
                    </w:r>
                    <w:r>
                      <w:rPr>
                        <w:rFonts w:ascii="Times New Roman"/>
                        <w:spacing w:val="-5"/>
                        <w:w w:val="105"/>
                        <w:sz w:val="13"/>
                      </w:rPr>
                      <w:t> </w:t>
                    </w:r>
                    <w:r>
                      <w:rPr>
                        <w:rFonts w:ascii="Times New Roman"/>
                        <w:w w:val="105"/>
                        <w:sz w:val="13"/>
                      </w:rPr>
                      <w:t>years</w:t>
                    </w:r>
                    <w:r>
                      <w:rPr>
                        <w:rFonts w:ascii="Times New Roman"/>
                        <w:spacing w:val="-6"/>
                        <w:w w:val="105"/>
                        <w:sz w:val="13"/>
                      </w:rPr>
                      <w:t> </w:t>
                    </w:r>
                    <w:r>
                      <w:rPr>
                        <w:rFonts w:ascii="Times New Roman"/>
                        <w:w w:val="105"/>
                        <w:sz w:val="13"/>
                      </w:rPr>
                      <w:t>1</w:t>
                    </w:r>
                    <w:r>
                      <w:rPr>
                        <w:rFonts w:ascii="Times New Roman"/>
                        <w:spacing w:val="-6"/>
                        <w:w w:val="105"/>
                        <w:sz w:val="13"/>
                      </w:rPr>
                      <w:t> </w:t>
                    </w:r>
                    <w:r>
                      <w:rPr>
                        <w:rFonts w:ascii="Times New Roman"/>
                        <w:w w:val="105"/>
                        <w:sz w:val="13"/>
                      </w:rPr>
                      <w:t>and</w:t>
                    </w:r>
                    <w:r>
                      <w:rPr>
                        <w:rFonts w:ascii="Times New Roman"/>
                        <w:spacing w:val="-6"/>
                        <w:w w:val="105"/>
                        <w:sz w:val="13"/>
                      </w:rPr>
                      <w:t> </w:t>
                    </w:r>
                    <w:r>
                      <w:rPr>
                        <w:rFonts w:ascii="Times New Roman"/>
                        <w:w w:val="105"/>
                        <w:sz w:val="13"/>
                      </w:rPr>
                      <w:t>2</w:t>
                    </w:r>
                    <w:r>
                      <w:rPr>
                        <w:rFonts w:ascii="Times New Roman"/>
                        <w:spacing w:val="-6"/>
                        <w:w w:val="105"/>
                        <w:sz w:val="13"/>
                      </w:rPr>
                      <w:t> </w:t>
                    </w:r>
                    <w:r>
                      <w:rPr>
                        <w:rFonts w:ascii="Times New Roman"/>
                        <w:w w:val="105"/>
                        <w:sz w:val="13"/>
                      </w:rPr>
                      <w:t>in</w:t>
                    </w:r>
                    <w:r>
                      <w:rPr>
                        <w:rFonts w:ascii="Times New Roman"/>
                        <w:spacing w:val="-6"/>
                        <w:w w:val="105"/>
                        <w:sz w:val="13"/>
                      </w:rPr>
                      <w:t> </w:t>
                    </w:r>
                    <w:r>
                      <w:rPr>
                        <w:rFonts w:ascii="Times New Roman"/>
                        <w:w w:val="105"/>
                        <w:sz w:val="13"/>
                      </w:rPr>
                      <w:t>Columns</w:t>
                    </w:r>
                    <w:r>
                      <w:rPr>
                        <w:rFonts w:ascii="Times New Roman"/>
                        <w:spacing w:val="-6"/>
                        <w:w w:val="105"/>
                        <w:sz w:val="13"/>
                      </w:rPr>
                      <w:t> </w:t>
                    </w:r>
                    <w:r>
                      <w:rPr>
                        <w:rFonts w:ascii="Times New Roman"/>
                        <w:w w:val="105"/>
                        <w:sz w:val="13"/>
                      </w:rPr>
                      <w:t>C</w:t>
                    </w:r>
                    <w:r>
                      <w:rPr>
                        <w:rFonts w:ascii="Times New Roman"/>
                        <w:spacing w:val="-7"/>
                        <w:w w:val="105"/>
                        <w:sz w:val="13"/>
                      </w:rPr>
                      <w:t> </w:t>
                    </w:r>
                    <w:r>
                      <w:rPr>
                        <w:rFonts w:ascii="Times New Roman"/>
                        <w:w w:val="105"/>
                        <w:sz w:val="13"/>
                      </w:rPr>
                      <w:t>and</w:t>
                    </w:r>
                    <w:r>
                      <w:rPr>
                        <w:rFonts w:ascii="Times New Roman"/>
                        <w:spacing w:val="-6"/>
                        <w:w w:val="105"/>
                        <w:sz w:val="13"/>
                      </w:rPr>
                      <w:t> </w:t>
                    </w:r>
                    <w:r>
                      <w:rPr>
                        <w:rFonts w:ascii="Times New Roman"/>
                        <w:w w:val="105"/>
                        <w:sz w:val="13"/>
                      </w:rPr>
                      <w:t>E; current year - Column A - is</w:t>
                    </w:r>
                    <w:r>
                      <w:rPr>
                        <w:rFonts w:ascii="Times New Roman"/>
                        <w:spacing w:val="-16"/>
                        <w:w w:val="105"/>
                        <w:sz w:val="13"/>
                      </w:rPr>
                      <w:t> </w:t>
                    </w:r>
                    <w:r>
                      <w:rPr>
                        <w:rFonts w:ascii="Times New Roman"/>
                        <w:w w:val="105"/>
                        <w:sz w:val="13"/>
                      </w:rPr>
                      <w:t>extracted)</w:t>
                    </w:r>
                  </w:p>
                  <w:p>
                    <w:pPr>
                      <w:spacing w:line="148" w:lineRule="exact" w:before="0"/>
                      <w:ind w:left="0" w:right="0" w:firstLine="0"/>
                      <w:jc w:val="left"/>
                      <w:rPr>
                        <w:rFonts w:ascii="Times New Roman"/>
                        <w:sz w:val="13"/>
                      </w:rPr>
                    </w:pPr>
                    <w:r>
                      <w:rPr>
                        <w:rFonts w:ascii="Times New Roman"/>
                        <w:w w:val="105"/>
                        <w:sz w:val="13"/>
                      </w:rPr>
                      <w:t>A. REVENUES AND OTHER FINANCING SOURCES</w:t>
                    </w:r>
                  </w:p>
                </w:txbxContent>
              </v:textbox>
              <w10:wrap type="none"/>
            </v:shape>
            <v:shape style="position:absolute;left:4951;top:1409;width:379;height:303" type="#_x0000_t202" filled="false" stroked="false">
              <v:textbox inset="0,0,0,0">
                <w:txbxContent>
                  <w:p>
                    <w:pPr>
                      <w:spacing w:line="247" w:lineRule="auto" w:before="0"/>
                      <w:ind w:left="12" w:right="5" w:hanging="12"/>
                      <w:jc w:val="left"/>
                      <w:rPr>
                        <w:rFonts w:ascii="Times New Roman"/>
                        <w:sz w:val="13"/>
                      </w:rPr>
                    </w:pPr>
                    <w:r>
                      <w:rPr>
                        <w:rFonts w:ascii="Times New Roman"/>
                        <w:sz w:val="13"/>
                      </w:rPr>
                      <w:t>Object </w:t>
                    </w:r>
                    <w:r>
                      <w:rPr>
                        <w:rFonts w:ascii="Times New Roman"/>
                        <w:w w:val="105"/>
                        <w:sz w:val="13"/>
                      </w:rPr>
                      <w:t>Codes</w:t>
                    </w:r>
                  </w:p>
                </w:txbxContent>
              </v:textbox>
              <w10:wrap type="none"/>
            </v:shape>
            <v:shape style="position:absolute;left:6040;top:1102;width:567;height:610" type="#_x0000_t202" filled="false" stroked="false">
              <v:textbox inset="0,0,0,0">
                <w:txbxContent>
                  <w:p>
                    <w:pPr>
                      <w:spacing w:line="148" w:lineRule="exact" w:before="0"/>
                      <w:ind w:left="27" w:right="45" w:firstLine="0"/>
                      <w:jc w:val="center"/>
                      <w:rPr>
                        <w:rFonts w:ascii="Times New Roman"/>
                        <w:sz w:val="13"/>
                      </w:rPr>
                    </w:pPr>
                    <w:r>
                      <w:rPr>
                        <w:rFonts w:ascii="Times New Roman"/>
                        <w:w w:val="105"/>
                        <w:sz w:val="13"/>
                      </w:rPr>
                      <w:t>2021-22</w:t>
                    </w:r>
                  </w:p>
                  <w:p>
                    <w:pPr>
                      <w:spacing w:line="247" w:lineRule="auto" w:before="4"/>
                      <w:ind w:left="0" w:right="18" w:firstLine="2"/>
                      <w:jc w:val="center"/>
                      <w:rPr>
                        <w:rFonts w:ascii="Times New Roman"/>
                        <w:sz w:val="13"/>
                      </w:rPr>
                    </w:pPr>
                    <w:r>
                      <w:rPr>
                        <w:rFonts w:ascii="Times New Roman"/>
                        <w:w w:val="105"/>
                        <w:sz w:val="13"/>
                      </w:rPr>
                      <w:t>Budget (Form </w:t>
                    </w:r>
                    <w:r>
                      <w:rPr>
                        <w:rFonts w:ascii="Times New Roman"/>
                        <w:spacing w:val="-5"/>
                        <w:w w:val="105"/>
                        <w:sz w:val="13"/>
                      </w:rPr>
                      <w:t>01) </w:t>
                    </w:r>
                    <w:r>
                      <w:rPr>
                        <w:rFonts w:ascii="Times New Roman"/>
                        <w:w w:val="105"/>
                        <w:sz w:val="13"/>
                      </w:rPr>
                      <w:t>(A)</w:t>
                    </w:r>
                  </w:p>
                </w:txbxContent>
              </v:textbox>
              <w10:wrap type="none"/>
            </v:shape>
            <v:shape style="position:absolute;left:7065;top:1102;width:779;height:610" type="#_x0000_t202" filled="false" stroked="false">
              <v:textbox inset="0,0,0,0">
                <w:txbxContent>
                  <w:p>
                    <w:pPr>
                      <w:spacing w:line="148" w:lineRule="exact" w:before="0"/>
                      <w:ind w:left="14" w:right="0" w:firstLine="0"/>
                      <w:jc w:val="center"/>
                      <w:rPr>
                        <w:rFonts w:ascii="Times New Roman"/>
                        <w:sz w:val="13"/>
                      </w:rPr>
                    </w:pPr>
                    <w:r>
                      <w:rPr>
                        <w:rFonts w:ascii="Times New Roman"/>
                        <w:w w:val="103"/>
                        <w:sz w:val="13"/>
                      </w:rPr>
                      <w:t>%</w:t>
                    </w:r>
                  </w:p>
                  <w:p>
                    <w:pPr>
                      <w:spacing w:line="247" w:lineRule="auto" w:before="4"/>
                      <w:ind w:left="0" w:right="18" w:firstLine="3"/>
                      <w:jc w:val="center"/>
                      <w:rPr>
                        <w:rFonts w:ascii="Times New Roman"/>
                        <w:sz w:val="13"/>
                      </w:rPr>
                    </w:pPr>
                    <w:r>
                      <w:rPr>
                        <w:rFonts w:ascii="Times New Roman"/>
                        <w:w w:val="105"/>
                        <w:sz w:val="13"/>
                      </w:rPr>
                      <w:t>Change (Cols.</w:t>
                    </w:r>
                    <w:r>
                      <w:rPr>
                        <w:rFonts w:ascii="Times New Roman"/>
                        <w:spacing w:val="-8"/>
                        <w:w w:val="105"/>
                        <w:sz w:val="13"/>
                      </w:rPr>
                      <w:t> </w:t>
                    </w:r>
                    <w:r>
                      <w:rPr>
                        <w:rFonts w:ascii="Times New Roman"/>
                        <w:spacing w:val="-5"/>
                        <w:w w:val="105"/>
                        <w:sz w:val="13"/>
                      </w:rPr>
                      <w:t>C-A/A) </w:t>
                    </w:r>
                    <w:r>
                      <w:rPr>
                        <w:rFonts w:ascii="Times New Roman"/>
                        <w:w w:val="105"/>
                        <w:sz w:val="13"/>
                      </w:rPr>
                      <w:t>(B)</w:t>
                    </w:r>
                  </w:p>
                </w:txbxContent>
              </v:textbox>
              <w10:wrap type="none"/>
            </v:shape>
            <v:shape style="position:absolute;left:8284;top:1255;width:577;height:456" type="#_x0000_t202" filled="false" stroked="false">
              <v:textbox inset="0,0,0,0">
                <w:txbxContent>
                  <w:p>
                    <w:pPr>
                      <w:spacing w:line="148" w:lineRule="exact" w:before="0"/>
                      <w:ind w:left="55" w:right="0" w:firstLine="0"/>
                      <w:jc w:val="left"/>
                      <w:rPr>
                        <w:rFonts w:ascii="Times New Roman"/>
                        <w:sz w:val="13"/>
                      </w:rPr>
                    </w:pPr>
                    <w:r>
                      <w:rPr>
                        <w:rFonts w:ascii="Times New Roman"/>
                        <w:w w:val="105"/>
                        <w:sz w:val="13"/>
                      </w:rPr>
                      <w:t>2022-23</w:t>
                    </w:r>
                  </w:p>
                  <w:p>
                    <w:pPr>
                      <w:spacing w:line="247" w:lineRule="auto" w:before="4"/>
                      <w:ind w:left="187" w:right="0" w:hanging="188"/>
                      <w:jc w:val="left"/>
                      <w:rPr>
                        <w:rFonts w:ascii="Times New Roman"/>
                        <w:sz w:val="13"/>
                      </w:rPr>
                    </w:pPr>
                    <w:r>
                      <w:rPr>
                        <w:rFonts w:ascii="Times New Roman"/>
                        <w:sz w:val="13"/>
                      </w:rPr>
                      <w:t>Projection </w:t>
                    </w:r>
                    <w:r>
                      <w:rPr>
                        <w:rFonts w:ascii="Times New Roman"/>
                        <w:w w:val="105"/>
                        <w:sz w:val="13"/>
                      </w:rPr>
                      <w:t>(C)</w:t>
                    </w:r>
                  </w:p>
                </w:txbxContent>
              </v:textbox>
              <w10:wrap type="none"/>
            </v:shape>
            <v:shape style="position:absolute;left:9307;top:1102;width:763;height:610" type="#_x0000_t202" filled="false" stroked="false">
              <v:textbox inset="0,0,0,0">
                <w:txbxContent>
                  <w:p>
                    <w:pPr>
                      <w:spacing w:line="148" w:lineRule="exact" w:before="0"/>
                      <w:ind w:left="0" w:right="19" w:firstLine="0"/>
                      <w:jc w:val="center"/>
                      <w:rPr>
                        <w:rFonts w:ascii="Times New Roman"/>
                        <w:sz w:val="13"/>
                      </w:rPr>
                    </w:pPr>
                    <w:r>
                      <w:rPr>
                        <w:rFonts w:ascii="Times New Roman"/>
                        <w:w w:val="103"/>
                        <w:sz w:val="13"/>
                      </w:rPr>
                      <w:t>%</w:t>
                    </w:r>
                  </w:p>
                  <w:p>
                    <w:pPr>
                      <w:spacing w:line="247" w:lineRule="auto" w:before="4"/>
                      <w:ind w:left="0" w:right="18" w:firstLine="0"/>
                      <w:jc w:val="center"/>
                      <w:rPr>
                        <w:rFonts w:ascii="Times New Roman"/>
                        <w:sz w:val="13"/>
                      </w:rPr>
                    </w:pPr>
                    <w:r>
                      <w:rPr>
                        <w:rFonts w:ascii="Times New Roman"/>
                        <w:w w:val="105"/>
                        <w:sz w:val="13"/>
                      </w:rPr>
                      <w:t>Change (Cols. </w:t>
                    </w:r>
                    <w:r>
                      <w:rPr>
                        <w:rFonts w:ascii="Times New Roman"/>
                        <w:spacing w:val="-4"/>
                        <w:w w:val="105"/>
                        <w:sz w:val="13"/>
                      </w:rPr>
                      <w:t>E-C/C) </w:t>
                    </w:r>
                    <w:r>
                      <w:rPr>
                        <w:rFonts w:ascii="Times New Roman"/>
                        <w:w w:val="105"/>
                        <w:sz w:val="13"/>
                      </w:rPr>
                      <w:t>(D)</w:t>
                    </w:r>
                  </w:p>
                </w:txbxContent>
              </v:textbox>
              <w10:wrap type="none"/>
            </v:shape>
            <v:shape style="position:absolute;left:10516;top:1255;width:577;height:456" type="#_x0000_t202" filled="false" stroked="false">
              <v:textbox inset="0,0,0,0">
                <w:txbxContent>
                  <w:p>
                    <w:pPr>
                      <w:spacing w:line="148" w:lineRule="exact" w:before="0"/>
                      <w:ind w:left="55" w:right="0" w:firstLine="0"/>
                      <w:jc w:val="left"/>
                      <w:rPr>
                        <w:rFonts w:ascii="Times New Roman"/>
                        <w:sz w:val="13"/>
                      </w:rPr>
                    </w:pPr>
                    <w:r>
                      <w:rPr>
                        <w:rFonts w:ascii="Times New Roman"/>
                        <w:w w:val="105"/>
                        <w:sz w:val="13"/>
                      </w:rPr>
                      <w:t>2023-24</w:t>
                    </w:r>
                  </w:p>
                  <w:p>
                    <w:pPr>
                      <w:spacing w:line="247" w:lineRule="auto" w:before="4"/>
                      <w:ind w:left="191" w:right="0" w:hanging="192"/>
                      <w:jc w:val="left"/>
                      <w:rPr>
                        <w:rFonts w:ascii="Times New Roman"/>
                        <w:sz w:val="13"/>
                      </w:rPr>
                    </w:pPr>
                    <w:r>
                      <w:rPr>
                        <w:rFonts w:ascii="Times New Roman"/>
                        <w:sz w:val="13"/>
                      </w:rPr>
                      <w:t>Projection </w:t>
                    </w:r>
                    <w:r>
                      <w:rPr>
                        <w:rFonts w:ascii="Times New Roman"/>
                        <w:w w:val="105"/>
                        <w:sz w:val="13"/>
                      </w:rPr>
                      <w:t>(E)</w:t>
                    </w:r>
                  </w:p>
                </w:txbxContent>
              </v:textbox>
              <w10:wrap type="none"/>
            </v:shape>
            <v:shape style="position:absolute;left:986;top:2940;width:1517;height:149" type="#_x0000_t202" filled="false" stroked="false">
              <v:textbox inset="0,0,0,0">
                <w:txbxContent>
                  <w:p>
                    <w:pPr>
                      <w:spacing w:line="148" w:lineRule="exact" w:before="0"/>
                      <w:ind w:left="0" w:right="0" w:firstLine="0"/>
                      <w:jc w:val="left"/>
                      <w:rPr>
                        <w:rFonts w:ascii="Times New Roman"/>
                        <w:sz w:val="13"/>
                      </w:rPr>
                    </w:pPr>
                    <w:r>
                      <w:rPr>
                        <w:rFonts w:ascii="Times New Roman"/>
                        <w:w w:val="105"/>
                        <w:sz w:val="13"/>
                      </w:rPr>
                      <w:t>5. Other Financing Sources</w:t>
                    </w:r>
                  </w:p>
                </w:txbxContent>
              </v:textbox>
              <w10:wrap type="none"/>
            </v:shape>
            <w10:wrap type="none"/>
          </v:group>
        </w:pict>
      </w:r>
      <w:r>
        <w:rPr/>
        <w:pict>
          <v:group style="position:absolute;margin-left:43.920002pt;margin-top:171.600006pt;width:523.9500pt;height:435.15pt;mso-position-horizontal-relative:page;mso-position-vertical-relative:page;z-index:-314141696" coordorigin="878,3432" coordsize="10479,8703">
            <v:shape style="position:absolute;left:7994;top:3432;width:3363;height:377" type="#_x0000_t75" stroked="false">
              <v:imagedata r:id="rId1149" o:title=""/>
            </v:shape>
            <v:shape style="position:absolute;left:9103;top:3787;width:2254;height:656" type="#_x0000_t75" stroked="false">
              <v:imagedata r:id="rId1150" o:title=""/>
            </v:shape>
            <v:shape style="position:absolute;left:5724;top:3592;width:1169;height:447" type="#_x0000_t75" stroked="false">
              <v:imagedata r:id="rId1151" o:title=""/>
            </v:shape>
            <v:shape style="position:absolute;left:4509;top:3787;width:1229;height:22" type="#_x0000_t75" stroked="false">
              <v:imagedata r:id="rId1152" o:title=""/>
            </v:shape>
            <v:shape style="position:absolute;left:6871;top:3787;width:2247;height:862" type="#_x0000_t75" stroked="false">
              <v:imagedata r:id="rId1153" o:title=""/>
            </v:shape>
            <v:shape style="position:absolute;left:10226;top:4238;width:1131;height:411" type="#_x0000_t75" stroked="false">
              <v:imagedata r:id="rId1154" o:title=""/>
            </v:shape>
            <v:shape style="position:absolute;left:5724;top:4036;width:1162;height:1016" type="#_x0000_t75" stroked="false">
              <v:imagedata r:id="rId1155" o:title=""/>
            </v:shape>
            <v:shape style="position:absolute;left:7994;top:4440;width:1131;height:411" type="#_x0000_t75" stroked="false">
              <v:imagedata r:id="rId1156" o:title=""/>
            </v:shape>
            <v:shape style="position:absolute;left:10226;top:4641;width:1131;height:209" type="#_x0000_t75" stroked="false">
              <v:imagedata r:id="rId1157" o:title=""/>
            </v:shape>
            <v:shape style="position:absolute;left:6871;top:4641;width:2254;height:411" type="#_x0000_t75" stroked="false">
              <v:imagedata r:id="rId1158" o:title=""/>
            </v:shape>
            <v:shape style="position:absolute;left:7994;top:4843;width:3363;height:411" type="#_x0000_t75" stroked="false">
              <v:imagedata r:id="rId1159" o:title=""/>
            </v:shape>
            <v:shape style="position:absolute;left:10226;top:5044;width:1131;height:209" type="#_x0000_t75" stroked="false">
              <v:imagedata r:id="rId1160" o:title=""/>
            </v:shape>
            <v:shape style="position:absolute;left:5724;top:5044;width:1169;height:406" type="#_x0000_t75" stroked="false">
              <v:imagedata r:id="rId1161" o:title=""/>
            </v:shape>
            <v:shape style="position:absolute;left:6871;top:5246;width:2247;height:207" type="#_x0000_t75" stroked="false">
              <v:imagedata r:id="rId1162" o:title=""/>
            </v:shape>
            <v:shape style="position:absolute;left:9103;top:5246;width:2254;height:406" type="#_x0000_t75" stroked="false">
              <v:imagedata r:id="rId1163" o:title=""/>
            </v:shape>
            <v:shape style="position:absolute;left:7994;top:5448;width:1124;height:411" type="#_x0000_t75" stroked="false">
              <v:imagedata r:id="rId1164" o:title=""/>
            </v:shape>
            <v:shape style="position:absolute;left:10226;top:5448;width:1131;height:411" type="#_x0000_t75" stroked="false">
              <v:imagedata r:id="rId1154" o:title=""/>
            </v:shape>
            <v:shape style="position:absolute;left:5724;top:5448;width:1162;height:814" type="#_x0000_t75" stroked="false">
              <v:imagedata r:id="rId1165" o:title=""/>
            </v:shape>
            <v:shape style="position:absolute;left:7994;top:5649;width:1131;height:411" type="#_x0000_t75" stroked="false">
              <v:imagedata r:id="rId1156" o:title=""/>
            </v:shape>
            <v:shape style="position:absolute;left:10226;top:5851;width:1131;height:209" type="#_x0000_t75" stroked="false">
              <v:imagedata r:id="rId1157" o:title=""/>
            </v:shape>
            <v:shape style="position:absolute;left:6871;top:5448;width:2254;height:814" type="#_x0000_t75" stroked="false">
              <v:imagedata r:id="rId1166" o:title=""/>
            </v:shape>
            <v:shape style="position:absolute;left:9103;top:6052;width:2254;height:411" type="#_x0000_t75" stroked="false">
              <v:imagedata r:id="rId1167" o:title=""/>
            </v:shape>
            <v:shape style="position:absolute;left:5724;top:6254;width:2278;height:411" type="#_x0000_t75" stroked="false">
              <v:imagedata r:id="rId1168" o:title=""/>
            </v:shape>
            <v:shape style="position:absolute;left:5724;top:6254;width:5633;height:612" type="#_x0000_t75" stroked="false">
              <v:imagedata r:id="rId1169" o:title=""/>
            </v:shape>
            <v:shape style="position:absolute;left:5724;top:6657;width:5633;height:411" type="#_x0000_t75" stroked="false">
              <v:imagedata r:id="rId1170" o:title=""/>
            </v:shape>
            <v:shape style="position:absolute;left:5724;top:6859;width:5633;height:411" type="#_x0000_t75" stroked="false">
              <v:imagedata r:id="rId1170" o:title=""/>
            </v:shape>
            <v:shape style="position:absolute;left:5724;top:7060;width:5633;height:411" type="#_x0000_t75" stroked="false">
              <v:imagedata r:id="rId1170" o:title=""/>
            </v:shape>
            <v:shape style="position:absolute;left:5724;top:7262;width:5633;height:406" type="#_x0000_t75" stroked="false">
              <v:imagedata r:id="rId1171" o:title=""/>
            </v:shape>
            <v:shape style="position:absolute;left:878;top:3794;width:10479;height:4832" type="#_x0000_t75" stroked="false">
              <v:imagedata r:id="rId1172" o:title=""/>
            </v:shape>
            <v:shape style="position:absolute;left:5724;top:7464;width:5633;height:576" type="#_x0000_t75" stroked="false">
              <v:imagedata r:id="rId1173" o:title=""/>
            </v:shape>
            <v:shape style="position:absolute;left:5724;top:7867;width:2278;height:344" type="#_x0000_t75" stroked="false">
              <v:imagedata r:id="rId1174" o:title=""/>
            </v:shape>
            <v:shape style="position:absolute;left:6871;top:7867;width:3363;height:348" type="#_x0000_t75" stroked="false">
              <v:imagedata r:id="rId1175" o:title=""/>
            </v:shape>
            <v:shape style="position:absolute;left:6871;top:7867;width:4486;height:550" type="#_x0000_t75" stroked="false">
              <v:imagedata r:id="rId1176" o:title=""/>
            </v:shape>
            <v:shape style="position:absolute;left:5724;top:8208;width:1162;height:207" type="#_x0000_t75" stroked="false">
              <v:imagedata r:id="rId1177" o:title=""/>
            </v:shape>
            <v:shape style="position:absolute;left:6871;top:8409;width:4486;height:406" type="#_x0000_t75" stroked="false">
              <v:imagedata r:id="rId1178" o:title=""/>
            </v:shape>
            <v:shape style="position:absolute;left:878;top:8604;width:6008;height:212" type="#_x0000_t75" stroked="false">
              <v:imagedata r:id="rId1179" o:title=""/>
            </v:shape>
            <v:shape style="position:absolute;left:9103;top:8604;width:2254;height:413" type="#_x0000_t75" stroked="false">
              <v:imagedata r:id="rId1180" o:title=""/>
            </v:shape>
            <v:shape style="position:absolute;left:878;top:8812;width:6015;height:447" type="#_x0000_t75" stroked="false">
              <v:imagedata r:id="rId1181" o:title=""/>
            </v:shape>
            <v:shape style="position:absolute;left:6871;top:8812;width:2247;height:447" type="#_x0000_t75" stroked="false">
              <v:imagedata r:id="rId1182" o:title=""/>
            </v:shape>
            <v:shape style="position:absolute;left:9103;top:8812;width:2254;height:648" type="#_x0000_t75" stroked="false">
              <v:imagedata r:id="rId1183" o:title=""/>
            </v:shape>
            <v:shape style="position:absolute;left:5724;top:9256;width:1169;height:406" type="#_x0000_t75" stroked="false">
              <v:imagedata r:id="rId1161" o:title=""/>
            </v:shape>
            <v:shape style="position:absolute;left:7994;top:9256;width:1124;height:411" type="#_x0000_t75" stroked="false">
              <v:imagedata r:id="rId1164" o:title=""/>
            </v:shape>
            <v:shape style="position:absolute;left:10226;top:9256;width:1131;height:411" type="#_x0000_t75" stroked="false">
              <v:imagedata r:id="rId1154" o:title=""/>
            </v:shape>
            <v:shape style="position:absolute;left:5724;top:9458;width:1169;height:447" type="#_x0000_t75" stroked="false">
              <v:imagedata r:id="rId1184" o:title=""/>
            </v:shape>
            <v:shape style="position:absolute;left:7994;top:9458;width:1131;height:447" type="#_x0000_t75" stroked="false">
              <v:imagedata r:id="rId1185" o:title=""/>
            </v:shape>
            <v:shape style="position:absolute;left:10226;top:9660;width:1131;height:648" type="#_x0000_t75" stroked="false">
              <v:imagedata r:id="rId1186" o:title=""/>
            </v:shape>
            <v:shape style="position:absolute;left:7994;top:9902;width:8;height:406" type="#_x0000_t75" stroked="false">
              <v:imagedata r:id="rId1187" o:title=""/>
            </v:shape>
            <v:shape style="position:absolute;left:5724;top:9660;width:1169;height:653" type="#_x0000_t75" stroked="false">
              <v:imagedata r:id="rId1188" o:title=""/>
            </v:shape>
            <v:shape style="position:absolute;left:7994;top:9660;width:1131;height:653" type="#_x0000_t75" stroked="false">
              <v:imagedata r:id="rId1189" o:title=""/>
            </v:shape>
            <v:shape style="position:absolute;left:10226;top:10104;width:1131;height:209" type="#_x0000_t75" stroked="false">
              <v:imagedata r:id="rId1190" o:title=""/>
            </v:shape>
            <v:shape style="position:absolute;left:5724;top:10305;width:1162;height:411" type="#_x0000_t75" stroked="false">
              <v:imagedata r:id="rId1191" o:title=""/>
            </v:shape>
            <v:shape style="position:absolute;left:7994;top:10104;width:1131;height:809" type="#_x0000_t75" stroked="false">
              <v:imagedata r:id="rId1192" o:title=""/>
            </v:shape>
            <v:shape style="position:absolute;left:10226;top:10305;width:1131;height:809" type="#_x0000_t75" stroked="false">
              <v:imagedata r:id="rId1193" o:title=""/>
            </v:shape>
            <v:shape style="position:absolute;left:5724;top:10708;width:1162;height:209" type="#_x0000_t75" stroked="false">
              <v:imagedata r:id="rId1194" o:title=""/>
            </v:shape>
            <v:shape style="position:absolute;left:5724;top:10104;width:1169;height:1212" type="#_x0000_t75" stroked="false">
              <v:imagedata r:id="rId1195" o:title=""/>
            </v:shape>
            <v:shape style="position:absolute;left:7994;top:10708;width:1131;height:406" type="#_x0000_t75" stroked="false">
              <v:imagedata r:id="rId1196" o:title=""/>
            </v:shape>
            <v:shape style="position:absolute;left:7994;top:10910;width:1131;height:406" type="#_x0000_t75" stroked="false">
              <v:imagedata r:id="rId1197" o:title=""/>
            </v:shape>
            <v:shape style="position:absolute;left:10226;top:10910;width:1131;height:608" type="#_x0000_t75" stroked="false">
              <v:imagedata r:id="rId1198" o:title=""/>
            </v:shape>
            <v:shape style="position:absolute;left:5724;top:11313;width:1162;height:209" type="#_x0000_t75" stroked="false">
              <v:imagedata r:id="rId1194" o:title=""/>
            </v:shape>
            <v:shape style="position:absolute;left:7994;top:11313;width:1124;height:209" type="#_x0000_t75" stroked="false">
              <v:imagedata r:id="rId1199" o:title=""/>
            </v:shape>
            <v:shape style="position:absolute;left:10226;top:11313;width:1131;height:209" type="#_x0000_t75" stroked="false">
              <v:imagedata r:id="rId1160" o:title=""/>
            </v:shape>
            <v:shape style="position:absolute;left:878;top:9256;width:6008;height:2878" type="#_x0000_t75" stroked="false">
              <v:imagedata r:id="rId1200" o:title=""/>
            </v:shape>
            <v:shape style="position:absolute;left:5724;top:11515;width:1162;height:209" type="#_x0000_t75" stroked="false">
              <v:imagedata r:id="rId1194" o:title=""/>
            </v:shape>
            <v:shape style="position:absolute;left:5724;top:11112;width:1169;height:809" type="#_x0000_t75" stroked="false">
              <v:imagedata r:id="rId1201" o:title=""/>
            </v:shape>
            <v:shape style="position:absolute;left:7994;top:11515;width:1124;height:209" type="#_x0000_t75" stroked="false">
              <v:imagedata r:id="rId1199" o:title=""/>
            </v:shape>
            <v:shape style="position:absolute;left:10226;top:11515;width:1131;height:209" type="#_x0000_t75" stroked="false">
              <v:imagedata r:id="rId1160" o:title=""/>
            </v:shape>
            <v:shape style="position:absolute;left:9103;top:11112;width:2254;height:1023" type="#_x0000_t75" stroked="false">
              <v:imagedata r:id="rId1202" o:title=""/>
            </v:shape>
            <v:shape style="position:absolute;left:6871;top:11716;width:2247;height:418" type="#_x0000_t75" stroked="false">
              <v:imagedata r:id="rId1203" o:title=""/>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4"/>
        </w:rPr>
      </w:pPr>
    </w:p>
    <w:tbl>
      <w:tblPr>
        <w:tblW w:w="0" w:type="auto"/>
        <w:jc w:val="left"/>
        <w:tblInd w:w="8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03"/>
        <w:gridCol w:w="1448"/>
        <w:gridCol w:w="1148"/>
        <w:gridCol w:w="1117"/>
        <w:gridCol w:w="1117"/>
        <w:gridCol w:w="1117"/>
        <w:gridCol w:w="1117"/>
      </w:tblGrid>
      <w:tr>
        <w:trPr>
          <w:trHeight w:val="154" w:hRule="atLeast"/>
        </w:trPr>
        <w:tc>
          <w:tcPr>
            <w:tcW w:w="4851" w:type="dxa"/>
            <w:gridSpan w:val="2"/>
          </w:tcPr>
          <w:p>
            <w:pPr>
              <w:pStyle w:val="TableParagraph"/>
              <w:tabs>
                <w:tab w:pos="4527" w:val="right" w:leader="none"/>
              </w:tabs>
              <w:spacing w:line="135" w:lineRule="exact"/>
              <w:ind w:left="100"/>
              <w:rPr>
                <w:rFonts w:ascii="Times New Roman"/>
                <w:sz w:val="13"/>
              </w:rPr>
            </w:pPr>
            <w:bookmarkStart w:name="FORM MYP" w:id="15"/>
            <w:bookmarkEnd w:id="15"/>
            <w:r>
              <w:rPr/>
            </w:r>
            <w:r>
              <w:rPr>
                <w:rFonts w:ascii="Times New Roman"/>
                <w:w w:val="105"/>
                <w:sz w:val="13"/>
              </w:rPr>
              <w:t>1. LCFF/Revenue</w:t>
            </w:r>
            <w:r>
              <w:rPr>
                <w:rFonts w:ascii="Times New Roman"/>
                <w:spacing w:val="-5"/>
                <w:w w:val="105"/>
                <w:sz w:val="13"/>
              </w:rPr>
              <w:t> </w:t>
            </w:r>
            <w:r>
              <w:rPr>
                <w:rFonts w:ascii="Times New Roman"/>
                <w:w w:val="105"/>
                <w:sz w:val="13"/>
              </w:rPr>
              <w:t>Limit</w:t>
            </w:r>
            <w:r>
              <w:rPr>
                <w:rFonts w:ascii="Times New Roman"/>
                <w:spacing w:val="-1"/>
                <w:w w:val="105"/>
                <w:sz w:val="13"/>
              </w:rPr>
              <w:t> </w:t>
            </w:r>
            <w:r>
              <w:rPr>
                <w:rFonts w:ascii="Times New Roman"/>
                <w:w w:val="105"/>
                <w:sz w:val="13"/>
              </w:rPr>
              <w:t>Sources</w:t>
              <w:tab/>
              <w:t>8010-8099</w:t>
            </w:r>
          </w:p>
        </w:tc>
        <w:tc>
          <w:tcPr>
            <w:tcW w:w="1148" w:type="dxa"/>
          </w:tcPr>
          <w:p>
            <w:pPr>
              <w:pStyle w:val="TableParagraph"/>
              <w:spacing w:line="135" w:lineRule="exact"/>
              <w:ind w:right="77"/>
              <w:jc w:val="right"/>
              <w:rPr>
                <w:rFonts w:ascii="Times New Roman"/>
                <w:sz w:val="13"/>
              </w:rPr>
            </w:pPr>
            <w:r>
              <w:rPr>
                <w:rFonts w:ascii="Times New Roman"/>
                <w:sz w:val="13"/>
              </w:rPr>
              <w:t>1,369,520.00</w:t>
            </w:r>
          </w:p>
        </w:tc>
        <w:tc>
          <w:tcPr>
            <w:tcW w:w="1117" w:type="dxa"/>
          </w:tcPr>
          <w:p>
            <w:pPr>
              <w:pStyle w:val="TableParagraph"/>
              <w:spacing w:line="135" w:lineRule="exact"/>
              <w:ind w:right="33"/>
              <w:jc w:val="right"/>
              <w:rPr>
                <w:rFonts w:ascii="Times New Roman"/>
                <w:sz w:val="13"/>
              </w:rPr>
            </w:pPr>
            <w:r>
              <w:rPr>
                <w:rFonts w:ascii="Times New Roman"/>
                <w:sz w:val="13"/>
              </w:rPr>
              <w:t>3.77%</w:t>
            </w:r>
          </w:p>
        </w:tc>
        <w:tc>
          <w:tcPr>
            <w:tcW w:w="1117" w:type="dxa"/>
          </w:tcPr>
          <w:p>
            <w:pPr>
              <w:pStyle w:val="TableParagraph"/>
              <w:spacing w:line="135" w:lineRule="exact"/>
              <w:ind w:left="331"/>
              <w:rPr>
                <w:rFonts w:ascii="Times New Roman"/>
                <w:sz w:val="13"/>
              </w:rPr>
            </w:pPr>
            <w:r>
              <w:rPr>
                <w:rFonts w:ascii="Times New Roman"/>
                <w:w w:val="105"/>
                <w:sz w:val="13"/>
              </w:rPr>
              <w:t>1,421,191.00</w:t>
            </w:r>
          </w:p>
        </w:tc>
        <w:tc>
          <w:tcPr>
            <w:tcW w:w="1117" w:type="dxa"/>
          </w:tcPr>
          <w:p>
            <w:pPr>
              <w:pStyle w:val="TableParagraph"/>
              <w:spacing w:line="135" w:lineRule="exact"/>
              <w:ind w:right="35"/>
              <w:jc w:val="right"/>
              <w:rPr>
                <w:rFonts w:ascii="Times New Roman"/>
                <w:sz w:val="13"/>
              </w:rPr>
            </w:pPr>
            <w:r>
              <w:rPr>
                <w:rFonts w:ascii="Times New Roman"/>
                <w:sz w:val="13"/>
              </w:rPr>
              <w:t>2.98%</w:t>
            </w:r>
          </w:p>
        </w:tc>
        <w:tc>
          <w:tcPr>
            <w:tcW w:w="1117" w:type="dxa"/>
          </w:tcPr>
          <w:p>
            <w:pPr>
              <w:pStyle w:val="TableParagraph"/>
              <w:spacing w:line="135" w:lineRule="exact"/>
              <w:ind w:right="81"/>
              <w:jc w:val="right"/>
              <w:rPr>
                <w:rFonts w:ascii="Times New Roman"/>
                <w:sz w:val="13"/>
              </w:rPr>
            </w:pPr>
            <w:r>
              <w:rPr>
                <w:rFonts w:ascii="Times New Roman"/>
                <w:sz w:val="13"/>
              </w:rPr>
              <w:t>1,463,576.00</w:t>
            </w:r>
          </w:p>
        </w:tc>
      </w:tr>
      <w:tr>
        <w:trPr>
          <w:trHeight w:val="160" w:hRule="atLeast"/>
        </w:trPr>
        <w:tc>
          <w:tcPr>
            <w:tcW w:w="4851" w:type="dxa"/>
            <w:gridSpan w:val="2"/>
          </w:tcPr>
          <w:p>
            <w:pPr>
              <w:pStyle w:val="TableParagraph"/>
              <w:tabs>
                <w:tab w:pos="4527" w:val="right" w:leader="none"/>
              </w:tabs>
              <w:spacing w:line="137" w:lineRule="exact" w:before="4"/>
              <w:ind w:left="100"/>
              <w:rPr>
                <w:rFonts w:ascii="Times New Roman"/>
                <w:sz w:val="13"/>
              </w:rPr>
            </w:pPr>
            <w:r>
              <w:rPr>
                <w:rFonts w:ascii="Times New Roman"/>
                <w:w w:val="105"/>
                <w:sz w:val="13"/>
              </w:rPr>
              <w:t>2.</w:t>
            </w:r>
            <w:r>
              <w:rPr>
                <w:rFonts w:ascii="Times New Roman"/>
                <w:spacing w:val="32"/>
                <w:w w:val="105"/>
                <w:sz w:val="13"/>
              </w:rPr>
              <w:t> </w:t>
            </w:r>
            <w:r>
              <w:rPr>
                <w:rFonts w:ascii="Times New Roman"/>
                <w:w w:val="105"/>
                <w:sz w:val="13"/>
              </w:rPr>
              <w:t>Federal</w:t>
            </w:r>
            <w:r>
              <w:rPr>
                <w:rFonts w:ascii="Times New Roman"/>
                <w:spacing w:val="-4"/>
                <w:w w:val="105"/>
                <w:sz w:val="13"/>
              </w:rPr>
              <w:t> </w:t>
            </w:r>
            <w:r>
              <w:rPr>
                <w:rFonts w:ascii="Times New Roman"/>
                <w:w w:val="105"/>
                <w:sz w:val="13"/>
              </w:rPr>
              <w:t>Revenues</w:t>
              <w:tab/>
              <w:t>8100-8299</w:t>
            </w:r>
          </w:p>
        </w:tc>
        <w:tc>
          <w:tcPr>
            <w:tcW w:w="1148" w:type="dxa"/>
          </w:tcPr>
          <w:p>
            <w:pPr>
              <w:pStyle w:val="TableParagraph"/>
              <w:spacing w:line="137" w:lineRule="exact" w:before="4"/>
              <w:ind w:right="76"/>
              <w:jc w:val="right"/>
              <w:rPr>
                <w:rFonts w:ascii="Times New Roman"/>
                <w:sz w:val="13"/>
              </w:rPr>
            </w:pPr>
            <w:r>
              <w:rPr>
                <w:rFonts w:ascii="Times New Roman"/>
                <w:sz w:val="13"/>
              </w:rPr>
              <w:t>0.00</w:t>
            </w:r>
          </w:p>
        </w:tc>
        <w:tc>
          <w:tcPr>
            <w:tcW w:w="1117" w:type="dxa"/>
          </w:tcPr>
          <w:p>
            <w:pPr>
              <w:pStyle w:val="TableParagraph"/>
              <w:spacing w:line="137" w:lineRule="exact" w:before="4"/>
              <w:ind w:right="33"/>
              <w:jc w:val="right"/>
              <w:rPr>
                <w:rFonts w:ascii="Times New Roman"/>
                <w:sz w:val="13"/>
              </w:rPr>
            </w:pPr>
            <w:r>
              <w:rPr>
                <w:rFonts w:ascii="Times New Roman"/>
                <w:sz w:val="13"/>
              </w:rPr>
              <w:t>0.00%</w:t>
            </w:r>
          </w:p>
        </w:tc>
        <w:tc>
          <w:tcPr>
            <w:tcW w:w="1117" w:type="dxa"/>
          </w:tcPr>
          <w:p>
            <w:pPr>
              <w:pStyle w:val="TableParagraph"/>
              <w:spacing w:line="137" w:lineRule="exact" w:before="4"/>
              <w:ind w:right="78"/>
              <w:jc w:val="right"/>
              <w:rPr>
                <w:rFonts w:ascii="Times New Roman"/>
                <w:sz w:val="13"/>
              </w:rPr>
            </w:pPr>
            <w:r>
              <w:rPr>
                <w:rFonts w:ascii="Times New Roman"/>
                <w:sz w:val="13"/>
              </w:rPr>
              <w:t>0.00</w:t>
            </w:r>
          </w:p>
        </w:tc>
        <w:tc>
          <w:tcPr>
            <w:tcW w:w="1117" w:type="dxa"/>
          </w:tcPr>
          <w:p>
            <w:pPr>
              <w:pStyle w:val="TableParagraph"/>
              <w:spacing w:line="137" w:lineRule="exact" w:before="4"/>
              <w:ind w:right="35"/>
              <w:jc w:val="right"/>
              <w:rPr>
                <w:rFonts w:ascii="Times New Roman"/>
                <w:sz w:val="13"/>
              </w:rPr>
            </w:pPr>
            <w:r>
              <w:rPr>
                <w:rFonts w:ascii="Times New Roman"/>
                <w:sz w:val="13"/>
              </w:rPr>
              <w:t>0.00%</w:t>
            </w:r>
          </w:p>
        </w:tc>
        <w:tc>
          <w:tcPr>
            <w:tcW w:w="1117" w:type="dxa"/>
          </w:tcPr>
          <w:p>
            <w:pPr>
              <w:pStyle w:val="TableParagraph"/>
              <w:spacing w:line="137" w:lineRule="exact" w:before="4"/>
              <w:ind w:right="80"/>
              <w:jc w:val="right"/>
              <w:rPr>
                <w:rFonts w:ascii="Times New Roman"/>
                <w:sz w:val="13"/>
              </w:rPr>
            </w:pPr>
            <w:r>
              <w:rPr>
                <w:rFonts w:ascii="Times New Roman"/>
                <w:sz w:val="13"/>
              </w:rPr>
              <w:t>0.00</w:t>
            </w:r>
          </w:p>
        </w:tc>
      </w:tr>
      <w:tr>
        <w:trPr>
          <w:trHeight w:val="160" w:hRule="atLeast"/>
        </w:trPr>
        <w:tc>
          <w:tcPr>
            <w:tcW w:w="4851" w:type="dxa"/>
            <w:gridSpan w:val="2"/>
          </w:tcPr>
          <w:p>
            <w:pPr>
              <w:pStyle w:val="TableParagraph"/>
              <w:tabs>
                <w:tab w:pos="4527" w:val="right" w:leader="none"/>
              </w:tabs>
              <w:spacing w:line="137" w:lineRule="exact" w:before="4"/>
              <w:ind w:left="100"/>
              <w:rPr>
                <w:rFonts w:ascii="Times New Roman"/>
                <w:sz w:val="13"/>
              </w:rPr>
            </w:pPr>
            <w:r>
              <w:rPr>
                <w:rFonts w:ascii="Times New Roman"/>
                <w:w w:val="105"/>
                <w:sz w:val="13"/>
              </w:rPr>
              <w:t>3. Other</w:t>
            </w:r>
            <w:r>
              <w:rPr>
                <w:rFonts w:ascii="Times New Roman"/>
                <w:spacing w:val="-4"/>
                <w:w w:val="105"/>
                <w:sz w:val="13"/>
              </w:rPr>
              <w:t> </w:t>
            </w:r>
            <w:r>
              <w:rPr>
                <w:rFonts w:ascii="Times New Roman"/>
                <w:w w:val="105"/>
                <w:sz w:val="13"/>
              </w:rPr>
              <w:t>State</w:t>
            </w:r>
            <w:r>
              <w:rPr>
                <w:rFonts w:ascii="Times New Roman"/>
                <w:spacing w:val="-1"/>
                <w:w w:val="105"/>
                <w:sz w:val="13"/>
              </w:rPr>
              <w:t> </w:t>
            </w:r>
            <w:r>
              <w:rPr>
                <w:rFonts w:ascii="Times New Roman"/>
                <w:w w:val="105"/>
                <w:sz w:val="13"/>
              </w:rPr>
              <w:t>Revenues</w:t>
              <w:tab/>
              <w:t>8300-8599</w:t>
            </w:r>
          </w:p>
        </w:tc>
        <w:tc>
          <w:tcPr>
            <w:tcW w:w="1148" w:type="dxa"/>
          </w:tcPr>
          <w:p>
            <w:pPr>
              <w:pStyle w:val="TableParagraph"/>
              <w:spacing w:line="137" w:lineRule="exact" w:before="4"/>
              <w:ind w:right="77"/>
              <w:jc w:val="right"/>
              <w:rPr>
                <w:rFonts w:ascii="Times New Roman"/>
                <w:sz w:val="13"/>
              </w:rPr>
            </w:pPr>
            <w:r>
              <w:rPr>
                <w:rFonts w:ascii="Times New Roman"/>
                <w:sz w:val="13"/>
              </w:rPr>
              <w:t>21,006.00</w:t>
            </w:r>
          </w:p>
        </w:tc>
        <w:tc>
          <w:tcPr>
            <w:tcW w:w="1117" w:type="dxa"/>
          </w:tcPr>
          <w:p>
            <w:pPr>
              <w:pStyle w:val="TableParagraph"/>
              <w:spacing w:line="137" w:lineRule="exact" w:before="4"/>
              <w:ind w:right="33"/>
              <w:jc w:val="right"/>
              <w:rPr>
                <w:rFonts w:ascii="Times New Roman"/>
                <w:sz w:val="13"/>
              </w:rPr>
            </w:pPr>
            <w:r>
              <w:rPr>
                <w:rFonts w:ascii="Times New Roman"/>
                <w:sz w:val="13"/>
              </w:rPr>
              <w:t>0.00%</w:t>
            </w:r>
          </w:p>
        </w:tc>
        <w:tc>
          <w:tcPr>
            <w:tcW w:w="1117" w:type="dxa"/>
          </w:tcPr>
          <w:p>
            <w:pPr>
              <w:pStyle w:val="TableParagraph"/>
              <w:spacing w:line="137" w:lineRule="exact" w:before="4"/>
              <w:ind w:right="79"/>
              <w:jc w:val="right"/>
              <w:rPr>
                <w:rFonts w:ascii="Times New Roman"/>
                <w:sz w:val="13"/>
              </w:rPr>
            </w:pPr>
            <w:r>
              <w:rPr>
                <w:rFonts w:ascii="Times New Roman"/>
                <w:sz w:val="13"/>
              </w:rPr>
              <w:t>21,006.00</w:t>
            </w:r>
          </w:p>
        </w:tc>
        <w:tc>
          <w:tcPr>
            <w:tcW w:w="1117" w:type="dxa"/>
          </w:tcPr>
          <w:p>
            <w:pPr>
              <w:pStyle w:val="TableParagraph"/>
              <w:spacing w:line="137" w:lineRule="exact" w:before="4"/>
              <w:ind w:right="35"/>
              <w:jc w:val="right"/>
              <w:rPr>
                <w:rFonts w:ascii="Times New Roman"/>
                <w:sz w:val="13"/>
              </w:rPr>
            </w:pPr>
            <w:r>
              <w:rPr>
                <w:rFonts w:ascii="Times New Roman"/>
                <w:sz w:val="13"/>
              </w:rPr>
              <w:t>0.00%</w:t>
            </w:r>
          </w:p>
        </w:tc>
        <w:tc>
          <w:tcPr>
            <w:tcW w:w="1117" w:type="dxa"/>
          </w:tcPr>
          <w:p>
            <w:pPr>
              <w:pStyle w:val="TableParagraph"/>
              <w:spacing w:line="137" w:lineRule="exact" w:before="4"/>
              <w:ind w:right="81"/>
              <w:jc w:val="right"/>
              <w:rPr>
                <w:rFonts w:ascii="Times New Roman"/>
                <w:sz w:val="13"/>
              </w:rPr>
            </w:pPr>
            <w:r>
              <w:rPr>
                <w:rFonts w:ascii="Times New Roman"/>
                <w:sz w:val="13"/>
              </w:rPr>
              <w:t>21,006.00</w:t>
            </w:r>
          </w:p>
        </w:tc>
      </w:tr>
      <w:tr>
        <w:trPr>
          <w:trHeight w:val="250" w:hRule="atLeast"/>
        </w:trPr>
        <w:tc>
          <w:tcPr>
            <w:tcW w:w="4851" w:type="dxa"/>
            <w:gridSpan w:val="2"/>
          </w:tcPr>
          <w:p>
            <w:pPr>
              <w:pStyle w:val="TableParagraph"/>
              <w:tabs>
                <w:tab w:pos="4527" w:val="right" w:leader="none"/>
              </w:tabs>
              <w:spacing w:before="4"/>
              <w:ind w:left="100"/>
              <w:rPr>
                <w:rFonts w:ascii="Times New Roman"/>
                <w:sz w:val="13"/>
              </w:rPr>
            </w:pPr>
            <w:r>
              <w:rPr>
                <w:rFonts w:ascii="Times New Roman"/>
                <w:w w:val="105"/>
                <w:sz w:val="13"/>
              </w:rPr>
              <w:t>4. Other</w:t>
            </w:r>
            <w:r>
              <w:rPr>
                <w:rFonts w:ascii="Times New Roman"/>
                <w:spacing w:val="-4"/>
                <w:w w:val="105"/>
                <w:sz w:val="13"/>
              </w:rPr>
              <w:t> </w:t>
            </w:r>
            <w:r>
              <w:rPr>
                <w:rFonts w:ascii="Times New Roman"/>
                <w:w w:val="105"/>
                <w:sz w:val="13"/>
              </w:rPr>
              <w:t>Local</w:t>
            </w:r>
            <w:r>
              <w:rPr>
                <w:rFonts w:ascii="Times New Roman"/>
                <w:spacing w:val="-3"/>
                <w:w w:val="105"/>
                <w:sz w:val="13"/>
              </w:rPr>
              <w:t> </w:t>
            </w:r>
            <w:r>
              <w:rPr>
                <w:rFonts w:ascii="Times New Roman"/>
                <w:w w:val="105"/>
                <w:sz w:val="13"/>
              </w:rPr>
              <w:t>Revenues</w:t>
              <w:tab/>
              <w:t>8600-8799</w:t>
            </w:r>
          </w:p>
        </w:tc>
        <w:tc>
          <w:tcPr>
            <w:tcW w:w="1148" w:type="dxa"/>
          </w:tcPr>
          <w:p>
            <w:pPr>
              <w:pStyle w:val="TableParagraph"/>
              <w:spacing w:before="4"/>
              <w:ind w:right="77"/>
              <w:jc w:val="right"/>
              <w:rPr>
                <w:rFonts w:ascii="Times New Roman"/>
                <w:sz w:val="13"/>
              </w:rPr>
            </w:pPr>
            <w:r>
              <w:rPr>
                <w:rFonts w:ascii="Times New Roman"/>
                <w:sz w:val="13"/>
              </w:rPr>
              <w:t>337,294.00</w:t>
            </w:r>
          </w:p>
        </w:tc>
        <w:tc>
          <w:tcPr>
            <w:tcW w:w="1117" w:type="dxa"/>
          </w:tcPr>
          <w:p>
            <w:pPr>
              <w:pStyle w:val="TableParagraph"/>
              <w:spacing w:before="4"/>
              <w:ind w:right="33"/>
              <w:jc w:val="right"/>
              <w:rPr>
                <w:rFonts w:ascii="Times New Roman"/>
                <w:sz w:val="13"/>
              </w:rPr>
            </w:pPr>
            <w:r>
              <w:rPr>
                <w:rFonts w:ascii="Times New Roman"/>
                <w:sz w:val="13"/>
              </w:rPr>
              <w:t>0.00%</w:t>
            </w:r>
          </w:p>
        </w:tc>
        <w:tc>
          <w:tcPr>
            <w:tcW w:w="1117" w:type="dxa"/>
          </w:tcPr>
          <w:p>
            <w:pPr>
              <w:pStyle w:val="TableParagraph"/>
              <w:spacing w:before="4"/>
              <w:ind w:right="79"/>
              <w:jc w:val="right"/>
              <w:rPr>
                <w:rFonts w:ascii="Times New Roman"/>
                <w:sz w:val="13"/>
              </w:rPr>
            </w:pPr>
            <w:r>
              <w:rPr>
                <w:rFonts w:ascii="Times New Roman"/>
                <w:sz w:val="13"/>
              </w:rPr>
              <w:t>337,294.00</w:t>
            </w:r>
          </w:p>
        </w:tc>
        <w:tc>
          <w:tcPr>
            <w:tcW w:w="1117" w:type="dxa"/>
          </w:tcPr>
          <w:p>
            <w:pPr>
              <w:pStyle w:val="TableParagraph"/>
              <w:spacing w:before="4"/>
              <w:ind w:right="35"/>
              <w:jc w:val="right"/>
              <w:rPr>
                <w:rFonts w:ascii="Times New Roman"/>
                <w:sz w:val="13"/>
              </w:rPr>
            </w:pPr>
            <w:r>
              <w:rPr>
                <w:rFonts w:ascii="Times New Roman"/>
                <w:sz w:val="13"/>
              </w:rPr>
              <w:t>0.00%</w:t>
            </w:r>
          </w:p>
        </w:tc>
        <w:tc>
          <w:tcPr>
            <w:tcW w:w="1117" w:type="dxa"/>
          </w:tcPr>
          <w:p>
            <w:pPr>
              <w:pStyle w:val="TableParagraph"/>
              <w:spacing w:before="4"/>
              <w:ind w:right="81"/>
              <w:jc w:val="right"/>
              <w:rPr>
                <w:rFonts w:ascii="Times New Roman"/>
                <w:sz w:val="13"/>
              </w:rPr>
            </w:pPr>
            <w:r>
              <w:rPr>
                <w:rFonts w:ascii="Times New Roman"/>
                <w:sz w:val="13"/>
              </w:rPr>
              <w:t>337,294.00</w:t>
            </w:r>
          </w:p>
        </w:tc>
      </w:tr>
      <w:tr>
        <w:trPr>
          <w:trHeight w:val="255" w:hRule="atLeast"/>
        </w:trPr>
        <w:tc>
          <w:tcPr>
            <w:tcW w:w="4851" w:type="dxa"/>
            <w:gridSpan w:val="2"/>
          </w:tcPr>
          <w:p>
            <w:pPr>
              <w:pStyle w:val="TableParagraph"/>
              <w:tabs>
                <w:tab w:pos="4527" w:val="right" w:leader="none"/>
              </w:tabs>
              <w:spacing w:line="141" w:lineRule="exact" w:before="94"/>
              <w:ind w:left="201"/>
              <w:rPr>
                <w:rFonts w:ascii="Times New Roman"/>
                <w:sz w:val="13"/>
              </w:rPr>
            </w:pPr>
            <w:r>
              <w:rPr>
                <w:rFonts w:ascii="Times New Roman"/>
                <w:w w:val="105"/>
                <w:sz w:val="13"/>
              </w:rPr>
              <w:t>a.</w:t>
            </w:r>
            <w:r>
              <w:rPr>
                <w:rFonts w:ascii="Times New Roman"/>
                <w:spacing w:val="32"/>
                <w:w w:val="105"/>
                <w:sz w:val="13"/>
              </w:rPr>
              <w:t> </w:t>
            </w:r>
            <w:r>
              <w:rPr>
                <w:rFonts w:ascii="Times New Roman"/>
                <w:w w:val="105"/>
                <w:sz w:val="13"/>
              </w:rPr>
              <w:t>Transfers In</w:t>
              <w:tab/>
              <w:t>8900-8929</w:t>
            </w:r>
          </w:p>
        </w:tc>
        <w:tc>
          <w:tcPr>
            <w:tcW w:w="1148" w:type="dxa"/>
          </w:tcPr>
          <w:p>
            <w:pPr>
              <w:pStyle w:val="TableParagraph"/>
              <w:spacing w:line="141" w:lineRule="exact" w:before="94"/>
              <w:ind w:right="76"/>
              <w:jc w:val="right"/>
              <w:rPr>
                <w:rFonts w:ascii="Times New Roman"/>
                <w:sz w:val="13"/>
              </w:rPr>
            </w:pPr>
            <w:r>
              <w:rPr>
                <w:rFonts w:ascii="Times New Roman"/>
                <w:sz w:val="13"/>
              </w:rPr>
              <w:t>0.00</w:t>
            </w:r>
          </w:p>
        </w:tc>
        <w:tc>
          <w:tcPr>
            <w:tcW w:w="1117" w:type="dxa"/>
          </w:tcPr>
          <w:p>
            <w:pPr>
              <w:pStyle w:val="TableParagraph"/>
              <w:spacing w:line="141" w:lineRule="exact" w:before="94"/>
              <w:ind w:right="33"/>
              <w:jc w:val="right"/>
              <w:rPr>
                <w:rFonts w:ascii="Times New Roman"/>
                <w:sz w:val="13"/>
              </w:rPr>
            </w:pPr>
            <w:r>
              <w:rPr>
                <w:rFonts w:ascii="Times New Roman"/>
                <w:sz w:val="13"/>
              </w:rPr>
              <w:t>0.00%</w:t>
            </w:r>
          </w:p>
        </w:tc>
        <w:tc>
          <w:tcPr>
            <w:tcW w:w="1117" w:type="dxa"/>
          </w:tcPr>
          <w:p>
            <w:pPr>
              <w:pStyle w:val="TableParagraph"/>
              <w:spacing w:line="141" w:lineRule="exact" w:before="94"/>
              <w:ind w:right="78"/>
              <w:jc w:val="right"/>
              <w:rPr>
                <w:rFonts w:ascii="Times New Roman"/>
                <w:sz w:val="13"/>
              </w:rPr>
            </w:pPr>
            <w:r>
              <w:rPr>
                <w:rFonts w:ascii="Times New Roman"/>
                <w:sz w:val="13"/>
              </w:rPr>
              <w:t>0.00</w:t>
            </w:r>
          </w:p>
        </w:tc>
        <w:tc>
          <w:tcPr>
            <w:tcW w:w="1117" w:type="dxa"/>
          </w:tcPr>
          <w:p>
            <w:pPr>
              <w:pStyle w:val="TableParagraph"/>
              <w:spacing w:line="141" w:lineRule="exact" w:before="94"/>
              <w:ind w:right="35"/>
              <w:jc w:val="right"/>
              <w:rPr>
                <w:rFonts w:ascii="Times New Roman"/>
                <w:sz w:val="13"/>
              </w:rPr>
            </w:pPr>
            <w:r>
              <w:rPr>
                <w:rFonts w:ascii="Times New Roman"/>
                <w:sz w:val="13"/>
              </w:rPr>
              <w:t>0.00%</w:t>
            </w:r>
          </w:p>
        </w:tc>
        <w:tc>
          <w:tcPr>
            <w:tcW w:w="1117" w:type="dxa"/>
          </w:tcPr>
          <w:p>
            <w:pPr>
              <w:pStyle w:val="TableParagraph"/>
              <w:spacing w:line="141" w:lineRule="exact" w:before="94"/>
              <w:ind w:right="80"/>
              <w:jc w:val="right"/>
              <w:rPr>
                <w:rFonts w:ascii="Times New Roman"/>
                <w:sz w:val="13"/>
              </w:rPr>
            </w:pPr>
            <w:r>
              <w:rPr>
                <w:rFonts w:ascii="Times New Roman"/>
                <w:sz w:val="13"/>
              </w:rPr>
              <w:t>0.00</w:t>
            </w:r>
          </w:p>
        </w:tc>
      </w:tr>
      <w:tr>
        <w:trPr>
          <w:trHeight w:val="165" w:hRule="atLeast"/>
        </w:trPr>
        <w:tc>
          <w:tcPr>
            <w:tcW w:w="4851" w:type="dxa"/>
            <w:gridSpan w:val="2"/>
          </w:tcPr>
          <w:p>
            <w:pPr>
              <w:pStyle w:val="TableParagraph"/>
              <w:tabs>
                <w:tab w:pos="4527" w:val="right" w:leader="none"/>
              </w:tabs>
              <w:spacing w:line="137" w:lineRule="exact" w:before="9"/>
              <w:ind w:left="201"/>
              <w:rPr>
                <w:rFonts w:ascii="Times New Roman"/>
                <w:sz w:val="13"/>
              </w:rPr>
            </w:pPr>
            <w:r>
              <w:rPr>
                <w:rFonts w:ascii="Times New Roman"/>
                <w:w w:val="105"/>
                <w:sz w:val="13"/>
              </w:rPr>
              <w:t>b.</w:t>
            </w:r>
            <w:r>
              <w:rPr>
                <w:rFonts w:ascii="Times New Roman"/>
                <w:spacing w:val="32"/>
                <w:w w:val="105"/>
                <w:sz w:val="13"/>
              </w:rPr>
              <w:t> </w:t>
            </w:r>
            <w:r>
              <w:rPr>
                <w:rFonts w:ascii="Times New Roman"/>
                <w:w w:val="105"/>
                <w:sz w:val="13"/>
              </w:rPr>
              <w:t>Other</w:t>
            </w:r>
            <w:r>
              <w:rPr>
                <w:rFonts w:ascii="Times New Roman"/>
                <w:spacing w:val="-1"/>
                <w:w w:val="105"/>
                <w:sz w:val="13"/>
              </w:rPr>
              <w:t> </w:t>
            </w:r>
            <w:r>
              <w:rPr>
                <w:rFonts w:ascii="Times New Roman"/>
                <w:w w:val="105"/>
                <w:sz w:val="13"/>
              </w:rPr>
              <w:t>Sources</w:t>
              <w:tab/>
              <w:t>8930-8979</w:t>
            </w:r>
          </w:p>
        </w:tc>
        <w:tc>
          <w:tcPr>
            <w:tcW w:w="1148" w:type="dxa"/>
          </w:tcPr>
          <w:p>
            <w:pPr>
              <w:pStyle w:val="TableParagraph"/>
              <w:spacing w:line="137" w:lineRule="exact" w:before="9"/>
              <w:ind w:right="76"/>
              <w:jc w:val="right"/>
              <w:rPr>
                <w:rFonts w:ascii="Times New Roman"/>
                <w:sz w:val="13"/>
              </w:rPr>
            </w:pPr>
            <w:r>
              <w:rPr>
                <w:rFonts w:ascii="Times New Roman"/>
                <w:sz w:val="13"/>
              </w:rPr>
              <w:t>0.00</w:t>
            </w:r>
          </w:p>
        </w:tc>
        <w:tc>
          <w:tcPr>
            <w:tcW w:w="1117" w:type="dxa"/>
          </w:tcPr>
          <w:p>
            <w:pPr>
              <w:pStyle w:val="TableParagraph"/>
              <w:spacing w:line="137" w:lineRule="exact" w:before="9"/>
              <w:ind w:right="33"/>
              <w:jc w:val="right"/>
              <w:rPr>
                <w:rFonts w:ascii="Times New Roman"/>
                <w:sz w:val="13"/>
              </w:rPr>
            </w:pPr>
            <w:r>
              <w:rPr>
                <w:rFonts w:ascii="Times New Roman"/>
                <w:sz w:val="13"/>
              </w:rPr>
              <w:t>0.00%</w:t>
            </w:r>
          </w:p>
        </w:tc>
        <w:tc>
          <w:tcPr>
            <w:tcW w:w="1117" w:type="dxa"/>
          </w:tcPr>
          <w:p>
            <w:pPr>
              <w:pStyle w:val="TableParagraph"/>
              <w:spacing w:line="137" w:lineRule="exact" w:before="9"/>
              <w:ind w:right="78"/>
              <w:jc w:val="right"/>
              <w:rPr>
                <w:rFonts w:ascii="Times New Roman"/>
                <w:sz w:val="13"/>
              </w:rPr>
            </w:pPr>
            <w:r>
              <w:rPr>
                <w:rFonts w:ascii="Times New Roman"/>
                <w:sz w:val="13"/>
              </w:rPr>
              <w:t>0.00</w:t>
            </w:r>
          </w:p>
        </w:tc>
        <w:tc>
          <w:tcPr>
            <w:tcW w:w="1117" w:type="dxa"/>
          </w:tcPr>
          <w:p>
            <w:pPr>
              <w:pStyle w:val="TableParagraph"/>
              <w:spacing w:line="137" w:lineRule="exact" w:before="9"/>
              <w:ind w:right="35"/>
              <w:jc w:val="right"/>
              <w:rPr>
                <w:rFonts w:ascii="Times New Roman"/>
                <w:sz w:val="13"/>
              </w:rPr>
            </w:pPr>
            <w:r>
              <w:rPr>
                <w:rFonts w:ascii="Times New Roman"/>
                <w:sz w:val="13"/>
              </w:rPr>
              <w:t>0.00%</w:t>
            </w:r>
          </w:p>
        </w:tc>
        <w:tc>
          <w:tcPr>
            <w:tcW w:w="1117" w:type="dxa"/>
          </w:tcPr>
          <w:p>
            <w:pPr>
              <w:pStyle w:val="TableParagraph"/>
              <w:spacing w:line="137" w:lineRule="exact" w:before="9"/>
              <w:ind w:right="80"/>
              <w:jc w:val="right"/>
              <w:rPr>
                <w:rFonts w:ascii="Times New Roman"/>
                <w:sz w:val="13"/>
              </w:rPr>
            </w:pPr>
            <w:r>
              <w:rPr>
                <w:rFonts w:ascii="Times New Roman"/>
                <w:sz w:val="13"/>
              </w:rPr>
              <w:t>0.00</w:t>
            </w:r>
          </w:p>
        </w:tc>
      </w:tr>
      <w:tr>
        <w:trPr>
          <w:trHeight w:val="181" w:hRule="atLeast"/>
        </w:trPr>
        <w:tc>
          <w:tcPr>
            <w:tcW w:w="4851" w:type="dxa"/>
            <w:gridSpan w:val="2"/>
          </w:tcPr>
          <w:p>
            <w:pPr>
              <w:pStyle w:val="TableParagraph"/>
              <w:tabs>
                <w:tab w:pos="4527" w:val="right" w:leader="none"/>
              </w:tabs>
              <w:spacing w:before="4"/>
              <w:ind w:left="201"/>
              <w:rPr>
                <w:rFonts w:ascii="Times New Roman"/>
                <w:sz w:val="13"/>
              </w:rPr>
            </w:pPr>
            <w:r>
              <w:rPr>
                <w:rFonts w:ascii="Times New Roman"/>
                <w:w w:val="105"/>
                <w:sz w:val="13"/>
              </w:rPr>
              <w:t>c.</w:t>
            </w:r>
            <w:r>
              <w:rPr>
                <w:rFonts w:ascii="Times New Roman"/>
                <w:spacing w:val="32"/>
                <w:w w:val="105"/>
                <w:sz w:val="13"/>
              </w:rPr>
              <w:t> </w:t>
            </w:r>
            <w:r>
              <w:rPr>
                <w:rFonts w:ascii="Times New Roman"/>
                <w:w w:val="105"/>
                <w:sz w:val="13"/>
              </w:rPr>
              <w:t>Contributions</w:t>
              <w:tab/>
              <w:t>8980-8999</w:t>
            </w:r>
          </w:p>
        </w:tc>
        <w:tc>
          <w:tcPr>
            <w:tcW w:w="1148" w:type="dxa"/>
          </w:tcPr>
          <w:p>
            <w:pPr>
              <w:pStyle w:val="TableParagraph"/>
              <w:spacing w:before="4"/>
              <w:ind w:right="32"/>
              <w:jc w:val="right"/>
              <w:rPr>
                <w:rFonts w:ascii="Times New Roman"/>
                <w:sz w:val="13"/>
              </w:rPr>
            </w:pPr>
            <w:r>
              <w:rPr>
                <w:rFonts w:ascii="Times New Roman"/>
                <w:sz w:val="13"/>
              </w:rPr>
              <w:t>(221,691.00)</w:t>
            </w:r>
          </w:p>
        </w:tc>
        <w:tc>
          <w:tcPr>
            <w:tcW w:w="1117" w:type="dxa"/>
          </w:tcPr>
          <w:p>
            <w:pPr>
              <w:pStyle w:val="TableParagraph"/>
              <w:spacing w:before="4"/>
              <w:ind w:right="33"/>
              <w:jc w:val="right"/>
              <w:rPr>
                <w:rFonts w:ascii="Times New Roman"/>
                <w:sz w:val="13"/>
              </w:rPr>
            </w:pPr>
            <w:r>
              <w:rPr>
                <w:rFonts w:ascii="Times New Roman"/>
                <w:sz w:val="13"/>
              </w:rPr>
              <w:t>15.37%</w:t>
            </w:r>
          </w:p>
        </w:tc>
        <w:tc>
          <w:tcPr>
            <w:tcW w:w="1117" w:type="dxa"/>
          </w:tcPr>
          <w:p>
            <w:pPr>
              <w:pStyle w:val="TableParagraph"/>
              <w:spacing w:before="4"/>
              <w:ind w:right="34"/>
              <w:jc w:val="right"/>
              <w:rPr>
                <w:rFonts w:ascii="Times New Roman"/>
                <w:sz w:val="13"/>
              </w:rPr>
            </w:pPr>
            <w:r>
              <w:rPr>
                <w:rFonts w:ascii="Times New Roman"/>
                <w:sz w:val="13"/>
              </w:rPr>
              <w:t>(255,761.00)</w:t>
            </w:r>
          </w:p>
        </w:tc>
        <w:tc>
          <w:tcPr>
            <w:tcW w:w="1117" w:type="dxa"/>
          </w:tcPr>
          <w:p>
            <w:pPr>
              <w:pStyle w:val="TableParagraph"/>
              <w:spacing w:before="4"/>
              <w:ind w:right="35"/>
              <w:jc w:val="right"/>
              <w:rPr>
                <w:rFonts w:ascii="Times New Roman"/>
                <w:sz w:val="13"/>
              </w:rPr>
            </w:pPr>
            <w:r>
              <w:rPr>
                <w:rFonts w:ascii="Times New Roman"/>
                <w:sz w:val="13"/>
              </w:rPr>
              <w:t>3.30%</w:t>
            </w:r>
          </w:p>
        </w:tc>
        <w:tc>
          <w:tcPr>
            <w:tcW w:w="1117" w:type="dxa"/>
          </w:tcPr>
          <w:p>
            <w:pPr>
              <w:pStyle w:val="TableParagraph"/>
              <w:spacing w:before="4"/>
              <w:ind w:right="36"/>
              <w:jc w:val="right"/>
              <w:rPr>
                <w:rFonts w:ascii="Times New Roman"/>
                <w:sz w:val="13"/>
              </w:rPr>
            </w:pPr>
            <w:r>
              <w:rPr>
                <w:rFonts w:ascii="Times New Roman"/>
                <w:sz w:val="13"/>
              </w:rPr>
              <w:t>(264,212.00)</w:t>
            </w:r>
          </w:p>
        </w:tc>
      </w:tr>
      <w:tr>
        <w:trPr>
          <w:trHeight w:val="201" w:hRule="atLeast"/>
        </w:trPr>
        <w:tc>
          <w:tcPr>
            <w:tcW w:w="4851" w:type="dxa"/>
            <w:gridSpan w:val="2"/>
          </w:tcPr>
          <w:p>
            <w:pPr>
              <w:pStyle w:val="TableParagraph"/>
              <w:spacing w:before="24"/>
              <w:ind w:left="100"/>
              <w:rPr>
                <w:rFonts w:ascii="Times New Roman"/>
                <w:sz w:val="13"/>
              </w:rPr>
            </w:pPr>
            <w:r>
              <w:rPr>
                <w:rFonts w:ascii="Times New Roman"/>
                <w:w w:val="105"/>
                <w:sz w:val="13"/>
              </w:rPr>
              <w:t>6. Total (Sum lines A1 thru A5c)</w:t>
            </w:r>
          </w:p>
        </w:tc>
        <w:tc>
          <w:tcPr>
            <w:tcW w:w="1148" w:type="dxa"/>
          </w:tcPr>
          <w:p>
            <w:pPr>
              <w:pStyle w:val="TableParagraph"/>
              <w:spacing w:before="24"/>
              <w:ind w:right="77"/>
              <w:jc w:val="right"/>
              <w:rPr>
                <w:rFonts w:ascii="Times New Roman"/>
                <w:sz w:val="13"/>
              </w:rPr>
            </w:pPr>
            <w:r>
              <w:rPr>
                <w:rFonts w:ascii="Times New Roman"/>
                <w:sz w:val="13"/>
              </w:rPr>
              <w:t>1,506,129.00</w:t>
            </w:r>
          </w:p>
        </w:tc>
        <w:tc>
          <w:tcPr>
            <w:tcW w:w="1117" w:type="dxa"/>
          </w:tcPr>
          <w:p>
            <w:pPr>
              <w:pStyle w:val="TableParagraph"/>
              <w:spacing w:before="24"/>
              <w:ind w:right="33"/>
              <w:jc w:val="right"/>
              <w:rPr>
                <w:rFonts w:ascii="Times New Roman"/>
                <w:sz w:val="13"/>
              </w:rPr>
            </w:pPr>
            <w:r>
              <w:rPr>
                <w:rFonts w:ascii="Times New Roman"/>
                <w:sz w:val="13"/>
              </w:rPr>
              <w:t>1.17%</w:t>
            </w:r>
          </w:p>
        </w:tc>
        <w:tc>
          <w:tcPr>
            <w:tcW w:w="1117" w:type="dxa"/>
          </w:tcPr>
          <w:p>
            <w:pPr>
              <w:pStyle w:val="TableParagraph"/>
              <w:spacing w:before="24"/>
              <w:ind w:left="331"/>
              <w:rPr>
                <w:rFonts w:ascii="Times New Roman"/>
                <w:sz w:val="13"/>
              </w:rPr>
            </w:pPr>
            <w:r>
              <w:rPr>
                <w:rFonts w:ascii="Times New Roman"/>
                <w:w w:val="105"/>
                <w:sz w:val="13"/>
              </w:rPr>
              <w:t>1,523,730.00</w:t>
            </w:r>
          </w:p>
        </w:tc>
        <w:tc>
          <w:tcPr>
            <w:tcW w:w="1117" w:type="dxa"/>
          </w:tcPr>
          <w:p>
            <w:pPr>
              <w:pStyle w:val="TableParagraph"/>
              <w:spacing w:before="24"/>
              <w:ind w:right="35"/>
              <w:jc w:val="right"/>
              <w:rPr>
                <w:rFonts w:ascii="Times New Roman"/>
                <w:sz w:val="13"/>
              </w:rPr>
            </w:pPr>
            <w:r>
              <w:rPr>
                <w:rFonts w:ascii="Times New Roman"/>
                <w:sz w:val="13"/>
              </w:rPr>
              <w:t>2.23%</w:t>
            </w:r>
          </w:p>
        </w:tc>
        <w:tc>
          <w:tcPr>
            <w:tcW w:w="1117" w:type="dxa"/>
          </w:tcPr>
          <w:p>
            <w:pPr>
              <w:pStyle w:val="TableParagraph"/>
              <w:spacing w:before="24"/>
              <w:ind w:right="81"/>
              <w:jc w:val="right"/>
              <w:rPr>
                <w:rFonts w:ascii="Times New Roman"/>
                <w:sz w:val="13"/>
              </w:rPr>
            </w:pPr>
            <w:r>
              <w:rPr>
                <w:rFonts w:ascii="Times New Roman"/>
                <w:sz w:val="13"/>
              </w:rPr>
              <w:t>1,557,664.00</w:t>
            </w:r>
          </w:p>
        </w:tc>
      </w:tr>
      <w:tr>
        <w:trPr>
          <w:trHeight w:val="242" w:hRule="atLeast"/>
        </w:trPr>
        <w:tc>
          <w:tcPr>
            <w:tcW w:w="3403" w:type="dxa"/>
          </w:tcPr>
          <w:p>
            <w:pPr>
              <w:pStyle w:val="TableParagraph"/>
              <w:spacing w:before="65"/>
              <w:ind w:left="33"/>
              <w:rPr>
                <w:rFonts w:ascii="Times New Roman"/>
                <w:sz w:val="13"/>
              </w:rPr>
            </w:pPr>
            <w:r>
              <w:rPr>
                <w:rFonts w:ascii="Times New Roman"/>
                <w:w w:val="105"/>
                <w:sz w:val="13"/>
              </w:rPr>
              <w:t>B. EXPENDITURES AND OTHER FINANCING USES</w:t>
            </w:r>
          </w:p>
        </w:tc>
        <w:tc>
          <w:tcPr>
            <w:tcW w:w="1448" w:type="dxa"/>
          </w:tcPr>
          <w:p>
            <w:pPr>
              <w:pStyle w:val="TableParagraph"/>
              <w:rPr>
                <w:rFonts w:ascii="Times New Roman"/>
                <w:sz w:val="12"/>
              </w:rPr>
            </w:pPr>
          </w:p>
        </w:tc>
        <w:tc>
          <w:tcPr>
            <w:tcW w:w="1148" w:type="dxa"/>
            <w:shd w:val="clear" w:color="auto" w:fill="BFBFBF"/>
          </w:tcPr>
          <w:p>
            <w:pPr>
              <w:pStyle w:val="TableParagraph"/>
              <w:rPr>
                <w:rFonts w:ascii="Times New Roman"/>
                <w:sz w:val="12"/>
              </w:rPr>
            </w:pPr>
          </w:p>
        </w:tc>
        <w:tc>
          <w:tcPr>
            <w:tcW w:w="1117" w:type="dxa"/>
            <w:shd w:val="clear" w:color="auto" w:fill="BFBFBF"/>
          </w:tcPr>
          <w:p>
            <w:pPr>
              <w:pStyle w:val="TableParagraph"/>
              <w:rPr>
                <w:rFonts w:ascii="Times New Roman"/>
                <w:sz w:val="12"/>
              </w:rPr>
            </w:pPr>
          </w:p>
        </w:tc>
        <w:tc>
          <w:tcPr>
            <w:tcW w:w="1117" w:type="dxa"/>
          </w:tcPr>
          <w:p>
            <w:pPr>
              <w:pStyle w:val="TableParagraph"/>
              <w:rPr>
                <w:rFonts w:ascii="Times New Roman"/>
                <w:sz w:val="12"/>
              </w:rPr>
            </w:pPr>
          </w:p>
        </w:tc>
        <w:tc>
          <w:tcPr>
            <w:tcW w:w="1117" w:type="dxa"/>
            <w:shd w:val="clear" w:color="auto" w:fill="BFBFBF"/>
          </w:tcPr>
          <w:p>
            <w:pPr>
              <w:pStyle w:val="TableParagraph"/>
              <w:rPr>
                <w:rFonts w:ascii="Times New Roman"/>
                <w:sz w:val="12"/>
              </w:rPr>
            </w:pPr>
          </w:p>
        </w:tc>
        <w:tc>
          <w:tcPr>
            <w:tcW w:w="1117" w:type="dxa"/>
          </w:tcPr>
          <w:p>
            <w:pPr>
              <w:pStyle w:val="TableParagraph"/>
              <w:rPr>
                <w:rFonts w:ascii="Times New Roman"/>
                <w:sz w:val="12"/>
              </w:rPr>
            </w:pPr>
          </w:p>
        </w:tc>
      </w:tr>
      <w:tr>
        <w:trPr>
          <w:trHeight w:val="201" w:hRule="atLeast"/>
        </w:trPr>
        <w:tc>
          <w:tcPr>
            <w:tcW w:w="3403" w:type="dxa"/>
          </w:tcPr>
          <w:p>
            <w:pPr>
              <w:pStyle w:val="TableParagraph"/>
              <w:spacing w:before="24"/>
              <w:ind w:left="100"/>
              <w:rPr>
                <w:rFonts w:ascii="Times New Roman"/>
                <w:sz w:val="13"/>
              </w:rPr>
            </w:pPr>
            <w:r>
              <w:rPr>
                <w:rFonts w:ascii="Times New Roman"/>
                <w:w w:val="105"/>
                <w:sz w:val="13"/>
              </w:rPr>
              <w:t>1. Certificated Salaries</w:t>
            </w:r>
          </w:p>
        </w:tc>
        <w:tc>
          <w:tcPr>
            <w:tcW w:w="1448" w:type="dxa"/>
          </w:tcPr>
          <w:p>
            <w:pPr>
              <w:pStyle w:val="TableParagraph"/>
              <w:rPr>
                <w:rFonts w:ascii="Times New Roman"/>
                <w:sz w:val="12"/>
              </w:rPr>
            </w:pPr>
          </w:p>
        </w:tc>
        <w:tc>
          <w:tcPr>
            <w:tcW w:w="1148" w:type="dxa"/>
            <w:shd w:val="clear" w:color="auto" w:fill="BFBFBF"/>
          </w:tcPr>
          <w:p>
            <w:pPr>
              <w:pStyle w:val="TableParagraph"/>
              <w:rPr>
                <w:rFonts w:ascii="Times New Roman"/>
                <w:sz w:val="12"/>
              </w:rPr>
            </w:pPr>
          </w:p>
        </w:tc>
        <w:tc>
          <w:tcPr>
            <w:tcW w:w="1117" w:type="dxa"/>
            <w:shd w:val="clear" w:color="auto" w:fill="BFBFBF"/>
          </w:tcPr>
          <w:p>
            <w:pPr>
              <w:pStyle w:val="TableParagraph"/>
              <w:rPr>
                <w:rFonts w:ascii="Times New Roman"/>
                <w:sz w:val="12"/>
              </w:rPr>
            </w:pPr>
          </w:p>
        </w:tc>
        <w:tc>
          <w:tcPr>
            <w:tcW w:w="1117" w:type="dxa"/>
          </w:tcPr>
          <w:p>
            <w:pPr>
              <w:pStyle w:val="TableParagraph"/>
              <w:rPr>
                <w:rFonts w:ascii="Times New Roman"/>
                <w:sz w:val="12"/>
              </w:rPr>
            </w:pPr>
          </w:p>
        </w:tc>
        <w:tc>
          <w:tcPr>
            <w:tcW w:w="1117" w:type="dxa"/>
            <w:shd w:val="clear" w:color="auto" w:fill="BFBFBF"/>
          </w:tcPr>
          <w:p>
            <w:pPr>
              <w:pStyle w:val="TableParagraph"/>
              <w:rPr>
                <w:rFonts w:ascii="Times New Roman"/>
                <w:sz w:val="12"/>
              </w:rPr>
            </w:pPr>
          </w:p>
        </w:tc>
        <w:tc>
          <w:tcPr>
            <w:tcW w:w="1117" w:type="dxa"/>
          </w:tcPr>
          <w:p>
            <w:pPr>
              <w:pStyle w:val="TableParagraph"/>
              <w:rPr>
                <w:rFonts w:ascii="Times New Roman"/>
                <w:sz w:val="12"/>
              </w:rPr>
            </w:pPr>
          </w:p>
        </w:tc>
      </w:tr>
      <w:tr>
        <w:trPr>
          <w:trHeight w:val="201" w:hRule="atLeast"/>
        </w:trPr>
        <w:tc>
          <w:tcPr>
            <w:tcW w:w="3403" w:type="dxa"/>
          </w:tcPr>
          <w:p>
            <w:pPr>
              <w:pStyle w:val="TableParagraph"/>
              <w:spacing w:before="24"/>
              <w:ind w:left="201"/>
              <w:rPr>
                <w:rFonts w:ascii="Times New Roman"/>
                <w:sz w:val="13"/>
              </w:rPr>
            </w:pPr>
            <w:r>
              <w:rPr>
                <w:rFonts w:ascii="Times New Roman"/>
                <w:w w:val="105"/>
                <w:sz w:val="13"/>
              </w:rPr>
              <w:t>a. Base Salaries</w:t>
            </w:r>
          </w:p>
        </w:tc>
        <w:tc>
          <w:tcPr>
            <w:tcW w:w="1448" w:type="dxa"/>
          </w:tcPr>
          <w:p>
            <w:pPr>
              <w:pStyle w:val="TableParagraph"/>
              <w:rPr>
                <w:rFonts w:ascii="Times New Roman"/>
                <w:sz w:val="12"/>
              </w:rPr>
            </w:pPr>
          </w:p>
        </w:tc>
        <w:tc>
          <w:tcPr>
            <w:tcW w:w="1148" w:type="dxa"/>
            <w:shd w:val="clear" w:color="auto" w:fill="BFBFBF"/>
          </w:tcPr>
          <w:p>
            <w:pPr>
              <w:pStyle w:val="TableParagraph"/>
              <w:rPr>
                <w:rFonts w:ascii="Times New Roman"/>
                <w:sz w:val="12"/>
              </w:rPr>
            </w:pPr>
          </w:p>
        </w:tc>
        <w:tc>
          <w:tcPr>
            <w:tcW w:w="1117" w:type="dxa"/>
            <w:shd w:val="clear" w:color="auto" w:fill="BFBFBF"/>
          </w:tcPr>
          <w:p>
            <w:pPr>
              <w:pStyle w:val="TableParagraph"/>
              <w:rPr>
                <w:rFonts w:ascii="Times New Roman"/>
                <w:sz w:val="12"/>
              </w:rPr>
            </w:pPr>
          </w:p>
        </w:tc>
        <w:tc>
          <w:tcPr>
            <w:tcW w:w="1117" w:type="dxa"/>
          </w:tcPr>
          <w:p>
            <w:pPr>
              <w:pStyle w:val="TableParagraph"/>
              <w:spacing w:before="24"/>
              <w:ind w:right="79"/>
              <w:jc w:val="right"/>
              <w:rPr>
                <w:rFonts w:ascii="Times New Roman"/>
                <w:sz w:val="13"/>
              </w:rPr>
            </w:pPr>
            <w:r>
              <w:rPr>
                <w:rFonts w:ascii="Times New Roman"/>
                <w:sz w:val="13"/>
              </w:rPr>
              <w:t>507,758.00</w:t>
            </w:r>
          </w:p>
        </w:tc>
        <w:tc>
          <w:tcPr>
            <w:tcW w:w="1117" w:type="dxa"/>
            <w:shd w:val="clear" w:color="auto" w:fill="BFBFBF"/>
          </w:tcPr>
          <w:p>
            <w:pPr>
              <w:pStyle w:val="TableParagraph"/>
              <w:rPr>
                <w:rFonts w:ascii="Times New Roman"/>
                <w:sz w:val="12"/>
              </w:rPr>
            </w:pPr>
          </w:p>
        </w:tc>
        <w:tc>
          <w:tcPr>
            <w:tcW w:w="1117" w:type="dxa"/>
          </w:tcPr>
          <w:p>
            <w:pPr>
              <w:pStyle w:val="TableParagraph"/>
              <w:spacing w:before="24"/>
              <w:ind w:right="81"/>
              <w:jc w:val="right"/>
              <w:rPr>
                <w:rFonts w:ascii="Times New Roman"/>
                <w:sz w:val="13"/>
              </w:rPr>
            </w:pPr>
            <w:r>
              <w:rPr>
                <w:rFonts w:ascii="Times New Roman"/>
                <w:sz w:val="13"/>
              </w:rPr>
              <w:t>567,840.00</w:t>
            </w:r>
          </w:p>
        </w:tc>
      </w:tr>
      <w:tr>
        <w:trPr>
          <w:trHeight w:val="201" w:hRule="atLeast"/>
        </w:trPr>
        <w:tc>
          <w:tcPr>
            <w:tcW w:w="3403" w:type="dxa"/>
          </w:tcPr>
          <w:p>
            <w:pPr>
              <w:pStyle w:val="TableParagraph"/>
              <w:spacing w:before="24"/>
              <w:ind w:left="201"/>
              <w:rPr>
                <w:rFonts w:ascii="Times New Roman"/>
                <w:sz w:val="13"/>
              </w:rPr>
            </w:pPr>
            <w:r>
              <w:rPr>
                <w:rFonts w:ascii="Times New Roman"/>
                <w:w w:val="105"/>
                <w:sz w:val="13"/>
              </w:rPr>
              <w:t>b. Step &amp; Column Adjustment</w:t>
            </w:r>
          </w:p>
        </w:tc>
        <w:tc>
          <w:tcPr>
            <w:tcW w:w="1448" w:type="dxa"/>
          </w:tcPr>
          <w:p>
            <w:pPr>
              <w:pStyle w:val="TableParagraph"/>
              <w:rPr>
                <w:rFonts w:ascii="Times New Roman"/>
                <w:sz w:val="12"/>
              </w:rPr>
            </w:pPr>
          </w:p>
        </w:tc>
        <w:tc>
          <w:tcPr>
            <w:tcW w:w="1148" w:type="dxa"/>
            <w:shd w:val="clear" w:color="auto" w:fill="BFBFBF"/>
          </w:tcPr>
          <w:p>
            <w:pPr>
              <w:pStyle w:val="TableParagraph"/>
              <w:rPr>
                <w:rFonts w:ascii="Times New Roman"/>
                <w:sz w:val="12"/>
              </w:rPr>
            </w:pPr>
          </w:p>
        </w:tc>
        <w:tc>
          <w:tcPr>
            <w:tcW w:w="1117" w:type="dxa"/>
            <w:shd w:val="clear" w:color="auto" w:fill="BFBFBF"/>
          </w:tcPr>
          <w:p>
            <w:pPr>
              <w:pStyle w:val="TableParagraph"/>
              <w:rPr>
                <w:rFonts w:ascii="Times New Roman"/>
                <w:sz w:val="12"/>
              </w:rPr>
            </w:pPr>
          </w:p>
        </w:tc>
        <w:tc>
          <w:tcPr>
            <w:tcW w:w="1117" w:type="dxa"/>
          </w:tcPr>
          <w:p>
            <w:pPr>
              <w:pStyle w:val="TableParagraph"/>
              <w:spacing w:before="24"/>
              <w:ind w:right="79"/>
              <w:jc w:val="right"/>
              <w:rPr>
                <w:rFonts w:ascii="Times New Roman"/>
                <w:sz w:val="13"/>
              </w:rPr>
            </w:pPr>
            <w:r>
              <w:rPr>
                <w:rFonts w:ascii="Times New Roman"/>
                <w:sz w:val="13"/>
              </w:rPr>
              <w:t>8,682.00</w:t>
            </w:r>
          </w:p>
        </w:tc>
        <w:tc>
          <w:tcPr>
            <w:tcW w:w="1117" w:type="dxa"/>
            <w:shd w:val="clear" w:color="auto" w:fill="BFBFBF"/>
          </w:tcPr>
          <w:p>
            <w:pPr>
              <w:pStyle w:val="TableParagraph"/>
              <w:rPr>
                <w:rFonts w:ascii="Times New Roman"/>
                <w:sz w:val="12"/>
              </w:rPr>
            </w:pPr>
          </w:p>
        </w:tc>
        <w:tc>
          <w:tcPr>
            <w:tcW w:w="1117" w:type="dxa"/>
          </w:tcPr>
          <w:p>
            <w:pPr>
              <w:pStyle w:val="TableParagraph"/>
              <w:spacing w:before="24"/>
              <w:ind w:right="81"/>
              <w:jc w:val="right"/>
              <w:rPr>
                <w:rFonts w:ascii="Times New Roman"/>
                <w:sz w:val="13"/>
              </w:rPr>
            </w:pPr>
            <w:r>
              <w:rPr>
                <w:rFonts w:ascii="Times New Roman"/>
                <w:sz w:val="13"/>
              </w:rPr>
              <w:t>9,255.00</w:t>
            </w:r>
          </w:p>
        </w:tc>
      </w:tr>
      <w:tr>
        <w:trPr>
          <w:trHeight w:val="201" w:hRule="atLeast"/>
        </w:trPr>
        <w:tc>
          <w:tcPr>
            <w:tcW w:w="3403" w:type="dxa"/>
          </w:tcPr>
          <w:p>
            <w:pPr>
              <w:pStyle w:val="TableParagraph"/>
              <w:spacing w:before="24"/>
              <w:ind w:left="201"/>
              <w:rPr>
                <w:rFonts w:ascii="Times New Roman"/>
                <w:sz w:val="13"/>
              </w:rPr>
            </w:pPr>
            <w:r>
              <w:rPr>
                <w:rFonts w:ascii="Times New Roman"/>
                <w:w w:val="105"/>
                <w:sz w:val="13"/>
              </w:rPr>
              <w:t>c. Cost-of-Living Adjustment</w:t>
            </w:r>
          </w:p>
        </w:tc>
        <w:tc>
          <w:tcPr>
            <w:tcW w:w="1448" w:type="dxa"/>
          </w:tcPr>
          <w:p>
            <w:pPr>
              <w:pStyle w:val="TableParagraph"/>
              <w:rPr>
                <w:rFonts w:ascii="Times New Roman"/>
                <w:sz w:val="12"/>
              </w:rPr>
            </w:pPr>
          </w:p>
        </w:tc>
        <w:tc>
          <w:tcPr>
            <w:tcW w:w="1148" w:type="dxa"/>
            <w:shd w:val="clear" w:color="auto" w:fill="BFBFBF"/>
          </w:tcPr>
          <w:p>
            <w:pPr>
              <w:pStyle w:val="TableParagraph"/>
              <w:rPr>
                <w:rFonts w:ascii="Times New Roman"/>
                <w:sz w:val="12"/>
              </w:rPr>
            </w:pPr>
          </w:p>
        </w:tc>
        <w:tc>
          <w:tcPr>
            <w:tcW w:w="1117" w:type="dxa"/>
            <w:shd w:val="clear" w:color="auto" w:fill="BFBFBF"/>
          </w:tcPr>
          <w:p>
            <w:pPr>
              <w:pStyle w:val="TableParagraph"/>
              <w:rPr>
                <w:rFonts w:ascii="Times New Roman"/>
                <w:sz w:val="12"/>
              </w:rPr>
            </w:pPr>
          </w:p>
        </w:tc>
        <w:tc>
          <w:tcPr>
            <w:tcW w:w="1117" w:type="dxa"/>
          </w:tcPr>
          <w:p>
            <w:pPr>
              <w:pStyle w:val="TableParagraph"/>
              <w:rPr>
                <w:rFonts w:ascii="Times New Roman"/>
                <w:sz w:val="12"/>
              </w:rPr>
            </w:pPr>
          </w:p>
        </w:tc>
        <w:tc>
          <w:tcPr>
            <w:tcW w:w="1117" w:type="dxa"/>
            <w:shd w:val="clear" w:color="auto" w:fill="BFBFBF"/>
          </w:tcPr>
          <w:p>
            <w:pPr>
              <w:pStyle w:val="TableParagraph"/>
              <w:rPr>
                <w:rFonts w:ascii="Times New Roman"/>
                <w:sz w:val="12"/>
              </w:rPr>
            </w:pPr>
          </w:p>
        </w:tc>
        <w:tc>
          <w:tcPr>
            <w:tcW w:w="1117" w:type="dxa"/>
          </w:tcPr>
          <w:p>
            <w:pPr>
              <w:pStyle w:val="TableParagraph"/>
              <w:rPr>
                <w:rFonts w:ascii="Times New Roman"/>
                <w:sz w:val="12"/>
              </w:rPr>
            </w:pPr>
          </w:p>
        </w:tc>
      </w:tr>
      <w:tr>
        <w:trPr>
          <w:trHeight w:val="182" w:hRule="atLeast"/>
        </w:trPr>
        <w:tc>
          <w:tcPr>
            <w:tcW w:w="3403" w:type="dxa"/>
          </w:tcPr>
          <w:p>
            <w:pPr>
              <w:pStyle w:val="TableParagraph"/>
              <w:spacing w:line="137" w:lineRule="exact" w:before="24"/>
              <w:ind w:left="201"/>
              <w:rPr>
                <w:rFonts w:ascii="Times New Roman"/>
                <w:sz w:val="13"/>
              </w:rPr>
            </w:pPr>
            <w:r>
              <w:rPr>
                <w:rFonts w:ascii="Times New Roman"/>
                <w:w w:val="105"/>
                <w:sz w:val="13"/>
              </w:rPr>
              <w:t>d. Other Adjustments</w:t>
            </w:r>
          </w:p>
        </w:tc>
        <w:tc>
          <w:tcPr>
            <w:tcW w:w="1448" w:type="dxa"/>
          </w:tcPr>
          <w:p>
            <w:pPr>
              <w:pStyle w:val="TableParagraph"/>
              <w:rPr>
                <w:rFonts w:ascii="Times New Roman"/>
                <w:sz w:val="12"/>
              </w:rPr>
            </w:pPr>
          </w:p>
        </w:tc>
        <w:tc>
          <w:tcPr>
            <w:tcW w:w="1148" w:type="dxa"/>
            <w:shd w:val="clear" w:color="auto" w:fill="BFBFBF"/>
          </w:tcPr>
          <w:p>
            <w:pPr>
              <w:pStyle w:val="TableParagraph"/>
              <w:rPr>
                <w:rFonts w:ascii="Times New Roman"/>
                <w:sz w:val="12"/>
              </w:rPr>
            </w:pPr>
          </w:p>
        </w:tc>
        <w:tc>
          <w:tcPr>
            <w:tcW w:w="1117" w:type="dxa"/>
            <w:shd w:val="clear" w:color="auto" w:fill="BFBFBF"/>
          </w:tcPr>
          <w:p>
            <w:pPr>
              <w:pStyle w:val="TableParagraph"/>
              <w:rPr>
                <w:rFonts w:ascii="Times New Roman"/>
                <w:sz w:val="12"/>
              </w:rPr>
            </w:pPr>
          </w:p>
        </w:tc>
        <w:tc>
          <w:tcPr>
            <w:tcW w:w="1117" w:type="dxa"/>
          </w:tcPr>
          <w:p>
            <w:pPr>
              <w:pStyle w:val="TableParagraph"/>
              <w:spacing w:line="137" w:lineRule="exact" w:before="24"/>
              <w:ind w:right="79"/>
              <w:jc w:val="right"/>
              <w:rPr>
                <w:rFonts w:ascii="Times New Roman"/>
                <w:sz w:val="13"/>
              </w:rPr>
            </w:pPr>
            <w:r>
              <w:rPr>
                <w:rFonts w:ascii="Times New Roman"/>
                <w:sz w:val="13"/>
              </w:rPr>
              <w:t>51,400.00</w:t>
            </w:r>
          </w:p>
        </w:tc>
        <w:tc>
          <w:tcPr>
            <w:tcW w:w="1117" w:type="dxa"/>
            <w:shd w:val="clear" w:color="auto" w:fill="BFBFBF"/>
          </w:tcPr>
          <w:p>
            <w:pPr>
              <w:pStyle w:val="TableParagraph"/>
              <w:rPr>
                <w:rFonts w:ascii="Times New Roman"/>
                <w:sz w:val="12"/>
              </w:rPr>
            </w:pPr>
          </w:p>
        </w:tc>
        <w:tc>
          <w:tcPr>
            <w:tcW w:w="1117" w:type="dxa"/>
          </w:tcPr>
          <w:p>
            <w:pPr>
              <w:pStyle w:val="TableParagraph"/>
              <w:rPr>
                <w:rFonts w:ascii="Times New Roman"/>
                <w:sz w:val="12"/>
              </w:rPr>
            </w:pPr>
          </w:p>
        </w:tc>
      </w:tr>
      <w:tr>
        <w:trPr>
          <w:trHeight w:val="201" w:hRule="atLeast"/>
        </w:trPr>
        <w:tc>
          <w:tcPr>
            <w:tcW w:w="3403" w:type="dxa"/>
          </w:tcPr>
          <w:p>
            <w:pPr>
              <w:pStyle w:val="TableParagraph"/>
              <w:spacing w:line="137" w:lineRule="exact" w:before="44"/>
              <w:ind w:left="201"/>
              <w:rPr>
                <w:rFonts w:ascii="Times New Roman"/>
                <w:sz w:val="13"/>
              </w:rPr>
            </w:pPr>
            <w:r>
              <w:rPr>
                <w:rFonts w:ascii="Times New Roman"/>
                <w:w w:val="105"/>
                <w:sz w:val="13"/>
              </w:rPr>
              <w:t>e. Total Certificated Salaries (Sum lines B1a thru B1d)</w:t>
            </w:r>
          </w:p>
        </w:tc>
        <w:tc>
          <w:tcPr>
            <w:tcW w:w="1448" w:type="dxa"/>
          </w:tcPr>
          <w:p>
            <w:pPr>
              <w:pStyle w:val="TableParagraph"/>
              <w:spacing w:line="137" w:lineRule="exact" w:before="44"/>
              <w:ind w:left="518" w:right="297"/>
              <w:jc w:val="center"/>
              <w:rPr>
                <w:rFonts w:ascii="Times New Roman"/>
                <w:sz w:val="13"/>
              </w:rPr>
            </w:pPr>
            <w:r>
              <w:rPr>
                <w:rFonts w:ascii="Times New Roman"/>
                <w:w w:val="105"/>
                <w:sz w:val="13"/>
              </w:rPr>
              <w:t>1000-1999</w:t>
            </w:r>
          </w:p>
        </w:tc>
        <w:tc>
          <w:tcPr>
            <w:tcW w:w="1148" w:type="dxa"/>
          </w:tcPr>
          <w:p>
            <w:pPr>
              <w:pStyle w:val="TableParagraph"/>
              <w:spacing w:line="137" w:lineRule="exact" w:before="44"/>
              <w:ind w:right="77"/>
              <w:jc w:val="right"/>
              <w:rPr>
                <w:rFonts w:ascii="Times New Roman"/>
                <w:sz w:val="13"/>
              </w:rPr>
            </w:pPr>
            <w:r>
              <w:rPr>
                <w:rFonts w:ascii="Times New Roman"/>
                <w:sz w:val="13"/>
              </w:rPr>
              <w:t>507,758.00</w:t>
            </w:r>
          </w:p>
        </w:tc>
        <w:tc>
          <w:tcPr>
            <w:tcW w:w="1117" w:type="dxa"/>
          </w:tcPr>
          <w:p>
            <w:pPr>
              <w:pStyle w:val="TableParagraph"/>
              <w:spacing w:line="137" w:lineRule="exact" w:before="44"/>
              <w:ind w:right="33"/>
              <w:jc w:val="right"/>
              <w:rPr>
                <w:rFonts w:ascii="Times New Roman"/>
                <w:sz w:val="13"/>
              </w:rPr>
            </w:pPr>
            <w:r>
              <w:rPr>
                <w:rFonts w:ascii="Times New Roman"/>
                <w:sz w:val="13"/>
              </w:rPr>
              <w:t>11.83%</w:t>
            </w:r>
          </w:p>
        </w:tc>
        <w:tc>
          <w:tcPr>
            <w:tcW w:w="1117" w:type="dxa"/>
          </w:tcPr>
          <w:p>
            <w:pPr>
              <w:pStyle w:val="TableParagraph"/>
              <w:spacing w:line="137" w:lineRule="exact" w:before="44"/>
              <w:ind w:right="79"/>
              <w:jc w:val="right"/>
              <w:rPr>
                <w:rFonts w:ascii="Times New Roman"/>
                <w:sz w:val="13"/>
              </w:rPr>
            </w:pPr>
            <w:r>
              <w:rPr>
                <w:rFonts w:ascii="Times New Roman"/>
                <w:sz w:val="13"/>
              </w:rPr>
              <w:t>567,840.00</w:t>
            </w:r>
          </w:p>
        </w:tc>
        <w:tc>
          <w:tcPr>
            <w:tcW w:w="1117" w:type="dxa"/>
          </w:tcPr>
          <w:p>
            <w:pPr>
              <w:pStyle w:val="TableParagraph"/>
              <w:spacing w:line="137" w:lineRule="exact" w:before="44"/>
              <w:ind w:right="35"/>
              <w:jc w:val="right"/>
              <w:rPr>
                <w:rFonts w:ascii="Times New Roman"/>
                <w:sz w:val="13"/>
              </w:rPr>
            </w:pPr>
            <w:r>
              <w:rPr>
                <w:rFonts w:ascii="Times New Roman"/>
                <w:sz w:val="13"/>
              </w:rPr>
              <w:t>1.63%</w:t>
            </w:r>
          </w:p>
        </w:tc>
        <w:tc>
          <w:tcPr>
            <w:tcW w:w="1117" w:type="dxa"/>
          </w:tcPr>
          <w:p>
            <w:pPr>
              <w:pStyle w:val="TableParagraph"/>
              <w:spacing w:line="137" w:lineRule="exact" w:before="44"/>
              <w:ind w:right="81"/>
              <w:jc w:val="right"/>
              <w:rPr>
                <w:rFonts w:ascii="Times New Roman"/>
                <w:sz w:val="13"/>
              </w:rPr>
            </w:pPr>
            <w:r>
              <w:rPr>
                <w:rFonts w:ascii="Times New Roman"/>
                <w:sz w:val="13"/>
              </w:rPr>
              <w:t>577,095.00</w:t>
            </w:r>
          </w:p>
        </w:tc>
      </w:tr>
      <w:tr>
        <w:trPr>
          <w:trHeight w:val="201" w:hRule="atLeast"/>
        </w:trPr>
        <w:tc>
          <w:tcPr>
            <w:tcW w:w="3403" w:type="dxa"/>
          </w:tcPr>
          <w:p>
            <w:pPr>
              <w:pStyle w:val="TableParagraph"/>
              <w:spacing w:line="137" w:lineRule="exact" w:before="44"/>
              <w:ind w:left="100"/>
              <w:rPr>
                <w:rFonts w:ascii="Times New Roman"/>
                <w:sz w:val="13"/>
              </w:rPr>
            </w:pPr>
            <w:r>
              <w:rPr>
                <w:rFonts w:ascii="Times New Roman"/>
                <w:w w:val="105"/>
                <w:sz w:val="13"/>
              </w:rPr>
              <w:t>2. Classified Salaries</w:t>
            </w:r>
          </w:p>
        </w:tc>
        <w:tc>
          <w:tcPr>
            <w:tcW w:w="1448" w:type="dxa"/>
          </w:tcPr>
          <w:p>
            <w:pPr>
              <w:pStyle w:val="TableParagraph"/>
              <w:rPr>
                <w:rFonts w:ascii="Times New Roman"/>
                <w:sz w:val="12"/>
              </w:rPr>
            </w:pPr>
          </w:p>
        </w:tc>
        <w:tc>
          <w:tcPr>
            <w:tcW w:w="1148" w:type="dxa"/>
            <w:shd w:val="clear" w:color="auto" w:fill="BFBFBF"/>
          </w:tcPr>
          <w:p>
            <w:pPr>
              <w:pStyle w:val="TableParagraph"/>
              <w:rPr>
                <w:rFonts w:ascii="Times New Roman"/>
                <w:sz w:val="12"/>
              </w:rPr>
            </w:pPr>
          </w:p>
        </w:tc>
        <w:tc>
          <w:tcPr>
            <w:tcW w:w="1117" w:type="dxa"/>
          </w:tcPr>
          <w:p>
            <w:pPr>
              <w:pStyle w:val="TableParagraph"/>
              <w:rPr>
                <w:rFonts w:ascii="Times New Roman"/>
                <w:sz w:val="12"/>
              </w:rPr>
            </w:pPr>
          </w:p>
        </w:tc>
        <w:tc>
          <w:tcPr>
            <w:tcW w:w="1117" w:type="dxa"/>
          </w:tcPr>
          <w:p>
            <w:pPr>
              <w:pStyle w:val="TableParagraph"/>
              <w:rPr>
                <w:rFonts w:ascii="Times New Roman"/>
                <w:sz w:val="12"/>
              </w:rPr>
            </w:pPr>
          </w:p>
        </w:tc>
        <w:tc>
          <w:tcPr>
            <w:tcW w:w="1117" w:type="dxa"/>
            <w:shd w:val="clear" w:color="auto" w:fill="BFBFBF"/>
          </w:tcPr>
          <w:p>
            <w:pPr>
              <w:pStyle w:val="TableParagraph"/>
              <w:rPr>
                <w:rFonts w:ascii="Times New Roman"/>
                <w:sz w:val="12"/>
              </w:rPr>
            </w:pPr>
          </w:p>
        </w:tc>
        <w:tc>
          <w:tcPr>
            <w:tcW w:w="1117" w:type="dxa"/>
          </w:tcPr>
          <w:p>
            <w:pPr>
              <w:pStyle w:val="TableParagraph"/>
              <w:rPr>
                <w:rFonts w:ascii="Times New Roman"/>
                <w:sz w:val="12"/>
              </w:rPr>
            </w:pPr>
          </w:p>
        </w:tc>
      </w:tr>
      <w:tr>
        <w:trPr>
          <w:trHeight w:val="221" w:hRule="atLeast"/>
        </w:trPr>
        <w:tc>
          <w:tcPr>
            <w:tcW w:w="3403" w:type="dxa"/>
          </w:tcPr>
          <w:p>
            <w:pPr>
              <w:pStyle w:val="TableParagraph"/>
              <w:spacing w:before="44"/>
              <w:ind w:left="201"/>
              <w:rPr>
                <w:rFonts w:ascii="Times New Roman"/>
                <w:sz w:val="13"/>
              </w:rPr>
            </w:pPr>
            <w:r>
              <w:rPr>
                <w:rFonts w:ascii="Times New Roman"/>
                <w:w w:val="105"/>
                <w:sz w:val="13"/>
              </w:rPr>
              <w:t>a. Base Salaries</w:t>
            </w:r>
          </w:p>
        </w:tc>
        <w:tc>
          <w:tcPr>
            <w:tcW w:w="1448" w:type="dxa"/>
          </w:tcPr>
          <w:p>
            <w:pPr>
              <w:pStyle w:val="TableParagraph"/>
              <w:rPr>
                <w:rFonts w:ascii="Times New Roman"/>
                <w:sz w:val="12"/>
              </w:rPr>
            </w:pPr>
          </w:p>
        </w:tc>
        <w:tc>
          <w:tcPr>
            <w:tcW w:w="1148" w:type="dxa"/>
            <w:shd w:val="clear" w:color="auto" w:fill="BFBFBF"/>
          </w:tcPr>
          <w:p>
            <w:pPr>
              <w:pStyle w:val="TableParagraph"/>
              <w:rPr>
                <w:rFonts w:ascii="Times New Roman"/>
                <w:sz w:val="12"/>
              </w:rPr>
            </w:pPr>
          </w:p>
        </w:tc>
        <w:tc>
          <w:tcPr>
            <w:tcW w:w="1117" w:type="dxa"/>
            <w:shd w:val="clear" w:color="auto" w:fill="BFBFBF"/>
          </w:tcPr>
          <w:p>
            <w:pPr>
              <w:pStyle w:val="TableParagraph"/>
              <w:rPr>
                <w:rFonts w:ascii="Times New Roman"/>
                <w:sz w:val="12"/>
              </w:rPr>
            </w:pPr>
          </w:p>
        </w:tc>
        <w:tc>
          <w:tcPr>
            <w:tcW w:w="1117" w:type="dxa"/>
          </w:tcPr>
          <w:p>
            <w:pPr>
              <w:pStyle w:val="TableParagraph"/>
              <w:spacing w:before="44"/>
              <w:ind w:right="79"/>
              <w:jc w:val="right"/>
              <w:rPr>
                <w:rFonts w:ascii="Times New Roman"/>
                <w:sz w:val="13"/>
              </w:rPr>
            </w:pPr>
            <w:r>
              <w:rPr>
                <w:rFonts w:ascii="Times New Roman"/>
                <w:sz w:val="13"/>
              </w:rPr>
              <w:t>239,400.00</w:t>
            </w:r>
          </w:p>
        </w:tc>
        <w:tc>
          <w:tcPr>
            <w:tcW w:w="1117" w:type="dxa"/>
            <w:shd w:val="clear" w:color="auto" w:fill="BFBFBF"/>
          </w:tcPr>
          <w:p>
            <w:pPr>
              <w:pStyle w:val="TableParagraph"/>
              <w:rPr>
                <w:rFonts w:ascii="Times New Roman"/>
                <w:sz w:val="12"/>
              </w:rPr>
            </w:pPr>
          </w:p>
        </w:tc>
        <w:tc>
          <w:tcPr>
            <w:tcW w:w="1117" w:type="dxa"/>
          </w:tcPr>
          <w:p>
            <w:pPr>
              <w:pStyle w:val="TableParagraph"/>
              <w:spacing w:before="44"/>
              <w:ind w:right="81"/>
              <w:jc w:val="right"/>
              <w:rPr>
                <w:rFonts w:ascii="Times New Roman"/>
                <w:sz w:val="13"/>
              </w:rPr>
            </w:pPr>
            <w:r>
              <w:rPr>
                <w:rFonts w:ascii="Times New Roman"/>
                <w:sz w:val="13"/>
              </w:rPr>
              <w:t>251,346.00</w:t>
            </w:r>
          </w:p>
        </w:tc>
      </w:tr>
      <w:tr>
        <w:trPr>
          <w:trHeight w:val="182" w:hRule="atLeast"/>
        </w:trPr>
        <w:tc>
          <w:tcPr>
            <w:tcW w:w="3403" w:type="dxa"/>
          </w:tcPr>
          <w:p>
            <w:pPr>
              <w:pStyle w:val="TableParagraph"/>
              <w:spacing w:line="137" w:lineRule="exact" w:before="24"/>
              <w:ind w:left="201"/>
              <w:rPr>
                <w:rFonts w:ascii="Times New Roman"/>
                <w:sz w:val="13"/>
              </w:rPr>
            </w:pPr>
            <w:r>
              <w:rPr>
                <w:rFonts w:ascii="Times New Roman"/>
                <w:w w:val="105"/>
                <w:sz w:val="13"/>
              </w:rPr>
              <w:t>b. Step &amp; Column Adjustment</w:t>
            </w:r>
          </w:p>
        </w:tc>
        <w:tc>
          <w:tcPr>
            <w:tcW w:w="1448" w:type="dxa"/>
          </w:tcPr>
          <w:p>
            <w:pPr>
              <w:pStyle w:val="TableParagraph"/>
              <w:rPr>
                <w:rFonts w:ascii="Times New Roman"/>
                <w:sz w:val="12"/>
              </w:rPr>
            </w:pPr>
          </w:p>
        </w:tc>
        <w:tc>
          <w:tcPr>
            <w:tcW w:w="1148" w:type="dxa"/>
            <w:shd w:val="clear" w:color="auto" w:fill="BFBFBF"/>
          </w:tcPr>
          <w:p>
            <w:pPr>
              <w:pStyle w:val="TableParagraph"/>
              <w:rPr>
                <w:rFonts w:ascii="Times New Roman"/>
                <w:sz w:val="12"/>
              </w:rPr>
            </w:pPr>
          </w:p>
        </w:tc>
        <w:tc>
          <w:tcPr>
            <w:tcW w:w="1117" w:type="dxa"/>
            <w:shd w:val="clear" w:color="auto" w:fill="BFBFBF"/>
          </w:tcPr>
          <w:p>
            <w:pPr>
              <w:pStyle w:val="TableParagraph"/>
              <w:rPr>
                <w:rFonts w:ascii="Times New Roman"/>
                <w:sz w:val="12"/>
              </w:rPr>
            </w:pPr>
          </w:p>
        </w:tc>
        <w:tc>
          <w:tcPr>
            <w:tcW w:w="1117" w:type="dxa"/>
          </w:tcPr>
          <w:p>
            <w:pPr>
              <w:pStyle w:val="TableParagraph"/>
              <w:spacing w:line="137" w:lineRule="exact" w:before="24"/>
              <w:ind w:right="79"/>
              <w:jc w:val="right"/>
              <w:rPr>
                <w:rFonts w:ascii="Times New Roman"/>
                <w:sz w:val="13"/>
              </w:rPr>
            </w:pPr>
            <w:r>
              <w:rPr>
                <w:rFonts w:ascii="Times New Roman"/>
                <w:sz w:val="13"/>
              </w:rPr>
              <w:t>5,717.00</w:t>
            </w:r>
          </w:p>
        </w:tc>
        <w:tc>
          <w:tcPr>
            <w:tcW w:w="1117" w:type="dxa"/>
            <w:shd w:val="clear" w:color="auto" w:fill="BFBFBF"/>
          </w:tcPr>
          <w:p>
            <w:pPr>
              <w:pStyle w:val="TableParagraph"/>
              <w:rPr>
                <w:rFonts w:ascii="Times New Roman"/>
                <w:sz w:val="12"/>
              </w:rPr>
            </w:pPr>
          </w:p>
        </w:tc>
        <w:tc>
          <w:tcPr>
            <w:tcW w:w="1117" w:type="dxa"/>
          </w:tcPr>
          <w:p>
            <w:pPr>
              <w:pStyle w:val="TableParagraph"/>
              <w:spacing w:line="137" w:lineRule="exact" w:before="24"/>
              <w:ind w:right="81"/>
              <w:jc w:val="right"/>
              <w:rPr>
                <w:rFonts w:ascii="Times New Roman"/>
                <w:sz w:val="13"/>
              </w:rPr>
            </w:pPr>
            <w:r>
              <w:rPr>
                <w:rFonts w:ascii="Times New Roman"/>
                <w:sz w:val="13"/>
              </w:rPr>
              <w:t>7,116.00</w:t>
            </w:r>
          </w:p>
        </w:tc>
      </w:tr>
      <w:tr>
        <w:trPr>
          <w:trHeight w:val="201" w:hRule="atLeast"/>
        </w:trPr>
        <w:tc>
          <w:tcPr>
            <w:tcW w:w="3403" w:type="dxa"/>
          </w:tcPr>
          <w:p>
            <w:pPr>
              <w:pStyle w:val="TableParagraph"/>
              <w:spacing w:line="137" w:lineRule="exact" w:before="44"/>
              <w:ind w:left="201"/>
              <w:rPr>
                <w:rFonts w:ascii="Times New Roman"/>
                <w:sz w:val="13"/>
              </w:rPr>
            </w:pPr>
            <w:r>
              <w:rPr>
                <w:rFonts w:ascii="Times New Roman"/>
                <w:w w:val="105"/>
                <w:sz w:val="13"/>
              </w:rPr>
              <w:t>c. Cost-of-Living Adjustment</w:t>
            </w:r>
          </w:p>
        </w:tc>
        <w:tc>
          <w:tcPr>
            <w:tcW w:w="1448" w:type="dxa"/>
          </w:tcPr>
          <w:p>
            <w:pPr>
              <w:pStyle w:val="TableParagraph"/>
              <w:rPr>
                <w:rFonts w:ascii="Times New Roman"/>
                <w:sz w:val="12"/>
              </w:rPr>
            </w:pPr>
          </w:p>
        </w:tc>
        <w:tc>
          <w:tcPr>
            <w:tcW w:w="1148" w:type="dxa"/>
          </w:tcPr>
          <w:p>
            <w:pPr>
              <w:pStyle w:val="TableParagraph"/>
              <w:rPr>
                <w:rFonts w:ascii="Times New Roman"/>
                <w:sz w:val="12"/>
              </w:rPr>
            </w:pPr>
          </w:p>
        </w:tc>
        <w:tc>
          <w:tcPr>
            <w:tcW w:w="1117" w:type="dxa"/>
            <w:shd w:val="clear" w:color="auto" w:fill="BFBFBF"/>
          </w:tcPr>
          <w:p>
            <w:pPr>
              <w:pStyle w:val="TableParagraph"/>
              <w:rPr>
                <w:rFonts w:ascii="Times New Roman"/>
                <w:sz w:val="12"/>
              </w:rPr>
            </w:pPr>
          </w:p>
        </w:tc>
        <w:tc>
          <w:tcPr>
            <w:tcW w:w="1117" w:type="dxa"/>
          </w:tcPr>
          <w:p>
            <w:pPr>
              <w:pStyle w:val="TableParagraph"/>
              <w:rPr>
                <w:rFonts w:ascii="Times New Roman"/>
                <w:sz w:val="12"/>
              </w:rPr>
            </w:pPr>
          </w:p>
        </w:tc>
        <w:tc>
          <w:tcPr>
            <w:tcW w:w="1117" w:type="dxa"/>
            <w:shd w:val="clear" w:color="auto" w:fill="BFBFBF"/>
          </w:tcPr>
          <w:p>
            <w:pPr>
              <w:pStyle w:val="TableParagraph"/>
              <w:rPr>
                <w:rFonts w:ascii="Times New Roman"/>
                <w:sz w:val="12"/>
              </w:rPr>
            </w:pPr>
          </w:p>
        </w:tc>
        <w:tc>
          <w:tcPr>
            <w:tcW w:w="1117" w:type="dxa"/>
          </w:tcPr>
          <w:p>
            <w:pPr>
              <w:pStyle w:val="TableParagraph"/>
              <w:rPr>
                <w:rFonts w:ascii="Times New Roman"/>
                <w:sz w:val="12"/>
              </w:rPr>
            </w:pPr>
          </w:p>
        </w:tc>
      </w:tr>
      <w:tr>
        <w:trPr>
          <w:trHeight w:val="201" w:hRule="atLeast"/>
        </w:trPr>
        <w:tc>
          <w:tcPr>
            <w:tcW w:w="3403" w:type="dxa"/>
          </w:tcPr>
          <w:p>
            <w:pPr>
              <w:pStyle w:val="TableParagraph"/>
              <w:spacing w:line="137" w:lineRule="exact" w:before="44"/>
              <w:ind w:left="201"/>
              <w:rPr>
                <w:rFonts w:ascii="Times New Roman"/>
                <w:sz w:val="13"/>
              </w:rPr>
            </w:pPr>
            <w:r>
              <w:rPr>
                <w:rFonts w:ascii="Times New Roman"/>
                <w:w w:val="105"/>
                <w:sz w:val="13"/>
              </w:rPr>
              <w:t>d. Other Adjustments</w:t>
            </w:r>
          </w:p>
        </w:tc>
        <w:tc>
          <w:tcPr>
            <w:tcW w:w="1448" w:type="dxa"/>
          </w:tcPr>
          <w:p>
            <w:pPr>
              <w:pStyle w:val="TableParagraph"/>
              <w:rPr>
                <w:rFonts w:ascii="Times New Roman"/>
                <w:sz w:val="12"/>
              </w:rPr>
            </w:pPr>
          </w:p>
        </w:tc>
        <w:tc>
          <w:tcPr>
            <w:tcW w:w="1148" w:type="dxa"/>
            <w:shd w:val="clear" w:color="auto" w:fill="BFBFBF"/>
          </w:tcPr>
          <w:p>
            <w:pPr>
              <w:pStyle w:val="TableParagraph"/>
              <w:rPr>
                <w:rFonts w:ascii="Times New Roman"/>
                <w:sz w:val="12"/>
              </w:rPr>
            </w:pPr>
          </w:p>
        </w:tc>
        <w:tc>
          <w:tcPr>
            <w:tcW w:w="1117" w:type="dxa"/>
            <w:shd w:val="clear" w:color="auto" w:fill="BFBFBF"/>
          </w:tcPr>
          <w:p>
            <w:pPr>
              <w:pStyle w:val="TableParagraph"/>
              <w:rPr>
                <w:rFonts w:ascii="Times New Roman"/>
                <w:sz w:val="12"/>
              </w:rPr>
            </w:pPr>
          </w:p>
        </w:tc>
        <w:tc>
          <w:tcPr>
            <w:tcW w:w="1117" w:type="dxa"/>
          </w:tcPr>
          <w:p>
            <w:pPr>
              <w:pStyle w:val="TableParagraph"/>
              <w:spacing w:line="137" w:lineRule="exact" w:before="44"/>
              <w:ind w:right="79"/>
              <w:jc w:val="right"/>
              <w:rPr>
                <w:rFonts w:ascii="Times New Roman"/>
                <w:sz w:val="13"/>
              </w:rPr>
            </w:pPr>
            <w:r>
              <w:rPr>
                <w:rFonts w:ascii="Times New Roman"/>
                <w:sz w:val="13"/>
              </w:rPr>
              <w:t>6,229.00</w:t>
            </w:r>
          </w:p>
        </w:tc>
        <w:tc>
          <w:tcPr>
            <w:tcW w:w="1117" w:type="dxa"/>
            <w:shd w:val="clear" w:color="auto" w:fill="BFBFBF"/>
          </w:tcPr>
          <w:p>
            <w:pPr>
              <w:pStyle w:val="TableParagraph"/>
              <w:rPr>
                <w:rFonts w:ascii="Times New Roman"/>
                <w:sz w:val="12"/>
              </w:rPr>
            </w:pPr>
          </w:p>
        </w:tc>
        <w:tc>
          <w:tcPr>
            <w:tcW w:w="1117" w:type="dxa"/>
          </w:tcPr>
          <w:p>
            <w:pPr>
              <w:pStyle w:val="TableParagraph"/>
              <w:rPr>
                <w:rFonts w:ascii="Times New Roman"/>
                <w:sz w:val="12"/>
              </w:rPr>
            </w:pPr>
          </w:p>
        </w:tc>
      </w:tr>
      <w:tr>
        <w:trPr>
          <w:trHeight w:val="221" w:hRule="atLeast"/>
        </w:trPr>
        <w:tc>
          <w:tcPr>
            <w:tcW w:w="3403" w:type="dxa"/>
          </w:tcPr>
          <w:p>
            <w:pPr>
              <w:pStyle w:val="TableParagraph"/>
              <w:spacing w:before="44"/>
              <w:ind w:left="201"/>
              <w:rPr>
                <w:rFonts w:ascii="Times New Roman"/>
                <w:sz w:val="13"/>
              </w:rPr>
            </w:pPr>
            <w:r>
              <w:rPr>
                <w:rFonts w:ascii="Times New Roman"/>
                <w:w w:val="105"/>
                <w:sz w:val="13"/>
              </w:rPr>
              <w:t>e. Total Classified Salaries (Sum lines B2a thru B2d)</w:t>
            </w:r>
          </w:p>
        </w:tc>
        <w:tc>
          <w:tcPr>
            <w:tcW w:w="1448" w:type="dxa"/>
          </w:tcPr>
          <w:p>
            <w:pPr>
              <w:pStyle w:val="TableParagraph"/>
              <w:spacing w:before="44"/>
              <w:ind w:left="518" w:right="297"/>
              <w:jc w:val="center"/>
              <w:rPr>
                <w:rFonts w:ascii="Times New Roman"/>
                <w:sz w:val="13"/>
              </w:rPr>
            </w:pPr>
            <w:r>
              <w:rPr>
                <w:rFonts w:ascii="Times New Roman"/>
                <w:w w:val="105"/>
                <w:sz w:val="13"/>
              </w:rPr>
              <w:t>2000-2999</w:t>
            </w:r>
          </w:p>
        </w:tc>
        <w:tc>
          <w:tcPr>
            <w:tcW w:w="1148" w:type="dxa"/>
          </w:tcPr>
          <w:p>
            <w:pPr>
              <w:pStyle w:val="TableParagraph"/>
              <w:spacing w:before="44"/>
              <w:ind w:right="77"/>
              <w:jc w:val="right"/>
              <w:rPr>
                <w:rFonts w:ascii="Times New Roman"/>
                <w:sz w:val="13"/>
              </w:rPr>
            </w:pPr>
            <w:r>
              <w:rPr>
                <w:rFonts w:ascii="Times New Roman"/>
                <w:sz w:val="13"/>
              </w:rPr>
              <w:t>239,400.00</w:t>
            </w:r>
          </w:p>
        </w:tc>
        <w:tc>
          <w:tcPr>
            <w:tcW w:w="1117" w:type="dxa"/>
          </w:tcPr>
          <w:p>
            <w:pPr>
              <w:pStyle w:val="TableParagraph"/>
              <w:spacing w:before="44"/>
              <w:ind w:right="33"/>
              <w:jc w:val="right"/>
              <w:rPr>
                <w:rFonts w:ascii="Times New Roman"/>
                <w:sz w:val="13"/>
              </w:rPr>
            </w:pPr>
            <w:r>
              <w:rPr>
                <w:rFonts w:ascii="Times New Roman"/>
                <w:sz w:val="13"/>
              </w:rPr>
              <w:t>4.99%</w:t>
            </w:r>
          </w:p>
        </w:tc>
        <w:tc>
          <w:tcPr>
            <w:tcW w:w="1117" w:type="dxa"/>
          </w:tcPr>
          <w:p>
            <w:pPr>
              <w:pStyle w:val="TableParagraph"/>
              <w:spacing w:before="44"/>
              <w:ind w:right="79"/>
              <w:jc w:val="right"/>
              <w:rPr>
                <w:rFonts w:ascii="Times New Roman"/>
                <w:sz w:val="13"/>
              </w:rPr>
            </w:pPr>
            <w:r>
              <w:rPr>
                <w:rFonts w:ascii="Times New Roman"/>
                <w:sz w:val="13"/>
              </w:rPr>
              <w:t>251,346.00</w:t>
            </w:r>
          </w:p>
        </w:tc>
        <w:tc>
          <w:tcPr>
            <w:tcW w:w="1117" w:type="dxa"/>
          </w:tcPr>
          <w:p>
            <w:pPr>
              <w:pStyle w:val="TableParagraph"/>
              <w:spacing w:before="44"/>
              <w:ind w:right="35"/>
              <w:jc w:val="right"/>
              <w:rPr>
                <w:rFonts w:ascii="Times New Roman"/>
                <w:sz w:val="13"/>
              </w:rPr>
            </w:pPr>
            <w:r>
              <w:rPr>
                <w:rFonts w:ascii="Times New Roman"/>
                <w:sz w:val="13"/>
              </w:rPr>
              <w:t>2.83%</w:t>
            </w:r>
          </w:p>
        </w:tc>
        <w:tc>
          <w:tcPr>
            <w:tcW w:w="1117" w:type="dxa"/>
          </w:tcPr>
          <w:p>
            <w:pPr>
              <w:pStyle w:val="TableParagraph"/>
              <w:spacing w:before="44"/>
              <w:ind w:right="81"/>
              <w:jc w:val="right"/>
              <w:rPr>
                <w:rFonts w:ascii="Times New Roman"/>
                <w:sz w:val="13"/>
              </w:rPr>
            </w:pPr>
            <w:r>
              <w:rPr>
                <w:rFonts w:ascii="Times New Roman"/>
                <w:sz w:val="13"/>
              </w:rPr>
              <w:t>258,462.00</w:t>
            </w:r>
          </w:p>
        </w:tc>
      </w:tr>
      <w:tr>
        <w:trPr>
          <w:trHeight w:val="201" w:hRule="atLeast"/>
        </w:trPr>
        <w:tc>
          <w:tcPr>
            <w:tcW w:w="3403" w:type="dxa"/>
          </w:tcPr>
          <w:p>
            <w:pPr>
              <w:pStyle w:val="TableParagraph"/>
              <w:spacing w:before="24"/>
              <w:ind w:left="100"/>
              <w:rPr>
                <w:rFonts w:ascii="Times New Roman"/>
                <w:sz w:val="13"/>
              </w:rPr>
            </w:pPr>
            <w:r>
              <w:rPr>
                <w:rFonts w:ascii="Times New Roman"/>
                <w:w w:val="105"/>
                <w:sz w:val="13"/>
              </w:rPr>
              <w:t>3. Employee Benefits</w:t>
            </w:r>
          </w:p>
        </w:tc>
        <w:tc>
          <w:tcPr>
            <w:tcW w:w="1448" w:type="dxa"/>
          </w:tcPr>
          <w:p>
            <w:pPr>
              <w:pStyle w:val="TableParagraph"/>
              <w:spacing w:before="24"/>
              <w:ind w:left="518" w:right="297"/>
              <w:jc w:val="center"/>
              <w:rPr>
                <w:rFonts w:ascii="Times New Roman"/>
                <w:sz w:val="13"/>
              </w:rPr>
            </w:pPr>
            <w:r>
              <w:rPr>
                <w:rFonts w:ascii="Times New Roman"/>
                <w:w w:val="105"/>
                <w:sz w:val="13"/>
              </w:rPr>
              <w:t>3000-3999</w:t>
            </w:r>
          </w:p>
        </w:tc>
        <w:tc>
          <w:tcPr>
            <w:tcW w:w="1148" w:type="dxa"/>
          </w:tcPr>
          <w:p>
            <w:pPr>
              <w:pStyle w:val="TableParagraph"/>
              <w:spacing w:before="24"/>
              <w:ind w:right="77"/>
              <w:jc w:val="right"/>
              <w:rPr>
                <w:rFonts w:ascii="Times New Roman"/>
                <w:sz w:val="13"/>
              </w:rPr>
            </w:pPr>
            <w:r>
              <w:rPr>
                <w:rFonts w:ascii="Times New Roman"/>
                <w:sz w:val="13"/>
              </w:rPr>
              <w:t>240,012.00</w:t>
            </w:r>
          </w:p>
        </w:tc>
        <w:tc>
          <w:tcPr>
            <w:tcW w:w="1117" w:type="dxa"/>
          </w:tcPr>
          <w:p>
            <w:pPr>
              <w:pStyle w:val="TableParagraph"/>
              <w:spacing w:before="24"/>
              <w:ind w:right="33"/>
              <w:jc w:val="right"/>
              <w:rPr>
                <w:rFonts w:ascii="Times New Roman"/>
                <w:sz w:val="13"/>
              </w:rPr>
            </w:pPr>
            <w:r>
              <w:rPr>
                <w:rFonts w:ascii="Times New Roman"/>
                <w:sz w:val="13"/>
              </w:rPr>
              <w:t>10.24%</w:t>
            </w:r>
          </w:p>
        </w:tc>
        <w:tc>
          <w:tcPr>
            <w:tcW w:w="1117" w:type="dxa"/>
          </w:tcPr>
          <w:p>
            <w:pPr>
              <w:pStyle w:val="TableParagraph"/>
              <w:spacing w:before="24"/>
              <w:ind w:right="79"/>
              <w:jc w:val="right"/>
              <w:rPr>
                <w:rFonts w:ascii="Times New Roman"/>
                <w:sz w:val="13"/>
              </w:rPr>
            </w:pPr>
            <w:r>
              <w:rPr>
                <w:rFonts w:ascii="Times New Roman"/>
                <w:sz w:val="13"/>
              </w:rPr>
              <w:t>264,583.00</w:t>
            </w:r>
          </w:p>
        </w:tc>
        <w:tc>
          <w:tcPr>
            <w:tcW w:w="1117" w:type="dxa"/>
          </w:tcPr>
          <w:p>
            <w:pPr>
              <w:pStyle w:val="TableParagraph"/>
              <w:spacing w:before="24"/>
              <w:ind w:right="35"/>
              <w:jc w:val="right"/>
              <w:rPr>
                <w:rFonts w:ascii="Times New Roman"/>
                <w:sz w:val="13"/>
              </w:rPr>
            </w:pPr>
            <w:r>
              <w:rPr>
                <w:rFonts w:ascii="Times New Roman"/>
                <w:sz w:val="13"/>
              </w:rPr>
              <w:t>4.02%</w:t>
            </w:r>
          </w:p>
        </w:tc>
        <w:tc>
          <w:tcPr>
            <w:tcW w:w="1117" w:type="dxa"/>
          </w:tcPr>
          <w:p>
            <w:pPr>
              <w:pStyle w:val="TableParagraph"/>
              <w:spacing w:before="24"/>
              <w:ind w:right="81"/>
              <w:jc w:val="right"/>
              <w:rPr>
                <w:rFonts w:ascii="Times New Roman"/>
                <w:sz w:val="13"/>
              </w:rPr>
            </w:pPr>
            <w:r>
              <w:rPr>
                <w:rFonts w:ascii="Times New Roman"/>
                <w:sz w:val="13"/>
              </w:rPr>
              <w:t>275,228.00</w:t>
            </w:r>
          </w:p>
        </w:tc>
      </w:tr>
      <w:tr>
        <w:trPr>
          <w:trHeight w:val="201" w:hRule="atLeast"/>
        </w:trPr>
        <w:tc>
          <w:tcPr>
            <w:tcW w:w="3403" w:type="dxa"/>
          </w:tcPr>
          <w:p>
            <w:pPr>
              <w:pStyle w:val="TableParagraph"/>
              <w:spacing w:before="24"/>
              <w:ind w:left="100"/>
              <w:rPr>
                <w:rFonts w:ascii="Times New Roman"/>
                <w:sz w:val="13"/>
              </w:rPr>
            </w:pPr>
            <w:r>
              <w:rPr>
                <w:rFonts w:ascii="Times New Roman"/>
                <w:w w:val="105"/>
                <w:sz w:val="13"/>
              </w:rPr>
              <w:t>4. Books and Supplies</w:t>
            </w:r>
          </w:p>
        </w:tc>
        <w:tc>
          <w:tcPr>
            <w:tcW w:w="1448" w:type="dxa"/>
          </w:tcPr>
          <w:p>
            <w:pPr>
              <w:pStyle w:val="TableParagraph"/>
              <w:spacing w:before="24"/>
              <w:ind w:left="518" w:right="297"/>
              <w:jc w:val="center"/>
              <w:rPr>
                <w:rFonts w:ascii="Times New Roman"/>
                <w:sz w:val="13"/>
              </w:rPr>
            </w:pPr>
            <w:r>
              <w:rPr>
                <w:rFonts w:ascii="Times New Roman"/>
                <w:w w:val="105"/>
                <w:sz w:val="13"/>
              </w:rPr>
              <w:t>4000-4999</w:t>
            </w:r>
          </w:p>
        </w:tc>
        <w:tc>
          <w:tcPr>
            <w:tcW w:w="1148" w:type="dxa"/>
          </w:tcPr>
          <w:p>
            <w:pPr>
              <w:pStyle w:val="TableParagraph"/>
              <w:spacing w:before="24"/>
              <w:ind w:right="77"/>
              <w:jc w:val="right"/>
              <w:rPr>
                <w:rFonts w:ascii="Times New Roman"/>
                <w:sz w:val="13"/>
              </w:rPr>
            </w:pPr>
            <w:r>
              <w:rPr>
                <w:rFonts w:ascii="Times New Roman"/>
                <w:sz w:val="13"/>
              </w:rPr>
              <w:t>71,691.00</w:t>
            </w:r>
          </w:p>
        </w:tc>
        <w:tc>
          <w:tcPr>
            <w:tcW w:w="1117" w:type="dxa"/>
          </w:tcPr>
          <w:p>
            <w:pPr>
              <w:pStyle w:val="TableParagraph"/>
              <w:spacing w:before="24"/>
              <w:ind w:right="33"/>
              <w:jc w:val="right"/>
              <w:rPr>
                <w:rFonts w:ascii="Times New Roman"/>
                <w:sz w:val="13"/>
              </w:rPr>
            </w:pPr>
            <w:r>
              <w:rPr>
                <w:rFonts w:ascii="Times New Roman"/>
                <w:sz w:val="13"/>
              </w:rPr>
              <w:t>1.82%</w:t>
            </w:r>
          </w:p>
        </w:tc>
        <w:tc>
          <w:tcPr>
            <w:tcW w:w="1117" w:type="dxa"/>
          </w:tcPr>
          <w:p>
            <w:pPr>
              <w:pStyle w:val="TableParagraph"/>
              <w:spacing w:before="24"/>
              <w:ind w:right="79"/>
              <w:jc w:val="right"/>
              <w:rPr>
                <w:rFonts w:ascii="Times New Roman"/>
                <w:sz w:val="13"/>
              </w:rPr>
            </w:pPr>
            <w:r>
              <w:rPr>
                <w:rFonts w:ascii="Times New Roman"/>
                <w:sz w:val="13"/>
              </w:rPr>
              <w:t>72,996.00</w:t>
            </w:r>
          </w:p>
        </w:tc>
        <w:tc>
          <w:tcPr>
            <w:tcW w:w="1117" w:type="dxa"/>
          </w:tcPr>
          <w:p>
            <w:pPr>
              <w:pStyle w:val="TableParagraph"/>
              <w:spacing w:before="24"/>
              <w:ind w:right="35"/>
              <w:jc w:val="right"/>
              <w:rPr>
                <w:rFonts w:ascii="Times New Roman"/>
                <w:sz w:val="13"/>
              </w:rPr>
            </w:pPr>
            <w:r>
              <w:rPr>
                <w:rFonts w:ascii="Times New Roman"/>
                <w:sz w:val="13"/>
              </w:rPr>
              <w:t>2.12%</w:t>
            </w:r>
          </w:p>
        </w:tc>
        <w:tc>
          <w:tcPr>
            <w:tcW w:w="1117" w:type="dxa"/>
          </w:tcPr>
          <w:p>
            <w:pPr>
              <w:pStyle w:val="TableParagraph"/>
              <w:spacing w:before="24"/>
              <w:ind w:right="81"/>
              <w:jc w:val="right"/>
              <w:rPr>
                <w:rFonts w:ascii="Times New Roman"/>
                <w:sz w:val="13"/>
              </w:rPr>
            </w:pPr>
            <w:r>
              <w:rPr>
                <w:rFonts w:ascii="Times New Roman"/>
                <w:sz w:val="13"/>
              </w:rPr>
              <w:t>74,543.00</w:t>
            </w:r>
          </w:p>
        </w:tc>
      </w:tr>
      <w:tr>
        <w:trPr>
          <w:trHeight w:val="201" w:hRule="atLeast"/>
        </w:trPr>
        <w:tc>
          <w:tcPr>
            <w:tcW w:w="3403" w:type="dxa"/>
          </w:tcPr>
          <w:p>
            <w:pPr>
              <w:pStyle w:val="TableParagraph"/>
              <w:spacing w:before="24"/>
              <w:ind w:left="100"/>
              <w:rPr>
                <w:rFonts w:ascii="Times New Roman"/>
                <w:sz w:val="13"/>
              </w:rPr>
            </w:pPr>
            <w:r>
              <w:rPr>
                <w:rFonts w:ascii="Times New Roman"/>
                <w:w w:val="105"/>
                <w:sz w:val="13"/>
              </w:rPr>
              <w:t>5. Services and Other Operating Expenditures</w:t>
            </w:r>
          </w:p>
        </w:tc>
        <w:tc>
          <w:tcPr>
            <w:tcW w:w="1448" w:type="dxa"/>
          </w:tcPr>
          <w:p>
            <w:pPr>
              <w:pStyle w:val="TableParagraph"/>
              <w:spacing w:before="24"/>
              <w:ind w:left="518" w:right="297"/>
              <w:jc w:val="center"/>
              <w:rPr>
                <w:rFonts w:ascii="Times New Roman"/>
                <w:sz w:val="13"/>
              </w:rPr>
            </w:pPr>
            <w:r>
              <w:rPr>
                <w:rFonts w:ascii="Times New Roman"/>
                <w:w w:val="105"/>
                <w:sz w:val="13"/>
              </w:rPr>
              <w:t>5000-5999</w:t>
            </w:r>
          </w:p>
        </w:tc>
        <w:tc>
          <w:tcPr>
            <w:tcW w:w="1148" w:type="dxa"/>
          </w:tcPr>
          <w:p>
            <w:pPr>
              <w:pStyle w:val="TableParagraph"/>
              <w:spacing w:before="24"/>
              <w:ind w:right="77"/>
              <w:jc w:val="right"/>
              <w:rPr>
                <w:rFonts w:ascii="Times New Roman"/>
                <w:sz w:val="13"/>
              </w:rPr>
            </w:pPr>
            <w:r>
              <w:rPr>
                <w:rFonts w:ascii="Times New Roman"/>
                <w:sz w:val="13"/>
              </w:rPr>
              <w:t>341,793.00</w:t>
            </w:r>
          </w:p>
        </w:tc>
        <w:tc>
          <w:tcPr>
            <w:tcW w:w="1117" w:type="dxa"/>
          </w:tcPr>
          <w:p>
            <w:pPr>
              <w:pStyle w:val="TableParagraph"/>
              <w:spacing w:before="24"/>
              <w:ind w:right="33"/>
              <w:jc w:val="right"/>
              <w:rPr>
                <w:rFonts w:ascii="Times New Roman"/>
                <w:sz w:val="13"/>
              </w:rPr>
            </w:pPr>
            <w:r>
              <w:rPr>
                <w:rFonts w:ascii="Times New Roman"/>
                <w:sz w:val="13"/>
              </w:rPr>
              <w:t>1.82%</w:t>
            </w:r>
          </w:p>
        </w:tc>
        <w:tc>
          <w:tcPr>
            <w:tcW w:w="1117" w:type="dxa"/>
          </w:tcPr>
          <w:p>
            <w:pPr>
              <w:pStyle w:val="TableParagraph"/>
              <w:spacing w:before="24"/>
              <w:ind w:right="79"/>
              <w:jc w:val="right"/>
              <w:rPr>
                <w:rFonts w:ascii="Times New Roman"/>
                <w:sz w:val="13"/>
              </w:rPr>
            </w:pPr>
            <w:r>
              <w:rPr>
                <w:rFonts w:ascii="Times New Roman"/>
                <w:sz w:val="13"/>
              </w:rPr>
              <w:t>348,014.00</w:t>
            </w:r>
          </w:p>
        </w:tc>
        <w:tc>
          <w:tcPr>
            <w:tcW w:w="1117" w:type="dxa"/>
          </w:tcPr>
          <w:p>
            <w:pPr>
              <w:pStyle w:val="TableParagraph"/>
              <w:spacing w:before="24"/>
              <w:ind w:right="35"/>
              <w:jc w:val="right"/>
              <w:rPr>
                <w:rFonts w:ascii="Times New Roman"/>
                <w:sz w:val="13"/>
              </w:rPr>
            </w:pPr>
            <w:r>
              <w:rPr>
                <w:rFonts w:ascii="Times New Roman"/>
                <w:sz w:val="13"/>
              </w:rPr>
              <w:t>2.12%</w:t>
            </w:r>
          </w:p>
        </w:tc>
        <w:tc>
          <w:tcPr>
            <w:tcW w:w="1117" w:type="dxa"/>
          </w:tcPr>
          <w:p>
            <w:pPr>
              <w:pStyle w:val="TableParagraph"/>
              <w:spacing w:before="24"/>
              <w:ind w:right="81"/>
              <w:jc w:val="right"/>
              <w:rPr>
                <w:rFonts w:ascii="Times New Roman"/>
                <w:sz w:val="13"/>
              </w:rPr>
            </w:pPr>
            <w:r>
              <w:rPr>
                <w:rFonts w:ascii="Times New Roman"/>
                <w:sz w:val="13"/>
              </w:rPr>
              <w:t>355,392.00</w:t>
            </w:r>
          </w:p>
        </w:tc>
      </w:tr>
      <w:tr>
        <w:trPr>
          <w:trHeight w:val="201" w:hRule="atLeast"/>
        </w:trPr>
        <w:tc>
          <w:tcPr>
            <w:tcW w:w="3403" w:type="dxa"/>
          </w:tcPr>
          <w:p>
            <w:pPr>
              <w:pStyle w:val="TableParagraph"/>
              <w:spacing w:before="24"/>
              <w:ind w:left="100"/>
              <w:rPr>
                <w:rFonts w:ascii="Times New Roman"/>
                <w:sz w:val="13"/>
              </w:rPr>
            </w:pPr>
            <w:r>
              <w:rPr>
                <w:rFonts w:ascii="Times New Roman"/>
                <w:w w:val="105"/>
                <w:sz w:val="13"/>
              </w:rPr>
              <w:t>6. Capital Outlay</w:t>
            </w:r>
          </w:p>
        </w:tc>
        <w:tc>
          <w:tcPr>
            <w:tcW w:w="1448" w:type="dxa"/>
          </w:tcPr>
          <w:p>
            <w:pPr>
              <w:pStyle w:val="TableParagraph"/>
              <w:spacing w:before="24"/>
              <w:ind w:left="518" w:right="297"/>
              <w:jc w:val="center"/>
              <w:rPr>
                <w:rFonts w:ascii="Times New Roman"/>
                <w:sz w:val="13"/>
              </w:rPr>
            </w:pPr>
            <w:r>
              <w:rPr>
                <w:rFonts w:ascii="Times New Roman"/>
                <w:w w:val="105"/>
                <w:sz w:val="13"/>
              </w:rPr>
              <w:t>6000-6999</w:t>
            </w:r>
          </w:p>
        </w:tc>
        <w:tc>
          <w:tcPr>
            <w:tcW w:w="1148" w:type="dxa"/>
          </w:tcPr>
          <w:p>
            <w:pPr>
              <w:pStyle w:val="TableParagraph"/>
              <w:spacing w:before="24"/>
              <w:ind w:right="77"/>
              <w:jc w:val="right"/>
              <w:rPr>
                <w:rFonts w:ascii="Times New Roman"/>
                <w:sz w:val="13"/>
              </w:rPr>
            </w:pPr>
            <w:r>
              <w:rPr>
                <w:rFonts w:ascii="Times New Roman"/>
                <w:sz w:val="13"/>
              </w:rPr>
              <w:t>64,027.00</w:t>
            </w:r>
          </w:p>
        </w:tc>
        <w:tc>
          <w:tcPr>
            <w:tcW w:w="1117" w:type="dxa"/>
          </w:tcPr>
          <w:p>
            <w:pPr>
              <w:pStyle w:val="TableParagraph"/>
              <w:spacing w:before="24"/>
              <w:ind w:right="33"/>
              <w:jc w:val="right"/>
              <w:rPr>
                <w:rFonts w:ascii="Times New Roman"/>
                <w:sz w:val="13"/>
              </w:rPr>
            </w:pPr>
            <w:r>
              <w:rPr>
                <w:rFonts w:ascii="Times New Roman"/>
                <w:sz w:val="13"/>
              </w:rPr>
              <w:t>-84.38%</w:t>
            </w:r>
          </w:p>
        </w:tc>
        <w:tc>
          <w:tcPr>
            <w:tcW w:w="1117" w:type="dxa"/>
          </w:tcPr>
          <w:p>
            <w:pPr>
              <w:pStyle w:val="TableParagraph"/>
              <w:spacing w:before="24"/>
              <w:ind w:right="79"/>
              <w:jc w:val="right"/>
              <w:rPr>
                <w:rFonts w:ascii="Times New Roman"/>
                <w:sz w:val="13"/>
              </w:rPr>
            </w:pPr>
            <w:r>
              <w:rPr>
                <w:rFonts w:ascii="Times New Roman"/>
                <w:sz w:val="13"/>
              </w:rPr>
              <w:t>10,000.00</w:t>
            </w:r>
          </w:p>
        </w:tc>
        <w:tc>
          <w:tcPr>
            <w:tcW w:w="1117" w:type="dxa"/>
          </w:tcPr>
          <w:p>
            <w:pPr>
              <w:pStyle w:val="TableParagraph"/>
              <w:spacing w:before="24"/>
              <w:ind w:right="35"/>
              <w:jc w:val="right"/>
              <w:rPr>
                <w:rFonts w:ascii="Times New Roman"/>
                <w:sz w:val="13"/>
              </w:rPr>
            </w:pPr>
            <w:r>
              <w:rPr>
                <w:rFonts w:ascii="Times New Roman"/>
                <w:sz w:val="13"/>
              </w:rPr>
              <w:t>0.00%</w:t>
            </w:r>
          </w:p>
        </w:tc>
        <w:tc>
          <w:tcPr>
            <w:tcW w:w="1117" w:type="dxa"/>
          </w:tcPr>
          <w:p>
            <w:pPr>
              <w:pStyle w:val="TableParagraph"/>
              <w:spacing w:before="24"/>
              <w:ind w:right="81"/>
              <w:jc w:val="right"/>
              <w:rPr>
                <w:rFonts w:ascii="Times New Roman"/>
                <w:sz w:val="13"/>
              </w:rPr>
            </w:pPr>
            <w:r>
              <w:rPr>
                <w:rFonts w:ascii="Times New Roman"/>
                <w:sz w:val="13"/>
              </w:rPr>
              <w:t>10,000.00</w:t>
            </w:r>
          </w:p>
        </w:tc>
      </w:tr>
      <w:tr>
        <w:trPr>
          <w:trHeight w:val="201" w:hRule="atLeast"/>
        </w:trPr>
        <w:tc>
          <w:tcPr>
            <w:tcW w:w="3403" w:type="dxa"/>
          </w:tcPr>
          <w:p>
            <w:pPr>
              <w:pStyle w:val="TableParagraph"/>
              <w:spacing w:before="24"/>
              <w:ind w:left="100"/>
              <w:rPr>
                <w:rFonts w:ascii="Times New Roman"/>
                <w:sz w:val="13"/>
              </w:rPr>
            </w:pPr>
            <w:r>
              <w:rPr>
                <w:rFonts w:ascii="Times New Roman"/>
                <w:w w:val="105"/>
                <w:sz w:val="13"/>
              </w:rPr>
              <w:t>7. Other Outgo (excluding Transfers of Indirect Costs)</w:t>
            </w:r>
          </w:p>
        </w:tc>
        <w:tc>
          <w:tcPr>
            <w:tcW w:w="1448" w:type="dxa"/>
          </w:tcPr>
          <w:p>
            <w:pPr>
              <w:pStyle w:val="TableParagraph"/>
              <w:spacing w:before="24"/>
              <w:ind w:left="220" w:right="-15"/>
              <w:jc w:val="center"/>
              <w:rPr>
                <w:rFonts w:ascii="Times New Roman"/>
                <w:sz w:val="13"/>
              </w:rPr>
            </w:pPr>
            <w:r>
              <w:rPr>
                <w:rFonts w:ascii="Times New Roman"/>
                <w:w w:val="105"/>
                <w:sz w:val="13"/>
              </w:rPr>
              <w:t>7100-7299,</w:t>
            </w:r>
            <w:r>
              <w:rPr>
                <w:rFonts w:ascii="Times New Roman"/>
                <w:spacing w:val="-20"/>
                <w:w w:val="105"/>
                <w:sz w:val="13"/>
              </w:rPr>
              <w:t> </w:t>
            </w:r>
            <w:r>
              <w:rPr>
                <w:rFonts w:ascii="Times New Roman"/>
                <w:w w:val="105"/>
                <w:sz w:val="13"/>
              </w:rPr>
              <w:t>7400-7499</w:t>
            </w:r>
          </w:p>
        </w:tc>
        <w:tc>
          <w:tcPr>
            <w:tcW w:w="1148" w:type="dxa"/>
          </w:tcPr>
          <w:p>
            <w:pPr>
              <w:pStyle w:val="TableParagraph"/>
              <w:spacing w:before="24"/>
              <w:ind w:right="76"/>
              <w:jc w:val="right"/>
              <w:rPr>
                <w:rFonts w:ascii="Times New Roman"/>
                <w:sz w:val="13"/>
              </w:rPr>
            </w:pPr>
            <w:r>
              <w:rPr>
                <w:rFonts w:ascii="Times New Roman"/>
                <w:sz w:val="13"/>
              </w:rPr>
              <w:t>0.00</w:t>
            </w:r>
          </w:p>
        </w:tc>
        <w:tc>
          <w:tcPr>
            <w:tcW w:w="1117" w:type="dxa"/>
          </w:tcPr>
          <w:p>
            <w:pPr>
              <w:pStyle w:val="TableParagraph"/>
              <w:spacing w:before="24"/>
              <w:ind w:right="33"/>
              <w:jc w:val="right"/>
              <w:rPr>
                <w:rFonts w:ascii="Times New Roman"/>
                <w:sz w:val="13"/>
              </w:rPr>
            </w:pPr>
            <w:r>
              <w:rPr>
                <w:rFonts w:ascii="Times New Roman"/>
                <w:sz w:val="13"/>
              </w:rPr>
              <w:t>0.00%</w:t>
            </w:r>
          </w:p>
        </w:tc>
        <w:tc>
          <w:tcPr>
            <w:tcW w:w="1117" w:type="dxa"/>
          </w:tcPr>
          <w:p>
            <w:pPr>
              <w:pStyle w:val="TableParagraph"/>
              <w:spacing w:before="24"/>
              <w:ind w:right="78"/>
              <w:jc w:val="right"/>
              <w:rPr>
                <w:rFonts w:ascii="Times New Roman"/>
                <w:sz w:val="13"/>
              </w:rPr>
            </w:pPr>
            <w:r>
              <w:rPr>
                <w:rFonts w:ascii="Times New Roman"/>
                <w:sz w:val="13"/>
              </w:rPr>
              <w:t>0.00</w:t>
            </w:r>
          </w:p>
        </w:tc>
        <w:tc>
          <w:tcPr>
            <w:tcW w:w="1117" w:type="dxa"/>
          </w:tcPr>
          <w:p>
            <w:pPr>
              <w:pStyle w:val="TableParagraph"/>
              <w:spacing w:before="24"/>
              <w:ind w:right="35"/>
              <w:jc w:val="right"/>
              <w:rPr>
                <w:rFonts w:ascii="Times New Roman"/>
                <w:sz w:val="13"/>
              </w:rPr>
            </w:pPr>
            <w:r>
              <w:rPr>
                <w:rFonts w:ascii="Times New Roman"/>
                <w:sz w:val="13"/>
              </w:rPr>
              <w:t>0.00%</w:t>
            </w:r>
          </w:p>
        </w:tc>
        <w:tc>
          <w:tcPr>
            <w:tcW w:w="1117" w:type="dxa"/>
          </w:tcPr>
          <w:p>
            <w:pPr>
              <w:pStyle w:val="TableParagraph"/>
              <w:spacing w:before="24"/>
              <w:ind w:right="80"/>
              <w:jc w:val="right"/>
              <w:rPr>
                <w:rFonts w:ascii="Times New Roman"/>
                <w:sz w:val="13"/>
              </w:rPr>
            </w:pPr>
            <w:r>
              <w:rPr>
                <w:rFonts w:ascii="Times New Roman"/>
                <w:sz w:val="13"/>
              </w:rPr>
              <w:t>0.00</w:t>
            </w:r>
          </w:p>
        </w:tc>
      </w:tr>
      <w:tr>
        <w:trPr>
          <w:trHeight w:val="201" w:hRule="atLeast"/>
        </w:trPr>
        <w:tc>
          <w:tcPr>
            <w:tcW w:w="3403" w:type="dxa"/>
          </w:tcPr>
          <w:p>
            <w:pPr>
              <w:pStyle w:val="TableParagraph"/>
              <w:spacing w:before="24"/>
              <w:ind w:left="100"/>
              <w:rPr>
                <w:rFonts w:ascii="Times New Roman"/>
                <w:sz w:val="13"/>
              </w:rPr>
            </w:pPr>
            <w:r>
              <w:rPr>
                <w:rFonts w:ascii="Times New Roman"/>
                <w:w w:val="105"/>
                <w:sz w:val="13"/>
              </w:rPr>
              <w:t>8. Other Outgo - Transfers of Indirect Costs</w:t>
            </w:r>
          </w:p>
        </w:tc>
        <w:tc>
          <w:tcPr>
            <w:tcW w:w="1448" w:type="dxa"/>
          </w:tcPr>
          <w:p>
            <w:pPr>
              <w:pStyle w:val="TableParagraph"/>
              <w:spacing w:before="24"/>
              <w:ind w:left="518" w:right="297"/>
              <w:jc w:val="center"/>
              <w:rPr>
                <w:rFonts w:ascii="Times New Roman"/>
                <w:sz w:val="13"/>
              </w:rPr>
            </w:pPr>
            <w:r>
              <w:rPr>
                <w:rFonts w:ascii="Times New Roman"/>
                <w:w w:val="105"/>
                <w:sz w:val="13"/>
              </w:rPr>
              <w:t>7300-7399</w:t>
            </w:r>
          </w:p>
        </w:tc>
        <w:tc>
          <w:tcPr>
            <w:tcW w:w="1148" w:type="dxa"/>
          </w:tcPr>
          <w:p>
            <w:pPr>
              <w:pStyle w:val="TableParagraph"/>
              <w:spacing w:before="24"/>
              <w:ind w:right="76"/>
              <w:jc w:val="right"/>
              <w:rPr>
                <w:rFonts w:ascii="Times New Roman"/>
                <w:sz w:val="13"/>
              </w:rPr>
            </w:pPr>
            <w:r>
              <w:rPr>
                <w:rFonts w:ascii="Times New Roman"/>
                <w:sz w:val="13"/>
              </w:rPr>
              <w:t>0.00</w:t>
            </w:r>
          </w:p>
        </w:tc>
        <w:tc>
          <w:tcPr>
            <w:tcW w:w="1117" w:type="dxa"/>
          </w:tcPr>
          <w:p>
            <w:pPr>
              <w:pStyle w:val="TableParagraph"/>
              <w:spacing w:before="24"/>
              <w:ind w:right="33"/>
              <w:jc w:val="right"/>
              <w:rPr>
                <w:rFonts w:ascii="Times New Roman"/>
                <w:sz w:val="13"/>
              </w:rPr>
            </w:pPr>
            <w:r>
              <w:rPr>
                <w:rFonts w:ascii="Times New Roman"/>
                <w:sz w:val="13"/>
              </w:rPr>
              <w:t>0.00%</w:t>
            </w:r>
          </w:p>
        </w:tc>
        <w:tc>
          <w:tcPr>
            <w:tcW w:w="1117" w:type="dxa"/>
          </w:tcPr>
          <w:p>
            <w:pPr>
              <w:pStyle w:val="TableParagraph"/>
              <w:spacing w:before="24"/>
              <w:ind w:right="78"/>
              <w:jc w:val="right"/>
              <w:rPr>
                <w:rFonts w:ascii="Times New Roman"/>
                <w:sz w:val="13"/>
              </w:rPr>
            </w:pPr>
            <w:r>
              <w:rPr>
                <w:rFonts w:ascii="Times New Roman"/>
                <w:sz w:val="13"/>
              </w:rPr>
              <w:t>0.00</w:t>
            </w:r>
          </w:p>
        </w:tc>
        <w:tc>
          <w:tcPr>
            <w:tcW w:w="1117" w:type="dxa"/>
          </w:tcPr>
          <w:p>
            <w:pPr>
              <w:pStyle w:val="TableParagraph"/>
              <w:spacing w:before="24"/>
              <w:ind w:right="35"/>
              <w:jc w:val="right"/>
              <w:rPr>
                <w:rFonts w:ascii="Times New Roman"/>
                <w:sz w:val="13"/>
              </w:rPr>
            </w:pPr>
            <w:r>
              <w:rPr>
                <w:rFonts w:ascii="Times New Roman"/>
                <w:sz w:val="13"/>
              </w:rPr>
              <w:t>0.00%</w:t>
            </w:r>
          </w:p>
        </w:tc>
        <w:tc>
          <w:tcPr>
            <w:tcW w:w="1117" w:type="dxa"/>
          </w:tcPr>
          <w:p>
            <w:pPr>
              <w:pStyle w:val="TableParagraph"/>
              <w:spacing w:before="24"/>
              <w:ind w:right="80"/>
              <w:jc w:val="right"/>
              <w:rPr>
                <w:rFonts w:ascii="Times New Roman"/>
                <w:sz w:val="13"/>
              </w:rPr>
            </w:pPr>
            <w:r>
              <w:rPr>
                <w:rFonts w:ascii="Times New Roman"/>
                <w:sz w:val="13"/>
              </w:rPr>
              <w:t>0.00</w:t>
            </w:r>
          </w:p>
        </w:tc>
      </w:tr>
      <w:tr>
        <w:trPr>
          <w:trHeight w:val="186" w:hRule="atLeast"/>
        </w:trPr>
        <w:tc>
          <w:tcPr>
            <w:tcW w:w="3403" w:type="dxa"/>
          </w:tcPr>
          <w:p>
            <w:pPr>
              <w:pStyle w:val="TableParagraph"/>
              <w:spacing w:line="141" w:lineRule="exact" w:before="24"/>
              <w:ind w:left="100"/>
              <w:rPr>
                <w:rFonts w:ascii="Times New Roman"/>
                <w:sz w:val="13"/>
              </w:rPr>
            </w:pPr>
            <w:r>
              <w:rPr>
                <w:rFonts w:ascii="Times New Roman"/>
                <w:w w:val="105"/>
                <w:sz w:val="13"/>
              </w:rPr>
              <w:t>9. Other Financing Uses</w:t>
            </w:r>
          </w:p>
        </w:tc>
        <w:tc>
          <w:tcPr>
            <w:tcW w:w="1448" w:type="dxa"/>
          </w:tcPr>
          <w:p>
            <w:pPr>
              <w:pStyle w:val="TableParagraph"/>
              <w:rPr>
                <w:rFonts w:ascii="Times New Roman"/>
                <w:sz w:val="12"/>
              </w:rPr>
            </w:pPr>
          </w:p>
        </w:tc>
        <w:tc>
          <w:tcPr>
            <w:tcW w:w="1148" w:type="dxa"/>
          </w:tcPr>
          <w:p>
            <w:pPr>
              <w:pStyle w:val="TableParagraph"/>
              <w:rPr>
                <w:rFonts w:ascii="Times New Roman"/>
                <w:sz w:val="12"/>
              </w:rPr>
            </w:pPr>
          </w:p>
        </w:tc>
        <w:tc>
          <w:tcPr>
            <w:tcW w:w="1117" w:type="dxa"/>
          </w:tcPr>
          <w:p>
            <w:pPr>
              <w:pStyle w:val="TableParagraph"/>
              <w:rPr>
                <w:rFonts w:ascii="Times New Roman"/>
                <w:sz w:val="12"/>
              </w:rPr>
            </w:pPr>
          </w:p>
        </w:tc>
        <w:tc>
          <w:tcPr>
            <w:tcW w:w="1117" w:type="dxa"/>
          </w:tcPr>
          <w:p>
            <w:pPr>
              <w:pStyle w:val="TableParagraph"/>
              <w:rPr>
                <w:rFonts w:ascii="Times New Roman"/>
                <w:sz w:val="12"/>
              </w:rPr>
            </w:pPr>
          </w:p>
        </w:tc>
        <w:tc>
          <w:tcPr>
            <w:tcW w:w="1117" w:type="dxa"/>
          </w:tcPr>
          <w:p>
            <w:pPr>
              <w:pStyle w:val="TableParagraph"/>
              <w:rPr>
                <w:rFonts w:ascii="Times New Roman"/>
                <w:sz w:val="12"/>
              </w:rPr>
            </w:pPr>
          </w:p>
        </w:tc>
        <w:tc>
          <w:tcPr>
            <w:tcW w:w="1117" w:type="dxa"/>
          </w:tcPr>
          <w:p>
            <w:pPr>
              <w:pStyle w:val="TableParagraph"/>
              <w:rPr>
                <w:rFonts w:ascii="Times New Roman"/>
                <w:sz w:val="12"/>
              </w:rPr>
            </w:pPr>
          </w:p>
        </w:tc>
      </w:tr>
      <w:tr>
        <w:trPr>
          <w:trHeight w:val="170" w:hRule="atLeast"/>
        </w:trPr>
        <w:tc>
          <w:tcPr>
            <w:tcW w:w="3403" w:type="dxa"/>
          </w:tcPr>
          <w:p>
            <w:pPr>
              <w:pStyle w:val="TableParagraph"/>
              <w:spacing w:line="141" w:lineRule="exact" w:before="9"/>
              <w:ind w:left="201"/>
              <w:rPr>
                <w:rFonts w:ascii="Times New Roman"/>
                <w:sz w:val="13"/>
              </w:rPr>
            </w:pPr>
            <w:r>
              <w:rPr>
                <w:rFonts w:ascii="Times New Roman"/>
                <w:w w:val="105"/>
                <w:sz w:val="13"/>
              </w:rPr>
              <w:t>a. Transfers Out</w:t>
            </w:r>
          </w:p>
        </w:tc>
        <w:tc>
          <w:tcPr>
            <w:tcW w:w="1448" w:type="dxa"/>
          </w:tcPr>
          <w:p>
            <w:pPr>
              <w:pStyle w:val="TableParagraph"/>
              <w:spacing w:line="141" w:lineRule="exact" w:before="9"/>
              <w:ind w:left="518" w:right="297"/>
              <w:jc w:val="center"/>
              <w:rPr>
                <w:rFonts w:ascii="Times New Roman"/>
                <w:sz w:val="13"/>
              </w:rPr>
            </w:pPr>
            <w:r>
              <w:rPr>
                <w:rFonts w:ascii="Times New Roman"/>
                <w:w w:val="105"/>
                <w:sz w:val="13"/>
              </w:rPr>
              <w:t>7600-7629</w:t>
            </w:r>
          </w:p>
        </w:tc>
        <w:tc>
          <w:tcPr>
            <w:tcW w:w="1148" w:type="dxa"/>
          </w:tcPr>
          <w:p>
            <w:pPr>
              <w:pStyle w:val="TableParagraph"/>
              <w:spacing w:line="141" w:lineRule="exact" w:before="9"/>
              <w:ind w:right="76"/>
              <w:jc w:val="right"/>
              <w:rPr>
                <w:rFonts w:ascii="Times New Roman"/>
                <w:sz w:val="13"/>
              </w:rPr>
            </w:pPr>
            <w:r>
              <w:rPr>
                <w:rFonts w:ascii="Times New Roman"/>
                <w:sz w:val="13"/>
              </w:rPr>
              <w:t>0.00</w:t>
            </w:r>
          </w:p>
        </w:tc>
        <w:tc>
          <w:tcPr>
            <w:tcW w:w="1117" w:type="dxa"/>
          </w:tcPr>
          <w:p>
            <w:pPr>
              <w:pStyle w:val="TableParagraph"/>
              <w:spacing w:line="141" w:lineRule="exact" w:before="9"/>
              <w:ind w:right="33"/>
              <w:jc w:val="right"/>
              <w:rPr>
                <w:rFonts w:ascii="Times New Roman"/>
                <w:sz w:val="13"/>
              </w:rPr>
            </w:pPr>
            <w:r>
              <w:rPr>
                <w:rFonts w:ascii="Times New Roman"/>
                <w:sz w:val="13"/>
              </w:rPr>
              <w:t>0.00%</w:t>
            </w:r>
          </w:p>
        </w:tc>
        <w:tc>
          <w:tcPr>
            <w:tcW w:w="1117" w:type="dxa"/>
          </w:tcPr>
          <w:p>
            <w:pPr>
              <w:pStyle w:val="TableParagraph"/>
              <w:spacing w:line="141" w:lineRule="exact" w:before="9"/>
              <w:ind w:right="78"/>
              <w:jc w:val="right"/>
              <w:rPr>
                <w:rFonts w:ascii="Times New Roman"/>
                <w:sz w:val="13"/>
              </w:rPr>
            </w:pPr>
            <w:r>
              <w:rPr>
                <w:rFonts w:ascii="Times New Roman"/>
                <w:sz w:val="13"/>
              </w:rPr>
              <w:t>0.00</w:t>
            </w:r>
          </w:p>
        </w:tc>
        <w:tc>
          <w:tcPr>
            <w:tcW w:w="1117" w:type="dxa"/>
          </w:tcPr>
          <w:p>
            <w:pPr>
              <w:pStyle w:val="TableParagraph"/>
              <w:spacing w:line="141" w:lineRule="exact" w:before="9"/>
              <w:ind w:right="35"/>
              <w:jc w:val="right"/>
              <w:rPr>
                <w:rFonts w:ascii="Times New Roman"/>
                <w:sz w:val="13"/>
              </w:rPr>
            </w:pPr>
            <w:r>
              <w:rPr>
                <w:rFonts w:ascii="Times New Roman"/>
                <w:sz w:val="13"/>
              </w:rPr>
              <w:t>0.00%</w:t>
            </w:r>
          </w:p>
        </w:tc>
        <w:tc>
          <w:tcPr>
            <w:tcW w:w="1117" w:type="dxa"/>
          </w:tcPr>
          <w:p>
            <w:pPr>
              <w:pStyle w:val="TableParagraph"/>
              <w:spacing w:line="141" w:lineRule="exact" w:before="9"/>
              <w:ind w:right="80"/>
              <w:jc w:val="right"/>
              <w:rPr>
                <w:rFonts w:ascii="Times New Roman"/>
                <w:sz w:val="13"/>
              </w:rPr>
            </w:pPr>
            <w:r>
              <w:rPr>
                <w:rFonts w:ascii="Times New Roman"/>
                <w:sz w:val="13"/>
              </w:rPr>
              <w:t>0.00</w:t>
            </w:r>
          </w:p>
        </w:tc>
      </w:tr>
      <w:tr>
        <w:trPr>
          <w:trHeight w:val="166" w:hRule="atLeast"/>
        </w:trPr>
        <w:tc>
          <w:tcPr>
            <w:tcW w:w="3403" w:type="dxa"/>
          </w:tcPr>
          <w:p>
            <w:pPr>
              <w:pStyle w:val="TableParagraph"/>
              <w:spacing w:line="137" w:lineRule="exact" w:before="9"/>
              <w:ind w:left="201"/>
              <w:rPr>
                <w:rFonts w:ascii="Times New Roman"/>
                <w:sz w:val="13"/>
              </w:rPr>
            </w:pPr>
            <w:r>
              <w:rPr>
                <w:rFonts w:ascii="Times New Roman"/>
                <w:w w:val="105"/>
                <w:sz w:val="13"/>
              </w:rPr>
              <w:t>b. Other Uses</w:t>
            </w:r>
          </w:p>
        </w:tc>
        <w:tc>
          <w:tcPr>
            <w:tcW w:w="1448" w:type="dxa"/>
          </w:tcPr>
          <w:p>
            <w:pPr>
              <w:pStyle w:val="TableParagraph"/>
              <w:spacing w:line="137" w:lineRule="exact" w:before="9"/>
              <w:ind w:left="518" w:right="297"/>
              <w:jc w:val="center"/>
              <w:rPr>
                <w:rFonts w:ascii="Times New Roman"/>
                <w:sz w:val="13"/>
              </w:rPr>
            </w:pPr>
            <w:r>
              <w:rPr>
                <w:rFonts w:ascii="Times New Roman"/>
                <w:w w:val="105"/>
                <w:sz w:val="13"/>
              </w:rPr>
              <w:t>7630-7699</w:t>
            </w:r>
          </w:p>
        </w:tc>
        <w:tc>
          <w:tcPr>
            <w:tcW w:w="1148" w:type="dxa"/>
          </w:tcPr>
          <w:p>
            <w:pPr>
              <w:pStyle w:val="TableParagraph"/>
              <w:spacing w:line="137" w:lineRule="exact" w:before="9"/>
              <w:ind w:right="76"/>
              <w:jc w:val="right"/>
              <w:rPr>
                <w:rFonts w:ascii="Times New Roman"/>
                <w:sz w:val="13"/>
              </w:rPr>
            </w:pPr>
            <w:r>
              <w:rPr>
                <w:rFonts w:ascii="Times New Roman"/>
                <w:sz w:val="13"/>
              </w:rPr>
              <w:t>0.00</w:t>
            </w:r>
          </w:p>
        </w:tc>
        <w:tc>
          <w:tcPr>
            <w:tcW w:w="1117" w:type="dxa"/>
          </w:tcPr>
          <w:p>
            <w:pPr>
              <w:pStyle w:val="TableParagraph"/>
              <w:spacing w:line="137" w:lineRule="exact" w:before="9"/>
              <w:ind w:right="33"/>
              <w:jc w:val="right"/>
              <w:rPr>
                <w:rFonts w:ascii="Times New Roman"/>
                <w:sz w:val="13"/>
              </w:rPr>
            </w:pPr>
            <w:r>
              <w:rPr>
                <w:rFonts w:ascii="Times New Roman"/>
                <w:sz w:val="13"/>
              </w:rPr>
              <w:t>0.00%</w:t>
            </w:r>
          </w:p>
        </w:tc>
        <w:tc>
          <w:tcPr>
            <w:tcW w:w="1117" w:type="dxa"/>
          </w:tcPr>
          <w:p>
            <w:pPr>
              <w:pStyle w:val="TableParagraph"/>
              <w:spacing w:line="137" w:lineRule="exact" w:before="9"/>
              <w:ind w:right="78"/>
              <w:jc w:val="right"/>
              <w:rPr>
                <w:rFonts w:ascii="Times New Roman"/>
                <w:sz w:val="13"/>
              </w:rPr>
            </w:pPr>
            <w:r>
              <w:rPr>
                <w:rFonts w:ascii="Times New Roman"/>
                <w:sz w:val="13"/>
              </w:rPr>
              <w:t>0.00</w:t>
            </w:r>
          </w:p>
        </w:tc>
        <w:tc>
          <w:tcPr>
            <w:tcW w:w="1117" w:type="dxa"/>
          </w:tcPr>
          <w:p>
            <w:pPr>
              <w:pStyle w:val="TableParagraph"/>
              <w:spacing w:line="137" w:lineRule="exact" w:before="9"/>
              <w:ind w:right="35"/>
              <w:jc w:val="right"/>
              <w:rPr>
                <w:rFonts w:ascii="Times New Roman"/>
                <w:sz w:val="13"/>
              </w:rPr>
            </w:pPr>
            <w:r>
              <w:rPr>
                <w:rFonts w:ascii="Times New Roman"/>
                <w:sz w:val="13"/>
              </w:rPr>
              <w:t>0.00%</w:t>
            </w:r>
          </w:p>
        </w:tc>
        <w:tc>
          <w:tcPr>
            <w:tcW w:w="1117" w:type="dxa"/>
          </w:tcPr>
          <w:p>
            <w:pPr>
              <w:pStyle w:val="TableParagraph"/>
              <w:spacing w:line="137" w:lineRule="exact" w:before="9"/>
              <w:ind w:right="80"/>
              <w:jc w:val="right"/>
              <w:rPr>
                <w:rFonts w:ascii="Times New Roman"/>
                <w:sz w:val="13"/>
              </w:rPr>
            </w:pPr>
            <w:r>
              <w:rPr>
                <w:rFonts w:ascii="Times New Roman"/>
                <w:sz w:val="13"/>
              </w:rPr>
              <w:t>0.00</w:t>
            </w:r>
          </w:p>
        </w:tc>
      </w:tr>
      <w:tr>
        <w:trPr>
          <w:trHeight w:val="201" w:hRule="atLeast"/>
        </w:trPr>
        <w:tc>
          <w:tcPr>
            <w:tcW w:w="3403" w:type="dxa"/>
          </w:tcPr>
          <w:p>
            <w:pPr>
              <w:pStyle w:val="TableParagraph"/>
              <w:spacing w:line="137" w:lineRule="exact" w:before="44"/>
              <w:ind w:left="33"/>
              <w:rPr>
                <w:rFonts w:ascii="Times New Roman"/>
                <w:sz w:val="13"/>
              </w:rPr>
            </w:pPr>
            <w:r>
              <w:rPr>
                <w:rFonts w:ascii="Times New Roman"/>
                <w:w w:val="105"/>
                <w:sz w:val="13"/>
              </w:rPr>
              <w:t>10. Other Adjustments (Explain in Section F below)</w:t>
            </w:r>
          </w:p>
        </w:tc>
        <w:tc>
          <w:tcPr>
            <w:tcW w:w="1448" w:type="dxa"/>
          </w:tcPr>
          <w:p>
            <w:pPr>
              <w:pStyle w:val="TableParagraph"/>
              <w:rPr>
                <w:rFonts w:ascii="Times New Roman"/>
                <w:sz w:val="12"/>
              </w:rPr>
            </w:pPr>
          </w:p>
        </w:tc>
        <w:tc>
          <w:tcPr>
            <w:tcW w:w="1148" w:type="dxa"/>
          </w:tcPr>
          <w:p>
            <w:pPr>
              <w:pStyle w:val="TableParagraph"/>
              <w:rPr>
                <w:rFonts w:ascii="Times New Roman"/>
                <w:sz w:val="12"/>
              </w:rPr>
            </w:pPr>
          </w:p>
        </w:tc>
        <w:tc>
          <w:tcPr>
            <w:tcW w:w="1117" w:type="dxa"/>
            <w:shd w:val="clear" w:color="auto" w:fill="BFBFBF"/>
          </w:tcPr>
          <w:p>
            <w:pPr>
              <w:pStyle w:val="TableParagraph"/>
              <w:rPr>
                <w:rFonts w:ascii="Times New Roman"/>
                <w:sz w:val="12"/>
              </w:rPr>
            </w:pPr>
          </w:p>
        </w:tc>
        <w:tc>
          <w:tcPr>
            <w:tcW w:w="1117" w:type="dxa"/>
          </w:tcPr>
          <w:p>
            <w:pPr>
              <w:pStyle w:val="TableParagraph"/>
              <w:spacing w:line="137" w:lineRule="exact" w:before="44"/>
              <w:ind w:right="78"/>
              <w:jc w:val="right"/>
              <w:rPr>
                <w:rFonts w:ascii="Times New Roman"/>
                <w:sz w:val="13"/>
              </w:rPr>
            </w:pPr>
            <w:r>
              <w:rPr>
                <w:rFonts w:ascii="Times New Roman"/>
                <w:sz w:val="13"/>
              </w:rPr>
              <w:t>0.00</w:t>
            </w:r>
          </w:p>
        </w:tc>
        <w:tc>
          <w:tcPr>
            <w:tcW w:w="1117" w:type="dxa"/>
            <w:shd w:val="clear" w:color="auto" w:fill="BFBFBF"/>
          </w:tcPr>
          <w:p>
            <w:pPr>
              <w:pStyle w:val="TableParagraph"/>
              <w:rPr>
                <w:rFonts w:ascii="Times New Roman"/>
                <w:sz w:val="12"/>
              </w:rPr>
            </w:pPr>
          </w:p>
        </w:tc>
        <w:tc>
          <w:tcPr>
            <w:tcW w:w="1117" w:type="dxa"/>
          </w:tcPr>
          <w:p>
            <w:pPr>
              <w:pStyle w:val="TableParagraph"/>
              <w:spacing w:line="137" w:lineRule="exact" w:before="44"/>
              <w:ind w:right="80"/>
              <w:jc w:val="right"/>
              <w:rPr>
                <w:rFonts w:ascii="Times New Roman"/>
                <w:sz w:val="13"/>
              </w:rPr>
            </w:pPr>
            <w:r>
              <w:rPr>
                <w:rFonts w:ascii="Times New Roman"/>
                <w:sz w:val="13"/>
              </w:rPr>
              <w:t>0.00</w:t>
            </w:r>
          </w:p>
        </w:tc>
      </w:tr>
      <w:tr>
        <w:trPr>
          <w:trHeight w:val="201" w:hRule="atLeast"/>
        </w:trPr>
        <w:tc>
          <w:tcPr>
            <w:tcW w:w="3403" w:type="dxa"/>
          </w:tcPr>
          <w:p>
            <w:pPr>
              <w:pStyle w:val="TableParagraph"/>
              <w:spacing w:line="137" w:lineRule="exact" w:before="44"/>
              <w:ind w:left="33"/>
              <w:rPr>
                <w:rFonts w:ascii="Times New Roman"/>
                <w:sz w:val="13"/>
              </w:rPr>
            </w:pPr>
            <w:r>
              <w:rPr>
                <w:rFonts w:ascii="Times New Roman"/>
                <w:w w:val="105"/>
                <w:sz w:val="13"/>
              </w:rPr>
              <w:t>11. Total (Sum lines B1 thru B10)</w:t>
            </w:r>
          </w:p>
        </w:tc>
        <w:tc>
          <w:tcPr>
            <w:tcW w:w="1448" w:type="dxa"/>
          </w:tcPr>
          <w:p>
            <w:pPr>
              <w:pStyle w:val="TableParagraph"/>
              <w:rPr>
                <w:rFonts w:ascii="Times New Roman"/>
                <w:sz w:val="12"/>
              </w:rPr>
            </w:pPr>
          </w:p>
        </w:tc>
        <w:tc>
          <w:tcPr>
            <w:tcW w:w="1148" w:type="dxa"/>
          </w:tcPr>
          <w:p>
            <w:pPr>
              <w:pStyle w:val="TableParagraph"/>
              <w:spacing w:line="137" w:lineRule="exact" w:before="44"/>
              <w:ind w:right="77"/>
              <w:jc w:val="right"/>
              <w:rPr>
                <w:rFonts w:ascii="Times New Roman"/>
                <w:sz w:val="13"/>
              </w:rPr>
            </w:pPr>
            <w:r>
              <w:rPr>
                <w:rFonts w:ascii="Times New Roman"/>
                <w:sz w:val="13"/>
              </w:rPr>
              <w:t>1,464,681.00</w:t>
            </w:r>
          </w:p>
        </w:tc>
        <w:tc>
          <w:tcPr>
            <w:tcW w:w="1117" w:type="dxa"/>
          </w:tcPr>
          <w:p>
            <w:pPr>
              <w:pStyle w:val="TableParagraph"/>
              <w:spacing w:line="137" w:lineRule="exact" w:before="44"/>
              <w:ind w:right="33"/>
              <w:jc w:val="right"/>
              <w:rPr>
                <w:rFonts w:ascii="Times New Roman"/>
                <w:sz w:val="13"/>
              </w:rPr>
            </w:pPr>
            <w:r>
              <w:rPr>
                <w:rFonts w:ascii="Times New Roman"/>
                <w:sz w:val="13"/>
              </w:rPr>
              <w:t>3.42%</w:t>
            </w:r>
          </w:p>
        </w:tc>
        <w:tc>
          <w:tcPr>
            <w:tcW w:w="1117" w:type="dxa"/>
          </w:tcPr>
          <w:p>
            <w:pPr>
              <w:pStyle w:val="TableParagraph"/>
              <w:spacing w:line="137" w:lineRule="exact" w:before="44"/>
              <w:ind w:left="331"/>
              <w:rPr>
                <w:rFonts w:ascii="Times New Roman"/>
                <w:sz w:val="13"/>
              </w:rPr>
            </w:pPr>
            <w:r>
              <w:rPr>
                <w:rFonts w:ascii="Times New Roman"/>
                <w:w w:val="105"/>
                <w:sz w:val="13"/>
              </w:rPr>
              <w:t>1,514,779.00</w:t>
            </w:r>
          </w:p>
        </w:tc>
        <w:tc>
          <w:tcPr>
            <w:tcW w:w="1117" w:type="dxa"/>
          </w:tcPr>
          <w:p>
            <w:pPr>
              <w:pStyle w:val="TableParagraph"/>
              <w:spacing w:line="137" w:lineRule="exact" w:before="44"/>
              <w:ind w:right="35"/>
              <w:jc w:val="right"/>
              <w:rPr>
                <w:rFonts w:ascii="Times New Roman"/>
                <w:sz w:val="13"/>
              </w:rPr>
            </w:pPr>
            <w:r>
              <w:rPr>
                <w:rFonts w:ascii="Times New Roman"/>
                <w:sz w:val="13"/>
              </w:rPr>
              <w:t>2.37%</w:t>
            </w:r>
          </w:p>
        </w:tc>
        <w:tc>
          <w:tcPr>
            <w:tcW w:w="1117" w:type="dxa"/>
          </w:tcPr>
          <w:p>
            <w:pPr>
              <w:pStyle w:val="TableParagraph"/>
              <w:spacing w:line="137" w:lineRule="exact" w:before="44"/>
              <w:ind w:right="81"/>
              <w:jc w:val="right"/>
              <w:rPr>
                <w:rFonts w:ascii="Times New Roman"/>
                <w:sz w:val="13"/>
              </w:rPr>
            </w:pPr>
            <w:r>
              <w:rPr>
                <w:rFonts w:ascii="Times New Roman"/>
                <w:sz w:val="13"/>
              </w:rPr>
              <w:t>1,550,720.00</w:t>
            </w:r>
          </w:p>
        </w:tc>
      </w:tr>
      <w:tr>
        <w:trPr>
          <w:trHeight w:val="221" w:hRule="atLeast"/>
        </w:trPr>
        <w:tc>
          <w:tcPr>
            <w:tcW w:w="3403" w:type="dxa"/>
          </w:tcPr>
          <w:p>
            <w:pPr>
              <w:pStyle w:val="TableParagraph"/>
              <w:spacing w:before="44"/>
              <w:ind w:left="33"/>
              <w:rPr>
                <w:rFonts w:ascii="Times New Roman"/>
                <w:sz w:val="13"/>
              </w:rPr>
            </w:pPr>
            <w:r>
              <w:rPr>
                <w:rFonts w:ascii="Times New Roman"/>
                <w:w w:val="105"/>
                <w:sz w:val="13"/>
              </w:rPr>
              <w:t>C. NET INCREASE (DECREASE) IN FUND BALANCE</w:t>
            </w:r>
          </w:p>
        </w:tc>
        <w:tc>
          <w:tcPr>
            <w:tcW w:w="1448" w:type="dxa"/>
          </w:tcPr>
          <w:p>
            <w:pPr>
              <w:pStyle w:val="TableParagraph"/>
              <w:rPr>
                <w:rFonts w:ascii="Times New Roman"/>
                <w:sz w:val="12"/>
              </w:rPr>
            </w:pPr>
          </w:p>
        </w:tc>
        <w:tc>
          <w:tcPr>
            <w:tcW w:w="1148" w:type="dxa"/>
          </w:tcPr>
          <w:p>
            <w:pPr>
              <w:pStyle w:val="TableParagraph"/>
              <w:rPr>
                <w:rFonts w:ascii="Times New Roman"/>
                <w:sz w:val="12"/>
              </w:rPr>
            </w:pPr>
          </w:p>
        </w:tc>
        <w:tc>
          <w:tcPr>
            <w:tcW w:w="1117" w:type="dxa"/>
            <w:shd w:val="clear" w:color="auto" w:fill="BFBFBF"/>
          </w:tcPr>
          <w:p>
            <w:pPr>
              <w:pStyle w:val="TableParagraph"/>
              <w:rPr>
                <w:rFonts w:ascii="Times New Roman"/>
                <w:sz w:val="12"/>
              </w:rPr>
            </w:pPr>
          </w:p>
        </w:tc>
        <w:tc>
          <w:tcPr>
            <w:tcW w:w="1117" w:type="dxa"/>
          </w:tcPr>
          <w:p>
            <w:pPr>
              <w:pStyle w:val="TableParagraph"/>
              <w:rPr>
                <w:rFonts w:ascii="Times New Roman"/>
                <w:sz w:val="12"/>
              </w:rPr>
            </w:pPr>
          </w:p>
        </w:tc>
        <w:tc>
          <w:tcPr>
            <w:tcW w:w="1117" w:type="dxa"/>
            <w:shd w:val="clear" w:color="auto" w:fill="BFBFBF"/>
          </w:tcPr>
          <w:p>
            <w:pPr>
              <w:pStyle w:val="TableParagraph"/>
              <w:rPr>
                <w:rFonts w:ascii="Times New Roman"/>
                <w:sz w:val="12"/>
              </w:rPr>
            </w:pPr>
          </w:p>
        </w:tc>
        <w:tc>
          <w:tcPr>
            <w:tcW w:w="1117" w:type="dxa"/>
          </w:tcPr>
          <w:p>
            <w:pPr>
              <w:pStyle w:val="TableParagraph"/>
              <w:rPr>
                <w:rFonts w:ascii="Times New Roman"/>
                <w:sz w:val="12"/>
              </w:rPr>
            </w:pPr>
          </w:p>
        </w:tc>
      </w:tr>
      <w:tr>
        <w:trPr>
          <w:trHeight w:val="221" w:hRule="atLeast"/>
        </w:trPr>
        <w:tc>
          <w:tcPr>
            <w:tcW w:w="3403" w:type="dxa"/>
          </w:tcPr>
          <w:p>
            <w:pPr>
              <w:pStyle w:val="TableParagraph"/>
              <w:spacing w:before="24"/>
              <w:ind w:left="67"/>
              <w:rPr>
                <w:rFonts w:ascii="Times New Roman"/>
                <w:sz w:val="13"/>
              </w:rPr>
            </w:pPr>
            <w:r>
              <w:rPr>
                <w:rFonts w:ascii="Times New Roman"/>
                <w:w w:val="105"/>
                <w:sz w:val="13"/>
              </w:rPr>
              <w:t>(Line A6 minus line B11)</w:t>
            </w:r>
          </w:p>
        </w:tc>
        <w:tc>
          <w:tcPr>
            <w:tcW w:w="1448" w:type="dxa"/>
          </w:tcPr>
          <w:p>
            <w:pPr>
              <w:pStyle w:val="TableParagraph"/>
              <w:rPr>
                <w:rFonts w:ascii="Times New Roman"/>
                <w:sz w:val="12"/>
              </w:rPr>
            </w:pPr>
          </w:p>
        </w:tc>
        <w:tc>
          <w:tcPr>
            <w:tcW w:w="1148" w:type="dxa"/>
          </w:tcPr>
          <w:p>
            <w:pPr>
              <w:pStyle w:val="TableParagraph"/>
              <w:spacing w:before="24"/>
              <w:ind w:right="77"/>
              <w:jc w:val="right"/>
              <w:rPr>
                <w:rFonts w:ascii="Times New Roman"/>
                <w:sz w:val="13"/>
              </w:rPr>
            </w:pPr>
            <w:r>
              <w:rPr>
                <w:rFonts w:ascii="Times New Roman"/>
                <w:sz w:val="13"/>
              </w:rPr>
              <w:t>41,448.00</w:t>
            </w:r>
          </w:p>
        </w:tc>
        <w:tc>
          <w:tcPr>
            <w:tcW w:w="1117" w:type="dxa"/>
            <w:shd w:val="clear" w:color="auto" w:fill="BFBFBF"/>
          </w:tcPr>
          <w:p>
            <w:pPr>
              <w:pStyle w:val="TableParagraph"/>
              <w:rPr>
                <w:rFonts w:ascii="Times New Roman"/>
                <w:sz w:val="12"/>
              </w:rPr>
            </w:pPr>
          </w:p>
        </w:tc>
        <w:tc>
          <w:tcPr>
            <w:tcW w:w="1117" w:type="dxa"/>
          </w:tcPr>
          <w:p>
            <w:pPr>
              <w:pStyle w:val="TableParagraph"/>
              <w:spacing w:before="24"/>
              <w:ind w:right="79"/>
              <w:jc w:val="right"/>
              <w:rPr>
                <w:rFonts w:ascii="Times New Roman"/>
                <w:sz w:val="13"/>
              </w:rPr>
            </w:pPr>
            <w:r>
              <w:rPr>
                <w:rFonts w:ascii="Times New Roman"/>
                <w:sz w:val="13"/>
              </w:rPr>
              <w:t>8,951.00</w:t>
            </w:r>
          </w:p>
        </w:tc>
        <w:tc>
          <w:tcPr>
            <w:tcW w:w="1117" w:type="dxa"/>
            <w:shd w:val="clear" w:color="auto" w:fill="BFBFBF"/>
          </w:tcPr>
          <w:p>
            <w:pPr>
              <w:pStyle w:val="TableParagraph"/>
              <w:rPr>
                <w:rFonts w:ascii="Times New Roman"/>
                <w:sz w:val="12"/>
              </w:rPr>
            </w:pPr>
          </w:p>
        </w:tc>
        <w:tc>
          <w:tcPr>
            <w:tcW w:w="1117" w:type="dxa"/>
          </w:tcPr>
          <w:p>
            <w:pPr>
              <w:pStyle w:val="TableParagraph"/>
              <w:spacing w:before="24"/>
              <w:ind w:right="81"/>
              <w:jc w:val="right"/>
              <w:rPr>
                <w:rFonts w:ascii="Times New Roman"/>
                <w:sz w:val="13"/>
              </w:rPr>
            </w:pPr>
            <w:r>
              <w:rPr>
                <w:rFonts w:ascii="Times New Roman"/>
                <w:sz w:val="13"/>
              </w:rPr>
              <w:t>6,944.00</w:t>
            </w:r>
          </w:p>
        </w:tc>
      </w:tr>
      <w:tr>
        <w:trPr>
          <w:trHeight w:val="221" w:hRule="atLeast"/>
        </w:trPr>
        <w:tc>
          <w:tcPr>
            <w:tcW w:w="3403" w:type="dxa"/>
          </w:tcPr>
          <w:p>
            <w:pPr>
              <w:pStyle w:val="TableParagraph"/>
              <w:spacing w:before="45"/>
              <w:ind w:left="33"/>
              <w:rPr>
                <w:rFonts w:ascii="Times New Roman"/>
                <w:sz w:val="13"/>
              </w:rPr>
            </w:pPr>
            <w:r>
              <w:rPr>
                <w:rFonts w:ascii="Times New Roman"/>
                <w:w w:val="105"/>
                <w:sz w:val="13"/>
              </w:rPr>
              <w:t>D. FUND BALANCE</w:t>
            </w:r>
          </w:p>
        </w:tc>
        <w:tc>
          <w:tcPr>
            <w:tcW w:w="1448" w:type="dxa"/>
          </w:tcPr>
          <w:p>
            <w:pPr>
              <w:pStyle w:val="TableParagraph"/>
              <w:rPr>
                <w:rFonts w:ascii="Times New Roman"/>
                <w:sz w:val="12"/>
              </w:rPr>
            </w:pPr>
          </w:p>
        </w:tc>
        <w:tc>
          <w:tcPr>
            <w:tcW w:w="1148" w:type="dxa"/>
          </w:tcPr>
          <w:p>
            <w:pPr>
              <w:pStyle w:val="TableParagraph"/>
              <w:rPr>
                <w:rFonts w:ascii="Times New Roman"/>
                <w:sz w:val="12"/>
              </w:rPr>
            </w:pPr>
          </w:p>
        </w:tc>
        <w:tc>
          <w:tcPr>
            <w:tcW w:w="1117" w:type="dxa"/>
            <w:shd w:val="clear" w:color="auto" w:fill="BFBFBF"/>
          </w:tcPr>
          <w:p>
            <w:pPr>
              <w:pStyle w:val="TableParagraph"/>
              <w:rPr>
                <w:rFonts w:ascii="Times New Roman"/>
                <w:sz w:val="12"/>
              </w:rPr>
            </w:pPr>
          </w:p>
        </w:tc>
        <w:tc>
          <w:tcPr>
            <w:tcW w:w="1117" w:type="dxa"/>
          </w:tcPr>
          <w:p>
            <w:pPr>
              <w:pStyle w:val="TableParagraph"/>
              <w:rPr>
                <w:rFonts w:ascii="Times New Roman"/>
                <w:sz w:val="12"/>
              </w:rPr>
            </w:pPr>
          </w:p>
        </w:tc>
        <w:tc>
          <w:tcPr>
            <w:tcW w:w="1117" w:type="dxa"/>
            <w:shd w:val="clear" w:color="auto" w:fill="BFBFBF"/>
          </w:tcPr>
          <w:p>
            <w:pPr>
              <w:pStyle w:val="TableParagraph"/>
              <w:rPr>
                <w:rFonts w:ascii="Times New Roman"/>
                <w:sz w:val="12"/>
              </w:rPr>
            </w:pPr>
          </w:p>
        </w:tc>
        <w:tc>
          <w:tcPr>
            <w:tcW w:w="1117" w:type="dxa"/>
          </w:tcPr>
          <w:p>
            <w:pPr>
              <w:pStyle w:val="TableParagraph"/>
              <w:rPr>
                <w:rFonts w:ascii="Times New Roman"/>
                <w:sz w:val="12"/>
              </w:rPr>
            </w:pPr>
          </w:p>
        </w:tc>
      </w:tr>
      <w:tr>
        <w:trPr>
          <w:trHeight w:val="201" w:hRule="atLeast"/>
        </w:trPr>
        <w:tc>
          <w:tcPr>
            <w:tcW w:w="3403" w:type="dxa"/>
          </w:tcPr>
          <w:p>
            <w:pPr>
              <w:pStyle w:val="TableParagraph"/>
              <w:spacing w:before="24"/>
              <w:ind w:left="100"/>
              <w:rPr>
                <w:rFonts w:ascii="Times New Roman"/>
                <w:sz w:val="13"/>
              </w:rPr>
            </w:pPr>
            <w:r>
              <w:rPr>
                <w:rFonts w:ascii="Times New Roman"/>
                <w:w w:val="105"/>
                <w:sz w:val="13"/>
              </w:rPr>
              <w:t>1. Net Beginning Fund Balance (Form 01, line F1e)</w:t>
            </w:r>
          </w:p>
        </w:tc>
        <w:tc>
          <w:tcPr>
            <w:tcW w:w="1448" w:type="dxa"/>
          </w:tcPr>
          <w:p>
            <w:pPr>
              <w:pStyle w:val="TableParagraph"/>
              <w:rPr>
                <w:rFonts w:ascii="Times New Roman"/>
                <w:sz w:val="12"/>
              </w:rPr>
            </w:pPr>
          </w:p>
        </w:tc>
        <w:tc>
          <w:tcPr>
            <w:tcW w:w="1148" w:type="dxa"/>
          </w:tcPr>
          <w:p>
            <w:pPr>
              <w:pStyle w:val="TableParagraph"/>
              <w:spacing w:before="24"/>
              <w:ind w:right="77"/>
              <w:jc w:val="right"/>
              <w:rPr>
                <w:rFonts w:ascii="Times New Roman"/>
                <w:sz w:val="13"/>
              </w:rPr>
            </w:pPr>
            <w:r>
              <w:rPr>
                <w:rFonts w:ascii="Times New Roman"/>
                <w:sz w:val="13"/>
              </w:rPr>
              <w:t>2,500,530.00</w:t>
            </w:r>
          </w:p>
        </w:tc>
        <w:tc>
          <w:tcPr>
            <w:tcW w:w="1117" w:type="dxa"/>
            <w:shd w:val="clear" w:color="auto" w:fill="BFBFBF"/>
          </w:tcPr>
          <w:p>
            <w:pPr>
              <w:pStyle w:val="TableParagraph"/>
              <w:rPr>
                <w:rFonts w:ascii="Times New Roman"/>
                <w:sz w:val="12"/>
              </w:rPr>
            </w:pPr>
          </w:p>
        </w:tc>
        <w:tc>
          <w:tcPr>
            <w:tcW w:w="1117" w:type="dxa"/>
          </w:tcPr>
          <w:p>
            <w:pPr>
              <w:pStyle w:val="TableParagraph"/>
              <w:spacing w:before="24"/>
              <w:ind w:left="331"/>
              <w:rPr>
                <w:rFonts w:ascii="Times New Roman"/>
                <w:sz w:val="13"/>
              </w:rPr>
            </w:pPr>
            <w:r>
              <w:rPr>
                <w:rFonts w:ascii="Times New Roman"/>
                <w:w w:val="105"/>
                <w:sz w:val="13"/>
              </w:rPr>
              <w:t>2,541,978.00</w:t>
            </w:r>
          </w:p>
        </w:tc>
        <w:tc>
          <w:tcPr>
            <w:tcW w:w="1117" w:type="dxa"/>
            <w:shd w:val="clear" w:color="auto" w:fill="BFBFBF"/>
          </w:tcPr>
          <w:p>
            <w:pPr>
              <w:pStyle w:val="TableParagraph"/>
              <w:rPr>
                <w:rFonts w:ascii="Times New Roman"/>
                <w:sz w:val="12"/>
              </w:rPr>
            </w:pPr>
          </w:p>
        </w:tc>
        <w:tc>
          <w:tcPr>
            <w:tcW w:w="1117" w:type="dxa"/>
          </w:tcPr>
          <w:p>
            <w:pPr>
              <w:pStyle w:val="TableParagraph"/>
              <w:spacing w:before="24"/>
              <w:ind w:right="81"/>
              <w:jc w:val="right"/>
              <w:rPr>
                <w:rFonts w:ascii="Times New Roman"/>
                <w:sz w:val="13"/>
              </w:rPr>
            </w:pPr>
            <w:r>
              <w:rPr>
                <w:rFonts w:ascii="Times New Roman"/>
                <w:sz w:val="13"/>
              </w:rPr>
              <w:t>2,550,929.00</w:t>
            </w:r>
          </w:p>
        </w:tc>
      </w:tr>
      <w:tr>
        <w:trPr>
          <w:trHeight w:val="222" w:hRule="atLeast"/>
        </w:trPr>
        <w:tc>
          <w:tcPr>
            <w:tcW w:w="3403" w:type="dxa"/>
          </w:tcPr>
          <w:p>
            <w:pPr>
              <w:pStyle w:val="TableParagraph"/>
              <w:spacing w:before="24"/>
              <w:ind w:left="100"/>
              <w:rPr>
                <w:rFonts w:ascii="Times New Roman"/>
                <w:sz w:val="13"/>
              </w:rPr>
            </w:pPr>
            <w:r>
              <w:rPr>
                <w:rFonts w:ascii="Times New Roman"/>
                <w:w w:val="105"/>
                <w:sz w:val="13"/>
              </w:rPr>
              <w:t>2. Ending Fund Balance (Sum lines C and D1)</w:t>
            </w:r>
          </w:p>
        </w:tc>
        <w:tc>
          <w:tcPr>
            <w:tcW w:w="1448" w:type="dxa"/>
          </w:tcPr>
          <w:p>
            <w:pPr>
              <w:pStyle w:val="TableParagraph"/>
              <w:rPr>
                <w:rFonts w:ascii="Times New Roman"/>
                <w:sz w:val="12"/>
              </w:rPr>
            </w:pPr>
          </w:p>
        </w:tc>
        <w:tc>
          <w:tcPr>
            <w:tcW w:w="1148" w:type="dxa"/>
          </w:tcPr>
          <w:p>
            <w:pPr>
              <w:pStyle w:val="TableParagraph"/>
              <w:spacing w:before="24"/>
              <w:ind w:right="77"/>
              <w:jc w:val="right"/>
              <w:rPr>
                <w:rFonts w:ascii="Times New Roman"/>
                <w:sz w:val="13"/>
              </w:rPr>
            </w:pPr>
            <w:r>
              <w:rPr>
                <w:rFonts w:ascii="Times New Roman"/>
                <w:sz w:val="13"/>
              </w:rPr>
              <w:t>2,541,978.00</w:t>
            </w:r>
          </w:p>
        </w:tc>
        <w:tc>
          <w:tcPr>
            <w:tcW w:w="1117" w:type="dxa"/>
            <w:shd w:val="clear" w:color="auto" w:fill="BFBFBF"/>
          </w:tcPr>
          <w:p>
            <w:pPr>
              <w:pStyle w:val="TableParagraph"/>
              <w:rPr>
                <w:rFonts w:ascii="Times New Roman"/>
                <w:sz w:val="12"/>
              </w:rPr>
            </w:pPr>
          </w:p>
        </w:tc>
        <w:tc>
          <w:tcPr>
            <w:tcW w:w="1117" w:type="dxa"/>
          </w:tcPr>
          <w:p>
            <w:pPr>
              <w:pStyle w:val="TableParagraph"/>
              <w:spacing w:before="24"/>
              <w:ind w:left="331"/>
              <w:rPr>
                <w:rFonts w:ascii="Times New Roman"/>
                <w:sz w:val="13"/>
              </w:rPr>
            </w:pPr>
            <w:r>
              <w:rPr>
                <w:rFonts w:ascii="Times New Roman"/>
                <w:w w:val="105"/>
                <w:sz w:val="13"/>
              </w:rPr>
              <w:t>2,550,929.00</w:t>
            </w:r>
          </w:p>
        </w:tc>
        <w:tc>
          <w:tcPr>
            <w:tcW w:w="1117" w:type="dxa"/>
            <w:shd w:val="clear" w:color="auto" w:fill="BFBFBF"/>
          </w:tcPr>
          <w:p>
            <w:pPr>
              <w:pStyle w:val="TableParagraph"/>
              <w:rPr>
                <w:rFonts w:ascii="Times New Roman"/>
                <w:sz w:val="12"/>
              </w:rPr>
            </w:pPr>
          </w:p>
        </w:tc>
        <w:tc>
          <w:tcPr>
            <w:tcW w:w="1117" w:type="dxa"/>
          </w:tcPr>
          <w:p>
            <w:pPr>
              <w:pStyle w:val="TableParagraph"/>
              <w:spacing w:before="24"/>
              <w:ind w:right="81"/>
              <w:jc w:val="right"/>
              <w:rPr>
                <w:rFonts w:ascii="Times New Roman"/>
                <w:sz w:val="13"/>
              </w:rPr>
            </w:pPr>
            <w:r>
              <w:rPr>
                <w:rFonts w:ascii="Times New Roman"/>
                <w:sz w:val="13"/>
              </w:rPr>
              <w:t>2,557,873.00</w:t>
            </w:r>
          </w:p>
        </w:tc>
      </w:tr>
      <w:tr>
        <w:trPr>
          <w:trHeight w:val="222" w:hRule="atLeast"/>
        </w:trPr>
        <w:tc>
          <w:tcPr>
            <w:tcW w:w="3403" w:type="dxa"/>
          </w:tcPr>
          <w:p>
            <w:pPr>
              <w:pStyle w:val="TableParagraph"/>
              <w:spacing w:before="45"/>
              <w:ind w:left="100"/>
              <w:rPr>
                <w:rFonts w:ascii="Times New Roman"/>
                <w:sz w:val="13"/>
              </w:rPr>
            </w:pPr>
            <w:r>
              <w:rPr>
                <w:rFonts w:ascii="Times New Roman"/>
                <w:w w:val="105"/>
                <w:sz w:val="13"/>
              </w:rPr>
              <w:t>3. Components of Ending Fund Balance</w:t>
            </w:r>
          </w:p>
        </w:tc>
        <w:tc>
          <w:tcPr>
            <w:tcW w:w="1448" w:type="dxa"/>
          </w:tcPr>
          <w:p>
            <w:pPr>
              <w:pStyle w:val="TableParagraph"/>
              <w:rPr>
                <w:rFonts w:ascii="Times New Roman"/>
                <w:sz w:val="12"/>
              </w:rPr>
            </w:pPr>
          </w:p>
        </w:tc>
        <w:tc>
          <w:tcPr>
            <w:tcW w:w="1148" w:type="dxa"/>
          </w:tcPr>
          <w:p>
            <w:pPr>
              <w:pStyle w:val="TableParagraph"/>
              <w:rPr>
                <w:rFonts w:ascii="Times New Roman"/>
                <w:sz w:val="12"/>
              </w:rPr>
            </w:pPr>
          </w:p>
        </w:tc>
        <w:tc>
          <w:tcPr>
            <w:tcW w:w="1117" w:type="dxa"/>
            <w:shd w:val="clear" w:color="auto" w:fill="BFBFBF"/>
          </w:tcPr>
          <w:p>
            <w:pPr>
              <w:pStyle w:val="TableParagraph"/>
              <w:rPr>
                <w:rFonts w:ascii="Times New Roman"/>
                <w:sz w:val="12"/>
              </w:rPr>
            </w:pPr>
          </w:p>
        </w:tc>
        <w:tc>
          <w:tcPr>
            <w:tcW w:w="1117" w:type="dxa"/>
          </w:tcPr>
          <w:p>
            <w:pPr>
              <w:pStyle w:val="TableParagraph"/>
              <w:rPr>
                <w:rFonts w:ascii="Times New Roman"/>
                <w:sz w:val="12"/>
              </w:rPr>
            </w:pPr>
          </w:p>
        </w:tc>
        <w:tc>
          <w:tcPr>
            <w:tcW w:w="1117" w:type="dxa"/>
            <w:shd w:val="clear" w:color="auto" w:fill="BFBFBF"/>
          </w:tcPr>
          <w:p>
            <w:pPr>
              <w:pStyle w:val="TableParagraph"/>
              <w:rPr>
                <w:rFonts w:ascii="Times New Roman"/>
                <w:sz w:val="12"/>
              </w:rPr>
            </w:pPr>
          </w:p>
        </w:tc>
        <w:tc>
          <w:tcPr>
            <w:tcW w:w="1117" w:type="dxa"/>
          </w:tcPr>
          <w:p>
            <w:pPr>
              <w:pStyle w:val="TableParagraph"/>
              <w:rPr>
                <w:rFonts w:ascii="Times New Roman"/>
                <w:sz w:val="12"/>
              </w:rPr>
            </w:pPr>
          </w:p>
        </w:tc>
      </w:tr>
      <w:tr>
        <w:trPr>
          <w:trHeight w:val="201" w:hRule="atLeast"/>
        </w:trPr>
        <w:tc>
          <w:tcPr>
            <w:tcW w:w="3403" w:type="dxa"/>
          </w:tcPr>
          <w:p>
            <w:pPr>
              <w:pStyle w:val="TableParagraph"/>
              <w:spacing w:before="24"/>
              <w:ind w:left="234"/>
              <w:rPr>
                <w:rFonts w:ascii="Times New Roman"/>
                <w:sz w:val="13"/>
              </w:rPr>
            </w:pPr>
            <w:r>
              <w:rPr>
                <w:rFonts w:ascii="Times New Roman"/>
                <w:w w:val="105"/>
                <w:sz w:val="13"/>
              </w:rPr>
              <w:t>a. Nonspendable</w:t>
            </w:r>
          </w:p>
        </w:tc>
        <w:tc>
          <w:tcPr>
            <w:tcW w:w="1448" w:type="dxa"/>
          </w:tcPr>
          <w:p>
            <w:pPr>
              <w:pStyle w:val="TableParagraph"/>
              <w:spacing w:before="24"/>
              <w:ind w:left="518" w:right="297"/>
              <w:jc w:val="center"/>
              <w:rPr>
                <w:rFonts w:ascii="Times New Roman"/>
                <w:sz w:val="13"/>
              </w:rPr>
            </w:pPr>
            <w:r>
              <w:rPr>
                <w:rFonts w:ascii="Times New Roman"/>
                <w:w w:val="105"/>
                <w:sz w:val="13"/>
              </w:rPr>
              <w:t>9710-9719</w:t>
            </w:r>
          </w:p>
        </w:tc>
        <w:tc>
          <w:tcPr>
            <w:tcW w:w="1148" w:type="dxa"/>
          </w:tcPr>
          <w:p>
            <w:pPr>
              <w:pStyle w:val="TableParagraph"/>
              <w:spacing w:before="24"/>
              <w:ind w:right="76"/>
              <w:jc w:val="right"/>
              <w:rPr>
                <w:rFonts w:ascii="Times New Roman"/>
                <w:sz w:val="13"/>
              </w:rPr>
            </w:pPr>
            <w:r>
              <w:rPr>
                <w:rFonts w:ascii="Times New Roman"/>
                <w:sz w:val="13"/>
              </w:rPr>
              <w:t>0.00</w:t>
            </w:r>
          </w:p>
        </w:tc>
        <w:tc>
          <w:tcPr>
            <w:tcW w:w="1117" w:type="dxa"/>
            <w:shd w:val="clear" w:color="auto" w:fill="BFBFBF"/>
          </w:tcPr>
          <w:p>
            <w:pPr>
              <w:pStyle w:val="TableParagraph"/>
              <w:rPr>
                <w:rFonts w:ascii="Times New Roman"/>
                <w:sz w:val="12"/>
              </w:rPr>
            </w:pPr>
          </w:p>
        </w:tc>
        <w:tc>
          <w:tcPr>
            <w:tcW w:w="1117" w:type="dxa"/>
          </w:tcPr>
          <w:p>
            <w:pPr>
              <w:pStyle w:val="TableParagraph"/>
              <w:rPr>
                <w:rFonts w:ascii="Times New Roman"/>
                <w:sz w:val="12"/>
              </w:rPr>
            </w:pPr>
          </w:p>
        </w:tc>
        <w:tc>
          <w:tcPr>
            <w:tcW w:w="1117" w:type="dxa"/>
            <w:shd w:val="clear" w:color="auto" w:fill="BFBFBF"/>
          </w:tcPr>
          <w:p>
            <w:pPr>
              <w:pStyle w:val="TableParagraph"/>
              <w:rPr>
                <w:rFonts w:ascii="Times New Roman"/>
                <w:sz w:val="12"/>
              </w:rPr>
            </w:pPr>
          </w:p>
        </w:tc>
        <w:tc>
          <w:tcPr>
            <w:tcW w:w="1117" w:type="dxa"/>
          </w:tcPr>
          <w:p>
            <w:pPr>
              <w:pStyle w:val="TableParagraph"/>
              <w:rPr>
                <w:rFonts w:ascii="Times New Roman"/>
                <w:sz w:val="12"/>
              </w:rPr>
            </w:pPr>
          </w:p>
        </w:tc>
      </w:tr>
      <w:tr>
        <w:trPr>
          <w:trHeight w:val="201" w:hRule="atLeast"/>
        </w:trPr>
        <w:tc>
          <w:tcPr>
            <w:tcW w:w="3403" w:type="dxa"/>
          </w:tcPr>
          <w:p>
            <w:pPr>
              <w:pStyle w:val="TableParagraph"/>
              <w:spacing w:before="24"/>
              <w:ind w:left="234"/>
              <w:rPr>
                <w:rFonts w:ascii="Times New Roman"/>
                <w:sz w:val="13"/>
              </w:rPr>
            </w:pPr>
            <w:r>
              <w:rPr>
                <w:rFonts w:ascii="Times New Roman"/>
                <w:w w:val="105"/>
                <w:sz w:val="13"/>
              </w:rPr>
              <w:t>b. Restricted</w:t>
            </w:r>
          </w:p>
        </w:tc>
        <w:tc>
          <w:tcPr>
            <w:tcW w:w="1448" w:type="dxa"/>
          </w:tcPr>
          <w:p>
            <w:pPr>
              <w:pStyle w:val="TableParagraph"/>
              <w:spacing w:before="24"/>
              <w:ind w:left="518" w:right="296"/>
              <w:jc w:val="center"/>
              <w:rPr>
                <w:rFonts w:ascii="Times New Roman"/>
                <w:sz w:val="13"/>
              </w:rPr>
            </w:pPr>
            <w:r>
              <w:rPr>
                <w:rFonts w:ascii="Times New Roman"/>
                <w:w w:val="105"/>
                <w:sz w:val="13"/>
              </w:rPr>
              <w:t>9740</w:t>
            </w:r>
          </w:p>
        </w:tc>
        <w:tc>
          <w:tcPr>
            <w:tcW w:w="1148" w:type="dxa"/>
            <w:shd w:val="clear" w:color="auto" w:fill="BFBFBF"/>
          </w:tcPr>
          <w:p>
            <w:pPr>
              <w:pStyle w:val="TableParagraph"/>
              <w:rPr>
                <w:rFonts w:ascii="Times New Roman"/>
                <w:sz w:val="12"/>
              </w:rPr>
            </w:pPr>
          </w:p>
        </w:tc>
        <w:tc>
          <w:tcPr>
            <w:tcW w:w="1117" w:type="dxa"/>
            <w:shd w:val="clear" w:color="auto" w:fill="BFBFBF"/>
          </w:tcPr>
          <w:p>
            <w:pPr>
              <w:pStyle w:val="TableParagraph"/>
              <w:rPr>
                <w:rFonts w:ascii="Times New Roman"/>
                <w:sz w:val="12"/>
              </w:rPr>
            </w:pPr>
          </w:p>
        </w:tc>
        <w:tc>
          <w:tcPr>
            <w:tcW w:w="1117" w:type="dxa"/>
            <w:shd w:val="clear" w:color="auto" w:fill="BFBFBF"/>
          </w:tcPr>
          <w:p>
            <w:pPr>
              <w:pStyle w:val="TableParagraph"/>
              <w:rPr>
                <w:rFonts w:ascii="Times New Roman"/>
                <w:sz w:val="12"/>
              </w:rPr>
            </w:pPr>
          </w:p>
        </w:tc>
        <w:tc>
          <w:tcPr>
            <w:tcW w:w="1117" w:type="dxa"/>
            <w:shd w:val="clear" w:color="auto" w:fill="BFBFBF"/>
          </w:tcPr>
          <w:p>
            <w:pPr>
              <w:pStyle w:val="TableParagraph"/>
              <w:rPr>
                <w:rFonts w:ascii="Times New Roman"/>
                <w:sz w:val="12"/>
              </w:rPr>
            </w:pPr>
          </w:p>
        </w:tc>
        <w:tc>
          <w:tcPr>
            <w:tcW w:w="1117" w:type="dxa"/>
          </w:tcPr>
          <w:p>
            <w:pPr>
              <w:pStyle w:val="TableParagraph"/>
              <w:rPr>
                <w:rFonts w:ascii="Times New Roman"/>
                <w:sz w:val="12"/>
              </w:rPr>
            </w:pPr>
          </w:p>
        </w:tc>
      </w:tr>
      <w:tr>
        <w:trPr>
          <w:trHeight w:val="201" w:hRule="atLeast"/>
        </w:trPr>
        <w:tc>
          <w:tcPr>
            <w:tcW w:w="3403" w:type="dxa"/>
          </w:tcPr>
          <w:p>
            <w:pPr>
              <w:pStyle w:val="TableParagraph"/>
              <w:spacing w:before="24"/>
              <w:ind w:left="234"/>
              <w:rPr>
                <w:rFonts w:ascii="Times New Roman"/>
                <w:sz w:val="13"/>
              </w:rPr>
            </w:pPr>
            <w:r>
              <w:rPr>
                <w:rFonts w:ascii="Times New Roman"/>
                <w:w w:val="105"/>
                <w:sz w:val="13"/>
              </w:rPr>
              <w:t>c. Committed</w:t>
            </w:r>
          </w:p>
        </w:tc>
        <w:tc>
          <w:tcPr>
            <w:tcW w:w="1448" w:type="dxa"/>
          </w:tcPr>
          <w:p>
            <w:pPr>
              <w:pStyle w:val="TableParagraph"/>
              <w:rPr>
                <w:rFonts w:ascii="Times New Roman"/>
                <w:sz w:val="12"/>
              </w:rPr>
            </w:pPr>
          </w:p>
        </w:tc>
        <w:tc>
          <w:tcPr>
            <w:tcW w:w="1148" w:type="dxa"/>
          </w:tcPr>
          <w:p>
            <w:pPr>
              <w:pStyle w:val="TableParagraph"/>
              <w:rPr>
                <w:rFonts w:ascii="Times New Roman"/>
                <w:sz w:val="12"/>
              </w:rPr>
            </w:pPr>
          </w:p>
        </w:tc>
        <w:tc>
          <w:tcPr>
            <w:tcW w:w="1117" w:type="dxa"/>
            <w:shd w:val="clear" w:color="auto" w:fill="BFBFBF"/>
          </w:tcPr>
          <w:p>
            <w:pPr>
              <w:pStyle w:val="TableParagraph"/>
              <w:rPr>
                <w:rFonts w:ascii="Times New Roman"/>
                <w:sz w:val="12"/>
              </w:rPr>
            </w:pPr>
          </w:p>
        </w:tc>
        <w:tc>
          <w:tcPr>
            <w:tcW w:w="1117" w:type="dxa"/>
          </w:tcPr>
          <w:p>
            <w:pPr>
              <w:pStyle w:val="TableParagraph"/>
              <w:rPr>
                <w:rFonts w:ascii="Times New Roman"/>
                <w:sz w:val="12"/>
              </w:rPr>
            </w:pPr>
          </w:p>
        </w:tc>
        <w:tc>
          <w:tcPr>
            <w:tcW w:w="1117" w:type="dxa"/>
            <w:shd w:val="clear" w:color="auto" w:fill="BFBFBF"/>
          </w:tcPr>
          <w:p>
            <w:pPr>
              <w:pStyle w:val="TableParagraph"/>
              <w:rPr>
                <w:rFonts w:ascii="Times New Roman"/>
                <w:sz w:val="12"/>
              </w:rPr>
            </w:pPr>
          </w:p>
        </w:tc>
        <w:tc>
          <w:tcPr>
            <w:tcW w:w="1117" w:type="dxa"/>
          </w:tcPr>
          <w:p>
            <w:pPr>
              <w:pStyle w:val="TableParagraph"/>
              <w:rPr>
                <w:rFonts w:ascii="Times New Roman"/>
                <w:sz w:val="12"/>
              </w:rPr>
            </w:pPr>
          </w:p>
        </w:tc>
      </w:tr>
      <w:tr>
        <w:trPr>
          <w:trHeight w:val="201" w:hRule="atLeast"/>
        </w:trPr>
        <w:tc>
          <w:tcPr>
            <w:tcW w:w="3403" w:type="dxa"/>
          </w:tcPr>
          <w:p>
            <w:pPr>
              <w:pStyle w:val="TableParagraph"/>
              <w:spacing w:before="24"/>
              <w:ind w:left="368"/>
              <w:rPr>
                <w:rFonts w:ascii="Times New Roman"/>
                <w:sz w:val="13"/>
              </w:rPr>
            </w:pPr>
            <w:r>
              <w:rPr>
                <w:rFonts w:ascii="Times New Roman"/>
                <w:w w:val="105"/>
                <w:sz w:val="13"/>
              </w:rPr>
              <w:t>1. Stabilization Arrangements</w:t>
            </w:r>
          </w:p>
        </w:tc>
        <w:tc>
          <w:tcPr>
            <w:tcW w:w="1448" w:type="dxa"/>
          </w:tcPr>
          <w:p>
            <w:pPr>
              <w:pStyle w:val="TableParagraph"/>
              <w:spacing w:before="24"/>
              <w:ind w:left="518" w:right="296"/>
              <w:jc w:val="center"/>
              <w:rPr>
                <w:rFonts w:ascii="Times New Roman"/>
                <w:sz w:val="13"/>
              </w:rPr>
            </w:pPr>
            <w:r>
              <w:rPr>
                <w:rFonts w:ascii="Times New Roman"/>
                <w:w w:val="105"/>
                <w:sz w:val="13"/>
              </w:rPr>
              <w:t>9750</w:t>
            </w:r>
          </w:p>
        </w:tc>
        <w:tc>
          <w:tcPr>
            <w:tcW w:w="1148" w:type="dxa"/>
          </w:tcPr>
          <w:p>
            <w:pPr>
              <w:pStyle w:val="TableParagraph"/>
              <w:spacing w:before="24"/>
              <w:ind w:right="76"/>
              <w:jc w:val="right"/>
              <w:rPr>
                <w:rFonts w:ascii="Times New Roman"/>
                <w:sz w:val="13"/>
              </w:rPr>
            </w:pPr>
            <w:r>
              <w:rPr>
                <w:rFonts w:ascii="Times New Roman"/>
                <w:sz w:val="13"/>
              </w:rPr>
              <w:t>0.00</w:t>
            </w:r>
          </w:p>
        </w:tc>
        <w:tc>
          <w:tcPr>
            <w:tcW w:w="1117" w:type="dxa"/>
            <w:shd w:val="clear" w:color="auto" w:fill="BFBFBF"/>
          </w:tcPr>
          <w:p>
            <w:pPr>
              <w:pStyle w:val="TableParagraph"/>
              <w:rPr>
                <w:rFonts w:ascii="Times New Roman"/>
                <w:sz w:val="12"/>
              </w:rPr>
            </w:pPr>
          </w:p>
        </w:tc>
        <w:tc>
          <w:tcPr>
            <w:tcW w:w="1117" w:type="dxa"/>
          </w:tcPr>
          <w:p>
            <w:pPr>
              <w:pStyle w:val="TableParagraph"/>
              <w:rPr>
                <w:rFonts w:ascii="Times New Roman"/>
                <w:sz w:val="12"/>
              </w:rPr>
            </w:pPr>
          </w:p>
        </w:tc>
        <w:tc>
          <w:tcPr>
            <w:tcW w:w="1117" w:type="dxa"/>
            <w:shd w:val="clear" w:color="auto" w:fill="BFBFBF"/>
          </w:tcPr>
          <w:p>
            <w:pPr>
              <w:pStyle w:val="TableParagraph"/>
              <w:rPr>
                <w:rFonts w:ascii="Times New Roman"/>
                <w:sz w:val="12"/>
              </w:rPr>
            </w:pPr>
          </w:p>
        </w:tc>
        <w:tc>
          <w:tcPr>
            <w:tcW w:w="1117" w:type="dxa"/>
          </w:tcPr>
          <w:p>
            <w:pPr>
              <w:pStyle w:val="TableParagraph"/>
              <w:rPr>
                <w:rFonts w:ascii="Times New Roman"/>
                <w:sz w:val="12"/>
              </w:rPr>
            </w:pPr>
          </w:p>
        </w:tc>
      </w:tr>
      <w:tr>
        <w:trPr>
          <w:trHeight w:val="201" w:hRule="atLeast"/>
        </w:trPr>
        <w:tc>
          <w:tcPr>
            <w:tcW w:w="3403" w:type="dxa"/>
          </w:tcPr>
          <w:p>
            <w:pPr>
              <w:pStyle w:val="TableParagraph"/>
              <w:spacing w:before="24"/>
              <w:ind w:left="368"/>
              <w:rPr>
                <w:rFonts w:ascii="Times New Roman"/>
                <w:sz w:val="13"/>
              </w:rPr>
            </w:pPr>
            <w:r>
              <w:rPr>
                <w:rFonts w:ascii="Times New Roman"/>
                <w:w w:val="105"/>
                <w:sz w:val="13"/>
              </w:rPr>
              <w:t>2. Other Commitments</w:t>
            </w:r>
          </w:p>
        </w:tc>
        <w:tc>
          <w:tcPr>
            <w:tcW w:w="1448" w:type="dxa"/>
          </w:tcPr>
          <w:p>
            <w:pPr>
              <w:pStyle w:val="TableParagraph"/>
              <w:spacing w:before="24"/>
              <w:ind w:left="518" w:right="296"/>
              <w:jc w:val="center"/>
              <w:rPr>
                <w:rFonts w:ascii="Times New Roman"/>
                <w:sz w:val="13"/>
              </w:rPr>
            </w:pPr>
            <w:r>
              <w:rPr>
                <w:rFonts w:ascii="Times New Roman"/>
                <w:w w:val="105"/>
                <w:sz w:val="13"/>
              </w:rPr>
              <w:t>9760</w:t>
            </w:r>
          </w:p>
        </w:tc>
        <w:tc>
          <w:tcPr>
            <w:tcW w:w="1148" w:type="dxa"/>
          </w:tcPr>
          <w:p>
            <w:pPr>
              <w:pStyle w:val="TableParagraph"/>
              <w:spacing w:before="24"/>
              <w:ind w:right="76"/>
              <w:jc w:val="right"/>
              <w:rPr>
                <w:rFonts w:ascii="Times New Roman"/>
                <w:sz w:val="13"/>
              </w:rPr>
            </w:pPr>
            <w:r>
              <w:rPr>
                <w:rFonts w:ascii="Times New Roman"/>
                <w:sz w:val="13"/>
              </w:rPr>
              <w:t>0.00</w:t>
            </w:r>
          </w:p>
        </w:tc>
        <w:tc>
          <w:tcPr>
            <w:tcW w:w="1117" w:type="dxa"/>
            <w:shd w:val="clear" w:color="auto" w:fill="BFBFBF"/>
          </w:tcPr>
          <w:p>
            <w:pPr>
              <w:pStyle w:val="TableParagraph"/>
              <w:rPr>
                <w:rFonts w:ascii="Times New Roman"/>
                <w:sz w:val="12"/>
              </w:rPr>
            </w:pPr>
          </w:p>
        </w:tc>
        <w:tc>
          <w:tcPr>
            <w:tcW w:w="1117" w:type="dxa"/>
          </w:tcPr>
          <w:p>
            <w:pPr>
              <w:pStyle w:val="TableParagraph"/>
              <w:rPr>
                <w:rFonts w:ascii="Times New Roman"/>
                <w:sz w:val="12"/>
              </w:rPr>
            </w:pPr>
          </w:p>
        </w:tc>
        <w:tc>
          <w:tcPr>
            <w:tcW w:w="1117" w:type="dxa"/>
            <w:shd w:val="clear" w:color="auto" w:fill="BFBFBF"/>
          </w:tcPr>
          <w:p>
            <w:pPr>
              <w:pStyle w:val="TableParagraph"/>
              <w:rPr>
                <w:rFonts w:ascii="Times New Roman"/>
                <w:sz w:val="12"/>
              </w:rPr>
            </w:pPr>
          </w:p>
        </w:tc>
        <w:tc>
          <w:tcPr>
            <w:tcW w:w="1117" w:type="dxa"/>
          </w:tcPr>
          <w:p>
            <w:pPr>
              <w:pStyle w:val="TableParagraph"/>
              <w:rPr>
                <w:rFonts w:ascii="Times New Roman"/>
                <w:sz w:val="12"/>
              </w:rPr>
            </w:pPr>
          </w:p>
        </w:tc>
      </w:tr>
      <w:tr>
        <w:trPr>
          <w:trHeight w:val="201" w:hRule="atLeast"/>
        </w:trPr>
        <w:tc>
          <w:tcPr>
            <w:tcW w:w="3403" w:type="dxa"/>
          </w:tcPr>
          <w:p>
            <w:pPr>
              <w:pStyle w:val="TableParagraph"/>
              <w:spacing w:before="24"/>
              <w:ind w:left="234"/>
              <w:rPr>
                <w:rFonts w:ascii="Times New Roman"/>
                <w:sz w:val="13"/>
              </w:rPr>
            </w:pPr>
            <w:r>
              <w:rPr>
                <w:rFonts w:ascii="Times New Roman"/>
                <w:w w:val="105"/>
                <w:sz w:val="13"/>
              </w:rPr>
              <w:t>d. Assigned</w:t>
            </w:r>
          </w:p>
        </w:tc>
        <w:tc>
          <w:tcPr>
            <w:tcW w:w="1448" w:type="dxa"/>
          </w:tcPr>
          <w:p>
            <w:pPr>
              <w:pStyle w:val="TableParagraph"/>
              <w:spacing w:before="24"/>
              <w:ind w:left="518" w:right="296"/>
              <w:jc w:val="center"/>
              <w:rPr>
                <w:rFonts w:ascii="Times New Roman"/>
                <w:sz w:val="13"/>
              </w:rPr>
            </w:pPr>
            <w:r>
              <w:rPr>
                <w:rFonts w:ascii="Times New Roman"/>
                <w:w w:val="105"/>
                <w:sz w:val="13"/>
              </w:rPr>
              <w:t>9780</w:t>
            </w:r>
          </w:p>
        </w:tc>
        <w:tc>
          <w:tcPr>
            <w:tcW w:w="1148" w:type="dxa"/>
          </w:tcPr>
          <w:p>
            <w:pPr>
              <w:pStyle w:val="TableParagraph"/>
              <w:spacing w:before="24"/>
              <w:ind w:right="77"/>
              <w:jc w:val="right"/>
              <w:rPr>
                <w:rFonts w:ascii="Times New Roman"/>
                <w:sz w:val="13"/>
              </w:rPr>
            </w:pPr>
            <w:r>
              <w:rPr>
                <w:rFonts w:ascii="Times New Roman"/>
                <w:sz w:val="13"/>
              </w:rPr>
              <w:t>1,020,974.00</w:t>
            </w:r>
          </w:p>
        </w:tc>
        <w:tc>
          <w:tcPr>
            <w:tcW w:w="1117" w:type="dxa"/>
            <w:shd w:val="clear" w:color="auto" w:fill="BFBFBF"/>
          </w:tcPr>
          <w:p>
            <w:pPr>
              <w:pStyle w:val="TableParagraph"/>
              <w:rPr>
                <w:rFonts w:ascii="Times New Roman"/>
                <w:sz w:val="12"/>
              </w:rPr>
            </w:pPr>
          </w:p>
        </w:tc>
        <w:tc>
          <w:tcPr>
            <w:tcW w:w="1117" w:type="dxa"/>
          </w:tcPr>
          <w:p>
            <w:pPr>
              <w:pStyle w:val="TableParagraph"/>
              <w:spacing w:before="24"/>
              <w:ind w:left="331"/>
              <w:rPr>
                <w:rFonts w:ascii="Times New Roman"/>
                <w:sz w:val="13"/>
              </w:rPr>
            </w:pPr>
            <w:r>
              <w:rPr>
                <w:rFonts w:ascii="Times New Roman"/>
                <w:w w:val="105"/>
                <w:sz w:val="13"/>
              </w:rPr>
              <w:t>1,020,974.00</w:t>
            </w:r>
          </w:p>
        </w:tc>
        <w:tc>
          <w:tcPr>
            <w:tcW w:w="1117" w:type="dxa"/>
            <w:shd w:val="clear" w:color="auto" w:fill="BFBFBF"/>
          </w:tcPr>
          <w:p>
            <w:pPr>
              <w:pStyle w:val="TableParagraph"/>
              <w:rPr>
                <w:rFonts w:ascii="Times New Roman"/>
                <w:sz w:val="12"/>
              </w:rPr>
            </w:pPr>
          </w:p>
        </w:tc>
        <w:tc>
          <w:tcPr>
            <w:tcW w:w="1117" w:type="dxa"/>
          </w:tcPr>
          <w:p>
            <w:pPr>
              <w:pStyle w:val="TableParagraph"/>
              <w:spacing w:before="24"/>
              <w:ind w:right="81"/>
              <w:jc w:val="right"/>
              <w:rPr>
                <w:rFonts w:ascii="Times New Roman"/>
                <w:sz w:val="13"/>
              </w:rPr>
            </w:pPr>
            <w:r>
              <w:rPr>
                <w:rFonts w:ascii="Times New Roman"/>
                <w:sz w:val="13"/>
              </w:rPr>
              <w:t>102,004.37</w:t>
            </w:r>
          </w:p>
        </w:tc>
      </w:tr>
      <w:tr>
        <w:trPr>
          <w:trHeight w:val="201" w:hRule="atLeast"/>
        </w:trPr>
        <w:tc>
          <w:tcPr>
            <w:tcW w:w="3403" w:type="dxa"/>
          </w:tcPr>
          <w:p>
            <w:pPr>
              <w:pStyle w:val="TableParagraph"/>
              <w:spacing w:before="24"/>
              <w:ind w:left="234"/>
              <w:rPr>
                <w:rFonts w:ascii="Times New Roman"/>
                <w:sz w:val="13"/>
              </w:rPr>
            </w:pPr>
            <w:r>
              <w:rPr>
                <w:rFonts w:ascii="Times New Roman"/>
                <w:w w:val="105"/>
                <w:sz w:val="13"/>
              </w:rPr>
              <w:t>e. Unassigned/Unappropriated</w:t>
            </w:r>
          </w:p>
        </w:tc>
        <w:tc>
          <w:tcPr>
            <w:tcW w:w="1448" w:type="dxa"/>
          </w:tcPr>
          <w:p>
            <w:pPr>
              <w:pStyle w:val="TableParagraph"/>
              <w:rPr>
                <w:rFonts w:ascii="Times New Roman"/>
                <w:sz w:val="12"/>
              </w:rPr>
            </w:pPr>
          </w:p>
        </w:tc>
        <w:tc>
          <w:tcPr>
            <w:tcW w:w="1148" w:type="dxa"/>
          </w:tcPr>
          <w:p>
            <w:pPr>
              <w:pStyle w:val="TableParagraph"/>
              <w:rPr>
                <w:rFonts w:ascii="Times New Roman"/>
                <w:sz w:val="12"/>
              </w:rPr>
            </w:pPr>
          </w:p>
        </w:tc>
        <w:tc>
          <w:tcPr>
            <w:tcW w:w="1117" w:type="dxa"/>
            <w:shd w:val="clear" w:color="auto" w:fill="BFBFBF"/>
          </w:tcPr>
          <w:p>
            <w:pPr>
              <w:pStyle w:val="TableParagraph"/>
              <w:rPr>
                <w:rFonts w:ascii="Times New Roman"/>
                <w:sz w:val="12"/>
              </w:rPr>
            </w:pPr>
          </w:p>
        </w:tc>
        <w:tc>
          <w:tcPr>
            <w:tcW w:w="1117" w:type="dxa"/>
          </w:tcPr>
          <w:p>
            <w:pPr>
              <w:pStyle w:val="TableParagraph"/>
              <w:rPr>
                <w:rFonts w:ascii="Times New Roman"/>
                <w:sz w:val="12"/>
              </w:rPr>
            </w:pPr>
          </w:p>
        </w:tc>
        <w:tc>
          <w:tcPr>
            <w:tcW w:w="1117" w:type="dxa"/>
            <w:shd w:val="clear" w:color="auto" w:fill="BFBFBF"/>
          </w:tcPr>
          <w:p>
            <w:pPr>
              <w:pStyle w:val="TableParagraph"/>
              <w:rPr>
                <w:rFonts w:ascii="Times New Roman"/>
                <w:sz w:val="12"/>
              </w:rPr>
            </w:pPr>
          </w:p>
        </w:tc>
        <w:tc>
          <w:tcPr>
            <w:tcW w:w="1117" w:type="dxa"/>
          </w:tcPr>
          <w:p>
            <w:pPr>
              <w:pStyle w:val="TableParagraph"/>
              <w:rPr>
                <w:rFonts w:ascii="Times New Roman"/>
                <w:sz w:val="12"/>
              </w:rPr>
            </w:pPr>
          </w:p>
        </w:tc>
      </w:tr>
      <w:tr>
        <w:trPr>
          <w:trHeight w:val="201" w:hRule="atLeast"/>
        </w:trPr>
        <w:tc>
          <w:tcPr>
            <w:tcW w:w="3403" w:type="dxa"/>
          </w:tcPr>
          <w:p>
            <w:pPr>
              <w:pStyle w:val="TableParagraph"/>
              <w:spacing w:before="24"/>
              <w:ind w:left="368"/>
              <w:rPr>
                <w:rFonts w:ascii="Times New Roman"/>
                <w:sz w:val="13"/>
              </w:rPr>
            </w:pPr>
            <w:r>
              <w:rPr>
                <w:rFonts w:ascii="Times New Roman"/>
                <w:w w:val="105"/>
                <w:sz w:val="13"/>
              </w:rPr>
              <w:t>1. Reserve for Economic Uncertainties</w:t>
            </w:r>
          </w:p>
        </w:tc>
        <w:tc>
          <w:tcPr>
            <w:tcW w:w="1448" w:type="dxa"/>
          </w:tcPr>
          <w:p>
            <w:pPr>
              <w:pStyle w:val="TableParagraph"/>
              <w:spacing w:before="24"/>
              <w:ind w:left="518" w:right="296"/>
              <w:jc w:val="center"/>
              <w:rPr>
                <w:rFonts w:ascii="Times New Roman"/>
                <w:sz w:val="13"/>
              </w:rPr>
            </w:pPr>
            <w:r>
              <w:rPr>
                <w:rFonts w:ascii="Times New Roman"/>
                <w:w w:val="105"/>
                <w:sz w:val="13"/>
              </w:rPr>
              <w:t>9789</w:t>
            </w:r>
          </w:p>
        </w:tc>
        <w:tc>
          <w:tcPr>
            <w:tcW w:w="1148" w:type="dxa"/>
          </w:tcPr>
          <w:p>
            <w:pPr>
              <w:pStyle w:val="TableParagraph"/>
              <w:spacing w:before="24"/>
              <w:ind w:right="77"/>
              <w:jc w:val="right"/>
              <w:rPr>
                <w:rFonts w:ascii="Times New Roman"/>
                <w:sz w:val="13"/>
              </w:rPr>
            </w:pPr>
            <w:r>
              <w:rPr>
                <w:rFonts w:ascii="Times New Roman"/>
                <w:sz w:val="13"/>
              </w:rPr>
              <w:t>105,868.70</w:t>
            </w:r>
          </w:p>
        </w:tc>
        <w:tc>
          <w:tcPr>
            <w:tcW w:w="1117" w:type="dxa"/>
            <w:shd w:val="clear" w:color="auto" w:fill="BFBFBF"/>
          </w:tcPr>
          <w:p>
            <w:pPr>
              <w:pStyle w:val="TableParagraph"/>
              <w:rPr>
                <w:rFonts w:ascii="Times New Roman"/>
                <w:sz w:val="12"/>
              </w:rPr>
            </w:pPr>
          </w:p>
        </w:tc>
        <w:tc>
          <w:tcPr>
            <w:tcW w:w="1117" w:type="dxa"/>
          </w:tcPr>
          <w:p>
            <w:pPr>
              <w:pStyle w:val="TableParagraph"/>
              <w:spacing w:before="24"/>
              <w:ind w:right="79"/>
              <w:jc w:val="right"/>
              <w:rPr>
                <w:rFonts w:ascii="Times New Roman"/>
                <w:sz w:val="13"/>
              </w:rPr>
            </w:pPr>
            <w:r>
              <w:rPr>
                <w:rFonts w:ascii="Times New Roman"/>
                <w:sz w:val="13"/>
              </w:rPr>
              <w:t>99,908.13</w:t>
            </w:r>
          </w:p>
        </w:tc>
        <w:tc>
          <w:tcPr>
            <w:tcW w:w="1117" w:type="dxa"/>
            <w:shd w:val="clear" w:color="auto" w:fill="BFBFBF"/>
          </w:tcPr>
          <w:p>
            <w:pPr>
              <w:pStyle w:val="TableParagraph"/>
              <w:rPr>
                <w:rFonts w:ascii="Times New Roman"/>
                <w:sz w:val="12"/>
              </w:rPr>
            </w:pPr>
          </w:p>
        </w:tc>
        <w:tc>
          <w:tcPr>
            <w:tcW w:w="1117" w:type="dxa"/>
          </w:tcPr>
          <w:p>
            <w:pPr>
              <w:pStyle w:val="TableParagraph"/>
              <w:spacing w:before="24"/>
              <w:ind w:right="81"/>
              <w:jc w:val="right"/>
              <w:rPr>
                <w:rFonts w:ascii="Times New Roman"/>
                <w:sz w:val="13"/>
              </w:rPr>
            </w:pPr>
            <w:r>
              <w:rPr>
                <w:rFonts w:ascii="Times New Roman"/>
                <w:sz w:val="13"/>
              </w:rPr>
              <w:t>102,017.65</w:t>
            </w:r>
          </w:p>
        </w:tc>
      </w:tr>
      <w:tr>
        <w:trPr>
          <w:trHeight w:val="201" w:hRule="atLeast"/>
        </w:trPr>
        <w:tc>
          <w:tcPr>
            <w:tcW w:w="3403" w:type="dxa"/>
          </w:tcPr>
          <w:p>
            <w:pPr>
              <w:pStyle w:val="TableParagraph"/>
              <w:spacing w:before="24"/>
              <w:ind w:left="368"/>
              <w:rPr>
                <w:rFonts w:ascii="Times New Roman"/>
                <w:sz w:val="13"/>
              </w:rPr>
            </w:pPr>
            <w:r>
              <w:rPr>
                <w:rFonts w:ascii="Times New Roman"/>
                <w:w w:val="105"/>
                <w:sz w:val="13"/>
              </w:rPr>
              <w:t>2. Unassigned/Unappropriated</w:t>
            </w:r>
          </w:p>
        </w:tc>
        <w:tc>
          <w:tcPr>
            <w:tcW w:w="1448" w:type="dxa"/>
          </w:tcPr>
          <w:p>
            <w:pPr>
              <w:pStyle w:val="TableParagraph"/>
              <w:spacing w:before="24"/>
              <w:ind w:left="518" w:right="296"/>
              <w:jc w:val="center"/>
              <w:rPr>
                <w:rFonts w:ascii="Times New Roman"/>
                <w:sz w:val="13"/>
              </w:rPr>
            </w:pPr>
            <w:r>
              <w:rPr>
                <w:rFonts w:ascii="Times New Roman"/>
                <w:w w:val="105"/>
                <w:sz w:val="13"/>
              </w:rPr>
              <w:t>9790</w:t>
            </w:r>
          </w:p>
        </w:tc>
        <w:tc>
          <w:tcPr>
            <w:tcW w:w="1148" w:type="dxa"/>
          </w:tcPr>
          <w:p>
            <w:pPr>
              <w:pStyle w:val="TableParagraph"/>
              <w:spacing w:before="24"/>
              <w:ind w:right="77"/>
              <w:jc w:val="right"/>
              <w:rPr>
                <w:rFonts w:ascii="Times New Roman"/>
                <w:sz w:val="13"/>
              </w:rPr>
            </w:pPr>
            <w:r>
              <w:rPr>
                <w:rFonts w:ascii="Times New Roman"/>
                <w:sz w:val="13"/>
              </w:rPr>
              <w:t>1,415,135.30</w:t>
            </w:r>
          </w:p>
        </w:tc>
        <w:tc>
          <w:tcPr>
            <w:tcW w:w="1117" w:type="dxa"/>
            <w:shd w:val="clear" w:color="auto" w:fill="BFBFBF"/>
          </w:tcPr>
          <w:p>
            <w:pPr>
              <w:pStyle w:val="TableParagraph"/>
              <w:rPr>
                <w:rFonts w:ascii="Times New Roman"/>
                <w:sz w:val="12"/>
              </w:rPr>
            </w:pPr>
          </w:p>
        </w:tc>
        <w:tc>
          <w:tcPr>
            <w:tcW w:w="1117" w:type="dxa"/>
          </w:tcPr>
          <w:p>
            <w:pPr>
              <w:pStyle w:val="TableParagraph"/>
              <w:spacing w:before="24"/>
              <w:ind w:left="331"/>
              <w:rPr>
                <w:rFonts w:ascii="Times New Roman"/>
                <w:sz w:val="13"/>
              </w:rPr>
            </w:pPr>
            <w:r>
              <w:rPr>
                <w:rFonts w:ascii="Times New Roman"/>
                <w:w w:val="105"/>
                <w:sz w:val="13"/>
              </w:rPr>
              <w:t>1,430,046.87</w:t>
            </w:r>
          </w:p>
        </w:tc>
        <w:tc>
          <w:tcPr>
            <w:tcW w:w="1117" w:type="dxa"/>
            <w:shd w:val="clear" w:color="auto" w:fill="BFBFBF"/>
          </w:tcPr>
          <w:p>
            <w:pPr>
              <w:pStyle w:val="TableParagraph"/>
              <w:rPr>
                <w:rFonts w:ascii="Times New Roman"/>
                <w:sz w:val="12"/>
              </w:rPr>
            </w:pPr>
          </w:p>
        </w:tc>
        <w:tc>
          <w:tcPr>
            <w:tcW w:w="1117" w:type="dxa"/>
          </w:tcPr>
          <w:p>
            <w:pPr>
              <w:pStyle w:val="TableParagraph"/>
              <w:spacing w:before="24"/>
              <w:ind w:right="81"/>
              <w:jc w:val="right"/>
              <w:rPr>
                <w:rFonts w:ascii="Times New Roman"/>
                <w:sz w:val="13"/>
              </w:rPr>
            </w:pPr>
            <w:r>
              <w:rPr>
                <w:rFonts w:ascii="Times New Roman"/>
                <w:sz w:val="13"/>
              </w:rPr>
              <w:t>2,353,850.98</w:t>
            </w:r>
          </w:p>
        </w:tc>
      </w:tr>
      <w:tr>
        <w:trPr>
          <w:trHeight w:val="228" w:hRule="atLeast"/>
        </w:trPr>
        <w:tc>
          <w:tcPr>
            <w:tcW w:w="4851" w:type="dxa"/>
            <w:gridSpan w:val="2"/>
          </w:tcPr>
          <w:p>
            <w:pPr>
              <w:pStyle w:val="TableParagraph"/>
              <w:spacing w:before="24"/>
              <w:ind w:left="234"/>
              <w:rPr>
                <w:rFonts w:ascii="Times New Roman"/>
                <w:sz w:val="13"/>
              </w:rPr>
            </w:pPr>
            <w:r>
              <w:rPr>
                <w:rFonts w:ascii="Times New Roman"/>
                <w:w w:val="105"/>
                <w:sz w:val="13"/>
              </w:rPr>
              <w:t>f. Total Components of Ending Fund Balance</w:t>
            </w:r>
          </w:p>
        </w:tc>
        <w:tc>
          <w:tcPr>
            <w:tcW w:w="1148" w:type="dxa"/>
          </w:tcPr>
          <w:p>
            <w:pPr>
              <w:pStyle w:val="TableParagraph"/>
              <w:rPr>
                <w:rFonts w:ascii="Times New Roman"/>
                <w:sz w:val="12"/>
              </w:rPr>
            </w:pPr>
          </w:p>
        </w:tc>
        <w:tc>
          <w:tcPr>
            <w:tcW w:w="1117" w:type="dxa"/>
            <w:shd w:val="clear" w:color="auto" w:fill="BFBFBF"/>
          </w:tcPr>
          <w:p>
            <w:pPr>
              <w:pStyle w:val="TableParagraph"/>
              <w:rPr>
                <w:rFonts w:ascii="Times New Roman"/>
                <w:sz w:val="12"/>
              </w:rPr>
            </w:pPr>
          </w:p>
        </w:tc>
        <w:tc>
          <w:tcPr>
            <w:tcW w:w="1117" w:type="dxa"/>
          </w:tcPr>
          <w:p>
            <w:pPr>
              <w:pStyle w:val="TableParagraph"/>
              <w:rPr>
                <w:rFonts w:ascii="Times New Roman"/>
                <w:sz w:val="12"/>
              </w:rPr>
            </w:pPr>
          </w:p>
        </w:tc>
        <w:tc>
          <w:tcPr>
            <w:tcW w:w="1117" w:type="dxa"/>
            <w:shd w:val="clear" w:color="auto" w:fill="BFBFBF"/>
          </w:tcPr>
          <w:p>
            <w:pPr>
              <w:pStyle w:val="TableParagraph"/>
              <w:rPr>
                <w:rFonts w:ascii="Times New Roman"/>
                <w:sz w:val="12"/>
              </w:rPr>
            </w:pPr>
          </w:p>
        </w:tc>
        <w:tc>
          <w:tcPr>
            <w:tcW w:w="1117" w:type="dxa"/>
          </w:tcPr>
          <w:p>
            <w:pPr>
              <w:pStyle w:val="TableParagraph"/>
              <w:rPr>
                <w:rFonts w:ascii="Times New Roman"/>
                <w:sz w:val="12"/>
              </w:rPr>
            </w:pPr>
          </w:p>
        </w:tc>
      </w:tr>
      <w:tr>
        <w:trPr>
          <w:trHeight w:val="155" w:hRule="atLeast"/>
        </w:trPr>
        <w:tc>
          <w:tcPr>
            <w:tcW w:w="3403" w:type="dxa"/>
          </w:tcPr>
          <w:p>
            <w:pPr>
              <w:pStyle w:val="TableParagraph"/>
              <w:spacing w:line="136" w:lineRule="exact"/>
              <w:ind w:left="368"/>
              <w:rPr>
                <w:rFonts w:ascii="Times New Roman"/>
                <w:sz w:val="13"/>
              </w:rPr>
            </w:pPr>
            <w:r>
              <w:rPr>
                <w:rFonts w:ascii="Times New Roman"/>
                <w:w w:val="105"/>
                <w:sz w:val="13"/>
              </w:rPr>
              <w:t>(Line D3f must agree with line D2)</w:t>
            </w:r>
          </w:p>
        </w:tc>
        <w:tc>
          <w:tcPr>
            <w:tcW w:w="2596" w:type="dxa"/>
            <w:gridSpan w:val="2"/>
          </w:tcPr>
          <w:p>
            <w:pPr>
              <w:pStyle w:val="TableParagraph"/>
              <w:spacing w:line="136" w:lineRule="exact"/>
              <w:ind w:right="77"/>
              <w:jc w:val="right"/>
              <w:rPr>
                <w:rFonts w:ascii="Times New Roman"/>
                <w:sz w:val="13"/>
              </w:rPr>
            </w:pPr>
            <w:r>
              <w:rPr>
                <w:rFonts w:ascii="Times New Roman"/>
                <w:sz w:val="13"/>
              </w:rPr>
              <w:t>2,541,978.00</w:t>
            </w:r>
          </w:p>
        </w:tc>
        <w:tc>
          <w:tcPr>
            <w:tcW w:w="2234" w:type="dxa"/>
            <w:gridSpan w:val="2"/>
            <w:shd w:val="clear" w:color="auto" w:fill="BFBFBF"/>
          </w:tcPr>
          <w:p>
            <w:pPr>
              <w:pStyle w:val="TableParagraph"/>
              <w:spacing w:line="136" w:lineRule="exact"/>
              <w:ind w:left="1448"/>
              <w:rPr>
                <w:rFonts w:ascii="Times New Roman"/>
                <w:sz w:val="13"/>
              </w:rPr>
            </w:pPr>
            <w:r>
              <w:rPr>
                <w:rFonts w:ascii="Times New Roman"/>
                <w:w w:val="105"/>
                <w:sz w:val="13"/>
              </w:rPr>
              <w:t>2,550,929.00</w:t>
            </w:r>
          </w:p>
        </w:tc>
        <w:tc>
          <w:tcPr>
            <w:tcW w:w="2234" w:type="dxa"/>
            <w:gridSpan w:val="2"/>
            <w:shd w:val="clear" w:color="auto" w:fill="BFBFBF"/>
          </w:tcPr>
          <w:p>
            <w:pPr>
              <w:pStyle w:val="TableParagraph"/>
              <w:spacing w:line="136" w:lineRule="exact"/>
              <w:ind w:left="1446"/>
              <w:rPr>
                <w:rFonts w:ascii="Times New Roman"/>
                <w:sz w:val="13"/>
              </w:rPr>
            </w:pPr>
            <w:r>
              <w:rPr>
                <w:rFonts w:ascii="Times New Roman"/>
                <w:w w:val="105"/>
                <w:sz w:val="13"/>
              </w:rPr>
              <w:t>2,557,873.00</w:t>
            </w:r>
          </w:p>
        </w:tc>
      </w:tr>
    </w:tbl>
    <w:p>
      <w:pPr>
        <w:spacing w:after="0" w:line="136" w:lineRule="exact"/>
        <w:rPr>
          <w:rFonts w:ascii="Times New Roman"/>
          <w:sz w:val="13"/>
        </w:rPr>
        <w:sectPr>
          <w:headerReference w:type="default" r:id="rId1137"/>
          <w:footerReference w:type="default" r:id="rId1138"/>
          <w:pgSz w:w="12240" w:h="15840"/>
          <w:pgMar w:header="243" w:footer="507" w:top="860" w:bottom="700" w:left="40" w:right="40"/>
          <w:pgNumType w:start="1"/>
        </w:sectPr>
      </w:pPr>
    </w:p>
    <w:p>
      <w:pPr>
        <w:pStyle w:val="BodyText"/>
        <w:spacing w:before="11"/>
        <w:rPr>
          <w:sz w:val="7"/>
        </w:rPr>
      </w:pPr>
      <w:r>
        <w:rPr/>
        <w:pict>
          <v:shape style="position:absolute;margin-left:45.959999pt;margin-top:254.543045pt;width:508.45pt;height:15.15pt;mso-position-horizontal-relative:page;mso-position-vertical-relative:page;z-index:-314120192" type="#_x0000_t202" filled="false" stroked="false">
            <v:textbox inset="0,0,0,0">
              <w:txbxContent>
                <w:p>
                  <w:pPr>
                    <w:pStyle w:val="BodyText"/>
                    <w:spacing w:line="247" w:lineRule="auto"/>
                    <w:rPr>
                      <w:rFonts w:ascii="Times New Roman"/>
                    </w:rPr>
                  </w:pPr>
                  <w:r>
                    <w:rPr>
                      <w:rFonts w:ascii="Times New Roman"/>
                      <w:w w:val="105"/>
                    </w:rPr>
                    <w:t>Line</w:t>
                  </w:r>
                  <w:r>
                    <w:rPr>
                      <w:rFonts w:ascii="Times New Roman"/>
                      <w:spacing w:val="-9"/>
                      <w:w w:val="105"/>
                    </w:rPr>
                    <w:t> </w:t>
                  </w:r>
                  <w:r>
                    <w:rPr>
                      <w:rFonts w:ascii="Times New Roman"/>
                      <w:w w:val="105"/>
                    </w:rPr>
                    <w:t>B1d</w:t>
                  </w:r>
                  <w:r>
                    <w:rPr>
                      <w:rFonts w:ascii="Times New Roman"/>
                      <w:spacing w:val="-8"/>
                      <w:w w:val="105"/>
                    </w:rPr>
                    <w:t> </w:t>
                  </w:r>
                  <w:r>
                    <w:rPr>
                      <w:rFonts w:ascii="Times New Roman"/>
                      <w:w w:val="105"/>
                    </w:rPr>
                    <w:t>adjustment</w:t>
                  </w:r>
                  <w:r>
                    <w:rPr>
                      <w:rFonts w:ascii="Times New Roman"/>
                      <w:spacing w:val="-7"/>
                      <w:w w:val="105"/>
                    </w:rPr>
                    <w:t> </w:t>
                  </w:r>
                  <w:r>
                    <w:rPr>
                      <w:rFonts w:ascii="Times New Roman"/>
                      <w:w w:val="105"/>
                    </w:rPr>
                    <w:t>for</w:t>
                  </w:r>
                  <w:r>
                    <w:rPr>
                      <w:rFonts w:ascii="Times New Roman"/>
                      <w:spacing w:val="-8"/>
                      <w:w w:val="105"/>
                    </w:rPr>
                    <w:t> </w:t>
                  </w:r>
                  <w:r>
                    <w:rPr>
                      <w:rFonts w:ascii="Times New Roman"/>
                      <w:w w:val="105"/>
                    </w:rPr>
                    <w:t>22-23</w:t>
                  </w:r>
                  <w:r>
                    <w:rPr>
                      <w:rFonts w:ascii="Times New Roman"/>
                      <w:spacing w:val="-8"/>
                      <w:w w:val="105"/>
                    </w:rPr>
                    <w:t> </w:t>
                  </w:r>
                  <w:r>
                    <w:rPr>
                      <w:rFonts w:ascii="Times New Roman"/>
                      <w:w w:val="105"/>
                    </w:rPr>
                    <w:t>is</w:t>
                  </w:r>
                  <w:r>
                    <w:rPr>
                      <w:rFonts w:ascii="Times New Roman"/>
                      <w:spacing w:val="-8"/>
                      <w:w w:val="105"/>
                    </w:rPr>
                    <w:t> </w:t>
                  </w:r>
                  <w:r>
                    <w:rPr>
                      <w:rFonts w:ascii="Times New Roman"/>
                      <w:w w:val="105"/>
                    </w:rPr>
                    <w:t>due</w:t>
                  </w:r>
                  <w:r>
                    <w:rPr>
                      <w:rFonts w:ascii="Times New Roman"/>
                      <w:spacing w:val="-8"/>
                      <w:w w:val="105"/>
                    </w:rPr>
                    <w:t> </w:t>
                  </w:r>
                  <w:r>
                    <w:rPr>
                      <w:rFonts w:ascii="Times New Roman"/>
                      <w:w w:val="105"/>
                    </w:rPr>
                    <w:t>moving</w:t>
                  </w:r>
                  <w:r>
                    <w:rPr>
                      <w:rFonts w:ascii="Times New Roman"/>
                      <w:spacing w:val="-10"/>
                      <w:w w:val="105"/>
                    </w:rPr>
                    <w:t> </w:t>
                  </w:r>
                  <w:r>
                    <w:rPr>
                      <w:rFonts w:ascii="Times New Roman"/>
                      <w:w w:val="105"/>
                    </w:rPr>
                    <w:t>certificated</w:t>
                  </w:r>
                  <w:r>
                    <w:rPr>
                      <w:rFonts w:ascii="Times New Roman"/>
                      <w:spacing w:val="-8"/>
                      <w:w w:val="105"/>
                    </w:rPr>
                    <w:t> </w:t>
                  </w:r>
                  <w:r>
                    <w:rPr>
                      <w:rFonts w:ascii="Times New Roman"/>
                      <w:w w:val="105"/>
                    </w:rPr>
                    <w:t>salaries</w:t>
                  </w:r>
                  <w:r>
                    <w:rPr>
                      <w:rFonts w:ascii="Times New Roman"/>
                      <w:spacing w:val="-8"/>
                      <w:w w:val="105"/>
                    </w:rPr>
                    <w:t> </w:t>
                  </w:r>
                  <w:r>
                    <w:rPr>
                      <w:rFonts w:ascii="Times New Roman"/>
                      <w:w w:val="105"/>
                    </w:rPr>
                    <w:t>from</w:t>
                  </w:r>
                  <w:r>
                    <w:rPr>
                      <w:rFonts w:ascii="Times New Roman"/>
                      <w:spacing w:val="-10"/>
                      <w:w w:val="105"/>
                    </w:rPr>
                    <w:t> </w:t>
                  </w:r>
                  <w:r>
                    <w:rPr>
                      <w:rFonts w:ascii="Times New Roman"/>
                      <w:w w:val="105"/>
                    </w:rPr>
                    <w:t>Restricted</w:t>
                  </w:r>
                  <w:r>
                    <w:rPr>
                      <w:rFonts w:ascii="Times New Roman"/>
                      <w:spacing w:val="-8"/>
                      <w:w w:val="105"/>
                    </w:rPr>
                    <w:t> </w:t>
                  </w:r>
                  <w:r>
                    <w:rPr>
                      <w:rFonts w:ascii="Times New Roman"/>
                      <w:w w:val="105"/>
                    </w:rPr>
                    <w:t>due</w:t>
                  </w:r>
                  <w:r>
                    <w:rPr>
                      <w:rFonts w:ascii="Times New Roman"/>
                      <w:spacing w:val="-8"/>
                      <w:w w:val="105"/>
                    </w:rPr>
                    <w:t> </w:t>
                  </w:r>
                  <w:r>
                    <w:rPr>
                      <w:rFonts w:ascii="Times New Roman"/>
                      <w:w w:val="105"/>
                    </w:rPr>
                    <w:t>to</w:t>
                  </w:r>
                  <w:r>
                    <w:rPr>
                      <w:rFonts w:ascii="Times New Roman"/>
                      <w:spacing w:val="-8"/>
                      <w:w w:val="105"/>
                    </w:rPr>
                    <w:t> </w:t>
                  </w:r>
                  <w:r>
                    <w:rPr>
                      <w:rFonts w:ascii="Times New Roman"/>
                      <w:w w:val="105"/>
                    </w:rPr>
                    <w:t>the</w:t>
                  </w:r>
                  <w:r>
                    <w:rPr>
                      <w:rFonts w:ascii="Times New Roman"/>
                      <w:spacing w:val="-8"/>
                      <w:w w:val="105"/>
                    </w:rPr>
                    <w:t> </w:t>
                  </w:r>
                  <w:r>
                    <w:rPr>
                      <w:rFonts w:ascii="Times New Roman"/>
                      <w:w w:val="105"/>
                    </w:rPr>
                    <w:t>removal</w:t>
                  </w:r>
                  <w:r>
                    <w:rPr>
                      <w:rFonts w:ascii="Times New Roman"/>
                      <w:spacing w:val="-10"/>
                      <w:w w:val="105"/>
                    </w:rPr>
                    <w:t> </w:t>
                  </w:r>
                  <w:r>
                    <w:rPr>
                      <w:rFonts w:ascii="Times New Roman"/>
                      <w:w w:val="105"/>
                    </w:rPr>
                    <w:t>of</w:t>
                  </w:r>
                  <w:r>
                    <w:rPr>
                      <w:rFonts w:ascii="Times New Roman"/>
                      <w:spacing w:val="-8"/>
                      <w:w w:val="105"/>
                    </w:rPr>
                    <w:t> </w:t>
                  </w:r>
                  <w:r>
                    <w:rPr>
                      <w:rFonts w:ascii="Times New Roman"/>
                      <w:w w:val="105"/>
                    </w:rPr>
                    <w:t>one-time</w:t>
                  </w:r>
                  <w:r>
                    <w:rPr>
                      <w:rFonts w:ascii="Times New Roman"/>
                      <w:spacing w:val="-8"/>
                      <w:w w:val="105"/>
                    </w:rPr>
                    <w:t> </w:t>
                  </w:r>
                  <w:r>
                    <w:rPr>
                      <w:rFonts w:ascii="Times New Roman"/>
                      <w:w w:val="105"/>
                    </w:rPr>
                    <w:t>Covid19</w:t>
                  </w:r>
                  <w:r>
                    <w:rPr>
                      <w:rFonts w:ascii="Times New Roman"/>
                      <w:spacing w:val="-8"/>
                      <w:w w:val="105"/>
                    </w:rPr>
                    <w:t> </w:t>
                  </w:r>
                  <w:r>
                    <w:rPr>
                      <w:rFonts w:ascii="Times New Roman"/>
                      <w:w w:val="105"/>
                    </w:rPr>
                    <w:t>funds.</w:t>
                  </w:r>
                  <w:r>
                    <w:rPr>
                      <w:rFonts w:ascii="Times New Roman"/>
                      <w:spacing w:val="-8"/>
                      <w:w w:val="105"/>
                    </w:rPr>
                    <w:t> </w:t>
                  </w:r>
                  <w:r>
                    <w:rPr>
                      <w:rFonts w:ascii="Times New Roman"/>
                      <w:w w:val="105"/>
                    </w:rPr>
                    <w:t>Line</w:t>
                  </w:r>
                  <w:r>
                    <w:rPr>
                      <w:rFonts w:ascii="Times New Roman"/>
                      <w:spacing w:val="-8"/>
                      <w:w w:val="105"/>
                    </w:rPr>
                    <w:t> </w:t>
                  </w:r>
                  <w:r>
                    <w:rPr>
                      <w:rFonts w:ascii="Times New Roman"/>
                      <w:w w:val="105"/>
                    </w:rPr>
                    <w:t>B2da</w:t>
                  </w:r>
                  <w:r>
                    <w:rPr>
                      <w:rFonts w:ascii="Times New Roman"/>
                      <w:spacing w:val="-8"/>
                      <w:w w:val="105"/>
                    </w:rPr>
                    <w:t> </w:t>
                  </w:r>
                  <w:r>
                    <w:rPr>
                      <w:rFonts w:ascii="Times New Roman"/>
                      <w:w w:val="105"/>
                    </w:rPr>
                    <w:t>adjustment</w:t>
                  </w:r>
                  <w:r>
                    <w:rPr>
                      <w:rFonts w:ascii="Times New Roman"/>
                      <w:spacing w:val="-7"/>
                      <w:w w:val="105"/>
                    </w:rPr>
                    <w:t> </w:t>
                  </w:r>
                  <w:r>
                    <w:rPr>
                      <w:rFonts w:ascii="Times New Roman"/>
                      <w:w w:val="105"/>
                    </w:rPr>
                    <w:t>for</w:t>
                  </w:r>
                  <w:r>
                    <w:rPr>
                      <w:rFonts w:ascii="Times New Roman"/>
                      <w:spacing w:val="-8"/>
                      <w:w w:val="105"/>
                    </w:rPr>
                    <w:t> </w:t>
                  </w:r>
                  <w:r>
                    <w:rPr>
                      <w:rFonts w:ascii="Times New Roman"/>
                      <w:w w:val="105"/>
                    </w:rPr>
                    <w:t>22-23</w:t>
                  </w:r>
                  <w:r>
                    <w:rPr>
                      <w:rFonts w:ascii="Times New Roman"/>
                      <w:spacing w:val="-8"/>
                      <w:w w:val="105"/>
                    </w:rPr>
                    <w:t> </w:t>
                  </w:r>
                  <w:r>
                    <w:rPr>
                      <w:rFonts w:ascii="Times New Roman"/>
                      <w:w w:val="105"/>
                    </w:rPr>
                    <w:t>is</w:t>
                  </w:r>
                  <w:r>
                    <w:rPr>
                      <w:rFonts w:ascii="Times New Roman"/>
                      <w:spacing w:val="-8"/>
                      <w:w w:val="105"/>
                    </w:rPr>
                    <w:t> </w:t>
                  </w:r>
                  <w:r>
                    <w:rPr>
                      <w:rFonts w:ascii="Times New Roman"/>
                      <w:w w:val="105"/>
                    </w:rPr>
                    <w:t>due</w:t>
                  </w:r>
                  <w:r>
                    <w:rPr>
                      <w:rFonts w:ascii="Times New Roman"/>
                      <w:spacing w:val="-8"/>
                      <w:w w:val="105"/>
                    </w:rPr>
                    <w:t> </w:t>
                  </w:r>
                  <w:r>
                    <w:rPr>
                      <w:rFonts w:ascii="Times New Roman"/>
                      <w:w w:val="105"/>
                    </w:rPr>
                    <w:t>to</w:t>
                  </w:r>
                  <w:r>
                    <w:rPr>
                      <w:rFonts w:ascii="Times New Roman"/>
                      <w:spacing w:val="-7"/>
                      <w:w w:val="105"/>
                    </w:rPr>
                    <w:t> </w:t>
                  </w:r>
                  <w:r>
                    <w:rPr>
                      <w:rFonts w:ascii="Times New Roman"/>
                      <w:w w:val="105"/>
                    </w:rPr>
                    <w:t>moving</w:t>
                  </w:r>
                  <w:r>
                    <w:rPr>
                      <w:rFonts w:ascii="Times New Roman"/>
                      <w:spacing w:val="-11"/>
                      <w:w w:val="105"/>
                    </w:rPr>
                    <w:t> </w:t>
                  </w:r>
                  <w:r>
                    <w:rPr>
                      <w:rFonts w:ascii="Times New Roman"/>
                      <w:w w:val="105"/>
                    </w:rPr>
                    <w:t>classified salaries from Restricted due to the removal of one-time Covid19</w:t>
                  </w:r>
                  <w:r>
                    <w:rPr>
                      <w:rFonts w:ascii="Times New Roman"/>
                      <w:spacing w:val="-14"/>
                      <w:w w:val="105"/>
                    </w:rPr>
                    <w:t> </w:t>
                  </w:r>
                  <w:r>
                    <w:rPr>
                      <w:rFonts w:ascii="Times New Roman"/>
                      <w:w w:val="105"/>
                    </w:rPr>
                    <w:t>funds.</w:t>
                  </w:r>
                </w:p>
              </w:txbxContent>
            </v:textbox>
            <w10:wrap type="none"/>
          </v:shape>
        </w:pict>
      </w:r>
    </w:p>
    <w:p>
      <w:pPr>
        <w:pStyle w:val="BodyText"/>
        <w:ind w:left="838"/>
        <w:rPr>
          <w:sz w:val="20"/>
        </w:rPr>
      </w:pPr>
      <w:r>
        <w:rPr>
          <w:sz w:val="20"/>
        </w:rPr>
        <w:pict>
          <v:group style="width:523.9500pt;height:376.7pt;mso-position-horizontal-relative:char;mso-position-vertical-relative:line" coordorigin="0,0" coordsize="10479,7534">
            <v:shape style="position:absolute;left:0;top:0;width:10479;height:965" type="#_x0000_t75" stroked="false">
              <v:imagedata r:id="rId1204" o:title=""/>
            </v:shape>
            <v:shape style="position:absolute;left:5992;top:753;width:2247;height:214" type="#_x0000_t75" stroked="false">
              <v:imagedata r:id="rId1205" o:title=""/>
            </v:shape>
            <v:rect style="position:absolute;left:8236;top:765;width:1116;height:202" filled="true" fillcolor="#bfbfbf" stroked="false">
              <v:fill type="solid"/>
            </v:rect>
            <v:shape style="position:absolute;left:8224;top:753;width:2254;height:615" type="#_x0000_t75" stroked="false">
              <v:imagedata r:id="rId1206" o:title=""/>
            </v:shape>
            <v:rect style="position:absolute;left:6004;top:967;width:1116;height:202" filled="true" fillcolor="#bfbfbf" stroked="false">
              <v:fill type="solid"/>
            </v:rect>
            <v:rect style="position:absolute;left:8236;top:967;width:1116;height:202" filled="true" fillcolor="#bfbfbf" stroked="false">
              <v:fill type="solid"/>
            </v:rect>
            <v:shape style="position:absolute;left:4845;top:962;width:1162;height:411" type="#_x0000_t75" stroked="false">
              <v:imagedata r:id="rId1191" o:title=""/>
            </v:shape>
            <v:shape style="position:absolute;left:7116;top:962;width:1124;height:411" type="#_x0000_t75" stroked="false">
              <v:imagedata r:id="rId1207" o:title=""/>
            </v:shape>
            <v:rect style="position:absolute;left:6004;top:1168;width:1116;height:202" filled="true" fillcolor="#bfbfbf" stroked="false">
              <v:fill type="solid"/>
            </v:rect>
            <v:rect style="position:absolute;left:8236;top:1168;width:1116;height:202" filled="true" fillcolor="#bfbfbf" stroked="false">
              <v:fill type="solid"/>
            </v:rect>
            <v:shape style="position:absolute;left:9348;top:1164;width:1131;height:209" type="#_x0000_t75" stroked="false">
              <v:imagedata r:id="rId1208" o:title=""/>
            </v:shape>
            <v:shape style="position:absolute;left:4845;top:1365;width:1162;height:209" type="#_x0000_t75" stroked="false">
              <v:imagedata r:id="rId1194" o:title=""/>
            </v:shape>
            <v:rect style="position:absolute;left:6004;top:1370;width:1116;height:202" filled="true" fillcolor="#bfbfbf" stroked="false">
              <v:fill type="solid"/>
            </v:rect>
            <v:shape style="position:absolute;left:7116;top:1365;width:1131;height:209" type="#_x0000_t75" stroked="false">
              <v:imagedata r:id="rId1160" o:title=""/>
            </v:shape>
            <v:rect style="position:absolute;left:8236;top:1370;width:1116;height:202" filled="true" fillcolor="#bfbfbf" stroked="false">
              <v:fill type="solid"/>
            </v:rect>
            <v:shape style="position:absolute;left:9348;top:1365;width:1131;height:209" type="#_x0000_t75" stroked="false">
              <v:imagedata r:id="rId1160" o:title=""/>
            </v:shape>
            <v:shape style="position:absolute;left:4845;top:962;width:1169;height:814" type="#_x0000_t75" stroked="false">
              <v:imagedata r:id="rId1209" o:title=""/>
            </v:shape>
            <v:rect style="position:absolute;left:6004;top:1572;width:1116;height:202" filled="true" fillcolor="#bfbfbf" stroked="false">
              <v:fill type="solid"/>
            </v:rect>
            <v:shape style="position:absolute;left:7116;top:1365;width:1131;height:411" type="#_x0000_t75" stroked="false">
              <v:imagedata r:id="rId1210" o:title=""/>
            </v:shape>
            <v:rect style="position:absolute;left:8236;top:1572;width:1116;height:202" filled="true" fillcolor="#bfbfbf" stroked="false">
              <v:fill type="solid"/>
            </v:rect>
            <v:shape style="position:absolute;left:9348;top:1567;width:1131;height:209" type="#_x0000_t75" stroked="false">
              <v:imagedata r:id="rId1157" o:title=""/>
            </v:shape>
            <v:rect style="position:absolute;left:6004;top:1773;width:1116;height:161" filled="true" fillcolor="#bfbfbf" stroked="false">
              <v:fill type="solid"/>
            </v:rect>
            <v:rect style="position:absolute;left:8236;top:1773;width:1116;height:161" filled="true" fillcolor="#bfbfbf" stroked="false">
              <v:fill type="solid"/>
            </v:rect>
            <v:shape style="position:absolute;left:5992;top:1567;width:22;height:737" type="#_x0000_t75" stroked="false">
              <v:imagedata r:id="rId1211" o:title=""/>
            </v:shape>
            <v:shape style="position:absolute;left:8224;top:1567;width:22;height:737" type="#_x0000_t75" stroked="false">
              <v:imagedata r:id="rId1211" o:title=""/>
            </v:shape>
            <v:rect style="position:absolute;left:6004;top:1934;width:1116;height:171" filled="true" fillcolor="#bfbfbf" stroked="false">
              <v:fill type="solid"/>
            </v:rect>
            <v:rect style="position:absolute;left:8236;top:1934;width:1116;height:171" filled="true" fillcolor="#bfbfbf" stroked="false">
              <v:fill type="solid"/>
            </v:rect>
            <v:rect style="position:absolute;left:6004;top:2104;width:1116;height:202" filled="true" fillcolor="#bfbfbf" stroked="false">
              <v:fill type="solid"/>
            </v:rect>
            <v:rect style="position:absolute;left:8236;top:2104;width:1116;height:202" filled="true" fillcolor="#bfbfbf" stroked="false">
              <v:fill type="solid"/>
            </v:rect>
            <v:shape style="position:absolute;left:8224;top:2100;width:22;height:406" type="#_x0000_t75" stroked="false">
              <v:imagedata r:id="rId1212" o:title=""/>
            </v:shape>
            <v:shape style="position:absolute;left:4845;top:1768;width:1169;height:939" type="#_x0000_t75" stroked="false">
              <v:imagedata r:id="rId1213" o:title=""/>
            </v:shape>
            <v:rect style="position:absolute;left:6004;top:2306;width:1116;height:202" filled="true" fillcolor="#bfbfbf" stroked="false">
              <v:fill type="solid"/>
            </v:rect>
            <v:rect style="position:absolute;left:8236;top:2306;width:1116;height:202" filled="true" fillcolor="#bfbfbf" stroked="false">
              <v:fill type="solid"/>
            </v:rect>
            <v:shape style="position:absolute;left:9348;top:1768;width:1131;height:944" type="#_x0000_t75" stroked="false">
              <v:imagedata r:id="rId1214" o:title=""/>
            </v:shape>
            <v:shape style="position:absolute;left:7116;top:1768;width:1131;height:944" type="#_x0000_t75" stroked="false">
              <v:imagedata r:id="rId1215" o:title=""/>
            </v:shape>
            <v:rect style="position:absolute;left:6004;top:2508;width:1116;height:202" filled="true" fillcolor="#bfbfbf" stroked="false">
              <v:fill type="solid"/>
            </v:rect>
            <v:rect style="position:absolute;left:8236;top:2508;width:1116;height:202" filled="true" fillcolor="#bfbfbf" stroked="false">
              <v:fill type="solid"/>
            </v:rect>
            <v:shape style="position:absolute;left:0;top:962;width:6015;height:2160" type="#_x0000_t75" stroked="false">
              <v:imagedata r:id="rId1216" o:title=""/>
            </v:shape>
            <v:shape style="position:absolute;left:8224;top:2503;width:22;height:406" type="#_x0000_t75" stroked="false">
              <v:imagedata r:id="rId1212" o:title=""/>
            </v:shape>
            <v:shape style="position:absolute;left:4845;top:2503;width:1169;height:406" type="#_x0000_t75" stroked="false">
              <v:imagedata r:id="rId1217" o:title=""/>
            </v:shape>
            <v:rect style="position:absolute;left:6004;top:2709;width:1116;height:202" filled="true" fillcolor="#bfbfbf" stroked="false">
              <v:fill type="solid"/>
            </v:rect>
            <v:rect style="position:absolute;left:8236;top:2709;width:1116;height:202" filled="true" fillcolor="#bfbfbf" stroked="false">
              <v:fill type="solid"/>
            </v:rect>
            <v:shape style="position:absolute;left:7116;top:2704;width:1131;height:406" type="#_x0000_t75" stroked="false">
              <v:imagedata r:id="rId1218" o:title=""/>
            </v:shape>
            <v:rect style="position:absolute;left:6004;top:2911;width:1116;height:202" filled="true" fillcolor="#bfbfbf" stroked="false">
              <v:fill type="solid"/>
            </v:rect>
            <v:rect style="position:absolute;left:8236;top:2911;width:1116;height:202" filled="true" fillcolor="#bfbfbf" stroked="false">
              <v:fill type="solid"/>
            </v:rect>
            <v:shape style="position:absolute;left:0;top:2704;width:10479;height:778" type="#_x0000_t75" stroked="false">
              <v:imagedata r:id="rId1219" o:title=""/>
            </v:shape>
            <v:shape style="position:absolute;left:0;top:3319;width:10479;height:4215" type="#_x0000_t75" stroked="false">
              <v:imagedata r:id="rId1220" o:title=""/>
            </v:shape>
            <v:shape style="position:absolute;left:0;top:4132;width:10479;height:3401" type="#_x0000_t75" stroked="false">
              <v:imagedata r:id="rId1221" o:title=""/>
            </v:shape>
            <v:shape style="position:absolute;left:40;top:610;width:3398;height:2707" type="#_x0000_t202" filled="false" stroked="false">
              <v:textbox inset="0,0,0,0">
                <w:txbxContent>
                  <w:p>
                    <w:pPr>
                      <w:spacing w:line="148" w:lineRule="exact" w:before="0"/>
                      <w:ind w:left="0" w:right="0" w:firstLine="0"/>
                      <w:jc w:val="left"/>
                      <w:rPr>
                        <w:rFonts w:ascii="Times New Roman"/>
                        <w:sz w:val="13"/>
                      </w:rPr>
                    </w:pPr>
                    <w:r>
                      <w:rPr>
                        <w:rFonts w:ascii="Times New Roman"/>
                        <w:w w:val="105"/>
                        <w:sz w:val="13"/>
                      </w:rPr>
                      <w:t>Description</w:t>
                    </w:r>
                  </w:p>
                  <w:p>
                    <w:pPr>
                      <w:numPr>
                        <w:ilvl w:val="0"/>
                        <w:numId w:val="52"/>
                      </w:numPr>
                      <w:tabs>
                        <w:tab w:pos="150" w:val="left" w:leader="none"/>
                      </w:tabs>
                      <w:spacing w:before="52"/>
                      <w:ind w:left="149" w:right="0" w:hanging="150"/>
                      <w:jc w:val="left"/>
                      <w:rPr>
                        <w:rFonts w:ascii="Times New Roman"/>
                        <w:sz w:val="13"/>
                      </w:rPr>
                    </w:pPr>
                    <w:r>
                      <w:rPr>
                        <w:rFonts w:ascii="Times New Roman"/>
                        <w:spacing w:val="-3"/>
                        <w:w w:val="105"/>
                        <w:sz w:val="13"/>
                      </w:rPr>
                      <w:t>AVAILABLE</w:t>
                    </w:r>
                    <w:r>
                      <w:rPr>
                        <w:rFonts w:ascii="Times New Roman"/>
                        <w:spacing w:val="-2"/>
                        <w:w w:val="105"/>
                        <w:sz w:val="13"/>
                      </w:rPr>
                      <w:t> </w:t>
                    </w:r>
                    <w:r>
                      <w:rPr>
                        <w:rFonts w:ascii="Times New Roman"/>
                        <w:w w:val="105"/>
                        <w:sz w:val="13"/>
                      </w:rPr>
                      <w:t>RESERVES</w:t>
                    </w:r>
                  </w:p>
                  <w:p>
                    <w:pPr>
                      <w:numPr>
                        <w:ilvl w:val="1"/>
                        <w:numId w:val="52"/>
                      </w:numPr>
                      <w:tabs>
                        <w:tab w:pos="202" w:val="left" w:leader="none"/>
                      </w:tabs>
                      <w:spacing w:before="52"/>
                      <w:ind w:left="201" w:right="0" w:hanging="135"/>
                      <w:jc w:val="left"/>
                      <w:rPr>
                        <w:rFonts w:ascii="Times New Roman"/>
                        <w:sz w:val="13"/>
                      </w:rPr>
                    </w:pPr>
                    <w:r>
                      <w:rPr>
                        <w:rFonts w:ascii="Times New Roman"/>
                        <w:w w:val="105"/>
                        <w:sz w:val="13"/>
                      </w:rPr>
                      <w:t>General</w:t>
                    </w:r>
                    <w:r>
                      <w:rPr>
                        <w:rFonts w:ascii="Times New Roman"/>
                        <w:spacing w:val="-3"/>
                        <w:w w:val="105"/>
                        <w:sz w:val="13"/>
                      </w:rPr>
                      <w:t> </w:t>
                    </w:r>
                    <w:r>
                      <w:rPr>
                        <w:rFonts w:ascii="Times New Roman"/>
                        <w:w w:val="105"/>
                        <w:sz w:val="13"/>
                      </w:rPr>
                      <w:t>Fund</w:t>
                    </w:r>
                  </w:p>
                  <w:p>
                    <w:pPr>
                      <w:numPr>
                        <w:ilvl w:val="2"/>
                        <w:numId w:val="52"/>
                      </w:numPr>
                      <w:tabs>
                        <w:tab w:pos="329" w:val="left" w:leader="none"/>
                      </w:tabs>
                      <w:spacing w:before="52"/>
                      <w:ind w:left="328" w:right="0" w:hanging="128"/>
                      <w:jc w:val="left"/>
                      <w:rPr>
                        <w:rFonts w:ascii="Times New Roman"/>
                        <w:sz w:val="13"/>
                      </w:rPr>
                    </w:pPr>
                    <w:r>
                      <w:rPr>
                        <w:rFonts w:ascii="Times New Roman"/>
                        <w:w w:val="105"/>
                        <w:sz w:val="13"/>
                      </w:rPr>
                      <w:t>Stabilization</w:t>
                    </w:r>
                    <w:r>
                      <w:rPr>
                        <w:rFonts w:ascii="Times New Roman"/>
                        <w:spacing w:val="-2"/>
                        <w:w w:val="105"/>
                        <w:sz w:val="13"/>
                      </w:rPr>
                      <w:t> </w:t>
                    </w:r>
                    <w:r>
                      <w:rPr>
                        <w:rFonts w:ascii="Times New Roman"/>
                        <w:w w:val="105"/>
                        <w:sz w:val="13"/>
                      </w:rPr>
                      <w:t>Arrangements</w:t>
                    </w:r>
                  </w:p>
                  <w:p>
                    <w:pPr>
                      <w:numPr>
                        <w:ilvl w:val="2"/>
                        <w:numId w:val="52"/>
                      </w:numPr>
                      <w:tabs>
                        <w:tab w:pos="336" w:val="left" w:leader="none"/>
                      </w:tabs>
                      <w:spacing w:before="52"/>
                      <w:ind w:left="335" w:right="0" w:hanging="135"/>
                      <w:jc w:val="left"/>
                      <w:rPr>
                        <w:rFonts w:ascii="Times New Roman"/>
                        <w:sz w:val="13"/>
                      </w:rPr>
                    </w:pPr>
                    <w:r>
                      <w:rPr>
                        <w:rFonts w:ascii="Times New Roman"/>
                        <w:w w:val="105"/>
                        <w:sz w:val="13"/>
                      </w:rPr>
                      <w:t>Reserve for Economic</w:t>
                    </w:r>
                    <w:r>
                      <w:rPr>
                        <w:rFonts w:ascii="Times New Roman"/>
                        <w:spacing w:val="-6"/>
                        <w:w w:val="105"/>
                        <w:sz w:val="13"/>
                      </w:rPr>
                      <w:t> </w:t>
                    </w:r>
                    <w:r>
                      <w:rPr>
                        <w:rFonts w:ascii="Times New Roman"/>
                        <w:w w:val="105"/>
                        <w:sz w:val="13"/>
                      </w:rPr>
                      <w:t>Uncertainties</w:t>
                    </w:r>
                  </w:p>
                  <w:p>
                    <w:pPr>
                      <w:numPr>
                        <w:ilvl w:val="2"/>
                        <w:numId w:val="52"/>
                      </w:numPr>
                      <w:tabs>
                        <w:tab w:pos="329" w:val="left" w:leader="none"/>
                      </w:tabs>
                      <w:spacing w:before="52"/>
                      <w:ind w:left="328" w:right="0" w:hanging="128"/>
                      <w:jc w:val="left"/>
                      <w:rPr>
                        <w:rFonts w:ascii="Times New Roman"/>
                        <w:sz w:val="13"/>
                      </w:rPr>
                    </w:pPr>
                    <w:r>
                      <w:rPr>
                        <w:rFonts w:ascii="Times New Roman"/>
                        <w:w w:val="105"/>
                        <w:sz w:val="13"/>
                      </w:rPr>
                      <w:t>Unassigned/Unappropriated</w:t>
                    </w:r>
                  </w:p>
                  <w:p>
                    <w:pPr>
                      <w:spacing w:before="12"/>
                      <w:ind w:left="0" w:right="0" w:firstLine="0"/>
                      <w:jc w:val="left"/>
                      <w:rPr>
                        <w:rFonts w:ascii="Times New Roman"/>
                        <w:sz w:val="13"/>
                      </w:rPr>
                    </w:pPr>
                    <w:r>
                      <w:rPr>
                        <w:rFonts w:ascii="Times New Roman"/>
                        <w:w w:val="105"/>
                        <w:sz w:val="13"/>
                      </w:rPr>
                      <w:t>(Enter reserve projections for subsequent years 1 and 2</w:t>
                    </w:r>
                  </w:p>
                  <w:p>
                    <w:pPr>
                      <w:spacing w:before="20"/>
                      <w:ind w:left="100" w:right="0" w:firstLine="0"/>
                      <w:jc w:val="left"/>
                      <w:rPr>
                        <w:rFonts w:ascii="Times New Roman"/>
                        <w:sz w:val="13"/>
                      </w:rPr>
                    </w:pPr>
                    <w:r>
                      <w:rPr>
                        <w:rFonts w:ascii="Times New Roman"/>
                        <w:w w:val="105"/>
                        <w:sz w:val="13"/>
                      </w:rPr>
                      <w:t>in</w:t>
                    </w:r>
                    <w:r>
                      <w:rPr>
                        <w:rFonts w:ascii="Times New Roman"/>
                        <w:spacing w:val="-6"/>
                        <w:w w:val="105"/>
                        <w:sz w:val="13"/>
                      </w:rPr>
                      <w:t> </w:t>
                    </w:r>
                    <w:r>
                      <w:rPr>
                        <w:rFonts w:ascii="Times New Roman"/>
                        <w:w w:val="105"/>
                        <w:sz w:val="13"/>
                      </w:rPr>
                      <w:t>Columns</w:t>
                    </w:r>
                    <w:r>
                      <w:rPr>
                        <w:rFonts w:ascii="Times New Roman"/>
                        <w:spacing w:val="-6"/>
                        <w:w w:val="105"/>
                        <w:sz w:val="13"/>
                      </w:rPr>
                      <w:t> </w:t>
                    </w:r>
                    <w:r>
                      <w:rPr>
                        <w:rFonts w:ascii="Times New Roman"/>
                        <w:w w:val="105"/>
                        <w:sz w:val="13"/>
                      </w:rPr>
                      <w:t>C</w:t>
                    </w:r>
                    <w:r>
                      <w:rPr>
                        <w:rFonts w:ascii="Times New Roman"/>
                        <w:spacing w:val="-6"/>
                        <w:w w:val="105"/>
                        <w:sz w:val="13"/>
                      </w:rPr>
                      <w:t> </w:t>
                    </w:r>
                    <w:r>
                      <w:rPr>
                        <w:rFonts w:ascii="Times New Roman"/>
                        <w:w w:val="105"/>
                        <w:sz w:val="13"/>
                      </w:rPr>
                      <w:t>and</w:t>
                    </w:r>
                    <w:r>
                      <w:rPr>
                        <w:rFonts w:ascii="Times New Roman"/>
                        <w:spacing w:val="-6"/>
                        <w:w w:val="105"/>
                        <w:sz w:val="13"/>
                      </w:rPr>
                      <w:t> </w:t>
                    </w:r>
                    <w:r>
                      <w:rPr>
                        <w:rFonts w:ascii="Times New Roman"/>
                        <w:w w:val="105"/>
                        <w:sz w:val="13"/>
                      </w:rPr>
                      <w:t>E;</w:t>
                    </w:r>
                    <w:r>
                      <w:rPr>
                        <w:rFonts w:ascii="Times New Roman"/>
                        <w:spacing w:val="-5"/>
                        <w:w w:val="105"/>
                        <w:sz w:val="13"/>
                      </w:rPr>
                      <w:t> </w:t>
                    </w:r>
                    <w:r>
                      <w:rPr>
                        <w:rFonts w:ascii="Times New Roman"/>
                        <w:w w:val="105"/>
                        <w:sz w:val="13"/>
                      </w:rPr>
                      <w:t>current</w:t>
                    </w:r>
                    <w:r>
                      <w:rPr>
                        <w:rFonts w:ascii="Times New Roman"/>
                        <w:spacing w:val="-6"/>
                        <w:w w:val="105"/>
                        <w:sz w:val="13"/>
                      </w:rPr>
                      <w:t> </w:t>
                    </w:r>
                    <w:r>
                      <w:rPr>
                        <w:rFonts w:ascii="Times New Roman"/>
                        <w:w w:val="105"/>
                        <w:sz w:val="13"/>
                      </w:rPr>
                      <w:t>year</w:t>
                    </w:r>
                    <w:r>
                      <w:rPr>
                        <w:rFonts w:ascii="Times New Roman"/>
                        <w:spacing w:val="-5"/>
                        <w:w w:val="105"/>
                        <w:sz w:val="13"/>
                      </w:rPr>
                      <w:t> </w:t>
                    </w:r>
                    <w:r>
                      <w:rPr>
                        <w:rFonts w:ascii="Times New Roman"/>
                        <w:w w:val="105"/>
                        <w:sz w:val="13"/>
                      </w:rPr>
                      <w:t>-</w:t>
                    </w:r>
                    <w:r>
                      <w:rPr>
                        <w:rFonts w:ascii="Times New Roman"/>
                        <w:spacing w:val="-8"/>
                        <w:w w:val="105"/>
                        <w:sz w:val="13"/>
                      </w:rPr>
                      <w:t> </w:t>
                    </w:r>
                    <w:r>
                      <w:rPr>
                        <w:rFonts w:ascii="Times New Roman"/>
                        <w:w w:val="105"/>
                        <w:sz w:val="13"/>
                      </w:rPr>
                      <w:t>Column</w:t>
                    </w:r>
                    <w:r>
                      <w:rPr>
                        <w:rFonts w:ascii="Times New Roman"/>
                        <w:spacing w:val="-5"/>
                        <w:w w:val="105"/>
                        <w:sz w:val="13"/>
                      </w:rPr>
                      <w:t> </w:t>
                    </w:r>
                    <w:r>
                      <w:rPr>
                        <w:rFonts w:ascii="Times New Roman"/>
                        <w:w w:val="105"/>
                        <w:sz w:val="13"/>
                      </w:rPr>
                      <w:t>A</w:t>
                    </w:r>
                    <w:r>
                      <w:rPr>
                        <w:rFonts w:ascii="Times New Roman"/>
                        <w:spacing w:val="-9"/>
                        <w:w w:val="105"/>
                        <w:sz w:val="13"/>
                      </w:rPr>
                      <w:t> </w:t>
                    </w:r>
                    <w:r>
                      <w:rPr>
                        <w:rFonts w:ascii="Times New Roman"/>
                        <w:w w:val="105"/>
                        <w:sz w:val="13"/>
                      </w:rPr>
                      <w:t>-</w:t>
                    </w:r>
                    <w:r>
                      <w:rPr>
                        <w:rFonts w:ascii="Times New Roman"/>
                        <w:spacing w:val="-7"/>
                        <w:w w:val="105"/>
                        <w:sz w:val="13"/>
                      </w:rPr>
                      <w:t> </w:t>
                    </w:r>
                    <w:r>
                      <w:rPr>
                        <w:rFonts w:ascii="Times New Roman"/>
                        <w:w w:val="105"/>
                        <w:sz w:val="13"/>
                      </w:rPr>
                      <w:t>is</w:t>
                    </w:r>
                    <w:r>
                      <w:rPr>
                        <w:rFonts w:ascii="Times New Roman"/>
                        <w:spacing w:val="-6"/>
                        <w:w w:val="105"/>
                        <w:sz w:val="13"/>
                      </w:rPr>
                      <w:t> </w:t>
                    </w:r>
                    <w:r>
                      <w:rPr>
                        <w:rFonts w:ascii="Times New Roman"/>
                        <w:w w:val="105"/>
                        <w:sz w:val="13"/>
                      </w:rPr>
                      <w:t>extracted.)</w:t>
                    </w:r>
                  </w:p>
                  <w:p>
                    <w:pPr>
                      <w:numPr>
                        <w:ilvl w:val="1"/>
                        <w:numId w:val="52"/>
                      </w:numPr>
                      <w:tabs>
                        <w:tab w:pos="202" w:val="left" w:leader="none"/>
                      </w:tabs>
                      <w:spacing w:before="53"/>
                      <w:ind w:left="201" w:right="0" w:hanging="135"/>
                      <w:jc w:val="left"/>
                      <w:rPr>
                        <w:rFonts w:ascii="Times New Roman"/>
                        <w:sz w:val="13"/>
                      </w:rPr>
                    </w:pPr>
                    <w:r>
                      <w:rPr>
                        <w:rFonts w:ascii="Times New Roman"/>
                        <w:w w:val="105"/>
                        <w:sz w:val="13"/>
                      </w:rPr>
                      <w:t>Special</w:t>
                    </w:r>
                    <w:r>
                      <w:rPr>
                        <w:rFonts w:ascii="Times New Roman"/>
                        <w:spacing w:val="-7"/>
                        <w:w w:val="105"/>
                        <w:sz w:val="13"/>
                      </w:rPr>
                      <w:t> </w:t>
                    </w:r>
                    <w:r>
                      <w:rPr>
                        <w:rFonts w:ascii="Times New Roman"/>
                        <w:w w:val="105"/>
                        <w:sz w:val="13"/>
                      </w:rPr>
                      <w:t>Reserve</w:t>
                    </w:r>
                    <w:r>
                      <w:rPr>
                        <w:rFonts w:ascii="Times New Roman"/>
                        <w:spacing w:val="-4"/>
                        <w:w w:val="105"/>
                        <w:sz w:val="13"/>
                      </w:rPr>
                      <w:t> </w:t>
                    </w:r>
                    <w:r>
                      <w:rPr>
                        <w:rFonts w:ascii="Times New Roman"/>
                        <w:w w:val="105"/>
                        <w:sz w:val="13"/>
                      </w:rPr>
                      <w:t>Fund</w:t>
                    </w:r>
                    <w:r>
                      <w:rPr>
                        <w:rFonts w:ascii="Times New Roman"/>
                        <w:spacing w:val="-4"/>
                        <w:w w:val="105"/>
                        <w:sz w:val="13"/>
                      </w:rPr>
                      <w:t> </w:t>
                    </w:r>
                    <w:r>
                      <w:rPr>
                        <w:rFonts w:ascii="Times New Roman"/>
                        <w:w w:val="105"/>
                        <w:sz w:val="13"/>
                      </w:rPr>
                      <w:t>-</w:t>
                    </w:r>
                    <w:r>
                      <w:rPr>
                        <w:rFonts w:ascii="Times New Roman"/>
                        <w:spacing w:val="-6"/>
                        <w:w w:val="105"/>
                        <w:sz w:val="13"/>
                      </w:rPr>
                      <w:t> </w:t>
                    </w:r>
                    <w:r>
                      <w:rPr>
                        <w:rFonts w:ascii="Times New Roman"/>
                        <w:w w:val="105"/>
                        <w:sz w:val="13"/>
                      </w:rPr>
                      <w:t>Noncapital</w:t>
                    </w:r>
                    <w:r>
                      <w:rPr>
                        <w:rFonts w:ascii="Times New Roman"/>
                        <w:spacing w:val="-7"/>
                        <w:w w:val="105"/>
                        <w:sz w:val="13"/>
                      </w:rPr>
                      <w:t> </w:t>
                    </w:r>
                    <w:r>
                      <w:rPr>
                        <w:rFonts w:ascii="Times New Roman"/>
                        <w:w w:val="105"/>
                        <w:sz w:val="13"/>
                      </w:rPr>
                      <w:t>Outlay</w:t>
                    </w:r>
                    <w:r>
                      <w:rPr>
                        <w:rFonts w:ascii="Times New Roman"/>
                        <w:spacing w:val="-7"/>
                        <w:w w:val="105"/>
                        <w:sz w:val="13"/>
                      </w:rPr>
                      <w:t> </w:t>
                    </w:r>
                    <w:r>
                      <w:rPr>
                        <w:rFonts w:ascii="Times New Roman"/>
                        <w:w w:val="105"/>
                        <w:sz w:val="13"/>
                      </w:rPr>
                      <w:t>(Fund</w:t>
                    </w:r>
                    <w:r>
                      <w:rPr>
                        <w:rFonts w:ascii="Times New Roman"/>
                        <w:spacing w:val="-4"/>
                        <w:w w:val="105"/>
                        <w:sz w:val="13"/>
                      </w:rPr>
                      <w:t> </w:t>
                    </w:r>
                    <w:r>
                      <w:rPr>
                        <w:rFonts w:ascii="Times New Roman"/>
                        <w:w w:val="105"/>
                        <w:sz w:val="13"/>
                      </w:rPr>
                      <w:t>17)</w:t>
                    </w:r>
                  </w:p>
                  <w:p>
                    <w:pPr>
                      <w:numPr>
                        <w:ilvl w:val="2"/>
                        <w:numId w:val="52"/>
                      </w:numPr>
                      <w:tabs>
                        <w:tab w:pos="329" w:val="left" w:leader="none"/>
                      </w:tabs>
                      <w:spacing w:before="52"/>
                      <w:ind w:left="328" w:right="0" w:hanging="128"/>
                      <w:jc w:val="left"/>
                      <w:rPr>
                        <w:rFonts w:ascii="Times New Roman"/>
                        <w:sz w:val="13"/>
                      </w:rPr>
                    </w:pPr>
                    <w:r>
                      <w:rPr>
                        <w:rFonts w:ascii="Times New Roman"/>
                        <w:w w:val="105"/>
                        <w:sz w:val="13"/>
                      </w:rPr>
                      <w:t>Stabilization</w:t>
                    </w:r>
                    <w:r>
                      <w:rPr>
                        <w:rFonts w:ascii="Times New Roman"/>
                        <w:spacing w:val="-2"/>
                        <w:w w:val="105"/>
                        <w:sz w:val="13"/>
                      </w:rPr>
                      <w:t> </w:t>
                    </w:r>
                    <w:r>
                      <w:rPr>
                        <w:rFonts w:ascii="Times New Roman"/>
                        <w:w w:val="105"/>
                        <w:sz w:val="13"/>
                      </w:rPr>
                      <w:t>Arrangements</w:t>
                    </w:r>
                  </w:p>
                  <w:p>
                    <w:pPr>
                      <w:numPr>
                        <w:ilvl w:val="2"/>
                        <w:numId w:val="52"/>
                      </w:numPr>
                      <w:tabs>
                        <w:tab w:pos="336" w:val="left" w:leader="none"/>
                      </w:tabs>
                      <w:spacing w:before="52"/>
                      <w:ind w:left="335" w:right="0" w:hanging="135"/>
                      <w:jc w:val="left"/>
                      <w:rPr>
                        <w:rFonts w:ascii="Times New Roman"/>
                        <w:sz w:val="13"/>
                      </w:rPr>
                    </w:pPr>
                    <w:r>
                      <w:rPr>
                        <w:rFonts w:ascii="Times New Roman"/>
                        <w:w w:val="105"/>
                        <w:sz w:val="13"/>
                      </w:rPr>
                      <w:t>Reserve for Economic</w:t>
                    </w:r>
                    <w:r>
                      <w:rPr>
                        <w:rFonts w:ascii="Times New Roman"/>
                        <w:spacing w:val="-6"/>
                        <w:w w:val="105"/>
                        <w:sz w:val="13"/>
                      </w:rPr>
                      <w:t> </w:t>
                    </w:r>
                    <w:r>
                      <w:rPr>
                        <w:rFonts w:ascii="Times New Roman"/>
                        <w:w w:val="105"/>
                        <w:sz w:val="13"/>
                      </w:rPr>
                      <w:t>Uncertainties</w:t>
                    </w:r>
                  </w:p>
                  <w:p>
                    <w:pPr>
                      <w:numPr>
                        <w:ilvl w:val="2"/>
                        <w:numId w:val="52"/>
                      </w:numPr>
                      <w:tabs>
                        <w:tab w:pos="329" w:val="left" w:leader="none"/>
                      </w:tabs>
                      <w:spacing w:before="52"/>
                      <w:ind w:left="328" w:right="0" w:hanging="128"/>
                      <w:jc w:val="left"/>
                      <w:rPr>
                        <w:rFonts w:ascii="Times New Roman"/>
                        <w:sz w:val="13"/>
                      </w:rPr>
                    </w:pPr>
                    <w:r>
                      <w:rPr>
                        <w:rFonts w:ascii="Times New Roman"/>
                        <w:w w:val="105"/>
                        <w:sz w:val="13"/>
                      </w:rPr>
                      <w:t>Unassigned/Unappropriated</w:t>
                    </w:r>
                  </w:p>
                  <w:p>
                    <w:pPr>
                      <w:numPr>
                        <w:ilvl w:val="1"/>
                        <w:numId w:val="52"/>
                      </w:numPr>
                      <w:tabs>
                        <w:tab w:pos="202" w:val="left" w:leader="none"/>
                      </w:tabs>
                      <w:spacing w:before="52"/>
                      <w:ind w:left="201" w:right="0" w:hanging="135"/>
                      <w:jc w:val="left"/>
                      <w:rPr>
                        <w:rFonts w:ascii="Times New Roman"/>
                        <w:sz w:val="13"/>
                      </w:rPr>
                    </w:pPr>
                    <w:r>
                      <w:rPr>
                        <w:rFonts w:ascii="Times New Roman"/>
                        <w:w w:val="105"/>
                        <w:sz w:val="13"/>
                      </w:rPr>
                      <w:t>Total</w:t>
                    </w:r>
                    <w:r>
                      <w:rPr>
                        <w:rFonts w:ascii="Times New Roman"/>
                        <w:spacing w:val="-6"/>
                        <w:w w:val="105"/>
                        <w:sz w:val="13"/>
                      </w:rPr>
                      <w:t> </w:t>
                    </w:r>
                    <w:r>
                      <w:rPr>
                        <w:rFonts w:ascii="Times New Roman"/>
                        <w:w w:val="105"/>
                        <w:sz w:val="13"/>
                      </w:rPr>
                      <w:t>Available</w:t>
                    </w:r>
                    <w:r>
                      <w:rPr>
                        <w:rFonts w:ascii="Times New Roman"/>
                        <w:spacing w:val="-4"/>
                        <w:w w:val="105"/>
                        <w:sz w:val="13"/>
                      </w:rPr>
                      <w:t> </w:t>
                    </w:r>
                    <w:r>
                      <w:rPr>
                        <w:rFonts w:ascii="Times New Roman"/>
                        <w:w w:val="105"/>
                        <w:sz w:val="13"/>
                      </w:rPr>
                      <w:t>Reserves</w:t>
                    </w:r>
                    <w:r>
                      <w:rPr>
                        <w:rFonts w:ascii="Times New Roman"/>
                        <w:spacing w:val="-4"/>
                        <w:w w:val="105"/>
                        <w:sz w:val="13"/>
                      </w:rPr>
                      <w:t> </w:t>
                    </w:r>
                    <w:r>
                      <w:rPr>
                        <w:rFonts w:ascii="Times New Roman"/>
                        <w:w w:val="105"/>
                        <w:sz w:val="13"/>
                      </w:rPr>
                      <w:t>(Sum</w:t>
                    </w:r>
                    <w:r>
                      <w:rPr>
                        <w:rFonts w:ascii="Times New Roman"/>
                        <w:spacing w:val="-5"/>
                        <w:w w:val="105"/>
                        <w:sz w:val="13"/>
                      </w:rPr>
                      <w:t> </w:t>
                    </w:r>
                    <w:r>
                      <w:rPr>
                        <w:rFonts w:ascii="Times New Roman"/>
                        <w:w w:val="105"/>
                        <w:sz w:val="13"/>
                      </w:rPr>
                      <w:t>lines</w:t>
                    </w:r>
                    <w:r>
                      <w:rPr>
                        <w:rFonts w:ascii="Times New Roman"/>
                        <w:spacing w:val="-4"/>
                        <w:w w:val="105"/>
                        <w:sz w:val="13"/>
                      </w:rPr>
                      <w:t> </w:t>
                    </w:r>
                    <w:r>
                      <w:rPr>
                        <w:rFonts w:ascii="Times New Roman"/>
                        <w:w w:val="105"/>
                        <w:sz w:val="13"/>
                      </w:rPr>
                      <w:t>E1a</w:t>
                    </w:r>
                    <w:r>
                      <w:rPr>
                        <w:rFonts w:ascii="Times New Roman"/>
                        <w:spacing w:val="-4"/>
                        <w:w w:val="105"/>
                        <w:sz w:val="13"/>
                      </w:rPr>
                      <w:t> </w:t>
                    </w:r>
                    <w:r>
                      <w:rPr>
                        <w:rFonts w:ascii="Times New Roman"/>
                        <w:w w:val="105"/>
                        <w:sz w:val="13"/>
                      </w:rPr>
                      <w:t>thru</w:t>
                    </w:r>
                    <w:r>
                      <w:rPr>
                        <w:rFonts w:ascii="Times New Roman"/>
                        <w:spacing w:val="-3"/>
                        <w:w w:val="105"/>
                        <w:sz w:val="13"/>
                      </w:rPr>
                      <w:t> </w:t>
                    </w:r>
                    <w:r>
                      <w:rPr>
                        <w:rFonts w:ascii="Times New Roman"/>
                        <w:w w:val="105"/>
                        <w:sz w:val="13"/>
                      </w:rPr>
                      <w:t>E2c)</w:t>
                    </w:r>
                  </w:p>
                  <w:p>
                    <w:pPr>
                      <w:numPr>
                        <w:ilvl w:val="0"/>
                        <w:numId w:val="52"/>
                      </w:numPr>
                      <w:tabs>
                        <w:tab w:pos="140" w:val="left" w:leader="none"/>
                      </w:tabs>
                      <w:spacing w:before="62"/>
                      <w:ind w:left="139" w:right="0" w:hanging="140"/>
                      <w:jc w:val="left"/>
                      <w:rPr>
                        <w:rFonts w:ascii="Times New Roman"/>
                        <w:sz w:val="13"/>
                      </w:rPr>
                    </w:pPr>
                    <w:r>
                      <w:rPr>
                        <w:rFonts w:ascii="Times New Roman"/>
                        <w:w w:val="105"/>
                        <w:sz w:val="13"/>
                      </w:rPr>
                      <w:t>ASSUMPTIONS</w:t>
                    </w:r>
                  </w:p>
                </w:txbxContent>
              </v:textbox>
              <w10:wrap type="none"/>
            </v:shape>
            <v:shape style="position:absolute;left:4072;top:456;width:379;height:303" type="#_x0000_t202" filled="false" stroked="false">
              <v:textbox inset="0,0,0,0">
                <w:txbxContent>
                  <w:p>
                    <w:pPr>
                      <w:spacing w:line="247" w:lineRule="auto" w:before="0"/>
                      <w:ind w:left="12" w:right="5" w:hanging="12"/>
                      <w:jc w:val="left"/>
                      <w:rPr>
                        <w:rFonts w:ascii="Times New Roman"/>
                        <w:sz w:val="13"/>
                      </w:rPr>
                    </w:pPr>
                    <w:r>
                      <w:rPr>
                        <w:rFonts w:ascii="Times New Roman"/>
                        <w:sz w:val="13"/>
                      </w:rPr>
                      <w:t>Object </w:t>
                    </w:r>
                    <w:r>
                      <w:rPr>
                        <w:rFonts w:ascii="Times New Roman"/>
                        <w:w w:val="105"/>
                        <w:sz w:val="13"/>
                      </w:rPr>
                      <w:t>Codes</w:t>
                    </w:r>
                  </w:p>
                </w:txbxContent>
              </v:textbox>
              <w10:wrap type="none"/>
            </v:shape>
            <v:shape style="position:absolute;left:5162;top:149;width:567;height:610" type="#_x0000_t202" filled="false" stroked="false">
              <v:textbox inset="0,0,0,0">
                <w:txbxContent>
                  <w:p>
                    <w:pPr>
                      <w:spacing w:line="148" w:lineRule="exact" w:before="0"/>
                      <w:ind w:left="27" w:right="45" w:firstLine="0"/>
                      <w:jc w:val="center"/>
                      <w:rPr>
                        <w:rFonts w:ascii="Times New Roman"/>
                        <w:sz w:val="13"/>
                      </w:rPr>
                    </w:pPr>
                    <w:r>
                      <w:rPr>
                        <w:rFonts w:ascii="Times New Roman"/>
                        <w:w w:val="105"/>
                        <w:sz w:val="13"/>
                      </w:rPr>
                      <w:t>2021-22</w:t>
                    </w:r>
                  </w:p>
                  <w:p>
                    <w:pPr>
                      <w:spacing w:line="247" w:lineRule="auto" w:before="4"/>
                      <w:ind w:left="0" w:right="18" w:firstLine="2"/>
                      <w:jc w:val="center"/>
                      <w:rPr>
                        <w:rFonts w:ascii="Times New Roman"/>
                        <w:sz w:val="13"/>
                      </w:rPr>
                    </w:pPr>
                    <w:r>
                      <w:rPr>
                        <w:rFonts w:ascii="Times New Roman"/>
                        <w:w w:val="105"/>
                        <w:sz w:val="13"/>
                      </w:rPr>
                      <w:t>Budget (Form </w:t>
                    </w:r>
                    <w:r>
                      <w:rPr>
                        <w:rFonts w:ascii="Times New Roman"/>
                        <w:spacing w:val="-5"/>
                        <w:w w:val="105"/>
                        <w:sz w:val="13"/>
                      </w:rPr>
                      <w:t>01) </w:t>
                    </w:r>
                    <w:r>
                      <w:rPr>
                        <w:rFonts w:ascii="Times New Roman"/>
                        <w:w w:val="105"/>
                        <w:sz w:val="13"/>
                      </w:rPr>
                      <w:t>(A)</w:t>
                    </w:r>
                  </w:p>
                </w:txbxContent>
              </v:textbox>
              <w10:wrap type="none"/>
            </v:shape>
            <v:shape style="position:absolute;left:6187;top:149;width:779;height:610" type="#_x0000_t202" filled="false" stroked="false">
              <v:textbox inset="0,0,0,0">
                <w:txbxContent>
                  <w:p>
                    <w:pPr>
                      <w:spacing w:line="148" w:lineRule="exact" w:before="0"/>
                      <w:ind w:left="14" w:right="0" w:firstLine="0"/>
                      <w:jc w:val="center"/>
                      <w:rPr>
                        <w:rFonts w:ascii="Times New Roman"/>
                        <w:sz w:val="13"/>
                      </w:rPr>
                    </w:pPr>
                    <w:r>
                      <w:rPr>
                        <w:rFonts w:ascii="Times New Roman"/>
                        <w:w w:val="103"/>
                        <w:sz w:val="13"/>
                      </w:rPr>
                      <w:t>%</w:t>
                    </w:r>
                  </w:p>
                  <w:p>
                    <w:pPr>
                      <w:spacing w:line="247" w:lineRule="auto" w:before="4"/>
                      <w:ind w:left="0" w:right="18" w:firstLine="3"/>
                      <w:jc w:val="center"/>
                      <w:rPr>
                        <w:rFonts w:ascii="Times New Roman"/>
                        <w:sz w:val="13"/>
                      </w:rPr>
                    </w:pPr>
                    <w:r>
                      <w:rPr>
                        <w:rFonts w:ascii="Times New Roman"/>
                        <w:w w:val="105"/>
                        <w:sz w:val="13"/>
                      </w:rPr>
                      <w:t>Change (Cols.</w:t>
                    </w:r>
                    <w:r>
                      <w:rPr>
                        <w:rFonts w:ascii="Times New Roman"/>
                        <w:spacing w:val="-8"/>
                        <w:w w:val="105"/>
                        <w:sz w:val="13"/>
                      </w:rPr>
                      <w:t> </w:t>
                    </w:r>
                    <w:r>
                      <w:rPr>
                        <w:rFonts w:ascii="Times New Roman"/>
                        <w:spacing w:val="-5"/>
                        <w:w w:val="105"/>
                        <w:sz w:val="13"/>
                      </w:rPr>
                      <w:t>C-A/A) </w:t>
                    </w:r>
                    <w:r>
                      <w:rPr>
                        <w:rFonts w:ascii="Times New Roman"/>
                        <w:w w:val="105"/>
                        <w:sz w:val="13"/>
                      </w:rPr>
                      <w:t>(B)</w:t>
                    </w:r>
                  </w:p>
                </w:txbxContent>
              </v:textbox>
              <w10:wrap type="none"/>
            </v:shape>
            <v:shape style="position:absolute;left:7406;top:302;width:577;height:456" type="#_x0000_t202" filled="false" stroked="false">
              <v:textbox inset="0,0,0,0">
                <w:txbxContent>
                  <w:p>
                    <w:pPr>
                      <w:spacing w:line="148" w:lineRule="exact" w:before="0"/>
                      <w:ind w:left="55" w:right="0" w:firstLine="0"/>
                      <w:jc w:val="left"/>
                      <w:rPr>
                        <w:rFonts w:ascii="Times New Roman"/>
                        <w:sz w:val="13"/>
                      </w:rPr>
                    </w:pPr>
                    <w:r>
                      <w:rPr>
                        <w:rFonts w:ascii="Times New Roman"/>
                        <w:w w:val="105"/>
                        <w:sz w:val="13"/>
                      </w:rPr>
                      <w:t>2022-23</w:t>
                    </w:r>
                  </w:p>
                  <w:p>
                    <w:pPr>
                      <w:spacing w:line="247" w:lineRule="auto" w:before="4"/>
                      <w:ind w:left="187" w:right="0" w:hanging="188"/>
                      <w:jc w:val="left"/>
                      <w:rPr>
                        <w:rFonts w:ascii="Times New Roman"/>
                        <w:sz w:val="13"/>
                      </w:rPr>
                    </w:pPr>
                    <w:r>
                      <w:rPr>
                        <w:rFonts w:ascii="Times New Roman"/>
                        <w:sz w:val="13"/>
                      </w:rPr>
                      <w:t>Projection </w:t>
                    </w:r>
                    <w:r>
                      <w:rPr>
                        <w:rFonts w:ascii="Times New Roman"/>
                        <w:w w:val="105"/>
                        <w:sz w:val="13"/>
                      </w:rPr>
                      <w:t>(C)</w:t>
                    </w:r>
                  </w:p>
                </w:txbxContent>
              </v:textbox>
              <w10:wrap type="none"/>
            </v:shape>
            <v:shape style="position:absolute;left:8428;top:149;width:763;height:610" type="#_x0000_t202" filled="false" stroked="false">
              <v:textbox inset="0,0,0,0">
                <w:txbxContent>
                  <w:p>
                    <w:pPr>
                      <w:spacing w:line="148" w:lineRule="exact" w:before="0"/>
                      <w:ind w:left="0" w:right="19" w:firstLine="0"/>
                      <w:jc w:val="center"/>
                      <w:rPr>
                        <w:rFonts w:ascii="Times New Roman"/>
                        <w:sz w:val="13"/>
                      </w:rPr>
                    </w:pPr>
                    <w:r>
                      <w:rPr>
                        <w:rFonts w:ascii="Times New Roman"/>
                        <w:w w:val="103"/>
                        <w:sz w:val="13"/>
                      </w:rPr>
                      <w:t>%</w:t>
                    </w:r>
                  </w:p>
                  <w:p>
                    <w:pPr>
                      <w:spacing w:line="247" w:lineRule="auto" w:before="4"/>
                      <w:ind w:left="0" w:right="18" w:firstLine="0"/>
                      <w:jc w:val="center"/>
                      <w:rPr>
                        <w:rFonts w:ascii="Times New Roman"/>
                        <w:sz w:val="13"/>
                      </w:rPr>
                    </w:pPr>
                    <w:r>
                      <w:rPr>
                        <w:rFonts w:ascii="Times New Roman"/>
                        <w:w w:val="105"/>
                        <w:sz w:val="13"/>
                      </w:rPr>
                      <w:t>Change (Cols. </w:t>
                    </w:r>
                    <w:r>
                      <w:rPr>
                        <w:rFonts w:ascii="Times New Roman"/>
                        <w:spacing w:val="-4"/>
                        <w:w w:val="105"/>
                        <w:sz w:val="13"/>
                      </w:rPr>
                      <w:t>E-C/C) </w:t>
                    </w:r>
                    <w:r>
                      <w:rPr>
                        <w:rFonts w:ascii="Times New Roman"/>
                        <w:w w:val="105"/>
                        <w:sz w:val="13"/>
                      </w:rPr>
                      <w:t>(D)</w:t>
                    </w:r>
                  </w:p>
                </w:txbxContent>
              </v:textbox>
              <w10:wrap type="none"/>
            </v:shape>
            <v:shape style="position:absolute;left:9638;top:302;width:577;height:456" type="#_x0000_t202" filled="false" stroked="false">
              <v:textbox inset="0,0,0,0">
                <w:txbxContent>
                  <w:p>
                    <w:pPr>
                      <w:spacing w:line="148" w:lineRule="exact" w:before="0"/>
                      <w:ind w:left="55" w:right="0" w:firstLine="0"/>
                      <w:jc w:val="left"/>
                      <w:rPr>
                        <w:rFonts w:ascii="Times New Roman"/>
                        <w:sz w:val="13"/>
                      </w:rPr>
                    </w:pPr>
                    <w:r>
                      <w:rPr>
                        <w:rFonts w:ascii="Times New Roman"/>
                        <w:w w:val="105"/>
                        <w:sz w:val="13"/>
                      </w:rPr>
                      <w:t>2023-24</w:t>
                    </w:r>
                  </w:p>
                  <w:p>
                    <w:pPr>
                      <w:spacing w:line="247" w:lineRule="auto" w:before="4"/>
                      <w:ind w:left="191" w:right="0" w:hanging="192"/>
                      <w:jc w:val="left"/>
                      <w:rPr>
                        <w:rFonts w:ascii="Times New Roman"/>
                        <w:sz w:val="13"/>
                      </w:rPr>
                    </w:pPr>
                    <w:r>
                      <w:rPr>
                        <w:rFonts w:ascii="Times New Roman"/>
                        <w:sz w:val="13"/>
                      </w:rPr>
                      <w:t>Projection </w:t>
                    </w:r>
                    <w:r>
                      <w:rPr>
                        <w:rFonts w:ascii="Times New Roman"/>
                        <w:w w:val="105"/>
                        <w:sz w:val="13"/>
                      </w:rPr>
                      <w:t>(E)</w:t>
                    </w:r>
                  </w:p>
                </w:txbxContent>
              </v:textbox>
              <w10:wrap type="none"/>
            </v:shape>
            <v:shape style="position:absolute;left:4111;top:1214;width:289;height:552" type="#_x0000_t202" filled="false" stroked="false">
              <v:textbox inset="0,0,0,0">
                <w:txbxContent>
                  <w:p>
                    <w:pPr>
                      <w:spacing w:line="148" w:lineRule="exact" w:before="0"/>
                      <w:ind w:left="0" w:right="0" w:firstLine="0"/>
                      <w:jc w:val="left"/>
                      <w:rPr>
                        <w:rFonts w:ascii="Times New Roman"/>
                        <w:sz w:val="13"/>
                      </w:rPr>
                    </w:pPr>
                    <w:r>
                      <w:rPr>
                        <w:rFonts w:ascii="Times New Roman"/>
                        <w:w w:val="105"/>
                        <w:sz w:val="13"/>
                      </w:rPr>
                      <w:t>9750</w:t>
                    </w:r>
                  </w:p>
                  <w:p>
                    <w:pPr>
                      <w:spacing w:before="52"/>
                      <w:ind w:left="0" w:right="0" w:firstLine="0"/>
                      <w:jc w:val="left"/>
                      <w:rPr>
                        <w:rFonts w:ascii="Times New Roman"/>
                        <w:sz w:val="13"/>
                      </w:rPr>
                    </w:pPr>
                    <w:r>
                      <w:rPr>
                        <w:rFonts w:ascii="Times New Roman"/>
                        <w:w w:val="105"/>
                        <w:sz w:val="13"/>
                      </w:rPr>
                      <w:t>9789</w:t>
                    </w:r>
                  </w:p>
                  <w:p>
                    <w:pPr>
                      <w:spacing w:before="52"/>
                      <w:ind w:left="0" w:right="0" w:firstLine="0"/>
                      <w:jc w:val="left"/>
                      <w:rPr>
                        <w:rFonts w:ascii="Times New Roman"/>
                        <w:sz w:val="13"/>
                      </w:rPr>
                    </w:pPr>
                    <w:r>
                      <w:rPr>
                        <w:rFonts w:ascii="Times New Roman"/>
                        <w:w w:val="105"/>
                        <w:sz w:val="13"/>
                      </w:rPr>
                      <w:t>9790</w:t>
                    </w:r>
                  </w:p>
                </w:txbxContent>
              </v:textbox>
              <w10:wrap type="none"/>
            </v:shape>
            <v:shape style="position:absolute;left:5222;top:1214;width:726;height:552" type="#_x0000_t202" filled="false" stroked="false">
              <v:textbox inset="0,0,0,0">
                <w:txbxContent>
                  <w:p>
                    <w:pPr>
                      <w:spacing w:line="148" w:lineRule="exact" w:before="0"/>
                      <w:ind w:left="0" w:right="18" w:firstLine="0"/>
                      <w:jc w:val="right"/>
                      <w:rPr>
                        <w:rFonts w:ascii="Times New Roman"/>
                        <w:sz w:val="13"/>
                      </w:rPr>
                    </w:pPr>
                    <w:r>
                      <w:rPr>
                        <w:rFonts w:ascii="Times New Roman"/>
                        <w:spacing w:val="-1"/>
                        <w:sz w:val="13"/>
                      </w:rPr>
                      <w:t>0.00</w:t>
                    </w:r>
                  </w:p>
                  <w:p>
                    <w:pPr>
                      <w:spacing w:before="52"/>
                      <w:ind w:left="0" w:right="18" w:firstLine="0"/>
                      <w:jc w:val="right"/>
                      <w:rPr>
                        <w:rFonts w:ascii="Times New Roman"/>
                        <w:sz w:val="13"/>
                      </w:rPr>
                    </w:pPr>
                    <w:r>
                      <w:rPr>
                        <w:rFonts w:ascii="Times New Roman"/>
                        <w:sz w:val="13"/>
                      </w:rPr>
                      <w:t>105,868.70</w:t>
                    </w:r>
                  </w:p>
                  <w:p>
                    <w:pPr>
                      <w:spacing w:before="52"/>
                      <w:ind w:left="0" w:right="18" w:firstLine="0"/>
                      <w:jc w:val="right"/>
                      <w:rPr>
                        <w:rFonts w:ascii="Times New Roman"/>
                        <w:sz w:val="13"/>
                      </w:rPr>
                    </w:pPr>
                    <w:r>
                      <w:rPr>
                        <w:rFonts w:ascii="Times New Roman"/>
                        <w:sz w:val="13"/>
                      </w:rPr>
                      <w:t>1,415,135.30</w:t>
                    </w:r>
                  </w:p>
                </w:txbxContent>
              </v:textbox>
              <w10:wrap type="none"/>
            </v:shape>
            <v:shape style="position:absolute;left:7454;top:1214;width:726;height:552" type="#_x0000_t202" filled="false" stroked="false">
              <v:textbox inset="0,0,0,0">
                <w:txbxContent>
                  <w:p>
                    <w:pPr>
                      <w:spacing w:line="148" w:lineRule="exact" w:before="0"/>
                      <w:ind w:left="0" w:right="18" w:firstLine="0"/>
                      <w:jc w:val="right"/>
                      <w:rPr>
                        <w:rFonts w:ascii="Times New Roman"/>
                        <w:sz w:val="13"/>
                      </w:rPr>
                    </w:pPr>
                    <w:r>
                      <w:rPr>
                        <w:rFonts w:ascii="Times New Roman"/>
                        <w:spacing w:val="-1"/>
                        <w:sz w:val="13"/>
                      </w:rPr>
                      <w:t>0.00</w:t>
                    </w:r>
                  </w:p>
                  <w:p>
                    <w:pPr>
                      <w:spacing w:before="52"/>
                      <w:ind w:left="0" w:right="18" w:firstLine="0"/>
                      <w:jc w:val="right"/>
                      <w:rPr>
                        <w:rFonts w:ascii="Times New Roman"/>
                        <w:sz w:val="13"/>
                      </w:rPr>
                    </w:pPr>
                    <w:r>
                      <w:rPr>
                        <w:rFonts w:ascii="Times New Roman"/>
                        <w:spacing w:val="-1"/>
                        <w:sz w:val="13"/>
                      </w:rPr>
                      <w:t>99,908.13</w:t>
                    </w:r>
                  </w:p>
                  <w:p>
                    <w:pPr>
                      <w:spacing w:before="52"/>
                      <w:ind w:left="0" w:right="18" w:firstLine="0"/>
                      <w:jc w:val="right"/>
                      <w:rPr>
                        <w:rFonts w:ascii="Times New Roman"/>
                        <w:sz w:val="13"/>
                      </w:rPr>
                    </w:pPr>
                    <w:r>
                      <w:rPr>
                        <w:rFonts w:ascii="Times New Roman"/>
                        <w:sz w:val="13"/>
                      </w:rPr>
                      <w:t>1,430,046.87</w:t>
                    </w:r>
                  </w:p>
                </w:txbxContent>
              </v:textbox>
              <w10:wrap type="none"/>
            </v:shape>
            <v:shape style="position:absolute;left:9686;top:1214;width:726;height:552" type="#_x0000_t202" filled="false" stroked="false">
              <v:textbox inset="0,0,0,0">
                <w:txbxContent>
                  <w:p>
                    <w:pPr>
                      <w:spacing w:line="148" w:lineRule="exact" w:before="0"/>
                      <w:ind w:left="0" w:right="18" w:firstLine="0"/>
                      <w:jc w:val="right"/>
                      <w:rPr>
                        <w:rFonts w:ascii="Times New Roman"/>
                        <w:sz w:val="13"/>
                      </w:rPr>
                    </w:pPr>
                    <w:r>
                      <w:rPr>
                        <w:rFonts w:ascii="Times New Roman"/>
                        <w:spacing w:val="-1"/>
                        <w:sz w:val="13"/>
                      </w:rPr>
                      <w:t>0.00</w:t>
                    </w:r>
                  </w:p>
                  <w:p>
                    <w:pPr>
                      <w:spacing w:before="52"/>
                      <w:ind w:left="0" w:right="18" w:firstLine="0"/>
                      <w:jc w:val="right"/>
                      <w:rPr>
                        <w:rFonts w:ascii="Times New Roman"/>
                        <w:sz w:val="13"/>
                      </w:rPr>
                    </w:pPr>
                    <w:r>
                      <w:rPr>
                        <w:rFonts w:ascii="Times New Roman"/>
                        <w:sz w:val="13"/>
                      </w:rPr>
                      <w:t>102,017.65</w:t>
                    </w:r>
                  </w:p>
                  <w:p>
                    <w:pPr>
                      <w:spacing w:before="52"/>
                      <w:ind w:left="0" w:right="18" w:firstLine="0"/>
                      <w:jc w:val="right"/>
                      <w:rPr>
                        <w:rFonts w:ascii="Times New Roman"/>
                        <w:sz w:val="13"/>
                      </w:rPr>
                    </w:pPr>
                    <w:r>
                      <w:rPr>
                        <w:rFonts w:ascii="Times New Roman"/>
                        <w:sz w:val="13"/>
                      </w:rPr>
                      <w:t>2,353,850.98</w:t>
                    </w:r>
                  </w:p>
                </w:txbxContent>
              </v:textbox>
              <w10:wrap type="none"/>
            </v:shape>
            <v:shape style="position:absolute;left:4111;top:2352;width:289;height:552" type="#_x0000_t202" filled="false" stroked="false">
              <v:textbox inset="0,0,0,0">
                <w:txbxContent>
                  <w:p>
                    <w:pPr>
                      <w:spacing w:line="148" w:lineRule="exact" w:before="0"/>
                      <w:ind w:left="0" w:right="0" w:firstLine="0"/>
                      <w:jc w:val="left"/>
                      <w:rPr>
                        <w:rFonts w:ascii="Times New Roman"/>
                        <w:sz w:val="13"/>
                      </w:rPr>
                    </w:pPr>
                    <w:r>
                      <w:rPr>
                        <w:rFonts w:ascii="Times New Roman"/>
                        <w:w w:val="105"/>
                        <w:sz w:val="13"/>
                      </w:rPr>
                      <w:t>9750</w:t>
                    </w:r>
                  </w:p>
                  <w:p>
                    <w:pPr>
                      <w:spacing w:before="52"/>
                      <w:ind w:left="0" w:right="0" w:firstLine="0"/>
                      <w:jc w:val="left"/>
                      <w:rPr>
                        <w:rFonts w:ascii="Times New Roman"/>
                        <w:sz w:val="13"/>
                      </w:rPr>
                    </w:pPr>
                    <w:r>
                      <w:rPr>
                        <w:rFonts w:ascii="Times New Roman"/>
                        <w:w w:val="105"/>
                        <w:sz w:val="13"/>
                      </w:rPr>
                      <w:t>9789</w:t>
                    </w:r>
                  </w:p>
                  <w:p>
                    <w:pPr>
                      <w:spacing w:before="52"/>
                      <w:ind w:left="0" w:right="0" w:firstLine="0"/>
                      <w:jc w:val="left"/>
                      <w:rPr>
                        <w:rFonts w:ascii="Times New Roman"/>
                        <w:sz w:val="13"/>
                      </w:rPr>
                    </w:pPr>
                    <w:r>
                      <w:rPr>
                        <w:rFonts w:ascii="Times New Roman"/>
                        <w:w w:val="105"/>
                        <w:sz w:val="13"/>
                      </w:rPr>
                      <w:t>9790</w:t>
                    </w:r>
                  </w:p>
                </w:txbxContent>
              </v:textbox>
              <w10:wrap type="none"/>
            </v:shape>
            <v:shape style="position:absolute;left:5323;top:2554;width:624;height:149" type="#_x0000_t202" filled="false" stroked="false">
              <v:textbox inset="0,0,0,0">
                <w:txbxContent>
                  <w:p>
                    <w:pPr>
                      <w:spacing w:line="148" w:lineRule="exact" w:before="0"/>
                      <w:ind w:left="0" w:right="0" w:firstLine="0"/>
                      <w:jc w:val="left"/>
                      <w:rPr>
                        <w:rFonts w:ascii="Times New Roman"/>
                        <w:sz w:val="13"/>
                      </w:rPr>
                    </w:pPr>
                    <w:r>
                      <w:rPr>
                        <w:rFonts w:ascii="Times New Roman"/>
                        <w:w w:val="105"/>
                        <w:sz w:val="13"/>
                      </w:rPr>
                      <w:t>410,364.00</w:t>
                    </w:r>
                  </w:p>
                </w:txbxContent>
              </v:textbox>
              <w10:wrap type="none"/>
            </v:shape>
            <v:shape style="position:absolute;left:7555;top:2554;width:624;height:149" type="#_x0000_t202" filled="false" stroked="false">
              <v:textbox inset="0,0,0,0">
                <w:txbxContent>
                  <w:p>
                    <w:pPr>
                      <w:spacing w:line="148" w:lineRule="exact" w:before="0"/>
                      <w:ind w:left="0" w:right="0" w:firstLine="0"/>
                      <w:jc w:val="left"/>
                      <w:rPr>
                        <w:rFonts w:ascii="Times New Roman"/>
                        <w:sz w:val="13"/>
                      </w:rPr>
                    </w:pPr>
                    <w:r>
                      <w:rPr>
                        <w:rFonts w:ascii="Times New Roman"/>
                        <w:w w:val="105"/>
                        <w:sz w:val="13"/>
                      </w:rPr>
                      <w:t>410,364.00</w:t>
                    </w:r>
                  </w:p>
                </w:txbxContent>
              </v:textbox>
              <w10:wrap type="none"/>
            </v:shape>
            <v:shape style="position:absolute;left:9787;top:2554;width:624;height:149" type="#_x0000_t202" filled="false" stroked="false">
              <v:textbox inset="0,0,0,0">
                <w:txbxContent>
                  <w:p>
                    <w:pPr>
                      <w:spacing w:line="148" w:lineRule="exact" w:before="0"/>
                      <w:ind w:left="0" w:right="0" w:firstLine="0"/>
                      <w:jc w:val="left"/>
                      <w:rPr>
                        <w:rFonts w:ascii="Times New Roman"/>
                        <w:sz w:val="13"/>
                      </w:rPr>
                    </w:pPr>
                    <w:r>
                      <w:rPr>
                        <w:rFonts w:ascii="Times New Roman"/>
                        <w:w w:val="105"/>
                        <w:sz w:val="13"/>
                      </w:rPr>
                      <w:t>410,364.00</w:t>
                    </w:r>
                  </w:p>
                </w:txbxContent>
              </v:textbox>
              <w10:wrap type="none"/>
            </v:shape>
            <v:shape style="position:absolute;left:5222;top:2957;width:725;height:149" type="#_x0000_t202" filled="false" stroked="false">
              <v:textbox inset="0,0,0,0">
                <w:txbxContent>
                  <w:p>
                    <w:pPr>
                      <w:spacing w:line="148" w:lineRule="exact" w:before="0"/>
                      <w:ind w:left="0" w:right="0" w:firstLine="0"/>
                      <w:jc w:val="left"/>
                      <w:rPr>
                        <w:rFonts w:ascii="Times New Roman"/>
                        <w:sz w:val="13"/>
                      </w:rPr>
                    </w:pPr>
                    <w:r>
                      <w:rPr>
                        <w:rFonts w:ascii="Times New Roman"/>
                        <w:w w:val="105"/>
                        <w:sz w:val="13"/>
                      </w:rPr>
                      <w:t>1,931,368.00</w:t>
                    </w:r>
                  </w:p>
                </w:txbxContent>
              </v:textbox>
              <w10:wrap type="none"/>
            </v:shape>
            <v:shape style="position:absolute;left:7454;top:2957;width:725;height:149" type="#_x0000_t202" filled="false" stroked="false">
              <v:textbox inset="0,0,0,0">
                <w:txbxContent>
                  <w:p>
                    <w:pPr>
                      <w:spacing w:line="148" w:lineRule="exact" w:before="0"/>
                      <w:ind w:left="0" w:right="0" w:firstLine="0"/>
                      <w:jc w:val="left"/>
                      <w:rPr>
                        <w:rFonts w:ascii="Times New Roman"/>
                        <w:sz w:val="13"/>
                      </w:rPr>
                    </w:pPr>
                    <w:r>
                      <w:rPr>
                        <w:rFonts w:ascii="Times New Roman"/>
                        <w:w w:val="105"/>
                        <w:sz w:val="13"/>
                      </w:rPr>
                      <w:t>1,940,319.00</w:t>
                    </w:r>
                  </w:p>
                </w:txbxContent>
              </v:textbox>
              <w10:wrap type="none"/>
            </v:shape>
            <v:shape style="position:absolute;left:9686;top:2957;width:725;height:149" type="#_x0000_t202" filled="false" stroked="false">
              <v:textbox inset="0,0,0,0">
                <w:txbxContent>
                  <w:p>
                    <w:pPr>
                      <w:spacing w:line="148" w:lineRule="exact" w:before="0"/>
                      <w:ind w:left="0" w:right="0" w:firstLine="0"/>
                      <w:jc w:val="left"/>
                      <w:rPr>
                        <w:rFonts w:ascii="Times New Roman"/>
                        <w:sz w:val="13"/>
                      </w:rPr>
                    </w:pPr>
                    <w:r>
                      <w:rPr>
                        <w:rFonts w:ascii="Times New Roman"/>
                        <w:w w:val="105"/>
                        <w:sz w:val="13"/>
                      </w:rPr>
                      <w:t>2,866,232.63</w:t>
                    </w:r>
                  </w:p>
                </w:txbxContent>
              </v:textbox>
              <w10:wrap type="none"/>
            </v:shape>
            <v:shape style="position:absolute;left:40;top:3329;width:10189;height:1111" type="#_x0000_t202" filled="false" stroked="false">
              <v:textbox inset="0,0,0,0">
                <w:txbxContent>
                  <w:p>
                    <w:pPr>
                      <w:spacing w:line="264" w:lineRule="auto" w:before="0"/>
                      <w:ind w:left="0" w:right="3640" w:firstLine="0"/>
                      <w:jc w:val="left"/>
                      <w:rPr>
                        <w:rFonts w:ascii="Times New Roman"/>
                        <w:sz w:val="13"/>
                      </w:rPr>
                    </w:pPr>
                    <w:r>
                      <w:rPr>
                        <w:rFonts w:ascii="Times New Roman"/>
                        <w:w w:val="105"/>
                        <w:sz w:val="13"/>
                      </w:rPr>
                      <w:t>Please provide below or on a separate attachment, the assumptions used to determine the projections for the first and second subsequent fiscal years. Further, please include an explanation for any significant expenditure adjustments projected in lines B1d, B2d, and B10. For additional information, please refer to the Budget Assumptions section of the SACS Financial Reporting Software User Guide.</w:t>
                    </w:r>
                  </w:p>
                  <w:p>
                    <w:pPr>
                      <w:spacing w:line="240" w:lineRule="auto" w:before="11"/>
                      <w:rPr>
                        <w:rFonts w:ascii="Times New Roman"/>
                        <w:sz w:val="12"/>
                      </w:rPr>
                    </w:pPr>
                  </w:p>
                  <w:p>
                    <w:pPr>
                      <w:spacing w:line="247" w:lineRule="auto" w:before="0"/>
                      <w:ind w:left="0" w:right="0" w:firstLine="0"/>
                      <w:jc w:val="left"/>
                      <w:rPr>
                        <w:rFonts w:ascii="Times New Roman"/>
                        <w:sz w:val="13"/>
                      </w:rPr>
                    </w:pPr>
                    <w:r>
                      <w:rPr>
                        <w:rFonts w:ascii="Times New Roman"/>
                        <w:w w:val="105"/>
                        <w:sz w:val="13"/>
                      </w:rPr>
                      <w:t>Line</w:t>
                    </w:r>
                    <w:r>
                      <w:rPr>
                        <w:rFonts w:ascii="Times New Roman"/>
                        <w:spacing w:val="-9"/>
                        <w:w w:val="105"/>
                        <w:sz w:val="13"/>
                      </w:rPr>
                      <w:t> </w:t>
                    </w:r>
                    <w:r>
                      <w:rPr>
                        <w:rFonts w:ascii="Times New Roman"/>
                        <w:w w:val="105"/>
                        <w:sz w:val="13"/>
                      </w:rPr>
                      <w:t>B1d</w:t>
                    </w:r>
                    <w:r>
                      <w:rPr>
                        <w:rFonts w:ascii="Times New Roman"/>
                        <w:spacing w:val="-8"/>
                        <w:w w:val="105"/>
                        <w:sz w:val="13"/>
                      </w:rPr>
                      <w:t> </w:t>
                    </w:r>
                    <w:r>
                      <w:rPr>
                        <w:rFonts w:ascii="Times New Roman"/>
                        <w:w w:val="105"/>
                        <w:sz w:val="13"/>
                      </w:rPr>
                      <w:t>adjustment</w:t>
                    </w:r>
                    <w:r>
                      <w:rPr>
                        <w:rFonts w:ascii="Times New Roman"/>
                        <w:spacing w:val="-7"/>
                        <w:w w:val="105"/>
                        <w:sz w:val="13"/>
                      </w:rPr>
                      <w:t> </w:t>
                    </w:r>
                    <w:r>
                      <w:rPr>
                        <w:rFonts w:ascii="Times New Roman"/>
                        <w:w w:val="105"/>
                        <w:sz w:val="13"/>
                      </w:rPr>
                      <w:t>for</w:t>
                    </w:r>
                    <w:r>
                      <w:rPr>
                        <w:rFonts w:ascii="Times New Roman"/>
                        <w:spacing w:val="-8"/>
                        <w:w w:val="105"/>
                        <w:sz w:val="13"/>
                      </w:rPr>
                      <w:t> </w:t>
                    </w:r>
                    <w:r>
                      <w:rPr>
                        <w:rFonts w:ascii="Times New Roman"/>
                        <w:w w:val="105"/>
                        <w:sz w:val="13"/>
                      </w:rPr>
                      <w:t>22-23</w:t>
                    </w:r>
                    <w:r>
                      <w:rPr>
                        <w:rFonts w:ascii="Times New Roman"/>
                        <w:spacing w:val="-8"/>
                        <w:w w:val="105"/>
                        <w:sz w:val="13"/>
                      </w:rPr>
                      <w:t> </w:t>
                    </w:r>
                    <w:r>
                      <w:rPr>
                        <w:rFonts w:ascii="Times New Roman"/>
                        <w:w w:val="105"/>
                        <w:sz w:val="13"/>
                      </w:rPr>
                      <w:t>is</w:t>
                    </w:r>
                    <w:r>
                      <w:rPr>
                        <w:rFonts w:ascii="Times New Roman"/>
                        <w:spacing w:val="-8"/>
                        <w:w w:val="105"/>
                        <w:sz w:val="13"/>
                      </w:rPr>
                      <w:t> </w:t>
                    </w:r>
                    <w:r>
                      <w:rPr>
                        <w:rFonts w:ascii="Times New Roman"/>
                        <w:w w:val="105"/>
                        <w:sz w:val="13"/>
                      </w:rPr>
                      <w:t>due</w:t>
                    </w:r>
                    <w:r>
                      <w:rPr>
                        <w:rFonts w:ascii="Times New Roman"/>
                        <w:spacing w:val="-8"/>
                        <w:w w:val="105"/>
                        <w:sz w:val="13"/>
                      </w:rPr>
                      <w:t> </w:t>
                    </w:r>
                    <w:r>
                      <w:rPr>
                        <w:rFonts w:ascii="Times New Roman"/>
                        <w:w w:val="105"/>
                        <w:sz w:val="13"/>
                      </w:rPr>
                      <w:t>moving</w:t>
                    </w:r>
                    <w:r>
                      <w:rPr>
                        <w:rFonts w:ascii="Times New Roman"/>
                        <w:spacing w:val="-10"/>
                        <w:w w:val="105"/>
                        <w:sz w:val="13"/>
                      </w:rPr>
                      <w:t> </w:t>
                    </w:r>
                    <w:r>
                      <w:rPr>
                        <w:rFonts w:ascii="Times New Roman"/>
                        <w:w w:val="105"/>
                        <w:sz w:val="13"/>
                      </w:rPr>
                      <w:t>certificated</w:t>
                    </w:r>
                    <w:r>
                      <w:rPr>
                        <w:rFonts w:ascii="Times New Roman"/>
                        <w:spacing w:val="-8"/>
                        <w:w w:val="105"/>
                        <w:sz w:val="13"/>
                      </w:rPr>
                      <w:t> </w:t>
                    </w:r>
                    <w:r>
                      <w:rPr>
                        <w:rFonts w:ascii="Times New Roman"/>
                        <w:w w:val="105"/>
                        <w:sz w:val="13"/>
                      </w:rPr>
                      <w:t>salaries</w:t>
                    </w:r>
                    <w:r>
                      <w:rPr>
                        <w:rFonts w:ascii="Times New Roman"/>
                        <w:spacing w:val="-8"/>
                        <w:w w:val="105"/>
                        <w:sz w:val="13"/>
                      </w:rPr>
                      <w:t> </w:t>
                    </w:r>
                    <w:r>
                      <w:rPr>
                        <w:rFonts w:ascii="Times New Roman"/>
                        <w:w w:val="105"/>
                        <w:sz w:val="13"/>
                      </w:rPr>
                      <w:t>from</w:t>
                    </w:r>
                    <w:r>
                      <w:rPr>
                        <w:rFonts w:ascii="Times New Roman"/>
                        <w:spacing w:val="-10"/>
                        <w:w w:val="105"/>
                        <w:sz w:val="13"/>
                      </w:rPr>
                      <w:t> </w:t>
                    </w:r>
                    <w:r>
                      <w:rPr>
                        <w:rFonts w:ascii="Times New Roman"/>
                        <w:w w:val="105"/>
                        <w:sz w:val="13"/>
                      </w:rPr>
                      <w:t>Restricted</w:t>
                    </w:r>
                    <w:r>
                      <w:rPr>
                        <w:rFonts w:ascii="Times New Roman"/>
                        <w:spacing w:val="-8"/>
                        <w:w w:val="105"/>
                        <w:sz w:val="13"/>
                      </w:rPr>
                      <w:t> </w:t>
                    </w:r>
                    <w:r>
                      <w:rPr>
                        <w:rFonts w:ascii="Times New Roman"/>
                        <w:w w:val="105"/>
                        <w:sz w:val="13"/>
                      </w:rPr>
                      <w:t>due</w:t>
                    </w:r>
                    <w:r>
                      <w:rPr>
                        <w:rFonts w:ascii="Times New Roman"/>
                        <w:spacing w:val="-8"/>
                        <w:w w:val="105"/>
                        <w:sz w:val="13"/>
                      </w:rPr>
                      <w:t> </w:t>
                    </w:r>
                    <w:r>
                      <w:rPr>
                        <w:rFonts w:ascii="Times New Roman"/>
                        <w:w w:val="105"/>
                        <w:sz w:val="13"/>
                      </w:rPr>
                      <w:t>to</w:t>
                    </w:r>
                    <w:r>
                      <w:rPr>
                        <w:rFonts w:ascii="Times New Roman"/>
                        <w:spacing w:val="-8"/>
                        <w:w w:val="105"/>
                        <w:sz w:val="13"/>
                      </w:rPr>
                      <w:t> </w:t>
                    </w:r>
                    <w:r>
                      <w:rPr>
                        <w:rFonts w:ascii="Times New Roman"/>
                        <w:w w:val="105"/>
                        <w:sz w:val="13"/>
                      </w:rPr>
                      <w:t>the</w:t>
                    </w:r>
                    <w:r>
                      <w:rPr>
                        <w:rFonts w:ascii="Times New Roman"/>
                        <w:spacing w:val="-8"/>
                        <w:w w:val="105"/>
                        <w:sz w:val="13"/>
                      </w:rPr>
                      <w:t> </w:t>
                    </w:r>
                    <w:r>
                      <w:rPr>
                        <w:rFonts w:ascii="Times New Roman"/>
                        <w:w w:val="105"/>
                        <w:sz w:val="13"/>
                      </w:rPr>
                      <w:t>removal</w:t>
                    </w:r>
                    <w:r>
                      <w:rPr>
                        <w:rFonts w:ascii="Times New Roman"/>
                        <w:spacing w:val="-9"/>
                        <w:w w:val="105"/>
                        <w:sz w:val="13"/>
                      </w:rPr>
                      <w:t> </w:t>
                    </w:r>
                    <w:r>
                      <w:rPr>
                        <w:rFonts w:ascii="Times New Roman"/>
                        <w:w w:val="105"/>
                        <w:sz w:val="13"/>
                      </w:rPr>
                      <w:t>of</w:t>
                    </w:r>
                    <w:r>
                      <w:rPr>
                        <w:rFonts w:ascii="Times New Roman"/>
                        <w:spacing w:val="-8"/>
                        <w:w w:val="105"/>
                        <w:sz w:val="13"/>
                      </w:rPr>
                      <w:t> </w:t>
                    </w:r>
                    <w:r>
                      <w:rPr>
                        <w:rFonts w:ascii="Times New Roman"/>
                        <w:w w:val="105"/>
                        <w:sz w:val="13"/>
                      </w:rPr>
                      <w:t>one-time</w:t>
                    </w:r>
                    <w:r>
                      <w:rPr>
                        <w:rFonts w:ascii="Times New Roman"/>
                        <w:spacing w:val="-8"/>
                        <w:w w:val="105"/>
                        <w:sz w:val="13"/>
                      </w:rPr>
                      <w:t> </w:t>
                    </w:r>
                    <w:r>
                      <w:rPr>
                        <w:rFonts w:ascii="Times New Roman"/>
                        <w:w w:val="105"/>
                        <w:sz w:val="13"/>
                      </w:rPr>
                      <w:t>Covid19</w:t>
                    </w:r>
                    <w:r>
                      <w:rPr>
                        <w:rFonts w:ascii="Times New Roman"/>
                        <w:spacing w:val="-8"/>
                        <w:w w:val="105"/>
                        <w:sz w:val="13"/>
                      </w:rPr>
                      <w:t> </w:t>
                    </w:r>
                    <w:r>
                      <w:rPr>
                        <w:rFonts w:ascii="Times New Roman"/>
                        <w:w w:val="105"/>
                        <w:sz w:val="13"/>
                      </w:rPr>
                      <w:t>funds.</w:t>
                    </w:r>
                    <w:r>
                      <w:rPr>
                        <w:rFonts w:ascii="Times New Roman"/>
                        <w:spacing w:val="-8"/>
                        <w:w w:val="105"/>
                        <w:sz w:val="13"/>
                      </w:rPr>
                      <w:t> </w:t>
                    </w:r>
                    <w:r>
                      <w:rPr>
                        <w:rFonts w:ascii="Times New Roman"/>
                        <w:w w:val="105"/>
                        <w:sz w:val="13"/>
                      </w:rPr>
                      <w:t>Line</w:t>
                    </w:r>
                    <w:r>
                      <w:rPr>
                        <w:rFonts w:ascii="Times New Roman"/>
                        <w:spacing w:val="-8"/>
                        <w:w w:val="105"/>
                        <w:sz w:val="13"/>
                      </w:rPr>
                      <w:t> </w:t>
                    </w:r>
                    <w:r>
                      <w:rPr>
                        <w:rFonts w:ascii="Times New Roman"/>
                        <w:w w:val="105"/>
                        <w:sz w:val="13"/>
                      </w:rPr>
                      <w:t>B2da</w:t>
                    </w:r>
                    <w:r>
                      <w:rPr>
                        <w:rFonts w:ascii="Times New Roman"/>
                        <w:spacing w:val="-8"/>
                        <w:w w:val="105"/>
                        <w:sz w:val="13"/>
                      </w:rPr>
                      <w:t> </w:t>
                    </w:r>
                    <w:r>
                      <w:rPr>
                        <w:rFonts w:ascii="Times New Roman"/>
                        <w:w w:val="105"/>
                        <w:sz w:val="13"/>
                      </w:rPr>
                      <w:t>adjustment</w:t>
                    </w:r>
                    <w:r>
                      <w:rPr>
                        <w:rFonts w:ascii="Times New Roman"/>
                        <w:spacing w:val="-8"/>
                        <w:w w:val="105"/>
                        <w:sz w:val="13"/>
                      </w:rPr>
                      <w:t> </w:t>
                    </w:r>
                    <w:r>
                      <w:rPr>
                        <w:rFonts w:ascii="Times New Roman"/>
                        <w:w w:val="105"/>
                        <w:sz w:val="13"/>
                      </w:rPr>
                      <w:t>for</w:t>
                    </w:r>
                    <w:r>
                      <w:rPr>
                        <w:rFonts w:ascii="Times New Roman"/>
                        <w:spacing w:val="-8"/>
                        <w:w w:val="105"/>
                        <w:sz w:val="13"/>
                      </w:rPr>
                      <w:t> </w:t>
                    </w:r>
                    <w:r>
                      <w:rPr>
                        <w:rFonts w:ascii="Times New Roman"/>
                        <w:w w:val="105"/>
                        <w:sz w:val="13"/>
                      </w:rPr>
                      <w:t>22-23</w:t>
                    </w:r>
                    <w:r>
                      <w:rPr>
                        <w:rFonts w:ascii="Times New Roman"/>
                        <w:spacing w:val="-8"/>
                        <w:w w:val="105"/>
                        <w:sz w:val="13"/>
                      </w:rPr>
                      <w:t> </w:t>
                    </w:r>
                    <w:r>
                      <w:rPr>
                        <w:rFonts w:ascii="Times New Roman"/>
                        <w:w w:val="105"/>
                        <w:sz w:val="13"/>
                      </w:rPr>
                      <w:t>is</w:t>
                    </w:r>
                    <w:r>
                      <w:rPr>
                        <w:rFonts w:ascii="Times New Roman"/>
                        <w:spacing w:val="-8"/>
                        <w:w w:val="105"/>
                        <w:sz w:val="13"/>
                      </w:rPr>
                      <w:t> </w:t>
                    </w:r>
                    <w:r>
                      <w:rPr>
                        <w:rFonts w:ascii="Times New Roman"/>
                        <w:w w:val="105"/>
                        <w:sz w:val="13"/>
                      </w:rPr>
                      <w:t>due</w:t>
                    </w:r>
                    <w:r>
                      <w:rPr>
                        <w:rFonts w:ascii="Times New Roman"/>
                        <w:spacing w:val="-8"/>
                        <w:w w:val="105"/>
                        <w:sz w:val="13"/>
                      </w:rPr>
                      <w:t> </w:t>
                    </w:r>
                    <w:r>
                      <w:rPr>
                        <w:rFonts w:ascii="Times New Roman"/>
                        <w:w w:val="105"/>
                        <w:sz w:val="13"/>
                      </w:rPr>
                      <w:t>to</w:t>
                    </w:r>
                    <w:r>
                      <w:rPr>
                        <w:rFonts w:ascii="Times New Roman"/>
                        <w:spacing w:val="-7"/>
                        <w:w w:val="105"/>
                        <w:sz w:val="13"/>
                      </w:rPr>
                      <w:t> </w:t>
                    </w:r>
                    <w:r>
                      <w:rPr>
                        <w:rFonts w:ascii="Times New Roman"/>
                        <w:w w:val="105"/>
                        <w:sz w:val="13"/>
                      </w:rPr>
                      <w:t>moving</w:t>
                    </w:r>
                    <w:r>
                      <w:rPr>
                        <w:rFonts w:ascii="Times New Roman"/>
                        <w:spacing w:val="-10"/>
                        <w:w w:val="105"/>
                        <w:sz w:val="13"/>
                      </w:rPr>
                      <w:t> </w:t>
                    </w:r>
                    <w:r>
                      <w:rPr>
                        <w:rFonts w:ascii="Times New Roman"/>
                        <w:w w:val="105"/>
                        <w:sz w:val="13"/>
                      </w:rPr>
                      <w:t>classified salaries from Restricted due to the removal of one-time Covid19</w:t>
                    </w:r>
                    <w:r>
                      <w:rPr>
                        <w:rFonts w:ascii="Times New Roman"/>
                        <w:spacing w:val="-14"/>
                        <w:w w:val="105"/>
                        <w:sz w:val="13"/>
                      </w:rPr>
                      <w:t> </w:t>
                    </w:r>
                    <w:r>
                      <w:rPr>
                        <w:rFonts w:ascii="Times New Roman"/>
                        <w:w w:val="105"/>
                        <w:sz w:val="13"/>
                      </w:rPr>
                      <w:t>funds.</w:t>
                    </w:r>
                  </w:p>
                </w:txbxContent>
              </v:textbox>
              <w10:wrap type="none"/>
            </v:shape>
          </v:group>
        </w:pict>
      </w:r>
      <w:r>
        <w:rPr>
          <w:sz w:val="20"/>
        </w:rPr>
      </w:r>
    </w:p>
    <w:p>
      <w:pPr>
        <w:spacing w:after="0"/>
        <w:rPr>
          <w:sz w:val="20"/>
        </w:rPr>
        <w:sectPr>
          <w:pgSz w:w="12240" w:h="15840"/>
          <w:pgMar w:header="243" w:footer="507" w:top="860" w:bottom="700" w:left="40" w:right="40"/>
        </w:sectPr>
      </w:pPr>
    </w:p>
    <w:p>
      <w:pPr>
        <w:pStyle w:val="BodyText"/>
        <w:spacing w:before="11"/>
        <w:rPr>
          <w:sz w:val="7"/>
        </w:rPr>
      </w:pPr>
    </w:p>
    <w:p>
      <w:pPr>
        <w:pStyle w:val="BodyText"/>
        <w:ind w:left="720"/>
        <w:rPr>
          <w:sz w:val="20"/>
        </w:rPr>
      </w:pPr>
      <w:r>
        <w:rPr>
          <w:sz w:val="20"/>
        </w:rPr>
        <w:pict>
          <v:group style="width:535.7pt;height:74.4pt;mso-position-horizontal-relative:char;mso-position-vertical-relative:line" coordorigin="0,0" coordsize="10714,1488">
            <v:shape style="position:absolute;left:0;top:0;width:10714;height:1488" type="#_x0000_t75" stroked="false">
              <v:imagedata r:id="rId1224" o:title=""/>
            </v:shape>
            <v:shape style="position:absolute;left:40;top:610;width:3716;height:713" type="#_x0000_t202" filled="false" stroked="false">
              <v:textbox inset="0,0,0,0">
                <w:txbxContent>
                  <w:p>
                    <w:pPr>
                      <w:spacing w:line="148" w:lineRule="exact" w:before="0"/>
                      <w:ind w:left="0" w:right="0" w:firstLine="0"/>
                      <w:jc w:val="left"/>
                      <w:rPr>
                        <w:rFonts w:ascii="Times New Roman"/>
                        <w:sz w:val="13"/>
                      </w:rPr>
                    </w:pPr>
                    <w:r>
                      <w:rPr>
                        <w:rFonts w:ascii="Times New Roman"/>
                        <w:w w:val="105"/>
                        <w:sz w:val="13"/>
                      </w:rPr>
                      <w:t>Description</w:t>
                    </w:r>
                  </w:p>
                  <w:p>
                    <w:pPr>
                      <w:spacing w:line="259" w:lineRule="auto" w:before="93"/>
                      <w:ind w:left="67" w:right="15" w:hanging="68"/>
                      <w:jc w:val="left"/>
                      <w:rPr>
                        <w:rFonts w:ascii="Times New Roman"/>
                        <w:sz w:val="13"/>
                      </w:rPr>
                    </w:pPr>
                    <w:r>
                      <w:rPr>
                        <w:rFonts w:ascii="Times New Roman"/>
                        <w:w w:val="105"/>
                        <w:sz w:val="13"/>
                      </w:rPr>
                      <w:t>(Enter</w:t>
                    </w:r>
                    <w:r>
                      <w:rPr>
                        <w:rFonts w:ascii="Times New Roman"/>
                        <w:spacing w:val="-7"/>
                        <w:w w:val="105"/>
                        <w:sz w:val="13"/>
                      </w:rPr>
                      <w:t> </w:t>
                    </w:r>
                    <w:r>
                      <w:rPr>
                        <w:rFonts w:ascii="Times New Roman"/>
                        <w:w w:val="105"/>
                        <w:sz w:val="13"/>
                      </w:rPr>
                      <w:t>projections</w:t>
                    </w:r>
                    <w:r>
                      <w:rPr>
                        <w:rFonts w:ascii="Times New Roman"/>
                        <w:spacing w:val="-5"/>
                        <w:w w:val="105"/>
                        <w:sz w:val="13"/>
                      </w:rPr>
                      <w:t> </w:t>
                    </w:r>
                    <w:r>
                      <w:rPr>
                        <w:rFonts w:ascii="Times New Roman"/>
                        <w:w w:val="105"/>
                        <w:sz w:val="13"/>
                      </w:rPr>
                      <w:t>for</w:t>
                    </w:r>
                    <w:r>
                      <w:rPr>
                        <w:rFonts w:ascii="Times New Roman"/>
                        <w:spacing w:val="-6"/>
                        <w:w w:val="105"/>
                        <w:sz w:val="13"/>
                      </w:rPr>
                      <w:t> </w:t>
                    </w:r>
                    <w:r>
                      <w:rPr>
                        <w:rFonts w:ascii="Times New Roman"/>
                        <w:w w:val="105"/>
                        <w:sz w:val="13"/>
                      </w:rPr>
                      <w:t>subsequent</w:t>
                    </w:r>
                    <w:r>
                      <w:rPr>
                        <w:rFonts w:ascii="Times New Roman"/>
                        <w:spacing w:val="-5"/>
                        <w:w w:val="105"/>
                        <w:sz w:val="13"/>
                      </w:rPr>
                      <w:t> </w:t>
                    </w:r>
                    <w:r>
                      <w:rPr>
                        <w:rFonts w:ascii="Times New Roman"/>
                        <w:w w:val="105"/>
                        <w:sz w:val="13"/>
                      </w:rPr>
                      <w:t>years</w:t>
                    </w:r>
                    <w:r>
                      <w:rPr>
                        <w:rFonts w:ascii="Times New Roman"/>
                        <w:spacing w:val="-6"/>
                        <w:w w:val="105"/>
                        <w:sz w:val="13"/>
                      </w:rPr>
                      <w:t> </w:t>
                    </w:r>
                    <w:r>
                      <w:rPr>
                        <w:rFonts w:ascii="Times New Roman"/>
                        <w:w w:val="105"/>
                        <w:sz w:val="13"/>
                      </w:rPr>
                      <w:t>1</w:t>
                    </w:r>
                    <w:r>
                      <w:rPr>
                        <w:rFonts w:ascii="Times New Roman"/>
                        <w:spacing w:val="-6"/>
                        <w:w w:val="105"/>
                        <w:sz w:val="13"/>
                      </w:rPr>
                      <w:t> </w:t>
                    </w:r>
                    <w:r>
                      <w:rPr>
                        <w:rFonts w:ascii="Times New Roman"/>
                        <w:w w:val="105"/>
                        <w:sz w:val="13"/>
                      </w:rPr>
                      <w:t>and</w:t>
                    </w:r>
                    <w:r>
                      <w:rPr>
                        <w:rFonts w:ascii="Times New Roman"/>
                        <w:spacing w:val="-6"/>
                        <w:w w:val="105"/>
                        <w:sz w:val="13"/>
                      </w:rPr>
                      <w:t> </w:t>
                    </w:r>
                    <w:r>
                      <w:rPr>
                        <w:rFonts w:ascii="Times New Roman"/>
                        <w:w w:val="105"/>
                        <w:sz w:val="13"/>
                      </w:rPr>
                      <w:t>2</w:t>
                    </w:r>
                    <w:r>
                      <w:rPr>
                        <w:rFonts w:ascii="Times New Roman"/>
                        <w:spacing w:val="-6"/>
                        <w:w w:val="105"/>
                        <w:sz w:val="13"/>
                      </w:rPr>
                      <w:t> </w:t>
                    </w:r>
                    <w:r>
                      <w:rPr>
                        <w:rFonts w:ascii="Times New Roman"/>
                        <w:w w:val="105"/>
                        <w:sz w:val="13"/>
                      </w:rPr>
                      <w:t>in</w:t>
                    </w:r>
                    <w:r>
                      <w:rPr>
                        <w:rFonts w:ascii="Times New Roman"/>
                        <w:spacing w:val="-6"/>
                        <w:w w:val="105"/>
                        <w:sz w:val="13"/>
                      </w:rPr>
                      <w:t> </w:t>
                    </w:r>
                    <w:r>
                      <w:rPr>
                        <w:rFonts w:ascii="Times New Roman"/>
                        <w:w w:val="105"/>
                        <w:sz w:val="13"/>
                      </w:rPr>
                      <w:t>Columns</w:t>
                    </w:r>
                    <w:r>
                      <w:rPr>
                        <w:rFonts w:ascii="Times New Roman"/>
                        <w:spacing w:val="-6"/>
                        <w:w w:val="105"/>
                        <w:sz w:val="13"/>
                      </w:rPr>
                      <w:t> </w:t>
                    </w:r>
                    <w:r>
                      <w:rPr>
                        <w:rFonts w:ascii="Times New Roman"/>
                        <w:w w:val="105"/>
                        <w:sz w:val="13"/>
                      </w:rPr>
                      <w:t>C</w:t>
                    </w:r>
                    <w:r>
                      <w:rPr>
                        <w:rFonts w:ascii="Times New Roman"/>
                        <w:spacing w:val="-7"/>
                        <w:w w:val="105"/>
                        <w:sz w:val="13"/>
                      </w:rPr>
                      <w:t> </w:t>
                    </w:r>
                    <w:r>
                      <w:rPr>
                        <w:rFonts w:ascii="Times New Roman"/>
                        <w:w w:val="105"/>
                        <w:sz w:val="13"/>
                      </w:rPr>
                      <w:t>and</w:t>
                    </w:r>
                    <w:r>
                      <w:rPr>
                        <w:rFonts w:ascii="Times New Roman"/>
                        <w:spacing w:val="-6"/>
                        <w:w w:val="105"/>
                        <w:sz w:val="13"/>
                      </w:rPr>
                      <w:t> </w:t>
                    </w:r>
                    <w:r>
                      <w:rPr>
                        <w:rFonts w:ascii="Times New Roman"/>
                        <w:w w:val="105"/>
                        <w:sz w:val="13"/>
                      </w:rPr>
                      <w:t>E; current year - Column A - is</w:t>
                    </w:r>
                    <w:r>
                      <w:rPr>
                        <w:rFonts w:ascii="Times New Roman"/>
                        <w:spacing w:val="-16"/>
                        <w:w w:val="105"/>
                        <w:sz w:val="13"/>
                      </w:rPr>
                      <w:t> </w:t>
                    </w:r>
                    <w:r>
                      <w:rPr>
                        <w:rFonts w:ascii="Times New Roman"/>
                        <w:w w:val="105"/>
                        <w:sz w:val="13"/>
                      </w:rPr>
                      <w:t>extracted)</w:t>
                    </w:r>
                  </w:p>
                  <w:p>
                    <w:pPr>
                      <w:spacing w:line="148" w:lineRule="exact" w:before="0"/>
                      <w:ind w:left="0" w:right="0" w:firstLine="0"/>
                      <w:jc w:val="left"/>
                      <w:rPr>
                        <w:rFonts w:ascii="Times New Roman"/>
                        <w:sz w:val="13"/>
                      </w:rPr>
                    </w:pPr>
                    <w:r>
                      <w:rPr>
                        <w:rFonts w:ascii="Times New Roman"/>
                        <w:w w:val="105"/>
                        <w:sz w:val="13"/>
                      </w:rPr>
                      <w:t>A. REVENUES AND OTHER FINANCING SOURCES</w:t>
                    </w:r>
                  </w:p>
                </w:txbxContent>
              </v:textbox>
              <w10:wrap type="none"/>
            </v:shape>
            <v:shape style="position:absolute;left:4308;top:456;width:379;height:303" type="#_x0000_t202" filled="false" stroked="false">
              <v:textbox inset="0,0,0,0">
                <w:txbxContent>
                  <w:p>
                    <w:pPr>
                      <w:spacing w:line="247" w:lineRule="auto" w:before="0"/>
                      <w:ind w:left="11" w:right="6" w:hanging="12"/>
                      <w:jc w:val="left"/>
                      <w:rPr>
                        <w:rFonts w:ascii="Times New Roman"/>
                        <w:sz w:val="13"/>
                      </w:rPr>
                    </w:pPr>
                    <w:r>
                      <w:rPr>
                        <w:rFonts w:ascii="Times New Roman"/>
                        <w:sz w:val="13"/>
                      </w:rPr>
                      <w:t>Object </w:t>
                    </w:r>
                    <w:r>
                      <w:rPr>
                        <w:rFonts w:ascii="Times New Roman"/>
                        <w:w w:val="105"/>
                        <w:sz w:val="13"/>
                      </w:rPr>
                      <w:t>Codes</w:t>
                    </w:r>
                  </w:p>
                </w:txbxContent>
              </v:textbox>
              <w10:wrap type="none"/>
            </v:shape>
            <v:shape style="position:absolute;left:5397;top:149;width:567;height:610" type="#_x0000_t202" filled="false" stroked="false">
              <v:textbox inset="0,0,0,0">
                <w:txbxContent>
                  <w:p>
                    <w:pPr>
                      <w:spacing w:line="148" w:lineRule="exact" w:before="0"/>
                      <w:ind w:left="27" w:right="45" w:firstLine="0"/>
                      <w:jc w:val="center"/>
                      <w:rPr>
                        <w:rFonts w:ascii="Times New Roman"/>
                        <w:sz w:val="13"/>
                      </w:rPr>
                    </w:pPr>
                    <w:r>
                      <w:rPr>
                        <w:rFonts w:ascii="Times New Roman"/>
                        <w:w w:val="105"/>
                        <w:sz w:val="13"/>
                      </w:rPr>
                      <w:t>2021-22</w:t>
                    </w:r>
                  </w:p>
                  <w:p>
                    <w:pPr>
                      <w:spacing w:line="247" w:lineRule="auto" w:before="4"/>
                      <w:ind w:left="0" w:right="18" w:firstLine="2"/>
                      <w:jc w:val="center"/>
                      <w:rPr>
                        <w:rFonts w:ascii="Times New Roman"/>
                        <w:sz w:val="13"/>
                      </w:rPr>
                    </w:pPr>
                    <w:r>
                      <w:rPr>
                        <w:rFonts w:ascii="Times New Roman"/>
                        <w:w w:val="105"/>
                        <w:sz w:val="13"/>
                      </w:rPr>
                      <w:t>Budget (Form </w:t>
                    </w:r>
                    <w:r>
                      <w:rPr>
                        <w:rFonts w:ascii="Times New Roman"/>
                        <w:spacing w:val="-5"/>
                        <w:w w:val="105"/>
                        <w:sz w:val="13"/>
                      </w:rPr>
                      <w:t>01) </w:t>
                    </w:r>
                    <w:r>
                      <w:rPr>
                        <w:rFonts w:ascii="Times New Roman"/>
                        <w:w w:val="105"/>
                        <w:sz w:val="13"/>
                      </w:rPr>
                      <w:t>(A)</w:t>
                    </w:r>
                  </w:p>
                </w:txbxContent>
              </v:textbox>
              <w10:wrap type="none"/>
            </v:shape>
            <v:shape style="position:absolute;left:6422;top:149;width:779;height:610" type="#_x0000_t202" filled="false" stroked="false">
              <v:textbox inset="0,0,0,0">
                <w:txbxContent>
                  <w:p>
                    <w:pPr>
                      <w:spacing w:line="148" w:lineRule="exact" w:before="0"/>
                      <w:ind w:left="14" w:right="0" w:firstLine="0"/>
                      <w:jc w:val="center"/>
                      <w:rPr>
                        <w:rFonts w:ascii="Times New Roman"/>
                        <w:sz w:val="13"/>
                      </w:rPr>
                    </w:pPr>
                    <w:r>
                      <w:rPr>
                        <w:rFonts w:ascii="Times New Roman"/>
                        <w:w w:val="103"/>
                        <w:sz w:val="13"/>
                      </w:rPr>
                      <w:t>%</w:t>
                    </w:r>
                  </w:p>
                  <w:p>
                    <w:pPr>
                      <w:spacing w:line="247" w:lineRule="auto" w:before="4"/>
                      <w:ind w:left="0" w:right="18" w:firstLine="3"/>
                      <w:jc w:val="center"/>
                      <w:rPr>
                        <w:rFonts w:ascii="Times New Roman"/>
                        <w:sz w:val="13"/>
                      </w:rPr>
                    </w:pPr>
                    <w:r>
                      <w:rPr>
                        <w:rFonts w:ascii="Times New Roman"/>
                        <w:w w:val="105"/>
                        <w:sz w:val="13"/>
                      </w:rPr>
                      <w:t>Change (Cols.</w:t>
                    </w:r>
                    <w:r>
                      <w:rPr>
                        <w:rFonts w:ascii="Times New Roman"/>
                        <w:spacing w:val="-8"/>
                        <w:w w:val="105"/>
                        <w:sz w:val="13"/>
                      </w:rPr>
                      <w:t> </w:t>
                    </w:r>
                    <w:r>
                      <w:rPr>
                        <w:rFonts w:ascii="Times New Roman"/>
                        <w:spacing w:val="-5"/>
                        <w:w w:val="105"/>
                        <w:sz w:val="13"/>
                      </w:rPr>
                      <w:t>C-A/A) </w:t>
                    </w:r>
                    <w:r>
                      <w:rPr>
                        <w:rFonts w:ascii="Times New Roman"/>
                        <w:w w:val="105"/>
                        <w:sz w:val="13"/>
                      </w:rPr>
                      <w:t>(B)</w:t>
                    </w:r>
                  </w:p>
                </w:txbxContent>
              </v:textbox>
              <w10:wrap type="none"/>
            </v:shape>
            <v:shape style="position:absolute;left:7641;top:302;width:577;height:456" type="#_x0000_t202" filled="false" stroked="false">
              <v:textbox inset="0,0,0,0">
                <w:txbxContent>
                  <w:p>
                    <w:pPr>
                      <w:spacing w:line="148" w:lineRule="exact" w:before="0"/>
                      <w:ind w:left="55" w:right="0" w:firstLine="0"/>
                      <w:jc w:val="left"/>
                      <w:rPr>
                        <w:rFonts w:ascii="Times New Roman"/>
                        <w:sz w:val="13"/>
                      </w:rPr>
                    </w:pPr>
                    <w:r>
                      <w:rPr>
                        <w:rFonts w:ascii="Times New Roman"/>
                        <w:w w:val="105"/>
                        <w:sz w:val="13"/>
                      </w:rPr>
                      <w:t>2022-23</w:t>
                    </w:r>
                  </w:p>
                  <w:p>
                    <w:pPr>
                      <w:spacing w:line="247" w:lineRule="auto" w:before="4"/>
                      <w:ind w:left="187" w:right="0" w:hanging="188"/>
                      <w:jc w:val="left"/>
                      <w:rPr>
                        <w:rFonts w:ascii="Times New Roman"/>
                        <w:sz w:val="13"/>
                      </w:rPr>
                    </w:pPr>
                    <w:r>
                      <w:rPr>
                        <w:rFonts w:ascii="Times New Roman"/>
                        <w:sz w:val="13"/>
                      </w:rPr>
                      <w:t>Projection </w:t>
                    </w:r>
                    <w:r>
                      <w:rPr>
                        <w:rFonts w:ascii="Times New Roman"/>
                        <w:w w:val="105"/>
                        <w:sz w:val="13"/>
                      </w:rPr>
                      <w:t>(C)</w:t>
                    </w:r>
                  </w:p>
                </w:txbxContent>
              </v:textbox>
              <w10:wrap type="none"/>
            </v:shape>
            <v:shape style="position:absolute;left:8664;top:149;width:763;height:610" type="#_x0000_t202" filled="false" stroked="false">
              <v:textbox inset="0,0,0,0">
                <w:txbxContent>
                  <w:p>
                    <w:pPr>
                      <w:spacing w:line="148" w:lineRule="exact" w:before="0"/>
                      <w:ind w:left="0" w:right="19" w:firstLine="0"/>
                      <w:jc w:val="center"/>
                      <w:rPr>
                        <w:rFonts w:ascii="Times New Roman"/>
                        <w:sz w:val="13"/>
                      </w:rPr>
                    </w:pPr>
                    <w:r>
                      <w:rPr>
                        <w:rFonts w:ascii="Times New Roman"/>
                        <w:w w:val="103"/>
                        <w:sz w:val="13"/>
                      </w:rPr>
                      <w:t>%</w:t>
                    </w:r>
                  </w:p>
                  <w:p>
                    <w:pPr>
                      <w:spacing w:line="247" w:lineRule="auto" w:before="4"/>
                      <w:ind w:left="0" w:right="18" w:firstLine="0"/>
                      <w:jc w:val="center"/>
                      <w:rPr>
                        <w:rFonts w:ascii="Times New Roman"/>
                        <w:sz w:val="13"/>
                      </w:rPr>
                    </w:pPr>
                    <w:r>
                      <w:rPr>
                        <w:rFonts w:ascii="Times New Roman"/>
                        <w:w w:val="105"/>
                        <w:sz w:val="13"/>
                      </w:rPr>
                      <w:t>Change (Cols. </w:t>
                    </w:r>
                    <w:r>
                      <w:rPr>
                        <w:rFonts w:ascii="Times New Roman"/>
                        <w:spacing w:val="-4"/>
                        <w:w w:val="105"/>
                        <w:sz w:val="13"/>
                      </w:rPr>
                      <w:t>E-C/C) </w:t>
                    </w:r>
                    <w:r>
                      <w:rPr>
                        <w:rFonts w:ascii="Times New Roman"/>
                        <w:w w:val="105"/>
                        <w:sz w:val="13"/>
                      </w:rPr>
                      <w:t>(D)</w:t>
                    </w:r>
                  </w:p>
                </w:txbxContent>
              </v:textbox>
              <w10:wrap type="none"/>
            </v:shape>
            <v:shape style="position:absolute;left:9873;top:302;width:577;height:456" type="#_x0000_t202" filled="false" stroked="false">
              <v:textbox inset="0,0,0,0">
                <w:txbxContent>
                  <w:p>
                    <w:pPr>
                      <w:spacing w:line="148" w:lineRule="exact" w:before="0"/>
                      <w:ind w:left="55" w:right="0" w:firstLine="0"/>
                      <w:jc w:val="left"/>
                      <w:rPr>
                        <w:rFonts w:ascii="Times New Roman"/>
                        <w:sz w:val="13"/>
                      </w:rPr>
                    </w:pPr>
                    <w:r>
                      <w:rPr>
                        <w:rFonts w:ascii="Times New Roman"/>
                        <w:w w:val="105"/>
                        <w:sz w:val="13"/>
                      </w:rPr>
                      <w:t>2023-24</w:t>
                    </w:r>
                  </w:p>
                  <w:p>
                    <w:pPr>
                      <w:spacing w:line="247" w:lineRule="auto" w:before="4"/>
                      <w:ind w:left="191" w:right="0" w:hanging="192"/>
                      <w:jc w:val="left"/>
                      <w:rPr>
                        <w:rFonts w:ascii="Times New Roman"/>
                        <w:sz w:val="13"/>
                      </w:rPr>
                    </w:pPr>
                    <w:r>
                      <w:rPr>
                        <w:rFonts w:ascii="Times New Roman"/>
                        <w:sz w:val="13"/>
                      </w:rPr>
                      <w:t>Projection </w:t>
                    </w:r>
                    <w:r>
                      <w:rPr>
                        <w:rFonts w:ascii="Times New Roman"/>
                        <w:w w:val="105"/>
                        <w:sz w:val="13"/>
                      </w:rPr>
                      <w:t>(E)</w:t>
                    </w:r>
                  </w:p>
                </w:txbxContent>
              </v:textbox>
              <w10:wrap type="none"/>
            </v:shape>
          </v:group>
        </w:pict>
      </w:r>
      <w:r>
        <w:rPr>
          <w:sz w:val="20"/>
        </w:rPr>
      </w:r>
    </w:p>
    <w:p>
      <w:pPr>
        <w:pStyle w:val="BodyText"/>
        <w:rPr>
          <w:sz w:val="20"/>
        </w:rPr>
      </w:pPr>
    </w:p>
    <w:p>
      <w:pPr>
        <w:pStyle w:val="BodyText"/>
        <w:rPr>
          <w:sz w:val="14"/>
        </w:rPr>
      </w:pPr>
    </w:p>
    <w:p>
      <w:pPr>
        <w:pStyle w:val="ListParagraph"/>
        <w:numPr>
          <w:ilvl w:val="0"/>
          <w:numId w:val="53"/>
        </w:numPr>
        <w:tabs>
          <w:tab w:pos="997" w:val="left" w:leader="none"/>
        </w:tabs>
        <w:spacing w:line="240" w:lineRule="auto" w:before="97" w:after="0"/>
        <w:ind w:left="996" w:right="0" w:hanging="169"/>
        <w:jc w:val="left"/>
        <w:rPr>
          <w:rFonts w:ascii="Times New Roman"/>
          <w:sz w:val="13"/>
        </w:rPr>
      </w:pPr>
      <w:r>
        <w:rPr/>
        <w:pict>
          <v:group style="position:absolute;margin-left:38.040001pt;margin-top:-28.201639pt;width:535.7pt;height:487.7pt;mso-position-horizontal-relative:page;mso-position-vertical-relative:paragraph;z-index:-314110976" coordorigin="761,-564" coordsize="10714,9754">
            <v:shape style="position:absolute;left:5841;top:-565;width:5633;height:329" type="#_x0000_t75" stroked="false">
              <v:imagedata r:id="rId1225" o:title=""/>
            </v:shape>
            <v:shape style="position:absolute;left:5841;top:-404;width:5633;height:329" type="#_x0000_t75" stroked="false">
              <v:imagedata r:id="rId1226" o:title=""/>
            </v:shape>
            <v:shape style="position:absolute;left:8112;top:-243;width:3363;height:324" type="#_x0000_t75" stroked="false">
              <v:imagedata r:id="rId1227" o:title=""/>
            </v:shape>
            <v:shape style="position:absolute;left:5841;top:-82;width:5633;height:509" type="#_x0000_t75" stroked="false">
              <v:imagedata r:id="rId1228" o:title=""/>
            </v:shape>
            <v:shape style="position:absolute;left:5841;top:249;width:3401;height:348" type="#_x0000_t75" stroked="false">
              <v:imagedata r:id="rId1229" o:title=""/>
            </v:shape>
            <v:shape style="position:absolute;left:8112;top:249;width:3363;height:348" type="#_x0000_t75" stroked="false">
              <v:imagedata r:id="rId1230" o:title=""/>
            </v:shape>
            <v:shape style="position:absolute;left:8112;top:419;width:3363;height:339" type="#_x0000_t75" stroked="false">
              <v:imagedata r:id="rId1231" o:title=""/>
            </v:shape>
            <v:shape style="position:absolute;left:760;top:-404;width:7359;height:1601" type="#_x0000_t75" stroked="false">
              <v:imagedata r:id="rId1232" o:title=""/>
            </v:shape>
            <v:shape style="position:absolute;left:10344;top:590;width:1131;height:365" type="#_x0000_t75" stroked="false">
              <v:imagedata r:id="rId1233" o:title=""/>
            </v:shape>
            <v:shape style="position:absolute;left:5841;top:945;width:1162;height:255" type="#_x0000_t75" stroked="false">
              <v:imagedata r:id="rId1234" o:title=""/>
            </v:shape>
            <v:shape style="position:absolute;left:6988;top:751;width:2254;height:447" type="#_x0000_t75" stroked="false">
              <v:imagedata r:id="rId1235" o:title=""/>
            </v:shape>
            <v:shape style="position:absolute;left:9220;top:751;width:2254;height:850" type="#_x0000_t75" stroked="false">
              <v:imagedata r:id="rId1236" o:title=""/>
            </v:shape>
            <v:shape style="position:absolute;left:8112;top:1195;width:1124;height:612" type="#_x0000_t75" stroked="false">
              <v:imagedata r:id="rId1237" o:title=""/>
            </v:shape>
            <v:shape style="position:absolute;left:10344;top:1396;width:1131;height:411" type="#_x0000_t75" stroked="false">
              <v:imagedata r:id="rId1154" o:title=""/>
            </v:shape>
            <v:shape style="position:absolute;left:5841;top:1195;width:1162;height:1016" type="#_x0000_t75" stroked="false">
              <v:imagedata r:id="rId1155" o:title=""/>
            </v:shape>
            <v:shape style="position:absolute;left:8112;top:1598;width:1131;height:411" type="#_x0000_t75" stroked="false">
              <v:imagedata r:id="rId1156" o:title=""/>
            </v:shape>
            <v:shape style="position:absolute;left:10344;top:1799;width:1131;height:209" type="#_x0000_t75" stroked="false">
              <v:imagedata r:id="rId1157" o:title=""/>
            </v:shape>
            <v:shape style="position:absolute;left:6988;top:1195;width:2254;height:1016" type="#_x0000_t75" stroked="false">
              <v:imagedata r:id="rId1238" o:title=""/>
            </v:shape>
            <v:shape style="position:absolute;left:8112;top:2001;width:3363;height:411" type="#_x0000_t75" stroked="false">
              <v:imagedata r:id="rId1159" o:title=""/>
            </v:shape>
            <v:shape style="position:absolute;left:10344;top:2203;width:1131;height:209" type="#_x0000_t75" stroked="false">
              <v:imagedata r:id="rId1160" o:title=""/>
            </v:shape>
            <v:shape style="position:absolute;left:5841;top:2203;width:1169;height:406" type="#_x0000_t75" stroked="false">
              <v:imagedata r:id="rId1161" o:title=""/>
            </v:shape>
            <v:shape style="position:absolute;left:6988;top:2404;width:2247;height:207" type="#_x0000_t75" stroked="false">
              <v:imagedata r:id="rId1239" o:title=""/>
            </v:shape>
            <v:shape style="position:absolute;left:9220;top:2404;width:2254;height:406" type="#_x0000_t75" stroked="false">
              <v:imagedata r:id="rId1163" o:title=""/>
            </v:shape>
            <v:shape style="position:absolute;left:8112;top:2606;width:1124;height:411" type="#_x0000_t75" stroked="false">
              <v:imagedata r:id="rId1164" o:title=""/>
            </v:shape>
            <v:shape style="position:absolute;left:10344;top:2606;width:1131;height:411" type="#_x0000_t75" stroked="false">
              <v:imagedata r:id="rId1154" o:title=""/>
            </v:shape>
            <v:shape style="position:absolute;left:5841;top:2606;width:1162;height:814" type="#_x0000_t75" stroked="false">
              <v:imagedata r:id="rId1165" o:title=""/>
            </v:shape>
            <v:shape style="position:absolute;left:8112;top:2807;width:1131;height:411" type="#_x0000_t75" stroked="false">
              <v:imagedata r:id="rId1156" o:title=""/>
            </v:shape>
            <v:shape style="position:absolute;left:10344;top:3009;width:1131;height:209" type="#_x0000_t75" stroked="false">
              <v:imagedata r:id="rId1157" o:title=""/>
            </v:shape>
            <v:shape style="position:absolute;left:6988;top:2606;width:2254;height:814" type="#_x0000_t75" stroked="false">
              <v:imagedata r:id="rId1166" o:title=""/>
            </v:shape>
            <v:shape style="position:absolute;left:9220;top:3211;width:2254;height:411" type="#_x0000_t75" stroked="false">
              <v:imagedata r:id="rId1167" o:title=""/>
            </v:shape>
            <v:shape style="position:absolute;left:5841;top:3412;width:2278;height:411" type="#_x0000_t75" stroked="false">
              <v:imagedata r:id="rId1240" o:title=""/>
            </v:shape>
            <v:shape style="position:absolute;left:5841;top:3412;width:5633;height:612" type="#_x0000_t75" stroked="false">
              <v:imagedata r:id="rId1169" o:title=""/>
            </v:shape>
            <v:shape style="position:absolute;left:5841;top:3815;width:5633;height:411" type="#_x0000_t75" stroked="false">
              <v:imagedata r:id="rId1170" o:title=""/>
            </v:shape>
            <v:shape style="position:absolute;left:5841;top:4017;width:5633;height:411" type="#_x0000_t75" stroked="false">
              <v:imagedata r:id="rId1170" o:title=""/>
            </v:shape>
            <v:shape style="position:absolute;left:5841;top:4219;width:5633;height:411" type="#_x0000_t75" stroked="false">
              <v:imagedata r:id="rId1170" o:title=""/>
            </v:shape>
            <v:shape style="position:absolute;left:5841;top:4420;width:5633;height:406" type="#_x0000_t75" stroked="false">
              <v:imagedata r:id="rId1171" o:title=""/>
            </v:shape>
            <v:shape style="position:absolute;left:5841;top:4622;width:5633;height:550" type="#_x0000_t75" stroked="false">
              <v:imagedata r:id="rId1241" o:title=""/>
            </v:shape>
            <v:shape style="position:absolute;left:760;top:1195;width:10714;height:4589" type="#_x0000_t75" stroked="false">
              <v:imagedata r:id="rId1242" o:title=""/>
            </v:shape>
            <v:shape style="position:absolute;left:5841;top:4994;width:5633;height:380" type="#_x0000_t75" stroked="false">
              <v:imagedata r:id="rId1243" o:title=""/>
            </v:shape>
            <v:shape style="position:absolute;left:6988;top:5164;width:4486;height:209" type="#_x0000_t75" stroked="false">
              <v:imagedata r:id="rId1244" o:title=""/>
            </v:shape>
            <v:shape style="position:absolute;left:5841;top:5366;width:1162;height:207" type="#_x0000_t75" stroked="false">
              <v:imagedata r:id="rId1177" o:title=""/>
            </v:shape>
            <v:shape style="position:absolute;left:6988;top:5366;width:2247;height:209" type="#_x0000_t75" stroked="false">
              <v:imagedata r:id="rId1245" o:title=""/>
            </v:shape>
            <v:shape style="position:absolute;left:10344;top:5567;width:1131;height:216" type="#_x0000_t75" stroked="false">
              <v:imagedata r:id="rId1246" o:title=""/>
            </v:shape>
            <v:shape style="position:absolute;left:6988;top:5762;width:2247;height:214" type="#_x0000_t75" stroked="false">
              <v:imagedata r:id="rId1247" o:title=""/>
            </v:shape>
            <v:shape style="position:absolute;left:9220;top:5762;width:2254;height:413" type="#_x0000_t75" stroked="false">
              <v:imagedata r:id="rId1180" o:title=""/>
            </v:shape>
            <v:shape style="position:absolute;left:760;top:5762;width:6250;height:656" type="#_x0000_t75" stroked="false">
              <v:imagedata r:id="rId1248" o:title=""/>
            </v:shape>
            <v:shape style="position:absolute;left:6988;top:5971;width:2247;height:447" type="#_x0000_t75" stroked="false">
              <v:imagedata r:id="rId1182" o:title=""/>
            </v:shape>
            <v:shape style="position:absolute;left:9220;top:5971;width:2254;height:648" type="#_x0000_t75" stroked="false">
              <v:imagedata r:id="rId1183" o:title=""/>
            </v:shape>
            <v:shape style="position:absolute;left:8112;top:6415;width:1124;height:209" type="#_x0000_t75" stroked="false">
              <v:imagedata r:id="rId1199" o:title=""/>
            </v:shape>
            <v:shape style="position:absolute;left:5841;top:6415;width:1169;height:406" type="#_x0000_t75" stroked="false">
              <v:imagedata r:id="rId1161" o:title=""/>
            </v:shape>
            <v:shape style="position:absolute;left:8112;top:6616;width:1124;height:216" type="#_x0000_t75" stroked="false">
              <v:imagedata r:id="rId1249" o:title=""/>
            </v:shape>
            <v:shape style="position:absolute;left:10344;top:6415;width:1131;height:411" type="#_x0000_t75" stroked="false">
              <v:imagedata r:id="rId1154" o:title=""/>
            </v:shape>
            <v:shape style="position:absolute;left:5841;top:6616;width:1169;height:375" type="#_x0000_t75" stroked="false">
              <v:imagedata r:id="rId1250" o:title=""/>
            </v:shape>
            <v:shape style="position:absolute;left:10344;top:6818;width:1131;height:344" type="#_x0000_t75" stroked="false">
              <v:imagedata r:id="rId1251" o:title=""/>
            </v:shape>
            <v:shape style="position:absolute;left:5841;top:6818;width:1169;height:545" type="#_x0000_t75" stroked="false">
              <v:imagedata r:id="rId1252" o:title=""/>
            </v:shape>
            <v:shape style="position:absolute;left:8112;top:6616;width:1131;height:752" type="#_x0000_t75" stroked="false">
              <v:imagedata r:id="rId1253" o:title=""/>
            </v:shape>
            <v:shape style="position:absolute;left:5841;top:7159;width:1169;height:406" type="#_x0000_t75" stroked="false">
              <v:imagedata r:id="rId1217" o:title=""/>
            </v:shape>
            <v:shape style="position:absolute;left:10344;top:6988;width:1131;height:1383" type="#_x0000_t75" stroked="false">
              <v:imagedata r:id="rId1254" o:title=""/>
            </v:shape>
            <v:shape style="position:absolute;left:5841;top:7360;width:1169;height:1414" type="#_x0000_t75" stroked="false">
              <v:imagedata r:id="rId1255" o:title=""/>
            </v:shape>
            <v:shape style="position:absolute;left:8112;top:7360;width:1124;height:1217" type="#_x0000_t75" stroked="false">
              <v:imagedata r:id="rId1256" o:title=""/>
            </v:shape>
            <v:shape style="position:absolute;left:8112;top:7159;width:1131;height:1817" type="#_x0000_t75" stroked="false">
              <v:imagedata r:id="rId1257" o:title=""/>
            </v:shape>
            <v:shape style="position:absolute;left:10344;top:8167;width:1131;height:411" type="#_x0000_t75" stroked="false">
              <v:imagedata r:id="rId1258" o:title=""/>
            </v:shape>
            <v:shape style="position:absolute;left:8112;top:8570;width:1124;height:209" type="#_x0000_t75" stroked="false">
              <v:imagedata r:id="rId1199" o:title=""/>
            </v:shape>
            <v:shape style="position:absolute;left:760;top:6415;width:6250;height:2775" type="#_x0000_t75" stroked="false">
              <v:imagedata r:id="rId1259" o:title=""/>
            </v:shape>
            <v:shape style="position:absolute;left:5841;top:8570;width:1169;height:406" type="#_x0000_t75" stroked="false">
              <v:imagedata r:id="rId1217" o:title=""/>
            </v:shape>
            <v:shape style="position:absolute;left:9220;top:8570;width:2254;height:620" type="#_x0000_t75" stroked="false">
              <v:imagedata r:id="rId1260" o:title=""/>
            </v:shape>
            <v:shape style="position:absolute;left:6988;top:8973;width:2247;height:216" type="#_x0000_t75" stroked="false">
              <v:imagedata r:id="rId1261" o:title=""/>
            </v:shape>
            <w10:wrap type="none"/>
          </v:group>
        </w:pict>
      </w:r>
      <w:r>
        <w:rPr/>
        <w:pict>
          <v:shape style="position:absolute;margin-left:38.403183pt;margin-top:-27.698584pt;width:534.85pt;height:486.7pt;mso-position-horizontal-relative:page;mso-position-vertical-relative:paragraph;z-index:252257280"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20"/>
                    <w:gridCol w:w="1565"/>
                    <w:gridCol w:w="1147"/>
                    <w:gridCol w:w="1116"/>
                    <w:gridCol w:w="1116"/>
                    <w:gridCol w:w="1116"/>
                    <w:gridCol w:w="1116"/>
                  </w:tblGrid>
                  <w:tr>
                    <w:trPr>
                      <w:trHeight w:val="154" w:hRule="atLeast"/>
                    </w:trPr>
                    <w:tc>
                      <w:tcPr>
                        <w:tcW w:w="5085" w:type="dxa"/>
                        <w:gridSpan w:val="2"/>
                      </w:tcPr>
                      <w:p>
                        <w:pPr>
                          <w:pStyle w:val="TableParagraph"/>
                          <w:tabs>
                            <w:tab w:pos="4762" w:val="right" w:leader="none"/>
                          </w:tabs>
                          <w:spacing w:line="135" w:lineRule="exact"/>
                          <w:ind w:left="100"/>
                          <w:rPr>
                            <w:rFonts w:ascii="Times New Roman"/>
                            <w:sz w:val="13"/>
                          </w:rPr>
                        </w:pPr>
                        <w:r>
                          <w:rPr>
                            <w:rFonts w:ascii="Times New Roman"/>
                            <w:w w:val="105"/>
                            <w:sz w:val="13"/>
                          </w:rPr>
                          <w:t>1. LCFF/Revenue</w:t>
                        </w:r>
                        <w:r>
                          <w:rPr>
                            <w:rFonts w:ascii="Times New Roman"/>
                            <w:spacing w:val="-5"/>
                            <w:w w:val="105"/>
                            <w:sz w:val="13"/>
                          </w:rPr>
                          <w:t> </w:t>
                        </w:r>
                        <w:r>
                          <w:rPr>
                            <w:rFonts w:ascii="Times New Roman"/>
                            <w:w w:val="105"/>
                            <w:sz w:val="13"/>
                          </w:rPr>
                          <w:t>Limit</w:t>
                        </w:r>
                        <w:r>
                          <w:rPr>
                            <w:rFonts w:ascii="Times New Roman"/>
                            <w:spacing w:val="-1"/>
                            <w:w w:val="105"/>
                            <w:sz w:val="13"/>
                          </w:rPr>
                          <w:t> </w:t>
                        </w:r>
                        <w:r>
                          <w:rPr>
                            <w:rFonts w:ascii="Times New Roman"/>
                            <w:w w:val="105"/>
                            <w:sz w:val="13"/>
                          </w:rPr>
                          <w:t>Sources</w:t>
                          <w:tab/>
                          <w:t>8010-8099</w:t>
                        </w:r>
                      </w:p>
                    </w:tc>
                    <w:tc>
                      <w:tcPr>
                        <w:tcW w:w="1147" w:type="dxa"/>
                      </w:tcPr>
                      <w:p>
                        <w:pPr>
                          <w:pStyle w:val="TableParagraph"/>
                          <w:spacing w:line="135" w:lineRule="exact"/>
                          <w:ind w:right="74"/>
                          <w:jc w:val="right"/>
                          <w:rPr>
                            <w:rFonts w:ascii="Times New Roman"/>
                            <w:sz w:val="13"/>
                          </w:rPr>
                        </w:pPr>
                        <w:r>
                          <w:rPr>
                            <w:rFonts w:ascii="Times New Roman"/>
                            <w:sz w:val="13"/>
                          </w:rPr>
                          <w:t>0.00</w:t>
                        </w:r>
                      </w:p>
                    </w:tc>
                    <w:tc>
                      <w:tcPr>
                        <w:tcW w:w="1116" w:type="dxa"/>
                      </w:tcPr>
                      <w:p>
                        <w:pPr>
                          <w:pStyle w:val="TableParagraph"/>
                          <w:spacing w:line="135" w:lineRule="exact"/>
                          <w:ind w:right="29"/>
                          <w:jc w:val="right"/>
                          <w:rPr>
                            <w:rFonts w:ascii="Times New Roman"/>
                            <w:sz w:val="13"/>
                          </w:rPr>
                        </w:pPr>
                        <w:r>
                          <w:rPr>
                            <w:rFonts w:ascii="Times New Roman"/>
                            <w:sz w:val="13"/>
                          </w:rPr>
                          <w:t>0.00%</w:t>
                        </w:r>
                      </w:p>
                    </w:tc>
                    <w:tc>
                      <w:tcPr>
                        <w:tcW w:w="1116" w:type="dxa"/>
                      </w:tcPr>
                      <w:p>
                        <w:pPr>
                          <w:pStyle w:val="TableParagraph"/>
                          <w:spacing w:line="135" w:lineRule="exact"/>
                          <w:ind w:right="74"/>
                          <w:jc w:val="right"/>
                          <w:rPr>
                            <w:rFonts w:ascii="Times New Roman"/>
                            <w:sz w:val="13"/>
                          </w:rPr>
                        </w:pPr>
                        <w:r>
                          <w:rPr>
                            <w:rFonts w:ascii="Times New Roman"/>
                            <w:sz w:val="13"/>
                          </w:rPr>
                          <w:t>0.00</w:t>
                        </w:r>
                      </w:p>
                    </w:tc>
                    <w:tc>
                      <w:tcPr>
                        <w:tcW w:w="1116" w:type="dxa"/>
                      </w:tcPr>
                      <w:p>
                        <w:pPr>
                          <w:pStyle w:val="TableParagraph"/>
                          <w:spacing w:line="135" w:lineRule="exact"/>
                          <w:ind w:right="29"/>
                          <w:jc w:val="right"/>
                          <w:rPr>
                            <w:rFonts w:ascii="Times New Roman"/>
                            <w:sz w:val="13"/>
                          </w:rPr>
                        </w:pPr>
                        <w:r>
                          <w:rPr>
                            <w:rFonts w:ascii="Times New Roman"/>
                            <w:sz w:val="13"/>
                          </w:rPr>
                          <w:t>0.00%</w:t>
                        </w:r>
                      </w:p>
                    </w:tc>
                    <w:tc>
                      <w:tcPr>
                        <w:tcW w:w="1116" w:type="dxa"/>
                      </w:tcPr>
                      <w:p>
                        <w:pPr>
                          <w:pStyle w:val="TableParagraph"/>
                          <w:spacing w:line="135" w:lineRule="exact"/>
                          <w:ind w:right="74"/>
                          <w:jc w:val="right"/>
                          <w:rPr>
                            <w:rFonts w:ascii="Times New Roman"/>
                            <w:sz w:val="13"/>
                          </w:rPr>
                        </w:pPr>
                        <w:r>
                          <w:rPr>
                            <w:rFonts w:ascii="Times New Roman"/>
                            <w:sz w:val="13"/>
                          </w:rPr>
                          <w:t>0.00</w:t>
                        </w:r>
                      </w:p>
                    </w:tc>
                  </w:tr>
                  <w:tr>
                    <w:trPr>
                      <w:trHeight w:val="160" w:hRule="atLeast"/>
                    </w:trPr>
                    <w:tc>
                      <w:tcPr>
                        <w:tcW w:w="5085" w:type="dxa"/>
                        <w:gridSpan w:val="2"/>
                      </w:tcPr>
                      <w:p>
                        <w:pPr>
                          <w:pStyle w:val="TableParagraph"/>
                          <w:tabs>
                            <w:tab w:pos="4762" w:val="right" w:leader="none"/>
                          </w:tabs>
                          <w:spacing w:line="137" w:lineRule="exact" w:before="4"/>
                          <w:ind w:left="100"/>
                          <w:rPr>
                            <w:rFonts w:ascii="Times New Roman"/>
                            <w:sz w:val="13"/>
                          </w:rPr>
                        </w:pPr>
                        <w:r>
                          <w:rPr>
                            <w:rFonts w:ascii="Times New Roman"/>
                            <w:w w:val="105"/>
                            <w:sz w:val="13"/>
                          </w:rPr>
                          <w:t>2.</w:t>
                        </w:r>
                        <w:r>
                          <w:rPr>
                            <w:rFonts w:ascii="Times New Roman"/>
                            <w:spacing w:val="32"/>
                            <w:w w:val="105"/>
                            <w:sz w:val="13"/>
                          </w:rPr>
                          <w:t> </w:t>
                        </w:r>
                        <w:r>
                          <w:rPr>
                            <w:rFonts w:ascii="Times New Roman"/>
                            <w:w w:val="105"/>
                            <w:sz w:val="13"/>
                          </w:rPr>
                          <w:t>Federal</w:t>
                        </w:r>
                        <w:r>
                          <w:rPr>
                            <w:rFonts w:ascii="Times New Roman"/>
                            <w:spacing w:val="-3"/>
                            <w:w w:val="105"/>
                            <w:sz w:val="13"/>
                          </w:rPr>
                          <w:t> </w:t>
                        </w:r>
                        <w:r>
                          <w:rPr>
                            <w:rFonts w:ascii="Times New Roman"/>
                            <w:w w:val="105"/>
                            <w:sz w:val="13"/>
                          </w:rPr>
                          <w:t>Revenues</w:t>
                          <w:tab/>
                          <w:t>8100-8299</w:t>
                        </w:r>
                      </w:p>
                    </w:tc>
                    <w:tc>
                      <w:tcPr>
                        <w:tcW w:w="1147" w:type="dxa"/>
                      </w:tcPr>
                      <w:p>
                        <w:pPr>
                          <w:pStyle w:val="TableParagraph"/>
                          <w:spacing w:line="137" w:lineRule="exact" w:before="4"/>
                          <w:ind w:right="75"/>
                          <w:jc w:val="right"/>
                          <w:rPr>
                            <w:rFonts w:ascii="Times New Roman"/>
                            <w:sz w:val="13"/>
                          </w:rPr>
                        </w:pPr>
                        <w:r>
                          <w:rPr>
                            <w:rFonts w:ascii="Times New Roman"/>
                            <w:sz w:val="13"/>
                          </w:rPr>
                          <w:t>166,779.00</w:t>
                        </w:r>
                      </w:p>
                    </w:tc>
                    <w:tc>
                      <w:tcPr>
                        <w:tcW w:w="1116" w:type="dxa"/>
                      </w:tcPr>
                      <w:p>
                        <w:pPr>
                          <w:pStyle w:val="TableParagraph"/>
                          <w:spacing w:line="137" w:lineRule="exact" w:before="4"/>
                          <w:ind w:right="30"/>
                          <w:jc w:val="right"/>
                          <w:rPr>
                            <w:rFonts w:ascii="Times New Roman"/>
                            <w:sz w:val="13"/>
                          </w:rPr>
                        </w:pPr>
                        <w:r>
                          <w:rPr>
                            <w:rFonts w:ascii="Times New Roman"/>
                            <w:sz w:val="13"/>
                          </w:rPr>
                          <w:t>-36.32%</w:t>
                        </w:r>
                      </w:p>
                    </w:tc>
                    <w:tc>
                      <w:tcPr>
                        <w:tcW w:w="1116" w:type="dxa"/>
                      </w:tcPr>
                      <w:p>
                        <w:pPr>
                          <w:pStyle w:val="TableParagraph"/>
                          <w:spacing w:line="137" w:lineRule="exact" w:before="4"/>
                          <w:ind w:right="75"/>
                          <w:jc w:val="right"/>
                          <w:rPr>
                            <w:rFonts w:ascii="Times New Roman"/>
                            <w:sz w:val="13"/>
                          </w:rPr>
                        </w:pPr>
                        <w:r>
                          <w:rPr>
                            <w:rFonts w:ascii="Times New Roman"/>
                            <w:sz w:val="13"/>
                          </w:rPr>
                          <w:t>106,209.00</w:t>
                        </w:r>
                      </w:p>
                    </w:tc>
                    <w:tc>
                      <w:tcPr>
                        <w:tcW w:w="1116" w:type="dxa"/>
                      </w:tcPr>
                      <w:p>
                        <w:pPr>
                          <w:pStyle w:val="TableParagraph"/>
                          <w:spacing w:line="137" w:lineRule="exact" w:before="4"/>
                          <w:ind w:right="29"/>
                          <w:jc w:val="right"/>
                          <w:rPr>
                            <w:rFonts w:ascii="Times New Roman"/>
                            <w:sz w:val="13"/>
                          </w:rPr>
                        </w:pPr>
                        <w:r>
                          <w:rPr>
                            <w:rFonts w:ascii="Times New Roman"/>
                            <w:sz w:val="13"/>
                          </w:rPr>
                          <w:t>0.00%</w:t>
                        </w:r>
                      </w:p>
                    </w:tc>
                    <w:tc>
                      <w:tcPr>
                        <w:tcW w:w="1116" w:type="dxa"/>
                      </w:tcPr>
                      <w:p>
                        <w:pPr>
                          <w:pStyle w:val="TableParagraph"/>
                          <w:spacing w:line="137" w:lineRule="exact" w:before="4"/>
                          <w:ind w:right="75"/>
                          <w:jc w:val="right"/>
                          <w:rPr>
                            <w:rFonts w:ascii="Times New Roman"/>
                            <w:sz w:val="13"/>
                          </w:rPr>
                        </w:pPr>
                        <w:r>
                          <w:rPr>
                            <w:rFonts w:ascii="Times New Roman"/>
                            <w:sz w:val="13"/>
                          </w:rPr>
                          <w:t>106,209.00</w:t>
                        </w:r>
                      </w:p>
                    </w:tc>
                  </w:tr>
                  <w:tr>
                    <w:trPr>
                      <w:trHeight w:val="160" w:hRule="atLeast"/>
                    </w:trPr>
                    <w:tc>
                      <w:tcPr>
                        <w:tcW w:w="5085" w:type="dxa"/>
                        <w:gridSpan w:val="2"/>
                      </w:tcPr>
                      <w:p>
                        <w:pPr>
                          <w:pStyle w:val="TableParagraph"/>
                          <w:tabs>
                            <w:tab w:pos="4762" w:val="right" w:leader="none"/>
                          </w:tabs>
                          <w:spacing w:line="137" w:lineRule="exact" w:before="4"/>
                          <w:ind w:left="100"/>
                          <w:rPr>
                            <w:rFonts w:ascii="Times New Roman"/>
                            <w:sz w:val="13"/>
                          </w:rPr>
                        </w:pPr>
                        <w:r>
                          <w:rPr>
                            <w:rFonts w:ascii="Times New Roman"/>
                            <w:w w:val="105"/>
                            <w:sz w:val="13"/>
                          </w:rPr>
                          <w:t>3. Other</w:t>
                        </w:r>
                        <w:r>
                          <w:rPr>
                            <w:rFonts w:ascii="Times New Roman"/>
                            <w:spacing w:val="-4"/>
                            <w:w w:val="105"/>
                            <w:sz w:val="13"/>
                          </w:rPr>
                          <w:t> </w:t>
                        </w:r>
                        <w:r>
                          <w:rPr>
                            <w:rFonts w:ascii="Times New Roman"/>
                            <w:w w:val="105"/>
                            <w:sz w:val="13"/>
                          </w:rPr>
                          <w:t>State</w:t>
                        </w:r>
                        <w:r>
                          <w:rPr>
                            <w:rFonts w:ascii="Times New Roman"/>
                            <w:spacing w:val="-1"/>
                            <w:w w:val="105"/>
                            <w:sz w:val="13"/>
                          </w:rPr>
                          <w:t> </w:t>
                        </w:r>
                        <w:r>
                          <w:rPr>
                            <w:rFonts w:ascii="Times New Roman"/>
                            <w:w w:val="105"/>
                            <w:sz w:val="13"/>
                          </w:rPr>
                          <w:t>Revenues</w:t>
                          <w:tab/>
                          <w:t>8300-8599</w:t>
                        </w:r>
                      </w:p>
                    </w:tc>
                    <w:tc>
                      <w:tcPr>
                        <w:tcW w:w="1147" w:type="dxa"/>
                      </w:tcPr>
                      <w:p>
                        <w:pPr>
                          <w:pStyle w:val="TableParagraph"/>
                          <w:spacing w:line="137" w:lineRule="exact" w:before="4"/>
                          <w:ind w:right="75"/>
                          <w:jc w:val="right"/>
                          <w:rPr>
                            <w:rFonts w:ascii="Times New Roman"/>
                            <w:sz w:val="13"/>
                          </w:rPr>
                        </w:pPr>
                        <w:r>
                          <w:rPr>
                            <w:rFonts w:ascii="Times New Roman"/>
                            <w:sz w:val="13"/>
                          </w:rPr>
                          <w:t>163,762.00</w:t>
                        </w:r>
                      </w:p>
                    </w:tc>
                    <w:tc>
                      <w:tcPr>
                        <w:tcW w:w="1116" w:type="dxa"/>
                      </w:tcPr>
                      <w:p>
                        <w:pPr>
                          <w:pStyle w:val="TableParagraph"/>
                          <w:spacing w:line="137" w:lineRule="exact" w:before="4"/>
                          <w:ind w:right="30"/>
                          <w:jc w:val="right"/>
                          <w:rPr>
                            <w:rFonts w:ascii="Times New Roman"/>
                            <w:sz w:val="13"/>
                          </w:rPr>
                        </w:pPr>
                        <w:r>
                          <w:rPr>
                            <w:rFonts w:ascii="Times New Roman"/>
                            <w:sz w:val="13"/>
                          </w:rPr>
                          <w:t>-50.63%</w:t>
                        </w:r>
                      </w:p>
                    </w:tc>
                    <w:tc>
                      <w:tcPr>
                        <w:tcW w:w="1116" w:type="dxa"/>
                      </w:tcPr>
                      <w:p>
                        <w:pPr>
                          <w:pStyle w:val="TableParagraph"/>
                          <w:spacing w:line="137" w:lineRule="exact" w:before="4"/>
                          <w:ind w:right="75"/>
                          <w:jc w:val="right"/>
                          <w:rPr>
                            <w:rFonts w:ascii="Times New Roman"/>
                            <w:sz w:val="13"/>
                          </w:rPr>
                        </w:pPr>
                        <w:r>
                          <w:rPr>
                            <w:rFonts w:ascii="Times New Roman"/>
                            <w:sz w:val="13"/>
                          </w:rPr>
                          <w:t>80,855.00</w:t>
                        </w:r>
                      </w:p>
                    </w:tc>
                    <w:tc>
                      <w:tcPr>
                        <w:tcW w:w="1116" w:type="dxa"/>
                      </w:tcPr>
                      <w:p>
                        <w:pPr>
                          <w:pStyle w:val="TableParagraph"/>
                          <w:spacing w:line="137" w:lineRule="exact" w:before="4"/>
                          <w:ind w:right="29"/>
                          <w:jc w:val="right"/>
                          <w:rPr>
                            <w:rFonts w:ascii="Times New Roman"/>
                            <w:sz w:val="13"/>
                          </w:rPr>
                        </w:pPr>
                        <w:r>
                          <w:rPr>
                            <w:rFonts w:ascii="Times New Roman"/>
                            <w:sz w:val="13"/>
                          </w:rPr>
                          <w:t>0.00%</w:t>
                        </w:r>
                      </w:p>
                    </w:tc>
                    <w:tc>
                      <w:tcPr>
                        <w:tcW w:w="1116" w:type="dxa"/>
                      </w:tcPr>
                      <w:p>
                        <w:pPr>
                          <w:pStyle w:val="TableParagraph"/>
                          <w:spacing w:line="137" w:lineRule="exact" w:before="4"/>
                          <w:ind w:right="75"/>
                          <w:jc w:val="right"/>
                          <w:rPr>
                            <w:rFonts w:ascii="Times New Roman"/>
                            <w:sz w:val="13"/>
                          </w:rPr>
                        </w:pPr>
                        <w:r>
                          <w:rPr>
                            <w:rFonts w:ascii="Times New Roman"/>
                            <w:sz w:val="13"/>
                          </w:rPr>
                          <w:t>80,855.00</w:t>
                        </w:r>
                      </w:p>
                    </w:tc>
                  </w:tr>
                  <w:tr>
                    <w:trPr>
                      <w:trHeight w:val="250" w:hRule="atLeast"/>
                    </w:trPr>
                    <w:tc>
                      <w:tcPr>
                        <w:tcW w:w="5085" w:type="dxa"/>
                        <w:gridSpan w:val="2"/>
                      </w:tcPr>
                      <w:p>
                        <w:pPr>
                          <w:pStyle w:val="TableParagraph"/>
                          <w:tabs>
                            <w:tab w:pos="4762" w:val="right" w:leader="none"/>
                          </w:tabs>
                          <w:spacing w:before="4"/>
                          <w:ind w:left="100"/>
                          <w:rPr>
                            <w:rFonts w:ascii="Times New Roman"/>
                            <w:sz w:val="13"/>
                          </w:rPr>
                        </w:pPr>
                        <w:r>
                          <w:rPr>
                            <w:rFonts w:ascii="Times New Roman"/>
                            <w:w w:val="105"/>
                            <w:sz w:val="13"/>
                          </w:rPr>
                          <w:t>4. Other</w:t>
                        </w:r>
                        <w:r>
                          <w:rPr>
                            <w:rFonts w:ascii="Times New Roman"/>
                            <w:spacing w:val="-4"/>
                            <w:w w:val="105"/>
                            <w:sz w:val="13"/>
                          </w:rPr>
                          <w:t> </w:t>
                        </w:r>
                        <w:r>
                          <w:rPr>
                            <w:rFonts w:ascii="Times New Roman"/>
                            <w:w w:val="105"/>
                            <w:sz w:val="13"/>
                          </w:rPr>
                          <w:t>Local</w:t>
                        </w:r>
                        <w:r>
                          <w:rPr>
                            <w:rFonts w:ascii="Times New Roman"/>
                            <w:spacing w:val="-3"/>
                            <w:w w:val="105"/>
                            <w:sz w:val="13"/>
                          </w:rPr>
                          <w:t> </w:t>
                        </w:r>
                        <w:r>
                          <w:rPr>
                            <w:rFonts w:ascii="Times New Roman"/>
                            <w:w w:val="105"/>
                            <w:sz w:val="13"/>
                          </w:rPr>
                          <w:t>Revenues</w:t>
                          <w:tab/>
                          <w:t>8600-8799</w:t>
                        </w:r>
                      </w:p>
                    </w:tc>
                    <w:tc>
                      <w:tcPr>
                        <w:tcW w:w="1147" w:type="dxa"/>
                      </w:tcPr>
                      <w:p>
                        <w:pPr>
                          <w:pStyle w:val="TableParagraph"/>
                          <w:spacing w:before="4"/>
                          <w:ind w:right="75"/>
                          <w:jc w:val="right"/>
                          <w:rPr>
                            <w:rFonts w:ascii="Times New Roman"/>
                            <w:sz w:val="13"/>
                          </w:rPr>
                        </w:pPr>
                        <w:r>
                          <w:rPr>
                            <w:rFonts w:ascii="Times New Roman"/>
                            <w:sz w:val="13"/>
                          </w:rPr>
                          <w:t>40,372.00</w:t>
                        </w:r>
                      </w:p>
                    </w:tc>
                    <w:tc>
                      <w:tcPr>
                        <w:tcW w:w="1116" w:type="dxa"/>
                      </w:tcPr>
                      <w:p>
                        <w:pPr>
                          <w:pStyle w:val="TableParagraph"/>
                          <w:spacing w:before="4"/>
                          <w:ind w:right="29"/>
                          <w:jc w:val="right"/>
                          <w:rPr>
                            <w:rFonts w:ascii="Times New Roman"/>
                            <w:sz w:val="13"/>
                          </w:rPr>
                        </w:pPr>
                        <w:r>
                          <w:rPr>
                            <w:rFonts w:ascii="Times New Roman"/>
                            <w:sz w:val="13"/>
                          </w:rPr>
                          <w:t>0.00%</w:t>
                        </w:r>
                      </w:p>
                    </w:tc>
                    <w:tc>
                      <w:tcPr>
                        <w:tcW w:w="1116" w:type="dxa"/>
                      </w:tcPr>
                      <w:p>
                        <w:pPr>
                          <w:pStyle w:val="TableParagraph"/>
                          <w:spacing w:before="4"/>
                          <w:ind w:right="75"/>
                          <w:jc w:val="right"/>
                          <w:rPr>
                            <w:rFonts w:ascii="Times New Roman"/>
                            <w:sz w:val="13"/>
                          </w:rPr>
                        </w:pPr>
                        <w:r>
                          <w:rPr>
                            <w:rFonts w:ascii="Times New Roman"/>
                            <w:sz w:val="13"/>
                          </w:rPr>
                          <w:t>40,372.00</w:t>
                        </w:r>
                      </w:p>
                    </w:tc>
                    <w:tc>
                      <w:tcPr>
                        <w:tcW w:w="1116" w:type="dxa"/>
                      </w:tcPr>
                      <w:p>
                        <w:pPr>
                          <w:pStyle w:val="TableParagraph"/>
                          <w:spacing w:before="4"/>
                          <w:ind w:right="29"/>
                          <w:jc w:val="right"/>
                          <w:rPr>
                            <w:rFonts w:ascii="Times New Roman"/>
                            <w:sz w:val="13"/>
                          </w:rPr>
                        </w:pPr>
                        <w:r>
                          <w:rPr>
                            <w:rFonts w:ascii="Times New Roman"/>
                            <w:sz w:val="13"/>
                          </w:rPr>
                          <w:t>0.00%</w:t>
                        </w:r>
                      </w:p>
                    </w:tc>
                    <w:tc>
                      <w:tcPr>
                        <w:tcW w:w="1116" w:type="dxa"/>
                      </w:tcPr>
                      <w:p>
                        <w:pPr>
                          <w:pStyle w:val="TableParagraph"/>
                          <w:spacing w:before="4"/>
                          <w:ind w:right="75"/>
                          <w:jc w:val="right"/>
                          <w:rPr>
                            <w:rFonts w:ascii="Times New Roman"/>
                            <w:sz w:val="13"/>
                          </w:rPr>
                        </w:pPr>
                        <w:r>
                          <w:rPr>
                            <w:rFonts w:ascii="Times New Roman"/>
                            <w:sz w:val="13"/>
                          </w:rPr>
                          <w:t>40,372.00</w:t>
                        </w:r>
                      </w:p>
                    </w:tc>
                  </w:tr>
                  <w:tr>
                    <w:trPr>
                      <w:trHeight w:val="255" w:hRule="atLeast"/>
                    </w:trPr>
                    <w:tc>
                      <w:tcPr>
                        <w:tcW w:w="5085" w:type="dxa"/>
                        <w:gridSpan w:val="2"/>
                      </w:tcPr>
                      <w:p>
                        <w:pPr>
                          <w:pStyle w:val="TableParagraph"/>
                          <w:tabs>
                            <w:tab w:pos="4762" w:val="right" w:leader="none"/>
                          </w:tabs>
                          <w:spacing w:line="141" w:lineRule="exact" w:before="94"/>
                          <w:ind w:left="201"/>
                          <w:rPr>
                            <w:rFonts w:ascii="Times New Roman"/>
                            <w:sz w:val="13"/>
                          </w:rPr>
                        </w:pPr>
                        <w:r>
                          <w:rPr>
                            <w:rFonts w:ascii="Times New Roman"/>
                            <w:w w:val="105"/>
                            <w:sz w:val="13"/>
                          </w:rPr>
                          <w:t>a.</w:t>
                        </w:r>
                        <w:r>
                          <w:rPr>
                            <w:rFonts w:ascii="Times New Roman"/>
                            <w:spacing w:val="32"/>
                            <w:w w:val="105"/>
                            <w:sz w:val="13"/>
                          </w:rPr>
                          <w:t> </w:t>
                        </w:r>
                        <w:r>
                          <w:rPr>
                            <w:rFonts w:ascii="Times New Roman"/>
                            <w:w w:val="105"/>
                            <w:sz w:val="13"/>
                          </w:rPr>
                          <w:t>Transfers In</w:t>
                          <w:tab/>
                          <w:t>8900-8929</w:t>
                        </w:r>
                      </w:p>
                    </w:tc>
                    <w:tc>
                      <w:tcPr>
                        <w:tcW w:w="1147" w:type="dxa"/>
                      </w:tcPr>
                      <w:p>
                        <w:pPr>
                          <w:pStyle w:val="TableParagraph"/>
                          <w:spacing w:line="141" w:lineRule="exact" w:before="94"/>
                          <w:ind w:right="74"/>
                          <w:jc w:val="right"/>
                          <w:rPr>
                            <w:rFonts w:ascii="Times New Roman"/>
                            <w:sz w:val="13"/>
                          </w:rPr>
                        </w:pPr>
                        <w:r>
                          <w:rPr>
                            <w:rFonts w:ascii="Times New Roman"/>
                            <w:sz w:val="13"/>
                          </w:rPr>
                          <w:t>0.00</w:t>
                        </w:r>
                      </w:p>
                    </w:tc>
                    <w:tc>
                      <w:tcPr>
                        <w:tcW w:w="1116" w:type="dxa"/>
                      </w:tcPr>
                      <w:p>
                        <w:pPr>
                          <w:pStyle w:val="TableParagraph"/>
                          <w:spacing w:line="141" w:lineRule="exact" w:before="94"/>
                          <w:ind w:right="29"/>
                          <w:jc w:val="right"/>
                          <w:rPr>
                            <w:rFonts w:ascii="Times New Roman"/>
                            <w:sz w:val="13"/>
                          </w:rPr>
                        </w:pPr>
                        <w:r>
                          <w:rPr>
                            <w:rFonts w:ascii="Times New Roman"/>
                            <w:sz w:val="13"/>
                          </w:rPr>
                          <w:t>0.00%</w:t>
                        </w:r>
                      </w:p>
                    </w:tc>
                    <w:tc>
                      <w:tcPr>
                        <w:tcW w:w="1116" w:type="dxa"/>
                      </w:tcPr>
                      <w:p>
                        <w:pPr>
                          <w:pStyle w:val="TableParagraph"/>
                          <w:spacing w:line="141" w:lineRule="exact" w:before="94"/>
                          <w:ind w:right="74"/>
                          <w:jc w:val="right"/>
                          <w:rPr>
                            <w:rFonts w:ascii="Times New Roman"/>
                            <w:sz w:val="13"/>
                          </w:rPr>
                        </w:pPr>
                        <w:r>
                          <w:rPr>
                            <w:rFonts w:ascii="Times New Roman"/>
                            <w:sz w:val="13"/>
                          </w:rPr>
                          <w:t>0.00</w:t>
                        </w:r>
                      </w:p>
                    </w:tc>
                    <w:tc>
                      <w:tcPr>
                        <w:tcW w:w="1116" w:type="dxa"/>
                      </w:tcPr>
                      <w:p>
                        <w:pPr>
                          <w:pStyle w:val="TableParagraph"/>
                          <w:spacing w:line="141" w:lineRule="exact" w:before="94"/>
                          <w:ind w:right="29"/>
                          <w:jc w:val="right"/>
                          <w:rPr>
                            <w:rFonts w:ascii="Times New Roman"/>
                            <w:sz w:val="13"/>
                          </w:rPr>
                        </w:pPr>
                        <w:r>
                          <w:rPr>
                            <w:rFonts w:ascii="Times New Roman"/>
                            <w:sz w:val="13"/>
                          </w:rPr>
                          <w:t>0.00%</w:t>
                        </w:r>
                      </w:p>
                    </w:tc>
                    <w:tc>
                      <w:tcPr>
                        <w:tcW w:w="1116" w:type="dxa"/>
                      </w:tcPr>
                      <w:p>
                        <w:pPr>
                          <w:pStyle w:val="TableParagraph"/>
                          <w:spacing w:line="141" w:lineRule="exact" w:before="94"/>
                          <w:ind w:right="74"/>
                          <w:jc w:val="right"/>
                          <w:rPr>
                            <w:rFonts w:ascii="Times New Roman"/>
                            <w:sz w:val="13"/>
                          </w:rPr>
                        </w:pPr>
                        <w:r>
                          <w:rPr>
                            <w:rFonts w:ascii="Times New Roman"/>
                            <w:sz w:val="13"/>
                          </w:rPr>
                          <w:t>0.00</w:t>
                        </w:r>
                      </w:p>
                    </w:tc>
                  </w:tr>
                  <w:tr>
                    <w:trPr>
                      <w:trHeight w:val="165" w:hRule="atLeast"/>
                    </w:trPr>
                    <w:tc>
                      <w:tcPr>
                        <w:tcW w:w="5085" w:type="dxa"/>
                        <w:gridSpan w:val="2"/>
                      </w:tcPr>
                      <w:p>
                        <w:pPr>
                          <w:pStyle w:val="TableParagraph"/>
                          <w:tabs>
                            <w:tab w:pos="4762" w:val="right" w:leader="none"/>
                          </w:tabs>
                          <w:spacing w:line="137" w:lineRule="exact" w:before="9"/>
                          <w:ind w:left="201"/>
                          <w:rPr>
                            <w:rFonts w:ascii="Times New Roman"/>
                            <w:sz w:val="13"/>
                          </w:rPr>
                        </w:pPr>
                        <w:r>
                          <w:rPr>
                            <w:rFonts w:ascii="Times New Roman"/>
                            <w:w w:val="105"/>
                            <w:sz w:val="13"/>
                          </w:rPr>
                          <w:t>b.</w:t>
                        </w:r>
                        <w:r>
                          <w:rPr>
                            <w:rFonts w:ascii="Times New Roman"/>
                            <w:spacing w:val="32"/>
                            <w:w w:val="105"/>
                            <w:sz w:val="13"/>
                          </w:rPr>
                          <w:t> </w:t>
                        </w:r>
                        <w:r>
                          <w:rPr>
                            <w:rFonts w:ascii="Times New Roman"/>
                            <w:w w:val="105"/>
                            <w:sz w:val="13"/>
                          </w:rPr>
                          <w:t>Other</w:t>
                        </w:r>
                        <w:r>
                          <w:rPr>
                            <w:rFonts w:ascii="Times New Roman"/>
                            <w:spacing w:val="-1"/>
                            <w:w w:val="105"/>
                            <w:sz w:val="13"/>
                          </w:rPr>
                          <w:t> </w:t>
                        </w:r>
                        <w:r>
                          <w:rPr>
                            <w:rFonts w:ascii="Times New Roman"/>
                            <w:w w:val="105"/>
                            <w:sz w:val="13"/>
                          </w:rPr>
                          <w:t>Sources</w:t>
                          <w:tab/>
                          <w:t>8930-8979</w:t>
                        </w:r>
                      </w:p>
                    </w:tc>
                    <w:tc>
                      <w:tcPr>
                        <w:tcW w:w="1147" w:type="dxa"/>
                      </w:tcPr>
                      <w:p>
                        <w:pPr>
                          <w:pStyle w:val="TableParagraph"/>
                          <w:spacing w:line="137" w:lineRule="exact" w:before="9"/>
                          <w:ind w:right="74"/>
                          <w:jc w:val="right"/>
                          <w:rPr>
                            <w:rFonts w:ascii="Times New Roman"/>
                            <w:sz w:val="13"/>
                          </w:rPr>
                        </w:pPr>
                        <w:r>
                          <w:rPr>
                            <w:rFonts w:ascii="Times New Roman"/>
                            <w:sz w:val="13"/>
                          </w:rPr>
                          <w:t>0.00</w:t>
                        </w:r>
                      </w:p>
                    </w:tc>
                    <w:tc>
                      <w:tcPr>
                        <w:tcW w:w="1116" w:type="dxa"/>
                      </w:tcPr>
                      <w:p>
                        <w:pPr>
                          <w:pStyle w:val="TableParagraph"/>
                          <w:spacing w:line="137" w:lineRule="exact" w:before="9"/>
                          <w:ind w:right="29"/>
                          <w:jc w:val="right"/>
                          <w:rPr>
                            <w:rFonts w:ascii="Times New Roman"/>
                            <w:sz w:val="13"/>
                          </w:rPr>
                        </w:pPr>
                        <w:r>
                          <w:rPr>
                            <w:rFonts w:ascii="Times New Roman"/>
                            <w:sz w:val="13"/>
                          </w:rPr>
                          <w:t>0.00%</w:t>
                        </w:r>
                      </w:p>
                    </w:tc>
                    <w:tc>
                      <w:tcPr>
                        <w:tcW w:w="1116" w:type="dxa"/>
                      </w:tcPr>
                      <w:p>
                        <w:pPr>
                          <w:pStyle w:val="TableParagraph"/>
                          <w:spacing w:line="137" w:lineRule="exact" w:before="9"/>
                          <w:ind w:right="74"/>
                          <w:jc w:val="right"/>
                          <w:rPr>
                            <w:rFonts w:ascii="Times New Roman"/>
                            <w:sz w:val="13"/>
                          </w:rPr>
                        </w:pPr>
                        <w:r>
                          <w:rPr>
                            <w:rFonts w:ascii="Times New Roman"/>
                            <w:sz w:val="13"/>
                          </w:rPr>
                          <w:t>0.00</w:t>
                        </w:r>
                      </w:p>
                    </w:tc>
                    <w:tc>
                      <w:tcPr>
                        <w:tcW w:w="1116" w:type="dxa"/>
                      </w:tcPr>
                      <w:p>
                        <w:pPr>
                          <w:pStyle w:val="TableParagraph"/>
                          <w:spacing w:line="137" w:lineRule="exact" w:before="9"/>
                          <w:ind w:right="29"/>
                          <w:jc w:val="right"/>
                          <w:rPr>
                            <w:rFonts w:ascii="Times New Roman"/>
                            <w:sz w:val="13"/>
                          </w:rPr>
                        </w:pPr>
                        <w:r>
                          <w:rPr>
                            <w:rFonts w:ascii="Times New Roman"/>
                            <w:sz w:val="13"/>
                          </w:rPr>
                          <w:t>0.00%</w:t>
                        </w:r>
                      </w:p>
                    </w:tc>
                    <w:tc>
                      <w:tcPr>
                        <w:tcW w:w="1116" w:type="dxa"/>
                      </w:tcPr>
                      <w:p>
                        <w:pPr>
                          <w:pStyle w:val="TableParagraph"/>
                          <w:spacing w:line="137" w:lineRule="exact" w:before="9"/>
                          <w:ind w:right="74"/>
                          <w:jc w:val="right"/>
                          <w:rPr>
                            <w:rFonts w:ascii="Times New Roman"/>
                            <w:sz w:val="13"/>
                          </w:rPr>
                        </w:pPr>
                        <w:r>
                          <w:rPr>
                            <w:rFonts w:ascii="Times New Roman"/>
                            <w:sz w:val="13"/>
                          </w:rPr>
                          <w:t>0.00</w:t>
                        </w:r>
                      </w:p>
                    </w:tc>
                  </w:tr>
                  <w:tr>
                    <w:trPr>
                      <w:trHeight w:val="181" w:hRule="atLeast"/>
                    </w:trPr>
                    <w:tc>
                      <w:tcPr>
                        <w:tcW w:w="5085" w:type="dxa"/>
                        <w:gridSpan w:val="2"/>
                      </w:tcPr>
                      <w:p>
                        <w:pPr>
                          <w:pStyle w:val="TableParagraph"/>
                          <w:tabs>
                            <w:tab w:pos="4762" w:val="right" w:leader="none"/>
                          </w:tabs>
                          <w:spacing w:before="4"/>
                          <w:ind w:left="201"/>
                          <w:rPr>
                            <w:rFonts w:ascii="Times New Roman"/>
                            <w:sz w:val="13"/>
                          </w:rPr>
                        </w:pPr>
                        <w:r>
                          <w:rPr>
                            <w:rFonts w:ascii="Times New Roman"/>
                            <w:w w:val="105"/>
                            <w:sz w:val="13"/>
                          </w:rPr>
                          <w:t>c.</w:t>
                        </w:r>
                        <w:r>
                          <w:rPr>
                            <w:rFonts w:ascii="Times New Roman"/>
                            <w:spacing w:val="32"/>
                            <w:w w:val="105"/>
                            <w:sz w:val="13"/>
                          </w:rPr>
                          <w:t> </w:t>
                        </w:r>
                        <w:r>
                          <w:rPr>
                            <w:rFonts w:ascii="Times New Roman"/>
                            <w:w w:val="105"/>
                            <w:sz w:val="13"/>
                          </w:rPr>
                          <w:t>Contributions</w:t>
                          <w:tab/>
                          <w:t>8980-8999</w:t>
                        </w:r>
                      </w:p>
                    </w:tc>
                    <w:tc>
                      <w:tcPr>
                        <w:tcW w:w="1147" w:type="dxa"/>
                      </w:tcPr>
                      <w:p>
                        <w:pPr>
                          <w:pStyle w:val="TableParagraph"/>
                          <w:spacing w:before="4"/>
                          <w:ind w:right="75"/>
                          <w:jc w:val="right"/>
                          <w:rPr>
                            <w:rFonts w:ascii="Times New Roman"/>
                            <w:sz w:val="13"/>
                          </w:rPr>
                        </w:pPr>
                        <w:r>
                          <w:rPr>
                            <w:rFonts w:ascii="Times New Roman"/>
                            <w:sz w:val="13"/>
                          </w:rPr>
                          <w:t>221,691.00</w:t>
                        </w:r>
                      </w:p>
                    </w:tc>
                    <w:tc>
                      <w:tcPr>
                        <w:tcW w:w="1116" w:type="dxa"/>
                      </w:tcPr>
                      <w:p>
                        <w:pPr>
                          <w:pStyle w:val="TableParagraph"/>
                          <w:spacing w:before="4"/>
                          <w:ind w:right="30"/>
                          <w:jc w:val="right"/>
                          <w:rPr>
                            <w:rFonts w:ascii="Times New Roman"/>
                            <w:sz w:val="13"/>
                          </w:rPr>
                        </w:pPr>
                        <w:r>
                          <w:rPr>
                            <w:rFonts w:ascii="Times New Roman"/>
                            <w:sz w:val="13"/>
                          </w:rPr>
                          <w:t>15.37%</w:t>
                        </w:r>
                      </w:p>
                    </w:tc>
                    <w:tc>
                      <w:tcPr>
                        <w:tcW w:w="1116" w:type="dxa"/>
                      </w:tcPr>
                      <w:p>
                        <w:pPr>
                          <w:pStyle w:val="TableParagraph"/>
                          <w:spacing w:before="4"/>
                          <w:ind w:right="75"/>
                          <w:jc w:val="right"/>
                          <w:rPr>
                            <w:rFonts w:ascii="Times New Roman"/>
                            <w:sz w:val="13"/>
                          </w:rPr>
                        </w:pPr>
                        <w:r>
                          <w:rPr>
                            <w:rFonts w:ascii="Times New Roman"/>
                            <w:sz w:val="13"/>
                          </w:rPr>
                          <w:t>255,761.00</w:t>
                        </w:r>
                      </w:p>
                    </w:tc>
                    <w:tc>
                      <w:tcPr>
                        <w:tcW w:w="1116" w:type="dxa"/>
                      </w:tcPr>
                      <w:p>
                        <w:pPr>
                          <w:pStyle w:val="TableParagraph"/>
                          <w:spacing w:before="4"/>
                          <w:ind w:right="29"/>
                          <w:jc w:val="right"/>
                          <w:rPr>
                            <w:rFonts w:ascii="Times New Roman"/>
                            <w:sz w:val="13"/>
                          </w:rPr>
                        </w:pPr>
                        <w:r>
                          <w:rPr>
                            <w:rFonts w:ascii="Times New Roman"/>
                            <w:sz w:val="13"/>
                          </w:rPr>
                          <w:t>3.30%</w:t>
                        </w:r>
                      </w:p>
                    </w:tc>
                    <w:tc>
                      <w:tcPr>
                        <w:tcW w:w="1116" w:type="dxa"/>
                      </w:tcPr>
                      <w:p>
                        <w:pPr>
                          <w:pStyle w:val="TableParagraph"/>
                          <w:spacing w:before="4"/>
                          <w:ind w:right="75"/>
                          <w:jc w:val="right"/>
                          <w:rPr>
                            <w:rFonts w:ascii="Times New Roman"/>
                            <w:sz w:val="13"/>
                          </w:rPr>
                        </w:pPr>
                        <w:r>
                          <w:rPr>
                            <w:rFonts w:ascii="Times New Roman"/>
                            <w:sz w:val="13"/>
                          </w:rPr>
                          <w:t>264,212.00</w:t>
                        </w:r>
                      </w:p>
                    </w:tc>
                  </w:tr>
                  <w:tr>
                    <w:trPr>
                      <w:trHeight w:val="201" w:hRule="atLeast"/>
                    </w:trPr>
                    <w:tc>
                      <w:tcPr>
                        <w:tcW w:w="5085" w:type="dxa"/>
                        <w:gridSpan w:val="2"/>
                      </w:tcPr>
                      <w:p>
                        <w:pPr>
                          <w:pStyle w:val="TableParagraph"/>
                          <w:spacing w:before="24"/>
                          <w:ind w:left="100"/>
                          <w:rPr>
                            <w:rFonts w:ascii="Times New Roman"/>
                            <w:sz w:val="13"/>
                          </w:rPr>
                        </w:pPr>
                        <w:r>
                          <w:rPr>
                            <w:rFonts w:ascii="Times New Roman"/>
                            <w:w w:val="105"/>
                            <w:sz w:val="13"/>
                          </w:rPr>
                          <w:t>6. Total (Sum lines A1 thru A5c)</w:t>
                        </w:r>
                      </w:p>
                    </w:tc>
                    <w:tc>
                      <w:tcPr>
                        <w:tcW w:w="1147" w:type="dxa"/>
                      </w:tcPr>
                      <w:p>
                        <w:pPr>
                          <w:pStyle w:val="TableParagraph"/>
                          <w:spacing w:before="24"/>
                          <w:ind w:right="75"/>
                          <w:jc w:val="right"/>
                          <w:rPr>
                            <w:rFonts w:ascii="Times New Roman"/>
                            <w:sz w:val="13"/>
                          </w:rPr>
                        </w:pPr>
                        <w:r>
                          <w:rPr>
                            <w:rFonts w:ascii="Times New Roman"/>
                            <w:sz w:val="13"/>
                          </w:rPr>
                          <w:t>592,604.00</w:t>
                        </w:r>
                      </w:p>
                    </w:tc>
                    <w:tc>
                      <w:tcPr>
                        <w:tcW w:w="1116" w:type="dxa"/>
                      </w:tcPr>
                      <w:p>
                        <w:pPr>
                          <w:pStyle w:val="TableParagraph"/>
                          <w:spacing w:before="24"/>
                          <w:ind w:right="30"/>
                          <w:jc w:val="right"/>
                          <w:rPr>
                            <w:rFonts w:ascii="Times New Roman"/>
                            <w:sz w:val="13"/>
                          </w:rPr>
                        </w:pPr>
                        <w:r>
                          <w:rPr>
                            <w:rFonts w:ascii="Times New Roman"/>
                            <w:sz w:val="13"/>
                          </w:rPr>
                          <w:t>-18.46%</w:t>
                        </w:r>
                      </w:p>
                    </w:tc>
                    <w:tc>
                      <w:tcPr>
                        <w:tcW w:w="1116" w:type="dxa"/>
                      </w:tcPr>
                      <w:p>
                        <w:pPr>
                          <w:pStyle w:val="TableParagraph"/>
                          <w:spacing w:before="24"/>
                          <w:ind w:right="75"/>
                          <w:jc w:val="right"/>
                          <w:rPr>
                            <w:rFonts w:ascii="Times New Roman"/>
                            <w:sz w:val="13"/>
                          </w:rPr>
                        </w:pPr>
                        <w:r>
                          <w:rPr>
                            <w:rFonts w:ascii="Times New Roman"/>
                            <w:sz w:val="13"/>
                          </w:rPr>
                          <w:t>483,197.00</w:t>
                        </w:r>
                      </w:p>
                    </w:tc>
                    <w:tc>
                      <w:tcPr>
                        <w:tcW w:w="1116" w:type="dxa"/>
                      </w:tcPr>
                      <w:p>
                        <w:pPr>
                          <w:pStyle w:val="TableParagraph"/>
                          <w:spacing w:before="24"/>
                          <w:ind w:right="29"/>
                          <w:jc w:val="right"/>
                          <w:rPr>
                            <w:rFonts w:ascii="Times New Roman"/>
                            <w:sz w:val="13"/>
                          </w:rPr>
                        </w:pPr>
                        <w:r>
                          <w:rPr>
                            <w:rFonts w:ascii="Times New Roman"/>
                            <w:sz w:val="13"/>
                          </w:rPr>
                          <w:t>1.75%</w:t>
                        </w:r>
                      </w:p>
                    </w:tc>
                    <w:tc>
                      <w:tcPr>
                        <w:tcW w:w="1116" w:type="dxa"/>
                      </w:tcPr>
                      <w:p>
                        <w:pPr>
                          <w:pStyle w:val="TableParagraph"/>
                          <w:spacing w:before="24"/>
                          <w:ind w:right="75"/>
                          <w:jc w:val="right"/>
                          <w:rPr>
                            <w:rFonts w:ascii="Times New Roman"/>
                            <w:sz w:val="13"/>
                          </w:rPr>
                        </w:pPr>
                        <w:r>
                          <w:rPr>
                            <w:rFonts w:ascii="Times New Roman"/>
                            <w:sz w:val="13"/>
                          </w:rPr>
                          <w:t>491,648.00</w:t>
                        </w:r>
                      </w:p>
                    </w:tc>
                  </w:tr>
                  <w:tr>
                    <w:trPr>
                      <w:trHeight w:val="242" w:hRule="atLeast"/>
                    </w:trPr>
                    <w:tc>
                      <w:tcPr>
                        <w:tcW w:w="3520" w:type="dxa"/>
                      </w:tcPr>
                      <w:p>
                        <w:pPr>
                          <w:pStyle w:val="TableParagraph"/>
                          <w:spacing w:before="65"/>
                          <w:ind w:left="33"/>
                          <w:rPr>
                            <w:rFonts w:ascii="Times New Roman"/>
                            <w:sz w:val="13"/>
                          </w:rPr>
                        </w:pPr>
                        <w:r>
                          <w:rPr>
                            <w:rFonts w:ascii="Times New Roman"/>
                            <w:w w:val="105"/>
                            <w:sz w:val="13"/>
                          </w:rPr>
                          <w:t>B. EXPENDITURES AND OTHER FINANCING USES</w:t>
                        </w:r>
                      </w:p>
                    </w:tc>
                    <w:tc>
                      <w:tcPr>
                        <w:tcW w:w="1565" w:type="dxa"/>
                      </w:tcPr>
                      <w:p>
                        <w:pPr>
                          <w:pStyle w:val="TableParagraph"/>
                          <w:rPr>
                            <w:rFonts w:ascii="Times New Roman"/>
                            <w:sz w:val="12"/>
                          </w:rPr>
                        </w:pPr>
                      </w:p>
                    </w:tc>
                    <w:tc>
                      <w:tcPr>
                        <w:tcW w:w="1147" w:type="dxa"/>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tcPr>
                      <w:p>
                        <w:pPr>
                          <w:pStyle w:val="TableParagraph"/>
                          <w:rPr>
                            <w:rFonts w:ascii="Times New Roman"/>
                            <w:sz w:val="12"/>
                          </w:rPr>
                        </w:pPr>
                      </w:p>
                    </w:tc>
                  </w:tr>
                  <w:tr>
                    <w:trPr>
                      <w:trHeight w:val="201" w:hRule="atLeast"/>
                    </w:trPr>
                    <w:tc>
                      <w:tcPr>
                        <w:tcW w:w="3520" w:type="dxa"/>
                      </w:tcPr>
                      <w:p>
                        <w:pPr>
                          <w:pStyle w:val="TableParagraph"/>
                          <w:spacing w:before="24"/>
                          <w:ind w:left="100"/>
                          <w:rPr>
                            <w:rFonts w:ascii="Times New Roman"/>
                            <w:sz w:val="13"/>
                          </w:rPr>
                        </w:pPr>
                        <w:r>
                          <w:rPr>
                            <w:rFonts w:ascii="Times New Roman"/>
                            <w:w w:val="105"/>
                            <w:sz w:val="13"/>
                          </w:rPr>
                          <w:t>1. Certificated Salaries</w:t>
                        </w:r>
                      </w:p>
                    </w:tc>
                    <w:tc>
                      <w:tcPr>
                        <w:tcW w:w="1565" w:type="dxa"/>
                      </w:tcPr>
                      <w:p>
                        <w:pPr>
                          <w:pStyle w:val="TableParagraph"/>
                          <w:rPr>
                            <w:rFonts w:ascii="Times New Roman"/>
                            <w:sz w:val="12"/>
                          </w:rPr>
                        </w:pPr>
                      </w:p>
                    </w:tc>
                    <w:tc>
                      <w:tcPr>
                        <w:tcW w:w="1147" w:type="dxa"/>
                        <w:shd w:val="clear" w:color="auto" w:fill="BFBFBF"/>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tcPr>
                      <w:p>
                        <w:pPr>
                          <w:pStyle w:val="TableParagraph"/>
                          <w:rPr>
                            <w:rFonts w:ascii="Times New Roman"/>
                            <w:sz w:val="12"/>
                          </w:rPr>
                        </w:pPr>
                      </w:p>
                    </w:tc>
                  </w:tr>
                  <w:tr>
                    <w:trPr>
                      <w:trHeight w:val="201" w:hRule="atLeast"/>
                    </w:trPr>
                    <w:tc>
                      <w:tcPr>
                        <w:tcW w:w="3520" w:type="dxa"/>
                      </w:tcPr>
                      <w:p>
                        <w:pPr>
                          <w:pStyle w:val="TableParagraph"/>
                          <w:spacing w:before="24"/>
                          <w:ind w:left="201"/>
                          <w:rPr>
                            <w:rFonts w:ascii="Times New Roman"/>
                            <w:sz w:val="13"/>
                          </w:rPr>
                        </w:pPr>
                        <w:r>
                          <w:rPr>
                            <w:rFonts w:ascii="Times New Roman"/>
                            <w:w w:val="105"/>
                            <w:sz w:val="13"/>
                          </w:rPr>
                          <w:t>a. Base Salaries</w:t>
                        </w:r>
                      </w:p>
                    </w:tc>
                    <w:tc>
                      <w:tcPr>
                        <w:tcW w:w="1565" w:type="dxa"/>
                      </w:tcPr>
                      <w:p>
                        <w:pPr>
                          <w:pStyle w:val="TableParagraph"/>
                          <w:rPr>
                            <w:rFonts w:ascii="Times New Roman"/>
                            <w:sz w:val="12"/>
                          </w:rPr>
                        </w:pPr>
                      </w:p>
                    </w:tc>
                    <w:tc>
                      <w:tcPr>
                        <w:tcW w:w="1147" w:type="dxa"/>
                        <w:shd w:val="clear" w:color="auto" w:fill="BFBFBF"/>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tcPr>
                      <w:p>
                        <w:pPr>
                          <w:pStyle w:val="TableParagraph"/>
                          <w:spacing w:before="24"/>
                          <w:ind w:right="75"/>
                          <w:jc w:val="right"/>
                          <w:rPr>
                            <w:rFonts w:ascii="Times New Roman"/>
                            <w:sz w:val="13"/>
                          </w:rPr>
                        </w:pPr>
                        <w:r>
                          <w:rPr>
                            <w:rFonts w:ascii="Times New Roman"/>
                            <w:sz w:val="13"/>
                          </w:rPr>
                          <w:t>85,930.00</w:t>
                        </w:r>
                      </w:p>
                    </w:tc>
                    <w:tc>
                      <w:tcPr>
                        <w:tcW w:w="1116" w:type="dxa"/>
                        <w:shd w:val="clear" w:color="auto" w:fill="BFBFBF"/>
                      </w:tcPr>
                      <w:p>
                        <w:pPr>
                          <w:pStyle w:val="TableParagraph"/>
                          <w:rPr>
                            <w:rFonts w:ascii="Times New Roman"/>
                            <w:sz w:val="12"/>
                          </w:rPr>
                        </w:pPr>
                      </w:p>
                    </w:tc>
                    <w:tc>
                      <w:tcPr>
                        <w:tcW w:w="1116" w:type="dxa"/>
                      </w:tcPr>
                      <w:p>
                        <w:pPr>
                          <w:pStyle w:val="TableParagraph"/>
                          <w:spacing w:before="24"/>
                          <w:ind w:right="75"/>
                          <w:jc w:val="right"/>
                          <w:rPr>
                            <w:rFonts w:ascii="Times New Roman"/>
                            <w:sz w:val="13"/>
                          </w:rPr>
                        </w:pPr>
                        <w:r>
                          <w:rPr>
                            <w:rFonts w:ascii="Times New Roman"/>
                            <w:sz w:val="13"/>
                          </w:rPr>
                          <w:t>17,608.00</w:t>
                        </w:r>
                      </w:p>
                    </w:tc>
                  </w:tr>
                  <w:tr>
                    <w:trPr>
                      <w:trHeight w:val="201" w:hRule="atLeast"/>
                    </w:trPr>
                    <w:tc>
                      <w:tcPr>
                        <w:tcW w:w="3520" w:type="dxa"/>
                      </w:tcPr>
                      <w:p>
                        <w:pPr>
                          <w:pStyle w:val="TableParagraph"/>
                          <w:spacing w:before="24"/>
                          <w:ind w:left="201"/>
                          <w:rPr>
                            <w:rFonts w:ascii="Times New Roman"/>
                            <w:sz w:val="13"/>
                          </w:rPr>
                        </w:pPr>
                        <w:r>
                          <w:rPr>
                            <w:rFonts w:ascii="Times New Roman"/>
                            <w:w w:val="105"/>
                            <w:sz w:val="13"/>
                          </w:rPr>
                          <w:t>b. Step &amp; Column Adjustment</w:t>
                        </w:r>
                      </w:p>
                    </w:tc>
                    <w:tc>
                      <w:tcPr>
                        <w:tcW w:w="1565" w:type="dxa"/>
                      </w:tcPr>
                      <w:p>
                        <w:pPr>
                          <w:pStyle w:val="TableParagraph"/>
                          <w:rPr>
                            <w:rFonts w:ascii="Times New Roman"/>
                            <w:sz w:val="12"/>
                          </w:rPr>
                        </w:pPr>
                      </w:p>
                    </w:tc>
                    <w:tc>
                      <w:tcPr>
                        <w:tcW w:w="1147" w:type="dxa"/>
                        <w:shd w:val="clear" w:color="auto" w:fill="BFBFBF"/>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tcPr>
                      <w:p>
                        <w:pPr>
                          <w:pStyle w:val="TableParagraph"/>
                          <w:spacing w:before="24"/>
                          <w:ind w:right="74"/>
                          <w:jc w:val="right"/>
                          <w:rPr>
                            <w:rFonts w:ascii="Times New Roman"/>
                            <w:sz w:val="13"/>
                          </w:rPr>
                        </w:pPr>
                        <w:r>
                          <w:rPr>
                            <w:rFonts w:ascii="Times New Roman"/>
                            <w:sz w:val="13"/>
                          </w:rPr>
                          <w:t>393.00</w:t>
                        </w:r>
                      </w:p>
                    </w:tc>
                    <w:tc>
                      <w:tcPr>
                        <w:tcW w:w="1116" w:type="dxa"/>
                        <w:shd w:val="clear" w:color="auto" w:fill="BFBFBF"/>
                      </w:tcPr>
                      <w:p>
                        <w:pPr>
                          <w:pStyle w:val="TableParagraph"/>
                          <w:rPr>
                            <w:rFonts w:ascii="Times New Roman"/>
                            <w:sz w:val="12"/>
                          </w:rPr>
                        </w:pPr>
                      </w:p>
                    </w:tc>
                    <w:tc>
                      <w:tcPr>
                        <w:tcW w:w="1116" w:type="dxa"/>
                      </w:tcPr>
                      <w:p>
                        <w:pPr>
                          <w:pStyle w:val="TableParagraph"/>
                          <w:spacing w:before="24"/>
                          <w:ind w:right="74"/>
                          <w:jc w:val="right"/>
                          <w:rPr>
                            <w:rFonts w:ascii="Times New Roman"/>
                            <w:sz w:val="13"/>
                          </w:rPr>
                        </w:pPr>
                        <w:r>
                          <w:rPr>
                            <w:rFonts w:ascii="Times New Roman"/>
                            <w:sz w:val="13"/>
                          </w:rPr>
                          <w:t>402.00</w:t>
                        </w:r>
                      </w:p>
                    </w:tc>
                  </w:tr>
                  <w:tr>
                    <w:trPr>
                      <w:trHeight w:val="201" w:hRule="atLeast"/>
                    </w:trPr>
                    <w:tc>
                      <w:tcPr>
                        <w:tcW w:w="3520" w:type="dxa"/>
                      </w:tcPr>
                      <w:p>
                        <w:pPr>
                          <w:pStyle w:val="TableParagraph"/>
                          <w:spacing w:before="24"/>
                          <w:ind w:left="201"/>
                          <w:rPr>
                            <w:rFonts w:ascii="Times New Roman"/>
                            <w:sz w:val="13"/>
                          </w:rPr>
                        </w:pPr>
                        <w:r>
                          <w:rPr>
                            <w:rFonts w:ascii="Times New Roman"/>
                            <w:w w:val="105"/>
                            <w:sz w:val="13"/>
                          </w:rPr>
                          <w:t>c. Cost-of-Living Adjustment</w:t>
                        </w:r>
                      </w:p>
                    </w:tc>
                    <w:tc>
                      <w:tcPr>
                        <w:tcW w:w="1565" w:type="dxa"/>
                      </w:tcPr>
                      <w:p>
                        <w:pPr>
                          <w:pStyle w:val="TableParagraph"/>
                          <w:rPr>
                            <w:rFonts w:ascii="Times New Roman"/>
                            <w:sz w:val="12"/>
                          </w:rPr>
                        </w:pPr>
                      </w:p>
                    </w:tc>
                    <w:tc>
                      <w:tcPr>
                        <w:tcW w:w="1147" w:type="dxa"/>
                        <w:shd w:val="clear" w:color="auto" w:fill="BFBFBF"/>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tcPr>
                      <w:p>
                        <w:pPr>
                          <w:pStyle w:val="TableParagraph"/>
                          <w:rPr>
                            <w:rFonts w:ascii="Times New Roman"/>
                            <w:sz w:val="12"/>
                          </w:rPr>
                        </w:pPr>
                      </w:p>
                    </w:tc>
                  </w:tr>
                  <w:tr>
                    <w:trPr>
                      <w:trHeight w:val="182" w:hRule="atLeast"/>
                    </w:trPr>
                    <w:tc>
                      <w:tcPr>
                        <w:tcW w:w="3520" w:type="dxa"/>
                      </w:tcPr>
                      <w:p>
                        <w:pPr>
                          <w:pStyle w:val="TableParagraph"/>
                          <w:spacing w:line="137" w:lineRule="exact" w:before="24"/>
                          <w:ind w:left="201"/>
                          <w:rPr>
                            <w:rFonts w:ascii="Times New Roman"/>
                            <w:sz w:val="13"/>
                          </w:rPr>
                        </w:pPr>
                        <w:r>
                          <w:rPr>
                            <w:rFonts w:ascii="Times New Roman"/>
                            <w:w w:val="105"/>
                            <w:sz w:val="13"/>
                          </w:rPr>
                          <w:t>d. Other Adjustments</w:t>
                        </w:r>
                      </w:p>
                    </w:tc>
                    <w:tc>
                      <w:tcPr>
                        <w:tcW w:w="1565" w:type="dxa"/>
                      </w:tcPr>
                      <w:p>
                        <w:pPr>
                          <w:pStyle w:val="TableParagraph"/>
                          <w:rPr>
                            <w:rFonts w:ascii="Times New Roman"/>
                            <w:sz w:val="12"/>
                          </w:rPr>
                        </w:pPr>
                      </w:p>
                    </w:tc>
                    <w:tc>
                      <w:tcPr>
                        <w:tcW w:w="1147" w:type="dxa"/>
                        <w:shd w:val="clear" w:color="auto" w:fill="BFBFBF"/>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tcPr>
                      <w:p>
                        <w:pPr>
                          <w:pStyle w:val="TableParagraph"/>
                          <w:spacing w:line="137" w:lineRule="exact" w:before="24"/>
                          <w:ind w:right="30"/>
                          <w:jc w:val="right"/>
                          <w:rPr>
                            <w:rFonts w:ascii="Times New Roman"/>
                            <w:sz w:val="13"/>
                          </w:rPr>
                        </w:pPr>
                        <w:r>
                          <w:rPr>
                            <w:rFonts w:ascii="Times New Roman"/>
                            <w:sz w:val="13"/>
                          </w:rPr>
                          <w:t>(68,715.00)</w:t>
                        </w:r>
                      </w:p>
                    </w:tc>
                    <w:tc>
                      <w:tcPr>
                        <w:tcW w:w="1116" w:type="dxa"/>
                        <w:shd w:val="clear" w:color="auto" w:fill="BFBFBF"/>
                      </w:tcPr>
                      <w:p>
                        <w:pPr>
                          <w:pStyle w:val="TableParagraph"/>
                          <w:rPr>
                            <w:rFonts w:ascii="Times New Roman"/>
                            <w:sz w:val="12"/>
                          </w:rPr>
                        </w:pPr>
                      </w:p>
                    </w:tc>
                    <w:tc>
                      <w:tcPr>
                        <w:tcW w:w="1116" w:type="dxa"/>
                      </w:tcPr>
                      <w:p>
                        <w:pPr>
                          <w:pStyle w:val="TableParagraph"/>
                          <w:rPr>
                            <w:rFonts w:ascii="Times New Roman"/>
                            <w:sz w:val="12"/>
                          </w:rPr>
                        </w:pPr>
                      </w:p>
                    </w:tc>
                  </w:tr>
                  <w:tr>
                    <w:trPr>
                      <w:trHeight w:val="201" w:hRule="atLeast"/>
                    </w:trPr>
                    <w:tc>
                      <w:tcPr>
                        <w:tcW w:w="3520" w:type="dxa"/>
                      </w:tcPr>
                      <w:p>
                        <w:pPr>
                          <w:pStyle w:val="TableParagraph"/>
                          <w:spacing w:line="137" w:lineRule="exact" w:before="44"/>
                          <w:ind w:left="201"/>
                          <w:rPr>
                            <w:rFonts w:ascii="Times New Roman"/>
                            <w:sz w:val="13"/>
                          </w:rPr>
                        </w:pPr>
                        <w:r>
                          <w:rPr>
                            <w:rFonts w:ascii="Times New Roman"/>
                            <w:w w:val="105"/>
                            <w:sz w:val="13"/>
                          </w:rPr>
                          <w:t>e. Total Certificated Salaries (Sum lines B1a thru B1d)</w:t>
                        </w:r>
                      </w:p>
                    </w:tc>
                    <w:tc>
                      <w:tcPr>
                        <w:tcW w:w="1565" w:type="dxa"/>
                      </w:tcPr>
                      <w:p>
                        <w:pPr>
                          <w:pStyle w:val="TableParagraph"/>
                          <w:spacing w:line="137" w:lineRule="exact" w:before="44"/>
                          <w:ind w:left="636" w:right="296"/>
                          <w:jc w:val="center"/>
                          <w:rPr>
                            <w:rFonts w:ascii="Times New Roman"/>
                            <w:sz w:val="13"/>
                          </w:rPr>
                        </w:pPr>
                        <w:r>
                          <w:rPr>
                            <w:rFonts w:ascii="Times New Roman"/>
                            <w:w w:val="105"/>
                            <w:sz w:val="13"/>
                          </w:rPr>
                          <w:t>1000-1999</w:t>
                        </w:r>
                      </w:p>
                    </w:tc>
                    <w:tc>
                      <w:tcPr>
                        <w:tcW w:w="1147" w:type="dxa"/>
                      </w:tcPr>
                      <w:p>
                        <w:pPr>
                          <w:pStyle w:val="TableParagraph"/>
                          <w:spacing w:line="137" w:lineRule="exact" w:before="44"/>
                          <w:ind w:right="75"/>
                          <w:jc w:val="right"/>
                          <w:rPr>
                            <w:rFonts w:ascii="Times New Roman"/>
                            <w:sz w:val="13"/>
                          </w:rPr>
                        </w:pPr>
                        <w:r>
                          <w:rPr>
                            <w:rFonts w:ascii="Times New Roman"/>
                            <w:sz w:val="13"/>
                          </w:rPr>
                          <w:t>85,930.00</w:t>
                        </w:r>
                      </w:p>
                    </w:tc>
                    <w:tc>
                      <w:tcPr>
                        <w:tcW w:w="1116" w:type="dxa"/>
                      </w:tcPr>
                      <w:p>
                        <w:pPr>
                          <w:pStyle w:val="TableParagraph"/>
                          <w:spacing w:line="137" w:lineRule="exact" w:before="44"/>
                          <w:ind w:right="30"/>
                          <w:jc w:val="right"/>
                          <w:rPr>
                            <w:rFonts w:ascii="Times New Roman"/>
                            <w:sz w:val="13"/>
                          </w:rPr>
                        </w:pPr>
                        <w:r>
                          <w:rPr>
                            <w:rFonts w:ascii="Times New Roman"/>
                            <w:sz w:val="13"/>
                          </w:rPr>
                          <w:t>-79.51%</w:t>
                        </w:r>
                      </w:p>
                    </w:tc>
                    <w:tc>
                      <w:tcPr>
                        <w:tcW w:w="1116" w:type="dxa"/>
                      </w:tcPr>
                      <w:p>
                        <w:pPr>
                          <w:pStyle w:val="TableParagraph"/>
                          <w:spacing w:line="137" w:lineRule="exact" w:before="44"/>
                          <w:ind w:right="75"/>
                          <w:jc w:val="right"/>
                          <w:rPr>
                            <w:rFonts w:ascii="Times New Roman"/>
                            <w:sz w:val="13"/>
                          </w:rPr>
                        </w:pPr>
                        <w:r>
                          <w:rPr>
                            <w:rFonts w:ascii="Times New Roman"/>
                            <w:sz w:val="13"/>
                          </w:rPr>
                          <w:t>17,608.00</w:t>
                        </w:r>
                      </w:p>
                    </w:tc>
                    <w:tc>
                      <w:tcPr>
                        <w:tcW w:w="1116" w:type="dxa"/>
                      </w:tcPr>
                      <w:p>
                        <w:pPr>
                          <w:pStyle w:val="TableParagraph"/>
                          <w:spacing w:line="137" w:lineRule="exact" w:before="44"/>
                          <w:ind w:right="29"/>
                          <w:jc w:val="right"/>
                          <w:rPr>
                            <w:rFonts w:ascii="Times New Roman"/>
                            <w:sz w:val="13"/>
                          </w:rPr>
                        </w:pPr>
                        <w:r>
                          <w:rPr>
                            <w:rFonts w:ascii="Times New Roman"/>
                            <w:sz w:val="13"/>
                          </w:rPr>
                          <w:t>2.28%</w:t>
                        </w:r>
                      </w:p>
                    </w:tc>
                    <w:tc>
                      <w:tcPr>
                        <w:tcW w:w="1116" w:type="dxa"/>
                      </w:tcPr>
                      <w:p>
                        <w:pPr>
                          <w:pStyle w:val="TableParagraph"/>
                          <w:spacing w:line="137" w:lineRule="exact" w:before="44"/>
                          <w:ind w:right="75"/>
                          <w:jc w:val="right"/>
                          <w:rPr>
                            <w:rFonts w:ascii="Times New Roman"/>
                            <w:sz w:val="13"/>
                          </w:rPr>
                        </w:pPr>
                        <w:r>
                          <w:rPr>
                            <w:rFonts w:ascii="Times New Roman"/>
                            <w:sz w:val="13"/>
                          </w:rPr>
                          <w:t>18,010.00</w:t>
                        </w:r>
                      </w:p>
                    </w:tc>
                  </w:tr>
                  <w:tr>
                    <w:trPr>
                      <w:trHeight w:val="201" w:hRule="atLeast"/>
                    </w:trPr>
                    <w:tc>
                      <w:tcPr>
                        <w:tcW w:w="3520" w:type="dxa"/>
                      </w:tcPr>
                      <w:p>
                        <w:pPr>
                          <w:pStyle w:val="TableParagraph"/>
                          <w:spacing w:line="137" w:lineRule="exact" w:before="44"/>
                          <w:ind w:left="100"/>
                          <w:rPr>
                            <w:rFonts w:ascii="Times New Roman"/>
                            <w:sz w:val="13"/>
                          </w:rPr>
                        </w:pPr>
                        <w:r>
                          <w:rPr>
                            <w:rFonts w:ascii="Times New Roman"/>
                            <w:w w:val="105"/>
                            <w:sz w:val="13"/>
                          </w:rPr>
                          <w:t>2. Classified Salaries</w:t>
                        </w:r>
                      </w:p>
                    </w:tc>
                    <w:tc>
                      <w:tcPr>
                        <w:tcW w:w="1565" w:type="dxa"/>
                      </w:tcPr>
                      <w:p>
                        <w:pPr>
                          <w:pStyle w:val="TableParagraph"/>
                          <w:rPr>
                            <w:rFonts w:ascii="Times New Roman"/>
                            <w:sz w:val="12"/>
                          </w:rPr>
                        </w:pPr>
                      </w:p>
                    </w:tc>
                    <w:tc>
                      <w:tcPr>
                        <w:tcW w:w="1147" w:type="dxa"/>
                        <w:shd w:val="clear" w:color="auto" w:fill="BFBFBF"/>
                      </w:tcPr>
                      <w:p>
                        <w:pPr>
                          <w:pStyle w:val="TableParagraph"/>
                          <w:rPr>
                            <w:rFonts w:ascii="Times New Roman"/>
                            <w:sz w:val="12"/>
                          </w:rPr>
                        </w:pPr>
                      </w:p>
                    </w:tc>
                    <w:tc>
                      <w:tcPr>
                        <w:tcW w:w="1116" w:type="dxa"/>
                      </w:tcPr>
                      <w:p>
                        <w:pPr>
                          <w:pStyle w:val="TableParagraph"/>
                          <w:rPr>
                            <w:rFonts w:ascii="Times New Roman"/>
                            <w:sz w:val="12"/>
                          </w:rPr>
                        </w:pPr>
                      </w:p>
                    </w:tc>
                    <w:tc>
                      <w:tcPr>
                        <w:tcW w:w="1116" w:type="dxa"/>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tcPr>
                      <w:p>
                        <w:pPr>
                          <w:pStyle w:val="TableParagraph"/>
                          <w:rPr>
                            <w:rFonts w:ascii="Times New Roman"/>
                            <w:sz w:val="12"/>
                          </w:rPr>
                        </w:pPr>
                      </w:p>
                    </w:tc>
                  </w:tr>
                  <w:tr>
                    <w:trPr>
                      <w:trHeight w:val="221" w:hRule="atLeast"/>
                    </w:trPr>
                    <w:tc>
                      <w:tcPr>
                        <w:tcW w:w="3520" w:type="dxa"/>
                      </w:tcPr>
                      <w:p>
                        <w:pPr>
                          <w:pStyle w:val="TableParagraph"/>
                          <w:spacing w:before="44"/>
                          <w:ind w:left="201"/>
                          <w:rPr>
                            <w:rFonts w:ascii="Times New Roman"/>
                            <w:sz w:val="13"/>
                          </w:rPr>
                        </w:pPr>
                        <w:r>
                          <w:rPr>
                            <w:rFonts w:ascii="Times New Roman"/>
                            <w:w w:val="105"/>
                            <w:sz w:val="13"/>
                          </w:rPr>
                          <w:t>a. Base Salaries</w:t>
                        </w:r>
                      </w:p>
                    </w:tc>
                    <w:tc>
                      <w:tcPr>
                        <w:tcW w:w="1565" w:type="dxa"/>
                      </w:tcPr>
                      <w:p>
                        <w:pPr>
                          <w:pStyle w:val="TableParagraph"/>
                          <w:rPr>
                            <w:rFonts w:ascii="Times New Roman"/>
                            <w:sz w:val="12"/>
                          </w:rPr>
                        </w:pPr>
                      </w:p>
                    </w:tc>
                    <w:tc>
                      <w:tcPr>
                        <w:tcW w:w="1147" w:type="dxa"/>
                        <w:shd w:val="clear" w:color="auto" w:fill="BFBFBF"/>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tcPr>
                      <w:p>
                        <w:pPr>
                          <w:pStyle w:val="TableParagraph"/>
                          <w:spacing w:before="44"/>
                          <w:ind w:right="75"/>
                          <w:jc w:val="right"/>
                          <w:rPr>
                            <w:rFonts w:ascii="Times New Roman"/>
                            <w:sz w:val="13"/>
                          </w:rPr>
                        </w:pPr>
                        <w:r>
                          <w:rPr>
                            <w:rFonts w:ascii="Times New Roman"/>
                            <w:sz w:val="13"/>
                          </w:rPr>
                          <w:t>224,973.00</w:t>
                        </w:r>
                      </w:p>
                    </w:tc>
                    <w:tc>
                      <w:tcPr>
                        <w:tcW w:w="1116" w:type="dxa"/>
                        <w:shd w:val="clear" w:color="auto" w:fill="BFBFBF"/>
                      </w:tcPr>
                      <w:p>
                        <w:pPr>
                          <w:pStyle w:val="TableParagraph"/>
                          <w:rPr>
                            <w:rFonts w:ascii="Times New Roman"/>
                            <w:sz w:val="12"/>
                          </w:rPr>
                        </w:pPr>
                      </w:p>
                    </w:tc>
                    <w:tc>
                      <w:tcPr>
                        <w:tcW w:w="1116" w:type="dxa"/>
                      </w:tcPr>
                      <w:p>
                        <w:pPr>
                          <w:pStyle w:val="TableParagraph"/>
                          <w:spacing w:before="44"/>
                          <w:ind w:right="75"/>
                          <w:jc w:val="right"/>
                          <w:rPr>
                            <w:rFonts w:ascii="Times New Roman"/>
                            <w:sz w:val="13"/>
                          </w:rPr>
                        </w:pPr>
                        <w:r>
                          <w:rPr>
                            <w:rFonts w:ascii="Times New Roman"/>
                            <w:sz w:val="13"/>
                          </w:rPr>
                          <w:t>219,401.00</w:t>
                        </w:r>
                      </w:p>
                    </w:tc>
                  </w:tr>
                  <w:tr>
                    <w:trPr>
                      <w:trHeight w:val="182" w:hRule="atLeast"/>
                    </w:trPr>
                    <w:tc>
                      <w:tcPr>
                        <w:tcW w:w="3520" w:type="dxa"/>
                      </w:tcPr>
                      <w:p>
                        <w:pPr>
                          <w:pStyle w:val="TableParagraph"/>
                          <w:spacing w:line="137" w:lineRule="exact" w:before="24"/>
                          <w:ind w:left="201"/>
                          <w:rPr>
                            <w:rFonts w:ascii="Times New Roman"/>
                            <w:sz w:val="13"/>
                          </w:rPr>
                        </w:pPr>
                        <w:r>
                          <w:rPr>
                            <w:rFonts w:ascii="Times New Roman"/>
                            <w:w w:val="105"/>
                            <w:sz w:val="13"/>
                          </w:rPr>
                          <w:t>b. Step &amp; Column Adjustment</w:t>
                        </w:r>
                      </w:p>
                    </w:tc>
                    <w:tc>
                      <w:tcPr>
                        <w:tcW w:w="1565" w:type="dxa"/>
                      </w:tcPr>
                      <w:p>
                        <w:pPr>
                          <w:pStyle w:val="TableParagraph"/>
                          <w:rPr>
                            <w:rFonts w:ascii="Times New Roman"/>
                            <w:sz w:val="12"/>
                          </w:rPr>
                        </w:pPr>
                      </w:p>
                    </w:tc>
                    <w:tc>
                      <w:tcPr>
                        <w:tcW w:w="1147" w:type="dxa"/>
                        <w:shd w:val="clear" w:color="auto" w:fill="BFBFBF"/>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tcPr>
                      <w:p>
                        <w:pPr>
                          <w:pStyle w:val="TableParagraph"/>
                          <w:spacing w:line="137" w:lineRule="exact" w:before="24"/>
                          <w:ind w:right="74"/>
                          <w:jc w:val="right"/>
                          <w:rPr>
                            <w:rFonts w:ascii="Times New Roman"/>
                            <w:sz w:val="13"/>
                          </w:rPr>
                        </w:pPr>
                        <w:r>
                          <w:rPr>
                            <w:rFonts w:ascii="Times New Roman"/>
                            <w:sz w:val="13"/>
                          </w:rPr>
                          <w:t>5,157.00</w:t>
                        </w:r>
                      </w:p>
                    </w:tc>
                    <w:tc>
                      <w:tcPr>
                        <w:tcW w:w="1116" w:type="dxa"/>
                        <w:shd w:val="clear" w:color="auto" w:fill="BFBFBF"/>
                      </w:tcPr>
                      <w:p>
                        <w:pPr>
                          <w:pStyle w:val="TableParagraph"/>
                          <w:rPr>
                            <w:rFonts w:ascii="Times New Roman"/>
                            <w:sz w:val="12"/>
                          </w:rPr>
                        </w:pPr>
                      </w:p>
                    </w:tc>
                    <w:tc>
                      <w:tcPr>
                        <w:tcW w:w="1116" w:type="dxa"/>
                      </w:tcPr>
                      <w:p>
                        <w:pPr>
                          <w:pStyle w:val="TableParagraph"/>
                          <w:spacing w:line="137" w:lineRule="exact" w:before="24"/>
                          <w:ind w:right="74"/>
                          <w:jc w:val="right"/>
                          <w:rPr>
                            <w:rFonts w:ascii="Times New Roman"/>
                            <w:sz w:val="13"/>
                          </w:rPr>
                        </w:pPr>
                        <w:r>
                          <w:rPr>
                            <w:rFonts w:ascii="Times New Roman"/>
                            <w:sz w:val="13"/>
                          </w:rPr>
                          <w:t>5,807.00</w:t>
                        </w:r>
                      </w:p>
                    </w:tc>
                  </w:tr>
                  <w:tr>
                    <w:trPr>
                      <w:trHeight w:val="201" w:hRule="atLeast"/>
                    </w:trPr>
                    <w:tc>
                      <w:tcPr>
                        <w:tcW w:w="3520" w:type="dxa"/>
                      </w:tcPr>
                      <w:p>
                        <w:pPr>
                          <w:pStyle w:val="TableParagraph"/>
                          <w:spacing w:line="137" w:lineRule="exact" w:before="44"/>
                          <w:ind w:left="201"/>
                          <w:rPr>
                            <w:rFonts w:ascii="Times New Roman"/>
                            <w:sz w:val="13"/>
                          </w:rPr>
                        </w:pPr>
                        <w:r>
                          <w:rPr>
                            <w:rFonts w:ascii="Times New Roman"/>
                            <w:w w:val="105"/>
                            <w:sz w:val="13"/>
                          </w:rPr>
                          <w:t>c. Cost-of-Living Adjustment</w:t>
                        </w:r>
                      </w:p>
                    </w:tc>
                    <w:tc>
                      <w:tcPr>
                        <w:tcW w:w="1565" w:type="dxa"/>
                      </w:tcPr>
                      <w:p>
                        <w:pPr>
                          <w:pStyle w:val="TableParagraph"/>
                          <w:rPr>
                            <w:rFonts w:ascii="Times New Roman"/>
                            <w:sz w:val="12"/>
                          </w:rPr>
                        </w:pPr>
                      </w:p>
                    </w:tc>
                    <w:tc>
                      <w:tcPr>
                        <w:tcW w:w="1147" w:type="dxa"/>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tcPr>
                      <w:p>
                        <w:pPr>
                          <w:pStyle w:val="TableParagraph"/>
                          <w:rPr>
                            <w:rFonts w:ascii="Times New Roman"/>
                            <w:sz w:val="12"/>
                          </w:rPr>
                        </w:pPr>
                      </w:p>
                    </w:tc>
                  </w:tr>
                  <w:tr>
                    <w:trPr>
                      <w:trHeight w:val="201" w:hRule="atLeast"/>
                    </w:trPr>
                    <w:tc>
                      <w:tcPr>
                        <w:tcW w:w="3520" w:type="dxa"/>
                      </w:tcPr>
                      <w:p>
                        <w:pPr>
                          <w:pStyle w:val="TableParagraph"/>
                          <w:spacing w:line="137" w:lineRule="exact" w:before="44"/>
                          <w:ind w:left="201"/>
                          <w:rPr>
                            <w:rFonts w:ascii="Times New Roman"/>
                            <w:sz w:val="13"/>
                          </w:rPr>
                        </w:pPr>
                        <w:r>
                          <w:rPr>
                            <w:rFonts w:ascii="Times New Roman"/>
                            <w:w w:val="105"/>
                            <w:sz w:val="13"/>
                          </w:rPr>
                          <w:t>d. Other Adjustments</w:t>
                        </w:r>
                      </w:p>
                    </w:tc>
                    <w:tc>
                      <w:tcPr>
                        <w:tcW w:w="1565" w:type="dxa"/>
                      </w:tcPr>
                      <w:p>
                        <w:pPr>
                          <w:pStyle w:val="TableParagraph"/>
                          <w:rPr>
                            <w:rFonts w:ascii="Times New Roman"/>
                            <w:sz w:val="12"/>
                          </w:rPr>
                        </w:pPr>
                      </w:p>
                    </w:tc>
                    <w:tc>
                      <w:tcPr>
                        <w:tcW w:w="1147" w:type="dxa"/>
                        <w:shd w:val="clear" w:color="auto" w:fill="BFBFBF"/>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tcPr>
                      <w:p>
                        <w:pPr>
                          <w:pStyle w:val="TableParagraph"/>
                          <w:spacing w:line="137" w:lineRule="exact" w:before="44"/>
                          <w:ind w:right="30"/>
                          <w:jc w:val="right"/>
                          <w:rPr>
                            <w:rFonts w:ascii="Times New Roman"/>
                            <w:sz w:val="13"/>
                          </w:rPr>
                        </w:pPr>
                        <w:r>
                          <w:rPr>
                            <w:rFonts w:ascii="Times New Roman"/>
                            <w:sz w:val="13"/>
                          </w:rPr>
                          <w:t>(10,729.00)</w:t>
                        </w:r>
                      </w:p>
                    </w:tc>
                    <w:tc>
                      <w:tcPr>
                        <w:tcW w:w="1116" w:type="dxa"/>
                        <w:shd w:val="clear" w:color="auto" w:fill="BFBFBF"/>
                      </w:tcPr>
                      <w:p>
                        <w:pPr>
                          <w:pStyle w:val="TableParagraph"/>
                          <w:rPr>
                            <w:rFonts w:ascii="Times New Roman"/>
                            <w:sz w:val="12"/>
                          </w:rPr>
                        </w:pPr>
                      </w:p>
                    </w:tc>
                    <w:tc>
                      <w:tcPr>
                        <w:tcW w:w="1116" w:type="dxa"/>
                      </w:tcPr>
                      <w:p>
                        <w:pPr>
                          <w:pStyle w:val="TableParagraph"/>
                          <w:rPr>
                            <w:rFonts w:ascii="Times New Roman"/>
                            <w:sz w:val="12"/>
                          </w:rPr>
                        </w:pPr>
                      </w:p>
                    </w:tc>
                  </w:tr>
                  <w:tr>
                    <w:trPr>
                      <w:trHeight w:val="221" w:hRule="atLeast"/>
                    </w:trPr>
                    <w:tc>
                      <w:tcPr>
                        <w:tcW w:w="3520" w:type="dxa"/>
                      </w:tcPr>
                      <w:p>
                        <w:pPr>
                          <w:pStyle w:val="TableParagraph"/>
                          <w:spacing w:before="44"/>
                          <w:ind w:left="201"/>
                          <w:rPr>
                            <w:rFonts w:ascii="Times New Roman"/>
                            <w:sz w:val="13"/>
                          </w:rPr>
                        </w:pPr>
                        <w:r>
                          <w:rPr>
                            <w:rFonts w:ascii="Times New Roman"/>
                            <w:w w:val="105"/>
                            <w:sz w:val="13"/>
                          </w:rPr>
                          <w:t>e. Total Classified Salaries (Sum lines B2a thru B2d)</w:t>
                        </w:r>
                      </w:p>
                    </w:tc>
                    <w:tc>
                      <w:tcPr>
                        <w:tcW w:w="1565" w:type="dxa"/>
                      </w:tcPr>
                      <w:p>
                        <w:pPr>
                          <w:pStyle w:val="TableParagraph"/>
                          <w:spacing w:before="44"/>
                          <w:ind w:left="636" w:right="296"/>
                          <w:jc w:val="center"/>
                          <w:rPr>
                            <w:rFonts w:ascii="Times New Roman"/>
                            <w:sz w:val="13"/>
                          </w:rPr>
                        </w:pPr>
                        <w:r>
                          <w:rPr>
                            <w:rFonts w:ascii="Times New Roman"/>
                            <w:w w:val="105"/>
                            <w:sz w:val="13"/>
                          </w:rPr>
                          <w:t>2000-2999</w:t>
                        </w:r>
                      </w:p>
                    </w:tc>
                    <w:tc>
                      <w:tcPr>
                        <w:tcW w:w="1147" w:type="dxa"/>
                      </w:tcPr>
                      <w:p>
                        <w:pPr>
                          <w:pStyle w:val="TableParagraph"/>
                          <w:spacing w:before="44"/>
                          <w:ind w:right="75"/>
                          <w:jc w:val="right"/>
                          <w:rPr>
                            <w:rFonts w:ascii="Times New Roman"/>
                            <w:sz w:val="13"/>
                          </w:rPr>
                        </w:pPr>
                        <w:r>
                          <w:rPr>
                            <w:rFonts w:ascii="Times New Roman"/>
                            <w:sz w:val="13"/>
                          </w:rPr>
                          <w:t>224,973.00</w:t>
                        </w:r>
                      </w:p>
                    </w:tc>
                    <w:tc>
                      <w:tcPr>
                        <w:tcW w:w="1116" w:type="dxa"/>
                      </w:tcPr>
                      <w:p>
                        <w:pPr>
                          <w:pStyle w:val="TableParagraph"/>
                          <w:spacing w:before="44"/>
                          <w:ind w:right="30"/>
                          <w:jc w:val="right"/>
                          <w:rPr>
                            <w:rFonts w:ascii="Times New Roman"/>
                            <w:sz w:val="13"/>
                          </w:rPr>
                        </w:pPr>
                        <w:r>
                          <w:rPr>
                            <w:rFonts w:ascii="Times New Roman"/>
                            <w:sz w:val="13"/>
                          </w:rPr>
                          <w:t>-2.48%</w:t>
                        </w:r>
                      </w:p>
                    </w:tc>
                    <w:tc>
                      <w:tcPr>
                        <w:tcW w:w="1116" w:type="dxa"/>
                      </w:tcPr>
                      <w:p>
                        <w:pPr>
                          <w:pStyle w:val="TableParagraph"/>
                          <w:spacing w:before="44"/>
                          <w:ind w:right="75"/>
                          <w:jc w:val="right"/>
                          <w:rPr>
                            <w:rFonts w:ascii="Times New Roman"/>
                            <w:sz w:val="13"/>
                          </w:rPr>
                        </w:pPr>
                        <w:r>
                          <w:rPr>
                            <w:rFonts w:ascii="Times New Roman"/>
                            <w:sz w:val="13"/>
                          </w:rPr>
                          <w:t>219,401.00</w:t>
                        </w:r>
                      </w:p>
                    </w:tc>
                    <w:tc>
                      <w:tcPr>
                        <w:tcW w:w="1116" w:type="dxa"/>
                      </w:tcPr>
                      <w:p>
                        <w:pPr>
                          <w:pStyle w:val="TableParagraph"/>
                          <w:spacing w:before="44"/>
                          <w:ind w:right="29"/>
                          <w:jc w:val="right"/>
                          <w:rPr>
                            <w:rFonts w:ascii="Times New Roman"/>
                            <w:sz w:val="13"/>
                          </w:rPr>
                        </w:pPr>
                        <w:r>
                          <w:rPr>
                            <w:rFonts w:ascii="Times New Roman"/>
                            <w:sz w:val="13"/>
                          </w:rPr>
                          <w:t>2.65%</w:t>
                        </w:r>
                      </w:p>
                    </w:tc>
                    <w:tc>
                      <w:tcPr>
                        <w:tcW w:w="1116" w:type="dxa"/>
                      </w:tcPr>
                      <w:p>
                        <w:pPr>
                          <w:pStyle w:val="TableParagraph"/>
                          <w:spacing w:before="44"/>
                          <w:ind w:right="75"/>
                          <w:jc w:val="right"/>
                          <w:rPr>
                            <w:rFonts w:ascii="Times New Roman"/>
                            <w:sz w:val="13"/>
                          </w:rPr>
                        </w:pPr>
                        <w:r>
                          <w:rPr>
                            <w:rFonts w:ascii="Times New Roman"/>
                            <w:sz w:val="13"/>
                          </w:rPr>
                          <w:t>225,208.00</w:t>
                        </w:r>
                      </w:p>
                    </w:tc>
                  </w:tr>
                  <w:tr>
                    <w:trPr>
                      <w:trHeight w:val="201" w:hRule="atLeast"/>
                    </w:trPr>
                    <w:tc>
                      <w:tcPr>
                        <w:tcW w:w="3520" w:type="dxa"/>
                      </w:tcPr>
                      <w:p>
                        <w:pPr>
                          <w:pStyle w:val="TableParagraph"/>
                          <w:spacing w:before="24"/>
                          <w:ind w:left="100"/>
                          <w:rPr>
                            <w:rFonts w:ascii="Times New Roman"/>
                            <w:sz w:val="13"/>
                          </w:rPr>
                        </w:pPr>
                        <w:r>
                          <w:rPr>
                            <w:rFonts w:ascii="Times New Roman"/>
                            <w:w w:val="105"/>
                            <w:sz w:val="13"/>
                          </w:rPr>
                          <w:t>3. Employee Benefits</w:t>
                        </w:r>
                      </w:p>
                    </w:tc>
                    <w:tc>
                      <w:tcPr>
                        <w:tcW w:w="1565" w:type="dxa"/>
                      </w:tcPr>
                      <w:p>
                        <w:pPr>
                          <w:pStyle w:val="TableParagraph"/>
                          <w:spacing w:before="24"/>
                          <w:ind w:left="636" w:right="296"/>
                          <w:jc w:val="center"/>
                          <w:rPr>
                            <w:rFonts w:ascii="Times New Roman"/>
                            <w:sz w:val="13"/>
                          </w:rPr>
                        </w:pPr>
                        <w:r>
                          <w:rPr>
                            <w:rFonts w:ascii="Times New Roman"/>
                            <w:w w:val="105"/>
                            <w:sz w:val="13"/>
                          </w:rPr>
                          <w:t>3000-3999</w:t>
                        </w:r>
                      </w:p>
                    </w:tc>
                    <w:tc>
                      <w:tcPr>
                        <w:tcW w:w="1147" w:type="dxa"/>
                      </w:tcPr>
                      <w:p>
                        <w:pPr>
                          <w:pStyle w:val="TableParagraph"/>
                          <w:spacing w:before="24"/>
                          <w:ind w:right="75"/>
                          <w:jc w:val="right"/>
                          <w:rPr>
                            <w:rFonts w:ascii="Times New Roman"/>
                            <w:sz w:val="13"/>
                          </w:rPr>
                        </w:pPr>
                        <w:r>
                          <w:rPr>
                            <w:rFonts w:ascii="Times New Roman"/>
                            <w:sz w:val="13"/>
                          </w:rPr>
                          <w:t>179,309.00</w:t>
                        </w:r>
                      </w:p>
                    </w:tc>
                    <w:tc>
                      <w:tcPr>
                        <w:tcW w:w="1116" w:type="dxa"/>
                      </w:tcPr>
                      <w:p>
                        <w:pPr>
                          <w:pStyle w:val="TableParagraph"/>
                          <w:spacing w:before="24"/>
                          <w:ind w:right="30"/>
                          <w:jc w:val="right"/>
                          <w:rPr>
                            <w:rFonts w:ascii="Times New Roman"/>
                            <w:sz w:val="13"/>
                          </w:rPr>
                        </w:pPr>
                        <w:r>
                          <w:rPr>
                            <w:rFonts w:ascii="Times New Roman"/>
                            <w:sz w:val="13"/>
                          </w:rPr>
                          <w:t>-7.21%</w:t>
                        </w:r>
                      </w:p>
                    </w:tc>
                    <w:tc>
                      <w:tcPr>
                        <w:tcW w:w="1116" w:type="dxa"/>
                      </w:tcPr>
                      <w:p>
                        <w:pPr>
                          <w:pStyle w:val="TableParagraph"/>
                          <w:spacing w:before="24"/>
                          <w:ind w:right="75"/>
                          <w:jc w:val="right"/>
                          <w:rPr>
                            <w:rFonts w:ascii="Times New Roman"/>
                            <w:sz w:val="13"/>
                          </w:rPr>
                        </w:pPr>
                        <w:r>
                          <w:rPr>
                            <w:rFonts w:ascii="Times New Roman"/>
                            <w:sz w:val="13"/>
                          </w:rPr>
                          <w:t>166,378.00</w:t>
                        </w:r>
                      </w:p>
                    </w:tc>
                    <w:tc>
                      <w:tcPr>
                        <w:tcW w:w="1116" w:type="dxa"/>
                      </w:tcPr>
                      <w:p>
                        <w:pPr>
                          <w:pStyle w:val="TableParagraph"/>
                          <w:spacing w:before="24"/>
                          <w:ind w:right="30"/>
                          <w:jc w:val="right"/>
                          <w:rPr>
                            <w:rFonts w:ascii="Times New Roman"/>
                            <w:sz w:val="13"/>
                          </w:rPr>
                        </w:pPr>
                        <w:r>
                          <w:rPr>
                            <w:rFonts w:ascii="Times New Roman"/>
                            <w:sz w:val="13"/>
                          </w:rPr>
                          <w:t>-1.12%</w:t>
                        </w:r>
                      </w:p>
                    </w:tc>
                    <w:tc>
                      <w:tcPr>
                        <w:tcW w:w="1116" w:type="dxa"/>
                      </w:tcPr>
                      <w:p>
                        <w:pPr>
                          <w:pStyle w:val="TableParagraph"/>
                          <w:spacing w:before="24"/>
                          <w:ind w:right="75"/>
                          <w:jc w:val="right"/>
                          <w:rPr>
                            <w:rFonts w:ascii="Times New Roman"/>
                            <w:sz w:val="13"/>
                          </w:rPr>
                        </w:pPr>
                        <w:r>
                          <w:rPr>
                            <w:rFonts w:ascii="Times New Roman"/>
                            <w:sz w:val="13"/>
                          </w:rPr>
                          <w:t>164,520.00</w:t>
                        </w:r>
                      </w:p>
                    </w:tc>
                  </w:tr>
                  <w:tr>
                    <w:trPr>
                      <w:trHeight w:val="201" w:hRule="atLeast"/>
                    </w:trPr>
                    <w:tc>
                      <w:tcPr>
                        <w:tcW w:w="3520" w:type="dxa"/>
                      </w:tcPr>
                      <w:p>
                        <w:pPr>
                          <w:pStyle w:val="TableParagraph"/>
                          <w:spacing w:before="24"/>
                          <w:ind w:left="100"/>
                          <w:rPr>
                            <w:rFonts w:ascii="Times New Roman"/>
                            <w:sz w:val="13"/>
                          </w:rPr>
                        </w:pPr>
                        <w:r>
                          <w:rPr>
                            <w:rFonts w:ascii="Times New Roman"/>
                            <w:w w:val="105"/>
                            <w:sz w:val="13"/>
                          </w:rPr>
                          <w:t>4. Books and Supplies</w:t>
                        </w:r>
                      </w:p>
                    </w:tc>
                    <w:tc>
                      <w:tcPr>
                        <w:tcW w:w="1565" w:type="dxa"/>
                      </w:tcPr>
                      <w:p>
                        <w:pPr>
                          <w:pStyle w:val="TableParagraph"/>
                          <w:spacing w:before="24"/>
                          <w:ind w:left="636" w:right="296"/>
                          <w:jc w:val="center"/>
                          <w:rPr>
                            <w:rFonts w:ascii="Times New Roman"/>
                            <w:sz w:val="13"/>
                          </w:rPr>
                        </w:pPr>
                        <w:r>
                          <w:rPr>
                            <w:rFonts w:ascii="Times New Roman"/>
                            <w:w w:val="105"/>
                            <w:sz w:val="13"/>
                          </w:rPr>
                          <w:t>4000-4999</w:t>
                        </w:r>
                      </w:p>
                    </w:tc>
                    <w:tc>
                      <w:tcPr>
                        <w:tcW w:w="1147" w:type="dxa"/>
                      </w:tcPr>
                      <w:p>
                        <w:pPr>
                          <w:pStyle w:val="TableParagraph"/>
                          <w:spacing w:before="24"/>
                          <w:ind w:right="75"/>
                          <w:jc w:val="right"/>
                          <w:rPr>
                            <w:rFonts w:ascii="Times New Roman"/>
                            <w:sz w:val="13"/>
                          </w:rPr>
                        </w:pPr>
                        <w:r>
                          <w:rPr>
                            <w:rFonts w:ascii="Times New Roman"/>
                            <w:sz w:val="13"/>
                          </w:rPr>
                          <w:t>67,059.00</w:t>
                        </w:r>
                      </w:p>
                    </w:tc>
                    <w:tc>
                      <w:tcPr>
                        <w:tcW w:w="1116" w:type="dxa"/>
                      </w:tcPr>
                      <w:p>
                        <w:pPr>
                          <w:pStyle w:val="TableParagraph"/>
                          <w:spacing w:before="24"/>
                          <w:ind w:right="30"/>
                          <w:jc w:val="right"/>
                          <w:rPr>
                            <w:rFonts w:ascii="Times New Roman"/>
                            <w:sz w:val="13"/>
                          </w:rPr>
                        </w:pPr>
                        <w:r>
                          <w:rPr>
                            <w:rFonts w:ascii="Times New Roman"/>
                            <w:sz w:val="13"/>
                          </w:rPr>
                          <w:t>-3.05%</w:t>
                        </w:r>
                      </w:p>
                    </w:tc>
                    <w:tc>
                      <w:tcPr>
                        <w:tcW w:w="1116" w:type="dxa"/>
                      </w:tcPr>
                      <w:p>
                        <w:pPr>
                          <w:pStyle w:val="TableParagraph"/>
                          <w:spacing w:before="24"/>
                          <w:ind w:right="75"/>
                          <w:jc w:val="right"/>
                          <w:rPr>
                            <w:rFonts w:ascii="Times New Roman"/>
                            <w:sz w:val="13"/>
                          </w:rPr>
                        </w:pPr>
                        <w:r>
                          <w:rPr>
                            <w:rFonts w:ascii="Times New Roman"/>
                            <w:sz w:val="13"/>
                          </w:rPr>
                          <w:t>65,014.00</w:t>
                        </w:r>
                      </w:p>
                    </w:tc>
                    <w:tc>
                      <w:tcPr>
                        <w:tcW w:w="1116" w:type="dxa"/>
                      </w:tcPr>
                      <w:p>
                        <w:pPr>
                          <w:pStyle w:val="TableParagraph"/>
                          <w:spacing w:before="24"/>
                          <w:ind w:right="29"/>
                          <w:jc w:val="right"/>
                          <w:rPr>
                            <w:rFonts w:ascii="Times New Roman"/>
                            <w:sz w:val="13"/>
                          </w:rPr>
                        </w:pPr>
                        <w:r>
                          <w:rPr>
                            <w:rFonts w:ascii="Times New Roman"/>
                            <w:sz w:val="13"/>
                          </w:rPr>
                          <w:t>2.12%</w:t>
                        </w:r>
                      </w:p>
                    </w:tc>
                    <w:tc>
                      <w:tcPr>
                        <w:tcW w:w="1116" w:type="dxa"/>
                      </w:tcPr>
                      <w:p>
                        <w:pPr>
                          <w:pStyle w:val="TableParagraph"/>
                          <w:spacing w:before="24"/>
                          <w:ind w:right="75"/>
                          <w:jc w:val="right"/>
                          <w:rPr>
                            <w:rFonts w:ascii="Times New Roman"/>
                            <w:sz w:val="13"/>
                          </w:rPr>
                        </w:pPr>
                        <w:r>
                          <w:rPr>
                            <w:rFonts w:ascii="Times New Roman"/>
                            <w:sz w:val="13"/>
                          </w:rPr>
                          <w:t>66,392.00</w:t>
                        </w:r>
                      </w:p>
                    </w:tc>
                  </w:tr>
                  <w:tr>
                    <w:trPr>
                      <w:trHeight w:val="201" w:hRule="atLeast"/>
                    </w:trPr>
                    <w:tc>
                      <w:tcPr>
                        <w:tcW w:w="3520" w:type="dxa"/>
                      </w:tcPr>
                      <w:p>
                        <w:pPr>
                          <w:pStyle w:val="TableParagraph"/>
                          <w:spacing w:before="24"/>
                          <w:ind w:left="100"/>
                          <w:rPr>
                            <w:rFonts w:ascii="Times New Roman"/>
                            <w:sz w:val="13"/>
                          </w:rPr>
                        </w:pPr>
                        <w:r>
                          <w:rPr>
                            <w:rFonts w:ascii="Times New Roman"/>
                            <w:w w:val="105"/>
                            <w:sz w:val="13"/>
                          </w:rPr>
                          <w:t>5. Services and Other Operating Expenditures</w:t>
                        </w:r>
                      </w:p>
                    </w:tc>
                    <w:tc>
                      <w:tcPr>
                        <w:tcW w:w="1565" w:type="dxa"/>
                      </w:tcPr>
                      <w:p>
                        <w:pPr>
                          <w:pStyle w:val="TableParagraph"/>
                          <w:spacing w:before="24"/>
                          <w:ind w:left="636" w:right="296"/>
                          <w:jc w:val="center"/>
                          <w:rPr>
                            <w:rFonts w:ascii="Times New Roman"/>
                            <w:sz w:val="13"/>
                          </w:rPr>
                        </w:pPr>
                        <w:r>
                          <w:rPr>
                            <w:rFonts w:ascii="Times New Roman"/>
                            <w:w w:val="105"/>
                            <w:sz w:val="13"/>
                          </w:rPr>
                          <w:t>5000-5999</w:t>
                        </w:r>
                      </w:p>
                    </w:tc>
                    <w:tc>
                      <w:tcPr>
                        <w:tcW w:w="1147" w:type="dxa"/>
                      </w:tcPr>
                      <w:p>
                        <w:pPr>
                          <w:pStyle w:val="TableParagraph"/>
                          <w:spacing w:before="24"/>
                          <w:ind w:right="75"/>
                          <w:jc w:val="right"/>
                          <w:rPr>
                            <w:rFonts w:ascii="Times New Roman"/>
                            <w:sz w:val="13"/>
                          </w:rPr>
                        </w:pPr>
                        <w:r>
                          <w:rPr>
                            <w:rFonts w:ascii="Times New Roman"/>
                            <w:sz w:val="13"/>
                          </w:rPr>
                          <w:t>20,449.00</w:t>
                        </w:r>
                      </w:p>
                    </w:tc>
                    <w:tc>
                      <w:tcPr>
                        <w:tcW w:w="1116" w:type="dxa"/>
                      </w:tcPr>
                      <w:p>
                        <w:pPr>
                          <w:pStyle w:val="TableParagraph"/>
                          <w:spacing w:before="24"/>
                          <w:ind w:right="30"/>
                          <w:jc w:val="right"/>
                          <w:rPr>
                            <w:rFonts w:ascii="Times New Roman"/>
                            <w:sz w:val="13"/>
                          </w:rPr>
                        </w:pPr>
                        <w:r>
                          <w:rPr>
                            <w:rFonts w:ascii="Times New Roman"/>
                            <w:sz w:val="13"/>
                          </w:rPr>
                          <w:t>-26.73%</w:t>
                        </w:r>
                      </w:p>
                    </w:tc>
                    <w:tc>
                      <w:tcPr>
                        <w:tcW w:w="1116" w:type="dxa"/>
                      </w:tcPr>
                      <w:p>
                        <w:pPr>
                          <w:pStyle w:val="TableParagraph"/>
                          <w:spacing w:before="24"/>
                          <w:ind w:right="75"/>
                          <w:jc w:val="right"/>
                          <w:rPr>
                            <w:rFonts w:ascii="Times New Roman"/>
                            <w:sz w:val="13"/>
                          </w:rPr>
                        </w:pPr>
                        <w:r>
                          <w:rPr>
                            <w:rFonts w:ascii="Times New Roman"/>
                            <w:sz w:val="13"/>
                          </w:rPr>
                          <w:t>14,983.00</w:t>
                        </w:r>
                      </w:p>
                    </w:tc>
                    <w:tc>
                      <w:tcPr>
                        <w:tcW w:w="1116" w:type="dxa"/>
                      </w:tcPr>
                      <w:p>
                        <w:pPr>
                          <w:pStyle w:val="TableParagraph"/>
                          <w:spacing w:before="24"/>
                          <w:ind w:right="29"/>
                          <w:jc w:val="right"/>
                          <w:rPr>
                            <w:rFonts w:ascii="Times New Roman"/>
                            <w:sz w:val="13"/>
                          </w:rPr>
                        </w:pPr>
                        <w:r>
                          <w:rPr>
                            <w:rFonts w:ascii="Times New Roman"/>
                            <w:sz w:val="13"/>
                          </w:rPr>
                          <w:t>1.70%</w:t>
                        </w:r>
                      </w:p>
                    </w:tc>
                    <w:tc>
                      <w:tcPr>
                        <w:tcW w:w="1116" w:type="dxa"/>
                      </w:tcPr>
                      <w:p>
                        <w:pPr>
                          <w:pStyle w:val="TableParagraph"/>
                          <w:spacing w:before="24"/>
                          <w:ind w:right="75"/>
                          <w:jc w:val="right"/>
                          <w:rPr>
                            <w:rFonts w:ascii="Times New Roman"/>
                            <w:sz w:val="13"/>
                          </w:rPr>
                        </w:pPr>
                        <w:r>
                          <w:rPr>
                            <w:rFonts w:ascii="Times New Roman"/>
                            <w:sz w:val="13"/>
                          </w:rPr>
                          <w:t>15,237.00</w:t>
                        </w:r>
                      </w:p>
                    </w:tc>
                  </w:tr>
                  <w:tr>
                    <w:trPr>
                      <w:trHeight w:val="201" w:hRule="atLeast"/>
                    </w:trPr>
                    <w:tc>
                      <w:tcPr>
                        <w:tcW w:w="3520" w:type="dxa"/>
                      </w:tcPr>
                      <w:p>
                        <w:pPr>
                          <w:pStyle w:val="TableParagraph"/>
                          <w:spacing w:before="24"/>
                          <w:ind w:left="100"/>
                          <w:rPr>
                            <w:rFonts w:ascii="Times New Roman"/>
                            <w:sz w:val="13"/>
                          </w:rPr>
                        </w:pPr>
                        <w:r>
                          <w:rPr>
                            <w:rFonts w:ascii="Times New Roman"/>
                            <w:w w:val="105"/>
                            <w:sz w:val="13"/>
                          </w:rPr>
                          <w:t>6. Capital Outlay</w:t>
                        </w:r>
                      </w:p>
                    </w:tc>
                    <w:tc>
                      <w:tcPr>
                        <w:tcW w:w="1565" w:type="dxa"/>
                      </w:tcPr>
                      <w:p>
                        <w:pPr>
                          <w:pStyle w:val="TableParagraph"/>
                          <w:spacing w:before="24"/>
                          <w:ind w:left="636" w:right="296"/>
                          <w:jc w:val="center"/>
                          <w:rPr>
                            <w:rFonts w:ascii="Times New Roman"/>
                            <w:sz w:val="13"/>
                          </w:rPr>
                        </w:pPr>
                        <w:r>
                          <w:rPr>
                            <w:rFonts w:ascii="Times New Roman"/>
                            <w:w w:val="105"/>
                            <w:sz w:val="13"/>
                          </w:rPr>
                          <w:t>6000-6999</w:t>
                        </w:r>
                      </w:p>
                    </w:tc>
                    <w:tc>
                      <w:tcPr>
                        <w:tcW w:w="1147" w:type="dxa"/>
                      </w:tcPr>
                      <w:p>
                        <w:pPr>
                          <w:pStyle w:val="TableParagraph"/>
                          <w:spacing w:before="24"/>
                          <w:ind w:right="75"/>
                          <w:jc w:val="right"/>
                          <w:rPr>
                            <w:rFonts w:ascii="Times New Roman"/>
                            <w:sz w:val="13"/>
                          </w:rPr>
                        </w:pPr>
                        <w:r>
                          <w:rPr>
                            <w:rFonts w:ascii="Times New Roman"/>
                            <w:sz w:val="13"/>
                          </w:rPr>
                          <w:t>74,973.00</w:t>
                        </w:r>
                      </w:p>
                    </w:tc>
                    <w:tc>
                      <w:tcPr>
                        <w:tcW w:w="1116" w:type="dxa"/>
                      </w:tcPr>
                      <w:p>
                        <w:pPr>
                          <w:pStyle w:val="TableParagraph"/>
                          <w:spacing w:before="24"/>
                          <w:ind w:right="30"/>
                          <w:jc w:val="right"/>
                          <w:rPr>
                            <w:rFonts w:ascii="Times New Roman"/>
                            <w:sz w:val="13"/>
                          </w:rPr>
                        </w:pPr>
                        <w:r>
                          <w:rPr>
                            <w:rFonts w:ascii="Times New Roman"/>
                            <w:sz w:val="13"/>
                          </w:rPr>
                          <w:t>-100.00%</w:t>
                        </w:r>
                      </w:p>
                    </w:tc>
                    <w:tc>
                      <w:tcPr>
                        <w:tcW w:w="1116" w:type="dxa"/>
                      </w:tcPr>
                      <w:p>
                        <w:pPr>
                          <w:pStyle w:val="TableParagraph"/>
                          <w:spacing w:before="24"/>
                          <w:ind w:right="74"/>
                          <w:jc w:val="right"/>
                          <w:rPr>
                            <w:rFonts w:ascii="Times New Roman"/>
                            <w:sz w:val="13"/>
                          </w:rPr>
                        </w:pPr>
                        <w:r>
                          <w:rPr>
                            <w:rFonts w:ascii="Times New Roman"/>
                            <w:sz w:val="13"/>
                          </w:rPr>
                          <w:t>0.00</w:t>
                        </w:r>
                      </w:p>
                    </w:tc>
                    <w:tc>
                      <w:tcPr>
                        <w:tcW w:w="1116" w:type="dxa"/>
                      </w:tcPr>
                      <w:p>
                        <w:pPr>
                          <w:pStyle w:val="TableParagraph"/>
                          <w:spacing w:before="24"/>
                          <w:ind w:right="29"/>
                          <w:jc w:val="right"/>
                          <w:rPr>
                            <w:rFonts w:ascii="Times New Roman"/>
                            <w:sz w:val="13"/>
                          </w:rPr>
                        </w:pPr>
                        <w:r>
                          <w:rPr>
                            <w:rFonts w:ascii="Times New Roman"/>
                            <w:sz w:val="13"/>
                          </w:rPr>
                          <w:t>0.00%</w:t>
                        </w:r>
                      </w:p>
                    </w:tc>
                    <w:tc>
                      <w:tcPr>
                        <w:tcW w:w="1116" w:type="dxa"/>
                      </w:tcPr>
                      <w:p>
                        <w:pPr>
                          <w:pStyle w:val="TableParagraph"/>
                          <w:spacing w:before="24"/>
                          <w:ind w:right="74"/>
                          <w:jc w:val="right"/>
                          <w:rPr>
                            <w:rFonts w:ascii="Times New Roman"/>
                            <w:sz w:val="13"/>
                          </w:rPr>
                        </w:pPr>
                        <w:r>
                          <w:rPr>
                            <w:rFonts w:ascii="Times New Roman"/>
                            <w:sz w:val="13"/>
                          </w:rPr>
                          <w:t>0.00</w:t>
                        </w:r>
                      </w:p>
                    </w:tc>
                  </w:tr>
                  <w:tr>
                    <w:trPr>
                      <w:trHeight w:val="201" w:hRule="atLeast"/>
                    </w:trPr>
                    <w:tc>
                      <w:tcPr>
                        <w:tcW w:w="3520" w:type="dxa"/>
                      </w:tcPr>
                      <w:p>
                        <w:pPr>
                          <w:pStyle w:val="TableParagraph"/>
                          <w:spacing w:before="24"/>
                          <w:ind w:left="100"/>
                          <w:rPr>
                            <w:rFonts w:ascii="Times New Roman"/>
                            <w:sz w:val="13"/>
                          </w:rPr>
                        </w:pPr>
                        <w:r>
                          <w:rPr>
                            <w:rFonts w:ascii="Times New Roman"/>
                            <w:w w:val="105"/>
                            <w:sz w:val="13"/>
                          </w:rPr>
                          <w:t>7. Other Outgo (excluding Transfers of Indirect Costs)</w:t>
                        </w:r>
                      </w:p>
                    </w:tc>
                    <w:tc>
                      <w:tcPr>
                        <w:tcW w:w="1565" w:type="dxa"/>
                      </w:tcPr>
                      <w:p>
                        <w:pPr>
                          <w:pStyle w:val="TableParagraph"/>
                          <w:spacing w:before="24"/>
                          <w:ind w:left="339" w:right="-15"/>
                          <w:jc w:val="center"/>
                          <w:rPr>
                            <w:rFonts w:ascii="Times New Roman"/>
                            <w:sz w:val="13"/>
                          </w:rPr>
                        </w:pPr>
                        <w:r>
                          <w:rPr>
                            <w:rFonts w:ascii="Times New Roman"/>
                            <w:w w:val="105"/>
                            <w:sz w:val="13"/>
                          </w:rPr>
                          <w:t>7100-7299,</w:t>
                        </w:r>
                        <w:r>
                          <w:rPr>
                            <w:rFonts w:ascii="Times New Roman"/>
                            <w:spacing w:val="-21"/>
                            <w:w w:val="105"/>
                            <w:sz w:val="13"/>
                          </w:rPr>
                          <w:t> </w:t>
                        </w:r>
                        <w:r>
                          <w:rPr>
                            <w:rFonts w:ascii="Times New Roman"/>
                            <w:w w:val="105"/>
                            <w:sz w:val="13"/>
                          </w:rPr>
                          <w:t>7400-7499</w:t>
                        </w:r>
                      </w:p>
                    </w:tc>
                    <w:tc>
                      <w:tcPr>
                        <w:tcW w:w="1147" w:type="dxa"/>
                      </w:tcPr>
                      <w:p>
                        <w:pPr>
                          <w:pStyle w:val="TableParagraph"/>
                          <w:spacing w:before="24"/>
                          <w:ind w:right="74"/>
                          <w:jc w:val="right"/>
                          <w:rPr>
                            <w:rFonts w:ascii="Times New Roman"/>
                            <w:sz w:val="13"/>
                          </w:rPr>
                        </w:pPr>
                        <w:r>
                          <w:rPr>
                            <w:rFonts w:ascii="Times New Roman"/>
                            <w:sz w:val="13"/>
                          </w:rPr>
                          <w:t>0.00</w:t>
                        </w:r>
                      </w:p>
                    </w:tc>
                    <w:tc>
                      <w:tcPr>
                        <w:tcW w:w="1116" w:type="dxa"/>
                      </w:tcPr>
                      <w:p>
                        <w:pPr>
                          <w:pStyle w:val="TableParagraph"/>
                          <w:spacing w:before="24"/>
                          <w:ind w:right="29"/>
                          <w:jc w:val="right"/>
                          <w:rPr>
                            <w:rFonts w:ascii="Times New Roman"/>
                            <w:sz w:val="13"/>
                          </w:rPr>
                        </w:pPr>
                        <w:r>
                          <w:rPr>
                            <w:rFonts w:ascii="Times New Roman"/>
                            <w:sz w:val="13"/>
                          </w:rPr>
                          <w:t>0.00%</w:t>
                        </w:r>
                      </w:p>
                    </w:tc>
                    <w:tc>
                      <w:tcPr>
                        <w:tcW w:w="1116" w:type="dxa"/>
                      </w:tcPr>
                      <w:p>
                        <w:pPr>
                          <w:pStyle w:val="TableParagraph"/>
                          <w:spacing w:before="24"/>
                          <w:ind w:right="74"/>
                          <w:jc w:val="right"/>
                          <w:rPr>
                            <w:rFonts w:ascii="Times New Roman"/>
                            <w:sz w:val="13"/>
                          </w:rPr>
                        </w:pPr>
                        <w:r>
                          <w:rPr>
                            <w:rFonts w:ascii="Times New Roman"/>
                            <w:sz w:val="13"/>
                          </w:rPr>
                          <w:t>0.00</w:t>
                        </w:r>
                      </w:p>
                    </w:tc>
                    <w:tc>
                      <w:tcPr>
                        <w:tcW w:w="1116" w:type="dxa"/>
                      </w:tcPr>
                      <w:p>
                        <w:pPr>
                          <w:pStyle w:val="TableParagraph"/>
                          <w:spacing w:before="24"/>
                          <w:ind w:right="29"/>
                          <w:jc w:val="right"/>
                          <w:rPr>
                            <w:rFonts w:ascii="Times New Roman"/>
                            <w:sz w:val="13"/>
                          </w:rPr>
                        </w:pPr>
                        <w:r>
                          <w:rPr>
                            <w:rFonts w:ascii="Times New Roman"/>
                            <w:sz w:val="13"/>
                          </w:rPr>
                          <w:t>0.00%</w:t>
                        </w:r>
                      </w:p>
                    </w:tc>
                    <w:tc>
                      <w:tcPr>
                        <w:tcW w:w="1116" w:type="dxa"/>
                      </w:tcPr>
                      <w:p>
                        <w:pPr>
                          <w:pStyle w:val="TableParagraph"/>
                          <w:spacing w:before="24"/>
                          <w:ind w:right="74"/>
                          <w:jc w:val="right"/>
                          <w:rPr>
                            <w:rFonts w:ascii="Times New Roman"/>
                            <w:sz w:val="13"/>
                          </w:rPr>
                        </w:pPr>
                        <w:r>
                          <w:rPr>
                            <w:rFonts w:ascii="Times New Roman"/>
                            <w:sz w:val="13"/>
                          </w:rPr>
                          <w:t>0.00</w:t>
                        </w:r>
                      </w:p>
                    </w:tc>
                  </w:tr>
                  <w:tr>
                    <w:trPr>
                      <w:trHeight w:val="186" w:hRule="atLeast"/>
                    </w:trPr>
                    <w:tc>
                      <w:tcPr>
                        <w:tcW w:w="3520" w:type="dxa"/>
                      </w:tcPr>
                      <w:p>
                        <w:pPr>
                          <w:pStyle w:val="TableParagraph"/>
                          <w:spacing w:line="141" w:lineRule="exact" w:before="24"/>
                          <w:ind w:left="100"/>
                          <w:rPr>
                            <w:rFonts w:ascii="Times New Roman"/>
                            <w:sz w:val="13"/>
                          </w:rPr>
                        </w:pPr>
                        <w:r>
                          <w:rPr>
                            <w:rFonts w:ascii="Times New Roman"/>
                            <w:w w:val="105"/>
                            <w:sz w:val="13"/>
                          </w:rPr>
                          <w:t>8. Other Outgo - Transfers of Indirect Costs</w:t>
                        </w:r>
                      </w:p>
                    </w:tc>
                    <w:tc>
                      <w:tcPr>
                        <w:tcW w:w="1565" w:type="dxa"/>
                      </w:tcPr>
                      <w:p>
                        <w:pPr>
                          <w:pStyle w:val="TableParagraph"/>
                          <w:spacing w:line="141" w:lineRule="exact" w:before="24"/>
                          <w:ind w:left="636" w:right="296"/>
                          <w:jc w:val="center"/>
                          <w:rPr>
                            <w:rFonts w:ascii="Times New Roman"/>
                            <w:sz w:val="13"/>
                          </w:rPr>
                        </w:pPr>
                        <w:r>
                          <w:rPr>
                            <w:rFonts w:ascii="Times New Roman"/>
                            <w:w w:val="105"/>
                            <w:sz w:val="13"/>
                          </w:rPr>
                          <w:t>7300-7399</w:t>
                        </w:r>
                      </w:p>
                    </w:tc>
                    <w:tc>
                      <w:tcPr>
                        <w:tcW w:w="1147" w:type="dxa"/>
                      </w:tcPr>
                      <w:p>
                        <w:pPr>
                          <w:pStyle w:val="TableParagraph"/>
                          <w:spacing w:line="141" w:lineRule="exact" w:before="24"/>
                          <w:ind w:right="74"/>
                          <w:jc w:val="right"/>
                          <w:rPr>
                            <w:rFonts w:ascii="Times New Roman"/>
                            <w:sz w:val="13"/>
                          </w:rPr>
                        </w:pPr>
                        <w:r>
                          <w:rPr>
                            <w:rFonts w:ascii="Times New Roman"/>
                            <w:sz w:val="13"/>
                          </w:rPr>
                          <w:t>0.00</w:t>
                        </w:r>
                      </w:p>
                    </w:tc>
                    <w:tc>
                      <w:tcPr>
                        <w:tcW w:w="1116" w:type="dxa"/>
                      </w:tcPr>
                      <w:p>
                        <w:pPr>
                          <w:pStyle w:val="TableParagraph"/>
                          <w:spacing w:line="141" w:lineRule="exact" w:before="24"/>
                          <w:ind w:right="29"/>
                          <w:jc w:val="right"/>
                          <w:rPr>
                            <w:rFonts w:ascii="Times New Roman"/>
                            <w:sz w:val="13"/>
                          </w:rPr>
                        </w:pPr>
                        <w:r>
                          <w:rPr>
                            <w:rFonts w:ascii="Times New Roman"/>
                            <w:sz w:val="13"/>
                          </w:rPr>
                          <w:t>0.00%</w:t>
                        </w:r>
                      </w:p>
                    </w:tc>
                    <w:tc>
                      <w:tcPr>
                        <w:tcW w:w="1116" w:type="dxa"/>
                      </w:tcPr>
                      <w:p>
                        <w:pPr>
                          <w:pStyle w:val="TableParagraph"/>
                          <w:spacing w:line="141" w:lineRule="exact" w:before="24"/>
                          <w:ind w:right="74"/>
                          <w:jc w:val="right"/>
                          <w:rPr>
                            <w:rFonts w:ascii="Times New Roman"/>
                            <w:sz w:val="13"/>
                          </w:rPr>
                        </w:pPr>
                        <w:r>
                          <w:rPr>
                            <w:rFonts w:ascii="Times New Roman"/>
                            <w:sz w:val="13"/>
                          </w:rPr>
                          <w:t>0.00</w:t>
                        </w:r>
                      </w:p>
                    </w:tc>
                    <w:tc>
                      <w:tcPr>
                        <w:tcW w:w="1116" w:type="dxa"/>
                      </w:tcPr>
                      <w:p>
                        <w:pPr>
                          <w:pStyle w:val="TableParagraph"/>
                          <w:spacing w:line="141" w:lineRule="exact" w:before="24"/>
                          <w:ind w:right="29"/>
                          <w:jc w:val="right"/>
                          <w:rPr>
                            <w:rFonts w:ascii="Times New Roman"/>
                            <w:sz w:val="13"/>
                          </w:rPr>
                        </w:pPr>
                        <w:r>
                          <w:rPr>
                            <w:rFonts w:ascii="Times New Roman"/>
                            <w:sz w:val="13"/>
                          </w:rPr>
                          <w:t>0.00%</w:t>
                        </w:r>
                      </w:p>
                    </w:tc>
                    <w:tc>
                      <w:tcPr>
                        <w:tcW w:w="1116" w:type="dxa"/>
                      </w:tcPr>
                      <w:p>
                        <w:pPr>
                          <w:pStyle w:val="TableParagraph"/>
                          <w:spacing w:line="141" w:lineRule="exact" w:before="24"/>
                          <w:ind w:right="74"/>
                          <w:jc w:val="right"/>
                          <w:rPr>
                            <w:rFonts w:ascii="Times New Roman"/>
                            <w:sz w:val="13"/>
                          </w:rPr>
                        </w:pPr>
                        <w:r>
                          <w:rPr>
                            <w:rFonts w:ascii="Times New Roman"/>
                            <w:sz w:val="13"/>
                          </w:rPr>
                          <w:t>0.00</w:t>
                        </w:r>
                      </w:p>
                    </w:tc>
                  </w:tr>
                  <w:tr>
                    <w:trPr>
                      <w:trHeight w:val="170" w:hRule="atLeast"/>
                    </w:trPr>
                    <w:tc>
                      <w:tcPr>
                        <w:tcW w:w="3520" w:type="dxa"/>
                      </w:tcPr>
                      <w:p>
                        <w:pPr>
                          <w:pStyle w:val="TableParagraph"/>
                          <w:spacing w:line="141" w:lineRule="exact" w:before="9"/>
                          <w:ind w:left="100"/>
                          <w:rPr>
                            <w:rFonts w:ascii="Times New Roman"/>
                            <w:sz w:val="13"/>
                          </w:rPr>
                        </w:pPr>
                        <w:r>
                          <w:rPr>
                            <w:rFonts w:ascii="Times New Roman"/>
                            <w:w w:val="105"/>
                            <w:sz w:val="13"/>
                          </w:rPr>
                          <w:t>9. Other Financing Uses</w:t>
                        </w:r>
                      </w:p>
                    </w:tc>
                    <w:tc>
                      <w:tcPr>
                        <w:tcW w:w="1565" w:type="dxa"/>
                      </w:tcPr>
                      <w:p>
                        <w:pPr>
                          <w:pStyle w:val="TableParagraph"/>
                          <w:rPr>
                            <w:rFonts w:ascii="Times New Roman"/>
                            <w:sz w:val="10"/>
                          </w:rPr>
                        </w:pPr>
                      </w:p>
                    </w:tc>
                    <w:tc>
                      <w:tcPr>
                        <w:tcW w:w="1147" w:type="dxa"/>
                      </w:tcPr>
                      <w:p>
                        <w:pPr>
                          <w:pStyle w:val="TableParagraph"/>
                          <w:rPr>
                            <w:rFonts w:ascii="Times New Roman"/>
                            <w:sz w:val="10"/>
                          </w:rPr>
                        </w:pPr>
                      </w:p>
                    </w:tc>
                    <w:tc>
                      <w:tcPr>
                        <w:tcW w:w="1116" w:type="dxa"/>
                      </w:tcPr>
                      <w:p>
                        <w:pPr>
                          <w:pStyle w:val="TableParagraph"/>
                          <w:rPr>
                            <w:rFonts w:ascii="Times New Roman"/>
                            <w:sz w:val="10"/>
                          </w:rPr>
                        </w:pPr>
                      </w:p>
                    </w:tc>
                    <w:tc>
                      <w:tcPr>
                        <w:tcW w:w="1116" w:type="dxa"/>
                      </w:tcPr>
                      <w:p>
                        <w:pPr>
                          <w:pStyle w:val="TableParagraph"/>
                          <w:rPr>
                            <w:rFonts w:ascii="Times New Roman"/>
                            <w:sz w:val="10"/>
                          </w:rPr>
                        </w:pPr>
                      </w:p>
                    </w:tc>
                    <w:tc>
                      <w:tcPr>
                        <w:tcW w:w="1116" w:type="dxa"/>
                      </w:tcPr>
                      <w:p>
                        <w:pPr>
                          <w:pStyle w:val="TableParagraph"/>
                          <w:rPr>
                            <w:rFonts w:ascii="Times New Roman"/>
                            <w:sz w:val="10"/>
                          </w:rPr>
                        </w:pPr>
                      </w:p>
                    </w:tc>
                    <w:tc>
                      <w:tcPr>
                        <w:tcW w:w="1116" w:type="dxa"/>
                      </w:tcPr>
                      <w:p>
                        <w:pPr>
                          <w:pStyle w:val="TableParagraph"/>
                          <w:rPr>
                            <w:rFonts w:ascii="Times New Roman"/>
                            <w:sz w:val="10"/>
                          </w:rPr>
                        </w:pPr>
                      </w:p>
                    </w:tc>
                  </w:tr>
                  <w:tr>
                    <w:trPr>
                      <w:trHeight w:val="185" w:hRule="atLeast"/>
                    </w:trPr>
                    <w:tc>
                      <w:tcPr>
                        <w:tcW w:w="3520" w:type="dxa"/>
                      </w:tcPr>
                      <w:p>
                        <w:pPr>
                          <w:pStyle w:val="TableParagraph"/>
                          <w:spacing w:before="9"/>
                          <w:ind w:left="201"/>
                          <w:rPr>
                            <w:rFonts w:ascii="Times New Roman"/>
                            <w:sz w:val="13"/>
                          </w:rPr>
                        </w:pPr>
                        <w:r>
                          <w:rPr>
                            <w:rFonts w:ascii="Times New Roman"/>
                            <w:w w:val="105"/>
                            <w:sz w:val="13"/>
                          </w:rPr>
                          <w:t>a. Transfers Out</w:t>
                        </w:r>
                      </w:p>
                    </w:tc>
                    <w:tc>
                      <w:tcPr>
                        <w:tcW w:w="1565" w:type="dxa"/>
                      </w:tcPr>
                      <w:p>
                        <w:pPr>
                          <w:pStyle w:val="TableParagraph"/>
                          <w:spacing w:before="9"/>
                          <w:ind w:left="636" w:right="296"/>
                          <w:jc w:val="center"/>
                          <w:rPr>
                            <w:rFonts w:ascii="Times New Roman"/>
                            <w:sz w:val="13"/>
                          </w:rPr>
                        </w:pPr>
                        <w:r>
                          <w:rPr>
                            <w:rFonts w:ascii="Times New Roman"/>
                            <w:w w:val="105"/>
                            <w:sz w:val="13"/>
                          </w:rPr>
                          <w:t>7600-7629</w:t>
                        </w:r>
                      </w:p>
                    </w:tc>
                    <w:tc>
                      <w:tcPr>
                        <w:tcW w:w="1147" w:type="dxa"/>
                      </w:tcPr>
                      <w:p>
                        <w:pPr>
                          <w:pStyle w:val="TableParagraph"/>
                          <w:spacing w:before="9"/>
                          <w:ind w:right="74"/>
                          <w:jc w:val="right"/>
                          <w:rPr>
                            <w:rFonts w:ascii="Times New Roman"/>
                            <w:sz w:val="13"/>
                          </w:rPr>
                        </w:pPr>
                        <w:r>
                          <w:rPr>
                            <w:rFonts w:ascii="Times New Roman"/>
                            <w:sz w:val="13"/>
                          </w:rPr>
                          <w:t>0.00</w:t>
                        </w:r>
                      </w:p>
                    </w:tc>
                    <w:tc>
                      <w:tcPr>
                        <w:tcW w:w="1116" w:type="dxa"/>
                      </w:tcPr>
                      <w:p>
                        <w:pPr>
                          <w:pStyle w:val="TableParagraph"/>
                          <w:spacing w:before="9"/>
                          <w:ind w:right="29"/>
                          <w:jc w:val="right"/>
                          <w:rPr>
                            <w:rFonts w:ascii="Times New Roman"/>
                            <w:sz w:val="13"/>
                          </w:rPr>
                        </w:pPr>
                        <w:r>
                          <w:rPr>
                            <w:rFonts w:ascii="Times New Roman"/>
                            <w:sz w:val="13"/>
                          </w:rPr>
                          <w:t>0.00%</w:t>
                        </w:r>
                      </w:p>
                    </w:tc>
                    <w:tc>
                      <w:tcPr>
                        <w:tcW w:w="1116" w:type="dxa"/>
                      </w:tcPr>
                      <w:p>
                        <w:pPr>
                          <w:pStyle w:val="TableParagraph"/>
                          <w:spacing w:before="9"/>
                          <w:ind w:right="74"/>
                          <w:jc w:val="right"/>
                          <w:rPr>
                            <w:rFonts w:ascii="Times New Roman"/>
                            <w:sz w:val="13"/>
                          </w:rPr>
                        </w:pPr>
                        <w:r>
                          <w:rPr>
                            <w:rFonts w:ascii="Times New Roman"/>
                            <w:sz w:val="13"/>
                          </w:rPr>
                          <w:t>0.00</w:t>
                        </w:r>
                      </w:p>
                    </w:tc>
                    <w:tc>
                      <w:tcPr>
                        <w:tcW w:w="1116" w:type="dxa"/>
                      </w:tcPr>
                      <w:p>
                        <w:pPr>
                          <w:pStyle w:val="TableParagraph"/>
                          <w:spacing w:before="9"/>
                          <w:ind w:right="29"/>
                          <w:jc w:val="right"/>
                          <w:rPr>
                            <w:rFonts w:ascii="Times New Roman"/>
                            <w:sz w:val="13"/>
                          </w:rPr>
                        </w:pPr>
                        <w:r>
                          <w:rPr>
                            <w:rFonts w:ascii="Times New Roman"/>
                            <w:sz w:val="13"/>
                          </w:rPr>
                          <w:t>0.00%</w:t>
                        </w:r>
                      </w:p>
                    </w:tc>
                    <w:tc>
                      <w:tcPr>
                        <w:tcW w:w="1116" w:type="dxa"/>
                      </w:tcPr>
                      <w:p>
                        <w:pPr>
                          <w:pStyle w:val="TableParagraph"/>
                          <w:spacing w:before="9"/>
                          <w:ind w:right="74"/>
                          <w:jc w:val="right"/>
                          <w:rPr>
                            <w:rFonts w:ascii="Times New Roman"/>
                            <w:sz w:val="13"/>
                          </w:rPr>
                        </w:pPr>
                        <w:r>
                          <w:rPr>
                            <w:rFonts w:ascii="Times New Roman"/>
                            <w:sz w:val="13"/>
                          </w:rPr>
                          <w:t>0.00</w:t>
                        </w:r>
                      </w:p>
                    </w:tc>
                  </w:tr>
                  <w:tr>
                    <w:trPr>
                      <w:trHeight w:val="182" w:hRule="atLeast"/>
                    </w:trPr>
                    <w:tc>
                      <w:tcPr>
                        <w:tcW w:w="3520" w:type="dxa"/>
                      </w:tcPr>
                      <w:p>
                        <w:pPr>
                          <w:pStyle w:val="TableParagraph"/>
                          <w:spacing w:line="137" w:lineRule="exact" w:before="24"/>
                          <w:ind w:left="201"/>
                          <w:rPr>
                            <w:rFonts w:ascii="Times New Roman"/>
                            <w:sz w:val="13"/>
                          </w:rPr>
                        </w:pPr>
                        <w:r>
                          <w:rPr>
                            <w:rFonts w:ascii="Times New Roman"/>
                            <w:w w:val="105"/>
                            <w:sz w:val="13"/>
                          </w:rPr>
                          <w:t>b. Other Uses</w:t>
                        </w:r>
                      </w:p>
                    </w:tc>
                    <w:tc>
                      <w:tcPr>
                        <w:tcW w:w="1565" w:type="dxa"/>
                      </w:tcPr>
                      <w:p>
                        <w:pPr>
                          <w:pStyle w:val="TableParagraph"/>
                          <w:spacing w:line="137" w:lineRule="exact" w:before="24"/>
                          <w:ind w:left="636" w:right="296"/>
                          <w:jc w:val="center"/>
                          <w:rPr>
                            <w:rFonts w:ascii="Times New Roman"/>
                            <w:sz w:val="13"/>
                          </w:rPr>
                        </w:pPr>
                        <w:r>
                          <w:rPr>
                            <w:rFonts w:ascii="Times New Roman"/>
                            <w:w w:val="105"/>
                            <w:sz w:val="13"/>
                          </w:rPr>
                          <w:t>7630-7699</w:t>
                        </w:r>
                      </w:p>
                    </w:tc>
                    <w:tc>
                      <w:tcPr>
                        <w:tcW w:w="1147" w:type="dxa"/>
                      </w:tcPr>
                      <w:p>
                        <w:pPr>
                          <w:pStyle w:val="TableParagraph"/>
                          <w:spacing w:line="137" w:lineRule="exact" w:before="24"/>
                          <w:ind w:right="74"/>
                          <w:jc w:val="right"/>
                          <w:rPr>
                            <w:rFonts w:ascii="Times New Roman"/>
                            <w:sz w:val="13"/>
                          </w:rPr>
                        </w:pPr>
                        <w:r>
                          <w:rPr>
                            <w:rFonts w:ascii="Times New Roman"/>
                            <w:sz w:val="13"/>
                          </w:rPr>
                          <w:t>0.00</w:t>
                        </w:r>
                      </w:p>
                    </w:tc>
                    <w:tc>
                      <w:tcPr>
                        <w:tcW w:w="1116" w:type="dxa"/>
                      </w:tcPr>
                      <w:p>
                        <w:pPr>
                          <w:pStyle w:val="TableParagraph"/>
                          <w:spacing w:line="137" w:lineRule="exact" w:before="24"/>
                          <w:ind w:right="29"/>
                          <w:jc w:val="right"/>
                          <w:rPr>
                            <w:rFonts w:ascii="Times New Roman"/>
                            <w:sz w:val="13"/>
                          </w:rPr>
                        </w:pPr>
                        <w:r>
                          <w:rPr>
                            <w:rFonts w:ascii="Times New Roman"/>
                            <w:sz w:val="13"/>
                          </w:rPr>
                          <w:t>0.00%</w:t>
                        </w:r>
                      </w:p>
                    </w:tc>
                    <w:tc>
                      <w:tcPr>
                        <w:tcW w:w="1116" w:type="dxa"/>
                      </w:tcPr>
                      <w:p>
                        <w:pPr>
                          <w:pStyle w:val="TableParagraph"/>
                          <w:spacing w:line="137" w:lineRule="exact" w:before="24"/>
                          <w:ind w:right="74"/>
                          <w:jc w:val="right"/>
                          <w:rPr>
                            <w:rFonts w:ascii="Times New Roman"/>
                            <w:sz w:val="13"/>
                          </w:rPr>
                        </w:pPr>
                        <w:r>
                          <w:rPr>
                            <w:rFonts w:ascii="Times New Roman"/>
                            <w:sz w:val="13"/>
                          </w:rPr>
                          <w:t>0.00</w:t>
                        </w:r>
                      </w:p>
                    </w:tc>
                    <w:tc>
                      <w:tcPr>
                        <w:tcW w:w="1116" w:type="dxa"/>
                      </w:tcPr>
                      <w:p>
                        <w:pPr>
                          <w:pStyle w:val="TableParagraph"/>
                          <w:spacing w:line="137" w:lineRule="exact" w:before="24"/>
                          <w:ind w:right="29"/>
                          <w:jc w:val="right"/>
                          <w:rPr>
                            <w:rFonts w:ascii="Times New Roman"/>
                            <w:sz w:val="13"/>
                          </w:rPr>
                        </w:pPr>
                        <w:r>
                          <w:rPr>
                            <w:rFonts w:ascii="Times New Roman"/>
                            <w:sz w:val="13"/>
                          </w:rPr>
                          <w:t>0.00%</w:t>
                        </w:r>
                      </w:p>
                    </w:tc>
                    <w:tc>
                      <w:tcPr>
                        <w:tcW w:w="1116" w:type="dxa"/>
                      </w:tcPr>
                      <w:p>
                        <w:pPr>
                          <w:pStyle w:val="TableParagraph"/>
                          <w:rPr>
                            <w:rFonts w:ascii="Times New Roman"/>
                            <w:sz w:val="12"/>
                          </w:rPr>
                        </w:pPr>
                      </w:p>
                    </w:tc>
                  </w:tr>
                  <w:tr>
                    <w:trPr>
                      <w:trHeight w:val="201" w:hRule="atLeast"/>
                    </w:trPr>
                    <w:tc>
                      <w:tcPr>
                        <w:tcW w:w="3520" w:type="dxa"/>
                      </w:tcPr>
                      <w:p>
                        <w:pPr>
                          <w:pStyle w:val="TableParagraph"/>
                          <w:spacing w:line="137" w:lineRule="exact" w:before="44"/>
                          <w:ind w:left="33"/>
                          <w:rPr>
                            <w:rFonts w:ascii="Times New Roman"/>
                            <w:sz w:val="13"/>
                          </w:rPr>
                        </w:pPr>
                        <w:r>
                          <w:rPr>
                            <w:rFonts w:ascii="Times New Roman"/>
                            <w:w w:val="105"/>
                            <w:sz w:val="13"/>
                          </w:rPr>
                          <w:t>10. Other Adjustments (Explain in Section F below)</w:t>
                        </w:r>
                      </w:p>
                    </w:tc>
                    <w:tc>
                      <w:tcPr>
                        <w:tcW w:w="1565" w:type="dxa"/>
                      </w:tcPr>
                      <w:p>
                        <w:pPr>
                          <w:pStyle w:val="TableParagraph"/>
                          <w:rPr>
                            <w:rFonts w:ascii="Times New Roman"/>
                            <w:sz w:val="12"/>
                          </w:rPr>
                        </w:pPr>
                      </w:p>
                    </w:tc>
                    <w:tc>
                      <w:tcPr>
                        <w:tcW w:w="1147" w:type="dxa"/>
                      </w:tcPr>
                      <w:p>
                        <w:pPr>
                          <w:pStyle w:val="TableParagraph"/>
                          <w:rPr>
                            <w:rFonts w:ascii="Times New Roman"/>
                            <w:sz w:val="12"/>
                          </w:rPr>
                        </w:pPr>
                      </w:p>
                    </w:tc>
                    <w:tc>
                      <w:tcPr>
                        <w:tcW w:w="1116" w:type="dxa"/>
                      </w:tcPr>
                      <w:p>
                        <w:pPr>
                          <w:pStyle w:val="TableParagraph"/>
                          <w:rPr>
                            <w:rFonts w:ascii="Times New Roman"/>
                            <w:sz w:val="12"/>
                          </w:rPr>
                        </w:pPr>
                      </w:p>
                    </w:tc>
                    <w:tc>
                      <w:tcPr>
                        <w:tcW w:w="1116" w:type="dxa"/>
                      </w:tcPr>
                      <w:p>
                        <w:pPr>
                          <w:pStyle w:val="TableParagraph"/>
                          <w:spacing w:line="137" w:lineRule="exact" w:before="44"/>
                          <w:ind w:right="74"/>
                          <w:jc w:val="right"/>
                          <w:rPr>
                            <w:rFonts w:ascii="Times New Roman"/>
                            <w:sz w:val="13"/>
                          </w:rPr>
                        </w:pPr>
                        <w:r>
                          <w:rPr>
                            <w:rFonts w:ascii="Times New Roman"/>
                            <w:sz w:val="13"/>
                          </w:rPr>
                          <w:t>0.00</w:t>
                        </w:r>
                      </w:p>
                    </w:tc>
                    <w:tc>
                      <w:tcPr>
                        <w:tcW w:w="1116" w:type="dxa"/>
                        <w:shd w:val="clear" w:color="auto" w:fill="BFBFBF"/>
                      </w:tcPr>
                      <w:p>
                        <w:pPr>
                          <w:pStyle w:val="TableParagraph"/>
                          <w:rPr>
                            <w:rFonts w:ascii="Times New Roman"/>
                            <w:sz w:val="12"/>
                          </w:rPr>
                        </w:pPr>
                      </w:p>
                    </w:tc>
                    <w:tc>
                      <w:tcPr>
                        <w:tcW w:w="1116" w:type="dxa"/>
                      </w:tcPr>
                      <w:p>
                        <w:pPr>
                          <w:pStyle w:val="TableParagraph"/>
                          <w:rPr>
                            <w:rFonts w:ascii="Times New Roman"/>
                            <w:sz w:val="12"/>
                          </w:rPr>
                        </w:pPr>
                      </w:p>
                    </w:tc>
                  </w:tr>
                  <w:tr>
                    <w:trPr>
                      <w:trHeight w:val="201" w:hRule="atLeast"/>
                    </w:trPr>
                    <w:tc>
                      <w:tcPr>
                        <w:tcW w:w="3520" w:type="dxa"/>
                      </w:tcPr>
                      <w:p>
                        <w:pPr>
                          <w:pStyle w:val="TableParagraph"/>
                          <w:spacing w:line="137" w:lineRule="exact" w:before="44"/>
                          <w:ind w:left="33"/>
                          <w:rPr>
                            <w:rFonts w:ascii="Times New Roman"/>
                            <w:sz w:val="13"/>
                          </w:rPr>
                        </w:pPr>
                        <w:r>
                          <w:rPr>
                            <w:rFonts w:ascii="Times New Roman"/>
                            <w:w w:val="105"/>
                            <w:sz w:val="13"/>
                          </w:rPr>
                          <w:t>11. Total (Sum lines B1 thru B10)</w:t>
                        </w:r>
                      </w:p>
                    </w:tc>
                    <w:tc>
                      <w:tcPr>
                        <w:tcW w:w="1565" w:type="dxa"/>
                      </w:tcPr>
                      <w:p>
                        <w:pPr>
                          <w:pStyle w:val="TableParagraph"/>
                          <w:rPr>
                            <w:rFonts w:ascii="Times New Roman"/>
                            <w:sz w:val="12"/>
                          </w:rPr>
                        </w:pPr>
                      </w:p>
                    </w:tc>
                    <w:tc>
                      <w:tcPr>
                        <w:tcW w:w="1147" w:type="dxa"/>
                      </w:tcPr>
                      <w:p>
                        <w:pPr>
                          <w:pStyle w:val="TableParagraph"/>
                          <w:spacing w:line="137" w:lineRule="exact" w:before="44"/>
                          <w:ind w:right="75"/>
                          <w:jc w:val="right"/>
                          <w:rPr>
                            <w:rFonts w:ascii="Times New Roman"/>
                            <w:sz w:val="13"/>
                          </w:rPr>
                        </w:pPr>
                        <w:r>
                          <w:rPr>
                            <w:rFonts w:ascii="Times New Roman"/>
                            <w:sz w:val="13"/>
                          </w:rPr>
                          <w:t>652,693.00</w:t>
                        </w:r>
                      </w:p>
                    </w:tc>
                    <w:tc>
                      <w:tcPr>
                        <w:tcW w:w="1116" w:type="dxa"/>
                      </w:tcPr>
                      <w:p>
                        <w:pPr>
                          <w:pStyle w:val="TableParagraph"/>
                          <w:spacing w:line="137" w:lineRule="exact" w:before="44"/>
                          <w:ind w:right="30"/>
                          <w:jc w:val="right"/>
                          <w:rPr>
                            <w:rFonts w:ascii="Times New Roman"/>
                            <w:sz w:val="13"/>
                          </w:rPr>
                        </w:pPr>
                        <w:r>
                          <w:rPr>
                            <w:rFonts w:ascii="Times New Roman"/>
                            <w:sz w:val="13"/>
                          </w:rPr>
                          <w:t>-25.94%</w:t>
                        </w:r>
                      </w:p>
                    </w:tc>
                    <w:tc>
                      <w:tcPr>
                        <w:tcW w:w="1116" w:type="dxa"/>
                      </w:tcPr>
                      <w:p>
                        <w:pPr>
                          <w:pStyle w:val="TableParagraph"/>
                          <w:spacing w:line="137" w:lineRule="exact" w:before="44"/>
                          <w:ind w:right="75"/>
                          <w:jc w:val="right"/>
                          <w:rPr>
                            <w:rFonts w:ascii="Times New Roman"/>
                            <w:sz w:val="13"/>
                          </w:rPr>
                        </w:pPr>
                        <w:r>
                          <w:rPr>
                            <w:rFonts w:ascii="Times New Roman"/>
                            <w:sz w:val="13"/>
                          </w:rPr>
                          <w:t>483,384.00</w:t>
                        </w:r>
                      </w:p>
                    </w:tc>
                    <w:tc>
                      <w:tcPr>
                        <w:tcW w:w="1116" w:type="dxa"/>
                      </w:tcPr>
                      <w:p>
                        <w:pPr>
                          <w:pStyle w:val="TableParagraph"/>
                          <w:spacing w:line="137" w:lineRule="exact" w:before="44"/>
                          <w:ind w:right="29"/>
                          <w:jc w:val="right"/>
                          <w:rPr>
                            <w:rFonts w:ascii="Times New Roman"/>
                            <w:sz w:val="13"/>
                          </w:rPr>
                        </w:pPr>
                        <w:r>
                          <w:rPr>
                            <w:rFonts w:ascii="Times New Roman"/>
                            <w:sz w:val="13"/>
                          </w:rPr>
                          <w:t>1.24%</w:t>
                        </w:r>
                      </w:p>
                    </w:tc>
                    <w:tc>
                      <w:tcPr>
                        <w:tcW w:w="1116" w:type="dxa"/>
                      </w:tcPr>
                      <w:p>
                        <w:pPr>
                          <w:pStyle w:val="TableParagraph"/>
                          <w:spacing w:line="137" w:lineRule="exact" w:before="44"/>
                          <w:ind w:right="75"/>
                          <w:jc w:val="right"/>
                          <w:rPr>
                            <w:rFonts w:ascii="Times New Roman"/>
                            <w:sz w:val="13"/>
                          </w:rPr>
                        </w:pPr>
                        <w:r>
                          <w:rPr>
                            <w:rFonts w:ascii="Times New Roman"/>
                            <w:sz w:val="13"/>
                          </w:rPr>
                          <w:t>489,367.00</w:t>
                        </w:r>
                      </w:p>
                    </w:tc>
                  </w:tr>
                  <w:tr>
                    <w:trPr>
                      <w:trHeight w:val="221" w:hRule="atLeast"/>
                    </w:trPr>
                    <w:tc>
                      <w:tcPr>
                        <w:tcW w:w="3520" w:type="dxa"/>
                      </w:tcPr>
                      <w:p>
                        <w:pPr>
                          <w:pStyle w:val="TableParagraph"/>
                          <w:spacing w:before="44"/>
                          <w:ind w:left="33"/>
                          <w:rPr>
                            <w:rFonts w:ascii="Times New Roman"/>
                            <w:sz w:val="13"/>
                          </w:rPr>
                        </w:pPr>
                        <w:r>
                          <w:rPr>
                            <w:rFonts w:ascii="Times New Roman"/>
                            <w:w w:val="105"/>
                            <w:sz w:val="13"/>
                          </w:rPr>
                          <w:t>C. NET INCREASE (DECREASE) IN FUND BALANCE</w:t>
                        </w:r>
                      </w:p>
                    </w:tc>
                    <w:tc>
                      <w:tcPr>
                        <w:tcW w:w="1565" w:type="dxa"/>
                      </w:tcPr>
                      <w:p>
                        <w:pPr>
                          <w:pStyle w:val="TableParagraph"/>
                          <w:rPr>
                            <w:rFonts w:ascii="Times New Roman"/>
                            <w:sz w:val="12"/>
                          </w:rPr>
                        </w:pPr>
                      </w:p>
                    </w:tc>
                    <w:tc>
                      <w:tcPr>
                        <w:tcW w:w="1147" w:type="dxa"/>
                      </w:tcPr>
                      <w:p>
                        <w:pPr>
                          <w:pStyle w:val="TableParagraph"/>
                          <w:rPr>
                            <w:rFonts w:ascii="Times New Roman"/>
                            <w:sz w:val="12"/>
                          </w:rPr>
                        </w:pPr>
                      </w:p>
                    </w:tc>
                    <w:tc>
                      <w:tcPr>
                        <w:tcW w:w="1116" w:type="dxa"/>
                      </w:tcPr>
                      <w:p>
                        <w:pPr>
                          <w:pStyle w:val="TableParagraph"/>
                          <w:rPr>
                            <w:rFonts w:ascii="Times New Roman"/>
                            <w:sz w:val="12"/>
                          </w:rPr>
                        </w:pPr>
                      </w:p>
                    </w:tc>
                    <w:tc>
                      <w:tcPr>
                        <w:tcW w:w="1116" w:type="dxa"/>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tcPr>
                      <w:p>
                        <w:pPr>
                          <w:pStyle w:val="TableParagraph"/>
                          <w:rPr>
                            <w:rFonts w:ascii="Times New Roman"/>
                            <w:sz w:val="12"/>
                          </w:rPr>
                        </w:pPr>
                      </w:p>
                    </w:tc>
                  </w:tr>
                  <w:tr>
                    <w:trPr>
                      <w:trHeight w:val="221" w:hRule="atLeast"/>
                    </w:trPr>
                    <w:tc>
                      <w:tcPr>
                        <w:tcW w:w="3520" w:type="dxa"/>
                      </w:tcPr>
                      <w:p>
                        <w:pPr>
                          <w:pStyle w:val="TableParagraph"/>
                          <w:spacing w:before="24"/>
                          <w:ind w:left="67"/>
                          <w:rPr>
                            <w:rFonts w:ascii="Times New Roman"/>
                            <w:sz w:val="13"/>
                          </w:rPr>
                        </w:pPr>
                        <w:r>
                          <w:rPr>
                            <w:rFonts w:ascii="Times New Roman"/>
                            <w:w w:val="105"/>
                            <w:sz w:val="13"/>
                          </w:rPr>
                          <w:t>(Line A6 minus line B11)</w:t>
                        </w:r>
                      </w:p>
                    </w:tc>
                    <w:tc>
                      <w:tcPr>
                        <w:tcW w:w="1565" w:type="dxa"/>
                      </w:tcPr>
                      <w:p>
                        <w:pPr>
                          <w:pStyle w:val="TableParagraph"/>
                          <w:rPr>
                            <w:rFonts w:ascii="Times New Roman"/>
                            <w:sz w:val="12"/>
                          </w:rPr>
                        </w:pPr>
                      </w:p>
                    </w:tc>
                    <w:tc>
                      <w:tcPr>
                        <w:tcW w:w="1147" w:type="dxa"/>
                      </w:tcPr>
                      <w:p>
                        <w:pPr>
                          <w:pStyle w:val="TableParagraph"/>
                          <w:spacing w:before="24"/>
                          <w:ind w:right="30"/>
                          <w:jc w:val="right"/>
                          <w:rPr>
                            <w:rFonts w:ascii="Times New Roman"/>
                            <w:sz w:val="13"/>
                          </w:rPr>
                        </w:pPr>
                        <w:r>
                          <w:rPr>
                            <w:rFonts w:ascii="Times New Roman"/>
                            <w:sz w:val="13"/>
                          </w:rPr>
                          <w:t>(60,089.00)</w:t>
                        </w:r>
                      </w:p>
                    </w:tc>
                    <w:tc>
                      <w:tcPr>
                        <w:tcW w:w="1116" w:type="dxa"/>
                        <w:shd w:val="clear" w:color="auto" w:fill="BFBFBF"/>
                      </w:tcPr>
                      <w:p>
                        <w:pPr>
                          <w:pStyle w:val="TableParagraph"/>
                          <w:rPr>
                            <w:rFonts w:ascii="Times New Roman"/>
                            <w:sz w:val="12"/>
                          </w:rPr>
                        </w:pPr>
                      </w:p>
                    </w:tc>
                    <w:tc>
                      <w:tcPr>
                        <w:tcW w:w="1116" w:type="dxa"/>
                      </w:tcPr>
                      <w:p>
                        <w:pPr>
                          <w:pStyle w:val="TableParagraph"/>
                          <w:spacing w:before="24"/>
                          <w:ind w:right="30"/>
                          <w:jc w:val="right"/>
                          <w:rPr>
                            <w:rFonts w:ascii="Times New Roman"/>
                            <w:sz w:val="13"/>
                          </w:rPr>
                        </w:pPr>
                        <w:r>
                          <w:rPr>
                            <w:rFonts w:ascii="Times New Roman"/>
                            <w:sz w:val="13"/>
                          </w:rPr>
                          <w:t>(187.00)</w:t>
                        </w:r>
                      </w:p>
                    </w:tc>
                    <w:tc>
                      <w:tcPr>
                        <w:tcW w:w="1116" w:type="dxa"/>
                        <w:shd w:val="clear" w:color="auto" w:fill="BFBFBF"/>
                      </w:tcPr>
                      <w:p>
                        <w:pPr>
                          <w:pStyle w:val="TableParagraph"/>
                          <w:rPr>
                            <w:rFonts w:ascii="Times New Roman"/>
                            <w:sz w:val="12"/>
                          </w:rPr>
                        </w:pPr>
                      </w:p>
                    </w:tc>
                    <w:tc>
                      <w:tcPr>
                        <w:tcW w:w="1116" w:type="dxa"/>
                      </w:tcPr>
                      <w:p>
                        <w:pPr>
                          <w:pStyle w:val="TableParagraph"/>
                          <w:spacing w:before="24"/>
                          <w:ind w:right="74"/>
                          <w:jc w:val="right"/>
                          <w:rPr>
                            <w:rFonts w:ascii="Times New Roman"/>
                            <w:sz w:val="13"/>
                          </w:rPr>
                        </w:pPr>
                        <w:r>
                          <w:rPr>
                            <w:rFonts w:ascii="Times New Roman"/>
                            <w:sz w:val="13"/>
                          </w:rPr>
                          <w:t>2,281.00</w:t>
                        </w:r>
                      </w:p>
                    </w:tc>
                  </w:tr>
                  <w:tr>
                    <w:trPr>
                      <w:trHeight w:val="221" w:hRule="atLeast"/>
                    </w:trPr>
                    <w:tc>
                      <w:tcPr>
                        <w:tcW w:w="3520" w:type="dxa"/>
                      </w:tcPr>
                      <w:p>
                        <w:pPr>
                          <w:pStyle w:val="TableParagraph"/>
                          <w:spacing w:before="45"/>
                          <w:ind w:left="33"/>
                          <w:rPr>
                            <w:rFonts w:ascii="Times New Roman"/>
                            <w:sz w:val="13"/>
                          </w:rPr>
                        </w:pPr>
                        <w:r>
                          <w:rPr>
                            <w:rFonts w:ascii="Times New Roman"/>
                            <w:w w:val="105"/>
                            <w:sz w:val="13"/>
                          </w:rPr>
                          <w:t>D. FUND BALANCE</w:t>
                        </w:r>
                      </w:p>
                    </w:tc>
                    <w:tc>
                      <w:tcPr>
                        <w:tcW w:w="1565" w:type="dxa"/>
                      </w:tcPr>
                      <w:p>
                        <w:pPr>
                          <w:pStyle w:val="TableParagraph"/>
                          <w:rPr>
                            <w:rFonts w:ascii="Times New Roman"/>
                            <w:sz w:val="12"/>
                          </w:rPr>
                        </w:pPr>
                      </w:p>
                    </w:tc>
                    <w:tc>
                      <w:tcPr>
                        <w:tcW w:w="1147" w:type="dxa"/>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tcPr>
                      <w:p>
                        <w:pPr>
                          <w:pStyle w:val="TableParagraph"/>
                          <w:rPr>
                            <w:rFonts w:ascii="Times New Roman"/>
                            <w:sz w:val="12"/>
                          </w:rPr>
                        </w:pPr>
                      </w:p>
                    </w:tc>
                  </w:tr>
                  <w:tr>
                    <w:trPr>
                      <w:trHeight w:val="201" w:hRule="atLeast"/>
                    </w:trPr>
                    <w:tc>
                      <w:tcPr>
                        <w:tcW w:w="3520" w:type="dxa"/>
                      </w:tcPr>
                      <w:p>
                        <w:pPr>
                          <w:pStyle w:val="TableParagraph"/>
                          <w:spacing w:before="24"/>
                          <w:ind w:left="100"/>
                          <w:rPr>
                            <w:rFonts w:ascii="Times New Roman"/>
                            <w:sz w:val="13"/>
                          </w:rPr>
                        </w:pPr>
                        <w:r>
                          <w:rPr>
                            <w:rFonts w:ascii="Times New Roman"/>
                            <w:w w:val="105"/>
                            <w:sz w:val="13"/>
                          </w:rPr>
                          <w:t>1. Net Beginning Fund Balance (Form 01, line F1e)</w:t>
                        </w:r>
                      </w:p>
                    </w:tc>
                    <w:tc>
                      <w:tcPr>
                        <w:tcW w:w="1565" w:type="dxa"/>
                      </w:tcPr>
                      <w:p>
                        <w:pPr>
                          <w:pStyle w:val="TableParagraph"/>
                          <w:rPr>
                            <w:rFonts w:ascii="Times New Roman"/>
                            <w:sz w:val="12"/>
                          </w:rPr>
                        </w:pPr>
                      </w:p>
                    </w:tc>
                    <w:tc>
                      <w:tcPr>
                        <w:tcW w:w="1147" w:type="dxa"/>
                      </w:tcPr>
                      <w:p>
                        <w:pPr>
                          <w:pStyle w:val="TableParagraph"/>
                          <w:spacing w:before="24"/>
                          <w:ind w:right="75"/>
                          <w:jc w:val="right"/>
                          <w:rPr>
                            <w:rFonts w:ascii="Times New Roman"/>
                            <w:sz w:val="13"/>
                          </w:rPr>
                        </w:pPr>
                        <w:r>
                          <w:rPr>
                            <w:rFonts w:ascii="Times New Roman"/>
                            <w:sz w:val="13"/>
                          </w:rPr>
                          <w:t>85,379.00</w:t>
                        </w:r>
                      </w:p>
                    </w:tc>
                    <w:tc>
                      <w:tcPr>
                        <w:tcW w:w="1116" w:type="dxa"/>
                        <w:shd w:val="clear" w:color="auto" w:fill="BFBFBF"/>
                      </w:tcPr>
                      <w:p>
                        <w:pPr>
                          <w:pStyle w:val="TableParagraph"/>
                          <w:rPr>
                            <w:rFonts w:ascii="Times New Roman"/>
                            <w:sz w:val="12"/>
                          </w:rPr>
                        </w:pPr>
                      </w:p>
                    </w:tc>
                    <w:tc>
                      <w:tcPr>
                        <w:tcW w:w="1116" w:type="dxa"/>
                      </w:tcPr>
                      <w:p>
                        <w:pPr>
                          <w:pStyle w:val="TableParagraph"/>
                          <w:spacing w:before="24"/>
                          <w:ind w:right="75"/>
                          <w:jc w:val="right"/>
                          <w:rPr>
                            <w:rFonts w:ascii="Times New Roman"/>
                            <w:sz w:val="13"/>
                          </w:rPr>
                        </w:pPr>
                        <w:r>
                          <w:rPr>
                            <w:rFonts w:ascii="Times New Roman"/>
                            <w:sz w:val="13"/>
                          </w:rPr>
                          <w:t>25,290.00</w:t>
                        </w:r>
                      </w:p>
                    </w:tc>
                    <w:tc>
                      <w:tcPr>
                        <w:tcW w:w="1116" w:type="dxa"/>
                        <w:shd w:val="clear" w:color="auto" w:fill="BFBFBF"/>
                      </w:tcPr>
                      <w:p>
                        <w:pPr>
                          <w:pStyle w:val="TableParagraph"/>
                          <w:rPr>
                            <w:rFonts w:ascii="Times New Roman"/>
                            <w:sz w:val="12"/>
                          </w:rPr>
                        </w:pPr>
                      </w:p>
                    </w:tc>
                    <w:tc>
                      <w:tcPr>
                        <w:tcW w:w="1116" w:type="dxa"/>
                      </w:tcPr>
                      <w:p>
                        <w:pPr>
                          <w:pStyle w:val="TableParagraph"/>
                          <w:spacing w:before="24"/>
                          <w:ind w:right="75"/>
                          <w:jc w:val="right"/>
                          <w:rPr>
                            <w:rFonts w:ascii="Times New Roman"/>
                            <w:sz w:val="13"/>
                          </w:rPr>
                        </w:pPr>
                        <w:r>
                          <w:rPr>
                            <w:rFonts w:ascii="Times New Roman"/>
                            <w:sz w:val="13"/>
                          </w:rPr>
                          <w:t>25,103.00</w:t>
                        </w:r>
                      </w:p>
                    </w:tc>
                  </w:tr>
                  <w:tr>
                    <w:trPr>
                      <w:trHeight w:val="186" w:hRule="atLeast"/>
                    </w:trPr>
                    <w:tc>
                      <w:tcPr>
                        <w:tcW w:w="3520" w:type="dxa"/>
                      </w:tcPr>
                      <w:p>
                        <w:pPr>
                          <w:pStyle w:val="TableParagraph"/>
                          <w:spacing w:line="141" w:lineRule="exact" w:before="24"/>
                          <w:ind w:left="100"/>
                          <w:rPr>
                            <w:rFonts w:ascii="Times New Roman"/>
                            <w:sz w:val="13"/>
                          </w:rPr>
                        </w:pPr>
                        <w:r>
                          <w:rPr>
                            <w:rFonts w:ascii="Times New Roman"/>
                            <w:w w:val="105"/>
                            <w:sz w:val="13"/>
                          </w:rPr>
                          <w:t>2. Ending Fund Balance (Sum lines C and D1)</w:t>
                        </w:r>
                      </w:p>
                    </w:tc>
                    <w:tc>
                      <w:tcPr>
                        <w:tcW w:w="1565" w:type="dxa"/>
                      </w:tcPr>
                      <w:p>
                        <w:pPr>
                          <w:pStyle w:val="TableParagraph"/>
                          <w:rPr>
                            <w:rFonts w:ascii="Times New Roman"/>
                            <w:sz w:val="12"/>
                          </w:rPr>
                        </w:pPr>
                      </w:p>
                    </w:tc>
                    <w:tc>
                      <w:tcPr>
                        <w:tcW w:w="1147" w:type="dxa"/>
                      </w:tcPr>
                      <w:p>
                        <w:pPr>
                          <w:pStyle w:val="TableParagraph"/>
                          <w:spacing w:line="141" w:lineRule="exact" w:before="24"/>
                          <w:ind w:right="75"/>
                          <w:jc w:val="right"/>
                          <w:rPr>
                            <w:rFonts w:ascii="Times New Roman"/>
                            <w:sz w:val="13"/>
                          </w:rPr>
                        </w:pPr>
                        <w:r>
                          <w:rPr>
                            <w:rFonts w:ascii="Times New Roman"/>
                            <w:sz w:val="13"/>
                          </w:rPr>
                          <w:t>25,290.00</w:t>
                        </w:r>
                      </w:p>
                    </w:tc>
                    <w:tc>
                      <w:tcPr>
                        <w:tcW w:w="1116" w:type="dxa"/>
                        <w:shd w:val="clear" w:color="auto" w:fill="BFBFBF"/>
                      </w:tcPr>
                      <w:p>
                        <w:pPr>
                          <w:pStyle w:val="TableParagraph"/>
                          <w:rPr>
                            <w:rFonts w:ascii="Times New Roman"/>
                            <w:sz w:val="12"/>
                          </w:rPr>
                        </w:pPr>
                      </w:p>
                    </w:tc>
                    <w:tc>
                      <w:tcPr>
                        <w:tcW w:w="1116" w:type="dxa"/>
                      </w:tcPr>
                      <w:p>
                        <w:pPr>
                          <w:pStyle w:val="TableParagraph"/>
                          <w:spacing w:line="141" w:lineRule="exact" w:before="24"/>
                          <w:ind w:right="75"/>
                          <w:jc w:val="right"/>
                          <w:rPr>
                            <w:rFonts w:ascii="Times New Roman"/>
                            <w:sz w:val="13"/>
                          </w:rPr>
                        </w:pPr>
                        <w:r>
                          <w:rPr>
                            <w:rFonts w:ascii="Times New Roman"/>
                            <w:sz w:val="13"/>
                          </w:rPr>
                          <w:t>25,103.00</w:t>
                        </w:r>
                      </w:p>
                    </w:tc>
                    <w:tc>
                      <w:tcPr>
                        <w:tcW w:w="1116" w:type="dxa"/>
                        <w:shd w:val="clear" w:color="auto" w:fill="BFBFBF"/>
                      </w:tcPr>
                      <w:p>
                        <w:pPr>
                          <w:pStyle w:val="TableParagraph"/>
                          <w:rPr>
                            <w:rFonts w:ascii="Times New Roman"/>
                            <w:sz w:val="12"/>
                          </w:rPr>
                        </w:pPr>
                      </w:p>
                    </w:tc>
                    <w:tc>
                      <w:tcPr>
                        <w:tcW w:w="1116" w:type="dxa"/>
                      </w:tcPr>
                      <w:p>
                        <w:pPr>
                          <w:pStyle w:val="TableParagraph"/>
                          <w:spacing w:line="141" w:lineRule="exact" w:before="24"/>
                          <w:ind w:right="75"/>
                          <w:jc w:val="right"/>
                          <w:rPr>
                            <w:rFonts w:ascii="Times New Roman"/>
                            <w:sz w:val="13"/>
                          </w:rPr>
                        </w:pPr>
                        <w:r>
                          <w:rPr>
                            <w:rFonts w:ascii="Times New Roman"/>
                            <w:sz w:val="13"/>
                          </w:rPr>
                          <w:t>27,384.00</w:t>
                        </w:r>
                      </w:p>
                    </w:tc>
                  </w:tr>
                  <w:tr>
                    <w:trPr>
                      <w:trHeight w:val="170" w:hRule="atLeast"/>
                    </w:trPr>
                    <w:tc>
                      <w:tcPr>
                        <w:tcW w:w="3520" w:type="dxa"/>
                      </w:tcPr>
                      <w:p>
                        <w:pPr>
                          <w:pStyle w:val="TableParagraph"/>
                          <w:spacing w:line="141" w:lineRule="exact" w:before="9"/>
                          <w:ind w:left="100"/>
                          <w:rPr>
                            <w:rFonts w:ascii="Times New Roman"/>
                            <w:sz w:val="13"/>
                          </w:rPr>
                        </w:pPr>
                        <w:r>
                          <w:rPr>
                            <w:rFonts w:ascii="Times New Roman"/>
                            <w:w w:val="105"/>
                            <w:sz w:val="13"/>
                          </w:rPr>
                          <w:t>3. Components of Ending Fund Balance</w:t>
                        </w:r>
                      </w:p>
                    </w:tc>
                    <w:tc>
                      <w:tcPr>
                        <w:tcW w:w="1565" w:type="dxa"/>
                      </w:tcPr>
                      <w:p>
                        <w:pPr>
                          <w:pStyle w:val="TableParagraph"/>
                          <w:rPr>
                            <w:rFonts w:ascii="Times New Roman"/>
                            <w:sz w:val="10"/>
                          </w:rPr>
                        </w:pPr>
                      </w:p>
                    </w:tc>
                    <w:tc>
                      <w:tcPr>
                        <w:tcW w:w="1147" w:type="dxa"/>
                      </w:tcPr>
                      <w:p>
                        <w:pPr>
                          <w:pStyle w:val="TableParagraph"/>
                          <w:rPr>
                            <w:rFonts w:ascii="Times New Roman"/>
                            <w:sz w:val="10"/>
                          </w:rPr>
                        </w:pPr>
                      </w:p>
                    </w:tc>
                    <w:tc>
                      <w:tcPr>
                        <w:tcW w:w="1116" w:type="dxa"/>
                        <w:shd w:val="clear" w:color="auto" w:fill="BFBFBF"/>
                      </w:tcPr>
                      <w:p>
                        <w:pPr>
                          <w:pStyle w:val="TableParagraph"/>
                          <w:rPr>
                            <w:rFonts w:ascii="Times New Roman"/>
                            <w:sz w:val="10"/>
                          </w:rPr>
                        </w:pPr>
                      </w:p>
                    </w:tc>
                    <w:tc>
                      <w:tcPr>
                        <w:tcW w:w="1116" w:type="dxa"/>
                      </w:tcPr>
                      <w:p>
                        <w:pPr>
                          <w:pStyle w:val="TableParagraph"/>
                          <w:rPr>
                            <w:rFonts w:ascii="Times New Roman"/>
                            <w:sz w:val="10"/>
                          </w:rPr>
                        </w:pPr>
                      </w:p>
                    </w:tc>
                    <w:tc>
                      <w:tcPr>
                        <w:tcW w:w="1116" w:type="dxa"/>
                        <w:shd w:val="clear" w:color="auto" w:fill="BFBFBF"/>
                      </w:tcPr>
                      <w:p>
                        <w:pPr>
                          <w:pStyle w:val="TableParagraph"/>
                          <w:rPr>
                            <w:rFonts w:ascii="Times New Roman"/>
                            <w:sz w:val="10"/>
                          </w:rPr>
                        </w:pPr>
                      </w:p>
                    </w:tc>
                    <w:tc>
                      <w:tcPr>
                        <w:tcW w:w="1116" w:type="dxa"/>
                      </w:tcPr>
                      <w:p>
                        <w:pPr>
                          <w:pStyle w:val="TableParagraph"/>
                          <w:rPr>
                            <w:rFonts w:ascii="Times New Roman"/>
                            <w:sz w:val="10"/>
                          </w:rPr>
                        </w:pPr>
                      </w:p>
                    </w:tc>
                  </w:tr>
                  <w:tr>
                    <w:trPr>
                      <w:trHeight w:val="185" w:hRule="atLeast"/>
                    </w:trPr>
                    <w:tc>
                      <w:tcPr>
                        <w:tcW w:w="3520" w:type="dxa"/>
                      </w:tcPr>
                      <w:p>
                        <w:pPr>
                          <w:pStyle w:val="TableParagraph"/>
                          <w:spacing w:before="9"/>
                          <w:ind w:left="234"/>
                          <w:rPr>
                            <w:rFonts w:ascii="Times New Roman"/>
                            <w:sz w:val="13"/>
                          </w:rPr>
                        </w:pPr>
                        <w:r>
                          <w:rPr>
                            <w:rFonts w:ascii="Times New Roman"/>
                            <w:w w:val="105"/>
                            <w:sz w:val="13"/>
                          </w:rPr>
                          <w:t>a. Nonspendable</w:t>
                        </w:r>
                      </w:p>
                    </w:tc>
                    <w:tc>
                      <w:tcPr>
                        <w:tcW w:w="1565" w:type="dxa"/>
                      </w:tcPr>
                      <w:p>
                        <w:pPr>
                          <w:pStyle w:val="TableParagraph"/>
                          <w:spacing w:before="9"/>
                          <w:ind w:left="636" w:right="296"/>
                          <w:jc w:val="center"/>
                          <w:rPr>
                            <w:rFonts w:ascii="Times New Roman"/>
                            <w:sz w:val="13"/>
                          </w:rPr>
                        </w:pPr>
                        <w:r>
                          <w:rPr>
                            <w:rFonts w:ascii="Times New Roman"/>
                            <w:w w:val="105"/>
                            <w:sz w:val="13"/>
                          </w:rPr>
                          <w:t>9710-9719</w:t>
                        </w:r>
                      </w:p>
                    </w:tc>
                    <w:tc>
                      <w:tcPr>
                        <w:tcW w:w="1147" w:type="dxa"/>
                      </w:tcPr>
                      <w:p>
                        <w:pPr>
                          <w:pStyle w:val="TableParagraph"/>
                          <w:spacing w:before="9"/>
                          <w:ind w:right="74"/>
                          <w:jc w:val="right"/>
                          <w:rPr>
                            <w:rFonts w:ascii="Times New Roman"/>
                            <w:sz w:val="13"/>
                          </w:rPr>
                        </w:pPr>
                        <w:r>
                          <w:rPr>
                            <w:rFonts w:ascii="Times New Roman"/>
                            <w:sz w:val="13"/>
                          </w:rPr>
                          <w:t>0.00</w:t>
                        </w:r>
                      </w:p>
                    </w:tc>
                    <w:tc>
                      <w:tcPr>
                        <w:tcW w:w="1116" w:type="dxa"/>
                        <w:shd w:val="clear" w:color="auto" w:fill="BFBFBF"/>
                      </w:tcPr>
                      <w:p>
                        <w:pPr>
                          <w:pStyle w:val="TableParagraph"/>
                          <w:rPr>
                            <w:rFonts w:ascii="Times New Roman"/>
                            <w:sz w:val="12"/>
                          </w:rPr>
                        </w:pPr>
                      </w:p>
                    </w:tc>
                    <w:tc>
                      <w:tcPr>
                        <w:tcW w:w="1116" w:type="dxa"/>
                      </w:tcPr>
                      <w:p>
                        <w:pPr>
                          <w:pStyle w:val="TableParagraph"/>
                          <w:spacing w:before="9"/>
                          <w:ind w:right="74"/>
                          <w:jc w:val="right"/>
                          <w:rPr>
                            <w:rFonts w:ascii="Times New Roman"/>
                            <w:sz w:val="13"/>
                          </w:rPr>
                        </w:pPr>
                        <w:r>
                          <w:rPr>
                            <w:rFonts w:ascii="Times New Roman"/>
                            <w:sz w:val="13"/>
                          </w:rPr>
                          <w:t>0.00</w:t>
                        </w:r>
                      </w:p>
                    </w:tc>
                    <w:tc>
                      <w:tcPr>
                        <w:tcW w:w="1116" w:type="dxa"/>
                        <w:shd w:val="clear" w:color="auto" w:fill="BFBFBF"/>
                      </w:tcPr>
                      <w:p>
                        <w:pPr>
                          <w:pStyle w:val="TableParagraph"/>
                          <w:rPr>
                            <w:rFonts w:ascii="Times New Roman"/>
                            <w:sz w:val="12"/>
                          </w:rPr>
                        </w:pPr>
                      </w:p>
                    </w:tc>
                    <w:tc>
                      <w:tcPr>
                        <w:tcW w:w="1116" w:type="dxa"/>
                      </w:tcPr>
                      <w:p>
                        <w:pPr>
                          <w:pStyle w:val="TableParagraph"/>
                          <w:spacing w:before="9"/>
                          <w:ind w:right="74"/>
                          <w:jc w:val="right"/>
                          <w:rPr>
                            <w:rFonts w:ascii="Times New Roman"/>
                            <w:sz w:val="13"/>
                          </w:rPr>
                        </w:pPr>
                        <w:r>
                          <w:rPr>
                            <w:rFonts w:ascii="Times New Roman"/>
                            <w:sz w:val="13"/>
                          </w:rPr>
                          <w:t>0.00</w:t>
                        </w:r>
                      </w:p>
                    </w:tc>
                  </w:tr>
                  <w:tr>
                    <w:trPr>
                      <w:trHeight w:val="201" w:hRule="atLeast"/>
                    </w:trPr>
                    <w:tc>
                      <w:tcPr>
                        <w:tcW w:w="3520" w:type="dxa"/>
                      </w:tcPr>
                      <w:p>
                        <w:pPr>
                          <w:pStyle w:val="TableParagraph"/>
                          <w:spacing w:before="24"/>
                          <w:ind w:left="234"/>
                          <w:rPr>
                            <w:rFonts w:ascii="Times New Roman"/>
                            <w:sz w:val="13"/>
                          </w:rPr>
                        </w:pPr>
                        <w:r>
                          <w:rPr>
                            <w:rFonts w:ascii="Times New Roman"/>
                            <w:w w:val="105"/>
                            <w:sz w:val="13"/>
                          </w:rPr>
                          <w:t>b. Restricted</w:t>
                        </w:r>
                      </w:p>
                    </w:tc>
                    <w:tc>
                      <w:tcPr>
                        <w:tcW w:w="1565" w:type="dxa"/>
                      </w:tcPr>
                      <w:p>
                        <w:pPr>
                          <w:pStyle w:val="TableParagraph"/>
                          <w:spacing w:before="24"/>
                          <w:ind w:left="636" w:right="295"/>
                          <w:jc w:val="center"/>
                          <w:rPr>
                            <w:rFonts w:ascii="Times New Roman"/>
                            <w:sz w:val="13"/>
                          </w:rPr>
                        </w:pPr>
                        <w:r>
                          <w:rPr>
                            <w:rFonts w:ascii="Times New Roman"/>
                            <w:w w:val="105"/>
                            <w:sz w:val="13"/>
                          </w:rPr>
                          <w:t>9740</w:t>
                        </w:r>
                      </w:p>
                    </w:tc>
                    <w:tc>
                      <w:tcPr>
                        <w:tcW w:w="1147" w:type="dxa"/>
                      </w:tcPr>
                      <w:p>
                        <w:pPr>
                          <w:pStyle w:val="TableParagraph"/>
                          <w:spacing w:before="24"/>
                          <w:ind w:right="75"/>
                          <w:jc w:val="right"/>
                          <w:rPr>
                            <w:rFonts w:ascii="Times New Roman"/>
                            <w:sz w:val="13"/>
                          </w:rPr>
                        </w:pPr>
                        <w:r>
                          <w:rPr>
                            <w:rFonts w:ascii="Times New Roman"/>
                            <w:sz w:val="13"/>
                          </w:rPr>
                          <w:t>25,290.00</w:t>
                        </w:r>
                      </w:p>
                    </w:tc>
                    <w:tc>
                      <w:tcPr>
                        <w:tcW w:w="1116" w:type="dxa"/>
                        <w:shd w:val="clear" w:color="auto" w:fill="BFBFBF"/>
                      </w:tcPr>
                      <w:p>
                        <w:pPr>
                          <w:pStyle w:val="TableParagraph"/>
                          <w:rPr>
                            <w:rFonts w:ascii="Times New Roman"/>
                            <w:sz w:val="12"/>
                          </w:rPr>
                        </w:pPr>
                      </w:p>
                    </w:tc>
                    <w:tc>
                      <w:tcPr>
                        <w:tcW w:w="1116" w:type="dxa"/>
                      </w:tcPr>
                      <w:p>
                        <w:pPr>
                          <w:pStyle w:val="TableParagraph"/>
                          <w:spacing w:before="24"/>
                          <w:ind w:right="75"/>
                          <w:jc w:val="right"/>
                          <w:rPr>
                            <w:rFonts w:ascii="Times New Roman"/>
                            <w:sz w:val="13"/>
                          </w:rPr>
                        </w:pPr>
                        <w:r>
                          <w:rPr>
                            <w:rFonts w:ascii="Times New Roman"/>
                            <w:sz w:val="13"/>
                          </w:rPr>
                          <w:t>25,103.00</w:t>
                        </w:r>
                      </w:p>
                    </w:tc>
                    <w:tc>
                      <w:tcPr>
                        <w:tcW w:w="1116" w:type="dxa"/>
                        <w:shd w:val="clear" w:color="auto" w:fill="BFBFBF"/>
                      </w:tcPr>
                      <w:p>
                        <w:pPr>
                          <w:pStyle w:val="TableParagraph"/>
                          <w:rPr>
                            <w:rFonts w:ascii="Times New Roman"/>
                            <w:sz w:val="12"/>
                          </w:rPr>
                        </w:pPr>
                      </w:p>
                    </w:tc>
                    <w:tc>
                      <w:tcPr>
                        <w:tcW w:w="1116" w:type="dxa"/>
                      </w:tcPr>
                      <w:p>
                        <w:pPr>
                          <w:pStyle w:val="TableParagraph"/>
                          <w:spacing w:before="24"/>
                          <w:ind w:right="75"/>
                          <w:jc w:val="right"/>
                          <w:rPr>
                            <w:rFonts w:ascii="Times New Roman"/>
                            <w:sz w:val="13"/>
                          </w:rPr>
                        </w:pPr>
                        <w:r>
                          <w:rPr>
                            <w:rFonts w:ascii="Times New Roman"/>
                            <w:sz w:val="13"/>
                          </w:rPr>
                          <w:t>27,384.00</w:t>
                        </w:r>
                      </w:p>
                    </w:tc>
                  </w:tr>
                  <w:tr>
                    <w:trPr>
                      <w:trHeight w:val="201" w:hRule="atLeast"/>
                    </w:trPr>
                    <w:tc>
                      <w:tcPr>
                        <w:tcW w:w="3520" w:type="dxa"/>
                      </w:tcPr>
                      <w:p>
                        <w:pPr>
                          <w:pStyle w:val="TableParagraph"/>
                          <w:spacing w:before="24"/>
                          <w:ind w:left="234"/>
                          <w:rPr>
                            <w:rFonts w:ascii="Times New Roman"/>
                            <w:sz w:val="13"/>
                          </w:rPr>
                        </w:pPr>
                        <w:r>
                          <w:rPr>
                            <w:rFonts w:ascii="Times New Roman"/>
                            <w:w w:val="105"/>
                            <w:sz w:val="13"/>
                          </w:rPr>
                          <w:t>c. Committed</w:t>
                        </w:r>
                      </w:p>
                    </w:tc>
                    <w:tc>
                      <w:tcPr>
                        <w:tcW w:w="1565" w:type="dxa"/>
                      </w:tcPr>
                      <w:p>
                        <w:pPr>
                          <w:pStyle w:val="TableParagraph"/>
                          <w:rPr>
                            <w:rFonts w:ascii="Times New Roman"/>
                            <w:sz w:val="12"/>
                          </w:rPr>
                        </w:pPr>
                      </w:p>
                    </w:tc>
                    <w:tc>
                      <w:tcPr>
                        <w:tcW w:w="1147" w:type="dxa"/>
                        <w:shd w:val="clear" w:color="auto" w:fill="BFBFBF"/>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tcPr>
                      <w:p>
                        <w:pPr>
                          <w:pStyle w:val="TableParagraph"/>
                          <w:rPr>
                            <w:rFonts w:ascii="Times New Roman"/>
                            <w:sz w:val="12"/>
                          </w:rPr>
                        </w:pPr>
                      </w:p>
                    </w:tc>
                  </w:tr>
                  <w:tr>
                    <w:trPr>
                      <w:trHeight w:val="201" w:hRule="atLeast"/>
                    </w:trPr>
                    <w:tc>
                      <w:tcPr>
                        <w:tcW w:w="3520" w:type="dxa"/>
                      </w:tcPr>
                      <w:p>
                        <w:pPr>
                          <w:pStyle w:val="TableParagraph"/>
                          <w:spacing w:before="24"/>
                          <w:ind w:left="368"/>
                          <w:rPr>
                            <w:rFonts w:ascii="Times New Roman"/>
                            <w:sz w:val="13"/>
                          </w:rPr>
                        </w:pPr>
                        <w:r>
                          <w:rPr>
                            <w:rFonts w:ascii="Times New Roman"/>
                            <w:w w:val="105"/>
                            <w:sz w:val="13"/>
                          </w:rPr>
                          <w:t>1. Stabilization Arrangements</w:t>
                        </w:r>
                      </w:p>
                    </w:tc>
                    <w:tc>
                      <w:tcPr>
                        <w:tcW w:w="1565" w:type="dxa"/>
                      </w:tcPr>
                      <w:p>
                        <w:pPr>
                          <w:pStyle w:val="TableParagraph"/>
                          <w:spacing w:before="24"/>
                          <w:ind w:left="636" w:right="295"/>
                          <w:jc w:val="center"/>
                          <w:rPr>
                            <w:rFonts w:ascii="Times New Roman"/>
                            <w:sz w:val="13"/>
                          </w:rPr>
                        </w:pPr>
                        <w:r>
                          <w:rPr>
                            <w:rFonts w:ascii="Times New Roman"/>
                            <w:w w:val="105"/>
                            <w:sz w:val="13"/>
                          </w:rPr>
                          <w:t>9750</w:t>
                        </w:r>
                      </w:p>
                    </w:tc>
                    <w:tc>
                      <w:tcPr>
                        <w:tcW w:w="1147" w:type="dxa"/>
                        <w:shd w:val="clear" w:color="auto" w:fill="BFBFBF"/>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r>
                  <w:tr>
                    <w:trPr>
                      <w:trHeight w:val="201" w:hRule="atLeast"/>
                    </w:trPr>
                    <w:tc>
                      <w:tcPr>
                        <w:tcW w:w="3520" w:type="dxa"/>
                      </w:tcPr>
                      <w:p>
                        <w:pPr>
                          <w:pStyle w:val="TableParagraph"/>
                          <w:spacing w:before="24"/>
                          <w:ind w:left="368"/>
                          <w:rPr>
                            <w:rFonts w:ascii="Times New Roman"/>
                            <w:sz w:val="13"/>
                          </w:rPr>
                        </w:pPr>
                        <w:r>
                          <w:rPr>
                            <w:rFonts w:ascii="Times New Roman"/>
                            <w:w w:val="105"/>
                            <w:sz w:val="13"/>
                          </w:rPr>
                          <w:t>2. Other Commitments</w:t>
                        </w:r>
                      </w:p>
                    </w:tc>
                    <w:tc>
                      <w:tcPr>
                        <w:tcW w:w="1565" w:type="dxa"/>
                      </w:tcPr>
                      <w:p>
                        <w:pPr>
                          <w:pStyle w:val="TableParagraph"/>
                          <w:spacing w:before="24"/>
                          <w:ind w:left="636" w:right="295"/>
                          <w:jc w:val="center"/>
                          <w:rPr>
                            <w:rFonts w:ascii="Times New Roman"/>
                            <w:sz w:val="13"/>
                          </w:rPr>
                        </w:pPr>
                        <w:r>
                          <w:rPr>
                            <w:rFonts w:ascii="Times New Roman"/>
                            <w:w w:val="105"/>
                            <w:sz w:val="13"/>
                          </w:rPr>
                          <w:t>9760</w:t>
                        </w:r>
                      </w:p>
                    </w:tc>
                    <w:tc>
                      <w:tcPr>
                        <w:tcW w:w="1147" w:type="dxa"/>
                        <w:shd w:val="clear" w:color="auto" w:fill="BFBFBF"/>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r>
                  <w:tr>
                    <w:trPr>
                      <w:trHeight w:val="201" w:hRule="atLeast"/>
                    </w:trPr>
                    <w:tc>
                      <w:tcPr>
                        <w:tcW w:w="3520" w:type="dxa"/>
                      </w:tcPr>
                      <w:p>
                        <w:pPr>
                          <w:pStyle w:val="TableParagraph"/>
                          <w:spacing w:before="24"/>
                          <w:ind w:left="234"/>
                          <w:rPr>
                            <w:rFonts w:ascii="Times New Roman"/>
                            <w:sz w:val="13"/>
                          </w:rPr>
                        </w:pPr>
                        <w:r>
                          <w:rPr>
                            <w:rFonts w:ascii="Times New Roman"/>
                            <w:w w:val="105"/>
                            <w:sz w:val="13"/>
                          </w:rPr>
                          <w:t>d. Assigned</w:t>
                        </w:r>
                      </w:p>
                    </w:tc>
                    <w:tc>
                      <w:tcPr>
                        <w:tcW w:w="1565" w:type="dxa"/>
                      </w:tcPr>
                      <w:p>
                        <w:pPr>
                          <w:pStyle w:val="TableParagraph"/>
                          <w:spacing w:before="24"/>
                          <w:ind w:left="636" w:right="295"/>
                          <w:jc w:val="center"/>
                          <w:rPr>
                            <w:rFonts w:ascii="Times New Roman"/>
                            <w:sz w:val="13"/>
                          </w:rPr>
                        </w:pPr>
                        <w:r>
                          <w:rPr>
                            <w:rFonts w:ascii="Times New Roman"/>
                            <w:w w:val="105"/>
                            <w:sz w:val="13"/>
                          </w:rPr>
                          <w:t>9780</w:t>
                        </w:r>
                      </w:p>
                    </w:tc>
                    <w:tc>
                      <w:tcPr>
                        <w:tcW w:w="1147" w:type="dxa"/>
                        <w:shd w:val="clear" w:color="auto" w:fill="BFBFBF"/>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r>
                  <w:tr>
                    <w:trPr>
                      <w:trHeight w:val="201" w:hRule="atLeast"/>
                    </w:trPr>
                    <w:tc>
                      <w:tcPr>
                        <w:tcW w:w="3520" w:type="dxa"/>
                      </w:tcPr>
                      <w:p>
                        <w:pPr>
                          <w:pStyle w:val="TableParagraph"/>
                          <w:spacing w:before="24"/>
                          <w:ind w:left="234"/>
                          <w:rPr>
                            <w:rFonts w:ascii="Times New Roman"/>
                            <w:sz w:val="13"/>
                          </w:rPr>
                        </w:pPr>
                        <w:r>
                          <w:rPr>
                            <w:rFonts w:ascii="Times New Roman"/>
                            <w:w w:val="105"/>
                            <w:sz w:val="13"/>
                          </w:rPr>
                          <w:t>e. Unassigned/Unappropriated</w:t>
                        </w:r>
                      </w:p>
                    </w:tc>
                    <w:tc>
                      <w:tcPr>
                        <w:tcW w:w="1565" w:type="dxa"/>
                      </w:tcPr>
                      <w:p>
                        <w:pPr>
                          <w:pStyle w:val="TableParagraph"/>
                          <w:rPr>
                            <w:rFonts w:ascii="Times New Roman"/>
                            <w:sz w:val="12"/>
                          </w:rPr>
                        </w:pPr>
                      </w:p>
                    </w:tc>
                    <w:tc>
                      <w:tcPr>
                        <w:tcW w:w="1147" w:type="dxa"/>
                        <w:shd w:val="clear" w:color="auto" w:fill="BFBFBF"/>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tcPr>
                      <w:p>
                        <w:pPr>
                          <w:pStyle w:val="TableParagraph"/>
                          <w:rPr>
                            <w:rFonts w:ascii="Times New Roman"/>
                            <w:sz w:val="12"/>
                          </w:rPr>
                        </w:pPr>
                      </w:p>
                    </w:tc>
                  </w:tr>
                  <w:tr>
                    <w:trPr>
                      <w:trHeight w:val="201" w:hRule="atLeast"/>
                    </w:trPr>
                    <w:tc>
                      <w:tcPr>
                        <w:tcW w:w="3520" w:type="dxa"/>
                      </w:tcPr>
                      <w:p>
                        <w:pPr>
                          <w:pStyle w:val="TableParagraph"/>
                          <w:spacing w:before="24"/>
                          <w:ind w:left="368"/>
                          <w:rPr>
                            <w:rFonts w:ascii="Times New Roman"/>
                            <w:sz w:val="13"/>
                          </w:rPr>
                        </w:pPr>
                        <w:r>
                          <w:rPr>
                            <w:rFonts w:ascii="Times New Roman"/>
                            <w:w w:val="105"/>
                            <w:sz w:val="13"/>
                          </w:rPr>
                          <w:t>1. Reserve for Economic Uncertainties</w:t>
                        </w:r>
                      </w:p>
                    </w:tc>
                    <w:tc>
                      <w:tcPr>
                        <w:tcW w:w="1565" w:type="dxa"/>
                      </w:tcPr>
                      <w:p>
                        <w:pPr>
                          <w:pStyle w:val="TableParagraph"/>
                          <w:spacing w:before="24"/>
                          <w:ind w:left="636" w:right="295"/>
                          <w:jc w:val="center"/>
                          <w:rPr>
                            <w:rFonts w:ascii="Times New Roman"/>
                            <w:sz w:val="13"/>
                          </w:rPr>
                        </w:pPr>
                        <w:r>
                          <w:rPr>
                            <w:rFonts w:ascii="Times New Roman"/>
                            <w:w w:val="105"/>
                            <w:sz w:val="13"/>
                          </w:rPr>
                          <w:t>9789</w:t>
                        </w:r>
                      </w:p>
                    </w:tc>
                    <w:tc>
                      <w:tcPr>
                        <w:tcW w:w="1147" w:type="dxa"/>
                        <w:shd w:val="clear" w:color="auto" w:fill="BFBFBF"/>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r>
                  <w:tr>
                    <w:trPr>
                      <w:trHeight w:val="201" w:hRule="atLeast"/>
                    </w:trPr>
                    <w:tc>
                      <w:tcPr>
                        <w:tcW w:w="3520" w:type="dxa"/>
                      </w:tcPr>
                      <w:p>
                        <w:pPr>
                          <w:pStyle w:val="TableParagraph"/>
                          <w:spacing w:before="24"/>
                          <w:ind w:left="368"/>
                          <w:rPr>
                            <w:rFonts w:ascii="Times New Roman"/>
                            <w:sz w:val="13"/>
                          </w:rPr>
                        </w:pPr>
                        <w:r>
                          <w:rPr>
                            <w:rFonts w:ascii="Times New Roman"/>
                            <w:w w:val="105"/>
                            <w:sz w:val="13"/>
                          </w:rPr>
                          <w:t>2. Unassigned/Unappropriated</w:t>
                        </w:r>
                      </w:p>
                    </w:tc>
                    <w:tc>
                      <w:tcPr>
                        <w:tcW w:w="1565" w:type="dxa"/>
                      </w:tcPr>
                      <w:p>
                        <w:pPr>
                          <w:pStyle w:val="TableParagraph"/>
                          <w:spacing w:before="24"/>
                          <w:ind w:left="636" w:right="295"/>
                          <w:jc w:val="center"/>
                          <w:rPr>
                            <w:rFonts w:ascii="Times New Roman"/>
                            <w:sz w:val="13"/>
                          </w:rPr>
                        </w:pPr>
                        <w:r>
                          <w:rPr>
                            <w:rFonts w:ascii="Times New Roman"/>
                            <w:w w:val="105"/>
                            <w:sz w:val="13"/>
                          </w:rPr>
                          <w:t>9790</w:t>
                        </w:r>
                      </w:p>
                    </w:tc>
                    <w:tc>
                      <w:tcPr>
                        <w:tcW w:w="1147" w:type="dxa"/>
                      </w:tcPr>
                      <w:p>
                        <w:pPr>
                          <w:pStyle w:val="TableParagraph"/>
                          <w:spacing w:before="24"/>
                          <w:ind w:right="74"/>
                          <w:jc w:val="right"/>
                          <w:rPr>
                            <w:rFonts w:ascii="Times New Roman"/>
                            <w:sz w:val="13"/>
                          </w:rPr>
                        </w:pPr>
                        <w:r>
                          <w:rPr>
                            <w:rFonts w:ascii="Times New Roman"/>
                            <w:sz w:val="13"/>
                          </w:rPr>
                          <w:t>0.00</w:t>
                        </w:r>
                      </w:p>
                    </w:tc>
                    <w:tc>
                      <w:tcPr>
                        <w:tcW w:w="1116" w:type="dxa"/>
                        <w:shd w:val="clear" w:color="auto" w:fill="BFBFBF"/>
                      </w:tcPr>
                      <w:p>
                        <w:pPr>
                          <w:pStyle w:val="TableParagraph"/>
                          <w:rPr>
                            <w:rFonts w:ascii="Times New Roman"/>
                            <w:sz w:val="12"/>
                          </w:rPr>
                        </w:pPr>
                      </w:p>
                    </w:tc>
                    <w:tc>
                      <w:tcPr>
                        <w:tcW w:w="1116" w:type="dxa"/>
                      </w:tcPr>
                      <w:p>
                        <w:pPr>
                          <w:pStyle w:val="TableParagraph"/>
                          <w:spacing w:before="24"/>
                          <w:ind w:right="74"/>
                          <w:jc w:val="right"/>
                          <w:rPr>
                            <w:rFonts w:ascii="Times New Roman"/>
                            <w:sz w:val="13"/>
                          </w:rPr>
                        </w:pPr>
                        <w:r>
                          <w:rPr>
                            <w:rFonts w:ascii="Times New Roman"/>
                            <w:sz w:val="13"/>
                          </w:rPr>
                          <w:t>0.00</w:t>
                        </w:r>
                      </w:p>
                    </w:tc>
                    <w:tc>
                      <w:tcPr>
                        <w:tcW w:w="1116" w:type="dxa"/>
                        <w:shd w:val="clear" w:color="auto" w:fill="BFBFBF"/>
                      </w:tcPr>
                      <w:p>
                        <w:pPr>
                          <w:pStyle w:val="TableParagraph"/>
                          <w:rPr>
                            <w:rFonts w:ascii="Times New Roman"/>
                            <w:sz w:val="12"/>
                          </w:rPr>
                        </w:pPr>
                      </w:p>
                    </w:tc>
                    <w:tc>
                      <w:tcPr>
                        <w:tcW w:w="1116" w:type="dxa"/>
                      </w:tcPr>
                      <w:p>
                        <w:pPr>
                          <w:pStyle w:val="TableParagraph"/>
                          <w:spacing w:before="24"/>
                          <w:ind w:right="74"/>
                          <w:jc w:val="right"/>
                          <w:rPr>
                            <w:rFonts w:ascii="Times New Roman"/>
                            <w:sz w:val="13"/>
                          </w:rPr>
                        </w:pPr>
                        <w:r>
                          <w:rPr>
                            <w:rFonts w:ascii="Times New Roman"/>
                            <w:sz w:val="13"/>
                          </w:rPr>
                          <w:t>0.00</w:t>
                        </w:r>
                      </w:p>
                    </w:tc>
                  </w:tr>
                  <w:tr>
                    <w:trPr>
                      <w:trHeight w:val="201" w:hRule="atLeast"/>
                    </w:trPr>
                    <w:tc>
                      <w:tcPr>
                        <w:tcW w:w="3520" w:type="dxa"/>
                      </w:tcPr>
                      <w:p>
                        <w:pPr>
                          <w:pStyle w:val="TableParagraph"/>
                          <w:spacing w:before="24"/>
                          <w:ind w:left="234"/>
                          <w:rPr>
                            <w:rFonts w:ascii="Times New Roman"/>
                            <w:sz w:val="13"/>
                          </w:rPr>
                        </w:pPr>
                        <w:r>
                          <w:rPr>
                            <w:rFonts w:ascii="Times New Roman"/>
                            <w:w w:val="105"/>
                            <w:sz w:val="13"/>
                          </w:rPr>
                          <w:t>f. Total Components of Ending Fund Balance</w:t>
                        </w:r>
                      </w:p>
                    </w:tc>
                    <w:tc>
                      <w:tcPr>
                        <w:tcW w:w="1565" w:type="dxa"/>
                      </w:tcPr>
                      <w:p>
                        <w:pPr>
                          <w:pStyle w:val="TableParagraph"/>
                          <w:rPr>
                            <w:rFonts w:ascii="Times New Roman"/>
                            <w:sz w:val="12"/>
                          </w:rPr>
                        </w:pPr>
                      </w:p>
                    </w:tc>
                    <w:tc>
                      <w:tcPr>
                        <w:tcW w:w="1147" w:type="dxa"/>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tcPr>
                      <w:p>
                        <w:pPr>
                          <w:pStyle w:val="TableParagraph"/>
                          <w:rPr>
                            <w:rFonts w:ascii="Times New Roman"/>
                            <w:sz w:val="12"/>
                          </w:rPr>
                        </w:pPr>
                      </w:p>
                    </w:tc>
                  </w:tr>
                  <w:tr>
                    <w:trPr>
                      <w:trHeight w:val="182" w:hRule="atLeast"/>
                    </w:trPr>
                    <w:tc>
                      <w:tcPr>
                        <w:tcW w:w="3520" w:type="dxa"/>
                      </w:tcPr>
                      <w:p>
                        <w:pPr>
                          <w:pStyle w:val="TableParagraph"/>
                          <w:spacing w:line="137" w:lineRule="exact" w:before="24"/>
                          <w:ind w:left="368"/>
                          <w:rPr>
                            <w:rFonts w:ascii="Times New Roman"/>
                            <w:sz w:val="13"/>
                          </w:rPr>
                        </w:pPr>
                        <w:r>
                          <w:rPr>
                            <w:rFonts w:ascii="Times New Roman"/>
                            <w:w w:val="105"/>
                            <w:sz w:val="13"/>
                          </w:rPr>
                          <w:t>(Line D3f must agree with line D2)</w:t>
                        </w:r>
                      </w:p>
                    </w:tc>
                    <w:tc>
                      <w:tcPr>
                        <w:tcW w:w="1565" w:type="dxa"/>
                      </w:tcPr>
                      <w:p>
                        <w:pPr>
                          <w:pStyle w:val="TableParagraph"/>
                          <w:rPr>
                            <w:rFonts w:ascii="Times New Roman"/>
                            <w:sz w:val="12"/>
                          </w:rPr>
                        </w:pPr>
                      </w:p>
                    </w:tc>
                    <w:tc>
                      <w:tcPr>
                        <w:tcW w:w="1147" w:type="dxa"/>
                      </w:tcPr>
                      <w:p>
                        <w:pPr>
                          <w:pStyle w:val="TableParagraph"/>
                          <w:spacing w:line="137" w:lineRule="exact" w:before="24"/>
                          <w:ind w:right="75"/>
                          <w:jc w:val="right"/>
                          <w:rPr>
                            <w:rFonts w:ascii="Times New Roman"/>
                            <w:sz w:val="13"/>
                          </w:rPr>
                        </w:pPr>
                        <w:r>
                          <w:rPr>
                            <w:rFonts w:ascii="Times New Roman"/>
                            <w:sz w:val="13"/>
                          </w:rPr>
                          <w:t>25,290.00</w:t>
                        </w:r>
                      </w:p>
                    </w:tc>
                    <w:tc>
                      <w:tcPr>
                        <w:tcW w:w="1116" w:type="dxa"/>
                      </w:tcPr>
                      <w:p>
                        <w:pPr>
                          <w:pStyle w:val="TableParagraph"/>
                          <w:rPr>
                            <w:rFonts w:ascii="Times New Roman"/>
                            <w:sz w:val="12"/>
                          </w:rPr>
                        </w:pPr>
                      </w:p>
                    </w:tc>
                    <w:tc>
                      <w:tcPr>
                        <w:tcW w:w="1116" w:type="dxa"/>
                      </w:tcPr>
                      <w:p>
                        <w:pPr>
                          <w:pStyle w:val="TableParagraph"/>
                          <w:spacing w:line="137" w:lineRule="exact" w:before="24"/>
                          <w:ind w:right="75"/>
                          <w:jc w:val="right"/>
                          <w:rPr>
                            <w:rFonts w:ascii="Times New Roman"/>
                            <w:sz w:val="13"/>
                          </w:rPr>
                        </w:pPr>
                        <w:r>
                          <w:rPr>
                            <w:rFonts w:ascii="Times New Roman"/>
                            <w:sz w:val="13"/>
                          </w:rPr>
                          <w:t>25,103.00</w:t>
                        </w:r>
                      </w:p>
                    </w:tc>
                    <w:tc>
                      <w:tcPr>
                        <w:tcW w:w="1116" w:type="dxa"/>
                        <w:shd w:val="clear" w:color="auto" w:fill="BFBFBF"/>
                      </w:tcPr>
                      <w:p>
                        <w:pPr>
                          <w:pStyle w:val="TableParagraph"/>
                          <w:rPr>
                            <w:rFonts w:ascii="Times New Roman"/>
                            <w:sz w:val="12"/>
                          </w:rPr>
                        </w:pPr>
                      </w:p>
                    </w:tc>
                    <w:tc>
                      <w:tcPr>
                        <w:tcW w:w="1116" w:type="dxa"/>
                      </w:tcPr>
                      <w:p>
                        <w:pPr>
                          <w:pStyle w:val="TableParagraph"/>
                          <w:spacing w:line="137" w:lineRule="exact" w:before="24"/>
                          <w:ind w:right="75"/>
                          <w:jc w:val="right"/>
                          <w:rPr>
                            <w:rFonts w:ascii="Times New Roman"/>
                            <w:sz w:val="13"/>
                          </w:rPr>
                        </w:pPr>
                        <w:r>
                          <w:rPr>
                            <w:rFonts w:ascii="Times New Roman"/>
                            <w:sz w:val="13"/>
                          </w:rPr>
                          <w:t>27,384.00</w:t>
                        </w:r>
                      </w:p>
                    </w:tc>
                  </w:tr>
                </w:tbl>
                <w:p>
                  <w:pPr>
                    <w:pStyle w:val="BodyText"/>
                  </w:pPr>
                </w:p>
              </w:txbxContent>
            </v:textbox>
            <w10:wrap type="none"/>
          </v:shape>
        </w:pict>
      </w:r>
      <w:r>
        <w:rPr>
          <w:rFonts w:ascii="Times New Roman"/>
          <w:w w:val="105"/>
          <w:sz w:val="13"/>
        </w:rPr>
        <w:t>Other Financing</w:t>
      </w:r>
      <w:r>
        <w:rPr>
          <w:rFonts w:ascii="Times New Roman"/>
          <w:spacing w:val="-5"/>
          <w:w w:val="105"/>
          <w:sz w:val="13"/>
        </w:rPr>
        <w:t> </w:t>
      </w:r>
      <w:r>
        <w:rPr>
          <w:rFonts w:ascii="Times New Roman"/>
          <w:w w:val="105"/>
          <w:sz w:val="13"/>
        </w:rPr>
        <w:t>Sources</w:t>
      </w:r>
    </w:p>
    <w:p>
      <w:pPr>
        <w:spacing w:after="0" w:line="240" w:lineRule="auto"/>
        <w:jc w:val="left"/>
        <w:rPr>
          <w:rFonts w:ascii="Times New Roman"/>
          <w:sz w:val="13"/>
        </w:rPr>
        <w:sectPr>
          <w:headerReference w:type="default" r:id="rId1222"/>
          <w:footerReference w:type="default" r:id="rId1223"/>
          <w:pgSz w:w="12240" w:h="15840"/>
          <w:pgMar w:header="243" w:footer="507" w:top="860" w:bottom="700" w:left="40" w:right="40"/>
          <w:pgNumType w:start="1"/>
        </w:sectPr>
      </w:pPr>
    </w:p>
    <w:p>
      <w:pPr>
        <w:pStyle w:val="BodyText"/>
        <w:spacing w:before="11"/>
        <w:rPr>
          <w:rFonts w:ascii="Times New Roman"/>
          <w:sz w:val="7"/>
        </w:rPr>
      </w:pPr>
      <w:r>
        <w:rPr/>
        <w:pict>
          <v:shape style="position:absolute;margin-left:40.079998pt;margin-top:254.30307pt;width:525.050pt;height:15.15pt;mso-position-horizontal-relative:page;mso-position-vertical-relative:page;z-index:-314097664" type="#_x0000_t202" filled="false" stroked="false">
            <v:textbox inset="0,0,0,0">
              <w:txbxContent>
                <w:p>
                  <w:pPr>
                    <w:pStyle w:val="BodyText"/>
                    <w:spacing w:line="247" w:lineRule="auto"/>
                    <w:rPr>
                      <w:rFonts w:ascii="Times New Roman"/>
                    </w:rPr>
                  </w:pPr>
                  <w:r>
                    <w:rPr>
                      <w:rFonts w:ascii="Times New Roman"/>
                      <w:w w:val="105"/>
                    </w:rPr>
                    <w:t>Line</w:t>
                  </w:r>
                  <w:r>
                    <w:rPr>
                      <w:rFonts w:ascii="Times New Roman"/>
                      <w:spacing w:val="-9"/>
                      <w:w w:val="105"/>
                    </w:rPr>
                    <w:t> </w:t>
                  </w:r>
                  <w:r>
                    <w:rPr>
                      <w:rFonts w:ascii="Times New Roman"/>
                      <w:w w:val="105"/>
                    </w:rPr>
                    <w:t>B1d</w:t>
                  </w:r>
                  <w:r>
                    <w:rPr>
                      <w:rFonts w:ascii="Times New Roman"/>
                      <w:spacing w:val="-8"/>
                      <w:w w:val="105"/>
                    </w:rPr>
                    <w:t> </w:t>
                  </w:r>
                  <w:r>
                    <w:rPr>
                      <w:rFonts w:ascii="Times New Roman"/>
                      <w:w w:val="105"/>
                    </w:rPr>
                    <w:t>adjustment</w:t>
                  </w:r>
                  <w:r>
                    <w:rPr>
                      <w:rFonts w:ascii="Times New Roman"/>
                      <w:spacing w:val="-8"/>
                      <w:w w:val="105"/>
                    </w:rPr>
                    <w:t> </w:t>
                  </w:r>
                  <w:r>
                    <w:rPr>
                      <w:rFonts w:ascii="Times New Roman"/>
                      <w:w w:val="105"/>
                    </w:rPr>
                    <w:t>for</w:t>
                  </w:r>
                  <w:r>
                    <w:rPr>
                      <w:rFonts w:ascii="Times New Roman"/>
                      <w:spacing w:val="-8"/>
                      <w:w w:val="105"/>
                    </w:rPr>
                    <w:t> </w:t>
                  </w:r>
                  <w:r>
                    <w:rPr>
                      <w:rFonts w:ascii="Times New Roman"/>
                      <w:w w:val="105"/>
                    </w:rPr>
                    <w:t>22-23</w:t>
                  </w:r>
                  <w:r>
                    <w:rPr>
                      <w:rFonts w:ascii="Times New Roman"/>
                      <w:spacing w:val="-8"/>
                      <w:w w:val="105"/>
                    </w:rPr>
                    <w:t> </w:t>
                  </w:r>
                  <w:r>
                    <w:rPr>
                      <w:rFonts w:ascii="Times New Roman"/>
                      <w:w w:val="105"/>
                    </w:rPr>
                    <w:t>is</w:t>
                  </w:r>
                  <w:r>
                    <w:rPr>
                      <w:rFonts w:ascii="Times New Roman"/>
                      <w:spacing w:val="-9"/>
                      <w:w w:val="105"/>
                    </w:rPr>
                    <w:t> </w:t>
                  </w:r>
                  <w:r>
                    <w:rPr>
                      <w:rFonts w:ascii="Times New Roman"/>
                      <w:w w:val="105"/>
                    </w:rPr>
                    <w:t>due</w:t>
                  </w:r>
                  <w:r>
                    <w:rPr>
                      <w:rFonts w:ascii="Times New Roman"/>
                      <w:spacing w:val="-8"/>
                      <w:w w:val="105"/>
                    </w:rPr>
                    <w:t> </w:t>
                  </w:r>
                  <w:r>
                    <w:rPr>
                      <w:rFonts w:ascii="Times New Roman"/>
                      <w:w w:val="105"/>
                    </w:rPr>
                    <w:t>removing</w:t>
                  </w:r>
                  <w:r>
                    <w:rPr>
                      <w:rFonts w:ascii="Times New Roman"/>
                      <w:spacing w:val="-11"/>
                      <w:w w:val="105"/>
                    </w:rPr>
                    <w:t> </w:t>
                  </w:r>
                  <w:r>
                    <w:rPr>
                      <w:rFonts w:ascii="Times New Roman"/>
                      <w:w w:val="105"/>
                    </w:rPr>
                    <w:t>certificated</w:t>
                  </w:r>
                  <w:r>
                    <w:rPr>
                      <w:rFonts w:ascii="Times New Roman"/>
                      <w:spacing w:val="-8"/>
                      <w:w w:val="105"/>
                    </w:rPr>
                    <w:t> </w:t>
                  </w:r>
                  <w:r>
                    <w:rPr>
                      <w:rFonts w:ascii="Times New Roman"/>
                      <w:w w:val="105"/>
                    </w:rPr>
                    <w:t>salaries</w:t>
                  </w:r>
                  <w:r>
                    <w:rPr>
                      <w:rFonts w:ascii="Times New Roman"/>
                      <w:spacing w:val="-8"/>
                      <w:w w:val="105"/>
                    </w:rPr>
                    <w:t> </w:t>
                  </w:r>
                  <w:r>
                    <w:rPr>
                      <w:rFonts w:ascii="Times New Roman"/>
                      <w:w w:val="105"/>
                    </w:rPr>
                    <w:t>for</w:t>
                  </w:r>
                  <w:r>
                    <w:rPr>
                      <w:rFonts w:ascii="Times New Roman"/>
                      <w:spacing w:val="-9"/>
                      <w:w w:val="105"/>
                    </w:rPr>
                    <w:t> </w:t>
                  </w:r>
                  <w:r>
                    <w:rPr>
                      <w:rFonts w:ascii="Times New Roman"/>
                      <w:w w:val="105"/>
                    </w:rPr>
                    <w:t>summer</w:t>
                  </w:r>
                  <w:r>
                    <w:rPr>
                      <w:rFonts w:ascii="Times New Roman"/>
                      <w:spacing w:val="-8"/>
                      <w:w w:val="105"/>
                    </w:rPr>
                    <w:t> </w:t>
                  </w:r>
                  <w:r>
                    <w:rPr>
                      <w:rFonts w:ascii="Times New Roman"/>
                      <w:w w:val="105"/>
                    </w:rPr>
                    <w:t>school</w:t>
                  </w:r>
                  <w:r>
                    <w:rPr>
                      <w:rFonts w:ascii="Times New Roman"/>
                      <w:spacing w:val="-10"/>
                      <w:w w:val="105"/>
                    </w:rPr>
                    <w:t> </w:t>
                  </w:r>
                  <w:r>
                    <w:rPr>
                      <w:rFonts w:ascii="Times New Roman"/>
                      <w:w w:val="105"/>
                    </w:rPr>
                    <w:t>and</w:t>
                  </w:r>
                  <w:r>
                    <w:rPr>
                      <w:rFonts w:ascii="Times New Roman"/>
                      <w:spacing w:val="-8"/>
                      <w:w w:val="105"/>
                    </w:rPr>
                    <w:t> </w:t>
                  </w:r>
                  <w:r>
                    <w:rPr>
                      <w:rFonts w:ascii="Times New Roman"/>
                      <w:w w:val="105"/>
                    </w:rPr>
                    <w:t>moving</w:t>
                  </w:r>
                  <w:r>
                    <w:rPr>
                      <w:rFonts w:ascii="Times New Roman"/>
                      <w:spacing w:val="-11"/>
                      <w:w w:val="105"/>
                    </w:rPr>
                    <w:t> </w:t>
                  </w:r>
                  <w:r>
                    <w:rPr>
                      <w:rFonts w:ascii="Times New Roman"/>
                      <w:w w:val="105"/>
                    </w:rPr>
                    <w:t>a</w:t>
                  </w:r>
                  <w:r>
                    <w:rPr>
                      <w:rFonts w:ascii="Times New Roman"/>
                      <w:spacing w:val="-8"/>
                      <w:w w:val="105"/>
                    </w:rPr>
                    <w:t> </w:t>
                  </w:r>
                  <w:r>
                    <w:rPr>
                      <w:rFonts w:ascii="Times New Roman"/>
                      <w:w w:val="105"/>
                    </w:rPr>
                    <w:t>portion</w:t>
                  </w:r>
                  <w:r>
                    <w:rPr>
                      <w:rFonts w:ascii="Times New Roman"/>
                      <w:spacing w:val="-9"/>
                      <w:w w:val="105"/>
                    </w:rPr>
                    <w:t> </w:t>
                  </w:r>
                  <w:r>
                    <w:rPr>
                      <w:rFonts w:ascii="Times New Roman"/>
                      <w:w w:val="105"/>
                    </w:rPr>
                    <w:t>of</w:t>
                  </w:r>
                  <w:r>
                    <w:rPr>
                      <w:rFonts w:ascii="Times New Roman"/>
                      <w:spacing w:val="-8"/>
                      <w:w w:val="105"/>
                    </w:rPr>
                    <w:t> </w:t>
                  </w:r>
                  <w:r>
                    <w:rPr>
                      <w:rFonts w:ascii="Times New Roman"/>
                      <w:w w:val="105"/>
                    </w:rPr>
                    <w:t>restricted</w:t>
                  </w:r>
                  <w:r>
                    <w:rPr>
                      <w:rFonts w:ascii="Times New Roman"/>
                      <w:spacing w:val="-8"/>
                      <w:w w:val="105"/>
                    </w:rPr>
                    <w:t> </w:t>
                  </w:r>
                  <w:r>
                    <w:rPr>
                      <w:rFonts w:ascii="Times New Roman"/>
                      <w:w w:val="105"/>
                    </w:rPr>
                    <w:t>certificated</w:t>
                  </w:r>
                  <w:r>
                    <w:rPr>
                      <w:rFonts w:ascii="Times New Roman"/>
                      <w:spacing w:val="-9"/>
                      <w:w w:val="105"/>
                    </w:rPr>
                    <w:t> </w:t>
                  </w:r>
                  <w:r>
                    <w:rPr>
                      <w:rFonts w:ascii="Times New Roman"/>
                      <w:w w:val="105"/>
                    </w:rPr>
                    <w:t>salaries</w:t>
                  </w:r>
                  <w:r>
                    <w:rPr>
                      <w:rFonts w:ascii="Times New Roman"/>
                      <w:spacing w:val="-7"/>
                      <w:w w:val="105"/>
                    </w:rPr>
                    <w:t> </w:t>
                  </w:r>
                  <w:r>
                    <w:rPr>
                      <w:rFonts w:ascii="Times New Roman"/>
                      <w:w w:val="105"/>
                    </w:rPr>
                    <w:t>due</w:t>
                  </w:r>
                  <w:r>
                    <w:rPr>
                      <w:rFonts w:ascii="Times New Roman"/>
                      <w:spacing w:val="-9"/>
                      <w:w w:val="105"/>
                    </w:rPr>
                    <w:t> </w:t>
                  </w:r>
                  <w:r>
                    <w:rPr>
                      <w:rFonts w:ascii="Times New Roman"/>
                      <w:w w:val="105"/>
                    </w:rPr>
                    <w:t>to</w:t>
                  </w:r>
                  <w:r>
                    <w:rPr>
                      <w:rFonts w:ascii="Times New Roman"/>
                      <w:spacing w:val="-7"/>
                      <w:w w:val="105"/>
                    </w:rPr>
                    <w:t> </w:t>
                  </w:r>
                  <w:r>
                    <w:rPr>
                      <w:rFonts w:ascii="Times New Roman"/>
                      <w:w w:val="105"/>
                    </w:rPr>
                    <w:t>one-time</w:t>
                  </w:r>
                  <w:r>
                    <w:rPr>
                      <w:rFonts w:ascii="Times New Roman"/>
                      <w:spacing w:val="-9"/>
                      <w:w w:val="105"/>
                    </w:rPr>
                    <w:t> </w:t>
                  </w:r>
                  <w:r>
                    <w:rPr>
                      <w:rFonts w:ascii="Times New Roman"/>
                      <w:w w:val="105"/>
                    </w:rPr>
                    <w:t>Covid19</w:t>
                  </w:r>
                  <w:r>
                    <w:rPr>
                      <w:rFonts w:ascii="Times New Roman"/>
                      <w:spacing w:val="-8"/>
                      <w:w w:val="105"/>
                    </w:rPr>
                    <w:t> </w:t>
                  </w:r>
                  <w:r>
                    <w:rPr>
                      <w:rFonts w:ascii="Times New Roman"/>
                      <w:w w:val="105"/>
                    </w:rPr>
                    <w:t>funds.</w:t>
                  </w:r>
                  <w:r>
                    <w:rPr>
                      <w:rFonts w:ascii="Times New Roman"/>
                      <w:spacing w:val="-8"/>
                      <w:w w:val="105"/>
                    </w:rPr>
                    <w:t> </w:t>
                  </w:r>
                  <w:r>
                    <w:rPr>
                      <w:rFonts w:ascii="Times New Roman"/>
                      <w:w w:val="105"/>
                    </w:rPr>
                    <w:t>Line</w:t>
                  </w:r>
                  <w:r>
                    <w:rPr>
                      <w:rFonts w:ascii="Times New Roman"/>
                      <w:spacing w:val="-8"/>
                      <w:w w:val="105"/>
                    </w:rPr>
                    <w:t> </w:t>
                  </w:r>
                  <w:r>
                    <w:rPr>
                      <w:rFonts w:ascii="Times New Roman"/>
                      <w:w w:val="105"/>
                    </w:rPr>
                    <w:t>B2d</w:t>
                  </w:r>
                  <w:r>
                    <w:rPr>
                      <w:rFonts w:ascii="Times New Roman"/>
                      <w:spacing w:val="-8"/>
                      <w:w w:val="105"/>
                    </w:rPr>
                    <w:t> </w:t>
                  </w:r>
                  <w:r>
                    <w:rPr>
                      <w:rFonts w:ascii="Times New Roman"/>
                      <w:w w:val="105"/>
                    </w:rPr>
                    <w:t>adjustment for</w:t>
                  </w:r>
                  <w:r>
                    <w:rPr>
                      <w:rFonts w:ascii="Times New Roman"/>
                      <w:spacing w:val="-3"/>
                      <w:w w:val="105"/>
                    </w:rPr>
                    <w:t> </w:t>
                  </w:r>
                  <w:r>
                    <w:rPr>
                      <w:rFonts w:ascii="Times New Roman"/>
                      <w:w w:val="105"/>
                    </w:rPr>
                    <w:t>22-23</w:t>
                  </w:r>
                  <w:r>
                    <w:rPr>
                      <w:rFonts w:ascii="Times New Roman"/>
                      <w:spacing w:val="-3"/>
                      <w:w w:val="105"/>
                    </w:rPr>
                    <w:t> </w:t>
                  </w:r>
                  <w:r>
                    <w:rPr>
                      <w:rFonts w:ascii="Times New Roman"/>
                      <w:w w:val="105"/>
                    </w:rPr>
                    <w:t>is</w:t>
                  </w:r>
                  <w:r>
                    <w:rPr>
                      <w:rFonts w:ascii="Times New Roman"/>
                      <w:spacing w:val="-2"/>
                      <w:w w:val="105"/>
                    </w:rPr>
                    <w:t> </w:t>
                  </w:r>
                  <w:r>
                    <w:rPr>
                      <w:rFonts w:ascii="Times New Roman"/>
                      <w:w w:val="105"/>
                    </w:rPr>
                    <w:t>due</w:t>
                  </w:r>
                  <w:r>
                    <w:rPr>
                      <w:rFonts w:ascii="Times New Roman"/>
                      <w:spacing w:val="-3"/>
                      <w:w w:val="105"/>
                    </w:rPr>
                    <w:t> </w:t>
                  </w:r>
                  <w:r>
                    <w:rPr>
                      <w:rFonts w:ascii="Times New Roman"/>
                      <w:w w:val="105"/>
                    </w:rPr>
                    <w:t>to</w:t>
                  </w:r>
                  <w:r>
                    <w:rPr>
                      <w:rFonts w:ascii="Times New Roman"/>
                      <w:spacing w:val="-2"/>
                      <w:w w:val="105"/>
                    </w:rPr>
                    <w:t> </w:t>
                  </w:r>
                  <w:r>
                    <w:rPr>
                      <w:rFonts w:ascii="Times New Roman"/>
                      <w:w w:val="105"/>
                    </w:rPr>
                    <w:t>the</w:t>
                  </w:r>
                  <w:r>
                    <w:rPr>
                      <w:rFonts w:ascii="Times New Roman"/>
                      <w:spacing w:val="-3"/>
                      <w:w w:val="105"/>
                    </w:rPr>
                    <w:t> </w:t>
                  </w:r>
                  <w:r>
                    <w:rPr>
                      <w:rFonts w:ascii="Times New Roman"/>
                      <w:w w:val="105"/>
                    </w:rPr>
                    <w:t>removal</w:t>
                  </w:r>
                  <w:r>
                    <w:rPr>
                      <w:rFonts w:ascii="Times New Roman"/>
                      <w:spacing w:val="-5"/>
                      <w:w w:val="105"/>
                    </w:rPr>
                    <w:t> </w:t>
                  </w:r>
                  <w:r>
                    <w:rPr>
                      <w:rFonts w:ascii="Times New Roman"/>
                      <w:w w:val="105"/>
                    </w:rPr>
                    <w:t>of</w:t>
                  </w:r>
                  <w:r>
                    <w:rPr>
                      <w:rFonts w:ascii="Times New Roman"/>
                      <w:spacing w:val="-3"/>
                      <w:w w:val="105"/>
                    </w:rPr>
                    <w:t> </w:t>
                  </w:r>
                  <w:r>
                    <w:rPr>
                      <w:rFonts w:ascii="Times New Roman"/>
                      <w:w w:val="105"/>
                    </w:rPr>
                    <w:t>classifed</w:t>
                  </w:r>
                  <w:r>
                    <w:rPr>
                      <w:rFonts w:ascii="Times New Roman"/>
                      <w:spacing w:val="-3"/>
                      <w:w w:val="105"/>
                    </w:rPr>
                    <w:t> </w:t>
                  </w:r>
                  <w:r>
                    <w:rPr>
                      <w:rFonts w:ascii="Times New Roman"/>
                      <w:w w:val="105"/>
                    </w:rPr>
                    <w:t>salaries</w:t>
                  </w:r>
                  <w:r>
                    <w:rPr>
                      <w:rFonts w:ascii="Times New Roman"/>
                      <w:spacing w:val="-2"/>
                      <w:w w:val="105"/>
                    </w:rPr>
                    <w:t> </w:t>
                  </w:r>
                  <w:r>
                    <w:rPr>
                      <w:rFonts w:ascii="Times New Roman"/>
                      <w:w w:val="105"/>
                    </w:rPr>
                    <w:t>for</w:t>
                  </w:r>
                  <w:r>
                    <w:rPr>
                      <w:rFonts w:ascii="Times New Roman"/>
                      <w:spacing w:val="-3"/>
                      <w:w w:val="105"/>
                    </w:rPr>
                    <w:t> </w:t>
                  </w:r>
                  <w:r>
                    <w:rPr>
                      <w:rFonts w:ascii="Times New Roman"/>
                      <w:w w:val="105"/>
                    </w:rPr>
                    <w:t>summer</w:t>
                  </w:r>
                  <w:r>
                    <w:rPr>
                      <w:rFonts w:ascii="Times New Roman"/>
                      <w:spacing w:val="-2"/>
                      <w:w w:val="105"/>
                    </w:rPr>
                    <w:t> </w:t>
                  </w:r>
                  <w:r>
                    <w:rPr>
                      <w:rFonts w:ascii="Times New Roman"/>
                      <w:w w:val="105"/>
                    </w:rPr>
                    <w:t>school</w:t>
                  </w:r>
                  <w:r>
                    <w:rPr>
                      <w:rFonts w:ascii="Times New Roman"/>
                      <w:spacing w:val="-5"/>
                      <w:w w:val="105"/>
                    </w:rPr>
                    <w:t> </w:t>
                  </w:r>
                  <w:r>
                    <w:rPr>
                      <w:rFonts w:ascii="Times New Roman"/>
                      <w:w w:val="105"/>
                    </w:rPr>
                    <w:t>and</w:t>
                  </w:r>
                  <w:r>
                    <w:rPr>
                      <w:rFonts w:ascii="Times New Roman"/>
                      <w:spacing w:val="-3"/>
                      <w:w w:val="105"/>
                    </w:rPr>
                    <w:t> </w:t>
                  </w:r>
                  <w:r>
                    <w:rPr>
                      <w:rFonts w:ascii="Times New Roman"/>
                      <w:w w:val="105"/>
                    </w:rPr>
                    <w:t>moving</w:t>
                  </w:r>
                  <w:r>
                    <w:rPr>
                      <w:rFonts w:ascii="Times New Roman"/>
                      <w:spacing w:val="-5"/>
                      <w:w w:val="105"/>
                    </w:rPr>
                    <w:t> </w:t>
                  </w:r>
                  <w:r>
                    <w:rPr>
                      <w:rFonts w:ascii="Times New Roman"/>
                      <w:w w:val="105"/>
                    </w:rPr>
                    <w:t>a</w:t>
                  </w:r>
                  <w:r>
                    <w:rPr>
                      <w:rFonts w:ascii="Times New Roman"/>
                      <w:spacing w:val="-3"/>
                      <w:w w:val="105"/>
                    </w:rPr>
                    <w:t> </w:t>
                  </w:r>
                  <w:r>
                    <w:rPr>
                      <w:rFonts w:ascii="Times New Roman"/>
                      <w:w w:val="105"/>
                    </w:rPr>
                    <w:t>portion</w:t>
                  </w:r>
                  <w:r>
                    <w:rPr>
                      <w:rFonts w:ascii="Times New Roman"/>
                      <w:spacing w:val="-2"/>
                      <w:w w:val="105"/>
                    </w:rPr>
                    <w:t> </w:t>
                  </w:r>
                  <w:r>
                    <w:rPr>
                      <w:rFonts w:ascii="Times New Roman"/>
                      <w:w w:val="105"/>
                    </w:rPr>
                    <w:t>of</w:t>
                  </w:r>
                  <w:r>
                    <w:rPr>
                      <w:rFonts w:ascii="Times New Roman"/>
                      <w:spacing w:val="-3"/>
                      <w:w w:val="105"/>
                    </w:rPr>
                    <w:t> </w:t>
                  </w:r>
                  <w:r>
                    <w:rPr>
                      <w:rFonts w:ascii="Times New Roman"/>
                      <w:w w:val="105"/>
                    </w:rPr>
                    <w:t>restricted</w:t>
                  </w:r>
                  <w:r>
                    <w:rPr>
                      <w:rFonts w:ascii="Times New Roman"/>
                      <w:spacing w:val="-2"/>
                      <w:w w:val="105"/>
                    </w:rPr>
                    <w:t> </w:t>
                  </w:r>
                  <w:r>
                    <w:rPr>
                      <w:rFonts w:ascii="Times New Roman"/>
                      <w:w w:val="105"/>
                    </w:rPr>
                    <w:t>classified</w:t>
                  </w:r>
                  <w:r>
                    <w:rPr>
                      <w:rFonts w:ascii="Times New Roman"/>
                      <w:spacing w:val="-3"/>
                      <w:w w:val="105"/>
                    </w:rPr>
                    <w:t> </w:t>
                  </w:r>
                  <w:r>
                    <w:rPr>
                      <w:rFonts w:ascii="Times New Roman"/>
                      <w:w w:val="105"/>
                    </w:rPr>
                    <w:t>salaries</w:t>
                  </w:r>
                  <w:r>
                    <w:rPr>
                      <w:rFonts w:ascii="Times New Roman"/>
                      <w:spacing w:val="-3"/>
                      <w:w w:val="105"/>
                    </w:rPr>
                    <w:t> </w:t>
                  </w:r>
                  <w:r>
                    <w:rPr>
                      <w:rFonts w:ascii="Times New Roman"/>
                      <w:w w:val="105"/>
                    </w:rPr>
                    <w:t>due</w:t>
                  </w:r>
                  <w:r>
                    <w:rPr>
                      <w:rFonts w:ascii="Times New Roman"/>
                      <w:spacing w:val="-2"/>
                      <w:w w:val="105"/>
                    </w:rPr>
                    <w:t> </w:t>
                  </w:r>
                  <w:r>
                    <w:rPr>
                      <w:rFonts w:ascii="Times New Roman"/>
                      <w:w w:val="105"/>
                    </w:rPr>
                    <w:t>to</w:t>
                  </w:r>
                  <w:r>
                    <w:rPr>
                      <w:rFonts w:ascii="Times New Roman"/>
                      <w:spacing w:val="-2"/>
                      <w:w w:val="105"/>
                    </w:rPr>
                    <w:t> </w:t>
                  </w:r>
                  <w:r>
                    <w:rPr>
                      <w:rFonts w:ascii="Times New Roman"/>
                      <w:w w:val="105"/>
                    </w:rPr>
                    <w:t>one-time</w:t>
                  </w:r>
                  <w:r>
                    <w:rPr>
                      <w:rFonts w:ascii="Times New Roman"/>
                      <w:spacing w:val="-2"/>
                      <w:w w:val="105"/>
                    </w:rPr>
                    <w:t> </w:t>
                  </w:r>
                  <w:r>
                    <w:rPr>
                      <w:rFonts w:ascii="Times New Roman"/>
                      <w:w w:val="105"/>
                    </w:rPr>
                    <w:t>Covid19</w:t>
                  </w:r>
                  <w:r>
                    <w:rPr>
                      <w:rFonts w:ascii="Times New Roman"/>
                      <w:spacing w:val="-3"/>
                      <w:w w:val="105"/>
                    </w:rPr>
                    <w:t> </w:t>
                  </w:r>
                  <w:r>
                    <w:rPr>
                      <w:rFonts w:ascii="Times New Roman"/>
                      <w:w w:val="105"/>
                    </w:rPr>
                    <w:t>funds.</w:t>
                  </w:r>
                </w:p>
              </w:txbxContent>
            </v:textbox>
            <w10:wrap type="none"/>
          </v:shape>
        </w:pict>
      </w:r>
    </w:p>
    <w:p>
      <w:pPr>
        <w:pStyle w:val="BodyText"/>
        <w:ind w:left="720"/>
        <w:rPr>
          <w:rFonts w:ascii="Times New Roman"/>
          <w:sz w:val="20"/>
        </w:rPr>
      </w:pPr>
      <w:r>
        <w:rPr>
          <w:rFonts w:ascii="Times New Roman"/>
          <w:sz w:val="20"/>
        </w:rPr>
        <w:pict>
          <v:group style="width:535.7pt;height:376.45pt;mso-position-horizontal-relative:char;mso-position-vertical-relative:line" coordorigin="0,0" coordsize="10714,7529">
            <v:shape style="position:absolute;left:0;top:0;width:10714;height:776" type="#_x0000_t75" stroked="false">
              <v:imagedata r:id="rId1262" o:title=""/>
            </v:shape>
            <v:line style="position:absolute" from="5093,768" to="6240,768" stroked="true" strokeweight=".239999pt" strokecolor="#ffffff">
              <v:stroke dashstyle="solid"/>
            </v:line>
            <v:line style="position:absolute" from="6240,768" to="7356,768" stroked="true" strokeweight=".239999pt" strokecolor="#bfbfbf">
              <v:stroke dashstyle="solid"/>
            </v:line>
            <v:line style="position:absolute" from="8472,768" to="9588,768" stroked="true" strokeweight=".239999pt" strokecolor="#bfbfbf">
              <v:stroke dashstyle="solid"/>
            </v:line>
            <v:shape style="position:absolute;left:0;top:758;width:5103;height:212" type="#_x0000_t75" stroked="false">
              <v:imagedata r:id="rId1263" o:title=""/>
            </v:shape>
            <v:shape style="position:absolute;left:5080;top:758;width:1169;height:214" type="#_x0000_t75" stroked="false">
              <v:imagedata r:id="rId1264" o:title=""/>
            </v:shape>
            <v:shape style="position:absolute;left:6228;top:758;width:1131;height:214" type="#_x0000_t75" stroked="false">
              <v:imagedata r:id="rId1265" o:title=""/>
            </v:shape>
            <v:shape style="position:absolute;left:7351;top:758;width:1131;height:214" type="#_x0000_t75" stroked="false">
              <v:imagedata r:id="rId1266" o:title=""/>
            </v:shape>
            <v:shape style="position:absolute;left:8460;top:758;width:1131;height:214" type="#_x0000_t75" stroked="false">
              <v:imagedata r:id="rId1265" o:title=""/>
            </v:shape>
            <v:rect style="position:absolute;left:9588;top:770;width:1116;height:202" filled="true" fillcolor="#bfbfbf" stroked="false">
              <v:fill type="solid"/>
            </v:rect>
            <v:rect style="position:absolute;left:5092;top:972;width:1148;height:202" filled="true" fillcolor="#bfbfbf" stroked="false">
              <v:fill type="solid"/>
            </v:rect>
            <v:shape style="position:absolute;left:6228;top:967;width:22;height:204" type="#_x0000_t75" stroked="false">
              <v:imagedata r:id="rId1267" o:title=""/>
            </v:shape>
            <v:rect style="position:absolute;left:6240;top:972;width:1116;height:202" filled="true" fillcolor="#bfbfbf" stroked="false">
              <v:fill type="solid"/>
            </v:rect>
            <v:rect style="position:absolute;left:7356;top:972;width:1116;height:202" filled="true" fillcolor="#bfbfbf" stroked="false">
              <v:fill type="solid"/>
            </v:rect>
            <v:shape style="position:absolute;left:8460;top:967;width:22;height:204" type="#_x0000_t75" stroked="false">
              <v:imagedata r:id="rId1267" o:title=""/>
            </v:shape>
            <v:rect style="position:absolute;left:8472;top:972;width:1116;height:202" filled="true" fillcolor="#bfbfbf" stroked="false">
              <v:fill type="solid"/>
            </v:rect>
            <v:shape style="position:absolute;left:6228;top:967;width:22;height:406" type="#_x0000_t75" stroked="false">
              <v:imagedata r:id="rId1212" o:title=""/>
            </v:shape>
            <v:shape style="position:absolute;left:8460;top:967;width:22;height:406" type="#_x0000_t75" stroked="false">
              <v:imagedata r:id="rId1212" o:title=""/>
            </v:shape>
            <v:shape style="position:absolute;left:9583;top:758;width:1131;height:1390" type="#_x0000_t75" stroked="false">
              <v:imagedata r:id="rId1268" o:title=""/>
            </v:shape>
            <v:rect style="position:absolute;left:5092;top:1173;width:1148;height:202" filled="true" fillcolor="#bfbfbf" stroked="false">
              <v:fill type="solid"/>
            </v:rect>
            <v:rect style="position:absolute;left:6240;top:1173;width:1116;height:202" filled="true" fillcolor="#bfbfbf" stroked="false">
              <v:fill type="solid"/>
            </v:rect>
            <v:rect style="position:absolute;left:7356;top:1173;width:1116;height:202" filled="true" fillcolor="#bfbfbf" stroked="false">
              <v:fill type="solid"/>
            </v:rect>
            <v:rect style="position:absolute;left:8472;top:1173;width:1116;height:202" filled="true" fillcolor="#bfbfbf" stroked="false">
              <v:fill type="solid"/>
            </v:rect>
            <v:rect style="position:absolute;left:9588;top:1173;width:1116;height:202" filled="true" fillcolor="#bfbfbf" stroked="false">
              <v:fill type="solid"/>
            </v:rect>
            <v:shape style="position:absolute;left:6228;top:1168;width:22;height:375" type="#_x0000_t75" stroked="false">
              <v:imagedata r:id="rId1269" o:title=""/>
            </v:shape>
            <v:shape style="position:absolute;left:8460;top:1168;width:22;height:375" type="#_x0000_t75" stroked="false">
              <v:imagedata r:id="rId1269" o:title=""/>
            </v:shape>
            <v:rect style="position:absolute;left:5092;top:1375;width:1148;height:171" filled="true" fillcolor="#bfbfbf" stroked="false">
              <v:fill type="solid"/>
            </v:rect>
            <v:rect style="position:absolute;left:6240;top:1375;width:1116;height:171" filled="true" fillcolor="#bfbfbf" stroked="false">
              <v:fill type="solid"/>
            </v:rect>
            <v:rect style="position:absolute;left:7356;top:1375;width:1116;height:171" filled="true" fillcolor="#bfbfbf" stroked="false">
              <v:fill type="solid"/>
            </v:rect>
            <v:rect style="position:absolute;left:8472;top:1375;width:1116;height:171" filled="true" fillcolor="#bfbfbf" stroked="false">
              <v:fill type="solid"/>
            </v:rect>
            <v:rect style="position:absolute;left:9588;top:1375;width:1116;height:171" filled="true" fillcolor="#bfbfbf" stroked="false">
              <v:fill type="solid"/>
            </v:rect>
            <v:shape style="position:absolute;left:6228;top:1370;width:22;height:375" type="#_x0000_t75" stroked="false">
              <v:imagedata r:id="rId1269" o:title=""/>
            </v:shape>
            <v:shape style="position:absolute;left:8460;top:1370;width:22;height:375" type="#_x0000_t75" stroked="false">
              <v:imagedata r:id="rId1269" o:title=""/>
            </v:shape>
            <v:rect style="position:absolute;left:5092;top:1545;width:1148;height:202" filled="true" fillcolor="#bfbfbf" stroked="false">
              <v:fill type="solid"/>
            </v:rect>
            <v:rect style="position:absolute;left:6240;top:1545;width:1116;height:202" filled="true" fillcolor="#bfbfbf" stroked="false">
              <v:fill type="solid"/>
            </v:rect>
            <v:rect style="position:absolute;left:7356;top:1545;width:1116;height:202" filled="true" fillcolor="#bfbfbf" stroked="false">
              <v:fill type="solid"/>
            </v:rect>
            <v:rect style="position:absolute;left:8472;top:1545;width:1116;height:202" filled="true" fillcolor="#bfbfbf" stroked="false">
              <v:fill type="solid"/>
            </v:rect>
            <v:rect style="position:absolute;left:9588;top:1545;width:1116;height:202" filled="true" fillcolor="#bfbfbf" stroked="false">
              <v:fill type="solid"/>
            </v:rect>
            <v:shape style="position:absolute;left:6228;top:1540;width:22;height:406" type="#_x0000_t75" stroked="false">
              <v:imagedata r:id="rId1212" o:title=""/>
            </v:shape>
            <v:shape style="position:absolute;left:8460;top:1540;width:22;height:406" type="#_x0000_t75" stroked="false">
              <v:imagedata r:id="rId1212" o:title=""/>
            </v:shape>
            <v:rect style="position:absolute;left:5092;top:1747;width:1148;height:202" filled="true" fillcolor="#bfbfbf" stroked="false">
              <v:fill type="solid"/>
            </v:rect>
            <v:rect style="position:absolute;left:6240;top:1747;width:1116;height:202" filled="true" fillcolor="#bfbfbf" stroked="false">
              <v:fill type="solid"/>
            </v:rect>
            <v:rect style="position:absolute;left:7356;top:1747;width:1116;height:202" filled="true" fillcolor="#bfbfbf" stroked="false">
              <v:fill type="solid"/>
            </v:rect>
            <v:rect style="position:absolute;left:8472;top:1747;width:1116;height:202" filled="true" fillcolor="#bfbfbf" stroked="false">
              <v:fill type="solid"/>
            </v:rect>
            <v:rect style="position:absolute;left:9588;top:1747;width:1116;height:202" filled="true" fillcolor="#bfbfbf" stroked="false">
              <v:fill type="solid"/>
            </v:rect>
            <v:shape style="position:absolute;left:7351;top:967;width:8;height:1786" type="#_x0000_t75" stroked="false">
              <v:imagedata r:id="rId1270" o:title=""/>
            </v:shape>
            <v:rect style="position:absolute;left:5092;top:1948;width:1148;height:202" filled="true" fillcolor="#bfbfbf" stroked="false">
              <v:fill type="solid"/>
            </v:rect>
            <v:rect style="position:absolute;left:6240;top:1948;width:1116;height:202" filled="true" fillcolor="#bfbfbf" stroked="false">
              <v:fill type="solid"/>
            </v:rect>
            <v:rect style="position:absolute;left:7356;top:1948;width:1116;height:202" filled="true" fillcolor="#bfbfbf" stroked="false">
              <v:fill type="solid"/>
            </v:rect>
            <v:rect style="position:absolute;left:8472;top:1948;width:1116;height:202" filled="true" fillcolor="#bfbfbf" stroked="false">
              <v:fill type="solid"/>
            </v:rect>
            <v:rect style="position:absolute;left:9588;top:1948;width:1116;height:202" filled="true" fillcolor="#bfbfbf" stroked="false">
              <v:fill type="solid"/>
            </v:rect>
            <v:shape style="position:absolute;left:9583;top:1944;width:8;height:406" type="#_x0000_t75" stroked="false">
              <v:imagedata r:id="rId1187" o:title=""/>
            </v:shape>
            <v:rect style="position:absolute;left:5092;top:2150;width:1148;height:202" filled="true" fillcolor="#bfbfbf" stroked="false">
              <v:fill type="solid"/>
            </v:rect>
            <v:rect style="position:absolute;left:6240;top:2150;width:1116;height:202" filled="true" fillcolor="#bfbfbf" stroked="false">
              <v:fill type="solid"/>
            </v:rect>
            <v:rect style="position:absolute;left:7356;top:2150;width:1116;height:202" filled="true" fillcolor="#bfbfbf" stroked="false">
              <v:fill type="solid"/>
            </v:rect>
            <v:rect style="position:absolute;left:8472;top:2150;width:1116;height:202" filled="true" fillcolor="#bfbfbf" stroked="false">
              <v:fill type="solid"/>
            </v:rect>
            <v:rect style="position:absolute;left:9588;top:2150;width:1116;height:202" filled="true" fillcolor="#bfbfbf" stroked="false">
              <v:fill type="solid"/>
            </v:rect>
            <v:shape style="position:absolute;left:9583;top:2145;width:8;height:406" type="#_x0000_t75" stroked="false">
              <v:imagedata r:id="rId1187" o:title=""/>
            </v:shape>
            <v:rect style="position:absolute;left:5092;top:2352;width:1148;height:202" filled="true" fillcolor="#bfbfbf" stroked="false">
              <v:fill type="solid"/>
            </v:rect>
            <v:rect style="position:absolute;left:6240;top:2352;width:1116;height:202" filled="true" fillcolor="#bfbfbf" stroked="false">
              <v:fill type="solid"/>
            </v:rect>
            <v:rect style="position:absolute;left:7356;top:2352;width:1116;height:202" filled="true" fillcolor="#bfbfbf" stroked="false">
              <v:fill type="solid"/>
            </v:rect>
            <v:rect style="position:absolute;left:8472;top:2352;width:1116;height:202" filled="true" fillcolor="#bfbfbf" stroked="false">
              <v:fill type="solid"/>
            </v:rect>
            <v:rect style="position:absolute;left:9588;top:2352;width:1116;height:202" filled="true" fillcolor="#bfbfbf" stroked="false">
              <v:fill type="solid"/>
            </v:rect>
            <v:shape style="position:absolute;left:9583;top:2347;width:8;height:406" type="#_x0000_t75" stroked="false">
              <v:imagedata r:id="rId1187" o:title=""/>
            </v:shape>
            <v:rect style="position:absolute;left:5092;top:2553;width:1148;height:202" filled="true" fillcolor="#bfbfbf" stroked="false">
              <v:fill type="solid"/>
            </v:rect>
            <v:rect style="position:absolute;left:6240;top:2553;width:1116;height:202" filled="true" fillcolor="#bfbfbf" stroked="false">
              <v:fill type="solid"/>
            </v:rect>
            <v:rect style="position:absolute;left:7356;top:2553;width:2232;height:202" filled="true" fillcolor="#bfbfbf" stroked="false">
              <v:fill type="solid"/>
            </v:rect>
            <v:rect style="position:absolute;left:9588;top:2553;width:1116;height:202" filled="true" fillcolor="#bfbfbf" stroked="false">
              <v:fill type="solid"/>
            </v:rect>
            <v:shape style="position:absolute;left:0;top:967;width:10714;height:2511" type="#_x0000_t75" stroked="false">
              <v:imagedata r:id="rId1271" o:title=""/>
            </v:shape>
            <v:rect style="position:absolute;left:5092;top:2755;width:1148;height:202" filled="true" fillcolor="#bfbfbf" stroked="false">
              <v:fill type="solid"/>
            </v:rect>
            <v:rect style="position:absolute;left:6240;top:2755;width:1116;height:202" filled="true" fillcolor="#bfbfbf" stroked="false">
              <v:fill type="solid"/>
            </v:rect>
            <v:shape style="position:absolute;left:7351;top:2750;width:8;height:204" type="#_x0000_t75" stroked="false">
              <v:imagedata r:id="rId1272" o:title=""/>
            </v:shape>
            <v:rect style="position:absolute;left:7356;top:2755;width:2232;height:202" filled="true" fillcolor="#bfbfbf" stroked="false">
              <v:fill type="solid"/>
            </v:rect>
            <v:shape style="position:absolute;left:9583;top:2750;width:8;height:204" type="#_x0000_t75" stroked="false">
              <v:imagedata r:id="rId1272" o:title=""/>
            </v:shape>
            <v:rect style="position:absolute;left:9588;top:2755;width:1116;height:202" filled="true" fillcolor="#bfbfbf" stroked="false">
              <v:fill type="solid"/>
            </v:rect>
            <v:rect style="position:absolute;left:5092;top:2956;width:1148;height:202" filled="true" fillcolor="#bfbfbf" stroked="false">
              <v:fill type="solid"/>
            </v:rect>
            <v:rect style="position:absolute;left:6240;top:2956;width:1116;height:202" filled="true" fillcolor="#bfbfbf" stroked="false">
              <v:fill type="solid"/>
            </v:rect>
            <v:shape style="position:absolute;left:7351;top:2952;width:8;height:204" type="#_x0000_t75" stroked="false">
              <v:imagedata r:id="rId1273" o:title=""/>
            </v:shape>
            <v:rect style="position:absolute;left:7356;top:2956;width:2232;height:202" filled="true" fillcolor="#bfbfbf" stroked="false">
              <v:fill type="solid"/>
            </v:rect>
            <v:shape style="position:absolute;left:9583;top:2952;width:8;height:204" type="#_x0000_t75" stroked="false">
              <v:imagedata r:id="rId1273" o:title=""/>
            </v:shape>
            <v:rect style="position:absolute;left:9588;top:2956;width:1116;height:202" filled="true" fillcolor="#bfbfbf" stroked="false">
              <v:fill type="solid"/>
            </v:rect>
            <v:shape style="position:absolute;left:0;top:3314;width:10714;height:4215" type="#_x0000_t75" stroked="false">
              <v:imagedata r:id="rId1274" o:title=""/>
            </v:shape>
            <v:shape style="position:absolute;left:0;top:4128;width:10714;height:3401" type="#_x0000_t75" stroked="false">
              <v:imagedata r:id="rId1275" o:title=""/>
            </v:shape>
            <v:shape style="position:absolute;left:40;top:610;width:3364;height:2703" type="#_x0000_t202" filled="false" stroked="false">
              <v:textbox inset="0,0,0,0">
                <w:txbxContent>
                  <w:p>
                    <w:pPr>
                      <w:spacing w:line="148" w:lineRule="exact" w:before="0"/>
                      <w:ind w:left="0" w:right="0" w:firstLine="0"/>
                      <w:jc w:val="left"/>
                      <w:rPr>
                        <w:rFonts w:ascii="Times New Roman"/>
                        <w:sz w:val="13"/>
                      </w:rPr>
                    </w:pPr>
                    <w:r>
                      <w:rPr>
                        <w:rFonts w:ascii="Times New Roman"/>
                        <w:w w:val="105"/>
                        <w:sz w:val="13"/>
                      </w:rPr>
                      <w:t>Description</w:t>
                    </w:r>
                  </w:p>
                  <w:p>
                    <w:pPr>
                      <w:numPr>
                        <w:ilvl w:val="0"/>
                        <w:numId w:val="54"/>
                      </w:numPr>
                      <w:tabs>
                        <w:tab w:pos="150" w:val="left" w:leader="none"/>
                      </w:tabs>
                      <w:spacing w:before="57"/>
                      <w:ind w:left="149" w:right="0" w:hanging="150"/>
                      <w:jc w:val="left"/>
                      <w:rPr>
                        <w:rFonts w:ascii="Times New Roman"/>
                        <w:sz w:val="13"/>
                      </w:rPr>
                    </w:pPr>
                    <w:r>
                      <w:rPr>
                        <w:rFonts w:ascii="Times New Roman"/>
                        <w:spacing w:val="-3"/>
                        <w:w w:val="105"/>
                        <w:sz w:val="13"/>
                      </w:rPr>
                      <w:t>AVAILABLE</w:t>
                    </w:r>
                    <w:r>
                      <w:rPr>
                        <w:rFonts w:ascii="Times New Roman"/>
                        <w:spacing w:val="-2"/>
                        <w:w w:val="105"/>
                        <w:sz w:val="13"/>
                      </w:rPr>
                      <w:t> </w:t>
                    </w:r>
                    <w:r>
                      <w:rPr>
                        <w:rFonts w:ascii="Times New Roman"/>
                        <w:w w:val="105"/>
                        <w:sz w:val="13"/>
                      </w:rPr>
                      <w:t>RESERVES</w:t>
                    </w:r>
                  </w:p>
                  <w:p>
                    <w:pPr>
                      <w:numPr>
                        <w:ilvl w:val="1"/>
                        <w:numId w:val="54"/>
                      </w:numPr>
                      <w:tabs>
                        <w:tab w:pos="202" w:val="left" w:leader="none"/>
                      </w:tabs>
                      <w:spacing w:before="52"/>
                      <w:ind w:left="201" w:right="0" w:hanging="135"/>
                      <w:jc w:val="left"/>
                      <w:rPr>
                        <w:rFonts w:ascii="Times New Roman"/>
                        <w:sz w:val="13"/>
                      </w:rPr>
                    </w:pPr>
                    <w:r>
                      <w:rPr>
                        <w:rFonts w:ascii="Times New Roman"/>
                        <w:w w:val="105"/>
                        <w:sz w:val="13"/>
                      </w:rPr>
                      <w:t>General</w:t>
                    </w:r>
                    <w:r>
                      <w:rPr>
                        <w:rFonts w:ascii="Times New Roman"/>
                        <w:spacing w:val="-3"/>
                        <w:w w:val="105"/>
                        <w:sz w:val="13"/>
                      </w:rPr>
                      <w:t> </w:t>
                    </w:r>
                    <w:r>
                      <w:rPr>
                        <w:rFonts w:ascii="Times New Roman"/>
                        <w:w w:val="105"/>
                        <w:sz w:val="13"/>
                      </w:rPr>
                      <w:t>Fund</w:t>
                    </w:r>
                  </w:p>
                  <w:p>
                    <w:pPr>
                      <w:numPr>
                        <w:ilvl w:val="2"/>
                        <w:numId w:val="54"/>
                      </w:numPr>
                      <w:tabs>
                        <w:tab w:pos="329" w:val="left" w:leader="none"/>
                      </w:tabs>
                      <w:spacing w:before="52"/>
                      <w:ind w:left="328" w:right="0" w:hanging="128"/>
                      <w:jc w:val="left"/>
                      <w:rPr>
                        <w:rFonts w:ascii="Times New Roman"/>
                        <w:sz w:val="13"/>
                      </w:rPr>
                    </w:pPr>
                    <w:r>
                      <w:rPr>
                        <w:rFonts w:ascii="Times New Roman"/>
                        <w:w w:val="105"/>
                        <w:sz w:val="13"/>
                      </w:rPr>
                      <w:t>Stabilization</w:t>
                    </w:r>
                    <w:r>
                      <w:rPr>
                        <w:rFonts w:ascii="Times New Roman"/>
                        <w:spacing w:val="-2"/>
                        <w:w w:val="105"/>
                        <w:sz w:val="13"/>
                      </w:rPr>
                      <w:t> </w:t>
                    </w:r>
                    <w:r>
                      <w:rPr>
                        <w:rFonts w:ascii="Times New Roman"/>
                        <w:w w:val="105"/>
                        <w:sz w:val="13"/>
                      </w:rPr>
                      <w:t>Arrangements</w:t>
                    </w:r>
                  </w:p>
                  <w:p>
                    <w:pPr>
                      <w:numPr>
                        <w:ilvl w:val="2"/>
                        <w:numId w:val="54"/>
                      </w:numPr>
                      <w:tabs>
                        <w:tab w:pos="336" w:val="left" w:leader="none"/>
                      </w:tabs>
                      <w:spacing w:before="21"/>
                      <w:ind w:left="335" w:right="0" w:hanging="135"/>
                      <w:jc w:val="left"/>
                      <w:rPr>
                        <w:rFonts w:ascii="Times New Roman"/>
                        <w:sz w:val="13"/>
                      </w:rPr>
                    </w:pPr>
                    <w:r>
                      <w:rPr>
                        <w:rFonts w:ascii="Times New Roman"/>
                        <w:w w:val="105"/>
                        <w:sz w:val="13"/>
                      </w:rPr>
                      <w:t>Reserve for Economic</w:t>
                    </w:r>
                    <w:r>
                      <w:rPr>
                        <w:rFonts w:ascii="Times New Roman"/>
                        <w:spacing w:val="-6"/>
                        <w:w w:val="105"/>
                        <w:sz w:val="13"/>
                      </w:rPr>
                      <w:t> </w:t>
                    </w:r>
                    <w:r>
                      <w:rPr>
                        <w:rFonts w:ascii="Times New Roman"/>
                        <w:w w:val="105"/>
                        <w:sz w:val="13"/>
                      </w:rPr>
                      <w:t>Uncertainties</w:t>
                    </w:r>
                  </w:p>
                  <w:p>
                    <w:pPr>
                      <w:numPr>
                        <w:ilvl w:val="2"/>
                        <w:numId w:val="54"/>
                      </w:numPr>
                      <w:tabs>
                        <w:tab w:pos="329" w:val="left" w:leader="none"/>
                      </w:tabs>
                      <w:spacing w:before="52"/>
                      <w:ind w:left="328" w:right="0" w:hanging="128"/>
                      <w:jc w:val="left"/>
                      <w:rPr>
                        <w:rFonts w:ascii="Times New Roman"/>
                        <w:sz w:val="13"/>
                      </w:rPr>
                    </w:pPr>
                    <w:r>
                      <w:rPr>
                        <w:rFonts w:ascii="Times New Roman"/>
                        <w:w w:val="105"/>
                        <w:sz w:val="13"/>
                      </w:rPr>
                      <w:t>Unassigned/Unappropriated</w:t>
                    </w:r>
                  </w:p>
                  <w:p>
                    <w:pPr>
                      <w:spacing w:before="52"/>
                      <w:ind w:left="0" w:right="0" w:firstLine="0"/>
                      <w:jc w:val="left"/>
                      <w:rPr>
                        <w:rFonts w:ascii="Times New Roman"/>
                        <w:sz w:val="13"/>
                      </w:rPr>
                    </w:pPr>
                    <w:r>
                      <w:rPr>
                        <w:rFonts w:ascii="Times New Roman"/>
                        <w:w w:val="105"/>
                        <w:sz w:val="13"/>
                      </w:rPr>
                      <w:t>(Enter reserve projections for subsequent years 1 and 2</w:t>
                    </w:r>
                  </w:p>
                  <w:p>
                    <w:pPr>
                      <w:spacing w:before="52"/>
                      <w:ind w:left="67" w:right="0" w:firstLine="0"/>
                      <w:jc w:val="left"/>
                      <w:rPr>
                        <w:rFonts w:ascii="Times New Roman"/>
                        <w:sz w:val="13"/>
                      </w:rPr>
                    </w:pPr>
                    <w:r>
                      <w:rPr>
                        <w:rFonts w:ascii="Times New Roman"/>
                        <w:w w:val="105"/>
                        <w:sz w:val="13"/>
                      </w:rPr>
                      <w:t>in</w:t>
                    </w:r>
                    <w:r>
                      <w:rPr>
                        <w:rFonts w:ascii="Times New Roman"/>
                        <w:spacing w:val="-6"/>
                        <w:w w:val="105"/>
                        <w:sz w:val="13"/>
                      </w:rPr>
                      <w:t> </w:t>
                    </w:r>
                    <w:r>
                      <w:rPr>
                        <w:rFonts w:ascii="Times New Roman"/>
                        <w:w w:val="105"/>
                        <w:sz w:val="13"/>
                      </w:rPr>
                      <w:t>Columns</w:t>
                    </w:r>
                    <w:r>
                      <w:rPr>
                        <w:rFonts w:ascii="Times New Roman"/>
                        <w:spacing w:val="-6"/>
                        <w:w w:val="105"/>
                        <w:sz w:val="13"/>
                      </w:rPr>
                      <w:t> </w:t>
                    </w:r>
                    <w:r>
                      <w:rPr>
                        <w:rFonts w:ascii="Times New Roman"/>
                        <w:w w:val="105"/>
                        <w:sz w:val="13"/>
                      </w:rPr>
                      <w:t>C</w:t>
                    </w:r>
                    <w:r>
                      <w:rPr>
                        <w:rFonts w:ascii="Times New Roman"/>
                        <w:spacing w:val="-6"/>
                        <w:w w:val="105"/>
                        <w:sz w:val="13"/>
                      </w:rPr>
                      <w:t> </w:t>
                    </w:r>
                    <w:r>
                      <w:rPr>
                        <w:rFonts w:ascii="Times New Roman"/>
                        <w:w w:val="105"/>
                        <w:sz w:val="13"/>
                      </w:rPr>
                      <w:t>and</w:t>
                    </w:r>
                    <w:r>
                      <w:rPr>
                        <w:rFonts w:ascii="Times New Roman"/>
                        <w:spacing w:val="-6"/>
                        <w:w w:val="105"/>
                        <w:sz w:val="13"/>
                      </w:rPr>
                      <w:t> </w:t>
                    </w:r>
                    <w:r>
                      <w:rPr>
                        <w:rFonts w:ascii="Times New Roman"/>
                        <w:w w:val="105"/>
                        <w:sz w:val="13"/>
                      </w:rPr>
                      <w:t>E;</w:t>
                    </w:r>
                    <w:r>
                      <w:rPr>
                        <w:rFonts w:ascii="Times New Roman"/>
                        <w:spacing w:val="-5"/>
                        <w:w w:val="105"/>
                        <w:sz w:val="13"/>
                      </w:rPr>
                      <w:t> </w:t>
                    </w:r>
                    <w:r>
                      <w:rPr>
                        <w:rFonts w:ascii="Times New Roman"/>
                        <w:w w:val="105"/>
                        <w:sz w:val="13"/>
                      </w:rPr>
                      <w:t>current</w:t>
                    </w:r>
                    <w:r>
                      <w:rPr>
                        <w:rFonts w:ascii="Times New Roman"/>
                        <w:spacing w:val="-6"/>
                        <w:w w:val="105"/>
                        <w:sz w:val="13"/>
                      </w:rPr>
                      <w:t> </w:t>
                    </w:r>
                    <w:r>
                      <w:rPr>
                        <w:rFonts w:ascii="Times New Roman"/>
                        <w:w w:val="105"/>
                        <w:sz w:val="13"/>
                      </w:rPr>
                      <w:t>year</w:t>
                    </w:r>
                    <w:r>
                      <w:rPr>
                        <w:rFonts w:ascii="Times New Roman"/>
                        <w:spacing w:val="-5"/>
                        <w:w w:val="105"/>
                        <w:sz w:val="13"/>
                      </w:rPr>
                      <w:t> </w:t>
                    </w:r>
                    <w:r>
                      <w:rPr>
                        <w:rFonts w:ascii="Times New Roman"/>
                        <w:w w:val="105"/>
                        <w:sz w:val="13"/>
                      </w:rPr>
                      <w:t>-</w:t>
                    </w:r>
                    <w:r>
                      <w:rPr>
                        <w:rFonts w:ascii="Times New Roman"/>
                        <w:spacing w:val="-8"/>
                        <w:w w:val="105"/>
                        <w:sz w:val="13"/>
                      </w:rPr>
                      <w:t> </w:t>
                    </w:r>
                    <w:r>
                      <w:rPr>
                        <w:rFonts w:ascii="Times New Roman"/>
                        <w:w w:val="105"/>
                        <w:sz w:val="13"/>
                      </w:rPr>
                      <w:t>Column</w:t>
                    </w:r>
                    <w:r>
                      <w:rPr>
                        <w:rFonts w:ascii="Times New Roman"/>
                        <w:spacing w:val="-6"/>
                        <w:w w:val="105"/>
                        <w:sz w:val="13"/>
                      </w:rPr>
                      <w:t> </w:t>
                    </w:r>
                    <w:r>
                      <w:rPr>
                        <w:rFonts w:ascii="Times New Roman"/>
                        <w:w w:val="105"/>
                        <w:sz w:val="13"/>
                      </w:rPr>
                      <w:t>A</w:t>
                    </w:r>
                    <w:r>
                      <w:rPr>
                        <w:rFonts w:ascii="Times New Roman"/>
                        <w:spacing w:val="-8"/>
                        <w:w w:val="105"/>
                        <w:sz w:val="13"/>
                      </w:rPr>
                      <w:t> </w:t>
                    </w:r>
                    <w:r>
                      <w:rPr>
                        <w:rFonts w:ascii="Times New Roman"/>
                        <w:w w:val="105"/>
                        <w:sz w:val="13"/>
                      </w:rPr>
                      <w:t>-</w:t>
                    </w:r>
                    <w:r>
                      <w:rPr>
                        <w:rFonts w:ascii="Times New Roman"/>
                        <w:spacing w:val="-7"/>
                        <w:w w:val="105"/>
                        <w:sz w:val="13"/>
                      </w:rPr>
                      <w:t> </w:t>
                    </w:r>
                    <w:r>
                      <w:rPr>
                        <w:rFonts w:ascii="Times New Roman"/>
                        <w:w w:val="105"/>
                        <w:sz w:val="13"/>
                      </w:rPr>
                      <w:t>is</w:t>
                    </w:r>
                    <w:r>
                      <w:rPr>
                        <w:rFonts w:ascii="Times New Roman"/>
                        <w:spacing w:val="-6"/>
                        <w:w w:val="105"/>
                        <w:sz w:val="13"/>
                      </w:rPr>
                      <w:t> </w:t>
                    </w:r>
                    <w:r>
                      <w:rPr>
                        <w:rFonts w:ascii="Times New Roman"/>
                        <w:w w:val="105"/>
                        <w:sz w:val="13"/>
                      </w:rPr>
                      <w:t>extracted.)</w:t>
                    </w:r>
                  </w:p>
                  <w:p>
                    <w:pPr>
                      <w:numPr>
                        <w:ilvl w:val="1"/>
                        <w:numId w:val="54"/>
                      </w:numPr>
                      <w:tabs>
                        <w:tab w:pos="202" w:val="left" w:leader="none"/>
                      </w:tabs>
                      <w:spacing w:before="52"/>
                      <w:ind w:left="201" w:right="0" w:hanging="135"/>
                      <w:jc w:val="left"/>
                      <w:rPr>
                        <w:rFonts w:ascii="Times New Roman"/>
                        <w:sz w:val="13"/>
                      </w:rPr>
                    </w:pPr>
                    <w:r>
                      <w:rPr>
                        <w:rFonts w:ascii="Times New Roman"/>
                        <w:w w:val="105"/>
                        <w:sz w:val="13"/>
                      </w:rPr>
                      <w:t>Special</w:t>
                    </w:r>
                    <w:r>
                      <w:rPr>
                        <w:rFonts w:ascii="Times New Roman"/>
                        <w:spacing w:val="-7"/>
                        <w:w w:val="105"/>
                        <w:sz w:val="13"/>
                      </w:rPr>
                      <w:t> </w:t>
                    </w:r>
                    <w:r>
                      <w:rPr>
                        <w:rFonts w:ascii="Times New Roman"/>
                        <w:w w:val="105"/>
                        <w:sz w:val="13"/>
                      </w:rPr>
                      <w:t>Reserve</w:t>
                    </w:r>
                    <w:r>
                      <w:rPr>
                        <w:rFonts w:ascii="Times New Roman"/>
                        <w:spacing w:val="-4"/>
                        <w:w w:val="105"/>
                        <w:sz w:val="13"/>
                      </w:rPr>
                      <w:t> </w:t>
                    </w:r>
                    <w:r>
                      <w:rPr>
                        <w:rFonts w:ascii="Times New Roman"/>
                        <w:w w:val="105"/>
                        <w:sz w:val="13"/>
                      </w:rPr>
                      <w:t>Fund</w:t>
                    </w:r>
                    <w:r>
                      <w:rPr>
                        <w:rFonts w:ascii="Times New Roman"/>
                        <w:spacing w:val="-5"/>
                        <w:w w:val="105"/>
                        <w:sz w:val="13"/>
                      </w:rPr>
                      <w:t> </w:t>
                    </w:r>
                    <w:r>
                      <w:rPr>
                        <w:rFonts w:ascii="Times New Roman"/>
                        <w:w w:val="105"/>
                        <w:sz w:val="13"/>
                      </w:rPr>
                      <w:t>-</w:t>
                    </w:r>
                    <w:r>
                      <w:rPr>
                        <w:rFonts w:ascii="Times New Roman"/>
                        <w:spacing w:val="-6"/>
                        <w:w w:val="105"/>
                        <w:sz w:val="13"/>
                      </w:rPr>
                      <w:t> </w:t>
                    </w:r>
                    <w:r>
                      <w:rPr>
                        <w:rFonts w:ascii="Times New Roman"/>
                        <w:w w:val="105"/>
                        <w:sz w:val="13"/>
                      </w:rPr>
                      <w:t>Noncapital</w:t>
                    </w:r>
                    <w:r>
                      <w:rPr>
                        <w:rFonts w:ascii="Times New Roman"/>
                        <w:spacing w:val="-7"/>
                        <w:w w:val="105"/>
                        <w:sz w:val="13"/>
                      </w:rPr>
                      <w:t> </w:t>
                    </w:r>
                    <w:r>
                      <w:rPr>
                        <w:rFonts w:ascii="Times New Roman"/>
                        <w:w w:val="105"/>
                        <w:sz w:val="13"/>
                      </w:rPr>
                      <w:t>Outlay</w:t>
                    </w:r>
                    <w:r>
                      <w:rPr>
                        <w:rFonts w:ascii="Times New Roman"/>
                        <w:spacing w:val="-7"/>
                        <w:w w:val="105"/>
                        <w:sz w:val="13"/>
                      </w:rPr>
                      <w:t> </w:t>
                    </w:r>
                    <w:r>
                      <w:rPr>
                        <w:rFonts w:ascii="Times New Roman"/>
                        <w:w w:val="105"/>
                        <w:sz w:val="13"/>
                      </w:rPr>
                      <w:t>(Fund</w:t>
                    </w:r>
                    <w:r>
                      <w:rPr>
                        <w:rFonts w:ascii="Times New Roman"/>
                        <w:spacing w:val="-4"/>
                        <w:w w:val="105"/>
                        <w:sz w:val="13"/>
                      </w:rPr>
                      <w:t> </w:t>
                    </w:r>
                    <w:r>
                      <w:rPr>
                        <w:rFonts w:ascii="Times New Roman"/>
                        <w:w w:val="105"/>
                        <w:sz w:val="13"/>
                      </w:rPr>
                      <w:t>17)</w:t>
                    </w:r>
                  </w:p>
                  <w:p>
                    <w:pPr>
                      <w:numPr>
                        <w:ilvl w:val="2"/>
                        <w:numId w:val="54"/>
                      </w:numPr>
                      <w:tabs>
                        <w:tab w:pos="329" w:val="left" w:leader="none"/>
                      </w:tabs>
                      <w:spacing w:before="52"/>
                      <w:ind w:left="328" w:right="0" w:hanging="128"/>
                      <w:jc w:val="left"/>
                      <w:rPr>
                        <w:rFonts w:ascii="Times New Roman"/>
                        <w:sz w:val="13"/>
                      </w:rPr>
                    </w:pPr>
                    <w:r>
                      <w:rPr>
                        <w:rFonts w:ascii="Times New Roman"/>
                        <w:w w:val="105"/>
                        <w:sz w:val="13"/>
                      </w:rPr>
                      <w:t>Stabilization</w:t>
                    </w:r>
                    <w:r>
                      <w:rPr>
                        <w:rFonts w:ascii="Times New Roman"/>
                        <w:spacing w:val="-2"/>
                        <w:w w:val="105"/>
                        <w:sz w:val="13"/>
                      </w:rPr>
                      <w:t> </w:t>
                    </w:r>
                    <w:r>
                      <w:rPr>
                        <w:rFonts w:ascii="Times New Roman"/>
                        <w:w w:val="105"/>
                        <w:sz w:val="13"/>
                      </w:rPr>
                      <w:t>Arrangements</w:t>
                    </w:r>
                  </w:p>
                  <w:p>
                    <w:pPr>
                      <w:numPr>
                        <w:ilvl w:val="2"/>
                        <w:numId w:val="54"/>
                      </w:numPr>
                      <w:tabs>
                        <w:tab w:pos="336" w:val="left" w:leader="none"/>
                      </w:tabs>
                      <w:spacing w:before="52"/>
                      <w:ind w:left="335" w:right="0" w:hanging="135"/>
                      <w:jc w:val="left"/>
                      <w:rPr>
                        <w:rFonts w:ascii="Times New Roman"/>
                        <w:sz w:val="13"/>
                      </w:rPr>
                    </w:pPr>
                    <w:r>
                      <w:rPr>
                        <w:rFonts w:ascii="Times New Roman"/>
                        <w:w w:val="105"/>
                        <w:sz w:val="13"/>
                      </w:rPr>
                      <w:t>Reserve for Economic</w:t>
                    </w:r>
                    <w:r>
                      <w:rPr>
                        <w:rFonts w:ascii="Times New Roman"/>
                        <w:spacing w:val="-6"/>
                        <w:w w:val="105"/>
                        <w:sz w:val="13"/>
                      </w:rPr>
                      <w:t> </w:t>
                    </w:r>
                    <w:r>
                      <w:rPr>
                        <w:rFonts w:ascii="Times New Roman"/>
                        <w:w w:val="105"/>
                        <w:sz w:val="13"/>
                      </w:rPr>
                      <w:t>Uncertainties</w:t>
                    </w:r>
                  </w:p>
                  <w:p>
                    <w:pPr>
                      <w:numPr>
                        <w:ilvl w:val="2"/>
                        <w:numId w:val="54"/>
                      </w:numPr>
                      <w:tabs>
                        <w:tab w:pos="329" w:val="left" w:leader="none"/>
                      </w:tabs>
                      <w:spacing w:before="53"/>
                      <w:ind w:left="328" w:right="0" w:hanging="128"/>
                      <w:jc w:val="left"/>
                      <w:rPr>
                        <w:rFonts w:ascii="Times New Roman"/>
                        <w:sz w:val="13"/>
                      </w:rPr>
                    </w:pPr>
                    <w:r>
                      <w:rPr>
                        <w:rFonts w:ascii="Times New Roman"/>
                        <w:w w:val="105"/>
                        <w:sz w:val="13"/>
                      </w:rPr>
                      <w:t>Unassigned/Unappropriated</w:t>
                    </w:r>
                  </w:p>
                  <w:p>
                    <w:pPr>
                      <w:numPr>
                        <w:ilvl w:val="1"/>
                        <w:numId w:val="54"/>
                      </w:numPr>
                      <w:tabs>
                        <w:tab w:pos="202" w:val="left" w:leader="none"/>
                      </w:tabs>
                      <w:spacing w:before="52"/>
                      <w:ind w:left="201" w:right="0" w:hanging="135"/>
                      <w:jc w:val="left"/>
                      <w:rPr>
                        <w:rFonts w:ascii="Times New Roman"/>
                        <w:sz w:val="13"/>
                      </w:rPr>
                    </w:pPr>
                    <w:r>
                      <w:rPr>
                        <w:rFonts w:ascii="Times New Roman"/>
                        <w:w w:val="105"/>
                        <w:sz w:val="13"/>
                      </w:rPr>
                      <w:t>Total</w:t>
                    </w:r>
                    <w:r>
                      <w:rPr>
                        <w:rFonts w:ascii="Times New Roman"/>
                        <w:spacing w:val="-6"/>
                        <w:w w:val="105"/>
                        <w:sz w:val="13"/>
                      </w:rPr>
                      <w:t> </w:t>
                    </w:r>
                    <w:r>
                      <w:rPr>
                        <w:rFonts w:ascii="Times New Roman"/>
                        <w:w w:val="105"/>
                        <w:sz w:val="13"/>
                      </w:rPr>
                      <w:t>Available</w:t>
                    </w:r>
                    <w:r>
                      <w:rPr>
                        <w:rFonts w:ascii="Times New Roman"/>
                        <w:spacing w:val="-4"/>
                        <w:w w:val="105"/>
                        <w:sz w:val="13"/>
                      </w:rPr>
                      <w:t> </w:t>
                    </w:r>
                    <w:r>
                      <w:rPr>
                        <w:rFonts w:ascii="Times New Roman"/>
                        <w:w w:val="105"/>
                        <w:sz w:val="13"/>
                      </w:rPr>
                      <w:t>Reserves</w:t>
                    </w:r>
                    <w:r>
                      <w:rPr>
                        <w:rFonts w:ascii="Times New Roman"/>
                        <w:spacing w:val="-4"/>
                        <w:w w:val="105"/>
                        <w:sz w:val="13"/>
                      </w:rPr>
                      <w:t> </w:t>
                    </w:r>
                    <w:r>
                      <w:rPr>
                        <w:rFonts w:ascii="Times New Roman"/>
                        <w:w w:val="105"/>
                        <w:sz w:val="13"/>
                      </w:rPr>
                      <w:t>(Sum</w:t>
                    </w:r>
                    <w:r>
                      <w:rPr>
                        <w:rFonts w:ascii="Times New Roman"/>
                        <w:spacing w:val="-6"/>
                        <w:w w:val="105"/>
                        <w:sz w:val="13"/>
                      </w:rPr>
                      <w:t> </w:t>
                    </w:r>
                    <w:r>
                      <w:rPr>
                        <w:rFonts w:ascii="Times New Roman"/>
                        <w:w w:val="105"/>
                        <w:sz w:val="13"/>
                      </w:rPr>
                      <w:t>lines</w:t>
                    </w:r>
                    <w:r>
                      <w:rPr>
                        <w:rFonts w:ascii="Times New Roman"/>
                        <w:spacing w:val="-4"/>
                        <w:w w:val="105"/>
                        <w:sz w:val="13"/>
                      </w:rPr>
                      <w:t> </w:t>
                    </w:r>
                    <w:r>
                      <w:rPr>
                        <w:rFonts w:ascii="Times New Roman"/>
                        <w:w w:val="105"/>
                        <w:sz w:val="13"/>
                      </w:rPr>
                      <w:t>E1a</w:t>
                    </w:r>
                    <w:r>
                      <w:rPr>
                        <w:rFonts w:ascii="Times New Roman"/>
                        <w:spacing w:val="-4"/>
                        <w:w w:val="105"/>
                        <w:sz w:val="13"/>
                      </w:rPr>
                      <w:t> </w:t>
                    </w:r>
                    <w:r>
                      <w:rPr>
                        <w:rFonts w:ascii="Times New Roman"/>
                        <w:w w:val="105"/>
                        <w:sz w:val="13"/>
                      </w:rPr>
                      <w:t>thru</w:t>
                    </w:r>
                    <w:r>
                      <w:rPr>
                        <w:rFonts w:ascii="Times New Roman"/>
                        <w:spacing w:val="-3"/>
                        <w:w w:val="105"/>
                        <w:sz w:val="13"/>
                      </w:rPr>
                      <w:t> </w:t>
                    </w:r>
                    <w:r>
                      <w:rPr>
                        <w:rFonts w:ascii="Times New Roman"/>
                        <w:w w:val="105"/>
                        <w:sz w:val="13"/>
                      </w:rPr>
                      <w:t>E2c)</w:t>
                    </w:r>
                  </w:p>
                  <w:p>
                    <w:pPr>
                      <w:numPr>
                        <w:ilvl w:val="0"/>
                        <w:numId w:val="54"/>
                      </w:numPr>
                      <w:tabs>
                        <w:tab w:pos="140" w:val="left" w:leader="none"/>
                      </w:tabs>
                      <w:spacing w:before="11"/>
                      <w:ind w:left="139" w:right="0" w:hanging="140"/>
                      <w:jc w:val="left"/>
                      <w:rPr>
                        <w:rFonts w:ascii="Times New Roman"/>
                        <w:sz w:val="13"/>
                      </w:rPr>
                    </w:pPr>
                    <w:r>
                      <w:rPr>
                        <w:rFonts w:ascii="Times New Roman"/>
                        <w:w w:val="105"/>
                        <w:sz w:val="13"/>
                      </w:rPr>
                      <w:t>ASSUMPTIONS</w:t>
                    </w:r>
                  </w:p>
                </w:txbxContent>
              </v:textbox>
              <w10:wrap type="none"/>
            </v:shape>
            <v:shape style="position:absolute;left:4308;top:456;width:379;height:303" type="#_x0000_t202" filled="false" stroked="false">
              <v:textbox inset="0,0,0,0">
                <w:txbxContent>
                  <w:p>
                    <w:pPr>
                      <w:spacing w:line="247" w:lineRule="auto" w:before="0"/>
                      <w:ind w:left="11" w:right="6" w:hanging="12"/>
                      <w:jc w:val="left"/>
                      <w:rPr>
                        <w:rFonts w:ascii="Times New Roman"/>
                        <w:sz w:val="13"/>
                      </w:rPr>
                    </w:pPr>
                    <w:r>
                      <w:rPr>
                        <w:rFonts w:ascii="Times New Roman"/>
                        <w:sz w:val="13"/>
                      </w:rPr>
                      <w:t>Object </w:t>
                    </w:r>
                    <w:r>
                      <w:rPr>
                        <w:rFonts w:ascii="Times New Roman"/>
                        <w:w w:val="105"/>
                        <w:sz w:val="13"/>
                      </w:rPr>
                      <w:t>Codes</w:t>
                    </w:r>
                  </w:p>
                </w:txbxContent>
              </v:textbox>
              <w10:wrap type="none"/>
            </v:shape>
            <v:shape style="position:absolute;left:5397;top:149;width:567;height:610" type="#_x0000_t202" filled="false" stroked="false">
              <v:textbox inset="0,0,0,0">
                <w:txbxContent>
                  <w:p>
                    <w:pPr>
                      <w:spacing w:line="148" w:lineRule="exact" w:before="0"/>
                      <w:ind w:left="27" w:right="45" w:firstLine="0"/>
                      <w:jc w:val="center"/>
                      <w:rPr>
                        <w:rFonts w:ascii="Times New Roman"/>
                        <w:sz w:val="13"/>
                      </w:rPr>
                    </w:pPr>
                    <w:r>
                      <w:rPr>
                        <w:rFonts w:ascii="Times New Roman"/>
                        <w:w w:val="105"/>
                        <w:sz w:val="13"/>
                      </w:rPr>
                      <w:t>2021-22</w:t>
                    </w:r>
                  </w:p>
                  <w:p>
                    <w:pPr>
                      <w:spacing w:line="247" w:lineRule="auto" w:before="4"/>
                      <w:ind w:left="0" w:right="18" w:firstLine="2"/>
                      <w:jc w:val="center"/>
                      <w:rPr>
                        <w:rFonts w:ascii="Times New Roman"/>
                        <w:sz w:val="13"/>
                      </w:rPr>
                    </w:pPr>
                    <w:r>
                      <w:rPr>
                        <w:rFonts w:ascii="Times New Roman"/>
                        <w:w w:val="105"/>
                        <w:sz w:val="13"/>
                      </w:rPr>
                      <w:t>Budget (Form </w:t>
                    </w:r>
                    <w:r>
                      <w:rPr>
                        <w:rFonts w:ascii="Times New Roman"/>
                        <w:spacing w:val="-5"/>
                        <w:w w:val="105"/>
                        <w:sz w:val="13"/>
                      </w:rPr>
                      <w:t>01) </w:t>
                    </w:r>
                    <w:r>
                      <w:rPr>
                        <w:rFonts w:ascii="Times New Roman"/>
                        <w:w w:val="105"/>
                        <w:sz w:val="13"/>
                      </w:rPr>
                      <w:t>(A)</w:t>
                    </w:r>
                  </w:p>
                </w:txbxContent>
              </v:textbox>
              <w10:wrap type="none"/>
            </v:shape>
            <v:shape style="position:absolute;left:6422;top:149;width:779;height:610" type="#_x0000_t202" filled="false" stroked="false">
              <v:textbox inset="0,0,0,0">
                <w:txbxContent>
                  <w:p>
                    <w:pPr>
                      <w:spacing w:line="148" w:lineRule="exact" w:before="0"/>
                      <w:ind w:left="14" w:right="0" w:firstLine="0"/>
                      <w:jc w:val="center"/>
                      <w:rPr>
                        <w:rFonts w:ascii="Times New Roman"/>
                        <w:sz w:val="13"/>
                      </w:rPr>
                    </w:pPr>
                    <w:r>
                      <w:rPr>
                        <w:rFonts w:ascii="Times New Roman"/>
                        <w:w w:val="103"/>
                        <w:sz w:val="13"/>
                      </w:rPr>
                      <w:t>%</w:t>
                    </w:r>
                  </w:p>
                  <w:p>
                    <w:pPr>
                      <w:spacing w:line="247" w:lineRule="auto" w:before="4"/>
                      <w:ind w:left="0" w:right="18" w:firstLine="3"/>
                      <w:jc w:val="center"/>
                      <w:rPr>
                        <w:rFonts w:ascii="Times New Roman"/>
                        <w:sz w:val="13"/>
                      </w:rPr>
                    </w:pPr>
                    <w:r>
                      <w:rPr>
                        <w:rFonts w:ascii="Times New Roman"/>
                        <w:w w:val="105"/>
                        <w:sz w:val="13"/>
                      </w:rPr>
                      <w:t>Change (Cols.</w:t>
                    </w:r>
                    <w:r>
                      <w:rPr>
                        <w:rFonts w:ascii="Times New Roman"/>
                        <w:spacing w:val="-8"/>
                        <w:w w:val="105"/>
                        <w:sz w:val="13"/>
                      </w:rPr>
                      <w:t> </w:t>
                    </w:r>
                    <w:r>
                      <w:rPr>
                        <w:rFonts w:ascii="Times New Roman"/>
                        <w:spacing w:val="-5"/>
                        <w:w w:val="105"/>
                        <w:sz w:val="13"/>
                      </w:rPr>
                      <w:t>C-A/A) </w:t>
                    </w:r>
                    <w:r>
                      <w:rPr>
                        <w:rFonts w:ascii="Times New Roman"/>
                        <w:w w:val="105"/>
                        <w:sz w:val="13"/>
                      </w:rPr>
                      <w:t>(B)</w:t>
                    </w:r>
                  </w:p>
                </w:txbxContent>
              </v:textbox>
              <w10:wrap type="none"/>
            </v:shape>
            <v:shape style="position:absolute;left:7641;top:302;width:577;height:456" type="#_x0000_t202" filled="false" stroked="false">
              <v:textbox inset="0,0,0,0">
                <w:txbxContent>
                  <w:p>
                    <w:pPr>
                      <w:spacing w:line="148" w:lineRule="exact" w:before="0"/>
                      <w:ind w:left="55" w:right="0" w:firstLine="0"/>
                      <w:jc w:val="left"/>
                      <w:rPr>
                        <w:rFonts w:ascii="Times New Roman"/>
                        <w:sz w:val="13"/>
                      </w:rPr>
                    </w:pPr>
                    <w:r>
                      <w:rPr>
                        <w:rFonts w:ascii="Times New Roman"/>
                        <w:w w:val="105"/>
                        <w:sz w:val="13"/>
                      </w:rPr>
                      <w:t>2022-23</w:t>
                    </w:r>
                  </w:p>
                  <w:p>
                    <w:pPr>
                      <w:spacing w:line="247" w:lineRule="auto" w:before="4"/>
                      <w:ind w:left="187" w:right="0" w:hanging="188"/>
                      <w:jc w:val="left"/>
                      <w:rPr>
                        <w:rFonts w:ascii="Times New Roman"/>
                        <w:sz w:val="13"/>
                      </w:rPr>
                    </w:pPr>
                    <w:r>
                      <w:rPr>
                        <w:rFonts w:ascii="Times New Roman"/>
                        <w:sz w:val="13"/>
                      </w:rPr>
                      <w:t>Projection </w:t>
                    </w:r>
                    <w:r>
                      <w:rPr>
                        <w:rFonts w:ascii="Times New Roman"/>
                        <w:w w:val="105"/>
                        <w:sz w:val="13"/>
                      </w:rPr>
                      <w:t>(C)</w:t>
                    </w:r>
                  </w:p>
                </w:txbxContent>
              </v:textbox>
              <w10:wrap type="none"/>
            </v:shape>
            <v:shape style="position:absolute;left:8664;top:149;width:763;height:610" type="#_x0000_t202" filled="false" stroked="false">
              <v:textbox inset="0,0,0,0">
                <w:txbxContent>
                  <w:p>
                    <w:pPr>
                      <w:spacing w:line="148" w:lineRule="exact" w:before="0"/>
                      <w:ind w:left="0" w:right="19" w:firstLine="0"/>
                      <w:jc w:val="center"/>
                      <w:rPr>
                        <w:rFonts w:ascii="Times New Roman"/>
                        <w:sz w:val="13"/>
                      </w:rPr>
                    </w:pPr>
                    <w:r>
                      <w:rPr>
                        <w:rFonts w:ascii="Times New Roman"/>
                        <w:w w:val="103"/>
                        <w:sz w:val="13"/>
                      </w:rPr>
                      <w:t>%</w:t>
                    </w:r>
                  </w:p>
                  <w:p>
                    <w:pPr>
                      <w:spacing w:line="247" w:lineRule="auto" w:before="4"/>
                      <w:ind w:left="0" w:right="18" w:firstLine="0"/>
                      <w:jc w:val="center"/>
                      <w:rPr>
                        <w:rFonts w:ascii="Times New Roman"/>
                        <w:sz w:val="13"/>
                      </w:rPr>
                    </w:pPr>
                    <w:r>
                      <w:rPr>
                        <w:rFonts w:ascii="Times New Roman"/>
                        <w:w w:val="105"/>
                        <w:sz w:val="13"/>
                      </w:rPr>
                      <w:t>Change (Cols. </w:t>
                    </w:r>
                    <w:r>
                      <w:rPr>
                        <w:rFonts w:ascii="Times New Roman"/>
                        <w:spacing w:val="-4"/>
                        <w:w w:val="105"/>
                        <w:sz w:val="13"/>
                      </w:rPr>
                      <w:t>E-C/C) </w:t>
                    </w:r>
                    <w:r>
                      <w:rPr>
                        <w:rFonts w:ascii="Times New Roman"/>
                        <w:w w:val="105"/>
                        <w:sz w:val="13"/>
                      </w:rPr>
                      <w:t>(D)</w:t>
                    </w:r>
                  </w:p>
                </w:txbxContent>
              </v:textbox>
              <w10:wrap type="none"/>
            </v:shape>
            <v:shape style="position:absolute;left:9873;top:302;width:577;height:456" type="#_x0000_t202" filled="false" stroked="false">
              <v:textbox inset="0,0,0,0">
                <w:txbxContent>
                  <w:p>
                    <w:pPr>
                      <w:spacing w:line="148" w:lineRule="exact" w:before="0"/>
                      <w:ind w:left="55" w:right="0" w:firstLine="0"/>
                      <w:jc w:val="left"/>
                      <w:rPr>
                        <w:rFonts w:ascii="Times New Roman"/>
                        <w:sz w:val="13"/>
                      </w:rPr>
                    </w:pPr>
                    <w:r>
                      <w:rPr>
                        <w:rFonts w:ascii="Times New Roman"/>
                        <w:w w:val="105"/>
                        <w:sz w:val="13"/>
                      </w:rPr>
                      <w:t>2023-24</w:t>
                    </w:r>
                  </w:p>
                  <w:p>
                    <w:pPr>
                      <w:spacing w:line="247" w:lineRule="auto" w:before="4"/>
                      <w:ind w:left="191" w:right="0" w:hanging="192"/>
                      <w:jc w:val="left"/>
                      <w:rPr>
                        <w:rFonts w:ascii="Times New Roman"/>
                        <w:sz w:val="13"/>
                      </w:rPr>
                    </w:pPr>
                    <w:r>
                      <w:rPr>
                        <w:rFonts w:ascii="Times New Roman"/>
                        <w:sz w:val="13"/>
                      </w:rPr>
                      <w:t>Projection </w:t>
                    </w:r>
                    <w:r>
                      <w:rPr>
                        <w:rFonts w:ascii="Times New Roman"/>
                        <w:w w:val="105"/>
                        <w:sz w:val="13"/>
                      </w:rPr>
                      <w:t>(E)</w:t>
                    </w:r>
                  </w:p>
                </w:txbxContent>
              </v:textbox>
              <w10:wrap type="none"/>
            </v:shape>
            <v:shape style="position:absolute;left:4346;top:1219;width:289;height:521" type="#_x0000_t202" filled="false" stroked="false">
              <v:textbox inset="0,0,0,0">
                <w:txbxContent>
                  <w:p>
                    <w:pPr>
                      <w:spacing w:line="148" w:lineRule="exact" w:before="0"/>
                      <w:ind w:left="0" w:right="0" w:firstLine="0"/>
                      <w:jc w:val="left"/>
                      <w:rPr>
                        <w:rFonts w:ascii="Times New Roman"/>
                        <w:sz w:val="13"/>
                      </w:rPr>
                    </w:pPr>
                    <w:r>
                      <w:rPr>
                        <w:rFonts w:ascii="Times New Roman"/>
                        <w:w w:val="105"/>
                        <w:sz w:val="13"/>
                      </w:rPr>
                      <w:t>9750</w:t>
                    </w:r>
                  </w:p>
                  <w:p>
                    <w:pPr>
                      <w:spacing w:before="21"/>
                      <w:ind w:left="0" w:right="0" w:firstLine="0"/>
                      <w:jc w:val="left"/>
                      <w:rPr>
                        <w:rFonts w:ascii="Times New Roman"/>
                        <w:sz w:val="13"/>
                      </w:rPr>
                    </w:pPr>
                    <w:r>
                      <w:rPr>
                        <w:rFonts w:ascii="Times New Roman"/>
                        <w:w w:val="105"/>
                        <w:sz w:val="13"/>
                      </w:rPr>
                      <w:t>9789</w:t>
                    </w:r>
                  </w:p>
                  <w:p>
                    <w:pPr>
                      <w:spacing w:before="52"/>
                      <w:ind w:left="0" w:right="0" w:firstLine="0"/>
                      <w:jc w:val="left"/>
                      <w:rPr>
                        <w:rFonts w:ascii="Times New Roman"/>
                        <w:sz w:val="13"/>
                      </w:rPr>
                    </w:pPr>
                    <w:r>
                      <w:rPr>
                        <w:rFonts w:ascii="Times New Roman"/>
                        <w:w w:val="105"/>
                        <w:sz w:val="13"/>
                      </w:rPr>
                      <w:t>9790</w:t>
                    </w:r>
                  </w:p>
                </w:txbxContent>
              </v:textbox>
              <w10:wrap type="none"/>
            </v:shape>
            <v:shape style="position:absolute;left:4346;top:2398;width:289;height:552" type="#_x0000_t202" filled="false" stroked="false">
              <v:textbox inset="0,0,0,0">
                <w:txbxContent>
                  <w:p>
                    <w:pPr>
                      <w:spacing w:line="148" w:lineRule="exact" w:before="0"/>
                      <w:ind w:left="0" w:right="0" w:firstLine="0"/>
                      <w:jc w:val="left"/>
                      <w:rPr>
                        <w:rFonts w:ascii="Times New Roman"/>
                        <w:sz w:val="13"/>
                      </w:rPr>
                    </w:pPr>
                    <w:r>
                      <w:rPr>
                        <w:rFonts w:ascii="Times New Roman"/>
                        <w:w w:val="105"/>
                        <w:sz w:val="13"/>
                      </w:rPr>
                      <w:t>9750</w:t>
                    </w:r>
                  </w:p>
                  <w:p>
                    <w:pPr>
                      <w:spacing w:before="52"/>
                      <w:ind w:left="0" w:right="0" w:firstLine="0"/>
                      <w:jc w:val="left"/>
                      <w:rPr>
                        <w:rFonts w:ascii="Times New Roman"/>
                        <w:sz w:val="13"/>
                      </w:rPr>
                    </w:pPr>
                    <w:r>
                      <w:rPr>
                        <w:rFonts w:ascii="Times New Roman"/>
                        <w:w w:val="105"/>
                        <w:sz w:val="13"/>
                      </w:rPr>
                      <w:t>9789</w:t>
                    </w:r>
                  </w:p>
                  <w:p>
                    <w:pPr>
                      <w:spacing w:before="52"/>
                      <w:ind w:left="0" w:right="0" w:firstLine="0"/>
                      <w:jc w:val="left"/>
                      <w:rPr>
                        <w:rFonts w:ascii="Times New Roman"/>
                        <w:sz w:val="13"/>
                      </w:rPr>
                    </w:pPr>
                    <w:r>
                      <w:rPr>
                        <w:rFonts w:ascii="Times New Roman"/>
                        <w:w w:val="105"/>
                        <w:sz w:val="13"/>
                      </w:rPr>
                      <w:t>9790</w:t>
                    </w:r>
                  </w:p>
                </w:txbxContent>
              </v:textbox>
              <w10:wrap type="none"/>
            </v:shape>
            <v:shape style="position:absolute;left:40;top:3324;width:10521;height:1111" type="#_x0000_t202" filled="false" stroked="false">
              <v:textbox inset="0,0,0,0">
                <w:txbxContent>
                  <w:p>
                    <w:pPr>
                      <w:spacing w:line="264" w:lineRule="auto" w:before="0"/>
                      <w:ind w:left="0" w:right="3972" w:firstLine="0"/>
                      <w:jc w:val="left"/>
                      <w:rPr>
                        <w:rFonts w:ascii="Times New Roman"/>
                        <w:sz w:val="13"/>
                      </w:rPr>
                    </w:pPr>
                    <w:r>
                      <w:rPr>
                        <w:rFonts w:ascii="Times New Roman"/>
                        <w:w w:val="105"/>
                        <w:sz w:val="13"/>
                      </w:rPr>
                      <w:t>Please provide below or on a separate attachment, the assumptions used to determine the projections for the first and second subsequent fiscal years. Further, please include an explanation for any significant expenditure adjustments projected in lines B1d, B2d, and B10. For additional information, please refer to the Budget Assumptions section of the SACS Financial Reporting Software User Guide.</w:t>
                    </w:r>
                  </w:p>
                  <w:p>
                    <w:pPr>
                      <w:spacing w:line="240" w:lineRule="auto" w:before="11"/>
                      <w:rPr>
                        <w:rFonts w:ascii="Times New Roman"/>
                        <w:sz w:val="12"/>
                      </w:rPr>
                    </w:pPr>
                  </w:p>
                  <w:p>
                    <w:pPr>
                      <w:spacing w:line="247" w:lineRule="auto" w:before="0"/>
                      <w:ind w:left="0" w:right="0" w:firstLine="0"/>
                      <w:jc w:val="left"/>
                      <w:rPr>
                        <w:rFonts w:ascii="Times New Roman"/>
                        <w:sz w:val="13"/>
                      </w:rPr>
                    </w:pPr>
                    <w:r>
                      <w:rPr>
                        <w:rFonts w:ascii="Times New Roman"/>
                        <w:w w:val="105"/>
                        <w:sz w:val="13"/>
                      </w:rPr>
                      <w:t>Line</w:t>
                    </w:r>
                    <w:r>
                      <w:rPr>
                        <w:rFonts w:ascii="Times New Roman"/>
                        <w:spacing w:val="-9"/>
                        <w:w w:val="105"/>
                        <w:sz w:val="13"/>
                      </w:rPr>
                      <w:t> </w:t>
                    </w:r>
                    <w:r>
                      <w:rPr>
                        <w:rFonts w:ascii="Times New Roman"/>
                        <w:w w:val="105"/>
                        <w:sz w:val="13"/>
                      </w:rPr>
                      <w:t>B1d</w:t>
                    </w:r>
                    <w:r>
                      <w:rPr>
                        <w:rFonts w:ascii="Times New Roman"/>
                        <w:spacing w:val="-8"/>
                        <w:w w:val="105"/>
                        <w:sz w:val="13"/>
                      </w:rPr>
                      <w:t> </w:t>
                    </w:r>
                    <w:r>
                      <w:rPr>
                        <w:rFonts w:ascii="Times New Roman"/>
                        <w:w w:val="105"/>
                        <w:sz w:val="13"/>
                      </w:rPr>
                      <w:t>adjustment</w:t>
                    </w:r>
                    <w:r>
                      <w:rPr>
                        <w:rFonts w:ascii="Times New Roman"/>
                        <w:spacing w:val="-8"/>
                        <w:w w:val="105"/>
                        <w:sz w:val="13"/>
                      </w:rPr>
                      <w:t> </w:t>
                    </w:r>
                    <w:r>
                      <w:rPr>
                        <w:rFonts w:ascii="Times New Roman"/>
                        <w:w w:val="105"/>
                        <w:sz w:val="13"/>
                      </w:rPr>
                      <w:t>for</w:t>
                    </w:r>
                    <w:r>
                      <w:rPr>
                        <w:rFonts w:ascii="Times New Roman"/>
                        <w:spacing w:val="-8"/>
                        <w:w w:val="105"/>
                        <w:sz w:val="13"/>
                      </w:rPr>
                      <w:t> </w:t>
                    </w:r>
                    <w:r>
                      <w:rPr>
                        <w:rFonts w:ascii="Times New Roman"/>
                        <w:w w:val="105"/>
                        <w:sz w:val="13"/>
                      </w:rPr>
                      <w:t>22-23</w:t>
                    </w:r>
                    <w:r>
                      <w:rPr>
                        <w:rFonts w:ascii="Times New Roman"/>
                        <w:spacing w:val="-8"/>
                        <w:w w:val="105"/>
                        <w:sz w:val="13"/>
                      </w:rPr>
                      <w:t> </w:t>
                    </w:r>
                    <w:r>
                      <w:rPr>
                        <w:rFonts w:ascii="Times New Roman"/>
                        <w:w w:val="105"/>
                        <w:sz w:val="13"/>
                      </w:rPr>
                      <w:t>is</w:t>
                    </w:r>
                    <w:r>
                      <w:rPr>
                        <w:rFonts w:ascii="Times New Roman"/>
                        <w:spacing w:val="-9"/>
                        <w:w w:val="105"/>
                        <w:sz w:val="13"/>
                      </w:rPr>
                      <w:t> </w:t>
                    </w:r>
                    <w:r>
                      <w:rPr>
                        <w:rFonts w:ascii="Times New Roman"/>
                        <w:w w:val="105"/>
                        <w:sz w:val="13"/>
                      </w:rPr>
                      <w:t>due</w:t>
                    </w:r>
                    <w:r>
                      <w:rPr>
                        <w:rFonts w:ascii="Times New Roman"/>
                        <w:spacing w:val="-8"/>
                        <w:w w:val="105"/>
                        <w:sz w:val="13"/>
                      </w:rPr>
                      <w:t> </w:t>
                    </w:r>
                    <w:r>
                      <w:rPr>
                        <w:rFonts w:ascii="Times New Roman"/>
                        <w:w w:val="105"/>
                        <w:sz w:val="13"/>
                      </w:rPr>
                      <w:t>removing</w:t>
                    </w:r>
                    <w:r>
                      <w:rPr>
                        <w:rFonts w:ascii="Times New Roman"/>
                        <w:spacing w:val="-11"/>
                        <w:w w:val="105"/>
                        <w:sz w:val="13"/>
                      </w:rPr>
                      <w:t> </w:t>
                    </w:r>
                    <w:r>
                      <w:rPr>
                        <w:rFonts w:ascii="Times New Roman"/>
                        <w:w w:val="105"/>
                        <w:sz w:val="13"/>
                      </w:rPr>
                      <w:t>certificated</w:t>
                    </w:r>
                    <w:r>
                      <w:rPr>
                        <w:rFonts w:ascii="Times New Roman"/>
                        <w:spacing w:val="-8"/>
                        <w:w w:val="105"/>
                        <w:sz w:val="13"/>
                      </w:rPr>
                      <w:t> </w:t>
                    </w:r>
                    <w:r>
                      <w:rPr>
                        <w:rFonts w:ascii="Times New Roman"/>
                        <w:w w:val="105"/>
                        <w:sz w:val="13"/>
                      </w:rPr>
                      <w:t>salaries</w:t>
                    </w:r>
                    <w:r>
                      <w:rPr>
                        <w:rFonts w:ascii="Times New Roman"/>
                        <w:spacing w:val="-8"/>
                        <w:w w:val="105"/>
                        <w:sz w:val="13"/>
                      </w:rPr>
                      <w:t> </w:t>
                    </w:r>
                    <w:r>
                      <w:rPr>
                        <w:rFonts w:ascii="Times New Roman"/>
                        <w:w w:val="105"/>
                        <w:sz w:val="13"/>
                      </w:rPr>
                      <w:t>for</w:t>
                    </w:r>
                    <w:r>
                      <w:rPr>
                        <w:rFonts w:ascii="Times New Roman"/>
                        <w:spacing w:val="-9"/>
                        <w:w w:val="105"/>
                        <w:sz w:val="13"/>
                      </w:rPr>
                      <w:t> </w:t>
                    </w:r>
                    <w:r>
                      <w:rPr>
                        <w:rFonts w:ascii="Times New Roman"/>
                        <w:w w:val="105"/>
                        <w:sz w:val="13"/>
                      </w:rPr>
                      <w:t>summer</w:t>
                    </w:r>
                    <w:r>
                      <w:rPr>
                        <w:rFonts w:ascii="Times New Roman"/>
                        <w:spacing w:val="-8"/>
                        <w:w w:val="105"/>
                        <w:sz w:val="13"/>
                      </w:rPr>
                      <w:t> </w:t>
                    </w:r>
                    <w:r>
                      <w:rPr>
                        <w:rFonts w:ascii="Times New Roman"/>
                        <w:w w:val="105"/>
                        <w:sz w:val="13"/>
                      </w:rPr>
                      <w:t>school</w:t>
                    </w:r>
                    <w:r>
                      <w:rPr>
                        <w:rFonts w:ascii="Times New Roman"/>
                        <w:spacing w:val="-10"/>
                        <w:w w:val="105"/>
                        <w:sz w:val="13"/>
                      </w:rPr>
                      <w:t> </w:t>
                    </w:r>
                    <w:r>
                      <w:rPr>
                        <w:rFonts w:ascii="Times New Roman"/>
                        <w:w w:val="105"/>
                        <w:sz w:val="13"/>
                      </w:rPr>
                      <w:t>and</w:t>
                    </w:r>
                    <w:r>
                      <w:rPr>
                        <w:rFonts w:ascii="Times New Roman"/>
                        <w:spacing w:val="-8"/>
                        <w:w w:val="105"/>
                        <w:sz w:val="13"/>
                      </w:rPr>
                      <w:t> </w:t>
                    </w:r>
                    <w:r>
                      <w:rPr>
                        <w:rFonts w:ascii="Times New Roman"/>
                        <w:w w:val="105"/>
                        <w:sz w:val="13"/>
                      </w:rPr>
                      <w:t>moving</w:t>
                    </w:r>
                    <w:r>
                      <w:rPr>
                        <w:rFonts w:ascii="Times New Roman"/>
                        <w:spacing w:val="-11"/>
                        <w:w w:val="105"/>
                        <w:sz w:val="13"/>
                      </w:rPr>
                      <w:t> </w:t>
                    </w:r>
                    <w:r>
                      <w:rPr>
                        <w:rFonts w:ascii="Times New Roman"/>
                        <w:w w:val="105"/>
                        <w:sz w:val="13"/>
                      </w:rPr>
                      <w:t>a</w:t>
                    </w:r>
                    <w:r>
                      <w:rPr>
                        <w:rFonts w:ascii="Times New Roman"/>
                        <w:spacing w:val="-8"/>
                        <w:w w:val="105"/>
                        <w:sz w:val="13"/>
                      </w:rPr>
                      <w:t> </w:t>
                    </w:r>
                    <w:r>
                      <w:rPr>
                        <w:rFonts w:ascii="Times New Roman"/>
                        <w:w w:val="105"/>
                        <w:sz w:val="13"/>
                      </w:rPr>
                      <w:t>portion</w:t>
                    </w:r>
                    <w:r>
                      <w:rPr>
                        <w:rFonts w:ascii="Times New Roman"/>
                        <w:spacing w:val="-9"/>
                        <w:w w:val="105"/>
                        <w:sz w:val="13"/>
                      </w:rPr>
                      <w:t> </w:t>
                    </w:r>
                    <w:r>
                      <w:rPr>
                        <w:rFonts w:ascii="Times New Roman"/>
                        <w:w w:val="105"/>
                        <w:sz w:val="13"/>
                      </w:rPr>
                      <w:t>of</w:t>
                    </w:r>
                    <w:r>
                      <w:rPr>
                        <w:rFonts w:ascii="Times New Roman"/>
                        <w:spacing w:val="-8"/>
                        <w:w w:val="105"/>
                        <w:sz w:val="13"/>
                      </w:rPr>
                      <w:t> </w:t>
                    </w:r>
                    <w:r>
                      <w:rPr>
                        <w:rFonts w:ascii="Times New Roman"/>
                        <w:w w:val="105"/>
                        <w:sz w:val="13"/>
                      </w:rPr>
                      <w:t>restricted</w:t>
                    </w:r>
                    <w:r>
                      <w:rPr>
                        <w:rFonts w:ascii="Times New Roman"/>
                        <w:spacing w:val="-8"/>
                        <w:w w:val="105"/>
                        <w:sz w:val="13"/>
                      </w:rPr>
                      <w:t> </w:t>
                    </w:r>
                    <w:r>
                      <w:rPr>
                        <w:rFonts w:ascii="Times New Roman"/>
                        <w:w w:val="105"/>
                        <w:sz w:val="13"/>
                      </w:rPr>
                      <w:t>certificated</w:t>
                    </w:r>
                    <w:r>
                      <w:rPr>
                        <w:rFonts w:ascii="Times New Roman"/>
                        <w:spacing w:val="-8"/>
                        <w:w w:val="105"/>
                        <w:sz w:val="13"/>
                      </w:rPr>
                      <w:t> </w:t>
                    </w:r>
                    <w:r>
                      <w:rPr>
                        <w:rFonts w:ascii="Times New Roman"/>
                        <w:w w:val="105"/>
                        <w:sz w:val="13"/>
                      </w:rPr>
                      <w:t>salaries</w:t>
                    </w:r>
                    <w:r>
                      <w:rPr>
                        <w:rFonts w:ascii="Times New Roman"/>
                        <w:spacing w:val="-8"/>
                        <w:w w:val="105"/>
                        <w:sz w:val="13"/>
                      </w:rPr>
                      <w:t> </w:t>
                    </w:r>
                    <w:r>
                      <w:rPr>
                        <w:rFonts w:ascii="Times New Roman"/>
                        <w:w w:val="105"/>
                        <w:sz w:val="13"/>
                      </w:rPr>
                      <w:t>due</w:t>
                    </w:r>
                    <w:r>
                      <w:rPr>
                        <w:rFonts w:ascii="Times New Roman"/>
                        <w:spacing w:val="-8"/>
                        <w:w w:val="105"/>
                        <w:sz w:val="13"/>
                      </w:rPr>
                      <w:t> </w:t>
                    </w:r>
                    <w:r>
                      <w:rPr>
                        <w:rFonts w:ascii="Times New Roman"/>
                        <w:w w:val="105"/>
                        <w:sz w:val="13"/>
                      </w:rPr>
                      <w:t>to</w:t>
                    </w:r>
                    <w:r>
                      <w:rPr>
                        <w:rFonts w:ascii="Times New Roman"/>
                        <w:spacing w:val="-8"/>
                        <w:w w:val="105"/>
                        <w:sz w:val="13"/>
                      </w:rPr>
                      <w:t> </w:t>
                    </w:r>
                    <w:r>
                      <w:rPr>
                        <w:rFonts w:ascii="Times New Roman"/>
                        <w:w w:val="105"/>
                        <w:sz w:val="13"/>
                      </w:rPr>
                      <w:t>one-time</w:t>
                    </w:r>
                    <w:r>
                      <w:rPr>
                        <w:rFonts w:ascii="Times New Roman"/>
                        <w:spacing w:val="-8"/>
                        <w:w w:val="105"/>
                        <w:sz w:val="13"/>
                      </w:rPr>
                      <w:t> </w:t>
                    </w:r>
                    <w:r>
                      <w:rPr>
                        <w:rFonts w:ascii="Times New Roman"/>
                        <w:w w:val="105"/>
                        <w:sz w:val="13"/>
                      </w:rPr>
                      <w:t>Covid19</w:t>
                    </w:r>
                    <w:r>
                      <w:rPr>
                        <w:rFonts w:ascii="Times New Roman"/>
                        <w:spacing w:val="-9"/>
                        <w:w w:val="105"/>
                        <w:sz w:val="13"/>
                      </w:rPr>
                      <w:t> </w:t>
                    </w:r>
                    <w:r>
                      <w:rPr>
                        <w:rFonts w:ascii="Times New Roman"/>
                        <w:w w:val="105"/>
                        <w:sz w:val="13"/>
                      </w:rPr>
                      <w:t>funds.</w:t>
                    </w:r>
                    <w:r>
                      <w:rPr>
                        <w:rFonts w:ascii="Times New Roman"/>
                        <w:spacing w:val="-7"/>
                        <w:w w:val="105"/>
                        <w:sz w:val="13"/>
                      </w:rPr>
                      <w:t> </w:t>
                    </w:r>
                    <w:r>
                      <w:rPr>
                        <w:rFonts w:ascii="Times New Roman"/>
                        <w:w w:val="105"/>
                        <w:sz w:val="13"/>
                      </w:rPr>
                      <w:t>Line</w:t>
                    </w:r>
                    <w:r>
                      <w:rPr>
                        <w:rFonts w:ascii="Times New Roman"/>
                        <w:spacing w:val="-9"/>
                        <w:w w:val="105"/>
                        <w:sz w:val="13"/>
                      </w:rPr>
                      <w:t> </w:t>
                    </w:r>
                    <w:r>
                      <w:rPr>
                        <w:rFonts w:ascii="Times New Roman"/>
                        <w:w w:val="105"/>
                        <w:sz w:val="13"/>
                      </w:rPr>
                      <w:t>B2d</w:t>
                    </w:r>
                    <w:r>
                      <w:rPr>
                        <w:rFonts w:ascii="Times New Roman"/>
                        <w:spacing w:val="-8"/>
                        <w:w w:val="105"/>
                        <w:sz w:val="13"/>
                      </w:rPr>
                      <w:t> </w:t>
                    </w:r>
                    <w:r>
                      <w:rPr>
                        <w:rFonts w:ascii="Times New Roman"/>
                        <w:w w:val="105"/>
                        <w:sz w:val="13"/>
                      </w:rPr>
                      <w:t>adjustment for</w:t>
                    </w:r>
                    <w:r>
                      <w:rPr>
                        <w:rFonts w:ascii="Times New Roman"/>
                        <w:spacing w:val="-3"/>
                        <w:w w:val="105"/>
                        <w:sz w:val="13"/>
                      </w:rPr>
                      <w:t> </w:t>
                    </w:r>
                    <w:r>
                      <w:rPr>
                        <w:rFonts w:ascii="Times New Roman"/>
                        <w:w w:val="105"/>
                        <w:sz w:val="13"/>
                      </w:rPr>
                      <w:t>22-23</w:t>
                    </w:r>
                    <w:r>
                      <w:rPr>
                        <w:rFonts w:ascii="Times New Roman"/>
                        <w:spacing w:val="-3"/>
                        <w:w w:val="105"/>
                        <w:sz w:val="13"/>
                      </w:rPr>
                      <w:t> </w:t>
                    </w:r>
                    <w:r>
                      <w:rPr>
                        <w:rFonts w:ascii="Times New Roman"/>
                        <w:w w:val="105"/>
                        <w:sz w:val="13"/>
                      </w:rPr>
                      <w:t>is</w:t>
                    </w:r>
                    <w:r>
                      <w:rPr>
                        <w:rFonts w:ascii="Times New Roman"/>
                        <w:spacing w:val="-2"/>
                        <w:w w:val="105"/>
                        <w:sz w:val="13"/>
                      </w:rPr>
                      <w:t> </w:t>
                    </w:r>
                    <w:r>
                      <w:rPr>
                        <w:rFonts w:ascii="Times New Roman"/>
                        <w:w w:val="105"/>
                        <w:sz w:val="13"/>
                      </w:rPr>
                      <w:t>due</w:t>
                    </w:r>
                    <w:r>
                      <w:rPr>
                        <w:rFonts w:ascii="Times New Roman"/>
                        <w:spacing w:val="-3"/>
                        <w:w w:val="105"/>
                        <w:sz w:val="13"/>
                      </w:rPr>
                      <w:t> </w:t>
                    </w:r>
                    <w:r>
                      <w:rPr>
                        <w:rFonts w:ascii="Times New Roman"/>
                        <w:w w:val="105"/>
                        <w:sz w:val="13"/>
                      </w:rPr>
                      <w:t>to</w:t>
                    </w:r>
                    <w:r>
                      <w:rPr>
                        <w:rFonts w:ascii="Times New Roman"/>
                        <w:spacing w:val="-2"/>
                        <w:w w:val="105"/>
                        <w:sz w:val="13"/>
                      </w:rPr>
                      <w:t> </w:t>
                    </w:r>
                    <w:r>
                      <w:rPr>
                        <w:rFonts w:ascii="Times New Roman"/>
                        <w:w w:val="105"/>
                        <w:sz w:val="13"/>
                      </w:rPr>
                      <w:t>the</w:t>
                    </w:r>
                    <w:r>
                      <w:rPr>
                        <w:rFonts w:ascii="Times New Roman"/>
                        <w:spacing w:val="-3"/>
                        <w:w w:val="105"/>
                        <w:sz w:val="13"/>
                      </w:rPr>
                      <w:t> </w:t>
                    </w:r>
                    <w:r>
                      <w:rPr>
                        <w:rFonts w:ascii="Times New Roman"/>
                        <w:w w:val="105"/>
                        <w:sz w:val="13"/>
                      </w:rPr>
                      <w:t>removal</w:t>
                    </w:r>
                    <w:r>
                      <w:rPr>
                        <w:rFonts w:ascii="Times New Roman"/>
                        <w:spacing w:val="-5"/>
                        <w:w w:val="105"/>
                        <w:sz w:val="13"/>
                      </w:rPr>
                      <w:t> </w:t>
                    </w:r>
                    <w:r>
                      <w:rPr>
                        <w:rFonts w:ascii="Times New Roman"/>
                        <w:w w:val="105"/>
                        <w:sz w:val="13"/>
                      </w:rPr>
                      <w:t>of</w:t>
                    </w:r>
                    <w:r>
                      <w:rPr>
                        <w:rFonts w:ascii="Times New Roman"/>
                        <w:spacing w:val="-3"/>
                        <w:w w:val="105"/>
                        <w:sz w:val="13"/>
                      </w:rPr>
                      <w:t> </w:t>
                    </w:r>
                    <w:r>
                      <w:rPr>
                        <w:rFonts w:ascii="Times New Roman"/>
                        <w:w w:val="105"/>
                        <w:sz w:val="13"/>
                      </w:rPr>
                      <w:t>classifed</w:t>
                    </w:r>
                    <w:r>
                      <w:rPr>
                        <w:rFonts w:ascii="Times New Roman"/>
                        <w:spacing w:val="-3"/>
                        <w:w w:val="105"/>
                        <w:sz w:val="13"/>
                      </w:rPr>
                      <w:t> </w:t>
                    </w:r>
                    <w:r>
                      <w:rPr>
                        <w:rFonts w:ascii="Times New Roman"/>
                        <w:w w:val="105"/>
                        <w:sz w:val="13"/>
                      </w:rPr>
                      <w:t>salaries</w:t>
                    </w:r>
                    <w:r>
                      <w:rPr>
                        <w:rFonts w:ascii="Times New Roman"/>
                        <w:spacing w:val="-2"/>
                        <w:w w:val="105"/>
                        <w:sz w:val="13"/>
                      </w:rPr>
                      <w:t> </w:t>
                    </w:r>
                    <w:r>
                      <w:rPr>
                        <w:rFonts w:ascii="Times New Roman"/>
                        <w:w w:val="105"/>
                        <w:sz w:val="13"/>
                      </w:rPr>
                      <w:t>for</w:t>
                    </w:r>
                    <w:r>
                      <w:rPr>
                        <w:rFonts w:ascii="Times New Roman"/>
                        <w:spacing w:val="-3"/>
                        <w:w w:val="105"/>
                        <w:sz w:val="13"/>
                      </w:rPr>
                      <w:t> </w:t>
                    </w:r>
                    <w:r>
                      <w:rPr>
                        <w:rFonts w:ascii="Times New Roman"/>
                        <w:w w:val="105"/>
                        <w:sz w:val="13"/>
                      </w:rPr>
                      <w:t>summer</w:t>
                    </w:r>
                    <w:r>
                      <w:rPr>
                        <w:rFonts w:ascii="Times New Roman"/>
                        <w:spacing w:val="-2"/>
                        <w:w w:val="105"/>
                        <w:sz w:val="13"/>
                      </w:rPr>
                      <w:t> </w:t>
                    </w:r>
                    <w:r>
                      <w:rPr>
                        <w:rFonts w:ascii="Times New Roman"/>
                        <w:w w:val="105"/>
                        <w:sz w:val="13"/>
                      </w:rPr>
                      <w:t>school</w:t>
                    </w:r>
                    <w:r>
                      <w:rPr>
                        <w:rFonts w:ascii="Times New Roman"/>
                        <w:spacing w:val="-5"/>
                        <w:w w:val="105"/>
                        <w:sz w:val="13"/>
                      </w:rPr>
                      <w:t> </w:t>
                    </w:r>
                    <w:r>
                      <w:rPr>
                        <w:rFonts w:ascii="Times New Roman"/>
                        <w:w w:val="105"/>
                        <w:sz w:val="13"/>
                      </w:rPr>
                      <w:t>and</w:t>
                    </w:r>
                    <w:r>
                      <w:rPr>
                        <w:rFonts w:ascii="Times New Roman"/>
                        <w:spacing w:val="-3"/>
                        <w:w w:val="105"/>
                        <w:sz w:val="13"/>
                      </w:rPr>
                      <w:t> </w:t>
                    </w:r>
                    <w:r>
                      <w:rPr>
                        <w:rFonts w:ascii="Times New Roman"/>
                        <w:w w:val="105"/>
                        <w:sz w:val="13"/>
                      </w:rPr>
                      <w:t>moving</w:t>
                    </w:r>
                    <w:r>
                      <w:rPr>
                        <w:rFonts w:ascii="Times New Roman"/>
                        <w:spacing w:val="-5"/>
                        <w:w w:val="105"/>
                        <w:sz w:val="13"/>
                      </w:rPr>
                      <w:t> </w:t>
                    </w:r>
                    <w:r>
                      <w:rPr>
                        <w:rFonts w:ascii="Times New Roman"/>
                        <w:w w:val="105"/>
                        <w:sz w:val="13"/>
                      </w:rPr>
                      <w:t>a</w:t>
                    </w:r>
                    <w:r>
                      <w:rPr>
                        <w:rFonts w:ascii="Times New Roman"/>
                        <w:spacing w:val="-3"/>
                        <w:w w:val="105"/>
                        <w:sz w:val="13"/>
                      </w:rPr>
                      <w:t> </w:t>
                    </w:r>
                    <w:r>
                      <w:rPr>
                        <w:rFonts w:ascii="Times New Roman"/>
                        <w:w w:val="105"/>
                        <w:sz w:val="13"/>
                      </w:rPr>
                      <w:t>portion</w:t>
                    </w:r>
                    <w:r>
                      <w:rPr>
                        <w:rFonts w:ascii="Times New Roman"/>
                        <w:spacing w:val="-2"/>
                        <w:w w:val="105"/>
                        <w:sz w:val="13"/>
                      </w:rPr>
                      <w:t> </w:t>
                    </w:r>
                    <w:r>
                      <w:rPr>
                        <w:rFonts w:ascii="Times New Roman"/>
                        <w:w w:val="105"/>
                        <w:sz w:val="13"/>
                      </w:rPr>
                      <w:t>of</w:t>
                    </w:r>
                    <w:r>
                      <w:rPr>
                        <w:rFonts w:ascii="Times New Roman"/>
                        <w:spacing w:val="-3"/>
                        <w:w w:val="105"/>
                        <w:sz w:val="13"/>
                      </w:rPr>
                      <w:t> </w:t>
                    </w:r>
                    <w:r>
                      <w:rPr>
                        <w:rFonts w:ascii="Times New Roman"/>
                        <w:w w:val="105"/>
                        <w:sz w:val="13"/>
                      </w:rPr>
                      <w:t>restricted</w:t>
                    </w:r>
                    <w:r>
                      <w:rPr>
                        <w:rFonts w:ascii="Times New Roman"/>
                        <w:spacing w:val="-2"/>
                        <w:w w:val="105"/>
                        <w:sz w:val="13"/>
                      </w:rPr>
                      <w:t> </w:t>
                    </w:r>
                    <w:r>
                      <w:rPr>
                        <w:rFonts w:ascii="Times New Roman"/>
                        <w:w w:val="105"/>
                        <w:sz w:val="13"/>
                      </w:rPr>
                      <w:t>classified</w:t>
                    </w:r>
                    <w:r>
                      <w:rPr>
                        <w:rFonts w:ascii="Times New Roman"/>
                        <w:spacing w:val="-3"/>
                        <w:w w:val="105"/>
                        <w:sz w:val="13"/>
                      </w:rPr>
                      <w:t> </w:t>
                    </w:r>
                    <w:r>
                      <w:rPr>
                        <w:rFonts w:ascii="Times New Roman"/>
                        <w:w w:val="105"/>
                        <w:sz w:val="13"/>
                      </w:rPr>
                      <w:t>salaries</w:t>
                    </w:r>
                    <w:r>
                      <w:rPr>
                        <w:rFonts w:ascii="Times New Roman"/>
                        <w:spacing w:val="-3"/>
                        <w:w w:val="105"/>
                        <w:sz w:val="13"/>
                      </w:rPr>
                      <w:t> </w:t>
                    </w:r>
                    <w:r>
                      <w:rPr>
                        <w:rFonts w:ascii="Times New Roman"/>
                        <w:w w:val="105"/>
                        <w:sz w:val="13"/>
                      </w:rPr>
                      <w:t>due</w:t>
                    </w:r>
                    <w:r>
                      <w:rPr>
                        <w:rFonts w:ascii="Times New Roman"/>
                        <w:spacing w:val="-2"/>
                        <w:w w:val="105"/>
                        <w:sz w:val="13"/>
                      </w:rPr>
                      <w:t> </w:t>
                    </w:r>
                    <w:r>
                      <w:rPr>
                        <w:rFonts w:ascii="Times New Roman"/>
                        <w:w w:val="105"/>
                        <w:sz w:val="13"/>
                      </w:rPr>
                      <w:t>to</w:t>
                    </w:r>
                    <w:r>
                      <w:rPr>
                        <w:rFonts w:ascii="Times New Roman"/>
                        <w:spacing w:val="-2"/>
                        <w:w w:val="105"/>
                        <w:sz w:val="13"/>
                      </w:rPr>
                      <w:t> </w:t>
                    </w:r>
                    <w:r>
                      <w:rPr>
                        <w:rFonts w:ascii="Times New Roman"/>
                        <w:w w:val="105"/>
                        <w:sz w:val="13"/>
                      </w:rPr>
                      <w:t>one-time</w:t>
                    </w:r>
                    <w:r>
                      <w:rPr>
                        <w:rFonts w:ascii="Times New Roman"/>
                        <w:spacing w:val="-2"/>
                        <w:w w:val="105"/>
                        <w:sz w:val="13"/>
                      </w:rPr>
                      <w:t> </w:t>
                    </w:r>
                    <w:r>
                      <w:rPr>
                        <w:rFonts w:ascii="Times New Roman"/>
                        <w:w w:val="105"/>
                        <w:sz w:val="13"/>
                      </w:rPr>
                      <w:t>Covid19</w:t>
                    </w:r>
                    <w:r>
                      <w:rPr>
                        <w:rFonts w:ascii="Times New Roman"/>
                        <w:spacing w:val="-3"/>
                        <w:w w:val="105"/>
                        <w:sz w:val="13"/>
                      </w:rPr>
                      <w:t> </w:t>
                    </w:r>
                    <w:r>
                      <w:rPr>
                        <w:rFonts w:ascii="Times New Roman"/>
                        <w:w w:val="105"/>
                        <w:sz w:val="13"/>
                      </w:rPr>
                      <w:t>funds.</w:t>
                    </w:r>
                  </w:p>
                </w:txbxContent>
              </v:textbox>
              <w10:wrap type="none"/>
            </v:shape>
          </v:group>
        </w:pict>
      </w:r>
      <w:r>
        <w:rPr>
          <w:rFonts w:ascii="Times New Roman"/>
          <w:sz w:val="20"/>
        </w:rPr>
      </w:r>
    </w:p>
    <w:p>
      <w:pPr>
        <w:spacing w:after="0"/>
        <w:rPr>
          <w:rFonts w:ascii="Times New Roman"/>
          <w:sz w:val="20"/>
        </w:rPr>
        <w:sectPr>
          <w:pgSz w:w="12240" w:h="15840"/>
          <w:pgMar w:header="243" w:footer="507" w:top="860" w:bottom="700" w:left="40" w:right="40"/>
        </w:sectPr>
      </w:pPr>
    </w:p>
    <w:p>
      <w:pPr>
        <w:pStyle w:val="BodyText"/>
        <w:rPr>
          <w:rFonts w:ascii="Times New Roman"/>
          <w:sz w:val="22"/>
        </w:rPr>
      </w:pPr>
      <w:r>
        <w:rPr/>
        <w:pict>
          <v:group style="position:absolute;margin-left:35.160pt;margin-top:46.920002pt;width:541.6pt;height:512.2pt;mso-position-horizontal-relative:page;mso-position-vertical-relative:page;z-index:-314096640" coordorigin="703,938" coordsize="10832,10244">
            <v:shape style="position:absolute;left:703;top:938;width:10832;height:1424" type="#_x0000_t75" stroked="false">
              <v:imagedata r:id="rId1278" o:title=""/>
            </v:shape>
            <v:shape style="position:absolute;left:5901;top:2191;width:5633;height:344" type="#_x0000_t75" stroked="false">
              <v:imagedata r:id="rId1279" o:title=""/>
            </v:shape>
            <v:shape style="position:absolute;left:5901;top:2359;width:5633;height:344" type="#_x0000_t75" stroked="false">
              <v:imagedata r:id="rId1280" o:title=""/>
            </v:shape>
            <v:shape style="position:absolute;left:5901;top:2527;width:3401;height:339" type="#_x0000_t75" stroked="false">
              <v:imagedata r:id="rId1281" o:title=""/>
            </v:shape>
            <v:shape style="position:absolute;left:9280;top:2527;width:2254;height:339" type="#_x0000_t75" stroked="false">
              <v:imagedata r:id="rId1282" o:title=""/>
            </v:shape>
            <v:shape style="position:absolute;left:5901;top:2695;width:5633;height:512" type="#_x0000_t75" stroked="false">
              <v:imagedata r:id="rId1283" o:title=""/>
            </v:shape>
            <v:shape style="position:absolute;left:5901;top:3031;width:5633;height:344" type="#_x0000_t75" stroked="false">
              <v:imagedata r:id="rId1280" o:title=""/>
            </v:shape>
            <v:shape style="position:absolute;left:5901;top:3199;width:5633;height:339" type="#_x0000_t75" stroked="false">
              <v:imagedata r:id="rId1284" o:title=""/>
            </v:shape>
            <v:shape style="position:absolute;left:703;top:2359;width:7476;height:1378" type="#_x0000_t75" stroked="false">
              <v:imagedata r:id="rId1285" o:title=""/>
            </v:shape>
            <v:shape style="position:absolute;left:8172;top:3367;width:2240;height:370" type="#_x0000_t75" stroked="false">
              <v:imagedata r:id="rId1286" o:title=""/>
            </v:shape>
            <v:shape style="position:absolute;left:10404;top:3367;width:1131;height:370" type="#_x0000_t75" stroked="false">
              <v:imagedata r:id="rId1287" o:title=""/>
            </v:shape>
            <v:shape style="position:absolute;left:5901;top:3715;width:1162;height:200" type="#_x0000_t75" stroked="false">
              <v:imagedata r:id="rId1288" o:title=""/>
            </v:shape>
            <v:rect style="position:absolute;left:7060;top:3727;width:1116;height:188" filled="true" fillcolor="#bfbfbf" stroked="false">
              <v:fill type="solid"/>
            </v:rect>
            <v:shape style="position:absolute;left:7048;top:3715;width:2247;height:576" type="#_x0000_t75" stroked="false">
              <v:imagedata r:id="rId1289" o:title=""/>
            </v:shape>
            <v:shape style="position:absolute;left:9280;top:3715;width:2254;height:576" type="#_x0000_t75" stroked="false">
              <v:imagedata r:id="rId1290" o:title=""/>
            </v:shape>
            <v:shape style="position:absolute;left:10404;top:4284;width:1131;height:195" type="#_x0000_t75" stroked="false">
              <v:imagedata r:id="rId1291" o:title=""/>
            </v:shape>
            <v:shape style="position:absolute;left:10404;top:4471;width:1131;height:195" type="#_x0000_t75" stroked="false">
              <v:imagedata r:id="rId1291" o:title=""/>
            </v:shape>
            <v:shape style="position:absolute;left:8172;top:4284;width:1124;height:195" type="#_x0000_t75" stroked="false">
              <v:imagedata r:id="rId1292" o:title=""/>
            </v:shape>
            <v:shape style="position:absolute;left:8172;top:4471;width:1124;height:195" type="#_x0000_t75" stroked="false">
              <v:imagedata r:id="rId1292" o:title=""/>
            </v:shape>
            <v:shape style="position:absolute;left:5901;top:3909;width:1162;height:944" type="#_x0000_t75" stroked="false">
              <v:imagedata r:id="rId1293" o:title=""/>
            </v:shape>
            <v:shape style="position:absolute;left:7048;top:4284;width:2247;height:569" type="#_x0000_t75" stroked="false">
              <v:imagedata r:id="rId1294" o:title=""/>
            </v:shape>
            <v:shape style="position:absolute;left:5901;top:4284;width:5633;height:756" type="#_x0000_t75" stroked="false">
              <v:imagedata r:id="rId1295" o:title=""/>
            </v:shape>
            <v:shape style="position:absolute;left:10404;top:4845;width:1131;height:195" type="#_x0000_t75" stroked="false">
              <v:imagedata r:id="rId1291" o:title=""/>
            </v:shape>
            <v:shape style="position:absolute;left:5901;top:5032;width:1162;height:192" type="#_x0000_t75" stroked="false">
              <v:imagedata r:id="rId1296" o:title=""/>
            </v:shape>
            <v:shape style="position:absolute;left:7048;top:5032;width:2247;height:192" type="#_x0000_t75" stroked="false">
              <v:imagedata r:id="rId1297" o:title=""/>
            </v:shape>
            <v:shape style="position:absolute;left:9280;top:5032;width:2254;height:377" type="#_x0000_t75" stroked="false">
              <v:imagedata r:id="rId1298" o:title=""/>
            </v:shape>
            <v:shape style="position:absolute;left:10404;top:5220;width:1131;height:195" type="#_x0000_t75" stroked="false">
              <v:imagedata r:id="rId1291" o:title=""/>
            </v:shape>
            <v:shape style="position:absolute;left:10404;top:5407;width:1131;height:195" type="#_x0000_t75" stroked="false">
              <v:imagedata r:id="rId1291" o:title=""/>
            </v:shape>
            <v:shape style="position:absolute;left:10404;top:5594;width:1131;height:195" type="#_x0000_t75" stroked="false">
              <v:imagedata r:id="rId1291" o:title=""/>
            </v:shape>
            <v:shape style="position:absolute;left:8172;top:5220;width:1124;height:195" type="#_x0000_t75" stroked="false">
              <v:imagedata r:id="rId1292" o:title=""/>
            </v:shape>
            <v:shape style="position:absolute;left:8172;top:5407;width:1124;height:195" type="#_x0000_t75" stroked="false">
              <v:imagedata r:id="rId1292" o:title=""/>
            </v:shape>
            <v:shape style="position:absolute;left:8172;top:5594;width:1124;height:195" type="#_x0000_t75" stroked="false">
              <v:imagedata r:id="rId1292" o:title=""/>
            </v:shape>
            <v:shape style="position:absolute;left:8172;top:5781;width:1124;height:195" type="#_x0000_t75" stroked="false">
              <v:imagedata r:id="rId1292" o:title=""/>
            </v:shape>
            <v:shape style="position:absolute;left:7048;top:5220;width:22;height:752" type="#_x0000_t75" stroked="false">
              <v:imagedata r:id="rId1299" o:title=""/>
            </v:shape>
            <v:shape style="position:absolute;left:5901;top:5220;width:5633;height:944" type="#_x0000_t75" stroked="false">
              <v:imagedata r:id="rId1300" o:title=""/>
            </v:shape>
            <v:shape style="position:absolute;left:5901;top:5968;width:5633;height:382" type="#_x0000_t75" stroked="false">
              <v:imagedata r:id="rId1301" o:title=""/>
            </v:shape>
            <v:shape style="position:absolute;left:5901;top:6156;width:5633;height:382" type="#_x0000_t75" stroked="false">
              <v:imagedata r:id="rId1301" o:title=""/>
            </v:shape>
            <v:shape style="position:absolute;left:5901;top:6343;width:5633;height:382" type="#_x0000_t75" stroked="false">
              <v:imagedata r:id="rId1301" o:title=""/>
            </v:shape>
            <v:shape style="position:absolute;left:5901;top:6530;width:5633;height:382" type="#_x0000_t75" stroked="false">
              <v:imagedata r:id="rId1301" o:title=""/>
            </v:shape>
            <v:shape style="position:absolute;left:10404;top:6717;width:1131;height:377" type="#_x0000_t75" stroked="false">
              <v:imagedata r:id="rId1302" o:title=""/>
            </v:shape>
            <v:shape style="position:absolute;left:5901;top:6904;width:3401;height:382" type="#_x0000_t75" stroked="false">
              <v:imagedata r:id="rId1303" o:title=""/>
            </v:shape>
            <v:shape style="position:absolute;left:7048;top:6904;width:4486;height:382" type="#_x0000_t75" stroked="false">
              <v:imagedata r:id="rId1304" o:title=""/>
            </v:shape>
            <v:shape style="position:absolute;left:703;top:3722;width:6360;height:4844" type="#_x0000_t75" stroked="false">
              <v:imagedata r:id="rId1305" o:title=""/>
            </v:shape>
            <v:shape style="position:absolute;left:5901;top:7092;width:5633;height:718" type="#_x0000_t75" stroked="false">
              <v:imagedata r:id="rId1306" o:title=""/>
            </v:shape>
            <v:shape style="position:absolute;left:10404;top:7615;width:1131;height:195" type="#_x0000_t75" stroked="false">
              <v:imagedata r:id="rId1291" o:title=""/>
            </v:shape>
            <v:shape style="position:absolute;left:7048;top:7615;width:2254;height:195" type="#_x0000_t75" stroked="false">
              <v:imagedata r:id="rId1307" o:title=""/>
            </v:shape>
            <v:shape style="position:absolute;left:7048;top:7802;width:22;height:190" type="#_x0000_t75" stroked="false">
              <v:imagedata r:id="rId1308" o:title=""/>
            </v:shape>
            <v:rect style="position:absolute;left:9292;top:7807;width:1116;height:188" filled="true" fillcolor="#bfbfbf" stroked="false">
              <v:fill type="solid"/>
            </v:rect>
            <v:shape style="position:absolute;left:5901;top:7802;width:2278;height:389" type="#_x0000_t75" stroked="false">
              <v:imagedata r:id="rId1309" o:title=""/>
            </v:shape>
            <v:shape style="position:absolute;left:8172;top:7802;width:2240;height:389" type="#_x0000_t75" stroked="false">
              <v:imagedata r:id="rId1310" o:title=""/>
            </v:shape>
            <v:shape style="position:absolute;left:10404;top:7802;width:1131;height:389" type="#_x0000_t75" stroked="false">
              <v:imagedata r:id="rId1311" o:title=""/>
            </v:shape>
            <v:shape style="position:absolute;left:7048;top:8169;width:3363;height:572" type="#_x0000_t75" stroked="false">
              <v:imagedata r:id="rId1312" o:title=""/>
            </v:shape>
            <v:shape style="position:absolute;left:9280;top:8176;width:2254;height:752" type="#_x0000_t75" stroked="false">
              <v:imagedata r:id="rId1313" o:title=""/>
            </v:shape>
            <v:shape style="position:absolute;left:10404;top:8738;width:1131;height:713" type="#_x0000_t75" stroked="false">
              <v:imagedata r:id="rId1314" o:title=""/>
            </v:shape>
            <v:shape style="position:absolute;left:10404;top:9261;width:1131;height:363" type="#_x0000_t75" stroked="false">
              <v:imagedata r:id="rId1315" o:title=""/>
            </v:shape>
            <v:shape style="position:absolute;left:10404;top:9616;width:1131;height:344" type="#_x0000_t75" stroked="false">
              <v:imagedata r:id="rId1316" o:title=""/>
            </v:shape>
            <v:shape style="position:absolute;left:10404;top:9952;width:1131;height:344" type="#_x0000_t75" stroked="false">
              <v:imagedata r:id="rId1317" o:title=""/>
            </v:shape>
            <v:shape style="position:absolute;left:10404;top:10288;width:1131;height:363" type="#_x0000_t75" stroked="false">
              <v:imagedata r:id="rId1318" o:title=""/>
            </v:shape>
            <v:shape style="position:absolute;left:8172;top:8738;width:1124;height:358" type="#_x0000_t75" stroked="false">
              <v:imagedata r:id="rId1319" o:title=""/>
            </v:shape>
            <v:shape style="position:absolute;left:8172;top:8925;width:1131;height:339" type="#_x0000_t75" stroked="false">
              <v:imagedata r:id="rId1320" o:title=""/>
            </v:shape>
            <v:shape style="position:absolute;left:8172;top:9093;width:1131;height:526" type="#_x0000_t75" stroked="false">
              <v:imagedata r:id="rId1321" o:title=""/>
            </v:shape>
            <v:shape style="position:absolute;left:8172;top:9448;width:1131;height:339" type="#_x0000_t75" stroked="false">
              <v:imagedata r:id="rId1320" o:title=""/>
            </v:shape>
            <v:shape style="position:absolute;left:8172;top:9616;width:1131;height:507" type="#_x0000_t75" stroked="false">
              <v:imagedata r:id="rId1322" o:title=""/>
            </v:shape>
            <v:shape style="position:absolute;left:8172;top:9952;width:1131;height:339" type="#_x0000_t75" stroked="false">
              <v:imagedata r:id="rId1320" o:title=""/>
            </v:shape>
            <v:shape style="position:absolute;left:8172;top:10120;width:1131;height:358" type="#_x0000_t75" stroked="false">
              <v:imagedata r:id="rId1323" o:title=""/>
            </v:shape>
            <v:shape style="position:absolute;left:8172;top:10288;width:1131;height:526" type="#_x0000_t75" stroked="false">
              <v:imagedata r:id="rId1324" o:title=""/>
            </v:shape>
            <v:shape style="position:absolute;left:8172;top:10644;width:1131;height:339" type="#_x0000_t75" stroked="false">
              <v:imagedata r:id="rId1320" o:title=""/>
            </v:shape>
            <v:shape style="position:absolute;left:9280;top:10644;width:2254;height:538" type="#_x0000_t75" stroked="false">
              <v:imagedata r:id="rId1325" o:title=""/>
            </v:shape>
            <v:shape style="position:absolute;left:10404;top:10980;width:1131;height:202" type="#_x0000_t75" stroked="false">
              <v:imagedata r:id="rId1326" o:title=""/>
            </v:shape>
            <w10:wrap type="none"/>
          </v:group>
        </w:pict>
      </w:r>
      <w:r>
        <w:rPr/>
        <w:pict>
          <v:group style="position:absolute;margin-left:35.160pt;margin-top:427.199982pt;width:429.6pt;height:131.9pt;mso-position-horizontal-relative:page;mso-position-vertical-relative:page;z-index:-314095616" coordorigin="703,8544" coordsize="8592,2638">
            <v:shape style="position:absolute;left:5901;top:8551;width:1162;height:382" type="#_x0000_t75" stroked="false">
              <v:imagedata r:id="rId1327" o:title=""/>
            </v:shape>
            <v:shape style="position:absolute;left:7048;top:8738;width:22;height:358" type="#_x0000_t75" stroked="false">
              <v:imagedata r:id="rId1328" o:title=""/>
            </v:shape>
            <v:shape style="position:absolute;left:5901;top:8925;width:1169;height:339" type="#_x0000_t75" stroked="false">
              <v:imagedata r:id="rId1329" o:title=""/>
            </v:shape>
            <v:shape style="position:absolute;left:5901;top:9093;width:1169;height:363" type="#_x0000_t75" stroked="false">
              <v:imagedata r:id="rId1330" o:title=""/>
            </v:shape>
            <v:shape style="position:absolute;left:5901;top:9261;width:1169;height:358" type="#_x0000_t75" stroked="false">
              <v:imagedata r:id="rId1331" o:title=""/>
            </v:shape>
            <v:shape style="position:absolute;left:5901;top:9448;width:1169;height:339" type="#_x0000_t75" stroked="false">
              <v:imagedata r:id="rId1332" o:title=""/>
            </v:shape>
            <v:shape style="position:absolute;left:5901;top:9616;width:1169;height:344" type="#_x0000_t75" stroked="false">
              <v:imagedata r:id="rId1333" o:title=""/>
            </v:shape>
            <v:shape style="position:absolute;left:5901;top:9784;width:1169;height:344" type="#_x0000_t75" stroked="false">
              <v:imagedata r:id="rId1334" o:title=""/>
            </v:shape>
            <v:shape style="position:absolute;left:703;top:8544;width:6360;height:2638" type="#_x0000_t75" stroked="false">
              <v:imagedata r:id="rId1335" o:title=""/>
            </v:shape>
            <v:shape style="position:absolute;left:5901;top:9952;width:1169;height:339" type="#_x0000_t75" stroked="false">
              <v:imagedata r:id="rId1336" o:title=""/>
            </v:shape>
            <v:shape style="position:absolute;left:5901;top:10120;width:1169;height:358" type="#_x0000_t75" stroked="false">
              <v:imagedata r:id="rId1337" o:title=""/>
            </v:shape>
            <v:shape style="position:absolute;left:5901;top:10288;width:1169;height:363" type="#_x0000_t75" stroked="false">
              <v:imagedata r:id="rId1338" o:title=""/>
            </v:shape>
            <v:shape style="position:absolute;left:5901;top:10476;width:1169;height:339" type="#_x0000_t75" stroked="false">
              <v:imagedata r:id="rId1336" o:title=""/>
            </v:shape>
            <v:shape style="position:absolute;left:5901;top:10644;width:1169;height:339" type="#_x0000_t75" stroked="false">
              <v:imagedata r:id="rId1339" o:title=""/>
            </v:shape>
            <v:shape style="position:absolute;left:7048;top:10812;width:2247;height:370" type="#_x0000_t75" stroked="false">
              <v:imagedata r:id="rId1340" o:title=""/>
            </v:shape>
            <w10:wrap type="none"/>
          </v:group>
        </w:pict>
      </w:r>
    </w:p>
    <w:tbl>
      <w:tblPr>
        <w:tblW w:w="0" w:type="auto"/>
        <w:jc w:val="left"/>
        <w:tblInd w:w="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84"/>
        <w:gridCol w:w="1418"/>
        <w:gridCol w:w="1147"/>
        <w:gridCol w:w="1116"/>
        <w:gridCol w:w="1116"/>
        <w:gridCol w:w="1116"/>
        <w:gridCol w:w="1074"/>
      </w:tblGrid>
      <w:tr>
        <w:trPr>
          <w:trHeight w:val="147" w:hRule="atLeast"/>
        </w:trPr>
        <w:tc>
          <w:tcPr>
            <w:tcW w:w="5202" w:type="dxa"/>
            <w:gridSpan w:val="2"/>
            <w:vMerge w:val="restart"/>
          </w:tcPr>
          <w:p>
            <w:pPr>
              <w:pStyle w:val="TableParagraph"/>
              <w:rPr>
                <w:rFonts w:ascii="Times New Roman"/>
                <w:sz w:val="12"/>
              </w:rPr>
            </w:pPr>
          </w:p>
        </w:tc>
        <w:tc>
          <w:tcPr>
            <w:tcW w:w="1147" w:type="dxa"/>
          </w:tcPr>
          <w:p>
            <w:pPr>
              <w:pStyle w:val="TableParagraph"/>
              <w:spacing w:line="127" w:lineRule="exact"/>
              <w:ind w:left="355"/>
              <w:rPr>
                <w:rFonts w:ascii="Times New Roman"/>
                <w:sz w:val="13"/>
              </w:rPr>
            </w:pPr>
            <w:r>
              <w:rPr>
                <w:rFonts w:ascii="Times New Roman"/>
                <w:sz w:val="13"/>
              </w:rPr>
              <w:t>2021-22</w:t>
            </w:r>
          </w:p>
        </w:tc>
        <w:tc>
          <w:tcPr>
            <w:tcW w:w="1116" w:type="dxa"/>
          </w:tcPr>
          <w:p>
            <w:pPr>
              <w:pStyle w:val="TableParagraph"/>
              <w:spacing w:line="127" w:lineRule="exact"/>
              <w:ind w:left="47"/>
              <w:jc w:val="center"/>
              <w:rPr>
                <w:rFonts w:ascii="Times New Roman"/>
                <w:sz w:val="13"/>
              </w:rPr>
            </w:pPr>
            <w:r>
              <w:rPr>
                <w:rFonts w:ascii="Times New Roman"/>
                <w:w w:val="101"/>
                <w:sz w:val="13"/>
              </w:rPr>
              <w:t>%</w:t>
            </w:r>
          </w:p>
        </w:tc>
        <w:tc>
          <w:tcPr>
            <w:tcW w:w="1116" w:type="dxa"/>
          </w:tcPr>
          <w:p>
            <w:pPr>
              <w:pStyle w:val="TableParagraph"/>
              <w:rPr>
                <w:rFonts w:ascii="Times New Roman"/>
                <w:sz w:val="8"/>
              </w:rPr>
            </w:pPr>
          </w:p>
        </w:tc>
        <w:tc>
          <w:tcPr>
            <w:tcW w:w="1116" w:type="dxa"/>
          </w:tcPr>
          <w:p>
            <w:pPr>
              <w:pStyle w:val="TableParagraph"/>
              <w:spacing w:line="127" w:lineRule="exact"/>
              <w:ind w:left="12"/>
              <w:jc w:val="center"/>
              <w:rPr>
                <w:rFonts w:ascii="Times New Roman"/>
                <w:sz w:val="13"/>
              </w:rPr>
            </w:pPr>
            <w:r>
              <w:rPr>
                <w:rFonts w:ascii="Times New Roman"/>
                <w:w w:val="101"/>
                <w:sz w:val="13"/>
              </w:rPr>
              <w:t>%</w:t>
            </w:r>
          </w:p>
        </w:tc>
        <w:tc>
          <w:tcPr>
            <w:tcW w:w="1074" w:type="dxa"/>
          </w:tcPr>
          <w:p>
            <w:pPr>
              <w:pStyle w:val="TableParagraph"/>
              <w:rPr>
                <w:rFonts w:ascii="Times New Roman"/>
                <w:sz w:val="8"/>
              </w:rPr>
            </w:pPr>
          </w:p>
        </w:tc>
      </w:tr>
      <w:tr>
        <w:trPr>
          <w:trHeight w:val="148" w:hRule="atLeast"/>
        </w:trPr>
        <w:tc>
          <w:tcPr>
            <w:tcW w:w="5202" w:type="dxa"/>
            <w:gridSpan w:val="2"/>
            <w:vMerge/>
            <w:tcBorders>
              <w:top w:val="nil"/>
            </w:tcBorders>
          </w:tcPr>
          <w:p>
            <w:pPr>
              <w:rPr>
                <w:sz w:val="2"/>
                <w:szCs w:val="2"/>
              </w:rPr>
            </w:pPr>
          </w:p>
        </w:tc>
        <w:tc>
          <w:tcPr>
            <w:tcW w:w="1147" w:type="dxa"/>
          </w:tcPr>
          <w:p>
            <w:pPr>
              <w:pStyle w:val="TableParagraph"/>
              <w:spacing w:line="129" w:lineRule="exact"/>
              <w:ind w:left="389"/>
              <w:rPr>
                <w:rFonts w:ascii="Times New Roman"/>
                <w:sz w:val="13"/>
              </w:rPr>
            </w:pPr>
            <w:r>
              <w:rPr>
                <w:rFonts w:ascii="Times New Roman"/>
                <w:sz w:val="13"/>
              </w:rPr>
              <w:t>Budget</w:t>
            </w:r>
          </w:p>
        </w:tc>
        <w:tc>
          <w:tcPr>
            <w:tcW w:w="1116" w:type="dxa"/>
          </w:tcPr>
          <w:p>
            <w:pPr>
              <w:pStyle w:val="TableParagraph"/>
              <w:spacing w:line="129" w:lineRule="exact"/>
              <w:ind w:left="365"/>
              <w:rPr>
                <w:rFonts w:ascii="Times New Roman"/>
                <w:sz w:val="13"/>
              </w:rPr>
            </w:pPr>
            <w:r>
              <w:rPr>
                <w:rFonts w:ascii="Times New Roman"/>
                <w:sz w:val="13"/>
              </w:rPr>
              <w:t>Change</w:t>
            </w:r>
          </w:p>
        </w:tc>
        <w:tc>
          <w:tcPr>
            <w:tcW w:w="1116" w:type="dxa"/>
          </w:tcPr>
          <w:p>
            <w:pPr>
              <w:pStyle w:val="TableParagraph"/>
              <w:spacing w:line="129" w:lineRule="exact"/>
              <w:ind w:left="341"/>
              <w:rPr>
                <w:rFonts w:ascii="Times New Roman"/>
                <w:sz w:val="13"/>
              </w:rPr>
            </w:pPr>
            <w:r>
              <w:rPr>
                <w:rFonts w:ascii="Times New Roman"/>
                <w:sz w:val="13"/>
              </w:rPr>
              <w:t>2022-23</w:t>
            </w:r>
          </w:p>
        </w:tc>
        <w:tc>
          <w:tcPr>
            <w:tcW w:w="1116" w:type="dxa"/>
          </w:tcPr>
          <w:p>
            <w:pPr>
              <w:pStyle w:val="TableParagraph"/>
              <w:spacing w:line="129" w:lineRule="exact"/>
              <w:ind w:left="365"/>
              <w:rPr>
                <w:rFonts w:ascii="Times New Roman"/>
                <w:sz w:val="13"/>
              </w:rPr>
            </w:pPr>
            <w:r>
              <w:rPr>
                <w:rFonts w:ascii="Times New Roman"/>
                <w:sz w:val="13"/>
              </w:rPr>
              <w:t>Change</w:t>
            </w:r>
          </w:p>
        </w:tc>
        <w:tc>
          <w:tcPr>
            <w:tcW w:w="1074" w:type="dxa"/>
          </w:tcPr>
          <w:p>
            <w:pPr>
              <w:pStyle w:val="TableParagraph"/>
              <w:spacing w:line="129" w:lineRule="exact"/>
              <w:ind w:left="341"/>
              <w:rPr>
                <w:rFonts w:ascii="Times New Roman"/>
                <w:sz w:val="13"/>
              </w:rPr>
            </w:pPr>
            <w:r>
              <w:rPr>
                <w:rFonts w:ascii="Times New Roman"/>
                <w:sz w:val="13"/>
              </w:rPr>
              <w:t>2023-24</w:t>
            </w:r>
          </w:p>
        </w:tc>
      </w:tr>
      <w:tr>
        <w:trPr>
          <w:trHeight w:val="148" w:hRule="atLeast"/>
        </w:trPr>
        <w:tc>
          <w:tcPr>
            <w:tcW w:w="3784" w:type="dxa"/>
          </w:tcPr>
          <w:p>
            <w:pPr>
              <w:pStyle w:val="TableParagraph"/>
              <w:rPr>
                <w:rFonts w:ascii="Times New Roman"/>
                <w:sz w:val="8"/>
              </w:rPr>
            </w:pPr>
          </w:p>
        </w:tc>
        <w:tc>
          <w:tcPr>
            <w:tcW w:w="1418" w:type="dxa"/>
          </w:tcPr>
          <w:p>
            <w:pPr>
              <w:pStyle w:val="TableParagraph"/>
              <w:spacing w:line="129" w:lineRule="exact"/>
              <w:ind w:left="132" w:right="43"/>
              <w:jc w:val="center"/>
              <w:rPr>
                <w:rFonts w:ascii="Times New Roman"/>
                <w:sz w:val="13"/>
              </w:rPr>
            </w:pPr>
            <w:r>
              <w:rPr>
                <w:rFonts w:ascii="Times New Roman"/>
                <w:sz w:val="13"/>
              </w:rPr>
              <w:t>Object</w:t>
            </w:r>
          </w:p>
        </w:tc>
        <w:tc>
          <w:tcPr>
            <w:tcW w:w="1147" w:type="dxa"/>
          </w:tcPr>
          <w:p>
            <w:pPr>
              <w:pStyle w:val="TableParagraph"/>
              <w:spacing w:line="129" w:lineRule="exact"/>
              <w:ind w:left="310"/>
              <w:rPr>
                <w:rFonts w:ascii="Times New Roman"/>
                <w:sz w:val="13"/>
              </w:rPr>
            </w:pPr>
            <w:r>
              <w:rPr>
                <w:rFonts w:ascii="Times New Roman"/>
                <w:sz w:val="13"/>
              </w:rPr>
              <w:t>(Form 01)</w:t>
            </w:r>
          </w:p>
        </w:tc>
        <w:tc>
          <w:tcPr>
            <w:tcW w:w="1116" w:type="dxa"/>
          </w:tcPr>
          <w:p>
            <w:pPr>
              <w:pStyle w:val="TableParagraph"/>
              <w:spacing w:line="129" w:lineRule="exact"/>
              <w:ind w:left="187"/>
              <w:rPr>
                <w:rFonts w:ascii="Times New Roman"/>
                <w:sz w:val="13"/>
              </w:rPr>
            </w:pPr>
            <w:r>
              <w:rPr>
                <w:rFonts w:ascii="Times New Roman"/>
                <w:sz w:val="13"/>
              </w:rPr>
              <w:t>(Cols. C-A/A)</w:t>
            </w:r>
          </w:p>
        </w:tc>
        <w:tc>
          <w:tcPr>
            <w:tcW w:w="1116" w:type="dxa"/>
          </w:tcPr>
          <w:p>
            <w:pPr>
              <w:pStyle w:val="TableParagraph"/>
              <w:spacing w:line="129" w:lineRule="exact"/>
              <w:ind w:left="293"/>
              <w:rPr>
                <w:rFonts w:ascii="Times New Roman"/>
                <w:sz w:val="13"/>
              </w:rPr>
            </w:pPr>
            <w:r>
              <w:rPr>
                <w:rFonts w:ascii="Times New Roman"/>
                <w:sz w:val="13"/>
              </w:rPr>
              <w:t>Projection</w:t>
            </w:r>
          </w:p>
        </w:tc>
        <w:tc>
          <w:tcPr>
            <w:tcW w:w="1116" w:type="dxa"/>
          </w:tcPr>
          <w:p>
            <w:pPr>
              <w:pStyle w:val="TableParagraph"/>
              <w:spacing w:line="129" w:lineRule="exact"/>
              <w:ind w:left="197"/>
              <w:rPr>
                <w:rFonts w:ascii="Times New Roman"/>
                <w:sz w:val="13"/>
              </w:rPr>
            </w:pPr>
            <w:r>
              <w:rPr>
                <w:rFonts w:ascii="Times New Roman"/>
                <w:sz w:val="13"/>
              </w:rPr>
              <w:t>(Cols. E-C/C)</w:t>
            </w:r>
          </w:p>
        </w:tc>
        <w:tc>
          <w:tcPr>
            <w:tcW w:w="1074" w:type="dxa"/>
          </w:tcPr>
          <w:p>
            <w:pPr>
              <w:pStyle w:val="TableParagraph"/>
              <w:spacing w:line="129" w:lineRule="exact"/>
              <w:ind w:left="293"/>
              <w:rPr>
                <w:rFonts w:ascii="Times New Roman"/>
                <w:sz w:val="13"/>
              </w:rPr>
            </w:pPr>
            <w:r>
              <w:rPr>
                <w:rFonts w:ascii="Times New Roman"/>
                <w:sz w:val="13"/>
              </w:rPr>
              <w:t>Projection</w:t>
            </w:r>
          </w:p>
        </w:tc>
      </w:tr>
      <w:tr>
        <w:trPr>
          <w:trHeight w:val="830" w:hRule="atLeast"/>
        </w:trPr>
        <w:tc>
          <w:tcPr>
            <w:tcW w:w="3784" w:type="dxa"/>
          </w:tcPr>
          <w:p>
            <w:pPr>
              <w:pStyle w:val="TableParagraph"/>
              <w:spacing w:line="147" w:lineRule="exact"/>
              <w:ind w:left="32"/>
              <w:rPr>
                <w:rFonts w:ascii="Times New Roman"/>
                <w:sz w:val="13"/>
              </w:rPr>
            </w:pPr>
            <w:r>
              <w:rPr>
                <w:rFonts w:ascii="Times New Roman"/>
                <w:sz w:val="13"/>
              </w:rPr>
              <w:t>Description</w:t>
            </w:r>
          </w:p>
          <w:p>
            <w:pPr>
              <w:pStyle w:val="TableParagraph"/>
              <w:spacing w:line="268" w:lineRule="auto" w:before="18"/>
              <w:ind w:left="100" w:hanging="68"/>
              <w:rPr>
                <w:rFonts w:ascii="Times New Roman"/>
                <w:sz w:val="13"/>
              </w:rPr>
            </w:pPr>
            <w:r>
              <w:rPr>
                <w:rFonts w:ascii="Times New Roman"/>
                <w:sz w:val="13"/>
              </w:rPr>
              <w:t>(Enter projections for subsequent years 1 and 2 in Columns C and E; current year - Column A - is extracted)</w:t>
            </w:r>
          </w:p>
          <w:p>
            <w:pPr>
              <w:pStyle w:val="TableParagraph"/>
              <w:spacing w:before="1"/>
              <w:ind w:left="32"/>
              <w:rPr>
                <w:rFonts w:ascii="Times New Roman"/>
                <w:sz w:val="13"/>
              </w:rPr>
            </w:pPr>
            <w:r>
              <w:rPr>
                <w:rFonts w:ascii="Times New Roman"/>
                <w:sz w:val="13"/>
              </w:rPr>
              <w:t>A. REVENUES AND OTHER FINANCING SOURCES</w:t>
            </w:r>
          </w:p>
          <w:p>
            <w:pPr>
              <w:pStyle w:val="TableParagraph"/>
              <w:numPr>
                <w:ilvl w:val="0"/>
                <w:numId w:val="55"/>
              </w:numPr>
              <w:tabs>
                <w:tab w:pos="235" w:val="left" w:leader="none"/>
              </w:tabs>
              <w:spacing w:line="141" w:lineRule="exact" w:before="19" w:after="0"/>
              <w:ind w:left="234" w:right="0" w:hanging="135"/>
              <w:jc w:val="left"/>
              <w:rPr>
                <w:rFonts w:ascii="Times New Roman"/>
                <w:sz w:val="13"/>
              </w:rPr>
            </w:pPr>
            <w:r>
              <w:rPr>
                <w:rFonts w:ascii="Times New Roman"/>
                <w:sz w:val="13"/>
              </w:rPr>
              <w:t>LCFF/Revenue Limit</w:t>
            </w:r>
            <w:r>
              <w:rPr>
                <w:rFonts w:ascii="Times New Roman"/>
                <w:spacing w:val="-2"/>
                <w:sz w:val="13"/>
              </w:rPr>
              <w:t> </w:t>
            </w:r>
            <w:r>
              <w:rPr>
                <w:rFonts w:ascii="Times New Roman"/>
                <w:sz w:val="13"/>
              </w:rPr>
              <w:t>Sources</w:t>
            </w:r>
          </w:p>
        </w:tc>
        <w:tc>
          <w:tcPr>
            <w:tcW w:w="1418" w:type="dxa"/>
          </w:tcPr>
          <w:p>
            <w:pPr>
              <w:pStyle w:val="TableParagraph"/>
              <w:spacing w:line="147" w:lineRule="exact"/>
              <w:ind w:left="132" w:right="43"/>
              <w:jc w:val="center"/>
              <w:rPr>
                <w:rFonts w:ascii="Times New Roman"/>
                <w:sz w:val="13"/>
              </w:rPr>
            </w:pPr>
            <w:r>
              <w:rPr>
                <w:rFonts w:ascii="Times New Roman"/>
                <w:sz w:val="13"/>
              </w:rPr>
              <w:t>Codes</w:t>
            </w:r>
          </w:p>
          <w:p>
            <w:pPr>
              <w:pStyle w:val="TableParagraph"/>
              <w:rPr>
                <w:rFonts w:ascii="Times New Roman"/>
                <w:sz w:val="14"/>
              </w:rPr>
            </w:pPr>
          </w:p>
          <w:p>
            <w:pPr>
              <w:pStyle w:val="TableParagraph"/>
              <w:rPr>
                <w:rFonts w:ascii="Times New Roman"/>
                <w:sz w:val="14"/>
              </w:rPr>
            </w:pPr>
          </w:p>
          <w:p>
            <w:pPr>
              <w:pStyle w:val="TableParagraph"/>
              <w:spacing w:before="5"/>
              <w:rPr>
                <w:rFonts w:ascii="Times New Roman"/>
                <w:sz w:val="17"/>
              </w:rPr>
            </w:pPr>
          </w:p>
          <w:p>
            <w:pPr>
              <w:pStyle w:val="TableParagraph"/>
              <w:spacing w:line="141" w:lineRule="exact"/>
              <w:ind w:left="131" w:right="54"/>
              <w:jc w:val="center"/>
              <w:rPr>
                <w:rFonts w:ascii="Times New Roman"/>
                <w:sz w:val="13"/>
              </w:rPr>
            </w:pPr>
            <w:r>
              <w:rPr>
                <w:rFonts w:ascii="Times New Roman"/>
                <w:sz w:val="13"/>
              </w:rPr>
              <w:t>8010-8099</w:t>
            </w:r>
          </w:p>
        </w:tc>
        <w:tc>
          <w:tcPr>
            <w:tcW w:w="1147" w:type="dxa"/>
          </w:tcPr>
          <w:p>
            <w:pPr>
              <w:pStyle w:val="TableParagraph"/>
              <w:spacing w:line="147" w:lineRule="exact"/>
              <w:ind w:left="469" w:right="456"/>
              <w:jc w:val="center"/>
              <w:rPr>
                <w:rFonts w:ascii="Times New Roman"/>
                <w:sz w:val="13"/>
              </w:rPr>
            </w:pPr>
            <w:r>
              <w:rPr>
                <w:rFonts w:ascii="Times New Roman"/>
                <w:sz w:val="13"/>
              </w:rPr>
              <w:t>(A)</w:t>
            </w:r>
          </w:p>
          <w:p>
            <w:pPr>
              <w:pStyle w:val="TableParagraph"/>
              <w:rPr>
                <w:rFonts w:ascii="Times New Roman"/>
                <w:sz w:val="14"/>
              </w:rPr>
            </w:pPr>
          </w:p>
          <w:p>
            <w:pPr>
              <w:pStyle w:val="TableParagraph"/>
              <w:rPr>
                <w:rFonts w:ascii="Times New Roman"/>
                <w:sz w:val="14"/>
              </w:rPr>
            </w:pPr>
          </w:p>
          <w:p>
            <w:pPr>
              <w:pStyle w:val="TableParagraph"/>
              <w:spacing w:before="5"/>
              <w:rPr>
                <w:rFonts w:ascii="Times New Roman"/>
                <w:sz w:val="17"/>
              </w:rPr>
            </w:pPr>
          </w:p>
          <w:p>
            <w:pPr>
              <w:pStyle w:val="TableParagraph"/>
              <w:spacing w:line="141" w:lineRule="exact"/>
              <w:ind w:left="367"/>
              <w:rPr>
                <w:rFonts w:ascii="Times New Roman"/>
                <w:sz w:val="13"/>
              </w:rPr>
            </w:pPr>
            <w:r>
              <w:rPr>
                <w:rFonts w:ascii="Times New Roman"/>
                <w:sz w:val="13"/>
              </w:rPr>
              <w:t>1,369,520.00</w:t>
            </w:r>
          </w:p>
        </w:tc>
        <w:tc>
          <w:tcPr>
            <w:tcW w:w="1116" w:type="dxa"/>
          </w:tcPr>
          <w:p>
            <w:pPr>
              <w:pStyle w:val="TableParagraph"/>
              <w:spacing w:line="147" w:lineRule="exact"/>
              <w:ind w:left="452" w:right="441"/>
              <w:jc w:val="center"/>
              <w:rPr>
                <w:rFonts w:ascii="Times New Roman"/>
                <w:sz w:val="13"/>
              </w:rPr>
            </w:pPr>
            <w:r>
              <w:rPr>
                <w:rFonts w:ascii="Times New Roman"/>
                <w:sz w:val="13"/>
              </w:rPr>
              <w:t>(B)</w:t>
            </w:r>
          </w:p>
          <w:p>
            <w:pPr>
              <w:pStyle w:val="TableParagraph"/>
              <w:rPr>
                <w:rFonts w:ascii="Times New Roman"/>
                <w:sz w:val="14"/>
              </w:rPr>
            </w:pPr>
          </w:p>
          <w:p>
            <w:pPr>
              <w:pStyle w:val="TableParagraph"/>
              <w:rPr>
                <w:rFonts w:ascii="Times New Roman"/>
                <w:sz w:val="14"/>
              </w:rPr>
            </w:pPr>
          </w:p>
          <w:p>
            <w:pPr>
              <w:pStyle w:val="TableParagraph"/>
              <w:spacing w:before="5"/>
              <w:rPr>
                <w:rFonts w:ascii="Times New Roman"/>
                <w:sz w:val="17"/>
              </w:rPr>
            </w:pPr>
          </w:p>
          <w:p>
            <w:pPr>
              <w:pStyle w:val="TableParagraph"/>
              <w:spacing w:line="141" w:lineRule="exact"/>
              <w:ind w:left="739"/>
              <w:rPr>
                <w:rFonts w:ascii="Times New Roman"/>
                <w:sz w:val="13"/>
              </w:rPr>
            </w:pPr>
            <w:r>
              <w:rPr>
                <w:rFonts w:ascii="Times New Roman"/>
                <w:sz w:val="13"/>
              </w:rPr>
              <w:t>3.77%</w:t>
            </w:r>
          </w:p>
        </w:tc>
        <w:tc>
          <w:tcPr>
            <w:tcW w:w="1116" w:type="dxa"/>
          </w:tcPr>
          <w:p>
            <w:pPr>
              <w:pStyle w:val="TableParagraph"/>
              <w:spacing w:line="147" w:lineRule="exact"/>
              <w:ind w:left="452" w:right="441"/>
              <w:jc w:val="center"/>
              <w:rPr>
                <w:rFonts w:ascii="Times New Roman"/>
                <w:sz w:val="13"/>
              </w:rPr>
            </w:pPr>
            <w:r>
              <w:rPr>
                <w:rFonts w:ascii="Times New Roman"/>
                <w:sz w:val="13"/>
              </w:rPr>
              <w:t>(C)</w:t>
            </w:r>
          </w:p>
          <w:p>
            <w:pPr>
              <w:pStyle w:val="TableParagraph"/>
              <w:rPr>
                <w:rFonts w:ascii="Times New Roman"/>
                <w:sz w:val="14"/>
              </w:rPr>
            </w:pPr>
          </w:p>
          <w:p>
            <w:pPr>
              <w:pStyle w:val="TableParagraph"/>
              <w:rPr>
                <w:rFonts w:ascii="Times New Roman"/>
                <w:sz w:val="14"/>
              </w:rPr>
            </w:pPr>
          </w:p>
          <w:p>
            <w:pPr>
              <w:pStyle w:val="TableParagraph"/>
              <w:spacing w:before="5"/>
              <w:rPr>
                <w:rFonts w:ascii="Times New Roman"/>
                <w:sz w:val="17"/>
              </w:rPr>
            </w:pPr>
          </w:p>
          <w:p>
            <w:pPr>
              <w:pStyle w:val="TableParagraph"/>
              <w:spacing w:line="141" w:lineRule="exact"/>
              <w:ind w:left="336"/>
              <w:rPr>
                <w:rFonts w:ascii="Times New Roman"/>
                <w:sz w:val="13"/>
              </w:rPr>
            </w:pPr>
            <w:r>
              <w:rPr>
                <w:rFonts w:ascii="Times New Roman"/>
                <w:sz w:val="13"/>
              </w:rPr>
              <w:t>1,421,191.00</w:t>
            </w:r>
          </w:p>
        </w:tc>
        <w:tc>
          <w:tcPr>
            <w:tcW w:w="1116" w:type="dxa"/>
          </w:tcPr>
          <w:p>
            <w:pPr>
              <w:pStyle w:val="TableParagraph"/>
              <w:spacing w:line="147" w:lineRule="exact"/>
              <w:ind w:left="454" w:right="441"/>
              <w:jc w:val="center"/>
              <w:rPr>
                <w:rFonts w:ascii="Times New Roman"/>
                <w:sz w:val="13"/>
              </w:rPr>
            </w:pPr>
            <w:r>
              <w:rPr>
                <w:rFonts w:ascii="Times New Roman"/>
                <w:sz w:val="13"/>
              </w:rPr>
              <w:t>(D)</w:t>
            </w:r>
          </w:p>
          <w:p>
            <w:pPr>
              <w:pStyle w:val="TableParagraph"/>
              <w:rPr>
                <w:rFonts w:ascii="Times New Roman"/>
                <w:sz w:val="14"/>
              </w:rPr>
            </w:pPr>
          </w:p>
          <w:p>
            <w:pPr>
              <w:pStyle w:val="TableParagraph"/>
              <w:rPr>
                <w:rFonts w:ascii="Times New Roman"/>
                <w:sz w:val="14"/>
              </w:rPr>
            </w:pPr>
          </w:p>
          <w:p>
            <w:pPr>
              <w:pStyle w:val="TableParagraph"/>
              <w:spacing w:before="5"/>
              <w:rPr>
                <w:rFonts w:ascii="Times New Roman"/>
                <w:sz w:val="17"/>
              </w:rPr>
            </w:pPr>
          </w:p>
          <w:p>
            <w:pPr>
              <w:pStyle w:val="TableParagraph"/>
              <w:spacing w:line="141" w:lineRule="exact"/>
              <w:ind w:left="739"/>
              <w:rPr>
                <w:rFonts w:ascii="Times New Roman"/>
                <w:sz w:val="13"/>
              </w:rPr>
            </w:pPr>
            <w:r>
              <w:rPr>
                <w:rFonts w:ascii="Times New Roman"/>
                <w:sz w:val="13"/>
              </w:rPr>
              <w:t>2.98%</w:t>
            </w:r>
          </w:p>
        </w:tc>
        <w:tc>
          <w:tcPr>
            <w:tcW w:w="1074" w:type="dxa"/>
          </w:tcPr>
          <w:p>
            <w:pPr>
              <w:pStyle w:val="TableParagraph"/>
              <w:spacing w:line="147" w:lineRule="exact"/>
              <w:ind w:left="461" w:right="406"/>
              <w:jc w:val="center"/>
              <w:rPr>
                <w:rFonts w:ascii="Times New Roman"/>
                <w:sz w:val="13"/>
              </w:rPr>
            </w:pPr>
            <w:r>
              <w:rPr>
                <w:rFonts w:ascii="Times New Roman"/>
                <w:sz w:val="13"/>
              </w:rPr>
              <w:t>(E)</w:t>
            </w:r>
          </w:p>
          <w:p>
            <w:pPr>
              <w:pStyle w:val="TableParagraph"/>
              <w:rPr>
                <w:rFonts w:ascii="Times New Roman"/>
                <w:sz w:val="14"/>
              </w:rPr>
            </w:pPr>
          </w:p>
          <w:p>
            <w:pPr>
              <w:pStyle w:val="TableParagraph"/>
              <w:rPr>
                <w:rFonts w:ascii="Times New Roman"/>
                <w:sz w:val="14"/>
              </w:rPr>
            </w:pPr>
          </w:p>
          <w:p>
            <w:pPr>
              <w:pStyle w:val="TableParagraph"/>
              <w:spacing w:before="5"/>
              <w:rPr>
                <w:rFonts w:ascii="Times New Roman"/>
                <w:sz w:val="17"/>
              </w:rPr>
            </w:pPr>
          </w:p>
          <w:p>
            <w:pPr>
              <w:pStyle w:val="TableParagraph"/>
              <w:spacing w:line="141" w:lineRule="exact"/>
              <w:ind w:left="336"/>
              <w:rPr>
                <w:rFonts w:ascii="Times New Roman"/>
                <w:sz w:val="13"/>
              </w:rPr>
            </w:pPr>
            <w:r>
              <w:rPr>
                <w:rFonts w:ascii="Times New Roman"/>
                <w:sz w:val="13"/>
              </w:rPr>
              <w:t>1,463,576.00</w:t>
            </w:r>
          </w:p>
        </w:tc>
      </w:tr>
      <w:tr>
        <w:trPr>
          <w:trHeight w:val="167" w:hRule="atLeast"/>
        </w:trPr>
        <w:tc>
          <w:tcPr>
            <w:tcW w:w="3784" w:type="dxa"/>
          </w:tcPr>
          <w:p>
            <w:pPr>
              <w:pStyle w:val="TableParagraph"/>
              <w:spacing w:line="141" w:lineRule="exact" w:before="7"/>
              <w:ind w:left="100"/>
              <w:rPr>
                <w:rFonts w:ascii="Times New Roman"/>
                <w:sz w:val="13"/>
              </w:rPr>
            </w:pPr>
            <w:r>
              <w:rPr>
                <w:rFonts w:ascii="Times New Roman"/>
                <w:sz w:val="13"/>
              </w:rPr>
              <w:t>2. Federal Revenues</w:t>
            </w:r>
          </w:p>
        </w:tc>
        <w:tc>
          <w:tcPr>
            <w:tcW w:w="1418" w:type="dxa"/>
          </w:tcPr>
          <w:p>
            <w:pPr>
              <w:pStyle w:val="TableParagraph"/>
              <w:spacing w:line="141" w:lineRule="exact" w:before="7"/>
              <w:ind w:left="131" w:right="54"/>
              <w:jc w:val="center"/>
              <w:rPr>
                <w:rFonts w:ascii="Times New Roman"/>
                <w:sz w:val="13"/>
              </w:rPr>
            </w:pPr>
            <w:r>
              <w:rPr>
                <w:rFonts w:ascii="Times New Roman"/>
                <w:sz w:val="13"/>
              </w:rPr>
              <w:t>8100-8299</w:t>
            </w:r>
          </w:p>
        </w:tc>
        <w:tc>
          <w:tcPr>
            <w:tcW w:w="1147" w:type="dxa"/>
          </w:tcPr>
          <w:p>
            <w:pPr>
              <w:pStyle w:val="TableParagraph"/>
              <w:spacing w:line="141" w:lineRule="exact" w:before="7"/>
              <w:ind w:right="73"/>
              <w:jc w:val="right"/>
              <w:rPr>
                <w:rFonts w:ascii="Times New Roman"/>
                <w:sz w:val="13"/>
              </w:rPr>
            </w:pPr>
            <w:r>
              <w:rPr>
                <w:rFonts w:ascii="Times New Roman"/>
                <w:sz w:val="13"/>
              </w:rPr>
              <w:t>166,779.00</w:t>
            </w:r>
          </w:p>
        </w:tc>
        <w:tc>
          <w:tcPr>
            <w:tcW w:w="1116" w:type="dxa"/>
          </w:tcPr>
          <w:p>
            <w:pPr>
              <w:pStyle w:val="TableParagraph"/>
              <w:spacing w:line="141" w:lineRule="exact" w:before="7"/>
              <w:ind w:right="29"/>
              <w:jc w:val="right"/>
              <w:rPr>
                <w:rFonts w:ascii="Times New Roman"/>
                <w:sz w:val="13"/>
              </w:rPr>
            </w:pPr>
            <w:r>
              <w:rPr>
                <w:rFonts w:ascii="Times New Roman"/>
                <w:sz w:val="13"/>
              </w:rPr>
              <w:t>-36.32%</w:t>
            </w:r>
          </w:p>
        </w:tc>
        <w:tc>
          <w:tcPr>
            <w:tcW w:w="1116" w:type="dxa"/>
          </w:tcPr>
          <w:p>
            <w:pPr>
              <w:pStyle w:val="TableParagraph"/>
              <w:spacing w:line="141" w:lineRule="exact" w:before="7"/>
              <w:ind w:right="73"/>
              <w:jc w:val="right"/>
              <w:rPr>
                <w:rFonts w:ascii="Times New Roman"/>
                <w:sz w:val="13"/>
              </w:rPr>
            </w:pPr>
            <w:r>
              <w:rPr>
                <w:rFonts w:ascii="Times New Roman"/>
                <w:sz w:val="13"/>
              </w:rPr>
              <w:t>106,209.00</w:t>
            </w:r>
          </w:p>
        </w:tc>
        <w:tc>
          <w:tcPr>
            <w:tcW w:w="1116" w:type="dxa"/>
          </w:tcPr>
          <w:p>
            <w:pPr>
              <w:pStyle w:val="TableParagraph"/>
              <w:spacing w:line="141" w:lineRule="exact" w:before="7"/>
              <w:ind w:right="28"/>
              <w:jc w:val="right"/>
              <w:rPr>
                <w:rFonts w:ascii="Times New Roman"/>
                <w:sz w:val="13"/>
              </w:rPr>
            </w:pPr>
            <w:r>
              <w:rPr>
                <w:rFonts w:ascii="Times New Roman"/>
                <w:sz w:val="13"/>
              </w:rPr>
              <w:t>0.00%</w:t>
            </w:r>
          </w:p>
        </w:tc>
        <w:tc>
          <w:tcPr>
            <w:tcW w:w="1074" w:type="dxa"/>
          </w:tcPr>
          <w:p>
            <w:pPr>
              <w:pStyle w:val="TableParagraph"/>
              <w:spacing w:line="141" w:lineRule="exact" w:before="7"/>
              <w:ind w:right="31"/>
              <w:jc w:val="right"/>
              <w:rPr>
                <w:rFonts w:ascii="Times New Roman"/>
                <w:sz w:val="13"/>
              </w:rPr>
            </w:pPr>
            <w:r>
              <w:rPr>
                <w:rFonts w:ascii="Times New Roman"/>
                <w:sz w:val="13"/>
              </w:rPr>
              <w:t>106,209.00</w:t>
            </w:r>
          </w:p>
        </w:tc>
      </w:tr>
      <w:tr>
        <w:trPr>
          <w:trHeight w:val="168" w:hRule="atLeast"/>
        </w:trPr>
        <w:tc>
          <w:tcPr>
            <w:tcW w:w="3784" w:type="dxa"/>
          </w:tcPr>
          <w:p>
            <w:pPr>
              <w:pStyle w:val="TableParagraph"/>
              <w:spacing w:line="141" w:lineRule="exact" w:before="7"/>
              <w:ind w:left="100"/>
              <w:rPr>
                <w:rFonts w:ascii="Times New Roman"/>
                <w:sz w:val="13"/>
              </w:rPr>
            </w:pPr>
            <w:r>
              <w:rPr>
                <w:rFonts w:ascii="Times New Roman"/>
                <w:sz w:val="13"/>
              </w:rPr>
              <w:t>3. Other State Revenues</w:t>
            </w:r>
          </w:p>
        </w:tc>
        <w:tc>
          <w:tcPr>
            <w:tcW w:w="1418" w:type="dxa"/>
          </w:tcPr>
          <w:p>
            <w:pPr>
              <w:pStyle w:val="TableParagraph"/>
              <w:spacing w:line="141" w:lineRule="exact" w:before="7"/>
              <w:ind w:left="131" w:right="54"/>
              <w:jc w:val="center"/>
              <w:rPr>
                <w:rFonts w:ascii="Times New Roman"/>
                <w:sz w:val="13"/>
              </w:rPr>
            </w:pPr>
            <w:r>
              <w:rPr>
                <w:rFonts w:ascii="Times New Roman"/>
                <w:sz w:val="13"/>
              </w:rPr>
              <w:t>8300-8599</w:t>
            </w:r>
          </w:p>
        </w:tc>
        <w:tc>
          <w:tcPr>
            <w:tcW w:w="1147" w:type="dxa"/>
          </w:tcPr>
          <w:p>
            <w:pPr>
              <w:pStyle w:val="TableParagraph"/>
              <w:spacing w:line="141" w:lineRule="exact" w:before="7"/>
              <w:ind w:right="73"/>
              <w:jc w:val="right"/>
              <w:rPr>
                <w:rFonts w:ascii="Times New Roman"/>
                <w:sz w:val="13"/>
              </w:rPr>
            </w:pPr>
            <w:r>
              <w:rPr>
                <w:rFonts w:ascii="Times New Roman"/>
                <w:sz w:val="13"/>
              </w:rPr>
              <w:t>184,768.00</w:t>
            </w:r>
          </w:p>
        </w:tc>
        <w:tc>
          <w:tcPr>
            <w:tcW w:w="1116" w:type="dxa"/>
          </w:tcPr>
          <w:p>
            <w:pPr>
              <w:pStyle w:val="TableParagraph"/>
              <w:spacing w:line="141" w:lineRule="exact" w:before="7"/>
              <w:ind w:right="29"/>
              <w:jc w:val="right"/>
              <w:rPr>
                <w:rFonts w:ascii="Times New Roman"/>
                <w:sz w:val="13"/>
              </w:rPr>
            </w:pPr>
            <w:r>
              <w:rPr>
                <w:rFonts w:ascii="Times New Roman"/>
                <w:sz w:val="13"/>
              </w:rPr>
              <w:t>-44.87%</w:t>
            </w:r>
          </w:p>
        </w:tc>
        <w:tc>
          <w:tcPr>
            <w:tcW w:w="1116" w:type="dxa"/>
          </w:tcPr>
          <w:p>
            <w:pPr>
              <w:pStyle w:val="TableParagraph"/>
              <w:spacing w:line="141" w:lineRule="exact" w:before="7"/>
              <w:ind w:right="73"/>
              <w:jc w:val="right"/>
              <w:rPr>
                <w:rFonts w:ascii="Times New Roman"/>
                <w:sz w:val="13"/>
              </w:rPr>
            </w:pPr>
            <w:r>
              <w:rPr>
                <w:rFonts w:ascii="Times New Roman"/>
                <w:sz w:val="13"/>
              </w:rPr>
              <w:t>101,861.00</w:t>
            </w:r>
          </w:p>
        </w:tc>
        <w:tc>
          <w:tcPr>
            <w:tcW w:w="1116" w:type="dxa"/>
          </w:tcPr>
          <w:p>
            <w:pPr>
              <w:pStyle w:val="TableParagraph"/>
              <w:spacing w:line="141" w:lineRule="exact" w:before="7"/>
              <w:ind w:right="28"/>
              <w:jc w:val="right"/>
              <w:rPr>
                <w:rFonts w:ascii="Times New Roman"/>
                <w:sz w:val="13"/>
              </w:rPr>
            </w:pPr>
            <w:r>
              <w:rPr>
                <w:rFonts w:ascii="Times New Roman"/>
                <w:sz w:val="13"/>
              </w:rPr>
              <w:t>0.00%</w:t>
            </w:r>
          </w:p>
        </w:tc>
        <w:tc>
          <w:tcPr>
            <w:tcW w:w="1074" w:type="dxa"/>
          </w:tcPr>
          <w:p>
            <w:pPr>
              <w:pStyle w:val="TableParagraph"/>
              <w:spacing w:line="141" w:lineRule="exact" w:before="7"/>
              <w:ind w:right="31"/>
              <w:jc w:val="right"/>
              <w:rPr>
                <w:rFonts w:ascii="Times New Roman"/>
                <w:sz w:val="13"/>
              </w:rPr>
            </w:pPr>
            <w:r>
              <w:rPr>
                <w:rFonts w:ascii="Times New Roman"/>
                <w:sz w:val="13"/>
              </w:rPr>
              <w:t>101,861.00</w:t>
            </w:r>
          </w:p>
        </w:tc>
      </w:tr>
      <w:tr>
        <w:trPr>
          <w:trHeight w:val="168" w:hRule="atLeast"/>
        </w:trPr>
        <w:tc>
          <w:tcPr>
            <w:tcW w:w="3784" w:type="dxa"/>
          </w:tcPr>
          <w:p>
            <w:pPr>
              <w:pStyle w:val="TableParagraph"/>
              <w:spacing w:line="141" w:lineRule="exact" w:before="7"/>
              <w:ind w:left="100"/>
              <w:rPr>
                <w:rFonts w:ascii="Times New Roman"/>
                <w:sz w:val="13"/>
              </w:rPr>
            </w:pPr>
            <w:r>
              <w:rPr>
                <w:rFonts w:ascii="Times New Roman"/>
                <w:sz w:val="13"/>
              </w:rPr>
              <w:t>4. Other Local Revenues</w:t>
            </w:r>
          </w:p>
        </w:tc>
        <w:tc>
          <w:tcPr>
            <w:tcW w:w="1418" w:type="dxa"/>
          </w:tcPr>
          <w:p>
            <w:pPr>
              <w:pStyle w:val="TableParagraph"/>
              <w:spacing w:line="141" w:lineRule="exact" w:before="7"/>
              <w:ind w:left="131" w:right="54"/>
              <w:jc w:val="center"/>
              <w:rPr>
                <w:rFonts w:ascii="Times New Roman"/>
                <w:sz w:val="13"/>
              </w:rPr>
            </w:pPr>
            <w:r>
              <w:rPr>
                <w:rFonts w:ascii="Times New Roman"/>
                <w:sz w:val="13"/>
              </w:rPr>
              <w:t>8600-8799</w:t>
            </w:r>
          </w:p>
        </w:tc>
        <w:tc>
          <w:tcPr>
            <w:tcW w:w="1147" w:type="dxa"/>
          </w:tcPr>
          <w:p>
            <w:pPr>
              <w:pStyle w:val="TableParagraph"/>
              <w:spacing w:line="141" w:lineRule="exact" w:before="7"/>
              <w:ind w:right="73"/>
              <w:jc w:val="right"/>
              <w:rPr>
                <w:rFonts w:ascii="Times New Roman"/>
                <w:sz w:val="13"/>
              </w:rPr>
            </w:pPr>
            <w:r>
              <w:rPr>
                <w:rFonts w:ascii="Times New Roman"/>
                <w:sz w:val="13"/>
              </w:rPr>
              <w:t>377,666.00</w:t>
            </w:r>
          </w:p>
        </w:tc>
        <w:tc>
          <w:tcPr>
            <w:tcW w:w="1116" w:type="dxa"/>
          </w:tcPr>
          <w:p>
            <w:pPr>
              <w:pStyle w:val="TableParagraph"/>
              <w:spacing w:line="141" w:lineRule="exact" w:before="7"/>
              <w:ind w:right="28"/>
              <w:jc w:val="right"/>
              <w:rPr>
                <w:rFonts w:ascii="Times New Roman"/>
                <w:sz w:val="13"/>
              </w:rPr>
            </w:pPr>
            <w:r>
              <w:rPr>
                <w:rFonts w:ascii="Times New Roman"/>
                <w:sz w:val="13"/>
              </w:rPr>
              <w:t>0.00%</w:t>
            </w:r>
          </w:p>
        </w:tc>
        <w:tc>
          <w:tcPr>
            <w:tcW w:w="1116" w:type="dxa"/>
          </w:tcPr>
          <w:p>
            <w:pPr>
              <w:pStyle w:val="TableParagraph"/>
              <w:spacing w:line="141" w:lineRule="exact" w:before="7"/>
              <w:ind w:right="73"/>
              <w:jc w:val="right"/>
              <w:rPr>
                <w:rFonts w:ascii="Times New Roman"/>
                <w:sz w:val="13"/>
              </w:rPr>
            </w:pPr>
            <w:r>
              <w:rPr>
                <w:rFonts w:ascii="Times New Roman"/>
                <w:sz w:val="13"/>
              </w:rPr>
              <w:t>377,666.00</w:t>
            </w:r>
          </w:p>
        </w:tc>
        <w:tc>
          <w:tcPr>
            <w:tcW w:w="1116" w:type="dxa"/>
          </w:tcPr>
          <w:p>
            <w:pPr>
              <w:pStyle w:val="TableParagraph"/>
              <w:spacing w:line="141" w:lineRule="exact" w:before="7"/>
              <w:ind w:right="28"/>
              <w:jc w:val="right"/>
              <w:rPr>
                <w:rFonts w:ascii="Times New Roman"/>
                <w:sz w:val="13"/>
              </w:rPr>
            </w:pPr>
            <w:r>
              <w:rPr>
                <w:rFonts w:ascii="Times New Roman"/>
                <w:sz w:val="13"/>
              </w:rPr>
              <w:t>0.00%</w:t>
            </w:r>
          </w:p>
        </w:tc>
        <w:tc>
          <w:tcPr>
            <w:tcW w:w="1074" w:type="dxa"/>
          </w:tcPr>
          <w:p>
            <w:pPr>
              <w:pStyle w:val="TableParagraph"/>
              <w:spacing w:line="141" w:lineRule="exact" w:before="7"/>
              <w:ind w:right="31"/>
              <w:jc w:val="right"/>
              <w:rPr>
                <w:rFonts w:ascii="Times New Roman"/>
                <w:sz w:val="13"/>
              </w:rPr>
            </w:pPr>
            <w:r>
              <w:rPr>
                <w:rFonts w:ascii="Times New Roman"/>
                <w:sz w:val="13"/>
              </w:rPr>
              <w:t>377,666.00</w:t>
            </w:r>
          </w:p>
        </w:tc>
      </w:tr>
      <w:tr>
        <w:trPr>
          <w:trHeight w:val="335" w:hRule="atLeast"/>
        </w:trPr>
        <w:tc>
          <w:tcPr>
            <w:tcW w:w="3784" w:type="dxa"/>
          </w:tcPr>
          <w:p>
            <w:pPr>
              <w:pStyle w:val="TableParagraph"/>
              <w:numPr>
                <w:ilvl w:val="0"/>
                <w:numId w:val="56"/>
              </w:numPr>
              <w:tabs>
                <w:tab w:pos="268" w:val="left" w:leader="none"/>
              </w:tabs>
              <w:spacing w:line="240" w:lineRule="auto" w:before="7" w:after="0"/>
              <w:ind w:left="267" w:right="0" w:hanging="168"/>
              <w:jc w:val="left"/>
              <w:rPr>
                <w:rFonts w:ascii="Times New Roman"/>
                <w:sz w:val="13"/>
              </w:rPr>
            </w:pPr>
            <w:r>
              <w:rPr>
                <w:rFonts w:ascii="Times New Roman"/>
                <w:sz w:val="13"/>
              </w:rPr>
              <w:t>Other Financing</w:t>
            </w:r>
            <w:r>
              <w:rPr>
                <w:rFonts w:ascii="Times New Roman"/>
                <w:spacing w:val="-3"/>
                <w:sz w:val="13"/>
              </w:rPr>
              <w:t> </w:t>
            </w:r>
            <w:r>
              <w:rPr>
                <w:rFonts w:ascii="Times New Roman"/>
                <w:sz w:val="13"/>
              </w:rPr>
              <w:t>Sources</w:t>
            </w:r>
          </w:p>
          <w:p>
            <w:pPr>
              <w:pStyle w:val="TableParagraph"/>
              <w:numPr>
                <w:ilvl w:val="1"/>
                <w:numId w:val="56"/>
              </w:numPr>
              <w:tabs>
                <w:tab w:pos="359" w:val="left" w:leader="none"/>
              </w:tabs>
              <w:spacing w:line="141" w:lineRule="exact" w:before="18" w:after="0"/>
              <w:ind w:left="358" w:right="0" w:hanging="159"/>
              <w:jc w:val="left"/>
              <w:rPr>
                <w:rFonts w:ascii="Times New Roman"/>
                <w:sz w:val="13"/>
              </w:rPr>
            </w:pPr>
            <w:r>
              <w:rPr>
                <w:rFonts w:ascii="Times New Roman"/>
                <w:sz w:val="13"/>
              </w:rPr>
              <w:t>Transfers</w:t>
            </w:r>
            <w:r>
              <w:rPr>
                <w:rFonts w:ascii="Times New Roman"/>
                <w:spacing w:val="-1"/>
                <w:sz w:val="13"/>
              </w:rPr>
              <w:t> </w:t>
            </w:r>
            <w:r>
              <w:rPr>
                <w:rFonts w:ascii="Times New Roman"/>
                <w:sz w:val="13"/>
              </w:rPr>
              <w:t>In</w:t>
            </w:r>
          </w:p>
        </w:tc>
        <w:tc>
          <w:tcPr>
            <w:tcW w:w="1418" w:type="dxa"/>
          </w:tcPr>
          <w:p>
            <w:pPr>
              <w:pStyle w:val="TableParagraph"/>
              <w:spacing w:before="2"/>
              <w:rPr>
                <w:rFonts w:ascii="Times New Roman"/>
                <w:sz w:val="15"/>
              </w:rPr>
            </w:pPr>
          </w:p>
          <w:p>
            <w:pPr>
              <w:pStyle w:val="TableParagraph"/>
              <w:spacing w:line="141" w:lineRule="exact"/>
              <w:ind w:left="131" w:right="54"/>
              <w:jc w:val="center"/>
              <w:rPr>
                <w:rFonts w:ascii="Times New Roman"/>
                <w:sz w:val="13"/>
              </w:rPr>
            </w:pPr>
            <w:r>
              <w:rPr>
                <w:rFonts w:ascii="Times New Roman"/>
                <w:sz w:val="13"/>
              </w:rPr>
              <w:t>8900-8929</w:t>
            </w:r>
          </w:p>
        </w:tc>
        <w:tc>
          <w:tcPr>
            <w:tcW w:w="1147" w:type="dxa"/>
          </w:tcPr>
          <w:p>
            <w:pPr>
              <w:pStyle w:val="TableParagraph"/>
              <w:spacing w:before="2"/>
              <w:rPr>
                <w:rFonts w:ascii="Times New Roman"/>
                <w:sz w:val="15"/>
              </w:rPr>
            </w:pPr>
          </w:p>
          <w:p>
            <w:pPr>
              <w:pStyle w:val="TableParagraph"/>
              <w:spacing w:line="141" w:lineRule="exact"/>
              <w:ind w:right="72"/>
              <w:jc w:val="right"/>
              <w:rPr>
                <w:rFonts w:ascii="Times New Roman"/>
                <w:sz w:val="13"/>
              </w:rPr>
            </w:pPr>
            <w:r>
              <w:rPr>
                <w:rFonts w:ascii="Times New Roman"/>
                <w:sz w:val="13"/>
              </w:rPr>
              <w:t>0.00</w:t>
            </w:r>
          </w:p>
        </w:tc>
        <w:tc>
          <w:tcPr>
            <w:tcW w:w="1116" w:type="dxa"/>
          </w:tcPr>
          <w:p>
            <w:pPr>
              <w:pStyle w:val="TableParagraph"/>
              <w:spacing w:before="2"/>
              <w:rPr>
                <w:rFonts w:ascii="Times New Roman"/>
                <w:sz w:val="15"/>
              </w:rPr>
            </w:pPr>
          </w:p>
          <w:p>
            <w:pPr>
              <w:pStyle w:val="TableParagraph"/>
              <w:spacing w:line="141" w:lineRule="exact"/>
              <w:ind w:right="28"/>
              <w:jc w:val="right"/>
              <w:rPr>
                <w:rFonts w:ascii="Times New Roman"/>
                <w:sz w:val="13"/>
              </w:rPr>
            </w:pPr>
            <w:r>
              <w:rPr>
                <w:rFonts w:ascii="Times New Roman"/>
                <w:sz w:val="13"/>
              </w:rPr>
              <w:t>0.00%</w:t>
            </w:r>
          </w:p>
        </w:tc>
        <w:tc>
          <w:tcPr>
            <w:tcW w:w="1116" w:type="dxa"/>
          </w:tcPr>
          <w:p>
            <w:pPr>
              <w:pStyle w:val="TableParagraph"/>
              <w:spacing w:before="2"/>
              <w:rPr>
                <w:rFonts w:ascii="Times New Roman"/>
                <w:sz w:val="15"/>
              </w:rPr>
            </w:pPr>
          </w:p>
          <w:p>
            <w:pPr>
              <w:pStyle w:val="TableParagraph"/>
              <w:spacing w:line="141" w:lineRule="exact"/>
              <w:ind w:right="72"/>
              <w:jc w:val="right"/>
              <w:rPr>
                <w:rFonts w:ascii="Times New Roman"/>
                <w:sz w:val="13"/>
              </w:rPr>
            </w:pPr>
            <w:r>
              <w:rPr>
                <w:rFonts w:ascii="Times New Roman"/>
                <w:sz w:val="13"/>
              </w:rPr>
              <w:t>0.00</w:t>
            </w:r>
          </w:p>
        </w:tc>
        <w:tc>
          <w:tcPr>
            <w:tcW w:w="1116" w:type="dxa"/>
          </w:tcPr>
          <w:p>
            <w:pPr>
              <w:pStyle w:val="TableParagraph"/>
              <w:spacing w:before="2"/>
              <w:rPr>
                <w:rFonts w:ascii="Times New Roman"/>
                <w:sz w:val="15"/>
              </w:rPr>
            </w:pPr>
          </w:p>
          <w:p>
            <w:pPr>
              <w:pStyle w:val="TableParagraph"/>
              <w:spacing w:line="141" w:lineRule="exact"/>
              <w:ind w:right="28"/>
              <w:jc w:val="right"/>
              <w:rPr>
                <w:rFonts w:ascii="Times New Roman"/>
                <w:sz w:val="13"/>
              </w:rPr>
            </w:pPr>
            <w:r>
              <w:rPr>
                <w:rFonts w:ascii="Times New Roman"/>
                <w:sz w:val="13"/>
              </w:rPr>
              <w:t>0.00%</w:t>
            </w:r>
          </w:p>
        </w:tc>
        <w:tc>
          <w:tcPr>
            <w:tcW w:w="1074" w:type="dxa"/>
          </w:tcPr>
          <w:p>
            <w:pPr>
              <w:pStyle w:val="TableParagraph"/>
              <w:spacing w:before="2"/>
              <w:rPr>
                <w:rFonts w:ascii="Times New Roman"/>
                <w:sz w:val="15"/>
              </w:rPr>
            </w:pPr>
          </w:p>
          <w:p>
            <w:pPr>
              <w:pStyle w:val="TableParagraph"/>
              <w:spacing w:line="141" w:lineRule="exact"/>
              <w:ind w:right="30"/>
              <w:jc w:val="right"/>
              <w:rPr>
                <w:rFonts w:ascii="Times New Roman"/>
                <w:sz w:val="13"/>
              </w:rPr>
            </w:pPr>
            <w:r>
              <w:rPr>
                <w:rFonts w:ascii="Times New Roman"/>
                <w:sz w:val="13"/>
              </w:rPr>
              <w:t>0.00</w:t>
            </w:r>
          </w:p>
        </w:tc>
      </w:tr>
      <w:tr>
        <w:trPr>
          <w:trHeight w:val="167" w:hRule="atLeast"/>
        </w:trPr>
        <w:tc>
          <w:tcPr>
            <w:tcW w:w="3784" w:type="dxa"/>
          </w:tcPr>
          <w:p>
            <w:pPr>
              <w:pStyle w:val="TableParagraph"/>
              <w:spacing w:line="141" w:lineRule="exact" w:before="7"/>
              <w:ind w:left="200"/>
              <w:rPr>
                <w:rFonts w:ascii="Times New Roman"/>
                <w:sz w:val="13"/>
              </w:rPr>
            </w:pPr>
            <w:r>
              <w:rPr>
                <w:rFonts w:ascii="Times New Roman"/>
                <w:sz w:val="13"/>
              </w:rPr>
              <w:t>b. Other Sources</w:t>
            </w:r>
          </w:p>
        </w:tc>
        <w:tc>
          <w:tcPr>
            <w:tcW w:w="1418" w:type="dxa"/>
          </w:tcPr>
          <w:p>
            <w:pPr>
              <w:pStyle w:val="TableParagraph"/>
              <w:spacing w:line="141" w:lineRule="exact" w:before="7"/>
              <w:ind w:left="131" w:right="54"/>
              <w:jc w:val="center"/>
              <w:rPr>
                <w:rFonts w:ascii="Times New Roman"/>
                <w:sz w:val="13"/>
              </w:rPr>
            </w:pPr>
            <w:r>
              <w:rPr>
                <w:rFonts w:ascii="Times New Roman"/>
                <w:sz w:val="13"/>
              </w:rPr>
              <w:t>8930-8979</w:t>
            </w:r>
          </w:p>
        </w:tc>
        <w:tc>
          <w:tcPr>
            <w:tcW w:w="1147" w:type="dxa"/>
          </w:tcPr>
          <w:p>
            <w:pPr>
              <w:pStyle w:val="TableParagraph"/>
              <w:spacing w:line="141" w:lineRule="exact" w:before="7"/>
              <w:ind w:right="72"/>
              <w:jc w:val="right"/>
              <w:rPr>
                <w:rFonts w:ascii="Times New Roman"/>
                <w:sz w:val="13"/>
              </w:rPr>
            </w:pPr>
            <w:r>
              <w:rPr>
                <w:rFonts w:ascii="Times New Roman"/>
                <w:sz w:val="13"/>
              </w:rPr>
              <w:t>0.00</w:t>
            </w:r>
          </w:p>
        </w:tc>
        <w:tc>
          <w:tcPr>
            <w:tcW w:w="1116" w:type="dxa"/>
          </w:tcPr>
          <w:p>
            <w:pPr>
              <w:pStyle w:val="TableParagraph"/>
              <w:spacing w:line="141" w:lineRule="exact" w:before="7"/>
              <w:ind w:right="28"/>
              <w:jc w:val="right"/>
              <w:rPr>
                <w:rFonts w:ascii="Times New Roman"/>
                <w:sz w:val="13"/>
              </w:rPr>
            </w:pPr>
            <w:r>
              <w:rPr>
                <w:rFonts w:ascii="Times New Roman"/>
                <w:sz w:val="13"/>
              </w:rPr>
              <w:t>0.00%</w:t>
            </w:r>
          </w:p>
        </w:tc>
        <w:tc>
          <w:tcPr>
            <w:tcW w:w="1116" w:type="dxa"/>
          </w:tcPr>
          <w:p>
            <w:pPr>
              <w:pStyle w:val="TableParagraph"/>
              <w:spacing w:line="141" w:lineRule="exact" w:before="7"/>
              <w:ind w:right="72"/>
              <w:jc w:val="right"/>
              <w:rPr>
                <w:rFonts w:ascii="Times New Roman"/>
                <w:sz w:val="13"/>
              </w:rPr>
            </w:pPr>
            <w:r>
              <w:rPr>
                <w:rFonts w:ascii="Times New Roman"/>
                <w:sz w:val="13"/>
              </w:rPr>
              <w:t>0.00</w:t>
            </w:r>
          </w:p>
        </w:tc>
        <w:tc>
          <w:tcPr>
            <w:tcW w:w="1116" w:type="dxa"/>
          </w:tcPr>
          <w:p>
            <w:pPr>
              <w:pStyle w:val="TableParagraph"/>
              <w:spacing w:line="141" w:lineRule="exact" w:before="7"/>
              <w:ind w:right="28"/>
              <w:jc w:val="right"/>
              <w:rPr>
                <w:rFonts w:ascii="Times New Roman"/>
                <w:sz w:val="13"/>
              </w:rPr>
            </w:pPr>
            <w:r>
              <w:rPr>
                <w:rFonts w:ascii="Times New Roman"/>
                <w:sz w:val="13"/>
              </w:rPr>
              <w:t>0.00%</w:t>
            </w:r>
          </w:p>
        </w:tc>
        <w:tc>
          <w:tcPr>
            <w:tcW w:w="1074" w:type="dxa"/>
          </w:tcPr>
          <w:p>
            <w:pPr>
              <w:pStyle w:val="TableParagraph"/>
              <w:spacing w:line="141" w:lineRule="exact" w:before="7"/>
              <w:ind w:right="30"/>
              <w:jc w:val="right"/>
              <w:rPr>
                <w:rFonts w:ascii="Times New Roman"/>
                <w:sz w:val="13"/>
              </w:rPr>
            </w:pPr>
            <w:r>
              <w:rPr>
                <w:rFonts w:ascii="Times New Roman"/>
                <w:sz w:val="13"/>
              </w:rPr>
              <w:t>0.00</w:t>
            </w:r>
          </w:p>
        </w:tc>
      </w:tr>
      <w:tr>
        <w:trPr>
          <w:trHeight w:val="177" w:hRule="atLeast"/>
        </w:trPr>
        <w:tc>
          <w:tcPr>
            <w:tcW w:w="3784" w:type="dxa"/>
          </w:tcPr>
          <w:p>
            <w:pPr>
              <w:pStyle w:val="TableParagraph"/>
              <w:spacing w:before="7"/>
              <w:ind w:left="200"/>
              <w:rPr>
                <w:rFonts w:ascii="Times New Roman"/>
                <w:sz w:val="13"/>
              </w:rPr>
            </w:pPr>
            <w:r>
              <w:rPr>
                <w:rFonts w:ascii="Times New Roman"/>
                <w:sz w:val="13"/>
              </w:rPr>
              <w:t>c. Contributions</w:t>
            </w:r>
          </w:p>
        </w:tc>
        <w:tc>
          <w:tcPr>
            <w:tcW w:w="1418" w:type="dxa"/>
          </w:tcPr>
          <w:p>
            <w:pPr>
              <w:pStyle w:val="TableParagraph"/>
              <w:spacing w:before="7"/>
              <w:ind w:left="131" w:right="54"/>
              <w:jc w:val="center"/>
              <w:rPr>
                <w:rFonts w:ascii="Times New Roman"/>
                <w:sz w:val="13"/>
              </w:rPr>
            </w:pPr>
            <w:r>
              <w:rPr>
                <w:rFonts w:ascii="Times New Roman"/>
                <w:sz w:val="13"/>
              </w:rPr>
              <w:t>8980-8999</w:t>
            </w:r>
          </w:p>
        </w:tc>
        <w:tc>
          <w:tcPr>
            <w:tcW w:w="1147" w:type="dxa"/>
          </w:tcPr>
          <w:p>
            <w:pPr>
              <w:pStyle w:val="TableParagraph"/>
              <w:spacing w:before="7"/>
              <w:ind w:right="72"/>
              <w:jc w:val="right"/>
              <w:rPr>
                <w:rFonts w:ascii="Times New Roman"/>
                <w:sz w:val="13"/>
              </w:rPr>
            </w:pPr>
            <w:r>
              <w:rPr>
                <w:rFonts w:ascii="Times New Roman"/>
                <w:sz w:val="13"/>
              </w:rPr>
              <w:t>0.00</w:t>
            </w:r>
          </w:p>
        </w:tc>
        <w:tc>
          <w:tcPr>
            <w:tcW w:w="1116" w:type="dxa"/>
          </w:tcPr>
          <w:p>
            <w:pPr>
              <w:pStyle w:val="TableParagraph"/>
              <w:spacing w:before="7"/>
              <w:ind w:right="28"/>
              <w:jc w:val="right"/>
              <w:rPr>
                <w:rFonts w:ascii="Times New Roman"/>
                <w:sz w:val="13"/>
              </w:rPr>
            </w:pPr>
            <w:r>
              <w:rPr>
                <w:rFonts w:ascii="Times New Roman"/>
                <w:sz w:val="13"/>
              </w:rPr>
              <w:t>0.00%</w:t>
            </w:r>
          </w:p>
        </w:tc>
        <w:tc>
          <w:tcPr>
            <w:tcW w:w="1116" w:type="dxa"/>
          </w:tcPr>
          <w:p>
            <w:pPr>
              <w:pStyle w:val="TableParagraph"/>
              <w:spacing w:before="7"/>
              <w:ind w:right="72"/>
              <w:jc w:val="right"/>
              <w:rPr>
                <w:rFonts w:ascii="Times New Roman"/>
                <w:sz w:val="13"/>
              </w:rPr>
            </w:pPr>
            <w:r>
              <w:rPr>
                <w:rFonts w:ascii="Times New Roman"/>
                <w:sz w:val="13"/>
              </w:rPr>
              <w:t>0.00</w:t>
            </w:r>
          </w:p>
        </w:tc>
        <w:tc>
          <w:tcPr>
            <w:tcW w:w="1116" w:type="dxa"/>
          </w:tcPr>
          <w:p>
            <w:pPr>
              <w:pStyle w:val="TableParagraph"/>
              <w:spacing w:before="7"/>
              <w:ind w:right="28"/>
              <w:jc w:val="right"/>
              <w:rPr>
                <w:rFonts w:ascii="Times New Roman"/>
                <w:sz w:val="13"/>
              </w:rPr>
            </w:pPr>
            <w:r>
              <w:rPr>
                <w:rFonts w:ascii="Times New Roman"/>
                <w:sz w:val="13"/>
              </w:rPr>
              <w:t>0.00%</w:t>
            </w:r>
          </w:p>
        </w:tc>
        <w:tc>
          <w:tcPr>
            <w:tcW w:w="1074" w:type="dxa"/>
          </w:tcPr>
          <w:p>
            <w:pPr>
              <w:pStyle w:val="TableParagraph"/>
              <w:spacing w:before="7"/>
              <w:ind w:right="30"/>
              <w:jc w:val="right"/>
              <w:rPr>
                <w:rFonts w:ascii="Times New Roman"/>
                <w:sz w:val="13"/>
              </w:rPr>
            </w:pPr>
            <w:r>
              <w:rPr>
                <w:rFonts w:ascii="Times New Roman"/>
                <w:sz w:val="13"/>
              </w:rPr>
              <w:t>0.00</w:t>
            </w:r>
          </w:p>
        </w:tc>
      </w:tr>
      <w:tr>
        <w:trPr>
          <w:trHeight w:val="171" w:hRule="atLeast"/>
        </w:trPr>
        <w:tc>
          <w:tcPr>
            <w:tcW w:w="3784" w:type="dxa"/>
          </w:tcPr>
          <w:p>
            <w:pPr>
              <w:pStyle w:val="TableParagraph"/>
              <w:spacing w:line="135" w:lineRule="exact" w:before="16"/>
              <w:ind w:left="100"/>
              <w:rPr>
                <w:rFonts w:ascii="Times New Roman"/>
                <w:sz w:val="13"/>
              </w:rPr>
            </w:pPr>
            <w:r>
              <w:rPr>
                <w:rFonts w:ascii="Times New Roman"/>
                <w:sz w:val="13"/>
              </w:rPr>
              <w:t>6. Total (Sum lines A1 thru A5c)</w:t>
            </w:r>
          </w:p>
        </w:tc>
        <w:tc>
          <w:tcPr>
            <w:tcW w:w="1418" w:type="dxa"/>
          </w:tcPr>
          <w:p>
            <w:pPr>
              <w:pStyle w:val="TableParagraph"/>
              <w:rPr>
                <w:rFonts w:ascii="Times New Roman"/>
                <w:sz w:val="10"/>
              </w:rPr>
            </w:pPr>
          </w:p>
        </w:tc>
        <w:tc>
          <w:tcPr>
            <w:tcW w:w="1147" w:type="dxa"/>
          </w:tcPr>
          <w:p>
            <w:pPr>
              <w:pStyle w:val="TableParagraph"/>
              <w:spacing w:line="135" w:lineRule="exact" w:before="16"/>
              <w:ind w:right="72"/>
              <w:jc w:val="right"/>
              <w:rPr>
                <w:rFonts w:ascii="Times New Roman"/>
                <w:sz w:val="13"/>
              </w:rPr>
            </w:pPr>
            <w:r>
              <w:rPr>
                <w:rFonts w:ascii="Times New Roman"/>
                <w:sz w:val="13"/>
              </w:rPr>
              <w:t>2,098,733.00</w:t>
            </w:r>
          </w:p>
        </w:tc>
        <w:tc>
          <w:tcPr>
            <w:tcW w:w="1116" w:type="dxa"/>
          </w:tcPr>
          <w:p>
            <w:pPr>
              <w:pStyle w:val="TableParagraph"/>
              <w:spacing w:line="135" w:lineRule="exact" w:before="16"/>
              <w:ind w:right="29"/>
              <w:jc w:val="right"/>
              <w:rPr>
                <w:rFonts w:ascii="Times New Roman"/>
                <w:sz w:val="13"/>
              </w:rPr>
            </w:pPr>
            <w:r>
              <w:rPr>
                <w:rFonts w:ascii="Times New Roman"/>
                <w:sz w:val="13"/>
              </w:rPr>
              <w:t>-4.37%</w:t>
            </w:r>
          </w:p>
        </w:tc>
        <w:tc>
          <w:tcPr>
            <w:tcW w:w="1116" w:type="dxa"/>
          </w:tcPr>
          <w:p>
            <w:pPr>
              <w:pStyle w:val="TableParagraph"/>
              <w:spacing w:line="135" w:lineRule="exact" w:before="16"/>
              <w:ind w:right="72"/>
              <w:jc w:val="right"/>
              <w:rPr>
                <w:rFonts w:ascii="Times New Roman"/>
                <w:sz w:val="13"/>
              </w:rPr>
            </w:pPr>
            <w:r>
              <w:rPr>
                <w:rFonts w:ascii="Times New Roman"/>
                <w:sz w:val="13"/>
              </w:rPr>
              <w:t>2,006,927.00</w:t>
            </w:r>
          </w:p>
        </w:tc>
        <w:tc>
          <w:tcPr>
            <w:tcW w:w="1116" w:type="dxa"/>
          </w:tcPr>
          <w:p>
            <w:pPr>
              <w:pStyle w:val="TableParagraph"/>
              <w:spacing w:line="135" w:lineRule="exact" w:before="16"/>
              <w:ind w:right="28"/>
              <w:jc w:val="right"/>
              <w:rPr>
                <w:rFonts w:ascii="Times New Roman"/>
                <w:sz w:val="13"/>
              </w:rPr>
            </w:pPr>
            <w:r>
              <w:rPr>
                <w:rFonts w:ascii="Times New Roman"/>
                <w:sz w:val="13"/>
              </w:rPr>
              <w:t>2.11%</w:t>
            </w:r>
          </w:p>
        </w:tc>
        <w:tc>
          <w:tcPr>
            <w:tcW w:w="1074" w:type="dxa"/>
          </w:tcPr>
          <w:p>
            <w:pPr>
              <w:pStyle w:val="TableParagraph"/>
              <w:spacing w:line="135" w:lineRule="exact" w:before="16"/>
              <w:ind w:right="30"/>
              <w:jc w:val="right"/>
              <w:rPr>
                <w:rFonts w:ascii="Times New Roman"/>
                <w:sz w:val="13"/>
              </w:rPr>
            </w:pPr>
            <w:r>
              <w:rPr>
                <w:rFonts w:ascii="Times New Roman"/>
                <w:sz w:val="13"/>
              </w:rPr>
              <w:t>2,049,312.00</w:t>
            </w:r>
          </w:p>
        </w:tc>
      </w:tr>
      <w:tr>
        <w:trPr>
          <w:trHeight w:val="187" w:hRule="atLeast"/>
        </w:trPr>
        <w:tc>
          <w:tcPr>
            <w:tcW w:w="3784" w:type="dxa"/>
          </w:tcPr>
          <w:p>
            <w:pPr>
              <w:pStyle w:val="TableParagraph"/>
              <w:spacing w:line="135" w:lineRule="exact" w:before="32"/>
              <w:ind w:left="32"/>
              <w:rPr>
                <w:rFonts w:ascii="Times New Roman"/>
                <w:sz w:val="13"/>
              </w:rPr>
            </w:pPr>
            <w:r>
              <w:rPr>
                <w:rFonts w:ascii="Times New Roman"/>
                <w:sz w:val="13"/>
              </w:rPr>
              <w:t>B. EXPENDITURES AND OTHER FINANCING USES</w:t>
            </w:r>
          </w:p>
        </w:tc>
        <w:tc>
          <w:tcPr>
            <w:tcW w:w="1418" w:type="dxa"/>
          </w:tcPr>
          <w:p>
            <w:pPr>
              <w:pStyle w:val="TableParagraph"/>
              <w:rPr>
                <w:rFonts w:ascii="Times New Roman"/>
                <w:sz w:val="12"/>
              </w:rPr>
            </w:pPr>
          </w:p>
        </w:tc>
        <w:tc>
          <w:tcPr>
            <w:tcW w:w="1147" w:type="dxa"/>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074" w:type="dxa"/>
          </w:tcPr>
          <w:p>
            <w:pPr>
              <w:pStyle w:val="TableParagraph"/>
              <w:rPr>
                <w:rFonts w:ascii="Times New Roman"/>
                <w:sz w:val="12"/>
              </w:rPr>
            </w:pPr>
          </w:p>
        </w:tc>
      </w:tr>
      <w:tr>
        <w:trPr>
          <w:trHeight w:val="202" w:hRule="atLeast"/>
        </w:trPr>
        <w:tc>
          <w:tcPr>
            <w:tcW w:w="3784" w:type="dxa"/>
          </w:tcPr>
          <w:p>
            <w:pPr>
              <w:pStyle w:val="TableParagraph"/>
              <w:spacing w:before="32"/>
              <w:ind w:left="100"/>
              <w:rPr>
                <w:rFonts w:ascii="Times New Roman"/>
                <w:sz w:val="13"/>
              </w:rPr>
            </w:pPr>
            <w:r>
              <w:rPr>
                <w:rFonts w:ascii="Times New Roman"/>
                <w:sz w:val="13"/>
              </w:rPr>
              <w:t>1. Certificated Salaries</w:t>
            </w:r>
          </w:p>
        </w:tc>
        <w:tc>
          <w:tcPr>
            <w:tcW w:w="1418" w:type="dxa"/>
          </w:tcPr>
          <w:p>
            <w:pPr>
              <w:pStyle w:val="TableParagraph"/>
              <w:rPr>
                <w:rFonts w:ascii="Times New Roman"/>
                <w:sz w:val="12"/>
              </w:rPr>
            </w:pPr>
          </w:p>
        </w:tc>
        <w:tc>
          <w:tcPr>
            <w:tcW w:w="1147" w:type="dxa"/>
            <w:shd w:val="clear" w:color="auto" w:fill="BFBFBF"/>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074" w:type="dxa"/>
          </w:tcPr>
          <w:p>
            <w:pPr>
              <w:pStyle w:val="TableParagraph"/>
              <w:rPr>
                <w:rFonts w:ascii="Times New Roman"/>
                <w:sz w:val="12"/>
              </w:rPr>
            </w:pPr>
          </w:p>
        </w:tc>
      </w:tr>
      <w:tr>
        <w:trPr>
          <w:trHeight w:val="187" w:hRule="atLeast"/>
        </w:trPr>
        <w:tc>
          <w:tcPr>
            <w:tcW w:w="3784" w:type="dxa"/>
          </w:tcPr>
          <w:p>
            <w:pPr>
              <w:pStyle w:val="TableParagraph"/>
              <w:spacing w:before="16"/>
              <w:ind w:left="200"/>
              <w:rPr>
                <w:rFonts w:ascii="Times New Roman"/>
                <w:sz w:val="13"/>
              </w:rPr>
            </w:pPr>
            <w:r>
              <w:rPr>
                <w:rFonts w:ascii="Times New Roman"/>
                <w:sz w:val="13"/>
              </w:rPr>
              <w:t>a. Base Salaries</w:t>
            </w:r>
          </w:p>
        </w:tc>
        <w:tc>
          <w:tcPr>
            <w:tcW w:w="1418" w:type="dxa"/>
          </w:tcPr>
          <w:p>
            <w:pPr>
              <w:pStyle w:val="TableParagraph"/>
              <w:rPr>
                <w:rFonts w:ascii="Times New Roman"/>
                <w:sz w:val="12"/>
              </w:rPr>
            </w:pPr>
          </w:p>
        </w:tc>
        <w:tc>
          <w:tcPr>
            <w:tcW w:w="1147" w:type="dxa"/>
            <w:shd w:val="clear" w:color="auto" w:fill="BFBFBF"/>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tcPr>
          <w:p>
            <w:pPr>
              <w:pStyle w:val="TableParagraph"/>
              <w:spacing w:before="16"/>
              <w:ind w:right="73"/>
              <w:jc w:val="right"/>
              <w:rPr>
                <w:rFonts w:ascii="Times New Roman"/>
                <w:sz w:val="13"/>
              </w:rPr>
            </w:pPr>
            <w:r>
              <w:rPr>
                <w:rFonts w:ascii="Times New Roman"/>
                <w:sz w:val="13"/>
              </w:rPr>
              <w:t>593,688.00</w:t>
            </w:r>
          </w:p>
        </w:tc>
        <w:tc>
          <w:tcPr>
            <w:tcW w:w="1116" w:type="dxa"/>
            <w:shd w:val="clear" w:color="auto" w:fill="BFBFBF"/>
          </w:tcPr>
          <w:p>
            <w:pPr>
              <w:pStyle w:val="TableParagraph"/>
              <w:rPr>
                <w:rFonts w:ascii="Times New Roman"/>
                <w:sz w:val="12"/>
              </w:rPr>
            </w:pPr>
          </w:p>
        </w:tc>
        <w:tc>
          <w:tcPr>
            <w:tcW w:w="1074" w:type="dxa"/>
          </w:tcPr>
          <w:p>
            <w:pPr>
              <w:pStyle w:val="TableParagraph"/>
              <w:spacing w:before="16"/>
              <w:ind w:right="31"/>
              <w:jc w:val="right"/>
              <w:rPr>
                <w:rFonts w:ascii="Times New Roman"/>
                <w:sz w:val="13"/>
              </w:rPr>
            </w:pPr>
            <w:r>
              <w:rPr>
                <w:rFonts w:ascii="Times New Roman"/>
                <w:sz w:val="13"/>
              </w:rPr>
              <w:t>585,448.00</w:t>
            </w:r>
          </w:p>
        </w:tc>
      </w:tr>
      <w:tr>
        <w:trPr>
          <w:trHeight w:val="187" w:hRule="atLeast"/>
        </w:trPr>
        <w:tc>
          <w:tcPr>
            <w:tcW w:w="3784" w:type="dxa"/>
          </w:tcPr>
          <w:p>
            <w:pPr>
              <w:pStyle w:val="TableParagraph"/>
              <w:spacing w:before="16"/>
              <w:ind w:left="200"/>
              <w:rPr>
                <w:rFonts w:ascii="Times New Roman"/>
                <w:sz w:val="13"/>
              </w:rPr>
            </w:pPr>
            <w:r>
              <w:rPr>
                <w:rFonts w:ascii="Times New Roman"/>
                <w:sz w:val="13"/>
              </w:rPr>
              <w:t>b. Step &amp; Column Adjustment</w:t>
            </w:r>
          </w:p>
        </w:tc>
        <w:tc>
          <w:tcPr>
            <w:tcW w:w="1418" w:type="dxa"/>
          </w:tcPr>
          <w:p>
            <w:pPr>
              <w:pStyle w:val="TableParagraph"/>
              <w:rPr>
                <w:rFonts w:ascii="Times New Roman"/>
                <w:sz w:val="12"/>
              </w:rPr>
            </w:pPr>
          </w:p>
        </w:tc>
        <w:tc>
          <w:tcPr>
            <w:tcW w:w="1147" w:type="dxa"/>
            <w:shd w:val="clear" w:color="auto" w:fill="BFBFBF"/>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tcPr>
          <w:p>
            <w:pPr>
              <w:pStyle w:val="TableParagraph"/>
              <w:spacing w:before="16"/>
              <w:ind w:right="73"/>
              <w:jc w:val="right"/>
              <w:rPr>
                <w:rFonts w:ascii="Times New Roman"/>
                <w:sz w:val="13"/>
              </w:rPr>
            </w:pPr>
            <w:r>
              <w:rPr>
                <w:rFonts w:ascii="Times New Roman"/>
                <w:sz w:val="13"/>
              </w:rPr>
              <w:t>9,075.00</w:t>
            </w:r>
          </w:p>
        </w:tc>
        <w:tc>
          <w:tcPr>
            <w:tcW w:w="1116" w:type="dxa"/>
            <w:shd w:val="clear" w:color="auto" w:fill="BFBFBF"/>
          </w:tcPr>
          <w:p>
            <w:pPr>
              <w:pStyle w:val="TableParagraph"/>
              <w:rPr>
                <w:rFonts w:ascii="Times New Roman"/>
                <w:sz w:val="12"/>
              </w:rPr>
            </w:pPr>
          </w:p>
        </w:tc>
        <w:tc>
          <w:tcPr>
            <w:tcW w:w="1074" w:type="dxa"/>
          </w:tcPr>
          <w:p>
            <w:pPr>
              <w:pStyle w:val="TableParagraph"/>
              <w:spacing w:before="16"/>
              <w:ind w:right="31"/>
              <w:jc w:val="right"/>
              <w:rPr>
                <w:rFonts w:ascii="Times New Roman"/>
                <w:sz w:val="13"/>
              </w:rPr>
            </w:pPr>
            <w:r>
              <w:rPr>
                <w:rFonts w:ascii="Times New Roman"/>
                <w:sz w:val="13"/>
              </w:rPr>
              <w:t>9,657.00</w:t>
            </w:r>
          </w:p>
        </w:tc>
      </w:tr>
      <w:tr>
        <w:trPr>
          <w:trHeight w:val="171" w:hRule="atLeast"/>
        </w:trPr>
        <w:tc>
          <w:tcPr>
            <w:tcW w:w="3784" w:type="dxa"/>
          </w:tcPr>
          <w:p>
            <w:pPr>
              <w:pStyle w:val="TableParagraph"/>
              <w:spacing w:line="135" w:lineRule="exact" w:before="16"/>
              <w:ind w:left="200"/>
              <w:rPr>
                <w:rFonts w:ascii="Times New Roman"/>
                <w:sz w:val="13"/>
              </w:rPr>
            </w:pPr>
            <w:r>
              <w:rPr>
                <w:rFonts w:ascii="Times New Roman"/>
                <w:sz w:val="13"/>
              </w:rPr>
              <w:t>c. Cost-of-Living Adjustment</w:t>
            </w:r>
          </w:p>
        </w:tc>
        <w:tc>
          <w:tcPr>
            <w:tcW w:w="1418" w:type="dxa"/>
          </w:tcPr>
          <w:p>
            <w:pPr>
              <w:pStyle w:val="TableParagraph"/>
              <w:rPr>
                <w:rFonts w:ascii="Times New Roman"/>
                <w:sz w:val="10"/>
              </w:rPr>
            </w:pPr>
          </w:p>
        </w:tc>
        <w:tc>
          <w:tcPr>
            <w:tcW w:w="1147" w:type="dxa"/>
            <w:shd w:val="clear" w:color="auto" w:fill="BFBFBF"/>
          </w:tcPr>
          <w:p>
            <w:pPr>
              <w:pStyle w:val="TableParagraph"/>
              <w:rPr>
                <w:rFonts w:ascii="Times New Roman"/>
                <w:sz w:val="10"/>
              </w:rPr>
            </w:pPr>
          </w:p>
        </w:tc>
        <w:tc>
          <w:tcPr>
            <w:tcW w:w="1116" w:type="dxa"/>
            <w:shd w:val="clear" w:color="auto" w:fill="BFBFBF"/>
          </w:tcPr>
          <w:p>
            <w:pPr>
              <w:pStyle w:val="TableParagraph"/>
              <w:rPr>
                <w:rFonts w:ascii="Times New Roman"/>
                <w:sz w:val="10"/>
              </w:rPr>
            </w:pPr>
          </w:p>
        </w:tc>
        <w:tc>
          <w:tcPr>
            <w:tcW w:w="1116" w:type="dxa"/>
          </w:tcPr>
          <w:p>
            <w:pPr>
              <w:pStyle w:val="TableParagraph"/>
              <w:spacing w:line="135" w:lineRule="exact" w:before="16"/>
              <w:ind w:right="72"/>
              <w:jc w:val="right"/>
              <w:rPr>
                <w:rFonts w:ascii="Times New Roman"/>
                <w:sz w:val="13"/>
              </w:rPr>
            </w:pPr>
            <w:r>
              <w:rPr>
                <w:rFonts w:ascii="Times New Roman"/>
                <w:sz w:val="13"/>
              </w:rPr>
              <w:t>0.00</w:t>
            </w:r>
          </w:p>
        </w:tc>
        <w:tc>
          <w:tcPr>
            <w:tcW w:w="1116" w:type="dxa"/>
            <w:shd w:val="clear" w:color="auto" w:fill="BFBFBF"/>
          </w:tcPr>
          <w:p>
            <w:pPr>
              <w:pStyle w:val="TableParagraph"/>
              <w:rPr>
                <w:rFonts w:ascii="Times New Roman"/>
                <w:sz w:val="10"/>
              </w:rPr>
            </w:pPr>
          </w:p>
        </w:tc>
        <w:tc>
          <w:tcPr>
            <w:tcW w:w="1074" w:type="dxa"/>
          </w:tcPr>
          <w:p>
            <w:pPr>
              <w:pStyle w:val="TableParagraph"/>
              <w:spacing w:line="135" w:lineRule="exact" w:before="16"/>
              <w:ind w:right="30"/>
              <w:jc w:val="right"/>
              <w:rPr>
                <w:rFonts w:ascii="Times New Roman"/>
                <w:sz w:val="13"/>
              </w:rPr>
            </w:pPr>
            <w:r>
              <w:rPr>
                <w:rFonts w:ascii="Times New Roman"/>
                <w:sz w:val="13"/>
              </w:rPr>
              <w:t>0.00</w:t>
            </w:r>
          </w:p>
        </w:tc>
      </w:tr>
      <w:tr>
        <w:trPr>
          <w:trHeight w:val="187" w:hRule="atLeast"/>
        </w:trPr>
        <w:tc>
          <w:tcPr>
            <w:tcW w:w="3784" w:type="dxa"/>
          </w:tcPr>
          <w:p>
            <w:pPr>
              <w:pStyle w:val="TableParagraph"/>
              <w:spacing w:line="135" w:lineRule="exact" w:before="32"/>
              <w:ind w:left="200"/>
              <w:rPr>
                <w:rFonts w:ascii="Times New Roman"/>
                <w:sz w:val="13"/>
              </w:rPr>
            </w:pPr>
            <w:r>
              <w:rPr>
                <w:rFonts w:ascii="Times New Roman"/>
                <w:sz w:val="13"/>
              </w:rPr>
              <w:t>d. Other Adjustments</w:t>
            </w:r>
          </w:p>
        </w:tc>
        <w:tc>
          <w:tcPr>
            <w:tcW w:w="1418" w:type="dxa"/>
          </w:tcPr>
          <w:p>
            <w:pPr>
              <w:pStyle w:val="TableParagraph"/>
              <w:rPr>
                <w:rFonts w:ascii="Times New Roman"/>
                <w:sz w:val="12"/>
              </w:rPr>
            </w:pPr>
          </w:p>
        </w:tc>
        <w:tc>
          <w:tcPr>
            <w:tcW w:w="1147" w:type="dxa"/>
            <w:shd w:val="clear" w:color="auto" w:fill="BFBFBF"/>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tcPr>
          <w:p>
            <w:pPr>
              <w:pStyle w:val="TableParagraph"/>
              <w:spacing w:line="135" w:lineRule="exact" w:before="32"/>
              <w:ind w:right="28"/>
              <w:jc w:val="right"/>
              <w:rPr>
                <w:rFonts w:ascii="Times New Roman"/>
                <w:sz w:val="13"/>
              </w:rPr>
            </w:pPr>
            <w:r>
              <w:rPr>
                <w:rFonts w:ascii="Times New Roman"/>
                <w:sz w:val="13"/>
              </w:rPr>
              <w:t>(17,315.00)</w:t>
            </w:r>
          </w:p>
        </w:tc>
        <w:tc>
          <w:tcPr>
            <w:tcW w:w="1116" w:type="dxa"/>
            <w:shd w:val="clear" w:color="auto" w:fill="BFBFBF"/>
          </w:tcPr>
          <w:p>
            <w:pPr>
              <w:pStyle w:val="TableParagraph"/>
              <w:rPr>
                <w:rFonts w:ascii="Times New Roman"/>
                <w:sz w:val="12"/>
              </w:rPr>
            </w:pPr>
          </w:p>
        </w:tc>
        <w:tc>
          <w:tcPr>
            <w:tcW w:w="1074" w:type="dxa"/>
          </w:tcPr>
          <w:p>
            <w:pPr>
              <w:pStyle w:val="TableParagraph"/>
              <w:spacing w:line="135" w:lineRule="exact" w:before="32"/>
              <w:ind w:right="30"/>
              <w:jc w:val="right"/>
              <w:rPr>
                <w:rFonts w:ascii="Times New Roman"/>
                <w:sz w:val="13"/>
              </w:rPr>
            </w:pPr>
            <w:r>
              <w:rPr>
                <w:rFonts w:ascii="Times New Roman"/>
                <w:sz w:val="13"/>
              </w:rPr>
              <w:t>0.00</w:t>
            </w:r>
          </w:p>
        </w:tc>
      </w:tr>
      <w:tr>
        <w:trPr>
          <w:trHeight w:val="187" w:hRule="atLeast"/>
        </w:trPr>
        <w:tc>
          <w:tcPr>
            <w:tcW w:w="3784" w:type="dxa"/>
          </w:tcPr>
          <w:p>
            <w:pPr>
              <w:pStyle w:val="TableParagraph"/>
              <w:spacing w:line="135" w:lineRule="exact" w:before="32"/>
              <w:ind w:left="200"/>
              <w:rPr>
                <w:rFonts w:ascii="Times New Roman"/>
                <w:sz w:val="13"/>
              </w:rPr>
            </w:pPr>
            <w:r>
              <w:rPr>
                <w:rFonts w:ascii="Times New Roman"/>
                <w:sz w:val="13"/>
              </w:rPr>
              <w:t>e. Total Certificated Salaries (Sum lines B1a thru B1d)</w:t>
            </w:r>
          </w:p>
        </w:tc>
        <w:tc>
          <w:tcPr>
            <w:tcW w:w="1418" w:type="dxa"/>
          </w:tcPr>
          <w:p>
            <w:pPr>
              <w:pStyle w:val="TableParagraph"/>
              <w:spacing w:line="135" w:lineRule="exact" w:before="32"/>
              <w:ind w:left="131" w:right="54"/>
              <w:jc w:val="center"/>
              <w:rPr>
                <w:rFonts w:ascii="Times New Roman"/>
                <w:sz w:val="13"/>
              </w:rPr>
            </w:pPr>
            <w:r>
              <w:rPr>
                <w:rFonts w:ascii="Times New Roman"/>
                <w:sz w:val="13"/>
              </w:rPr>
              <w:t>1000-1999</w:t>
            </w:r>
          </w:p>
        </w:tc>
        <w:tc>
          <w:tcPr>
            <w:tcW w:w="1147" w:type="dxa"/>
          </w:tcPr>
          <w:p>
            <w:pPr>
              <w:pStyle w:val="TableParagraph"/>
              <w:spacing w:line="135" w:lineRule="exact" w:before="32"/>
              <w:ind w:right="73"/>
              <w:jc w:val="right"/>
              <w:rPr>
                <w:rFonts w:ascii="Times New Roman"/>
                <w:sz w:val="13"/>
              </w:rPr>
            </w:pPr>
            <w:r>
              <w:rPr>
                <w:rFonts w:ascii="Times New Roman"/>
                <w:sz w:val="13"/>
              </w:rPr>
              <w:t>593,688.00</w:t>
            </w:r>
          </w:p>
        </w:tc>
        <w:tc>
          <w:tcPr>
            <w:tcW w:w="1116" w:type="dxa"/>
          </w:tcPr>
          <w:p>
            <w:pPr>
              <w:pStyle w:val="TableParagraph"/>
              <w:spacing w:line="135" w:lineRule="exact" w:before="32"/>
              <w:ind w:right="29"/>
              <w:jc w:val="right"/>
              <w:rPr>
                <w:rFonts w:ascii="Times New Roman"/>
                <w:sz w:val="13"/>
              </w:rPr>
            </w:pPr>
            <w:r>
              <w:rPr>
                <w:rFonts w:ascii="Times New Roman"/>
                <w:sz w:val="13"/>
              </w:rPr>
              <w:t>-1.39%</w:t>
            </w:r>
          </w:p>
        </w:tc>
        <w:tc>
          <w:tcPr>
            <w:tcW w:w="1116" w:type="dxa"/>
          </w:tcPr>
          <w:p>
            <w:pPr>
              <w:pStyle w:val="TableParagraph"/>
              <w:spacing w:line="135" w:lineRule="exact" w:before="32"/>
              <w:ind w:right="73"/>
              <w:jc w:val="right"/>
              <w:rPr>
                <w:rFonts w:ascii="Times New Roman"/>
                <w:sz w:val="13"/>
              </w:rPr>
            </w:pPr>
            <w:r>
              <w:rPr>
                <w:rFonts w:ascii="Times New Roman"/>
                <w:sz w:val="13"/>
              </w:rPr>
              <w:t>585,448.00</w:t>
            </w:r>
          </w:p>
        </w:tc>
        <w:tc>
          <w:tcPr>
            <w:tcW w:w="1116" w:type="dxa"/>
          </w:tcPr>
          <w:p>
            <w:pPr>
              <w:pStyle w:val="TableParagraph"/>
              <w:spacing w:line="135" w:lineRule="exact" w:before="32"/>
              <w:ind w:right="28"/>
              <w:jc w:val="right"/>
              <w:rPr>
                <w:rFonts w:ascii="Times New Roman"/>
                <w:sz w:val="13"/>
              </w:rPr>
            </w:pPr>
            <w:r>
              <w:rPr>
                <w:rFonts w:ascii="Times New Roman"/>
                <w:sz w:val="13"/>
              </w:rPr>
              <w:t>1.65%</w:t>
            </w:r>
          </w:p>
        </w:tc>
        <w:tc>
          <w:tcPr>
            <w:tcW w:w="1074" w:type="dxa"/>
          </w:tcPr>
          <w:p>
            <w:pPr>
              <w:pStyle w:val="TableParagraph"/>
              <w:spacing w:line="135" w:lineRule="exact" w:before="32"/>
              <w:ind w:right="31"/>
              <w:jc w:val="right"/>
              <w:rPr>
                <w:rFonts w:ascii="Times New Roman"/>
                <w:sz w:val="13"/>
              </w:rPr>
            </w:pPr>
            <w:r>
              <w:rPr>
                <w:rFonts w:ascii="Times New Roman"/>
                <w:sz w:val="13"/>
              </w:rPr>
              <w:t>595,105.00</w:t>
            </w:r>
          </w:p>
        </w:tc>
      </w:tr>
      <w:tr>
        <w:trPr>
          <w:trHeight w:val="187" w:hRule="atLeast"/>
        </w:trPr>
        <w:tc>
          <w:tcPr>
            <w:tcW w:w="3784" w:type="dxa"/>
          </w:tcPr>
          <w:p>
            <w:pPr>
              <w:pStyle w:val="TableParagraph"/>
              <w:spacing w:line="135" w:lineRule="exact" w:before="32"/>
              <w:ind w:left="100"/>
              <w:rPr>
                <w:rFonts w:ascii="Times New Roman"/>
                <w:sz w:val="13"/>
              </w:rPr>
            </w:pPr>
            <w:r>
              <w:rPr>
                <w:rFonts w:ascii="Times New Roman"/>
                <w:sz w:val="13"/>
              </w:rPr>
              <w:t>2. Classified Salaries</w:t>
            </w:r>
          </w:p>
        </w:tc>
        <w:tc>
          <w:tcPr>
            <w:tcW w:w="1418" w:type="dxa"/>
          </w:tcPr>
          <w:p>
            <w:pPr>
              <w:pStyle w:val="TableParagraph"/>
              <w:rPr>
                <w:rFonts w:ascii="Times New Roman"/>
                <w:sz w:val="12"/>
              </w:rPr>
            </w:pPr>
          </w:p>
        </w:tc>
        <w:tc>
          <w:tcPr>
            <w:tcW w:w="1147" w:type="dxa"/>
          </w:tcPr>
          <w:p>
            <w:pPr>
              <w:pStyle w:val="TableParagraph"/>
              <w:rPr>
                <w:rFonts w:ascii="Times New Roman"/>
                <w:sz w:val="12"/>
              </w:rPr>
            </w:pPr>
          </w:p>
        </w:tc>
        <w:tc>
          <w:tcPr>
            <w:tcW w:w="1116" w:type="dxa"/>
          </w:tcPr>
          <w:p>
            <w:pPr>
              <w:pStyle w:val="TableParagraph"/>
              <w:rPr>
                <w:rFonts w:ascii="Times New Roman"/>
                <w:sz w:val="12"/>
              </w:rPr>
            </w:pPr>
          </w:p>
        </w:tc>
        <w:tc>
          <w:tcPr>
            <w:tcW w:w="1116" w:type="dxa"/>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074" w:type="dxa"/>
          </w:tcPr>
          <w:p>
            <w:pPr>
              <w:pStyle w:val="TableParagraph"/>
              <w:rPr>
                <w:rFonts w:ascii="Times New Roman"/>
                <w:sz w:val="12"/>
              </w:rPr>
            </w:pPr>
          </w:p>
        </w:tc>
      </w:tr>
      <w:tr>
        <w:trPr>
          <w:trHeight w:val="202" w:hRule="atLeast"/>
        </w:trPr>
        <w:tc>
          <w:tcPr>
            <w:tcW w:w="3784" w:type="dxa"/>
          </w:tcPr>
          <w:p>
            <w:pPr>
              <w:pStyle w:val="TableParagraph"/>
              <w:spacing w:before="32"/>
              <w:ind w:left="200"/>
              <w:rPr>
                <w:rFonts w:ascii="Times New Roman"/>
                <w:sz w:val="13"/>
              </w:rPr>
            </w:pPr>
            <w:r>
              <w:rPr>
                <w:rFonts w:ascii="Times New Roman"/>
                <w:sz w:val="13"/>
              </w:rPr>
              <w:t>a. Base Salaries</w:t>
            </w:r>
          </w:p>
        </w:tc>
        <w:tc>
          <w:tcPr>
            <w:tcW w:w="1418" w:type="dxa"/>
          </w:tcPr>
          <w:p>
            <w:pPr>
              <w:pStyle w:val="TableParagraph"/>
              <w:rPr>
                <w:rFonts w:ascii="Times New Roman"/>
                <w:sz w:val="12"/>
              </w:rPr>
            </w:pPr>
          </w:p>
        </w:tc>
        <w:tc>
          <w:tcPr>
            <w:tcW w:w="1147" w:type="dxa"/>
            <w:shd w:val="clear" w:color="auto" w:fill="BFBFBF"/>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tcPr>
          <w:p>
            <w:pPr>
              <w:pStyle w:val="TableParagraph"/>
              <w:spacing w:before="32"/>
              <w:ind w:right="73"/>
              <w:jc w:val="right"/>
              <w:rPr>
                <w:rFonts w:ascii="Times New Roman"/>
                <w:sz w:val="13"/>
              </w:rPr>
            </w:pPr>
            <w:r>
              <w:rPr>
                <w:rFonts w:ascii="Times New Roman"/>
                <w:sz w:val="13"/>
              </w:rPr>
              <w:t>464,373.00</w:t>
            </w:r>
          </w:p>
        </w:tc>
        <w:tc>
          <w:tcPr>
            <w:tcW w:w="1116" w:type="dxa"/>
            <w:shd w:val="clear" w:color="auto" w:fill="BFBFBF"/>
          </w:tcPr>
          <w:p>
            <w:pPr>
              <w:pStyle w:val="TableParagraph"/>
              <w:rPr>
                <w:rFonts w:ascii="Times New Roman"/>
                <w:sz w:val="12"/>
              </w:rPr>
            </w:pPr>
          </w:p>
        </w:tc>
        <w:tc>
          <w:tcPr>
            <w:tcW w:w="1074" w:type="dxa"/>
          </w:tcPr>
          <w:p>
            <w:pPr>
              <w:pStyle w:val="TableParagraph"/>
              <w:spacing w:before="32"/>
              <w:ind w:right="31"/>
              <w:jc w:val="right"/>
              <w:rPr>
                <w:rFonts w:ascii="Times New Roman"/>
                <w:sz w:val="13"/>
              </w:rPr>
            </w:pPr>
            <w:r>
              <w:rPr>
                <w:rFonts w:ascii="Times New Roman"/>
                <w:sz w:val="13"/>
              </w:rPr>
              <w:t>470,747.00</w:t>
            </w:r>
          </w:p>
        </w:tc>
      </w:tr>
      <w:tr>
        <w:trPr>
          <w:trHeight w:val="187" w:hRule="atLeast"/>
        </w:trPr>
        <w:tc>
          <w:tcPr>
            <w:tcW w:w="3784" w:type="dxa"/>
          </w:tcPr>
          <w:p>
            <w:pPr>
              <w:pStyle w:val="TableParagraph"/>
              <w:spacing w:before="16"/>
              <w:ind w:left="200"/>
              <w:rPr>
                <w:rFonts w:ascii="Times New Roman"/>
                <w:sz w:val="13"/>
              </w:rPr>
            </w:pPr>
            <w:r>
              <w:rPr>
                <w:rFonts w:ascii="Times New Roman"/>
                <w:sz w:val="13"/>
              </w:rPr>
              <w:t>b. Step &amp; Column Adjustment</w:t>
            </w:r>
          </w:p>
        </w:tc>
        <w:tc>
          <w:tcPr>
            <w:tcW w:w="1418" w:type="dxa"/>
          </w:tcPr>
          <w:p>
            <w:pPr>
              <w:pStyle w:val="TableParagraph"/>
              <w:rPr>
                <w:rFonts w:ascii="Times New Roman"/>
                <w:sz w:val="12"/>
              </w:rPr>
            </w:pPr>
          </w:p>
        </w:tc>
        <w:tc>
          <w:tcPr>
            <w:tcW w:w="1147" w:type="dxa"/>
            <w:shd w:val="clear" w:color="auto" w:fill="BFBFBF"/>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tcPr>
          <w:p>
            <w:pPr>
              <w:pStyle w:val="TableParagraph"/>
              <w:spacing w:before="16"/>
              <w:ind w:right="73"/>
              <w:jc w:val="right"/>
              <w:rPr>
                <w:rFonts w:ascii="Times New Roman"/>
                <w:sz w:val="13"/>
              </w:rPr>
            </w:pPr>
            <w:r>
              <w:rPr>
                <w:rFonts w:ascii="Times New Roman"/>
                <w:sz w:val="13"/>
              </w:rPr>
              <w:t>10,874.00</w:t>
            </w:r>
          </w:p>
        </w:tc>
        <w:tc>
          <w:tcPr>
            <w:tcW w:w="1116" w:type="dxa"/>
            <w:shd w:val="clear" w:color="auto" w:fill="BFBFBF"/>
          </w:tcPr>
          <w:p>
            <w:pPr>
              <w:pStyle w:val="TableParagraph"/>
              <w:rPr>
                <w:rFonts w:ascii="Times New Roman"/>
                <w:sz w:val="12"/>
              </w:rPr>
            </w:pPr>
          </w:p>
        </w:tc>
        <w:tc>
          <w:tcPr>
            <w:tcW w:w="1074" w:type="dxa"/>
          </w:tcPr>
          <w:p>
            <w:pPr>
              <w:pStyle w:val="TableParagraph"/>
              <w:spacing w:before="16"/>
              <w:ind w:right="31"/>
              <w:jc w:val="right"/>
              <w:rPr>
                <w:rFonts w:ascii="Times New Roman"/>
                <w:sz w:val="13"/>
              </w:rPr>
            </w:pPr>
            <w:r>
              <w:rPr>
                <w:rFonts w:ascii="Times New Roman"/>
                <w:sz w:val="13"/>
              </w:rPr>
              <w:t>12,923.00</w:t>
            </w:r>
          </w:p>
        </w:tc>
      </w:tr>
      <w:tr>
        <w:trPr>
          <w:trHeight w:val="187" w:hRule="atLeast"/>
        </w:trPr>
        <w:tc>
          <w:tcPr>
            <w:tcW w:w="3784" w:type="dxa"/>
          </w:tcPr>
          <w:p>
            <w:pPr>
              <w:pStyle w:val="TableParagraph"/>
              <w:spacing w:before="16"/>
              <w:ind w:left="200"/>
              <w:rPr>
                <w:rFonts w:ascii="Times New Roman"/>
                <w:sz w:val="13"/>
              </w:rPr>
            </w:pPr>
            <w:r>
              <w:rPr>
                <w:rFonts w:ascii="Times New Roman"/>
                <w:sz w:val="13"/>
              </w:rPr>
              <w:t>c. Cost-of-Living Adjustment</w:t>
            </w:r>
          </w:p>
        </w:tc>
        <w:tc>
          <w:tcPr>
            <w:tcW w:w="1418" w:type="dxa"/>
          </w:tcPr>
          <w:p>
            <w:pPr>
              <w:pStyle w:val="TableParagraph"/>
              <w:rPr>
                <w:rFonts w:ascii="Times New Roman"/>
                <w:sz w:val="12"/>
              </w:rPr>
            </w:pPr>
          </w:p>
        </w:tc>
        <w:tc>
          <w:tcPr>
            <w:tcW w:w="1147" w:type="dxa"/>
            <w:shd w:val="clear" w:color="auto" w:fill="BFBFBF"/>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tcPr>
          <w:p>
            <w:pPr>
              <w:pStyle w:val="TableParagraph"/>
              <w:spacing w:before="16"/>
              <w:ind w:right="72"/>
              <w:jc w:val="right"/>
              <w:rPr>
                <w:rFonts w:ascii="Times New Roman"/>
                <w:sz w:val="13"/>
              </w:rPr>
            </w:pPr>
            <w:r>
              <w:rPr>
                <w:rFonts w:ascii="Times New Roman"/>
                <w:sz w:val="13"/>
              </w:rPr>
              <w:t>0.00</w:t>
            </w:r>
          </w:p>
        </w:tc>
        <w:tc>
          <w:tcPr>
            <w:tcW w:w="1116" w:type="dxa"/>
            <w:shd w:val="clear" w:color="auto" w:fill="BFBFBF"/>
          </w:tcPr>
          <w:p>
            <w:pPr>
              <w:pStyle w:val="TableParagraph"/>
              <w:rPr>
                <w:rFonts w:ascii="Times New Roman"/>
                <w:sz w:val="12"/>
              </w:rPr>
            </w:pPr>
          </w:p>
        </w:tc>
        <w:tc>
          <w:tcPr>
            <w:tcW w:w="1074" w:type="dxa"/>
          </w:tcPr>
          <w:p>
            <w:pPr>
              <w:pStyle w:val="TableParagraph"/>
              <w:spacing w:before="16"/>
              <w:ind w:right="30"/>
              <w:jc w:val="right"/>
              <w:rPr>
                <w:rFonts w:ascii="Times New Roman"/>
                <w:sz w:val="13"/>
              </w:rPr>
            </w:pPr>
            <w:r>
              <w:rPr>
                <w:rFonts w:ascii="Times New Roman"/>
                <w:sz w:val="13"/>
              </w:rPr>
              <w:t>0.00</w:t>
            </w:r>
          </w:p>
        </w:tc>
      </w:tr>
      <w:tr>
        <w:trPr>
          <w:trHeight w:val="171" w:hRule="atLeast"/>
        </w:trPr>
        <w:tc>
          <w:tcPr>
            <w:tcW w:w="3784" w:type="dxa"/>
          </w:tcPr>
          <w:p>
            <w:pPr>
              <w:pStyle w:val="TableParagraph"/>
              <w:spacing w:line="135" w:lineRule="exact" w:before="16"/>
              <w:ind w:left="200"/>
              <w:rPr>
                <w:rFonts w:ascii="Times New Roman"/>
                <w:sz w:val="13"/>
              </w:rPr>
            </w:pPr>
            <w:r>
              <w:rPr>
                <w:rFonts w:ascii="Times New Roman"/>
                <w:sz w:val="13"/>
              </w:rPr>
              <w:t>d. Other Adjustments</w:t>
            </w:r>
          </w:p>
        </w:tc>
        <w:tc>
          <w:tcPr>
            <w:tcW w:w="1418" w:type="dxa"/>
          </w:tcPr>
          <w:p>
            <w:pPr>
              <w:pStyle w:val="TableParagraph"/>
              <w:rPr>
                <w:rFonts w:ascii="Times New Roman"/>
                <w:sz w:val="10"/>
              </w:rPr>
            </w:pPr>
          </w:p>
        </w:tc>
        <w:tc>
          <w:tcPr>
            <w:tcW w:w="1147" w:type="dxa"/>
            <w:shd w:val="clear" w:color="auto" w:fill="BFBFBF"/>
          </w:tcPr>
          <w:p>
            <w:pPr>
              <w:pStyle w:val="TableParagraph"/>
              <w:rPr>
                <w:rFonts w:ascii="Times New Roman"/>
                <w:sz w:val="10"/>
              </w:rPr>
            </w:pPr>
          </w:p>
        </w:tc>
        <w:tc>
          <w:tcPr>
            <w:tcW w:w="1116" w:type="dxa"/>
            <w:shd w:val="clear" w:color="auto" w:fill="BFBFBF"/>
          </w:tcPr>
          <w:p>
            <w:pPr>
              <w:pStyle w:val="TableParagraph"/>
              <w:rPr>
                <w:rFonts w:ascii="Times New Roman"/>
                <w:sz w:val="10"/>
              </w:rPr>
            </w:pPr>
          </w:p>
        </w:tc>
        <w:tc>
          <w:tcPr>
            <w:tcW w:w="1116" w:type="dxa"/>
          </w:tcPr>
          <w:p>
            <w:pPr>
              <w:pStyle w:val="TableParagraph"/>
              <w:spacing w:line="135" w:lineRule="exact" w:before="16"/>
              <w:ind w:right="28"/>
              <w:jc w:val="right"/>
              <w:rPr>
                <w:rFonts w:ascii="Times New Roman"/>
                <w:sz w:val="13"/>
              </w:rPr>
            </w:pPr>
            <w:r>
              <w:rPr>
                <w:rFonts w:ascii="Times New Roman"/>
                <w:sz w:val="13"/>
              </w:rPr>
              <w:t>(4,500.00)</w:t>
            </w:r>
          </w:p>
        </w:tc>
        <w:tc>
          <w:tcPr>
            <w:tcW w:w="1116" w:type="dxa"/>
            <w:shd w:val="clear" w:color="auto" w:fill="BFBFBF"/>
          </w:tcPr>
          <w:p>
            <w:pPr>
              <w:pStyle w:val="TableParagraph"/>
              <w:rPr>
                <w:rFonts w:ascii="Times New Roman"/>
                <w:sz w:val="10"/>
              </w:rPr>
            </w:pPr>
          </w:p>
        </w:tc>
        <w:tc>
          <w:tcPr>
            <w:tcW w:w="1074" w:type="dxa"/>
          </w:tcPr>
          <w:p>
            <w:pPr>
              <w:pStyle w:val="TableParagraph"/>
              <w:spacing w:line="135" w:lineRule="exact" w:before="16"/>
              <w:ind w:right="30"/>
              <w:jc w:val="right"/>
              <w:rPr>
                <w:rFonts w:ascii="Times New Roman"/>
                <w:sz w:val="13"/>
              </w:rPr>
            </w:pPr>
            <w:r>
              <w:rPr>
                <w:rFonts w:ascii="Times New Roman"/>
                <w:sz w:val="13"/>
              </w:rPr>
              <w:t>0.00</w:t>
            </w:r>
          </w:p>
        </w:tc>
      </w:tr>
      <w:tr>
        <w:trPr>
          <w:trHeight w:val="202" w:hRule="atLeast"/>
        </w:trPr>
        <w:tc>
          <w:tcPr>
            <w:tcW w:w="3784" w:type="dxa"/>
          </w:tcPr>
          <w:p>
            <w:pPr>
              <w:pStyle w:val="TableParagraph"/>
              <w:spacing w:before="32"/>
              <w:ind w:left="200"/>
              <w:rPr>
                <w:rFonts w:ascii="Times New Roman"/>
                <w:sz w:val="13"/>
              </w:rPr>
            </w:pPr>
            <w:r>
              <w:rPr>
                <w:rFonts w:ascii="Times New Roman"/>
                <w:sz w:val="13"/>
              </w:rPr>
              <w:t>e. Total Classified Salaries (Sum lines B2a thru B2d)</w:t>
            </w:r>
          </w:p>
        </w:tc>
        <w:tc>
          <w:tcPr>
            <w:tcW w:w="1418" w:type="dxa"/>
          </w:tcPr>
          <w:p>
            <w:pPr>
              <w:pStyle w:val="TableParagraph"/>
              <w:spacing w:before="32"/>
              <w:ind w:left="131" w:right="54"/>
              <w:jc w:val="center"/>
              <w:rPr>
                <w:rFonts w:ascii="Times New Roman"/>
                <w:sz w:val="13"/>
              </w:rPr>
            </w:pPr>
            <w:r>
              <w:rPr>
                <w:rFonts w:ascii="Times New Roman"/>
                <w:sz w:val="13"/>
              </w:rPr>
              <w:t>2000-2999</w:t>
            </w:r>
          </w:p>
        </w:tc>
        <w:tc>
          <w:tcPr>
            <w:tcW w:w="1147" w:type="dxa"/>
          </w:tcPr>
          <w:p>
            <w:pPr>
              <w:pStyle w:val="TableParagraph"/>
              <w:spacing w:before="32"/>
              <w:ind w:right="73"/>
              <w:jc w:val="right"/>
              <w:rPr>
                <w:rFonts w:ascii="Times New Roman"/>
                <w:sz w:val="13"/>
              </w:rPr>
            </w:pPr>
            <w:r>
              <w:rPr>
                <w:rFonts w:ascii="Times New Roman"/>
                <w:sz w:val="13"/>
              </w:rPr>
              <w:t>464,373.00</w:t>
            </w:r>
          </w:p>
        </w:tc>
        <w:tc>
          <w:tcPr>
            <w:tcW w:w="1116" w:type="dxa"/>
          </w:tcPr>
          <w:p>
            <w:pPr>
              <w:pStyle w:val="TableParagraph"/>
              <w:spacing w:before="32"/>
              <w:ind w:right="28"/>
              <w:jc w:val="right"/>
              <w:rPr>
                <w:rFonts w:ascii="Times New Roman"/>
                <w:sz w:val="13"/>
              </w:rPr>
            </w:pPr>
            <w:r>
              <w:rPr>
                <w:rFonts w:ascii="Times New Roman"/>
                <w:sz w:val="13"/>
              </w:rPr>
              <w:t>1.37%</w:t>
            </w:r>
          </w:p>
        </w:tc>
        <w:tc>
          <w:tcPr>
            <w:tcW w:w="1116" w:type="dxa"/>
          </w:tcPr>
          <w:p>
            <w:pPr>
              <w:pStyle w:val="TableParagraph"/>
              <w:spacing w:before="32"/>
              <w:ind w:right="73"/>
              <w:jc w:val="right"/>
              <w:rPr>
                <w:rFonts w:ascii="Times New Roman"/>
                <w:sz w:val="13"/>
              </w:rPr>
            </w:pPr>
            <w:r>
              <w:rPr>
                <w:rFonts w:ascii="Times New Roman"/>
                <w:sz w:val="13"/>
              </w:rPr>
              <w:t>470,747.00</w:t>
            </w:r>
          </w:p>
        </w:tc>
        <w:tc>
          <w:tcPr>
            <w:tcW w:w="1116" w:type="dxa"/>
          </w:tcPr>
          <w:p>
            <w:pPr>
              <w:pStyle w:val="TableParagraph"/>
              <w:spacing w:before="32"/>
              <w:ind w:right="28"/>
              <w:jc w:val="right"/>
              <w:rPr>
                <w:rFonts w:ascii="Times New Roman"/>
                <w:sz w:val="13"/>
              </w:rPr>
            </w:pPr>
            <w:r>
              <w:rPr>
                <w:rFonts w:ascii="Times New Roman"/>
                <w:sz w:val="13"/>
              </w:rPr>
              <w:t>2.75%</w:t>
            </w:r>
          </w:p>
        </w:tc>
        <w:tc>
          <w:tcPr>
            <w:tcW w:w="1074" w:type="dxa"/>
          </w:tcPr>
          <w:p>
            <w:pPr>
              <w:pStyle w:val="TableParagraph"/>
              <w:spacing w:before="32"/>
              <w:ind w:right="31"/>
              <w:jc w:val="right"/>
              <w:rPr>
                <w:rFonts w:ascii="Times New Roman"/>
                <w:sz w:val="13"/>
              </w:rPr>
            </w:pPr>
            <w:r>
              <w:rPr>
                <w:rFonts w:ascii="Times New Roman"/>
                <w:sz w:val="13"/>
              </w:rPr>
              <w:t>483,670.00</w:t>
            </w:r>
          </w:p>
        </w:tc>
      </w:tr>
      <w:tr>
        <w:trPr>
          <w:trHeight w:val="187" w:hRule="atLeast"/>
        </w:trPr>
        <w:tc>
          <w:tcPr>
            <w:tcW w:w="3784" w:type="dxa"/>
          </w:tcPr>
          <w:p>
            <w:pPr>
              <w:pStyle w:val="TableParagraph"/>
              <w:spacing w:before="16"/>
              <w:ind w:left="100"/>
              <w:rPr>
                <w:rFonts w:ascii="Times New Roman"/>
                <w:sz w:val="13"/>
              </w:rPr>
            </w:pPr>
            <w:r>
              <w:rPr>
                <w:rFonts w:ascii="Times New Roman"/>
                <w:sz w:val="13"/>
              </w:rPr>
              <w:t>3. Employee Benefits</w:t>
            </w:r>
          </w:p>
        </w:tc>
        <w:tc>
          <w:tcPr>
            <w:tcW w:w="1418" w:type="dxa"/>
          </w:tcPr>
          <w:p>
            <w:pPr>
              <w:pStyle w:val="TableParagraph"/>
              <w:spacing w:before="16"/>
              <w:ind w:left="131" w:right="54"/>
              <w:jc w:val="center"/>
              <w:rPr>
                <w:rFonts w:ascii="Times New Roman"/>
                <w:sz w:val="13"/>
              </w:rPr>
            </w:pPr>
            <w:r>
              <w:rPr>
                <w:rFonts w:ascii="Times New Roman"/>
                <w:sz w:val="13"/>
              </w:rPr>
              <w:t>3000-3999</w:t>
            </w:r>
          </w:p>
        </w:tc>
        <w:tc>
          <w:tcPr>
            <w:tcW w:w="1147" w:type="dxa"/>
          </w:tcPr>
          <w:p>
            <w:pPr>
              <w:pStyle w:val="TableParagraph"/>
              <w:spacing w:before="16"/>
              <w:ind w:right="73"/>
              <w:jc w:val="right"/>
              <w:rPr>
                <w:rFonts w:ascii="Times New Roman"/>
                <w:sz w:val="13"/>
              </w:rPr>
            </w:pPr>
            <w:r>
              <w:rPr>
                <w:rFonts w:ascii="Times New Roman"/>
                <w:sz w:val="13"/>
              </w:rPr>
              <w:t>419,321.00</w:t>
            </w:r>
          </w:p>
        </w:tc>
        <w:tc>
          <w:tcPr>
            <w:tcW w:w="1116" w:type="dxa"/>
          </w:tcPr>
          <w:p>
            <w:pPr>
              <w:pStyle w:val="TableParagraph"/>
              <w:spacing w:before="16"/>
              <w:ind w:right="28"/>
              <w:jc w:val="right"/>
              <w:rPr>
                <w:rFonts w:ascii="Times New Roman"/>
                <w:sz w:val="13"/>
              </w:rPr>
            </w:pPr>
            <w:r>
              <w:rPr>
                <w:rFonts w:ascii="Times New Roman"/>
                <w:sz w:val="13"/>
              </w:rPr>
              <w:t>2.78%</w:t>
            </w:r>
          </w:p>
        </w:tc>
        <w:tc>
          <w:tcPr>
            <w:tcW w:w="1116" w:type="dxa"/>
          </w:tcPr>
          <w:p>
            <w:pPr>
              <w:pStyle w:val="TableParagraph"/>
              <w:spacing w:before="16"/>
              <w:ind w:right="73"/>
              <w:jc w:val="right"/>
              <w:rPr>
                <w:rFonts w:ascii="Times New Roman"/>
                <w:sz w:val="13"/>
              </w:rPr>
            </w:pPr>
            <w:r>
              <w:rPr>
                <w:rFonts w:ascii="Times New Roman"/>
                <w:sz w:val="13"/>
              </w:rPr>
              <w:t>430,961.00</w:t>
            </w:r>
          </w:p>
        </w:tc>
        <w:tc>
          <w:tcPr>
            <w:tcW w:w="1116" w:type="dxa"/>
          </w:tcPr>
          <w:p>
            <w:pPr>
              <w:pStyle w:val="TableParagraph"/>
              <w:spacing w:before="16"/>
              <w:ind w:right="28"/>
              <w:jc w:val="right"/>
              <w:rPr>
                <w:rFonts w:ascii="Times New Roman"/>
                <w:sz w:val="13"/>
              </w:rPr>
            </w:pPr>
            <w:r>
              <w:rPr>
                <w:rFonts w:ascii="Times New Roman"/>
                <w:sz w:val="13"/>
              </w:rPr>
              <w:t>2.04%</w:t>
            </w:r>
          </w:p>
        </w:tc>
        <w:tc>
          <w:tcPr>
            <w:tcW w:w="1074" w:type="dxa"/>
          </w:tcPr>
          <w:p>
            <w:pPr>
              <w:pStyle w:val="TableParagraph"/>
              <w:spacing w:before="16"/>
              <w:ind w:right="31"/>
              <w:jc w:val="right"/>
              <w:rPr>
                <w:rFonts w:ascii="Times New Roman"/>
                <w:sz w:val="13"/>
              </w:rPr>
            </w:pPr>
            <w:r>
              <w:rPr>
                <w:rFonts w:ascii="Times New Roman"/>
                <w:sz w:val="13"/>
              </w:rPr>
              <w:t>439,748.00</w:t>
            </w:r>
          </w:p>
        </w:tc>
      </w:tr>
      <w:tr>
        <w:trPr>
          <w:trHeight w:val="187" w:hRule="atLeast"/>
        </w:trPr>
        <w:tc>
          <w:tcPr>
            <w:tcW w:w="3784" w:type="dxa"/>
          </w:tcPr>
          <w:p>
            <w:pPr>
              <w:pStyle w:val="TableParagraph"/>
              <w:spacing w:before="16"/>
              <w:ind w:left="100"/>
              <w:rPr>
                <w:rFonts w:ascii="Times New Roman"/>
                <w:sz w:val="13"/>
              </w:rPr>
            </w:pPr>
            <w:r>
              <w:rPr>
                <w:rFonts w:ascii="Times New Roman"/>
                <w:sz w:val="13"/>
              </w:rPr>
              <w:t>4. Books and Supplies</w:t>
            </w:r>
          </w:p>
        </w:tc>
        <w:tc>
          <w:tcPr>
            <w:tcW w:w="1418" w:type="dxa"/>
          </w:tcPr>
          <w:p>
            <w:pPr>
              <w:pStyle w:val="TableParagraph"/>
              <w:spacing w:before="16"/>
              <w:ind w:left="131" w:right="54"/>
              <w:jc w:val="center"/>
              <w:rPr>
                <w:rFonts w:ascii="Times New Roman"/>
                <w:sz w:val="13"/>
              </w:rPr>
            </w:pPr>
            <w:r>
              <w:rPr>
                <w:rFonts w:ascii="Times New Roman"/>
                <w:sz w:val="13"/>
              </w:rPr>
              <w:t>4000-4999</w:t>
            </w:r>
          </w:p>
        </w:tc>
        <w:tc>
          <w:tcPr>
            <w:tcW w:w="1147" w:type="dxa"/>
          </w:tcPr>
          <w:p>
            <w:pPr>
              <w:pStyle w:val="TableParagraph"/>
              <w:spacing w:before="16"/>
              <w:ind w:right="73"/>
              <w:jc w:val="right"/>
              <w:rPr>
                <w:rFonts w:ascii="Times New Roman"/>
                <w:sz w:val="13"/>
              </w:rPr>
            </w:pPr>
            <w:r>
              <w:rPr>
                <w:rFonts w:ascii="Times New Roman"/>
                <w:sz w:val="13"/>
              </w:rPr>
              <w:t>138,750.00</w:t>
            </w:r>
          </w:p>
        </w:tc>
        <w:tc>
          <w:tcPr>
            <w:tcW w:w="1116" w:type="dxa"/>
          </w:tcPr>
          <w:p>
            <w:pPr>
              <w:pStyle w:val="TableParagraph"/>
              <w:spacing w:before="16"/>
              <w:ind w:right="29"/>
              <w:jc w:val="right"/>
              <w:rPr>
                <w:rFonts w:ascii="Times New Roman"/>
                <w:sz w:val="13"/>
              </w:rPr>
            </w:pPr>
            <w:r>
              <w:rPr>
                <w:rFonts w:ascii="Times New Roman"/>
                <w:sz w:val="13"/>
              </w:rPr>
              <w:t>-0.53%</w:t>
            </w:r>
          </w:p>
        </w:tc>
        <w:tc>
          <w:tcPr>
            <w:tcW w:w="1116" w:type="dxa"/>
          </w:tcPr>
          <w:p>
            <w:pPr>
              <w:pStyle w:val="TableParagraph"/>
              <w:spacing w:before="16"/>
              <w:ind w:right="73"/>
              <w:jc w:val="right"/>
              <w:rPr>
                <w:rFonts w:ascii="Times New Roman"/>
                <w:sz w:val="13"/>
              </w:rPr>
            </w:pPr>
            <w:r>
              <w:rPr>
                <w:rFonts w:ascii="Times New Roman"/>
                <w:sz w:val="13"/>
              </w:rPr>
              <w:t>138,010.00</w:t>
            </w:r>
          </w:p>
        </w:tc>
        <w:tc>
          <w:tcPr>
            <w:tcW w:w="1116" w:type="dxa"/>
          </w:tcPr>
          <w:p>
            <w:pPr>
              <w:pStyle w:val="TableParagraph"/>
              <w:spacing w:before="16"/>
              <w:ind w:right="28"/>
              <w:jc w:val="right"/>
              <w:rPr>
                <w:rFonts w:ascii="Times New Roman"/>
                <w:sz w:val="13"/>
              </w:rPr>
            </w:pPr>
            <w:r>
              <w:rPr>
                <w:rFonts w:ascii="Times New Roman"/>
                <w:sz w:val="13"/>
              </w:rPr>
              <w:t>2.12%</w:t>
            </w:r>
          </w:p>
        </w:tc>
        <w:tc>
          <w:tcPr>
            <w:tcW w:w="1074" w:type="dxa"/>
          </w:tcPr>
          <w:p>
            <w:pPr>
              <w:pStyle w:val="TableParagraph"/>
              <w:spacing w:before="16"/>
              <w:ind w:right="31"/>
              <w:jc w:val="right"/>
              <w:rPr>
                <w:rFonts w:ascii="Times New Roman"/>
                <w:sz w:val="13"/>
              </w:rPr>
            </w:pPr>
            <w:r>
              <w:rPr>
                <w:rFonts w:ascii="Times New Roman"/>
                <w:sz w:val="13"/>
              </w:rPr>
              <w:t>140,935.00</w:t>
            </w:r>
          </w:p>
        </w:tc>
      </w:tr>
      <w:tr>
        <w:trPr>
          <w:trHeight w:val="187" w:hRule="atLeast"/>
        </w:trPr>
        <w:tc>
          <w:tcPr>
            <w:tcW w:w="3784" w:type="dxa"/>
          </w:tcPr>
          <w:p>
            <w:pPr>
              <w:pStyle w:val="TableParagraph"/>
              <w:spacing w:before="16"/>
              <w:ind w:left="100"/>
              <w:rPr>
                <w:rFonts w:ascii="Times New Roman"/>
                <w:sz w:val="13"/>
              </w:rPr>
            </w:pPr>
            <w:r>
              <w:rPr>
                <w:rFonts w:ascii="Times New Roman"/>
                <w:sz w:val="13"/>
              </w:rPr>
              <w:t>5. Services and Other Operating Expenditures</w:t>
            </w:r>
          </w:p>
        </w:tc>
        <w:tc>
          <w:tcPr>
            <w:tcW w:w="1418" w:type="dxa"/>
          </w:tcPr>
          <w:p>
            <w:pPr>
              <w:pStyle w:val="TableParagraph"/>
              <w:spacing w:before="16"/>
              <w:ind w:left="131" w:right="54"/>
              <w:jc w:val="center"/>
              <w:rPr>
                <w:rFonts w:ascii="Times New Roman"/>
                <w:sz w:val="13"/>
              </w:rPr>
            </w:pPr>
            <w:r>
              <w:rPr>
                <w:rFonts w:ascii="Times New Roman"/>
                <w:sz w:val="13"/>
              </w:rPr>
              <w:t>5000-5999</w:t>
            </w:r>
          </w:p>
        </w:tc>
        <w:tc>
          <w:tcPr>
            <w:tcW w:w="1147" w:type="dxa"/>
          </w:tcPr>
          <w:p>
            <w:pPr>
              <w:pStyle w:val="TableParagraph"/>
              <w:spacing w:before="16"/>
              <w:ind w:right="73"/>
              <w:jc w:val="right"/>
              <w:rPr>
                <w:rFonts w:ascii="Times New Roman"/>
                <w:sz w:val="13"/>
              </w:rPr>
            </w:pPr>
            <w:r>
              <w:rPr>
                <w:rFonts w:ascii="Times New Roman"/>
                <w:sz w:val="13"/>
              </w:rPr>
              <w:t>362,242.00</w:t>
            </w:r>
          </w:p>
        </w:tc>
        <w:tc>
          <w:tcPr>
            <w:tcW w:w="1116" w:type="dxa"/>
          </w:tcPr>
          <w:p>
            <w:pPr>
              <w:pStyle w:val="TableParagraph"/>
              <w:spacing w:before="16"/>
              <w:ind w:right="28"/>
              <w:jc w:val="right"/>
              <w:rPr>
                <w:rFonts w:ascii="Times New Roman"/>
                <w:sz w:val="13"/>
              </w:rPr>
            </w:pPr>
            <w:r>
              <w:rPr>
                <w:rFonts w:ascii="Times New Roman"/>
                <w:sz w:val="13"/>
              </w:rPr>
              <w:t>0.21%</w:t>
            </w:r>
          </w:p>
        </w:tc>
        <w:tc>
          <w:tcPr>
            <w:tcW w:w="1116" w:type="dxa"/>
          </w:tcPr>
          <w:p>
            <w:pPr>
              <w:pStyle w:val="TableParagraph"/>
              <w:spacing w:before="16"/>
              <w:ind w:right="73"/>
              <w:jc w:val="right"/>
              <w:rPr>
                <w:rFonts w:ascii="Times New Roman"/>
                <w:sz w:val="13"/>
              </w:rPr>
            </w:pPr>
            <w:r>
              <w:rPr>
                <w:rFonts w:ascii="Times New Roman"/>
                <w:sz w:val="13"/>
              </w:rPr>
              <w:t>362,997.00</w:t>
            </w:r>
          </w:p>
        </w:tc>
        <w:tc>
          <w:tcPr>
            <w:tcW w:w="1116" w:type="dxa"/>
          </w:tcPr>
          <w:p>
            <w:pPr>
              <w:pStyle w:val="TableParagraph"/>
              <w:spacing w:before="16"/>
              <w:ind w:right="28"/>
              <w:jc w:val="right"/>
              <w:rPr>
                <w:rFonts w:ascii="Times New Roman"/>
                <w:sz w:val="13"/>
              </w:rPr>
            </w:pPr>
            <w:r>
              <w:rPr>
                <w:rFonts w:ascii="Times New Roman"/>
                <w:sz w:val="13"/>
              </w:rPr>
              <w:t>2.10%</w:t>
            </w:r>
          </w:p>
        </w:tc>
        <w:tc>
          <w:tcPr>
            <w:tcW w:w="1074" w:type="dxa"/>
          </w:tcPr>
          <w:p>
            <w:pPr>
              <w:pStyle w:val="TableParagraph"/>
              <w:spacing w:before="16"/>
              <w:ind w:right="31"/>
              <w:jc w:val="right"/>
              <w:rPr>
                <w:rFonts w:ascii="Times New Roman"/>
                <w:sz w:val="13"/>
              </w:rPr>
            </w:pPr>
            <w:r>
              <w:rPr>
                <w:rFonts w:ascii="Times New Roman"/>
                <w:sz w:val="13"/>
              </w:rPr>
              <w:t>370,629.00</w:t>
            </w:r>
          </w:p>
        </w:tc>
      </w:tr>
      <w:tr>
        <w:trPr>
          <w:trHeight w:val="187" w:hRule="atLeast"/>
        </w:trPr>
        <w:tc>
          <w:tcPr>
            <w:tcW w:w="3784" w:type="dxa"/>
          </w:tcPr>
          <w:p>
            <w:pPr>
              <w:pStyle w:val="TableParagraph"/>
              <w:spacing w:before="16"/>
              <w:ind w:left="100"/>
              <w:rPr>
                <w:rFonts w:ascii="Times New Roman"/>
                <w:sz w:val="13"/>
              </w:rPr>
            </w:pPr>
            <w:r>
              <w:rPr>
                <w:rFonts w:ascii="Times New Roman"/>
                <w:sz w:val="13"/>
              </w:rPr>
              <w:t>6. Capital Outlay</w:t>
            </w:r>
          </w:p>
        </w:tc>
        <w:tc>
          <w:tcPr>
            <w:tcW w:w="1418" w:type="dxa"/>
          </w:tcPr>
          <w:p>
            <w:pPr>
              <w:pStyle w:val="TableParagraph"/>
              <w:spacing w:before="16"/>
              <w:ind w:left="131" w:right="54"/>
              <w:jc w:val="center"/>
              <w:rPr>
                <w:rFonts w:ascii="Times New Roman"/>
                <w:sz w:val="13"/>
              </w:rPr>
            </w:pPr>
            <w:r>
              <w:rPr>
                <w:rFonts w:ascii="Times New Roman"/>
                <w:sz w:val="13"/>
              </w:rPr>
              <w:t>6000-6999</w:t>
            </w:r>
          </w:p>
        </w:tc>
        <w:tc>
          <w:tcPr>
            <w:tcW w:w="1147" w:type="dxa"/>
          </w:tcPr>
          <w:p>
            <w:pPr>
              <w:pStyle w:val="TableParagraph"/>
              <w:spacing w:before="16"/>
              <w:ind w:right="73"/>
              <w:jc w:val="right"/>
              <w:rPr>
                <w:rFonts w:ascii="Times New Roman"/>
                <w:sz w:val="13"/>
              </w:rPr>
            </w:pPr>
            <w:r>
              <w:rPr>
                <w:rFonts w:ascii="Times New Roman"/>
                <w:sz w:val="13"/>
              </w:rPr>
              <w:t>139,000.00</w:t>
            </w:r>
          </w:p>
        </w:tc>
        <w:tc>
          <w:tcPr>
            <w:tcW w:w="1116" w:type="dxa"/>
          </w:tcPr>
          <w:p>
            <w:pPr>
              <w:pStyle w:val="TableParagraph"/>
              <w:spacing w:before="16"/>
              <w:ind w:right="29"/>
              <w:jc w:val="right"/>
              <w:rPr>
                <w:rFonts w:ascii="Times New Roman"/>
                <w:sz w:val="13"/>
              </w:rPr>
            </w:pPr>
            <w:r>
              <w:rPr>
                <w:rFonts w:ascii="Times New Roman"/>
                <w:sz w:val="13"/>
              </w:rPr>
              <w:t>-92.81%</w:t>
            </w:r>
          </w:p>
        </w:tc>
        <w:tc>
          <w:tcPr>
            <w:tcW w:w="1116" w:type="dxa"/>
          </w:tcPr>
          <w:p>
            <w:pPr>
              <w:pStyle w:val="TableParagraph"/>
              <w:spacing w:before="16"/>
              <w:ind w:right="73"/>
              <w:jc w:val="right"/>
              <w:rPr>
                <w:rFonts w:ascii="Times New Roman"/>
                <w:sz w:val="13"/>
              </w:rPr>
            </w:pPr>
            <w:r>
              <w:rPr>
                <w:rFonts w:ascii="Times New Roman"/>
                <w:sz w:val="13"/>
              </w:rPr>
              <w:t>10,000.00</w:t>
            </w:r>
          </w:p>
        </w:tc>
        <w:tc>
          <w:tcPr>
            <w:tcW w:w="1116" w:type="dxa"/>
          </w:tcPr>
          <w:p>
            <w:pPr>
              <w:pStyle w:val="TableParagraph"/>
              <w:spacing w:before="16"/>
              <w:ind w:right="28"/>
              <w:jc w:val="right"/>
              <w:rPr>
                <w:rFonts w:ascii="Times New Roman"/>
                <w:sz w:val="13"/>
              </w:rPr>
            </w:pPr>
            <w:r>
              <w:rPr>
                <w:rFonts w:ascii="Times New Roman"/>
                <w:sz w:val="13"/>
              </w:rPr>
              <w:t>0.00%</w:t>
            </w:r>
          </w:p>
        </w:tc>
        <w:tc>
          <w:tcPr>
            <w:tcW w:w="1074" w:type="dxa"/>
          </w:tcPr>
          <w:p>
            <w:pPr>
              <w:pStyle w:val="TableParagraph"/>
              <w:spacing w:before="16"/>
              <w:ind w:right="31"/>
              <w:jc w:val="right"/>
              <w:rPr>
                <w:rFonts w:ascii="Times New Roman"/>
                <w:sz w:val="13"/>
              </w:rPr>
            </w:pPr>
            <w:r>
              <w:rPr>
                <w:rFonts w:ascii="Times New Roman"/>
                <w:sz w:val="13"/>
              </w:rPr>
              <w:t>10,000.00</w:t>
            </w:r>
          </w:p>
        </w:tc>
      </w:tr>
      <w:tr>
        <w:trPr>
          <w:trHeight w:val="187" w:hRule="atLeast"/>
        </w:trPr>
        <w:tc>
          <w:tcPr>
            <w:tcW w:w="3784" w:type="dxa"/>
          </w:tcPr>
          <w:p>
            <w:pPr>
              <w:pStyle w:val="TableParagraph"/>
              <w:spacing w:before="16"/>
              <w:ind w:left="100"/>
              <w:rPr>
                <w:rFonts w:ascii="Times New Roman"/>
                <w:sz w:val="13"/>
              </w:rPr>
            </w:pPr>
            <w:r>
              <w:rPr>
                <w:rFonts w:ascii="Times New Roman"/>
                <w:sz w:val="13"/>
              </w:rPr>
              <w:t>7. Other Outgo (excluding Transfers of Indirect Costs)</w:t>
            </w:r>
          </w:p>
        </w:tc>
        <w:tc>
          <w:tcPr>
            <w:tcW w:w="1418" w:type="dxa"/>
          </w:tcPr>
          <w:p>
            <w:pPr>
              <w:pStyle w:val="TableParagraph"/>
              <w:spacing w:before="16"/>
              <w:ind w:left="132" w:right="54"/>
              <w:jc w:val="center"/>
              <w:rPr>
                <w:rFonts w:ascii="Times New Roman"/>
                <w:sz w:val="13"/>
              </w:rPr>
            </w:pPr>
            <w:r>
              <w:rPr>
                <w:rFonts w:ascii="Times New Roman"/>
                <w:sz w:val="13"/>
              </w:rPr>
              <w:t>7100-7299, 7400-7499</w:t>
            </w:r>
          </w:p>
        </w:tc>
        <w:tc>
          <w:tcPr>
            <w:tcW w:w="1147" w:type="dxa"/>
          </w:tcPr>
          <w:p>
            <w:pPr>
              <w:pStyle w:val="TableParagraph"/>
              <w:spacing w:before="16"/>
              <w:ind w:right="72"/>
              <w:jc w:val="right"/>
              <w:rPr>
                <w:rFonts w:ascii="Times New Roman"/>
                <w:sz w:val="13"/>
              </w:rPr>
            </w:pPr>
            <w:r>
              <w:rPr>
                <w:rFonts w:ascii="Times New Roman"/>
                <w:sz w:val="13"/>
              </w:rPr>
              <w:t>0.00</w:t>
            </w:r>
          </w:p>
        </w:tc>
        <w:tc>
          <w:tcPr>
            <w:tcW w:w="1116" w:type="dxa"/>
          </w:tcPr>
          <w:p>
            <w:pPr>
              <w:pStyle w:val="TableParagraph"/>
              <w:spacing w:before="16"/>
              <w:ind w:right="28"/>
              <w:jc w:val="right"/>
              <w:rPr>
                <w:rFonts w:ascii="Times New Roman"/>
                <w:sz w:val="13"/>
              </w:rPr>
            </w:pPr>
            <w:r>
              <w:rPr>
                <w:rFonts w:ascii="Times New Roman"/>
                <w:sz w:val="13"/>
              </w:rPr>
              <w:t>0.00%</w:t>
            </w:r>
          </w:p>
        </w:tc>
        <w:tc>
          <w:tcPr>
            <w:tcW w:w="1116" w:type="dxa"/>
          </w:tcPr>
          <w:p>
            <w:pPr>
              <w:pStyle w:val="TableParagraph"/>
              <w:spacing w:before="16"/>
              <w:ind w:right="72"/>
              <w:jc w:val="right"/>
              <w:rPr>
                <w:rFonts w:ascii="Times New Roman"/>
                <w:sz w:val="13"/>
              </w:rPr>
            </w:pPr>
            <w:r>
              <w:rPr>
                <w:rFonts w:ascii="Times New Roman"/>
                <w:sz w:val="13"/>
              </w:rPr>
              <w:t>0.00</w:t>
            </w:r>
          </w:p>
        </w:tc>
        <w:tc>
          <w:tcPr>
            <w:tcW w:w="1116" w:type="dxa"/>
          </w:tcPr>
          <w:p>
            <w:pPr>
              <w:pStyle w:val="TableParagraph"/>
              <w:spacing w:before="16"/>
              <w:ind w:right="28"/>
              <w:jc w:val="right"/>
              <w:rPr>
                <w:rFonts w:ascii="Times New Roman"/>
                <w:sz w:val="13"/>
              </w:rPr>
            </w:pPr>
            <w:r>
              <w:rPr>
                <w:rFonts w:ascii="Times New Roman"/>
                <w:sz w:val="13"/>
              </w:rPr>
              <w:t>0.00%</w:t>
            </w:r>
          </w:p>
        </w:tc>
        <w:tc>
          <w:tcPr>
            <w:tcW w:w="1074" w:type="dxa"/>
          </w:tcPr>
          <w:p>
            <w:pPr>
              <w:pStyle w:val="TableParagraph"/>
              <w:spacing w:before="16"/>
              <w:ind w:right="30"/>
              <w:jc w:val="right"/>
              <w:rPr>
                <w:rFonts w:ascii="Times New Roman"/>
                <w:sz w:val="13"/>
              </w:rPr>
            </w:pPr>
            <w:r>
              <w:rPr>
                <w:rFonts w:ascii="Times New Roman"/>
                <w:sz w:val="13"/>
              </w:rPr>
              <w:t>0.00</w:t>
            </w:r>
          </w:p>
        </w:tc>
      </w:tr>
      <w:tr>
        <w:trPr>
          <w:trHeight w:val="177" w:hRule="atLeast"/>
        </w:trPr>
        <w:tc>
          <w:tcPr>
            <w:tcW w:w="3784" w:type="dxa"/>
          </w:tcPr>
          <w:p>
            <w:pPr>
              <w:pStyle w:val="TableParagraph"/>
              <w:spacing w:line="141" w:lineRule="exact" w:before="16"/>
              <w:ind w:left="100"/>
              <w:rPr>
                <w:rFonts w:ascii="Times New Roman"/>
                <w:sz w:val="13"/>
              </w:rPr>
            </w:pPr>
            <w:r>
              <w:rPr>
                <w:rFonts w:ascii="Times New Roman"/>
                <w:sz w:val="13"/>
              </w:rPr>
              <w:t>8. Other Outgo - Transfers of Indirect Costs</w:t>
            </w:r>
          </w:p>
        </w:tc>
        <w:tc>
          <w:tcPr>
            <w:tcW w:w="1418" w:type="dxa"/>
          </w:tcPr>
          <w:p>
            <w:pPr>
              <w:pStyle w:val="TableParagraph"/>
              <w:spacing w:line="141" w:lineRule="exact" w:before="16"/>
              <w:ind w:left="131" w:right="54"/>
              <w:jc w:val="center"/>
              <w:rPr>
                <w:rFonts w:ascii="Times New Roman"/>
                <w:sz w:val="13"/>
              </w:rPr>
            </w:pPr>
            <w:r>
              <w:rPr>
                <w:rFonts w:ascii="Times New Roman"/>
                <w:sz w:val="13"/>
              </w:rPr>
              <w:t>7300-7399</w:t>
            </w:r>
          </w:p>
        </w:tc>
        <w:tc>
          <w:tcPr>
            <w:tcW w:w="1147" w:type="dxa"/>
          </w:tcPr>
          <w:p>
            <w:pPr>
              <w:pStyle w:val="TableParagraph"/>
              <w:spacing w:line="141" w:lineRule="exact" w:before="16"/>
              <w:ind w:right="72"/>
              <w:jc w:val="right"/>
              <w:rPr>
                <w:rFonts w:ascii="Times New Roman"/>
                <w:sz w:val="13"/>
              </w:rPr>
            </w:pPr>
            <w:r>
              <w:rPr>
                <w:rFonts w:ascii="Times New Roman"/>
                <w:sz w:val="13"/>
              </w:rPr>
              <w:t>0.00</w:t>
            </w:r>
          </w:p>
        </w:tc>
        <w:tc>
          <w:tcPr>
            <w:tcW w:w="1116" w:type="dxa"/>
          </w:tcPr>
          <w:p>
            <w:pPr>
              <w:pStyle w:val="TableParagraph"/>
              <w:spacing w:line="141" w:lineRule="exact" w:before="16"/>
              <w:ind w:right="28"/>
              <w:jc w:val="right"/>
              <w:rPr>
                <w:rFonts w:ascii="Times New Roman"/>
                <w:sz w:val="13"/>
              </w:rPr>
            </w:pPr>
            <w:r>
              <w:rPr>
                <w:rFonts w:ascii="Times New Roman"/>
                <w:sz w:val="13"/>
              </w:rPr>
              <w:t>0.00%</w:t>
            </w:r>
          </w:p>
        </w:tc>
        <w:tc>
          <w:tcPr>
            <w:tcW w:w="1116" w:type="dxa"/>
          </w:tcPr>
          <w:p>
            <w:pPr>
              <w:pStyle w:val="TableParagraph"/>
              <w:spacing w:line="141" w:lineRule="exact" w:before="16"/>
              <w:ind w:right="72"/>
              <w:jc w:val="right"/>
              <w:rPr>
                <w:rFonts w:ascii="Times New Roman"/>
                <w:sz w:val="13"/>
              </w:rPr>
            </w:pPr>
            <w:r>
              <w:rPr>
                <w:rFonts w:ascii="Times New Roman"/>
                <w:sz w:val="13"/>
              </w:rPr>
              <w:t>0.00</w:t>
            </w:r>
          </w:p>
        </w:tc>
        <w:tc>
          <w:tcPr>
            <w:tcW w:w="1116" w:type="dxa"/>
          </w:tcPr>
          <w:p>
            <w:pPr>
              <w:pStyle w:val="TableParagraph"/>
              <w:spacing w:line="141" w:lineRule="exact" w:before="16"/>
              <w:ind w:right="28"/>
              <w:jc w:val="right"/>
              <w:rPr>
                <w:rFonts w:ascii="Times New Roman"/>
                <w:sz w:val="13"/>
              </w:rPr>
            </w:pPr>
            <w:r>
              <w:rPr>
                <w:rFonts w:ascii="Times New Roman"/>
                <w:sz w:val="13"/>
              </w:rPr>
              <w:t>0.00%</w:t>
            </w:r>
          </w:p>
        </w:tc>
        <w:tc>
          <w:tcPr>
            <w:tcW w:w="1074" w:type="dxa"/>
          </w:tcPr>
          <w:p>
            <w:pPr>
              <w:pStyle w:val="TableParagraph"/>
              <w:spacing w:line="141" w:lineRule="exact" w:before="16"/>
              <w:ind w:right="30"/>
              <w:jc w:val="right"/>
              <w:rPr>
                <w:rFonts w:ascii="Times New Roman"/>
                <w:sz w:val="13"/>
              </w:rPr>
            </w:pPr>
            <w:r>
              <w:rPr>
                <w:rFonts w:ascii="Times New Roman"/>
                <w:sz w:val="13"/>
              </w:rPr>
              <w:t>0.00</w:t>
            </w:r>
          </w:p>
        </w:tc>
      </w:tr>
      <w:tr>
        <w:trPr>
          <w:trHeight w:val="345" w:hRule="atLeast"/>
        </w:trPr>
        <w:tc>
          <w:tcPr>
            <w:tcW w:w="3784" w:type="dxa"/>
          </w:tcPr>
          <w:p>
            <w:pPr>
              <w:pStyle w:val="TableParagraph"/>
              <w:numPr>
                <w:ilvl w:val="0"/>
                <w:numId w:val="57"/>
              </w:numPr>
              <w:tabs>
                <w:tab w:pos="268" w:val="left" w:leader="none"/>
              </w:tabs>
              <w:spacing w:line="240" w:lineRule="auto" w:before="7" w:after="0"/>
              <w:ind w:left="267" w:right="0" w:hanging="168"/>
              <w:jc w:val="left"/>
              <w:rPr>
                <w:rFonts w:ascii="Times New Roman"/>
                <w:sz w:val="13"/>
              </w:rPr>
            </w:pPr>
            <w:r>
              <w:rPr>
                <w:rFonts w:ascii="Times New Roman"/>
                <w:sz w:val="13"/>
              </w:rPr>
              <w:t>Other Financing</w:t>
            </w:r>
            <w:r>
              <w:rPr>
                <w:rFonts w:ascii="Times New Roman"/>
                <w:spacing w:val="-2"/>
                <w:sz w:val="13"/>
              </w:rPr>
              <w:t> </w:t>
            </w:r>
            <w:r>
              <w:rPr>
                <w:rFonts w:ascii="Times New Roman"/>
                <w:sz w:val="13"/>
              </w:rPr>
              <w:t>Uses</w:t>
            </w:r>
          </w:p>
          <w:p>
            <w:pPr>
              <w:pStyle w:val="TableParagraph"/>
              <w:numPr>
                <w:ilvl w:val="1"/>
                <w:numId w:val="57"/>
              </w:numPr>
              <w:tabs>
                <w:tab w:pos="359" w:val="left" w:leader="none"/>
              </w:tabs>
              <w:spacing w:line="240" w:lineRule="auto" w:before="18" w:after="0"/>
              <w:ind w:left="358" w:right="0" w:hanging="159"/>
              <w:jc w:val="left"/>
              <w:rPr>
                <w:rFonts w:ascii="Times New Roman"/>
                <w:sz w:val="13"/>
              </w:rPr>
            </w:pPr>
            <w:r>
              <w:rPr>
                <w:rFonts w:ascii="Times New Roman"/>
                <w:sz w:val="13"/>
              </w:rPr>
              <w:t>Transfers Out</w:t>
            </w:r>
          </w:p>
        </w:tc>
        <w:tc>
          <w:tcPr>
            <w:tcW w:w="1418" w:type="dxa"/>
          </w:tcPr>
          <w:p>
            <w:pPr>
              <w:pStyle w:val="TableParagraph"/>
              <w:spacing w:before="2"/>
              <w:rPr>
                <w:rFonts w:ascii="Times New Roman"/>
                <w:sz w:val="15"/>
              </w:rPr>
            </w:pPr>
          </w:p>
          <w:p>
            <w:pPr>
              <w:pStyle w:val="TableParagraph"/>
              <w:ind w:left="131" w:right="54"/>
              <w:jc w:val="center"/>
              <w:rPr>
                <w:rFonts w:ascii="Times New Roman"/>
                <w:sz w:val="13"/>
              </w:rPr>
            </w:pPr>
            <w:r>
              <w:rPr>
                <w:rFonts w:ascii="Times New Roman"/>
                <w:sz w:val="13"/>
              </w:rPr>
              <w:t>7600-7629</w:t>
            </w:r>
          </w:p>
        </w:tc>
        <w:tc>
          <w:tcPr>
            <w:tcW w:w="1147" w:type="dxa"/>
          </w:tcPr>
          <w:p>
            <w:pPr>
              <w:pStyle w:val="TableParagraph"/>
              <w:spacing w:before="2"/>
              <w:rPr>
                <w:rFonts w:ascii="Times New Roman"/>
                <w:sz w:val="15"/>
              </w:rPr>
            </w:pPr>
          </w:p>
          <w:p>
            <w:pPr>
              <w:pStyle w:val="TableParagraph"/>
              <w:ind w:right="72"/>
              <w:jc w:val="right"/>
              <w:rPr>
                <w:rFonts w:ascii="Times New Roman"/>
                <w:sz w:val="13"/>
              </w:rPr>
            </w:pPr>
            <w:r>
              <w:rPr>
                <w:rFonts w:ascii="Times New Roman"/>
                <w:sz w:val="13"/>
              </w:rPr>
              <w:t>0.00</w:t>
            </w:r>
          </w:p>
        </w:tc>
        <w:tc>
          <w:tcPr>
            <w:tcW w:w="1116" w:type="dxa"/>
          </w:tcPr>
          <w:p>
            <w:pPr>
              <w:pStyle w:val="TableParagraph"/>
              <w:spacing w:before="2"/>
              <w:rPr>
                <w:rFonts w:ascii="Times New Roman"/>
                <w:sz w:val="15"/>
              </w:rPr>
            </w:pPr>
          </w:p>
          <w:p>
            <w:pPr>
              <w:pStyle w:val="TableParagraph"/>
              <w:ind w:right="28"/>
              <w:jc w:val="right"/>
              <w:rPr>
                <w:rFonts w:ascii="Times New Roman"/>
                <w:sz w:val="13"/>
              </w:rPr>
            </w:pPr>
            <w:r>
              <w:rPr>
                <w:rFonts w:ascii="Times New Roman"/>
                <w:sz w:val="13"/>
              </w:rPr>
              <w:t>0.00%</w:t>
            </w:r>
          </w:p>
        </w:tc>
        <w:tc>
          <w:tcPr>
            <w:tcW w:w="1116" w:type="dxa"/>
          </w:tcPr>
          <w:p>
            <w:pPr>
              <w:pStyle w:val="TableParagraph"/>
              <w:spacing w:before="2"/>
              <w:rPr>
                <w:rFonts w:ascii="Times New Roman"/>
                <w:sz w:val="15"/>
              </w:rPr>
            </w:pPr>
          </w:p>
          <w:p>
            <w:pPr>
              <w:pStyle w:val="TableParagraph"/>
              <w:ind w:right="72"/>
              <w:jc w:val="right"/>
              <w:rPr>
                <w:rFonts w:ascii="Times New Roman"/>
                <w:sz w:val="13"/>
              </w:rPr>
            </w:pPr>
            <w:r>
              <w:rPr>
                <w:rFonts w:ascii="Times New Roman"/>
                <w:sz w:val="13"/>
              </w:rPr>
              <w:t>0.00</w:t>
            </w:r>
          </w:p>
        </w:tc>
        <w:tc>
          <w:tcPr>
            <w:tcW w:w="1116" w:type="dxa"/>
          </w:tcPr>
          <w:p>
            <w:pPr>
              <w:pStyle w:val="TableParagraph"/>
              <w:spacing w:before="2"/>
              <w:rPr>
                <w:rFonts w:ascii="Times New Roman"/>
                <w:sz w:val="15"/>
              </w:rPr>
            </w:pPr>
          </w:p>
          <w:p>
            <w:pPr>
              <w:pStyle w:val="TableParagraph"/>
              <w:ind w:right="28"/>
              <w:jc w:val="right"/>
              <w:rPr>
                <w:rFonts w:ascii="Times New Roman"/>
                <w:sz w:val="13"/>
              </w:rPr>
            </w:pPr>
            <w:r>
              <w:rPr>
                <w:rFonts w:ascii="Times New Roman"/>
                <w:sz w:val="13"/>
              </w:rPr>
              <w:t>0.00%</w:t>
            </w:r>
          </w:p>
        </w:tc>
        <w:tc>
          <w:tcPr>
            <w:tcW w:w="1074" w:type="dxa"/>
          </w:tcPr>
          <w:p>
            <w:pPr>
              <w:pStyle w:val="TableParagraph"/>
              <w:spacing w:before="2"/>
              <w:rPr>
                <w:rFonts w:ascii="Times New Roman"/>
                <w:sz w:val="15"/>
              </w:rPr>
            </w:pPr>
          </w:p>
          <w:p>
            <w:pPr>
              <w:pStyle w:val="TableParagraph"/>
              <w:ind w:right="30"/>
              <w:jc w:val="right"/>
              <w:rPr>
                <w:rFonts w:ascii="Times New Roman"/>
                <w:sz w:val="13"/>
              </w:rPr>
            </w:pPr>
            <w:r>
              <w:rPr>
                <w:rFonts w:ascii="Times New Roman"/>
                <w:sz w:val="13"/>
              </w:rPr>
              <w:t>0.00</w:t>
            </w:r>
          </w:p>
        </w:tc>
      </w:tr>
      <w:tr>
        <w:trPr>
          <w:trHeight w:val="171" w:hRule="atLeast"/>
        </w:trPr>
        <w:tc>
          <w:tcPr>
            <w:tcW w:w="3784" w:type="dxa"/>
          </w:tcPr>
          <w:p>
            <w:pPr>
              <w:pStyle w:val="TableParagraph"/>
              <w:spacing w:line="135" w:lineRule="exact" w:before="16"/>
              <w:ind w:left="200"/>
              <w:rPr>
                <w:rFonts w:ascii="Times New Roman"/>
                <w:sz w:val="13"/>
              </w:rPr>
            </w:pPr>
            <w:r>
              <w:rPr>
                <w:rFonts w:ascii="Times New Roman"/>
                <w:sz w:val="13"/>
              </w:rPr>
              <w:t>b. Other Uses</w:t>
            </w:r>
          </w:p>
        </w:tc>
        <w:tc>
          <w:tcPr>
            <w:tcW w:w="1418" w:type="dxa"/>
          </w:tcPr>
          <w:p>
            <w:pPr>
              <w:pStyle w:val="TableParagraph"/>
              <w:spacing w:line="135" w:lineRule="exact" w:before="16"/>
              <w:ind w:left="131" w:right="54"/>
              <w:jc w:val="center"/>
              <w:rPr>
                <w:rFonts w:ascii="Times New Roman"/>
                <w:sz w:val="13"/>
              </w:rPr>
            </w:pPr>
            <w:r>
              <w:rPr>
                <w:rFonts w:ascii="Times New Roman"/>
                <w:sz w:val="13"/>
              </w:rPr>
              <w:t>7630-7699</w:t>
            </w:r>
          </w:p>
        </w:tc>
        <w:tc>
          <w:tcPr>
            <w:tcW w:w="1147" w:type="dxa"/>
          </w:tcPr>
          <w:p>
            <w:pPr>
              <w:pStyle w:val="TableParagraph"/>
              <w:spacing w:line="135" w:lineRule="exact" w:before="16"/>
              <w:ind w:right="72"/>
              <w:jc w:val="right"/>
              <w:rPr>
                <w:rFonts w:ascii="Times New Roman"/>
                <w:sz w:val="13"/>
              </w:rPr>
            </w:pPr>
            <w:r>
              <w:rPr>
                <w:rFonts w:ascii="Times New Roman"/>
                <w:sz w:val="13"/>
              </w:rPr>
              <w:t>0.00</w:t>
            </w:r>
          </w:p>
        </w:tc>
        <w:tc>
          <w:tcPr>
            <w:tcW w:w="1116" w:type="dxa"/>
          </w:tcPr>
          <w:p>
            <w:pPr>
              <w:pStyle w:val="TableParagraph"/>
              <w:spacing w:line="135" w:lineRule="exact" w:before="16"/>
              <w:ind w:right="28"/>
              <w:jc w:val="right"/>
              <w:rPr>
                <w:rFonts w:ascii="Times New Roman"/>
                <w:sz w:val="13"/>
              </w:rPr>
            </w:pPr>
            <w:r>
              <w:rPr>
                <w:rFonts w:ascii="Times New Roman"/>
                <w:sz w:val="13"/>
              </w:rPr>
              <w:t>0.00%</w:t>
            </w:r>
          </w:p>
        </w:tc>
        <w:tc>
          <w:tcPr>
            <w:tcW w:w="1116" w:type="dxa"/>
          </w:tcPr>
          <w:p>
            <w:pPr>
              <w:pStyle w:val="TableParagraph"/>
              <w:spacing w:line="135" w:lineRule="exact" w:before="16"/>
              <w:ind w:right="72"/>
              <w:jc w:val="right"/>
              <w:rPr>
                <w:rFonts w:ascii="Times New Roman"/>
                <w:sz w:val="13"/>
              </w:rPr>
            </w:pPr>
            <w:r>
              <w:rPr>
                <w:rFonts w:ascii="Times New Roman"/>
                <w:sz w:val="13"/>
              </w:rPr>
              <w:t>0.00</w:t>
            </w:r>
          </w:p>
        </w:tc>
        <w:tc>
          <w:tcPr>
            <w:tcW w:w="1116" w:type="dxa"/>
          </w:tcPr>
          <w:p>
            <w:pPr>
              <w:pStyle w:val="TableParagraph"/>
              <w:spacing w:line="135" w:lineRule="exact" w:before="16"/>
              <w:ind w:right="28"/>
              <w:jc w:val="right"/>
              <w:rPr>
                <w:rFonts w:ascii="Times New Roman"/>
                <w:sz w:val="13"/>
              </w:rPr>
            </w:pPr>
            <w:r>
              <w:rPr>
                <w:rFonts w:ascii="Times New Roman"/>
                <w:sz w:val="13"/>
              </w:rPr>
              <w:t>0.00%</w:t>
            </w:r>
          </w:p>
        </w:tc>
        <w:tc>
          <w:tcPr>
            <w:tcW w:w="1074" w:type="dxa"/>
          </w:tcPr>
          <w:p>
            <w:pPr>
              <w:pStyle w:val="TableParagraph"/>
              <w:spacing w:line="135" w:lineRule="exact" w:before="16"/>
              <w:ind w:right="30"/>
              <w:jc w:val="right"/>
              <w:rPr>
                <w:rFonts w:ascii="Times New Roman"/>
                <w:sz w:val="13"/>
              </w:rPr>
            </w:pPr>
            <w:r>
              <w:rPr>
                <w:rFonts w:ascii="Times New Roman"/>
                <w:sz w:val="13"/>
              </w:rPr>
              <w:t>0.00</w:t>
            </w:r>
          </w:p>
        </w:tc>
      </w:tr>
      <w:tr>
        <w:trPr>
          <w:trHeight w:val="187" w:hRule="atLeast"/>
        </w:trPr>
        <w:tc>
          <w:tcPr>
            <w:tcW w:w="3784" w:type="dxa"/>
          </w:tcPr>
          <w:p>
            <w:pPr>
              <w:pStyle w:val="TableParagraph"/>
              <w:spacing w:line="135" w:lineRule="exact" w:before="32"/>
              <w:ind w:left="32"/>
              <w:rPr>
                <w:rFonts w:ascii="Times New Roman"/>
                <w:sz w:val="13"/>
              </w:rPr>
            </w:pPr>
            <w:r>
              <w:rPr>
                <w:rFonts w:ascii="Times New Roman"/>
                <w:sz w:val="13"/>
              </w:rPr>
              <w:t>10. Other Adjustments</w:t>
            </w:r>
          </w:p>
        </w:tc>
        <w:tc>
          <w:tcPr>
            <w:tcW w:w="1418" w:type="dxa"/>
          </w:tcPr>
          <w:p>
            <w:pPr>
              <w:pStyle w:val="TableParagraph"/>
              <w:rPr>
                <w:rFonts w:ascii="Times New Roman"/>
                <w:sz w:val="12"/>
              </w:rPr>
            </w:pPr>
          </w:p>
        </w:tc>
        <w:tc>
          <w:tcPr>
            <w:tcW w:w="1147" w:type="dxa"/>
            <w:shd w:val="clear" w:color="auto" w:fill="BFBFBF"/>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tcPr>
          <w:p>
            <w:pPr>
              <w:pStyle w:val="TableParagraph"/>
              <w:spacing w:line="135" w:lineRule="exact" w:before="32"/>
              <w:ind w:right="72"/>
              <w:jc w:val="right"/>
              <w:rPr>
                <w:rFonts w:ascii="Times New Roman"/>
                <w:sz w:val="13"/>
              </w:rPr>
            </w:pPr>
            <w:r>
              <w:rPr>
                <w:rFonts w:ascii="Times New Roman"/>
                <w:sz w:val="13"/>
              </w:rPr>
              <w:t>0.00</w:t>
            </w:r>
          </w:p>
        </w:tc>
        <w:tc>
          <w:tcPr>
            <w:tcW w:w="1116" w:type="dxa"/>
            <w:shd w:val="clear" w:color="auto" w:fill="BFBFBF"/>
          </w:tcPr>
          <w:p>
            <w:pPr>
              <w:pStyle w:val="TableParagraph"/>
              <w:rPr>
                <w:rFonts w:ascii="Times New Roman"/>
                <w:sz w:val="12"/>
              </w:rPr>
            </w:pPr>
          </w:p>
        </w:tc>
        <w:tc>
          <w:tcPr>
            <w:tcW w:w="1074" w:type="dxa"/>
          </w:tcPr>
          <w:p>
            <w:pPr>
              <w:pStyle w:val="TableParagraph"/>
              <w:spacing w:line="135" w:lineRule="exact" w:before="32"/>
              <w:ind w:right="30"/>
              <w:jc w:val="right"/>
              <w:rPr>
                <w:rFonts w:ascii="Times New Roman"/>
                <w:sz w:val="13"/>
              </w:rPr>
            </w:pPr>
            <w:r>
              <w:rPr>
                <w:rFonts w:ascii="Times New Roman"/>
                <w:sz w:val="13"/>
              </w:rPr>
              <w:t>0.00</w:t>
            </w:r>
          </w:p>
        </w:tc>
      </w:tr>
      <w:tr>
        <w:trPr>
          <w:trHeight w:val="187" w:hRule="atLeast"/>
        </w:trPr>
        <w:tc>
          <w:tcPr>
            <w:tcW w:w="3784" w:type="dxa"/>
          </w:tcPr>
          <w:p>
            <w:pPr>
              <w:pStyle w:val="TableParagraph"/>
              <w:spacing w:line="135" w:lineRule="exact" w:before="32"/>
              <w:ind w:left="32"/>
              <w:rPr>
                <w:rFonts w:ascii="Times New Roman"/>
                <w:sz w:val="13"/>
              </w:rPr>
            </w:pPr>
            <w:r>
              <w:rPr>
                <w:rFonts w:ascii="Times New Roman"/>
                <w:sz w:val="13"/>
              </w:rPr>
              <w:t>11. Total (Sum lines B1 thru B10)</w:t>
            </w:r>
          </w:p>
        </w:tc>
        <w:tc>
          <w:tcPr>
            <w:tcW w:w="1418" w:type="dxa"/>
          </w:tcPr>
          <w:p>
            <w:pPr>
              <w:pStyle w:val="TableParagraph"/>
              <w:rPr>
                <w:rFonts w:ascii="Times New Roman"/>
                <w:sz w:val="12"/>
              </w:rPr>
            </w:pPr>
          </w:p>
        </w:tc>
        <w:tc>
          <w:tcPr>
            <w:tcW w:w="1147" w:type="dxa"/>
          </w:tcPr>
          <w:p>
            <w:pPr>
              <w:pStyle w:val="TableParagraph"/>
              <w:spacing w:line="135" w:lineRule="exact" w:before="32"/>
              <w:ind w:right="72"/>
              <w:jc w:val="right"/>
              <w:rPr>
                <w:rFonts w:ascii="Times New Roman"/>
                <w:sz w:val="13"/>
              </w:rPr>
            </w:pPr>
            <w:r>
              <w:rPr>
                <w:rFonts w:ascii="Times New Roman"/>
                <w:sz w:val="13"/>
              </w:rPr>
              <w:t>2,117,374.00</w:t>
            </w:r>
          </w:p>
        </w:tc>
        <w:tc>
          <w:tcPr>
            <w:tcW w:w="1116" w:type="dxa"/>
          </w:tcPr>
          <w:p>
            <w:pPr>
              <w:pStyle w:val="TableParagraph"/>
              <w:spacing w:line="135" w:lineRule="exact" w:before="32"/>
              <w:ind w:right="29"/>
              <w:jc w:val="right"/>
              <w:rPr>
                <w:rFonts w:ascii="Times New Roman"/>
                <w:sz w:val="13"/>
              </w:rPr>
            </w:pPr>
            <w:r>
              <w:rPr>
                <w:rFonts w:ascii="Times New Roman"/>
                <w:sz w:val="13"/>
              </w:rPr>
              <w:t>-5.63%</w:t>
            </w:r>
          </w:p>
        </w:tc>
        <w:tc>
          <w:tcPr>
            <w:tcW w:w="1116" w:type="dxa"/>
          </w:tcPr>
          <w:p>
            <w:pPr>
              <w:pStyle w:val="TableParagraph"/>
              <w:spacing w:line="135" w:lineRule="exact" w:before="32"/>
              <w:ind w:right="72"/>
              <w:jc w:val="right"/>
              <w:rPr>
                <w:rFonts w:ascii="Times New Roman"/>
                <w:sz w:val="13"/>
              </w:rPr>
            </w:pPr>
            <w:r>
              <w:rPr>
                <w:rFonts w:ascii="Times New Roman"/>
                <w:sz w:val="13"/>
              </w:rPr>
              <w:t>1,998,163.00</w:t>
            </w:r>
          </w:p>
        </w:tc>
        <w:tc>
          <w:tcPr>
            <w:tcW w:w="1116" w:type="dxa"/>
          </w:tcPr>
          <w:p>
            <w:pPr>
              <w:pStyle w:val="TableParagraph"/>
              <w:spacing w:line="135" w:lineRule="exact" w:before="32"/>
              <w:ind w:right="28"/>
              <w:jc w:val="right"/>
              <w:rPr>
                <w:rFonts w:ascii="Times New Roman"/>
                <w:sz w:val="13"/>
              </w:rPr>
            </w:pPr>
            <w:r>
              <w:rPr>
                <w:rFonts w:ascii="Times New Roman"/>
                <w:sz w:val="13"/>
              </w:rPr>
              <w:t>2.10%</w:t>
            </w:r>
          </w:p>
        </w:tc>
        <w:tc>
          <w:tcPr>
            <w:tcW w:w="1074" w:type="dxa"/>
          </w:tcPr>
          <w:p>
            <w:pPr>
              <w:pStyle w:val="TableParagraph"/>
              <w:spacing w:line="135" w:lineRule="exact" w:before="32"/>
              <w:ind w:right="30"/>
              <w:jc w:val="right"/>
              <w:rPr>
                <w:rFonts w:ascii="Times New Roman"/>
                <w:sz w:val="13"/>
              </w:rPr>
            </w:pPr>
            <w:r>
              <w:rPr>
                <w:rFonts w:ascii="Times New Roman"/>
                <w:sz w:val="13"/>
              </w:rPr>
              <w:t>2,040,087.00</w:t>
            </w:r>
          </w:p>
        </w:tc>
      </w:tr>
      <w:tr>
        <w:trPr>
          <w:trHeight w:val="202" w:hRule="atLeast"/>
        </w:trPr>
        <w:tc>
          <w:tcPr>
            <w:tcW w:w="3784" w:type="dxa"/>
          </w:tcPr>
          <w:p>
            <w:pPr>
              <w:pStyle w:val="TableParagraph"/>
              <w:spacing w:before="32"/>
              <w:ind w:left="32"/>
              <w:rPr>
                <w:rFonts w:ascii="Times New Roman"/>
                <w:sz w:val="13"/>
              </w:rPr>
            </w:pPr>
            <w:r>
              <w:rPr>
                <w:rFonts w:ascii="Times New Roman"/>
                <w:sz w:val="13"/>
              </w:rPr>
              <w:t>C. NET INCREASE (DECREASE) IN FUND BALANCE</w:t>
            </w:r>
          </w:p>
        </w:tc>
        <w:tc>
          <w:tcPr>
            <w:tcW w:w="1418" w:type="dxa"/>
          </w:tcPr>
          <w:p>
            <w:pPr>
              <w:pStyle w:val="TableParagraph"/>
              <w:rPr>
                <w:rFonts w:ascii="Times New Roman"/>
                <w:sz w:val="12"/>
              </w:rPr>
            </w:pPr>
          </w:p>
        </w:tc>
        <w:tc>
          <w:tcPr>
            <w:tcW w:w="1147" w:type="dxa"/>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074" w:type="dxa"/>
          </w:tcPr>
          <w:p>
            <w:pPr>
              <w:pStyle w:val="TableParagraph"/>
              <w:rPr>
                <w:rFonts w:ascii="Times New Roman"/>
                <w:sz w:val="12"/>
              </w:rPr>
            </w:pPr>
          </w:p>
        </w:tc>
      </w:tr>
      <w:tr>
        <w:trPr>
          <w:trHeight w:val="187" w:hRule="atLeast"/>
        </w:trPr>
        <w:tc>
          <w:tcPr>
            <w:tcW w:w="3784" w:type="dxa"/>
          </w:tcPr>
          <w:p>
            <w:pPr>
              <w:pStyle w:val="TableParagraph"/>
              <w:spacing w:before="16"/>
              <w:ind w:left="67"/>
              <w:rPr>
                <w:rFonts w:ascii="Times New Roman"/>
                <w:sz w:val="13"/>
              </w:rPr>
            </w:pPr>
            <w:r>
              <w:rPr>
                <w:rFonts w:ascii="Times New Roman"/>
                <w:sz w:val="13"/>
              </w:rPr>
              <w:t>(Line A6 minus line B11)</w:t>
            </w:r>
          </w:p>
        </w:tc>
        <w:tc>
          <w:tcPr>
            <w:tcW w:w="1418" w:type="dxa"/>
          </w:tcPr>
          <w:p>
            <w:pPr>
              <w:pStyle w:val="TableParagraph"/>
              <w:rPr>
                <w:rFonts w:ascii="Times New Roman"/>
                <w:sz w:val="12"/>
              </w:rPr>
            </w:pPr>
          </w:p>
        </w:tc>
        <w:tc>
          <w:tcPr>
            <w:tcW w:w="1147" w:type="dxa"/>
          </w:tcPr>
          <w:p>
            <w:pPr>
              <w:pStyle w:val="TableParagraph"/>
              <w:spacing w:before="16"/>
              <w:ind w:right="28"/>
              <w:jc w:val="right"/>
              <w:rPr>
                <w:rFonts w:ascii="Times New Roman"/>
                <w:sz w:val="13"/>
              </w:rPr>
            </w:pPr>
            <w:r>
              <w:rPr>
                <w:rFonts w:ascii="Times New Roman"/>
                <w:sz w:val="13"/>
              </w:rPr>
              <w:t>(18,641.00)</w:t>
            </w:r>
          </w:p>
        </w:tc>
        <w:tc>
          <w:tcPr>
            <w:tcW w:w="1116" w:type="dxa"/>
            <w:shd w:val="clear" w:color="auto" w:fill="BFBFBF"/>
          </w:tcPr>
          <w:p>
            <w:pPr>
              <w:pStyle w:val="TableParagraph"/>
              <w:rPr>
                <w:rFonts w:ascii="Times New Roman"/>
                <w:sz w:val="12"/>
              </w:rPr>
            </w:pPr>
          </w:p>
        </w:tc>
        <w:tc>
          <w:tcPr>
            <w:tcW w:w="1116" w:type="dxa"/>
          </w:tcPr>
          <w:p>
            <w:pPr>
              <w:pStyle w:val="TableParagraph"/>
              <w:spacing w:before="16"/>
              <w:ind w:right="73"/>
              <w:jc w:val="right"/>
              <w:rPr>
                <w:rFonts w:ascii="Times New Roman"/>
                <w:sz w:val="13"/>
              </w:rPr>
            </w:pPr>
            <w:r>
              <w:rPr>
                <w:rFonts w:ascii="Times New Roman"/>
                <w:sz w:val="13"/>
              </w:rPr>
              <w:t>8,764.00</w:t>
            </w:r>
          </w:p>
        </w:tc>
        <w:tc>
          <w:tcPr>
            <w:tcW w:w="1116" w:type="dxa"/>
            <w:shd w:val="clear" w:color="auto" w:fill="BFBFBF"/>
          </w:tcPr>
          <w:p>
            <w:pPr>
              <w:pStyle w:val="TableParagraph"/>
              <w:rPr>
                <w:rFonts w:ascii="Times New Roman"/>
                <w:sz w:val="12"/>
              </w:rPr>
            </w:pPr>
          </w:p>
        </w:tc>
        <w:tc>
          <w:tcPr>
            <w:tcW w:w="1074" w:type="dxa"/>
          </w:tcPr>
          <w:p>
            <w:pPr>
              <w:pStyle w:val="TableParagraph"/>
              <w:spacing w:before="16"/>
              <w:ind w:right="31"/>
              <w:jc w:val="right"/>
              <w:rPr>
                <w:rFonts w:ascii="Times New Roman"/>
                <w:sz w:val="13"/>
              </w:rPr>
            </w:pPr>
            <w:r>
              <w:rPr>
                <w:rFonts w:ascii="Times New Roman"/>
                <w:sz w:val="13"/>
              </w:rPr>
              <w:t>9,225.00</w:t>
            </w:r>
          </w:p>
        </w:tc>
      </w:tr>
      <w:tr>
        <w:trPr>
          <w:trHeight w:val="187" w:hRule="atLeast"/>
        </w:trPr>
        <w:tc>
          <w:tcPr>
            <w:tcW w:w="3784" w:type="dxa"/>
          </w:tcPr>
          <w:p>
            <w:pPr>
              <w:pStyle w:val="TableParagraph"/>
              <w:spacing w:before="16"/>
              <w:ind w:left="32"/>
              <w:rPr>
                <w:rFonts w:ascii="Times New Roman"/>
                <w:sz w:val="13"/>
              </w:rPr>
            </w:pPr>
            <w:r>
              <w:rPr>
                <w:rFonts w:ascii="Times New Roman"/>
                <w:sz w:val="13"/>
              </w:rPr>
              <w:t>D. FUND BALANCE</w:t>
            </w:r>
          </w:p>
        </w:tc>
        <w:tc>
          <w:tcPr>
            <w:tcW w:w="1418" w:type="dxa"/>
          </w:tcPr>
          <w:p>
            <w:pPr>
              <w:pStyle w:val="TableParagraph"/>
              <w:rPr>
                <w:rFonts w:ascii="Times New Roman"/>
                <w:sz w:val="12"/>
              </w:rPr>
            </w:pPr>
          </w:p>
        </w:tc>
        <w:tc>
          <w:tcPr>
            <w:tcW w:w="1147" w:type="dxa"/>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116" w:type="dxa"/>
          </w:tcPr>
          <w:p>
            <w:pPr>
              <w:pStyle w:val="TableParagraph"/>
              <w:rPr>
                <w:rFonts w:ascii="Times New Roman"/>
                <w:sz w:val="12"/>
              </w:rPr>
            </w:pPr>
          </w:p>
        </w:tc>
        <w:tc>
          <w:tcPr>
            <w:tcW w:w="1116" w:type="dxa"/>
            <w:shd w:val="clear" w:color="auto" w:fill="BFBFBF"/>
          </w:tcPr>
          <w:p>
            <w:pPr>
              <w:pStyle w:val="TableParagraph"/>
              <w:rPr>
                <w:rFonts w:ascii="Times New Roman"/>
                <w:sz w:val="12"/>
              </w:rPr>
            </w:pPr>
          </w:p>
        </w:tc>
        <w:tc>
          <w:tcPr>
            <w:tcW w:w="1074" w:type="dxa"/>
          </w:tcPr>
          <w:p>
            <w:pPr>
              <w:pStyle w:val="TableParagraph"/>
              <w:rPr>
                <w:rFonts w:ascii="Times New Roman"/>
                <w:sz w:val="12"/>
              </w:rPr>
            </w:pPr>
          </w:p>
        </w:tc>
      </w:tr>
      <w:tr>
        <w:trPr>
          <w:trHeight w:val="177" w:hRule="atLeast"/>
        </w:trPr>
        <w:tc>
          <w:tcPr>
            <w:tcW w:w="3784" w:type="dxa"/>
          </w:tcPr>
          <w:p>
            <w:pPr>
              <w:pStyle w:val="TableParagraph"/>
              <w:spacing w:line="141" w:lineRule="exact" w:before="16"/>
              <w:ind w:left="100"/>
              <w:rPr>
                <w:rFonts w:ascii="Times New Roman"/>
                <w:sz w:val="13"/>
              </w:rPr>
            </w:pPr>
            <w:r>
              <w:rPr>
                <w:rFonts w:ascii="Times New Roman"/>
                <w:sz w:val="13"/>
              </w:rPr>
              <w:t>1. Net Beginning Fund Balance (Form 01, line F1e)</w:t>
            </w:r>
          </w:p>
        </w:tc>
        <w:tc>
          <w:tcPr>
            <w:tcW w:w="1418" w:type="dxa"/>
          </w:tcPr>
          <w:p>
            <w:pPr>
              <w:pStyle w:val="TableParagraph"/>
              <w:rPr>
                <w:rFonts w:ascii="Times New Roman"/>
                <w:sz w:val="10"/>
              </w:rPr>
            </w:pPr>
          </w:p>
        </w:tc>
        <w:tc>
          <w:tcPr>
            <w:tcW w:w="1147" w:type="dxa"/>
          </w:tcPr>
          <w:p>
            <w:pPr>
              <w:pStyle w:val="TableParagraph"/>
              <w:spacing w:line="141" w:lineRule="exact" w:before="16"/>
              <w:ind w:right="72"/>
              <w:jc w:val="right"/>
              <w:rPr>
                <w:rFonts w:ascii="Times New Roman"/>
                <w:sz w:val="13"/>
              </w:rPr>
            </w:pPr>
            <w:r>
              <w:rPr>
                <w:rFonts w:ascii="Times New Roman"/>
                <w:sz w:val="13"/>
              </w:rPr>
              <w:t>2,585,909.00</w:t>
            </w:r>
          </w:p>
        </w:tc>
        <w:tc>
          <w:tcPr>
            <w:tcW w:w="1116" w:type="dxa"/>
            <w:shd w:val="clear" w:color="auto" w:fill="BFBFBF"/>
          </w:tcPr>
          <w:p>
            <w:pPr>
              <w:pStyle w:val="TableParagraph"/>
              <w:rPr>
                <w:rFonts w:ascii="Times New Roman"/>
                <w:sz w:val="10"/>
              </w:rPr>
            </w:pPr>
          </w:p>
        </w:tc>
        <w:tc>
          <w:tcPr>
            <w:tcW w:w="1116" w:type="dxa"/>
          </w:tcPr>
          <w:p>
            <w:pPr>
              <w:pStyle w:val="TableParagraph"/>
              <w:spacing w:line="141" w:lineRule="exact" w:before="16"/>
              <w:ind w:right="72"/>
              <w:jc w:val="right"/>
              <w:rPr>
                <w:rFonts w:ascii="Times New Roman"/>
                <w:sz w:val="13"/>
              </w:rPr>
            </w:pPr>
            <w:r>
              <w:rPr>
                <w:rFonts w:ascii="Times New Roman"/>
                <w:sz w:val="13"/>
              </w:rPr>
              <w:t>2,567,268.00</w:t>
            </w:r>
          </w:p>
        </w:tc>
        <w:tc>
          <w:tcPr>
            <w:tcW w:w="1116" w:type="dxa"/>
            <w:shd w:val="clear" w:color="auto" w:fill="BFBFBF"/>
          </w:tcPr>
          <w:p>
            <w:pPr>
              <w:pStyle w:val="TableParagraph"/>
              <w:rPr>
                <w:rFonts w:ascii="Times New Roman"/>
                <w:sz w:val="10"/>
              </w:rPr>
            </w:pPr>
          </w:p>
        </w:tc>
        <w:tc>
          <w:tcPr>
            <w:tcW w:w="1074" w:type="dxa"/>
          </w:tcPr>
          <w:p>
            <w:pPr>
              <w:pStyle w:val="TableParagraph"/>
              <w:spacing w:line="141" w:lineRule="exact" w:before="16"/>
              <w:ind w:right="30"/>
              <w:jc w:val="right"/>
              <w:rPr>
                <w:rFonts w:ascii="Times New Roman"/>
                <w:sz w:val="13"/>
              </w:rPr>
            </w:pPr>
            <w:r>
              <w:rPr>
                <w:rFonts w:ascii="Times New Roman"/>
                <w:sz w:val="13"/>
              </w:rPr>
              <w:t>2,576,032.00</w:t>
            </w:r>
          </w:p>
        </w:tc>
      </w:tr>
      <w:tr>
        <w:trPr>
          <w:trHeight w:val="345" w:hRule="atLeast"/>
        </w:trPr>
        <w:tc>
          <w:tcPr>
            <w:tcW w:w="3784" w:type="dxa"/>
          </w:tcPr>
          <w:p>
            <w:pPr>
              <w:pStyle w:val="TableParagraph"/>
              <w:numPr>
                <w:ilvl w:val="0"/>
                <w:numId w:val="58"/>
              </w:numPr>
              <w:tabs>
                <w:tab w:pos="268" w:val="left" w:leader="none"/>
              </w:tabs>
              <w:spacing w:line="240" w:lineRule="auto" w:before="7" w:after="0"/>
              <w:ind w:left="267" w:right="0" w:hanging="168"/>
              <w:jc w:val="left"/>
              <w:rPr>
                <w:rFonts w:ascii="Times New Roman"/>
                <w:sz w:val="13"/>
              </w:rPr>
            </w:pPr>
            <w:r>
              <w:rPr>
                <w:rFonts w:ascii="Times New Roman"/>
                <w:sz w:val="13"/>
              </w:rPr>
              <w:t>Ending Fund Balance (Sum lines C and</w:t>
            </w:r>
            <w:r>
              <w:rPr>
                <w:rFonts w:ascii="Times New Roman"/>
                <w:spacing w:val="4"/>
                <w:sz w:val="13"/>
              </w:rPr>
              <w:t> </w:t>
            </w:r>
            <w:r>
              <w:rPr>
                <w:rFonts w:ascii="Times New Roman"/>
                <w:sz w:val="13"/>
              </w:rPr>
              <w:t>D1)</w:t>
            </w:r>
          </w:p>
          <w:p>
            <w:pPr>
              <w:pStyle w:val="TableParagraph"/>
              <w:numPr>
                <w:ilvl w:val="0"/>
                <w:numId w:val="58"/>
              </w:numPr>
              <w:tabs>
                <w:tab w:pos="268" w:val="left" w:leader="none"/>
              </w:tabs>
              <w:spacing w:line="240" w:lineRule="auto" w:before="18" w:after="0"/>
              <w:ind w:left="267" w:right="0" w:hanging="168"/>
              <w:jc w:val="left"/>
              <w:rPr>
                <w:rFonts w:ascii="Times New Roman"/>
                <w:sz w:val="13"/>
              </w:rPr>
            </w:pPr>
            <w:r>
              <w:rPr>
                <w:rFonts w:ascii="Times New Roman"/>
                <w:sz w:val="13"/>
              </w:rPr>
              <w:t>Components of Ending Fund</w:t>
            </w:r>
            <w:r>
              <w:rPr>
                <w:rFonts w:ascii="Times New Roman"/>
                <w:spacing w:val="4"/>
                <w:sz w:val="13"/>
              </w:rPr>
              <w:t> </w:t>
            </w:r>
            <w:r>
              <w:rPr>
                <w:rFonts w:ascii="Times New Roman"/>
                <w:sz w:val="13"/>
              </w:rPr>
              <w:t>Balance</w:t>
            </w:r>
          </w:p>
        </w:tc>
        <w:tc>
          <w:tcPr>
            <w:tcW w:w="1418" w:type="dxa"/>
          </w:tcPr>
          <w:p>
            <w:pPr>
              <w:pStyle w:val="TableParagraph"/>
              <w:rPr>
                <w:rFonts w:ascii="Times New Roman"/>
                <w:sz w:val="12"/>
              </w:rPr>
            </w:pPr>
          </w:p>
        </w:tc>
        <w:tc>
          <w:tcPr>
            <w:tcW w:w="1147" w:type="dxa"/>
          </w:tcPr>
          <w:p>
            <w:pPr>
              <w:pStyle w:val="TableParagraph"/>
              <w:spacing w:before="7"/>
              <w:ind w:right="72"/>
              <w:jc w:val="right"/>
              <w:rPr>
                <w:rFonts w:ascii="Times New Roman"/>
                <w:sz w:val="13"/>
              </w:rPr>
            </w:pPr>
            <w:r>
              <w:rPr>
                <w:rFonts w:ascii="Times New Roman"/>
                <w:sz w:val="13"/>
              </w:rPr>
              <w:t>2,567,268.00</w:t>
            </w:r>
          </w:p>
        </w:tc>
        <w:tc>
          <w:tcPr>
            <w:tcW w:w="1116" w:type="dxa"/>
            <w:shd w:val="clear" w:color="auto" w:fill="BFBFBF"/>
          </w:tcPr>
          <w:p>
            <w:pPr>
              <w:pStyle w:val="TableParagraph"/>
              <w:rPr>
                <w:rFonts w:ascii="Times New Roman"/>
                <w:sz w:val="12"/>
              </w:rPr>
            </w:pPr>
          </w:p>
        </w:tc>
        <w:tc>
          <w:tcPr>
            <w:tcW w:w="1116" w:type="dxa"/>
          </w:tcPr>
          <w:p>
            <w:pPr>
              <w:pStyle w:val="TableParagraph"/>
              <w:spacing w:before="7"/>
              <w:ind w:right="72"/>
              <w:jc w:val="right"/>
              <w:rPr>
                <w:rFonts w:ascii="Times New Roman"/>
                <w:sz w:val="13"/>
              </w:rPr>
            </w:pPr>
            <w:r>
              <w:rPr>
                <w:rFonts w:ascii="Times New Roman"/>
                <w:sz w:val="13"/>
              </w:rPr>
              <w:t>2,576,032.00</w:t>
            </w:r>
          </w:p>
        </w:tc>
        <w:tc>
          <w:tcPr>
            <w:tcW w:w="1116" w:type="dxa"/>
            <w:shd w:val="clear" w:color="auto" w:fill="BFBFBF"/>
          </w:tcPr>
          <w:p>
            <w:pPr>
              <w:pStyle w:val="TableParagraph"/>
              <w:rPr>
                <w:rFonts w:ascii="Times New Roman"/>
                <w:sz w:val="12"/>
              </w:rPr>
            </w:pPr>
          </w:p>
        </w:tc>
        <w:tc>
          <w:tcPr>
            <w:tcW w:w="1074" w:type="dxa"/>
          </w:tcPr>
          <w:p>
            <w:pPr>
              <w:pStyle w:val="TableParagraph"/>
              <w:spacing w:before="7"/>
              <w:ind w:right="30"/>
              <w:jc w:val="right"/>
              <w:rPr>
                <w:rFonts w:ascii="Times New Roman"/>
                <w:sz w:val="13"/>
              </w:rPr>
            </w:pPr>
            <w:r>
              <w:rPr>
                <w:rFonts w:ascii="Times New Roman"/>
                <w:sz w:val="13"/>
              </w:rPr>
              <w:t>2,585,257.00</w:t>
            </w:r>
          </w:p>
        </w:tc>
      </w:tr>
      <w:tr>
        <w:trPr>
          <w:trHeight w:val="177" w:hRule="atLeast"/>
        </w:trPr>
        <w:tc>
          <w:tcPr>
            <w:tcW w:w="3784" w:type="dxa"/>
          </w:tcPr>
          <w:p>
            <w:pPr>
              <w:pStyle w:val="TableParagraph"/>
              <w:spacing w:line="141" w:lineRule="exact" w:before="16"/>
              <w:ind w:left="234"/>
              <w:rPr>
                <w:rFonts w:ascii="Times New Roman"/>
                <w:sz w:val="13"/>
              </w:rPr>
            </w:pPr>
            <w:r>
              <w:rPr>
                <w:rFonts w:ascii="Times New Roman"/>
                <w:sz w:val="13"/>
              </w:rPr>
              <w:t>a. Nonspendable</w:t>
            </w:r>
          </w:p>
        </w:tc>
        <w:tc>
          <w:tcPr>
            <w:tcW w:w="1418" w:type="dxa"/>
          </w:tcPr>
          <w:p>
            <w:pPr>
              <w:pStyle w:val="TableParagraph"/>
              <w:spacing w:line="141" w:lineRule="exact" w:before="16"/>
              <w:ind w:left="131" w:right="54"/>
              <w:jc w:val="center"/>
              <w:rPr>
                <w:rFonts w:ascii="Times New Roman"/>
                <w:sz w:val="13"/>
              </w:rPr>
            </w:pPr>
            <w:r>
              <w:rPr>
                <w:rFonts w:ascii="Times New Roman"/>
                <w:sz w:val="13"/>
              </w:rPr>
              <w:t>9710-9719</w:t>
            </w:r>
          </w:p>
        </w:tc>
        <w:tc>
          <w:tcPr>
            <w:tcW w:w="1147" w:type="dxa"/>
          </w:tcPr>
          <w:p>
            <w:pPr>
              <w:pStyle w:val="TableParagraph"/>
              <w:spacing w:line="141" w:lineRule="exact" w:before="16"/>
              <w:ind w:right="72"/>
              <w:jc w:val="right"/>
              <w:rPr>
                <w:rFonts w:ascii="Times New Roman"/>
                <w:sz w:val="13"/>
              </w:rPr>
            </w:pPr>
            <w:r>
              <w:rPr>
                <w:rFonts w:ascii="Times New Roman"/>
                <w:sz w:val="13"/>
              </w:rPr>
              <w:t>0.00</w:t>
            </w:r>
          </w:p>
        </w:tc>
        <w:tc>
          <w:tcPr>
            <w:tcW w:w="1116" w:type="dxa"/>
            <w:shd w:val="clear" w:color="auto" w:fill="BFBFBF"/>
          </w:tcPr>
          <w:p>
            <w:pPr>
              <w:pStyle w:val="TableParagraph"/>
              <w:rPr>
                <w:rFonts w:ascii="Times New Roman"/>
                <w:sz w:val="10"/>
              </w:rPr>
            </w:pPr>
          </w:p>
        </w:tc>
        <w:tc>
          <w:tcPr>
            <w:tcW w:w="1116" w:type="dxa"/>
          </w:tcPr>
          <w:p>
            <w:pPr>
              <w:pStyle w:val="TableParagraph"/>
              <w:spacing w:line="141" w:lineRule="exact" w:before="16"/>
              <w:ind w:right="72"/>
              <w:jc w:val="right"/>
              <w:rPr>
                <w:rFonts w:ascii="Times New Roman"/>
                <w:sz w:val="13"/>
              </w:rPr>
            </w:pPr>
            <w:r>
              <w:rPr>
                <w:rFonts w:ascii="Times New Roman"/>
                <w:sz w:val="13"/>
              </w:rPr>
              <w:t>0.00</w:t>
            </w:r>
          </w:p>
        </w:tc>
        <w:tc>
          <w:tcPr>
            <w:tcW w:w="1116" w:type="dxa"/>
            <w:shd w:val="clear" w:color="auto" w:fill="BFBFBF"/>
          </w:tcPr>
          <w:p>
            <w:pPr>
              <w:pStyle w:val="TableParagraph"/>
              <w:rPr>
                <w:rFonts w:ascii="Times New Roman"/>
                <w:sz w:val="10"/>
              </w:rPr>
            </w:pPr>
          </w:p>
        </w:tc>
        <w:tc>
          <w:tcPr>
            <w:tcW w:w="1074" w:type="dxa"/>
          </w:tcPr>
          <w:p>
            <w:pPr>
              <w:pStyle w:val="TableParagraph"/>
              <w:spacing w:line="141" w:lineRule="exact" w:before="16"/>
              <w:ind w:right="30"/>
              <w:jc w:val="right"/>
              <w:rPr>
                <w:rFonts w:ascii="Times New Roman"/>
                <w:sz w:val="13"/>
              </w:rPr>
            </w:pPr>
            <w:r>
              <w:rPr>
                <w:rFonts w:ascii="Times New Roman"/>
                <w:sz w:val="13"/>
              </w:rPr>
              <w:t>0.00</w:t>
            </w:r>
          </w:p>
        </w:tc>
      </w:tr>
      <w:tr>
        <w:trPr>
          <w:trHeight w:val="503" w:hRule="atLeast"/>
        </w:trPr>
        <w:tc>
          <w:tcPr>
            <w:tcW w:w="3784" w:type="dxa"/>
          </w:tcPr>
          <w:p>
            <w:pPr>
              <w:pStyle w:val="TableParagraph"/>
              <w:numPr>
                <w:ilvl w:val="0"/>
                <w:numId w:val="59"/>
              </w:numPr>
              <w:tabs>
                <w:tab w:pos="369" w:val="left" w:leader="none"/>
              </w:tabs>
              <w:spacing w:line="240" w:lineRule="auto" w:before="7" w:after="0"/>
              <w:ind w:left="368" w:right="0" w:hanging="135"/>
              <w:jc w:val="left"/>
              <w:rPr>
                <w:rFonts w:ascii="Times New Roman"/>
                <w:sz w:val="13"/>
              </w:rPr>
            </w:pPr>
            <w:r>
              <w:rPr>
                <w:rFonts w:ascii="Times New Roman"/>
                <w:sz w:val="13"/>
              </w:rPr>
              <w:t>Restricted</w:t>
            </w:r>
          </w:p>
          <w:p>
            <w:pPr>
              <w:pStyle w:val="TableParagraph"/>
              <w:numPr>
                <w:ilvl w:val="0"/>
                <w:numId w:val="59"/>
              </w:numPr>
              <w:tabs>
                <w:tab w:pos="359" w:val="left" w:leader="none"/>
              </w:tabs>
              <w:spacing w:line="240" w:lineRule="auto" w:before="18" w:after="0"/>
              <w:ind w:left="358" w:right="0" w:hanging="125"/>
              <w:jc w:val="left"/>
              <w:rPr>
                <w:rFonts w:ascii="Times New Roman"/>
                <w:sz w:val="13"/>
              </w:rPr>
            </w:pPr>
            <w:r>
              <w:rPr>
                <w:rFonts w:ascii="Times New Roman"/>
                <w:sz w:val="13"/>
              </w:rPr>
              <w:t>Committed</w:t>
            </w:r>
          </w:p>
          <w:p>
            <w:pPr>
              <w:pStyle w:val="TableParagraph"/>
              <w:numPr>
                <w:ilvl w:val="1"/>
                <w:numId w:val="59"/>
              </w:numPr>
              <w:tabs>
                <w:tab w:pos="504" w:val="left" w:leader="none"/>
              </w:tabs>
              <w:spacing w:line="141" w:lineRule="exact" w:before="19" w:after="0"/>
              <w:ind w:left="503" w:right="0" w:hanging="136"/>
              <w:jc w:val="left"/>
              <w:rPr>
                <w:rFonts w:ascii="Times New Roman"/>
                <w:sz w:val="13"/>
              </w:rPr>
            </w:pPr>
            <w:r>
              <w:rPr>
                <w:rFonts w:ascii="Times New Roman"/>
                <w:sz w:val="13"/>
              </w:rPr>
              <w:t>Stabilization</w:t>
            </w:r>
            <w:r>
              <w:rPr>
                <w:rFonts w:ascii="Times New Roman"/>
                <w:spacing w:val="-1"/>
                <w:sz w:val="13"/>
              </w:rPr>
              <w:t> </w:t>
            </w:r>
            <w:r>
              <w:rPr>
                <w:rFonts w:ascii="Times New Roman"/>
                <w:sz w:val="13"/>
              </w:rPr>
              <w:t>Arrangements</w:t>
            </w:r>
          </w:p>
        </w:tc>
        <w:tc>
          <w:tcPr>
            <w:tcW w:w="1418" w:type="dxa"/>
          </w:tcPr>
          <w:p>
            <w:pPr>
              <w:pStyle w:val="TableParagraph"/>
              <w:spacing w:before="7"/>
              <w:ind w:left="132" w:right="54"/>
              <w:jc w:val="center"/>
              <w:rPr>
                <w:rFonts w:ascii="Times New Roman"/>
                <w:sz w:val="13"/>
              </w:rPr>
            </w:pPr>
            <w:r>
              <w:rPr>
                <w:rFonts w:ascii="Times New Roman"/>
                <w:sz w:val="13"/>
              </w:rPr>
              <w:t>9740</w:t>
            </w:r>
          </w:p>
          <w:p>
            <w:pPr>
              <w:pStyle w:val="TableParagraph"/>
              <w:spacing w:before="2"/>
              <w:rPr>
                <w:rFonts w:ascii="Times New Roman"/>
                <w:sz w:val="16"/>
              </w:rPr>
            </w:pPr>
          </w:p>
          <w:p>
            <w:pPr>
              <w:pStyle w:val="TableParagraph"/>
              <w:spacing w:line="141" w:lineRule="exact"/>
              <w:ind w:left="132" w:right="54"/>
              <w:jc w:val="center"/>
              <w:rPr>
                <w:rFonts w:ascii="Times New Roman"/>
                <w:sz w:val="13"/>
              </w:rPr>
            </w:pPr>
            <w:r>
              <w:rPr>
                <w:rFonts w:ascii="Times New Roman"/>
                <w:sz w:val="13"/>
              </w:rPr>
              <w:t>9750</w:t>
            </w:r>
          </w:p>
        </w:tc>
        <w:tc>
          <w:tcPr>
            <w:tcW w:w="1147" w:type="dxa"/>
          </w:tcPr>
          <w:p>
            <w:pPr>
              <w:pStyle w:val="TableParagraph"/>
              <w:spacing w:before="7"/>
              <w:ind w:left="535"/>
              <w:rPr>
                <w:rFonts w:ascii="Times New Roman"/>
                <w:sz w:val="13"/>
              </w:rPr>
            </w:pPr>
            <w:r>
              <w:rPr>
                <w:rFonts w:ascii="Times New Roman"/>
                <w:sz w:val="13"/>
              </w:rPr>
              <w:t>25,290.00</w:t>
            </w:r>
          </w:p>
          <w:p>
            <w:pPr>
              <w:pStyle w:val="TableParagraph"/>
              <w:spacing w:before="2"/>
              <w:rPr>
                <w:rFonts w:ascii="Times New Roman"/>
                <w:sz w:val="16"/>
              </w:rPr>
            </w:pPr>
          </w:p>
          <w:p>
            <w:pPr>
              <w:pStyle w:val="TableParagraph"/>
              <w:spacing w:line="141" w:lineRule="exact"/>
              <w:ind w:right="72"/>
              <w:jc w:val="right"/>
              <w:rPr>
                <w:rFonts w:ascii="Times New Roman"/>
                <w:sz w:val="13"/>
              </w:rPr>
            </w:pPr>
            <w:r>
              <w:rPr>
                <w:rFonts w:ascii="Times New Roman"/>
                <w:sz w:val="13"/>
              </w:rPr>
              <w:t>0.00</w:t>
            </w:r>
          </w:p>
        </w:tc>
        <w:tc>
          <w:tcPr>
            <w:tcW w:w="1116" w:type="dxa"/>
            <w:shd w:val="clear" w:color="auto" w:fill="BFBFBF"/>
          </w:tcPr>
          <w:p>
            <w:pPr>
              <w:pStyle w:val="TableParagraph"/>
              <w:rPr>
                <w:rFonts w:ascii="Times New Roman"/>
                <w:sz w:val="12"/>
              </w:rPr>
            </w:pPr>
          </w:p>
        </w:tc>
        <w:tc>
          <w:tcPr>
            <w:tcW w:w="1116" w:type="dxa"/>
          </w:tcPr>
          <w:p>
            <w:pPr>
              <w:pStyle w:val="TableParagraph"/>
              <w:spacing w:before="7"/>
              <w:ind w:left="504"/>
              <w:rPr>
                <w:rFonts w:ascii="Times New Roman"/>
                <w:sz w:val="13"/>
              </w:rPr>
            </w:pPr>
            <w:r>
              <w:rPr>
                <w:rFonts w:ascii="Times New Roman"/>
                <w:sz w:val="13"/>
              </w:rPr>
              <w:t>25,103.00</w:t>
            </w:r>
          </w:p>
          <w:p>
            <w:pPr>
              <w:pStyle w:val="TableParagraph"/>
              <w:spacing w:before="2"/>
              <w:rPr>
                <w:rFonts w:ascii="Times New Roman"/>
                <w:sz w:val="16"/>
              </w:rPr>
            </w:pPr>
          </w:p>
          <w:p>
            <w:pPr>
              <w:pStyle w:val="TableParagraph"/>
              <w:spacing w:line="141" w:lineRule="exact"/>
              <w:ind w:right="72"/>
              <w:jc w:val="right"/>
              <w:rPr>
                <w:rFonts w:ascii="Times New Roman"/>
                <w:sz w:val="13"/>
              </w:rPr>
            </w:pPr>
            <w:r>
              <w:rPr>
                <w:rFonts w:ascii="Times New Roman"/>
                <w:sz w:val="13"/>
              </w:rPr>
              <w:t>0.00</w:t>
            </w:r>
          </w:p>
        </w:tc>
        <w:tc>
          <w:tcPr>
            <w:tcW w:w="1116" w:type="dxa"/>
            <w:shd w:val="clear" w:color="auto" w:fill="BFBFBF"/>
          </w:tcPr>
          <w:p>
            <w:pPr>
              <w:pStyle w:val="TableParagraph"/>
              <w:rPr>
                <w:rFonts w:ascii="Times New Roman"/>
                <w:sz w:val="12"/>
              </w:rPr>
            </w:pPr>
          </w:p>
        </w:tc>
        <w:tc>
          <w:tcPr>
            <w:tcW w:w="1074" w:type="dxa"/>
          </w:tcPr>
          <w:p>
            <w:pPr>
              <w:pStyle w:val="TableParagraph"/>
              <w:spacing w:before="7"/>
              <w:ind w:left="504"/>
              <w:rPr>
                <w:rFonts w:ascii="Times New Roman"/>
                <w:sz w:val="13"/>
              </w:rPr>
            </w:pPr>
            <w:r>
              <w:rPr>
                <w:rFonts w:ascii="Times New Roman"/>
                <w:sz w:val="13"/>
              </w:rPr>
              <w:t>27,384.00</w:t>
            </w:r>
          </w:p>
          <w:p>
            <w:pPr>
              <w:pStyle w:val="TableParagraph"/>
              <w:spacing w:before="2"/>
              <w:rPr>
                <w:rFonts w:ascii="Times New Roman"/>
                <w:sz w:val="16"/>
              </w:rPr>
            </w:pPr>
          </w:p>
          <w:p>
            <w:pPr>
              <w:pStyle w:val="TableParagraph"/>
              <w:spacing w:line="141" w:lineRule="exact"/>
              <w:ind w:right="30"/>
              <w:jc w:val="right"/>
              <w:rPr>
                <w:rFonts w:ascii="Times New Roman"/>
                <w:sz w:val="13"/>
              </w:rPr>
            </w:pPr>
            <w:r>
              <w:rPr>
                <w:rFonts w:ascii="Times New Roman"/>
                <w:sz w:val="13"/>
              </w:rPr>
              <w:t>0.00</w:t>
            </w:r>
          </w:p>
        </w:tc>
      </w:tr>
      <w:tr>
        <w:trPr>
          <w:trHeight w:val="168" w:hRule="atLeast"/>
        </w:trPr>
        <w:tc>
          <w:tcPr>
            <w:tcW w:w="3784" w:type="dxa"/>
          </w:tcPr>
          <w:p>
            <w:pPr>
              <w:pStyle w:val="TableParagraph"/>
              <w:spacing w:line="141" w:lineRule="exact" w:before="7"/>
              <w:ind w:left="368"/>
              <w:rPr>
                <w:rFonts w:ascii="Times New Roman"/>
                <w:sz w:val="13"/>
              </w:rPr>
            </w:pPr>
            <w:r>
              <w:rPr>
                <w:rFonts w:ascii="Times New Roman"/>
                <w:sz w:val="13"/>
              </w:rPr>
              <w:t>2. Other Commitments</w:t>
            </w:r>
          </w:p>
        </w:tc>
        <w:tc>
          <w:tcPr>
            <w:tcW w:w="1418" w:type="dxa"/>
          </w:tcPr>
          <w:p>
            <w:pPr>
              <w:pStyle w:val="TableParagraph"/>
              <w:spacing w:line="141" w:lineRule="exact" w:before="7"/>
              <w:ind w:left="132" w:right="54"/>
              <w:jc w:val="center"/>
              <w:rPr>
                <w:rFonts w:ascii="Times New Roman"/>
                <w:sz w:val="13"/>
              </w:rPr>
            </w:pPr>
            <w:r>
              <w:rPr>
                <w:rFonts w:ascii="Times New Roman"/>
                <w:sz w:val="13"/>
              </w:rPr>
              <w:t>9760</w:t>
            </w:r>
          </w:p>
        </w:tc>
        <w:tc>
          <w:tcPr>
            <w:tcW w:w="1147" w:type="dxa"/>
          </w:tcPr>
          <w:p>
            <w:pPr>
              <w:pStyle w:val="TableParagraph"/>
              <w:spacing w:line="141" w:lineRule="exact" w:before="7"/>
              <w:ind w:right="72"/>
              <w:jc w:val="right"/>
              <w:rPr>
                <w:rFonts w:ascii="Times New Roman"/>
                <w:sz w:val="13"/>
              </w:rPr>
            </w:pPr>
            <w:r>
              <w:rPr>
                <w:rFonts w:ascii="Times New Roman"/>
                <w:sz w:val="13"/>
              </w:rPr>
              <w:t>0.00</w:t>
            </w:r>
          </w:p>
        </w:tc>
        <w:tc>
          <w:tcPr>
            <w:tcW w:w="1116" w:type="dxa"/>
            <w:shd w:val="clear" w:color="auto" w:fill="BFBFBF"/>
          </w:tcPr>
          <w:p>
            <w:pPr>
              <w:pStyle w:val="TableParagraph"/>
              <w:rPr>
                <w:rFonts w:ascii="Times New Roman"/>
                <w:sz w:val="10"/>
              </w:rPr>
            </w:pPr>
          </w:p>
        </w:tc>
        <w:tc>
          <w:tcPr>
            <w:tcW w:w="1116" w:type="dxa"/>
          </w:tcPr>
          <w:p>
            <w:pPr>
              <w:pStyle w:val="TableParagraph"/>
              <w:spacing w:line="141" w:lineRule="exact" w:before="7"/>
              <w:ind w:right="72"/>
              <w:jc w:val="right"/>
              <w:rPr>
                <w:rFonts w:ascii="Times New Roman"/>
                <w:sz w:val="13"/>
              </w:rPr>
            </w:pPr>
            <w:r>
              <w:rPr>
                <w:rFonts w:ascii="Times New Roman"/>
                <w:sz w:val="13"/>
              </w:rPr>
              <w:t>0.00</w:t>
            </w:r>
          </w:p>
        </w:tc>
        <w:tc>
          <w:tcPr>
            <w:tcW w:w="1116" w:type="dxa"/>
            <w:shd w:val="clear" w:color="auto" w:fill="BFBFBF"/>
          </w:tcPr>
          <w:p>
            <w:pPr>
              <w:pStyle w:val="TableParagraph"/>
              <w:rPr>
                <w:rFonts w:ascii="Times New Roman"/>
                <w:sz w:val="10"/>
              </w:rPr>
            </w:pPr>
          </w:p>
        </w:tc>
        <w:tc>
          <w:tcPr>
            <w:tcW w:w="1074" w:type="dxa"/>
          </w:tcPr>
          <w:p>
            <w:pPr>
              <w:pStyle w:val="TableParagraph"/>
              <w:spacing w:line="141" w:lineRule="exact" w:before="7"/>
              <w:ind w:right="30"/>
              <w:jc w:val="right"/>
              <w:rPr>
                <w:rFonts w:ascii="Times New Roman"/>
                <w:sz w:val="13"/>
              </w:rPr>
            </w:pPr>
            <w:r>
              <w:rPr>
                <w:rFonts w:ascii="Times New Roman"/>
                <w:sz w:val="13"/>
              </w:rPr>
              <w:t>0.00</w:t>
            </w:r>
          </w:p>
        </w:tc>
      </w:tr>
      <w:tr>
        <w:trPr>
          <w:trHeight w:val="177" w:hRule="atLeast"/>
        </w:trPr>
        <w:tc>
          <w:tcPr>
            <w:tcW w:w="3784" w:type="dxa"/>
          </w:tcPr>
          <w:p>
            <w:pPr>
              <w:pStyle w:val="TableParagraph"/>
              <w:spacing w:before="7"/>
              <w:ind w:left="234"/>
              <w:rPr>
                <w:rFonts w:ascii="Times New Roman"/>
                <w:sz w:val="13"/>
              </w:rPr>
            </w:pPr>
            <w:r>
              <w:rPr>
                <w:rFonts w:ascii="Times New Roman"/>
                <w:sz w:val="13"/>
              </w:rPr>
              <w:t>d. Assigned</w:t>
            </w:r>
          </w:p>
        </w:tc>
        <w:tc>
          <w:tcPr>
            <w:tcW w:w="1418" w:type="dxa"/>
          </w:tcPr>
          <w:p>
            <w:pPr>
              <w:pStyle w:val="TableParagraph"/>
              <w:spacing w:before="7"/>
              <w:ind w:left="132" w:right="54"/>
              <w:jc w:val="center"/>
              <w:rPr>
                <w:rFonts w:ascii="Times New Roman"/>
                <w:sz w:val="13"/>
              </w:rPr>
            </w:pPr>
            <w:r>
              <w:rPr>
                <w:rFonts w:ascii="Times New Roman"/>
                <w:sz w:val="13"/>
              </w:rPr>
              <w:t>9780</w:t>
            </w:r>
          </w:p>
        </w:tc>
        <w:tc>
          <w:tcPr>
            <w:tcW w:w="1147" w:type="dxa"/>
          </w:tcPr>
          <w:p>
            <w:pPr>
              <w:pStyle w:val="TableParagraph"/>
              <w:spacing w:before="7"/>
              <w:ind w:right="72"/>
              <w:jc w:val="right"/>
              <w:rPr>
                <w:rFonts w:ascii="Times New Roman"/>
                <w:sz w:val="13"/>
              </w:rPr>
            </w:pPr>
            <w:r>
              <w:rPr>
                <w:rFonts w:ascii="Times New Roman"/>
                <w:sz w:val="13"/>
              </w:rPr>
              <w:t>1,020,974.00</w:t>
            </w:r>
          </w:p>
        </w:tc>
        <w:tc>
          <w:tcPr>
            <w:tcW w:w="1116" w:type="dxa"/>
            <w:shd w:val="clear" w:color="auto" w:fill="BFBFBF"/>
          </w:tcPr>
          <w:p>
            <w:pPr>
              <w:pStyle w:val="TableParagraph"/>
              <w:rPr>
                <w:rFonts w:ascii="Times New Roman"/>
                <w:sz w:val="10"/>
              </w:rPr>
            </w:pPr>
          </w:p>
        </w:tc>
        <w:tc>
          <w:tcPr>
            <w:tcW w:w="1116" w:type="dxa"/>
          </w:tcPr>
          <w:p>
            <w:pPr>
              <w:pStyle w:val="TableParagraph"/>
              <w:spacing w:before="7"/>
              <w:ind w:right="72"/>
              <w:jc w:val="right"/>
              <w:rPr>
                <w:rFonts w:ascii="Times New Roman"/>
                <w:sz w:val="13"/>
              </w:rPr>
            </w:pPr>
            <w:r>
              <w:rPr>
                <w:rFonts w:ascii="Times New Roman"/>
                <w:sz w:val="13"/>
              </w:rPr>
              <w:t>1,020,974.00</w:t>
            </w:r>
          </w:p>
        </w:tc>
        <w:tc>
          <w:tcPr>
            <w:tcW w:w="1116" w:type="dxa"/>
            <w:shd w:val="clear" w:color="auto" w:fill="BFBFBF"/>
          </w:tcPr>
          <w:p>
            <w:pPr>
              <w:pStyle w:val="TableParagraph"/>
              <w:rPr>
                <w:rFonts w:ascii="Times New Roman"/>
                <w:sz w:val="10"/>
              </w:rPr>
            </w:pPr>
          </w:p>
        </w:tc>
        <w:tc>
          <w:tcPr>
            <w:tcW w:w="1074" w:type="dxa"/>
          </w:tcPr>
          <w:p>
            <w:pPr>
              <w:pStyle w:val="TableParagraph"/>
              <w:spacing w:before="7"/>
              <w:ind w:right="31"/>
              <w:jc w:val="right"/>
              <w:rPr>
                <w:rFonts w:ascii="Times New Roman"/>
                <w:sz w:val="13"/>
              </w:rPr>
            </w:pPr>
            <w:r>
              <w:rPr>
                <w:rFonts w:ascii="Times New Roman"/>
                <w:sz w:val="13"/>
              </w:rPr>
              <w:t>102,004.37</w:t>
            </w:r>
          </w:p>
        </w:tc>
      </w:tr>
      <w:tr>
        <w:trPr>
          <w:trHeight w:val="345" w:hRule="atLeast"/>
        </w:trPr>
        <w:tc>
          <w:tcPr>
            <w:tcW w:w="3784" w:type="dxa"/>
          </w:tcPr>
          <w:p>
            <w:pPr>
              <w:pStyle w:val="TableParagraph"/>
              <w:spacing w:before="16"/>
              <w:ind w:left="234"/>
              <w:rPr>
                <w:rFonts w:ascii="Times New Roman"/>
                <w:sz w:val="13"/>
              </w:rPr>
            </w:pPr>
            <w:r>
              <w:rPr>
                <w:rFonts w:ascii="Times New Roman"/>
                <w:sz w:val="13"/>
              </w:rPr>
              <w:t>e. Unassigned/Unappropriated</w:t>
            </w:r>
          </w:p>
          <w:p>
            <w:pPr>
              <w:pStyle w:val="TableParagraph"/>
              <w:numPr>
                <w:ilvl w:val="0"/>
                <w:numId w:val="60"/>
              </w:numPr>
              <w:tabs>
                <w:tab w:pos="504" w:val="left" w:leader="none"/>
              </w:tabs>
              <w:spacing w:line="141" w:lineRule="exact" w:before="19" w:after="0"/>
              <w:ind w:left="503" w:right="0" w:hanging="136"/>
              <w:jc w:val="left"/>
              <w:rPr>
                <w:rFonts w:ascii="Times New Roman"/>
                <w:sz w:val="13"/>
              </w:rPr>
            </w:pPr>
            <w:r>
              <w:rPr>
                <w:rFonts w:ascii="Times New Roman"/>
                <w:sz w:val="13"/>
              </w:rPr>
              <w:t>Reserve for Economic Uncertainties</w:t>
            </w:r>
          </w:p>
        </w:tc>
        <w:tc>
          <w:tcPr>
            <w:tcW w:w="1418" w:type="dxa"/>
          </w:tcPr>
          <w:p>
            <w:pPr>
              <w:pStyle w:val="TableParagraph"/>
              <w:rPr>
                <w:rFonts w:ascii="Times New Roman"/>
                <w:sz w:val="16"/>
              </w:rPr>
            </w:pPr>
          </w:p>
          <w:p>
            <w:pPr>
              <w:pStyle w:val="TableParagraph"/>
              <w:spacing w:line="141" w:lineRule="exact"/>
              <w:ind w:left="132" w:right="54"/>
              <w:jc w:val="center"/>
              <w:rPr>
                <w:rFonts w:ascii="Times New Roman"/>
                <w:sz w:val="13"/>
              </w:rPr>
            </w:pPr>
            <w:r>
              <w:rPr>
                <w:rFonts w:ascii="Times New Roman"/>
                <w:sz w:val="13"/>
              </w:rPr>
              <w:t>9789</w:t>
            </w:r>
          </w:p>
        </w:tc>
        <w:tc>
          <w:tcPr>
            <w:tcW w:w="1147" w:type="dxa"/>
          </w:tcPr>
          <w:p>
            <w:pPr>
              <w:pStyle w:val="TableParagraph"/>
              <w:rPr>
                <w:rFonts w:ascii="Times New Roman"/>
                <w:sz w:val="16"/>
              </w:rPr>
            </w:pPr>
          </w:p>
          <w:p>
            <w:pPr>
              <w:pStyle w:val="TableParagraph"/>
              <w:spacing w:line="141" w:lineRule="exact"/>
              <w:ind w:right="73"/>
              <w:jc w:val="right"/>
              <w:rPr>
                <w:rFonts w:ascii="Times New Roman"/>
                <w:sz w:val="13"/>
              </w:rPr>
            </w:pPr>
            <w:r>
              <w:rPr>
                <w:rFonts w:ascii="Times New Roman"/>
                <w:sz w:val="13"/>
              </w:rPr>
              <w:t>105,868.70</w:t>
            </w:r>
          </w:p>
        </w:tc>
        <w:tc>
          <w:tcPr>
            <w:tcW w:w="1116" w:type="dxa"/>
            <w:shd w:val="clear" w:color="auto" w:fill="BFBFBF"/>
          </w:tcPr>
          <w:p>
            <w:pPr>
              <w:pStyle w:val="TableParagraph"/>
              <w:rPr>
                <w:rFonts w:ascii="Times New Roman"/>
                <w:sz w:val="12"/>
              </w:rPr>
            </w:pPr>
          </w:p>
        </w:tc>
        <w:tc>
          <w:tcPr>
            <w:tcW w:w="1116" w:type="dxa"/>
          </w:tcPr>
          <w:p>
            <w:pPr>
              <w:pStyle w:val="TableParagraph"/>
              <w:rPr>
                <w:rFonts w:ascii="Times New Roman"/>
                <w:sz w:val="16"/>
              </w:rPr>
            </w:pPr>
          </w:p>
          <w:p>
            <w:pPr>
              <w:pStyle w:val="TableParagraph"/>
              <w:spacing w:line="141" w:lineRule="exact"/>
              <w:ind w:right="73"/>
              <w:jc w:val="right"/>
              <w:rPr>
                <w:rFonts w:ascii="Times New Roman"/>
                <w:sz w:val="13"/>
              </w:rPr>
            </w:pPr>
            <w:r>
              <w:rPr>
                <w:rFonts w:ascii="Times New Roman"/>
                <w:sz w:val="13"/>
              </w:rPr>
              <w:t>99,908.13</w:t>
            </w:r>
          </w:p>
        </w:tc>
        <w:tc>
          <w:tcPr>
            <w:tcW w:w="1116" w:type="dxa"/>
            <w:shd w:val="clear" w:color="auto" w:fill="BFBFBF"/>
          </w:tcPr>
          <w:p>
            <w:pPr>
              <w:pStyle w:val="TableParagraph"/>
              <w:rPr>
                <w:rFonts w:ascii="Times New Roman"/>
                <w:sz w:val="12"/>
              </w:rPr>
            </w:pPr>
          </w:p>
        </w:tc>
        <w:tc>
          <w:tcPr>
            <w:tcW w:w="1074" w:type="dxa"/>
          </w:tcPr>
          <w:p>
            <w:pPr>
              <w:pStyle w:val="TableParagraph"/>
              <w:rPr>
                <w:rFonts w:ascii="Times New Roman"/>
                <w:sz w:val="16"/>
              </w:rPr>
            </w:pPr>
          </w:p>
          <w:p>
            <w:pPr>
              <w:pStyle w:val="TableParagraph"/>
              <w:spacing w:line="141" w:lineRule="exact"/>
              <w:ind w:right="31"/>
              <w:jc w:val="right"/>
              <w:rPr>
                <w:rFonts w:ascii="Times New Roman"/>
                <w:sz w:val="13"/>
              </w:rPr>
            </w:pPr>
            <w:r>
              <w:rPr>
                <w:rFonts w:ascii="Times New Roman"/>
                <w:sz w:val="13"/>
              </w:rPr>
              <w:t>102,017.65</w:t>
            </w:r>
          </w:p>
        </w:tc>
      </w:tr>
      <w:tr>
        <w:trPr>
          <w:trHeight w:val="345" w:hRule="atLeast"/>
        </w:trPr>
        <w:tc>
          <w:tcPr>
            <w:tcW w:w="3784" w:type="dxa"/>
          </w:tcPr>
          <w:p>
            <w:pPr>
              <w:pStyle w:val="TableParagraph"/>
              <w:spacing w:before="7"/>
              <w:ind w:left="368"/>
              <w:rPr>
                <w:rFonts w:ascii="Times New Roman"/>
                <w:sz w:val="13"/>
              </w:rPr>
            </w:pPr>
            <w:r>
              <w:rPr>
                <w:rFonts w:ascii="Times New Roman"/>
                <w:sz w:val="13"/>
              </w:rPr>
              <w:t>2. Unassigned/Unappropriated</w:t>
            </w:r>
          </w:p>
          <w:p>
            <w:pPr>
              <w:pStyle w:val="TableParagraph"/>
              <w:spacing w:before="18"/>
              <w:ind w:left="234"/>
              <w:rPr>
                <w:rFonts w:ascii="Times New Roman"/>
                <w:sz w:val="13"/>
              </w:rPr>
            </w:pPr>
            <w:r>
              <w:rPr>
                <w:rFonts w:ascii="Times New Roman"/>
                <w:sz w:val="13"/>
              </w:rPr>
              <w:t>f. Total Components of Ending Fund Balance</w:t>
            </w:r>
          </w:p>
        </w:tc>
        <w:tc>
          <w:tcPr>
            <w:tcW w:w="1418" w:type="dxa"/>
          </w:tcPr>
          <w:p>
            <w:pPr>
              <w:pStyle w:val="TableParagraph"/>
              <w:spacing w:before="7"/>
              <w:ind w:left="132" w:right="54"/>
              <w:jc w:val="center"/>
              <w:rPr>
                <w:rFonts w:ascii="Times New Roman"/>
                <w:sz w:val="13"/>
              </w:rPr>
            </w:pPr>
            <w:r>
              <w:rPr>
                <w:rFonts w:ascii="Times New Roman"/>
                <w:sz w:val="13"/>
              </w:rPr>
              <w:t>9790</w:t>
            </w:r>
          </w:p>
        </w:tc>
        <w:tc>
          <w:tcPr>
            <w:tcW w:w="1147" w:type="dxa"/>
          </w:tcPr>
          <w:p>
            <w:pPr>
              <w:pStyle w:val="TableParagraph"/>
              <w:spacing w:before="7"/>
              <w:ind w:right="72"/>
              <w:jc w:val="right"/>
              <w:rPr>
                <w:rFonts w:ascii="Times New Roman"/>
                <w:sz w:val="13"/>
              </w:rPr>
            </w:pPr>
            <w:r>
              <w:rPr>
                <w:rFonts w:ascii="Times New Roman"/>
                <w:sz w:val="13"/>
              </w:rPr>
              <w:t>1,415,135.30</w:t>
            </w:r>
          </w:p>
        </w:tc>
        <w:tc>
          <w:tcPr>
            <w:tcW w:w="1116" w:type="dxa"/>
            <w:shd w:val="clear" w:color="auto" w:fill="BFBFBF"/>
          </w:tcPr>
          <w:p>
            <w:pPr>
              <w:pStyle w:val="TableParagraph"/>
              <w:rPr>
                <w:rFonts w:ascii="Times New Roman"/>
                <w:sz w:val="12"/>
              </w:rPr>
            </w:pPr>
          </w:p>
        </w:tc>
        <w:tc>
          <w:tcPr>
            <w:tcW w:w="1116" w:type="dxa"/>
          </w:tcPr>
          <w:p>
            <w:pPr>
              <w:pStyle w:val="TableParagraph"/>
              <w:spacing w:before="7"/>
              <w:ind w:right="72"/>
              <w:jc w:val="right"/>
              <w:rPr>
                <w:rFonts w:ascii="Times New Roman"/>
                <w:sz w:val="13"/>
              </w:rPr>
            </w:pPr>
            <w:r>
              <w:rPr>
                <w:rFonts w:ascii="Times New Roman"/>
                <w:sz w:val="13"/>
              </w:rPr>
              <w:t>1,430,046.87</w:t>
            </w:r>
          </w:p>
        </w:tc>
        <w:tc>
          <w:tcPr>
            <w:tcW w:w="1116" w:type="dxa"/>
            <w:shd w:val="clear" w:color="auto" w:fill="BFBFBF"/>
          </w:tcPr>
          <w:p>
            <w:pPr>
              <w:pStyle w:val="TableParagraph"/>
              <w:rPr>
                <w:rFonts w:ascii="Times New Roman"/>
                <w:sz w:val="12"/>
              </w:rPr>
            </w:pPr>
          </w:p>
        </w:tc>
        <w:tc>
          <w:tcPr>
            <w:tcW w:w="1074" w:type="dxa"/>
          </w:tcPr>
          <w:p>
            <w:pPr>
              <w:pStyle w:val="TableParagraph"/>
              <w:spacing w:before="7"/>
              <w:ind w:right="30"/>
              <w:jc w:val="right"/>
              <w:rPr>
                <w:rFonts w:ascii="Times New Roman"/>
                <w:sz w:val="13"/>
              </w:rPr>
            </w:pPr>
            <w:r>
              <w:rPr>
                <w:rFonts w:ascii="Times New Roman"/>
                <w:sz w:val="13"/>
              </w:rPr>
              <w:t>2,353,850.98</w:t>
            </w:r>
          </w:p>
        </w:tc>
      </w:tr>
      <w:tr>
        <w:trPr>
          <w:trHeight w:val="171" w:hRule="atLeast"/>
        </w:trPr>
        <w:tc>
          <w:tcPr>
            <w:tcW w:w="3784" w:type="dxa"/>
          </w:tcPr>
          <w:p>
            <w:pPr>
              <w:pStyle w:val="TableParagraph"/>
              <w:spacing w:line="135" w:lineRule="exact" w:before="16"/>
              <w:ind w:left="368"/>
              <w:rPr>
                <w:rFonts w:ascii="Times New Roman"/>
                <w:sz w:val="13"/>
              </w:rPr>
            </w:pPr>
            <w:r>
              <w:rPr>
                <w:rFonts w:ascii="Times New Roman"/>
                <w:sz w:val="13"/>
              </w:rPr>
              <w:t>(Line D3f must agree with line D2)</w:t>
            </w:r>
          </w:p>
        </w:tc>
        <w:tc>
          <w:tcPr>
            <w:tcW w:w="1418" w:type="dxa"/>
          </w:tcPr>
          <w:p>
            <w:pPr>
              <w:pStyle w:val="TableParagraph"/>
              <w:rPr>
                <w:rFonts w:ascii="Times New Roman"/>
                <w:sz w:val="10"/>
              </w:rPr>
            </w:pPr>
          </w:p>
        </w:tc>
        <w:tc>
          <w:tcPr>
            <w:tcW w:w="1147" w:type="dxa"/>
          </w:tcPr>
          <w:p>
            <w:pPr>
              <w:pStyle w:val="TableParagraph"/>
              <w:spacing w:line="135" w:lineRule="exact" w:before="16"/>
              <w:ind w:right="72"/>
              <w:jc w:val="right"/>
              <w:rPr>
                <w:rFonts w:ascii="Times New Roman"/>
                <w:sz w:val="13"/>
              </w:rPr>
            </w:pPr>
            <w:r>
              <w:rPr>
                <w:rFonts w:ascii="Times New Roman"/>
                <w:sz w:val="13"/>
              </w:rPr>
              <w:t>2,567,268.00</w:t>
            </w:r>
          </w:p>
        </w:tc>
        <w:tc>
          <w:tcPr>
            <w:tcW w:w="1116" w:type="dxa"/>
            <w:shd w:val="clear" w:color="auto" w:fill="BFBFBF"/>
          </w:tcPr>
          <w:p>
            <w:pPr>
              <w:pStyle w:val="TableParagraph"/>
              <w:rPr>
                <w:rFonts w:ascii="Times New Roman"/>
                <w:sz w:val="10"/>
              </w:rPr>
            </w:pPr>
          </w:p>
        </w:tc>
        <w:tc>
          <w:tcPr>
            <w:tcW w:w="1116" w:type="dxa"/>
          </w:tcPr>
          <w:p>
            <w:pPr>
              <w:pStyle w:val="TableParagraph"/>
              <w:spacing w:line="135" w:lineRule="exact" w:before="16"/>
              <w:ind w:right="72"/>
              <w:jc w:val="right"/>
              <w:rPr>
                <w:rFonts w:ascii="Times New Roman"/>
                <w:sz w:val="13"/>
              </w:rPr>
            </w:pPr>
            <w:r>
              <w:rPr>
                <w:rFonts w:ascii="Times New Roman"/>
                <w:sz w:val="13"/>
              </w:rPr>
              <w:t>2,576,032.00</w:t>
            </w:r>
          </w:p>
        </w:tc>
        <w:tc>
          <w:tcPr>
            <w:tcW w:w="1116" w:type="dxa"/>
            <w:shd w:val="clear" w:color="auto" w:fill="BFBFBF"/>
          </w:tcPr>
          <w:p>
            <w:pPr>
              <w:pStyle w:val="TableParagraph"/>
              <w:rPr>
                <w:rFonts w:ascii="Times New Roman"/>
                <w:sz w:val="10"/>
              </w:rPr>
            </w:pPr>
          </w:p>
        </w:tc>
        <w:tc>
          <w:tcPr>
            <w:tcW w:w="1074" w:type="dxa"/>
          </w:tcPr>
          <w:p>
            <w:pPr>
              <w:pStyle w:val="TableParagraph"/>
              <w:spacing w:line="135" w:lineRule="exact" w:before="16"/>
              <w:ind w:right="30"/>
              <w:jc w:val="right"/>
              <w:rPr>
                <w:rFonts w:ascii="Times New Roman"/>
                <w:sz w:val="13"/>
              </w:rPr>
            </w:pPr>
            <w:r>
              <w:rPr>
                <w:rFonts w:ascii="Times New Roman"/>
                <w:sz w:val="13"/>
              </w:rPr>
              <w:t>2,585,257.00</w:t>
            </w:r>
          </w:p>
        </w:tc>
      </w:tr>
    </w:tbl>
    <w:p>
      <w:pPr>
        <w:spacing w:after="0" w:line="135" w:lineRule="exact"/>
        <w:jc w:val="right"/>
        <w:rPr>
          <w:rFonts w:ascii="Times New Roman"/>
          <w:sz w:val="13"/>
        </w:rPr>
        <w:sectPr>
          <w:headerReference w:type="default" r:id="rId1276"/>
          <w:footerReference w:type="default" r:id="rId1277"/>
          <w:pgSz w:w="12240" w:h="15840"/>
          <w:pgMar w:header="241" w:footer="488" w:top="840" w:bottom="680" w:left="40" w:right="40"/>
        </w:sectPr>
      </w:pPr>
    </w:p>
    <w:p>
      <w:pPr>
        <w:pStyle w:val="BodyText"/>
        <w:rPr>
          <w:rFonts w:ascii="Times New Roman"/>
          <w:sz w:val="22"/>
        </w:rPr>
      </w:pPr>
      <w:r>
        <w:rPr/>
        <w:drawing>
          <wp:anchor distT="0" distB="0" distL="0" distR="0" allowOverlap="1" layoutInCell="1" locked="0" behindDoc="1" simplePos="0" relativeHeight="189221888">
            <wp:simplePos x="0" y="0"/>
            <wp:positionH relativeFrom="page">
              <wp:posOffset>446531</wp:posOffset>
            </wp:positionH>
            <wp:positionV relativeFrom="page">
              <wp:posOffset>595884</wp:posOffset>
            </wp:positionV>
            <wp:extent cx="6877811" cy="484631"/>
            <wp:effectExtent l="0" t="0" r="0" b="0"/>
            <wp:wrapNone/>
            <wp:docPr id="53" name="image1251.png"/>
            <wp:cNvGraphicFramePr>
              <a:graphicFrameLocks noChangeAspect="1"/>
            </wp:cNvGraphicFramePr>
            <a:graphic>
              <a:graphicData uri="http://schemas.openxmlformats.org/drawingml/2006/picture">
                <pic:pic>
                  <pic:nvPicPr>
                    <pic:cNvPr id="54" name="image1251.png"/>
                    <pic:cNvPicPr/>
                  </pic:nvPicPr>
                  <pic:blipFill>
                    <a:blip r:embed="rId1343" cstate="print"/>
                    <a:stretch>
                      <a:fillRect/>
                    </a:stretch>
                  </pic:blipFill>
                  <pic:spPr>
                    <a:xfrm>
                      <a:off x="0" y="0"/>
                      <a:ext cx="6877811" cy="484631"/>
                    </a:xfrm>
                    <a:prstGeom prst="rect">
                      <a:avLst/>
                    </a:prstGeom>
                  </pic:spPr>
                </pic:pic>
              </a:graphicData>
            </a:graphic>
          </wp:anchor>
        </w:drawing>
      </w:r>
      <w:r>
        <w:rPr/>
        <w:pict>
          <v:group style="position:absolute;margin-left:35.160pt;margin-top:84.239998pt;width:541.6pt;height:423.4pt;mso-position-horizontal-relative:page;mso-position-vertical-relative:page;z-index:-314093568" coordorigin="703,1685" coordsize="10832,8468">
            <v:shape style="position:absolute;left:9280;top:1687;width:22;height:8" type="#_x0000_t75" stroked="false">
              <v:imagedata r:id="rId1344" o:title=""/>
            </v:shape>
            <v:shape style="position:absolute;left:7048;top:1684;width:2247;height:557" type="#_x0000_t75" stroked="false">
              <v:imagedata r:id="rId1345" o:title=""/>
            </v:shape>
            <v:shape style="position:absolute;left:9280;top:1684;width:2254;height:557" type="#_x0000_t75" stroked="false">
              <v:imagedata r:id="rId1346" o:title=""/>
            </v:shape>
            <v:shape style="position:absolute;left:5901;top:1692;width:1162;height:550" type="#_x0000_t75" stroked="false">
              <v:imagedata r:id="rId1347" o:title=""/>
            </v:shape>
            <v:shape style="position:absolute;left:5901;top:2234;width:1169;height:195" type="#_x0000_t75" stroked="false">
              <v:imagedata r:id="rId1348" o:title=""/>
            </v:shape>
            <v:shape style="position:absolute;left:8172;top:2234;width:1124;height:195" type="#_x0000_t75" stroked="false">
              <v:imagedata r:id="rId1292" o:title=""/>
            </v:shape>
            <v:shape style="position:absolute;left:10404;top:2234;width:1131;height:195" type="#_x0000_t75" stroked="false">
              <v:imagedata r:id="rId1291" o:title=""/>
            </v:shape>
            <v:shape style="position:absolute;left:5901;top:2234;width:1169;height:382" type="#_x0000_t75" stroked="false">
              <v:imagedata r:id="rId1349" o:title=""/>
            </v:shape>
            <v:shape style="position:absolute;left:8172;top:2421;width:1124;height:195" type="#_x0000_t75" stroked="false">
              <v:imagedata r:id="rId1292" o:title=""/>
            </v:shape>
            <v:shape style="position:absolute;left:10404;top:2421;width:1131;height:195" type="#_x0000_t75" stroked="false">
              <v:imagedata r:id="rId1291" o:title=""/>
            </v:shape>
            <v:shape style="position:absolute;left:5901;top:2608;width:1162;height:382" type="#_x0000_t75" stroked="false">
              <v:imagedata r:id="rId1327" o:title=""/>
            </v:shape>
            <v:shape style="position:absolute;left:8172;top:2608;width:1124;height:382" type="#_x0000_t75" stroked="false">
              <v:imagedata r:id="rId1350" o:title=""/>
            </v:shape>
            <v:shape style="position:absolute;left:10404;top:2608;width:1131;height:382" type="#_x0000_t75" stroked="false">
              <v:imagedata r:id="rId1351" o:title=""/>
            </v:shape>
            <v:shape style="position:absolute;left:5901;top:2983;width:1162;height:363" type="#_x0000_t75" stroked="false">
              <v:imagedata r:id="rId1352" o:title=""/>
            </v:shape>
            <v:shape style="position:absolute;left:5901;top:2421;width:1169;height:1112" type="#_x0000_t75" stroked="false">
              <v:imagedata r:id="rId1353" o:title=""/>
            </v:shape>
            <v:shape style="position:absolute;left:8172;top:2983;width:1124;height:363" type="#_x0000_t75" stroked="false">
              <v:imagedata r:id="rId1354" o:title=""/>
            </v:shape>
            <v:shape style="position:absolute;left:10404;top:2983;width:1131;height:363" type="#_x0000_t75" stroked="false">
              <v:imagedata r:id="rId1318" o:title=""/>
            </v:shape>
            <v:shape style="position:absolute;left:8172;top:2234;width:1131;height:1649" type="#_x0000_t75" stroked="false">
              <v:imagedata r:id="rId1355" o:title=""/>
            </v:shape>
            <v:shape style="position:absolute;left:8172;top:3338;width:1124;height:195" type="#_x0000_t75" stroked="false">
              <v:imagedata r:id="rId1292" o:title=""/>
            </v:shape>
            <v:shape style="position:absolute;left:10404;top:3338;width:1131;height:195" type="#_x0000_t75" stroked="false">
              <v:imagedata r:id="rId1291" o:title=""/>
            </v:shape>
            <v:shape style="position:absolute;left:5901;top:3338;width:1169;height:382" type="#_x0000_t75" stroked="false">
              <v:imagedata r:id="rId1349" o:title=""/>
            </v:shape>
            <v:shape style="position:absolute;left:8172;top:3525;width:1124;height:195" type="#_x0000_t75" stroked="false">
              <v:imagedata r:id="rId1292" o:title=""/>
            </v:shape>
            <v:shape style="position:absolute;left:10404;top:3525;width:1131;height:195" type="#_x0000_t75" stroked="false">
              <v:imagedata r:id="rId1291" o:title=""/>
            </v:shape>
            <v:shape style="position:absolute;left:703;top:1692;width:6368;height:2391" type="#_x0000_t75" stroked="false">
              <v:imagedata r:id="rId1356" o:title=""/>
            </v:shape>
            <v:shape style="position:absolute;left:5901;top:3525;width:1169;height:358" type="#_x0000_t75" stroked="false">
              <v:imagedata r:id="rId1357" o:title=""/>
            </v:shape>
            <v:shape style="position:absolute;left:8172;top:3712;width:1131;height:358" type="#_x0000_t75" stroked="false">
              <v:imagedata r:id="rId1323" o:title=""/>
            </v:shape>
            <v:shape style="position:absolute;left:9288;top:3712;width:2247;height:370" type="#_x0000_t75" stroked="false">
              <v:imagedata r:id="rId1358" o:title=""/>
            </v:shape>
            <v:shape style="position:absolute;left:703;top:4060;width:5213;height:219" type="#_x0000_t75" stroked="false">
              <v:imagedata r:id="rId1359" o:title=""/>
            </v:shape>
            <v:shape style="position:absolute;left:5901;top:3880;width:1169;height:399" type="#_x0000_t75" stroked="false">
              <v:imagedata r:id="rId1360" o:title=""/>
            </v:shape>
            <v:shape style="position:absolute;left:8172;top:3880;width:1131;height:202" type="#_x0000_t75" stroked="false">
              <v:imagedata r:id="rId1361" o:title=""/>
            </v:shape>
            <v:shape style="position:absolute;left:7056;top:4060;width:1124;height:22" type="#_x0000_t75" stroked="false">
              <v:imagedata r:id="rId1362" o:title=""/>
            </v:shape>
            <v:shape style="position:absolute;left:5901;top:4276;width:22;height:838" type="#_x0000_t75" stroked="false">
              <v:imagedata r:id="rId1363" o:title=""/>
            </v:shape>
            <v:shape style="position:absolute;left:4569;top:4903;width:1354;height:425" type="#_x0000_t75" stroked="false">
              <v:imagedata r:id="rId1364" o:title=""/>
            </v:shape>
            <v:shape style="position:absolute;left:9280;top:4060;width:2254;height:3060" type="#_x0000_t75" stroked="false">
              <v:imagedata r:id="rId1365" o:title=""/>
            </v:shape>
            <v:shape style="position:absolute;left:5901;top:5112;width:22;height:1006" type="#_x0000_t75" stroked="false">
              <v:imagedata r:id="rId1366" o:title=""/>
            </v:shape>
            <v:shape style="position:absolute;left:703;top:4276;width:3874;height:2468" type="#_x0000_t75" stroked="false">
              <v:imagedata r:id="rId1367" o:title=""/>
            </v:shape>
            <v:shape style="position:absolute;left:5901;top:5906;width:22;height:420" type="#_x0000_t75" stroked="false">
              <v:imagedata r:id="rId1368" o:title=""/>
            </v:shape>
            <v:shape style="position:absolute;left:5901;top:6115;width:1162;height:216" type="#_x0000_t75" stroked="false">
              <v:imagedata r:id="rId1369" o:title=""/>
            </v:shape>
            <v:shape style="position:absolute;left:7048;top:6324;width:2247;height:214" type="#_x0000_t75" stroked="false">
              <v:imagedata r:id="rId1370" o:title=""/>
            </v:shape>
            <v:shape style="position:absolute;left:7048;top:6532;width:22;height:420" type="#_x0000_t75" stroked="false">
              <v:imagedata r:id="rId1368" o:title=""/>
            </v:shape>
            <v:shape style="position:absolute;left:5901;top:6324;width:1169;height:802" type="#_x0000_t75" stroked="false">
              <v:imagedata r:id="rId1371" o:title=""/>
            </v:shape>
            <v:shape style="position:absolute;left:8172;top:6532;width:1124;height:593" type="#_x0000_t75" stroked="false">
              <v:imagedata r:id="rId1372" o:title=""/>
            </v:shape>
            <v:shape style="position:absolute;left:10404;top:6950;width:1131;height:176" type="#_x0000_t75" stroked="false">
              <v:imagedata r:id="rId1373" o:title=""/>
            </v:shape>
            <v:shape style="position:absolute;left:7048;top:6950;width:22;height:380" type="#_x0000_t75" stroked="false">
              <v:imagedata r:id="rId1374" o:title=""/>
            </v:shape>
            <v:shape style="position:absolute;left:7048;top:7118;width:22;height:420" type="#_x0000_t75" stroked="false">
              <v:imagedata r:id="rId1368" o:title=""/>
            </v:shape>
            <v:shape style="position:absolute;left:5901;top:7118;width:1169;height:634" type="#_x0000_t75" stroked="false">
              <v:imagedata r:id="rId1375" o:title=""/>
            </v:shape>
            <v:shape style="position:absolute;left:9280;top:7118;width:22;height:838" type="#_x0000_t75" stroked="false">
              <v:imagedata r:id="rId1363" o:title=""/>
            </v:shape>
            <v:shape style="position:absolute;left:10404;top:7118;width:1131;height:634" type="#_x0000_t75" stroked="false">
              <v:imagedata r:id="rId1376" o:title=""/>
            </v:shape>
            <v:shape style="position:absolute;left:8172;top:7118;width:1124;height:634" type="#_x0000_t75" stroked="false">
              <v:imagedata r:id="rId1377" o:title=""/>
            </v:shape>
            <v:shape style="position:absolute;left:5901;top:7536;width:1169;height:420" type="#_x0000_t75" stroked="false">
              <v:imagedata r:id="rId1378" o:title=""/>
            </v:shape>
            <v:shape style="position:absolute;left:7048;top:7744;width:22;height:380" type="#_x0000_t75" stroked="false">
              <v:imagedata r:id="rId1374" o:title=""/>
            </v:shape>
            <v:shape style="position:absolute;left:9280;top:7744;width:22;height:380" type="#_x0000_t75" stroked="false">
              <v:imagedata r:id="rId1374" o:title=""/>
            </v:shape>
            <v:shape style="position:absolute;left:5901;top:7953;width:1169;height:384" type="#_x0000_t75" stroked="false">
              <v:imagedata r:id="rId1379" o:title=""/>
            </v:shape>
            <v:shape style="position:absolute;left:10404;top:7744;width:1131;height:593" type="#_x0000_t75" stroked="false">
              <v:imagedata r:id="rId1380" o:title=""/>
            </v:shape>
            <v:shape style="position:absolute;left:8172;top:7744;width:1131;height:593" type="#_x0000_t75" stroked="false">
              <v:imagedata r:id="rId1381" o:title=""/>
            </v:shape>
            <v:shape style="position:absolute;left:5901;top:8121;width:1169;height:562" type="#_x0000_t75" stroked="false">
              <v:imagedata r:id="rId1382" o:title=""/>
            </v:shape>
            <v:shape style="position:absolute;left:8172;top:8121;width:1131;height:562" type="#_x0000_t75" stroked="false">
              <v:imagedata r:id="rId1383" o:title=""/>
            </v:shape>
            <v:shape style="position:absolute;left:10404;top:8330;width:1131;height:353" type="#_x0000_t75" stroked="false">
              <v:imagedata r:id="rId1384" o:title=""/>
            </v:shape>
            <v:shape style="position:absolute;left:5901;top:8330;width:1169;height:771" type="#_x0000_t75" stroked="false">
              <v:imagedata r:id="rId1385" o:title=""/>
            </v:shape>
            <v:shape style="position:absolute;left:8172;top:8330;width:1131;height:771" type="#_x0000_t75" stroked="false">
              <v:imagedata r:id="rId1386" o:title=""/>
            </v:shape>
            <v:shape style="position:absolute;left:10404;top:8676;width:1131;height:425" type="#_x0000_t75" stroked="false">
              <v:imagedata r:id="rId1387" o:title=""/>
            </v:shape>
            <v:shape style="position:absolute;left:5901;top:9093;width:1162;height:216" type="#_x0000_t75" stroked="false">
              <v:imagedata r:id="rId1388" o:title=""/>
            </v:shape>
            <v:shape style="position:absolute;left:8172;top:9093;width:1124;height:216" type="#_x0000_t75" stroked="false">
              <v:imagedata r:id="rId1389" o:title=""/>
            </v:shape>
            <v:shape style="position:absolute;left:10404;top:9093;width:1131;height:216" type="#_x0000_t75" stroked="false">
              <v:imagedata r:id="rId1390" o:title=""/>
            </v:shape>
            <v:shape style="position:absolute;left:703;top:6741;width:6368;height:3411" type="#_x0000_t75" stroked="false">
              <v:imagedata r:id="rId1391" o:title=""/>
            </v:shape>
            <v:shape style="position:absolute;left:5901;top:9302;width:1162;height:425" type="#_x0000_t75" stroked="false">
              <v:imagedata r:id="rId1392" o:title=""/>
            </v:shape>
            <v:shape style="position:absolute;left:8172;top:9302;width:1124;height:425" type="#_x0000_t75" stroked="false">
              <v:imagedata r:id="rId1393" o:title=""/>
            </v:shape>
            <v:shape style="position:absolute;left:10404;top:9302;width:1131;height:425" type="#_x0000_t75" stroked="false">
              <v:imagedata r:id="rId1387" o:title=""/>
            </v:shape>
            <v:shape style="position:absolute;left:7048;top:8884;width:2254;height:1268" type="#_x0000_t75" stroked="false">
              <v:imagedata r:id="rId1394" o:title=""/>
            </v:shape>
            <v:shape style="position:absolute;left:9280;top:9720;width:2254;height:432" type="#_x0000_t75" stroked="false">
              <v:imagedata r:id="rId1395" o:title=""/>
            </v:shape>
            <w10:wrap type="none"/>
          </v:group>
        </w:pict>
      </w:r>
    </w:p>
    <w:tbl>
      <w:tblPr>
        <w:tblW w:w="0" w:type="auto"/>
        <w:jc w:val="left"/>
        <w:tblInd w:w="6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38"/>
        <w:gridCol w:w="865"/>
        <w:gridCol w:w="374"/>
        <w:gridCol w:w="851"/>
        <w:gridCol w:w="963"/>
        <w:gridCol w:w="360"/>
        <w:gridCol w:w="912"/>
        <w:gridCol w:w="954"/>
        <w:gridCol w:w="364"/>
        <w:gridCol w:w="846"/>
      </w:tblGrid>
      <w:tr>
        <w:trPr>
          <w:trHeight w:val="597" w:hRule="atLeast"/>
        </w:trPr>
        <w:tc>
          <w:tcPr>
            <w:tcW w:w="4338" w:type="dxa"/>
          </w:tcPr>
          <w:p>
            <w:pPr>
              <w:pStyle w:val="TableParagraph"/>
              <w:rPr>
                <w:rFonts w:ascii="Times New Roman"/>
                <w:sz w:val="14"/>
              </w:rPr>
            </w:pPr>
          </w:p>
          <w:p>
            <w:pPr>
              <w:pStyle w:val="TableParagraph"/>
              <w:rPr>
                <w:rFonts w:ascii="Times New Roman"/>
                <w:sz w:val="14"/>
              </w:rPr>
            </w:pPr>
          </w:p>
          <w:p>
            <w:pPr>
              <w:pStyle w:val="TableParagraph"/>
              <w:spacing w:line="135" w:lineRule="exact" w:before="120"/>
              <w:ind w:left="32"/>
              <w:rPr>
                <w:rFonts w:ascii="Times New Roman"/>
                <w:sz w:val="13"/>
              </w:rPr>
            </w:pPr>
            <w:r>
              <w:rPr>
                <w:rFonts w:ascii="Times New Roman"/>
                <w:sz w:val="13"/>
              </w:rPr>
              <w:t>Description</w:t>
            </w:r>
          </w:p>
        </w:tc>
        <w:tc>
          <w:tcPr>
            <w:tcW w:w="865" w:type="dxa"/>
          </w:tcPr>
          <w:p>
            <w:pPr>
              <w:pStyle w:val="TableParagraph"/>
              <w:rPr>
                <w:rFonts w:ascii="Times New Roman"/>
                <w:sz w:val="14"/>
              </w:rPr>
            </w:pPr>
          </w:p>
          <w:p>
            <w:pPr>
              <w:pStyle w:val="TableParagraph"/>
              <w:spacing w:before="9"/>
              <w:rPr>
                <w:rFonts w:ascii="Times New Roman"/>
                <w:sz w:val="11"/>
              </w:rPr>
            </w:pPr>
          </w:p>
          <w:p>
            <w:pPr>
              <w:pStyle w:val="TableParagraph"/>
              <w:spacing w:line="148" w:lineRule="exact"/>
              <w:ind w:left="34" w:right="474" w:hanging="10"/>
              <w:rPr>
                <w:rFonts w:ascii="Times New Roman"/>
                <w:sz w:val="13"/>
              </w:rPr>
            </w:pPr>
            <w:r>
              <w:rPr>
                <w:rFonts w:ascii="Times New Roman"/>
                <w:sz w:val="13"/>
              </w:rPr>
              <w:t>Object Codes</w:t>
            </w:r>
          </w:p>
        </w:tc>
        <w:tc>
          <w:tcPr>
            <w:tcW w:w="1225" w:type="dxa"/>
            <w:gridSpan w:val="2"/>
          </w:tcPr>
          <w:p>
            <w:pPr>
              <w:pStyle w:val="TableParagraph"/>
              <w:spacing w:line="145" w:lineRule="exact"/>
              <w:ind w:left="341" w:right="410"/>
              <w:jc w:val="center"/>
              <w:rPr>
                <w:rFonts w:ascii="Times New Roman"/>
                <w:sz w:val="13"/>
              </w:rPr>
            </w:pPr>
            <w:r>
              <w:rPr>
                <w:rFonts w:ascii="Times New Roman"/>
                <w:sz w:val="13"/>
              </w:rPr>
              <w:t>2021-22</w:t>
            </w:r>
          </w:p>
          <w:p>
            <w:pPr>
              <w:pStyle w:val="TableParagraph"/>
              <w:spacing w:line="148" w:lineRule="exact" w:before="2"/>
              <w:ind w:left="309" w:right="374" w:hanging="1"/>
              <w:jc w:val="center"/>
              <w:rPr>
                <w:rFonts w:ascii="Times New Roman"/>
                <w:sz w:val="13"/>
              </w:rPr>
            </w:pPr>
            <w:r>
              <w:rPr>
                <w:rFonts w:ascii="Times New Roman"/>
                <w:sz w:val="13"/>
              </w:rPr>
              <w:t>Budget (Form 01) (A)</w:t>
            </w:r>
          </w:p>
        </w:tc>
        <w:tc>
          <w:tcPr>
            <w:tcW w:w="963" w:type="dxa"/>
          </w:tcPr>
          <w:p>
            <w:pPr>
              <w:pStyle w:val="TableParagraph"/>
              <w:spacing w:line="145" w:lineRule="exact"/>
              <w:ind w:left="42"/>
              <w:jc w:val="center"/>
              <w:rPr>
                <w:rFonts w:ascii="Times New Roman"/>
                <w:sz w:val="13"/>
              </w:rPr>
            </w:pPr>
            <w:r>
              <w:rPr>
                <w:rFonts w:ascii="Times New Roman"/>
                <w:w w:val="101"/>
                <w:sz w:val="13"/>
              </w:rPr>
              <w:t>%</w:t>
            </w:r>
          </w:p>
          <w:p>
            <w:pPr>
              <w:pStyle w:val="TableParagraph"/>
              <w:spacing w:line="148" w:lineRule="exact" w:before="2"/>
              <w:ind w:left="108" w:right="100" w:firstLine="3"/>
              <w:jc w:val="center"/>
              <w:rPr>
                <w:rFonts w:ascii="Times New Roman"/>
                <w:sz w:val="13"/>
              </w:rPr>
            </w:pPr>
            <w:r>
              <w:rPr>
                <w:rFonts w:ascii="Times New Roman"/>
                <w:sz w:val="13"/>
              </w:rPr>
              <w:t>Change  (Cols. </w:t>
            </w:r>
            <w:r>
              <w:rPr>
                <w:rFonts w:ascii="Times New Roman"/>
                <w:spacing w:val="-4"/>
                <w:sz w:val="13"/>
              </w:rPr>
              <w:t>C-A/A) </w:t>
            </w:r>
            <w:r>
              <w:rPr>
                <w:rFonts w:ascii="Times New Roman"/>
                <w:sz w:val="13"/>
              </w:rPr>
              <w:t>(B)</w:t>
            </w:r>
          </w:p>
        </w:tc>
        <w:tc>
          <w:tcPr>
            <w:tcW w:w="1272" w:type="dxa"/>
            <w:gridSpan w:val="2"/>
          </w:tcPr>
          <w:p>
            <w:pPr>
              <w:pStyle w:val="TableParagraph"/>
              <w:spacing w:before="6"/>
              <w:rPr>
                <w:rFonts w:ascii="Times New Roman"/>
                <w:sz w:val="12"/>
              </w:rPr>
            </w:pPr>
          </w:p>
          <w:p>
            <w:pPr>
              <w:pStyle w:val="TableParagraph"/>
              <w:spacing w:line="149" w:lineRule="exact" w:before="1"/>
              <w:ind w:left="415"/>
              <w:rPr>
                <w:rFonts w:ascii="Times New Roman"/>
                <w:sz w:val="13"/>
              </w:rPr>
            </w:pPr>
            <w:r>
              <w:rPr>
                <w:rFonts w:ascii="Times New Roman"/>
                <w:sz w:val="13"/>
              </w:rPr>
              <w:t>2022-23</w:t>
            </w:r>
          </w:p>
          <w:p>
            <w:pPr>
              <w:pStyle w:val="TableParagraph"/>
              <w:spacing w:line="148" w:lineRule="exact" w:before="2"/>
              <w:ind w:left="549" w:right="351" w:hanging="183"/>
              <w:rPr>
                <w:rFonts w:ascii="Times New Roman"/>
                <w:sz w:val="13"/>
              </w:rPr>
            </w:pPr>
            <w:r>
              <w:rPr>
                <w:rFonts w:ascii="Times New Roman"/>
                <w:sz w:val="13"/>
              </w:rPr>
              <w:t>Projection (C)</w:t>
            </w:r>
          </w:p>
        </w:tc>
        <w:tc>
          <w:tcPr>
            <w:tcW w:w="954" w:type="dxa"/>
          </w:tcPr>
          <w:p>
            <w:pPr>
              <w:pStyle w:val="TableParagraph"/>
              <w:spacing w:line="145" w:lineRule="exact"/>
              <w:ind w:left="10"/>
              <w:jc w:val="center"/>
              <w:rPr>
                <w:rFonts w:ascii="Times New Roman"/>
                <w:sz w:val="13"/>
              </w:rPr>
            </w:pPr>
            <w:r>
              <w:rPr>
                <w:rFonts w:ascii="Times New Roman"/>
                <w:w w:val="101"/>
                <w:sz w:val="13"/>
              </w:rPr>
              <w:t>%</w:t>
            </w:r>
          </w:p>
          <w:p>
            <w:pPr>
              <w:pStyle w:val="TableParagraph"/>
              <w:spacing w:line="148" w:lineRule="exact" w:before="2"/>
              <w:ind w:left="115" w:right="102" w:firstLine="1"/>
              <w:jc w:val="center"/>
              <w:rPr>
                <w:rFonts w:ascii="Times New Roman"/>
                <w:sz w:val="13"/>
              </w:rPr>
            </w:pPr>
            <w:r>
              <w:rPr>
                <w:rFonts w:ascii="Times New Roman"/>
                <w:sz w:val="13"/>
              </w:rPr>
              <w:t>Change (Cols. </w:t>
            </w:r>
            <w:r>
              <w:rPr>
                <w:rFonts w:ascii="Times New Roman"/>
                <w:spacing w:val="-3"/>
                <w:sz w:val="13"/>
              </w:rPr>
              <w:t>E-C/C) </w:t>
            </w:r>
            <w:r>
              <w:rPr>
                <w:rFonts w:ascii="Times New Roman"/>
                <w:sz w:val="13"/>
              </w:rPr>
              <w:t>(D)</w:t>
            </w:r>
          </w:p>
        </w:tc>
        <w:tc>
          <w:tcPr>
            <w:tcW w:w="1210" w:type="dxa"/>
            <w:gridSpan w:val="2"/>
          </w:tcPr>
          <w:p>
            <w:pPr>
              <w:pStyle w:val="TableParagraph"/>
              <w:spacing w:before="6"/>
              <w:rPr>
                <w:rFonts w:ascii="Times New Roman"/>
                <w:sz w:val="12"/>
              </w:rPr>
            </w:pPr>
          </w:p>
          <w:p>
            <w:pPr>
              <w:pStyle w:val="TableParagraph"/>
              <w:spacing w:line="149" w:lineRule="exact" w:before="1"/>
              <w:ind w:left="421"/>
              <w:rPr>
                <w:rFonts w:ascii="Times New Roman"/>
                <w:sz w:val="13"/>
              </w:rPr>
            </w:pPr>
            <w:r>
              <w:rPr>
                <w:rFonts w:ascii="Times New Roman"/>
                <w:sz w:val="13"/>
              </w:rPr>
              <w:t>2023-24</w:t>
            </w:r>
          </w:p>
          <w:p>
            <w:pPr>
              <w:pStyle w:val="TableParagraph"/>
              <w:spacing w:line="148" w:lineRule="exact" w:before="2"/>
              <w:ind w:left="560" w:right="283" w:hanging="188"/>
              <w:rPr>
                <w:rFonts w:ascii="Times New Roman"/>
                <w:sz w:val="13"/>
              </w:rPr>
            </w:pPr>
            <w:r>
              <w:rPr>
                <w:rFonts w:ascii="Times New Roman"/>
                <w:sz w:val="13"/>
              </w:rPr>
              <w:t>Projection (E)</w:t>
            </w:r>
          </w:p>
        </w:tc>
      </w:tr>
      <w:tr>
        <w:trPr>
          <w:trHeight w:val="207" w:hRule="atLeast"/>
        </w:trPr>
        <w:tc>
          <w:tcPr>
            <w:tcW w:w="4338" w:type="dxa"/>
          </w:tcPr>
          <w:p>
            <w:pPr>
              <w:pStyle w:val="TableParagraph"/>
              <w:spacing w:before="37"/>
              <w:ind w:left="32"/>
              <w:rPr>
                <w:rFonts w:ascii="Times New Roman"/>
                <w:sz w:val="13"/>
              </w:rPr>
            </w:pPr>
            <w:r>
              <w:rPr>
                <w:rFonts w:ascii="Times New Roman"/>
                <w:sz w:val="13"/>
              </w:rPr>
              <w:t>E. AVAILABLE RESERVES</w:t>
            </w:r>
          </w:p>
        </w:tc>
        <w:tc>
          <w:tcPr>
            <w:tcW w:w="865" w:type="dxa"/>
          </w:tcPr>
          <w:p>
            <w:pPr>
              <w:pStyle w:val="TableParagraph"/>
              <w:rPr>
                <w:rFonts w:ascii="Times New Roman"/>
                <w:sz w:val="12"/>
              </w:rPr>
            </w:pPr>
          </w:p>
        </w:tc>
        <w:tc>
          <w:tcPr>
            <w:tcW w:w="1225" w:type="dxa"/>
            <w:gridSpan w:val="2"/>
          </w:tcPr>
          <w:p>
            <w:pPr>
              <w:pStyle w:val="TableParagraph"/>
              <w:rPr>
                <w:rFonts w:ascii="Times New Roman"/>
                <w:sz w:val="12"/>
              </w:rPr>
            </w:pPr>
          </w:p>
        </w:tc>
        <w:tc>
          <w:tcPr>
            <w:tcW w:w="963" w:type="dxa"/>
            <w:shd w:val="clear" w:color="auto" w:fill="BFBFBF"/>
          </w:tcPr>
          <w:p>
            <w:pPr>
              <w:pStyle w:val="TableParagraph"/>
              <w:rPr>
                <w:rFonts w:ascii="Times New Roman"/>
                <w:sz w:val="12"/>
              </w:rPr>
            </w:pPr>
          </w:p>
        </w:tc>
        <w:tc>
          <w:tcPr>
            <w:tcW w:w="1272" w:type="dxa"/>
            <w:gridSpan w:val="2"/>
          </w:tcPr>
          <w:p>
            <w:pPr>
              <w:pStyle w:val="TableParagraph"/>
              <w:rPr>
                <w:rFonts w:ascii="Times New Roman"/>
                <w:sz w:val="12"/>
              </w:rPr>
            </w:pPr>
          </w:p>
        </w:tc>
        <w:tc>
          <w:tcPr>
            <w:tcW w:w="954" w:type="dxa"/>
            <w:shd w:val="clear" w:color="auto" w:fill="BFBFBF"/>
          </w:tcPr>
          <w:p>
            <w:pPr>
              <w:pStyle w:val="TableParagraph"/>
              <w:rPr>
                <w:rFonts w:ascii="Times New Roman"/>
                <w:sz w:val="12"/>
              </w:rPr>
            </w:pPr>
          </w:p>
        </w:tc>
        <w:tc>
          <w:tcPr>
            <w:tcW w:w="1210" w:type="dxa"/>
            <w:gridSpan w:val="2"/>
          </w:tcPr>
          <w:p>
            <w:pPr>
              <w:pStyle w:val="TableParagraph"/>
              <w:rPr>
                <w:rFonts w:ascii="Times New Roman"/>
                <w:sz w:val="12"/>
              </w:rPr>
            </w:pPr>
          </w:p>
        </w:tc>
      </w:tr>
      <w:tr>
        <w:trPr>
          <w:trHeight w:val="177" w:hRule="atLeast"/>
        </w:trPr>
        <w:tc>
          <w:tcPr>
            <w:tcW w:w="4338" w:type="dxa"/>
          </w:tcPr>
          <w:p>
            <w:pPr>
              <w:pStyle w:val="TableParagraph"/>
              <w:spacing w:line="141" w:lineRule="exact" w:before="16"/>
              <w:ind w:left="100"/>
              <w:rPr>
                <w:rFonts w:ascii="Times New Roman"/>
                <w:sz w:val="13"/>
              </w:rPr>
            </w:pPr>
            <w:r>
              <w:rPr>
                <w:rFonts w:ascii="Times New Roman"/>
                <w:sz w:val="13"/>
              </w:rPr>
              <w:t>1. General Fund</w:t>
            </w:r>
          </w:p>
        </w:tc>
        <w:tc>
          <w:tcPr>
            <w:tcW w:w="865" w:type="dxa"/>
          </w:tcPr>
          <w:p>
            <w:pPr>
              <w:pStyle w:val="TableParagraph"/>
              <w:rPr>
                <w:rFonts w:ascii="Times New Roman"/>
                <w:sz w:val="10"/>
              </w:rPr>
            </w:pPr>
          </w:p>
        </w:tc>
        <w:tc>
          <w:tcPr>
            <w:tcW w:w="1225" w:type="dxa"/>
            <w:gridSpan w:val="2"/>
          </w:tcPr>
          <w:p>
            <w:pPr>
              <w:pStyle w:val="TableParagraph"/>
              <w:rPr>
                <w:rFonts w:ascii="Times New Roman"/>
                <w:sz w:val="10"/>
              </w:rPr>
            </w:pPr>
          </w:p>
        </w:tc>
        <w:tc>
          <w:tcPr>
            <w:tcW w:w="963" w:type="dxa"/>
            <w:shd w:val="clear" w:color="auto" w:fill="BFBFBF"/>
          </w:tcPr>
          <w:p>
            <w:pPr>
              <w:pStyle w:val="TableParagraph"/>
              <w:rPr>
                <w:rFonts w:ascii="Times New Roman"/>
                <w:sz w:val="10"/>
              </w:rPr>
            </w:pPr>
          </w:p>
        </w:tc>
        <w:tc>
          <w:tcPr>
            <w:tcW w:w="1272" w:type="dxa"/>
            <w:gridSpan w:val="2"/>
          </w:tcPr>
          <w:p>
            <w:pPr>
              <w:pStyle w:val="TableParagraph"/>
              <w:rPr>
                <w:rFonts w:ascii="Times New Roman"/>
                <w:sz w:val="10"/>
              </w:rPr>
            </w:pPr>
          </w:p>
        </w:tc>
        <w:tc>
          <w:tcPr>
            <w:tcW w:w="954" w:type="dxa"/>
            <w:shd w:val="clear" w:color="auto" w:fill="BFBFBF"/>
          </w:tcPr>
          <w:p>
            <w:pPr>
              <w:pStyle w:val="TableParagraph"/>
              <w:rPr>
                <w:rFonts w:ascii="Times New Roman"/>
                <w:sz w:val="10"/>
              </w:rPr>
            </w:pPr>
          </w:p>
        </w:tc>
        <w:tc>
          <w:tcPr>
            <w:tcW w:w="1210" w:type="dxa"/>
            <w:gridSpan w:val="2"/>
          </w:tcPr>
          <w:p>
            <w:pPr>
              <w:pStyle w:val="TableParagraph"/>
              <w:rPr>
                <w:rFonts w:ascii="Times New Roman"/>
                <w:sz w:val="10"/>
              </w:rPr>
            </w:pPr>
          </w:p>
        </w:tc>
      </w:tr>
      <w:tr>
        <w:trPr>
          <w:trHeight w:val="177" w:hRule="atLeast"/>
        </w:trPr>
        <w:tc>
          <w:tcPr>
            <w:tcW w:w="4338" w:type="dxa"/>
          </w:tcPr>
          <w:p>
            <w:pPr>
              <w:pStyle w:val="TableParagraph"/>
              <w:spacing w:before="7"/>
              <w:ind w:left="234"/>
              <w:rPr>
                <w:rFonts w:ascii="Times New Roman"/>
                <w:sz w:val="13"/>
              </w:rPr>
            </w:pPr>
            <w:r>
              <w:rPr>
                <w:rFonts w:ascii="Times New Roman"/>
                <w:sz w:val="13"/>
              </w:rPr>
              <w:t>a. Stabilization Arrangements</w:t>
            </w:r>
          </w:p>
        </w:tc>
        <w:tc>
          <w:tcPr>
            <w:tcW w:w="865" w:type="dxa"/>
          </w:tcPr>
          <w:p>
            <w:pPr>
              <w:pStyle w:val="TableParagraph"/>
              <w:spacing w:before="7"/>
              <w:ind w:left="60"/>
              <w:rPr>
                <w:rFonts w:ascii="Times New Roman"/>
                <w:sz w:val="13"/>
              </w:rPr>
            </w:pPr>
            <w:r>
              <w:rPr>
                <w:rFonts w:ascii="Times New Roman"/>
                <w:sz w:val="13"/>
              </w:rPr>
              <w:t>9750</w:t>
            </w:r>
          </w:p>
        </w:tc>
        <w:tc>
          <w:tcPr>
            <w:tcW w:w="1225" w:type="dxa"/>
            <w:gridSpan w:val="2"/>
          </w:tcPr>
          <w:p>
            <w:pPr>
              <w:pStyle w:val="TableParagraph"/>
              <w:spacing w:before="7"/>
              <w:ind w:right="151"/>
              <w:jc w:val="right"/>
              <w:rPr>
                <w:rFonts w:ascii="Times New Roman"/>
                <w:sz w:val="13"/>
              </w:rPr>
            </w:pPr>
            <w:r>
              <w:rPr>
                <w:rFonts w:ascii="Times New Roman"/>
                <w:sz w:val="13"/>
              </w:rPr>
              <w:t>0.00</w:t>
            </w:r>
          </w:p>
        </w:tc>
        <w:tc>
          <w:tcPr>
            <w:tcW w:w="963" w:type="dxa"/>
            <w:shd w:val="clear" w:color="auto" w:fill="BFBFBF"/>
          </w:tcPr>
          <w:p>
            <w:pPr>
              <w:pStyle w:val="TableParagraph"/>
              <w:rPr>
                <w:rFonts w:ascii="Times New Roman"/>
                <w:sz w:val="10"/>
              </w:rPr>
            </w:pPr>
          </w:p>
        </w:tc>
        <w:tc>
          <w:tcPr>
            <w:tcW w:w="1272" w:type="dxa"/>
            <w:gridSpan w:val="2"/>
          </w:tcPr>
          <w:p>
            <w:pPr>
              <w:pStyle w:val="TableParagraph"/>
              <w:spacing w:before="7"/>
              <w:ind w:right="154"/>
              <w:jc w:val="right"/>
              <w:rPr>
                <w:rFonts w:ascii="Times New Roman"/>
                <w:sz w:val="13"/>
              </w:rPr>
            </w:pPr>
            <w:r>
              <w:rPr>
                <w:rFonts w:ascii="Times New Roman"/>
                <w:sz w:val="13"/>
              </w:rPr>
              <w:t>0.00</w:t>
            </w:r>
          </w:p>
        </w:tc>
        <w:tc>
          <w:tcPr>
            <w:tcW w:w="954" w:type="dxa"/>
            <w:shd w:val="clear" w:color="auto" w:fill="BFBFBF"/>
          </w:tcPr>
          <w:p>
            <w:pPr>
              <w:pStyle w:val="TableParagraph"/>
              <w:rPr>
                <w:rFonts w:ascii="Times New Roman"/>
                <w:sz w:val="10"/>
              </w:rPr>
            </w:pPr>
          </w:p>
        </w:tc>
        <w:tc>
          <w:tcPr>
            <w:tcW w:w="1210" w:type="dxa"/>
            <w:gridSpan w:val="2"/>
          </w:tcPr>
          <w:p>
            <w:pPr>
              <w:pStyle w:val="TableParagraph"/>
              <w:spacing w:before="7"/>
              <w:ind w:right="86"/>
              <w:jc w:val="right"/>
              <w:rPr>
                <w:rFonts w:ascii="Times New Roman"/>
                <w:sz w:val="13"/>
              </w:rPr>
            </w:pPr>
            <w:r>
              <w:rPr>
                <w:rFonts w:ascii="Times New Roman"/>
                <w:sz w:val="13"/>
              </w:rPr>
              <w:t>0.00</w:t>
            </w:r>
          </w:p>
        </w:tc>
      </w:tr>
      <w:tr>
        <w:trPr>
          <w:trHeight w:val="187" w:hRule="atLeast"/>
        </w:trPr>
        <w:tc>
          <w:tcPr>
            <w:tcW w:w="4338" w:type="dxa"/>
          </w:tcPr>
          <w:p>
            <w:pPr>
              <w:pStyle w:val="TableParagraph"/>
              <w:spacing w:before="16"/>
              <w:ind w:left="234"/>
              <w:rPr>
                <w:rFonts w:ascii="Times New Roman"/>
                <w:sz w:val="13"/>
              </w:rPr>
            </w:pPr>
            <w:r>
              <w:rPr>
                <w:rFonts w:ascii="Times New Roman"/>
                <w:sz w:val="13"/>
              </w:rPr>
              <w:t>b. Reserve for Economic Uncertainties</w:t>
            </w:r>
          </w:p>
        </w:tc>
        <w:tc>
          <w:tcPr>
            <w:tcW w:w="865" w:type="dxa"/>
          </w:tcPr>
          <w:p>
            <w:pPr>
              <w:pStyle w:val="TableParagraph"/>
              <w:spacing w:before="16"/>
              <w:ind w:left="60"/>
              <w:rPr>
                <w:rFonts w:ascii="Times New Roman"/>
                <w:sz w:val="13"/>
              </w:rPr>
            </w:pPr>
            <w:r>
              <w:rPr>
                <w:rFonts w:ascii="Times New Roman"/>
                <w:sz w:val="13"/>
              </w:rPr>
              <w:t>9789</w:t>
            </w:r>
          </w:p>
        </w:tc>
        <w:tc>
          <w:tcPr>
            <w:tcW w:w="1225" w:type="dxa"/>
            <w:gridSpan w:val="2"/>
          </w:tcPr>
          <w:p>
            <w:pPr>
              <w:pStyle w:val="TableParagraph"/>
              <w:spacing w:before="16"/>
              <w:ind w:left="467"/>
              <w:rPr>
                <w:rFonts w:ascii="Times New Roman"/>
                <w:sz w:val="13"/>
              </w:rPr>
            </w:pPr>
            <w:r>
              <w:rPr>
                <w:rFonts w:ascii="Times New Roman"/>
                <w:sz w:val="13"/>
              </w:rPr>
              <w:t>105,868.70</w:t>
            </w:r>
          </w:p>
        </w:tc>
        <w:tc>
          <w:tcPr>
            <w:tcW w:w="963" w:type="dxa"/>
            <w:shd w:val="clear" w:color="auto" w:fill="BFBFBF"/>
          </w:tcPr>
          <w:p>
            <w:pPr>
              <w:pStyle w:val="TableParagraph"/>
              <w:rPr>
                <w:rFonts w:ascii="Times New Roman"/>
                <w:sz w:val="12"/>
              </w:rPr>
            </w:pPr>
          </w:p>
        </w:tc>
        <w:tc>
          <w:tcPr>
            <w:tcW w:w="1272" w:type="dxa"/>
            <w:gridSpan w:val="2"/>
          </w:tcPr>
          <w:p>
            <w:pPr>
              <w:pStyle w:val="TableParagraph"/>
              <w:spacing w:before="16"/>
              <w:ind w:left="578"/>
              <w:rPr>
                <w:rFonts w:ascii="Times New Roman"/>
                <w:sz w:val="13"/>
              </w:rPr>
            </w:pPr>
            <w:r>
              <w:rPr>
                <w:rFonts w:ascii="Times New Roman"/>
                <w:sz w:val="13"/>
              </w:rPr>
              <w:t>99,908.13</w:t>
            </w:r>
          </w:p>
        </w:tc>
        <w:tc>
          <w:tcPr>
            <w:tcW w:w="954" w:type="dxa"/>
            <w:shd w:val="clear" w:color="auto" w:fill="BFBFBF"/>
          </w:tcPr>
          <w:p>
            <w:pPr>
              <w:pStyle w:val="TableParagraph"/>
              <w:rPr>
                <w:rFonts w:ascii="Times New Roman"/>
                <w:sz w:val="12"/>
              </w:rPr>
            </w:pPr>
          </w:p>
        </w:tc>
        <w:tc>
          <w:tcPr>
            <w:tcW w:w="1210" w:type="dxa"/>
            <w:gridSpan w:val="2"/>
          </w:tcPr>
          <w:p>
            <w:pPr>
              <w:pStyle w:val="TableParagraph"/>
              <w:spacing w:before="16"/>
              <w:ind w:left="517"/>
              <w:rPr>
                <w:rFonts w:ascii="Times New Roman"/>
                <w:sz w:val="13"/>
              </w:rPr>
            </w:pPr>
            <w:r>
              <w:rPr>
                <w:rFonts w:ascii="Times New Roman"/>
                <w:sz w:val="13"/>
              </w:rPr>
              <w:t>102,017.65</w:t>
            </w:r>
          </w:p>
        </w:tc>
      </w:tr>
      <w:tr>
        <w:trPr>
          <w:trHeight w:val="187" w:hRule="atLeast"/>
        </w:trPr>
        <w:tc>
          <w:tcPr>
            <w:tcW w:w="4338" w:type="dxa"/>
          </w:tcPr>
          <w:p>
            <w:pPr>
              <w:pStyle w:val="TableParagraph"/>
              <w:spacing w:before="16"/>
              <w:ind w:left="234"/>
              <w:rPr>
                <w:rFonts w:ascii="Times New Roman"/>
                <w:sz w:val="13"/>
              </w:rPr>
            </w:pPr>
            <w:r>
              <w:rPr>
                <w:rFonts w:ascii="Times New Roman"/>
                <w:sz w:val="13"/>
              </w:rPr>
              <w:t>c. Unassigned/Unappropriated</w:t>
            </w:r>
          </w:p>
        </w:tc>
        <w:tc>
          <w:tcPr>
            <w:tcW w:w="865" w:type="dxa"/>
          </w:tcPr>
          <w:p>
            <w:pPr>
              <w:pStyle w:val="TableParagraph"/>
              <w:spacing w:before="16"/>
              <w:ind w:left="60"/>
              <w:rPr>
                <w:rFonts w:ascii="Times New Roman"/>
                <w:sz w:val="13"/>
              </w:rPr>
            </w:pPr>
            <w:r>
              <w:rPr>
                <w:rFonts w:ascii="Times New Roman"/>
                <w:sz w:val="13"/>
              </w:rPr>
              <w:t>9790</w:t>
            </w:r>
          </w:p>
        </w:tc>
        <w:tc>
          <w:tcPr>
            <w:tcW w:w="1225" w:type="dxa"/>
            <w:gridSpan w:val="2"/>
          </w:tcPr>
          <w:p>
            <w:pPr>
              <w:pStyle w:val="TableParagraph"/>
              <w:spacing w:before="16"/>
              <w:ind w:left="366"/>
              <w:rPr>
                <w:rFonts w:ascii="Times New Roman"/>
                <w:sz w:val="13"/>
              </w:rPr>
            </w:pPr>
            <w:r>
              <w:rPr>
                <w:rFonts w:ascii="Times New Roman"/>
                <w:sz w:val="13"/>
              </w:rPr>
              <w:t>1,415,135.30</w:t>
            </w:r>
          </w:p>
        </w:tc>
        <w:tc>
          <w:tcPr>
            <w:tcW w:w="963" w:type="dxa"/>
            <w:shd w:val="clear" w:color="auto" w:fill="BFBFBF"/>
          </w:tcPr>
          <w:p>
            <w:pPr>
              <w:pStyle w:val="TableParagraph"/>
              <w:rPr>
                <w:rFonts w:ascii="Times New Roman"/>
                <w:sz w:val="12"/>
              </w:rPr>
            </w:pPr>
          </w:p>
        </w:tc>
        <w:tc>
          <w:tcPr>
            <w:tcW w:w="1272" w:type="dxa"/>
            <w:gridSpan w:val="2"/>
          </w:tcPr>
          <w:p>
            <w:pPr>
              <w:pStyle w:val="TableParagraph"/>
              <w:spacing w:before="16"/>
              <w:ind w:left="410"/>
              <w:rPr>
                <w:rFonts w:ascii="Times New Roman"/>
                <w:sz w:val="13"/>
              </w:rPr>
            </w:pPr>
            <w:r>
              <w:rPr>
                <w:rFonts w:ascii="Times New Roman"/>
                <w:sz w:val="13"/>
              </w:rPr>
              <w:t>1,430,046.87</w:t>
            </w:r>
          </w:p>
        </w:tc>
        <w:tc>
          <w:tcPr>
            <w:tcW w:w="954" w:type="dxa"/>
            <w:shd w:val="clear" w:color="auto" w:fill="BFBFBF"/>
          </w:tcPr>
          <w:p>
            <w:pPr>
              <w:pStyle w:val="TableParagraph"/>
              <w:rPr>
                <w:rFonts w:ascii="Times New Roman"/>
                <w:sz w:val="12"/>
              </w:rPr>
            </w:pPr>
          </w:p>
        </w:tc>
        <w:tc>
          <w:tcPr>
            <w:tcW w:w="1210" w:type="dxa"/>
            <w:gridSpan w:val="2"/>
          </w:tcPr>
          <w:p>
            <w:pPr>
              <w:pStyle w:val="TableParagraph"/>
              <w:spacing w:before="16"/>
              <w:ind w:left="416"/>
              <w:rPr>
                <w:rFonts w:ascii="Times New Roman"/>
                <w:sz w:val="13"/>
              </w:rPr>
            </w:pPr>
            <w:r>
              <w:rPr>
                <w:rFonts w:ascii="Times New Roman"/>
                <w:sz w:val="13"/>
              </w:rPr>
              <w:t>2,353,850.98</w:t>
            </w:r>
          </w:p>
        </w:tc>
      </w:tr>
      <w:tr>
        <w:trPr>
          <w:trHeight w:val="187" w:hRule="atLeast"/>
        </w:trPr>
        <w:tc>
          <w:tcPr>
            <w:tcW w:w="4338" w:type="dxa"/>
          </w:tcPr>
          <w:p>
            <w:pPr>
              <w:pStyle w:val="TableParagraph"/>
              <w:spacing w:before="16"/>
              <w:ind w:left="234"/>
              <w:rPr>
                <w:rFonts w:ascii="Times New Roman"/>
                <w:sz w:val="13"/>
              </w:rPr>
            </w:pPr>
            <w:r>
              <w:rPr>
                <w:rFonts w:ascii="Times New Roman"/>
                <w:sz w:val="13"/>
              </w:rPr>
              <w:t>d. Negative Restricted Ending Balances</w:t>
            </w:r>
          </w:p>
        </w:tc>
        <w:tc>
          <w:tcPr>
            <w:tcW w:w="865" w:type="dxa"/>
          </w:tcPr>
          <w:p>
            <w:pPr>
              <w:pStyle w:val="TableParagraph"/>
              <w:rPr>
                <w:rFonts w:ascii="Times New Roman"/>
                <w:sz w:val="12"/>
              </w:rPr>
            </w:pPr>
          </w:p>
        </w:tc>
        <w:tc>
          <w:tcPr>
            <w:tcW w:w="1225" w:type="dxa"/>
            <w:gridSpan w:val="2"/>
          </w:tcPr>
          <w:p>
            <w:pPr>
              <w:pStyle w:val="TableParagraph"/>
              <w:rPr>
                <w:rFonts w:ascii="Times New Roman"/>
                <w:sz w:val="12"/>
              </w:rPr>
            </w:pPr>
          </w:p>
        </w:tc>
        <w:tc>
          <w:tcPr>
            <w:tcW w:w="963" w:type="dxa"/>
            <w:shd w:val="clear" w:color="auto" w:fill="BFBFBF"/>
          </w:tcPr>
          <w:p>
            <w:pPr>
              <w:pStyle w:val="TableParagraph"/>
              <w:rPr>
                <w:rFonts w:ascii="Times New Roman"/>
                <w:sz w:val="12"/>
              </w:rPr>
            </w:pPr>
          </w:p>
        </w:tc>
        <w:tc>
          <w:tcPr>
            <w:tcW w:w="1272" w:type="dxa"/>
            <w:gridSpan w:val="2"/>
          </w:tcPr>
          <w:p>
            <w:pPr>
              <w:pStyle w:val="TableParagraph"/>
              <w:rPr>
                <w:rFonts w:ascii="Times New Roman"/>
                <w:sz w:val="12"/>
              </w:rPr>
            </w:pPr>
          </w:p>
        </w:tc>
        <w:tc>
          <w:tcPr>
            <w:tcW w:w="954" w:type="dxa"/>
            <w:shd w:val="clear" w:color="auto" w:fill="BFBFBF"/>
          </w:tcPr>
          <w:p>
            <w:pPr>
              <w:pStyle w:val="TableParagraph"/>
              <w:rPr>
                <w:rFonts w:ascii="Times New Roman"/>
                <w:sz w:val="12"/>
              </w:rPr>
            </w:pPr>
          </w:p>
        </w:tc>
        <w:tc>
          <w:tcPr>
            <w:tcW w:w="1210" w:type="dxa"/>
            <w:gridSpan w:val="2"/>
          </w:tcPr>
          <w:p>
            <w:pPr>
              <w:pStyle w:val="TableParagraph"/>
              <w:rPr>
                <w:rFonts w:ascii="Times New Roman"/>
                <w:sz w:val="12"/>
              </w:rPr>
            </w:pPr>
          </w:p>
        </w:tc>
      </w:tr>
      <w:tr>
        <w:trPr>
          <w:trHeight w:val="187" w:hRule="atLeast"/>
        </w:trPr>
        <w:tc>
          <w:tcPr>
            <w:tcW w:w="4338" w:type="dxa"/>
          </w:tcPr>
          <w:p>
            <w:pPr>
              <w:pStyle w:val="TableParagraph"/>
              <w:spacing w:before="16"/>
              <w:ind w:left="334"/>
              <w:rPr>
                <w:rFonts w:ascii="Times New Roman"/>
                <w:sz w:val="13"/>
              </w:rPr>
            </w:pPr>
            <w:r>
              <w:rPr>
                <w:rFonts w:ascii="Times New Roman"/>
                <w:sz w:val="13"/>
              </w:rPr>
              <w:t>(Negative resources 2000-9999)</w:t>
            </w:r>
          </w:p>
        </w:tc>
        <w:tc>
          <w:tcPr>
            <w:tcW w:w="865" w:type="dxa"/>
          </w:tcPr>
          <w:p>
            <w:pPr>
              <w:pStyle w:val="TableParagraph"/>
              <w:spacing w:before="16"/>
              <w:ind w:left="55"/>
              <w:rPr>
                <w:rFonts w:ascii="Times New Roman"/>
                <w:sz w:val="13"/>
              </w:rPr>
            </w:pPr>
            <w:r>
              <w:rPr>
                <w:rFonts w:ascii="Times New Roman"/>
                <w:sz w:val="13"/>
              </w:rPr>
              <w:t>979Z</w:t>
            </w:r>
          </w:p>
        </w:tc>
        <w:tc>
          <w:tcPr>
            <w:tcW w:w="1225" w:type="dxa"/>
            <w:gridSpan w:val="2"/>
          </w:tcPr>
          <w:p>
            <w:pPr>
              <w:pStyle w:val="TableParagraph"/>
              <w:rPr>
                <w:rFonts w:ascii="Times New Roman"/>
                <w:sz w:val="12"/>
              </w:rPr>
            </w:pPr>
          </w:p>
        </w:tc>
        <w:tc>
          <w:tcPr>
            <w:tcW w:w="963" w:type="dxa"/>
            <w:shd w:val="clear" w:color="auto" w:fill="BFBFBF"/>
          </w:tcPr>
          <w:p>
            <w:pPr>
              <w:pStyle w:val="TableParagraph"/>
              <w:rPr>
                <w:rFonts w:ascii="Times New Roman"/>
                <w:sz w:val="12"/>
              </w:rPr>
            </w:pPr>
          </w:p>
        </w:tc>
        <w:tc>
          <w:tcPr>
            <w:tcW w:w="1272" w:type="dxa"/>
            <w:gridSpan w:val="2"/>
          </w:tcPr>
          <w:p>
            <w:pPr>
              <w:pStyle w:val="TableParagraph"/>
              <w:spacing w:before="16"/>
              <w:ind w:right="154"/>
              <w:jc w:val="right"/>
              <w:rPr>
                <w:rFonts w:ascii="Times New Roman"/>
                <w:sz w:val="13"/>
              </w:rPr>
            </w:pPr>
            <w:r>
              <w:rPr>
                <w:rFonts w:ascii="Times New Roman"/>
                <w:sz w:val="13"/>
              </w:rPr>
              <w:t>0.00</w:t>
            </w:r>
          </w:p>
        </w:tc>
        <w:tc>
          <w:tcPr>
            <w:tcW w:w="954" w:type="dxa"/>
            <w:shd w:val="clear" w:color="auto" w:fill="BFBFBF"/>
          </w:tcPr>
          <w:p>
            <w:pPr>
              <w:pStyle w:val="TableParagraph"/>
              <w:rPr>
                <w:rFonts w:ascii="Times New Roman"/>
                <w:sz w:val="12"/>
              </w:rPr>
            </w:pPr>
          </w:p>
        </w:tc>
        <w:tc>
          <w:tcPr>
            <w:tcW w:w="1210" w:type="dxa"/>
            <w:gridSpan w:val="2"/>
          </w:tcPr>
          <w:p>
            <w:pPr>
              <w:pStyle w:val="TableParagraph"/>
              <w:spacing w:before="16"/>
              <w:ind w:right="86"/>
              <w:jc w:val="right"/>
              <w:rPr>
                <w:rFonts w:ascii="Times New Roman"/>
                <w:sz w:val="13"/>
              </w:rPr>
            </w:pPr>
            <w:r>
              <w:rPr>
                <w:rFonts w:ascii="Times New Roman"/>
                <w:sz w:val="13"/>
              </w:rPr>
              <w:t>0.00</w:t>
            </w:r>
          </w:p>
        </w:tc>
      </w:tr>
      <w:tr>
        <w:trPr>
          <w:trHeight w:val="188" w:hRule="atLeast"/>
        </w:trPr>
        <w:tc>
          <w:tcPr>
            <w:tcW w:w="5203" w:type="dxa"/>
            <w:gridSpan w:val="2"/>
          </w:tcPr>
          <w:p>
            <w:pPr>
              <w:pStyle w:val="TableParagraph"/>
              <w:spacing w:before="16"/>
              <w:ind w:left="100"/>
              <w:rPr>
                <w:rFonts w:ascii="Times New Roman"/>
                <w:sz w:val="13"/>
              </w:rPr>
            </w:pPr>
            <w:r>
              <w:rPr>
                <w:rFonts w:ascii="Times New Roman"/>
                <w:sz w:val="13"/>
              </w:rPr>
              <w:t>2. Special Reserve Fund - Noncapital Outlay (Fund 17)</w:t>
            </w:r>
          </w:p>
        </w:tc>
        <w:tc>
          <w:tcPr>
            <w:tcW w:w="1225" w:type="dxa"/>
            <w:gridSpan w:val="2"/>
          </w:tcPr>
          <w:p>
            <w:pPr>
              <w:pStyle w:val="TableParagraph"/>
              <w:rPr>
                <w:rFonts w:ascii="Times New Roman"/>
                <w:sz w:val="12"/>
              </w:rPr>
            </w:pPr>
          </w:p>
        </w:tc>
        <w:tc>
          <w:tcPr>
            <w:tcW w:w="963" w:type="dxa"/>
            <w:shd w:val="clear" w:color="auto" w:fill="BFBFBF"/>
          </w:tcPr>
          <w:p>
            <w:pPr>
              <w:pStyle w:val="TableParagraph"/>
              <w:rPr>
                <w:rFonts w:ascii="Times New Roman"/>
                <w:sz w:val="12"/>
              </w:rPr>
            </w:pPr>
          </w:p>
        </w:tc>
        <w:tc>
          <w:tcPr>
            <w:tcW w:w="1272" w:type="dxa"/>
            <w:gridSpan w:val="2"/>
          </w:tcPr>
          <w:p>
            <w:pPr>
              <w:pStyle w:val="TableParagraph"/>
              <w:rPr>
                <w:rFonts w:ascii="Times New Roman"/>
                <w:sz w:val="12"/>
              </w:rPr>
            </w:pPr>
          </w:p>
        </w:tc>
        <w:tc>
          <w:tcPr>
            <w:tcW w:w="954" w:type="dxa"/>
            <w:shd w:val="clear" w:color="auto" w:fill="BFBFBF"/>
          </w:tcPr>
          <w:p>
            <w:pPr>
              <w:pStyle w:val="TableParagraph"/>
              <w:rPr>
                <w:rFonts w:ascii="Times New Roman"/>
                <w:sz w:val="12"/>
              </w:rPr>
            </w:pPr>
          </w:p>
        </w:tc>
        <w:tc>
          <w:tcPr>
            <w:tcW w:w="1210" w:type="dxa"/>
            <w:gridSpan w:val="2"/>
          </w:tcPr>
          <w:p>
            <w:pPr>
              <w:pStyle w:val="TableParagraph"/>
              <w:rPr>
                <w:rFonts w:ascii="Times New Roman"/>
                <w:sz w:val="12"/>
              </w:rPr>
            </w:pPr>
          </w:p>
        </w:tc>
      </w:tr>
      <w:tr>
        <w:trPr>
          <w:trHeight w:val="166" w:hRule="atLeast"/>
        </w:trPr>
        <w:tc>
          <w:tcPr>
            <w:tcW w:w="4338" w:type="dxa"/>
          </w:tcPr>
          <w:p>
            <w:pPr>
              <w:pStyle w:val="TableParagraph"/>
              <w:spacing w:line="146" w:lineRule="exact"/>
              <w:ind w:left="234"/>
              <w:rPr>
                <w:rFonts w:ascii="Times New Roman"/>
                <w:sz w:val="13"/>
              </w:rPr>
            </w:pPr>
            <w:r>
              <w:rPr>
                <w:rFonts w:ascii="Times New Roman"/>
                <w:sz w:val="13"/>
              </w:rPr>
              <w:t>a. Stabilization Arrangements</w:t>
            </w:r>
          </w:p>
        </w:tc>
        <w:tc>
          <w:tcPr>
            <w:tcW w:w="865" w:type="dxa"/>
          </w:tcPr>
          <w:p>
            <w:pPr>
              <w:pStyle w:val="TableParagraph"/>
              <w:spacing w:line="146" w:lineRule="exact"/>
              <w:ind w:left="60"/>
              <w:rPr>
                <w:rFonts w:ascii="Times New Roman"/>
                <w:sz w:val="13"/>
              </w:rPr>
            </w:pPr>
            <w:r>
              <w:rPr>
                <w:rFonts w:ascii="Times New Roman"/>
                <w:sz w:val="13"/>
              </w:rPr>
              <w:t>9750</w:t>
            </w:r>
          </w:p>
        </w:tc>
        <w:tc>
          <w:tcPr>
            <w:tcW w:w="1225" w:type="dxa"/>
            <w:gridSpan w:val="2"/>
          </w:tcPr>
          <w:p>
            <w:pPr>
              <w:pStyle w:val="TableParagraph"/>
              <w:spacing w:line="146" w:lineRule="exact"/>
              <w:ind w:right="151"/>
              <w:jc w:val="right"/>
              <w:rPr>
                <w:rFonts w:ascii="Times New Roman"/>
                <w:sz w:val="13"/>
              </w:rPr>
            </w:pPr>
            <w:r>
              <w:rPr>
                <w:rFonts w:ascii="Times New Roman"/>
                <w:sz w:val="13"/>
              </w:rPr>
              <w:t>0.00</w:t>
            </w:r>
          </w:p>
        </w:tc>
        <w:tc>
          <w:tcPr>
            <w:tcW w:w="2235" w:type="dxa"/>
            <w:gridSpan w:val="3"/>
          </w:tcPr>
          <w:p>
            <w:pPr>
              <w:pStyle w:val="TableParagraph"/>
              <w:spacing w:line="146" w:lineRule="exact"/>
              <w:ind w:right="154"/>
              <w:jc w:val="right"/>
              <w:rPr>
                <w:rFonts w:ascii="Times New Roman"/>
                <w:sz w:val="13"/>
              </w:rPr>
            </w:pPr>
            <w:r>
              <w:rPr>
                <w:rFonts w:ascii="Times New Roman"/>
                <w:sz w:val="13"/>
              </w:rPr>
              <w:t>0.00</w:t>
            </w:r>
          </w:p>
        </w:tc>
        <w:tc>
          <w:tcPr>
            <w:tcW w:w="2164" w:type="dxa"/>
            <w:gridSpan w:val="3"/>
          </w:tcPr>
          <w:p>
            <w:pPr>
              <w:pStyle w:val="TableParagraph"/>
              <w:spacing w:line="146" w:lineRule="exact"/>
              <w:ind w:right="86"/>
              <w:jc w:val="right"/>
              <w:rPr>
                <w:rFonts w:ascii="Times New Roman"/>
                <w:sz w:val="13"/>
              </w:rPr>
            </w:pPr>
            <w:r>
              <w:rPr>
                <w:rFonts w:ascii="Times New Roman"/>
                <w:sz w:val="13"/>
              </w:rPr>
              <w:t>0.00</w:t>
            </w:r>
          </w:p>
        </w:tc>
      </w:tr>
      <w:tr>
        <w:trPr>
          <w:trHeight w:val="187" w:hRule="atLeast"/>
        </w:trPr>
        <w:tc>
          <w:tcPr>
            <w:tcW w:w="4338" w:type="dxa"/>
          </w:tcPr>
          <w:p>
            <w:pPr>
              <w:pStyle w:val="TableParagraph"/>
              <w:spacing w:before="16"/>
              <w:ind w:left="234"/>
              <w:rPr>
                <w:rFonts w:ascii="Times New Roman"/>
                <w:sz w:val="13"/>
              </w:rPr>
            </w:pPr>
            <w:r>
              <w:rPr>
                <w:rFonts w:ascii="Times New Roman"/>
                <w:sz w:val="13"/>
              </w:rPr>
              <w:t>b. Reserve for Economic Uncertainties</w:t>
            </w:r>
          </w:p>
        </w:tc>
        <w:tc>
          <w:tcPr>
            <w:tcW w:w="865" w:type="dxa"/>
          </w:tcPr>
          <w:p>
            <w:pPr>
              <w:pStyle w:val="TableParagraph"/>
              <w:spacing w:before="16"/>
              <w:ind w:left="60"/>
              <w:rPr>
                <w:rFonts w:ascii="Times New Roman"/>
                <w:sz w:val="13"/>
              </w:rPr>
            </w:pPr>
            <w:r>
              <w:rPr>
                <w:rFonts w:ascii="Times New Roman"/>
                <w:sz w:val="13"/>
              </w:rPr>
              <w:t>9789</w:t>
            </w:r>
          </w:p>
        </w:tc>
        <w:tc>
          <w:tcPr>
            <w:tcW w:w="1225" w:type="dxa"/>
            <w:gridSpan w:val="2"/>
          </w:tcPr>
          <w:p>
            <w:pPr>
              <w:pStyle w:val="TableParagraph"/>
              <w:spacing w:before="16"/>
              <w:ind w:left="467"/>
              <w:rPr>
                <w:rFonts w:ascii="Times New Roman"/>
                <w:sz w:val="13"/>
              </w:rPr>
            </w:pPr>
            <w:r>
              <w:rPr>
                <w:rFonts w:ascii="Times New Roman"/>
                <w:sz w:val="13"/>
              </w:rPr>
              <w:t>410,364.00</w:t>
            </w:r>
          </w:p>
        </w:tc>
        <w:tc>
          <w:tcPr>
            <w:tcW w:w="2235" w:type="dxa"/>
            <w:gridSpan w:val="3"/>
          </w:tcPr>
          <w:p>
            <w:pPr>
              <w:pStyle w:val="TableParagraph"/>
              <w:spacing w:before="16"/>
              <w:ind w:left="1474"/>
              <w:rPr>
                <w:rFonts w:ascii="Times New Roman"/>
                <w:sz w:val="13"/>
              </w:rPr>
            </w:pPr>
            <w:r>
              <w:rPr>
                <w:rFonts w:ascii="Times New Roman"/>
                <w:sz w:val="13"/>
              </w:rPr>
              <w:t>410,364.00</w:t>
            </w:r>
          </w:p>
        </w:tc>
        <w:tc>
          <w:tcPr>
            <w:tcW w:w="2164" w:type="dxa"/>
            <w:gridSpan w:val="3"/>
          </w:tcPr>
          <w:p>
            <w:pPr>
              <w:pStyle w:val="TableParagraph"/>
              <w:spacing w:before="16"/>
              <w:ind w:right="87"/>
              <w:jc w:val="right"/>
              <w:rPr>
                <w:rFonts w:ascii="Times New Roman"/>
                <w:sz w:val="13"/>
              </w:rPr>
            </w:pPr>
            <w:r>
              <w:rPr>
                <w:rFonts w:ascii="Times New Roman"/>
                <w:sz w:val="13"/>
              </w:rPr>
              <w:t>410,364.00</w:t>
            </w:r>
          </w:p>
        </w:tc>
      </w:tr>
      <w:tr>
        <w:trPr>
          <w:trHeight w:val="177" w:hRule="atLeast"/>
        </w:trPr>
        <w:tc>
          <w:tcPr>
            <w:tcW w:w="4338" w:type="dxa"/>
          </w:tcPr>
          <w:p>
            <w:pPr>
              <w:pStyle w:val="TableParagraph"/>
              <w:spacing w:line="141" w:lineRule="exact" w:before="16"/>
              <w:ind w:left="234"/>
              <w:rPr>
                <w:rFonts w:ascii="Times New Roman"/>
                <w:sz w:val="13"/>
              </w:rPr>
            </w:pPr>
            <w:r>
              <w:rPr>
                <w:rFonts w:ascii="Times New Roman"/>
                <w:sz w:val="13"/>
              </w:rPr>
              <w:t>c. Unassigned/Unappropriated</w:t>
            </w:r>
          </w:p>
        </w:tc>
        <w:tc>
          <w:tcPr>
            <w:tcW w:w="865" w:type="dxa"/>
          </w:tcPr>
          <w:p>
            <w:pPr>
              <w:pStyle w:val="TableParagraph"/>
              <w:spacing w:line="141" w:lineRule="exact" w:before="16"/>
              <w:ind w:left="60"/>
              <w:rPr>
                <w:rFonts w:ascii="Times New Roman"/>
                <w:sz w:val="13"/>
              </w:rPr>
            </w:pPr>
            <w:r>
              <w:rPr>
                <w:rFonts w:ascii="Times New Roman"/>
                <w:sz w:val="13"/>
              </w:rPr>
              <w:t>9790</w:t>
            </w:r>
          </w:p>
        </w:tc>
        <w:tc>
          <w:tcPr>
            <w:tcW w:w="1225" w:type="dxa"/>
            <w:gridSpan w:val="2"/>
          </w:tcPr>
          <w:p>
            <w:pPr>
              <w:pStyle w:val="TableParagraph"/>
              <w:spacing w:line="141" w:lineRule="exact" w:before="16"/>
              <w:ind w:right="151"/>
              <w:jc w:val="right"/>
              <w:rPr>
                <w:rFonts w:ascii="Times New Roman"/>
                <w:sz w:val="13"/>
              </w:rPr>
            </w:pPr>
            <w:r>
              <w:rPr>
                <w:rFonts w:ascii="Times New Roman"/>
                <w:sz w:val="13"/>
              </w:rPr>
              <w:t>0.00</w:t>
            </w:r>
          </w:p>
        </w:tc>
        <w:tc>
          <w:tcPr>
            <w:tcW w:w="2235" w:type="dxa"/>
            <w:gridSpan w:val="3"/>
          </w:tcPr>
          <w:p>
            <w:pPr>
              <w:pStyle w:val="TableParagraph"/>
              <w:spacing w:line="141" w:lineRule="exact" w:before="16"/>
              <w:ind w:right="154"/>
              <w:jc w:val="right"/>
              <w:rPr>
                <w:rFonts w:ascii="Times New Roman"/>
                <w:sz w:val="13"/>
              </w:rPr>
            </w:pPr>
            <w:r>
              <w:rPr>
                <w:rFonts w:ascii="Times New Roman"/>
                <w:sz w:val="13"/>
              </w:rPr>
              <w:t>0.00</w:t>
            </w:r>
          </w:p>
        </w:tc>
        <w:tc>
          <w:tcPr>
            <w:tcW w:w="2164" w:type="dxa"/>
            <w:gridSpan w:val="3"/>
          </w:tcPr>
          <w:p>
            <w:pPr>
              <w:pStyle w:val="TableParagraph"/>
              <w:spacing w:line="141" w:lineRule="exact" w:before="16"/>
              <w:ind w:right="86"/>
              <w:jc w:val="right"/>
              <w:rPr>
                <w:rFonts w:ascii="Times New Roman"/>
                <w:sz w:val="13"/>
              </w:rPr>
            </w:pPr>
            <w:r>
              <w:rPr>
                <w:rFonts w:ascii="Times New Roman"/>
                <w:sz w:val="13"/>
              </w:rPr>
              <w:t>0.00</w:t>
            </w:r>
          </w:p>
        </w:tc>
      </w:tr>
      <w:tr>
        <w:trPr>
          <w:trHeight w:val="177" w:hRule="atLeast"/>
        </w:trPr>
        <w:tc>
          <w:tcPr>
            <w:tcW w:w="4338" w:type="dxa"/>
          </w:tcPr>
          <w:p>
            <w:pPr>
              <w:pStyle w:val="TableParagraph"/>
              <w:spacing w:before="7"/>
              <w:ind w:left="100"/>
              <w:rPr>
                <w:rFonts w:ascii="Times New Roman"/>
                <w:sz w:val="13"/>
              </w:rPr>
            </w:pPr>
            <w:r>
              <w:rPr>
                <w:rFonts w:ascii="Times New Roman"/>
                <w:sz w:val="13"/>
              </w:rPr>
              <w:t>3. Total Available Reserves - by Amount (Sum lines E1a thru E2c)</w:t>
            </w:r>
          </w:p>
        </w:tc>
        <w:tc>
          <w:tcPr>
            <w:tcW w:w="865" w:type="dxa"/>
          </w:tcPr>
          <w:p>
            <w:pPr>
              <w:pStyle w:val="TableParagraph"/>
              <w:rPr>
                <w:rFonts w:ascii="Times New Roman"/>
                <w:sz w:val="10"/>
              </w:rPr>
            </w:pPr>
          </w:p>
        </w:tc>
        <w:tc>
          <w:tcPr>
            <w:tcW w:w="1225" w:type="dxa"/>
            <w:gridSpan w:val="2"/>
          </w:tcPr>
          <w:p>
            <w:pPr>
              <w:pStyle w:val="TableParagraph"/>
              <w:spacing w:before="7"/>
              <w:ind w:left="366"/>
              <w:rPr>
                <w:rFonts w:ascii="Times New Roman"/>
                <w:sz w:val="13"/>
              </w:rPr>
            </w:pPr>
            <w:r>
              <w:rPr>
                <w:rFonts w:ascii="Times New Roman"/>
                <w:sz w:val="13"/>
              </w:rPr>
              <w:t>1,931,368.00</w:t>
            </w:r>
          </w:p>
        </w:tc>
        <w:tc>
          <w:tcPr>
            <w:tcW w:w="2235" w:type="dxa"/>
            <w:gridSpan w:val="3"/>
          </w:tcPr>
          <w:p>
            <w:pPr>
              <w:pStyle w:val="TableParagraph"/>
              <w:spacing w:before="7"/>
              <w:ind w:left="1373"/>
              <w:rPr>
                <w:rFonts w:ascii="Times New Roman"/>
                <w:sz w:val="13"/>
              </w:rPr>
            </w:pPr>
            <w:r>
              <w:rPr>
                <w:rFonts w:ascii="Times New Roman"/>
                <w:sz w:val="13"/>
              </w:rPr>
              <w:t>1,940,319.00</w:t>
            </w:r>
          </w:p>
        </w:tc>
        <w:tc>
          <w:tcPr>
            <w:tcW w:w="2164" w:type="dxa"/>
            <w:gridSpan w:val="3"/>
          </w:tcPr>
          <w:p>
            <w:pPr>
              <w:pStyle w:val="TableParagraph"/>
              <w:spacing w:before="7"/>
              <w:ind w:left="1370"/>
              <w:rPr>
                <w:rFonts w:ascii="Times New Roman"/>
                <w:sz w:val="13"/>
              </w:rPr>
            </w:pPr>
            <w:r>
              <w:rPr>
                <w:rFonts w:ascii="Times New Roman"/>
                <w:sz w:val="13"/>
              </w:rPr>
              <w:t>2,866,232.63</w:t>
            </w:r>
          </w:p>
        </w:tc>
      </w:tr>
      <w:tr>
        <w:trPr>
          <w:trHeight w:val="198" w:hRule="atLeast"/>
        </w:trPr>
        <w:tc>
          <w:tcPr>
            <w:tcW w:w="4338" w:type="dxa"/>
          </w:tcPr>
          <w:p>
            <w:pPr>
              <w:pStyle w:val="TableParagraph"/>
              <w:spacing w:before="16"/>
              <w:ind w:left="100"/>
              <w:rPr>
                <w:rFonts w:ascii="Times New Roman"/>
                <w:sz w:val="13"/>
              </w:rPr>
            </w:pPr>
            <w:r>
              <w:rPr>
                <w:rFonts w:ascii="Times New Roman"/>
                <w:sz w:val="13"/>
              </w:rPr>
              <w:t>4. Total Available Reserves - by Percent (Line E3 divided by Line F3c)</w:t>
            </w:r>
          </w:p>
        </w:tc>
        <w:tc>
          <w:tcPr>
            <w:tcW w:w="865" w:type="dxa"/>
          </w:tcPr>
          <w:p>
            <w:pPr>
              <w:pStyle w:val="TableParagraph"/>
              <w:rPr>
                <w:rFonts w:ascii="Times New Roman"/>
                <w:sz w:val="12"/>
              </w:rPr>
            </w:pPr>
          </w:p>
        </w:tc>
        <w:tc>
          <w:tcPr>
            <w:tcW w:w="1225" w:type="dxa"/>
            <w:gridSpan w:val="2"/>
          </w:tcPr>
          <w:p>
            <w:pPr>
              <w:pStyle w:val="TableParagraph"/>
              <w:spacing w:before="16"/>
              <w:ind w:left="702"/>
              <w:rPr>
                <w:rFonts w:ascii="Times New Roman"/>
                <w:sz w:val="13"/>
              </w:rPr>
            </w:pPr>
            <w:r>
              <w:rPr>
                <w:rFonts w:ascii="Times New Roman"/>
                <w:sz w:val="13"/>
              </w:rPr>
              <w:t>91.22%</w:t>
            </w:r>
          </w:p>
        </w:tc>
        <w:tc>
          <w:tcPr>
            <w:tcW w:w="2235" w:type="dxa"/>
            <w:gridSpan w:val="3"/>
          </w:tcPr>
          <w:p>
            <w:pPr>
              <w:pStyle w:val="TableParagraph"/>
              <w:spacing w:before="16"/>
              <w:ind w:right="110"/>
              <w:jc w:val="right"/>
              <w:rPr>
                <w:rFonts w:ascii="Times New Roman"/>
                <w:sz w:val="13"/>
              </w:rPr>
            </w:pPr>
            <w:r>
              <w:rPr>
                <w:rFonts w:ascii="Times New Roman"/>
                <w:sz w:val="13"/>
              </w:rPr>
              <w:t>97.11%</w:t>
            </w:r>
          </w:p>
        </w:tc>
        <w:tc>
          <w:tcPr>
            <w:tcW w:w="2164" w:type="dxa"/>
            <w:gridSpan w:val="3"/>
          </w:tcPr>
          <w:p>
            <w:pPr>
              <w:pStyle w:val="TableParagraph"/>
              <w:spacing w:before="16"/>
              <w:ind w:right="42"/>
              <w:jc w:val="right"/>
              <w:rPr>
                <w:rFonts w:ascii="Times New Roman"/>
                <w:sz w:val="13"/>
              </w:rPr>
            </w:pPr>
            <w:r>
              <w:rPr>
                <w:rFonts w:ascii="Times New Roman"/>
                <w:sz w:val="13"/>
              </w:rPr>
              <w:t>140.50%</w:t>
            </w:r>
          </w:p>
        </w:tc>
      </w:tr>
      <w:tr>
        <w:trPr>
          <w:trHeight w:val="208" w:hRule="atLeast"/>
        </w:trPr>
        <w:tc>
          <w:tcPr>
            <w:tcW w:w="4338" w:type="dxa"/>
          </w:tcPr>
          <w:p>
            <w:pPr>
              <w:pStyle w:val="TableParagraph"/>
              <w:spacing w:before="27"/>
              <w:ind w:left="32"/>
              <w:rPr>
                <w:rFonts w:ascii="Times New Roman"/>
                <w:sz w:val="13"/>
              </w:rPr>
            </w:pPr>
            <w:r>
              <w:rPr>
                <w:rFonts w:ascii="Times New Roman"/>
                <w:sz w:val="13"/>
              </w:rPr>
              <w:t>F. RECOMMENDED RESERVES</w:t>
            </w:r>
          </w:p>
        </w:tc>
        <w:tc>
          <w:tcPr>
            <w:tcW w:w="865" w:type="dxa"/>
          </w:tcPr>
          <w:p>
            <w:pPr>
              <w:pStyle w:val="TableParagraph"/>
              <w:rPr>
                <w:rFonts w:ascii="Times New Roman"/>
                <w:sz w:val="12"/>
              </w:rPr>
            </w:pPr>
          </w:p>
        </w:tc>
        <w:tc>
          <w:tcPr>
            <w:tcW w:w="1225" w:type="dxa"/>
            <w:gridSpan w:val="2"/>
            <w:shd w:val="clear" w:color="auto" w:fill="BFBFBF"/>
          </w:tcPr>
          <w:p>
            <w:pPr>
              <w:pStyle w:val="TableParagraph"/>
              <w:rPr>
                <w:rFonts w:ascii="Times New Roman"/>
                <w:sz w:val="12"/>
              </w:rPr>
            </w:pPr>
          </w:p>
        </w:tc>
        <w:tc>
          <w:tcPr>
            <w:tcW w:w="2235" w:type="dxa"/>
            <w:gridSpan w:val="3"/>
            <w:shd w:val="clear" w:color="auto" w:fill="BFBFBF"/>
          </w:tcPr>
          <w:p>
            <w:pPr>
              <w:pStyle w:val="TableParagraph"/>
              <w:rPr>
                <w:rFonts w:ascii="Times New Roman"/>
                <w:sz w:val="12"/>
              </w:rPr>
            </w:pPr>
          </w:p>
        </w:tc>
        <w:tc>
          <w:tcPr>
            <w:tcW w:w="2164" w:type="dxa"/>
            <w:gridSpan w:val="3"/>
            <w:shd w:val="clear" w:color="auto" w:fill="BFBFBF"/>
          </w:tcPr>
          <w:p>
            <w:pPr>
              <w:pStyle w:val="TableParagraph"/>
              <w:rPr>
                <w:rFonts w:ascii="Times New Roman"/>
                <w:sz w:val="12"/>
              </w:rPr>
            </w:pPr>
          </w:p>
        </w:tc>
      </w:tr>
      <w:tr>
        <w:trPr>
          <w:trHeight w:val="208" w:hRule="atLeast"/>
        </w:trPr>
        <w:tc>
          <w:tcPr>
            <w:tcW w:w="4338" w:type="dxa"/>
          </w:tcPr>
          <w:p>
            <w:pPr>
              <w:pStyle w:val="TableParagraph"/>
              <w:spacing w:before="27"/>
              <w:ind w:left="100"/>
              <w:rPr>
                <w:rFonts w:ascii="Times New Roman"/>
                <w:sz w:val="13"/>
              </w:rPr>
            </w:pPr>
            <w:r>
              <w:rPr>
                <w:rFonts w:ascii="Times New Roman"/>
                <w:sz w:val="13"/>
              </w:rPr>
              <w:t>1. Special Education Pass-through Exclusions</w:t>
            </w:r>
          </w:p>
        </w:tc>
        <w:tc>
          <w:tcPr>
            <w:tcW w:w="865" w:type="dxa"/>
          </w:tcPr>
          <w:p>
            <w:pPr>
              <w:pStyle w:val="TableParagraph"/>
              <w:rPr>
                <w:rFonts w:ascii="Times New Roman"/>
                <w:sz w:val="12"/>
              </w:rPr>
            </w:pPr>
          </w:p>
        </w:tc>
        <w:tc>
          <w:tcPr>
            <w:tcW w:w="1225" w:type="dxa"/>
            <w:gridSpan w:val="2"/>
            <w:shd w:val="clear" w:color="auto" w:fill="BFBFBF"/>
          </w:tcPr>
          <w:p>
            <w:pPr>
              <w:pStyle w:val="TableParagraph"/>
              <w:rPr>
                <w:rFonts w:ascii="Times New Roman"/>
                <w:sz w:val="12"/>
              </w:rPr>
            </w:pPr>
          </w:p>
        </w:tc>
        <w:tc>
          <w:tcPr>
            <w:tcW w:w="2235" w:type="dxa"/>
            <w:gridSpan w:val="3"/>
            <w:shd w:val="clear" w:color="auto" w:fill="BFBFBF"/>
          </w:tcPr>
          <w:p>
            <w:pPr>
              <w:pStyle w:val="TableParagraph"/>
              <w:rPr>
                <w:rFonts w:ascii="Times New Roman"/>
                <w:sz w:val="12"/>
              </w:rPr>
            </w:pPr>
          </w:p>
        </w:tc>
        <w:tc>
          <w:tcPr>
            <w:tcW w:w="2164" w:type="dxa"/>
            <w:gridSpan w:val="3"/>
            <w:shd w:val="clear" w:color="auto" w:fill="BFBFBF"/>
          </w:tcPr>
          <w:p>
            <w:pPr>
              <w:pStyle w:val="TableParagraph"/>
              <w:rPr>
                <w:rFonts w:ascii="Times New Roman"/>
                <w:sz w:val="12"/>
              </w:rPr>
            </w:pPr>
          </w:p>
        </w:tc>
      </w:tr>
      <w:tr>
        <w:trPr>
          <w:trHeight w:val="3458" w:hRule="atLeast"/>
        </w:trPr>
        <w:tc>
          <w:tcPr>
            <w:tcW w:w="5203" w:type="dxa"/>
            <w:gridSpan w:val="2"/>
          </w:tcPr>
          <w:p>
            <w:pPr>
              <w:pStyle w:val="TableParagraph"/>
              <w:spacing w:line="336" w:lineRule="auto" w:before="27"/>
              <w:ind w:left="234" w:right="1849"/>
              <w:rPr>
                <w:rFonts w:ascii="Times New Roman"/>
                <w:sz w:val="13"/>
              </w:rPr>
            </w:pPr>
            <w:r>
              <w:rPr>
                <w:rFonts w:ascii="Times New Roman"/>
                <w:sz w:val="13"/>
              </w:rPr>
              <w:t>For districts that serve as the administrative unit (AU) of a special education local plan area (SELPA):</w:t>
            </w:r>
          </w:p>
          <w:p>
            <w:pPr>
              <w:pStyle w:val="TableParagraph"/>
              <w:numPr>
                <w:ilvl w:val="0"/>
                <w:numId w:val="61"/>
              </w:numPr>
              <w:tabs>
                <w:tab w:pos="359" w:val="left" w:leader="none"/>
              </w:tabs>
              <w:spacing w:line="149" w:lineRule="exact" w:before="0" w:after="0"/>
              <w:ind w:left="358" w:right="0" w:hanging="125"/>
              <w:jc w:val="left"/>
              <w:rPr>
                <w:rFonts w:ascii="Times New Roman"/>
                <w:sz w:val="13"/>
              </w:rPr>
            </w:pPr>
            <w:r>
              <w:rPr>
                <w:rFonts w:ascii="Times New Roman"/>
                <w:sz w:val="13"/>
              </w:rPr>
              <w:t>Do you choose to exclude from the reserve</w:t>
            </w:r>
            <w:r>
              <w:rPr>
                <w:rFonts w:ascii="Times New Roman"/>
                <w:spacing w:val="4"/>
                <w:sz w:val="13"/>
              </w:rPr>
              <w:t> </w:t>
            </w:r>
            <w:r>
              <w:rPr>
                <w:rFonts w:ascii="Times New Roman"/>
                <w:sz w:val="13"/>
              </w:rPr>
              <w:t>calculation</w:t>
            </w:r>
          </w:p>
          <w:p>
            <w:pPr>
              <w:pStyle w:val="TableParagraph"/>
              <w:tabs>
                <w:tab w:pos="4451" w:val="left" w:leader="none"/>
              </w:tabs>
              <w:spacing w:before="59"/>
              <w:ind w:left="401"/>
              <w:rPr>
                <w:rFonts w:ascii="Times New Roman"/>
                <w:sz w:val="13"/>
              </w:rPr>
            </w:pPr>
            <w:r>
              <w:rPr>
                <w:rFonts w:ascii="Times New Roman"/>
                <w:sz w:val="13"/>
              </w:rPr>
              <w:t>the pass-through funds distributed to</w:t>
            </w:r>
            <w:r>
              <w:rPr>
                <w:rFonts w:ascii="Times New Roman"/>
                <w:spacing w:val="8"/>
                <w:sz w:val="13"/>
              </w:rPr>
              <w:t> </w:t>
            </w:r>
            <w:r>
              <w:rPr>
                <w:rFonts w:ascii="Times New Roman"/>
                <w:sz w:val="13"/>
              </w:rPr>
              <w:t>SELPA</w:t>
            </w:r>
            <w:r>
              <w:rPr>
                <w:rFonts w:ascii="Times New Roman"/>
                <w:spacing w:val="-1"/>
                <w:sz w:val="13"/>
              </w:rPr>
              <w:t> </w:t>
            </w:r>
            <w:r>
              <w:rPr>
                <w:rFonts w:ascii="Times New Roman"/>
                <w:sz w:val="13"/>
              </w:rPr>
              <w:t>members?</w:t>
              <w:tab/>
              <w:t>No</w:t>
            </w:r>
          </w:p>
          <w:p>
            <w:pPr>
              <w:pStyle w:val="TableParagraph"/>
              <w:numPr>
                <w:ilvl w:val="0"/>
                <w:numId w:val="61"/>
              </w:numPr>
              <w:tabs>
                <w:tab w:pos="369" w:val="left" w:leader="none"/>
              </w:tabs>
              <w:spacing w:line="210" w:lineRule="atLeast" w:before="0" w:after="0"/>
              <w:ind w:left="368" w:right="2112" w:hanging="135"/>
              <w:jc w:val="left"/>
              <w:rPr>
                <w:rFonts w:ascii="Times New Roman"/>
                <w:sz w:val="13"/>
              </w:rPr>
            </w:pPr>
            <w:r>
              <w:rPr>
                <w:rFonts w:ascii="Times New Roman"/>
                <w:sz w:val="13"/>
              </w:rPr>
              <w:t>If you are the SELPA AU and are excluding special education pass-through funds:</w:t>
            </w:r>
          </w:p>
          <w:p>
            <w:pPr>
              <w:pStyle w:val="TableParagraph"/>
              <w:numPr>
                <w:ilvl w:val="1"/>
                <w:numId w:val="61"/>
              </w:numPr>
              <w:tabs>
                <w:tab w:pos="504" w:val="left" w:leader="none"/>
              </w:tabs>
              <w:spacing w:line="240" w:lineRule="auto" w:before="17" w:after="0"/>
              <w:ind w:left="503" w:right="0" w:hanging="136"/>
              <w:jc w:val="left"/>
              <w:rPr>
                <w:rFonts w:ascii="Times New Roman"/>
                <w:sz w:val="13"/>
              </w:rPr>
            </w:pPr>
            <w:r>
              <w:rPr>
                <w:rFonts w:ascii="Times New Roman"/>
                <w:sz w:val="13"/>
              </w:rPr>
              <w:t>Enter the name(s) of the</w:t>
            </w:r>
            <w:r>
              <w:rPr>
                <w:rFonts w:ascii="Times New Roman"/>
                <w:spacing w:val="1"/>
                <w:sz w:val="13"/>
              </w:rPr>
              <w:t> </w:t>
            </w:r>
            <w:r>
              <w:rPr>
                <w:rFonts w:ascii="Times New Roman"/>
                <w:sz w:val="13"/>
              </w:rPr>
              <w:t>SELPA(s):</w:t>
            </w:r>
          </w:p>
          <w:p>
            <w:pPr>
              <w:pStyle w:val="TableParagraph"/>
              <w:rPr>
                <w:rFonts w:ascii="Times New Roman"/>
                <w:sz w:val="14"/>
              </w:rPr>
            </w:pPr>
          </w:p>
          <w:p>
            <w:pPr>
              <w:pStyle w:val="TableParagraph"/>
              <w:rPr>
                <w:rFonts w:ascii="Times New Roman"/>
                <w:sz w:val="14"/>
              </w:rPr>
            </w:pPr>
          </w:p>
          <w:p>
            <w:pPr>
              <w:pStyle w:val="TableParagraph"/>
              <w:spacing w:before="5"/>
              <w:rPr>
                <w:rFonts w:ascii="Times New Roman"/>
                <w:sz w:val="13"/>
              </w:rPr>
            </w:pPr>
          </w:p>
          <w:p>
            <w:pPr>
              <w:pStyle w:val="TableParagraph"/>
              <w:numPr>
                <w:ilvl w:val="1"/>
                <w:numId w:val="61"/>
              </w:numPr>
              <w:tabs>
                <w:tab w:pos="504" w:val="left" w:leader="none"/>
              </w:tabs>
              <w:spacing w:line="240" w:lineRule="auto" w:before="0" w:after="0"/>
              <w:ind w:left="503" w:right="0" w:hanging="136"/>
              <w:jc w:val="left"/>
              <w:rPr>
                <w:rFonts w:ascii="Times New Roman"/>
                <w:sz w:val="13"/>
              </w:rPr>
            </w:pPr>
            <w:r>
              <w:rPr>
                <w:rFonts w:ascii="Times New Roman"/>
                <w:sz w:val="13"/>
              </w:rPr>
              <w:t>Special education pass-through</w:t>
            </w:r>
            <w:r>
              <w:rPr>
                <w:rFonts w:ascii="Times New Roman"/>
                <w:spacing w:val="-2"/>
                <w:sz w:val="13"/>
              </w:rPr>
              <w:t> </w:t>
            </w:r>
            <w:r>
              <w:rPr>
                <w:rFonts w:ascii="Times New Roman"/>
                <w:sz w:val="13"/>
              </w:rPr>
              <w:t>funds</w:t>
            </w:r>
          </w:p>
          <w:p>
            <w:pPr>
              <w:pStyle w:val="TableParagraph"/>
              <w:spacing w:before="59"/>
              <w:ind w:left="503"/>
              <w:rPr>
                <w:rFonts w:ascii="Times New Roman"/>
                <w:sz w:val="13"/>
              </w:rPr>
            </w:pPr>
            <w:r>
              <w:rPr>
                <w:rFonts w:ascii="Times New Roman"/>
                <w:sz w:val="13"/>
              </w:rPr>
              <w:t>(Column A: Fund 10, resources 3300-3499, 6500-6540 and 6546,</w:t>
            </w:r>
          </w:p>
          <w:p>
            <w:pPr>
              <w:pStyle w:val="TableParagraph"/>
              <w:spacing w:line="268" w:lineRule="auto" w:before="60"/>
              <w:ind w:left="503" w:right="1849"/>
              <w:rPr>
                <w:rFonts w:ascii="Times New Roman"/>
                <w:sz w:val="13"/>
              </w:rPr>
            </w:pPr>
            <w:r>
              <w:rPr>
                <w:rFonts w:ascii="Times New Roman"/>
                <w:sz w:val="13"/>
              </w:rPr>
              <w:t>objects 7211-7213 and 7221-7223; enter projections for subsequent years 1 and 2 in Columns C and E)</w:t>
            </w:r>
          </w:p>
          <w:p>
            <w:pPr>
              <w:pStyle w:val="TableParagraph"/>
              <w:numPr>
                <w:ilvl w:val="0"/>
                <w:numId w:val="62"/>
              </w:numPr>
              <w:tabs>
                <w:tab w:pos="235" w:val="left" w:leader="none"/>
              </w:tabs>
              <w:spacing w:line="240" w:lineRule="auto" w:before="42" w:after="0"/>
              <w:ind w:left="234" w:right="0" w:hanging="135"/>
              <w:jc w:val="left"/>
              <w:rPr>
                <w:rFonts w:ascii="Times New Roman"/>
                <w:sz w:val="13"/>
              </w:rPr>
            </w:pPr>
            <w:r>
              <w:rPr>
                <w:rFonts w:ascii="Times New Roman"/>
                <w:sz w:val="13"/>
              </w:rPr>
              <w:t>District ADA</w:t>
            </w:r>
          </w:p>
          <w:p>
            <w:pPr>
              <w:pStyle w:val="TableParagraph"/>
              <w:spacing w:before="59"/>
              <w:ind w:left="267"/>
              <w:rPr>
                <w:rFonts w:ascii="Times New Roman"/>
                <w:sz w:val="13"/>
              </w:rPr>
            </w:pPr>
            <w:r>
              <w:rPr>
                <w:rFonts w:ascii="Times New Roman"/>
                <w:sz w:val="13"/>
              </w:rPr>
              <w:t>Used to determine the reserve standard percentage level on line F3d</w:t>
            </w:r>
          </w:p>
          <w:p>
            <w:pPr>
              <w:pStyle w:val="TableParagraph"/>
              <w:spacing w:before="59"/>
              <w:ind w:left="267"/>
              <w:rPr>
                <w:rFonts w:ascii="Times New Roman"/>
                <w:sz w:val="13"/>
              </w:rPr>
            </w:pPr>
            <w:r>
              <w:rPr>
                <w:rFonts w:ascii="Times New Roman"/>
                <w:sz w:val="13"/>
              </w:rPr>
              <w:t>(Col. A: Form A, Estimated P-2 ADA column, Lines A4 and C4; enter projections)</w:t>
            </w:r>
          </w:p>
          <w:p>
            <w:pPr>
              <w:pStyle w:val="TableParagraph"/>
              <w:numPr>
                <w:ilvl w:val="0"/>
                <w:numId w:val="62"/>
              </w:numPr>
              <w:tabs>
                <w:tab w:pos="235" w:val="left" w:leader="none"/>
              </w:tabs>
              <w:spacing w:line="240" w:lineRule="auto" w:before="60" w:after="0"/>
              <w:ind w:left="234" w:right="0" w:hanging="135"/>
              <w:jc w:val="left"/>
              <w:rPr>
                <w:rFonts w:ascii="Times New Roman"/>
                <w:sz w:val="13"/>
              </w:rPr>
            </w:pPr>
            <w:r>
              <w:rPr>
                <w:rFonts w:ascii="Times New Roman"/>
                <w:sz w:val="13"/>
              </w:rPr>
              <w:t>Calculating the</w:t>
            </w:r>
            <w:r>
              <w:rPr>
                <w:rFonts w:ascii="Times New Roman"/>
                <w:spacing w:val="-1"/>
                <w:sz w:val="13"/>
              </w:rPr>
              <w:t> </w:t>
            </w:r>
            <w:r>
              <w:rPr>
                <w:rFonts w:ascii="Times New Roman"/>
                <w:sz w:val="13"/>
              </w:rPr>
              <w:t>Reserves</w:t>
            </w:r>
          </w:p>
        </w:tc>
        <w:tc>
          <w:tcPr>
            <w:tcW w:w="1225" w:type="dxa"/>
            <w:gridSpan w:val="2"/>
          </w:tcPr>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spacing w:before="2"/>
              <w:rPr>
                <w:rFonts w:ascii="Times New Roman"/>
                <w:sz w:val="17"/>
              </w:rPr>
            </w:pPr>
          </w:p>
          <w:p>
            <w:pPr>
              <w:pStyle w:val="TableParagraph"/>
              <w:ind w:right="151"/>
              <w:jc w:val="right"/>
              <w:rPr>
                <w:rFonts w:ascii="Times New Roman"/>
                <w:sz w:val="13"/>
              </w:rPr>
            </w:pPr>
            <w:r>
              <w:rPr>
                <w:rFonts w:ascii="Times New Roman"/>
                <w:sz w:val="13"/>
              </w:rPr>
              <w:t>0.00</w:t>
            </w:r>
          </w:p>
          <w:p>
            <w:pPr>
              <w:pStyle w:val="TableParagraph"/>
              <w:rPr>
                <w:rFonts w:ascii="Times New Roman"/>
                <w:sz w:val="14"/>
              </w:rPr>
            </w:pPr>
          </w:p>
          <w:p>
            <w:pPr>
              <w:pStyle w:val="TableParagraph"/>
              <w:rPr>
                <w:rFonts w:ascii="Times New Roman"/>
                <w:sz w:val="14"/>
              </w:rPr>
            </w:pPr>
          </w:p>
          <w:p>
            <w:pPr>
              <w:pStyle w:val="TableParagraph"/>
              <w:spacing w:before="5"/>
              <w:rPr>
                <w:rFonts w:ascii="Times New Roman"/>
                <w:sz w:val="13"/>
              </w:rPr>
            </w:pPr>
          </w:p>
          <w:p>
            <w:pPr>
              <w:pStyle w:val="TableParagraph"/>
              <w:ind w:right="151"/>
              <w:jc w:val="right"/>
              <w:rPr>
                <w:rFonts w:ascii="Times New Roman"/>
                <w:sz w:val="13"/>
              </w:rPr>
            </w:pPr>
            <w:r>
              <w:rPr>
                <w:rFonts w:ascii="Times New Roman"/>
                <w:sz w:val="13"/>
              </w:rPr>
              <w:t>113.57</w:t>
            </w:r>
          </w:p>
        </w:tc>
        <w:tc>
          <w:tcPr>
            <w:tcW w:w="2235" w:type="dxa"/>
            <w:gridSpan w:val="3"/>
            <w:shd w:val="clear" w:color="auto" w:fill="BFBFBF"/>
          </w:tcPr>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spacing w:before="2"/>
              <w:rPr>
                <w:rFonts w:ascii="Times New Roman"/>
                <w:sz w:val="17"/>
              </w:rPr>
            </w:pPr>
          </w:p>
          <w:p>
            <w:pPr>
              <w:pStyle w:val="TableParagraph"/>
              <w:ind w:right="154"/>
              <w:jc w:val="right"/>
              <w:rPr>
                <w:rFonts w:ascii="Times New Roman"/>
                <w:sz w:val="13"/>
              </w:rPr>
            </w:pPr>
            <w:r>
              <w:rPr>
                <w:rFonts w:ascii="Times New Roman"/>
                <w:sz w:val="13"/>
              </w:rPr>
              <w:t>0.00</w:t>
            </w:r>
          </w:p>
          <w:p>
            <w:pPr>
              <w:pStyle w:val="TableParagraph"/>
              <w:rPr>
                <w:rFonts w:ascii="Times New Roman"/>
                <w:sz w:val="14"/>
              </w:rPr>
            </w:pPr>
          </w:p>
          <w:p>
            <w:pPr>
              <w:pStyle w:val="TableParagraph"/>
              <w:rPr>
                <w:rFonts w:ascii="Times New Roman"/>
                <w:sz w:val="14"/>
              </w:rPr>
            </w:pPr>
          </w:p>
          <w:p>
            <w:pPr>
              <w:pStyle w:val="TableParagraph"/>
              <w:spacing w:before="5"/>
              <w:rPr>
                <w:rFonts w:ascii="Times New Roman"/>
                <w:sz w:val="13"/>
              </w:rPr>
            </w:pPr>
          </w:p>
          <w:p>
            <w:pPr>
              <w:pStyle w:val="TableParagraph"/>
              <w:ind w:right="154"/>
              <w:jc w:val="right"/>
              <w:rPr>
                <w:rFonts w:ascii="Times New Roman"/>
                <w:sz w:val="13"/>
              </w:rPr>
            </w:pPr>
            <w:r>
              <w:rPr>
                <w:rFonts w:ascii="Times New Roman"/>
                <w:sz w:val="13"/>
              </w:rPr>
              <w:t>113.57</w:t>
            </w:r>
          </w:p>
        </w:tc>
        <w:tc>
          <w:tcPr>
            <w:tcW w:w="2164" w:type="dxa"/>
            <w:gridSpan w:val="3"/>
            <w:shd w:val="clear" w:color="auto" w:fill="BFBFBF"/>
          </w:tcPr>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rPr>
                <w:rFonts w:ascii="Times New Roman"/>
                <w:sz w:val="14"/>
              </w:rPr>
            </w:pPr>
          </w:p>
          <w:p>
            <w:pPr>
              <w:pStyle w:val="TableParagraph"/>
              <w:spacing w:before="2"/>
              <w:rPr>
                <w:rFonts w:ascii="Times New Roman"/>
                <w:sz w:val="17"/>
              </w:rPr>
            </w:pPr>
          </w:p>
          <w:p>
            <w:pPr>
              <w:pStyle w:val="TableParagraph"/>
              <w:ind w:right="86"/>
              <w:jc w:val="right"/>
              <w:rPr>
                <w:rFonts w:ascii="Times New Roman"/>
                <w:sz w:val="13"/>
              </w:rPr>
            </w:pPr>
            <w:r>
              <w:rPr>
                <w:rFonts w:ascii="Times New Roman"/>
                <w:sz w:val="13"/>
              </w:rPr>
              <w:t>0.00</w:t>
            </w:r>
          </w:p>
          <w:p>
            <w:pPr>
              <w:pStyle w:val="TableParagraph"/>
              <w:rPr>
                <w:rFonts w:ascii="Times New Roman"/>
                <w:sz w:val="14"/>
              </w:rPr>
            </w:pPr>
          </w:p>
          <w:p>
            <w:pPr>
              <w:pStyle w:val="TableParagraph"/>
              <w:rPr>
                <w:rFonts w:ascii="Times New Roman"/>
                <w:sz w:val="14"/>
              </w:rPr>
            </w:pPr>
          </w:p>
          <w:p>
            <w:pPr>
              <w:pStyle w:val="TableParagraph"/>
              <w:spacing w:before="5"/>
              <w:rPr>
                <w:rFonts w:ascii="Times New Roman"/>
                <w:sz w:val="13"/>
              </w:rPr>
            </w:pPr>
          </w:p>
          <w:p>
            <w:pPr>
              <w:pStyle w:val="TableParagraph"/>
              <w:ind w:right="86"/>
              <w:jc w:val="right"/>
              <w:rPr>
                <w:rFonts w:ascii="Times New Roman"/>
                <w:sz w:val="13"/>
              </w:rPr>
            </w:pPr>
            <w:r>
              <w:rPr>
                <w:rFonts w:ascii="Times New Roman"/>
                <w:sz w:val="13"/>
              </w:rPr>
              <w:t>113.57</w:t>
            </w:r>
          </w:p>
        </w:tc>
      </w:tr>
      <w:tr>
        <w:trPr>
          <w:trHeight w:val="177" w:hRule="atLeast"/>
        </w:trPr>
        <w:tc>
          <w:tcPr>
            <w:tcW w:w="4338" w:type="dxa"/>
          </w:tcPr>
          <w:p>
            <w:pPr>
              <w:pStyle w:val="TableParagraph"/>
              <w:spacing w:line="146" w:lineRule="exact"/>
              <w:ind w:left="234"/>
              <w:rPr>
                <w:rFonts w:ascii="Times New Roman"/>
                <w:sz w:val="13"/>
              </w:rPr>
            </w:pPr>
            <w:r>
              <w:rPr>
                <w:rFonts w:ascii="Times New Roman"/>
                <w:sz w:val="13"/>
              </w:rPr>
              <w:t>a. Expenditures and Other Financing Uses (Line B11)</w:t>
            </w:r>
          </w:p>
        </w:tc>
        <w:tc>
          <w:tcPr>
            <w:tcW w:w="2090" w:type="dxa"/>
            <w:gridSpan w:val="3"/>
          </w:tcPr>
          <w:p>
            <w:pPr>
              <w:pStyle w:val="TableParagraph"/>
              <w:spacing w:line="146" w:lineRule="exact"/>
              <w:ind w:left="1231"/>
              <w:rPr>
                <w:rFonts w:ascii="Times New Roman"/>
                <w:sz w:val="13"/>
              </w:rPr>
            </w:pPr>
            <w:r>
              <w:rPr>
                <w:rFonts w:ascii="Times New Roman"/>
                <w:sz w:val="13"/>
              </w:rPr>
              <w:t>2,117,374.00</w:t>
            </w:r>
          </w:p>
        </w:tc>
        <w:tc>
          <w:tcPr>
            <w:tcW w:w="2235" w:type="dxa"/>
            <w:gridSpan w:val="3"/>
          </w:tcPr>
          <w:p>
            <w:pPr>
              <w:pStyle w:val="TableParagraph"/>
              <w:spacing w:line="146" w:lineRule="exact"/>
              <w:ind w:left="1373"/>
              <w:rPr>
                <w:rFonts w:ascii="Times New Roman"/>
                <w:sz w:val="13"/>
              </w:rPr>
            </w:pPr>
            <w:r>
              <w:rPr>
                <w:rFonts w:ascii="Times New Roman"/>
                <w:sz w:val="13"/>
              </w:rPr>
              <w:t>1,998,163.00</w:t>
            </w:r>
          </w:p>
        </w:tc>
        <w:tc>
          <w:tcPr>
            <w:tcW w:w="2164" w:type="dxa"/>
            <w:gridSpan w:val="3"/>
          </w:tcPr>
          <w:p>
            <w:pPr>
              <w:pStyle w:val="TableParagraph"/>
              <w:spacing w:line="146" w:lineRule="exact"/>
              <w:ind w:left="1370"/>
              <w:rPr>
                <w:rFonts w:ascii="Times New Roman"/>
                <w:sz w:val="13"/>
              </w:rPr>
            </w:pPr>
            <w:r>
              <w:rPr>
                <w:rFonts w:ascii="Times New Roman"/>
                <w:sz w:val="13"/>
              </w:rPr>
              <w:t>2,040,087.00</w:t>
            </w:r>
          </w:p>
        </w:tc>
      </w:tr>
      <w:tr>
        <w:trPr>
          <w:trHeight w:val="202" w:hRule="atLeast"/>
        </w:trPr>
        <w:tc>
          <w:tcPr>
            <w:tcW w:w="4338" w:type="dxa"/>
          </w:tcPr>
          <w:p>
            <w:pPr>
              <w:pStyle w:val="TableParagraph"/>
              <w:spacing w:before="27"/>
              <w:ind w:left="234"/>
              <w:rPr>
                <w:rFonts w:ascii="Times New Roman"/>
                <w:sz w:val="13"/>
              </w:rPr>
            </w:pPr>
            <w:r>
              <w:rPr>
                <w:rFonts w:ascii="Times New Roman"/>
                <w:sz w:val="13"/>
              </w:rPr>
              <w:t>b. Plus: Special Education Pass-through Funds (Line F1b2, if Line F1a is No)</w:t>
            </w:r>
          </w:p>
        </w:tc>
        <w:tc>
          <w:tcPr>
            <w:tcW w:w="2090" w:type="dxa"/>
            <w:gridSpan w:val="3"/>
          </w:tcPr>
          <w:p>
            <w:pPr>
              <w:pStyle w:val="TableParagraph"/>
              <w:spacing w:before="27"/>
              <w:ind w:right="151"/>
              <w:jc w:val="right"/>
              <w:rPr>
                <w:rFonts w:ascii="Times New Roman"/>
                <w:sz w:val="13"/>
              </w:rPr>
            </w:pPr>
            <w:r>
              <w:rPr>
                <w:rFonts w:ascii="Times New Roman"/>
                <w:sz w:val="13"/>
              </w:rPr>
              <w:t>0.00</w:t>
            </w:r>
          </w:p>
        </w:tc>
        <w:tc>
          <w:tcPr>
            <w:tcW w:w="2235" w:type="dxa"/>
            <w:gridSpan w:val="3"/>
          </w:tcPr>
          <w:p>
            <w:pPr>
              <w:pStyle w:val="TableParagraph"/>
              <w:spacing w:before="27"/>
              <w:ind w:right="154"/>
              <w:jc w:val="right"/>
              <w:rPr>
                <w:rFonts w:ascii="Times New Roman"/>
                <w:sz w:val="13"/>
              </w:rPr>
            </w:pPr>
            <w:r>
              <w:rPr>
                <w:rFonts w:ascii="Times New Roman"/>
                <w:sz w:val="13"/>
              </w:rPr>
              <w:t>0.00</w:t>
            </w:r>
          </w:p>
        </w:tc>
        <w:tc>
          <w:tcPr>
            <w:tcW w:w="2164" w:type="dxa"/>
            <w:gridSpan w:val="3"/>
          </w:tcPr>
          <w:p>
            <w:pPr>
              <w:pStyle w:val="TableParagraph"/>
              <w:spacing w:before="27"/>
              <w:ind w:right="86"/>
              <w:jc w:val="right"/>
              <w:rPr>
                <w:rFonts w:ascii="Times New Roman"/>
                <w:sz w:val="13"/>
              </w:rPr>
            </w:pPr>
            <w:r>
              <w:rPr>
                <w:rFonts w:ascii="Times New Roman"/>
                <w:sz w:val="13"/>
              </w:rPr>
              <w:t>0.00</w:t>
            </w:r>
          </w:p>
        </w:tc>
      </w:tr>
      <w:tr>
        <w:trPr>
          <w:trHeight w:val="351" w:hRule="atLeast"/>
        </w:trPr>
        <w:tc>
          <w:tcPr>
            <w:tcW w:w="4338" w:type="dxa"/>
          </w:tcPr>
          <w:p>
            <w:pPr>
              <w:pStyle w:val="TableParagraph"/>
              <w:spacing w:before="21"/>
              <w:ind w:left="368" w:right="1341" w:hanging="135"/>
              <w:rPr>
                <w:rFonts w:ascii="Times New Roman"/>
                <w:sz w:val="13"/>
              </w:rPr>
            </w:pPr>
            <w:r>
              <w:rPr>
                <w:rFonts w:ascii="Times New Roman"/>
                <w:sz w:val="13"/>
              </w:rPr>
              <w:t>c. Total Expenditures and Other Financing Uses (Line F3a plus line F3b)</w:t>
            </w:r>
          </w:p>
        </w:tc>
        <w:tc>
          <w:tcPr>
            <w:tcW w:w="2090" w:type="dxa"/>
            <w:gridSpan w:val="3"/>
          </w:tcPr>
          <w:p>
            <w:pPr>
              <w:pStyle w:val="TableParagraph"/>
              <w:spacing w:before="9"/>
              <w:rPr>
                <w:rFonts w:ascii="Times New Roman"/>
                <w:sz w:val="14"/>
              </w:rPr>
            </w:pPr>
          </w:p>
          <w:p>
            <w:pPr>
              <w:pStyle w:val="TableParagraph"/>
              <w:ind w:left="1231"/>
              <w:rPr>
                <w:rFonts w:ascii="Times New Roman"/>
                <w:sz w:val="13"/>
              </w:rPr>
            </w:pPr>
            <w:r>
              <w:rPr>
                <w:rFonts w:ascii="Times New Roman"/>
                <w:sz w:val="13"/>
              </w:rPr>
              <w:t>2,117,374.00</w:t>
            </w:r>
          </w:p>
        </w:tc>
        <w:tc>
          <w:tcPr>
            <w:tcW w:w="2235" w:type="dxa"/>
            <w:gridSpan w:val="3"/>
          </w:tcPr>
          <w:p>
            <w:pPr>
              <w:pStyle w:val="TableParagraph"/>
              <w:spacing w:before="9"/>
              <w:rPr>
                <w:rFonts w:ascii="Times New Roman"/>
                <w:sz w:val="14"/>
              </w:rPr>
            </w:pPr>
          </w:p>
          <w:p>
            <w:pPr>
              <w:pStyle w:val="TableParagraph"/>
              <w:ind w:left="1373"/>
              <w:rPr>
                <w:rFonts w:ascii="Times New Roman"/>
                <w:sz w:val="13"/>
              </w:rPr>
            </w:pPr>
            <w:r>
              <w:rPr>
                <w:rFonts w:ascii="Times New Roman"/>
                <w:sz w:val="13"/>
              </w:rPr>
              <w:t>1,998,163.00</w:t>
            </w:r>
          </w:p>
        </w:tc>
        <w:tc>
          <w:tcPr>
            <w:tcW w:w="2164" w:type="dxa"/>
            <w:gridSpan w:val="3"/>
          </w:tcPr>
          <w:p>
            <w:pPr>
              <w:pStyle w:val="TableParagraph"/>
              <w:spacing w:before="9"/>
              <w:rPr>
                <w:rFonts w:ascii="Times New Roman"/>
                <w:sz w:val="14"/>
              </w:rPr>
            </w:pPr>
          </w:p>
          <w:p>
            <w:pPr>
              <w:pStyle w:val="TableParagraph"/>
              <w:ind w:left="1370"/>
              <w:rPr>
                <w:rFonts w:ascii="Times New Roman"/>
                <w:sz w:val="13"/>
              </w:rPr>
            </w:pPr>
            <w:r>
              <w:rPr>
                <w:rFonts w:ascii="Times New Roman"/>
                <w:sz w:val="13"/>
              </w:rPr>
              <w:t>2,040,087.00</w:t>
            </w:r>
          </w:p>
        </w:tc>
      </w:tr>
      <w:tr>
        <w:trPr>
          <w:trHeight w:val="240" w:hRule="atLeast"/>
        </w:trPr>
        <w:tc>
          <w:tcPr>
            <w:tcW w:w="4338" w:type="dxa"/>
          </w:tcPr>
          <w:p>
            <w:pPr>
              <w:pStyle w:val="TableParagraph"/>
              <w:spacing w:before="27"/>
              <w:ind w:left="234"/>
              <w:rPr>
                <w:rFonts w:ascii="Times New Roman"/>
                <w:sz w:val="13"/>
              </w:rPr>
            </w:pPr>
            <w:r>
              <w:rPr>
                <w:rFonts w:ascii="Times New Roman"/>
                <w:sz w:val="13"/>
              </w:rPr>
              <w:t>d. Reserve Standard Percentage Level</w:t>
            </w:r>
          </w:p>
        </w:tc>
        <w:tc>
          <w:tcPr>
            <w:tcW w:w="2090" w:type="dxa"/>
            <w:gridSpan w:val="3"/>
          </w:tcPr>
          <w:p>
            <w:pPr>
              <w:pStyle w:val="TableParagraph"/>
              <w:rPr>
                <w:rFonts w:ascii="Times New Roman"/>
                <w:sz w:val="12"/>
              </w:rPr>
            </w:pPr>
          </w:p>
        </w:tc>
        <w:tc>
          <w:tcPr>
            <w:tcW w:w="2235" w:type="dxa"/>
            <w:gridSpan w:val="3"/>
          </w:tcPr>
          <w:p>
            <w:pPr>
              <w:pStyle w:val="TableParagraph"/>
              <w:rPr>
                <w:rFonts w:ascii="Times New Roman"/>
                <w:sz w:val="12"/>
              </w:rPr>
            </w:pPr>
          </w:p>
        </w:tc>
        <w:tc>
          <w:tcPr>
            <w:tcW w:w="2164" w:type="dxa"/>
            <w:gridSpan w:val="3"/>
          </w:tcPr>
          <w:p>
            <w:pPr>
              <w:pStyle w:val="TableParagraph"/>
              <w:rPr>
                <w:rFonts w:ascii="Times New Roman"/>
                <w:sz w:val="12"/>
              </w:rPr>
            </w:pPr>
          </w:p>
        </w:tc>
      </w:tr>
      <w:tr>
        <w:trPr>
          <w:trHeight w:val="177" w:hRule="atLeast"/>
        </w:trPr>
        <w:tc>
          <w:tcPr>
            <w:tcW w:w="5203" w:type="dxa"/>
            <w:gridSpan w:val="2"/>
          </w:tcPr>
          <w:p>
            <w:pPr>
              <w:pStyle w:val="TableParagraph"/>
              <w:spacing w:line="146" w:lineRule="exact"/>
              <w:ind w:left="334"/>
              <w:rPr>
                <w:rFonts w:ascii="Times New Roman"/>
                <w:sz w:val="13"/>
              </w:rPr>
            </w:pPr>
            <w:r>
              <w:rPr>
                <w:rFonts w:ascii="Times New Roman"/>
                <w:sz w:val="13"/>
              </w:rPr>
              <w:t>(Refer to Form 01CS, Criterion 10 for calculation details)</w:t>
            </w:r>
          </w:p>
        </w:tc>
        <w:tc>
          <w:tcPr>
            <w:tcW w:w="374" w:type="dxa"/>
          </w:tcPr>
          <w:p>
            <w:pPr>
              <w:pStyle w:val="TableParagraph"/>
              <w:rPr>
                <w:rFonts w:ascii="Times New Roman"/>
                <w:sz w:val="10"/>
              </w:rPr>
            </w:pPr>
          </w:p>
        </w:tc>
        <w:tc>
          <w:tcPr>
            <w:tcW w:w="851" w:type="dxa"/>
          </w:tcPr>
          <w:p>
            <w:pPr>
              <w:pStyle w:val="TableParagraph"/>
              <w:spacing w:line="146" w:lineRule="exact"/>
              <w:ind w:right="108"/>
              <w:jc w:val="right"/>
              <w:rPr>
                <w:rFonts w:ascii="Times New Roman"/>
                <w:sz w:val="13"/>
              </w:rPr>
            </w:pPr>
            <w:r>
              <w:rPr>
                <w:rFonts w:ascii="Times New Roman"/>
                <w:sz w:val="13"/>
              </w:rPr>
              <w:t>5%</w:t>
            </w:r>
          </w:p>
        </w:tc>
        <w:tc>
          <w:tcPr>
            <w:tcW w:w="1323" w:type="dxa"/>
            <w:gridSpan w:val="2"/>
            <w:shd w:val="clear" w:color="auto" w:fill="BFBFBF"/>
          </w:tcPr>
          <w:p>
            <w:pPr>
              <w:pStyle w:val="TableParagraph"/>
              <w:rPr>
                <w:rFonts w:ascii="Times New Roman"/>
                <w:sz w:val="10"/>
              </w:rPr>
            </w:pPr>
          </w:p>
        </w:tc>
        <w:tc>
          <w:tcPr>
            <w:tcW w:w="912" w:type="dxa"/>
          </w:tcPr>
          <w:p>
            <w:pPr>
              <w:pStyle w:val="TableParagraph"/>
              <w:spacing w:line="146" w:lineRule="exact"/>
              <w:ind w:right="111"/>
              <w:jc w:val="right"/>
              <w:rPr>
                <w:rFonts w:ascii="Times New Roman"/>
                <w:sz w:val="13"/>
              </w:rPr>
            </w:pPr>
            <w:r>
              <w:rPr>
                <w:rFonts w:ascii="Times New Roman"/>
                <w:sz w:val="13"/>
              </w:rPr>
              <w:t>5%</w:t>
            </w:r>
          </w:p>
        </w:tc>
        <w:tc>
          <w:tcPr>
            <w:tcW w:w="1318" w:type="dxa"/>
            <w:gridSpan w:val="2"/>
            <w:shd w:val="clear" w:color="auto" w:fill="BFBFBF"/>
          </w:tcPr>
          <w:p>
            <w:pPr>
              <w:pStyle w:val="TableParagraph"/>
              <w:rPr>
                <w:rFonts w:ascii="Times New Roman"/>
                <w:sz w:val="10"/>
              </w:rPr>
            </w:pPr>
          </w:p>
        </w:tc>
        <w:tc>
          <w:tcPr>
            <w:tcW w:w="846" w:type="dxa"/>
          </w:tcPr>
          <w:p>
            <w:pPr>
              <w:pStyle w:val="TableParagraph"/>
              <w:spacing w:line="146" w:lineRule="exact"/>
              <w:ind w:right="43"/>
              <w:jc w:val="right"/>
              <w:rPr>
                <w:rFonts w:ascii="Times New Roman"/>
                <w:sz w:val="13"/>
              </w:rPr>
            </w:pPr>
            <w:r>
              <w:rPr>
                <w:rFonts w:ascii="Times New Roman"/>
                <w:sz w:val="13"/>
              </w:rPr>
              <w:t>5%</w:t>
            </w:r>
          </w:p>
        </w:tc>
      </w:tr>
      <w:tr>
        <w:trPr>
          <w:trHeight w:val="208" w:hRule="atLeast"/>
        </w:trPr>
        <w:tc>
          <w:tcPr>
            <w:tcW w:w="5203" w:type="dxa"/>
            <w:gridSpan w:val="2"/>
          </w:tcPr>
          <w:p>
            <w:pPr>
              <w:pStyle w:val="TableParagraph"/>
              <w:spacing w:before="27"/>
              <w:ind w:left="234"/>
              <w:rPr>
                <w:rFonts w:ascii="Times New Roman"/>
                <w:sz w:val="13"/>
              </w:rPr>
            </w:pPr>
            <w:r>
              <w:rPr>
                <w:rFonts w:ascii="Times New Roman"/>
                <w:sz w:val="13"/>
              </w:rPr>
              <w:t>e. Reserve Standard - By Percent (Line F3c times F3d)</w:t>
            </w:r>
          </w:p>
        </w:tc>
        <w:tc>
          <w:tcPr>
            <w:tcW w:w="374" w:type="dxa"/>
          </w:tcPr>
          <w:p>
            <w:pPr>
              <w:pStyle w:val="TableParagraph"/>
              <w:rPr>
                <w:rFonts w:ascii="Times New Roman"/>
                <w:sz w:val="12"/>
              </w:rPr>
            </w:pPr>
          </w:p>
        </w:tc>
        <w:tc>
          <w:tcPr>
            <w:tcW w:w="851" w:type="dxa"/>
          </w:tcPr>
          <w:p>
            <w:pPr>
              <w:pStyle w:val="TableParagraph"/>
              <w:spacing w:before="27"/>
              <w:ind w:right="152"/>
              <w:jc w:val="right"/>
              <w:rPr>
                <w:rFonts w:ascii="Times New Roman"/>
                <w:sz w:val="13"/>
              </w:rPr>
            </w:pPr>
            <w:r>
              <w:rPr>
                <w:rFonts w:ascii="Times New Roman"/>
                <w:sz w:val="13"/>
              </w:rPr>
              <w:t>105,868.70</w:t>
            </w:r>
          </w:p>
        </w:tc>
        <w:tc>
          <w:tcPr>
            <w:tcW w:w="1323" w:type="dxa"/>
            <w:gridSpan w:val="2"/>
            <w:shd w:val="clear" w:color="auto" w:fill="BFBFBF"/>
          </w:tcPr>
          <w:p>
            <w:pPr>
              <w:pStyle w:val="TableParagraph"/>
              <w:rPr>
                <w:rFonts w:ascii="Times New Roman"/>
                <w:sz w:val="12"/>
              </w:rPr>
            </w:pPr>
          </w:p>
        </w:tc>
        <w:tc>
          <w:tcPr>
            <w:tcW w:w="912" w:type="dxa"/>
          </w:tcPr>
          <w:p>
            <w:pPr>
              <w:pStyle w:val="TableParagraph"/>
              <w:spacing w:before="27"/>
              <w:ind w:right="155"/>
              <w:jc w:val="right"/>
              <w:rPr>
                <w:rFonts w:ascii="Times New Roman"/>
                <w:sz w:val="13"/>
              </w:rPr>
            </w:pPr>
            <w:r>
              <w:rPr>
                <w:rFonts w:ascii="Times New Roman"/>
                <w:sz w:val="13"/>
              </w:rPr>
              <w:t>99,908.15</w:t>
            </w:r>
          </w:p>
        </w:tc>
        <w:tc>
          <w:tcPr>
            <w:tcW w:w="1318" w:type="dxa"/>
            <w:gridSpan w:val="2"/>
            <w:shd w:val="clear" w:color="auto" w:fill="BFBFBF"/>
          </w:tcPr>
          <w:p>
            <w:pPr>
              <w:pStyle w:val="TableParagraph"/>
              <w:rPr>
                <w:rFonts w:ascii="Times New Roman"/>
                <w:sz w:val="12"/>
              </w:rPr>
            </w:pPr>
          </w:p>
        </w:tc>
        <w:tc>
          <w:tcPr>
            <w:tcW w:w="846" w:type="dxa"/>
          </w:tcPr>
          <w:p>
            <w:pPr>
              <w:pStyle w:val="TableParagraph"/>
              <w:spacing w:before="27"/>
              <w:ind w:right="87"/>
              <w:jc w:val="right"/>
              <w:rPr>
                <w:rFonts w:ascii="Times New Roman"/>
                <w:sz w:val="13"/>
              </w:rPr>
            </w:pPr>
            <w:r>
              <w:rPr>
                <w:rFonts w:ascii="Times New Roman"/>
                <w:sz w:val="13"/>
              </w:rPr>
              <w:t>102,004.35</w:t>
            </w:r>
          </w:p>
        </w:tc>
      </w:tr>
      <w:tr>
        <w:trPr>
          <w:trHeight w:val="208" w:hRule="atLeast"/>
        </w:trPr>
        <w:tc>
          <w:tcPr>
            <w:tcW w:w="5203" w:type="dxa"/>
            <w:gridSpan w:val="2"/>
          </w:tcPr>
          <w:p>
            <w:pPr>
              <w:pStyle w:val="TableParagraph"/>
              <w:spacing w:before="27"/>
              <w:ind w:left="234"/>
              <w:rPr>
                <w:rFonts w:ascii="Times New Roman"/>
                <w:sz w:val="13"/>
              </w:rPr>
            </w:pPr>
            <w:r>
              <w:rPr>
                <w:rFonts w:ascii="Times New Roman"/>
                <w:sz w:val="13"/>
              </w:rPr>
              <w:t>f. Reserve Standard - By Amount</w:t>
            </w:r>
          </w:p>
        </w:tc>
        <w:tc>
          <w:tcPr>
            <w:tcW w:w="374" w:type="dxa"/>
          </w:tcPr>
          <w:p>
            <w:pPr>
              <w:pStyle w:val="TableParagraph"/>
              <w:rPr>
                <w:rFonts w:ascii="Times New Roman"/>
                <w:sz w:val="12"/>
              </w:rPr>
            </w:pPr>
          </w:p>
        </w:tc>
        <w:tc>
          <w:tcPr>
            <w:tcW w:w="851" w:type="dxa"/>
          </w:tcPr>
          <w:p>
            <w:pPr>
              <w:pStyle w:val="TableParagraph"/>
              <w:rPr>
                <w:rFonts w:ascii="Times New Roman"/>
                <w:sz w:val="12"/>
              </w:rPr>
            </w:pPr>
          </w:p>
        </w:tc>
        <w:tc>
          <w:tcPr>
            <w:tcW w:w="1323" w:type="dxa"/>
            <w:gridSpan w:val="2"/>
            <w:shd w:val="clear" w:color="auto" w:fill="BFBFBF"/>
          </w:tcPr>
          <w:p>
            <w:pPr>
              <w:pStyle w:val="TableParagraph"/>
              <w:rPr>
                <w:rFonts w:ascii="Times New Roman"/>
                <w:sz w:val="12"/>
              </w:rPr>
            </w:pPr>
          </w:p>
        </w:tc>
        <w:tc>
          <w:tcPr>
            <w:tcW w:w="912" w:type="dxa"/>
          </w:tcPr>
          <w:p>
            <w:pPr>
              <w:pStyle w:val="TableParagraph"/>
              <w:rPr>
                <w:rFonts w:ascii="Times New Roman"/>
                <w:sz w:val="12"/>
              </w:rPr>
            </w:pPr>
          </w:p>
        </w:tc>
        <w:tc>
          <w:tcPr>
            <w:tcW w:w="1318" w:type="dxa"/>
            <w:gridSpan w:val="2"/>
            <w:shd w:val="clear" w:color="auto" w:fill="BFBFBF"/>
          </w:tcPr>
          <w:p>
            <w:pPr>
              <w:pStyle w:val="TableParagraph"/>
              <w:rPr>
                <w:rFonts w:ascii="Times New Roman"/>
                <w:sz w:val="12"/>
              </w:rPr>
            </w:pPr>
          </w:p>
        </w:tc>
        <w:tc>
          <w:tcPr>
            <w:tcW w:w="846" w:type="dxa"/>
          </w:tcPr>
          <w:p>
            <w:pPr>
              <w:pStyle w:val="TableParagraph"/>
              <w:rPr>
                <w:rFonts w:ascii="Times New Roman"/>
                <w:sz w:val="12"/>
              </w:rPr>
            </w:pPr>
          </w:p>
        </w:tc>
      </w:tr>
      <w:tr>
        <w:trPr>
          <w:trHeight w:val="208" w:hRule="atLeast"/>
        </w:trPr>
        <w:tc>
          <w:tcPr>
            <w:tcW w:w="5203" w:type="dxa"/>
            <w:gridSpan w:val="2"/>
          </w:tcPr>
          <w:p>
            <w:pPr>
              <w:pStyle w:val="TableParagraph"/>
              <w:spacing w:before="27"/>
              <w:ind w:left="334"/>
              <w:rPr>
                <w:rFonts w:ascii="Times New Roman"/>
                <w:sz w:val="13"/>
              </w:rPr>
            </w:pPr>
            <w:r>
              <w:rPr>
                <w:rFonts w:ascii="Times New Roman"/>
                <w:sz w:val="13"/>
              </w:rPr>
              <w:t>(Refer to Form 01CS, Criterion 10 for calculation details)</w:t>
            </w:r>
          </w:p>
        </w:tc>
        <w:tc>
          <w:tcPr>
            <w:tcW w:w="374" w:type="dxa"/>
          </w:tcPr>
          <w:p>
            <w:pPr>
              <w:pStyle w:val="TableParagraph"/>
              <w:rPr>
                <w:rFonts w:ascii="Times New Roman"/>
                <w:sz w:val="12"/>
              </w:rPr>
            </w:pPr>
          </w:p>
        </w:tc>
        <w:tc>
          <w:tcPr>
            <w:tcW w:w="851" w:type="dxa"/>
          </w:tcPr>
          <w:p>
            <w:pPr>
              <w:pStyle w:val="TableParagraph"/>
              <w:spacing w:before="27"/>
              <w:ind w:right="152"/>
              <w:jc w:val="right"/>
              <w:rPr>
                <w:rFonts w:ascii="Times New Roman"/>
                <w:sz w:val="13"/>
              </w:rPr>
            </w:pPr>
            <w:r>
              <w:rPr>
                <w:rFonts w:ascii="Times New Roman"/>
                <w:sz w:val="13"/>
              </w:rPr>
              <w:t>71,000.00</w:t>
            </w:r>
          </w:p>
        </w:tc>
        <w:tc>
          <w:tcPr>
            <w:tcW w:w="1323" w:type="dxa"/>
            <w:gridSpan w:val="2"/>
            <w:shd w:val="clear" w:color="auto" w:fill="BFBFBF"/>
          </w:tcPr>
          <w:p>
            <w:pPr>
              <w:pStyle w:val="TableParagraph"/>
              <w:rPr>
                <w:rFonts w:ascii="Times New Roman"/>
                <w:sz w:val="12"/>
              </w:rPr>
            </w:pPr>
          </w:p>
        </w:tc>
        <w:tc>
          <w:tcPr>
            <w:tcW w:w="912" w:type="dxa"/>
          </w:tcPr>
          <w:p>
            <w:pPr>
              <w:pStyle w:val="TableParagraph"/>
              <w:spacing w:before="27"/>
              <w:ind w:right="155"/>
              <w:jc w:val="right"/>
              <w:rPr>
                <w:rFonts w:ascii="Times New Roman"/>
                <w:sz w:val="13"/>
              </w:rPr>
            </w:pPr>
            <w:r>
              <w:rPr>
                <w:rFonts w:ascii="Times New Roman"/>
                <w:sz w:val="13"/>
              </w:rPr>
              <w:t>71,000.00</w:t>
            </w:r>
          </w:p>
        </w:tc>
        <w:tc>
          <w:tcPr>
            <w:tcW w:w="1318" w:type="dxa"/>
            <w:gridSpan w:val="2"/>
            <w:shd w:val="clear" w:color="auto" w:fill="BFBFBF"/>
          </w:tcPr>
          <w:p>
            <w:pPr>
              <w:pStyle w:val="TableParagraph"/>
              <w:rPr>
                <w:rFonts w:ascii="Times New Roman"/>
                <w:sz w:val="12"/>
              </w:rPr>
            </w:pPr>
          </w:p>
        </w:tc>
        <w:tc>
          <w:tcPr>
            <w:tcW w:w="846" w:type="dxa"/>
          </w:tcPr>
          <w:p>
            <w:pPr>
              <w:pStyle w:val="TableParagraph"/>
              <w:spacing w:before="27"/>
              <w:ind w:right="87"/>
              <w:jc w:val="right"/>
              <w:rPr>
                <w:rFonts w:ascii="Times New Roman"/>
                <w:sz w:val="13"/>
              </w:rPr>
            </w:pPr>
            <w:r>
              <w:rPr>
                <w:rFonts w:ascii="Times New Roman"/>
                <w:sz w:val="13"/>
              </w:rPr>
              <w:t>71,000.00</w:t>
            </w:r>
          </w:p>
        </w:tc>
      </w:tr>
      <w:tr>
        <w:trPr>
          <w:trHeight w:val="208" w:hRule="atLeast"/>
        </w:trPr>
        <w:tc>
          <w:tcPr>
            <w:tcW w:w="5203" w:type="dxa"/>
            <w:gridSpan w:val="2"/>
          </w:tcPr>
          <w:p>
            <w:pPr>
              <w:pStyle w:val="TableParagraph"/>
              <w:spacing w:before="27"/>
              <w:ind w:left="234"/>
              <w:rPr>
                <w:rFonts w:ascii="Times New Roman"/>
                <w:sz w:val="13"/>
              </w:rPr>
            </w:pPr>
            <w:r>
              <w:rPr>
                <w:rFonts w:ascii="Times New Roman"/>
                <w:sz w:val="13"/>
              </w:rPr>
              <w:t>g. Reserve Standard (Greater of Line F3e or F3f)</w:t>
            </w:r>
          </w:p>
        </w:tc>
        <w:tc>
          <w:tcPr>
            <w:tcW w:w="374" w:type="dxa"/>
          </w:tcPr>
          <w:p>
            <w:pPr>
              <w:pStyle w:val="TableParagraph"/>
              <w:rPr>
                <w:rFonts w:ascii="Times New Roman"/>
                <w:sz w:val="12"/>
              </w:rPr>
            </w:pPr>
          </w:p>
        </w:tc>
        <w:tc>
          <w:tcPr>
            <w:tcW w:w="851" w:type="dxa"/>
          </w:tcPr>
          <w:p>
            <w:pPr>
              <w:pStyle w:val="TableParagraph"/>
              <w:spacing w:before="27"/>
              <w:ind w:right="152"/>
              <w:jc w:val="right"/>
              <w:rPr>
                <w:rFonts w:ascii="Times New Roman"/>
                <w:sz w:val="13"/>
              </w:rPr>
            </w:pPr>
            <w:r>
              <w:rPr>
                <w:rFonts w:ascii="Times New Roman"/>
                <w:sz w:val="13"/>
              </w:rPr>
              <w:t>105,868.70</w:t>
            </w:r>
          </w:p>
        </w:tc>
        <w:tc>
          <w:tcPr>
            <w:tcW w:w="1323" w:type="dxa"/>
            <w:gridSpan w:val="2"/>
            <w:shd w:val="clear" w:color="auto" w:fill="BFBFBF"/>
          </w:tcPr>
          <w:p>
            <w:pPr>
              <w:pStyle w:val="TableParagraph"/>
              <w:rPr>
                <w:rFonts w:ascii="Times New Roman"/>
                <w:sz w:val="12"/>
              </w:rPr>
            </w:pPr>
          </w:p>
        </w:tc>
        <w:tc>
          <w:tcPr>
            <w:tcW w:w="912" w:type="dxa"/>
          </w:tcPr>
          <w:p>
            <w:pPr>
              <w:pStyle w:val="TableParagraph"/>
              <w:spacing w:before="27"/>
              <w:ind w:right="155"/>
              <w:jc w:val="right"/>
              <w:rPr>
                <w:rFonts w:ascii="Times New Roman"/>
                <w:sz w:val="13"/>
              </w:rPr>
            </w:pPr>
            <w:r>
              <w:rPr>
                <w:rFonts w:ascii="Times New Roman"/>
                <w:sz w:val="13"/>
              </w:rPr>
              <w:t>99,908.15</w:t>
            </w:r>
          </w:p>
        </w:tc>
        <w:tc>
          <w:tcPr>
            <w:tcW w:w="1318" w:type="dxa"/>
            <w:gridSpan w:val="2"/>
            <w:shd w:val="clear" w:color="auto" w:fill="BFBFBF"/>
          </w:tcPr>
          <w:p>
            <w:pPr>
              <w:pStyle w:val="TableParagraph"/>
              <w:rPr>
                <w:rFonts w:ascii="Times New Roman"/>
                <w:sz w:val="12"/>
              </w:rPr>
            </w:pPr>
          </w:p>
        </w:tc>
        <w:tc>
          <w:tcPr>
            <w:tcW w:w="846" w:type="dxa"/>
          </w:tcPr>
          <w:p>
            <w:pPr>
              <w:pStyle w:val="TableParagraph"/>
              <w:spacing w:before="27"/>
              <w:ind w:right="87"/>
              <w:jc w:val="right"/>
              <w:rPr>
                <w:rFonts w:ascii="Times New Roman"/>
                <w:sz w:val="13"/>
              </w:rPr>
            </w:pPr>
            <w:r>
              <w:rPr>
                <w:rFonts w:ascii="Times New Roman"/>
                <w:sz w:val="13"/>
              </w:rPr>
              <w:t>102,004.35</w:t>
            </w:r>
          </w:p>
        </w:tc>
      </w:tr>
      <w:tr>
        <w:trPr>
          <w:trHeight w:val="182" w:hRule="atLeast"/>
        </w:trPr>
        <w:tc>
          <w:tcPr>
            <w:tcW w:w="5203" w:type="dxa"/>
            <w:gridSpan w:val="2"/>
          </w:tcPr>
          <w:p>
            <w:pPr>
              <w:pStyle w:val="TableParagraph"/>
              <w:spacing w:line="135" w:lineRule="exact" w:before="27"/>
              <w:ind w:left="234"/>
              <w:rPr>
                <w:rFonts w:ascii="Times New Roman"/>
                <w:sz w:val="13"/>
              </w:rPr>
            </w:pPr>
            <w:r>
              <w:rPr>
                <w:rFonts w:ascii="Times New Roman"/>
                <w:sz w:val="13"/>
              </w:rPr>
              <w:t>h. Available Reserves (Line E3) Meet Reserve Standard (Line F3g)</w:t>
            </w:r>
          </w:p>
        </w:tc>
        <w:tc>
          <w:tcPr>
            <w:tcW w:w="374" w:type="dxa"/>
          </w:tcPr>
          <w:p>
            <w:pPr>
              <w:pStyle w:val="TableParagraph"/>
              <w:spacing w:line="135" w:lineRule="exact" w:before="27"/>
              <w:ind w:left="28"/>
              <w:rPr>
                <w:rFonts w:ascii="Times New Roman"/>
                <w:sz w:val="13"/>
              </w:rPr>
            </w:pPr>
            <w:r>
              <w:rPr>
                <w:rFonts w:ascii="Times New Roman"/>
                <w:sz w:val="13"/>
              </w:rPr>
              <w:t>YES</w:t>
            </w:r>
          </w:p>
        </w:tc>
        <w:tc>
          <w:tcPr>
            <w:tcW w:w="851" w:type="dxa"/>
          </w:tcPr>
          <w:p>
            <w:pPr>
              <w:pStyle w:val="TableParagraph"/>
              <w:rPr>
                <w:rFonts w:ascii="Times New Roman"/>
                <w:sz w:val="12"/>
              </w:rPr>
            </w:pPr>
          </w:p>
        </w:tc>
        <w:tc>
          <w:tcPr>
            <w:tcW w:w="1323" w:type="dxa"/>
            <w:gridSpan w:val="2"/>
            <w:shd w:val="clear" w:color="auto" w:fill="BFBFBF"/>
          </w:tcPr>
          <w:p>
            <w:pPr>
              <w:pStyle w:val="TableParagraph"/>
              <w:spacing w:line="135" w:lineRule="exact" w:before="27"/>
              <w:ind w:right="3"/>
              <w:jc w:val="right"/>
              <w:rPr>
                <w:rFonts w:ascii="Times New Roman"/>
                <w:sz w:val="13"/>
              </w:rPr>
            </w:pPr>
            <w:r>
              <w:rPr>
                <w:rFonts w:ascii="Times New Roman"/>
                <w:sz w:val="13"/>
              </w:rPr>
              <w:t>YES</w:t>
            </w:r>
          </w:p>
        </w:tc>
        <w:tc>
          <w:tcPr>
            <w:tcW w:w="912" w:type="dxa"/>
          </w:tcPr>
          <w:p>
            <w:pPr>
              <w:pStyle w:val="TableParagraph"/>
              <w:rPr>
                <w:rFonts w:ascii="Times New Roman"/>
                <w:sz w:val="12"/>
              </w:rPr>
            </w:pPr>
          </w:p>
        </w:tc>
        <w:tc>
          <w:tcPr>
            <w:tcW w:w="1318" w:type="dxa"/>
            <w:gridSpan w:val="2"/>
            <w:shd w:val="clear" w:color="auto" w:fill="BFBFBF"/>
          </w:tcPr>
          <w:p>
            <w:pPr>
              <w:pStyle w:val="TableParagraph"/>
              <w:spacing w:line="135" w:lineRule="exact" w:before="27"/>
              <w:ind w:right="1"/>
              <w:jc w:val="right"/>
              <w:rPr>
                <w:rFonts w:ascii="Times New Roman"/>
                <w:sz w:val="13"/>
              </w:rPr>
            </w:pPr>
            <w:r>
              <w:rPr>
                <w:rFonts w:ascii="Times New Roman"/>
                <w:sz w:val="13"/>
              </w:rPr>
              <w:t>YES</w:t>
            </w:r>
          </w:p>
        </w:tc>
        <w:tc>
          <w:tcPr>
            <w:tcW w:w="846" w:type="dxa"/>
          </w:tcPr>
          <w:p>
            <w:pPr>
              <w:pStyle w:val="TableParagraph"/>
              <w:rPr>
                <w:rFonts w:ascii="Times New Roman"/>
                <w:sz w:val="12"/>
              </w:rPr>
            </w:pPr>
          </w:p>
        </w:tc>
      </w:tr>
    </w:tbl>
    <w:p>
      <w:pPr>
        <w:spacing w:after="0"/>
        <w:rPr>
          <w:rFonts w:ascii="Times New Roman"/>
          <w:sz w:val="12"/>
        </w:rPr>
        <w:sectPr>
          <w:headerReference w:type="default" r:id="rId1341"/>
          <w:footerReference w:type="default" r:id="rId1342"/>
          <w:pgSz w:w="12240" w:h="15840"/>
          <w:pgMar w:header="241" w:footer="488" w:top="840" w:bottom="680" w:left="40" w:right="40"/>
        </w:sectPr>
      </w:pPr>
    </w:p>
    <w:p>
      <w:pPr>
        <w:pStyle w:val="Heading9"/>
        <w:spacing w:before="0"/>
        <w:ind w:left="219" w:right="4"/>
      </w:pPr>
      <w:bookmarkStart w:name="FORM CEA" w:id="16"/>
      <w:bookmarkEnd w:id="16"/>
      <w:r>
        <w:rPr/>
      </w:r>
      <w:r>
        <w:rPr>
          <w:w w:val="105"/>
        </w:rPr>
        <w:t>Winship-Robbins </w:t>
      </w:r>
      <w:r>
        <w:rPr>
          <w:spacing w:val="-3"/>
          <w:w w:val="105"/>
        </w:rPr>
        <w:t>Elementary </w:t>
      </w:r>
      <w:r>
        <w:rPr>
          <w:w w:val="105"/>
        </w:rPr>
        <w:t>Sutter County</w:t>
      </w:r>
    </w:p>
    <w:p>
      <w:pPr>
        <w:spacing w:before="0"/>
        <w:ind w:left="1299" w:right="1118" w:firstLine="0"/>
        <w:jc w:val="center"/>
        <w:rPr>
          <w:sz w:val="14"/>
        </w:rPr>
      </w:pPr>
      <w:r>
        <w:rPr/>
        <w:br w:type="column"/>
      </w:r>
      <w:r>
        <w:rPr>
          <w:w w:val="105"/>
          <w:sz w:val="14"/>
        </w:rPr>
        <w:t>2020-21 Estimated Actuals GENERAL FUND</w:t>
      </w:r>
    </w:p>
    <w:p>
      <w:pPr>
        <w:spacing w:line="161" w:lineRule="exact" w:before="0"/>
        <w:ind w:left="190" w:right="11" w:firstLine="0"/>
        <w:jc w:val="center"/>
        <w:rPr>
          <w:sz w:val="14"/>
        </w:rPr>
      </w:pPr>
      <w:r>
        <w:rPr/>
        <w:pict>
          <v:group style="position:absolute;margin-left:12.36pt;margin-top:16.867260pt;width:587.2pt;height:146.8pt;mso-position-horizontal-relative:page;mso-position-vertical-relative:paragraph;z-index:-314082304" coordorigin="247,337" coordsize="11744,2936">
            <v:shape style="position:absolute;left:247;top:337;width:11744;height:1167" type="#_x0000_t75" stroked="false">
              <v:imagedata r:id="rId1398" o:title=""/>
            </v:shape>
            <v:shape style="position:absolute;left:247;top:1105;width:3077;height:788" type="#_x0000_t75" stroked="false">
              <v:imagedata r:id="rId1399" o:title=""/>
            </v:shape>
            <v:shape style="position:absolute;left:247;top:1501;width:3077;height:1174" type="#_x0000_t75" stroked="false">
              <v:imagedata r:id="rId1400" o:title=""/>
            </v:shape>
            <v:shape style="position:absolute;left:247;top:1105;width:11367;height:1966" type="#_x0000_t75" stroked="false">
              <v:imagedata r:id="rId1401" o:title=""/>
            </v:shape>
            <v:shape style="position:absolute;left:10252;top:1112;width:1738;height:2160" type="#_x0000_t75" stroked="false">
              <v:imagedata r:id="rId1402" o:title=""/>
            </v:shape>
            <v:line style="position:absolute" from="5034,3061" to="5034,3256" stroked="true" strokeweight=".360008pt" strokecolor="#ffffff">
              <v:stroke dashstyle="solid"/>
            </v:line>
            <v:shape style="position:absolute;left:5395;top:3056;width:1738;height:216" type="#_x0000_t75" stroked="false">
              <v:imagedata r:id="rId1403" o:title=""/>
            </v:shape>
            <v:shape style="position:absolute;left:288;top:567;width:1462;height:329" type="#_x0000_t202" filled="false" stroked="false">
              <v:textbox inset="0,0,0,0">
                <w:txbxContent>
                  <w:p>
                    <w:pPr>
                      <w:spacing w:line="249" w:lineRule="auto" w:before="0"/>
                      <w:ind w:left="0" w:right="-8" w:firstLine="0"/>
                      <w:jc w:val="left"/>
                      <w:rPr>
                        <w:b/>
                        <w:sz w:val="14"/>
                      </w:rPr>
                    </w:pPr>
                    <w:r>
                      <w:rPr>
                        <w:b/>
                        <w:w w:val="105"/>
                        <w:sz w:val="14"/>
                      </w:rPr>
                      <w:t>PART I - CURRENT EXPENSE </w:t>
                    </w:r>
                    <w:r>
                      <w:rPr>
                        <w:b/>
                        <w:spacing w:val="-3"/>
                        <w:w w:val="105"/>
                        <w:sz w:val="14"/>
                      </w:rPr>
                      <w:t>FORMULA</w:t>
                    </w:r>
                  </w:p>
                </w:txbxContent>
              </v:textbox>
              <w10:wrap type="none"/>
            </v:shape>
            <v:shape style="position:absolute;left:2164;top:447;width:6072;height:665" type="#_x0000_t202" filled="false" stroked="false">
              <v:textbox inset="0,0,0,0">
                <w:txbxContent>
                  <w:p>
                    <w:pPr>
                      <w:tabs>
                        <w:tab w:pos="981" w:val="left" w:leader="none"/>
                        <w:tab w:pos="1571" w:val="left" w:leader="none"/>
                        <w:tab w:pos="1811" w:val="left" w:leader="none"/>
                        <w:tab w:pos="2697" w:val="left" w:leader="none"/>
                        <w:tab w:pos="3237" w:val="left" w:leader="none"/>
                        <w:tab w:pos="3482" w:val="left" w:leader="none"/>
                        <w:tab w:pos="4413" w:val="left" w:leader="none"/>
                        <w:tab w:pos="5003" w:val="left" w:leader="none"/>
                        <w:tab w:pos="5243" w:val="left" w:leader="none"/>
                      </w:tabs>
                      <w:spacing w:line="249" w:lineRule="auto" w:before="0"/>
                      <w:ind w:left="0" w:right="18" w:firstLine="3345"/>
                      <w:jc w:val="right"/>
                      <w:rPr>
                        <w:b/>
                        <w:sz w:val="14"/>
                      </w:rPr>
                    </w:pPr>
                    <w:r>
                      <w:rPr>
                        <w:b/>
                        <w:w w:val="105"/>
                        <w:sz w:val="14"/>
                      </w:rPr>
                      <w:t>Current</w:t>
                    </w:r>
                    <w:r>
                      <w:rPr>
                        <w:b/>
                        <w:spacing w:val="-11"/>
                        <w:w w:val="105"/>
                        <w:sz w:val="14"/>
                      </w:rPr>
                      <w:t> </w:t>
                    </w:r>
                    <w:r>
                      <w:rPr>
                        <w:b/>
                        <w:w w:val="105"/>
                        <w:sz w:val="14"/>
                      </w:rPr>
                      <w:t>Expense</w:t>
                      <w:tab/>
                      <w:tab/>
                    </w:r>
                    <w:r>
                      <w:rPr>
                        <w:b/>
                        <w:sz w:val="14"/>
                      </w:rPr>
                      <w:t>Reductions </w:t>
                    </w:r>
                    <w:r>
                      <w:rPr>
                        <w:b/>
                        <w:w w:val="105"/>
                        <w:sz w:val="14"/>
                      </w:rPr>
                      <w:t>Total</w:t>
                    </w:r>
                    <w:r>
                      <w:rPr>
                        <w:b/>
                        <w:spacing w:val="-20"/>
                        <w:w w:val="105"/>
                        <w:sz w:val="14"/>
                      </w:rPr>
                      <w:t> </w:t>
                    </w:r>
                    <w:r>
                      <w:rPr>
                        <w:b/>
                        <w:w w:val="105"/>
                        <w:sz w:val="14"/>
                      </w:rPr>
                      <w:t>Expense</w:t>
                      <w:tab/>
                      <w:tab/>
                      <w:tab/>
                      <w:t>Reductions</w:t>
                      <w:tab/>
                      <w:tab/>
                      <w:tab/>
                      <w:t>of</w:t>
                    </w:r>
                    <w:r>
                      <w:rPr>
                        <w:b/>
                        <w:spacing w:val="-8"/>
                        <w:w w:val="105"/>
                        <w:sz w:val="14"/>
                      </w:rPr>
                      <w:t> </w:t>
                    </w:r>
                    <w:r>
                      <w:rPr>
                        <w:b/>
                        <w:w w:val="105"/>
                        <w:sz w:val="14"/>
                      </w:rPr>
                      <w:t>Education</w:t>
                      <w:tab/>
                      <w:tab/>
                      <w:tab/>
                    </w:r>
                    <w:r>
                      <w:rPr>
                        <w:b/>
                        <w:spacing w:val="-1"/>
                        <w:sz w:val="14"/>
                      </w:rPr>
                      <w:t>(Extracted) </w:t>
                    </w:r>
                    <w:r>
                      <w:rPr>
                        <w:b/>
                        <w:w w:val="105"/>
                        <w:sz w:val="14"/>
                      </w:rPr>
                      <w:t>for</w:t>
                    </w:r>
                    <w:r>
                      <w:rPr>
                        <w:b/>
                        <w:spacing w:val="-6"/>
                        <w:w w:val="105"/>
                        <w:sz w:val="14"/>
                      </w:rPr>
                      <w:t> </w:t>
                    </w:r>
                    <w:r>
                      <w:rPr>
                        <w:b/>
                        <w:w w:val="105"/>
                        <w:sz w:val="14"/>
                      </w:rPr>
                      <w:t>Year</w:t>
                      <w:tab/>
                      <w:t>EDP</w:t>
                      <w:tab/>
                      <w:t>(See</w:t>
                    </w:r>
                    <w:r>
                      <w:rPr>
                        <w:b/>
                        <w:spacing w:val="-5"/>
                        <w:w w:val="105"/>
                        <w:sz w:val="14"/>
                      </w:rPr>
                      <w:t> </w:t>
                    </w:r>
                    <w:r>
                      <w:rPr>
                        <w:b/>
                        <w:w w:val="105"/>
                        <w:sz w:val="14"/>
                      </w:rPr>
                      <w:t>Note</w:t>
                    </w:r>
                    <w:r>
                      <w:rPr>
                        <w:b/>
                        <w:spacing w:val="-7"/>
                        <w:w w:val="105"/>
                        <w:sz w:val="14"/>
                      </w:rPr>
                      <w:t> </w:t>
                    </w:r>
                    <w:r>
                      <w:rPr>
                        <w:b/>
                        <w:w w:val="105"/>
                        <w:sz w:val="14"/>
                      </w:rPr>
                      <w:t>1)</w:t>
                      <w:tab/>
                      <w:t>EDP</w:t>
                      <w:tab/>
                      <w:t>(Col 1 -</w:t>
                    </w:r>
                    <w:r>
                      <w:rPr>
                        <w:b/>
                        <w:spacing w:val="-10"/>
                        <w:w w:val="105"/>
                        <w:sz w:val="14"/>
                      </w:rPr>
                      <w:t> </w:t>
                    </w:r>
                    <w:r>
                      <w:rPr>
                        <w:b/>
                        <w:w w:val="105"/>
                        <w:sz w:val="14"/>
                      </w:rPr>
                      <w:t>Col</w:t>
                    </w:r>
                    <w:r>
                      <w:rPr>
                        <w:b/>
                        <w:spacing w:val="-3"/>
                        <w:w w:val="105"/>
                        <w:sz w:val="14"/>
                      </w:rPr>
                      <w:t> </w:t>
                    </w:r>
                    <w:r>
                      <w:rPr>
                        <w:b/>
                        <w:w w:val="105"/>
                        <w:sz w:val="14"/>
                      </w:rPr>
                      <w:t>2)</w:t>
                      <w:tab/>
                      <w:t>EDP</w:t>
                      <w:tab/>
                      <w:t>(See Note</w:t>
                    </w:r>
                    <w:r>
                      <w:rPr>
                        <w:b/>
                        <w:spacing w:val="-22"/>
                        <w:w w:val="105"/>
                        <w:sz w:val="14"/>
                      </w:rPr>
                      <w:t> </w:t>
                    </w:r>
                    <w:r>
                      <w:rPr>
                        <w:b/>
                        <w:w w:val="105"/>
                        <w:sz w:val="14"/>
                      </w:rPr>
                      <w:t>2)</w:t>
                    </w:r>
                  </w:p>
                  <w:p>
                    <w:pPr>
                      <w:tabs>
                        <w:tab w:pos="1231" w:val="left" w:leader="none"/>
                        <w:tab w:pos="2116" w:val="left" w:leader="none"/>
                        <w:tab w:pos="2947" w:val="left" w:leader="none"/>
                        <w:tab w:pos="3832" w:val="left" w:leader="none"/>
                        <w:tab w:pos="4663" w:val="left" w:leader="none"/>
                        <w:tab w:pos="5510" w:val="left" w:leader="none"/>
                      </w:tabs>
                      <w:spacing w:before="0"/>
                      <w:ind w:left="400" w:right="0" w:firstLine="0"/>
                      <w:jc w:val="left"/>
                      <w:rPr>
                        <w:b/>
                        <w:sz w:val="14"/>
                      </w:rPr>
                    </w:pPr>
                    <w:r>
                      <w:rPr>
                        <w:b/>
                        <w:w w:val="105"/>
                        <w:sz w:val="14"/>
                      </w:rPr>
                      <w:t>(1)</w:t>
                      <w:tab/>
                      <w:t>No.</w:t>
                      <w:tab/>
                      <w:t>(2)</w:t>
                      <w:tab/>
                      <w:t>No.</w:t>
                      <w:tab/>
                      <w:t>(3)</w:t>
                      <w:tab/>
                      <w:t>No.</w:t>
                      <w:tab/>
                      <w:t>(4a)</w:t>
                    </w:r>
                  </w:p>
                </w:txbxContent>
              </v:textbox>
              <w10:wrap type="none"/>
            </v:shape>
            <v:shape style="position:absolute;left:8772;top:447;width:3198;height:665" type="#_x0000_t202" filled="false" stroked="false">
              <v:textbox inset="0,0,0,0">
                <w:txbxContent>
                  <w:p>
                    <w:pPr>
                      <w:tabs>
                        <w:tab w:pos="1571" w:val="left" w:leader="none"/>
                        <w:tab w:pos="1970" w:val="left" w:leader="none"/>
                      </w:tabs>
                      <w:spacing w:line="249" w:lineRule="auto" w:before="0"/>
                      <w:ind w:left="4" w:right="427" w:firstLine="19"/>
                      <w:jc w:val="left"/>
                      <w:rPr>
                        <w:b/>
                        <w:sz w:val="14"/>
                      </w:rPr>
                    </w:pPr>
                    <w:r>
                      <w:rPr>
                        <w:b/>
                        <w:w w:val="105"/>
                        <w:sz w:val="14"/>
                      </w:rPr>
                      <w:t>Reductions</w:t>
                      <w:tab/>
                      <w:t>Current</w:t>
                    </w:r>
                    <w:r>
                      <w:rPr>
                        <w:b/>
                        <w:spacing w:val="-15"/>
                        <w:w w:val="105"/>
                        <w:sz w:val="14"/>
                      </w:rPr>
                      <w:t> </w:t>
                    </w:r>
                    <w:r>
                      <w:rPr>
                        <w:b/>
                        <w:spacing w:val="-3"/>
                        <w:w w:val="105"/>
                        <w:sz w:val="14"/>
                      </w:rPr>
                      <w:t>Expense- </w:t>
                    </w:r>
                    <w:r>
                      <w:rPr>
                        <w:b/>
                        <w:w w:val="105"/>
                        <w:sz w:val="14"/>
                      </w:rPr>
                      <w:t>(Overrides)*</w:t>
                      <w:tab/>
                      <w:tab/>
                      <w:t>Part</w:t>
                    </w:r>
                    <w:r>
                      <w:rPr>
                        <w:b/>
                        <w:spacing w:val="-1"/>
                        <w:w w:val="105"/>
                        <w:sz w:val="14"/>
                      </w:rPr>
                      <w:t> </w:t>
                    </w:r>
                    <w:r>
                      <w:rPr>
                        <w:b/>
                        <w:w w:val="105"/>
                        <w:sz w:val="14"/>
                      </w:rPr>
                      <w:t>II</w:t>
                    </w:r>
                  </w:p>
                  <w:p>
                    <w:pPr>
                      <w:tabs>
                        <w:tab w:pos="1166" w:val="left" w:leader="none"/>
                        <w:tab w:pos="1197" w:val="left" w:leader="none"/>
                        <w:tab w:pos="1706" w:val="left" w:leader="none"/>
                        <w:tab w:pos="2083" w:val="left" w:leader="none"/>
                        <w:tab w:pos="2882" w:val="left" w:leader="none"/>
                        <w:tab w:pos="2913" w:val="left" w:leader="none"/>
                      </w:tabs>
                      <w:spacing w:line="249" w:lineRule="auto" w:before="0"/>
                      <w:ind w:left="283" w:right="18" w:hanging="284"/>
                      <w:jc w:val="left"/>
                      <w:rPr>
                        <w:b/>
                        <w:sz w:val="14"/>
                      </w:rPr>
                    </w:pPr>
                    <w:r>
                      <w:rPr>
                        <w:b/>
                        <w:w w:val="105"/>
                        <w:sz w:val="14"/>
                      </w:rPr>
                      <w:t>(See</w:t>
                    </w:r>
                    <w:r>
                      <w:rPr>
                        <w:b/>
                        <w:spacing w:val="-6"/>
                        <w:w w:val="105"/>
                        <w:sz w:val="14"/>
                      </w:rPr>
                      <w:t> </w:t>
                    </w:r>
                    <w:r>
                      <w:rPr>
                        <w:b/>
                        <w:w w:val="105"/>
                        <w:sz w:val="14"/>
                      </w:rPr>
                      <w:t>Note</w:t>
                    </w:r>
                    <w:r>
                      <w:rPr>
                        <w:b/>
                        <w:spacing w:val="-7"/>
                        <w:w w:val="105"/>
                        <w:sz w:val="14"/>
                      </w:rPr>
                      <w:t> </w:t>
                    </w:r>
                    <w:r>
                      <w:rPr>
                        <w:b/>
                        <w:w w:val="105"/>
                        <w:sz w:val="14"/>
                      </w:rPr>
                      <w:t>2)</w:t>
                      <w:tab/>
                      <w:t>EDP</w:t>
                      <w:tab/>
                      <w:t>(Col 3 -</w:t>
                    </w:r>
                    <w:r>
                      <w:rPr>
                        <w:b/>
                        <w:spacing w:val="-10"/>
                        <w:w w:val="105"/>
                        <w:sz w:val="14"/>
                      </w:rPr>
                      <w:t> </w:t>
                    </w:r>
                    <w:r>
                      <w:rPr>
                        <w:b/>
                        <w:w w:val="105"/>
                        <w:sz w:val="14"/>
                      </w:rPr>
                      <w:t>Col</w:t>
                    </w:r>
                    <w:r>
                      <w:rPr>
                        <w:b/>
                        <w:spacing w:val="-3"/>
                        <w:w w:val="105"/>
                        <w:sz w:val="14"/>
                      </w:rPr>
                      <w:t> </w:t>
                    </w:r>
                    <w:r>
                      <w:rPr>
                        <w:b/>
                        <w:w w:val="105"/>
                        <w:sz w:val="14"/>
                      </w:rPr>
                      <w:t>4)</w:t>
                      <w:tab/>
                    </w:r>
                    <w:r>
                      <w:rPr>
                        <w:b/>
                        <w:spacing w:val="-6"/>
                        <w:w w:val="105"/>
                        <w:sz w:val="14"/>
                      </w:rPr>
                      <w:t>EDP </w:t>
                    </w:r>
                    <w:r>
                      <w:rPr>
                        <w:b/>
                        <w:w w:val="105"/>
                        <w:sz w:val="14"/>
                      </w:rPr>
                      <w:t>(4b)</w:t>
                      <w:tab/>
                      <w:tab/>
                      <w:t>No.</w:t>
                      <w:tab/>
                      <w:tab/>
                      <w:t>(5)</w:t>
                      <w:tab/>
                      <w:tab/>
                      <w:t>No.</w:t>
                    </w:r>
                  </w:p>
                </w:txbxContent>
              </v:textbox>
              <w10:wrap type="none"/>
            </v:shape>
            <v:shape style="position:absolute;left:288;top:1181;width:1191;height:161" type="#_x0000_t202" filled="false" stroked="false">
              <v:textbox inset="0,0,0,0">
                <w:txbxContent>
                  <w:p>
                    <w:pPr>
                      <w:spacing w:line="160" w:lineRule="exact" w:before="0"/>
                      <w:ind w:left="0" w:right="0" w:firstLine="0"/>
                      <w:jc w:val="left"/>
                      <w:rPr>
                        <w:sz w:val="14"/>
                      </w:rPr>
                    </w:pPr>
                    <w:r>
                      <w:rPr>
                        <w:w w:val="105"/>
                        <w:sz w:val="14"/>
                      </w:rPr>
                      <w:t>1000 -</w:t>
                    </w:r>
                    <w:r>
                      <w:rPr>
                        <w:spacing w:val="-26"/>
                        <w:w w:val="105"/>
                        <w:sz w:val="14"/>
                      </w:rPr>
                      <w:t> </w:t>
                    </w:r>
                    <w:r>
                      <w:rPr>
                        <w:w w:val="105"/>
                        <w:sz w:val="14"/>
                      </w:rPr>
                      <w:t>Certificated</w:t>
                    </w:r>
                  </w:p>
                </w:txbxContent>
              </v:textbox>
              <w10:wrap type="none"/>
            </v:shape>
            <v:shape style="position:absolute;left:4322;top:1342;width:1074;height:1918" type="#_x0000_t202" filled="false" stroked="false">
              <v:textbox inset="0,0,0,0">
                <w:txbxContent>
                  <w:p>
                    <w:pPr>
                      <w:spacing w:line="160" w:lineRule="exact" w:before="0"/>
                      <w:ind w:left="357" w:right="0" w:firstLine="0"/>
                      <w:jc w:val="left"/>
                      <w:rPr>
                        <w:sz w:val="14"/>
                      </w:rPr>
                    </w:pPr>
                    <w:r>
                      <w:rPr>
                        <w:w w:val="105"/>
                        <w:sz w:val="14"/>
                      </w:rPr>
                      <w:t>0.00  </w:t>
                    </w:r>
                    <w:r>
                      <w:rPr>
                        <w:spacing w:val="8"/>
                        <w:w w:val="105"/>
                        <w:sz w:val="14"/>
                      </w:rPr>
                      <w:t> </w:t>
                    </w:r>
                    <w:r>
                      <w:rPr>
                        <w:w w:val="105"/>
                        <w:sz w:val="14"/>
                      </w:rPr>
                      <w:t>303</w:t>
                    </w:r>
                  </w:p>
                  <w:p>
                    <w:pPr>
                      <w:spacing w:line="240" w:lineRule="auto" w:before="9"/>
                      <w:rPr>
                        <w:sz w:val="19"/>
                      </w:rPr>
                    </w:pPr>
                  </w:p>
                  <w:p>
                    <w:pPr>
                      <w:spacing w:before="0"/>
                      <w:ind w:left="79" w:right="0" w:firstLine="0"/>
                      <w:jc w:val="left"/>
                      <w:rPr>
                        <w:sz w:val="14"/>
                      </w:rPr>
                    </w:pPr>
                    <w:r>
                      <w:rPr>
                        <w:w w:val="105"/>
                        <w:sz w:val="14"/>
                      </w:rPr>
                      <w:t>7,386.00 </w:t>
                    </w:r>
                    <w:r>
                      <w:rPr>
                        <w:spacing w:val="39"/>
                        <w:w w:val="105"/>
                        <w:sz w:val="14"/>
                      </w:rPr>
                      <w:t> </w:t>
                    </w:r>
                    <w:r>
                      <w:rPr>
                        <w:w w:val="105"/>
                        <w:sz w:val="14"/>
                      </w:rPr>
                      <w:t>313</w:t>
                    </w:r>
                  </w:p>
                  <w:p>
                    <w:pPr>
                      <w:spacing w:line="240" w:lineRule="auto" w:before="9"/>
                      <w:rPr>
                        <w:sz w:val="19"/>
                      </w:rPr>
                    </w:pPr>
                  </w:p>
                  <w:p>
                    <w:pPr>
                      <w:spacing w:before="0"/>
                      <w:ind w:left="79" w:right="0" w:firstLine="0"/>
                      <w:jc w:val="left"/>
                      <w:rPr>
                        <w:sz w:val="14"/>
                      </w:rPr>
                    </w:pPr>
                    <w:r>
                      <w:rPr>
                        <w:w w:val="105"/>
                        <w:sz w:val="14"/>
                      </w:rPr>
                      <w:t>2,218.00 </w:t>
                    </w:r>
                    <w:r>
                      <w:rPr>
                        <w:spacing w:val="39"/>
                        <w:w w:val="105"/>
                        <w:sz w:val="14"/>
                      </w:rPr>
                      <w:t> </w:t>
                    </w:r>
                    <w:r>
                      <w:rPr>
                        <w:w w:val="105"/>
                        <w:sz w:val="14"/>
                      </w:rPr>
                      <w:t>323</w:t>
                    </w:r>
                  </w:p>
                  <w:p>
                    <w:pPr>
                      <w:spacing w:line="240" w:lineRule="auto" w:before="10"/>
                      <w:rPr>
                        <w:sz w:val="19"/>
                      </w:rPr>
                    </w:pPr>
                  </w:p>
                  <w:p>
                    <w:pPr>
                      <w:spacing w:before="0"/>
                      <w:ind w:left="0" w:right="0" w:firstLine="0"/>
                      <w:jc w:val="left"/>
                      <w:rPr>
                        <w:sz w:val="14"/>
                      </w:rPr>
                    </w:pPr>
                    <w:r>
                      <w:rPr>
                        <w:w w:val="105"/>
                        <w:sz w:val="14"/>
                      </w:rPr>
                      <w:t>66,972.00 </w:t>
                    </w:r>
                    <w:r>
                      <w:rPr>
                        <w:spacing w:val="37"/>
                        <w:w w:val="105"/>
                        <w:sz w:val="14"/>
                      </w:rPr>
                      <w:t> </w:t>
                    </w:r>
                    <w:r>
                      <w:rPr>
                        <w:w w:val="105"/>
                        <w:sz w:val="14"/>
                      </w:rPr>
                      <w:t>333</w:t>
                    </w:r>
                  </w:p>
                  <w:p>
                    <w:pPr>
                      <w:spacing w:line="240" w:lineRule="auto" w:before="9"/>
                      <w:rPr>
                        <w:sz w:val="19"/>
                      </w:rPr>
                    </w:pPr>
                  </w:p>
                  <w:p>
                    <w:pPr>
                      <w:spacing w:before="0"/>
                      <w:ind w:left="79" w:right="0" w:firstLine="0"/>
                      <w:jc w:val="left"/>
                      <w:rPr>
                        <w:sz w:val="14"/>
                      </w:rPr>
                    </w:pPr>
                    <w:r>
                      <w:rPr>
                        <w:w w:val="105"/>
                        <w:sz w:val="14"/>
                      </w:rPr>
                      <w:t>3,040.00 </w:t>
                    </w:r>
                    <w:r>
                      <w:rPr>
                        <w:spacing w:val="39"/>
                        <w:w w:val="105"/>
                        <w:sz w:val="14"/>
                      </w:rPr>
                      <w:t> </w:t>
                    </w:r>
                    <w:r>
                      <w:rPr>
                        <w:w w:val="105"/>
                        <w:sz w:val="14"/>
                      </w:rPr>
                      <w:t>343</w:t>
                    </w:r>
                  </w:p>
                  <w:p>
                    <w:pPr>
                      <w:spacing w:before="41"/>
                      <w:ind w:left="583" w:right="0" w:firstLine="0"/>
                      <w:jc w:val="left"/>
                      <w:rPr>
                        <w:sz w:val="14"/>
                      </w:rPr>
                    </w:pPr>
                    <w:r>
                      <w:rPr>
                        <w:w w:val="105"/>
                        <w:sz w:val="14"/>
                      </w:rPr>
                      <w:t>TOTAL</w:t>
                    </w:r>
                  </w:p>
                </w:txbxContent>
              </v:textbox>
              <w10:wrap type="none"/>
            </v:shape>
            <w10:wrap type="none"/>
          </v:group>
        </w:pict>
      </w:r>
      <w:r>
        <w:rPr>
          <w:w w:val="105"/>
          <w:sz w:val="14"/>
        </w:rPr>
        <w:t>Current</w:t>
      </w:r>
      <w:r>
        <w:rPr>
          <w:spacing w:val="-25"/>
          <w:w w:val="105"/>
          <w:sz w:val="14"/>
        </w:rPr>
        <w:t> </w:t>
      </w:r>
      <w:r>
        <w:rPr>
          <w:w w:val="105"/>
          <w:sz w:val="14"/>
        </w:rPr>
        <w:t>Expense</w:t>
      </w:r>
      <w:r>
        <w:rPr>
          <w:spacing w:val="-25"/>
          <w:w w:val="105"/>
          <w:sz w:val="14"/>
        </w:rPr>
        <w:t> </w:t>
      </w:r>
      <w:r>
        <w:rPr>
          <w:w w:val="105"/>
          <w:sz w:val="14"/>
        </w:rPr>
        <w:t>Formula/Minimum</w:t>
      </w:r>
      <w:r>
        <w:rPr>
          <w:spacing w:val="-25"/>
          <w:w w:val="105"/>
          <w:sz w:val="14"/>
        </w:rPr>
        <w:t> </w:t>
      </w:r>
      <w:r>
        <w:rPr>
          <w:w w:val="105"/>
          <w:sz w:val="14"/>
        </w:rPr>
        <w:t>Classroom</w:t>
      </w:r>
      <w:r>
        <w:rPr>
          <w:spacing w:val="-26"/>
          <w:w w:val="105"/>
          <w:sz w:val="14"/>
        </w:rPr>
        <w:t> </w:t>
      </w:r>
      <w:r>
        <w:rPr>
          <w:w w:val="105"/>
          <w:sz w:val="14"/>
        </w:rPr>
        <w:t>Compensation</w:t>
      </w:r>
    </w:p>
    <w:p>
      <w:pPr>
        <w:spacing w:line="160" w:lineRule="exact" w:before="0"/>
        <w:ind w:left="219" w:right="0" w:firstLine="0"/>
        <w:jc w:val="left"/>
        <w:rPr>
          <w:sz w:val="14"/>
        </w:rPr>
      </w:pPr>
      <w:r>
        <w:rPr/>
        <w:br w:type="column"/>
      </w:r>
      <w:r>
        <w:rPr>
          <w:w w:val="105"/>
          <w:sz w:val="14"/>
        </w:rPr>
        <w:t>51</w:t>
      </w:r>
      <w:r>
        <w:rPr>
          <w:spacing w:val="-20"/>
          <w:w w:val="105"/>
          <w:sz w:val="14"/>
        </w:rPr>
        <w:t> </w:t>
      </w:r>
      <w:r>
        <w:rPr>
          <w:w w:val="105"/>
          <w:sz w:val="14"/>
        </w:rPr>
        <w:t>71456</w:t>
      </w:r>
      <w:r>
        <w:rPr>
          <w:spacing w:val="-19"/>
          <w:w w:val="105"/>
          <w:sz w:val="14"/>
        </w:rPr>
        <w:t> </w:t>
      </w:r>
      <w:r>
        <w:rPr>
          <w:w w:val="105"/>
          <w:sz w:val="14"/>
        </w:rPr>
        <w:t>0000000</w:t>
      </w:r>
    </w:p>
    <w:p>
      <w:pPr>
        <w:spacing w:before="0"/>
        <w:ind w:left="740" w:right="0" w:firstLine="0"/>
        <w:jc w:val="left"/>
        <w:rPr>
          <w:sz w:val="14"/>
        </w:rPr>
      </w:pPr>
      <w:r>
        <w:rPr>
          <w:w w:val="105"/>
          <w:sz w:val="14"/>
        </w:rPr>
        <w:t>Form</w:t>
      </w:r>
      <w:r>
        <w:rPr>
          <w:spacing w:val="-18"/>
          <w:w w:val="105"/>
          <w:sz w:val="14"/>
        </w:rPr>
        <w:t> </w:t>
      </w:r>
      <w:r>
        <w:rPr>
          <w:w w:val="105"/>
          <w:sz w:val="14"/>
        </w:rPr>
        <w:t>CEA</w:t>
      </w:r>
    </w:p>
    <w:p>
      <w:pPr>
        <w:spacing w:after="0"/>
        <w:jc w:val="left"/>
        <w:rPr>
          <w:sz w:val="14"/>
        </w:rPr>
        <w:sectPr>
          <w:headerReference w:type="default" r:id="rId1396"/>
          <w:footerReference w:type="default" r:id="rId1397"/>
          <w:pgSz w:w="12240" w:h="15840"/>
          <w:pgMar w:header="166" w:footer="0" w:top="360" w:bottom="0" w:left="40" w:right="40"/>
          <w:cols w:num="3" w:equalWidth="0">
            <w:col w:w="2109" w:space="1784"/>
            <w:col w:w="4193" w:space="2445"/>
            <w:col w:w="1629"/>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after="1"/>
        <w:rPr>
          <w:sz w:val="22"/>
        </w:rPr>
      </w:pPr>
    </w:p>
    <w:p>
      <w:pPr>
        <w:tabs>
          <w:tab w:pos="5749" w:val="left" w:leader="none"/>
        </w:tabs>
        <w:spacing w:line="240" w:lineRule="auto"/>
        <w:ind w:left="198" w:right="0" w:firstLine="0"/>
        <w:rPr>
          <w:sz w:val="20"/>
        </w:rPr>
      </w:pPr>
      <w:r>
        <w:rPr>
          <w:position w:val="20"/>
          <w:sz w:val="20"/>
        </w:rPr>
        <w:pict>
          <v:shape style="width:171.95pt;height:85.8pt;mso-position-horizontal-relative:char;mso-position-vertical-relative:line" type="#_x0000_t202" filled="false" stroked="false">
            <w10:anchorlock/>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88"/>
                    <w:gridCol w:w="1090"/>
                    <w:gridCol w:w="361"/>
                  </w:tblGrid>
                  <w:tr>
                    <w:trPr>
                      <w:trHeight w:val="274" w:hRule="atLeast"/>
                    </w:trPr>
                    <w:tc>
                      <w:tcPr>
                        <w:tcW w:w="1988" w:type="dxa"/>
                      </w:tcPr>
                      <w:p>
                        <w:pPr>
                          <w:pStyle w:val="TableParagraph"/>
                          <w:spacing w:line="160" w:lineRule="exact"/>
                          <w:ind w:left="50"/>
                          <w:rPr>
                            <w:sz w:val="14"/>
                          </w:rPr>
                        </w:pPr>
                        <w:r>
                          <w:rPr>
                            <w:w w:val="105"/>
                            <w:sz w:val="14"/>
                          </w:rPr>
                          <w:t>Salaries</w:t>
                        </w:r>
                      </w:p>
                    </w:tc>
                    <w:tc>
                      <w:tcPr>
                        <w:tcW w:w="1090" w:type="dxa"/>
                      </w:tcPr>
                      <w:p>
                        <w:pPr>
                          <w:pStyle w:val="TableParagraph"/>
                          <w:spacing w:line="160" w:lineRule="exact"/>
                          <w:ind w:right="71"/>
                          <w:jc w:val="right"/>
                          <w:rPr>
                            <w:sz w:val="14"/>
                          </w:rPr>
                        </w:pPr>
                        <w:r>
                          <w:rPr>
                            <w:sz w:val="14"/>
                          </w:rPr>
                          <w:t>487,692.00</w:t>
                        </w:r>
                      </w:p>
                    </w:tc>
                    <w:tc>
                      <w:tcPr>
                        <w:tcW w:w="361" w:type="dxa"/>
                      </w:tcPr>
                      <w:p>
                        <w:pPr>
                          <w:pStyle w:val="TableParagraph"/>
                          <w:spacing w:line="160" w:lineRule="exact"/>
                          <w:ind w:left="48" w:right="26"/>
                          <w:jc w:val="center"/>
                          <w:rPr>
                            <w:sz w:val="14"/>
                          </w:rPr>
                        </w:pPr>
                        <w:r>
                          <w:rPr>
                            <w:w w:val="105"/>
                            <w:sz w:val="14"/>
                          </w:rPr>
                          <w:t>301</w:t>
                        </w:r>
                      </w:p>
                    </w:tc>
                  </w:tr>
                  <w:tr>
                    <w:trPr>
                      <w:trHeight w:val="388" w:hRule="atLeast"/>
                    </w:trPr>
                    <w:tc>
                      <w:tcPr>
                        <w:tcW w:w="1988" w:type="dxa"/>
                      </w:tcPr>
                      <w:p>
                        <w:pPr>
                          <w:pStyle w:val="TableParagraph"/>
                          <w:spacing w:before="113"/>
                          <w:ind w:left="50"/>
                          <w:rPr>
                            <w:sz w:val="14"/>
                          </w:rPr>
                        </w:pPr>
                        <w:r>
                          <w:rPr>
                            <w:w w:val="105"/>
                            <w:sz w:val="14"/>
                          </w:rPr>
                          <w:t>2000 - Classified Salaries</w:t>
                        </w:r>
                      </w:p>
                    </w:tc>
                    <w:tc>
                      <w:tcPr>
                        <w:tcW w:w="1090" w:type="dxa"/>
                      </w:tcPr>
                      <w:p>
                        <w:pPr>
                          <w:pStyle w:val="TableParagraph"/>
                          <w:spacing w:before="113"/>
                          <w:ind w:right="71"/>
                          <w:jc w:val="right"/>
                          <w:rPr>
                            <w:sz w:val="14"/>
                          </w:rPr>
                        </w:pPr>
                        <w:r>
                          <w:rPr>
                            <w:sz w:val="14"/>
                          </w:rPr>
                          <w:t>466,163.00</w:t>
                        </w:r>
                      </w:p>
                    </w:tc>
                    <w:tc>
                      <w:tcPr>
                        <w:tcW w:w="361" w:type="dxa"/>
                      </w:tcPr>
                      <w:p>
                        <w:pPr>
                          <w:pStyle w:val="TableParagraph"/>
                          <w:spacing w:before="113"/>
                          <w:ind w:left="48" w:right="26"/>
                          <w:jc w:val="center"/>
                          <w:rPr>
                            <w:sz w:val="14"/>
                          </w:rPr>
                        </w:pPr>
                        <w:r>
                          <w:rPr>
                            <w:w w:val="105"/>
                            <w:sz w:val="14"/>
                          </w:rPr>
                          <w:t>311</w:t>
                        </w:r>
                      </w:p>
                    </w:tc>
                  </w:tr>
                  <w:tr>
                    <w:trPr>
                      <w:trHeight w:val="308" w:hRule="atLeast"/>
                    </w:trPr>
                    <w:tc>
                      <w:tcPr>
                        <w:tcW w:w="1988" w:type="dxa"/>
                      </w:tcPr>
                      <w:p>
                        <w:pPr>
                          <w:pStyle w:val="TableParagraph"/>
                          <w:spacing w:before="113"/>
                          <w:ind w:left="50"/>
                          <w:rPr>
                            <w:sz w:val="14"/>
                          </w:rPr>
                        </w:pPr>
                        <w:r>
                          <w:rPr>
                            <w:w w:val="105"/>
                            <w:sz w:val="14"/>
                          </w:rPr>
                          <w:t>3000 - Employee Benefits</w:t>
                        </w:r>
                      </w:p>
                    </w:tc>
                    <w:tc>
                      <w:tcPr>
                        <w:tcW w:w="1090" w:type="dxa"/>
                      </w:tcPr>
                      <w:p>
                        <w:pPr>
                          <w:pStyle w:val="TableParagraph"/>
                          <w:spacing w:before="113"/>
                          <w:ind w:right="71"/>
                          <w:jc w:val="right"/>
                          <w:rPr>
                            <w:sz w:val="14"/>
                          </w:rPr>
                        </w:pPr>
                        <w:r>
                          <w:rPr>
                            <w:sz w:val="14"/>
                          </w:rPr>
                          <w:t>377,007.00</w:t>
                        </w:r>
                      </w:p>
                    </w:tc>
                    <w:tc>
                      <w:tcPr>
                        <w:tcW w:w="361" w:type="dxa"/>
                      </w:tcPr>
                      <w:p>
                        <w:pPr>
                          <w:pStyle w:val="TableParagraph"/>
                          <w:spacing w:before="113"/>
                          <w:ind w:left="48" w:right="26"/>
                          <w:jc w:val="center"/>
                          <w:rPr>
                            <w:sz w:val="14"/>
                          </w:rPr>
                        </w:pPr>
                        <w:r>
                          <w:rPr>
                            <w:w w:val="105"/>
                            <w:sz w:val="14"/>
                          </w:rPr>
                          <w:t>321</w:t>
                        </w:r>
                      </w:p>
                    </w:tc>
                  </w:tr>
                  <w:tr>
                    <w:trPr>
                      <w:trHeight w:val="388" w:hRule="atLeast"/>
                    </w:trPr>
                    <w:tc>
                      <w:tcPr>
                        <w:tcW w:w="1988" w:type="dxa"/>
                      </w:tcPr>
                      <w:p>
                        <w:pPr>
                          <w:pStyle w:val="TableParagraph"/>
                          <w:spacing w:before="32"/>
                          <w:ind w:left="50" w:right="266"/>
                          <w:rPr>
                            <w:sz w:val="14"/>
                          </w:rPr>
                        </w:pPr>
                        <w:r>
                          <w:rPr>
                            <w:w w:val="105"/>
                            <w:sz w:val="14"/>
                          </w:rPr>
                          <w:t>4000 - Books, Supplies Equip Replace. (6500)</w:t>
                        </w:r>
                      </w:p>
                    </w:tc>
                    <w:tc>
                      <w:tcPr>
                        <w:tcW w:w="1090" w:type="dxa"/>
                      </w:tcPr>
                      <w:p>
                        <w:pPr>
                          <w:pStyle w:val="TableParagraph"/>
                          <w:spacing w:before="9"/>
                          <w:rPr>
                            <w:sz w:val="16"/>
                          </w:rPr>
                        </w:pPr>
                      </w:p>
                      <w:p>
                        <w:pPr>
                          <w:pStyle w:val="TableParagraph"/>
                          <w:ind w:right="71"/>
                          <w:jc w:val="right"/>
                          <w:rPr>
                            <w:sz w:val="14"/>
                          </w:rPr>
                        </w:pPr>
                        <w:r>
                          <w:rPr>
                            <w:sz w:val="14"/>
                          </w:rPr>
                          <w:t>222,388.00</w:t>
                        </w:r>
                      </w:p>
                    </w:tc>
                    <w:tc>
                      <w:tcPr>
                        <w:tcW w:w="361" w:type="dxa"/>
                      </w:tcPr>
                      <w:p>
                        <w:pPr>
                          <w:pStyle w:val="TableParagraph"/>
                          <w:spacing w:before="9"/>
                          <w:rPr>
                            <w:sz w:val="16"/>
                          </w:rPr>
                        </w:pPr>
                      </w:p>
                      <w:p>
                        <w:pPr>
                          <w:pStyle w:val="TableParagraph"/>
                          <w:ind w:left="48" w:right="26"/>
                          <w:jc w:val="center"/>
                          <w:rPr>
                            <w:sz w:val="14"/>
                          </w:rPr>
                        </w:pPr>
                        <w:r>
                          <w:rPr>
                            <w:w w:val="105"/>
                            <w:sz w:val="14"/>
                          </w:rPr>
                          <w:t>331</w:t>
                        </w:r>
                      </w:p>
                    </w:tc>
                  </w:tr>
                  <w:tr>
                    <w:trPr>
                      <w:trHeight w:val="355" w:hRule="atLeast"/>
                    </w:trPr>
                    <w:tc>
                      <w:tcPr>
                        <w:tcW w:w="1988" w:type="dxa"/>
                      </w:tcPr>
                      <w:p>
                        <w:pPr>
                          <w:pStyle w:val="TableParagraph"/>
                          <w:spacing w:line="160" w:lineRule="atLeast" w:before="32"/>
                          <w:ind w:left="50" w:right="266"/>
                          <w:rPr>
                            <w:sz w:val="14"/>
                          </w:rPr>
                        </w:pPr>
                        <w:r>
                          <w:rPr>
                            <w:w w:val="105"/>
                            <w:sz w:val="14"/>
                          </w:rPr>
                          <w:t>5000 - Services. . . &amp; 7300 - Indirect Costs</w:t>
                        </w:r>
                      </w:p>
                    </w:tc>
                    <w:tc>
                      <w:tcPr>
                        <w:tcW w:w="1090" w:type="dxa"/>
                      </w:tcPr>
                      <w:p>
                        <w:pPr>
                          <w:pStyle w:val="TableParagraph"/>
                          <w:spacing w:before="9"/>
                          <w:rPr>
                            <w:sz w:val="16"/>
                          </w:rPr>
                        </w:pPr>
                      </w:p>
                      <w:p>
                        <w:pPr>
                          <w:pStyle w:val="TableParagraph"/>
                          <w:spacing w:line="142" w:lineRule="exact"/>
                          <w:ind w:right="71"/>
                          <w:jc w:val="right"/>
                          <w:rPr>
                            <w:sz w:val="14"/>
                          </w:rPr>
                        </w:pPr>
                        <w:r>
                          <w:rPr>
                            <w:sz w:val="14"/>
                          </w:rPr>
                          <w:t>429,784.00</w:t>
                        </w:r>
                      </w:p>
                    </w:tc>
                    <w:tc>
                      <w:tcPr>
                        <w:tcW w:w="361" w:type="dxa"/>
                      </w:tcPr>
                      <w:p>
                        <w:pPr>
                          <w:pStyle w:val="TableParagraph"/>
                          <w:spacing w:before="9"/>
                          <w:rPr>
                            <w:sz w:val="16"/>
                          </w:rPr>
                        </w:pPr>
                      </w:p>
                      <w:p>
                        <w:pPr>
                          <w:pStyle w:val="TableParagraph"/>
                          <w:spacing w:line="142" w:lineRule="exact"/>
                          <w:ind w:left="48" w:right="26"/>
                          <w:jc w:val="center"/>
                          <w:rPr>
                            <w:sz w:val="14"/>
                          </w:rPr>
                        </w:pPr>
                        <w:r>
                          <w:rPr>
                            <w:w w:val="105"/>
                            <w:sz w:val="14"/>
                          </w:rPr>
                          <w:t>341</w:t>
                        </w:r>
                      </w:p>
                    </w:tc>
                  </w:tr>
                </w:tbl>
                <w:p>
                  <w:pPr>
                    <w:pStyle w:val="BodyText"/>
                  </w:pPr>
                </w:p>
              </w:txbxContent>
            </v:textbox>
          </v:shape>
        </w:pict>
      </w:r>
      <w:r>
        <w:rPr>
          <w:position w:val="20"/>
          <w:sz w:val="20"/>
        </w:rPr>
      </w:r>
      <w:r>
        <w:rPr>
          <w:position w:val="20"/>
          <w:sz w:val="20"/>
        </w:rPr>
        <w:tab/>
      </w:r>
      <w:r>
        <w:rPr>
          <w:sz w:val="20"/>
        </w:rPr>
        <w:pict>
          <v:shape style="width:308.9pt;height:95.9pt;mso-position-horizontal-relative:char;mso-position-vertical-relative:line" type="#_x0000_t202" filled="false" stroked="false">
            <w10:anchorlock/>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59"/>
                    <w:gridCol w:w="659"/>
                    <w:gridCol w:w="1671"/>
                    <w:gridCol w:w="1388"/>
                    <w:gridCol w:w="1140"/>
                    <w:gridCol w:w="361"/>
                  </w:tblGrid>
                  <w:tr>
                    <w:trPr>
                      <w:trHeight w:val="274" w:hRule="atLeast"/>
                    </w:trPr>
                    <w:tc>
                      <w:tcPr>
                        <w:tcW w:w="959" w:type="dxa"/>
                      </w:tcPr>
                      <w:p>
                        <w:pPr>
                          <w:pStyle w:val="TableParagraph"/>
                          <w:spacing w:line="160" w:lineRule="exact"/>
                          <w:ind w:left="136" w:right="40"/>
                          <w:jc w:val="center"/>
                          <w:rPr>
                            <w:sz w:val="14"/>
                          </w:rPr>
                        </w:pPr>
                        <w:r>
                          <w:rPr>
                            <w:w w:val="105"/>
                            <w:sz w:val="14"/>
                          </w:rPr>
                          <w:t>487,692.00</w:t>
                        </w:r>
                      </w:p>
                    </w:tc>
                    <w:tc>
                      <w:tcPr>
                        <w:tcW w:w="659" w:type="dxa"/>
                      </w:tcPr>
                      <w:p>
                        <w:pPr>
                          <w:pStyle w:val="TableParagraph"/>
                          <w:spacing w:line="160" w:lineRule="exact"/>
                          <w:ind w:left="72"/>
                          <w:rPr>
                            <w:sz w:val="14"/>
                          </w:rPr>
                        </w:pPr>
                        <w:r>
                          <w:rPr>
                            <w:w w:val="105"/>
                            <w:sz w:val="14"/>
                          </w:rPr>
                          <w:t>305</w:t>
                        </w:r>
                      </w:p>
                    </w:tc>
                    <w:tc>
                      <w:tcPr>
                        <w:tcW w:w="1671" w:type="dxa"/>
                      </w:tcPr>
                      <w:p>
                        <w:pPr>
                          <w:pStyle w:val="TableParagraph"/>
                          <w:spacing w:line="160" w:lineRule="exact"/>
                          <w:ind w:right="685"/>
                          <w:jc w:val="right"/>
                          <w:rPr>
                            <w:sz w:val="14"/>
                          </w:rPr>
                        </w:pPr>
                        <w:r>
                          <w:rPr>
                            <w:sz w:val="14"/>
                          </w:rPr>
                          <w:t>0.00</w:t>
                        </w:r>
                      </w:p>
                    </w:tc>
                    <w:tc>
                      <w:tcPr>
                        <w:tcW w:w="1388" w:type="dxa"/>
                      </w:tcPr>
                      <w:p>
                        <w:pPr>
                          <w:pStyle w:val="TableParagraph"/>
                          <w:spacing w:line="160" w:lineRule="exact"/>
                          <w:ind w:right="263"/>
                          <w:jc w:val="right"/>
                          <w:rPr>
                            <w:sz w:val="14"/>
                          </w:rPr>
                        </w:pPr>
                        <w:r>
                          <w:rPr>
                            <w:sz w:val="14"/>
                          </w:rPr>
                          <w:t>307</w:t>
                        </w:r>
                      </w:p>
                    </w:tc>
                    <w:tc>
                      <w:tcPr>
                        <w:tcW w:w="1140" w:type="dxa"/>
                      </w:tcPr>
                      <w:p>
                        <w:pPr>
                          <w:pStyle w:val="TableParagraph"/>
                          <w:spacing w:line="160" w:lineRule="exact"/>
                          <w:ind w:right="71"/>
                          <w:jc w:val="right"/>
                          <w:rPr>
                            <w:sz w:val="14"/>
                          </w:rPr>
                        </w:pPr>
                        <w:r>
                          <w:rPr>
                            <w:sz w:val="14"/>
                          </w:rPr>
                          <w:t>487,692.00</w:t>
                        </w:r>
                      </w:p>
                    </w:tc>
                    <w:tc>
                      <w:tcPr>
                        <w:tcW w:w="361" w:type="dxa"/>
                      </w:tcPr>
                      <w:p>
                        <w:pPr>
                          <w:pStyle w:val="TableParagraph"/>
                          <w:spacing w:line="160" w:lineRule="exact"/>
                          <w:ind w:left="47" w:right="26"/>
                          <w:jc w:val="center"/>
                          <w:rPr>
                            <w:sz w:val="14"/>
                          </w:rPr>
                        </w:pPr>
                        <w:r>
                          <w:rPr>
                            <w:w w:val="105"/>
                            <w:sz w:val="14"/>
                          </w:rPr>
                          <w:t>309</w:t>
                        </w:r>
                      </w:p>
                    </w:tc>
                  </w:tr>
                  <w:tr>
                    <w:trPr>
                      <w:trHeight w:val="388" w:hRule="atLeast"/>
                    </w:trPr>
                    <w:tc>
                      <w:tcPr>
                        <w:tcW w:w="959" w:type="dxa"/>
                      </w:tcPr>
                      <w:p>
                        <w:pPr>
                          <w:pStyle w:val="TableParagraph"/>
                          <w:spacing w:before="113"/>
                          <w:ind w:left="136" w:right="40"/>
                          <w:jc w:val="center"/>
                          <w:rPr>
                            <w:sz w:val="14"/>
                          </w:rPr>
                        </w:pPr>
                        <w:r>
                          <w:rPr>
                            <w:w w:val="105"/>
                            <w:sz w:val="14"/>
                          </w:rPr>
                          <w:t>458,777.00</w:t>
                        </w:r>
                      </w:p>
                    </w:tc>
                    <w:tc>
                      <w:tcPr>
                        <w:tcW w:w="659" w:type="dxa"/>
                      </w:tcPr>
                      <w:p>
                        <w:pPr>
                          <w:pStyle w:val="TableParagraph"/>
                          <w:spacing w:before="113"/>
                          <w:ind w:left="72"/>
                          <w:rPr>
                            <w:sz w:val="14"/>
                          </w:rPr>
                        </w:pPr>
                        <w:r>
                          <w:rPr>
                            <w:w w:val="105"/>
                            <w:sz w:val="14"/>
                          </w:rPr>
                          <w:t>315</w:t>
                        </w:r>
                      </w:p>
                    </w:tc>
                    <w:tc>
                      <w:tcPr>
                        <w:tcW w:w="1671" w:type="dxa"/>
                      </w:tcPr>
                      <w:p>
                        <w:pPr>
                          <w:pStyle w:val="TableParagraph"/>
                          <w:spacing w:before="113"/>
                          <w:ind w:right="685"/>
                          <w:jc w:val="right"/>
                          <w:rPr>
                            <w:sz w:val="14"/>
                          </w:rPr>
                        </w:pPr>
                        <w:r>
                          <w:rPr>
                            <w:sz w:val="14"/>
                          </w:rPr>
                          <w:t>38,285.00</w:t>
                        </w:r>
                      </w:p>
                    </w:tc>
                    <w:tc>
                      <w:tcPr>
                        <w:tcW w:w="1388" w:type="dxa"/>
                      </w:tcPr>
                      <w:p>
                        <w:pPr>
                          <w:pStyle w:val="TableParagraph"/>
                          <w:spacing w:before="113"/>
                          <w:ind w:right="263"/>
                          <w:jc w:val="right"/>
                          <w:rPr>
                            <w:sz w:val="14"/>
                          </w:rPr>
                        </w:pPr>
                        <w:r>
                          <w:rPr>
                            <w:sz w:val="14"/>
                          </w:rPr>
                          <w:t>317</w:t>
                        </w:r>
                      </w:p>
                    </w:tc>
                    <w:tc>
                      <w:tcPr>
                        <w:tcW w:w="1140" w:type="dxa"/>
                      </w:tcPr>
                      <w:p>
                        <w:pPr>
                          <w:pStyle w:val="TableParagraph"/>
                          <w:spacing w:before="113"/>
                          <w:ind w:right="71"/>
                          <w:jc w:val="right"/>
                          <w:rPr>
                            <w:sz w:val="14"/>
                          </w:rPr>
                        </w:pPr>
                        <w:r>
                          <w:rPr>
                            <w:sz w:val="14"/>
                          </w:rPr>
                          <w:t>420,492.00</w:t>
                        </w:r>
                      </w:p>
                    </w:tc>
                    <w:tc>
                      <w:tcPr>
                        <w:tcW w:w="361" w:type="dxa"/>
                      </w:tcPr>
                      <w:p>
                        <w:pPr>
                          <w:pStyle w:val="TableParagraph"/>
                          <w:spacing w:before="113"/>
                          <w:ind w:left="47" w:right="26"/>
                          <w:jc w:val="center"/>
                          <w:rPr>
                            <w:sz w:val="14"/>
                          </w:rPr>
                        </w:pPr>
                        <w:r>
                          <w:rPr>
                            <w:w w:val="105"/>
                            <w:sz w:val="14"/>
                          </w:rPr>
                          <w:t>319</w:t>
                        </w:r>
                      </w:p>
                    </w:tc>
                  </w:tr>
                  <w:tr>
                    <w:trPr>
                      <w:trHeight w:val="388" w:hRule="atLeast"/>
                    </w:trPr>
                    <w:tc>
                      <w:tcPr>
                        <w:tcW w:w="959" w:type="dxa"/>
                      </w:tcPr>
                      <w:p>
                        <w:pPr>
                          <w:pStyle w:val="TableParagraph"/>
                          <w:spacing w:before="113"/>
                          <w:ind w:left="136" w:right="40"/>
                          <w:jc w:val="center"/>
                          <w:rPr>
                            <w:sz w:val="14"/>
                          </w:rPr>
                        </w:pPr>
                        <w:r>
                          <w:rPr>
                            <w:w w:val="105"/>
                            <w:sz w:val="14"/>
                          </w:rPr>
                          <w:t>374,789.00</w:t>
                        </w:r>
                      </w:p>
                    </w:tc>
                    <w:tc>
                      <w:tcPr>
                        <w:tcW w:w="659" w:type="dxa"/>
                      </w:tcPr>
                      <w:p>
                        <w:pPr>
                          <w:pStyle w:val="TableParagraph"/>
                          <w:spacing w:before="113"/>
                          <w:ind w:left="72"/>
                          <w:rPr>
                            <w:sz w:val="14"/>
                          </w:rPr>
                        </w:pPr>
                        <w:r>
                          <w:rPr>
                            <w:w w:val="105"/>
                            <w:sz w:val="14"/>
                          </w:rPr>
                          <w:t>325</w:t>
                        </w:r>
                      </w:p>
                    </w:tc>
                    <w:tc>
                      <w:tcPr>
                        <w:tcW w:w="1671" w:type="dxa"/>
                      </w:tcPr>
                      <w:p>
                        <w:pPr>
                          <w:pStyle w:val="TableParagraph"/>
                          <w:spacing w:before="113"/>
                          <w:ind w:right="685"/>
                          <w:jc w:val="right"/>
                          <w:rPr>
                            <w:sz w:val="14"/>
                          </w:rPr>
                        </w:pPr>
                        <w:r>
                          <w:rPr>
                            <w:sz w:val="14"/>
                          </w:rPr>
                          <w:t>16,073.00</w:t>
                        </w:r>
                      </w:p>
                    </w:tc>
                    <w:tc>
                      <w:tcPr>
                        <w:tcW w:w="1388" w:type="dxa"/>
                      </w:tcPr>
                      <w:p>
                        <w:pPr>
                          <w:pStyle w:val="TableParagraph"/>
                          <w:spacing w:before="113"/>
                          <w:ind w:right="263"/>
                          <w:jc w:val="right"/>
                          <w:rPr>
                            <w:sz w:val="14"/>
                          </w:rPr>
                        </w:pPr>
                        <w:r>
                          <w:rPr>
                            <w:sz w:val="14"/>
                          </w:rPr>
                          <w:t>327</w:t>
                        </w:r>
                      </w:p>
                    </w:tc>
                    <w:tc>
                      <w:tcPr>
                        <w:tcW w:w="1140" w:type="dxa"/>
                      </w:tcPr>
                      <w:p>
                        <w:pPr>
                          <w:pStyle w:val="TableParagraph"/>
                          <w:spacing w:before="113"/>
                          <w:ind w:right="71"/>
                          <w:jc w:val="right"/>
                          <w:rPr>
                            <w:sz w:val="14"/>
                          </w:rPr>
                        </w:pPr>
                        <w:r>
                          <w:rPr>
                            <w:sz w:val="14"/>
                          </w:rPr>
                          <w:t>358,716.00</w:t>
                        </w:r>
                      </w:p>
                    </w:tc>
                    <w:tc>
                      <w:tcPr>
                        <w:tcW w:w="361" w:type="dxa"/>
                      </w:tcPr>
                      <w:p>
                        <w:pPr>
                          <w:pStyle w:val="TableParagraph"/>
                          <w:spacing w:before="113"/>
                          <w:ind w:left="47" w:right="26"/>
                          <w:jc w:val="center"/>
                          <w:rPr>
                            <w:sz w:val="14"/>
                          </w:rPr>
                        </w:pPr>
                        <w:r>
                          <w:rPr>
                            <w:w w:val="105"/>
                            <w:sz w:val="14"/>
                          </w:rPr>
                          <w:t>329</w:t>
                        </w:r>
                      </w:p>
                    </w:tc>
                  </w:tr>
                  <w:tr>
                    <w:trPr>
                      <w:trHeight w:val="388" w:hRule="atLeast"/>
                    </w:trPr>
                    <w:tc>
                      <w:tcPr>
                        <w:tcW w:w="959" w:type="dxa"/>
                      </w:tcPr>
                      <w:p>
                        <w:pPr>
                          <w:pStyle w:val="TableParagraph"/>
                          <w:spacing w:before="113"/>
                          <w:ind w:left="136" w:right="40"/>
                          <w:jc w:val="center"/>
                          <w:rPr>
                            <w:sz w:val="14"/>
                          </w:rPr>
                        </w:pPr>
                        <w:r>
                          <w:rPr>
                            <w:w w:val="105"/>
                            <w:sz w:val="14"/>
                          </w:rPr>
                          <w:t>155,416.00</w:t>
                        </w:r>
                      </w:p>
                    </w:tc>
                    <w:tc>
                      <w:tcPr>
                        <w:tcW w:w="659" w:type="dxa"/>
                      </w:tcPr>
                      <w:p>
                        <w:pPr>
                          <w:pStyle w:val="TableParagraph"/>
                          <w:spacing w:before="113"/>
                          <w:ind w:left="72"/>
                          <w:rPr>
                            <w:sz w:val="14"/>
                          </w:rPr>
                        </w:pPr>
                        <w:r>
                          <w:rPr>
                            <w:w w:val="105"/>
                            <w:sz w:val="14"/>
                          </w:rPr>
                          <w:t>335</w:t>
                        </w:r>
                      </w:p>
                    </w:tc>
                    <w:tc>
                      <w:tcPr>
                        <w:tcW w:w="1671" w:type="dxa"/>
                      </w:tcPr>
                      <w:p>
                        <w:pPr>
                          <w:pStyle w:val="TableParagraph"/>
                          <w:spacing w:before="113"/>
                          <w:ind w:right="685"/>
                          <w:jc w:val="right"/>
                          <w:rPr>
                            <w:sz w:val="14"/>
                          </w:rPr>
                        </w:pPr>
                        <w:r>
                          <w:rPr>
                            <w:sz w:val="14"/>
                          </w:rPr>
                          <w:t>31,240.00</w:t>
                        </w:r>
                      </w:p>
                    </w:tc>
                    <w:tc>
                      <w:tcPr>
                        <w:tcW w:w="1388" w:type="dxa"/>
                      </w:tcPr>
                      <w:p>
                        <w:pPr>
                          <w:pStyle w:val="TableParagraph"/>
                          <w:spacing w:before="113"/>
                          <w:ind w:right="263"/>
                          <w:jc w:val="right"/>
                          <w:rPr>
                            <w:sz w:val="14"/>
                          </w:rPr>
                        </w:pPr>
                        <w:r>
                          <w:rPr>
                            <w:sz w:val="14"/>
                          </w:rPr>
                          <w:t>337</w:t>
                        </w:r>
                      </w:p>
                    </w:tc>
                    <w:tc>
                      <w:tcPr>
                        <w:tcW w:w="1140" w:type="dxa"/>
                      </w:tcPr>
                      <w:p>
                        <w:pPr>
                          <w:pStyle w:val="TableParagraph"/>
                          <w:spacing w:before="113"/>
                          <w:ind w:right="71"/>
                          <w:jc w:val="right"/>
                          <w:rPr>
                            <w:sz w:val="14"/>
                          </w:rPr>
                        </w:pPr>
                        <w:r>
                          <w:rPr>
                            <w:sz w:val="14"/>
                          </w:rPr>
                          <w:t>124,176.00</w:t>
                        </w:r>
                      </w:p>
                    </w:tc>
                    <w:tc>
                      <w:tcPr>
                        <w:tcW w:w="361" w:type="dxa"/>
                      </w:tcPr>
                      <w:p>
                        <w:pPr>
                          <w:pStyle w:val="TableParagraph"/>
                          <w:spacing w:before="113"/>
                          <w:ind w:left="47" w:right="26"/>
                          <w:jc w:val="center"/>
                          <w:rPr>
                            <w:sz w:val="14"/>
                          </w:rPr>
                        </w:pPr>
                        <w:r>
                          <w:rPr>
                            <w:w w:val="105"/>
                            <w:sz w:val="14"/>
                          </w:rPr>
                          <w:t>339</w:t>
                        </w:r>
                      </w:p>
                    </w:tc>
                  </w:tr>
                  <w:tr>
                    <w:trPr>
                      <w:trHeight w:val="295" w:hRule="atLeast"/>
                    </w:trPr>
                    <w:tc>
                      <w:tcPr>
                        <w:tcW w:w="959" w:type="dxa"/>
                      </w:tcPr>
                      <w:p>
                        <w:pPr>
                          <w:pStyle w:val="TableParagraph"/>
                          <w:spacing w:before="113"/>
                          <w:ind w:left="136" w:right="40"/>
                          <w:jc w:val="center"/>
                          <w:rPr>
                            <w:sz w:val="14"/>
                          </w:rPr>
                        </w:pPr>
                        <w:r>
                          <w:rPr>
                            <w:w w:val="105"/>
                            <w:sz w:val="14"/>
                          </w:rPr>
                          <w:t>426,744.00</w:t>
                        </w:r>
                      </w:p>
                    </w:tc>
                    <w:tc>
                      <w:tcPr>
                        <w:tcW w:w="659" w:type="dxa"/>
                      </w:tcPr>
                      <w:p>
                        <w:pPr>
                          <w:pStyle w:val="TableParagraph"/>
                          <w:spacing w:before="113"/>
                          <w:ind w:left="72"/>
                          <w:rPr>
                            <w:sz w:val="14"/>
                          </w:rPr>
                        </w:pPr>
                        <w:r>
                          <w:rPr>
                            <w:w w:val="105"/>
                            <w:sz w:val="14"/>
                          </w:rPr>
                          <w:t>345</w:t>
                        </w:r>
                      </w:p>
                    </w:tc>
                    <w:tc>
                      <w:tcPr>
                        <w:tcW w:w="1671" w:type="dxa"/>
                      </w:tcPr>
                      <w:p>
                        <w:pPr>
                          <w:pStyle w:val="TableParagraph"/>
                          <w:spacing w:before="113"/>
                          <w:ind w:right="684"/>
                          <w:jc w:val="right"/>
                          <w:rPr>
                            <w:sz w:val="14"/>
                          </w:rPr>
                        </w:pPr>
                        <w:r>
                          <w:rPr>
                            <w:sz w:val="14"/>
                          </w:rPr>
                          <w:t>2,000.00</w:t>
                        </w:r>
                      </w:p>
                    </w:tc>
                    <w:tc>
                      <w:tcPr>
                        <w:tcW w:w="1388" w:type="dxa"/>
                      </w:tcPr>
                      <w:p>
                        <w:pPr>
                          <w:pStyle w:val="TableParagraph"/>
                          <w:spacing w:before="113"/>
                          <w:ind w:right="263"/>
                          <w:jc w:val="right"/>
                          <w:rPr>
                            <w:sz w:val="14"/>
                          </w:rPr>
                        </w:pPr>
                        <w:r>
                          <w:rPr>
                            <w:sz w:val="14"/>
                          </w:rPr>
                          <w:t>347</w:t>
                        </w:r>
                      </w:p>
                    </w:tc>
                    <w:tc>
                      <w:tcPr>
                        <w:tcW w:w="1140" w:type="dxa"/>
                      </w:tcPr>
                      <w:p>
                        <w:pPr>
                          <w:pStyle w:val="TableParagraph"/>
                          <w:spacing w:before="113"/>
                          <w:ind w:right="71"/>
                          <w:jc w:val="right"/>
                          <w:rPr>
                            <w:sz w:val="14"/>
                          </w:rPr>
                        </w:pPr>
                        <w:r>
                          <w:rPr>
                            <w:sz w:val="14"/>
                          </w:rPr>
                          <w:t>424,744.00</w:t>
                        </w:r>
                      </w:p>
                    </w:tc>
                    <w:tc>
                      <w:tcPr>
                        <w:tcW w:w="361" w:type="dxa"/>
                      </w:tcPr>
                      <w:p>
                        <w:pPr>
                          <w:pStyle w:val="TableParagraph"/>
                          <w:spacing w:before="113"/>
                          <w:ind w:left="47" w:right="26"/>
                          <w:jc w:val="center"/>
                          <w:rPr>
                            <w:sz w:val="14"/>
                          </w:rPr>
                        </w:pPr>
                        <w:r>
                          <w:rPr>
                            <w:w w:val="105"/>
                            <w:sz w:val="14"/>
                          </w:rPr>
                          <w:t>349</w:t>
                        </w:r>
                      </w:p>
                    </w:tc>
                  </w:tr>
                  <w:tr>
                    <w:trPr>
                      <w:trHeight w:val="181" w:hRule="atLeast"/>
                    </w:trPr>
                    <w:tc>
                      <w:tcPr>
                        <w:tcW w:w="959" w:type="dxa"/>
                      </w:tcPr>
                      <w:p>
                        <w:pPr>
                          <w:pStyle w:val="TableParagraph"/>
                          <w:spacing w:line="142" w:lineRule="exact" w:before="19"/>
                          <w:ind w:left="19" w:right="40"/>
                          <w:jc w:val="center"/>
                          <w:rPr>
                            <w:sz w:val="14"/>
                          </w:rPr>
                        </w:pPr>
                        <w:r>
                          <w:rPr>
                            <w:w w:val="105"/>
                            <w:sz w:val="14"/>
                          </w:rPr>
                          <w:t>1,903,418.00</w:t>
                        </w:r>
                      </w:p>
                    </w:tc>
                    <w:tc>
                      <w:tcPr>
                        <w:tcW w:w="659" w:type="dxa"/>
                      </w:tcPr>
                      <w:p>
                        <w:pPr>
                          <w:pStyle w:val="TableParagraph"/>
                          <w:spacing w:line="142" w:lineRule="exact" w:before="19"/>
                          <w:ind w:left="72"/>
                          <w:rPr>
                            <w:sz w:val="14"/>
                          </w:rPr>
                        </w:pPr>
                        <w:r>
                          <w:rPr>
                            <w:w w:val="105"/>
                            <w:sz w:val="14"/>
                          </w:rPr>
                          <w:t>365</w:t>
                        </w:r>
                      </w:p>
                    </w:tc>
                    <w:tc>
                      <w:tcPr>
                        <w:tcW w:w="1671" w:type="dxa"/>
                      </w:tcPr>
                      <w:p>
                        <w:pPr>
                          <w:pStyle w:val="TableParagraph"/>
                          <w:rPr>
                            <w:rFonts w:ascii="Times New Roman"/>
                            <w:sz w:val="12"/>
                          </w:rPr>
                        </w:pPr>
                      </w:p>
                    </w:tc>
                    <w:tc>
                      <w:tcPr>
                        <w:tcW w:w="1388" w:type="dxa"/>
                      </w:tcPr>
                      <w:p>
                        <w:pPr>
                          <w:pStyle w:val="TableParagraph"/>
                          <w:spacing w:line="142" w:lineRule="exact" w:before="19"/>
                          <w:ind w:right="230"/>
                          <w:jc w:val="right"/>
                          <w:rPr>
                            <w:sz w:val="14"/>
                          </w:rPr>
                        </w:pPr>
                        <w:r>
                          <w:rPr>
                            <w:sz w:val="14"/>
                          </w:rPr>
                          <w:t>TOTAL</w:t>
                        </w:r>
                      </w:p>
                    </w:tc>
                    <w:tc>
                      <w:tcPr>
                        <w:tcW w:w="1140" w:type="dxa"/>
                      </w:tcPr>
                      <w:p>
                        <w:pPr>
                          <w:pStyle w:val="TableParagraph"/>
                          <w:spacing w:line="142" w:lineRule="exact" w:before="19"/>
                          <w:ind w:right="71"/>
                          <w:jc w:val="right"/>
                          <w:rPr>
                            <w:sz w:val="14"/>
                          </w:rPr>
                        </w:pPr>
                        <w:r>
                          <w:rPr>
                            <w:sz w:val="14"/>
                          </w:rPr>
                          <w:t>1,815,820.00</w:t>
                        </w:r>
                      </w:p>
                    </w:tc>
                    <w:tc>
                      <w:tcPr>
                        <w:tcW w:w="361" w:type="dxa"/>
                      </w:tcPr>
                      <w:p>
                        <w:pPr>
                          <w:pStyle w:val="TableParagraph"/>
                          <w:spacing w:line="142" w:lineRule="exact" w:before="19"/>
                          <w:ind w:left="47" w:right="26"/>
                          <w:jc w:val="center"/>
                          <w:rPr>
                            <w:sz w:val="14"/>
                          </w:rPr>
                        </w:pPr>
                        <w:r>
                          <w:rPr>
                            <w:w w:val="105"/>
                            <w:sz w:val="14"/>
                          </w:rPr>
                          <w:t>369</w:t>
                        </w:r>
                      </w:p>
                    </w:tc>
                  </w:tr>
                </w:tbl>
                <w:p>
                  <w:pPr>
                    <w:pStyle w:val="BodyText"/>
                  </w:pPr>
                </w:p>
              </w:txbxContent>
            </v:textbox>
          </v:shape>
        </w:pict>
      </w:r>
      <w:r>
        <w:rPr>
          <w:sz w:val="20"/>
        </w:rPr>
      </w:r>
    </w:p>
    <w:p>
      <w:pPr>
        <w:spacing w:line="300" w:lineRule="auto" w:before="142"/>
        <w:ind w:left="859" w:right="2366" w:hanging="612"/>
        <w:jc w:val="left"/>
        <w:rPr>
          <w:sz w:val="14"/>
        </w:rPr>
      </w:pPr>
      <w:r>
        <w:rPr/>
        <w:pict>
          <v:line style="position:absolute;mso-position-horizontal-relative:page;mso-position-vertical-relative:paragraph;z-index:-314081280" from="494.580017pt,-9.974095pt" to="494.580017pt,-.25409pt" stroked="true" strokeweight=".359986pt" strokecolor="#ffffff">
            <v:stroke dashstyle="solid"/>
            <w10:wrap type="none"/>
          </v:line>
        </w:pict>
      </w:r>
      <w:r>
        <w:rPr>
          <w:w w:val="105"/>
          <w:sz w:val="14"/>
        </w:rPr>
        <w:t>Note</w:t>
      </w:r>
      <w:r>
        <w:rPr>
          <w:spacing w:val="-14"/>
          <w:w w:val="105"/>
          <w:sz w:val="14"/>
        </w:rPr>
        <w:t> </w:t>
      </w:r>
      <w:r>
        <w:rPr>
          <w:w w:val="105"/>
          <w:sz w:val="14"/>
        </w:rPr>
        <w:t>1</w:t>
      </w:r>
      <w:r>
        <w:rPr>
          <w:spacing w:val="-14"/>
          <w:w w:val="105"/>
          <w:sz w:val="14"/>
        </w:rPr>
        <w:t> </w:t>
      </w:r>
      <w:r>
        <w:rPr>
          <w:w w:val="105"/>
          <w:sz w:val="14"/>
        </w:rPr>
        <w:t>-</w:t>
      </w:r>
      <w:r>
        <w:rPr>
          <w:spacing w:val="-13"/>
          <w:w w:val="105"/>
          <w:sz w:val="14"/>
        </w:rPr>
        <w:t> </w:t>
      </w:r>
      <w:r>
        <w:rPr>
          <w:w w:val="105"/>
          <w:sz w:val="14"/>
        </w:rPr>
        <w:t>In</w:t>
      </w:r>
      <w:r>
        <w:rPr>
          <w:spacing w:val="-14"/>
          <w:w w:val="105"/>
          <w:sz w:val="14"/>
        </w:rPr>
        <w:t> </w:t>
      </w:r>
      <w:r>
        <w:rPr>
          <w:w w:val="105"/>
          <w:sz w:val="14"/>
        </w:rPr>
        <w:t>Column</w:t>
      </w:r>
      <w:r>
        <w:rPr>
          <w:spacing w:val="-14"/>
          <w:w w:val="105"/>
          <w:sz w:val="14"/>
        </w:rPr>
        <w:t> </w:t>
      </w:r>
      <w:r>
        <w:rPr>
          <w:w w:val="105"/>
          <w:sz w:val="14"/>
        </w:rPr>
        <w:t>2,</w:t>
      </w:r>
      <w:r>
        <w:rPr>
          <w:spacing w:val="-13"/>
          <w:w w:val="105"/>
          <w:sz w:val="14"/>
        </w:rPr>
        <w:t> </w:t>
      </w:r>
      <w:r>
        <w:rPr>
          <w:w w:val="105"/>
          <w:sz w:val="14"/>
        </w:rPr>
        <w:t>report</w:t>
      </w:r>
      <w:r>
        <w:rPr>
          <w:spacing w:val="-12"/>
          <w:w w:val="105"/>
          <w:sz w:val="14"/>
        </w:rPr>
        <w:t> </w:t>
      </w:r>
      <w:r>
        <w:rPr>
          <w:w w:val="105"/>
          <w:sz w:val="14"/>
        </w:rPr>
        <w:t>expenditures</w:t>
      </w:r>
      <w:r>
        <w:rPr>
          <w:spacing w:val="-14"/>
          <w:w w:val="105"/>
          <w:sz w:val="14"/>
        </w:rPr>
        <w:t> </w:t>
      </w:r>
      <w:r>
        <w:rPr>
          <w:w w:val="105"/>
          <w:sz w:val="14"/>
        </w:rPr>
        <w:t>for</w:t>
      </w:r>
      <w:r>
        <w:rPr>
          <w:spacing w:val="-13"/>
          <w:w w:val="105"/>
          <w:sz w:val="14"/>
        </w:rPr>
        <w:t> </w:t>
      </w:r>
      <w:r>
        <w:rPr>
          <w:w w:val="105"/>
          <w:sz w:val="14"/>
        </w:rPr>
        <w:t>the</w:t>
      </w:r>
      <w:r>
        <w:rPr>
          <w:spacing w:val="-13"/>
          <w:w w:val="105"/>
          <w:sz w:val="14"/>
        </w:rPr>
        <w:t> </w:t>
      </w:r>
      <w:r>
        <w:rPr>
          <w:w w:val="105"/>
          <w:sz w:val="14"/>
        </w:rPr>
        <w:t>following</w:t>
      </w:r>
      <w:r>
        <w:rPr>
          <w:spacing w:val="-14"/>
          <w:w w:val="105"/>
          <w:sz w:val="14"/>
        </w:rPr>
        <w:t> </w:t>
      </w:r>
      <w:r>
        <w:rPr>
          <w:w w:val="105"/>
          <w:sz w:val="14"/>
        </w:rPr>
        <w:t>programs:</w:t>
      </w:r>
      <w:r>
        <w:rPr>
          <w:spacing w:val="-13"/>
          <w:w w:val="105"/>
          <w:sz w:val="14"/>
        </w:rPr>
        <w:t> </w:t>
      </w:r>
      <w:r>
        <w:rPr>
          <w:w w:val="105"/>
          <w:sz w:val="14"/>
        </w:rPr>
        <w:t>Nonagency</w:t>
      </w:r>
      <w:r>
        <w:rPr>
          <w:spacing w:val="-14"/>
          <w:w w:val="105"/>
          <w:sz w:val="14"/>
        </w:rPr>
        <w:t> </w:t>
      </w:r>
      <w:r>
        <w:rPr>
          <w:w w:val="105"/>
          <w:sz w:val="14"/>
        </w:rPr>
        <w:t>(Goals</w:t>
      </w:r>
      <w:r>
        <w:rPr>
          <w:spacing w:val="-14"/>
          <w:w w:val="105"/>
          <w:sz w:val="14"/>
        </w:rPr>
        <w:t> </w:t>
      </w:r>
      <w:r>
        <w:rPr>
          <w:w w:val="105"/>
          <w:sz w:val="14"/>
        </w:rPr>
        <w:t>7100-7199),</w:t>
      </w:r>
      <w:r>
        <w:rPr>
          <w:spacing w:val="-13"/>
          <w:w w:val="105"/>
          <w:sz w:val="14"/>
        </w:rPr>
        <w:t> </w:t>
      </w:r>
      <w:r>
        <w:rPr>
          <w:w w:val="105"/>
          <w:sz w:val="14"/>
        </w:rPr>
        <w:t>Community</w:t>
      </w:r>
      <w:r>
        <w:rPr>
          <w:spacing w:val="-15"/>
          <w:w w:val="105"/>
          <w:sz w:val="14"/>
        </w:rPr>
        <w:t> </w:t>
      </w:r>
      <w:r>
        <w:rPr>
          <w:w w:val="105"/>
          <w:sz w:val="14"/>
        </w:rPr>
        <w:t>Services</w:t>
      </w:r>
      <w:r>
        <w:rPr>
          <w:spacing w:val="-13"/>
          <w:w w:val="105"/>
          <w:sz w:val="14"/>
        </w:rPr>
        <w:t> </w:t>
      </w:r>
      <w:r>
        <w:rPr>
          <w:w w:val="105"/>
          <w:sz w:val="14"/>
        </w:rPr>
        <w:t>(Goal</w:t>
      </w:r>
      <w:r>
        <w:rPr>
          <w:spacing w:val="-14"/>
          <w:w w:val="105"/>
          <w:sz w:val="14"/>
        </w:rPr>
        <w:t> </w:t>
      </w:r>
      <w:r>
        <w:rPr>
          <w:w w:val="105"/>
          <w:sz w:val="14"/>
        </w:rPr>
        <w:t>8100),</w:t>
      </w:r>
      <w:r>
        <w:rPr>
          <w:spacing w:val="-12"/>
          <w:w w:val="105"/>
          <w:sz w:val="14"/>
        </w:rPr>
        <w:t> </w:t>
      </w:r>
      <w:r>
        <w:rPr>
          <w:w w:val="105"/>
          <w:sz w:val="14"/>
        </w:rPr>
        <w:t>Food</w:t>
      </w:r>
      <w:r>
        <w:rPr>
          <w:spacing w:val="-14"/>
          <w:w w:val="105"/>
          <w:sz w:val="14"/>
        </w:rPr>
        <w:t> </w:t>
      </w:r>
      <w:r>
        <w:rPr>
          <w:w w:val="105"/>
          <w:sz w:val="14"/>
        </w:rPr>
        <w:t>Services (Function</w:t>
      </w:r>
      <w:r>
        <w:rPr>
          <w:spacing w:val="-10"/>
          <w:w w:val="105"/>
          <w:sz w:val="14"/>
        </w:rPr>
        <w:t> </w:t>
      </w:r>
      <w:r>
        <w:rPr>
          <w:w w:val="105"/>
          <w:sz w:val="14"/>
        </w:rPr>
        <w:t>3700),</w:t>
      </w:r>
      <w:r>
        <w:rPr>
          <w:spacing w:val="-8"/>
          <w:w w:val="105"/>
          <w:sz w:val="14"/>
        </w:rPr>
        <w:t> </w:t>
      </w:r>
      <w:r>
        <w:rPr>
          <w:w w:val="105"/>
          <w:sz w:val="14"/>
        </w:rPr>
        <w:t>Fringe</w:t>
      </w:r>
      <w:r>
        <w:rPr>
          <w:spacing w:val="-8"/>
          <w:w w:val="105"/>
          <w:sz w:val="14"/>
        </w:rPr>
        <w:t> </w:t>
      </w:r>
      <w:r>
        <w:rPr>
          <w:w w:val="105"/>
          <w:sz w:val="14"/>
        </w:rPr>
        <w:t>Benefits</w:t>
      </w:r>
      <w:r>
        <w:rPr>
          <w:spacing w:val="-8"/>
          <w:w w:val="105"/>
          <w:sz w:val="14"/>
        </w:rPr>
        <w:t> </w:t>
      </w:r>
      <w:r>
        <w:rPr>
          <w:w w:val="105"/>
          <w:sz w:val="14"/>
        </w:rPr>
        <w:t>for</w:t>
      </w:r>
      <w:r>
        <w:rPr>
          <w:spacing w:val="-8"/>
          <w:w w:val="105"/>
          <w:sz w:val="14"/>
        </w:rPr>
        <w:t> </w:t>
      </w:r>
      <w:r>
        <w:rPr>
          <w:w w:val="105"/>
          <w:sz w:val="14"/>
        </w:rPr>
        <w:t>Retired</w:t>
      </w:r>
      <w:r>
        <w:rPr>
          <w:spacing w:val="-9"/>
          <w:w w:val="105"/>
          <w:sz w:val="14"/>
        </w:rPr>
        <w:t> </w:t>
      </w:r>
      <w:r>
        <w:rPr>
          <w:w w:val="105"/>
          <w:sz w:val="14"/>
        </w:rPr>
        <w:t>Persons</w:t>
      </w:r>
      <w:r>
        <w:rPr>
          <w:spacing w:val="-8"/>
          <w:w w:val="105"/>
          <w:sz w:val="14"/>
        </w:rPr>
        <w:t> </w:t>
      </w:r>
      <w:r>
        <w:rPr>
          <w:w w:val="105"/>
          <w:sz w:val="14"/>
        </w:rPr>
        <w:t>(Objects</w:t>
      </w:r>
      <w:r>
        <w:rPr>
          <w:spacing w:val="-7"/>
          <w:w w:val="105"/>
          <w:sz w:val="14"/>
        </w:rPr>
        <w:t> </w:t>
      </w:r>
      <w:r>
        <w:rPr>
          <w:w w:val="105"/>
          <w:sz w:val="14"/>
        </w:rPr>
        <w:t>3701-3702),</w:t>
      </w:r>
      <w:r>
        <w:rPr>
          <w:spacing w:val="-8"/>
          <w:w w:val="105"/>
          <w:sz w:val="14"/>
        </w:rPr>
        <w:t> </w:t>
      </w:r>
      <w:r>
        <w:rPr>
          <w:w w:val="105"/>
          <w:sz w:val="14"/>
        </w:rPr>
        <w:t>and</w:t>
      </w:r>
      <w:r>
        <w:rPr>
          <w:spacing w:val="-8"/>
          <w:w w:val="105"/>
          <w:sz w:val="14"/>
        </w:rPr>
        <w:t> </w:t>
      </w:r>
      <w:r>
        <w:rPr>
          <w:w w:val="105"/>
          <w:sz w:val="14"/>
        </w:rPr>
        <w:t>Facilities</w:t>
      </w:r>
      <w:r>
        <w:rPr>
          <w:spacing w:val="-8"/>
          <w:w w:val="105"/>
          <w:sz w:val="14"/>
        </w:rPr>
        <w:t> </w:t>
      </w:r>
      <w:r>
        <w:rPr>
          <w:w w:val="105"/>
          <w:sz w:val="14"/>
        </w:rPr>
        <w:t>Acquisition</w:t>
      </w:r>
      <w:r>
        <w:rPr>
          <w:spacing w:val="-9"/>
          <w:w w:val="105"/>
          <w:sz w:val="14"/>
        </w:rPr>
        <w:t> </w:t>
      </w:r>
      <w:r>
        <w:rPr>
          <w:w w:val="105"/>
          <w:sz w:val="14"/>
        </w:rPr>
        <w:t>&amp;</w:t>
      </w:r>
      <w:r>
        <w:rPr>
          <w:spacing w:val="-8"/>
          <w:w w:val="105"/>
          <w:sz w:val="14"/>
        </w:rPr>
        <w:t> </w:t>
      </w:r>
      <w:r>
        <w:rPr>
          <w:w w:val="105"/>
          <w:sz w:val="14"/>
        </w:rPr>
        <w:t>Construction</w:t>
      </w:r>
      <w:r>
        <w:rPr>
          <w:spacing w:val="-9"/>
          <w:w w:val="105"/>
          <w:sz w:val="14"/>
        </w:rPr>
        <w:t> </w:t>
      </w:r>
      <w:r>
        <w:rPr>
          <w:w w:val="105"/>
          <w:sz w:val="14"/>
        </w:rPr>
        <w:t>(Function</w:t>
      </w:r>
      <w:r>
        <w:rPr>
          <w:spacing w:val="-9"/>
          <w:w w:val="105"/>
          <w:sz w:val="14"/>
        </w:rPr>
        <w:t> </w:t>
      </w:r>
      <w:r>
        <w:rPr>
          <w:w w:val="105"/>
          <w:sz w:val="14"/>
        </w:rPr>
        <w:t>8500).</w:t>
      </w:r>
    </w:p>
    <w:p>
      <w:pPr>
        <w:pStyle w:val="BodyText"/>
        <w:spacing w:before="7"/>
        <w:rPr>
          <w:sz w:val="17"/>
        </w:rPr>
      </w:pPr>
    </w:p>
    <w:p>
      <w:pPr>
        <w:spacing w:line="300" w:lineRule="auto" w:before="0"/>
        <w:ind w:left="859" w:right="2451" w:hanging="612"/>
        <w:jc w:val="left"/>
        <w:rPr>
          <w:sz w:val="14"/>
        </w:rPr>
      </w:pPr>
      <w:r>
        <w:rPr>
          <w:w w:val="105"/>
          <w:sz w:val="14"/>
        </w:rPr>
        <w:t>Note</w:t>
      </w:r>
      <w:r>
        <w:rPr>
          <w:spacing w:val="-13"/>
          <w:w w:val="105"/>
          <w:sz w:val="14"/>
        </w:rPr>
        <w:t> </w:t>
      </w:r>
      <w:r>
        <w:rPr>
          <w:w w:val="105"/>
          <w:sz w:val="14"/>
        </w:rPr>
        <w:t>2</w:t>
      </w:r>
      <w:r>
        <w:rPr>
          <w:spacing w:val="-13"/>
          <w:w w:val="105"/>
          <w:sz w:val="14"/>
        </w:rPr>
        <w:t> </w:t>
      </w:r>
      <w:r>
        <w:rPr>
          <w:w w:val="105"/>
          <w:sz w:val="14"/>
        </w:rPr>
        <w:t>-</w:t>
      </w:r>
      <w:r>
        <w:rPr>
          <w:spacing w:val="-11"/>
          <w:w w:val="105"/>
          <w:sz w:val="14"/>
        </w:rPr>
        <w:t> </w:t>
      </w:r>
      <w:r>
        <w:rPr>
          <w:w w:val="105"/>
          <w:sz w:val="14"/>
        </w:rPr>
        <w:t>In</w:t>
      </w:r>
      <w:r>
        <w:rPr>
          <w:spacing w:val="-13"/>
          <w:w w:val="105"/>
          <w:sz w:val="14"/>
        </w:rPr>
        <w:t> </w:t>
      </w:r>
      <w:r>
        <w:rPr>
          <w:w w:val="105"/>
          <w:sz w:val="14"/>
        </w:rPr>
        <w:t>Column</w:t>
      </w:r>
      <w:r>
        <w:rPr>
          <w:spacing w:val="-13"/>
          <w:w w:val="105"/>
          <w:sz w:val="14"/>
        </w:rPr>
        <w:t> </w:t>
      </w:r>
      <w:r>
        <w:rPr>
          <w:w w:val="105"/>
          <w:sz w:val="14"/>
        </w:rPr>
        <w:t>4,</w:t>
      </w:r>
      <w:r>
        <w:rPr>
          <w:spacing w:val="-12"/>
          <w:w w:val="105"/>
          <w:sz w:val="14"/>
        </w:rPr>
        <w:t> </w:t>
      </w:r>
      <w:r>
        <w:rPr>
          <w:w w:val="105"/>
          <w:sz w:val="14"/>
        </w:rPr>
        <w:t>report</w:t>
      </w:r>
      <w:r>
        <w:rPr>
          <w:spacing w:val="-12"/>
          <w:w w:val="105"/>
          <w:sz w:val="14"/>
        </w:rPr>
        <w:t> </w:t>
      </w:r>
      <w:r>
        <w:rPr>
          <w:w w:val="105"/>
          <w:sz w:val="14"/>
        </w:rPr>
        <w:t>expenditures</w:t>
      </w:r>
      <w:r>
        <w:rPr>
          <w:spacing w:val="-12"/>
          <w:w w:val="105"/>
          <w:sz w:val="14"/>
        </w:rPr>
        <w:t> </w:t>
      </w:r>
      <w:r>
        <w:rPr>
          <w:w w:val="105"/>
          <w:sz w:val="14"/>
        </w:rPr>
        <w:t>for:</w:t>
      </w:r>
      <w:r>
        <w:rPr>
          <w:spacing w:val="-11"/>
          <w:w w:val="105"/>
          <w:sz w:val="14"/>
        </w:rPr>
        <w:t> </w:t>
      </w:r>
      <w:r>
        <w:rPr>
          <w:w w:val="105"/>
          <w:sz w:val="14"/>
        </w:rPr>
        <w:t>Transportation</w:t>
      </w:r>
      <w:r>
        <w:rPr>
          <w:spacing w:val="-13"/>
          <w:w w:val="105"/>
          <w:sz w:val="14"/>
        </w:rPr>
        <w:t> </w:t>
      </w:r>
      <w:r>
        <w:rPr>
          <w:w w:val="105"/>
          <w:sz w:val="14"/>
        </w:rPr>
        <w:t>(Function</w:t>
      </w:r>
      <w:r>
        <w:rPr>
          <w:spacing w:val="-13"/>
          <w:w w:val="105"/>
          <w:sz w:val="14"/>
        </w:rPr>
        <w:t> </w:t>
      </w:r>
      <w:r>
        <w:rPr>
          <w:w w:val="105"/>
          <w:sz w:val="14"/>
        </w:rPr>
        <w:t>3600),</w:t>
      </w:r>
      <w:r>
        <w:rPr>
          <w:spacing w:val="-11"/>
          <w:w w:val="105"/>
          <w:sz w:val="14"/>
        </w:rPr>
        <w:t> </w:t>
      </w:r>
      <w:r>
        <w:rPr>
          <w:w w:val="105"/>
          <w:sz w:val="14"/>
        </w:rPr>
        <w:t>Lottery</w:t>
      </w:r>
      <w:r>
        <w:rPr>
          <w:spacing w:val="-14"/>
          <w:w w:val="105"/>
          <w:sz w:val="14"/>
        </w:rPr>
        <w:t> </w:t>
      </w:r>
      <w:r>
        <w:rPr>
          <w:w w:val="105"/>
          <w:sz w:val="14"/>
        </w:rPr>
        <w:t>Expenditures</w:t>
      </w:r>
      <w:r>
        <w:rPr>
          <w:spacing w:val="-12"/>
          <w:w w:val="105"/>
          <w:sz w:val="14"/>
        </w:rPr>
        <w:t> </w:t>
      </w:r>
      <w:r>
        <w:rPr>
          <w:w w:val="105"/>
          <w:sz w:val="14"/>
        </w:rPr>
        <w:t>(Resource</w:t>
      </w:r>
      <w:r>
        <w:rPr>
          <w:spacing w:val="-12"/>
          <w:w w:val="105"/>
          <w:sz w:val="14"/>
        </w:rPr>
        <w:t> </w:t>
      </w:r>
      <w:r>
        <w:rPr>
          <w:w w:val="105"/>
          <w:sz w:val="14"/>
        </w:rPr>
        <w:t>1100),</w:t>
      </w:r>
      <w:r>
        <w:rPr>
          <w:spacing w:val="-12"/>
          <w:w w:val="105"/>
          <w:sz w:val="14"/>
        </w:rPr>
        <w:t> </w:t>
      </w:r>
      <w:r>
        <w:rPr>
          <w:w w:val="105"/>
          <w:sz w:val="14"/>
        </w:rPr>
        <w:t>Special</w:t>
      </w:r>
      <w:r>
        <w:rPr>
          <w:spacing w:val="-12"/>
          <w:w w:val="105"/>
          <w:sz w:val="14"/>
        </w:rPr>
        <w:t> </w:t>
      </w:r>
      <w:r>
        <w:rPr>
          <w:w w:val="105"/>
          <w:sz w:val="14"/>
        </w:rPr>
        <w:t>Education</w:t>
      </w:r>
      <w:r>
        <w:rPr>
          <w:spacing w:val="-12"/>
          <w:w w:val="105"/>
          <w:sz w:val="14"/>
        </w:rPr>
        <w:t> </w:t>
      </w:r>
      <w:r>
        <w:rPr>
          <w:w w:val="105"/>
          <w:sz w:val="14"/>
        </w:rPr>
        <w:t>Students</w:t>
      </w:r>
      <w:r>
        <w:rPr>
          <w:spacing w:val="-12"/>
          <w:w w:val="105"/>
          <w:sz w:val="14"/>
        </w:rPr>
        <w:t> </w:t>
      </w:r>
      <w:r>
        <w:rPr>
          <w:w w:val="105"/>
          <w:sz w:val="14"/>
        </w:rPr>
        <w:t>in Nonpublic</w:t>
      </w:r>
      <w:r>
        <w:rPr>
          <w:spacing w:val="-11"/>
          <w:w w:val="105"/>
          <w:sz w:val="14"/>
        </w:rPr>
        <w:t> </w:t>
      </w:r>
      <w:r>
        <w:rPr>
          <w:w w:val="105"/>
          <w:sz w:val="14"/>
        </w:rPr>
        <w:t>Schools</w:t>
      </w:r>
      <w:r>
        <w:rPr>
          <w:spacing w:val="-12"/>
          <w:w w:val="105"/>
          <w:sz w:val="14"/>
        </w:rPr>
        <w:t> </w:t>
      </w:r>
      <w:r>
        <w:rPr>
          <w:w w:val="105"/>
          <w:sz w:val="14"/>
        </w:rPr>
        <w:t>(Function</w:t>
      </w:r>
      <w:r>
        <w:rPr>
          <w:spacing w:val="-13"/>
          <w:w w:val="105"/>
          <w:sz w:val="14"/>
        </w:rPr>
        <w:t> </w:t>
      </w:r>
      <w:r>
        <w:rPr>
          <w:w w:val="105"/>
          <w:sz w:val="14"/>
        </w:rPr>
        <w:t>1180),</w:t>
      </w:r>
      <w:r>
        <w:rPr>
          <w:spacing w:val="-11"/>
          <w:w w:val="105"/>
          <w:sz w:val="14"/>
        </w:rPr>
        <w:t> </w:t>
      </w:r>
      <w:r>
        <w:rPr>
          <w:w w:val="105"/>
          <w:sz w:val="14"/>
        </w:rPr>
        <w:t>and</w:t>
      </w:r>
      <w:r>
        <w:rPr>
          <w:spacing w:val="-12"/>
          <w:w w:val="105"/>
          <w:sz w:val="14"/>
        </w:rPr>
        <w:t> </w:t>
      </w:r>
      <w:r>
        <w:rPr>
          <w:w w:val="105"/>
          <w:sz w:val="14"/>
        </w:rPr>
        <w:t>other</w:t>
      </w:r>
      <w:r>
        <w:rPr>
          <w:spacing w:val="-12"/>
          <w:w w:val="105"/>
          <w:sz w:val="14"/>
        </w:rPr>
        <w:t> </w:t>
      </w:r>
      <w:r>
        <w:rPr>
          <w:w w:val="105"/>
          <w:sz w:val="14"/>
        </w:rPr>
        <w:t>federal</w:t>
      </w:r>
      <w:r>
        <w:rPr>
          <w:spacing w:val="-12"/>
          <w:w w:val="105"/>
          <w:sz w:val="14"/>
        </w:rPr>
        <w:t> </w:t>
      </w:r>
      <w:r>
        <w:rPr>
          <w:w w:val="105"/>
          <w:sz w:val="14"/>
        </w:rPr>
        <w:t>or</w:t>
      </w:r>
      <w:r>
        <w:rPr>
          <w:spacing w:val="-11"/>
          <w:w w:val="105"/>
          <w:sz w:val="14"/>
        </w:rPr>
        <w:t> </w:t>
      </w:r>
      <w:r>
        <w:rPr>
          <w:w w:val="105"/>
          <w:sz w:val="14"/>
        </w:rPr>
        <w:t>state</w:t>
      </w:r>
      <w:r>
        <w:rPr>
          <w:spacing w:val="-13"/>
          <w:w w:val="105"/>
          <w:sz w:val="14"/>
        </w:rPr>
        <w:t> </w:t>
      </w:r>
      <w:r>
        <w:rPr>
          <w:w w:val="105"/>
          <w:sz w:val="14"/>
        </w:rPr>
        <w:t>categorical</w:t>
      </w:r>
      <w:r>
        <w:rPr>
          <w:spacing w:val="-11"/>
          <w:w w:val="105"/>
          <w:sz w:val="14"/>
        </w:rPr>
        <w:t> </w:t>
      </w:r>
      <w:r>
        <w:rPr>
          <w:w w:val="105"/>
          <w:sz w:val="14"/>
        </w:rPr>
        <w:t>aid</w:t>
      </w:r>
      <w:r>
        <w:rPr>
          <w:spacing w:val="-13"/>
          <w:w w:val="105"/>
          <w:sz w:val="14"/>
        </w:rPr>
        <w:t> </w:t>
      </w:r>
      <w:r>
        <w:rPr>
          <w:w w:val="105"/>
          <w:sz w:val="14"/>
        </w:rPr>
        <w:t>in</w:t>
      </w:r>
      <w:r>
        <w:rPr>
          <w:spacing w:val="-12"/>
          <w:w w:val="105"/>
          <w:sz w:val="14"/>
        </w:rPr>
        <w:t> </w:t>
      </w:r>
      <w:r>
        <w:rPr>
          <w:w w:val="105"/>
          <w:sz w:val="14"/>
        </w:rPr>
        <w:t>which</w:t>
      </w:r>
      <w:r>
        <w:rPr>
          <w:spacing w:val="-11"/>
          <w:w w:val="105"/>
          <w:sz w:val="14"/>
        </w:rPr>
        <w:t> </w:t>
      </w:r>
      <w:r>
        <w:rPr>
          <w:w w:val="105"/>
          <w:sz w:val="14"/>
        </w:rPr>
        <w:t>funds</w:t>
      </w:r>
      <w:r>
        <w:rPr>
          <w:spacing w:val="-11"/>
          <w:w w:val="105"/>
          <w:sz w:val="14"/>
        </w:rPr>
        <w:t> </w:t>
      </w:r>
      <w:r>
        <w:rPr>
          <w:w w:val="105"/>
          <w:sz w:val="14"/>
        </w:rPr>
        <w:t>were</w:t>
      </w:r>
      <w:r>
        <w:rPr>
          <w:spacing w:val="-13"/>
          <w:w w:val="105"/>
          <w:sz w:val="14"/>
        </w:rPr>
        <w:t> </w:t>
      </w:r>
      <w:r>
        <w:rPr>
          <w:w w:val="105"/>
          <w:sz w:val="14"/>
        </w:rPr>
        <w:t>granted</w:t>
      </w:r>
      <w:r>
        <w:rPr>
          <w:spacing w:val="-12"/>
          <w:w w:val="105"/>
          <w:sz w:val="14"/>
        </w:rPr>
        <w:t> </w:t>
      </w:r>
      <w:r>
        <w:rPr>
          <w:w w:val="105"/>
          <w:sz w:val="14"/>
        </w:rPr>
        <w:t>for</w:t>
      </w:r>
      <w:r>
        <w:rPr>
          <w:spacing w:val="-10"/>
          <w:w w:val="105"/>
          <w:sz w:val="14"/>
        </w:rPr>
        <w:t> </w:t>
      </w:r>
      <w:r>
        <w:rPr>
          <w:w w:val="105"/>
          <w:sz w:val="14"/>
        </w:rPr>
        <w:t>expenditures</w:t>
      </w:r>
      <w:r>
        <w:rPr>
          <w:spacing w:val="-11"/>
          <w:w w:val="105"/>
          <w:sz w:val="14"/>
        </w:rPr>
        <w:t> </w:t>
      </w:r>
      <w:r>
        <w:rPr>
          <w:w w:val="105"/>
          <w:sz w:val="14"/>
        </w:rPr>
        <w:t>in</w:t>
      </w:r>
      <w:r>
        <w:rPr>
          <w:spacing w:val="-12"/>
          <w:w w:val="105"/>
          <w:sz w:val="14"/>
        </w:rPr>
        <w:t> </w:t>
      </w:r>
      <w:r>
        <w:rPr>
          <w:w w:val="105"/>
          <w:sz w:val="14"/>
        </w:rPr>
        <w:t>a</w:t>
      </w:r>
      <w:r>
        <w:rPr>
          <w:spacing w:val="-13"/>
          <w:w w:val="105"/>
          <w:sz w:val="14"/>
        </w:rPr>
        <w:t> </w:t>
      </w:r>
      <w:r>
        <w:rPr>
          <w:w w:val="105"/>
          <w:sz w:val="14"/>
        </w:rPr>
        <w:t>program</w:t>
      </w:r>
      <w:r>
        <w:rPr>
          <w:spacing w:val="-13"/>
          <w:w w:val="105"/>
          <w:sz w:val="14"/>
        </w:rPr>
        <w:t> </w:t>
      </w:r>
      <w:r>
        <w:rPr>
          <w:w w:val="105"/>
          <w:sz w:val="14"/>
        </w:rPr>
        <w:t>not incurring</w:t>
      </w:r>
      <w:r>
        <w:rPr>
          <w:spacing w:val="-11"/>
          <w:w w:val="105"/>
          <w:sz w:val="14"/>
        </w:rPr>
        <w:t> </w:t>
      </w:r>
      <w:r>
        <w:rPr>
          <w:w w:val="105"/>
          <w:sz w:val="14"/>
        </w:rPr>
        <w:t>any</w:t>
      </w:r>
      <w:r>
        <w:rPr>
          <w:spacing w:val="-13"/>
          <w:w w:val="105"/>
          <w:sz w:val="14"/>
        </w:rPr>
        <w:t> </w:t>
      </w:r>
      <w:r>
        <w:rPr>
          <w:w w:val="105"/>
          <w:sz w:val="14"/>
        </w:rPr>
        <w:t>teacher</w:t>
      </w:r>
      <w:r>
        <w:rPr>
          <w:spacing w:val="-10"/>
          <w:w w:val="105"/>
          <w:sz w:val="14"/>
        </w:rPr>
        <w:t> </w:t>
      </w:r>
      <w:r>
        <w:rPr>
          <w:w w:val="105"/>
          <w:sz w:val="14"/>
        </w:rPr>
        <w:t>salary</w:t>
      </w:r>
      <w:r>
        <w:rPr>
          <w:spacing w:val="-12"/>
          <w:w w:val="105"/>
          <w:sz w:val="14"/>
        </w:rPr>
        <w:t> </w:t>
      </w:r>
      <w:r>
        <w:rPr>
          <w:w w:val="105"/>
          <w:sz w:val="14"/>
        </w:rPr>
        <w:t>expenditures</w:t>
      </w:r>
      <w:r>
        <w:rPr>
          <w:spacing w:val="-11"/>
          <w:w w:val="105"/>
          <w:sz w:val="14"/>
        </w:rPr>
        <w:t> </w:t>
      </w:r>
      <w:r>
        <w:rPr>
          <w:w w:val="105"/>
          <w:sz w:val="14"/>
        </w:rPr>
        <w:t>or</w:t>
      </w:r>
      <w:r>
        <w:rPr>
          <w:spacing w:val="-11"/>
          <w:w w:val="105"/>
          <w:sz w:val="14"/>
        </w:rPr>
        <w:t> </w:t>
      </w:r>
      <w:r>
        <w:rPr>
          <w:w w:val="105"/>
          <w:sz w:val="14"/>
        </w:rPr>
        <w:t>requiring</w:t>
      </w:r>
      <w:r>
        <w:rPr>
          <w:spacing w:val="-11"/>
          <w:w w:val="105"/>
          <w:sz w:val="14"/>
        </w:rPr>
        <w:t> </w:t>
      </w:r>
      <w:r>
        <w:rPr>
          <w:w w:val="105"/>
          <w:sz w:val="14"/>
        </w:rPr>
        <w:t>disbursement</w:t>
      </w:r>
      <w:r>
        <w:rPr>
          <w:spacing w:val="-10"/>
          <w:w w:val="105"/>
          <w:sz w:val="14"/>
        </w:rPr>
        <w:t> </w:t>
      </w:r>
      <w:r>
        <w:rPr>
          <w:w w:val="105"/>
          <w:sz w:val="14"/>
        </w:rPr>
        <w:t>of</w:t>
      </w:r>
      <w:r>
        <w:rPr>
          <w:spacing w:val="-10"/>
          <w:w w:val="105"/>
          <w:sz w:val="14"/>
        </w:rPr>
        <w:t> </w:t>
      </w:r>
      <w:r>
        <w:rPr>
          <w:w w:val="105"/>
          <w:sz w:val="14"/>
        </w:rPr>
        <w:t>the</w:t>
      </w:r>
      <w:r>
        <w:rPr>
          <w:spacing w:val="-12"/>
          <w:w w:val="105"/>
          <w:sz w:val="14"/>
        </w:rPr>
        <w:t> </w:t>
      </w:r>
      <w:r>
        <w:rPr>
          <w:w w:val="105"/>
          <w:sz w:val="14"/>
        </w:rPr>
        <w:t>funds</w:t>
      </w:r>
      <w:r>
        <w:rPr>
          <w:spacing w:val="-10"/>
          <w:w w:val="105"/>
          <w:sz w:val="14"/>
        </w:rPr>
        <w:t> </w:t>
      </w:r>
      <w:r>
        <w:rPr>
          <w:w w:val="105"/>
          <w:sz w:val="14"/>
        </w:rPr>
        <w:t>without</w:t>
      </w:r>
      <w:r>
        <w:rPr>
          <w:spacing w:val="-10"/>
          <w:w w:val="105"/>
          <w:sz w:val="14"/>
        </w:rPr>
        <w:t> </w:t>
      </w:r>
      <w:r>
        <w:rPr>
          <w:w w:val="105"/>
          <w:sz w:val="14"/>
        </w:rPr>
        <w:t>regard</w:t>
      </w:r>
      <w:r>
        <w:rPr>
          <w:spacing w:val="-12"/>
          <w:w w:val="105"/>
          <w:sz w:val="14"/>
        </w:rPr>
        <w:t> </w:t>
      </w:r>
      <w:r>
        <w:rPr>
          <w:w w:val="105"/>
          <w:sz w:val="14"/>
        </w:rPr>
        <w:t>to</w:t>
      </w:r>
      <w:r>
        <w:rPr>
          <w:spacing w:val="-11"/>
          <w:w w:val="105"/>
          <w:sz w:val="14"/>
        </w:rPr>
        <w:t> </w:t>
      </w:r>
      <w:r>
        <w:rPr>
          <w:w w:val="105"/>
          <w:sz w:val="14"/>
        </w:rPr>
        <w:t>the</w:t>
      </w:r>
      <w:r>
        <w:rPr>
          <w:spacing w:val="-12"/>
          <w:w w:val="105"/>
          <w:sz w:val="14"/>
        </w:rPr>
        <w:t> </w:t>
      </w:r>
      <w:r>
        <w:rPr>
          <w:w w:val="105"/>
          <w:sz w:val="14"/>
        </w:rPr>
        <w:t>requirements</w:t>
      </w:r>
      <w:r>
        <w:rPr>
          <w:spacing w:val="-10"/>
          <w:w w:val="105"/>
          <w:sz w:val="14"/>
        </w:rPr>
        <w:t> </w:t>
      </w:r>
      <w:r>
        <w:rPr>
          <w:w w:val="105"/>
          <w:sz w:val="14"/>
        </w:rPr>
        <w:t>of</w:t>
      </w:r>
      <w:r>
        <w:rPr>
          <w:spacing w:val="-10"/>
          <w:w w:val="105"/>
          <w:sz w:val="14"/>
        </w:rPr>
        <w:t> </w:t>
      </w:r>
      <w:r>
        <w:rPr>
          <w:w w:val="105"/>
          <w:sz w:val="14"/>
        </w:rPr>
        <w:t>EC</w:t>
      </w:r>
      <w:r>
        <w:rPr>
          <w:spacing w:val="-11"/>
          <w:w w:val="105"/>
          <w:sz w:val="14"/>
        </w:rPr>
        <w:t> </w:t>
      </w:r>
      <w:r>
        <w:rPr>
          <w:w w:val="105"/>
          <w:sz w:val="14"/>
        </w:rPr>
        <w:t>Section</w:t>
      </w:r>
      <w:r>
        <w:rPr>
          <w:spacing w:val="-12"/>
          <w:w w:val="105"/>
          <w:sz w:val="14"/>
        </w:rPr>
        <w:t> </w:t>
      </w:r>
      <w:r>
        <w:rPr>
          <w:w w:val="105"/>
          <w:sz w:val="14"/>
        </w:rPr>
        <w:t>41372.</w:t>
      </w:r>
    </w:p>
    <w:p>
      <w:pPr>
        <w:pStyle w:val="BodyText"/>
        <w:spacing w:before="8"/>
        <w:rPr>
          <w:sz w:val="14"/>
        </w:rPr>
      </w:pPr>
    </w:p>
    <w:p>
      <w:pPr>
        <w:spacing w:line="300" w:lineRule="auto" w:before="0"/>
        <w:ind w:left="329" w:right="2433" w:hanging="82"/>
        <w:jc w:val="left"/>
        <w:rPr>
          <w:sz w:val="14"/>
        </w:rPr>
      </w:pPr>
      <w:r>
        <w:rPr/>
        <w:pict>
          <v:group style="position:absolute;margin-left:12.36pt;margin-top:23.125885pt;width:587.2pt;height:281.05pt;mso-position-horizontal-relative:page;mso-position-vertical-relative:paragraph;z-index:-314074112" coordorigin="247,463" coordsize="11744,5621">
            <v:shape style="position:absolute;left:254;top:462;width:8218;height:22" type="#_x0000_t75" stroked="false">
              <v:imagedata r:id="rId1404" o:title=""/>
            </v:shape>
            <v:shape style="position:absolute;left:247;top:469;width:6509;height:406" type="#_x0000_t75" stroked="false">
              <v:imagedata r:id="rId1405" o:title=""/>
            </v:shape>
            <v:line style="position:absolute" from="5034,475" to="5034,859" stroked="true" strokeweight=".360008pt" strokecolor="#ffffff">
              <v:stroke dashstyle="solid"/>
            </v:line>
            <v:line style="position:absolute" from="5404,475" to="5404,859" stroked="true" strokeweight=".360008pt" strokecolor="#ffffff">
              <v:stroke dashstyle="solid"/>
            </v:line>
            <v:shape style="position:absolute;left:6748;top:462;width:4865;height:413" type="#_x0000_t75" stroked="false">
              <v:imagedata r:id="rId1406" o:title=""/>
            </v:shape>
            <v:line style="position:absolute" from="1972,866" to="1972,1060" stroked="true" strokeweight=".359997pt" strokecolor="#ffffff">
              <v:stroke dashstyle="solid"/>
            </v:line>
            <v:line style="position:absolute" from="3318,866" to="3318,1060" stroked="true" strokeweight=".359996pt" strokecolor="#ffffff">
              <v:stroke dashstyle="solid"/>
            </v:line>
            <v:line style="position:absolute" from="3688,866" to="3688,1060" stroked="true" strokeweight=".359997pt" strokecolor="#ffffff">
              <v:stroke dashstyle="solid"/>
            </v:line>
            <v:line style="position:absolute" from="5034,866" to="5034,1060" stroked="true" strokeweight=".360008pt" strokecolor="#ffffff">
              <v:stroke dashstyle="solid"/>
            </v:line>
            <v:line style="position:absolute" from="5404,866" to="5404,1060" stroked="true" strokeweight=".360008pt" strokecolor="#ffffff">
              <v:stroke dashstyle="solid"/>
            </v:line>
            <v:line style="position:absolute" from="6750,866" to="6750,1060" stroked="true" strokeweight=".359985pt" strokecolor="#ffffff">
              <v:stroke dashstyle="solid"/>
            </v:line>
            <v:line style="position:absolute" from="7120,866" to="7120,1060" stroked="true" strokeweight=".360008pt" strokecolor="#ffffff">
              <v:stroke dashstyle="solid"/>
            </v:line>
            <v:shape style="position:absolute;left:10260;top:462;width:1731;height:603" type="#_x0000_t75" stroked="false">
              <v:imagedata r:id="rId1407" o:title=""/>
            </v:shape>
            <v:line style="position:absolute" from="9892,866" to="9892,1060" stroked="true" strokeweight=".359986pt" strokecolor="#ffffff">
              <v:stroke dashstyle="solid"/>
            </v:line>
            <v:shape style="position:absolute;left:8464;top:860;width:1803;height:2427" type="#_x0000_t75" stroked="false">
              <v:imagedata r:id="rId1408" o:title=""/>
            </v:shape>
            <v:shape style="position:absolute;left:10260;top:860;width:1731;height:5223" type="#_x0000_t75" stroked="false">
              <v:imagedata r:id="rId1409" o:title=""/>
            </v:shape>
            <v:shape style="position:absolute;left:247;top:860;width:10020;height:4013" type="#_x0000_t75" stroked="false">
              <v:imagedata r:id="rId1410" o:title=""/>
            </v:shape>
            <v:line style="position:absolute" from="1972,4864" to="1972,5059" stroked="true" strokeweight=".359997pt" strokecolor="#ffffff">
              <v:stroke dashstyle="solid"/>
            </v:line>
            <v:line style="position:absolute" from="3318,4864" to="3318,5059" stroked="true" strokeweight=".359996pt" strokecolor="#ffffff">
              <v:stroke dashstyle="solid"/>
            </v:line>
            <v:line style="position:absolute" from="3688,4864" to="3688,5059" stroked="true" strokeweight=".359997pt" strokecolor="#ffffff">
              <v:stroke dashstyle="solid"/>
            </v:line>
            <v:shape style="position:absolute;left:247;top:4859;width:10020;height:1224" type="#_x0000_t75" stroked="false">
              <v:imagedata r:id="rId1411" o:title=""/>
            </v:shape>
            <v:shape style="position:absolute;left:288;top:3927;width:9993;height:2143" type="#_x0000_t202" filled="false" stroked="false">
              <v:textbox inset="0,0,0,0">
                <w:txbxContent>
                  <w:p>
                    <w:pPr>
                      <w:spacing w:line="160" w:lineRule="exact" w:before="0"/>
                      <w:ind w:left="0" w:right="0" w:firstLine="0"/>
                      <w:jc w:val="left"/>
                      <w:rPr>
                        <w:sz w:val="14"/>
                      </w:rPr>
                    </w:pPr>
                    <w:r>
                      <w:rPr>
                        <w:w w:val="105"/>
                        <w:sz w:val="14"/>
                      </w:rPr>
                      <w:t>13a. Less: Teacher and Instructional Aide Salaries and</w:t>
                    </w:r>
                  </w:p>
                  <w:p>
                    <w:pPr>
                      <w:spacing w:before="40"/>
                      <w:ind w:left="326" w:right="0" w:firstLine="0"/>
                      <w:jc w:val="left"/>
                      <w:rPr>
                        <w:sz w:val="14"/>
                      </w:rPr>
                    </w:pPr>
                    <w:r>
                      <w:rPr>
                        <w:w w:val="105"/>
                        <w:sz w:val="14"/>
                      </w:rPr>
                      <w:t>Benefits</w:t>
                    </w:r>
                    <w:r>
                      <w:rPr>
                        <w:spacing w:val="-3"/>
                        <w:w w:val="105"/>
                        <w:sz w:val="14"/>
                      </w:rPr>
                      <w:t> </w:t>
                    </w:r>
                    <w:r>
                      <w:rPr>
                        <w:w w:val="105"/>
                        <w:sz w:val="14"/>
                      </w:rPr>
                      <w:t>(other</w:t>
                    </w:r>
                    <w:r>
                      <w:rPr>
                        <w:spacing w:val="-2"/>
                        <w:w w:val="105"/>
                        <w:sz w:val="14"/>
                      </w:rPr>
                      <w:t> </w:t>
                    </w:r>
                    <w:r>
                      <w:rPr>
                        <w:w w:val="105"/>
                        <w:sz w:val="14"/>
                      </w:rPr>
                      <w:t>than</w:t>
                    </w:r>
                    <w:r>
                      <w:rPr>
                        <w:spacing w:val="-3"/>
                        <w:w w:val="105"/>
                        <w:sz w:val="14"/>
                      </w:rPr>
                      <w:t> </w:t>
                    </w:r>
                    <w:r>
                      <w:rPr>
                        <w:w w:val="105"/>
                        <w:sz w:val="14"/>
                      </w:rPr>
                      <w:t>Lottery)</w:t>
                    </w:r>
                    <w:r>
                      <w:rPr>
                        <w:spacing w:val="-2"/>
                        <w:w w:val="105"/>
                        <w:sz w:val="14"/>
                      </w:rPr>
                      <w:t> </w:t>
                    </w:r>
                    <w:r>
                      <w:rPr>
                        <w:w w:val="105"/>
                        <w:sz w:val="14"/>
                      </w:rPr>
                      <w:t>deducted</w:t>
                    </w:r>
                    <w:r>
                      <w:rPr>
                        <w:spacing w:val="-4"/>
                        <w:w w:val="105"/>
                        <w:sz w:val="14"/>
                      </w:rPr>
                      <w:t> </w:t>
                    </w:r>
                    <w:r>
                      <w:rPr>
                        <w:w w:val="105"/>
                        <w:sz w:val="14"/>
                      </w:rPr>
                      <w:t>in</w:t>
                    </w:r>
                    <w:r>
                      <w:rPr>
                        <w:spacing w:val="-4"/>
                        <w:w w:val="105"/>
                        <w:sz w:val="14"/>
                      </w:rPr>
                      <w:t> </w:t>
                    </w:r>
                    <w:r>
                      <w:rPr>
                        <w:w w:val="105"/>
                        <w:sz w:val="14"/>
                      </w:rPr>
                      <w:t>Column</w:t>
                    </w:r>
                    <w:r>
                      <w:rPr>
                        <w:spacing w:val="-4"/>
                        <w:w w:val="105"/>
                        <w:sz w:val="14"/>
                      </w:rPr>
                      <w:t> </w:t>
                    </w:r>
                    <w:r>
                      <w:rPr>
                        <w:w w:val="105"/>
                        <w:sz w:val="14"/>
                      </w:rPr>
                      <w:t>4a</w:t>
                    </w:r>
                    <w:r>
                      <w:rPr>
                        <w:spacing w:val="-3"/>
                        <w:w w:val="105"/>
                        <w:sz w:val="14"/>
                      </w:rPr>
                      <w:t> </w:t>
                    </w:r>
                    <w:r>
                      <w:rPr>
                        <w:w w:val="105"/>
                        <w:sz w:val="14"/>
                      </w:rPr>
                      <w:t>(Extracted).</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p>
                  <w:p>
                    <w:pPr>
                      <w:spacing w:before="24"/>
                      <w:ind w:left="163" w:right="0" w:firstLine="0"/>
                      <w:jc w:val="left"/>
                      <w:rPr>
                        <w:sz w:val="14"/>
                      </w:rPr>
                    </w:pPr>
                    <w:r>
                      <w:rPr>
                        <w:w w:val="105"/>
                        <w:sz w:val="14"/>
                      </w:rPr>
                      <w:t>b. Less: Teacher and Instructional Aide Salaries and</w:t>
                    </w:r>
                  </w:p>
                  <w:p>
                    <w:pPr>
                      <w:spacing w:before="24"/>
                      <w:ind w:left="326" w:right="0" w:firstLine="0"/>
                      <w:jc w:val="left"/>
                      <w:rPr>
                        <w:sz w:val="14"/>
                      </w:rPr>
                    </w:pPr>
                    <w:r>
                      <w:rPr>
                        <w:w w:val="105"/>
                        <w:sz w:val="14"/>
                      </w:rPr>
                      <w:t>Benefits</w:t>
                    </w:r>
                    <w:r>
                      <w:rPr>
                        <w:spacing w:val="-3"/>
                        <w:w w:val="105"/>
                        <w:sz w:val="14"/>
                      </w:rPr>
                      <w:t> </w:t>
                    </w:r>
                    <w:r>
                      <w:rPr>
                        <w:w w:val="105"/>
                        <w:sz w:val="14"/>
                      </w:rPr>
                      <w:t>(other</w:t>
                    </w:r>
                    <w:r>
                      <w:rPr>
                        <w:spacing w:val="-2"/>
                        <w:w w:val="105"/>
                        <w:sz w:val="14"/>
                      </w:rPr>
                      <w:t> </w:t>
                    </w:r>
                    <w:r>
                      <w:rPr>
                        <w:w w:val="105"/>
                        <w:sz w:val="14"/>
                      </w:rPr>
                      <w:t>than</w:t>
                    </w:r>
                    <w:r>
                      <w:rPr>
                        <w:spacing w:val="-3"/>
                        <w:w w:val="105"/>
                        <w:sz w:val="14"/>
                      </w:rPr>
                      <w:t> </w:t>
                    </w:r>
                    <w:r>
                      <w:rPr>
                        <w:w w:val="105"/>
                        <w:sz w:val="14"/>
                      </w:rPr>
                      <w:t>Lottery)</w:t>
                    </w:r>
                    <w:r>
                      <w:rPr>
                        <w:spacing w:val="-2"/>
                        <w:w w:val="105"/>
                        <w:sz w:val="14"/>
                      </w:rPr>
                      <w:t> </w:t>
                    </w:r>
                    <w:r>
                      <w:rPr>
                        <w:w w:val="105"/>
                        <w:sz w:val="14"/>
                      </w:rPr>
                      <w:t>deducted</w:t>
                    </w:r>
                    <w:r>
                      <w:rPr>
                        <w:spacing w:val="-4"/>
                        <w:w w:val="105"/>
                        <w:sz w:val="14"/>
                      </w:rPr>
                      <w:t> </w:t>
                    </w:r>
                    <w:r>
                      <w:rPr>
                        <w:w w:val="105"/>
                        <w:sz w:val="14"/>
                      </w:rPr>
                      <w:t>in</w:t>
                    </w:r>
                    <w:r>
                      <w:rPr>
                        <w:spacing w:val="-5"/>
                        <w:w w:val="105"/>
                        <w:sz w:val="14"/>
                      </w:rPr>
                      <w:t> </w:t>
                    </w:r>
                    <w:r>
                      <w:rPr>
                        <w:w w:val="105"/>
                        <w:sz w:val="14"/>
                      </w:rPr>
                      <w:t>Column</w:t>
                    </w:r>
                    <w:r>
                      <w:rPr>
                        <w:spacing w:val="-4"/>
                        <w:w w:val="105"/>
                        <w:sz w:val="14"/>
                      </w:rPr>
                      <w:t> </w:t>
                    </w:r>
                    <w:r>
                      <w:rPr>
                        <w:w w:val="105"/>
                        <w:sz w:val="14"/>
                      </w:rPr>
                      <w:t>4b</w:t>
                    </w:r>
                    <w:r>
                      <w:rPr>
                        <w:spacing w:val="-3"/>
                        <w:w w:val="105"/>
                        <w:sz w:val="14"/>
                      </w:rPr>
                      <w:t> </w:t>
                    </w:r>
                    <w:r>
                      <w:rPr>
                        <w:w w:val="105"/>
                        <w:sz w:val="14"/>
                      </w:rPr>
                      <w:t>(Overrides)*.</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p>
                  <w:p>
                    <w:pPr>
                      <w:spacing w:before="41"/>
                      <w:ind w:left="0" w:right="0" w:firstLine="0"/>
                      <w:jc w:val="left"/>
                      <w:rPr>
                        <w:sz w:val="14"/>
                      </w:rPr>
                    </w:pPr>
                    <w:r>
                      <w:rPr>
                        <w:w w:val="105"/>
                        <w:sz w:val="14"/>
                      </w:rPr>
                      <w:t>14. </w:t>
                    </w:r>
                    <w:r>
                      <w:rPr>
                        <w:spacing w:val="36"/>
                        <w:w w:val="105"/>
                        <w:sz w:val="14"/>
                      </w:rPr>
                      <w:t> </w:t>
                    </w:r>
                    <w:r>
                      <w:rPr>
                        <w:w w:val="105"/>
                        <w:sz w:val="14"/>
                      </w:rPr>
                      <w:t>TOTAL</w:t>
                    </w:r>
                    <w:r>
                      <w:rPr>
                        <w:spacing w:val="-2"/>
                        <w:w w:val="105"/>
                        <w:sz w:val="14"/>
                      </w:rPr>
                      <w:t> </w:t>
                    </w:r>
                    <w:r>
                      <w:rPr>
                        <w:w w:val="105"/>
                        <w:sz w:val="14"/>
                      </w:rPr>
                      <w:t>SALARIES</w:t>
                    </w:r>
                    <w:r>
                      <w:rPr>
                        <w:spacing w:val="-2"/>
                        <w:w w:val="105"/>
                        <w:sz w:val="14"/>
                      </w:rPr>
                      <w:t> </w:t>
                    </w:r>
                    <w:r>
                      <w:rPr>
                        <w:w w:val="105"/>
                        <w:sz w:val="14"/>
                      </w:rPr>
                      <w:t>AND</w:t>
                    </w:r>
                    <w:r>
                      <w:rPr>
                        <w:spacing w:val="-3"/>
                        <w:w w:val="105"/>
                        <w:sz w:val="14"/>
                      </w:rPr>
                      <w:t> </w:t>
                    </w:r>
                    <w:r>
                      <w:rPr>
                        <w:w w:val="105"/>
                        <w:sz w:val="14"/>
                      </w:rPr>
                      <w:t>BENEFITS.</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3"/>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3"/>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p>
                  <w:p>
                    <w:pPr>
                      <w:numPr>
                        <w:ilvl w:val="0"/>
                        <w:numId w:val="63"/>
                      </w:numPr>
                      <w:tabs>
                        <w:tab w:pos="322" w:val="left" w:leader="none"/>
                      </w:tabs>
                      <w:spacing w:line="300" w:lineRule="auto" w:before="40"/>
                      <w:ind w:left="366" w:right="5687" w:hanging="367"/>
                      <w:jc w:val="left"/>
                      <w:rPr>
                        <w:sz w:val="14"/>
                      </w:rPr>
                    </w:pPr>
                    <w:r>
                      <w:rPr>
                        <w:w w:val="105"/>
                        <w:sz w:val="14"/>
                      </w:rPr>
                      <w:t>Percent</w:t>
                    </w:r>
                    <w:r>
                      <w:rPr>
                        <w:spacing w:val="-13"/>
                        <w:w w:val="105"/>
                        <w:sz w:val="14"/>
                      </w:rPr>
                      <w:t> </w:t>
                    </w:r>
                    <w:r>
                      <w:rPr>
                        <w:w w:val="105"/>
                        <w:sz w:val="14"/>
                      </w:rPr>
                      <w:t>of</w:t>
                    </w:r>
                    <w:r>
                      <w:rPr>
                        <w:spacing w:val="-12"/>
                        <w:w w:val="105"/>
                        <w:sz w:val="14"/>
                      </w:rPr>
                      <w:t> </w:t>
                    </w:r>
                    <w:r>
                      <w:rPr>
                        <w:w w:val="105"/>
                        <w:sz w:val="14"/>
                      </w:rPr>
                      <w:t>Current</w:t>
                    </w:r>
                    <w:r>
                      <w:rPr>
                        <w:spacing w:val="-12"/>
                        <w:w w:val="105"/>
                        <w:sz w:val="14"/>
                      </w:rPr>
                      <w:t> </w:t>
                    </w:r>
                    <w:r>
                      <w:rPr>
                        <w:w w:val="105"/>
                        <w:sz w:val="14"/>
                      </w:rPr>
                      <w:t>Cost</w:t>
                    </w:r>
                    <w:r>
                      <w:rPr>
                        <w:spacing w:val="-13"/>
                        <w:w w:val="105"/>
                        <w:sz w:val="14"/>
                      </w:rPr>
                      <w:t> </w:t>
                    </w:r>
                    <w:r>
                      <w:rPr>
                        <w:w w:val="105"/>
                        <w:sz w:val="14"/>
                      </w:rPr>
                      <w:t>of</w:t>
                    </w:r>
                    <w:r>
                      <w:rPr>
                        <w:spacing w:val="-12"/>
                        <w:w w:val="105"/>
                        <w:sz w:val="14"/>
                      </w:rPr>
                      <w:t> </w:t>
                    </w:r>
                    <w:r>
                      <w:rPr>
                        <w:w w:val="105"/>
                        <w:sz w:val="14"/>
                      </w:rPr>
                      <w:t>Education</w:t>
                    </w:r>
                    <w:r>
                      <w:rPr>
                        <w:spacing w:val="-13"/>
                        <w:w w:val="105"/>
                        <w:sz w:val="14"/>
                      </w:rPr>
                      <w:t> </w:t>
                    </w:r>
                    <w:r>
                      <w:rPr>
                        <w:w w:val="105"/>
                        <w:sz w:val="14"/>
                      </w:rPr>
                      <w:t>Expended</w:t>
                    </w:r>
                    <w:r>
                      <w:rPr>
                        <w:spacing w:val="-12"/>
                        <w:w w:val="105"/>
                        <w:sz w:val="14"/>
                      </w:rPr>
                      <w:t> </w:t>
                    </w:r>
                    <w:r>
                      <w:rPr>
                        <w:w w:val="105"/>
                        <w:sz w:val="14"/>
                      </w:rPr>
                      <w:t>for</w:t>
                    </w:r>
                    <w:r>
                      <w:rPr>
                        <w:spacing w:val="-13"/>
                        <w:w w:val="105"/>
                        <w:sz w:val="14"/>
                      </w:rPr>
                      <w:t> </w:t>
                    </w:r>
                    <w:r>
                      <w:rPr>
                        <w:w w:val="105"/>
                        <w:sz w:val="14"/>
                      </w:rPr>
                      <w:t>Classroom Compensation (EDP 397 divided by EDP 369) Line 15 must equal</w:t>
                    </w:r>
                    <w:r>
                      <w:rPr>
                        <w:spacing w:val="-11"/>
                        <w:w w:val="105"/>
                        <w:sz w:val="14"/>
                      </w:rPr>
                      <w:t> </w:t>
                    </w:r>
                    <w:r>
                      <w:rPr>
                        <w:w w:val="105"/>
                        <w:sz w:val="14"/>
                      </w:rPr>
                      <w:t>or</w:t>
                    </w:r>
                    <w:r>
                      <w:rPr>
                        <w:spacing w:val="-10"/>
                        <w:w w:val="105"/>
                        <w:sz w:val="14"/>
                      </w:rPr>
                      <w:t> </w:t>
                    </w:r>
                    <w:r>
                      <w:rPr>
                        <w:w w:val="105"/>
                        <w:sz w:val="14"/>
                      </w:rPr>
                      <w:t>exceed</w:t>
                    </w:r>
                    <w:r>
                      <w:rPr>
                        <w:spacing w:val="-11"/>
                        <w:w w:val="105"/>
                        <w:sz w:val="14"/>
                      </w:rPr>
                      <w:t> </w:t>
                    </w:r>
                    <w:r>
                      <w:rPr>
                        <w:w w:val="105"/>
                        <w:sz w:val="14"/>
                      </w:rPr>
                      <w:t>60%</w:t>
                    </w:r>
                    <w:r>
                      <w:rPr>
                        <w:spacing w:val="-10"/>
                        <w:w w:val="105"/>
                        <w:sz w:val="14"/>
                      </w:rPr>
                      <w:t> </w:t>
                    </w:r>
                    <w:r>
                      <w:rPr>
                        <w:w w:val="105"/>
                        <w:sz w:val="14"/>
                      </w:rPr>
                      <w:t>for</w:t>
                    </w:r>
                    <w:r>
                      <w:rPr>
                        <w:spacing w:val="-11"/>
                        <w:w w:val="105"/>
                        <w:sz w:val="14"/>
                      </w:rPr>
                      <w:t> </w:t>
                    </w:r>
                    <w:r>
                      <w:rPr>
                        <w:w w:val="105"/>
                        <w:sz w:val="14"/>
                      </w:rPr>
                      <w:t>elementary,</w:t>
                    </w:r>
                    <w:r>
                      <w:rPr>
                        <w:spacing w:val="-10"/>
                        <w:w w:val="105"/>
                        <w:sz w:val="14"/>
                      </w:rPr>
                      <w:t> </w:t>
                    </w:r>
                    <w:r>
                      <w:rPr>
                        <w:w w:val="105"/>
                        <w:sz w:val="14"/>
                      </w:rPr>
                      <w:t>55%</w:t>
                    </w:r>
                    <w:r>
                      <w:rPr>
                        <w:spacing w:val="-11"/>
                        <w:w w:val="105"/>
                        <w:sz w:val="14"/>
                      </w:rPr>
                      <w:t> </w:t>
                    </w:r>
                    <w:r>
                      <w:rPr>
                        <w:w w:val="105"/>
                        <w:sz w:val="14"/>
                      </w:rPr>
                      <w:t>for</w:t>
                    </w:r>
                    <w:r>
                      <w:rPr>
                        <w:spacing w:val="-10"/>
                        <w:w w:val="105"/>
                        <w:sz w:val="14"/>
                      </w:rPr>
                      <w:t> </w:t>
                    </w:r>
                    <w:r>
                      <w:rPr>
                        <w:w w:val="105"/>
                        <w:sz w:val="14"/>
                      </w:rPr>
                      <w:t>unified</w:t>
                    </w:r>
                    <w:r>
                      <w:rPr>
                        <w:spacing w:val="-12"/>
                        <w:w w:val="105"/>
                        <w:sz w:val="14"/>
                      </w:rPr>
                      <w:t> </w:t>
                    </w:r>
                    <w:r>
                      <w:rPr>
                        <w:w w:val="105"/>
                        <w:sz w:val="14"/>
                      </w:rPr>
                      <w:t>and</w:t>
                    </w:r>
                    <w:r>
                      <w:rPr>
                        <w:spacing w:val="-10"/>
                        <w:w w:val="105"/>
                        <w:sz w:val="14"/>
                      </w:rPr>
                      <w:t> </w:t>
                    </w:r>
                    <w:r>
                      <w:rPr>
                        <w:spacing w:val="-5"/>
                        <w:w w:val="105"/>
                        <w:sz w:val="14"/>
                      </w:rPr>
                      <w:t>50%</w:t>
                    </w:r>
                  </w:p>
                  <w:p>
                    <w:pPr>
                      <w:spacing w:before="1"/>
                      <w:ind w:left="366" w:right="0" w:firstLine="0"/>
                      <w:jc w:val="left"/>
                      <w:rPr>
                        <w:sz w:val="14"/>
                      </w:rPr>
                    </w:pPr>
                    <w:r>
                      <w:rPr>
                        <w:w w:val="105"/>
                        <w:sz w:val="14"/>
                      </w:rPr>
                      <w:t>for</w:t>
                    </w:r>
                    <w:r>
                      <w:rPr>
                        <w:spacing w:val="-4"/>
                        <w:w w:val="105"/>
                        <w:sz w:val="14"/>
                      </w:rPr>
                      <w:t> </w:t>
                    </w:r>
                    <w:r>
                      <w:rPr>
                        <w:w w:val="105"/>
                        <w:sz w:val="14"/>
                      </w:rPr>
                      <w:t>high</w:t>
                    </w:r>
                    <w:r>
                      <w:rPr>
                        <w:spacing w:val="-3"/>
                        <w:w w:val="105"/>
                        <w:sz w:val="14"/>
                      </w:rPr>
                      <w:t> </w:t>
                    </w:r>
                    <w:r>
                      <w:rPr>
                        <w:w w:val="105"/>
                        <w:sz w:val="14"/>
                      </w:rPr>
                      <w:t>school</w:t>
                    </w:r>
                    <w:r>
                      <w:rPr>
                        <w:spacing w:val="-3"/>
                        <w:w w:val="105"/>
                        <w:sz w:val="14"/>
                      </w:rPr>
                      <w:t> </w:t>
                    </w:r>
                    <w:r>
                      <w:rPr>
                        <w:w w:val="105"/>
                        <w:sz w:val="14"/>
                      </w:rPr>
                      <w:t>districts</w:t>
                    </w:r>
                    <w:r>
                      <w:rPr>
                        <w:spacing w:val="-3"/>
                        <w:w w:val="105"/>
                        <w:sz w:val="14"/>
                      </w:rPr>
                      <w:t> </w:t>
                    </w:r>
                    <w:r>
                      <w:rPr>
                        <w:w w:val="105"/>
                        <w:sz w:val="14"/>
                      </w:rPr>
                      <w:t>to</w:t>
                    </w:r>
                    <w:r>
                      <w:rPr>
                        <w:spacing w:val="-4"/>
                        <w:w w:val="105"/>
                        <w:sz w:val="14"/>
                      </w:rPr>
                      <w:t> </w:t>
                    </w:r>
                    <w:r>
                      <w:rPr>
                        <w:w w:val="105"/>
                        <w:sz w:val="14"/>
                      </w:rPr>
                      <w:t>avoid</w:t>
                    </w:r>
                    <w:r>
                      <w:rPr>
                        <w:spacing w:val="-3"/>
                        <w:w w:val="105"/>
                        <w:sz w:val="14"/>
                      </w:rPr>
                      <w:t> </w:t>
                    </w:r>
                    <w:r>
                      <w:rPr>
                        <w:w w:val="105"/>
                        <w:sz w:val="14"/>
                      </w:rPr>
                      <w:t>penalty</w:t>
                    </w:r>
                    <w:r>
                      <w:rPr>
                        <w:spacing w:val="-6"/>
                        <w:w w:val="105"/>
                        <w:sz w:val="14"/>
                      </w:rPr>
                      <w:t> </w:t>
                    </w:r>
                    <w:r>
                      <w:rPr>
                        <w:w w:val="105"/>
                        <w:sz w:val="14"/>
                      </w:rPr>
                      <w:t>under</w:t>
                    </w:r>
                    <w:r>
                      <w:rPr>
                        <w:spacing w:val="-3"/>
                        <w:w w:val="105"/>
                        <w:sz w:val="14"/>
                      </w:rPr>
                      <w:t> </w:t>
                    </w:r>
                    <w:r>
                      <w:rPr>
                        <w:w w:val="105"/>
                        <w:sz w:val="14"/>
                      </w:rPr>
                      <w:t>provisions</w:t>
                    </w:r>
                    <w:r>
                      <w:rPr>
                        <w:spacing w:val="-3"/>
                        <w:w w:val="105"/>
                        <w:sz w:val="14"/>
                      </w:rPr>
                      <w:t> </w:t>
                    </w:r>
                    <w:r>
                      <w:rPr>
                        <w:w w:val="105"/>
                        <w:sz w:val="14"/>
                      </w:rPr>
                      <w:t>of</w:t>
                    </w:r>
                    <w:r>
                      <w:rPr>
                        <w:spacing w:val="-2"/>
                        <w:w w:val="105"/>
                        <w:sz w:val="14"/>
                      </w:rPr>
                      <w:t> </w:t>
                    </w:r>
                    <w:r>
                      <w:rPr>
                        <w:w w:val="105"/>
                        <w:sz w:val="14"/>
                      </w:rPr>
                      <w:t>EC</w:t>
                    </w:r>
                    <w:r>
                      <w:rPr>
                        <w:spacing w:val="-3"/>
                        <w:w w:val="105"/>
                        <w:sz w:val="14"/>
                      </w:rPr>
                      <w:t> </w:t>
                    </w:r>
                    <w:r>
                      <w:rPr>
                        <w:w w:val="105"/>
                        <w:sz w:val="14"/>
                      </w:rPr>
                      <w:t>41372.</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4"/>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p>
                  <w:p>
                    <w:pPr>
                      <w:numPr>
                        <w:ilvl w:val="0"/>
                        <w:numId w:val="63"/>
                      </w:numPr>
                      <w:tabs>
                        <w:tab w:pos="322" w:val="left" w:leader="none"/>
                      </w:tabs>
                      <w:spacing w:before="41"/>
                      <w:ind w:left="321" w:right="0" w:hanging="322"/>
                      <w:jc w:val="left"/>
                      <w:rPr>
                        <w:sz w:val="14"/>
                      </w:rPr>
                    </w:pPr>
                    <w:r>
                      <w:rPr>
                        <w:w w:val="105"/>
                        <w:sz w:val="14"/>
                      </w:rPr>
                      <w:t>District is exempt from EC 41372 because it meets the</w:t>
                    </w:r>
                    <w:r>
                      <w:rPr>
                        <w:spacing w:val="-18"/>
                        <w:w w:val="105"/>
                        <w:sz w:val="14"/>
                      </w:rPr>
                      <w:t> </w:t>
                    </w:r>
                    <w:r>
                      <w:rPr>
                        <w:w w:val="105"/>
                        <w:sz w:val="14"/>
                      </w:rPr>
                      <w:t>provisions</w:t>
                    </w:r>
                  </w:p>
                  <w:p>
                    <w:pPr>
                      <w:spacing w:before="40"/>
                      <w:ind w:left="366" w:right="0" w:firstLine="0"/>
                      <w:jc w:val="left"/>
                      <w:rPr>
                        <w:sz w:val="14"/>
                      </w:rPr>
                    </w:pPr>
                    <w:r>
                      <w:rPr>
                        <w:w w:val="105"/>
                        <w:sz w:val="14"/>
                      </w:rPr>
                      <w:t>of EC 41374. (If exempt, enter 'X') . . . . . . . . . . . . . . . . . . . . . . . . . . . . . . . . . . . . . . . . . . . . . . . . . . . . . . . . . . . . . . . . . . . . . . . . . . . . . . . . . . . . . . . . . .</w:t>
                    </w:r>
                  </w:p>
                </w:txbxContent>
              </v:textbox>
              <w10:wrap type="none"/>
            </v:shape>
            <v:shape style="position:absolute;left:11253;top:4129;width:683;height:161" type="#_x0000_t202" filled="false" stroked="false">
              <v:textbox inset="0,0,0,0">
                <w:txbxContent>
                  <w:p>
                    <w:pPr>
                      <w:spacing w:line="160" w:lineRule="exact" w:before="0"/>
                      <w:ind w:left="0" w:right="0" w:firstLine="0"/>
                      <w:jc w:val="left"/>
                      <w:rPr>
                        <w:sz w:val="14"/>
                      </w:rPr>
                    </w:pPr>
                    <w:r>
                      <w:rPr>
                        <w:w w:val="105"/>
                        <w:sz w:val="14"/>
                      </w:rPr>
                      <w:t>0.00 396</w:t>
                    </w:r>
                  </w:p>
                </w:txbxContent>
              </v:textbox>
              <w10:wrap type="none"/>
            </v:shape>
            <v:shape style="position:absolute;left:10816;top:4700;width:736;height:161" type="#_x0000_t202" filled="false" stroked="false">
              <v:textbox inset="0,0,0,0">
                <w:txbxContent>
                  <w:p>
                    <w:pPr>
                      <w:spacing w:line="160" w:lineRule="exact" w:before="0"/>
                      <w:ind w:left="0" w:right="0" w:firstLine="0"/>
                      <w:jc w:val="left"/>
                      <w:rPr>
                        <w:sz w:val="14"/>
                      </w:rPr>
                    </w:pPr>
                    <w:r>
                      <w:rPr>
                        <w:sz w:val="14"/>
                      </w:rPr>
                      <w:t>749,523.00</w:t>
                    </w:r>
                  </w:p>
                </w:txbxContent>
              </v:textbox>
              <w10:wrap type="none"/>
            </v:shape>
            <v:shape style="position:absolute;left:11678;top:4498;width:259;height:363" type="#_x0000_t202" filled="false" stroked="false">
              <v:textbox inset="0,0,0,0">
                <w:txbxContent>
                  <w:p>
                    <w:pPr>
                      <w:spacing w:line="160" w:lineRule="exact" w:before="0"/>
                      <w:ind w:left="0" w:right="0" w:firstLine="0"/>
                      <w:jc w:val="left"/>
                      <w:rPr>
                        <w:sz w:val="14"/>
                      </w:rPr>
                    </w:pPr>
                    <w:r>
                      <w:rPr>
                        <w:w w:val="105"/>
                        <w:sz w:val="14"/>
                      </w:rPr>
                      <w:t>396</w:t>
                    </w:r>
                  </w:p>
                  <w:p>
                    <w:pPr>
                      <w:spacing w:before="40"/>
                      <w:ind w:left="0" w:right="0" w:firstLine="0"/>
                      <w:jc w:val="left"/>
                      <w:rPr>
                        <w:sz w:val="14"/>
                      </w:rPr>
                    </w:pPr>
                    <w:r>
                      <w:rPr>
                        <w:w w:val="105"/>
                        <w:sz w:val="14"/>
                      </w:rPr>
                      <w:t>397</w:t>
                    </w:r>
                  </w:p>
                </w:txbxContent>
              </v:textbox>
              <w10:wrap type="none"/>
            </v:shape>
            <v:shape style="position:absolute;left:11095;top:5506;width:506;height:161" type="#_x0000_t202" filled="false" stroked="false">
              <v:textbox inset="0,0,0,0">
                <w:txbxContent>
                  <w:p>
                    <w:pPr>
                      <w:spacing w:line="160" w:lineRule="exact" w:before="0"/>
                      <w:ind w:left="0" w:right="0" w:firstLine="0"/>
                      <w:jc w:val="left"/>
                      <w:rPr>
                        <w:sz w:val="14"/>
                      </w:rPr>
                    </w:pPr>
                    <w:r>
                      <w:rPr>
                        <w:w w:val="105"/>
                        <w:sz w:val="14"/>
                      </w:rPr>
                      <w:t>41.28%</w:t>
                    </w:r>
                  </w:p>
                </w:txbxContent>
              </v:textbox>
              <w10:wrap type="none"/>
            </v:shape>
            <v:shape style="position:absolute;left:10900;top:5910;width:92;height:161" type="#_x0000_t202" filled="false" stroked="false">
              <v:textbox inset="0,0,0,0">
                <w:txbxContent>
                  <w:p>
                    <w:pPr>
                      <w:spacing w:line="160" w:lineRule="exact" w:before="0"/>
                      <w:ind w:left="0" w:right="0" w:firstLine="0"/>
                      <w:jc w:val="left"/>
                      <w:rPr>
                        <w:sz w:val="14"/>
                      </w:rPr>
                    </w:pPr>
                    <w:r>
                      <w:rPr>
                        <w:w w:val="102"/>
                        <w:sz w:val="14"/>
                      </w:rPr>
                      <w:t>x</w:t>
                    </w:r>
                  </w:p>
                </w:txbxContent>
              </v:textbox>
              <w10:wrap type="none"/>
            </v:shape>
            <w10:wrap type="none"/>
          </v:group>
        </w:pict>
      </w:r>
      <w:r>
        <w:rPr>
          <w:w w:val="105"/>
          <w:sz w:val="14"/>
        </w:rPr>
        <w:t>*</w:t>
      </w:r>
      <w:r>
        <w:rPr>
          <w:spacing w:val="-9"/>
          <w:w w:val="105"/>
          <w:sz w:val="14"/>
        </w:rPr>
        <w:t> </w:t>
      </w:r>
      <w:r>
        <w:rPr>
          <w:w w:val="105"/>
          <w:sz w:val="14"/>
        </w:rPr>
        <w:t>If</w:t>
      </w:r>
      <w:r>
        <w:rPr>
          <w:spacing w:val="-8"/>
          <w:w w:val="105"/>
          <w:sz w:val="14"/>
        </w:rPr>
        <w:t> </w:t>
      </w:r>
      <w:r>
        <w:rPr>
          <w:w w:val="105"/>
          <w:sz w:val="14"/>
        </w:rPr>
        <w:t>an</w:t>
      </w:r>
      <w:r>
        <w:rPr>
          <w:spacing w:val="-9"/>
          <w:w w:val="105"/>
          <w:sz w:val="14"/>
        </w:rPr>
        <w:t> </w:t>
      </w:r>
      <w:r>
        <w:rPr>
          <w:w w:val="105"/>
          <w:sz w:val="14"/>
        </w:rPr>
        <w:t>amount</w:t>
      </w:r>
      <w:r>
        <w:rPr>
          <w:spacing w:val="-7"/>
          <w:w w:val="105"/>
          <w:sz w:val="14"/>
        </w:rPr>
        <w:t> </w:t>
      </w:r>
      <w:r>
        <w:rPr>
          <w:w w:val="105"/>
          <w:sz w:val="14"/>
        </w:rPr>
        <w:t>(even</w:t>
      </w:r>
      <w:r>
        <w:rPr>
          <w:spacing w:val="-8"/>
          <w:w w:val="105"/>
          <w:sz w:val="14"/>
        </w:rPr>
        <w:t> </w:t>
      </w:r>
      <w:r>
        <w:rPr>
          <w:w w:val="105"/>
          <w:sz w:val="14"/>
        </w:rPr>
        <w:t>zero)</w:t>
      </w:r>
      <w:r>
        <w:rPr>
          <w:spacing w:val="-8"/>
          <w:w w:val="105"/>
          <w:sz w:val="14"/>
        </w:rPr>
        <w:t> </w:t>
      </w:r>
      <w:r>
        <w:rPr>
          <w:w w:val="105"/>
          <w:sz w:val="14"/>
        </w:rPr>
        <w:t>is</w:t>
      </w:r>
      <w:r>
        <w:rPr>
          <w:spacing w:val="-8"/>
          <w:w w:val="105"/>
          <w:sz w:val="14"/>
        </w:rPr>
        <w:t> </w:t>
      </w:r>
      <w:r>
        <w:rPr>
          <w:w w:val="105"/>
          <w:sz w:val="14"/>
        </w:rPr>
        <w:t>entered</w:t>
      </w:r>
      <w:r>
        <w:rPr>
          <w:spacing w:val="-9"/>
          <w:w w:val="105"/>
          <w:sz w:val="14"/>
        </w:rPr>
        <w:t> </w:t>
      </w:r>
      <w:r>
        <w:rPr>
          <w:w w:val="105"/>
          <w:sz w:val="14"/>
        </w:rPr>
        <w:t>in</w:t>
      </w:r>
      <w:r>
        <w:rPr>
          <w:spacing w:val="-9"/>
          <w:w w:val="105"/>
          <w:sz w:val="14"/>
        </w:rPr>
        <w:t> </w:t>
      </w:r>
      <w:r>
        <w:rPr>
          <w:w w:val="105"/>
          <w:sz w:val="14"/>
        </w:rPr>
        <w:t>any</w:t>
      </w:r>
      <w:r>
        <w:rPr>
          <w:spacing w:val="-10"/>
          <w:w w:val="105"/>
          <w:sz w:val="14"/>
        </w:rPr>
        <w:t> </w:t>
      </w:r>
      <w:r>
        <w:rPr>
          <w:w w:val="105"/>
          <w:sz w:val="14"/>
        </w:rPr>
        <w:t>row</w:t>
      </w:r>
      <w:r>
        <w:rPr>
          <w:spacing w:val="-8"/>
          <w:w w:val="105"/>
          <w:sz w:val="14"/>
        </w:rPr>
        <w:t> </w:t>
      </w:r>
      <w:r>
        <w:rPr>
          <w:w w:val="105"/>
          <w:sz w:val="14"/>
        </w:rPr>
        <w:t>of</w:t>
      </w:r>
      <w:r>
        <w:rPr>
          <w:spacing w:val="-8"/>
          <w:w w:val="105"/>
          <w:sz w:val="14"/>
        </w:rPr>
        <w:t> </w:t>
      </w:r>
      <w:r>
        <w:rPr>
          <w:w w:val="105"/>
          <w:sz w:val="14"/>
        </w:rPr>
        <w:t>Column</w:t>
      </w:r>
      <w:r>
        <w:rPr>
          <w:spacing w:val="-8"/>
          <w:w w:val="105"/>
          <w:sz w:val="14"/>
        </w:rPr>
        <w:t> </w:t>
      </w:r>
      <w:r>
        <w:rPr>
          <w:w w:val="105"/>
          <w:sz w:val="14"/>
        </w:rPr>
        <w:t>4b</w:t>
      </w:r>
      <w:r>
        <w:rPr>
          <w:spacing w:val="-9"/>
          <w:w w:val="105"/>
          <w:sz w:val="14"/>
        </w:rPr>
        <w:t> </w:t>
      </w:r>
      <w:r>
        <w:rPr>
          <w:w w:val="105"/>
          <w:sz w:val="14"/>
        </w:rPr>
        <w:t>or</w:t>
      </w:r>
      <w:r>
        <w:rPr>
          <w:spacing w:val="-8"/>
          <w:w w:val="105"/>
          <w:sz w:val="14"/>
        </w:rPr>
        <w:t> </w:t>
      </w:r>
      <w:r>
        <w:rPr>
          <w:w w:val="105"/>
          <w:sz w:val="14"/>
        </w:rPr>
        <w:t>in</w:t>
      </w:r>
      <w:r>
        <w:rPr>
          <w:spacing w:val="-9"/>
          <w:w w:val="105"/>
          <w:sz w:val="14"/>
        </w:rPr>
        <w:t> </w:t>
      </w:r>
      <w:r>
        <w:rPr>
          <w:w w:val="105"/>
          <w:sz w:val="14"/>
        </w:rPr>
        <w:t>Line</w:t>
      </w:r>
      <w:r>
        <w:rPr>
          <w:spacing w:val="-8"/>
          <w:w w:val="105"/>
          <w:sz w:val="14"/>
        </w:rPr>
        <w:t> </w:t>
      </w:r>
      <w:r>
        <w:rPr>
          <w:w w:val="105"/>
          <w:sz w:val="14"/>
        </w:rPr>
        <w:t>13b,</w:t>
      </w:r>
      <w:r>
        <w:rPr>
          <w:spacing w:val="-7"/>
          <w:w w:val="105"/>
          <w:sz w:val="14"/>
        </w:rPr>
        <w:t> </w:t>
      </w:r>
      <w:r>
        <w:rPr>
          <w:w w:val="105"/>
          <w:sz w:val="14"/>
        </w:rPr>
        <w:t>the</w:t>
      </w:r>
      <w:r>
        <w:rPr>
          <w:spacing w:val="-9"/>
          <w:w w:val="105"/>
          <w:sz w:val="14"/>
        </w:rPr>
        <w:t> </w:t>
      </w:r>
      <w:r>
        <w:rPr>
          <w:w w:val="105"/>
          <w:sz w:val="14"/>
        </w:rPr>
        <w:t>form</w:t>
      </w:r>
      <w:r>
        <w:rPr>
          <w:spacing w:val="-10"/>
          <w:w w:val="105"/>
          <w:sz w:val="14"/>
        </w:rPr>
        <w:t> </w:t>
      </w:r>
      <w:r>
        <w:rPr>
          <w:w w:val="105"/>
          <w:sz w:val="14"/>
        </w:rPr>
        <w:t>uses</w:t>
      </w:r>
      <w:r>
        <w:rPr>
          <w:spacing w:val="-8"/>
          <w:w w:val="105"/>
          <w:sz w:val="14"/>
        </w:rPr>
        <w:t> </w:t>
      </w:r>
      <w:r>
        <w:rPr>
          <w:w w:val="105"/>
          <w:sz w:val="14"/>
        </w:rPr>
        <w:t>only</w:t>
      </w:r>
      <w:r>
        <w:rPr>
          <w:spacing w:val="-11"/>
          <w:w w:val="105"/>
          <w:sz w:val="14"/>
        </w:rPr>
        <w:t> </w:t>
      </w:r>
      <w:r>
        <w:rPr>
          <w:w w:val="105"/>
          <w:sz w:val="14"/>
        </w:rPr>
        <w:t>the</w:t>
      </w:r>
      <w:r>
        <w:rPr>
          <w:spacing w:val="-9"/>
          <w:w w:val="105"/>
          <w:sz w:val="14"/>
        </w:rPr>
        <w:t> </w:t>
      </w:r>
      <w:r>
        <w:rPr>
          <w:w w:val="105"/>
          <w:sz w:val="14"/>
        </w:rPr>
        <w:t>values</w:t>
      </w:r>
      <w:r>
        <w:rPr>
          <w:spacing w:val="-8"/>
          <w:w w:val="105"/>
          <w:sz w:val="14"/>
        </w:rPr>
        <w:t> </w:t>
      </w:r>
      <w:r>
        <w:rPr>
          <w:w w:val="105"/>
          <w:sz w:val="14"/>
        </w:rPr>
        <w:t>in</w:t>
      </w:r>
      <w:r>
        <w:rPr>
          <w:spacing w:val="-8"/>
          <w:w w:val="105"/>
          <w:sz w:val="14"/>
        </w:rPr>
        <w:t> </w:t>
      </w:r>
      <w:r>
        <w:rPr>
          <w:w w:val="105"/>
          <w:sz w:val="14"/>
        </w:rPr>
        <w:t>Column</w:t>
      </w:r>
      <w:r>
        <w:rPr>
          <w:spacing w:val="-9"/>
          <w:w w:val="105"/>
          <w:sz w:val="14"/>
        </w:rPr>
        <w:t> </w:t>
      </w:r>
      <w:r>
        <w:rPr>
          <w:w w:val="105"/>
          <w:sz w:val="14"/>
        </w:rPr>
        <w:t>4b</w:t>
      </w:r>
      <w:r>
        <w:rPr>
          <w:spacing w:val="-9"/>
          <w:w w:val="105"/>
          <w:sz w:val="14"/>
        </w:rPr>
        <w:t> </w:t>
      </w:r>
      <w:r>
        <w:rPr>
          <w:w w:val="105"/>
          <w:sz w:val="14"/>
        </w:rPr>
        <w:t>and</w:t>
      </w:r>
      <w:r>
        <w:rPr>
          <w:spacing w:val="-9"/>
          <w:w w:val="105"/>
          <w:sz w:val="14"/>
        </w:rPr>
        <w:t> </w:t>
      </w:r>
      <w:r>
        <w:rPr>
          <w:w w:val="105"/>
          <w:sz w:val="14"/>
        </w:rPr>
        <w:t>Line</w:t>
      </w:r>
      <w:r>
        <w:rPr>
          <w:spacing w:val="-9"/>
          <w:w w:val="105"/>
          <w:sz w:val="14"/>
        </w:rPr>
        <w:t> </w:t>
      </w:r>
      <w:r>
        <w:rPr>
          <w:w w:val="105"/>
          <w:sz w:val="14"/>
        </w:rPr>
        <w:t>13b</w:t>
      </w:r>
      <w:r>
        <w:rPr>
          <w:spacing w:val="-8"/>
          <w:w w:val="105"/>
          <w:sz w:val="14"/>
        </w:rPr>
        <w:t> </w:t>
      </w:r>
      <w:r>
        <w:rPr>
          <w:w w:val="105"/>
          <w:sz w:val="14"/>
        </w:rPr>
        <w:t>rather</w:t>
      </w:r>
      <w:r>
        <w:rPr>
          <w:spacing w:val="-8"/>
          <w:w w:val="105"/>
          <w:sz w:val="14"/>
        </w:rPr>
        <w:t> </w:t>
      </w:r>
      <w:r>
        <w:rPr>
          <w:w w:val="105"/>
          <w:sz w:val="14"/>
        </w:rPr>
        <w:t>than</w:t>
      </w:r>
      <w:r>
        <w:rPr>
          <w:spacing w:val="-8"/>
          <w:w w:val="105"/>
          <w:sz w:val="14"/>
        </w:rPr>
        <w:t> </w:t>
      </w:r>
      <w:r>
        <w:rPr>
          <w:w w:val="105"/>
          <w:sz w:val="14"/>
        </w:rPr>
        <w:t>the values in Column 4a and Line</w:t>
      </w:r>
      <w:r>
        <w:rPr>
          <w:spacing w:val="-10"/>
          <w:w w:val="105"/>
          <w:sz w:val="14"/>
        </w:rPr>
        <w:t> </w:t>
      </w:r>
      <w:r>
        <w:rPr>
          <w:w w:val="105"/>
          <w:sz w:val="14"/>
        </w:rPr>
        <w:t>13a.</w:t>
      </w:r>
    </w:p>
    <w:p>
      <w:pPr>
        <w:pStyle w:val="BodyText"/>
        <w:spacing w:before="3"/>
        <w:rPr>
          <w:sz w:val="6"/>
        </w:rPr>
      </w:pPr>
    </w:p>
    <w:tbl>
      <w:tblPr>
        <w:tblW w:w="0" w:type="auto"/>
        <w:jc w:val="left"/>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480"/>
        <w:gridCol w:w="1174"/>
        <w:gridCol w:w="649"/>
        <w:gridCol w:w="1054"/>
        <w:gridCol w:w="407"/>
      </w:tblGrid>
      <w:tr>
        <w:trPr>
          <w:trHeight w:val="610" w:hRule="atLeast"/>
        </w:trPr>
        <w:tc>
          <w:tcPr>
            <w:tcW w:w="8480" w:type="dxa"/>
          </w:tcPr>
          <w:p>
            <w:pPr>
              <w:pStyle w:val="TableParagraph"/>
              <w:spacing w:before="5"/>
              <w:rPr>
                <w:sz w:val="19"/>
              </w:rPr>
            </w:pPr>
          </w:p>
          <w:p>
            <w:pPr>
              <w:pStyle w:val="TableParagraph"/>
              <w:ind w:left="50"/>
              <w:rPr>
                <w:b/>
                <w:sz w:val="14"/>
              </w:rPr>
            </w:pPr>
            <w:r>
              <w:rPr>
                <w:b/>
                <w:w w:val="105"/>
                <w:sz w:val="14"/>
              </w:rPr>
              <w:t>PART II: MINIMUM CLASSROOM COMPENSATION (Instruction, Functions 1000-1999)</w:t>
            </w:r>
          </w:p>
          <w:p>
            <w:pPr>
              <w:pStyle w:val="TableParagraph"/>
              <w:tabs>
                <w:tab w:pos="373" w:val="left" w:leader="none"/>
              </w:tabs>
              <w:spacing w:before="43"/>
              <w:ind w:left="50"/>
              <w:rPr>
                <w:sz w:val="14"/>
              </w:rPr>
            </w:pPr>
            <w:r>
              <w:rPr>
                <w:w w:val="105"/>
                <w:sz w:val="14"/>
              </w:rPr>
              <w:t>1.</w:t>
              <w:tab/>
              <w:t>Teacher</w:t>
            </w:r>
            <w:r>
              <w:rPr>
                <w:spacing w:val="-3"/>
                <w:w w:val="105"/>
                <w:sz w:val="14"/>
              </w:rPr>
              <w:t> </w:t>
            </w:r>
            <w:r>
              <w:rPr>
                <w:w w:val="105"/>
                <w:sz w:val="14"/>
              </w:rPr>
              <w:t>Salaries</w:t>
            </w:r>
            <w:r>
              <w:rPr>
                <w:spacing w:val="-1"/>
                <w:w w:val="105"/>
                <w:sz w:val="14"/>
              </w:rPr>
              <w:t> </w:t>
            </w:r>
            <w:r>
              <w:rPr>
                <w:w w:val="105"/>
                <w:sz w:val="14"/>
              </w:rPr>
              <w:t>as</w:t>
            </w:r>
            <w:r>
              <w:rPr>
                <w:spacing w:val="-3"/>
                <w:w w:val="105"/>
                <w:sz w:val="14"/>
              </w:rPr>
              <w:t> </w:t>
            </w:r>
            <w:r>
              <w:rPr>
                <w:w w:val="105"/>
                <w:sz w:val="14"/>
              </w:rPr>
              <w:t>Per</w:t>
            </w:r>
            <w:r>
              <w:rPr>
                <w:spacing w:val="-2"/>
                <w:w w:val="105"/>
                <w:sz w:val="14"/>
              </w:rPr>
              <w:t> </w:t>
            </w:r>
            <w:r>
              <w:rPr>
                <w:w w:val="105"/>
                <w:sz w:val="14"/>
              </w:rPr>
              <w:t>EC</w:t>
            </w:r>
            <w:r>
              <w:rPr>
                <w:spacing w:val="-2"/>
                <w:w w:val="105"/>
                <w:sz w:val="14"/>
              </w:rPr>
              <w:t> </w:t>
            </w:r>
            <w:r>
              <w:rPr>
                <w:w w:val="105"/>
                <w:sz w:val="14"/>
              </w:rPr>
              <w:t>41011.</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3"/>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3"/>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p>
        </w:tc>
        <w:tc>
          <w:tcPr>
            <w:tcW w:w="1174" w:type="dxa"/>
          </w:tcPr>
          <w:p>
            <w:pPr>
              <w:pStyle w:val="TableParagraph"/>
              <w:spacing w:before="3"/>
              <w:rPr>
                <w:sz w:val="16"/>
              </w:rPr>
            </w:pPr>
          </w:p>
          <w:p>
            <w:pPr>
              <w:pStyle w:val="TableParagraph"/>
              <w:spacing w:line="200" w:lineRule="atLeast"/>
              <w:ind w:left="490" w:right="307" w:hanging="48"/>
              <w:rPr>
                <w:sz w:val="14"/>
              </w:rPr>
            </w:pPr>
            <w:r>
              <w:rPr>
                <w:sz w:val="14"/>
              </w:rPr>
              <w:t>Object </w:t>
            </w:r>
            <w:r>
              <w:rPr>
                <w:w w:val="105"/>
                <w:sz w:val="14"/>
              </w:rPr>
              <w:t>1100</w:t>
            </w:r>
          </w:p>
        </w:tc>
        <w:tc>
          <w:tcPr>
            <w:tcW w:w="1703" w:type="dxa"/>
            <w:gridSpan w:val="2"/>
          </w:tcPr>
          <w:p>
            <w:pPr>
              <w:pStyle w:val="TableParagraph"/>
              <w:rPr>
                <w:sz w:val="16"/>
              </w:rPr>
            </w:pPr>
          </w:p>
          <w:p>
            <w:pPr>
              <w:pStyle w:val="TableParagraph"/>
              <w:spacing w:before="2"/>
              <w:rPr>
                <w:sz w:val="21"/>
              </w:rPr>
            </w:pPr>
          </w:p>
          <w:p>
            <w:pPr>
              <w:pStyle w:val="TableParagraph"/>
              <w:ind w:left="924"/>
              <w:rPr>
                <w:sz w:val="14"/>
              </w:rPr>
            </w:pPr>
            <w:r>
              <w:rPr>
                <w:w w:val="105"/>
                <w:sz w:val="14"/>
              </w:rPr>
              <w:t>342,177.00</w:t>
            </w:r>
          </w:p>
        </w:tc>
        <w:tc>
          <w:tcPr>
            <w:tcW w:w="407" w:type="dxa"/>
          </w:tcPr>
          <w:p>
            <w:pPr>
              <w:pStyle w:val="TableParagraph"/>
              <w:spacing w:before="65"/>
              <w:ind w:left="59"/>
              <w:rPr>
                <w:sz w:val="14"/>
              </w:rPr>
            </w:pPr>
            <w:r>
              <w:rPr>
                <w:w w:val="105"/>
                <w:sz w:val="14"/>
              </w:rPr>
              <w:t>EDP</w:t>
            </w:r>
          </w:p>
          <w:p>
            <w:pPr>
              <w:pStyle w:val="TableParagraph"/>
              <w:ind w:left="95"/>
              <w:rPr>
                <w:sz w:val="14"/>
              </w:rPr>
            </w:pPr>
            <w:r>
              <w:rPr>
                <w:w w:val="105"/>
                <w:sz w:val="14"/>
              </w:rPr>
              <w:t>No.</w:t>
            </w:r>
          </w:p>
          <w:p>
            <w:pPr>
              <w:pStyle w:val="TableParagraph"/>
              <w:spacing w:before="41"/>
              <w:ind w:left="83"/>
              <w:rPr>
                <w:sz w:val="14"/>
              </w:rPr>
            </w:pPr>
            <w:r>
              <w:rPr>
                <w:w w:val="105"/>
                <w:sz w:val="14"/>
              </w:rPr>
              <w:t>375</w:t>
            </w:r>
          </w:p>
        </w:tc>
      </w:tr>
      <w:tr>
        <w:trPr>
          <w:trHeight w:val="201" w:hRule="atLeast"/>
        </w:trPr>
        <w:tc>
          <w:tcPr>
            <w:tcW w:w="8480" w:type="dxa"/>
          </w:tcPr>
          <w:p>
            <w:pPr>
              <w:pStyle w:val="TableParagraph"/>
              <w:tabs>
                <w:tab w:pos="373" w:val="left" w:leader="none"/>
              </w:tabs>
              <w:spacing w:before="19"/>
              <w:ind w:left="50"/>
              <w:rPr>
                <w:sz w:val="14"/>
              </w:rPr>
            </w:pPr>
            <w:r>
              <w:rPr>
                <w:w w:val="105"/>
                <w:sz w:val="14"/>
              </w:rPr>
              <w:t>2.</w:t>
              <w:tab/>
              <w:t>Salaries</w:t>
            </w:r>
            <w:r>
              <w:rPr>
                <w:spacing w:val="-2"/>
                <w:w w:val="105"/>
                <w:sz w:val="14"/>
              </w:rPr>
              <w:t> </w:t>
            </w:r>
            <w:r>
              <w:rPr>
                <w:w w:val="105"/>
                <w:sz w:val="14"/>
              </w:rPr>
              <w:t>of</w:t>
            </w:r>
            <w:r>
              <w:rPr>
                <w:spacing w:val="-2"/>
                <w:w w:val="105"/>
                <w:sz w:val="14"/>
              </w:rPr>
              <w:t> </w:t>
            </w:r>
            <w:r>
              <w:rPr>
                <w:w w:val="105"/>
                <w:sz w:val="14"/>
              </w:rPr>
              <w:t>Instructional</w:t>
            </w:r>
            <w:r>
              <w:rPr>
                <w:spacing w:val="-3"/>
                <w:w w:val="105"/>
                <w:sz w:val="14"/>
              </w:rPr>
              <w:t> </w:t>
            </w:r>
            <w:r>
              <w:rPr>
                <w:w w:val="105"/>
                <w:sz w:val="14"/>
              </w:rPr>
              <w:t>Aides</w:t>
            </w:r>
            <w:r>
              <w:rPr>
                <w:spacing w:val="-2"/>
                <w:w w:val="105"/>
                <w:sz w:val="14"/>
              </w:rPr>
              <w:t> </w:t>
            </w:r>
            <w:r>
              <w:rPr>
                <w:w w:val="105"/>
                <w:sz w:val="14"/>
              </w:rPr>
              <w:t>Per</w:t>
            </w:r>
            <w:r>
              <w:rPr>
                <w:spacing w:val="-2"/>
                <w:w w:val="105"/>
                <w:sz w:val="14"/>
              </w:rPr>
              <w:t> </w:t>
            </w:r>
            <w:r>
              <w:rPr>
                <w:w w:val="105"/>
                <w:sz w:val="14"/>
              </w:rPr>
              <w:t>EC</w:t>
            </w:r>
            <w:r>
              <w:rPr>
                <w:spacing w:val="-3"/>
                <w:w w:val="105"/>
                <w:sz w:val="14"/>
              </w:rPr>
              <w:t> </w:t>
            </w:r>
            <w:r>
              <w:rPr>
                <w:w w:val="105"/>
                <w:sz w:val="14"/>
              </w:rPr>
              <w:t>41011.</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p>
        </w:tc>
        <w:tc>
          <w:tcPr>
            <w:tcW w:w="1174" w:type="dxa"/>
          </w:tcPr>
          <w:p>
            <w:pPr>
              <w:pStyle w:val="TableParagraph"/>
              <w:spacing w:before="19"/>
              <w:ind w:left="212" w:right="88"/>
              <w:jc w:val="center"/>
              <w:rPr>
                <w:sz w:val="14"/>
              </w:rPr>
            </w:pPr>
            <w:r>
              <w:rPr>
                <w:w w:val="105"/>
                <w:sz w:val="14"/>
              </w:rPr>
              <w:t>2100</w:t>
            </w:r>
          </w:p>
        </w:tc>
        <w:tc>
          <w:tcPr>
            <w:tcW w:w="1703" w:type="dxa"/>
            <w:gridSpan w:val="2"/>
          </w:tcPr>
          <w:p>
            <w:pPr>
              <w:pStyle w:val="TableParagraph"/>
              <w:spacing w:before="19"/>
              <w:ind w:left="924"/>
              <w:rPr>
                <w:sz w:val="14"/>
              </w:rPr>
            </w:pPr>
            <w:r>
              <w:rPr>
                <w:w w:val="105"/>
                <w:sz w:val="14"/>
              </w:rPr>
              <w:t>186,227.00</w:t>
            </w:r>
          </w:p>
        </w:tc>
        <w:tc>
          <w:tcPr>
            <w:tcW w:w="407" w:type="dxa"/>
          </w:tcPr>
          <w:p>
            <w:pPr>
              <w:pStyle w:val="TableParagraph"/>
              <w:spacing w:before="19"/>
              <w:ind w:left="13" w:right="13"/>
              <w:jc w:val="center"/>
              <w:rPr>
                <w:sz w:val="14"/>
              </w:rPr>
            </w:pPr>
            <w:r>
              <w:rPr>
                <w:w w:val="105"/>
                <w:sz w:val="14"/>
              </w:rPr>
              <w:t>380</w:t>
            </w:r>
          </w:p>
        </w:tc>
      </w:tr>
      <w:tr>
        <w:trPr>
          <w:trHeight w:val="201" w:hRule="atLeast"/>
        </w:trPr>
        <w:tc>
          <w:tcPr>
            <w:tcW w:w="8480" w:type="dxa"/>
          </w:tcPr>
          <w:p>
            <w:pPr>
              <w:pStyle w:val="TableParagraph"/>
              <w:tabs>
                <w:tab w:pos="373" w:val="left" w:leader="none"/>
              </w:tabs>
              <w:spacing w:before="19"/>
              <w:ind w:left="50"/>
              <w:rPr>
                <w:sz w:val="14"/>
              </w:rPr>
            </w:pPr>
            <w:r>
              <w:rPr>
                <w:w w:val="105"/>
                <w:sz w:val="14"/>
              </w:rPr>
              <w:t>3.</w:t>
              <w:tab/>
              <w:t>STRS.</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 .</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 .</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 .</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 .</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 .</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 .</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 .</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 .</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 .</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 .</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 .</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 .</w:t>
            </w:r>
          </w:p>
        </w:tc>
        <w:tc>
          <w:tcPr>
            <w:tcW w:w="1174" w:type="dxa"/>
          </w:tcPr>
          <w:p>
            <w:pPr>
              <w:pStyle w:val="TableParagraph"/>
              <w:spacing w:before="19"/>
              <w:ind w:left="212" w:right="88"/>
              <w:jc w:val="center"/>
              <w:rPr>
                <w:sz w:val="14"/>
              </w:rPr>
            </w:pPr>
            <w:r>
              <w:rPr>
                <w:w w:val="105"/>
                <w:sz w:val="14"/>
              </w:rPr>
              <w:t>3101 &amp; 3102</w:t>
            </w:r>
          </w:p>
        </w:tc>
        <w:tc>
          <w:tcPr>
            <w:tcW w:w="1703" w:type="dxa"/>
            <w:gridSpan w:val="2"/>
          </w:tcPr>
          <w:p>
            <w:pPr>
              <w:pStyle w:val="TableParagraph"/>
              <w:spacing w:before="19"/>
              <w:ind w:left="1004"/>
              <w:rPr>
                <w:sz w:val="14"/>
              </w:rPr>
            </w:pPr>
            <w:r>
              <w:rPr>
                <w:w w:val="105"/>
                <w:sz w:val="14"/>
              </w:rPr>
              <w:t>99,448.00</w:t>
            </w:r>
          </w:p>
        </w:tc>
        <w:tc>
          <w:tcPr>
            <w:tcW w:w="407" w:type="dxa"/>
          </w:tcPr>
          <w:p>
            <w:pPr>
              <w:pStyle w:val="TableParagraph"/>
              <w:spacing w:before="19"/>
              <w:ind w:left="13" w:right="13"/>
              <w:jc w:val="center"/>
              <w:rPr>
                <w:sz w:val="14"/>
              </w:rPr>
            </w:pPr>
            <w:r>
              <w:rPr>
                <w:w w:val="105"/>
                <w:sz w:val="14"/>
              </w:rPr>
              <w:t>382</w:t>
            </w:r>
          </w:p>
        </w:tc>
      </w:tr>
      <w:tr>
        <w:trPr>
          <w:trHeight w:val="201" w:hRule="atLeast"/>
        </w:trPr>
        <w:tc>
          <w:tcPr>
            <w:tcW w:w="8480" w:type="dxa"/>
          </w:tcPr>
          <w:p>
            <w:pPr>
              <w:pStyle w:val="TableParagraph"/>
              <w:tabs>
                <w:tab w:pos="373" w:val="left" w:leader="none"/>
              </w:tabs>
              <w:spacing w:before="19"/>
              <w:ind w:left="50"/>
              <w:rPr>
                <w:sz w:val="14"/>
              </w:rPr>
            </w:pPr>
            <w:r>
              <w:rPr>
                <w:w w:val="105"/>
                <w:sz w:val="14"/>
              </w:rPr>
              <w:t>4.</w:t>
              <w:tab/>
              <w:t>PERS.</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 .</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 .</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 .</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 .</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 .</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 .</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 .</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 .</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 .</w:t>
            </w:r>
          </w:p>
        </w:tc>
        <w:tc>
          <w:tcPr>
            <w:tcW w:w="1174" w:type="dxa"/>
          </w:tcPr>
          <w:p>
            <w:pPr>
              <w:pStyle w:val="TableParagraph"/>
              <w:spacing w:before="19"/>
              <w:ind w:left="212" w:right="88"/>
              <w:jc w:val="center"/>
              <w:rPr>
                <w:sz w:val="14"/>
              </w:rPr>
            </w:pPr>
            <w:r>
              <w:rPr>
                <w:w w:val="105"/>
                <w:sz w:val="14"/>
              </w:rPr>
              <w:t>3201 &amp; 3202</w:t>
            </w:r>
          </w:p>
        </w:tc>
        <w:tc>
          <w:tcPr>
            <w:tcW w:w="1703" w:type="dxa"/>
            <w:gridSpan w:val="2"/>
          </w:tcPr>
          <w:p>
            <w:pPr>
              <w:pStyle w:val="TableParagraph"/>
              <w:spacing w:before="19"/>
              <w:ind w:left="1004"/>
              <w:rPr>
                <w:sz w:val="14"/>
              </w:rPr>
            </w:pPr>
            <w:r>
              <w:rPr>
                <w:w w:val="105"/>
                <w:sz w:val="14"/>
              </w:rPr>
              <w:t>45,832.00</w:t>
            </w:r>
          </w:p>
        </w:tc>
        <w:tc>
          <w:tcPr>
            <w:tcW w:w="407" w:type="dxa"/>
          </w:tcPr>
          <w:p>
            <w:pPr>
              <w:pStyle w:val="TableParagraph"/>
              <w:spacing w:before="19"/>
              <w:ind w:left="13" w:right="13"/>
              <w:jc w:val="center"/>
              <w:rPr>
                <w:sz w:val="14"/>
              </w:rPr>
            </w:pPr>
            <w:r>
              <w:rPr>
                <w:w w:val="105"/>
                <w:sz w:val="14"/>
              </w:rPr>
              <w:t>383</w:t>
            </w:r>
          </w:p>
        </w:tc>
      </w:tr>
      <w:tr>
        <w:trPr>
          <w:trHeight w:val="201" w:hRule="atLeast"/>
        </w:trPr>
        <w:tc>
          <w:tcPr>
            <w:tcW w:w="8480" w:type="dxa"/>
          </w:tcPr>
          <w:p>
            <w:pPr>
              <w:pStyle w:val="TableParagraph"/>
              <w:tabs>
                <w:tab w:pos="373" w:val="left" w:leader="none"/>
              </w:tabs>
              <w:spacing w:before="19"/>
              <w:ind w:left="50"/>
              <w:rPr>
                <w:sz w:val="14"/>
              </w:rPr>
            </w:pPr>
            <w:r>
              <w:rPr>
                <w:w w:val="105"/>
                <w:sz w:val="14"/>
              </w:rPr>
              <w:t>5.</w:t>
              <w:tab/>
              <w:t>OASDI</w:t>
            </w:r>
            <w:r>
              <w:rPr>
                <w:spacing w:val="-5"/>
                <w:w w:val="105"/>
                <w:sz w:val="14"/>
              </w:rPr>
              <w:t> </w:t>
            </w:r>
            <w:r>
              <w:rPr>
                <w:w w:val="105"/>
                <w:sz w:val="14"/>
              </w:rPr>
              <w:t>-</w:t>
            </w:r>
            <w:r>
              <w:rPr>
                <w:spacing w:val="-2"/>
                <w:w w:val="105"/>
                <w:sz w:val="14"/>
              </w:rPr>
              <w:t> </w:t>
            </w:r>
            <w:r>
              <w:rPr>
                <w:w w:val="105"/>
                <w:sz w:val="14"/>
              </w:rPr>
              <w:t>Regular,</w:t>
            </w:r>
            <w:r>
              <w:rPr>
                <w:spacing w:val="-1"/>
                <w:w w:val="105"/>
                <w:sz w:val="14"/>
              </w:rPr>
              <w:t> </w:t>
            </w:r>
            <w:r>
              <w:rPr>
                <w:w w:val="105"/>
                <w:sz w:val="14"/>
              </w:rPr>
              <w:t>Medicare</w:t>
            </w:r>
            <w:r>
              <w:rPr>
                <w:spacing w:val="-4"/>
                <w:w w:val="105"/>
                <w:sz w:val="14"/>
              </w:rPr>
              <w:t> </w:t>
            </w:r>
            <w:r>
              <w:rPr>
                <w:w w:val="105"/>
                <w:sz w:val="14"/>
              </w:rPr>
              <w:t>and</w:t>
            </w:r>
            <w:r>
              <w:rPr>
                <w:spacing w:val="-4"/>
                <w:w w:val="105"/>
                <w:sz w:val="14"/>
              </w:rPr>
              <w:t> </w:t>
            </w:r>
            <w:r>
              <w:rPr>
                <w:w w:val="105"/>
                <w:sz w:val="14"/>
              </w:rPr>
              <w:t>Alternative.</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p>
        </w:tc>
        <w:tc>
          <w:tcPr>
            <w:tcW w:w="1174" w:type="dxa"/>
          </w:tcPr>
          <w:p>
            <w:pPr>
              <w:pStyle w:val="TableParagraph"/>
              <w:spacing w:before="19"/>
              <w:ind w:left="212" w:right="88"/>
              <w:jc w:val="center"/>
              <w:rPr>
                <w:sz w:val="14"/>
              </w:rPr>
            </w:pPr>
            <w:r>
              <w:rPr>
                <w:w w:val="105"/>
                <w:sz w:val="14"/>
              </w:rPr>
              <w:t>3301 &amp; 3302</w:t>
            </w:r>
          </w:p>
        </w:tc>
        <w:tc>
          <w:tcPr>
            <w:tcW w:w="1703" w:type="dxa"/>
            <w:gridSpan w:val="2"/>
          </w:tcPr>
          <w:p>
            <w:pPr>
              <w:pStyle w:val="TableParagraph"/>
              <w:spacing w:before="19"/>
              <w:ind w:left="1004"/>
              <w:rPr>
                <w:sz w:val="14"/>
              </w:rPr>
            </w:pPr>
            <w:r>
              <w:rPr>
                <w:w w:val="105"/>
                <w:sz w:val="14"/>
              </w:rPr>
              <w:t>21,406.00</w:t>
            </w:r>
          </w:p>
        </w:tc>
        <w:tc>
          <w:tcPr>
            <w:tcW w:w="407" w:type="dxa"/>
          </w:tcPr>
          <w:p>
            <w:pPr>
              <w:pStyle w:val="TableParagraph"/>
              <w:spacing w:before="19"/>
              <w:ind w:left="13" w:right="13"/>
              <w:jc w:val="center"/>
              <w:rPr>
                <w:sz w:val="14"/>
              </w:rPr>
            </w:pPr>
            <w:r>
              <w:rPr>
                <w:w w:val="105"/>
                <w:sz w:val="14"/>
              </w:rPr>
              <w:t>384</w:t>
            </w:r>
          </w:p>
        </w:tc>
      </w:tr>
      <w:tr>
        <w:trPr>
          <w:trHeight w:val="201" w:hRule="atLeast"/>
        </w:trPr>
        <w:tc>
          <w:tcPr>
            <w:tcW w:w="8480" w:type="dxa"/>
          </w:tcPr>
          <w:p>
            <w:pPr>
              <w:pStyle w:val="TableParagraph"/>
              <w:tabs>
                <w:tab w:pos="373" w:val="left" w:leader="none"/>
              </w:tabs>
              <w:spacing w:before="19"/>
              <w:ind w:left="50"/>
              <w:rPr>
                <w:sz w:val="14"/>
              </w:rPr>
            </w:pPr>
            <w:r>
              <w:rPr>
                <w:w w:val="105"/>
                <w:sz w:val="14"/>
              </w:rPr>
              <w:t>6.</w:t>
              <w:tab/>
              <w:t>Health &amp; Welfare Benefits (EC</w:t>
            </w:r>
            <w:r>
              <w:rPr>
                <w:spacing w:val="-7"/>
                <w:w w:val="105"/>
                <w:sz w:val="14"/>
              </w:rPr>
              <w:t> </w:t>
            </w:r>
            <w:r>
              <w:rPr>
                <w:w w:val="105"/>
                <w:sz w:val="14"/>
              </w:rPr>
              <w:t>41372)</w:t>
            </w:r>
          </w:p>
        </w:tc>
        <w:tc>
          <w:tcPr>
            <w:tcW w:w="1174" w:type="dxa"/>
          </w:tcPr>
          <w:p>
            <w:pPr>
              <w:pStyle w:val="TableParagraph"/>
              <w:rPr>
                <w:rFonts w:ascii="Times New Roman"/>
                <w:sz w:val="14"/>
              </w:rPr>
            </w:pPr>
          </w:p>
        </w:tc>
        <w:tc>
          <w:tcPr>
            <w:tcW w:w="1703" w:type="dxa"/>
            <w:gridSpan w:val="2"/>
          </w:tcPr>
          <w:p>
            <w:pPr>
              <w:pStyle w:val="TableParagraph"/>
              <w:rPr>
                <w:rFonts w:ascii="Times New Roman"/>
                <w:sz w:val="14"/>
              </w:rPr>
            </w:pPr>
          </w:p>
        </w:tc>
        <w:tc>
          <w:tcPr>
            <w:tcW w:w="407" w:type="dxa"/>
          </w:tcPr>
          <w:p>
            <w:pPr>
              <w:pStyle w:val="TableParagraph"/>
              <w:rPr>
                <w:rFonts w:ascii="Times New Roman"/>
                <w:sz w:val="14"/>
              </w:rPr>
            </w:pPr>
          </w:p>
        </w:tc>
      </w:tr>
      <w:tr>
        <w:trPr>
          <w:trHeight w:val="201" w:hRule="atLeast"/>
        </w:trPr>
        <w:tc>
          <w:tcPr>
            <w:tcW w:w="8480" w:type="dxa"/>
          </w:tcPr>
          <w:p>
            <w:pPr>
              <w:pStyle w:val="TableParagraph"/>
              <w:spacing w:before="19"/>
              <w:ind w:left="376"/>
              <w:rPr>
                <w:sz w:val="14"/>
              </w:rPr>
            </w:pPr>
            <w:r>
              <w:rPr>
                <w:w w:val="105"/>
                <w:sz w:val="14"/>
              </w:rPr>
              <w:t>(Include Health, Dental, Vision, Pharmaceutical, and</w:t>
            </w:r>
          </w:p>
        </w:tc>
        <w:tc>
          <w:tcPr>
            <w:tcW w:w="1174" w:type="dxa"/>
          </w:tcPr>
          <w:p>
            <w:pPr>
              <w:pStyle w:val="TableParagraph"/>
              <w:rPr>
                <w:rFonts w:ascii="Times New Roman"/>
                <w:sz w:val="14"/>
              </w:rPr>
            </w:pPr>
          </w:p>
        </w:tc>
        <w:tc>
          <w:tcPr>
            <w:tcW w:w="1703" w:type="dxa"/>
            <w:gridSpan w:val="2"/>
          </w:tcPr>
          <w:p>
            <w:pPr>
              <w:pStyle w:val="TableParagraph"/>
              <w:rPr>
                <w:rFonts w:ascii="Times New Roman"/>
                <w:sz w:val="14"/>
              </w:rPr>
            </w:pPr>
          </w:p>
        </w:tc>
        <w:tc>
          <w:tcPr>
            <w:tcW w:w="407" w:type="dxa"/>
          </w:tcPr>
          <w:p>
            <w:pPr>
              <w:pStyle w:val="TableParagraph"/>
              <w:rPr>
                <w:rFonts w:ascii="Times New Roman"/>
                <w:sz w:val="14"/>
              </w:rPr>
            </w:pPr>
          </w:p>
        </w:tc>
      </w:tr>
      <w:tr>
        <w:trPr>
          <w:trHeight w:val="201" w:hRule="atLeast"/>
        </w:trPr>
        <w:tc>
          <w:tcPr>
            <w:tcW w:w="8480" w:type="dxa"/>
          </w:tcPr>
          <w:p>
            <w:pPr>
              <w:pStyle w:val="TableParagraph"/>
              <w:spacing w:before="19"/>
              <w:ind w:left="376"/>
              <w:rPr>
                <w:sz w:val="14"/>
              </w:rPr>
            </w:pPr>
            <w:r>
              <w:rPr>
                <w:w w:val="105"/>
                <w:sz w:val="14"/>
              </w:rPr>
              <w:t>Annuity Plans). . . . . . . . . . . . . . . . . . . . . . . . . . . . . . . . . . . . . . . . . . . . . . . . . . . . . . . . . . . . . . . . . . . . . . . . . . . . . . . . . . . . .</w:t>
            </w:r>
          </w:p>
        </w:tc>
        <w:tc>
          <w:tcPr>
            <w:tcW w:w="1174" w:type="dxa"/>
          </w:tcPr>
          <w:p>
            <w:pPr>
              <w:pStyle w:val="TableParagraph"/>
              <w:spacing w:before="19"/>
              <w:ind w:left="212" w:right="88"/>
              <w:jc w:val="center"/>
              <w:rPr>
                <w:sz w:val="14"/>
              </w:rPr>
            </w:pPr>
            <w:r>
              <w:rPr>
                <w:w w:val="105"/>
                <w:sz w:val="14"/>
              </w:rPr>
              <w:t>3401 &amp; 3402</w:t>
            </w:r>
          </w:p>
        </w:tc>
        <w:tc>
          <w:tcPr>
            <w:tcW w:w="1703" w:type="dxa"/>
            <w:gridSpan w:val="2"/>
          </w:tcPr>
          <w:p>
            <w:pPr>
              <w:pStyle w:val="TableParagraph"/>
              <w:spacing w:before="19"/>
              <w:ind w:left="1004"/>
              <w:rPr>
                <w:sz w:val="14"/>
              </w:rPr>
            </w:pPr>
            <w:r>
              <w:rPr>
                <w:w w:val="105"/>
                <w:sz w:val="14"/>
              </w:rPr>
              <w:t>45,239.00</w:t>
            </w:r>
          </w:p>
        </w:tc>
        <w:tc>
          <w:tcPr>
            <w:tcW w:w="407" w:type="dxa"/>
          </w:tcPr>
          <w:p>
            <w:pPr>
              <w:pStyle w:val="TableParagraph"/>
              <w:spacing w:before="19"/>
              <w:ind w:left="13" w:right="13"/>
              <w:jc w:val="center"/>
              <w:rPr>
                <w:sz w:val="14"/>
              </w:rPr>
            </w:pPr>
            <w:r>
              <w:rPr>
                <w:w w:val="105"/>
                <w:sz w:val="14"/>
              </w:rPr>
              <w:t>385</w:t>
            </w:r>
          </w:p>
        </w:tc>
      </w:tr>
      <w:tr>
        <w:trPr>
          <w:trHeight w:val="201" w:hRule="atLeast"/>
        </w:trPr>
        <w:tc>
          <w:tcPr>
            <w:tcW w:w="8480" w:type="dxa"/>
          </w:tcPr>
          <w:p>
            <w:pPr>
              <w:pStyle w:val="TableParagraph"/>
              <w:tabs>
                <w:tab w:pos="373" w:val="left" w:leader="none"/>
              </w:tabs>
              <w:spacing w:before="19"/>
              <w:ind w:left="50"/>
              <w:rPr>
                <w:sz w:val="14"/>
              </w:rPr>
            </w:pPr>
            <w:r>
              <w:rPr>
                <w:w w:val="105"/>
                <w:sz w:val="14"/>
              </w:rPr>
              <w:t>7.</w:t>
              <w:tab/>
              <w:t>Unemployment</w:t>
            </w:r>
            <w:r>
              <w:rPr>
                <w:spacing w:val="-2"/>
                <w:w w:val="105"/>
                <w:sz w:val="14"/>
              </w:rPr>
              <w:t> </w:t>
            </w:r>
            <w:r>
              <w:rPr>
                <w:w w:val="105"/>
                <w:sz w:val="14"/>
              </w:rPr>
              <w:t>Insurance.</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3"/>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3"/>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p>
        </w:tc>
        <w:tc>
          <w:tcPr>
            <w:tcW w:w="1174" w:type="dxa"/>
          </w:tcPr>
          <w:p>
            <w:pPr>
              <w:pStyle w:val="TableParagraph"/>
              <w:spacing w:before="19"/>
              <w:ind w:left="212" w:right="88"/>
              <w:jc w:val="center"/>
              <w:rPr>
                <w:sz w:val="14"/>
              </w:rPr>
            </w:pPr>
            <w:r>
              <w:rPr>
                <w:w w:val="105"/>
                <w:sz w:val="14"/>
              </w:rPr>
              <w:t>3501 &amp; 3502</w:t>
            </w:r>
          </w:p>
        </w:tc>
        <w:tc>
          <w:tcPr>
            <w:tcW w:w="1703" w:type="dxa"/>
            <w:gridSpan w:val="2"/>
          </w:tcPr>
          <w:p>
            <w:pPr>
              <w:pStyle w:val="TableParagraph"/>
              <w:spacing w:before="19"/>
              <w:ind w:right="59"/>
              <w:jc w:val="right"/>
              <w:rPr>
                <w:sz w:val="14"/>
              </w:rPr>
            </w:pPr>
            <w:r>
              <w:rPr>
                <w:sz w:val="14"/>
              </w:rPr>
              <w:t>286.00</w:t>
            </w:r>
          </w:p>
        </w:tc>
        <w:tc>
          <w:tcPr>
            <w:tcW w:w="407" w:type="dxa"/>
          </w:tcPr>
          <w:p>
            <w:pPr>
              <w:pStyle w:val="TableParagraph"/>
              <w:spacing w:before="19"/>
              <w:ind w:left="13" w:right="13"/>
              <w:jc w:val="center"/>
              <w:rPr>
                <w:sz w:val="14"/>
              </w:rPr>
            </w:pPr>
            <w:r>
              <w:rPr>
                <w:w w:val="105"/>
                <w:sz w:val="14"/>
              </w:rPr>
              <w:t>390</w:t>
            </w:r>
          </w:p>
        </w:tc>
      </w:tr>
      <w:tr>
        <w:trPr>
          <w:trHeight w:val="201" w:hRule="atLeast"/>
        </w:trPr>
        <w:tc>
          <w:tcPr>
            <w:tcW w:w="8480" w:type="dxa"/>
          </w:tcPr>
          <w:p>
            <w:pPr>
              <w:pStyle w:val="TableParagraph"/>
              <w:tabs>
                <w:tab w:pos="373" w:val="left" w:leader="none"/>
              </w:tabs>
              <w:spacing w:before="19"/>
              <w:ind w:left="50"/>
              <w:rPr>
                <w:sz w:val="14"/>
              </w:rPr>
            </w:pPr>
            <w:r>
              <w:rPr>
                <w:w w:val="105"/>
                <w:sz w:val="14"/>
              </w:rPr>
              <w:t>8.</w:t>
              <w:tab/>
              <w:t>Workers'</w:t>
            </w:r>
            <w:r>
              <w:rPr>
                <w:spacing w:val="-3"/>
                <w:w w:val="105"/>
                <w:sz w:val="14"/>
              </w:rPr>
              <w:t> </w:t>
            </w:r>
            <w:r>
              <w:rPr>
                <w:w w:val="105"/>
                <w:sz w:val="14"/>
              </w:rPr>
              <w:t>Compensation</w:t>
            </w:r>
            <w:r>
              <w:rPr>
                <w:spacing w:val="-2"/>
                <w:w w:val="105"/>
                <w:sz w:val="14"/>
              </w:rPr>
              <w:t> </w:t>
            </w:r>
            <w:r>
              <w:rPr>
                <w:w w:val="105"/>
                <w:sz w:val="14"/>
              </w:rPr>
              <w:t>Insurance.</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3"/>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p>
        </w:tc>
        <w:tc>
          <w:tcPr>
            <w:tcW w:w="1174" w:type="dxa"/>
          </w:tcPr>
          <w:p>
            <w:pPr>
              <w:pStyle w:val="TableParagraph"/>
              <w:spacing w:before="19"/>
              <w:ind w:left="212" w:right="88"/>
              <w:jc w:val="center"/>
              <w:rPr>
                <w:sz w:val="14"/>
              </w:rPr>
            </w:pPr>
            <w:r>
              <w:rPr>
                <w:w w:val="105"/>
                <w:sz w:val="14"/>
              </w:rPr>
              <w:t>3601 &amp; 3602</w:t>
            </w:r>
          </w:p>
        </w:tc>
        <w:tc>
          <w:tcPr>
            <w:tcW w:w="1703" w:type="dxa"/>
            <w:gridSpan w:val="2"/>
          </w:tcPr>
          <w:p>
            <w:pPr>
              <w:pStyle w:val="TableParagraph"/>
              <w:spacing w:before="19"/>
              <w:ind w:left="1083"/>
              <w:rPr>
                <w:sz w:val="14"/>
              </w:rPr>
            </w:pPr>
            <w:r>
              <w:rPr>
                <w:w w:val="105"/>
                <w:sz w:val="14"/>
              </w:rPr>
              <w:t>8,908.00</w:t>
            </w:r>
          </w:p>
        </w:tc>
        <w:tc>
          <w:tcPr>
            <w:tcW w:w="407" w:type="dxa"/>
          </w:tcPr>
          <w:p>
            <w:pPr>
              <w:pStyle w:val="TableParagraph"/>
              <w:spacing w:before="19"/>
              <w:ind w:left="13" w:right="13"/>
              <w:jc w:val="center"/>
              <w:rPr>
                <w:sz w:val="14"/>
              </w:rPr>
            </w:pPr>
            <w:r>
              <w:rPr>
                <w:w w:val="105"/>
                <w:sz w:val="14"/>
              </w:rPr>
              <w:t>392</w:t>
            </w:r>
          </w:p>
        </w:tc>
      </w:tr>
      <w:tr>
        <w:trPr>
          <w:trHeight w:val="201" w:hRule="atLeast"/>
        </w:trPr>
        <w:tc>
          <w:tcPr>
            <w:tcW w:w="8480" w:type="dxa"/>
          </w:tcPr>
          <w:p>
            <w:pPr>
              <w:pStyle w:val="TableParagraph"/>
              <w:tabs>
                <w:tab w:pos="373" w:val="left" w:leader="none"/>
              </w:tabs>
              <w:spacing w:before="19"/>
              <w:ind w:left="50"/>
              <w:rPr>
                <w:sz w:val="14"/>
              </w:rPr>
            </w:pPr>
            <w:r>
              <w:rPr>
                <w:w w:val="105"/>
                <w:sz w:val="14"/>
              </w:rPr>
              <w:t>9.</w:t>
              <w:tab/>
              <w:t>OPEB,</w:t>
            </w:r>
            <w:r>
              <w:rPr>
                <w:spacing w:val="-2"/>
                <w:w w:val="105"/>
                <w:sz w:val="14"/>
              </w:rPr>
              <w:t> </w:t>
            </w:r>
            <w:r>
              <w:rPr>
                <w:w w:val="105"/>
                <w:sz w:val="14"/>
              </w:rPr>
              <w:t>Active</w:t>
            </w:r>
            <w:r>
              <w:rPr>
                <w:spacing w:val="-2"/>
                <w:w w:val="105"/>
                <w:sz w:val="14"/>
              </w:rPr>
              <w:t> </w:t>
            </w:r>
            <w:r>
              <w:rPr>
                <w:w w:val="105"/>
                <w:sz w:val="14"/>
              </w:rPr>
              <w:t>Employees</w:t>
            </w:r>
            <w:r>
              <w:rPr>
                <w:spacing w:val="-3"/>
                <w:w w:val="105"/>
                <w:sz w:val="14"/>
              </w:rPr>
              <w:t> </w:t>
            </w:r>
            <w:r>
              <w:rPr>
                <w:w w:val="105"/>
                <w:sz w:val="14"/>
              </w:rPr>
              <w:t>(EC</w:t>
            </w:r>
            <w:r>
              <w:rPr>
                <w:spacing w:val="-2"/>
                <w:w w:val="105"/>
                <w:sz w:val="14"/>
              </w:rPr>
              <w:t> </w:t>
            </w:r>
            <w:r>
              <w:rPr>
                <w:w w:val="105"/>
                <w:sz w:val="14"/>
              </w:rPr>
              <w:t>41372).</w:t>
            </w:r>
            <w:r>
              <w:rPr>
                <w:spacing w:val="-2"/>
                <w:w w:val="105"/>
                <w:sz w:val="14"/>
              </w:rPr>
              <w:t> </w:t>
            </w:r>
            <w:r>
              <w:rPr>
                <w:w w:val="105"/>
                <w:sz w:val="14"/>
              </w:rPr>
              <w:t>.</w:t>
            </w:r>
            <w:r>
              <w:rPr>
                <w:spacing w:val="-1"/>
                <w:w w:val="105"/>
                <w:sz w:val="14"/>
              </w:rPr>
              <w:t> </w:t>
            </w:r>
            <w:r>
              <w:rPr>
                <w:w w:val="105"/>
                <w:sz w:val="14"/>
              </w:rPr>
              <w:t>.</w:t>
            </w:r>
            <w:r>
              <w:rPr>
                <w:spacing w:val="-3"/>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3"/>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p>
        </w:tc>
        <w:tc>
          <w:tcPr>
            <w:tcW w:w="1174" w:type="dxa"/>
          </w:tcPr>
          <w:p>
            <w:pPr>
              <w:pStyle w:val="TableParagraph"/>
              <w:spacing w:before="19"/>
              <w:ind w:left="212" w:right="88"/>
              <w:jc w:val="center"/>
              <w:rPr>
                <w:sz w:val="14"/>
              </w:rPr>
            </w:pPr>
            <w:r>
              <w:rPr>
                <w:w w:val="105"/>
                <w:sz w:val="14"/>
              </w:rPr>
              <w:t>3751 &amp; 3752</w:t>
            </w:r>
          </w:p>
        </w:tc>
        <w:tc>
          <w:tcPr>
            <w:tcW w:w="1703" w:type="dxa"/>
            <w:gridSpan w:val="2"/>
          </w:tcPr>
          <w:p>
            <w:pPr>
              <w:pStyle w:val="TableParagraph"/>
              <w:spacing w:before="19"/>
              <w:ind w:right="60"/>
              <w:jc w:val="right"/>
              <w:rPr>
                <w:sz w:val="14"/>
              </w:rPr>
            </w:pPr>
            <w:r>
              <w:rPr>
                <w:sz w:val="14"/>
              </w:rPr>
              <w:t>0.00</w:t>
            </w:r>
          </w:p>
        </w:tc>
        <w:tc>
          <w:tcPr>
            <w:tcW w:w="407" w:type="dxa"/>
          </w:tcPr>
          <w:p>
            <w:pPr>
              <w:pStyle w:val="TableParagraph"/>
              <w:rPr>
                <w:rFonts w:ascii="Times New Roman"/>
                <w:sz w:val="14"/>
              </w:rPr>
            </w:pPr>
          </w:p>
        </w:tc>
      </w:tr>
      <w:tr>
        <w:trPr>
          <w:trHeight w:val="181" w:hRule="atLeast"/>
        </w:trPr>
        <w:tc>
          <w:tcPr>
            <w:tcW w:w="8480" w:type="dxa"/>
          </w:tcPr>
          <w:p>
            <w:pPr>
              <w:pStyle w:val="TableParagraph"/>
              <w:spacing w:line="142" w:lineRule="exact" w:before="19"/>
              <w:ind w:left="50"/>
              <w:rPr>
                <w:sz w:val="14"/>
              </w:rPr>
            </w:pPr>
            <w:r>
              <w:rPr>
                <w:w w:val="105"/>
                <w:sz w:val="14"/>
              </w:rPr>
              <w:t>10. Other Benefits (EC 22310). . . . . . . . . . . . . . . . . . . . . . . . . . . . . . . . . . . . . . . . . . . . . . . . . . . . . . . . . . . . . . . . . . . . . . . . . . . .</w:t>
            </w:r>
          </w:p>
        </w:tc>
        <w:tc>
          <w:tcPr>
            <w:tcW w:w="1174" w:type="dxa"/>
          </w:tcPr>
          <w:p>
            <w:pPr>
              <w:pStyle w:val="TableParagraph"/>
              <w:spacing w:line="142" w:lineRule="exact" w:before="19"/>
              <w:ind w:left="212" w:right="88"/>
              <w:jc w:val="center"/>
              <w:rPr>
                <w:sz w:val="14"/>
              </w:rPr>
            </w:pPr>
            <w:r>
              <w:rPr>
                <w:w w:val="105"/>
                <w:sz w:val="14"/>
              </w:rPr>
              <w:t>3901 &amp; 3902</w:t>
            </w:r>
          </w:p>
        </w:tc>
        <w:tc>
          <w:tcPr>
            <w:tcW w:w="1703" w:type="dxa"/>
            <w:gridSpan w:val="2"/>
          </w:tcPr>
          <w:p>
            <w:pPr>
              <w:pStyle w:val="TableParagraph"/>
              <w:spacing w:line="142" w:lineRule="exact" w:before="19"/>
              <w:ind w:right="60"/>
              <w:jc w:val="right"/>
              <w:rPr>
                <w:sz w:val="14"/>
              </w:rPr>
            </w:pPr>
            <w:r>
              <w:rPr>
                <w:sz w:val="14"/>
              </w:rPr>
              <w:t>0.00</w:t>
            </w:r>
          </w:p>
        </w:tc>
        <w:tc>
          <w:tcPr>
            <w:tcW w:w="407" w:type="dxa"/>
          </w:tcPr>
          <w:p>
            <w:pPr>
              <w:pStyle w:val="TableParagraph"/>
              <w:spacing w:line="142" w:lineRule="exact" w:before="19"/>
              <w:ind w:left="13" w:right="13"/>
              <w:jc w:val="center"/>
              <w:rPr>
                <w:sz w:val="14"/>
              </w:rPr>
            </w:pPr>
            <w:r>
              <w:rPr>
                <w:w w:val="105"/>
                <w:sz w:val="14"/>
              </w:rPr>
              <w:t>393</w:t>
            </w:r>
          </w:p>
        </w:tc>
      </w:tr>
      <w:tr>
        <w:trPr>
          <w:trHeight w:val="222" w:hRule="atLeast"/>
        </w:trPr>
        <w:tc>
          <w:tcPr>
            <w:tcW w:w="10303" w:type="dxa"/>
            <w:gridSpan w:val="3"/>
          </w:tcPr>
          <w:p>
            <w:pPr>
              <w:pStyle w:val="TableParagraph"/>
              <w:spacing w:before="40"/>
              <w:ind w:left="50"/>
              <w:rPr>
                <w:sz w:val="14"/>
              </w:rPr>
            </w:pPr>
            <w:r>
              <w:rPr>
                <w:w w:val="105"/>
                <w:sz w:val="14"/>
              </w:rPr>
              <w:t>11. SUBTOTAL Salaries and Benefits (Sum Lines 1 - 10). . . . . . . . . . . . . . . . . . . . . . . . . . . . . . . . . . . . . . . . . . . . . . . . . . . . . . . . . . . . . . . . . . . . . . . . . . . . .</w:t>
            </w:r>
          </w:p>
        </w:tc>
        <w:tc>
          <w:tcPr>
            <w:tcW w:w="1054" w:type="dxa"/>
          </w:tcPr>
          <w:p>
            <w:pPr>
              <w:pStyle w:val="TableParagraph"/>
              <w:spacing w:before="40"/>
              <w:ind w:right="60"/>
              <w:jc w:val="right"/>
              <w:rPr>
                <w:sz w:val="14"/>
              </w:rPr>
            </w:pPr>
            <w:r>
              <w:rPr>
                <w:sz w:val="14"/>
              </w:rPr>
              <w:t>749,523.00</w:t>
            </w:r>
          </w:p>
        </w:tc>
        <w:tc>
          <w:tcPr>
            <w:tcW w:w="407" w:type="dxa"/>
          </w:tcPr>
          <w:p>
            <w:pPr>
              <w:pStyle w:val="TableParagraph"/>
              <w:spacing w:before="40"/>
              <w:ind w:left="13" w:right="13"/>
              <w:jc w:val="center"/>
              <w:rPr>
                <w:sz w:val="14"/>
              </w:rPr>
            </w:pPr>
            <w:r>
              <w:rPr>
                <w:w w:val="105"/>
                <w:sz w:val="14"/>
              </w:rPr>
              <w:t>395</w:t>
            </w:r>
          </w:p>
        </w:tc>
      </w:tr>
      <w:tr>
        <w:trPr>
          <w:trHeight w:val="201" w:hRule="atLeast"/>
        </w:trPr>
        <w:tc>
          <w:tcPr>
            <w:tcW w:w="10303" w:type="dxa"/>
            <w:gridSpan w:val="3"/>
          </w:tcPr>
          <w:p>
            <w:pPr>
              <w:pStyle w:val="TableParagraph"/>
              <w:spacing w:before="19"/>
              <w:ind w:left="50"/>
              <w:rPr>
                <w:sz w:val="14"/>
              </w:rPr>
            </w:pPr>
            <w:r>
              <w:rPr>
                <w:w w:val="105"/>
                <w:sz w:val="14"/>
              </w:rPr>
              <w:t>12. Less: Teacher and Instructional Aide Salaries and</w:t>
            </w:r>
          </w:p>
        </w:tc>
        <w:tc>
          <w:tcPr>
            <w:tcW w:w="1054" w:type="dxa"/>
          </w:tcPr>
          <w:p>
            <w:pPr>
              <w:pStyle w:val="TableParagraph"/>
              <w:rPr>
                <w:rFonts w:ascii="Times New Roman"/>
                <w:sz w:val="14"/>
              </w:rPr>
            </w:pPr>
          </w:p>
        </w:tc>
        <w:tc>
          <w:tcPr>
            <w:tcW w:w="407" w:type="dxa"/>
          </w:tcPr>
          <w:p>
            <w:pPr>
              <w:pStyle w:val="TableParagraph"/>
              <w:rPr>
                <w:rFonts w:ascii="Times New Roman"/>
                <w:sz w:val="14"/>
              </w:rPr>
            </w:pPr>
          </w:p>
        </w:tc>
      </w:tr>
      <w:tr>
        <w:trPr>
          <w:trHeight w:val="181" w:hRule="atLeast"/>
        </w:trPr>
        <w:tc>
          <w:tcPr>
            <w:tcW w:w="10303" w:type="dxa"/>
            <w:gridSpan w:val="3"/>
          </w:tcPr>
          <w:p>
            <w:pPr>
              <w:pStyle w:val="TableParagraph"/>
              <w:spacing w:line="142" w:lineRule="exact" w:before="19"/>
              <w:ind w:left="376"/>
              <w:rPr>
                <w:sz w:val="14"/>
              </w:rPr>
            </w:pPr>
            <w:r>
              <w:rPr>
                <w:w w:val="105"/>
                <w:sz w:val="14"/>
              </w:rPr>
              <w:t>Benefits deducted in Column 2. . . . . . . . . . . . . . . . . . . . . . . . . . . . . . . . . . . . . . . . . . . . . . . . . . . . . . . . . . . . . . . . . . . . . . . . . . . . . . . . . . . . . . . . . . . . . . .</w:t>
            </w:r>
          </w:p>
        </w:tc>
        <w:tc>
          <w:tcPr>
            <w:tcW w:w="1054" w:type="dxa"/>
          </w:tcPr>
          <w:p>
            <w:pPr>
              <w:pStyle w:val="TableParagraph"/>
              <w:spacing w:line="142" w:lineRule="exact" w:before="19"/>
              <w:ind w:right="60"/>
              <w:jc w:val="right"/>
              <w:rPr>
                <w:sz w:val="14"/>
              </w:rPr>
            </w:pPr>
            <w:r>
              <w:rPr>
                <w:sz w:val="14"/>
              </w:rPr>
              <w:t>0.00</w:t>
            </w:r>
          </w:p>
        </w:tc>
        <w:tc>
          <w:tcPr>
            <w:tcW w:w="407" w:type="dxa"/>
          </w:tcPr>
          <w:p>
            <w:pPr>
              <w:pStyle w:val="TableParagraph"/>
              <w:rPr>
                <w:rFonts w:ascii="Times New Roman"/>
                <w:sz w:val="12"/>
              </w:rPr>
            </w:pP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8"/>
        </w:rPr>
      </w:pPr>
      <w:r>
        <w:rPr/>
        <w:pict>
          <v:group style="position:absolute;margin-left:12.36pt;margin-top:12.486833pt;width:587.2pt;height:90.6pt;mso-position-horizontal-relative:page;mso-position-vertical-relative:paragraph;z-index:-251040768;mso-wrap-distance-left:0;mso-wrap-distance-right:0" coordorigin="247,250" coordsize="11744,1812">
            <v:shape style="position:absolute;left:247;top:249;width:3077;height:293" type="#_x0000_t75" stroked="false">
              <v:imagedata r:id="rId1412" o:title=""/>
            </v:shape>
            <v:shape style="position:absolute;left:247;top:249;width:11744;height:864" type="#_x0000_t75" stroked="false">
              <v:imagedata r:id="rId1413" o:title=""/>
            </v:shape>
            <v:shape style="position:absolute;left:247;top:532;width:11744;height:761" type="#_x0000_t75" stroked="false">
              <v:imagedata r:id="rId1414" o:title=""/>
            </v:shape>
            <v:shape style="position:absolute;left:10260;top:1106;width:1731;height:956" type="#_x0000_t75" stroked="false">
              <v:imagedata r:id="rId1415" o:title=""/>
            </v:shape>
            <v:shape style="position:absolute;left:247;top:1291;width:10020;height:771" type="#_x0000_t75" stroked="false">
              <v:imagedata r:id="rId1416" o:title=""/>
            </v:shape>
            <v:shape style="position:absolute;left:247;top:249;width:11744;height:1812" type="#_x0000_t202" filled="false" stroked="false">
              <v:textbox inset="0,0,0,0">
                <w:txbxContent>
                  <w:p>
                    <w:pPr>
                      <w:spacing w:before="128"/>
                      <w:ind w:left="40" w:right="0" w:firstLine="0"/>
                      <w:jc w:val="left"/>
                      <w:rPr>
                        <w:b/>
                        <w:sz w:val="14"/>
                      </w:rPr>
                    </w:pPr>
                    <w:r>
                      <w:rPr>
                        <w:b/>
                        <w:w w:val="105"/>
                        <w:sz w:val="14"/>
                      </w:rPr>
                      <w:t>PART III: DEFICIENCY AMOUNT</w:t>
                    </w:r>
                  </w:p>
                  <w:p>
                    <w:pPr>
                      <w:spacing w:line="240" w:lineRule="auto" w:before="5"/>
                      <w:rPr>
                        <w:b/>
                        <w:sz w:val="21"/>
                      </w:rPr>
                    </w:pPr>
                  </w:p>
                  <w:p>
                    <w:pPr>
                      <w:spacing w:before="0"/>
                      <w:ind w:left="40" w:right="740" w:firstLine="0"/>
                      <w:jc w:val="left"/>
                      <w:rPr>
                        <w:sz w:val="14"/>
                      </w:rPr>
                    </w:pPr>
                    <w:r>
                      <w:rPr>
                        <w:w w:val="105"/>
                        <w:sz w:val="14"/>
                      </w:rPr>
                      <w:t>A</w:t>
                    </w:r>
                    <w:r>
                      <w:rPr>
                        <w:spacing w:val="-13"/>
                        <w:w w:val="105"/>
                        <w:sz w:val="14"/>
                      </w:rPr>
                      <w:t> </w:t>
                    </w:r>
                    <w:r>
                      <w:rPr>
                        <w:w w:val="105"/>
                        <w:sz w:val="14"/>
                      </w:rPr>
                      <w:t>deficiency</w:t>
                    </w:r>
                    <w:r>
                      <w:rPr>
                        <w:spacing w:val="-15"/>
                        <w:w w:val="105"/>
                        <w:sz w:val="14"/>
                      </w:rPr>
                      <w:t> </w:t>
                    </w:r>
                    <w:r>
                      <w:rPr>
                        <w:w w:val="105"/>
                        <w:sz w:val="14"/>
                      </w:rPr>
                      <w:t>amount</w:t>
                    </w:r>
                    <w:r>
                      <w:rPr>
                        <w:spacing w:val="-12"/>
                        <w:w w:val="105"/>
                        <w:sz w:val="14"/>
                      </w:rPr>
                      <w:t> </w:t>
                    </w:r>
                    <w:r>
                      <w:rPr>
                        <w:w w:val="105"/>
                        <w:sz w:val="14"/>
                      </w:rPr>
                      <w:t>(Line</w:t>
                    </w:r>
                    <w:r>
                      <w:rPr>
                        <w:spacing w:val="-14"/>
                        <w:w w:val="105"/>
                        <w:sz w:val="14"/>
                      </w:rPr>
                      <w:t> </w:t>
                    </w:r>
                    <w:r>
                      <w:rPr>
                        <w:w w:val="105"/>
                        <w:sz w:val="14"/>
                      </w:rPr>
                      <w:t>5)</w:t>
                    </w:r>
                    <w:r>
                      <w:rPr>
                        <w:spacing w:val="-12"/>
                        <w:w w:val="105"/>
                        <w:sz w:val="14"/>
                      </w:rPr>
                      <w:t> </w:t>
                    </w:r>
                    <w:r>
                      <w:rPr>
                        <w:w w:val="105"/>
                        <w:sz w:val="14"/>
                      </w:rPr>
                      <w:t>is</w:t>
                    </w:r>
                    <w:r>
                      <w:rPr>
                        <w:spacing w:val="-13"/>
                        <w:w w:val="105"/>
                        <w:sz w:val="14"/>
                      </w:rPr>
                      <w:t> </w:t>
                    </w:r>
                    <w:r>
                      <w:rPr>
                        <w:w w:val="105"/>
                        <w:sz w:val="14"/>
                      </w:rPr>
                      <w:t>only</w:t>
                    </w:r>
                    <w:r>
                      <w:rPr>
                        <w:spacing w:val="-15"/>
                        <w:w w:val="105"/>
                        <w:sz w:val="14"/>
                      </w:rPr>
                      <w:t> </w:t>
                    </w:r>
                    <w:r>
                      <w:rPr>
                        <w:w w:val="105"/>
                        <w:sz w:val="14"/>
                      </w:rPr>
                      <w:t>applicable</w:t>
                    </w:r>
                    <w:r>
                      <w:rPr>
                        <w:spacing w:val="-13"/>
                        <w:w w:val="105"/>
                        <w:sz w:val="14"/>
                      </w:rPr>
                      <w:t> </w:t>
                    </w:r>
                    <w:r>
                      <w:rPr>
                        <w:w w:val="105"/>
                        <w:sz w:val="14"/>
                      </w:rPr>
                      <w:t>to</w:t>
                    </w:r>
                    <w:r>
                      <w:rPr>
                        <w:spacing w:val="-14"/>
                        <w:w w:val="105"/>
                        <w:sz w:val="14"/>
                      </w:rPr>
                      <w:t> </w:t>
                    </w:r>
                    <w:r>
                      <w:rPr>
                        <w:w w:val="105"/>
                        <w:sz w:val="14"/>
                      </w:rPr>
                      <w:t>districts</w:t>
                    </w:r>
                    <w:r>
                      <w:rPr>
                        <w:spacing w:val="-12"/>
                        <w:w w:val="105"/>
                        <w:sz w:val="14"/>
                      </w:rPr>
                      <w:t> </w:t>
                    </w:r>
                    <w:r>
                      <w:rPr>
                        <w:w w:val="105"/>
                        <w:sz w:val="14"/>
                      </w:rPr>
                      <w:t>not</w:t>
                    </w:r>
                    <w:r>
                      <w:rPr>
                        <w:spacing w:val="-12"/>
                        <w:w w:val="105"/>
                        <w:sz w:val="14"/>
                      </w:rPr>
                      <w:t> </w:t>
                    </w:r>
                    <w:r>
                      <w:rPr>
                        <w:w w:val="105"/>
                        <w:sz w:val="14"/>
                      </w:rPr>
                      <w:t>meeting</w:t>
                    </w:r>
                    <w:r>
                      <w:rPr>
                        <w:spacing w:val="-12"/>
                        <w:w w:val="105"/>
                        <w:sz w:val="14"/>
                      </w:rPr>
                      <w:t> </w:t>
                    </w:r>
                    <w:r>
                      <w:rPr>
                        <w:w w:val="105"/>
                        <w:sz w:val="14"/>
                      </w:rPr>
                      <w:t>the</w:t>
                    </w:r>
                    <w:r>
                      <w:rPr>
                        <w:spacing w:val="-13"/>
                        <w:w w:val="105"/>
                        <w:sz w:val="14"/>
                      </w:rPr>
                      <w:t> </w:t>
                    </w:r>
                    <w:r>
                      <w:rPr>
                        <w:w w:val="105"/>
                        <w:sz w:val="14"/>
                      </w:rPr>
                      <w:t>minimum</w:t>
                    </w:r>
                    <w:r>
                      <w:rPr>
                        <w:spacing w:val="-14"/>
                        <w:w w:val="105"/>
                        <w:sz w:val="14"/>
                      </w:rPr>
                      <w:t> </w:t>
                    </w:r>
                    <w:r>
                      <w:rPr>
                        <w:w w:val="105"/>
                        <w:sz w:val="14"/>
                      </w:rPr>
                      <w:t>classroom</w:t>
                    </w:r>
                    <w:r>
                      <w:rPr>
                        <w:spacing w:val="-14"/>
                        <w:w w:val="105"/>
                        <w:sz w:val="14"/>
                      </w:rPr>
                      <w:t> </w:t>
                    </w:r>
                    <w:r>
                      <w:rPr>
                        <w:w w:val="105"/>
                        <w:sz w:val="14"/>
                      </w:rPr>
                      <w:t>compensation</w:t>
                    </w:r>
                    <w:r>
                      <w:rPr>
                        <w:spacing w:val="-14"/>
                        <w:w w:val="105"/>
                        <w:sz w:val="14"/>
                      </w:rPr>
                      <w:t> </w:t>
                    </w:r>
                    <w:r>
                      <w:rPr>
                        <w:w w:val="105"/>
                        <w:sz w:val="14"/>
                      </w:rPr>
                      <w:t>percentage</w:t>
                    </w:r>
                    <w:r>
                      <w:rPr>
                        <w:spacing w:val="-13"/>
                        <w:w w:val="105"/>
                        <w:sz w:val="14"/>
                      </w:rPr>
                      <w:t> </w:t>
                    </w:r>
                    <w:r>
                      <w:rPr>
                        <w:w w:val="105"/>
                        <w:sz w:val="14"/>
                      </w:rPr>
                      <w:t>required</w:t>
                    </w:r>
                    <w:r>
                      <w:rPr>
                        <w:spacing w:val="-13"/>
                        <w:w w:val="105"/>
                        <w:sz w:val="14"/>
                      </w:rPr>
                      <w:t> </w:t>
                    </w:r>
                    <w:r>
                      <w:rPr>
                        <w:w w:val="105"/>
                        <w:sz w:val="14"/>
                      </w:rPr>
                      <w:t>under</w:t>
                    </w:r>
                    <w:r>
                      <w:rPr>
                        <w:spacing w:val="-12"/>
                        <w:w w:val="105"/>
                        <w:sz w:val="14"/>
                      </w:rPr>
                      <w:t> </w:t>
                    </w:r>
                    <w:r>
                      <w:rPr>
                        <w:w w:val="105"/>
                        <w:sz w:val="14"/>
                      </w:rPr>
                      <w:t>EC</w:t>
                    </w:r>
                    <w:r>
                      <w:rPr>
                        <w:spacing w:val="-13"/>
                        <w:w w:val="105"/>
                        <w:sz w:val="14"/>
                      </w:rPr>
                      <w:t> </w:t>
                    </w:r>
                    <w:r>
                      <w:rPr>
                        <w:w w:val="105"/>
                        <w:sz w:val="14"/>
                      </w:rPr>
                      <w:t>41372</w:t>
                    </w:r>
                    <w:r>
                      <w:rPr>
                        <w:spacing w:val="-13"/>
                        <w:w w:val="105"/>
                        <w:sz w:val="14"/>
                      </w:rPr>
                      <w:t> </w:t>
                    </w:r>
                    <w:r>
                      <w:rPr>
                        <w:w w:val="105"/>
                        <w:sz w:val="14"/>
                      </w:rPr>
                      <w:t>and</w:t>
                    </w:r>
                    <w:r>
                      <w:rPr>
                        <w:spacing w:val="-13"/>
                        <w:w w:val="105"/>
                        <w:sz w:val="14"/>
                      </w:rPr>
                      <w:t> </w:t>
                    </w:r>
                    <w:r>
                      <w:rPr>
                        <w:w w:val="105"/>
                        <w:sz w:val="14"/>
                      </w:rPr>
                      <w:t>not</w:t>
                    </w:r>
                    <w:r>
                      <w:rPr>
                        <w:spacing w:val="-12"/>
                        <w:w w:val="105"/>
                        <w:sz w:val="14"/>
                      </w:rPr>
                      <w:t> </w:t>
                    </w:r>
                    <w:r>
                      <w:rPr>
                        <w:w w:val="105"/>
                        <w:sz w:val="14"/>
                      </w:rPr>
                      <w:t>exempt</w:t>
                    </w:r>
                    <w:r>
                      <w:rPr>
                        <w:spacing w:val="-12"/>
                        <w:w w:val="105"/>
                        <w:sz w:val="14"/>
                      </w:rPr>
                      <w:t> </w:t>
                    </w:r>
                    <w:r>
                      <w:rPr>
                        <w:w w:val="105"/>
                        <w:sz w:val="14"/>
                      </w:rPr>
                      <w:t>under</w:t>
                    </w:r>
                    <w:r>
                      <w:rPr>
                        <w:spacing w:val="-12"/>
                        <w:w w:val="105"/>
                        <w:sz w:val="14"/>
                      </w:rPr>
                      <w:t> </w:t>
                    </w:r>
                    <w:r>
                      <w:rPr>
                        <w:w w:val="105"/>
                        <w:sz w:val="14"/>
                      </w:rPr>
                      <w:t>the provisions of EC</w:t>
                    </w:r>
                    <w:r>
                      <w:rPr>
                        <w:spacing w:val="-2"/>
                        <w:w w:val="105"/>
                        <w:sz w:val="14"/>
                      </w:rPr>
                      <w:t> </w:t>
                    </w:r>
                    <w:r>
                      <w:rPr>
                        <w:w w:val="105"/>
                        <w:sz w:val="14"/>
                      </w:rPr>
                      <w:t>41374.</w:t>
                    </w:r>
                  </w:p>
                  <w:p>
                    <w:pPr>
                      <w:tabs>
                        <w:tab w:pos="404" w:val="left" w:leader="none"/>
                        <w:tab w:pos="10864" w:val="left" w:leader="none"/>
                      </w:tabs>
                      <w:spacing w:before="24"/>
                      <w:ind w:left="40" w:right="0" w:firstLine="0"/>
                      <w:jc w:val="left"/>
                      <w:rPr>
                        <w:sz w:val="14"/>
                      </w:rPr>
                    </w:pPr>
                    <w:r>
                      <w:rPr>
                        <w:w w:val="105"/>
                        <w:sz w:val="14"/>
                      </w:rPr>
                      <w:t>1.</w:t>
                      <w:tab/>
                      <w:t>Minimum</w:t>
                    </w:r>
                    <w:r>
                      <w:rPr>
                        <w:spacing w:val="-6"/>
                        <w:w w:val="105"/>
                        <w:sz w:val="14"/>
                      </w:rPr>
                      <w:t> </w:t>
                    </w:r>
                    <w:r>
                      <w:rPr>
                        <w:w w:val="105"/>
                        <w:sz w:val="14"/>
                      </w:rPr>
                      <w:t>percentage</w:t>
                    </w:r>
                    <w:r>
                      <w:rPr>
                        <w:spacing w:val="-4"/>
                        <w:w w:val="105"/>
                        <w:sz w:val="14"/>
                      </w:rPr>
                      <w:t> </w:t>
                    </w:r>
                    <w:r>
                      <w:rPr>
                        <w:w w:val="105"/>
                        <w:sz w:val="14"/>
                      </w:rPr>
                      <w:t>required</w:t>
                    </w:r>
                    <w:r>
                      <w:rPr>
                        <w:spacing w:val="-5"/>
                        <w:w w:val="105"/>
                        <w:sz w:val="14"/>
                      </w:rPr>
                      <w:t> </w:t>
                    </w:r>
                    <w:r>
                      <w:rPr>
                        <w:w w:val="105"/>
                        <w:sz w:val="14"/>
                      </w:rPr>
                      <w:t>(60%</w:t>
                    </w:r>
                    <w:r>
                      <w:rPr>
                        <w:spacing w:val="-3"/>
                        <w:w w:val="105"/>
                        <w:sz w:val="14"/>
                      </w:rPr>
                      <w:t> </w:t>
                    </w:r>
                    <w:r>
                      <w:rPr>
                        <w:w w:val="105"/>
                        <w:sz w:val="14"/>
                      </w:rPr>
                      <w:t>elementary,</w:t>
                    </w:r>
                    <w:r>
                      <w:rPr>
                        <w:spacing w:val="-3"/>
                        <w:w w:val="105"/>
                        <w:sz w:val="14"/>
                      </w:rPr>
                      <w:t> </w:t>
                    </w:r>
                    <w:r>
                      <w:rPr>
                        <w:w w:val="105"/>
                        <w:sz w:val="14"/>
                      </w:rPr>
                      <w:t>55%</w:t>
                    </w:r>
                    <w:r>
                      <w:rPr>
                        <w:spacing w:val="-4"/>
                        <w:w w:val="105"/>
                        <w:sz w:val="14"/>
                      </w:rPr>
                      <w:t> </w:t>
                    </w:r>
                    <w:r>
                      <w:rPr>
                        <w:w w:val="105"/>
                        <w:sz w:val="14"/>
                      </w:rPr>
                      <w:t>unified,</w:t>
                    </w:r>
                    <w:r>
                      <w:rPr>
                        <w:spacing w:val="-2"/>
                        <w:w w:val="105"/>
                        <w:sz w:val="14"/>
                      </w:rPr>
                      <w:t> </w:t>
                    </w:r>
                    <w:r>
                      <w:rPr>
                        <w:w w:val="105"/>
                        <w:sz w:val="14"/>
                      </w:rPr>
                      <w:t>50%</w:t>
                    </w:r>
                    <w:r>
                      <w:rPr>
                        <w:spacing w:val="-4"/>
                        <w:w w:val="105"/>
                        <w:sz w:val="14"/>
                      </w:rPr>
                      <w:t> </w:t>
                    </w:r>
                    <w:r>
                      <w:rPr>
                        <w:w w:val="105"/>
                        <w:sz w:val="14"/>
                      </w:rPr>
                      <w:t>high)</w:t>
                    </w:r>
                    <w:r>
                      <w:rPr>
                        <w:spacing w:val="-3"/>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4"/>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4"/>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tab/>
                      <w:t>exempt</w:t>
                    </w:r>
                  </w:p>
                  <w:p>
                    <w:pPr>
                      <w:tabs>
                        <w:tab w:pos="404" w:val="left" w:leader="none"/>
                        <w:tab w:pos="10847" w:val="left" w:leader="dot"/>
                      </w:tabs>
                      <w:spacing w:before="24"/>
                      <w:ind w:left="40" w:right="0" w:firstLine="0"/>
                      <w:jc w:val="left"/>
                      <w:rPr>
                        <w:sz w:val="14"/>
                      </w:rPr>
                    </w:pPr>
                    <w:r>
                      <w:rPr>
                        <w:w w:val="105"/>
                        <w:sz w:val="14"/>
                      </w:rPr>
                      <w:t>2.</w:t>
                      <w:tab/>
                      <w:t>Percentage</w:t>
                    </w:r>
                    <w:r>
                      <w:rPr>
                        <w:spacing w:val="-10"/>
                        <w:w w:val="105"/>
                        <w:sz w:val="14"/>
                      </w:rPr>
                      <w:t> </w:t>
                    </w:r>
                    <w:r>
                      <w:rPr>
                        <w:w w:val="105"/>
                        <w:sz w:val="14"/>
                      </w:rPr>
                      <w:t>spent</w:t>
                    </w:r>
                    <w:r>
                      <w:rPr>
                        <w:spacing w:val="-8"/>
                        <w:w w:val="105"/>
                        <w:sz w:val="14"/>
                      </w:rPr>
                      <w:t> </w:t>
                    </w:r>
                    <w:r>
                      <w:rPr>
                        <w:w w:val="105"/>
                        <w:sz w:val="14"/>
                      </w:rPr>
                      <w:t>by</w:t>
                    </w:r>
                    <w:r>
                      <w:rPr>
                        <w:spacing w:val="-11"/>
                        <w:w w:val="105"/>
                        <w:sz w:val="14"/>
                      </w:rPr>
                      <w:t> </w:t>
                    </w:r>
                    <w:r>
                      <w:rPr>
                        <w:w w:val="105"/>
                        <w:sz w:val="14"/>
                      </w:rPr>
                      <w:t>this</w:t>
                    </w:r>
                    <w:r>
                      <w:rPr>
                        <w:spacing w:val="-9"/>
                        <w:w w:val="105"/>
                        <w:sz w:val="14"/>
                      </w:rPr>
                      <w:t> </w:t>
                    </w:r>
                    <w:r>
                      <w:rPr>
                        <w:w w:val="105"/>
                        <w:sz w:val="14"/>
                      </w:rPr>
                      <w:t>district</w:t>
                    </w:r>
                    <w:r>
                      <w:rPr>
                        <w:spacing w:val="-8"/>
                        <w:w w:val="105"/>
                        <w:sz w:val="14"/>
                      </w:rPr>
                      <w:t> </w:t>
                    </w:r>
                    <w:r>
                      <w:rPr>
                        <w:w w:val="105"/>
                        <w:sz w:val="14"/>
                      </w:rPr>
                      <w:t>(Part</w:t>
                    </w:r>
                    <w:r>
                      <w:rPr>
                        <w:spacing w:val="-9"/>
                        <w:w w:val="105"/>
                        <w:sz w:val="14"/>
                      </w:rPr>
                      <w:t> </w:t>
                    </w:r>
                    <w:r>
                      <w:rPr>
                        <w:w w:val="105"/>
                        <w:sz w:val="14"/>
                      </w:rPr>
                      <w:t>II,</w:t>
                    </w:r>
                    <w:r>
                      <w:rPr>
                        <w:spacing w:val="-8"/>
                        <w:w w:val="105"/>
                        <w:sz w:val="14"/>
                      </w:rPr>
                      <w:t> </w:t>
                    </w:r>
                    <w:r>
                      <w:rPr>
                        <w:w w:val="105"/>
                        <w:sz w:val="14"/>
                      </w:rPr>
                      <w:t>Line</w:t>
                    </w:r>
                    <w:r>
                      <w:rPr>
                        <w:spacing w:val="-10"/>
                        <w:w w:val="105"/>
                        <w:sz w:val="14"/>
                      </w:rPr>
                      <w:t> </w:t>
                    </w:r>
                    <w:r>
                      <w:rPr>
                        <w:w w:val="105"/>
                        <w:sz w:val="14"/>
                      </w:rPr>
                      <w:t>15)</w:t>
                      <w:tab/>
                      <w:t>41.28%</w:t>
                    </w:r>
                  </w:p>
                  <w:p>
                    <w:pPr>
                      <w:tabs>
                        <w:tab w:pos="404" w:val="left" w:leader="none"/>
                        <w:tab w:pos="10864" w:val="left" w:leader="none"/>
                      </w:tabs>
                      <w:spacing w:before="23"/>
                      <w:ind w:left="40" w:right="0" w:firstLine="0"/>
                      <w:jc w:val="left"/>
                      <w:rPr>
                        <w:sz w:val="14"/>
                      </w:rPr>
                    </w:pPr>
                    <w:r>
                      <w:rPr>
                        <w:w w:val="105"/>
                        <w:sz w:val="14"/>
                      </w:rPr>
                      <w:t>3.</w:t>
                      <w:tab/>
                      <w:t>Percentage</w:t>
                    </w:r>
                    <w:r>
                      <w:rPr>
                        <w:spacing w:val="-4"/>
                        <w:w w:val="105"/>
                        <w:sz w:val="14"/>
                      </w:rPr>
                      <w:t> </w:t>
                    </w:r>
                    <w:r>
                      <w:rPr>
                        <w:w w:val="105"/>
                        <w:sz w:val="14"/>
                      </w:rPr>
                      <w:t>below</w:t>
                    </w:r>
                    <w:r>
                      <w:rPr>
                        <w:spacing w:val="-3"/>
                        <w:w w:val="105"/>
                        <w:sz w:val="14"/>
                      </w:rPr>
                      <w:t> </w:t>
                    </w:r>
                    <w:r>
                      <w:rPr>
                        <w:w w:val="105"/>
                        <w:sz w:val="14"/>
                      </w:rPr>
                      <w:t>the</w:t>
                    </w:r>
                    <w:r>
                      <w:rPr>
                        <w:spacing w:val="-4"/>
                        <w:w w:val="105"/>
                        <w:sz w:val="14"/>
                      </w:rPr>
                      <w:t> </w:t>
                    </w:r>
                    <w:r>
                      <w:rPr>
                        <w:w w:val="105"/>
                        <w:sz w:val="14"/>
                      </w:rPr>
                      <w:t>minimum</w:t>
                    </w:r>
                    <w:r>
                      <w:rPr>
                        <w:spacing w:val="-5"/>
                        <w:w w:val="105"/>
                        <w:sz w:val="14"/>
                      </w:rPr>
                      <w:t> </w:t>
                    </w:r>
                    <w:r>
                      <w:rPr>
                        <w:w w:val="105"/>
                        <w:sz w:val="14"/>
                      </w:rPr>
                      <w:t>(Part</w:t>
                    </w:r>
                    <w:r>
                      <w:rPr>
                        <w:spacing w:val="-2"/>
                        <w:w w:val="105"/>
                        <w:sz w:val="14"/>
                      </w:rPr>
                      <w:t> </w:t>
                    </w:r>
                    <w:r>
                      <w:rPr>
                        <w:w w:val="105"/>
                        <w:sz w:val="14"/>
                      </w:rPr>
                      <w:t>III,</w:t>
                    </w:r>
                    <w:r>
                      <w:rPr>
                        <w:spacing w:val="-2"/>
                        <w:w w:val="105"/>
                        <w:sz w:val="14"/>
                      </w:rPr>
                      <w:t> </w:t>
                    </w:r>
                    <w:r>
                      <w:rPr>
                        <w:w w:val="105"/>
                        <w:sz w:val="14"/>
                      </w:rPr>
                      <w:t>Line</w:t>
                    </w:r>
                    <w:r>
                      <w:rPr>
                        <w:spacing w:val="-4"/>
                        <w:w w:val="105"/>
                        <w:sz w:val="14"/>
                      </w:rPr>
                      <w:t> </w:t>
                    </w:r>
                    <w:r>
                      <w:rPr>
                        <w:w w:val="105"/>
                        <w:sz w:val="14"/>
                      </w:rPr>
                      <w:t>1</w:t>
                    </w:r>
                    <w:r>
                      <w:rPr>
                        <w:spacing w:val="-3"/>
                        <w:w w:val="105"/>
                        <w:sz w:val="14"/>
                      </w:rPr>
                      <w:t> </w:t>
                    </w:r>
                    <w:r>
                      <w:rPr>
                        <w:w w:val="105"/>
                        <w:sz w:val="14"/>
                      </w:rPr>
                      <w:t>minus</w:t>
                    </w:r>
                    <w:r>
                      <w:rPr>
                        <w:spacing w:val="-3"/>
                        <w:w w:val="105"/>
                        <w:sz w:val="14"/>
                      </w:rPr>
                      <w:t> </w:t>
                    </w:r>
                    <w:r>
                      <w:rPr>
                        <w:w w:val="105"/>
                        <w:sz w:val="14"/>
                      </w:rPr>
                      <w:t>Line</w:t>
                    </w:r>
                    <w:r>
                      <w:rPr>
                        <w:spacing w:val="-3"/>
                        <w:w w:val="105"/>
                        <w:sz w:val="14"/>
                      </w:rPr>
                      <w:t> </w:t>
                    </w:r>
                    <w:r>
                      <w:rPr>
                        <w:w w:val="105"/>
                        <w:sz w:val="14"/>
                      </w:rPr>
                      <w:t>2)</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tab/>
                      <w:t>exempt</w:t>
                    </w:r>
                  </w:p>
                  <w:p>
                    <w:pPr>
                      <w:tabs>
                        <w:tab w:pos="404" w:val="left" w:leader="none"/>
                        <w:tab w:pos="10449" w:val="left" w:leader="none"/>
                        <w:tab w:pos="10864" w:val="left" w:leader="none"/>
                      </w:tabs>
                      <w:spacing w:line="300" w:lineRule="auto" w:before="24"/>
                      <w:ind w:left="40" w:right="409" w:firstLine="0"/>
                      <w:jc w:val="left"/>
                      <w:rPr>
                        <w:sz w:val="14"/>
                      </w:rPr>
                    </w:pPr>
                    <w:r>
                      <w:rPr>
                        <w:w w:val="105"/>
                        <w:sz w:val="14"/>
                      </w:rPr>
                      <w:t>4.</w:t>
                      <w:tab/>
                      <w:t>District's</w:t>
                    </w:r>
                    <w:r>
                      <w:rPr>
                        <w:spacing w:val="-4"/>
                        <w:w w:val="105"/>
                        <w:sz w:val="14"/>
                      </w:rPr>
                      <w:t> </w:t>
                    </w:r>
                    <w:r>
                      <w:rPr>
                        <w:w w:val="105"/>
                        <w:sz w:val="14"/>
                      </w:rPr>
                      <w:t>Current</w:t>
                    </w:r>
                    <w:r>
                      <w:rPr>
                        <w:spacing w:val="-3"/>
                        <w:w w:val="105"/>
                        <w:sz w:val="14"/>
                      </w:rPr>
                      <w:t> </w:t>
                    </w:r>
                    <w:r>
                      <w:rPr>
                        <w:w w:val="105"/>
                        <w:sz w:val="14"/>
                      </w:rPr>
                      <w:t>Expense</w:t>
                    </w:r>
                    <w:r>
                      <w:rPr>
                        <w:spacing w:val="-4"/>
                        <w:w w:val="105"/>
                        <w:sz w:val="14"/>
                      </w:rPr>
                      <w:t> </w:t>
                    </w:r>
                    <w:r>
                      <w:rPr>
                        <w:w w:val="105"/>
                        <w:sz w:val="14"/>
                      </w:rPr>
                      <w:t>of</w:t>
                    </w:r>
                    <w:r>
                      <w:rPr>
                        <w:spacing w:val="-3"/>
                        <w:w w:val="105"/>
                        <w:sz w:val="14"/>
                      </w:rPr>
                      <w:t> </w:t>
                    </w:r>
                    <w:r>
                      <w:rPr>
                        <w:w w:val="105"/>
                        <w:sz w:val="14"/>
                      </w:rPr>
                      <w:t>Education</w:t>
                    </w:r>
                    <w:r>
                      <w:rPr>
                        <w:spacing w:val="-4"/>
                        <w:w w:val="105"/>
                        <w:sz w:val="14"/>
                      </w:rPr>
                      <w:t> </w:t>
                    </w:r>
                    <w:r>
                      <w:rPr>
                        <w:w w:val="105"/>
                        <w:sz w:val="14"/>
                      </w:rPr>
                      <w:t>after</w:t>
                    </w:r>
                    <w:r>
                      <w:rPr>
                        <w:spacing w:val="-4"/>
                        <w:w w:val="105"/>
                        <w:sz w:val="14"/>
                      </w:rPr>
                      <w:t> </w:t>
                    </w:r>
                    <w:r>
                      <w:rPr>
                        <w:w w:val="105"/>
                        <w:sz w:val="14"/>
                      </w:rPr>
                      <w:t>reductions</w:t>
                    </w:r>
                    <w:r>
                      <w:rPr>
                        <w:spacing w:val="-5"/>
                        <w:w w:val="105"/>
                        <w:sz w:val="14"/>
                      </w:rPr>
                      <w:t> </w:t>
                    </w:r>
                    <w:r>
                      <w:rPr>
                        <w:w w:val="105"/>
                        <w:sz w:val="14"/>
                      </w:rPr>
                      <w:t>in</w:t>
                    </w:r>
                    <w:r>
                      <w:rPr>
                        <w:spacing w:val="-5"/>
                        <w:w w:val="105"/>
                        <w:sz w:val="14"/>
                      </w:rPr>
                      <w:t> </w:t>
                    </w:r>
                    <w:r>
                      <w:rPr>
                        <w:w w:val="105"/>
                        <w:sz w:val="14"/>
                      </w:rPr>
                      <w:t>columns</w:t>
                    </w:r>
                    <w:r>
                      <w:rPr>
                        <w:spacing w:val="-4"/>
                        <w:w w:val="105"/>
                        <w:sz w:val="14"/>
                      </w:rPr>
                      <w:t> </w:t>
                    </w:r>
                    <w:r>
                      <w:rPr>
                        <w:w w:val="105"/>
                        <w:sz w:val="14"/>
                      </w:rPr>
                      <w:t>4a</w:t>
                    </w:r>
                    <w:r>
                      <w:rPr>
                        <w:spacing w:val="-4"/>
                        <w:w w:val="105"/>
                        <w:sz w:val="14"/>
                      </w:rPr>
                      <w:t> </w:t>
                    </w:r>
                    <w:r>
                      <w:rPr>
                        <w:w w:val="105"/>
                        <w:sz w:val="14"/>
                      </w:rPr>
                      <w:t>or</w:t>
                    </w:r>
                    <w:r>
                      <w:rPr>
                        <w:spacing w:val="-4"/>
                        <w:w w:val="105"/>
                        <w:sz w:val="14"/>
                      </w:rPr>
                      <w:t> </w:t>
                    </w:r>
                    <w:r>
                      <w:rPr>
                        <w:w w:val="105"/>
                        <w:sz w:val="14"/>
                      </w:rPr>
                      <w:t>4b</w:t>
                    </w:r>
                    <w:r>
                      <w:rPr>
                        <w:spacing w:val="-5"/>
                        <w:w w:val="105"/>
                        <w:sz w:val="14"/>
                      </w:rPr>
                      <w:t> </w:t>
                    </w:r>
                    <w:r>
                      <w:rPr>
                        <w:w w:val="105"/>
                        <w:sz w:val="14"/>
                      </w:rPr>
                      <w:t>(Part</w:t>
                    </w:r>
                    <w:r>
                      <w:rPr>
                        <w:spacing w:val="-3"/>
                        <w:w w:val="105"/>
                        <w:sz w:val="14"/>
                      </w:rPr>
                      <w:t> </w:t>
                    </w:r>
                    <w:r>
                      <w:rPr>
                        <w:w w:val="105"/>
                        <w:sz w:val="14"/>
                      </w:rPr>
                      <w:t>I,</w:t>
                    </w:r>
                    <w:r>
                      <w:rPr>
                        <w:spacing w:val="-3"/>
                        <w:w w:val="105"/>
                        <w:sz w:val="14"/>
                      </w:rPr>
                      <w:t> </w:t>
                    </w:r>
                    <w:r>
                      <w:rPr>
                        <w:w w:val="105"/>
                        <w:sz w:val="14"/>
                      </w:rPr>
                      <w:t>EDP</w:t>
                    </w:r>
                    <w:r>
                      <w:rPr>
                        <w:spacing w:val="-4"/>
                        <w:w w:val="105"/>
                        <w:sz w:val="14"/>
                      </w:rPr>
                      <w:t> </w:t>
                    </w:r>
                    <w:r>
                      <w:rPr>
                        <w:w w:val="105"/>
                        <w:sz w:val="14"/>
                      </w:rPr>
                      <w:t>369).</w:t>
                    </w:r>
                    <w:r>
                      <w:rPr>
                        <w:spacing w:val="-4"/>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4"/>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4"/>
                        <w:w w:val="105"/>
                        <w:sz w:val="14"/>
                      </w:rPr>
                      <w:t> </w:t>
                    </w:r>
                    <w:r>
                      <w:rPr>
                        <w:w w:val="105"/>
                        <w:sz w:val="14"/>
                      </w:rPr>
                      <w:t>.</w:t>
                    </w:r>
                    <w:r>
                      <w:rPr>
                        <w:spacing w:val="-3"/>
                        <w:w w:val="105"/>
                        <w:sz w:val="14"/>
                      </w:rPr>
                      <w:t> </w:t>
                    </w:r>
                    <w:r>
                      <w:rPr>
                        <w:w w:val="105"/>
                        <w:sz w:val="14"/>
                      </w:rPr>
                      <w:t>.</w:t>
                    </w:r>
                    <w:r>
                      <w:rPr>
                        <w:spacing w:val="-4"/>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4"/>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4"/>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4"/>
                        <w:w w:val="105"/>
                        <w:sz w:val="14"/>
                      </w:rPr>
                      <w:t> </w:t>
                    </w:r>
                    <w:r>
                      <w:rPr>
                        <w:w w:val="105"/>
                        <w:sz w:val="14"/>
                      </w:rPr>
                      <w:t>.</w:t>
                    </w:r>
                    <w:r>
                      <w:rPr>
                        <w:spacing w:val="-3"/>
                        <w:w w:val="105"/>
                        <w:sz w:val="14"/>
                      </w:rPr>
                      <w:t> </w:t>
                    </w:r>
                    <w:r>
                      <w:rPr>
                        <w:w w:val="105"/>
                        <w:sz w:val="14"/>
                      </w:rPr>
                      <w:t>.</w:t>
                    </w:r>
                    <w:r>
                      <w:rPr>
                        <w:spacing w:val="-4"/>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4"/>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4"/>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4"/>
                        <w:w w:val="105"/>
                        <w:sz w:val="14"/>
                      </w:rPr>
                      <w:t> </w:t>
                    </w:r>
                    <w:r>
                      <w:rPr>
                        <w:w w:val="105"/>
                        <w:sz w:val="14"/>
                      </w:rPr>
                      <w:t>.</w:t>
                    </w:r>
                    <w:r>
                      <w:rPr>
                        <w:spacing w:val="-3"/>
                        <w:w w:val="105"/>
                        <w:sz w:val="14"/>
                      </w:rPr>
                      <w:t> </w:t>
                    </w:r>
                    <w:r>
                      <w:rPr>
                        <w:w w:val="105"/>
                        <w:sz w:val="14"/>
                      </w:rPr>
                      <w:t>.</w:t>
                      <w:tab/>
                      <w:t>1,815,820.00 5.</w:t>
                      <w:tab/>
                      <w:t>Deficiency</w:t>
                    </w:r>
                    <w:r>
                      <w:rPr>
                        <w:spacing w:val="-6"/>
                        <w:w w:val="105"/>
                        <w:sz w:val="14"/>
                      </w:rPr>
                      <w:t> </w:t>
                    </w:r>
                    <w:r>
                      <w:rPr>
                        <w:w w:val="105"/>
                        <w:sz w:val="14"/>
                      </w:rPr>
                      <w:t>Amount</w:t>
                    </w:r>
                    <w:r>
                      <w:rPr>
                        <w:spacing w:val="-2"/>
                        <w:w w:val="105"/>
                        <w:sz w:val="14"/>
                      </w:rPr>
                      <w:t> </w:t>
                    </w:r>
                    <w:r>
                      <w:rPr>
                        <w:w w:val="105"/>
                        <w:sz w:val="14"/>
                      </w:rPr>
                      <w:t>(Part</w:t>
                    </w:r>
                    <w:r>
                      <w:rPr>
                        <w:spacing w:val="-1"/>
                        <w:w w:val="105"/>
                        <w:sz w:val="14"/>
                      </w:rPr>
                      <w:t> </w:t>
                    </w:r>
                    <w:r>
                      <w:rPr>
                        <w:w w:val="105"/>
                        <w:sz w:val="14"/>
                      </w:rPr>
                      <w:t>III,</w:t>
                    </w:r>
                    <w:r>
                      <w:rPr>
                        <w:spacing w:val="-2"/>
                        <w:w w:val="105"/>
                        <w:sz w:val="14"/>
                      </w:rPr>
                      <w:t> </w:t>
                    </w:r>
                    <w:r>
                      <w:rPr>
                        <w:w w:val="105"/>
                        <w:sz w:val="14"/>
                      </w:rPr>
                      <w:t>Line</w:t>
                    </w:r>
                    <w:r>
                      <w:rPr>
                        <w:spacing w:val="-4"/>
                        <w:w w:val="105"/>
                        <w:sz w:val="14"/>
                      </w:rPr>
                      <w:t> </w:t>
                    </w:r>
                    <w:r>
                      <w:rPr>
                        <w:w w:val="105"/>
                        <w:sz w:val="14"/>
                      </w:rPr>
                      <w:t>3</w:t>
                    </w:r>
                    <w:r>
                      <w:rPr>
                        <w:spacing w:val="-2"/>
                        <w:w w:val="105"/>
                        <w:sz w:val="14"/>
                      </w:rPr>
                      <w:t> </w:t>
                    </w:r>
                    <w:r>
                      <w:rPr>
                        <w:w w:val="105"/>
                        <w:sz w:val="14"/>
                      </w:rPr>
                      <w:t>times</w:t>
                    </w:r>
                    <w:r>
                      <w:rPr>
                        <w:spacing w:val="-2"/>
                        <w:w w:val="105"/>
                        <w:sz w:val="14"/>
                      </w:rPr>
                      <w:t> </w:t>
                    </w:r>
                    <w:r>
                      <w:rPr>
                        <w:w w:val="105"/>
                        <w:sz w:val="14"/>
                      </w:rPr>
                      <w:t>Line</w:t>
                    </w:r>
                    <w:r>
                      <w:rPr>
                        <w:spacing w:val="-4"/>
                        <w:w w:val="105"/>
                        <w:sz w:val="14"/>
                      </w:rPr>
                      <w:t> </w:t>
                    </w:r>
                    <w:r>
                      <w:rPr>
                        <w:w w:val="105"/>
                        <w:sz w:val="14"/>
                      </w:rPr>
                      <w:t>4)</w:t>
                    </w:r>
                    <w:r>
                      <w:rPr>
                        <w:spacing w:val="38"/>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tab/>
                      <w:tab/>
                    </w:r>
                    <w:r>
                      <w:rPr>
                        <w:spacing w:val="-4"/>
                        <w:w w:val="105"/>
                        <w:sz w:val="14"/>
                      </w:rPr>
                      <w:t>exempt</w:t>
                    </w:r>
                  </w:p>
                </w:txbxContent>
              </v:textbox>
              <w10:wrap type="none"/>
            </v:shape>
            <w10:wrap type="topAndBottom"/>
          </v:group>
        </w:pict>
      </w:r>
    </w:p>
    <w:p>
      <w:pPr>
        <w:pStyle w:val="BodyText"/>
        <w:spacing w:before="6"/>
        <w:rPr>
          <w:sz w:val="8"/>
        </w:rPr>
      </w:pPr>
    </w:p>
    <w:p>
      <w:pPr>
        <w:pStyle w:val="BodyText"/>
        <w:ind w:left="207"/>
        <w:rPr>
          <w:sz w:val="20"/>
        </w:rPr>
      </w:pPr>
      <w:r>
        <w:rPr>
          <w:sz w:val="20"/>
        </w:rPr>
        <w:pict>
          <v:group style="width:587.2pt;height:55.7pt;mso-position-horizontal-relative:char;mso-position-vertical-relative:line" coordorigin="0,0" coordsize="11744,1114">
            <v:shape style="position:absolute;left:0;top:0;width:6509;height:387" type="#_x0000_t75" stroked="false">
              <v:imagedata r:id="rId1417" o:title=""/>
            </v:shape>
            <v:shape style="position:absolute;left:0;top:0;width:11744;height:1114" type="#_x0000_t75" stroked="false">
              <v:imagedata r:id="rId1418" o:title=""/>
            </v:shape>
            <v:shape style="position:absolute;left:0;top:0;width:11744;height:1114" type="#_x0000_t202" filled="false" stroked="false">
              <v:textbox inset="0,0,0,0">
                <w:txbxContent>
                  <w:p>
                    <w:pPr>
                      <w:spacing w:line="240" w:lineRule="auto" w:before="3"/>
                      <w:rPr>
                        <w:sz w:val="19"/>
                      </w:rPr>
                    </w:pPr>
                  </w:p>
                  <w:p>
                    <w:pPr>
                      <w:spacing w:before="0"/>
                      <w:ind w:left="40" w:right="0" w:firstLine="0"/>
                      <w:jc w:val="left"/>
                      <w:rPr>
                        <w:b/>
                        <w:sz w:val="14"/>
                      </w:rPr>
                    </w:pPr>
                    <w:r>
                      <w:rPr>
                        <w:b/>
                        <w:w w:val="105"/>
                        <w:sz w:val="14"/>
                      </w:rPr>
                      <w:t>PART IV: Explanation for adjustments entered in Part I, Column 4b (required)</w:t>
                    </w:r>
                  </w:p>
                </w:txbxContent>
              </v:textbox>
              <w10:wrap type="none"/>
            </v:shape>
          </v:group>
        </w:pict>
      </w:r>
      <w:r>
        <w:rPr>
          <w:sz w:val="20"/>
        </w:rPr>
      </w:r>
    </w:p>
    <w:p>
      <w:pPr>
        <w:pStyle w:val="BodyText"/>
        <w:rPr>
          <w:sz w:val="16"/>
        </w:rPr>
      </w:pPr>
    </w:p>
    <w:p>
      <w:pPr>
        <w:pStyle w:val="BodyText"/>
        <w:spacing w:before="3"/>
        <w:rPr>
          <w:sz w:val="15"/>
        </w:rPr>
      </w:pPr>
    </w:p>
    <w:p>
      <w:pPr>
        <w:spacing w:before="0"/>
        <w:ind w:left="219" w:right="0" w:firstLine="0"/>
        <w:jc w:val="left"/>
        <w:rPr>
          <w:sz w:val="14"/>
        </w:rPr>
      </w:pPr>
      <w:r>
        <w:rPr/>
        <w:pict>
          <v:shape style="position:absolute;margin-left:14.400001pt;margin-top:-144.299744pt;width:547.9pt;height:16.1pt;mso-position-horizontal-relative:page;mso-position-vertical-relative:paragraph;z-index:-314088448" type="#_x0000_t202" filled="false" stroked="false">
            <v:textbox inset="0,0,0,0">
              <w:txbxContent>
                <w:p>
                  <w:pPr>
                    <w:spacing w:before="0"/>
                    <w:ind w:left="0" w:right="-5" w:firstLine="0"/>
                    <w:jc w:val="left"/>
                    <w:rPr>
                      <w:sz w:val="14"/>
                    </w:rPr>
                  </w:pPr>
                  <w:r>
                    <w:rPr>
                      <w:w w:val="105"/>
                      <w:sz w:val="14"/>
                    </w:rPr>
                    <w:t>A</w:t>
                  </w:r>
                  <w:r>
                    <w:rPr>
                      <w:spacing w:val="-13"/>
                      <w:w w:val="105"/>
                      <w:sz w:val="14"/>
                    </w:rPr>
                    <w:t> </w:t>
                  </w:r>
                  <w:r>
                    <w:rPr>
                      <w:w w:val="105"/>
                      <w:sz w:val="14"/>
                    </w:rPr>
                    <w:t>deficiency</w:t>
                  </w:r>
                  <w:r>
                    <w:rPr>
                      <w:spacing w:val="-15"/>
                      <w:w w:val="105"/>
                      <w:sz w:val="14"/>
                    </w:rPr>
                    <w:t> </w:t>
                  </w:r>
                  <w:r>
                    <w:rPr>
                      <w:w w:val="105"/>
                      <w:sz w:val="14"/>
                    </w:rPr>
                    <w:t>amount</w:t>
                  </w:r>
                  <w:r>
                    <w:rPr>
                      <w:spacing w:val="-12"/>
                      <w:w w:val="105"/>
                      <w:sz w:val="14"/>
                    </w:rPr>
                    <w:t> </w:t>
                  </w:r>
                  <w:r>
                    <w:rPr>
                      <w:w w:val="105"/>
                      <w:sz w:val="14"/>
                    </w:rPr>
                    <w:t>(Line</w:t>
                  </w:r>
                  <w:r>
                    <w:rPr>
                      <w:spacing w:val="-14"/>
                      <w:w w:val="105"/>
                      <w:sz w:val="14"/>
                    </w:rPr>
                    <w:t> </w:t>
                  </w:r>
                  <w:r>
                    <w:rPr>
                      <w:w w:val="105"/>
                      <w:sz w:val="14"/>
                    </w:rPr>
                    <w:t>5)</w:t>
                  </w:r>
                  <w:r>
                    <w:rPr>
                      <w:spacing w:val="-12"/>
                      <w:w w:val="105"/>
                      <w:sz w:val="14"/>
                    </w:rPr>
                    <w:t> </w:t>
                  </w:r>
                  <w:r>
                    <w:rPr>
                      <w:w w:val="105"/>
                      <w:sz w:val="14"/>
                    </w:rPr>
                    <w:t>is</w:t>
                  </w:r>
                  <w:r>
                    <w:rPr>
                      <w:spacing w:val="-13"/>
                      <w:w w:val="105"/>
                      <w:sz w:val="14"/>
                    </w:rPr>
                    <w:t> </w:t>
                  </w:r>
                  <w:r>
                    <w:rPr>
                      <w:w w:val="105"/>
                      <w:sz w:val="14"/>
                    </w:rPr>
                    <w:t>only</w:t>
                  </w:r>
                  <w:r>
                    <w:rPr>
                      <w:spacing w:val="-15"/>
                      <w:w w:val="105"/>
                      <w:sz w:val="14"/>
                    </w:rPr>
                    <w:t> </w:t>
                  </w:r>
                  <w:r>
                    <w:rPr>
                      <w:w w:val="105"/>
                      <w:sz w:val="14"/>
                    </w:rPr>
                    <w:t>applicable</w:t>
                  </w:r>
                  <w:r>
                    <w:rPr>
                      <w:spacing w:val="-14"/>
                      <w:w w:val="105"/>
                      <w:sz w:val="14"/>
                    </w:rPr>
                    <w:t> </w:t>
                  </w:r>
                  <w:r>
                    <w:rPr>
                      <w:w w:val="105"/>
                      <w:sz w:val="14"/>
                    </w:rPr>
                    <w:t>to</w:t>
                  </w:r>
                  <w:r>
                    <w:rPr>
                      <w:spacing w:val="-13"/>
                      <w:w w:val="105"/>
                      <w:sz w:val="14"/>
                    </w:rPr>
                    <w:t> </w:t>
                  </w:r>
                  <w:r>
                    <w:rPr>
                      <w:w w:val="105"/>
                      <w:sz w:val="14"/>
                    </w:rPr>
                    <w:t>districts</w:t>
                  </w:r>
                  <w:r>
                    <w:rPr>
                      <w:spacing w:val="-12"/>
                      <w:w w:val="105"/>
                      <w:sz w:val="14"/>
                    </w:rPr>
                    <w:t> </w:t>
                  </w:r>
                  <w:r>
                    <w:rPr>
                      <w:w w:val="105"/>
                      <w:sz w:val="14"/>
                    </w:rPr>
                    <w:t>not</w:t>
                  </w:r>
                  <w:r>
                    <w:rPr>
                      <w:spacing w:val="-12"/>
                      <w:w w:val="105"/>
                      <w:sz w:val="14"/>
                    </w:rPr>
                    <w:t> </w:t>
                  </w:r>
                  <w:r>
                    <w:rPr>
                      <w:w w:val="105"/>
                      <w:sz w:val="14"/>
                    </w:rPr>
                    <w:t>meeting</w:t>
                  </w:r>
                  <w:r>
                    <w:rPr>
                      <w:spacing w:val="-13"/>
                      <w:w w:val="105"/>
                      <w:sz w:val="14"/>
                    </w:rPr>
                    <w:t> </w:t>
                  </w:r>
                  <w:r>
                    <w:rPr>
                      <w:w w:val="105"/>
                      <w:sz w:val="14"/>
                    </w:rPr>
                    <w:t>the</w:t>
                  </w:r>
                  <w:r>
                    <w:rPr>
                      <w:spacing w:val="-13"/>
                      <w:w w:val="105"/>
                      <w:sz w:val="14"/>
                    </w:rPr>
                    <w:t> </w:t>
                  </w:r>
                  <w:r>
                    <w:rPr>
                      <w:w w:val="105"/>
                      <w:sz w:val="14"/>
                    </w:rPr>
                    <w:t>minimum</w:t>
                  </w:r>
                  <w:r>
                    <w:rPr>
                      <w:spacing w:val="-14"/>
                      <w:w w:val="105"/>
                      <w:sz w:val="14"/>
                    </w:rPr>
                    <w:t> </w:t>
                  </w:r>
                  <w:r>
                    <w:rPr>
                      <w:w w:val="105"/>
                      <w:sz w:val="14"/>
                    </w:rPr>
                    <w:t>classroom</w:t>
                  </w:r>
                  <w:r>
                    <w:rPr>
                      <w:spacing w:val="-14"/>
                      <w:w w:val="105"/>
                      <w:sz w:val="14"/>
                    </w:rPr>
                    <w:t> </w:t>
                  </w:r>
                  <w:r>
                    <w:rPr>
                      <w:w w:val="105"/>
                      <w:sz w:val="14"/>
                    </w:rPr>
                    <w:t>compensation</w:t>
                  </w:r>
                  <w:r>
                    <w:rPr>
                      <w:spacing w:val="-13"/>
                      <w:w w:val="105"/>
                      <w:sz w:val="14"/>
                    </w:rPr>
                    <w:t> </w:t>
                  </w:r>
                  <w:r>
                    <w:rPr>
                      <w:w w:val="105"/>
                      <w:sz w:val="14"/>
                    </w:rPr>
                    <w:t>percentage</w:t>
                  </w:r>
                  <w:r>
                    <w:rPr>
                      <w:spacing w:val="-13"/>
                      <w:w w:val="105"/>
                      <w:sz w:val="14"/>
                    </w:rPr>
                    <w:t> </w:t>
                  </w:r>
                  <w:r>
                    <w:rPr>
                      <w:w w:val="105"/>
                      <w:sz w:val="14"/>
                    </w:rPr>
                    <w:t>required</w:t>
                  </w:r>
                  <w:r>
                    <w:rPr>
                      <w:spacing w:val="-14"/>
                      <w:w w:val="105"/>
                      <w:sz w:val="14"/>
                    </w:rPr>
                    <w:t> </w:t>
                  </w:r>
                  <w:r>
                    <w:rPr>
                      <w:w w:val="105"/>
                      <w:sz w:val="14"/>
                    </w:rPr>
                    <w:t>under</w:t>
                  </w:r>
                  <w:r>
                    <w:rPr>
                      <w:spacing w:val="-12"/>
                      <w:w w:val="105"/>
                      <w:sz w:val="14"/>
                    </w:rPr>
                    <w:t> </w:t>
                  </w:r>
                  <w:r>
                    <w:rPr>
                      <w:w w:val="105"/>
                      <w:sz w:val="14"/>
                    </w:rPr>
                    <w:t>EC</w:t>
                  </w:r>
                  <w:r>
                    <w:rPr>
                      <w:spacing w:val="-12"/>
                      <w:w w:val="105"/>
                      <w:sz w:val="14"/>
                    </w:rPr>
                    <w:t> </w:t>
                  </w:r>
                  <w:r>
                    <w:rPr>
                      <w:w w:val="105"/>
                      <w:sz w:val="14"/>
                    </w:rPr>
                    <w:t>41372</w:t>
                  </w:r>
                  <w:r>
                    <w:rPr>
                      <w:spacing w:val="-14"/>
                      <w:w w:val="105"/>
                      <w:sz w:val="14"/>
                    </w:rPr>
                    <w:t> </w:t>
                  </w:r>
                  <w:r>
                    <w:rPr>
                      <w:w w:val="105"/>
                      <w:sz w:val="14"/>
                    </w:rPr>
                    <w:t>and</w:t>
                  </w:r>
                  <w:r>
                    <w:rPr>
                      <w:spacing w:val="-13"/>
                      <w:w w:val="105"/>
                      <w:sz w:val="14"/>
                    </w:rPr>
                    <w:t> </w:t>
                  </w:r>
                  <w:r>
                    <w:rPr>
                      <w:w w:val="105"/>
                      <w:sz w:val="14"/>
                    </w:rPr>
                    <w:t>not</w:t>
                  </w:r>
                  <w:r>
                    <w:rPr>
                      <w:spacing w:val="-12"/>
                      <w:w w:val="105"/>
                      <w:sz w:val="14"/>
                    </w:rPr>
                    <w:t> </w:t>
                  </w:r>
                  <w:r>
                    <w:rPr>
                      <w:w w:val="105"/>
                      <w:sz w:val="14"/>
                    </w:rPr>
                    <w:t>exempt</w:t>
                  </w:r>
                  <w:r>
                    <w:rPr>
                      <w:spacing w:val="-12"/>
                      <w:w w:val="105"/>
                      <w:sz w:val="14"/>
                    </w:rPr>
                    <w:t> </w:t>
                  </w:r>
                  <w:r>
                    <w:rPr>
                      <w:w w:val="105"/>
                      <w:sz w:val="14"/>
                    </w:rPr>
                    <w:t>under</w:t>
                  </w:r>
                  <w:r>
                    <w:rPr>
                      <w:spacing w:val="-12"/>
                      <w:w w:val="105"/>
                      <w:sz w:val="14"/>
                    </w:rPr>
                    <w:t> </w:t>
                  </w:r>
                  <w:r>
                    <w:rPr>
                      <w:w w:val="105"/>
                      <w:sz w:val="14"/>
                    </w:rPr>
                    <w:t>the provisions of EC</w:t>
                  </w:r>
                  <w:r>
                    <w:rPr>
                      <w:spacing w:val="-2"/>
                      <w:w w:val="105"/>
                      <w:sz w:val="14"/>
                    </w:rPr>
                    <w:t> </w:t>
                  </w:r>
                  <w:r>
                    <w:rPr>
                      <w:w w:val="105"/>
                      <w:sz w:val="14"/>
                    </w:rPr>
                    <w:t>41374.</w:t>
                  </w:r>
                </w:p>
              </w:txbxContent>
            </v:textbox>
            <w10:wrap type="none"/>
          </v:shape>
        </w:pict>
      </w:r>
      <w:r>
        <w:rPr>
          <w:w w:val="105"/>
          <w:sz w:val="14"/>
        </w:rPr>
        <w:t>California Dept of Education</w:t>
      </w:r>
    </w:p>
    <w:p>
      <w:pPr>
        <w:spacing w:before="0"/>
        <w:ind w:left="219" w:right="0" w:firstLine="0"/>
        <w:jc w:val="left"/>
        <w:rPr>
          <w:sz w:val="14"/>
        </w:rPr>
      </w:pPr>
      <w:r>
        <w:rPr>
          <w:w w:val="105"/>
          <w:sz w:val="14"/>
        </w:rPr>
        <w:t>SACS Financial Reporting Software - 2021.1.0</w:t>
      </w:r>
    </w:p>
    <w:p>
      <w:pPr>
        <w:tabs>
          <w:tab w:pos="5712" w:val="left" w:leader="none"/>
          <w:tab w:pos="10112" w:val="left" w:leader="none"/>
        </w:tabs>
        <w:spacing w:before="0"/>
        <w:ind w:left="219" w:right="0" w:firstLine="0"/>
        <w:jc w:val="left"/>
        <w:rPr>
          <w:sz w:val="14"/>
        </w:rPr>
      </w:pPr>
      <w:r>
        <w:rPr>
          <w:w w:val="105"/>
          <w:sz w:val="14"/>
        </w:rPr>
        <w:t>File: cea</w:t>
      </w:r>
      <w:r>
        <w:rPr>
          <w:spacing w:val="-20"/>
          <w:w w:val="105"/>
          <w:sz w:val="14"/>
        </w:rPr>
        <w:t> </w:t>
      </w:r>
      <w:r>
        <w:rPr>
          <w:w w:val="105"/>
          <w:sz w:val="14"/>
        </w:rPr>
        <w:t>(Rev</w:t>
      </w:r>
      <w:r>
        <w:rPr>
          <w:spacing w:val="-9"/>
          <w:w w:val="105"/>
          <w:sz w:val="14"/>
        </w:rPr>
        <w:t> </w:t>
      </w:r>
      <w:r>
        <w:rPr>
          <w:w w:val="105"/>
          <w:sz w:val="14"/>
        </w:rPr>
        <w:t>03/17/2021)</w:t>
        <w:tab/>
        <w:t>Page 1</w:t>
      </w:r>
      <w:r>
        <w:rPr>
          <w:spacing w:val="-9"/>
          <w:w w:val="105"/>
          <w:sz w:val="14"/>
        </w:rPr>
        <w:t> </w:t>
      </w:r>
      <w:r>
        <w:rPr>
          <w:w w:val="105"/>
          <w:sz w:val="14"/>
        </w:rPr>
        <w:t>of</w:t>
      </w:r>
      <w:r>
        <w:rPr>
          <w:spacing w:val="-3"/>
          <w:w w:val="105"/>
          <w:sz w:val="14"/>
        </w:rPr>
        <w:t> </w:t>
      </w:r>
      <w:r>
        <w:rPr>
          <w:w w:val="105"/>
          <w:sz w:val="14"/>
        </w:rPr>
        <w:t>1</w:t>
        <w:tab/>
        <w:t>Printed: 6/4/2021 10:10</w:t>
      </w:r>
      <w:r>
        <w:rPr>
          <w:spacing w:val="-25"/>
          <w:w w:val="105"/>
          <w:sz w:val="14"/>
        </w:rPr>
        <w:t> </w:t>
      </w:r>
      <w:r>
        <w:rPr>
          <w:w w:val="105"/>
          <w:sz w:val="14"/>
        </w:rPr>
        <w:t>AM</w:t>
      </w:r>
    </w:p>
    <w:p>
      <w:pPr>
        <w:spacing w:after="0"/>
        <w:jc w:val="left"/>
        <w:rPr>
          <w:sz w:val="14"/>
        </w:rPr>
        <w:sectPr>
          <w:type w:val="continuous"/>
          <w:pgSz w:w="12240" w:h="15840"/>
          <w:pgMar w:top="1500" w:bottom="840" w:left="40" w:right="40"/>
        </w:sectPr>
      </w:pPr>
    </w:p>
    <w:p>
      <w:pPr>
        <w:spacing w:line="160" w:lineRule="exact" w:before="0"/>
        <w:ind w:left="219" w:right="0" w:firstLine="0"/>
        <w:jc w:val="left"/>
        <w:rPr>
          <w:sz w:val="14"/>
        </w:rPr>
      </w:pPr>
      <w:bookmarkStart w:name="FORM CEB" w:id="17"/>
      <w:bookmarkEnd w:id="17"/>
      <w:r>
        <w:rPr/>
      </w:r>
      <w:r>
        <w:rPr>
          <w:w w:val="105"/>
          <w:sz w:val="14"/>
        </w:rPr>
        <w:t>Sutter County</w:t>
      </w:r>
    </w:p>
    <w:p>
      <w:pPr>
        <w:spacing w:line="160" w:lineRule="exact" w:before="0"/>
        <w:ind w:left="1297" w:right="1118" w:firstLine="0"/>
        <w:jc w:val="center"/>
        <w:rPr>
          <w:sz w:val="14"/>
        </w:rPr>
      </w:pPr>
      <w:r>
        <w:rPr/>
        <w:br w:type="column"/>
      </w:r>
      <w:r>
        <w:rPr>
          <w:w w:val="105"/>
          <w:sz w:val="14"/>
        </w:rPr>
        <w:t>GENERAL FUND</w:t>
      </w:r>
    </w:p>
    <w:p>
      <w:pPr>
        <w:spacing w:before="0"/>
        <w:ind w:left="190" w:right="11" w:firstLine="0"/>
        <w:jc w:val="center"/>
        <w:rPr>
          <w:sz w:val="14"/>
        </w:rPr>
      </w:pPr>
      <w:r>
        <w:rPr/>
        <w:pict>
          <v:group style="position:absolute;margin-left:12.36pt;margin-top:16.885937pt;width:587.2pt;height:146.8pt;mso-position-horizontal-relative:page;mso-position-vertical-relative:paragraph;z-index:-314062848" coordorigin="247,338" coordsize="11744,2936">
            <v:shape style="position:absolute;left:247;top:337;width:11744;height:1167" type="#_x0000_t75" stroked="false">
              <v:imagedata r:id="rId1398" o:title=""/>
            </v:shape>
            <v:shape style="position:absolute;left:247;top:1105;width:3077;height:788" type="#_x0000_t75" stroked="false">
              <v:imagedata r:id="rId1399" o:title=""/>
            </v:shape>
            <v:shape style="position:absolute;left:247;top:1501;width:3077;height:1174" type="#_x0000_t75" stroked="false">
              <v:imagedata r:id="rId1400" o:title=""/>
            </v:shape>
            <v:shape style="position:absolute;left:247;top:1105;width:11367;height:1966" type="#_x0000_t75" stroked="false">
              <v:imagedata r:id="rId1401" o:title=""/>
            </v:shape>
            <v:shape style="position:absolute;left:10252;top:1112;width:1738;height:2160" type="#_x0000_t75" stroked="false">
              <v:imagedata r:id="rId1402" o:title=""/>
            </v:shape>
            <v:line style="position:absolute" from="5034,3062" to="5034,3256" stroked="true" strokeweight=".360008pt" strokecolor="#ffffff">
              <v:stroke dashstyle="solid"/>
            </v:line>
            <v:shape style="position:absolute;left:5395;top:3056;width:1738;height:216" type="#_x0000_t75" stroked="false">
              <v:imagedata r:id="rId1403" o:title=""/>
            </v:shape>
            <v:shape style="position:absolute;left:288;top:567;width:1462;height:329" type="#_x0000_t202" filled="false" stroked="false">
              <v:textbox inset="0,0,0,0">
                <w:txbxContent>
                  <w:p>
                    <w:pPr>
                      <w:spacing w:line="249" w:lineRule="auto" w:before="0"/>
                      <w:ind w:left="0" w:right="-8" w:firstLine="0"/>
                      <w:jc w:val="left"/>
                      <w:rPr>
                        <w:b/>
                        <w:sz w:val="14"/>
                      </w:rPr>
                    </w:pPr>
                    <w:r>
                      <w:rPr>
                        <w:b/>
                        <w:w w:val="105"/>
                        <w:sz w:val="14"/>
                      </w:rPr>
                      <w:t>PART I - CURRENT EXPENSE </w:t>
                    </w:r>
                    <w:r>
                      <w:rPr>
                        <w:b/>
                        <w:spacing w:val="-3"/>
                        <w:w w:val="105"/>
                        <w:sz w:val="14"/>
                      </w:rPr>
                      <w:t>FORMULA</w:t>
                    </w:r>
                  </w:p>
                </w:txbxContent>
              </v:textbox>
              <w10:wrap type="none"/>
            </v:shape>
            <v:shape style="position:absolute;left:2164;top:447;width:6072;height:665" type="#_x0000_t202" filled="false" stroked="false">
              <v:textbox inset="0,0,0,0">
                <w:txbxContent>
                  <w:p>
                    <w:pPr>
                      <w:tabs>
                        <w:tab w:pos="981" w:val="left" w:leader="none"/>
                        <w:tab w:pos="1571" w:val="left" w:leader="none"/>
                        <w:tab w:pos="1811" w:val="left" w:leader="none"/>
                        <w:tab w:pos="2697" w:val="left" w:leader="none"/>
                        <w:tab w:pos="3237" w:val="left" w:leader="none"/>
                        <w:tab w:pos="3482" w:val="left" w:leader="none"/>
                        <w:tab w:pos="4413" w:val="left" w:leader="none"/>
                        <w:tab w:pos="5003" w:val="left" w:leader="none"/>
                        <w:tab w:pos="5243" w:val="left" w:leader="none"/>
                      </w:tabs>
                      <w:spacing w:line="249" w:lineRule="auto" w:before="0"/>
                      <w:ind w:left="0" w:right="18" w:firstLine="3345"/>
                      <w:jc w:val="right"/>
                      <w:rPr>
                        <w:b/>
                        <w:sz w:val="14"/>
                      </w:rPr>
                    </w:pPr>
                    <w:r>
                      <w:rPr>
                        <w:b/>
                        <w:w w:val="105"/>
                        <w:sz w:val="14"/>
                      </w:rPr>
                      <w:t>Current</w:t>
                    </w:r>
                    <w:r>
                      <w:rPr>
                        <w:b/>
                        <w:spacing w:val="-11"/>
                        <w:w w:val="105"/>
                        <w:sz w:val="14"/>
                      </w:rPr>
                      <w:t> </w:t>
                    </w:r>
                    <w:r>
                      <w:rPr>
                        <w:b/>
                        <w:w w:val="105"/>
                        <w:sz w:val="14"/>
                      </w:rPr>
                      <w:t>Expense</w:t>
                      <w:tab/>
                      <w:tab/>
                    </w:r>
                    <w:r>
                      <w:rPr>
                        <w:b/>
                        <w:sz w:val="14"/>
                      </w:rPr>
                      <w:t>Reductions </w:t>
                    </w:r>
                    <w:r>
                      <w:rPr>
                        <w:b/>
                        <w:w w:val="105"/>
                        <w:sz w:val="14"/>
                      </w:rPr>
                      <w:t>Total</w:t>
                    </w:r>
                    <w:r>
                      <w:rPr>
                        <w:b/>
                        <w:spacing w:val="-20"/>
                        <w:w w:val="105"/>
                        <w:sz w:val="14"/>
                      </w:rPr>
                      <w:t> </w:t>
                    </w:r>
                    <w:r>
                      <w:rPr>
                        <w:b/>
                        <w:w w:val="105"/>
                        <w:sz w:val="14"/>
                      </w:rPr>
                      <w:t>Expense</w:t>
                      <w:tab/>
                      <w:tab/>
                      <w:tab/>
                      <w:t>Reductions</w:t>
                      <w:tab/>
                      <w:tab/>
                      <w:tab/>
                      <w:t>of</w:t>
                    </w:r>
                    <w:r>
                      <w:rPr>
                        <w:b/>
                        <w:spacing w:val="-8"/>
                        <w:w w:val="105"/>
                        <w:sz w:val="14"/>
                      </w:rPr>
                      <w:t> </w:t>
                    </w:r>
                    <w:r>
                      <w:rPr>
                        <w:b/>
                        <w:w w:val="105"/>
                        <w:sz w:val="14"/>
                      </w:rPr>
                      <w:t>Education</w:t>
                      <w:tab/>
                      <w:tab/>
                      <w:tab/>
                    </w:r>
                    <w:r>
                      <w:rPr>
                        <w:b/>
                        <w:spacing w:val="-1"/>
                        <w:sz w:val="14"/>
                      </w:rPr>
                      <w:t>(Extracted) </w:t>
                    </w:r>
                    <w:r>
                      <w:rPr>
                        <w:b/>
                        <w:w w:val="105"/>
                        <w:sz w:val="14"/>
                      </w:rPr>
                      <w:t>for</w:t>
                    </w:r>
                    <w:r>
                      <w:rPr>
                        <w:b/>
                        <w:spacing w:val="-6"/>
                        <w:w w:val="105"/>
                        <w:sz w:val="14"/>
                      </w:rPr>
                      <w:t> </w:t>
                    </w:r>
                    <w:r>
                      <w:rPr>
                        <w:b/>
                        <w:w w:val="105"/>
                        <w:sz w:val="14"/>
                      </w:rPr>
                      <w:t>Year</w:t>
                      <w:tab/>
                      <w:t>EDP</w:t>
                      <w:tab/>
                      <w:t>(See</w:t>
                    </w:r>
                    <w:r>
                      <w:rPr>
                        <w:b/>
                        <w:spacing w:val="-5"/>
                        <w:w w:val="105"/>
                        <w:sz w:val="14"/>
                      </w:rPr>
                      <w:t> </w:t>
                    </w:r>
                    <w:r>
                      <w:rPr>
                        <w:b/>
                        <w:w w:val="105"/>
                        <w:sz w:val="14"/>
                      </w:rPr>
                      <w:t>Note</w:t>
                    </w:r>
                    <w:r>
                      <w:rPr>
                        <w:b/>
                        <w:spacing w:val="-7"/>
                        <w:w w:val="105"/>
                        <w:sz w:val="14"/>
                      </w:rPr>
                      <w:t> </w:t>
                    </w:r>
                    <w:r>
                      <w:rPr>
                        <w:b/>
                        <w:w w:val="105"/>
                        <w:sz w:val="14"/>
                      </w:rPr>
                      <w:t>1)</w:t>
                      <w:tab/>
                      <w:t>EDP</w:t>
                      <w:tab/>
                      <w:t>(Col 1 -</w:t>
                    </w:r>
                    <w:r>
                      <w:rPr>
                        <w:b/>
                        <w:spacing w:val="-10"/>
                        <w:w w:val="105"/>
                        <w:sz w:val="14"/>
                      </w:rPr>
                      <w:t> </w:t>
                    </w:r>
                    <w:r>
                      <w:rPr>
                        <w:b/>
                        <w:w w:val="105"/>
                        <w:sz w:val="14"/>
                      </w:rPr>
                      <w:t>Col</w:t>
                    </w:r>
                    <w:r>
                      <w:rPr>
                        <w:b/>
                        <w:spacing w:val="-3"/>
                        <w:w w:val="105"/>
                        <w:sz w:val="14"/>
                      </w:rPr>
                      <w:t> </w:t>
                    </w:r>
                    <w:r>
                      <w:rPr>
                        <w:b/>
                        <w:w w:val="105"/>
                        <w:sz w:val="14"/>
                      </w:rPr>
                      <w:t>2)</w:t>
                      <w:tab/>
                      <w:t>EDP</w:t>
                      <w:tab/>
                      <w:t>(See Note</w:t>
                    </w:r>
                    <w:r>
                      <w:rPr>
                        <w:b/>
                        <w:spacing w:val="-22"/>
                        <w:w w:val="105"/>
                        <w:sz w:val="14"/>
                      </w:rPr>
                      <w:t> </w:t>
                    </w:r>
                    <w:r>
                      <w:rPr>
                        <w:b/>
                        <w:w w:val="105"/>
                        <w:sz w:val="14"/>
                      </w:rPr>
                      <w:t>2)</w:t>
                    </w:r>
                  </w:p>
                  <w:p>
                    <w:pPr>
                      <w:tabs>
                        <w:tab w:pos="1231" w:val="left" w:leader="none"/>
                        <w:tab w:pos="2116" w:val="left" w:leader="none"/>
                        <w:tab w:pos="2947" w:val="left" w:leader="none"/>
                        <w:tab w:pos="3832" w:val="left" w:leader="none"/>
                        <w:tab w:pos="4663" w:val="left" w:leader="none"/>
                        <w:tab w:pos="5510" w:val="left" w:leader="none"/>
                      </w:tabs>
                      <w:spacing w:before="0"/>
                      <w:ind w:left="400" w:right="0" w:firstLine="0"/>
                      <w:jc w:val="left"/>
                      <w:rPr>
                        <w:b/>
                        <w:sz w:val="14"/>
                      </w:rPr>
                    </w:pPr>
                    <w:r>
                      <w:rPr>
                        <w:b/>
                        <w:w w:val="105"/>
                        <w:sz w:val="14"/>
                      </w:rPr>
                      <w:t>(1)</w:t>
                      <w:tab/>
                      <w:t>No.</w:t>
                      <w:tab/>
                      <w:t>(2)</w:t>
                      <w:tab/>
                      <w:t>No.</w:t>
                      <w:tab/>
                      <w:t>(3)</w:t>
                      <w:tab/>
                      <w:t>No.</w:t>
                      <w:tab/>
                      <w:t>(4a)</w:t>
                    </w:r>
                  </w:p>
                </w:txbxContent>
              </v:textbox>
              <w10:wrap type="none"/>
            </v:shape>
            <v:shape style="position:absolute;left:8772;top:447;width:3198;height:665" type="#_x0000_t202" filled="false" stroked="false">
              <v:textbox inset="0,0,0,0">
                <w:txbxContent>
                  <w:p>
                    <w:pPr>
                      <w:tabs>
                        <w:tab w:pos="1571" w:val="left" w:leader="none"/>
                        <w:tab w:pos="1970" w:val="left" w:leader="none"/>
                      </w:tabs>
                      <w:spacing w:line="249" w:lineRule="auto" w:before="0"/>
                      <w:ind w:left="4" w:right="427" w:firstLine="19"/>
                      <w:jc w:val="left"/>
                      <w:rPr>
                        <w:b/>
                        <w:sz w:val="14"/>
                      </w:rPr>
                    </w:pPr>
                    <w:r>
                      <w:rPr>
                        <w:b/>
                        <w:w w:val="105"/>
                        <w:sz w:val="14"/>
                      </w:rPr>
                      <w:t>Reductions</w:t>
                      <w:tab/>
                      <w:t>Current</w:t>
                    </w:r>
                    <w:r>
                      <w:rPr>
                        <w:b/>
                        <w:spacing w:val="-15"/>
                        <w:w w:val="105"/>
                        <w:sz w:val="14"/>
                      </w:rPr>
                      <w:t> </w:t>
                    </w:r>
                    <w:r>
                      <w:rPr>
                        <w:b/>
                        <w:spacing w:val="-3"/>
                        <w:w w:val="105"/>
                        <w:sz w:val="14"/>
                      </w:rPr>
                      <w:t>Expense- </w:t>
                    </w:r>
                    <w:r>
                      <w:rPr>
                        <w:b/>
                        <w:w w:val="105"/>
                        <w:sz w:val="14"/>
                      </w:rPr>
                      <w:t>(Overrides)*</w:t>
                      <w:tab/>
                      <w:tab/>
                      <w:t>Part</w:t>
                    </w:r>
                    <w:r>
                      <w:rPr>
                        <w:b/>
                        <w:spacing w:val="-1"/>
                        <w:w w:val="105"/>
                        <w:sz w:val="14"/>
                      </w:rPr>
                      <w:t> </w:t>
                    </w:r>
                    <w:r>
                      <w:rPr>
                        <w:b/>
                        <w:w w:val="105"/>
                        <w:sz w:val="14"/>
                      </w:rPr>
                      <w:t>II</w:t>
                    </w:r>
                  </w:p>
                  <w:p>
                    <w:pPr>
                      <w:tabs>
                        <w:tab w:pos="1166" w:val="left" w:leader="none"/>
                        <w:tab w:pos="1197" w:val="left" w:leader="none"/>
                        <w:tab w:pos="1706" w:val="left" w:leader="none"/>
                        <w:tab w:pos="2083" w:val="left" w:leader="none"/>
                        <w:tab w:pos="2882" w:val="left" w:leader="none"/>
                        <w:tab w:pos="2913" w:val="left" w:leader="none"/>
                      </w:tabs>
                      <w:spacing w:line="249" w:lineRule="auto" w:before="0"/>
                      <w:ind w:left="283" w:right="18" w:hanging="284"/>
                      <w:jc w:val="left"/>
                      <w:rPr>
                        <w:b/>
                        <w:sz w:val="14"/>
                      </w:rPr>
                    </w:pPr>
                    <w:r>
                      <w:rPr>
                        <w:b/>
                        <w:w w:val="105"/>
                        <w:sz w:val="14"/>
                      </w:rPr>
                      <w:t>(See</w:t>
                    </w:r>
                    <w:r>
                      <w:rPr>
                        <w:b/>
                        <w:spacing w:val="-6"/>
                        <w:w w:val="105"/>
                        <w:sz w:val="14"/>
                      </w:rPr>
                      <w:t> </w:t>
                    </w:r>
                    <w:r>
                      <w:rPr>
                        <w:b/>
                        <w:w w:val="105"/>
                        <w:sz w:val="14"/>
                      </w:rPr>
                      <w:t>Note</w:t>
                    </w:r>
                    <w:r>
                      <w:rPr>
                        <w:b/>
                        <w:spacing w:val="-7"/>
                        <w:w w:val="105"/>
                        <w:sz w:val="14"/>
                      </w:rPr>
                      <w:t> </w:t>
                    </w:r>
                    <w:r>
                      <w:rPr>
                        <w:b/>
                        <w:w w:val="105"/>
                        <w:sz w:val="14"/>
                      </w:rPr>
                      <w:t>2)</w:t>
                      <w:tab/>
                      <w:t>EDP</w:t>
                      <w:tab/>
                      <w:t>(Col 3 -</w:t>
                    </w:r>
                    <w:r>
                      <w:rPr>
                        <w:b/>
                        <w:spacing w:val="-10"/>
                        <w:w w:val="105"/>
                        <w:sz w:val="14"/>
                      </w:rPr>
                      <w:t> </w:t>
                    </w:r>
                    <w:r>
                      <w:rPr>
                        <w:b/>
                        <w:w w:val="105"/>
                        <w:sz w:val="14"/>
                      </w:rPr>
                      <w:t>Col</w:t>
                    </w:r>
                    <w:r>
                      <w:rPr>
                        <w:b/>
                        <w:spacing w:val="-3"/>
                        <w:w w:val="105"/>
                        <w:sz w:val="14"/>
                      </w:rPr>
                      <w:t> </w:t>
                    </w:r>
                    <w:r>
                      <w:rPr>
                        <w:b/>
                        <w:w w:val="105"/>
                        <w:sz w:val="14"/>
                      </w:rPr>
                      <w:t>4)</w:t>
                      <w:tab/>
                    </w:r>
                    <w:r>
                      <w:rPr>
                        <w:b/>
                        <w:spacing w:val="-6"/>
                        <w:w w:val="105"/>
                        <w:sz w:val="14"/>
                      </w:rPr>
                      <w:t>EDP </w:t>
                    </w:r>
                    <w:r>
                      <w:rPr>
                        <w:b/>
                        <w:w w:val="105"/>
                        <w:sz w:val="14"/>
                      </w:rPr>
                      <w:t>(4b)</w:t>
                      <w:tab/>
                      <w:tab/>
                      <w:t>No.</w:t>
                      <w:tab/>
                      <w:tab/>
                      <w:t>(5)</w:t>
                      <w:tab/>
                      <w:tab/>
                      <w:t>No.</w:t>
                    </w:r>
                  </w:p>
                </w:txbxContent>
              </v:textbox>
              <w10:wrap type="none"/>
            </v:shape>
            <v:shape style="position:absolute;left:288;top:1182;width:1191;height:161" type="#_x0000_t202" filled="false" stroked="false">
              <v:textbox inset="0,0,0,0">
                <w:txbxContent>
                  <w:p>
                    <w:pPr>
                      <w:spacing w:line="160" w:lineRule="exact" w:before="0"/>
                      <w:ind w:left="0" w:right="0" w:firstLine="0"/>
                      <w:jc w:val="left"/>
                      <w:rPr>
                        <w:sz w:val="14"/>
                      </w:rPr>
                    </w:pPr>
                    <w:r>
                      <w:rPr>
                        <w:w w:val="105"/>
                        <w:sz w:val="14"/>
                      </w:rPr>
                      <w:t>1000 -</w:t>
                    </w:r>
                    <w:r>
                      <w:rPr>
                        <w:spacing w:val="-26"/>
                        <w:w w:val="105"/>
                        <w:sz w:val="14"/>
                      </w:rPr>
                      <w:t> </w:t>
                    </w:r>
                    <w:r>
                      <w:rPr>
                        <w:w w:val="105"/>
                        <w:sz w:val="14"/>
                      </w:rPr>
                      <w:t>Certificated</w:t>
                    </w:r>
                  </w:p>
                </w:txbxContent>
              </v:textbox>
              <w10:wrap type="none"/>
            </v:shape>
            <v:shape style="position:absolute;left:4322;top:1342;width:1074;height:1918" type="#_x0000_t202" filled="false" stroked="false">
              <v:textbox inset="0,0,0,0">
                <w:txbxContent>
                  <w:p>
                    <w:pPr>
                      <w:spacing w:line="160" w:lineRule="exact" w:before="0"/>
                      <w:ind w:left="357" w:right="0" w:firstLine="0"/>
                      <w:jc w:val="left"/>
                      <w:rPr>
                        <w:sz w:val="14"/>
                      </w:rPr>
                    </w:pPr>
                    <w:r>
                      <w:rPr>
                        <w:w w:val="105"/>
                        <w:sz w:val="14"/>
                      </w:rPr>
                      <w:t>0.00  </w:t>
                    </w:r>
                    <w:r>
                      <w:rPr>
                        <w:spacing w:val="8"/>
                        <w:w w:val="105"/>
                        <w:sz w:val="14"/>
                      </w:rPr>
                      <w:t> </w:t>
                    </w:r>
                    <w:r>
                      <w:rPr>
                        <w:w w:val="105"/>
                        <w:sz w:val="14"/>
                      </w:rPr>
                      <w:t>303</w:t>
                    </w:r>
                  </w:p>
                  <w:p>
                    <w:pPr>
                      <w:spacing w:line="240" w:lineRule="auto" w:before="9"/>
                      <w:rPr>
                        <w:sz w:val="19"/>
                      </w:rPr>
                    </w:pPr>
                  </w:p>
                  <w:p>
                    <w:pPr>
                      <w:spacing w:before="0"/>
                      <w:ind w:left="0" w:right="0" w:firstLine="0"/>
                      <w:jc w:val="left"/>
                      <w:rPr>
                        <w:sz w:val="14"/>
                      </w:rPr>
                    </w:pPr>
                    <w:r>
                      <w:rPr>
                        <w:w w:val="105"/>
                        <w:sz w:val="14"/>
                      </w:rPr>
                      <w:t>19,044.00 </w:t>
                    </w:r>
                    <w:r>
                      <w:rPr>
                        <w:spacing w:val="37"/>
                        <w:w w:val="105"/>
                        <w:sz w:val="14"/>
                      </w:rPr>
                      <w:t> </w:t>
                    </w:r>
                    <w:r>
                      <w:rPr>
                        <w:w w:val="105"/>
                        <w:sz w:val="14"/>
                      </w:rPr>
                      <w:t>313</w:t>
                    </w:r>
                  </w:p>
                  <w:p>
                    <w:pPr>
                      <w:spacing w:line="240" w:lineRule="auto" w:before="9"/>
                      <w:rPr>
                        <w:sz w:val="19"/>
                      </w:rPr>
                    </w:pPr>
                  </w:p>
                  <w:p>
                    <w:pPr>
                      <w:spacing w:before="0"/>
                      <w:ind w:left="79" w:right="0" w:firstLine="0"/>
                      <w:jc w:val="left"/>
                      <w:rPr>
                        <w:sz w:val="14"/>
                      </w:rPr>
                    </w:pPr>
                    <w:r>
                      <w:rPr>
                        <w:w w:val="105"/>
                        <w:sz w:val="14"/>
                      </w:rPr>
                      <w:t>6,357.00 </w:t>
                    </w:r>
                    <w:r>
                      <w:rPr>
                        <w:spacing w:val="39"/>
                        <w:w w:val="105"/>
                        <w:sz w:val="14"/>
                      </w:rPr>
                      <w:t> </w:t>
                    </w:r>
                    <w:r>
                      <w:rPr>
                        <w:w w:val="105"/>
                        <w:sz w:val="14"/>
                      </w:rPr>
                      <w:t>323</w:t>
                    </w:r>
                  </w:p>
                  <w:p>
                    <w:pPr>
                      <w:spacing w:line="240" w:lineRule="auto" w:before="10"/>
                      <w:rPr>
                        <w:sz w:val="19"/>
                      </w:rPr>
                    </w:pPr>
                  </w:p>
                  <w:p>
                    <w:pPr>
                      <w:spacing w:before="0"/>
                      <w:ind w:left="0" w:right="0" w:firstLine="0"/>
                      <w:jc w:val="left"/>
                      <w:rPr>
                        <w:sz w:val="14"/>
                      </w:rPr>
                    </w:pPr>
                    <w:r>
                      <w:rPr>
                        <w:w w:val="105"/>
                        <w:sz w:val="14"/>
                      </w:rPr>
                      <w:t>40,500.00 </w:t>
                    </w:r>
                    <w:r>
                      <w:rPr>
                        <w:spacing w:val="37"/>
                        <w:w w:val="105"/>
                        <w:sz w:val="14"/>
                      </w:rPr>
                      <w:t> </w:t>
                    </w:r>
                    <w:r>
                      <w:rPr>
                        <w:w w:val="105"/>
                        <w:sz w:val="14"/>
                      </w:rPr>
                      <w:t>333</w:t>
                    </w:r>
                  </w:p>
                  <w:p>
                    <w:pPr>
                      <w:spacing w:line="240" w:lineRule="auto" w:before="9"/>
                      <w:rPr>
                        <w:sz w:val="19"/>
                      </w:rPr>
                    </w:pPr>
                  </w:p>
                  <w:p>
                    <w:pPr>
                      <w:spacing w:before="0"/>
                      <w:ind w:left="79" w:right="0" w:firstLine="0"/>
                      <w:jc w:val="left"/>
                      <w:rPr>
                        <w:sz w:val="14"/>
                      </w:rPr>
                    </w:pPr>
                    <w:r>
                      <w:rPr>
                        <w:w w:val="105"/>
                        <w:sz w:val="14"/>
                      </w:rPr>
                      <w:t>3,040.00 </w:t>
                    </w:r>
                    <w:r>
                      <w:rPr>
                        <w:spacing w:val="39"/>
                        <w:w w:val="105"/>
                        <w:sz w:val="14"/>
                      </w:rPr>
                      <w:t> </w:t>
                    </w:r>
                    <w:r>
                      <w:rPr>
                        <w:w w:val="105"/>
                        <w:sz w:val="14"/>
                      </w:rPr>
                      <w:t>343</w:t>
                    </w:r>
                  </w:p>
                  <w:p>
                    <w:pPr>
                      <w:spacing w:before="41"/>
                      <w:ind w:left="583" w:right="0" w:firstLine="0"/>
                      <w:jc w:val="left"/>
                      <w:rPr>
                        <w:sz w:val="14"/>
                      </w:rPr>
                    </w:pPr>
                    <w:r>
                      <w:rPr>
                        <w:w w:val="105"/>
                        <w:sz w:val="14"/>
                      </w:rPr>
                      <w:t>TOTAL</w:t>
                    </w:r>
                  </w:p>
                </w:txbxContent>
              </v:textbox>
              <w10:wrap type="none"/>
            </v:shape>
            <w10:wrap type="none"/>
          </v:group>
        </w:pict>
      </w:r>
      <w:r>
        <w:rPr>
          <w:w w:val="105"/>
          <w:sz w:val="14"/>
        </w:rPr>
        <w:t>Current</w:t>
      </w:r>
      <w:r>
        <w:rPr>
          <w:spacing w:val="-25"/>
          <w:w w:val="105"/>
          <w:sz w:val="14"/>
        </w:rPr>
        <w:t> </w:t>
      </w:r>
      <w:r>
        <w:rPr>
          <w:w w:val="105"/>
          <w:sz w:val="14"/>
        </w:rPr>
        <w:t>Expense</w:t>
      </w:r>
      <w:r>
        <w:rPr>
          <w:spacing w:val="-25"/>
          <w:w w:val="105"/>
          <w:sz w:val="14"/>
        </w:rPr>
        <w:t> </w:t>
      </w:r>
      <w:r>
        <w:rPr>
          <w:w w:val="105"/>
          <w:sz w:val="14"/>
        </w:rPr>
        <w:t>Formula/Minimum</w:t>
      </w:r>
      <w:r>
        <w:rPr>
          <w:spacing w:val="-25"/>
          <w:w w:val="105"/>
          <w:sz w:val="14"/>
        </w:rPr>
        <w:t> </w:t>
      </w:r>
      <w:r>
        <w:rPr>
          <w:w w:val="105"/>
          <w:sz w:val="14"/>
        </w:rPr>
        <w:t>Classroom</w:t>
      </w:r>
      <w:r>
        <w:rPr>
          <w:spacing w:val="-26"/>
          <w:w w:val="105"/>
          <w:sz w:val="14"/>
        </w:rPr>
        <w:t> </w:t>
      </w:r>
      <w:r>
        <w:rPr>
          <w:w w:val="105"/>
          <w:sz w:val="14"/>
        </w:rPr>
        <w:t>Compensation</w:t>
      </w:r>
    </w:p>
    <w:p>
      <w:pPr>
        <w:spacing w:line="160" w:lineRule="exact" w:before="0"/>
        <w:ind w:left="219" w:right="0" w:firstLine="0"/>
        <w:jc w:val="left"/>
        <w:rPr>
          <w:sz w:val="14"/>
        </w:rPr>
      </w:pPr>
      <w:r>
        <w:rPr/>
        <w:br w:type="column"/>
      </w:r>
      <w:r>
        <w:rPr>
          <w:w w:val="105"/>
          <w:sz w:val="14"/>
        </w:rPr>
        <w:t>Form CEB</w:t>
      </w:r>
    </w:p>
    <w:p>
      <w:pPr>
        <w:spacing w:after="0" w:line="160" w:lineRule="exact"/>
        <w:jc w:val="left"/>
        <w:rPr>
          <w:sz w:val="14"/>
        </w:rPr>
        <w:sectPr>
          <w:headerReference w:type="default" r:id="rId1419"/>
          <w:footerReference w:type="default" r:id="rId1420"/>
          <w:pgSz w:w="12240" w:h="15840"/>
          <w:pgMar w:header="206" w:footer="542" w:top="520" w:bottom="740" w:left="40" w:right="40"/>
          <w:cols w:num="3" w:equalWidth="0">
            <w:col w:w="1137" w:space="2756"/>
            <w:col w:w="4193" w:space="2966"/>
            <w:col w:w="1108"/>
          </w:cols>
        </w:sectPr>
      </w:pPr>
    </w:p>
    <w:p>
      <w:pPr>
        <w:pStyle w:val="BodyText"/>
        <w:rPr>
          <w:sz w:val="20"/>
        </w:rPr>
      </w:pPr>
      <w:r>
        <w:rPr/>
        <w:pict>
          <v:shape style="position:absolute;margin-left:14.400001pt;margin-top:610.534363pt;width:547.9pt;height:16.1pt;mso-position-horizontal-relative:page;mso-position-vertical-relative:page;z-index:-314068992" type="#_x0000_t202" filled="false" stroked="false">
            <v:textbox inset="0,0,0,0">
              <w:txbxContent>
                <w:p>
                  <w:pPr>
                    <w:spacing w:before="0"/>
                    <w:ind w:left="0" w:right="-5" w:firstLine="0"/>
                    <w:jc w:val="left"/>
                    <w:rPr>
                      <w:sz w:val="14"/>
                    </w:rPr>
                  </w:pPr>
                  <w:r>
                    <w:rPr>
                      <w:w w:val="105"/>
                      <w:sz w:val="14"/>
                    </w:rPr>
                    <w:t>A</w:t>
                  </w:r>
                  <w:r>
                    <w:rPr>
                      <w:spacing w:val="-13"/>
                      <w:w w:val="105"/>
                      <w:sz w:val="14"/>
                    </w:rPr>
                    <w:t> </w:t>
                  </w:r>
                  <w:r>
                    <w:rPr>
                      <w:w w:val="105"/>
                      <w:sz w:val="14"/>
                    </w:rPr>
                    <w:t>deficiency</w:t>
                  </w:r>
                  <w:r>
                    <w:rPr>
                      <w:spacing w:val="-15"/>
                      <w:w w:val="105"/>
                      <w:sz w:val="14"/>
                    </w:rPr>
                    <w:t> </w:t>
                  </w:r>
                  <w:r>
                    <w:rPr>
                      <w:w w:val="105"/>
                      <w:sz w:val="14"/>
                    </w:rPr>
                    <w:t>amount</w:t>
                  </w:r>
                  <w:r>
                    <w:rPr>
                      <w:spacing w:val="-12"/>
                      <w:w w:val="105"/>
                      <w:sz w:val="14"/>
                    </w:rPr>
                    <w:t> </w:t>
                  </w:r>
                  <w:r>
                    <w:rPr>
                      <w:w w:val="105"/>
                      <w:sz w:val="14"/>
                    </w:rPr>
                    <w:t>(Line</w:t>
                  </w:r>
                  <w:r>
                    <w:rPr>
                      <w:spacing w:val="-14"/>
                      <w:w w:val="105"/>
                      <w:sz w:val="14"/>
                    </w:rPr>
                    <w:t> </w:t>
                  </w:r>
                  <w:r>
                    <w:rPr>
                      <w:w w:val="105"/>
                      <w:sz w:val="14"/>
                    </w:rPr>
                    <w:t>5)</w:t>
                  </w:r>
                  <w:r>
                    <w:rPr>
                      <w:spacing w:val="-12"/>
                      <w:w w:val="105"/>
                      <w:sz w:val="14"/>
                    </w:rPr>
                    <w:t> </w:t>
                  </w:r>
                  <w:r>
                    <w:rPr>
                      <w:w w:val="105"/>
                      <w:sz w:val="14"/>
                    </w:rPr>
                    <w:t>is</w:t>
                  </w:r>
                  <w:r>
                    <w:rPr>
                      <w:spacing w:val="-13"/>
                      <w:w w:val="105"/>
                      <w:sz w:val="14"/>
                    </w:rPr>
                    <w:t> </w:t>
                  </w:r>
                  <w:r>
                    <w:rPr>
                      <w:w w:val="105"/>
                      <w:sz w:val="14"/>
                    </w:rPr>
                    <w:t>only</w:t>
                  </w:r>
                  <w:r>
                    <w:rPr>
                      <w:spacing w:val="-15"/>
                      <w:w w:val="105"/>
                      <w:sz w:val="14"/>
                    </w:rPr>
                    <w:t> </w:t>
                  </w:r>
                  <w:r>
                    <w:rPr>
                      <w:w w:val="105"/>
                      <w:sz w:val="14"/>
                    </w:rPr>
                    <w:t>applicable</w:t>
                  </w:r>
                  <w:r>
                    <w:rPr>
                      <w:spacing w:val="-14"/>
                      <w:w w:val="105"/>
                      <w:sz w:val="14"/>
                    </w:rPr>
                    <w:t> </w:t>
                  </w:r>
                  <w:r>
                    <w:rPr>
                      <w:w w:val="105"/>
                      <w:sz w:val="14"/>
                    </w:rPr>
                    <w:t>to</w:t>
                  </w:r>
                  <w:r>
                    <w:rPr>
                      <w:spacing w:val="-13"/>
                      <w:w w:val="105"/>
                      <w:sz w:val="14"/>
                    </w:rPr>
                    <w:t> </w:t>
                  </w:r>
                  <w:r>
                    <w:rPr>
                      <w:w w:val="105"/>
                      <w:sz w:val="14"/>
                    </w:rPr>
                    <w:t>districts</w:t>
                  </w:r>
                  <w:r>
                    <w:rPr>
                      <w:spacing w:val="-12"/>
                      <w:w w:val="105"/>
                      <w:sz w:val="14"/>
                    </w:rPr>
                    <w:t> </w:t>
                  </w:r>
                  <w:r>
                    <w:rPr>
                      <w:w w:val="105"/>
                      <w:sz w:val="14"/>
                    </w:rPr>
                    <w:t>not</w:t>
                  </w:r>
                  <w:r>
                    <w:rPr>
                      <w:spacing w:val="-12"/>
                      <w:w w:val="105"/>
                      <w:sz w:val="14"/>
                    </w:rPr>
                    <w:t> </w:t>
                  </w:r>
                  <w:r>
                    <w:rPr>
                      <w:w w:val="105"/>
                      <w:sz w:val="14"/>
                    </w:rPr>
                    <w:t>meeting</w:t>
                  </w:r>
                  <w:r>
                    <w:rPr>
                      <w:spacing w:val="-13"/>
                      <w:w w:val="105"/>
                      <w:sz w:val="14"/>
                    </w:rPr>
                    <w:t> </w:t>
                  </w:r>
                  <w:r>
                    <w:rPr>
                      <w:w w:val="105"/>
                      <w:sz w:val="14"/>
                    </w:rPr>
                    <w:t>the</w:t>
                  </w:r>
                  <w:r>
                    <w:rPr>
                      <w:spacing w:val="-13"/>
                      <w:w w:val="105"/>
                      <w:sz w:val="14"/>
                    </w:rPr>
                    <w:t> </w:t>
                  </w:r>
                  <w:r>
                    <w:rPr>
                      <w:w w:val="105"/>
                      <w:sz w:val="14"/>
                    </w:rPr>
                    <w:t>minimum</w:t>
                  </w:r>
                  <w:r>
                    <w:rPr>
                      <w:spacing w:val="-14"/>
                      <w:w w:val="105"/>
                      <w:sz w:val="14"/>
                    </w:rPr>
                    <w:t> </w:t>
                  </w:r>
                  <w:r>
                    <w:rPr>
                      <w:w w:val="105"/>
                      <w:sz w:val="14"/>
                    </w:rPr>
                    <w:t>classroom</w:t>
                  </w:r>
                  <w:r>
                    <w:rPr>
                      <w:spacing w:val="-14"/>
                      <w:w w:val="105"/>
                      <w:sz w:val="14"/>
                    </w:rPr>
                    <w:t> </w:t>
                  </w:r>
                  <w:r>
                    <w:rPr>
                      <w:w w:val="105"/>
                      <w:sz w:val="14"/>
                    </w:rPr>
                    <w:t>compensation</w:t>
                  </w:r>
                  <w:r>
                    <w:rPr>
                      <w:spacing w:val="-13"/>
                      <w:w w:val="105"/>
                      <w:sz w:val="14"/>
                    </w:rPr>
                    <w:t> </w:t>
                  </w:r>
                  <w:r>
                    <w:rPr>
                      <w:w w:val="105"/>
                      <w:sz w:val="14"/>
                    </w:rPr>
                    <w:t>percentage</w:t>
                  </w:r>
                  <w:r>
                    <w:rPr>
                      <w:spacing w:val="-13"/>
                      <w:w w:val="105"/>
                      <w:sz w:val="14"/>
                    </w:rPr>
                    <w:t> </w:t>
                  </w:r>
                  <w:r>
                    <w:rPr>
                      <w:w w:val="105"/>
                      <w:sz w:val="14"/>
                    </w:rPr>
                    <w:t>required</w:t>
                  </w:r>
                  <w:r>
                    <w:rPr>
                      <w:spacing w:val="-14"/>
                      <w:w w:val="105"/>
                      <w:sz w:val="14"/>
                    </w:rPr>
                    <w:t> </w:t>
                  </w:r>
                  <w:r>
                    <w:rPr>
                      <w:w w:val="105"/>
                      <w:sz w:val="14"/>
                    </w:rPr>
                    <w:t>under</w:t>
                  </w:r>
                  <w:r>
                    <w:rPr>
                      <w:spacing w:val="-12"/>
                      <w:w w:val="105"/>
                      <w:sz w:val="14"/>
                    </w:rPr>
                    <w:t> </w:t>
                  </w:r>
                  <w:r>
                    <w:rPr>
                      <w:w w:val="105"/>
                      <w:sz w:val="14"/>
                    </w:rPr>
                    <w:t>EC</w:t>
                  </w:r>
                  <w:r>
                    <w:rPr>
                      <w:spacing w:val="-12"/>
                      <w:w w:val="105"/>
                      <w:sz w:val="14"/>
                    </w:rPr>
                    <w:t> </w:t>
                  </w:r>
                  <w:r>
                    <w:rPr>
                      <w:w w:val="105"/>
                      <w:sz w:val="14"/>
                    </w:rPr>
                    <w:t>41372</w:t>
                  </w:r>
                  <w:r>
                    <w:rPr>
                      <w:spacing w:val="-14"/>
                      <w:w w:val="105"/>
                      <w:sz w:val="14"/>
                    </w:rPr>
                    <w:t> </w:t>
                  </w:r>
                  <w:r>
                    <w:rPr>
                      <w:w w:val="105"/>
                      <w:sz w:val="14"/>
                    </w:rPr>
                    <w:t>and</w:t>
                  </w:r>
                  <w:r>
                    <w:rPr>
                      <w:spacing w:val="-13"/>
                      <w:w w:val="105"/>
                      <w:sz w:val="14"/>
                    </w:rPr>
                    <w:t> </w:t>
                  </w:r>
                  <w:r>
                    <w:rPr>
                      <w:w w:val="105"/>
                      <w:sz w:val="14"/>
                    </w:rPr>
                    <w:t>not</w:t>
                  </w:r>
                  <w:r>
                    <w:rPr>
                      <w:spacing w:val="-12"/>
                      <w:w w:val="105"/>
                      <w:sz w:val="14"/>
                    </w:rPr>
                    <w:t> </w:t>
                  </w:r>
                  <w:r>
                    <w:rPr>
                      <w:w w:val="105"/>
                      <w:sz w:val="14"/>
                    </w:rPr>
                    <w:t>exempt</w:t>
                  </w:r>
                  <w:r>
                    <w:rPr>
                      <w:spacing w:val="-12"/>
                      <w:w w:val="105"/>
                      <w:sz w:val="14"/>
                    </w:rPr>
                    <w:t> </w:t>
                  </w:r>
                  <w:r>
                    <w:rPr>
                      <w:w w:val="105"/>
                      <w:sz w:val="14"/>
                    </w:rPr>
                    <w:t>under</w:t>
                  </w:r>
                  <w:r>
                    <w:rPr>
                      <w:spacing w:val="-12"/>
                      <w:w w:val="105"/>
                      <w:sz w:val="14"/>
                    </w:rPr>
                    <w:t> </w:t>
                  </w:r>
                  <w:r>
                    <w:rPr>
                      <w:w w:val="105"/>
                      <w:sz w:val="14"/>
                    </w:rPr>
                    <w:t>the provisions of EC</w:t>
                  </w:r>
                  <w:r>
                    <w:rPr>
                      <w:spacing w:val="-2"/>
                      <w:w w:val="105"/>
                      <w:sz w:val="14"/>
                    </w:rPr>
                    <w:t> </w:t>
                  </w:r>
                  <w:r>
                    <w:rPr>
                      <w:w w:val="105"/>
                      <w:sz w:val="14"/>
                    </w:rPr>
                    <w:t>41374.</w:t>
                  </w:r>
                </w:p>
              </w:txbxContent>
            </v:textbox>
            <w10:wrap type="none"/>
          </v:shape>
        </w:pict>
      </w:r>
    </w:p>
    <w:p>
      <w:pPr>
        <w:pStyle w:val="BodyText"/>
        <w:rPr>
          <w:sz w:val="20"/>
        </w:rPr>
      </w:pPr>
    </w:p>
    <w:p>
      <w:pPr>
        <w:pStyle w:val="BodyText"/>
        <w:rPr>
          <w:sz w:val="20"/>
        </w:rPr>
      </w:pPr>
    </w:p>
    <w:p>
      <w:pPr>
        <w:pStyle w:val="BodyText"/>
        <w:rPr>
          <w:sz w:val="20"/>
        </w:rPr>
      </w:pPr>
    </w:p>
    <w:p>
      <w:pPr>
        <w:pStyle w:val="BodyText"/>
        <w:spacing w:before="8" w:after="1"/>
        <w:rPr>
          <w:sz w:val="22"/>
        </w:rPr>
      </w:pPr>
    </w:p>
    <w:p>
      <w:pPr>
        <w:tabs>
          <w:tab w:pos="5749" w:val="left" w:leader="none"/>
        </w:tabs>
        <w:spacing w:line="240" w:lineRule="auto"/>
        <w:ind w:left="198" w:right="0" w:firstLine="0"/>
        <w:rPr>
          <w:sz w:val="20"/>
        </w:rPr>
      </w:pPr>
      <w:r>
        <w:rPr>
          <w:position w:val="20"/>
          <w:sz w:val="20"/>
        </w:rPr>
        <w:pict>
          <v:shape style="width:171.95pt;height:85.8pt;mso-position-horizontal-relative:char;mso-position-vertical-relative:line" type="#_x0000_t202" filled="false" stroked="false">
            <w10:anchorlock/>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88"/>
                    <w:gridCol w:w="1090"/>
                    <w:gridCol w:w="361"/>
                  </w:tblGrid>
                  <w:tr>
                    <w:trPr>
                      <w:trHeight w:val="274" w:hRule="atLeast"/>
                    </w:trPr>
                    <w:tc>
                      <w:tcPr>
                        <w:tcW w:w="1988" w:type="dxa"/>
                      </w:tcPr>
                      <w:p>
                        <w:pPr>
                          <w:pStyle w:val="TableParagraph"/>
                          <w:spacing w:line="160" w:lineRule="exact"/>
                          <w:ind w:left="50"/>
                          <w:rPr>
                            <w:sz w:val="14"/>
                          </w:rPr>
                        </w:pPr>
                        <w:r>
                          <w:rPr>
                            <w:w w:val="105"/>
                            <w:sz w:val="14"/>
                          </w:rPr>
                          <w:t>Salaries</w:t>
                        </w:r>
                      </w:p>
                    </w:tc>
                    <w:tc>
                      <w:tcPr>
                        <w:tcW w:w="1090" w:type="dxa"/>
                      </w:tcPr>
                      <w:p>
                        <w:pPr>
                          <w:pStyle w:val="TableParagraph"/>
                          <w:spacing w:line="160" w:lineRule="exact"/>
                          <w:ind w:right="71"/>
                          <w:jc w:val="right"/>
                          <w:rPr>
                            <w:sz w:val="14"/>
                          </w:rPr>
                        </w:pPr>
                        <w:r>
                          <w:rPr>
                            <w:sz w:val="14"/>
                          </w:rPr>
                          <w:t>593,688.00</w:t>
                        </w:r>
                      </w:p>
                    </w:tc>
                    <w:tc>
                      <w:tcPr>
                        <w:tcW w:w="361" w:type="dxa"/>
                      </w:tcPr>
                      <w:p>
                        <w:pPr>
                          <w:pStyle w:val="TableParagraph"/>
                          <w:spacing w:line="160" w:lineRule="exact"/>
                          <w:ind w:left="48" w:right="26"/>
                          <w:jc w:val="center"/>
                          <w:rPr>
                            <w:sz w:val="14"/>
                          </w:rPr>
                        </w:pPr>
                        <w:r>
                          <w:rPr>
                            <w:w w:val="105"/>
                            <w:sz w:val="14"/>
                          </w:rPr>
                          <w:t>301</w:t>
                        </w:r>
                      </w:p>
                    </w:tc>
                  </w:tr>
                  <w:tr>
                    <w:trPr>
                      <w:trHeight w:val="388" w:hRule="atLeast"/>
                    </w:trPr>
                    <w:tc>
                      <w:tcPr>
                        <w:tcW w:w="1988" w:type="dxa"/>
                      </w:tcPr>
                      <w:p>
                        <w:pPr>
                          <w:pStyle w:val="TableParagraph"/>
                          <w:spacing w:before="113"/>
                          <w:ind w:left="50"/>
                          <w:rPr>
                            <w:sz w:val="14"/>
                          </w:rPr>
                        </w:pPr>
                        <w:r>
                          <w:rPr>
                            <w:w w:val="105"/>
                            <w:sz w:val="14"/>
                          </w:rPr>
                          <w:t>2000 - Classified Salaries</w:t>
                        </w:r>
                      </w:p>
                    </w:tc>
                    <w:tc>
                      <w:tcPr>
                        <w:tcW w:w="1090" w:type="dxa"/>
                      </w:tcPr>
                      <w:p>
                        <w:pPr>
                          <w:pStyle w:val="TableParagraph"/>
                          <w:spacing w:before="113"/>
                          <w:ind w:right="71"/>
                          <w:jc w:val="right"/>
                          <w:rPr>
                            <w:sz w:val="14"/>
                          </w:rPr>
                        </w:pPr>
                        <w:r>
                          <w:rPr>
                            <w:sz w:val="14"/>
                          </w:rPr>
                          <w:t>464,373.00</w:t>
                        </w:r>
                      </w:p>
                    </w:tc>
                    <w:tc>
                      <w:tcPr>
                        <w:tcW w:w="361" w:type="dxa"/>
                      </w:tcPr>
                      <w:p>
                        <w:pPr>
                          <w:pStyle w:val="TableParagraph"/>
                          <w:spacing w:before="113"/>
                          <w:ind w:left="48" w:right="26"/>
                          <w:jc w:val="center"/>
                          <w:rPr>
                            <w:sz w:val="14"/>
                          </w:rPr>
                        </w:pPr>
                        <w:r>
                          <w:rPr>
                            <w:w w:val="105"/>
                            <w:sz w:val="14"/>
                          </w:rPr>
                          <w:t>311</w:t>
                        </w:r>
                      </w:p>
                    </w:tc>
                  </w:tr>
                  <w:tr>
                    <w:trPr>
                      <w:trHeight w:val="308" w:hRule="atLeast"/>
                    </w:trPr>
                    <w:tc>
                      <w:tcPr>
                        <w:tcW w:w="1988" w:type="dxa"/>
                      </w:tcPr>
                      <w:p>
                        <w:pPr>
                          <w:pStyle w:val="TableParagraph"/>
                          <w:spacing w:before="113"/>
                          <w:ind w:left="50"/>
                          <w:rPr>
                            <w:sz w:val="14"/>
                          </w:rPr>
                        </w:pPr>
                        <w:r>
                          <w:rPr>
                            <w:w w:val="105"/>
                            <w:sz w:val="14"/>
                          </w:rPr>
                          <w:t>3000 - Employee Benefits</w:t>
                        </w:r>
                      </w:p>
                    </w:tc>
                    <w:tc>
                      <w:tcPr>
                        <w:tcW w:w="1090" w:type="dxa"/>
                      </w:tcPr>
                      <w:p>
                        <w:pPr>
                          <w:pStyle w:val="TableParagraph"/>
                          <w:spacing w:before="113"/>
                          <w:ind w:right="71"/>
                          <w:jc w:val="right"/>
                          <w:rPr>
                            <w:sz w:val="14"/>
                          </w:rPr>
                        </w:pPr>
                        <w:r>
                          <w:rPr>
                            <w:sz w:val="14"/>
                          </w:rPr>
                          <w:t>419,321.00</w:t>
                        </w:r>
                      </w:p>
                    </w:tc>
                    <w:tc>
                      <w:tcPr>
                        <w:tcW w:w="361" w:type="dxa"/>
                      </w:tcPr>
                      <w:p>
                        <w:pPr>
                          <w:pStyle w:val="TableParagraph"/>
                          <w:spacing w:before="113"/>
                          <w:ind w:left="48" w:right="26"/>
                          <w:jc w:val="center"/>
                          <w:rPr>
                            <w:sz w:val="14"/>
                          </w:rPr>
                        </w:pPr>
                        <w:r>
                          <w:rPr>
                            <w:w w:val="105"/>
                            <w:sz w:val="14"/>
                          </w:rPr>
                          <w:t>321</w:t>
                        </w:r>
                      </w:p>
                    </w:tc>
                  </w:tr>
                  <w:tr>
                    <w:trPr>
                      <w:trHeight w:val="388" w:hRule="atLeast"/>
                    </w:trPr>
                    <w:tc>
                      <w:tcPr>
                        <w:tcW w:w="1988" w:type="dxa"/>
                      </w:tcPr>
                      <w:p>
                        <w:pPr>
                          <w:pStyle w:val="TableParagraph"/>
                          <w:spacing w:before="32"/>
                          <w:ind w:left="50" w:right="266"/>
                          <w:rPr>
                            <w:sz w:val="14"/>
                          </w:rPr>
                        </w:pPr>
                        <w:r>
                          <w:rPr>
                            <w:w w:val="105"/>
                            <w:sz w:val="14"/>
                          </w:rPr>
                          <w:t>4000 - Books, Supplies Equip Replace. (6500)</w:t>
                        </w:r>
                      </w:p>
                    </w:tc>
                    <w:tc>
                      <w:tcPr>
                        <w:tcW w:w="1090" w:type="dxa"/>
                      </w:tcPr>
                      <w:p>
                        <w:pPr>
                          <w:pStyle w:val="TableParagraph"/>
                          <w:spacing w:before="9"/>
                          <w:rPr>
                            <w:sz w:val="16"/>
                          </w:rPr>
                        </w:pPr>
                      </w:p>
                      <w:p>
                        <w:pPr>
                          <w:pStyle w:val="TableParagraph"/>
                          <w:ind w:right="71"/>
                          <w:jc w:val="right"/>
                          <w:rPr>
                            <w:sz w:val="14"/>
                          </w:rPr>
                        </w:pPr>
                        <w:r>
                          <w:rPr>
                            <w:sz w:val="14"/>
                          </w:rPr>
                          <w:t>138,750.00</w:t>
                        </w:r>
                      </w:p>
                    </w:tc>
                    <w:tc>
                      <w:tcPr>
                        <w:tcW w:w="361" w:type="dxa"/>
                      </w:tcPr>
                      <w:p>
                        <w:pPr>
                          <w:pStyle w:val="TableParagraph"/>
                          <w:spacing w:before="9"/>
                          <w:rPr>
                            <w:sz w:val="16"/>
                          </w:rPr>
                        </w:pPr>
                      </w:p>
                      <w:p>
                        <w:pPr>
                          <w:pStyle w:val="TableParagraph"/>
                          <w:ind w:left="48" w:right="26"/>
                          <w:jc w:val="center"/>
                          <w:rPr>
                            <w:sz w:val="14"/>
                          </w:rPr>
                        </w:pPr>
                        <w:r>
                          <w:rPr>
                            <w:w w:val="105"/>
                            <w:sz w:val="14"/>
                          </w:rPr>
                          <w:t>331</w:t>
                        </w:r>
                      </w:p>
                    </w:tc>
                  </w:tr>
                  <w:tr>
                    <w:trPr>
                      <w:trHeight w:val="355" w:hRule="atLeast"/>
                    </w:trPr>
                    <w:tc>
                      <w:tcPr>
                        <w:tcW w:w="1988" w:type="dxa"/>
                      </w:tcPr>
                      <w:p>
                        <w:pPr>
                          <w:pStyle w:val="TableParagraph"/>
                          <w:spacing w:line="160" w:lineRule="atLeast" w:before="32"/>
                          <w:ind w:left="50" w:right="266"/>
                          <w:rPr>
                            <w:sz w:val="14"/>
                          </w:rPr>
                        </w:pPr>
                        <w:r>
                          <w:rPr>
                            <w:w w:val="105"/>
                            <w:sz w:val="14"/>
                          </w:rPr>
                          <w:t>5000 - Services. . . &amp; 7300 - Indirect Costs</w:t>
                        </w:r>
                      </w:p>
                    </w:tc>
                    <w:tc>
                      <w:tcPr>
                        <w:tcW w:w="1090" w:type="dxa"/>
                      </w:tcPr>
                      <w:p>
                        <w:pPr>
                          <w:pStyle w:val="TableParagraph"/>
                          <w:spacing w:before="9"/>
                          <w:rPr>
                            <w:sz w:val="16"/>
                          </w:rPr>
                        </w:pPr>
                      </w:p>
                      <w:p>
                        <w:pPr>
                          <w:pStyle w:val="TableParagraph"/>
                          <w:spacing w:line="142" w:lineRule="exact"/>
                          <w:ind w:right="71"/>
                          <w:jc w:val="right"/>
                          <w:rPr>
                            <w:sz w:val="14"/>
                          </w:rPr>
                        </w:pPr>
                        <w:r>
                          <w:rPr>
                            <w:sz w:val="14"/>
                          </w:rPr>
                          <w:t>362,242.00</w:t>
                        </w:r>
                      </w:p>
                    </w:tc>
                    <w:tc>
                      <w:tcPr>
                        <w:tcW w:w="361" w:type="dxa"/>
                      </w:tcPr>
                      <w:p>
                        <w:pPr>
                          <w:pStyle w:val="TableParagraph"/>
                          <w:spacing w:before="9"/>
                          <w:rPr>
                            <w:sz w:val="16"/>
                          </w:rPr>
                        </w:pPr>
                      </w:p>
                      <w:p>
                        <w:pPr>
                          <w:pStyle w:val="TableParagraph"/>
                          <w:spacing w:line="142" w:lineRule="exact"/>
                          <w:ind w:left="48" w:right="26"/>
                          <w:jc w:val="center"/>
                          <w:rPr>
                            <w:sz w:val="14"/>
                          </w:rPr>
                        </w:pPr>
                        <w:r>
                          <w:rPr>
                            <w:w w:val="105"/>
                            <w:sz w:val="14"/>
                          </w:rPr>
                          <w:t>341</w:t>
                        </w:r>
                      </w:p>
                    </w:tc>
                  </w:tr>
                </w:tbl>
                <w:p>
                  <w:pPr>
                    <w:pStyle w:val="BodyText"/>
                  </w:pPr>
                </w:p>
              </w:txbxContent>
            </v:textbox>
          </v:shape>
        </w:pict>
      </w:r>
      <w:r>
        <w:rPr>
          <w:position w:val="20"/>
          <w:sz w:val="20"/>
        </w:rPr>
      </w:r>
      <w:r>
        <w:rPr>
          <w:position w:val="20"/>
          <w:sz w:val="20"/>
        </w:rPr>
        <w:tab/>
      </w:r>
      <w:r>
        <w:rPr>
          <w:sz w:val="20"/>
        </w:rPr>
        <w:pict>
          <v:shape style="width:308.9pt;height:95.9pt;mso-position-horizontal-relative:char;mso-position-vertical-relative:line" type="#_x0000_t202" filled="false" stroked="false">
            <w10:anchorlock/>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59"/>
                    <w:gridCol w:w="659"/>
                    <w:gridCol w:w="1671"/>
                    <w:gridCol w:w="1388"/>
                    <w:gridCol w:w="1140"/>
                    <w:gridCol w:w="361"/>
                  </w:tblGrid>
                  <w:tr>
                    <w:trPr>
                      <w:trHeight w:val="274" w:hRule="atLeast"/>
                    </w:trPr>
                    <w:tc>
                      <w:tcPr>
                        <w:tcW w:w="959" w:type="dxa"/>
                      </w:tcPr>
                      <w:p>
                        <w:pPr>
                          <w:pStyle w:val="TableParagraph"/>
                          <w:spacing w:line="160" w:lineRule="exact"/>
                          <w:ind w:right="71"/>
                          <w:jc w:val="right"/>
                          <w:rPr>
                            <w:sz w:val="14"/>
                          </w:rPr>
                        </w:pPr>
                        <w:r>
                          <w:rPr>
                            <w:sz w:val="14"/>
                          </w:rPr>
                          <w:t>593,688.00</w:t>
                        </w:r>
                      </w:p>
                    </w:tc>
                    <w:tc>
                      <w:tcPr>
                        <w:tcW w:w="659" w:type="dxa"/>
                      </w:tcPr>
                      <w:p>
                        <w:pPr>
                          <w:pStyle w:val="TableParagraph"/>
                          <w:spacing w:line="160" w:lineRule="exact"/>
                          <w:ind w:left="72"/>
                          <w:rPr>
                            <w:sz w:val="14"/>
                          </w:rPr>
                        </w:pPr>
                        <w:r>
                          <w:rPr>
                            <w:w w:val="105"/>
                            <w:sz w:val="14"/>
                          </w:rPr>
                          <w:t>305</w:t>
                        </w:r>
                      </w:p>
                    </w:tc>
                    <w:tc>
                      <w:tcPr>
                        <w:tcW w:w="1671" w:type="dxa"/>
                      </w:tcPr>
                      <w:p>
                        <w:pPr>
                          <w:pStyle w:val="TableParagraph"/>
                          <w:spacing w:line="160" w:lineRule="exact"/>
                          <w:ind w:right="685"/>
                          <w:jc w:val="right"/>
                          <w:rPr>
                            <w:sz w:val="14"/>
                          </w:rPr>
                        </w:pPr>
                        <w:r>
                          <w:rPr>
                            <w:sz w:val="14"/>
                          </w:rPr>
                          <w:t>0.00</w:t>
                        </w:r>
                      </w:p>
                    </w:tc>
                    <w:tc>
                      <w:tcPr>
                        <w:tcW w:w="1388" w:type="dxa"/>
                      </w:tcPr>
                      <w:p>
                        <w:pPr>
                          <w:pStyle w:val="TableParagraph"/>
                          <w:spacing w:line="160" w:lineRule="exact"/>
                          <w:ind w:right="263"/>
                          <w:jc w:val="right"/>
                          <w:rPr>
                            <w:sz w:val="14"/>
                          </w:rPr>
                        </w:pPr>
                        <w:r>
                          <w:rPr>
                            <w:sz w:val="14"/>
                          </w:rPr>
                          <w:t>307</w:t>
                        </w:r>
                      </w:p>
                    </w:tc>
                    <w:tc>
                      <w:tcPr>
                        <w:tcW w:w="1140" w:type="dxa"/>
                      </w:tcPr>
                      <w:p>
                        <w:pPr>
                          <w:pStyle w:val="TableParagraph"/>
                          <w:spacing w:line="160" w:lineRule="exact"/>
                          <w:ind w:right="71"/>
                          <w:jc w:val="right"/>
                          <w:rPr>
                            <w:sz w:val="14"/>
                          </w:rPr>
                        </w:pPr>
                        <w:r>
                          <w:rPr>
                            <w:sz w:val="14"/>
                          </w:rPr>
                          <w:t>593,688.00</w:t>
                        </w:r>
                      </w:p>
                    </w:tc>
                    <w:tc>
                      <w:tcPr>
                        <w:tcW w:w="361" w:type="dxa"/>
                      </w:tcPr>
                      <w:p>
                        <w:pPr>
                          <w:pStyle w:val="TableParagraph"/>
                          <w:spacing w:line="160" w:lineRule="exact"/>
                          <w:ind w:left="47" w:right="26"/>
                          <w:jc w:val="center"/>
                          <w:rPr>
                            <w:sz w:val="14"/>
                          </w:rPr>
                        </w:pPr>
                        <w:r>
                          <w:rPr>
                            <w:w w:val="105"/>
                            <w:sz w:val="14"/>
                          </w:rPr>
                          <w:t>309</w:t>
                        </w:r>
                      </w:p>
                    </w:tc>
                  </w:tr>
                  <w:tr>
                    <w:trPr>
                      <w:trHeight w:val="388" w:hRule="atLeast"/>
                    </w:trPr>
                    <w:tc>
                      <w:tcPr>
                        <w:tcW w:w="959" w:type="dxa"/>
                      </w:tcPr>
                      <w:p>
                        <w:pPr>
                          <w:pStyle w:val="TableParagraph"/>
                          <w:spacing w:before="113"/>
                          <w:ind w:right="71"/>
                          <w:jc w:val="right"/>
                          <w:rPr>
                            <w:sz w:val="14"/>
                          </w:rPr>
                        </w:pPr>
                        <w:r>
                          <w:rPr>
                            <w:sz w:val="14"/>
                          </w:rPr>
                          <w:t>445,329.00</w:t>
                        </w:r>
                      </w:p>
                    </w:tc>
                    <w:tc>
                      <w:tcPr>
                        <w:tcW w:w="659" w:type="dxa"/>
                      </w:tcPr>
                      <w:p>
                        <w:pPr>
                          <w:pStyle w:val="TableParagraph"/>
                          <w:spacing w:before="113"/>
                          <w:ind w:left="72"/>
                          <w:rPr>
                            <w:sz w:val="14"/>
                          </w:rPr>
                        </w:pPr>
                        <w:r>
                          <w:rPr>
                            <w:w w:val="105"/>
                            <w:sz w:val="14"/>
                          </w:rPr>
                          <w:t>315</w:t>
                        </w:r>
                      </w:p>
                    </w:tc>
                    <w:tc>
                      <w:tcPr>
                        <w:tcW w:w="1671" w:type="dxa"/>
                      </w:tcPr>
                      <w:p>
                        <w:pPr>
                          <w:pStyle w:val="TableParagraph"/>
                          <w:spacing w:before="113"/>
                          <w:ind w:right="685"/>
                          <w:jc w:val="right"/>
                          <w:rPr>
                            <w:sz w:val="14"/>
                          </w:rPr>
                        </w:pPr>
                        <w:r>
                          <w:rPr>
                            <w:sz w:val="14"/>
                          </w:rPr>
                          <w:t>40,544.00</w:t>
                        </w:r>
                      </w:p>
                    </w:tc>
                    <w:tc>
                      <w:tcPr>
                        <w:tcW w:w="1388" w:type="dxa"/>
                      </w:tcPr>
                      <w:p>
                        <w:pPr>
                          <w:pStyle w:val="TableParagraph"/>
                          <w:spacing w:before="113"/>
                          <w:ind w:right="263"/>
                          <w:jc w:val="right"/>
                          <w:rPr>
                            <w:sz w:val="14"/>
                          </w:rPr>
                        </w:pPr>
                        <w:r>
                          <w:rPr>
                            <w:sz w:val="14"/>
                          </w:rPr>
                          <w:t>317</w:t>
                        </w:r>
                      </w:p>
                    </w:tc>
                    <w:tc>
                      <w:tcPr>
                        <w:tcW w:w="1140" w:type="dxa"/>
                      </w:tcPr>
                      <w:p>
                        <w:pPr>
                          <w:pStyle w:val="TableParagraph"/>
                          <w:spacing w:before="113"/>
                          <w:ind w:right="71"/>
                          <w:jc w:val="right"/>
                          <w:rPr>
                            <w:sz w:val="14"/>
                          </w:rPr>
                        </w:pPr>
                        <w:r>
                          <w:rPr>
                            <w:sz w:val="14"/>
                          </w:rPr>
                          <w:t>404,785.00</w:t>
                        </w:r>
                      </w:p>
                    </w:tc>
                    <w:tc>
                      <w:tcPr>
                        <w:tcW w:w="361" w:type="dxa"/>
                      </w:tcPr>
                      <w:p>
                        <w:pPr>
                          <w:pStyle w:val="TableParagraph"/>
                          <w:spacing w:before="113"/>
                          <w:ind w:left="47" w:right="26"/>
                          <w:jc w:val="center"/>
                          <w:rPr>
                            <w:sz w:val="14"/>
                          </w:rPr>
                        </w:pPr>
                        <w:r>
                          <w:rPr>
                            <w:w w:val="105"/>
                            <w:sz w:val="14"/>
                          </w:rPr>
                          <w:t>319</w:t>
                        </w:r>
                      </w:p>
                    </w:tc>
                  </w:tr>
                  <w:tr>
                    <w:trPr>
                      <w:trHeight w:val="388" w:hRule="atLeast"/>
                    </w:trPr>
                    <w:tc>
                      <w:tcPr>
                        <w:tcW w:w="959" w:type="dxa"/>
                      </w:tcPr>
                      <w:p>
                        <w:pPr>
                          <w:pStyle w:val="TableParagraph"/>
                          <w:spacing w:before="113"/>
                          <w:ind w:right="71"/>
                          <w:jc w:val="right"/>
                          <w:rPr>
                            <w:sz w:val="14"/>
                          </w:rPr>
                        </w:pPr>
                        <w:r>
                          <w:rPr>
                            <w:sz w:val="14"/>
                          </w:rPr>
                          <w:t>412,964.00</w:t>
                        </w:r>
                      </w:p>
                    </w:tc>
                    <w:tc>
                      <w:tcPr>
                        <w:tcW w:w="659" w:type="dxa"/>
                      </w:tcPr>
                      <w:p>
                        <w:pPr>
                          <w:pStyle w:val="TableParagraph"/>
                          <w:spacing w:before="113"/>
                          <w:ind w:left="72"/>
                          <w:rPr>
                            <w:sz w:val="14"/>
                          </w:rPr>
                        </w:pPr>
                        <w:r>
                          <w:rPr>
                            <w:w w:val="105"/>
                            <w:sz w:val="14"/>
                          </w:rPr>
                          <w:t>325</w:t>
                        </w:r>
                      </w:p>
                    </w:tc>
                    <w:tc>
                      <w:tcPr>
                        <w:tcW w:w="1671" w:type="dxa"/>
                      </w:tcPr>
                      <w:p>
                        <w:pPr>
                          <w:pStyle w:val="TableParagraph"/>
                          <w:spacing w:before="113"/>
                          <w:ind w:right="685"/>
                          <w:jc w:val="right"/>
                          <w:rPr>
                            <w:sz w:val="14"/>
                          </w:rPr>
                        </w:pPr>
                        <w:r>
                          <w:rPr>
                            <w:sz w:val="14"/>
                          </w:rPr>
                          <w:t>16,586.00</w:t>
                        </w:r>
                      </w:p>
                    </w:tc>
                    <w:tc>
                      <w:tcPr>
                        <w:tcW w:w="1388" w:type="dxa"/>
                      </w:tcPr>
                      <w:p>
                        <w:pPr>
                          <w:pStyle w:val="TableParagraph"/>
                          <w:spacing w:before="113"/>
                          <w:ind w:right="263"/>
                          <w:jc w:val="right"/>
                          <w:rPr>
                            <w:sz w:val="14"/>
                          </w:rPr>
                        </w:pPr>
                        <w:r>
                          <w:rPr>
                            <w:sz w:val="14"/>
                          </w:rPr>
                          <w:t>327</w:t>
                        </w:r>
                      </w:p>
                    </w:tc>
                    <w:tc>
                      <w:tcPr>
                        <w:tcW w:w="1140" w:type="dxa"/>
                      </w:tcPr>
                      <w:p>
                        <w:pPr>
                          <w:pStyle w:val="TableParagraph"/>
                          <w:spacing w:before="113"/>
                          <w:ind w:right="71"/>
                          <w:jc w:val="right"/>
                          <w:rPr>
                            <w:sz w:val="14"/>
                          </w:rPr>
                        </w:pPr>
                        <w:r>
                          <w:rPr>
                            <w:sz w:val="14"/>
                          </w:rPr>
                          <w:t>396,378.00</w:t>
                        </w:r>
                      </w:p>
                    </w:tc>
                    <w:tc>
                      <w:tcPr>
                        <w:tcW w:w="361" w:type="dxa"/>
                      </w:tcPr>
                      <w:p>
                        <w:pPr>
                          <w:pStyle w:val="TableParagraph"/>
                          <w:spacing w:before="113"/>
                          <w:ind w:left="47" w:right="26"/>
                          <w:jc w:val="center"/>
                          <w:rPr>
                            <w:sz w:val="14"/>
                          </w:rPr>
                        </w:pPr>
                        <w:r>
                          <w:rPr>
                            <w:w w:val="105"/>
                            <w:sz w:val="14"/>
                          </w:rPr>
                          <w:t>329</w:t>
                        </w:r>
                      </w:p>
                    </w:tc>
                  </w:tr>
                  <w:tr>
                    <w:trPr>
                      <w:trHeight w:val="388" w:hRule="atLeast"/>
                    </w:trPr>
                    <w:tc>
                      <w:tcPr>
                        <w:tcW w:w="959" w:type="dxa"/>
                      </w:tcPr>
                      <w:p>
                        <w:pPr>
                          <w:pStyle w:val="TableParagraph"/>
                          <w:spacing w:before="113"/>
                          <w:ind w:right="71"/>
                          <w:jc w:val="right"/>
                          <w:rPr>
                            <w:sz w:val="14"/>
                          </w:rPr>
                        </w:pPr>
                        <w:r>
                          <w:rPr>
                            <w:sz w:val="14"/>
                          </w:rPr>
                          <w:t>98,250.00</w:t>
                        </w:r>
                      </w:p>
                    </w:tc>
                    <w:tc>
                      <w:tcPr>
                        <w:tcW w:w="659" w:type="dxa"/>
                      </w:tcPr>
                      <w:p>
                        <w:pPr>
                          <w:pStyle w:val="TableParagraph"/>
                          <w:spacing w:before="113"/>
                          <w:ind w:left="72"/>
                          <w:rPr>
                            <w:sz w:val="14"/>
                          </w:rPr>
                        </w:pPr>
                        <w:r>
                          <w:rPr>
                            <w:w w:val="105"/>
                            <w:sz w:val="14"/>
                          </w:rPr>
                          <w:t>335</w:t>
                        </w:r>
                      </w:p>
                    </w:tc>
                    <w:tc>
                      <w:tcPr>
                        <w:tcW w:w="1671" w:type="dxa"/>
                      </w:tcPr>
                      <w:p>
                        <w:pPr>
                          <w:pStyle w:val="TableParagraph"/>
                          <w:spacing w:before="113"/>
                          <w:ind w:right="685"/>
                          <w:jc w:val="right"/>
                          <w:rPr>
                            <w:sz w:val="14"/>
                          </w:rPr>
                        </w:pPr>
                        <w:r>
                          <w:rPr>
                            <w:sz w:val="14"/>
                          </w:rPr>
                          <w:t>35,400.00</w:t>
                        </w:r>
                      </w:p>
                    </w:tc>
                    <w:tc>
                      <w:tcPr>
                        <w:tcW w:w="1388" w:type="dxa"/>
                      </w:tcPr>
                      <w:p>
                        <w:pPr>
                          <w:pStyle w:val="TableParagraph"/>
                          <w:spacing w:before="113"/>
                          <w:ind w:right="263"/>
                          <w:jc w:val="right"/>
                          <w:rPr>
                            <w:sz w:val="14"/>
                          </w:rPr>
                        </w:pPr>
                        <w:r>
                          <w:rPr>
                            <w:sz w:val="14"/>
                          </w:rPr>
                          <w:t>337</w:t>
                        </w:r>
                      </w:p>
                    </w:tc>
                    <w:tc>
                      <w:tcPr>
                        <w:tcW w:w="1140" w:type="dxa"/>
                      </w:tcPr>
                      <w:p>
                        <w:pPr>
                          <w:pStyle w:val="TableParagraph"/>
                          <w:spacing w:before="113"/>
                          <w:ind w:right="71"/>
                          <w:jc w:val="right"/>
                          <w:rPr>
                            <w:sz w:val="14"/>
                          </w:rPr>
                        </w:pPr>
                        <w:r>
                          <w:rPr>
                            <w:sz w:val="14"/>
                          </w:rPr>
                          <w:t>62,850.00</w:t>
                        </w:r>
                      </w:p>
                    </w:tc>
                    <w:tc>
                      <w:tcPr>
                        <w:tcW w:w="361" w:type="dxa"/>
                      </w:tcPr>
                      <w:p>
                        <w:pPr>
                          <w:pStyle w:val="TableParagraph"/>
                          <w:spacing w:before="113"/>
                          <w:ind w:left="47" w:right="26"/>
                          <w:jc w:val="center"/>
                          <w:rPr>
                            <w:sz w:val="14"/>
                          </w:rPr>
                        </w:pPr>
                        <w:r>
                          <w:rPr>
                            <w:w w:val="105"/>
                            <w:sz w:val="14"/>
                          </w:rPr>
                          <w:t>339</w:t>
                        </w:r>
                      </w:p>
                    </w:tc>
                  </w:tr>
                  <w:tr>
                    <w:trPr>
                      <w:trHeight w:val="295" w:hRule="atLeast"/>
                    </w:trPr>
                    <w:tc>
                      <w:tcPr>
                        <w:tcW w:w="959" w:type="dxa"/>
                      </w:tcPr>
                      <w:p>
                        <w:pPr>
                          <w:pStyle w:val="TableParagraph"/>
                          <w:spacing w:before="113"/>
                          <w:ind w:right="71"/>
                          <w:jc w:val="right"/>
                          <w:rPr>
                            <w:sz w:val="14"/>
                          </w:rPr>
                        </w:pPr>
                        <w:r>
                          <w:rPr>
                            <w:sz w:val="14"/>
                          </w:rPr>
                          <w:t>359,202.00</w:t>
                        </w:r>
                      </w:p>
                    </w:tc>
                    <w:tc>
                      <w:tcPr>
                        <w:tcW w:w="659" w:type="dxa"/>
                      </w:tcPr>
                      <w:p>
                        <w:pPr>
                          <w:pStyle w:val="TableParagraph"/>
                          <w:spacing w:before="113"/>
                          <w:ind w:left="72"/>
                          <w:rPr>
                            <w:sz w:val="14"/>
                          </w:rPr>
                        </w:pPr>
                        <w:r>
                          <w:rPr>
                            <w:w w:val="105"/>
                            <w:sz w:val="14"/>
                          </w:rPr>
                          <w:t>345</w:t>
                        </w:r>
                      </w:p>
                    </w:tc>
                    <w:tc>
                      <w:tcPr>
                        <w:tcW w:w="1671" w:type="dxa"/>
                      </w:tcPr>
                      <w:p>
                        <w:pPr>
                          <w:pStyle w:val="TableParagraph"/>
                          <w:spacing w:before="113"/>
                          <w:ind w:right="684"/>
                          <w:jc w:val="right"/>
                          <w:rPr>
                            <w:sz w:val="14"/>
                          </w:rPr>
                        </w:pPr>
                        <w:r>
                          <w:rPr>
                            <w:sz w:val="14"/>
                          </w:rPr>
                          <w:t>500.00</w:t>
                        </w:r>
                      </w:p>
                    </w:tc>
                    <w:tc>
                      <w:tcPr>
                        <w:tcW w:w="1388" w:type="dxa"/>
                      </w:tcPr>
                      <w:p>
                        <w:pPr>
                          <w:pStyle w:val="TableParagraph"/>
                          <w:spacing w:before="113"/>
                          <w:ind w:right="263"/>
                          <w:jc w:val="right"/>
                          <w:rPr>
                            <w:sz w:val="14"/>
                          </w:rPr>
                        </w:pPr>
                        <w:r>
                          <w:rPr>
                            <w:sz w:val="14"/>
                          </w:rPr>
                          <w:t>347</w:t>
                        </w:r>
                      </w:p>
                    </w:tc>
                    <w:tc>
                      <w:tcPr>
                        <w:tcW w:w="1140" w:type="dxa"/>
                      </w:tcPr>
                      <w:p>
                        <w:pPr>
                          <w:pStyle w:val="TableParagraph"/>
                          <w:spacing w:before="113"/>
                          <w:ind w:right="71"/>
                          <w:jc w:val="right"/>
                          <w:rPr>
                            <w:sz w:val="14"/>
                          </w:rPr>
                        </w:pPr>
                        <w:r>
                          <w:rPr>
                            <w:sz w:val="14"/>
                          </w:rPr>
                          <w:t>358,702.00</w:t>
                        </w:r>
                      </w:p>
                    </w:tc>
                    <w:tc>
                      <w:tcPr>
                        <w:tcW w:w="361" w:type="dxa"/>
                      </w:tcPr>
                      <w:p>
                        <w:pPr>
                          <w:pStyle w:val="TableParagraph"/>
                          <w:spacing w:before="113"/>
                          <w:ind w:left="47" w:right="26"/>
                          <w:jc w:val="center"/>
                          <w:rPr>
                            <w:sz w:val="14"/>
                          </w:rPr>
                        </w:pPr>
                        <w:r>
                          <w:rPr>
                            <w:w w:val="105"/>
                            <w:sz w:val="14"/>
                          </w:rPr>
                          <w:t>349</w:t>
                        </w:r>
                      </w:p>
                    </w:tc>
                  </w:tr>
                  <w:tr>
                    <w:trPr>
                      <w:trHeight w:val="181" w:hRule="atLeast"/>
                    </w:trPr>
                    <w:tc>
                      <w:tcPr>
                        <w:tcW w:w="959" w:type="dxa"/>
                      </w:tcPr>
                      <w:p>
                        <w:pPr>
                          <w:pStyle w:val="TableParagraph"/>
                          <w:spacing w:line="142" w:lineRule="exact" w:before="19"/>
                          <w:ind w:right="71"/>
                          <w:jc w:val="right"/>
                          <w:rPr>
                            <w:sz w:val="14"/>
                          </w:rPr>
                        </w:pPr>
                        <w:r>
                          <w:rPr>
                            <w:sz w:val="14"/>
                          </w:rPr>
                          <w:t>1,909,433.00</w:t>
                        </w:r>
                      </w:p>
                    </w:tc>
                    <w:tc>
                      <w:tcPr>
                        <w:tcW w:w="659" w:type="dxa"/>
                      </w:tcPr>
                      <w:p>
                        <w:pPr>
                          <w:pStyle w:val="TableParagraph"/>
                          <w:spacing w:line="142" w:lineRule="exact" w:before="19"/>
                          <w:ind w:left="72"/>
                          <w:rPr>
                            <w:sz w:val="14"/>
                          </w:rPr>
                        </w:pPr>
                        <w:r>
                          <w:rPr>
                            <w:w w:val="105"/>
                            <w:sz w:val="14"/>
                          </w:rPr>
                          <w:t>365</w:t>
                        </w:r>
                      </w:p>
                    </w:tc>
                    <w:tc>
                      <w:tcPr>
                        <w:tcW w:w="1671" w:type="dxa"/>
                      </w:tcPr>
                      <w:p>
                        <w:pPr>
                          <w:pStyle w:val="TableParagraph"/>
                          <w:rPr>
                            <w:rFonts w:ascii="Times New Roman"/>
                            <w:sz w:val="12"/>
                          </w:rPr>
                        </w:pPr>
                      </w:p>
                    </w:tc>
                    <w:tc>
                      <w:tcPr>
                        <w:tcW w:w="1388" w:type="dxa"/>
                      </w:tcPr>
                      <w:p>
                        <w:pPr>
                          <w:pStyle w:val="TableParagraph"/>
                          <w:spacing w:line="142" w:lineRule="exact" w:before="19"/>
                          <w:ind w:right="230"/>
                          <w:jc w:val="right"/>
                          <w:rPr>
                            <w:sz w:val="14"/>
                          </w:rPr>
                        </w:pPr>
                        <w:r>
                          <w:rPr>
                            <w:sz w:val="14"/>
                          </w:rPr>
                          <w:t>TOTAL</w:t>
                        </w:r>
                      </w:p>
                    </w:tc>
                    <w:tc>
                      <w:tcPr>
                        <w:tcW w:w="1140" w:type="dxa"/>
                      </w:tcPr>
                      <w:p>
                        <w:pPr>
                          <w:pStyle w:val="TableParagraph"/>
                          <w:spacing w:line="142" w:lineRule="exact" w:before="19"/>
                          <w:ind w:right="71"/>
                          <w:jc w:val="right"/>
                          <w:rPr>
                            <w:sz w:val="14"/>
                          </w:rPr>
                        </w:pPr>
                        <w:r>
                          <w:rPr>
                            <w:sz w:val="14"/>
                          </w:rPr>
                          <w:t>1,816,403.00</w:t>
                        </w:r>
                      </w:p>
                    </w:tc>
                    <w:tc>
                      <w:tcPr>
                        <w:tcW w:w="361" w:type="dxa"/>
                      </w:tcPr>
                      <w:p>
                        <w:pPr>
                          <w:pStyle w:val="TableParagraph"/>
                          <w:spacing w:line="142" w:lineRule="exact" w:before="19"/>
                          <w:ind w:left="47" w:right="26"/>
                          <w:jc w:val="center"/>
                          <w:rPr>
                            <w:sz w:val="14"/>
                          </w:rPr>
                        </w:pPr>
                        <w:r>
                          <w:rPr>
                            <w:w w:val="105"/>
                            <w:sz w:val="14"/>
                          </w:rPr>
                          <w:t>369</w:t>
                        </w:r>
                      </w:p>
                    </w:tc>
                  </w:tr>
                </w:tbl>
                <w:p>
                  <w:pPr>
                    <w:pStyle w:val="BodyText"/>
                  </w:pPr>
                </w:p>
              </w:txbxContent>
            </v:textbox>
          </v:shape>
        </w:pict>
      </w:r>
      <w:r>
        <w:rPr>
          <w:sz w:val="20"/>
        </w:rPr>
      </w:r>
    </w:p>
    <w:p>
      <w:pPr>
        <w:spacing w:line="300" w:lineRule="auto" w:before="142"/>
        <w:ind w:left="859" w:right="2366" w:hanging="612"/>
        <w:jc w:val="left"/>
        <w:rPr>
          <w:sz w:val="14"/>
        </w:rPr>
      </w:pPr>
      <w:r>
        <w:rPr/>
        <w:pict>
          <v:line style="position:absolute;mso-position-horizontal-relative:page;mso-position-vertical-relative:paragraph;z-index:-314061824" from="494.580017pt,-9.974095pt" to="494.580017pt,-.25409pt" stroked="true" strokeweight=".359986pt" strokecolor="#ffffff">
            <v:stroke dashstyle="solid"/>
            <w10:wrap type="none"/>
          </v:line>
        </w:pict>
      </w:r>
      <w:r>
        <w:rPr>
          <w:w w:val="105"/>
          <w:sz w:val="14"/>
        </w:rPr>
        <w:t>Note</w:t>
      </w:r>
      <w:r>
        <w:rPr>
          <w:spacing w:val="-14"/>
          <w:w w:val="105"/>
          <w:sz w:val="14"/>
        </w:rPr>
        <w:t> </w:t>
      </w:r>
      <w:r>
        <w:rPr>
          <w:w w:val="105"/>
          <w:sz w:val="14"/>
        </w:rPr>
        <w:t>1</w:t>
      </w:r>
      <w:r>
        <w:rPr>
          <w:spacing w:val="-14"/>
          <w:w w:val="105"/>
          <w:sz w:val="14"/>
        </w:rPr>
        <w:t> </w:t>
      </w:r>
      <w:r>
        <w:rPr>
          <w:w w:val="105"/>
          <w:sz w:val="14"/>
        </w:rPr>
        <w:t>-</w:t>
      </w:r>
      <w:r>
        <w:rPr>
          <w:spacing w:val="-13"/>
          <w:w w:val="105"/>
          <w:sz w:val="14"/>
        </w:rPr>
        <w:t> </w:t>
      </w:r>
      <w:r>
        <w:rPr>
          <w:w w:val="105"/>
          <w:sz w:val="14"/>
        </w:rPr>
        <w:t>In</w:t>
      </w:r>
      <w:r>
        <w:rPr>
          <w:spacing w:val="-14"/>
          <w:w w:val="105"/>
          <w:sz w:val="14"/>
        </w:rPr>
        <w:t> </w:t>
      </w:r>
      <w:r>
        <w:rPr>
          <w:w w:val="105"/>
          <w:sz w:val="14"/>
        </w:rPr>
        <w:t>Column</w:t>
      </w:r>
      <w:r>
        <w:rPr>
          <w:spacing w:val="-14"/>
          <w:w w:val="105"/>
          <w:sz w:val="14"/>
        </w:rPr>
        <w:t> </w:t>
      </w:r>
      <w:r>
        <w:rPr>
          <w:w w:val="105"/>
          <w:sz w:val="14"/>
        </w:rPr>
        <w:t>2,</w:t>
      </w:r>
      <w:r>
        <w:rPr>
          <w:spacing w:val="-13"/>
          <w:w w:val="105"/>
          <w:sz w:val="14"/>
        </w:rPr>
        <w:t> </w:t>
      </w:r>
      <w:r>
        <w:rPr>
          <w:w w:val="105"/>
          <w:sz w:val="14"/>
        </w:rPr>
        <w:t>report</w:t>
      </w:r>
      <w:r>
        <w:rPr>
          <w:spacing w:val="-12"/>
          <w:w w:val="105"/>
          <w:sz w:val="14"/>
        </w:rPr>
        <w:t> </w:t>
      </w:r>
      <w:r>
        <w:rPr>
          <w:w w:val="105"/>
          <w:sz w:val="14"/>
        </w:rPr>
        <w:t>expenditures</w:t>
      </w:r>
      <w:r>
        <w:rPr>
          <w:spacing w:val="-14"/>
          <w:w w:val="105"/>
          <w:sz w:val="14"/>
        </w:rPr>
        <w:t> </w:t>
      </w:r>
      <w:r>
        <w:rPr>
          <w:w w:val="105"/>
          <w:sz w:val="14"/>
        </w:rPr>
        <w:t>for</w:t>
      </w:r>
      <w:r>
        <w:rPr>
          <w:spacing w:val="-13"/>
          <w:w w:val="105"/>
          <w:sz w:val="14"/>
        </w:rPr>
        <w:t> </w:t>
      </w:r>
      <w:r>
        <w:rPr>
          <w:w w:val="105"/>
          <w:sz w:val="14"/>
        </w:rPr>
        <w:t>the</w:t>
      </w:r>
      <w:r>
        <w:rPr>
          <w:spacing w:val="-13"/>
          <w:w w:val="105"/>
          <w:sz w:val="14"/>
        </w:rPr>
        <w:t> </w:t>
      </w:r>
      <w:r>
        <w:rPr>
          <w:w w:val="105"/>
          <w:sz w:val="14"/>
        </w:rPr>
        <w:t>following</w:t>
      </w:r>
      <w:r>
        <w:rPr>
          <w:spacing w:val="-14"/>
          <w:w w:val="105"/>
          <w:sz w:val="14"/>
        </w:rPr>
        <w:t> </w:t>
      </w:r>
      <w:r>
        <w:rPr>
          <w:w w:val="105"/>
          <w:sz w:val="14"/>
        </w:rPr>
        <w:t>programs:</w:t>
      </w:r>
      <w:r>
        <w:rPr>
          <w:spacing w:val="-13"/>
          <w:w w:val="105"/>
          <w:sz w:val="14"/>
        </w:rPr>
        <w:t> </w:t>
      </w:r>
      <w:r>
        <w:rPr>
          <w:w w:val="105"/>
          <w:sz w:val="14"/>
        </w:rPr>
        <w:t>Nonagency</w:t>
      </w:r>
      <w:r>
        <w:rPr>
          <w:spacing w:val="-14"/>
          <w:w w:val="105"/>
          <w:sz w:val="14"/>
        </w:rPr>
        <w:t> </w:t>
      </w:r>
      <w:r>
        <w:rPr>
          <w:w w:val="105"/>
          <w:sz w:val="14"/>
        </w:rPr>
        <w:t>(Goals</w:t>
      </w:r>
      <w:r>
        <w:rPr>
          <w:spacing w:val="-14"/>
          <w:w w:val="105"/>
          <w:sz w:val="14"/>
        </w:rPr>
        <w:t> </w:t>
      </w:r>
      <w:r>
        <w:rPr>
          <w:w w:val="105"/>
          <w:sz w:val="14"/>
        </w:rPr>
        <w:t>7100-7199),</w:t>
      </w:r>
      <w:r>
        <w:rPr>
          <w:spacing w:val="-13"/>
          <w:w w:val="105"/>
          <w:sz w:val="14"/>
        </w:rPr>
        <w:t> </w:t>
      </w:r>
      <w:r>
        <w:rPr>
          <w:w w:val="105"/>
          <w:sz w:val="14"/>
        </w:rPr>
        <w:t>Community</w:t>
      </w:r>
      <w:r>
        <w:rPr>
          <w:spacing w:val="-15"/>
          <w:w w:val="105"/>
          <w:sz w:val="14"/>
        </w:rPr>
        <w:t> </w:t>
      </w:r>
      <w:r>
        <w:rPr>
          <w:w w:val="105"/>
          <w:sz w:val="14"/>
        </w:rPr>
        <w:t>Services</w:t>
      </w:r>
      <w:r>
        <w:rPr>
          <w:spacing w:val="-13"/>
          <w:w w:val="105"/>
          <w:sz w:val="14"/>
        </w:rPr>
        <w:t> </w:t>
      </w:r>
      <w:r>
        <w:rPr>
          <w:w w:val="105"/>
          <w:sz w:val="14"/>
        </w:rPr>
        <w:t>(Goal</w:t>
      </w:r>
      <w:r>
        <w:rPr>
          <w:spacing w:val="-14"/>
          <w:w w:val="105"/>
          <w:sz w:val="14"/>
        </w:rPr>
        <w:t> </w:t>
      </w:r>
      <w:r>
        <w:rPr>
          <w:w w:val="105"/>
          <w:sz w:val="14"/>
        </w:rPr>
        <w:t>8100),</w:t>
      </w:r>
      <w:r>
        <w:rPr>
          <w:spacing w:val="-12"/>
          <w:w w:val="105"/>
          <w:sz w:val="14"/>
        </w:rPr>
        <w:t> </w:t>
      </w:r>
      <w:r>
        <w:rPr>
          <w:w w:val="105"/>
          <w:sz w:val="14"/>
        </w:rPr>
        <w:t>Food</w:t>
      </w:r>
      <w:r>
        <w:rPr>
          <w:spacing w:val="-14"/>
          <w:w w:val="105"/>
          <w:sz w:val="14"/>
        </w:rPr>
        <w:t> </w:t>
      </w:r>
      <w:r>
        <w:rPr>
          <w:w w:val="105"/>
          <w:sz w:val="14"/>
        </w:rPr>
        <w:t>Services (Function</w:t>
      </w:r>
      <w:r>
        <w:rPr>
          <w:spacing w:val="-10"/>
          <w:w w:val="105"/>
          <w:sz w:val="14"/>
        </w:rPr>
        <w:t> </w:t>
      </w:r>
      <w:r>
        <w:rPr>
          <w:w w:val="105"/>
          <w:sz w:val="14"/>
        </w:rPr>
        <w:t>3700),</w:t>
      </w:r>
      <w:r>
        <w:rPr>
          <w:spacing w:val="-8"/>
          <w:w w:val="105"/>
          <w:sz w:val="14"/>
        </w:rPr>
        <w:t> </w:t>
      </w:r>
      <w:r>
        <w:rPr>
          <w:w w:val="105"/>
          <w:sz w:val="14"/>
        </w:rPr>
        <w:t>Fringe</w:t>
      </w:r>
      <w:r>
        <w:rPr>
          <w:spacing w:val="-8"/>
          <w:w w:val="105"/>
          <w:sz w:val="14"/>
        </w:rPr>
        <w:t> </w:t>
      </w:r>
      <w:r>
        <w:rPr>
          <w:w w:val="105"/>
          <w:sz w:val="14"/>
        </w:rPr>
        <w:t>Benefits</w:t>
      </w:r>
      <w:r>
        <w:rPr>
          <w:spacing w:val="-8"/>
          <w:w w:val="105"/>
          <w:sz w:val="14"/>
        </w:rPr>
        <w:t> </w:t>
      </w:r>
      <w:r>
        <w:rPr>
          <w:w w:val="105"/>
          <w:sz w:val="14"/>
        </w:rPr>
        <w:t>for</w:t>
      </w:r>
      <w:r>
        <w:rPr>
          <w:spacing w:val="-8"/>
          <w:w w:val="105"/>
          <w:sz w:val="14"/>
        </w:rPr>
        <w:t> </w:t>
      </w:r>
      <w:r>
        <w:rPr>
          <w:w w:val="105"/>
          <w:sz w:val="14"/>
        </w:rPr>
        <w:t>Retired</w:t>
      </w:r>
      <w:r>
        <w:rPr>
          <w:spacing w:val="-9"/>
          <w:w w:val="105"/>
          <w:sz w:val="14"/>
        </w:rPr>
        <w:t> </w:t>
      </w:r>
      <w:r>
        <w:rPr>
          <w:w w:val="105"/>
          <w:sz w:val="14"/>
        </w:rPr>
        <w:t>Persons</w:t>
      </w:r>
      <w:r>
        <w:rPr>
          <w:spacing w:val="-8"/>
          <w:w w:val="105"/>
          <w:sz w:val="14"/>
        </w:rPr>
        <w:t> </w:t>
      </w:r>
      <w:r>
        <w:rPr>
          <w:w w:val="105"/>
          <w:sz w:val="14"/>
        </w:rPr>
        <w:t>(Objects</w:t>
      </w:r>
      <w:r>
        <w:rPr>
          <w:spacing w:val="-7"/>
          <w:w w:val="105"/>
          <w:sz w:val="14"/>
        </w:rPr>
        <w:t> </w:t>
      </w:r>
      <w:r>
        <w:rPr>
          <w:w w:val="105"/>
          <w:sz w:val="14"/>
        </w:rPr>
        <w:t>3701-3702),</w:t>
      </w:r>
      <w:r>
        <w:rPr>
          <w:spacing w:val="-8"/>
          <w:w w:val="105"/>
          <w:sz w:val="14"/>
        </w:rPr>
        <w:t> </w:t>
      </w:r>
      <w:r>
        <w:rPr>
          <w:w w:val="105"/>
          <w:sz w:val="14"/>
        </w:rPr>
        <w:t>and</w:t>
      </w:r>
      <w:r>
        <w:rPr>
          <w:spacing w:val="-8"/>
          <w:w w:val="105"/>
          <w:sz w:val="14"/>
        </w:rPr>
        <w:t> </w:t>
      </w:r>
      <w:r>
        <w:rPr>
          <w:w w:val="105"/>
          <w:sz w:val="14"/>
        </w:rPr>
        <w:t>Facilities</w:t>
      </w:r>
      <w:r>
        <w:rPr>
          <w:spacing w:val="-8"/>
          <w:w w:val="105"/>
          <w:sz w:val="14"/>
        </w:rPr>
        <w:t> </w:t>
      </w:r>
      <w:r>
        <w:rPr>
          <w:w w:val="105"/>
          <w:sz w:val="14"/>
        </w:rPr>
        <w:t>Acquisition</w:t>
      </w:r>
      <w:r>
        <w:rPr>
          <w:spacing w:val="-9"/>
          <w:w w:val="105"/>
          <w:sz w:val="14"/>
        </w:rPr>
        <w:t> </w:t>
      </w:r>
      <w:r>
        <w:rPr>
          <w:w w:val="105"/>
          <w:sz w:val="14"/>
        </w:rPr>
        <w:t>&amp;</w:t>
      </w:r>
      <w:r>
        <w:rPr>
          <w:spacing w:val="-8"/>
          <w:w w:val="105"/>
          <w:sz w:val="14"/>
        </w:rPr>
        <w:t> </w:t>
      </w:r>
      <w:r>
        <w:rPr>
          <w:w w:val="105"/>
          <w:sz w:val="14"/>
        </w:rPr>
        <w:t>Construction</w:t>
      </w:r>
      <w:r>
        <w:rPr>
          <w:spacing w:val="-9"/>
          <w:w w:val="105"/>
          <w:sz w:val="14"/>
        </w:rPr>
        <w:t> </w:t>
      </w:r>
      <w:r>
        <w:rPr>
          <w:w w:val="105"/>
          <w:sz w:val="14"/>
        </w:rPr>
        <w:t>(Function</w:t>
      </w:r>
      <w:r>
        <w:rPr>
          <w:spacing w:val="-9"/>
          <w:w w:val="105"/>
          <w:sz w:val="14"/>
        </w:rPr>
        <w:t> </w:t>
      </w:r>
      <w:r>
        <w:rPr>
          <w:w w:val="105"/>
          <w:sz w:val="14"/>
        </w:rPr>
        <w:t>8500).</w:t>
      </w:r>
    </w:p>
    <w:p>
      <w:pPr>
        <w:pStyle w:val="BodyText"/>
        <w:spacing w:before="7"/>
        <w:rPr>
          <w:sz w:val="17"/>
        </w:rPr>
      </w:pPr>
    </w:p>
    <w:p>
      <w:pPr>
        <w:spacing w:line="300" w:lineRule="auto" w:before="0"/>
        <w:ind w:left="859" w:right="2451" w:hanging="612"/>
        <w:jc w:val="left"/>
        <w:rPr>
          <w:sz w:val="14"/>
        </w:rPr>
      </w:pPr>
      <w:r>
        <w:rPr>
          <w:w w:val="105"/>
          <w:sz w:val="14"/>
        </w:rPr>
        <w:t>Note</w:t>
      </w:r>
      <w:r>
        <w:rPr>
          <w:spacing w:val="-13"/>
          <w:w w:val="105"/>
          <w:sz w:val="14"/>
        </w:rPr>
        <w:t> </w:t>
      </w:r>
      <w:r>
        <w:rPr>
          <w:w w:val="105"/>
          <w:sz w:val="14"/>
        </w:rPr>
        <w:t>2</w:t>
      </w:r>
      <w:r>
        <w:rPr>
          <w:spacing w:val="-13"/>
          <w:w w:val="105"/>
          <w:sz w:val="14"/>
        </w:rPr>
        <w:t> </w:t>
      </w:r>
      <w:r>
        <w:rPr>
          <w:w w:val="105"/>
          <w:sz w:val="14"/>
        </w:rPr>
        <w:t>-</w:t>
      </w:r>
      <w:r>
        <w:rPr>
          <w:spacing w:val="-11"/>
          <w:w w:val="105"/>
          <w:sz w:val="14"/>
        </w:rPr>
        <w:t> </w:t>
      </w:r>
      <w:r>
        <w:rPr>
          <w:w w:val="105"/>
          <w:sz w:val="14"/>
        </w:rPr>
        <w:t>In</w:t>
      </w:r>
      <w:r>
        <w:rPr>
          <w:spacing w:val="-13"/>
          <w:w w:val="105"/>
          <w:sz w:val="14"/>
        </w:rPr>
        <w:t> </w:t>
      </w:r>
      <w:r>
        <w:rPr>
          <w:w w:val="105"/>
          <w:sz w:val="14"/>
        </w:rPr>
        <w:t>Column</w:t>
      </w:r>
      <w:r>
        <w:rPr>
          <w:spacing w:val="-13"/>
          <w:w w:val="105"/>
          <w:sz w:val="14"/>
        </w:rPr>
        <w:t> </w:t>
      </w:r>
      <w:r>
        <w:rPr>
          <w:w w:val="105"/>
          <w:sz w:val="14"/>
        </w:rPr>
        <w:t>4,</w:t>
      </w:r>
      <w:r>
        <w:rPr>
          <w:spacing w:val="-12"/>
          <w:w w:val="105"/>
          <w:sz w:val="14"/>
        </w:rPr>
        <w:t> </w:t>
      </w:r>
      <w:r>
        <w:rPr>
          <w:w w:val="105"/>
          <w:sz w:val="14"/>
        </w:rPr>
        <w:t>report</w:t>
      </w:r>
      <w:r>
        <w:rPr>
          <w:spacing w:val="-12"/>
          <w:w w:val="105"/>
          <w:sz w:val="14"/>
        </w:rPr>
        <w:t> </w:t>
      </w:r>
      <w:r>
        <w:rPr>
          <w:w w:val="105"/>
          <w:sz w:val="14"/>
        </w:rPr>
        <w:t>expenditures</w:t>
      </w:r>
      <w:r>
        <w:rPr>
          <w:spacing w:val="-12"/>
          <w:w w:val="105"/>
          <w:sz w:val="14"/>
        </w:rPr>
        <w:t> </w:t>
      </w:r>
      <w:r>
        <w:rPr>
          <w:w w:val="105"/>
          <w:sz w:val="14"/>
        </w:rPr>
        <w:t>for:</w:t>
      </w:r>
      <w:r>
        <w:rPr>
          <w:spacing w:val="-11"/>
          <w:w w:val="105"/>
          <w:sz w:val="14"/>
        </w:rPr>
        <w:t> </w:t>
      </w:r>
      <w:r>
        <w:rPr>
          <w:w w:val="105"/>
          <w:sz w:val="14"/>
        </w:rPr>
        <w:t>Transportation</w:t>
      </w:r>
      <w:r>
        <w:rPr>
          <w:spacing w:val="-13"/>
          <w:w w:val="105"/>
          <w:sz w:val="14"/>
        </w:rPr>
        <w:t> </w:t>
      </w:r>
      <w:r>
        <w:rPr>
          <w:w w:val="105"/>
          <w:sz w:val="14"/>
        </w:rPr>
        <w:t>(Function</w:t>
      </w:r>
      <w:r>
        <w:rPr>
          <w:spacing w:val="-13"/>
          <w:w w:val="105"/>
          <w:sz w:val="14"/>
        </w:rPr>
        <w:t> </w:t>
      </w:r>
      <w:r>
        <w:rPr>
          <w:w w:val="105"/>
          <w:sz w:val="14"/>
        </w:rPr>
        <w:t>3600),</w:t>
      </w:r>
      <w:r>
        <w:rPr>
          <w:spacing w:val="-11"/>
          <w:w w:val="105"/>
          <w:sz w:val="14"/>
        </w:rPr>
        <w:t> </w:t>
      </w:r>
      <w:r>
        <w:rPr>
          <w:w w:val="105"/>
          <w:sz w:val="14"/>
        </w:rPr>
        <w:t>Lottery</w:t>
      </w:r>
      <w:r>
        <w:rPr>
          <w:spacing w:val="-14"/>
          <w:w w:val="105"/>
          <w:sz w:val="14"/>
        </w:rPr>
        <w:t> </w:t>
      </w:r>
      <w:r>
        <w:rPr>
          <w:w w:val="105"/>
          <w:sz w:val="14"/>
        </w:rPr>
        <w:t>Expenditures</w:t>
      </w:r>
      <w:r>
        <w:rPr>
          <w:spacing w:val="-12"/>
          <w:w w:val="105"/>
          <w:sz w:val="14"/>
        </w:rPr>
        <w:t> </w:t>
      </w:r>
      <w:r>
        <w:rPr>
          <w:w w:val="105"/>
          <w:sz w:val="14"/>
        </w:rPr>
        <w:t>(Resource</w:t>
      </w:r>
      <w:r>
        <w:rPr>
          <w:spacing w:val="-12"/>
          <w:w w:val="105"/>
          <w:sz w:val="14"/>
        </w:rPr>
        <w:t> </w:t>
      </w:r>
      <w:r>
        <w:rPr>
          <w:w w:val="105"/>
          <w:sz w:val="14"/>
        </w:rPr>
        <w:t>1100),</w:t>
      </w:r>
      <w:r>
        <w:rPr>
          <w:spacing w:val="-12"/>
          <w:w w:val="105"/>
          <w:sz w:val="14"/>
        </w:rPr>
        <w:t> </w:t>
      </w:r>
      <w:r>
        <w:rPr>
          <w:w w:val="105"/>
          <w:sz w:val="14"/>
        </w:rPr>
        <w:t>Special</w:t>
      </w:r>
      <w:r>
        <w:rPr>
          <w:spacing w:val="-12"/>
          <w:w w:val="105"/>
          <w:sz w:val="14"/>
        </w:rPr>
        <w:t> </w:t>
      </w:r>
      <w:r>
        <w:rPr>
          <w:w w:val="105"/>
          <w:sz w:val="14"/>
        </w:rPr>
        <w:t>Education</w:t>
      </w:r>
      <w:r>
        <w:rPr>
          <w:spacing w:val="-12"/>
          <w:w w:val="105"/>
          <w:sz w:val="14"/>
        </w:rPr>
        <w:t> </w:t>
      </w:r>
      <w:r>
        <w:rPr>
          <w:w w:val="105"/>
          <w:sz w:val="14"/>
        </w:rPr>
        <w:t>Students</w:t>
      </w:r>
      <w:r>
        <w:rPr>
          <w:spacing w:val="-12"/>
          <w:w w:val="105"/>
          <w:sz w:val="14"/>
        </w:rPr>
        <w:t> </w:t>
      </w:r>
      <w:r>
        <w:rPr>
          <w:w w:val="105"/>
          <w:sz w:val="14"/>
        </w:rPr>
        <w:t>in Nonpublic</w:t>
      </w:r>
      <w:r>
        <w:rPr>
          <w:spacing w:val="-11"/>
          <w:w w:val="105"/>
          <w:sz w:val="14"/>
        </w:rPr>
        <w:t> </w:t>
      </w:r>
      <w:r>
        <w:rPr>
          <w:w w:val="105"/>
          <w:sz w:val="14"/>
        </w:rPr>
        <w:t>Schools</w:t>
      </w:r>
      <w:r>
        <w:rPr>
          <w:spacing w:val="-12"/>
          <w:w w:val="105"/>
          <w:sz w:val="14"/>
        </w:rPr>
        <w:t> </w:t>
      </w:r>
      <w:r>
        <w:rPr>
          <w:w w:val="105"/>
          <w:sz w:val="14"/>
        </w:rPr>
        <w:t>(Function</w:t>
      </w:r>
      <w:r>
        <w:rPr>
          <w:spacing w:val="-13"/>
          <w:w w:val="105"/>
          <w:sz w:val="14"/>
        </w:rPr>
        <w:t> </w:t>
      </w:r>
      <w:r>
        <w:rPr>
          <w:w w:val="105"/>
          <w:sz w:val="14"/>
        </w:rPr>
        <w:t>1180),</w:t>
      </w:r>
      <w:r>
        <w:rPr>
          <w:spacing w:val="-11"/>
          <w:w w:val="105"/>
          <w:sz w:val="14"/>
        </w:rPr>
        <w:t> </w:t>
      </w:r>
      <w:r>
        <w:rPr>
          <w:w w:val="105"/>
          <w:sz w:val="14"/>
        </w:rPr>
        <w:t>and</w:t>
      </w:r>
      <w:r>
        <w:rPr>
          <w:spacing w:val="-12"/>
          <w:w w:val="105"/>
          <w:sz w:val="14"/>
        </w:rPr>
        <w:t> </w:t>
      </w:r>
      <w:r>
        <w:rPr>
          <w:w w:val="105"/>
          <w:sz w:val="14"/>
        </w:rPr>
        <w:t>other</w:t>
      </w:r>
      <w:r>
        <w:rPr>
          <w:spacing w:val="-12"/>
          <w:w w:val="105"/>
          <w:sz w:val="14"/>
        </w:rPr>
        <w:t> </w:t>
      </w:r>
      <w:r>
        <w:rPr>
          <w:w w:val="105"/>
          <w:sz w:val="14"/>
        </w:rPr>
        <w:t>federal</w:t>
      </w:r>
      <w:r>
        <w:rPr>
          <w:spacing w:val="-12"/>
          <w:w w:val="105"/>
          <w:sz w:val="14"/>
        </w:rPr>
        <w:t> </w:t>
      </w:r>
      <w:r>
        <w:rPr>
          <w:w w:val="105"/>
          <w:sz w:val="14"/>
        </w:rPr>
        <w:t>or</w:t>
      </w:r>
      <w:r>
        <w:rPr>
          <w:spacing w:val="-11"/>
          <w:w w:val="105"/>
          <w:sz w:val="14"/>
        </w:rPr>
        <w:t> </w:t>
      </w:r>
      <w:r>
        <w:rPr>
          <w:w w:val="105"/>
          <w:sz w:val="14"/>
        </w:rPr>
        <w:t>state</w:t>
      </w:r>
      <w:r>
        <w:rPr>
          <w:spacing w:val="-13"/>
          <w:w w:val="105"/>
          <w:sz w:val="14"/>
        </w:rPr>
        <w:t> </w:t>
      </w:r>
      <w:r>
        <w:rPr>
          <w:w w:val="105"/>
          <w:sz w:val="14"/>
        </w:rPr>
        <w:t>categorical</w:t>
      </w:r>
      <w:r>
        <w:rPr>
          <w:spacing w:val="-11"/>
          <w:w w:val="105"/>
          <w:sz w:val="14"/>
        </w:rPr>
        <w:t> </w:t>
      </w:r>
      <w:r>
        <w:rPr>
          <w:w w:val="105"/>
          <w:sz w:val="14"/>
        </w:rPr>
        <w:t>aid</w:t>
      </w:r>
      <w:r>
        <w:rPr>
          <w:spacing w:val="-13"/>
          <w:w w:val="105"/>
          <w:sz w:val="14"/>
        </w:rPr>
        <w:t> </w:t>
      </w:r>
      <w:r>
        <w:rPr>
          <w:w w:val="105"/>
          <w:sz w:val="14"/>
        </w:rPr>
        <w:t>in</w:t>
      </w:r>
      <w:r>
        <w:rPr>
          <w:spacing w:val="-12"/>
          <w:w w:val="105"/>
          <w:sz w:val="14"/>
        </w:rPr>
        <w:t> </w:t>
      </w:r>
      <w:r>
        <w:rPr>
          <w:w w:val="105"/>
          <w:sz w:val="14"/>
        </w:rPr>
        <w:t>which</w:t>
      </w:r>
      <w:r>
        <w:rPr>
          <w:spacing w:val="-11"/>
          <w:w w:val="105"/>
          <w:sz w:val="14"/>
        </w:rPr>
        <w:t> </w:t>
      </w:r>
      <w:r>
        <w:rPr>
          <w:w w:val="105"/>
          <w:sz w:val="14"/>
        </w:rPr>
        <w:t>funds</w:t>
      </w:r>
      <w:r>
        <w:rPr>
          <w:spacing w:val="-11"/>
          <w:w w:val="105"/>
          <w:sz w:val="14"/>
        </w:rPr>
        <w:t> </w:t>
      </w:r>
      <w:r>
        <w:rPr>
          <w:w w:val="105"/>
          <w:sz w:val="14"/>
        </w:rPr>
        <w:t>were</w:t>
      </w:r>
      <w:r>
        <w:rPr>
          <w:spacing w:val="-13"/>
          <w:w w:val="105"/>
          <w:sz w:val="14"/>
        </w:rPr>
        <w:t> </w:t>
      </w:r>
      <w:r>
        <w:rPr>
          <w:w w:val="105"/>
          <w:sz w:val="14"/>
        </w:rPr>
        <w:t>granted</w:t>
      </w:r>
      <w:r>
        <w:rPr>
          <w:spacing w:val="-12"/>
          <w:w w:val="105"/>
          <w:sz w:val="14"/>
        </w:rPr>
        <w:t> </w:t>
      </w:r>
      <w:r>
        <w:rPr>
          <w:w w:val="105"/>
          <w:sz w:val="14"/>
        </w:rPr>
        <w:t>for</w:t>
      </w:r>
      <w:r>
        <w:rPr>
          <w:spacing w:val="-10"/>
          <w:w w:val="105"/>
          <w:sz w:val="14"/>
        </w:rPr>
        <w:t> </w:t>
      </w:r>
      <w:r>
        <w:rPr>
          <w:w w:val="105"/>
          <w:sz w:val="14"/>
        </w:rPr>
        <w:t>expenditures</w:t>
      </w:r>
      <w:r>
        <w:rPr>
          <w:spacing w:val="-11"/>
          <w:w w:val="105"/>
          <w:sz w:val="14"/>
        </w:rPr>
        <w:t> </w:t>
      </w:r>
      <w:r>
        <w:rPr>
          <w:w w:val="105"/>
          <w:sz w:val="14"/>
        </w:rPr>
        <w:t>in</w:t>
      </w:r>
      <w:r>
        <w:rPr>
          <w:spacing w:val="-12"/>
          <w:w w:val="105"/>
          <w:sz w:val="14"/>
        </w:rPr>
        <w:t> </w:t>
      </w:r>
      <w:r>
        <w:rPr>
          <w:w w:val="105"/>
          <w:sz w:val="14"/>
        </w:rPr>
        <w:t>a</w:t>
      </w:r>
      <w:r>
        <w:rPr>
          <w:spacing w:val="-13"/>
          <w:w w:val="105"/>
          <w:sz w:val="14"/>
        </w:rPr>
        <w:t> </w:t>
      </w:r>
      <w:r>
        <w:rPr>
          <w:w w:val="105"/>
          <w:sz w:val="14"/>
        </w:rPr>
        <w:t>program</w:t>
      </w:r>
      <w:r>
        <w:rPr>
          <w:spacing w:val="-13"/>
          <w:w w:val="105"/>
          <w:sz w:val="14"/>
        </w:rPr>
        <w:t> </w:t>
      </w:r>
      <w:r>
        <w:rPr>
          <w:w w:val="105"/>
          <w:sz w:val="14"/>
        </w:rPr>
        <w:t>not incurring</w:t>
      </w:r>
      <w:r>
        <w:rPr>
          <w:spacing w:val="-11"/>
          <w:w w:val="105"/>
          <w:sz w:val="14"/>
        </w:rPr>
        <w:t> </w:t>
      </w:r>
      <w:r>
        <w:rPr>
          <w:w w:val="105"/>
          <w:sz w:val="14"/>
        </w:rPr>
        <w:t>any</w:t>
      </w:r>
      <w:r>
        <w:rPr>
          <w:spacing w:val="-13"/>
          <w:w w:val="105"/>
          <w:sz w:val="14"/>
        </w:rPr>
        <w:t> </w:t>
      </w:r>
      <w:r>
        <w:rPr>
          <w:w w:val="105"/>
          <w:sz w:val="14"/>
        </w:rPr>
        <w:t>teacher</w:t>
      </w:r>
      <w:r>
        <w:rPr>
          <w:spacing w:val="-10"/>
          <w:w w:val="105"/>
          <w:sz w:val="14"/>
        </w:rPr>
        <w:t> </w:t>
      </w:r>
      <w:r>
        <w:rPr>
          <w:w w:val="105"/>
          <w:sz w:val="14"/>
        </w:rPr>
        <w:t>salary</w:t>
      </w:r>
      <w:r>
        <w:rPr>
          <w:spacing w:val="-12"/>
          <w:w w:val="105"/>
          <w:sz w:val="14"/>
        </w:rPr>
        <w:t> </w:t>
      </w:r>
      <w:r>
        <w:rPr>
          <w:w w:val="105"/>
          <w:sz w:val="14"/>
        </w:rPr>
        <w:t>expenditures</w:t>
      </w:r>
      <w:r>
        <w:rPr>
          <w:spacing w:val="-11"/>
          <w:w w:val="105"/>
          <w:sz w:val="14"/>
        </w:rPr>
        <w:t> </w:t>
      </w:r>
      <w:r>
        <w:rPr>
          <w:w w:val="105"/>
          <w:sz w:val="14"/>
        </w:rPr>
        <w:t>or</w:t>
      </w:r>
      <w:r>
        <w:rPr>
          <w:spacing w:val="-11"/>
          <w:w w:val="105"/>
          <w:sz w:val="14"/>
        </w:rPr>
        <w:t> </w:t>
      </w:r>
      <w:r>
        <w:rPr>
          <w:w w:val="105"/>
          <w:sz w:val="14"/>
        </w:rPr>
        <w:t>requiring</w:t>
      </w:r>
      <w:r>
        <w:rPr>
          <w:spacing w:val="-11"/>
          <w:w w:val="105"/>
          <w:sz w:val="14"/>
        </w:rPr>
        <w:t> </w:t>
      </w:r>
      <w:r>
        <w:rPr>
          <w:w w:val="105"/>
          <w:sz w:val="14"/>
        </w:rPr>
        <w:t>disbursement</w:t>
      </w:r>
      <w:r>
        <w:rPr>
          <w:spacing w:val="-10"/>
          <w:w w:val="105"/>
          <w:sz w:val="14"/>
        </w:rPr>
        <w:t> </w:t>
      </w:r>
      <w:r>
        <w:rPr>
          <w:w w:val="105"/>
          <w:sz w:val="14"/>
        </w:rPr>
        <w:t>of</w:t>
      </w:r>
      <w:r>
        <w:rPr>
          <w:spacing w:val="-10"/>
          <w:w w:val="105"/>
          <w:sz w:val="14"/>
        </w:rPr>
        <w:t> </w:t>
      </w:r>
      <w:r>
        <w:rPr>
          <w:w w:val="105"/>
          <w:sz w:val="14"/>
        </w:rPr>
        <w:t>the</w:t>
      </w:r>
      <w:r>
        <w:rPr>
          <w:spacing w:val="-12"/>
          <w:w w:val="105"/>
          <w:sz w:val="14"/>
        </w:rPr>
        <w:t> </w:t>
      </w:r>
      <w:r>
        <w:rPr>
          <w:w w:val="105"/>
          <w:sz w:val="14"/>
        </w:rPr>
        <w:t>funds</w:t>
      </w:r>
      <w:r>
        <w:rPr>
          <w:spacing w:val="-10"/>
          <w:w w:val="105"/>
          <w:sz w:val="14"/>
        </w:rPr>
        <w:t> </w:t>
      </w:r>
      <w:r>
        <w:rPr>
          <w:w w:val="105"/>
          <w:sz w:val="14"/>
        </w:rPr>
        <w:t>without</w:t>
      </w:r>
      <w:r>
        <w:rPr>
          <w:spacing w:val="-10"/>
          <w:w w:val="105"/>
          <w:sz w:val="14"/>
        </w:rPr>
        <w:t> </w:t>
      </w:r>
      <w:r>
        <w:rPr>
          <w:w w:val="105"/>
          <w:sz w:val="14"/>
        </w:rPr>
        <w:t>regard</w:t>
      </w:r>
      <w:r>
        <w:rPr>
          <w:spacing w:val="-12"/>
          <w:w w:val="105"/>
          <w:sz w:val="14"/>
        </w:rPr>
        <w:t> </w:t>
      </w:r>
      <w:r>
        <w:rPr>
          <w:w w:val="105"/>
          <w:sz w:val="14"/>
        </w:rPr>
        <w:t>to</w:t>
      </w:r>
      <w:r>
        <w:rPr>
          <w:spacing w:val="-11"/>
          <w:w w:val="105"/>
          <w:sz w:val="14"/>
        </w:rPr>
        <w:t> </w:t>
      </w:r>
      <w:r>
        <w:rPr>
          <w:w w:val="105"/>
          <w:sz w:val="14"/>
        </w:rPr>
        <w:t>the</w:t>
      </w:r>
      <w:r>
        <w:rPr>
          <w:spacing w:val="-12"/>
          <w:w w:val="105"/>
          <w:sz w:val="14"/>
        </w:rPr>
        <w:t> </w:t>
      </w:r>
      <w:r>
        <w:rPr>
          <w:w w:val="105"/>
          <w:sz w:val="14"/>
        </w:rPr>
        <w:t>requirements</w:t>
      </w:r>
      <w:r>
        <w:rPr>
          <w:spacing w:val="-10"/>
          <w:w w:val="105"/>
          <w:sz w:val="14"/>
        </w:rPr>
        <w:t> </w:t>
      </w:r>
      <w:r>
        <w:rPr>
          <w:w w:val="105"/>
          <w:sz w:val="14"/>
        </w:rPr>
        <w:t>of</w:t>
      </w:r>
      <w:r>
        <w:rPr>
          <w:spacing w:val="-10"/>
          <w:w w:val="105"/>
          <w:sz w:val="14"/>
        </w:rPr>
        <w:t> </w:t>
      </w:r>
      <w:r>
        <w:rPr>
          <w:w w:val="105"/>
          <w:sz w:val="14"/>
        </w:rPr>
        <w:t>EC</w:t>
      </w:r>
      <w:r>
        <w:rPr>
          <w:spacing w:val="-11"/>
          <w:w w:val="105"/>
          <w:sz w:val="14"/>
        </w:rPr>
        <w:t> </w:t>
      </w:r>
      <w:r>
        <w:rPr>
          <w:w w:val="105"/>
          <w:sz w:val="14"/>
        </w:rPr>
        <w:t>Section</w:t>
      </w:r>
      <w:r>
        <w:rPr>
          <w:spacing w:val="-12"/>
          <w:w w:val="105"/>
          <w:sz w:val="14"/>
        </w:rPr>
        <w:t> </w:t>
      </w:r>
      <w:r>
        <w:rPr>
          <w:w w:val="105"/>
          <w:sz w:val="14"/>
        </w:rPr>
        <w:t>41372.</w:t>
      </w:r>
    </w:p>
    <w:p>
      <w:pPr>
        <w:pStyle w:val="BodyText"/>
        <w:spacing w:before="8"/>
        <w:rPr>
          <w:sz w:val="14"/>
        </w:rPr>
      </w:pPr>
    </w:p>
    <w:p>
      <w:pPr>
        <w:spacing w:line="300" w:lineRule="auto" w:before="0"/>
        <w:ind w:left="329" w:right="2433" w:hanging="82"/>
        <w:jc w:val="left"/>
        <w:rPr>
          <w:sz w:val="14"/>
        </w:rPr>
      </w:pPr>
      <w:r>
        <w:rPr/>
        <w:pict>
          <v:group style="position:absolute;margin-left:12.36pt;margin-top:23.125885pt;width:587.2pt;height:281.05pt;mso-position-horizontal-relative:page;mso-position-vertical-relative:paragraph;z-index:-314054656" coordorigin="247,463" coordsize="11744,5621">
            <v:shape style="position:absolute;left:254;top:462;width:8218;height:22" type="#_x0000_t75" stroked="false">
              <v:imagedata r:id="rId1404" o:title=""/>
            </v:shape>
            <v:shape style="position:absolute;left:247;top:469;width:6509;height:406" type="#_x0000_t75" stroked="false">
              <v:imagedata r:id="rId1405" o:title=""/>
            </v:shape>
            <v:line style="position:absolute" from="5034,475" to="5034,859" stroked="true" strokeweight=".360008pt" strokecolor="#ffffff">
              <v:stroke dashstyle="solid"/>
            </v:line>
            <v:line style="position:absolute" from="5404,475" to="5404,859" stroked="true" strokeweight=".360008pt" strokecolor="#ffffff">
              <v:stroke dashstyle="solid"/>
            </v:line>
            <v:shape style="position:absolute;left:6748;top:462;width:4865;height:413" type="#_x0000_t75" stroked="false">
              <v:imagedata r:id="rId1406" o:title=""/>
            </v:shape>
            <v:line style="position:absolute" from="1972,866" to="1972,1060" stroked="true" strokeweight=".359997pt" strokecolor="#ffffff">
              <v:stroke dashstyle="solid"/>
            </v:line>
            <v:line style="position:absolute" from="3318,866" to="3318,1060" stroked="true" strokeweight=".359996pt" strokecolor="#ffffff">
              <v:stroke dashstyle="solid"/>
            </v:line>
            <v:line style="position:absolute" from="3688,866" to="3688,1060" stroked="true" strokeweight=".359997pt" strokecolor="#ffffff">
              <v:stroke dashstyle="solid"/>
            </v:line>
            <v:line style="position:absolute" from="5034,866" to="5034,1060" stroked="true" strokeweight=".360008pt" strokecolor="#ffffff">
              <v:stroke dashstyle="solid"/>
            </v:line>
            <v:line style="position:absolute" from="5404,866" to="5404,1060" stroked="true" strokeweight=".360008pt" strokecolor="#ffffff">
              <v:stroke dashstyle="solid"/>
            </v:line>
            <v:line style="position:absolute" from="6750,866" to="6750,1060" stroked="true" strokeweight=".359985pt" strokecolor="#ffffff">
              <v:stroke dashstyle="solid"/>
            </v:line>
            <v:line style="position:absolute" from="7120,866" to="7120,1060" stroked="true" strokeweight=".360008pt" strokecolor="#ffffff">
              <v:stroke dashstyle="solid"/>
            </v:line>
            <v:shape style="position:absolute;left:10260;top:462;width:1731;height:603" type="#_x0000_t75" stroked="false">
              <v:imagedata r:id="rId1407" o:title=""/>
            </v:shape>
            <v:line style="position:absolute" from="9892,866" to="9892,1060" stroked="true" strokeweight=".359986pt" strokecolor="#ffffff">
              <v:stroke dashstyle="solid"/>
            </v:line>
            <v:shape style="position:absolute;left:8464;top:860;width:1803;height:2427" type="#_x0000_t75" stroked="false">
              <v:imagedata r:id="rId1408" o:title=""/>
            </v:shape>
            <v:shape style="position:absolute;left:10260;top:860;width:1731;height:5223" type="#_x0000_t75" stroked="false">
              <v:imagedata r:id="rId1409" o:title=""/>
            </v:shape>
            <v:shape style="position:absolute;left:247;top:860;width:10020;height:4013" type="#_x0000_t75" stroked="false">
              <v:imagedata r:id="rId1410" o:title=""/>
            </v:shape>
            <v:line style="position:absolute" from="1972,4864" to="1972,5059" stroked="true" strokeweight=".359997pt" strokecolor="#ffffff">
              <v:stroke dashstyle="solid"/>
            </v:line>
            <v:line style="position:absolute" from="3318,4864" to="3318,5059" stroked="true" strokeweight=".359996pt" strokecolor="#ffffff">
              <v:stroke dashstyle="solid"/>
            </v:line>
            <v:line style="position:absolute" from="3688,4864" to="3688,5059" stroked="true" strokeweight=".359997pt" strokecolor="#ffffff">
              <v:stroke dashstyle="solid"/>
            </v:line>
            <v:shape style="position:absolute;left:247;top:4859;width:10020;height:1224" type="#_x0000_t75" stroked="false">
              <v:imagedata r:id="rId1411" o:title=""/>
            </v:shape>
            <v:shape style="position:absolute;left:288;top:3927;width:9993;height:2143" type="#_x0000_t202" filled="false" stroked="false">
              <v:textbox inset="0,0,0,0">
                <w:txbxContent>
                  <w:p>
                    <w:pPr>
                      <w:spacing w:line="160" w:lineRule="exact" w:before="0"/>
                      <w:ind w:left="0" w:right="0" w:firstLine="0"/>
                      <w:jc w:val="left"/>
                      <w:rPr>
                        <w:sz w:val="14"/>
                      </w:rPr>
                    </w:pPr>
                    <w:r>
                      <w:rPr>
                        <w:w w:val="105"/>
                        <w:sz w:val="14"/>
                      </w:rPr>
                      <w:t>13a. Less: Teacher and Instructional Aide Salaries and</w:t>
                    </w:r>
                  </w:p>
                  <w:p>
                    <w:pPr>
                      <w:spacing w:before="40"/>
                      <w:ind w:left="326" w:right="0" w:firstLine="0"/>
                      <w:jc w:val="left"/>
                      <w:rPr>
                        <w:sz w:val="14"/>
                      </w:rPr>
                    </w:pPr>
                    <w:r>
                      <w:rPr>
                        <w:w w:val="105"/>
                        <w:sz w:val="14"/>
                      </w:rPr>
                      <w:t>Benefits</w:t>
                    </w:r>
                    <w:r>
                      <w:rPr>
                        <w:spacing w:val="-3"/>
                        <w:w w:val="105"/>
                        <w:sz w:val="14"/>
                      </w:rPr>
                      <w:t> </w:t>
                    </w:r>
                    <w:r>
                      <w:rPr>
                        <w:w w:val="105"/>
                        <w:sz w:val="14"/>
                      </w:rPr>
                      <w:t>(other</w:t>
                    </w:r>
                    <w:r>
                      <w:rPr>
                        <w:spacing w:val="-2"/>
                        <w:w w:val="105"/>
                        <w:sz w:val="14"/>
                      </w:rPr>
                      <w:t> </w:t>
                    </w:r>
                    <w:r>
                      <w:rPr>
                        <w:w w:val="105"/>
                        <w:sz w:val="14"/>
                      </w:rPr>
                      <w:t>than</w:t>
                    </w:r>
                    <w:r>
                      <w:rPr>
                        <w:spacing w:val="-3"/>
                        <w:w w:val="105"/>
                        <w:sz w:val="14"/>
                      </w:rPr>
                      <w:t> </w:t>
                    </w:r>
                    <w:r>
                      <w:rPr>
                        <w:w w:val="105"/>
                        <w:sz w:val="14"/>
                      </w:rPr>
                      <w:t>Lottery)</w:t>
                    </w:r>
                    <w:r>
                      <w:rPr>
                        <w:spacing w:val="-2"/>
                        <w:w w:val="105"/>
                        <w:sz w:val="14"/>
                      </w:rPr>
                      <w:t> </w:t>
                    </w:r>
                    <w:r>
                      <w:rPr>
                        <w:w w:val="105"/>
                        <w:sz w:val="14"/>
                      </w:rPr>
                      <w:t>deducted</w:t>
                    </w:r>
                    <w:r>
                      <w:rPr>
                        <w:spacing w:val="-4"/>
                        <w:w w:val="105"/>
                        <w:sz w:val="14"/>
                      </w:rPr>
                      <w:t> </w:t>
                    </w:r>
                    <w:r>
                      <w:rPr>
                        <w:w w:val="105"/>
                        <w:sz w:val="14"/>
                      </w:rPr>
                      <w:t>in</w:t>
                    </w:r>
                    <w:r>
                      <w:rPr>
                        <w:spacing w:val="-4"/>
                        <w:w w:val="105"/>
                        <w:sz w:val="14"/>
                      </w:rPr>
                      <w:t> </w:t>
                    </w:r>
                    <w:r>
                      <w:rPr>
                        <w:w w:val="105"/>
                        <w:sz w:val="14"/>
                      </w:rPr>
                      <w:t>Column</w:t>
                    </w:r>
                    <w:r>
                      <w:rPr>
                        <w:spacing w:val="-4"/>
                        <w:w w:val="105"/>
                        <w:sz w:val="14"/>
                      </w:rPr>
                      <w:t> </w:t>
                    </w:r>
                    <w:r>
                      <w:rPr>
                        <w:w w:val="105"/>
                        <w:sz w:val="14"/>
                      </w:rPr>
                      <w:t>4a</w:t>
                    </w:r>
                    <w:r>
                      <w:rPr>
                        <w:spacing w:val="-3"/>
                        <w:w w:val="105"/>
                        <w:sz w:val="14"/>
                      </w:rPr>
                      <w:t> </w:t>
                    </w:r>
                    <w:r>
                      <w:rPr>
                        <w:w w:val="105"/>
                        <w:sz w:val="14"/>
                      </w:rPr>
                      <w:t>(Extracted).</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p>
                  <w:p>
                    <w:pPr>
                      <w:spacing w:before="24"/>
                      <w:ind w:left="163" w:right="0" w:firstLine="0"/>
                      <w:jc w:val="left"/>
                      <w:rPr>
                        <w:sz w:val="14"/>
                      </w:rPr>
                    </w:pPr>
                    <w:r>
                      <w:rPr>
                        <w:w w:val="105"/>
                        <w:sz w:val="14"/>
                      </w:rPr>
                      <w:t>b. Less: Teacher and Instructional Aide Salaries and</w:t>
                    </w:r>
                  </w:p>
                  <w:p>
                    <w:pPr>
                      <w:spacing w:before="24"/>
                      <w:ind w:left="326" w:right="0" w:firstLine="0"/>
                      <w:jc w:val="left"/>
                      <w:rPr>
                        <w:sz w:val="14"/>
                      </w:rPr>
                    </w:pPr>
                    <w:r>
                      <w:rPr>
                        <w:w w:val="105"/>
                        <w:sz w:val="14"/>
                      </w:rPr>
                      <w:t>Benefits</w:t>
                    </w:r>
                    <w:r>
                      <w:rPr>
                        <w:spacing w:val="-3"/>
                        <w:w w:val="105"/>
                        <w:sz w:val="14"/>
                      </w:rPr>
                      <w:t> </w:t>
                    </w:r>
                    <w:r>
                      <w:rPr>
                        <w:w w:val="105"/>
                        <w:sz w:val="14"/>
                      </w:rPr>
                      <w:t>(other</w:t>
                    </w:r>
                    <w:r>
                      <w:rPr>
                        <w:spacing w:val="-2"/>
                        <w:w w:val="105"/>
                        <w:sz w:val="14"/>
                      </w:rPr>
                      <w:t> </w:t>
                    </w:r>
                    <w:r>
                      <w:rPr>
                        <w:w w:val="105"/>
                        <w:sz w:val="14"/>
                      </w:rPr>
                      <w:t>than</w:t>
                    </w:r>
                    <w:r>
                      <w:rPr>
                        <w:spacing w:val="-3"/>
                        <w:w w:val="105"/>
                        <w:sz w:val="14"/>
                      </w:rPr>
                      <w:t> </w:t>
                    </w:r>
                    <w:r>
                      <w:rPr>
                        <w:w w:val="105"/>
                        <w:sz w:val="14"/>
                      </w:rPr>
                      <w:t>Lottery)</w:t>
                    </w:r>
                    <w:r>
                      <w:rPr>
                        <w:spacing w:val="-2"/>
                        <w:w w:val="105"/>
                        <w:sz w:val="14"/>
                      </w:rPr>
                      <w:t> </w:t>
                    </w:r>
                    <w:r>
                      <w:rPr>
                        <w:w w:val="105"/>
                        <w:sz w:val="14"/>
                      </w:rPr>
                      <w:t>deducted</w:t>
                    </w:r>
                    <w:r>
                      <w:rPr>
                        <w:spacing w:val="-4"/>
                        <w:w w:val="105"/>
                        <w:sz w:val="14"/>
                      </w:rPr>
                      <w:t> </w:t>
                    </w:r>
                    <w:r>
                      <w:rPr>
                        <w:w w:val="105"/>
                        <w:sz w:val="14"/>
                      </w:rPr>
                      <w:t>in</w:t>
                    </w:r>
                    <w:r>
                      <w:rPr>
                        <w:spacing w:val="-5"/>
                        <w:w w:val="105"/>
                        <w:sz w:val="14"/>
                      </w:rPr>
                      <w:t> </w:t>
                    </w:r>
                    <w:r>
                      <w:rPr>
                        <w:w w:val="105"/>
                        <w:sz w:val="14"/>
                      </w:rPr>
                      <w:t>Column</w:t>
                    </w:r>
                    <w:r>
                      <w:rPr>
                        <w:spacing w:val="-4"/>
                        <w:w w:val="105"/>
                        <w:sz w:val="14"/>
                      </w:rPr>
                      <w:t> </w:t>
                    </w:r>
                    <w:r>
                      <w:rPr>
                        <w:w w:val="105"/>
                        <w:sz w:val="14"/>
                      </w:rPr>
                      <w:t>4b</w:t>
                    </w:r>
                    <w:r>
                      <w:rPr>
                        <w:spacing w:val="-3"/>
                        <w:w w:val="105"/>
                        <w:sz w:val="14"/>
                      </w:rPr>
                      <w:t> </w:t>
                    </w:r>
                    <w:r>
                      <w:rPr>
                        <w:w w:val="105"/>
                        <w:sz w:val="14"/>
                      </w:rPr>
                      <w:t>(Overrides)*.</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p>
                  <w:p>
                    <w:pPr>
                      <w:spacing w:before="41"/>
                      <w:ind w:left="0" w:right="0" w:firstLine="0"/>
                      <w:jc w:val="left"/>
                      <w:rPr>
                        <w:sz w:val="14"/>
                      </w:rPr>
                    </w:pPr>
                    <w:r>
                      <w:rPr>
                        <w:w w:val="105"/>
                        <w:sz w:val="14"/>
                      </w:rPr>
                      <w:t>14. </w:t>
                    </w:r>
                    <w:r>
                      <w:rPr>
                        <w:spacing w:val="36"/>
                        <w:w w:val="105"/>
                        <w:sz w:val="14"/>
                      </w:rPr>
                      <w:t> </w:t>
                    </w:r>
                    <w:r>
                      <w:rPr>
                        <w:w w:val="105"/>
                        <w:sz w:val="14"/>
                      </w:rPr>
                      <w:t>TOTAL</w:t>
                    </w:r>
                    <w:r>
                      <w:rPr>
                        <w:spacing w:val="-2"/>
                        <w:w w:val="105"/>
                        <w:sz w:val="14"/>
                      </w:rPr>
                      <w:t> </w:t>
                    </w:r>
                    <w:r>
                      <w:rPr>
                        <w:w w:val="105"/>
                        <w:sz w:val="14"/>
                      </w:rPr>
                      <w:t>SALARIES</w:t>
                    </w:r>
                    <w:r>
                      <w:rPr>
                        <w:spacing w:val="-2"/>
                        <w:w w:val="105"/>
                        <w:sz w:val="14"/>
                      </w:rPr>
                      <w:t> </w:t>
                    </w:r>
                    <w:r>
                      <w:rPr>
                        <w:w w:val="105"/>
                        <w:sz w:val="14"/>
                      </w:rPr>
                      <w:t>AND</w:t>
                    </w:r>
                    <w:r>
                      <w:rPr>
                        <w:spacing w:val="-3"/>
                        <w:w w:val="105"/>
                        <w:sz w:val="14"/>
                      </w:rPr>
                      <w:t> </w:t>
                    </w:r>
                    <w:r>
                      <w:rPr>
                        <w:w w:val="105"/>
                        <w:sz w:val="14"/>
                      </w:rPr>
                      <w:t>BENEFITS.</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3"/>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3"/>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p>
                  <w:p>
                    <w:pPr>
                      <w:numPr>
                        <w:ilvl w:val="0"/>
                        <w:numId w:val="64"/>
                      </w:numPr>
                      <w:tabs>
                        <w:tab w:pos="322" w:val="left" w:leader="none"/>
                      </w:tabs>
                      <w:spacing w:line="300" w:lineRule="auto" w:before="40"/>
                      <w:ind w:left="366" w:right="5687" w:hanging="367"/>
                      <w:jc w:val="left"/>
                      <w:rPr>
                        <w:sz w:val="14"/>
                      </w:rPr>
                    </w:pPr>
                    <w:r>
                      <w:rPr>
                        <w:w w:val="105"/>
                        <w:sz w:val="14"/>
                      </w:rPr>
                      <w:t>Percent</w:t>
                    </w:r>
                    <w:r>
                      <w:rPr>
                        <w:spacing w:val="-13"/>
                        <w:w w:val="105"/>
                        <w:sz w:val="14"/>
                      </w:rPr>
                      <w:t> </w:t>
                    </w:r>
                    <w:r>
                      <w:rPr>
                        <w:w w:val="105"/>
                        <w:sz w:val="14"/>
                      </w:rPr>
                      <w:t>of</w:t>
                    </w:r>
                    <w:r>
                      <w:rPr>
                        <w:spacing w:val="-12"/>
                        <w:w w:val="105"/>
                        <w:sz w:val="14"/>
                      </w:rPr>
                      <w:t> </w:t>
                    </w:r>
                    <w:r>
                      <w:rPr>
                        <w:w w:val="105"/>
                        <w:sz w:val="14"/>
                      </w:rPr>
                      <w:t>Current</w:t>
                    </w:r>
                    <w:r>
                      <w:rPr>
                        <w:spacing w:val="-12"/>
                        <w:w w:val="105"/>
                        <w:sz w:val="14"/>
                      </w:rPr>
                      <w:t> </w:t>
                    </w:r>
                    <w:r>
                      <w:rPr>
                        <w:w w:val="105"/>
                        <w:sz w:val="14"/>
                      </w:rPr>
                      <w:t>Cost</w:t>
                    </w:r>
                    <w:r>
                      <w:rPr>
                        <w:spacing w:val="-13"/>
                        <w:w w:val="105"/>
                        <w:sz w:val="14"/>
                      </w:rPr>
                      <w:t> </w:t>
                    </w:r>
                    <w:r>
                      <w:rPr>
                        <w:w w:val="105"/>
                        <w:sz w:val="14"/>
                      </w:rPr>
                      <w:t>of</w:t>
                    </w:r>
                    <w:r>
                      <w:rPr>
                        <w:spacing w:val="-12"/>
                        <w:w w:val="105"/>
                        <w:sz w:val="14"/>
                      </w:rPr>
                      <w:t> </w:t>
                    </w:r>
                    <w:r>
                      <w:rPr>
                        <w:w w:val="105"/>
                        <w:sz w:val="14"/>
                      </w:rPr>
                      <w:t>Education</w:t>
                    </w:r>
                    <w:r>
                      <w:rPr>
                        <w:spacing w:val="-13"/>
                        <w:w w:val="105"/>
                        <w:sz w:val="14"/>
                      </w:rPr>
                      <w:t> </w:t>
                    </w:r>
                    <w:r>
                      <w:rPr>
                        <w:w w:val="105"/>
                        <w:sz w:val="14"/>
                      </w:rPr>
                      <w:t>Expended</w:t>
                    </w:r>
                    <w:r>
                      <w:rPr>
                        <w:spacing w:val="-12"/>
                        <w:w w:val="105"/>
                        <w:sz w:val="14"/>
                      </w:rPr>
                      <w:t> </w:t>
                    </w:r>
                    <w:r>
                      <w:rPr>
                        <w:w w:val="105"/>
                        <w:sz w:val="14"/>
                      </w:rPr>
                      <w:t>for</w:t>
                    </w:r>
                    <w:r>
                      <w:rPr>
                        <w:spacing w:val="-13"/>
                        <w:w w:val="105"/>
                        <w:sz w:val="14"/>
                      </w:rPr>
                      <w:t> </w:t>
                    </w:r>
                    <w:r>
                      <w:rPr>
                        <w:w w:val="105"/>
                        <w:sz w:val="14"/>
                      </w:rPr>
                      <w:t>Classroom Compensation (EDP 397 divided by EDP 369) Line 15 must equal</w:t>
                    </w:r>
                    <w:r>
                      <w:rPr>
                        <w:spacing w:val="-11"/>
                        <w:w w:val="105"/>
                        <w:sz w:val="14"/>
                      </w:rPr>
                      <w:t> </w:t>
                    </w:r>
                    <w:r>
                      <w:rPr>
                        <w:w w:val="105"/>
                        <w:sz w:val="14"/>
                      </w:rPr>
                      <w:t>or</w:t>
                    </w:r>
                    <w:r>
                      <w:rPr>
                        <w:spacing w:val="-10"/>
                        <w:w w:val="105"/>
                        <w:sz w:val="14"/>
                      </w:rPr>
                      <w:t> </w:t>
                    </w:r>
                    <w:r>
                      <w:rPr>
                        <w:w w:val="105"/>
                        <w:sz w:val="14"/>
                      </w:rPr>
                      <w:t>exceed</w:t>
                    </w:r>
                    <w:r>
                      <w:rPr>
                        <w:spacing w:val="-11"/>
                        <w:w w:val="105"/>
                        <w:sz w:val="14"/>
                      </w:rPr>
                      <w:t> </w:t>
                    </w:r>
                    <w:r>
                      <w:rPr>
                        <w:w w:val="105"/>
                        <w:sz w:val="14"/>
                      </w:rPr>
                      <w:t>60%</w:t>
                    </w:r>
                    <w:r>
                      <w:rPr>
                        <w:spacing w:val="-10"/>
                        <w:w w:val="105"/>
                        <w:sz w:val="14"/>
                      </w:rPr>
                      <w:t> </w:t>
                    </w:r>
                    <w:r>
                      <w:rPr>
                        <w:w w:val="105"/>
                        <w:sz w:val="14"/>
                      </w:rPr>
                      <w:t>for</w:t>
                    </w:r>
                    <w:r>
                      <w:rPr>
                        <w:spacing w:val="-11"/>
                        <w:w w:val="105"/>
                        <w:sz w:val="14"/>
                      </w:rPr>
                      <w:t> </w:t>
                    </w:r>
                    <w:r>
                      <w:rPr>
                        <w:w w:val="105"/>
                        <w:sz w:val="14"/>
                      </w:rPr>
                      <w:t>elementary,</w:t>
                    </w:r>
                    <w:r>
                      <w:rPr>
                        <w:spacing w:val="-10"/>
                        <w:w w:val="105"/>
                        <w:sz w:val="14"/>
                      </w:rPr>
                      <w:t> </w:t>
                    </w:r>
                    <w:r>
                      <w:rPr>
                        <w:w w:val="105"/>
                        <w:sz w:val="14"/>
                      </w:rPr>
                      <w:t>55%</w:t>
                    </w:r>
                    <w:r>
                      <w:rPr>
                        <w:spacing w:val="-11"/>
                        <w:w w:val="105"/>
                        <w:sz w:val="14"/>
                      </w:rPr>
                      <w:t> </w:t>
                    </w:r>
                    <w:r>
                      <w:rPr>
                        <w:w w:val="105"/>
                        <w:sz w:val="14"/>
                      </w:rPr>
                      <w:t>for</w:t>
                    </w:r>
                    <w:r>
                      <w:rPr>
                        <w:spacing w:val="-10"/>
                        <w:w w:val="105"/>
                        <w:sz w:val="14"/>
                      </w:rPr>
                      <w:t> </w:t>
                    </w:r>
                    <w:r>
                      <w:rPr>
                        <w:w w:val="105"/>
                        <w:sz w:val="14"/>
                      </w:rPr>
                      <w:t>unified</w:t>
                    </w:r>
                    <w:r>
                      <w:rPr>
                        <w:spacing w:val="-12"/>
                        <w:w w:val="105"/>
                        <w:sz w:val="14"/>
                      </w:rPr>
                      <w:t> </w:t>
                    </w:r>
                    <w:r>
                      <w:rPr>
                        <w:w w:val="105"/>
                        <w:sz w:val="14"/>
                      </w:rPr>
                      <w:t>and</w:t>
                    </w:r>
                    <w:r>
                      <w:rPr>
                        <w:spacing w:val="-10"/>
                        <w:w w:val="105"/>
                        <w:sz w:val="14"/>
                      </w:rPr>
                      <w:t> </w:t>
                    </w:r>
                    <w:r>
                      <w:rPr>
                        <w:spacing w:val="-5"/>
                        <w:w w:val="105"/>
                        <w:sz w:val="14"/>
                      </w:rPr>
                      <w:t>50%</w:t>
                    </w:r>
                  </w:p>
                  <w:p>
                    <w:pPr>
                      <w:spacing w:before="1"/>
                      <w:ind w:left="366" w:right="0" w:firstLine="0"/>
                      <w:jc w:val="left"/>
                      <w:rPr>
                        <w:sz w:val="14"/>
                      </w:rPr>
                    </w:pPr>
                    <w:r>
                      <w:rPr>
                        <w:w w:val="105"/>
                        <w:sz w:val="14"/>
                      </w:rPr>
                      <w:t>for</w:t>
                    </w:r>
                    <w:r>
                      <w:rPr>
                        <w:spacing w:val="-4"/>
                        <w:w w:val="105"/>
                        <w:sz w:val="14"/>
                      </w:rPr>
                      <w:t> </w:t>
                    </w:r>
                    <w:r>
                      <w:rPr>
                        <w:w w:val="105"/>
                        <w:sz w:val="14"/>
                      </w:rPr>
                      <w:t>high</w:t>
                    </w:r>
                    <w:r>
                      <w:rPr>
                        <w:spacing w:val="-3"/>
                        <w:w w:val="105"/>
                        <w:sz w:val="14"/>
                      </w:rPr>
                      <w:t> </w:t>
                    </w:r>
                    <w:r>
                      <w:rPr>
                        <w:w w:val="105"/>
                        <w:sz w:val="14"/>
                      </w:rPr>
                      <w:t>school</w:t>
                    </w:r>
                    <w:r>
                      <w:rPr>
                        <w:spacing w:val="-3"/>
                        <w:w w:val="105"/>
                        <w:sz w:val="14"/>
                      </w:rPr>
                      <w:t> </w:t>
                    </w:r>
                    <w:r>
                      <w:rPr>
                        <w:w w:val="105"/>
                        <w:sz w:val="14"/>
                      </w:rPr>
                      <w:t>districts</w:t>
                    </w:r>
                    <w:r>
                      <w:rPr>
                        <w:spacing w:val="-3"/>
                        <w:w w:val="105"/>
                        <w:sz w:val="14"/>
                      </w:rPr>
                      <w:t> </w:t>
                    </w:r>
                    <w:r>
                      <w:rPr>
                        <w:w w:val="105"/>
                        <w:sz w:val="14"/>
                      </w:rPr>
                      <w:t>to</w:t>
                    </w:r>
                    <w:r>
                      <w:rPr>
                        <w:spacing w:val="-4"/>
                        <w:w w:val="105"/>
                        <w:sz w:val="14"/>
                      </w:rPr>
                      <w:t> </w:t>
                    </w:r>
                    <w:r>
                      <w:rPr>
                        <w:w w:val="105"/>
                        <w:sz w:val="14"/>
                      </w:rPr>
                      <w:t>avoid</w:t>
                    </w:r>
                    <w:r>
                      <w:rPr>
                        <w:spacing w:val="-3"/>
                        <w:w w:val="105"/>
                        <w:sz w:val="14"/>
                      </w:rPr>
                      <w:t> </w:t>
                    </w:r>
                    <w:r>
                      <w:rPr>
                        <w:w w:val="105"/>
                        <w:sz w:val="14"/>
                      </w:rPr>
                      <w:t>penalty</w:t>
                    </w:r>
                    <w:r>
                      <w:rPr>
                        <w:spacing w:val="-6"/>
                        <w:w w:val="105"/>
                        <w:sz w:val="14"/>
                      </w:rPr>
                      <w:t> </w:t>
                    </w:r>
                    <w:r>
                      <w:rPr>
                        <w:w w:val="105"/>
                        <w:sz w:val="14"/>
                      </w:rPr>
                      <w:t>under</w:t>
                    </w:r>
                    <w:r>
                      <w:rPr>
                        <w:spacing w:val="-3"/>
                        <w:w w:val="105"/>
                        <w:sz w:val="14"/>
                      </w:rPr>
                      <w:t> </w:t>
                    </w:r>
                    <w:r>
                      <w:rPr>
                        <w:w w:val="105"/>
                        <w:sz w:val="14"/>
                      </w:rPr>
                      <w:t>provisions</w:t>
                    </w:r>
                    <w:r>
                      <w:rPr>
                        <w:spacing w:val="-3"/>
                        <w:w w:val="105"/>
                        <w:sz w:val="14"/>
                      </w:rPr>
                      <w:t> </w:t>
                    </w:r>
                    <w:r>
                      <w:rPr>
                        <w:w w:val="105"/>
                        <w:sz w:val="14"/>
                      </w:rPr>
                      <w:t>of</w:t>
                    </w:r>
                    <w:r>
                      <w:rPr>
                        <w:spacing w:val="-2"/>
                        <w:w w:val="105"/>
                        <w:sz w:val="14"/>
                      </w:rPr>
                      <w:t> </w:t>
                    </w:r>
                    <w:r>
                      <w:rPr>
                        <w:w w:val="105"/>
                        <w:sz w:val="14"/>
                      </w:rPr>
                      <w:t>EC</w:t>
                    </w:r>
                    <w:r>
                      <w:rPr>
                        <w:spacing w:val="-3"/>
                        <w:w w:val="105"/>
                        <w:sz w:val="14"/>
                      </w:rPr>
                      <w:t> </w:t>
                    </w:r>
                    <w:r>
                      <w:rPr>
                        <w:w w:val="105"/>
                        <w:sz w:val="14"/>
                      </w:rPr>
                      <w:t>41372.</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4"/>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p>
                  <w:p>
                    <w:pPr>
                      <w:numPr>
                        <w:ilvl w:val="0"/>
                        <w:numId w:val="64"/>
                      </w:numPr>
                      <w:tabs>
                        <w:tab w:pos="322" w:val="left" w:leader="none"/>
                      </w:tabs>
                      <w:spacing w:before="41"/>
                      <w:ind w:left="321" w:right="0" w:hanging="322"/>
                      <w:jc w:val="left"/>
                      <w:rPr>
                        <w:sz w:val="14"/>
                      </w:rPr>
                    </w:pPr>
                    <w:r>
                      <w:rPr>
                        <w:w w:val="105"/>
                        <w:sz w:val="14"/>
                      </w:rPr>
                      <w:t>District is exempt from EC 41372 because it meets the</w:t>
                    </w:r>
                    <w:r>
                      <w:rPr>
                        <w:spacing w:val="-18"/>
                        <w:w w:val="105"/>
                        <w:sz w:val="14"/>
                      </w:rPr>
                      <w:t> </w:t>
                    </w:r>
                    <w:r>
                      <w:rPr>
                        <w:w w:val="105"/>
                        <w:sz w:val="14"/>
                      </w:rPr>
                      <w:t>provisions</w:t>
                    </w:r>
                  </w:p>
                  <w:p>
                    <w:pPr>
                      <w:spacing w:before="40"/>
                      <w:ind w:left="366" w:right="0" w:firstLine="0"/>
                      <w:jc w:val="left"/>
                      <w:rPr>
                        <w:sz w:val="14"/>
                      </w:rPr>
                    </w:pPr>
                    <w:r>
                      <w:rPr>
                        <w:w w:val="105"/>
                        <w:sz w:val="14"/>
                      </w:rPr>
                      <w:t>of EC 41374. (If exempt, enter 'X') . . . . . . . . . . . . . . . . . . . . . . . . . . . . . . . . . . . . . . . . . . . . . . . . . . . . . . . . . . . . . . . . . . . . . . . . . . . . . . . . . . . . . . . . . .</w:t>
                    </w:r>
                  </w:p>
                </w:txbxContent>
              </v:textbox>
              <w10:wrap type="none"/>
            </v:shape>
            <v:shape style="position:absolute;left:11253;top:4129;width:683;height:161" type="#_x0000_t202" filled="false" stroked="false">
              <v:textbox inset="0,0,0,0">
                <w:txbxContent>
                  <w:p>
                    <w:pPr>
                      <w:spacing w:line="160" w:lineRule="exact" w:before="0"/>
                      <w:ind w:left="0" w:right="0" w:firstLine="0"/>
                      <w:jc w:val="left"/>
                      <w:rPr>
                        <w:sz w:val="14"/>
                      </w:rPr>
                    </w:pPr>
                    <w:r>
                      <w:rPr>
                        <w:w w:val="105"/>
                        <w:sz w:val="14"/>
                      </w:rPr>
                      <w:t>0.00 396</w:t>
                    </w:r>
                  </w:p>
                </w:txbxContent>
              </v:textbox>
              <w10:wrap type="none"/>
            </v:shape>
            <v:shape style="position:absolute;left:10816;top:4700;width:736;height:161" type="#_x0000_t202" filled="false" stroked="false">
              <v:textbox inset="0,0,0,0">
                <w:txbxContent>
                  <w:p>
                    <w:pPr>
                      <w:spacing w:line="160" w:lineRule="exact" w:before="0"/>
                      <w:ind w:left="0" w:right="0" w:firstLine="0"/>
                      <w:jc w:val="left"/>
                      <w:rPr>
                        <w:sz w:val="14"/>
                      </w:rPr>
                    </w:pPr>
                    <w:r>
                      <w:rPr>
                        <w:sz w:val="14"/>
                      </w:rPr>
                      <w:t>889,138.00</w:t>
                    </w:r>
                  </w:p>
                </w:txbxContent>
              </v:textbox>
              <w10:wrap type="none"/>
            </v:shape>
            <v:shape style="position:absolute;left:11678;top:4498;width:259;height:363" type="#_x0000_t202" filled="false" stroked="false">
              <v:textbox inset="0,0,0,0">
                <w:txbxContent>
                  <w:p>
                    <w:pPr>
                      <w:spacing w:line="160" w:lineRule="exact" w:before="0"/>
                      <w:ind w:left="0" w:right="0" w:firstLine="0"/>
                      <w:jc w:val="left"/>
                      <w:rPr>
                        <w:sz w:val="14"/>
                      </w:rPr>
                    </w:pPr>
                    <w:r>
                      <w:rPr>
                        <w:w w:val="105"/>
                        <w:sz w:val="14"/>
                      </w:rPr>
                      <w:t>396</w:t>
                    </w:r>
                  </w:p>
                  <w:p>
                    <w:pPr>
                      <w:spacing w:before="40"/>
                      <w:ind w:left="0" w:right="0" w:firstLine="0"/>
                      <w:jc w:val="left"/>
                      <w:rPr>
                        <w:sz w:val="14"/>
                      </w:rPr>
                    </w:pPr>
                    <w:r>
                      <w:rPr>
                        <w:w w:val="105"/>
                        <w:sz w:val="14"/>
                      </w:rPr>
                      <w:t>397</w:t>
                    </w:r>
                  </w:p>
                </w:txbxContent>
              </v:textbox>
              <w10:wrap type="none"/>
            </v:shape>
            <v:shape style="position:absolute;left:11095;top:5506;width:506;height:161" type="#_x0000_t202" filled="false" stroked="false">
              <v:textbox inset="0,0,0,0">
                <w:txbxContent>
                  <w:p>
                    <w:pPr>
                      <w:spacing w:line="160" w:lineRule="exact" w:before="0"/>
                      <w:ind w:left="0" w:right="0" w:firstLine="0"/>
                      <w:jc w:val="left"/>
                      <w:rPr>
                        <w:sz w:val="14"/>
                      </w:rPr>
                    </w:pPr>
                    <w:r>
                      <w:rPr>
                        <w:w w:val="105"/>
                        <w:sz w:val="14"/>
                      </w:rPr>
                      <w:t>48.95%</w:t>
                    </w:r>
                  </w:p>
                </w:txbxContent>
              </v:textbox>
              <w10:wrap type="none"/>
            </v:shape>
            <v:shape style="position:absolute;left:10900;top:5910;width:92;height:161" type="#_x0000_t202" filled="false" stroked="false">
              <v:textbox inset="0,0,0,0">
                <w:txbxContent>
                  <w:p>
                    <w:pPr>
                      <w:spacing w:line="160" w:lineRule="exact" w:before="0"/>
                      <w:ind w:left="0" w:right="0" w:firstLine="0"/>
                      <w:jc w:val="left"/>
                      <w:rPr>
                        <w:sz w:val="14"/>
                      </w:rPr>
                    </w:pPr>
                    <w:r>
                      <w:rPr>
                        <w:w w:val="102"/>
                        <w:sz w:val="14"/>
                      </w:rPr>
                      <w:t>x</w:t>
                    </w:r>
                  </w:p>
                </w:txbxContent>
              </v:textbox>
              <w10:wrap type="none"/>
            </v:shape>
            <w10:wrap type="none"/>
          </v:group>
        </w:pict>
      </w:r>
      <w:r>
        <w:rPr>
          <w:w w:val="105"/>
          <w:sz w:val="14"/>
        </w:rPr>
        <w:t>*</w:t>
      </w:r>
      <w:r>
        <w:rPr>
          <w:spacing w:val="-9"/>
          <w:w w:val="105"/>
          <w:sz w:val="14"/>
        </w:rPr>
        <w:t> </w:t>
      </w:r>
      <w:r>
        <w:rPr>
          <w:w w:val="105"/>
          <w:sz w:val="14"/>
        </w:rPr>
        <w:t>If</w:t>
      </w:r>
      <w:r>
        <w:rPr>
          <w:spacing w:val="-8"/>
          <w:w w:val="105"/>
          <w:sz w:val="14"/>
        </w:rPr>
        <w:t> </w:t>
      </w:r>
      <w:r>
        <w:rPr>
          <w:w w:val="105"/>
          <w:sz w:val="14"/>
        </w:rPr>
        <w:t>an</w:t>
      </w:r>
      <w:r>
        <w:rPr>
          <w:spacing w:val="-9"/>
          <w:w w:val="105"/>
          <w:sz w:val="14"/>
        </w:rPr>
        <w:t> </w:t>
      </w:r>
      <w:r>
        <w:rPr>
          <w:w w:val="105"/>
          <w:sz w:val="14"/>
        </w:rPr>
        <w:t>amount</w:t>
      </w:r>
      <w:r>
        <w:rPr>
          <w:spacing w:val="-7"/>
          <w:w w:val="105"/>
          <w:sz w:val="14"/>
        </w:rPr>
        <w:t> </w:t>
      </w:r>
      <w:r>
        <w:rPr>
          <w:w w:val="105"/>
          <w:sz w:val="14"/>
        </w:rPr>
        <w:t>(even</w:t>
      </w:r>
      <w:r>
        <w:rPr>
          <w:spacing w:val="-8"/>
          <w:w w:val="105"/>
          <w:sz w:val="14"/>
        </w:rPr>
        <w:t> </w:t>
      </w:r>
      <w:r>
        <w:rPr>
          <w:w w:val="105"/>
          <w:sz w:val="14"/>
        </w:rPr>
        <w:t>zero)</w:t>
      </w:r>
      <w:r>
        <w:rPr>
          <w:spacing w:val="-8"/>
          <w:w w:val="105"/>
          <w:sz w:val="14"/>
        </w:rPr>
        <w:t> </w:t>
      </w:r>
      <w:r>
        <w:rPr>
          <w:w w:val="105"/>
          <w:sz w:val="14"/>
        </w:rPr>
        <w:t>is</w:t>
      </w:r>
      <w:r>
        <w:rPr>
          <w:spacing w:val="-8"/>
          <w:w w:val="105"/>
          <w:sz w:val="14"/>
        </w:rPr>
        <w:t> </w:t>
      </w:r>
      <w:r>
        <w:rPr>
          <w:w w:val="105"/>
          <w:sz w:val="14"/>
        </w:rPr>
        <w:t>entered</w:t>
      </w:r>
      <w:r>
        <w:rPr>
          <w:spacing w:val="-9"/>
          <w:w w:val="105"/>
          <w:sz w:val="14"/>
        </w:rPr>
        <w:t> </w:t>
      </w:r>
      <w:r>
        <w:rPr>
          <w:w w:val="105"/>
          <w:sz w:val="14"/>
        </w:rPr>
        <w:t>in</w:t>
      </w:r>
      <w:r>
        <w:rPr>
          <w:spacing w:val="-9"/>
          <w:w w:val="105"/>
          <w:sz w:val="14"/>
        </w:rPr>
        <w:t> </w:t>
      </w:r>
      <w:r>
        <w:rPr>
          <w:w w:val="105"/>
          <w:sz w:val="14"/>
        </w:rPr>
        <w:t>any</w:t>
      </w:r>
      <w:r>
        <w:rPr>
          <w:spacing w:val="-10"/>
          <w:w w:val="105"/>
          <w:sz w:val="14"/>
        </w:rPr>
        <w:t> </w:t>
      </w:r>
      <w:r>
        <w:rPr>
          <w:w w:val="105"/>
          <w:sz w:val="14"/>
        </w:rPr>
        <w:t>row</w:t>
      </w:r>
      <w:r>
        <w:rPr>
          <w:spacing w:val="-8"/>
          <w:w w:val="105"/>
          <w:sz w:val="14"/>
        </w:rPr>
        <w:t> </w:t>
      </w:r>
      <w:r>
        <w:rPr>
          <w:w w:val="105"/>
          <w:sz w:val="14"/>
        </w:rPr>
        <w:t>of</w:t>
      </w:r>
      <w:r>
        <w:rPr>
          <w:spacing w:val="-8"/>
          <w:w w:val="105"/>
          <w:sz w:val="14"/>
        </w:rPr>
        <w:t> </w:t>
      </w:r>
      <w:r>
        <w:rPr>
          <w:w w:val="105"/>
          <w:sz w:val="14"/>
        </w:rPr>
        <w:t>Column</w:t>
      </w:r>
      <w:r>
        <w:rPr>
          <w:spacing w:val="-8"/>
          <w:w w:val="105"/>
          <w:sz w:val="14"/>
        </w:rPr>
        <w:t> </w:t>
      </w:r>
      <w:r>
        <w:rPr>
          <w:w w:val="105"/>
          <w:sz w:val="14"/>
        </w:rPr>
        <w:t>4b</w:t>
      </w:r>
      <w:r>
        <w:rPr>
          <w:spacing w:val="-9"/>
          <w:w w:val="105"/>
          <w:sz w:val="14"/>
        </w:rPr>
        <w:t> </w:t>
      </w:r>
      <w:r>
        <w:rPr>
          <w:w w:val="105"/>
          <w:sz w:val="14"/>
        </w:rPr>
        <w:t>or</w:t>
      </w:r>
      <w:r>
        <w:rPr>
          <w:spacing w:val="-8"/>
          <w:w w:val="105"/>
          <w:sz w:val="14"/>
        </w:rPr>
        <w:t> </w:t>
      </w:r>
      <w:r>
        <w:rPr>
          <w:w w:val="105"/>
          <w:sz w:val="14"/>
        </w:rPr>
        <w:t>in</w:t>
      </w:r>
      <w:r>
        <w:rPr>
          <w:spacing w:val="-9"/>
          <w:w w:val="105"/>
          <w:sz w:val="14"/>
        </w:rPr>
        <w:t> </w:t>
      </w:r>
      <w:r>
        <w:rPr>
          <w:w w:val="105"/>
          <w:sz w:val="14"/>
        </w:rPr>
        <w:t>Line</w:t>
      </w:r>
      <w:r>
        <w:rPr>
          <w:spacing w:val="-8"/>
          <w:w w:val="105"/>
          <w:sz w:val="14"/>
        </w:rPr>
        <w:t> </w:t>
      </w:r>
      <w:r>
        <w:rPr>
          <w:w w:val="105"/>
          <w:sz w:val="14"/>
        </w:rPr>
        <w:t>13b,</w:t>
      </w:r>
      <w:r>
        <w:rPr>
          <w:spacing w:val="-7"/>
          <w:w w:val="105"/>
          <w:sz w:val="14"/>
        </w:rPr>
        <w:t> </w:t>
      </w:r>
      <w:r>
        <w:rPr>
          <w:w w:val="105"/>
          <w:sz w:val="14"/>
        </w:rPr>
        <w:t>the</w:t>
      </w:r>
      <w:r>
        <w:rPr>
          <w:spacing w:val="-9"/>
          <w:w w:val="105"/>
          <w:sz w:val="14"/>
        </w:rPr>
        <w:t> </w:t>
      </w:r>
      <w:r>
        <w:rPr>
          <w:w w:val="105"/>
          <w:sz w:val="14"/>
        </w:rPr>
        <w:t>form</w:t>
      </w:r>
      <w:r>
        <w:rPr>
          <w:spacing w:val="-10"/>
          <w:w w:val="105"/>
          <w:sz w:val="14"/>
        </w:rPr>
        <w:t> </w:t>
      </w:r>
      <w:r>
        <w:rPr>
          <w:w w:val="105"/>
          <w:sz w:val="14"/>
        </w:rPr>
        <w:t>uses</w:t>
      </w:r>
      <w:r>
        <w:rPr>
          <w:spacing w:val="-8"/>
          <w:w w:val="105"/>
          <w:sz w:val="14"/>
        </w:rPr>
        <w:t> </w:t>
      </w:r>
      <w:r>
        <w:rPr>
          <w:w w:val="105"/>
          <w:sz w:val="14"/>
        </w:rPr>
        <w:t>only</w:t>
      </w:r>
      <w:r>
        <w:rPr>
          <w:spacing w:val="-11"/>
          <w:w w:val="105"/>
          <w:sz w:val="14"/>
        </w:rPr>
        <w:t> </w:t>
      </w:r>
      <w:r>
        <w:rPr>
          <w:w w:val="105"/>
          <w:sz w:val="14"/>
        </w:rPr>
        <w:t>the</w:t>
      </w:r>
      <w:r>
        <w:rPr>
          <w:spacing w:val="-9"/>
          <w:w w:val="105"/>
          <w:sz w:val="14"/>
        </w:rPr>
        <w:t> </w:t>
      </w:r>
      <w:r>
        <w:rPr>
          <w:w w:val="105"/>
          <w:sz w:val="14"/>
        </w:rPr>
        <w:t>values</w:t>
      </w:r>
      <w:r>
        <w:rPr>
          <w:spacing w:val="-8"/>
          <w:w w:val="105"/>
          <w:sz w:val="14"/>
        </w:rPr>
        <w:t> </w:t>
      </w:r>
      <w:r>
        <w:rPr>
          <w:w w:val="105"/>
          <w:sz w:val="14"/>
        </w:rPr>
        <w:t>in</w:t>
      </w:r>
      <w:r>
        <w:rPr>
          <w:spacing w:val="-8"/>
          <w:w w:val="105"/>
          <w:sz w:val="14"/>
        </w:rPr>
        <w:t> </w:t>
      </w:r>
      <w:r>
        <w:rPr>
          <w:w w:val="105"/>
          <w:sz w:val="14"/>
        </w:rPr>
        <w:t>Column</w:t>
      </w:r>
      <w:r>
        <w:rPr>
          <w:spacing w:val="-9"/>
          <w:w w:val="105"/>
          <w:sz w:val="14"/>
        </w:rPr>
        <w:t> </w:t>
      </w:r>
      <w:r>
        <w:rPr>
          <w:w w:val="105"/>
          <w:sz w:val="14"/>
        </w:rPr>
        <w:t>4b</w:t>
      </w:r>
      <w:r>
        <w:rPr>
          <w:spacing w:val="-9"/>
          <w:w w:val="105"/>
          <w:sz w:val="14"/>
        </w:rPr>
        <w:t> </w:t>
      </w:r>
      <w:r>
        <w:rPr>
          <w:w w:val="105"/>
          <w:sz w:val="14"/>
        </w:rPr>
        <w:t>and</w:t>
      </w:r>
      <w:r>
        <w:rPr>
          <w:spacing w:val="-9"/>
          <w:w w:val="105"/>
          <w:sz w:val="14"/>
        </w:rPr>
        <w:t> </w:t>
      </w:r>
      <w:r>
        <w:rPr>
          <w:w w:val="105"/>
          <w:sz w:val="14"/>
        </w:rPr>
        <w:t>Line</w:t>
      </w:r>
      <w:r>
        <w:rPr>
          <w:spacing w:val="-9"/>
          <w:w w:val="105"/>
          <w:sz w:val="14"/>
        </w:rPr>
        <w:t> </w:t>
      </w:r>
      <w:r>
        <w:rPr>
          <w:w w:val="105"/>
          <w:sz w:val="14"/>
        </w:rPr>
        <w:t>13b</w:t>
      </w:r>
      <w:r>
        <w:rPr>
          <w:spacing w:val="-8"/>
          <w:w w:val="105"/>
          <w:sz w:val="14"/>
        </w:rPr>
        <w:t> </w:t>
      </w:r>
      <w:r>
        <w:rPr>
          <w:w w:val="105"/>
          <w:sz w:val="14"/>
        </w:rPr>
        <w:t>rather</w:t>
      </w:r>
      <w:r>
        <w:rPr>
          <w:spacing w:val="-8"/>
          <w:w w:val="105"/>
          <w:sz w:val="14"/>
        </w:rPr>
        <w:t> </w:t>
      </w:r>
      <w:r>
        <w:rPr>
          <w:w w:val="105"/>
          <w:sz w:val="14"/>
        </w:rPr>
        <w:t>than</w:t>
      </w:r>
      <w:r>
        <w:rPr>
          <w:spacing w:val="-8"/>
          <w:w w:val="105"/>
          <w:sz w:val="14"/>
        </w:rPr>
        <w:t> </w:t>
      </w:r>
      <w:r>
        <w:rPr>
          <w:w w:val="105"/>
          <w:sz w:val="14"/>
        </w:rPr>
        <w:t>the values in Column 4a and Line</w:t>
      </w:r>
      <w:r>
        <w:rPr>
          <w:spacing w:val="-10"/>
          <w:w w:val="105"/>
          <w:sz w:val="14"/>
        </w:rPr>
        <w:t> </w:t>
      </w:r>
      <w:r>
        <w:rPr>
          <w:w w:val="105"/>
          <w:sz w:val="14"/>
        </w:rPr>
        <w:t>13a.</w:t>
      </w:r>
    </w:p>
    <w:p>
      <w:pPr>
        <w:pStyle w:val="BodyText"/>
        <w:spacing w:before="3"/>
        <w:rPr>
          <w:sz w:val="6"/>
        </w:rPr>
      </w:pPr>
    </w:p>
    <w:tbl>
      <w:tblPr>
        <w:tblW w:w="0" w:type="auto"/>
        <w:jc w:val="left"/>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480"/>
        <w:gridCol w:w="1174"/>
        <w:gridCol w:w="649"/>
        <w:gridCol w:w="1054"/>
        <w:gridCol w:w="407"/>
      </w:tblGrid>
      <w:tr>
        <w:trPr>
          <w:trHeight w:val="610" w:hRule="atLeast"/>
        </w:trPr>
        <w:tc>
          <w:tcPr>
            <w:tcW w:w="8480" w:type="dxa"/>
          </w:tcPr>
          <w:p>
            <w:pPr>
              <w:pStyle w:val="TableParagraph"/>
              <w:spacing w:before="5"/>
              <w:rPr>
                <w:sz w:val="19"/>
              </w:rPr>
            </w:pPr>
          </w:p>
          <w:p>
            <w:pPr>
              <w:pStyle w:val="TableParagraph"/>
              <w:ind w:left="50"/>
              <w:rPr>
                <w:b/>
                <w:sz w:val="14"/>
              </w:rPr>
            </w:pPr>
            <w:r>
              <w:rPr>
                <w:b/>
                <w:w w:val="105"/>
                <w:sz w:val="14"/>
              </w:rPr>
              <w:t>PART II: MINIMUM CLASSROOM COMPENSATION (Instruction, Functions 1000-1999)</w:t>
            </w:r>
          </w:p>
          <w:p>
            <w:pPr>
              <w:pStyle w:val="TableParagraph"/>
              <w:tabs>
                <w:tab w:pos="373" w:val="left" w:leader="none"/>
              </w:tabs>
              <w:spacing w:before="43"/>
              <w:ind w:left="50"/>
              <w:rPr>
                <w:sz w:val="14"/>
              </w:rPr>
            </w:pPr>
            <w:r>
              <w:rPr>
                <w:w w:val="105"/>
                <w:sz w:val="14"/>
              </w:rPr>
              <w:t>1.</w:t>
              <w:tab/>
              <w:t>Teacher</w:t>
            </w:r>
            <w:r>
              <w:rPr>
                <w:spacing w:val="-3"/>
                <w:w w:val="105"/>
                <w:sz w:val="14"/>
              </w:rPr>
              <w:t> </w:t>
            </w:r>
            <w:r>
              <w:rPr>
                <w:w w:val="105"/>
                <w:sz w:val="14"/>
              </w:rPr>
              <w:t>Salaries</w:t>
            </w:r>
            <w:r>
              <w:rPr>
                <w:spacing w:val="-1"/>
                <w:w w:val="105"/>
                <w:sz w:val="14"/>
              </w:rPr>
              <w:t> </w:t>
            </w:r>
            <w:r>
              <w:rPr>
                <w:w w:val="105"/>
                <w:sz w:val="14"/>
              </w:rPr>
              <w:t>as</w:t>
            </w:r>
            <w:r>
              <w:rPr>
                <w:spacing w:val="-3"/>
                <w:w w:val="105"/>
                <w:sz w:val="14"/>
              </w:rPr>
              <w:t> </w:t>
            </w:r>
            <w:r>
              <w:rPr>
                <w:w w:val="105"/>
                <w:sz w:val="14"/>
              </w:rPr>
              <w:t>Per</w:t>
            </w:r>
            <w:r>
              <w:rPr>
                <w:spacing w:val="-2"/>
                <w:w w:val="105"/>
                <w:sz w:val="14"/>
              </w:rPr>
              <w:t> </w:t>
            </w:r>
            <w:r>
              <w:rPr>
                <w:w w:val="105"/>
                <w:sz w:val="14"/>
              </w:rPr>
              <w:t>EC</w:t>
            </w:r>
            <w:r>
              <w:rPr>
                <w:spacing w:val="-2"/>
                <w:w w:val="105"/>
                <w:sz w:val="14"/>
              </w:rPr>
              <w:t> </w:t>
            </w:r>
            <w:r>
              <w:rPr>
                <w:w w:val="105"/>
                <w:sz w:val="14"/>
              </w:rPr>
              <w:t>41011.</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3"/>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3"/>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p>
        </w:tc>
        <w:tc>
          <w:tcPr>
            <w:tcW w:w="1174" w:type="dxa"/>
          </w:tcPr>
          <w:p>
            <w:pPr>
              <w:pStyle w:val="TableParagraph"/>
              <w:spacing w:before="3"/>
              <w:rPr>
                <w:sz w:val="16"/>
              </w:rPr>
            </w:pPr>
          </w:p>
          <w:p>
            <w:pPr>
              <w:pStyle w:val="TableParagraph"/>
              <w:spacing w:line="200" w:lineRule="atLeast"/>
              <w:ind w:left="490" w:right="307" w:hanging="48"/>
              <w:rPr>
                <w:sz w:val="14"/>
              </w:rPr>
            </w:pPr>
            <w:r>
              <w:rPr>
                <w:sz w:val="14"/>
              </w:rPr>
              <w:t>Object </w:t>
            </w:r>
            <w:r>
              <w:rPr>
                <w:w w:val="105"/>
                <w:sz w:val="14"/>
              </w:rPr>
              <w:t>1100</w:t>
            </w:r>
          </w:p>
        </w:tc>
        <w:tc>
          <w:tcPr>
            <w:tcW w:w="1703" w:type="dxa"/>
            <w:gridSpan w:val="2"/>
          </w:tcPr>
          <w:p>
            <w:pPr>
              <w:pStyle w:val="TableParagraph"/>
              <w:rPr>
                <w:sz w:val="16"/>
              </w:rPr>
            </w:pPr>
          </w:p>
          <w:p>
            <w:pPr>
              <w:pStyle w:val="TableParagraph"/>
              <w:spacing w:before="2"/>
              <w:rPr>
                <w:sz w:val="21"/>
              </w:rPr>
            </w:pPr>
          </w:p>
          <w:p>
            <w:pPr>
              <w:pStyle w:val="TableParagraph"/>
              <w:ind w:left="924"/>
              <w:rPr>
                <w:sz w:val="14"/>
              </w:rPr>
            </w:pPr>
            <w:r>
              <w:rPr>
                <w:w w:val="105"/>
                <w:sz w:val="14"/>
              </w:rPr>
              <w:t>451,012.00</w:t>
            </w:r>
          </w:p>
        </w:tc>
        <w:tc>
          <w:tcPr>
            <w:tcW w:w="407" w:type="dxa"/>
          </w:tcPr>
          <w:p>
            <w:pPr>
              <w:pStyle w:val="TableParagraph"/>
              <w:spacing w:before="65"/>
              <w:ind w:left="59"/>
              <w:rPr>
                <w:sz w:val="14"/>
              </w:rPr>
            </w:pPr>
            <w:r>
              <w:rPr>
                <w:w w:val="105"/>
                <w:sz w:val="14"/>
              </w:rPr>
              <w:t>EDP</w:t>
            </w:r>
          </w:p>
          <w:p>
            <w:pPr>
              <w:pStyle w:val="TableParagraph"/>
              <w:ind w:left="95"/>
              <w:rPr>
                <w:sz w:val="14"/>
              </w:rPr>
            </w:pPr>
            <w:r>
              <w:rPr>
                <w:w w:val="105"/>
                <w:sz w:val="14"/>
              </w:rPr>
              <w:t>No.</w:t>
            </w:r>
          </w:p>
          <w:p>
            <w:pPr>
              <w:pStyle w:val="TableParagraph"/>
              <w:spacing w:before="41"/>
              <w:ind w:left="83"/>
              <w:rPr>
                <w:sz w:val="14"/>
              </w:rPr>
            </w:pPr>
            <w:r>
              <w:rPr>
                <w:w w:val="105"/>
                <w:sz w:val="14"/>
              </w:rPr>
              <w:t>375</w:t>
            </w:r>
          </w:p>
        </w:tc>
      </w:tr>
      <w:tr>
        <w:trPr>
          <w:trHeight w:val="201" w:hRule="atLeast"/>
        </w:trPr>
        <w:tc>
          <w:tcPr>
            <w:tcW w:w="8480" w:type="dxa"/>
          </w:tcPr>
          <w:p>
            <w:pPr>
              <w:pStyle w:val="TableParagraph"/>
              <w:tabs>
                <w:tab w:pos="373" w:val="left" w:leader="none"/>
              </w:tabs>
              <w:spacing w:before="19"/>
              <w:ind w:left="50"/>
              <w:rPr>
                <w:sz w:val="14"/>
              </w:rPr>
            </w:pPr>
            <w:r>
              <w:rPr>
                <w:w w:val="105"/>
                <w:sz w:val="14"/>
              </w:rPr>
              <w:t>2.</w:t>
              <w:tab/>
              <w:t>Salaries</w:t>
            </w:r>
            <w:r>
              <w:rPr>
                <w:spacing w:val="-2"/>
                <w:w w:val="105"/>
                <w:sz w:val="14"/>
              </w:rPr>
              <w:t> </w:t>
            </w:r>
            <w:r>
              <w:rPr>
                <w:w w:val="105"/>
                <w:sz w:val="14"/>
              </w:rPr>
              <w:t>of</w:t>
            </w:r>
            <w:r>
              <w:rPr>
                <w:spacing w:val="-2"/>
                <w:w w:val="105"/>
                <w:sz w:val="14"/>
              </w:rPr>
              <w:t> </w:t>
            </w:r>
            <w:r>
              <w:rPr>
                <w:w w:val="105"/>
                <w:sz w:val="14"/>
              </w:rPr>
              <w:t>Instructional</w:t>
            </w:r>
            <w:r>
              <w:rPr>
                <w:spacing w:val="-3"/>
                <w:w w:val="105"/>
                <w:sz w:val="14"/>
              </w:rPr>
              <w:t> </w:t>
            </w:r>
            <w:r>
              <w:rPr>
                <w:w w:val="105"/>
                <w:sz w:val="14"/>
              </w:rPr>
              <w:t>Aides</w:t>
            </w:r>
            <w:r>
              <w:rPr>
                <w:spacing w:val="-2"/>
                <w:w w:val="105"/>
                <w:sz w:val="14"/>
              </w:rPr>
              <w:t> </w:t>
            </w:r>
            <w:r>
              <w:rPr>
                <w:w w:val="105"/>
                <w:sz w:val="14"/>
              </w:rPr>
              <w:t>Per</w:t>
            </w:r>
            <w:r>
              <w:rPr>
                <w:spacing w:val="-2"/>
                <w:w w:val="105"/>
                <w:sz w:val="14"/>
              </w:rPr>
              <w:t> </w:t>
            </w:r>
            <w:r>
              <w:rPr>
                <w:w w:val="105"/>
                <w:sz w:val="14"/>
              </w:rPr>
              <w:t>EC</w:t>
            </w:r>
            <w:r>
              <w:rPr>
                <w:spacing w:val="-3"/>
                <w:w w:val="105"/>
                <w:sz w:val="14"/>
              </w:rPr>
              <w:t> </w:t>
            </w:r>
            <w:r>
              <w:rPr>
                <w:w w:val="105"/>
                <w:sz w:val="14"/>
              </w:rPr>
              <w:t>41011.</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p>
        </w:tc>
        <w:tc>
          <w:tcPr>
            <w:tcW w:w="1174" w:type="dxa"/>
          </w:tcPr>
          <w:p>
            <w:pPr>
              <w:pStyle w:val="TableParagraph"/>
              <w:spacing w:before="19"/>
              <w:ind w:left="212" w:right="88"/>
              <w:jc w:val="center"/>
              <w:rPr>
                <w:sz w:val="14"/>
              </w:rPr>
            </w:pPr>
            <w:r>
              <w:rPr>
                <w:w w:val="105"/>
                <w:sz w:val="14"/>
              </w:rPr>
              <w:t>2100</w:t>
            </w:r>
          </w:p>
        </w:tc>
        <w:tc>
          <w:tcPr>
            <w:tcW w:w="1703" w:type="dxa"/>
            <w:gridSpan w:val="2"/>
          </w:tcPr>
          <w:p>
            <w:pPr>
              <w:pStyle w:val="TableParagraph"/>
              <w:spacing w:before="19"/>
              <w:ind w:left="924"/>
              <w:rPr>
                <w:sz w:val="14"/>
              </w:rPr>
            </w:pPr>
            <w:r>
              <w:rPr>
                <w:w w:val="105"/>
                <w:sz w:val="14"/>
              </w:rPr>
              <w:t>194,745.00</w:t>
            </w:r>
          </w:p>
        </w:tc>
        <w:tc>
          <w:tcPr>
            <w:tcW w:w="407" w:type="dxa"/>
          </w:tcPr>
          <w:p>
            <w:pPr>
              <w:pStyle w:val="TableParagraph"/>
              <w:spacing w:before="19"/>
              <w:ind w:left="13" w:right="13"/>
              <w:jc w:val="center"/>
              <w:rPr>
                <w:sz w:val="14"/>
              </w:rPr>
            </w:pPr>
            <w:r>
              <w:rPr>
                <w:w w:val="105"/>
                <w:sz w:val="14"/>
              </w:rPr>
              <w:t>380</w:t>
            </w:r>
          </w:p>
        </w:tc>
      </w:tr>
      <w:tr>
        <w:trPr>
          <w:trHeight w:val="201" w:hRule="atLeast"/>
        </w:trPr>
        <w:tc>
          <w:tcPr>
            <w:tcW w:w="8480" w:type="dxa"/>
          </w:tcPr>
          <w:p>
            <w:pPr>
              <w:pStyle w:val="TableParagraph"/>
              <w:tabs>
                <w:tab w:pos="373" w:val="left" w:leader="none"/>
              </w:tabs>
              <w:spacing w:before="19"/>
              <w:ind w:left="50"/>
              <w:rPr>
                <w:sz w:val="14"/>
              </w:rPr>
            </w:pPr>
            <w:r>
              <w:rPr>
                <w:w w:val="105"/>
                <w:sz w:val="14"/>
              </w:rPr>
              <w:t>3.</w:t>
              <w:tab/>
              <w:t>STRS.</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 .</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 .</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 .</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 .</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 .</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 .</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 .</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 .</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 .</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 .</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 .</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 .</w:t>
            </w:r>
          </w:p>
        </w:tc>
        <w:tc>
          <w:tcPr>
            <w:tcW w:w="1174" w:type="dxa"/>
          </w:tcPr>
          <w:p>
            <w:pPr>
              <w:pStyle w:val="TableParagraph"/>
              <w:spacing w:before="19"/>
              <w:ind w:left="212" w:right="88"/>
              <w:jc w:val="center"/>
              <w:rPr>
                <w:sz w:val="14"/>
              </w:rPr>
            </w:pPr>
            <w:r>
              <w:rPr>
                <w:w w:val="105"/>
                <w:sz w:val="14"/>
              </w:rPr>
              <w:t>3101 &amp; 3102</w:t>
            </w:r>
          </w:p>
        </w:tc>
        <w:tc>
          <w:tcPr>
            <w:tcW w:w="1703" w:type="dxa"/>
            <w:gridSpan w:val="2"/>
          </w:tcPr>
          <w:p>
            <w:pPr>
              <w:pStyle w:val="TableParagraph"/>
              <w:spacing w:before="19"/>
              <w:ind w:left="924"/>
              <w:rPr>
                <w:sz w:val="14"/>
              </w:rPr>
            </w:pPr>
            <w:r>
              <w:rPr>
                <w:w w:val="105"/>
                <w:sz w:val="14"/>
              </w:rPr>
              <w:t>116,549.00</w:t>
            </w:r>
          </w:p>
        </w:tc>
        <w:tc>
          <w:tcPr>
            <w:tcW w:w="407" w:type="dxa"/>
          </w:tcPr>
          <w:p>
            <w:pPr>
              <w:pStyle w:val="TableParagraph"/>
              <w:spacing w:before="19"/>
              <w:ind w:left="13" w:right="13"/>
              <w:jc w:val="center"/>
              <w:rPr>
                <w:sz w:val="14"/>
              </w:rPr>
            </w:pPr>
            <w:r>
              <w:rPr>
                <w:w w:val="105"/>
                <w:sz w:val="14"/>
              </w:rPr>
              <w:t>382</w:t>
            </w:r>
          </w:p>
        </w:tc>
      </w:tr>
      <w:tr>
        <w:trPr>
          <w:trHeight w:val="201" w:hRule="atLeast"/>
        </w:trPr>
        <w:tc>
          <w:tcPr>
            <w:tcW w:w="8480" w:type="dxa"/>
          </w:tcPr>
          <w:p>
            <w:pPr>
              <w:pStyle w:val="TableParagraph"/>
              <w:tabs>
                <w:tab w:pos="373" w:val="left" w:leader="none"/>
              </w:tabs>
              <w:spacing w:before="19"/>
              <w:ind w:left="50"/>
              <w:rPr>
                <w:sz w:val="14"/>
              </w:rPr>
            </w:pPr>
            <w:r>
              <w:rPr>
                <w:w w:val="105"/>
                <w:sz w:val="14"/>
              </w:rPr>
              <w:t>4.</w:t>
              <w:tab/>
              <w:t>PERS.</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 .</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 .</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 .</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 .</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 .</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 .</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 .</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 .</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1"/>
                <w:w w:val="105"/>
                <w:sz w:val="14"/>
              </w:rPr>
              <w:t> </w:t>
            </w:r>
            <w:r>
              <w:rPr>
                <w:w w:val="105"/>
                <w:sz w:val="14"/>
              </w:rPr>
              <w:t>. .</w:t>
            </w:r>
          </w:p>
        </w:tc>
        <w:tc>
          <w:tcPr>
            <w:tcW w:w="1174" w:type="dxa"/>
          </w:tcPr>
          <w:p>
            <w:pPr>
              <w:pStyle w:val="TableParagraph"/>
              <w:spacing w:before="19"/>
              <w:ind w:left="212" w:right="88"/>
              <w:jc w:val="center"/>
              <w:rPr>
                <w:sz w:val="14"/>
              </w:rPr>
            </w:pPr>
            <w:r>
              <w:rPr>
                <w:w w:val="105"/>
                <w:sz w:val="14"/>
              </w:rPr>
              <w:t>3201 &amp; 3202</w:t>
            </w:r>
          </w:p>
        </w:tc>
        <w:tc>
          <w:tcPr>
            <w:tcW w:w="1703" w:type="dxa"/>
            <w:gridSpan w:val="2"/>
          </w:tcPr>
          <w:p>
            <w:pPr>
              <w:pStyle w:val="TableParagraph"/>
              <w:spacing w:before="19"/>
              <w:ind w:left="1004"/>
              <w:rPr>
                <w:sz w:val="14"/>
              </w:rPr>
            </w:pPr>
            <w:r>
              <w:rPr>
                <w:w w:val="105"/>
                <w:sz w:val="14"/>
              </w:rPr>
              <w:t>44,617.00</w:t>
            </w:r>
          </w:p>
        </w:tc>
        <w:tc>
          <w:tcPr>
            <w:tcW w:w="407" w:type="dxa"/>
          </w:tcPr>
          <w:p>
            <w:pPr>
              <w:pStyle w:val="TableParagraph"/>
              <w:spacing w:before="19"/>
              <w:ind w:left="13" w:right="13"/>
              <w:jc w:val="center"/>
              <w:rPr>
                <w:sz w:val="14"/>
              </w:rPr>
            </w:pPr>
            <w:r>
              <w:rPr>
                <w:w w:val="105"/>
                <w:sz w:val="14"/>
              </w:rPr>
              <w:t>383</w:t>
            </w:r>
          </w:p>
        </w:tc>
      </w:tr>
      <w:tr>
        <w:trPr>
          <w:trHeight w:val="201" w:hRule="atLeast"/>
        </w:trPr>
        <w:tc>
          <w:tcPr>
            <w:tcW w:w="8480" w:type="dxa"/>
          </w:tcPr>
          <w:p>
            <w:pPr>
              <w:pStyle w:val="TableParagraph"/>
              <w:tabs>
                <w:tab w:pos="373" w:val="left" w:leader="none"/>
              </w:tabs>
              <w:spacing w:before="19"/>
              <w:ind w:left="50"/>
              <w:rPr>
                <w:sz w:val="14"/>
              </w:rPr>
            </w:pPr>
            <w:r>
              <w:rPr>
                <w:w w:val="105"/>
                <w:sz w:val="14"/>
              </w:rPr>
              <w:t>5.</w:t>
              <w:tab/>
              <w:t>OASDI</w:t>
            </w:r>
            <w:r>
              <w:rPr>
                <w:spacing w:val="-5"/>
                <w:w w:val="105"/>
                <w:sz w:val="14"/>
              </w:rPr>
              <w:t> </w:t>
            </w:r>
            <w:r>
              <w:rPr>
                <w:w w:val="105"/>
                <w:sz w:val="14"/>
              </w:rPr>
              <w:t>-</w:t>
            </w:r>
            <w:r>
              <w:rPr>
                <w:spacing w:val="-2"/>
                <w:w w:val="105"/>
                <w:sz w:val="14"/>
              </w:rPr>
              <w:t> </w:t>
            </w:r>
            <w:r>
              <w:rPr>
                <w:w w:val="105"/>
                <w:sz w:val="14"/>
              </w:rPr>
              <w:t>Regular,</w:t>
            </w:r>
            <w:r>
              <w:rPr>
                <w:spacing w:val="-1"/>
                <w:w w:val="105"/>
                <w:sz w:val="14"/>
              </w:rPr>
              <w:t> </w:t>
            </w:r>
            <w:r>
              <w:rPr>
                <w:w w:val="105"/>
                <w:sz w:val="14"/>
              </w:rPr>
              <w:t>Medicare</w:t>
            </w:r>
            <w:r>
              <w:rPr>
                <w:spacing w:val="-4"/>
                <w:w w:val="105"/>
                <w:sz w:val="14"/>
              </w:rPr>
              <w:t> </w:t>
            </w:r>
            <w:r>
              <w:rPr>
                <w:w w:val="105"/>
                <w:sz w:val="14"/>
              </w:rPr>
              <w:t>and</w:t>
            </w:r>
            <w:r>
              <w:rPr>
                <w:spacing w:val="-4"/>
                <w:w w:val="105"/>
                <w:sz w:val="14"/>
              </w:rPr>
              <w:t> </w:t>
            </w:r>
            <w:r>
              <w:rPr>
                <w:w w:val="105"/>
                <w:sz w:val="14"/>
              </w:rPr>
              <w:t>Alternative.</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p>
        </w:tc>
        <w:tc>
          <w:tcPr>
            <w:tcW w:w="1174" w:type="dxa"/>
          </w:tcPr>
          <w:p>
            <w:pPr>
              <w:pStyle w:val="TableParagraph"/>
              <w:spacing w:before="19"/>
              <w:ind w:left="212" w:right="88"/>
              <w:jc w:val="center"/>
              <w:rPr>
                <w:sz w:val="14"/>
              </w:rPr>
            </w:pPr>
            <w:r>
              <w:rPr>
                <w:w w:val="105"/>
                <w:sz w:val="14"/>
              </w:rPr>
              <w:t>3301 &amp; 3302</w:t>
            </w:r>
          </w:p>
        </w:tc>
        <w:tc>
          <w:tcPr>
            <w:tcW w:w="1703" w:type="dxa"/>
            <w:gridSpan w:val="2"/>
          </w:tcPr>
          <w:p>
            <w:pPr>
              <w:pStyle w:val="TableParagraph"/>
              <w:spacing w:before="19"/>
              <w:ind w:left="1004"/>
              <w:rPr>
                <w:sz w:val="14"/>
              </w:rPr>
            </w:pPr>
            <w:r>
              <w:rPr>
                <w:w w:val="105"/>
                <w:sz w:val="14"/>
              </w:rPr>
              <w:t>21,439.00</w:t>
            </w:r>
          </w:p>
        </w:tc>
        <w:tc>
          <w:tcPr>
            <w:tcW w:w="407" w:type="dxa"/>
          </w:tcPr>
          <w:p>
            <w:pPr>
              <w:pStyle w:val="TableParagraph"/>
              <w:spacing w:before="19"/>
              <w:ind w:left="13" w:right="13"/>
              <w:jc w:val="center"/>
              <w:rPr>
                <w:sz w:val="14"/>
              </w:rPr>
            </w:pPr>
            <w:r>
              <w:rPr>
                <w:w w:val="105"/>
                <w:sz w:val="14"/>
              </w:rPr>
              <w:t>384</w:t>
            </w:r>
          </w:p>
        </w:tc>
      </w:tr>
      <w:tr>
        <w:trPr>
          <w:trHeight w:val="201" w:hRule="atLeast"/>
        </w:trPr>
        <w:tc>
          <w:tcPr>
            <w:tcW w:w="8480" w:type="dxa"/>
          </w:tcPr>
          <w:p>
            <w:pPr>
              <w:pStyle w:val="TableParagraph"/>
              <w:tabs>
                <w:tab w:pos="373" w:val="left" w:leader="none"/>
              </w:tabs>
              <w:spacing w:before="19"/>
              <w:ind w:left="50"/>
              <w:rPr>
                <w:sz w:val="14"/>
              </w:rPr>
            </w:pPr>
            <w:r>
              <w:rPr>
                <w:w w:val="105"/>
                <w:sz w:val="14"/>
              </w:rPr>
              <w:t>6.</w:t>
              <w:tab/>
              <w:t>Health &amp; Welfare Benefits (EC</w:t>
            </w:r>
            <w:r>
              <w:rPr>
                <w:spacing w:val="-7"/>
                <w:w w:val="105"/>
                <w:sz w:val="14"/>
              </w:rPr>
              <w:t> </w:t>
            </w:r>
            <w:r>
              <w:rPr>
                <w:w w:val="105"/>
                <w:sz w:val="14"/>
              </w:rPr>
              <w:t>41372)</w:t>
            </w:r>
          </w:p>
        </w:tc>
        <w:tc>
          <w:tcPr>
            <w:tcW w:w="1174" w:type="dxa"/>
          </w:tcPr>
          <w:p>
            <w:pPr>
              <w:pStyle w:val="TableParagraph"/>
              <w:rPr>
                <w:rFonts w:ascii="Times New Roman"/>
                <w:sz w:val="14"/>
              </w:rPr>
            </w:pPr>
          </w:p>
        </w:tc>
        <w:tc>
          <w:tcPr>
            <w:tcW w:w="1703" w:type="dxa"/>
            <w:gridSpan w:val="2"/>
          </w:tcPr>
          <w:p>
            <w:pPr>
              <w:pStyle w:val="TableParagraph"/>
              <w:rPr>
                <w:rFonts w:ascii="Times New Roman"/>
                <w:sz w:val="14"/>
              </w:rPr>
            </w:pPr>
          </w:p>
        </w:tc>
        <w:tc>
          <w:tcPr>
            <w:tcW w:w="407" w:type="dxa"/>
          </w:tcPr>
          <w:p>
            <w:pPr>
              <w:pStyle w:val="TableParagraph"/>
              <w:rPr>
                <w:rFonts w:ascii="Times New Roman"/>
                <w:sz w:val="14"/>
              </w:rPr>
            </w:pPr>
          </w:p>
        </w:tc>
      </w:tr>
      <w:tr>
        <w:trPr>
          <w:trHeight w:val="201" w:hRule="atLeast"/>
        </w:trPr>
        <w:tc>
          <w:tcPr>
            <w:tcW w:w="8480" w:type="dxa"/>
          </w:tcPr>
          <w:p>
            <w:pPr>
              <w:pStyle w:val="TableParagraph"/>
              <w:spacing w:before="19"/>
              <w:ind w:left="376"/>
              <w:rPr>
                <w:sz w:val="14"/>
              </w:rPr>
            </w:pPr>
            <w:r>
              <w:rPr>
                <w:w w:val="105"/>
                <w:sz w:val="14"/>
              </w:rPr>
              <w:t>(Include Health, Dental, Vision, Pharmaceutical, and</w:t>
            </w:r>
          </w:p>
        </w:tc>
        <w:tc>
          <w:tcPr>
            <w:tcW w:w="1174" w:type="dxa"/>
          </w:tcPr>
          <w:p>
            <w:pPr>
              <w:pStyle w:val="TableParagraph"/>
              <w:rPr>
                <w:rFonts w:ascii="Times New Roman"/>
                <w:sz w:val="14"/>
              </w:rPr>
            </w:pPr>
          </w:p>
        </w:tc>
        <w:tc>
          <w:tcPr>
            <w:tcW w:w="1703" w:type="dxa"/>
            <w:gridSpan w:val="2"/>
          </w:tcPr>
          <w:p>
            <w:pPr>
              <w:pStyle w:val="TableParagraph"/>
              <w:rPr>
                <w:rFonts w:ascii="Times New Roman"/>
                <w:sz w:val="14"/>
              </w:rPr>
            </w:pPr>
          </w:p>
        </w:tc>
        <w:tc>
          <w:tcPr>
            <w:tcW w:w="407" w:type="dxa"/>
          </w:tcPr>
          <w:p>
            <w:pPr>
              <w:pStyle w:val="TableParagraph"/>
              <w:rPr>
                <w:rFonts w:ascii="Times New Roman"/>
                <w:sz w:val="14"/>
              </w:rPr>
            </w:pPr>
          </w:p>
        </w:tc>
      </w:tr>
      <w:tr>
        <w:trPr>
          <w:trHeight w:val="201" w:hRule="atLeast"/>
        </w:trPr>
        <w:tc>
          <w:tcPr>
            <w:tcW w:w="8480" w:type="dxa"/>
          </w:tcPr>
          <w:p>
            <w:pPr>
              <w:pStyle w:val="TableParagraph"/>
              <w:spacing w:before="19"/>
              <w:ind w:left="376"/>
              <w:rPr>
                <w:sz w:val="14"/>
              </w:rPr>
            </w:pPr>
            <w:r>
              <w:rPr>
                <w:w w:val="105"/>
                <w:sz w:val="14"/>
              </w:rPr>
              <w:t>Annuity Plans). . . . . . . . . . . . . . . . . . . . . . . . . . . . . . . . . . . . . . . . . . . . . . . . . . . . . . . . . . . . . . . . . . . . . . . . . . . . . . . . . . . . .</w:t>
            </w:r>
          </w:p>
        </w:tc>
        <w:tc>
          <w:tcPr>
            <w:tcW w:w="1174" w:type="dxa"/>
          </w:tcPr>
          <w:p>
            <w:pPr>
              <w:pStyle w:val="TableParagraph"/>
              <w:spacing w:before="19"/>
              <w:ind w:left="212" w:right="88"/>
              <w:jc w:val="center"/>
              <w:rPr>
                <w:sz w:val="14"/>
              </w:rPr>
            </w:pPr>
            <w:r>
              <w:rPr>
                <w:w w:val="105"/>
                <w:sz w:val="14"/>
              </w:rPr>
              <w:t>3401 &amp; 3402</w:t>
            </w:r>
          </w:p>
        </w:tc>
        <w:tc>
          <w:tcPr>
            <w:tcW w:w="1703" w:type="dxa"/>
            <w:gridSpan w:val="2"/>
          </w:tcPr>
          <w:p>
            <w:pPr>
              <w:pStyle w:val="TableParagraph"/>
              <w:spacing w:before="19"/>
              <w:ind w:left="1004"/>
              <w:rPr>
                <w:sz w:val="14"/>
              </w:rPr>
            </w:pPr>
            <w:r>
              <w:rPr>
                <w:w w:val="105"/>
                <w:sz w:val="14"/>
              </w:rPr>
              <w:t>42,630.00</w:t>
            </w:r>
          </w:p>
        </w:tc>
        <w:tc>
          <w:tcPr>
            <w:tcW w:w="407" w:type="dxa"/>
          </w:tcPr>
          <w:p>
            <w:pPr>
              <w:pStyle w:val="TableParagraph"/>
              <w:spacing w:before="19"/>
              <w:ind w:left="13" w:right="13"/>
              <w:jc w:val="center"/>
              <w:rPr>
                <w:sz w:val="14"/>
              </w:rPr>
            </w:pPr>
            <w:r>
              <w:rPr>
                <w:w w:val="105"/>
                <w:sz w:val="14"/>
              </w:rPr>
              <w:t>385</w:t>
            </w:r>
          </w:p>
        </w:tc>
      </w:tr>
      <w:tr>
        <w:trPr>
          <w:trHeight w:val="201" w:hRule="atLeast"/>
        </w:trPr>
        <w:tc>
          <w:tcPr>
            <w:tcW w:w="8480" w:type="dxa"/>
          </w:tcPr>
          <w:p>
            <w:pPr>
              <w:pStyle w:val="TableParagraph"/>
              <w:tabs>
                <w:tab w:pos="373" w:val="left" w:leader="none"/>
              </w:tabs>
              <w:spacing w:before="19"/>
              <w:ind w:left="50"/>
              <w:rPr>
                <w:sz w:val="14"/>
              </w:rPr>
            </w:pPr>
            <w:r>
              <w:rPr>
                <w:w w:val="105"/>
                <w:sz w:val="14"/>
              </w:rPr>
              <w:t>7.</w:t>
              <w:tab/>
              <w:t>Unemployment</w:t>
            </w:r>
            <w:r>
              <w:rPr>
                <w:spacing w:val="-2"/>
                <w:w w:val="105"/>
                <w:sz w:val="14"/>
              </w:rPr>
              <w:t> </w:t>
            </w:r>
            <w:r>
              <w:rPr>
                <w:w w:val="105"/>
                <w:sz w:val="14"/>
              </w:rPr>
              <w:t>Insurance.</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3"/>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3"/>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p>
        </w:tc>
        <w:tc>
          <w:tcPr>
            <w:tcW w:w="1174" w:type="dxa"/>
          </w:tcPr>
          <w:p>
            <w:pPr>
              <w:pStyle w:val="TableParagraph"/>
              <w:spacing w:before="19"/>
              <w:ind w:left="212" w:right="88"/>
              <w:jc w:val="center"/>
              <w:rPr>
                <w:sz w:val="14"/>
              </w:rPr>
            </w:pPr>
            <w:r>
              <w:rPr>
                <w:w w:val="105"/>
                <w:sz w:val="14"/>
              </w:rPr>
              <w:t>3501 &amp; 3502</w:t>
            </w:r>
          </w:p>
        </w:tc>
        <w:tc>
          <w:tcPr>
            <w:tcW w:w="1703" w:type="dxa"/>
            <w:gridSpan w:val="2"/>
          </w:tcPr>
          <w:p>
            <w:pPr>
              <w:pStyle w:val="TableParagraph"/>
              <w:spacing w:before="19"/>
              <w:ind w:left="1083"/>
              <w:rPr>
                <w:sz w:val="14"/>
              </w:rPr>
            </w:pPr>
            <w:r>
              <w:rPr>
                <w:w w:val="105"/>
                <w:sz w:val="14"/>
              </w:rPr>
              <w:t>7,938.00</w:t>
            </w:r>
          </w:p>
        </w:tc>
        <w:tc>
          <w:tcPr>
            <w:tcW w:w="407" w:type="dxa"/>
          </w:tcPr>
          <w:p>
            <w:pPr>
              <w:pStyle w:val="TableParagraph"/>
              <w:spacing w:before="19"/>
              <w:ind w:left="13" w:right="13"/>
              <w:jc w:val="center"/>
              <w:rPr>
                <w:sz w:val="14"/>
              </w:rPr>
            </w:pPr>
            <w:r>
              <w:rPr>
                <w:w w:val="105"/>
                <w:sz w:val="14"/>
              </w:rPr>
              <w:t>390</w:t>
            </w:r>
          </w:p>
        </w:tc>
      </w:tr>
      <w:tr>
        <w:trPr>
          <w:trHeight w:val="201" w:hRule="atLeast"/>
        </w:trPr>
        <w:tc>
          <w:tcPr>
            <w:tcW w:w="8480" w:type="dxa"/>
          </w:tcPr>
          <w:p>
            <w:pPr>
              <w:pStyle w:val="TableParagraph"/>
              <w:tabs>
                <w:tab w:pos="373" w:val="left" w:leader="none"/>
              </w:tabs>
              <w:spacing w:before="19"/>
              <w:ind w:left="50"/>
              <w:rPr>
                <w:sz w:val="14"/>
              </w:rPr>
            </w:pPr>
            <w:r>
              <w:rPr>
                <w:w w:val="105"/>
                <w:sz w:val="14"/>
              </w:rPr>
              <w:t>8.</w:t>
              <w:tab/>
              <w:t>Workers'</w:t>
            </w:r>
            <w:r>
              <w:rPr>
                <w:spacing w:val="-3"/>
                <w:w w:val="105"/>
                <w:sz w:val="14"/>
              </w:rPr>
              <w:t> </w:t>
            </w:r>
            <w:r>
              <w:rPr>
                <w:w w:val="105"/>
                <w:sz w:val="14"/>
              </w:rPr>
              <w:t>Compensation</w:t>
            </w:r>
            <w:r>
              <w:rPr>
                <w:spacing w:val="-2"/>
                <w:w w:val="105"/>
                <w:sz w:val="14"/>
              </w:rPr>
              <w:t> </w:t>
            </w:r>
            <w:r>
              <w:rPr>
                <w:w w:val="105"/>
                <w:sz w:val="14"/>
              </w:rPr>
              <w:t>Insurance.</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3"/>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p>
        </w:tc>
        <w:tc>
          <w:tcPr>
            <w:tcW w:w="1174" w:type="dxa"/>
          </w:tcPr>
          <w:p>
            <w:pPr>
              <w:pStyle w:val="TableParagraph"/>
              <w:spacing w:before="19"/>
              <w:ind w:left="212" w:right="88"/>
              <w:jc w:val="center"/>
              <w:rPr>
                <w:sz w:val="14"/>
              </w:rPr>
            </w:pPr>
            <w:r>
              <w:rPr>
                <w:w w:val="105"/>
                <w:sz w:val="14"/>
              </w:rPr>
              <w:t>3601 &amp; 3602</w:t>
            </w:r>
          </w:p>
        </w:tc>
        <w:tc>
          <w:tcPr>
            <w:tcW w:w="1703" w:type="dxa"/>
            <w:gridSpan w:val="2"/>
          </w:tcPr>
          <w:p>
            <w:pPr>
              <w:pStyle w:val="TableParagraph"/>
              <w:spacing w:before="19"/>
              <w:ind w:left="1004"/>
              <w:rPr>
                <w:sz w:val="14"/>
              </w:rPr>
            </w:pPr>
            <w:r>
              <w:rPr>
                <w:w w:val="105"/>
                <w:sz w:val="14"/>
              </w:rPr>
              <w:t>10,208.00</w:t>
            </w:r>
          </w:p>
        </w:tc>
        <w:tc>
          <w:tcPr>
            <w:tcW w:w="407" w:type="dxa"/>
          </w:tcPr>
          <w:p>
            <w:pPr>
              <w:pStyle w:val="TableParagraph"/>
              <w:spacing w:before="19"/>
              <w:ind w:left="13" w:right="13"/>
              <w:jc w:val="center"/>
              <w:rPr>
                <w:sz w:val="14"/>
              </w:rPr>
            </w:pPr>
            <w:r>
              <w:rPr>
                <w:w w:val="105"/>
                <w:sz w:val="14"/>
              </w:rPr>
              <w:t>392</w:t>
            </w:r>
          </w:p>
        </w:tc>
      </w:tr>
      <w:tr>
        <w:trPr>
          <w:trHeight w:val="201" w:hRule="atLeast"/>
        </w:trPr>
        <w:tc>
          <w:tcPr>
            <w:tcW w:w="8480" w:type="dxa"/>
          </w:tcPr>
          <w:p>
            <w:pPr>
              <w:pStyle w:val="TableParagraph"/>
              <w:tabs>
                <w:tab w:pos="373" w:val="left" w:leader="none"/>
              </w:tabs>
              <w:spacing w:before="19"/>
              <w:ind w:left="50"/>
              <w:rPr>
                <w:sz w:val="14"/>
              </w:rPr>
            </w:pPr>
            <w:r>
              <w:rPr>
                <w:w w:val="105"/>
                <w:sz w:val="14"/>
              </w:rPr>
              <w:t>9.</w:t>
              <w:tab/>
              <w:t>OPEB,</w:t>
            </w:r>
            <w:r>
              <w:rPr>
                <w:spacing w:val="-2"/>
                <w:w w:val="105"/>
                <w:sz w:val="14"/>
              </w:rPr>
              <w:t> </w:t>
            </w:r>
            <w:r>
              <w:rPr>
                <w:w w:val="105"/>
                <w:sz w:val="14"/>
              </w:rPr>
              <w:t>Active</w:t>
            </w:r>
            <w:r>
              <w:rPr>
                <w:spacing w:val="-2"/>
                <w:w w:val="105"/>
                <w:sz w:val="14"/>
              </w:rPr>
              <w:t> </w:t>
            </w:r>
            <w:r>
              <w:rPr>
                <w:w w:val="105"/>
                <w:sz w:val="14"/>
              </w:rPr>
              <w:t>Employees</w:t>
            </w:r>
            <w:r>
              <w:rPr>
                <w:spacing w:val="-3"/>
                <w:w w:val="105"/>
                <w:sz w:val="14"/>
              </w:rPr>
              <w:t> </w:t>
            </w:r>
            <w:r>
              <w:rPr>
                <w:w w:val="105"/>
                <w:sz w:val="14"/>
              </w:rPr>
              <w:t>(EC</w:t>
            </w:r>
            <w:r>
              <w:rPr>
                <w:spacing w:val="-2"/>
                <w:w w:val="105"/>
                <w:sz w:val="14"/>
              </w:rPr>
              <w:t> </w:t>
            </w:r>
            <w:r>
              <w:rPr>
                <w:w w:val="105"/>
                <w:sz w:val="14"/>
              </w:rPr>
              <w:t>41372).</w:t>
            </w:r>
            <w:r>
              <w:rPr>
                <w:spacing w:val="-2"/>
                <w:w w:val="105"/>
                <w:sz w:val="14"/>
              </w:rPr>
              <w:t> </w:t>
            </w:r>
            <w:r>
              <w:rPr>
                <w:w w:val="105"/>
                <w:sz w:val="14"/>
              </w:rPr>
              <w:t>.</w:t>
            </w:r>
            <w:r>
              <w:rPr>
                <w:spacing w:val="-1"/>
                <w:w w:val="105"/>
                <w:sz w:val="14"/>
              </w:rPr>
              <w:t> </w:t>
            </w:r>
            <w:r>
              <w:rPr>
                <w:w w:val="105"/>
                <w:sz w:val="14"/>
              </w:rPr>
              <w:t>.</w:t>
            </w:r>
            <w:r>
              <w:rPr>
                <w:spacing w:val="-3"/>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3"/>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p>
        </w:tc>
        <w:tc>
          <w:tcPr>
            <w:tcW w:w="1174" w:type="dxa"/>
          </w:tcPr>
          <w:p>
            <w:pPr>
              <w:pStyle w:val="TableParagraph"/>
              <w:spacing w:before="19"/>
              <w:ind w:left="212" w:right="88"/>
              <w:jc w:val="center"/>
              <w:rPr>
                <w:sz w:val="14"/>
              </w:rPr>
            </w:pPr>
            <w:r>
              <w:rPr>
                <w:w w:val="105"/>
                <w:sz w:val="14"/>
              </w:rPr>
              <w:t>3751 &amp; 3752</w:t>
            </w:r>
          </w:p>
        </w:tc>
        <w:tc>
          <w:tcPr>
            <w:tcW w:w="1703" w:type="dxa"/>
            <w:gridSpan w:val="2"/>
          </w:tcPr>
          <w:p>
            <w:pPr>
              <w:pStyle w:val="TableParagraph"/>
              <w:spacing w:before="19"/>
              <w:ind w:right="60"/>
              <w:jc w:val="right"/>
              <w:rPr>
                <w:sz w:val="14"/>
              </w:rPr>
            </w:pPr>
            <w:r>
              <w:rPr>
                <w:sz w:val="14"/>
              </w:rPr>
              <w:t>0.00</w:t>
            </w:r>
          </w:p>
        </w:tc>
        <w:tc>
          <w:tcPr>
            <w:tcW w:w="407" w:type="dxa"/>
          </w:tcPr>
          <w:p>
            <w:pPr>
              <w:pStyle w:val="TableParagraph"/>
              <w:rPr>
                <w:rFonts w:ascii="Times New Roman"/>
                <w:sz w:val="14"/>
              </w:rPr>
            </w:pPr>
          </w:p>
        </w:tc>
      </w:tr>
      <w:tr>
        <w:trPr>
          <w:trHeight w:val="181" w:hRule="atLeast"/>
        </w:trPr>
        <w:tc>
          <w:tcPr>
            <w:tcW w:w="8480" w:type="dxa"/>
          </w:tcPr>
          <w:p>
            <w:pPr>
              <w:pStyle w:val="TableParagraph"/>
              <w:spacing w:line="142" w:lineRule="exact" w:before="19"/>
              <w:ind w:left="50"/>
              <w:rPr>
                <w:sz w:val="14"/>
              </w:rPr>
            </w:pPr>
            <w:r>
              <w:rPr>
                <w:w w:val="105"/>
                <w:sz w:val="14"/>
              </w:rPr>
              <w:t>10. Other Benefits (EC 22310). . . . . . . . . . . . . . . . . . . . . . . . . . . . . . . . . . . . . . . . . . . . . . . . . . . . . . . . . . . . . . . . . . . . . . . . . . . .</w:t>
            </w:r>
          </w:p>
        </w:tc>
        <w:tc>
          <w:tcPr>
            <w:tcW w:w="1174" w:type="dxa"/>
          </w:tcPr>
          <w:p>
            <w:pPr>
              <w:pStyle w:val="TableParagraph"/>
              <w:spacing w:line="142" w:lineRule="exact" w:before="19"/>
              <w:ind w:left="212" w:right="88"/>
              <w:jc w:val="center"/>
              <w:rPr>
                <w:sz w:val="14"/>
              </w:rPr>
            </w:pPr>
            <w:r>
              <w:rPr>
                <w:w w:val="105"/>
                <w:sz w:val="14"/>
              </w:rPr>
              <w:t>3901 &amp; 3902</w:t>
            </w:r>
          </w:p>
        </w:tc>
        <w:tc>
          <w:tcPr>
            <w:tcW w:w="1703" w:type="dxa"/>
            <w:gridSpan w:val="2"/>
          </w:tcPr>
          <w:p>
            <w:pPr>
              <w:pStyle w:val="TableParagraph"/>
              <w:spacing w:line="142" w:lineRule="exact" w:before="19"/>
              <w:ind w:right="60"/>
              <w:jc w:val="right"/>
              <w:rPr>
                <w:sz w:val="14"/>
              </w:rPr>
            </w:pPr>
            <w:r>
              <w:rPr>
                <w:sz w:val="14"/>
              </w:rPr>
              <w:t>0.00</w:t>
            </w:r>
          </w:p>
        </w:tc>
        <w:tc>
          <w:tcPr>
            <w:tcW w:w="407" w:type="dxa"/>
          </w:tcPr>
          <w:p>
            <w:pPr>
              <w:pStyle w:val="TableParagraph"/>
              <w:spacing w:line="142" w:lineRule="exact" w:before="19"/>
              <w:ind w:left="13" w:right="13"/>
              <w:jc w:val="center"/>
              <w:rPr>
                <w:sz w:val="14"/>
              </w:rPr>
            </w:pPr>
            <w:r>
              <w:rPr>
                <w:w w:val="105"/>
                <w:sz w:val="14"/>
              </w:rPr>
              <w:t>393</w:t>
            </w:r>
          </w:p>
        </w:tc>
      </w:tr>
      <w:tr>
        <w:trPr>
          <w:trHeight w:val="222" w:hRule="atLeast"/>
        </w:trPr>
        <w:tc>
          <w:tcPr>
            <w:tcW w:w="10303" w:type="dxa"/>
            <w:gridSpan w:val="3"/>
          </w:tcPr>
          <w:p>
            <w:pPr>
              <w:pStyle w:val="TableParagraph"/>
              <w:spacing w:before="40"/>
              <w:ind w:left="50"/>
              <w:rPr>
                <w:sz w:val="14"/>
              </w:rPr>
            </w:pPr>
            <w:r>
              <w:rPr>
                <w:w w:val="105"/>
                <w:sz w:val="14"/>
              </w:rPr>
              <w:t>11. SUBTOTAL Salaries and Benefits (Sum Lines 1 - 10). . . . . . . . . . . . . . . . . . . . . . . . . . . . . . . . . . . . . . . . . . . . . . . . . . . . . . . . . . . . . . . . . . . . . . . . . . . . .</w:t>
            </w:r>
          </w:p>
        </w:tc>
        <w:tc>
          <w:tcPr>
            <w:tcW w:w="1054" w:type="dxa"/>
          </w:tcPr>
          <w:p>
            <w:pPr>
              <w:pStyle w:val="TableParagraph"/>
              <w:spacing w:before="40"/>
              <w:ind w:right="60"/>
              <w:jc w:val="right"/>
              <w:rPr>
                <w:sz w:val="14"/>
              </w:rPr>
            </w:pPr>
            <w:r>
              <w:rPr>
                <w:sz w:val="14"/>
              </w:rPr>
              <w:t>889,138.00</w:t>
            </w:r>
          </w:p>
        </w:tc>
        <w:tc>
          <w:tcPr>
            <w:tcW w:w="407" w:type="dxa"/>
          </w:tcPr>
          <w:p>
            <w:pPr>
              <w:pStyle w:val="TableParagraph"/>
              <w:spacing w:before="40"/>
              <w:ind w:left="13" w:right="13"/>
              <w:jc w:val="center"/>
              <w:rPr>
                <w:sz w:val="14"/>
              </w:rPr>
            </w:pPr>
            <w:r>
              <w:rPr>
                <w:w w:val="105"/>
                <w:sz w:val="14"/>
              </w:rPr>
              <w:t>395</w:t>
            </w:r>
          </w:p>
        </w:tc>
      </w:tr>
      <w:tr>
        <w:trPr>
          <w:trHeight w:val="201" w:hRule="atLeast"/>
        </w:trPr>
        <w:tc>
          <w:tcPr>
            <w:tcW w:w="10303" w:type="dxa"/>
            <w:gridSpan w:val="3"/>
          </w:tcPr>
          <w:p>
            <w:pPr>
              <w:pStyle w:val="TableParagraph"/>
              <w:spacing w:before="19"/>
              <w:ind w:left="50"/>
              <w:rPr>
                <w:sz w:val="14"/>
              </w:rPr>
            </w:pPr>
            <w:r>
              <w:rPr>
                <w:w w:val="105"/>
                <w:sz w:val="14"/>
              </w:rPr>
              <w:t>12. Less: Teacher and Instructional Aide Salaries and</w:t>
            </w:r>
          </w:p>
        </w:tc>
        <w:tc>
          <w:tcPr>
            <w:tcW w:w="1054" w:type="dxa"/>
          </w:tcPr>
          <w:p>
            <w:pPr>
              <w:pStyle w:val="TableParagraph"/>
              <w:rPr>
                <w:rFonts w:ascii="Times New Roman"/>
                <w:sz w:val="14"/>
              </w:rPr>
            </w:pPr>
          </w:p>
        </w:tc>
        <w:tc>
          <w:tcPr>
            <w:tcW w:w="407" w:type="dxa"/>
          </w:tcPr>
          <w:p>
            <w:pPr>
              <w:pStyle w:val="TableParagraph"/>
              <w:rPr>
                <w:rFonts w:ascii="Times New Roman"/>
                <w:sz w:val="14"/>
              </w:rPr>
            </w:pPr>
          </w:p>
        </w:tc>
      </w:tr>
      <w:tr>
        <w:trPr>
          <w:trHeight w:val="181" w:hRule="atLeast"/>
        </w:trPr>
        <w:tc>
          <w:tcPr>
            <w:tcW w:w="10303" w:type="dxa"/>
            <w:gridSpan w:val="3"/>
          </w:tcPr>
          <w:p>
            <w:pPr>
              <w:pStyle w:val="TableParagraph"/>
              <w:spacing w:line="142" w:lineRule="exact" w:before="19"/>
              <w:ind w:left="376"/>
              <w:rPr>
                <w:sz w:val="14"/>
              </w:rPr>
            </w:pPr>
            <w:r>
              <w:rPr>
                <w:w w:val="105"/>
                <w:sz w:val="14"/>
              </w:rPr>
              <w:t>Benefits deducted in Column 2. . . . . . . . . . . . . . . . . . . . . . . . . . . . . . . . . . . . . . . . . . . . . . . . . . . . . . . . . . . . . . . . . . . . . . . . . . . . . . . . . . . . . . . . . . . . . . .</w:t>
            </w:r>
          </w:p>
        </w:tc>
        <w:tc>
          <w:tcPr>
            <w:tcW w:w="1054" w:type="dxa"/>
          </w:tcPr>
          <w:p>
            <w:pPr>
              <w:pStyle w:val="TableParagraph"/>
              <w:spacing w:line="142" w:lineRule="exact" w:before="19"/>
              <w:ind w:right="60"/>
              <w:jc w:val="right"/>
              <w:rPr>
                <w:sz w:val="14"/>
              </w:rPr>
            </w:pPr>
            <w:r>
              <w:rPr>
                <w:sz w:val="14"/>
              </w:rPr>
              <w:t>0.00</w:t>
            </w:r>
          </w:p>
        </w:tc>
        <w:tc>
          <w:tcPr>
            <w:tcW w:w="407" w:type="dxa"/>
          </w:tcPr>
          <w:p>
            <w:pPr>
              <w:pStyle w:val="TableParagraph"/>
              <w:rPr>
                <w:rFonts w:ascii="Times New Roman"/>
                <w:sz w:val="12"/>
              </w:rPr>
            </w:pP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8"/>
        </w:rPr>
      </w:pPr>
      <w:r>
        <w:rPr/>
        <w:pict>
          <v:group style="position:absolute;margin-left:12.36pt;margin-top:12.486833pt;width:587.2pt;height:90.6pt;mso-position-horizontal-relative:page;mso-position-vertical-relative:paragraph;z-index:-251021312;mso-wrap-distance-left:0;mso-wrap-distance-right:0" coordorigin="247,250" coordsize="11744,1812">
            <v:shape style="position:absolute;left:247;top:249;width:3077;height:293" type="#_x0000_t75" stroked="false">
              <v:imagedata r:id="rId1412" o:title=""/>
            </v:shape>
            <v:shape style="position:absolute;left:247;top:249;width:11744;height:864" type="#_x0000_t75" stroked="false">
              <v:imagedata r:id="rId1413" o:title=""/>
            </v:shape>
            <v:shape style="position:absolute;left:247;top:532;width:11744;height:761" type="#_x0000_t75" stroked="false">
              <v:imagedata r:id="rId1414" o:title=""/>
            </v:shape>
            <v:shape style="position:absolute;left:10260;top:1106;width:1731;height:956" type="#_x0000_t75" stroked="false">
              <v:imagedata r:id="rId1415" o:title=""/>
            </v:shape>
            <v:shape style="position:absolute;left:247;top:1291;width:10020;height:771" type="#_x0000_t75" stroked="false">
              <v:imagedata r:id="rId1416" o:title=""/>
            </v:shape>
            <v:shape style="position:absolute;left:247;top:249;width:11744;height:1812" type="#_x0000_t202" filled="false" stroked="false">
              <v:textbox inset="0,0,0,0">
                <w:txbxContent>
                  <w:p>
                    <w:pPr>
                      <w:spacing w:before="128"/>
                      <w:ind w:left="40" w:right="0" w:firstLine="0"/>
                      <w:jc w:val="left"/>
                      <w:rPr>
                        <w:b/>
                        <w:sz w:val="14"/>
                      </w:rPr>
                    </w:pPr>
                    <w:r>
                      <w:rPr>
                        <w:b/>
                        <w:w w:val="105"/>
                        <w:sz w:val="14"/>
                      </w:rPr>
                      <w:t>PART III: DEFICIENCY AMOUNT</w:t>
                    </w:r>
                  </w:p>
                  <w:p>
                    <w:pPr>
                      <w:spacing w:line="240" w:lineRule="auto" w:before="5"/>
                      <w:rPr>
                        <w:b/>
                        <w:sz w:val="21"/>
                      </w:rPr>
                    </w:pPr>
                  </w:p>
                  <w:p>
                    <w:pPr>
                      <w:spacing w:before="0"/>
                      <w:ind w:left="40" w:right="740" w:firstLine="0"/>
                      <w:jc w:val="left"/>
                      <w:rPr>
                        <w:sz w:val="14"/>
                      </w:rPr>
                    </w:pPr>
                    <w:r>
                      <w:rPr>
                        <w:w w:val="105"/>
                        <w:sz w:val="14"/>
                      </w:rPr>
                      <w:t>A</w:t>
                    </w:r>
                    <w:r>
                      <w:rPr>
                        <w:spacing w:val="-13"/>
                        <w:w w:val="105"/>
                        <w:sz w:val="14"/>
                      </w:rPr>
                      <w:t> </w:t>
                    </w:r>
                    <w:r>
                      <w:rPr>
                        <w:w w:val="105"/>
                        <w:sz w:val="14"/>
                      </w:rPr>
                      <w:t>deficiency</w:t>
                    </w:r>
                    <w:r>
                      <w:rPr>
                        <w:spacing w:val="-15"/>
                        <w:w w:val="105"/>
                        <w:sz w:val="14"/>
                      </w:rPr>
                      <w:t> </w:t>
                    </w:r>
                    <w:r>
                      <w:rPr>
                        <w:w w:val="105"/>
                        <w:sz w:val="14"/>
                      </w:rPr>
                      <w:t>amount</w:t>
                    </w:r>
                    <w:r>
                      <w:rPr>
                        <w:spacing w:val="-12"/>
                        <w:w w:val="105"/>
                        <w:sz w:val="14"/>
                      </w:rPr>
                      <w:t> </w:t>
                    </w:r>
                    <w:r>
                      <w:rPr>
                        <w:w w:val="105"/>
                        <w:sz w:val="14"/>
                      </w:rPr>
                      <w:t>(Line</w:t>
                    </w:r>
                    <w:r>
                      <w:rPr>
                        <w:spacing w:val="-14"/>
                        <w:w w:val="105"/>
                        <w:sz w:val="14"/>
                      </w:rPr>
                      <w:t> </w:t>
                    </w:r>
                    <w:r>
                      <w:rPr>
                        <w:w w:val="105"/>
                        <w:sz w:val="14"/>
                      </w:rPr>
                      <w:t>5)</w:t>
                    </w:r>
                    <w:r>
                      <w:rPr>
                        <w:spacing w:val="-12"/>
                        <w:w w:val="105"/>
                        <w:sz w:val="14"/>
                      </w:rPr>
                      <w:t> </w:t>
                    </w:r>
                    <w:r>
                      <w:rPr>
                        <w:w w:val="105"/>
                        <w:sz w:val="14"/>
                      </w:rPr>
                      <w:t>is</w:t>
                    </w:r>
                    <w:r>
                      <w:rPr>
                        <w:spacing w:val="-13"/>
                        <w:w w:val="105"/>
                        <w:sz w:val="14"/>
                      </w:rPr>
                      <w:t> </w:t>
                    </w:r>
                    <w:r>
                      <w:rPr>
                        <w:w w:val="105"/>
                        <w:sz w:val="14"/>
                      </w:rPr>
                      <w:t>only</w:t>
                    </w:r>
                    <w:r>
                      <w:rPr>
                        <w:spacing w:val="-15"/>
                        <w:w w:val="105"/>
                        <w:sz w:val="14"/>
                      </w:rPr>
                      <w:t> </w:t>
                    </w:r>
                    <w:r>
                      <w:rPr>
                        <w:w w:val="105"/>
                        <w:sz w:val="14"/>
                      </w:rPr>
                      <w:t>applicable</w:t>
                    </w:r>
                    <w:r>
                      <w:rPr>
                        <w:spacing w:val="-13"/>
                        <w:w w:val="105"/>
                        <w:sz w:val="14"/>
                      </w:rPr>
                      <w:t> </w:t>
                    </w:r>
                    <w:r>
                      <w:rPr>
                        <w:w w:val="105"/>
                        <w:sz w:val="14"/>
                      </w:rPr>
                      <w:t>to</w:t>
                    </w:r>
                    <w:r>
                      <w:rPr>
                        <w:spacing w:val="-14"/>
                        <w:w w:val="105"/>
                        <w:sz w:val="14"/>
                      </w:rPr>
                      <w:t> </w:t>
                    </w:r>
                    <w:r>
                      <w:rPr>
                        <w:w w:val="105"/>
                        <w:sz w:val="14"/>
                      </w:rPr>
                      <w:t>districts</w:t>
                    </w:r>
                    <w:r>
                      <w:rPr>
                        <w:spacing w:val="-12"/>
                        <w:w w:val="105"/>
                        <w:sz w:val="14"/>
                      </w:rPr>
                      <w:t> </w:t>
                    </w:r>
                    <w:r>
                      <w:rPr>
                        <w:w w:val="105"/>
                        <w:sz w:val="14"/>
                      </w:rPr>
                      <w:t>not</w:t>
                    </w:r>
                    <w:r>
                      <w:rPr>
                        <w:spacing w:val="-12"/>
                        <w:w w:val="105"/>
                        <w:sz w:val="14"/>
                      </w:rPr>
                      <w:t> </w:t>
                    </w:r>
                    <w:r>
                      <w:rPr>
                        <w:w w:val="105"/>
                        <w:sz w:val="14"/>
                      </w:rPr>
                      <w:t>meeting</w:t>
                    </w:r>
                    <w:r>
                      <w:rPr>
                        <w:spacing w:val="-12"/>
                        <w:w w:val="105"/>
                        <w:sz w:val="14"/>
                      </w:rPr>
                      <w:t> </w:t>
                    </w:r>
                    <w:r>
                      <w:rPr>
                        <w:w w:val="105"/>
                        <w:sz w:val="14"/>
                      </w:rPr>
                      <w:t>the</w:t>
                    </w:r>
                    <w:r>
                      <w:rPr>
                        <w:spacing w:val="-13"/>
                        <w:w w:val="105"/>
                        <w:sz w:val="14"/>
                      </w:rPr>
                      <w:t> </w:t>
                    </w:r>
                    <w:r>
                      <w:rPr>
                        <w:w w:val="105"/>
                        <w:sz w:val="14"/>
                      </w:rPr>
                      <w:t>minimum</w:t>
                    </w:r>
                    <w:r>
                      <w:rPr>
                        <w:spacing w:val="-14"/>
                        <w:w w:val="105"/>
                        <w:sz w:val="14"/>
                      </w:rPr>
                      <w:t> </w:t>
                    </w:r>
                    <w:r>
                      <w:rPr>
                        <w:w w:val="105"/>
                        <w:sz w:val="14"/>
                      </w:rPr>
                      <w:t>classroom</w:t>
                    </w:r>
                    <w:r>
                      <w:rPr>
                        <w:spacing w:val="-14"/>
                        <w:w w:val="105"/>
                        <w:sz w:val="14"/>
                      </w:rPr>
                      <w:t> </w:t>
                    </w:r>
                    <w:r>
                      <w:rPr>
                        <w:w w:val="105"/>
                        <w:sz w:val="14"/>
                      </w:rPr>
                      <w:t>compensation</w:t>
                    </w:r>
                    <w:r>
                      <w:rPr>
                        <w:spacing w:val="-14"/>
                        <w:w w:val="105"/>
                        <w:sz w:val="14"/>
                      </w:rPr>
                      <w:t> </w:t>
                    </w:r>
                    <w:r>
                      <w:rPr>
                        <w:w w:val="105"/>
                        <w:sz w:val="14"/>
                      </w:rPr>
                      <w:t>percentage</w:t>
                    </w:r>
                    <w:r>
                      <w:rPr>
                        <w:spacing w:val="-13"/>
                        <w:w w:val="105"/>
                        <w:sz w:val="14"/>
                      </w:rPr>
                      <w:t> </w:t>
                    </w:r>
                    <w:r>
                      <w:rPr>
                        <w:w w:val="105"/>
                        <w:sz w:val="14"/>
                      </w:rPr>
                      <w:t>required</w:t>
                    </w:r>
                    <w:r>
                      <w:rPr>
                        <w:spacing w:val="-13"/>
                        <w:w w:val="105"/>
                        <w:sz w:val="14"/>
                      </w:rPr>
                      <w:t> </w:t>
                    </w:r>
                    <w:r>
                      <w:rPr>
                        <w:w w:val="105"/>
                        <w:sz w:val="14"/>
                      </w:rPr>
                      <w:t>under</w:t>
                    </w:r>
                    <w:r>
                      <w:rPr>
                        <w:spacing w:val="-12"/>
                        <w:w w:val="105"/>
                        <w:sz w:val="14"/>
                      </w:rPr>
                      <w:t> </w:t>
                    </w:r>
                    <w:r>
                      <w:rPr>
                        <w:w w:val="105"/>
                        <w:sz w:val="14"/>
                      </w:rPr>
                      <w:t>EC</w:t>
                    </w:r>
                    <w:r>
                      <w:rPr>
                        <w:spacing w:val="-13"/>
                        <w:w w:val="105"/>
                        <w:sz w:val="14"/>
                      </w:rPr>
                      <w:t> </w:t>
                    </w:r>
                    <w:r>
                      <w:rPr>
                        <w:w w:val="105"/>
                        <w:sz w:val="14"/>
                      </w:rPr>
                      <w:t>41372</w:t>
                    </w:r>
                    <w:r>
                      <w:rPr>
                        <w:spacing w:val="-13"/>
                        <w:w w:val="105"/>
                        <w:sz w:val="14"/>
                      </w:rPr>
                      <w:t> </w:t>
                    </w:r>
                    <w:r>
                      <w:rPr>
                        <w:w w:val="105"/>
                        <w:sz w:val="14"/>
                      </w:rPr>
                      <w:t>and</w:t>
                    </w:r>
                    <w:r>
                      <w:rPr>
                        <w:spacing w:val="-13"/>
                        <w:w w:val="105"/>
                        <w:sz w:val="14"/>
                      </w:rPr>
                      <w:t> </w:t>
                    </w:r>
                    <w:r>
                      <w:rPr>
                        <w:w w:val="105"/>
                        <w:sz w:val="14"/>
                      </w:rPr>
                      <w:t>not</w:t>
                    </w:r>
                    <w:r>
                      <w:rPr>
                        <w:spacing w:val="-12"/>
                        <w:w w:val="105"/>
                        <w:sz w:val="14"/>
                      </w:rPr>
                      <w:t> </w:t>
                    </w:r>
                    <w:r>
                      <w:rPr>
                        <w:w w:val="105"/>
                        <w:sz w:val="14"/>
                      </w:rPr>
                      <w:t>exempt</w:t>
                    </w:r>
                    <w:r>
                      <w:rPr>
                        <w:spacing w:val="-12"/>
                        <w:w w:val="105"/>
                        <w:sz w:val="14"/>
                      </w:rPr>
                      <w:t> </w:t>
                    </w:r>
                    <w:r>
                      <w:rPr>
                        <w:w w:val="105"/>
                        <w:sz w:val="14"/>
                      </w:rPr>
                      <w:t>under</w:t>
                    </w:r>
                    <w:r>
                      <w:rPr>
                        <w:spacing w:val="-12"/>
                        <w:w w:val="105"/>
                        <w:sz w:val="14"/>
                      </w:rPr>
                      <w:t> </w:t>
                    </w:r>
                    <w:r>
                      <w:rPr>
                        <w:w w:val="105"/>
                        <w:sz w:val="14"/>
                      </w:rPr>
                      <w:t>the provisions of EC</w:t>
                    </w:r>
                    <w:r>
                      <w:rPr>
                        <w:spacing w:val="-2"/>
                        <w:w w:val="105"/>
                        <w:sz w:val="14"/>
                      </w:rPr>
                      <w:t> </w:t>
                    </w:r>
                    <w:r>
                      <w:rPr>
                        <w:w w:val="105"/>
                        <w:sz w:val="14"/>
                      </w:rPr>
                      <w:t>41374.</w:t>
                    </w:r>
                  </w:p>
                  <w:p>
                    <w:pPr>
                      <w:tabs>
                        <w:tab w:pos="404" w:val="left" w:leader="none"/>
                        <w:tab w:pos="10864" w:val="left" w:leader="none"/>
                      </w:tabs>
                      <w:spacing w:before="24"/>
                      <w:ind w:left="40" w:right="0" w:firstLine="0"/>
                      <w:jc w:val="left"/>
                      <w:rPr>
                        <w:sz w:val="14"/>
                      </w:rPr>
                    </w:pPr>
                    <w:r>
                      <w:rPr>
                        <w:w w:val="105"/>
                        <w:sz w:val="14"/>
                      </w:rPr>
                      <w:t>1.</w:t>
                      <w:tab/>
                      <w:t>Minimum</w:t>
                    </w:r>
                    <w:r>
                      <w:rPr>
                        <w:spacing w:val="-6"/>
                        <w:w w:val="105"/>
                        <w:sz w:val="14"/>
                      </w:rPr>
                      <w:t> </w:t>
                    </w:r>
                    <w:r>
                      <w:rPr>
                        <w:w w:val="105"/>
                        <w:sz w:val="14"/>
                      </w:rPr>
                      <w:t>percentage</w:t>
                    </w:r>
                    <w:r>
                      <w:rPr>
                        <w:spacing w:val="-4"/>
                        <w:w w:val="105"/>
                        <w:sz w:val="14"/>
                      </w:rPr>
                      <w:t> </w:t>
                    </w:r>
                    <w:r>
                      <w:rPr>
                        <w:w w:val="105"/>
                        <w:sz w:val="14"/>
                      </w:rPr>
                      <w:t>required</w:t>
                    </w:r>
                    <w:r>
                      <w:rPr>
                        <w:spacing w:val="-5"/>
                        <w:w w:val="105"/>
                        <w:sz w:val="14"/>
                      </w:rPr>
                      <w:t> </w:t>
                    </w:r>
                    <w:r>
                      <w:rPr>
                        <w:w w:val="105"/>
                        <w:sz w:val="14"/>
                      </w:rPr>
                      <w:t>(60%</w:t>
                    </w:r>
                    <w:r>
                      <w:rPr>
                        <w:spacing w:val="-3"/>
                        <w:w w:val="105"/>
                        <w:sz w:val="14"/>
                      </w:rPr>
                      <w:t> </w:t>
                    </w:r>
                    <w:r>
                      <w:rPr>
                        <w:w w:val="105"/>
                        <w:sz w:val="14"/>
                      </w:rPr>
                      <w:t>elementary,</w:t>
                    </w:r>
                    <w:r>
                      <w:rPr>
                        <w:spacing w:val="-3"/>
                        <w:w w:val="105"/>
                        <w:sz w:val="14"/>
                      </w:rPr>
                      <w:t> </w:t>
                    </w:r>
                    <w:r>
                      <w:rPr>
                        <w:w w:val="105"/>
                        <w:sz w:val="14"/>
                      </w:rPr>
                      <w:t>55%</w:t>
                    </w:r>
                    <w:r>
                      <w:rPr>
                        <w:spacing w:val="-4"/>
                        <w:w w:val="105"/>
                        <w:sz w:val="14"/>
                      </w:rPr>
                      <w:t> </w:t>
                    </w:r>
                    <w:r>
                      <w:rPr>
                        <w:w w:val="105"/>
                        <w:sz w:val="14"/>
                      </w:rPr>
                      <w:t>unified,</w:t>
                    </w:r>
                    <w:r>
                      <w:rPr>
                        <w:spacing w:val="-2"/>
                        <w:w w:val="105"/>
                        <w:sz w:val="14"/>
                      </w:rPr>
                      <w:t> </w:t>
                    </w:r>
                    <w:r>
                      <w:rPr>
                        <w:w w:val="105"/>
                        <w:sz w:val="14"/>
                      </w:rPr>
                      <w:t>50%</w:t>
                    </w:r>
                    <w:r>
                      <w:rPr>
                        <w:spacing w:val="-4"/>
                        <w:w w:val="105"/>
                        <w:sz w:val="14"/>
                      </w:rPr>
                      <w:t> </w:t>
                    </w:r>
                    <w:r>
                      <w:rPr>
                        <w:w w:val="105"/>
                        <w:sz w:val="14"/>
                      </w:rPr>
                      <w:t>high)</w:t>
                    </w:r>
                    <w:r>
                      <w:rPr>
                        <w:spacing w:val="-3"/>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4"/>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4"/>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tab/>
                      <w:t>exempt</w:t>
                    </w:r>
                  </w:p>
                  <w:p>
                    <w:pPr>
                      <w:tabs>
                        <w:tab w:pos="404" w:val="left" w:leader="none"/>
                        <w:tab w:pos="10847" w:val="left" w:leader="dot"/>
                      </w:tabs>
                      <w:spacing w:before="24"/>
                      <w:ind w:left="40" w:right="0" w:firstLine="0"/>
                      <w:jc w:val="left"/>
                      <w:rPr>
                        <w:sz w:val="14"/>
                      </w:rPr>
                    </w:pPr>
                    <w:r>
                      <w:rPr>
                        <w:w w:val="105"/>
                        <w:sz w:val="14"/>
                      </w:rPr>
                      <w:t>2.</w:t>
                      <w:tab/>
                      <w:t>Percentage</w:t>
                    </w:r>
                    <w:r>
                      <w:rPr>
                        <w:spacing w:val="-10"/>
                        <w:w w:val="105"/>
                        <w:sz w:val="14"/>
                      </w:rPr>
                      <w:t> </w:t>
                    </w:r>
                    <w:r>
                      <w:rPr>
                        <w:w w:val="105"/>
                        <w:sz w:val="14"/>
                      </w:rPr>
                      <w:t>spent</w:t>
                    </w:r>
                    <w:r>
                      <w:rPr>
                        <w:spacing w:val="-8"/>
                        <w:w w:val="105"/>
                        <w:sz w:val="14"/>
                      </w:rPr>
                      <w:t> </w:t>
                    </w:r>
                    <w:r>
                      <w:rPr>
                        <w:w w:val="105"/>
                        <w:sz w:val="14"/>
                      </w:rPr>
                      <w:t>by</w:t>
                    </w:r>
                    <w:r>
                      <w:rPr>
                        <w:spacing w:val="-11"/>
                        <w:w w:val="105"/>
                        <w:sz w:val="14"/>
                      </w:rPr>
                      <w:t> </w:t>
                    </w:r>
                    <w:r>
                      <w:rPr>
                        <w:w w:val="105"/>
                        <w:sz w:val="14"/>
                      </w:rPr>
                      <w:t>this</w:t>
                    </w:r>
                    <w:r>
                      <w:rPr>
                        <w:spacing w:val="-9"/>
                        <w:w w:val="105"/>
                        <w:sz w:val="14"/>
                      </w:rPr>
                      <w:t> </w:t>
                    </w:r>
                    <w:r>
                      <w:rPr>
                        <w:w w:val="105"/>
                        <w:sz w:val="14"/>
                      </w:rPr>
                      <w:t>district</w:t>
                    </w:r>
                    <w:r>
                      <w:rPr>
                        <w:spacing w:val="-8"/>
                        <w:w w:val="105"/>
                        <w:sz w:val="14"/>
                      </w:rPr>
                      <w:t> </w:t>
                    </w:r>
                    <w:r>
                      <w:rPr>
                        <w:w w:val="105"/>
                        <w:sz w:val="14"/>
                      </w:rPr>
                      <w:t>(Part</w:t>
                    </w:r>
                    <w:r>
                      <w:rPr>
                        <w:spacing w:val="-9"/>
                        <w:w w:val="105"/>
                        <w:sz w:val="14"/>
                      </w:rPr>
                      <w:t> </w:t>
                    </w:r>
                    <w:r>
                      <w:rPr>
                        <w:w w:val="105"/>
                        <w:sz w:val="14"/>
                      </w:rPr>
                      <w:t>II,</w:t>
                    </w:r>
                    <w:r>
                      <w:rPr>
                        <w:spacing w:val="-8"/>
                        <w:w w:val="105"/>
                        <w:sz w:val="14"/>
                      </w:rPr>
                      <w:t> </w:t>
                    </w:r>
                    <w:r>
                      <w:rPr>
                        <w:w w:val="105"/>
                        <w:sz w:val="14"/>
                      </w:rPr>
                      <w:t>Line</w:t>
                    </w:r>
                    <w:r>
                      <w:rPr>
                        <w:spacing w:val="-10"/>
                        <w:w w:val="105"/>
                        <w:sz w:val="14"/>
                      </w:rPr>
                      <w:t> </w:t>
                    </w:r>
                    <w:r>
                      <w:rPr>
                        <w:w w:val="105"/>
                        <w:sz w:val="14"/>
                      </w:rPr>
                      <w:t>15)</w:t>
                      <w:tab/>
                      <w:t>48.95%</w:t>
                    </w:r>
                  </w:p>
                  <w:p>
                    <w:pPr>
                      <w:tabs>
                        <w:tab w:pos="404" w:val="left" w:leader="none"/>
                        <w:tab w:pos="10864" w:val="left" w:leader="none"/>
                      </w:tabs>
                      <w:spacing w:before="23"/>
                      <w:ind w:left="40" w:right="0" w:firstLine="0"/>
                      <w:jc w:val="left"/>
                      <w:rPr>
                        <w:sz w:val="14"/>
                      </w:rPr>
                    </w:pPr>
                    <w:r>
                      <w:rPr>
                        <w:w w:val="105"/>
                        <w:sz w:val="14"/>
                      </w:rPr>
                      <w:t>3.</w:t>
                      <w:tab/>
                      <w:t>Percentage</w:t>
                    </w:r>
                    <w:r>
                      <w:rPr>
                        <w:spacing w:val="-4"/>
                        <w:w w:val="105"/>
                        <w:sz w:val="14"/>
                      </w:rPr>
                      <w:t> </w:t>
                    </w:r>
                    <w:r>
                      <w:rPr>
                        <w:w w:val="105"/>
                        <w:sz w:val="14"/>
                      </w:rPr>
                      <w:t>below</w:t>
                    </w:r>
                    <w:r>
                      <w:rPr>
                        <w:spacing w:val="-3"/>
                        <w:w w:val="105"/>
                        <w:sz w:val="14"/>
                      </w:rPr>
                      <w:t> </w:t>
                    </w:r>
                    <w:r>
                      <w:rPr>
                        <w:w w:val="105"/>
                        <w:sz w:val="14"/>
                      </w:rPr>
                      <w:t>the</w:t>
                    </w:r>
                    <w:r>
                      <w:rPr>
                        <w:spacing w:val="-4"/>
                        <w:w w:val="105"/>
                        <w:sz w:val="14"/>
                      </w:rPr>
                      <w:t> </w:t>
                    </w:r>
                    <w:r>
                      <w:rPr>
                        <w:w w:val="105"/>
                        <w:sz w:val="14"/>
                      </w:rPr>
                      <w:t>minimum</w:t>
                    </w:r>
                    <w:r>
                      <w:rPr>
                        <w:spacing w:val="-5"/>
                        <w:w w:val="105"/>
                        <w:sz w:val="14"/>
                      </w:rPr>
                      <w:t> </w:t>
                    </w:r>
                    <w:r>
                      <w:rPr>
                        <w:w w:val="105"/>
                        <w:sz w:val="14"/>
                      </w:rPr>
                      <w:t>(Part</w:t>
                    </w:r>
                    <w:r>
                      <w:rPr>
                        <w:spacing w:val="-2"/>
                        <w:w w:val="105"/>
                        <w:sz w:val="14"/>
                      </w:rPr>
                      <w:t> </w:t>
                    </w:r>
                    <w:r>
                      <w:rPr>
                        <w:w w:val="105"/>
                        <w:sz w:val="14"/>
                      </w:rPr>
                      <w:t>III,</w:t>
                    </w:r>
                    <w:r>
                      <w:rPr>
                        <w:spacing w:val="-2"/>
                        <w:w w:val="105"/>
                        <w:sz w:val="14"/>
                      </w:rPr>
                      <w:t> </w:t>
                    </w:r>
                    <w:r>
                      <w:rPr>
                        <w:w w:val="105"/>
                        <w:sz w:val="14"/>
                      </w:rPr>
                      <w:t>Line</w:t>
                    </w:r>
                    <w:r>
                      <w:rPr>
                        <w:spacing w:val="-4"/>
                        <w:w w:val="105"/>
                        <w:sz w:val="14"/>
                      </w:rPr>
                      <w:t> </w:t>
                    </w:r>
                    <w:r>
                      <w:rPr>
                        <w:w w:val="105"/>
                        <w:sz w:val="14"/>
                      </w:rPr>
                      <w:t>1</w:t>
                    </w:r>
                    <w:r>
                      <w:rPr>
                        <w:spacing w:val="-3"/>
                        <w:w w:val="105"/>
                        <w:sz w:val="14"/>
                      </w:rPr>
                      <w:t> </w:t>
                    </w:r>
                    <w:r>
                      <w:rPr>
                        <w:w w:val="105"/>
                        <w:sz w:val="14"/>
                      </w:rPr>
                      <w:t>minus</w:t>
                    </w:r>
                    <w:r>
                      <w:rPr>
                        <w:spacing w:val="-3"/>
                        <w:w w:val="105"/>
                        <w:sz w:val="14"/>
                      </w:rPr>
                      <w:t> </w:t>
                    </w:r>
                    <w:r>
                      <w:rPr>
                        <w:w w:val="105"/>
                        <w:sz w:val="14"/>
                      </w:rPr>
                      <w:t>Line</w:t>
                    </w:r>
                    <w:r>
                      <w:rPr>
                        <w:spacing w:val="-3"/>
                        <w:w w:val="105"/>
                        <w:sz w:val="14"/>
                      </w:rPr>
                      <w:t> </w:t>
                    </w:r>
                    <w:r>
                      <w:rPr>
                        <w:w w:val="105"/>
                        <w:sz w:val="14"/>
                      </w:rPr>
                      <w:t>2)</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tab/>
                      <w:t>exempt</w:t>
                    </w:r>
                  </w:p>
                  <w:p>
                    <w:pPr>
                      <w:tabs>
                        <w:tab w:pos="404" w:val="left" w:leader="none"/>
                        <w:tab w:pos="10449" w:val="left" w:leader="none"/>
                        <w:tab w:pos="10864" w:val="left" w:leader="none"/>
                      </w:tabs>
                      <w:spacing w:line="300" w:lineRule="auto" w:before="24"/>
                      <w:ind w:left="40" w:right="409" w:firstLine="0"/>
                      <w:jc w:val="left"/>
                      <w:rPr>
                        <w:sz w:val="14"/>
                      </w:rPr>
                    </w:pPr>
                    <w:r>
                      <w:rPr>
                        <w:w w:val="105"/>
                        <w:sz w:val="14"/>
                      </w:rPr>
                      <w:t>4.</w:t>
                      <w:tab/>
                      <w:t>District's</w:t>
                    </w:r>
                    <w:r>
                      <w:rPr>
                        <w:spacing w:val="-4"/>
                        <w:w w:val="105"/>
                        <w:sz w:val="14"/>
                      </w:rPr>
                      <w:t> </w:t>
                    </w:r>
                    <w:r>
                      <w:rPr>
                        <w:w w:val="105"/>
                        <w:sz w:val="14"/>
                      </w:rPr>
                      <w:t>Current</w:t>
                    </w:r>
                    <w:r>
                      <w:rPr>
                        <w:spacing w:val="-3"/>
                        <w:w w:val="105"/>
                        <w:sz w:val="14"/>
                      </w:rPr>
                      <w:t> </w:t>
                    </w:r>
                    <w:r>
                      <w:rPr>
                        <w:w w:val="105"/>
                        <w:sz w:val="14"/>
                      </w:rPr>
                      <w:t>Expense</w:t>
                    </w:r>
                    <w:r>
                      <w:rPr>
                        <w:spacing w:val="-4"/>
                        <w:w w:val="105"/>
                        <w:sz w:val="14"/>
                      </w:rPr>
                      <w:t> </w:t>
                    </w:r>
                    <w:r>
                      <w:rPr>
                        <w:w w:val="105"/>
                        <w:sz w:val="14"/>
                      </w:rPr>
                      <w:t>of</w:t>
                    </w:r>
                    <w:r>
                      <w:rPr>
                        <w:spacing w:val="-3"/>
                        <w:w w:val="105"/>
                        <w:sz w:val="14"/>
                      </w:rPr>
                      <w:t> </w:t>
                    </w:r>
                    <w:r>
                      <w:rPr>
                        <w:w w:val="105"/>
                        <w:sz w:val="14"/>
                      </w:rPr>
                      <w:t>Education</w:t>
                    </w:r>
                    <w:r>
                      <w:rPr>
                        <w:spacing w:val="-4"/>
                        <w:w w:val="105"/>
                        <w:sz w:val="14"/>
                      </w:rPr>
                      <w:t> </w:t>
                    </w:r>
                    <w:r>
                      <w:rPr>
                        <w:w w:val="105"/>
                        <w:sz w:val="14"/>
                      </w:rPr>
                      <w:t>after</w:t>
                    </w:r>
                    <w:r>
                      <w:rPr>
                        <w:spacing w:val="-4"/>
                        <w:w w:val="105"/>
                        <w:sz w:val="14"/>
                      </w:rPr>
                      <w:t> </w:t>
                    </w:r>
                    <w:r>
                      <w:rPr>
                        <w:w w:val="105"/>
                        <w:sz w:val="14"/>
                      </w:rPr>
                      <w:t>reductions</w:t>
                    </w:r>
                    <w:r>
                      <w:rPr>
                        <w:spacing w:val="-5"/>
                        <w:w w:val="105"/>
                        <w:sz w:val="14"/>
                      </w:rPr>
                      <w:t> </w:t>
                    </w:r>
                    <w:r>
                      <w:rPr>
                        <w:w w:val="105"/>
                        <w:sz w:val="14"/>
                      </w:rPr>
                      <w:t>in</w:t>
                    </w:r>
                    <w:r>
                      <w:rPr>
                        <w:spacing w:val="-5"/>
                        <w:w w:val="105"/>
                        <w:sz w:val="14"/>
                      </w:rPr>
                      <w:t> </w:t>
                    </w:r>
                    <w:r>
                      <w:rPr>
                        <w:w w:val="105"/>
                        <w:sz w:val="14"/>
                      </w:rPr>
                      <w:t>columns</w:t>
                    </w:r>
                    <w:r>
                      <w:rPr>
                        <w:spacing w:val="-4"/>
                        <w:w w:val="105"/>
                        <w:sz w:val="14"/>
                      </w:rPr>
                      <w:t> </w:t>
                    </w:r>
                    <w:r>
                      <w:rPr>
                        <w:w w:val="105"/>
                        <w:sz w:val="14"/>
                      </w:rPr>
                      <w:t>4a</w:t>
                    </w:r>
                    <w:r>
                      <w:rPr>
                        <w:spacing w:val="-4"/>
                        <w:w w:val="105"/>
                        <w:sz w:val="14"/>
                      </w:rPr>
                      <w:t> </w:t>
                    </w:r>
                    <w:r>
                      <w:rPr>
                        <w:w w:val="105"/>
                        <w:sz w:val="14"/>
                      </w:rPr>
                      <w:t>or</w:t>
                    </w:r>
                    <w:r>
                      <w:rPr>
                        <w:spacing w:val="-4"/>
                        <w:w w:val="105"/>
                        <w:sz w:val="14"/>
                      </w:rPr>
                      <w:t> </w:t>
                    </w:r>
                    <w:r>
                      <w:rPr>
                        <w:w w:val="105"/>
                        <w:sz w:val="14"/>
                      </w:rPr>
                      <w:t>4b</w:t>
                    </w:r>
                    <w:r>
                      <w:rPr>
                        <w:spacing w:val="-5"/>
                        <w:w w:val="105"/>
                        <w:sz w:val="14"/>
                      </w:rPr>
                      <w:t> </w:t>
                    </w:r>
                    <w:r>
                      <w:rPr>
                        <w:w w:val="105"/>
                        <w:sz w:val="14"/>
                      </w:rPr>
                      <w:t>(Part</w:t>
                    </w:r>
                    <w:r>
                      <w:rPr>
                        <w:spacing w:val="-3"/>
                        <w:w w:val="105"/>
                        <w:sz w:val="14"/>
                      </w:rPr>
                      <w:t> </w:t>
                    </w:r>
                    <w:r>
                      <w:rPr>
                        <w:w w:val="105"/>
                        <w:sz w:val="14"/>
                      </w:rPr>
                      <w:t>I,</w:t>
                    </w:r>
                    <w:r>
                      <w:rPr>
                        <w:spacing w:val="-3"/>
                        <w:w w:val="105"/>
                        <w:sz w:val="14"/>
                      </w:rPr>
                      <w:t> </w:t>
                    </w:r>
                    <w:r>
                      <w:rPr>
                        <w:w w:val="105"/>
                        <w:sz w:val="14"/>
                      </w:rPr>
                      <w:t>EDP</w:t>
                    </w:r>
                    <w:r>
                      <w:rPr>
                        <w:spacing w:val="-4"/>
                        <w:w w:val="105"/>
                        <w:sz w:val="14"/>
                      </w:rPr>
                      <w:t> </w:t>
                    </w:r>
                    <w:r>
                      <w:rPr>
                        <w:w w:val="105"/>
                        <w:sz w:val="14"/>
                      </w:rPr>
                      <w:t>369).</w:t>
                    </w:r>
                    <w:r>
                      <w:rPr>
                        <w:spacing w:val="-4"/>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4"/>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4"/>
                        <w:w w:val="105"/>
                        <w:sz w:val="14"/>
                      </w:rPr>
                      <w:t> </w:t>
                    </w:r>
                    <w:r>
                      <w:rPr>
                        <w:w w:val="105"/>
                        <w:sz w:val="14"/>
                      </w:rPr>
                      <w:t>.</w:t>
                    </w:r>
                    <w:r>
                      <w:rPr>
                        <w:spacing w:val="-3"/>
                        <w:w w:val="105"/>
                        <w:sz w:val="14"/>
                      </w:rPr>
                      <w:t> </w:t>
                    </w:r>
                    <w:r>
                      <w:rPr>
                        <w:w w:val="105"/>
                        <w:sz w:val="14"/>
                      </w:rPr>
                      <w:t>.</w:t>
                    </w:r>
                    <w:r>
                      <w:rPr>
                        <w:spacing w:val="-4"/>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4"/>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4"/>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4"/>
                        <w:w w:val="105"/>
                        <w:sz w:val="14"/>
                      </w:rPr>
                      <w:t> </w:t>
                    </w:r>
                    <w:r>
                      <w:rPr>
                        <w:w w:val="105"/>
                        <w:sz w:val="14"/>
                      </w:rPr>
                      <w:t>.</w:t>
                    </w:r>
                    <w:r>
                      <w:rPr>
                        <w:spacing w:val="-3"/>
                        <w:w w:val="105"/>
                        <w:sz w:val="14"/>
                      </w:rPr>
                      <w:t> </w:t>
                    </w:r>
                    <w:r>
                      <w:rPr>
                        <w:w w:val="105"/>
                        <w:sz w:val="14"/>
                      </w:rPr>
                      <w:t>.</w:t>
                    </w:r>
                    <w:r>
                      <w:rPr>
                        <w:spacing w:val="-4"/>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4"/>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4"/>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3"/>
                        <w:w w:val="105"/>
                        <w:sz w:val="14"/>
                      </w:rPr>
                      <w:t> </w:t>
                    </w:r>
                    <w:r>
                      <w:rPr>
                        <w:w w:val="105"/>
                        <w:sz w:val="14"/>
                      </w:rPr>
                      <w:t>.</w:t>
                    </w:r>
                    <w:r>
                      <w:rPr>
                        <w:spacing w:val="-4"/>
                        <w:w w:val="105"/>
                        <w:sz w:val="14"/>
                      </w:rPr>
                      <w:t> </w:t>
                    </w:r>
                    <w:r>
                      <w:rPr>
                        <w:w w:val="105"/>
                        <w:sz w:val="14"/>
                      </w:rPr>
                      <w:t>.</w:t>
                    </w:r>
                    <w:r>
                      <w:rPr>
                        <w:spacing w:val="-3"/>
                        <w:w w:val="105"/>
                        <w:sz w:val="14"/>
                      </w:rPr>
                      <w:t> </w:t>
                    </w:r>
                    <w:r>
                      <w:rPr>
                        <w:w w:val="105"/>
                        <w:sz w:val="14"/>
                      </w:rPr>
                      <w:t>.</w:t>
                      <w:tab/>
                      <w:t>1,816,403.00 5.</w:t>
                      <w:tab/>
                      <w:t>Deficiency</w:t>
                    </w:r>
                    <w:r>
                      <w:rPr>
                        <w:spacing w:val="-6"/>
                        <w:w w:val="105"/>
                        <w:sz w:val="14"/>
                      </w:rPr>
                      <w:t> </w:t>
                    </w:r>
                    <w:r>
                      <w:rPr>
                        <w:w w:val="105"/>
                        <w:sz w:val="14"/>
                      </w:rPr>
                      <w:t>Amount</w:t>
                    </w:r>
                    <w:r>
                      <w:rPr>
                        <w:spacing w:val="-2"/>
                        <w:w w:val="105"/>
                        <w:sz w:val="14"/>
                      </w:rPr>
                      <w:t> </w:t>
                    </w:r>
                    <w:r>
                      <w:rPr>
                        <w:w w:val="105"/>
                        <w:sz w:val="14"/>
                      </w:rPr>
                      <w:t>(Part</w:t>
                    </w:r>
                    <w:r>
                      <w:rPr>
                        <w:spacing w:val="-1"/>
                        <w:w w:val="105"/>
                        <w:sz w:val="14"/>
                      </w:rPr>
                      <w:t> </w:t>
                    </w:r>
                    <w:r>
                      <w:rPr>
                        <w:w w:val="105"/>
                        <w:sz w:val="14"/>
                      </w:rPr>
                      <w:t>III,</w:t>
                    </w:r>
                    <w:r>
                      <w:rPr>
                        <w:spacing w:val="-2"/>
                        <w:w w:val="105"/>
                        <w:sz w:val="14"/>
                      </w:rPr>
                      <w:t> </w:t>
                    </w:r>
                    <w:r>
                      <w:rPr>
                        <w:w w:val="105"/>
                        <w:sz w:val="14"/>
                      </w:rPr>
                      <w:t>Line</w:t>
                    </w:r>
                    <w:r>
                      <w:rPr>
                        <w:spacing w:val="-4"/>
                        <w:w w:val="105"/>
                        <w:sz w:val="14"/>
                      </w:rPr>
                      <w:t> </w:t>
                    </w:r>
                    <w:r>
                      <w:rPr>
                        <w:w w:val="105"/>
                        <w:sz w:val="14"/>
                      </w:rPr>
                      <w:t>3</w:t>
                    </w:r>
                    <w:r>
                      <w:rPr>
                        <w:spacing w:val="-2"/>
                        <w:w w:val="105"/>
                        <w:sz w:val="14"/>
                      </w:rPr>
                      <w:t> </w:t>
                    </w:r>
                    <w:r>
                      <w:rPr>
                        <w:w w:val="105"/>
                        <w:sz w:val="14"/>
                      </w:rPr>
                      <w:t>times</w:t>
                    </w:r>
                    <w:r>
                      <w:rPr>
                        <w:spacing w:val="-2"/>
                        <w:w w:val="105"/>
                        <w:sz w:val="14"/>
                      </w:rPr>
                      <w:t> </w:t>
                    </w:r>
                    <w:r>
                      <w:rPr>
                        <w:w w:val="105"/>
                        <w:sz w:val="14"/>
                      </w:rPr>
                      <w:t>Line</w:t>
                    </w:r>
                    <w:r>
                      <w:rPr>
                        <w:spacing w:val="-4"/>
                        <w:w w:val="105"/>
                        <w:sz w:val="14"/>
                      </w:rPr>
                      <w:t> </w:t>
                    </w:r>
                    <w:r>
                      <w:rPr>
                        <w:w w:val="105"/>
                        <w:sz w:val="14"/>
                      </w:rPr>
                      <w:t>4)</w:t>
                    </w:r>
                    <w:r>
                      <w:rPr>
                        <w:spacing w:val="38"/>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3"/>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r>
                    <w:r>
                      <w:rPr>
                        <w:spacing w:val="-2"/>
                        <w:w w:val="105"/>
                        <w:sz w:val="14"/>
                      </w:rPr>
                      <w:t> </w:t>
                    </w:r>
                    <w:r>
                      <w:rPr>
                        <w:w w:val="105"/>
                        <w:sz w:val="14"/>
                      </w:rPr>
                      <w:t>.</w:t>
                    </w:r>
                    <w:r>
                      <w:rPr>
                        <w:spacing w:val="-1"/>
                        <w:w w:val="105"/>
                        <w:sz w:val="14"/>
                      </w:rPr>
                      <w:t> </w:t>
                    </w:r>
                    <w:r>
                      <w:rPr>
                        <w:w w:val="105"/>
                        <w:sz w:val="14"/>
                      </w:rPr>
                      <w:t>.</w:t>
                    </w:r>
                    <w:r>
                      <w:rPr>
                        <w:spacing w:val="-2"/>
                        <w:w w:val="105"/>
                        <w:sz w:val="14"/>
                      </w:rPr>
                      <w:t> </w:t>
                    </w:r>
                    <w:r>
                      <w:rPr>
                        <w:w w:val="105"/>
                        <w:sz w:val="14"/>
                      </w:rPr>
                      <w:t>.</w:t>
                      <w:tab/>
                      <w:tab/>
                    </w:r>
                    <w:r>
                      <w:rPr>
                        <w:spacing w:val="-4"/>
                        <w:w w:val="105"/>
                        <w:sz w:val="14"/>
                      </w:rPr>
                      <w:t>exempt</w:t>
                    </w:r>
                  </w:p>
                </w:txbxContent>
              </v:textbox>
              <w10:wrap type="none"/>
            </v:shape>
            <w10:wrap type="topAndBottom"/>
          </v:group>
        </w:pict>
      </w:r>
    </w:p>
    <w:p>
      <w:pPr>
        <w:pStyle w:val="BodyText"/>
        <w:spacing w:before="6"/>
        <w:rPr>
          <w:sz w:val="8"/>
        </w:rPr>
      </w:pPr>
    </w:p>
    <w:p>
      <w:pPr>
        <w:pStyle w:val="BodyText"/>
        <w:ind w:left="207"/>
        <w:rPr>
          <w:sz w:val="20"/>
        </w:rPr>
      </w:pPr>
      <w:r>
        <w:rPr>
          <w:sz w:val="20"/>
        </w:rPr>
        <w:pict>
          <v:group style="width:587.2pt;height:55.7pt;mso-position-horizontal-relative:char;mso-position-vertical-relative:line" coordorigin="0,0" coordsize="11744,1114">
            <v:shape style="position:absolute;left:0;top:0;width:6509;height:387" type="#_x0000_t75" stroked="false">
              <v:imagedata r:id="rId1417" o:title=""/>
            </v:shape>
            <v:shape style="position:absolute;left:0;top:0;width:11744;height:1114" type="#_x0000_t75" stroked="false">
              <v:imagedata r:id="rId1418" o:title=""/>
            </v:shape>
            <v:shape style="position:absolute;left:0;top:0;width:11744;height:1114" type="#_x0000_t202" filled="false" stroked="false">
              <v:textbox inset="0,0,0,0">
                <w:txbxContent>
                  <w:p>
                    <w:pPr>
                      <w:spacing w:line="240" w:lineRule="auto" w:before="3"/>
                      <w:rPr>
                        <w:sz w:val="19"/>
                      </w:rPr>
                    </w:pPr>
                  </w:p>
                  <w:p>
                    <w:pPr>
                      <w:spacing w:before="0"/>
                      <w:ind w:left="40" w:right="0" w:firstLine="0"/>
                      <w:jc w:val="left"/>
                      <w:rPr>
                        <w:b/>
                        <w:sz w:val="14"/>
                      </w:rPr>
                    </w:pPr>
                    <w:r>
                      <w:rPr>
                        <w:b/>
                        <w:w w:val="105"/>
                        <w:sz w:val="14"/>
                      </w:rPr>
                      <w:t>PART IV: Explanation for adjustments entered in Part I, Column 4b (required)</w:t>
                    </w:r>
                  </w:p>
                </w:txbxContent>
              </v:textbox>
              <w10:wrap type="none"/>
            </v:shape>
          </v:group>
        </w:pict>
      </w:r>
      <w:r>
        <w:rPr>
          <w:sz w:val="20"/>
        </w:rPr>
      </w:r>
    </w:p>
    <w:p>
      <w:pPr>
        <w:spacing w:after="0"/>
        <w:rPr>
          <w:sz w:val="20"/>
        </w:rPr>
        <w:sectPr>
          <w:type w:val="continuous"/>
          <w:pgSz w:w="12240" w:h="15840"/>
          <w:pgMar w:top="1500" w:bottom="840" w:left="40" w:right="40"/>
        </w:sectPr>
      </w:pPr>
    </w:p>
    <w:p>
      <w:pPr>
        <w:pStyle w:val="BodyText"/>
        <w:spacing w:before="7"/>
        <w:rPr>
          <w:sz w:val="22"/>
        </w:rPr>
      </w:pPr>
    </w:p>
    <w:p>
      <w:pPr>
        <w:spacing w:line="244" w:lineRule="auto" w:before="1"/>
        <w:ind w:left="240" w:right="4" w:firstLine="0"/>
        <w:jc w:val="left"/>
        <w:rPr>
          <w:sz w:val="15"/>
        </w:rPr>
      </w:pPr>
      <w:bookmarkStart w:name="FORM L" w:id="18"/>
      <w:bookmarkEnd w:id="18"/>
      <w:r>
        <w:rPr/>
      </w:r>
      <w:r>
        <w:rPr>
          <w:w w:val="105"/>
          <w:sz w:val="15"/>
        </w:rPr>
        <w:t>Winship-Robbins Elementary Sutter County</w:t>
      </w:r>
    </w:p>
    <w:p>
      <w:pPr>
        <w:spacing w:before="85"/>
        <w:ind w:left="304" w:right="60" w:firstLine="0"/>
        <w:jc w:val="center"/>
        <w:rPr>
          <w:sz w:val="15"/>
        </w:rPr>
      </w:pPr>
      <w:r>
        <w:rPr/>
        <w:br w:type="column"/>
      </w:r>
      <w:r>
        <w:rPr>
          <w:w w:val="105"/>
          <w:sz w:val="15"/>
        </w:rPr>
        <w:t>July 1 Budget</w:t>
      </w:r>
    </w:p>
    <w:p>
      <w:pPr>
        <w:spacing w:line="244" w:lineRule="auto" w:before="3"/>
        <w:ind w:left="304" w:right="100" w:firstLine="0"/>
        <w:jc w:val="center"/>
        <w:rPr>
          <w:sz w:val="15"/>
        </w:rPr>
      </w:pPr>
      <w:r>
        <w:rPr>
          <w:w w:val="105"/>
          <w:sz w:val="15"/>
        </w:rPr>
        <w:t>2020-21 Estimated Actuals LOTTERY REPORT</w:t>
      </w:r>
    </w:p>
    <w:p>
      <w:pPr>
        <w:spacing w:line="244" w:lineRule="auto" w:before="0"/>
        <w:ind w:left="240" w:right="16" w:firstLine="19"/>
        <w:jc w:val="left"/>
        <w:rPr>
          <w:sz w:val="15"/>
        </w:rPr>
      </w:pPr>
      <w:r>
        <w:rPr>
          <w:w w:val="105"/>
          <w:sz w:val="15"/>
        </w:rPr>
        <w:t>Revenues, Expenditures and Ending Balances - All Funds</w:t>
      </w:r>
    </w:p>
    <w:p>
      <w:pPr>
        <w:pStyle w:val="BodyText"/>
        <w:spacing w:before="7"/>
        <w:rPr>
          <w:sz w:val="22"/>
        </w:rPr>
      </w:pPr>
      <w:r>
        <w:rPr/>
        <w:br w:type="column"/>
      </w:r>
      <w:r>
        <w:rPr>
          <w:sz w:val="22"/>
        </w:rPr>
      </w:r>
    </w:p>
    <w:p>
      <w:pPr>
        <w:spacing w:before="1"/>
        <w:ind w:left="240" w:right="0" w:firstLine="0"/>
        <w:jc w:val="left"/>
        <w:rPr>
          <w:sz w:val="15"/>
        </w:rPr>
      </w:pPr>
      <w:r>
        <w:rPr>
          <w:w w:val="105"/>
          <w:sz w:val="15"/>
        </w:rPr>
        <w:t>51 71456</w:t>
      </w:r>
      <w:r>
        <w:rPr>
          <w:spacing w:val="-22"/>
          <w:w w:val="105"/>
          <w:sz w:val="15"/>
        </w:rPr>
        <w:t> </w:t>
      </w:r>
      <w:r>
        <w:rPr>
          <w:w w:val="105"/>
          <w:sz w:val="15"/>
        </w:rPr>
        <w:t>0000000</w:t>
      </w:r>
    </w:p>
    <w:p>
      <w:pPr>
        <w:spacing w:before="2"/>
        <w:ind w:left="1039" w:right="0" w:firstLine="0"/>
        <w:jc w:val="left"/>
        <w:rPr>
          <w:sz w:val="15"/>
        </w:rPr>
      </w:pPr>
      <w:r>
        <w:rPr>
          <w:w w:val="105"/>
          <w:sz w:val="15"/>
        </w:rPr>
        <w:t>Form</w:t>
      </w:r>
      <w:r>
        <w:rPr>
          <w:spacing w:val="-3"/>
          <w:w w:val="105"/>
          <w:sz w:val="15"/>
        </w:rPr>
        <w:t> </w:t>
      </w:r>
      <w:r>
        <w:rPr>
          <w:w w:val="105"/>
          <w:sz w:val="15"/>
        </w:rPr>
        <w:t>L</w:t>
      </w:r>
    </w:p>
    <w:p>
      <w:pPr>
        <w:spacing w:after="0"/>
        <w:jc w:val="left"/>
        <w:rPr>
          <w:sz w:val="15"/>
        </w:rPr>
        <w:sectPr>
          <w:headerReference w:type="default" r:id="rId1421"/>
          <w:footerReference w:type="default" r:id="rId1422"/>
          <w:pgSz w:w="12240" w:h="15840"/>
          <w:pgMar w:header="0" w:footer="606" w:top="700" w:bottom="800" w:left="40" w:right="40"/>
          <w:cols w:num="3" w:equalWidth="0">
            <w:col w:w="2295" w:space="2525"/>
            <w:col w:w="2318" w:space="3245"/>
            <w:col w:w="1777"/>
          </w:cols>
        </w:sectPr>
      </w:pPr>
    </w:p>
    <w:p>
      <w:pPr>
        <w:pStyle w:val="BodyText"/>
        <w:spacing w:before="3"/>
        <w:rPr>
          <w:sz w:val="26"/>
        </w:rPr>
      </w:pPr>
    </w:p>
    <w:p>
      <w:pPr>
        <w:spacing w:after="0"/>
        <w:rPr>
          <w:sz w:val="26"/>
        </w:rPr>
        <w:sectPr>
          <w:type w:val="continuous"/>
          <w:pgSz w:w="12240" w:h="15840"/>
          <w:pgMar w:top="1500" w:bottom="840" w:left="40" w:right="40"/>
        </w:sectPr>
      </w:pPr>
    </w:p>
    <w:p>
      <w:pPr>
        <w:pStyle w:val="BodyText"/>
        <w:rPr>
          <w:sz w:val="18"/>
        </w:rPr>
      </w:pPr>
    </w:p>
    <w:p>
      <w:pPr>
        <w:pStyle w:val="BodyText"/>
        <w:rPr>
          <w:sz w:val="18"/>
        </w:rPr>
      </w:pPr>
    </w:p>
    <w:p>
      <w:pPr>
        <w:pStyle w:val="BodyText"/>
        <w:rPr>
          <w:sz w:val="25"/>
        </w:rPr>
      </w:pPr>
    </w:p>
    <w:p>
      <w:pPr>
        <w:tabs>
          <w:tab w:pos="4198" w:val="left" w:leader="none"/>
        </w:tabs>
        <w:spacing w:before="0"/>
        <w:ind w:left="303" w:right="0" w:firstLine="0"/>
        <w:jc w:val="left"/>
        <w:rPr>
          <w:b/>
          <w:sz w:val="17"/>
        </w:rPr>
      </w:pPr>
      <w:r>
        <w:rPr/>
        <w:pict>
          <v:shape style="position:absolute;margin-left:24.243704pt;margin-top:10.13292pt;width:563.1pt;height:404.45pt;mso-position-horizontal-relative:page;mso-position-vertical-relative:paragraph;z-index:252314624"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21"/>
                    <w:gridCol w:w="1775"/>
                    <w:gridCol w:w="1555"/>
                    <w:gridCol w:w="1469"/>
                    <w:gridCol w:w="1570"/>
                    <w:gridCol w:w="1472"/>
                  </w:tblGrid>
                  <w:tr>
                    <w:trPr>
                      <w:trHeight w:val="295" w:hRule="atLeast"/>
                    </w:trPr>
                    <w:tc>
                      <w:tcPr>
                        <w:tcW w:w="3421" w:type="dxa"/>
                        <w:tcBorders>
                          <w:right w:val="single" w:sz="4" w:space="0" w:color="FFFFFF"/>
                        </w:tcBorders>
                      </w:tcPr>
                      <w:p>
                        <w:pPr>
                          <w:pStyle w:val="TableParagraph"/>
                          <w:spacing w:before="78"/>
                          <w:ind w:left="119"/>
                          <w:rPr>
                            <w:b/>
                            <w:sz w:val="17"/>
                          </w:rPr>
                        </w:pPr>
                        <w:r>
                          <w:rPr>
                            <w:b/>
                            <w:sz w:val="17"/>
                          </w:rPr>
                          <w:t>AMOUNT AVAILABLE FOR THIS FISCAL</w:t>
                        </w:r>
                      </w:p>
                    </w:tc>
                    <w:tc>
                      <w:tcPr>
                        <w:tcW w:w="7841" w:type="dxa"/>
                        <w:gridSpan w:val="5"/>
                        <w:tcBorders>
                          <w:left w:val="single" w:sz="4" w:space="0" w:color="FFFFFF"/>
                        </w:tcBorders>
                      </w:tcPr>
                      <w:p>
                        <w:pPr>
                          <w:pStyle w:val="TableParagraph"/>
                          <w:spacing w:before="78"/>
                          <w:ind w:left="25"/>
                          <w:rPr>
                            <w:b/>
                            <w:sz w:val="17"/>
                          </w:rPr>
                        </w:pPr>
                        <w:r>
                          <w:rPr>
                            <w:b/>
                            <w:sz w:val="17"/>
                          </w:rPr>
                          <w:t>YEAR</w:t>
                        </w:r>
                      </w:p>
                    </w:tc>
                  </w:tr>
                  <w:tr>
                    <w:trPr>
                      <w:trHeight w:val="218" w:hRule="atLeast"/>
                    </w:trPr>
                    <w:tc>
                      <w:tcPr>
                        <w:tcW w:w="3421" w:type="dxa"/>
                      </w:tcPr>
                      <w:p>
                        <w:pPr>
                          <w:pStyle w:val="TableParagraph"/>
                          <w:spacing w:line="180" w:lineRule="exact" w:before="18"/>
                          <w:ind w:left="97"/>
                          <w:rPr>
                            <w:sz w:val="17"/>
                          </w:rPr>
                        </w:pPr>
                        <w:r>
                          <w:rPr>
                            <w:sz w:val="17"/>
                          </w:rPr>
                          <w:t>1. Adjusted Beginning Fund Balance</w:t>
                        </w:r>
                      </w:p>
                    </w:tc>
                    <w:tc>
                      <w:tcPr>
                        <w:tcW w:w="1775" w:type="dxa"/>
                      </w:tcPr>
                      <w:p>
                        <w:pPr>
                          <w:pStyle w:val="TableParagraph"/>
                          <w:spacing w:line="180" w:lineRule="exact" w:before="18"/>
                          <w:ind w:left="206" w:right="205"/>
                          <w:jc w:val="center"/>
                          <w:rPr>
                            <w:sz w:val="17"/>
                          </w:rPr>
                        </w:pPr>
                        <w:r>
                          <w:rPr>
                            <w:sz w:val="17"/>
                          </w:rPr>
                          <w:t>9791-9795</w:t>
                        </w:r>
                      </w:p>
                    </w:tc>
                    <w:tc>
                      <w:tcPr>
                        <w:tcW w:w="1555" w:type="dxa"/>
                      </w:tcPr>
                      <w:p>
                        <w:pPr>
                          <w:pStyle w:val="TableParagraph"/>
                          <w:spacing w:line="180" w:lineRule="exact" w:before="18"/>
                          <w:ind w:right="91"/>
                          <w:jc w:val="right"/>
                          <w:rPr>
                            <w:sz w:val="17"/>
                          </w:rPr>
                        </w:pPr>
                        <w:r>
                          <w:rPr>
                            <w:sz w:val="17"/>
                          </w:rPr>
                          <w:t>0.00</w:t>
                        </w:r>
                      </w:p>
                    </w:tc>
                    <w:tc>
                      <w:tcPr>
                        <w:tcW w:w="1469" w:type="dxa"/>
                      </w:tcPr>
                      <w:p>
                        <w:pPr>
                          <w:pStyle w:val="TableParagraph"/>
                          <w:rPr>
                            <w:rFonts w:ascii="Times New Roman"/>
                            <w:sz w:val="14"/>
                          </w:rPr>
                        </w:pPr>
                      </w:p>
                    </w:tc>
                    <w:tc>
                      <w:tcPr>
                        <w:tcW w:w="1570" w:type="dxa"/>
                      </w:tcPr>
                      <w:p>
                        <w:pPr>
                          <w:pStyle w:val="TableParagraph"/>
                          <w:spacing w:line="180" w:lineRule="exact" w:before="18"/>
                          <w:ind w:right="93"/>
                          <w:jc w:val="right"/>
                          <w:rPr>
                            <w:sz w:val="17"/>
                          </w:rPr>
                        </w:pPr>
                        <w:r>
                          <w:rPr>
                            <w:sz w:val="17"/>
                          </w:rPr>
                          <w:t>10,669.00</w:t>
                        </w:r>
                      </w:p>
                    </w:tc>
                    <w:tc>
                      <w:tcPr>
                        <w:tcW w:w="1472" w:type="dxa"/>
                      </w:tcPr>
                      <w:p>
                        <w:pPr>
                          <w:pStyle w:val="TableParagraph"/>
                          <w:spacing w:line="180" w:lineRule="exact" w:before="18"/>
                          <w:ind w:right="97"/>
                          <w:jc w:val="right"/>
                          <w:rPr>
                            <w:sz w:val="17"/>
                          </w:rPr>
                        </w:pPr>
                        <w:r>
                          <w:rPr>
                            <w:sz w:val="17"/>
                          </w:rPr>
                          <w:t>10,669.00</w:t>
                        </w:r>
                      </w:p>
                    </w:tc>
                  </w:tr>
                  <w:tr>
                    <w:trPr>
                      <w:trHeight w:val="248" w:hRule="atLeast"/>
                    </w:trPr>
                    <w:tc>
                      <w:tcPr>
                        <w:tcW w:w="3421" w:type="dxa"/>
                      </w:tcPr>
                      <w:p>
                        <w:pPr>
                          <w:pStyle w:val="TableParagraph"/>
                          <w:spacing w:before="32"/>
                          <w:ind w:left="97"/>
                          <w:rPr>
                            <w:sz w:val="17"/>
                          </w:rPr>
                        </w:pPr>
                        <w:r>
                          <w:rPr>
                            <w:sz w:val="17"/>
                          </w:rPr>
                          <w:t>2. State Lottery Revenue</w:t>
                        </w:r>
                      </w:p>
                    </w:tc>
                    <w:tc>
                      <w:tcPr>
                        <w:tcW w:w="1775" w:type="dxa"/>
                      </w:tcPr>
                      <w:p>
                        <w:pPr>
                          <w:pStyle w:val="TableParagraph"/>
                          <w:spacing w:before="32"/>
                          <w:ind w:left="206" w:right="203"/>
                          <w:jc w:val="center"/>
                          <w:rPr>
                            <w:sz w:val="17"/>
                          </w:rPr>
                        </w:pPr>
                        <w:r>
                          <w:rPr>
                            <w:sz w:val="17"/>
                          </w:rPr>
                          <w:t>8560</w:t>
                        </w:r>
                      </w:p>
                    </w:tc>
                    <w:tc>
                      <w:tcPr>
                        <w:tcW w:w="1555" w:type="dxa"/>
                      </w:tcPr>
                      <w:p>
                        <w:pPr>
                          <w:pStyle w:val="TableParagraph"/>
                          <w:spacing w:before="32"/>
                          <w:ind w:right="93"/>
                          <w:jc w:val="right"/>
                          <w:rPr>
                            <w:sz w:val="17"/>
                          </w:rPr>
                        </w:pPr>
                        <w:r>
                          <w:rPr>
                            <w:sz w:val="17"/>
                          </w:rPr>
                          <w:t>17,059.00</w:t>
                        </w:r>
                      </w:p>
                    </w:tc>
                    <w:tc>
                      <w:tcPr>
                        <w:tcW w:w="1469" w:type="dxa"/>
                        <w:shd w:val="clear" w:color="auto" w:fill="BFBFBF"/>
                      </w:tcPr>
                      <w:p>
                        <w:pPr>
                          <w:pStyle w:val="TableParagraph"/>
                          <w:rPr>
                            <w:rFonts w:ascii="Times New Roman"/>
                            <w:sz w:val="16"/>
                          </w:rPr>
                        </w:pPr>
                      </w:p>
                    </w:tc>
                    <w:tc>
                      <w:tcPr>
                        <w:tcW w:w="1570" w:type="dxa"/>
                      </w:tcPr>
                      <w:p>
                        <w:pPr>
                          <w:pStyle w:val="TableParagraph"/>
                          <w:spacing w:before="32"/>
                          <w:ind w:right="93"/>
                          <w:jc w:val="right"/>
                          <w:rPr>
                            <w:sz w:val="17"/>
                          </w:rPr>
                        </w:pPr>
                        <w:r>
                          <w:rPr>
                            <w:sz w:val="17"/>
                          </w:rPr>
                          <w:t>5,581.00</w:t>
                        </w:r>
                      </w:p>
                    </w:tc>
                    <w:tc>
                      <w:tcPr>
                        <w:tcW w:w="1472" w:type="dxa"/>
                      </w:tcPr>
                      <w:p>
                        <w:pPr>
                          <w:pStyle w:val="TableParagraph"/>
                          <w:spacing w:before="32"/>
                          <w:ind w:right="97"/>
                          <w:jc w:val="right"/>
                          <w:rPr>
                            <w:sz w:val="17"/>
                          </w:rPr>
                        </w:pPr>
                        <w:r>
                          <w:rPr>
                            <w:sz w:val="17"/>
                          </w:rPr>
                          <w:t>22,640.00</w:t>
                        </w:r>
                      </w:p>
                    </w:tc>
                  </w:tr>
                  <w:tr>
                    <w:trPr>
                      <w:trHeight w:val="216" w:hRule="atLeast"/>
                    </w:trPr>
                    <w:tc>
                      <w:tcPr>
                        <w:tcW w:w="3421" w:type="dxa"/>
                      </w:tcPr>
                      <w:p>
                        <w:pPr>
                          <w:pStyle w:val="TableParagraph"/>
                          <w:spacing w:line="180" w:lineRule="exact" w:before="16"/>
                          <w:ind w:left="97"/>
                          <w:rPr>
                            <w:sz w:val="17"/>
                          </w:rPr>
                        </w:pPr>
                        <w:r>
                          <w:rPr>
                            <w:sz w:val="17"/>
                          </w:rPr>
                          <w:t>3. Other Local Revenue</w:t>
                        </w:r>
                      </w:p>
                    </w:tc>
                    <w:tc>
                      <w:tcPr>
                        <w:tcW w:w="1775" w:type="dxa"/>
                      </w:tcPr>
                      <w:p>
                        <w:pPr>
                          <w:pStyle w:val="TableParagraph"/>
                          <w:spacing w:line="180" w:lineRule="exact" w:before="16"/>
                          <w:ind w:left="206" w:right="205"/>
                          <w:jc w:val="center"/>
                          <w:rPr>
                            <w:sz w:val="17"/>
                          </w:rPr>
                        </w:pPr>
                        <w:r>
                          <w:rPr>
                            <w:sz w:val="17"/>
                          </w:rPr>
                          <w:t>8600-8799</w:t>
                        </w:r>
                      </w:p>
                    </w:tc>
                    <w:tc>
                      <w:tcPr>
                        <w:tcW w:w="1555" w:type="dxa"/>
                      </w:tcPr>
                      <w:p>
                        <w:pPr>
                          <w:pStyle w:val="TableParagraph"/>
                          <w:spacing w:line="180" w:lineRule="exact" w:before="16"/>
                          <w:ind w:right="91"/>
                          <w:jc w:val="right"/>
                          <w:rPr>
                            <w:sz w:val="17"/>
                          </w:rPr>
                        </w:pPr>
                        <w:r>
                          <w:rPr>
                            <w:sz w:val="17"/>
                          </w:rPr>
                          <w:t>0.00</w:t>
                        </w:r>
                      </w:p>
                    </w:tc>
                    <w:tc>
                      <w:tcPr>
                        <w:tcW w:w="1469" w:type="dxa"/>
                        <w:shd w:val="clear" w:color="auto" w:fill="BFBFBF"/>
                      </w:tcPr>
                      <w:p>
                        <w:pPr>
                          <w:pStyle w:val="TableParagraph"/>
                          <w:rPr>
                            <w:rFonts w:ascii="Times New Roman"/>
                            <w:sz w:val="14"/>
                          </w:rPr>
                        </w:pPr>
                      </w:p>
                    </w:tc>
                    <w:tc>
                      <w:tcPr>
                        <w:tcW w:w="1570" w:type="dxa"/>
                      </w:tcPr>
                      <w:p>
                        <w:pPr>
                          <w:pStyle w:val="TableParagraph"/>
                          <w:spacing w:line="180" w:lineRule="exact" w:before="16"/>
                          <w:ind w:right="92"/>
                          <w:jc w:val="right"/>
                          <w:rPr>
                            <w:sz w:val="17"/>
                          </w:rPr>
                        </w:pPr>
                        <w:r>
                          <w:rPr>
                            <w:sz w:val="17"/>
                          </w:rPr>
                          <w:t>0.00</w:t>
                        </w:r>
                      </w:p>
                    </w:tc>
                    <w:tc>
                      <w:tcPr>
                        <w:tcW w:w="1472" w:type="dxa"/>
                      </w:tcPr>
                      <w:p>
                        <w:pPr>
                          <w:pStyle w:val="TableParagraph"/>
                          <w:spacing w:line="180" w:lineRule="exact" w:before="16"/>
                          <w:ind w:right="95"/>
                          <w:jc w:val="right"/>
                          <w:rPr>
                            <w:sz w:val="17"/>
                          </w:rPr>
                        </w:pPr>
                        <w:r>
                          <w:rPr>
                            <w:sz w:val="17"/>
                          </w:rPr>
                          <w:t>0.00</w:t>
                        </w:r>
                      </w:p>
                    </w:tc>
                  </w:tr>
                  <w:tr>
                    <w:trPr>
                      <w:trHeight w:val="453" w:hRule="atLeast"/>
                    </w:trPr>
                    <w:tc>
                      <w:tcPr>
                        <w:tcW w:w="3421" w:type="dxa"/>
                      </w:tcPr>
                      <w:p>
                        <w:pPr>
                          <w:pStyle w:val="TableParagraph"/>
                          <w:spacing w:line="194" w:lineRule="exact" w:before="63"/>
                          <w:ind w:left="289" w:hanging="192"/>
                          <w:rPr>
                            <w:sz w:val="17"/>
                          </w:rPr>
                        </w:pPr>
                        <w:r>
                          <w:rPr>
                            <w:sz w:val="17"/>
                          </w:rPr>
                          <w:t>4. Transfers from Funds of Lapsed/Reorganized Districts</w:t>
                        </w:r>
                      </w:p>
                    </w:tc>
                    <w:tc>
                      <w:tcPr>
                        <w:tcW w:w="1775" w:type="dxa"/>
                      </w:tcPr>
                      <w:p>
                        <w:pPr>
                          <w:pStyle w:val="TableParagraph"/>
                          <w:rPr>
                            <w:sz w:val="22"/>
                          </w:rPr>
                        </w:pPr>
                      </w:p>
                      <w:p>
                        <w:pPr>
                          <w:pStyle w:val="TableParagraph"/>
                          <w:spacing w:line="180" w:lineRule="exact"/>
                          <w:ind w:left="206" w:right="203"/>
                          <w:jc w:val="center"/>
                          <w:rPr>
                            <w:sz w:val="17"/>
                          </w:rPr>
                        </w:pPr>
                        <w:r>
                          <w:rPr>
                            <w:sz w:val="17"/>
                          </w:rPr>
                          <w:t>8965</w:t>
                        </w:r>
                      </w:p>
                    </w:tc>
                    <w:tc>
                      <w:tcPr>
                        <w:tcW w:w="1555" w:type="dxa"/>
                      </w:tcPr>
                      <w:p>
                        <w:pPr>
                          <w:pStyle w:val="TableParagraph"/>
                          <w:rPr>
                            <w:sz w:val="22"/>
                          </w:rPr>
                        </w:pPr>
                      </w:p>
                      <w:p>
                        <w:pPr>
                          <w:pStyle w:val="TableParagraph"/>
                          <w:spacing w:line="180" w:lineRule="exact"/>
                          <w:ind w:right="91"/>
                          <w:jc w:val="right"/>
                          <w:rPr>
                            <w:sz w:val="17"/>
                          </w:rPr>
                        </w:pPr>
                        <w:r>
                          <w:rPr>
                            <w:sz w:val="17"/>
                          </w:rPr>
                          <w:t>0.00</w:t>
                        </w:r>
                      </w:p>
                    </w:tc>
                    <w:tc>
                      <w:tcPr>
                        <w:tcW w:w="1469" w:type="dxa"/>
                      </w:tcPr>
                      <w:p>
                        <w:pPr>
                          <w:pStyle w:val="TableParagraph"/>
                          <w:rPr>
                            <w:rFonts w:ascii="Times New Roman"/>
                            <w:sz w:val="16"/>
                          </w:rPr>
                        </w:pPr>
                      </w:p>
                    </w:tc>
                    <w:tc>
                      <w:tcPr>
                        <w:tcW w:w="1570" w:type="dxa"/>
                      </w:tcPr>
                      <w:p>
                        <w:pPr>
                          <w:pStyle w:val="TableParagraph"/>
                          <w:rPr>
                            <w:sz w:val="22"/>
                          </w:rPr>
                        </w:pPr>
                      </w:p>
                      <w:p>
                        <w:pPr>
                          <w:pStyle w:val="TableParagraph"/>
                          <w:spacing w:line="180" w:lineRule="exact"/>
                          <w:ind w:right="92"/>
                          <w:jc w:val="right"/>
                          <w:rPr>
                            <w:sz w:val="17"/>
                          </w:rPr>
                        </w:pPr>
                        <w:r>
                          <w:rPr>
                            <w:sz w:val="17"/>
                          </w:rPr>
                          <w:t>0.00</w:t>
                        </w:r>
                      </w:p>
                    </w:tc>
                    <w:tc>
                      <w:tcPr>
                        <w:tcW w:w="1472" w:type="dxa"/>
                      </w:tcPr>
                      <w:p>
                        <w:pPr>
                          <w:pStyle w:val="TableParagraph"/>
                          <w:rPr>
                            <w:sz w:val="22"/>
                          </w:rPr>
                        </w:pPr>
                      </w:p>
                      <w:p>
                        <w:pPr>
                          <w:pStyle w:val="TableParagraph"/>
                          <w:spacing w:line="180" w:lineRule="exact"/>
                          <w:ind w:right="95"/>
                          <w:jc w:val="right"/>
                          <w:rPr>
                            <w:sz w:val="17"/>
                          </w:rPr>
                        </w:pPr>
                        <w:r>
                          <w:rPr>
                            <w:sz w:val="17"/>
                          </w:rPr>
                          <w:t>0.00</w:t>
                        </w:r>
                      </w:p>
                    </w:tc>
                  </w:tr>
                  <w:tr>
                    <w:trPr>
                      <w:trHeight w:val="248" w:hRule="atLeast"/>
                    </w:trPr>
                    <w:tc>
                      <w:tcPr>
                        <w:tcW w:w="3421" w:type="dxa"/>
                      </w:tcPr>
                      <w:p>
                        <w:pPr>
                          <w:pStyle w:val="TableParagraph"/>
                          <w:spacing w:before="32"/>
                          <w:ind w:left="97"/>
                          <w:rPr>
                            <w:sz w:val="17"/>
                          </w:rPr>
                        </w:pPr>
                        <w:r>
                          <w:rPr>
                            <w:sz w:val="17"/>
                          </w:rPr>
                          <w:t>5. Contributions from Unrestricted</w:t>
                        </w:r>
                      </w:p>
                    </w:tc>
                    <w:tc>
                      <w:tcPr>
                        <w:tcW w:w="1775" w:type="dxa"/>
                      </w:tcPr>
                      <w:p>
                        <w:pPr>
                          <w:pStyle w:val="TableParagraph"/>
                          <w:rPr>
                            <w:rFonts w:ascii="Times New Roman"/>
                            <w:sz w:val="16"/>
                          </w:rPr>
                        </w:pPr>
                      </w:p>
                    </w:tc>
                    <w:tc>
                      <w:tcPr>
                        <w:tcW w:w="1555" w:type="dxa"/>
                      </w:tcPr>
                      <w:p>
                        <w:pPr>
                          <w:pStyle w:val="TableParagraph"/>
                          <w:rPr>
                            <w:rFonts w:ascii="Times New Roman"/>
                            <w:sz w:val="16"/>
                          </w:rPr>
                        </w:pPr>
                      </w:p>
                    </w:tc>
                    <w:tc>
                      <w:tcPr>
                        <w:tcW w:w="1469" w:type="dxa"/>
                      </w:tcPr>
                      <w:p>
                        <w:pPr>
                          <w:pStyle w:val="TableParagraph"/>
                          <w:rPr>
                            <w:rFonts w:ascii="Times New Roman"/>
                            <w:sz w:val="16"/>
                          </w:rPr>
                        </w:pPr>
                      </w:p>
                    </w:tc>
                    <w:tc>
                      <w:tcPr>
                        <w:tcW w:w="1570" w:type="dxa"/>
                        <w:shd w:val="clear" w:color="auto" w:fill="BFBFBF"/>
                      </w:tcPr>
                      <w:p>
                        <w:pPr>
                          <w:pStyle w:val="TableParagraph"/>
                          <w:rPr>
                            <w:rFonts w:ascii="Times New Roman"/>
                            <w:sz w:val="16"/>
                          </w:rPr>
                        </w:pPr>
                      </w:p>
                    </w:tc>
                    <w:tc>
                      <w:tcPr>
                        <w:tcW w:w="1472" w:type="dxa"/>
                      </w:tcPr>
                      <w:p>
                        <w:pPr>
                          <w:pStyle w:val="TableParagraph"/>
                          <w:rPr>
                            <w:rFonts w:ascii="Times New Roman"/>
                            <w:sz w:val="16"/>
                          </w:rPr>
                        </w:pPr>
                      </w:p>
                    </w:tc>
                  </w:tr>
                  <w:tr>
                    <w:trPr>
                      <w:trHeight w:val="216" w:hRule="atLeast"/>
                    </w:trPr>
                    <w:tc>
                      <w:tcPr>
                        <w:tcW w:w="3421" w:type="dxa"/>
                      </w:tcPr>
                      <w:p>
                        <w:pPr>
                          <w:pStyle w:val="TableParagraph"/>
                          <w:spacing w:line="180" w:lineRule="exact" w:before="16"/>
                          <w:ind w:left="289"/>
                          <w:rPr>
                            <w:sz w:val="17"/>
                          </w:rPr>
                        </w:pPr>
                        <w:r>
                          <w:rPr>
                            <w:sz w:val="17"/>
                          </w:rPr>
                          <w:t>Resources (Total must be zero)</w:t>
                        </w:r>
                      </w:p>
                    </w:tc>
                    <w:tc>
                      <w:tcPr>
                        <w:tcW w:w="1775" w:type="dxa"/>
                      </w:tcPr>
                      <w:p>
                        <w:pPr>
                          <w:pStyle w:val="TableParagraph"/>
                          <w:spacing w:line="180" w:lineRule="exact" w:before="16"/>
                          <w:ind w:left="206" w:right="203"/>
                          <w:jc w:val="center"/>
                          <w:rPr>
                            <w:sz w:val="17"/>
                          </w:rPr>
                        </w:pPr>
                        <w:r>
                          <w:rPr>
                            <w:sz w:val="17"/>
                          </w:rPr>
                          <w:t>8980</w:t>
                        </w:r>
                      </w:p>
                    </w:tc>
                    <w:tc>
                      <w:tcPr>
                        <w:tcW w:w="1555" w:type="dxa"/>
                      </w:tcPr>
                      <w:p>
                        <w:pPr>
                          <w:pStyle w:val="TableParagraph"/>
                          <w:spacing w:line="180" w:lineRule="exact" w:before="16"/>
                          <w:ind w:right="91"/>
                          <w:jc w:val="right"/>
                          <w:rPr>
                            <w:sz w:val="17"/>
                          </w:rPr>
                        </w:pPr>
                        <w:r>
                          <w:rPr>
                            <w:sz w:val="17"/>
                          </w:rPr>
                          <w:t>0.00</w:t>
                        </w:r>
                      </w:p>
                    </w:tc>
                    <w:tc>
                      <w:tcPr>
                        <w:tcW w:w="1469" w:type="dxa"/>
                      </w:tcPr>
                      <w:p>
                        <w:pPr>
                          <w:pStyle w:val="TableParagraph"/>
                          <w:rPr>
                            <w:rFonts w:ascii="Times New Roman"/>
                            <w:sz w:val="14"/>
                          </w:rPr>
                        </w:pPr>
                      </w:p>
                    </w:tc>
                    <w:tc>
                      <w:tcPr>
                        <w:tcW w:w="1570" w:type="dxa"/>
                        <w:shd w:val="clear" w:color="auto" w:fill="BFBFBF"/>
                      </w:tcPr>
                      <w:p>
                        <w:pPr>
                          <w:pStyle w:val="TableParagraph"/>
                          <w:rPr>
                            <w:rFonts w:ascii="Times New Roman"/>
                            <w:sz w:val="14"/>
                          </w:rPr>
                        </w:pPr>
                      </w:p>
                    </w:tc>
                    <w:tc>
                      <w:tcPr>
                        <w:tcW w:w="1472" w:type="dxa"/>
                      </w:tcPr>
                      <w:p>
                        <w:pPr>
                          <w:pStyle w:val="TableParagraph"/>
                          <w:spacing w:line="180" w:lineRule="exact" w:before="16"/>
                          <w:ind w:right="95"/>
                          <w:jc w:val="right"/>
                          <w:rPr>
                            <w:sz w:val="17"/>
                          </w:rPr>
                        </w:pPr>
                        <w:r>
                          <w:rPr>
                            <w:sz w:val="17"/>
                          </w:rPr>
                          <w:t>0.00</w:t>
                        </w:r>
                      </w:p>
                    </w:tc>
                  </w:tr>
                  <w:tr>
                    <w:trPr>
                      <w:trHeight w:val="248" w:hRule="atLeast"/>
                    </w:trPr>
                    <w:tc>
                      <w:tcPr>
                        <w:tcW w:w="3421" w:type="dxa"/>
                      </w:tcPr>
                      <w:p>
                        <w:pPr>
                          <w:pStyle w:val="TableParagraph"/>
                          <w:spacing w:before="32"/>
                          <w:ind w:left="97"/>
                          <w:rPr>
                            <w:sz w:val="17"/>
                          </w:rPr>
                        </w:pPr>
                        <w:r>
                          <w:rPr>
                            <w:sz w:val="17"/>
                          </w:rPr>
                          <w:t>6. Total Available</w:t>
                        </w:r>
                      </w:p>
                    </w:tc>
                    <w:tc>
                      <w:tcPr>
                        <w:tcW w:w="1775" w:type="dxa"/>
                      </w:tcPr>
                      <w:p>
                        <w:pPr>
                          <w:pStyle w:val="TableParagraph"/>
                          <w:rPr>
                            <w:rFonts w:ascii="Times New Roman"/>
                            <w:sz w:val="16"/>
                          </w:rPr>
                        </w:pPr>
                      </w:p>
                    </w:tc>
                    <w:tc>
                      <w:tcPr>
                        <w:tcW w:w="1555" w:type="dxa"/>
                      </w:tcPr>
                      <w:p>
                        <w:pPr>
                          <w:pStyle w:val="TableParagraph"/>
                          <w:rPr>
                            <w:rFonts w:ascii="Times New Roman"/>
                            <w:sz w:val="16"/>
                          </w:rPr>
                        </w:pPr>
                      </w:p>
                    </w:tc>
                    <w:tc>
                      <w:tcPr>
                        <w:tcW w:w="1469" w:type="dxa"/>
                      </w:tcPr>
                      <w:p>
                        <w:pPr>
                          <w:pStyle w:val="TableParagraph"/>
                          <w:rPr>
                            <w:rFonts w:ascii="Times New Roman"/>
                            <w:sz w:val="16"/>
                          </w:rPr>
                        </w:pPr>
                      </w:p>
                    </w:tc>
                    <w:tc>
                      <w:tcPr>
                        <w:tcW w:w="1570" w:type="dxa"/>
                      </w:tcPr>
                      <w:p>
                        <w:pPr>
                          <w:pStyle w:val="TableParagraph"/>
                          <w:rPr>
                            <w:rFonts w:ascii="Times New Roman"/>
                            <w:sz w:val="16"/>
                          </w:rPr>
                        </w:pPr>
                      </w:p>
                    </w:tc>
                    <w:tc>
                      <w:tcPr>
                        <w:tcW w:w="1472" w:type="dxa"/>
                      </w:tcPr>
                      <w:p>
                        <w:pPr>
                          <w:pStyle w:val="TableParagraph"/>
                          <w:rPr>
                            <w:rFonts w:ascii="Times New Roman"/>
                            <w:sz w:val="16"/>
                          </w:rPr>
                        </w:pPr>
                      </w:p>
                    </w:tc>
                  </w:tr>
                  <w:tr>
                    <w:trPr>
                      <w:trHeight w:val="216" w:hRule="atLeast"/>
                    </w:trPr>
                    <w:tc>
                      <w:tcPr>
                        <w:tcW w:w="3421" w:type="dxa"/>
                      </w:tcPr>
                      <w:p>
                        <w:pPr>
                          <w:pStyle w:val="TableParagraph"/>
                          <w:spacing w:line="180" w:lineRule="exact" w:before="16"/>
                          <w:ind w:left="289"/>
                          <w:rPr>
                            <w:sz w:val="17"/>
                          </w:rPr>
                        </w:pPr>
                        <w:r>
                          <w:rPr>
                            <w:sz w:val="17"/>
                          </w:rPr>
                          <w:t>(Sum Lines A1 through A5)</w:t>
                        </w:r>
                      </w:p>
                    </w:tc>
                    <w:tc>
                      <w:tcPr>
                        <w:tcW w:w="1775" w:type="dxa"/>
                      </w:tcPr>
                      <w:p>
                        <w:pPr>
                          <w:pStyle w:val="TableParagraph"/>
                          <w:rPr>
                            <w:rFonts w:ascii="Times New Roman"/>
                            <w:sz w:val="14"/>
                          </w:rPr>
                        </w:pPr>
                      </w:p>
                    </w:tc>
                    <w:tc>
                      <w:tcPr>
                        <w:tcW w:w="1555" w:type="dxa"/>
                      </w:tcPr>
                      <w:p>
                        <w:pPr>
                          <w:pStyle w:val="TableParagraph"/>
                          <w:spacing w:line="180" w:lineRule="exact" w:before="16"/>
                          <w:ind w:right="93"/>
                          <w:jc w:val="right"/>
                          <w:rPr>
                            <w:sz w:val="17"/>
                          </w:rPr>
                        </w:pPr>
                        <w:r>
                          <w:rPr>
                            <w:sz w:val="17"/>
                          </w:rPr>
                          <w:t>17,059.00</w:t>
                        </w:r>
                      </w:p>
                    </w:tc>
                    <w:tc>
                      <w:tcPr>
                        <w:tcW w:w="1469" w:type="dxa"/>
                      </w:tcPr>
                      <w:p>
                        <w:pPr>
                          <w:pStyle w:val="TableParagraph"/>
                          <w:spacing w:line="180" w:lineRule="exact" w:before="16"/>
                          <w:ind w:right="93"/>
                          <w:jc w:val="right"/>
                          <w:rPr>
                            <w:sz w:val="17"/>
                          </w:rPr>
                        </w:pPr>
                        <w:r>
                          <w:rPr>
                            <w:sz w:val="17"/>
                          </w:rPr>
                          <w:t>0.00</w:t>
                        </w:r>
                      </w:p>
                    </w:tc>
                    <w:tc>
                      <w:tcPr>
                        <w:tcW w:w="1570" w:type="dxa"/>
                      </w:tcPr>
                      <w:p>
                        <w:pPr>
                          <w:pStyle w:val="TableParagraph"/>
                          <w:spacing w:line="180" w:lineRule="exact" w:before="16"/>
                          <w:ind w:right="93"/>
                          <w:jc w:val="right"/>
                          <w:rPr>
                            <w:sz w:val="17"/>
                          </w:rPr>
                        </w:pPr>
                        <w:r>
                          <w:rPr>
                            <w:sz w:val="17"/>
                          </w:rPr>
                          <w:t>16,250.00</w:t>
                        </w:r>
                      </w:p>
                    </w:tc>
                    <w:tc>
                      <w:tcPr>
                        <w:tcW w:w="1472" w:type="dxa"/>
                      </w:tcPr>
                      <w:p>
                        <w:pPr>
                          <w:pStyle w:val="TableParagraph"/>
                          <w:spacing w:line="180" w:lineRule="exact" w:before="16"/>
                          <w:ind w:right="97"/>
                          <w:jc w:val="right"/>
                          <w:rPr>
                            <w:sz w:val="17"/>
                          </w:rPr>
                        </w:pPr>
                        <w:r>
                          <w:rPr>
                            <w:sz w:val="17"/>
                          </w:rPr>
                          <w:t>33,309.00</w:t>
                        </w:r>
                      </w:p>
                    </w:tc>
                  </w:tr>
                  <w:tr>
                    <w:trPr>
                      <w:trHeight w:val="467" w:hRule="atLeast"/>
                    </w:trPr>
                    <w:tc>
                      <w:tcPr>
                        <w:tcW w:w="8220" w:type="dxa"/>
                        <w:gridSpan w:val="4"/>
                      </w:tcPr>
                      <w:p>
                        <w:pPr>
                          <w:pStyle w:val="TableParagraph"/>
                          <w:spacing w:before="10"/>
                          <w:rPr>
                            <w:sz w:val="19"/>
                          </w:rPr>
                        </w:pPr>
                      </w:p>
                      <w:p>
                        <w:pPr>
                          <w:pStyle w:val="TableParagraph"/>
                          <w:spacing w:before="1"/>
                          <w:ind w:left="-18"/>
                          <w:rPr>
                            <w:b/>
                            <w:sz w:val="17"/>
                          </w:rPr>
                        </w:pPr>
                        <w:r>
                          <w:rPr>
                            <w:b/>
                            <w:sz w:val="17"/>
                          </w:rPr>
                          <w:t>. EXPENDITURES AND OTHER FINANCING USES</w:t>
                        </w:r>
                      </w:p>
                    </w:tc>
                    <w:tc>
                      <w:tcPr>
                        <w:tcW w:w="1570" w:type="dxa"/>
                        <w:shd w:val="clear" w:color="auto" w:fill="BFBFBF"/>
                      </w:tcPr>
                      <w:p>
                        <w:pPr>
                          <w:pStyle w:val="TableParagraph"/>
                          <w:rPr>
                            <w:rFonts w:ascii="Times New Roman"/>
                            <w:sz w:val="16"/>
                          </w:rPr>
                        </w:pPr>
                      </w:p>
                    </w:tc>
                    <w:tc>
                      <w:tcPr>
                        <w:tcW w:w="1472" w:type="dxa"/>
                      </w:tcPr>
                      <w:p>
                        <w:pPr>
                          <w:pStyle w:val="TableParagraph"/>
                          <w:rPr>
                            <w:rFonts w:ascii="Times New Roman"/>
                            <w:sz w:val="16"/>
                          </w:rPr>
                        </w:pPr>
                      </w:p>
                    </w:tc>
                  </w:tr>
                  <w:tr>
                    <w:trPr>
                      <w:trHeight w:val="212" w:hRule="atLeast"/>
                    </w:trPr>
                    <w:tc>
                      <w:tcPr>
                        <w:tcW w:w="3421" w:type="dxa"/>
                      </w:tcPr>
                      <w:p>
                        <w:pPr>
                          <w:pStyle w:val="TableParagraph"/>
                          <w:spacing w:line="192" w:lineRule="exact"/>
                          <w:ind w:left="145"/>
                          <w:rPr>
                            <w:sz w:val="17"/>
                          </w:rPr>
                        </w:pPr>
                        <w:r>
                          <w:rPr>
                            <w:sz w:val="17"/>
                          </w:rPr>
                          <w:t>1. Certificated Salaries</w:t>
                        </w:r>
                      </w:p>
                    </w:tc>
                    <w:tc>
                      <w:tcPr>
                        <w:tcW w:w="1775" w:type="dxa"/>
                      </w:tcPr>
                      <w:p>
                        <w:pPr>
                          <w:pStyle w:val="TableParagraph"/>
                          <w:spacing w:line="192" w:lineRule="exact"/>
                          <w:ind w:left="206" w:right="205"/>
                          <w:jc w:val="center"/>
                          <w:rPr>
                            <w:sz w:val="17"/>
                          </w:rPr>
                        </w:pPr>
                        <w:r>
                          <w:rPr>
                            <w:sz w:val="17"/>
                          </w:rPr>
                          <w:t>1000-1999</w:t>
                        </w:r>
                      </w:p>
                    </w:tc>
                    <w:tc>
                      <w:tcPr>
                        <w:tcW w:w="3024" w:type="dxa"/>
                        <w:gridSpan w:val="2"/>
                      </w:tcPr>
                      <w:p>
                        <w:pPr>
                          <w:pStyle w:val="TableParagraph"/>
                          <w:spacing w:line="192" w:lineRule="exact"/>
                          <w:ind w:left="1109" w:right="1544"/>
                          <w:jc w:val="center"/>
                          <w:rPr>
                            <w:sz w:val="17"/>
                          </w:rPr>
                        </w:pPr>
                        <w:r>
                          <w:rPr>
                            <w:sz w:val="17"/>
                          </w:rPr>
                          <w:t>0.00</w:t>
                        </w:r>
                      </w:p>
                    </w:tc>
                    <w:tc>
                      <w:tcPr>
                        <w:tcW w:w="1570" w:type="dxa"/>
                        <w:shd w:val="clear" w:color="auto" w:fill="BFBFBF"/>
                      </w:tcPr>
                      <w:p>
                        <w:pPr>
                          <w:pStyle w:val="TableParagraph"/>
                          <w:rPr>
                            <w:rFonts w:ascii="Times New Roman"/>
                            <w:sz w:val="14"/>
                          </w:rPr>
                        </w:pPr>
                      </w:p>
                    </w:tc>
                    <w:tc>
                      <w:tcPr>
                        <w:tcW w:w="1472" w:type="dxa"/>
                      </w:tcPr>
                      <w:p>
                        <w:pPr>
                          <w:pStyle w:val="TableParagraph"/>
                          <w:spacing w:line="192" w:lineRule="exact"/>
                          <w:ind w:right="95"/>
                          <w:jc w:val="right"/>
                          <w:rPr>
                            <w:sz w:val="17"/>
                          </w:rPr>
                        </w:pPr>
                        <w:r>
                          <w:rPr>
                            <w:sz w:val="17"/>
                          </w:rPr>
                          <w:t>0.00</w:t>
                        </w:r>
                      </w:p>
                    </w:tc>
                  </w:tr>
                  <w:tr>
                    <w:trPr>
                      <w:trHeight w:val="232" w:hRule="atLeast"/>
                    </w:trPr>
                    <w:tc>
                      <w:tcPr>
                        <w:tcW w:w="3421" w:type="dxa"/>
                      </w:tcPr>
                      <w:p>
                        <w:pPr>
                          <w:pStyle w:val="TableParagraph"/>
                          <w:spacing w:before="16"/>
                          <w:ind w:left="145"/>
                          <w:rPr>
                            <w:sz w:val="17"/>
                          </w:rPr>
                        </w:pPr>
                        <w:r>
                          <w:rPr>
                            <w:sz w:val="17"/>
                          </w:rPr>
                          <w:t>2. Classified Salaries</w:t>
                        </w:r>
                      </w:p>
                    </w:tc>
                    <w:tc>
                      <w:tcPr>
                        <w:tcW w:w="1775" w:type="dxa"/>
                      </w:tcPr>
                      <w:p>
                        <w:pPr>
                          <w:pStyle w:val="TableParagraph"/>
                          <w:spacing w:before="16"/>
                          <w:ind w:left="206" w:right="205"/>
                          <w:jc w:val="center"/>
                          <w:rPr>
                            <w:sz w:val="17"/>
                          </w:rPr>
                        </w:pPr>
                        <w:r>
                          <w:rPr>
                            <w:sz w:val="17"/>
                          </w:rPr>
                          <w:t>2000-2999</w:t>
                        </w:r>
                      </w:p>
                    </w:tc>
                    <w:tc>
                      <w:tcPr>
                        <w:tcW w:w="3024" w:type="dxa"/>
                        <w:gridSpan w:val="2"/>
                      </w:tcPr>
                      <w:p>
                        <w:pPr>
                          <w:pStyle w:val="TableParagraph"/>
                          <w:spacing w:before="16"/>
                          <w:ind w:left="1109" w:right="1544"/>
                          <w:jc w:val="center"/>
                          <w:rPr>
                            <w:sz w:val="17"/>
                          </w:rPr>
                        </w:pPr>
                        <w:r>
                          <w:rPr>
                            <w:sz w:val="17"/>
                          </w:rPr>
                          <w:t>0.00</w:t>
                        </w:r>
                      </w:p>
                    </w:tc>
                    <w:tc>
                      <w:tcPr>
                        <w:tcW w:w="1570" w:type="dxa"/>
                        <w:shd w:val="clear" w:color="auto" w:fill="BFBFBF"/>
                      </w:tcPr>
                      <w:p>
                        <w:pPr>
                          <w:pStyle w:val="TableParagraph"/>
                          <w:rPr>
                            <w:rFonts w:ascii="Times New Roman"/>
                            <w:sz w:val="16"/>
                          </w:rPr>
                        </w:pPr>
                      </w:p>
                    </w:tc>
                    <w:tc>
                      <w:tcPr>
                        <w:tcW w:w="1472" w:type="dxa"/>
                      </w:tcPr>
                      <w:p>
                        <w:pPr>
                          <w:pStyle w:val="TableParagraph"/>
                          <w:spacing w:before="16"/>
                          <w:ind w:right="95"/>
                          <w:jc w:val="right"/>
                          <w:rPr>
                            <w:sz w:val="17"/>
                          </w:rPr>
                        </w:pPr>
                        <w:r>
                          <w:rPr>
                            <w:sz w:val="17"/>
                          </w:rPr>
                          <w:t>0.00</w:t>
                        </w:r>
                      </w:p>
                    </w:tc>
                  </w:tr>
                  <w:tr>
                    <w:trPr>
                      <w:trHeight w:val="216" w:hRule="atLeast"/>
                    </w:trPr>
                    <w:tc>
                      <w:tcPr>
                        <w:tcW w:w="3421" w:type="dxa"/>
                      </w:tcPr>
                      <w:p>
                        <w:pPr>
                          <w:pStyle w:val="TableParagraph"/>
                          <w:spacing w:line="180" w:lineRule="exact" w:before="16"/>
                          <w:ind w:left="145"/>
                          <w:rPr>
                            <w:sz w:val="17"/>
                          </w:rPr>
                        </w:pPr>
                        <w:r>
                          <w:rPr>
                            <w:sz w:val="17"/>
                          </w:rPr>
                          <w:t>3. Employee Benefits</w:t>
                        </w:r>
                      </w:p>
                    </w:tc>
                    <w:tc>
                      <w:tcPr>
                        <w:tcW w:w="1775" w:type="dxa"/>
                      </w:tcPr>
                      <w:p>
                        <w:pPr>
                          <w:pStyle w:val="TableParagraph"/>
                          <w:spacing w:line="180" w:lineRule="exact" w:before="16"/>
                          <w:ind w:left="206" w:right="205"/>
                          <w:jc w:val="center"/>
                          <w:rPr>
                            <w:sz w:val="17"/>
                          </w:rPr>
                        </w:pPr>
                        <w:r>
                          <w:rPr>
                            <w:sz w:val="17"/>
                          </w:rPr>
                          <w:t>3000-3999</w:t>
                        </w:r>
                      </w:p>
                    </w:tc>
                    <w:tc>
                      <w:tcPr>
                        <w:tcW w:w="3024" w:type="dxa"/>
                        <w:gridSpan w:val="2"/>
                      </w:tcPr>
                      <w:p>
                        <w:pPr>
                          <w:pStyle w:val="TableParagraph"/>
                          <w:spacing w:line="180" w:lineRule="exact" w:before="16"/>
                          <w:ind w:left="1109" w:right="1544"/>
                          <w:jc w:val="center"/>
                          <w:rPr>
                            <w:sz w:val="17"/>
                          </w:rPr>
                        </w:pPr>
                        <w:r>
                          <w:rPr>
                            <w:sz w:val="17"/>
                          </w:rPr>
                          <w:t>0.00</w:t>
                        </w:r>
                      </w:p>
                    </w:tc>
                    <w:tc>
                      <w:tcPr>
                        <w:tcW w:w="1570" w:type="dxa"/>
                        <w:shd w:val="clear" w:color="auto" w:fill="BFBFBF"/>
                      </w:tcPr>
                      <w:p>
                        <w:pPr>
                          <w:pStyle w:val="TableParagraph"/>
                          <w:rPr>
                            <w:rFonts w:ascii="Times New Roman"/>
                            <w:sz w:val="14"/>
                          </w:rPr>
                        </w:pPr>
                      </w:p>
                    </w:tc>
                    <w:tc>
                      <w:tcPr>
                        <w:tcW w:w="1472" w:type="dxa"/>
                      </w:tcPr>
                      <w:p>
                        <w:pPr>
                          <w:pStyle w:val="TableParagraph"/>
                          <w:spacing w:line="180" w:lineRule="exact" w:before="16"/>
                          <w:ind w:right="95"/>
                          <w:jc w:val="right"/>
                          <w:rPr>
                            <w:sz w:val="17"/>
                          </w:rPr>
                        </w:pPr>
                        <w:r>
                          <w:rPr>
                            <w:sz w:val="17"/>
                          </w:rPr>
                          <w:t>0.00</w:t>
                        </w:r>
                      </w:p>
                    </w:tc>
                  </w:tr>
                  <w:tr>
                    <w:trPr>
                      <w:trHeight w:val="232" w:hRule="atLeast"/>
                    </w:trPr>
                    <w:tc>
                      <w:tcPr>
                        <w:tcW w:w="3421" w:type="dxa"/>
                      </w:tcPr>
                      <w:p>
                        <w:pPr>
                          <w:pStyle w:val="TableParagraph"/>
                          <w:spacing w:line="180" w:lineRule="exact" w:before="32"/>
                          <w:ind w:left="145"/>
                          <w:rPr>
                            <w:sz w:val="17"/>
                          </w:rPr>
                        </w:pPr>
                        <w:r>
                          <w:rPr>
                            <w:sz w:val="17"/>
                          </w:rPr>
                          <w:t>4. Books and Supplies</w:t>
                        </w:r>
                      </w:p>
                    </w:tc>
                    <w:tc>
                      <w:tcPr>
                        <w:tcW w:w="1775" w:type="dxa"/>
                      </w:tcPr>
                      <w:p>
                        <w:pPr>
                          <w:pStyle w:val="TableParagraph"/>
                          <w:spacing w:line="180" w:lineRule="exact" w:before="32"/>
                          <w:ind w:left="206" w:right="205"/>
                          <w:jc w:val="center"/>
                          <w:rPr>
                            <w:sz w:val="17"/>
                          </w:rPr>
                        </w:pPr>
                        <w:r>
                          <w:rPr>
                            <w:sz w:val="17"/>
                          </w:rPr>
                          <w:t>4000-4999</w:t>
                        </w:r>
                      </w:p>
                    </w:tc>
                    <w:tc>
                      <w:tcPr>
                        <w:tcW w:w="3024" w:type="dxa"/>
                        <w:gridSpan w:val="2"/>
                      </w:tcPr>
                      <w:p>
                        <w:pPr>
                          <w:pStyle w:val="TableParagraph"/>
                          <w:spacing w:line="180" w:lineRule="exact" w:before="32"/>
                          <w:ind w:left="693"/>
                          <w:rPr>
                            <w:sz w:val="17"/>
                          </w:rPr>
                        </w:pPr>
                        <w:r>
                          <w:rPr>
                            <w:sz w:val="17"/>
                          </w:rPr>
                          <w:t>17,059.00</w:t>
                        </w:r>
                      </w:p>
                    </w:tc>
                    <w:tc>
                      <w:tcPr>
                        <w:tcW w:w="1570" w:type="dxa"/>
                      </w:tcPr>
                      <w:p>
                        <w:pPr>
                          <w:pStyle w:val="TableParagraph"/>
                          <w:spacing w:line="180" w:lineRule="exact" w:before="32"/>
                          <w:ind w:right="93"/>
                          <w:jc w:val="right"/>
                          <w:rPr>
                            <w:sz w:val="17"/>
                          </w:rPr>
                        </w:pPr>
                        <w:r>
                          <w:rPr>
                            <w:sz w:val="17"/>
                          </w:rPr>
                          <w:t>5,581.00</w:t>
                        </w:r>
                      </w:p>
                    </w:tc>
                    <w:tc>
                      <w:tcPr>
                        <w:tcW w:w="1472" w:type="dxa"/>
                      </w:tcPr>
                      <w:p>
                        <w:pPr>
                          <w:pStyle w:val="TableParagraph"/>
                          <w:spacing w:line="180" w:lineRule="exact" w:before="32"/>
                          <w:ind w:right="97"/>
                          <w:jc w:val="right"/>
                          <w:rPr>
                            <w:sz w:val="17"/>
                          </w:rPr>
                        </w:pPr>
                        <w:r>
                          <w:rPr>
                            <w:sz w:val="17"/>
                          </w:rPr>
                          <w:t>22,640.00</w:t>
                        </w:r>
                      </w:p>
                    </w:tc>
                  </w:tr>
                  <w:tr>
                    <w:trPr>
                      <w:trHeight w:val="482" w:hRule="atLeast"/>
                    </w:trPr>
                    <w:tc>
                      <w:tcPr>
                        <w:tcW w:w="3421" w:type="dxa"/>
                      </w:tcPr>
                      <w:p>
                        <w:pPr>
                          <w:pStyle w:val="TableParagraph"/>
                          <w:spacing w:before="59"/>
                          <w:ind w:left="625" w:hanging="480"/>
                          <w:rPr>
                            <w:sz w:val="17"/>
                          </w:rPr>
                        </w:pPr>
                        <w:r>
                          <w:rPr>
                            <w:sz w:val="17"/>
                          </w:rPr>
                          <w:t>5. a. Services and Other Operating Expenditures (Resource 1100)</w:t>
                        </w:r>
                      </w:p>
                    </w:tc>
                    <w:tc>
                      <w:tcPr>
                        <w:tcW w:w="1775" w:type="dxa"/>
                      </w:tcPr>
                      <w:p>
                        <w:pPr>
                          <w:pStyle w:val="TableParagraph"/>
                          <w:rPr>
                            <w:sz w:val="22"/>
                          </w:rPr>
                        </w:pPr>
                      </w:p>
                      <w:p>
                        <w:pPr>
                          <w:pStyle w:val="TableParagraph"/>
                          <w:ind w:left="206" w:right="205"/>
                          <w:jc w:val="center"/>
                          <w:rPr>
                            <w:sz w:val="17"/>
                          </w:rPr>
                        </w:pPr>
                        <w:r>
                          <w:rPr>
                            <w:sz w:val="17"/>
                          </w:rPr>
                          <w:t>5000-5999</w:t>
                        </w:r>
                      </w:p>
                    </w:tc>
                    <w:tc>
                      <w:tcPr>
                        <w:tcW w:w="3024" w:type="dxa"/>
                        <w:gridSpan w:val="2"/>
                      </w:tcPr>
                      <w:p>
                        <w:pPr>
                          <w:pStyle w:val="TableParagraph"/>
                          <w:rPr>
                            <w:sz w:val="22"/>
                          </w:rPr>
                        </w:pPr>
                      </w:p>
                      <w:p>
                        <w:pPr>
                          <w:pStyle w:val="TableParagraph"/>
                          <w:ind w:left="1109" w:right="1544"/>
                          <w:jc w:val="center"/>
                          <w:rPr>
                            <w:sz w:val="17"/>
                          </w:rPr>
                        </w:pPr>
                        <w:r>
                          <w:rPr>
                            <w:sz w:val="17"/>
                          </w:rPr>
                          <w:t>0.00</w:t>
                        </w:r>
                      </w:p>
                    </w:tc>
                    <w:tc>
                      <w:tcPr>
                        <w:tcW w:w="1570" w:type="dxa"/>
                        <w:shd w:val="clear" w:color="auto" w:fill="BFBFBF"/>
                      </w:tcPr>
                      <w:p>
                        <w:pPr>
                          <w:pStyle w:val="TableParagraph"/>
                          <w:rPr>
                            <w:rFonts w:ascii="Times New Roman"/>
                            <w:sz w:val="16"/>
                          </w:rPr>
                        </w:pPr>
                      </w:p>
                    </w:tc>
                    <w:tc>
                      <w:tcPr>
                        <w:tcW w:w="1472" w:type="dxa"/>
                      </w:tcPr>
                      <w:p>
                        <w:pPr>
                          <w:pStyle w:val="TableParagraph"/>
                          <w:rPr>
                            <w:sz w:val="22"/>
                          </w:rPr>
                        </w:pPr>
                      </w:p>
                      <w:p>
                        <w:pPr>
                          <w:pStyle w:val="TableParagraph"/>
                          <w:ind w:right="95"/>
                          <w:jc w:val="right"/>
                          <w:rPr>
                            <w:sz w:val="17"/>
                          </w:rPr>
                        </w:pPr>
                        <w:r>
                          <w:rPr>
                            <w:sz w:val="17"/>
                          </w:rPr>
                          <w:t>0.00</w:t>
                        </w:r>
                      </w:p>
                    </w:tc>
                  </w:tr>
                  <w:tr>
                    <w:trPr>
                      <w:trHeight w:val="471" w:hRule="atLeast"/>
                    </w:trPr>
                    <w:tc>
                      <w:tcPr>
                        <w:tcW w:w="3421" w:type="dxa"/>
                      </w:tcPr>
                      <w:p>
                        <w:pPr>
                          <w:pStyle w:val="TableParagraph"/>
                          <w:spacing w:before="30"/>
                          <w:ind w:left="625" w:hanging="240"/>
                          <w:rPr>
                            <w:sz w:val="17"/>
                          </w:rPr>
                        </w:pPr>
                        <w:r>
                          <w:rPr>
                            <w:sz w:val="17"/>
                          </w:rPr>
                          <w:t>b. Services and Other Operating Expenditures (Resource 6300)</w:t>
                        </w:r>
                      </w:p>
                    </w:tc>
                    <w:tc>
                      <w:tcPr>
                        <w:tcW w:w="1775" w:type="dxa"/>
                      </w:tcPr>
                      <w:p>
                        <w:pPr>
                          <w:pStyle w:val="TableParagraph"/>
                          <w:spacing w:line="195" w:lineRule="exact" w:before="30"/>
                          <w:ind w:left="181"/>
                          <w:rPr>
                            <w:sz w:val="17"/>
                          </w:rPr>
                        </w:pPr>
                        <w:r>
                          <w:rPr>
                            <w:sz w:val="17"/>
                          </w:rPr>
                          <w:t>5000-5999, except</w:t>
                        </w:r>
                      </w:p>
                      <w:p>
                        <w:pPr>
                          <w:pStyle w:val="TableParagraph"/>
                          <w:spacing w:line="195" w:lineRule="exact"/>
                          <w:ind w:left="224"/>
                          <w:rPr>
                            <w:sz w:val="17"/>
                          </w:rPr>
                        </w:pPr>
                        <w:r>
                          <w:rPr>
                            <w:sz w:val="17"/>
                          </w:rPr>
                          <w:t>5100, 5710, 5800</w:t>
                        </w:r>
                      </w:p>
                    </w:tc>
                    <w:tc>
                      <w:tcPr>
                        <w:tcW w:w="3024" w:type="dxa"/>
                        <w:gridSpan w:val="2"/>
                        <w:shd w:val="clear" w:color="auto" w:fill="BFBFBF"/>
                      </w:tcPr>
                      <w:p>
                        <w:pPr>
                          <w:pStyle w:val="TableParagraph"/>
                          <w:rPr>
                            <w:rFonts w:ascii="Times New Roman"/>
                            <w:sz w:val="16"/>
                          </w:rPr>
                        </w:pPr>
                      </w:p>
                    </w:tc>
                    <w:tc>
                      <w:tcPr>
                        <w:tcW w:w="1570" w:type="dxa"/>
                        <w:shd w:val="clear" w:color="auto" w:fill="BFBFBF"/>
                      </w:tcPr>
                      <w:p>
                        <w:pPr>
                          <w:pStyle w:val="TableParagraph"/>
                          <w:rPr>
                            <w:rFonts w:ascii="Times New Roman"/>
                            <w:sz w:val="16"/>
                          </w:rPr>
                        </w:pPr>
                      </w:p>
                    </w:tc>
                    <w:tc>
                      <w:tcPr>
                        <w:tcW w:w="1472" w:type="dxa"/>
                      </w:tcPr>
                      <w:p>
                        <w:pPr>
                          <w:pStyle w:val="TableParagraph"/>
                          <w:rPr>
                            <w:rFonts w:ascii="Times New Roman"/>
                            <w:sz w:val="16"/>
                          </w:rPr>
                        </w:pPr>
                      </w:p>
                    </w:tc>
                  </w:tr>
                  <w:tr>
                    <w:trPr>
                      <w:trHeight w:val="245" w:hRule="atLeast"/>
                    </w:trPr>
                    <w:tc>
                      <w:tcPr>
                        <w:tcW w:w="5196" w:type="dxa"/>
                        <w:gridSpan w:val="2"/>
                      </w:tcPr>
                      <w:p>
                        <w:pPr>
                          <w:pStyle w:val="TableParagraph"/>
                          <w:spacing w:line="178" w:lineRule="exact" w:before="48"/>
                          <w:ind w:left="385"/>
                          <w:rPr>
                            <w:sz w:val="17"/>
                          </w:rPr>
                        </w:pPr>
                        <w:r>
                          <w:rPr>
                            <w:sz w:val="17"/>
                          </w:rPr>
                          <w:t>c. Duplicating Costs for</w:t>
                        </w:r>
                      </w:p>
                    </w:tc>
                    <w:tc>
                      <w:tcPr>
                        <w:tcW w:w="3024" w:type="dxa"/>
                        <w:gridSpan w:val="2"/>
                      </w:tcPr>
                      <w:p>
                        <w:pPr>
                          <w:pStyle w:val="TableParagraph"/>
                          <w:rPr>
                            <w:rFonts w:ascii="Times New Roman"/>
                            <w:sz w:val="16"/>
                          </w:rPr>
                        </w:pPr>
                      </w:p>
                    </w:tc>
                    <w:tc>
                      <w:tcPr>
                        <w:tcW w:w="3042" w:type="dxa"/>
                        <w:gridSpan w:val="2"/>
                        <w:shd w:val="clear" w:color="auto" w:fill="BFBFBF"/>
                      </w:tcPr>
                      <w:p>
                        <w:pPr>
                          <w:pStyle w:val="TableParagraph"/>
                          <w:rPr>
                            <w:rFonts w:ascii="Times New Roman"/>
                            <w:sz w:val="16"/>
                          </w:rPr>
                        </w:pPr>
                      </w:p>
                    </w:tc>
                  </w:tr>
                  <w:tr>
                    <w:trPr>
                      <w:trHeight w:val="407" w:hRule="atLeast"/>
                    </w:trPr>
                    <w:tc>
                      <w:tcPr>
                        <w:tcW w:w="3421" w:type="dxa"/>
                      </w:tcPr>
                      <w:p>
                        <w:pPr>
                          <w:pStyle w:val="TableParagraph"/>
                          <w:spacing w:line="237" w:lineRule="auto"/>
                          <w:ind w:left="625" w:right="378"/>
                          <w:rPr>
                            <w:sz w:val="17"/>
                          </w:rPr>
                        </w:pPr>
                        <w:r>
                          <w:rPr>
                            <w:sz w:val="17"/>
                          </w:rPr>
                          <w:t>Instructional Materials (Resource 6300)</w:t>
                        </w:r>
                      </w:p>
                    </w:tc>
                    <w:tc>
                      <w:tcPr>
                        <w:tcW w:w="1775" w:type="dxa"/>
                      </w:tcPr>
                      <w:p>
                        <w:pPr>
                          <w:pStyle w:val="TableParagraph"/>
                          <w:spacing w:before="7"/>
                          <w:rPr>
                            <w:sz w:val="16"/>
                          </w:rPr>
                        </w:pPr>
                      </w:p>
                      <w:p>
                        <w:pPr>
                          <w:pStyle w:val="TableParagraph"/>
                          <w:ind w:left="206" w:right="205"/>
                          <w:jc w:val="center"/>
                          <w:rPr>
                            <w:sz w:val="17"/>
                          </w:rPr>
                        </w:pPr>
                        <w:r>
                          <w:rPr>
                            <w:sz w:val="17"/>
                          </w:rPr>
                          <w:t>5100, 5710, 5800</w:t>
                        </w:r>
                      </w:p>
                    </w:tc>
                    <w:tc>
                      <w:tcPr>
                        <w:tcW w:w="1555" w:type="dxa"/>
                      </w:tcPr>
                      <w:p>
                        <w:pPr>
                          <w:pStyle w:val="TableParagraph"/>
                          <w:rPr>
                            <w:rFonts w:ascii="Times New Roman"/>
                            <w:sz w:val="16"/>
                          </w:rPr>
                        </w:pPr>
                      </w:p>
                    </w:tc>
                    <w:tc>
                      <w:tcPr>
                        <w:tcW w:w="4511" w:type="dxa"/>
                        <w:gridSpan w:val="3"/>
                        <w:shd w:val="clear" w:color="auto" w:fill="BFBFBF"/>
                      </w:tcPr>
                      <w:p>
                        <w:pPr>
                          <w:pStyle w:val="TableParagraph"/>
                          <w:rPr>
                            <w:rFonts w:ascii="Times New Roman"/>
                            <w:sz w:val="16"/>
                          </w:rPr>
                        </w:pPr>
                      </w:p>
                    </w:tc>
                  </w:tr>
                  <w:tr>
                    <w:trPr>
                      <w:trHeight w:val="232" w:hRule="atLeast"/>
                    </w:trPr>
                    <w:tc>
                      <w:tcPr>
                        <w:tcW w:w="3421" w:type="dxa"/>
                      </w:tcPr>
                      <w:p>
                        <w:pPr>
                          <w:pStyle w:val="TableParagraph"/>
                          <w:spacing w:before="16"/>
                          <w:ind w:left="145"/>
                          <w:rPr>
                            <w:sz w:val="17"/>
                          </w:rPr>
                        </w:pPr>
                        <w:r>
                          <w:rPr>
                            <w:sz w:val="17"/>
                          </w:rPr>
                          <w:t>6. Capital Outlay</w:t>
                        </w:r>
                      </w:p>
                    </w:tc>
                    <w:tc>
                      <w:tcPr>
                        <w:tcW w:w="1775" w:type="dxa"/>
                      </w:tcPr>
                      <w:p>
                        <w:pPr>
                          <w:pStyle w:val="TableParagraph"/>
                          <w:spacing w:before="16"/>
                          <w:ind w:left="206" w:right="205"/>
                          <w:jc w:val="center"/>
                          <w:rPr>
                            <w:sz w:val="17"/>
                          </w:rPr>
                        </w:pPr>
                        <w:r>
                          <w:rPr>
                            <w:sz w:val="17"/>
                          </w:rPr>
                          <w:t>6000-6999</w:t>
                        </w:r>
                      </w:p>
                    </w:tc>
                    <w:tc>
                      <w:tcPr>
                        <w:tcW w:w="1555" w:type="dxa"/>
                      </w:tcPr>
                      <w:p>
                        <w:pPr>
                          <w:pStyle w:val="TableParagraph"/>
                          <w:spacing w:before="16"/>
                          <w:ind w:right="91"/>
                          <w:jc w:val="right"/>
                          <w:rPr>
                            <w:sz w:val="17"/>
                          </w:rPr>
                        </w:pPr>
                        <w:r>
                          <w:rPr>
                            <w:sz w:val="17"/>
                          </w:rPr>
                          <w:t>0.00</w:t>
                        </w:r>
                      </w:p>
                    </w:tc>
                    <w:tc>
                      <w:tcPr>
                        <w:tcW w:w="4511" w:type="dxa"/>
                        <w:gridSpan w:val="3"/>
                      </w:tcPr>
                      <w:p>
                        <w:pPr>
                          <w:pStyle w:val="TableParagraph"/>
                          <w:spacing w:before="16"/>
                          <w:ind w:right="95"/>
                          <w:jc w:val="right"/>
                          <w:rPr>
                            <w:sz w:val="17"/>
                          </w:rPr>
                        </w:pPr>
                        <w:r>
                          <w:rPr>
                            <w:sz w:val="17"/>
                          </w:rPr>
                          <w:t>0.00</w:t>
                        </w:r>
                      </w:p>
                    </w:tc>
                  </w:tr>
                  <w:tr>
                    <w:trPr>
                      <w:trHeight w:val="216" w:hRule="atLeast"/>
                    </w:trPr>
                    <w:tc>
                      <w:tcPr>
                        <w:tcW w:w="3421" w:type="dxa"/>
                      </w:tcPr>
                      <w:p>
                        <w:pPr>
                          <w:pStyle w:val="TableParagraph"/>
                          <w:spacing w:line="179" w:lineRule="exact" w:before="16"/>
                          <w:ind w:left="145"/>
                          <w:rPr>
                            <w:sz w:val="17"/>
                          </w:rPr>
                        </w:pPr>
                        <w:r>
                          <w:rPr>
                            <w:sz w:val="17"/>
                          </w:rPr>
                          <w:t>7. Tuition</w:t>
                        </w:r>
                      </w:p>
                    </w:tc>
                    <w:tc>
                      <w:tcPr>
                        <w:tcW w:w="1775" w:type="dxa"/>
                      </w:tcPr>
                      <w:p>
                        <w:pPr>
                          <w:pStyle w:val="TableParagraph"/>
                          <w:spacing w:line="179" w:lineRule="exact" w:before="16"/>
                          <w:ind w:left="206" w:right="205"/>
                          <w:jc w:val="center"/>
                          <w:rPr>
                            <w:sz w:val="17"/>
                          </w:rPr>
                        </w:pPr>
                        <w:r>
                          <w:rPr>
                            <w:sz w:val="17"/>
                          </w:rPr>
                          <w:t>7100-7199</w:t>
                        </w:r>
                      </w:p>
                    </w:tc>
                    <w:tc>
                      <w:tcPr>
                        <w:tcW w:w="1555" w:type="dxa"/>
                      </w:tcPr>
                      <w:p>
                        <w:pPr>
                          <w:pStyle w:val="TableParagraph"/>
                          <w:spacing w:line="179" w:lineRule="exact" w:before="16"/>
                          <w:ind w:right="91"/>
                          <w:jc w:val="right"/>
                          <w:rPr>
                            <w:sz w:val="17"/>
                          </w:rPr>
                        </w:pPr>
                        <w:r>
                          <w:rPr>
                            <w:sz w:val="17"/>
                          </w:rPr>
                          <w:t>0.00</w:t>
                        </w:r>
                      </w:p>
                    </w:tc>
                    <w:tc>
                      <w:tcPr>
                        <w:tcW w:w="4511" w:type="dxa"/>
                        <w:gridSpan w:val="3"/>
                      </w:tcPr>
                      <w:p>
                        <w:pPr>
                          <w:pStyle w:val="TableParagraph"/>
                          <w:spacing w:line="179" w:lineRule="exact" w:before="16"/>
                          <w:ind w:right="95"/>
                          <w:jc w:val="right"/>
                          <w:rPr>
                            <w:sz w:val="17"/>
                          </w:rPr>
                        </w:pPr>
                        <w:r>
                          <w:rPr>
                            <w:sz w:val="17"/>
                          </w:rPr>
                          <w:t>0.00</w:t>
                        </w:r>
                      </w:p>
                    </w:tc>
                  </w:tr>
                  <w:tr>
                    <w:trPr>
                      <w:trHeight w:val="195" w:hRule="atLeast"/>
                    </w:trPr>
                    <w:tc>
                      <w:tcPr>
                        <w:tcW w:w="3421" w:type="dxa"/>
                      </w:tcPr>
                      <w:p>
                        <w:pPr>
                          <w:pStyle w:val="TableParagraph"/>
                          <w:spacing w:line="176" w:lineRule="exact"/>
                          <w:ind w:left="145"/>
                          <w:rPr>
                            <w:sz w:val="17"/>
                          </w:rPr>
                        </w:pPr>
                        <w:r>
                          <w:rPr>
                            <w:sz w:val="17"/>
                          </w:rPr>
                          <w:t>8. Interagency Transfers Out</w:t>
                        </w:r>
                      </w:p>
                    </w:tc>
                    <w:tc>
                      <w:tcPr>
                        <w:tcW w:w="1775" w:type="dxa"/>
                      </w:tcPr>
                      <w:p>
                        <w:pPr>
                          <w:pStyle w:val="TableParagraph"/>
                          <w:rPr>
                            <w:rFonts w:ascii="Times New Roman"/>
                            <w:sz w:val="12"/>
                          </w:rPr>
                        </w:pPr>
                      </w:p>
                    </w:tc>
                    <w:tc>
                      <w:tcPr>
                        <w:tcW w:w="1555" w:type="dxa"/>
                      </w:tcPr>
                      <w:p>
                        <w:pPr>
                          <w:pStyle w:val="TableParagraph"/>
                          <w:rPr>
                            <w:rFonts w:ascii="Times New Roman"/>
                            <w:sz w:val="12"/>
                          </w:rPr>
                        </w:pPr>
                      </w:p>
                    </w:tc>
                    <w:tc>
                      <w:tcPr>
                        <w:tcW w:w="4511" w:type="dxa"/>
                        <w:gridSpan w:val="3"/>
                      </w:tcPr>
                      <w:p>
                        <w:pPr>
                          <w:pStyle w:val="TableParagraph"/>
                          <w:rPr>
                            <w:rFonts w:ascii="Times New Roman"/>
                            <w:sz w:val="12"/>
                          </w:rPr>
                        </w:pPr>
                      </w:p>
                    </w:tc>
                  </w:tr>
                  <w:tr>
                    <w:trPr>
                      <w:trHeight w:val="297" w:hRule="atLeast"/>
                    </w:trPr>
                    <w:tc>
                      <w:tcPr>
                        <w:tcW w:w="3421" w:type="dxa"/>
                      </w:tcPr>
                      <w:p>
                        <w:pPr>
                          <w:pStyle w:val="TableParagraph"/>
                          <w:ind w:left="385"/>
                          <w:rPr>
                            <w:sz w:val="17"/>
                          </w:rPr>
                        </w:pPr>
                        <w:r>
                          <w:rPr>
                            <w:sz w:val="17"/>
                          </w:rPr>
                          <w:t>a. To Other Districts, County</w:t>
                        </w:r>
                      </w:p>
                    </w:tc>
                    <w:tc>
                      <w:tcPr>
                        <w:tcW w:w="1775" w:type="dxa"/>
                      </w:tcPr>
                      <w:p>
                        <w:pPr>
                          <w:pStyle w:val="TableParagraph"/>
                          <w:spacing w:line="176" w:lineRule="exact" w:before="101"/>
                          <w:ind w:left="206" w:right="191"/>
                          <w:jc w:val="center"/>
                          <w:rPr>
                            <w:sz w:val="17"/>
                          </w:rPr>
                        </w:pPr>
                        <w:r>
                          <w:rPr>
                            <w:sz w:val="17"/>
                          </w:rPr>
                          <w:t>7211,7212,7221,</w:t>
                        </w:r>
                      </w:p>
                    </w:tc>
                    <w:tc>
                      <w:tcPr>
                        <w:tcW w:w="1555" w:type="dxa"/>
                      </w:tcPr>
                      <w:p>
                        <w:pPr>
                          <w:pStyle w:val="TableParagraph"/>
                          <w:rPr>
                            <w:rFonts w:ascii="Times New Roman"/>
                            <w:sz w:val="16"/>
                          </w:rPr>
                        </w:pPr>
                      </w:p>
                    </w:tc>
                    <w:tc>
                      <w:tcPr>
                        <w:tcW w:w="1469" w:type="dxa"/>
                      </w:tcPr>
                      <w:p>
                        <w:pPr>
                          <w:pStyle w:val="TableParagraph"/>
                          <w:rPr>
                            <w:rFonts w:ascii="Times New Roman"/>
                            <w:sz w:val="16"/>
                          </w:rPr>
                        </w:pPr>
                      </w:p>
                    </w:tc>
                    <w:tc>
                      <w:tcPr>
                        <w:tcW w:w="1570" w:type="dxa"/>
                        <w:shd w:val="clear" w:color="auto" w:fill="BFBFBF"/>
                      </w:tcPr>
                      <w:p>
                        <w:pPr>
                          <w:pStyle w:val="TableParagraph"/>
                          <w:rPr>
                            <w:rFonts w:ascii="Times New Roman"/>
                            <w:sz w:val="16"/>
                          </w:rPr>
                        </w:pPr>
                      </w:p>
                    </w:tc>
                    <w:tc>
                      <w:tcPr>
                        <w:tcW w:w="1472" w:type="dxa"/>
                      </w:tcPr>
                      <w:p>
                        <w:pPr>
                          <w:pStyle w:val="TableParagraph"/>
                          <w:rPr>
                            <w:rFonts w:ascii="Times New Roman"/>
                            <w:sz w:val="16"/>
                          </w:rPr>
                        </w:pPr>
                      </w:p>
                    </w:tc>
                  </w:tr>
                  <w:tr>
                    <w:trPr>
                      <w:trHeight w:val="423" w:hRule="atLeast"/>
                    </w:trPr>
                    <w:tc>
                      <w:tcPr>
                        <w:tcW w:w="5196" w:type="dxa"/>
                        <w:gridSpan w:val="2"/>
                      </w:tcPr>
                      <w:p>
                        <w:pPr>
                          <w:pStyle w:val="TableParagraph"/>
                          <w:tabs>
                            <w:tab w:pos="3436" w:val="left" w:leader="none"/>
                          </w:tabs>
                          <w:spacing w:line="81" w:lineRule="auto"/>
                          <w:ind w:left="416"/>
                          <w:jc w:val="center"/>
                          <w:rPr>
                            <w:sz w:val="17"/>
                          </w:rPr>
                        </w:pPr>
                        <w:r>
                          <w:rPr>
                            <w:sz w:val="17"/>
                          </w:rPr>
                          <w:t>Offices, and</w:t>
                        </w:r>
                        <w:r>
                          <w:rPr>
                            <w:spacing w:val="10"/>
                            <w:sz w:val="17"/>
                          </w:rPr>
                          <w:t> </w:t>
                        </w:r>
                        <w:r>
                          <w:rPr>
                            <w:sz w:val="17"/>
                          </w:rPr>
                          <w:t>Charter</w:t>
                        </w:r>
                        <w:r>
                          <w:rPr>
                            <w:spacing w:val="5"/>
                            <w:sz w:val="17"/>
                          </w:rPr>
                          <w:t> </w:t>
                        </w:r>
                        <w:r>
                          <w:rPr>
                            <w:sz w:val="17"/>
                          </w:rPr>
                          <w:t>Schools</w:t>
                          <w:tab/>
                        </w:r>
                        <w:r>
                          <w:rPr>
                            <w:position w:val="-9"/>
                            <w:sz w:val="17"/>
                          </w:rPr>
                          <w:t>7222,7281,7282</w:t>
                        </w:r>
                      </w:p>
                      <w:p>
                        <w:pPr>
                          <w:pStyle w:val="TableParagraph"/>
                          <w:tabs>
                            <w:tab w:pos="3885" w:val="left" w:leader="none"/>
                          </w:tabs>
                          <w:spacing w:before="25"/>
                          <w:ind w:left="385"/>
                          <w:rPr>
                            <w:sz w:val="17"/>
                          </w:rPr>
                        </w:pPr>
                        <w:r>
                          <w:rPr>
                            <w:sz w:val="17"/>
                          </w:rPr>
                          <w:t>b.   To JPAs and</w:t>
                        </w:r>
                        <w:r>
                          <w:rPr>
                            <w:spacing w:val="18"/>
                            <w:sz w:val="17"/>
                          </w:rPr>
                          <w:t> </w:t>
                        </w:r>
                        <w:r>
                          <w:rPr>
                            <w:sz w:val="17"/>
                          </w:rPr>
                          <w:t>All</w:t>
                        </w:r>
                        <w:r>
                          <w:rPr>
                            <w:spacing w:val="3"/>
                            <w:sz w:val="17"/>
                          </w:rPr>
                          <w:t> </w:t>
                        </w:r>
                        <w:r>
                          <w:rPr>
                            <w:sz w:val="17"/>
                          </w:rPr>
                          <w:t>Others</w:t>
                          <w:tab/>
                          <w:t>7213,7223,</w:t>
                        </w:r>
                      </w:p>
                    </w:tc>
                    <w:tc>
                      <w:tcPr>
                        <w:tcW w:w="1555" w:type="dxa"/>
                      </w:tcPr>
                      <w:p>
                        <w:pPr>
                          <w:pStyle w:val="TableParagraph"/>
                          <w:spacing w:line="192" w:lineRule="exact"/>
                          <w:ind w:right="91"/>
                          <w:jc w:val="right"/>
                          <w:rPr>
                            <w:sz w:val="17"/>
                          </w:rPr>
                        </w:pPr>
                        <w:r>
                          <w:rPr>
                            <w:sz w:val="17"/>
                          </w:rPr>
                          <w:t>0.00</w:t>
                        </w:r>
                      </w:p>
                    </w:tc>
                    <w:tc>
                      <w:tcPr>
                        <w:tcW w:w="1469" w:type="dxa"/>
                      </w:tcPr>
                      <w:p>
                        <w:pPr>
                          <w:pStyle w:val="TableParagraph"/>
                          <w:rPr>
                            <w:rFonts w:ascii="Times New Roman"/>
                            <w:sz w:val="16"/>
                          </w:rPr>
                        </w:pPr>
                      </w:p>
                    </w:tc>
                    <w:tc>
                      <w:tcPr>
                        <w:tcW w:w="1570" w:type="dxa"/>
                        <w:shd w:val="clear" w:color="auto" w:fill="BFBFBF"/>
                      </w:tcPr>
                      <w:p>
                        <w:pPr>
                          <w:pStyle w:val="TableParagraph"/>
                          <w:rPr>
                            <w:rFonts w:ascii="Times New Roman"/>
                            <w:sz w:val="16"/>
                          </w:rPr>
                        </w:pPr>
                      </w:p>
                    </w:tc>
                    <w:tc>
                      <w:tcPr>
                        <w:tcW w:w="1472" w:type="dxa"/>
                      </w:tcPr>
                      <w:p>
                        <w:pPr>
                          <w:pStyle w:val="TableParagraph"/>
                          <w:spacing w:line="192" w:lineRule="exact"/>
                          <w:ind w:right="95"/>
                          <w:jc w:val="right"/>
                          <w:rPr>
                            <w:sz w:val="17"/>
                          </w:rPr>
                        </w:pPr>
                        <w:r>
                          <w:rPr>
                            <w:sz w:val="17"/>
                          </w:rPr>
                          <w:t>0.00</w:t>
                        </w:r>
                      </w:p>
                    </w:tc>
                  </w:tr>
                  <w:tr>
                    <w:trPr>
                      <w:trHeight w:val="244" w:hRule="atLeast"/>
                    </w:trPr>
                    <w:tc>
                      <w:tcPr>
                        <w:tcW w:w="5196" w:type="dxa"/>
                        <w:gridSpan w:val="2"/>
                      </w:tcPr>
                      <w:p>
                        <w:pPr>
                          <w:pStyle w:val="TableParagraph"/>
                          <w:spacing w:line="162" w:lineRule="exact"/>
                          <w:ind w:right="470"/>
                          <w:jc w:val="right"/>
                          <w:rPr>
                            <w:sz w:val="17"/>
                          </w:rPr>
                        </w:pPr>
                        <w:r>
                          <w:rPr>
                            <w:sz w:val="17"/>
                          </w:rPr>
                          <w:t>7283,7299</w:t>
                        </w:r>
                      </w:p>
                    </w:tc>
                    <w:tc>
                      <w:tcPr>
                        <w:tcW w:w="1555" w:type="dxa"/>
                      </w:tcPr>
                      <w:p>
                        <w:pPr>
                          <w:pStyle w:val="TableParagraph"/>
                          <w:spacing w:before="28"/>
                          <w:ind w:right="91"/>
                          <w:jc w:val="right"/>
                          <w:rPr>
                            <w:sz w:val="17"/>
                          </w:rPr>
                        </w:pPr>
                        <w:r>
                          <w:rPr>
                            <w:sz w:val="17"/>
                          </w:rPr>
                          <w:t>0.00</w:t>
                        </w:r>
                      </w:p>
                    </w:tc>
                    <w:tc>
                      <w:tcPr>
                        <w:tcW w:w="1469" w:type="dxa"/>
                      </w:tcPr>
                      <w:p>
                        <w:pPr>
                          <w:pStyle w:val="TableParagraph"/>
                          <w:rPr>
                            <w:rFonts w:ascii="Times New Roman"/>
                            <w:sz w:val="16"/>
                          </w:rPr>
                        </w:pPr>
                      </w:p>
                    </w:tc>
                    <w:tc>
                      <w:tcPr>
                        <w:tcW w:w="1570" w:type="dxa"/>
                        <w:shd w:val="clear" w:color="auto" w:fill="BFBFBF"/>
                      </w:tcPr>
                      <w:p>
                        <w:pPr>
                          <w:pStyle w:val="TableParagraph"/>
                          <w:rPr>
                            <w:rFonts w:ascii="Times New Roman"/>
                            <w:sz w:val="16"/>
                          </w:rPr>
                        </w:pPr>
                      </w:p>
                    </w:tc>
                    <w:tc>
                      <w:tcPr>
                        <w:tcW w:w="1472" w:type="dxa"/>
                      </w:tcPr>
                      <w:p>
                        <w:pPr>
                          <w:pStyle w:val="TableParagraph"/>
                          <w:spacing w:before="28"/>
                          <w:ind w:right="95"/>
                          <w:jc w:val="right"/>
                          <w:rPr>
                            <w:sz w:val="17"/>
                          </w:rPr>
                        </w:pPr>
                        <w:r>
                          <w:rPr>
                            <w:sz w:val="17"/>
                          </w:rPr>
                          <w:t>0.00</w:t>
                        </w:r>
                      </w:p>
                    </w:tc>
                  </w:tr>
                  <w:tr>
                    <w:trPr>
                      <w:trHeight w:val="232" w:hRule="atLeast"/>
                    </w:trPr>
                    <w:tc>
                      <w:tcPr>
                        <w:tcW w:w="5196" w:type="dxa"/>
                        <w:gridSpan w:val="2"/>
                      </w:tcPr>
                      <w:p>
                        <w:pPr>
                          <w:pStyle w:val="TableParagraph"/>
                          <w:tabs>
                            <w:tab w:pos="4721" w:val="right" w:leader="none"/>
                          </w:tabs>
                          <w:spacing w:before="16"/>
                          <w:ind w:left="145"/>
                          <w:rPr>
                            <w:sz w:val="17"/>
                          </w:rPr>
                        </w:pPr>
                        <w:r>
                          <w:rPr>
                            <w:sz w:val="17"/>
                          </w:rPr>
                          <w:t>9. Transfers of</w:t>
                        </w:r>
                        <w:r>
                          <w:rPr>
                            <w:spacing w:val="8"/>
                            <w:sz w:val="17"/>
                          </w:rPr>
                          <w:t> </w:t>
                        </w:r>
                        <w:r>
                          <w:rPr>
                            <w:sz w:val="17"/>
                          </w:rPr>
                          <w:t>Indirect</w:t>
                        </w:r>
                        <w:r>
                          <w:rPr>
                            <w:spacing w:val="1"/>
                            <w:sz w:val="17"/>
                          </w:rPr>
                          <w:t> </w:t>
                        </w:r>
                        <w:r>
                          <w:rPr>
                            <w:sz w:val="17"/>
                          </w:rPr>
                          <w:t>Costs</w:t>
                          <w:tab/>
                          <w:t>7300-7399</w:t>
                        </w:r>
                      </w:p>
                    </w:tc>
                    <w:tc>
                      <w:tcPr>
                        <w:tcW w:w="1555" w:type="dxa"/>
                      </w:tcPr>
                      <w:p>
                        <w:pPr>
                          <w:pStyle w:val="TableParagraph"/>
                          <w:rPr>
                            <w:rFonts w:ascii="Times New Roman"/>
                            <w:sz w:val="16"/>
                          </w:rPr>
                        </w:pPr>
                      </w:p>
                    </w:tc>
                    <w:tc>
                      <w:tcPr>
                        <w:tcW w:w="1469" w:type="dxa"/>
                        <w:shd w:val="clear" w:color="auto" w:fill="BFBFBF"/>
                      </w:tcPr>
                      <w:p>
                        <w:pPr>
                          <w:pStyle w:val="TableParagraph"/>
                          <w:rPr>
                            <w:rFonts w:ascii="Times New Roman"/>
                            <w:sz w:val="16"/>
                          </w:rPr>
                        </w:pPr>
                      </w:p>
                    </w:tc>
                    <w:tc>
                      <w:tcPr>
                        <w:tcW w:w="1570" w:type="dxa"/>
                        <w:shd w:val="clear" w:color="auto" w:fill="BFBFBF"/>
                      </w:tcPr>
                      <w:p>
                        <w:pPr>
                          <w:pStyle w:val="TableParagraph"/>
                          <w:rPr>
                            <w:rFonts w:ascii="Times New Roman"/>
                            <w:sz w:val="16"/>
                          </w:rPr>
                        </w:pPr>
                      </w:p>
                    </w:tc>
                    <w:tc>
                      <w:tcPr>
                        <w:tcW w:w="1472" w:type="dxa"/>
                        <w:shd w:val="clear" w:color="auto" w:fill="BFBFBF"/>
                      </w:tcPr>
                      <w:p>
                        <w:pPr>
                          <w:pStyle w:val="TableParagraph"/>
                          <w:rPr>
                            <w:rFonts w:ascii="Times New Roman"/>
                            <w:sz w:val="16"/>
                          </w:rPr>
                        </w:pPr>
                      </w:p>
                    </w:tc>
                  </w:tr>
                  <w:tr>
                    <w:trPr>
                      <w:trHeight w:val="232" w:hRule="atLeast"/>
                    </w:trPr>
                    <w:tc>
                      <w:tcPr>
                        <w:tcW w:w="5196" w:type="dxa"/>
                        <w:gridSpan w:val="2"/>
                      </w:tcPr>
                      <w:p>
                        <w:pPr>
                          <w:pStyle w:val="TableParagraph"/>
                          <w:tabs>
                            <w:tab w:pos="4721" w:val="right" w:leader="none"/>
                          </w:tabs>
                          <w:spacing w:before="16"/>
                          <w:ind w:left="50"/>
                          <w:rPr>
                            <w:sz w:val="17"/>
                          </w:rPr>
                        </w:pPr>
                        <w:r>
                          <w:rPr>
                            <w:sz w:val="17"/>
                          </w:rPr>
                          <w:t>10.</w:t>
                        </w:r>
                        <w:r>
                          <w:rPr>
                            <w:spacing w:val="1"/>
                            <w:sz w:val="17"/>
                          </w:rPr>
                          <w:t> </w:t>
                        </w:r>
                        <w:r>
                          <w:rPr>
                            <w:sz w:val="17"/>
                          </w:rPr>
                          <w:t>Debt</w:t>
                        </w:r>
                        <w:r>
                          <w:rPr>
                            <w:spacing w:val="1"/>
                            <w:sz w:val="17"/>
                          </w:rPr>
                          <w:t> </w:t>
                        </w:r>
                        <w:r>
                          <w:rPr>
                            <w:sz w:val="17"/>
                          </w:rPr>
                          <w:t>Service</w:t>
                          <w:tab/>
                          <w:t>7400-7499</w:t>
                        </w:r>
                      </w:p>
                    </w:tc>
                    <w:tc>
                      <w:tcPr>
                        <w:tcW w:w="1555" w:type="dxa"/>
                      </w:tcPr>
                      <w:p>
                        <w:pPr>
                          <w:pStyle w:val="TableParagraph"/>
                          <w:spacing w:before="16"/>
                          <w:ind w:right="91"/>
                          <w:jc w:val="right"/>
                          <w:rPr>
                            <w:sz w:val="17"/>
                          </w:rPr>
                        </w:pPr>
                        <w:r>
                          <w:rPr>
                            <w:sz w:val="17"/>
                          </w:rPr>
                          <w:t>0.00</w:t>
                        </w:r>
                      </w:p>
                    </w:tc>
                    <w:tc>
                      <w:tcPr>
                        <w:tcW w:w="1469" w:type="dxa"/>
                      </w:tcPr>
                      <w:p>
                        <w:pPr>
                          <w:pStyle w:val="TableParagraph"/>
                          <w:rPr>
                            <w:rFonts w:ascii="Times New Roman"/>
                            <w:sz w:val="16"/>
                          </w:rPr>
                        </w:pPr>
                      </w:p>
                    </w:tc>
                    <w:tc>
                      <w:tcPr>
                        <w:tcW w:w="1570" w:type="dxa"/>
                        <w:shd w:val="clear" w:color="auto" w:fill="BFBFBF"/>
                      </w:tcPr>
                      <w:p>
                        <w:pPr>
                          <w:pStyle w:val="TableParagraph"/>
                          <w:rPr>
                            <w:rFonts w:ascii="Times New Roman"/>
                            <w:sz w:val="16"/>
                          </w:rPr>
                        </w:pPr>
                      </w:p>
                    </w:tc>
                    <w:tc>
                      <w:tcPr>
                        <w:tcW w:w="1472" w:type="dxa"/>
                      </w:tcPr>
                      <w:p>
                        <w:pPr>
                          <w:pStyle w:val="TableParagraph"/>
                          <w:spacing w:before="16"/>
                          <w:ind w:right="95"/>
                          <w:jc w:val="right"/>
                          <w:rPr>
                            <w:sz w:val="17"/>
                          </w:rPr>
                        </w:pPr>
                        <w:r>
                          <w:rPr>
                            <w:sz w:val="17"/>
                          </w:rPr>
                          <w:t>0.00</w:t>
                        </w:r>
                      </w:p>
                    </w:tc>
                  </w:tr>
                  <w:tr>
                    <w:trPr>
                      <w:trHeight w:val="216" w:hRule="atLeast"/>
                    </w:trPr>
                    <w:tc>
                      <w:tcPr>
                        <w:tcW w:w="5196" w:type="dxa"/>
                        <w:gridSpan w:val="2"/>
                      </w:tcPr>
                      <w:p>
                        <w:pPr>
                          <w:pStyle w:val="TableParagraph"/>
                          <w:tabs>
                            <w:tab w:pos="4721" w:val="right" w:leader="none"/>
                          </w:tabs>
                          <w:spacing w:line="180" w:lineRule="exact" w:before="16"/>
                          <w:ind w:left="50"/>
                          <w:rPr>
                            <w:sz w:val="17"/>
                          </w:rPr>
                        </w:pPr>
                        <w:r>
                          <w:rPr>
                            <w:sz w:val="17"/>
                          </w:rPr>
                          <w:t>11. All Other</w:t>
                        </w:r>
                        <w:r>
                          <w:rPr>
                            <w:spacing w:val="5"/>
                            <w:sz w:val="17"/>
                          </w:rPr>
                          <w:t> </w:t>
                        </w:r>
                        <w:r>
                          <w:rPr>
                            <w:sz w:val="17"/>
                          </w:rPr>
                          <w:t>Financing</w:t>
                        </w:r>
                        <w:r>
                          <w:rPr>
                            <w:spacing w:val="1"/>
                            <w:sz w:val="17"/>
                          </w:rPr>
                          <w:t> </w:t>
                        </w:r>
                        <w:r>
                          <w:rPr>
                            <w:sz w:val="17"/>
                          </w:rPr>
                          <w:t>Uses</w:t>
                          <w:tab/>
                          <w:t>7630-7699</w:t>
                        </w:r>
                      </w:p>
                    </w:tc>
                    <w:tc>
                      <w:tcPr>
                        <w:tcW w:w="1555" w:type="dxa"/>
                      </w:tcPr>
                      <w:p>
                        <w:pPr>
                          <w:pStyle w:val="TableParagraph"/>
                          <w:spacing w:line="180" w:lineRule="exact" w:before="16"/>
                          <w:ind w:right="91"/>
                          <w:jc w:val="right"/>
                          <w:rPr>
                            <w:sz w:val="17"/>
                          </w:rPr>
                        </w:pPr>
                        <w:r>
                          <w:rPr>
                            <w:sz w:val="17"/>
                          </w:rPr>
                          <w:t>0.00</w:t>
                        </w:r>
                      </w:p>
                    </w:tc>
                    <w:tc>
                      <w:tcPr>
                        <w:tcW w:w="1469" w:type="dxa"/>
                      </w:tcPr>
                      <w:p>
                        <w:pPr>
                          <w:pStyle w:val="TableParagraph"/>
                          <w:rPr>
                            <w:rFonts w:ascii="Times New Roman"/>
                            <w:sz w:val="14"/>
                          </w:rPr>
                        </w:pPr>
                      </w:p>
                    </w:tc>
                    <w:tc>
                      <w:tcPr>
                        <w:tcW w:w="1570" w:type="dxa"/>
                        <w:shd w:val="clear" w:color="auto" w:fill="BFBFBF"/>
                      </w:tcPr>
                      <w:p>
                        <w:pPr>
                          <w:pStyle w:val="TableParagraph"/>
                          <w:rPr>
                            <w:rFonts w:ascii="Times New Roman"/>
                            <w:sz w:val="14"/>
                          </w:rPr>
                        </w:pPr>
                      </w:p>
                    </w:tc>
                    <w:tc>
                      <w:tcPr>
                        <w:tcW w:w="1472" w:type="dxa"/>
                      </w:tcPr>
                      <w:p>
                        <w:pPr>
                          <w:pStyle w:val="TableParagraph"/>
                          <w:spacing w:line="180" w:lineRule="exact" w:before="16"/>
                          <w:ind w:right="95"/>
                          <w:jc w:val="right"/>
                          <w:rPr>
                            <w:sz w:val="17"/>
                          </w:rPr>
                        </w:pPr>
                        <w:r>
                          <w:rPr>
                            <w:sz w:val="17"/>
                          </w:rPr>
                          <w:t>0.00</w:t>
                        </w:r>
                      </w:p>
                    </w:tc>
                  </w:tr>
                  <w:tr>
                    <w:trPr>
                      <w:trHeight w:val="248" w:hRule="atLeast"/>
                    </w:trPr>
                    <w:tc>
                      <w:tcPr>
                        <w:tcW w:w="5196" w:type="dxa"/>
                        <w:gridSpan w:val="2"/>
                      </w:tcPr>
                      <w:p>
                        <w:pPr>
                          <w:pStyle w:val="TableParagraph"/>
                          <w:spacing w:before="32"/>
                          <w:ind w:left="50"/>
                          <w:rPr>
                            <w:sz w:val="17"/>
                          </w:rPr>
                        </w:pPr>
                        <w:r>
                          <w:rPr>
                            <w:sz w:val="17"/>
                          </w:rPr>
                          <w:t>12. Total Expenditures and Other Financing Uses</w:t>
                        </w:r>
                      </w:p>
                    </w:tc>
                    <w:tc>
                      <w:tcPr>
                        <w:tcW w:w="1555" w:type="dxa"/>
                      </w:tcPr>
                      <w:p>
                        <w:pPr>
                          <w:pStyle w:val="TableParagraph"/>
                          <w:rPr>
                            <w:rFonts w:ascii="Times New Roman"/>
                            <w:sz w:val="16"/>
                          </w:rPr>
                        </w:pPr>
                      </w:p>
                    </w:tc>
                    <w:tc>
                      <w:tcPr>
                        <w:tcW w:w="1469" w:type="dxa"/>
                      </w:tcPr>
                      <w:p>
                        <w:pPr>
                          <w:pStyle w:val="TableParagraph"/>
                          <w:rPr>
                            <w:rFonts w:ascii="Times New Roman"/>
                            <w:sz w:val="16"/>
                          </w:rPr>
                        </w:pPr>
                      </w:p>
                    </w:tc>
                    <w:tc>
                      <w:tcPr>
                        <w:tcW w:w="1570" w:type="dxa"/>
                      </w:tcPr>
                      <w:p>
                        <w:pPr>
                          <w:pStyle w:val="TableParagraph"/>
                          <w:rPr>
                            <w:rFonts w:ascii="Times New Roman"/>
                            <w:sz w:val="16"/>
                          </w:rPr>
                        </w:pPr>
                      </w:p>
                    </w:tc>
                    <w:tc>
                      <w:tcPr>
                        <w:tcW w:w="1472" w:type="dxa"/>
                      </w:tcPr>
                      <w:p>
                        <w:pPr>
                          <w:pStyle w:val="TableParagraph"/>
                          <w:rPr>
                            <w:rFonts w:ascii="Times New Roman"/>
                            <w:sz w:val="16"/>
                          </w:rPr>
                        </w:pPr>
                      </w:p>
                    </w:tc>
                  </w:tr>
                  <w:tr>
                    <w:trPr>
                      <w:trHeight w:val="212" w:hRule="atLeast"/>
                    </w:trPr>
                    <w:tc>
                      <w:tcPr>
                        <w:tcW w:w="5196" w:type="dxa"/>
                        <w:gridSpan w:val="2"/>
                      </w:tcPr>
                      <w:p>
                        <w:pPr>
                          <w:pStyle w:val="TableParagraph"/>
                          <w:spacing w:line="176" w:lineRule="exact" w:before="16"/>
                          <w:ind w:left="385"/>
                          <w:rPr>
                            <w:sz w:val="17"/>
                          </w:rPr>
                        </w:pPr>
                        <w:r>
                          <w:rPr>
                            <w:sz w:val="17"/>
                          </w:rPr>
                          <w:t>(Sum Lines B1 through B11 )</w:t>
                        </w:r>
                      </w:p>
                    </w:tc>
                    <w:tc>
                      <w:tcPr>
                        <w:tcW w:w="1555" w:type="dxa"/>
                      </w:tcPr>
                      <w:p>
                        <w:pPr>
                          <w:pStyle w:val="TableParagraph"/>
                          <w:spacing w:line="176" w:lineRule="exact" w:before="16"/>
                          <w:ind w:right="93"/>
                          <w:jc w:val="right"/>
                          <w:rPr>
                            <w:sz w:val="17"/>
                          </w:rPr>
                        </w:pPr>
                        <w:r>
                          <w:rPr>
                            <w:sz w:val="17"/>
                          </w:rPr>
                          <w:t>17,059.00</w:t>
                        </w:r>
                      </w:p>
                    </w:tc>
                    <w:tc>
                      <w:tcPr>
                        <w:tcW w:w="1469" w:type="dxa"/>
                      </w:tcPr>
                      <w:p>
                        <w:pPr>
                          <w:pStyle w:val="TableParagraph"/>
                          <w:spacing w:line="176" w:lineRule="exact" w:before="16"/>
                          <w:ind w:right="93"/>
                          <w:jc w:val="right"/>
                          <w:rPr>
                            <w:sz w:val="17"/>
                          </w:rPr>
                        </w:pPr>
                        <w:r>
                          <w:rPr>
                            <w:sz w:val="17"/>
                          </w:rPr>
                          <w:t>0.00</w:t>
                        </w:r>
                      </w:p>
                    </w:tc>
                    <w:tc>
                      <w:tcPr>
                        <w:tcW w:w="1570" w:type="dxa"/>
                      </w:tcPr>
                      <w:p>
                        <w:pPr>
                          <w:pStyle w:val="TableParagraph"/>
                          <w:spacing w:line="176" w:lineRule="exact" w:before="16"/>
                          <w:ind w:right="93"/>
                          <w:jc w:val="right"/>
                          <w:rPr>
                            <w:sz w:val="17"/>
                          </w:rPr>
                        </w:pPr>
                        <w:r>
                          <w:rPr>
                            <w:sz w:val="17"/>
                          </w:rPr>
                          <w:t>5,581.00</w:t>
                        </w:r>
                      </w:p>
                    </w:tc>
                    <w:tc>
                      <w:tcPr>
                        <w:tcW w:w="1472" w:type="dxa"/>
                      </w:tcPr>
                      <w:p>
                        <w:pPr>
                          <w:pStyle w:val="TableParagraph"/>
                          <w:spacing w:line="176" w:lineRule="exact" w:before="16"/>
                          <w:ind w:right="97"/>
                          <w:jc w:val="right"/>
                          <w:rPr>
                            <w:sz w:val="17"/>
                          </w:rPr>
                        </w:pPr>
                        <w:r>
                          <w:rPr>
                            <w:sz w:val="17"/>
                          </w:rPr>
                          <w:t>22,640.00</w:t>
                        </w:r>
                      </w:p>
                    </w:tc>
                  </w:tr>
                </w:tbl>
                <w:p>
                  <w:pPr>
                    <w:pStyle w:val="BodyText"/>
                  </w:pPr>
                </w:p>
              </w:txbxContent>
            </v:textbox>
            <w10:wrap type="none"/>
          </v:shape>
        </w:pict>
      </w:r>
      <w:r>
        <w:rPr>
          <w:b/>
          <w:sz w:val="17"/>
        </w:rPr>
        <w:t>Description</w:t>
        <w:tab/>
        <w:t>Object</w:t>
      </w:r>
      <w:r>
        <w:rPr>
          <w:b/>
          <w:spacing w:val="8"/>
          <w:sz w:val="17"/>
        </w:rPr>
        <w:t> </w:t>
      </w:r>
      <w:r>
        <w:rPr>
          <w:b/>
          <w:sz w:val="17"/>
        </w:rPr>
        <w:t>Codes</w:t>
      </w:r>
    </w:p>
    <w:p>
      <w:pPr>
        <w:spacing w:before="85"/>
        <w:ind w:left="303" w:right="0" w:firstLine="0"/>
        <w:jc w:val="left"/>
        <w:rPr>
          <w:b/>
          <w:sz w:val="17"/>
        </w:rPr>
      </w:pPr>
      <w:r>
        <w:rPr>
          <w:b/>
          <w:sz w:val="17"/>
        </w:rPr>
        <w:t>A.</w:t>
      </w:r>
    </w:p>
    <w:p>
      <w:pPr>
        <w:pStyle w:val="BodyText"/>
        <w:spacing w:before="10"/>
        <w:rPr>
          <w:b/>
          <w:sz w:val="25"/>
        </w:rPr>
      </w:pPr>
      <w:r>
        <w:rPr/>
        <w:br w:type="column"/>
      </w:r>
      <w:r>
        <w:rPr>
          <w:b/>
          <w:sz w:val="25"/>
        </w:rPr>
      </w:r>
    </w:p>
    <w:p>
      <w:pPr>
        <w:spacing w:line="247" w:lineRule="auto" w:before="1"/>
        <w:ind w:left="303" w:right="0" w:firstLine="1"/>
        <w:jc w:val="center"/>
        <w:rPr>
          <w:b/>
          <w:sz w:val="17"/>
        </w:rPr>
      </w:pPr>
      <w:r>
        <w:rPr>
          <w:b/>
          <w:sz w:val="17"/>
        </w:rPr>
        <w:t>Lottery: Unrestricted (Resource 1100)</w:t>
      </w:r>
    </w:p>
    <w:p>
      <w:pPr>
        <w:pStyle w:val="BodyText"/>
        <w:spacing w:before="10"/>
        <w:rPr>
          <w:b/>
          <w:sz w:val="25"/>
        </w:rPr>
      </w:pPr>
      <w:r>
        <w:rPr/>
        <w:br w:type="column"/>
      </w:r>
      <w:r>
        <w:rPr>
          <w:b/>
          <w:sz w:val="25"/>
        </w:rPr>
      </w:r>
    </w:p>
    <w:p>
      <w:pPr>
        <w:spacing w:line="247" w:lineRule="auto" w:before="1"/>
        <w:ind w:left="111" w:right="0" w:firstLine="1"/>
        <w:jc w:val="center"/>
        <w:rPr>
          <w:b/>
          <w:sz w:val="17"/>
        </w:rPr>
      </w:pPr>
      <w:r>
        <w:rPr>
          <w:b/>
          <w:sz w:val="17"/>
        </w:rPr>
        <w:t>Transferred to Other Resources for Expenditure</w:t>
      </w:r>
    </w:p>
    <w:p>
      <w:pPr>
        <w:spacing w:line="247" w:lineRule="auto" w:before="96"/>
        <w:ind w:left="0" w:right="1917" w:firstLine="0"/>
        <w:jc w:val="center"/>
        <w:rPr>
          <w:b/>
          <w:sz w:val="17"/>
        </w:rPr>
      </w:pPr>
      <w:r>
        <w:rPr/>
        <w:br w:type="column"/>
      </w:r>
      <w:r>
        <w:rPr>
          <w:b/>
          <w:sz w:val="17"/>
        </w:rPr>
        <w:t>Lottery: Instructional Materials</w:t>
      </w:r>
    </w:p>
    <w:p>
      <w:pPr>
        <w:tabs>
          <w:tab w:pos="1958" w:val="left" w:leader="none"/>
        </w:tabs>
        <w:spacing w:before="1"/>
        <w:ind w:left="0" w:right="850" w:firstLine="0"/>
        <w:jc w:val="center"/>
        <w:rPr>
          <w:b/>
          <w:sz w:val="17"/>
        </w:rPr>
      </w:pPr>
      <w:r>
        <w:rPr/>
        <w:pict>
          <v:group style="position:absolute;margin-left:14.88pt;margin-top:-38.417084pt;width:572.8pt;height:580.7pt;mso-position-horizontal-relative:page;mso-position-vertical-relative:paragraph;z-index:-314053632" coordorigin="298,-768" coordsize="11456,11614">
            <v:shape style="position:absolute;left:297;top:-769;width:11456;height:982" type="#_x0000_t75" stroked="false">
              <v:imagedata r:id="rId1423" o:title=""/>
            </v:shape>
            <v:shape style="position:absolute;left:5668;top:191;width:6084;height:528" type="#_x0000_t75" stroked="false">
              <v:imagedata r:id="rId1424" o:title=""/>
            </v:shape>
            <v:shape style="position:absolute;left:8700;top:479;width:3053;height:240" type="#_x0000_t75" stroked="false">
              <v:imagedata r:id="rId1425" o:title=""/>
            </v:shape>
            <v:shape style="position:absolute;left:5668;top:712;width:1570;height:240" type="#_x0000_t75" stroked="false">
              <v:imagedata r:id="rId1426" o:title=""/>
            </v:shape>
            <v:shape style="position:absolute;left:8692;top:712;width:3060;height:240" type="#_x0000_t75" stroked="false">
              <v:imagedata r:id="rId1427" o:title=""/>
            </v:shape>
            <v:shape style="position:absolute;left:5668;top:712;width:1577;height:468" type="#_x0000_t75" stroked="false">
              <v:imagedata r:id="rId1428" o:title=""/>
            </v:shape>
            <v:shape style="position:absolute;left:5668;top:945;width:4616;height:694" type="#_x0000_t75" stroked="false">
              <v:imagedata r:id="rId1429" o:title=""/>
            </v:shape>
            <v:shape style="position:absolute;left:8700;top:945;width:3053;height:694" type="#_x0000_t75" stroked="false">
              <v:imagedata r:id="rId1430" o:title=""/>
            </v:shape>
            <v:shape style="position:absolute;left:297;top:198;width:11456;height:2379" type="#_x0000_t75" stroked="false">
              <v:imagedata r:id="rId1431" o:title=""/>
            </v:shape>
            <v:shape style="position:absolute;left:7224;top:2330;width:4529;height:435" type="#_x0000_t75" stroked="false">
              <v:imagedata r:id="rId1432" o:title=""/>
            </v:shape>
            <v:shape style="position:absolute;left:8692;top:2562;width:3060;height:672" type="#_x0000_t75" stroked="false">
              <v:imagedata r:id="rId1433" o:title=""/>
            </v:shape>
            <v:shape style="position:absolute;left:5668;top:2562;width:3039;height:672" type="#_x0000_t75" stroked="false">
              <v:imagedata r:id="rId1434" o:title=""/>
            </v:shape>
            <v:shape style="position:absolute;left:5668;top:3227;width:3039;height:240" type="#_x0000_t75" stroked="false">
              <v:imagedata r:id="rId1435" o:title=""/>
            </v:shape>
            <v:shape style="position:absolute;left:10262;top:3227;width:1491;height:240" type="#_x0000_t75" stroked="false">
              <v:imagedata r:id="rId1436" o:title=""/>
            </v:shape>
            <v:shape style="position:absolute;left:5668;top:3460;width:3039;height:240" type="#_x0000_t75" stroked="false">
              <v:imagedata r:id="rId1435" o:title=""/>
            </v:shape>
            <v:shape style="position:absolute;left:7224;top:3227;width:4529;height:706" type="#_x0000_t75" stroked="false">
              <v:imagedata r:id="rId1437" o:title=""/>
            </v:shape>
            <v:shape style="position:absolute;left:10262;top:3693;width:1491;height:240" type="#_x0000_t75" stroked="false">
              <v:imagedata r:id="rId1436" o:title=""/>
            </v:shape>
            <v:rect style="position:absolute;left:8704;top:3930;width:1570;height:454" filled="true" fillcolor="#bfbfbf" stroked="false">
              <v:fill type="solid"/>
            </v:rect>
            <v:shape style="position:absolute;left:5668;top:3693;width:1577;height:1143" type="#_x0000_t75" stroked="false">
              <v:imagedata r:id="rId1438" o:title=""/>
            </v:shape>
            <v:shape style="position:absolute;left:7224;top:3926;width:3060;height:910" type="#_x0000_t75" stroked="false">
              <v:imagedata r:id="rId1439" o:title=""/>
            </v:shape>
            <v:shape style="position:absolute;left:5680;top:4384;width:4594;height:454" coordorigin="5681,4384" coordsize="4594,454" path="m10274,4384l8705,4384,7236,4384,5681,4384,5681,4838,7236,4838,8705,4838,10274,4838,10274,4384e" filled="true" fillcolor="#bfbfbf" stroked="false">
              <v:path arrowok="t"/>
              <v:fill type="solid"/>
            </v:shape>
            <v:shape style="position:absolute;left:10262;top:3926;width:1491;height:1599" type="#_x0000_t75" stroked="false">
              <v:imagedata r:id="rId1440" o:title=""/>
            </v:shape>
            <v:shape style="position:absolute;left:7224;top:4379;width:1491;height:1145" type="#_x0000_t75" stroked="false">
              <v:imagedata r:id="rId1441" o:title=""/>
            </v:shape>
            <v:shape style="position:absolute;left:5668;top:4833;width:1570;height:692" type="#_x0000_t75" stroked="false">
              <v:imagedata r:id="rId1442" o:title=""/>
            </v:shape>
            <v:shape style="position:absolute;left:7236;top:4838;width:4508;height:684" coordorigin="7236,4838" coordsize="4508,684" path="m11743,4838l10274,4838,8705,4838,7236,4838,7236,5522,8705,5522,10274,5522,11743,5522,11743,4838e" filled="true" fillcolor="#bfbfbf" stroked="false">
              <v:path arrowok="t"/>
              <v:fill type="solid"/>
            </v:shape>
            <v:shape style="position:absolute;left:5668;top:5517;width:3039;height:240" type="#_x0000_t75" stroked="false">
              <v:imagedata r:id="rId1435" o:title=""/>
            </v:shape>
            <v:rect style="position:absolute;left:8704;top:5522;width:1570;height:233" filled="true" fillcolor="#bfbfbf" stroked="false">
              <v:fill type="solid"/>
            </v:rect>
            <v:shape style="position:absolute;left:10262;top:5517;width:1491;height:240" type="#_x0000_t75" stroked="false">
              <v:imagedata r:id="rId1436" o:title=""/>
            </v:shape>
            <v:rect style="position:absolute;left:8704;top:5754;width:1570;height:233" filled="true" fillcolor="#bfbfbf" stroked="false">
              <v:fill type="solid"/>
            </v:rect>
            <v:shape style="position:absolute;left:5668;top:4833;width:3046;height:1352" type="#_x0000_t75" stroked="false">
              <v:imagedata r:id="rId1443" o:title=""/>
            </v:shape>
            <v:rect style="position:absolute;left:8704;top:5987;width:1570;height:200" filled="true" fillcolor="#bfbfbf" stroked="false">
              <v:fill type="solid"/>
            </v:rect>
            <v:shape style="position:absolute;left:10262;top:5750;width:1491;height:927" type="#_x0000_t75" stroked="false">
              <v:imagedata r:id="rId1444" o:title=""/>
            </v:shape>
            <v:rect style="position:absolute;left:8704;top:6186;width:1570;height:492" filled="true" fillcolor="#bfbfbf" stroked="false">
              <v:fill type="solid"/>
            </v:rect>
            <v:shape style="position:absolute;left:5668;top:5982;width:3046;height:1152" type="#_x0000_t75" stroked="false">
              <v:imagedata r:id="rId1445" o:title=""/>
            </v:shape>
            <v:rect style="position:absolute;left:8704;top:6678;width:1570;height:454" filled="true" fillcolor="#bfbfbf" stroked="false">
              <v:fill type="solid"/>
            </v:rect>
            <v:shape style="position:absolute;left:10262;top:6182;width:1491;height:1186" type="#_x0000_t75" stroked="false">
              <v:imagedata r:id="rId1446" o:title=""/>
            </v:shape>
            <v:shape style="position:absolute;left:7224;top:6674;width:1491;height:694" type="#_x0000_t75" stroked="false">
              <v:imagedata r:id="rId1447" o:title=""/>
            </v:shape>
            <v:shape style="position:absolute;left:5668;top:7127;width:1570;height:240" type="#_x0000_t75" stroked="false">
              <v:imagedata r:id="rId1448" o:title=""/>
            </v:shape>
            <v:shape style="position:absolute;left:7236;top:7132;width:4508;height:233" coordorigin="7236,7132" coordsize="4508,233" path="m11743,7132l10274,7132,8705,7132,7236,7132,7236,7365,8705,7365,10274,7365,11743,7365,11743,7132e" filled="true" fillcolor="#bfbfbf" stroked="false">
              <v:path arrowok="t"/>
              <v:fill type="solid"/>
            </v:shape>
            <v:shape style="position:absolute;left:5668;top:7360;width:3039;height:240" type="#_x0000_t75" stroked="false">
              <v:imagedata r:id="rId1435" o:title=""/>
            </v:shape>
            <v:rect style="position:absolute;left:8704;top:7365;width:1570;height:233" filled="true" fillcolor="#bfbfbf" stroked="false">
              <v:fill type="solid"/>
            </v:rect>
            <v:shape style="position:absolute;left:10262;top:7360;width:1491;height:240" type="#_x0000_t75" stroked="false">
              <v:imagedata r:id="rId1436" o:title=""/>
            </v:shape>
            <v:shape style="position:absolute;left:5668;top:7593;width:3039;height:240" type="#_x0000_t75" stroked="false">
              <v:imagedata r:id="rId1435" o:title=""/>
            </v:shape>
            <v:rect style="position:absolute;left:8704;top:7598;width:1570;height:233" filled="true" fillcolor="#bfbfbf" stroked="false">
              <v:fill type="solid"/>
            </v:rect>
            <v:shape style="position:absolute;left:7224;top:7127;width:4529;height:1167" type="#_x0000_t75" stroked="false">
              <v:imagedata r:id="rId1449" o:title=""/>
            </v:shape>
            <v:shape style="position:absolute;left:297;top:2562;width:11456;height:6567" type="#_x0000_t75" stroked="false">
              <v:imagedata r:id="rId1450" o:title=""/>
            </v:shape>
            <v:shape style="position:absolute;left:297;top:8915;width:11456;height:1642" type="#_x0000_t75" stroked="false">
              <v:imagedata r:id="rId1451" o:title=""/>
            </v:shape>
            <v:line style="position:absolute" from="3906,10548" to="3906,10845" stroked="true" strokeweight=".360008pt" strokecolor="#ffffff">
              <v:stroke dashstyle="solid"/>
            </v:line>
            <v:line style="position:absolute" from="5677,10548" to="5677,10845" stroked="true" strokeweight=".360008pt" strokecolor="#ffffff">
              <v:stroke dashstyle="solid"/>
            </v:line>
            <v:line style="position:absolute" from="7232,10548" to="7232,10845" stroked="true" strokeweight=".359986pt" strokecolor="#ffffff">
              <v:stroke dashstyle="solid"/>
            </v:line>
            <v:line style="position:absolute" from="8701,10548" to="8701,10845" stroked="true" strokeweight=".359985pt" strokecolor="#ffffff">
              <v:stroke dashstyle="solid"/>
            </v:line>
            <w10:wrap type="none"/>
          </v:group>
        </w:pict>
      </w:r>
      <w:r>
        <w:rPr>
          <w:b/>
          <w:sz w:val="17"/>
        </w:rPr>
        <w:t>(Resource</w:t>
      </w:r>
      <w:r>
        <w:rPr>
          <w:b/>
          <w:spacing w:val="5"/>
          <w:sz w:val="17"/>
        </w:rPr>
        <w:t> </w:t>
      </w:r>
      <w:r>
        <w:rPr>
          <w:b/>
          <w:sz w:val="17"/>
        </w:rPr>
        <w:t>6300)*</w:t>
        <w:tab/>
        <w:t>Totals</w:t>
      </w:r>
    </w:p>
    <w:p>
      <w:pPr>
        <w:spacing w:after="0"/>
        <w:jc w:val="center"/>
        <w:rPr>
          <w:sz w:val="17"/>
        </w:rPr>
        <w:sectPr>
          <w:type w:val="continuous"/>
          <w:pgSz w:w="12240" w:h="15840"/>
          <w:pgMar w:top="1500" w:bottom="840" w:left="40" w:right="40"/>
          <w:cols w:num="4" w:equalWidth="0">
            <w:col w:w="5351" w:space="105"/>
            <w:col w:w="1635" w:space="39"/>
            <w:col w:w="1501" w:space="39"/>
            <w:col w:w="3490"/>
          </w:cols>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8"/>
        <w:rPr>
          <w:b/>
          <w:sz w:val="21"/>
        </w:rPr>
      </w:pPr>
    </w:p>
    <w:p>
      <w:pPr>
        <w:spacing w:before="1"/>
        <w:ind w:left="303" w:right="0" w:firstLine="0"/>
        <w:jc w:val="left"/>
        <w:rPr>
          <w:b/>
          <w:sz w:val="17"/>
        </w:rPr>
      </w:pPr>
      <w:r>
        <w:rPr>
          <w:b/>
          <w:w w:val="101"/>
          <w:sz w:val="17"/>
        </w:rPr>
        <w:t>B</w:t>
      </w: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ListParagraph"/>
        <w:numPr>
          <w:ilvl w:val="0"/>
          <w:numId w:val="65"/>
        </w:numPr>
        <w:tabs>
          <w:tab w:pos="620" w:val="left" w:leader="none"/>
        </w:tabs>
        <w:spacing w:line="240" w:lineRule="auto" w:before="136" w:after="0"/>
        <w:ind w:left="619" w:right="0" w:hanging="317"/>
        <w:jc w:val="left"/>
        <w:rPr>
          <w:b/>
          <w:sz w:val="17"/>
        </w:rPr>
      </w:pPr>
      <w:r>
        <w:rPr>
          <w:b/>
          <w:sz w:val="17"/>
        </w:rPr>
        <w:t>ENDING </w:t>
      </w:r>
      <w:r>
        <w:rPr>
          <w:b/>
          <w:spacing w:val="-3"/>
          <w:sz w:val="17"/>
        </w:rPr>
        <w:t>BALANCE</w:t>
      </w:r>
    </w:p>
    <w:p>
      <w:pPr>
        <w:tabs>
          <w:tab w:pos="4558" w:val="left" w:leader="none"/>
          <w:tab w:pos="6766" w:val="left" w:leader="none"/>
          <w:tab w:pos="8235" w:val="left" w:leader="none"/>
          <w:tab w:pos="9372" w:val="left" w:leader="none"/>
          <w:tab w:pos="10841" w:val="left" w:leader="none"/>
        </w:tabs>
        <w:spacing w:before="6"/>
        <w:ind w:left="638" w:right="0" w:firstLine="0"/>
        <w:jc w:val="left"/>
        <w:rPr>
          <w:sz w:val="17"/>
        </w:rPr>
      </w:pPr>
      <w:r>
        <w:rPr>
          <w:sz w:val="17"/>
        </w:rPr>
        <w:t>(Must equal Line A6 minus</w:t>
      </w:r>
      <w:r>
        <w:rPr>
          <w:spacing w:val="16"/>
          <w:sz w:val="17"/>
        </w:rPr>
        <w:t> </w:t>
      </w:r>
      <w:r>
        <w:rPr>
          <w:sz w:val="17"/>
        </w:rPr>
        <w:t>Line</w:t>
      </w:r>
      <w:r>
        <w:rPr>
          <w:spacing w:val="3"/>
          <w:sz w:val="17"/>
        </w:rPr>
        <w:t> </w:t>
      </w:r>
      <w:r>
        <w:rPr>
          <w:sz w:val="17"/>
        </w:rPr>
        <w:t>B12)</w:t>
        <w:tab/>
        <w:t>979Z</w:t>
        <w:tab/>
        <w:t>0.00</w:t>
        <w:tab/>
        <w:t>0.00</w:t>
        <w:tab/>
        <w:t>10,669.00</w:t>
        <w:tab/>
        <w:t>10,669.00</w:t>
      </w:r>
    </w:p>
    <w:p>
      <w:pPr>
        <w:pStyle w:val="ListParagraph"/>
        <w:numPr>
          <w:ilvl w:val="0"/>
          <w:numId w:val="65"/>
        </w:numPr>
        <w:tabs>
          <w:tab w:pos="620" w:val="left" w:leader="none"/>
        </w:tabs>
        <w:spacing w:line="240" w:lineRule="auto" w:before="35" w:after="0"/>
        <w:ind w:left="619" w:right="0" w:hanging="317"/>
        <w:jc w:val="left"/>
        <w:rPr>
          <w:b/>
          <w:sz w:val="17"/>
        </w:rPr>
      </w:pPr>
      <w:r>
        <w:rPr>
          <w:b/>
          <w:sz w:val="17"/>
        </w:rPr>
        <w:t>COMMENTS:</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7"/>
        </w:rPr>
      </w:pPr>
    </w:p>
    <w:p>
      <w:pPr>
        <w:spacing w:before="100"/>
        <w:ind w:left="303" w:right="0" w:firstLine="0"/>
        <w:jc w:val="left"/>
        <w:rPr>
          <w:sz w:val="15"/>
        </w:rPr>
      </w:pPr>
      <w:r>
        <w:rPr>
          <w:w w:val="105"/>
          <w:sz w:val="15"/>
        </w:rPr>
        <w:t>Data from this report will be used to prepare a report to the Legislature as required by Control Section 24.60 of the Budget Act.</w:t>
      </w:r>
    </w:p>
    <w:p>
      <w:pPr>
        <w:spacing w:line="276" w:lineRule="auto" w:before="128"/>
        <w:ind w:left="346" w:right="932" w:hanging="44"/>
        <w:jc w:val="left"/>
        <w:rPr>
          <w:sz w:val="15"/>
        </w:rPr>
      </w:pPr>
      <w:r>
        <w:rPr>
          <w:w w:val="105"/>
          <w:sz w:val="15"/>
        </w:rPr>
        <w:t>*Pursuant</w:t>
      </w:r>
      <w:r>
        <w:rPr>
          <w:spacing w:val="-7"/>
          <w:w w:val="105"/>
          <w:sz w:val="15"/>
        </w:rPr>
        <w:t> </w:t>
      </w:r>
      <w:r>
        <w:rPr>
          <w:w w:val="105"/>
          <w:sz w:val="15"/>
        </w:rPr>
        <w:t>to</w:t>
      </w:r>
      <w:r>
        <w:rPr>
          <w:spacing w:val="-7"/>
          <w:w w:val="105"/>
          <w:sz w:val="15"/>
        </w:rPr>
        <w:t> </w:t>
      </w:r>
      <w:r>
        <w:rPr>
          <w:w w:val="105"/>
          <w:sz w:val="15"/>
        </w:rPr>
        <w:t>Government</w:t>
      </w:r>
      <w:r>
        <w:rPr>
          <w:spacing w:val="-7"/>
          <w:w w:val="105"/>
          <w:sz w:val="15"/>
        </w:rPr>
        <w:t> </w:t>
      </w:r>
      <w:r>
        <w:rPr>
          <w:w w:val="105"/>
          <w:sz w:val="15"/>
        </w:rPr>
        <w:t>Code</w:t>
      </w:r>
      <w:r>
        <w:rPr>
          <w:spacing w:val="-7"/>
          <w:w w:val="105"/>
          <w:sz w:val="15"/>
        </w:rPr>
        <w:t> </w:t>
      </w:r>
      <w:r>
        <w:rPr>
          <w:w w:val="105"/>
          <w:sz w:val="15"/>
        </w:rPr>
        <w:t>Section</w:t>
      </w:r>
      <w:r>
        <w:rPr>
          <w:spacing w:val="-8"/>
          <w:w w:val="105"/>
          <w:sz w:val="15"/>
        </w:rPr>
        <w:t> </w:t>
      </w:r>
      <w:r>
        <w:rPr>
          <w:w w:val="105"/>
          <w:sz w:val="15"/>
        </w:rPr>
        <w:t>8880.4(a)(2)(B)</w:t>
      </w:r>
      <w:r>
        <w:rPr>
          <w:spacing w:val="-6"/>
          <w:w w:val="105"/>
          <w:sz w:val="15"/>
        </w:rPr>
        <w:t> </w:t>
      </w:r>
      <w:r>
        <w:rPr>
          <w:w w:val="105"/>
          <w:sz w:val="15"/>
        </w:rPr>
        <w:t>and</w:t>
      </w:r>
      <w:r>
        <w:rPr>
          <w:spacing w:val="-8"/>
          <w:w w:val="105"/>
          <w:sz w:val="15"/>
        </w:rPr>
        <w:t> </w:t>
      </w:r>
      <w:r>
        <w:rPr>
          <w:w w:val="105"/>
          <w:sz w:val="15"/>
        </w:rPr>
        <w:t>the</w:t>
      </w:r>
      <w:r>
        <w:rPr>
          <w:spacing w:val="-7"/>
          <w:w w:val="105"/>
          <w:sz w:val="15"/>
        </w:rPr>
        <w:t> </w:t>
      </w:r>
      <w:r>
        <w:rPr>
          <w:w w:val="105"/>
          <w:sz w:val="15"/>
        </w:rPr>
        <w:t>definition</w:t>
      </w:r>
      <w:r>
        <w:rPr>
          <w:spacing w:val="-7"/>
          <w:w w:val="105"/>
          <w:sz w:val="15"/>
        </w:rPr>
        <w:t> </w:t>
      </w:r>
      <w:r>
        <w:rPr>
          <w:w w:val="105"/>
          <w:sz w:val="15"/>
        </w:rPr>
        <w:t>in</w:t>
      </w:r>
      <w:r>
        <w:rPr>
          <w:spacing w:val="-6"/>
          <w:w w:val="105"/>
          <w:sz w:val="15"/>
        </w:rPr>
        <w:t> </w:t>
      </w:r>
      <w:r>
        <w:rPr>
          <w:w w:val="105"/>
          <w:sz w:val="15"/>
        </w:rPr>
        <w:t>Education</w:t>
      </w:r>
      <w:r>
        <w:rPr>
          <w:spacing w:val="-8"/>
          <w:w w:val="105"/>
          <w:sz w:val="15"/>
        </w:rPr>
        <w:t> </w:t>
      </w:r>
      <w:r>
        <w:rPr>
          <w:w w:val="105"/>
          <w:sz w:val="15"/>
        </w:rPr>
        <w:t>Code</w:t>
      </w:r>
      <w:r>
        <w:rPr>
          <w:spacing w:val="-7"/>
          <w:w w:val="105"/>
          <w:sz w:val="15"/>
        </w:rPr>
        <w:t> </w:t>
      </w:r>
      <w:r>
        <w:rPr>
          <w:w w:val="105"/>
          <w:sz w:val="15"/>
        </w:rPr>
        <w:t>Section</w:t>
      </w:r>
      <w:r>
        <w:rPr>
          <w:spacing w:val="-8"/>
          <w:w w:val="105"/>
          <w:sz w:val="15"/>
        </w:rPr>
        <w:t> </w:t>
      </w:r>
      <w:r>
        <w:rPr>
          <w:w w:val="105"/>
          <w:sz w:val="15"/>
        </w:rPr>
        <w:t>60010(h),</w:t>
      </w:r>
      <w:r>
        <w:rPr>
          <w:spacing w:val="-6"/>
          <w:w w:val="105"/>
          <w:sz w:val="15"/>
        </w:rPr>
        <w:t> </w:t>
      </w:r>
      <w:r>
        <w:rPr>
          <w:w w:val="105"/>
          <w:sz w:val="15"/>
        </w:rPr>
        <w:t>Resource</w:t>
      </w:r>
      <w:r>
        <w:rPr>
          <w:spacing w:val="-7"/>
          <w:w w:val="105"/>
          <w:sz w:val="15"/>
        </w:rPr>
        <w:t> </w:t>
      </w:r>
      <w:r>
        <w:rPr>
          <w:w w:val="105"/>
          <w:sz w:val="15"/>
        </w:rPr>
        <w:t>6300</w:t>
      </w:r>
      <w:r>
        <w:rPr>
          <w:spacing w:val="-7"/>
          <w:w w:val="105"/>
          <w:sz w:val="15"/>
        </w:rPr>
        <w:t> </w:t>
      </w:r>
      <w:r>
        <w:rPr>
          <w:w w:val="105"/>
          <w:sz w:val="15"/>
        </w:rPr>
        <w:t>funds</w:t>
      </w:r>
      <w:r>
        <w:rPr>
          <w:spacing w:val="-7"/>
          <w:w w:val="105"/>
          <w:sz w:val="15"/>
        </w:rPr>
        <w:t> </w:t>
      </w:r>
      <w:r>
        <w:rPr>
          <w:w w:val="105"/>
          <w:sz w:val="15"/>
        </w:rPr>
        <w:t>are</w:t>
      </w:r>
      <w:r>
        <w:rPr>
          <w:spacing w:val="-6"/>
          <w:w w:val="105"/>
          <w:sz w:val="15"/>
        </w:rPr>
        <w:t> </w:t>
      </w:r>
      <w:r>
        <w:rPr>
          <w:w w:val="105"/>
          <w:sz w:val="15"/>
        </w:rPr>
        <w:t>to</w:t>
      </w:r>
      <w:r>
        <w:rPr>
          <w:spacing w:val="-8"/>
          <w:w w:val="105"/>
          <w:sz w:val="15"/>
        </w:rPr>
        <w:t> </w:t>
      </w:r>
      <w:r>
        <w:rPr>
          <w:w w:val="105"/>
          <w:sz w:val="15"/>
        </w:rPr>
        <w:t>be</w:t>
      </w:r>
      <w:r>
        <w:rPr>
          <w:spacing w:val="-7"/>
          <w:w w:val="105"/>
          <w:sz w:val="15"/>
        </w:rPr>
        <w:t> </w:t>
      </w:r>
      <w:r>
        <w:rPr>
          <w:w w:val="105"/>
          <w:sz w:val="15"/>
        </w:rPr>
        <w:t>used</w:t>
      </w:r>
      <w:r>
        <w:rPr>
          <w:spacing w:val="-6"/>
          <w:w w:val="105"/>
          <w:sz w:val="15"/>
        </w:rPr>
        <w:t> </w:t>
      </w:r>
      <w:r>
        <w:rPr>
          <w:w w:val="105"/>
          <w:sz w:val="15"/>
        </w:rPr>
        <w:t>for</w:t>
      </w:r>
      <w:r>
        <w:rPr>
          <w:spacing w:val="-6"/>
          <w:w w:val="105"/>
          <w:sz w:val="15"/>
        </w:rPr>
        <w:t> </w:t>
      </w:r>
      <w:r>
        <w:rPr>
          <w:w w:val="105"/>
          <w:sz w:val="15"/>
        </w:rPr>
        <w:t>the purchase of instructional materials only. Any amounts in the shaded cells of this column should be reviewed for</w:t>
      </w:r>
      <w:r>
        <w:rPr>
          <w:spacing w:val="-14"/>
          <w:w w:val="105"/>
          <w:sz w:val="15"/>
        </w:rPr>
        <w:t> </w:t>
      </w:r>
      <w:r>
        <w:rPr>
          <w:w w:val="105"/>
          <w:sz w:val="15"/>
        </w:rPr>
        <w:t>appropriateness.</w:t>
      </w:r>
    </w:p>
    <w:p>
      <w:pPr>
        <w:spacing w:after="0" w:line="276" w:lineRule="auto"/>
        <w:jc w:val="left"/>
        <w:rPr>
          <w:sz w:val="15"/>
        </w:rPr>
        <w:sectPr>
          <w:type w:val="continuous"/>
          <w:pgSz w:w="12240" w:h="15840"/>
          <w:pgMar w:top="1500" w:bottom="840" w:left="40" w:right="40"/>
        </w:sectPr>
      </w:pPr>
    </w:p>
    <w:p>
      <w:pPr>
        <w:pStyle w:val="BodyText"/>
        <w:rPr>
          <w:sz w:val="20"/>
        </w:rPr>
      </w:pPr>
    </w:p>
    <w:p>
      <w:pPr>
        <w:pStyle w:val="BodyText"/>
        <w:spacing w:before="4"/>
        <w:rPr>
          <w:sz w:val="21"/>
        </w:rPr>
      </w:pPr>
    </w:p>
    <w:p>
      <w:pPr>
        <w:spacing w:after="0"/>
        <w:rPr>
          <w:sz w:val="21"/>
        </w:rPr>
        <w:sectPr>
          <w:headerReference w:type="default" r:id="rId1452"/>
          <w:footerReference w:type="default" r:id="rId1453"/>
          <w:pgSz w:w="12240" w:h="15840"/>
          <w:pgMar w:header="944" w:footer="1104" w:top="1560" w:bottom="1300" w:left="40" w:right="40"/>
          <w:pgNumType w:start="1"/>
        </w:sectPr>
      </w:pPr>
    </w:p>
    <w:p>
      <w:pPr>
        <w:spacing w:before="114"/>
        <w:ind w:left="0" w:right="479" w:firstLine="0"/>
        <w:jc w:val="right"/>
        <w:rPr>
          <w:b/>
          <w:sz w:val="15"/>
        </w:rPr>
      </w:pPr>
      <w:r>
        <w:rPr/>
        <w:pict>
          <v:group style="position:absolute;margin-left:39.959999pt;margin-top:-5.985108pt;width:515.3pt;height:528.5pt;mso-position-horizontal-relative:page;mso-position-vertical-relative:paragraph;z-index:-314051584" coordorigin="799,-120" coordsize="10306,10570">
            <v:shape style="position:absolute;left:799;top:-120;width:8427;height:651" type="#_x0000_t75" stroked="false">
              <v:imagedata r:id="rId1454" o:title=""/>
            </v:shape>
            <v:shape style="position:absolute;left:1065;top:-120;width:10040;height:1076" type="#_x0000_t75" stroked="false">
              <v:imagedata r:id="rId1455" o:title=""/>
            </v:shape>
            <v:shape style="position:absolute;left:799;top:528;width:274;height:428" type="#_x0000_t75" stroked="false">
              <v:imagedata r:id="rId1456" o:title=""/>
            </v:shape>
            <v:shape style="position:absolute;left:6388;top:528;width:4716;height:1148" type="#_x0000_t75" stroked="false">
              <v:imagedata r:id="rId1457" o:title=""/>
            </v:shape>
            <v:shape style="position:absolute;left:6388;top:1433;width:4716;height:1203" type="#_x0000_t75" stroked="false">
              <v:imagedata r:id="rId1458" o:title=""/>
            </v:shape>
            <v:shape style="position:absolute;left:6388;top:2393;width:4716;height:651" type="#_x0000_t75" stroked="false">
              <v:imagedata r:id="rId1459" o:title=""/>
            </v:shape>
            <v:shape style="position:absolute;left:6388;top:2633;width:4716;height:1018" type="#_x0000_t75" stroked="false">
              <v:imagedata r:id="rId1460" o:title=""/>
            </v:shape>
            <v:shape style="position:absolute;left:6388;top:3041;width:4716;height:1090" type="#_x0000_t75" stroked="false">
              <v:imagedata r:id="rId1461" o:title=""/>
            </v:shape>
            <v:shape style="position:absolute;left:6388;top:3888;width:4716;height:723" type="#_x0000_t75" stroked="false">
              <v:imagedata r:id="rId1462" o:title=""/>
            </v:shape>
            <v:shape style="position:absolute;left:6388;top:4368;width:4716;height:552" type="#_x0000_t75" stroked="false">
              <v:imagedata r:id="rId1463" o:title=""/>
            </v:shape>
            <v:shape style="position:absolute;left:6388;top:4677;width:2837;height:488" type="#_x0000_t75" stroked="false">
              <v:imagedata r:id="rId1464" o:title=""/>
            </v:shape>
            <v:shape style="position:absolute;left:6388;top:4677;width:4716;height:1095" type="#_x0000_t75" stroked="false">
              <v:imagedata r:id="rId1465" o:title=""/>
            </v:shape>
            <v:shape style="position:absolute;left:6388;top:5157;width:4716;height:1376" type="#_x0000_t75" stroked="false">
              <v:imagedata r:id="rId1466" o:title=""/>
            </v:shape>
            <v:shape style="position:absolute;left:7332;top:5834;width:3773;height:1546" type="#_x0000_t75" stroked="false">
              <v:imagedata r:id="rId1467" o:title=""/>
            </v:shape>
            <v:shape style="position:absolute;left:6388;top:6525;width:951;height:1090" type="#_x0000_t75" stroked="false">
              <v:imagedata r:id="rId1468" o:title=""/>
            </v:shape>
            <v:shape style="position:absolute;left:799;top:953;width:5434;height:9497" type="#_x0000_t75" stroked="false">
              <v:imagedata r:id="rId1469" o:title=""/>
            </v:shape>
            <v:shape style="position:absolute;left:6393;top:7377;width:1887;height:240" coordorigin="6394,7378" coordsize="1887,240" path="m8280,7378l7337,7378,6394,7378,6394,7618,7337,7618,8280,7618,8280,7378e" filled="true" fillcolor="#bfbfbf" stroked="false">
              <v:path arrowok="t"/>
              <v:fill type="solid"/>
            </v:shape>
            <v:shape style="position:absolute;left:7332;top:7373;width:951;height:8" type="#_x0000_t75" stroked="false">
              <v:imagedata r:id="rId1470" o:title=""/>
            </v:shape>
            <v:shape style="position:absolute;left:6393;top:7377;width:2830;height:720" coordorigin="6394,7378" coordsize="2830,720" path="m9223,7378l8280,7378,8280,7618,7337,7618,6394,7618,6394,7858,6394,8098,7337,8098,7337,7858,9223,7858,9223,7618,9223,7378e" filled="true" fillcolor="#bfbfbf" stroked="false">
              <v:path arrowok="t"/>
              <v:fill type="solid"/>
            </v:shape>
            <v:shape style="position:absolute;left:6388;top:7613;width:8;height:723" type="#_x0000_t75" stroked="false">
              <v:imagedata r:id="rId1471" o:title=""/>
            </v:shape>
            <v:rect style="position:absolute;left:7336;top:7857;width:1887;height:240" filled="true" fillcolor="#bfbfbf" stroked="false">
              <v:fill type="solid"/>
            </v:rect>
            <v:shape style="position:absolute;left:8275;top:7373;width:2830;height:1203" type="#_x0000_t75" stroked="false">
              <v:imagedata r:id="rId1472" o:title=""/>
            </v:shape>
            <v:rect style="position:absolute;left:6393;top:8097;width:944;height:240" filled="true" fillcolor="#bfbfbf" stroked="false">
              <v:fill type="solid"/>
            </v:rect>
            <v:shape style="position:absolute;left:6388;top:8333;width:951;height:8" type="#_x0000_t75" stroked="false">
              <v:imagedata r:id="rId1470" o:title=""/>
            </v:shape>
            <v:rect style="position:absolute;left:7336;top:8097;width:944;height:240" filled="true" fillcolor="#bfbfbf" stroked="false">
              <v:fill type="solid"/>
            </v:rect>
            <v:shape style="position:absolute;left:7332;top:8333;width:951;height:8" type="#_x0000_t75" stroked="false">
              <v:imagedata r:id="rId1470" o:title=""/>
            </v:shape>
            <v:rect style="position:absolute;left:8280;top:8097;width:944;height:240" filled="true" fillcolor="#bfbfbf" stroked="false">
              <v:fill type="solid"/>
            </v:rect>
            <v:shape style="position:absolute;left:6388;top:8333;width:4716;height:1414" type="#_x0000_t75" stroked="false">
              <v:imagedata r:id="rId1473" o:title=""/>
            </v:shape>
            <v:shape style="position:absolute;left:6388;top:9249;width:4716;height:723" type="#_x0000_t75" stroked="false">
              <v:imagedata r:id="rId1474" o:title=""/>
            </v:shape>
            <v:shape style="position:absolute;left:6393;top:9749;width:2830;height:226" coordorigin="6394,9749" coordsize="2830,226" path="m9223,9749l8280,9749,6394,9749,6394,9975,8280,9975,9223,9975,9223,9749e" filled="true" fillcolor="#bfbfbf" stroked="false">
              <v:path arrowok="t"/>
              <v:fill type="solid"/>
            </v:shape>
            <v:shape style="position:absolute;left:6388;top:9969;width:8;height:228" type="#_x0000_t75" stroked="false">
              <v:imagedata r:id="rId1475" o:title=""/>
            </v:shape>
            <v:shape style="position:absolute;left:6393;top:9974;width:2830;height:226" coordorigin="6394,9975" coordsize="2830,226" path="m9223,9975l7337,9975,6394,9975,6394,10200,7337,10200,9223,10200,9223,9975e" filled="true" fillcolor="#bfbfbf" stroked="false">
              <v:path arrowok="t"/>
              <v:fill type="solid"/>
            </v:shape>
            <v:shape style="position:absolute;left:6225;top:9969;width:171;height:480" type="#_x0000_t75" stroked="false">
              <v:imagedata r:id="rId1476" o:title=""/>
            </v:shape>
            <v:rect style="position:absolute;left:6393;top:10200;width:944;height:240" filled="true" fillcolor="#bfbfbf" stroked="false">
              <v:fill type="solid"/>
            </v:rect>
            <v:shape style="position:absolute;left:6388;top:10435;width:951;height:15" type="#_x0000_t75" stroked="false">
              <v:imagedata r:id="rId1477" o:title=""/>
            </v:shape>
            <v:shape style="position:absolute;left:8275;top:9744;width:2830;height:706" type="#_x0000_t75" stroked="false">
              <v:imagedata r:id="rId1478" o:title=""/>
            </v:shape>
            <v:rect style="position:absolute;left:7336;top:10200;width:944;height:240" filled="true" fillcolor="#bfbfbf" stroked="false">
              <v:fill type="solid"/>
            </v:rect>
            <v:shape style="position:absolute;left:7332;top:10435;width:951;height:15" type="#_x0000_t75" stroked="false">
              <v:imagedata r:id="rId1477" o:title=""/>
            </v:shape>
            <v:rect style="position:absolute;left:8280;top:10200;width:944;height:240" filled="true" fillcolor="#bfbfbf" stroked="false">
              <v:fill type="solid"/>
            </v:rect>
            <w10:wrap type="none"/>
          </v:group>
        </w:pict>
      </w:r>
      <w:bookmarkStart w:name="FORM ESMOE" w:id="19"/>
      <w:bookmarkEnd w:id="19"/>
      <w:r>
        <w:rPr/>
      </w:r>
      <w:r>
        <w:rPr>
          <w:b/>
          <w:sz w:val="15"/>
        </w:rPr>
        <w:t>Funds 01, 09, and 62</w:t>
      </w:r>
    </w:p>
    <w:p>
      <w:pPr>
        <w:tabs>
          <w:tab w:pos="6615" w:val="left" w:leader="none"/>
          <w:tab w:pos="7409" w:val="left" w:leader="none"/>
          <w:tab w:pos="8434" w:val="left" w:leader="none"/>
        </w:tabs>
        <w:spacing w:before="30"/>
        <w:ind w:left="802" w:right="0" w:firstLine="0"/>
        <w:jc w:val="left"/>
        <w:rPr>
          <w:b/>
          <w:sz w:val="15"/>
        </w:rPr>
      </w:pPr>
      <w:r>
        <w:rPr>
          <w:b/>
          <w:position w:val="1"/>
          <w:sz w:val="18"/>
        </w:rPr>
        <w:t>Section  I</w:t>
      </w:r>
      <w:r>
        <w:rPr>
          <w:b/>
          <w:spacing w:val="-16"/>
          <w:position w:val="1"/>
          <w:sz w:val="18"/>
        </w:rPr>
        <w:t> </w:t>
      </w:r>
      <w:r>
        <w:rPr>
          <w:b/>
          <w:position w:val="1"/>
          <w:sz w:val="18"/>
        </w:rPr>
        <w:t>-</w:t>
      </w:r>
      <w:r>
        <w:rPr>
          <w:b/>
          <w:spacing w:val="13"/>
          <w:position w:val="1"/>
          <w:sz w:val="18"/>
        </w:rPr>
        <w:t> </w:t>
      </w:r>
      <w:r>
        <w:rPr>
          <w:b/>
          <w:position w:val="1"/>
          <w:sz w:val="18"/>
        </w:rPr>
        <w:t>Expenditures</w:t>
        <w:tab/>
      </w:r>
      <w:r>
        <w:rPr>
          <w:b/>
          <w:sz w:val="15"/>
        </w:rPr>
        <w:t>Goals</w:t>
        <w:tab/>
        <w:t>Functions</w:t>
        <w:tab/>
      </w:r>
      <w:r>
        <w:rPr>
          <w:b/>
          <w:spacing w:val="-4"/>
          <w:sz w:val="15"/>
        </w:rPr>
        <w:t>Objects</w:t>
      </w:r>
    </w:p>
    <w:p>
      <w:pPr>
        <w:spacing w:before="101"/>
        <w:ind w:left="481" w:right="1411" w:firstLine="0"/>
        <w:jc w:val="center"/>
        <w:rPr>
          <w:b/>
          <w:sz w:val="18"/>
        </w:rPr>
      </w:pPr>
      <w:r>
        <w:rPr/>
        <w:br w:type="column"/>
      </w:r>
      <w:r>
        <w:rPr>
          <w:b/>
          <w:w w:val="105"/>
          <w:sz w:val="18"/>
        </w:rPr>
        <w:t>2020-21</w:t>
      </w:r>
    </w:p>
    <w:p>
      <w:pPr>
        <w:spacing w:before="11"/>
        <w:ind w:left="481" w:right="1413" w:firstLine="0"/>
        <w:jc w:val="center"/>
        <w:rPr>
          <w:b/>
          <w:sz w:val="18"/>
        </w:rPr>
      </w:pPr>
      <w:r>
        <w:rPr>
          <w:b/>
          <w:w w:val="105"/>
          <w:sz w:val="18"/>
        </w:rPr>
        <w:t>Expenditures</w:t>
      </w:r>
    </w:p>
    <w:p>
      <w:pPr>
        <w:spacing w:after="0"/>
        <w:jc w:val="center"/>
        <w:rPr>
          <w:sz w:val="18"/>
        </w:rPr>
        <w:sectPr>
          <w:type w:val="continuous"/>
          <w:pgSz w:w="12240" w:h="15840"/>
          <w:pgMar w:top="1500" w:bottom="840" w:left="40" w:right="40"/>
          <w:cols w:num="2" w:equalWidth="0">
            <w:col w:w="8987" w:space="40"/>
            <w:col w:w="3133"/>
          </w:cols>
        </w:sectPr>
      </w:pPr>
    </w:p>
    <w:p>
      <w:pPr>
        <w:pStyle w:val="BodyText"/>
        <w:spacing w:before="4"/>
        <w:rPr>
          <w:b/>
          <w:sz w:val="10"/>
        </w:rPr>
      </w:pPr>
    </w:p>
    <w:p>
      <w:pPr>
        <w:pStyle w:val="Heading3"/>
        <w:numPr>
          <w:ilvl w:val="1"/>
          <w:numId w:val="65"/>
        </w:numPr>
        <w:tabs>
          <w:tab w:pos="1069" w:val="left" w:leader="none"/>
          <w:tab w:pos="6739" w:val="left" w:leader="none"/>
          <w:tab w:pos="7683" w:val="left" w:leader="none"/>
          <w:tab w:pos="8350" w:val="left" w:leader="none"/>
          <w:tab w:pos="9864" w:val="left" w:leader="none"/>
        </w:tabs>
        <w:spacing w:line="240" w:lineRule="auto" w:before="97" w:after="0"/>
        <w:ind w:left="1068" w:right="0" w:hanging="267"/>
        <w:jc w:val="left"/>
      </w:pPr>
      <w:r>
        <w:rPr>
          <w:w w:val="105"/>
          <w:position w:val="1"/>
        </w:rPr>
        <w:t>Total</w:t>
      </w:r>
      <w:r>
        <w:rPr>
          <w:spacing w:val="-12"/>
          <w:w w:val="105"/>
          <w:position w:val="1"/>
        </w:rPr>
        <w:t> </w:t>
      </w:r>
      <w:r>
        <w:rPr>
          <w:w w:val="105"/>
          <w:position w:val="1"/>
        </w:rPr>
        <w:t>state,</w:t>
      </w:r>
      <w:r>
        <w:rPr>
          <w:spacing w:val="-8"/>
          <w:w w:val="105"/>
          <w:position w:val="1"/>
        </w:rPr>
        <w:t> </w:t>
      </w:r>
      <w:r>
        <w:rPr>
          <w:w w:val="105"/>
          <w:position w:val="1"/>
        </w:rPr>
        <w:t>federal,</w:t>
      </w:r>
      <w:r>
        <w:rPr>
          <w:spacing w:val="-9"/>
          <w:w w:val="105"/>
          <w:position w:val="1"/>
        </w:rPr>
        <w:t> </w:t>
      </w:r>
      <w:r>
        <w:rPr>
          <w:w w:val="105"/>
          <w:position w:val="1"/>
        </w:rPr>
        <w:t>and</w:t>
      </w:r>
      <w:r>
        <w:rPr>
          <w:spacing w:val="-9"/>
          <w:w w:val="105"/>
          <w:position w:val="1"/>
        </w:rPr>
        <w:t> </w:t>
      </w:r>
      <w:r>
        <w:rPr>
          <w:w w:val="105"/>
          <w:position w:val="1"/>
        </w:rPr>
        <w:t>local</w:t>
      </w:r>
      <w:r>
        <w:rPr>
          <w:spacing w:val="-11"/>
          <w:w w:val="105"/>
          <w:position w:val="1"/>
        </w:rPr>
        <w:t> </w:t>
      </w:r>
      <w:r>
        <w:rPr>
          <w:w w:val="105"/>
          <w:position w:val="1"/>
        </w:rPr>
        <w:t>expenditures</w:t>
      </w:r>
      <w:r>
        <w:rPr>
          <w:spacing w:val="-9"/>
          <w:w w:val="105"/>
          <w:position w:val="1"/>
        </w:rPr>
        <w:t> </w:t>
      </w:r>
      <w:r>
        <w:rPr>
          <w:w w:val="105"/>
          <w:position w:val="1"/>
        </w:rPr>
        <w:t>(all</w:t>
      </w:r>
      <w:r>
        <w:rPr>
          <w:spacing w:val="-11"/>
          <w:w w:val="105"/>
          <w:position w:val="1"/>
        </w:rPr>
        <w:t> </w:t>
      </w:r>
      <w:r>
        <w:rPr>
          <w:w w:val="105"/>
          <w:position w:val="1"/>
        </w:rPr>
        <w:t>resources)</w:t>
        <w:tab/>
      </w:r>
      <w:r>
        <w:rPr>
          <w:w w:val="105"/>
          <w:sz w:val="15"/>
        </w:rPr>
        <w:t>All</w:t>
        <w:tab/>
        <w:t>All</w:t>
        <w:tab/>
        <w:t>1000-7999</w:t>
        <w:tab/>
      </w:r>
      <w:r>
        <w:rPr>
          <w:w w:val="105"/>
          <w:position w:val="1"/>
        </w:rPr>
        <w:t>2,119,034.00</w:t>
      </w:r>
    </w:p>
    <w:p>
      <w:pPr>
        <w:pStyle w:val="BodyText"/>
        <w:spacing w:before="11"/>
        <w:rPr>
          <w:sz w:val="14"/>
        </w:rPr>
      </w:pPr>
    </w:p>
    <w:p>
      <w:pPr>
        <w:pStyle w:val="ListParagraph"/>
        <w:numPr>
          <w:ilvl w:val="1"/>
          <w:numId w:val="65"/>
        </w:numPr>
        <w:tabs>
          <w:tab w:pos="1069" w:val="left" w:leader="none"/>
        </w:tabs>
        <w:spacing w:line="240" w:lineRule="auto" w:before="100" w:after="0"/>
        <w:ind w:left="1068" w:right="0" w:hanging="267"/>
        <w:jc w:val="left"/>
        <w:rPr>
          <w:sz w:val="18"/>
        </w:rPr>
      </w:pPr>
      <w:r>
        <w:rPr>
          <w:w w:val="105"/>
          <w:sz w:val="18"/>
        </w:rPr>
        <w:t>Less all federal expenditures not allowed for</w:t>
      </w:r>
      <w:r>
        <w:rPr>
          <w:spacing w:val="-8"/>
          <w:w w:val="105"/>
          <w:sz w:val="18"/>
        </w:rPr>
        <w:t> </w:t>
      </w:r>
      <w:r>
        <w:rPr>
          <w:w w:val="105"/>
          <w:sz w:val="18"/>
        </w:rPr>
        <w:t>MOE</w:t>
      </w:r>
    </w:p>
    <w:p>
      <w:pPr>
        <w:tabs>
          <w:tab w:pos="6718" w:val="left" w:leader="none"/>
          <w:tab w:pos="7683" w:val="left" w:leader="none"/>
          <w:tab w:pos="8350" w:val="left" w:leader="none"/>
          <w:tab w:pos="10020" w:val="left" w:leader="none"/>
        </w:tabs>
        <w:spacing w:before="31"/>
        <w:ind w:left="1068" w:right="0" w:firstLine="0"/>
        <w:jc w:val="left"/>
        <w:rPr>
          <w:sz w:val="18"/>
        </w:rPr>
      </w:pPr>
      <w:r>
        <w:rPr>
          <w:w w:val="105"/>
          <w:position w:val="1"/>
          <w:sz w:val="18"/>
        </w:rPr>
        <w:t>(Resources 3000-5999,</w:t>
      </w:r>
      <w:r>
        <w:rPr>
          <w:spacing w:val="-26"/>
          <w:w w:val="105"/>
          <w:position w:val="1"/>
          <w:sz w:val="18"/>
        </w:rPr>
        <w:t> </w:t>
      </w:r>
      <w:r>
        <w:rPr>
          <w:w w:val="105"/>
          <w:position w:val="1"/>
          <w:sz w:val="18"/>
        </w:rPr>
        <w:t>except</w:t>
      </w:r>
      <w:r>
        <w:rPr>
          <w:spacing w:val="-11"/>
          <w:w w:val="105"/>
          <w:position w:val="1"/>
          <w:sz w:val="18"/>
        </w:rPr>
        <w:t> </w:t>
      </w:r>
      <w:r>
        <w:rPr>
          <w:w w:val="105"/>
          <w:position w:val="1"/>
          <w:sz w:val="18"/>
        </w:rPr>
        <w:t>3385)</w:t>
        <w:tab/>
      </w:r>
      <w:r>
        <w:rPr>
          <w:w w:val="105"/>
          <w:sz w:val="15"/>
        </w:rPr>
        <w:t>All</w:t>
        <w:tab/>
        <w:t>All</w:t>
        <w:tab/>
        <w:t>1000-7999</w:t>
        <w:tab/>
      </w:r>
      <w:r>
        <w:rPr>
          <w:w w:val="105"/>
          <w:position w:val="1"/>
          <w:sz w:val="18"/>
        </w:rPr>
        <w:t>306,985.00</w:t>
      </w:r>
    </w:p>
    <w:p>
      <w:pPr>
        <w:pStyle w:val="BodyText"/>
        <w:spacing w:before="10"/>
        <w:rPr>
          <w:sz w:val="14"/>
        </w:rPr>
      </w:pPr>
    </w:p>
    <w:p>
      <w:pPr>
        <w:pStyle w:val="Heading3"/>
        <w:numPr>
          <w:ilvl w:val="1"/>
          <w:numId w:val="65"/>
        </w:numPr>
        <w:tabs>
          <w:tab w:pos="1069" w:val="left" w:leader="none"/>
        </w:tabs>
        <w:spacing w:line="278" w:lineRule="auto" w:before="101" w:after="0"/>
        <w:ind w:left="1068" w:right="6527" w:hanging="267"/>
        <w:jc w:val="left"/>
      </w:pPr>
      <w:r>
        <w:rPr>
          <w:w w:val="105"/>
        </w:rPr>
        <w:t>Less</w:t>
      </w:r>
      <w:r>
        <w:rPr>
          <w:spacing w:val="-11"/>
          <w:w w:val="105"/>
        </w:rPr>
        <w:t> </w:t>
      </w:r>
      <w:r>
        <w:rPr>
          <w:w w:val="105"/>
        </w:rPr>
        <w:t>state</w:t>
      </w:r>
      <w:r>
        <w:rPr>
          <w:spacing w:val="-10"/>
          <w:w w:val="105"/>
        </w:rPr>
        <w:t> </w:t>
      </w:r>
      <w:r>
        <w:rPr>
          <w:w w:val="105"/>
        </w:rPr>
        <w:t>and</w:t>
      </w:r>
      <w:r>
        <w:rPr>
          <w:spacing w:val="-9"/>
          <w:w w:val="105"/>
        </w:rPr>
        <w:t> </w:t>
      </w:r>
      <w:r>
        <w:rPr>
          <w:w w:val="105"/>
        </w:rPr>
        <w:t>local</w:t>
      </w:r>
      <w:r>
        <w:rPr>
          <w:spacing w:val="-11"/>
          <w:w w:val="105"/>
        </w:rPr>
        <w:t> </w:t>
      </w:r>
      <w:r>
        <w:rPr>
          <w:w w:val="105"/>
        </w:rPr>
        <w:t>expenditures</w:t>
      </w:r>
      <w:r>
        <w:rPr>
          <w:spacing w:val="-8"/>
          <w:w w:val="105"/>
        </w:rPr>
        <w:t> </w:t>
      </w:r>
      <w:r>
        <w:rPr>
          <w:w w:val="105"/>
        </w:rPr>
        <w:t>not</w:t>
      </w:r>
      <w:r>
        <w:rPr>
          <w:spacing w:val="-7"/>
          <w:w w:val="105"/>
        </w:rPr>
        <w:t> </w:t>
      </w:r>
      <w:r>
        <w:rPr>
          <w:w w:val="105"/>
        </w:rPr>
        <w:t>allowed</w:t>
      </w:r>
      <w:r>
        <w:rPr>
          <w:spacing w:val="-11"/>
          <w:w w:val="105"/>
        </w:rPr>
        <w:t> </w:t>
      </w:r>
      <w:r>
        <w:rPr>
          <w:w w:val="105"/>
        </w:rPr>
        <w:t>for</w:t>
      </w:r>
      <w:r>
        <w:rPr>
          <w:spacing w:val="-10"/>
          <w:w w:val="105"/>
        </w:rPr>
        <w:t> </w:t>
      </w:r>
      <w:r>
        <w:rPr>
          <w:w w:val="105"/>
        </w:rPr>
        <w:t>MOE: (All</w:t>
      </w:r>
      <w:r>
        <w:rPr>
          <w:spacing w:val="-8"/>
          <w:w w:val="105"/>
        </w:rPr>
        <w:t> </w:t>
      </w:r>
      <w:r>
        <w:rPr>
          <w:w w:val="105"/>
        </w:rPr>
        <w:t>resources,</w:t>
      </w:r>
      <w:r>
        <w:rPr>
          <w:spacing w:val="-4"/>
          <w:w w:val="105"/>
        </w:rPr>
        <w:t> </w:t>
      </w:r>
      <w:r>
        <w:rPr>
          <w:w w:val="105"/>
        </w:rPr>
        <w:t>except</w:t>
      </w:r>
      <w:r>
        <w:rPr>
          <w:spacing w:val="-5"/>
          <w:w w:val="105"/>
        </w:rPr>
        <w:t> </w:t>
      </w:r>
      <w:r>
        <w:rPr>
          <w:w w:val="105"/>
        </w:rPr>
        <w:t>federal</w:t>
      </w:r>
      <w:r>
        <w:rPr>
          <w:spacing w:val="-7"/>
          <w:w w:val="105"/>
        </w:rPr>
        <w:t> </w:t>
      </w:r>
      <w:r>
        <w:rPr>
          <w:w w:val="105"/>
        </w:rPr>
        <w:t>as</w:t>
      </w:r>
      <w:r>
        <w:rPr>
          <w:spacing w:val="-4"/>
          <w:w w:val="105"/>
        </w:rPr>
        <w:t> </w:t>
      </w:r>
      <w:r>
        <w:rPr>
          <w:w w:val="105"/>
        </w:rPr>
        <w:t>identified</w:t>
      </w:r>
      <w:r>
        <w:rPr>
          <w:spacing w:val="-7"/>
          <w:w w:val="105"/>
        </w:rPr>
        <w:t> </w:t>
      </w:r>
      <w:r>
        <w:rPr>
          <w:w w:val="105"/>
        </w:rPr>
        <w:t>in</w:t>
      </w:r>
      <w:r>
        <w:rPr>
          <w:spacing w:val="-6"/>
          <w:w w:val="105"/>
        </w:rPr>
        <w:t> </w:t>
      </w:r>
      <w:r>
        <w:rPr>
          <w:w w:val="105"/>
        </w:rPr>
        <w:t>Line</w:t>
      </w:r>
      <w:r>
        <w:rPr>
          <w:spacing w:val="-8"/>
          <w:w w:val="105"/>
        </w:rPr>
        <w:t> </w:t>
      </w:r>
      <w:r>
        <w:rPr>
          <w:w w:val="105"/>
        </w:rPr>
        <w:t>B)</w:t>
      </w:r>
    </w:p>
    <w:tbl>
      <w:tblPr>
        <w:tblW w:w="0" w:type="auto"/>
        <w:jc w:val="left"/>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4"/>
        <w:gridCol w:w="4956"/>
        <w:gridCol w:w="1023"/>
        <w:gridCol w:w="926"/>
        <w:gridCol w:w="1347"/>
        <w:gridCol w:w="1432"/>
      </w:tblGrid>
      <w:tr>
        <w:trPr>
          <w:trHeight w:val="208" w:hRule="atLeast"/>
        </w:trPr>
        <w:tc>
          <w:tcPr>
            <w:tcW w:w="5260" w:type="dxa"/>
            <w:gridSpan w:val="2"/>
          </w:tcPr>
          <w:p>
            <w:pPr>
              <w:pStyle w:val="TableParagraph"/>
              <w:spacing w:line="188" w:lineRule="exact"/>
              <w:ind w:left="50"/>
              <w:rPr>
                <w:sz w:val="18"/>
              </w:rPr>
            </w:pPr>
            <w:r>
              <w:rPr>
                <w:w w:val="105"/>
                <w:sz w:val="18"/>
              </w:rPr>
              <w:t>1. Community Services</w:t>
            </w:r>
          </w:p>
        </w:tc>
        <w:tc>
          <w:tcPr>
            <w:tcW w:w="1023" w:type="dxa"/>
          </w:tcPr>
          <w:p>
            <w:pPr>
              <w:pStyle w:val="TableParagraph"/>
              <w:spacing w:line="153" w:lineRule="exact" w:before="35"/>
              <w:ind w:left="166" w:right="99"/>
              <w:jc w:val="center"/>
              <w:rPr>
                <w:sz w:val="15"/>
              </w:rPr>
            </w:pPr>
            <w:r>
              <w:rPr>
                <w:sz w:val="15"/>
              </w:rPr>
              <w:t>All</w:t>
            </w:r>
          </w:p>
        </w:tc>
        <w:tc>
          <w:tcPr>
            <w:tcW w:w="926" w:type="dxa"/>
          </w:tcPr>
          <w:p>
            <w:pPr>
              <w:pStyle w:val="TableParagraph"/>
              <w:spacing w:line="153" w:lineRule="exact" w:before="35"/>
              <w:ind w:left="79" w:right="74"/>
              <w:jc w:val="center"/>
              <w:rPr>
                <w:sz w:val="15"/>
              </w:rPr>
            </w:pPr>
            <w:r>
              <w:rPr>
                <w:sz w:val="15"/>
              </w:rPr>
              <w:t>5000-5999</w:t>
            </w:r>
          </w:p>
        </w:tc>
        <w:tc>
          <w:tcPr>
            <w:tcW w:w="1347" w:type="dxa"/>
          </w:tcPr>
          <w:p>
            <w:pPr>
              <w:pStyle w:val="TableParagraph"/>
              <w:spacing w:line="153" w:lineRule="exact" w:before="35"/>
              <w:ind w:left="13" w:right="435"/>
              <w:jc w:val="center"/>
              <w:rPr>
                <w:sz w:val="15"/>
              </w:rPr>
            </w:pPr>
            <w:r>
              <w:rPr>
                <w:sz w:val="15"/>
              </w:rPr>
              <w:t>1000-7999</w:t>
            </w:r>
          </w:p>
        </w:tc>
        <w:tc>
          <w:tcPr>
            <w:tcW w:w="1432" w:type="dxa"/>
          </w:tcPr>
          <w:p>
            <w:pPr>
              <w:pStyle w:val="TableParagraph"/>
              <w:spacing w:line="188" w:lineRule="exact"/>
              <w:ind w:right="52"/>
              <w:jc w:val="right"/>
              <w:rPr>
                <w:sz w:val="18"/>
              </w:rPr>
            </w:pPr>
            <w:r>
              <w:rPr>
                <w:sz w:val="18"/>
              </w:rPr>
              <w:t>0.00</w:t>
            </w:r>
          </w:p>
        </w:tc>
      </w:tr>
      <w:tr>
        <w:trPr>
          <w:trHeight w:val="218" w:hRule="atLeast"/>
        </w:trPr>
        <w:tc>
          <w:tcPr>
            <w:tcW w:w="304" w:type="dxa"/>
          </w:tcPr>
          <w:p>
            <w:pPr>
              <w:pStyle w:val="TableParagraph"/>
              <w:rPr>
                <w:rFonts w:ascii="Times New Roman"/>
                <w:sz w:val="14"/>
              </w:rPr>
            </w:pPr>
          </w:p>
        </w:tc>
        <w:tc>
          <w:tcPr>
            <w:tcW w:w="4956" w:type="dxa"/>
          </w:tcPr>
          <w:p>
            <w:pPr>
              <w:pStyle w:val="TableParagraph"/>
              <w:rPr>
                <w:rFonts w:ascii="Times New Roman"/>
                <w:sz w:val="14"/>
              </w:rPr>
            </w:pPr>
          </w:p>
        </w:tc>
        <w:tc>
          <w:tcPr>
            <w:tcW w:w="1023" w:type="dxa"/>
          </w:tcPr>
          <w:p>
            <w:pPr>
              <w:pStyle w:val="TableParagraph"/>
              <w:spacing w:line="134" w:lineRule="exact" w:before="64"/>
              <w:ind w:left="166" w:right="82"/>
              <w:jc w:val="center"/>
              <w:rPr>
                <w:sz w:val="15"/>
              </w:rPr>
            </w:pPr>
            <w:r>
              <w:rPr>
                <w:sz w:val="15"/>
              </w:rPr>
              <w:t>All except</w:t>
            </w:r>
          </w:p>
        </w:tc>
        <w:tc>
          <w:tcPr>
            <w:tcW w:w="926" w:type="dxa"/>
          </w:tcPr>
          <w:p>
            <w:pPr>
              <w:pStyle w:val="TableParagraph"/>
              <w:spacing w:line="134" w:lineRule="exact" w:before="64"/>
              <w:ind w:left="86" w:right="65"/>
              <w:jc w:val="center"/>
              <w:rPr>
                <w:sz w:val="15"/>
              </w:rPr>
            </w:pPr>
            <w:r>
              <w:rPr>
                <w:sz w:val="15"/>
              </w:rPr>
              <w:t>All except</w:t>
            </w:r>
          </w:p>
        </w:tc>
        <w:tc>
          <w:tcPr>
            <w:tcW w:w="1347" w:type="dxa"/>
          </w:tcPr>
          <w:p>
            <w:pPr>
              <w:pStyle w:val="TableParagraph"/>
              <w:rPr>
                <w:rFonts w:ascii="Times New Roman"/>
                <w:sz w:val="14"/>
              </w:rPr>
            </w:pPr>
          </w:p>
        </w:tc>
        <w:tc>
          <w:tcPr>
            <w:tcW w:w="1432" w:type="dxa"/>
          </w:tcPr>
          <w:p>
            <w:pPr>
              <w:pStyle w:val="TableParagraph"/>
              <w:rPr>
                <w:rFonts w:ascii="Times New Roman"/>
                <w:sz w:val="14"/>
              </w:rPr>
            </w:pPr>
          </w:p>
        </w:tc>
      </w:tr>
      <w:tr>
        <w:trPr>
          <w:trHeight w:val="238" w:hRule="atLeast"/>
        </w:trPr>
        <w:tc>
          <w:tcPr>
            <w:tcW w:w="304" w:type="dxa"/>
          </w:tcPr>
          <w:p>
            <w:pPr>
              <w:pStyle w:val="TableParagraph"/>
              <w:spacing w:line="188" w:lineRule="exact"/>
              <w:ind w:left="50"/>
              <w:rPr>
                <w:sz w:val="18"/>
              </w:rPr>
            </w:pPr>
            <w:r>
              <w:rPr>
                <w:w w:val="105"/>
                <w:sz w:val="18"/>
              </w:rPr>
              <w:t>2.</w:t>
            </w:r>
          </w:p>
        </w:tc>
        <w:tc>
          <w:tcPr>
            <w:tcW w:w="4956" w:type="dxa"/>
          </w:tcPr>
          <w:p>
            <w:pPr>
              <w:pStyle w:val="TableParagraph"/>
              <w:spacing w:line="188" w:lineRule="exact"/>
              <w:ind w:left="98"/>
              <w:rPr>
                <w:sz w:val="18"/>
              </w:rPr>
            </w:pPr>
            <w:r>
              <w:rPr>
                <w:w w:val="105"/>
                <w:sz w:val="18"/>
              </w:rPr>
              <w:t>Capital Outlay</w:t>
            </w:r>
          </w:p>
        </w:tc>
        <w:tc>
          <w:tcPr>
            <w:tcW w:w="1023" w:type="dxa"/>
          </w:tcPr>
          <w:p>
            <w:pPr>
              <w:pStyle w:val="TableParagraph"/>
              <w:spacing w:before="16"/>
              <w:ind w:left="166" w:right="84"/>
              <w:jc w:val="center"/>
              <w:rPr>
                <w:sz w:val="15"/>
              </w:rPr>
            </w:pPr>
            <w:r>
              <w:rPr>
                <w:sz w:val="15"/>
              </w:rPr>
              <w:t>7100-7199</w:t>
            </w:r>
          </w:p>
        </w:tc>
        <w:tc>
          <w:tcPr>
            <w:tcW w:w="926" w:type="dxa"/>
          </w:tcPr>
          <w:p>
            <w:pPr>
              <w:pStyle w:val="TableParagraph"/>
              <w:spacing w:before="16"/>
              <w:ind w:left="86" w:right="66"/>
              <w:jc w:val="center"/>
              <w:rPr>
                <w:sz w:val="15"/>
              </w:rPr>
            </w:pPr>
            <w:r>
              <w:rPr>
                <w:sz w:val="15"/>
              </w:rPr>
              <w:t>5000-5999</w:t>
            </w:r>
          </w:p>
        </w:tc>
        <w:tc>
          <w:tcPr>
            <w:tcW w:w="1347" w:type="dxa"/>
          </w:tcPr>
          <w:p>
            <w:pPr>
              <w:pStyle w:val="TableParagraph"/>
              <w:spacing w:before="16"/>
              <w:ind w:left="57" w:right="435"/>
              <w:jc w:val="center"/>
              <w:rPr>
                <w:sz w:val="15"/>
              </w:rPr>
            </w:pPr>
            <w:r>
              <w:rPr>
                <w:sz w:val="15"/>
              </w:rPr>
              <w:t>6000-6999</w:t>
            </w:r>
          </w:p>
        </w:tc>
        <w:tc>
          <w:tcPr>
            <w:tcW w:w="1432" w:type="dxa"/>
          </w:tcPr>
          <w:p>
            <w:pPr>
              <w:pStyle w:val="TableParagraph"/>
              <w:spacing w:line="188" w:lineRule="exact"/>
              <w:ind w:right="52"/>
              <w:jc w:val="right"/>
              <w:rPr>
                <w:sz w:val="18"/>
              </w:rPr>
            </w:pPr>
            <w:r>
              <w:rPr>
                <w:sz w:val="18"/>
              </w:rPr>
              <w:t>136,000.00</w:t>
            </w:r>
          </w:p>
        </w:tc>
      </w:tr>
      <w:tr>
        <w:trPr>
          <w:trHeight w:val="218" w:hRule="atLeast"/>
        </w:trPr>
        <w:tc>
          <w:tcPr>
            <w:tcW w:w="304" w:type="dxa"/>
          </w:tcPr>
          <w:p>
            <w:pPr>
              <w:pStyle w:val="TableParagraph"/>
              <w:rPr>
                <w:rFonts w:ascii="Times New Roman"/>
                <w:sz w:val="14"/>
              </w:rPr>
            </w:pPr>
          </w:p>
        </w:tc>
        <w:tc>
          <w:tcPr>
            <w:tcW w:w="4956" w:type="dxa"/>
          </w:tcPr>
          <w:p>
            <w:pPr>
              <w:pStyle w:val="TableParagraph"/>
              <w:rPr>
                <w:rFonts w:ascii="Times New Roman"/>
                <w:sz w:val="14"/>
              </w:rPr>
            </w:pPr>
          </w:p>
        </w:tc>
        <w:tc>
          <w:tcPr>
            <w:tcW w:w="1023" w:type="dxa"/>
          </w:tcPr>
          <w:p>
            <w:pPr>
              <w:pStyle w:val="TableParagraph"/>
              <w:rPr>
                <w:rFonts w:ascii="Times New Roman"/>
                <w:sz w:val="14"/>
              </w:rPr>
            </w:pPr>
          </w:p>
        </w:tc>
        <w:tc>
          <w:tcPr>
            <w:tcW w:w="926" w:type="dxa"/>
          </w:tcPr>
          <w:p>
            <w:pPr>
              <w:pStyle w:val="TableParagraph"/>
              <w:rPr>
                <w:rFonts w:ascii="Times New Roman"/>
                <w:sz w:val="14"/>
              </w:rPr>
            </w:pPr>
          </w:p>
        </w:tc>
        <w:tc>
          <w:tcPr>
            <w:tcW w:w="1347" w:type="dxa"/>
          </w:tcPr>
          <w:p>
            <w:pPr>
              <w:pStyle w:val="TableParagraph"/>
              <w:spacing w:line="154" w:lineRule="exact" w:before="44"/>
              <w:ind w:left="70" w:right="435"/>
              <w:jc w:val="center"/>
              <w:rPr>
                <w:sz w:val="15"/>
              </w:rPr>
            </w:pPr>
            <w:r>
              <w:rPr>
                <w:sz w:val="15"/>
              </w:rPr>
              <w:t>5400-5450,</w:t>
            </w:r>
          </w:p>
        </w:tc>
        <w:tc>
          <w:tcPr>
            <w:tcW w:w="1432" w:type="dxa"/>
          </w:tcPr>
          <w:p>
            <w:pPr>
              <w:pStyle w:val="TableParagraph"/>
              <w:rPr>
                <w:rFonts w:ascii="Times New Roman"/>
                <w:sz w:val="14"/>
              </w:rPr>
            </w:pPr>
          </w:p>
        </w:tc>
      </w:tr>
      <w:tr>
        <w:trPr>
          <w:trHeight w:val="131" w:hRule="atLeast"/>
        </w:trPr>
        <w:tc>
          <w:tcPr>
            <w:tcW w:w="304" w:type="dxa"/>
          </w:tcPr>
          <w:p>
            <w:pPr>
              <w:pStyle w:val="TableParagraph"/>
              <w:rPr>
                <w:rFonts w:ascii="Times New Roman"/>
                <w:sz w:val="6"/>
              </w:rPr>
            </w:pPr>
          </w:p>
        </w:tc>
        <w:tc>
          <w:tcPr>
            <w:tcW w:w="4956" w:type="dxa"/>
          </w:tcPr>
          <w:p>
            <w:pPr>
              <w:pStyle w:val="TableParagraph"/>
              <w:rPr>
                <w:rFonts w:ascii="Times New Roman"/>
                <w:sz w:val="6"/>
              </w:rPr>
            </w:pPr>
          </w:p>
        </w:tc>
        <w:tc>
          <w:tcPr>
            <w:tcW w:w="1023" w:type="dxa"/>
          </w:tcPr>
          <w:p>
            <w:pPr>
              <w:pStyle w:val="TableParagraph"/>
              <w:rPr>
                <w:rFonts w:ascii="Times New Roman"/>
                <w:sz w:val="6"/>
              </w:rPr>
            </w:pPr>
          </w:p>
        </w:tc>
        <w:tc>
          <w:tcPr>
            <w:tcW w:w="926" w:type="dxa"/>
          </w:tcPr>
          <w:p>
            <w:pPr>
              <w:pStyle w:val="TableParagraph"/>
              <w:rPr>
                <w:rFonts w:ascii="Times New Roman"/>
                <w:sz w:val="6"/>
              </w:rPr>
            </w:pPr>
          </w:p>
        </w:tc>
        <w:tc>
          <w:tcPr>
            <w:tcW w:w="1347" w:type="dxa"/>
          </w:tcPr>
          <w:p>
            <w:pPr>
              <w:pStyle w:val="TableParagraph"/>
              <w:spacing w:line="112" w:lineRule="exact"/>
              <w:ind w:left="71" w:right="435"/>
              <w:jc w:val="center"/>
              <w:rPr>
                <w:sz w:val="15"/>
              </w:rPr>
            </w:pPr>
            <w:r>
              <w:rPr>
                <w:sz w:val="15"/>
              </w:rPr>
              <w:t>5800, 7430-</w:t>
            </w:r>
          </w:p>
        </w:tc>
        <w:tc>
          <w:tcPr>
            <w:tcW w:w="1432" w:type="dxa"/>
          </w:tcPr>
          <w:p>
            <w:pPr>
              <w:pStyle w:val="TableParagraph"/>
              <w:rPr>
                <w:rFonts w:ascii="Times New Roman"/>
                <w:sz w:val="6"/>
              </w:rPr>
            </w:pPr>
          </w:p>
        </w:tc>
      </w:tr>
      <w:tr>
        <w:trPr>
          <w:trHeight w:val="344" w:hRule="atLeast"/>
        </w:trPr>
        <w:tc>
          <w:tcPr>
            <w:tcW w:w="5260" w:type="dxa"/>
            <w:gridSpan w:val="2"/>
          </w:tcPr>
          <w:p>
            <w:pPr>
              <w:pStyle w:val="TableParagraph"/>
              <w:ind w:left="50"/>
              <w:rPr>
                <w:sz w:val="18"/>
              </w:rPr>
            </w:pPr>
            <w:r>
              <w:rPr>
                <w:w w:val="105"/>
                <w:sz w:val="18"/>
              </w:rPr>
              <w:t>3. Debt Service</w:t>
            </w:r>
          </w:p>
        </w:tc>
        <w:tc>
          <w:tcPr>
            <w:tcW w:w="1023" w:type="dxa"/>
          </w:tcPr>
          <w:p>
            <w:pPr>
              <w:pStyle w:val="TableParagraph"/>
              <w:spacing w:before="35"/>
              <w:ind w:left="166" w:right="99"/>
              <w:jc w:val="center"/>
              <w:rPr>
                <w:sz w:val="15"/>
              </w:rPr>
            </w:pPr>
            <w:r>
              <w:rPr>
                <w:sz w:val="15"/>
              </w:rPr>
              <w:t>All</w:t>
            </w:r>
          </w:p>
        </w:tc>
        <w:tc>
          <w:tcPr>
            <w:tcW w:w="926" w:type="dxa"/>
          </w:tcPr>
          <w:p>
            <w:pPr>
              <w:pStyle w:val="TableParagraph"/>
              <w:spacing w:before="35"/>
              <w:ind w:left="78" w:right="74"/>
              <w:jc w:val="center"/>
              <w:rPr>
                <w:sz w:val="15"/>
              </w:rPr>
            </w:pPr>
            <w:r>
              <w:rPr>
                <w:sz w:val="15"/>
              </w:rPr>
              <w:t>9100</w:t>
            </w:r>
          </w:p>
        </w:tc>
        <w:tc>
          <w:tcPr>
            <w:tcW w:w="1347" w:type="dxa"/>
          </w:tcPr>
          <w:p>
            <w:pPr>
              <w:pStyle w:val="TableParagraph"/>
              <w:spacing w:before="35"/>
              <w:ind w:left="71" w:right="431"/>
              <w:jc w:val="center"/>
              <w:rPr>
                <w:sz w:val="15"/>
              </w:rPr>
            </w:pPr>
            <w:r>
              <w:rPr>
                <w:sz w:val="15"/>
              </w:rPr>
              <w:t>7439</w:t>
            </w:r>
          </w:p>
        </w:tc>
        <w:tc>
          <w:tcPr>
            <w:tcW w:w="1432" w:type="dxa"/>
          </w:tcPr>
          <w:p>
            <w:pPr>
              <w:pStyle w:val="TableParagraph"/>
              <w:ind w:right="52"/>
              <w:jc w:val="right"/>
              <w:rPr>
                <w:sz w:val="18"/>
              </w:rPr>
            </w:pPr>
            <w:r>
              <w:rPr>
                <w:sz w:val="18"/>
              </w:rPr>
              <w:t>0.00</w:t>
            </w:r>
          </w:p>
        </w:tc>
      </w:tr>
      <w:tr>
        <w:trPr>
          <w:trHeight w:val="480" w:hRule="atLeast"/>
        </w:trPr>
        <w:tc>
          <w:tcPr>
            <w:tcW w:w="5260" w:type="dxa"/>
            <w:gridSpan w:val="2"/>
          </w:tcPr>
          <w:p>
            <w:pPr>
              <w:pStyle w:val="TableParagraph"/>
              <w:spacing w:before="136"/>
              <w:ind w:left="50"/>
              <w:rPr>
                <w:sz w:val="18"/>
              </w:rPr>
            </w:pPr>
            <w:r>
              <w:rPr>
                <w:w w:val="105"/>
                <w:sz w:val="18"/>
              </w:rPr>
              <w:t>4. Other Transfers Out</w:t>
            </w:r>
          </w:p>
        </w:tc>
        <w:tc>
          <w:tcPr>
            <w:tcW w:w="1023" w:type="dxa"/>
          </w:tcPr>
          <w:p>
            <w:pPr>
              <w:pStyle w:val="TableParagraph"/>
              <w:spacing w:before="10"/>
              <w:rPr>
                <w:sz w:val="14"/>
              </w:rPr>
            </w:pPr>
          </w:p>
          <w:p>
            <w:pPr>
              <w:pStyle w:val="TableParagraph"/>
              <w:ind w:left="166" w:right="99"/>
              <w:jc w:val="center"/>
              <w:rPr>
                <w:sz w:val="15"/>
              </w:rPr>
            </w:pPr>
            <w:r>
              <w:rPr>
                <w:sz w:val="15"/>
              </w:rPr>
              <w:t>All</w:t>
            </w:r>
          </w:p>
        </w:tc>
        <w:tc>
          <w:tcPr>
            <w:tcW w:w="926" w:type="dxa"/>
          </w:tcPr>
          <w:p>
            <w:pPr>
              <w:pStyle w:val="TableParagraph"/>
              <w:spacing w:before="10"/>
              <w:rPr>
                <w:sz w:val="14"/>
              </w:rPr>
            </w:pPr>
          </w:p>
          <w:p>
            <w:pPr>
              <w:pStyle w:val="TableParagraph"/>
              <w:ind w:left="78" w:right="74"/>
              <w:jc w:val="center"/>
              <w:rPr>
                <w:sz w:val="15"/>
              </w:rPr>
            </w:pPr>
            <w:r>
              <w:rPr>
                <w:sz w:val="15"/>
              </w:rPr>
              <w:t>9200</w:t>
            </w:r>
          </w:p>
        </w:tc>
        <w:tc>
          <w:tcPr>
            <w:tcW w:w="1347" w:type="dxa"/>
          </w:tcPr>
          <w:p>
            <w:pPr>
              <w:pStyle w:val="TableParagraph"/>
              <w:spacing w:before="10"/>
              <w:rPr>
                <w:sz w:val="14"/>
              </w:rPr>
            </w:pPr>
          </w:p>
          <w:p>
            <w:pPr>
              <w:pStyle w:val="TableParagraph"/>
              <w:ind w:left="57" w:right="435"/>
              <w:jc w:val="center"/>
              <w:rPr>
                <w:sz w:val="15"/>
              </w:rPr>
            </w:pPr>
            <w:r>
              <w:rPr>
                <w:sz w:val="15"/>
              </w:rPr>
              <w:t>7200-7299</w:t>
            </w:r>
          </w:p>
        </w:tc>
        <w:tc>
          <w:tcPr>
            <w:tcW w:w="1432" w:type="dxa"/>
          </w:tcPr>
          <w:p>
            <w:pPr>
              <w:pStyle w:val="TableParagraph"/>
              <w:spacing w:before="136"/>
              <w:ind w:right="52"/>
              <w:jc w:val="right"/>
              <w:rPr>
                <w:sz w:val="18"/>
              </w:rPr>
            </w:pPr>
            <w:r>
              <w:rPr>
                <w:sz w:val="18"/>
              </w:rPr>
              <w:t>0.00</w:t>
            </w:r>
          </w:p>
        </w:tc>
      </w:tr>
      <w:tr>
        <w:trPr>
          <w:trHeight w:val="414" w:hRule="atLeast"/>
        </w:trPr>
        <w:tc>
          <w:tcPr>
            <w:tcW w:w="5260" w:type="dxa"/>
            <w:gridSpan w:val="2"/>
          </w:tcPr>
          <w:p>
            <w:pPr>
              <w:pStyle w:val="TableParagraph"/>
              <w:spacing w:before="136"/>
              <w:ind w:left="50"/>
              <w:rPr>
                <w:sz w:val="18"/>
              </w:rPr>
            </w:pPr>
            <w:r>
              <w:rPr>
                <w:w w:val="105"/>
                <w:sz w:val="18"/>
              </w:rPr>
              <w:t>5. Interfund Transfers Out</w:t>
            </w:r>
          </w:p>
        </w:tc>
        <w:tc>
          <w:tcPr>
            <w:tcW w:w="1023" w:type="dxa"/>
          </w:tcPr>
          <w:p>
            <w:pPr>
              <w:pStyle w:val="TableParagraph"/>
              <w:spacing w:before="10"/>
              <w:rPr>
                <w:sz w:val="14"/>
              </w:rPr>
            </w:pPr>
          </w:p>
          <w:p>
            <w:pPr>
              <w:pStyle w:val="TableParagraph"/>
              <w:ind w:left="166" w:right="99"/>
              <w:jc w:val="center"/>
              <w:rPr>
                <w:sz w:val="15"/>
              </w:rPr>
            </w:pPr>
            <w:r>
              <w:rPr>
                <w:sz w:val="15"/>
              </w:rPr>
              <w:t>All</w:t>
            </w:r>
          </w:p>
        </w:tc>
        <w:tc>
          <w:tcPr>
            <w:tcW w:w="926" w:type="dxa"/>
          </w:tcPr>
          <w:p>
            <w:pPr>
              <w:pStyle w:val="TableParagraph"/>
              <w:spacing w:before="10"/>
              <w:rPr>
                <w:sz w:val="14"/>
              </w:rPr>
            </w:pPr>
          </w:p>
          <w:p>
            <w:pPr>
              <w:pStyle w:val="TableParagraph"/>
              <w:ind w:left="78" w:right="74"/>
              <w:jc w:val="center"/>
              <w:rPr>
                <w:sz w:val="15"/>
              </w:rPr>
            </w:pPr>
            <w:r>
              <w:rPr>
                <w:sz w:val="15"/>
              </w:rPr>
              <w:t>9300</w:t>
            </w:r>
          </w:p>
        </w:tc>
        <w:tc>
          <w:tcPr>
            <w:tcW w:w="1347" w:type="dxa"/>
          </w:tcPr>
          <w:p>
            <w:pPr>
              <w:pStyle w:val="TableParagraph"/>
              <w:spacing w:before="10"/>
              <w:rPr>
                <w:sz w:val="14"/>
              </w:rPr>
            </w:pPr>
          </w:p>
          <w:p>
            <w:pPr>
              <w:pStyle w:val="TableParagraph"/>
              <w:ind w:left="57" w:right="435"/>
              <w:jc w:val="center"/>
              <w:rPr>
                <w:sz w:val="15"/>
              </w:rPr>
            </w:pPr>
            <w:r>
              <w:rPr>
                <w:sz w:val="15"/>
              </w:rPr>
              <w:t>7600-7629</w:t>
            </w:r>
          </w:p>
        </w:tc>
        <w:tc>
          <w:tcPr>
            <w:tcW w:w="1432" w:type="dxa"/>
          </w:tcPr>
          <w:p>
            <w:pPr>
              <w:pStyle w:val="TableParagraph"/>
              <w:spacing w:before="136"/>
              <w:ind w:right="52"/>
              <w:jc w:val="right"/>
              <w:rPr>
                <w:sz w:val="18"/>
              </w:rPr>
            </w:pPr>
            <w:r>
              <w:rPr>
                <w:sz w:val="18"/>
              </w:rPr>
              <w:t>0.00</w:t>
            </w:r>
          </w:p>
        </w:tc>
      </w:tr>
      <w:tr>
        <w:trPr>
          <w:trHeight w:val="254" w:hRule="atLeast"/>
        </w:trPr>
        <w:tc>
          <w:tcPr>
            <w:tcW w:w="5260" w:type="dxa"/>
            <w:gridSpan w:val="2"/>
          </w:tcPr>
          <w:p>
            <w:pPr>
              <w:pStyle w:val="TableParagraph"/>
              <w:rPr>
                <w:rFonts w:ascii="Times New Roman"/>
                <w:sz w:val="16"/>
              </w:rPr>
            </w:pPr>
          </w:p>
        </w:tc>
        <w:tc>
          <w:tcPr>
            <w:tcW w:w="1023" w:type="dxa"/>
          </w:tcPr>
          <w:p>
            <w:pPr>
              <w:pStyle w:val="TableParagraph"/>
              <w:rPr>
                <w:rFonts w:ascii="Times New Roman"/>
                <w:sz w:val="16"/>
              </w:rPr>
            </w:pPr>
          </w:p>
        </w:tc>
        <w:tc>
          <w:tcPr>
            <w:tcW w:w="926" w:type="dxa"/>
          </w:tcPr>
          <w:p>
            <w:pPr>
              <w:pStyle w:val="TableParagraph"/>
              <w:spacing w:line="169" w:lineRule="exact" w:before="66"/>
              <w:ind w:left="78" w:right="74"/>
              <w:jc w:val="center"/>
              <w:rPr>
                <w:sz w:val="15"/>
              </w:rPr>
            </w:pPr>
            <w:r>
              <w:rPr>
                <w:sz w:val="15"/>
              </w:rPr>
              <w:t>9100</w:t>
            </w:r>
          </w:p>
        </w:tc>
        <w:tc>
          <w:tcPr>
            <w:tcW w:w="1347" w:type="dxa"/>
          </w:tcPr>
          <w:p>
            <w:pPr>
              <w:pStyle w:val="TableParagraph"/>
              <w:spacing w:line="169" w:lineRule="exact" w:before="66"/>
              <w:ind w:left="55" w:right="435"/>
              <w:jc w:val="center"/>
              <w:rPr>
                <w:sz w:val="15"/>
              </w:rPr>
            </w:pPr>
            <w:r>
              <w:rPr>
                <w:sz w:val="15"/>
              </w:rPr>
              <w:t>7699</w:t>
            </w:r>
          </w:p>
        </w:tc>
        <w:tc>
          <w:tcPr>
            <w:tcW w:w="1432" w:type="dxa"/>
          </w:tcPr>
          <w:p>
            <w:pPr>
              <w:pStyle w:val="TableParagraph"/>
              <w:rPr>
                <w:rFonts w:ascii="Times New Roman"/>
                <w:sz w:val="16"/>
              </w:rPr>
            </w:pPr>
          </w:p>
        </w:tc>
      </w:tr>
      <w:tr>
        <w:trPr>
          <w:trHeight w:val="273" w:hRule="atLeast"/>
        </w:trPr>
        <w:tc>
          <w:tcPr>
            <w:tcW w:w="5260" w:type="dxa"/>
            <w:gridSpan w:val="2"/>
          </w:tcPr>
          <w:p>
            <w:pPr>
              <w:pStyle w:val="TableParagraph"/>
              <w:spacing w:before="16"/>
              <w:ind w:left="50"/>
              <w:rPr>
                <w:sz w:val="18"/>
              </w:rPr>
            </w:pPr>
            <w:r>
              <w:rPr>
                <w:w w:val="105"/>
                <w:sz w:val="18"/>
              </w:rPr>
              <w:t>6. All Other Financing Uses</w:t>
            </w:r>
          </w:p>
        </w:tc>
        <w:tc>
          <w:tcPr>
            <w:tcW w:w="1023" w:type="dxa"/>
          </w:tcPr>
          <w:p>
            <w:pPr>
              <w:pStyle w:val="TableParagraph"/>
              <w:spacing w:before="51"/>
              <w:ind w:left="166" w:right="99"/>
              <w:jc w:val="center"/>
              <w:rPr>
                <w:sz w:val="15"/>
              </w:rPr>
            </w:pPr>
            <w:r>
              <w:rPr>
                <w:sz w:val="15"/>
              </w:rPr>
              <w:t>All</w:t>
            </w:r>
          </w:p>
        </w:tc>
        <w:tc>
          <w:tcPr>
            <w:tcW w:w="926" w:type="dxa"/>
          </w:tcPr>
          <w:p>
            <w:pPr>
              <w:pStyle w:val="TableParagraph"/>
              <w:spacing w:before="51"/>
              <w:ind w:left="78" w:right="74"/>
              <w:jc w:val="center"/>
              <w:rPr>
                <w:sz w:val="15"/>
              </w:rPr>
            </w:pPr>
            <w:r>
              <w:rPr>
                <w:sz w:val="15"/>
              </w:rPr>
              <w:t>9200</w:t>
            </w:r>
          </w:p>
        </w:tc>
        <w:tc>
          <w:tcPr>
            <w:tcW w:w="1347" w:type="dxa"/>
          </w:tcPr>
          <w:p>
            <w:pPr>
              <w:pStyle w:val="TableParagraph"/>
              <w:spacing w:before="51"/>
              <w:ind w:left="55" w:right="435"/>
              <w:jc w:val="center"/>
              <w:rPr>
                <w:sz w:val="15"/>
              </w:rPr>
            </w:pPr>
            <w:r>
              <w:rPr>
                <w:sz w:val="15"/>
              </w:rPr>
              <w:t>7651</w:t>
            </w:r>
          </w:p>
        </w:tc>
        <w:tc>
          <w:tcPr>
            <w:tcW w:w="1432" w:type="dxa"/>
          </w:tcPr>
          <w:p>
            <w:pPr>
              <w:pStyle w:val="TableParagraph"/>
              <w:spacing w:before="16"/>
              <w:ind w:right="52"/>
              <w:jc w:val="right"/>
              <w:rPr>
                <w:sz w:val="18"/>
              </w:rPr>
            </w:pPr>
            <w:r>
              <w:rPr>
                <w:sz w:val="18"/>
              </w:rPr>
              <w:t>0.00</w:t>
            </w:r>
          </w:p>
        </w:tc>
      </w:tr>
      <w:tr>
        <w:trPr>
          <w:trHeight w:val="217" w:hRule="atLeast"/>
        </w:trPr>
        <w:tc>
          <w:tcPr>
            <w:tcW w:w="5260" w:type="dxa"/>
            <w:gridSpan w:val="2"/>
          </w:tcPr>
          <w:p>
            <w:pPr>
              <w:pStyle w:val="TableParagraph"/>
              <w:rPr>
                <w:rFonts w:ascii="Times New Roman"/>
                <w:sz w:val="14"/>
              </w:rPr>
            </w:pPr>
          </w:p>
        </w:tc>
        <w:tc>
          <w:tcPr>
            <w:tcW w:w="1023" w:type="dxa"/>
          </w:tcPr>
          <w:p>
            <w:pPr>
              <w:pStyle w:val="TableParagraph"/>
              <w:rPr>
                <w:rFonts w:ascii="Times New Roman"/>
                <w:sz w:val="14"/>
              </w:rPr>
            </w:pPr>
          </w:p>
        </w:tc>
        <w:tc>
          <w:tcPr>
            <w:tcW w:w="926" w:type="dxa"/>
          </w:tcPr>
          <w:p>
            <w:pPr>
              <w:pStyle w:val="TableParagraph"/>
              <w:spacing w:line="153" w:lineRule="exact" w:before="44"/>
              <w:ind w:left="86" w:right="65"/>
              <w:jc w:val="center"/>
              <w:rPr>
                <w:sz w:val="15"/>
              </w:rPr>
            </w:pPr>
            <w:r>
              <w:rPr>
                <w:sz w:val="15"/>
              </w:rPr>
              <w:t>All except</w:t>
            </w:r>
          </w:p>
        </w:tc>
        <w:tc>
          <w:tcPr>
            <w:tcW w:w="1347" w:type="dxa"/>
          </w:tcPr>
          <w:p>
            <w:pPr>
              <w:pStyle w:val="TableParagraph"/>
              <w:rPr>
                <w:rFonts w:ascii="Times New Roman"/>
                <w:sz w:val="14"/>
              </w:rPr>
            </w:pPr>
          </w:p>
        </w:tc>
        <w:tc>
          <w:tcPr>
            <w:tcW w:w="1432" w:type="dxa"/>
          </w:tcPr>
          <w:p>
            <w:pPr>
              <w:pStyle w:val="TableParagraph"/>
              <w:rPr>
                <w:rFonts w:ascii="Times New Roman"/>
                <w:sz w:val="14"/>
              </w:rPr>
            </w:pPr>
          </w:p>
        </w:tc>
      </w:tr>
      <w:tr>
        <w:trPr>
          <w:trHeight w:val="377" w:hRule="atLeast"/>
        </w:trPr>
        <w:tc>
          <w:tcPr>
            <w:tcW w:w="5260" w:type="dxa"/>
            <w:gridSpan w:val="2"/>
          </w:tcPr>
          <w:p>
            <w:pPr>
              <w:pStyle w:val="TableParagraph"/>
              <w:spacing w:before="132"/>
              <w:ind w:left="50"/>
              <w:rPr>
                <w:sz w:val="18"/>
              </w:rPr>
            </w:pPr>
            <w:r>
              <w:rPr>
                <w:w w:val="105"/>
                <w:sz w:val="18"/>
              </w:rPr>
              <w:t>7. Nonagency</w:t>
            </w:r>
          </w:p>
        </w:tc>
        <w:tc>
          <w:tcPr>
            <w:tcW w:w="1023" w:type="dxa"/>
          </w:tcPr>
          <w:p>
            <w:pPr>
              <w:pStyle w:val="TableParagraph"/>
              <w:spacing w:before="7"/>
              <w:rPr>
                <w:sz w:val="14"/>
              </w:rPr>
            </w:pPr>
          </w:p>
          <w:p>
            <w:pPr>
              <w:pStyle w:val="TableParagraph"/>
              <w:ind w:left="159" w:right="91"/>
              <w:jc w:val="center"/>
              <w:rPr>
                <w:sz w:val="15"/>
              </w:rPr>
            </w:pPr>
            <w:r>
              <w:rPr>
                <w:sz w:val="15"/>
              </w:rPr>
              <w:t>7100-7199</w:t>
            </w:r>
          </w:p>
        </w:tc>
        <w:tc>
          <w:tcPr>
            <w:tcW w:w="926" w:type="dxa"/>
          </w:tcPr>
          <w:p>
            <w:pPr>
              <w:pStyle w:val="TableParagraph"/>
              <w:spacing w:line="169" w:lineRule="exact"/>
              <w:ind w:left="90"/>
              <w:rPr>
                <w:sz w:val="15"/>
              </w:rPr>
            </w:pPr>
            <w:r>
              <w:rPr>
                <w:sz w:val="15"/>
              </w:rPr>
              <w:t>5000-5999,</w:t>
            </w:r>
          </w:p>
          <w:p>
            <w:pPr>
              <w:pStyle w:val="TableParagraph"/>
              <w:spacing w:line="171" w:lineRule="exact"/>
              <w:ind w:left="112"/>
              <w:rPr>
                <w:sz w:val="15"/>
              </w:rPr>
            </w:pPr>
            <w:r>
              <w:rPr>
                <w:sz w:val="15"/>
              </w:rPr>
              <w:t>9000-9999</w:t>
            </w:r>
          </w:p>
        </w:tc>
        <w:tc>
          <w:tcPr>
            <w:tcW w:w="1347" w:type="dxa"/>
          </w:tcPr>
          <w:p>
            <w:pPr>
              <w:pStyle w:val="TableParagraph"/>
              <w:spacing w:before="7"/>
              <w:rPr>
                <w:sz w:val="14"/>
              </w:rPr>
            </w:pPr>
          </w:p>
          <w:p>
            <w:pPr>
              <w:pStyle w:val="TableParagraph"/>
              <w:ind w:left="57" w:right="435"/>
              <w:jc w:val="center"/>
              <w:rPr>
                <w:sz w:val="15"/>
              </w:rPr>
            </w:pPr>
            <w:r>
              <w:rPr>
                <w:sz w:val="15"/>
              </w:rPr>
              <w:t>1000-7999</w:t>
            </w:r>
          </w:p>
        </w:tc>
        <w:tc>
          <w:tcPr>
            <w:tcW w:w="1432" w:type="dxa"/>
          </w:tcPr>
          <w:p>
            <w:pPr>
              <w:pStyle w:val="TableParagraph"/>
              <w:spacing w:before="132"/>
              <w:ind w:right="52"/>
              <w:jc w:val="right"/>
              <w:rPr>
                <w:sz w:val="18"/>
              </w:rPr>
            </w:pPr>
            <w:r>
              <w:rPr>
                <w:sz w:val="18"/>
              </w:rPr>
              <w:t>0.00</w:t>
            </w:r>
          </w:p>
        </w:tc>
      </w:tr>
      <w:tr>
        <w:trPr>
          <w:trHeight w:val="244" w:hRule="atLeast"/>
        </w:trPr>
        <w:tc>
          <w:tcPr>
            <w:tcW w:w="5260" w:type="dxa"/>
            <w:gridSpan w:val="2"/>
          </w:tcPr>
          <w:p>
            <w:pPr>
              <w:pStyle w:val="TableParagraph"/>
              <w:spacing w:line="188" w:lineRule="exact" w:before="36"/>
              <w:ind w:left="50"/>
              <w:rPr>
                <w:sz w:val="18"/>
              </w:rPr>
            </w:pPr>
            <w:r>
              <w:rPr>
                <w:w w:val="105"/>
                <w:sz w:val="18"/>
              </w:rPr>
              <w:t>8. Tuition (Revenue, in lieu of expenditures, to approximate</w:t>
            </w:r>
          </w:p>
        </w:tc>
        <w:tc>
          <w:tcPr>
            <w:tcW w:w="1023" w:type="dxa"/>
          </w:tcPr>
          <w:p>
            <w:pPr>
              <w:pStyle w:val="TableParagraph"/>
              <w:rPr>
                <w:rFonts w:ascii="Times New Roman"/>
                <w:sz w:val="16"/>
              </w:rPr>
            </w:pPr>
          </w:p>
        </w:tc>
        <w:tc>
          <w:tcPr>
            <w:tcW w:w="926" w:type="dxa"/>
          </w:tcPr>
          <w:p>
            <w:pPr>
              <w:pStyle w:val="TableParagraph"/>
              <w:rPr>
                <w:rFonts w:ascii="Times New Roman"/>
                <w:sz w:val="16"/>
              </w:rPr>
            </w:pPr>
          </w:p>
        </w:tc>
        <w:tc>
          <w:tcPr>
            <w:tcW w:w="1347" w:type="dxa"/>
          </w:tcPr>
          <w:p>
            <w:pPr>
              <w:pStyle w:val="TableParagraph"/>
              <w:rPr>
                <w:rFonts w:ascii="Times New Roman"/>
                <w:sz w:val="16"/>
              </w:rPr>
            </w:pPr>
          </w:p>
        </w:tc>
        <w:tc>
          <w:tcPr>
            <w:tcW w:w="1432" w:type="dxa"/>
          </w:tcPr>
          <w:p>
            <w:pPr>
              <w:pStyle w:val="TableParagraph"/>
              <w:rPr>
                <w:rFonts w:ascii="Times New Roman"/>
                <w:sz w:val="16"/>
              </w:rPr>
            </w:pPr>
          </w:p>
        </w:tc>
      </w:tr>
      <w:tr>
        <w:trPr>
          <w:trHeight w:val="240" w:hRule="atLeast"/>
        </w:trPr>
        <w:tc>
          <w:tcPr>
            <w:tcW w:w="5260" w:type="dxa"/>
            <w:gridSpan w:val="2"/>
          </w:tcPr>
          <w:p>
            <w:pPr>
              <w:pStyle w:val="TableParagraph"/>
              <w:ind w:left="402"/>
              <w:rPr>
                <w:sz w:val="18"/>
              </w:rPr>
            </w:pPr>
            <w:r>
              <w:rPr>
                <w:w w:val="105"/>
                <w:sz w:val="18"/>
              </w:rPr>
              <w:t>costs of services for which tuition is received)</w:t>
            </w:r>
          </w:p>
        </w:tc>
        <w:tc>
          <w:tcPr>
            <w:tcW w:w="1023" w:type="dxa"/>
          </w:tcPr>
          <w:p>
            <w:pPr>
              <w:pStyle w:val="TableParagraph"/>
              <w:rPr>
                <w:rFonts w:ascii="Times New Roman"/>
                <w:sz w:val="16"/>
              </w:rPr>
            </w:pPr>
          </w:p>
        </w:tc>
        <w:tc>
          <w:tcPr>
            <w:tcW w:w="926" w:type="dxa"/>
          </w:tcPr>
          <w:p>
            <w:pPr>
              <w:pStyle w:val="TableParagraph"/>
              <w:rPr>
                <w:rFonts w:ascii="Times New Roman"/>
                <w:sz w:val="16"/>
              </w:rPr>
            </w:pPr>
          </w:p>
        </w:tc>
        <w:tc>
          <w:tcPr>
            <w:tcW w:w="1347" w:type="dxa"/>
          </w:tcPr>
          <w:p>
            <w:pPr>
              <w:pStyle w:val="TableParagraph"/>
              <w:rPr>
                <w:rFonts w:ascii="Times New Roman"/>
                <w:sz w:val="16"/>
              </w:rPr>
            </w:pPr>
          </w:p>
        </w:tc>
        <w:tc>
          <w:tcPr>
            <w:tcW w:w="1432" w:type="dxa"/>
          </w:tcPr>
          <w:p>
            <w:pPr>
              <w:pStyle w:val="TableParagraph"/>
              <w:rPr>
                <w:rFonts w:ascii="Times New Roman"/>
                <w:sz w:val="16"/>
              </w:rPr>
            </w:pPr>
          </w:p>
        </w:tc>
      </w:tr>
      <w:tr>
        <w:trPr>
          <w:trHeight w:val="239" w:hRule="atLeast"/>
        </w:trPr>
        <w:tc>
          <w:tcPr>
            <w:tcW w:w="5260" w:type="dxa"/>
            <w:gridSpan w:val="2"/>
          </w:tcPr>
          <w:p>
            <w:pPr>
              <w:pStyle w:val="TableParagraph"/>
              <w:rPr>
                <w:rFonts w:ascii="Times New Roman"/>
                <w:sz w:val="16"/>
              </w:rPr>
            </w:pPr>
          </w:p>
        </w:tc>
        <w:tc>
          <w:tcPr>
            <w:tcW w:w="1023" w:type="dxa"/>
          </w:tcPr>
          <w:p>
            <w:pPr>
              <w:pStyle w:val="TableParagraph"/>
              <w:spacing w:line="153" w:lineRule="exact" w:before="67"/>
              <w:ind w:left="166" w:right="99"/>
              <w:jc w:val="center"/>
              <w:rPr>
                <w:sz w:val="15"/>
              </w:rPr>
            </w:pPr>
            <w:r>
              <w:rPr>
                <w:sz w:val="15"/>
              </w:rPr>
              <w:t>All</w:t>
            </w:r>
          </w:p>
        </w:tc>
        <w:tc>
          <w:tcPr>
            <w:tcW w:w="926" w:type="dxa"/>
          </w:tcPr>
          <w:p>
            <w:pPr>
              <w:pStyle w:val="TableParagraph"/>
              <w:spacing w:line="153" w:lineRule="exact" w:before="67"/>
              <w:ind w:left="78" w:right="74"/>
              <w:jc w:val="center"/>
              <w:rPr>
                <w:sz w:val="15"/>
              </w:rPr>
            </w:pPr>
            <w:r>
              <w:rPr>
                <w:sz w:val="15"/>
              </w:rPr>
              <w:t>All</w:t>
            </w:r>
          </w:p>
        </w:tc>
        <w:tc>
          <w:tcPr>
            <w:tcW w:w="1347" w:type="dxa"/>
          </w:tcPr>
          <w:p>
            <w:pPr>
              <w:pStyle w:val="TableParagraph"/>
              <w:spacing w:line="153" w:lineRule="exact" w:before="67"/>
              <w:ind w:left="55" w:right="435"/>
              <w:jc w:val="center"/>
              <w:rPr>
                <w:sz w:val="15"/>
              </w:rPr>
            </w:pPr>
            <w:r>
              <w:rPr>
                <w:sz w:val="15"/>
              </w:rPr>
              <w:t>8710</w:t>
            </w:r>
          </w:p>
        </w:tc>
        <w:tc>
          <w:tcPr>
            <w:tcW w:w="1432" w:type="dxa"/>
          </w:tcPr>
          <w:p>
            <w:pPr>
              <w:pStyle w:val="TableParagraph"/>
              <w:spacing w:line="188" w:lineRule="exact" w:before="31"/>
              <w:ind w:right="52"/>
              <w:jc w:val="right"/>
              <w:rPr>
                <w:sz w:val="18"/>
              </w:rPr>
            </w:pPr>
            <w:r>
              <w:rPr>
                <w:sz w:val="18"/>
              </w:rPr>
              <w:t>0.00</w:t>
            </w:r>
          </w:p>
        </w:tc>
      </w:tr>
    </w:tbl>
    <w:p>
      <w:pPr>
        <w:pStyle w:val="BodyText"/>
        <w:spacing w:before="4"/>
        <w:rPr>
          <w:sz w:val="12"/>
        </w:rPr>
      </w:pPr>
    </w:p>
    <w:p>
      <w:pPr>
        <w:spacing w:after="0"/>
        <w:rPr>
          <w:sz w:val="12"/>
        </w:rPr>
        <w:sectPr>
          <w:type w:val="continuous"/>
          <w:pgSz w:w="12240" w:h="15840"/>
          <w:pgMar w:top="1500" w:bottom="840" w:left="40" w:right="40"/>
        </w:sectPr>
      </w:pPr>
    </w:p>
    <w:p>
      <w:pPr>
        <w:pStyle w:val="ListParagraph"/>
        <w:numPr>
          <w:ilvl w:val="1"/>
          <w:numId w:val="53"/>
        </w:numPr>
        <w:tabs>
          <w:tab w:pos="1422" w:val="left" w:leader="none"/>
        </w:tabs>
        <w:spacing w:line="240" w:lineRule="auto" w:before="100" w:after="0"/>
        <w:ind w:left="1421" w:right="0" w:hanging="353"/>
        <w:jc w:val="left"/>
        <w:rPr>
          <w:sz w:val="18"/>
        </w:rPr>
      </w:pPr>
      <w:r>
        <w:rPr>
          <w:w w:val="105"/>
          <w:sz w:val="18"/>
        </w:rPr>
        <w:t>Supplemental</w:t>
      </w:r>
      <w:r>
        <w:rPr>
          <w:spacing w:val="-11"/>
          <w:w w:val="105"/>
          <w:sz w:val="18"/>
        </w:rPr>
        <w:t> </w:t>
      </w:r>
      <w:r>
        <w:rPr>
          <w:w w:val="105"/>
          <w:sz w:val="18"/>
        </w:rPr>
        <w:t>expenditures</w:t>
      </w:r>
      <w:r>
        <w:rPr>
          <w:spacing w:val="-11"/>
          <w:w w:val="105"/>
          <w:sz w:val="18"/>
        </w:rPr>
        <w:t> </w:t>
      </w:r>
      <w:r>
        <w:rPr>
          <w:w w:val="105"/>
          <w:sz w:val="18"/>
        </w:rPr>
        <w:t>made</w:t>
      </w:r>
      <w:r>
        <w:rPr>
          <w:spacing w:val="-11"/>
          <w:w w:val="105"/>
          <w:sz w:val="18"/>
        </w:rPr>
        <w:t> </w:t>
      </w:r>
      <w:r>
        <w:rPr>
          <w:w w:val="105"/>
          <w:sz w:val="18"/>
        </w:rPr>
        <w:t>as</w:t>
      </w:r>
      <w:r>
        <w:rPr>
          <w:spacing w:val="-11"/>
          <w:w w:val="105"/>
          <w:sz w:val="18"/>
        </w:rPr>
        <w:t> </w:t>
      </w:r>
      <w:r>
        <w:rPr>
          <w:w w:val="105"/>
          <w:sz w:val="18"/>
        </w:rPr>
        <w:t>a</w:t>
      </w:r>
      <w:r>
        <w:rPr>
          <w:spacing w:val="-11"/>
          <w:w w:val="105"/>
          <w:sz w:val="18"/>
        </w:rPr>
        <w:t> </w:t>
      </w:r>
      <w:r>
        <w:rPr>
          <w:w w:val="105"/>
          <w:sz w:val="18"/>
        </w:rPr>
        <w:t>result</w:t>
      </w:r>
      <w:r>
        <w:rPr>
          <w:spacing w:val="-11"/>
          <w:w w:val="105"/>
          <w:sz w:val="18"/>
        </w:rPr>
        <w:t> </w:t>
      </w:r>
      <w:r>
        <w:rPr>
          <w:w w:val="105"/>
          <w:sz w:val="18"/>
        </w:rPr>
        <w:t>of</w:t>
      </w:r>
      <w:r>
        <w:rPr>
          <w:spacing w:val="-8"/>
          <w:w w:val="105"/>
          <w:sz w:val="18"/>
        </w:rPr>
        <w:t> </w:t>
      </w:r>
      <w:r>
        <w:rPr>
          <w:w w:val="105"/>
          <w:sz w:val="18"/>
        </w:rPr>
        <w:t>a Presidentially declared</w:t>
      </w:r>
      <w:r>
        <w:rPr>
          <w:spacing w:val="-8"/>
          <w:w w:val="105"/>
          <w:sz w:val="18"/>
        </w:rPr>
        <w:t> </w:t>
      </w:r>
      <w:r>
        <w:rPr>
          <w:w w:val="105"/>
          <w:sz w:val="18"/>
        </w:rPr>
        <w:t>disaster</w:t>
      </w:r>
    </w:p>
    <w:p>
      <w:pPr>
        <w:pStyle w:val="BodyText"/>
        <w:spacing w:before="8"/>
        <w:rPr>
          <w:sz w:val="16"/>
        </w:rPr>
      </w:pPr>
      <w:r>
        <w:rPr/>
        <w:br w:type="column"/>
      </w:r>
      <w:r>
        <w:rPr>
          <w:sz w:val="16"/>
        </w:rPr>
      </w:r>
    </w:p>
    <w:p>
      <w:pPr>
        <w:pStyle w:val="Heading7"/>
        <w:spacing w:line="237" w:lineRule="auto"/>
        <w:ind w:left="989" w:right="3112" w:firstLine="2"/>
        <w:jc w:val="center"/>
      </w:pPr>
      <w:r>
        <w:rPr/>
        <w:t>Manually entered. Must not include expenditures in lines B, C1-C8, D1, or D2.</w:t>
      </w:r>
    </w:p>
    <w:p>
      <w:pPr>
        <w:spacing w:after="0" w:line="237" w:lineRule="auto"/>
        <w:jc w:val="center"/>
        <w:sectPr>
          <w:type w:val="continuous"/>
          <w:pgSz w:w="12240" w:h="15840"/>
          <w:pgMar w:top="1500" w:bottom="840" w:left="40" w:right="40"/>
          <w:cols w:num="2" w:equalWidth="0">
            <w:col w:w="5474" w:space="40"/>
            <w:col w:w="6646"/>
          </w:cols>
        </w:sectPr>
      </w:pPr>
    </w:p>
    <w:p>
      <w:pPr>
        <w:pStyle w:val="BodyText"/>
        <w:spacing w:before="10"/>
        <w:rPr>
          <w:sz w:val="14"/>
        </w:rPr>
      </w:pPr>
    </w:p>
    <w:p>
      <w:pPr>
        <w:spacing w:after="0"/>
        <w:rPr>
          <w:sz w:val="14"/>
        </w:rPr>
        <w:sectPr>
          <w:type w:val="continuous"/>
          <w:pgSz w:w="12240" w:h="15840"/>
          <w:pgMar w:top="1500" w:bottom="840" w:left="40" w:right="40"/>
        </w:sectPr>
      </w:pPr>
    </w:p>
    <w:p>
      <w:pPr>
        <w:pStyle w:val="ListParagraph"/>
        <w:numPr>
          <w:ilvl w:val="1"/>
          <w:numId w:val="53"/>
        </w:numPr>
        <w:tabs>
          <w:tab w:pos="1422" w:val="left" w:leader="none"/>
        </w:tabs>
        <w:spacing w:line="278" w:lineRule="auto" w:before="101" w:after="0"/>
        <w:ind w:left="1421" w:right="801" w:hanging="353"/>
        <w:jc w:val="left"/>
        <w:rPr>
          <w:sz w:val="18"/>
        </w:rPr>
      </w:pPr>
      <w:r>
        <w:rPr>
          <w:w w:val="105"/>
          <w:sz w:val="18"/>
        </w:rPr>
        <w:t>Total</w:t>
      </w:r>
      <w:r>
        <w:rPr>
          <w:spacing w:val="-12"/>
          <w:w w:val="105"/>
          <w:sz w:val="18"/>
        </w:rPr>
        <w:t> </w:t>
      </w:r>
      <w:r>
        <w:rPr>
          <w:w w:val="105"/>
          <w:sz w:val="18"/>
        </w:rPr>
        <w:t>state</w:t>
      </w:r>
      <w:r>
        <w:rPr>
          <w:spacing w:val="-13"/>
          <w:w w:val="105"/>
          <w:sz w:val="18"/>
        </w:rPr>
        <w:t> </w:t>
      </w:r>
      <w:r>
        <w:rPr>
          <w:w w:val="105"/>
          <w:sz w:val="18"/>
        </w:rPr>
        <w:t>and</w:t>
      </w:r>
      <w:r>
        <w:rPr>
          <w:spacing w:val="-10"/>
          <w:w w:val="105"/>
          <w:sz w:val="18"/>
        </w:rPr>
        <w:t> </w:t>
      </w:r>
      <w:r>
        <w:rPr>
          <w:w w:val="105"/>
          <w:sz w:val="18"/>
        </w:rPr>
        <w:t>local</w:t>
      </w:r>
      <w:r>
        <w:rPr>
          <w:spacing w:val="-12"/>
          <w:w w:val="105"/>
          <w:sz w:val="18"/>
        </w:rPr>
        <w:t> </w:t>
      </w:r>
      <w:r>
        <w:rPr>
          <w:w w:val="105"/>
          <w:sz w:val="18"/>
        </w:rPr>
        <w:t>expenditures</w:t>
      </w:r>
      <w:r>
        <w:rPr>
          <w:spacing w:val="-12"/>
          <w:w w:val="105"/>
          <w:sz w:val="18"/>
        </w:rPr>
        <w:t> </w:t>
      </w:r>
      <w:r>
        <w:rPr>
          <w:w w:val="105"/>
          <w:sz w:val="18"/>
        </w:rPr>
        <w:t>not allowed for MOE</w:t>
      </w:r>
      <w:r>
        <w:rPr>
          <w:spacing w:val="-7"/>
          <w:w w:val="105"/>
          <w:sz w:val="18"/>
        </w:rPr>
        <w:t> </w:t>
      </w:r>
      <w:r>
        <w:rPr>
          <w:w w:val="105"/>
          <w:sz w:val="18"/>
        </w:rPr>
        <w:t>calculation</w:t>
      </w:r>
    </w:p>
    <w:p>
      <w:pPr>
        <w:spacing w:before="0"/>
        <w:ind w:left="1421" w:right="0" w:firstLine="0"/>
        <w:jc w:val="left"/>
        <w:rPr>
          <w:sz w:val="18"/>
        </w:rPr>
      </w:pPr>
      <w:r>
        <w:rPr>
          <w:w w:val="105"/>
          <w:sz w:val="18"/>
        </w:rPr>
        <w:t>(Sum lines C1 through C9)</w:t>
      </w:r>
    </w:p>
    <w:p>
      <w:pPr>
        <w:pStyle w:val="BodyText"/>
        <w:spacing w:before="8"/>
        <w:rPr>
          <w:sz w:val="23"/>
        </w:rPr>
      </w:pPr>
    </w:p>
    <w:p>
      <w:pPr>
        <w:pStyle w:val="ListParagraph"/>
        <w:numPr>
          <w:ilvl w:val="1"/>
          <w:numId w:val="65"/>
        </w:numPr>
        <w:tabs>
          <w:tab w:pos="1069" w:val="left" w:leader="none"/>
        </w:tabs>
        <w:spacing w:line="240" w:lineRule="auto" w:before="0" w:after="0"/>
        <w:ind w:left="1068" w:right="0" w:hanging="267"/>
        <w:jc w:val="left"/>
        <w:rPr>
          <w:sz w:val="18"/>
        </w:rPr>
      </w:pPr>
      <w:r>
        <w:rPr>
          <w:w w:val="105"/>
          <w:sz w:val="18"/>
        </w:rPr>
        <w:t>Plus additional MOE</w:t>
      </w:r>
      <w:r>
        <w:rPr>
          <w:spacing w:val="-7"/>
          <w:w w:val="105"/>
          <w:sz w:val="18"/>
        </w:rPr>
        <w:t> </w:t>
      </w:r>
      <w:r>
        <w:rPr>
          <w:w w:val="105"/>
          <w:sz w:val="18"/>
        </w:rPr>
        <w:t>expenditures:</w:t>
      </w:r>
    </w:p>
    <w:p>
      <w:pPr>
        <w:pStyle w:val="ListParagraph"/>
        <w:numPr>
          <w:ilvl w:val="2"/>
          <w:numId w:val="65"/>
        </w:numPr>
        <w:tabs>
          <w:tab w:pos="1422" w:val="left" w:leader="none"/>
        </w:tabs>
        <w:spacing w:line="240" w:lineRule="auto" w:before="21" w:after="0"/>
        <w:ind w:left="1421" w:right="38" w:hanging="353"/>
        <w:jc w:val="left"/>
        <w:rPr>
          <w:sz w:val="18"/>
        </w:rPr>
      </w:pPr>
      <w:r>
        <w:rPr>
          <w:w w:val="105"/>
          <w:sz w:val="18"/>
        </w:rPr>
        <w:t>Expenditures</w:t>
      </w:r>
      <w:r>
        <w:rPr>
          <w:spacing w:val="-11"/>
          <w:w w:val="105"/>
          <w:sz w:val="18"/>
        </w:rPr>
        <w:t> </w:t>
      </w:r>
      <w:r>
        <w:rPr>
          <w:w w:val="105"/>
          <w:sz w:val="18"/>
        </w:rPr>
        <w:t>to</w:t>
      </w:r>
      <w:r>
        <w:rPr>
          <w:spacing w:val="-12"/>
          <w:w w:val="105"/>
          <w:sz w:val="18"/>
        </w:rPr>
        <w:t> </w:t>
      </w:r>
      <w:r>
        <w:rPr>
          <w:w w:val="105"/>
          <w:sz w:val="18"/>
        </w:rPr>
        <w:t>cover</w:t>
      </w:r>
      <w:r>
        <w:rPr>
          <w:spacing w:val="-10"/>
          <w:w w:val="105"/>
          <w:sz w:val="18"/>
        </w:rPr>
        <w:t> </w:t>
      </w:r>
      <w:r>
        <w:rPr>
          <w:w w:val="105"/>
          <w:sz w:val="18"/>
        </w:rPr>
        <w:t>deficits</w:t>
      </w:r>
      <w:r>
        <w:rPr>
          <w:spacing w:val="-11"/>
          <w:w w:val="105"/>
          <w:sz w:val="18"/>
        </w:rPr>
        <w:t> </w:t>
      </w:r>
      <w:r>
        <w:rPr>
          <w:w w:val="105"/>
          <w:sz w:val="18"/>
        </w:rPr>
        <w:t>for</w:t>
      </w:r>
      <w:r>
        <w:rPr>
          <w:spacing w:val="-11"/>
          <w:w w:val="105"/>
          <w:sz w:val="18"/>
        </w:rPr>
        <w:t> </w:t>
      </w:r>
      <w:r>
        <w:rPr>
          <w:w w:val="105"/>
          <w:sz w:val="18"/>
        </w:rPr>
        <w:t>food</w:t>
      </w:r>
      <w:r>
        <w:rPr>
          <w:spacing w:val="-9"/>
          <w:w w:val="105"/>
          <w:sz w:val="18"/>
        </w:rPr>
        <w:t> </w:t>
      </w:r>
      <w:r>
        <w:rPr>
          <w:w w:val="105"/>
          <w:sz w:val="18"/>
        </w:rPr>
        <w:t>services (Funds 13 and 61) (If negative, then</w:t>
      </w:r>
      <w:r>
        <w:rPr>
          <w:spacing w:val="-29"/>
          <w:w w:val="105"/>
          <w:sz w:val="18"/>
        </w:rPr>
        <w:t> </w:t>
      </w:r>
      <w:r>
        <w:rPr>
          <w:w w:val="105"/>
          <w:sz w:val="18"/>
        </w:rPr>
        <w:t>zero)</w:t>
      </w:r>
    </w:p>
    <w:p>
      <w:pPr>
        <w:pStyle w:val="BodyText"/>
        <w:rPr>
          <w:sz w:val="16"/>
        </w:rPr>
      </w:pPr>
      <w:r>
        <w:rPr/>
        <w:br w:type="column"/>
      </w:r>
      <w:r>
        <w:rPr>
          <w:sz w:val="16"/>
        </w:rPr>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3"/>
        <w:rPr>
          <w:sz w:val="21"/>
        </w:rPr>
      </w:pPr>
    </w:p>
    <w:p>
      <w:pPr>
        <w:tabs>
          <w:tab w:pos="1745" w:val="left" w:leader="none"/>
        </w:tabs>
        <w:spacing w:before="1"/>
        <w:ind w:left="802" w:right="0" w:firstLine="0"/>
        <w:jc w:val="left"/>
        <w:rPr>
          <w:sz w:val="15"/>
        </w:rPr>
      </w:pPr>
      <w:r>
        <w:rPr>
          <w:sz w:val="15"/>
        </w:rPr>
        <w:t>All</w:t>
        <w:tab/>
      </w:r>
      <w:r>
        <w:rPr>
          <w:spacing w:val="-7"/>
          <w:sz w:val="15"/>
        </w:rPr>
        <w:t>All</w:t>
      </w:r>
    </w:p>
    <w:p>
      <w:pPr>
        <w:pStyle w:val="BodyText"/>
        <w:rPr>
          <w:sz w:val="16"/>
        </w:rPr>
      </w:pPr>
      <w:r>
        <w:rPr/>
        <w:br w:type="column"/>
      </w:r>
      <w:r>
        <w:rPr>
          <w:sz w:val="16"/>
        </w:rPr>
      </w:r>
    </w:p>
    <w:p>
      <w:pPr>
        <w:pStyle w:val="BodyText"/>
        <w:rPr>
          <w:sz w:val="16"/>
        </w:rPr>
      </w:pPr>
    </w:p>
    <w:p>
      <w:pPr>
        <w:pStyle w:val="BodyText"/>
        <w:rPr>
          <w:sz w:val="16"/>
        </w:rPr>
      </w:pPr>
    </w:p>
    <w:p>
      <w:pPr>
        <w:pStyle w:val="BodyText"/>
        <w:rPr>
          <w:sz w:val="16"/>
        </w:rPr>
      </w:pPr>
    </w:p>
    <w:p>
      <w:pPr>
        <w:spacing w:before="120"/>
        <w:ind w:left="419" w:right="22" w:firstLine="0"/>
        <w:jc w:val="center"/>
        <w:rPr>
          <w:sz w:val="15"/>
        </w:rPr>
      </w:pPr>
      <w:r>
        <w:rPr>
          <w:sz w:val="15"/>
        </w:rPr>
        <w:t>1000-7143,</w:t>
      </w:r>
    </w:p>
    <w:p>
      <w:pPr>
        <w:spacing w:before="68"/>
        <w:ind w:left="419" w:right="20" w:firstLine="0"/>
        <w:jc w:val="center"/>
        <w:rPr>
          <w:sz w:val="15"/>
        </w:rPr>
      </w:pPr>
      <w:r>
        <w:rPr>
          <w:sz w:val="15"/>
        </w:rPr>
        <w:t>7300-7439</w:t>
      </w:r>
    </w:p>
    <w:p>
      <w:pPr>
        <w:spacing w:line="237" w:lineRule="auto" w:before="95"/>
        <w:ind w:left="466" w:right="51" w:hanging="1"/>
        <w:jc w:val="center"/>
        <w:rPr>
          <w:sz w:val="15"/>
        </w:rPr>
      </w:pPr>
      <w:r>
        <w:rPr>
          <w:sz w:val="15"/>
        </w:rPr>
        <w:t>minus 8000-8699</w:t>
      </w:r>
    </w:p>
    <w:p>
      <w:pPr>
        <w:pStyle w:val="BodyText"/>
        <w:rPr>
          <w:sz w:val="20"/>
        </w:rPr>
      </w:pPr>
      <w:r>
        <w:rPr/>
        <w:br w:type="column"/>
      </w:r>
      <w:r>
        <w:rPr>
          <w:sz w:val="20"/>
        </w:rPr>
      </w:r>
    </w:p>
    <w:p>
      <w:pPr>
        <w:pStyle w:val="BodyText"/>
        <w:rPr>
          <w:sz w:val="20"/>
        </w:rPr>
      </w:pPr>
    </w:p>
    <w:p>
      <w:pPr>
        <w:spacing w:before="121"/>
        <w:ind w:left="0" w:right="1205" w:firstLine="0"/>
        <w:jc w:val="right"/>
        <w:rPr>
          <w:sz w:val="18"/>
        </w:rPr>
      </w:pPr>
      <w:r>
        <w:rPr>
          <w:spacing w:val="-1"/>
          <w:sz w:val="18"/>
        </w:rPr>
        <w:t>136,000.00</w:t>
      </w:r>
    </w:p>
    <w:p>
      <w:pPr>
        <w:pStyle w:val="BodyText"/>
        <w:rPr>
          <w:sz w:val="20"/>
        </w:rPr>
      </w:pPr>
    </w:p>
    <w:p>
      <w:pPr>
        <w:pStyle w:val="BodyText"/>
        <w:rPr>
          <w:sz w:val="20"/>
        </w:rPr>
      </w:pPr>
    </w:p>
    <w:p>
      <w:pPr>
        <w:pStyle w:val="BodyText"/>
        <w:spacing w:before="8"/>
        <w:rPr>
          <w:sz w:val="21"/>
        </w:rPr>
      </w:pPr>
    </w:p>
    <w:p>
      <w:pPr>
        <w:spacing w:before="0"/>
        <w:ind w:left="0" w:right="1205" w:firstLine="0"/>
        <w:jc w:val="right"/>
        <w:rPr>
          <w:sz w:val="18"/>
        </w:rPr>
      </w:pPr>
      <w:r>
        <w:rPr>
          <w:spacing w:val="-1"/>
          <w:sz w:val="18"/>
        </w:rPr>
        <w:t>0.00</w:t>
      </w:r>
    </w:p>
    <w:p>
      <w:pPr>
        <w:spacing w:after="0"/>
        <w:jc w:val="right"/>
        <w:rPr>
          <w:sz w:val="18"/>
        </w:rPr>
        <w:sectPr>
          <w:type w:val="continuous"/>
          <w:pgSz w:w="12240" w:h="15840"/>
          <w:pgMar w:top="1500" w:bottom="840" w:left="40" w:right="40"/>
          <w:cols w:num="4" w:equalWidth="0">
            <w:col w:w="5320" w:space="618"/>
            <w:col w:w="1914" w:space="39"/>
            <w:col w:w="1241" w:space="86"/>
            <w:col w:w="2942"/>
          </w:cols>
        </w:sectPr>
      </w:pPr>
    </w:p>
    <w:p>
      <w:pPr>
        <w:pStyle w:val="BodyText"/>
        <w:spacing w:before="10"/>
        <w:rPr>
          <w:sz w:val="24"/>
        </w:rPr>
      </w:pPr>
    </w:p>
    <w:p>
      <w:pPr>
        <w:pStyle w:val="ListParagraph"/>
        <w:numPr>
          <w:ilvl w:val="2"/>
          <w:numId w:val="65"/>
        </w:numPr>
        <w:tabs>
          <w:tab w:pos="1422" w:val="left" w:leader="none"/>
        </w:tabs>
        <w:spacing w:line="240" w:lineRule="auto" w:before="0" w:after="0"/>
        <w:ind w:left="1421" w:right="0" w:hanging="354"/>
        <w:jc w:val="left"/>
        <w:rPr>
          <w:sz w:val="18"/>
        </w:rPr>
      </w:pPr>
      <w:r>
        <w:rPr>
          <w:w w:val="105"/>
          <w:sz w:val="18"/>
        </w:rPr>
        <w:t>Expenditures</w:t>
      </w:r>
      <w:r>
        <w:rPr>
          <w:spacing w:val="-12"/>
          <w:w w:val="105"/>
          <w:sz w:val="18"/>
        </w:rPr>
        <w:t> </w:t>
      </w:r>
      <w:r>
        <w:rPr>
          <w:w w:val="105"/>
          <w:sz w:val="18"/>
        </w:rPr>
        <w:t>to</w:t>
      </w:r>
      <w:r>
        <w:rPr>
          <w:spacing w:val="-13"/>
          <w:w w:val="105"/>
          <w:sz w:val="18"/>
        </w:rPr>
        <w:t> </w:t>
      </w:r>
      <w:r>
        <w:rPr>
          <w:w w:val="105"/>
          <w:sz w:val="18"/>
        </w:rPr>
        <w:t>cover</w:t>
      </w:r>
      <w:r>
        <w:rPr>
          <w:spacing w:val="-10"/>
          <w:w w:val="105"/>
          <w:sz w:val="18"/>
        </w:rPr>
        <w:t> </w:t>
      </w:r>
      <w:r>
        <w:rPr>
          <w:w w:val="105"/>
          <w:sz w:val="18"/>
        </w:rPr>
        <w:t>deficits</w:t>
      </w:r>
      <w:r>
        <w:rPr>
          <w:spacing w:val="-9"/>
          <w:w w:val="105"/>
          <w:sz w:val="18"/>
        </w:rPr>
        <w:t> </w:t>
      </w:r>
      <w:r>
        <w:rPr>
          <w:w w:val="105"/>
          <w:sz w:val="18"/>
        </w:rPr>
        <w:t>for</w:t>
      </w:r>
      <w:r>
        <w:rPr>
          <w:spacing w:val="-10"/>
          <w:w w:val="105"/>
          <w:sz w:val="18"/>
        </w:rPr>
        <w:t> </w:t>
      </w:r>
      <w:r>
        <w:rPr>
          <w:w w:val="105"/>
          <w:sz w:val="18"/>
        </w:rPr>
        <w:t>student</w:t>
      </w:r>
      <w:r>
        <w:rPr>
          <w:spacing w:val="-9"/>
          <w:w w:val="105"/>
          <w:sz w:val="18"/>
        </w:rPr>
        <w:t> </w:t>
      </w:r>
      <w:r>
        <w:rPr>
          <w:w w:val="105"/>
          <w:sz w:val="18"/>
        </w:rPr>
        <w:t>body</w:t>
      </w:r>
      <w:r>
        <w:rPr>
          <w:spacing w:val="-14"/>
          <w:w w:val="105"/>
          <w:sz w:val="18"/>
        </w:rPr>
        <w:t> </w:t>
      </w:r>
      <w:r>
        <w:rPr>
          <w:w w:val="105"/>
          <w:sz w:val="18"/>
        </w:rPr>
        <w:t>activities</w:t>
      </w:r>
    </w:p>
    <w:p>
      <w:pPr>
        <w:pStyle w:val="BodyText"/>
        <w:spacing w:before="3"/>
      </w:pPr>
      <w:r>
        <w:rPr/>
        <w:br w:type="column"/>
      </w:r>
      <w:r>
        <w:rPr/>
      </w:r>
    </w:p>
    <w:p>
      <w:pPr>
        <w:spacing w:line="237" w:lineRule="auto" w:before="0"/>
        <w:ind w:left="734" w:right="2396" w:hanging="188"/>
        <w:jc w:val="left"/>
        <w:rPr>
          <w:sz w:val="15"/>
        </w:rPr>
      </w:pPr>
      <w:r>
        <w:rPr>
          <w:sz w:val="15"/>
        </w:rPr>
        <w:t>Manually entered. Must not include expenditures in lines A or D1.</w:t>
      </w:r>
    </w:p>
    <w:p>
      <w:pPr>
        <w:spacing w:after="0" w:line="237" w:lineRule="auto"/>
        <w:jc w:val="left"/>
        <w:rPr>
          <w:sz w:val="15"/>
        </w:rPr>
        <w:sectPr>
          <w:type w:val="continuous"/>
          <w:pgSz w:w="12240" w:h="15840"/>
          <w:pgMar w:top="1500" w:bottom="840" w:left="40" w:right="40"/>
          <w:cols w:num="2" w:equalWidth="0">
            <w:col w:w="6012" w:space="40"/>
            <w:col w:w="6108"/>
          </w:cols>
        </w:sectPr>
      </w:pPr>
    </w:p>
    <w:p>
      <w:pPr>
        <w:pStyle w:val="BodyText"/>
        <w:spacing w:before="5"/>
        <w:rPr>
          <w:sz w:val="12"/>
        </w:rPr>
      </w:pPr>
    </w:p>
    <w:p>
      <w:pPr>
        <w:spacing w:after="0"/>
        <w:rPr>
          <w:sz w:val="12"/>
        </w:rPr>
        <w:sectPr>
          <w:type w:val="continuous"/>
          <w:pgSz w:w="12240" w:h="15840"/>
          <w:pgMar w:top="1500" w:bottom="840" w:left="40" w:right="40"/>
        </w:sectPr>
      </w:pPr>
    </w:p>
    <w:p>
      <w:pPr>
        <w:pStyle w:val="ListParagraph"/>
        <w:numPr>
          <w:ilvl w:val="1"/>
          <w:numId w:val="65"/>
        </w:numPr>
        <w:tabs>
          <w:tab w:pos="1069" w:val="left" w:leader="none"/>
        </w:tabs>
        <w:spacing w:line="240" w:lineRule="auto" w:before="100" w:after="0"/>
        <w:ind w:left="1068" w:right="0" w:hanging="267"/>
        <w:jc w:val="left"/>
        <w:rPr>
          <w:sz w:val="18"/>
        </w:rPr>
      </w:pPr>
      <w:r>
        <w:rPr>
          <w:w w:val="105"/>
          <w:sz w:val="18"/>
        </w:rPr>
        <w:t>Total expenditures subject to</w:t>
      </w:r>
      <w:r>
        <w:rPr>
          <w:spacing w:val="-7"/>
          <w:w w:val="105"/>
          <w:sz w:val="18"/>
        </w:rPr>
        <w:t> </w:t>
      </w:r>
      <w:r>
        <w:rPr>
          <w:w w:val="105"/>
          <w:sz w:val="18"/>
        </w:rPr>
        <w:t>MOE</w:t>
      </w:r>
    </w:p>
    <w:p>
      <w:pPr>
        <w:spacing w:before="33"/>
        <w:ind w:left="1068" w:right="0" w:firstLine="0"/>
        <w:jc w:val="left"/>
        <w:rPr>
          <w:sz w:val="18"/>
        </w:rPr>
      </w:pPr>
      <w:r>
        <w:rPr>
          <w:w w:val="105"/>
          <w:sz w:val="18"/>
        </w:rPr>
        <w:t>(Line</w:t>
      </w:r>
      <w:r>
        <w:rPr>
          <w:spacing w:val="-7"/>
          <w:w w:val="105"/>
          <w:sz w:val="18"/>
        </w:rPr>
        <w:t> </w:t>
      </w:r>
      <w:r>
        <w:rPr>
          <w:w w:val="105"/>
          <w:sz w:val="18"/>
        </w:rPr>
        <w:t>A</w:t>
      </w:r>
      <w:r>
        <w:rPr>
          <w:spacing w:val="-6"/>
          <w:w w:val="105"/>
          <w:sz w:val="18"/>
        </w:rPr>
        <w:t> </w:t>
      </w:r>
      <w:r>
        <w:rPr>
          <w:w w:val="105"/>
          <w:sz w:val="18"/>
        </w:rPr>
        <w:t>minus</w:t>
      </w:r>
      <w:r>
        <w:rPr>
          <w:spacing w:val="-8"/>
          <w:w w:val="105"/>
          <w:sz w:val="18"/>
        </w:rPr>
        <w:t> </w:t>
      </w:r>
      <w:r>
        <w:rPr>
          <w:w w:val="105"/>
          <w:sz w:val="18"/>
        </w:rPr>
        <w:t>lines</w:t>
      </w:r>
      <w:r>
        <w:rPr>
          <w:spacing w:val="-5"/>
          <w:w w:val="105"/>
          <w:sz w:val="18"/>
        </w:rPr>
        <w:t> </w:t>
      </w:r>
      <w:r>
        <w:rPr>
          <w:w w:val="105"/>
          <w:sz w:val="18"/>
        </w:rPr>
        <w:t>B</w:t>
      </w:r>
      <w:r>
        <w:rPr>
          <w:spacing w:val="-7"/>
          <w:w w:val="105"/>
          <w:sz w:val="18"/>
        </w:rPr>
        <w:t> </w:t>
      </w:r>
      <w:r>
        <w:rPr>
          <w:w w:val="105"/>
          <w:sz w:val="18"/>
        </w:rPr>
        <w:t>and</w:t>
      </w:r>
      <w:r>
        <w:rPr>
          <w:spacing w:val="-6"/>
          <w:w w:val="105"/>
          <w:sz w:val="18"/>
        </w:rPr>
        <w:t> </w:t>
      </w:r>
      <w:r>
        <w:rPr>
          <w:w w:val="105"/>
          <w:sz w:val="18"/>
        </w:rPr>
        <w:t>C10,</w:t>
      </w:r>
      <w:r>
        <w:rPr>
          <w:spacing w:val="-6"/>
          <w:w w:val="105"/>
          <w:sz w:val="18"/>
        </w:rPr>
        <w:t> </w:t>
      </w:r>
      <w:r>
        <w:rPr>
          <w:w w:val="105"/>
          <w:sz w:val="18"/>
        </w:rPr>
        <w:t>plus</w:t>
      </w:r>
      <w:r>
        <w:rPr>
          <w:spacing w:val="-7"/>
          <w:w w:val="105"/>
          <w:sz w:val="18"/>
        </w:rPr>
        <w:t> </w:t>
      </w:r>
      <w:r>
        <w:rPr>
          <w:w w:val="105"/>
          <w:sz w:val="18"/>
        </w:rPr>
        <w:t>lines</w:t>
      </w:r>
      <w:r>
        <w:rPr>
          <w:spacing w:val="-8"/>
          <w:w w:val="105"/>
          <w:sz w:val="18"/>
        </w:rPr>
        <w:t> </w:t>
      </w:r>
      <w:r>
        <w:rPr>
          <w:w w:val="105"/>
          <w:sz w:val="18"/>
        </w:rPr>
        <w:t>D1</w:t>
      </w:r>
      <w:r>
        <w:rPr>
          <w:spacing w:val="-9"/>
          <w:w w:val="105"/>
          <w:sz w:val="18"/>
        </w:rPr>
        <w:t> </w:t>
      </w:r>
      <w:r>
        <w:rPr>
          <w:w w:val="105"/>
          <w:sz w:val="18"/>
        </w:rPr>
        <w:t>and</w:t>
      </w:r>
      <w:r>
        <w:rPr>
          <w:spacing w:val="-8"/>
          <w:w w:val="105"/>
          <w:sz w:val="18"/>
        </w:rPr>
        <w:t> </w:t>
      </w:r>
      <w:r>
        <w:rPr>
          <w:w w:val="105"/>
          <w:sz w:val="18"/>
        </w:rPr>
        <w:t>D2)</w:t>
      </w:r>
    </w:p>
    <w:p>
      <w:pPr>
        <w:pStyle w:val="BodyText"/>
        <w:spacing w:before="7"/>
        <w:rPr>
          <w:sz w:val="29"/>
        </w:rPr>
      </w:pPr>
      <w:r>
        <w:rPr/>
        <w:br w:type="column"/>
      </w:r>
      <w:r>
        <w:rPr>
          <w:sz w:val="29"/>
        </w:rPr>
      </w:r>
    </w:p>
    <w:p>
      <w:pPr>
        <w:spacing w:before="0"/>
        <w:ind w:left="802" w:right="0" w:firstLine="0"/>
        <w:jc w:val="left"/>
        <w:rPr>
          <w:sz w:val="18"/>
        </w:rPr>
      </w:pPr>
      <w:r>
        <w:rPr>
          <w:w w:val="105"/>
          <w:sz w:val="18"/>
        </w:rPr>
        <w:t>1,676,049.00</w:t>
      </w:r>
    </w:p>
    <w:p>
      <w:pPr>
        <w:spacing w:after="0"/>
        <w:jc w:val="left"/>
        <w:rPr>
          <w:sz w:val="18"/>
        </w:rPr>
        <w:sectPr>
          <w:type w:val="continuous"/>
          <w:pgSz w:w="12240" w:h="15840"/>
          <w:pgMar w:top="1500" w:bottom="840" w:left="40" w:right="40"/>
          <w:cols w:num="2" w:equalWidth="0">
            <w:col w:w="5500" w:space="3563"/>
            <w:col w:w="3097"/>
          </w:cols>
        </w:sectPr>
      </w:pPr>
    </w:p>
    <w:p>
      <w:pPr>
        <w:pStyle w:val="BodyText"/>
        <w:rPr>
          <w:sz w:val="20"/>
        </w:rPr>
      </w:pPr>
    </w:p>
    <w:p>
      <w:pPr>
        <w:pStyle w:val="BodyText"/>
        <w:rPr>
          <w:sz w:val="20"/>
        </w:rPr>
      </w:pPr>
    </w:p>
    <w:p>
      <w:pPr>
        <w:spacing w:before="152"/>
        <w:ind w:left="802" w:right="0" w:firstLine="0"/>
        <w:jc w:val="left"/>
        <w:rPr>
          <w:b/>
          <w:sz w:val="18"/>
        </w:rPr>
      </w:pPr>
      <w:r>
        <w:rPr>
          <w:b/>
          <w:w w:val="105"/>
          <w:sz w:val="18"/>
        </w:rPr>
        <w:t>Section II - Expenditures Per ADA</w:t>
      </w:r>
    </w:p>
    <w:p>
      <w:pPr>
        <w:pStyle w:val="ListParagraph"/>
        <w:numPr>
          <w:ilvl w:val="0"/>
          <w:numId w:val="66"/>
        </w:numPr>
        <w:tabs>
          <w:tab w:pos="1069" w:val="left" w:leader="none"/>
        </w:tabs>
        <w:spacing w:line="240" w:lineRule="auto" w:before="163" w:after="0"/>
        <w:ind w:left="1068" w:right="0" w:hanging="267"/>
        <w:jc w:val="left"/>
        <w:rPr>
          <w:sz w:val="18"/>
        </w:rPr>
      </w:pPr>
      <w:r>
        <w:rPr>
          <w:w w:val="105"/>
          <w:sz w:val="18"/>
        </w:rPr>
        <w:t>Average Daily</w:t>
      </w:r>
      <w:r>
        <w:rPr>
          <w:spacing w:val="-6"/>
          <w:w w:val="105"/>
          <w:sz w:val="18"/>
        </w:rPr>
        <w:t> </w:t>
      </w:r>
      <w:r>
        <w:rPr>
          <w:w w:val="105"/>
          <w:sz w:val="18"/>
        </w:rPr>
        <w:t>Attendance</w:t>
      </w:r>
    </w:p>
    <w:p>
      <w:pPr>
        <w:spacing w:before="4"/>
        <w:ind w:left="1068" w:right="0" w:firstLine="0"/>
        <w:jc w:val="left"/>
        <w:rPr>
          <w:sz w:val="18"/>
        </w:rPr>
      </w:pPr>
      <w:r>
        <w:rPr>
          <w:w w:val="105"/>
          <w:sz w:val="18"/>
        </w:rPr>
        <w:t>(Form</w:t>
      </w:r>
      <w:r>
        <w:rPr>
          <w:spacing w:val="-9"/>
          <w:w w:val="105"/>
          <w:sz w:val="18"/>
        </w:rPr>
        <w:t> </w:t>
      </w:r>
      <w:r>
        <w:rPr>
          <w:w w:val="105"/>
          <w:sz w:val="18"/>
        </w:rPr>
        <w:t>A,</w:t>
      </w:r>
      <w:r>
        <w:rPr>
          <w:spacing w:val="-5"/>
          <w:w w:val="105"/>
          <w:sz w:val="18"/>
        </w:rPr>
        <w:t> </w:t>
      </w:r>
      <w:r>
        <w:rPr>
          <w:w w:val="105"/>
          <w:sz w:val="18"/>
        </w:rPr>
        <w:t>Annual</w:t>
      </w:r>
      <w:r>
        <w:rPr>
          <w:spacing w:val="-8"/>
          <w:w w:val="105"/>
          <w:sz w:val="18"/>
        </w:rPr>
        <w:t> </w:t>
      </w:r>
      <w:r>
        <w:rPr>
          <w:w w:val="105"/>
          <w:sz w:val="18"/>
        </w:rPr>
        <w:t>ADA</w:t>
      </w:r>
      <w:r>
        <w:rPr>
          <w:spacing w:val="-8"/>
          <w:w w:val="105"/>
          <w:sz w:val="18"/>
        </w:rPr>
        <w:t> </w:t>
      </w:r>
      <w:r>
        <w:rPr>
          <w:w w:val="105"/>
          <w:sz w:val="18"/>
        </w:rPr>
        <w:t>column,</w:t>
      </w:r>
      <w:r>
        <w:rPr>
          <w:spacing w:val="-6"/>
          <w:w w:val="105"/>
          <w:sz w:val="18"/>
        </w:rPr>
        <w:t> </w:t>
      </w:r>
      <w:r>
        <w:rPr>
          <w:w w:val="105"/>
          <w:sz w:val="18"/>
        </w:rPr>
        <w:t>sum</w:t>
      </w:r>
      <w:r>
        <w:rPr>
          <w:spacing w:val="-8"/>
          <w:w w:val="105"/>
          <w:sz w:val="18"/>
        </w:rPr>
        <w:t> </w:t>
      </w:r>
      <w:r>
        <w:rPr>
          <w:w w:val="105"/>
          <w:sz w:val="18"/>
        </w:rPr>
        <w:t>of</w:t>
      </w:r>
      <w:r>
        <w:rPr>
          <w:spacing w:val="-5"/>
          <w:w w:val="105"/>
          <w:sz w:val="18"/>
        </w:rPr>
        <w:t> </w:t>
      </w:r>
      <w:r>
        <w:rPr>
          <w:w w:val="105"/>
          <w:sz w:val="18"/>
        </w:rPr>
        <w:t>lines</w:t>
      </w:r>
      <w:r>
        <w:rPr>
          <w:spacing w:val="-6"/>
          <w:w w:val="105"/>
          <w:sz w:val="18"/>
        </w:rPr>
        <w:t> </w:t>
      </w:r>
      <w:r>
        <w:rPr>
          <w:w w:val="105"/>
          <w:sz w:val="18"/>
        </w:rPr>
        <w:t>A6</w:t>
      </w:r>
      <w:r>
        <w:rPr>
          <w:spacing w:val="-8"/>
          <w:w w:val="105"/>
          <w:sz w:val="18"/>
        </w:rPr>
        <w:t> </w:t>
      </w:r>
      <w:r>
        <w:rPr>
          <w:w w:val="105"/>
          <w:sz w:val="18"/>
        </w:rPr>
        <w:t>and</w:t>
      </w:r>
      <w:r>
        <w:rPr>
          <w:spacing w:val="-6"/>
          <w:w w:val="105"/>
          <w:sz w:val="18"/>
        </w:rPr>
        <w:t> </w:t>
      </w:r>
      <w:r>
        <w:rPr>
          <w:w w:val="105"/>
          <w:sz w:val="18"/>
        </w:rPr>
        <w:t>C9)</w:t>
      </w:r>
    </w:p>
    <w:p>
      <w:pPr>
        <w:spacing w:before="175"/>
        <w:ind w:left="600" w:right="1182" w:firstLine="0"/>
        <w:jc w:val="center"/>
        <w:rPr>
          <w:b/>
          <w:sz w:val="18"/>
        </w:rPr>
      </w:pPr>
      <w:r>
        <w:rPr/>
        <w:br w:type="column"/>
      </w:r>
      <w:r>
        <w:rPr>
          <w:b/>
          <w:w w:val="105"/>
          <w:sz w:val="18"/>
        </w:rPr>
        <w:t>2020-21</w:t>
      </w:r>
    </w:p>
    <w:p>
      <w:pPr>
        <w:spacing w:line="254" w:lineRule="auto" w:before="12"/>
        <w:ind w:left="802" w:right="1376" w:hanging="13"/>
        <w:jc w:val="center"/>
        <w:rPr>
          <w:b/>
          <w:sz w:val="18"/>
        </w:rPr>
      </w:pPr>
      <w:r>
        <w:rPr/>
        <w:pict>
          <v:group style="position:absolute;margin-left:39.959999pt;margin-top:-13.638097pt;width:515.3pt;height:427.7pt;mso-position-horizontal-relative:page;mso-position-vertical-relative:paragraph;z-index:-314050560" coordorigin="799,-273" coordsize="10306,8554">
            <v:shape style="position:absolute;left:799;top:-273;width:5434;height:728" type="#_x0000_t75" stroked="false">
              <v:imagedata r:id="rId1479" o:title=""/>
            </v:shape>
            <v:shape style="position:absolute;left:6225;top:432;width:171;height:22" type="#_x0000_t75" stroked="false">
              <v:imagedata r:id="rId1480" o:title=""/>
            </v:shape>
            <v:shape style="position:absolute;left:6225;top:-273;width:4880;height:728" type="#_x0000_t75" stroked="false">
              <v:imagedata r:id="rId1481" o:title=""/>
            </v:shape>
            <v:line style="position:absolute" from="1418,445" to="1418,802" stroked="true" strokeweight=".479999pt" strokecolor="#ffffff">
              <v:stroke dashstyle="solid"/>
            </v:line>
            <v:shape style="position:absolute;left:6388;top:432;width:951;height:380" type="#_x0000_t75" stroked="false">
              <v:imagedata r:id="rId1482" o:title=""/>
            </v:shape>
            <v:rect style="position:absolute;left:7336;top:444;width:944;height:368" filled="true" fillcolor="#bfbfbf" stroked="false">
              <v:fill type="solid"/>
            </v:rect>
            <v:shape style="position:absolute;left:7332;top:432;width:951;height:22" type="#_x0000_t75" stroked="false">
              <v:imagedata r:id="rId1483" o:title=""/>
            </v:shape>
            <v:rect style="position:absolute;left:8280;top:444;width:944;height:368" filled="true" fillcolor="#bfbfbf" stroked="false">
              <v:fill type="solid"/>
            </v:rect>
            <v:shape style="position:absolute;left:8275;top:432;width:2830;height:848" type="#_x0000_t75" stroked="false">
              <v:imagedata r:id="rId1484" o:title=""/>
            </v:shape>
            <v:shape style="position:absolute;left:6388;top:807;width:8;height:468" type="#_x0000_t75" stroked="false">
              <v:imagedata r:id="rId1485" o:title=""/>
            </v:shape>
            <v:shape style="position:absolute;left:6393;top:812;width:2830;height:735" coordorigin="6394,812" coordsize="2830,735" path="m9223,812l8280,812,6394,812,6394,1278,6394,1546,7337,1546,9223,1546,9223,1278,9223,812e" filled="true" fillcolor="#bfbfbf" stroked="false">
              <v:path arrowok="t"/>
              <v:fill type="solid"/>
            </v:shape>
            <v:shape style="position:absolute;left:799;top:440;width:10306;height:1822" type="#_x0000_t75" stroked="false">
              <v:imagedata r:id="rId1486" o:title=""/>
            </v:shape>
            <v:shape style="position:absolute;left:9218;top:1541;width:1887;height:1964" type="#_x0000_t75" stroked="false">
              <v:imagedata r:id="rId1487" o:title=""/>
            </v:shape>
            <v:shape style="position:absolute;left:1065;top:2247;width:6274;height:1724" type="#_x0000_t75" stroked="false">
              <v:imagedata r:id="rId1488" o:title=""/>
            </v:shape>
            <v:shape style="position:absolute;left:7332;top:3502;width:1894;height:473" type="#_x0000_t75" stroked="false">
              <v:imagedata r:id="rId1489" o:title=""/>
            </v:shape>
            <v:rect style="position:absolute;left:9223;top:3507;width:1872;height:466" filled="true" fillcolor="#bfbfbf" stroked="false">
              <v:fill type="solid"/>
            </v:rect>
            <v:shape style="position:absolute;left:7332;top:2614;width:3773;height:1671" type="#_x0000_t75" stroked="false">
              <v:imagedata r:id="rId1490" o:title=""/>
            </v:shape>
            <v:shape style="position:absolute;left:7332;top:3968;width:3773;height:740" type="#_x0000_t75" stroked="false">
              <v:imagedata r:id="rId1491" o:title=""/>
            </v:shape>
            <v:shape style="position:absolute;left:7332;top:4460;width:3773;height:670" type="#_x0000_t75" stroked="false">
              <v:imagedata r:id="rId1492" o:title=""/>
            </v:shape>
            <v:shape style="position:absolute;left:9218;top:4882;width:1887;height:905" type="#_x0000_t75" stroked="false">
              <v:imagedata r:id="rId1493" o:title=""/>
            </v:shape>
            <v:shape style="position:absolute;left:799;top:2247;width:5434;height:6034" type="#_x0000_t75" stroked="false">
              <v:imagedata r:id="rId1494" o:title=""/>
            </v:shape>
            <v:shape style="position:absolute;left:6225;top:5122;width:4880;height:3159" type="#_x0000_t75" stroked="false">
              <v:imagedata r:id="rId1495" o:title=""/>
            </v:shape>
            <v:shape style="position:absolute;left:9218;top:8026;width:1887;height:255" type="#_x0000_t75" stroked="false">
              <v:imagedata r:id="rId1496" o:title=""/>
            </v:shape>
            <w10:wrap type="none"/>
          </v:group>
        </w:pict>
      </w:r>
      <w:r>
        <w:rPr>
          <w:b/>
          <w:w w:val="105"/>
          <w:sz w:val="18"/>
        </w:rPr>
        <w:t>Annual </w:t>
      </w:r>
      <w:r>
        <w:rPr>
          <w:b/>
          <w:spacing w:val="-5"/>
          <w:w w:val="105"/>
          <w:sz w:val="18"/>
        </w:rPr>
        <w:t>ADA/ </w:t>
      </w:r>
      <w:r>
        <w:rPr>
          <w:b/>
          <w:w w:val="105"/>
          <w:sz w:val="18"/>
        </w:rPr>
        <w:t>Exps. Per </w:t>
      </w:r>
      <w:r>
        <w:rPr>
          <w:b/>
          <w:spacing w:val="-8"/>
          <w:w w:val="105"/>
          <w:sz w:val="18"/>
        </w:rPr>
        <w:t>ADA</w:t>
      </w:r>
    </w:p>
    <w:p>
      <w:pPr>
        <w:pStyle w:val="BodyText"/>
        <w:rPr>
          <w:b/>
          <w:sz w:val="20"/>
        </w:rPr>
      </w:pPr>
    </w:p>
    <w:p>
      <w:pPr>
        <w:pStyle w:val="BodyText"/>
        <w:rPr>
          <w:b/>
          <w:sz w:val="20"/>
        </w:rPr>
      </w:pPr>
    </w:p>
    <w:p>
      <w:pPr>
        <w:spacing w:before="155"/>
        <w:ind w:left="1082" w:right="585" w:firstLine="0"/>
        <w:jc w:val="center"/>
        <w:rPr>
          <w:sz w:val="18"/>
        </w:rPr>
      </w:pPr>
      <w:r>
        <w:rPr>
          <w:w w:val="105"/>
          <w:sz w:val="18"/>
        </w:rPr>
        <w:t>115.41</w:t>
      </w:r>
    </w:p>
    <w:p>
      <w:pPr>
        <w:spacing w:after="0"/>
        <w:jc w:val="center"/>
        <w:rPr>
          <w:sz w:val="18"/>
        </w:rPr>
        <w:sectPr>
          <w:pgSz w:w="12240" w:h="15840"/>
          <w:pgMar w:header="944" w:footer="1104" w:top="1560" w:bottom="1300" w:left="40" w:right="40"/>
          <w:cols w:num="2" w:equalWidth="0">
            <w:col w:w="5652" w:space="3027"/>
            <w:col w:w="3481"/>
          </w:cols>
        </w:sectPr>
      </w:pPr>
    </w:p>
    <w:p>
      <w:pPr>
        <w:pStyle w:val="ListParagraph"/>
        <w:numPr>
          <w:ilvl w:val="0"/>
          <w:numId w:val="66"/>
        </w:numPr>
        <w:tabs>
          <w:tab w:pos="1069" w:val="left" w:leader="none"/>
          <w:tab w:pos="10123" w:val="left" w:leader="none"/>
        </w:tabs>
        <w:spacing w:line="240" w:lineRule="auto" w:before="61" w:after="0"/>
        <w:ind w:left="1068" w:right="0" w:hanging="267"/>
        <w:jc w:val="left"/>
        <w:rPr>
          <w:sz w:val="18"/>
        </w:rPr>
      </w:pPr>
      <w:r>
        <w:rPr>
          <w:w w:val="105"/>
          <w:sz w:val="18"/>
        </w:rPr>
        <w:t>Expenditures</w:t>
      </w:r>
      <w:r>
        <w:rPr>
          <w:spacing w:val="-9"/>
          <w:w w:val="105"/>
          <w:sz w:val="18"/>
        </w:rPr>
        <w:t> </w:t>
      </w:r>
      <w:r>
        <w:rPr>
          <w:w w:val="105"/>
          <w:sz w:val="18"/>
        </w:rPr>
        <w:t>per</w:t>
      </w:r>
      <w:r>
        <w:rPr>
          <w:spacing w:val="-6"/>
          <w:w w:val="105"/>
          <w:sz w:val="18"/>
        </w:rPr>
        <w:t> </w:t>
      </w:r>
      <w:r>
        <w:rPr>
          <w:w w:val="105"/>
          <w:sz w:val="18"/>
        </w:rPr>
        <w:t>ADA</w:t>
      </w:r>
      <w:r>
        <w:rPr>
          <w:spacing w:val="-7"/>
          <w:w w:val="105"/>
          <w:sz w:val="18"/>
        </w:rPr>
        <w:t> </w:t>
      </w:r>
      <w:r>
        <w:rPr>
          <w:w w:val="105"/>
          <w:sz w:val="18"/>
        </w:rPr>
        <w:t>(Line</w:t>
      </w:r>
      <w:r>
        <w:rPr>
          <w:spacing w:val="-9"/>
          <w:w w:val="105"/>
          <w:sz w:val="18"/>
        </w:rPr>
        <w:t> </w:t>
      </w:r>
      <w:r>
        <w:rPr>
          <w:w w:val="105"/>
          <w:sz w:val="18"/>
        </w:rPr>
        <w:t>I.E</w:t>
      </w:r>
      <w:r>
        <w:rPr>
          <w:spacing w:val="-8"/>
          <w:w w:val="105"/>
          <w:sz w:val="18"/>
        </w:rPr>
        <w:t> </w:t>
      </w:r>
      <w:r>
        <w:rPr>
          <w:w w:val="105"/>
          <w:sz w:val="18"/>
        </w:rPr>
        <w:t>divided</w:t>
      </w:r>
      <w:r>
        <w:rPr>
          <w:spacing w:val="-7"/>
          <w:w w:val="105"/>
          <w:sz w:val="18"/>
        </w:rPr>
        <w:t> </w:t>
      </w:r>
      <w:r>
        <w:rPr>
          <w:w w:val="105"/>
          <w:sz w:val="18"/>
        </w:rPr>
        <w:t>by</w:t>
      </w:r>
      <w:r>
        <w:rPr>
          <w:spacing w:val="-11"/>
          <w:w w:val="105"/>
          <w:sz w:val="18"/>
        </w:rPr>
        <w:t> </w:t>
      </w:r>
      <w:r>
        <w:rPr>
          <w:w w:val="105"/>
          <w:sz w:val="18"/>
        </w:rPr>
        <w:t>Line</w:t>
      </w:r>
      <w:r>
        <w:rPr>
          <w:spacing w:val="-9"/>
          <w:w w:val="105"/>
          <w:sz w:val="18"/>
        </w:rPr>
        <w:t> </w:t>
      </w:r>
      <w:r>
        <w:rPr>
          <w:w w:val="105"/>
          <w:sz w:val="18"/>
        </w:rPr>
        <w:t>II.A)</w:t>
        <w:tab/>
        <w:t>14,522.56</w:t>
      </w:r>
    </w:p>
    <w:p>
      <w:pPr>
        <w:pStyle w:val="BodyText"/>
        <w:spacing w:before="5"/>
        <w:rPr>
          <w:sz w:val="15"/>
        </w:rPr>
      </w:pPr>
    </w:p>
    <w:p>
      <w:pPr>
        <w:spacing w:before="101"/>
        <w:ind w:left="802" w:right="0" w:firstLine="0"/>
        <w:jc w:val="left"/>
        <w:rPr>
          <w:b/>
          <w:sz w:val="18"/>
        </w:rPr>
      </w:pPr>
      <w:r>
        <w:rPr>
          <w:b/>
          <w:w w:val="105"/>
          <w:sz w:val="18"/>
        </w:rPr>
        <w:t>Section III - MOE Calculation (For data collection only. Final</w:t>
      </w:r>
    </w:p>
    <w:p>
      <w:pPr>
        <w:tabs>
          <w:tab w:pos="8016" w:val="left" w:leader="none"/>
          <w:tab w:pos="9749" w:val="left" w:leader="none"/>
        </w:tabs>
        <w:spacing w:before="11"/>
        <w:ind w:left="802" w:right="0" w:firstLine="0"/>
        <w:jc w:val="left"/>
        <w:rPr>
          <w:b/>
          <w:sz w:val="18"/>
        </w:rPr>
      </w:pPr>
      <w:r>
        <w:rPr>
          <w:b/>
          <w:w w:val="105"/>
          <w:sz w:val="18"/>
        </w:rPr>
        <w:t>determination </w:t>
      </w:r>
      <w:r>
        <w:rPr>
          <w:b/>
          <w:spacing w:val="2"/>
          <w:w w:val="105"/>
          <w:sz w:val="18"/>
        </w:rPr>
        <w:t>will </w:t>
      </w:r>
      <w:r>
        <w:rPr>
          <w:b/>
          <w:w w:val="105"/>
          <w:sz w:val="18"/>
        </w:rPr>
        <w:t>be done</w:t>
      </w:r>
      <w:r>
        <w:rPr>
          <w:b/>
          <w:spacing w:val="-24"/>
          <w:w w:val="105"/>
          <w:sz w:val="18"/>
        </w:rPr>
        <w:t> </w:t>
      </w:r>
      <w:r>
        <w:rPr>
          <w:b/>
          <w:w w:val="105"/>
          <w:sz w:val="18"/>
        </w:rPr>
        <w:t>by</w:t>
      </w:r>
      <w:r>
        <w:rPr>
          <w:b/>
          <w:spacing w:val="-9"/>
          <w:w w:val="105"/>
          <w:sz w:val="18"/>
        </w:rPr>
        <w:t> </w:t>
      </w:r>
      <w:r>
        <w:rPr>
          <w:b/>
          <w:w w:val="105"/>
          <w:sz w:val="18"/>
        </w:rPr>
        <w:t>CDE)</w:t>
        <w:tab/>
        <w:t>Total</w:t>
        <w:tab/>
        <w:t>Per</w:t>
      </w:r>
      <w:r>
        <w:rPr>
          <w:b/>
          <w:spacing w:val="-1"/>
          <w:w w:val="105"/>
          <w:sz w:val="18"/>
        </w:rPr>
        <w:t> </w:t>
      </w:r>
      <w:r>
        <w:rPr>
          <w:b/>
          <w:spacing w:val="-3"/>
          <w:w w:val="105"/>
          <w:sz w:val="18"/>
        </w:rPr>
        <w:t>ADA</w:t>
      </w:r>
    </w:p>
    <w:p>
      <w:pPr>
        <w:spacing w:line="242" w:lineRule="auto" w:before="163"/>
        <w:ind w:left="1068" w:right="5109" w:hanging="267"/>
        <w:jc w:val="left"/>
        <w:rPr>
          <w:sz w:val="18"/>
        </w:rPr>
      </w:pPr>
      <w:r>
        <w:rPr>
          <w:w w:val="105"/>
          <w:sz w:val="18"/>
        </w:rPr>
        <w:t>A. Base expenditures (Preloaded expenditures from prior year official CDE MOE calculation). (Note: If the prior year MOE was not met, CDE has adjusted the prior year base to 90 percent of the preceding prior year amount rather than the actual prior year expenditure amount.)</w:t>
      </w:r>
    </w:p>
    <w:p>
      <w:pPr>
        <w:tabs>
          <w:tab w:pos="10123" w:val="left" w:leader="none"/>
        </w:tabs>
        <w:spacing w:before="51"/>
        <w:ind w:left="7992" w:right="0" w:firstLine="0"/>
        <w:jc w:val="left"/>
        <w:rPr>
          <w:sz w:val="18"/>
        </w:rPr>
      </w:pPr>
      <w:r>
        <w:rPr>
          <w:w w:val="105"/>
          <w:sz w:val="18"/>
        </w:rPr>
        <w:t>1,791,837.53</w:t>
        <w:tab/>
        <w:t>15,516.43</w:t>
      </w:r>
    </w:p>
    <w:p>
      <w:pPr>
        <w:pStyle w:val="ListParagraph"/>
        <w:numPr>
          <w:ilvl w:val="0"/>
          <w:numId w:val="67"/>
        </w:numPr>
        <w:tabs>
          <w:tab w:pos="1422" w:val="left" w:leader="none"/>
        </w:tabs>
        <w:spacing w:line="240" w:lineRule="auto" w:before="5" w:after="0"/>
        <w:ind w:left="1421" w:right="0" w:hanging="354"/>
        <w:jc w:val="left"/>
        <w:rPr>
          <w:sz w:val="18"/>
        </w:rPr>
      </w:pPr>
      <w:r>
        <w:rPr>
          <w:w w:val="105"/>
          <w:sz w:val="18"/>
        </w:rPr>
        <w:t>Adjustment to base expenditure and expenditure per ADA amounts</w:t>
      </w:r>
      <w:r>
        <w:rPr>
          <w:spacing w:val="-15"/>
          <w:w w:val="105"/>
          <w:sz w:val="18"/>
        </w:rPr>
        <w:t> </w:t>
      </w:r>
      <w:r>
        <w:rPr>
          <w:w w:val="105"/>
          <w:sz w:val="18"/>
        </w:rPr>
        <w:t>for</w:t>
      </w:r>
    </w:p>
    <w:p>
      <w:pPr>
        <w:tabs>
          <w:tab w:pos="8717" w:val="left" w:leader="none"/>
          <w:tab w:pos="10589" w:val="left" w:leader="none"/>
        </w:tabs>
        <w:spacing w:before="2"/>
        <w:ind w:left="1421" w:right="0" w:firstLine="0"/>
        <w:jc w:val="left"/>
        <w:rPr>
          <w:sz w:val="18"/>
        </w:rPr>
      </w:pPr>
      <w:r>
        <w:rPr>
          <w:w w:val="105"/>
          <w:sz w:val="18"/>
        </w:rPr>
        <w:t>LEAs</w:t>
      </w:r>
      <w:r>
        <w:rPr>
          <w:spacing w:val="-10"/>
          <w:w w:val="105"/>
          <w:sz w:val="18"/>
        </w:rPr>
        <w:t> </w:t>
      </w:r>
      <w:r>
        <w:rPr>
          <w:w w:val="105"/>
          <w:sz w:val="18"/>
        </w:rPr>
        <w:t>failing</w:t>
      </w:r>
      <w:r>
        <w:rPr>
          <w:spacing w:val="-9"/>
          <w:w w:val="105"/>
          <w:sz w:val="18"/>
        </w:rPr>
        <w:t> </w:t>
      </w:r>
      <w:r>
        <w:rPr>
          <w:w w:val="105"/>
          <w:sz w:val="18"/>
        </w:rPr>
        <w:t>prior</w:t>
      </w:r>
      <w:r>
        <w:rPr>
          <w:spacing w:val="-9"/>
          <w:w w:val="105"/>
          <w:sz w:val="18"/>
        </w:rPr>
        <w:t> </w:t>
      </w:r>
      <w:r>
        <w:rPr>
          <w:w w:val="105"/>
          <w:sz w:val="18"/>
        </w:rPr>
        <w:t>year</w:t>
      </w:r>
      <w:r>
        <w:rPr>
          <w:spacing w:val="-7"/>
          <w:w w:val="105"/>
          <w:sz w:val="18"/>
        </w:rPr>
        <w:t> </w:t>
      </w:r>
      <w:r>
        <w:rPr>
          <w:w w:val="105"/>
          <w:sz w:val="18"/>
        </w:rPr>
        <w:t>MOE</w:t>
      </w:r>
      <w:r>
        <w:rPr>
          <w:spacing w:val="-6"/>
          <w:w w:val="105"/>
          <w:sz w:val="18"/>
        </w:rPr>
        <w:t> </w:t>
      </w:r>
      <w:r>
        <w:rPr>
          <w:w w:val="105"/>
          <w:sz w:val="18"/>
        </w:rPr>
        <w:t>calculation</w:t>
      </w:r>
      <w:r>
        <w:rPr>
          <w:spacing w:val="-10"/>
          <w:w w:val="105"/>
          <w:sz w:val="18"/>
        </w:rPr>
        <w:t> </w:t>
      </w:r>
      <w:r>
        <w:rPr>
          <w:w w:val="105"/>
          <w:sz w:val="18"/>
        </w:rPr>
        <w:t>(From</w:t>
      </w:r>
      <w:r>
        <w:rPr>
          <w:spacing w:val="-8"/>
          <w:w w:val="105"/>
          <w:sz w:val="18"/>
        </w:rPr>
        <w:t> </w:t>
      </w:r>
      <w:r>
        <w:rPr>
          <w:w w:val="105"/>
          <w:sz w:val="18"/>
        </w:rPr>
        <w:t>Section</w:t>
      </w:r>
      <w:r>
        <w:rPr>
          <w:spacing w:val="-10"/>
          <w:w w:val="105"/>
          <w:sz w:val="18"/>
        </w:rPr>
        <w:t> </w:t>
      </w:r>
      <w:r>
        <w:rPr>
          <w:w w:val="105"/>
          <w:sz w:val="18"/>
        </w:rPr>
        <w:t>IV)</w:t>
        <w:tab/>
      </w:r>
      <w:r>
        <w:rPr>
          <w:w w:val="105"/>
          <w:position w:val="-4"/>
          <w:sz w:val="18"/>
        </w:rPr>
        <w:t>0.00</w:t>
        <w:tab/>
        <w:t>0.00</w:t>
      </w:r>
    </w:p>
    <w:p>
      <w:pPr>
        <w:pStyle w:val="ListParagraph"/>
        <w:numPr>
          <w:ilvl w:val="0"/>
          <w:numId w:val="67"/>
        </w:numPr>
        <w:tabs>
          <w:tab w:pos="1422" w:val="left" w:leader="none"/>
          <w:tab w:pos="7992" w:val="left" w:leader="none"/>
          <w:tab w:pos="10123" w:val="left" w:leader="none"/>
        </w:tabs>
        <w:spacing w:line="240" w:lineRule="auto" w:before="98" w:after="0"/>
        <w:ind w:left="1421" w:right="0" w:hanging="354"/>
        <w:jc w:val="left"/>
        <w:rPr>
          <w:sz w:val="18"/>
        </w:rPr>
      </w:pPr>
      <w:r>
        <w:rPr>
          <w:w w:val="105"/>
          <w:sz w:val="18"/>
        </w:rPr>
        <w:t>Total</w:t>
      </w:r>
      <w:r>
        <w:rPr>
          <w:spacing w:val="-10"/>
          <w:w w:val="105"/>
          <w:sz w:val="18"/>
        </w:rPr>
        <w:t> </w:t>
      </w:r>
      <w:r>
        <w:rPr>
          <w:w w:val="105"/>
          <w:sz w:val="18"/>
        </w:rPr>
        <w:t>adjusted</w:t>
      </w:r>
      <w:r>
        <w:rPr>
          <w:spacing w:val="-8"/>
          <w:w w:val="105"/>
          <w:sz w:val="18"/>
        </w:rPr>
        <w:t> </w:t>
      </w:r>
      <w:r>
        <w:rPr>
          <w:w w:val="105"/>
          <w:sz w:val="18"/>
        </w:rPr>
        <w:t>base</w:t>
      </w:r>
      <w:r>
        <w:rPr>
          <w:spacing w:val="-11"/>
          <w:w w:val="105"/>
          <w:sz w:val="18"/>
        </w:rPr>
        <w:t> </w:t>
      </w:r>
      <w:r>
        <w:rPr>
          <w:w w:val="105"/>
          <w:sz w:val="18"/>
        </w:rPr>
        <w:t>expenditure</w:t>
      </w:r>
      <w:r>
        <w:rPr>
          <w:spacing w:val="-10"/>
          <w:w w:val="105"/>
          <w:sz w:val="18"/>
        </w:rPr>
        <w:t> </w:t>
      </w:r>
      <w:r>
        <w:rPr>
          <w:w w:val="105"/>
          <w:sz w:val="18"/>
        </w:rPr>
        <w:t>amounts</w:t>
      </w:r>
      <w:r>
        <w:rPr>
          <w:spacing w:val="-10"/>
          <w:w w:val="105"/>
          <w:sz w:val="18"/>
        </w:rPr>
        <w:t> </w:t>
      </w:r>
      <w:r>
        <w:rPr>
          <w:w w:val="105"/>
          <w:sz w:val="18"/>
        </w:rPr>
        <w:t>(Line</w:t>
      </w:r>
      <w:r>
        <w:rPr>
          <w:spacing w:val="-8"/>
          <w:w w:val="105"/>
          <w:sz w:val="18"/>
        </w:rPr>
        <w:t> </w:t>
      </w:r>
      <w:r>
        <w:rPr>
          <w:w w:val="105"/>
          <w:sz w:val="18"/>
        </w:rPr>
        <w:t>A</w:t>
      </w:r>
      <w:r>
        <w:rPr>
          <w:spacing w:val="-9"/>
          <w:w w:val="105"/>
          <w:sz w:val="18"/>
        </w:rPr>
        <w:t> </w:t>
      </w:r>
      <w:r>
        <w:rPr>
          <w:w w:val="105"/>
          <w:sz w:val="18"/>
        </w:rPr>
        <w:t>plus</w:t>
      </w:r>
      <w:r>
        <w:rPr>
          <w:spacing w:val="-10"/>
          <w:w w:val="105"/>
          <w:sz w:val="18"/>
        </w:rPr>
        <w:t> </w:t>
      </w:r>
      <w:r>
        <w:rPr>
          <w:w w:val="105"/>
          <w:sz w:val="18"/>
        </w:rPr>
        <w:t>Line</w:t>
      </w:r>
      <w:r>
        <w:rPr>
          <w:spacing w:val="-8"/>
          <w:w w:val="105"/>
          <w:sz w:val="18"/>
        </w:rPr>
        <w:t> </w:t>
      </w:r>
      <w:r>
        <w:rPr>
          <w:w w:val="105"/>
          <w:sz w:val="18"/>
        </w:rPr>
        <w:t>A.1)</w:t>
        <w:tab/>
        <w:t>1,791,837.53</w:t>
        <w:tab/>
        <w:t>15,516.43</w:t>
      </w:r>
    </w:p>
    <w:p>
      <w:pPr>
        <w:pStyle w:val="BodyText"/>
        <w:rPr>
          <w:sz w:val="10"/>
        </w:rPr>
      </w:pPr>
    </w:p>
    <w:p>
      <w:pPr>
        <w:tabs>
          <w:tab w:pos="8055" w:val="left" w:leader="none"/>
          <w:tab w:pos="10186" w:val="left" w:leader="none"/>
        </w:tabs>
        <w:spacing w:before="100"/>
        <w:ind w:left="802" w:right="0" w:firstLine="0"/>
        <w:jc w:val="left"/>
        <w:rPr>
          <w:sz w:val="18"/>
        </w:rPr>
      </w:pPr>
      <w:r>
        <w:rPr>
          <w:w w:val="105"/>
          <w:sz w:val="18"/>
        </w:rPr>
        <w:t>B. Required effort (Line A.2 times</w:t>
      </w:r>
      <w:r>
        <w:rPr>
          <w:spacing w:val="-8"/>
          <w:w w:val="105"/>
          <w:sz w:val="18"/>
        </w:rPr>
        <w:t> </w:t>
      </w:r>
      <w:r>
        <w:rPr>
          <w:w w:val="105"/>
          <w:sz w:val="18"/>
        </w:rPr>
        <w:t>90%)</w:t>
        <w:tab/>
        <w:t>1,612,653.78</w:t>
        <w:tab/>
        <w:t>13,964.79</w:t>
      </w:r>
    </w:p>
    <w:p>
      <w:pPr>
        <w:pStyle w:val="BodyText"/>
        <w:rPr>
          <w:sz w:val="10"/>
        </w:rPr>
      </w:pPr>
    </w:p>
    <w:p>
      <w:pPr>
        <w:pStyle w:val="ListParagraph"/>
        <w:numPr>
          <w:ilvl w:val="0"/>
          <w:numId w:val="68"/>
        </w:numPr>
        <w:tabs>
          <w:tab w:pos="1069" w:val="left" w:leader="none"/>
          <w:tab w:pos="8055" w:val="left" w:leader="none"/>
          <w:tab w:pos="10186" w:val="left" w:leader="none"/>
        </w:tabs>
        <w:spacing w:line="240" w:lineRule="auto" w:before="101" w:after="0"/>
        <w:ind w:left="1068" w:right="0" w:hanging="267"/>
        <w:jc w:val="left"/>
        <w:rPr>
          <w:sz w:val="18"/>
        </w:rPr>
      </w:pPr>
      <w:r>
        <w:rPr>
          <w:w w:val="105"/>
          <w:sz w:val="18"/>
        </w:rPr>
        <w:t>Current</w:t>
      </w:r>
      <w:r>
        <w:rPr>
          <w:spacing w:val="-7"/>
          <w:w w:val="105"/>
          <w:sz w:val="18"/>
        </w:rPr>
        <w:t> </w:t>
      </w:r>
      <w:r>
        <w:rPr>
          <w:w w:val="105"/>
          <w:sz w:val="18"/>
        </w:rPr>
        <w:t>year</w:t>
      </w:r>
      <w:r>
        <w:rPr>
          <w:spacing w:val="-9"/>
          <w:w w:val="105"/>
          <w:sz w:val="18"/>
        </w:rPr>
        <w:t> </w:t>
      </w:r>
      <w:r>
        <w:rPr>
          <w:w w:val="105"/>
          <w:sz w:val="18"/>
        </w:rPr>
        <w:t>expenditures</w:t>
      </w:r>
      <w:r>
        <w:rPr>
          <w:spacing w:val="-9"/>
          <w:w w:val="105"/>
          <w:sz w:val="18"/>
        </w:rPr>
        <w:t> </w:t>
      </w:r>
      <w:r>
        <w:rPr>
          <w:w w:val="105"/>
          <w:sz w:val="18"/>
        </w:rPr>
        <w:t>(Line</w:t>
      </w:r>
      <w:r>
        <w:rPr>
          <w:spacing w:val="-10"/>
          <w:w w:val="105"/>
          <w:sz w:val="18"/>
        </w:rPr>
        <w:t> </w:t>
      </w:r>
      <w:r>
        <w:rPr>
          <w:w w:val="105"/>
          <w:sz w:val="18"/>
        </w:rPr>
        <w:t>I.E</w:t>
      </w:r>
      <w:r>
        <w:rPr>
          <w:spacing w:val="-9"/>
          <w:w w:val="105"/>
          <w:sz w:val="18"/>
        </w:rPr>
        <w:t> </w:t>
      </w:r>
      <w:r>
        <w:rPr>
          <w:w w:val="105"/>
          <w:sz w:val="18"/>
        </w:rPr>
        <w:t>and</w:t>
      </w:r>
      <w:r>
        <w:rPr>
          <w:spacing w:val="-9"/>
          <w:w w:val="105"/>
          <w:sz w:val="18"/>
        </w:rPr>
        <w:t> </w:t>
      </w:r>
      <w:r>
        <w:rPr>
          <w:w w:val="105"/>
          <w:sz w:val="18"/>
        </w:rPr>
        <w:t>Line</w:t>
      </w:r>
      <w:r>
        <w:rPr>
          <w:spacing w:val="-10"/>
          <w:w w:val="105"/>
          <w:sz w:val="18"/>
        </w:rPr>
        <w:t> </w:t>
      </w:r>
      <w:r>
        <w:rPr>
          <w:w w:val="105"/>
          <w:sz w:val="18"/>
        </w:rPr>
        <w:t>II.B)</w:t>
        <w:tab/>
        <w:t>1,676,049.00</w:t>
        <w:tab/>
        <w:t>14,522.56</w:t>
      </w:r>
    </w:p>
    <w:p>
      <w:pPr>
        <w:pStyle w:val="BodyText"/>
        <w:rPr>
          <w:sz w:val="10"/>
        </w:rPr>
      </w:pPr>
    </w:p>
    <w:p>
      <w:pPr>
        <w:pStyle w:val="ListParagraph"/>
        <w:numPr>
          <w:ilvl w:val="0"/>
          <w:numId w:val="68"/>
        </w:numPr>
        <w:tabs>
          <w:tab w:pos="1069" w:val="left" w:leader="none"/>
        </w:tabs>
        <w:spacing w:line="240" w:lineRule="auto" w:before="100" w:after="0"/>
        <w:ind w:left="1068" w:right="0" w:hanging="267"/>
        <w:jc w:val="left"/>
        <w:rPr>
          <w:sz w:val="18"/>
        </w:rPr>
      </w:pPr>
      <w:r>
        <w:rPr>
          <w:w w:val="105"/>
          <w:sz w:val="18"/>
        </w:rPr>
        <w:t>MOE deficiency amount, if any (Line B minus Line</w:t>
      </w:r>
      <w:r>
        <w:rPr>
          <w:spacing w:val="-14"/>
          <w:w w:val="105"/>
          <w:sz w:val="18"/>
        </w:rPr>
        <w:t> </w:t>
      </w:r>
      <w:r>
        <w:rPr>
          <w:w w:val="105"/>
          <w:sz w:val="18"/>
        </w:rPr>
        <w:t>C)</w:t>
      </w:r>
    </w:p>
    <w:p>
      <w:pPr>
        <w:tabs>
          <w:tab w:pos="8779" w:val="left" w:leader="none"/>
          <w:tab w:pos="10651" w:val="left" w:leader="none"/>
        </w:tabs>
        <w:spacing w:before="33"/>
        <w:ind w:left="1068" w:right="0" w:firstLine="0"/>
        <w:jc w:val="left"/>
        <w:rPr>
          <w:sz w:val="18"/>
        </w:rPr>
      </w:pPr>
      <w:r>
        <w:rPr>
          <w:w w:val="105"/>
          <w:sz w:val="18"/>
        </w:rPr>
        <w:t>(If negative,</w:t>
      </w:r>
      <w:r>
        <w:rPr>
          <w:spacing w:val="-15"/>
          <w:w w:val="105"/>
          <w:sz w:val="18"/>
        </w:rPr>
        <w:t> </w:t>
      </w:r>
      <w:r>
        <w:rPr>
          <w:w w:val="105"/>
          <w:sz w:val="18"/>
        </w:rPr>
        <w:t>then</w:t>
      </w:r>
      <w:r>
        <w:rPr>
          <w:spacing w:val="-8"/>
          <w:w w:val="105"/>
          <w:sz w:val="18"/>
        </w:rPr>
        <w:t> </w:t>
      </w:r>
      <w:r>
        <w:rPr>
          <w:w w:val="105"/>
          <w:sz w:val="18"/>
        </w:rPr>
        <w:t>zero)</w:t>
        <w:tab/>
        <w:t>0.00</w:t>
        <w:tab/>
        <w:t>0.00</w:t>
      </w:r>
    </w:p>
    <w:p>
      <w:pPr>
        <w:pStyle w:val="BodyText"/>
        <w:rPr>
          <w:sz w:val="10"/>
        </w:rPr>
      </w:pPr>
    </w:p>
    <w:p>
      <w:pPr>
        <w:pStyle w:val="ListParagraph"/>
        <w:numPr>
          <w:ilvl w:val="0"/>
          <w:numId w:val="68"/>
        </w:numPr>
        <w:tabs>
          <w:tab w:pos="1069" w:val="left" w:leader="none"/>
        </w:tabs>
        <w:spacing w:line="240" w:lineRule="auto" w:before="100" w:after="0"/>
        <w:ind w:left="1068" w:right="0" w:hanging="267"/>
        <w:jc w:val="left"/>
        <w:rPr>
          <w:sz w:val="18"/>
        </w:rPr>
      </w:pPr>
      <w:r>
        <w:rPr>
          <w:w w:val="105"/>
          <w:sz w:val="18"/>
        </w:rPr>
        <w:t>MOE</w:t>
      </w:r>
      <w:r>
        <w:rPr>
          <w:spacing w:val="1"/>
          <w:w w:val="105"/>
          <w:sz w:val="18"/>
        </w:rPr>
        <w:t> </w:t>
      </w:r>
      <w:r>
        <w:rPr>
          <w:w w:val="105"/>
          <w:sz w:val="18"/>
        </w:rPr>
        <w:t>determination</w:t>
      </w:r>
    </w:p>
    <w:p>
      <w:pPr>
        <w:tabs>
          <w:tab w:pos="8779" w:val="left" w:leader="none"/>
        </w:tabs>
        <w:spacing w:line="244" w:lineRule="auto" w:before="33"/>
        <w:ind w:left="1068" w:right="2587" w:firstLine="0"/>
        <w:jc w:val="left"/>
        <w:rPr>
          <w:sz w:val="18"/>
        </w:rPr>
      </w:pPr>
      <w:r>
        <w:rPr>
          <w:w w:val="105"/>
          <w:sz w:val="18"/>
        </w:rPr>
        <w:t>(If</w:t>
      </w:r>
      <w:r>
        <w:rPr>
          <w:spacing w:val="-5"/>
          <w:w w:val="105"/>
          <w:sz w:val="18"/>
        </w:rPr>
        <w:t> </w:t>
      </w:r>
      <w:r>
        <w:rPr>
          <w:w w:val="105"/>
          <w:sz w:val="18"/>
        </w:rPr>
        <w:t>one</w:t>
      </w:r>
      <w:r>
        <w:rPr>
          <w:spacing w:val="-7"/>
          <w:w w:val="105"/>
          <w:sz w:val="18"/>
        </w:rPr>
        <w:t> </w:t>
      </w:r>
      <w:r>
        <w:rPr>
          <w:w w:val="105"/>
          <w:sz w:val="18"/>
        </w:rPr>
        <w:t>or</w:t>
      </w:r>
      <w:r>
        <w:rPr>
          <w:spacing w:val="-7"/>
          <w:w w:val="105"/>
          <w:sz w:val="18"/>
        </w:rPr>
        <w:t> </w:t>
      </w:r>
      <w:r>
        <w:rPr>
          <w:w w:val="105"/>
          <w:sz w:val="18"/>
        </w:rPr>
        <w:t>both</w:t>
      </w:r>
      <w:r>
        <w:rPr>
          <w:spacing w:val="-7"/>
          <w:w w:val="105"/>
          <w:sz w:val="18"/>
        </w:rPr>
        <w:t> </w:t>
      </w:r>
      <w:r>
        <w:rPr>
          <w:w w:val="105"/>
          <w:sz w:val="18"/>
        </w:rPr>
        <w:t>of</w:t>
      </w:r>
      <w:r>
        <w:rPr>
          <w:spacing w:val="-5"/>
          <w:w w:val="105"/>
          <w:sz w:val="18"/>
        </w:rPr>
        <w:t> </w:t>
      </w:r>
      <w:r>
        <w:rPr>
          <w:w w:val="105"/>
          <w:sz w:val="18"/>
        </w:rPr>
        <w:t>the</w:t>
      </w:r>
      <w:r>
        <w:rPr>
          <w:spacing w:val="-4"/>
          <w:w w:val="105"/>
          <w:sz w:val="18"/>
        </w:rPr>
        <w:t> </w:t>
      </w:r>
      <w:r>
        <w:rPr>
          <w:w w:val="105"/>
          <w:sz w:val="18"/>
        </w:rPr>
        <w:t>amounts</w:t>
      </w:r>
      <w:r>
        <w:rPr>
          <w:spacing w:val="-7"/>
          <w:w w:val="105"/>
          <w:sz w:val="18"/>
        </w:rPr>
        <w:t> </w:t>
      </w:r>
      <w:r>
        <w:rPr>
          <w:w w:val="105"/>
          <w:sz w:val="18"/>
        </w:rPr>
        <w:t>in</w:t>
      </w:r>
      <w:r>
        <w:rPr>
          <w:spacing w:val="-8"/>
          <w:w w:val="105"/>
          <w:sz w:val="18"/>
        </w:rPr>
        <w:t> </w:t>
      </w:r>
      <w:r>
        <w:rPr>
          <w:w w:val="105"/>
          <w:sz w:val="18"/>
        </w:rPr>
        <w:t>line</w:t>
      </w:r>
      <w:r>
        <w:rPr>
          <w:spacing w:val="-7"/>
          <w:w w:val="105"/>
          <w:sz w:val="18"/>
        </w:rPr>
        <w:t> </w:t>
      </w:r>
      <w:r>
        <w:rPr>
          <w:w w:val="105"/>
          <w:sz w:val="18"/>
        </w:rPr>
        <w:t>D</w:t>
      </w:r>
      <w:r>
        <w:rPr>
          <w:spacing w:val="-7"/>
          <w:w w:val="105"/>
          <w:sz w:val="18"/>
        </w:rPr>
        <w:t> </w:t>
      </w:r>
      <w:r>
        <w:rPr>
          <w:w w:val="105"/>
          <w:sz w:val="18"/>
        </w:rPr>
        <w:t>are</w:t>
      </w:r>
      <w:r>
        <w:rPr>
          <w:spacing w:val="-8"/>
          <w:w w:val="105"/>
          <w:sz w:val="18"/>
        </w:rPr>
        <w:t> </w:t>
      </w:r>
      <w:r>
        <w:rPr>
          <w:w w:val="105"/>
          <w:sz w:val="18"/>
        </w:rPr>
        <w:t>zero,</w:t>
      </w:r>
      <w:r>
        <w:rPr>
          <w:spacing w:val="-4"/>
          <w:w w:val="105"/>
          <w:sz w:val="18"/>
        </w:rPr>
        <w:t> </w:t>
      </w:r>
      <w:r>
        <w:rPr>
          <w:w w:val="105"/>
          <w:sz w:val="18"/>
        </w:rPr>
        <w:t>the</w:t>
      </w:r>
      <w:r>
        <w:rPr>
          <w:spacing w:val="-7"/>
          <w:w w:val="105"/>
          <w:sz w:val="18"/>
        </w:rPr>
        <w:t> </w:t>
      </w:r>
      <w:r>
        <w:rPr>
          <w:w w:val="105"/>
          <w:sz w:val="18"/>
        </w:rPr>
        <w:t>MOE</w:t>
      </w:r>
      <w:r>
        <w:rPr>
          <w:spacing w:val="-4"/>
          <w:w w:val="105"/>
          <w:sz w:val="18"/>
        </w:rPr>
        <w:t> </w:t>
      </w:r>
      <w:r>
        <w:rPr>
          <w:w w:val="105"/>
          <w:sz w:val="18"/>
        </w:rPr>
        <w:t>requirement</w:t>
        <w:tab/>
        <w:t>MOE </w:t>
      </w:r>
      <w:r>
        <w:rPr>
          <w:spacing w:val="-7"/>
          <w:w w:val="105"/>
          <w:sz w:val="18"/>
        </w:rPr>
        <w:t>Met </w:t>
      </w:r>
      <w:r>
        <w:rPr>
          <w:w w:val="105"/>
          <w:sz w:val="18"/>
        </w:rPr>
        <w:t>is met; if both amounts are positive, the MOE requirement is not met.</w:t>
      </w:r>
      <w:r>
        <w:rPr>
          <w:spacing w:val="-18"/>
          <w:w w:val="105"/>
          <w:sz w:val="18"/>
        </w:rPr>
        <w:t> </w:t>
      </w:r>
      <w:r>
        <w:rPr>
          <w:w w:val="105"/>
          <w:sz w:val="18"/>
        </w:rPr>
        <w:t>If</w:t>
      </w:r>
    </w:p>
    <w:p>
      <w:pPr>
        <w:spacing w:line="242" w:lineRule="auto" w:before="0"/>
        <w:ind w:left="1068" w:right="5109" w:firstLine="0"/>
        <w:jc w:val="left"/>
        <w:rPr>
          <w:sz w:val="18"/>
        </w:rPr>
      </w:pPr>
      <w:r>
        <w:rPr>
          <w:w w:val="105"/>
          <w:sz w:val="18"/>
        </w:rPr>
        <w:t>either</w:t>
      </w:r>
      <w:r>
        <w:rPr>
          <w:spacing w:val="-8"/>
          <w:w w:val="105"/>
          <w:sz w:val="18"/>
        </w:rPr>
        <w:t> </w:t>
      </w:r>
      <w:r>
        <w:rPr>
          <w:w w:val="105"/>
          <w:sz w:val="18"/>
        </w:rPr>
        <w:t>column</w:t>
      </w:r>
      <w:r>
        <w:rPr>
          <w:spacing w:val="-9"/>
          <w:w w:val="105"/>
          <w:sz w:val="18"/>
        </w:rPr>
        <w:t> </w:t>
      </w:r>
      <w:r>
        <w:rPr>
          <w:w w:val="105"/>
          <w:sz w:val="18"/>
        </w:rPr>
        <w:t>in</w:t>
      </w:r>
      <w:r>
        <w:rPr>
          <w:spacing w:val="-9"/>
          <w:w w:val="105"/>
          <w:sz w:val="18"/>
        </w:rPr>
        <w:t> </w:t>
      </w:r>
      <w:r>
        <w:rPr>
          <w:w w:val="105"/>
          <w:sz w:val="18"/>
        </w:rPr>
        <w:t>Line</w:t>
      </w:r>
      <w:r>
        <w:rPr>
          <w:spacing w:val="-9"/>
          <w:w w:val="105"/>
          <w:sz w:val="18"/>
        </w:rPr>
        <w:t> </w:t>
      </w:r>
      <w:r>
        <w:rPr>
          <w:w w:val="105"/>
          <w:sz w:val="18"/>
        </w:rPr>
        <w:t>A.2</w:t>
      </w:r>
      <w:r>
        <w:rPr>
          <w:spacing w:val="-9"/>
          <w:w w:val="105"/>
          <w:sz w:val="18"/>
        </w:rPr>
        <w:t> </w:t>
      </w:r>
      <w:r>
        <w:rPr>
          <w:w w:val="105"/>
          <w:sz w:val="18"/>
        </w:rPr>
        <w:t>or</w:t>
      </w:r>
      <w:r>
        <w:rPr>
          <w:spacing w:val="-7"/>
          <w:w w:val="105"/>
          <w:sz w:val="18"/>
        </w:rPr>
        <w:t> </w:t>
      </w:r>
      <w:r>
        <w:rPr>
          <w:w w:val="105"/>
          <w:sz w:val="18"/>
        </w:rPr>
        <w:t>Line</w:t>
      </w:r>
      <w:r>
        <w:rPr>
          <w:spacing w:val="-9"/>
          <w:w w:val="105"/>
          <w:sz w:val="18"/>
        </w:rPr>
        <w:t> </w:t>
      </w:r>
      <w:r>
        <w:rPr>
          <w:w w:val="105"/>
          <w:sz w:val="18"/>
        </w:rPr>
        <w:t>C</w:t>
      </w:r>
      <w:r>
        <w:rPr>
          <w:spacing w:val="-8"/>
          <w:w w:val="105"/>
          <w:sz w:val="18"/>
        </w:rPr>
        <w:t> </w:t>
      </w:r>
      <w:r>
        <w:rPr>
          <w:w w:val="105"/>
          <w:sz w:val="18"/>
        </w:rPr>
        <w:t>equals</w:t>
      </w:r>
      <w:r>
        <w:rPr>
          <w:spacing w:val="-7"/>
          <w:w w:val="105"/>
          <w:sz w:val="18"/>
        </w:rPr>
        <w:t> </w:t>
      </w:r>
      <w:r>
        <w:rPr>
          <w:w w:val="105"/>
          <w:sz w:val="18"/>
        </w:rPr>
        <w:t>zero,</w:t>
      </w:r>
      <w:r>
        <w:rPr>
          <w:spacing w:val="-6"/>
          <w:w w:val="105"/>
          <w:sz w:val="18"/>
        </w:rPr>
        <w:t> </w:t>
      </w:r>
      <w:r>
        <w:rPr>
          <w:w w:val="105"/>
          <w:sz w:val="18"/>
        </w:rPr>
        <w:t>the</w:t>
      </w:r>
      <w:r>
        <w:rPr>
          <w:spacing w:val="-7"/>
          <w:w w:val="105"/>
          <w:sz w:val="18"/>
        </w:rPr>
        <w:t> </w:t>
      </w:r>
      <w:r>
        <w:rPr>
          <w:w w:val="105"/>
          <w:sz w:val="18"/>
        </w:rPr>
        <w:t>MOE</w:t>
      </w:r>
      <w:r>
        <w:rPr>
          <w:spacing w:val="-8"/>
          <w:w w:val="105"/>
          <w:sz w:val="18"/>
        </w:rPr>
        <w:t> </w:t>
      </w:r>
      <w:r>
        <w:rPr>
          <w:w w:val="105"/>
          <w:sz w:val="18"/>
        </w:rPr>
        <w:t>calculation</w:t>
      </w:r>
      <w:r>
        <w:rPr>
          <w:spacing w:val="-9"/>
          <w:w w:val="105"/>
          <w:sz w:val="18"/>
        </w:rPr>
        <w:t> </w:t>
      </w:r>
      <w:r>
        <w:rPr>
          <w:w w:val="105"/>
          <w:sz w:val="18"/>
        </w:rPr>
        <w:t>is incomplete.)</w:t>
      </w:r>
    </w:p>
    <w:p>
      <w:pPr>
        <w:pStyle w:val="BodyText"/>
        <w:spacing w:before="9"/>
      </w:pPr>
    </w:p>
    <w:p>
      <w:pPr>
        <w:pStyle w:val="ListParagraph"/>
        <w:numPr>
          <w:ilvl w:val="0"/>
          <w:numId w:val="68"/>
        </w:numPr>
        <w:tabs>
          <w:tab w:pos="1069" w:val="left" w:leader="none"/>
        </w:tabs>
        <w:spacing w:line="278" w:lineRule="auto" w:before="101" w:after="0"/>
        <w:ind w:left="1068" w:right="6078" w:hanging="267"/>
        <w:jc w:val="left"/>
        <w:rPr>
          <w:sz w:val="18"/>
        </w:rPr>
      </w:pPr>
      <w:r>
        <w:rPr>
          <w:w w:val="105"/>
          <w:sz w:val="18"/>
        </w:rPr>
        <w:t>MOE</w:t>
      </w:r>
      <w:r>
        <w:rPr>
          <w:spacing w:val="-9"/>
          <w:w w:val="105"/>
          <w:sz w:val="18"/>
        </w:rPr>
        <w:t> </w:t>
      </w:r>
      <w:r>
        <w:rPr>
          <w:w w:val="105"/>
          <w:sz w:val="18"/>
        </w:rPr>
        <w:t>deficiency</w:t>
      </w:r>
      <w:r>
        <w:rPr>
          <w:spacing w:val="-14"/>
          <w:w w:val="105"/>
          <w:sz w:val="18"/>
        </w:rPr>
        <w:t> </w:t>
      </w:r>
      <w:r>
        <w:rPr>
          <w:w w:val="105"/>
          <w:sz w:val="18"/>
        </w:rPr>
        <w:t>percentage,</w:t>
      </w:r>
      <w:r>
        <w:rPr>
          <w:spacing w:val="-9"/>
          <w:w w:val="105"/>
          <w:sz w:val="18"/>
        </w:rPr>
        <w:t> </w:t>
      </w:r>
      <w:r>
        <w:rPr>
          <w:w w:val="105"/>
          <w:sz w:val="18"/>
        </w:rPr>
        <w:t>if</w:t>
      </w:r>
      <w:r>
        <w:rPr>
          <w:spacing w:val="-11"/>
          <w:w w:val="105"/>
          <w:sz w:val="18"/>
        </w:rPr>
        <w:t> </w:t>
      </w:r>
      <w:r>
        <w:rPr>
          <w:w w:val="105"/>
          <w:sz w:val="18"/>
        </w:rPr>
        <w:t>MOE</w:t>
      </w:r>
      <w:r>
        <w:rPr>
          <w:spacing w:val="-9"/>
          <w:w w:val="105"/>
          <w:sz w:val="18"/>
        </w:rPr>
        <w:t> </w:t>
      </w:r>
      <w:r>
        <w:rPr>
          <w:w w:val="105"/>
          <w:sz w:val="18"/>
        </w:rPr>
        <w:t>not</w:t>
      </w:r>
      <w:r>
        <w:rPr>
          <w:spacing w:val="-9"/>
          <w:w w:val="105"/>
          <w:sz w:val="18"/>
        </w:rPr>
        <w:t> </w:t>
      </w:r>
      <w:r>
        <w:rPr>
          <w:w w:val="105"/>
          <w:sz w:val="18"/>
        </w:rPr>
        <w:t>met;</w:t>
      </w:r>
      <w:r>
        <w:rPr>
          <w:spacing w:val="-8"/>
          <w:w w:val="105"/>
          <w:sz w:val="18"/>
        </w:rPr>
        <w:t> </w:t>
      </w:r>
      <w:r>
        <w:rPr>
          <w:w w:val="105"/>
          <w:sz w:val="18"/>
        </w:rPr>
        <w:t>otherwise,</w:t>
      </w:r>
      <w:r>
        <w:rPr>
          <w:spacing w:val="-9"/>
          <w:w w:val="105"/>
          <w:sz w:val="18"/>
        </w:rPr>
        <w:t> </w:t>
      </w:r>
      <w:r>
        <w:rPr>
          <w:w w:val="105"/>
          <w:sz w:val="18"/>
        </w:rPr>
        <w:t>zero (Line D divided by Line</w:t>
      </w:r>
      <w:r>
        <w:rPr>
          <w:spacing w:val="-11"/>
          <w:w w:val="105"/>
          <w:sz w:val="18"/>
        </w:rPr>
        <w:t> </w:t>
      </w:r>
      <w:r>
        <w:rPr>
          <w:w w:val="105"/>
          <w:sz w:val="18"/>
        </w:rPr>
        <w:t>B)</w:t>
      </w:r>
    </w:p>
    <w:p>
      <w:pPr>
        <w:spacing w:before="0"/>
        <w:ind w:left="1068" w:right="0" w:firstLine="0"/>
        <w:jc w:val="left"/>
        <w:rPr>
          <w:sz w:val="18"/>
        </w:rPr>
      </w:pPr>
      <w:r>
        <w:rPr>
          <w:w w:val="105"/>
          <w:sz w:val="18"/>
        </w:rPr>
        <w:t>(Funding under ESSA covered programs in FY 2022-23 may</w:t>
      </w:r>
    </w:p>
    <w:p>
      <w:pPr>
        <w:tabs>
          <w:tab w:pos="8614" w:val="left" w:leader="none"/>
          <w:tab w:pos="10486" w:val="left" w:leader="none"/>
        </w:tabs>
        <w:spacing w:before="33"/>
        <w:ind w:left="1068" w:right="0" w:firstLine="0"/>
        <w:jc w:val="left"/>
        <w:rPr>
          <w:sz w:val="18"/>
        </w:rPr>
      </w:pPr>
      <w:r>
        <w:rPr>
          <w:w w:val="105"/>
          <w:sz w:val="18"/>
        </w:rPr>
        <w:t>be</w:t>
      </w:r>
      <w:r>
        <w:rPr>
          <w:spacing w:val="-7"/>
          <w:w w:val="105"/>
          <w:sz w:val="18"/>
        </w:rPr>
        <w:t> </w:t>
      </w:r>
      <w:r>
        <w:rPr>
          <w:w w:val="105"/>
          <w:sz w:val="18"/>
        </w:rPr>
        <w:t>reduced</w:t>
      </w:r>
      <w:r>
        <w:rPr>
          <w:spacing w:val="-8"/>
          <w:w w:val="105"/>
          <w:sz w:val="18"/>
        </w:rPr>
        <w:t> </w:t>
      </w:r>
      <w:r>
        <w:rPr>
          <w:w w:val="105"/>
          <w:sz w:val="18"/>
        </w:rPr>
        <w:t>by</w:t>
      </w:r>
      <w:r>
        <w:rPr>
          <w:spacing w:val="-11"/>
          <w:w w:val="105"/>
          <w:sz w:val="18"/>
        </w:rPr>
        <w:t> </w:t>
      </w:r>
      <w:r>
        <w:rPr>
          <w:w w:val="105"/>
          <w:sz w:val="18"/>
        </w:rPr>
        <w:t>the</w:t>
      </w:r>
      <w:r>
        <w:rPr>
          <w:spacing w:val="-7"/>
          <w:w w:val="105"/>
          <w:sz w:val="18"/>
        </w:rPr>
        <w:t> </w:t>
      </w:r>
      <w:r>
        <w:rPr>
          <w:w w:val="105"/>
          <w:sz w:val="18"/>
        </w:rPr>
        <w:t>lower</w:t>
      </w:r>
      <w:r>
        <w:rPr>
          <w:spacing w:val="-8"/>
          <w:w w:val="105"/>
          <w:sz w:val="18"/>
        </w:rPr>
        <w:t> </w:t>
      </w:r>
      <w:r>
        <w:rPr>
          <w:w w:val="105"/>
          <w:sz w:val="18"/>
        </w:rPr>
        <w:t>of</w:t>
      </w:r>
      <w:r>
        <w:rPr>
          <w:spacing w:val="-5"/>
          <w:w w:val="105"/>
          <w:sz w:val="18"/>
        </w:rPr>
        <w:t> </w:t>
      </w:r>
      <w:r>
        <w:rPr>
          <w:w w:val="105"/>
          <w:sz w:val="18"/>
        </w:rPr>
        <w:t>the</w:t>
      </w:r>
      <w:r>
        <w:rPr>
          <w:spacing w:val="-6"/>
          <w:w w:val="105"/>
          <w:sz w:val="18"/>
        </w:rPr>
        <w:t> </w:t>
      </w:r>
      <w:r>
        <w:rPr>
          <w:w w:val="105"/>
          <w:sz w:val="18"/>
        </w:rPr>
        <w:t>two</w:t>
      </w:r>
      <w:r>
        <w:rPr>
          <w:spacing w:val="-8"/>
          <w:w w:val="105"/>
          <w:sz w:val="18"/>
        </w:rPr>
        <w:t> </w:t>
      </w:r>
      <w:r>
        <w:rPr>
          <w:w w:val="105"/>
          <w:sz w:val="18"/>
        </w:rPr>
        <w:t>percentages)</w:t>
        <w:tab/>
        <w:t>0.00%</w:t>
        <w:tab/>
        <w:t>0.00%</w:t>
      </w:r>
    </w:p>
    <w:p>
      <w:pPr>
        <w:spacing w:after="0"/>
        <w:jc w:val="left"/>
        <w:rPr>
          <w:sz w:val="18"/>
        </w:rPr>
        <w:sectPr>
          <w:type w:val="continuous"/>
          <w:pgSz w:w="12240" w:h="15840"/>
          <w:pgMar w:top="1500" w:bottom="840" w:left="40" w:right="40"/>
        </w:sectPr>
      </w:pPr>
    </w:p>
    <w:p>
      <w:pPr>
        <w:pStyle w:val="BodyText"/>
        <w:spacing w:before="1"/>
        <w:rPr>
          <w:sz w:val="10"/>
        </w:rPr>
      </w:pPr>
    </w:p>
    <w:p>
      <w:pPr>
        <w:pStyle w:val="BodyText"/>
        <w:ind w:left="759"/>
        <w:rPr>
          <w:sz w:val="20"/>
        </w:rPr>
      </w:pPr>
      <w:r>
        <w:rPr>
          <w:sz w:val="20"/>
        </w:rPr>
        <w:pict>
          <v:group style="width:515.3pt;height:308.3pt;mso-position-horizontal-relative:char;mso-position-vertical-relative:line" coordorigin="0,0" coordsize="10306,6166">
            <v:shape style="position:absolute;left:0;top:0;width:8427;height:411" type="#_x0000_t75" stroked="false">
              <v:imagedata r:id="rId1497" o:title=""/>
            </v:shape>
            <v:line style="position:absolute" from="266,401" to="266,871" stroked="true" strokeweight=".48pt" strokecolor="#ffffff">
              <v:stroke dashstyle="solid"/>
            </v:line>
            <v:line style="position:absolute" from="619,401" to="619,871" stroked="true" strokeweight=".479999pt" strokecolor="#ffffff">
              <v:stroke dashstyle="solid"/>
            </v:line>
            <v:shape style="position:absolute;left:6532;top:0;width:3773;height:884" type="#_x0000_t75" stroked="false">
              <v:imagedata r:id="rId1498" o:title=""/>
            </v:shape>
            <v:shape style="position:absolute;left:0;top:396;width:10306;height:5770" type="#_x0000_t75" stroked="false">
              <v:imagedata r:id="rId1499" o:title=""/>
            </v:shape>
            <v:shape style="position:absolute;left:5426;top:5784;width:4880;height:382" type="#_x0000_t75" stroked="false">
              <v:imagedata r:id="rId1500" o:title=""/>
            </v:shape>
            <v:shape style="position:absolute;left:43;top:186;width:8057;height:689" type="#_x0000_t202" filled="false" stroked="false">
              <v:textbox inset="0,0,0,0">
                <w:txbxContent>
                  <w:p>
                    <w:pPr>
                      <w:spacing w:before="0"/>
                      <w:ind w:left="0" w:right="348" w:firstLine="0"/>
                      <w:jc w:val="right"/>
                      <w:rPr>
                        <w:b/>
                        <w:sz w:val="18"/>
                      </w:rPr>
                    </w:pPr>
                    <w:r>
                      <w:rPr>
                        <w:b/>
                        <w:w w:val="105"/>
                        <w:sz w:val="18"/>
                      </w:rPr>
                      <w:t>SECTION</w:t>
                    </w:r>
                    <w:r>
                      <w:rPr>
                        <w:b/>
                        <w:spacing w:val="-10"/>
                        <w:w w:val="105"/>
                        <w:sz w:val="18"/>
                      </w:rPr>
                      <w:t> </w:t>
                    </w:r>
                    <w:r>
                      <w:rPr>
                        <w:b/>
                        <w:w w:val="105"/>
                        <w:sz w:val="18"/>
                      </w:rPr>
                      <w:t>IV</w:t>
                    </w:r>
                    <w:r>
                      <w:rPr>
                        <w:b/>
                        <w:spacing w:val="-8"/>
                        <w:w w:val="105"/>
                        <w:sz w:val="18"/>
                      </w:rPr>
                      <w:t> </w:t>
                    </w:r>
                    <w:r>
                      <w:rPr>
                        <w:b/>
                        <w:w w:val="105"/>
                        <w:sz w:val="18"/>
                      </w:rPr>
                      <w:t>-</w:t>
                    </w:r>
                    <w:r>
                      <w:rPr>
                        <w:b/>
                        <w:spacing w:val="-6"/>
                        <w:w w:val="105"/>
                        <w:sz w:val="18"/>
                      </w:rPr>
                      <w:t> </w:t>
                    </w:r>
                    <w:r>
                      <w:rPr>
                        <w:b/>
                        <w:w w:val="105"/>
                        <w:sz w:val="18"/>
                      </w:rPr>
                      <w:t>Detail</w:t>
                    </w:r>
                    <w:r>
                      <w:rPr>
                        <w:b/>
                        <w:spacing w:val="-6"/>
                        <w:w w:val="105"/>
                        <w:sz w:val="18"/>
                      </w:rPr>
                      <w:t> </w:t>
                    </w:r>
                    <w:r>
                      <w:rPr>
                        <w:b/>
                        <w:w w:val="105"/>
                        <w:sz w:val="18"/>
                      </w:rPr>
                      <w:t>of</w:t>
                    </w:r>
                    <w:r>
                      <w:rPr>
                        <w:b/>
                        <w:spacing w:val="-8"/>
                        <w:w w:val="105"/>
                        <w:sz w:val="18"/>
                      </w:rPr>
                      <w:t> </w:t>
                    </w:r>
                    <w:r>
                      <w:rPr>
                        <w:b/>
                        <w:w w:val="105"/>
                        <w:sz w:val="18"/>
                      </w:rPr>
                      <w:t>Adjustments</w:t>
                    </w:r>
                    <w:r>
                      <w:rPr>
                        <w:b/>
                        <w:spacing w:val="-9"/>
                        <w:w w:val="105"/>
                        <w:sz w:val="18"/>
                      </w:rPr>
                      <w:t> </w:t>
                    </w:r>
                    <w:r>
                      <w:rPr>
                        <w:b/>
                        <w:w w:val="105"/>
                        <w:sz w:val="18"/>
                      </w:rPr>
                      <w:t>to</w:t>
                    </w:r>
                    <w:r>
                      <w:rPr>
                        <w:b/>
                        <w:spacing w:val="-8"/>
                        <w:w w:val="105"/>
                        <w:sz w:val="18"/>
                      </w:rPr>
                      <w:t> </w:t>
                    </w:r>
                    <w:r>
                      <w:rPr>
                        <w:b/>
                        <w:w w:val="105"/>
                        <w:sz w:val="18"/>
                      </w:rPr>
                      <w:t>Base</w:t>
                    </w:r>
                    <w:r>
                      <w:rPr>
                        <w:b/>
                        <w:spacing w:val="-9"/>
                        <w:w w:val="105"/>
                        <w:sz w:val="18"/>
                      </w:rPr>
                      <w:t> </w:t>
                    </w:r>
                    <w:r>
                      <w:rPr>
                        <w:b/>
                        <w:w w:val="105"/>
                        <w:sz w:val="18"/>
                      </w:rPr>
                      <w:t>Expenditures</w:t>
                    </w:r>
                    <w:r>
                      <w:rPr>
                        <w:b/>
                        <w:spacing w:val="-9"/>
                        <w:w w:val="105"/>
                        <w:sz w:val="18"/>
                      </w:rPr>
                      <w:t> </w:t>
                    </w:r>
                    <w:r>
                      <w:rPr>
                        <w:b/>
                        <w:w w:val="105"/>
                        <w:sz w:val="18"/>
                      </w:rPr>
                      <w:t>(used</w:t>
                    </w:r>
                    <w:r>
                      <w:rPr>
                        <w:b/>
                        <w:spacing w:val="-6"/>
                        <w:w w:val="105"/>
                        <w:sz w:val="18"/>
                      </w:rPr>
                      <w:t> </w:t>
                    </w:r>
                    <w:r>
                      <w:rPr>
                        <w:b/>
                        <w:w w:val="105"/>
                        <w:sz w:val="18"/>
                      </w:rPr>
                      <w:t>in</w:t>
                    </w:r>
                    <w:r>
                      <w:rPr>
                        <w:b/>
                        <w:spacing w:val="-5"/>
                        <w:w w:val="105"/>
                        <w:sz w:val="18"/>
                      </w:rPr>
                      <w:t> </w:t>
                    </w:r>
                    <w:r>
                      <w:rPr>
                        <w:b/>
                        <w:w w:val="105"/>
                        <w:sz w:val="18"/>
                      </w:rPr>
                      <w:t>Section</w:t>
                    </w:r>
                    <w:r>
                      <w:rPr>
                        <w:b/>
                        <w:spacing w:val="-6"/>
                        <w:w w:val="105"/>
                        <w:sz w:val="18"/>
                      </w:rPr>
                      <w:t> </w:t>
                    </w:r>
                    <w:r>
                      <w:rPr>
                        <w:b/>
                        <w:w w:val="105"/>
                        <w:sz w:val="18"/>
                      </w:rPr>
                      <w:t>III,</w:t>
                    </w:r>
                    <w:r>
                      <w:rPr>
                        <w:b/>
                        <w:spacing w:val="-6"/>
                        <w:w w:val="105"/>
                        <w:sz w:val="18"/>
                      </w:rPr>
                      <w:t> </w:t>
                    </w:r>
                    <w:r>
                      <w:rPr>
                        <w:b/>
                        <w:w w:val="105"/>
                        <w:sz w:val="18"/>
                      </w:rPr>
                      <w:t>Line</w:t>
                    </w:r>
                    <w:r>
                      <w:rPr>
                        <w:b/>
                        <w:spacing w:val="-9"/>
                        <w:w w:val="105"/>
                        <w:sz w:val="18"/>
                      </w:rPr>
                      <w:t> </w:t>
                    </w:r>
                    <w:r>
                      <w:rPr>
                        <w:b/>
                        <w:spacing w:val="-3"/>
                        <w:w w:val="105"/>
                        <w:sz w:val="18"/>
                      </w:rPr>
                      <w:t>A.1)</w:t>
                    </w:r>
                  </w:p>
                  <w:p>
                    <w:pPr>
                      <w:spacing w:before="55"/>
                      <w:ind w:left="0" w:right="388" w:firstLine="0"/>
                      <w:jc w:val="right"/>
                      <w:rPr>
                        <w:b/>
                        <w:sz w:val="18"/>
                      </w:rPr>
                    </w:pPr>
                    <w:r>
                      <w:rPr>
                        <w:b/>
                        <w:spacing w:val="-1"/>
                        <w:sz w:val="18"/>
                      </w:rPr>
                      <w:t>Total</w:t>
                    </w:r>
                  </w:p>
                  <w:p>
                    <w:pPr>
                      <w:tabs>
                        <w:tab w:pos="6851" w:val="left" w:leader="none"/>
                      </w:tabs>
                      <w:spacing w:before="11"/>
                      <w:ind w:left="0" w:right="0" w:firstLine="0"/>
                      <w:jc w:val="left"/>
                      <w:rPr>
                        <w:b/>
                        <w:sz w:val="18"/>
                      </w:rPr>
                    </w:pPr>
                    <w:r>
                      <w:rPr>
                        <w:b/>
                        <w:w w:val="105"/>
                        <w:sz w:val="18"/>
                      </w:rPr>
                      <w:t>Description</w:t>
                    </w:r>
                    <w:r>
                      <w:rPr>
                        <w:b/>
                        <w:spacing w:val="-10"/>
                        <w:w w:val="105"/>
                        <w:sz w:val="18"/>
                      </w:rPr>
                      <w:t> </w:t>
                    </w:r>
                    <w:r>
                      <w:rPr>
                        <w:b/>
                        <w:w w:val="105"/>
                        <w:sz w:val="18"/>
                      </w:rPr>
                      <w:t>of</w:t>
                    </w:r>
                    <w:r>
                      <w:rPr>
                        <w:b/>
                        <w:spacing w:val="-12"/>
                        <w:w w:val="105"/>
                        <w:sz w:val="18"/>
                      </w:rPr>
                      <w:t> </w:t>
                    </w:r>
                    <w:r>
                      <w:rPr>
                        <w:b/>
                        <w:w w:val="105"/>
                        <w:sz w:val="18"/>
                      </w:rPr>
                      <w:t>Adjustments</w:t>
                      <w:tab/>
                    </w:r>
                    <w:r>
                      <w:rPr>
                        <w:b/>
                        <w:sz w:val="18"/>
                      </w:rPr>
                      <w:t>Expenditures</w:t>
                    </w:r>
                  </w:p>
                </w:txbxContent>
              </v:textbox>
              <w10:wrap type="none"/>
            </v:shape>
            <v:shape style="position:absolute;left:8774;top:447;width:1205;height:428" type="#_x0000_t202" filled="false" stroked="false">
              <v:textbox inset="0,0,0,0">
                <w:txbxContent>
                  <w:p>
                    <w:pPr>
                      <w:spacing w:line="254" w:lineRule="auto" w:before="0"/>
                      <w:ind w:left="223" w:right="0" w:hanging="224"/>
                      <w:jc w:val="left"/>
                      <w:rPr>
                        <w:b/>
                        <w:sz w:val="18"/>
                      </w:rPr>
                    </w:pPr>
                    <w:r>
                      <w:rPr>
                        <w:b/>
                        <w:sz w:val="18"/>
                      </w:rPr>
                      <w:t>Expenditures </w:t>
                    </w:r>
                    <w:r>
                      <w:rPr>
                        <w:b/>
                        <w:w w:val="105"/>
                        <w:sz w:val="18"/>
                      </w:rPr>
                      <w:t>Per ADA</w:t>
                    </w:r>
                  </w:p>
                </w:txbxContent>
              </v:textbox>
              <w10:wrap type="none"/>
            </v:shape>
            <v:shape style="position:absolute;left:43;top:5943;width:3272;height:209" type="#_x0000_t202" filled="false" stroked="false">
              <v:textbox inset="0,0,0,0">
                <w:txbxContent>
                  <w:p>
                    <w:pPr>
                      <w:spacing w:before="0"/>
                      <w:ind w:left="0" w:right="0" w:firstLine="0"/>
                      <w:jc w:val="left"/>
                      <w:rPr>
                        <w:sz w:val="18"/>
                      </w:rPr>
                    </w:pPr>
                    <w:r>
                      <w:rPr>
                        <w:w w:val="105"/>
                        <w:sz w:val="18"/>
                      </w:rPr>
                      <w:t>Total</w:t>
                    </w:r>
                    <w:r>
                      <w:rPr>
                        <w:spacing w:val="-14"/>
                        <w:w w:val="105"/>
                        <w:sz w:val="18"/>
                      </w:rPr>
                      <w:t> </w:t>
                    </w:r>
                    <w:r>
                      <w:rPr>
                        <w:w w:val="105"/>
                        <w:sz w:val="18"/>
                      </w:rPr>
                      <w:t>adjustments</w:t>
                    </w:r>
                    <w:r>
                      <w:rPr>
                        <w:spacing w:val="-14"/>
                        <w:w w:val="105"/>
                        <w:sz w:val="18"/>
                      </w:rPr>
                      <w:t> </w:t>
                    </w:r>
                    <w:r>
                      <w:rPr>
                        <w:w w:val="105"/>
                        <w:sz w:val="18"/>
                      </w:rPr>
                      <w:t>to</w:t>
                    </w:r>
                    <w:r>
                      <w:rPr>
                        <w:spacing w:val="-14"/>
                        <w:w w:val="105"/>
                        <w:sz w:val="18"/>
                      </w:rPr>
                      <w:t> </w:t>
                    </w:r>
                    <w:r>
                      <w:rPr>
                        <w:w w:val="105"/>
                        <w:sz w:val="18"/>
                      </w:rPr>
                      <w:t>base</w:t>
                    </w:r>
                    <w:r>
                      <w:rPr>
                        <w:spacing w:val="-12"/>
                        <w:w w:val="105"/>
                        <w:sz w:val="18"/>
                      </w:rPr>
                      <w:t> </w:t>
                    </w:r>
                    <w:r>
                      <w:rPr>
                        <w:w w:val="105"/>
                        <w:sz w:val="18"/>
                      </w:rPr>
                      <w:t>expenditures</w:t>
                    </w:r>
                  </w:p>
                </w:txbxContent>
              </v:textbox>
              <w10:wrap type="none"/>
            </v:shape>
            <v:shape style="position:absolute;left:7958;top:5943;width:383;height:209" type="#_x0000_t202" filled="false" stroked="false">
              <v:textbox inset="0,0,0,0">
                <w:txbxContent>
                  <w:p>
                    <w:pPr>
                      <w:spacing w:before="0"/>
                      <w:ind w:left="0" w:right="0" w:firstLine="0"/>
                      <w:jc w:val="left"/>
                      <w:rPr>
                        <w:sz w:val="18"/>
                      </w:rPr>
                    </w:pPr>
                    <w:r>
                      <w:rPr>
                        <w:w w:val="105"/>
                        <w:sz w:val="18"/>
                      </w:rPr>
                      <w:t>0.00</w:t>
                    </w:r>
                  </w:p>
                </w:txbxContent>
              </v:textbox>
              <w10:wrap type="none"/>
            </v:shape>
            <v:shape style="position:absolute;left:9830;top:5943;width:383;height:209" type="#_x0000_t202" filled="false" stroked="false">
              <v:textbox inset="0,0,0,0">
                <w:txbxContent>
                  <w:p>
                    <w:pPr>
                      <w:spacing w:before="0"/>
                      <w:ind w:left="0" w:right="0" w:firstLine="0"/>
                      <w:jc w:val="left"/>
                      <w:rPr>
                        <w:sz w:val="18"/>
                      </w:rPr>
                    </w:pPr>
                    <w:r>
                      <w:rPr>
                        <w:w w:val="105"/>
                        <w:sz w:val="18"/>
                      </w:rPr>
                      <w:t>0.00</w:t>
                    </w:r>
                  </w:p>
                </w:txbxContent>
              </v:textbox>
              <w10:wrap type="none"/>
            </v:shape>
          </v:group>
        </w:pict>
      </w:r>
      <w:r>
        <w:rPr>
          <w:sz w:val="20"/>
        </w:rPr>
      </w:r>
    </w:p>
    <w:p>
      <w:pPr>
        <w:spacing w:after="0"/>
        <w:rPr>
          <w:sz w:val="20"/>
        </w:rPr>
        <w:sectPr>
          <w:pgSz w:w="12240" w:h="15840"/>
          <w:pgMar w:header="944" w:footer="1104" w:top="1560" w:bottom="1300" w:left="40" w:right="40"/>
        </w:sectPr>
      </w:pPr>
    </w:p>
    <w:p>
      <w:pPr>
        <w:pStyle w:val="BodyText"/>
        <w:rPr>
          <w:sz w:val="20"/>
        </w:rPr>
      </w:pPr>
    </w:p>
    <w:p>
      <w:pPr>
        <w:pStyle w:val="BodyText"/>
        <w:rPr>
          <w:sz w:val="20"/>
        </w:rPr>
      </w:pPr>
    </w:p>
    <w:p>
      <w:pPr>
        <w:pStyle w:val="BodyText"/>
        <w:spacing w:before="7"/>
        <w:rPr>
          <w:sz w:val="22"/>
        </w:rPr>
      </w:pPr>
    </w:p>
    <w:p>
      <w:pPr>
        <w:spacing w:line="218" w:lineRule="auto" w:before="106"/>
        <w:ind w:left="322" w:right="1868" w:firstLine="0"/>
        <w:jc w:val="left"/>
        <w:rPr>
          <w:sz w:val="16"/>
        </w:rPr>
      </w:pPr>
      <w:bookmarkStart w:name="FORM 01CS" w:id="20"/>
      <w:bookmarkEnd w:id="20"/>
      <w:r>
        <w:rPr/>
      </w:r>
      <w:r>
        <w:rPr>
          <w:sz w:val="16"/>
        </w:rPr>
        <w:t>Provide</w:t>
      </w:r>
      <w:r>
        <w:rPr>
          <w:spacing w:val="-6"/>
          <w:sz w:val="16"/>
        </w:rPr>
        <w:t> </w:t>
      </w:r>
      <w:r>
        <w:rPr>
          <w:sz w:val="16"/>
        </w:rPr>
        <w:t>methodology</w:t>
      </w:r>
      <w:r>
        <w:rPr>
          <w:spacing w:val="-11"/>
          <w:sz w:val="16"/>
        </w:rPr>
        <w:t> </w:t>
      </w:r>
      <w:r>
        <w:rPr>
          <w:sz w:val="16"/>
        </w:rPr>
        <w:t>and</w:t>
      </w:r>
      <w:r>
        <w:rPr>
          <w:spacing w:val="-7"/>
          <w:sz w:val="16"/>
        </w:rPr>
        <w:t> </w:t>
      </w:r>
      <w:r>
        <w:rPr>
          <w:sz w:val="16"/>
        </w:rPr>
        <w:t>assumptions</w:t>
      </w:r>
      <w:r>
        <w:rPr>
          <w:spacing w:val="-6"/>
          <w:sz w:val="16"/>
        </w:rPr>
        <w:t> </w:t>
      </w:r>
      <w:r>
        <w:rPr>
          <w:sz w:val="16"/>
        </w:rPr>
        <w:t>used</w:t>
      </w:r>
      <w:r>
        <w:rPr>
          <w:spacing w:val="-6"/>
          <w:sz w:val="16"/>
        </w:rPr>
        <w:t> </w:t>
      </w:r>
      <w:r>
        <w:rPr>
          <w:sz w:val="16"/>
        </w:rPr>
        <w:t>to</w:t>
      </w:r>
      <w:r>
        <w:rPr>
          <w:spacing w:val="-5"/>
          <w:sz w:val="16"/>
        </w:rPr>
        <w:t> </w:t>
      </w:r>
      <w:r>
        <w:rPr>
          <w:sz w:val="16"/>
        </w:rPr>
        <w:t>estimate</w:t>
      </w:r>
      <w:r>
        <w:rPr>
          <w:spacing w:val="-6"/>
          <w:sz w:val="16"/>
        </w:rPr>
        <w:t> </w:t>
      </w:r>
      <w:r>
        <w:rPr>
          <w:sz w:val="16"/>
        </w:rPr>
        <w:t>ADA,</w:t>
      </w:r>
      <w:r>
        <w:rPr>
          <w:spacing w:val="-8"/>
          <w:sz w:val="16"/>
        </w:rPr>
        <w:t> </w:t>
      </w:r>
      <w:r>
        <w:rPr>
          <w:sz w:val="16"/>
        </w:rPr>
        <w:t>enrollment,</w:t>
      </w:r>
      <w:r>
        <w:rPr>
          <w:spacing w:val="-7"/>
          <w:sz w:val="16"/>
        </w:rPr>
        <w:t> </w:t>
      </w:r>
      <w:r>
        <w:rPr>
          <w:sz w:val="16"/>
        </w:rPr>
        <w:t>revenues,</w:t>
      </w:r>
      <w:r>
        <w:rPr>
          <w:spacing w:val="-7"/>
          <w:sz w:val="16"/>
        </w:rPr>
        <w:t> </w:t>
      </w:r>
      <w:r>
        <w:rPr>
          <w:sz w:val="16"/>
        </w:rPr>
        <w:t>expenditures,</w:t>
      </w:r>
      <w:r>
        <w:rPr>
          <w:spacing w:val="-8"/>
          <w:sz w:val="16"/>
        </w:rPr>
        <w:t> </w:t>
      </w:r>
      <w:r>
        <w:rPr>
          <w:sz w:val="16"/>
        </w:rPr>
        <w:t>reserves</w:t>
      </w:r>
      <w:r>
        <w:rPr>
          <w:spacing w:val="-6"/>
          <w:sz w:val="16"/>
        </w:rPr>
        <w:t> </w:t>
      </w:r>
      <w:r>
        <w:rPr>
          <w:sz w:val="16"/>
        </w:rPr>
        <w:t>and</w:t>
      </w:r>
      <w:r>
        <w:rPr>
          <w:spacing w:val="-5"/>
          <w:sz w:val="16"/>
        </w:rPr>
        <w:t> </w:t>
      </w:r>
      <w:r>
        <w:rPr>
          <w:sz w:val="16"/>
        </w:rPr>
        <w:t>fund</w:t>
      </w:r>
      <w:r>
        <w:rPr>
          <w:spacing w:val="-7"/>
          <w:sz w:val="16"/>
        </w:rPr>
        <w:t> </w:t>
      </w:r>
      <w:r>
        <w:rPr>
          <w:sz w:val="16"/>
        </w:rPr>
        <w:t>balance,</w:t>
      </w:r>
      <w:r>
        <w:rPr>
          <w:spacing w:val="-7"/>
          <w:sz w:val="16"/>
        </w:rPr>
        <w:t> </w:t>
      </w:r>
      <w:r>
        <w:rPr>
          <w:sz w:val="16"/>
        </w:rPr>
        <w:t>and</w:t>
      </w:r>
      <w:r>
        <w:rPr>
          <w:spacing w:val="-7"/>
          <w:sz w:val="16"/>
        </w:rPr>
        <w:t> </w:t>
      </w:r>
      <w:r>
        <w:rPr>
          <w:sz w:val="16"/>
        </w:rPr>
        <w:t>multiyear commitments (including cost-of-living</w:t>
      </w:r>
      <w:r>
        <w:rPr>
          <w:spacing w:val="-5"/>
          <w:sz w:val="16"/>
        </w:rPr>
        <w:t> </w:t>
      </w:r>
      <w:r>
        <w:rPr>
          <w:sz w:val="16"/>
        </w:rPr>
        <w:t>adjustments).</w:t>
      </w:r>
    </w:p>
    <w:p>
      <w:pPr>
        <w:spacing w:before="156"/>
        <w:ind w:left="322" w:right="0" w:firstLine="0"/>
        <w:jc w:val="left"/>
        <w:rPr>
          <w:sz w:val="16"/>
        </w:rPr>
      </w:pPr>
      <w:r>
        <w:rPr>
          <w:sz w:val="16"/>
        </w:rPr>
        <w:t>Deviations from the standards must be explained and may affect the approval of the budget.</w:t>
      </w:r>
    </w:p>
    <w:p>
      <w:pPr>
        <w:pStyle w:val="BodyText"/>
        <w:spacing w:before="4"/>
        <w:rPr>
          <w:sz w:val="10"/>
        </w:rPr>
      </w:pPr>
      <w:r>
        <w:rPr/>
        <w:drawing>
          <wp:anchor distT="0" distB="0" distL="0" distR="0" allowOverlap="1" layoutInCell="1" locked="0" behindDoc="0" simplePos="0" relativeHeight="650">
            <wp:simplePos x="0" y="0"/>
            <wp:positionH relativeFrom="page">
              <wp:posOffset>208788</wp:posOffset>
            </wp:positionH>
            <wp:positionV relativeFrom="paragraph">
              <wp:posOffset>100650</wp:posOffset>
            </wp:positionV>
            <wp:extent cx="7203937" cy="13716"/>
            <wp:effectExtent l="0" t="0" r="0" b="0"/>
            <wp:wrapTopAndBottom/>
            <wp:docPr id="55" name="image1401.png"/>
            <wp:cNvGraphicFramePr>
              <a:graphicFrameLocks noChangeAspect="1"/>
            </wp:cNvGraphicFramePr>
            <a:graphic>
              <a:graphicData uri="http://schemas.openxmlformats.org/drawingml/2006/picture">
                <pic:pic>
                  <pic:nvPicPr>
                    <pic:cNvPr id="56" name="image1401.png"/>
                    <pic:cNvPicPr/>
                  </pic:nvPicPr>
                  <pic:blipFill>
                    <a:blip r:embed="rId1503" cstate="print"/>
                    <a:stretch>
                      <a:fillRect/>
                    </a:stretch>
                  </pic:blipFill>
                  <pic:spPr>
                    <a:xfrm>
                      <a:off x="0" y="0"/>
                      <a:ext cx="7203937" cy="13716"/>
                    </a:xfrm>
                    <a:prstGeom prst="rect">
                      <a:avLst/>
                    </a:prstGeom>
                  </pic:spPr>
                </pic:pic>
              </a:graphicData>
            </a:graphic>
          </wp:anchor>
        </w:drawing>
      </w:r>
    </w:p>
    <w:p>
      <w:pPr>
        <w:spacing w:before="54"/>
        <w:ind w:left="322" w:right="0" w:firstLine="0"/>
        <w:jc w:val="left"/>
        <w:rPr>
          <w:b/>
          <w:sz w:val="18"/>
        </w:rPr>
      </w:pPr>
      <w:r>
        <w:rPr>
          <w:b/>
          <w:sz w:val="18"/>
        </w:rPr>
        <w:t>CRITERIA AND STANDARDS</w:t>
      </w:r>
    </w:p>
    <w:p>
      <w:pPr>
        <w:pStyle w:val="BodyText"/>
        <w:spacing w:line="21" w:lineRule="exact"/>
        <w:ind w:left="288"/>
        <w:rPr>
          <w:sz w:val="2"/>
        </w:rPr>
      </w:pPr>
      <w:r>
        <w:rPr>
          <w:sz w:val="2"/>
        </w:rPr>
        <w:pict>
          <v:group style="width:567.25pt;height:1.1pt;mso-position-horizontal-relative:char;mso-position-vertical-relative:line" coordorigin="0,0" coordsize="11345,22">
            <v:shape style="position:absolute;left:0;top:0;width:3003;height:22" type="#_x0000_t75" stroked="false">
              <v:imagedata r:id="rId1504" o:title=""/>
            </v:shape>
            <v:shape style="position:absolute;left:2995;top:0;width:8350;height:22" type="#_x0000_t75" stroked="false">
              <v:imagedata r:id="rId1505" o:title=""/>
            </v:shape>
          </v:group>
        </w:pict>
      </w:r>
      <w:r>
        <w:rPr>
          <w:sz w:val="2"/>
        </w:rPr>
      </w:r>
    </w:p>
    <w:p>
      <w:pPr>
        <w:pStyle w:val="BodyText"/>
        <w:spacing w:before="1"/>
        <w:rPr>
          <w:b/>
          <w:sz w:val="14"/>
        </w:rPr>
      </w:pPr>
    </w:p>
    <w:p>
      <w:pPr>
        <w:pStyle w:val="ListParagraph"/>
        <w:numPr>
          <w:ilvl w:val="0"/>
          <w:numId w:val="69"/>
        </w:numPr>
        <w:tabs>
          <w:tab w:pos="821" w:val="left" w:leader="none"/>
          <w:tab w:pos="822" w:val="left" w:leader="none"/>
        </w:tabs>
        <w:spacing w:line="240" w:lineRule="auto" w:before="1" w:after="0"/>
        <w:ind w:left="821" w:right="0" w:hanging="344"/>
        <w:jc w:val="left"/>
        <w:rPr>
          <w:b/>
          <w:sz w:val="16"/>
        </w:rPr>
      </w:pPr>
      <w:r>
        <w:rPr>
          <w:b/>
          <w:sz w:val="16"/>
        </w:rPr>
        <w:t>CRITERION: Average Daily</w:t>
      </w:r>
      <w:r>
        <w:rPr>
          <w:b/>
          <w:spacing w:val="-15"/>
          <w:sz w:val="16"/>
        </w:rPr>
        <w:t> </w:t>
      </w:r>
      <w:r>
        <w:rPr>
          <w:b/>
          <w:sz w:val="16"/>
        </w:rPr>
        <w:t>Attendance</w:t>
      </w:r>
    </w:p>
    <w:p>
      <w:pPr>
        <w:pStyle w:val="BodyText"/>
        <w:spacing w:before="10"/>
        <w:rPr>
          <w:b/>
          <w:sz w:val="16"/>
        </w:rPr>
      </w:pPr>
    </w:p>
    <w:p>
      <w:pPr>
        <w:spacing w:line="218" w:lineRule="auto" w:before="0"/>
        <w:ind w:left="821" w:right="1447" w:firstLine="0"/>
        <w:jc w:val="left"/>
        <w:rPr>
          <w:sz w:val="16"/>
        </w:rPr>
      </w:pPr>
      <w:r>
        <w:rPr/>
        <w:pict>
          <v:group style="position:absolute;margin-left:268.320007pt;margin-top:36.468578pt;width:315.4pt;height:.4pt;mso-position-horizontal-relative:page;mso-position-vertical-relative:paragraph;z-index:-314037248" coordorigin="5366,729" coordsize="6308,8">
            <v:shape style="position:absolute;left:5366;top:729;width:1964;height:8" type="#_x0000_t75" stroked="false">
              <v:imagedata r:id="rId1506" o:title=""/>
            </v:shape>
            <v:shape style="position:absolute;left:5366;top:729;width:6308;height:8" type="#_x0000_t75" stroked="false">
              <v:imagedata r:id="rId1507" o:title=""/>
            </v:shape>
            <w10:wrap type="none"/>
          </v:group>
        </w:pict>
      </w:r>
      <w:r>
        <w:rPr/>
        <w:drawing>
          <wp:anchor distT="0" distB="0" distL="0" distR="0" allowOverlap="1" layoutInCell="1" locked="0" behindDoc="1" simplePos="0" relativeHeight="189280256">
            <wp:simplePos x="0" y="0"/>
            <wp:positionH relativeFrom="page">
              <wp:posOffset>3407664</wp:posOffset>
            </wp:positionH>
            <wp:positionV relativeFrom="paragraph">
              <wp:posOffset>967595</wp:posOffset>
            </wp:positionV>
            <wp:extent cx="1246631" cy="140207"/>
            <wp:effectExtent l="0" t="0" r="0" b="0"/>
            <wp:wrapNone/>
            <wp:docPr id="57" name="image1406.png"/>
            <wp:cNvGraphicFramePr>
              <a:graphicFrameLocks noChangeAspect="1"/>
            </wp:cNvGraphicFramePr>
            <a:graphic>
              <a:graphicData uri="http://schemas.openxmlformats.org/drawingml/2006/picture">
                <pic:pic>
                  <pic:nvPicPr>
                    <pic:cNvPr id="58" name="image1406.png"/>
                    <pic:cNvPicPr/>
                  </pic:nvPicPr>
                  <pic:blipFill>
                    <a:blip r:embed="rId1508" cstate="print"/>
                    <a:stretch>
                      <a:fillRect/>
                    </a:stretch>
                  </pic:blipFill>
                  <pic:spPr>
                    <a:xfrm>
                      <a:off x="0" y="0"/>
                      <a:ext cx="1246631" cy="140207"/>
                    </a:xfrm>
                    <a:prstGeom prst="rect">
                      <a:avLst/>
                    </a:prstGeom>
                  </pic:spPr>
                </pic:pic>
              </a:graphicData>
            </a:graphic>
          </wp:anchor>
        </w:drawing>
      </w:r>
      <w:r>
        <w:rPr>
          <w:sz w:val="16"/>
        </w:rPr>
        <w:t>STANDARD: Funded average daily attendance (ADA) has not been overestimated in 1) the first prior fiscal year OR in 2) two or more of the previous three fiscal years by more than the following percentage levels:</w:t>
      </w:r>
    </w:p>
    <w:p>
      <w:pPr>
        <w:pStyle w:val="BodyText"/>
        <w:spacing w:before="2"/>
        <w:rPr>
          <w:sz w:val="19"/>
        </w:rPr>
      </w:pPr>
    </w:p>
    <w:tbl>
      <w:tblPr>
        <w:tblW w:w="0" w:type="auto"/>
        <w:jc w:val="left"/>
        <w:tblInd w:w="1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36"/>
        <w:gridCol w:w="2289"/>
        <w:gridCol w:w="1253"/>
        <w:gridCol w:w="892"/>
        <w:gridCol w:w="457"/>
      </w:tblGrid>
      <w:tr>
        <w:trPr>
          <w:trHeight w:val="192" w:hRule="atLeast"/>
        </w:trPr>
        <w:tc>
          <w:tcPr>
            <w:tcW w:w="4236" w:type="dxa"/>
            <w:vMerge w:val="restart"/>
          </w:tcPr>
          <w:p>
            <w:pPr>
              <w:pStyle w:val="TableParagraph"/>
              <w:rPr>
                <w:rFonts w:ascii="Times New Roman"/>
                <w:sz w:val="12"/>
              </w:rPr>
            </w:pPr>
          </w:p>
        </w:tc>
        <w:tc>
          <w:tcPr>
            <w:tcW w:w="2289" w:type="dxa"/>
          </w:tcPr>
          <w:p>
            <w:pPr>
              <w:pStyle w:val="TableParagraph"/>
              <w:spacing w:line="173" w:lineRule="exact"/>
              <w:ind w:left="188" w:right="814"/>
              <w:jc w:val="center"/>
              <w:rPr>
                <w:sz w:val="16"/>
              </w:rPr>
            </w:pPr>
            <w:r>
              <w:rPr>
                <w:sz w:val="16"/>
              </w:rPr>
              <w:t>Percentage Level</w:t>
            </w:r>
          </w:p>
        </w:tc>
        <w:tc>
          <w:tcPr>
            <w:tcW w:w="1253" w:type="dxa"/>
          </w:tcPr>
          <w:p>
            <w:pPr>
              <w:pStyle w:val="TableParagraph"/>
              <w:rPr>
                <w:rFonts w:ascii="Times New Roman"/>
                <w:sz w:val="12"/>
              </w:rPr>
            </w:pPr>
          </w:p>
        </w:tc>
        <w:tc>
          <w:tcPr>
            <w:tcW w:w="892" w:type="dxa"/>
          </w:tcPr>
          <w:p>
            <w:pPr>
              <w:pStyle w:val="TableParagraph"/>
              <w:spacing w:line="173" w:lineRule="exact"/>
              <w:ind w:right="9"/>
              <w:jc w:val="center"/>
              <w:rPr>
                <w:sz w:val="16"/>
              </w:rPr>
            </w:pPr>
            <w:r>
              <w:rPr>
                <w:sz w:val="16"/>
              </w:rPr>
              <w:t>District ADA</w:t>
            </w:r>
          </w:p>
        </w:tc>
        <w:tc>
          <w:tcPr>
            <w:tcW w:w="457" w:type="dxa"/>
          </w:tcPr>
          <w:p>
            <w:pPr>
              <w:pStyle w:val="TableParagraph"/>
              <w:rPr>
                <w:rFonts w:ascii="Times New Roman"/>
                <w:sz w:val="12"/>
              </w:rPr>
            </w:pPr>
          </w:p>
        </w:tc>
      </w:tr>
      <w:tr>
        <w:trPr>
          <w:trHeight w:val="208" w:hRule="atLeast"/>
        </w:trPr>
        <w:tc>
          <w:tcPr>
            <w:tcW w:w="4236" w:type="dxa"/>
            <w:vMerge/>
            <w:tcBorders>
              <w:top w:val="nil"/>
            </w:tcBorders>
          </w:tcPr>
          <w:p>
            <w:pPr>
              <w:rPr>
                <w:sz w:val="2"/>
                <w:szCs w:val="2"/>
              </w:rPr>
            </w:pPr>
          </w:p>
        </w:tc>
        <w:tc>
          <w:tcPr>
            <w:tcW w:w="2289" w:type="dxa"/>
          </w:tcPr>
          <w:p>
            <w:pPr>
              <w:pStyle w:val="TableParagraph"/>
              <w:spacing w:line="180" w:lineRule="exact" w:before="9"/>
              <w:ind w:left="188" w:right="811"/>
              <w:jc w:val="center"/>
              <w:rPr>
                <w:sz w:val="16"/>
              </w:rPr>
            </w:pPr>
            <w:r>
              <w:rPr>
                <w:sz w:val="16"/>
              </w:rPr>
              <w:t>3.0%</w:t>
            </w:r>
          </w:p>
        </w:tc>
        <w:tc>
          <w:tcPr>
            <w:tcW w:w="1253" w:type="dxa"/>
          </w:tcPr>
          <w:p>
            <w:pPr>
              <w:pStyle w:val="TableParagraph"/>
              <w:spacing w:line="180" w:lineRule="exact" w:before="9"/>
              <w:ind w:right="35"/>
              <w:jc w:val="right"/>
              <w:rPr>
                <w:sz w:val="16"/>
              </w:rPr>
            </w:pPr>
            <w:r>
              <w:rPr>
                <w:w w:val="98"/>
                <w:sz w:val="16"/>
              </w:rPr>
              <w:t>0</w:t>
            </w:r>
          </w:p>
        </w:tc>
        <w:tc>
          <w:tcPr>
            <w:tcW w:w="892" w:type="dxa"/>
          </w:tcPr>
          <w:p>
            <w:pPr>
              <w:pStyle w:val="TableParagraph"/>
              <w:spacing w:line="180" w:lineRule="exact" w:before="9"/>
              <w:ind w:left="36" w:right="9"/>
              <w:jc w:val="center"/>
              <w:rPr>
                <w:sz w:val="16"/>
              </w:rPr>
            </w:pPr>
            <w:r>
              <w:rPr>
                <w:sz w:val="16"/>
              </w:rPr>
              <w:t>to</w:t>
            </w:r>
          </w:p>
        </w:tc>
        <w:tc>
          <w:tcPr>
            <w:tcW w:w="457" w:type="dxa"/>
          </w:tcPr>
          <w:p>
            <w:pPr>
              <w:pStyle w:val="TableParagraph"/>
              <w:spacing w:line="180" w:lineRule="exact" w:before="9"/>
              <w:ind w:left="126" w:right="13"/>
              <w:jc w:val="center"/>
              <w:rPr>
                <w:sz w:val="16"/>
              </w:rPr>
            </w:pPr>
            <w:r>
              <w:rPr>
                <w:sz w:val="16"/>
              </w:rPr>
              <w:t>300</w:t>
            </w:r>
          </w:p>
        </w:tc>
      </w:tr>
      <w:tr>
        <w:trPr>
          <w:trHeight w:val="208" w:hRule="atLeast"/>
        </w:trPr>
        <w:tc>
          <w:tcPr>
            <w:tcW w:w="4236" w:type="dxa"/>
            <w:vMerge/>
            <w:tcBorders>
              <w:top w:val="nil"/>
            </w:tcBorders>
          </w:tcPr>
          <w:p>
            <w:pPr>
              <w:rPr>
                <w:sz w:val="2"/>
                <w:szCs w:val="2"/>
              </w:rPr>
            </w:pPr>
          </w:p>
        </w:tc>
        <w:tc>
          <w:tcPr>
            <w:tcW w:w="2289" w:type="dxa"/>
          </w:tcPr>
          <w:p>
            <w:pPr>
              <w:pStyle w:val="TableParagraph"/>
              <w:spacing w:line="180" w:lineRule="exact" w:before="9"/>
              <w:ind w:left="188" w:right="811"/>
              <w:jc w:val="center"/>
              <w:rPr>
                <w:sz w:val="16"/>
              </w:rPr>
            </w:pPr>
            <w:r>
              <w:rPr>
                <w:sz w:val="16"/>
              </w:rPr>
              <w:t>2.0%</w:t>
            </w:r>
          </w:p>
        </w:tc>
        <w:tc>
          <w:tcPr>
            <w:tcW w:w="1253" w:type="dxa"/>
          </w:tcPr>
          <w:p>
            <w:pPr>
              <w:pStyle w:val="TableParagraph"/>
              <w:spacing w:line="180" w:lineRule="exact" w:before="9"/>
              <w:ind w:right="35"/>
              <w:jc w:val="right"/>
              <w:rPr>
                <w:sz w:val="16"/>
              </w:rPr>
            </w:pPr>
            <w:r>
              <w:rPr>
                <w:w w:val="95"/>
                <w:sz w:val="16"/>
              </w:rPr>
              <w:t>301</w:t>
            </w:r>
          </w:p>
        </w:tc>
        <w:tc>
          <w:tcPr>
            <w:tcW w:w="892" w:type="dxa"/>
          </w:tcPr>
          <w:p>
            <w:pPr>
              <w:pStyle w:val="TableParagraph"/>
              <w:spacing w:line="180" w:lineRule="exact" w:before="9"/>
              <w:ind w:left="36" w:right="9"/>
              <w:jc w:val="center"/>
              <w:rPr>
                <w:sz w:val="16"/>
              </w:rPr>
            </w:pPr>
            <w:r>
              <w:rPr>
                <w:sz w:val="16"/>
              </w:rPr>
              <w:t>to</w:t>
            </w:r>
          </w:p>
        </w:tc>
        <w:tc>
          <w:tcPr>
            <w:tcW w:w="457" w:type="dxa"/>
          </w:tcPr>
          <w:p>
            <w:pPr>
              <w:pStyle w:val="TableParagraph"/>
              <w:spacing w:line="180" w:lineRule="exact" w:before="9"/>
              <w:ind w:left="2" w:right="13"/>
              <w:jc w:val="center"/>
              <w:rPr>
                <w:sz w:val="16"/>
              </w:rPr>
            </w:pPr>
            <w:r>
              <w:rPr>
                <w:sz w:val="16"/>
              </w:rPr>
              <w:t>1,000</w:t>
            </w:r>
          </w:p>
        </w:tc>
      </w:tr>
      <w:tr>
        <w:trPr>
          <w:trHeight w:val="309" w:hRule="atLeast"/>
        </w:trPr>
        <w:tc>
          <w:tcPr>
            <w:tcW w:w="4236" w:type="dxa"/>
            <w:vMerge/>
            <w:tcBorders>
              <w:top w:val="nil"/>
            </w:tcBorders>
          </w:tcPr>
          <w:p>
            <w:pPr>
              <w:rPr>
                <w:sz w:val="2"/>
                <w:szCs w:val="2"/>
              </w:rPr>
            </w:pPr>
          </w:p>
        </w:tc>
        <w:tc>
          <w:tcPr>
            <w:tcW w:w="2289" w:type="dxa"/>
          </w:tcPr>
          <w:p>
            <w:pPr>
              <w:pStyle w:val="TableParagraph"/>
              <w:spacing w:before="9"/>
              <w:ind w:left="188" w:right="811"/>
              <w:jc w:val="center"/>
              <w:rPr>
                <w:sz w:val="16"/>
              </w:rPr>
            </w:pPr>
            <w:r>
              <w:rPr>
                <w:sz w:val="16"/>
              </w:rPr>
              <w:t>1.0%</w:t>
            </w:r>
          </w:p>
        </w:tc>
        <w:tc>
          <w:tcPr>
            <w:tcW w:w="1253" w:type="dxa"/>
          </w:tcPr>
          <w:p>
            <w:pPr>
              <w:pStyle w:val="TableParagraph"/>
              <w:spacing w:before="9"/>
              <w:ind w:right="13"/>
              <w:jc w:val="right"/>
              <w:rPr>
                <w:sz w:val="16"/>
              </w:rPr>
            </w:pPr>
            <w:r>
              <w:rPr>
                <w:w w:val="95"/>
                <w:sz w:val="16"/>
              </w:rPr>
              <w:t>1,001</w:t>
            </w:r>
          </w:p>
        </w:tc>
        <w:tc>
          <w:tcPr>
            <w:tcW w:w="892" w:type="dxa"/>
          </w:tcPr>
          <w:p>
            <w:pPr>
              <w:pStyle w:val="TableParagraph"/>
              <w:spacing w:before="9"/>
              <w:ind w:left="42" w:right="9"/>
              <w:jc w:val="center"/>
              <w:rPr>
                <w:sz w:val="16"/>
              </w:rPr>
            </w:pPr>
            <w:r>
              <w:rPr>
                <w:sz w:val="16"/>
              </w:rPr>
              <w:t>and</w:t>
            </w:r>
          </w:p>
        </w:tc>
        <w:tc>
          <w:tcPr>
            <w:tcW w:w="457" w:type="dxa"/>
          </w:tcPr>
          <w:p>
            <w:pPr>
              <w:pStyle w:val="TableParagraph"/>
              <w:spacing w:before="9"/>
              <w:ind w:left="48" w:right="13"/>
              <w:jc w:val="center"/>
              <w:rPr>
                <w:sz w:val="16"/>
              </w:rPr>
            </w:pPr>
            <w:r>
              <w:rPr>
                <w:sz w:val="16"/>
              </w:rPr>
              <w:t>over</w:t>
            </w:r>
          </w:p>
        </w:tc>
      </w:tr>
      <w:tr>
        <w:trPr>
          <w:trHeight w:val="387" w:hRule="atLeast"/>
        </w:trPr>
        <w:tc>
          <w:tcPr>
            <w:tcW w:w="4236" w:type="dxa"/>
          </w:tcPr>
          <w:p>
            <w:pPr>
              <w:pStyle w:val="TableParagraph"/>
              <w:spacing w:before="114"/>
              <w:ind w:right="212"/>
              <w:jc w:val="right"/>
              <w:rPr>
                <w:sz w:val="13"/>
              </w:rPr>
            </w:pPr>
            <w:r>
              <w:rPr>
                <w:sz w:val="13"/>
              </w:rPr>
              <w:t>District ADA (Form A, Estimated P-2 ADA column, lines A4 and C4):</w:t>
            </w:r>
          </w:p>
        </w:tc>
        <w:tc>
          <w:tcPr>
            <w:tcW w:w="2289" w:type="dxa"/>
          </w:tcPr>
          <w:p>
            <w:pPr>
              <w:pStyle w:val="TableParagraph"/>
              <w:spacing w:before="114"/>
              <w:ind w:left="188" w:right="810"/>
              <w:jc w:val="center"/>
              <w:rPr>
                <w:sz w:val="13"/>
              </w:rPr>
            </w:pPr>
            <w:r>
              <w:rPr>
                <w:sz w:val="13"/>
              </w:rPr>
              <w:t>114</w:t>
            </w:r>
          </w:p>
        </w:tc>
        <w:tc>
          <w:tcPr>
            <w:tcW w:w="1253" w:type="dxa"/>
          </w:tcPr>
          <w:p>
            <w:pPr>
              <w:pStyle w:val="TableParagraph"/>
              <w:rPr>
                <w:rFonts w:ascii="Times New Roman"/>
                <w:sz w:val="12"/>
              </w:rPr>
            </w:pPr>
          </w:p>
        </w:tc>
        <w:tc>
          <w:tcPr>
            <w:tcW w:w="892" w:type="dxa"/>
          </w:tcPr>
          <w:p>
            <w:pPr>
              <w:pStyle w:val="TableParagraph"/>
              <w:rPr>
                <w:rFonts w:ascii="Times New Roman"/>
                <w:sz w:val="12"/>
              </w:rPr>
            </w:pPr>
          </w:p>
        </w:tc>
        <w:tc>
          <w:tcPr>
            <w:tcW w:w="457" w:type="dxa"/>
          </w:tcPr>
          <w:p>
            <w:pPr>
              <w:pStyle w:val="TableParagraph"/>
              <w:rPr>
                <w:rFonts w:ascii="Times New Roman"/>
                <w:sz w:val="12"/>
              </w:rPr>
            </w:pPr>
          </w:p>
        </w:tc>
      </w:tr>
      <w:tr>
        <w:trPr>
          <w:trHeight w:val="270" w:hRule="atLeast"/>
        </w:trPr>
        <w:tc>
          <w:tcPr>
            <w:tcW w:w="4236" w:type="dxa"/>
          </w:tcPr>
          <w:p>
            <w:pPr>
              <w:pStyle w:val="TableParagraph"/>
              <w:spacing w:line="130" w:lineRule="exact" w:before="120"/>
              <w:ind w:right="211"/>
              <w:jc w:val="right"/>
              <w:rPr>
                <w:b/>
                <w:sz w:val="13"/>
              </w:rPr>
            </w:pPr>
            <w:r>
              <w:rPr>
                <w:b/>
                <w:sz w:val="13"/>
              </w:rPr>
              <w:t>District's ADA Standard Percentage Level:</w:t>
            </w:r>
          </w:p>
        </w:tc>
        <w:tc>
          <w:tcPr>
            <w:tcW w:w="2289" w:type="dxa"/>
          </w:tcPr>
          <w:p>
            <w:pPr>
              <w:pStyle w:val="TableParagraph"/>
              <w:spacing w:line="130" w:lineRule="exact" w:before="120"/>
              <w:ind w:left="188" w:right="807"/>
              <w:jc w:val="center"/>
              <w:rPr>
                <w:b/>
                <w:sz w:val="13"/>
              </w:rPr>
            </w:pPr>
            <w:r>
              <w:rPr>
                <w:b/>
                <w:sz w:val="13"/>
              </w:rPr>
              <w:t>3.0%</w:t>
            </w:r>
          </w:p>
        </w:tc>
        <w:tc>
          <w:tcPr>
            <w:tcW w:w="1253" w:type="dxa"/>
          </w:tcPr>
          <w:p>
            <w:pPr>
              <w:pStyle w:val="TableParagraph"/>
              <w:rPr>
                <w:rFonts w:ascii="Times New Roman"/>
                <w:sz w:val="12"/>
              </w:rPr>
            </w:pPr>
          </w:p>
        </w:tc>
        <w:tc>
          <w:tcPr>
            <w:tcW w:w="892" w:type="dxa"/>
          </w:tcPr>
          <w:p>
            <w:pPr>
              <w:pStyle w:val="TableParagraph"/>
              <w:rPr>
                <w:rFonts w:ascii="Times New Roman"/>
                <w:sz w:val="12"/>
              </w:rPr>
            </w:pPr>
          </w:p>
        </w:tc>
        <w:tc>
          <w:tcPr>
            <w:tcW w:w="457" w:type="dxa"/>
          </w:tcPr>
          <w:p>
            <w:pPr>
              <w:pStyle w:val="TableParagraph"/>
              <w:rPr>
                <w:rFonts w:ascii="Times New Roman"/>
                <w:sz w:val="12"/>
              </w:rPr>
            </w:pPr>
          </w:p>
        </w:tc>
      </w:tr>
    </w:tbl>
    <w:p>
      <w:pPr>
        <w:pStyle w:val="BodyText"/>
        <w:spacing w:before="7"/>
        <w:rPr>
          <w:sz w:val="10"/>
        </w:rPr>
      </w:pPr>
      <w:r>
        <w:rPr/>
        <w:pict>
          <v:group style="position:absolute;margin-left:16.440001pt;margin-top:8.084014pt;width:567.25pt;height:11.65pt;mso-position-horizontal-relative:page;mso-position-vertical-relative:paragraph;z-index:-250989568;mso-wrap-distance-left:0;mso-wrap-distance-right:0" coordorigin="329,162" coordsize="11345,233">
            <v:shape style="position:absolute;left:328;top:161;width:11345;height:22" type="#_x0000_t75" stroked="false">
              <v:imagedata r:id="rId1503" o:title=""/>
            </v:shape>
            <v:line style="position:absolute" from="829,174" to="829,378" stroked="true" strokeweight=".359999pt" strokecolor="#ffffff">
              <v:stroke dashstyle="solid"/>
            </v:line>
            <v:line style="position:absolute" from="2591,174" to="2591,378" stroked="true" strokeweight=".360008pt" strokecolor="#ffffff">
              <v:stroke dashstyle="solid"/>
            </v:line>
            <v:line style="position:absolute" from="3325,174" to="3325,378" stroked="true" strokeweight=".359997pt" strokecolor="#ffffff">
              <v:stroke dashstyle="solid"/>
            </v:line>
            <v:shape style="position:absolute;left:328;top:372;width:4438;height:22" type="#_x0000_t75" stroked="false">
              <v:imagedata r:id="rId1509" o:title=""/>
            </v:shape>
            <v:shape style="position:absolute;left:328;top:161;width:11345;height:22" type="#_x0000_t75" stroked="false">
              <v:imagedata r:id="rId1503" o:title=""/>
            </v:shape>
            <v:shape style="position:absolute;left:4759;top:372;width:6915;height:22" type="#_x0000_t75" stroked="false">
              <v:imagedata r:id="rId1510" o:title=""/>
            </v:shape>
            <v:shape style="position:absolute;left:328;top:161;width:11345;height:233" type="#_x0000_t202" filled="false" stroked="false">
              <v:textbox inset="0,0,0,0">
                <w:txbxContent>
                  <w:p>
                    <w:pPr>
                      <w:spacing w:before="56"/>
                      <w:ind w:left="33" w:right="0" w:firstLine="0"/>
                      <w:jc w:val="left"/>
                      <w:rPr>
                        <w:b/>
                        <w:sz w:val="14"/>
                      </w:rPr>
                    </w:pPr>
                    <w:r>
                      <w:rPr>
                        <w:b/>
                        <w:w w:val="105"/>
                        <w:sz w:val="14"/>
                      </w:rPr>
                      <w:t>1A. Calculating the District's ADA Variances</w:t>
                    </w:r>
                  </w:p>
                </w:txbxContent>
              </v:textbox>
              <w10:wrap type="none"/>
            </v:shape>
            <w10:wrap type="topAndBottom"/>
          </v:group>
        </w:pict>
      </w:r>
    </w:p>
    <w:p>
      <w:pPr>
        <w:pStyle w:val="BodyText"/>
        <w:spacing w:before="8"/>
        <w:rPr>
          <w:sz w:val="22"/>
        </w:rPr>
      </w:pPr>
    </w:p>
    <w:p>
      <w:pPr>
        <w:pStyle w:val="BodyText"/>
        <w:spacing w:before="1"/>
        <w:ind w:left="322" w:right="932"/>
      </w:pPr>
      <w:r>
        <w:rPr/>
        <w:drawing>
          <wp:anchor distT="0" distB="0" distL="0" distR="0" allowOverlap="1" layoutInCell="1" locked="0" behindDoc="1" simplePos="0" relativeHeight="189281280">
            <wp:simplePos x="0" y="0"/>
            <wp:positionH relativeFrom="page">
              <wp:posOffset>3407664</wp:posOffset>
            </wp:positionH>
            <wp:positionV relativeFrom="paragraph">
              <wp:posOffset>-578777</wp:posOffset>
            </wp:positionV>
            <wp:extent cx="1246633" cy="149351"/>
            <wp:effectExtent l="0" t="0" r="0" b="0"/>
            <wp:wrapNone/>
            <wp:docPr id="59" name="image1409.png"/>
            <wp:cNvGraphicFramePr>
              <a:graphicFrameLocks noChangeAspect="1"/>
            </wp:cNvGraphicFramePr>
            <a:graphic>
              <a:graphicData uri="http://schemas.openxmlformats.org/drawingml/2006/picture">
                <pic:pic>
                  <pic:nvPicPr>
                    <pic:cNvPr id="60" name="image1409.png"/>
                    <pic:cNvPicPr/>
                  </pic:nvPicPr>
                  <pic:blipFill>
                    <a:blip r:embed="rId1511" cstate="print"/>
                    <a:stretch>
                      <a:fillRect/>
                    </a:stretch>
                  </pic:blipFill>
                  <pic:spPr>
                    <a:xfrm>
                      <a:off x="0" y="0"/>
                      <a:ext cx="1246633" cy="149351"/>
                    </a:xfrm>
                    <a:prstGeom prst="rect">
                      <a:avLst/>
                    </a:prstGeom>
                  </pic:spPr>
                </pic:pic>
              </a:graphicData>
            </a:graphic>
          </wp:anchor>
        </w:drawing>
      </w:r>
      <w:r>
        <w:rPr/>
        <w:pict>
          <v:group style="position:absolute;margin-left:16.440001pt;margin-top:58.106915pt;width:567.25pt;height:103.7pt;mso-position-horizontal-relative:page;mso-position-vertical-relative:paragraph;z-index:-314034176" coordorigin="329,1162" coordsize="11345,2074">
            <v:shape style="position:absolute;left:328;top:1162;width:2268;height:171" type="#_x0000_t75" stroked="false">
              <v:imagedata r:id="rId1512" o:title=""/>
            </v:shape>
            <v:shape style="position:absolute;left:2589;top:1162;width:9084;height:339" type="#_x0000_t75" stroked="false">
              <v:imagedata r:id="rId1513" o:title=""/>
            </v:shape>
            <v:shape style="position:absolute;left:328;top:1330;width:11345;height:528" type="#_x0000_t75" stroked="false">
              <v:imagedata r:id="rId1514" o:title=""/>
            </v:shape>
            <v:shape style="position:absolute;left:5366;top:1666;width:6308;height:524" type="#_x0000_t75" stroked="false">
              <v:imagedata r:id="rId1515" o:title=""/>
            </v:shape>
            <v:shape style="position:absolute;left:328;top:1850;width:11345;height:696" type="#_x0000_t75" stroked="false">
              <v:imagedata r:id="rId1516" o:title=""/>
            </v:shape>
            <v:shape style="position:absolute;left:5366;top:2354;width:6308;height:524" type="#_x0000_t75" stroked="false">
              <v:imagedata r:id="rId1515" o:title=""/>
            </v:shape>
            <v:shape style="position:absolute;left:328;top:2539;width:11345;height:696" type="#_x0000_t75" stroked="false">
              <v:imagedata r:id="rId1516" o:title=""/>
            </v:shape>
            <v:shape style="position:absolute;left:5366;top:3043;width:4395;height:192" type="#_x0000_t75" stroked="false">
              <v:imagedata r:id="rId1517" o:title=""/>
            </v:shape>
            <v:shape style="position:absolute;left:9753;top:3043;width:1920;height:192" type="#_x0000_t75" stroked="false">
              <v:imagedata r:id="rId1518" o:title=""/>
            </v:shape>
            <w10:wrap type="none"/>
          </v:group>
        </w:pict>
      </w:r>
      <w:r>
        <w:rPr/>
        <w:t>DATA ENTRY: For the Third, Second, and First Prior Years, enter Estimated Funded ADA in the Original Budget Funded ADA column; enter district regular ADA and charter school ADA corresponding to financial data reported in the General Fund, only, for the Third, Second, and First Prior Years. All other data are extracted.</w:t>
      </w:r>
    </w:p>
    <w:p>
      <w:pPr>
        <w:pStyle w:val="BodyText"/>
        <w:rPr>
          <w:sz w:val="20"/>
        </w:rPr>
      </w:pPr>
    </w:p>
    <w:p>
      <w:pPr>
        <w:pStyle w:val="BodyText"/>
        <w:spacing w:before="7"/>
        <w:rPr>
          <w:sz w:val="11"/>
        </w:rPr>
      </w:pPr>
    </w:p>
    <w:tbl>
      <w:tblPr>
        <w:tblW w:w="0" w:type="auto"/>
        <w:jc w:val="left"/>
        <w:tblInd w:w="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22"/>
        <w:gridCol w:w="2457"/>
        <w:gridCol w:w="2095"/>
        <w:gridCol w:w="2368"/>
        <w:gridCol w:w="1066"/>
      </w:tblGrid>
      <w:tr>
        <w:trPr>
          <w:trHeight w:val="510" w:hRule="atLeast"/>
        </w:trPr>
        <w:tc>
          <w:tcPr>
            <w:tcW w:w="2622" w:type="dxa"/>
          </w:tcPr>
          <w:p>
            <w:pPr>
              <w:pStyle w:val="TableParagraph"/>
              <w:rPr>
                <w:sz w:val="14"/>
              </w:rPr>
            </w:pPr>
          </w:p>
          <w:p>
            <w:pPr>
              <w:pStyle w:val="TableParagraph"/>
              <w:spacing w:before="5"/>
              <w:rPr>
                <w:sz w:val="16"/>
              </w:rPr>
            </w:pPr>
          </w:p>
          <w:p>
            <w:pPr>
              <w:pStyle w:val="TableParagraph"/>
              <w:spacing w:line="140" w:lineRule="exact"/>
              <w:ind w:left="810"/>
              <w:rPr>
                <w:sz w:val="13"/>
              </w:rPr>
            </w:pPr>
            <w:r>
              <w:rPr>
                <w:sz w:val="13"/>
              </w:rPr>
              <w:t>Fiscal Year</w:t>
            </w:r>
          </w:p>
        </w:tc>
        <w:tc>
          <w:tcPr>
            <w:tcW w:w="2457" w:type="dxa"/>
          </w:tcPr>
          <w:p>
            <w:pPr>
              <w:pStyle w:val="TableParagraph"/>
              <w:spacing w:line="268" w:lineRule="auto"/>
              <w:ind w:left="945" w:right="602"/>
              <w:jc w:val="center"/>
              <w:rPr>
                <w:sz w:val="13"/>
              </w:rPr>
            </w:pPr>
            <w:r>
              <w:rPr>
                <w:sz w:val="13"/>
              </w:rPr>
              <w:t>Original Budget Funded ADA</w:t>
            </w:r>
          </w:p>
          <w:p>
            <w:pPr>
              <w:pStyle w:val="TableParagraph"/>
              <w:spacing w:line="140" w:lineRule="exact" w:before="15"/>
              <w:ind w:left="606" w:right="264"/>
              <w:jc w:val="center"/>
              <w:rPr>
                <w:sz w:val="13"/>
              </w:rPr>
            </w:pPr>
            <w:r>
              <w:rPr>
                <w:sz w:val="13"/>
              </w:rPr>
              <w:t>(Form A, Lines A4 and C4)</w:t>
            </w:r>
          </w:p>
        </w:tc>
        <w:tc>
          <w:tcPr>
            <w:tcW w:w="2095" w:type="dxa"/>
          </w:tcPr>
          <w:p>
            <w:pPr>
              <w:pStyle w:val="TableParagraph"/>
              <w:spacing w:line="268" w:lineRule="auto"/>
              <w:ind w:left="91" w:right="302"/>
              <w:jc w:val="center"/>
              <w:rPr>
                <w:sz w:val="13"/>
              </w:rPr>
            </w:pPr>
            <w:r>
              <w:rPr>
                <w:sz w:val="13"/>
              </w:rPr>
              <w:t>Estimated/Unaudited Actuals Funded ADA</w:t>
            </w:r>
          </w:p>
          <w:p>
            <w:pPr>
              <w:pStyle w:val="TableParagraph"/>
              <w:spacing w:line="140" w:lineRule="exact" w:before="15"/>
              <w:ind w:left="91" w:right="299"/>
              <w:jc w:val="center"/>
              <w:rPr>
                <w:sz w:val="13"/>
              </w:rPr>
            </w:pPr>
            <w:r>
              <w:rPr>
                <w:sz w:val="13"/>
              </w:rPr>
              <w:t>(Form A, Lines A4 and C4)</w:t>
            </w:r>
          </w:p>
        </w:tc>
        <w:tc>
          <w:tcPr>
            <w:tcW w:w="2368" w:type="dxa"/>
          </w:tcPr>
          <w:p>
            <w:pPr>
              <w:pStyle w:val="TableParagraph"/>
              <w:spacing w:line="268" w:lineRule="auto"/>
              <w:ind w:left="249" w:right="663" w:firstLine="197"/>
              <w:rPr>
                <w:sz w:val="13"/>
              </w:rPr>
            </w:pPr>
            <w:r>
              <w:rPr>
                <w:sz w:val="13"/>
              </w:rPr>
              <w:t>ADA Variance Level (If Budget is greater</w:t>
            </w:r>
          </w:p>
          <w:p>
            <w:pPr>
              <w:pStyle w:val="TableParagraph"/>
              <w:spacing w:line="140" w:lineRule="exact" w:before="15"/>
              <w:ind w:left="368"/>
              <w:rPr>
                <w:sz w:val="13"/>
              </w:rPr>
            </w:pPr>
            <w:r>
              <w:rPr>
                <w:sz w:val="13"/>
              </w:rPr>
              <w:t>than Actuals, else N/A)</w:t>
            </w:r>
          </w:p>
        </w:tc>
        <w:tc>
          <w:tcPr>
            <w:tcW w:w="1066" w:type="dxa"/>
          </w:tcPr>
          <w:p>
            <w:pPr>
              <w:pStyle w:val="TableParagraph"/>
              <w:rPr>
                <w:sz w:val="14"/>
              </w:rPr>
            </w:pPr>
          </w:p>
          <w:p>
            <w:pPr>
              <w:pStyle w:val="TableParagraph"/>
              <w:spacing w:before="5"/>
              <w:rPr>
                <w:sz w:val="16"/>
              </w:rPr>
            </w:pPr>
          </w:p>
          <w:p>
            <w:pPr>
              <w:pStyle w:val="TableParagraph"/>
              <w:spacing w:line="140" w:lineRule="exact"/>
              <w:ind w:right="32"/>
              <w:jc w:val="right"/>
              <w:rPr>
                <w:sz w:val="13"/>
              </w:rPr>
            </w:pPr>
            <w:r>
              <w:rPr>
                <w:sz w:val="13"/>
              </w:rPr>
              <w:t>Status</w:t>
            </w:r>
          </w:p>
        </w:tc>
      </w:tr>
      <w:tr>
        <w:trPr>
          <w:trHeight w:val="335" w:hRule="atLeast"/>
        </w:trPr>
        <w:tc>
          <w:tcPr>
            <w:tcW w:w="2622" w:type="dxa"/>
          </w:tcPr>
          <w:p>
            <w:pPr>
              <w:pStyle w:val="TableParagraph"/>
              <w:spacing w:before="7"/>
              <w:ind w:right="1051"/>
              <w:jc w:val="right"/>
              <w:rPr>
                <w:sz w:val="13"/>
              </w:rPr>
            </w:pPr>
            <w:r>
              <w:rPr>
                <w:sz w:val="13"/>
              </w:rPr>
              <w:t>Third Prior Year (2018-19)</w:t>
            </w:r>
          </w:p>
          <w:p>
            <w:pPr>
              <w:pStyle w:val="TableParagraph"/>
              <w:spacing w:line="140" w:lineRule="exact" w:before="19"/>
              <w:ind w:right="1010"/>
              <w:jc w:val="right"/>
              <w:rPr>
                <w:sz w:val="13"/>
              </w:rPr>
            </w:pPr>
            <w:r>
              <w:rPr>
                <w:sz w:val="13"/>
              </w:rPr>
              <w:t>District Regular</w:t>
            </w:r>
          </w:p>
        </w:tc>
        <w:tc>
          <w:tcPr>
            <w:tcW w:w="2457" w:type="dxa"/>
          </w:tcPr>
          <w:p>
            <w:pPr>
              <w:pStyle w:val="TableParagraph"/>
              <w:spacing w:before="3"/>
              <w:rPr>
                <w:sz w:val="15"/>
              </w:rPr>
            </w:pPr>
          </w:p>
          <w:p>
            <w:pPr>
              <w:pStyle w:val="TableParagraph"/>
              <w:spacing w:line="140" w:lineRule="exact"/>
              <w:ind w:right="109"/>
              <w:jc w:val="right"/>
              <w:rPr>
                <w:sz w:val="13"/>
              </w:rPr>
            </w:pPr>
            <w:r>
              <w:rPr>
                <w:sz w:val="13"/>
              </w:rPr>
              <w:t>132</w:t>
            </w:r>
          </w:p>
        </w:tc>
        <w:tc>
          <w:tcPr>
            <w:tcW w:w="2095" w:type="dxa"/>
          </w:tcPr>
          <w:p>
            <w:pPr>
              <w:pStyle w:val="TableParagraph"/>
              <w:spacing w:before="3"/>
              <w:rPr>
                <w:sz w:val="15"/>
              </w:rPr>
            </w:pPr>
          </w:p>
          <w:p>
            <w:pPr>
              <w:pStyle w:val="TableParagraph"/>
              <w:spacing w:line="140" w:lineRule="exact"/>
              <w:ind w:right="248"/>
              <w:jc w:val="right"/>
              <w:rPr>
                <w:sz w:val="13"/>
              </w:rPr>
            </w:pPr>
            <w:r>
              <w:rPr>
                <w:sz w:val="13"/>
              </w:rPr>
              <w:t>131</w:t>
            </w:r>
          </w:p>
        </w:tc>
        <w:tc>
          <w:tcPr>
            <w:tcW w:w="2368" w:type="dxa"/>
          </w:tcPr>
          <w:p>
            <w:pPr>
              <w:pStyle w:val="TableParagraph"/>
              <w:rPr>
                <w:rFonts w:ascii="Times New Roman"/>
                <w:sz w:val="12"/>
              </w:rPr>
            </w:pPr>
          </w:p>
        </w:tc>
        <w:tc>
          <w:tcPr>
            <w:tcW w:w="1066" w:type="dxa"/>
          </w:tcPr>
          <w:p>
            <w:pPr>
              <w:pStyle w:val="TableParagraph"/>
              <w:rPr>
                <w:rFonts w:ascii="Times New Roman"/>
                <w:sz w:val="12"/>
              </w:rPr>
            </w:pPr>
          </w:p>
        </w:tc>
      </w:tr>
      <w:tr>
        <w:trPr>
          <w:trHeight w:val="175" w:hRule="atLeast"/>
        </w:trPr>
        <w:tc>
          <w:tcPr>
            <w:tcW w:w="2622" w:type="dxa"/>
          </w:tcPr>
          <w:p>
            <w:pPr>
              <w:pStyle w:val="TableParagraph"/>
              <w:spacing w:line="147" w:lineRule="exact" w:before="7"/>
              <w:ind w:left="714"/>
              <w:rPr>
                <w:sz w:val="13"/>
              </w:rPr>
            </w:pPr>
            <w:r>
              <w:rPr>
                <w:sz w:val="13"/>
              </w:rPr>
              <w:t>Charter School</w:t>
            </w:r>
          </w:p>
        </w:tc>
        <w:tc>
          <w:tcPr>
            <w:tcW w:w="2457" w:type="dxa"/>
          </w:tcPr>
          <w:p>
            <w:pPr>
              <w:pStyle w:val="TableParagraph"/>
              <w:rPr>
                <w:rFonts w:ascii="Times New Roman"/>
                <w:sz w:val="10"/>
              </w:rPr>
            </w:pPr>
          </w:p>
        </w:tc>
        <w:tc>
          <w:tcPr>
            <w:tcW w:w="2095" w:type="dxa"/>
          </w:tcPr>
          <w:p>
            <w:pPr>
              <w:pStyle w:val="TableParagraph"/>
              <w:rPr>
                <w:rFonts w:ascii="Times New Roman"/>
                <w:sz w:val="10"/>
              </w:rPr>
            </w:pPr>
          </w:p>
        </w:tc>
        <w:tc>
          <w:tcPr>
            <w:tcW w:w="2368" w:type="dxa"/>
          </w:tcPr>
          <w:p>
            <w:pPr>
              <w:pStyle w:val="TableParagraph"/>
              <w:rPr>
                <w:rFonts w:ascii="Times New Roman"/>
                <w:sz w:val="10"/>
              </w:rPr>
            </w:pPr>
          </w:p>
        </w:tc>
        <w:tc>
          <w:tcPr>
            <w:tcW w:w="1066" w:type="dxa"/>
          </w:tcPr>
          <w:p>
            <w:pPr>
              <w:pStyle w:val="TableParagraph"/>
              <w:rPr>
                <w:rFonts w:ascii="Times New Roman"/>
                <w:sz w:val="10"/>
              </w:rPr>
            </w:pPr>
          </w:p>
        </w:tc>
      </w:tr>
      <w:tr>
        <w:trPr>
          <w:trHeight w:val="513" w:hRule="atLeast"/>
        </w:trPr>
        <w:tc>
          <w:tcPr>
            <w:tcW w:w="2622" w:type="dxa"/>
          </w:tcPr>
          <w:p>
            <w:pPr>
              <w:pStyle w:val="TableParagraph"/>
              <w:spacing w:before="15"/>
              <w:ind w:left="1606"/>
              <w:rPr>
                <w:b/>
                <w:sz w:val="13"/>
              </w:rPr>
            </w:pPr>
            <w:r>
              <w:rPr>
                <w:b/>
                <w:sz w:val="13"/>
              </w:rPr>
              <w:t>Total ADA</w:t>
            </w:r>
          </w:p>
          <w:p>
            <w:pPr>
              <w:pStyle w:val="TableParagraph"/>
              <w:spacing w:before="21"/>
              <w:ind w:left="34"/>
              <w:rPr>
                <w:sz w:val="13"/>
              </w:rPr>
            </w:pPr>
            <w:r>
              <w:rPr>
                <w:sz w:val="13"/>
              </w:rPr>
              <w:t>Second Prior Year (2019-20)</w:t>
            </w:r>
          </w:p>
          <w:p>
            <w:pPr>
              <w:pStyle w:val="TableParagraph"/>
              <w:spacing w:line="140" w:lineRule="exact" w:before="18"/>
              <w:ind w:left="714"/>
              <w:rPr>
                <w:sz w:val="13"/>
              </w:rPr>
            </w:pPr>
            <w:r>
              <w:rPr>
                <w:sz w:val="13"/>
              </w:rPr>
              <w:t>District Regular</w:t>
            </w:r>
          </w:p>
        </w:tc>
        <w:tc>
          <w:tcPr>
            <w:tcW w:w="2457" w:type="dxa"/>
          </w:tcPr>
          <w:p>
            <w:pPr>
              <w:pStyle w:val="TableParagraph"/>
              <w:spacing w:before="15"/>
              <w:ind w:left="2124"/>
              <w:rPr>
                <w:b/>
                <w:sz w:val="13"/>
              </w:rPr>
            </w:pPr>
            <w:r>
              <w:rPr>
                <w:b/>
                <w:sz w:val="13"/>
              </w:rPr>
              <w:t>132</w:t>
            </w:r>
          </w:p>
          <w:p>
            <w:pPr>
              <w:pStyle w:val="TableParagraph"/>
              <w:spacing w:before="4"/>
              <w:rPr>
                <w:sz w:val="16"/>
              </w:rPr>
            </w:pPr>
          </w:p>
          <w:p>
            <w:pPr>
              <w:pStyle w:val="TableParagraph"/>
              <w:spacing w:line="140" w:lineRule="exact" w:before="1"/>
              <w:ind w:left="2124"/>
              <w:rPr>
                <w:sz w:val="13"/>
              </w:rPr>
            </w:pPr>
            <w:r>
              <w:rPr>
                <w:sz w:val="13"/>
              </w:rPr>
              <w:t>111</w:t>
            </w:r>
          </w:p>
        </w:tc>
        <w:tc>
          <w:tcPr>
            <w:tcW w:w="2095" w:type="dxa"/>
          </w:tcPr>
          <w:p>
            <w:pPr>
              <w:pStyle w:val="TableParagraph"/>
              <w:spacing w:before="15"/>
              <w:ind w:left="1623"/>
              <w:rPr>
                <w:b/>
                <w:sz w:val="13"/>
              </w:rPr>
            </w:pPr>
            <w:r>
              <w:rPr>
                <w:b/>
                <w:sz w:val="13"/>
              </w:rPr>
              <w:t>131</w:t>
            </w:r>
          </w:p>
          <w:p>
            <w:pPr>
              <w:pStyle w:val="TableParagraph"/>
              <w:spacing w:before="4"/>
              <w:rPr>
                <w:sz w:val="16"/>
              </w:rPr>
            </w:pPr>
          </w:p>
          <w:p>
            <w:pPr>
              <w:pStyle w:val="TableParagraph"/>
              <w:spacing w:line="140" w:lineRule="exact" w:before="1"/>
              <w:ind w:left="1623"/>
              <w:rPr>
                <w:sz w:val="13"/>
              </w:rPr>
            </w:pPr>
            <w:r>
              <w:rPr>
                <w:sz w:val="13"/>
              </w:rPr>
              <w:t>114</w:t>
            </w:r>
          </w:p>
        </w:tc>
        <w:tc>
          <w:tcPr>
            <w:tcW w:w="2368" w:type="dxa"/>
          </w:tcPr>
          <w:p>
            <w:pPr>
              <w:pStyle w:val="TableParagraph"/>
              <w:spacing w:before="15"/>
              <w:ind w:left="891"/>
              <w:rPr>
                <w:b/>
                <w:sz w:val="13"/>
              </w:rPr>
            </w:pPr>
            <w:r>
              <w:rPr>
                <w:b/>
                <w:sz w:val="13"/>
              </w:rPr>
              <w:t>0.8%</w:t>
            </w:r>
          </w:p>
        </w:tc>
        <w:tc>
          <w:tcPr>
            <w:tcW w:w="1066" w:type="dxa"/>
          </w:tcPr>
          <w:p>
            <w:pPr>
              <w:pStyle w:val="TableParagraph"/>
              <w:spacing w:before="15"/>
              <w:ind w:right="107"/>
              <w:jc w:val="right"/>
              <w:rPr>
                <w:b/>
                <w:sz w:val="13"/>
              </w:rPr>
            </w:pPr>
            <w:r>
              <w:rPr>
                <w:b/>
                <w:sz w:val="13"/>
              </w:rPr>
              <w:t>Met</w:t>
            </w:r>
          </w:p>
        </w:tc>
      </w:tr>
      <w:tr>
        <w:trPr>
          <w:trHeight w:val="175" w:hRule="atLeast"/>
        </w:trPr>
        <w:tc>
          <w:tcPr>
            <w:tcW w:w="2622" w:type="dxa"/>
          </w:tcPr>
          <w:p>
            <w:pPr>
              <w:pStyle w:val="TableParagraph"/>
              <w:spacing w:line="147" w:lineRule="exact" w:before="7"/>
              <w:ind w:left="714"/>
              <w:rPr>
                <w:sz w:val="13"/>
              </w:rPr>
            </w:pPr>
            <w:r>
              <w:rPr>
                <w:sz w:val="13"/>
              </w:rPr>
              <w:t>Charter School</w:t>
            </w:r>
          </w:p>
        </w:tc>
        <w:tc>
          <w:tcPr>
            <w:tcW w:w="2457" w:type="dxa"/>
          </w:tcPr>
          <w:p>
            <w:pPr>
              <w:pStyle w:val="TableParagraph"/>
              <w:rPr>
                <w:rFonts w:ascii="Times New Roman"/>
                <w:sz w:val="10"/>
              </w:rPr>
            </w:pPr>
          </w:p>
        </w:tc>
        <w:tc>
          <w:tcPr>
            <w:tcW w:w="2095" w:type="dxa"/>
          </w:tcPr>
          <w:p>
            <w:pPr>
              <w:pStyle w:val="TableParagraph"/>
              <w:rPr>
                <w:rFonts w:ascii="Times New Roman"/>
                <w:sz w:val="10"/>
              </w:rPr>
            </w:pPr>
          </w:p>
        </w:tc>
        <w:tc>
          <w:tcPr>
            <w:tcW w:w="2368" w:type="dxa"/>
          </w:tcPr>
          <w:p>
            <w:pPr>
              <w:pStyle w:val="TableParagraph"/>
              <w:rPr>
                <w:rFonts w:ascii="Times New Roman"/>
                <w:sz w:val="10"/>
              </w:rPr>
            </w:pPr>
          </w:p>
        </w:tc>
        <w:tc>
          <w:tcPr>
            <w:tcW w:w="1066" w:type="dxa"/>
          </w:tcPr>
          <w:p>
            <w:pPr>
              <w:pStyle w:val="TableParagraph"/>
              <w:rPr>
                <w:rFonts w:ascii="Times New Roman"/>
                <w:sz w:val="10"/>
              </w:rPr>
            </w:pPr>
          </w:p>
        </w:tc>
      </w:tr>
      <w:tr>
        <w:trPr>
          <w:trHeight w:val="513" w:hRule="atLeast"/>
        </w:trPr>
        <w:tc>
          <w:tcPr>
            <w:tcW w:w="2622" w:type="dxa"/>
          </w:tcPr>
          <w:p>
            <w:pPr>
              <w:pStyle w:val="TableParagraph"/>
              <w:spacing w:before="15"/>
              <w:ind w:left="1606"/>
              <w:rPr>
                <w:b/>
                <w:sz w:val="13"/>
              </w:rPr>
            </w:pPr>
            <w:r>
              <w:rPr>
                <w:b/>
                <w:sz w:val="13"/>
              </w:rPr>
              <w:t>Total ADA</w:t>
            </w:r>
          </w:p>
          <w:p>
            <w:pPr>
              <w:pStyle w:val="TableParagraph"/>
              <w:spacing w:before="21"/>
              <w:ind w:right="1094"/>
              <w:jc w:val="right"/>
              <w:rPr>
                <w:sz w:val="13"/>
              </w:rPr>
            </w:pPr>
            <w:r>
              <w:rPr>
                <w:sz w:val="13"/>
              </w:rPr>
              <w:t>First Prior Year (2020-21)</w:t>
            </w:r>
          </w:p>
          <w:p>
            <w:pPr>
              <w:pStyle w:val="TableParagraph"/>
              <w:spacing w:line="140" w:lineRule="exact" w:before="18"/>
              <w:ind w:right="1010"/>
              <w:jc w:val="right"/>
              <w:rPr>
                <w:sz w:val="13"/>
              </w:rPr>
            </w:pPr>
            <w:r>
              <w:rPr>
                <w:sz w:val="13"/>
              </w:rPr>
              <w:t>District Regular</w:t>
            </w:r>
          </w:p>
        </w:tc>
        <w:tc>
          <w:tcPr>
            <w:tcW w:w="2457" w:type="dxa"/>
          </w:tcPr>
          <w:p>
            <w:pPr>
              <w:pStyle w:val="TableParagraph"/>
              <w:spacing w:before="15"/>
              <w:ind w:left="2124"/>
              <w:rPr>
                <w:b/>
                <w:sz w:val="13"/>
              </w:rPr>
            </w:pPr>
            <w:r>
              <w:rPr>
                <w:b/>
                <w:sz w:val="13"/>
              </w:rPr>
              <w:t>111</w:t>
            </w:r>
          </w:p>
          <w:p>
            <w:pPr>
              <w:pStyle w:val="TableParagraph"/>
              <w:spacing w:before="4"/>
              <w:rPr>
                <w:sz w:val="16"/>
              </w:rPr>
            </w:pPr>
          </w:p>
          <w:p>
            <w:pPr>
              <w:pStyle w:val="TableParagraph"/>
              <w:spacing w:line="140" w:lineRule="exact" w:before="1"/>
              <w:ind w:left="2124"/>
              <w:rPr>
                <w:sz w:val="13"/>
              </w:rPr>
            </w:pPr>
            <w:r>
              <w:rPr>
                <w:sz w:val="13"/>
              </w:rPr>
              <w:t>114</w:t>
            </w:r>
          </w:p>
        </w:tc>
        <w:tc>
          <w:tcPr>
            <w:tcW w:w="2095" w:type="dxa"/>
          </w:tcPr>
          <w:p>
            <w:pPr>
              <w:pStyle w:val="TableParagraph"/>
              <w:spacing w:before="15"/>
              <w:ind w:left="1623"/>
              <w:rPr>
                <w:b/>
                <w:sz w:val="13"/>
              </w:rPr>
            </w:pPr>
            <w:r>
              <w:rPr>
                <w:b/>
                <w:sz w:val="13"/>
              </w:rPr>
              <w:t>114</w:t>
            </w:r>
          </w:p>
          <w:p>
            <w:pPr>
              <w:pStyle w:val="TableParagraph"/>
              <w:spacing w:before="4"/>
              <w:rPr>
                <w:sz w:val="16"/>
              </w:rPr>
            </w:pPr>
          </w:p>
          <w:p>
            <w:pPr>
              <w:pStyle w:val="TableParagraph"/>
              <w:spacing w:line="140" w:lineRule="exact" w:before="1"/>
              <w:ind w:left="1623"/>
              <w:rPr>
                <w:sz w:val="13"/>
              </w:rPr>
            </w:pPr>
            <w:r>
              <w:rPr>
                <w:sz w:val="13"/>
              </w:rPr>
              <w:t>114</w:t>
            </w:r>
          </w:p>
        </w:tc>
        <w:tc>
          <w:tcPr>
            <w:tcW w:w="2368" w:type="dxa"/>
          </w:tcPr>
          <w:p>
            <w:pPr>
              <w:pStyle w:val="TableParagraph"/>
              <w:spacing w:before="15"/>
              <w:ind w:left="929"/>
              <w:rPr>
                <w:b/>
                <w:sz w:val="13"/>
              </w:rPr>
            </w:pPr>
            <w:r>
              <w:rPr>
                <w:b/>
                <w:sz w:val="13"/>
              </w:rPr>
              <w:t>N/A</w:t>
            </w:r>
          </w:p>
        </w:tc>
        <w:tc>
          <w:tcPr>
            <w:tcW w:w="1066" w:type="dxa"/>
          </w:tcPr>
          <w:p>
            <w:pPr>
              <w:pStyle w:val="TableParagraph"/>
              <w:spacing w:before="15"/>
              <w:ind w:right="107"/>
              <w:jc w:val="right"/>
              <w:rPr>
                <w:b/>
                <w:sz w:val="13"/>
              </w:rPr>
            </w:pPr>
            <w:r>
              <w:rPr>
                <w:b/>
                <w:sz w:val="13"/>
              </w:rPr>
              <w:t>Met</w:t>
            </w:r>
          </w:p>
        </w:tc>
      </w:tr>
      <w:tr>
        <w:trPr>
          <w:trHeight w:val="175" w:hRule="atLeast"/>
        </w:trPr>
        <w:tc>
          <w:tcPr>
            <w:tcW w:w="2622" w:type="dxa"/>
          </w:tcPr>
          <w:p>
            <w:pPr>
              <w:pStyle w:val="TableParagraph"/>
              <w:spacing w:line="147" w:lineRule="exact" w:before="7"/>
              <w:ind w:left="714"/>
              <w:rPr>
                <w:sz w:val="13"/>
              </w:rPr>
            </w:pPr>
            <w:r>
              <w:rPr>
                <w:sz w:val="13"/>
              </w:rPr>
              <w:t>Charter School</w:t>
            </w:r>
          </w:p>
        </w:tc>
        <w:tc>
          <w:tcPr>
            <w:tcW w:w="2457" w:type="dxa"/>
          </w:tcPr>
          <w:p>
            <w:pPr>
              <w:pStyle w:val="TableParagraph"/>
              <w:rPr>
                <w:rFonts w:ascii="Times New Roman"/>
                <w:sz w:val="10"/>
              </w:rPr>
            </w:pPr>
          </w:p>
        </w:tc>
        <w:tc>
          <w:tcPr>
            <w:tcW w:w="2095" w:type="dxa"/>
          </w:tcPr>
          <w:p>
            <w:pPr>
              <w:pStyle w:val="TableParagraph"/>
              <w:spacing w:line="147" w:lineRule="exact" w:before="7"/>
              <w:ind w:right="247"/>
              <w:jc w:val="right"/>
              <w:rPr>
                <w:sz w:val="13"/>
              </w:rPr>
            </w:pPr>
            <w:r>
              <w:rPr>
                <w:w w:val="101"/>
                <w:sz w:val="13"/>
              </w:rPr>
              <w:t>0</w:t>
            </w:r>
          </w:p>
        </w:tc>
        <w:tc>
          <w:tcPr>
            <w:tcW w:w="2368" w:type="dxa"/>
          </w:tcPr>
          <w:p>
            <w:pPr>
              <w:pStyle w:val="TableParagraph"/>
              <w:rPr>
                <w:rFonts w:ascii="Times New Roman"/>
                <w:sz w:val="10"/>
              </w:rPr>
            </w:pPr>
          </w:p>
        </w:tc>
        <w:tc>
          <w:tcPr>
            <w:tcW w:w="1066" w:type="dxa"/>
          </w:tcPr>
          <w:p>
            <w:pPr>
              <w:pStyle w:val="TableParagraph"/>
              <w:rPr>
                <w:rFonts w:ascii="Times New Roman"/>
                <w:sz w:val="10"/>
              </w:rPr>
            </w:pPr>
          </w:p>
        </w:tc>
      </w:tr>
      <w:tr>
        <w:trPr>
          <w:trHeight w:val="164" w:hRule="atLeast"/>
        </w:trPr>
        <w:tc>
          <w:tcPr>
            <w:tcW w:w="2622" w:type="dxa"/>
          </w:tcPr>
          <w:p>
            <w:pPr>
              <w:pStyle w:val="TableParagraph"/>
              <w:spacing w:line="130" w:lineRule="exact" w:before="15"/>
              <w:ind w:right="378"/>
              <w:jc w:val="right"/>
              <w:rPr>
                <w:b/>
                <w:sz w:val="13"/>
              </w:rPr>
            </w:pPr>
            <w:r>
              <w:rPr>
                <w:b/>
                <w:sz w:val="13"/>
              </w:rPr>
              <w:t>Total ADA</w:t>
            </w:r>
          </w:p>
        </w:tc>
        <w:tc>
          <w:tcPr>
            <w:tcW w:w="2457" w:type="dxa"/>
          </w:tcPr>
          <w:p>
            <w:pPr>
              <w:pStyle w:val="TableParagraph"/>
              <w:spacing w:line="130" w:lineRule="exact" w:before="15"/>
              <w:ind w:right="109"/>
              <w:jc w:val="right"/>
              <w:rPr>
                <w:b/>
                <w:sz w:val="13"/>
              </w:rPr>
            </w:pPr>
            <w:r>
              <w:rPr>
                <w:b/>
                <w:sz w:val="13"/>
              </w:rPr>
              <w:t>114</w:t>
            </w:r>
          </w:p>
        </w:tc>
        <w:tc>
          <w:tcPr>
            <w:tcW w:w="2095" w:type="dxa"/>
          </w:tcPr>
          <w:p>
            <w:pPr>
              <w:pStyle w:val="TableParagraph"/>
              <w:spacing w:line="130" w:lineRule="exact" w:before="15"/>
              <w:ind w:right="248"/>
              <w:jc w:val="right"/>
              <w:rPr>
                <w:b/>
                <w:sz w:val="13"/>
              </w:rPr>
            </w:pPr>
            <w:r>
              <w:rPr>
                <w:b/>
                <w:sz w:val="13"/>
              </w:rPr>
              <w:t>114</w:t>
            </w:r>
          </w:p>
        </w:tc>
        <w:tc>
          <w:tcPr>
            <w:tcW w:w="2368" w:type="dxa"/>
          </w:tcPr>
          <w:p>
            <w:pPr>
              <w:pStyle w:val="TableParagraph"/>
              <w:spacing w:line="130" w:lineRule="exact" w:before="15"/>
              <w:ind w:left="891"/>
              <w:rPr>
                <w:b/>
                <w:sz w:val="13"/>
              </w:rPr>
            </w:pPr>
            <w:r>
              <w:rPr>
                <w:b/>
                <w:sz w:val="13"/>
              </w:rPr>
              <w:t>0.0%</w:t>
            </w:r>
          </w:p>
        </w:tc>
        <w:tc>
          <w:tcPr>
            <w:tcW w:w="1066" w:type="dxa"/>
          </w:tcPr>
          <w:p>
            <w:pPr>
              <w:pStyle w:val="TableParagraph"/>
              <w:spacing w:line="130" w:lineRule="exact" w:before="15"/>
              <w:ind w:right="107"/>
              <w:jc w:val="right"/>
              <w:rPr>
                <w:b/>
                <w:sz w:val="13"/>
              </w:rPr>
            </w:pPr>
            <w:r>
              <w:rPr>
                <w:b/>
                <w:sz w:val="13"/>
              </w:rPr>
              <w:t>Met</w:t>
            </w:r>
          </w:p>
        </w:tc>
      </w:tr>
      <w:tr>
        <w:trPr>
          <w:trHeight w:val="348" w:hRule="atLeast"/>
        </w:trPr>
        <w:tc>
          <w:tcPr>
            <w:tcW w:w="2622" w:type="dxa"/>
          </w:tcPr>
          <w:p>
            <w:pPr>
              <w:pStyle w:val="TableParagraph"/>
              <w:spacing w:before="20"/>
              <w:ind w:left="34"/>
              <w:rPr>
                <w:sz w:val="13"/>
              </w:rPr>
            </w:pPr>
            <w:r>
              <w:rPr>
                <w:sz w:val="13"/>
              </w:rPr>
              <w:t>Budget Year (2021-22)</w:t>
            </w:r>
          </w:p>
          <w:p>
            <w:pPr>
              <w:pStyle w:val="TableParagraph"/>
              <w:spacing w:line="140" w:lineRule="exact" w:before="19"/>
              <w:ind w:left="714"/>
              <w:rPr>
                <w:sz w:val="13"/>
              </w:rPr>
            </w:pPr>
            <w:r>
              <w:rPr>
                <w:sz w:val="13"/>
              </w:rPr>
              <w:t>District Regular</w:t>
            </w:r>
          </w:p>
        </w:tc>
        <w:tc>
          <w:tcPr>
            <w:tcW w:w="7986" w:type="dxa"/>
            <w:gridSpan w:val="4"/>
          </w:tcPr>
          <w:p>
            <w:pPr>
              <w:pStyle w:val="TableParagraph"/>
              <w:spacing w:before="4"/>
              <w:rPr>
                <w:sz w:val="16"/>
              </w:rPr>
            </w:pPr>
          </w:p>
          <w:p>
            <w:pPr>
              <w:pStyle w:val="TableParagraph"/>
              <w:spacing w:line="140" w:lineRule="exact"/>
              <w:ind w:left="2124"/>
              <w:rPr>
                <w:sz w:val="13"/>
              </w:rPr>
            </w:pPr>
            <w:r>
              <w:rPr>
                <w:sz w:val="13"/>
              </w:rPr>
              <w:t>114</w:t>
            </w:r>
          </w:p>
        </w:tc>
      </w:tr>
      <w:tr>
        <w:trPr>
          <w:trHeight w:val="175" w:hRule="atLeast"/>
        </w:trPr>
        <w:tc>
          <w:tcPr>
            <w:tcW w:w="2622" w:type="dxa"/>
          </w:tcPr>
          <w:p>
            <w:pPr>
              <w:pStyle w:val="TableParagraph"/>
              <w:spacing w:line="147" w:lineRule="exact" w:before="7"/>
              <w:ind w:left="714"/>
              <w:rPr>
                <w:sz w:val="13"/>
              </w:rPr>
            </w:pPr>
            <w:r>
              <w:rPr>
                <w:sz w:val="13"/>
              </w:rPr>
              <w:t>Charter School</w:t>
            </w:r>
          </w:p>
        </w:tc>
        <w:tc>
          <w:tcPr>
            <w:tcW w:w="7986" w:type="dxa"/>
            <w:gridSpan w:val="4"/>
          </w:tcPr>
          <w:p>
            <w:pPr>
              <w:pStyle w:val="TableParagraph"/>
              <w:spacing w:line="147" w:lineRule="exact" w:before="7"/>
              <w:ind w:left="2272"/>
              <w:rPr>
                <w:sz w:val="13"/>
              </w:rPr>
            </w:pPr>
            <w:r>
              <w:rPr>
                <w:w w:val="101"/>
                <w:sz w:val="13"/>
              </w:rPr>
              <w:t>0</w:t>
            </w:r>
          </w:p>
        </w:tc>
      </w:tr>
      <w:tr>
        <w:trPr>
          <w:trHeight w:val="165" w:hRule="atLeast"/>
        </w:trPr>
        <w:tc>
          <w:tcPr>
            <w:tcW w:w="2622" w:type="dxa"/>
          </w:tcPr>
          <w:p>
            <w:pPr>
              <w:pStyle w:val="TableParagraph"/>
              <w:spacing w:line="130" w:lineRule="exact" w:before="15"/>
              <w:ind w:right="378"/>
              <w:jc w:val="right"/>
              <w:rPr>
                <w:b/>
                <w:sz w:val="13"/>
              </w:rPr>
            </w:pPr>
            <w:r>
              <w:rPr>
                <w:b/>
                <w:sz w:val="13"/>
              </w:rPr>
              <w:t>Total ADA</w:t>
            </w:r>
          </w:p>
        </w:tc>
        <w:tc>
          <w:tcPr>
            <w:tcW w:w="7986" w:type="dxa"/>
            <w:gridSpan w:val="4"/>
          </w:tcPr>
          <w:p>
            <w:pPr>
              <w:pStyle w:val="TableParagraph"/>
              <w:tabs>
                <w:tab w:pos="2123" w:val="left" w:leader="none"/>
              </w:tabs>
              <w:spacing w:line="130" w:lineRule="exact" w:before="15"/>
              <w:ind w:left="379"/>
              <w:rPr>
                <w:b/>
                <w:sz w:val="13"/>
              </w:rPr>
            </w:pPr>
            <w:r>
              <w:rPr>
                <w:rFonts w:ascii="Times New Roman"/>
                <w:w w:val="101"/>
                <w:sz w:val="13"/>
                <w:shd w:fill="FFFFFF" w:color="auto" w:val="clear"/>
              </w:rPr>
              <w:t> </w:t>
            </w:r>
            <w:r>
              <w:rPr>
                <w:rFonts w:ascii="Times New Roman"/>
                <w:sz w:val="13"/>
                <w:shd w:fill="FFFFFF" w:color="auto" w:val="clear"/>
              </w:rPr>
              <w:tab/>
            </w:r>
            <w:r>
              <w:rPr>
                <w:b/>
                <w:sz w:val="13"/>
                <w:shd w:fill="FFFFFF" w:color="auto" w:val="clear"/>
              </w:rPr>
              <w:t>114</w:t>
            </w:r>
            <w:r>
              <w:rPr>
                <w:b/>
                <w:spacing w:val="3"/>
                <w:sz w:val="13"/>
                <w:shd w:fill="FFFFFF" w:color="auto" w:val="clear"/>
              </w:rPr>
              <w:t> </w:t>
            </w:r>
          </w:p>
        </w:tc>
      </w:tr>
    </w:tbl>
    <w:p>
      <w:pPr>
        <w:pStyle w:val="BodyText"/>
        <w:spacing w:before="7"/>
        <w:rPr>
          <w:sz w:val="10"/>
        </w:rPr>
      </w:pPr>
      <w:r>
        <w:rPr/>
        <w:pict>
          <v:group style="position:absolute;margin-left:16.440001pt;margin-top:8.055079pt;width:567.25pt;height:11.65pt;mso-position-horizontal-relative:page;mso-position-vertical-relative:paragraph;z-index:-250987520;mso-wrap-distance-left:0;mso-wrap-distance-right:0" coordorigin="329,161" coordsize="11345,233">
            <v:shape style="position:absolute;left:328;top:161;width:11345;height:22" type="#_x0000_t75" stroked="false">
              <v:imagedata r:id="rId1503" o:title=""/>
            </v:shape>
            <v:line style="position:absolute" from="829,173" to="829,377" stroked="true" strokeweight=".359999pt" strokecolor="#ffffff">
              <v:stroke dashstyle="solid"/>
            </v:line>
            <v:line style="position:absolute" from="2591,173" to="2591,377" stroked="true" strokeweight=".360008pt" strokecolor="#ffffff">
              <v:stroke dashstyle="solid"/>
            </v:line>
            <v:line style="position:absolute" from="3325,173" to="3325,377" stroked="true" strokeweight=".359997pt" strokecolor="#ffffff">
              <v:stroke dashstyle="solid"/>
            </v:line>
            <v:shape style="position:absolute;left:328;top:372;width:4438;height:22" type="#_x0000_t75" stroked="false">
              <v:imagedata r:id="rId1509" o:title=""/>
            </v:shape>
            <v:shape style="position:absolute;left:328;top:161;width:11345;height:22" type="#_x0000_t75" stroked="false">
              <v:imagedata r:id="rId1503" o:title=""/>
            </v:shape>
            <v:shape style="position:absolute;left:4759;top:372;width:6915;height:22" type="#_x0000_t75" stroked="false">
              <v:imagedata r:id="rId1510" o:title=""/>
            </v:shape>
            <v:shape style="position:absolute;left:328;top:161;width:11345;height:233" type="#_x0000_t202" filled="false" stroked="false">
              <v:textbox inset="0,0,0,0">
                <w:txbxContent>
                  <w:p>
                    <w:pPr>
                      <w:spacing w:before="56"/>
                      <w:ind w:left="33" w:right="0" w:firstLine="0"/>
                      <w:jc w:val="left"/>
                      <w:rPr>
                        <w:b/>
                        <w:sz w:val="14"/>
                      </w:rPr>
                    </w:pPr>
                    <w:r>
                      <w:rPr>
                        <w:b/>
                        <w:w w:val="105"/>
                        <w:sz w:val="14"/>
                      </w:rPr>
                      <w:t>1B. Comparison of District ADA to the Standard</w:t>
                    </w:r>
                  </w:p>
                </w:txbxContent>
              </v:textbox>
              <w10:wrap type="none"/>
            </v:shape>
            <w10:wrap type="topAndBottom"/>
          </v:group>
        </w:pict>
      </w:r>
    </w:p>
    <w:p>
      <w:pPr>
        <w:pStyle w:val="BodyText"/>
        <w:rPr>
          <w:sz w:val="20"/>
        </w:rPr>
      </w:pPr>
    </w:p>
    <w:p>
      <w:pPr>
        <w:pStyle w:val="BodyText"/>
        <w:ind w:left="322"/>
      </w:pPr>
      <w:r>
        <w:rPr/>
        <w:pict>
          <v:group style="position:absolute;margin-left:16.440001pt;margin-top:-67.103058pt;width:252.25pt;height:34.8pt;mso-position-horizontal-relative:page;mso-position-vertical-relative:paragraph;z-index:-314033152" coordorigin="329,-1342" coordsize="5045,696">
            <v:shape style="position:absolute;left:328;top:-1343;width:3003;height:696" type="#_x0000_t75" stroked="false">
              <v:imagedata r:id="rId1519" o:title=""/>
            </v:shape>
            <v:shape style="position:absolute;left:3324;top:-1343;width:2050;height:696" type="#_x0000_t75" stroked="false">
              <v:imagedata r:id="rId1520" o:title=""/>
            </v:shape>
            <v:shape style="position:absolute;left:3328;top:-834;width:2043;height:185" type="#_x0000_t75" stroked="false">
              <v:imagedata r:id="rId1521" o:title=""/>
            </v:shape>
            <w10:wrap type="none"/>
          </v:group>
        </w:pict>
      </w:r>
      <w:r>
        <w:rPr/>
        <w:t>DATA ENTRY: Enter an explanation if the standard is not met.</w:t>
      </w:r>
    </w:p>
    <w:p>
      <w:pPr>
        <w:pStyle w:val="BodyText"/>
        <w:spacing w:before="5"/>
        <w:rPr>
          <w:sz w:val="16"/>
        </w:rPr>
      </w:pPr>
    </w:p>
    <w:p>
      <w:pPr>
        <w:pStyle w:val="BodyText"/>
        <w:ind w:left="451"/>
      </w:pPr>
      <w:r>
        <w:rPr/>
        <w:t>1a. STANDARD MET - Funded ADA has not been overestimated by more than the standard percentage level for the first prior year.</w:t>
      </w:r>
    </w:p>
    <w:p>
      <w:pPr>
        <w:pStyle w:val="BodyText"/>
        <w:rPr>
          <w:sz w:val="14"/>
        </w:rPr>
      </w:pPr>
    </w:p>
    <w:p>
      <w:pPr>
        <w:pStyle w:val="BodyText"/>
        <w:rPr>
          <w:sz w:val="14"/>
        </w:rPr>
      </w:pPr>
    </w:p>
    <w:p>
      <w:pPr>
        <w:pStyle w:val="BodyText"/>
        <w:spacing w:before="5"/>
        <w:rPr>
          <w:sz w:val="12"/>
        </w:rPr>
      </w:pPr>
    </w:p>
    <w:p>
      <w:pPr>
        <w:spacing w:before="0"/>
        <w:ind w:left="0" w:right="8810" w:firstLine="0"/>
        <w:jc w:val="center"/>
        <w:rPr>
          <w:b/>
          <w:sz w:val="13"/>
        </w:rPr>
      </w:pPr>
      <w:r>
        <w:rPr/>
        <w:drawing>
          <wp:anchor distT="0" distB="0" distL="0" distR="0" allowOverlap="1" layoutInCell="1" locked="0" behindDoc="0" simplePos="0" relativeHeight="252335104">
            <wp:simplePos x="0" y="0"/>
            <wp:positionH relativeFrom="page">
              <wp:posOffset>1644395</wp:posOffset>
            </wp:positionH>
            <wp:positionV relativeFrom="paragraph">
              <wp:posOffset>-24677</wp:posOffset>
            </wp:positionV>
            <wp:extent cx="5768339" cy="486155"/>
            <wp:effectExtent l="0" t="0" r="0" b="0"/>
            <wp:wrapNone/>
            <wp:docPr id="61" name="image1420.png"/>
            <wp:cNvGraphicFramePr>
              <a:graphicFrameLocks noChangeAspect="1"/>
            </wp:cNvGraphicFramePr>
            <a:graphic>
              <a:graphicData uri="http://schemas.openxmlformats.org/drawingml/2006/picture">
                <pic:pic>
                  <pic:nvPicPr>
                    <pic:cNvPr id="62" name="image1420.png"/>
                    <pic:cNvPicPr/>
                  </pic:nvPicPr>
                  <pic:blipFill>
                    <a:blip r:embed="rId1522" cstate="print"/>
                    <a:stretch>
                      <a:fillRect/>
                    </a:stretch>
                  </pic:blipFill>
                  <pic:spPr>
                    <a:xfrm>
                      <a:off x="0" y="0"/>
                      <a:ext cx="5768339" cy="486155"/>
                    </a:xfrm>
                    <a:prstGeom prst="rect">
                      <a:avLst/>
                    </a:prstGeom>
                  </pic:spPr>
                </pic:pic>
              </a:graphicData>
            </a:graphic>
          </wp:anchor>
        </w:drawing>
      </w:r>
      <w:r>
        <w:rPr>
          <w:b/>
          <w:sz w:val="13"/>
        </w:rPr>
        <w:t>Explanation:</w:t>
      </w:r>
    </w:p>
    <w:p>
      <w:pPr>
        <w:pStyle w:val="BodyText"/>
        <w:spacing w:before="43"/>
        <w:ind w:right="8810"/>
        <w:jc w:val="center"/>
      </w:pPr>
      <w:r>
        <w:rPr/>
        <w:t>(required if NOT met)</w:t>
      </w:r>
    </w:p>
    <w:p>
      <w:pPr>
        <w:pStyle w:val="BodyText"/>
        <w:rPr>
          <w:sz w:val="14"/>
        </w:rPr>
      </w:pPr>
    </w:p>
    <w:p>
      <w:pPr>
        <w:pStyle w:val="BodyText"/>
        <w:rPr>
          <w:sz w:val="14"/>
        </w:rPr>
      </w:pPr>
    </w:p>
    <w:p>
      <w:pPr>
        <w:pStyle w:val="BodyText"/>
        <w:spacing w:before="10"/>
        <w:rPr>
          <w:sz w:val="19"/>
        </w:rPr>
      </w:pPr>
    </w:p>
    <w:p>
      <w:pPr>
        <w:pStyle w:val="BodyText"/>
        <w:spacing w:before="1"/>
        <w:ind w:left="451"/>
      </w:pPr>
      <w:r>
        <w:rPr/>
        <w:t>1b. STANDARD MET - Funded ADA has not been overestimated by more than the standard percentage level for two or more of the previous three years.</w:t>
      </w:r>
    </w:p>
    <w:p>
      <w:pPr>
        <w:pStyle w:val="BodyText"/>
        <w:rPr>
          <w:sz w:val="14"/>
        </w:rPr>
      </w:pPr>
    </w:p>
    <w:p>
      <w:pPr>
        <w:pStyle w:val="BodyText"/>
        <w:spacing w:before="7"/>
        <w:rPr>
          <w:sz w:val="16"/>
        </w:rPr>
      </w:pPr>
    </w:p>
    <w:p>
      <w:pPr>
        <w:spacing w:before="0"/>
        <w:ind w:left="0" w:right="8810" w:firstLine="0"/>
        <w:jc w:val="center"/>
        <w:rPr>
          <w:b/>
          <w:sz w:val="13"/>
        </w:rPr>
      </w:pPr>
      <w:r>
        <w:rPr/>
        <w:drawing>
          <wp:anchor distT="0" distB="0" distL="0" distR="0" allowOverlap="1" layoutInCell="1" locked="0" behindDoc="0" simplePos="0" relativeHeight="252336128">
            <wp:simplePos x="0" y="0"/>
            <wp:positionH relativeFrom="page">
              <wp:posOffset>1644395</wp:posOffset>
            </wp:positionH>
            <wp:positionV relativeFrom="paragraph">
              <wp:posOffset>-24676</wp:posOffset>
            </wp:positionV>
            <wp:extent cx="5768339" cy="486155"/>
            <wp:effectExtent l="0" t="0" r="0" b="0"/>
            <wp:wrapNone/>
            <wp:docPr id="63" name="image1420.png"/>
            <wp:cNvGraphicFramePr>
              <a:graphicFrameLocks noChangeAspect="1"/>
            </wp:cNvGraphicFramePr>
            <a:graphic>
              <a:graphicData uri="http://schemas.openxmlformats.org/drawingml/2006/picture">
                <pic:pic>
                  <pic:nvPicPr>
                    <pic:cNvPr id="64" name="image1420.png"/>
                    <pic:cNvPicPr/>
                  </pic:nvPicPr>
                  <pic:blipFill>
                    <a:blip r:embed="rId1522" cstate="print"/>
                    <a:stretch>
                      <a:fillRect/>
                    </a:stretch>
                  </pic:blipFill>
                  <pic:spPr>
                    <a:xfrm>
                      <a:off x="0" y="0"/>
                      <a:ext cx="5768339" cy="486155"/>
                    </a:xfrm>
                    <a:prstGeom prst="rect">
                      <a:avLst/>
                    </a:prstGeom>
                  </pic:spPr>
                </pic:pic>
              </a:graphicData>
            </a:graphic>
          </wp:anchor>
        </w:drawing>
      </w:r>
      <w:r>
        <w:rPr>
          <w:b/>
          <w:sz w:val="13"/>
        </w:rPr>
        <w:t>Explanation:</w:t>
      </w:r>
    </w:p>
    <w:p>
      <w:pPr>
        <w:pStyle w:val="BodyText"/>
        <w:spacing w:before="42"/>
        <w:ind w:right="8810"/>
        <w:jc w:val="center"/>
      </w:pPr>
      <w:r>
        <w:rPr/>
        <w:t>(required if NOT met)</w:t>
      </w:r>
    </w:p>
    <w:p>
      <w:pPr>
        <w:spacing w:after="0"/>
        <w:jc w:val="center"/>
        <w:sectPr>
          <w:headerReference w:type="default" r:id="rId1501"/>
          <w:footerReference w:type="default" r:id="rId1502"/>
          <w:pgSz w:w="12240" w:h="15840"/>
          <w:pgMar w:header="402" w:footer="584" w:top="840" w:bottom="780" w:left="40" w:right="40"/>
          <w:pgNumType w:start="1"/>
        </w:sectPr>
      </w:pPr>
    </w:p>
    <w:p>
      <w:pPr>
        <w:pStyle w:val="BodyText"/>
        <w:rPr>
          <w:sz w:val="20"/>
        </w:rPr>
      </w:pPr>
    </w:p>
    <w:p>
      <w:pPr>
        <w:pStyle w:val="BodyText"/>
        <w:spacing w:before="1"/>
        <w:rPr>
          <w:sz w:val="23"/>
        </w:rPr>
      </w:pPr>
    </w:p>
    <w:p>
      <w:pPr>
        <w:pStyle w:val="ListParagraph"/>
        <w:numPr>
          <w:ilvl w:val="0"/>
          <w:numId w:val="69"/>
        </w:numPr>
        <w:tabs>
          <w:tab w:pos="821" w:val="left" w:leader="none"/>
          <w:tab w:pos="822" w:val="left" w:leader="none"/>
        </w:tabs>
        <w:spacing w:line="240" w:lineRule="auto" w:before="1" w:after="0"/>
        <w:ind w:left="821" w:right="0" w:hanging="344"/>
        <w:jc w:val="left"/>
        <w:rPr>
          <w:b/>
          <w:sz w:val="16"/>
        </w:rPr>
      </w:pPr>
      <w:r>
        <w:rPr>
          <w:b/>
          <w:sz w:val="16"/>
        </w:rPr>
        <w:t>CRITERION:</w:t>
      </w:r>
      <w:r>
        <w:rPr>
          <w:b/>
          <w:spacing w:val="-5"/>
          <w:sz w:val="16"/>
        </w:rPr>
        <w:t> </w:t>
      </w:r>
      <w:r>
        <w:rPr>
          <w:b/>
          <w:sz w:val="16"/>
        </w:rPr>
        <w:t>Enrollment</w:t>
      </w:r>
    </w:p>
    <w:p>
      <w:pPr>
        <w:pStyle w:val="BodyText"/>
        <w:spacing w:before="5"/>
        <w:rPr>
          <w:b/>
          <w:sz w:val="21"/>
        </w:rPr>
      </w:pPr>
    </w:p>
    <w:p>
      <w:pPr>
        <w:pStyle w:val="Heading5"/>
        <w:spacing w:line="218" w:lineRule="auto"/>
        <w:ind w:right="932"/>
      </w:pPr>
      <w:r>
        <w:rPr/>
        <w:drawing>
          <wp:anchor distT="0" distB="0" distL="0" distR="0" allowOverlap="1" layoutInCell="1" locked="0" behindDoc="1" simplePos="0" relativeHeight="189290496">
            <wp:simplePos x="0" y="0"/>
            <wp:positionH relativeFrom="page">
              <wp:posOffset>3407664</wp:posOffset>
            </wp:positionH>
            <wp:positionV relativeFrom="paragraph">
              <wp:posOffset>463150</wp:posOffset>
            </wp:positionV>
            <wp:extent cx="4005105" cy="4572"/>
            <wp:effectExtent l="0" t="0" r="0" b="0"/>
            <wp:wrapNone/>
            <wp:docPr id="65" name="image1405.png"/>
            <wp:cNvGraphicFramePr>
              <a:graphicFrameLocks noChangeAspect="1"/>
            </wp:cNvGraphicFramePr>
            <a:graphic>
              <a:graphicData uri="http://schemas.openxmlformats.org/drawingml/2006/picture">
                <pic:pic>
                  <pic:nvPicPr>
                    <pic:cNvPr id="66" name="image1405.png"/>
                    <pic:cNvPicPr/>
                  </pic:nvPicPr>
                  <pic:blipFill>
                    <a:blip r:embed="rId1507" cstate="print"/>
                    <a:stretch>
                      <a:fillRect/>
                    </a:stretch>
                  </pic:blipFill>
                  <pic:spPr>
                    <a:xfrm>
                      <a:off x="0" y="0"/>
                      <a:ext cx="4005105" cy="4572"/>
                    </a:xfrm>
                    <a:prstGeom prst="rect">
                      <a:avLst/>
                    </a:prstGeom>
                  </pic:spPr>
                </pic:pic>
              </a:graphicData>
            </a:graphic>
          </wp:anchor>
        </w:drawing>
      </w:r>
      <w:r>
        <w:rPr/>
        <w:drawing>
          <wp:anchor distT="0" distB="0" distL="0" distR="0" allowOverlap="1" layoutInCell="1" locked="0" behindDoc="1" simplePos="0" relativeHeight="189291520">
            <wp:simplePos x="0" y="0"/>
            <wp:positionH relativeFrom="page">
              <wp:posOffset>3407664</wp:posOffset>
            </wp:positionH>
            <wp:positionV relativeFrom="paragraph">
              <wp:posOffset>967594</wp:posOffset>
            </wp:positionV>
            <wp:extent cx="1246633" cy="121920"/>
            <wp:effectExtent l="0" t="0" r="0" b="0"/>
            <wp:wrapNone/>
            <wp:docPr id="67" name="image1421.png"/>
            <wp:cNvGraphicFramePr>
              <a:graphicFrameLocks noChangeAspect="1"/>
            </wp:cNvGraphicFramePr>
            <a:graphic>
              <a:graphicData uri="http://schemas.openxmlformats.org/drawingml/2006/picture">
                <pic:pic>
                  <pic:nvPicPr>
                    <pic:cNvPr id="68" name="image1421.png"/>
                    <pic:cNvPicPr/>
                  </pic:nvPicPr>
                  <pic:blipFill>
                    <a:blip r:embed="rId1523" cstate="print"/>
                    <a:stretch>
                      <a:fillRect/>
                    </a:stretch>
                  </pic:blipFill>
                  <pic:spPr>
                    <a:xfrm>
                      <a:off x="0" y="0"/>
                      <a:ext cx="1246633" cy="121920"/>
                    </a:xfrm>
                    <a:prstGeom prst="rect">
                      <a:avLst/>
                    </a:prstGeom>
                  </pic:spPr>
                </pic:pic>
              </a:graphicData>
            </a:graphic>
          </wp:anchor>
        </w:drawing>
      </w:r>
      <w:r>
        <w:rPr/>
        <w:t>STANDARD: Projected enrollment has not been overestimated in 1) the first prior fiscal year OR in 2) two or more of the previous three fiscal years by more than the following percentage levels:</w:t>
      </w:r>
    </w:p>
    <w:p>
      <w:pPr>
        <w:pStyle w:val="BodyText"/>
        <w:spacing w:before="2"/>
        <w:rPr>
          <w:sz w:val="19"/>
        </w:rPr>
      </w:pPr>
    </w:p>
    <w:tbl>
      <w:tblPr>
        <w:tblW w:w="0" w:type="auto"/>
        <w:jc w:val="left"/>
        <w:tblInd w:w="1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35"/>
        <w:gridCol w:w="2289"/>
        <w:gridCol w:w="1253"/>
        <w:gridCol w:w="892"/>
        <w:gridCol w:w="456"/>
      </w:tblGrid>
      <w:tr>
        <w:trPr>
          <w:trHeight w:val="192" w:hRule="atLeast"/>
        </w:trPr>
        <w:tc>
          <w:tcPr>
            <w:tcW w:w="4235" w:type="dxa"/>
            <w:vMerge w:val="restart"/>
          </w:tcPr>
          <w:p>
            <w:pPr>
              <w:pStyle w:val="TableParagraph"/>
              <w:rPr>
                <w:rFonts w:ascii="Times New Roman"/>
                <w:sz w:val="12"/>
              </w:rPr>
            </w:pPr>
          </w:p>
        </w:tc>
        <w:tc>
          <w:tcPr>
            <w:tcW w:w="2289" w:type="dxa"/>
          </w:tcPr>
          <w:p>
            <w:pPr>
              <w:pStyle w:val="TableParagraph"/>
              <w:spacing w:line="173" w:lineRule="exact"/>
              <w:ind w:left="188" w:right="814"/>
              <w:jc w:val="center"/>
              <w:rPr>
                <w:sz w:val="16"/>
              </w:rPr>
            </w:pPr>
            <w:r>
              <w:rPr>
                <w:sz w:val="16"/>
              </w:rPr>
              <w:t>Percentage Level</w:t>
            </w:r>
          </w:p>
        </w:tc>
        <w:tc>
          <w:tcPr>
            <w:tcW w:w="1253" w:type="dxa"/>
          </w:tcPr>
          <w:p>
            <w:pPr>
              <w:pStyle w:val="TableParagraph"/>
              <w:rPr>
                <w:rFonts w:ascii="Times New Roman"/>
                <w:sz w:val="12"/>
              </w:rPr>
            </w:pPr>
          </w:p>
        </w:tc>
        <w:tc>
          <w:tcPr>
            <w:tcW w:w="892" w:type="dxa"/>
          </w:tcPr>
          <w:p>
            <w:pPr>
              <w:pStyle w:val="TableParagraph"/>
              <w:spacing w:line="173" w:lineRule="exact"/>
              <w:ind w:right="9"/>
              <w:jc w:val="center"/>
              <w:rPr>
                <w:sz w:val="16"/>
              </w:rPr>
            </w:pPr>
            <w:r>
              <w:rPr>
                <w:sz w:val="16"/>
              </w:rPr>
              <w:t>District ADA</w:t>
            </w:r>
          </w:p>
        </w:tc>
        <w:tc>
          <w:tcPr>
            <w:tcW w:w="456" w:type="dxa"/>
          </w:tcPr>
          <w:p>
            <w:pPr>
              <w:pStyle w:val="TableParagraph"/>
              <w:rPr>
                <w:rFonts w:ascii="Times New Roman"/>
                <w:sz w:val="12"/>
              </w:rPr>
            </w:pPr>
          </w:p>
        </w:tc>
      </w:tr>
      <w:tr>
        <w:trPr>
          <w:trHeight w:val="208" w:hRule="atLeast"/>
        </w:trPr>
        <w:tc>
          <w:tcPr>
            <w:tcW w:w="4235" w:type="dxa"/>
            <w:vMerge/>
            <w:tcBorders>
              <w:top w:val="nil"/>
            </w:tcBorders>
          </w:tcPr>
          <w:p>
            <w:pPr>
              <w:rPr>
                <w:sz w:val="2"/>
                <w:szCs w:val="2"/>
              </w:rPr>
            </w:pPr>
          </w:p>
        </w:tc>
        <w:tc>
          <w:tcPr>
            <w:tcW w:w="2289" w:type="dxa"/>
          </w:tcPr>
          <w:p>
            <w:pPr>
              <w:pStyle w:val="TableParagraph"/>
              <w:spacing w:line="180" w:lineRule="exact" w:before="9"/>
              <w:ind w:left="188" w:right="811"/>
              <w:jc w:val="center"/>
              <w:rPr>
                <w:sz w:val="16"/>
              </w:rPr>
            </w:pPr>
            <w:r>
              <w:rPr>
                <w:sz w:val="16"/>
              </w:rPr>
              <w:t>3.0%</w:t>
            </w:r>
          </w:p>
        </w:tc>
        <w:tc>
          <w:tcPr>
            <w:tcW w:w="1253" w:type="dxa"/>
          </w:tcPr>
          <w:p>
            <w:pPr>
              <w:pStyle w:val="TableParagraph"/>
              <w:spacing w:line="180" w:lineRule="exact" w:before="9"/>
              <w:ind w:right="35"/>
              <w:jc w:val="right"/>
              <w:rPr>
                <w:sz w:val="16"/>
              </w:rPr>
            </w:pPr>
            <w:r>
              <w:rPr>
                <w:w w:val="98"/>
                <w:sz w:val="16"/>
              </w:rPr>
              <w:t>0</w:t>
            </w:r>
          </w:p>
        </w:tc>
        <w:tc>
          <w:tcPr>
            <w:tcW w:w="892" w:type="dxa"/>
          </w:tcPr>
          <w:p>
            <w:pPr>
              <w:pStyle w:val="TableParagraph"/>
              <w:spacing w:line="180" w:lineRule="exact" w:before="9"/>
              <w:ind w:left="36" w:right="9"/>
              <w:jc w:val="center"/>
              <w:rPr>
                <w:sz w:val="16"/>
              </w:rPr>
            </w:pPr>
            <w:r>
              <w:rPr>
                <w:sz w:val="16"/>
              </w:rPr>
              <w:t>to</w:t>
            </w:r>
          </w:p>
        </w:tc>
        <w:tc>
          <w:tcPr>
            <w:tcW w:w="456" w:type="dxa"/>
          </w:tcPr>
          <w:p>
            <w:pPr>
              <w:pStyle w:val="TableParagraph"/>
              <w:spacing w:line="180" w:lineRule="exact" w:before="9"/>
              <w:ind w:left="126" w:right="12"/>
              <w:jc w:val="center"/>
              <w:rPr>
                <w:sz w:val="16"/>
              </w:rPr>
            </w:pPr>
            <w:r>
              <w:rPr>
                <w:sz w:val="16"/>
              </w:rPr>
              <w:t>300</w:t>
            </w:r>
          </w:p>
        </w:tc>
      </w:tr>
      <w:tr>
        <w:trPr>
          <w:trHeight w:val="208" w:hRule="atLeast"/>
        </w:trPr>
        <w:tc>
          <w:tcPr>
            <w:tcW w:w="4235" w:type="dxa"/>
            <w:vMerge/>
            <w:tcBorders>
              <w:top w:val="nil"/>
            </w:tcBorders>
          </w:tcPr>
          <w:p>
            <w:pPr>
              <w:rPr>
                <w:sz w:val="2"/>
                <w:szCs w:val="2"/>
              </w:rPr>
            </w:pPr>
          </w:p>
        </w:tc>
        <w:tc>
          <w:tcPr>
            <w:tcW w:w="2289" w:type="dxa"/>
          </w:tcPr>
          <w:p>
            <w:pPr>
              <w:pStyle w:val="TableParagraph"/>
              <w:spacing w:line="180" w:lineRule="exact" w:before="9"/>
              <w:ind w:left="188" w:right="811"/>
              <w:jc w:val="center"/>
              <w:rPr>
                <w:sz w:val="16"/>
              </w:rPr>
            </w:pPr>
            <w:r>
              <w:rPr>
                <w:sz w:val="16"/>
              </w:rPr>
              <w:t>2.0%</w:t>
            </w:r>
          </w:p>
        </w:tc>
        <w:tc>
          <w:tcPr>
            <w:tcW w:w="1253" w:type="dxa"/>
          </w:tcPr>
          <w:p>
            <w:pPr>
              <w:pStyle w:val="TableParagraph"/>
              <w:spacing w:line="180" w:lineRule="exact" w:before="9"/>
              <w:ind w:right="35"/>
              <w:jc w:val="right"/>
              <w:rPr>
                <w:sz w:val="16"/>
              </w:rPr>
            </w:pPr>
            <w:r>
              <w:rPr>
                <w:w w:val="95"/>
                <w:sz w:val="16"/>
              </w:rPr>
              <w:t>301</w:t>
            </w:r>
          </w:p>
        </w:tc>
        <w:tc>
          <w:tcPr>
            <w:tcW w:w="892" w:type="dxa"/>
          </w:tcPr>
          <w:p>
            <w:pPr>
              <w:pStyle w:val="TableParagraph"/>
              <w:spacing w:line="180" w:lineRule="exact" w:before="9"/>
              <w:ind w:left="36" w:right="9"/>
              <w:jc w:val="center"/>
              <w:rPr>
                <w:sz w:val="16"/>
              </w:rPr>
            </w:pPr>
            <w:r>
              <w:rPr>
                <w:sz w:val="16"/>
              </w:rPr>
              <w:t>to</w:t>
            </w:r>
          </w:p>
        </w:tc>
        <w:tc>
          <w:tcPr>
            <w:tcW w:w="456" w:type="dxa"/>
          </w:tcPr>
          <w:p>
            <w:pPr>
              <w:pStyle w:val="TableParagraph"/>
              <w:spacing w:line="180" w:lineRule="exact" w:before="9"/>
              <w:ind w:left="3" w:right="12"/>
              <w:jc w:val="center"/>
              <w:rPr>
                <w:sz w:val="16"/>
              </w:rPr>
            </w:pPr>
            <w:r>
              <w:rPr>
                <w:sz w:val="16"/>
              </w:rPr>
              <w:t>1,000</w:t>
            </w:r>
          </w:p>
        </w:tc>
      </w:tr>
      <w:tr>
        <w:trPr>
          <w:trHeight w:val="279" w:hRule="atLeast"/>
        </w:trPr>
        <w:tc>
          <w:tcPr>
            <w:tcW w:w="4235" w:type="dxa"/>
            <w:vMerge/>
            <w:tcBorders>
              <w:top w:val="nil"/>
            </w:tcBorders>
          </w:tcPr>
          <w:p>
            <w:pPr>
              <w:rPr>
                <w:sz w:val="2"/>
                <w:szCs w:val="2"/>
              </w:rPr>
            </w:pPr>
          </w:p>
        </w:tc>
        <w:tc>
          <w:tcPr>
            <w:tcW w:w="2289" w:type="dxa"/>
          </w:tcPr>
          <w:p>
            <w:pPr>
              <w:pStyle w:val="TableParagraph"/>
              <w:spacing w:before="9"/>
              <w:ind w:left="188" w:right="811"/>
              <w:jc w:val="center"/>
              <w:rPr>
                <w:sz w:val="16"/>
              </w:rPr>
            </w:pPr>
            <w:r>
              <w:rPr>
                <w:sz w:val="16"/>
              </w:rPr>
              <w:t>1.0%</w:t>
            </w:r>
          </w:p>
        </w:tc>
        <w:tc>
          <w:tcPr>
            <w:tcW w:w="1253" w:type="dxa"/>
          </w:tcPr>
          <w:p>
            <w:pPr>
              <w:pStyle w:val="TableParagraph"/>
              <w:spacing w:before="9"/>
              <w:ind w:right="13"/>
              <w:jc w:val="right"/>
              <w:rPr>
                <w:sz w:val="16"/>
              </w:rPr>
            </w:pPr>
            <w:r>
              <w:rPr>
                <w:w w:val="95"/>
                <w:sz w:val="16"/>
              </w:rPr>
              <w:t>1,001</w:t>
            </w:r>
          </w:p>
        </w:tc>
        <w:tc>
          <w:tcPr>
            <w:tcW w:w="892" w:type="dxa"/>
          </w:tcPr>
          <w:p>
            <w:pPr>
              <w:pStyle w:val="TableParagraph"/>
              <w:spacing w:before="9"/>
              <w:ind w:left="42" w:right="9"/>
              <w:jc w:val="center"/>
              <w:rPr>
                <w:sz w:val="16"/>
              </w:rPr>
            </w:pPr>
            <w:r>
              <w:rPr>
                <w:sz w:val="16"/>
              </w:rPr>
              <w:t>and</w:t>
            </w:r>
          </w:p>
        </w:tc>
        <w:tc>
          <w:tcPr>
            <w:tcW w:w="456" w:type="dxa"/>
          </w:tcPr>
          <w:p>
            <w:pPr>
              <w:pStyle w:val="TableParagraph"/>
              <w:spacing w:before="9"/>
              <w:ind w:left="48" w:right="12"/>
              <w:jc w:val="center"/>
              <w:rPr>
                <w:sz w:val="16"/>
              </w:rPr>
            </w:pPr>
            <w:r>
              <w:rPr>
                <w:sz w:val="16"/>
              </w:rPr>
              <w:t>over</w:t>
            </w:r>
          </w:p>
        </w:tc>
      </w:tr>
      <w:tr>
        <w:trPr>
          <w:trHeight w:val="432" w:hRule="atLeast"/>
        </w:trPr>
        <w:tc>
          <w:tcPr>
            <w:tcW w:w="4235" w:type="dxa"/>
          </w:tcPr>
          <w:p>
            <w:pPr>
              <w:pStyle w:val="TableParagraph"/>
              <w:spacing w:before="84"/>
              <w:ind w:right="212"/>
              <w:jc w:val="right"/>
              <w:rPr>
                <w:sz w:val="13"/>
              </w:rPr>
            </w:pPr>
            <w:r>
              <w:rPr>
                <w:sz w:val="13"/>
              </w:rPr>
              <w:t>District ADA (Form A, Estimated P-2 ADA column, lines A4 and C4):</w:t>
            </w:r>
          </w:p>
        </w:tc>
        <w:tc>
          <w:tcPr>
            <w:tcW w:w="2289" w:type="dxa"/>
          </w:tcPr>
          <w:p>
            <w:pPr>
              <w:pStyle w:val="TableParagraph"/>
              <w:spacing w:before="115"/>
              <w:ind w:left="188" w:right="810"/>
              <w:jc w:val="center"/>
              <w:rPr>
                <w:sz w:val="13"/>
              </w:rPr>
            </w:pPr>
            <w:r>
              <w:rPr>
                <w:sz w:val="13"/>
              </w:rPr>
              <w:t>114</w:t>
            </w:r>
          </w:p>
        </w:tc>
        <w:tc>
          <w:tcPr>
            <w:tcW w:w="1253" w:type="dxa"/>
          </w:tcPr>
          <w:p>
            <w:pPr>
              <w:pStyle w:val="TableParagraph"/>
              <w:rPr>
                <w:rFonts w:ascii="Times New Roman"/>
                <w:sz w:val="12"/>
              </w:rPr>
            </w:pPr>
          </w:p>
        </w:tc>
        <w:tc>
          <w:tcPr>
            <w:tcW w:w="892" w:type="dxa"/>
          </w:tcPr>
          <w:p>
            <w:pPr>
              <w:pStyle w:val="TableParagraph"/>
              <w:rPr>
                <w:rFonts w:ascii="Times New Roman"/>
                <w:sz w:val="12"/>
              </w:rPr>
            </w:pPr>
          </w:p>
        </w:tc>
        <w:tc>
          <w:tcPr>
            <w:tcW w:w="456" w:type="dxa"/>
          </w:tcPr>
          <w:p>
            <w:pPr>
              <w:pStyle w:val="TableParagraph"/>
              <w:rPr>
                <w:rFonts w:ascii="Times New Roman"/>
                <w:sz w:val="12"/>
              </w:rPr>
            </w:pPr>
          </w:p>
        </w:tc>
      </w:tr>
      <w:tr>
        <w:trPr>
          <w:trHeight w:val="314" w:hRule="atLeast"/>
        </w:trPr>
        <w:tc>
          <w:tcPr>
            <w:tcW w:w="4235" w:type="dxa"/>
          </w:tcPr>
          <w:p>
            <w:pPr>
              <w:pStyle w:val="TableParagraph"/>
              <w:spacing w:before="3"/>
              <w:rPr>
                <w:sz w:val="14"/>
              </w:rPr>
            </w:pPr>
          </w:p>
          <w:p>
            <w:pPr>
              <w:pStyle w:val="TableParagraph"/>
              <w:spacing w:line="130" w:lineRule="exact" w:before="1"/>
              <w:ind w:right="211"/>
              <w:jc w:val="right"/>
              <w:rPr>
                <w:b/>
                <w:sz w:val="13"/>
              </w:rPr>
            </w:pPr>
            <w:r>
              <w:rPr>
                <w:b/>
                <w:sz w:val="13"/>
              </w:rPr>
              <w:t>District's Enrollment Standard Percentage Level:</w:t>
            </w:r>
          </w:p>
        </w:tc>
        <w:tc>
          <w:tcPr>
            <w:tcW w:w="2289" w:type="dxa"/>
          </w:tcPr>
          <w:p>
            <w:pPr>
              <w:pStyle w:val="TableParagraph"/>
              <w:spacing w:before="3"/>
              <w:rPr>
                <w:sz w:val="14"/>
              </w:rPr>
            </w:pPr>
          </w:p>
          <w:p>
            <w:pPr>
              <w:pStyle w:val="TableParagraph"/>
              <w:spacing w:line="130" w:lineRule="exact" w:before="1"/>
              <w:ind w:left="188" w:right="807"/>
              <w:jc w:val="center"/>
              <w:rPr>
                <w:b/>
                <w:sz w:val="13"/>
              </w:rPr>
            </w:pPr>
            <w:r>
              <w:rPr>
                <w:b/>
                <w:sz w:val="13"/>
              </w:rPr>
              <w:t>3.0%</w:t>
            </w:r>
          </w:p>
        </w:tc>
        <w:tc>
          <w:tcPr>
            <w:tcW w:w="1253" w:type="dxa"/>
          </w:tcPr>
          <w:p>
            <w:pPr>
              <w:pStyle w:val="TableParagraph"/>
              <w:rPr>
                <w:rFonts w:ascii="Times New Roman"/>
                <w:sz w:val="12"/>
              </w:rPr>
            </w:pPr>
          </w:p>
        </w:tc>
        <w:tc>
          <w:tcPr>
            <w:tcW w:w="892" w:type="dxa"/>
          </w:tcPr>
          <w:p>
            <w:pPr>
              <w:pStyle w:val="TableParagraph"/>
              <w:rPr>
                <w:rFonts w:ascii="Times New Roman"/>
                <w:sz w:val="12"/>
              </w:rPr>
            </w:pPr>
          </w:p>
        </w:tc>
        <w:tc>
          <w:tcPr>
            <w:tcW w:w="456" w:type="dxa"/>
          </w:tcPr>
          <w:p>
            <w:pPr>
              <w:pStyle w:val="TableParagraph"/>
              <w:rPr>
                <w:rFonts w:ascii="Times New Roman"/>
                <w:sz w:val="12"/>
              </w:rPr>
            </w:pPr>
          </w:p>
        </w:tc>
      </w:tr>
    </w:tbl>
    <w:p>
      <w:pPr>
        <w:pStyle w:val="BodyText"/>
        <w:spacing w:before="1"/>
        <w:rPr>
          <w:sz w:val="12"/>
        </w:rPr>
      </w:pPr>
      <w:r>
        <w:rPr/>
        <w:pict>
          <v:group style="position:absolute;margin-left:16.440001pt;margin-top:8.924032pt;width:567.25pt;height:10.95pt;mso-position-horizontal-relative:page;mso-position-vertical-relative:paragraph;z-index:-250978304;mso-wrap-distance-left:0;mso-wrap-distance-right:0" coordorigin="329,178" coordsize="11345,219">
            <v:shape style="position:absolute;left:328;top:178;width:11345;height:22" type="#_x0000_t75" stroked="false">
              <v:imagedata r:id="rId1503" o:title=""/>
            </v:shape>
            <v:line style="position:absolute" from="829,190" to="829,380" stroked="true" strokeweight=".359999pt" strokecolor="#ffffff">
              <v:stroke dashstyle="solid"/>
            </v:line>
            <v:line style="position:absolute" from="2591,190" to="2591,380" stroked="true" strokeweight=".360008pt" strokecolor="#ffffff">
              <v:stroke dashstyle="solid"/>
            </v:line>
            <v:line style="position:absolute" from="3325,190" to="3325,380" stroked="true" strokeweight=".359997pt" strokecolor="#ffffff">
              <v:stroke dashstyle="solid"/>
            </v:line>
            <v:shape style="position:absolute;left:328;top:375;width:4438;height:22" type="#_x0000_t75" stroked="false">
              <v:imagedata r:id="rId1509" o:title=""/>
            </v:shape>
            <v:shape style="position:absolute;left:328;top:178;width:11345;height:22" type="#_x0000_t75" stroked="false">
              <v:imagedata r:id="rId1503" o:title=""/>
            </v:shape>
            <v:shape style="position:absolute;left:4759;top:375;width:6915;height:22" type="#_x0000_t75" stroked="false">
              <v:imagedata r:id="rId1510" o:title=""/>
            </v:shape>
            <v:shape style="position:absolute;left:328;top:178;width:11345;height:219" type="#_x0000_t202" filled="false" stroked="false">
              <v:textbox inset="0,0,0,0">
                <w:txbxContent>
                  <w:p>
                    <w:pPr>
                      <w:spacing w:before="41"/>
                      <w:ind w:left="33" w:right="0" w:firstLine="0"/>
                      <w:jc w:val="left"/>
                      <w:rPr>
                        <w:b/>
                        <w:sz w:val="14"/>
                      </w:rPr>
                    </w:pPr>
                    <w:r>
                      <w:rPr>
                        <w:b/>
                        <w:w w:val="105"/>
                        <w:sz w:val="14"/>
                      </w:rPr>
                      <w:t>2A. Calculating the District's Enrollment Variances</w:t>
                    </w:r>
                  </w:p>
                </w:txbxContent>
              </v:textbox>
              <w10:wrap type="none"/>
            </v:shape>
            <w10:wrap type="topAndBottom"/>
          </v:group>
        </w:pict>
      </w:r>
    </w:p>
    <w:p>
      <w:pPr>
        <w:pStyle w:val="BodyText"/>
        <w:rPr>
          <w:sz w:val="18"/>
        </w:rPr>
      </w:pPr>
    </w:p>
    <w:p>
      <w:pPr>
        <w:pStyle w:val="BodyText"/>
        <w:spacing w:before="134"/>
        <w:ind w:left="322" w:right="622"/>
      </w:pPr>
      <w:r>
        <w:rPr/>
        <w:drawing>
          <wp:anchor distT="0" distB="0" distL="0" distR="0" allowOverlap="1" layoutInCell="1" locked="0" behindDoc="1" simplePos="0" relativeHeight="189292544">
            <wp:simplePos x="0" y="0"/>
            <wp:positionH relativeFrom="page">
              <wp:posOffset>3407664</wp:posOffset>
            </wp:positionH>
            <wp:positionV relativeFrom="paragraph">
              <wp:posOffset>-602527</wp:posOffset>
            </wp:positionV>
            <wp:extent cx="1246631" cy="205740"/>
            <wp:effectExtent l="0" t="0" r="0" b="0"/>
            <wp:wrapNone/>
            <wp:docPr id="69" name="image1422.png"/>
            <wp:cNvGraphicFramePr>
              <a:graphicFrameLocks noChangeAspect="1"/>
            </wp:cNvGraphicFramePr>
            <a:graphic>
              <a:graphicData uri="http://schemas.openxmlformats.org/drawingml/2006/picture">
                <pic:pic>
                  <pic:nvPicPr>
                    <pic:cNvPr id="70" name="image1422.png"/>
                    <pic:cNvPicPr/>
                  </pic:nvPicPr>
                  <pic:blipFill>
                    <a:blip r:embed="rId1524" cstate="print"/>
                    <a:stretch>
                      <a:fillRect/>
                    </a:stretch>
                  </pic:blipFill>
                  <pic:spPr>
                    <a:xfrm>
                      <a:off x="0" y="0"/>
                      <a:ext cx="1246631" cy="205740"/>
                    </a:xfrm>
                    <a:prstGeom prst="rect">
                      <a:avLst/>
                    </a:prstGeom>
                  </pic:spPr>
                </pic:pic>
              </a:graphicData>
            </a:graphic>
          </wp:anchor>
        </w:drawing>
      </w:r>
      <w:r>
        <w:rPr/>
        <w:t>DATA ENTRY: Enter data in the Enrollment, Budget, column for all fiscal years and in the Enrollment, CBEDS Actual column for the First Prior Year; all other data are extracted or calculated. CBEDS Actual enrollment data preloaded in the District Regular lines will include both District Regular and Charter School enrollment. Districts will need to adjust the District Regular enrollment lines and the Charter School enrollment lines accordingly. Enter district regular enrollment and charter school enrollment corresponding to financial data reported in the General Fund, only, for all fiscal years.</w:t>
      </w:r>
    </w:p>
    <w:p>
      <w:pPr>
        <w:pStyle w:val="BodyText"/>
        <w:rPr>
          <w:sz w:val="14"/>
        </w:rPr>
      </w:pPr>
    </w:p>
    <w:p>
      <w:pPr>
        <w:pStyle w:val="BodyText"/>
        <w:spacing w:before="2"/>
        <w:rPr>
          <w:sz w:val="20"/>
        </w:rPr>
      </w:pPr>
    </w:p>
    <w:p>
      <w:pPr>
        <w:pStyle w:val="BodyText"/>
        <w:ind w:left="7728"/>
      </w:pPr>
      <w:r>
        <w:rPr/>
        <w:t>Enrollment Variance Level</w:t>
      </w:r>
    </w:p>
    <w:p>
      <w:pPr>
        <w:pStyle w:val="BodyText"/>
        <w:tabs>
          <w:tab w:pos="7923" w:val="left" w:leader="none"/>
        </w:tabs>
        <w:spacing w:before="35"/>
        <w:ind w:left="4973"/>
      </w:pPr>
      <w:r>
        <w:rPr/>
        <w:t>Enrollment</w:t>
        <w:tab/>
        <w:t>(If Budget is</w:t>
      </w:r>
      <w:r>
        <w:rPr>
          <w:spacing w:val="-3"/>
        </w:rPr>
        <w:t> </w:t>
      </w:r>
      <w:r>
        <w:rPr/>
        <w:t>greater</w:t>
      </w:r>
    </w:p>
    <w:p>
      <w:pPr>
        <w:pStyle w:val="BodyText"/>
        <w:tabs>
          <w:tab w:pos="4097" w:val="left" w:leader="none"/>
          <w:tab w:pos="5878" w:val="left" w:leader="none"/>
          <w:tab w:pos="7863" w:val="left" w:leader="none"/>
          <w:tab w:pos="10486" w:val="left" w:leader="none"/>
        </w:tabs>
        <w:spacing w:line="268" w:lineRule="auto" w:before="36"/>
        <w:ind w:left="322" w:right="1297" w:firstLine="1024"/>
      </w:pPr>
      <w:r>
        <w:rPr/>
        <w:pict>
          <v:group style="position:absolute;margin-left:16.440001pt;margin-top:9.216924pt;width:567.25pt;height:138.15pt;mso-position-horizontal-relative:page;mso-position-vertical-relative:paragraph;z-index:-314022912" coordorigin="329,184" coordsize="11345,2763">
            <v:shape style="position:absolute;left:328;top:184;width:2268;height:171" type="#_x0000_t75" stroked="false">
              <v:imagedata r:id="rId1512" o:title=""/>
            </v:shape>
            <v:shape style="position:absolute;left:2589;top:184;width:9084;height:344" type="#_x0000_t75" stroked="false">
              <v:imagedata r:id="rId1525" o:title=""/>
            </v:shape>
            <v:shape style="position:absolute;left:328;top:352;width:11345;height:528" type="#_x0000_t75" stroked="false">
              <v:imagedata r:id="rId1526" o:title=""/>
            </v:shape>
            <v:shape style="position:absolute;left:3324;top:688;width:8350;height:528" type="#_x0000_t75" stroked="false">
              <v:imagedata r:id="rId1527" o:title=""/>
            </v:shape>
            <v:shape style="position:absolute;left:328;top:873;width:7001;height:696" type="#_x0000_t75" stroked="false">
              <v:imagedata r:id="rId1528" o:title=""/>
            </v:shape>
            <v:shape style="position:absolute;left:5366;top:1041;width:6308;height:524" type="#_x0000_t75" stroked="false">
              <v:imagedata r:id="rId1529" o:title=""/>
            </v:shape>
            <v:shape style="position:absolute;left:3324;top:1377;width:8350;height:524" type="#_x0000_t75" stroked="false">
              <v:imagedata r:id="rId1530" o:title=""/>
            </v:shape>
            <v:shape style="position:absolute;left:328;top:1561;width:11345;height:696" type="#_x0000_t75" stroked="false">
              <v:imagedata r:id="rId1531" o:title=""/>
            </v:shape>
            <v:shape style="position:absolute;left:3324;top:2065;width:6437;height:192" type="#_x0000_t75" stroked="false">
              <v:imagedata r:id="rId1532" o:title=""/>
            </v:shape>
            <v:shape style="position:absolute;left:9753;top:2065;width:1920;height:192" type="#_x0000_t75" stroked="false">
              <v:imagedata r:id="rId1518" o:title=""/>
            </v:shape>
            <v:shape style="position:absolute;left:328;top:2250;width:7001;height:696" type="#_x0000_t75" stroked="false">
              <v:imagedata r:id="rId1533" o:title=""/>
            </v:shape>
            <v:shape style="position:absolute;left:3324;top:2754;width:2050;height:192" type="#_x0000_t75" stroked="false">
              <v:imagedata r:id="rId1534" o:title=""/>
            </v:shape>
            <w10:wrap type="none"/>
          </v:group>
        </w:pict>
      </w:r>
      <w:r>
        <w:rPr/>
        <w:t>Fiscal</w:t>
      </w:r>
      <w:r>
        <w:rPr>
          <w:spacing w:val="-2"/>
        </w:rPr>
        <w:t> </w:t>
      </w:r>
      <w:r>
        <w:rPr/>
        <w:t>Year</w:t>
        <w:tab/>
        <w:t>Budget</w:t>
        <w:tab/>
        <w:t>CBEDS</w:t>
      </w:r>
      <w:r>
        <w:rPr>
          <w:spacing w:val="5"/>
        </w:rPr>
        <w:t> </w:t>
      </w:r>
      <w:r>
        <w:rPr/>
        <w:t>Actual</w:t>
        <w:tab/>
        <w:t>than Actual,</w:t>
      </w:r>
      <w:r>
        <w:rPr>
          <w:spacing w:val="4"/>
        </w:rPr>
        <w:t> </w:t>
      </w:r>
      <w:r>
        <w:rPr/>
        <w:t>else</w:t>
      </w:r>
      <w:r>
        <w:rPr>
          <w:spacing w:val="2"/>
        </w:rPr>
        <w:t> </w:t>
      </w:r>
      <w:r>
        <w:rPr/>
        <w:t>N/A)</w:t>
        <w:tab/>
      </w:r>
      <w:r>
        <w:rPr>
          <w:spacing w:val="-4"/>
        </w:rPr>
        <w:t>Status </w:t>
      </w:r>
      <w:r>
        <w:rPr/>
        <w:t>Third Prior Year</w:t>
      </w:r>
      <w:r>
        <w:rPr>
          <w:spacing w:val="-1"/>
        </w:rPr>
        <w:t> </w:t>
      </w:r>
      <w:r>
        <w:rPr/>
        <w:t>(2018-19)</w:t>
      </w:r>
    </w:p>
    <w:p>
      <w:pPr>
        <w:pStyle w:val="BodyText"/>
        <w:tabs>
          <w:tab w:pos="5033" w:val="left" w:leader="none"/>
          <w:tab w:pos="7211" w:val="right" w:leader="none"/>
        </w:tabs>
        <w:spacing w:before="1"/>
        <w:ind w:left="1001"/>
      </w:pPr>
      <w:r>
        <w:rPr/>
        <w:t>District Regular</w:t>
        <w:tab/>
        <w:t>137</w:t>
        <w:tab/>
        <w:t>118</w:t>
      </w:r>
    </w:p>
    <w:p>
      <w:pPr>
        <w:pStyle w:val="BodyText"/>
        <w:spacing w:before="18"/>
        <w:ind w:left="1001"/>
      </w:pPr>
      <w:r>
        <w:rPr/>
        <w:t>Charter School</w:t>
      </w:r>
    </w:p>
    <w:p>
      <w:pPr>
        <w:tabs>
          <w:tab w:pos="5033" w:val="left" w:leader="none"/>
          <w:tab w:pos="6989" w:val="left" w:leader="none"/>
          <w:tab w:pos="8314" w:val="left" w:leader="none"/>
          <w:tab w:pos="10433" w:val="left" w:leader="none"/>
        </w:tabs>
        <w:spacing w:before="33"/>
        <w:ind w:left="1479" w:right="0" w:firstLine="0"/>
        <w:jc w:val="left"/>
        <w:rPr>
          <w:b/>
          <w:sz w:val="13"/>
        </w:rPr>
      </w:pPr>
      <w:r>
        <w:rPr>
          <w:b/>
          <w:sz w:val="13"/>
        </w:rPr>
        <w:t>Total</w:t>
      </w:r>
      <w:r>
        <w:rPr>
          <w:b/>
          <w:spacing w:val="3"/>
          <w:sz w:val="13"/>
        </w:rPr>
        <w:t> </w:t>
      </w:r>
      <w:r>
        <w:rPr>
          <w:b/>
          <w:sz w:val="13"/>
        </w:rPr>
        <w:t>Enrollment</w:t>
        <w:tab/>
        <w:t>137</w:t>
        <w:tab/>
        <w:t>118</w:t>
        <w:tab/>
        <w:t>13.9%</w:t>
        <w:tab/>
        <w:t>Not</w:t>
      </w:r>
      <w:r>
        <w:rPr>
          <w:b/>
          <w:spacing w:val="-1"/>
          <w:sz w:val="13"/>
        </w:rPr>
        <w:t> </w:t>
      </w:r>
      <w:r>
        <w:rPr>
          <w:b/>
          <w:sz w:val="13"/>
        </w:rPr>
        <w:t>Met</w:t>
      </w:r>
    </w:p>
    <w:p>
      <w:pPr>
        <w:pStyle w:val="BodyText"/>
        <w:spacing w:before="21"/>
        <w:ind w:left="322"/>
      </w:pPr>
      <w:r>
        <w:rPr/>
        <w:t>Second Prior Year (2019-20)</w:t>
      </w:r>
    </w:p>
    <w:p>
      <w:pPr>
        <w:pStyle w:val="BodyText"/>
        <w:tabs>
          <w:tab w:pos="5033" w:val="left" w:leader="none"/>
          <w:tab w:pos="6989" w:val="left" w:leader="none"/>
        </w:tabs>
        <w:spacing w:before="19"/>
        <w:ind w:left="1001"/>
      </w:pPr>
      <w:r>
        <w:rPr/>
        <w:t>District Regular</w:t>
        <w:tab/>
        <w:t>116</w:t>
        <w:tab/>
        <w:t>121</w:t>
      </w:r>
    </w:p>
    <w:p>
      <w:pPr>
        <w:pStyle w:val="BodyText"/>
        <w:spacing w:before="18"/>
        <w:ind w:left="1001"/>
      </w:pPr>
      <w:r>
        <w:rPr/>
        <w:t>Charter School</w:t>
      </w:r>
    </w:p>
    <w:p>
      <w:pPr>
        <w:tabs>
          <w:tab w:pos="5033" w:val="left" w:leader="none"/>
          <w:tab w:pos="6989" w:val="left" w:leader="none"/>
          <w:tab w:pos="8391" w:val="left" w:leader="none"/>
          <w:tab w:pos="10560" w:val="left" w:leader="none"/>
        </w:tabs>
        <w:spacing w:before="33"/>
        <w:ind w:left="1479" w:right="0" w:firstLine="0"/>
        <w:jc w:val="left"/>
        <w:rPr>
          <w:b/>
          <w:sz w:val="13"/>
        </w:rPr>
      </w:pPr>
      <w:r>
        <w:rPr>
          <w:b/>
          <w:sz w:val="13"/>
        </w:rPr>
        <w:t>Total</w:t>
      </w:r>
      <w:r>
        <w:rPr>
          <w:b/>
          <w:spacing w:val="3"/>
          <w:sz w:val="13"/>
        </w:rPr>
        <w:t> </w:t>
      </w:r>
      <w:r>
        <w:rPr>
          <w:b/>
          <w:sz w:val="13"/>
        </w:rPr>
        <w:t>Enrollment</w:t>
        <w:tab/>
        <w:t>116</w:t>
        <w:tab/>
        <w:t>121</w:t>
        <w:tab/>
        <w:t>N/A</w:t>
        <w:tab/>
        <w:t>Met</w:t>
      </w:r>
    </w:p>
    <w:p>
      <w:pPr>
        <w:pStyle w:val="BodyText"/>
        <w:spacing w:before="21"/>
        <w:ind w:left="322"/>
      </w:pPr>
      <w:r>
        <w:rPr/>
        <w:t>First Prior Year (2020-21)</w:t>
      </w:r>
    </w:p>
    <w:p>
      <w:pPr>
        <w:pStyle w:val="BodyText"/>
        <w:tabs>
          <w:tab w:pos="5033" w:val="left" w:leader="none"/>
          <w:tab w:pos="6989" w:val="left" w:leader="none"/>
        </w:tabs>
        <w:spacing w:before="19"/>
        <w:ind w:left="1001"/>
      </w:pPr>
      <w:r>
        <w:rPr/>
        <w:t>District Regular</w:t>
        <w:tab/>
        <w:t>121</w:t>
        <w:tab/>
        <w:t>119</w:t>
      </w:r>
    </w:p>
    <w:p>
      <w:pPr>
        <w:pStyle w:val="BodyText"/>
        <w:spacing w:before="18"/>
        <w:ind w:left="1001"/>
      </w:pPr>
      <w:r>
        <w:rPr/>
        <w:t>Charter School</w:t>
      </w:r>
    </w:p>
    <w:p>
      <w:pPr>
        <w:tabs>
          <w:tab w:pos="5033" w:val="left" w:leader="none"/>
          <w:tab w:pos="6989" w:val="left" w:leader="none"/>
          <w:tab w:pos="8352" w:val="left" w:leader="none"/>
          <w:tab w:pos="10560" w:val="left" w:leader="none"/>
        </w:tabs>
        <w:spacing w:before="33"/>
        <w:ind w:left="1479" w:right="0" w:firstLine="0"/>
        <w:jc w:val="left"/>
        <w:rPr>
          <w:b/>
          <w:sz w:val="13"/>
        </w:rPr>
      </w:pPr>
      <w:r>
        <w:rPr>
          <w:b/>
          <w:sz w:val="13"/>
        </w:rPr>
        <w:t>Total</w:t>
      </w:r>
      <w:r>
        <w:rPr>
          <w:b/>
          <w:spacing w:val="3"/>
          <w:sz w:val="13"/>
        </w:rPr>
        <w:t> </w:t>
      </w:r>
      <w:r>
        <w:rPr>
          <w:b/>
          <w:sz w:val="13"/>
        </w:rPr>
        <w:t>Enrollment</w:t>
        <w:tab/>
        <w:t>121</w:t>
        <w:tab/>
        <w:t>119</w:t>
        <w:tab/>
        <w:t>1.7%</w:t>
        <w:tab/>
        <w:t>Met</w:t>
      </w:r>
    </w:p>
    <w:p>
      <w:pPr>
        <w:pStyle w:val="BodyText"/>
        <w:spacing w:before="21"/>
        <w:ind w:left="322"/>
      </w:pPr>
      <w:r>
        <w:rPr/>
        <w:t>Budget Year (2021-22)</w:t>
      </w:r>
    </w:p>
    <w:p>
      <w:pPr>
        <w:pStyle w:val="BodyText"/>
        <w:tabs>
          <w:tab w:pos="5033" w:val="left" w:leader="none"/>
        </w:tabs>
        <w:spacing w:before="18"/>
        <w:ind w:left="1001"/>
      </w:pPr>
      <w:r>
        <w:rPr/>
        <w:t>District Regular</w:t>
        <w:tab/>
        <w:t>121</w:t>
      </w:r>
    </w:p>
    <w:p>
      <w:pPr>
        <w:pStyle w:val="BodyText"/>
        <w:spacing w:before="19"/>
        <w:ind w:left="1001"/>
      </w:pPr>
      <w:r>
        <w:rPr/>
        <w:t>Charter School</w:t>
      </w:r>
    </w:p>
    <w:p>
      <w:pPr>
        <w:tabs>
          <w:tab w:pos="5033" w:val="left" w:leader="none"/>
        </w:tabs>
        <w:spacing w:before="33"/>
        <w:ind w:left="1479" w:right="0" w:firstLine="0"/>
        <w:jc w:val="left"/>
        <w:rPr>
          <w:b/>
          <w:sz w:val="13"/>
        </w:rPr>
      </w:pPr>
      <w:r>
        <w:rPr>
          <w:b/>
          <w:sz w:val="13"/>
        </w:rPr>
        <w:t>Total</w:t>
      </w:r>
      <w:r>
        <w:rPr>
          <w:b/>
          <w:spacing w:val="3"/>
          <w:sz w:val="13"/>
        </w:rPr>
        <w:t> </w:t>
      </w:r>
      <w:r>
        <w:rPr>
          <w:b/>
          <w:sz w:val="13"/>
        </w:rPr>
        <w:t>Enrollment</w:t>
        <w:tab/>
        <w:t>121</w:t>
      </w:r>
    </w:p>
    <w:p>
      <w:pPr>
        <w:pStyle w:val="BodyText"/>
        <w:spacing w:before="1"/>
        <w:rPr>
          <w:b/>
          <w:sz w:val="12"/>
        </w:rPr>
      </w:pPr>
      <w:r>
        <w:rPr/>
        <w:pict>
          <v:group style="position:absolute;margin-left:16.440001pt;margin-top:8.948282pt;width:567.25pt;height:10.95pt;mso-position-horizontal-relative:page;mso-position-vertical-relative:paragraph;z-index:-250976256;mso-wrap-distance-left:0;mso-wrap-distance-right:0" coordorigin="329,179" coordsize="11345,219">
            <v:shape style="position:absolute;left:328;top:178;width:11345;height:22" type="#_x0000_t75" stroked="false">
              <v:imagedata r:id="rId1503" o:title=""/>
            </v:shape>
            <v:line style="position:absolute" from="829,191" to="829,381" stroked="true" strokeweight=".359999pt" strokecolor="#ffffff">
              <v:stroke dashstyle="solid"/>
            </v:line>
            <v:line style="position:absolute" from="2591,191" to="2591,381" stroked="true" strokeweight=".360008pt" strokecolor="#ffffff">
              <v:stroke dashstyle="solid"/>
            </v:line>
            <v:line style="position:absolute" from="3325,191" to="3325,381" stroked="true" strokeweight=".359997pt" strokecolor="#ffffff">
              <v:stroke dashstyle="solid"/>
            </v:line>
            <v:shape style="position:absolute;left:328;top:375;width:4438;height:22" type="#_x0000_t75" stroked="false">
              <v:imagedata r:id="rId1509" o:title=""/>
            </v:shape>
            <v:shape style="position:absolute;left:328;top:178;width:11345;height:22" type="#_x0000_t75" stroked="false">
              <v:imagedata r:id="rId1503" o:title=""/>
            </v:shape>
            <v:shape style="position:absolute;left:4759;top:375;width:6915;height:22" type="#_x0000_t75" stroked="false">
              <v:imagedata r:id="rId1510" o:title=""/>
            </v:shape>
            <v:shape style="position:absolute;left:328;top:178;width:11345;height:219" type="#_x0000_t202" filled="false" stroked="false">
              <v:textbox inset="0,0,0,0">
                <w:txbxContent>
                  <w:p>
                    <w:pPr>
                      <w:spacing w:before="41"/>
                      <w:ind w:left="33" w:right="0" w:firstLine="0"/>
                      <w:jc w:val="left"/>
                      <w:rPr>
                        <w:b/>
                        <w:sz w:val="14"/>
                      </w:rPr>
                    </w:pPr>
                    <w:r>
                      <w:rPr>
                        <w:b/>
                        <w:w w:val="105"/>
                        <w:sz w:val="14"/>
                      </w:rPr>
                      <w:t>2B. Comparison of District Enrollment to the Standard</w:t>
                    </w:r>
                  </w:p>
                </w:txbxContent>
              </v:textbox>
              <w10:wrap type="none"/>
            </v:shape>
            <w10:wrap type="topAndBottom"/>
          </v:group>
        </w:pict>
      </w:r>
    </w:p>
    <w:p>
      <w:pPr>
        <w:pStyle w:val="BodyText"/>
        <w:spacing w:before="6"/>
        <w:rPr>
          <w:b/>
          <w:sz w:val="11"/>
        </w:rPr>
      </w:pPr>
    </w:p>
    <w:p>
      <w:pPr>
        <w:pStyle w:val="BodyText"/>
        <w:spacing w:before="98"/>
        <w:ind w:left="322"/>
      </w:pPr>
      <w:r>
        <w:rPr/>
        <w:t>DATA ENTRY: Enter an explanation if the standard is not met.</w:t>
      </w:r>
    </w:p>
    <w:p>
      <w:pPr>
        <w:pStyle w:val="BodyText"/>
        <w:spacing w:before="5"/>
        <w:rPr>
          <w:sz w:val="16"/>
        </w:rPr>
      </w:pPr>
    </w:p>
    <w:p>
      <w:pPr>
        <w:pStyle w:val="BodyText"/>
        <w:ind w:left="451"/>
      </w:pPr>
      <w:r>
        <w:rPr/>
        <w:t>1a. STANDARD MET - Enrollment has not been overestimated by more than the standard percentage level for the first prior year.</w:t>
      </w:r>
    </w:p>
    <w:p>
      <w:pPr>
        <w:pStyle w:val="BodyText"/>
        <w:rPr>
          <w:sz w:val="14"/>
        </w:rPr>
      </w:pPr>
    </w:p>
    <w:p>
      <w:pPr>
        <w:pStyle w:val="BodyText"/>
        <w:rPr>
          <w:sz w:val="14"/>
        </w:rPr>
      </w:pPr>
    </w:p>
    <w:p>
      <w:pPr>
        <w:spacing w:before="92"/>
        <w:ind w:left="0" w:right="8810" w:firstLine="0"/>
        <w:jc w:val="center"/>
        <w:rPr>
          <w:b/>
          <w:sz w:val="13"/>
        </w:rPr>
      </w:pPr>
      <w:r>
        <w:rPr/>
        <w:drawing>
          <wp:anchor distT="0" distB="0" distL="0" distR="0" allowOverlap="1" layoutInCell="1" locked="0" behindDoc="0" simplePos="0" relativeHeight="252345344">
            <wp:simplePos x="0" y="0"/>
            <wp:positionH relativeFrom="page">
              <wp:posOffset>1644395</wp:posOffset>
            </wp:positionH>
            <wp:positionV relativeFrom="paragraph">
              <wp:posOffset>33743</wp:posOffset>
            </wp:positionV>
            <wp:extent cx="5768339" cy="486155"/>
            <wp:effectExtent l="0" t="0" r="0" b="0"/>
            <wp:wrapNone/>
            <wp:docPr id="71" name="image1420.png"/>
            <wp:cNvGraphicFramePr>
              <a:graphicFrameLocks noChangeAspect="1"/>
            </wp:cNvGraphicFramePr>
            <a:graphic>
              <a:graphicData uri="http://schemas.openxmlformats.org/drawingml/2006/picture">
                <pic:pic>
                  <pic:nvPicPr>
                    <pic:cNvPr id="72" name="image1420.png"/>
                    <pic:cNvPicPr/>
                  </pic:nvPicPr>
                  <pic:blipFill>
                    <a:blip r:embed="rId1522" cstate="print"/>
                    <a:stretch>
                      <a:fillRect/>
                    </a:stretch>
                  </pic:blipFill>
                  <pic:spPr>
                    <a:xfrm>
                      <a:off x="0" y="0"/>
                      <a:ext cx="5768339" cy="486155"/>
                    </a:xfrm>
                    <a:prstGeom prst="rect">
                      <a:avLst/>
                    </a:prstGeom>
                  </pic:spPr>
                </pic:pic>
              </a:graphicData>
            </a:graphic>
          </wp:anchor>
        </w:drawing>
      </w:r>
      <w:r>
        <w:rPr>
          <w:b/>
          <w:sz w:val="13"/>
        </w:rPr>
        <w:t>Explanation:</w:t>
      </w:r>
    </w:p>
    <w:p>
      <w:pPr>
        <w:pStyle w:val="BodyText"/>
        <w:spacing w:before="43"/>
        <w:ind w:right="8810"/>
        <w:jc w:val="center"/>
      </w:pPr>
      <w:r>
        <w:rPr/>
        <w:t>(required if NOT met)</w:t>
      </w:r>
    </w:p>
    <w:p>
      <w:pPr>
        <w:pStyle w:val="BodyText"/>
        <w:rPr>
          <w:sz w:val="14"/>
        </w:rPr>
      </w:pPr>
    </w:p>
    <w:p>
      <w:pPr>
        <w:pStyle w:val="BodyText"/>
        <w:rPr>
          <w:sz w:val="14"/>
        </w:rPr>
      </w:pPr>
    </w:p>
    <w:p>
      <w:pPr>
        <w:pStyle w:val="BodyText"/>
        <w:rPr>
          <w:sz w:val="14"/>
        </w:rPr>
      </w:pPr>
    </w:p>
    <w:p>
      <w:pPr>
        <w:pStyle w:val="BodyText"/>
        <w:spacing w:before="85"/>
        <w:ind w:left="451"/>
      </w:pPr>
      <w:r>
        <w:rPr/>
        <w:t>1b. STANDARD MET - Enrollment has not been overestimated by more than the standard percentage level for two or more of the previous three years.</w:t>
      </w:r>
    </w:p>
    <w:p>
      <w:pPr>
        <w:pStyle w:val="BodyText"/>
        <w:rPr>
          <w:sz w:val="14"/>
        </w:rPr>
      </w:pPr>
    </w:p>
    <w:p>
      <w:pPr>
        <w:pStyle w:val="BodyText"/>
        <w:spacing w:before="7"/>
        <w:rPr>
          <w:sz w:val="20"/>
        </w:rPr>
      </w:pPr>
    </w:p>
    <w:p>
      <w:pPr>
        <w:spacing w:before="0"/>
        <w:ind w:left="0" w:right="8810" w:firstLine="0"/>
        <w:jc w:val="center"/>
        <w:rPr>
          <w:b/>
          <w:sz w:val="13"/>
        </w:rPr>
      </w:pPr>
      <w:r>
        <w:rPr/>
        <w:drawing>
          <wp:anchor distT="0" distB="0" distL="0" distR="0" allowOverlap="1" layoutInCell="1" locked="0" behindDoc="0" simplePos="0" relativeHeight="252346368">
            <wp:simplePos x="0" y="0"/>
            <wp:positionH relativeFrom="page">
              <wp:posOffset>1644395</wp:posOffset>
            </wp:positionH>
            <wp:positionV relativeFrom="paragraph">
              <wp:posOffset>-24677</wp:posOffset>
            </wp:positionV>
            <wp:extent cx="5768339" cy="486155"/>
            <wp:effectExtent l="0" t="0" r="0" b="0"/>
            <wp:wrapNone/>
            <wp:docPr id="73" name="image1420.png"/>
            <wp:cNvGraphicFramePr>
              <a:graphicFrameLocks noChangeAspect="1"/>
            </wp:cNvGraphicFramePr>
            <a:graphic>
              <a:graphicData uri="http://schemas.openxmlformats.org/drawingml/2006/picture">
                <pic:pic>
                  <pic:nvPicPr>
                    <pic:cNvPr id="74" name="image1420.png"/>
                    <pic:cNvPicPr/>
                  </pic:nvPicPr>
                  <pic:blipFill>
                    <a:blip r:embed="rId1522" cstate="print"/>
                    <a:stretch>
                      <a:fillRect/>
                    </a:stretch>
                  </pic:blipFill>
                  <pic:spPr>
                    <a:xfrm>
                      <a:off x="0" y="0"/>
                      <a:ext cx="5768339" cy="486155"/>
                    </a:xfrm>
                    <a:prstGeom prst="rect">
                      <a:avLst/>
                    </a:prstGeom>
                  </pic:spPr>
                </pic:pic>
              </a:graphicData>
            </a:graphic>
          </wp:anchor>
        </w:drawing>
      </w:r>
      <w:r>
        <w:rPr>
          <w:b/>
          <w:sz w:val="13"/>
        </w:rPr>
        <w:t>Explanation:</w:t>
      </w:r>
    </w:p>
    <w:p>
      <w:pPr>
        <w:pStyle w:val="BodyText"/>
        <w:spacing w:before="42"/>
        <w:ind w:right="8810"/>
        <w:jc w:val="center"/>
      </w:pPr>
      <w:r>
        <w:rPr/>
        <w:t>(required if NOT met)</w:t>
      </w:r>
    </w:p>
    <w:p>
      <w:pPr>
        <w:spacing w:after="0"/>
        <w:jc w:val="center"/>
        <w:sectPr>
          <w:pgSz w:w="12240" w:h="15840"/>
          <w:pgMar w:header="402" w:footer="584" w:top="840" w:bottom="780" w:left="40" w:right="40"/>
        </w:sectPr>
      </w:pPr>
    </w:p>
    <w:p>
      <w:pPr>
        <w:pStyle w:val="BodyText"/>
        <w:rPr>
          <w:sz w:val="20"/>
        </w:rPr>
      </w:pPr>
    </w:p>
    <w:p>
      <w:pPr>
        <w:pStyle w:val="BodyText"/>
        <w:spacing w:before="1"/>
        <w:rPr>
          <w:sz w:val="23"/>
        </w:rPr>
      </w:pPr>
    </w:p>
    <w:p>
      <w:pPr>
        <w:pStyle w:val="Heading4"/>
        <w:numPr>
          <w:ilvl w:val="0"/>
          <w:numId w:val="69"/>
        </w:numPr>
        <w:tabs>
          <w:tab w:pos="821" w:val="left" w:leader="none"/>
          <w:tab w:pos="822" w:val="left" w:leader="none"/>
        </w:tabs>
        <w:spacing w:line="240" w:lineRule="auto" w:before="1" w:after="0"/>
        <w:ind w:left="821" w:right="0" w:hanging="344"/>
        <w:jc w:val="left"/>
      </w:pPr>
      <w:r>
        <w:rPr/>
        <w:t>CRITERION: ADA to</w:t>
      </w:r>
      <w:r>
        <w:rPr>
          <w:spacing w:val="-15"/>
        </w:rPr>
        <w:t> </w:t>
      </w:r>
      <w:r>
        <w:rPr/>
        <w:t>Enrollment</w:t>
      </w:r>
    </w:p>
    <w:p>
      <w:pPr>
        <w:pStyle w:val="BodyText"/>
        <w:spacing w:before="5"/>
        <w:rPr>
          <w:b/>
          <w:sz w:val="24"/>
        </w:rPr>
      </w:pPr>
    </w:p>
    <w:p>
      <w:pPr>
        <w:pStyle w:val="Heading5"/>
        <w:spacing w:line="232" w:lineRule="auto"/>
        <w:ind w:right="622"/>
      </w:pPr>
      <w:r>
        <w:rPr/>
        <w:t>STANDARD:</w:t>
      </w:r>
      <w:r>
        <w:rPr>
          <w:spacing w:val="-7"/>
        </w:rPr>
        <w:t> </w:t>
      </w:r>
      <w:r>
        <w:rPr/>
        <w:t>Projected</w:t>
      </w:r>
      <w:r>
        <w:rPr>
          <w:spacing w:val="-6"/>
        </w:rPr>
        <w:t> </w:t>
      </w:r>
      <w:r>
        <w:rPr/>
        <w:t>second</w:t>
      </w:r>
      <w:r>
        <w:rPr>
          <w:spacing w:val="-4"/>
        </w:rPr>
        <w:t> </w:t>
      </w:r>
      <w:r>
        <w:rPr/>
        <w:t>period</w:t>
      </w:r>
      <w:r>
        <w:rPr>
          <w:spacing w:val="-5"/>
        </w:rPr>
        <w:t> </w:t>
      </w:r>
      <w:r>
        <w:rPr/>
        <w:t>(P-2)</w:t>
      </w:r>
      <w:r>
        <w:rPr>
          <w:spacing w:val="-5"/>
        </w:rPr>
        <w:t> </w:t>
      </w:r>
      <w:r>
        <w:rPr/>
        <w:t>average</w:t>
      </w:r>
      <w:r>
        <w:rPr>
          <w:spacing w:val="-4"/>
        </w:rPr>
        <w:t> </w:t>
      </w:r>
      <w:r>
        <w:rPr/>
        <w:t>daily</w:t>
      </w:r>
      <w:r>
        <w:rPr>
          <w:spacing w:val="-11"/>
        </w:rPr>
        <w:t> </w:t>
      </w:r>
      <w:r>
        <w:rPr/>
        <w:t>attendance</w:t>
      </w:r>
      <w:r>
        <w:rPr>
          <w:spacing w:val="-5"/>
        </w:rPr>
        <w:t> </w:t>
      </w:r>
      <w:r>
        <w:rPr/>
        <w:t>(ADA)</w:t>
      </w:r>
      <w:r>
        <w:rPr>
          <w:spacing w:val="-6"/>
        </w:rPr>
        <w:t> </w:t>
      </w:r>
      <w:r>
        <w:rPr/>
        <w:t>to</w:t>
      </w:r>
      <w:r>
        <w:rPr>
          <w:spacing w:val="-5"/>
        </w:rPr>
        <w:t> </w:t>
      </w:r>
      <w:r>
        <w:rPr/>
        <w:t>enrollment</w:t>
      </w:r>
      <w:r>
        <w:rPr>
          <w:spacing w:val="-7"/>
        </w:rPr>
        <w:t> </w:t>
      </w:r>
      <w:r>
        <w:rPr/>
        <w:t>ratio</w:t>
      </w:r>
      <w:r>
        <w:rPr>
          <w:spacing w:val="-5"/>
        </w:rPr>
        <w:t> </w:t>
      </w:r>
      <w:r>
        <w:rPr/>
        <w:t>for</w:t>
      </w:r>
      <w:r>
        <w:rPr>
          <w:spacing w:val="-5"/>
        </w:rPr>
        <w:t> </w:t>
      </w:r>
      <w:r>
        <w:rPr/>
        <w:t>any</w:t>
      </w:r>
      <w:r>
        <w:rPr>
          <w:spacing w:val="-11"/>
        </w:rPr>
        <w:t> </w:t>
      </w:r>
      <w:r>
        <w:rPr/>
        <w:t>of</w:t>
      </w:r>
      <w:r>
        <w:rPr>
          <w:spacing w:val="-3"/>
        </w:rPr>
        <w:t> </w:t>
      </w:r>
      <w:r>
        <w:rPr/>
        <w:t>the</w:t>
      </w:r>
      <w:r>
        <w:rPr>
          <w:spacing w:val="-4"/>
        </w:rPr>
        <w:t> </w:t>
      </w:r>
      <w:r>
        <w:rPr/>
        <w:t>budget</w:t>
      </w:r>
      <w:r>
        <w:rPr>
          <w:spacing w:val="-6"/>
        </w:rPr>
        <w:t> </w:t>
      </w:r>
      <w:r>
        <w:rPr/>
        <w:t>year</w:t>
      </w:r>
      <w:r>
        <w:rPr>
          <w:spacing w:val="-6"/>
        </w:rPr>
        <w:t> </w:t>
      </w:r>
      <w:r>
        <w:rPr/>
        <w:t>or</w:t>
      </w:r>
      <w:r>
        <w:rPr>
          <w:spacing w:val="-6"/>
        </w:rPr>
        <w:t> </w:t>
      </w:r>
      <w:r>
        <w:rPr/>
        <w:t>two</w:t>
      </w:r>
      <w:r>
        <w:rPr>
          <w:spacing w:val="-6"/>
        </w:rPr>
        <w:t> </w:t>
      </w:r>
      <w:r>
        <w:rPr/>
        <w:t>subsequent</w:t>
      </w:r>
      <w:r>
        <w:rPr>
          <w:spacing w:val="-7"/>
        </w:rPr>
        <w:t> </w:t>
      </w:r>
      <w:r>
        <w:rPr/>
        <w:t>fiscal</w:t>
      </w:r>
      <w:r>
        <w:rPr>
          <w:spacing w:val="-5"/>
        </w:rPr>
        <w:t> </w:t>
      </w:r>
      <w:r>
        <w:rPr/>
        <w:t>years has</w:t>
      </w:r>
      <w:r>
        <w:rPr>
          <w:spacing w:val="-4"/>
        </w:rPr>
        <w:t> </w:t>
      </w:r>
      <w:r>
        <w:rPr/>
        <w:t>not</w:t>
      </w:r>
      <w:r>
        <w:rPr>
          <w:spacing w:val="-4"/>
        </w:rPr>
        <w:t> </w:t>
      </w:r>
      <w:r>
        <w:rPr/>
        <w:t>increased</w:t>
      </w:r>
      <w:r>
        <w:rPr>
          <w:spacing w:val="-2"/>
        </w:rPr>
        <w:t> </w:t>
      </w:r>
      <w:r>
        <w:rPr/>
        <w:t>from</w:t>
      </w:r>
      <w:r>
        <w:rPr>
          <w:spacing w:val="-2"/>
        </w:rPr>
        <w:t> </w:t>
      </w:r>
      <w:r>
        <w:rPr/>
        <w:t>the</w:t>
      </w:r>
      <w:r>
        <w:rPr>
          <w:spacing w:val="-3"/>
        </w:rPr>
        <w:t> </w:t>
      </w:r>
      <w:r>
        <w:rPr/>
        <w:t>historical</w:t>
      </w:r>
      <w:r>
        <w:rPr>
          <w:spacing w:val="-1"/>
        </w:rPr>
        <w:t> </w:t>
      </w:r>
      <w:r>
        <w:rPr/>
        <w:t>average</w:t>
      </w:r>
      <w:r>
        <w:rPr>
          <w:spacing w:val="-1"/>
        </w:rPr>
        <w:t> </w:t>
      </w:r>
      <w:r>
        <w:rPr/>
        <w:t>ratio</w:t>
      </w:r>
      <w:r>
        <w:rPr>
          <w:spacing w:val="-3"/>
        </w:rPr>
        <w:t> </w:t>
      </w:r>
      <w:r>
        <w:rPr/>
        <w:t>from</w:t>
      </w:r>
      <w:r>
        <w:rPr>
          <w:spacing w:val="-2"/>
        </w:rPr>
        <w:t> </w:t>
      </w:r>
      <w:r>
        <w:rPr/>
        <w:t>the</w:t>
      </w:r>
      <w:r>
        <w:rPr>
          <w:spacing w:val="-1"/>
        </w:rPr>
        <w:t> </w:t>
      </w:r>
      <w:r>
        <w:rPr/>
        <w:t>three</w:t>
      </w:r>
      <w:r>
        <w:rPr>
          <w:spacing w:val="-2"/>
        </w:rPr>
        <w:t> </w:t>
      </w:r>
      <w:r>
        <w:rPr/>
        <w:t>prior</w:t>
      </w:r>
      <w:r>
        <w:rPr>
          <w:spacing w:val="-4"/>
        </w:rPr>
        <w:t> </w:t>
      </w:r>
      <w:r>
        <w:rPr/>
        <w:t>fiscal</w:t>
      </w:r>
      <w:r>
        <w:rPr>
          <w:spacing w:val="-2"/>
        </w:rPr>
        <w:t> </w:t>
      </w:r>
      <w:r>
        <w:rPr/>
        <w:t>years</w:t>
      </w:r>
      <w:r>
        <w:rPr>
          <w:spacing w:val="-3"/>
        </w:rPr>
        <w:t> </w:t>
      </w:r>
      <w:r>
        <w:rPr/>
        <w:t>by</w:t>
      </w:r>
      <w:r>
        <w:rPr>
          <w:spacing w:val="-6"/>
        </w:rPr>
        <w:t> </w:t>
      </w:r>
      <w:r>
        <w:rPr/>
        <w:t>more</w:t>
      </w:r>
      <w:r>
        <w:rPr>
          <w:spacing w:val="-2"/>
        </w:rPr>
        <w:t> </w:t>
      </w:r>
      <w:r>
        <w:rPr/>
        <w:t>than</w:t>
      </w:r>
      <w:r>
        <w:rPr>
          <w:spacing w:val="-2"/>
        </w:rPr>
        <w:t> </w:t>
      </w:r>
      <w:r>
        <w:rPr/>
        <w:t>one</w:t>
      </w:r>
      <w:r>
        <w:rPr>
          <w:spacing w:val="-1"/>
        </w:rPr>
        <w:t> </w:t>
      </w:r>
      <w:r>
        <w:rPr/>
        <w:t>half</w:t>
      </w:r>
      <w:r>
        <w:rPr>
          <w:spacing w:val="-1"/>
        </w:rPr>
        <w:t> </w:t>
      </w:r>
      <w:r>
        <w:rPr/>
        <w:t>of</w:t>
      </w:r>
      <w:r>
        <w:rPr>
          <w:spacing w:val="-2"/>
        </w:rPr>
        <w:t> </w:t>
      </w:r>
      <w:r>
        <w:rPr/>
        <w:t>one</w:t>
      </w:r>
      <w:r>
        <w:rPr>
          <w:spacing w:val="-3"/>
        </w:rPr>
        <w:t> </w:t>
      </w:r>
      <w:r>
        <w:rPr/>
        <w:t>percent</w:t>
      </w:r>
      <w:r>
        <w:rPr>
          <w:spacing w:val="-4"/>
        </w:rPr>
        <w:t> </w:t>
      </w:r>
      <w:r>
        <w:rPr/>
        <w:t>(0.5%).</w:t>
      </w:r>
    </w:p>
    <w:p>
      <w:pPr>
        <w:pStyle w:val="BodyText"/>
        <w:spacing w:before="9"/>
        <w:rPr>
          <w:sz w:val="11"/>
        </w:rPr>
      </w:pPr>
      <w:r>
        <w:rPr/>
        <w:pict>
          <v:group style="position:absolute;margin-left:16.440001pt;margin-top:8.766589pt;width:567.25pt;height:10.95pt;mso-position-horizontal-relative:page;mso-position-vertical-relative:paragraph;z-index:-250968064;mso-wrap-distance-left:0;mso-wrap-distance-right:0" coordorigin="329,175" coordsize="11345,219">
            <v:shape style="position:absolute;left:328;top:175;width:11345;height:22" type="#_x0000_t75" stroked="false">
              <v:imagedata r:id="rId1503" o:title=""/>
            </v:shape>
            <v:line style="position:absolute" from="829,187" to="829,377" stroked="true" strokeweight=".359999pt" strokecolor="#ffffff">
              <v:stroke dashstyle="solid"/>
            </v:line>
            <v:line style="position:absolute" from="2591,187" to="2591,377" stroked="true" strokeweight=".360008pt" strokecolor="#ffffff">
              <v:stroke dashstyle="solid"/>
            </v:line>
            <v:line style="position:absolute" from="3325,187" to="3325,377" stroked="true" strokeweight=".359997pt" strokecolor="#ffffff">
              <v:stroke dashstyle="solid"/>
            </v:line>
            <v:shape style="position:absolute;left:328;top:372;width:4438;height:22" type="#_x0000_t75" stroked="false">
              <v:imagedata r:id="rId1509" o:title=""/>
            </v:shape>
            <v:shape style="position:absolute;left:328;top:175;width:11345;height:22" type="#_x0000_t75" stroked="false">
              <v:imagedata r:id="rId1503" o:title=""/>
            </v:shape>
            <v:shape style="position:absolute;left:4759;top:372;width:6915;height:22" type="#_x0000_t75" stroked="false">
              <v:imagedata r:id="rId1510" o:title=""/>
            </v:shape>
            <v:shape style="position:absolute;left:328;top:175;width:11345;height:219" type="#_x0000_t202" filled="false" stroked="false">
              <v:textbox inset="0,0,0,0">
                <w:txbxContent>
                  <w:p>
                    <w:pPr>
                      <w:spacing w:before="41"/>
                      <w:ind w:left="33" w:right="0" w:firstLine="0"/>
                      <w:jc w:val="left"/>
                      <w:rPr>
                        <w:b/>
                        <w:sz w:val="14"/>
                      </w:rPr>
                    </w:pPr>
                    <w:r>
                      <w:rPr>
                        <w:b/>
                        <w:w w:val="105"/>
                        <w:sz w:val="14"/>
                      </w:rPr>
                      <w:t>3A. Calculating the District's ADA to Enrollment Standard</w:t>
                    </w:r>
                  </w:p>
                </w:txbxContent>
              </v:textbox>
              <w10:wrap type="none"/>
            </v:shape>
            <w10:wrap type="topAndBottom"/>
          </v:group>
        </w:pict>
      </w:r>
    </w:p>
    <w:p>
      <w:pPr>
        <w:pStyle w:val="BodyText"/>
        <w:spacing w:before="3"/>
        <w:rPr>
          <w:sz w:val="14"/>
        </w:rPr>
      </w:pPr>
    </w:p>
    <w:p>
      <w:pPr>
        <w:pStyle w:val="BodyText"/>
        <w:spacing w:before="98"/>
        <w:ind w:left="322" w:right="738"/>
      </w:pPr>
      <w:r>
        <w:rPr/>
        <w:t>DATA ENTRY: All data are extracted or calculated. Data should reflect district regular and charter school ADA/enrollment corresponding to financial data reported in the General Fund, only, for all fiscal</w:t>
      </w:r>
      <w:r>
        <w:rPr>
          <w:spacing w:val="-7"/>
        </w:rPr>
        <w:t> </w:t>
      </w:r>
      <w:r>
        <w:rPr/>
        <w:t>years.</w:t>
      </w:r>
    </w:p>
    <w:p>
      <w:pPr>
        <w:pStyle w:val="BodyText"/>
        <w:spacing w:before="2"/>
        <w:rPr>
          <w:sz w:val="17"/>
        </w:rPr>
      </w:pPr>
    </w:p>
    <w:p>
      <w:pPr>
        <w:pStyle w:val="BodyText"/>
        <w:tabs>
          <w:tab w:pos="5957" w:val="left" w:leader="none"/>
        </w:tabs>
        <w:ind w:left="4051"/>
      </w:pPr>
      <w:r>
        <w:rPr/>
        <w:t>P-2</w:t>
      </w:r>
      <w:r>
        <w:rPr>
          <w:spacing w:val="2"/>
        </w:rPr>
        <w:t> </w:t>
      </w:r>
      <w:r>
        <w:rPr/>
        <w:t>ADA</w:t>
        <w:tab/>
        <w:t>Enrollment</w:t>
      </w:r>
    </w:p>
    <w:p>
      <w:pPr>
        <w:pStyle w:val="BodyText"/>
        <w:tabs>
          <w:tab w:pos="5842" w:val="left" w:leader="none"/>
          <w:tab w:pos="8062" w:val="left" w:leader="none"/>
        </w:tabs>
        <w:spacing w:before="18"/>
        <w:ind w:left="3461"/>
      </w:pPr>
      <w:r>
        <w:rPr/>
        <w:t>Estimated/Unaudited</w:t>
      </w:r>
      <w:r>
        <w:rPr>
          <w:spacing w:val="-1"/>
        </w:rPr>
        <w:t> </w:t>
      </w:r>
      <w:r>
        <w:rPr/>
        <w:t>Actuals</w:t>
        <w:tab/>
        <w:t>CBEDS</w:t>
      </w:r>
      <w:r>
        <w:rPr>
          <w:spacing w:val="5"/>
        </w:rPr>
        <w:t> </w:t>
      </w:r>
      <w:r>
        <w:rPr/>
        <w:t>Actual</w:t>
        <w:tab/>
        <w:t>Historical</w:t>
      </w:r>
      <w:r>
        <w:rPr>
          <w:spacing w:val="-3"/>
        </w:rPr>
        <w:t> </w:t>
      </w:r>
      <w:r>
        <w:rPr/>
        <w:t>Ratio</w:t>
      </w:r>
    </w:p>
    <w:p>
      <w:pPr>
        <w:pStyle w:val="BodyText"/>
        <w:tabs>
          <w:tab w:pos="3521" w:val="left" w:leader="none"/>
          <w:tab w:pos="5698" w:val="left" w:leader="none"/>
          <w:tab w:pos="7884" w:val="left" w:leader="none"/>
        </w:tabs>
        <w:spacing w:line="268" w:lineRule="auto" w:before="36"/>
        <w:ind w:left="322" w:right="3040" w:firstLine="775"/>
      </w:pPr>
      <w:r>
        <w:rPr/>
        <w:pict>
          <v:group style="position:absolute;margin-left:16.440001pt;margin-top:9.216947pt;width:471.6pt;height:112.95pt;mso-position-horizontal-relative:page;mso-position-vertical-relative:paragraph;z-index:-314015744" coordorigin="329,184" coordsize="9432,2259">
            <v:shape style="position:absolute;left:328;top:184;width:2268;height:171" type="#_x0000_t75" stroked="false">
              <v:imagedata r:id="rId1512" o:title=""/>
            </v:shape>
            <v:shape style="position:absolute;left:2589;top:184;width:7172;height:339" type="#_x0000_t75" stroked="false">
              <v:imagedata r:id="rId1535" o:title=""/>
            </v:shape>
            <v:shape style="position:absolute;left:328;top:352;width:7001;height:528" type="#_x0000_t75" stroked="false">
              <v:imagedata r:id="rId1536" o:title=""/>
            </v:shape>
            <v:shape style="position:absolute;left:5366;top:352;width:4395;height:528" type="#_x0000_t75" stroked="false">
              <v:imagedata r:id="rId1537" o:title=""/>
            </v:shape>
            <v:shape style="position:absolute;left:328;top:873;width:9432;height:696" type="#_x0000_t75" stroked="false">
              <v:imagedata r:id="rId1538" o:title=""/>
            </v:shape>
            <v:shape style="position:absolute;left:3324;top:1393;width:6437;height:176" type="#_x0000_t75" stroked="false">
              <v:imagedata r:id="rId1539" o:title=""/>
            </v:shape>
            <v:shape style="position:absolute;left:3324;top:1561;width:4006;height:339" type="#_x0000_t75" stroked="false">
              <v:imagedata r:id="rId1540" o:title=""/>
            </v:shape>
            <v:shape style="position:absolute;left:328;top:1561;width:7001;height:696" type="#_x0000_t75" stroked="false">
              <v:imagedata r:id="rId1541" o:title=""/>
            </v:shape>
            <v:shape style="position:absolute;left:3324;top:1561;width:6437;height:696" type="#_x0000_t75" stroked="false">
              <v:imagedata r:id="rId1542" o:title=""/>
            </v:shape>
            <v:shape style="position:absolute;left:5366;top:2250;width:4395;height:192" type="#_x0000_t75" stroked="false">
              <v:imagedata r:id="rId1543" o:title=""/>
            </v:shape>
            <w10:wrap type="none"/>
          </v:group>
        </w:pict>
      </w:r>
      <w:r>
        <w:rPr/>
        <w:t>Fiscal</w:t>
      </w:r>
      <w:r>
        <w:rPr>
          <w:spacing w:val="-2"/>
        </w:rPr>
        <w:t> </w:t>
      </w:r>
      <w:r>
        <w:rPr/>
        <w:t>Year</w:t>
        <w:tab/>
        <w:t>(Form A, Lines A4</w:t>
      </w:r>
      <w:r>
        <w:rPr>
          <w:spacing w:val="13"/>
        </w:rPr>
        <w:t> </w:t>
      </w:r>
      <w:r>
        <w:rPr/>
        <w:t>and</w:t>
      </w:r>
      <w:r>
        <w:rPr>
          <w:spacing w:val="4"/>
        </w:rPr>
        <w:t> </w:t>
      </w:r>
      <w:r>
        <w:rPr/>
        <w:t>C4)</w:t>
        <w:tab/>
        <w:t>(Criterion 2,</w:t>
      </w:r>
      <w:r>
        <w:rPr>
          <w:spacing w:val="2"/>
        </w:rPr>
        <w:t> </w:t>
      </w:r>
      <w:r>
        <w:rPr/>
        <w:t>Item</w:t>
      </w:r>
      <w:r>
        <w:rPr>
          <w:spacing w:val="3"/>
        </w:rPr>
        <w:t> </w:t>
      </w:r>
      <w:r>
        <w:rPr/>
        <w:t>2A)</w:t>
        <w:tab/>
        <w:t>of ADA to </w:t>
      </w:r>
      <w:r>
        <w:rPr>
          <w:spacing w:val="-3"/>
        </w:rPr>
        <w:t>Enrollment </w:t>
      </w:r>
      <w:r>
        <w:rPr/>
        <w:t>Third Prior Year</w:t>
      </w:r>
      <w:r>
        <w:rPr>
          <w:spacing w:val="-1"/>
        </w:rPr>
        <w:t> </w:t>
      </w:r>
      <w:r>
        <w:rPr/>
        <w:t>(2018-19)</w:t>
      </w:r>
    </w:p>
    <w:p>
      <w:pPr>
        <w:pStyle w:val="BodyText"/>
        <w:tabs>
          <w:tab w:pos="5033" w:val="left" w:leader="none"/>
          <w:tab w:pos="7211" w:val="right" w:leader="none"/>
        </w:tabs>
        <w:spacing w:before="1"/>
        <w:ind w:left="1001"/>
      </w:pPr>
      <w:r>
        <w:rPr/>
        <w:t>District Regular</w:t>
        <w:tab/>
        <w:t>113</w:t>
        <w:tab/>
        <w:t>118</w:t>
      </w:r>
    </w:p>
    <w:p>
      <w:pPr>
        <w:pStyle w:val="BodyText"/>
        <w:tabs>
          <w:tab w:pos="7138" w:val="left" w:leader="none"/>
        </w:tabs>
        <w:spacing w:before="18"/>
        <w:ind w:left="1001"/>
      </w:pPr>
      <w:r>
        <w:rPr/>
        <w:t>Charter</w:t>
      </w:r>
      <w:r>
        <w:rPr>
          <w:spacing w:val="3"/>
        </w:rPr>
        <w:t> </w:t>
      </w:r>
      <w:r>
        <w:rPr/>
        <w:t>School</w:t>
        <w:tab/>
        <w:t>0</w:t>
      </w:r>
    </w:p>
    <w:p>
      <w:pPr>
        <w:tabs>
          <w:tab w:pos="5033" w:val="left" w:leader="none"/>
          <w:tab w:pos="6989" w:val="left" w:leader="none"/>
          <w:tab w:pos="8314" w:val="left" w:leader="none"/>
        </w:tabs>
        <w:spacing w:before="33"/>
        <w:ind w:left="1169" w:right="0" w:firstLine="0"/>
        <w:jc w:val="left"/>
        <w:rPr>
          <w:b/>
          <w:sz w:val="13"/>
        </w:rPr>
      </w:pPr>
      <w:r>
        <w:rPr>
          <w:b/>
          <w:sz w:val="13"/>
        </w:rPr>
        <w:t>Total ADA/Enrollment</w:t>
        <w:tab/>
        <w:t>113</w:t>
        <w:tab/>
        <w:t>118</w:t>
        <w:tab/>
        <w:t>95.8%</w:t>
      </w:r>
    </w:p>
    <w:p>
      <w:pPr>
        <w:pStyle w:val="BodyText"/>
        <w:spacing w:before="38"/>
        <w:ind w:left="322"/>
      </w:pPr>
      <w:r>
        <w:rPr/>
        <w:t>Second Prior Year (2019-20)</w:t>
      </w:r>
    </w:p>
    <w:p>
      <w:pPr>
        <w:pStyle w:val="BodyText"/>
        <w:tabs>
          <w:tab w:pos="5033" w:val="left" w:leader="none"/>
          <w:tab w:pos="7211" w:val="right" w:leader="none"/>
        </w:tabs>
        <w:spacing w:before="19"/>
        <w:ind w:left="1001"/>
      </w:pPr>
      <w:r>
        <w:rPr/>
        <w:t>District Regular</w:t>
        <w:tab/>
        <w:t>114</w:t>
        <w:tab/>
        <w:t>121</w:t>
      </w:r>
    </w:p>
    <w:p>
      <w:pPr>
        <w:pStyle w:val="BodyText"/>
        <w:spacing w:before="18"/>
        <w:ind w:left="1001"/>
      </w:pPr>
      <w:r>
        <w:rPr/>
        <w:t>Charter School</w:t>
      </w:r>
    </w:p>
    <w:p>
      <w:pPr>
        <w:tabs>
          <w:tab w:pos="5033" w:val="left" w:leader="none"/>
          <w:tab w:pos="6989" w:val="left" w:leader="none"/>
          <w:tab w:pos="8314" w:val="left" w:leader="none"/>
        </w:tabs>
        <w:spacing w:before="16"/>
        <w:ind w:left="1169" w:right="0" w:firstLine="0"/>
        <w:jc w:val="left"/>
        <w:rPr>
          <w:b/>
          <w:sz w:val="13"/>
        </w:rPr>
      </w:pPr>
      <w:r>
        <w:rPr>
          <w:b/>
          <w:sz w:val="13"/>
        </w:rPr>
        <w:t>Total ADA/Enrollment</w:t>
        <w:tab/>
        <w:t>114</w:t>
        <w:tab/>
        <w:t>121</w:t>
        <w:tab/>
        <w:t>94.2%</w:t>
      </w:r>
    </w:p>
    <w:p>
      <w:pPr>
        <w:pStyle w:val="BodyText"/>
        <w:spacing w:before="21" w:after="22"/>
        <w:ind w:left="322"/>
      </w:pPr>
      <w:r>
        <w:rPr/>
        <w:t>First Prior Year (2020-21)</w:t>
      </w:r>
    </w:p>
    <w:tbl>
      <w:tblPr>
        <w:tblW w:w="0" w:type="auto"/>
        <w:jc w:val="left"/>
        <w:tblInd w:w="9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11"/>
        <w:gridCol w:w="1734"/>
        <w:gridCol w:w="2256"/>
        <w:gridCol w:w="957"/>
      </w:tblGrid>
      <w:tr>
        <w:trPr>
          <w:trHeight w:val="157" w:hRule="atLeast"/>
        </w:trPr>
        <w:tc>
          <w:tcPr>
            <w:tcW w:w="2811" w:type="dxa"/>
          </w:tcPr>
          <w:p>
            <w:pPr>
              <w:pStyle w:val="TableParagraph"/>
              <w:spacing w:line="138" w:lineRule="exact"/>
              <w:ind w:left="33"/>
              <w:rPr>
                <w:sz w:val="13"/>
              </w:rPr>
            </w:pPr>
            <w:r>
              <w:rPr>
                <w:sz w:val="13"/>
              </w:rPr>
              <w:t>District Regular</w:t>
            </w:r>
          </w:p>
        </w:tc>
        <w:tc>
          <w:tcPr>
            <w:tcW w:w="1734" w:type="dxa"/>
          </w:tcPr>
          <w:p>
            <w:pPr>
              <w:pStyle w:val="TableParagraph"/>
              <w:spacing w:line="138" w:lineRule="exact"/>
              <w:ind w:right="255"/>
              <w:jc w:val="right"/>
              <w:rPr>
                <w:sz w:val="13"/>
              </w:rPr>
            </w:pPr>
            <w:r>
              <w:rPr>
                <w:sz w:val="13"/>
              </w:rPr>
              <w:t>114</w:t>
            </w:r>
          </w:p>
        </w:tc>
        <w:tc>
          <w:tcPr>
            <w:tcW w:w="2256" w:type="dxa"/>
          </w:tcPr>
          <w:p>
            <w:pPr>
              <w:pStyle w:val="TableParagraph"/>
              <w:spacing w:line="138" w:lineRule="exact"/>
              <w:ind w:right="555"/>
              <w:jc w:val="right"/>
              <w:rPr>
                <w:sz w:val="13"/>
              </w:rPr>
            </w:pPr>
            <w:r>
              <w:rPr>
                <w:sz w:val="13"/>
              </w:rPr>
              <w:t>119</w:t>
            </w:r>
          </w:p>
        </w:tc>
        <w:tc>
          <w:tcPr>
            <w:tcW w:w="957" w:type="dxa"/>
            <w:vMerge w:val="restart"/>
          </w:tcPr>
          <w:p>
            <w:pPr>
              <w:pStyle w:val="TableParagraph"/>
              <w:rPr>
                <w:rFonts w:ascii="Times New Roman"/>
                <w:sz w:val="12"/>
              </w:rPr>
            </w:pPr>
          </w:p>
        </w:tc>
      </w:tr>
      <w:tr>
        <w:trPr>
          <w:trHeight w:val="175" w:hRule="atLeast"/>
        </w:trPr>
        <w:tc>
          <w:tcPr>
            <w:tcW w:w="2811" w:type="dxa"/>
          </w:tcPr>
          <w:p>
            <w:pPr>
              <w:pStyle w:val="TableParagraph"/>
              <w:spacing w:line="147" w:lineRule="exact" w:before="7"/>
              <w:ind w:left="33"/>
              <w:rPr>
                <w:sz w:val="13"/>
              </w:rPr>
            </w:pPr>
            <w:r>
              <w:rPr>
                <w:sz w:val="13"/>
              </w:rPr>
              <w:t>Charter School</w:t>
            </w:r>
          </w:p>
        </w:tc>
        <w:tc>
          <w:tcPr>
            <w:tcW w:w="1734" w:type="dxa"/>
          </w:tcPr>
          <w:p>
            <w:pPr>
              <w:pStyle w:val="TableParagraph"/>
              <w:spacing w:line="147" w:lineRule="exact" w:before="7"/>
              <w:ind w:right="254"/>
              <w:jc w:val="right"/>
              <w:rPr>
                <w:sz w:val="13"/>
              </w:rPr>
            </w:pPr>
            <w:r>
              <w:rPr>
                <w:w w:val="101"/>
                <w:sz w:val="13"/>
              </w:rPr>
              <w:t>0</w:t>
            </w:r>
          </w:p>
        </w:tc>
        <w:tc>
          <w:tcPr>
            <w:tcW w:w="2256" w:type="dxa"/>
          </w:tcPr>
          <w:p>
            <w:pPr>
              <w:pStyle w:val="TableParagraph"/>
              <w:rPr>
                <w:rFonts w:ascii="Times New Roman"/>
                <w:sz w:val="10"/>
              </w:rPr>
            </w:pPr>
          </w:p>
        </w:tc>
        <w:tc>
          <w:tcPr>
            <w:tcW w:w="957" w:type="dxa"/>
            <w:vMerge/>
            <w:tcBorders>
              <w:top w:val="nil"/>
            </w:tcBorders>
          </w:tcPr>
          <w:p>
            <w:pPr>
              <w:rPr>
                <w:sz w:val="2"/>
                <w:szCs w:val="2"/>
              </w:rPr>
            </w:pPr>
          </w:p>
        </w:tc>
      </w:tr>
      <w:tr>
        <w:trPr>
          <w:trHeight w:val="184" w:hRule="atLeast"/>
        </w:trPr>
        <w:tc>
          <w:tcPr>
            <w:tcW w:w="2811" w:type="dxa"/>
          </w:tcPr>
          <w:p>
            <w:pPr>
              <w:pStyle w:val="TableParagraph"/>
              <w:spacing w:before="15"/>
              <w:ind w:left="202"/>
              <w:rPr>
                <w:b/>
                <w:sz w:val="13"/>
              </w:rPr>
            </w:pPr>
            <w:r>
              <w:rPr>
                <w:b/>
                <w:sz w:val="13"/>
              </w:rPr>
              <w:t>Total ADA/Enrollment</w:t>
            </w:r>
          </w:p>
        </w:tc>
        <w:tc>
          <w:tcPr>
            <w:tcW w:w="1734" w:type="dxa"/>
          </w:tcPr>
          <w:p>
            <w:pPr>
              <w:pStyle w:val="TableParagraph"/>
              <w:spacing w:before="15"/>
              <w:ind w:right="255"/>
              <w:jc w:val="right"/>
              <w:rPr>
                <w:b/>
                <w:sz w:val="13"/>
              </w:rPr>
            </w:pPr>
            <w:r>
              <w:rPr>
                <w:b/>
                <w:sz w:val="13"/>
              </w:rPr>
              <w:t>114</w:t>
            </w:r>
          </w:p>
        </w:tc>
        <w:tc>
          <w:tcPr>
            <w:tcW w:w="2256" w:type="dxa"/>
          </w:tcPr>
          <w:p>
            <w:pPr>
              <w:pStyle w:val="TableParagraph"/>
              <w:spacing w:before="15"/>
              <w:ind w:right="555"/>
              <w:jc w:val="right"/>
              <w:rPr>
                <w:b/>
                <w:sz w:val="13"/>
              </w:rPr>
            </w:pPr>
            <w:r>
              <w:rPr>
                <w:b/>
                <w:sz w:val="13"/>
              </w:rPr>
              <w:t>119</w:t>
            </w:r>
          </w:p>
        </w:tc>
        <w:tc>
          <w:tcPr>
            <w:tcW w:w="957" w:type="dxa"/>
          </w:tcPr>
          <w:p>
            <w:pPr>
              <w:pStyle w:val="TableParagraph"/>
              <w:spacing w:before="15"/>
              <w:ind w:right="33"/>
              <w:jc w:val="right"/>
              <w:rPr>
                <w:b/>
                <w:sz w:val="13"/>
              </w:rPr>
            </w:pPr>
            <w:r>
              <w:rPr>
                <w:b/>
                <w:sz w:val="13"/>
              </w:rPr>
              <w:t>95.8%</w:t>
            </w:r>
          </w:p>
        </w:tc>
      </w:tr>
      <w:tr>
        <w:trPr>
          <w:trHeight w:val="167" w:hRule="atLeast"/>
        </w:trPr>
        <w:tc>
          <w:tcPr>
            <w:tcW w:w="2811" w:type="dxa"/>
          </w:tcPr>
          <w:p>
            <w:pPr>
              <w:pStyle w:val="TableParagraph"/>
              <w:rPr>
                <w:rFonts w:ascii="Times New Roman"/>
                <w:sz w:val="10"/>
              </w:rPr>
            </w:pPr>
          </w:p>
        </w:tc>
        <w:tc>
          <w:tcPr>
            <w:tcW w:w="1734" w:type="dxa"/>
          </w:tcPr>
          <w:p>
            <w:pPr>
              <w:pStyle w:val="TableParagraph"/>
              <w:rPr>
                <w:rFonts w:ascii="Times New Roman"/>
                <w:sz w:val="10"/>
              </w:rPr>
            </w:pPr>
          </w:p>
        </w:tc>
        <w:tc>
          <w:tcPr>
            <w:tcW w:w="2256" w:type="dxa"/>
          </w:tcPr>
          <w:p>
            <w:pPr>
              <w:pStyle w:val="TableParagraph"/>
              <w:spacing w:line="130" w:lineRule="exact" w:before="17"/>
              <w:ind w:right="546"/>
              <w:jc w:val="right"/>
              <w:rPr>
                <w:sz w:val="13"/>
              </w:rPr>
            </w:pPr>
            <w:r>
              <w:rPr>
                <w:sz w:val="13"/>
              </w:rPr>
              <w:t>Historical Average Ratio:</w:t>
            </w:r>
          </w:p>
        </w:tc>
        <w:tc>
          <w:tcPr>
            <w:tcW w:w="957" w:type="dxa"/>
          </w:tcPr>
          <w:p>
            <w:pPr>
              <w:pStyle w:val="TableParagraph"/>
              <w:spacing w:line="130" w:lineRule="exact" w:before="17"/>
              <w:ind w:right="33"/>
              <w:jc w:val="right"/>
              <w:rPr>
                <w:sz w:val="13"/>
              </w:rPr>
            </w:pPr>
            <w:r>
              <w:rPr>
                <w:sz w:val="13"/>
              </w:rPr>
              <w:t>95.3%</w:t>
            </w:r>
          </w:p>
        </w:tc>
      </w:tr>
    </w:tbl>
    <w:p>
      <w:pPr>
        <w:pStyle w:val="BodyText"/>
        <w:spacing w:before="10"/>
        <w:rPr>
          <w:sz w:val="18"/>
        </w:rPr>
      </w:pPr>
    </w:p>
    <w:p>
      <w:pPr>
        <w:spacing w:before="0"/>
        <w:ind w:left="2597" w:right="0" w:firstLine="0"/>
        <w:jc w:val="left"/>
        <w:rPr>
          <w:b/>
          <w:sz w:val="13"/>
        </w:rPr>
      </w:pPr>
      <w:r>
        <w:rPr/>
        <w:pict>
          <v:group style="position:absolute;margin-left:366.119995pt;margin-top:-1.703071pt;width:121.95pt;height:9.6pt;mso-position-horizontal-relative:page;mso-position-vertical-relative:paragraph;z-index:252353536" coordorigin="7322,-34" coordsize="2439,192">
            <v:shape style="position:absolute;left:7322;top:-35;width:2439;height:192" type="#_x0000_t75" stroked="false">
              <v:imagedata r:id="rId1544" o:title=""/>
            </v:shape>
            <v:shape style="position:absolute;left:7322;top:-35;width:2439;height:192" type="#_x0000_t202" filled="false" stroked="false">
              <v:textbox inset="0,0,0,0">
                <w:txbxContent>
                  <w:p>
                    <w:pPr>
                      <w:spacing w:before="34"/>
                      <w:ind w:left="483" w:right="483" w:firstLine="0"/>
                      <w:jc w:val="center"/>
                      <w:rPr>
                        <w:b/>
                        <w:sz w:val="13"/>
                      </w:rPr>
                    </w:pPr>
                    <w:r>
                      <w:rPr>
                        <w:b/>
                        <w:sz w:val="13"/>
                      </w:rPr>
                      <w:t>95.8%</w:t>
                    </w:r>
                  </w:p>
                </w:txbxContent>
              </v:textbox>
              <w10:wrap type="none"/>
            </v:shape>
            <w10:wrap type="none"/>
          </v:group>
        </w:pict>
      </w:r>
      <w:r>
        <w:rPr>
          <w:b/>
          <w:sz w:val="13"/>
        </w:rPr>
        <w:t>District's ADA to Enrollment Standard (historical average ratio plus 0.5%):</w:t>
      </w:r>
    </w:p>
    <w:p>
      <w:pPr>
        <w:pStyle w:val="BodyText"/>
        <w:spacing w:before="2"/>
        <w:rPr>
          <w:b/>
          <w:sz w:val="12"/>
        </w:rPr>
      </w:pPr>
      <w:r>
        <w:rPr/>
        <w:pict>
          <v:group style="position:absolute;margin-left:16.440001pt;margin-top:8.960531pt;width:567.25pt;height:10.95pt;mso-position-horizontal-relative:page;mso-position-vertical-relative:paragraph;z-index:-250966016;mso-wrap-distance-left:0;mso-wrap-distance-right:0" coordorigin="329,179" coordsize="11345,219">
            <v:shape style="position:absolute;left:3324;top:179;width:2050;height:22" type="#_x0000_t75" stroked="false">
              <v:imagedata r:id="rId1545" o:title=""/>
            </v:shape>
            <v:shape style="position:absolute;left:328;top:179;width:3003;height:22" type="#_x0000_t75" stroked="false">
              <v:imagedata r:id="rId1504" o:title=""/>
            </v:shape>
            <v:line style="position:absolute" from="3325,191" to="3325,381" stroked="true" strokeweight=".359997pt" strokecolor="#ffffff">
              <v:stroke dashstyle="solid"/>
            </v:line>
            <v:shape style="position:absolute;left:328;top:376;width:5045;height:22" type="#_x0000_t75" stroked="false">
              <v:imagedata r:id="rId1546" o:title=""/>
            </v:shape>
            <v:line style="position:absolute" from="4760,191" to="4760,381" stroked="true" strokeweight=".360008pt" strokecolor="#ffffff">
              <v:stroke dashstyle="solid"/>
            </v:line>
            <v:shape style="position:absolute;left:5366;top:179;width:6308;height:22" type="#_x0000_t75" stroked="false">
              <v:imagedata r:id="rId1547" o:title=""/>
            </v:shape>
            <v:shape style="position:absolute;left:5366;top:376;width:6308;height:22" type="#_x0000_t75" stroked="false">
              <v:imagedata r:id="rId1547" o:title=""/>
            </v:shape>
            <v:shape style="position:absolute;left:328;top:179;width:11345;height:219" type="#_x0000_t202" filled="false" stroked="false">
              <v:textbox inset="0,0,0,0">
                <w:txbxContent>
                  <w:p>
                    <w:pPr>
                      <w:spacing w:before="41"/>
                      <w:ind w:left="33" w:right="0" w:firstLine="0"/>
                      <w:jc w:val="left"/>
                      <w:rPr>
                        <w:b/>
                        <w:sz w:val="14"/>
                      </w:rPr>
                    </w:pPr>
                    <w:r>
                      <w:rPr>
                        <w:b/>
                        <w:w w:val="105"/>
                        <w:sz w:val="14"/>
                      </w:rPr>
                      <w:t>3B. Calculating the District's Projected Ratio of ADA to Enrollment</w:t>
                    </w:r>
                  </w:p>
                </w:txbxContent>
              </v:textbox>
              <w10:wrap type="none"/>
            </v:shape>
            <w10:wrap type="topAndBottom"/>
          </v:group>
        </w:pict>
      </w:r>
    </w:p>
    <w:p>
      <w:pPr>
        <w:pStyle w:val="BodyText"/>
        <w:spacing w:before="3"/>
        <w:rPr>
          <w:b/>
        </w:rPr>
      </w:pPr>
    </w:p>
    <w:p>
      <w:pPr>
        <w:pStyle w:val="BodyText"/>
        <w:spacing w:before="97"/>
        <w:ind w:left="322" w:right="622"/>
      </w:pPr>
      <w:r>
        <w:rPr/>
        <w:t>DATA ENTRY: Enter data in the Estimated P-2 ADA column for the two subsequent years. Enter data in the Enrollment column for the two subsequent years. Data should reflect district regular and charter school ADA/enrollment corresponding to financial data reported in the General Fund only, for all fiscal years. All other data are extracted or calculated.</w:t>
      </w:r>
    </w:p>
    <w:p>
      <w:pPr>
        <w:pStyle w:val="BodyText"/>
        <w:rPr>
          <w:sz w:val="14"/>
        </w:rPr>
      </w:pPr>
    </w:p>
    <w:p>
      <w:pPr>
        <w:pStyle w:val="BodyText"/>
        <w:tabs>
          <w:tab w:pos="5796" w:val="left" w:leader="none"/>
          <w:tab w:pos="5993" w:val="left" w:leader="none"/>
        </w:tabs>
        <w:spacing w:line="297" w:lineRule="auto" w:before="119"/>
        <w:ind w:left="4097" w:right="5341" w:hanging="360"/>
      </w:pPr>
      <w:r>
        <w:rPr/>
        <w:t>Estimated</w:t>
      </w:r>
      <w:r>
        <w:rPr>
          <w:spacing w:val="8"/>
        </w:rPr>
        <w:t> </w:t>
      </w:r>
      <w:r>
        <w:rPr/>
        <w:t>P-2</w:t>
      </w:r>
      <w:r>
        <w:rPr>
          <w:spacing w:val="7"/>
        </w:rPr>
        <w:t> </w:t>
      </w:r>
      <w:r>
        <w:rPr/>
        <w:t>ADA</w:t>
        <w:tab/>
        <w:tab/>
        <w:t>Enrollment Budget</w:t>
        <w:tab/>
        <w:t>Budget/Projected</w:t>
      </w:r>
    </w:p>
    <w:p>
      <w:pPr>
        <w:pStyle w:val="BodyText"/>
        <w:tabs>
          <w:tab w:pos="3521" w:val="left" w:leader="none"/>
          <w:tab w:pos="5698" w:val="left" w:leader="none"/>
          <w:tab w:pos="7714" w:val="left" w:leader="none"/>
          <w:tab w:pos="10486" w:val="left" w:leader="none"/>
        </w:tabs>
        <w:spacing w:line="268" w:lineRule="auto"/>
        <w:ind w:left="322" w:right="1297" w:firstLine="775"/>
      </w:pPr>
      <w:r>
        <w:rPr/>
        <w:pict>
          <v:group style="position:absolute;margin-left:16.440001pt;margin-top:7.416871pt;width:567.25pt;height:123.15pt;mso-position-horizontal-relative:page;mso-position-vertical-relative:paragraph;z-index:-314012672" coordorigin="329,148" coordsize="11345,2463">
            <v:shape style="position:absolute;left:828;top:148;width:1769;height:8" type="#_x0000_t75" stroked="false">
              <v:imagedata r:id="rId1548" o:title=""/>
            </v:shape>
            <v:shape style="position:absolute;left:328;top:148;width:507;height:171" type="#_x0000_t75" stroked="false">
              <v:imagedata r:id="rId1549" o:title=""/>
            </v:shape>
            <v:shape style="position:absolute;left:2589;top:148;width:9084;height:339" type="#_x0000_t75" stroked="false">
              <v:imagedata r:id="rId1550" o:title=""/>
            </v:shape>
            <v:shape style="position:absolute;left:328;top:316;width:7608;height:528" type="#_x0000_t75" stroked="false">
              <v:imagedata r:id="rId1551" o:title=""/>
            </v:shape>
            <v:shape style="position:absolute;left:3324;top:316;width:8350;height:860" type="#_x0000_t75" stroked="false">
              <v:imagedata r:id="rId1552" o:title=""/>
            </v:shape>
            <v:shape style="position:absolute;left:328;top:837;width:7001;height:696" type="#_x0000_t75" stroked="false">
              <v:imagedata r:id="rId1553" o:title=""/>
            </v:shape>
            <v:shape style="position:absolute;left:3324;top:1341;width:2050;height:192" type="#_x0000_t75" stroked="false">
              <v:imagedata r:id="rId1554" o:title=""/>
            </v:shape>
            <v:shape style="position:absolute;left:7322;top:1005;width:2439;height:524" type="#_x0000_t75" stroked="false">
              <v:imagedata r:id="rId1555" o:title=""/>
            </v:shape>
            <v:shape style="position:absolute;left:3328;top:1530;width:2043;height:168" type="#_x0000_t75" stroked="false">
              <v:imagedata r:id="rId1556" o:title=""/>
            </v:shape>
            <v:shape style="position:absolute;left:3324;top:1005;width:8350;height:864" type="#_x0000_t75" stroked="false">
              <v:imagedata r:id="rId1557" o:title=""/>
            </v:shape>
            <v:shape style="position:absolute;left:3328;top:1698;width:2043;height:168" type="#_x0000_t75" stroked="false">
              <v:imagedata r:id="rId1558" o:title=""/>
            </v:shape>
            <v:shape style="position:absolute;left:5366;top:1693;width:1964;height:176" type="#_x0000_t75" stroked="false">
              <v:imagedata r:id="rId1559" o:title=""/>
            </v:shape>
            <v:shape style="position:absolute;left:3328;top:1866;width:2043;height:168" type="#_x0000_t75" stroked="false">
              <v:imagedata r:id="rId1560" o:title=""/>
            </v:shape>
            <v:shape style="position:absolute;left:328;top:1525;width:3003;height:696" type="#_x0000_t75" stroked="false">
              <v:imagedata r:id="rId1561" o:title=""/>
            </v:shape>
            <v:shape style="position:absolute;left:3328;top:2034;width:2043;height:185" type="#_x0000_t75" stroked="false">
              <v:imagedata r:id="rId1562" o:title=""/>
            </v:shape>
            <v:shape style="position:absolute;left:3324;top:1693;width:6437;height:528" type="#_x0000_t75" stroked="false">
              <v:imagedata r:id="rId1563" o:title=""/>
            </v:shape>
            <v:shape style="position:absolute;left:9753;top:1693;width:1920;height:528" type="#_x0000_t75" stroked="false">
              <v:imagedata r:id="rId1564" o:title=""/>
            </v:shape>
            <v:shape style="position:absolute;left:2589;top:2392;width:742;height:22" type="#_x0000_t75" stroked="false">
              <v:imagedata r:id="rId1565" o:title=""/>
            </v:shape>
            <v:shape style="position:absolute;left:3328;top:2219;width:1436;height:185" type="#_x0000_t75" stroked="false">
              <v:imagedata r:id="rId1566" o:title=""/>
            </v:shape>
            <v:shape style="position:absolute;left:3324;top:2392;width:1443;height:22" type="#_x0000_t75" stroked="false">
              <v:imagedata r:id="rId1567" o:title=""/>
            </v:shape>
            <v:shape style="position:absolute;left:4764;top:2219;width:608;height:185" type="#_x0000_t75" stroked="false">
              <v:imagedata r:id="rId1568" o:title=""/>
            </v:shape>
            <v:shape style="position:absolute;left:4759;top:2392;width:615;height:22" type="#_x0000_t75" stroked="false">
              <v:imagedata r:id="rId1569" o:title=""/>
            </v:shape>
            <v:shape style="position:absolute;left:5371;top:2219;width:968;height:185" type="#_x0000_t75" stroked="false">
              <v:imagedata r:id="rId1570" o:title=""/>
            </v:shape>
            <v:shape style="position:absolute;left:5366;top:2392;width:975;height:22" type="#_x0000_t75" stroked="false">
              <v:imagedata r:id="rId1571" o:title=""/>
            </v:shape>
            <v:shape style="position:absolute;left:6338;top:2219;width:989;height:185" type="#_x0000_t75" stroked="false">
              <v:imagedata r:id="rId1572" o:title=""/>
            </v:shape>
            <v:line style="position:absolute" from="2591,2404" to="2591,2594" stroked="true" strokeweight=".360008pt" strokecolor="#ffffff">
              <v:stroke dashstyle="solid"/>
            </v:line>
            <v:shape style="position:absolute;left:328;top:2392;width:2268;height:22" type="#_x0000_t75" stroked="false">
              <v:imagedata r:id="rId1573" o:title=""/>
            </v:shape>
            <v:line style="position:absolute" from="3325,2404" to="3325,2594" stroked="true" strokeweight=".359997pt" strokecolor="#ffffff">
              <v:stroke dashstyle="solid"/>
            </v:line>
            <v:shape style="position:absolute;left:328;top:2589;width:5045;height:22" type="#_x0000_t75" stroked="false">
              <v:imagedata r:id="rId1546" o:title=""/>
            </v:shape>
            <v:line style="position:absolute" from="4760,2404" to="4760,2594" stroked="true" strokeweight=".360008pt" strokecolor="#ffffff">
              <v:stroke dashstyle="solid"/>
            </v:line>
            <v:shape style="position:absolute;left:6333;top:2392;width:5340;height:22" type="#_x0000_t75" stroked="false">
              <v:imagedata r:id="rId1574" o:title=""/>
            </v:shape>
            <v:shape style="position:absolute;left:5366;top:2589;width:6308;height:22" type="#_x0000_t75" stroked="false">
              <v:imagedata r:id="rId1547" o:title=""/>
            </v:shape>
            <w10:wrap type="none"/>
          </v:group>
        </w:pict>
      </w:r>
      <w:r>
        <w:rPr/>
        <w:t>Fiscal</w:t>
      </w:r>
      <w:r>
        <w:rPr>
          <w:spacing w:val="-2"/>
        </w:rPr>
        <w:t> </w:t>
      </w:r>
      <w:r>
        <w:rPr/>
        <w:t>Year</w:t>
        <w:tab/>
        <w:t>(Form A, Lines A4</w:t>
      </w:r>
      <w:r>
        <w:rPr>
          <w:spacing w:val="13"/>
        </w:rPr>
        <w:t> </w:t>
      </w:r>
      <w:r>
        <w:rPr/>
        <w:t>and</w:t>
      </w:r>
      <w:r>
        <w:rPr>
          <w:spacing w:val="4"/>
        </w:rPr>
        <w:t> </w:t>
      </w:r>
      <w:r>
        <w:rPr/>
        <w:t>C4)</w:t>
        <w:tab/>
        <w:t>(Criterion 2,</w:t>
      </w:r>
      <w:r>
        <w:rPr>
          <w:spacing w:val="2"/>
        </w:rPr>
        <w:t> </w:t>
      </w:r>
      <w:r>
        <w:rPr/>
        <w:t>Item</w:t>
      </w:r>
      <w:r>
        <w:rPr>
          <w:spacing w:val="3"/>
        </w:rPr>
        <w:t> </w:t>
      </w:r>
      <w:r>
        <w:rPr/>
        <w:t>2A)</w:t>
        <w:tab/>
        <w:t>Ratio of ADA</w:t>
      </w:r>
      <w:r>
        <w:rPr>
          <w:spacing w:val="8"/>
        </w:rPr>
        <w:t> </w:t>
      </w:r>
      <w:r>
        <w:rPr/>
        <w:t>to</w:t>
      </w:r>
      <w:r>
        <w:rPr>
          <w:spacing w:val="4"/>
        </w:rPr>
        <w:t> </w:t>
      </w:r>
      <w:r>
        <w:rPr/>
        <w:t>Enrollment</w:t>
        <w:tab/>
      </w:r>
      <w:r>
        <w:rPr>
          <w:spacing w:val="-4"/>
        </w:rPr>
        <w:t>Status </w:t>
      </w:r>
      <w:r>
        <w:rPr/>
        <w:t>Budget Year</w:t>
      </w:r>
      <w:r>
        <w:rPr>
          <w:spacing w:val="-3"/>
        </w:rPr>
        <w:t> </w:t>
      </w:r>
      <w:r>
        <w:rPr/>
        <w:t>(2021-22)</w:t>
      </w:r>
    </w:p>
    <w:p>
      <w:pPr>
        <w:pStyle w:val="BodyText"/>
        <w:tabs>
          <w:tab w:pos="5033" w:val="left" w:leader="none"/>
          <w:tab w:pos="7211" w:val="right" w:leader="none"/>
        </w:tabs>
        <w:ind w:left="1001"/>
      </w:pPr>
      <w:r>
        <w:rPr/>
        <w:t>District Regular</w:t>
        <w:tab/>
        <w:t>114</w:t>
        <w:tab/>
        <w:t>121</w:t>
      </w:r>
    </w:p>
    <w:p>
      <w:pPr>
        <w:pStyle w:val="BodyText"/>
        <w:tabs>
          <w:tab w:pos="5182" w:val="left" w:leader="none"/>
        </w:tabs>
        <w:spacing w:before="18"/>
        <w:ind w:left="1001"/>
      </w:pPr>
      <w:r>
        <w:rPr/>
        <w:t>Charter</w:t>
      </w:r>
      <w:r>
        <w:rPr>
          <w:spacing w:val="3"/>
        </w:rPr>
        <w:t> </w:t>
      </w:r>
      <w:r>
        <w:rPr/>
        <w:t>School</w:t>
        <w:tab/>
        <w:t>0</w:t>
      </w:r>
    </w:p>
    <w:p>
      <w:pPr>
        <w:tabs>
          <w:tab w:pos="5033" w:val="left" w:leader="none"/>
          <w:tab w:pos="6989" w:val="left" w:leader="none"/>
          <w:tab w:pos="8314" w:val="left" w:leader="none"/>
          <w:tab w:pos="10560" w:val="left" w:leader="none"/>
        </w:tabs>
        <w:spacing w:before="33"/>
        <w:ind w:left="1169" w:right="0" w:firstLine="0"/>
        <w:jc w:val="left"/>
        <w:rPr>
          <w:b/>
          <w:sz w:val="13"/>
        </w:rPr>
      </w:pPr>
      <w:r>
        <w:rPr>
          <w:b/>
          <w:sz w:val="13"/>
        </w:rPr>
        <w:t>Total ADA/Enrollment</w:t>
        <w:tab/>
        <w:t>114</w:t>
        <w:tab/>
        <w:t>121</w:t>
        <w:tab/>
        <w:t>94.2%</w:t>
        <w:tab/>
        <w:t>Met</w:t>
      </w:r>
    </w:p>
    <w:p>
      <w:pPr>
        <w:pStyle w:val="BodyText"/>
        <w:spacing w:before="21"/>
        <w:ind w:left="322"/>
      </w:pPr>
      <w:r>
        <w:rPr/>
        <w:t>1st Subsequent Year (2022-23)</w:t>
      </w:r>
    </w:p>
    <w:p>
      <w:pPr>
        <w:pStyle w:val="BodyText"/>
        <w:tabs>
          <w:tab w:pos="5033" w:val="left" w:leader="none"/>
          <w:tab w:pos="7211" w:val="right" w:leader="none"/>
        </w:tabs>
        <w:spacing w:before="18"/>
        <w:ind w:left="1001"/>
      </w:pPr>
      <w:r>
        <w:rPr/>
        <w:t>District Regular</w:t>
        <w:tab/>
        <w:t>114</w:t>
        <w:tab/>
        <w:t>121</w:t>
      </w:r>
    </w:p>
    <w:p>
      <w:pPr>
        <w:pStyle w:val="BodyText"/>
        <w:spacing w:before="19"/>
        <w:ind w:left="1001"/>
      </w:pPr>
      <w:r>
        <w:rPr/>
        <w:t>Charter School</w:t>
      </w:r>
    </w:p>
    <w:p>
      <w:pPr>
        <w:tabs>
          <w:tab w:pos="5033" w:val="left" w:leader="none"/>
          <w:tab w:pos="6989" w:val="left" w:leader="none"/>
          <w:tab w:pos="8314" w:val="left" w:leader="none"/>
          <w:tab w:pos="10560" w:val="left" w:leader="none"/>
        </w:tabs>
        <w:spacing w:before="33"/>
        <w:ind w:left="1169" w:right="0" w:firstLine="0"/>
        <w:jc w:val="left"/>
        <w:rPr>
          <w:b/>
          <w:sz w:val="13"/>
        </w:rPr>
      </w:pPr>
      <w:r>
        <w:rPr/>
        <w:pict>
          <v:shape style="position:absolute;margin-left:166.26001pt;margin-top:9.426931pt;width:102.3pt;height:43.7pt;mso-position-horizontal-relative:page;mso-position-vertical-relative:paragraph;z-index:252356608" type="#_x0000_t202" filled="false" stroked="false">
            <v:textbox inset="0,0,0,0">
              <w:txbxContent>
                <w:p>
                  <w:pPr>
                    <w:pStyle w:val="BodyText"/>
                    <w:spacing w:before="10"/>
                    <w:rPr>
                      <w:sz w:val="15"/>
                    </w:rPr>
                  </w:pPr>
                </w:p>
                <w:p>
                  <w:pPr>
                    <w:pStyle w:val="BodyText"/>
                    <w:ind w:right="73"/>
                    <w:jc w:val="right"/>
                  </w:pPr>
                  <w:r>
                    <w:rPr/>
                    <w:t>114</w:t>
                  </w:r>
                </w:p>
                <w:p>
                  <w:pPr>
                    <w:pStyle w:val="BodyText"/>
                    <w:spacing w:before="5"/>
                    <w:rPr>
                      <w:sz w:val="17"/>
                    </w:rPr>
                  </w:pPr>
                </w:p>
                <w:p>
                  <w:pPr>
                    <w:spacing w:before="1"/>
                    <w:ind w:left="0" w:right="73" w:firstLine="0"/>
                    <w:jc w:val="right"/>
                    <w:rPr>
                      <w:b/>
                      <w:sz w:val="13"/>
                    </w:rPr>
                  </w:pPr>
                  <w:r>
                    <w:rPr>
                      <w:b/>
                      <w:sz w:val="13"/>
                    </w:rPr>
                    <w:t>114</w:t>
                  </w:r>
                </w:p>
              </w:txbxContent>
            </v:textbox>
            <w10:wrap type="none"/>
          </v:shape>
        </w:pict>
      </w:r>
      <w:r>
        <w:rPr>
          <w:b/>
          <w:sz w:val="13"/>
        </w:rPr>
        <w:t>Total ADA/Enrollment</w:t>
        <w:tab/>
        <w:t>114</w:t>
        <w:tab/>
        <w:t>121</w:t>
        <w:tab/>
        <w:t>94.2%</w:t>
        <w:tab/>
        <w:t>Met</w:t>
      </w:r>
    </w:p>
    <w:p>
      <w:pPr>
        <w:pStyle w:val="BodyText"/>
        <w:spacing w:before="21"/>
        <w:ind w:left="322"/>
      </w:pPr>
      <w:r>
        <w:rPr/>
        <w:t>2nd Subsequent Year (2023-24)</w:t>
      </w:r>
    </w:p>
    <w:p>
      <w:pPr>
        <w:spacing w:after="0"/>
        <w:sectPr>
          <w:pgSz w:w="12240" w:h="15840"/>
          <w:pgMar w:header="402" w:footer="584" w:top="840" w:bottom="780" w:left="40" w:right="40"/>
        </w:sectPr>
      </w:pPr>
    </w:p>
    <w:p>
      <w:pPr>
        <w:pStyle w:val="BodyText"/>
        <w:spacing w:line="268" w:lineRule="auto" w:before="18"/>
        <w:ind w:left="1001" w:right="653"/>
      </w:pPr>
      <w:r>
        <w:rPr/>
        <w:t>District Regular Charter School</w:t>
      </w:r>
    </w:p>
    <w:p>
      <w:pPr>
        <w:spacing w:before="16"/>
        <w:ind w:left="1169" w:right="0" w:firstLine="0"/>
        <w:jc w:val="left"/>
        <w:rPr>
          <w:b/>
          <w:sz w:val="13"/>
        </w:rPr>
      </w:pPr>
      <w:r>
        <w:rPr>
          <w:b/>
          <w:sz w:val="13"/>
        </w:rPr>
        <w:t>Total ADA/Enrollment</w:t>
      </w:r>
    </w:p>
    <w:p>
      <w:pPr>
        <w:spacing w:before="18"/>
        <w:ind w:left="1001" w:right="0" w:firstLine="0"/>
        <w:jc w:val="left"/>
        <w:rPr>
          <w:sz w:val="13"/>
        </w:rPr>
      </w:pPr>
      <w:r>
        <w:rPr/>
        <w:br w:type="column"/>
      </w:r>
      <w:r>
        <w:rPr>
          <w:sz w:val="13"/>
        </w:rPr>
        <w:t>121</w:t>
      </w:r>
    </w:p>
    <w:p>
      <w:pPr>
        <w:pStyle w:val="BodyText"/>
        <w:spacing w:before="5"/>
        <w:rPr>
          <w:sz w:val="17"/>
        </w:rPr>
      </w:pPr>
    </w:p>
    <w:p>
      <w:pPr>
        <w:tabs>
          <w:tab w:pos="2326" w:val="left" w:leader="none"/>
          <w:tab w:pos="4572" w:val="left" w:leader="none"/>
        </w:tabs>
        <w:spacing w:before="1"/>
        <w:ind w:left="1001" w:right="0" w:firstLine="0"/>
        <w:jc w:val="left"/>
        <w:rPr>
          <w:b/>
          <w:sz w:val="13"/>
        </w:rPr>
      </w:pPr>
      <w:r>
        <w:rPr>
          <w:b/>
          <w:sz w:val="13"/>
        </w:rPr>
        <w:t>121</w:t>
        <w:tab/>
        <w:t>94.2%</w:t>
        <w:tab/>
        <w:t>Met</w:t>
      </w:r>
    </w:p>
    <w:p>
      <w:pPr>
        <w:spacing w:after="0"/>
        <w:jc w:val="left"/>
        <w:rPr>
          <w:sz w:val="13"/>
        </w:rPr>
        <w:sectPr>
          <w:type w:val="continuous"/>
          <w:pgSz w:w="12240" w:h="15840"/>
          <w:pgMar w:top="1500" w:bottom="840" w:left="40" w:right="40"/>
          <w:cols w:num="2" w:equalWidth="0">
            <w:col w:w="2563" w:space="3425"/>
            <w:col w:w="6172"/>
          </w:cols>
        </w:sectPr>
      </w:pPr>
    </w:p>
    <w:p>
      <w:pPr>
        <w:pStyle w:val="BodyText"/>
        <w:spacing w:before="4"/>
        <w:rPr>
          <w:b/>
          <w:sz w:val="10"/>
        </w:rPr>
      </w:pPr>
    </w:p>
    <w:p>
      <w:pPr>
        <w:spacing w:before="101"/>
        <w:ind w:left="322" w:right="0" w:firstLine="0"/>
        <w:jc w:val="left"/>
        <w:rPr>
          <w:b/>
          <w:sz w:val="14"/>
        </w:rPr>
      </w:pPr>
      <w:r>
        <w:rPr>
          <w:b/>
          <w:w w:val="105"/>
          <w:sz w:val="14"/>
        </w:rPr>
        <w:t>3C. Comparison of District ADA to Enrollment Ratio to the Standard</w:t>
      </w:r>
    </w:p>
    <w:p>
      <w:pPr>
        <w:pStyle w:val="BodyText"/>
        <w:spacing w:before="6"/>
        <w:rPr>
          <w:b/>
          <w:sz w:val="15"/>
        </w:rPr>
      </w:pPr>
    </w:p>
    <w:p>
      <w:pPr>
        <w:pStyle w:val="BodyText"/>
        <w:spacing w:before="97"/>
        <w:ind w:left="322"/>
      </w:pPr>
      <w:r>
        <w:rPr/>
        <w:t>DATA ENTRY: Enter an explanation if the standard is not met.</w:t>
      </w:r>
    </w:p>
    <w:p>
      <w:pPr>
        <w:pStyle w:val="BodyText"/>
        <w:spacing w:before="5"/>
        <w:rPr>
          <w:sz w:val="16"/>
        </w:rPr>
      </w:pPr>
    </w:p>
    <w:p>
      <w:pPr>
        <w:pStyle w:val="BodyText"/>
        <w:ind w:left="451"/>
      </w:pPr>
      <w:r>
        <w:rPr/>
        <w:t>1a. STANDARD MET - Projected P-2 ADA to enrollment ratio has not exceeded the standard for the budget and two subsequent fiscal years.</w:t>
      </w:r>
    </w:p>
    <w:p>
      <w:pPr>
        <w:pStyle w:val="BodyText"/>
        <w:rPr>
          <w:sz w:val="14"/>
        </w:rPr>
      </w:pPr>
    </w:p>
    <w:p>
      <w:pPr>
        <w:pStyle w:val="BodyText"/>
        <w:spacing w:before="7"/>
        <w:rPr>
          <w:sz w:val="20"/>
        </w:rPr>
      </w:pPr>
    </w:p>
    <w:p>
      <w:pPr>
        <w:spacing w:before="0"/>
        <w:ind w:left="0" w:right="8810" w:firstLine="0"/>
        <w:jc w:val="center"/>
        <w:rPr>
          <w:b/>
          <w:sz w:val="13"/>
        </w:rPr>
      </w:pPr>
      <w:r>
        <w:rPr/>
        <w:drawing>
          <wp:anchor distT="0" distB="0" distL="0" distR="0" allowOverlap="1" layoutInCell="1" locked="0" behindDoc="0" simplePos="0" relativeHeight="252355584">
            <wp:simplePos x="0" y="0"/>
            <wp:positionH relativeFrom="page">
              <wp:posOffset>1644395</wp:posOffset>
            </wp:positionH>
            <wp:positionV relativeFrom="paragraph">
              <wp:posOffset>-24676</wp:posOffset>
            </wp:positionV>
            <wp:extent cx="5768339" cy="486155"/>
            <wp:effectExtent l="0" t="0" r="0" b="0"/>
            <wp:wrapNone/>
            <wp:docPr id="75" name="image1420.png"/>
            <wp:cNvGraphicFramePr>
              <a:graphicFrameLocks noChangeAspect="1"/>
            </wp:cNvGraphicFramePr>
            <a:graphic>
              <a:graphicData uri="http://schemas.openxmlformats.org/drawingml/2006/picture">
                <pic:pic>
                  <pic:nvPicPr>
                    <pic:cNvPr id="76" name="image1420.png"/>
                    <pic:cNvPicPr/>
                  </pic:nvPicPr>
                  <pic:blipFill>
                    <a:blip r:embed="rId1522" cstate="print"/>
                    <a:stretch>
                      <a:fillRect/>
                    </a:stretch>
                  </pic:blipFill>
                  <pic:spPr>
                    <a:xfrm>
                      <a:off x="0" y="0"/>
                      <a:ext cx="5768339" cy="486155"/>
                    </a:xfrm>
                    <a:prstGeom prst="rect">
                      <a:avLst/>
                    </a:prstGeom>
                  </pic:spPr>
                </pic:pic>
              </a:graphicData>
            </a:graphic>
          </wp:anchor>
        </w:drawing>
      </w:r>
      <w:r>
        <w:rPr>
          <w:b/>
          <w:sz w:val="13"/>
        </w:rPr>
        <w:t>Explanation:</w:t>
      </w:r>
    </w:p>
    <w:p>
      <w:pPr>
        <w:pStyle w:val="BodyText"/>
        <w:spacing w:before="42"/>
        <w:ind w:right="8810"/>
        <w:jc w:val="center"/>
      </w:pPr>
      <w:r>
        <w:rPr/>
        <w:t>(required if NOT met)</w:t>
      </w:r>
    </w:p>
    <w:p>
      <w:pPr>
        <w:spacing w:after="0"/>
        <w:jc w:val="center"/>
        <w:sectPr>
          <w:type w:val="continuous"/>
          <w:pgSz w:w="12240" w:h="15840"/>
          <w:pgMar w:top="1500" w:bottom="840" w:left="40" w:right="40"/>
        </w:sectPr>
      </w:pPr>
    </w:p>
    <w:p>
      <w:pPr>
        <w:pStyle w:val="BodyText"/>
        <w:rPr>
          <w:sz w:val="20"/>
        </w:rPr>
      </w:pPr>
    </w:p>
    <w:p>
      <w:pPr>
        <w:pStyle w:val="BodyText"/>
        <w:rPr>
          <w:sz w:val="20"/>
        </w:rPr>
      </w:pPr>
    </w:p>
    <w:p>
      <w:pPr>
        <w:pStyle w:val="BodyText"/>
        <w:spacing w:before="2"/>
        <w:rPr>
          <w:sz w:val="19"/>
        </w:rPr>
      </w:pPr>
    </w:p>
    <w:p>
      <w:pPr>
        <w:pStyle w:val="Heading4"/>
        <w:numPr>
          <w:ilvl w:val="0"/>
          <w:numId w:val="69"/>
        </w:numPr>
        <w:tabs>
          <w:tab w:pos="821" w:val="left" w:leader="none"/>
          <w:tab w:pos="822" w:val="left" w:leader="none"/>
        </w:tabs>
        <w:spacing w:line="240" w:lineRule="auto" w:before="0" w:after="0"/>
        <w:ind w:left="821" w:right="0" w:hanging="344"/>
        <w:jc w:val="left"/>
      </w:pPr>
      <w:r>
        <w:rPr/>
        <w:t>CRITERION: LCFF</w:t>
      </w:r>
      <w:r>
        <w:rPr>
          <w:spacing w:val="-7"/>
        </w:rPr>
        <w:t> </w:t>
      </w:r>
      <w:r>
        <w:rPr/>
        <w:t>Revenue</w:t>
      </w:r>
    </w:p>
    <w:p>
      <w:pPr>
        <w:pStyle w:val="BodyText"/>
        <w:rPr>
          <w:b/>
          <w:sz w:val="18"/>
        </w:rPr>
      </w:pPr>
    </w:p>
    <w:p>
      <w:pPr>
        <w:pStyle w:val="Heading5"/>
        <w:spacing w:line="232" w:lineRule="auto" w:before="132"/>
        <w:ind w:right="531"/>
      </w:pPr>
      <w:r>
        <w:rPr/>
        <w:t>STANDARD: Projected local control funding formula (LCFF) revenue for any of the budget year or two subsequent fiscal years has not changed from the prior fiscal year by more than the change in population, plus the district's gap funding or cost-of-living adjustment (COLA)¹ and its economic recovery target payment, plus or minus one percent.</w:t>
      </w:r>
    </w:p>
    <w:p>
      <w:pPr>
        <w:pStyle w:val="BodyText"/>
        <w:spacing w:before="6"/>
        <w:rPr>
          <w:sz w:val="16"/>
        </w:rPr>
      </w:pPr>
    </w:p>
    <w:p>
      <w:pPr>
        <w:spacing w:line="232" w:lineRule="auto" w:before="0"/>
        <w:ind w:left="821" w:right="622" w:firstLine="0"/>
        <w:jc w:val="left"/>
        <w:rPr>
          <w:sz w:val="16"/>
        </w:rPr>
      </w:pPr>
      <w:r>
        <w:rPr>
          <w:sz w:val="16"/>
        </w:rPr>
        <w:t>For</w:t>
      </w:r>
      <w:r>
        <w:rPr>
          <w:spacing w:val="-6"/>
          <w:sz w:val="16"/>
        </w:rPr>
        <w:t> </w:t>
      </w:r>
      <w:r>
        <w:rPr>
          <w:sz w:val="16"/>
        </w:rPr>
        <w:t>basic</w:t>
      </w:r>
      <w:r>
        <w:rPr>
          <w:spacing w:val="-5"/>
          <w:sz w:val="16"/>
        </w:rPr>
        <w:t> </w:t>
      </w:r>
      <w:r>
        <w:rPr>
          <w:sz w:val="16"/>
        </w:rPr>
        <w:t>aid</w:t>
      </w:r>
      <w:r>
        <w:rPr>
          <w:spacing w:val="-4"/>
          <w:sz w:val="16"/>
        </w:rPr>
        <w:t> </w:t>
      </w:r>
      <w:r>
        <w:rPr>
          <w:sz w:val="16"/>
        </w:rPr>
        <w:t>districts,</w:t>
      </w:r>
      <w:r>
        <w:rPr>
          <w:spacing w:val="-6"/>
          <w:sz w:val="16"/>
        </w:rPr>
        <w:t> </w:t>
      </w:r>
      <w:r>
        <w:rPr>
          <w:sz w:val="16"/>
        </w:rPr>
        <w:t>projected</w:t>
      </w:r>
      <w:r>
        <w:rPr>
          <w:spacing w:val="-4"/>
          <w:sz w:val="16"/>
        </w:rPr>
        <w:t> </w:t>
      </w:r>
      <w:r>
        <w:rPr>
          <w:sz w:val="16"/>
        </w:rPr>
        <w:t>LCFF</w:t>
      </w:r>
      <w:r>
        <w:rPr>
          <w:spacing w:val="-5"/>
          <w:sz w:val="16"/>
        </w:rPr>
        <w:t> </w:t>
      </w:r>
      <w:r>
        <w:rPr>
          <w:sz w:val="16"/>
        </w:rPr>
        <w:t>revenue</w:t>
      </w:r>
      <w:r>
        <w:rPr>
          <w:spacing w:val="-6"/>
          <w:sz w:val="16"/>
        </w:rPr>
        <w:t> </w:t>
      </w:r>
      <w:r>
        <w:rPr>
          <w:sz w:val="16"/>
        </w:rPr>
        <w:t>has</w:t>
      </w:r>
      <w:r>
        <w:rPr>
          <w:spacing w:val="-5"/>
          <w:sz w:val="16"/>
        </w:rPr>
        <w:t> </w:t>
      </w:r>
      <w:r>
        <w:rPr>
          <w:sz w:val="16"/>
        </w:rPr>
        <w:t>not</w:t>
      </w:r>
      <w:r>
        <w:rPr>
          <w:spacing w:val="-5"/>
          <w:sz w:val="16"/>
        </w:rPr>
        <w:t> </w:t>
      </w:r>
      <w:r>
        <w:rPr>
          <w:sz w:val="16"/>
        </w:rPr>
        <w:t>changed</w:t>
      </w:r>
      <w:r>
        <w:rPr>
          <w:spacing w:val="-5"/>
          <w:sz w:val="16"/>
        </w:rPr>
        <w:t> </w:t>
      </w:r>
      <w:r>
        <w:rPr>
          <w:sz w:val="16"/>
        </w:rPr>
        <w:t>from</w:t>
      </w:r>
      <w:r>
        <w:rPr>
          <w:spacing w:val="-6"/>
          <w:sz w:val="16"/>
        </w:rPr>
        <w:t> </w:t>
      </w:r>
      <w:r>
        <w:rPr>
          <w:sz w:val="16"/>
        </w:rPr>
        <w:t>the</w:t>
      </w:r>
      <w:r>
        <w:rPr>
          <w:spacing w:val="-4"/>
          <w:sz w:val="16"/>
        </w:rPr>
        <w:t> </w:t>
      </w:r>
      <w:r>
        <w:rPr>
          <w:sz w:val="16"/>
        </w:rPr>
        <w:t>prior</w:t>
      </w:r>
      <w:r>
        <w:rPr>
          <w:spacing w:val="-4"/>
          <w:sz w:val="16"/>
        </w:rPr>
        <w:t> </w:t>
      </w:r>
      <w:r>
        <w:rPr>
          <w:sz w:val="16"/>
        </w:rPr>
        <w:t>fiscal</w:t>
      </w:r>
      <w:r>
        <w:rPr>
          <w:spacing w:val="-5"/>
          <w:sz w:val="16"/>
        </w:rPr>
        <w:t> </w:t>
      </w:r>
      <w:r>
        <w:rPr>
          <w:sz w:val="16"/>
        </w:rPr>
        <w:t>year</w:t>
      </w:r>
      <w:r>
        <w:rPr>
          <w:spacing w:val="-5"/>
          <w:sz w:val="16"/>
        </w:rPr>
        <w:t> </w:t>
      </w:r>
      <w:r>
        <w:rPr>
          <w:sz w:val="16"/>
        </w:rPr>
        <w:t>by</w:t>
      </w:r>
      <w:r>
        <w:rPr>
          <w:spacing w:val="-8"/>
          <w:sz w:val="16"/>
        </w:rPr>
        <w:t> </w:t>
      </w:r>
      <w:r>
        <w:rPr>
          <w:sz w:val="16"/>
        </w:rPr>
        <w:t>more</w:t>
      </w:r>
      <w:r>
        <w:rPr>
          <w:spacing w:val="-4"/>
          <w:sz w:val="16"/>
        </w:rPr>
        <w:t> </w:t>
      </w:r>
      <w:r>
        <w:rPr>
          <w:sz w:val="16"/>
        </w:rPr>
        <w:t>than</w:t>
      </w:r>
      <w:r>
        <w:rPr>
          <w:spacing w:val="-5"/>
          <w:sz w:val="16"/>
        </w:rPr>
        <w:t> </w:t>
      </w:r>
      <w:r>
        <w:rPr>
          <w:sz w:val="16"/>
        </w:rPr>
        <w:t>the</w:t>
      </w:r>
      <w:r>
        <w:rPr>
          <w:spacing w:val="-3"/>
          <w:sz w:val="16"/>
        </w:rPr>
        <w:t> </w:t>
      </w:r>
      <w:r>
        <w:rPr>
          <w:sz w:val="16"/>
        </w:rPr>
        <w:t>percent</w:t>
      </w:r>
      <w:r>
        <w:rPr>
          <w:spacing w:val="-6"/>
          <w:sz w:val="16"/>
        </w:rPr>
        <w:t> </w:t>
      </w:r>
      <w:r>
        <w:rPr>
          <w:sz w:val="16"/>
        </w:rPr>
        <w:t>change</w:t>
      </w:r>
      <w:r>
        <w:rPr>
          <w:spacing w:val="-5"/>
          <w:sz w:val="16"/>
        </w:rPr>
        <w:t> </w:t>
      </w:r>
      <w:r>
        <w:rPr>
          <w:sz w:val="16"/>
        </w:rPr>
        <w:t>in</w:t>
      </w:r>
      <w:r>
        <w:rPr>
          <w:spacing w:val="-4"/>
          <w:sz w:val="16"/>
        </w:rPr>
        <w:t> </w:t>
      </w:r>
      <w:r>
        <w:rPr>
          <w:sz w:val="16"/>
        </w:rPr>
        <w:t>property</w:t>
      </w:r>
      <w:r>
        <w:rPr>
          <w:spacing w:val="-9"/>
          <w:sz w:val="16"/>
        </w:rPr>
        <w:t> </w:t>
      </w:r>
      <w:r>
        <w:rPr>
          <w:sz w:val="16"/>
        </w:rPr>
        <w:t>tax</w:t>
      </w:r>
      <w:r>
        <w:rPr>
          <w:spacing w:val="-7"/>
          <w:sz w:val="16"/>
        </w:rPr>
        <w:t> </w:t>
      </w:r>
      <w:r>
        <w:rPr>
          <w:sz w:val="16"/>
        </w:rPr>
        <w:t>revenues</w:t>
      </w:r>
      <w:r>
        <w:rPr>
          <w:spacing w:val="-6"/>
          <w:sz w:val="16"/>
        </w:rPr>
        <w:t> </w:t>
      </w:r>
      <w:r>
        <w:rPr>
          <w:sz w:val="16"/>
        </w:rPr>
        <w:t>plus or minus one</w:t>
      </w:r>
      <w:r>
        <w:rPr>
          <w:spacing w:val="-6"/>
          <w:sz w:val="16"/>
        </w:rPr>
        <w:t> </w:t>
      </w:r>
      <w:r>
        <w:rPr>
          <w:sz w:val="16"/>
        </w:rPr>
        <w:t>percent.</w:t>
      </w:r>
    </w:p>
    <w:p>
      <w:pPr>
        <w:pStyle w:val="BodyText"/>
        <w:spacing w:before="1"/>
        <w:rPr>
          <w:sz w:val="16"/>
        </w:rPr>
      </w:pPr>
    </w:p>
    <w:p>
      <w:pPr>
        <w:spacing w:line="232" w:lineRule="auto" w:before="0"/>
        <w:ind w:left="821" w:right="622" w:firstLine="0"/>
        <w:jc w:val="left"/>
        <w:rPr>
          <w:sz w:val="16"/>
        </w:rPr>
      </w:pPr>
      <w:r>
        <w:rPr>
          <w:sz w:val="16"/>
        </w:rPr>
        <w:t>For</w:t>
      </w:r>
      <w:r>
        <w:rPr>
          <w:spacing w:val="-6"/>
          <w:sz w:val="16"/>
        </w:rPr>
        <w:t> </w:t>
      </w:r>
      <w:r>
        <w:rPr>
          <w:sz w:val="16"/>
        </w:rPr>
        <w:t>districts</w:t>
      </w:r>
      <w:r>
        <w:rPr>
          <w:spacing w:val="-5"/>
          <w:sz w:val="16"/>
        </w:rPr>
        <w:t> </w:t>
      </w:r>
      <w:r>
        <w:rPr>
          <w:sz w:val="16"/>
        </w:rPr>
        <w:t>funded</w:t>
      </w:r>
      <w:r>
        <w:rPr>
          <w:spacing w:val="-4"/>
          <w:sz w:val="16"/>
        </w:rPr>
        <w:t> </w:t>
      </w:r>
      <w:r>
        <w:rPr>
          <w:sz w:val="16"/>
        </w:rPr>
        <w:t>by</w:t>
      </w:r>
      <w:r>
        <w:rPr>
          <w:spacing w:val="-8"/>
          <w:sz w:val="16"/>
        </w:rPr>
        <w:t> </w:t>
      </w:r>
      <w:r>
        <w:rPr>
          <w:sz w:val="16"/>
        </w:rPr>
        <w:t>necessary</w:t>
      </w:r>
      <w:r>
        <w:rPr>
          <w:spacing w:val="-10"/>
          <w:sz w:val="16"/>
        </w:rPr>
        <w:t> </w:t>
      </w:r>
      <w:r>
        <w:rPr>
          <w:sz w:val="16"/>
        </w:rPr>
        <w:t>small</w:t>
      </w:r>
      <w:r>
        <w:rPr>
          <w:spacing w:val="-4"/>
          <w:sz w:val="16"/>
        </w:rPr>
        <w:t> </w:t>
      </w:r>
      <w:r>
        <w:rPr>
          <w:sz w:val="16"/>
        </w:rPr>
        <w:t>school</w:t>
      </w:r>
      <w:r>
        <w:rPr>
          <w:spacing w:val="-4"/>
          <w:sz w:val="16"/>
        </w:rPr>
        <w:t> </w:t>
      </w:r>
      <w:r>
        <w:rPr>
          <w:sz w:val="16"/>
        </w:rPr>
        <w:t>formulas,</w:t>
      </w:r>
      <w:r>
        <w:rPr>
          <w:spacing w:val="-7"/>
          <w:sz w:val="16"/>
        </w:rPr>
        <w:t> </w:t>
      </w:r>
      <w:r>
        <w:rPr>
          <w:sz w:val="16"/>
        </w:rPr>
        <w:t>projected</w:t>
      </w:r>
      <w:r>
        <w:rPr>
          <w:spacing w:val="-4"/>
          <w:sz w:val="16"/>
        </w:rPr>
        <w:t> </w:t>
      </w:r>
      <w:r>
        <w:rPr>
          <w:sz w:val="16"/>
        </w:rPr>
        <w:t>LCFF</w:t>
      </w:r>
      <w:r>
        <w:rPr>
          <w:spacing w:val="-5"/>
          <w:sz w:val="16"/>
        </w:rPr>
        <w:t> </w:t>
      </w:r>
      <w:r>
        <w:rPr>
          <w:sz w:val="16"/>
        </w:rPr>
        <w:t>revenue</w:t>
      </w:r>
      <w:r>
        <w:rPr>
          <w:spacing w:val="-5"/>
          <w:sz w:val="16"/>
        </w:rPr>
        <w:t> </w:t>
      </w:r>
      <w:r>
        <w:rPr>
          <w:sz w:val="16"/>
        </w:rPr>
        <w:t>has</w:t>
      </w:r>
      <w:r>
        <w:rPr>
          <w:spacing w:val="-5"/>
          <w:sz w:val="16"/>
        </w:rPr>
        <w:t> </w:t>
      </w:r>
      <w:r>
        <w:rPr>
          <w:sz w:val="16"/>
        </w:rPr>
        <w:t>not</w:t>
      </w:r>
      <w:r>
        <w:rPr>
          <w:spacing w:val="-6"/>
          <w:sz w:val="16"/>
        </w:rPr>
        <w:t> </w:t>
      </w:r>
      <w:r>
        <w:rPr>
          <w:sz w:val="16"/>
        </w:rPr>
        <w:t>changed</w:t>
      </w:r>
      <w:r>
        <w:rPr>
          <w:spacing w:val="-4"/>
          <w:sz w:val="16"/>
        </w:rPr>
        <w:t> </w:t>
      </w:r>
      <w:r>
        <w:rPr>
          <w:sz w:val="16"/>
        </w:rPr>
        <w:t>from</w:t>
      </w:r>
      <w:r>
        <w:rPr>
          <w:spacing w:val="-4"/>
          <w:sz w:val="16"/>
        </w:rPr>
        <w:t> </w:t>
      </w:r>
      <w:r>
        <w:rPr>
          <w:sz w:val="16"/>
        </w:rPr>
        <w:t>the</w:t>
      </w:r>
      <w:r>
        <w:rPr>
          <w:spacing w:val="-6"/>
          <w:sz w:val="16"/>
        </w:rPr>
        <w:t> </w:t>
      </w:r>
      <w:r>
        <w:rPr>
          <w:sz w:val="16"/>
        </w:rPr>
        <w:t>prior</w:t>
      </w:r>
      <w:r>
        <w:rPr>
          <w:spacing w:val="-4"/>
          <w:sz w:val="16"/>
        </w:rPr>
        <w:t> </w:t>
      </w:r>
      <w:r>
        <w:rPr>
          <w:sz w:val="16"/>
        </w:rPr>
        <w:t>fiscal</w:t>
      </w:r>
      <w:r>
        <w:rPr>
          <w:spacing w:val="-5"/>
          <w:sz w:val="16"/>
        </w:rPr>
        <w:t> </w:t>
      </w:r>
      <w:r>
        <w:rPr>
          <w:sz w:val="16"/>
        </w:rPr>
        <w:t>year</w:t>
      </w:r>
      <w:r>
        <w:rPr>
          <w:spacing w:val="-5"/>
          <w:sz w:val="16"/>
        </w:rPr>
        <w:t> </w:t>
      </w:r>
      <w:r>
        <w:rPr>
          <w:sz w:val="16"/>
        </w:rPr>
        <w:t>amount</w:t>
      </w:r>
      <w:r>
        <w:rPr>
          <w:spacing w:val="-6"/>
          <w:sz w:val="16"/>
        </w:rPr>
        <w:t> </w:t>
      </w:r>
      <w:r>
        <w:rPr>
          <w:sz w:val="16"/>
        </w:rPr>
        <w:t>by</w:t>
      </w:r>
      <w:r>
        <w:rPr>
          <w:spacing w:val="-10"/>
          <w:sz w:val="16"/>
        </w:rPr>
        <w:t> </w:t>
      </w:r>
      <w:r>
        <w:rPr>
          <w:sz w:val="16"/>
        </w:rPr>
        <w:t>more</w:t>
      </w:r>
      <w:r>
        <w:rPr>
          <w:spacing w:val="-4"/>
          <w:sz w:val="16"/>
        </w:rPr>
        <w:t> </w:t>
      </w:r>
      <w:r>
        <w:rPr>
          <w:sz w:val="16"/>
        </w:rPr>
        <w:t>than</w:t>
      </w:r>
      <w:r>
        <w:rPr>
          <w:spacing w:val="-6"/>
          <w:sz w:val="16"/>
        </w:rPr>
        <w:t> </w:t>
      </w:r>
      <w:r>
        <w:rPr>
          <w:sz w:val="16"/>
        </w:rPr>
        <w:t>the district's</w:t>
      </w:r>
      <w:r>
        <w:rPr>
          <w:spacing w:val="-3"/>
          <w:sz w:val="16"/>
        </w:rPr>
        <w:t> </w:t>
      </w:r>
      <w:r>
        <w:rPr>
          <w:sz w:val="16"/>
        </w:rPr>
        <w:t>gap</w:t>
      </w:r>
      <w:r>
        <w:rPr>
          <w:spacing w:val="-3"/>
          <w:sz w:val="16"/>
        </w:rPr>
        <w:t> </w:t>
      </w:r>
      <w:r>
        <w:rPr>
          <w:sz w:val="16"/>
        </w:rPr>
        <w:t>funding or</w:t>
      </w:r>
      <w:r>
        <w:rPr>
          <w:spacing w:val="-2"/>
          <w:sz w:val="16"/>
        </w:rPr>
        <w:t> </w:t>
      </w:r>
      <w:r>
        <w:rPr>
          <w:sz w:val="16"/>
        </w:rPr>
        <w:t>COLA¹</w:t>
      </w:r>
      <w:r>
        <w:rPr>
          <w:spacing w:val="-2"/>
          <w:sz w:val="16"/>
        </w:rPr>
        <w:t> </w:t>
      </w:r>
      <w:r>
        <w:rPr>
          <w:sz w:val="16"/>
        </w:rPr>
        <w:t>and</w:t>
      </w:r>
      <w:r>
        <w:rPr>
          <w:spacing w:val="-2"/>
          <w:sz w:val="16"/>
        </w:rPr>
        <w:t> </w:t>
      </w:r>
      <w:r>
        <w:rPr>
          <w:sz w:val="16"/>
        </w:rPr>
        <w:t>its</w:t>
      </w:r>
      <w:r>
        <w:rPr>
          <w:spacing w:val="-2"/>
          <w:sz w:val="16"/>
        </w:rPr>
        <w:t> </w:t>
      </w:r>
      <w:r>
        <w:rPr>
          <w:sz w:val="16"/>
        </w:rPr>
        <w:t>economic</w:t>
      </w:r>
      <w:r>
        <w:rPr>
          <w:spacing w:val="-3"/>
          <w:sz w:val="16"/>
        </w:rPr>
        <w:t> </w:t>
      </w:r>
      <w:r>
        <w:rPr>
          <w:sz w:val="16"/>
        </w:rPr>
        <w:t>recovery</w:t>
      </w:r>
      <w:r>
        <w:rPr>
          <w:spacing w:val="-7"/>
          <w:sz w:val="16"/>
        </w:rPr>
        <w:t> </w:t>
      </w:r>
      <w:r>
        <w:rPr>
          <w:sz w:val="16"/>
        </w:rPr>
        <w:t>target</w:t>
      </w:r>
      <w:r>
        <w:rPr>
          <w:spacing w:val="-3"/>
          <w:sz w:val="16"/>
        </w:rPr>
        <w:t> </w:t>
      </w:r>
      <w:r>
        <w:rPr>
          <w:sz w:val="16"/>
        </w:rPr>
        <w:t>payment,</w:t>
      </w:r>
      <w:r>
        <w:rPr>
          <w:spacing w:val="-2"/>
          <w:sz w:val="16"/>
        </w:rPr>
        <w:t> </w:t>
      </w:r>
      <w:r>
        <w:rPr>
          <w:sz w:val="16"/>
        </w:rPr>
        <w:t>plus</w:t>
      </w:r>
      <w:r>
        <w:rPr>
          <w:spacing w:val="-2"/>
          <w:sz w:val="16"/>
        </w:rPr>
        <w:t> </w:t>
      </w:r>
      <w:r>
        <w:rPr>
          <w:sz w:val="16"/>
        </w:rPr>
        <w:t>or</w:t>
      </w:r>
      <w:r>
        <w:rPr>
          <w:spacing w:val="-2"/>
          <w:sz w:val="16"/>
        </w:rPr>
        <w:t> </w:t>
      </w:r>
      <w:r>
        <w:rPr>
          <w:sz w:val="16"/>
        </w:rPr>
        <w:t>minus</w:t>
      </w:r>
      <w:r>
        <w:rPr>
          <w:spacing w:val="-1"/>
          <w:sz w:val="16"/>
        </w:rPr>
        <w:t> </w:t>
      </w:r>
      <w:r>
        <w:rPr>
          <w:sz w:val="16"/>
        </w:rPr>
        <w:t>one</w:t>
      </w:r>
      <w:r>
        <w:rPr>
          <w:spacing w:val="-3"/>
          <w:sz w:val="16"/>
        </w:rPr>
        <w:t> </w:t>
      </w:r>
      <w:r>
        <w:rPr>
          <w:sz w:val="16"/>
        </w:rPr>
        <w:t>percent.</w:t>
      </w:r>
    </w:p>
    <w:p>
      <w:pPr>
        <w:pStyle w:val="BodyText"/>
        <w:spacing w:before="6"/>
        <w:rPr>
          <w:sz w:val="24"/>
        </w:rPr>
      </w:pPr>
    </w:p>
    <w:p>
      <w:pPr>
        <w:spacing w:line="232" w:lineRule="auto" w:before="0"/>
        <w:ind w:left="821" w:right="622" w:firstLine="0"/>
        <w:jc w:val="left"/>
        <w:rPr>
          <w:sz w:val="16"/>
        </w:rPr>
      </w:pPr>
      <w:r>
        <w:rPr>
          <w:sz w:val="16"/>
        </w:rPr>
        <w:t>¹ Districts that are already at or above their LCFF target funding as described in Education Code Section 42238.03(d) receive no gap funding. These districts</w:t>
      </w:r>
      <w:r>
        <w:rPr>
          <w:spacing w:val="-7"/>
          <w:sz w:val="16"/>
        </w:rPr>
        <w:t> </w:t>
      </w:r>
      <w:r>
        <w:rPr>
          <w:sz w:val="16"/>
        </w:rPr>
        <w:t>have</w:t>
      </w:r>
      <w:r>
        <w:rPr>
          <w:spacing w:val="-5"/>
          <w:sz w:val="16"/>
        </w:rPr>
        <w:t> </w:t>
      </w:r>
      <w:r>
        <w:rPr>
          <w:sz w:val="16"/>
        </w:rPr>
        <w:t>a</w:t>
      </w:r>
      <w:r>
        <w:rPr>
          <w:spacing w:val="-6"/>
          <w:sz w:val="16"/>
        </w:rPr>
        <w:t> </w:t>
      </w:r>
      <w:r>
        <w:rPr>
          <w:sz w:val="16"/>
        </w:rPr>
        <w:t>COLA</w:t>
      </w:r>
      <w:r>
        <w:rPr>
          <w:spacing w:val="-5"/>
          <w:sz w:val="16"/>
        </w:rPr>
        <w:t> </w:t>
      </w:r>
      <w:r>
        <w:rPr>
          <w:sz w:val="16"/>
        </w:rPr>
        <w:t>applied</w:t>
      </w:r>
      <w:r>
        <w:rPr>
          <w:spacing w:val="-5"/>
          <w:sz w:val="16"/>
        </w:rPr>
        <w:t> </w:t>
      </w:r>
      <w:r>
        <w:rPr>
          <w:sz w:val="16"/>
        </w:rPr>
        <w:t>to</w:t>
      </w:r>
      <w:r>
        <w:rPr>
          <w:spacing w:val="-4"/>
          <w:sz w:val="16"/>
        </w:rPr>
        <w:t> </w:t>
      </w:r>
      <w:r>
        <w:rPr>
          <w:sz w:val="16"/>
        </w:rPr>
        <w:t>their</w:t>
      </w:r>
      <w:r>
        <w:rPr>
          <w:spacing w:val="-6"/>
          <w:sz w:val="16"/>
        </w:rPr>
        <w:t> </w:t>
      </w:r>
      <w:r>
        <w:rPr>
          <w:sz w:val="16"/>
        </w:rPr>
        <w:t>LCFF</w:t>
      </w:r>
      <w:r>
        <w:rPr>
          <w:spacing w:val="-7"/>
          <w:sz w:val="16"/>
        </w:rPr>
        <w:t> </w:t>
      </w:r>
      <w:r>
        <w:rPr>
          <w:sz w:val="16"/>
        </w:rPr>
        <w:t>target,</w:t>
      </w:r>
      <w:r>
        <w:rPr>
          <w:spacing w:val="-6"/>
          <w:sz w:val="16"/>
        </w:rPr>
        <w:t> </w:t>
      </w:r>
      <w:r>
        <w:rPr>
          <w:sz w:val="16"/>
        </w:rPr>
        <w:t>but</w:t>
      </w:r>
      <w:r>
        <w:rPr>
          <w:spacing w:val="-6"/>
          <w:sz w:val="16"/>
        </w:rPr>
        <w:t> </w:t>
      </w:r>
      <w:r>
        <w:rPr>
          <w:sz w:val="16"/>
        </w:rPr>
        <w:t>their</w:t>
      </w:r>
      <w:r>
        <w:rPr>
          <w:spacing w:val="-5"/>
          <w:sz w:val="16"/>
        </w:rPr>
        <w:t> </w:t>
      </w:r>
      <w:r>
        <w:rPr>
          <w:sz w:val="16"/>
        </w:rPr>
        <w:t>year-over-year</w:t>
      </w:r>
      <w:r>
        <w:rPr>
          <w:spacing w:val="-6"/>
          <w:sz w:val="16"/>
        </w:rPr>
        <w:t> </w:t>
      </w:r>
      <w:r>
        <w:rPr>
          <w:sz w:val="16"/>
        </w:rPr>
        <w:t>revenue</w:t>
      </w:r>
      <w:r>
        <w:rPr>
          <w:spacing w:val="-6"/>
          <w:sz w:val="16"/>
        </w:rPr>
        <w:t> </w:t>
      </w:r>
      <w:r>
        <w:rPr>
          <w:sz w:val="16"/>
        </w:rPr>
        <w:t>increase</w:t>
      </w:r>
      <w:r>
        <w:rPr>
          <w:spacing w:val="-6"/>
          <w:sz w:val="16"/>
        </w:rPr>
        <w:t> </w:t>
      </w:r>
      <w:r>
        <w:rPr>
          <w:sz w:val="16"/>
        </w:rPr>
        <w:t>might</w:t>
      </w:r>
      <w:r>
        <w:rPr>
          <w:spacing w:val="-6"/>
          <w:sz w:val="16"/>
        </w:rPr>
        <w:t> </w:t>
      </w:r>
      <w:r>
        <w:rPr>
          <w:sz w:val="16"/>
        </w:rPr>
        <w:t>be</w:t>
      </w:r>
      <w:r>
        <w:rPr>
          <w:spacing w:val="-7"/>
          <w:sz w:val="16"/>
        </w:rPr>
        <w:t> </w:t>
      </w:r>
      <w:r>
        <w:rPr>
          <w:sz w:val="16"/>
        </w:rPr>
        <w:t>less</w:t>
      </w:r>
      <w:r>
        <w:rPr>
          <w:spacing w:val="-6"/>
          <w:sz w:val="16"/>
        </w:rPr>
        <w:t> </w:t>
      </w:r>
      <w:r>
        <w:rPr>
          <w:sz w:val="16"/>
        </w:rPr>
        <w:t>than</w:t>
      </w:r>
      <w:r>
        <w:rPr>
          <w:spacing w:val="-5"/>
          <w:sz w:val="16"/>
        </w:rPr>
        <w:t> </w:t>
      </w:r>
      <w:r>
        <w:rPr>
          <w:sz w:val="16"/>
        </w:rPr>
        <w:t>the</w:t>
      </w:r>
      <w:r>
        <w:rPr>
          <w:spacing w:val="-4"/>
          <w:sz w:val="16"/>
        </w:rPr>
        <w:t> </w:t>
      </w:r>
      <w:r>
        <w:rPr>
          <w:sz w:val="16"/>
        </w:rPr>
        <w:t>statutory</w:t>
      </w:r>
      <w:r>
        <w:rPr>
          <w:spacing w:val="-11"/>
          <w:sz w:val="16"/>
        </w:rPr>
        <w:t> </w:t>
      </w:r>
      <w:r>
        <w:rPr>
          <w:sz w:val="16"/>
        </w:rPr>
        <w:t>COLA</w:t>
      </w:r>
      <w:r>
        <w:rPr>
          <w:spacing w:val="-6"/>
          <w:sz w:val="16"/>
        </w:rPr>
        <w:t> </w:t>
      </w:r>
      <w:r>
        <w:rPr>
          <w:sz w:val="16"/>
        </w:rPr>
        <w:t>due</w:t>
      </w:r>
      <w:r>
        <w:rPr>
          <w:spacing w:val="-4"/>
          <w:sz w:val="16"/>
        </w:rPr>
        <w:t> </w:t>
      </w:r>
      <w:r>
        <w:rPr>
          <w:sz w:val="16"/>
        </w:rPr>
        <w:t>to</w:t>
      </w:r>
      <w:r>
        <w:rPr>
          <w:spacing w:val="-6"/>
          <w:sz w:val="16"/>
        </w:rPr>
        <w:t> </w:t>
      </w:r>
      <w:r>
        <w:rPr>
          <w:sz w:val="16"/>
        </w:rPr>
        <w:t>certain</w:t>
      </w:r>
      <w:r>
        <w:rPr>
          <w:spacing w:val="-5"/>
          <w:sz w:val="16"/>
        </w:rPr>
        <w:t> </w:t>
      </w:r>
      <w:r>
        <w:rPr>
          <w:sz w:val="16"/>
        </w:rPr>
        <w:t>local factors and components of the funding</w:t>
      </w:r>
      <w:r>
        <w:rPr>
          <w:spacing w:val="-7"/>
          <w:sz w:val="16"/>
        </w:rPr>
        <w:t> </w:t>
      </w:r>
      <w:r>
        <w:rPr>
          <w:sz w:val="16"/>
        </w:rPr>
        <w:t>formula.</w:t>
      </w:r>
    </w:p>
    <w:p>
      <w:pPr>
        <w:pStyle w:val="BodyText"/>
        <w:spacing w:before="3"/>
        <w:rPr>
          <w:sz w:val="10"/>
        </w:rPr>
      </w:pPr>
      <w:r>
        <w:rPr/>
        <w:pict>
          <v:group style="position:absolute;margin-left:16.440001pt;margin-top:7.87387pt;width:567.25pt;height:1.1pt;mso-position-horizontal-relative:page;mso-position-vertical-relative:paragraph;z-index:-250958848;mso-wrap-distance-left:0;mso-wrap-distance-right:0" coordorigin="329,157" coordsize="11345,22">
            <v:shape style="position:absolute;left:328;top:157;width:3003;height:22" type="#_x0000_t75" stroked="false">
              <v:imagedata r:id="rId1504" o:title=""/>
            </v:shape>
            <v:shape style="position:absolute;left:3324;top:157;width:8350;height:22" type="#_x0000_t75" stroked="false">
              <v:imagedata r:id="rId1505" o:title=""/>
            </v:shape>
            <w10:wrap type="topAndBottom"/>
          </v:group>
        </w:pict>
      </w:r>
    </w:p>
    <w:p>
      <w:pPr>
        <w:pStyle w:val="Heading8"/>
        <w:spacing w:before="0"/>
        <w:ind w:left="322"/>
      </w:pPr>
      <w:r>
        <w:rPr>
          <w:w w:val="105"/>
        </w:rPr>
        <w:t>4A. District's LCFF Revenue Standard</w:t>
      </w:r>
    </w:p>
    <w:p>
      <w:pPr>
        <w:pStyle w:val="BodyText"/>
        <w:spacing w:line="21" w:lineRule="exact"/>
        <w:ind w:left="288"/>
        <w:rPr>
          <w:sz w:val="2"/>
        </w:rPr>
      </w:pPr>
      <w:r>
        <w:rPr>
          <w:sz w:val="2"/>
        </w:rPr>
        <w:pict>
          <v:group style="width:567.25pt;height:1.1pt;mso-position-horizontal-relative:char;mso-position-vertical-relative:line" coordorigin="0,0" coordsize="11345,22">
            <v:shape style="position:absolute;left:0;top:0;width:507;height:22" type="#_x0000_t75" stroked="false">
              <v:imagedata r:id="rId1575" o:title=""/>
            </v:shape>
            <v:shape style="position:absolute;left:499;top:0;width:10846;height:22" type="#_x0000_t75" stroked="false">
              <v:imagedata r:id="rId1576" o:title=""/>
            </v:shape>
          </v:group>
        </w:pict>
      </w:r>
      <w:r>
        <w:rPr>
          <w:sz w:val="2"/>
        </w:rPr>
      </w:r>
    </w:p>
    <w:p>
      <w:pPr>
        <w:pStyle w:val="BodyText"/>
        <w:spacing w:before="7"/>
        <w:rPr>
          <w:b/>
          <w:sz w:val="14"/>
        </w:rPr>
      </w:pPr>
    </w:p>
    <w:p>
      <w:pPr>
        <w:pStyle w:val="BodyText"/>
        <w:spacing w:line="376" w:lineRule="auto"/>
        <w:ind w:left="821" w:right="9712" w:hanging="500"/>
      </w:pPr>
      <w:r>
        <w:rPr/>
        <w:t>Indicate which standard applies: LCFF Revenue</w:t>
      </w:r>
    </w:p>
    <w:p>
      <w:pPr>
        <w:pStyle w:val="BodyText"/>
        <w:spacing w:before="4"/>
        <w:rPr>
          <w:sz w:val="12"/>
        </w:rPr>
      </w:pPr>
    </w:p>
    <w:p>
      <w:pPr>
        <w:pStyle w:val="BodyText"/>
        <w:spacing w:before="1"/>
        <w:ind w:left="821"/>
      </w:pPr>
      <w:r>
        <w:rPr/>
        <w:t>Basic Aid</w:t>
      </w:r>
    </w:p>
    <w:p>
      <w:pPr>
        <w:pStyle w:val="BodyText"/>
        <w:rPr>
          <w:sz w:val="14"/>
        </w:rPr>
      </w:pPr>
    </w:p>
    <w:p>
      <w:pPr>
        <w:pStyle w:val="BodyText"/>
        <w:spacing w:before="80"/>
        <w:ind w:left="821"/>
      </w:pPr>
      <w:r>
        <w:rPr/>
        <w:t>Necessary Small School</w:t>
      </w:r>
    </w:p>
    <w:p>
      <w:pPr>
        <w:pStyle w:val="BodyText"/>
        <w:spacing w:before="3"/>
        <w:rPr>
          <w:sz w:val="16"/>
        </w:rPr>
      </w:pPr>
    </w:p>
    <w:p>
      <w:pPr>
        <w:pStyle w:val="BodyText"/>
        <w:tabs>
          <w:tab w:pos="2583" w:val="left" w:leader="none"/>
        </w:tabs>
        <w:spacing w:line="268" w:lineRule="auto"/>
        <w:ind w:left="322" w:right="8160"/>
      </w:pPr>
      <w:r>
        <w:rPr/>
        <w:t>The District must select which LCFF revenue standard applies. LCFF Revenue</w:t>
      </w:r>
      <w:r>
        <w:rPr>
          <w:spacing w:val="14"/>
        </w:rPr>
        <w:t> </w:t>
      </w:r>
      <w:r>
        <w:rPr/>
        <w:t>Standard</w:t>
      </w:r>
      <w:r>
        <w:rPr>
          <w:spacing w:val="7"/>
        </w:rPr>
        <w:t> </w:t>
      </w:r>
      <w:r>
        <w:rPr/>
        <w:t>selected:</w:t>
        <w:tab/>
        <w:t>LCFF</w:t>
      </w:r>
      <w:r>
        <w:rPr>
          <w:spacing w:val="1"/>
        </w:rPr>
        <w:t> </w:t>
      </w:r>
      <w:r>
        <w:rPr/>
        <w:t>Revenue</w:t>
      </w:r>
    </w:p>
    <w:p>
      <w:pPr>
        <w:pStyle w:val="BodyText"/>
        <w:spacing w:line="20" w:lineRule="exact"/>
        <w:ind w:left="2549"/>
        <w:rPr>
          <w:sz w:val="2"/>
        </w:rPr>
      </w:pPr>
      <w:r>
        <w:rPr>
          <w:sz w:val="2"/>
        </w:rPr>
        <w:drawing>
          <wp:inline distT="0" distB="0" distL="0" distR="0">
            <wp:extent cx="1382268" cy="4572"/>
            <wp:effectExtent l="0" t="0" r="0" b="0"/>
            <wp:docPr id="77" name="image1475.png"/>
            <wp:cNvGraphicFramePr>
              <a:graphicFrameLocks noChangeAspect="1"/>
            </wp:cNvGraphicFramePr>
            <a:graphic>
              <a:graphicData uri="http://schemas.openxmlformats.org/drawingml/2006/picture">
                <pic:pic>
                  <pic:nvPicPr>
                    <pic:cNvPr id="78" name="image1475.png"/>
                    <pic:cNvPicPr/>
                  </pic:nvPicPr>
                  <pic:blipFill>
                    <a:blip r:embed="rId1577" cstate="print"/>
                    <a:stretch>
                      <a:fillRect/>
                    </a:stretch>
                  </pic:blipFill>
                  <pic:spPr>
                    <a:xfrm>
                      <a:off x="0" y="0"/>
                      <a:ext cx="1382268" cy="4572"/>
                    </a:xfrm>
                    <a:prstGeom prst="rect">
                      <a:avLst/>
                    </a:prstGeom>
                  </pic:spPr>
                </pic:pic>
              </a:graphicData>
            </a:graphic>
          </wp:inline>
        </w:drawing>
      </w:r>
      <w:r>
        <w:rPr>
          <w:sz w:val="2"/>
        </w:rPr>
      </w:r>
    </w:p>
    <w:p>
      <w:pPr>
        <w:pStyle w:val="BodyText"/>
        <w:spacing w:before="2"/>
        <w:rPr>
          <w:sz w:val="7"/>
        </w:rPr>
      </w:pPr>
      <w:r>
        <w:rPr/>
        <w:drawing>
          <wp:anchor distT="0" distB="0" distL="0" distR="0" allowOverlap="1" layoutInCell="1" locked="0" behindDoc="0" simplePos="0" relativeHeight="685">
            <wp:simplePos x="0" y="0"/>
            <wp:positionH relativeFrom="page">
              <wp:posOffset>208788</wp:posOffset>
            </wp:positionH>
            <wp:positionV relativeFrom="paragraph">
              <wp:posOffset>77705</wp:posOffset>
            </wp:positionV>
            <wp:extent cx="7203992" cy="13715"/>
            <wp:effectExtent l="0" t="0" r="0" b="0"/>
            <wp:wrapTopAndBottom/>
            <wp:docPr id="79" name="image1401.png"/>
            <wp:cNvGraphicFramePr>
              <a:graphicFrameLocks noChangeAspect="1"/>
            </wp:cNvGraphicFramePr>
            <a:graphic>
              <a:graphicData uri="http://schemas.openxmlformats.org/drawingml/2006/picture">
                <pic:pic>
                  <pic:nvPicPr>
                    <pic:cNvPr id="80" name="image1401.png"/>
                    <pic:cNvPicPr/>
                  </pic:nvPicPr>
                  <pic:blipFill>
                    <a:blip r:embed="rId1503" cstate="print"/>
                    <a:stretch>
                      <a:fillRect/>
                    </a:stretch>
                  </pic:blipFill>
                  <pic:spPr>
                    <a:xfrm>
                      <a:off x="0" y="0"/>
                      <a:ext cx="7203992" cy="13715"/>
                    </a:xfrm>
                    <a:prstGeom prst="rect">
                      <a:avLst/>
                    </a:prstGeom>
                  </pic:spPr>
                </pic:pic>
              </a:graphicData>
            </a:graphic>
          </wp:anchor>
        </w:drawing>
      </w:r>
    </w:p>
    <w:p>
      <w:pPr>
        <w:pStyle w:val="Heading8"/>
        <w:spacing w:before="0"/>
        <w:ind w:left="322"/>
      </w:pPr>
      <w:r>
        <w:rPr>
          <w:w w:val="105"/>
        </w:rPr>
        <w:t>4A1. Calculating the District's LCFF Revenue Standard</w:t>
      </w:r>
    </w:p>
    <w:p>
      <w:pPr>
        <w:pStyle w:val="BodyText"/>
        <w:spacing w:line="21" w:lineRule="exact"/>
        <w:ind w:left="288"/>
        <w:rPr>
          <w:sz w:val="2"/>
        </w:rPr>
      </w:pPr>
      <w:r>
        <w:rPr>
          <w:sz w:val="2"/>
        </w:rPr>
        <w:pict>
          <v:group style="width:567.25pt;height:1.1pt;mso-position-horizontal-relative:char;mso-position-vertical-relative:line" coordorigin="0,0" coordsize="11345,22">
            <v:shape style="position:absolute;left:0;top:0;width:4438;height:22" type="#_x0000_t75" stroked="false">
              <v:imagedata r:id="rId1509" o:title=""/>
            </v:shape>
            <v:shape style="position:absolute;left:0;top:0;width:11345;height:22" type="#_x0000_t75" stroked="false">
              <v:imagedata r:id="rId1503" o:title=""/>
            </v:shape>
          </v:group>
        </w:pict>
      </w:r>
      <w:r>
        <w:rPr>
          <w:sz w:val="2"/>
        </w:rPr>
      </w:r>
    </w:p>
    <w:p>
      <w:pPr>
        <w:pStyle w:val="BodyText"/>
        <w:spacing w:before="9"/>
        <w:rPr>
          <w:b/>
          <w:sz w:val="12"/>
        </w:rPr>
      </w:pPr>
    </w:p>
    <w:p>
      <w:pPr>
        <w:pStyle w:val="BodyText"/>
        <w:spacing w:line="496" w:lineRule="auto" w:before="98" w:after="32"/>
        <w:ind w:left="322" w:right="1468"/>
      </w:pPr>
      <w:r>
        <w:rPr/>
        <w:pict>
          <v:group style="position:absolute;margin-left:166.199997pt;margin-top:71.716942pt;width:417.5pt;height:55.8pt;mso-position-horizontal-relative:page;mso-position-vertical-relative:paragraph;z-index:-314005504" coordorigin="3324,1434" coordsize="8350,1116">
            <v:shape style="position:absolute;left:3324;top:1434;width:8350;height:360" type="#_x0000_t75" stroked="false">
              <v:imagedata r:id="rId1578" o:title=""/>
            </v:shape>
            <v:shape style="position:absolute;left:3324;top:1595;width:8350;height:581" type="#_x0000_t75" stroked="false">
              <v:imagedata r:id="rId1579" o:title=""/>
            </v:shape>
            <v:shape style="position:absolute;left:5366;top:1976;width:6308;height:574" type="#_x0000_t75" stroked="false">
              <v:imagedata r:id="rId1580" o:title=""/>
            </v:shape>
            <v:shape style="position:absolute;left:7322;top:2358;width:4352;height:192" type="#_x0000_t75" stroked="false">
              <v:imagedata r:id="rId1581" o:title=""/>
            </v:shape>
            <w10:wrap type="none"/>
          </v:group>
        </w:pict>
      </w:r>
      <w:r>
        <w:rPr/>
        <w:t>DATA ENTRY: Enter data in Step 1a for the two subsequent fiscal years. All other data is extracted or calculated. Enter data for Steps 2a through 2b1. All other data is calculated. Note: Due to the full implementation of LCFF, gap funding and the economic recovery target increment payment amounts are no longer applicable.</w:t>
      </w:r>
    </w:p>
    <w:tbl>
      <w:tblPr>
        <w:tblW w:w="0" w:type="auto"/>
        <w:jc w:val="left"/>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180"/>
        <w:gridCol w:w="1275"/>
        <w:gridCol w:w="863"/>
        <w:gridCol w:w="1143"/>
        <w:gridCol w:w="816"/>
        <w:gridCol w:w="1632"/>
        <w:gridCol w:w="660"/>
        <w:gridCol w:w="1168"/>
        <w:gridCol w:w="601"/>
      </w:tblGrid>
      <w:tr>
        <w:trPr>
          <w:trHeight w:val="529" w:hRule="atLeast"/>
        </w:trPr>
        <w:tc>
          <w:tcPr>
            <w:tcW w:w="3180" w:type="dxa"/>
          </w:tcPr>
          <w:p>
            <w:pPr>
              <w:pStyle w:val="TableParagraph"/>
              <w:spacing w:line="147" w:lineRule="exact"/>
              <w:ind w:left="50"/>
              <w:rPr>
                <w:b/>
                <w:sz w:val="13"/>
              </w:rPr>
            </w:pPr>
            <w:r>
              <w:rPr>
                <w:b/>
                <w:sz w:val="13"/>
              </w:rPr>
              <w:t>Projected LCFF Revenue</w:t>
            </w:r>
          </w:p>
        </w:tc>
        <w:tc>
          <w:tcPr>
            <w:tcW w:w="1275" w:type="dxa"/>
          </w:tcPr>
          <w:p>
            <w:pPr>
              <w:pStyle w:val="TableParagraph"/>
              <w:rPr>
                <w:sz w:val="14"/>
              </w:rPr>
            </w:pPr>
          </w:p>
          <w:p>
            <w:pPr>
              <w:pStyle w:val="TableParagraph"/>
              <w:spacing w:before="1"/>
              <w:rPr>
                <w:sz w:val="18"/>
              </w:rPr>
            </w:pPr>
          </w:p>
          <w:p>
            <w:pPr>
              <w:pStyle w:val="TableParagraph"/>
              <w:spacing w:line="140" w:lineRule="exact"/>
              <w:ind w:right="120"/>
              <w:jc w:val="right"/>
              <w:rPr>
                <w:sz w:val="13"/>
              </w:rPr>
            </w:pPr>
            <w:r>
              <w:rPr>
                <w:sz w:val="13"/>
              </w:rPr>
              <w:t>Prior Year</w:t>
            </w:r>
          </w:p>
        </w:tc>
        <w:tc>
          <w:tcPr>
            <w:tcW w:w="2006" w:type="dxa"/>
            <w:gridSpan w:val="2"/>
          </w:tcPr>
          <w:p>
            <w:pPr>
              <w:pStyle w:val="TableParagraph"/>
              <w:rPr>
                <w:sz w:val="14"/>
              </w:rPr>
            </w:pPr>
          </w:p>
          <w:p>
            <w:pPr>
              <w:pStyle w:val="TableParagraph"/>
              <w:spacing w:before="1"/>
              <w:rPr>
                <w:sz w:val="18"/>
              </w:rPr>
            </w:pPr>
          </w:p>
          <w:p>
            <w:pPr>
              <w:pStyle w:val="TableParagraph"/>
              <w:spacing w:line="140" w:lineRule="exact"/>
              <w:ind w:left="1196"/>
              <w:rPr>
                <w:sz w:val="13"/>
              </w:rPr>
            </w:pPr>
            <w:r>
              <w:rPr>
                <w:sz w:val="13"/>
              </w:rPr>
              <w:t>Budget Year</w:t>
            </w:r>
          </w:p>
        </w:tc>
        <w:tc>
          <w:tcPr>
            <w:tcW w:w="2448" w:type="dxa"/>
            <w:gridSpan w:val="2"/>
          </w:tcPr>
          <w:p>
            <w:pPr>
              <w:pStyle w:val="TableParagraph"/>
              <w:rPr>
                <w:sz w:val="14"/>
              </w:rPr>
            </w:pPr>
          </w:p>
          <w:p>
            <w:pPr>
              <w:pStyle w:val="TableParagraph"/>
              <w:spacing w:before="1"/>
              <w:rPr>
                <w:sz w:val="18"/>
              </w:rPr>
            </w:pPr>
          </w:p>
          <w:p>
            <w:pPr>
              <w:pStyle w:val="TableParagraph"/>
              <w:spacing w:line="140" w:lineRule="exact"/>
              <w:ind w:left="1148"/>
              <w:rPr>
                <w:sz w:val="13"/>
              </w:rPr>
            </w:pPr>
            <w:r>
              <w:rPr>
                <w:sz w:val="13"/>
              </w:rPr>
              <w:t>1st Subsequent Year</w:t>
            </w:r>
          </w:p>
        </w:tc>
        <w:tc>
          <w:tcPr>
            <w:tcW w:w="2429" w:type="dxa"/>
            <w:gridSpan w:val="3"/>
          </w:tcPr>
          <w:p>
            <w:pPr>
              <w:pStyle w:val="TableParagraph"/>
              <w:rPr>
                <w:sz w:val="14"/>
              </w:rPr>
            </w:pPr>
          </w:p>
          <w:p>
            <w:pPr>
              <w:pStyle w:val="TableParagraph"/>
              <w:spacing w:before="1"/>
              <w:rPr>
                <w:sz w:val="18"/>
              </w:rPr>
            </w:pPr>
          </w:p>
          <w:p>
            <w:pPr>
              <w:pStyle w:val="TableParagraph"/>
              <w:spacing w:line="140" w:lineRule="exact"/>
              <w:ind w:left="851"/>
              <w:rPr>
                <w:sz w:val="13"/>
              </w:rPr>
            </w:pPr>
            <w:r>
              <w:rPr>
                <w:sz w:val="13"/>
              </w:rPr>
              <w:t>2nd Subsequent Year</w:t>
            </w:r>
          </w:p>
        </w:tc>
      </w:tr>
      <w:tr>
        <w:trPr>
          <w:trHeight w:val="157" w:hRule="atLeast"/>
        </w:trPr>
        <w:tc>
          <w:tcPr>
            <w:tcW w:w="3180" w:type="dxa"/>
          </w:tcPr>
          <w:p>
            <w:pPr>
              <w:pStyle w:val="TableParagraph"/>
              <w:spacing w:line="130" w:lineRule="exact" w:before="7"/>
              <w:ind w:left="50"/>
              <w:rPr>
                <w:sz w:val="13"/>
              </w:rPr>
            </w:pPr>
            <w:r>
              <w:rPr>
                <w:sz w:val="13"/>
              </w:rPr>
              <w:t>Step 1 - Change in Population</w:t>
            </w:r>
          </w:p>
        </w:tc>
        <w:tc>
          <w:tcPr>
            <w:tcW w:w="1275" w:type="dxa"/>
          </w:tcPr>
          <w:p>
            <w:pPr>
              <w:pStyle w:val="TableParagraph"/>
              <w:spacing w:line="130" w:lineRule="exact" w:before="7"/>
              <w:ind w:right="127"/>
              <w:jc w:val="right"/>
              <w:rPr>
                <w:sz w:val="13"/>
              </w:rPr>
            </w:pPr>
            <w:r>
              <w:rPr>
                <w:sz w:val="13"/>
              </w:rPr>
              <w:t>(2020-21)</w:t>
            </w:r>
          </w:p>
        </w:tc>
        <w:tc>
          <w:tcPr>
            <w:tcW w:w="2006" w:type="dxa"/>
            <w:gridSpan w:val="2"/>
          </w:tcPr>
          <w:p>
            <w:pPr>
              <w:pStyle w:val="TableParagraph"/>
              <w:spacing w:line="130" w:lineRule="exact" w:before="7"/>
              <w:ind w:left="1292"/>
              <w:rPr>
                <w:sz w:val="13"/>
              </w:rPr>
            </w:pPr>
            <w:r>
              <w:rPr>
                <w:sz w:val="13"/>
              </w:rPr>
              <w:t>(2021-22)</w:t>
            </w:r>
          </w:p>
        </w:tc>
        <w:tc>
          <w:tcPr>
            <w:tcW w:w="2448" w:type="dxa"/>
            <w:gridSpan w:val="2"/>
          </w:tcPr>
          <w:p>
            <w:pPr>
              <w:pStyle w:val="TableParagraph"/>
              <w:spacing w:line="130" w:lineRule="exact" w:before="7"/>
              <w:ind w:left="1480"/>
              <w:rPr>
                <w:sz w:val="13"/>
              </w:rPr>
            </w:pPr>
            <w:r>
              <w:rPr>
                <w:sz w:val="13"/>
              </w:rPr>
              <w:t>(2022-23)</w:t>
            </w:r>
          </w:p>
        </w:tc>
        <w:tc>
          <w:tcPr>
            <w:tcW w:w="2429" w:type="dxa"/>
            <w:gridSpan w:val="3"/>
          </w:tcPr>
          <w:p>
            <w:pPr>
              <w:pStyle w:val="TableParagraph"/>
              <w:spacing w:line="130" w:lineRule="exact" w:before="7"/>
              <w:ind w:left="1204"/>
              <w:rPr>
                <w:sz w:val="13"/>
              </w:rPr>
            </w:pPr>
            <w:r>
              <w:rPr>
                <w:sz w:val="13"/>
              </w:rPr>
              <w:t>(2023-24)</w:t>
            </w:r>
          </w:p>
        </w:tc>
      </w:tr>
      <w:tr>
        <w:trPr>
          <w:trHeight w:val="185" w:hRule="atLeast"/>
        </w:trPr>
        <w:tc>
          <w:tcPr>
            <w:tcW w:w="3180" w:type="dxa"/>
          </w:tcPr>
          <w:p>
            <w:pPr>
              <w:pStyle w:val="TableParagraph"/>
              <w:tabs>
                <w:tab w:pos="549" w:val="left" w:leader="none"/>
              </w:tabs>
              <w:spacing w:line="147" w:lineRule="exact"/>
              <w:ind w:left="215"/>
              <w:rPr>
                <w:sz w:val="13"/>
              </w:rPr>
            </w:pPr>
            <w:r>
              <w:rPr>
                <w:sz w:val="13"/>
              </w:rPr>
              <w:t>a.</w:t>
              <w:tab/>
              <w:t>ADA</w:t>
            </w:r>
            <w:r>
              <w:rPr>
                <w:spacing w:val="1"/>
                <w:sz w:val="13"/>
              </w:rPr>
              <w:t> </w:t>
            </w:r>
            <w:r>
              <w:rPr>
                <w:sz w:val="13"/>
              </w:rPr>
              <w:t>(Funded)</w:t>
            </w:r>
          </w:p>
        </w:tc>
        <w:tc>
          <w:tcPr>
            <w:tcW w:w="2138" w:type="dxa"/>
            <w:gridSpan w:val="2"/>
          </w:tcPr>
          <w:p>
            <w:pPr>
              <w:pStyle w:val="TableParagraph"/>
              <w:rPr>
                <w:rFonts w:ascii="Times New Roman"/>
                <w:sz w:val="10"/>
              </w:rPr>
            </w:pPr>
          </w:p>
        </w:tc>
        <w:tc>
          <w:tcPr>
            <w:tcW w:w="1143" w:type="dxa"/>
          </w:tcPr>
          <w:p>
            <w:pPr>
              <w:pStyle w:val="TableParagraph"/>
              <w:rPr>
                <w:rFonts w:ascii="Times New Roman"/>
                <w:sz w:val="10"/>
              </w:rPr>
            </w:pPr>
          </w:p>
        </w:tc>
        <w:tc>
          <w:tcPr>
            <w:tcW w:w="816" w:type="dxa"/>
          </w:tcPr>
          <w:p>
            <w:pPr>
              <w:pStyle w:val="TableParagraph"/>
              <w:rPr>
                <w:rFonts w:ascii="Times New Roman"/>
                <w:sz w:val="10"/>
              </w:rPr>
            </w:pPr>
          </w:p>
        </w:tc>
        <w:tc>
          <w:tcPr>
            <w:tcW w:w="1632" w:type="dxa"/>
          </w:tcPr>
          <w:p>
            <w:pPr>
              <w:pStyle w:val="TableParagraph"/>
              <w:rPr>
                <w:rFonts w:ascii="Times New Roman"/>
                <w:sz w:val="10"/>
              </w:rPr>
            </w:pPr>
          </w:p>
        </w:tc>
        <w:tc>
          <w:tcPr>
            <w:tcW w:w="660" w:type="dxa"/>
          </w:tcPr>
          <w:p>
            <w:pPr>
              <w:pStyle w:val="TableParagraph"/>
              <w:rPr>
                <w:rFonts w:ascii="Times New Roman"/>
                <w:sz w:val="10"/>
              </w:rPr>
            </w:pPr>
          </w:p>
        </w:tc>
        <w:tc>
          <w:tcPr>
            <w:tcW w:w="1168" w:type="dxa"/>
          </w:tcPr>
          <w:p>
            <w:pPr>
              <w:pStyle w:val="TableParagraph"/>
              <w:rPr>
                <w:rFonts w:ascii="Times New Roman"/>
                <w:sz w:val="10"/>
              </w:rPr>
            </w:pPr>
          </w:p>
        </w:tc>
        <w:tc>
          <w:tcPr>
            <w:tcW w:w="601" w:type="dxa"/>
          </w:tcPr>
          <w:p>
            <w:pPr>
              <w:pStyle w:val="TableParagraph"/>
              <w:rPr>
                <w:rFonts w:ascii="Times New Roman"/>
                <w:sz w:val="10"/>
              </w:rPr>
            </w:pPr>
          </w:p>
        </w:tc>
      </w:tr>
      <w:tr>
        <w:trPr>
          <w:trHeight w:val="190" w:hRule="atLeast"/>
        </w:trPr>
        <w:tc>
          <w:tcPr>
            <w:tcW w:w="3180" w:type="dxa"/>
          </w:tcPr>
          <w:p>
            <w:pPr>
              <w:pStyle w:val="TableParagraph"/>
              <w:spacing w:line="149" w:lineRule="exact" w:before="22"/>
              <w:ind w:left="549"/>
              <w:rPr>
                <w:sz w:val="13"/>
              </w:rPr>
            </w:pPr>
            <w:r>
              <w:rPr>
                <w:sz w:val="13"/>
              </w:rPr>
              <w:t>(Form A, lines A6 and C4)</w:t>
            </w:r>
          </w:p>
        </w:tc>
        <w:tc>
          <w:tcPr>
            <w:tcW w:w="2138" w:type="dxa"/>
            <w:gridSpan w:val="2"/>
          </w:tcPr>
          <w:p>
            <w:pPr>
              <w:pStyle w:val="TableParagraph"/>
              <w:spacing w:line="149" w:lineRule="exact" w:before="22"/>
              <w:ind w:left="1396"/>
              <w:rPr>
                <w:sz w:val="13"/>
              </w:rPr>
            </w:pPr>
            <w:r>
              <w:rPr>
                <w:sz w:val="13"/>
              </w:rPr>
              <w:t>115.41</w:t>
            </w:r>
          </w:p>
        </w:tc>
        <w:tc>
          <w:tcPr>
            <w:tcW w:w="1143" w:type="dxa"/>
          </w:tcPr>
          <w:p>
            <w:pPr>
              <w:pStyle w:val="TableParagraph"/>
              <w:rPr>
                <w:rFonts w:ascii="Times New Roman"/>
                <w:sz w:val="12"/>
              </w:rPr>
            </w:pPr>
          </w:p>
        </w:tc>
        <w:tc>
          <w:tcPr>
            <w:tcW w:w="816" w:type="dxa"/>
          </w:tcPr>
          <w:p>
            <w:pPr>
              <w:pStyle w:val="TableParagraph"/>
              <w:spacing w:line="149" w:lineRule="exact" w:before="22"/>
              <w:ind w:right="337"/>
              <w:jc w:val="right"/>
              <w:rPr>
                <w:sz w:val="13"/>
              </w:rPr>
            </w:pPr>
            <w:r>
              <w:rPr>
                <w:sz w:val="13"/>
              </w:rPr>
              <w:t>115.41</w:t>
            </w:r>
          </w:p>
        </w:tc>
        <w:tc>
          <w:tcPr>
            <w:tcW w:w="1632" w:type="dxa"/>
          </w:tcPr>
          <w:p>
            <w:pPr>
              <w:pStyle w:val="TableParagraph"/>
              <w:rPr>
                <w:rFonts w:ascii="Times New Roman"/>
                <w:sz w:val="12"/>
              </w:rPr>
            </w:pPr>
          </w:p>
        </w:tc>
        <w:tc>
          <w:tcPr>
            <w:tcW w:w="660" w:type="dxa"/>
          </w:tcPr>
          <w:p>
            <w:pPr>
              <w:pStyle w:val="TableParagraph"/>
              <w:spacing w:line="149" w:lineRule="exact" w:before="22"/>
              <w:ind w:right="197"/>
              <w:jc w:val="right"/>
              <w:rPr>
                <w:sz w:val="13"/>
              </w:rPr>
            </w:pPr>
            <w:r>
              <w:rPr>
                <w:sz w:val="13"/>
              </w:rPr>
              <w:t>115.41</w:t>
            </w:r>
          </w:p>
        </w:tc>
        <w:tc>
          <w:tcPr>
            <w:tcW w:w="1168" w:type="dxa"/>
          </w:tcPr>
          <w:p>
            <w:pPr>
              <w:pStyle w:val="TableParagraph"/>
              <w:rPr>
                <w:rFonts w:ascii="Times New Roman"/>
                <w:sz w:val="12"/>
              </w:rPr>
            </w:pPr>
          </w:p>
        </w:tc>
        <w:tc>
          <w:tcPr>
            <w:tcW w:w="601" w:type="dxa"/>
          </w:tcPr>
          <w:p>
            <w:pPr>
              <w:pStyle w:val="TableParagraph"/>
              <w:spacing w:line="149" w:lineRule="exact" w:before="22"/>
              <w:ind w:right="54"/>
              <w:jc w:val="right"/>
              <w:rPr>
                <w:sz w:val="13"/>
              </w:rPr>
            </w:pPr>
            <w:r>
              <w:rPr>
                <w:sz w:val="13"/>
              </w:rPr>
              <w:t>115.41</w:t>
            </w:r>
          </w:p>
        </w:tc>
      </w:tr>
      <w:tr>
        <w:trPr>
          <w:trHeight w:val="190" w:hRule="atLeast"/>
        </w:trPr>
        <w:tc>
          <w:tcPr>
            <w:tcW w:w="3180" w:type="dxa"/>
          </w:tcPr>
          <w:p>
            <w:pPr>
              <w:pStyle w:val="TableParagraph"/>
              <w:tabs>
                <w:tab w:pos="549" w:val="left" w:leader="none"/>
              </w:tabs>
              <w:spacing w:before="16"/>
              <w:ind w:left="215"/>
              <w:rPr>
                <w:sz w:val="13"/>
              </w:rPr>
            </w:pPr>
            <w:r>
              <w:rPr>
                <w:sz w:val="13"/>
              </w:rPr>
              <w:t>b.</w:t>
              <w:tab/>
              <w:t>Prior Year ADA</w:t>
            </w:r>
            <w:r>
              <w:rPr>
                <w:spacing w:val="-2"/>
                <w:sz w:val="13"/>
              </w:rPr>
              <w:t> </w:t>
            </w:r>
            <w:r>
              <w:rPr>
                <w:sz w:val="13"/>
              </w:rPr>
              <w:t>(Funded)</w:t>
            </w:r>
          </w:p>
        </w:tc>
        <w:tc>
          <w:tcPr>
            <w:tcW w:w="2138" w:type="dxa"/>
            <w:gridSpan w:val="2"/>
          </w:tcPr>
          <w:p>
            <w:pPr>
              <w:pStyle w:val="TableParagraph"/>
              <w:rPr>
                <w:rFonts w:ascii="Times New Roman"/>
                <w:sz w:val="12"/>
              </w:rPr>
            </w:pPr>
          </w:p>
        </w:tc>
        <w:tc>
          <w:tcPr>
            <w:tcW w:w="1143" w:type="dxa"/>
          </w:tcPr>
          <w:p>
            <w:pPr>
              <w:pStyle w:val="TableParagraph"/>
              <w:rPr>
                <w:rFonts w:ascii="Times New Roman"/>
                <w:sz w:val="12"/>
              </w:rPr>
            </w:pPr>
          </w:p>
        </w:tc>
        <w:tc>
          <w:tcPr>
            <w:tcW w:w="816" w:type="dxa"/>
          </w:tcPr>
          <w:p>
            <w:pPr>
              <w:pStyle w:val="TableParagraph"/>
              <w:spacing w:before="16"/>
              <w:ind w:right="337"/>
              <w:jc w:val="right"/>
              <w:rPr>
                <w:sz w:val="13"/>
              </w:rPr>
            </w:pPr>
            <w:r>
              <w:rPr>
                <w:sz w:val="13"/>
              </w:rPr>
              <w:t>115.41</w:t>
            </w:r>
          </w:p>
        </w:tc>
        <w:tc>
          <w:tcPr>
            <w:tcW w:w="1632" w:type="dxa"/>
          </w:tcPr>
          <w:p>
            <w:pPr>
              <w:pStyle w:val="TableParagraph"/>
              <w:rPr>
                <w:rFonts w:ascii="Times New Roman"/>
                <w:sz w:val="12"/>
              </w:rPr>
            </w:pPr>
          </w:p>
        </w:tc>
        <w:tc>
          <w:tcPr>
            <w:tcW w:w="660" w:type="dxa"/>
          </w:tcPr>
          <w:p>
            <w:pPr>
              <w:pStyle w:val="TableParagraph"/>
              <w:spacing w:before="16"/>
              <w:ind w:right="197"/>
              <w:jc w:val="right"/>
              <w:rPr>
                <w:sz w:val="13"/>
              </w:rPr>
            </w:pPr>
            <w:r>
              <w:rPr>
                <w:sz w:val="13"/>
              </w:rPr>
              <w:t>115.41</w:t>
            </w:r>
          </w:p>
        </w:tc>
        <w:tc>
          <w:tcPr>
            <w:tcW w:w="1168" w:type="dxa"/>
          </w:tcPr>
          <w:p>
            <w:pPr>
              <w:pStyle w:val="TableParagraph"/>
              <w:rPr>
                <w:rFonts w:ascii="Times New Roman"/>
                <w:sz w:val="12"/>
              </w:rPr>
            </w:pPr>
          </w:p>
        </w:tc>
        <w:tc>
          <w:tcPr>
            <w:tcW w:w="601" w:type="dxa"/>
          </w:tcPr>
          <w:p>
            <w:pPr>
              <w:pStyle w:val="TableParagraph"/>
              <w:spacing w:before="16"/>
              <w:ind w:right="54"/>
              <w:jc w:val="right"/>
              <w:rPr>
                <w:sz w:val="13"/>
              </w:rPr>
            </w:pPr>
            <w:r>
              <w:rPr>
                <w:sz w:val="13"/>
              </w:rPr>
              <w:t>115.41</w:t>
            </w:r>
          </w:p>
        </w:tc>
      </w:tr>
      <w:tr>
        <w:trPr>
          <w:trHeight w:val="190" w:hRule="atLeast"/>
        </w:trPr>
        <w:tc>
          <w:tcPr>
            <w:tcW w:w="3180" w:type="dxa"/>
          </w:tcPr>
          <w:p>
            <w:pPr>
              <w:pStyle w:val="TableParagraph"/>
              <w:tabs>
                <w:tab w:pos="328" w:val="left" w:leader="none"/>
              </w:tabs>
              <w:spacing w:line="149" w:lineRule="exact" w:before="22"/>
              <w:ind w:right="561"/>
              <w:jc w:val="right"/>
              <w:rPr>
                <w:sz w:val="13"/>
              </w:rPr>
            </w:pPr>
            <w:r>
              <w:rPr>
                <w:sz w:val="13"/>
              </w:rPr>
              <w:t>c.</w:t>
              <w:tab/>
              <w:t>Difference (Step 1a minus Step</w:t>
            </w:r>
            <w:r>
              <w:rPr>
                <w:spacing w:val="27"/>
                <w:sz w:val="13"/>
              </w:rPr>
              <w:t> </w:t>
            </w:r>
            <w:r>
              <w:rPr>
                <w:sz w:val="13"/>
              </w:rPr>
              <w:t>1b)</w:t>
            </w:r>
          </w:p>
        </w:tc>
        <w:tc>
          <w:tcPr>
            <w:tcW w:w="2138" w:type="dxa"/>
            <w:gridSpan w:val="2"/>
          </w:tcPr>
          <w:p>
            <w:pPr>
              <w:pStyle w:val="TableParagraph"/>
              <w:rPr>
                <w:rFonts w:ascii="Times New Roman"/>
                <w:sz w:val="12"/>
              </w:rPr>
            </w:pPr>
          </w:p>
        </w:tc>
        <w:tc>
          <w:tcPr>
            <w:tcW w:w="1143" w:type="dxa"/>
          </w:tcPr>
          <w:p>
            <w:pPr>
              <w:pStyle w:val="TableParagraph"/>
              <w:rPr>
                <w:rFonts w:ascii="Times New Roman"/>
                <w:sz w:val="12"/>
              </w:rPr>
            </w:pPr>
          </w:p>
        </w:tc>
        <w:tc>
          <w:tcPr>
            <w:tcW w:w="816" w:type="dxa"/>
          </w:tcPr>
          <w:p>
            <w:pPr>
              <w:pStyle w:val="TableParagraph"/>
              <w:spacing w:line="149" w:lineRule="exact" w:before="22"/>
              <w:ind w:right="335"/>
              <w:jc w:val="right"/>
              <w:rPr>
                <w:sz w:val="13"/>
              </w:rPr>
            </w:pPr>
            <w:r>
              <w:rPr>
                <w:sz w:val="13"/>
              </w:rPr>
              <w:t>0.00</w:t>
            </w:r>
          </w:p>
        </w:tc>
        <w:tc>
          <w:tcPr>
            <w:tcW w:w="1632" w:type="dxa"/>
          </w:tcPr>
          <w:p>
            <w:pPr>
              <w:pStyle w:val="TableParagraph"/>
              <w:rPr>
                <w:rFonts w:ascii="Times New Roman"/>
                <w:sz w:val="12"/>
              </w:rPr>
            </w:pPr>
          </w:p>
        </w:tc>
        <w:tc>
          <w:tcPr>
            <w:tcW w:w="660" w:type="dxa"/>
          </w:tcPr>
          <w:p>
            <w:pPr>
              <w:pStyle w:val="TableParagraph"/>
              <w:spacing w:line="149" w:lineRule="exact" w:before="22"/>
              <w:ind w:right="196"/>
              <w:jc w:val="right"/>
              <w:rPr>
                <w:sz w:val="13"/>
              </w:rPr>
            </w:pPr>
            <w:r>
              <w:rPr>
                <w:sz w:val="13"/>
              </w:rPr>
              <w:t>0.00</w:t>
            </w:r>
          </w:p>
        </w:tc>
        <w:tc>
          <w:tcPr>
            <w:tcW w:w="1168" w:type="dxa"/>
          </w:tcPr>
          <w:p>
            <w:pPr>
              <w:pStyle w:val="TableParagraph"/>
              <w:rPr>
                <w:rFonts w:ascii="Times New Roman"/>
                <w:sz w:val="12"/>
              </w:rPr>
            </w:pPr>
          </w:p>
        </w:tc>
        <w:tc>
          <w:tcPr>
            <w:tcW w:w="601" w:type="dxa"/>
          </w:tcPr>
          <w:p>
            <w:pPr>
              <w:pStyle w:val="TableParagraph"/>
              <w:spacing w:line="149" w:lineRule="exact" w:before="22"/>
              <w:ind w:right="52"/>
              <w:jc w:val="right"/>
              <w:rPr>
                <w:sz w:val="13"/>
              </w:rPr>
            </w:pPr>
            <w:r>
              <w:rPr>
                <w:sz w:val="13"/>
              </w:rPr>
              <w:t>0.00</w:t>
            </w:r>
          </w:p>
        </w:tc>
      </w:tr>
      <w:tr>
        <w:trPr>
          <w:trHeight w:val="184" w:hRule="atLeast"/>
        </w:trPr>
        <w:tc>
          <w:tcPr>
            <w:tcW w:w="3180" w:type="dxa"/>
          </w:tcPr>
          <w:p>
            <w:pPr>
              <w:pStyle w:val="TableParagraph"/>
              <w:tabs>
                <w:tab w:pos="333" w:val="left" w:leader="none"/>
              </w:tabs>
              <w:spacing w:line="149" w:lineRule="exact" w:before="16"/>
              <w:ind w:right="582"/>
              <w:jc w:val="right"/>
              <w:rPr>
                <w:sz w:val="13"/>
              </w:rPr>
            </w:pPr>
            <w:r>
              <w:rPr>
                <w:sz w:val="13"/>
              </w:rPr>
              <w:t>d.</w:t>
              <w:tab/>
              <w:t>Percent Change Due to</w:t>
            </w:r>
            <w:r>
              <w:rPr>
                <w:spacing w:val="29"/>
                <w:sz w:val="13"/>
              </w:rPr>
              <w:t> </w:t>
            </w:r>
            <w:r>
              <w:rPr>
                <w:sz w:val="13"/>
              </w:rPr>
              <w:t>Population</w:t>
            </w:r>
          </w:p>
        </w:tc>
        <w:tc>
          <w:tcPr>
            <w:tcW w:w="2138" w:type="dxa"/>
            <w:gridSpan w:val="2"/>
          </w:tcPr>
          <w:p>
            <w:pPr>
              <w:pStyle w:val="TableParagraph"/>
              <w:rPr>
                <w:rFonts w:ascii="Times New Roman"/>
                <w:sz w:val="12"/>
              </w:rPr>
            </w:pPr>
          </w:p>
        </w:tc>
        <w:tc>
          <w:tcPr>
            <w:tcW w:w="1143" w:type="dxa"/>
          </w:tcPr>
          <w:p>
            <w:pPr>
              <w:pStyle w:val="TableParagraph"/>
              <w:rPr>
                <w:rFonts w:ascii="Times New Roman"/>
                <w:sz w:val="12"/>
              </w:rPr>
            </w:pPr>
          </w:p>
        </w:tc>
        <w:tc>
          <w:tcPr>
            <w:tcW w:w="816" w:type="dxa"/>
          </w:tcPr>
          <w:p>
            <w:pPr>
              <w:pStyle w:val="TableParagraph"/>
              <w:rPr>
                <w:rFonts w:ascii="Times New Roman"/>
                <w:sz w:val="12"/>
              </w:rPr>
            </w:pPr>
          </w:p>
        </w:tc>
        <w:tc>
          <w:tcPr>
            <w:tcW w:w="1632" w:type="dxa"/>
          </w:tcPr>
          <w:p>
            <w:pPr>
              <w:pStyle w:val="TableParagraph"/>
              <w:rPr>
                <w:rFonts w:ascii="Times New Roman"/>
                <w:sz w:val="12"/>
              </w:rPr>
            </w:pPr>
          </w:p>
        </w:tc>
        <w:tc>
          <w:tcPr>
            <w:tcW w:w="660" w:type="dxa"/>
          </w:tcPr>
          <w:p>
            <w:pPr>
              <w:pStyle w:val="TableParagraph"/>
              <w:rPr>
                <w:rFonts w:ascii="Times New Roman"/>
                <w:sz w:val="12"/>
              </w:rPr>
            </w:pPr>
          </w:p>
        </w:tc>
        <w:tc>
          <w:tcPr>
            <w:tcW w:w="1168" w:type="dxa"/>
          </w:tcPr>
          <w:p>
            <w:pPr>
              <w:pStyle w:val="TableParagraph"/>
              <w:rPr>
                <w:rFonts w:ascii="Times New Roman"/>
                <w:sz w:val="12"/>
              </w:rPr>
            </w:pPr>
          </w:p>
        </w:tc>
        <w:tc>
          <w:tcPr>
            <w:tcW w:w="601" w:type="dxa"/>
          </w:tcPr>
          <w:p>
            <w:pPr>
              <w:pStyle w:val="TableParagraph"/>
              <w:rPr>
                <w:rFonts w:ascii="Times New Roman"/>
                <w:sz w:val="12"/>
              </w:rPr>
            </w:pPr>
          </w:p>
        </w:tc>
      </w:tr>
      <w:tr>
        <w:trPr>
          <w:trHeight w:val="165" w:hRule="atLeast"/>
        </w:trPr>
        <w:tc>
          <w:tcPr>
            <w:tcW w:w="3180" w:type="dxa"/>
          </w:tcPr>
          <w:p>
            <w:pPr>
              <w:pStyle w:val="TableParagraph"/>
              <w:spacing w:line="130" w:lineRule="exact" w:before="16"/>
              <w:ind w:left="549"/>
              <w:rPr>
                <w:sz w:val="13"/>
              </w:rPr>
            </w:pPr>
            <w:r>
              <w:rPr>
                <w:sz w:val="13"/>
              </w:rPr>
              <w:t>(Step 1c divided by Step 1b)</w:t>
            </w:r>
          </w:p>
        </w:tc>
        <w:tc>
          <w:tcPr>
            <w:tcW w:w="2138" w:type="dxa"/>
            <w:gridSpan w:val="2"/>
          </w:tcPr>
          <w:p>
            <w:pPr>
              <w:pStyle w:val="TableParagraph"/>
              <w:rPr>
                <w:rFonts w:ascii="Times New Roman"/>
                <w:sz w:val="10"/>
              </w:rPr>
            </w:pPr>
          </w:p>
        </w:tc>
        <w:tc>
          <w:tcPr>
            <w:tcW w:w="1143" w:type="dxa"/>
          </w:tcPr>
          <w:p>
            <w:pPr>
              <w:pStyle w:val="TableParagraph"/>
              <w:spacing w:line="130" w:lineRule="exact" w:before="16"/>
              <w:ind w:left="530"/>
              <w:rPr>
                <w:sz w:val="13"/>
              </w:rPr>
            </w:pPr>
            <w:r>
              <w:rPr>
                <w:sz w:val="13"/>
              </w:rPr>
              <w:t>0.00%</w:t>
            </w:r>
          </w:p>
        </w:tc>
        <w:tc>
          <w:tcPr>
            <w:tcW w:w="816" w:type="dxa"/>
          </w:tcPr>
          <w:p>
            <w:pPr>
              <w:pStyle w:val="TableParagraph"/>
              <w:rPr>
                <w:rFonts w:ascii="Times New Roman"/>
                <w:sz w:val="10"/>
              </w:rPr>
            </w:pPr>
          </w:p>
        </w:tc>
        <w:tc>
          <w:tcPr>
            <w:tcW w:w="1632" w:type="dxa"/>
          </w:tcPr>
          <w:p>
            <w:pPr>
              <w:pStyle w:val="TableParagraph"/>
              <w:spacing w:line="130" w:lineRule="exact" w:before="16"/>
              <w:ind w:left="765"/>
              <w:rPr>
                <w:sz w:val="13"/>
              </w:rPr>
            </w:pPr>
            <w:r>
              <w:rPr>
                <w:sz w:val="13"/>
              </w:rPr>
              <w:t>0.00%</w:t>
            </w:r>
          </w:p>
        </w:tc>
        <w:tc>
          <w:tcPr>
            <w:tcW w:w="660" w:type="dxa"/>
          </w:tcPr>
          <w:p>
            <w:pPr>
              <w:pStyle w:val="TableParagraph"/>
              <w:rPr>
                <w:rFonts w:ascii="Times New Roman"/>
                <w:sz w:val="10"/>
              </w:rPr>
            </w:pPr>
          </w:p>
        </w:tc>
        <w:tc>
          <w:tcPr>
            <w:tcW w:w="1168" w:type="dxa"/>
          </w:tcPr>
          <w:p>
            <w:pPr>
              <w:pStyle w:val="TableParagraph"/>
              <w:spacing w:line="130" w:lineRule="exact" w:before="16"/>
              <w:ind w:left="645"/>
              <w:rPr>
                <w:sz w:val="13"/>
              </w:rPr>
            </w:pPr>
            <w:r>
              <w:rPr>
                <w:sz w:val="13"/>
              </w:rPr>
              <w:t>0.00%</w:t>
            </w:r>
          </w:p>
        </w:tc>
        <w:tc>
          <w:tcPr>
            <w:tcW w:w="601" w:type="dxa"/>
          </w:tcPr>
          <w:p>
            <w:pPr>
              <w:pStyle w:val="TableParagraph"/>
              <w:rPr>
                <w:rFonts w:ascii="Times New Roman"/>
                <w:sz w:val="10"/>
              </w:rPr>
            </w:pPr>
          </w:p>
        </w:tc>
      </w:tr>
    </w:tbl>
    <w:p>
      <w:pPr>
        <w:pStyle w:val="BodyText"/>
        <w:rPr>
          <w:sz w:val="14"/>
        </w:rPr>
      </w:pPr>
    </w:p>
    <w:p>
      <w:pPr>
        <w:pStyle w:val="BodyText"/>
        <w:spacing w:before="109" w:after="38"/>
        <w:ind w:left="322"/>
      </w:pPr>
      <w:r>
        <w:rPr/>
        <w:pict>
          <v:group style="position:absolute;margin-left:268.320007pt;margin-top:12.866931pt;width:315.4pt;height:53.8pt;mso-position-horizontal-relative:page;mso-position-vertical-relative:paragraph;z-index:-314004480" coordorigin="5366,257" coordsize="6308,1076">
            <v:shape style="position:absolute;left:5366;top:257;width:6308;height:192" type="#_x0000_t75" stroked="false">
              <v:imagedata r:id="rId1582" o:title=""/>
            </v:shape>
            <v:shape style="position:absolute;left:5366;top:442;width:1964;height:180" type="#_x0000_t75" stroked="false">
              <v:imagedata r:id="rId1583" o:title=""/>
            </v:shape>
            <v:shape style="position:absolute;left:7322;top:442;width:2439;height:180" type="#_x0000_t75" stroked="false">
              <v:imagedata r:id="rId1584" o:title=""/>
            </v:shape>
            <v:shape style="position:absolute;left:9753;top:442;width:1920;height:533" type="#_x0000_t75" stroked="false">
              <v:imagedata r:id="rId1585" o:title=""/>
            </v:shape>
            <v:shape style="position:absolute;left:5366;top:614;width:6308;height:718" type="#_x0000_t75" stroked="false">
              <v:imagedata r:id="rId1586" o:title=""/>
            </v:shape>
            <w10:wrap type="none"/>
          </v:group>
        </w:pict>
      </w:r>
      <w:r>
        <w:rPr/>
        <w:pict>
          <v:group style="position:absolute;margin-left:268.320007pt;margin-top:75.506943pt;width:315.4pt;height:34.8pt;mso-position-horizontal-relative:page;mso-position-vertical-relative:paragraph;z-index:-314003456" coordorigin="5366,1510" coordsize="6308,696">
            <v:shape style="position:absolute;left:5366;top:1510;width:6308;height:696" type="#_x0000_t75" stroked="false">
              <v:imagedata r:id="rId1587" o:title=""/>
            </v:shape>
            <v:shape style="position:absolute;left:7322;top:2014;width:2439;height:192" type="#_x0000_t75" stroked="false">
              <v:imagedata r:id="rId1588" o:title=""/>
            </v:shape>
            <v:shape style="position:absolute;left:9753;top:2014;width:1920;height:192" type="#_x0000_t75" stroked="false">
              <v:imagedata r:id="rId1518" o:title=""/>
            </v:shape>
            <w10:wrap type="none"/>
          </v:group>
        </w:pict>
      </w:r>
      <w:r>
        <w:rPr/>
        <w:t>Step 2 - Change in Funding Level</w:t>
      </w:r>
    </w:p>
    <w:tbl>
      <w:tblPr>
        <w:tblW w:w="0" w:type="auto"/>
        <w:jc w:val="left"/>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7"/>
        <w:gridCol w:w="4838"/>
        <w:gridCol w:w="2053"/>
        <w:gridCol w:w="1158"/>
        <w:gridCol w:w="1144"/>
        <w:gridCol w:w="1684"/>
      </w:tblGrid>
      <w:tr>
        <w:trPr>
          <w:trHeight w:val="159" w:hRule="atLeast"/>
        </w:trPr>
        <w:tc>
          <w:tcPr>
            <w:tcW w:w="457" w:type="dxa"/>
          </w:tcPr>
          <w:p>
            <w:pPr>
              <w:pStyle w:val="TableParagraph"/>
              <w:spacing w:line="140" w:lineRule="exact"/>
              <w:ind w:left="97" w:right="13"/>
              <w:jc w:val="center"/>
              <w:rPr>
                <w:sz w:val="13"/>
              </w:rPr>
            </w:pPr>
            <w:r>
              <w:rPr>
                <w:sz w:val="13"/>
              </w:rPr>
              <w:t>a.</w:t>
            </w:r>
          </w:p>
        </w:tc>
        <w:tc>
          <w:tcPr>
            <w:tcW w:w="4838" w:type="dxa"/>
          </w:tcPr>
          <w:p>
            <w:pPr>
              <w:pStyle w:val="TableParagraph"/>
              <w:spacing w:line="140" w:lineRule="exact"/>
              <w:ind w:left="92"/>
              <w:rPr>
                <w:sz w:val="13"/>
              </w:rPr>
            </w:pPr>
            <w:r>
              <w:rPr>
                <w:sz w:val="13"/>
              </w:rPr>
              <w:t>Prior Year LCFF Funding</w:t>
            </w:r>
          </w:p>
        </w:tc>
        <w:tc>
          <w:tcPr>
            <w:tcW w:w="2053" w:type="dxa"/>
          </w:tcPr>
          <w:p>
            <w:pPr>
              <w:pStyle w:val="TableParagraph"/>
              <w:spacing w:line="140" w:lineRule="exact"/>
              <w:ind w:right="406"/>
              <w:jc w:val="right"/>
              <w:rPr>
                <w:sz w:val="13"/>
              </w:rPr>
            </w:pPr>
            <w:r>
              <w:rPr>
                <w:sz w:val="13"/>
              </w:rPr>
              <w:t>1,298,129.00</w:t>
            </w:r>
          </w:p>
        </w:tc>
        <w:tc>
          <w:tcPr>
            <w:tcW w:w="1158" w:type="dxa"/>
          </w:tcPr>
          <w:p>
            <w:pPr>
              <w:pStyle w:val="TableParagraph"/>
              <w:rPr>
                <w:rFonts w:ascii="Times New Roman"/>
                <w:sz w:val="10"/>
              </w:rPr>
            </w:pPr>
          </w:p>
        </w:tc>
        <w:tc>
          <w:tcPr>
            <w:tcW w:w="1144" w:type="dxa"/>
          </w:tcPr>
          <w:p>
            <w:pPr>
              <w:pStyle w:val="TableParagraph"/>
              <w:spacing w:line="140" w:lineRule="exact"/>
              <w:ind w:right="277"/>
              <w:jc w:val="right"/>
              <w:rPr>
                <w:sz w:val="13"/>
              </w:rPr>
            </w:pPr>
            <w:r>
              <w:rPr>
                <w:sz w:val="13"/>
              </w:rPr>
              <w:t>1,369,520.00</w:t>
            </w:r>
          </w:p>
        </w:tc>
        <w:tc>
          <w:tcPr>
            <w:tcW w:w="1684" w:type="dxa"/>
          </w:tcPr>
          <w:p>
            <w:pPr>
              <w:pStyle w:val="TableParagraph"/>
              <w:spacing w:line="140" w:lineRule="exact"/>
              <w:ind w:right="48"/>
              <w:jc w:val="right"/>
              <w:rPr>
                <w:sz w:val="13"/>
              </w:rPr>
            </w:pPr>
            <w:r>
              <w:rPr>
                <w:sz w:val="13"/>
              </w:rPr>
              <w:t>1,421,191.00</w:t>
            </w:r>
          </w:p>
        </w:tc>
      </w:tr>
      <w:tr>
        <w:trPr>
          <w:trHeight w:val="163" w:hRule="atLeast"/>
        </w:trPr>
        <w:tc>
          <w:tcPr>
            <w:tcW w:w="457" w:type="dxa"/>
          </w:tcPr>
          <w:p>
            <w:pPr>
              <w:pStyle w:val="TableParagraph"/>
              <w:spacing w:line="133" w:lineRule="exact" w:before="10"/>
              <w:ind w:left="100" w:right="13"/>
              <w:jc w:val="center"/>
              <w:rPr>
                <w:sz w:val="13"/>
              </w:rPr>
            </w:pPr>
            <w:r>
              <w:rPr>
                <w:sz w:val="13"/>
              </w:rPr>
              <w:t>b1.</w:t>
            </w:r>
          </w:p>
        </w:tc>
        <w:tc>
          <w:tcPr>
            <w:tcW w:w="4838" w:type="dxa"/>
          </w:tcPr>
          <w:p>
            <w:pPr>
              <w:pStyle w:val="TableParagraph"/>
              <w:spacing w:line="133" w:lineRule="exact" w:before="10"/>
              <w:ind w:left="92"/>
              <w:rPr>
                <w:sz w:val="13"/>
              </w:rPr>
            </w:pPr>
            <w:r>
              <w:rPr>
                <w:sz w:val="13"/>
              </w:rPr>
              <w:t>COLA percentage</w:t>
            </w:r>
          </w:p>
        </w:tc>
        <w:tc>
          <w:tcPr>
            <w:tcW w:w="2053" w:type="dxa"/>
          </w:tcPr>
          <w:p>
            <w:pPr>
              <w:pStyle w:val="TableParagraph"/>
              <w:spacing w:line="133" w:lineRule="exact" w:before="10"/>
              <w:ind w:left="553"/>
              <w:rPr>
                <w:sz w:val="13"/>
              </w:rPr>
            </w:pPr>
            <w:r>
              <w:rPr>
                <w:sz w:val="13"/>
              </w:rPr>
              <w:t>5.07%</w:t>
            </w:r>
          </w:p>
        </w:tc>
        <w:tc>
          <w:tcPr>
            <w:tcW w:w="1158" w:type="dxa"/>
          </w:tcPr>
          <w:p>
            <w:pPr>
              <w:pStyle w:val="TableParagraph"/>
              <w:spacing w:line="133" w:lineRule="exact" w:before="10"/>
              <w:ind w:right="86"/>
              <w:jc w:val="right"/>
              <w:rPr>
                <w:sz w:val="13"/>
              </w:rPr>
            </w:pPr>
            <w:r>
              <w:rPr>
                <w:sz w:val="13"/>
              </w:rPr>
              <w:t>2.48%</w:t>
            </w:r>
          </w:p>
        </w:tc>
        <w:tc>
          <w:tcPr>
            <w:tcW w:w="1144" w:type="dxa"/>
          </w:tcPr>
          <w:p>
            <w:pPr>
              <w:pStyle w:val="TableParagraph"/>
              <w:rPr>
                <w:rFonts w:ascii="Times New Roman"/>
                <w:sz w:val="10"/>
              </w:rPr>
            </w:pPr>
          </w:p>
        </w:tc>
        <w:tc>
          <w:tcPr>
            <w:tcW w:w="1684" w:type="dxa"/>
          </w:tcPr>
          <w:p>
            <w:pPr>
              <w:pStyle w:val="TableParagraph"/>
              <w:spacing w:line="133" w:lineRule="exact" w:before="10"/>
              <w:ind w:left="548" w:right="726"/>
              <w:jc w:val="center"/>
              <w:rPr>
                <w:sz w:val="13"/>
              </w:rPr>
            </w:pPr>
            <w:r>
              <w:rPr>
                <w:sz w:val="13"/>
              </w:rPr>
              <w:t>3.11%</w:t>
            </w:r>
          </w:p>
        </w:tc>
      </w:tr>
      <w:tr>
        <w:trPr>
          <w:trHeight w:val="364" w:hRule="atLeast"/>
        </w:trPr>
        <w:tc>
          <w:tcPr>
            <w:tcW w:w="457" w:type="dxa"/>
          </w:tcPr>
          <w:p>
            <w:pPr>
              <w:pStyle w:val="TableParagraph"/>
              <w:ind w:left="100" w:right="13"/>
              <w:jc w:val="center"/>
              <w:rPr>
                <w:sz w:val="13"/>
              </w:rPr>
            </w:pPr>
            <w:r>
              <w:rPr>
                <w:sz w:val="13"/>
              </w:rPr>
              <w:t>b2.</w:t>
            </w:r>
          </w:p>
        </w:tc>
        <w:tc>
          <w:tcPr>
            <w:tcW w:w="4838" w:type="dxa"/>
          </w:tcPr>
          <w:p>
            <w:pPr>
              <w:pStyle w:val="TableParagraph"/>
              <w:spacing w:line="150" w:lineRule="atLeast" w:before="53"/>
              <w:ind w:left="92" w:right="1897"/>
              <w:rPr>
                <w:sz w:val="13"/>
              </w:rPr>
            </w:pPr>
            <w:r>
              <w:rPr>
                <w:sz w:val="13"/>
              </w:rPr>
              <w:t>COLA amount (proxy for purposes of this criterion)</w:t>
            </w:r>
          </w:p>
        </w:tc>
        <w:tc>
          <w:tcPr>
            <w:tcW w:w="2053" w:type="dxa"/>
          </w:tcPr>
          <w:p>
            <w:pPr>
              <w:pStyle w:val="TableParagraph"/>
              <w:spacing w:before="9"/>
              <w:rPr>
                <w:sz w:val="17"/>
              </w:rPr>
            </w:pPr>
          </w:p>
          <w:p>
            <w:pPr>
              <w:pStyle w:val="TableParagraph"/>
              <w:spacing w:line="140" w:lineRule="exact"/>
              <w:ind w:right="406"/>
              <w:jc w:val="right"/>
              <w:rPr>
                <w:sz w:val="13"/>
              </w:rPr>
            </w:pPr>
            <w:r>
              <w:rPr>
                <w:sz w:val="13"/>
              </w:rPr>
              <w:t>65,815.14</w:t>
            </w:r>
          </w:p>
        </w:tc>
        <w:tc>
          <w:tcPr>
            <w:tcW w:w="1158" w:type="dxa"/>
          </w:tcPr>
          <w:p>
            <w:pPr>
              <w:pStyle w:val="TableParagraph"/>
              <w:rPr>
                <w:rFonts w:ascii="Times New Roman"/>
                <w:sz w:val="14"/>
              </w:rPr>
            </w:pPr>
          </w:p>
        </w:tc>
        <w:tc>
          <w:tcPr>
            <w:tcW w:w="1144" w:type="dxa"/>
          </w:tcPr>
          <w:p>
            <w:pPr>
              <w:pStyle w:val="TableParagraph"/>
              <w:spacing w:before="9"/>
              <w:rPr>
                <w:sz w:val="17"/>
              </w:rPr>
            </w:pPr>
          </w:p>
          <w:p>
            <w:pPr>
              <w:pStyle w:val="TableParagraph"/>
              <w:spacing w:line="140" w:lineRule="exact"/>
              <w:ind w:right="277"/>
              <w:jc w:val="right"/>
              <w:rPr>
                <w:sz w:val="13"/>
              </w:rPr>
            </w:pPr>
            <w:r>
              <w:rPr>
                <w:sz w:val="13"/>
              </w:rPr>
              <w:t>33,964.10</w:t>
            </w:r>
          </w:p>
        </w:tc>
        <w:tc>
          <w:tcPr>
            <w:tcW w:w="1684" w:type="dxa"/>
          </w:tcPr>
          <w:p>
            <w:pPr>
              <w:pStyle w:val="TableParagraph"/>
              <w:spacing w:before="9"/>
              <w:rPr>
                <w:sz w:val="17"/>
              </w:rPr>
            </w:pPr>
          </w:p>
          <w:p>
            <w:pPr>
              <w:pStyle w:val="TableParagraph"/>
              <w:spacing w:line="140" w:lineRule="exact"/>
              <w:ind w:right="48"/>
              <w:jc w:val="right"/>
              <w:rPr>
                <w:sz w:val="13"/>
              </w:rPr>
            </w:pPr>
            <w:r>
              <w:rPr>
                <w:sz w:val="13"/>
              </w:rPr>
              <w:t>44,199.04</w:t>
            </w:r>
          </w:p>
        </w:tc>
      </w:tr>
      <w:tr>
        <w:trPr>
          <w:trHeight w:val="176" w:hRule="atLeast"/>
        </w:trPr>
        <w:tc>
          <w:tcPr>
            <w:tcW w:w="457" w:type="dxa"/>
          </w:tcPr>
          <w:p>
            <w:pPr>
              <w:pStyle w:val="TableParagraph"/>
              <w:spacing w:line="149" w:lineRule="exact" w:before="7"/>
              <w:ind w:left="100" w:right="13"/>
              <w:jc w:val="center"/>
              <w:rPr>
                <w:sz w:val="13"/>
              </w:rPr>
            </w:pPr>
            <w:r>
              <w:rPr>
                <w:sz w:val="13"/>
              </w:rPr>
              <w:t>c.</w:t>
            </w:r>
          </w:p>
        </w:tc>
        <w:tc>
          <w:tcPr>
            <w:tcW w:w="4838" w:type="dxa"/>
          </w:tcPr>
          <w:p>
            <w:pPr>
              <w:pStyle w:val="TableParagraph"/>
              <w:spacing w:line="149" w:lineRule="exact" w:before="7"/>
              <w:ind w:left="92"/>
              <w:rPr>
                <w:sz w:val="13"/>
              </w:rPr>
            </w:pPr>
            <w:r>
              <w:rPr>
                <w:sz w:val="13"/>
              </w:rPr>
              <w:t>Percent Change Due to Funding Level</w:t>
            </w:r>
          </w:p>
        </w:tc>
        <w:tc>
          <w:tcPr>
            <w:tcW w:w="2053" w:type="dxa"/>
          </w:tcPr>
          <w:p>
            <w:pPr>
              <w:pStyle w:val="TableParagraph"/>
              <w:rPr>
                <w:rFonts w:ascii="Times New Roman"/>
                <w:sz w:val="10"/>
              </w:rPr>
            </w:pPr>
          </w:p>
        </w:tc>
        <w:tc>
          <w:tcPr>
            <w:tcW w:w="1158" w:type="dxa"/>
          </w:tcPr>
          <w:p>
            <w:pPr>
              <w:pStyle w:val="TableParagraph"/>
              <w:rPr>
                <w:rFonts w:ascii="Times New Roman"/>
                <w:sz w:val="10"/>
              </w:rPr>
            </w:pPr>
          </w:p>
        </w:tc>
        <w:tc>
          <w:tcPr>
            <w:tcW w:w="1144" w:type="dxa"/>
          </w:tcPr>
          <w:p>
            <w:pPr>
              <w:pStyle w:val="TableParagraph"/>
              <w:rPr>
                <w:rFonts w:ascii="Times New Roman"/>
                <w:sz w:val="10"/>
              </w:rPr>
            </w:pPr>
          </w:p>
        </w:tc>
        <w:tc>
          <w:tcPr>
            <w:tcW w:w="1684" w:type="dxa"/>
          </w:tcPr>
          <w:p>
            <w:pPr>
              <w:pStyle w:val="TableParagraph"/>
              <w:rPr>
                <w:rFonts w:ascii="Times New Roman"/>
                <w:sz w:val="10"/>
              </w:rPr>
            </w:pPr>
          </w:p>
        </w:tc>
      </w:tr>
      <w:tr>
        <w:trPr>
          <w:trHeight w:val="165" w:hRule="atLeast"/>
        </w:trPr>
        <w:tc>
          <w:tcPr>
            <w:tcW w:w="457" w:type="dxa"/>
          </w:tcPr>
          <w:p>
            <w:pPr>
              <w:pStyle w:val="TableParagraph"/>
              <w:rPr>
                <w:rFonts w:ascii="Times New Roman"/>
                <w:sz w:val="10"/>
              </w:rPr>
            </w:pPr>
          </w:p>
        </w:tc>
        <w:tc>
          <w:tcPr>
            <w:tcW w:w="4838" w:type="dxa"/>
          </w:tcPr>
          <w:p>
            <w:pPr>
              <w:pStyle w:val="TableParagraph"/>
              <w:spacing w:line="130" w:lineRule="exact" w:before="16"/>
              <w:ind w:left="92"/>
              <w:rPr>
                <w:sz w:val="13"/>
              </w:rPr>
            </w:pPr>
            <w:r>
              <w:rPr>
                <w:sz w:val="13"/>
              </w:rPr>
              <w:t>(Step 2b2 divided by Step 2a)</w:t>
            </w:r>
          </w:p>
        </w:tc>
        <w:tc>
          <w:tcPr>
            <w:tcW w:w="2053" w:type="dxa"/>
          </w:tcPr>
          <w:p>
            <w:pPr>
              <w:pStyle w:val="TableParagraph"/>
              <w:spacing w:line="130" w:lineRule="exact" w:before="16"/>
              <w:ind w:left="553"/>
              <w:rPr>
                <w:sz w:val="13"/>
              </w:rPr>
            </w:pPr>
            <w:r>
              <w:rPr>
                <w:sz w:val="13"/>
              </w:rPr>
              <w:t>5.07%</w:t>
            </w:r>
          </w:p>
        </w:tc>
        <w:tc>
          <w:tcPr>
            <w:tcW w:w="1158" w:type="dxa"/>
          </w:tcPr>
          <w:p>
            <w:pPr>
              <w:pStyle w:val="TableParagraph"/>
              <w:spacing w:line="130" w:lineRule="exact" w:before="16"/>
              <w:ind w:right="86"/>
              <w:jc w:val="right"/>
              <w:rPr>
                <w:sz w:val="13"/>
              </w:rPr>
            </w:pPr>
            <w:r>
              <w:rPr>
                <w:sz w:val="13"/>
              </w:rPr>
              <w:t>2.48%</w:t>
            </w:r>
          </w:p>
        </w:tc>
        <w:tc>
          <w:tcPr>
            <w:tcW w:w="1144" w:type="dxa"/>
          </w:tcPr>
          <w:p>
            <w:pPr>
              <w:pStyle w:val="TableParagraph"/>
              <w:rPr>
                <w:rFonts w:ascii="Times New Roman"/>
                <w:sz w:val="10"/>
              </w:rPr>
            </w:pPr>
          </w:p>
        </w:tc>
        <w:tc>
          <w:tcPr>
            <w:tcW w:w="1684" w:type="dxa"/>
          </w:tcPr>
          <w:p>
            <w:pPr>
              <w:pStyle w:val="TableParagraph"/>
              <w:spacing w:line="130" w:lineRule="exact" w:before="16"/>
              <w:ind w:left="548" w:right="726"/>
              <w:jc w:val="center"/>
              <w:rPr>
                <w:sz w:val="13"/>
              </w:rPr>
            </w:pPr>
            <w:r>
              <w:rPr>
                <w:sz w:val="13"/>
              </w:rPr>
              <w:t>3.11%</w:t>
            </w:r>
          </w:p>
        </w:tc>
      </w:tr>
      <w:tr>
        <w:trPr>
          <w:trHeight w:val="363" w:hRule="atLeast"/>
        </w:trPr>
        <w:tc>
          <w:tcPr>
            <w:tcW w:w="5295" w:type="dxa"/>
            <w:gridSpan w:val="2"/>
          </w:tcPr>
          <w:p>
            <w:pPr>
              <w:pStyle w:val="TableParagraph"/>
              <w:spacing w:before="7"/>
              <w:rPr>
                <w:sz w:val="17"/>
              </w:rPr>
            </w:pPr>
          </w:p>
          <w:p>
            <w:pPr>
              <w:pStyle w:val="TableParagraph"/>
              <w:spacing w:line="140" w:lineRule="exact"/>
              <w:ind w:left="50"/>
              <w:rPr>
                <w:sz w:val="13"/>
              </w:rPr>
            </w:pPr>
            <w:r>
              <w:rPr>
                <w:sz w:val="13"/>
              </w:rPr>
              <w:t>Step 3 - Total Change in Population and Funding Level</w:t>
            </w:r>
          </w:p>
        </w:tc>
        <w:tc>
          <w:tcPr>
            <w:tcW w:w="2053" w:type="dxa"/>
          </w:tcPr>
          <w:p>
            <w:pPr>
              <w:pStyle w:val="TableParagraph"/>
              <w:rPr>
                <w:rFonts w:ascii="Times New Roman"/>
                <w:sz w:val="14"/>
              </w:rPr>
            </w:pPr>
          </w:p>
        </w:tc>
        <w:tc>
          <w:tcPr>
            <w:tcW w:w="2302" w:type="dxa"/>
            <w:gridSpan w:val="2"/>
          </w:tcPr>
          <w:p>
            <w:pPr>
              <w:pStyle w:val="TableParagraph"/>
              <w:rPr>
                <w:rFonts w:ascii="Times New Roman"/>
                <w:sz w:val="14"/>
              </w:rPr>
            </w:pPr>
          </w:p>
        </w:tc>
        <w:tc>
          <w:tcPr>
            <w:tcW w:w="1684" w:type="dxa"/>
          </w:tcPr>
          <w:p>
            <w:pPr>
              <w:pStyle w:val="TableParagraph"/>
              <w:rPr>
                <w:rFonts w:ascii="Times New Roman"/>
                <w:sz w:val="14"/>
              </w:rPr>
            </w:pPr>
          </w:p>
        </w:tc>
      </w:tr>
      <w:tr>
        <w:trPr>
          <w:trHeight w:val="259" w:hRule="atLeast"/>
        </w:trPr>
        <w:tc>
          <w:tcPr>
            <w:tcW w:w="5295" w:type="dxa"/>
            <w:gridSpan w:val="2"/>
          </w:tcPr>
          <w:p>
            <w:pPr>
              <w:pStyle w:val="TableParagraph"/>
              <w:spacing w:before="7"/>
              <w:ind w:left="549"/>
              <w:rPr>
                <w:sz w:val="13"/>
              </w:rPr>
            </w:pPr>
            <w:r>
              <w:rPr>
                <w:sz w:val="13"/>
              </w:rPr>
              <w:t>(Step 1d plus Step 2c)</w:t>
            </w:r>
          </w:p>
        </w:tc>
        <w:tc>
          <w:tcPr>
            <w:tcW w:w="2053" w:type="dxa"/>
          </w:tcPr>
          <w:p>
            <w:pPr>
              <w:pStyle w:val="TableParagraph"/>
              <w:spacing w:before="7"/>
              <w:ind w:left="553"/>
              <w:rPr>
                <w:sz w:val="13"/>
              </w:rPr>
            </w:pPr>
            <w:r>
              <w:rPr>
                <w:sz w:val="13"/>
              </w:rPr>
              <w:t>5.07%</w:t>
            </w:r>
          </w:p>
        </w:tc>
        <w:tc>
          <w:tcPr>
            <w:tcW w:w="2302" w:type="dxa"/>
            <w:gridSpan w:val="2"/>
          </w:tcPr>
          <w:p>
            <w:pPr>
              <w:pStyle w:val="TableParagraph"/>
              <w:spacing w:before="7"/>
              <w:ind w:left="694"/>
              <w:rPr>
                <w:sz w:val="13"/>
              </w:rPr>
            </w:pPr>
            <w:r>
              <w:rPr>
                <w:sz w:val="13"/>
              </w:rPr>
              <w:t>2.48%</w:t>
            </w:r>
          </w:p>
        </w:tc>
        <w:tc>
          <w:tcPr>
            <w:tcW w:w="1684" w:type="dxa"/>
          </w:tcPr>
          <w:p>
            <w:pPr>
              <w:pStyle w:val="TableParagraph"/>
              <w:spacing w:before="7"/>
              <w:ind w:left="548" w:right="726"/>
              <w:jc w:val="center"/>
              <w:rPr>
                <w:sz w:val="13"/>
              </w:rPr>
            </w:pPr>
            <w:r>
              <w:rPr>
                <w:sz w:val="13"/>
              </w:rPr>
              <w:t>3.11%</w:t>
            </w:r>
          </w:p>
        </w:tc>
      </w:tr>
      <w:tr>
        <w:trPr>
          <w:trHeight w:val="248" w:hRule="atLeast"/>
        </w:trPr>
        <w:tc>
          <w:tcPr>
            <w:tcW w:w="5295" w:type="dxa"/>
            <w:gridSpan w:val="2"/>
          </w:tcPr>
          <w:p>
            <w:pPr>
              <w:pStyle w:val="TableParagraph"/>
              <w:spacing w:line="130" w:lineRule="exact" w:before="99"/>
              <w:ind w:left="1926"/>
              <w:rPr>
                <w:b/>
                <w:sz w:val="13"/>
              </w:rPr>
            </w:pPr>
            <w:r>
              <w:rPr>
                <w:b/>
                <w:sz w:val="13"/>
              </w:rPr>
              <w:t>LCFF Revenue Standard (Step 3, plus/minus 1%):</w:t>
            </w:r>
          </w:p>
        </w:tc>
        <w:tc>
          <w:tcPr>
            <w:tcW w:w="2053" w:type="dxa"/>
          </w:tcPr>
          <w:p>
            <w:pPr>
              <w:pStyle w:val="TableParagraph"/>
              <w:spacing w:line="130" w:lineRule="exact" w:before="99"/>
              <w:ind w:left="267"/>
              <w:rPr>
                <w:b/>
                <w:sz w:val="13"/>
              </w:rPr>
            </w:pPr>
            <w:r>
              <w:rPr>
                <w:b/>
                <w:sz w:val="13"/>
              </w:rPr>
              <w:t>4.07% to 6.07%</w:t>
            </w:r>
          </w:p>
        </w:tc>
        <w:tc>
          <w:tcPr>
            <w:tcW w:w="2302" w:type="dxa"/>
            <w:gridSpan w:val="2"/>
          </w:tcPr>
          <w:p>
            <w:pPr>
              <w:pStyle w:val="TableParagraph"/>
              <w:spacing w:line="130" w:lineRule="exact" w:before="99"/>
              <w:ind w:left="408"/>
              <w:rPr>
                <w:b/>
                <w:sz w:val="13"/>
              </w:rPr>
            </w:pPr>
            <w:r>
              <w:rPr>
                <w:b/>
                <w:sz w:val="13"/>
              </w:rPr>
              <w:t>1.48% to 3.48%</w:t>
            </w:r>
          </w:p>
        </w:tc>
        <w:tc>
          <w:tcPr>
            <w:tcW w:w="1684" w:type="dxa"/>
          </w:tcPr>
          <w:p>
            <w:pPr>
              <w:pStyle w:val="TableParagraph"/>
              <w:spacing w:line="130" w:lineRule="exact" w:before="99"/>
              <w:ind w:left="278"/>
              <w:rPr>
                <w:b/>
                <w:sz w:val="13"/>
              </w:rPr>
            </w:pPr>
            <w:r>
              <w:rPr>
                <w:b/>
                <w:sz w:val="13"/>
              </w:rPr>
              <w:t>2.11% to 4.11%</w:t>
            </w:r>
          </w:p>
        </w:tc>
      </w:tr>
    </w:tbl>
    <w:p>
      <w:pPr>
        <w:spacing w:after="0" w:line="130" w:lineRule="exact"/>
        <w:rPr>
          <w:sz w:val="13"/>
        </w:rPr>
        <w:sectPr>
          <w:pgSz w:w="12240" w:h="15840"/>
          <w:pgMar w:header="402" w:footer="584" w:top="840" w:bottom="780" w:left="40" w:right="40"/>
        </w:sectPr>
      </w:pPr>
    </w:p>
    <w:p>
      <w:pPr>
        <w:pStyle w:val="BodyText"/>
        <w:rPr>
          <w:sz w:val="20"/>
        </w:rPr>
      </w:pPr>
    </w:p>
    <w:p>
      <w:pPr>
        <w:pStyle w:val="BodyText"/>
        <w:spacing w:before="6"/>
        <w:rPr>
          <w:sz w:val="20"/>
        </w:rPr>
      </w:pPr>
    </w:p>
    <w:p>
      <w:pPr>
        <w:pStyle w:val="BodyText"/>
        <w:spacing w:line="21" w:lineRule="exact"/>
        <w:ind w:left="288"/>
        <w:rPr>
          <w:sz w:val="2"/>
        </w:rPr>
      </w:pPr>
      <w:r>
        <w:rPr>
          <w:sz w:val="2"/>
        </w:rPr>
        <w:drawing>
          <wp:inline distT="0" distB="0" distL="0" distR="0">
            <wp:extent cx="7203952" cy="13716"/>
            <wp:effectExtent l="0" t="0" r="0" b="0"/>
            <wp:docPr id="81" name="image1401.png"/>
            <wp:cNvGraphicFramePr>
              <a:graphicFrameLocks noChangeAspect="1"/>
            </wp:cNvGraphicFramePr>
            <a:graphic>
              <a:graphicData uri="http://schemas.openxmlformats.org/drawingml/2006/picture">
                <pic:pic>
                  <pic:nvPicPr>
                    <pic:cNvPr id="82" name="image1401.png"/>
                    <pic:cNvPicPr/>
                  </pic:nvPicPr>
                  <pic:blipFill>
                    <a:blip r:embed="rId1503" cstate="print"/>
                    <a:stretch>
                      <a:fillRect/>
                    </a:stretch>
                  </pic:blipFill>
                  <pic:spPr>
                    <a:xfrm>
                      <a:off x="0" y="0"/>
                      <a:ext cx="7203952" cy="13716"/>
                    </a:xfrm>
                    <a:prstGeom prst="rect">
                      <a:avLst/>
                    </a:prstGeom>
                  </pic:spPr>
                </pic:pic>
              </a:graphicData>
            </a:graphic>
          </wp:inline>
        </w:drawing>
      </w:r>
      <w:r>
        <w:rPr>
          <w:sz w:val="2"/>
        </w:rPr>
      </w:r>
    </w:p>
    <w:p>
      <w:pPr>
        <w:pStyle w:val="Heading8"/>
        <w:spacing w:before="20"/>
        <w:ind w:left="322"/>
      </w:pPr>
      <w:r>
        <w:rPr>
          <w:w w:val="105"/>
        </w:rPr>
        <w:t>4A2. Alternate LCFF Revenue Standard - Basic Aid</w:t>
      </w:r>
    </w:p>
    <w:p>
      <w:pPr>
        <w:pStyle w:val="BodyText"/>
        <w:spacing w:line="21" w:lineRule="exact"/>
        <w:ind w:left="288"/>
        <w:rPr>
          <w:sz w:val="2"/>
        </w:rPr>
      </w:pPr>
      <w:r>
        <w:rPr>
          <w:sz w:val="2"/>
        </w:rPr>
        <w:pict>
          <v:group style="width:567.25pt;height:1.1pt;mso-position-horizontal-relative:char;mso-position-vertical-relative:line" coordorigin="0,0" coordsize="11345,22">
            <v:shape style="position:absolute;left:0;top:0;width:4438;height:22" type="#_x0000_t75" stroked="false">
              <v:imagedata r:id="rId1509" o:title=""/>
            </v:shape>
            <v:shape style="position:absolute;left:4430;top:0;width:6915;height:22" type="#_x0000_t75" stroked="false">
              <v:imagedata r:id="rId1510" o:title=""/>
            </v:shape>
          </v:group>
        </w:pict>
      </w:r>
      <w:r>
        <w:rPr>
          <w:sz w:val="2"/>
        </w:rPr>
      </w:r>
    </w:p>
    <w:p>
      <w:pPr>
        <w:pStyle w:val="BodyText"/>
        <w:spacing w:before="10"/>
        <w:rPr>
          <w:b/>
          <w:sz w:val="15"/>
        </w:rPr>
      </w:pPr>
    </w:p>
    <w:p>
      <w:pPr>
        <w:pStyle w:val="BodyText"/>
        <w:ind w:left="322"/>
      </w:pPr>
      <w:r>
        <w:rPr/>
        <w:pict>
          <v:group style="position:absolute;margin-left:166.199997pt;margin-top:51.936897pt;width:417.5pt;height:61pt;mso-position-horizontal-relative:page;mso-position-vertical-relative:paragraph;z-index:-313997312" coordorigin="3324,1039" coordsize="8350,1220">
            <v:shape style="position:absolute;left:6333;top:1038;width:996;height:8" type="#_x0000_t75" stroked="false">
              <v:imagedata r:id="rId1589" o:title=""/>
            </v:shape>
            <v:shape style="position:absolute;left:7929;top:1038;width:1832;height:8" type="#_x0000_t75" stroked="false">
              <v:imagedata r:id="rId1590" o:title=""/>
            </v:shape>
            <v:shape style="position:absolute;left:3324;top:1038;width:8350;height:360" type="#_x0000_t75" stroked="false">
              <v:imagedata r:id="rId1591" o:title=""/>
            </v:shape>
            <v:shape style="position:absolute;left:5366;top:1223;width:6308;height:512" type="#_x0000_t75" stroked="false">
              <v:imagedata r:id="rId1592" o:title=""/>
            </v:shape>
            <v:shape style="position:absolute;left:5366;top:1559;width:6308;height:699" type="#_x0000_t75" stroked="false">
              <v:imagedata r:id="rId1593" o:title=""/>
            </v:shape>
            <v:shape style="position:absolute;left:9753;top:2082;width:1920;height:176" type="#_x0000_t75" stroked="false">
              <v:imagedata r:id="rId1594" o:title=""/>
            </v:shape>
            <w10:wrap type="none"/>
          </v:group>
        </w:pict>
      </w:r>
      <w:r>
        <w:rPr/>
        <w:pict>
          <v:group style="position:absolute;margin-left:16.440001pt;margin-top:129.096909pt;width:567.25pt;height:1.1pt;mso-position-horizontal-relative:page;mso-position-vertical-relative:paragraph;z-index:-313996288" coordorigin="329,2582" coordsize="11345,22">
            <v:shape style="position:absolute;left:328;top:2581;width:5045;height:22" type="#_x0000_t75" stroked="false">
              <v:imagedata r:id="rId1546" o:title=""/>
            </v:shape>
            <v:shape style="position:absolute;left:5366;top:2581;width:6308;height:22" type="#_x0000_t75" stroked="false">
              <v:imagedata r:id="rId1547" o:title=""/>
            </v:shape>
            <w10:wrap type="none"/>
          </v:group>
        </w:pict>
      </w:r>
      <w:r>
        <w:rPr/>
        <w:drawing>
          <wp:anchor distT="0" distB="0" distL="0" distR="0" allowOverlap="1" layoutInCell="1" locked="0" behindDoc="1" simplePos="0" relativeHeight="189321216">
            <wp:simplePos x="0" y="0"/>
            <wp:positionH relativeFrom="page">
              <wp:posOffset>208788</wp:posOffset>
            </wp:positionH>
            <wp:positionV relativeFrom="paragraph">
              <wp:posOffset>1514562</wp:posOffset>
            </wp:positionV>
            <wp:extent cx="7204143" cy="13716"/>
            <wp:effectExtent l="0" t="0" r="0" b="0"/>
            <wp:wrapNone/>
            <wp:docPr id="83" name="image1401.png"/>
            <wp:cNvGraphicFramePr>
              <a:graphicFrameLocks noChangeAspect="1"/>
            </wp:cNvGraphicFramePr>
            <a:graphic>
              <a:graphicData uri="http://schemas.openxmlformats.org/drawingml/2006/picture">
                <pic:pic>
                  <pic:nvPicPr>
                    <pic:cNvPr id="84" name="image1401.png"/>
                    <pic:cNvPicPr/>
                  </pic:nvPicPr>
                  <pic:blipFill>
                    <a:blip r:embed="rId1503" cstate="print"/>
                    <a:stretch>
                      <a:fillRect/>
                    </a:stretch>
                  </pic:blipFill>
                  <pic:spPr>
                    <a:xfrm>
                      <a:off x="0" y="0"/>
                      <a:ext cx="7204143" cy="13716"/>
                    </a:xfrm>
                    <a:prstGeom prst="rect">
                      <a:avLst/>
                    </a:prstGeom>
                  </pic:spPr>
                </pic:pic>
              </a:graphicData>
            </a:graphic>
          </wp:anchor>
        </w:drawing>
      </w:r>
      <w:r>
        <w:rPr/>
        <w:pict>
          <v:group style="position:absolute;margin-left:268.320007pt;margin-top:191.496902pt;width:315.4pt;height:26.3pt;mso-position-horizontal-relative:page;mso-position-vertical-relative:paragraph;z-index:-313994240" coordorigin="5366,3830" coordsize="6308,526">
            <v:shape style="position:absolute;left:5366;top:3829;width:1964;height:8" type="#_x0000_t75" stroked="false">
              <v:imagedata r:id="rId1506" o:title=""/>
            </v:shape>
            <v:shape style="position:absolute;left:7322;top:3829;width:2439;height:8" type="#_x0000_t75" stroked="false">
              <v:imagedata r:id="rId1595" o:title=""/>
            </v:shape>
            <v:shape style="position:absolute;left:5366;top:3829;width:6308;height:521" type="#_x0000_t75" stroked="false">
              <v:imagedata r:id="rId1596" o:title=""/>
            </v:shape>
            <v:shape style="position:absolute;left:5366;top:4014;width:4395;height:341" type="#_x0000_t75" stroked="false">
              <v:imagedata r:id="rId1597" o:title=""/>
            </v:shape>
            <v:shape style="position:absolute;left:9753;top:4014;width:1920;height:341" type="#_x0000_t75" stroked="false">
              <v:imagedata r:id="rId1598" o:title=""/>
            </v:shape>
            <w10:wrap type="none"/>
          </v:group>
        </w:pict>
      </w:r>
      <w:r>
        <w:rPr/>
        <w:t>DATA ENTRY: If applicable to your district, input data in the 1st and 2nd Subsequent Year columns for projected local property taxes; all other data are extracted or calculated.</w:t>
      </w:r>
    </w:p>
    <w:p>
      <w:pPr>
        <w:pStyle w:val="BodyText"/>
        <w:rPr>
          <w:sz w:val="20"/>
        </w:rPr>
      </w:pPr>
    </w:p>
    <w:tbl>
      <w:tblPr>
        <w:tblW w:w="0" w:type="auto"/>
        <w:jc w:val="left"/>
        <w:tblInd w:w="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98"/>
        <w:gridCol w:w="2433"/>
        <w:gridCol w:w="1927"/>
        <w:gridCol w:w="2291"/>
        <w:gridCol w:w="1752"/>
      </w:tblGrid>
      <w:tr>
        <w:trPr>
          <w:trHeight w:val="494" w:hRule="atLeast"/>
        </w:trPr>
        <w:tc>
          <w:tcPr>
            <w:tcW w:w="2898" w:type="dxa"/>
          </w:tcPr>
          <w:p>
            <w:pPr>
              <w:pStyle w:val="TableParagraph"/>
              <w:spacing w:line="147" w:lineRule="exact"/>
              <w:ind w:left="33"/>
              <w:rPr>
                <w:b/>
                <w:sz w:val="13"/>
              </w:rPr>
            </w:pPr>
            <w:r>
              <w:rPr>
                <w:b/>
                <w:sz w:val="13"/>
              </w:rPr>
              <w:t>Basic Aid District Projected LCFF Revenue</w:t>
            </w:r>
          </w:p>
        </w:tc>
        <w:tc>
          <w:tcPr>
            <w:tcW w:w="2433" w:type="dxa"/>
          </w:tcPr>
          <w:p>
            <w:pPr>
              <w:pStyle w:val="TableParagraph"/>
              <w:rPr>
                <w:sz w:val="14"/>
              </w:rPr>
            </w:pPr>
          </w:p>
          <w:p>
            <w:pPr>
              <w:pStyle w:val="TableParagraph"/>
              <w:spacing w:before="4"/>
              <w:rPr>
                <w:sz w:val="14"/>
              </w:rPr>
            </w:pPr>
          </w:p>
          <w:p>
            <w:pPr>
              <w:pStyle w:val="TableParagraph"/>
              <w:spacing w:line="149" w:lineRule="exact"/>
              <w:ind w:left="811" w:right="995"/>
              <w:jc w:val="center"/>
              <w:rPr>
                <w:sz w:val="13"/>
              </w:rPr>
            </w:pPr>
            <w:r>
              <w:rPr>
                <w:sz w:val="13"/>
              </w:rPr>
              <w:t>Prior Year</w:t>
            </w:r>
          </w:p>
        </w:tc>
        <w:tc>
          <w:tcPr>
            <w:tcW w:w="1927" w:type="dxa"/>
          </w:tcPr>
          <w:p>
            <w:pPr>
              <w:pStyle w:val="TableParagraph"/>
              <w:rPr>
                <w:sz w:val="14"/>
              </w:rPr>
            </w:pPr>
          </w:p>
          <w:p>
            <w:pPr>
              <w:pStyle w:val="TableParagraph"/>
              <w:spacing w:before="4"/>
              <w:rPr>
                <w:sz w:val="14"/>
              </w:rPr>
            </w:pPr>
          </w:p>
          <w:p>
            <w:pPr>
              <w:pStyle w:val="TableParagraph"/>
              <w:spacing w:line="149" w:lineRule="exact"/>
              <w:ind w:left="303"/>
              <w:rPr>
                <w:sz w:val="13"/>
              </w:rPr>
            </w:pPr>
            <w:r>
              <w:rPr>
                <w:sz w:val="13"/>
              </w:rPr>
              <w:t>Budget Year</w:t>
            </w:r>
          </w:p>
        </w:tc>
        <w:tc>
          <w:tcPr>
            <w:tcW w:w="2291" w:type="dxa"/>
          </w:tcPr>
          <w:p>
            <w:pPr>
              <w:pStyle w:val="TableParagraph"/>
              <w:rPr>
                <w:sz w:val="14"/>
              </w:rPr>
            </w:pPr>
          </w:p>
          <w:p>
            <w:pPr>
              <w:pStyle w:val="TableParagraph"/>
              <w:spacing w:before="4"/>
              <w:rPr>
                <w:sz w:val="14"/>
              </w:rPr>
            </w:pPr>
          </w:p>
          <w:p>
            <w:pPr>
              <w:pStyle w:val="TableParagraph"/>
              <w:spacing w:line="149" w:lineRule="exact"/>
              <w:ind w:left="335"/>
              <w:rPr>
                <w:sz w:val="13"/>
              </w:rPr>
            </w:pPr>
            <w:r>
              <w:rPr>
                <w:sz w:val="13"/>
              </w:rPr>
              <w:t>1st Subsequent Year</w:t>
            </w:r>
          </w:p>
        </w:tc>
        <w:tc>
          <w:tcPr>
            <w:tcW w:w="1752" w:type="dxa"/>
          </w:tcPr>
          <w:p>
            <w:pPr>
              <w:pStyle w:val="TableParagraph"/>
              <w:rPr>
                <w:sz w:val="14"/>
              </w:rPr>
            </w:pPr>
          </w:p>
          <w:p>
            <w:pPr>
              <w:pStyle w:val="TableParagraph"/>
              <w:spacing w:before="4"/>
              <w:rPr>
                <w:sz w:val="14"/>
              </w:rPr>
            </w:pPr>
          </w:p>
          <w:p>
            <w:pPr>
              <w:pStyle w:val="TableParagraph"/>
              <w:spacing w:line="149" w:lineRule="exact"/>
              <w:ind w:left="194"/>
              <w:rPr>
                <w:sz w:val="13"/>
              </w:rPr>
            </w:pPr>
            <w:r>
              <w:rPr>
                <w:sz w:val="13"/>
              </w:rPr>
              <w:t>2nd Subsequent Year</w:t>
            </w:r>
          </w:p>
        </w:tc>
      </w:tr>
      <w:tr>
        <w:trPr>
          <w:trHeight w:val="184" w:hRule="atLeast"/>
        </w:trPr>
        <w:tc>
          <w:tcPr>
            <w:tcW w:w="2898" w:type="dxa"/>
          </w:tcPr>
          <w:p>
            <w:pPr>
              <w:pStyle w:val="TableParagraph"/>
              <w:rPr>
                <w:rFonts w:ascii="Times New Roman"/>
                <w:sz w:val="12"/>
              </w:rPr>
            </w:pPr>
          </w:p>
        </w:tc>
        <w:tc>
          <w:tcPr>
            <w:tcW w:w="2433" w:type="dxa"/>
          </w:tcPr>
          <w:p>
            <w:pPr>
              <w:pStyle w:val="TableParagraph"/>
              <w:spacing w:line="149" w:lineRule="exact" w:before="16"/>
              <w:ind w:left="809" w:right="995"/>
              <w:jc w:val="center"/>
              <w:rPr>
                <w:sz w:val="13"/>
              </w:rPr>
            </w:pPr>
            <w:r>
              <w:rPr>
                <w:sz w:val="13"/>
              </w:rPr>
              <w:t>(2020-21)</w:t>
            </w:r>
          </w:p>
        </w:tc>
        <w:tc>
          <w:tcPr>
            <w:tcW w:w="1927" w:type="dxa"/>
          </w:tcPr>
          <w:p>
            <w:pPr>
              <w:pStyle w:val="TableParagraph"/>
              <w:spacing w:line="149" w:lineRule="exact" w:before="16"/>
              <w:ind w:left="399"/>
              <w:rPr>
                <w:sz w:val="13"/>
              </w:rPr>
            </w:pPr>
            <w:r>
              <w:rPr>
                <w:sz w:val="13"/>
              </w:rPr>
              <w:t>(2021-22)</w:t>
            </w:r>
          </w:p>
        </w:tc>
        <w:tc>
          <w:tcPr>
            <w:tcW w:w="2291" w:type="dxa"/>
          </w:tcPr>
          <w:p>
            <w:pPr>
              <w:pStyle w:val="TableParagraph"/>
              <w:spacing w:line="149" w:lineRule="exact" w:before="16"/>
              <w:ind w:left="666"/>
              <w:rPr>
                <w:sz w:val="13"/>
              </w:rPr>
            </w:pPr>
            <w:r>
              <w:rPr>
                <w:sz w:val="13"/>
              </w:rPr>
              <w:t>(2022-23)</w:t>
            </w:r>
          </w:p>
        </w:tc>
        <w:tc>
          <w:tcPr>
            <w:tcW w:w="1752" w:type="dxa"/>
          </w:tcPr>
          <w:p>
            <w:pPr>
              <w:pStyle w:val="TableParagraph"/>
              <w:spacing w:line="149" w:lineRule="exact" w:before="16"/>
              <w:ind w:left="547"/>
              <w:rPr>
                <w:sz w:val="13"/>
              </w:rPr>
            </w:pPr>
            <w:r>
              <w:rPr>
                <w:sz w:val="13"/>
              </w:rPr>
              <w:t>(2023-24)</w:t>
            </w:r>
          </w:p>
        </w:tc>
      </w:tr>
      <w:tr>
        <w:trPr>
          <w:trHeight w:val="176" w:hRule="atLeast"/>
        </w:trPr>
        <w:tc>
          <w:tcPr>
            <w:tcW w:w="2898" w:type="dxa"/>
          </w:tcPr>
          <w:p>
            <w:pPr>
              <w:pStyle w:val="TableParagraph"/>
              <w:spacing w:line="140" w:lineRule="exact" w:before="16"/>
              <w:ind w:left="33"/>
              <w:rPr>
                <w:sz w:val="13"/>
              </w:rPr>
            </w:pPr>
            <w:r>
              <w:rPr>
                <w:sz w:val="13"/>
              </w:rPr>
              <w:t>Projected Local Property Taxes</w:t>
            </w:r>
          </w:p>
        </w:tc>
        <w:tc>
          <w:tcPr>
            <w:tcW w:w="2433" w:type="dxa"/>
          </w:tcPr>
          <w:p>
            <w:pPr>
              <w:pStyle w:val="TableParagraph"/>
              <w:rPr>
                <w:rFonts w:ascii="Times New Roman"/>
                <w:sz w:val="10"/>
              </w:rPr>
            </w:pPr>
          </w:p>
        </w:tc>
        <w:tc>
          <w:tcPr>
            <w:tcW w:w="1927" w:type="dxa"/>
          </w:tcPr>
          <w:p>
            <w:pPr>
              <w:pStyle w:val="TableParagraph"/>
              <w:rPr>
                <w:rFonts w:ascii="Times New Roman"/>
                <w:sz w:val="10"/>
              </w:rPr>
            </w:pPr>
          </w:p>
        </w:tc>
        <w:tc>
          <w:tcPr>
            <w:tcW w:w="2291" w:type="dxa"/>
          </w:tcPr>
          <w:p>
            <w:pPr>
              <w:pStyle w:val="TableParagraph"/>
              <w:rPr>
                <w:rFonts w:ascii="Times New Roman"/>
                <w:sz w:val="10"/>
              </w:rPr>
            </w:pPr>
          </w:p>
        </w:tc>
        <w:tc>
          <w:tcPr>
            <w:tcW w:w="1752" w:type="dxa"/>
          </w:tcPr>
          <w:p>
            <w:pPr>
              <w:pStyle w:val="TableParagraph"/>
              <w:rPr>
                <w:rFonts w:ascii="Times New Roman"/>
                <w:sz w:val="10"/>
              </w:rPr>
            </w:pPr>
          </w:p>
        </w:tc>
      </w:tr>
      <w:tr>
        <w:trPr>
          <w:trHeight w:val="250" w:hRule="atLeast"/>
        </w:trPr>
        <w:tc>
          <w:tcPr>
            <w:tcW w:w="2898" w:type="dxa"/>
          </w:tcPr>
          <w:p>
            <w:pPr>
              <w:pStyle w:val="TableParagraph"/>
              <w:spacing w:before="7"/>
              <w:ind w:left="33"/>
              <w:rPr>
                <w:sz w:val="13"/>
              </w:rPr>
            </w:pPr>
            <w:r>
              <w:rPr>
                <w:sz w:val="13"/>
              </w:rPr>
              <w:t>(Form 01, Objects 8021 - 8089)</w:t>
            </w:r>
          </w:p>
        </w:tc>
        <w:tc>
          <w:tcPr>
            <w:tcW w:w="2433" w:type="dxa"/>
          </w:tcPr>
          <w:p>
            <w:pPr>
              <w:pStyle w:val="TableParagraph"/>
              <w:spacing w:before="7"/>
              <w:ind w:right="362"/>
              <w:jc w:val="right"/>
              <w:rPr>
                <w:sz w:val="13"/>
              </w:rPr>
            </w:pPr>
            <w:r>
              <w:rPr>
                <w:sz w:val="13"/>
              </w:rPr>
              <w:t>856,110.00</w:t>
            </w:r>
          </w:p>
        </w:tc>
        <w:tc>
          <w:tcPr>
            <w:tcW w:w="1927" w:type="dxa"/>
          </w:tcPr>
          <w:p>
            <w:pPr>
              <w:pStyle w:val="TableParagraph"/>
              <w:spacing w:before="7"/>
              <w:ind w:left="925"/>
              <w:rPr>
                <w:sz w:val="13"/>
              </w:rPr>
            </w:pPr>
            <w:r>
              <w:rPr>
                <w:sz w:val="13"/>
              </w:rPr>
              <w:t>856,110.00</w:t>
            </w:r>
          </w:p>
        </w:tc>
        <w:tc>
          <w:tcPr>
            <w:tcW w:w="2291" w:type="dxa"/>
          </w:tcPr>
          <w:p>
            <w:pPr>
              <w:pStyle w:val="TableParagraph"/>
              <w:spacing w:before="7"/>
              <w:ind w:left="1429"/>
              <w:rPr>
                <w:sz w:val="13"/>
              </w:rPr>
            </w:pPr>
            <w:r>
              <w:rPr>
                <w:sz w:val="13"/>
              </w:rPr>
              <w:t>856,110.00</w:t>
            </w:r>
          </w:p>
        </w:tc>
        <w:tc>
          <w:tcPr>
            <w:tcW w:w="1752" w:type="dxa"/>
          </w:tcPr>
          <w:p>
            <w:pPr>
              <w:pStyle w:val="TableParagraph"/>
              <w:spacing w:before="7"/>
              <w:ind w:left="1051"/>
              <w:rPr>
                <w:sz w:val="13"/>
              </w:rPr>
            </w:pPr>
            <w:r>
              <w:rPr>
                <w:sz w:val="13"/>
              </w:rPr>
              <w:t>856,110.00</w:t>
            </w:r>
          </w:p>
        </w:tc>
      </w:tr>
      <w:tr>
        <w:trPr>
          <w:trHeight w:val="399" w:hRule="atLeast"/>
        </w:trPr>
        <w:tc>
          <w:tcPr>
            <w:tcW w:w="2898" w:type="dxa"/>
          </w:tcPr>
          <w:p>
            <w:pPr>
              <w:pStyle w:val="TableParagraph"/>
              <w:spacing w:before="93"/>
              <w:ind w:left="33"/>
              <w:rPr>
                <w:sz w:val="13"/>
              </w:rPr>
            </w:pPr>
            <w:r>
              <w:rPr>
                <w:sz w:val="13"/>
              </w:rPr>
              <w:t>Percent Change from Previous Year</w:t>
            </w:r>
          </w:p>
        </w:tc>
        <w:tc>
          <w:tcPr>
            <w:tcW w:w="2433" w:type="dxa"/>
          </w:tcPr>
          <w:p>
            <w:pPr>
              <w:pStyle w:val="TableParagraph"/>
              <w:rPr>
                <w:sz w:val="14"/>
              </w:rPr>
            </w:pPr>
          </w:p>
          <w:p>
            <w:pPr>
              <w:pStyle w:val="TableParagraph"/>
              <w:spacing w:line="133" w:lineRule="exact" w:before="85"/>
              <w:ind w:right="304"/>
              <w:jc w:val="right"/>
              <w:rPr>
                <w:b/>
                <w:sz w:val="13"/>
              </w:rPr>
            </w:pPr>
            <w:r>
              <w:rPr>
                <w:b/>
                <w:sz w:val="13"/>
              </w:rPr>
              <w:t>Basic Aid Standard</w:t>
            </w:r>
          </w:p>
        </w:tc>
        <w:tc>
          <w:tcPr>
            <w:tcW w:w="1927" w:type="dxa"/>
          </w:tcPr>
          <w:p>
            <w:pPr>
              <w:pStyle w:val="TableParagraph"/>
              <w:spacing w:before="90"/>
              <w:ind w:left="577"/>
              <w:rPr>
                <w:b/>
                <w:sz w:val="13"/>
              </w:rPr>
            </w:pPr>
            <w:r>
              <w:rPr>
                <w:b/>
                <w:sz w:val="13"/>
              </w:rPr>
              <w:t>N/A</w:t>
            </w:r>
          </w:p>
        </w:tc>
        <w:tc>
          <w:tcPr>
            <w:tcW w:w="2291" w:type="dxa"/>
          </w:tcPr>
          <w:p>
            <w:pPr>
              <w:pStyle w:val="TableParagraph"/>
              <w:spacing w:before="90"/>
              <w:ind w:left="752" w:right="1125"/>
              <w:jc w:val="center"/>
              <w:rPr>
                <w:b/>
                <w:sz w:val="13"/>
              </w:rPr>
            </w:pPr>
            <w:r>
              <w:rPr>
                <w:b/>
                <w:sz w:val="13"/>
              </w:rPr>
              <w:t>N/A</w:t>
            </w:r>
          </w:p>
        </w:tc>
        <w:tc>
          <w:tcPr>
            <w:tcW w:w="1752" w:type="dxa"/>
          </w:tcPr>
          <w:p>
            <w:pPr>
              <w:pStyle w:val="TableParagraph"/>
              <w:spacing w:before="90"/>
              <w:ind w:left="708" w:right="780"/>
              <w:jc w:val="center"/>
              <w:rPr>
                <w:b/>
                <w:sz w:val="13"/>
              </w:rPr>
            </w:pPr>
            <w:r>
              <w:rPr>
                <w:b/>
                <w:sz w:val="13"/>
              </w:rPr>
              <w:t>N/A</w:t>
            </w:r>
          </w:p>
        </w:tc>
      </w:tr>
      <w:tr>
        <w:trPr>
          <w:trHeight w:val="183" w:hRule="atLeast"/>
        </w:trPr>
        <w:tc>
          <w:tcPr>
            <w:tcW w:w="2898" w:type="dxa"/>
          </w:tcPr>
          <w:p>
            <w:pPr>
              <w:pStyle w:val="TableParagraph"/>
              <w:rPr>
                <w:rFonts w:ascii="Times New Roman"/>
                <w:sz w:val="12"/>
              </w:rPr>
            </w:pPr>
          </w:p>
        </w:tc>
        <w:tc>
          <w:tcPr>
            <w:tcW w:w="2433" w:type="dxa"/>
          </w:tcPr>
          <w:p>
            <w:pPr>
              <w:pStyle w:val="TableParagraph"/>
              <w:ind w:right="302"/>
              <w:jc w:val="right"/>
              <w:rPr>
                <w:b/>
                <w:sz w:val="13"/>
              </w:rPr>
            </w:pPr>
            <w:r>
              <w:rPr>
                <w:b/>
                <w:sz w:val="13"/>
              </w:rPr>
              <w:t>(percent change from</w:t>
            </w:r>
          </w:p>
        </w:tc>
        <w:tc>
          <w:tcPr>
            <w:tcW w:w="1927" w:type="dxa"/>
          </w:tcPr>
          <w:p>
            <w:pPr>
              <w:pStyle w:val="TableParagraph"/>
              <w:rPr>
                <w:rFonts w:ascii="Times New Roman"/>
                <w:sz w:val="12"/>
              </w:rPr>
            </w:pPr>
          </w:p>
        </w:tc>
        <w:tc>
          <w:tcPr>
            <w:tcW w:w="2291" w:type="dxa"/>
          </w:tcPr>
          <w:p>
            <w:pPr>
              <w:pStyle w:val="TableParagraph"/>
              <w:rPr>
                <w:rFonts w:ascii="Times New Roman"/>
                <w:sz w:val="12"/>
              </w:rPr>
            </w:pPr>
          </w:p>
        </w:tc>
        <w:tc>
          <w:tcPr>
            <w:tcW w:w="1752" w:type="dxa"/>
          </w:tcPr>
          <w:p>
            <w:pPr>
              <w:pStyle w:val="TableParagraph"/>
              <w:rPr>
                <w:rFonts w:ascii="Times New Roman"/>
                <w:sz w:val="12"/>
              </w:rPr>
            </w:pPr>
          </w:p>
        </w:tc>
      </w:tr>
      <w:tr>
        <w:trPr>
          <w:trHeight w:val="180" w:hRule="atLeast"/>
        </w:trPr>
        <w:tc>
          <w:tcPr>
            <w:tcW w:w="2898" w:type="dxa"/>
          </w:tcPr>
          <w:p>
            <w:pPr>
              <w:pStyle w:val="TableParagraph"/>
              <w:rPr>
                <w:rFonts w:ascii="Times New Roman"/>
                <w:sz w:val="12"/>
              </w:rPr>
            </w:pPr>
          </w:p>
        </w:tc>
        <w:tc>
          <w:tcPr>
            <w:tcW w:w="2433" w:type="dxa"/>
          </w:tcPr>
          <w:p>
            <w:pPr>
              <w:pStyle w:val="TableParagraph"/>
              <w:spacing w:line="130" w:lineRule="exact" w:before="30"/>
              <w:ind w:right="317"/>
              <w:jc w:val="right"/>
              <w:rPr>
                <w:b/>
                <w:sz w:val="13"/>
              </w:rPr>
            </w:pPr>
            <w:r>
              <w:rPr>
                <w:b/>
                <w:sz w:val="13"/>
              </w:rPr>
              <w:t>previous year, plus/minus 1%):</w:t>
            </w:r>
          </w:p>
        </w:tc>
        <w:tc>
          <w:tcPr>
            <w:tcW w:w="1927" w:type="dxa"/>
          </w:tcPr>
          <w:p>
            <w:pPr>
              <w:pStyle w:val="TableParagraph"/>
              <w:spacing w:line="130" w:lineRule="exact" w:before="30"/>
              <w:ind w:left="577"/>
              <w:rPr>
                <w:b/>
                <w:sz w:val="13"/>
              </w:rPr>
            </w:pPr>
            <w:r>
              <w:rPr>
                <w:b/>
                <w:sz w:val="13"/>
              </w:rPr>
              <w:t>N/A</w:t>
            </w:r>
          </w:p>
        </w:tc>
        <w:tc>
          <w:tcPr>
            <w:tcW w:w="2291" w:type="dxa"/>
          </w:tcPr>
          <w:p>
            <w:pPr>
              <w:pStyle w:val="TableParagraph"/>
              <w:spacing w:line="130" w:lineRule="exact" w:before="30"/>
              <w:ind w:left="752" w:right="1125"/>
              <w:jc w:val="center"/>
              <w:rPr>
                <w:b/>
                <w:sz w:val="13"/>
              </w:rPr>
            </w:pPr>
            <w:r>
              <w:rPr>
                <w:b/>
                <w:sz w:val="13"/>
              </w:rPr>
              <w:t>N/A</w:t>
            </w:r>
          </w:p>
        </w:tc>
        <w:tc>
          <w:tcPr>
            <w:tcW w:w="1752" w:type="dxa"/>
          </w:tcPr>
          <w:p>
            <w:pPr>
              <w:pStyle w:val="TableParagraph"/>
              <w:spacing w:line="130" w:lineRule="exact" w:before="30"/>
              <w:ind w:left="708" w:right="780"/>
              <w:jc w:val="center"/>
              <w:rPr>
                <w:b/>
                <w:sz w:val="13"/>
              </w:rPr>
            </w:pPr>
            <w:r>
              <w:rPr>
                <w:b/>
                <w:sz w:val="13"/>
              </w:rPr>
              <w:t>N/A</w:t>
            </w:r>
          </w:p>
        </w:tc>
      </w:tr>
      <w:tr>
        <w:trPr>
          <w:trHeight w:val="448" w:hRule="atLeast"/>
        </w:trPr>
        <w:tc>
          <w:tcPr>
            <w:tcW w:w="5331" w:type="dxa"/>
            <w:gridSpan w:val="2"/>
          </w:tcPr>
          <w:p>
            <w:pPr>
              <w:pStyle w:val="TableParagraph"/>
              <w:spacing w:before="4"/>
              <w:rPr>
                <w:sz w:val="15"/>
              </w:rPr>
            </w:pPr>
          </w:p>
          <w:p>
            <w:pPr>
              <w:pStyle w:val="TableParagraph"/>
              <w:ind w:left="33"/>
              <w:rPr>
                <w:b/>
                <w:sz w:val="14"/>
              </w:rPr>
            </w:pPr>
            <w:r>
              <w:rPr>
                <w:b/>
                <w:w w:val="105"/>
                <w:sz w:val="14"/>
              </w:rPr>
              <w:t>4A3. Alternate LCFF Revenue Standard - Necessary Small School</w:t>
            </w:r>
          </w:p>
        </w:tc>
        <w:tc>
          <w:tcPr>
            <w:tcW w:w="1927" w:type="dxa"/>
          </w:tcPr>
          <w:p>
            <w:pPr>
              <w:pStyle w:val="TableParagraph"/>
              <w:rPr>
                <w:rFonts w:ascii="Times New Roman"/>
                <w:sz w:val="12"/>
              </w:rPr>
            </w:pPr>
          </w:p>
        </w:tc>
        <w:tc>
          <w:tcPr>
            <w:tcW w:w="2291" w:type="dxa"/>
          </w:tcPr>
          <w:p>
            <w:pPr>
              <w:pStyle w:val="TableParagraph"/>
              <w:rPr>
                <w:rFonts w:ascii="Times New Roman"/>
                <w:sz w:val="12"/>
              </w:rPr>
            </w:pPr>
          </w:p>
        </w:tc>
        <w:tc>
          <w:tcPr>
            <w:tcW w:w="1752" w:type="dxa"/>
          </w:tcPr>
          <w:p>
            <w:pPr>
              <w:pStyle w:val="TableParagraph"/>
              <w:rPr>
                <w:rFonts w:ascii="Times New Roman"/>
                <w:sz w:val="12"/>
              </w:rPr>
            </w:pPr>
          </w:p>
        </w:tc>
      </w:tr>
      <w:tr>
        <w:trPr>
          <w:trHeight w:val="371" w:hRule="atLeast"/>
        </w:trPr>
        <w:tc>
          <w:tcPr>
            <w:tcW w:w="5331" w:type="dxa"/>
            <w:gridSpan w:val="2"/>
          </w:tcPr>
          <w:p>
            <w:pPr>
              <w:pStyle w:val="TableParagraph"/>
              <w:spacing w:before="107"/>
              <w:ind w:left="33"/>
              <w:rPr>
                <w:sz w:val="13"/>
              </w:rPr>
            </w:pPr>
            <w:r>
              <w:rPr>
                <w:sz w:val="13"/>
              </w:rPr>
              <w:t>DATA ENTRY: All data are extracted or calculated.</w:t>
            </w:r>
          </w:p>
        </w:tc>
        <w:tc>
          <w:tcPr>
            <w:tcW w:w="1927" w:type="dxa"/>
          </w:tcPr>
          <w:p>
            <w:pPr>
              <w:pStyle w:val="TableParagraph"/>
              <w:rPr>
                <w:rFonts w:ascii="Times New Roman"/>
                <w:sz w:val="12"/>
              </w:rPr>
            </w:pPr>
          </w:p>
        </w:tc>
        <w:tc>
          <w:tcPr>
            <w:tcW w:w="2291" w:type="dxa"/>
          </w:tcPr>
          <w:p>
            <w:pPr>
              <w:pStyle w:val="TableParagraph"/>
              <w:rPr>
                <w:rFonts w:ascii="Times New Roman"/>
                <w:sz w:val="12"/>
              </w:rPr>
            </w:pPr>
          </w:p>
        </w:tc>
        <w:tc>
          <w:tcPr>
            <w:tcW w:w="1752" w:type="dxa"/>
          </w:tcPr>
          <w:p>
            <w:pPr>
              <w:pStyle w:val="TableParagraph"/>
              <w:rPr>
                <w:rFonts w:ascii="Times New Roman"/>
                <w:sz w:val="12"/>
              </w:rPr>
            </w:pPr>
          </w:p>
        </w:tc>
      </w:tr>
      <w:tr>
        <w:trPr>
          <w:trHeight w:val="345" w:hRule="atLeast"/>
        </w:trPr>
        <w:tc>
          <w:tcPr>
            <w:tcW w:w="5331" w:type="dxa"/>
            <w:gridSpan w:val="2"/>
          </w:tcPr>
          <w:p>
            <w:pPr>
              <w:pStyle w:val="TableParagraph"/>
              <w:spacing w:before="112"/>
              <w:ind w:left="33"/>
              <w:rPr>
                <w:b/>
                <w:sz w:val="13"/>
              </w:rPr>
            </w:pPr>
            <w:r>
              <w:rPr>
                <w:b/>
                <w:sz w:val="13"/>
              </w:rPr>
              <w:t>Necessary Small School District Projected LCFF Revenue</w:t>
            </w:r>
          </w:p>
        </w:tc>
        <w:tc>
          <w:tcPr>
            <w:tcW w:w="1927" w:type="dxa"/>
          </w:tcPr>
          <w:p>
            <w:pPr>
              <w:pStyle w:val="TableParagraph"/>
              <w:rPr>
                <w:rFonts w:ascii="Times New Roman"/>
                <w:sz w:val="12"/>
              </w:rPr>
            </w:pPr>
          </w:p>
        </w:tc>
        <w:tc>
          <w:tcPr>
            <w:tcW w:w="2291" w:type="dxa"/>
          </w:tcPr>
          <w:p>
            <w:pPr>
              <w:pStyle w:val="TableParagraph"/>
              <w:rPr>
                <w:rFonts w:ascii="Times New Roman"/>
                <w:sz w:val="12"/>
              </w:rPr>
            </w:pPr>
          </w:p>
        </w:tc>
        <w:tc>
          <w:tcPr>
            <w:tcW w:w="1752" w:type="dxa"/>
          </w:tcPr>
          <w:p>
            <w:pPr>
              <w:pStyle w:val="TableParagraph"/>
              <w:rPr>
                <w:rFonts w:ascii="Times New Roman"/>
                <w:sz w:val="12"/>
              </w:rPr>
            </w:pPr>
          </w:p>
        </w:tc>
      </w:tr>
      <w:tr>
        <w:trPr>
          <w:trHeight w:val="249" w:hRule="atLeast"/>
        </w:trPr>
        <w:tc>
          <w:tcPr>
            <w:tcW w:w="5331" w:type="dxa"/>
            <w:gridSpan w:val="2"/>
          </w:tcPr>
          <w:p>
            <w:pPr>
              <w:pStyle w:val="TableParagraph"/>
              <w:rPr>
                <w:rFonts w:ascii="Times New Roman"/>
                <w:sz w:val="12"/>
              </w:rPr>
            </w:pPr>
          </w:p>
        </w:tc>
        <w:tc>
          <w:tcPr>
            <w:tcW w:w="1927" w:type="dxa"/>
          </w:tcPr>
          <w:p>
            <w:pPr>
              <w:pStyle w:val="TableParagraph"/>
              <w:spacing w:line="149" w:lineRule="exact" w:before="81"/>
              <w:ind w:left="303"/>
              <w:rPr>
                <w:sz w:val="13"/>
              </w:rPr>
            </w:pPr>
            <w:r>
              <w:rPr>
                <w:sz w:val="13"/>
              </w:rPr>
              <w:t>Budget Year</w:t>
            </w:r>
          </w:p>
        </w:tc>
        <w:tc>
          <w:tcPr>
            <w:tcW w:w="2291" w:type="dxa"/>
          </w:tcPr>
          <w:p>
            <w:pPr>
              <w:pStyle w:val="TableParagraph"/>
              <w:spacing w:line="149" w:lineRule="exact" w:before="81"/>
              <w:ind w:left="335"/>
              <w:rPr>
                <w:sz w:val="13"/>
              </w:rPr>
            </w:pPr>
            <w:r>
              <w:rPr>
                <w:sz w:val="13"/>
              </w:rPr>
              <w:t>1st Subsequent Year</w:t>
            </w:r>
          </w:p>
        </w:tc>
        <w:tc>
          <w:tcPr>
            <w:tcW w:w="1752" w:type="dxa"/>
          </w:tcPr>
          <w:p>
            <w:pPr>
              <w:pStyle w:val="TableParagraph"/>
              <w:spacing w:line="149" w:lineRule="exact" w:before="81"/>
              <w:ind w:left="194"/>
              <w:rPr>
                <w:sz w:val="13"/>
              </w:rPr>
            </w:pPr>
            <w:r>
              <w:rPr>
                <w:sz w:val="13"/>
              </w:rPr>
              <w:t>2nd Subsequent Year</w:t>
            </w:r>
          </w:p>
        </w:tc>
      </w:tr>
      <w:tr>
        <w:trPr>
          <w:trHeight w:val="183" w:hRule="atLeast"/>
        </w:trPr>
        <w:tc>
          <w:tcPr>
            <w:tcW w:w="5331" w:type="dxa"/>
            <w:gridSpan w:val="2"/>
          </w:tcPr>
          <w:p>
            <w:pPr>
              <w:pStyle w:val="TableParagraph"/>
              <w:rPr>
                <w:rFonts w:ascii="Times New Roman"/>
                <w:sz w:val="12"/>
              </w:rPr>
            </w:pPr>
          </w:p>
        </w:tc>
        <w:tc>
          <w:tcPr>
            <w:tcW w:w="1927" w:type="dxa"/>
          </w:tcPr>
          <w:p>
            <w:pPr>
              <w:pStyle w:val="TableParagraph"/>
              <w:spacing w:line="147" w:lineRule="exact" w:before="16"/>
              <w:ind w:left="399"/>
              <w:rPr>
                <w:sz w:val="13"/>
              </w:rPr>
            </w:pPr>
            <w:r>
              <w:rPr>
                <w:sz w:val="13"/>
              </w:rPr>
              <w:t>(2021-22)</w:t>
            </w:r>
          </w:p>
        </w:tc>
        <w:tc>
          <w:tcPr>
            <w:tcW w:w="2291" w:type="dxa"/>
          </w:tcPr>
          <w:p>
            <w:pPr>
              <w:pStyle w:val="TableParagraph"/>
              <w:spacing w:line="147" w:lineRule="exact" w:before="16"/>
              <w:ind w:left="666"/>
              <w:rPr>
                <w:sz w:val="13"/>
              </w:rPr>
            </w:pPr>
            <w:r>
              <w:rPr>
                <w:sz w:val="13"/>
              </w:rPr>
              <w:t>(2022-23)</w:t>
            </w:r>
          </w:p>
        </w:tc>
        <w:tc>
          <w:tcPr>
            <w:tcW w:w="1752" w:type="dxa"/>
          </w:tcPr>
          <w:p>
            <w:pPr>
              <w:pStyle w:val="TableParagraph"/>
              <w:spacing w:line="147" w:lineRule="exact" w:before="16"/>
              <w:ind w:left="547"/>
              <w:rPr>
                <w:sz w:val="13"/>
              </w:rPr>
            </w:pPr>
            <w:r>
              <w:rPr>
                <w:sz w:val="13"/>
              </w:rPr>
              <w:t>(2023-24)</w:t>
            </w:r>
          </w:p>
        </w:tc>
      </w:tr>
      <w:tr>
        <w:trPr>
          <w:trHeight w:val="257" w:hRule="atLeast"/>
        </w:trPr>
        <w:tc>
          <w:tcPr>
            <w:tcW w:w="5331" w:type="dxa"/>
            <w:gridSpan w:val="2"/>
          </w:tcPr>
          <w:p>
            <w:pPr>
              <w:pStyle w:val="TableParagraph"/>
              <w:spacing w:before="15"/>
              <w:ind w:left="2867"/>
              <w:rPr>
                <w:b/>
                <w:sz w:val="13"/>
              </w:rPr>
            </w:pPr>
            <w:r>
              <w:rPr>
                <w:b/>
                <w:sz w:val="13"/>
              </w:rPr>
              <w:t>Necessary Small School Standard</w:t>
            </w:r>
          </w:p>
        </w:tc>
        <w:tc>
          <w:tcPr>
            <w:tcW w:w="1927" w:type="dxa"/>
          </w:tcPr>
          <w:p>
            <w:pPr>
              <w:pStyle w:val="TableParagraph"/>
              <w:rPr>
                <w:rFonts w:ascii="Times New Roman"/>
                <w:sz w:val="12"/>
              </w:rPr>
            </w:pPr>
          </w:p>
        </w:tc>
        <w:tc>
          <w:tcPr>
            <w:tcW w:w="2291" w:type="dxa"/>
          </w:tcPr>
          <w:p>
            <w:pPr>
              <w:pStyle w:val="TableParagraph"/>
              <w:rPr>
                <w:rFonts w:ascii="Times New Roman"/>
                <w:sz w:val="12"/>
              </w:rPr>
            </w:pPr>
          </w:p>
        </w:tc>
        <w:tc>
          <w:tcPr>
            <w:tcW w:w="1752" w:type="dxa"/>
          </w:tcPr>
          <w:p>
            <w:pPr>
              <w:pStyle w:val="TableParagraph"/>
              <w:rPr>
                <w:rFonts w:ascii="Times New Roman"/>
                <w:sz w:val="12"/>
              </w:rPr>
            </w:pPr>
          </w:p>
        </w:tc>
      </w:tr>
      <w:tr>
        <w:trPr>
          <w:trHeight w:val="240" w:hRule="atLeast"/>
        </w:trPr>
        <w:tc>
          <w:tcPr>
            <w:tcW w:w="5331" w:type="dxa"/>
            <w:gridSpan w:val="2"/>
          </w:tcPr>
          <w:p>
            <w:pPr>
              <w:pStyle w:val="TableParagraph"/>
              <w:spacing w:line="130" w:lineRule="exact" w:before="90"/>
              <w:ind w:left="3006"/>
              <w:rPr>
                <w:b/>
                <w:sz w:val="13"/>
              </w:rPr>
            </w:pPr>
            <w:r>
              <w:rPr>
                <w:b/>
                <w:sz w:val="13"/>
              </w:rPr>
              <w:t>(COLA Step 2c, plus/minus 1%):</w:t>
            </w:r>
          </w:p>
        </w:tc>
        <w:tc>
          <w:tcPr>
            <w:tcW w:w="1927" w:type="dxa"/>
          </w:tcPr>
          <w:p>
            <w:pPr>
              <w:pStyle w:val="TableParagraph"/>
              <w:spacing w:line="130" w:lineRule="exact" w:before="90"/>
              <w:ind w:left="577"/>
              <w:rPr>
                <w:b/>
                <w:sz w:val="13"/>
              </w:rPr>
            </w:pPr>
            <w:r>
              <w:rPr>
                <w:b/>
                <w:sz w:val="13"/>
              </w:rPr>
              <w:t>N/A</w:t>
            </w:r>
          </w:p>
        </w:tc>
        <w:tc>
          <w:tcPr>
            <w:tcW w:w="2291" w:type="dxa"/>
          </w:tcPr>
          <w:p>
            <w:pPr>
              <w:pStyle w:val="TableParagraph"/>
              <w:spacing w:line="130" w:lineRule="exact" w:before="90"/>
              <w:ind w:left="752" w:right="1125"/>
              <w:jc w:val="center"/>
              <w:rPr>
                <w:b/>
                <w:sz w:val="13"/>
              </w:rPr>
            </w:pPr>
            <w:r>
              <w:rPr>
                <w:b/>
                <w:sz w:val="13"/>
              </w:rPr>
              <w:t>N/A</w:t>
            </w:r>
          </w:p>
        </w:tc>
        <w:tc>
          <w:tcPr>
            <w:tcW w:w="1752" w:type="dxa"/>
          </w:tcPr>
          <w:p>
            <w:pPr>
              <w:pStyle w:val="TableParagraph"/>
              <w:spacing w:line="130" w:lineRule="exact" w:before="90"/>
              <w:ind w:left="708" w:right="780"/>
              <w:jc w:val="center"/>
              <w:rPr>
                <w:b/>
                <w:sz w:val="13"/>
              </w:rPr>
            </w:pPr>
            <w:r>
              <w:rPr>
                <w:b/>
                <w:sz w:val="13"/>
              </w:rPr>
              <w:t>N/A</w:t>
            </w:r>
          </w:p>
        </w:tc>
      </w:tr>
    </w:tbl>
    <w:p>
      <w:pPr>
        <w:pStyle w:val="BodyText"/>
        <w:spacing w:before="9"/>
        <w:rPr>
          <w:sz w:val="5"/>
        </w:rPr>
      </w:pPr>
      <w:r>
        <w:rPr/>
        <w:drawing>
          <wp:anchor distT="0" distB="0" distL="0" distR="0" allowOverlap="1" layoutInCell="1" locked="0" behindDoc="0" simplePos="0" relativeHeight="691">
            <wp:simplePos x="0" y="0"/>
            <wp:positionH relativeFrom="page">
              <wp:posOffset>208788</wp:posOffset>
            </wp:positionH>
            <wp:positionV relativeFrom="paragraph">
              <wp:posOffset>67615</wp:posOffset>
            </wp:positionV>
            <wp:extent cx="7203987" cy="13715"/>
            <wp:effectExtent l="0" t="0" r="0" b="0"/>
            <wp:wrapTopAndBottom/>
            <wp:docPr id="85" name="image1401.png"/>
            <wp:cNvGraphicFramePr>
              <a:graphicFrameLocks noChangeAspect="1"/>
            </wp:cNvGraphicFramePr>
            <a:graphic>
              <a:graphicData uri="http://schemas.openxmlformats.org/drawingml/2006/picture">
                <pic:pic>
                  <pic:nvPicPr>
                    <pic:cNvPr id="86" name="image1401.png"/>
                    <pic:cNvPicPr/>
                  </pic:nvPicPr>
                  <pic:blipFill>
                    <a:blip r:embed="rId1503" cstate="print"/>
                    <a:stretch>
                      <a:fillRect/>
                    </a:stretch>
                  </pic:blipFill>
                  <pic:spPr>
                    <a:xfrm>
                      <a:off x="0" y="0"/>
                      <a:ext cx="7203987" cy="13715"/>
                    </a:xfrm>
                    <a:prstGeom prst="rect">
                      <a:avLst/>
                    </a:prstGeom>
                  </pic:spPr>
                </pic:pic>
              </a:graphicData>
            </a:graphic>
          </wp:anchor>
        </w:drawing>
      </w:r>
    </w:p>
    <w:p>
      <w:pPr>
        <w:pStyle w:val="Heading8"/>
        <w:spacing w:before="12"/>
        <w:ind w:left="322"/>
      </w:pPr>
      <w:r>
        <w:rPr>
          <w:w w:val="105"/>
        </w:rPr>
        <w:t>4B. Calculating the District's Projected Change in LCFF Revenue</w:t>
      </w:r>
    </w:p>
    <w:p>
      <w:pPr>
        <w:pStyle w:val="BodyText"/>
        <w:spacing w:line="21" w:lineRule="exact"/>
        <w:ind w:left="288"/>
        <w:rPr>
          <w:sz w:val="2"/>
        </w:rPr>
      </w:pPr>
      <w:r>
        <w:rPr>
          <w:sz w:val="2"/>
        </w:rPr>
        <w:pict>
          <v:group style="width:567.25pt;height:1.1pt;mso-position-horizontal-relative:char;mso-position-vertical-relative:line" coordorigin="0,0" coordsize="11345,22">
            <v:shape style="position:absolute;left:0;top:0;width:5045;height:22" type="#_x0000_t75" stroked="false">
              <v:imagedata r:id="rId1546" o:title=""/>
            </v:shape>
            <v:shape style="position:absolute;left:5037;top:0;width:6308;height:22" type="#_x0000_t75" stroked="false">
              <v:imagedata r:id="rId1547" o:title=""/>
            </v:shape>
          </v:group>
        </w:pict>
      </w:r>
      <w:r>
        <w:rPr>
          <w:sz w:val="2"/>
        </w:rPr>
      </w:r>
    </w:p>
    <w:p>
      <w:pPr>
        <w:pStyle w:val="BodyText"/>
        <w:spacing w:before="2"/>
        <w:rPr>
          <w:b/>
          <w:sz w:val="12"/>
        </w:rPr>
      </w:pPr>
    </w:p>
    <w:p>
      <w:pPr>
        <w:pStyle w:val="BodyText"/>
        <w:spacing w:before="98"/>
        <w:ind w:left="322"/>
      </w:pPr>
      <w:r>
        <w:rPr/>
        <w:pict>
          <v:group style="position:absolute;margin-left:166.199997pt;margin-top:40.036942pt;width:417.5pt;height:46.6pt;mso-position-horizontal-relative:page;mso-position-vertical-relative:paragraph;z-index:-313993216" coordorigin="3324,801" coordsize="8350,932">
            <v:shape style="position:absolute;left:6333;top:800;width:996;height:8" type="#_x0000_t75" stroked="false">
              <v:imagedata r:id="rId1589" o:title=""/>
            </v:shape>
            <v:shape style="position:absolute;left:7929;top:800;width:1832;height:8" type="#_x0000_t75" stroked="false">
              <v:imagedata r:id="rId1590" o:title=""/>
            </v:shape>
            <v:shape style="position:absolute;left:3324;top:800;width:8350;height:377" type="#_x0000_t75" stroked="false">
              <v:imagedata r:id="rId1599" o:title=""/>
            </v:shape>
            <v:shape style="position:absolute;left:5366;top:985;width:6308;height:562" type="#_x0000_t75" stroked="false">
              <v:imagedata r:id="rId1600" o:title=""/>
            </v:shape>
            <v:shape style="position:absolute;left:5366;top:1539;width:1964;height:192" type="#_x0000_t75" stroked="false">
              <v:imagedata r:id="rId1601" o:title=""/>
            </v:shape>
            <v:shape style="position:absolute;left:7322;top:1355;width:4352;height:377" type="#_x0000_t75" stroked="false">
              <v:imagedata r:id="rId1602" o:title=""/>
            </v:shape>
            <v:shape style="position:absolute;left:9753;top:1539;width:1920;height:192" type="#_x0000_t75" stroked="false">
              <v:imagedata r:id="rId1603" o:title=""/>
            </v:shape>
            <w10:wrap type="none"/>
          </v:group>
        </w:pict>
      </w:r>
      <w:r>
        <w:rPr/>
        <w:t>DATA ENTRY: Enter data in the 1st and 2nd Subsequent Year columns for LCFF Revenue; all other data are extracted or calculated.</w:t>
      </w:r>
    </w:p>
    <w:p>
      <w:pPr>
        <w:pStyle w:val="BodyText"/>
        <w:spacing w:before="4"/>
        <w:rPr>
          <w:sz w:val="19"/>
        </w:rPr>
      </w:pPr>
    </w:p>
    <w:tbl>
      <w:tblPr>
        <w:tblW w:w="0" w:type="auto"/>
        <w:jc w:val="left"/>
        <w:tblInd w:w="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137"/>
        <w:gridCol w:w="2141"/>
        <w:gridCol w:w="1979"/>
        <w:gridCol w:w="2291"/>
        <w:gridCol w:w="1751"/>
      </w:tblGrid>
      <w:tr>
        <w:trPr>
          <w:trHeight w:val="165" w:hRule="atLeast"/>
        </w:trPr>
        <w:tc>
          <w:tcPr>
            <w:tcW w:w="3137" w:type="dxa"/>
            <w:vMerge w:val="restart"/>
          </w:tcPr>
          <w:p>
            <w:pPr>
              <w:pStyle w:val="TableParagraph"/>
              <w:rPr>
                <w:rFonts w:ascii="Times New Roman"/>
                <w:sz w:val="12"/>
              </w:rPr>
            </w:pPr>
          </w:p>
        </w:tc>
        <w:tc>
          <w:tcPr>
            <w:tcW w:w="2141" w:type="dxa"/>
          </w:tcPr>
          <w:p>
            <w:pPr>
              <w:pStyle w:val="TableParagraph"/>
              <w:spacing w:line="146" w:lineRule="exact"/>
              <w:ind w:left="589"/>
              <w:rPr>
                <w:sz w:val="13"/>
              </w:rPr>
            </w:pPr>
            <w:r>
              <w:rPr>
                <w:sz w:val="13"/>
              </w:rPr>
              <w:t>Prior Year</w:t>
            </w:r>
          </w:p>
        </w:tc>
        <w:tc>
          <w:tcPr>
            <w:tcW w:w="1979" w:type="dxa"/>
          </w:tcPr>
          <w:p>
            <w:pPr>
              <w:pStyle w:val="TableParagraph"/>
              <w:spacing w:line="146" w:lineRule="exact"/>
              <w:ind w:left="356"/>
              <w:rPr>
                <w:sz w:val="13"/>
              </w:rPr>
            </w:pPr>
            <w:r>
              <w:rPr>
                <w:sz w:val="13"/>
              </w:rPr>
              <w:t>Budget Year</w:t>
            </w:r>
          </w:p>
        </w:tc>
        <w:tc>
          <w:tcPr>
            <w:tcW w:w="2291" w:type="dxa"/>
          </w:tcPr>
          <w:p>
            <w:pPr>
              <w:pStyle w:val="TableParagraph"/>
              <w:spacing w:line="146" w:lineRule="exact"/>
              <w:ind w:left="336"/>
              <w:rPr>
                <w:sz w:val="13"/>
              </w:rPr>
            </w:pPr>
            <w:r>
              <w:rPr>
                <w:sz w:val="13"/>
              </w:rPr>
              <w:t>1st Subsequent Year</w:t>
            </w:r>
          </w:p>
        </w:tc>
        <w:tc>
          <w:tcPr>
            <w:tcW w:w="1751" w:type="dxa"/>
          </w:tcPr>
          <w:p>
            <w:pPr>
              <w:pStyle w:val="TableParagraph"/>
              <w:spacing w:line="146" w:lineRule="exact"/>
              <w:ind w:left="195"/>
              <w:rPr>
                <w:sz w:val="13"/>
              </w:rPr>
            </w:pPr>
            <w:r>
              <w:rPr>
                <w:sz w:val="13"/>
              </w:rPr>
              <w:t>2nd Subsequent Year</w:t>
            </w:r>
          </w:p>
        </w:tc>
      </w:tr>
      <w:tr>
        <w:trPr>
          <w:trHeight w:val="184" w:hRule="atLeast"/>
        </w:trPr>
        <w:tc>
          <w:tcPr>
            <w:tcW w:w="3137" w:type="dxa"/>
            <w:vMerge/>
            <w:tcBorders>
              <w:top w:val="nil"/>
            </w:tcBorders>
          </w:tcPr>
          <w:p>
            <w:pPr>
              <w:rPr>
                <w:sz w:val="2"/>
                <w:szCs w:val="2"/>
              </w:rPr>
            </w:pPr>
          </w:p>
        </w:tc>
        <w:tc>
          <w:tcPr>
            <w:tcW w:w="2141" w:type="dxa"/>
          </w:tcPr>
          <w:p>
            <w:pPr>
              <w:pStyle w:val="TableParagraph"/>
              <w:spacing w:line="149" w:lineRule="exact" w:before="16"/>
              <w:ind w:left="594"/>
              <w:rPr>
                <w:sz w:val="13"/>
              </w:rPr>
            </w:pPr>
            <w:r>
              <w:rPr>
                <w:sz w:val="13"/>
              </w:rPr>
              <w:t>(2020-21)</w:t>
            </w:r>
          </w:p>
        </w:tc>
        <w:tc>
          <w:tcPr>
            <w:tcW w:w="1979" w:type="dxa"/>
          </w:tcPr>
          <w:p>
            <w:pPr>
              <w:pStyle w:val="TableParagraph"/>
              <w:spacing w:line="149" w:lineRule="exact" w:before="16"/>
              <w:ind w:left="452"/>
              <w:rPr>
                <w:sz w:val="13"/>
              </w:rPr>
            </w:pPr>
            <w:r>
              <w:rPr>
                <w:sz w:val="13"/>
              </w:rPr>
              <w:t>(2021-22)</w:t>
            </w:r>
          </w:p>
        </w:tc>
        <w:tc>
          <w:tcPr>
            <w:tcW w:w="2291" w:type="dxa"/>
          </w:tcPr>
          <w:p>
            <w:pPr>
              <w:pStyle w:val="TableParagraph"/>
              <w:spacing w:line="149" w:lineRule="exact" w:before="16"/>
              <w:ind w:left="667"/>
              <w:rPr>
                <w:sz w:val="13"/>
              </w:rPr>
            </w:pPr>
            <w:r>
              <w:rPr>
                <w:sz w:val="13"/>
              </w:rPr>
              <w:t>(2022-23)</w:t>
            </w:r>
          </w:p>
        </w:tc>
        <w:tc>
          <w:tcPr>
            <w:tcW w:w="1751" w:type="dxa"/>
          </w:tcPr>
          <w:p>
            <w:pPr>
              <w:pStyle w:val="TableParagraph"/>
              <w:spacing w:line="149" w:lineRule="exact" w:before="16"/>
              <w:ind w:left="548"/>
              <w:rPr>
                <w:sz w:val="13"/>
              </w:rPr>
            </w:pPr>
            <w:r>
              <w:rPr>
                <w:sz w:val="13"/>
              </w:rPr>
              <w:t>(2023-24)</w:t>
            </w:r>
          </w:p>
        </w:tc>
      </w:tr>
      <w:tr>
        <w:trPr>
          <w:trHeight w:val="184" w:hRule="atLeast"/>
        </w:trPr>
        <w:tc>
          <w:tcPr>
            <w:tcW w:w="3137" w:type="dxa"/>
          </w:tcPr>
          <w:p>
            <w:pPr>
              <w:pStyle w:val="TableParagraph"/>
              <w:spacing w:line="149" w:lineRule="exact" w:before="16"/>
              <w:ind w:left="33"/>
              <w:rPr>
                <w:sz w:val="13"/>
              </w:rPr>
            </w:pPr>
            <w:r>
              <w:rPr>
                <w:sz w:val="13"/>
              </w:rPr>
              <w:t>LCFF Revenue</w:t>
            </w:r>
          </w:p>
        </w:tc>
        <w:tc>
          <w:tcPr>
            <w:tcW w:w="2141" w:type="dxa"/>
          </w:tcPr>
          <w:p>
            <w:pPr>
              <w:pStyle w:val="TableParagraph"/>
              <w:rPr>
                <w:rFonts w:ascii="Times New Roman"/>
                <w:sz w:val="12"/>
              </w:rPr>
            </w:pPr>
          </w:p>
        </w:tc>
        <w:tc>
          <w:tcPr>
            <w:tcW w:w="1979" w:type="dxa"/>
          </w:tcPr>
          <w:p>
            <w:pPr>
              <w:pStyle w:val="TableParagraph"/>
              <w:rPr>
                <w:rFonts w:ascii="Times New Roman"/>
                <w:sz w:val="12"/>
              </w:rPr>
            </w:pPr>
          </w:p>
        </w:tc>
        <w:tc>
          <w:tcPr>
            <w:tcW w:w="2291" w:type="dxa"/>
          </w:tcPr>
          <w:p>
            <w:pPr>
              <w:pStyle w:val="TableParagraph"/>
              <w:rPr>
                <w:rFonts w:ascii="Times New Roman"/>
                <w:sz w:val="12"/>
              </w:rPr>
            </w:pPr>
          </w:p>
        </w:tc>
        <w:tc>
          <w:tcPr>
            <w:tcW w:w="1751" w:type="dxa"/>
          </w:tcPr>
          <w:p>
            <w:pPr>
              <w:pStyle w:val="TableParagraph"/>
              <w:rPr>
                <w:rFonts w:ascii="Times New Roman"/>
                <w:sz w:val="12"/>
              </w:rPr>
            </w:pPr>
          </w:p>
        </w:tc>
      </w:tr>
      <w:tr>
        <w:trPr>
          <w:trHeight w:val="165" w:hRule="atLeast"/>
        </w:trPr>
        <w:tc>
          <w:tcPr>
            <w:tcW w:w="3137" w:type="dxa"/>
          </w:tcPr>
          <w:p>
            <w:pPr>
              <w:pStyle w:val="TableParagraph"/>
              <w:spacing w:line="130" w:lineRule="exact" w:before="16"/>
              <w:ind w:left="33"/>
              <w:rPr>
                <w:sz w:val="13"/>
              </w:rPr>
            </w:pPr>
            <w:r>
              <w:rPr>
                <w:sz w:val="13"/>
              </w:rPr>
              <w:t>(Fund 01, Objects 8011, 8012, 8020-8089)</w:t>
            </w:r>
          </w:p>
        </w:tc>
        <w:tc>
          <w:tcPr>
            <w:tcW w:w="2141" w:type="dxa"/>
          </w:tcPr>
          <w:p>
            <w:pPr>
              <w:pStyle w:val="TableParagraph"/>
              <w:spacing w:line="130" w:lineRule="exact" w:before="16"/>
              <w:ind w:left="1053"/>
              <w:rPr>
                <w:sz w:val="13"/>
              </w:rPr>
            </w:pPr>
            <w:r>
              <w:rPr>
                <w:sz w:val="13"/>
              </w:rPr>
              <w:t>2,079,078.00</w:t>
            </w:r>
          </w:p>
        </w:tc>
        <w:tc>
          <w:tcPr>
            <w:tcW w:w="1979" w:type="dxa"/>
          </w:tcPr>
          <w:p>
            <w:pPr>
              <w:pStyle w:val="TableParagraph"/>
              <w:spacing w:line="130" w:lineRule="exact" w:before="16"/>
              <w:ind w:left="868"/>
              <w:rPr>
                <w:sz w:val="13"/>
              </w:rPr>
            </w:pPr>
            <w:r>
              <w:rPr>
                <w:sz w:val="13"/>
              </w:rPr>
              <w:t>2,150,469.00</w:t>
            </w:r>
          </w:p>
        </w:tc>
        <w:tc>
          <w:tcPr>
            <w:tcW w:w="2291" w:type="dxa"/>
          </w:tcPr>
          <w:p>
            <w:pPr>
              <w:pStyle w:val="TableParagraph"/>
              <w:spacing w:line="130" w:lineRule="exact" w:before="16"/>
              <w:ind w:left="1320"/>
              <w:rPr>
                <w:sz w:val="13"/>
              </w:rPr>
            </w:pPr>
            <w:r>
              <w:rPr>
                <w:sz w:val="13"/>
              </w:rPr>
              <w:t>2,202,140.00</w:t>
            </w:r>
          </w:p>
        </w:tc>
        <w:tc>
          <w:tcPr>
            <w:tcW w:w="1751" w:type="dxa"/>
          </w:tcPr>
          <w:p>
            <w:pPr>
              <w:pStyle w:val="TableParagraph"/>
              <w:spacing w:line="130" w:lineRule="exact" w:before="16"/>
              <w:ind w:left="942"/>
              <w:rPr>
                <w:sz w:val="13"/>
              </w:rPr>
            </w:pPr>
            <w:r>
              <w:rPr>
                <w:sz w:val="13"/>
              </w:rPr>
              <w:t>2,244,525.00</w:t>
            </w:r>
          </w:p>
        </w:tc>
      </w:tr>
      <w:tr>
        <w:trPr>
          <w:trHeight w:val="202" w:hRule="atLeast"/>
        </w:trPr>
        <w:tc>
          <w:tcPr>
            <w:tcW w:w="5278" w:type="dxa"/>
            <w:gridSpan w:val="2"/>
          </w:tcPr>
          <w:p>
            <w:pPr>
              <w:pStyle w:val="TableParagraph"/>
              <w:spacing w:line="147" w:lineRule="exact" w:before="35"/>
              <w:ind w:left="2298"/>
              <w:rPr>
                <w:sz w:val="13"/>
              </w:rPr>
            </w:pPr>
            <w:r>
              <w:rPr>
                <w:sz w:val="13"/>
              </w:rPr>
              <w:t>District's Projected Change in LCFF Revenue:</w:t>
            </w:r>
          </w:p>
        </w:tc>
        <w:tc>
          <w:tcPr>
            <w:tcW w:w="1979" w:type="dxa"/>
          </w:tcPr>
          <w:p>
            <w:pPr>
              <w:pStyle w:val="TableParagraph"/>
              <w:spacing w:line="147" w:lineRule="exact" w:before="35"/>
              <w:ind w:left="553"/>
              <w:rPr>
                <w:sz w:val="13"/>
              </w:rPr>
            </w:pPr>
            <w:r>
              <w:rPr>
                <w:sz w:val="13"/>
              </w:rPr>
              <w:t>3.43%</w:t>
            </w:r>
          </w:p>
        </w:tc>
        <w:tc>
          <w:tcPr>
            <w:tcW w:w="2291" w:type="dxa"/>
          </w:tcPr>
          <w:p>
            <w:pPr>
              <w:pStyle w:val="TableParagraph"/>
              <w:spacing w:line="147" w:lineRule="exact" w:before="35"/>
              <w:ind w:left="752" w:right="1129"/>
              <w:jc w:val="center"/>
              <w:rPr>
                <w:sz w:val="13"/>
              </w:rPr>
            </w:pPr>
            <w:r>
              <w:rPr>
                <w:sz w:val="13"/>
              </w:rPr>
              <w:t>2.40%</w:t>
            </w:r>
          </w:p>
        </w:tc>
        <w:tc>
          <w:tcPr>
            <w:tcW w:w="1751" w:type="dxa"/>
          </w:tcPr>
          <w:p>
            <w:pPr>
              <w:pStyle w:val="TableParagraph"/>
              <w:spacing w:line="147" w:lineRule="exact" w:before="35"/>
              <w:ind w:left="590" w:right="665"/>
              <w:jc w:val="center"/>
              <w:rPr>
                <w:sz w:val="13"/>
              </w:rPr>
            </w:pPr>
            <w:r>
              <w:rPr>
                <w:sz w:val="13"/>
              </w:rPr>
              <w:t>1.92%</w:t>
            </w:r>
          </w:p>
        </w:tc>
      </w:tr>
      <w:tr>
        <w:trPr>
          <w:trHeight w:val="183" w:hRule="atLeast"/>
        </w:trPr>
        <w:tc>
          <w:tcPr>
            <w:tcW w:w="5278" w:type="dxa"/>
            <w:gridSpan w:val="2"/>
          </w:tcPr>
          <w:p>
            <w:pPr>
              <w:pStyle w:val="TableParagraph"/>
              <w:spacing w:line="149" w:lineRule="exact" w:before="15"/>
              <w:ind w:left="3426"/>
              <w:rPr>
                <w:b/>
                <w:sz w:val="13"/>
              </w:rPr>
            </w:pPr>
            <w:r>
              <w:rPr>
                <w:b/>
                <w:sz w:val="13"/>
              </w:rPr>
              <w:t>LCFF Revenue Standard:</w:t>
            </w:r>
          </w:p>
        </w:tc>
        <w:tc>
          <w:tcPr>
            <w:tcW w:w="1979" w:type="dxa"/>
          </w:tcPr>
          <w:p>
            <w:pPr>
              <w:pStyle w:val="TableParagraph"/>
              <w:spacing w:line="149" w:lineRule="exact" w:before="15"/>
              <w:ind w:left="268"/>
              <w:rPr>
                <w:b/>
                <w:sz w:val="13"/>
              </w:rPr>
            </w:pPr>
            <w:r>
              <w:rPr>
                <w:b/>
                <w:sz w:val="13"/>
              </w:rPr>
              <w:t>4.07% to 6.07%</w:t>
            </w:r>
          </w:p>
        </w:tc>
        <w:tc>
          <w:tcPr>
            <w:tcW w:w="2291" w:type="dxa"/>
          </w:tcPr>
          <w:p>
            <w:pPr>
              <w:pStyle w:val="TableParagraph"/>
              <w:spacing w:line="149" w:lineRule="exact" w:before="15"/>
              <w:ind w:left="482"/>
              <w:rPr>
                <w:b/>
                <w:sz w:val="13"/>
              </w:rPr>
            </w:pPr>
            <w:r>
              <w:rPr>
                <w:b/>
                <w:sz w:val="13"/>
              </w:rPr>
              <w:t>1.48% to 3.48%</w:t>
            </w:r>
          </w:p>
        </w:tc>
        <w:tc>
          <w:tcPr>
            <w:tcW w:w="1751" w:type="dxa"/>
          </w:tcPr>
          <w:p>
            <w:pPr>
              <w:pStyle w:val="TableParagraph"/>
              <w:spacing w:line="149" w:lineRule="exact" w:before="15"/>
              <w:ind w:left="363"/>
              <w:rPr>
                <w:b/>
                <w:sz w:val="13"/>
              </w:rPr>
            </w:pPr>
            <w:r>
              <w:rPr>
                <w:b/>
                <w:sz w:val="13"/>
              </w:rPr>
              <w:t>2.11% to 4.11%</w:t>
            </w:r>
          </w:p>
        </w:tc>
      </w:tr>
      <w:tr>
        <w:trPr>
          <w:trHeight w:val="168" w:hRule="atLeast"/>
        </w:trPr>
        <w:tc>
          <w:tcPr>
            <w:tcW w:w="5278" w:type="dxa"/>
            <w:gridSpan w:val="2"/>
          </w:tcPr>
          <w:p>
            <w:pPr>
              <w:pStyle w:val="TableParagraph"/>
              <w:spacing w:line="132" w:lineRule="exact" w:before="16"/>
              <w:ind w:right="264"/>
              <w:jc w:val="right"/>
              <w:rPr>
                <w:b/>
                <w:sz w:val="13"/>
              </w:rPr>
            </w:pPr>
            <w:r>
              <w:rPr>
                <w:b/>
                <w:sz w:val="13"/>
              </w:rPr>
              <w:t>Status:</w:t>
            </w:r>
          </w:p>
        </w:tc>
        <w:tc>
          <w:tcPr>
            <w:tcW w:w="1979" w:type="dxa"/>
          </w:tcPr>
          <w:p>
            <w:pPr>
              <w:pStyle w:val="TableParagraph"/>
              <w:spacing w:line="130" w:lineRule="exact" w:before="18"/>
              <w:ind w:left="510"/>
              <w:rPr>
                <w:sz w:val="13"/>
              </w:rPr>
            </w:pPr>
            <w:r>
              <w:rPr>
                <w:sz w:val="13"/>
              </w:rPr>
              <w:t>Not Met</w:t>
            </w:r>
          </w:p>
        </w:tc>
        <w:tc>
          <w:tcPr>
            <w:tcW w:w="2291" w:type="dxa"/>
          </w:tcPr>
          <w:p>
            <w:pPr>
              <w:pStyle w:val="TableParagraph"/>
              <w:spacing w:line="130" w:lineRule="exact" w:before="18"/>
              <w:ind w:left="752" w:right="1128"/>
              <w:jc w:val="center"/>
              <w:rPr>
                <w:sz w:val="13"/>
              </w:rPr>
            </w:pPr>
            <w:r>
              <w:rPr>
                <w:sz w:val="13"/>
              </w:rPr>
              <w:t>Met</w:t>
            </w:r>
          </w:p>
        </w:tc>
        <w:tc>
          <w:tcPr>
            <w:tcW w:w="1751" w:type="dxa"/>
          </w:tcPr>
          <w:p>
            <w:pPr>
              <w:pStyle w:val="TableParagraph"/>
              <w:spacing w:line="130" w:lineRule="exact" w:before="18"/>
              <w:ind w:left="590" w:right="665"/>
              <w:jc w:val="center"/>
              <w:rPr>
                <w:sz w:val="13"/>
              </w:rPr>
            </w:pPr>
            <w:r>
              <w:rPr>
                <w:sz w:val="13"/>
              </w:rPr>
              <w:t>Not Met</w:t>
            </w:r>
          </w:p>
        </w:tc>
      </w:tr>
    </w:tbl>
    <w:p>
      <w:pPr>
        <w:pStyle w:val="BodyText"/>
        <w:spacing w:before="10"/>
        <w:rPr>
          <w:sz w:val="11"/>
        </w:rPr>
      </w:pPr>
      <w:r>
        <w:rPr/>
        <w:drawing>
          <wp:anchor distT="0" distB="0" distL="0" distR="0" allowOverlap="1" layoutInCell="1" locked="0" behindDoc="0" simplePos="0" relativeHeight="693">
            <wp:simplePos x="0" y="0"/>
            <wp:positionH relativeFrom="page">
              <wp:posOffset>208788</wp:posOffset>
            </wp:positionH>
            <wp:positionV relativeFrom="paragraph">
              <wp:posOffset>111811</wp:posOffset>
            </wp:positionV>
            <wp:extent cx="7203932" cy="13715"/>
            <wp:effectExtent l="0" t="0" r="0" b="0"/>
            <wp:wrapTopAndBottom/>
            <wp:docPr id="87" name="image1401.png"/>
            <wp:cNvGraphicFramePr>
              <a:graphicFrameLocks noChangeAspect="1"/>
            </wp:cNvGraphicFramePr>
            <a:graphic>
              <a:graphicData uri="http://schemas.openxmlformats.org/drawingml/2006/picture">
                <pic:pic>
                  <pic:nvPicPr>
                    <pic:cNvPr id="88" name="image1401.png"/>
                    <pic:cNvPicPr/>
                  </pic:nvPicPr>
                  <pic:blipFill>
                    <a:blip r:embed="rId1503" cstate="print"/>
                    <a:stretch>
                      <a:fillRect/>
                    </a:stretch>
                  </pic:blipFill>
                  <pic:spPr>
                    <a:xfrm>
                      <a:off x="0" y="0"/>
                      <a:ext cx="7203932" cy="13715"/>
                    </a:xfrm>
                    <a:prstGeom prst="rect">
                      <a:avLst/>
                    </a:prstGeom>
                  </pic:spPr>
                </pic:pic>
              </a:graphicData>
            </a:graphic>
          </wp:anchor>
        </w:drawing>
      </w:r>
    </w:p>
    <w:p>
      <w:pPr>
        <w:pStyle w:val="Heading8"/>
        <w:spacing w:before="0"/>
        <w:ind w:left="322"/>
      </w:pPr>
      <w:r>
        <w:rPr>
          <w:w w:val="105"/>
        </w:rPr>
        <w:t>4C. Comparison of District LCFF Revenue to the Standard</w:t>
      </w:r>
    </w:p>
    <w:p>
      <w:pPr>
        <w:pStyle w:val="BodyText"/>
        <w:spacing w:line="21" w:lineRule="exact"/>
        <w:ind w:left="288"/>
        <w:rPr>
          <w:sz w:val="2"/>
        </w:rPr>
      </w:pPr>
      <w:r>
        <w:rPr>
          <w:sz w:val="2"/>
        </w:rPr>
        <w:pict>
          <v:group style="width:567.25pt;height:1.1pt;mso-position-horizontal-relative:char;mso-position-vertical-relative:line" coordorigin="0,0" coordsize="11345,22">
            <v:shape style="position:absolute;left:0;top:0;width:4438;height:22" type="#_x0000_t75" stroked="false">
              <v:imagedata r:id="rId1509" o:title=""/>
            </v:shape>
            <v:shape style="position:absolute;left:4430;top:0;width:6915;height:22" type="#_x0000_t75" stroked="false">
              <v:imagedata r:id="rId1510" o:title=""/>
            </v:shape>
          </v:group>
        </w:pict>
      </w:r>
      <w:r>
        <w:rPr>
          <w:sz w:val="2"/>
        </w:rPr>
      </w:r>
    </w:p>
    <w:p>
      <w:pPr>
        <w:pStyle w:val="BodyText"/>
        <w:spacing w:before="2"/>
        <w:rPr>
          <w:b/>
          <w:sz w:val="12"/>
        </w:rPr>
      </w:pPr>
    </w:p>
    <w:p>
      <w:pPr>
        <w:pStyle w:val="BodyText"/>
        <w:spacing w:before="98"/>
        <w:ind w:left="322"/>
      </w:pPr>
      <w:r>
        <w:rPr/>
        <w:t>DATA ENTRY: Enter an explanation if the standard is not met.</w:t>
      </w:r>
    </w:p>
    <w:p>
      <w:pPr>
        <w:pStyle w:val="BodyText"/>
        <w:spacing w:before="4"/>
        <w:rPr>
          <w:sz w:val="16"/>
        </w:rPr>
      </w:pPr>
    </w:p>
    <w:p>
      <w:pPr>
        <w:pStyle w:val="BodyText"/>
        <w:ind w:left="821" w:right="932" w:hanging="370"/>
      </w:pPr>
      <w:r>
        <w:rPr/>
        <w:t>1a. STANDARD NOT MET - Projected change in LCFF revenue is outside the standard in one or more of the budget or two subsequent fiscal years. Provide reasons why the projection(s) exceed the standard(s) and a description of the methods and assumptions used in projecting LCFF</w:t>
      </w:r>
      <w:r>
        <w:rPr>
          <w:spacing w:val="16"/>
        </w:rPr>
        <w:t> </w:t>
      </w:r>
      <w:r>
        <w:rPr/>
        <w:t>revenue.</w:t>
      </w:r>
    </w:p>
    <w:p>
      <w:pPr>
        <w:pStyle w:val="BodyText"/>
        <w:rPr>
          <w:sz w:val="14"/>
        </w:rPr>
      </w:pPr>
    </w:p>
    <w:p>
      <w:pPr>
        <w:spacing w:before="88"/>
        <w:ind w:left="0" w:right="8810" w:firstLine="0"/>
        <w:jc w:val="center"/>
        <w:rPr>
          <w:b/>
          <w:sz w:val="13"/>
        </w:rPr>
      </w:pPr>
      <w:r>
        <w:rPr/>
        <w:pict>
          <v:group style="position:absolute;margin-left:129.479996pt;margin-top:2.456946pt;width:454.2pt;height:38.3pt;mso-position-horizontal-relative:page;mso-position-vertical-relative:paragraph;z-index:252376064" coordorigin="2590,49" coordsize="9084,766">
            <v:shape style="position:absolute;left:2589;top:49;width:9084;height:766" type="#_x0000_t75" stroked="false">
              <v:imagedata r:id="rId1522" o:title=""/>
            </v:shape>
            <v:shape style="position:absolute;left:2589;top:49;width:9084;height:766" type="#_x0000_t202" filled="false" stroked="false">
              <v:textbox inset="0,0,0,0">
                <w:txbxContent>
                  <w:p>
                    <w:pPr>
                      <w:spacing w:before="5"/>
                      <w:ind w:left="33" w:right="139" w:firstLine="0"/>
                      <w:jc w:val="left"/>
                      <w:rPr>
                        <w:sz w:val="13"/>
                      </w:rPr>
                    </w:pPr>
                    <w:r>
                      <w:rPr>
                        <w:sz w:val="13"/>
                      </w:rPr>
                      <w:t>The district does not meet the standard in 21-22 and in 23-24 due the large COLA's in those budget years along with keeping Property Tax amounts flat in the subsuquent years.</w:t>
                    </w:r>
                  </w:p>
                </w:txbxContent>
              </v:textbox>
              <w10:wrap type="none"/>
            </v:shape>
            <w10:wrap type="none"/>
          </v:group>
        </w:pict>
      </w:r>
      <w:r>
        <w:rPr>
          <w:b/>
          <w:sz w:val="13"/>
        </w:rPr>
        <w:t>Explanation:</w:t>
      </w:r>
    </w:p>
    <w:p>
      <w:pPr>
        <w:pStyle w:val="BodyText"/>
        <w:spacing w:before="42"/>
        <w:ind w:right="8810"/>
        <w:jc w:val="center"/>
      </w:pPr>
      <w:r>
        <w:rPr/>
        <w:t>(required if NOT met)</w:t>
      </w:r>
    </w:p>
    <w:p>
      <w:pPr>
        <w:spacing w:after="0"/>
        <w:jc w:val="center"/>
        <w:sectPr>
          <w:pgSz w:w="12240" w:h="15840"/>
          <w:pgMar w:header="402" w:footer="584" w:top="840" w:bottom="780" w:left="40" w:right="40"/>
        </w:sectPr>
      </w:pPr>
    </w:p>
    <w:p>
      <w:pPr>
        <w:pStyle w:val="BodyText"/>
        <w:rPr>
          <w:sz w:val="20"/>
        </w:rPr>
      </w:pPr>
    </w:p>
    <w:p>
      <w:pPr>
        <w:pStyle w:val="BodyText"/>
        <w:rPr>
          <w:sz w:val="20"/>
        </w:rPr>
      </w:pPr>
    </w:p>
    <w:p>
      <w:pPr>
        <w:pStyle w:val="BodyText"/>
        <w:spacing w:before="2"/>
        <w:rPr>
          <w:sz w:val="19"/>
        </w:rPr>
      </w:pPr>
    </w:p>
    <w:p>
      <w:pPr>
        <w:pStyle w:val="Heading4"/>
        <w:numPr>
          <w:ilvl w:val="0"/>
          <w:numId w:val="69"/>
        </w:numPr>
        <w:tabs>
          <w:tab w:pos="821" w:val="left" w:leader="none"/>
          <w:tab w:pos="822" w:val="left" w:leader="none"/>
        </w:tabs>
        <w:spacing w:line="240" w:lineRule="auto" w:before="0" w:after="0"/>
        <w:ind w:left="821" w:right="0" w:hanging="344"/>
        <w:jc w:val="left"/>
      </w:pPr>
      <w:r>
        <w:rPr/>
        <w:t>CRITERION: Salaries and</w:t>
      </w:r>
      <w:r>
        <w:rPr>
          <w:spacing w:val="-9"/>
        </w:rPr>
        <w:t> </w:t>
      </w:r>
      <w:r>
        <w:rPr/>
        <w:t>Benefits</w:t>
      </w:r>
    </w:p>
    <w:p>
      <w:pPr>
        <w:pStyle w:val="BodyText"/>
        <w:rPr>
          <w:b/>
          <w:sz w:val="18"/>
        </w:rPr>
      </w:pPr>
    </w:p>
    <w:p>
      <w:pPr>
        <w:pStyle w:val="Heading5"/>
        <w:spacing w:line="232" w:lineRule="auto" w:before="152"/>
        <w:ind w:right="531"/>
      </w:pPr>
      <w:r>
        <w:rPr/>
        <w:t>STANDARD: Projected ratio of total unrestricted salaries and benefits to total unrestricted general fund expenditures for any of the budget year or two subsequent</w:t>
      </w:r>
      <w:r>
        <w:rPr>
          <w:spacing w:val="-6"/>
        </w:rPr>
        <w:t> </w:t>
      </w:r>
      <w:r>
        <w:rPr/>
        <w:t>fiscal</w:t>
      </w:r>
      <w:r>
        <w:rPr>
          <w:spacing w:val="-3"/>
        </w:rPr>
        <w:t> </w:t>
      </w:r>
      <w:r>
        <w:rPr/>
        <w:t>years</w:t>
      </w:r>
      <w:r>
        <w:rPr>
          <w:spacing w:val="-6"/>
        </w:rPr>
        <w:t> </w:t>
      </w:r>
      <w:r>
        <w:rPr/>
        <w:t>has</w:t>
      </w:r>
      <w:r>
        <w:rPr>
          <w:spacing w:val="-5"/>
        </w:rPr>
        <w:t> </w:t>
      </w:r>
      <w:r>
        <w:rPr/>
        <w:t>not</w:t>
      </w:r>
      <w:r>
        <w:rPr>
          <w:spacing w:val="-5"/>
        </w:rPr>
        <w:t> </w:t>
      </w:r>
      <w:r>
        <w:rPr/>
        <w:t>changed</w:t>
      </w:r>
      <w:r>
        <w:rPr>
          <w:spacing w:val="-4"/>
        </w:rPr>
        <w:t> </w:t>
      </w:r>
      <w:r>
        <w:rPr/>
        <w:t>from</w:t>
      </w:r>
      <w:r>
        <w:rPr>
          <w:spacing w:val="-4"/>
        </w:rPr>
        <w:t> </w:t>
      </w:r>
      <w:r>
        <w:rPr/>
        <w:t>the</w:t>
      </w:r>
      <w:r>
        <w:rPr>
          <w:spacing w:val="-5"/>
        </w:rPr>
        <w:t> </w:t>
      </w:r>
      <w:r>
        <w:rPr/>
        <w:t>historical</w:t>
      </w:r>
      <w:r>
        <w:rPr>
          <w:spacing w:val="-4"/>
        </w:rPr>
        <w:t> </w:t>
      </w:r>
      <w:r>
        <w:rPr/>
        <w:t>average</w:t>
      </w:r>
      <w:r>
        <w:rPr>
          <w:spacing w:val="-6"/>
        </w:rPr>
        <w:t> </w:t>
      </w:r>
      <w:r>
        <w:rPr/>
        <w:t>ratio</w:t>
      </w:r>
      <w:r>
        <w:rPr>
          <w:spacing w:val="-5"/>
        </w:rPr>
        <w:t> </w:t>
      </w:r>
      <w:r>
        <w:rPr/>
        <w:t>from</w:t>
      </w:r>
      <w:r>
        <w:rPr>
          <w:spacing w:val="-5"/>
        </w:rPr>
        <w:t> </w:t>
      </w:r>
      <w:r>
        <w:rPr/>
        <w:t>the</w:t>
      </w:r>
      <w:r>
        <w:rPr>
          <w:spacing w:val="-5"/>
        </w:rPr>
        <w:t> </w:t>
      </w:r>
      <w:r>
        <w:rPr/>
        <w:t>three</w:t>
      </w:r>
      <w:r>
        <w:rPr>
          <w:spacing w:val="-4"/>
        </w:rPr>
        <w:t> </w:t>
      </w:r>
      <w:r>
        <w:rPr/>
        <w:t>prior</w:t>
      </w:r>
      <w:r>
        <w:rPr>
          <w:spacing w:val="-5"/>
        </w:rPr>
        <w:t> </w:t>
      </w:r>
      <w:r>
        <w:rPr/>
        <w:t>fiscal</w:t>
      </w:r>
      <w:r>
        <w:rPr>
          <w:spacing w:val="-4"/>
        </w:rPr>
        <w:t> </w:t>
      </w:r>
      <w:r>
        <w:rPr/>
        <w:t>years</w:t>
      </w:r>
      <w:r>
        <w:rPr>
          <w:spacing w:val="-5"/>
        </w:rPr>
        <w:t> </w:t>
      </w:r>
      <w:r>
        <w:rPr/>
        <w:t>by</w:t>
      </w:r>
      <w:r>
        <w:rPr>
          <w:spacing w:val="-10"/>
        </w:rPr>
        <w:t> </w:t>
      </w:r>
      <w:r>
        <w:rPr/>
        <w:t>more</w:t>
      </w:r>
      <w:r>
        <w:rPr>
          <w:spacing w:val="-5"/>
        </w:rPr>
        <w:t> </w:t>
      </w:r>
      <w:r>
        <w:rPr/>
        <w:t>than</w:t>
      </w:r>
      <w:r>
        <w:rPr>
          <w:spacing w:val="-5"/>
        </w:rPr>
        <w:t> </w:t>
      </w:r>
      <w:r>
        <w:rPr/>
        <w:t>the</w:t>
      </w:r>
      <w:r>
        <w:rPr>
          <w:spacing w:val="-4"/>
        </w:rPr>
        <w:t> </w:t>
      </w:r>
      <w:r>
        <w:rPr/>
        <w:t>greater</w:t>
      </w:r>
      <w:r>
        <w:rPr>
          <w:spacing w:val="-4"/>
        </w:rPr>
        <w:t> </w:t>
      </w:r>
      <w:r>
        <w:rPr/>
        <w:t>of</w:t>
      </w:r>
      <w:r>
        <w:rPr>
          <w:spacing w:val="-3"/>
        </w:rPr>
        <w:t> </w:t>
      </w:r>
      <w:r>
        <w:rPr/>
        <w:t>three</w:t>
      </w:r>
      <w:r>
        <w:rPr>
          <w:spacing w:val="-3"/>
        </w:rPr>
        <w:t> </w:t>
      </w:r>
      <w:r>
        <w:rPr/>
        <w:t>percent</w:t>
      </w:r>
      <w:r>
        <w:rPr>
          <w:spacing w:val="-5"/>
        </w:rPr>
        <w:t> </w:t>
      </w:r>
      <w:r>
        <w:rPr/>
        <w:t>or</w:t>
      </w:r>
      <w:r>
        <w:rPr>
          <w:spacing w:val="-5"/>
        </w:rPr>
        <w:t> </w:t>
      </w:r>
      <w:r>
        <w:rPr/>
        <w:t>the district's required reserves</w:t>
      </w:r>
      <w:r>
        <w:rPr>
          <w:spacing w:val="-5"/>
        </w:rPr>
        <w:t> </w:t>
      </w:r>
      <w:r>
        <w:rPr/>
        <w:t>percentage.</w:t>
      </w:r>
    </w:p>
    <w:p>
      <w:pPr>
        <w:pStyle w:val="BodyText"/>
        <w:spacing w:before="4"/>
        <w:rPr>
          <w:sz w:val="26"/>
        </w:rPr>
      </w:pPr>
      <w:r>
        <w:rPr/>
        <w:pict>
          <v:group style="position:absolute;margin-left:16.440001pt;margin-top:17.103832pt;width:567.25pt;height:10.95pt;mso-position-horizontal-relative:page;mso-position-vertical-relative:paragraph;z-index:-250938368;mso-wrap-distance-left:0;mso-wrap-distance-right:0" coordorigin="329,342" coordsize="11345,219">
            <v:shape style="position:absolute;left:328;top:342;width:11345;height:22" type="#_x0000_t75" stroked="false">
              <v:imagedata r:id="rId1503" o:title=""/>
            </v:shape>
            <v:line style="position:absolute" from="829,354" to="829,544" stroked="true" strokeweight=".359999pt" strokecolor="#ffffff">
              <v:stroke dashstyle="solid"/>
            </v:line>
            <v:line style="position:absolute" from="2591,354" to="2591,544" stroked="true" strokeweight=".360008pt" strokecolor="#ffffff">
              <v:stroke dashstyle="solid"/>
            </v:line>
            <v:line style="position:absolute" from="3325,354" to="3325,544" stroked="true" strokeweight=".359997pt" strokecolor="#ffffff">
              <v:stroke dashstyle="solid"/>
            </v:line>
            <v:line style="position:absolute" from="4760,354" to="4760,544" stroked="true" strokeweight=".360008pt" strokecolor="#ffffff">
              <v:stroke dashstyle="solid"/>
            </v:line>
            <v:line style="position:absolute" from="5368,354" to="5368,544" stroked="true" strokeweight=".359986pt" strokecolor="#ffffff">
              <v:stroke dashstyle="solid"/>
            </v:line>
            <v:line style="position:absolute" from="6335,354" to="6335,544" stroked="true" strokeweight=".360008pt" strokecolor="#ffffff">
              <v:stroke dashstyle="solid"/>
            </v:line>
            <v:shape style="position:absolute;left:328;top:342;width:11345;height:22" type="#_x0000_t75" stroked="false">
              <v:imagedata r:id="rId1503" o:title=""/>
            </v:shape>
            <v:shape style="position:absolute;left:328;top:538;width:11345;height:22" type="#_x0000_t75" stroked="false">
              <v:imagedata r:id="rId1503" o:title=""/>
            </v:shape>
            <v:line style="position:absolute" from="7324,354" to="7324,544" stroked="true" strokeweight=".360008pt" strokecolor="#ffffff">
              <v:stroke dashstyle="solid"/>
            </v:line>
            <v:line style="position:absolute" from="7931,354" to="7931,544" stroked="true" strokeweight=".360032pt" strokecolor="#ffffff">
              <v:stroke dashstyle="solid"/>
            </v:line>
            <v:line style="position:absolute" from="9755,354" to="9755,544" stroked="true" strokeweight=".359986pt" strokecolor="#ffffff">
              <v:stroke dashstyle="solid"/>
            </v:line>
            <v:shape style="position:absolute;left:328;top:342;width:11345;height:219" type="#_x0000_t202" filled="false" stroked="false">
              <v:textbox inset="0,0,0,0">
                <w:txbxContent>
                  <w:p>
                    <w:pPr>
                      <w:spacing w:before="41"/>
                      <w:ind w:left="33" w:right="0" w:firstLine="0"/>
                      <w:jc w:val="left"/>
                      <w:rPr>
                        <w:b/>
                        <w:sz w:val="14"/>
                      </w:rPr>
                    </w:pPr>
                    <w:r>
                      <w:rPr>
                        <w:b/>
                        <w:w w:val="105"/>
                        <w:sz w:val="14"/>
                      </w:rPr>
                      <w:t>5A. Calculating the District's Historical Average Ratio of Unrestricted Salaries and Benefits to Total Unrestricted General Fund Expenditures</w:t>
                    </w:r>
                  </w:p>
                </w:txbxContent>
              </v:textbox>
              <w10:wrap type="none"/>
            </v:shape>
            <w10:wrap type="topAndBottom"/>
          </v:group>
        </w:pict>
      </w:r>
    </w:p>
    <w:p>
      <w:pPr>
        <w:pStyle w:val="BodyText"/>
        <w:rPr>
          <w:sz w:val="7"/>
        </w:rPr>
      </w:pPr>
    </w:p>
    <w:p>
      <w:pPr>
        <w:pStyle w:val="BodyText"/>
        <w:spacing w:before="97"/>
        <w:ind w:left="322"/>
      </w:pPr>
      <w:r>
        <w:rPr/>
        <w:t>DATA ENTRY: All data are extracted or calculated.</w:t>
      </w:r>
    </w:p>
    <w:p>
      <w:pPr>
        <w:pStyle w:val="BodyText"/>
        <w:spacing w:before="8"/>
        <w:rPr>
          <w:sz w:val="10"/>
        </w:rPr>
      </w:pPr>
    </w:p>
    <w:p>
      <w:pPr>
        <w:pStyle w:val="BodyText"/>
        <w:spacing w:before="97"/>
        <w:ind w:left="4023"/>
      </w:pPr>
      <w:r>
        <w:rPr/>
        <w:t>Estimated/Unaudited Actuals - Unrestricted</w:t>
      </w:r>
    </w:p>
    <w:p>
      <w:pPr>
        <w:pStyle w:val="BodyText"/>
        <w:tabs>
          <w:tab w:pos="8347" w:val="left" w:leader="none"/>
        </w:tabs>
        <w:spacing w:before="19" w:after="52"/>
        <w:ind w:left="4589"/>
      </w:pPr>
      <w:r>
        <w:rPr/>
        <w:pict>
          <v:group style="position:absolute;margin-left:16.440001pt;margin-top:27.566975pt;width:471.6pt;height:37.35pt;mso-position-horizontal-relative:page;mso-position-vertical-relative:paragraph;z-index:-313986048" coordorigin="329,551" coordsize="9432,747">
            <v:shape style="position:absolute;left:328;top:551;width:2268;height:8" type="#_x0000_t75" stroked="false">
              <v:imagedata r:id="rId1604" o:title=""/>
            </v:shape>
            <v:shape style="position:absolute;left:2589;top:551;width:7172;height:188" type="#_x0000_t75" stroked="false">
              <v:imagedata r:id="rId1605" o:title=""/>
            </v:shape>
            <v:shape style="position:absolute;left:3324;top:736;width:6437;height:188" type="#_x0000_t75" stroked="false">
              <v:imagedata r:id="rId1606" o:title=""/>
            </v:shape>
            <v:shape style="position:absolute;left:3324;top:920;width:2050;height:192" type="#_x0000_t75" stroked="false">
              <v:imagedata r:id="rId1607" o:title=""/>
            </v:shape>
            <v:shape style="position:absolute;left:5366;top:920;width:4395;height:192" type="#_x0000_t75" stroked="false">
              <v:imagedata r:id="rId1608" o:title=""/>
            </v:shape>
            <v:shape style="position:absolute;left:7322;top:1105;width:2439;height:192" type="#_x0000_t75" stroked="false">
              <v:imagedata r:id="rId1544" o:title=""/>
            </v:shape>
            <w10:wrap type="none"/>
          </v:group>
        </w:pict>
      </w:r>
      <w:r>
        <w:rPr/>
        <w:t>(Resources</w:t>
      </w:r>
      <w:r>
        <w:rPr>
          <w:spacing w:val="8"/>
        </w:rPr>
        <w:t> </w:t>
      </w:r>
      <w:r>
        <w:rPr/>
        <w:t>0000-1999)</w:t>
        <w:tab/>
        <w:t>Ratio</w:t>
      </w:r>
    </w:p>
    <w:tbl>
      <w:tblPr>
        <w:tblW w:w="0" w:type="auto"/>
        <w:jc w:val="left"/>
        <w:tblInd w:w="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96"/>
        <w:gridCol w:w="1982"/>
        <w:gridCol w:w="1978"/>
        <w:gridCol w:w="2261"/>
        <w:gridCol w:w="1744"/>
      </w:tblGrid>
      <w:tr>
        <w:trPr>
          <w:trHeight w:val="165" w:hRule="atLeast"/>
        </w:trPr>
        <w:tc>
          <w:tcPr>
            <w:tcW w:w="5078" w:type="dxa"/>
            <w:gridSpan w:val="2"/>
          </w:tcPr>
          <w:p>
            <w:pPr>
              <w:pStyle w:val="TableParagraph"/>
              <w:spacing w:line="146" w:lineRule="exact"/>
              <w:ind w:right="434"/>
              <w:jc w:val="right"/>
              <w:rPr>
                <w:sz w:val="13"/>
              </w:rPr>
            </w:pPr>
            <w:r>
              <w:rPr>
                <w:sz w:val="13"/>
              </w:rPr>
              <w:t>Salaries and Benefits</w:t>
            </w:r>
          </w:p>
        </w:tc>
        <w:tc>
          <w:tcPr>
            <w:tcW w:w="1978" w:type="dxa"/>
          </w:tcPr>
          <w:p>
            <w:pPr>
              <w:pStyle w:val="TableParagraph"/>
              <w:spacing w:line="146" w:lineRule="exact"/>
              <w:ind w:left="392"/>
              <w:rPr>
                <w:sz w:val="13"/>
              </w:rPr>
            </w:pPr>
            <w:r>
              <w:rPr>
                <w:sz w:val="13"/>
              </w:rPr>
              <w:t>Total Expenditures</w:t>
            </w:r>
          </w:p>
        </w:tc>
        <w:tc>
          <w:tcPr>
            <w:tcW w:w="4005" w:type="dxa"/>
            <w:gridSpan w:val="2"/>
          </w:tcPr>
          <w:p>
            <w:pPr>
              <w:pStyle w:val="TableParagraph"/>
              <w:spacing w:line="146" w:lineRule="exact"/>
              <w:ind w:left="86"/>
              <w:rPr>
                <w:sz w:val="13"/>
              </w:rPr>
            </w:pPr>
            <w:r>
              <w:rPr>
                <w:sz w:val="13"/>
              </w:rPr>
              <w:t>of Unrestricted Salaries and Benefits</w:t>
            </w:r>
          </w:p>
        </w:tc>
      </w:tr>
      <w:tr>
        <w:trPr>
          <w:trHeight w:val="165" w:hRule="atLeast"/>
        </w:trPr>
        <w:tc>
          <w:tcPr>
            <w:tcW w:w="5078" w:type="dxa"/>
            <w:gridSpan w:val="2"/>
          </w:tcPr>
          <w:p>
            <w:pPr>
              <w:pStyle w:val="TableParagraph"/>
              <w:tabs>
                <w:tab w:pos="3129" w:val="left" w:leader="none"/>
              </w:tabs>
              <w:spacing w:line="130" w:lineRule="exact" w:before="16"/>
              <w:ind w:left="809"/>
              <w:rPr>
                <w:sz w:val="13"/>
              </w:rPr>
            </w:pPr>
            <w:r>
              <w:rPr>
                <w:sz w:val="13"/>
              </w:rPr>
              <w:t>Fiscal</w:t>
            </w:r>
            <w:r>
              <w:rPr>
                <w:spacing w:val="-2"/>
                <w:sz w:val="13"/>
              </w:rPr>
              <w:t> </w:t>
            </w:r>
            <w:r>
              <w:rPr>
                <w:sz w:val="13"/>
              </w:rPr>
              <w:t>Year</w:t>
              <w:tab/>
              <w:t>(Form 01, Objects</w:t>
            </w:r>
            <w:r>
              <w:rPr>
                <w:spacing w:val="13"/>
                <w:sz w:val="13"/>
              </w:rPr>
              <w:t> </w:t>
            </w:r>
            <w:r>
              <w:rPr>
                <w:sz w:val="13"/>
              </w:rPr>
              <w:t>1000-3999)</w:t>
            </w:r>
          </w:p>
        </w:tc>
        <w:tc>
          <w:tcPr>
            <w:tcW w:w="1978" w:type="dxa"/>
          </w:tcPr>
          <w:p>
            <w:pPr>
              <w:pStyle w:val="TableParagraph"/>
              <w:spacing w:line="130" w:lineRule="exact" w:before="16"/>
              <w:ind w:right="141"/>
              <w:jc w:val="right"/>
              <w:rPr>
                <w:sz w:val="13"/>
              </w:rPr>
            </w:pPr>
            <w:r>
              <w:rPr>
                <w:sz w:val="13"/>
              </w:rPr>
              <w:t>(Form 01, Objects 1000-7499)</w:t>
            </w:r>
          </w:p>
        </w:tc>
        <w:tc>
          <w:tcPr>
            <w:tcW w:w="4005" w:type="dxa"/>
            <w:gridSpan w:val="2"/>
          </w:tcPr>
          <w:p>
            <w:pPr>
              <w:pStyle w:val="TableParagraph"/>
              <w:spacing w:line="130" w:lineRule="exact" w:before="16"/>
              <w:ind w:left="142"/>
              <w:rPr>
                <w:sz w:val="13"/>
              </w:rPr>
            </w:pPr>
            <w:r>
              <w:rPr>
                <w:sz w:val="13"/>
              </w:rPr>
              <w:t>to Total Unrestricted Expenditures</w:t>
            </w:r>
          </w:p>
        </w:tc>
      </w:tr>
      <w:tr>
        <w:trPr>
          <w:trHeight w:val="203" w:hRule="atLeast"/>
        </w:trPr>
        <w:tc>
          <w:tcPr>
            <w:tcW w:w="3096" w:type="dxa"/>
          </w:tcPr>
          <w:p>
            <w:pPr>
              <w:pStyle w:val="TableParagraph"/>
              <w:spacing w:line="149" w:lineRule="exact" w:before="35"/>
              <w:ind w:left="34"/>
              <w:rPr>
                <w:sz w:val="13"/>
              </w:rPr>
            </w:pPr>
            <w:r>
              <w:rPr>
                <w:sz w:val="13"/>
              </w:rPr>
              <w:t>Third Prior Year (2018-19)</w:t>
            </w:r>
          </w:p>
        </w:tc>
        <w:tc>
          <w:tcPr>
            <w:tcW w:w="1982" w:type="dxa"/>
          </w:tcPr>
          <w:p>
            <w:pPr>
              <w:pStyle w:val="TableParagraph"/>
              <w:spacing w:line="149" w:lineRule="exact" w:before="35"/>
              <w:ind w:right="108"/>
              <w:jc w:val="right"/>
              <w:rPr>
                <w:sz w:val="13"/>
              </w:rPr>
            </w:pPr>
            <w:r>
              <w:rPr>
                <w:sz w:val="13"/>
              </w:rPr>
              <w:t>1,055,622.52</w:t>
            </w:r>
          </w:p>
        </w:tc>
        <w:tc>
          <w:tcPr>
            <w:tcW w:w="1978" w:type="dxa"/>
          </w:tcPr>
          <w:p>
            <w:pPr>
              <w:pStyle w:val="TableParagraph"/>
              <w:spacing w:line="149" w:lineRule="exact" w:before="35"/>
              <w:ind w:right="130"/>
              <w:jc w:val="right"/>
              <w:rPr>
                <w:sz w:val="13"/>
              </w:rPr>
            </w:pPr>
            <w:r>
              <w:rPr>
                <w:sz w:val="13"/>
              </w:rPr>
              <w:t>1,706,113.19</w:t>
            </w:r>
          </w:p>
        </w:tc>
        <w:tc>
          <w:tcPr>
            <w:tcW w:w="4005" w:type="dxa"/>
            <w:gridSpan w:val="2"/>
          </w:tcPr>
          <w:p>
            <w:pPr>
              <w:pStyle w:val="TableParagraph"/>
              <w:spacing w:line="149" w:lineRule="exact" w:before="35"/>
              <w:ind w:left="970"/>
              <w:rPr>
                <w:sz w:val="13"/>
              </w:rPr>
            </w:pPr>
            <w:r>
              <w:rPr>
                <w:sz w:val="13"/>
              </w:rPr>
              <w:t>61.9%</w:t>
            </w:r>
          </w:p>
        </w:tc>
      </w:tr>
      <w:tr>
        <w:trPr>
          <w:trHeight w:val="184" w:hRule="atLeast"/>
        </w:trPr>
        <w:tc>
          <w:tcPr>
            <w:tcW w:w="3096" w:type="dxa"/>
          </w:tcPr>
          <w:p>
            <w:pPr>
              <w:pStyle w:val="TableParagraph"/>
              <w:spacing w:line="149" w:lineRule="exact" w:before="16"/>
              <w:ind w:left="34"/>
              <w:rPr>
                <w:sz w:val="13"/>
              </w:rPr>
            </w:pPr>
            <w:r>
              <w:rPr>
                <w:sz w:val="13"/>
              </w:rPr>
              <w:t>Second Prior Year (2019-20)</w:t>
            </w:r>
          </w:p>
        </w:tc>
        <w:tc>
          <w:tcPr>
            <w:tcW w:w="1982" w:type="dxa"/>
          </w:tcPr>
          <w:p>
            <w:pPr>
              <w:pStyle w:val="TableParagraph"/>
              <w:spacing w:line="149" w:lineRule="exact" w:before="16"/>
              <w:ind w:right="108"/>
              <w:jc w:val="right"/>
              <w:rPr>
                <w:sz w:val="13"/>
              </w:rPr>
            </w:pPr>
            <w:r>
              <w:rPr>
                <w:sz w:val="13"/>
              </w:rPr>
              <w:t>1,012,276.57</w:t>
            </w:r>
          </w:p>
        </w:tc>
        <w:tc>
          <w:tcPr>
            <w:tcW w:w="1978" w:type="dxa"/>
          </w:tcPr>
          <w:p>
            <w:pPr>
              <w:pStyle w:val="TableParagraph"/>
              <w:spacing w:line="149" w:lineRule="exact" w:before="16"/>
              <w:ind w:right="130"/>
              <w:jc w:val="right"/>
              <w:rPr>
                <w:sz w:val="13"/>
              </w:rPr>
            </w:pPr>
            <w:r>
              <w:rPr>
                <w:sz w:val="13"/>
              </w:rPr>
              <w:t>1,569,874.42</w:t>
            </w:r>
          </w:p>
        </w:tc>
        <w:tc>
          <w:tcPr>
            <w:tcW w:w="4005" w:type="dxa"/>
            <w:gridSpan w:val="2"/>
          </w:tcPr>
          <w:p>
            <w:pPr>
              <w:pStyle w:val="TableParagraph"/>
              <w:spacing w:line="149" w:lineRule="exact" w:before="16"/>
              <w:ind w:left="970"/>
              <w:rPr>
                <w:sz w:val="13"/>
              </w:rPr>
            </w:pPr>
            <w:r>
              <w:rPr>
                <w:sz w:val="13"/>
              </w:rPr>
              <w:t>64.5%</w:t>
            </w:r>
          </w:p>
        </w:tc>
      </w:tr>
      <w:tr>
        <w:trPr>
          <w:trHeight w:val="184" w:hRule="atLeast"/>
        </w:trPr>
        <w:tc>
          <w:tcPr>
            <w:tcW w:w="3096" w:type="dxa"/>
          </w:tcPr>
          <w:p>
            <w:pPr>
              <w:pStyle w:val="TableParagraph"/>
              <w:spacing w:line="149" w:lineRule="exact" w:before="16"/>
              <w:ind w:left="34"/>
              <w:rPr>
                <w:sz w:val="13"/>
              </w:rPr>
            </w:pPr>
            <w:r>
              <w:rPr>
                <w:sz w:val="13"/>
              </w:rPr>
              <w:t>First Prior Year (2020-21)</w:t>
            </w:r>
          </w:p>
        </w:tc>
        <w:tc>
          <w:tcPr>
            <w:tcW w:w="1982" w:type="dxa"/>
          </w:tcPr>
          <w:p>
            <w:pPr>
              <w:pStyle w:val="TableParagraph"/>
              <w:spacing w:line="149" w:lineRule="exact" w:before="16"/>
              <w:ind w:right="108"/>
              <w:jc w:val="right"/>
              <w:rPr>
                <w:sz w:val="13"/>
              </w:rPr>
            </w:pPr>
            <w:r>
              <w:rPr>
                <w:sz w:val="13"/>
              </w:rPr>
              <w:t>893,601.00</w:t>
            </w:r>
          </w:p>
        </w:tc>
        <w:tc>
          <w:tcPr>
            <w:tcW w:w="1978" w:type="dxa"/>
          </w:tcPr>
          <w:p>
            <w:pPr>
              <w:pStyle w:val="TableParagraph"/>
              <w:spacing w:line="149" w:lineRule="exact" w:before="16"/>
              <w:ind w:right="130"/>
              <w:jc w:val="right"/>
              <w:rPr>
                <w:sz w:val="13"/>
              </w:rPr>
            </w:pPr>
            <w:r>
              <w:rPr>
                <w:sz w:val="13"/>
              </w:rPr>
              <w:t>1,302,403.00</w:t>
            </w:r>
          </w:p>
        </w:tc>
        <w:tc>
          <w:tcPr>
            <w:tcW w:w="4005" w:type="dxa"/>
            <w:gridSpan w:val="2"/>
          </w:tcPr>
          <w:p>
            <w:pPr>
              <w:pStyle w:val="TableParagraph"/>
              <w:spacing w:line="149" w:lineRule="exact" w:before="16"/>
              <w:ind w:left="970"/>
              <w:rPr>
                <w:sz w:val="13"/>
              </w:rPr>
            </w:pPr>
            <w:r>
              <w:rPr>
                <w:sz w:val="13"/>
              </w:rPr>
              <w:t>68.6%</w:t>
            </w:r>
          </w:p>
        </w:tc>
      </w:tr>
      <w:tr>
        <w:trPr>
          <w:trHeight w:val="165" w:hRule="atLeast"/>
        </w:trPr>
        <w:tc>
          <w:tcPr>
            <w:tcW w:w="3096" w:type="dxa"/>
          </w:tcPr>
          <w:p>
            <w:pPr>
              <w:pStyle w:val="TableParagraph"/>
              <w:rPr>
                <w:rFonts w:ascii="Times New Roman"/>
                <w:sz w:val="10"/>
              </w:rPr>
            </w:pPr>
          </w:p>
        </w:tc>
        <w:tc>
          <w:tcPr>
            <w:tcW w:w="1982" w:type="dxa"/>
          </w:tcPr>
          <w:p>
            <w:pPr>
              <w:pStyle w:val="TableParagraph"/>
              <w:rPr>
                <w:rFonts w:ascii="Times New Roman"/>
                <w:sz w:val="10"/>
              </w:rPr>
            </w:pPr>
          </w:p>
        </w:tc>
        <w:tc>
          <w:tcPr>
            <w:tcW w:w="1978" w:type="dxa"/>
          </w:tcPr>
          <w:p>
            <w:pPr>
              <w:pStyle w:val="TableParagraph"/>
              <w:spacing w:line="130" w:lineRule="exact" w:before="16"/>
              <w:ind w:right="85"/>
              <w:jc w:val="right"/>
              <w:rPr>
                <w:sz w:val="13"/>
              </w:rPr>
            </w:pPr>
            <w:r>
              <w:rPr>
                <w:sz w:val="13"/>
              </w:rPr>
              <w:t>Historical Average Ratio:</w:t>
            </w:r>
          </w:p>
        </w:tc>
        <w:tc>
          <w:tcPr>
            <w:tcW w:w="4005" w:type="dxa"/>
            <w:gridSpan w:val="2"/>
          </w:tcPr>
          <w:p>
            <w:pPr>
              <w:pStyle w:val="TableParagraph"/>
              <w:spacing w:line="130" w:lineRule="exact" w:before="16"/>
              <w:ind w:left="970"/>
              <w:rPr>
                <w:sz w:val="13"/>
              </w:rPr>
            </w:pPr>
            <w:r>
              <w:rPr>
                <w:sz w:val="13"/>
              </w:rPr>
              <w:t>65.0%</w:t>
            </w:r>
          </w:p>
        </w:tc>
      </w:tr>
      <w:tr>
        <w:trPr>
          <w:trHeight w:val="346" w:hRule="atLeast"/>
        </w:trPr>
        <w:tc>
          <w:tcPr>
            <w:tcW w:w="5078" w:type="dxa"/>
            <w:gridSpan w:val="2"/>
          </w:tcPr>
          <w:p>
            <w:pPr>
              <w:pStyle w:val="TableParagraph"/>
              <w:rPr>
                <w:rFonts w:ascii="Times New Roman"/>
                <w:sz w:val="12"/>
              </w:rPr>
            </w:pPr>
          </w:p>
        </w:tc>
        <w:tc>
          <w:tcPr>
            <w:tcW w:w="1978" w:type="dxa"/>
          </w:tcPr>
          <w:p>
            <w:pPr>
              <w:pStyle w:val="TableParagraph"/>
              <w:spacing w:before="2"/>
              <w:rPr>
                <w:sz w:val="16"/>
              </w:rPr>
            </w:pPr>
          </w:p>
          <w:p>
            <w:pPr>
              <w:pStyle w:val="TableParagraph"/>
              <w:spacing w:line="140" w:lineRule="exact"/>
              <w:ind w:left="557"/>
              <w:rPr>
                <w:sz w:val="13"/>
              </w:rPr>
            </w:pPr>
            <w:r>
              <w:rPr>
                <w:sz w:val="13"/>
              </w:rPr>
              <w:t>Budget Year</w:t>
            </w:r>
          </w:p>
        </w:tc>
        <w:tc>
          <w:tcPr>
            <w:tcW w:w="2261" w:type="dxa"/>
          </w:tcPr>
          <w:p>
            <w:pPr>
              <w:pStyle w:val="TableParagraph"/>
              <w:spacing w:before="2"/>
              <w:rPr>
                <w:sz w:val="16"/>
              </w:rPr>
            </w:pPr>
          </w:p>
          <w:p>
            <w:pPr>
              <w:pStyle w:val="TableParagraph"/>
              <w:spacing w:line="140" w:lineRule="exact"/>
              <w:ind w:left="529" w:right="476"/>
              <w:jc w:val="center"/>
              <w:rPr>
                <w:sz w:val="13"/>
              </w:rPr>
            </w:pPr>
            <w:r>
              <w:rPr>
                <w:sz w:val="13"/>
              </w:rPr>
              <w:t>1st Subsequent Year</w:t>
            </w:r>
          </w:p>
        </w:tc>
        <w:tc>
          <w:tcPr>
            <w:tcW w:w="1744" w:type="dxa"/>
          </w:tcPr>
          <w:p>
            <w:pPr>
              <w:pStyle w:val="TableParagraph"/>
              <w:spacing w:before="2"/>
              <w:rPr>
                <w:sz w:val="16"/>
              </w:rPr>
            </w:pPr>
          </w:p>
          <w:p>
            <w:pPr>
              <w:pStyle w:val="TableParagraph"/>
              <w:spacing w:line="140" w:lineRule="exact"/>
              <w:ind w:left="419" w:right="26"/>
              <w:jc w:val="center"/>
              <w:rPr>
                <w:sz w:val="13"/>
              </w:rPr>
            </w:pPr>
            <w:r>
              <w:rPr>
                <w:sz w:val="13"/>
              </w:rPr>
              <w:t>2nd Subsequent Year</w:t>
            </w:r>
          </w:p>
        </w:tc>
      </w:tr>
      <w:tr>
        <w:trPr>
          <w:trHeight w:val="186" w:hRule="atLeast"/>
        </w:trPr>
        <w:tc>
          <w:tcPr>
            <w:tcW w:w="5078" w:type="dxa"/>
            <w:gridSpan w:val="2"/>
          </w:tcPr>
          <w:p>
            <w:pPr>
              <w:pStyle w:val="TableParagraph"/>
              <w:rPr>
                <w:rFonts w:ascii="Times New Roman"/>
                <w:sz w:val="12"/>
              </w:rPr>
            </w:pPr>
          </w:p>
        </w:tc>
        <w:tc>
          <w:tcPr>
            <w:tcW w:w="1978" w:type="dxa"/>
          </w:tcPr>
          <w:p>
            <w:pPr>
              <w:pStyle w:val="TableParagraph"/>
              <w:spacing w:before="7"/>
              <w:ind w:left="653"/>
              <w:rPr>
                <w:sz w:val="13"/>
              </w:rPr>
            </w:pPr>
            <w:r>
              <w:rPr>
                <w:sz w:val="13"/>
              </w:rPr>
              <w:t>(2021-22)</w:t>
            </w:r>
          </w:p>
        </w:tc>
        <w:tc>
          <w:tcPr>
            <w:tcW w:w="2261" w:type="dxa"/>
          </w:tcPr>
          <w:p>
            <w:pPr>
              <w:pStyle w:val="TableParagraph"/>
              <w:spacing w:before="7"/>
              <w:ind w:left="529" w:right="475"/>
              <w:jc w:val="center"/>
              <w:rPr>
                <w:sz w:val="13"/>
              </w:rPr>
            </w:pPr>
            <w:r>
              <w:rPr>
                <w:sz w:val="13"/>
              </w:rPr>
              <w:t>(2022-23)</w:t>
            </w:r>
          </w:p>
        </w:tc>
        <w:tc>
          <w:tcPr>
            <w:tcW w:w="1744" w:type="dxa"/>
          </w:tcPr>
          <w:p>
            <w:pPr>
              <w:pStyle w:val="TableParagraph"/>
              <w:spacing w:before="7"/>
              <w:ind w:left="419" w:right="26"/>
              <w:jc w:val="center"/>
              <w:rPr>
                <w:sz w:val="13"/>
              </w:rPr>
            </w:pPr>
            <w:r>
              <w:rPr>
                <w:sz w:val="13"/>
              </w:rPr>
              <w:t>(2023-24)</w:t>
            </w:r>
          </w:p>
        </w:tc>
      </w:tr>
      <w:tr>
        <w:trPr>
          <w:trHeight w:val="335" w:hRule="atLeast"/>
        </w:trPr>
        <w:tc>
          <w:tcPr>
            <w:tcW w:w="5078" w:type="dxa"/>
            <w:gridSpan w:val="2"/>
          </w:tcPr>
          <w:p>
            <w:pPr>
              <w:pStyle w:val="TableParagraph"/>
              <w:spacing w:before="25"/>
              <w:ind w:right="53"/>
              <w:jc w:val="right"/>
              <w:rPr>
                <w:sz w:val="13"/>
              </w:rPr>
            </w:pPr>
            <w:r>
              <w:rPr>
                <w:sz w:val="13"/>
              </w:rPr>
              <w:t>District's Reserve Standard</w:t>
            </w:r>
            <w:r>
              <w:rPr>
                <w:spacing w:val="33"/>
                <w:sz w:val="13"/>
              </w:rPr>
              <w:t> </w:t>
            </w:r>
            <w:r>
              <w:rPr>
                <w:sz w:val="13"/>
              </w:rPr>
              <w:t>Percentage</w:t>
            </w:r>
          </w:p>
          <w:p>
            <w:pPr>
              <w:pStyle w:val="TableParagraph"/>
              <w:spacing w:line="139" w:lineRule="exact" w:before="2"/>
              <w:ind w:right="49"/>
              <w:jc w:val="right"/>
              <w:rPr>
                <w:sz w:val="13"/>
              </w:rPr>
            </w:pPr>
            <w:r>
              <w:rPr>
                <w:sz w:val="13"/>
              </w:rPr>
              <w:t>(Criterion 10B, Line</w:t>
            </w:r>
            <w:r>
              <w:rPr>
                <w:spacing w:val="9"/>
                <w:sz w:val="13"/>
              </w:rPr>
              <w:t> </w:t>
            </w:r>
            <w:r>
              <w:rPr>
                <w:sz w:val="13"/>
              </w:rPr>
              <w:t>4):</w:t>
            </w:r>
          </w:p>
        </w:tc>
        <w:tc>
          <w:tcPr>
            <w:tcW w:w="1978" w:type="dxa"/>
          </w:tcPr>
          <w:p>
            <w:pPr>
              <w:pStyle w:val="TableParagraph"/>
              <w:spacing w:before="4"/>
              <w:rPr>
                <w:sz w:val="15"/>
              </w:rPr>
            </w:pPr>
          </w:p>
          <w:p>
            <w:pPr>
              <w:pStyle w:val="TableParagraph"/>
              <w:spacing w:line="139" w:lineRule="exact"/>
              <w:ind w:left="774" w:right="867"/>
              <w:jc w:val="center"/>
              <w:rPr>
                <w:sz w:val="13"/>
              </w:rPr>
            </w:pPr>
            <w:r>
              <w:rPr>
                <w:sz w:val="13"/>
              </w:rPr>
              <w:t>5.0%</w:t>
            </w:r>
          </w:p>
        </w:tc>
        <w:tc>
          <w:tcPr>
            <w:tcW w:w="2261" w:type="dxa"/>
          </w:tcPr>
          <w:p>
            <w:pPr>
              <w:pStyle w:val="TableParagraph"/>
              <w:spacing w:before="4"/>
              <w:rPr>
                <w:sz w:val="15"/>
              </w:rPr>
            </w:pPr>
          </w:p>
          <w:p>
            <w:pPr>
              <w:pStyle w:val="TableParagraph"/>
              <w:spacing w:line="139" w:lineRule="exact"/>
              <w:ind w:left="529" w:right="476"/>
              <w:jc w:val="center"/>
              <w:rPr>
                <w:sz w:val="13"/>
              </w:rPr>
            </w:pPr>
            <w:r>
              <w:rPr>
                <w:sz w:val="13"/>
              </w:rPr>
              <w:t>5.0%</w:t>
            </w:r>
          </w:p>
        </w:tc>
        <w:tc>
          <w:tcPr>
            <w:tcW w:w="1744" w:type="dxa"/>
          </w:tcPr>
          <w:p>
            <w:pPr>
              <w:pStyle w:val="TableParagraph"/>
              <w:spacing w:before="4"/>
              <w:rPr>
                <w:sz w:val="15"/>
              </w:rPr>
            </w:pPr>
          </w:p>
          <w:p>
            <w:pPr>
              <w:pStyle w:val="TableParagraph"/>
              <w:spacing w:line="139" w:lineRule="exact"/>
              <w:ind w:left="418" w:right="26"/>
              <w:jc w:val="center"/>
              <w:rPr>
                <w:sz w:val="13"/>
              </w:rPr>
            </w:pPr>
            <w:r>
              <w:rPr>
                <w:sz w:val="13"/>
              </w:rPr>
              <w:t>5.0%</w:t>
            </w:r>
          </w:p>
        </w:tc>
      </w:tr>
      <w:tr>
        <w:trPr>
          <w:trHeight w:val="166" w:hRule="atLeast"/>
        </w:trPr>
        <w:tc>
          <w:tcPr>
            <w:tcW w:w="5078" w:type="dxa"/>
            <w:gridSpan w:val="2"/>
          </w:tcPr>
          <w:p>
            <w:pPr>
              <w:pStyle w:val="TableParagraph"/>
              <w:spacing w:line="140" w:lineRule="exact" w:before="6"/>
              <w:ind w:left="2462"/>
              <w:rPr>
                <w:b/>
                <w:sz w:val="13"/>
              </w:rPr>
            </w:pPr>
            <w:r>
              <w:rPr>
                <w:b/>
                <w:sz w:val="13"/>
              </w:rPr>
              <w:t>District's Salaries and Benefits Standard</w:t>
            </w:r>
          </w:p>
        </w:tc>
        <w:tc>
          <w:tcPr>
            <w:tcW w:w="1978" w:type="dxa"/>
          </w:tcPr>
          <w:p>
            <w:pPr>
              <w:pStyle w:val="TableParagraph"/>
              <w:rPr>
                <w:rFonts w:ascii="Times New Roman"/>
                <w:sz w:val="10"/>
              </w:rPr>
            </w:pPr>
          </w:p>
        </w:tc>
        <w:tc>
          <w:tcPr>
            <w:tcW w:w="2261" w:type="dxa"/>
          </w:tcPr>
          <w:p>
            <w:pPr>
              <w:pStyle w:val="TableParagraph"/>
              <w:rPr>
                <w:rFonts w:ascii="Times New Roman"/>
                <w:sz w:val="10"/>
              </w:rPr>
            </w:pPr>
          </w:p>
        </w:tc>
        <w:tc>
          <w:tcPr>
            <w:tcW w:w="1744" w:type="dxa"/>
          </w:tcPr>
          <w:p>
            <w:pPr>
              <w:pStyle w:val="TableParagraph"/>
              <w:rPr>
                <w:rFonts w:ascii="Times New Roman"/>
                <w:sz w:val="10"/>
              </w:rPr>
            </w:pPr>
          </w:p>
        </w:tc>
      </w:tr>
      <w:tr>
        <w:trPr>
          <w:trHeight w:val="167" w:hRule="atLeast"/>
        </w:trPr>
        <w:tc>
          <w:tcPr>
            <w:tcW w:w="5078" w:type="dxa"/>
            <w:gridSpan w:val="2"/>
          </w:tcPr>
          <w:p>
            <w:pPr>
              <w:pStyle w:val="TableParagraph"/>
              <w:spacing w:line="140" w:lineRule="exact" w:before="7"/>
              <w:ind w:left="2033"/>
              <w:rPr>
                <w:b/>
                <w:sz w:val="13"/>
              </w:rPr>
            </w:pPr>
            <w:r>
              <w:rPr>
                <w:b/>
                <w:sz w:val="13"/>
              </w:rPr>
              <w:t>(historical average ratio, plus/minus the greater</w:t>
            </w:r>
          </w:p>
        </w:tc>
        <w:tc>
          <w:tcPr>
            <w:tcW w:w="1978" w:type="dxa"/>
          </w:tcPr>
          <w:p>
            <w:pPr>
              <w:pStyle w:val="TableParagraph"/>
              <w:rPr>
                <w:rFonts w:ascii="Times New Roman"/>
                <w:sz w:val="10"/>
              </w:rPr>
            </w:pPr>
          </w:p>
        </w:tc>
        <w:tc>
          <w:tcPr>
            <w:tcW w:w="2261" w:type="dxa"/>
          </w:tcPr>
          <w:p>
            <w:pPr>
              <w:pStyle w:val="TableParagraph"/>
              <w:rPr>
                <w:rFonts w:ascii="Times New Roman"/>
                <w:sz w:val="10"/>
              </w:rPr>
            </w:pPr>
          </w:p>
        </w:tc>
        <w:tc>
          <w:tcPr>
            <w:tcW w:w="1744" w:type="dxa"/>
          </w:tcPr>
          <w:p>
            <w:pPr>
              <w:pStyle w:val="TableParagraph"/>
              <w:rPr>
                <w:rFonts w:ascii="Times New Roman"/>
                <w:sz w:val="10"/>
              </w:rPr>
            </w:pPr>
          </w:p>
        </w:tc>
      </w:tr>
      <w:tr>
        <w:trPr>
          <w:trHeight w:val="157" w:hRule="atLeast"/>
        </w:trPr>
        <w:tc>
          <w:tcPr>
            <w:tcW w:w="5078" w:type="dxa"/>
            <w:gridSpan w:val="2"/>
          </w:tcPr>
          <w:p>
            <w:pPr>
              <w:pStyle w:val="TableParagraph"/>
              <w:spacing w:line="130" w:lineRule="exact" w:before="7"/>
              <w:ind w:left="1742"/>
              <w:rPr>
                <w:b/>
                <w:sz w:val="13"/>
              </w:rPr>
            </w:pPr>
            <w:r>
              <w:rPr>
                <w:b/>
                <w:sz w:val="13"/>
              </w:rPr>
              <w:t>of 3% or the district's reserve standard percentage):</w:t>
            </w:r>
          </w:p>
        </w:tc>
        <w:tc>
          <w:tcPr>
            <w:tcW w:w="1978" w:type="dxa"/>
          </w:tcPr>
          <w:p>
            <w:pPr>
              <w:pStyle w:val="TableParagraph"/>
              <w:spacing w:line="130" w:lineRule="exact" w:before="7"/>
              <w:ind w:left="468"/>
              <w:rPr>
                <w:b/>
                <w:sz w:val="13"/>
              </w:rPr>
            </w:pPr>
            <w:r>
              <w:rPr>
                <w:b/>
                <w:sz w:val="13"/>
              </w:rPr>
              <w:t>60.0% to 70.0%</w:t>
            </w:r>
          </w:p>
        </w:tc>
        <w:tc>
          <w:tcPr>
            <w:tcW w:w="2261" w:type="dxa"/>
          </w:tcPr>
          <w:p>
            <w:pPr>
              <w:pStyle w:val="TableParagraph"/>
              <w:spacing w:line="130" w:lineRule="exact" w:before="7"/>
              <w:ind w:left="529" w:right="475"/>
              <w:jc w:val="center"/>
              <w:rPr>
                <w:b/>
                <w:sz w:val="13"/>
              </w:rPr>
            </w:pPr>
            <w:r>
              <w:rPr>
                <w:b/>
                <w:sz w:val="13"/>
              </w:rPr>
              <w:t>60.0% to 70.0%</w:t>
            </w:r>
          </w:p>
        </w:tc>
        <w:tc>
          <w:tcPr>
            <w:tcW w:w="1744" w:type="dxa"/>
          </w:tcPr>
          <w:p>
            <w:pPr>
              <w:pStyle w:val="TableParagraph"/>
              <w:spacing w:line="130" w:lineRule="exact" w:before="7"/>
              <w:ind w:left="419" w:right="26"/>
              <w:jc w:val="center"/>
              <w:rPr>
                <w:b/>
                <w:sz w:val="13"/>
              </w:rPr>
            </w:pPr>
            <w:r>
              <w:rPr>
                <w:b/>
                <w:sz w:val="13"/>
              </w:rPr>
              <w:t>60.0% to 70.0%</w:t>
            </w:r>
          </w:p>
        </w:tc>
      </w:tr>
    </w:tbl>
    <w:p>
      <w:pPr>
        <w:pStyle w:val="BodyText"/>
        <w:spacing w:before="1"/>
        <w:rPr>
          <w:sz w:val="12"/>
        </w:rPr>
      </w:pPr>
      <w:r>
        <w:rPr/>
        <w:pict>
          <v:group style="position:absolute;margin-left:16.440001pt;margin-top:8.924032pt;width:567.25pt;height:10.95pt;mso-position-horizontal-relative:page;mso-position-vertical-relative:paragraph;z-index:-250936320;mso-wrap-distance-left:0;mso-wrap-distance-right:0" coordorigin="329,178" coordsize="11345,219">
            <v:shape style="position:absolute;left:3324;top:178;width:4006;height:22" type="#_x0000_t75" stroked="false">
              <v:imagedata r:id="rId1609" o:title=""/>
            </v:shape>
            <v:shape style="position:absolute;left:328;top:178;width:3003;height:22" type="#_x0000_t75" stroked="false">
              <v:imagedata r:id="rId1504" o:title=""/>
            </v:shape>
            <v:line style="position:absolute" from="3325,190" to="3325,380" stroked="true" strokeweight=".359997pt" strokecolor="#ffffff">
              <v:stroke dashstyle="solid"/>
            </v:line>
            <v:line style="position:absolute" from="4760,190" to="4760,380" stroked="true" strokeweight=".360008pt" strokecolor="#ffffff">
              <v:stroke dashstyle="solid"/>
            </v:line>
            <v:line style="position:absolute" from="5368,190" to="5368,380" stroked="true" strokeweight=".359986pt" strokecolor="#ffffff">
              <v:stroke dashstyle="solid"/>
            </v:line>
            <v:line style="position:absolute" from="6335,190" to="6335,380" stroked="true" strokeweight=".360008pt" strokecolor="#ffffff">
              <v:stroke dashstyle="solid"/>
            </v:line>
            <v:shape style="position:absolute;left:328;top:375;width:9432;height:22" type="#_x0000_t75" stroked="false">
              <v:imagedata r:id="rId1610" o:title=""/>
            </v:shape>
            <v:line style="position:absolute" from="7324,190" to="7324,380" stroked="true" strokeweight=".360008pt" strokecolor="#ffffff">
              <v:stroke dashstyle="solid"/>
            </v:line>
            <v:shape style="position:absolute;left:7322;top:178;width:4352;height:22" type="#_x0000_t75" stroked="false">
              <v:imagedata r:id="rId1611" o:title=""/>
            </v:shape>
            <v:shape style="position:absolute;left:9753;top:375;width:1920;height:22" type="#_x0000_t75" stroked="false">
              <v:imagedata r:id="rId1612" o:title=""/>
            </v:shape>
            <v:shape style="position:absolute;left:328;top:178;width:11345;height:219" type="#_x0000_t202" filled="false" stroked="false">
              <v:textbox inset="0,0,0,0">
                <w:txbxContent>
                  <w:p>
                    <w:pPr>
                      <w:spacing w:before="41"/>
                      <w:ind w:left="33" w:right="0" w:firstLine="0"/>
                      <w:jc w:val="left"/>
                      <w:rPr>
                        <w:b/>
                        <w:sz w:val="14"/>
                      </w:rPr>
                    </w:pPr>
                    <w:r>
                      <w:rPr>
                        <w:b/>
                        <w:w w:val="105"/>
                        <w:sz w:val="14"/>
                      </w:rPr>
                      <w:t>5B. Calculating the District's Projected Ratio of Unrestricted Salaries and Benefits to Total Unrestricted General Fund Expenditures</w:t>
                    </w:r>
                  </w:p>
                </w:txbxContent>
              </v:textbox>
              <w10:wrap type="none"/>
            </v:shape>
            <w10:wrap type="topAndBottom"/>
          </v:group>
        </w:pict>
      </w:r>
    </w:p>
    <w:p>
      <w:pPr>
        <w:pStyle w:val="BodyText"/>
        <w:spacing w:before="3"/>
        <w:rPr>
          <w:sz w:val="20"/>
        </w:rPr>
      </w:pPr>
    </w:p>
    <w:p>
      <w:pPr>
        <w:pStyle w:val="BodyText"/>
        <w:spacing w:line="268" w:lineRule="auto"/>
        <w:ind w:left="322" w:right="1689"/>
      </w:pPr>
      <w:r>
        <w:rPr/>
        <w:pict>
          <v:group style="position:absolute;margin-left:268.320007pt;margin-top:-75.863098pt;width:315.4pt;height:43.35pt;mso-position-horizontal-relative:page;mso-position-vertical-relative:paragraph;z-index:-313985024" coordorigin="5366,-1517" coordsize="6308,867">
            <v:shape style="position:absolute;left:5366;top:-1518;width:6308;height:862" type="#_x0000_t75" stroked="false">
              <v:imagedata r:id="rId1613" o:title=""/>
            </v:shape>
            <v:shape style="position:absolute;left:5366;top:-827;width:6308;height:176" type="#_x0000_t75" stroked="false">
              <v:imagedata r:id="rId1614" o:title=""/>
            </v:shape>
            <w10:wrap type="none"/>
          </v:group>
        </w:pict>
      </w:r>
      <w:r>
        <w:rPr/>
        <w:t>DATA ENTRY: If Form MYP exists, Unrestricted Salaries and Benefits, and Total Unrestricted Expenditures data for the 1st and 2nd Subsequent Years will be extracted; if not, enter data for the two subsequent years. All other data are extracted or calculated.</w:t>
      </w:r>
    </w:p>
    <w:p>
      <w:pPr>
        <w:pStyle w:val="BodyText"/>
        <w:spacing w:before="2"/>
        <w:rPr>
          <w:sz w:val="16"/>
        </w:rPr>
      </w:pPr>
    </w:p>
    <w:p>
      <w:pPr>
        <w:pStyle w:val="BodyText"/>
        <w:spacing w:line="268" w:lineRule="auto" w:after="21"/>
        <w:ind w:left="4589" w:right="5624" w:firstLine="74"/>
      </w:pPr>
      <w:r>
        <w:rPr/>
        <w:pict>
          <v:group style="position:absolute;margin-left:16.440001pt;margin-top:43.416931pt;width:567.25pt;height:29.3pt;mso-position-horizontal-relative:page;mso-position-vertical-relative:paragraph;z-index:-313984000" coordorigin="329,868" coordsize="11345,586">
            <v:shape style="position:absolute;left:328;top:868;width:2268;height:8" type="#_x0000_t75" stroked="false">
              <v:imagedata r:id="rId1604" o:title=""/>
            </v:shape>
            <v:shape style="position:absolute;left:2589;top:868;width:2784;height:188" type="#_x0000_t75" stroked="false">
              <v:imagedata r:id="rId1615" o:title=""/>
            </v:shape>
            <v:shape style="position:absolute;left:5366;top:868;width:4395;height:190" type="#_x0000_t75" stroked="false">
              <v:imagedata r:id="rId1616" o:title=""/>
            </v:shape>
            <v:shape style="position:absolute;left:3328;top:1057;width:2043;height:209" type="#_x0000_t75" stroked="false">
              <v:imagedata r:id="rId1617" o:title=""/>
            </v:shape>
            <v:shape style="position:absolute;left:5366;top:868;width:6308;height:396" type="#_x0000_t75" stroked="false">
              <v:imagedata r:id="rId1618" o:title=""/>
            </v:shape>
            <v:shape style="position:absolute;left:3324;top:1053;width:2050;height:212" type="#_x0000_t75" stroked="false">
              <v:imagedata r:id="rId1619" o:title=""/>
            </v:shape>
            <v:shape style="position:absolute;left:5371;top:1057;width:1956;height:209" type="#_x0000_t75" stroked="false">
              <v:imagedata r:id="rId1620" o:title=""/>
            </v:shape>
            <v:shape style="position:absolute;left:3324;top:1261;width:2050;height:192" type="#_x0000_t75" stroked="false">
              <v:imagedata r:id="rId1621" o:title=""/>
            </v:shape>
            <v:shape style="position:absolute;left:5371;top:1266;width:1956;height:185" type="#_x0000_t75" stroked="false">
              <v:imagedata r:id="rId1622" o:title=""/>
            </v:shape>
            <v:shape style="position:absolute;left:5366;top:1053;width:6308;height:401" type="#_x0000_t75" stroked="false">
              <v:imagedata r:id="rId1623" o:title=""/>
            </v:shape>
            <v:shape style="position:absolute;left:9753;top:1261;width:1920;height:192" type="#_x0000_t75" stroked="false">
              <v:imagedata r:id="rId1603" o:title=""/>
            </v:shape>
            <w10:wrap type="none"/>
          </v:group>
        </w:pict>
      </w:r>
      <w:r>
        <w:rPr/>
        <w:t>Budget - Unrestricted (Resources 0000-1999)</w:t>
      </w:r>
    </w:p>
    <w:tbl>
      <w:tblPr>
        <w:tblW w:w="0" w:type="auto"/>
        <w:jc w:val="left"/>
        <w:tblInd w:w="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99"/>
        <w:gridCol w:w="1434"/>
        <w:gridCol w:w="611"/>
        <w:gridCol w:w="1956"/>
        <w:gridCol w:w="2729"/>
        <w:gridCol w:w="923"/>
      </w:tblGrid>
      <w:tr>
        <w:trPr>
          <w:trHeight w:val="356" w:hRule="atLeast"/>
        </w:trPr>
        <w:tc>
          <w:tcPr>
            <w:tcW w:w="5044" w:type="dxa"/>
            <w:gridSpan w:val="3"/>
          </w:tcPr>
          <w:p>
            <w:pPr>
              <w:pStyle w:val="TableParagraph"/>
              <w:spacing w:line="147" w:lineRule="exact"/>
              <w:ind w:left="3126" w:right="132"/>
              <w:jc w:val="center"/>
              <w:rPr>
                <w:sz w:val="13"/>
              </w:rPr>
            </w:pPr>
            <w:r>
              <w:rPr>
                <w:sz w:val="13"/>
              </w:rPr>
              <w:t>Salaries and Benefits</w:t>
            </w:r>
          </w:p>
          <w:p>
            <w:pPr>
              <w:pStyle w:val="TableParagraph"/>
              <w:spacing w:line="140" w:lineRule="exact" w:before="49"/>
              <w:ind w:left="3130" w:right="132"/>
              <w:jc w:val="center"/>
              <w:rPr>
                <w:sz w:val="13"/>
              </w:rPr>
            </w:pPr>
            <w:r>
              <w:rPr>
                <w:sz w:val="13"/>
              </w:rPr>
              <w:t>(Form 01, Objects 1000-3999)</w:t>
            </w:r>
          </w:p>
        </w:tc>
        <w:tc>
          <w:tcPr>
            <w:tcW w:w="1956" w:type="dxa"/>
          </w:tcPr>
          <w:p>
            <w:pPr>
              <w:pStyle w:val="TableParagraph"/>
              <w:spacing w:line="147" w:lineRule="exact"/>
              <w:ind w:left="82" w:right="87"/>
              <w:jc w:val="center"/>
              <w:rPr>
                <w:sz w:val="13"/>
              </w:rPr>
            </w:pPr>
            <w:r>
              <w:rPr>
                <w:sz w:val="13"/>
              </w:rPr>
              <w:t>Total Expenditures</w:t>
            </w:r>
          </w:p>
          <w:p>
            <w:pPr>
              <w:pStyle w:val="TableParagraph"/>
              <w:spacing w:line="140" w:lineRule="exact" w:before="49"/>
              <w:ind w:left="87" w:right="87"/>
              <w:jc w:val="center"/>
              <w:rPr>
                <w:sz w:val="13"/>
              </w:rPr>
            </w:pPr>
            <w:r>
              <w:rPr>
                <w:sz w:val="13"/>
              </w:rPr>
              <w:t>(Form 01, Objects 1000-7499)</w:t>
            </w:r>
          </w:p>
        </w:tc>
        <w:tc>
          <w:tcPr>
            <w:tcW w:w="2729" w:type="dxa"/>
          </w:tcPr>
          <w:p>
            <w:pPr>
              <w:pStyle w:val="TableParagraph"/>
              <w:spacing w:line="147" w:lineRule="exact"/>
              <w:ind w:left="121" w:right="423"/>
              <w:jc w:val="center"/>
              <w:rPr>
                <w:sz w:val="13"/>
              </w:rPr>
            </w:pPr>
            <w:r>
              <w:rPr>
                <w:sz w:val="13"/>
              </w:rPr>
              <w:t>Ratio</w:t>
            </w:r>
          </w:p>
          <w:p>
            <w:pPr>
              <w:pStyle w:val="TableParagraph"/>
              <w:spacing w:line="140" w:lineRule="exact" w:before="49"/>
              <w:ind w:left="156" w:right="423"/>
              <w:jc w:val="center"/>
              <w:rPr>
                <w:sz w:val="13"/>
              </w:rPr>
            </w:pPr>
            <w:r>
              <w:rPr>
                <w:sz w:val="13"/>
              </w:rPr>
              <w:t>of Unrestricted Salaries and Benefits</w:t>
            </w:r>
          </w:p>
        </w:tc>
        <w:tc>
          <w:tcPr>
            <w:tcW w:w="923" w:type="dxa"/>
          </w:tcPr>
          <w:p>
            <w:pPr>
              <w:pStyle w:val="TableParagraph"/>
              <w:rPr>
                <w:rFonts w:ascii="Times New Roman"/>
                <w:sz w:val="12"/>
              </w:rPr>
            </w:pPr>
          </w:p>
        </w:tc>
      </w:tr>
      <w:tr>
        <w:trPr>
          <w:trHeight w:val="157" w:hRule="atLeast"/>
        </w:trPr>
        <w:tc>
          <w:tcPr>
            <w:tcW w:w="5044" w:type="dxa"/>
            <w:gridSpan w:val="3"/>
          </w:tcPr>
          <w:p>
            <w:pPr>
              <w:pStyle w:val="TableParagraph"/>
              <w:tabs>
                <w:tab w:pos="3266" w:val="left" w:leader="none"/>
              </w:tabs>
              <w:spacing w:line="130" w:lineRule="exact" w:before="7"/>
              <w:ind w:left="809"/>
              <w:rPr>
                <w:sz w:val="13"/>
              </w:rPr>
            </w:pPr>
            <w:r>
              <w:rPr>
                <w:sz w:val="13"/>
              </w:rPr>
              <w:t>Fiscal</w:t>
            </w:r>
            <w:r>
              <w:rPr>
                <w:spacing w:val="-2"/>
                <w:sz w:val="13"/>
              </w:rPr>
              <w:t> </w:t>
            </w:r>
            <w:r>
              <w:rPr>
                <w:sz w:val="13"/>
              </w:rPr>
              <w:t>Year</w:t>
              <w:tab/>
              <w:t>(Form MYP, Lines</w:t>
            </w:r>
            <w:r>
              <w:rPr>
                <w:spacing w:val="6"/>
                <w:sz w:val="13"/>
              </w:rPr>
              <w:t> </w:t>
            </w:r>
            <w:r>
              <w:rPr>
                <w:sz w:val="13"/>
              </w:rPr>
              <w:t>B1-B3)</w:t>
            </w:r>
          </w:p>
        </w:tc>
        <w:tc>
          <w:tcPr>
            <w:tcW w:w="1956" w:type="dxa"/>
          </w:tcPr>
          <w:p>
            <w:pPr>
              <w:pStyle w:val="TableParagraph"/>
              <w:spacing w:line="130" w:lineRule="exact" w:before="7"/>
              <w:ind w:right="69"/>
              <w:jc w:val="right"/>
              <w:rPr>
                <w:sz w:val="13"/>
              </w:rPr>
            </w:pPr>
            <w:r>
              <w:rPr>
                <w:sz w:val="13"/>
              </w:rPr>
              <w:t>(Form MYP, Lines B1-B8, B10)</w:t>
            </w:r>
          </w:p>
        </w:tc>
        <w:tc>
          <w:tcPr>
            <w:tcW w:w="2729" w:type="dxa"/>
          </w:tcPr>
          <w:p>
            <w:pPr>
              <w:pStyle w:val="TableParagraph"/>
              <w:spacing w:line="130" w:lineRule="exact" w:before="7"/>
              <w:ind w:left="83" w:right="423"/>
              <w:jc w:val="center"/>
              <w:rPr>
                <w:sz w:val="13"/>
              </w:rPr>
            </w:pPr>
            <w:r>
              <w:rPr>
                <w:sz w:val="13"/>
              </w:rPr>
              <w:t>to Total Unrestricted Expenditures</w:t>
            </w:r>
          </w:p>
        </w:tc>
        <w:tc>
          <w:tcPr>
            <w:tcW w:w="923" w:type="dxa"/>
          </w:tcPr>
          <w:p>
            <w:pPr>
              <w:pStyle w:val="TableParagraph"/>
              <w:spacing w:line="130" w:lineRule="exact" w:before="7"/>
              <w:ind w:right="77"/>
              <w:jc w:val="right"/>
              <w:rPr>
                <w:sz w:val="13"/>
              </w:rPr>
            </w:pPr>
            <w:r>
              <w:rPr>
                <w:sz w:val="13"/>
              </w:rPr>
              <w:t>Status</w:t>
            </w:r>
          </w:p>
        </w:tc>
      </w:tr>
      <w:tr>
        <w:trPr>
          <w:trHeight w:val="188" w:hRule="atLeast"/>
        </w:trPr>
        <w:tc>
          <w:tcPr>
            <w:tcW w:w="2999" w:type="dxa"/>
          </w:tcPr>
          <w:p>
            <w:pPr>
              <w:pStyle w:val="TableParagraph"/>
              <w:spacing w:line="133" w:lineRule="exact" w:before="35"/>
              <w:ind w:left="34"/>
              <w:rPr>
                <w:sz w:val="13"/>
              </w:rPr>
            </w:pPr>
            <w:r>
              <w:rPr>
                <w:sz w:val="13"/>
              </w:rPr>
              <w:t>Budget Year (2021-22)</w:t>
            </w:r>
          </w:p>
        </w:tc>
        <w:tc>
          <w:tcPr>
            <w:tcW w:w="2045" w:type="dxa"/>
            <w:gridSpan w:val="2"/>
          </w:tcPr>
          <w:p>
            <w:pPr>
              <w:pStyle w:val="TableParagraph"/>
              <w:spacing w:line="133" w:lineRule="exact" w:before="35"/>
              <w:ind w:left="1302"/>
              <w:rPr>
                <w:sz w:val="13"/>
              </w:rPr>
            </w:pPr>
            <w:r>
              <w:rPr>
                <w:sz w:val="13"/>
              </w:rPr>
              <w:t>987,170.00</w:t>
            </w:r>
          </w:p>
        </w:tc>
        <w:tc>
          <w:tcPr>
            <w:tcW w:w="1956" w:type="dxa"/>
          </w:tcPr>
          <w:p>
            <w:pPr>
              <w:pStyle w:val="TableParagraph"/>
              <w:spacing w:line="133" w:lineRule="exact" w:before="35"/>
              <w:ind w:right="74"/>
              <w:jc w:val="right"/>
              <w:rPr>
                <w:sz w:val="13"/>
              </w:rPr>
            </w:pPr>
            <w:r>
              <w:rPr>
                <w:sz w:val="13"/>
              </w:rPr>
              <w:t>1,464,681.00</w:t>
            </w:r>
          </w:p>
        </w:tc>
        <w:tc>
          <w:tcPr>
            <w:tcW w:w="2729" w:type="dxa"/>
          </w:tcPr>
          <w:p>
            <w:pPr>
              <w:pStyle w:val="TableParagraph"/>
              <w:spacing w:line="133" w:lineRule="exact" w:before="35"/>
              <w:ind w:left="124" w:right="423"/>
              <w:jc w:val="center"/>
              <w:rPr>
                <w:sz w:val="13"/>
              </w:rPr>
            </w:pPr>
            <w:r>
              <w:rPr>
                <w:sz w:val="13"/>
              </w:rPr>
              <w:t>67.4%</w:t>
            </w:r>
          </w:p>
        </w:tc>
        <w:tc>
          <w:tcPr>
            <w:tcW w:w="923" w:type="dxa"/>
          </w:tcPr>
          <w:p>
            <w:pPr>
              <w:pStyle w:val="TableParagraph"/>
              <w:spacing w:line="133" w:lineRule="exact" w:before="35"/>
              <w:ind w:right="154"/>
              <w:jc w:val="right"/>
              <w:rPr>
                <w:sz w:val="13"/>
              </w:rPr>
            </w:pPr>
            <w:r>
              <w:rPr>
                <w:sz w:val="13"/>
              </w:rPr>
              <w:t>Met</w:t>
            </w:r>
          </w:p>
        </w:tc>
      </w:tr>
      <w:tr>
        <w:trPr>
          <w:trHeight w:val="224" w:hRule="atLeast"/>
        </w:trPr>
        <w:tc>
          <w:tcPr>
            <w:tcW w:w="2999" w:type="dxa"/>
          </w:tcPr>
          <w:p>
            <w:pPr>
              <w:pStyle w:val="TableParagraph"/>
              <w:spacing w:line="149" w:lineRule="exact" w:before="55"/>
              <w:ind w:left="34"/>
              <w:rPr>
                <w:sz w:val="13"/>
              </w:rPr>
            </w:pPr>
            <w:r>
              <w:rPr>
                <w:sz w:val="13"/>
              </w:rPr>
              <w:t>1st Subsequent Year (2022-23)</w:t>
            </w:r>
          </w:p>
        </w:tc>
        <w:tc>
          <w:tcPr>
            <w:tcW w:w="2045" w:type="dxa"/>
            <w:gridSpan w:val="2"/>
          </w:tcPr>
          <w:p>
            <w:pPr>
              <w:pStyle w:val="TableParagraph"/>
              <w:spacing w:line="149" w:lineRule="exact" w:before="55"/>
              <w:ind w:left="1191"/>
              <w:rPr>
                <w:sz w:val="13"/>
              </w:rPr>
            </w:pPr>
            <w:r>
              <w:rPr>
                <w:sz w:val="13"/>
              </w:rPr>
              <w:t>1,083,769.00</w:t>
            </w:r>
          </w:p>
        </w:tc>
        <w:tc>
          <w:tcPr>
            <w:tcW w:w="1956" w:type="dxa"/>
          </w:tcPr>
          <w:p>
            <w:pPr>
              <w:pStyle w:val="TableParagraph"/>
              <w:spacing w:line="149" w:lineRule="exact" w:before="55"/>
              <w:ind w:right="74"/>
              <w:jc w:val="right"/>
              <w:rPr>
                <w:sz w:val="13"/>
              </w:rPr>
            </w:pPr>
            <w:r>
              <w:rPr>
                <w:sz w:val="13"/>
              </w:rPr>
              <w:t>1,514,779.00</w:t>
            </w:r>
          </w:p>
        </w:tc>
        <w:tc>
          <w:tcPr>
            <w:tcW w:w="2729" w:type="dxa"/>
          </w:tcPr>
          <w:p>
            <w:pPr>
              <w:pStyle w:val="TableParagraph"/>
              <w:spacing w:line="149" w:lineRule="exact" w:before="55"/>
              <w:ind w:left="124" w:right="423"/>
              <w:jc w:val="center"/>
              <w:rPr>
                <w:sz w:val="13"/>
              </w:rPr>
            </w:pPr>
            <w:r>
              <w:rPr>
                <w:sz w:val="13"/>
              </w:rPr>
              <w:t>71.5%</w:t>
            </w:r>
          </w:p>
        </w:tc>
        <w:tc>
          <w:tcPr>
            <w:tcW w:w="923" w:type="dxa"/>
          </w:tcPr>
          <w:p>
            <w:pPr>
              <w:pStyle w:val="TableParagraph"/>
              <w:spacing w:line="149" w:lineRule="exact" w:before="55"/>
              <w:ind w:right="33"/>
              <w:jc w:val="right"/>
              <w:rPr>
                <w:sz w:val="13"/>
              </w:rPr>
            </w:pPr>
            <w:r>
              <w:rPr>
                <w:sz w:val="13"/>
              </w:rPr>
              <w:t>Not Met</w:t>
            </w:r>
          </w:p>
        </w:tc>
      </w:tr>
      <w:tr>
        <w:trPr>
          <w:trHeight w:val="169" w:hRule="atLeast"/>
        </w:trPr>
        <w:tc>
          <w:tcPr>
            <w:tcW w:w="2999" w:type="dxa"/>
          </w:tcPr>
          <w:p>
            <w:pPr>
              <w:pStyle w:val="TableParagraph"/>
              <w:spacing w:line="133" w:lineRule="exact" w:before="16"/>
              <w:ind w:left="34"/>
              <w:rPr>
                <w:sz w:val="13"/>
              </w:rPr>
            </w:pPr>
            <w:r>
              <w:rPr>
                <w:sz w:val="13"/>
              </w:rPr>
              <w:t>2nd Subsequent Year (2023-24)</w:t>
            </w:r>
          </w:p>
        </w:tc>
        <w:tc>
          <w:tcPr>
            <w:tcW w:w="2045" w:type="dxa"/>
            <w:gridSpan w:val="2"/>
          </w:tcPr>
          <w:p>
            <w:pPr>
              <w:pStyle w:val="TableParagraph"/>
              <w:spacing w:line="133" w:lineRule="exact" w:before="16"/>
              <w:ind w:left="1191"/>
              <w:rPr>
                <w:sz w:val="13"/>
              </w:rPr>
            </w:pPr>
            <w:r>
              <w:rPr>
                <w:sz w:val="13"/>
              </w:rPr>
              <w:t>1,110,785.00</w:t>
            </w:r>
          </w:p>
        </w:tc>
        <w:tc>
          <w:tcPr>
            <w:tcW w:w="1956" w:type="dxa"/>
          </w:tcPr>
          <w:p>
            <w:pPr>
              <w:pStyle w:val="TableParagraph"/>
              <w:spacing w:line="133" w:lineRule="exact" w:before="16"/>
              <w:ind w:right="74"/>
              <w:jc w:val="right"/>
              <w:rPr>
                <w:sz w:val="13"/>
              </w:rPr>
            </w:pPr>
            <w:r>
              <w:rPr>
                <w:sz w:val="13"/>
              </w:rPr>
              <w:t>1,550,720.00</w:t>
            </w:r>
          </w:p>
        </w:tc>
        <w:tc>
          <w:tcPr>
            <w:tcW w:w="2729" w:type="dxa"/>
          </w:tcPr>
          <w:p>
            <w:pPr>
              <w:pStyle w:val="TableParagraph"/>
              <w:spacing w:line="133" w:lineRule="exact" w:before="16"/>
              <w:ind w:left="124" w:right="423"/>
              <w:jc w:val="center"/>
              <w:rPr>
                <w:sz w:val="13"/>
              </w:rPr>
            </w:pPr>
            <w:r>
              <w:rPr>
                <w:sz w:val="13"/>
              </w:rPr>
              <w:t>71.6%</w:t>
            </w:r>
          </w:p>
        </w:tc>
        <w:tc>
          <w:tcPr>
            <w:tcW w:w="923" w:type="dxa"/>
          </w:tcPr>
          <w:p>
            <w:pPr>
              <w:pStyle w:val="TableParagraph"/>
              <w:spacing w:line="133" w:lineRule="exact" w:before="16"/>
              <w:ind w:right="33"/>
              <w:jc w:val="right"/>
              <w:rPr>
                <w:sz w:val="13"/>
              </w:rPr>
            </w:pPr>
            <w:r>
              <w:rPr>
                <w:sz w:val="13"/>
              </w:rPr>
              <w:t>Not Met</w:t>
            </w:r>
          </w:p>
        </w:tc>
      </w:tr>
      <w:tr>
        <w:trPr>
          <w:trHeight w:val="168" w:hRule="atLeast"/>
        </w:trPr>
        <w:tc>
          <w:tcPr>
            <w:tcW w:w="2999" w:type="dxa"/>
          </w:tcPr>
          <w:p>
            <w:pPr>
              <w:pStyle w:val="TableParagraph"/>
              <w:rPr>
                <w:rFonts w:ascii="Times New Roman"/>
                <w:sz w:val="10"/>
              </w:rPr>
            </w:pPr>
          </w:p>
        </w:tc>
        <w:tc>
          <w:tcPr>
            <w:tcW w:w="4001" w:type="dxa"/>
            <w:gridSpan w:val="3"/>
          </w:tcPr>
          <w:p>
            <w:pPr>
              <w:pStyle w:val="TableParagraph"/>
              <w:rPr>
                <w:rFonts w:ascii="Times New Roman"/>
                <w:sz w:val="10"/>
              </w:rPr>
            </w:pPr>
          </w:p>
        </w:tc>
        <w:tc>
          <w:tcPr>
            <w:tcW w:w="2729" w:type="dxa"/>
          </w:tcPr>
          <w:p>
            <w:pPr>
              <w:pStyle w:val="TableParagraph"/>
              <w:rPr>
                <w:rFonts w:ascii="Times New Roman"/>
                <w:sz w:val="10"/>
              </w:rPr>
            </w:pPr>
          </w:p>
        </w:tc>
        <w:tc>
          <w:tcPr>
            <w:tcW w:w="923" w:type="dxa"/>
          </w:tcPr>
          <w:p>
            <w:pPr>
              <w:pStyle w:val="TableParagraph"/>
              <w:rPr>
                <w:rFonts w:ascii="Times New Roman"/>
                <w:sz w:val="10"/>
              </w:rPr>
            </w:pPr>
          </w:p>
        </w:tc>
      </w:tr>
      <w:tr>
        <w:trPr>
          <w:trHeight w:val="191" w:hRule="atLeast"/>
        </w:trPr>
        <w:tc>
          <w:tcPr>
            <w:tcW w:w="2999" w:type="dxa"/>
            <w:tcBorders>
              <w:right w:val="single" w:sz="4" w:space="0" w:color="FFFFFF"/>
            </w:tcBorders>
          </w:tcPr>
          <w:p>
            <w:pPr>
              <w:pStyle w:val="TableParagraph"/>
              <w:spacing w:line="142" w:lineRule="exact" w:before="29"/>
              <w:ind w:left="34" w:right="-15"/>
              <w:rPr>
                <w:b/>
                <w:sz w:val="14"/>
              </w:rPr>
            </w:pPr>
            <w:r>
              <w:rPr>
                <w:b/>
                <w:w w:val="105"/>
                <w:sz w:val="14"/>
              </w:rPr>
              <w:t>5C. Comparison of District Salaries and</w:t>
            </w:r>
            <w:r>
              <w:rPr>
                <w:b/>
                <w:spacing w:val="-25"/>
                <w:w w:val="105"/>
                <w:sz w:val="14"/>
              </w:rPr>
              <w:t> </w:t>
            </w:r>
            <w:r>
              <w:rPr>
                <w:b/>
                <w:w w:val="105"/>
                <w:sz w:val="14"/>
              </w:rPr>
              <w:t>Be</w:t>
            </w:r>
          </w:p>
        </w:tc>
        <w:tc>
          <w:tcPr>
            <w:tcW w:w="1434" w:type="dxa"/>
            <w:tcBorders>
              <w:left w:val="single" w:sz="4" w:space="0" w:color="FFFFFF"/>
              <w:right w:val="single" w:sz="4" w:space="0" w:color="FFFFFF"/>
            </w:tcBorders>
          </w:tcPr>
          <w:p>
            <w:pPr>
              <w:pStyle w:val="TableParagraph"/>
              <w:spacing w:line="142" w:lineRule="exact" w:before="29"/>
              <w:ind w:left="1"/>
              <w:rPr>
                <w:b/>
                <w:sz w:val="14"/>
              </w:rPr>
            </w:pPr>
            <w:r>
              <w:rPr>
                <w:b/>
                <w:w w:val="105"/>
                <w:sz w:val="14"/>
              </w:rPr>
              <w:t>nefits Ratio to the </w:t>
            </w:r>
            <w:r>
              <w:rPr>
                <w:b/>
                <w:spacing w:val="-6"/>
                <w:w w:val="105"/>
                <w:sz w:val="14"/>
              </w:rPr>
              <w:t>St</w:t>
            </w:r>
          </w:p>
        </w:tc>
        <w:tc>
          <w:tcPr>
            <w:tcW w:w="2567" w:type="dxa"/>
            <w:gridSpan w:val="2"/>
            <w:tcBorders>
              <w:left w:val="single" w:sz="4" w:space="0" w:color="FFFFFF"/>
            </w:tcBorders>
          </w:tcPr>
          <w:p>
            <w:pPr>
              <w:pStyle w:val="TableParagraph"/>
              <w:spacing w:line="142" w:lineRule="exact" w:before="29"/>
              <w:ind w:left="-16"/>
              <w:rPr>
                <w:b/>
                <w:sz w:val="14"/>
              </w:rPr>
            </w:pPr>
            <w:r>
              <w:rPr>
                <w:b/>
                <w:w w:val="105"/>
                <w:sz w:val="14"/>
              </w:rPr>
              <w:t>andard</w:t>
            </w:r>
          </w:p>
        </w:tc>
        <w:tc>
          <w:tcPr>
            <w:tcW w:w="2729" w:type="dxa"/>
          </w:tcPr>
          <w:p>
            <w:pPr>
              <w:pStyle w:val="TableParagraph"/>
              <w:rPr>
                <w:rFonts w:ascii="Times New Roman"/>
                <w:sz w:val="12"/>
              </w:rPr>
            </w:pPr>
          </w:p>
        </w:tc>
        <w:tc>
          <w:tcPr>
            <w:tcW w:w="923" w:type="dxa"/>
          </w:tcPr>
          <w:p>
            <w:pPr>
              <w:pStyle w:val="TableParagraph"/>
              <w:rPr>
                <w:rFonts w:ascii="Times New Roman"/>
                <w:sz w:val="12"/>
              </w:rPr>
            </w:pPr>
          </w:p>
        </w:tc>
      </w:tr>
    </w:tbl>
    <w:p>
      <w:pPr>
        <w:pStyle w:val="BodyText"/>
        <w:rPr>
          <w:sz w:val="14"/>
        </w:rPr>
      </w:pPr>
    </w:p>
    <w:p>
      <w:pPr>
        <w:pStyle w:val="BodyText"/>
        <w:spacing w:before="113"/>
        <w:ind w:left="322"/>
      </w:pPr>
      <w:r>
        <w:rPr/>
        <w:pict>
          <v:group style="position:absolute;margin-left:16.440001pt;margin-top:-26.053082pt;width:567.25pt;height:18.75pt;mso-position-horizontal-relative:page;mso-position-vertical-relative:paragraph;z-index:-313982976" coordorigin="329,-521" coordsize="11345,375">
            <v:shape style="position:absolute;left:828;top:-366;width:2504;height:22" type="#_x0000_t75" stroked="false">
              <v:imagedata r:id="rId1624" o:title=""/>
            </v:shape>
            <v:shape style="position:absolute;left:3328;top:-522;width:1436;height:168" type="#_x0000_t75" stroked="false">
              <v:imagedata r:id="rId1625" o:title=""/>
            </v:shape>
            <v:shape style="position:absolute;left:3324;top:-366;width:1443;height:22" type="#_x0000_t75" stroked="false">
              <v:imagedata r:id="rId1567" o:title=""/>
            </v:shape>
            <v:shape style="position:absolute;left:4764;top:-522;width:608;height:168" type="#_x0000_t75" stroked="false">
              <v:imagedata r:id="rId1626" o:title=""/>
            </v:shape>
            <v:shape style="position:absolute;left:4759;top:-366;width:615;height:22" type="#_x0000_t75" stroked="false">
              <v:imagedata r:id="rId1569" o:title=""/>
            </v:shape>
            <v:shape style="position:absolute;left:5371;top:-522;width:968;height:168" type="#_x0000_t75" stroked="false">
              <v:imagedata r:id="rId1627" o:title=""/>
            </v:shape>
            <v:shape style="position:absolute;left:5366;top:-366;width:975;height:22" type="#_x0000_t75" stroked="false">
              <v:imagedata r:id="rId1571" o:title=""/>
            </v:shape>
            <v:shape style="position:absolute;left:6338;top:-522;width:989;height:168" type="#_x0000_t75" stroked="false">
              <v:imagedata r:id="rId1628" o:title=""/>
            </v:shape>
            <v:line style="position:absolute" from="829,-353" to="829,-163" stroked="true" strokeweight=".359999pt" strokecolor="#ffffff">
              <v:stroke dashstyle="solid"/>
            </v:line>
            <v:shape style="position:absolute;left:328;top:-366;width:507;height:22" type="#_x0000_t75" stroked="false">
              <v:imagedata r:id="rId1575" o:title=""/>
            </v:shape>
            <v:line style="position:absolute" from="2591,-353" to="2591,-163" stroked="true" strokeweight=".360008pt" strokecolor="#ffffff">
              <v:stroke dashstyle="solid"/>
            </v:line>
            <v:shape style="position:absolute;left:328;top:-169;width:5045;height:22" type="#_x0000_t75" stroked="false">
              <v:imagedata r:id="rId1546" o:title=""/>
            </v:shape>
            <v:shape style="position:absolute;left:6333;top:-366;width:5340;height:22" type="#_x0000_t75" stroked="false">
              <v:imagedata r:id="rId1574" o:title=""/>
            </v:shape>
            <v:shape style="position:absolute;left:5366;top:-169;width:6308;height:22" type="#_x0000_t75" stroked="false">
              <v:imagedata r:id="rId1547" o:title=""/>
            </v:shape>
            <w10:wrap type="none"/>
          </v:group>
        </w:pict>
      </w:r>
      <w:r>
        <w:rPr/>
        <w:t>DATA ENTRY: Enter an explanation if the standard is not met.</w:t>
      </w:r>
    </w:p>
    <w:p>
      <w:pPr>
        <w:pStyle w:val="BodyText"/>
        <w:spacing w:before="5"/>
        <w:rPr>
          <w:sz w:val="16"/>
        </w:rPr>
      </w:pPr>
    </w:p>
    <w:p>
      <w:pPr>
        <w:pStyle w:val="BodyText"/>
        <w:ind w:left="821" w:right="738" w:hanging="370"/>
      </w:pPr>
      <w:r>
        <w:rPr/>
        <w:t>1a. STANDARD NOT MET - Projected ratio(s) of unrestricted salary and benefit costs to total unrestricted expenditures are outside the standard in one or more of the budget or two subsequent fiscal years. Provide reasons why the projection(s) exceed the standard, a description of the methods and assumptions used in projecting salaries and benefits, and what changes, if any, will be made to bring the projected salary and benefit costs within the</w:t>
      </w:r>
      <w:r>
        <w:rPr>
          <w:spacing w:val="-2"/>
        </w:rPr>
        <w:t> </w:t>
      </w:r>
      <w:r>
        <w:rPr/>
        <w:t>standard.</w:t>
      </w:r>
    </w:p>
    <w:p>
      <w:pPr>
        <w:pStyle w:val="BodyText"/>
        <w:rPr>
          <w:sz w:val="14"/>
        </w:rPr>
      </w:pPr>
    </w:p>
    <w:p>
      <w:pPr>
        <w:pStyle w:val="BodyText"/>
        <w:spacing w:before="4"/>
        <w:rPr>
          <w:sz w:val="17"/>
        </w:rPr>
      </w:pPr>
    </w:p>
    <w:p>
      <w:pPr>
        <w:spacing w:before="0"/>
        <w:ind w:left="0" w:right="8810" w:firstLine="0"/>
        <w:jc w:val="center"/>
        <w:rPr>
          <w:b/>
          <w:sz w:val="13"/>
        </w:rPr>
      </w:pPr>
      <w:r>
        <w:rPr/>
        <w:pict>
          <v:group style="position:absolute;margin-left:129.479996pt;margin-top:-1.9431pt;width:454.2pt;height:38.3pt;mso-position-horizontal-relative:page;mso-position-vertical-relative:paragraph;z-index:252386304" coordorigin="2590,-39" coordsize="9084,766">
            <v:shape style="position:absolute;left:2589;top:-39;width:9084;height:766" type="#_x0000_t75" stroked="false">
              <v:imagedata r:id="rId1522" o:title=""/>
            </v:shape>
            <v:shape style="position:absolute;left:2589;top:-39;width:9084;height:766" type="#_x0000_t202" filled="false" stroked="false">
              <v:textbox inset="0,0,0,0">
                <w:txbxContent>
                  <w:p>
                    <w:pPr>
                      <w:spacing w:before="5"/>
                      <w:ind w:left="33" w:right="139" w:firstLine="0"/>
                      <w:jc w:val="left"/>
                      <w:rPr>
                        <w:sz w:val="13"/>
                      </w:rPr>
                    </w:pPr>
                    <w:r>
                      <w:rPr>
                        <w:sz w:val="13"/>
                      </w:rPr>
                      <w:t>In 22-23 the district does not meet the standard due to moving restricted salaries and benefits into unrestricted based on the removal of one-time Covid19 funds and a reduction in capital outlay expenditures and this continues into 23-24.</w:t>
                    </w:r>
                  </w:p>
                </w:txbxContent>
              </v:textbox>
              <w10:wrap type="none"/>
            </v:shape>
            <w10:wrap type="none"/>
          </v:group>
        </w:pict>
      </w:r>
      <w:r>
        <w:rPr>
          <w:b/>
          <w:sz w:val="13"/>
        </w:rPr>
        <w:t>Explanation:</w:t>
      </w:r>
    </w:p>
    <w:p>
      <w:pPr>
        <w:pStyle w:val="BodyText"/>
        <w:spacing w:before="42"/>
        <w:ind w:right="8810"/>
        <w:jc w:val="center"/>
      </w:pPr>
      <w:r>
        <w:rPr/>
        <w:t>(required if NOT met)</w:t>
      </w:r>
    </w:p>
    <w:p>
      <w:pPr>
        <w:spacing w:after="0"/>
        <w:jc w:val="center"/>
        <w:sectPr>
          <w:pgSz w:w="12240" w:h="15840"/>
          <w:pgMar w:header="402" w:footer="584" w:top="840" w:bottom="780" w:left="40" w:right="40"/>
        </w:sectPr>
      </w:pPr>
    </w:p>
    <w:p>
      <w:pPr>
        <w:pStyle w:val="BodyText"/>
        <w:rPr>
          <w:sz w:val="20"/>
        </w:rPr>
      </w:pPr>
    </w:p>
    <w:p>
      <w:pPr>
        <w:pStyle w:val="BodyText"/>
        <w:spacing w:before="1"/>
        <w:rPr>
          <w:sz w:val="23"/>
        </w:rPr>
      </w:pPr>
    </w:p>
    <w:p>
      <w:pPr>
        <w:pStyle w:val="Heading4"/>
        <w:numPr>
          <w:ilvl w:val="0"/>
          <w:numId w:val="69"/>
        </w:numPr>
        <w:tabs>
          <w:tab w:pos="821" w:val="left" w:leader="none"/>
          <w:tab w:pos="822" w:val="left" w:leader="none"/>
        </w:tabs>
        <w:spacing w:line="240" w:lineRule="auto" w:before="1" w:after="0"/>
        <w:ind w:left="821" w:right="0" w:hanging="344"/>
        <w:jc w:val="left"/>
      </w:pPr>
      <w:r>
        <w:rPr/>
        <w:t>CRITERION: Other Revenues and</w:t>
      </w:r>
      <w:r>
        <w:rPr>
          <w:spacing w:val="-11"/>
        </w:rPr>
        <w:t> </w:t>
      </w:r>
      <w:r>
        <w:rPr/>
        <w:t>Expenditures</w:t>
      </w:r>
    </w:p>
    <w:p>
      <w:pPr>
        <w:pStyle w:val="BodyText"/>
        <w:rPr>
          <w:b/>
          <w:sz w:val="19"/>
        </w:rPr>
      </w:pPr>
    </w:p>
    <w:p>
      <w:pPr>
        <w:pStyle w:val="Heading5"/>
      </w:pPr>
      <w:r>
        <w:rPr/>
        <w:t>STANDARD: Projected operating revenues (including federal, other state, and other local) or expenditures (including books and supplies,</w:t>
      </w:r>
    </w:p>
    <w:p>
      <w:pPr>
        <w:spacing w:line="232" w:lineRule="auto" w:before="27"/>
        <w:ind w:left="821" w:right="622" w:firstLine="0"/>
        <w:jc w:val="left"/>
        <w:rPr>
          <w:sz w:val="16"/>
        </w:rPr>
      </w:pPr>
      <w:r>
        <w:rPr>
          <w:sz w:val="16"/>
        </w:rPr>
        <w:t>and</w:t>
      </w:r>
      <w:r>
        <w:rPr>
          <w:spacing w:val="-6"/>
          <w:sz w:val="16"/>
        </w:rPr>
        <w:t> </w:t>
      </w:r>
      <w:r>
        <w:rPr>
          <w:sz w:val="16"/>
        </w:rPr>
        <w:t>services</w:t>
      </w:r>
      <w:r>
        <w:rPr>
          <w:spacing w:val="-4"/>
          <w:sz w:val="16"/>
        </w:rPr>
        <w:t> </w:t>
      </w:r>
      <w:r>
        <w:rPr>
          <w:sz w:val="16"/>
        </w:rPr>
        <w:t>and</w:t>
      </w:r>
      <w:r>
        <w:rPr>
          <w:spacing w:val="-5"/>
          <w:sz w:val="16"/>
        </w:rPr>
        <w:t> </w:t>
      </w:r>
      <w:r>
        <w:rPr>
          <w:sz w:val="16"/>
        </w:rPr>
        <w:t>other</w:t>
      </w:r>
      <w:r>
        <w:rPr>
          <w:spacing w:val="-4"/>
          <w:sz w:val="16"/>
        </w:rPr>
        <w:t> </w:t>
      </w:r>
      <w:r>
        <w:rPr>
          <w:sz w:val="16"/>
        </w:rPr>
        <w:t>operating),</w:t>
      </w:r>
      <w:r>
        <w:rPr>
          <w:spacing w:val="-5"/>
          <w:sz w:val="16"/>
        </w:rPr>
        <w:t> </w:t>
      </w:r>
      <w:r>
        <w:rPr>
          <w:sz w:val="16"/>
        </w:rPr>
        <w:t>for</w:t>
      </w:r>
      <w:r>
        <w:rPr>
          <w:spacing w:val="-5"/>
          <w:sz w:val="16"/>
        </w:rPr>
        <w:t> </w:t>
      </w:r>
      <w:r>
        <w:rPr>
          <w:sz w:val="16"/>
        </w:rPr>
        <w:t>any</w:t>
      </w:r>
      <w:r>
        <w:rPr>
          <w:spacing w:val="-10"/>
          <w:sz w:val="16"/>
        </w:rPr>
        <w:t> </w:t>
      </w:r>
      <w:r>
        <w:rPr>
          <w:sz w:val="16"/>
        </w:rPr>
        <w:t>of</w:t>
      </w:r>
      <w:r>
        <w:rPr>
          <w:spacing w:val="-4"/>
          <w:sz w:val="16"/>
        </w:rPr>
        <w:t> </w:t>
      </w:r>
      <w:r>
        <w:rPr>
          <w:sz w:val="16"/>
        </w:rPr>
        <w:t>the</w:t>
      </w:r>
      <w:r>
        <w:rPr>
          <w:spacing w:val="-5"/>
          <w:sz w:val="16"/>
        </w:rPr>
        <w:t> </w:t>
      </w:r>
      <w:r>
        <w:rPr>
          <w:sz w:val="16"/>
        </w:rPr>
        <w:t>budget</w:t>
      </w:r>
      <w:r>
        <w:rPr>
          <w:spacing w:val="-5"/>
          <w:sz w:val="16"/>
        </w:rPr>
        <w:t> </w:t>
      </w:r>
      <w:r>
        <w:rPr>
          <w:sz w:val="16"/>
        </w:rPr>
        <w:t>year</w:t>
      </w:r>
      <w:r>
        <w:rPr>
          <w:spacing w:val="-5"/>
          <w:sz w:val="16"/>
        </w:rPr>
        <w:t> </w:t>
      </w:r>
      <w:r>
        <w:rPr>
          <w:sz w:val="16"/>
        </w:rPr>
        <w:t>or</w:t>
      </w:r>
      <w:r>
        <w:rPr>
          <w:spacing w:val="-5"/>
          <w:sz w:val="16"/>
        </w:rPr>
        <w:t> </w:t>
      </w:r>
      <w:r>
        <w:rPr>
          <w:sz w:val="16"/>
        </w:rPr>
        <w:t>two</w:t>
      </w:r>
      <w:r>
        <w:rPr>
          <w:spacing w:val="-5"/>
          <w:sz w:val="16"/>
        </w:rPr>
        <w:t> </w:t>
      </w:r>
      <w:r>
        <w:rPr>
          <w:sz w:val="16"/>
        </w:rPr>
        <w:t>subsequent</w:t>
      </w:r>
      <w:r>
        <w:rPr>
          <w:spacing w:val="-5"/>
          <w:sz w:val="16"/>
        </w:rPr>
        <w:t> </w:t>
      </w:r>
      <w:r>
        <w:rPr>
          <w:sz w:val="16"/>
        </w:rPr>
        <w:t>fiscal</w:t>
      </w:r>
      <w:r>
        <w:rPr>
          <w:spacing w:val="-4"/>
          <w:sz w:val="16"/>
        </w:rPr>
        <w:t> </w:t>
      </w:r>
      <w:r>
        <w:rPr>
          <w:sz w:val="16"/>
        </w:rPr>
        <w:t>years,</w:t>
      </w:r>
      <w:r>
        <w:rPr>
          <w:spacing w:val="-6"/>
          <w:sz w:val="16"/>
        </w:rPr>
        <w:t> </w:t>
      </w:r>
      <w:r>
        <w:rPr>
          <w:sz w:val="16"/>
        </w:rPr>
        <w:t>have</w:t>
      </w:r>
      <w:r>
        <w:rPr>
          <w:spacing w:val="-4"/>
          <w:sz w:val="16"/>
        </w:rPr>
        <w:t> </w:t>
      </w:r>
      <w:r>
        <w:rPr>
          <w:sz w:val="16"/>
        </w:rPr>
        <w:t>not</w:t>
      </w:r>
      <w:r>
        <w:rPr>
          <w:spacing w:val="-6"/>
          <w:sz w:val="16"/>
        </w:rPr>
        <w:t> </w:t>
      </w:r>
      <w:r>
        <w:rPr>
          <w:sz w:val="16"/>
        </w:rPr>
        <w:t>changed</w:t>
      </w:r>
      <w:r>
        <w:rPr>
          <w:spacing w:val="-5"/>
          <w:sz w:val="16"/>
        </w:rPr>
        <w:t> </w:t>
      </w:r>
      <w:r>
        <w:rPr>
          <w:sz w:val="16"/>
        </w:rPr>
        <w:t>from</w:t>
      </w:r>
      <w:r>
        <w:rPr>
          <w:spacing w:val="-4"/>
          <w:sz w:val="16"/>
        </w:rPr>
        <w:t> </w:t>
      </w:r>
      <w:r>
        <w:rPr>
          <w:sz w:val="16"/>
        </w:rPr>
        <w:t>the</w:t>
      </w:r>
      <w:r>
        <w:rPr>
          <w:spacing w:val="-5"/>
          <w:sz w:val="16"/>
        </w:rPr>
        <w:t> </w:t>
      </w:r>
      <w:r>
        <w:rPr>
          <w:sz w:val="16"/>
        </w:rPr>
        <w:t>prior</w:t>
      </w:r>
      <w:r>
        <w:rPr>
          <w:spacing w:val="-4"/>
          <w:sz w:val="16"/>
        </w:rPr>
        <w:t> </w:t>
      </w:r>
      <w:r>
        <w:rPr>
          <w:sz w:val="16"/>
        </w:rPr>
        <w:t>fiscal</w:t>
      </w:r>
      <w:r>
        <w:rPr>
          <w:spacing w:val="-4"/>
          <w:sz w:val="16"/>
        </w:rPr>
        <w:t> </w:t>
      </w:r>
      <w:r>
        <w:rPr>
          <w:sz w:val="16"/>
        </w:rPr>
        <w:t>year</w:t>
      </w:r>
      <w:r>
        <w:rPr>
          <w:spacing w:val="-5"/>
          <w:sz w:val="16"/>
        </w:rPr>
        <w:t> </w:t>
      </w:r>
      <w:r>
        <w:rPr>
          <w:sz w:val="16"/>
        </w:rPr>
        <w:t>amount</w:t>
      </w:r>
      <w:r>
        <w:rPr>
          <w:spacing w:val="-5"/>
          <w:sz w:val="16"/>
        </w:rPr>
        <w:t> </w:t>
      </w:r>
      <w:r>
        <w:rPr>
          <w:sz w:val="16"/>
        </w:rPr>
        <w:t>by</w:t>
      </w:r>
      <w:r>
        <w:rPr>
          <w:spacing w:val="-8"/>
          <w:sz w:val="16"/>
        </w:rPr>
        <w:t> </w:t>
      </w:r>
      <w:r>
        <w:rPr>
          <w:sz w:val="16"/>
        </w:rPr>
        <w:t>more than the percentage change in population and the funded cost-of-living adjustment (COLA) plus or minus ten</w:t>
      </w:r>
      <w:r>
        <w:rPr>
          <w:spacing w:val="-32"/>
          <w:sz w:val="16"/>
        </w:rPr>
        <w:t> </w:t>
      </w:r>
      <w:r>
        <w:rPr>
          <w:sz w:val="16"/>
        </w:rPr>
        <w:t>percent.</w:t>
      </w:r>
    </w:p>
    <w:p>
      <w:pPr>
        <w:pStyle w:val="BodyText"/>
        <w:spacing w:before="9"/>
        <w:rPr>
          <w:sz w:val="21"/>
        </w:rPr>
      </w:pPr>
    </w:p>
    <w:p>
      <w:pPr>
        <w:spacing w:line="232" w:lineRule="auto" w:before="0"/>
        <w:ind w:left="821" w:right="932" w:firstLine="0"/>
        <w:jc w:val="left"/>
        <w:rPr>
          <w:sz w:val="16"/>
        </w:rPr>
      </w:pPr>
      <w:r>
        <w:rPr>
          <w:sz w:val="16"/>
        </w:rPr>
        <w:t>For</w:t>
      </w:r>
      <w:r>
        <w:rPr>
          <w:spacing w:val="-6"/>
          <w:sz w:val="16"/>
        </w:rPr>
        <w:t> </w:t>
      </w:r>
      <w:r>
        <w:rPr>
          <w:sz w:val="16"/>
        </w:rPr>
        <w:t>each</w:t>
      </w:r>
      <w:r>
        <w:rPr>
          <w:spacing w:val="-4"/>
          <w:sz w:val="16"/>
        </w:rPr>
        <w:t> </w:t>
      </w:r>
      <w:r>
        <w:rPr>
          <w:sz w:val="16"/>
        </w:rPr>
        <w:t>major</w:t>
      </w:r>
      <w:r>
        <w:rPr>
          <w:spacing w:val="-4"/>
          <w:sz w:val="16"/>
        </w:rPr>
        <w:t> </w:t>
      </w:r>
      <w:r>
        <w:rPr>
          <w:sz w:val="16"/>
        </w:rPr>
        <w:t>object</w:t>
      </w:r>
      <w:r>
        <w:rPr>
          <w:spacing w:val="-6"/>
          <w:sz w:val="16"/>
        </w:rPr>
        <w:t> </w:t>
      </w:r>
      <w:r>
        <w:rPr>
          <w:sz w:val="16"/>
        </w:rPr>
        <w:t>category,</w:t>
      </w:r>
      <w:r>
        <w:rPr>
          <w:spacing w:val="-5"/>
          <w:sz w:val="16"/>
        </w:rPr>
        <w:t> </w:t>
      </w:r>
      <w:r>
        <w:rPr>
          <w:sz w:val="16"/>
        </w:rPr>
        <w:t>changes</w:t>
      </w:r>
      <w:r>
        <w:rPr>
          <w:spacing w:val="-5"/>
          <w:sz w:val="16"/>
        </w:rPr>
        <w:t> </w:t>
      </w:r>
      <w:r>
        <w:rPr>
          <w:sz w:val="16"/>
        </w:rPr>
        <w:t>that</w:t>
      </w:r>
      <w:r>
        <w:rPr>
          <w:spacing w:val="-6"/>
          <w:sz w:val="16"/>
        </w:rPr>
        <w:t> </w:t>
      </w:r>
      <w:r>
        <w:rPr>
          <w:sz w:val="16"/>
        </w:rPr>
        <w:t>exceed</w:t>
      </w:r>
      <w:r>
        <w:rPr>
          <w:spacing w:val="-5"/>
          <w:sz w:val="16"/>
        </w:rPr>
        <w:t> </w:t>
      </w:r>
      <w:r>
        <w:rPr>
          <w:sz w:val="16"/>
        </w:rPr>
        <w:t>the</w:t>
      </w:r>
      <w:r>
        <w:rPr>
          <w:spacing w:val="-3"/>
          <w:sz w:val="16"/>
        </w:rPr>
        <w:t> </w:t>
      </w:r>
      <w:r>
        <w:rPr>
          <w:sz w:val="16"/>
        </w:rPr>
        <w:t>percentage</w:t>
      </w:r>
      <w:r>
        <w:rPr>
          <w:spacing w:val="-5"/>
          <w:sz w:val="16"/>
        </w:rPr>
        <w:t> </w:t>
      </w:r>
      <w:r>
        <w:rPr>
          <w:sz w:val="16"/>
        </w:rPr>
        <w:t>change</w:t>
      </w:r>
      <w:r>
        <w:rPr>
          <w:spacing w:val="-6"/>
          <w:sz w:val="16"/>
        </w:rPr>
        <w:t> </w:t>
      </w:r>
      <w:r>
        <w:rPr>
          <w:sz w:val="16"/>
        </w:rPr>
        <w:t>in</w:t>
      </w:r>
      <w:r>
        <w:rPr>
          <w:spacing w:val="-4"/>
          <w:sz w:val="16"/>
        </w:rPr>
        <w:t> </w:t>
      </w:r>
      <w:r>
        <w:rPr>
          <w:sz w:val="16"/>
        </w:rPr>
        <w:t>population</w:t>
      </w:r>
      <w:r>
        <w:rPr>
          <w:spacing w:val="-4"/>
          <w:sz w:val="16"/>
        </w:rPr>
        <w:t> </w:t>
      </w:r>
      <w:r>
        <w:rPr>
          <w:sz w:val="16"/>
        </w:rPr>
        <w:t>and</w:t>
      </w:r>
      <w:r>
        <w:rPr>
          <w:spacing w:val="-5"/>
          <w:sz w:val="16"/>
        </w:rPr>
        <w:t> </w:t>
      </w:r>
      <w:r>
        <w:rPr>
          <w:sz w:val="16"/>
        </w:rPr>
        <w:t>the</w:t>
      </w:r>
      <w:r>
        <w:rPr>
          <w:spacing w:val="-5"/>
          <w:sz w:val="16"/>
        </w:rPr>
        <w:t> </w:t>
      </w:r>
      <w:r>
        <w:rPr>
          <w:sz w:val="16"/>
        </w:rPr>
        <w:t>funded</w:t>
      </w:r>
      <w:r>
        <w:rPr>
          <w:spacing w:val="-3"/>
          <w:sz w:val="16"/>
        </w:rPr>
        <w:t> </w:t>
      </w:r>
      <w:r>
        <w:rPr>
          <w:sz w:val="16"/>
        </w:rPr>
        <w:t>COLA</w:t>
      </w:r>
      <w:r>
        <w:rPr>
          <w:spacing w:val="-5"/>
          <w:sz w:val="16"/>
        </w:rPr>
        <w:t> </w:t>
      </w:r>
      <w:r>
        <w:rPr>
          <w:sz w:val="16"/>
        </w:rPr>
        <w:t>plus</w:t>
      </w:r>
      <w:r>
        <w:rPr>
          <w:spacing w:val="-5"/>
          <w:sz w:val="16"/>
        </w:rPr>
        <w:t> </w:t>
      </w:r>
      <w:r>
        <w:rPr>
          <w:sz w:val="16"/>
        </w:rPr>
        <w:t>or</w:t>
      </w:r>
      <w:r>
        <w:rPr>
          <w:spacing w:val="-4"/>
          <w:sz w:val="16"/>
        </w:rPr>
        <w:t> </w:t>
      </w:r>
      <w:r>
        <w:rPr>
          <w:sz w:val="16"/>
        </w:rPr>
        <w:t>minus</w:t>
      </w:r>
      <w:r>
        <w:rPr>
          <w:spacing w:val="-5"/>
          <w:sz w:val="16"/>
        </w:rPr>
        <w:t> </w:t>
      </w:r>
      <w:r>
        <w:rPr>
          <w:sz w:val="16"/>
        </w:rPr>
        <w:t>five</w:t>
      </w:r>
      <w:r>
        <w:rPr>
          <w:spacing w:val="-6"/>
          <w:sz w:val="16"/>
        </w:rPr>
        <w:t> </w:t>
      </w:r>
      <w:r>
        <w:rPr>
          <w:sz w:val="16"/>
        </w:rPr>
        <w:t>percent</w:t>
      </w:r>
      <w:r>
        <w:rPr>
          <w:spacing w:val="-6"/>
          <w:sz w:val="16"/>
        </w:rPr>
        <w:t> </w:t>
      </w:r>
      <w:r>
        <w:rPr>
          <w:sz w:val="16"/>
        </w:rPr>
        <w:t>must</w:t>
      </w:r>
      <w:r>
        <w:rPr>
          <w:spacing w:val="-5"/>
          <w:sz w:val="16"/>
        </w:rPr>
        <w:t> </w:t>
      </w:r>
      <w:r>
        <w:rPr>
          <w:sz w:val="16"/>
        </w:rPr>
        <w:t>be explained.</w:t>
      </w:r>
    </w:p>
    <w:p>
      <w:pPr>
        <w:pStyle w:val="BodyText"/>
        <w:spacing w:before="4"/>
        <w:rPr>
          <w:sz w:val="10"/>
        </w:rPr>
      </w:pPr>
      <w:r>
        <w:rPr/>
        <w:pict>
          <v:group style="position:absolute;margin-left:16.440001pt;margin-top:7.931667pt;width:567.25pt;height:1.1pt;mso-position-horizontal-relative:page;mso-position-vertical-relative:paragraph;z-index:-250929152;mso-wrap-distance-left:0;mso-wrap-distance-right:0" coordorigin="329,159" coordsize="11345,22">
            <v:shape style="position:absolute;left:328;top:158;width:7001;height:22" type="#_x0000_t75" stroked="false">
              <v:imagedata r:id="rId1629" o:title=""/>
            </v:shape>
            <v:shape style="position:absolute;left:7322;top:158;width:4352;height:22" type="#_x0000_t75" stroked="false">
              <v:imagedata r:id="rId1611" o:title=""/>
            </v:shape>
            <w10:wrap type="topAndBottom"/>
          </v:group>
        </w:pict>
      </w:r>
    </w:p>
    <w:p>
      <w:pPr>
        <w:pStyle w:val="Heading8"/>
        <w:spacing w:before="0"/>
        <w:ind w:left="322"/>
      </w:pPr>
      <w:r>
        <w:rPr>
          <w:w w:val="105"/>
        </w:rPr>
        <w:t>6A. Calculating the District's Other Revenues and Expenditures Standard Percentage Ranges</w:t>
      </w:r>
    </w:p>
    <w:p>
      <w:pPr>
        <w:pStyle w:val="BodyText"/>
        <w:spacing w:line="21" w:lineRule="exact"/>
        <w:ind w:left="288"/>
        <w:rPr>
          <w:sz w:val="2"/>
        </w:rPr>
      </w:pPr>
      <w:r>
        <w:rPr>
          <w:sz w:val="2"/>
        </w:rPr>
        <w:pict>
          <v:group style="width:567.25pt;height:1.1pt;mso-position-horizontal-relative:char;mso-position-vertical-relative:line" coordorigin="0,0" coordsize="11345,22">
            <v:shape style="position:absolute;left:0;top:0;width:7001;height:22" type="#_x0000_t75" stroked="false">
              <v:imagedata r:id="rId1629" o:title=""/>
            </v:shape>
            <v:shape style="position:absolute;left:6993;top:0;width:4352;height:22" type="#_x0000_t75" stroked="false">
              <v:imagedata r:id="rId1611" o:title=""/>
            </v:shape>
          </v:group>
        </w:pict>
      </w:r>
      <w:r>
        <w:rPr>
          <w:sz w:val="2"/>
        </w:rPr>
      </w:r>
    </w:p>
    <w:p>
      <w:pPr>
        <w:pStyle w:val="BodyText"/>
        <w:spacing w:before="9" w:after="1"/>
        <w:rPr>
          <w:b/>
          <w:sz w:val="14"/>
        </w:rPr>
      </w:pPr>
    </w:p>
    <w:tbl>
      <w:tblPr>
        <w:tblW w:w="0" w:type="auto"/>
        <w:jc w:val="left"/>
        <w:tblInd w:w="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251"/>
        <w:gridCol w:w="1824"/>
        <w:gridCol w:w="2215"/>
        <w:gridCol w:w="1773"/>
      </w:tblGrid>
      <w:tr>
        <w:trPr>
          <w:trHeight w:val="325" w:hRule="atLeast"/>
        </w:trPr>
        <w:tc>
          <w:tcPr>
            <w:tcW w:w="5251" w:type="dxa"/>
          </w:tcPr>
          <w:p>
            <w:pPr>
              <w:pStyle w:val="TableParagraph"/>
              <w:spacing w:line="147" w:lineRule="exact"/>
              <w:ind w:left="34"/>
              <w:rPr>
                <w:sz w:val="13"/>
              </w:rPr>
            </w:pPr>
            <w:r>
              <w:rPr>
                <w:sz w:val="13"/>
              </w:rPr>
              <w:t>DATA ENTRY: All data are extracted or calculated.</w:t>
            </w:r>
          </w:p>
        </w:tc>
        <w:tc>
          <w:tcPr>
            <w:tcW w:w="1824" w:type="dxa"/>
          </w:tcPr>
          <w:p>
            <w:pPr>
              <w:pStyle w:val="TableParagraph"/>
              <w:spacing w:before="4"/>
              <w:rPr>
                <w:b/>
                <w:sz w:val="14"/>
              </w:rPr>
            </w:pPr>
          </w:p>
          <w:p>
            <w:pPr>
              <w:pStyle w:val="TableParagraph"/>
              <w:spacing w:line="140" w:lineRule="exact"/>
              <w:ind w:left="384"/>
              <w:rPr>
                <w:sz w:val="13"/>
              </w:rPr>
            </w:pPr>
            <w:r>
              <w:rPr>
                <w:sz w:val="13"/>
              </w:rPr>
              <w:t>Budget Year</w:t>
            </w:r>
          </w:p>
        </w:tc>
        <w:tc>
          <w:tcPr>
            <w:tcW w:w="2215" w:type="dxa"/>
          </w:tcPr>
          <w:p>
            <w:pPr>
              <w:pStyle w:val="TableParagraph"/>
              <w:spacing w:before="4"/>
              <w:rPr>
                <w:b/>
                <w:sz w:val="14"/>
              </w:rPr>
            </w:pPr>
          </w:p>
          <w:p>
            <w:pPr>
              <w:pStyle w:val="TableParagraph"/>
              <w:spacing w:line="140" w:lineRule="exact"/>
              <w:ind w:left="511" w:right="449"/>
              <w:jc w:val="center"/>
              <w:rPr>
                <w:sz w:val="13"/>
              </w:rPr>
            </w:pPr>
            <w:r>
              <w:rPr>
                <w:sz w:val="13"/>
              </w:rPr>
              <w:t>1st Subsequent Year</w:t>
            </w:r>
          </w:p>
        </w:tc>
        <w:tc>
          <w:tcPr>
            <w:tcW w:w="1773" w:type="dxa"/>
          </w:tcPr>
          <w:p>
            <w:pPr>
              <w:pStyle w:val="TableParagraph"/>
              <w:spacing w:before="4"/>
              <w:rPr>
                <w:b/>
                <w:sz w:val="14"/>
              </w:rPr>
            </w:pPr>
          </w:p>
          <w:p>
            <w:pPr>
              <w:pStyle w:val="TableParagraph"/>
              <w:spacing w:line="140" w:lineRule="exact"/>
              <w:ind w:left="446" w:right="27"/>
              <w:jc w:val="center"/>
              <w:rPr>
                <w:sz w:val="13"/>
              </w:rPr>
            </w:pPr>
            <w:r>
              <w:rPr>
                <w:sz w:val="13"/>
              </w:rPr>
              <w:t>2nd Subsequent Year</w:t>
            </w:r>
          </w:p>
        </w:tc>
      </w:tr>
      <w:tr>
        <w:trPr>
          <w:trHeight w:val="167" w:hRule="atLeast"/>
        </w:trPr>
        <w:tc>
          <w:tcPr>
            <w:tcW w:w="5251" w:type="dxa"/>
          </w:tcPr>
          <w:p>
            <w:pPr>
              <w:pStyle w:val="TableParagraph"/>
              <w:rPr>
                <w:rFonts w:ascii="Times New Roman"/>
                <w:sz w:val="10"/>
              </w:rPr>
            </w:pPr>
          </w:p>
        </w:tc>
        <w:tc>
          <w:tcPr>
            <w:tcW w:w="1824" w:type="dxa"/>
          </w:tcPr>
          <w:p>
            <w:pPr>
              <w:pStyle w:val="TableParagraph"/>
              <w:spacing w:line="140" w:lineRule="exact" w:before="7"/>
              <w:ind w:left="480"/>
              <w:rPr>
                <w:sz w:val="13"/>
              </w:rPr>
            </w:pPr>
            <w:r>
              <w:rPr>
                <w:sz w:val="13"/>
              </w:rPr>
              <w:t>(2021-22)</w:t>
            </w:r>
          </w:p>
        </w:tc>
        <w:tc>
          <w:tcPr>
            <w:tcW w:w="2215" w:type="dxa"/>
          </w:tcPr>
          <w:p>
            <w:pPr>
              <w:pStyle w:val="TableParagraph"/>
              <w:spacing w:line="140" w:lineRule="exact" w:before="7"/>
              <w:ind w:left="511" w:right="449"/>
              <w:jc w:val="center"/>
              <w:rPr>
                <w:sz w:val="13"/>
              </w:rPr>
            </w:pPr>
            <w:r>
              <w:rPr>
                <w:sz w:val="13"/>
              </w:rPr>
              <w:t>(2022-23)</w:t>
            </w:r>
          </w:p>
        </w:tc>
        <w:tc>
          <w:tcPr>
            <w:tcW w:w="1773" w:type="dxa"/>
          </w:tcPr>
          <w:p>
            <w:pPr>
              <w:pStyle w:val="TableParagraph"/>
              <w:spacing w:line="140" w:lineRule="exact" w:before="7"/>
              <w:ind w:left="445" w:right="27"/>
              <w:jc w:val="center"/>
              <w:rPr>
                <w:sz w:val="13"/>
              </w:rPr>
            </w:pPr>
            <w:r>
              <w:rPr>
                <w:sz w:val="13"/>
              </w:rPr>
              <w:t>(2023-24)</w:t>
            </w:r>
          </w:p>
        </w:tc>
      </w:tr>
      <w:tr>
        <w:trPr>
          <w:trHeight w:val="167" w:hRule="atLeast"/>
        </w:trPr>
        <w:tc>
          <w:tcPr>
            <w:tcW w:w="5251" w:type="dxa"/>
          </w:tcPr>
          <w:p>
            <w:pPr>
              <w:pStyle w:val="TableParagraph"/>
              <w:spacing w:line="140" w:lineRule="exact" w:before="7"/>
              <w:ind w:right="237"/>
              <w:jc w:val="right"/>
              <w:rPr>
                <w:sz w:val="13"/>
              </w:rPr>
            </w:pPr>
            <w:r>
              <w:rPr>
                <w:sz w:val="13"/>
              </w:rPr>
              <w:t>1. District's Change in Population and Funding Level</w:t>
            </w:r>
          </w:p>
        </w:tc>
        <w:tc>
          <w:tcPr>
            <w:tcW w:w="1824" w:type="dxa"/>
          </w:tcPr>
          <w:p>
            <w:pPr>
              <w:pStyle w:val="TableParagraph"/>
              <w:rPr>
                <w:rFonts w:ascii="Times New Roman"/>
                <w:sz w:val="10"/>
              </w:rPr>
            </w:pPr>
          </w:p>
        </w:tc>
        <w:tc>
          <w:tcPr>
            <w:tcW w:w="2215" w:type="dxa"/>
          </w:tcPr>
          <w:p>
            <w:pPr>
              <w:pStyle w:val="TableParagraph"/>
              <w:rPr>
                <w:rFonts w:ascii="Times New Roman"/>
                <w:sz w:val="10"/>
              </w:rPr>
            </w:pPr>
          </w:p>
        </w:tc>
        <w:tc>
          <w:tcPr>
            <w:tcW w:w="1773" w:type="dxa"/>
          </w:tcPr>
          <w:p>
            <w:pPr>
              <w:pStyle w:val="TableParagraph"/>
              <w:rPr>
                <w:rFonts w:ascii="Times New Roman"/>
                <w:sz w:val="10"/>
              </w:rPr>
            </w:pPr>
          </w:p>
        </w:tc>
      </w:tr>
      <w:tr>
        <w:trPr>
          <w:trHeight w:val="166" w:hRule="atLeast"/>
        </w:trPr>
        <w:tc>
          <w:tcPr>
            <w:tcW w:w="5251" w:type="dxa"/>
          </w:tcPr>
          <w:p>
            <w:pPr>
              <w:pStyle w:val="TableParagraph"/>
              <w:spacing w:line="139" w:lineRule="exact" w:before="7"/>
              <w:ind w:right="237"/>
              <w:jc w:val="right"/>
              <w:rPr>
                <w:sz w:val="13"/>
              </w:rPr>
            </w:pPr>
            <w:r>
              <w:rPr>
                <w:sz w:val="13"/>
              </w:rPr>
              <w:t>(Criterion 4A1, Step 3):</w:t>
            </w:r>
          </w:p>
        </w:tc>
        <w:tc>
          <w:tcPr>
            <w:tcW w:w="1824" w:type="dxa"/>
          </w:tcPr>
          <w:p>
            <w:pPr>
              <w:pStyle w:val="TableParagraph"/>
              <w:spacing w:line="139" w:lineRule="exact" w:before="7"/>
              <w:ind w:left="581"/>
              <w:rPr>
                <w:sz w:val="13"/>
              </w:rPr>
            </w:pPr>
            <w:r>
              <w:rPr>
                <w:sz w:val="13"/>
              </w:rPr>
              <w:t>5.07%</w:t>
            </w:r>
          </w:p>
        </w:tc>
        <w:tc>
          <w:tcPr>
            <w:tcW w:w="2215" w:type="dxa"/>
          </w:tcPr>
          <w:p>
            <w:pPr>
              <w:pStyle w:val="TableParagraph"/>
              <w:spacing w:line="139" w:lineRule="exact" w:before="7"/>
              <w:ind w:left="511" w:right="449"/>
              <w:jc w:val="center"/>
              <w:rPr>
                <w:sz w:val="13"/>
              </w:rPr>
            </w:pPr>
            <w:r>
              <w:rPr>
                <w:sz w:val="13"/>
              </w:rPr>
              <w:t>2.48%</w:t>
            </w:r>
          </w:p>
        </w:tc>
        <w:tc>
          <w:tcPr>
            <w:tcW w:w="1773" w:type="dxa"/>
          </w:tcPr>
          <w:p>
            <w:pPr>
              <w:pStyle w:val="TableParagraph"/>
              <w:spacing w:line="139" w:lineRule="exact" w:before="7"/>
              <w:ind w:left="445" w:right="27"/>
              <w:jc w:val="center"/>
              <w:rPr>
                <w:sz w:val="13"/>
              </w:rPr>
            </w:pPr>
            <w:r>
              <w:rPr>
                <w:sz w:val="13"/>
              </w:rPr>
              <w:t>3.11%</w:t>
            </w:r>
          </w:p>
        </w:tc>
      </w:tr>
      <w:tr>
        <w:trPr>
          <w:trHeight w:val="166" w:hRule="atLeast"/>
        </w:trPr>
        <w:tc>
          <w:tcPr>
            <w:tcW w:w="5251" w:type="dxa"/>
          </w:tcPr>
          <w:p>
            <w:pPr>
              <w:pStyle w:val="TableParagraph"/>
              <w:spacing w:line="140" w:lineRule="exact" w:before="6"/>
              <w:ind w:right="276"/>
              <w:jc w:val="right"/>
              <w:rPr>
                <w:b/>
                <w:sz w:val="13"/>
              </w:rPr>
            </w:pPr>
            <w:r>
              <w:rPr>
                <w:b/>
                <w:sz w:val="13"/>
              </w:rPr>
              <w:t>2. District's Other Revenues and Expenditures</w:t>
            </w:r>
          </w:p>
        </w:tc>
        <w:tc>
          <w:tcPr>
            <w:tcW w:w="1824" w:type="dxa"/>
          </w:tcPr>
          <w:p>
            <w:pPr>
              <w:pStyle w:val="TableParagraph"/>
              <w:rPr>
                <w:rFonts w:ascii="Times New Roman"/>
                <w:sz w:val="10"/>
              </w:rPr>
            </w:pPr>
          </w:p>
        </w:tc>
        <w:tc>
          <w:tcPr>
            <w:tcW w:w="2215" w:type="dxa"/>
          </w:tcPr>
          <w:p>
            <w:pPr>
              <w:pStyle w:val="TableParagraph"/>
              <w:rPr>
                <w:rFonts w:ascii="Times New Roman"/>
                <w:sz w:val="10"/>
              </w:rPr>
            </w:pPr>
          </w:p>
        </w:tc>
        <w:tc>
          <w:tcPr>
            <w:tcW w:w="1773" w:type="dxa"/>
          </w:tcPr>
          <w:p>
            <w:pPr>
              <w:pStyle w:val="TableParagraph"/>
              <w:rPr>
                <w:rFonts w:ascii="Times New Roman"/>
                <w:sz w:val="10"/>
              </w:rPr>
            </w:pPr>
          </w:p>
        </w:tc>
      </w:tr>
      <w:tr>
        <w:trPr>
          <w:trHeight w:val="169" w:hRule="atLeast"/>
        </w:trPr>
        <w:tc>
          <w:tcPr>
            <w:tcW w:w="5251" w:type="dxa"/>
          </w:tcPr>
          <w:p>
            <w:pPr>
              <w:pStyle w:val="TableParagraph"/>
              <w:spacing w:line="141" w:lineRule="exact" w:before="7"/>
              <w:ind w:right="238"/>
              <w:jc w:val="right"/>
              <w:rPr>
                <w:b/>
                <w:sz w:val="13"/>
              </w:rPr>
            </w:pPr>
            <w:r>
              <w:rPr>
                <w:b/>
                <w:sz w:val="13"/>
              </w:rPr>
              <w:t>Standard Percentage Range (Line 1, plus/minus 10%):</w:t>
            </w:r>
          </w:p>
        </w:tc>
        <w:tc>
          <w:tcPr>
            <w:tcW w:w="1824" w:type="dxa"/>
          </w:tcPr>
          <w:p>
            <w:pPr>
              <w:pStyle w:val="TableParagraph"/>
              <w:spacing w:line="141" w:lineRule="exact" w:before="7"/>
              <w:ind w:left="238"/>
              <w:rPr>
                <w:b/>
                <w:sz w:val="13"/>
              </w:rPr>
            </w:pPr>
            <w:r>
              <w:rPr>
                <w:b/>
                <w:sz w:val="13"/>
              </w:rPr>
              <w:t>-4.93% to 15.07%</w:t>
            </w:r>
          </w:p>
        </w:tc>
        <w:tc>
          <w:tcPr>
            <w:tcW w:w="2215" w:type="dxa"/>
          </w:tcPr>
          <w:p>
            <w:pPr>
              <w:pStyle w:val="TableParagraph"/>
              <w:spacing w:line="141" w:lineRule="exact" w:before="7"/>
              <w:ind w:left="511" w:right="446"/>
              <w:jc w:val="center"/>
              <w:rPr>
                <w:b/>
                <w:sz w:val="13"/>
              </w:rPr>
            </w:pPr>
            <w:r>
              <w:rPr>
                <w:b/>
                <w:sz w:val="13"/>
              </w:rPr>
              <w:t>-7.52% to 12.48%</w:t>
            </w:r>
          </w:p>
        </w:tc>
        <w:tc>
          <w:tcPr>
            <w:tcW w:w="1773" w:type="dxa"/>
          </w:tcPr>
          <w:p>
            <w:pPr>
              <w:pStyle w:val="TableParagraph"/>
              <w:spacing w:line="141" w:lineRule="exact" w:before="7"/>
              <w:ind w:left="447" w:right="26"/>
              <w:jc w:val="center"/>
              <w:rPr>
                <w:b/>
                <w:sz w:val="13"/>
              </w:rPr>
            </w:pPr>
            <w:r>
              <w:rPr>
                <w:b/>
                <w:sz w:val="13"/>
              </w:rPr>
              <w:t>-6.89% to 13.11%</w:t>
            </w:r>
          </w:p>
        </w:tc>
      </w:tr>
      <w:tr>
        <w:trPr>
          <w:trHeight w:val="169" w:hRule="atLeast"/>
        </w:trPr>
        <w:tc>
          <w:tcPr>
            <w:tcW w:w="5251" w:type="dxa"/>
          </w:tcPr>
          <w:p>
            <w:pPr>
              <w:pStyle w:val="TableParagraph"/>
              <w:spacing w:line="140" w:lineRule="exact" w:before="9"/>
              <w:ind w:right="276"/>
              <w:jc w:val="right"/>
              <w:rPr>
                <w:sz w:val="13"/>
              </w:rPr>
            </w:pPr>
            <w:r>
              <w:rPr>
                <w:sz w:val="13"/>
              </w:rPr>
              <w:t>3. District's Other Revenues and Expenditures</w:t>
            </w:r>
          </w:p>
        </w:tc>
        <w:tc>
          <w:tcPr>
            <w:tcW w:w="1824" w:type="dxa"/>
          </w:tcPr>
          <w:p>
            <w:pPr>
              <w:pStyle w:val="TableParagraph"/>
              <w:rPr>
                <w:rFonts w:ascii="Times New Roman"/>
                <w:sz w:val="10"/>
              </w:rPr>
            </w:pPr>
          </w:p>
        </w:tc>
        <w:tc>
          <w:tcPr>
            <w:tcW w:w="2215" w:type="dxa"/>
          </w:tcPr>
          <w:p>
            <w:pPr>
              <w:pStyle w:val="TableParagraph"/>
              <w:rPr>
                <w:rFonts w:ascii="Times New Roman"/>
                <w:sz w:val="10"/>
              </w:rPr>
            </w:pPr>
          </w:p>
        </w:tc>
        <w:tc>
          <w:tcPr>
            <w:tcW w:w="1773" w:type="dxa"/>
          </w:tcPr>
          <w:p>
            <w:pPr>
              <w:pStyle w:val="TableParagraph"/>
              <w:rPr>
                <w:rFonts w:ascii="Times New Roman"/>
                <w:sz w:val="10"/>
              </w:rPr>
            </w:pPr>
          </w:p>
        </w:tc>
      </w:tr>
      <w:tr>
        <w:trPr>
          <w:trHeight w:val="157" w:hRule="atLeast"/>
        </w:trPr>
        <w:tc>
          <w:tcPr>
            <w:tcW w:w="5251" w:type="dxa"/>
          </w:tcPr>
          <w:p>
            <w:pPr>
              <w:pStyle w:val="TableParagraph"/>
              <w:spacing w:line="130" w:lineRule="exact" w:before="7"/>
              <w:ind w:right="238"/>
              <w:jc w:val="right"/>
              <w:rPr>
                <w:sz w:val="13"/>
              </w:rPr>
            </w:pPr>
            <w:r>
              <w:rPr>
                <w:sz w:val="13"/>
              </w:rPr>
              <w:t>Explanation Percentage Range (Line 1, plus/minus 5%):</w:t>
            </w:r>
          </w:p>
        </w:tc>
        <w:tc>
          <w:tcPr>
            <w:tcW w:w="1824" w:type="dxa"/>
          </w:tcPr>
          <w:p>
            <w:pPr>
              <w:pStyle w:val="TableParagraph"/>
              <w:spacing w:line="130" w:lineRule="exact" w:before="7"/>
              <w:ind w:left="300"/>
              <w:rPr>
                <w:sz w:val="13"/>
              </w:rPr>
            </w:pPr>
            <w:r>
              <w:rPr>
                <w:sz w:val="13"/>
              </w:rPr>
              <w:t>.07% to 10.07%</w:t>
            </w:r>
          </w:p>
        </w:tc>
        <w:tc>
          <w:tcPr>
            <w:tcW w:w="2215" w:type="dxa"/>
          </w:tcPr>
          <w:p>
            <w:pPr>
              <w:pStyle w:val="TableParagraph"/>
              <w:spacing w:line="130" w:lineRule="exact" w:before="7"/>
              <w:ind w:left="509" w:right="449"/>
              <w:jc w:val="center"/>
              <w:rPr>
                <w:sz w:val="13"/>
              </w:rPr>
            </w:pPr>
            <w:r>
              <w:rPr>
                <w:sz w:val="13"/>
              </w:rPr>
              <w:t>-2.52% to 7.48%</w:t>
            </w:r>
          </w:p>
        </w:tc>
        <w:tc>
          <w:tcPr>
            <w:tcW w:w="1773" w:type="dxa"/>
          </w:tcPr>
          <w:p>
            <w:pPr>
              <w:pStyle w:val="TableParagraph"/>
              <w:spacing w:line="130" w:lineRule="exact" w:before="7"/>
              <w:ind w:left="443" w:right="27"/>
              <w:jc w:val="center"/>
              <w:rPr>
                <w:sz w:val="13"/>
              </w:rPr>
            </w:pPr>
            <w:r>
              <w:rPr>
                <w:sz w:val="13"/>
              </w:rPr>
              <w:t>-1.89% to 8.11%</w:t>
            </w:r>
          </w:p>
        </w:tc>
      </w:tr>
    </w:tbl>
    <w:p>
      <w:pPr>
        <w:pStyle w:val="BodyText"/>
        <w:spacing w:before="5"/>
        <w:rPr>
          <w:b/>
          <w:sz w:val="10"/>
        </w:rPr>
      </w:pPr>
      <w:r>
        <w:rPr/>
        <w:drawing>
          <wp:anchor distT="0" distB="0" distL="0" distR="0" allowOverlap="1" layoutInCell="1" locked="0" behindDoc="0" simplePos="0" relativeHeight="714">
            <wp:simplePos x="0" y="0"/>
            <wp:positionH relativeFrom="page">
              <wp:posOffset>208788</wp:posOffset>
            </wp:positionH>
            <wp:positionV relativeFrom="paragraph">
              <wp:posOffset>101143</wp:posOffset>
            </wp:positionV>
            <wp:extent cx="7203992" cy="13716"/>
            <wp:effectExtent l="0" t="0" r="0" b="0"/>
            <wp:wrapTopAndBottom/>
            <wp:docPr id="89" name="image1401.png"/>
            <wp:cNvGraphicFramePr>
              <a:graphicFrameLocks noChangeAspect="1"/>
            </wp:cNvGraphicFramePr>
            <a:graphic>
              <a:graphicData uri="http://schemas.openxmlformats.org/drawingml/2006/picture">
                <pic:pic>
                  <pic:nvPicPr>
                    <pic:cNvPr id="90" name="image1401.png"/>
                    <pic:cNvPicPr/>
                  </pic:nvPicPr>
                  <pic:blipFill>
                    <a:blip r:embed="rId1503" cstate="print"/>
                    <a:stretch>
                      <a:fillRect/>
                    </a:stretch>
                  </pic:blipFill>
                  <pic:spPr>
                    <a:xfrm>
                      <a:off x="0" y="0"/>
                      <a:ext cx="7203992" cy="13716"/>
                    </a:xfrm>
                    <a:prstGeom prst="rect">
                      <a:avLst/>
                    </a:prstGeom>
                  </pic:spPr>
                </pic:pic>
              </a:graphicData>
            </a:graphic>
          </wp:anchor>
        </w:drawing>
      </w:r>
    </w:p>
    <w:p>
      <w:pPr>
        <w:spacing w:before="0"/>
        <w:ind w:left="322" w:right="0" w:firstLine="0"/>
        <w:jc w:val="left"/>
        <w:rPr>
          <w:b/>
          <w:sz w:val="14"/>
        </w:rPr>
      </w:pPr>
      <w:r>
        <w:rPr>
          <w:b/>
          <w:w w:val="105"/>
          <w:sz w:val="14"/>
        </w:rPr>
        <w:t>6B. Calculating the District's Change by Major Object Category and Comparison to the Explanation Percentage Range (Section 6A, Line 3)</w:t>
      </w:r>
    </w:p>
    <w:p>
      <w:pPr>
        <w:pStyle w:val="BodyText"/>
        <w:spacing w:line="21" w:lineRule="exact"/>
        <w:ind w:left="288"/>
        <w:rPr>
          <w:sz w:val="2"/>
        </w:rPr>
      </w:pPr>
      <w:r>
        <w:rPr>
          <w:sz w:val="2"/>
        </w:rPr>
        <w:drawing>
          <wp:inline distT="0" distB="0" distL="0" distR="0">
            <wp:extent cx="7203987" cy="13716"/>
            <wp:effectExtent l="0" t="0" r="0" b="0"/>
            <wp:docPr id="91" name="image1401.png"/>
            <wp:cNvGraphicFramePr>
              <a:graphicFrameLocks noChangeAspect="1"/>
            </wp:cNvGraphicFramePr>
            <a:graphic>
              <a:graphicData uri="http://schemas.openxmlformats.org/drawingml/2006/picture">
                <pic:pic>
                  <pic:nvPicPr>
                    <pic:cNvPr id="92" name="image1401.png"/>
                    <pic:cNvPicPr/>
                  </pic:nvPicPr>
                  <pic:blipFill>
                    <a:blip r:embed="rId1503" cstate="print"/>
                    <a:stretch>
                      <a:fillRect/>
                    </a:stretch>
                  </pic:blipFill>
                  <pic:spPr>
                    <a:xfrm>
                      <a:off x="0" y="0"/>
                      <a:ext cx="7203987" cy="13716"/>
                    </a:xfrm>
                    <a:prstGeom prst="rect">
                      <a:avLst/>
                    </a:prstGeom>
                  </pic:spPr>
                </pic:pic>
              </a:graphicData>
            </a:graphic>
          </wp:inline>
        </w:drawing>
      </w:r>
      <w:r>
        <w:rPr>
          <w:sz w:val="2"/>
        </w:rPr>
      </w:r>
    </w:p>
    <w:p>
      <w:pPr>
        <w:pStyle w:val="BodyText"/>
        <w:spacing w:before="7"/>
        <w:rPr>
          <w:b/>
          <w:sz w:val="20"/>
        </w:rPr>
      </w:pPr>
    </w:p>
    <w:p>
      <w:pPr>
        <w:pStyle w:val="BodyText"/>
        <w:spacing w:line="268" w:lineRule="auto" w:before="1"/>
        <w:ind w:left="322" w:right="1468"/>
      </w:pPr>
      <w:r>
        <w:rPr/>
        <w:pict>
          <v:group style="position:absolute;margin-left:268.320007pt;margin-top:-81.453087pt;width:315.4pt;height:50.8pt;mso-position-horizontal-relative:page;mso-position-vertical-relative:paragraph;z-index:-313976832" coordorigin="5366,-1629" coordsize="6308,1016">
            <v:shape style="position:absolute;left:5366;top:-1630;width:6308;height:344" type="#_x0000_t75" stroked="false">
              <v:imagedata r:id="rId1630" o:title=""/>
            </v:shape>
            <v:shape style="position:absolute;left:5366;top:-1462;width:6308;height:512" type="#_x0000_t75" stroked="false">
              <v:imagedata r:id="rId1631" o:title=""/>
            </v:shape>
            <v:shape style="position:absolute;left:5366;top:-1126;width:6308;height:512" type="#_x0000_t75" stroked="false">
              <v:imagedata r:id="rId1632" o:title=""/>
            </v:shape>
            <v:shape style="position:absolute;left:9753;top:-790;width:1920;height:176" type="#_x0000_t75" stroked="false">
              <v:imagedata r:id="rId1633" o:title=""/>
            </v:shape>
            <w10:wrap type="none"/>
          </v:group>
        </w:pict>
      </w:r>
      <w:r>
        <w:rPr/>
        <w:t>DATA ENTRY: If Form MYP exists, the 1st and 2nd Subsequent Year data for each revenue and expenditure section will be extracted; if not, enter data for the two subsequent years. All other data are extracted or calculated.</w:t>
      </w:r>
    </w:p>
    <w:p>
      <w:pPr>
        <w:pStyle w:val="BodyText"/>
        <w:spacing w:before="7"/>
        <w:rPr>
          <w:sz w:val="14"/>
        </w:rPr>
      </w:pPr>
    </w:p>
    <w:p>
      <w:pPr>
        <w:pStyle w:val="BodyText"/>
        <w:spacing w:before="1"/>
        <w:ind w:left="322"/>
      </w:pPr>
      <w:r>
        <w:rPr/>
        <w:pict>
          <v:group style="position:absolute;margin-left:16.440001pt;margin-top:34.346905pt;width:567.25pt;height:.4pt;mso-position-horizontal-relative:page;mso-position-vertical-relative:paragraph;z-index:-313975808" coordorigin="329,687" coordsize="11345,8">
            <v:shape style="position:absolute;left:328;top:686;width:2268;height:8" type="#_x0000_t75" stroked="false">
              <v:imagedata r:id="rId1604" o:title=""/>
            </v:shape>
            <v:shape style="position:absolute;left:2589;top:686;width:4740;height:8" type="#_x0000_t75" stroked="false">
              <v:imagedata r:id="rId1634" o:title=""/>
            </v:shape>
            <v:shape style="position:absolute;left:7322;top:686;width:2439;height:8" type="#_x0000_t75" stroked="false">
              <v:imagedata r:id="rId1595" o:title=""/>
            </v:shape>
            <v:shape style="position:absolute;left:9753;top:686;width:1920;height:8" type="#_x0000_t75" stroked="false">
              <v:imagedata r:id="rId1635" o:title=""/>
            </v:shape>
            <w10:wrap type="none"/>
          </v:group>
        </w:pict>
      </w:r>
      <w:r>
        <w:rPr/>
        <w:pict>
          <v:group style="position:absolute;margin-left:268.320007pt;margin-top:43.58691pt;width:315.4pt;height:37.35pt;mso-position-horizontal-relative:page;mso-position-vertical-relative:paragraph;z-index:-313974784" coordorigin="5366,872" coordsize="6308,747">
            <v:shape style="position:absolute;left:5366;top:871;width:1964;height:372" type="#_x0000_t75" stroked="false">
              <v:imagedata r:id="rId1636" o:title=""/>
            </v:shape>
            <v:shape style="position:absolute;left:7322;top:1056;width:615;height:190" type="#_x0000_t75" stroked="false">
              <v:imagedata r:id="rId1637" o:title=""/>
            </v:shape>
            <v:shape style="position:absolute;left:7929;top:1056;width:1832;height:190" type="#_x0000_t75" stroked="false">
              <v:imagedata r:id="rId1638" o:title=""/>
            </v:shape>
            <v:shape style="position:absolute;left:9753;top:1056;width:1920;height:192" type="#_x0000_t75" stroked="false">
              <v:imagedata r:id="rId1603" o:title=""/>
            </v:shape>
            <v:shape style="position:absolute;left:5366;top:1241;width:1964;height:190" type="#_x0000_t75" stroked="false">
              <v:imagedata r:id="rId1639" o:title=""/>
            </v:shape>
            <v:shape style="position:absolute;left:7327;top:1246;width:608;height:185" type="#_x0000_t75" stroked="false">
              <v:imagedata r:id="rId1640" o:title=""/>
            </v:shape>
            <v:shape style="position:absolute;left:7322;top:1241;width:615;height:8" type="#_x0000_t75" stroked="false">
              <v:imagedata r:id="rId1641" o:title=""/>
            </v:shape>
            <v:shape style="position:absolute;left:7929;top:1241;width:1832;height:190" type="#_x0000_t75" stroked="false">
              <v:imagedata r:id="rId1642" o:title=""/>
            </v:shape>
            <v:shape style="position:absolute;left:9753;top:1241;width:1920;height:192" type="#_x0000_t75" stroked="false">
              <v:imagedata r:id="rId1603" o:title=""/>
            </v:shape>
            <v:shape style="position:absolute;left:5366;top:1426;width:1964;height:192" type="#_x0000_t75" stroked="false">
              <v:imagedata r:id="rId1643" o:title=""/>
            </v:shape>
            <v:shape style="position:absolute;left:7327;top:1430;width:608;height:185" type="#_x0000_t75" stroked="false">
              <v:imagedata r:id="rId1644" o:title=""/>
            </v:shape>
            <v:shape style="position:absolute;left:7322;top:1426;width:615;height:8" type="#_x0000_t75" stroked="false">
              <v:imagedata r:id="rId1641" o:title=""/>
            </v:shape>
            <v:shape style="position:absolute;left:7322;top:1610;width:615;height:8" type="#_x0000_t75" stroked="false">
              <v:imagedata r:id="rId1641" o:title=""/>
            </v:shape>
            <v:shape style="position:absolute;left:7929;top:1426;width:1832;height:190" type="#_x0000_t75" stroked="false">
              <v:imagedata r:id="rId1645" o:title=""/>
            </v:shape>
            <v:shape style="position:absolute;left:7929;top:1426;width:3744;height:192" type="#_x0000_t75" stroked="false">
              <v:imagedata r:id="rId1646" o:title=""/>
            </v:shape>
            <w10:wrap type="none"/>
          </v:group>
        </w:pict>
      </w:r>
      <w:r>
        <w:rPr/>
        <w:t>Explanations must be entered for each category if the percent change for any year exceeds the district's explanation percentage range.</w:t>
      </w:r>
    </w:p>
    <w:p>
      <w:pPr>
        <w:pStyle w:val="BodyText"/>
        <w:spacing w:before="4"/>
        <w:rPr>
          <w:sz w:val="19"/>
        </w:rPr>
      </w:pPr>
    </w:p>
    <w:tbl>
      <w:tblPr>
        <w:tblW w:w="0" w:type="auto"/>
        <w:jc w:val="left"/>
        <w:tblInd w:w="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59"/>
        <w:gridCol w:w="2394"/>
        <w:gridCol w:w="744"/>
        <w:gridCol w:w="606"/>
        <w:gridCol w:w="1702"/>
        <w:gridCol w:w="1667"/>
      </w:tblGrid>
      <w:tr>
        <w:trPr>
          <w:trHeight w:val="315" w:hRule="atLeast"/>
        </w:trPr>
        <w:tc>
          <w:tcPr>
            <w:tcW w:w="3859" w:type="dxa"/>
          </w:tcPr>
          <w:p>
            <w:pPr>
              <w:pStyle w:val="TableParagraph"/>
              <w:spacing w:before="4"/>
              <w:rPr>
                <w:sz w:val="14"/>
              </w:rPr>
            </w:pPr>
          </w:p>
          <w:p>
            <w:pPr>
              <w:pStyle w:val="TableParagraph"/>
              <w:spacing w:line="130" w:lineRule="exact"/>
              <w:ind w:left="34"/>
              <w:rPr>
                <w:sz w:val="13"/>
              </w:rPr>
            </w:pPr>
            <w:r>
              <w:rPr>
                <w:sz w:val="13"/>
              </w:rPr>
              <w:t>Object Range / Fiscal Year</w:t>
            </w:r>
          </w:p>
        </w:tc>
        <w:tc>
          <w:tcPr>
            <w:tcW w:w="2394" w:type="dxa"/>
          </w:tcPr>
          <w:p>
            <w:pPr>
              <w:pStyle w:val="TableParagraph"/>
              <w:spacing w:before="4"/>
              <w:rPr>
                <w:sz w:val="14"/>
              </w:rPr>
            </w:pPr>
          </w:p>
          <w:p>
            <w:pPr>
              <w:pStyle w:val="TableParagraph"/>
              <w:spacing w:line="130" w:lineRule="exact"/>
              <w:jc w:val="right"/>
              <w:rPr>
                <w:sz w:val="13"/>
              </w:rPr>
            </w:pPr>
            <w:r>
              <w:rPr>
                <w:sz w:val="13"/>
              </w:rPr>
              <w:t>Amount</w:t>
            </w:r>
          </w:p>
        </w:tc>
        <w:tc>
          <w:tcPr>
            <w:tcW w:w="3052" w:type="dxa"/>
            <w:gridSpan w:val="3"/>
          </w:tcPr>
          <w:p>
            <w:pPr>
              <w:pStyle w:val="TableParagraph"/>
              <w:spacing w:line="147" w:lineRule="exact"/>
              <w:ind w:left="1480"/>
              <w:rPr>
                <w:sz w:val="13"/>
              </w:rPr>
            </w:pPr>
            <w:r>
              <w:rPr>
                <w:sz w:val="13"/>
              </w:rPr>
              <w:t>Percent Change</w:t>
            </w:r>
          </w:p>
          <w:p>
            <w:pPr>
              <w:pStyle w:val="TableParagraph"/>
              <w:spacing w:line="130" w:lineRule="exact" w:before="18"/>
              <w:ind w:left="1381"/>
              <w:rPr>
                <w:sz w:val="13"/>
              </w:rPr>
            </w:pPr>
            <w:r>
              <w:rPr>
                <w:sz w:val="13"/>
              </w:rPr>
              <w:t>Over Previous Year</w:t>
            </w:r>
          </w:p>
        </w:tc>
        <w:tc>
          <w:tcPr>
            <w:tcW w:w="1667" w:type="dxa"/>
          </w:tcPr>
          <w:p>
            <w:pPr>
              <w:pStyle w:val="TableParagraph"/>
              <w:spacing w:line="147" w:lineRule="exact"/>
              <w:ind w:left="530"/>
              <w:rPr>
                <w:sz w:val="13"/>
              </w:rPr>
            </w:pPr>
            <w:r>
              <w:rPr>
                <w:sz w:val="13"/>
              </w:rPr>
              <w:t>Change Is</w:t>
            </w:r>
            <w:r>
              <w:rPr>
                <w:spacing w:val="14"/>
                <w:sz w:val="13"/>
              </w:rPr>
              <w:t> </w:t>
            </w:r>
            <w:r>
              <w:rPr>
                <w:sz w:val="13"/>
              </w:rPr>
              <w:t>Outside</w:t>
            </w:r>
          </w:p>
          <w:p>
            <w:pPr>
              <w:pStyle w:val="TableParagraph"/>
              <w:spacing w:line="130" w:lineRule="exact" w:before="18"/>
              <w:ind w:left="521"/>
              <w:rPr>
                <w:sz w:val="13"/>
              </w:rPr>
            </w:pPr>
            <w:r>
              <w:rPr>
                <w:sz w:val="13"/>
              </w:rPr>
              <w:t>Explanation</w:t>
            </w:r>
            <w:r>
              <w:rPr>
                <w:spacing w:val="13"/>
                <w:sz w:val="13"/>
              </w:rPr>
              <w:t> </w:t>
            </w:r>
            <w:r>
              <w:rPr>
                <w:sz w:val="13"/>
              </w:rPr>
              <w:t>Range</w:t>
            </w:r>
          </w:p>
        </w:tc>
      </w:tr>
      <w:tr>
        <w:trPr>
          <w:trHeight w:val="182" w:hRule="atLeast"/>
        </w:trPr>
        <w:tc>
          <w:tcPr>
            <w:tcW w:w="10972" w:type="dxa"/>
            <w:gridSpan w:val="6"/>
          </w:tcPr>
          <w:p>
            <w:pPr>
              <w:pStyle w:val="TableParagraph"/>
              <w:spacing w:line="130" w:lineRule="exact" w:before="32"/>
              <w:ind w:left="533"/>
              <w:rPr>
                <w:b/>
                <w:sz w:val="13"/>
              </w:rPr>
            </w:pPr>
            <w:r>
              <w:rPr>
                <w:b/>
                <w:sz w:val="13"/>
              </w:rPr>
              <w:t>Federal Revenue (Fund 01, Objects 8100-8299) (Form MYP, Line A2)</w:t>
            </w:r>
          </w:p>
        </w:tc>
      </w:tr>
      <w:tr>
        <w:trPr>
          <w:trHeight w:val="206" w:hRule="atLeast"/>
        </w:trPr>
        <w:tc>
          <w:tcPr>
            <w:tcW w:w="3859" w:type="dxa"/>
          </w:tcPr>
          <w:p>
            <w:pPr>
              <w:pStyle w:val="TableParagraph"/>
              <w:spacing w:line="149" w:lineRule="exact" w:before="37"/>
              <w:ind w:left="34"/>
              <w:rPr>
                <w:sz w:val="13"/>
              </w:rPr>
            </w:pPr>
            <w:r>
              <w:rPr>
                <w:sz w:val="13"/>
              </w:rPr>
              <w:t>First Prior Year (2020-21)</w:t>
            </w:r>
          </w:p>
        </w:tc>
        <w:tc>
          <w:tcPr>
            <w:tcW w:w="3138" w:type="dxa"/>
            <w:gridSpan w:val="2"/>
          </w:tcPr>
          <w:p>
            <w:pPr>
              <w:pStyle w:val="TableParagraph"/>
              <w:spacing w:line="149" w:lineRule="exact" w:before="37"/>
              <w:ind w:right="71"/>
              <w:jc w:val="right"/>
              <w:rPr>
                <w:sz w:val="13"/>
              </w:rPr>
            </w:pPr>
            <w:r>
              <w:rPr>
                <w:sz w:val="13"/>
              </w:rPr>
              <w:t>276,302.00</w:t>
            </w:r>
          </w:p>
        </w:tc>
        <w:tc>
          <w:tcPr>
            <w:tcW w:w="606" w:type="dxa"/>
          </w:tcPr>
          <w:p>
            <w:pPr>
              <w:pStyle w:val="TableParagraph"/>
              <w:rPr>
                <w:rFonts w:ascii="Times New Roman"/>
                <w:sz w:val="12"/>
              </w:rPr>
            </w:pPr>
          </w:p>
        </w:tc>
        <w:tc>
          <w:tcPr>
            <w:tcW w:w="1702" w:type="dxa"/>
          </w:tcPr>
          <w:p>
            <w:pPr>
              <w:pStyle w:val="TableParagraph"/>
              <w:rPr>
                <w:rFonts w:ascii="Times New Roman"/>
                <w:sz w:val="12"/>
              </w:rPr>
            </w:pPr>
          </w:p>
        </w:tc>
        <w:tc>
          <w:tcPr>
            <w:tcW w:w="1667" w:type="dxa"/>
          </w:tcPr>
          <w:p>
            <w:pPr>
              <w:pStyle w:val="TableParagraph"/>
              <w:rPr>
                <w:rFonts w:ascii="Times New Roman"/>
                <w:sz w:val="12"/>
              </w:rPr>
            </w:pPr>
          </w:p>
        </w:tc>
      </w:tr>
      <w:tr>
        <w:trPr>
          <w:trHeight w:val="169" w:hRule="atLeast"/>
        </w:trPr>
        <w:tc>
          <w:tcPr>
            <w:tcW w:w="3859" w:type="dxa"/>
          </w:tcPr>
          <w:p>
            <w:pPr>
              <w:pStyle w:val="TableParagraph"/>
              <w:spacing w:line="133" w:lineRule="exact" w:before="16"/>
              <w:ind w:left="34"/>
              <w:rPr>
                <w:sz w:val="13"/>
              </w:rPr>
            </w:pPr>
            <w:r>
              <w:rPr>
                <w:sz w:val="13"/>
              </w:rPr>
              <w:t>Budget Year (2021-22)</w:t>
            </w:r>
          </w:p>
        </w:tc>
        <w:tc>
          <w:tcPr>
            <w:tcW w:w="3138" w:type="dxa"/>
            <w:gridSpan w:val="2"/>
          </w:tcPr>
          <w:p>
            <w:pPr>
              <w:pStyle w:val="TableParagraph"/>
              <w:spacing w:line="133" w:lineRule="exact" w:before="16"/>
              <w:ind w:right="71"/>
              <w:jc w:val="right"/>
              <w:rPr>
                <w:sz w:val="13"/>
              </w:rPr>
            </w:pPr>
            <w:r>
              <w:rPr>
                <w:sz w:val="13"/>
              </w:rPr>
              <w:t>166,779.00</w:t>
            </w:r>
          </w:p>
        </w:tc>
        <w:tc>
          <w:tcPr>
            <w:tcW w:w="606" w:type="dxa"/>
          </w:tcPr>
          <w:p>
            <w:pPr>
              <w:pStyle w:val="TableParagraph"/>
              <w:rPr>
                <w:rFonts w:ascii="Times New Roman"/>
                <w:sz w:val="10"/>
              </w:rPr>
            </w:pPr>
          </w:p>
        </w:tc>
        <w:tc>
          <w:tcPr>
            <w:tcW w:w="1702" w:type="dxa"/>
          </w:tcPr>
          <w:p>
            <w:pPr>
              <w:pStyle w:val="TableParagraph"/>
              <w:spacing w:line="133" w:lineRule="exact" w:before="16"/>
              <w:ind w:left="363"/>
              <w:rPr>
                <w:sz w:val="13"/>
              </w:rPr>
            </w:pPr>
            <w:r>
              <w:rPr>
                <w:sz w:val="13"/>
              </w:rPr>
              <w:t>-39.64%</w:t>
            </w:r>
          </w:p>
        </w:tc>
        <w:tc>
          <w:tcPr>
            <w:tcW w:w="1667" w:type="dxa"/>
          </w:tcPr>
          <w:p>
            <w:pPr>
              <w:pStyle w:val="TableParagraph"/>
              <w:spacing w:line="133" w:lineRule="exact" w:before="16"/>
              <w:ind w:right="473"/>
              <w:jc w:val="right"/>
              <w:rPr>
                <w:sz w:val="13"/>
              </w:rPr>
            </w:pPr>
            <w:r>
              <w:rPr>
                <w:sz w:val="13"/>
              </w:rPr>
              <w:t>Yes</w:t>
            </w:r>
          </w:p>
        </w:tc>
      </w:tr>
      <w:tr>
        <w:trPr>
          <w:trHeight w:val="200" w:hRule="atLeast"/>
        </w:trPr>
        <w:tc>
          <w:tcPr>
            <w:tcW w:w="3859" w:type="dxa"/>
          </w:tcPr>
          <w:p>
            <w:pPr>
              <w:pStyle w:val="TableParagraph"/>
              <w:spacing w:line="149" w:lineRule="exact" w:before="31"/>
              <w:ind w:left="34"/>
              <w:rPr>
                <w:sz w:val="13"/>
              </w:rPr>
            </w:pPr>
            <w:r>
              <w:rPr>
                <w:sz w:val="13"/>
              </w:rPr>
              <w:t>1st Subsequent Year (2022-23)</w:t>
            </w:r>
          </w:p>
        </w:tc>
        <w:tc>
          <w:tcPr>
            <w:tcW w:w="3138" w:type="dxa"/>
            <w:gridSpan w:val="2"/>
          </w:tcPr>
          <w:p>
            <w:pPr>
              <w:pStyle w:val="TableParagraph"/>
              <w:spacing w:line="149" w:lineRule="exact" w:before="31"/>
              <w:ind w:right="71"/>
              <w:jc w:val="right"/>
              <w:rPr>
                <w:sz w:val="13"/>
              </w:rPr>
            </w:pPr>
            <w:r>
              <w:rPr>
                <w:sz w:val="13"/>
              </w:rPr>
              <w:t>106,209.00</w:t>
            </w:r>
          </w:p>
        </w:tc>
        <w:tc>
          <w:tcPr>
            <w:tcW w:w="606" w:type="dxa"/>
          </w:tcPr>
          <w:p>
            <w:pPr>
              <w:pStyle w:val="TableParagraph"/>
              <w:rPr>
                <w:rFonts w:ascii="Times New Roman"/>
                <w:sz w:val="12"/>
              </w:rPr>
            </w:pPr>
          </w:p>
        </w:tc>
        <w:tc>
          <w:tcPr>
            <w:tcW w:w="1702" w:type="dxa"/>
          </w:tcPr>
          <w:p>
            <w:pPr>
              <w:pStyle w:val="TableParagraph"/>
              <w:spacing w:line="149" w:lineRule="exact" w:before="31"/>
              <w:ind w:left="363"/>
              <w:rPr>
                <w:sz w:val="13"/>
              </w:rPr>
            </w:pPr>
            <w:r>
              <w:rPr>
                <w:sz w:val="13"/>
              </w:rPr>
              <w:t>-36.32%</w:t>
            </w:r>
          </w:p>
        </w:tc>
        <w:tc>
          <w:tcPr>
            <w:tcW w:w="1667" w:type="dxa"/>
          </w:tcPr>
          <w:p>
            <w:pPr>
              <w:pStyle w:val="TableParagraph"/>
              <w:spacing w:line="149" w:lineRule="exact" w:before="31"/>
              <w:ind w:right="473"/>
              <w:jc w:val="right"/>
              <w:rPr>
                <w:sz w:val="13"/>
              </w:rPr>
            </w:pPr>
            <w:r>
              <w:rPr>
                <w:sz w:val="13"/>
              </w:rPr>
              <w:t>Yes</w:t>
            </w:r>
          </w:p>
        </w:tc>
      </w:tr>
      <w:tr>
        <w:trPr>
          <w:trHeight w:val="169" w:hRule="atLeast"/>
        </w:trPr>
        <w:tc>
          <w:tcPr>
            <w:tcW w:w="3859" w:type="dxa"/>
          </w:tcPr>
          <w:p>
            <w:pPr>
              <w:pStyle w:val="TableParagraph"/>
              <w:spacing w:line="133" w:lineRule="exact" w:before="16"/>
              <w:ind w:left="34"/>
              <w:rPr>
                <w:sz w:val="13"/>
              </w:rPr>
            </w:pPr>
            <w:r>
              <w:rPr>
                <w:sz w:val="13"/>
              </w:rPr>
              <w:t>2nd Subsequent Year (2023-24)</w:t>
            </w:r>
          </w:p>
        </w:tc>
        <w:tc>
          <w:tcPr>
            <w:tcW w:w="3138" w:type="dxa"/>
            <w:gridSpan w:val="2"/>
          </w:tcPr>
          <w:p>
            <w:pPr>
              <w:pStyle w:val="TableParagraph"/>
              <w:spacing w:line="133" w:lineRule="exact" w:before="16"/>
              <w:ind w:right="71"/>
              <w:jc w:val="right"/>
              <w:rPr>
                <w:sz w:val="13"/>
              </w:rPr>
            </w:pPr>
            <w:r>
              <w:rPr>
                <w:sz w:val="13"/>
              </w:rPr>
              <w:t>106,209.00</w:t>
            </w:r>
          </w:p>
        </w:tc>
        <w:tc>
          <w:tcPr>
            <w:tcW w:w="606" w:type="dxa"/>
          </w:tcPr>
          <w:p>
            <w:pPr>
              <w:pStyle w:val="TableParagraph"/>
              <w:rPr>
                <w:rFonts w:ascii="Times New Roman"/>
                <w:sz w:val="10"/>
              </w:rPr>
            </w:pPr>
          </w:p>
        </w:tc>
        <w:tc>
          <w:tcPr>
            <w:tcW w:w="1702" w:type="dxa"/>
          </w:tcPr>
          <w:p>
            <w:pPr>
              <w:pStyle w:val="TableParagraph"/>
              <w:spacing w:line="133" w:lineRule="exact" w:before="16"/>
              <w:ind w:left="423"/>
              <w:rPr>
                <w:sz w:val="13"/>
              </w:rPr>
            </w:pPr>
            <w:r>
              <w:rPr>
                <w:sz w:val="13"/>
              </w:rPr>
              <w:t>0.00%</w:t>
            </w:r>
          </w:p>
        </w:tc>
        <w:tc>
          <w:tcPr>
            <w:tcW w:w="1667" w:type="dxa"/>
          </w:tcPr>
          <w:p>
            <w:pPr>
              <w:pStyle w:val="TableParagraph"/>
              <w:spacing w:line="133" w:lineRule="exact" w:before="16"/>
              <w:ind w:right="499"/>
              <w:jc w:val="right"/>
              <w:rPr>
                <w:sz w:val="13"/>
              </w:rPr>
            </w:pPr>
            <w:r>
              <w:rPr>
                <w:sz w:val="13"/>
              </w:rPr>
              <w:t>No</w:t>
            </w:r>
          </w:p>
        </w:tc>
      </w:tr>
    </w:tbl>
    <w:p>
      <w:pPr>
        <w:pStyle w:val="BodyText"/>
        <w:spacing w:before="7"/>
        <w:rPr>
          <w:sz w:val="15"/>
        </w:rPr>
      </w:pPr>
    </w:p>
    <w:p>
      <w:pPr>
        <w:spacing w:before="1"/>
        <w:ind w:left="1275" w:right="0" w:firstLine="0"/>
        <w:jc w:val="left"/>
        <w:rPr>
          <w:b/>
          <w:sz w:val="13"/>
        </w:rPr>
      </w:pPr>
      <w:r>
        <w:rPr/>
        <w:pict>
          <v:group style="position:absolute;margin-left:129.479996pt;margin-top:-.813037pt;width:454.2pt;height:34pt;mso-position-horizontal-relative:page;mso-position-vertical-relative:paragraph;z-index:252394496" coordorigin="2590,-16" coordsize="9084,680">
            <v:shape style="position:absolute;left:2589;top:-17;width:9084;height:680" type="#_x0000_t75" stroked="false">
              <v:imagedata r:id="rId1647" o:title=""/>
            </v:shape>
            <v:shape style="position:absolute;left:2589;top:-17;width:9084;height:680" type="#_x0000_t202" filled="false" stroked="false">
              <v:textbox inset="0,0,0,0">
                <w:txbxContent>
                  <w:p>
                    <w:pPr>
                      <w:spacing w:before="5"/>
                      <w:ind w:left="33" w:right="139" w:firstLine="0"/>
                      <w:jc w:val="left"/>
                      <w:rPr>
                        <w:sz w:val="13"/>
                      </w:rPr>
                    </w:pPr>
                    <w:r>
                      <w:rPr>
                        <w:sz w:val="13"/>
                      </w:rPr>
                      <w:t>The district is outside the range in 21-22 due to the removal of one-time ESSER, GEER, and CRF funds. The district is outside the range in 22-23 due to the removal of one-time ESSER II funds.</w:t>
                    </w:r>
                  </w:p>
                </w:txbxContent>
              </v:textbox>
              <w10:wrap type="none"/>
            </v:shape>
            <w10:wrap type="none"/>
          </v:group>
        </w:pict>
      </w:r>
      <w:r>
        <w:rPr>
          <w:b/>
          <w:sz w:val="13"/>
        </w:rPr>
        <w:t>Explanation:</w:t>
      </w:r>
    </w:p>
    <w:p>
      <w:pPr>
        <w:pStyle w:val="BodyText"/>
        <w:spacing w:before="21"/>
        <w:ind w:left="1207"/>
      </w:pPr>
      <w:r>
        <w:rPr/>
        <w:t>(required if Yes)</w:t>
      </w:r>
    </w:p>
    <w:p>
      <w:pPr>
        <w:pStyle w:val="BodyText"/>
        <w:rPr>
          <w:sz w:val="20"/>
        </w:rPr>
      </w:pPr>
    </w:p>
    <w:p>
      <w:pPr>
        <w:pStyle w:val="BodyText"/>
        <w:spacing w:before="7"/>
        <w:rPr>
          <w:sz w:val="19"/>
        </w:rPr>
      </w:pPr>
    </w:p>
    <w:p>
      <w:pPr>
        <w:spacing w:before="98" w:after="41"/>
        <w:ind w:left="821" w:right="0" w:firstLine="0"/>
        <w:jc w:val="left"/>
        <w:rPr>
          <w:b/>
          <w:sz w:val="13"/>
        </w:rPr>
      </w:pPr>
      <w:r>
        <w:rPr/>
        <w:pict>
          <v:group style="position:absolute;margin-left:268.320007pt;margin-top:12.436911pt;width:315.4pt;height:37.35pt;mso-position-horizontal-relative:page;mso-position-vertical-relative:paragraph;z-index:-313971712" coordorigin="5366,249" coordsize="6308,747">
            <v:shape style="position:absolute;left:5366;top:248;width:1964;height:372" type="#_x0000_t75" stroked="false">
              <v:imagedata r:id="rId1636" o:title=""/>
            </v:shape>
            <v:shape style="position:absolute;left:7322;top:433;width:615;height:190" type="#_x0000_t75" stroked="false">
              <v:imagedata r:id="rId1637" o:title=""/>
            </v:shape>
            <v:shape style="position:absolute;left:7929;top:433;width:1832;height:190" type="#_x0000_t75" stroked="false">
              <v:imagedata r:id="rId1638" o:title=""/>
            </v:shape>
            <v:shape style="position:absolute;left:9753;top:433;width:1920;height:192" type="#_x0000_t75" stroked="false">
              <v:imagedata r:id="rId1603" o:title=""/>
            </v:shape>
            <v:shape style="position:absolute;left:5366;top:618;width:1964;height:190" type="#_x0000_t75" stroked="false">
              <v:imagedata r:id="rId1648" o:title=""/>
            </v:shape>
            <v:shape style="position:absolute;left:7327;top:623;width:608;height:185" type="#_x0000_t75" stroked="false">
              <v:imagedata r:id="rId1649" o:title=""/>
            </v:shape>
            <v:shape style="position:absolute;left:7322;top:618;width:615;height:8" type="#_x0000_t75" stroked="false">
              <v:imagedata r:id="rId1641" o:title=""/>
            </v:shape>
            <v:shape style="position:absolute;left:7929;top:618;width:1832;height:190" type="#_x0000_t75" stroked="false">
              <v:imagedata r:id="rId1650" o:title=""/>
            </v:shape>
            <v:shape style="position:absolute;left:9753;top:618;width:1920;height:192" type="#_x0000_t75" stroked="false">
              <v:imagedata r:id="rId1603" o:title=""/>
            </v:shape>
            <v:shape style="position:absolute;left:5366;top:803;width:1964;height:192" type="#_x0000_t75" stroked="false">
              <v:imagedata r:id="rId1651" o:title=""/>
            </v:shape>
            <v:shape style="position:absolute;left:7327;top:807;width:608;height:185" type="#_x0000_t75" stroked="false">
              <v:imagedata r:id="rId1652" o:title=""/>
            </v:shape>
            <v:shape style="position:absolute;left:7322;top:803;width:615;height:8" type="#_x0000_t75" stroked="false">
              <v:imagedata r:id="rId1641" o:title=""/>
            </v:shape>
            <v:shape style="position:absolute;left:7322;top:987;width:615;height:8" type="#_x0000_t75" stroked="false">
              <v:imagedata r:id="rId1641" o:title=""/>
            </v:shape>
            <v:shape style="position:absolute;left:7929;top:803;width:1832;height:190" type="#_x0000_t75" stroked="false">
              <v:imagedata r:id="rId1642" o:title=""/>
            </v:shape>
            <v:shape style="position:absolute;left:7929;top:803;width:3744;height:192" type="#_x0000_t75" stroked="false">
              <v:imagedata r:id="rId1646" o:title=""/>
            </v:shape>
            <w10:wrap type="none"/>
          </v:group>
        </w:pict>
      </w:r>
      <w:r>
        <w:rPr>
          <w:b/>
          <w:sz w:val="13"/>
        </w:rPr>
        <w:t>Other State Revenue (Fund 01, Objects 8300-8599) (Form MYP, Line A3)</w:t>
      </w:r>
    </w:p>
    <w:tbl>
      <w:tblPr>
        <w:tblW w:w="0" w:type="auto"/>
        <w:jc w:val="left"/>
        <w:tblInd w:w="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93"/>
        <w:gridCol w:w="2905"/>
        <w:gridCol w:w="607"/>
        <w:gridCol w:w="1760"/>
        <w:gridCol w:w="1164"/>
      </w:tblGrid>
      <w:tr>
        <w:trPr>
          <w:trHeight w:val="165" w:hRule="atLeast"/>
        </w:trPr>
        <w:tc>
          <w:tcPr>
            <w:tcW w:w="4093" w:type="dxa"/>
          </w:tcPr>
          <w:p>
            <w:pPr>
              <w:pStyle w:val="TableParagraph"/>
              <w:spacing w:line="146" w:lineRule="exact"/>
              <w:ind w:left="34"/>
              <w:rPr>
                <w:sz w:val="13"/>
              </w:rPr>
            </w:pPr>
            <w:r>
              <w:rPr>
                <w:sz w:val="13"/>
              </w:rPr>
              <w:t>First Prior Year (2020-21)</w:t>
            </w:r>
          </w:p>
        </w:tc>
        <w:tc>
          <w:tcPr>
            <w:tcW w:w="2905" w:type="dxa"/>
          </w:tcPr>
          <w:p>
            <w:pPr>
              <w:pStyle w:val="TableParagraph"/>
              <w:spacing w:line="146" w:lineRule="exact"/>
              <w:ind w:right="72"/>
              <w:jc w:val="right"/>
              <w:rPr>
                <w:sz w:val="13"/>
              </w:rPr>
            </w:pPr>
            <w:r>
              <w:rPr>
                <w:sz w:val="13"/>
              </w:rPr>
              <w:t>332,932.00</w:t>
            </w:r>
          </w:p>
        </w:tc>
        <w:tc>
          <w:tcPr>
            <w:tcW w:w="3531" w:type="dxa"/>
            <w:gridSpan w:val="3"/>
          </w:tcPr>
          <w:p>
            <w:pPr>
              <w:pStyle w:val="TableParagraph"/>
              <w:rPr>
                <w:rFonts w:ascii="Times New Roman"/>
                <w:sz w:val="10"/>
              </w:rPr>
            </w:pPr>
          </w:p>
        </w:tc>
      </w:tr>
      <w:tr>
        <w:trPr>
          <w:trHeight w:val="169" w:hRule="atLeast"/>
        </w:trPr>
        <w:tc>
          <w:tcPr>
            <w:tcW w:w="4093" w:type="dxa"/>
          </w:tcPr>
          <w:p>
            <w:pPr>
              <w:pStyle w:val="TableParagraph"/>
              <w:spacing w:line="133" w:lineRule="exact" w:before="16"/>
              <w:ind w:left="34"/>
              <w:rPr>
                <w:sz w:val="13"/>
              </w:rPr>
            </w:pPr>
            <w:r>
              <w:rPr>
                <w:sz w:val="13"/>
              </w:rPr>
              <w:t>Budget Year (2021-22)</w:t>
            </w:r>
          </w:p>
        </w:tc>
        <w:tc>
          <w:tcPr>
            <w:tcW w:w="2905" w:type="dxa"/>
          </w:tcPr>
          <w:p>
            <w:pPr>
              <w:pStyle w:val="TableParagraph"/>
              <w:spacing w:line="133" w:lineRule="exact" w:before="16"/>
              <w:ind w:right="72"/>
              <w:jc w:val="right"/>
              <w:rPr>
                <w:sz w:val="13"/>
              </w:rPr>
            </w:pPr>
            <w:r>
              <w:rPr>
                <w:sz w:val="13"/>
              </w:rPr>
              <w:t>184,768.00</w:t>
            </w:r>
          </w:p>
        </w:tc>
        <w:tc>
          <w:tcPr>
            <w:tcW w:w="607" w:type="dxa"/>
          </w:tcPr>
          <w:p>
            <w:pPr>
              <w:pStyle w:val="TableParagraph"/>
              <w:rPr>
                <w:rFonts w:ascii="Times New Roman"/>
                <w:sz w:val="10"/>
              </w:rPr>
            </w:pPr>
          </w:p>
        </w:tc>
        <w:tc>
          <w:tcPr>
            <w:tcW w:w="1760" w:type="dxa"/>
          </w:tcPr>
          <w:p>
            <w:pPr>
              <w:pStyle w:val="TableParagraph"/>
              <w:spacing w:line="133" w:lineRule="exact" w:before="16"/>
              <w:ind w:left="361"/>
              <w:rPr>
                <w:sz w:val="13"/>
              </w:rPr>
            </w:pPr>
            <w:r>
              <w:rPr>
                <w:sz w:val="13"/>
              </w:rPr>
              <w:t>-44.50%</w:t>
            </w:r>
          </w:p>
        </w:tc>
        <w:tc>
          <w:tcPr>
            <w:tcW w:w="1164" w:type="dxa"/>
          </w:tcPr>
          <w:p>
            <w:pPr>
              <w:pStyle w:val="TableParagraph"/>
              <w:spacing w:line="133" w:lineRule="exact" w:before="16"/>
              <w:ind w:right="30"/>
              <w:jc w:val="right"/>
              <w:rPr>
                <w:sz w:val="13"/>
              </w:rPr>
            </w:pPr>
            <w:r>
              <w:rPr>
                <w:sz w:val="13"/>
              </w:rPr>
              <w:t>Yes</w:t>
            </w:r>
          </w:p>
        </w:tc>
      </w:tr>
      <w:tr>
        <w:trPr>
          <w:trHeight w:val="200" w:hRule="atLeast"/>
        </w:trPr>
        <w:tc>
          <w:tcPr>
            <w:tcW w:w="4093" w:type="dxa"/>
          </w:tcPr>
          <w:p>
            <w:pPr>
              <w:pStyle w:val="TableParagraph"/>
              <w:spacing w:line="149" w:lineRule="exact" w:before="31"/>
              <w:ind w:left="34"/>
              <w:rPr>
                <w:sz w:val="13"/>
              </w:rPr>
            </w:pPr>
            <w:r>
              <w:rPr>
                <w:sz w:val="13"/>
              </w:rPr>
              <w:t>1st Subsequent Year (2022-23)</w:t>
            </w:r>
          </w:p>
        </w:tc>
        <w:tc>
          <w:tcPr>
            <w:tcW w:w="2905" w:type="dxa"/>
          </w:tcPr>
          <w:p>
            <w:pPr>
              <w:pStyle w:val="TableParagraph"/>
              <w:spacing w:line="149" w:lineRule="exact" w:before="31"/>
              <w:ind w:right="72"/>
              <w:jc w:val="right"/>
              <w:rPr>
                <w:sz w:val="13"/>
              </w:rPr>
            </w:pPr>
            <w:r>
              <w:rPr>
                <w:sz w:val="13"/>
              </w:rPr>
              <w:t>101,861.00</w:t>
            </w:r>
          </w:p>
        </w:tc>
        <w:tc>
          <w:tcPr>
            <w:tcW w:w="607" w:type="dxa"/>
          </w:tcPr>
          <w:p>
            <w:pPr>
              <w:pStyle w:val="TableParagraph"/>
              <w:rPr>
                <w:rFonts w:ascii="Times New Roman"/>
                <w:sz w:val="12"/>
              </w:rPr>
            </w:pPr>
          </w:p>
        </w:tc>
        <w:tc>
          <w:tcPr>
            <w:tcW w:w="1760" w:type="dxa"/>
          </w:tcPr>
          <w:p>
            <w:pPr>
              <w:pStyle w:val="TableParagraph"/>
              <w:spacing w:line="149" w:lineRule="exact" w:before="31"/>
              <w:ind w:left="361"/>
              <w:rPr>
                <w:sz w:val="13"/>
              </w:rPr>
            </w:pPr>
            <w:r>
              <w:rPr>
                <w:sz w:val="13"/>
              </w:rPr>
              <w:t>-44.87%</w:t>
            </w:r>
          </w:p>
        </w:tc>
        <w:tc>
          <w:tcPr>
            <w:tcW w:w="1164" w:type="dxa"/>
          </w:tcPr>
          <w:p>
            <w:pPr>
              <w:pStyle w:val="TableParagraph"/>
              <w:spacing w:line="149" w:lineRule="exact" w:before="31"/>
              <w:ind w:right="30"/>
              <w:jc w:val="right"/>
              <w:rPr>
                <w:sz w:val="13"/>
              </w:rPr>
            </w:pPr>
            <w:r>
              <w:rPr>
                <w:sz w:val="13"/>
              </w:rPr>
              <w:t>Yes</w:t>
            </w:r>
          </w:p>
        </w:tc>
      </w:tr>
      <w:tr>
        <w:trPr>
          <w:trHeight w:val="169" w:hRule="atLeast"/>
        </w:trPr>
        <w:tc>
          <w:tcPr>
            <w:tcW w:w="4093" w:type="dxa"/>
          </w:tcPr>
          <w:p>
            <w:pPr>
              <w:pStyle w:val="TableParagraph"/>
              <w:spacing w:line="133" w:lineRule="exact" w:before="16"/>
              <w:ind w:left="34"/>
              <w:rPr>
                <w:sz w:val="13"/>
              </w:rPr>
            </w:pPr>
            <w:r>
              <w:rPr>
                <w:sz w:val="13"/>
              </w:rPr>
              <w:t>2nd Subsequent Year (2023-24)</w:t>
            </w:r>
          </w:p>
        </w:tc>
        <w:tc>
          <w:tcPr>
            <w:tcW w:w="2905" w:type="dxa"/>
          </w:tcPr>
          <w:p>
            <w:pPr>
              <w:pStyle w:val="TableParagraph"/>
              <w:spacing w:line="133" w:lineRule="exact" w:before="16"/>
              <w:ind w:right="72"/>
              <w:jc w:val="right"/>
              <w:rPr>
                <w:sz w:val="13"/>
              </w:rPr>
            </w:pPr>
            <w:r>
              <w:rPr>
                <w:sz w:val="13"/>
              </w:rPr>
              <w:t>101,861.00</w:t>
            </w:r>
          </w:p>
        </w:tc>
        <w:tc>
          <w:tcPr>
            <w:tcW w:w="607" w:type="dxa"/>
          </w:tcPr>
          <w:p>
            <w:pPr>
              <w:pStyle w:val="TableParagraph"/>
              <w:rPr>
                <w:rFonts w:ascii="Times New Roman"/>
                <w:sz w:val="10"/>
              </w:rPr>
            </w:pPr>
          </w:p>
        </w:tc>
        <w:tc>
          <w:tcPr>
            <w:tcW w:w="1760" w:type="dxa"/>
          </w:tcPr>
          <w:p>
            <w:pPr>
              <w:pStyle w:val="TableParagraph"/>
              <w:spacing w:line="133" w:lineRule="exact" w:before="16"/>
              <w:ind w:left="421"/>
              <w:rPr>
                <w:sz w:val="13"/>
              </w:rPr>
            </w:pPr>
            <w:r>
              <w:rPr>
                <w:sz w:val="13"/>
              </w:rPr>
              <w:t>0.00%</w:t>
            </w:r>
          </w:p>
        </w:tc>
        <w:tc>
          <w:tcPr>
            <w:tcW w:w="1164" w:type="dxa"/>
          </w:tcPr>
          <w:p>
            <w:pPr>
              <w:pStyle w:val="TableParagraph"/>
              <w:spacing w:line="133" w:lineRule="exact" w:before="16"/>
              <w:ind w:right="56"/>
              <w:jc w:val="right"/>
              <w:rPr>
                <w:sz w:val="13"/>
              </w:rPr>
            </w:pPr>
            <w:r>
              <w:rPr>
                <w:sz w:val="13"/>
              </w:rPr>
              <w:t>No</w:t>
            </w:r>
          </w:p>
        </w:tc>
      </w:tr>
    </w:tbl>
    <w:p>
      <w:pPr>
        <w:pStyle w:val="BodyText"/>
        <w:spacing w:before="7"/>
        <w:rPr>
          <w:b/>
          <w:sz w:val="15"/>
        </w:rPr>
      </w:pPr>
    </w:p>
    <w:p>
      <w:pPr>
        <w:spacing w:before="1"/>
        <w:ind w:left="1275" w:right="0" w:firstLine="0"/>
        <w:jc w:val="left"/>
        <w:rPr>
          <w:b/>
          <w:sz w:val="13"/>
        </w:rPr>
      </w:pPr>
      <w:r>
        <w:rPr/>
        <w:pict>
          <v:group style="position:absolute;margin-left:129.479996pt;margin-top:-.813083pt;width:454.2pt;height:34pt;mso-position-horizontal-relative:page;mso-position-vertical-relative:paragraph;z-index:252397568" coordorigin="2590,-16" coordsize="9084,680">
            <v:shape style="position:absolute;left:2589;top:-17;width:9084;height:680" type="#_x0000_t75" stroked="false">
              <v:imagedata r:id="rId1647" o:title=""/>
            </v:shape>
            <v:shape style="position:absolute;left:2589;top:-17;width:9084;height:680" type="#_x0000_t202" filled="false" stroked="false">
              <v:textbox inset="0,0,0,0">
                <w:txbxContent>
                  <w:p>
                    <w:pPr>
                      <w:spacing w:before="5"/>
                      <w:ind w:left="33" w:right="139" w:firstLine="0"/>
                      <w:jc w:val="left"/>
                      <w:rPr>
                        <w:sz w:val="13"/>
                      </w:rPr>
                    </w:pPr>
                    <w:r>
                      <w:rPr>
                        <w:sz w:val="13"/>
                      </w:rPr>
                      <w:t>The district is outside the range in 21-22 due to the removal of one-time Prop98 and ELO funds. The district is outside the range in 22-23 due to the removal of one-time IPI funds.</w:t>
                    </w:r>
                  </w:p>
                </w:txbxContent>
              </v:textbox>
              <w10:wrap type="none"/>
            </v:shape>
            <w10:wrap type="none"/>
          </v:group>
        </w:pict>
      </w:r>
      <w:r>
        <w:rPr>
          <w:b/>
          <w:sz w:val="13"/>
        </w:rPr>
        <w:t>Explanation:</w:t>
      </w:r>
    </w:p>
    <w:p>
      <w:pPr>
        <w:pStyle w:val="BodyText"/>
        <w:spacing w:before="21"/>
        <w:ind w:left="1207"/>
      </w:pPr>
      <w:r>
        <w:rPr/>
        <w:t>(required if Yes)</w:t>
      </w:r>
    </w:p>
    <w:p>
      <w:pPr>
        <w:pStyle w:val="BodyText"/>
        <w:rPr>
          <w:sz w:val="20"/>
        </w:rPr>
      </w:pPr>
    </w:p>
    <w:p>
      <w:pPr>
        <w:pStyle w:val="BodyText"/>
        <w:spacing w:before="7"/>
        <w:rPr>
          <w:sz w:val="19"/>
        </w:rPr>
      </w:pPr>
    </w:p>
    <w:p>
      <w:pPr>
        <w:spacing w:before="98" w:after="41"/>
        <w:ind w:left="821" w:right="0" w:firstLine="0"/>
        <w:jc w:val="left"/>
        <w:rPr>
          <w:b/>
          <w:sz w:val="13"/>
        </w:rPr>
      </w:pPr>
      <w:r>
        <w:rPr/>
        <w:pict>
          <v:group style="position:absolute;margin-left:268.320007pt;margin-top:12.436911pt;width:315.4pt;height:37.35pt;mso-position-horizontal-relative:page;mso-position-vertical-relative:paragraph;z-index:-313968640" coordorigin="5366,249" coordsize="6308,747">
            <v:shape style="position:absolute;left:5366;top:248;width:1964;height:372" type="#_x0000_t75" stroked="false">
              <v:imagedata r:id="rId1636" o:title=""/>
            </v:shape>
            <v:shape style="position:absolute;left:7322;top:433;width:615;height:190" type="#_x0000_t75" stroked="false">
              <v:imagedata r:id="rId1653" o:title=""/>
            </v:shape>
            <v:shape style="position:absolute;left:7929;top:433;width:1832;height:190" type="#_x0000_t75" stroked="false">
              <v:imagedata r:id="rId1642" o:title=""/>
            </v:shape>
            <v:shape style="position:absolute;left:9753;top:433;width:1920;height:192" type="#_x0000_t75" stroked="false">
              <v:imagedata r:id="rId1603" o:title=""/>
            </v:shape>
            <v:shape style="position:absolute;left:5366;top:618;width:1964;height:190" type="#_x0000_t75" stroked="false">
              <v:imagedata r:id="rId1654" o:title=""/>
            </v:shape>
            <v:shape style="position:absolute;left:7327;top:623;width:608;height:185" type="#_x0000_t75" stroked="false">
              <v:imagedata r:id="rId1655" o:title=""/>
            </v:shape>
            <v:shape style="position:absolute;left:7322;top:618;width:615;height:8" type="#_x0000_t75" stroked="false">
              <v:imagedata r:id="rId1641" o:title=""/>
            </v:shape>
            <v:shape style="position:absolute;left:7929;top:618;width:1832;height:190" type="#_x0000_t75" stroked="false">
              <v:imagedata r:id="rId1656" o:title=""/>
            </v:shape>
            <v:shape style="position:absolute;left:9753;top:618;width:1920;height:192" type="#_x0000_t75" stroked="false">
              <v:imagedata r:id="rId1603" o:title=""/>
            </v:shape>
            <v:shape style="position:absolute;left:5366;top:803;width:1964;height:192" type="#_x0000_t75" stroked="false">
              <v:imagedata r:id="rId1657" o:title=""/>
            </v:shape>
            <v:shape style="position:absolute;left:7327;top:807;width:608;height:185" type="#_x0000_t75" stroked="false">
              <v:imagedata r:id="rId1652" o:title=""/>
            </v:shape>
            <v:shape style="position:absolute;left:7322;top:803;width:615;height:8" type="#_x0000_t75" stroked="false">
              <v:imagedata r:id="rId1641" o:title=""/>
            </v:shape>
            <v:shape style="position:absolute;left:7322;top:987;width:615;height:8" type="#_x0000_t75" stroked="false">
              <v:imagedata r:id="rId1641" o:title=""/>
            </v:shape>
            <v:shape style="position:absolute;left:7929;top:803;width:1832;height:190" type="#_x0000_t75" stroked="false">
              <v:imagedata r:id="rId1638" o:title=""/>
            </v:shape>
            <v:shape style="position:absolute;left:7929;top:803;width:3744;height:192" type="#_x0000_t75" stroked="false">
              <v:imagedata r:id="rId1646" o:title=""/>
            </v:shape>
            <w10:wrap type="none"/>
          </v:group>
        </w:pict>
      </w:r>
      <w:r>
        <w:rPr>
          <w:b/>
          <w:sz w:val="13"/>
        </w:rPr>
        <w:t>Other Local Revenue (Fund 01, Objects 8600-8799) (Form MYP, Line A4)</w:t>
      </w:r>
    </w:p>
    <w:tbl>
      <w:tblPr>
        <w:tblW w:w="0" w:type="auto"/>
        <w:jc w:val="left"/>
        <w:tblInd w:w="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93"/>
        <w:gridCol w:w="2905"/>
        <w:gridCol w:w="607"/>
        <w:gridCol w:w="1745"/>
        <w:gridCol w:w="1153"/>
      </w:tblGrid>
      <w:tr>
        <w:trPr>
          <w:trHeight w:val="165" w:hRule="atLeast"/>
        </w:trPr>
        <w:tc>
          <w:tcPr>
            <w:tcW w:w="4093" w:type="dxa"/>
          </w:tcPr>
          <w:p>
            <w:pPr>
              <w:pStyle w:val="TableParagraph"/>
              <w:spacing w:line="146" w:lineRule="exact"/>
              <w:ind w:left="34"/>
              <w:rPr>
                <w:sz w:val="13"/>
              </w:rPr>
            </w:pPr>
            <w:r>
              <w:rPr>
                <w:sz w:val="13"/>
              </w:rPr>
              <w:t>First Prior Year (2020-21)</w:t>
            </w:r>
          </w:p>
        </w:tc>
        <w:tc>
          <w:tcPr>
            <w:tcW w:w="2905" w:type="dxa"/>
          </w:tcPr>
          <w:p>
            <w:pPr>
              <w:pStyle w:val="TableParagraph"/>
              <w:spacing w:line="146" w:lineRule="exact"/>
              <w:ind w:right="72"/>
              <w:jc w:val="right"/>
              <w:rPr>
                <w:sz w:val="13"/>
              </w:rPr>
            </w:pPr>
            <w:r>
              <w:rPr>
                <w:sz w:val="13"/>
              </w:rPr>
              <w:t>376,695.00</w:t>
            </w:r>
          </w:p>
        </w:tc>
        <w:tc>
          <w:tcPr>
            <w:tcW w:w="3505" w:type="dxa"/>
            <w:gridSpan w:val="3"/>
          </w:tcPr>
          <w:p>
            <w:pPr>
              <w:pStyle w:val="TableParagraph"/>
              <w:rPr>
                <w:rFonts w:ascii="Times New Roman"/>
                <w:sz w:val="10"/>
              </w:rPr>
            </w:pPr>
          </w:p>
        </w:tc>
      </w:tr>
      <w:tr>
        <w:trPr>
          <w:trHeight w:val="169" w:hRule="atLeast"/>
        </w:trPr>
        <w:tc>
          <w:tcPr>
            <w:tcW w:w="4093" w:type="dxa"/>
          </w:tcPr>
          <w:p>
            <w:pPr>
              <w:pStyle w:val="TableParagraph"/>
              <w:spacing w:line="133" w:lineRule="exact" w:before="16"/>
              <w:ind w:left="34"/>
              <w:rPr>
                <w:sz w:val="13"/>
              </w:rPr>
            </w:pPr>
            <w:r>
              <w:rPr>
                <w:sz w:val="13"/>
              </w:rPr>
              <w:t>Budget Year (2021-22)</w:t>
            </w:r>
          </w:p>
        </w:tc>
        <w:tc>
          <w:tcPr>
            <w:tcW w:w="2905" w:type="dxa"/>
          </w:tcPr>
          <w:p>
            <w:pPr>
              <w:pStyle w:val="TableParagraph"/>
              <w:spacing w:line="133" w:lineRule="exact" w:before="16"/>
              <w:ind w:right="72"/>
              <w:jc w:val="right"/>
              <w:rPr>
                <w:sz w:val="13"/>
              </w:rPr>
            </w:pPr>
            <w:r>
              <w:rPr>
                <w:sz w:val="13"/>
              </w:rPr>
              <w:t>377,666.00</w:t>
            </w:r>
          </w:p>
        </w:tc>
        <w:tc>
          <w:tcPr>
            <w:tcW w:w="607" w:type="dxa"/>
          </w:tcPr>
          <w:p>
            <w:pPr>
              <w:pStyle w:val="TableParagraph"/>
              <w:rPr>
                <w:rFonts w:ascii="Times New Roman"/>
                <w:sz w:val="10"/>
              </w:rPr>
            </w:pPr>
          </w:p>
        </w:tc>
        <w:tc>
          <w:tcPr>
            <w:tcW w:w="1745" w:type="dxa"/>
          </w:tcPr>
          <w:p>
            <w:pPr>
              <w:pStyle w:val="TableParagraph"/>
              <w:spacing w:line="133" w:lineRule="exact" w:before="16"/>
              <w:ind w:left="421"/>
              <w:rPr>
                <w:sz w:val="13"/>
              </w:rPr>
            </w:pPr>
            <w:r>
              <w:rPr>
                <w:sz w:val="13"/>
              </w:rPr>
              <w:t>0.26%</w:t>
            </w:r>
          </w:p>
        </w:tc>
        <w:tc>
          <w:tcPr>
            <w:tcW w:w="1153" w:type="dxa"/>
          </w:tcPr>
          <w:p>
            <w:pPr>
              <w:pStyle w:val="TableParagraph"/>
              <w:spacing w:line="133" w:lineRule="exact" w:before="16"/>
              <w:ind w:right="30"/>
              <w:jc w:val="right"/>
              <w:rPr>
                <w:sz w:val="13"/>
              </w:rPr>
            </w:pPr>
            <w:r>
              <w:rPr>
                <w:sz w:val="13"/>
              </w:rPr>
              <w:t>No</w:t>
            </w:r>
          </w:p>
        </w:tc>
      </w:tr>
      <w:tr>
        <w:trPr>
          <w:trHeight w:val="200" w:hRule="atLeast"/>
        </w:trPr>
        <w:tc>
          <w:tcPr>
            <w:tcW w:w="4093" w:type="dxa"/>
          </w:tcPr>
          <w:p>
            <w:pPr>
              <w:pStyle w:val="TableParagraph"/>
              <w:spacing w:line="149" w:lineRule="exact" w:before="31"/>
              <w:ind w:left="34"/>
              <w:rPr>
                <w:sz w:val="13"/>
              </w:rPr>
            </w:pPr>
            <w:r>
              <w:rPr>
                <w:sz w:val="13"/>
              </w:rPr>
              <w:t>1st Subsequent Year (2022-23)</w:t>
            </w:r>
          </w:p>
        </w:tc>
        <w:tc>
          <w:tcPr>
            <w:tcW w:w="2905" w:type="dxa"/>
          </w:tcPr>
          <w:p>
            <w:pPr>
              <w:pStyle w:val="TableParagraph"/>
              <w:spacing w:line="149" w:lineRule="exact" w:before="31"/>
              <w:ind w:right="72"/>
              <w:jc w:val="right"/>
              <w:rPr>
                <w:sz w:val="13"/>
              </w:rPr>
            </w:pPr>
            <w:r>
              <w:rPr>
                <w:sz w:val="13"/>
              </w:rPr>
              <w:t>377,666.00</w:t>
            </w:r>
          </w:p>
        </w:tc>
        <w:tc>
          <w:tcPr>
            <w:tcW w:w="607" w:type="dxa"/>
          </w:tcPr>
          <w:p>
            <w:pPr>
              <w:pStyle w:val="TableParagraph"/>
              <w:rPr>
                <w:rFonts w:ascii="Times New Roman"/>
                <w:sz w:val="12"/>
              </w:rPr>
            </w:pPr>
          </w:p>
        </w:tc>
        <w:tc>
          <w:tcPr>
            <w:tcW w:w="1745" w:type="dxa"/>
          </w:tcPr>
          <w:p>
            <w:pPr>
              <w:pStyle w:val="TableParagraph"/>
              <w:spacing w:line="149" w:lineRule="exact" w:before="31"/>
              <w:ind w:left="421"/>
              <w:rPr>
                <w:sz w:val="13"/>
              </w:rPr>
            </w:pPr>
            <w:r>
              <w:rPr>
                <w:sz w:val="13"/>
              </w:rPr>
              <w:t>0.00%</w:t>
            </w:r>
          </w:p>
        </w:tc>
        <w:tc>
          <w:tcPr>
            <w:tcW w:w="1153" w:type="dxa"/>
          </w:tcPr>
          <w:p>
            <w:pPr>
              <w:pStyle w:val="TableParagraph"/>
              <w:spacing w:line="149" w:lineRule="exact" w:before="31"/>
              <w:ind w:right="30"/>
              <w:jc w:val="right"/>
              <w:rPr>
                <w:sz w:val="13"/>
              </w:rPr>
            </w:pPr>
            <w:r>
              <w:rPr>
                <w:sz w:val="13"/>
              </w:rPr>
              <w:t>No</w:t>
            </w:r>
          </w:p>
        </w:tc>
      </w:tr>
      <w:tr>
        <w:trPr>
          <w:trHeight w:val="169" w:hRule="atLeast"/>
        </w:trPr>
        <w:tc>
          <w:tcPr>
            <w:tcW w:w="4093" w:type="dxa"/>
          </w:tcPr>
          <w:p>
            <w:pPr>
              <w:pStyle w:val="TableParagraph"/>
              <w:spacing w:line="133" w:lineRule="exact" w:before="16"/>
              <w:ind w:left="34"/>
              <w:rPr>
                <w:sz w:val="13"/>
              </w:rPr>
            </w:pPr>
            <w:r>
              <w:rPr>
                <w:sz w:val="13"/>
              </w:rPr>
              <w:t>2nd Subsequent Year (2023-24)</w:t>
            </w:r>
          </w:p>
        </w:tc>
        <w:tc>
          <w:tcPr>
            <w:tcW w:w="2905" w:type="dxa"/>
          </w:tcPr>
          <w:p>
            <w:pPr>
              <w:pStyle w:val="TableParagraph"/>
              <w:spacing w:line="133" w:lineRule="exact" w:before="16"/>
              <w:ind w:right="72"/>
              <w:jc w:val="right"/>
              <w:rPr>
                <w:sz w:val="13"/>
              </w:rPr>
            </w:pPr>
            <w:r>
              <w:rPr>
                <w:sz w:val="13"/>
              </w:rPr>
              <w:t>377,666.00</w:t>
            </w:r>
          </w:p>
        </w:tc>
        <w:tc>
          <w:tcPr>
            <w:tcW w:w="607" w:type="dxa"/>
          </w:tcPr>
          <w:p>
            <w:pPr>
              <w:pStyle w:val="TableParagraph"/>
              <w:rPr>
                <w:rFonts w:ascii="Times New Roman"/>
                <w:sz w:val="10"/>
              </w:rPr>
            </w:pPr>
          </w:p>
        </w:tc>
        <w:tc>
          <w:tcPr>
            <w:tcW w:w="1745" w:type="dxa"/>
          </w:tcPr>
          <w:p>
            <w:pPr>
              <w:pStyle w:val="TableParagraph"/>
              <w:spacing w:line="133" w:lineRule="exact" w:before="16"/>
              <w:ind w:left="421"/>
              <w:rPr>
                <w:sz w:val="13"/>
              </w:rPr>
            </w:pPr>
            <w:r>
              <w:rPr>
                <w:sz w:val="13"/>
              </w:rPr>
              <w:t>0.00%</w:t>
            </w:r>
          </w:p>
        </w:tc>
        <w:tc>
          <w:tcPr>
            <w:tcW w:w="1153" w:type="dxa"/>
          </w:tcPr>
          <w:p>
            <w:pPr>
              <w:pStyle w:val="TableParagraph"/>
              <w:spacing w:line="133" w:lineRule="exact" w:before="16"/>
              <w:ind w:right="30"/>
              <w:jc w:val="right"/>
              <w:rPr>
                <w:sz w:val="13"/>
              </w:rPr>
            </w:pPr>
            <w:r>
              <w:rPr>
                <w:sz w:val="13"/>
              </w:rPr>
              <w:t>No</w:t>
            </w:r>
          </w:p>
        </w:tc>
      </w:tr>
    </w:tbl>
    <w:p>
      <w:pPr>
        <w:pStyle w:val="BodyText"/>
        <w:spacing w:before="7"/>
        <w:rPr>
          <w:b/>
          <w:sz w:val="15"/>
        </w:rPr>
      </w:pPr>
    </w:p>
    <w:p>
      <w:pPr>
        <w:spacing w:before="1"/>
        <w:ind w:left="1275" w:right="0" w:firstLine="0"/>
        <w:jc w:val="left"/>
        <w:rPr>
          <w:b/>
          <w:sz w:val="13"/>
        </w:rPr>
      </w:pPr>
      <w:r>
        <w:rPr/>
        <w:drawing>
          <wp:anchor distT="0" distB="0" distL="0" distR="0" allowOverlap="1" layoutInCell="1" locked="0" behindDoc="0" simplePos="0" relativeHeight="252399616">
            <wp:simplePos x="0" y="0"/>
            <wp:positionH relativeFrom="page">
              <wp:posOffset>1644395</wp:posOffset>
            </wp:positionH>
            <wp:positionV relativeFrom="paragraph">
              <wp:posOffset>-10326</wp:posOffset>
            </wp:positionV>
            <wp:extent cx="5768339" cy="431292"/>
            <wp:effectExtent l="0" t="0" r="0" b="0"/>
            <wp:wrapNone/>
            <wp:docPr id="93" name="image1545.png"/>
            <wp:cNvGraphicFramePr>
              <a:graphicFrameLocks noChangeAspect="1"/>
            </wp:cNvGraphicFramePr>
            <a:graphic>
              <a:graphicData uri="http://schemas.openxmlformats.org/drawingml/2006/picture">
                <pic:pic>
                  <pic:nvPicPr>
                    <pic:cNvPr id="94" name="image1545.png"/>
                    <pic:cNvPicPr/>
                  </pic:nvPicPr>
                  <pic:blipFill>
                    <a:blip r:embed="rId1647" cstate="print"/>
                    <a:stretch>
                      <a:fillRect/>
                    </a:stretch>
                  </pic:blipFill>
                  <pic:spPr>
                    <a:xfrm>
                      <a:off x="0" y="0"/>
                      <a:ext cx="5768339" cy="431292"/>
                    </a:xfrm>
                    <a:prstGeom prst="rect">
                      <a:avLst/>
                    </a:prstGeom>
                  </pic:spPr>
                </pic:pic>
              </a:graphicData>
            </a:graphic>
          </wp:anchor>
        </w:drawing>
      </w:r>
      <w:r>
        <w:rPr>
          <w:b/>
          <w:sz w:val="13"/>
        </w:rPr>
        <w:t>Explanation:</w:t>
      </w:r>
    </w:p>
    <w:p>
      <w:pPr>
        <w:pStyle w:val="BodyText"/>
        <w:spacing w:before="21"/>
        <w:ind w:left="1207"/>
      </w:pPr>
      <w:r>
        <w:rPr/>
        <w:t>(required if Yes)</w:t>
      </w:r>
    </w:p>
    <w:p>
      <w:pPr>
        <w:pStyle w:val="BodyText"/>
        <w:rPr>
          <w:sz w:val="14"/>
        </w:rPr>
      </w:pPr>
    </w:p>
    <w:p>
      <w:pPr>
        <w:pStyle w:val="BodyText"/>
        <w:rPr>
          <w:sz w:val="14"/>
        </w:rPr>
      </w:pPr>
    </w:p>
    <w:p>
      <w:pPr>
        <w:pStyle w:val="BodyText"/>
        <w:spacing w:before="7"/>
        <w:rPr>
          <w:sz w:val="18"/>
        </w:rPr>
      </w:pPr>
    </w:p>
    <w:p>
      <w:pPr>
        <w:spacing w:before="1" w:after="40"/>
        <w:ind w:left="821" w:right="0" w:firstLine="0"/>
        <w:jc w:val="left"/>
        <w:rPr>
          <w:b/>
          <w:sz w:val="13"/>
        </w:rPr>
      </w:pPr>
      <w:r>
        <w:rPr/>
        <w:pict>
          <v:group style="position:absolute;margin-left:268.320007pt;margin-top:7.586911pt;width:315.4pt;height:37.35pt;mso-position-horizontal-relative:page;mso-position-vertical-relative:paragraph;z-index:-313966592" coordorigin="5366,152" coordsize="6308,747">
            <v:shape style="position:absolute;left:5366;top:151;width:1964;height:372" type="#_x0000_t75" stroked="false">
              <v:imagedata r:id="rId1636" o:title=""/>
            </v:shape>
            <v:shape style="position:absolute;left:7322;top:336;width:615;height:190" type="#_x0000_t75" stroked="false">
              <v:imagedata r:id="rId1658" o:title=""/>
            </v:shape>
            <v:shape style="position:absolute;left:7929;top:336;width:1832;height:190" type="#_x0000_t75" stroked="false">
              <v:imagedata r:id="rId1659" o:title=""/>
            </v:shape>
            <v:shape style="position:absolute;left:9753;top:336;width:1920;height:192" type="#_x0000_t75" stroked="false">
              <v:imagedata r:id="rId1603" o:title=""/>
            </v:shape>
            <v:shape style="position:absolute;left:5366;top:521;width:1964;height:190" type="#_x0000_t75" stroked="false">
              <v:imagedata r:id="rId1660" o:title=""/>
            </v:shape>
            <v:shape style="position:absolute;left:7327;top:526;width:608;height:185" type="#_x0000_t75" stroked="false">
              <v:imagedata r:id="rId1652" o:title=""/>
            </v:shape>
            <v:shape style="position:absolute;left:7322;top:521;width:615;height:8" type="#_x0000_t75" stroked="false">
              <v:imagedata r:id="rId1641" o:title=""/>
            </v:shape>
            <v:shape style="position:absolute;left:7929;top:521;width:1832;height:190" type="#_x0000_t75" stroked="false">
              <v:imagedata r:id="rId1638" o:title=""/>
            </v:shape>
            <v:shape style="position:absolute;left:9753;top:521;width:1920;height:192" type="#_x0000_t75" stroked="false">
              <v:imagedata r:id="rId1603" o:title=""/>
            </v:shape>
            <v:shape style="position:absolute;left:5366;top:706;width:1964;height:192" type="#_x0000_t75" stroked="false">
              <v:imagedata r:id="rId1657" o:title=""/>
            </v:shape>
            <v:shape style="position:absolute;left:7327;top:710;width:608;height:185" type="#_x0000_t75" stroked="false">
              <v:imagedata r:id="rId1661" o:title=""/>
            </v:shape>
            <v:shape style="position:absolute;left:7322;top:706;width:615;height:8" type="#_x0000_t75" stroked="false">
              <v:imagedata r:id="rId1641" o:title=""/>
            </v:shape>
            <v:shape style="position:absolute;left:7322;top:890;width:615;height:8" type="#_x0000_t75" stroked="false">
              <v:imagedata r:id="rId1641" o:title=""/>
            </v:shape>
            <v:shape style="position:absolute;left:7929;top:706;width:1832;height:190" type="#_x0000_t75" stroked="false">
              <v:imagedata r:id="rId1662" o:title=""/>
            </v:shape>
            <v:shape style="position:absolute;left:7929;top:706;width:3744;height:192" type="#_x0000_t75" stroked="false">
              <v:imagedata r:id="rId1646" o:title=""/>
            </v:shape>
            <w10:wrap type="none"/>
          </v:group>
        </w:pict>
      </w:r>
      <w:r>
        <w:rPr>
          <w:b/>
          <w:sz w:val="13"/>
        </w:rPr>
        <w:t>Books and Supplies (Fund 01, Objects 4000-4999) (Form MYP, Line B4)</w:t>
      </w:r>
    </w:p>
    <w:tbl>
      <w:tblPr>
        <w:tblW w:w="0" w:type="auto"/>
        <w:jc w:val="left"/>
        <w:tblInd w:w="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93"/>
        <w:gridCol w:w="2905"/>
        <w:gridCol w:w="607"/>
        <w:gridCol w:w="1760"/>
        <w:gridCol w:w="1164"/>
      </w:tblGrid>
      <w:tr>
        <w:trPr>
          <w:trHeight w:val="165" w:hRule="atLeast"/>
        </w:trPr>
        <w:tc>
          <w:tcPr>
            <w:tcW w:w="4093" w:type="dxa"/>
          </w:tcPr>
          <w:p>
            <w:pPr>
              <w:pStyle w:val="TableParagraph"/>
              <w:spacing w:line="146" w:lineRule="exact"/>
              <w:ind w:left="34"/>
              <w:rPr>
                <w:sz w:val="13"/>
              </w:rPr>
            </w:pPr>
            <w:r>
              <w:rPr>
                <w:sz w:val="13"/>
              </w:rPr>
              <w:t>First Prior Year (2020-21)</w:t>
            </w:r>
          </w:p>
        </w:tc>
        <w:tc>
          <w:tcPr>
            <w:tcW w:w="2905" w:type="dxa"/>
          </w:tcPr>
          <w:p>
            <w:pPr>
              <w:pStyle w:val="TableParagraph"/>
              <w:spacing w:line="146" w:lineRule="exact"/>
              <w:ind w:right="72"/>
              <w:jc w:val="right"/>
              <w:rPr>
                <w:sz w:val="13"/>
              </w:rPr>
            </w:pPr>
            <w:r>
              <w:rPr>
                <w:sz w:val="13"/>
              </w:rPr>
              <w:t>222,388.00</w:t>
            </w:r>
          </w:p>
        </w:tc>
        <w:tc>
          <w:tcPr>
            <w:tcW w:w="3531" w:type="dxa"/>
            <w:gridSpan w:val="3"/>
          </w:tcPr>
          <w:p>
            <w:pPr>
              <w:pStyle w:val="TableParagraph"/>
              <w:rPr>
                <w:rFonts w:ascii="Times New Roman"/>
                <w:sz w:val="10"/>
              </w:rPr>
            </w:pPr>
          </w:p>
        </w:tc>
      </w:tr>
      <w:tr>
        <w:trPr>
          <w:trHeight w:val="169" w:hRule="atLeast"/>
        </w:trPr>
        <w:tc>
          <w:tcPr>
            <w:tcW w:w="4093" w:type="dxa"/>
          </w:tcPr>
          <w:p>
            <w:pPr>
              <w:pStyle w:val="TableParagraph"/>
              <w:spacing w:line="133" w:lineRule="exact" w:before="16"/>
              <w:ind w:left="34"/>
              <w:rPr>
                <w:sz w:val="13"/>
              </w:rPr>
            </w:pPr>
            <w:r>
              <w:rPr>
                <w:sz w:val="13"/>
              </w:rPr>
              <w:t>Budget Year (2021-22)</w:t>
            </w:r>
          </w:p>
        </w:tc>
        <w:tc>
          <w:tcPr>
            <w:tcW w:w="2905" w:type="dxa"/>
          </w:tcPr>
          <w:p>
            <w:pPr>
              <w:pStyle w:val="TableParagraph"/>
              <w:spacing w:line="133" w:lineRule="exact" w:before="16"/>
              <w:ind w:right="72"/>
              <w:jc w:val="right"/>
              <w:rPr>
                <w:sz w:val="13"/>
              </w:rPr>
            </w:pPr>
            <w:r>
              <w:rPr>
                <w:sz w:val="13"/>
              </w:rPr>
              <w:t>138,750.00</w:t>
            </w:r>
          </w:p>
        </w:tc>
        <w:tc>
          <w:tcPr>
            <w:tcW w:w="607" w:type="dxa"/>
          </w:tcPr>
          <w:p>
            <w:pPr>
              <w:pStyle w:val="TableParagraph"/>
              <w:rPr>
                <w:rFonts w:ascii="Times New Roman"/>
                <w:sz w:val="10"/>
              </w:rPr>
            </w:pPr>
          </w:p>
        </w:tc>
        <w:tc>
          <w:tcPr>
            <w:tcW w:w="1760" w:type="dxa"/>
          </w:tcPr>
          <w:p>
            <w:pPr>
              <w:pStyle w:val="TableParagraph"/>
              <w:spacing w:line="133" w:lineRule="exact" w:before="16"/>
              <w:ind w:left="361"/>
              <w:rPr>
                <w:sz w:val="13"/>
              </w:rPr>
            </w:pPr>
            <w:r>
              <w:rPr>
                <w:sz w:val="13"/>
              </w:rPr>
              <w:t>-37.61%</w:t>
            </w:r>
          </w:p>
        </w:tc>
        <w:tc>
          <w:tcPr>
            <w:tcW w:w="1164" w:type="dxa"/>
          </w:tcPr>
          <w:p>
            <w:pPr>
              <w:pStyle w:val="TableParagraph"/>
              <w:spacing w:line="133" w:lineRule="exact" w:before="16"/>
              <w:ind w:right="30"/>
              <w:jc w:val="right"/>
              <w:rPr>
                <w:sz w:val="13"/>
              </w:rPr>
            </w:pPr>
            <w:r>
              <w:rPr>
                <w:sz w:val="13"/>
              </w:rPr>
              <w:t>Yes</w:t>
            </w:r>
          </w:p>
        </w:tc>
      </w:tr>
      <w:tr>
        <w:trPr>
          <w:trHeight w:val="200" w:hRule="atLeast"/>
        </w:trPr>
        <w:tc>
          <w:tcPr>
            <w:tcW w:w="4093" w:type="dxa"/>
          </w:tcPr>
          <w:p>
            <w:pPr>
              <w:pStyle w:val="TableParagraph"/>
              <w:spacing w:line="149" w:lineRule="exact" w:before="31"/>
              <w:ind w:left="34"/>
              <w:rPr>
                <w:sz w:val="13"/>
              </w:rPr>
            </w:pPr>
            <w:r>
              <w:rPr>
                <w:sz w:val="13"/>
              </w:rPr>
              <w:t>1st Subsequent Year (2022-23)</w:t>
            </w:r>
          </w:p>
        </w:tc>
        <w:tc>
          <w:tcPr>
            <w:tcW w:w="2905" w:type="dxa"/>
          </w:tcPr>
          <w:p>
            <w:pPr>
              <w:pStyle w:val="TableParagraph"/>
              <w:spacing w:line="149" w:lineRule="exact" w:before="31"/>
              <w:ind w:right="72"/>
              <w:jc w:val="right"/>
              <w:rPr>
                <w:sz w:val="13"/>
              </w:rPr>
            </w:pPr>
            <w:r>
              <w:rPr>
                <w:sz w:val="13"/>
              </w:rPr>
              <w:t>138,010.00</w:t>
            </w:r>
          </w:p>
        </w:tc>
        <w:tc>
          <w:tcPr>
            <w:tcW w:w="607" w:type="dxa"/>
          </w:tcPr>
          <w:p>
            <w:pPr>
              <w:pStyle w:val="TableParagraph"/>
              <w:rPr>
                <w:rFonts w:ascii="Times New Roman"/>
                <w:sz w:val="12"/>
              </w:rPr>
            </w:pPr>
          </w:p>
        </w:tc>
        <w:tc>
          <w:tcPr>
            <w:tcW w:w="1760" w:type="dxa"/>
          </w:tcPr>
          <w:p>
            <w:pPr>
              <w:pStyle w:val="TableParagraph"/>
              <w:spacing w:line="149" w:lineRule="exact" w:before="31"/>
              <w:ind w:left="399"/>
              <w:rPr>
                <w:sz w:val="13"/>
              </w:rPr>
            </w:pPr>
            <w:r>
              <w:rPr>
                <w:sz w:val="13"/>
              </w:rPr>
              <w:t>-0.53%</w:t>
            </w:r>
          </w:p>
        </w:tc>
        <w:tc>
          <w:tcPr>
            <w:tcW w:w="1164" w:type="dxa"/>
          </w:tcPr>
          <w:p>
            <w:pPr>
              <w:pStyle w:val="TableParagraph"/>
              <w:spacing w:line="149" w:lineRule="exact" w:before="31"/>
              <w:ind w:right="56"/>
              <w:jc w:val="right"/>
              <w:rPr>
                <w:sz w:val="13"/>
              </w:rPr>
            </w:pPr>
            <w:r>
              <w:rPr>
                <w:sz w:val="13"/>
              </w:rPr>
              <w:t>No</w:t>
            </w:r>
          </w:p>
        </w:tc>
      </w:tr>
      <w:tr>
        <w:trPr>
          <w:trHeight w:val="169" w:hRule="atLeast"/>
        </w:trPr>
        <w:tc>
          <w:tcPr>
            <w:tcW w:w="4093" w:type="dxa"/>
          </w:tcPr>
          <w:p>
            <w:pPr>
              <w:pStyle w:val="TableParagraph"/>
              <w:spacing w:line="133" w:lineRule="exact" w:before="16"/>
              <w:ind w:left="34"/>
              <w:rPr>
                <w:sz w:val="13"/>
              </w:rPr>
            </w:pPr>
            <w:r>
              <w:rPr>
                <w:sz w:val="13"/>
              </w:rPr>
              <w:t>2nd Subsequent Year (2023-24)</w:t>
            </w:r>
          </w:p>
        </w:tc>
        <w:tc>
          <w:tcPr>
            <w:tcW w:w="2905" w:type="dxa"/>
          </w:tcPr>
          <w:p>
            <w:pPr>
              <w:pStyle w:val="TableParagraph"/>
              <w:spacing w:line="133" w:lineRule="exact" w:before="16"/>
              <w:ind w:right="72"/>
              <w:jc w:val="right"/>
              <w:rPr>
                <w:sz w:val="13"/>
              </w:rPr>
            </w:pPr>
            <w:r>
              <w:rPr>
                <w:sz w:val="13"/>
              </w:rPr>
              <w:t>140,935.00</w:t>
            </w:r>
          </w:p>
        </w:tc>
        <w:tc>
          <w:tcPr>
            <w:tcW w:w="607" w:type="dxa"/>
          </w:tcPr>
          <w:p>
            <w:pPr>
              <w:pStyle w:val="TableParagraph"/>
              <w:rPr>
                <w:rFonts w:ascii="Times New Roman"/>
                <w:sz w:val="10"/>
              </w:rPr>
            </w:pPr>
          </w:p>
        </w:tc>
        <w:tc>
          <w:tcPr>
            <w:tcW w:w="1760" w:type="dxa"/>
          </w:tcPr>
          <w:p>
            <w:pPr>
              <w:pStyle w:val="TableParagraph"/>
              <w:spacing w:line="133" w:lineRule="exact" w:before="16"/>
              <w:ind w:left="421"/>
              <w:rPr>
                <w:sz w:val="13"/>
              </w:rPr>
            </w:pPr>
            <w:r>
              <w:rPr>
                <w:sz w:val="13"/>
              </w:rPr>
              <w:t>2.12%</w:t>
            </w:r>
          </w:p>
        </w:tc>
        <w:tc>
          <w:tcPr>
            <w:tcW w:w="1164" w:type="dxa"/>
          </w:tcPr>
          <w:p>
            <w:pPr>
              <w:pStyle w:val="TableParagraph"/>
              <w:spacing w:line="133" w:lineRule="exact" w:before="16"/>
              <w:ind w:right="56"/>
              <w:jc w:val="right"/>
              <w:rPr>
                <w:sz w:val="13"/>
              </w:rPr>
            </w:pPr>
            <w:r>
              <w:rPr>
                <w:sz w:val="13"/>
              </w:rPr>
              <w:t>No</w:t>
            </w:r>
          </w:p>
        </w:tc>
      </w:tr>
    </w:tbl>
    <w:p>
      <w:pPr>
        <w:pStyle w:val="BodyText"/>
        <w:spacing w:before="7"/>
        <w:rPr>
          <w:b/>
          <w:sz w:val="15"/>
        </w:rPr>
      </w:pPr>
    </w:p>
    <w:p>
      <w:pPr>
        <w:spacing w:before="1"/>
        <w:ind w:left="1275" w:right="0" w:firstLine="0"/>
        <w:jc w:val="left"/>
        <w:rPr>
          <w:b/>
          <w:sz w:val="13"/>
        </w:rPr>
      </w:pPr>
      <w:r>
        <w:rPr/>
        <w:pict>
          <v:group style="position:absolute;margin-left:129.479996pt;margin-top:-.813052pt;width:454.2pt;height:34pt;mso-position-horizontal-relative:page;mso-position-vertical-relative:paragraph;z-index:252402688" coordorigin="2590,-16" coordsize="9084,680">
            <v:shape style="position:absolute;left:2589;top:-17;width:9084;height:680" type="#_x0000_t75" stroked="false">
              <v:imagedata r:id="rId1647" o:title=""/>
            </v:shape>
            <v:shape style="position:absolute;left:2589;top:-17;width:9084;height:680" type="#_x0000_t202" filled="false" stroked="false">
              <v:textbox inset="0,0,0,0">
                <w:txbxContent>
                  <w:p>
                    <w:pPr>
                      <w:spacing w:before="5"/>
                      <w:ind w:left="33" w:right="0" w:firstLine="0"/>
                      <w:jc w:val="left"/>
                      <w:rPr>
                        <w:sz w:val="13"/>
                      </w:rPr>
                    </w:pPr>
                    <w:r>
                      <w:rPr>
                        <w:sz w:val="13"/>
                      </w:rPr>
                      <w:t>The district is outside the range in 21-22 due to the removal of one-time supply expenditures related to Covid19 funds.</w:t>
                    </w:r>
                  </w:p>
                </w:txbxContent>
              </v:textbox>
              <w10:wrap type="none"/>
            </v:shape>
            <w10:wrap type="none"/>
          </v:group>
        </w:pict>
      </w:r>
      <w:r>
        <w:rPr>
          <w:b/>
          <w:sz w:val="13"/>
        </w:rPr>
        <w:t>Explanation:</w:t>
      </w:r>
    </w:p>
    <w:p>
      <w:pPr>
        <w:pStyle w:val="BodyText"/>
        <w:spacing w:before="21"/>
        <w:ind w:left="1207"/>
      </w:pPr>
      <w:r>
        <w:rPr/>
        <w:t>(required if Yes)</w:t>
      </w:r>
    </w:p>
    <w:p>
      <w:pPr>
        <w:spacing w:after="0"/>
        <w:sectPr>
          <w:pgSz w:w="12240" w:h="15840"/>
          <w:pgMar w:header="402" w:footer="584" w:top="840" w:bottom="780" w:left="40" w:right="40"/>
        </w:sectPr>
      </w:pPr>
    </w:p>
    <w:p>
      <w:pPr>
        <w:pStyle w:val="BodyText"/>
        <w:rPr>
          <w:sz w:val="20"/>
        </w:rPr>
      </w:pPr>
    </w:p>
    <w:p>
      <w:pPr>
        <w:pStyle w:val="BodyText"/>
        <w:rPr>
          <w:sz w:val="20"/>
        </w:rPr>
      </w:pPr>
    </w:p>
    <w:p>
      <w:pPr>
        <w:pStyle w:val="BodyText"/>
        <w:spacing w:before="2"/>
        <w:rPr>
          <w:sz w:val="20"/>
        </w:rPr>
      </w:pPr>
    </w:p>
    <w:p>
      <w:pPr>
        <w:spacing w:before="0" w:after="41"/>
        <w:ind w:left="821" w:right="0" w:firstLine="0"/>
        <w:jc w:val="left"/>
        <w:rPr>
          <w:b/>
          <w:sz w:val="13"/>
        </w:rPr>
      </w:pPr>
      <w:r>
        <w:rPr/>
        <w:pict>
          <v:group style="position:absolute;margin-left:268.320007pt;margin-top:7.536896pt;width:315.4pt;height:37.35pt;mso-position-horizontal-relative:page;mso-position-vertical-relative:paragraph;z-index:-313958400" coordorigin="5366,151" coordsize="6308,747">
            <v:shape style="position:absolute;left:5366;top:150;width:1964;height:372" type="#_x0000_t75" stroked="false">
              <v:imagedata r:id="rId1636" o:title=""/>
            </v:shape>
            <v:shape style="position:absolute;left:7322;top:335;width:615;height:190" type="#_x0000_t75" stroked="false">
              <v:imagedata r:id="rId1653" o:title=""/>
            </v:shape>
            <v:shape style="position:absolute;left:7929;top:335;width:1832;height:190" type="#_x0000_t75" stroked="false">
              <v:imagedata r:id="rId1642" o:title=""/>
            </v:shape>
            <v:shape style="position:absolute;left:9753;top:335;width:1920;height:192" type="#_x0000_t75" stroked="false">
              <v:imagedata r:id="rId1603" o:title=""/>
            </v:shape>
            <v:shape style="position:absolute;left:5366;top:520;width:1964;height:190" type="#_x0000_t75" stroked="false">
              <v:imagedata r:id="rId1663" o:title=""/>
            </v:shape>
            <v:shape style="position:absolute;left:7327;top:525;width:608;height:185" type="#_x0000_t75" stroked="false">
              <v:imagedata r:id="rId1664" o:title=""/>
            </v:shape>
            <v:shape style="position:absolute;left:7322;top:520;width:615;height:8" type="#_x0000_t75" stroked="false">
              <v:imagedata r:id="rId1641" o:title=""/>
            </v:shape>
            <v:shape style="position:absolute;left:7929;top:520;width:1832;height:190" type="#_x0000_t75" stroked="false">
              <v:imagedata r:id="rId1665" o:title=""/>
            </v:shape>
            <v:shape style="position:absolute;left:9753;top:520;width:1920;height:192" type="#_x0000_t75" stroked="false">
              <v:imagedata r:id="rId1603" o:title=""/>
            </v:shape>
            <v:shape style="position:absolute;left:5366;top:705;width:1964;height:192" type="#_x0000_t75" stroked="false">
              <v:imagedata r:id="rId1651" o:title=""/>
            </v:shape>
            <v:shape style="position:absolute;left:7327;top:709;width:608;height:185" type="#_x0000_t75" stroked="false">
              <v:imagedata r:id="rId1652" o:title=""/>
            </v:shape>
            <v:shape style="position:absolute;left:7322;top:705;width:615;height:8" type="#_x0000_t75" stroked="false">
              <v:imagedata r:id="rId1641" o:title=""/>
            </v:shape>
            <v:shape style="position:absolute;left:7322;top:889;width:615;height:8" type="#_x0000_t75" stroked="false">
              <v:imagedata r:id="rId1641" o:title=""/>
            </v:shape>
            <v:shape style="position:absolute;left:7929;top:705;width:1832;height:190" type="#_x0000_t75" stroked="false">
              <v:imagedata r:id="rId1642" o:title=""/>
            </v:shape>
            <v:shape style="position:absolute;left:7929;top:705;width:3744;height:192" type="#_x0000_t75" stroked="false">
              <v:imagedata r:id="rId1646" o:title=""/>
            </v:shape>
            <w10:wrap type="none"/>
          </v:group>
        </w:pict>
      </w:r>
      <w:r>
        <w:rPr>
          <w:b/>
          <w:sz w:val="13"/>
        </w:rPr>
        <w:t>Services and Other Operating Expenditures (Fund 01, Objects 5000-5999) (Form MYP, Line B5)</w:t>
      </w:r>
    </w:p>
    <w:tbl>
      <w:tblPr>
        <w:tblW w:w="0" w:type="auto"/>
        <w:jc w:val="left"/>
        <w:tblInd w:w="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92"/>
        <w:gridCol w:w="2905"/>
        <w:gridCol w:w="607"/>
        <w:gridCol w:w="1760"/>
        <w:gridCol w:w="1163"/>
      </w:tblGrid>
      <w:tr>
        <w:trPr>
          <w:trHeight w:val="165" w:hRule="atLeast"/>
        </w:trPr>
        <w:tc>
          <w:tcPr>
            <w:tcW w:w="4092" w:type="dxa"/>
          </w:tcPr>
          <w:p>
            <w:pPr>
              <w:pStyle w:val="TableParagraph"/>
              <w:spacing w:line="146" w:lineRule="exact"/>
              <w:ind w:left="33"/>
              <w:rPr>
                <w:sz w:val="13"/>
              </w:rPr>
            </w:pPr>
            <w:r>
              <w:rPr>
                <w:sz w:val="13"/>
              </w:rPr>
              <w:t>First Prior Year (2020-21)</w:t>
            </w:r>
          </w:p>
        </w:tc>
        <w:tc>
          <w:tcPr>
            <w:tcW w:w="2905" w:type="dxa"/>
          </w:tcPr>
          <w:p>
            <w:pPr>
              <w:pStyle w:val="TableParagraph"/>
              <w:spacing w:line="146" w:lineRule="exact"/>
              <w:ind w:right="72"/>
              <w:jc w:val="right"/>
              <w:rPr>
                <w:sz w:val="13"/>
              </w:rPr>
            </w:pPr>
            <w:r>
              <w:rPr>
                <w:sz w:val="13"/>
              </w:rPr>
              <w:t>429,784.00</w:t>
            </w:r>
          </w:p>
        </w:tc>
        <w:tc>
          <w:tcPr>
            <w:tcW w:w="3530" w:type="dxa"/>
            <w:gridSpan w:val="3"/>
          </w:tcPr>
          <w:p>
            <w:pPr>
              <w:pStyle w:val="TableParagraph"/>
              <w:rPr>
                <w:rFonts w:ascii="Times New Roman"/>
                <w:sz w:val="10"/>
              </w:rPr>
            </w:pPr>
          </w:p>
        </w:tc>
      </w:tr>
      <w:tr>
        <w:trPr>
          <w:trHeight w:val="169" w:hRule="atLeast"/>
        </w:trPr>
        <w:tc>
          <w:tcPr>
            <w:tcW w:w="4092" w:type="dxa"/>
          </w:tcPr>
          <w:p>
            <w:pPr>
              <w:pStyle w:val="TableParagraph"/>
              <w:spacing w:line="133" w:lineRule="exact" w:before="16"/>
              <w:ind w:left="33"/>
              <w:rPr>
                <w:sz w:val="13"/>
              </w:rPr>
            </w:pPr>
            <w:r>
              <w:rPr>
                <w:sz w:val="13"/>
              </w:rPr>
              <w:t>Budget Year (2021-22)</w:t>
            </w:r>
          </w:p>
        </w:tc>
        <w:tc>
          <w:tcPr>
            <w:tcW w:w="2905" w:type="dxa"/>
          </w:tcPr>
          <w:p>
            <w:pPr>
              <w:pStyle w:val="TableParagraph"/>
              <w:spacing w:line="133" w:lineRule="exact" w:before="16"/>
              <w:ind w:right="72"/>
              <w:jc w:val="right"/>
              <w:rPr>
                <w:sz w:val="13"/>
              </w:rPr>
            </w:pPr>
            <w:r>
              <w:rPr>
                <w:sz w:val="13"/>
              </w:rPr>
              <w:t>362,242.00</w:t>
            </w:r>
          </w:p>
        </w:tc>
        <w:tc>
          <w:tcPr>
            <w:tcW w:w="607" w:type="dxa"/>
          </w:tcPr>
          <w:p>
            <w:pPr>
              <w:pStyle w:val="TableParagraph"/>
              <w:rPr>
                <w:rFonts w:ascii="Times New Roman"/>
                <w:sz w:val="10"/>
              </w:rPr>
            </w:pPr>
          </w:p>
        </w:tc>
        <w:tc>
          <w:tcPr>
            <w:tcW w:w="1760" w:type="dxa"/>
          </w:tcPr>
          <w:p>
            <w:pPr>
              <w:pStyle w:val="TableParagraph"/>
              <w:spacing w:line="133" w:lineRule="exact" w:before="16"/>
              <w:ind w:left="361"/>
              <w:rPr>
                <w:sz w:val="13"/>
              </w:rPr>
            </w:pPr>
            <w:r>
              <w:rPr>
                <w:sz w:val="13"/>
              </w:rPr>
              <w:t>-15.72%</w:t>
            </w:r>
          </w:p>
        </w:tc>
        <w:tc>
          <w:tcPr>
            <w:tcW w:w="1163" w:type="dxa"/>
          </w:tcPr>
          <w:p>
            <w:pPr>
              <w:pStyle w:val="TableParagraph"/>
              <w:spacing w:line="133" w:lineRule="exact" w:before="16"/>
              <w:ind w:right="29"/>
              <w:jc w:val="right"/>
              <w:rPr>
                <w:sz w:val="13"/>
              </w:rPr>
            </w:pPr>
            <w:r>
              <w:rPr>
                <w:sz w:val="13"/>
              </w:rPr>
              <w:t>Yes</w:t>
            </w:r>
          </w:p>
        </w:tc>
      </w:tr>
      <w:tr>
        <w:trPr>
          <w:trHeight w:val="200" w:hRule="atLeast"/>
        </w:trPr>
        <w:tc>
          <w:tcPr>
            <w:tcW w:w="4092" w:type="dxa"/>
          </w:tcPr>
          <w:p>
            <w:pPr>
              <w:pStyle w:val="TableParagraph"/>
              <w:spacing w:line="149" w:lineRule="exact" w:before="31"/>
              <w:ind w:left="33"/>
              <w:rPr>
                <w:sz w:val="13"/>
              </w:rPr>
            </w:pPr>
            <w:r>
              <w:rPr>
                <w:sz w:val="13"/>
              </w:rPr>
              <w:t>1st Subsequent Year (2022-23)</w:t>
            </w:r>
          </w:p>
        </w:tc>
        <w:tc>
          <w:tcPr>
            <w:tcW w:w="2905" w:type="dxa"/>
          </w:tcPr>
          <w:p>
            <w:pPr>
              <w:pStyle w:val="TableParagraph"/>
              <w:spacing w:line="149" w:lineRule="exact" w:before="31"/>
              <w:ind w:right="72"/>
              <w:jc w:val="right"/>
              <w:rPr>
                <w:sz w:val="13"/>
              </w:rPr>
            </w:pPr>
            <w:r>
              <w:rPr>
                <w:sz w:val="13"/>
              </w:rPr>
              <w:t>362,997.00</w:t>
            </w:r>
          </w:p>
        </w:tc>
        <w:tc>
          <w:tcPr>
            <w:tcW w:w="607" w:type="dxa"/>
          </w:tcPr>
          <w:p>
            <w:pPr>
              <w:pStyle w:val="TableParagraph"/>
              <w:rPr>
                <w:rFonts w:ascii="Times New Roman"/>
                <w:sz w:val="12"/>
              </w:rPr>
            </w:pPr>
          </w:p>
        </w:tc>
        <w:tc>
          <w:tcPr>
            <w:tcW w:w="1760" w:type="dxa"/>
          </w:tcPr>
          <w:p>
            <w:pPr>
              <w:pStyle w:val="TableParagraph"/>
              <w:spacing w:line="149" w:lineRule="exact" w:before="31"/>
              <w:ind w:left="421"/>
              <w:rPr>
                <w:sz w:val="13"/>
              </w:rPr>
            </w:pPr>
            <w:r>
              <w:rPr>
                <w:sz w:val="13"/>
              </w:rPr>
              <w:t>0.21%</w:t>
            </w:r>
          </w:p>
        </w:tc>
        <w:tc>
          <w:tcPr>
            <w:tcW w:w="1163" w:type="dxa"/>
          </w:tcPr>
          <w:p>
            <w:pPr>
              <w:pStyle w:val="TableParagraph"/>
              <w:spacing w:line="149" w:lineRule="exact" w:before="31"/>
              <w:ind w:right="55"/>
              <w:jc w:val="right"/>
              <w:rPr>
                <w:sz w:val="13"/>
              </w:rPr>
            </w:pPr>
            <w:r>
              <w:rPr>
                <w:sz w:val="13"/>
              </w:rPr>
              <w:t>No</w:t>
            </w:r>
          </w:p>
        </w:tc>
      </w:tr>
      <w:tr>
        <w:trPr>
          <w:trHeight w:val="169" w:hRule="atLeast"/>
        </w:trPr>
        <w:tc>
          <w:tcPr>
            <w:tcW w:w="4092" w:type="dxa"/>
          </w:tcPr>
          <w:p>
            <w:pPr>
              <w:pStyle w:val="TableParagraph"/>
              <w:spacing w:line="133" w:lineRule="exact" w:before="16"/>
              <w:ind w:left="33"/>
              <w:rPr>
                <w:sz w:val="13"/>
              </w:rPr>
            </w:pPr>
            <w:r>
              <w:rPr>
                <w:sz w:val="13"/>
              </w:rPr>
              <w:t>2nd Subsequent Year (2023-24)</w:t>
            </w:r>
          </w:p>
        </w:tc>
        <w:tc>
          <w:tcPr>
            <w:tcW w:w="2905" w:type="dxa"/>
          </w:tcPr>
          <w:p>
            <w:pPr>
              <w:pStyle w:val="TableParagraph"/>
              <w:spacing w:line="133" w:lineRule="exact" w:before="16"/>
              <w:ind w:right="72"/>
              <w:jc w:val="right"/>
              <w:rPr>
                <w:sz w:val="13"/>
              </w:rPr>
            </w:pPr>
            <w:r>
              <w:rPr>
                <w:sz w:val="13"/>
              </w:rPr>
              <w:t>370,629.00</w:t>
            </w:r>
          </w:p>
        </w:tc>
        <w:tc>
          <w:tcPr>
            <w:tcW w:w="607" w:type="dxa"/>
          </w:tcPr>
          <w:p>
            <w:pPr>
              <w:pStyle w:val="TableParagraph"/>
              <w:rPr>
                <w:rFonts w:ascii="Times New Roman"/>
                <w:sz w:val="10"/>
              </w:rPr>
            </w:pPr>
          </w:p>
        </w:tc>
        <w:tc>
          <w:tcPr>
            <w:tcW w:w="1760" w:type="dxa"/>
          </w:tcPr>
          <w:p>
            <w:pPr>
              <w:pStyle w:val="TableParagraph"/>
              <w:spacing w:line="133" w:lineRule="exact" w:before="16"/>
              <w:ind w:left="421"/>
              <w:rPr>
                <w:sz w:val="13"/>
              </w:rPr>
            </w:pPr>
            <w:r>
              <w:rPr>
                <w:sz w:val="13"/>
              </w:rPr>
              <w:t>2.10%</w:t>
            </w:r>
          </w:p>
        </w:tc>
        <w:tc>
          <w:tcPr>
            <w:tcW w:w="1163" w:type="dxa"/>
          </w:tcPr>
          <w:p>
            <w:pPr>
              <w:pStyle w:val="TableParagraph"/>
              <w:spacing w:line="133" w:lineRule="exact" w:before="16"/>
              <w:ind w:right="55"/>
              <w:jc w:val="right"/>
              <w:rPr>
                <w:sz w:val="13"/>
              </w:rPr>
            </w:pPr>
            <w:r>
              <w:rPr>
                <w:sz w:val="13"/>
              </w:rPr>
              <w:t>No</w:t>
            </w:r>
          </w:p>
        </w:tc>
      </w:tr>
    </w:tbl>
    <w:p>
      <w:pPr>
        <w:pStyle w:val="BodyText"/>
        <w:spacing w:before="7"/>
        <w:rPr>
          <w:b/>
          <w:sz w:val="15"/>
        </w:rPr>
      </w:pPr>
    </w:p>
    <w:p>
      <w:pPr>
        <w:spacing w:before="1"/>
        <w:ind w:left="1275" w:right="0" w:firstLine="0"/>
        <w:jc w:val="left"/>
        <w:rPr>
          <w:b/>
          <w:sz w:val="13"/>
        </w:rPr>
      </w:pPr>
      <w:r>
        <w:rPr/>
        <w:pict>
          <v:group style="position:absolute;margin-left:129.479996pt;margin-top:-.813053pt;width:454.2pt;height:34pt;mso-position-horizontal-relative:page;mso-position-vertical-relative:paragraph;z-index:252410880" coordorigin="2590,-16" coordsize="9084,680">
            <v:shape style="position:absolute;left:2589;top:-17;width:9084;height:680" type="#_x0000_t75" stroked="false">
              <v:imagedata r:id="rId1647" o:title=""/>
            </v:shape>
            <v:shape style="position:absolute;left:2589;top:-17;width:9084;height:680" type="#_x0000_t202" filled="false" stroked="false">
              <v:textbox inset="0,0,0,0">
                <w:txbxContent>
                  <w:p>
                    <w:pPr>
                      <w:spacing w:before="5"/>
                      <w:ind w:left="33" w:right="0" w:firstLine="0"/>
                      <w:jc w:val="left"/>
                      <w:rPr>
                        <w:sz w:val="13"/>
                      </w:rPr>
                    </w:pPr>
                    <w:r>
                      <w:rPr>
                        <w:sz w:val="13"/>
                      </w:rPr>
                      <w:t>The district is outside the range in 21-22 due to the removal of one-time services and operating expenditures related to Covid19 funds.</w:t>
                    </w:r>
                  </w:p>
                </w:txbxContent>
              </v:textbox>
              <w10:wrap type="none"/>
            </v:shape>
            <w10:wrap type="none"/>
          </v:group>
        </w:pict>
      </w:r>
      <w:r>
        <w:rPr>
          <w:b/>
          <w:sz w:val="13"/>
        </w:rPr>
        <w:t>Explanation:</w:t>
      </w:r>
    </w:p>
    <w:p>
      <w:pPr>
        <w:pStyle w:val="BodyText"/>
        <w:spacing w:before="21"/>
        <w:ind w:left="1207"/>
      </w:pPr>
      <w:r>
        <w:rPr/>
        <w:t>(required if Yes)</w:t>
      </w:r>
    </w:p>
    <w:p>
      <w:pPr>
        <w:pStyle w:val="BodyText"/>
        <w:rPr>
          <w:sz w:val="20"/>
        </w:rPr>
      </w:pPr>
    </w:p>
    <w:p>
      <w:pPr>
        <w:pStyle w:val="BodyText"/>
        <w:rPr>
          <w:sz w:val="20"/>
        </w:rPr>
      </w:pPr>
    </w:p>
    <w:p>
      <w:pPr>
        <w:pStyle w:val="BodyText"/>
        <w:spacing w:before="3"/>
        <w:rPr>
          <w:sz w:val="14"/>
        </w:rPr>
      </w:pPr>
      <w:r>
        <w:rPr/>
        <w:pict>
          <v:group style="position:absolute;margin-left:16.440001pt;margin-top:10.178956pt;width:567.25pt;height:9.5pt;mso-position-horizontal-relative:page;mso-position-vertical-relative:paragraph;z-index:-250911744;mso-wrap-distance-left:0;mso-wrap-distance-right:0" coordorigin="329,204" coordsize="11345,190">
            <v:shape style="position:absolute;left:5366;top:203;width:1964;height:22" type="#_x0000_t75" stroked="false">
              <v:imagedata r:id="rId1666" o:title=""/>
            </v:shape>
            <v:shape style="position:absolute;left:328;top:203;width:5045;height:22" type="#_x0000_t75" stroked="false">
              <v:imagedata r:id="rId1546" o:title=""/>
            </v:shape>
            <v:shape style="position:absolute;left:328;top:371;width:5045;height:22" type="#_x0000_t75" stroked="false">
              <v:imagedata r:id="rId1546" o:title=""/>
            </v:shape>
            <v:line style="position:absolute" from="5368,216" to="5368,376" stroked="true" strokeweight=".359986pt" strokecolor="#ffffff">
              <v:stroke dashstyle="solid"/>
            </v:line>
            <v:line style="position:absolute" from="6335,216" to="6335,376" stroked="true" strokeweight=".360008pt" strokecolor="#ffffff">
              <v:stroke dashstyle="solid"/>
            </v:line>
            <v:line style="position:absolute" from="7324,216" to="7324,376" stroked="true" strokeweight=".360008pt" strokecolor="#ffffff">
              <v:stroke dashstyle="solid"/>
            </v:line>
            <v:shape style="position:absolute;left:7322;top:203;width:615;height:22" type="#_x0000_t75" stroked="false">
              <v:imagedata r:id="rId1569" o:title=""/>
            </v:shape>
            <v:shape style="position:absolute;left:7322;top:371;width:615;height:22" type="#_x0000_t75" stroked="false">
              <v:imagedata r:id="rId1569" o:title=""/>
            </v:shape>
            <v:shape style="position:absolute;left:7929;top:203;width:3744;height:22" type="#_x0000_t75" stroked="false">
              <v:imagedata r:id="rId1667" o:title=""/>
            </v:shape>
            <v:shape style="position:absolute;left:7929;top:371;width:3744;height:22" type="#_x0000_t75" stroked="false">
              <v:imagedata r:id="rId1667" o:title=""/>
            </v:shape>
            <v:shape style="position:absolute;left:5366;top:371;width:1964;height:22" type="#_x0000_t75" stroked="false">
              <v:imagedata r:id="rId1666" o:title=""/>
            </v:shape>
            <v:shape style="position:absolute;left:328;top:203;width:11345;height:190" type="#_x0000_t202" filled="false" stroked="false">
              <v:textbox inset="0,0,0,0">
                <w:txbxContent>
                  <w:p>
                    <w:pPr>
                      <w:spacing w:before="12"/>
                      <w:ind w:left="33" w:right="0" w:firstLine="0"/>
                      <w:jc w:val="left"/>
                      <w:rPr>
                        <w:b/>
                        <w:sz w:val="14"/>
                      </w:rPr>
                    </w:pPr>
                    <w:r>
                      <w:rPr>
                        <w:b/>
                        <w:w w:val="105"/>
                        <w:sz w:val="14"/>
                      </w:rPr>
                      <w:t>6C. Calculating the District's Change in Total Operating Revenues and Expenditures (Section 6A, Line 2)</w:t>
                    </w:r>
                  </w:p>
                </w:txbxContent>
              </v:textbox>
              <w10:wrap type="none"/>
            </v:shape>
            <w10:wrap type="topAndBottom"/>
          </v:group>
        </w:pict>
      </w:r>
    </w:p>
    <w:p>
      <w:pPr>
        <w:pStyle w:val="BodyText"/>
        <w:spacing w:before="6"/>
        <w:rPr>
          <w:sz w:val="12"/>
        </w:rPr>
      </w:pPr>
    </w:p>
    <w:p>
      <w:pPr>
        <w:pStyle w:val="BodyText"/>
        <w:ind w:left="322"/>
      </w:pPr>
      <w:r>
        <w:rPr/>
        <w:t>DATA ENTRY: All data are extracted or calculated.</w:t>
      </w:r>
    </w:p>
    <w:p>
      <w:pPr>
        <w:pStyle w:val="BodyText"/>
        <w:spacing w:before="2"/>
        <w:rPr>
          <w:sz w:val="16"/>
        </w:rPr>
      </w:pPr>
    </w:p>
    <w:p>
      <w:pPr>
        <w:pStyle w:val="BodyText"/>
        <w:spacing w:before="1"/>
        <w:ind w:left="8021"/>
      </w:pPr>
      <w:r>
        <w:rPr/>
        <w:t>Percent Change</w:t>
      </w:r>
    </w:p>
    <w:p>
      <w:pPr>
        <w:pStyle w:val="BodyText"/>
        <w:tabs>
          <w:tab w:pos="6077" w:val="left" w:leader="none"/>
          <w:tab w:pos="7923" w:val="left" w:leader="none"/>
          <w:tab w:pos="10486" w:val="left" w:leader="none"/>
        </w:tabs>
        <w:spacing w:before="18"/>
        <w:ind w:left="322"/>
      </w:pPr>
      <w:r>
        <w:rPr/>
        <w:t>Object Range /</w:t>
      </w:r>
      <w:r>
        <w:rPr>
          <w:spacing w:val="9"/>
        </w:rPr>
        <w:t> </w:t>
      </w:r>
      <w:r>
        <w:rPr/>
        <w:t>Fiscal Year</w:t>
        <w:tab/>
        <w:t>Amount</w:t>
        <w:tab/>
        <w:t>Over</w:t>
      </w:r>
      <w:r>
        <w:rPr>
          <w:spacing w:val="3"/>
        </w:rPr>
        <w:t> </w:t>
      </w:r>
      <w:r>
        <w:rPr/>
        <w:t>Previous</w:t>
      </w:r>
      <w:r>
        <w:rPr>
          <w:spacing w:val="4"/>
        </w:rPr>
        <w:t> </w:t>
      </w:r>
      <w:r>
        <w:rPr/>
        <w:t>Year</w:t>
        <w:tab/>
        <w:t>Status</w:t>
      </w:r>
    </w:p>
    <w:p>
      <w:pPr>
        <w:pStyle w:val="BodyText"/>
        <w:spacing w:line="20" w:lineRule="exact"/>
        <w:ind w:left="288"/>
        <w:rPr>
          <w:sz w:val="2"/>
        </w:rPr>
      </w:pPr>
      <w:r>
        <w:rPr>
          <w:sz w:val="2"/>
        </w:rPr>
        <w:pict>
          <v:group style="width:567.25pt;height:.4pt;mso-position-horizontal-relative:char;mso-position-vertical-relative:line" coordorigin="0,0" coordsize="11345,8">
            <v:shape style="position:absolute;left:0;top:0;width:2268;height:8" type="#_x0000_t75" stroked="false">
              <v:imagedata r:id="rId1604" o:title=""/>
            </v:shape>
            <v:shape style="position:absolute;left:2260;top:0;width:9084;height:8" type="#_x0000_t75" stroked="false">
              <v:imagedata r:id="rId1668" o:title=""/>
            </v:shape>
          </v:group>
        </w:pict>
      </w:r>
      <w:r>
        <w:rPr>
          <w:sz w:val="2"/>
        </w:rPr>
      </w:r>
    </w:p>
    <w:p>
      <w:pPr>
        <w:pStyle w:val="BodyText"/>
        <w:spacing w:before="3"/>
        <w:rPr>
          <w:sz w:val="14"/>
        </w:rPr>
      </w:pPr>
    </w:p>
    <w:p>
      <w:pPr>
        <w:spacing w:before="0" w:after="24"/>
        <w:ind w:left="821" w:right="0" w:firstLine="0"/>
        <w:jc w:val="left"/>
        <w:rPr>
          <w:b/>
          <w:sz w:val="13"/>
        </w:rPr>
      </w:pPr>
      <w:r>
        <w:rPr/>
        <w:pict>
          <v:group style="position:absolute;margin-left:268.320007pt;margin-top:7.536926pt;width:315.4pt;height:34pt;mso-position-horizontal-relative:page;mso-position-vertical-relative:paragraph;z-index:-313955328" coordorigin="5366,151" coordsize="6308,680">
            <v:shape style="position:absolute;left:5366;top:150;width:6308;height:507" type="#_x0000_t75" stroked="false">
              <v:imagedata r:id="rId1669" o:title=""/>
            </v:shape>
            <v:shape style="position:absolute;left:5366;top:486;width:6308;height:344" type="#_x0000_t75" stroked="false">
              <v:imagedata r:id="rId1670" o:title=""/>
            </v:shape>
            <v:shape style="position:absolute;left:7322;top:654;width:4352;height:176" type="#_x0000_t75" stroked="false">
              <v:imagedata r:id="rId1671" o:title=""/>
            </v:shape>
            <w10:wrap type="none"/>
          </v:group>
        </w:pict>
      </w:r>
      <w:r>
        <w:rPr/>
        <w:pict>
          <v:group style="position:absolute;margin-left:268.320007pt;margin-top:57.936935pt;width:315.4pt;height:34pt;mso-position-horizontal-relative:page;mso-position-vertical-relative:paragraph;z-index:-313954304" coordorigin="5366,1159" coordsize="6308,680">
            <v:shape style="position:absolute;left:5366;top:1158;width:6308;height:507" type="#_x0000_t75" stroked="false">
              <v:imagedata r:id="rId1669" o:title=""/>
            </v:shape>
            <v:shape style="position:absolute;left:5366;top:1494;width:6308;height:344" type="#_x0000_t75" stroked="false">
              <v:imagedata r:id="rId1670" o:title=""/>
            </v:shape>
            <v:shape style="position:absolute;left:7322;top:1662;width:4352;height:176" type="#_x0000_t75" stroked="false">
              <v:imagedata r:id="rId1671" o:title=""/>
            </v:shape>
            <w10:wrap type="none"/>
          </v:group>
        </w:pict>
      </w:r>
      <w:r>
        <w:rPr>
          <w:b/>
          <w:sz w:val="13"/>
        </w:rPr>
        <w:t>Total Federal, Other State, and Other Local Revenue (Criterion 6B)</w:t>
      </w:r>
    </w:p>
    <w:tbl>
      <w:tblPr>
        <w:tblW w:w="0" w:type="auto"/>
        <w:jc w:val="left"/>
        <w:tblInd w:w="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92"/>
        <w:gridCol w:w="3351"/>
        <w:gridCol w:w="1862"/>
        <w:gridCol w:w="1342"/>
      </w:tblGrid>
      <w:tr>
        <w:trPr>
          <w:trHeight w:val="157" w:hRule="atLeast"/>
        </w:trPr>
        <w:tc>
          <w:tcPr>
            <w:tcW w:w="4092" w:type="dxa"/>
          </w:tcPr>
          <w:p>
            <w:pPr>
              <w:pStyle w:val="TableParagraph"/>
              <w:spacing w:line="138" w:lineRule="exact"/>
              <w:ind w:left="33"/>
              <w:rPr>
                <w:sz w:val="13"/>
              </w:rPr>
            </w:pPr>
            <w:r>
              <w:rPr>
                <w:sz w:val="13"/>
              </w:rPr>
              <w:t>First Prior Year (2020-21)</w:t>
            </w:r>
          </w:p>
        </w:tc>
        <w:tc>
          <w:tcPr>
            <w:tcW w:w="3351" w:type="dxa"/>
          </w:tcPr>
          <w:p>
            <w:pPr>
              <w:pStyle w:val="TableParagraph"/>
              <w:spacing w:line="138" w:lineRule="exact"/>
              <w:ind w:right="518"/>
              <w:jc w:val="right"/>
              <w:rPr>
                <w:sz w:val="13"/>
              </w:rPr>
            </w:pPr>
            <w:r>
              <w:rPr>
                <w:sz w:val="13"/>
              </w:rPr>
              <w:t>985,929.00</w:t>
            </w:r>
          </w:p>
        </w:tc>
        <w:tc>
          <w:tcPr>
            <w:tcW w:w="3204" w:type="dxa"/>
            <w:gridSpan w:val="2"/>
          </w:tcPr>
          <w:p>
            <w:pPr>
              <w:pStyle w:val="TableParagraph"/>
              <w:rPr>
                <w:rFonts w:ascii="Times New Roman"/>
                <w:sz w:val="10"/>
              </w:rPr>
            </w:pPr>
          </w:p>
        </w:tc>
      </w:tr>
      <w:tr>
        <w:trPr>
          <w:trHeight w:val="167" w:hRule="atLeast"/>
        </w:trPr>
        <w:tc>
          <w:tcPr>
            <w:tcW w:w="4092" w:type="dxa"/>
          </w:tcPr>
          <w:p>
            <w:pPr>
              <w:pStyle w:val="TableParagraph"/>
              <w:spacing w:line="140" w:lineRule="exact" w:before="7"/>
              <w:ind w:left="33"/>
              <w:rPr>
                <w:sz w:val="13"/>
              </w:rPr>
            </w:pPr>
            <w:r>
              <w:rPr>
                <w:sz w:val="13"/>
              </w:rPr>
              <w:t>Budget Year (2021-22)</w:t>
            </w:r>
          </w:p>
        </w:tc>
        <w:tc>
          <w:tcPr>
            <w:tcW w:w="3351" w:type="dxa"/>
          </w:tcPr>
          <w:p>
            <w:pPr>
              <w:pStyle w:val="TableParagraph"/>
              <w:spacing w:line="140" w:lineRule="exact" w:before="7"/>
              <w:ind w:right="518"/>
              <w:jc w:val="right"/>
              <w:rPr>
                <w:sz w:val="13"/>
              </w:rPr>
            </w:pPr>
            <w:r>
              <w:rPr>
                <w:sz w:val="13"/>
              </w:rPr>
              <w:t>729,213.00</w:t>
            </w:r>
          </w:p>
        </w:tc>
        <w:tc>
          <w:tcPr>
            <w:tcW w:w="1862" w:type="dxa"/>
          </w:tcPr>
          <w:p>
            <w:pPr>
              <w:pStyle w:val="TableParagraph"/>
              <w:spacing w:line="140" w:lineRule="exact" w:before="7"/>
              <w:ind w:left="522"/>
              <w:rPr>
                <w:sz w:val="13"/>
              </w:rPr>
            </w:pPr>
            <w:r>
              <w:rPr>
                <w:sz w:val="13"/>
              </w:rPr>
              <w:t>-26.04%</w:t>
            </w:r>
          </w:p>
        </w:tc>
        <w:tc>
          <w:tcPr>
            <w:tcW w:w="1342" w:type="dxa"/>
          </w:tcPr>
          <w:p>
            <w:pPr>
              <w:pStyle w:val="TableParagraph"/>
              <w:spacing w:line="140" w:lineRule="exact" w:before="7"/>
              <w:ind w:left="831" w:right="14"/>
              <w:jc w:val="center"/>
              <w:rPr>
                <w:sz w:val="13"/>
              </w:rPr>
            </w:pPr>
            <w:r>
              <w:rPr>
                <w:sz w:val="13"/>
              </w:rPr>
              <w:t>Not Met</w:t>
            </w:r>
          </w:p>
        </w:tc>
      </w:tr>
      <w:tr>
        <w:trPr>
          <w:trHeight w:val="167" w:hRule="atLeast"/>
        </w:trPr>
        <w:tc>
          <w:tcPr>
            <w:tcW w:w="4092" w:type="dxa"/>
          </w:tcPr>
          <w:p>
            <w:pPr>
              <w:pStyle w:val="TableParagraph"/>
              <w:spacing w:line="140" w:lineRule="exact" w:before="7"/>
              <w:ind w:left="33"/>
              <w:rPr>
                <w:sz w:val="13"/>
              </w:rPr>
            </w:pPr>
            <w:r>
              <w:rPr>
                <w:sz w:val="13"/>
              </w:rPr>
              <w:t>1st Subsequent Year (2022-23)</w:t>
            </w:r>
          </w:p>
        </w:tc>
        <w:tc>
          <w:tcPr>
            <w:tcW w:w="3351" w:type="dxa"/>
          </w:tcPr>
          <w:p>
            <w:pPr>
              <w:pStyle w:val="TableParagraph"/>
              <w:spacing w:line="140" w:lineRule="exact" w:before="7"/>
              <w:ind w:right="518"/>
              <w:jc w:val="right"/>
              <w:rPr>
                <w:sz w:val="13"/>
              </w:rPr>
            </w:pPr>
            <w:r>
              <w:rPr>
                <w:sz w:val="13"/>
              </w:rPr>
              <w:t>585,736.00</w:t>
            </w:r>
          </w:p>
        </w:tc>
        <w:tc>
          <w:tcPr>
            <w:tcW w:w="1862" w:type="dxa"/>
          </w:tcPr>
          <w:p>
            <w:pPr>
              <w:pStyle w:val="TableParagraph"/>
              <w:spacing w:line="140" w:lineRule="exact" w:before="7"/>
              <w:ind w:left="522"/>
              <w:rPr>
                <w:sz w:val="13"/>
              </w:rPr>
            </w:pPr>
            <w:r>
              <w:rPr>
                <w:sz w:val="13"/>
              </w:rPr>
              <w:t>-19.68%</w:t>
            </w:r>
          </w:p>
        </w:tc>
        <w:tc>
          <w:tcPr>
            <w:tcW w:w="1342" w:type="dxa"/>
          </w:tcPr>
          <w:p>
            <w:pPr>
              <w:pStyle w:val="TableParagraph"/>
              <w:spacing w:line="140" w:lineRule="exact" w:before="7"/>
              <w:ind w:left="831" w:right="14"/>
              <w:jc w:val="center"/>
              <w:rPr>
                <w:sz w:val="13"/>
              </w:rPr>
            </w:pPr>
            <w:r>
              <w:rPr>
                <w:sz w:val="13"/>
              </w:rPr>
              <w:t>Not Met</w:t>
            </w:r>
          </w:p>
        </w:tc>
      </w:tr>
      <w:tr>
        <w:trPr>
          <w:trHeight w:val="157" w:hRule="atLeast"/>
        </w:trPr>
        <w:tc>
          <w:tcPr>
            <w:tcW w:w="4092" w:type="dxa"/>
          </w:tcPr>
          <w:p>
            <w:pPr>
              <w:pStyle w:val="TableParagraph"/>
              <w:spacing w:line="130" w:lineRule="exact" w:before="7"/>
              <w:ind w:left="33"/>
              <w:rPr>
                <w:sz w:val="13"/>
              </w:rPr>
            </w:pPr>
            <w:r>
              <w:rPr>
                <w:sz w:val="13"/>
              </w:rPr>
              <w:t>2nd Subsequent Year (2023-24)</w:t>
            </w:r>
          </w:p>
        </w:tc>
        <w:tc>
          <w:tcPr>
            <w:tcW w:w="3351" w:type="dxa"/>
          </w:tcPr>
          <w:p>
            <w:pPr>
              <w:pStyle w:val="TableParagraph"/>
              <w:spacing w:line="130" w:lineRule="exact" w:before="7"/>
              <w:ind w:right="518"/>
              <w:jc w:val="right"/>
              <w:rPr>
                <w:sz w:val="13"/>
              </w:rPr>
            </w:pPr>
            <w:r>
              <w:rPr>
                <w:sz w:val="13"/>
              </w:rPr>
              <w:t>585,736.00</w:t>
            </w:r>
          </w:p>
        </w:tc>
        <w:tc>
          <w:tcPr>
            <w:tcW w:w="1862" w:type="dxa"/>
          </w:tcPr>
          <w:p>
            <w:pPr>
              <w:pStyle w:val="TableParagraph"/>
              <w:spacing w:line="130" w:lineRule="exact" w:before="7"/>
              <w:ind w:left="582"/>
              <w:rPr>
                <w:sz w:val="13"/>
              </w:rPr>
            </w:pPr>
            <w:r>
              <w:rPr>
                <w:sz w:val="13"/>
              </w:rPr>
              <w:t>0.00%</w:t>
            </w:r>
          </w:p>
        </w:tc>
        <w:tc>
          <w:tcPr>
            <w:tcW w:w="1342" w:type="dxa"/>
          </w:tcPr>
          <w:p>
            <w:pPr>
              <w:pStyle w:val="TableParagraph"/>
              <w:spacing w:line="130" w:lineRule="exact" w:before="7"/>
              <w:ind w:left="831" w:right="13"/>
              <w:jc w:val="center"/>
              <w:rPr>
                <w:sz w:val="13"/>
              </w:rPr>
            </w:pPr>
            <w:r>
              <w:rPr>
                <w:sz w:val="13"/>
              </w:rPr>
              <w:t>Met</w:t>
            </w:r>
          </w:p>
        </w:tc>
      </w:tr>
      <w:tr>
        <w:trPr>
          <w:trHeight w:val="333" w:hRule="atLeast"/>
        </w:trPr>
        <w:tc>
          <w:tcPr>
            <w:tcW w:w="10647" w:type="dxa"/>
            <w:gridSpan w:val="4"/>
          </w:tcPr>
          <w:p>
            <w:pPr>
              <w:pStyle w:val="TableParagraph"/>
              <w:spacing w:before="11"/>
              <w:rPr>
                <w:b/>
                <w:sz w:val="15"/>
              </w:rPr>
            </w:pPr>
          </w:p>
          <w:p>
            <w:pPr>
              <w:pStyle w:val="TableParagraph"/>
              <w:spacing w:line="130" w:lineRule="exact"/>
              <w:ind w:left="532"/>
              <w:rPr>
                <w:b/>
                <w:sz w:val="13"/>
              </w:rPr>
            </w:pPr>
            <w:r>
              <w:rPr>
                <w:b/>
                <w:sz w:val="13"/>
              </w:rPr>
              <w:t>Total Books and Supplies, and Services and Other Operating Expenditures (Criterion 6B)</w:t>
            </w:r>
          </w:p>
        </w:tc>
      </w:tr>
      <w:tr>
        <w:trPr>
          <w:trHeight w:val="180" w:hRule="atLeast"/>
        </w:trPr>
        <w:tc>
          <w:tcPr>
            <w:tcW w:w="4092" w:type="dxa"/>
          </w:tcPr>
          <w:p>
            <w:pPr>
              <w:pStyle w:val="TableParagraph"/>
              <w:spacing w:line="140" w:lineRule="exact" w:before="20"/>
              <w:ind w:left="33"/>
              <w:rPr>
                <w:sz w:val="13"/>
              </w:rPr>
            </w:pPr>
            <w:r>
              <w:rPr>
                <w:sz w:val="13"/>
              </w:rPr>
              <w:t>First Prior Year (2020-21)</w:t>
            </w:r>
          </w:p>
        </w:tc>
        <w:tc>
          <w:tcPr>
            <w:tcW w:w="3351" w:type="dxa"/>
          </w:tcPr>
          <w:p>
            <w:pPr>
              <w:pStyle w:val="TableParagraph"/>
              <w:spacing w:line="140" w:lineRule="exact" w:before="20"/>
              <w:ind w:right="518"/>
              <w:jc w:val="right"/>
              <w:rPr>
                <w:sz w:val="13"/>
              </w:rPr>
            </w:pPr>
            <w:r>
              <w:rPr>
                <w:sz w:val="13"/>
              </w:rPr>
              <w:t>652,172.00</w:t>
            </w:r>
          </w:p>
        </w:tc>
        <w:tc>
          <w:tcPr>
            <w:tcW w:w="1862" w:type="dxa"/>
          </w:tcPr>
          <w:p>
            <w:pPr>
              <w:pStyle w:val="TableParagraph"/>
              <w:rPr>
                <w:rFonts w:ascii="Times New Roman"/>
                <w:sz w:val="12"/>
              </w:rPr>
            </w:pPr>
          </w:p>
        </w:tc>
        <w:tc>
          <w:tcPr>
            <w:tcW w:w="1342" w:type="dxa"/>
          </w:tcPr>
          <w:p>
            <w:pPr>
              <w:pStyle w:val="TableParagraph"/>
              <w:rPr>
                <w:rFonts w:ascii="Times New Roman"/>
                <w:sz w:val="12"/>
              </w:rPr>
            </w:pPr>
          </w:p>
        </w:tc>
      </w:tr>
      <w:tr>
        <w:trPr>
          <w:trHeight w:val="167" w:hRule="atLeast"/>
        </w:trPr>
        <w:tc>
          <w:tcPr>
            <w:tcW w:w="4092" w:type="dxa"/>
          </w:tcPr>
          <w:p>
            <w:pPr>
              <w:pStyle w:val="TableParagraph"/>
              <w:spacing w:line="140" w:lineRule="exact" w:before="7"/>
              <w:ind w:left="33"/>
              <w:rPr>
                <w:sz w:val="13"/>
              </w:rPr>
            </w:pPr>
            <w:r>
              <w:rPr>
                <w:sz w:val="13"/>
              </w:rPr>
              <w:t>Budget Year (2021-22)</w:t>
            </w:r>
          </w:p>
        </w:tc>
        <w:tc>
          <w:tcPr>
            <w:tcW w:w="3351" w:type="dxa"/>
          </w:tcPr>
          <w:p>
            <w:pPr>
              <w:pStyle w:val="TableParagraph"/>
              <w:spacing w:line="140" w:lineRule="exact" w:before="7"/>
              <w:ind w:right="518"/>
              <w:jc w:val="right"/>
              <w:rPr>
                <w:sz w:val="13"/>
              </w:rPr>
            </w:pPr>
            <w:r>
              <w:rPr>
                <w:sz w:val="13"/>
              </w:rPr>
              <w:t>500,992.00</w:t>
            </w:r>
          </w:p>
        </w:tc>
        <w:tc>
          <w:tcPr>
            <w:tcW w:w="1862" w:type="dxa"/>
          </w:tcPr>
          <w:p>
            <w:pPr>
              <w:pStyle w:val="TableParagraph"/>
              <w:spacing w:line="140" w:lineRule="exact" w:before="7"/>
              <w:ind w:left="522"/>
              <w:rPr>
                <w:sz w:val="13"/>
              </w:rPr>
            </w:pPr>
            <w:r>
              <w:rPr>
                <w:sz w:val="13"/>
              </w:rPr>
              <w:t>-23.18%</w:t>
            </w:r>
          </w:p>
        </w:tc>
        <w:tc>
          <w:tcPr>
            <w:tcW w:w="1342" w:type="dxa"/>
          </w:tcPr>
          <w:p>
            <w:pPr>
              <w:pStyle w:val="TableParagraph"/>
              <w:spacing w:line="140" w:lineRule="exact" w:before="7"/>
              <w:ind w:left="831" w:right="14"/>
              <w:jc w:val="center"/>
              <w:rPr>
                <w:sz w:val="13"/>
              </w:rPr>
            </w:pPr>
            <w:r>
              <w:rPr>
                <w:sz w:val="13"/>
              </w:rPr>
              <w:t>Not Met</w:t>
            </w:r>
          </w:p>
        </w:tc>
      </w:tr>
      <w:tr>
        <w:trPr>
          <w:trHeight w:val="168" w:hRule="atLeast"/>
        </w:trPr>
        <w:tc>
          <w:tcPr>
            <w:tcW w:w="4092" w:type="dxa"/>
          </w:tcPr>
          <w:p>
            <w:pPr>
              <w:pStyle w:val="TableParagraph"/>
              <w:spacing w:line="140" w:lineRule="exact" w:before="7"/>
              <w:ind w:left="33"/>
              <w:rPr>
                <w:sz w:val="13"/>
              </w:rPr>
            </w:pPr>
            <w:r>
              <w:rPr>
                <w:sz w:val="13"/>
              </w:rPr>
              <w:t>1st Subsequent Year (2022-23)</w:t>
            </w:r>
          </w:p>
        </w:tc>
        <w:tc>
          <w:tcPr>
            <w:tcW w:w="3351" w:type="dxa"/>
          </w:tcPr>
          <w:p>
            <w:pPr>
              <w:pStyle w:val="TableParagraph"/>
              <w:spacing w:line="140" w:lineRule="exact" w:before="7"/>
              <w:ind w:right="518"/>
              <w:jc w:val="right"/>
              <w:rPr>
                <w:sz w:val="13"/>
              </w:rPr>
            </w:pPr>
            <w:r>
              <w:rPr>
                <w:sz w:val="13"/>
              </w:rPr>
              <w:t>501,007.00</w:t>
            </w:r>
          </w:p>
        </w:tc>
        <w:tc>
          <w:tcPr>
            <w:tcW w:w="1862" w:type="dxa"/>
          </w:tcPr>
          <w:p>
            <w:pPr>
              <w:pStyle w:val="TableParagraph"/>
              <w:spacing w:line="140" w:lineRule="exact" w:before="7"/>
              <w:ind w:left="582"/>
              <w:rPr>
                <w:sz w:val="13"/>
              </w:rPr>
            </w:pPr>
            <w:r>
              <w:rPr>
                <w:sz w:val="13"/>
              </w:rPr>
              <w:t>0.00%</w:t>
            </w:r>
          </w:p>
        </w:tc>
        <w:tc>
          <w:tcPr>
            <w:tcW w:w="1342" w:type="dxa"/>
          </w:tcPr>
          <w:p>
            <w:pPr>
              <w:pStyle w:val="TableParagraph"/>
              <w:spacing w:line="140" w:lineRule="exact" w:before="7"/>
              <w:ind w:left="831" w:right="13"/>
              <w:jc w:val="center"/>
              <w:rPr>
                <w:sz w:val="13"/>
              </w:rPr>
            </w:pPr>
            <w:r>
              <w:rPr>
                <w:sz w:val="13"/>
              </w:rPr>
              <w:t>Met</w:t>
            </w:r>
          </w:p>
        </w:tc>
      </w:tr>
      <w:tr>
        <w:trPr>
          <w:trHeight w:val="157" w:hRule="atLeast"/>
        </w:trPr>
        <w:tc>
          <w:tcPr>
            <w:tcW w:w="4092" w:type="dxa"/>
          </w:tcPr>
          <w:p>
            <w:pPr>
              <w:pStyle w:val="TableParagraph"/>
              <w:spacing w:line="130" w:lineRule="exact" w:before="7"/>
              <w:ind w:left="33"/>
              <w:rPr>
                <w:sz w:val="13"/>
              </w:rPr>
            </w:pPr>
            <w:r>
              <w:rPr>
                <w:sz w:val="13"/>
              </w:rPr>
              <w:t>2nd Subsequent Year (2023-24)</w:t>
            </w:r>
          </w:p>
        </w:tc>
        <w:tc>
          <w:tcPr>
            <w:tcW w:w="3351" w:type="dxa"/>
          </w:tcPr>
          <w:p>
            <w:pPr>
              <w:pStyle w:val="TableParagraph"/>
              <w:spacing w:line="130" w:lineRule="exact" w:before="7"/>
              <w:ind w:right="518"/>
              <w:jc w:val="right"/>
              <w:rPr>
                <w:sz w:val="13"/>
              </w:rPr>
            </w:pPr>
            <w:r>
              <w:rPr>
                <w:sz w:val="13"/>
              </w:rPr>
              <w:t>511,564.00</w:t>
            </w:r>
          </w:p>
        </w:tc>
        <w:tc>
          <w:tcPr>
            <w:tcW w:w="1862" w:type="dxa"/>
          </w:tcPr>
          <w:p>
            <w:pPr>
              <w:pStyle w:val="TableParagraph"/>
              <w:spacing w:line="130" w:lineRule="exact" w:before="7"/>
              <w:ind w:left="582"/>
              <w:rPr>
                <w:sz w:val="13"/>
              </w:rPr>
            </w:pPr>
            <w:r>
              <w:rPr>
                <w:sz w:val="13"/>
              </w:rPr>
              <w:t>2.11%</w:t>
            </w:r>
          </w:p>
        </w:tc>
        <w:tc>
          <w:tcPr>
            <w:tcW w:w="1342" w:type="dxa"/>
          </w:tcPr>
          <w:p>
            <w:pPr>
              <w:pStyle w:val="TableParagraph"/>
              <w:spacing w:line="130" w:lineRule="exact" w:before="7"/>
              <w:ind w:left="831" w:right="13"/>
              <w:jc w:val="center"/>
              <w:rPr>
                <w:sz w:val="13"/>
              </w:rPr>
            </w:pPr>
            <w:r>
              <w:rPr>
                <w:sz w:val="13"/>
              </w:rPr>
              <w:t>Met</w:t>
            </w:r>
          </w:p>
        </w:tc>
      </w:tr>
    </w:tbl>
    <w:p>
      <w:pPr>
        <w:pStyle w:val="BodyText"/>
        <w:spacing w:before="6"/>
        <w:rPr>
          <w:b/>
          <w:sz w:val="26"/>
        </w:rPr>
      </w:pPr>
      <w:r>
        <w:rPr/>
        <w:pict>
          <v:group style="position:absolute;margin-left:16.440001pt;margin-top:17.204016pt;width:567.25pt;height:10.95pt;mso-position-horizontal-relative:page;mso-position-vertical-relative:paragraph;z-index:-250908672;mso-wrap-distance-left:0;mso-wrap-distance-right:0" coordorigin="329,344" coordsize="11345,219">
            <v:shape style="position:absolute;left:5366;top:344;width:6308;height:22" type="#_x0000_t75" stroked="false">
              <v:imagedata r:id="rId1547" o:title=""/>
            </v:shape>
            <v:shape style="position:absolute;left:328;top:344;width:5045;height:22" type="#_x0000_t75" stroked="false">
              <v:imagedata r:id="rId1546" o:title=""/>
            </v:shape>
            <v:shape style="position:absolute;left:328;top:540;width:7608;height:22" type="#_x0000_t75" stroked="false">
              <v:imagedata r:id="rId1672" o:title=""/>
            </v:shape>
            <v:line style="position:absolute" from="5368,356" to="5368,546" stroked="true" strokeweight=".359986pt" strokecolor="#ffffff">
              <v:stroke dashstyle="solid"/>
            </v:line>
            <v:line style="position:absolute" from="6335,356" to="6335,546" stroked="true" strokeweight=".360008pt" strokecolor="#ffffff">
              <v:stroke dashstyle="solid"/>
            </v:line>
            <v:line style="position:absolute" from="7324,356" to="7324,546" stroked="true" strokeweight=".360008pt" strokecolor="#ffffff">
              <v:stroke dashstyle="solid"/>
            </v:line>
            <v:shape style="position:absolute;left:7929;top:540;width:3744;height:22" type="#_x0000_t75" stroked="false">
              <v:imagedata r:id="rId1667" o:title=""/>
            </v:shape>
            <v:shape style="position:absolute;left:328;top:344;width:11345;height:219" type="#_x0000_t202" filled="false" stroked="false">
              <v:textbox inset="0,0,0,0">
                <w:txbxContent>
                  <w:p>
                    <w:pPr>
                      <w:spacing w:before="41"/>
                      <w:ind w:left="33" w:right="0" w:firstLine="0"/>
                      <w:jc w:val="left"/>
                      <w:rPr>
                        <w:b/>
                        <w:sz w:val="14"/>
                      </w:rPr>
                    </w:pPr>
                    <w:r>
                      <w:rPr>
                        <w:b/>
                        <w:w w:val="105"/>
                        <w:sz w:val="14"/>
                      </w:rPr>
                      <w:t>6D. Comparison of District Total Operating Revenues and Expenditures to the Standard Percentage Range</w:t>
                    </w:r>
                  </w:p>
                </w:txbxContent>
              </v:textbox>
              <w10:wrap type="none"/>
            </v:shape>
            <w10:wrap type="topAndBottom"/>
          </v:group>
        </w:pict>
      </w:r>
    </w:p>
    <w:p>
      <w:pPr>
        <w:pStyle w:val="BodyText"/>
        <w:spacing w:before="6"/>
        <w:rPr>
          <w:b/>
          <w:sz w:val="18"/>
        </w:rPr>
      </w:pPr>
    </w:p>
    <w:p>
      <w:pPr>
        <w:pStyle w:val="BodyText"/>
        <w:spacing w:before="1"/>
        <w:ind w:left="322"/>
      </w:pPr>
      <w:r>
        <w:rPr/>
        <w:t>DATA ENTRY: Explanations are linked from Section 6B if the status in Section 6C is not met; no entry is allowed below.</w:t>
      </w:r>
    </w:p>
    <w:p>
      <w:pPr>
        <w:pStyle w:val="BodyText"/>
        <w:spacing w:before="4"/>
        <w:rPr>
          <w:sz w:val="16"/>
        </w:rPr>
      </w:pPr>
    </w:p>
    <w:p>
      <w:pPr>
        <w:pStyle w:val="BodyText"/>
        <w:spacing w:before="1"/>
        <w:ind w:left="821" w:right="824" w:hanging="370"/>
        <w:jc w:val="both"/>
      </w:pPr>
      <w:r>
        <w:rPr/>
        <w:t>1a. STANDARD NOT MET - Projected total operating revenues have changed by more than the standard in one or more of the budget or two subsequent fiscal years. Reasons for the projected change, descriptions of the methods and assumptions used in the projections, and what changes, if any, will be made to bring the projected operating revenues within the standard must be entered in Section 6A above and will also display in the explanation box below.</w:t>
      </w:r>
    </w:p>
    <w:p>
      <w:pPr>
        <w:pStyle w:val="BodyText"/>
        <w:rPr>
          <w:sz w:val="14"/>
        </w:rPr>
      </w:pPr>
    </w:p>
    <w:p>
      <w:pPr>
        <w:spacing w:line="307" w:lineRule="auto" w:before="96"/>
        <w:ind w:left="1162" w:right="9974" w:firstLine="1"/>
        <w:jc w:val="center"/>
        <w:rPr>
          <w:sz w:val="13"/>
        </w:rPr>
      </w:pPr>
      <w:r>
        <w:rPr/>
        <w:pict>
          <v:group style="position:absolute;margin-left:129.479996pt;margin-top:2.8569pt;width:454.2pt;height:38.3pt;mso-position-horizontal-relative:page;mso-position-vertical-relative:paragraph;z-index:252414976" coordorigin="2590,57" coordsize="9084,766">
            <v:shape style="position:absolute;left:2589;top:57;width:9084;height:766" type="#_x0000_t75" stroked="false">
              <v:imagedata r:id="rId1522" o:title=""/>
            </v:shape>
            <v:shape style="position:absolute;left:2589;top:57;width:9084;height:766" type="#_x0000_t202" filled="false" stroked="false">
              <v:textbox inset="0,0,0,0">
                <w:txbxContent>
                  <w:p>
                    <w:pPr>
                      <w:spacing w:before="5"/>
                      <w:ind w:left="33" w:right="139" w:firstLine="0"/>
                      <w:jc w:val="left"/>
                      <w:rPr>
                        <w:sz w:val="13"/>
                      </w:rPr>
                    </w:pPr>
                    <w:r>
                      <w:rPr>
                        <w:sz w:val="13"/>
                      </w:rPr>
                      <w:t>The district is outside the range in 21-22 due to the removal of one-time ESSER, GEER, and CRF funds. The district is outside the range in 22-23 due to the removal of one-time ESSER II funds.</w:t>
                    </w:r>
                  </w:p>
                </w:txbxContent>
              </v:textbox>
              <w10:wrap type="none"/>
            </v:shape>
            <w10:wrap type="none"/>
          </v:group>
        </w:pict>
      </w:r>
      <w:r>
        <w:rPr>
          <w:b/>
          <w:sz w:val="13"/>
        </w:rPr>
        <w:t>Explanation: </w:t>
      </w:r>
      <w:r>
        <w:rPr>
          <w:sz w:val="13"/>
        </w:rPr>
        <w:t>Federal Revenue (linked from 6B</w:t>
      </w:r>
    </w:p>
    <w:p>
      <w:pPr>
        <w:pStyle w:val="BodyText"/>
        <w:spacing w:line="147" w:lineRule="exact"/>
        <w:ind w:right="8808"/>
        <w:jc w:val="center"/>
      </w:pPr>
      <w:r>
        <w:rPr/>
        <w:t>if NOT met)</w:t>
      </w:r>
    </w:p>
    <w:p>
      <w:pPr>
        <w:pStyle w:val="BodyText"/>
        <w:rPr>
          <w:sz w:val="16"/>
        </w:rPr>
      </w:pPr>
    </w:p>
    <w:p>
      <w:pPr>
        <w:spacing w:before="0"/>
        <w:ind w:left="1275" w:right="0" w:firstLine="0"/>
        <w:jc w:val="left"/>
        <w:rPr>
          <w:b/>
          <w:sz w:val="13"/>
        </w:rPr>
      </w:pPr>
      <w:r>
        <w:rPr/>
        <w:pict>
          <v:group style="position:absolute;margin-left:129.479996pt;margin-top:-.863083pt;width:454.2pt;height:34pt;mso-position-horizontal-relative:page;mso-position-vertical-relative:paragraph;z-index:252417024" coordorigin="2590,-17" coordsize="9084,680">
            <v:shape style="position:absolute;left:2589;top:-18;width:9084;height:680" type="#_x0000_t75" stroked="false">
              <v:imagedata r:id="rId1647" o:title=""/>
            </v:shape>
            <v:shape style="position:absolute;left:2589;top:-18;width:9084;height:680" type="#_x0000_t202" filled="false" stroked="false">
              <v:textbox inset="0,0,0,0">
                <w:txbxContent>
                  <w:p>
                    <w:pPr>
                      <w:spacing w:before="5"/>
                      <w:ind w:left="33" w:right="139" w:firstLine="0"/>
                      <w:jc w:val="left"/>
                      <w:rPr>
                        <w:sz w:val="13"/>
                      </w:rPr>
                    </w:pPr>
                    <w:r>
                      <w:rPr>
                        <w:sz w:val="13"/>
                      </w:rPr>
                      <w:t>The district is outside the range in 21-22 due to the removal of one-time Prop98 and ELO funds. The district is outside the range in 22-23 due to the removal of one-time IPI funds.</w:t>
                    </w:r>
                  </w:p>
                </w:txbxContent>
              </v:textbox>
              <w10:wrap type="none"/>
            </v:shape>
            <w10:wrap type="none"/>
          </v:group>
        </w:pict>
      </w:r>
      <w:r>
        <w:rPr>
          <w:b/>
          <w:sz w:val="13"/>
        </w:rPr>
        <w:t>Explanation:</w:t>
      </w:r>
    </w:p>
    <w:p>
      <w:pPr>
        <w:pStyle w:val="BodyText"/>
        <w:spacing w:line="268" w:lineRule="auto" w:before="21"/>
        <w:ind w:left="1212" w:right="9712" w:hanging="164"/>
      </w:pPr>
      <w:r>
        <w:rPr/>
        <w:t>Other State Revenue (linked from</w:t>
      </w:r>
      <w:r>
        <w:rPr>
          <w:spacing w:val="4"/>
        </w:rPr>
        <w:t> </w:t>
      </w:r>
      <w:r>
        <w:rPr/>
        <w:t>6B</w:t>
      </w:r>
    </w:p>
    <w:p>
      <w:pPr>
        <w:pStyle w:val="BodyText"/>
        <w:spacing w:before="1"/>
        <w:ind w:left="1335"/>
      </w:pPr>
      <w:r>
        <w:rPr/>
        <w:t>if NOT met)</w:t>
      </w:r>
    </w:p>
    <w:p>
      <w:pPr>
        <w:pStyle w:val="BodyText"/>
        <w:rPr>
          <w:sz w:val="16"/>
        </w:rPr>
      </w:pPr>
    </w:p>
    <w:p>
      <w:pPr>
        <w:spacing w:before="0"/>
        <w:ind w:left="1275" w:right="0" w:firstLine="0"/>
        <w:jc w:val="left"/>
        <w:rPr>
          <w:b/>
          <w:sz w:val="13"/>
        </w:rPr>
      </w:pPr>
      <w:r>
        <w:rPr/>
        <w:drawing>
          <wp:anchor distT="0" distB="0" distL="0" distR="0" allowOverlap="1" layoutInCell="1" locked="0" behindDoc="0" simplePos="0" relativeHeight="252418048">
            <wp:simplePos x="0" y="0"/>
            <wp:positionH relativeFrom="page">
              <wp:posOffset>1644395</wp:posOffset>
            </wp:positionH>
            <wp:positionV relativeFrom="paragraph">
              <wp:posOffset>-10961</wp:posOffset>
            </wp:positionV>
            <wp:extent cx="5768339" cy="431291"/>
            <wp:effectExtent l="0" t="0" r="0" b="0"/>
            <wp:wrapNone/>
            <wp:docPr id="95" name="image1545.png"/>
            <wp:cNvGraphicFramePr>
              <a:graphicFrameLocks noChangeAspect="1"/>
            </wp:cNvGraphicFramePr>
            <a:graphic>
              <a:graphicData uri="http://schemas.openxmlformats.org/drawingml/2006/picture">
                <pic:pic>
                  <pic:nvPicPr>
                    <pic:cNvPr id="96" name="image1545.png"/>
                    <pic:cNvPicPr/>
                  </pic:nvPicPr>
                  <pic:blipFill>
                    <a:blip r:embed="rId1647" cstate="print"/>
                    <a:stretch>
                      <a:fillRect/>
                    </a:stretch>
                  </pic:blipFill>
                  <pic:spPr>
                    <a:xfrm>
                      <a:off x="0" y="0"/>
                      <a:ext cx="5768339" cy="431291"/>
                    </a:xfrm>
                    <a:prstGeom prst="rect">
                      <a:avLst/>
                    </a:prstGeom>
                  </pic:spPr>
                </pic:pic>
              </a:graphicData>
            </a:graphic>
          </wp:anchor>
        </w:drawing>
      </w:r>
      <w:r>
        <w:rPr>
          <w:b/>
          <w:sz w:val="13"/>
        </w:rPr>
        <w:t>Explanation:</w:t>
      </w:r>
    </w:p>
    <w:p>
      <w:pPr>
        <w:pStyle w:val="BodyText"/>
        <w:spacing w:line="268" w:lineRule="auto" w:before="21"/>
        <w:ind w:left="1212" w:right="9712" w:hanging="168"/>
      </w:pPr>
      <w:r>
        <w:rPr/>
        <w:t>Other Local Revenue (linked from</w:t>
      </w:r>
      <w:r>
        <w:rPr>
          <w:spacing w:val="4"/>
        </w:rPr>
        <w:t> </w:t>
      </w:r>
      <w:r>
        <w:rPr/>
        <w:t>6B</w:t>
      </w:r>
    </w:p>
    <w:p>
      <w:pPr>
        <w:pStyle w:val="BodyText"/>
        <w:spacing w:before="1"/>
        <w:ind w:left="1335"/>
      </w:pPr>
      <w:r>
        <w:rPr/>
        <w:t>if NOT met)</w:t>
      </w:r>
    </w:p>
    <w:p>
      <w:pPr>
        <w:pStyle w:val="BodyText"/>
        <w:spacing w:before="11"/>
        <w:rPr>
          <w:sz w:val="14"/>
        </w:rPr>
      </w:pPr>
    </w:p>
    <w:p>
      <w:pPr>
        <w:pStyle w:val="BodyText"/>
        <w:ind w:left="821" w:right="618" w:hanging="370"/>
        <w:jc w:val="both"/>
      </w:pPr>
      <w:r>
        <w:rPr/>
        <w:t>1b. STANDARD NOT MET - Projected total operating expenditures have changed by more than the standard in one or more of the budget or two subsequent fiscal years. Reasons for the projected change, descriptions of the methods and assumptions used in the projections, and what changes, if any, will be made to bring the projected operating expenditures within the standard must be entered in Section 6A above and will also display in the explanation box below.</w:t>
      </w:r>
    </w:p>
    <w:p>
      <w:pPr>
        <w:pStyle w:val="BodyText"/>
        <w:rPr>
          <w:sz w:val="14"/>
        </w:rPr>
      </w:pPr>
    </w:p>
    <w:p>
      <w:pPr>
        <w:spacing w:line="271" w:lineRule="auto" w:before="96"/>
        <w:ind w:left="1087" w:right="9897" w:hanging="1"/>
        <w:jc w:val="center"/>
        <w:rPr>
          <w:sz w:val="13"/>
        </w:rPr>
      </w:pPr>
      <w:r>
        <w:rPr/>
        <w:pict>
          <v:group style="position:absolute;margin-left:129.479996pt;margin-top:3.936902pt;width:454.2pt;height:34pt;mso-position-horizontal-relative:page;mso-position-vertical-relative:paragraph;z-index:252420096" coordorigin="2590,79" coordsize="9084,680">
            <v:shape style="position:absolute;left:2589;top:78;width:9084;height:680" type="#_x0000_t75" stroked="false">
              <v:imagedata r:id="rId1647" o:title=""/>
            </v:shape>
            <v:shape style="position:absolute;left:2589;top:78;width:9084;height:680" type="#_x0000_t202" filled="false" stroked="false">
              <v:textbox inset="0,0,0,0">
                <w:txbxContent>
                  <w:p>
                    <w:pPr>
                      <w:spacing w:before="5"/>
                      <w:ind w:left="33" w:right="0" w:firstLine="0"/>
                      <w:jc w:val="left"/>
                      <w:rPr>
                        <w:sz w:val="13"/>
                      </w:rPr>
                    </w:pPr>
                    <w:r>
                      <w:rPr>
                        <w:sz w:val="13"/>
                      </w:rPr>
                      <w:t>The district is outside the range in 21-22 due to the removal of one-time supply expenditures related to Covid19 funds.</w:t>
                    </w:r>
                  </w:p>
                </w:txbxContent>
              </v:textbox>
              <w10:wrap type="none"/>
            </v:shape>
            <w10:wrap type="none"/>
          </v:group>
        </w:pict>
      </w:r>
      <w:r>
        <w:rPr>
          <w:b/>
          <w:sz w:val="13"/>
        </w:rPr>
        <w:t>Explanation: </w:t>
      </w:r>
      <w:r>
        <w:rPr>
          <w:sz w:val="13"/>
        </w:rPr>
        <w:t>Books and Supplies (linked from</w:t>
      </w:r>
      <w:r>
        <w:rPr>
          <w:spacing w:val="4"/>
          <w:sz w:val="13"/>
        </w:rPr>
        <w:t> </w:t>
      </w:r>
      <w:r>
        <w:rPr>
          <w:sz w:val="13"/>
        </w:rPr>
        <w:t>6B</w:t>
      </w:r>
    </w:p>
    <w:p>
      <w:pPr>
        <w:pStyle w:val="BodyText"/>
        <w:spacing w:line="149" w:lineRule="exact"/>
        <w:ind w:left="1335"/>
      </w:pPr>
      <w:r>
        <w:rPr/>
        <w:t>if NOT met)</w:t>
      </w:r>
    </w:p>
    <w:p>
      <w:pPr>
        <w:pStyle w:val="BodyText"/>
        <w:rPr>
          <w:sz w:val="16"/>
        </w:rPr>
      </w:pPr>
    </w:p>
    <w:p>
      <w:pPr>
        <w:spacing w:before="0"/>
        <w:ind w:left="1275" w:right="0" w:firstLine="0"/>
        <w:jc w:val="left"/>
        <w:rPr>
          <w:b/>
          <w:sz w:val="13"/>
        </w:rPr>
      </w:pPr>
      <w:r>
        <w:rPr/>
        <w:pict>
          <v:group style="position:absolute;margin-left:129.479996pt;margin-top:-.863098pt;width:454.2pt;height:34pt;mso-position-horizontal-relative:page;mso-position-vertical-relative:paragraph;z-index:252422144" coordorigin="2590,-17" coordsize="9084,680">
            <v:shape style="position:absolute;left:2589;top:-18;width:9084;height:680" type="#_x0000_t75" stroked="false">
              <v:imagedata r:id="rId1647" o:title=""/>
            </v:shape>
            <v:shape style="position:absolute;left:2589;top:-18;width:9084;height:680" type="#_x0000_t202" filled="false" stroked="false">
              <v:textbox inset="0,0,0,0">
                <w:txbxContent>
                  <w:p>
                    <w:pPr>
                      <w:spacing w:before="5"/>
                      <w:ind w:left="33" w:right="0" w:firstLine="0"/>
                      <w:jc w:val="left"/>
                      <w:rPr>
                        <w:sz w:val="13"/>
                      </w:rPr>
                    </w:pPr>
                    <w:r>
                      <w:rPr>
                        <w:sz w:val="13"/>
                      </w:rPr>
                      <w:t>The district is outside the range in 21-22 due to the removal of one-time services and operating expenditures related to Covid19 funds.</w:t>
                    </w:r>
                  </w:p>
                </w:txbxContent>
              </v:textbox>
              <w10:wrap type="none"/>
            </v:shape>
            <w10:wrap type="none"/>
          </v:group>
        </w:pict>
      </w:r>
      <w:r>
        <w:rPr>
          <w:b/>
          <w:sz w:val="13"/>
        </w:rPr>
        <w:t>Explanation:</w:t>
      </w:r>
    </w:p>
    <w:p>
      <w:pPr>
        <w:spacing w:before="19"/>
        <w:ind w:left="0" w:right="8813" w:firstLine="0"/>
        <w:jc w:val="center"/>
        <w:rPr>
          <w:b/>
          <w:sz w:val="13"/>
        </w:rPr>
      </w:pPr>
      <w:r>
        <w:rPr>
          <w:b/>
          <w:sz w:val="13"/>
        </w:rPr>
        <w:t>Services and Other Exps</w:t>
      </w:r>
    </w:p>
    <w:p>
      <w:pPr>
        <w:pStyle w:val="BodyText"/>
        <w:spacing w:line="268" w:lineRule="auto" w:before="21"/>
        <w:ind w:left="1212" w:right="10058"/>
        <w:jc w:val="center"/>
      </w:pPr>
      <w:r>
        <w:rPr/>
        <w:t>(linked from 6B if NOT met)</w:t>
      </w:r>
    </w:p>
    <w:p>
      <w:pPr>
        <w:spacing w:after="0" w:line="268" w:lineRule="auto"/>
        <w:jc w:val="center"/>
        <w:sectPr>
          <w:pgSz w:w="12240" w:h="15840"/>
          <w:pgMar w:header="402" w:footer="584" w:top="840" w:bottom="780" w:left="40" w:right="40"/>
        </w:sectPr>
      </w:pPr>
    </w:p>
    <w:p>
      <w:pPr>
        <w:pStyle w:val="BodyText"/>
        <w:rPr>
          <w:sz w:val="20"/>
        </w:rPr>
      </w:pPr>
    </w:p>
    <w:p>
      <w:pPr>
        <w:pStyle w:val="BodyText"/>
        <w:spacing w:before="1"/>
        <w:rPr>
          <w:sz w:val="23"/>
        </w:rPr>
      </w:pPr>
    </w:p>
    <w:p>
      <w:pPr>
        <w:pStyle w:val="Heading4"/>
        <w:numPr>
          <w:ilvl w:val="0"/>
          <w:numId w:val="69"/>
        </w:numPr>
        <w:tabs>
          <w:tab w:pos="821" w:val="left" w:leader="none"/>
          <w:tab w:pos="822" w:val="left" w:leader="none"/>
        </w:tabs>
        <w:spacing w:line="240" w:lineRule="auto" w:before="1" w:after="0"/>
        <w:ind w:left="821" w:right="0" w:hanging="344"/>
        <w:jc w:val="left"/>
      </w:pPr>
      <w:r>
        <w:rPr/>
        <w:t>CRITERION: Facilities</w:t>
      </w:r>
      <w:r>
        <w:rPr>
          <w:spacing w:val="-5"/>
        </w:rPr>
        <w:t> </w:t>
      </w:r>
      <w:r>
        <w:rPr/>
        <w:t>Maintenance</w:t>
      </w:r>
    </w:p>
    <w:p>
      <w:pPr>
        <w:pStyle w:val="BodyText"/>
        <w:rPr>
          <w:b/>
          <w:sz w:val="18"/>
        </w:rPr>
      </w:pPr>
    </w:p>
    <w:p>
      <w:pPr>
        <w:pStyle w:val="Heading5"/>
        <w:spacing w:line="232" w:lineRule="auto" w:before="127"/>
        <w:ind w:right="622"/>
      </w:pPr>
      <w:r>
        <w:rPr/>
        <w:t>STANDARD: Confirm that the annual contribution for facilities maintenance funding is not less than the amount required pursuant to Education Code Section</w:t>
      </w:r>
      <w:r>
        <w:rPr>
          <w:spacing w:val="-5"/>
        </w:rPr>
        <w:t> </w:t>
      </w:r>
      <w:r>
        <w:rPr/>
        <w:t>17070.75,</w:t>
      </w:r>
      <w:r>
        <w:rPr>
          <w:spacing w:val="-6"/>
        </w:rPr>
        <w:t> </w:t>
      </w:r>
      <w:r>
        <w:rPr/>
        <w:t>if</w:t>
      </w:r>
      <w:r>
        <w:rPr>
          <w:spacing w:val="-3"/>
        </w:rPr>
        <w:t> </w:t>
      </w:r>
      <w:r>
        <w:rPr/>
        <w:t>applicable,</w:t>
      </w:r>
      <w:r>
        <w:rPr>
          <w:spacing w:val="-6"/>
        </w:rPr>
        <w:t> </w:t>
      </w:r>
      <w:r>
        <w:rPr/>
        <w:t>and</w:t>
      </w:r>
      <w:r>
        <w:rPr>
          <w:spacing w:val="-4"/>
        </w:rPr>
        <w:t> </w:t>
      </w:r>
      <w:r>
        <w:rPr/>
        <w:t>that</w:t>
      </w:r>
      <w:r>
        <w:rPr>
          <w:spacing w:val="-6"/>
        </w:rPr>
        <w:t> </w:t>
      </w:r>
      <w:r>
        <w:rPr/>
        <w:t>the</w:t>
      </w:r>
      <w:r>
        <w:rPr>
          <w:spacing w:val="-4"/>
        </w:rPr>
        <w:t> </w:t>
      </w:r>
      <w:r>
        <w:rPr/>
        <w:t>district</w:t>
      </w:r>
      <w:r>
        <w:rPr>
          <w:spacing w:val="-6"/>
        </w:rPr>
        <w:t> </w:t>
      </w:r>
      <w:r>
        <w:rPr/>
        <w:t>is</w:t>
      </w:r>
      <w:r>
        <w:rPr>
          <w:spacing w:val="-5"/>
        </w:rPr>
        <w:t> </w:t>
      </w:r>
      <w:r>
        <w:rPr/>
        <w:t>providing</w:t>
      </w:r>
      <w:r>
        <w:rPr>
          <w:spacing w:val="-3"/>
        </w:rPr>
        <w:t> </w:t>
      </w:r>
      <w:r>
        <w:rPr/>
        <w:t>adequately</w:t>
      </w:r>
      <w:r>
        <w:rPr>
          <w:spacing w:val="-9"/>
        </w:rPr>
        <w:t> </w:t>
      </w:r>
      <w:r>
        <w:rPr/>
        <w:t>to</w:t>
      </w:r>
      <w:r>
        <w:rPr>
          <w:spacing w:val="-4"/>
        </w:rPr>
        <w:t> </w:t>
      </w:r>
      <w:r>
        <w:rPr/>
        <w:t>preserve</w:t>
      </w:r>
      <w:r>
        <w:rPr>
          <w:spacing w:val="-4"/>
        </w:rPr>
        <w:t> </w:t>
      </w:r>
      <w:r>
        <w:rPr/>
        <w:t>the</w:t>
      </w:r>
      <w:r>
        <w:rPr>
          <w:spacing w:val="-5"/>
        </w:rPr>
        <w:t> </w:t>
      </w:r>
      <w:r>
        <w:rPr/>
        <w:t>functionality</w:t>
      </w:r>
      <w:r>
        <w:rPr>
          <w:spacing w:val="-8"/>
        </w:rPr>
        <w:t> </w:t>
      </w:r>
      <w:r>
        <w:rPr/>
        <w:t>of</w:t>
      </w:r>
      <w:r>
        <w:rPr>
          <w:spacing w:val="-3"/>
        </w:rPr>
        <w:t> </w:t>
      </w:r>
      <w:r>
        <w:rPr/>
        <w:t>its</w:t>
      </w:r>
      <w:r>
        <w:rPr>
          <w:spacing w:val="-5"/>
        </w:rPr>
        <w:t> </w:t>
      </w:r>
      <w:r>
        <w:rPr/>
        <w:t>facilities</w:t>
      </w:r>
      <w:r>
        <w:rPr>
          <w:spacing w:val="-4"/>
        </w:rPr>
        <w:t> </w:t>
      </w:r>
      <w:r>
        <w:rPr/>
        <w:t>for</w:t>
      </w:r>
      <w:r>
        <w:rPr>
          <w:spacing w:val="-5"/>
        </w:rPr>
        <w:t> </w:t>
      </w:r>
      <w:r>
        <w:rPr/>
        <w:t>their</w:t>
      </w:r>
      <w:r>
        <w:rPr>
          <w:spacing w:val="-4"/>
        </w:rPr>
        <w:t> </w:t>
      </w:r>
      <w:r>
        <w:rPr/>
        <w:t>normal</w:t>
      </w:r>
      <w:r>
        <w:rPr>
          <w:spacing w:val="-4"/>
        </w:rPr>
        <w:t> </w:t>
      </w:r>
      <w:r>
        <w:rPr/>
        <w:t>life</w:t>
      </w:r>
      <w:r>
        <w:rPr>
          <w:spacing w:val="-4"/>
        </w:rPr>
        <w:t> </w:t>
      </w:r>
      <w:r>
        <w:rPr/>
        <w:t>in</w:t>
      </w:r>
      <w:r>
        <w:rPr>
          <w:spacing w:val="-5"/>
        </w:rPr>
        <w:t> </w:t>
      </w:r>
      <w:r>
        <w:rPr/>
        <w:t>accordance with Education Code sections 52060(d)(1) and</w:t>
      </w:r>
      <w:r>
        <w:rPr>
          <w:spacing w:val="-6"/>
        </w:rPr>
        <w:t> </w:t>
      </w:r>
      <w:r>
        <w:rPr/>
        <w:t>17002(d)(1).</w:t>
      </w:r>
    </w:p>
    <w:p>
      <w:pPr>
        <w:pStyle w:val="BodyText"/>
        <w:spacing w:before="3"/>
        <w:rPr>
          <w:sz w:val="10"/>
        </w:rPr>
      </w:pPr>
      <w:r>
        <w:rPr/>
        <w:drawing>
          <wp:anchor distT="0" distB="0" distL="0" distR="0" allowOverlap="1" layoutInCell="1" locked="0" behindDoc="0" simplePos="0" relativeHeight="747">
            <wp:simplePos x="0" y="0"/>
            <wp:positionH relativeFrom="page">
              <wp:posOffset>208788</wp:posOffset>
            </wp:positionH>
            <wp:positionV relativeFrom="paragraph">
              <wp:posOffset>99987</wp:posOffset>
            </wp:positionV>
            <wp:extent cx="7203937" cy="13716"/>
            <wp:effectExtent l="0" t="0" r="0" b="0"/>
            <wp:wrapTopAndBottom/>
            <wp:docPr id="97" name="image1401.png"/>
            <wp:cNvGraphicFramePr>
              <a:graphicFrameLocks noChangeAspect="1"/>
            </wp:cNvGraphicFramePr>
            <a:graphic>
              <a:graphicData uri="http://schemas.openxmlformats.org/drawingml/2006/picture">
                <pic:pic>
                  <pic:nvPicPr>
                    <pic:cNvPr id="98" name="image1401.png"/>
                    <pic:cNvPicPr/>
                  </pic:nvPicPr>
                  <pic:blipFill>
                    <a:blip r:embed="rId1503" cstate="print"/>
                    <a:stretch>
                      <a:fillRect/>
                    </a:stretch>
                  </pic:blipFill>
                  <pic:spPr>
                    <a:xfrm>
                      <a:off x="0" y="0"/>
                      <a:ext cx="7203937" cy="13716"/>
                    </a:xfrm>
                    <a:prstGeom prst="rect">
                      <a:avLst/>
                    </a:prstGeom>
                  </pic:spPr>
                </pic:pic>
              </a:graphicData>
            </a:graphic>
          </wp:anchor>
        </w:drawing>
      </w:r>
    </w:p>
    <w:p>
      <w:pPr>
        <w:pStyle w:val="Heading8"/>
        <w:spacing w:line="254" w:lineRule="auto" w:before="0" w:after="19"/>
        <w:ind w:left="322" w:right="903"/>
      </w:pPr>
      <w:r>
        <w:rPr>
          <w:w w:val="105"/>
        </w:rPr>
        <w:t>Determining the District's Compliance with the Contribution Requirement for EC Section 17070.75 - Ongoing and Major Maintenance/Restricted Maintenance Account (OMMA/RMA)</w:t>
      </w:r>
    </w:p>
    <w:p>
      <w:pPr>
        <w:pStyle w:val="BodyText"/>
        <w:spacing w:line="21" w:lineRule="exact"/>
        <w:ind w:left="288"/>
        <w:rPr>
          <w:sz w:val="2"/>
        </w:rPr>
      </w:pPr>
      <w:r>
        <w:rPr>
          <w:sz w:val="2"/>
        </w:rPr>
        <w:drawing>
          <wp:inline distT="0" distB="0" distL="0" distR="0">
            <wp:extent cx="7203932" cy="13716"/>
            <wp:effectExtent l="0" t="0" r="0" b="0"/>
            <wp:docPr id="99" name="image1401.png"/>
            <wp:cNvGraphicFramePr>
              <a:graphicFrameLocks noChangeAspect="1"/>
            </wp:cNvGraphicFramePr>
            <a:graphic>
              <a:graphicData uri="http://schemas.openxmlformats.org/drawingml/2006/picture">
                <pic:pic>
                  <pic:nvPicPr>
                    <pic:cNvPr id="100" name="image1401.png"/>
                    <pic:cNvPicPr/>
                  </pic:nvPicPr>
                  <pic:blipFill>
                    <a:blip r:embed="rId1503" cstate="print"/>
                    <a:stretch>
                      <a:fillRect/>
                    </a:stretch>
                  </pic:blipFill>
                  <pic:spPr>
                    <a:xfrm>
                      <a:off x="0" y="0"/>
                      <a:ext cx="7203932" cy="13716"/>
                    </a:xfrm>
                    <a:prstGeom prst="rect">
                      <a:avLst/>
                    </a:prstGeom>
                  </pic:spPr>
                </pic:pic>
              </a:graphicData>
            </a:graphic>
          </wp:inline>
        </w:drawing>
      </w:r>
      <w:r>
        <w:rPr>
          <w:sz w:val="2"/>
        </w:rPr>
      </w:r>
    </w:p>
    <w:p>
      <w:pPr>
        <w:pStyle w:val="BodyText"/>
        <w:spacing w:before="9"/>
        <w:rPr>
          <w:b/>
        </w:rPr>
      </w:pPr>
    </w:p>
    <w:p>
      <w:pPr>
        <w:pStyle w:val="Heading9"/>
        <w:spacing w:line="242" w:lineRule="auto" w:before="0"/>
        <w:ind w:left="821" w:right="692" w:hanging="500"/>
      </w:pPr>
      <w:r>
        <w:rPr>
          <w:b/>
          <w:w w:val="105"/>
          <w:position w:val="1"/>
          <w:sz w:val="13"/>
        </w:rPr>
        <w:t>NOTE: </w:t>
      </w:r>
      <w:r>
        <w:rPr>
          <w:w w:val="105"/>
        </w:rPr>
        <w:t>EC Section 17070.75 requires the district to deposit into the account a minimum amount equal to or greater than three percent of the total general fund expenditures and other financing uses for that fiscal year. Per SB 98 and SB 820 of 2020, resources 3210, 3215, 3220, 5316, 7027, 7420, and 7690 are excluded from the total general fund expenditures calculation.</w:t>
      </w:r>
    </w:p>
    <w:p>
      <w:pPr>
        <w:pStyle w:val="BodyText"/>
        <w:rPr>
          <w:sz w:val="16"/>
        </w:rPr>
      </w:pPr>
    </w:p>
    <w:p>
      <w:pPr>
        <w:pStyle w:val="BodyText"/>
        <w:spacing w:before="101"/>
        <w:ind w:left="322" w:right="622"/>
      </w:pPr>
      <w:r>
        <w:rPr/>
        <w:t>DATA ENTRY: Click the appropriate Yes or No button for special education local plan area (SELPA) administrative units (AUs); all other data are extracted or calculated. If standard is not met, enter an X in the appropriate box and enter an explanation, if applicable.</w:t>
      </w:r>
    </w:p>
    <w:p>
      <w:pPr>
        <w:pStyle w:val="BodyText"/>
        <w:rPr>
          <w:sz w:val="14"/>
        </w:rPr>
      </w:pPr>
    </w:p>
    <w:p>
      <w:pPr>
        <w:pStyle w:val="BodyText"/>
        <w:spacing w:before="3"/>
        <w:rPr>
          <w:sz w:val="19"/>
        </w:rPr>
      </w:pPr>
    </w:p>
    <w:p>
      <w:pPr>
        <w:pStyle w:val="ListParagraph"/>
        <w:numPr>
          <w:ilvl w:val="0"/>
          <w:numId w:val="70"/>
        </w:numPr>
        <w:tabs>
          <w:tab w:pos="821" w:val="left" w:leader="none"/>
          <w:tab w:pos="822" w:val="left" w:leader="none"/>
        </w:tabs>
        <w:spacing w:line="268" w:lineRule="auto" w:before="0" w:after="0"/>
        <w:ind w:left="964" w:right="3630" w:hanging="477"/>
        <w:jc w:val="left"/>
        <w:rPr>
          <w:sz w:val="13"/>
        </w:rPr>
      </w:pPr>
      <w:r>
        <w:rPr/>
        <w:pict>
          <v:group style="position:absolute;margin-left:487.679993pt;margin-top:-1.823043pt;width:96pt;height:18pt;mso-position-horizontal-relative:page;mso-position-vertical-relative:paragraph;z-index:252425216" coordorigin="9754,-36" coordsize="1920,360">
            <v:shape style="position:absolute;left:9753;top:-37;width:1920;height:360" type="#_x0000_t75" stroked="false">
              <v:imagedata r:id="rId1673" o:title=""/>
            </v:shape>
            <v:shape style="position:absolute;left:10629;top:170;width:190;height:148" type="#_x0000_t202" filled="false" stroked="false">
              <v:textbox inset="0,0,0,0">
                <w:txbxContent>
                  <w:p>
                    <w:pPr>
                      <w:spacing w:line="147" w:lineRule="exact" w:before="0"/>
                      <w:ind w:left="0" w:right="0" w:firstLine="0"/>
                      <w:jc w:val="left"/>
                      <w:rPr>
                        <w:sz w:val="13"/>
                      </w:rPr>
                    </w:pPr>
                    <w:r>
                      <w:rPr>
                        <w:sz w:val="13"/>
                      </w:rPr>
                      <w:t>No</w:t>
                    </w:r>
                  </w:p>
                </w:txbxContent>
              </v:textbox>
              <w10:wrap type="none"/>
            </v:shape>
            <w10:wrap type="none"/>
          </v:group>
        </w:pict>
      </w:r>
      <w:r>
        <w:rPr>
          <w:sz w:val="13"/>
        </w:rPr>
        <w:t>a. For districts that are the AU of a SELPA, do you choose to exclude revenues that are passed through to participating members of the SELPA from the OMMA/RMA required minimum contribution</w:t>
      </w:r>
      <w:r>
        <w:rPr>
          <w:spacing w:val="11"/>
          <w:sz w:val="13"/>
        </w:rPr>
        <w:t> </w:t>
      </w:r>
      <w:r>
        <w:rPr>
          <w:sz w:val="13"/>
        </w:rPr>
        <w:t>calculation?</w:t>
      </w:r>
    </w:p>
    <w:p>
      <w:pPr>
        <w:pStyle w:val="BodyText"/>
        <w:spacing w:before="8"/>
        <w:rPr>
          <w:sz w:val="14"/>
        </w:rPr>
      </w:pPr>
    </w:p>
    <w:p>
      <w:pPr>
        <w:pStyle w:val="BodyText"/>
        <w:spacing w:line="268" w:lineRule="auto"/>
        <w:ind w:left="964" w:right="3401" w:hanging="144"/>
      </w:pPr>
      <w:r>
        <w:rPr/>
        <w:pict>
          <v:group style="position:absolute;margin-left:487.679993pt;margin-top:-.983063pt;width:96pt;height:17.2pt;mso-position-horizontal-relative:page;mso-position-vertical-relative:paragraph;z-index:252427264" coordorigin="9754,-20" coordsize="1920,344">
            <v:shape style="position:absolute;left:9753;top:-20;width:1920;height:344" type="#_x0000_t75" stroked="false">
              <v:imagedata r:id="rId1674" o:title=""/>
            </v:shape>
            <v:shape style="position:absolute;left:9753;top:-20;width:1920;height:344" type="#_x0000_t202" filled="false" stroked="false">
              <v:textbox inset="0,0,0,0">
                <w:txbxContent>
                  <w:p>
                    <w:pPr>
                      <w:spacing w:line="240" w:lineRule="auto" w:before="3"/>
                      <w:rPr>
                        <w:sz w:val="16"/>
                      </w:rPr>
                    </w:pPr>
                  </w:p>
                  <w:p>
                    <w:pPr>
                      <w:spacing w:before="0"/>
                      <w:ind w:left="0" w:right="75" w:firstLine="0"/>
                      <w:jc w:val="right"/>
                      <w:rPr>
                        <w:sz w:val="13"/>
                      </w:rPr>
                    </w:pPr>
                    <w:r>
                      <w:rPr>
                        <w:sz w:val="13"/>
                      </w:rPr>
                      <w:t>0.00</w:t>
                    </w:r>
                  </w:p>
                </w:txbxContent>
              </v:textbox>
              <w10:wrap type="none"/>
            </v:shape>
            <w10:wrap type="none"/>
          </v:group>
        </w:pict>
      </w:r>
      <w:r>
        <w:rPr/>
        <w:t>b. Pass-through revenues and apportionments that may be excluded from the OMMA/RMA calculation per EC Section 17070.75(b)(2)(D) (Fund 10, resources 3300-3499, 6500-6540 and 6546, objects 7211-7213 and 7221-7223)</w:t>
      </w:r>
    </w:p>
    <w:p>
      <w:pPr>
        <w:pStyle w:val="BodyText"/>
        <w:spacing w:before="8"/>
        <w:rPr>
          <w:sz w:val="14"/>
        </w:rPr>
      </w:pPr>
    </w:p>
    <w:p>
      <w:pPr>
        <w:pStyle w:val="ListParagraph"/>
        <w:numPr>
          <w:ilvl w:val="0"/>
          <w:numId w:val="70"/>
        </w:numPr>
        <w:tabs>
          <w:tab w:pos="821" w:val="left" w:leader="none"/>
          <w:tab w:pos="822" w:val="left" w:leader="none"/>
        </w:tabs>
        <w:spacing w:line="240" w:lineRule="auto" w:before="1" w:after="0"/>
        <w:ind w:left="821" w:right="0" w:hanging="334"/>
        <w:jc w:val="left"/>
        <w:rPr>
          <w:sz w:val="13"/>
        </w:rPr>
      </w:pPr>
      <w:r>
        <w:rPr>
          <w:sz w:val="13"/>
        </w:rPr>
        <w:t>Ongoing and Major Maintenance/Restricted Maintenance</w:t>
      </w:r>
      <w:r>
        <w:rPr>
          <w:spacing w:val="2"/>
          <w:sz w:val="13"/>
        </w:rPr>
        <w:t> </w:t>
      </w:r>
      <w:r>
        <w:rPr>
          <w:sz w:val="13"/>
        </w:rPr>
        <w:t>Account</w:t>
      </w:r>
    </w:p>
    <w:p>
      <w:pPr>
        <w:pStyle w:val="BodyText"/>
        <w:spacing w:before="2"/>
        <w:rPr>
          <w:sz w:val="16"/>
        </w:rPr>
      </w:pPr>
    </w:p>
    <w:p>
      <w:pPr>
        <w:pStyle w:val="BodyText"/>
        <w:spacing w:after="22"/>
        <w:ind w:left="821"/>
      </w:pPr>
      <w:r>
        <w:rPr/>
        <w:pict>
          <v:group style="position:absolute;margin-left:166.199997pt;margin-top:-.983093pt;width:417.5pt;height:84.4pt;mso-position-horizontal-relative:page;mso-position-vertical-relative:paragraph;z-index:-313938944" coordorigin="3324,-20" coordsize="8350,1688">
            <v:shape style="position:absolute;left:3324;top:-20;width:8350;height:1688" type="#_x0000_t75" stroked="false">
              <v:imagedata r:id="rId1675" o:title=""/>
            </v:shape>
            <v:shape style="position:absolute;left:7322;top:1324;width:4352;height:344" type="#_x0000_t75" stroked="false">
              <v:imagedata r:id="rId1676" o:title=""/>
            </v:shape>
            <w10:wrap type="none"/>
          </v:group>
        </w:pict>
      </w:r>
      <w:r>
        <w:rPr/>
        <w:t>a. Budgeted Expenditures and Other</w:t>
      </w:r>
    </w:p>
    <w:tbl>
      <w:tblPr>
        <w:tblW w:w="0" w:type="auto"/>
        <w:jc w:val="left"/>
        <w:tblInd w:w="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66"/>
        <w:gridCol w:w="1708"/>
        <w:gridCol w:w="2012"/>
        <w:gridCol w:w="2591"/>
        <w:gridCol w:w="830"/>
      </w:tblGrid>
      <w:tr>
        <w:trPr>
          <w:trHeight w:val="157" w:hRule="atLeast"/>
        </w:trPr>
        <w:tc>
          <w:tcPr>
            <w:tcW w:w="2966" w:type="dxa"/>
          </w:tcPr>
          <w:p>
            <w:pPr>
              <w:pStyle w:val="TableParagraph"/>
              <w:spacing w:line="138" w:lineRule="exact"/>
              <w:ind w:left="177"/>
              <w:rPr>
                <w:sz w:val="13"/>
              </w:rPr>
            </w:pPr>
            <w:r>
              <w:rPr>
                <w:sz w:val="13"/>
              </w:rPr>
              <w:t>Financing Uses (Form 01,</w:t>
            </w:r>
          </w:p>
        </w:tc>
        <w:tc>
          <w:tcPr>
            <w:tcW w:w="1708" w:type="dxa"/>
          </w:tcPr>
          <w:p>
            <w:pPr>
              <w:pStyle w:val="TableParagraph"/>
              <w:rPr>
                <w:rFonts w:ascii="Times New Roman"/>
                <w:sz w:val="10"/>
              </w:rPr>
            </w:pPr>
          </w:p>
        </w:tc>
        <w:tc>
          <w:tcPr>
            <w:tcW w:w="5433" w:type="dxa"/>
            <w:gridSpan w:val="3"/>
            <w:vMerge w:val="restart"/>
          </w:tcPr>
          <w:p>
            <w:pPr>
              <w:pStyle w:val="TableParagraph"/>
              <w:rPr>
                <w:rFonts w:ascii="Times New Roman"/>
                <w:sz w:val="12"/>
              </w:rPr>
            </w:pPr>
          </w:p>
        </w:tc>
      </w:tr>
      <w:tr>
        <w:trPr>
          <w:trHeight w:val="167" w:hRule="atLeast"/>
        </w:trPr>
        <w:tc>
          <w:tcPr>
            <w:tcW w:w="2966" w:type="dxa"/>
          </w:tcPr>
          <w:p>
            <w:pPr>
              <w:pStyle w:val="TableParagraph"/>
              <w:spacing w:line="140" w:lineRule="exact" w:before="7"/>
              <w:ind w:left="177"/>
              <w:rPr>
                <w:sz w:val="13"/>
              </w:rPr>
            </w:pPr>
            <w:r>
              <w:rPr>
                <w:sz w:val="13"/>
              </w:rPr>
              <w:t>objects 1000-7999, exclude</w:t>
            </w:r>
          </w:p>
        </w:tc>
        <w:tc>
          <w:tcPr>
            <w:tcW w:w="1708" w:type="dxa"/>
          </w:tcPr>
          <w:p>
            <w:pPr>
              <w:pStyle w:val="TableParagraph"/>
              <w:rPr>
                <w:rFonts w:ascii="Times New Roman"/>
                <w:sz w:val="10"/>
              </w:rPr>
            </w:pPr>
          </w:p>
        </w:tc>
        <w:tc>
          <w:tcPr>
            <w:tcW w:w="5433" w:type="dxa"/>
            <w:gridSpan w:val="3"/>
            <w:vMerge/>
            <w:tcBorders>
              <w:top w:val="nil"/>
            </w:tcBorders>
          </w:tcPr>
          <w:p>
            <w:pPr>
              <w:rPr>
                <w:sz w:val="2"/>
                <w:szCs w:val="2"/>
              </w:rPr>
            </w:pPr>
          </w:p>
        </w:tc>
      </w:tr>
      <w:tr>
        <w:trPr>
          <w:trHeight w:val="167" w:hRule="atLeast"/>
        </w:trPr>
        <w:tc>
          <w:tcPr>
            <w:tcW w:w="2966" w:type="dxa"/>
          </w:tcPr>
          <w:p>
            <w:pPr>
              <w:pStyle w:val="TableParagraph"/>
              <w:spacing w:line="140" w:lineRule="exact" w:before="7"/>
              <w:ind w:left="177"/>
              <w:rPr>
                <w:sz w:val="13"/>
              </w:rPr>
            </w:pPr>
            <w:r>
              <w:rPr>
                <w:sz w:val="13"/>
              </w:rPr>
              <w:t>resources 3210, 3215, 3220, 5316,</w:t>
            </w:r>
          </w:p>
        </w:tc>
        <w:tc>
          <w:tcPr>
            <w:tcW w:w="1708" w:type="dxa"/>
          </w:tcPr>
          <w:p>
            <w:pPr>
              <w:pStyle w:val="TableParagraph"/>
              <w:rPr>
                <w:rFonts w:ascii="Times New Roman"/>
                <w:sz w:val="10"/>
              </w:rPr>
            </w:pPr>
          </w:p>
        </w:tc>
        <w:tc>
          <w:tcPr>
            <w:tcW w:w="5433" w:type="dxa"/>
            <w:gridSpan w:val="3"/>
            <w:vMerge/>
            <w:tcBorders>
              <w:top w:val="nil"/>
            </w:tcBorders>
          </w:tcPr>
          <w:p>
            <w:pPr>
              <w:rPr>
                <w:sz w:val="2"/>
                <w:szCs w:val="2"/>
              </w:rPr>
            </w:pPr>
          </w:p>
        </w:tc>
      </w:tr>
      <w:tr>
        <w:trPr>
          <w:trHeight w:val="167" w:hRule="atLeast"/>
        </w:trPr>
        <w:tc>
          <w:tcPr>
            <w:tcW w:w="2966" w:type="dxa"/>
          </w:tcPr>
          <w:p>
            <w:pPr>
              <w:pStyle w:val="TableParagraph"/>
              <w:spacing w:line="140" w:lineRule="exact" w:before="7"/>
              <w:ind w:left="177"/>
              <w:rPr>
                <w:sz w:val="13"/>
              </w:rPr>
            </w:pPr>
            <w:r>
              <w:rPr>
                <w:sz w:val="13"/>
              </w:rPr>
              <w:t>7027, 7420, and 7690)</w:t>
            </w:r>
          </w:p>
        </w:tc>
        <w:tc>
          <w:tcPr>
            <w:tcW w:w="1708" w:type="dxa"/>
          </w:tcPr>
          <w:p>
            <w:pPr>
              <w:pStyle w:val="TableParagraph"/>
              <w:spacing w:line="140" w:lineRule="exact" w:before="7"/>
              <w:ind w:right="203"/>
              <w:jc w:val="right"/>
              <w:rPr>
                <w:sz w:val="13"/>
              </w:rPr>
            </w:pPr>
            <w:r>
              <w:rPr>
                <w:sz w:val="13"/>
              </w:rPr>
              <w:t>2,051,474.00</w:t>
            </w:r>
          </w:p>
        </w:tc>
        <w:tc>
          <w:tcPr>
            <w:tcW w:w="5433" w:type="dxa"/>
            <w:gridSpan w:val="3"/>
            <w:vMerge/>
            <w:tcBorders>
              <w:top w:val="nil"/>
            </w:tcBorders>
          </w:tcPr>
          <w:p>
            <w:pPr>
              <w:rPr>
                <w:sz w:val="2"/>
                <w:szCs w:val="2"/>
              </w:rPr>
            </w:pPr>
          </w:p>
        </w:tc>
      </w:tr>
      <w:tr>
        <w:trPr>
          <w:trHeight w:val="168" w:hRule="atLeast"/>
        </w:trPr>
        <w:tc>
          <w:tcPr>
            <w:tcW w:w="2966" w:type="dxa"/>
          </w:tcPr>
          <w:p>
            <w:pPr>
              <w:pStyle w:val="TableParagraph"/>
              <w:spacing w:line="140" w:lineRule="exact" w:before="7"/>
              <w:ind w:left="34"/>
              <w:rPr>
                <w:sz w:val="13"/>
              </w:rPr>
            </w:pPr>
            <w:r>
              <w:rPr>
                <w:sz w:val="13"/>
              </w:rPr>
              <w:t>b. Plus: Pass-through Revenues</w:t>
            </w:r>
          </w:p>
        </w:tc>
        <w:tc>
          <w:tcPr>
            <w:tcW w:w="1708" w:type="dxa"/>
          </w:tcPr>
          <w:p>
            <w:pPr>
              <w:pStyle w:val="TableParagraph"/>
              <w:rPr>
                <w:rFonts w:ascii="Times New Roman"/>
                <w:sz w:val="10"/>
              </w:rPr>
            </w:pPr>
          </w:p>
        </w:tc>
        <w:tc>
          <w:tcPr>
            <w:tcW w:w="2012" w:type="dxa"/>
          </w:tcPr>
          <w:p>
            <w:pPr>
              <w:pStyle w:val="TableParagraph"/>
              <w:spacing w:line="140" w:lineRule="exact" w:before="7"/>
              <w:ind w:left="446"/>
              <w:rPr>
                <w:sz w:val="13"/>
              </w:rPr>
            </w:pPr>
            <w:r>
              <w:rPr>
                <w:sz w:val="13"/>
              </w:rPr>
              <w:t>3% Required</w:t>
            </w:r>
          </w:p>
        </w:tc>
        <w:tc>
          <w:tcPr>
            <w:tcW w:w="2591" w:type="dxa"/>
          </w:tcPr>
          <w:p>
            <w:pPr>
              <w:pStyle w:val="TableParagraph"/>
              <w:spacing w:line="140" w:lineRule="exact" w:before="7"/>
              <w:ind w:left="349"/>
              <w:rPr>
                <w:sz w:val="13"/>
              </w:rPr>
            </w:pPr>
            <w:r>
              <w:rPr>
                <w:sz w:val="13"/>
              </w:rPr>
              <w:t>Budgeted Contribution¹</w:t>
            </w:r>
          </w:p>
        </w:tc>
        <w:tc>
          <w:tcPr>
            <w:tcW w:w="830" w:type="dxa"/>
          </w:tcPr>
          <w:p>
            <w:pPr>
              <w:pStyle w:val="TableParagraph"/>
              <w:rPr>
                <w:rFonts w:ascii="Times New Roman"/>
                <w:sz w:val="10"/>
              </w:rPr>
            </w:pPr>
          </w:p>
        </w:tc>
      </w:tr>
      <w:tr>
        <w:trPr>
          <w:trHeight w:val="167" w:hRule="atLeast"/>
        </w:trPr>
        <w:tc>
          <w:tcPr>
            <w:tcW w:w="2966" w:type="dxa"/>
          </w:tcPr>
          <w:p>
            <w:pPr>
              <w:pStyle w:val="TableParagraph"/>
              <w:spacing w:line="140" w:lineRule="exact" w:before="7"/>
              <w:ind w:left="177"/>
              <w:rPr>
                <w:sz w:val="13"/>
              </w:rPr>
            </w:pPr>
            <w:r>
              <w:rPr>
                <w:sz w:val="13"/>
              </w:rPr>
              <w:t>and Apportionments</w:t>
            </w:r>
          </w:p>
        </w:tc>
        <w:tc>
          <w:tcPr>
            <w:tcW w:w="1708" w:type="dxa"/>
          </w:tcPr>
          <w:p>
            <w:pPr>
              <w:pStyle w:val="TableParagraph"/>
              <w:rPr>
                <w:rFonts w:ascii="Times New Roman"/>
                <w:sz w:val="10"/>
              </w:rPr>
            </w:pPr>
          </w:p>
        </w:tc>
        <w:tc>
          <w:tcPr>
            <w:tcW w:w="2012" w:type="dxa"/>
          </w:tcPr>
          <w:p>
            <w:pPr>
              <w:pStyle w:val="TableParagraph"/>
              <w:spacing w:line="140" w:lineRule="exact" w:before="7"/>
              <w:ind w:left="206"/>
              <w:rPr>
                <w:sz w:val="13"/>
              </w:rPr>
            </w:pPr>
            <w:r>
              <w:rPr>
                <w:sz w:val="13"/>
              </w:rPr>
              <w:t>Minimum Contribution</w:t>
            </w:r>
          </w:p>
        </w:tc>
        <w:tc>
          <w:tcPr>
            <w:tcW w:w="2591" w:type="dxa"/>
          </w:tcPr>
          <w:p>
            <w:pPr>
              <w:pStyle w:val="TableParagraph"/>
              <w:spacing w:line="140" w:lineRule="exact" w:before="7"/>
              <w:ind w:left="262"/>
              <w:rPr>
                <w:sz w:val="13"/>
              </w:rPr>
            </w:pPr>
            <w:r>
              <w:rPr>
                <w:sz w:val="13"/>
              </w:rPr>
              <w:t>to the Ongoing and Major</w:t>
            </w:r>
          </w:p>
        </w:tc>
        <w:tc>
          <w:tcPr>
            <w:tcW w:w="830" w:type="dxa"/>
          </w:tcPr>
          <w:p>
            <w:pPr>
              <w:pStyle w:val="TableParagraph"/>
              <w:rPr>
                <w:rFonts w:ascii="Times New Roman"/>
                <w:sz w:val="10"/>
              </w:rPr>
            </w:pPr>
          </w:p>
        </w:tc>
      </w:tr>
      <w:tr>
        <w:trPr>
          <w:trHeight w:val="167" w:hRule="atLeast"/>
        </w:trPr>
        <w:tc>
          <w:tcPr>
            <w:tcW w:w="2966" w:type="dxa"/>
          </w:tcPr>
          <w:p>
            <w:pPr>
              <w:pStyle w:val="TableParagraph"/>
              <w:spacing w:line="140" w:lineRule="exact" w:before="7"/>
              <w:ind w:left="177"/>
              <w:rPr>
                <w:sz w:val="13"/>
              </w:rPr>
            </w:pPr>
            <w:r>
              <w:rPr>
                <w:sz w:val="13"/>
              </w:rPr>
              <w:t>(Line 1b, if line 1a is No)</w:t>
            </w:r>
          </w:p>
        </w:tc>
        <w:tc>
          <w:tcPr>
            <w:tcW w:w="1708" w:type="dxa"/>
          </w:tcPr>
          <w:p>
            <w:pPr>
              <w:pStyle w:val="TableParagraph"/>
              <w:spacing w:line="140" w:lineRule="exact" w:before="7"/>
              <w:ind w:right="203"/>
              <w:jc w:val="right"/>
              <w:rPr>
                <w:sz w:val="13"/>
              </w:rPr>
            </w:pPr>
            <w:r>
              <w:rPr>
                <w:sz w:val="13"/>
              </w:rPr>
              <w:t>0.00</w:t>
            </w:r>
          </w:p>
        </w:tc>
        <w:tc>
          <w:tcPr>
            <w:tcW w:w="2012" w:type="dxa"/>
          </w:tcPr>
          <w:p>
            <w:pPr>
              <w:pStyle w:val="TableParagraph"/>
              <w:spacing w:line="140" w:lineRule="exact" w:before="7"/>
              <w:ind w:left="299"/>
              <w:rPr>
                <w:sz w:val="13"/>
              </w:rPr>
            </w:pPr>
            <w:r>
              <w:rPr>
                <w:sz w:val="13"/>
              </w:rPr>
              <w:t>(Line 2c times 3%)</w:t>
            </w:r>
          </w:p>
        </w:tc>
        <w:tc>
          <w:tcPr>
            <w:tcW w:w="2591" w:type="dxa"/>
          </w:tcPr>
          <w:p>
            <w:pPr>
              <w:pStyle w:val="TableParagraph"/>
              <w:spacing w:line="140" w:lineRule="exact" w:before="7"/>
              <w:ind w:left="390"/>
              <w:rPr>
                <w:sz w:val="13"/>
              </w:rPr>
            </w:pPr>
            <w:r>
              <w:rPr>
                <w:sz w:val="13"/>
              </w:rPr>
              <w:t>Maintenance Account</w:t>
            </w:r>
          </w:p>
        </w:tc>
        <w:tc>
          <w:tcPr>
            <w:tcW w:w="830" w:type="dxa"/>
          </w:tcPr>
          <w:p>
            <w:pPr>
              <w:pStyle w:val="TableParagraph"/>
              <w:spacing w:line="140" w:lineRule="exact" w:before="7"/>
              <w:ind w:right="31"/>
              <w:jc w:val="right"/>
              <w:rPr>
                <w:sz w:val="13"/>
              </w:rPr>
            </w:pPr>
            <w:r>
              <w:rPr>
                <w:sz w:val="13"/>
              </w:rPr>
              <w:t>Status</w:t>
            </w:r>
          </w:p>
        </w:tc>
      </w:tr>
      <w:tr>
        <w:trPr>
          <w:trHeight w:val="167" w:hRule="atLeast"/>
        </w:trPr>
        <w:tc>
          <w:tcPr>
            <w:tcW w:w="2966" w:type="dxa"/>
          </w:tcPr>
          <w:p>
            <w:pPr>
              <w:pStyle w:val="TableParagraph"/>
              <w:spacing w:line="140" w:lineRule="exact" w:before="7"/>
              <w:ind w:left="34"/>
              <w:rPr>
                <w:sz w:val="13"/>
              </w:rPr>
            </w:pPr>
            <w:r>
              <w:rPr>
                <w:sz w:val="13"/>
              </w:rPr>
              <w:t>c. Net Budgeted Expenditures</w:t>
            </w:r>
          </w:p>
        </w:tc>
        <w:tc>
          <w:tcPr>
            <w:tcW w:w="1708" w:type="dxa"/>
          </w:tcPr>
          <w:p>
            <w:pPr>
              <w:pStyle w:val="TableParagraph"/>
              <w:rPr>
                <w:rFonts w:ascii="Times New Roman"/>
                <w:sz w:val="10"/>
              </w:rPr>
            </w:pPr>
          </w:p>
        </w:tc>
        <w:tc>
          <w:tcPr>
            <w:tcW w:w="2012" w:type="dxa"/>
          </w:tcPr>
          <w:p>
            <w:pPr>
              <w:pStyle w:val="TableParagraph"/>
              <w:rPr>
                <w:rFonts w:ascii="Times New Roman"/>
                <w:sz w:val="10"/>
              </w:rPr>
            </w:pPr>
          </w:p>
        </w:tc>
        <w:tc>
          <w:tcPr>
            <w:tcW w:w="2591" w:type="dxa"/>
          </w:tcPr>
          <w:p>
            <w:pPr>
              <w:pStyle w:val="TableParagraph"/>
              <w:rPr>
                <w:rFonts w:ascii="Times New Roman"/>
                <w:sz w:val="10"/>
              </w:rPr>
            </w:pPr>
          </w:p>
        </w:tc>
        <w:tc>
          <w:tcPr>
            <w:tcW w:w="830" w:type="dxa"/>
          </w:tcPr>
          <w:p>
            <w:pPr>
              <w:pStyle w:val="TableParagraph"/>
              <w:rPr>
                <w:rFonts w:ascii="Times New Roman"/>
                <w:sz w:val="10"/>
              </w:rPr>
            </w:pPr>
          </w:p>
        </w:tc>
      </w:tr>
      <w:tr>
        <w:trPr>
          <w:trHeight w:val="157" w:hRule="atLeast"/>
        </w:trPr>
        <w:tc>
          <w:tcPr>
            <w:tcW w:w="2966" w:type="dxa"/>
          </w:tcPr>
          <w:p>
            <w:pPr>
              <w:pStyle w:val="TableParagraph"/>
              <w:spacing w:line="130" w:lineRule="exact" w:before="7"/>
              <w:ind w:left="177"/>
              <w:rPr>
                <w:sz w:val="13"/>
              </w:rPr>
            </w:pPr>
            <w:r>
              <w:rPr>
                <w:sz w:val="13"/>
              </w:rPr>
              <w:t>and Other Financing Uses</w:t>
            </w:r>
          </w:p>
        </w:tc>
        <w:tc>
          <w:tcPr>
            <w:tcW w:w="1708" w:type="dxa"/>
          </w:tcPr>
          <w:p>
            <w:pPr>
              <w:pStyle w:val="TableParagraph"/>
              <w:spacing w:line="130" w:lineRule="exact" w:before="7"/>
              <w:ind w:right="203"/>
              <w:jc w:val="right"/>
              <w:rPr>
                <w:sz w:val="13"/>
              </w:rPr>
            </w:pPr>
            <w:r>
              <w:rPr>
                <w:sz w:val="13"/>
              </w:rPr>
              <w:t>2,051,474.00</w:t>
            </w:r>
          </w:p>
        </w:tc>
        <w:tc>
          <w:tcPr>
            <w:tcW w:w="2012" w:type="dxa"/>
          </w:tcPr>
          <w:p>
            <w:pPr>
              <w:pStyle w:val="TableParagraph"/>
              <w:spacing w:line="130" w:lineRule="exact" w:before="7"/>
              <w:ind w:left="1158"/>
              <w:rPr>
                <w:sz w:val="13"/>
              </w:rPr>
            </w:pPr>
            <w:r>
              <w:rPr>
                <w:sz w:val="13"/>
              </w:rPr>
              <w:t>61,544.22</w:t>
            </w:r>
          </w:p>
        </w:tc>
        <w:tc>
          <w:tcPr>
            <w:tcW w:w="2591" w:type="dxa"/>
          </w:tcPr>
          <w:p>
            <w:pPr>
              <w:pStyle w:val="TableParagraph"/>
              <w:spacing w:line="130" w:lineRule="exact" w:before="7"/>
              <w:ind w:left="1503"/>
              <w:rPr>
                <w:sz w:val="13"/>
              </w:rPr>
            </w:pPr>
            <w:r>
              <w:rPr>
                <w:sz w:val="13"/>
              </w:rPr>
              <w:t>106,802.00</w:t>
            </w:r>
          </w:p>
        </w:tc>
        <w:tc>
          <w:tcPr>
            <w:tcW w:w="830" w:type="dxa"/>
          </w:tcPr>
          <w:p>
            <w:pPr>
              <w:pStyle w:val="TableParagraph"/>
              <w:spacing w:line="130" w:lineRule="exact" w:before="7"/>
              <w:ind w:right="108"/>
              <w:jc w:val="right"/>
              <w:rPr>
                <w:sz w:val="13"/>
              </w:rPr>
            </w:pPr>
            <w:r>
              <w:rPr>
                <w:sz w:val="13"/>
              </w:rPr>
              <w:t>Met</w:t>
            </w:r>
          </w:p>
        </w:tc>
      </w:tr>
    </w:tbl>
    <w:p>
      <w:pPr>
        <w:pStyle w:val="BodyText"/>
        <w:spacing w:before="11"/>
        <w:rPr>
          <w:sz w:val="15"/>
        </w:rPr>
      </w:pPr>
    </w:p>
    <w:p>
      <w:pPr>
        <w:pStyle w:val="BodyText"/>
        <w:ind w:left="7315"/>
      </w:pPr>
      <w:r>
        <w:rPr/>
        <w:t>¹ Fund 01, Resource 8150, Objects 8900-8999</w:t>
      </w:r>
    </w:p>
    <w:p>
      <w:pPr>
        <w:pStyle w:val="BodyText"/>
        <w:spacing w:before="8"/>
        <w:rPr>
          <w:sz w:val="17"/>
        </w:rPr>
      </w:pPr>
    </w:p>
    <w:p>
      <w:pPr>
        <w:pStyle w:val="BodyText"/>
        <w:ind w:left="322"/>
      </w:pPr>
      <w:r>
        <w:rPr/>
        <w:t>If standard is not met, enter an X in the box that best describes why the minimum required contribution was not made:</w:t>
      </w:r>
    </w:p>
    <w:p>
      <w:pPr>
        <w:pStyle w:val="BodyText"/>
        <w:spacing w:before="7"/>
        <w:rPr>
          <w:sz w:val="10"/>
        </w:rPr>
      </w:pPr>
    </w:p>
    <w:p>
      <w:pPr>
        <w:spacing w:after="0"/>
        <w:rPr>
          <w:sz w:val="10"/>
        </w:rPr>
        <w:sectPr>
          <w:pgSz w:w="12240" w:h="15840"/>
          <w:pgMar w:header="402" w:footer="584" w:top="840" w:bottom="780" w:left="40" w:right="40"/>
        </w:sect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7"/>
        </w:rPr>
      </w:pPr>
    </w:p>
    <w:p>
      <w:pPr>
        <w:spacing w:line="307" w:lineRule="auto" w:before="0"/>
        <w:ind w:left="1052" w:right="0" w:hanging="2"/>
        <w:jc w:val="center"/>
        <w:rPr>
          <w:sz w:val="13"/>
        </w:rPr>
      </w:pPr>
      <w:r>
        <w:rPr>
          <w:b/>
          <w:sz w:val="13"/>
        </w:rPr>
        <w:t>Explanation: </w:t>
      </w:r>
      <w:r>
        <w:rPr>
          <w:sz w:val="13"/>
        </w:rPr>
        <w:t>(required if NOT met and Other is marked)</w:t>
      </w:r>
    </w:p>
    <w:p>
      <w:pPr>
        <w:pStyle w:val="BodyText"/>
        <w:spacing w:line="297" w:lineRule="auto" w:before="98"/>
        <w:ind w:left="1052" w:right="2851"/>
      </w:pPr>
      <w:r>
        <w:rPr/>
        <w:br w:type="column"/>
      </w:r>
      <w:r>
        <w:rPr/>
        <w:t>Not applicable (district does not participate in the Leroy F. Greene School Facilities Act of 1998) Exempt (due to district's small size [EC Section 17070.75 (b)(2)(E)])</w:t>
      </w:r>
    </w:p>
    <w:p>
      <w:pPr>
        <w:pStyle w:val="BodyText"/>
        <w:spacing w:line="148" w:lineRule="exact"/>
        <w:ind w:left="1052"/>
      </w:pPr>
      <w:r>
        <w:rPr/>
        <w:pict>
          <v:group style="position:absolute;margin-left:129.479996pt;margin-top:-20.359501pt;width:37.1pt;height:28.1pt;mso-position-horizontal-relative:page;mso-position-vertical-relative:paragraph;z-index:252430336" coordorigin="2590,-407" coordsize="742,562">
            <v:shape style="position:absolute;left:2589;top:-408;width:742;height:562" type="#_x0000_t75" stroked="false">
              <v:imagedata r:id="rId1677" o:title=""/>
            </v:shape>
            <v:shape style="position:absolute;left:2930;top:-184;width:86;height:148" type="#_x0000_t202" filled="false" stroked="false">
              <v:textbox inset="0,0,0,0">
                <w:txbxContent>
                  <w:p>
                    <w:pPr>
                      <w:spacing w:line="147" w:lineRule="exact" w:before="0"/>
                      <w:ind w:left="0" w:right="0" w:firstLine="0"/>
                      <w:jc w:val="left"/>
                      <w:rPr>
                        <w:sz w:val="13"/>
                      </w:rPr>
                    </w:pPr>
                    <w:r>
                      <w:rPr>
                        <w:w w:val="101"/>
                        <w:sz w:val="13"/>
                      </w:rPr>
                      <w:t>x</w:t>
                    </w:r>
                  </w:p>
                </w:txbxContent>
              </v:textbox>
              <w10:wrap type="none"/>
            </v:shape>
            <w10:wrap type="none"/>
          </v:group>
        </w:pict>
      </w:r>
      <w:r>
        <w:rPr/>
        <w:drawing>
          <wp:anchor distT="0" distB="0" distL="0" distR="0" allowOverlap="1" layoutInCell="1" locked="0" behindDoc="0" simplePos="0" relativeHeight="252431360">
            <wp:simplePos x="0" y="0"/>
            <wp:positionH relativeFrom="page">
              <wp:posOffset>1644395</wp:posOffset>
            </wp:positionH>
            <wp:positionV relativeFrom="paragraph">
              <wp:posOffset>210826</wp:posOffset>
            </wp:positionV>
            <wp:extent cx="5768339" cy="486155"/>
            <wp:effectExtent l="0" t="0" r="0" b="0"/>
            <wp:wrapNone/>
            <wp:docPr id="101" name="image1420.png"/>
            <wp:cNvGraphicFramePr>
              <a:graphicFrameLocks noChangeAspect="1"/>
            </wp:cNvGraphicFramePr>
            <a:graphic>
              <a:graphicData uri="http://schemas.openxmlformats.org/drawingml/2006/picture">
                <pic:pic>
                  <pic:nvPicPr>
                    <pic:cNvPr id="102" name="image1420.png"/>
                    <pic:cNvPicPr/>
                  </pic:nvPicPr>
                  <pic:blipFill>
                    <a:blip r:embed="rId1522" cstate="print"/>
                    <a:stretch>
                      <a:fillRect/>
                    </a:stretch>
                  </pic:blipFill>
                  <pic:spPr>
                    <a:xfrm>
                      <a:off x="0" y="0"/>
                      <a:ext cx="5768339" cy="486155"/>
                    </a:xfrm>
                    <a:prstGeom prst="rect">
                      <a:avLst/>
                    </a:prstGeom>
                  </pic:spPr>
                </pic:pic>
              </a:graphicData>
            </a:graphic>
          </wp:anchor>
        </w:drawing>
      </w:r>
      <w:r>
        <w:rPr/>
        <w:t>Other (explanation must be provided)</w:t>
      </w:r>
    </w:p>
    <w:p>
      <w:pPr>
        <w:spacing w:after="0" w:line="148" w:lineRule="exact"/>
        <w:sectPr>
          <w:type w:val="continuous"/>
          <w:pgSz w:w="12240" w:h="15840"/>
          <w:pgMar w:top="1500" w:bottom="840" w:left="40" w:right="40"/>
          <w:cols w:num="2" w:equalWidth="0">
            <w:col w:w="2297" w:space="40"/>
            <w:col w:w="9823"/>
          </w:cols>
        </w:sectPr>
      </w:pPr>
    </w:p>
    <w:p>
      <w:pPr>
        <w:pStyle w:val="BodyText"/>
        <w:rPr>
          <w:sz w:val="20"/>
        </w:rPr>
      </w:pPr>
    </w:p>
    <w:p>
      <w:pPr>
        <w:pStyle w:val="BodyText"/>
        <w:spacing w:before="1"/>
        <w:rPr>
          <w:sz w:val="23"/>
        </w:rPr>
      </w:pPr>
    </w:p>
    <w:p>
      <w:pPr>
        <w:pStyle w:val="Heading4"/>
        <w:numPr>
          <w:ilvl w:val="0"/>
          <w:numId w:val="71"/>
        </w:numPr>
        <w:tabs>
          <w:tab w:pos="821" w:val="left" w:leader="none"/>
          <w:tab w:pos="822" w:val="left" w:leader="none"/>
        </w:tabs>
        <w:spacing w:line="240" w:lineRule="auto" w:before="1" w:after="0"/>
        <w:ind w:left="821" w:right="0" w:hanging="344"/>
        <w:jc w:val="left"/>
      </w:pPr>
      <w:r>
        <w:rPr/>
        <w:t>CRITERION: Deficit</w:t>
      </w:r>
      <w:r>
        <w:rPr>
          <w:spacing w:val="-6"/>
        </w:rPr>
        <w:t> </w:t>
      </w:r>
      <w:r>
        <w:rPr/>
        <w:t>Spending</w:t>
      </w:r>
    </w:p>
    <w:p>
      <w:pPr>
        <w:pStyle w:val="BodyText"/>
        <w:spacing w:before="6"/>
        <w:rPr>
          <w:b/>
          <w:sz w:val="22"/>
        </w:rPr>
      </w:pPr>
    </w:p>
    <w:p>
      <w:pPr>
        <w:pStyle w:val="Heading5"/>
        <w:spacing w:line="232" w:lineRule="auto"/>
        <w:ind w:right="622"/>
      </w:pPr>
      <w:r>
        <w:rPr/>
        <w:pict>
          <v:group style="position:absolute;margin-left:16.440001pt;margin-top:34.638828pt;width:567.25pt;height:1.1pt;mso-position-horizontal-relative:page;mso-position-vertical-relative:paragraph;z-index:252436480" coordorigin="329,693" coordsize="11345,22">
            <v:shape style="position:absolute;left:328;top:692;width:6012;height:22" type="#_x0000_t75" stroked="false">
              <v:imagedata r:id="rId1680" o:title=""/>
            </v:shape>
            <v:shape style="position:absolute;left:6333;top:692;width:5340;height:22" type="#_x0000_t75" stroked="false">
              <v:imagedata r:id="rId1574" o:title=""/>
            </v:shape>
            <w10:wrap type="none"/>
          </v:group>
        </w:pict>
      </w:r>
      <w:r>
        <w:rPr/>
        <w:pict>
          <v:group style="position:absolute;margin-left:16.440001pt;margin-top:43.038826pt;width:567.25pt;height:1.1pt;mso-position-horizontal-relative:page;mso-position-vertical-relative:paragraph;z-index:-313929728" coordorigin="329,861" coordsize="11345,22">
            <v:shape style="position:absolute;left:328;top:860;width:6012;height:22" type="#_x0000_t75" stroked="false">
              <v:imagedata r:id="rId1680" o:title=""/>
            </v:shape>
            <v:shape style="position:absolute;left:6333;top:860;width:5340;height:22" type="#_x0000_t75" stroked="false">
              <v:imagedata r:id="rId1574" o:title=""/>
            </v:shape>
            <w10:wrap type="none"/>
          </v:group>
        </w:pict>
      </w:r>
      <w:r>
        <w:rPr/>
        <w:pict>
          <v:group style="position:absolute;margin-left:268.320007pt;margin-top:76.998825pt;width:315.4pt;height:168.4pt;mso-position-horizontal-relative:page;mso-position-vertical-relative:paragraph;z-index:-313928704" coordorigin="5366,1540" coordsize="6308,3368">
            <v:shape style="position:absolute;left:5366;top:1539;width:6308;height:512" type="#_x0000_t75" stroked="false">
              <v:imagedata r:id="rId1681" o:title=""/>
            </v:shape>
            <v:shape style="position:absolute;left:7322;top:1875;width:4352;height:512" type="#_x0000_t75" stroked="false">
              <v:imagedata r:id="rId1682" o:title=""/>
            </v:shape>
            <v:shape style="position:absolute;left:5366;top:2043;width:6308;height:680" type="#_x0000_t75" stroked="false">
              <v:imagedata r:id="rId1683" o:title=""/>
            </v:shape>
            <v:shape style="position:absolute;left:5366;top:2547;width:6308;height:680" type="#_x0000_t75" stroked="false">
              <v:imagedata r:id="rId1684" o:title=""/>
            </v:shape>
            <v:shape style="position:absolute;left:5366;top:3051;width:6308;height:344" type="#_x0000_t75" stroked="false">
              <v:imagedata r:id="rId1685" o:title=""/>
            </v:shape>
            <v:shape style="position:absolute;left:9753;top:3219;width:1920;height:675" type="#_x0000_t75" stroked="false">
              <v:imagedata r:id="rId1686" o:title=""/>
            </v:shape>
            <v:shape style="position:absolute;left:5366;top:3387;width:6308;height:848" type="#_x0000_t75" stroked="false">
              <v:imagedata r:id="rId1687" o:title=""/>
            </v:shape>
            <v:shape style="position:absolute;left:5366;top:4059;width:6308;height:512" type="#_x0000_t75" stroked="false">
              <v:imagedata r:id="rId1632" o:title=""/>
            </v:shape>
            <v:shape style="position:absolute;left:5366;top:4395;width:6308;height:512" type="#_x0000_t75" stroked="false">
              <v:imagedata r:id="rId1632" o:title=""/>
            </v:shape>
            <v:shape style="position:absolute;left:9753;top:4731;width:1920;height:176" type="#_x0000_t75" stroked="false">
              <v:imagedata r:id="rId1594" o:title=""/>
            </v:shape>
            <w10:wrap type="none"/>
          </v:group>
        </w:pict>
      </w:r>
      <w:r>
        <w:rPr/>
        <w:t>STANDARD:</w:t>
      </w:r>
      <w:r>
        <w:rPr>
          <w:spacing w:val="-8"/>
        </w:rPr>
        <w:t> </w:t>
      </w:r>
      <w:r>
        <w:rPr/>
        <w:t>Unrestricted</w:t>
      </w:r>
      <w:r>
        <w:rPr>
          <w:spacing w:val="-6"/>
        </w:rPr>
        <w:t> </w:t>
      </w:r>
      <w:r>
        <w:rPr/>
        <w:t>deficit</w:t>
      </w:r>
      <w:r>
        <w:rPr>
          <w:spacing w:val="-7"/>
        </w:rPr>
        <w:t> </w:t>
      </w:r>
      <w:r>
        <w:rPr/>
        <w:t>spending</w:t>
      </w:r>
      <w:r>
        <w:rPr>
          <w:spacing w:val="-5"/>
        </w:rPr>
        <w:t> </w:t>
      </w:r>
      <w:r>
        <w:rPr/>
        <w:t>(total</w:t>
      </w:r>
      <w:r>
        <w:rPr>
          <w:spacing w:val="-6"/>
        </w:rPr>
        <w:t> </w:t>
      </w:r>
      <w:r>
        <w:rPr/>
        <w:t>unrestricted</w:t>
      </w:r>
      <w:r>
        <w:rPr>
          <w:spacing w:val="-5"/>
        </w:rPr>
        <w:t> </w:t>
      </w:r>
      <w:r>
        <w:rPr/>
        <w:t>expenditures</w:t>
      </w:r>
      <w:r>
        <w:rPr>
          <w:spacing w:val="-7"/>
        </w:rPr>
        <w:t> </w:t>
      </w:r>
      <w:r>
        <w:rPr/>
        <w:t>and</w:t>
      </w:r>
      <w:r>
        <w:rPr>
          <w:spacing w:val="-7"/>
        </w:rPr>
        <w:t> </w:t>
      </w:r>
      <w:r>
        <w:rPr/>
        <w:t>other</w:t>
      </w:r>
      <w:r>
        <w:rPr>
          <w:spacing w:val="-6"/>
        </w:rPr>
        <w:t> </w:t>
      </w:r>
      <w:r>
        <w:rPr/>
        <w:t>financing</w:t>
      </w:r>
      <w:r>
        <w:rPr>
          <w:spacing w:val="-5"/>
        </w:rPr>
        <w:t> </w:t>
      </w:r>
      <w:r>
        <w:rPr/>
        <w:t>uses</w:t>
      </w:r>
      <w:r>
        <w:rPr>
          <w:spacing w:val="-6"/>
        </w:rPr>
        <w:t> </w:t>
      </w:r>
      <w:r>
        <w:rPr/>
        <w:t>is</w:t>
      </w:r>
      <w:r>
        <w:rPr>
          <w:spacing w:val="-7"/>
        </w:rPr>
        <w:t> </w:t>
      </w:r>
      <w:r>
        <w:rPr/>
        <w:t>greater</w:t>
      </w:r>
      <w:r>
        <w:rPr>
          <w:spacing w:val="-6"/>
        </w:rPr>
        <w:t> </w:t>
      </w:r>
      <w:r>
        <w:rPr/>
        <w:t>than</w:t>
      </w:r>
      <w:r>
        <w:rPr>
          <w:spacing w:val="-5"/>
        </w:rPr>
        <w:t> </w:t>
      </w:r>
      <w:r>
        <w:rPr/>
        <w:t>total</w:t>
      </w:r>
      <w:r>
        <w:rPr>
          <w:spacing w:val="-7"/>
        </w:rPr>
        <w:t> </w:t>
      </w:r>
      <w:r>
        <w:rPr/>
        <w:t>unrestricted</w:t>
      </w:r>
      <w:r>
        <w:rPr>
          <w:spacing w:val="-5"/>
        </w:rPr>
        <w:t> </w:t>
      </w:r>
      <w:r>
        <w:rPr/>
        <w:t>revenues</w:t>
      </w:r>
      <w:r>
        <w:rPr>
          <w:spacing w:val="-7"/>
        </w:rPr>
        <w:t> </w:t>
      </w:r>
      <w:r>
        <w:rPr/>
        <w:t>and</w:t>
      </w:r>
      <w:r>
        <w:rPr>
          <w:spacing w:val="-6"/>
        </w:rPr>
        <w:t> </w:t>
      </w:r>
      <w:r>
        <w:rPr/>
        <w:t>other financing sources) as a percentage of total unrestricted expenditures and other financing uses, has not exceeded one-third of the district's available reserves¹</w:t>
      </w:r>
      <w:r>
        <w:rPr>
          <w:spacing w:val="-3"/>
        </w:rPr>
        <w:t> </w:t>
      </w:r>
      <w:r>
        <w:rPr/>
        <w:t>as</w:t>
      </w:r>
      <w:r>
        <w:rPr>
          <w:spacing w:val="-2"/>
        </w:rPr>
        <w:t> </w:t>
      </w:r>
      <w:r>
        <w:rPr/>
        <w:t>a</w:t>
      </w:r>
      <w:r>
        <w:rPr>
          <w:spacing w:val="-2"/>
        </w:rPr>
        <w:t> </w:t>
      </w:r>
      <w:r>
        <w:rPr/>
        <w:t>percentage</w:t>
      </w:r>
      <w:r>
        <w:rPr>
          <w:spacing w:val="-2"/>
        </w:rPr>
        <w:t> </w:t>
      </w:r>
      <w:r>
        <w:rPr/>
        <w:t>of</w:t>
      </w:r>
      <w:r>
        <w:rPr>
          <w:spacing w:val="-2"/>
        </w:rPr>
        <w:t> </w:t>
      </w:r>
      <w:r>
        <w:rPr/>
        <w:t>total</w:t>
      </w:r>
      <w:r>
        <w:rPr>
          <w:spacing w:val="-2"/>
        </w:rPr>
        <w:t> </w:t>
      </w:r>
      <w:r>
        <w:rPr/>
        <w:t>expenditures</w:t>
      </w:r>
      <w:r>
        <w:rPr>
          <w:spacing w:val="-2"/>
        </w:rPr>
        <w:t> </w:t>
      </w:r>
      <w:r>
        <w:rPr/>
        <w:t>and</w:t>
      </w:r>
      <w:r>
        <w:rPr>
          <w:spacing w:val="-1"/>
        </w:rPr>
        <w:t> </w:t>
      </w:r>
      <w:r>
        <w:rPr/>
        <w:t>other</w:t>
      </w:r>
      <w:r>
        <w:rPr>
          <w:spacing w:val="-2"/>
        </w:rPr>
        <w:t> </w:t>
      </w:r>
      <w:r>
        <w:rPr/>
        <w:t>financing</w:t>
      </w:r>
      <w:r>
        <w:rPr>
          <w:spacing w:val="-1"/>
        </w:rPr>
        <w:t> </w:t>
      </w:r>
      <w:r>
        <w:rPr/>
        <w:t>uses²</w:t>
      </w:r>
      <w:r>
        <w:rPr>
          <w:spacing w:val="-2"/>
        </w:rPr>
        <w:t> </w:t>
      </w:r>
      <w:r>
        <w:rPr/>
        <w:t>in</w:t>
      </w:r>
      <w:r>
        <w:rPr>
          <w:spacing w:val="-3"/>
        </w:rPr>
        <w:t> </w:t>
      </w:r>
      <w:r>
        <w:rPr/>
        <w:t>two</w:t>
      </w:r>
      <w:r>
        <w:rPr>
          <w:spacing w:val="-1"/>
        </w:rPr>
        <w:t> </w:t>
      </w:r>
      <w:r>
        <w:rPr/>
        <w:t>out</w:t>
      </w:r>
      <w:r>
        <w:rPr>
          <w:spacing w:val="-4"/>
        </w:rPr>
        <w:t> </w:t>
      </w:r>
      <w:r>
        <w:rPr/>
        <w:t>of</w:t>
      </w:r>
      <w:r>
        <w:rPr>
          <w:spacing w:val="-2"/>
        </w:rPr>
        <w:t> </w:t>
      </w:r>
      <w:r>
        <w:rPr/>
        <w:t>three</w:t>
      </w:r>
      <w:r>
        <w:rPr>
          <w:spacing w:val="-2"/>
        </w:rPr>
        <w:t> </w:t>
      </w:r>
      <w:r>
        <w:rPr/>
        <w:t>prior</w:t>
      </w:r>
      <w:r>
        <w:rPr>
          <w:spacing w:val="-2"/>
        </w:rPr>
        <w:t> </w:t>
      </w:r>
      <w:r>
        <w:rPr/>
        <w:t>fiscal</w:t>
      </w:r>
      <w:r>
        <w:rPr>
          <w:spacing w:val="-1"/>
        </w:rPr>
        <w:t> </w:t>
      </w:r>
      <w:r>
        <w:rPr/>
        <w:t>years.</w:t>
      </w:r>
    </w:p>
    <w:p>
      <w:pPr>
        <w:pStyle w:val="BodyText"/>
        <w:spacing w:before="8"/>
        <w:rPr>
          <w:sz w:val="14"/>
        </w:rPr>
      </w:pPr>
    </w:p>
    <w:tbl>
      <w:tblPr>
        <w:tblW w:w="0" w:type="auto"/>
        <w:jc w:val="left"/>
        <w:tblInd w:w="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1"/>
        <w:gridCol w:w="4952"/>
        <w:gridCol w:w="1926"/>
        <w:gridCol w:w="1190"/>
        <w:gridCol w:w="1161"/>
        <w:gridCol w:w="1695"/>
      </w:tblGrid>
      <w:tr>
        <w:trPr>
          <w:trHeight w:val="679" w:hRule="atLeast"/>
        </w:trPr>
        <w:tc>
          <w:tcPr>
            <w:tcW w:w="5373" w:type="dxa"/>
            <w:gridSpan w:val="2"/>
          </w:tcPr>
          <w:p>
            <w:pPr>
              <w:pStyle w:val="TableParagraph"/>
              <w:spacing w:before="1"/>
              <w:ind w:left="33"/>
              <w:rPr>
                <w:b/>
                <w:sz w:val="14"/>
              </w:rPr>
            </w:pPr>
            <w:r>
              <w:rPr>
                <w:b/>
                <w:w w:val="105"/>
                <w:sz w:val="14"/>
              </w:rPr>
              <w:t>8A. Calculating the District's Deficit Spending Standard Percentage Levels</w:t>
            </w:r>
          </w:p>
          <w:p>
            <w:pPr>
              <w:pStyle w:val="TableParagraph"/>
              <w:spacing w:before="5"/>
              <w:rPr>
                <w:sz w:val="16"/>
              </w:rPr>
            </w:pPr>
          </w:p>
          <w:p>
            <w:pPr>
              <w:pStyle w:val="TableParagraph"/>
              <w:ind w:left="33"/>
              <w:rPr>
                <w:sz w:val="13"/>
              </w:rPr>
            </w:pPr>
            <w:r>
              <w:rPr>
                <w:sz w:val="13"/>
              </w:rPr>
              <w:t>DATA ENTRY: All data are extracted or calculated.</w:t>
            </w:r>
          </w:p>
        </w:tc>
        <w:tc>
          <w:tcPr>
            <w:tcW w:w="1926" w:type="dxa"/>
          </w:tcPr>
          <w:p>
            <w:pPr>
              <w:pStyle w:val="TableParagraph"/>
              <w:rPr>
                <w:sz w:val="14"/>
              </w:rPr>
            </w:pPr>
          </w:p>
          <w:p>
            <w:pPr>
              <w:pStyle w:val="TableParagraph"/>
              <w:rPr>
                <w:sz w:val="14"/>
              </w:rPr>
            </w:pPr>
          </w:p>
          <w:p>
            <w:pPr>
              <w:pStyle w:val="TableParagraph"/>
              <w:spacing w:before="1"/>
              <w:rPr>
                <w:sz w:val="17"/>
              </w:rPr>
            </w:pPr>
          </w:p>
          <w:p>
            <w:pPr>
              <w:pStyle w:val="TableParagraph"/>
              <w:spacing w:line="140" w:lineRule="exact"/>
              <w:ind w:left="185"/>
              <w:rPr>
                <w:sz w:val="13"/>
              </w:rPr>
            </w:pPr>
            <w:r>
              <w:rPr>
                <w:sz w:val="13"/>
              </w:rPr>
              <w:t>Third Prior Year</w:t>
            </w:r>
          </w:p>
        </w:tc>
        <w:tc>
          <w:tcPr>
            <w:tcW w:w="2351" w:type="dxa"/>
            <w:gridSpan w:val="2"/>
          </w:tcPr>
          <w:p>
            <w:pPr>
              <w:pStyle w:val="TableParagraph"/>
              <w:rPr>
                <w:sz w:val="14"/>
              </w:rPr>
            </w:pPr>
          </w:p>
          <w:p>
            <w:pPr>
              <w:pStyle w:val="TableParagraph"/>
              <w:rPr>
                <w:sz w:val="14"/>
              </w:rPr>
            </w:pPr>
          </w:p>
          <w:p>
            <w:pPr>
              <w:pStyle w:val="TableParagraph"/>
              <w:spacing w:before="1"/>
              <w:rPr>
                <w:sz w:val="17"/>
              </w:rPr>
            </w:pPr>
          </w:p>
          <w:p>
            <w:pPr>
              <w:pStyle w:val="TableParagraph"/>
              <w:spacing w:line="140" w:lineRule="exact"/>
              <w:ind w:left="376"/>
              <w:rPr>
                <w:sz w:val="13"/>
              </w:rPr>
            </w:pPr>
            <w:r>
              <w:rPr>
                <w:sz w:val="13"/>
              </w:rPr>
              <w:t>Second Prior Year</w:t>
            </w:r>
          </w:p>
        </w:tc>
        <w:tc>
          <w:tcPr>
            <w:tcW w:w="1695" w:type="dxa"/>
          </w:tcPr>
          <w:p>
            <w:pPr>
              <w:pStyle w:val="TableParagraph"/>
              <w:rPr>
                <w:sz w:val="14"/>
              </w:rPr>
            </w:pPr>
          </w:p>
          <w:p>
            <w:pPr>
              <w:pStyle w:val="TableParagraph"/>
              <w:rPr>
                <w:sz w:val="14"/>
              </w:rPr>
            </w:pPr>
          </w:p>
          <w:p>
            <w:pPr>
              <w:pStyle w:val="TableParagraph"/>
              <w:spacing w:before="1"/>
              <w:rPr>
                <w:sz w:val="17"/>
              </w:rPr>
            </w:pPr>
          </w:p>
          <w:p>
            <w:pPr>
              <w:pStyle w:val="TableParagraph"/>
              <w:spacing w:line="140" w:lineRule="exact"/>
              <w:ind w:left="295"/>
              <w:rPr>
                <w:sz w:val="13"/>
              </w:rPr>
            </w:pPr>
            <w:r>
              <w:rPr>
                <w:sz w:val="13"/>
              </w:rPr>
              <w:t>First Prior Year</w:t>
            </w:r>
          </w:p>
        </w:tc>
      </w:tr>
      <w:tr>
        <w:trPr>
          <w:trHeight w:val="336" w:hRule="atLeast"/>
        </w:trPr>
        <w:tc>
          <w:tcPr>
            <w:tcW w:w="5373" w:type="dxa"/>
            <w:gridSpan w:val="2"/>
          </w:tcPr>
          <w:p>
            <w:pPr>
              <w:pStyle w:val="TableParagraph"/>
              <w:spacing w:before="3"/>
              <w:rPr>
                <w:sz w:val="15"/>
              </w:rPr>
            </w:pPr>
          </w:p>
          <w:p>
            <w:pPr>
              <w:pStyle w:val="TableParagraph"/>
              <w:tabs>
                <w:tab w:pos="533" w:val="left" w:leader="none"/>
              </w:tabs>
              <w:spacing w:line="140" w:lineRule="exact"/>
              <w:ind w:left="199"/>
              <w:rPr>
                <w:sz w:val="13"/>
              </w:rPr>
            </w:pPr>
            <w:r>
              <w:rPr>
                <w:sz w:val="13"/>
              </w:rPr>
              <w:t>1.</w:t>
              <w:tab/>
              <w:t>District's Available Reserve Amounts (resources</w:t>
            </w:r>
            <w:r>
              <w:rPr>
                <w:spacing w:val="7"/>
                <w:sz w:val="13"/>
              </w:rPr>
              <w:t> </w:t>
            </w:r>
            <w:r>
              <w:rPr>
                <w:sz w:val="13"/>
              </w:rPr>
              <w:t>0000-1999)</w:t>
            </w:r>
          </w:p>
        </w:tc>
        <w:tc>
          <w:tcPr>
            <w:tcW w:w="1926" w:type="dxa"/>
          </w:tcPr>
          <w:p>
            <w:pPr>
              <w:pStyle w:val="TableParagraph"/>
              <w:spacing w:before="7"/>
              <w:ind w:left="358"/>
              <w:rPr>
                <w:sz w:val="13"/>
              </w:rPr>
            </w:pPr>
            <w:r>
              <w:rPr>
                <w:sz w:val="13"/>
              </w:rPr>
              <w:t>(2018-19)</w:t>
            </w:r>
          </w:p>
        </w:tc>
        <w:tc>
          <w:tcPr>
            <w:tcW w:w="2351" w:type="dxa"/>
            <w:gridSpan w:val="2"/>
          </w:tcPr>
          <w:p>
            <w:pPr>
              <w:pStyle w:val="TableParagraph"/>
              <w:spacing w:before="7"/>
              <w:ind w:left="626"/>
              <w:rPr>
                <w:sz w:val="13"/>
              </w:rPr>
            </w:pPr>
            <w:r>
              <w:rPr>
                <w:sz w:val="13"/>
              </w:rPr>
              <w:t>(2019-20)</w:t>
            </w:r>
          </w:p>
        </w:tc>
        <w:tc>
          <w:tcPr>
            <w:tcW w:w="1695" w:type="dxa"/>
          </w:tcPr>
          <w:p>
            <w:pPr>
              <w:pStyle w:val="TableParagraph"/>
              <w:spacing w:before="7"/>
              <w:ind w:left="447"/>
              <w:rPr>
                <w:sz w:val="13"/>
              </w:rPr>
            </w:pPr>
            <w:r>
              <w:rPr>
                <w:sz w:val="13"/>
              </w:rPr>
              <w:t>(2020-21)</w:t>
            </w:r>
          </w:p>
        </w:tc>
      </w:tr>
      <w:tr>
        <w:trPr>
          <w:trHeight w:val="335" w:hRule="atLeast"/>
        </w:trPr>
        <w:tc>
          <w:tcPr>
            <w:tcW w:w="5373" w:type="dxa"/>
            <w:gridSpan w:val="2"/>
          </w:tcPr>
          <w:p>
            <w:pPr>
              <w:pStyle w:val="TableParagraph"/>
              <w:spacing w:before="7"/>
              <w:ind w:left="533"/>
              <w:rPr>
                <w:sz w:val="13"/>
              </w:rPr>
            </w:pPr>
            <w:r>
              <w:rPr>
                <w:sz w:val="13"/>
              </w:rPr>
              <w:t>a. Stabilization Arrangements</w:t>
            </w:r>
          </w:p>
          <w:p>
            <w:pPr>
              <w:pStyle w:val="TableParagraph"/>
              <w:spacing w:line="140" w:lineRule="exact" w:before="19"/>
              <w:ind w:left="676"/>
              <w:rPr>
                <w:sz w:val="13"/>
              </w:rPr>
            </w:pPr>
            <w:r>
              <w:rPr>
                <w:sz w:val="13"/>
              </w:rPr>
              <w:t>(Funds 01 and 17, Object 9750)</w:t>
            </w:r>
          </w:p>
        </w:tc>
        <w:tc>
          <w:tcPr>
            <w:tcW w:w="1926" w:type="dxa"/>
          </w:tcPr>
          <w:p>
            <w:pPr>
              <w:pStyle w:val="TableParagraph"/>
              <w:spacing w:before="3"/>
              <w:rPr>
                <w:sz w:val="15"/>
              </w:rPr>
            </w:pPr>
          </w:p>
          <w:p>
            <w:pPr>
              <w:pStyle w:val="TableParagraph"/>
              <w:spacing w:line="140" w:lineRule="exact"/>
              <w:ind w:right="373"/>
              <w:jc w:val="right"/>
              <w:rPr>
                <w:sz w:val="13"/>
              </w:rPr>
            </w:pPr>
            <w:r>
              <w:rPr>
                <w:sz w:val="13"/>
              </w:rPr>
              <w:t>0.00</w:t>
            </w:r>
          </w:p>
        </w:tc>
        <w:tc>
          <w:tcPr>
            <w:tcW w:w="2351" w:type="dxa"/>
            <w:gridSpan w:val="2"/>
          </w:tcPr>
          <w:p>
            <w:pPr>
              <w:pStyle w:val="TableParagraph"/>
              <w:spacing w:before="3"/>
              <w:rPr>
                <w:sz w:val="15"/>
              </w:rPr>
            </w:pPr>
          </w:p>
          <w:p>
            <w:pPr>
              <w:pStyle w:val="TableParagraph"/>
              <w:spacing w:line="140" w:lineRule="exact"/>
              <w:ind w:right="293"/>
              <w:jc w:val="right"/>
              <w:rPr>
                <w:sz w:val="13"/>
              </w:rPr>
            </w:pPr>
            <w:r>
              <w:rPr>
                <w:sz w:val="13"/>
              </w:rPr>
              <w:t>0.00</w:t>
            </w:r>
          </w:p>
        </w:tc>
        <w:tc>
          <w:tcPr>
            <w:tcW w:w="1695" w:type="dxa"/>
          </w:tcPr>
          <w:p>
            <w:pPr>
              <w:pStyle w:val="TableParagraph"/>
              <w:spacing w:before="3"/>
              <w:rPr>
                <w:sz w:val="15"/>
              </w:rPr>
            </w:pPr>
          </w:p>
          <w:p>
            <w:pPr>
              <w:pStyle w:val="TableParagraph"/>
              <w:spacing w:line="140" w:lineRule="exact"/>
              <w:ind w:right="75"/>
              <w:jc w:val="right"/>
              <w:rPr>
                <w:sz w:val="13"/>
              </w:rPr>
            </w:pPr>
            <w:r>
              <w:rPr>
                <w:sz w:val="13"/>
              </w:rPr>
              <w:t>0.00</w:t>
            </w:r>
          </w:p>
        </w:tc>
      </w:tr>
      <w:tr>
        <w:trPr>
          <w:trHeight w:val="325" w:hRule="atLeast"/>
        </w:trPr>
        <w:tc>
          <w:tcPr>
            <w:tcW w:w="5373" w:type="dxa"/>
            <w:gridSpan w:val="2"/>
          </w:tcPr>
          <w:p>
            <w:pPr>
              <w:pStyle w:val="TableParagraph"/>
              <w:spacing w:before="7"/>
              <w:ind w:left="533"/>
              <w:rPr>
                <w:sz w:val="13"/>
              </w:rPr>
            </w:pPr>
            <w:r>
              <w:rPr>
                <w:sz w:val="13"/>
              </w:rPr>
              <w:t>b. Reserve for Economic Uncertainties</w:t>
            </w:r>
          </w:p>
          <w:p>
            <w:pPr>
              <w:pStyle w:val="TableParagraph"/>
              <w:spacing w:line="130" w:lineRule="exact" w:before="19"/>
              <w:ind w:left="676"/>
              <w:rPr>
                <w:sz w:val="13"/>
              </w:rPr>
            </w:pPr>
            <w:r>
              <w:rPr>
                <w:sz w:val="13"/>
              </w:rPr>
              <w:t>(Funds 01 and 17, Object 9789)</w:t>
            </w:r>
          </w:p>
        </w:tc>
        <w:tc>
          <w:tcPr>
            <w:tcW w:w="1926" w:type="dxa"/>
          </w:tcPr>
          <w:p>
            <w:pPr>
              <w:pStyle w:val="TableParagraph"/>
              <w:spacing w:before="3"/>
              <w:rPr>
                <w:sz w:val="15"/>
              </w:rPr>
            </w:pPr>
          </w:p>
          <w:p>
            <w:pPr>
              <w:pStyle w:val="TableParagraph"/>
              <w:spacing w:line="130" w:lineRule="exact"/>
              <w:ind w:right="373"/>
              <w:jc w:val="right"/>
              <w:rPr>
                <w:sz w:val="13"/>
              </w:rPr>
            </w:pPr>
            <w:r>
              <w:rPr>
                <w:sz w:val="13"/>
              </w:rPr>
              <w:t>122,013.15</w:t>
            </w:r>
          </w:p>
        </w:tc>
        <w:tc>
          <w:tcPr>
            <w:tcW w:w="2351" w:type="dxa"/>
            <w:gridSpan w:val="2"/>
          </w:tcPr>
          <w:p>
            <w:pPr>
              <w:pStyle w:val="TableParagraph"/>
              <w:spacing w:before="3"/>
              <w:rPr>
                <w:sz w:val="15"/>
              </w:rPr>
            </w:pPr>
          </w:p>
          <w:p>
            <w:pPr>
              <w:pStyle w:val="TableParagraph"/>
              <w:spacing w:line="130" w:lineRule="exact"/>
              <w:ind w:left="1389"/>
              <w:rPr>
                <w:sz w:val="13"/>
              </w:rPr>
            </w:pPr>
            <w:r>
              <w:rPr>
                <w:sz w:val="13"/>
              </w:rPr>
              <w:t>511,575.67</w:t>
            </w:r>
          </w:p>
        </w:tc>
        <w:tc>
          <w:tcPr>
            <w:tcW w:w="1695" w:type="dxa"/>
          </w:tcPr>
          <w:p>
            <w:pPr>
              <w:pStyle w:val="TableParagraph"/>
              <w:spacing w:before="3"/>
              <w:rPr>
                <w:sz w:val="15"/>
              </w:rPr>
            </w:pPr>
          </w:p>
          <w:p>
            <w:pPr>
              <w:pStyle w:val="TableParagraph"/>
              <w:spacing w:line="130" w:lineRule="exact"/>
              <w:ind w:right="75"/>
              <w:jc w:val="right"/>
              <w:rPr>
                <w:sz w:val="13"/>
              </w:rPr>
            </w:pPr>
            <w:r>
              <w:rPr>
                <w:sz w:val="13"/>
              </w:rPr>
              <w:t>510,864.70</w:t>
            </w:r>
          </w:p>
        </w:tc>
      </w:tr>
      <w:tr>
        <w:trPr>
          <w:trHeight w:val="346" w:hRule="atLeast"/>
        </w:trPr>
        <w:tc>
          <w:tcPr>
            <w:tcW w:w="5373" w:type="dxa"/>
            <w:gridSpan w:val="2"/>
          </w:tcPr>
          <w:p>
            <w:pPr>
              <w:pStyle w:val="TableParagraph"/>
              <w:spacing w:line="168" w:lineRule="exact" w:before="5"/>
              <w:ind w:left="676" w:right="2700" w:hanging="144"/>
              <w:rPr>
                <w:sz w:val="13"/>
              </w:rPr>
            </w:pPr>
            <w:r>
              <w:rPr>
                <w:sz w:val="13"/>
              </w:rPr>
              <w:t>c. Unassigned/Unappropriated (Funds 01 and 17, Object 9790)</w:t>
            </w:r>
          </w:p>
        </w:tc>
        <w:tc>
          <w:tcPr>
            <w:tcW w:w="1926" w:type="dxa"/>
          </w:tcPr>
          <w:p>
            <w:pPr>
              <w:pStyle w:val="TableParagraph"/>
              <w:spacing w:before="2"/>
              <w:rPr>
                <w:sz w:val="16"/>
              </w:rPr>
            </w:pPr>
          </w:p>
          <w:p>
            <w:pPr>
              <w:pStyle w:val="TableParagraph"/>
              <w:spacing w:line="140" w:lineRule="exact"/>
              <w:ind w:right="373"/>
              <w:jc w:val="right"/>
              <w:rPr>
                <w:sz w:val="13"/>
              </w:rPr>
            </w:pPr>
            <w:r>
              <w:rPr>
                <w:sz w:val="13"/>
              </w:rPr>
              <w:t>770,187.94</w:t>
            </w:r>
          </w:p>
        </w:tc>
        <w:tc>
          <w:tcPr>
            <w:tcW w:w="2351" w:type="dxa"/>
            <w:gridSpan w:val="2"/>
          </w:tcPr>
          <w:p>
            <w:pPr>
              <w:pStyle w:val="TableParagraph"/>
              <w:spacing w:before="2"/>
              <w:rPr>
                <w:sz w:val="16"/>
              </w:rPr>
            </w:pPr>
          </w:p>
          <w:p>
            <w:pPr>
              <w:pStyle w:val="TableParagraph"/>
              <w:spacing w:line="140" w:lineRule="exact"/>
              <w:ind w:left="1278"/>
              <w:rPr>
                <w:sz w:val="13"/>
              </w:rPr>
            </w:pPr>
            <w:r>
              <w:rPr>
                <w:sz w:val="13"/>
              </w:rPr>
              <w:t>1,225,808.59</w:t>
            </w:r>
          </w:p>
        </w:tc>
        <w:tc>
          <w:tcPr>
            <w:tcW w:w="1695" w:type="dxa"/>
          </w:tcPr>
          <w:p>
            <w:pPr>
              <w:pStyle w:val="TableParagraph"/>
              <w:spacing w:before="2"/>
              <w:rPr>
                <w:sz w:val="16"/>
              </w:rPr>
            </w:pPr>
          </w:p>
          <w:p>
            <w:pPr>
              <w:pStyle w:val="TableParagraph"/>
              <w:spacing w:line="140" w:lineRule="exact"/>
              <w:ind w:right="75"/>
              <w:jc w:val="right"/>
              <w:rPr>
                <w:sz w:val="13"/>
              </w:rPr>
            </w:pPr>
            <w:r>
              <w:rPr>
                <w:sz w:val="13"/>
              </w:rPr>
              <w:t>1,373,504.30</w:t>
            </w:r>
          </w:p>
        </w:tc>
      </w:tr>
      <w:tr>
        <w:trPr>
          <w:trHeight w:val="503" w:hRule="atLeast"/>
        </w:trPr>
        <w:tc>
          <w:tcPr>
            <w:tcW w:w="5373" w:type="dxa"/>
            <w:gridSpan w:val="2"/>
          </w:tcPr>
          <w:p>
            <w:pPr>
              <w:pStyle w:val="TableParagraph"/>
              <w:spacing w:line="268" w:lineRule="auto" w:before="7"/>
              <w:ind w:left="676" w:right="1223" w:hanging="144"/>
              <w:rPr>
                <w:sz w:val="13"/>
              </w:rPr>
            </w:pPr>
            <w:r>
              <w:rPr>
                <w:sz w:val="13"/>
              </w:rPr>
              <w:t>d. Negative General Fund Ending Balances in Restricted Resources (Fund 01, Object 979Z, if negative, for each of</w:t>
            </w:r>
          </w:p>
          <w:p>
            <w:pPr>
              <w:pStyle w:val="TableParagraph"/>
              <w:spacing w:line="140" w:lineRule="exact" w:before="2"/>
              <w:ind w:left="676"/>
              <w:rPr>
                <w:sz w:val="13"/>
              </w:rPr>
            </w:pPr>
            <w:r>
              <w:rPr>
                <w:sz w:val="13"/>
              </w:rPr>
              <w:t>resources 2000-9999)</w:t>
            </w:r>
          </w:p>
        </w:tc>
        <w:tc>
          <w:tcPr>
            <w:tcW w:w="1926" w:type="dxa"/>
          </w:tcPr>
          <w:p>
            <w:pPr>
              <w:pStyle w:val="TableParagraph"/>
              <w:rPr>
                <w:sz w:val="14"/>
              </w:rPr>
            </w:pPr>
          </w:p>
          <w:p>
            <w:pPr>
              <w:pStyle w:val="TableParagraph"/>
              <w:spacing w:before="10"/>
              <w:rPr>
                <w:sz w:val="15"/>
              </w:rPr>
            </w:pPr>
          </w:p>
          <w:p>
            <w:pPr>
              <w:pStyle w:val="TableParagraph"/>
              <w:spacing w:line="140" w:lineRule="exact"/>
              <w:ind w:right="373"/>
              <w:jc w:val="right"/>
              <w:rPr>
                <w:sz w:val="13"/>
              </w:rPr>
            </w:pPr>
            <w:r>
              <w:rPr>
                <w:sz w:val="13"/>
              </w:rPr>
              <w:t>0.00</w:t>
            </w:r>
          </w:p>
        </w:tc>
        <w:tc>
          <w:tcPr>
            <w:tcW w:w="2351" w:type="dxa"/>
            <w:gridSpan w:val="2"/>
          </w:tcPr>
          <w:p>
            <w:pPr>
              <w:pStyle w:val="TableParagraph"/>
              <w:rPr>
                <w:sz w:val="14"/>
              </w:rPr>
            </w:pPr>
          </w:p>
          <w:p>
            <w:pPr>
              <w:pStyle w:val="TableParagraph"/>
              <w:spacing w:before="10"/>
              <w:rPr>
                <w:sz w:val="15"/>
              </w:rPr>
            </w:pPr>
          </w:p>
          <w:p>
            <w:pPr>
              <w:pStyle w:val="TableParagraph"/>
              <w:spacing w:line="140" w:lineRule="exact"/>
              <w:ind w:right="293"/>
              <w:jc w:val="right"/>
              <w:rPr>
                <w:sz w:val="13"/>
              </w:rPr>
            </w:pPr>
            <w:r>
              <w:rPr>
                <w:sz w:val="13"/>
              </w:rPr>
              <w:t>0.00</w:t>
            </w:r>
          </w:p>
        </w:tc>
        <w:tc>
          <w:tcPr>
            <w:tcW w:w="1695" w:type="dxa"/>
          </w:tcPr>
          <w:p>
            <w:pPr>
              <w:pStyle w:val="TableParagraph"/>
              <w:rPr>
                <w:sz w:val="14"/>
              </w:rPr>
            </w:pPr>
          </w:p>
          <w:p>
            <w:pPr>
              <w:pStyle w:val="TableParagraph"/>
              <w:spacing w:before="10"/>
              <w:rPr>
                <w:sz w:val="15"/>
              </w:rPr>
            </w:pPr>
          </w:p>
          <w:p>
            <w:pPr>
              <w:pStyle w:val="TableParagraph"/>
              <w:spacing w:line="140" w:lineRule="exact"/>
              <w:ind w:right="31"/>
              <w:jc w:val="right"/>
              <w:rPr>
                <w:sz w:val="13"/>
              </w:rPr>
            </w:pPr>
            <w:r>
              <w:rPr>
                <w:sz w:val="13"/>
              </w:rPr>
              <w:t>(35,597.00)</w:t>
            </w:r>
          </w:p>
        </w:tc>
      </w:tr>
      <w:tr>
        <w:trPr>
          <w:trHeight w:val="661" w:hRule="atLeast"/>
        </w:trPr>
        <w:tc>
          <w:tcPr>
            <w:tcW w:w="5373" w:type="dxa"/>
            <w:gridSpan w:val="2"/>
          </w:tcPr>
          <w:p>
            <w:pPr>
              <w:pStyle w:val="TableParagraph"/>
              <w:spacing w:before="7"/>
              <w:ind w:left="533"/>
              <w:rPr>
                <w:sz w:val="13"/>
              </w:rPr>
            </w:pPr>
            <w:r>
              <w:rPr>
                <w:sz w:val="13"/>
              </w:rPr>
              <w:t>e. Available Reserves (Lines 1a through 1d)</w:t>
            </w:r>
          </w:p>
          <w:p>
            <w:pPr>
              <w:pStyle w:val="TableParagraph"/>
              <w:numPr>
                <w:ilvl w:val="0"/>
                <w:numId w:val="72"/>
              </w:numPr>
              <w:tabs>
                <w:tab w:pos="533" w:val="left" w:leader="none"/>
                <w:tab w:pos="534" w:val="left" w:leader="none"/>
              </w:tabs>
              <w:spacing w:line="240" w:lineRule="auto" w:before="19" w:after="0"/>
              <w:ind w:left="533" w:right="0" w:hanging="335"/>
              <w:jc w:val="left"/>
              <w:rPr>
                <w:sz w:val="13"/>
              </w:rPr>
            </w:pPr>
            <w:r>
              <w:rPr>
                <w:sz w:val="13"/>
              </w:rPr>
              <w:t>Expenditures and Other Financing</w:t>
            </w:r>
            <w:r>
              <w:rPr>
                <w:spacing w:val="2"/>
                <w:sz w:val="13"/>
              </w:rPr>
              <w:t> </w:t>
            </w:r>
            <w:r>
              <w:rPr>
                <w:sz w:val="13"/>
              </w:rPr>
              <w:t>Uses</w:t>
            </w:r>
          </w:p>
          <w:p>
            <w:pPr>
              <w:pStyle w:val="TableParagraph"/>
              <w:spacing w:line="160" w:lineRule="atLeast" w:before="8"/>
              <w:ind w:left="676" w:right="1223" w:hanging="144"/>
              <w:rPr>
                <w:sz w:val="13"/>
              </w:rPr>
            </w:pPr>
            <w:r>
              <w:rPr>
                <w:sz w:val="13"/>
              </w:rPr>
              <w:t>a. District's Total Expenditures and Other Financing Uses (Fund 01, objects 1000-7999)</w:t>
            </w:r>
          </w:p>
        </w:tc>
        <w:tc>
          <w:tcPr>
            <w:tcW w:w="1926" w:type="dxa"/>
          </w:tcPr>
          <w:p>
            <w:pPr>
              <w:pStyle w:val="TableParagraph"/>
              <w:spacing w:before="7"/>
              <w:ind w:left="884"/>
              <w:rPr>
                <w:sz w:val="13"/>
              </w:rPr>
            </w:pPr>
            <w:r>
              <w:rPr>
                <w:sz w:val="13"/>
              </w:rPr>
              <w:t>892,201.09</w:t>
            </w:r>
          </w:p>
          <w:p>
            <w:pPr>
              <w:pStyle w:val="TableParagraph"/>
              <w:rPr>
                <w:sz w:val="14"/>
              </w:rPr>
            </w:pPr>
          </w:p>
          <w:p>
            <w:pPr>
              <w:pStyle w:val="TableParagraph"/>
              <w:spacing w:before="10"/>
              <w:rPr>
                <w:sz w:val="16"/>
              </w:rPr>
            </w:pPr>
          </w:p>
          <w:p>
            <w:pPr>
              <w:pStyle w:val="TableParagraph"/>
              <w:spacing w:line="130" w:lineRule="exact"/>
              <w:ind w:left="773"/>
              <w:rPr>
                <w:sz w:val="13"/>
              </w:rPr>
            </w:pPr>
            <w:r>
              <w:rPr>
                <w:sz w:val="13"/>
              </w:rPr>
              <w:t>2,440,262.90</w:t>
            </w:r>
          </w:p>
        </w:tc>
        <w:tc>
          <w:tcPr>
            <w:tcW w:w="2351" w:type="dxa"/>
            <w:gridSpan w:val="2"/>
          </w:tcPr>
          <w:p>
            <w:pPr>
              <w:pStyle w:val="TableParagraph"/>
              <w:spacing w:before="7"/>
              <w:ind w:left="1278"/>
              <w:rPr>
                <w:sz w:val="13"/>
              </w:rPr>
            </w:pPr>
            <w:r>
              <w:rPr>
                <w:sz w:val="13"/>
              </w:rPr>
              <w:t>1,737,384.26</w:t>
            </w:r>
          </w:p>
          <w:p>
            <w:pPr>
              <w:pStyle w:val="TableParagraph"/>
              <w:rPr>
                <w:sz w:val="14"/>
              </w:rPr>
            </w:pPr>
          </w:p>
          <w:p>
            <w:pPr>
              <w:pStyle w:val="TableParagraph"/>
              <w:spacing w:before="10"/>
              <w:rPr>
                <w:sz w:val="16"/>
              </w:rPr>
            </w:pPr>
          </w:p>
          <w:p>
            <w:pPr>
              <w:pStyle w:val="TableParagraph"/>
              <w:spacing w:line="130" w:lineRule="exact"/>
              <w:ind w:left="1278"/>
              <w:rPr>
                <w:sz w:val="13"/>
              </w:rPr>
            </w:pPr>
            <w:r>
              <w:rPr>
                <w:sz w:val="13"/>
              </w:rPr>
              <w:t>2,242,275.48</w:t>
            </w:r>
          </w:p>
        </w:tc>
        <w:tc>
          <w:tcPr>
            <w:tcW w:w="1695" w:type="dxa"/>
          </w:tcPr>
          <w:p>
            <w:pPr>
              <w:pStyle w:val="TableParagraph"/>
              <w:spacing w:before="7"/>
              <w:ind w:left="840"/>
              <w:rPr>
                <w:sz w:val="13"/>
              </w:rPr>
            </w:pPr>
            <w:r>
              <w:rPr>
                <w:sz w:val="13"/>
              </w:rPr>
              <w:t>1,848,772.00</w:t>
            </w:r>
          </w:p>
          <w:p>
            <w:pPr>
              <w:pStyle w:val="TableParagraph"/>
              <w:rPr>
                <w:sz w:val="14"/>
              </w:rPr>
            </w:pPr>
          </w:p>
          <w:p>
            <w:pPr>
              <w:pStyle w:val="TableParagraph"/>
              <w:spacing w:before="10"/>
              <w:rPr>
                <w:sz w:val="16"/>
              </w:rPr>
            </w:pPr>
          </w:p>
          <w:p>
            <w:pPr>
              <w:pStyle w:val="TableParagraph"/>
              <w:spacing w:line="130" w:lineRule="exact"/>
              <w:ind w:left="840"/>
              <w:rPr>
                <w:sz w:val="13"/>
              </w:rPr>
            </w:pPr>
            <w:r>
              <w:rPr>
                <w:sz w:val="13"/>
              </w:rPr>
              <w:t>2,119,034.00</w:t>
            </w:r>
          </w:p>
        </w:tc>
      </w:tr>
      <w:tr>
        <w:trPr>
          <w:trHeight w:val="346" w:hRule="atLeast"/>
        </w:trPr>
        <w:tc>
          <w:tcPr>
            <w:tcW w:w="421" w:type="dxa"/>
          </w:tcPr>
          <w:p>
            <w:pPr>
              <w:pStyle w:val="TableParagraph"/>
              <w:rPr>
                <w:rFonts w:ascii="Times New Roman"/>
                <w:sz w:val="12"/>
              </w:rPr>
            </w:pPr>
          </w:p>
        </w:tc>
        <w:tc>
          <w:tcPr>
            <w:tcW w:w="4952" w:type="dxa"/>
          </w:tcPr>
          <w:p>
            <w:pPr>
              <w:pStyle w:val="TableParagraph"/>
              <w:spacing w:line="168" w:lineRule="exact" w:before="5"/>
              <w:ind w:left="255" w:right="606" w:hanging="144"/>
              <w:rPr>
                <w:sz w:val="13"/>
              </w:rPr>
            </w:pPr>
            <w:r>
              <w:rPr>
                <w:sz w:val="13"/>
              </w:rPr>
              <w:t>b. Plus: Special Education Pass-through Funds (Fund 10, resources 3300-3499, 6500-6540 and 6546, objects 7211-7213 and 7221-7223)</w:t>
            </w:r>
          </w:p>
        </w:tc>
        <w:tc>
          <w:tcPr>
            <w:tcW w:w="1926" w:type="dxa"/>
          </w:tcPr>
          <w:p>
            <w:pPr>
              <w:pStyle w:val="TableParagraph"/>
              <w:rPr>
                <w:rFonts w:ascii="Times New Roman"/>
                <w:sz w:val="12"/>
              </w:rPr>
            </w:pPr>
          </w:p>
        </w:tc>
        <w:tc>
          <w:tcPr>
            <w:tcW w:w="1190" w:type="dxa"/>
          </w:tcPr>
          <w:p>
            <w:pPr>
              <w:pStyle w:val="TableParagraph"/>
              <w:rPr>
                <w:rFonts w:ascii="Times New Roman"/>
                <w:sz w:val="12"/>
              </w:rPr>
            </w:pPr>
          </w:p>
        </w:tc>
        <w:tc>
          <w:tcPr>
            <w:tcW w:w="1161" w:type="dxa"/>
          </w:tcPr>
          <w:p>
            <w:pPr>
              <w:pStyle w:val="TableParagraph"/>
              <w:rPr>
                <w:rFonts w:ascii="Times New Roman"/>
                <w:sz w:val="12"/>
              </w:rPr>
            </w:pPr>
          </w:p>
        </w:tc>
        <w:tc>
          <w:tcPr>
            <w:tcW w:w="1695" w:type="dxa"/>
          </w:tcPr>
          <w:p>
            <w:pPr>
              <w:pStyle w:val="TableParagraph"/>
              <w:spacing w:before="2"/>
              <w:rPr>
                <w:sz w:val="16"/>
              </w:rPr>
            </w:pPr>
          </w:p>
          <w:p>
            <w:pPr>
              <w:pStyle w:val="TableParagraph"/>
              <w:spacing w:line="140" w:lineRule="exact"/>
              <w:ind w:right="75"/>
              <w:jc w:val="right"/>
              <w:rPr>
                <w:sz w:val="13"/>
              </w:rPr>
            </w:pPr>
            <w:r>
              <w:rPr>
                <w:sz w:val="13"/>
              </w:rPr>
              <w:t>0.00</w:t>
            </w:r>
          </w:p>
        </w:tc>
      </w:tr>
      <w:tr>
        <w:trPr>
          <w:trHeight w:val="336" w:hRule="atLeast"/>
        </w:trPr>
        <w:tc>
          <w:tcPr>
            <w:tcW w:w="421" w:type="dxa"/>
          </w:tcPr>
          <w:p>
            <w:pPr>
              <w:pStyle w:val="TableParagraph"/>
              <w:rPr>
                <w:rFonts w:ascii="Times New Roman"/>
                <w:sz w:val="12"/>
              </w:rPr>
            </w:pPr>
          </w:p>
        </w:tc>
        <w:tc>
          <w:tcPr>
            <w:tcW w:w="4952" w:type="dxa"/>
          </w:tcPr>
          <w:p>
            <w:pPr>
              <w:pStyle w:val="TableParagraph"/>
              <w:spacing w:before="7"/>
              <w:ind w:left="112"/>
              <w:rPr>
                <w:sz w:val="13"/>
              </w:rPr>
            </w:pPr>
            <w:r>
              <w:rPr>
                <w:sz w:val="13"/>
              </w:rPr>
              <w:t>c. Total Expenditures and Other Financing Uses</w:t>
            </w:r>
          </w:p>
          <w:p>
            <w:pPr>
              <w:pStyle w:val="TableParagraph"/>
              <w:spacing w:line="140" w:lineRule="exact" w:before="19"/>
              <w:ind w:left="255"/>
              <w:rPr>
                <w:sz w:val="13"/>
              </w:rPr>
            </w:pPr>
            <w:r>
              <w:rPr>
                <w:sz w:val="13"/>
              </w:rPr>
              <w:t>(Line 2a plus Line 2b)</w:t>
            </w:r>
          </w:p>
        </w:tc>
        <w:tc>
          <w:tcPr>
            <w:tcW w:w="1926" w:type="dxa"/>
          </w:tcPr>
          <w:p>
            <w:pPr>
              <w:pStyle w:val="TableParagraph"/>
              <w:spacing w:before="3"/>
              <w:rPr>
                <w:sz w:val="15"/>
              </w:rPr>
            </w:pPr>
          </w:p>
          <w:p>
            <w:pPr>
              <w:pStyle w:val="TableParagraph"/>
              <w:spacing w:line="140" w:lineRule="exact"/>
              <w:ind w:right="373"/>
              <w:jc w:val="right"/>
              <w:rPr>
                <w:sz w:val="13"/>
              </w:rPr>
            </w:pPr>
            <w:r>
              <w:rPr>
                <w:sz w:val="13"/>
              </w:rPr>
              <w:t>2,440,262.90</w:t>
            </w:r>
          </w:p>
        </w:tc>
        <w:tc>
          <w:tcPr>
            <w:tcW w:w="1190" w:type="dxa"/>
          </w:tcPr>
          <w:p>
            <w:pPr>
              <w:pStyle w:val="TableParagraph"/>
              <w:rPr>
                <w:rFonts w:ascii="Times New Roman"/>
                <w:sz w:val="12"/>
              </w:rPr>
            </w:pPr>
          </w:p>
        </w:tc>
        <w:tc>
          <w:tcPr>
            <w:tcW w:w="1161" w:type="dxa"/>
          </w:tcPr>
          <w:p>
            <w:pPr>
              <w:pStyle w:val="TableParagraph"/>
              <w:spacing w:before="3"/>
              <w:rPr>
                <w:sz w:val="15"/>
              </w:rPr>
            </w:pPr>
          </w:p>
          <w:p>
            <w:pPr>
              <w:pStyle w:val="TableParagraph"/>
              <w:spacing w:line="140" w:lineRule="exact"/>
              <w:ind w:left="88"/>
              <w:rPr>
                <w:sz w:val="13"/>
              </w:rPr>
            </w:pPr>
            <w:r>
              <w:rPr>
                <w:sz w:val="13"/>
              </w:rPr>
              <w:t>2,242,275.48</w:t>
            </w:r>
          </w:p>
        </w:tc>
        <w:tc>
          <w:tcPr>
            <w:tcW w:w="1695" w:type="dxa"/>
          </w:tcPr>
          <w:p>
            <w:pPr>
              <w:pStyle w:val="TableParagraph"/>
              <w:spacing w:before="3"/>
              <w:rPr>
                <w:sz w:val="15"/>
              </w:rPr>
            </w:pPr>
          </w:p>
          <w:p>
            <w:pPr>
              <w:pStyle w:val="TableParagraph"/>
              <w:spacing w:line="140" w:lineRule="exact"/>
              <w:ind w:right="75"/>
              <w:jc w:val="right"/>
              <w:rPr>
                <w:sz w:val="13"/>
              </w:rPr>
            </w:pPr>
            <w:r>
              <w:rPr>
                <w:sz w:val="13"/>
              </w:rPr>
              <w:t>2,119,034.00</w:t>
            </w:r>
          </w:p>
        </w:tc>
      </w:tr>
      <w:tr>
        <w:trPr>
          <w:trHeight w:val="418" w:hRule="atLeast"/>
        </w:trPr>
        <w:tc>
          <w:tcPr>
            <w:tcW w:w="421" w:type="dxa"/>
          </w:tcPr>
          <w:p>
            <w:pPr>
              <w:pStyle w:val="TableParagraph"/>
              <w:spacing w:before="7"/>
              <w:ind w:left="199"/>
              <w:rPr>
                <w:sz w:val="13"/>
              </w:rPr>
            </w:pPr>
            <w:r>
              <w:rPr>
                <w:sz w:val="13"/>
              </w:rPr>
              <w:t>3.</w:t>
            </w:r>
          </w:p>
        </w:tc>
        <w:tc>
          <w:tcPr>
            <w:tcW w:w="4952" w:type="dxa"/>
          </w:tcPr>
          <w:p>
            <w:pPr>
              <w:pStyle w:val="TableParagraph"/>
              <w:spacing w:line="268" w:lineRule="auto" w:before="7"/>
              <w:ind w:left="112" w:right="2299"/>
              <w:rPr>
                <w:sz w:val="13"/>
              </w:rPr>
            </w:pPr>
            <w:r>
              <w:rPr>
                <w:sz w:val="13"/>
              </w:rPr>
              <w:t>District's Available Reserve Percentage (Line 1e divided by Line 2c)</w:t>
            </w:r>
          </w:p>
        </w:tc>
        <w:tc>
          <w:tcPr>
            <w:tcW w:w="1926" w:type="dxa"/>
          </w:tcPr>
          <w:p>
            <w:pPr>
              <w:pStyle w:val="TableParagraph"/>
              <w:spacing w:before="3"/>
              <w:rPr>
                <w:sz w:val="15"/>
              </w:rPr>
            </w:pPr>
          </w:p>
          <w:p>
            <w:pPr>
              <w:pStyle w:val="TableParagraph"/>
              <w:ind w:left="459"/>
              <w:rPr>
                <w:sz w:val="13"/>
              </w:rPr>
            </w:pPr>
            <w:r>
              <w:rPr>
                <w:sz w:val="13"/>
              </w:rPr>
              <w:t>36.6%</w:t>
            </w:r>
          </w:p>
        </w:tc>
        <w:tc>
          <w:tcPr>
            <w:tcW w:w="1190" w:type="dxa"/>
          </w:tcPr>
          <w:p>
            <w:pPr>
              <w:pStyle w:val="TableParagraph"/>
              <w:spacing w:before="3"/>
              <w:rPr>
                <w:sz w:val="15"/>
              </w:rPr>
            </w:pPr>
          </w:p>
          <w:p>
            <w:pPr>
              <w:pStyle w:val="TableParagraph"/>
              <w:ind w:right="85"/>
              <w:jc w:val="right"/>
              <w:rPr>
                <w:sz w:val="13"/>
              </w:rPr>
            </w:pPr>
            <w:r>
              <w:rPr>
                <w:sz w:val="13"/>
              </w:rPr>
              <w:t>77.5%</w:t>
            </w:r>
          </w:p>
        </w:tc>
        <w:tc>
          <w:tcPr>
            <w:tcW w:w="1161" w:type="dxa"/>
          </w:tcPr>
          <w:p>
            <w:pPr>
              <w:pStyle w:val="TableParagraph"/>
              <w:rPr>
                <w:rFonts w:ascii="Times New Roman"/>
                <w:sz w:val="12"/>
              </w:rPr>
            </w:pPr>
          </w:p>
        </w:tc>
        <w:tc>
          <w:tcPr>
            <w:tcW w:w="1695" w:type="dxa"/>
          </w:tcPr>
          <w:p>
            <w:pPr>
              <w:pStyle w:val="TableParagraph"/>
              <w:spacing w:before="3"/>
              <w:rPr>
                <w:sz w:val="15"/>
              </w:rPr>
            </w:pPr>
          </w:p>
          <w:p>
            <w:pPr>
              <w:pStyle w:val="TableParagraph"/>
              <w:ind w:left="547"/>
              <w:rPr>
                <w:sz w:val="13"/>
              </w:rPr>
            </w:pPr>
            <w:r>
              <w:rPr>
                <w:sz w:val="13"/>
              </w:rPr>
              <w:t>87.2%</w:t>
            </w:r>
          </w:p>
        </w:tc>
      </w:tr>
      <w:tr>
        <w:trPr>
          <w:trHeight w:val="408" w:hRule="atLeast"/>
        </w:trPr>
        <w:tc>
          <w:tcPr>
            <w:tcW w:w="421" w:type="dxa"/>
          </w:tcPr>
          <w:p>
            <w:pPr>
              <w:pStyle w:val="TableParagraph"/>
              <w:rPr>
                <w:rFonts w:ascii="Times New Roman"/>
                <w:sz w:val="12"/>
              </w:rPr>
            </w:pPr>
          </w:p>
        </w:tc>
        <w:tc>
          <w:tcPr>
            <w:tcW w:w="4952" w:type="dxa"/>
          </w:tcPr>
          <w:p>
            <w:pPr>
              <w:pStyle w:val="TableParagraph"/>
              <w:spacing w:before="90"/>
              <w:ind w:right="362"/>
              <w:jc w:val="right"/>
              <w:rPr>
                <w:b/>
                <w:sz w:val="13"/>
              </w:rPr>
            </w:pPr>
            <w:r>
              <w:rPr>
                <w:b/>
                <w:sz w:val="13"/>
              </w:rPr>
              <w:t>District's Deficit Spending Standard Percentage </w:t>
            </w:r>
            <w:r>
              <w:rPr>
                <w:b/>
                <w:spacing w:val="4"/>
                <w:sz w:val="13"/>
              </w:rPr>
              <w:t> </w:t>
            </w:r>
            <w:r>
              <w:rPr>
                <w:b/>
                <w:sz w:val="13"/>
              </w:rPr>
              <w:t>Levels</w:t>
            </w:r>
          </w:p>
          <w:p>
            <w:pPr>
              <w:pStyle w:val="TableParagraph"/>
              <w:spacing w:line="130" w:lineRule="exact" w:before="19"/>
              <w:ind w:right="360"/>
              <w:jc w:val="right"/>
              <w:rPr>
                <w:b/>
                <w:sz w:val="13"/>
              </w:rPr>
            </w:pPr>
            <w:r>
              <w:rPr>
                <w:b/>
                <w:sz w:val="13"/>
              </w:rPr>
              <w:t>(Line 3 times</w:t>
            </w:r>
            <w:r>
              <w:rPr>
                <w:b/>
                <w:spacing w:val="9"/>
                <w:sz w:val="13"/>
              </w:rPr>
              <w:t> </w:t>
            </w:r>
            <w:r>
              <w:rPr>
                <w:b/>
                <w:sz w:val="13"/>
              </w:rPr>
              <w:t>1/3):</w:t>
            </w:r>
          </w:p>
        </w:tc>
        <w:tc>
          <w:tcPr>
            <w:tcW w:w="1926" w:type="dxa"/>
          </w:tcPr>
          <w:p>
            <w:pPr>
              <w:pStyle w:val="TableParagraph"/>
              <w:rPr>
                <w:sz w:val="14"/>
              </w:rPr>
            </w:pPr>
          </w:p>
          <w:p>
            <w:pPr>
              <w:pStyle w:val="TableParagraph"/>
              <w:spacing w:line="130" w:lineRule="exact" w:before="97"/>
              <w:ind w:left="459"/>
              <w:rPr>
                <w:b/>
                <w:sz w:val="13"/>
              </w:rPr>
            </w:pPr>
            <w:r>
              <w:rPr>
                <w:b/>
                <w:sz w:val="13"/>
              </w:rPr>
              <w:t>12.2%</w:t>
            </w:r>
          </w:p>
        </w:tc>
        <w:tc>
          <w:tcPr>
            <w:tcW w:w="1190" w:type="dxa"/>
          </w:tcPr>
          <w:p>
            <w:pPr>
              <w:pStyle w:val="TableParagraph"/>
              <w:rPr>
                <w:sz w:val="14"/>
              </w:rPr>
            </w:pPr>
          </w:p>
          <w:p>
            <w:pPr>
              <w:pStyle w:val="TableParagraph"/>
              <w:spacing w:line="130" w:lineRule="exact" w:before="97"/>
              <w:ind w:right="85"/>
              <w:jc w:val="right"/>
              <w:rPr>
                <w:b/>
                <w:sz w:val="13"/>
              </w:rPr>
            </w:pPr>
            <w:r>
              <w:rPr>
                <w:b/>
                <w:sz w:val="13"/>
              </w:rPr>
              <w:t>25.8%</w:t>
            </w:r>
          </w:p>
        </w:tc>
        <w:tc>
          <w:tcPr>
            <w:tcW w:w="1161" w:type="dxa"/>
          </w:tcPr>
          <w:p>
            <w:pPr>
              <w:pStyle w:val="TableParagraph"/>
              <w:rPr>
                <w:rFonts w:ascii="Times New Roman"/>
                <w:sz w:val="12"/>
              </w:rPr>
            </w:pPr>
          </w:p>
        </w:tc>
        <w:tc>
          <w:tcPr>
            <w:tcW w:w="1695" w:type="dxa"/>
          </w:tcPr>
          <w:p>
            <w:pPr>
              <w:pStyle w:val="TableParagraph"/>
              <w:rPr>
                <w:sz w:val="14"/>
              </w:rPr>
            </w:pPr>
          </w:p>
          <w:p>
            <w:pPr>
              <w:pStyle w:val="TableParagraph"/>
              <w:spacing w:line="130" w:lineRule="exact" w:before="97"/>
              <w:ind w:left="547"/>
              <w:rPr>
                <w:b/>
                <w:sz w:val="13"/>
              </w:rPr>
            </w:pPr>
            <w:r>
              <w:rPr>
                <w:b/>
                <w:sz w:val="13"/>
              </w:rPr>
              <w:t>29.1%</w:t>
            </w:r>
          </w:p>
        </w:tc>
      </w:tr>
    </w:tbl>
    <w:p>
      <w:pPr>
        <w:pStyle w:val="BodyText"/>
        <w:spacing w:before="4"/>
        <w:rPr>
          <w:sz w:val="16"/>
        </w:rPr>
      </w:pPr>
    </w:p>
    <w:p>
      <w:pPr>
        <w:pStyle w:val="BodyText"/>
        <w:spacing w:line="268" w:lineRule="auto"/>
        <w:ind w:left="5360" w:right="932"/>
      </w:pPr>
      <w:r>
        <w:rPr/>
        <w:pict>
          <v:group style="position:absolute;margin-left:268.320007pt;margin-top:-26.183067pt;width:315.4pt;height:17.2pt;mso-position-horizontal-relative:page;mso-position-vertical-relative:paragraph;z-index:-313927680" coordorigin="5366,-524" coordsize="6308,344">
            <v:shape style="position:absolute;left:5366;top:-524;width:6308;height:344" type="#_x0000_t75" stroked="false">
              <v:imagedata r:id="rId1630" o:title=""/>
            </v:shape>
            <v:shape style="position:absolute;left:7322;top:-356;width:4352;height:176" type="#_x0000_t75" stroked="false">
              <v:imagedata r:id="rId1688" o:title=""/>
            </v:shape>
            <w10:wrap type="none"/>
          </v:group>
        </w:pict>
      </w:r>
      <w:r>
        <w:rPr/>
        <w:t>¹Available reserves are the unrestricted amounts in the Stabilization Arrangement, Reserve for Economic Uncertainties, and Unassigned/Unappropriated accounts in the General Fund and the Special Reserve Fund for Other Than Capital Outlay Projects. Available reserves will be reduced by any negative ending balances in restricted resources in the General Fund.</w:t>
      </w:r>
    </w:p>
    <w:p>
      <w:pPr>
        <w:pStyle w:val="BodyText"/>
        <w:spacing w:before="9"/>
        <w:rPr>
          <w:sz w:val="14"/>
        </w:rPr>
      </w:pPr>
    </w:p>
    <w:p>
      <w:pPr>
        <w:pStyle w:val="BodyText"/>
        <w:spacing w:line="268" w:lineRule="auto" w:before="1"/>
        <w:ind w:left="5360" w:right="1128"/>
      </w:pPr>
      <w:r>
        <w:rPr/>
        <w:t>²A school district that is the Administrative Unit of a Special Education Local Plan Area (SELPA) may exclude from its expenditures the distribution of funds to its participating members.</w:t>
      </w:r>
    </w:p>
    <w:p>
      <w:pPr>
        <w:pStyle w:val="BodyText"/>
        <w:spacing w:before="4"/>
        <w:rPr>
          <w:sz w:val="10"/>
        </w:rPr>
      </w:pPr>
      <w:r>
        <w:rPr/>
        <w:pict>
          <v:group style="position:absolute;margin-left:16.440001pt;margin-top:7.947736pt;width:567.25pt;height:10.95pt;mso-position-horizontal-relative:page;mso-position-vertical-relative:paragraph;z-index:-250883072;mso-wrap-distance-left:0;mso-wrap-distance-right:0" coordorigin="329,159" coordsize="11345,219">
            <v:shape style="position:absolute;left:328;top:158;width:11345;height:22" type="#_x0000_t75" stroked="false">
              <v:imagedata r:id="rId1503" o:title=""/>
            </v:shape>
            <v:line style="position:absolute" from="829,171" to="829,361" stroked="true" strokeweight=".359999pt" strokecolor="#ffffff">
              <v:stroke dashstyle="solid"/>
            </v:line>
            <v:line style="position:absolute" from="2591,171" to="2591,361" stroked="true" strokeweight=".360008pt" strokecolor="#ffffff">
              <v:stroke dashstyle="solid"/>
            </v:line>
            <v:line style="position:absolute" from="3325,171" to="3325,361" stroked="true" strokeweight=".359997pt" strokecolor="#ffffff">
              <v:stroke dashstyle="solid"/>
            </v:line>
            <v:shape style="position:absolute;left:328;top:355;width:4438;height:22" type="#_x0000_t75" stroked="false">
              <v:imagedata r:id="rId1509" o:title=""/>
            </v:shape>
            <v:shape style="position:absolute;left:328;top:158;width:11345;height:22" type="#_x0000_t75" stroked="false">
              <v:imagedata r:id="rId1503" o:title=""/>
            </v:shape>
            <v:shape style="position:absolute;left:4759;top:355;width:6915;height:22" type="#_x0000_t75" stroked="false">
              <v:imagedata r:id="rId1510" o:title=""/>
            </v:shape>
            <v:shape style="position:absolute;left:328;top:158;width:11345;height:219" type="#_x0000_t202" filled="false" stroked="false">
              <v:textbox inset="0,0,0,0">
                <w:txbxContent>
                  <w:p>
                    <w:pPr>
                      <w:spacing w:before="41"/>
                      <w:ind w:left="33" w:right="0" w:firstLine="0"/>
                      <w:jc w:val="left"/>
                      <w:rPr>
                        <w:b/>
                        <w:sz w:val="14"/>
                      </w:rPr>
                    </w:pPr>
                    <w:r>
                      <w:rPr>
                        <w:b/>
                        <w:w w:val="105"/>
                        <w:sz w:val="14"/>
                      </w:rPr>
                      <w:t>8B. Calculating the District's Deficit Spending Percentages</w:t>
                    </w:r>
                  </w:p>
                </w:txbxContent>
              </v:textbox>
              <w10:wrap type="none"/>
            </v:shape>
            <w10:wrap type="topAndBottom"/>
          </v:group>
        </w:pict>
      </w:r>
    </w:p>
    <w:p>
      <w:pPr>
        <w:pStyle w:val="BodyText"/>
        <w:rPr>
          <w:sz w:val="7"/>
        </w:rPr>
      </w:pPr>
    </w:p>
    <w:p>
      <w:pPr>
        <w:pStyle w:val="BodyText"/>
        <w:spacing w:before="97"/>
        <w:ind w:left="322"/>
      </w:pPr>
      <w:r>
        <w:rPr/>
        <w:pict>
          <v:group style="position:absolute;margin-left:16.440001pt;margin-top:49.226952pt;width:567.25pt;height:28.1pt;mso-position-horizontal-relative:page;mso-position-vertical-relative:paragraph;z-index:-313926656" coordorigin="329,985" coordsize="11345,562">
            <v:shape style="position:absolute;left:328;top:984;width:2268;height:8" type="#_x0000_t75" stroked="false">
              <v:imagedata r:id="rId1604" o:title=""/>
            </v:shape>
            <v:shape style="position:absolute;left:2589;top:984;width:9084;height:188" type="#_x0000_t75" stroked="false">
              <v:imagedata r:id="rId1689" o:title=""/>
            </v:shape>
            <v:shape style="position:absolute;left:3324;top:984;width:8350;height:372" type="#_x0000_t75" stroked="false">
              <v:imagedata r:id="rId1690" o:title=""/>
            </v:shape>
            <v:shape style="position:absolute;left:3324;top:1354;width:2050;height:188" type="#_x0000_t75" stroked="false">
              <v:imagedata r:id="rId1691" o:title=""/>
            </v:shape>
            <v:shape style="position:absolute;left:5371;top:1358;width:1956;height:185" type="#_x0000_t75" stroked="false">
              <v:imagedata r:id="rId1692" o:title=""/>
            </v:shape>
            <v:shape style="position:absolute;left:5366;top:1169;width:6308;height:377" type="#_x0000_t75" stroked="false">
              <v:imagedata r:id="rId1693" o:title=""/>
            </v:shape>
            <v:shape style="position:absolute;left:9753;top:1354;width:1920;height:192" type="#_x0000_t75" stroked="false">
              <v:imagedata r:id="rId1603" o:title=""/>
            </v:shape>
            <w10:wrap type="none"/>
          </v:group>
        </w:pict>
      </w:r>
      <w:r>
        <w:rPr/>
        <w:pict>
          <v:group style="position:absolute;margin-left:166.199997pt;margin-top:76.946922pt;width:200.3pt;height:9.6pt;mso-position-horizontal-relative:page;mso-position-vertical-relative:paragraph;z-index:-313925632" coordorigin="3324,1539" coordsize="4006,192">
            <v:shape style="position:absolute;left:3324;top:1538;width:2050;height:192" type="#_x0000_t75" stroked="false">
              <v:imagedata r:id="rId1694" o:title=""/>
            </v:shape>
            <v:shape style="position:absolute;left:5366;top:1538;width:1964;height:192" type="#_x0000_t75" stroked="false">
              <v:imagedata r:id="rId1657" o:title=""/>
            </v:shape>
            <w10:wrap type="none"/>
          </v:group>
        </w:pict>
      </w:r>
      <w:r>
        <w:rPr/>
        <w:t>DATA ENTRY: All data are extracted or calculated.</w:t>
      </w:r>
    </w:p>
    <w:p>
      <w:pPr>
        <w:pStyle w:val="BodyText"/>
        <w:spacing w:before="4"/>
        <w:rPr>
          <w:sz w:val="19"/>
        </w:rPr>
      </w:pPr>
    </w:p>
    <w:tbl>
      <w:tblPr>
        <w:tblW w:w="0" w:type="auto"/>
        <w:jc w:val="left"/>
        <w:tblInd w:w="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02"/>
        <w:gridCol w:w="1852"/>
        <w:gridCol w:w="2031"/>
        <w:gridCol w:w="2643"/>
        <w:gridCol w:w="881"/>
      </w:tblGrid>
      <w:tr>
        <w:trPr>
          <w:trHeight w:val="350" w:hRule="atLeast"/>
        </w:trPr>
        <w:tc>
          <w:tcPr>
            <w:tcW w:w="5054" w:type="dxa"/>
            <w:gridSpan w:val="2"/>
          </w:tcPr>
          <w:p>
            <w:pPr>
              <w:pStyle w:val="TableParagraph"/>
              <w:spacing w:line="147" w:lineRule="exact"/>
              <w:ind w:left="3229" w:right="242"/>
              <w:jc w:val="center"/>
              <w:rPr>
                <w:sz w:val="13"/>
              </w:rPr>
            </w:pPr>
            <w:r>
              <w:rPr>
                <w:sz w:val="13"/>
              </w:rPr>
              <w:t>Net Change in</w:t>
            </w:r>
          </w:p>
          <w:p>
            <w:pPr>
              <w:pStyle w:val="TableParagraph"/>
              <w:spacing w:line="149" w:lineRule="exact" w:before="35"/>
              <w:ind w:left="3229" w:right="244"/>
              <w:jc w:val="center"/>
              <w:rPr>
                <w:sz w:val="13"/>
              </w:rPr>
            </w:pPr>
            <w:r>
              <w:rPr>
                <w:sz w:val="13"/>
              </w:rPr>
              <w:t>Unrestricted Fund Balance</w:t>
            </w:r>
          </w:p>
        </w:tc>
        <w:tc>
          <w:tcPr>
            <w:tcW w:w="2031" w:type="dxa"/>
          </w:tcPr>
          <w:p>
            <w:pPr>
              <w:pStyle w:val="TableParagraph"/>
              <w:spacing w:line="147" w:lineRule="exact"/>
              <w:ind w:left="35" w:right="134"/>
              <w:jc w:val="center"/>
              <w:rPr>
                <w:sz w:val="13"/>
              </w:rPr>
            </w:pPr>
            <w:r>
              <w:rPr>
                <w:sz w:val="13"/>
              </w:rPr>
              <w:t>Total Unrestricted Expenditures</w:t>
            </w:r>
          </w:p>
          <w:p>
            <w:pPr>
              <w:pStyle w:val="TableParagraph"/>
              <w:spacing w:line="149" w:lineRule="exact" w:before="35"/>
              <w:ind w:left="33" w:right="134"/>
              <w:jc w:val="center"/>
              <w:rPr>
                <w:sz w:val="13"/>
              </w:rPr>
            </w:pPr>
            <w:r>
              <w:rPr>
                <w:sz w:val="13"/>
              </w:rPr>
              <w:t>and Other Financing Uses</w:t>
            </w:r>
          </w:p>
        </w:tc>
        <w:tc>
          <w:tcPr>
            <w:tcW w:w="2643" w:type="dxa"/>
          </w:tcPr>
          <w:p>
            <w:pPr>
              <w:pStyle w:val="TableParagraph"/>
              <w:spacing w:line="147" w:lineRule="exact"/>
              <w:ind w:left="81" w:right="463"/>
              <w:jc w:val="center"/>
              <w:rPr>
                <w:sz w:val="13"/>
              </w:rPr>
            </w:pPr>
            <w:r>
              <w:rPr>
                <w:sz w:val="13"/>
              </w:rPr>
              <w:t>Deficit Spending Level</w:t>
            </w:r>
          </w:p>
          <w:p>
            <w:pPr>
              <w:pStyle w:val="TableParagraph"/>
              <w:spacing w:line="149" w:lineRule="exact" w:before="35"/>
              <w:ind w:left="81" w:right="468"/>
              <w:jc w:val="center"/>
              <w:rPr>
                <w:sz w:val="13"/>
              </w:rPr>
            </w:pPr>
            <w:r>
              <w:rPr>
                <w:sz w:val="13"/>
              </w:rPr>
              <w:t>(If Net Change in Unrestricted Fund</w:t>
            </w:r>
          </w:p>
        </w:tc>
        <w:tc>
          <w:tcPr>
            <w:tcW w:w="881" w:type="dxa"/>
          </w:tcPr>
          <w:p>
            <w:pPr>
              <w:pStyle w:val="TableParagraph"/>
              <w:rPr>
                <w:rFonts w:ascii="Times New Roman"/>
                <w:sz w:val="12"/>
              </w:rPr>
            </w:pPr>
          </w:p>
        </w:tc>
      </w:tr>
      <w:tr>
        <w:trPr>
          <w:trHeight w:val="165" w:hRule="atLeast"/>
        </w:trPr>
        <w:tc>
          <w:tcPr>
            <w:tcW w:w="5054" w:type="dxa"/>
            <w:gridSpan w:val="2"/>
          </w:tcPr>
          <w:p>
            <w:pPr>
              <w:pStyle w:val="TableParagraph"/>
              <w:tabs>
                <w:tab w:pos="3410" w:val="left" w:leader="none"/>
              </w:tabs>
              <w:spacing w:line="130" w:lineRule="exact" w:before="16"/>
              <w:ind w:left="809"/>
              <w:rPr>
                <w:sz w:val="13"/>
              </w:rPr>
            </w:pPr>
            <w:r>
              <w:rPr>
                <w:sz w:val="13"/>
              </w:rPr>
              <w:t>Fiscal</w:t>
            </w:r>
            <w:r>
              <w:rPr>
                <w:spacing w:val="-2"/>
                <w:sz w:val="13"/>
              </w:rPr>
              <w:t> </w:t>
            </w:r>
            <w:r>
              <w:rPr>
                <w:sz w:val="13"/>
              </w:rPr>
              <w:t>Year</w:t>
              <w:tab/>
              <w:t>(Form 01, Section</w:t>
            </w:r>
            <w:r>
              <w:rPr>
                <w:spacing w:val="6"/>
                <w:sz w:val="13"/>
              </w:rPr>
              <w:t> </w:t>
            </w:r>
            <w:r>
              <w:rPr>
                <w:sz w:val="13"/>
              </w:rPr>
              <w:t>E)</w:t>
            </w:r>
          </w:p>
        </w:tc>
        <w:tc>
          <w:tcPr>
            <w:tcW w:w="2031" w:type="dxa"/>
          </w:tcPr>
          <w:p>
            <w:pPr>
              <w:pStyle w:val="TableParagraph"/>
              <w:spacing w:line="130" w:lineRule="exact" w:before="16"/>
              <w:ind w:right="171"/>
              <w:jc w:val="right"/>
              <w:rPr>
                <w:sz w:val="13"/>
              </w:rPr>
            </w:pPr>
            <w:r>
              <w:rPr>
                <w:sz w:val="13"/>
              </w:rPr>
              <w:t>(Form 01, Objects 1000-7999)</w:t>
            </w:r>
          </w:p>
        </w:tc>
        <w:tc>
          <w:tcPr>
            <w:tcW w:w="2643" w:type="dxa"/>
          </w:tcPr>
          <w:p>
            <w:pPr>
              <w:pStyle w:val="TableParagraph"/>
              <w:spacing w:line="130" w:lineRule="exact" w:before="16"/>
              <w:ind w:left="81" w:right="463"/>
              <w:jc w:val="center"/>
              <w:rPr>
                <w:sz w:val="13"/>
              </w:rPr>
            </w:pPr>
            <w:r>
              <w:rPr>
                <w:sz w:val="13"/>
              </w:rPr>
              <w:t>Balance is negative, else N/A)</w:t>
            </w:r>
          </w:p>
        </w:tc>
        <w:tc>
          <w:tcPr>
            <w:tcW w:w="881" w:type="dxa"/>
          </w:tcPr>
          <w:p>
            <w:pPr>
              <w:pStyle w:val="TableParagraph"/>
              <w:spacing w:line="130" w:lineRule="exact" w:before="16"/>
              <w:ind w:right="34"/>
              <w:jc w:val="right"/>
              <w:rPr>
                <w:sz w:val="13"/>
              </w:rPr>
            </w:pPr>
            <w:r>
              <w:rPr>
                <w:sz w:val="13"/>
              </w:rPr>
              <w:t>Status</w:t>
            </w:r>
          </w:p>
        </w:tc>
      </w:tr>
      <w:tr>
        <w:trPr>
          <w:trHeight w:val="203" w:hRule="atLeast"/>
        </w:trPr>
        <w:tc>
          <w:tcPr>
            <w:tcW w:w="3202" w:type="dxa"/>
          </w:tcPr>
          <w:p>
            <w:pPr>
              <w:pStyle w:val="TableParagraph"/>
              <w:spacing w:line="149" w:lineRule="exact" w:before="35"/>
              <w:ind w:left="33"/>
              <w:rPr>
                <w:sz w:val="13"/>
              </w:rPr>
            </w:pPr>
            <w:r>
              <w:rPr>
                <w:sz w:val="13"/>
              </w:rPr>
              <w:t>Third Prior Year (2018-19)</w:t>
            </w:r>
          </w:p>
        </w:tc>
        <w:tc>
          <w:tcPr>
            <w:tcW w:w="1852" w:type="dxa"/>
          </w:tcPr>
          <w:p>
            <w:pPr>
              <w:pStyle w:val="TableParagraph"/>
              <w:spacing w:line="149" w:lineRule="exact" w:before="35"/>
              <w:ind w:right="84"/>
              <w:jc w:val="right"/>
              <w:rPr>
                <w:sz w:val="13"/>
              </w:rPr>
            </w:pPr>
            <w:r>
              <w:rPr>
                <w:sz w:val="13"/>
              </w:rPr>
              <w:t>347,009.97</w:t>
            </w:r>
          </w:p>
        </w:tc>
        <w:tc>
          <w:tcPr>
            <w:tcW w:w="2031" w:type="dxa"/>
          </w:tcPr>
          <w:p>
            <w:pPr>
              <w:pStyle w:val="TableParagraph"/>
              <w:spacing w:line="149" w:lineRule="exact" w:before="35"/>
              <w:ind w:right="159"/>
              <w:jc w:val="right"/>
              <w:rPr>
                <w:sz w:val="13"/>
              </w:rPr>
            </w:pPr>
            <w:r>
              <w:rPr>
                <w:sz w:val="13"/>
              </w:rPr>
              <w:t>1,739,944.51</w:t>
            </w:r>
          </w:p>
        </w:tc>
        <w:tc>
          <w:tcPr>
            <w:tcW w:w="2643" w:type="dxa"/>
          </w:tcPr>
          <w:p>
            <w:pPr>
              <w:pStyle w:val="TableParagraph"/>
              <w:spacing w:line="149" w:lineRule="exact" w:before="35"/>
              <w:ind w:left="81" w:right="466"/>
              <w:jc w:val="center"/>
              <w:rPr>
                <w:sz w:val="13"/>
              </w:rPr>
            </w:pPr>
            <w:r>
              <w:rPr>
                <w:sz w:val="13"/>
              </w:rPr>
              <w:t>N/A</w:t>
            </w:r>
          </w:p>
        </w:tc>
        <w:tc>
          <w:tcPr>
            <w:tcW w:w="881" w:type="dxa"/>
          </w:tcPr>
          <w:p>
            <w:pPr>
              <w:pStyle w:val="TableParagraph"/>
              <w:spacing w:line="149" w:lineRule="exact" w:before="35"/>
              <w:ind w:right="111"/>
              <w:jc w:val="right"/>
              <w:rPr>
                <w:sz w:val="13"/>
              </w:rPr>
            </w:pPr>
            <w:r>
              <w:rPr>
                <w:sz w:val="13"/>
              </w:rPr>
              <w:t>Met</w:t>
            </w:r>
          </w:p>
        </w:tc>
      </w:tr>
      <w:tr>
        <w:trPr>
          <w:trHeight w:val="165" w:hRule="atLeast"/>
        </w:trPr>
        <w:tc>
          <w:tcPr>
            <w:tcW w:w="3202" w:type="dxa"/>
          </w:tcPr>
          <w:p>
            <w:pPr>
              <w:pStyle w:val="TableParagraph"/>
              <w:spacing w:line="130" w:lineRule="exact" w:before="16"/>
              <w:ind w:left="33"/>
              <w:rPr>
                <w:sz w:val="13"/>
              </w:rPr>
            </w:pPr>
            <w:r>
              <w:rPr>
                <w:sz w:val="13"/>
              </w:rPr>
              <w:t>Second Prior Year (2019-20)</w:t>
            </w:r>
          </w:p>
        </w:tc>
        <w:tc>
          <w:tcPr>
            <w:tcW w:w="1852" w:type="dxa"/>
          </w:tcPr>
          <w:p>
            <w:pPr>
              <w:pStyle w:val="TableParagraph"/>
              <w:spacing w:line="130" w:lineRule="exact" w:before="16"/>
              <w:ind w:right="40"/>
              <w:jc w:val="right"/>
              <w:rPr>
                <w:sz w:val="13"/>
              </w:rPr>
            </w:pPr>
            <w:r>
              <w:rPr>
                <w:sz w:val="13"/>
              </w:rPr>
              <w:t>(179,214.73)</w:t>
            </w:r>
          </w:p>
        </w:tc>
        <w:tc>
          <w:tcPr>
            <w:tcW w:w="2031" w:type="dxa"/>
          </w:tcPr>
          <w:p>
            <w:pPr>
              <w:pStyle w:val="TableParagraph"/>
              <w:spacing w:line="130" w:lineRule="exact" w:before="16"/>
              <w:ind w:right="159"/>
              <w:jc w:val="right"/>
              <w:rPr>
                <w:sz w:val="13"/>
              </w:rPr>
            </w:pPr>
            <w:r>
              <w:rPr>
                <w:sz w:val="13"/>
              </w:rPr>
              <w:t>1,585,422.51</w:t>
            </w:r>
          </w:p>
        </w:tc>
        <w:tc>
          <w:tcPr>
            <w:tcW w:w="2643" w:type="dxa"/>
          </w:tcPr>
          <w:p>
            <w:pPr>
              <w:pStyle w:val="TableParagraph"/>
              <w:spacing w:line="130" w:lineRule="exact" w:before="16"/>
              <w:ind w:left="81" w:right="464"/>
              <w:jc w:val="center"/>
              <w:rPr>
                <w:sz w:val="13"/>
              </w:rPr>
            </w:pPr>
            <w:r>
              <w:rPr>
                <w:sz w:val="13"/>
              </w:rPr>
              <w:t>11.3%</w:t>
            </w:r>
          </w:p>
        </w:tc>
        <w:tc>
          <w:tcPr>
            <w:tcW w:w="881" w:type="dxa"/>
          </w:tcPr>
          <w:p>
            <w:pPr>
              <w:pStyle w:val="TableParagraph"/>
              <w:spacing w:line="130" w:lineRule="exact" w:before="16"/>
              <w:ind w:right="111"/>
              <w:jc w:val="right"/>
              <w:rPr>
                <w:sz w:val="13"/>
              </w:rPr>
            </w:pPr>
            <w:r>
              <w:rPr>
                <w:sz w:val="13"/>
              </w:rPr>
              <w:t>Met</w:t>
            </w:r>
          </w:p>
        </w:tc>
      </w:tr>
      <w:tr>
        <w:trPr>
          <w:trHeight w:val="203" w:hRule="atLeast"/>
        </w:trPr>
        <w:tc>
          <w:tcPr>
            <w:tcW w:w="3202" w:type="dxa"/>
          </w:tcPr>
          <w:p>
            <w:pPr>
              <w:pStyle w:val="TableParagraph"/>
              <w:spacing w:line="149" w:lineRule="exact" w:before="35"/>
              <w:ind w:left="33"/>
              <w:rPr>
                <w:sz w:val="13"/>
              </w:rPr>
            </w:pPr>
            <w:r>
              <w:rPr>
                <w:sz w:val="13"/>
              </w:rPr>
              <w:t>First Prior Year (2020-21)</w:t>
            </w:r>
          </w:p>
        </w:tc>
        <w:tc>
          <w:tcPr>
            <w:tcW w:w="3883" w:type="dxa"/>
            <w:gridSpan w:val="2"/>
          </w:tcPr>
          <w:p>
            <w:pPr>
              <w:pStyle w:val="TableParagraph"/>
              <w:tabs>
                <w:tab w:pos="2944" w:val="left" w:leader="none"/>
              </w:tabs>
              <w:spacing w:line="149" w:lineRule="exact" w:before="35"/>
              <w:ind w:left="1099"/>
              <w:rPr>
                <w:sz w:val="13"/>
              </w:rPr>
            </w:pPr>
            <w:r>
              <w:rPr>
                <w:sz w:val="13"/>
              </w:rPr>
              <w:t>113,597.00</w:t>
            </w:r>
            <w:r>
              <w:rPr>
                <w:sz w:val="13"/>
                <w:shd w:fill="FFFFFF" w:color="auto" w:val="clear"/>
              </w:rPr>
              <w:tab/>
              <w:t>1,302,403.00</w:t>
            </w:r>
            <w:r>
              <w:rPr>
                <w:spacing w:val="3"/>
                <w:sz w:val="13"/>
                <w:shd w:fill="FFFFFF" w:color="auto" w:val="clear"/>
              </w:rPr>
              <w:t> </w:t>
            </w:r>
          </w:p>
        </w:tc>
        <w:tc>
          <w:tcPr>
            <w:tcW w:w="2643" w:type="dxa"/>
          </w:tcPr>
          <w:p>
            <w:pPr>
              <w:pStyle w:val="TableParagraph"/>
              <w:spacing w:line="149" w:lineRule="exact" w:before="35"/>
              <w:ind w:left="81" w:right="466"/>
              <w:jc w:val="center"/>
              <w:rPr>
                <w:sz w:val="13"/>
              </w:rPr>
            </w:pPr>
            <w:r>
              <w:rPr>
                <w:sz w:val="13"/>
              </w:rPr>
              <w:t>N/A</w:t>
            </w:r>
          </w:p>
        </w:tc>
        <w:tc>
          <w:tcPr>
            <w:tcW w:w="881" w:type="dxa"/>
          </w:tcPr>
          <w:p>
            <w:pPr>
              <w:pStyle w:val="TableParagraph"/>
              <w:spacing w:line="149" w:lineRule="exact" w:before="35"/>
              <w:ind w:right="111"/>
              <w:jc w:val="right"/>
              <w:rPr>
                <w:sz w:val="13"/>
              </w:rPr>
            </w:pPr>
            <w:r>
              <w:rPr>
                <w:sz w:val="13"/>
              </w:rPr>
              <w:t>Met</w:t>
            </w:r>
          </w:p>
        </w:tc>
      </w:tr>
      <w:tr>
        <w:trPr>
          <w:trHeight w:val="165" w:hRule="atLeast"/>
        </w:trPr>
        <w:tc>
          <w:tcPr>
            <w:tcW w:w="3202" w:type="dxa"/>
          </w:tcPr>
          <w:p>
            <w:pPr>
              <w:pStyle w:val="TableParagraph"/>
              <w:spacing w:line="130" w:lineRule="exact" w:before="16"/>
              <w:ind w:left="33"/>
              <w:rPr>
                <w:sz w:val="13"/>
              </w:rPr>
            </w:pPr>
            <w:r>
              <w:rPr>
                <w:sz w:val="13"/>
              </w:rPr>
              <w:t>Budget Year (2021-22) (Information only)</w:t>
            </w:r>
          </w:p>
        </w:tc>
        <w:tc>
          <w:tcPr>
            <w:tcW w:w="3883" w:type="dxa"/>
            <w:gridSpan w:val="2"/>
          </w:tcPr>
          <w:p>
            <w:pPr>
              <w:pStyle w:val="TableParagraph"/>
              <w:tabs>
                <w:tab w:pos="2944" w:val="left" w:leader="none"/>
              </w:tabs>
              <w:spacing w:line="130" w:lineRule="exact" w:before="16"/>
              <w:ind w:left="1173"/>
              <w:rPr>
                <w:sz w:val="13"/>
              </w:rPr>
            </w:pPr>
            <w:r>
              <w:rPr>
                <w:sz w:val="13"/>
              </w:rPr>
              <w:t>41,448.00</w:t>
              <w:tab/>
              <w:t>1,464,681.00</w:t>
            </w:r>
          </w:p>
        </w:tc>
        <w:tc>
          <w:tcPr>
            <w:tcW w:w="2643" w:type="dxa"/>
          </w:tcPr>
          <w:p>
            <w:pPr>
              <w:pStyle w:val="TableParagraph"/>
              <w:rPr>
                <w:rFonts w:ascii="Times New Roman"/>
                <w:sz w:val="10"/>
              </w:rPr>
            </w:pPr>
          </w:p>
        </w:tc>
        <w:tc>
          <w:tcPr>
            <w:tcW w:w="881" w:type="dxa"/>
          </w:tcPr>
          <w:p>
            <w:pPr>
              <w:pStyle w:val="TableParagraph"/>
              <w:rPr>
                <w:rFonts w:ascii="Times New Roman"/>
                <w:sz w:val="10"/>
              </w:rPr>
            </w:pPr>
          </w:p>
        </w:tc>
      </w:tr>
    </w:tbl>
    <w:p>
      <w:pPr>
        <w:pStyle w:val="BodyText"/>
        <w:spacing w:before="10"/>
        <w:rPr>
          <w:sz w:val="11"/>
        </w:rPr>
      </w:pPr>
      <w:r>
        <w:rPr/>
        <w:drawing>
          <wp:anchor distT="0" distB="0" distL="0" distR="0" allowOverlap="1" layoutInCell="1" locked="0" behindDoc="0" simplePos="0" relativeHeight="758">
            <wp:simplePos x="0" y="0"/>
            <wp:positionH relativeFrom="page">
              <wp:posOffset>208788</wp:posOffset>
            </wp:positionH>
            <wp:positionV relativeFrom="paragraph">
              <wp:posOffset>111811</wp:posOffset>
            </wp:positionV>
            <wp:extent cx="7204243" cy="13716"/>
            <wp:effectExtent l="0" t="0" r="0" b="0"/>
            <wp:wrapTopAndBottom/>
            <wp:docPr id="103" name="image1401.png"/>
            <wp:cNvGraphicFramePr>
              <a:graphicFrameLocks noChangeAspect="1"/>
            </wp:cNvGraphicFramePr>
            <a:graphic>
              <a:graphicData uri="http://schemas.openxmlformats.org/drawingml/2006/picture">
                <pic:pic>
                  <pic:nvPicPr>
                    <pic:cNvPr id="104" name="image1401.png"/>
                    <pic:cNvPicPr/>
                  </pic:nvPicPr>
                  <pic:blipFill>
                    <a:blip r:embed="rId1503" cstate="print"/>
                    <a:stretch>
                      <a:fillRect/>
                    </a:stretch>
                  </pic:blipFill>
                  <pic:spPr>
                    <a:xfrm>
                      <a:off x="0" y="0"/>
                      <a:ext cx="7204243" cy="13716"/>
                    </a:xfrm>
                    <a:prstGeom prst="rect">
                      <a:avLst/>
                    </a:prstGeom>
                  </pic:spPr>
                </pic:pic>
              </a:graphicData>
            </a:graphic>
          </wp:anchor>
        </w:drawing>
      </w:r>
    </w:p>
    <w:p>
      <w:pPr>
        <w:pStyle w:val="Heading8"/>
        <w:spacing w:before="0"/>
        <w:ind w:left="322"/>
      </w:pPr>
      <w:r>
        <w:rPr>
          <w:w w:val="105"/>
        </w:rPr>
        <w:t>8C. Comparison of District Deficit Spending to the Standard</w:t>
      </w:r>
    </w:p>
    <w:p>
      <w:pPr>
        <w:pStyle w:val="BodyText"/>
        <w:spacing w:line="21" w:lineRule="exact"/>
        <w:ind w:left="288"/>
        <w:rPr>
          <w:sz w:val="2"/>
        </w:rPr>
      </w:pPr>
      <w:r>
        <w:rPr>
          <w:sz w:val="2"/>
        </w:rPr>
        <w:pict>
          <v:group style="width:567.25pt;height:1.1pt;mso-position-horizontal-relative:char;mso-position-vertical-relative:line" coordorigin="0,0" coordsize="11345,22">
            <v:shape style="position:absolute;left:0;top:0;width:4438;height:22" type="#_x0000_t75" stroked="false">
              <v:imagedata r:id="rId1509" o:title=""/>
            </v:shape>
            <v:shape style="position:absolute;left:4430;top:0;width:6915;height:22" type="#_x0000_t75" stroked="false">
              <v:imagedata r:id="rId1510" o:title=""/>
            </v:shape>
          </v:group>
        </w:pict>
      </w:r>
      <w:r>
        <w:rPr>
          <w:sz w:val="2"/>
        </w:rPr>
      </w:r>
    </w:p>
    <w:p>
      <w:pPr>
        <w:pStyle w:val="BodyText"/>
        <w:spacing w:before="7"/>
        <w:rPr>
          <w:b/>
        </w:rPr>
      </w:pPr>
    </w:p>
    <w:p>
      <w:pPr>
        <w:pStyle w:val="BodyText"/>
        <w:spacing w:before="98"/>
        <w:ind w:left="322"/>
      </w:pPr>
      <w:r>
        <w:rPr/>
        <w:t>DATA ENTRY: Enter an explanation if the standard is not met.</w:t>
      </w:r>
    </w:p>
    <w:p>
      <w:pPr>
        <w:pStyle w:val="BodyText"/>
        <w:spacing w:before="5"/>
        <w:rPr>
          <w:sz w:val="16"/>
        </w:rPr>
      </w:pPr>
    </w:p>
    <w:p>
      <w:pPr>
        <w:pStyle w:val="BodyText"/>
        <w:ind w:left="451"/>
      </w:pPr>
      <w:r>
        <w:rPr/>
        <w:t>1a. STANDARD MET - Unrestricted deficit spending, if any, has not exceeded the standard percentage level in two or more of the three prior years.</w:t>
      </w:r>
    </w:p>
    <w:p>
      <w:pPr>
        <w:pStyle w:val="BodyText"/>
        <w:rPr>
          <w:sz w:val="14"/>
        </w:rPr>
      </w:pPr>
    </w:p>
    <w:p>
      <w:pPr>
        <w:pStyle w:val="BodyText"/>
        <w:rPr>
          <w:sz w:val="14"/>
        </w:rPr>
      </w:pPr>
    </w:p>
    <w:p>
      <w:pPr>
        <w:pStyle w:val="BodyText"/>
        <w:spacing w:before="4"/>
        <w:rPr>
          <w:sz w:val="20"/>
        </w:rPr>
      </w:pPr>
    </w:p>
    <w:p>
      <w:pPr>
        <w:spacing w:before="0"/>
        <w:ind w:left="0" w:right="8810" w:firstLine="0"/>
        <w:jc w:val="center"/>
        <w:rPr>
          <w:b/>
          <w:sz w:val="13"/>
        </w:rPr>
      </w:pPr>
      <w:r>
        <w:rPr/>
        <w:drawing>
          <wp:anchor distT="0" distB="0" distL="0" distR="0" allowOverlap="1" layoutInCell="1" locked="0" behindDoc="0" simplePos="0" relativeHeight="252442624">
            <wp:simplePos x="0" y="0"/>
            <wp:positionH relativeFrom="page">
              <wp:posOffset>1644395</wp:posOffset>
            </wp:positionH>
            <wp:positionV relativeFrom="paragraph">
              <wp:posOffset>-24676</wp:posOffset>
            </wp:positionV>
            <wp:extent cx="5768339" cy="486155"/>
            <wp:effectExtent l="0" t="0" r="0" b="0"/>
            <wp:wrapNone/>
            <wp:docPr id="105" name="image1420.png"/>
            <wp:cNvGraphicFramePr>
              <a:graphicFrameLocks noChangeAspect="1"/>
            </wp:cNvGraphicFramePr>
            <a:graphic>
              <a:graphicData uri="http://schemas.openxmlformats.org/drawingml/2006/picture">
                <pic:pic>
                  <pic:nvPicPr>
                    <pic:cNvPr id="106" name="image1420.png"/>
                    <pic:cNvPicPr/>
                  </pic:nvPicPr>
                  <pic:blipFill>
                    <a:blip r:embed="rId1522" cstate="print"/>
                    <a:stretch>
                      <a:fillRect/>
                    </a:stretch>
                  </pic:blipFill>
                  <pic:spPr>
                    <a:xfrm>
                      <a:off x="0" y="0"/>
                      <a:ext cx="5768339" cy="486155"/>
                    </a:xfrm>
                    <a:prstGeom prst="rect">
                      <a:avLst/>
                    </a:prstGeom>
                  </pic:spPr>
                </pic:pic>
              </a:graphicData>
            </a:graphic>
          </wp:anchor>
        </w:drawing>
      </w:r>
      <w:r>
        <w:rPr>
          <w:b/>
          <w:sz w:val="13"/>
        </w:rPr>
        <w:t>Explanation:</w:t>
      </w:r>
    </w:p>
    <w:p>
      <w:pPr>
        <w:pStyle w:val="BodyText"/>
        <w:spacing w:before="42"/>
        <w:ind w:right="8810"/>
        <w:jc w:val="center"/>
      </w:pPr>
      <w:r>
        <w:rPr/>
        <w:t>(required if NOT met)</w:t>
      </w:r>
    </w:p>
    <w:p>
      <w:pPr>
        <w:spacing w:after="0"/>
        <w:jc w:val="center"/>
        <w:sectPr>
          <w:headerReference w:type="default" r:id="rId1678"/>
          <w:footerReference w:type="default" r:id="rId1679"/>
          <w:pgSz w:w="12240" w:h="15840"/>
          <w:pgMar w:header="402" w:footer="584" w:top="840" w:bottom="780" w:left="40" w:right="40"/>
        </w:sectPr>
      </w:pPr>
    </w:p>
    <w:p>
      <w:pPr>
        <w:pStyle w:val="BodyText"/>
        <w:rPr>
          <w:sz w:val="20"/>
        </w:rPr>
      </w:pPr>
    </w:p>
    <w:p>
      <w:pPr>
        <w:pStyle w:val="BodyText"/>
        <w:rPr>
          <w:sz w:val="20"/>
        </w:rPr>
      </w:pPr>
    </w:p>
    <w:p>
      <w:pPr>
        <w:pStyle w:val="BodyText"/>
        <w:spacing w:before="2"/>
        <w:rPr>
          <w:sz w:val="19"/>
        </w:rPr>
      </w:pPr>
    </w:p>
    <w:p>
      <w:pPr>
        <w:pStyle w:val="Heading4"/>
        <w:numPr>
          <w:ilvl w:val="0"/>
          <w:numId w:val="71"/>
        </w:numPr>
        <w:tabs>
          <w:tab w:pos="821" w:val="left" w:leader="none"/>
          <w:tab w:pos="822" w:val="left" w:leader="none"/>
        </w:tabs>
        <w:spacing w:line="240" w:lineRule="auto" w:before="0" w:after="0"/>
        <w:ind w:left="821" w:right="0" w:hanging="344"/>
        <w:jc w:val="left"/>
      </w:pPr>
      <w:r>
        <w:rPr/>
        <w:t>CRITERION: Fund</w:t>
      </w:r>
      <w:r>
        <w:rPr>
          <w:spacing w:val="-7"/>
        </w:rPr>
        <w:t> </w:t>
      </w:r>
      <w:r>
        <w:rPr/>
        <w:t>Balance</w:t>
      </w:r>
    </w:p>
    <w:p>
      <w:pPr>
        <w:pStyle w:val="BodyText"/>
        <w:spacing w:before="7"/>
        <w:rPr>
          <w:b/>
          <w:sz w:val="21"/>
        </w:rPr>
      </w:pPr>
    </w:p>
    <w:p>
      <w:pPr>
        <w:pStyle w:val="Heading5"/>
        <w:spacing w:line="232" w:lineRule="auto"/>
        <w:ind w:right="622"/>
      </w:pPr>
      <w:r>
        <w:rPr/>
        <w:pict>
          <v:group style="position:absolute;margin-left:268.320007pt;margin-top:37.398811pt;width:315.4pt;height:.4pt;mso-position-horizontal-relative:page;mso-position-vertical-relative:paragraph;z-index:-313919488" coordorigin="5366,748" coordsize="6308,8">
            <v:shape style="position:absolute;left:5366;top:747;width:1964;height:8" type="#_x0000_t75" stroked="false">
              <v:imagedata r:id="rId1506" o:title=""/>
            </v:shape>
            <v:shape style="position:absolute;left:5366;top:747;width:6308;height:8" type="#_x0000_t75" stroked="false">
              <v:imagedata r:id="rId1507" o:title=""/>
            </v:shape>
            <w10:wrap type="none"/>
          </v:group>
        </w:pict>
      </w:r>
      <w:r>
        <w:rPr/>
        <w:t>STANDARD:</w:t>
      </w:r>
      <w:r>
        <w:rPr>
          <w:spacing w:val="-7"/>
        </w:rPr>
        <w:t> </w:t>
      </w:r>
      <w:r>
        <w:rPr/>
        <w:t>Budgeted</w:t>
      </w:r>
      <w:r>
        <w:rPr>
          <w:spacing w:val="-5"/>
        </w:rPr>
        <w:t> </w:t>
      </w:r>
      <w:r>
        <w:rPr/>
        <w:t>beginning</w:t>
      </w:r>
      <w:r>
        <w:rPr>
          <w:spacing w:val="-4"/>
        </w:rPr>
        <w:t> </w:t>
      </w:r>
      <w:r>
        <w:rPr/>
        <w:t>unrestricted</w:t>
      </w:r>
      <w:r>
        <w:rPr>
          <w:spacing w:val="-5"/>
        </w:rPr>
        <w:t> </w:t>
      </w:r>
      <w:r>
        <w:rPr/>
        <w:t>general</w:t>
      </w:r>
      <w:r>
        <w:rPr>
          <w:spacing w:val="-4"/>
        </w:rPr>
        <w:t> </w:t>
      </w:r>
      <w:r>
        <w:rPr/>
        <w:t>fund</w:t>
      </w:r>
      <w:r>
        <w:rPr>
          <w:spacing w:val="-4"/>
        </w:rPr>
        <w:t> </w:t>
      </w:r>
      <w:r>
        <w:rPr/>
        <w:t>balance</w:t>
      </w:r>
      <w:r>
        <w:rPr>
          <w:spacing w:val="-5"/>
        </w:rPr>
        <w:t> </w:t>
      </w:r>
      <w:r>
        <w:rPr/>
        <w:t>has</w:t>
      </w:r>
      <w:r>
        <w:rPr>
          <w:spacing w:val="-5"/>
        </w:rPr>
        <w:t> </w:t>
      </w:r>
      <w:r>
        <w:rPr/>
        <w:t>not</w:t>
      </w:r>
      <w:r>
        <w:rPr>
          <w:spacing w:val="-6"/>
        </w:rPr>
        <w:t> </w:t>
      </w:r>
      <w:r>
        <w:rPr/>
        <w:t>been</w:t>
      </w:r>
      <w:r>
        <w:rPr>
          <w:spacing w:val="-4"/>
        </w:rPr>
        <w:t> </w:t>
      </w:r>
      <w:r>
        <w:rPr/>
        <w:t>overestimated</w:t>
      </w:r>
      <w:r>
        <w:rPr>
          <w:spacing w:val="-5"/>
        </w:rPr>
        <w:t> </w:t>
      </w:r>
      <w:r>
        <w:rPr/>
        <w:t>for</w:t>
      </w:r>
      <w:r>
        <w:rPr>
          <w:spacing w:val="-5"/>
        </w:rPr>
        <w:t> </w:t>
      </w:r>
      <w:r>
        <w:rPr/>
        <w:t>two</w:t>
      </w:r>
      <w:r>
        <w:rPr>
          <w:spacing w:val="-6"/>
        </w:rPr>
        <w:t> </w:t>
      </w:r>
      <w:r>
        <w:rPr/>
        <w:t>out</w:t>
      </w:r>
      <w:r>
        <w:rPr>
          <w:spacing w:val="-6"/>
        </w:rPr>
        <w:t> </w:t>
      </w:r>
      <w:r>
        <w:rPr/>
        <w:t>of</w:t>
      </w:r>
      <w:r>
        <w:rPr>
          <w:spacing w:val="-4"/>
        </w:rPr>
        <w:t> </w:t>
      </w:r>
      <w:r>
        <w:rPr/>
        <w:t>three</w:t>
      </w:r>
      <w:r>
        <w:rPr>
          <w:spacing w:val="-5"/>
        </w:rPr>
        <w:t> </w:t>
      </w:r>
      <w:r>
        <w:rPr/>
        <w:t>prior</w:t>
      </w:r>
      <w:r>
        <w:rPr>
          <w:spacing w:val="-5"/>
        </w:rPr>
        <w:t> </w:t>
      </w:r>
      <w:r>
        <w:rPr/>
        <w:t>fiscal</w:t>
      </w:r>
      <w:r>
        <w:rPr>
          <w:spacing w:val="-4"/>
        </w:rPr>
        <w:t> </w:t>
      </w:r>
      <w:r>
        <w:rPr/>
        <w:t>years</w:t>
      </w:r>
      <w:r>
        <w:rPr>
          <w:spacing w:val="-6"/>
        </w:rPr>
        <w:t> </w:t>
      </w:r>
      <w:r>
        <w:rPr/>
        <w:t>by</w:t>
      </w:r>
      <w:r>
        <w:rPr>
          <w:spacing w:val="-11"/>
        </w:rPr>
        <w:t> </w:t>
      </w:r>
      <w:r>
        <w:rPr/>
        <w:t>more</w:t>
      </w:r>
      <w:r>
        <w:rPr>
          <w:spacing w:val="-4"/>
        </w:rPr>
        <w:t> </w:t>
      </w:r>
      <w:r>
        <w:rPr/>
        <w:t>than</w:t>
      </w:r>
      <w:r>
        <w:rPr>
          <w:spacing w:val="-6"/>
        </w:rPr>
        <w:t> </w:t>
      </w:r>
      <w:r>
        <w:rPr/>
        <w:t>the following percentage</w:t>
      </w:r>
      <w:r>
        <w:rPr>
          <w:spacing w:val="-3"/>
        </w:rPr>
        <w:t> </w:t>
      </w:r>
      <w:r>
        <w:rPr/>
        <w:t>levels:</w:t>
      </w:r>
    </w:p>
    <w:p>
      <w:pPr>
        <w:pStyle w:val="BodyText"/>
        <w:spacing w:before="9"/>
        <w:rPr>
          <w:sz w:val="18"/>
        </w:rPr>
      </w:pPr>
    </w:p>
    <w:tbl>
      <w:tblPr>
        <w:tblW w:w="0" w:type="auto"/>
        <w:jc w:val="left"/>
        <w:tblInd w:w="56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83"/>
        <w:gridCol w:w="1338"/>
        <w:gridCol w:w="1420"/>
        <w:gridCol w:w="842"/>
      </w:tblGrid>
      <w:tr>
        <w:trPr>
          <w:trHeight w:val="192" w:hRule="atLeast"/>
        </w:trPr>
        <w:tc>
          <w:tcPr>
            <w:tcW w:w="1883" w:type="dxa"/>
          </w:tcPr>
          <w:p>
            <w:pPr>
              <w:pStyle w:val="TableParagraph"/>
              <w:spacing w:line="173" w:lineRule="exact"/>
              <w:ind w:left="9" w:right="489"/>
              <w:jc w:val="center"/>
              <w:rPr>
                <w:sz w:val="16"/>
              </w:rPr>
            </w:pPr>
            <w:r>
              <w:rPr>
                <w:sz w:val="16"/>
              </w:rPr>
              <w:t>Percentage Level ¹</w:t>
            </w:r>
          </w:p>
        </w:tc>
        <w:tc>
          <w:tcPr>
            <w:tcW w:w="1338" w:type="dxa"/>
          </w:tcPr>
          <w:p>
            <w:pPr>
              <w:pStyle w:val="TableParagraph"/>
              <w:rPr>
                <w:rFonts w:ascii="Times New Roman"/>
                <w:sz w:val="12"/>
              </w:rPr>
            </w:pPr>
          </w:p>
        </w:tc>
        <w:tc>
          <w:tcPr>
            <w:tcW w:w="1420" w:type="dxa"/>
          </w:tcPr>
          <w:p>
            <w:pPr>
              <w:pStyle w:val="TableParagraph"/>
              <w:spacing w:line="173" w:lineRule="exact"/>
              <w:ind w:right="317"/>
              <w:jc w:val="right"/>
              <w:rPr>
                <w:sz w:val="16"/>
              </w:rPr>
            </w:pPr>
            <w:r>
              <w:rPr>
                <w:sz w:val="16"/>
              </w:rPr>
              <w:t>District ADA</w:t>
            </w:r>
          </w:p>
        </w:tc>
        <w:tc>
          <w:tcPr>
            <w:tcW w:w="842" w:type="dxa"/>
          </w:tcPr>
          <w:p>
            <w:pPr>
              <w:pStyle w:val="TableParagraph"/>
              <w:rPr>
                <w:rFonts w:ascii="Times New Roman"/>
                <w:sz w:val="12"/>
              </w:rPr>
            </w:pPr>
          </w:p>
        </w:tc>
      </w:tr>
      <w:tr>
        <w:trPr>
          <w:trHeight w:val="208" w:hRule="atLeast"/>
        </w:trPr>
        <w:tc>
          <w:tcPr>
            <w:tcW w:w="1883" w:type="dxa"/>
          </w:tcPr>
          <w:p>
            <w:pPr>
              <w:pStyle w:val="TableParagraph"/>
              <w:spacing w:line="180" w:lineRule="exact" w:before="9"/>
              <w:ind w:left="9" w:right="486"/>
              <w:jc w:val="center"/>
              <w:rPr>
                <w:sz w:val="16"/>
              </w:rPr>
            </w:pPr>
            <w:r>
              <w:rPr>
                <w:sz w:val="16"/>
              </w:rPr>
              <w:t>1.7%</w:t>
            </w:r>
          </w:p>
        </w:tc>
        <w:tc>
          <w:tcPr>
            <w:tcW w:w="1338" w:type="dxa"/>
          </w:tcPr>
          <w:p>
            <w:pPr>
              <w:pStyle w:val="TableParagraph"/>
              <w:spacing w:line="180" w:lineRule="exact" w:before="9"/>
              <w:ind w:right="256"/>
              <w:jc w:val="right"/>
              <w:rPr>
                <w:sz w:val="16"/>
              </w:rPr>
            </w:pPr>
            <w:r>
              <w:rPr>
                <w:w w:val="98"/>
                <w:sz w:val="16"/>
              </w:rPr>
              <w:t>0</w:t>
            </w:r>
          </w:p>
        </w:tc>
        <w:tc>
          <w:tcPr>
            <w:tcW w:w="1420" w:type="dxa"/>
          </w:tcPr>
          <w:p>
            <w:pPr>
              <w:pStyle w:val="TableParagraph"/>
              <w:spacing w:line="180" w:lineRule="exact" w:before="9"/>
              <w:ind w:right="281"/>
              <w:jc w:val="right"/>
              <w:rPr>
                <w:sz w:val="16"/>
              </w:rPr>
            </w:pPr>
            <w:r>
              <w:rPr>
                <w:w w:val="95"/>
                <w:sz w:val="16"/>
              </w:rPr>
              <w:t>to</w:t>
            </w:r>
          </w:p>
        </w:tc>
        <w:tc>
          <w:tcPr>
            <w:tcW w:w="842" w:type="dxa"/>
          </w:tcPr>
          <w:p>
            <w:pPr>
              <w:pStyle w:val="TableParagraph"/>
              <w:spacing w:line="180" w:lineRule="exact" w:before="9"/>
              <w:ind w:right="36"/>
              <w:jc w:val="right"/>
              <w:rPr>
                <w:sz w:val="16"/>
              </w:rPr>
            </w:pPr>
            <w:r>
              <w:rPr>
                <w:w w:val="95"/>
                <w:sz w:val="16"/>
              </w:rPr>
              <w:t>300</w:t>
            </w:r>
          </w:p>
        </w:tc>
      </w:tr>
      <w:tr>
        <w:trPr>
          <w:trHeight w:val="208" w:hRule="atLeast"/>
        </w:trPr>
        <w:tc>
          <w:tcPr>
            <w:tcW w:w="1883" w:type="dxa"/>
          </w:tcPr>
          <w:p>
            <w:pPr>
              <w:pStyle w:val="TableParagraph"/>
              <w:spacing w:line="180" w:lineRule="exact" w:before="9"/>
              <w:ind w:left="9" w:right="486"/>
              <w:jc w:val="center"/>
              <w:rPr>
                <w:sz w:val="16"/>
              </w:rPr>
            </w:pPr>
            <w:r>
              <w:rPr>
                <w:sz w:val="16"/>
              </w:rPr>
              <w:t>1.3%</w:t>
            </w:r>
          </w:p>
        </w:tc>
        <w:tc>
          <w:tcPr>
            <w:tcW w:w="1338" w:type="dxa"/>
          </w:tcPr>
          <w:p>
            <w:pPr>
              <w:pStyle w:val="TableParagraph"/>
              <w:spacing w:line="180" w:lineRule="exact" w:before="9"/>
              <w:ind w:right="250"/>
              <w:jc w:val="right"/>
              <w:rPr>
                <w:sz w:val="16"/>
              </w:rPr>
            </w:pPr>
            <w:r>
              <w:rPr>
                <w:w w:val="95"/>
                <w:sz w:val="16"/>
              </w:rPr>
              <w:t>301</w:t>
            </w:r>
          </w:p>
        </w:tc>
        <w:tc>
          <w:tcPr>
            <w:tcW w:w="1420" w:type="dxa"/>
          </w:tcPr>
          <w:p>
            <w:pPr>
              <w:pStyle w:val="TableParagraph"/>
              <w:spacing w:line="180" w:lineRule="exact" w:before="9"/>
              <w:ind w:right="281"/>
              <w:jc w:val="right"/>
              <w:rPr>
                <w:sz w:val="16"/>
              </w:rPr>
            </w:pPr>
            <w:r>
              <w:rPr>
                <w:w w:val="95"/>
                <w:sz w:val="16"/>
              </w:rPr>
              <w:t>to</w:t>
            </w:r>
          </w:p>
        </w:tc>
        <w:tc>
          <w:tcPr>
            <w:tcW w:w="842" w:type="dxa"/>
          </w:tcPr>
          <w:p>
            <w:pPr>
              <w:pStyle w:val="TableParagraph"/>
              <w:spacing w:line="180" w:lineRule="exact" w:before="9"/>
              <w:ind w:right="35"/>
              <w:jc w:val="right"/>
              <w:rPr>
                <w:sz w:val="16"/>
              </w:rPr>
            </w:pPr>
            <w:r>
              <w:rPr>
                <w:w w:val="95"/>
                <w:sz w:val="16"/>
              </w:rPr>
              <w:t>1,000</w:t>
            </w:r>
          </w:p>
        </w:tc>
      </w:tr>
      <w:tr>
        <w:trPr>
          <w:trHeight w:val="208" w:hRule="atLeast"/>
        </w:trPr>
        <w:tc>
          <w:tcPr>
            <w:tcW w:w="1883" w:type="dxa"/>
          </w:tcPr>
          <w:p>
            <w:pPr>
              <w:pStyle w:val="TableParagraph"/>
              <w:spacing w:line="180" w:lineRule="exact" w:before="9"/>
              <w:ind w:left="9" w:right="486"/>
              <w:jc w:val="center"/>
              <w:rPr>
                <w:sz w:val="16"/>
              </w:rPr>
            </w:pPr>
            <w:r>
              <w:rPr>
                <w:sz w:val="16"/>
              </w:rPr>
              <w:t>1.0%</w:t>
            </w:r>
          </w:p>
        </w:tc>
        <w:tc>
          <w:tcPr>
            <w:tcW w:w="1338" w:type="dxa"/>
          </w:tcPr>
          <w:p>
            <w:pPr>
              <w:pStyle w:val="TableParagraph"/>
              <w:spacing w:line="180" w:lineRule="exact" w:before="9"/>
              <w:ind w:right="250"/>
              <w:jc w:val="right"/>
              <w:rPr>
                <w:sz w:val="16"/>
              </w:rPr>
            </w:pPr>
            <w:r>
              <w:rPr>
                <w:w w:val="95"/>
                <w:sz w:val="16"/>
              </w:rPr>
              <w:t>1,001</w:t>
            </w:r>
          </w:p>
        </w:tc>
        <w:tc>
          <w:tcPr>
            <w:tcW w:w="1420" w:type="dxa"/>
          </w:tcPr>
          <w:p>
            <w:pPr>
              <w:pStyle w:val="TableParagraph"/>
              <w:spacing w:line="180" w:lineRule="exact" w:before="9"/>
              <w:ind w:right="281"/>
              <w:jc w:val="right"/>
              <w:rPr>
                <w:sz w:val="16"/>
              </w:rPr>
            </w:pPr>
            <w:r>
              <w:rPr>
                <w:w w:val="95"/>
                <w:sz w:val="16"/>
              </w:rPr>
              <w:t>to</w:t>
            </w:r>
          </w:p>
        </w:tc>
        <w:tc>
          <w:tcPr>
            <w:tcW w:w="842" w:type="dxa"/>
          </w:tcPr>
          <w:p>
            <w:pPr>
              <w:pStyle w:val="TableParagraph"/>
              <w:spacing w:line="180" w:lineRule="exact" w:before="9"/>
              <w:ind w:right="31"/>
              <w:jc w:val="right"/>
              <w:rPr>
                <w:sz w:val="16"/>
              </w:rPr>
            </w:pPr>
            <w:r>
              <w:rPr>
                <w:w w:val="95"/>
                <w:sz w:val="16"/>
              </w:rPr>
              <w:t>30,000</w:t>
            </w:r>
          </w:p>
        </w:tc>
      </w:tr>
      <w:tr>
        <w:trPr>
          <w:trHeight w:val="208" w:hRule="atLeast"/>
        </w:trPr>
        <w:tc>
          <w:tcPr>
            <w:tcW w:w="1883" w:type="dxa"/>
          </w:tcPr>
          <w:p>
            <w:pPr>
              <w:pStyle w:val="TableParagraph"/>
              <w:spacing w:line="180" w:lineRule="exact" w:before="9"/>
              <w:ind w:left="9" w:right="486"/>
              <w:jc w:val="center"/>
              <w:rPr>
                <w:sz w:val="16"/>
              </w:rPr>
            </w:pPr>
            <w:r>
              <w:rPr>
                <w:sz w:val="16"/>
              </w:rPr>
              <w:t>0.7%</w:t>
            </w:r>
          </w:p>
        </w:tc>
        <w:tc>
          <w:tcPr>
            <w:tcW w:w="1338" w:type="dxa"/>
          </w:tcPr>
          <w:p>
            <w:pPr>
              <w:pStyle w:val="TableParagraph"/>
              <w:spacing w:line="180" w:lineRule="exact" w:before="9"/>
              <w:ind w:right="245"/>
              <w:jc w:val="right"/>
              <w:rPr>
                <w:sz w:val="16"/>
              </w:rPr>
            </w:pPr>
            <w:r>
              <w:rPr>
                <w:w w:val="95"/>
                <w:sz w:val="16"/>
              </w:rPr>
              <w:t>30,001</w:t>
            </w:r>
          </w:p>
        </w:tc>
        <w:tc>
          <w:tcPr>
            <w:tcW w:w="1420" w:type="dxa"/>
          </w:tcPr>
          <w:p>
            <w:pPr>
              <w:pStyle w:val="TableParagraph"/>
              <w:spacing w:line="180" w:lineRule="exact" w:before="9"/>
              <w:ind w:right="281"/>
              <w:jc w:val="right"/>
              <w:rPr>
                <w:sz w:val="16"/>
              </w:rPr>
            </w:pPr>
            <w:r>
              <w:rPr>
                <w:w w:val="95"/>
                <w:sz w:val="16"/>
              </w:rPr>
              <w:t>to</w:t>
            </w:r>
          </w:p>
        </w:tc>
        <w:tc>
          <w:tcPr>
            <w:tcW w:w="842" w:type="dxa"/>
          </w:tcPr>
          <w:p>
            <w:pPr>
              <w:pStyle w:val="TableParagraph"/>
              <w:spacing w:line="180" w:lineRule="exact" w:before="9"/>
              <w:ind w:right="30"/>
              <w:jc w:val="right"/>
              <w:rPr>
                <w:sz w:val="16"/>
              </w:rPr>
            </w:pPr>
            <w:r>
              <w:rPr>
                <w:w w:val="95"/>
                <w:sz w:val="16"/>
              </w:rPr>
              <w:t>400,000</w:t>
            </w:r>
          </w:p>
        </w:tc>
      </w:tr>
      <w:tr>
        <w:trPr>
          <w:trHeight w:val="192" w:hRule="atLeast"/>
        </w:trPr>
        <w:tc>
          <w:tcPr>
            <w:tcW w:w="1883" w:type="dxa"/>
          </w:tcPr>
          <w:p>
            <w:pPr>
              <w:pStyle w:val="TableParagraph"/>
              <w:spacing w:line="164" w:lineRule="exact" w:before="9"/>
              <w:ind w:left="9" w:right="486"/>
              <w:jc w:val="center"/>
              <w:rPr>
                <w:sz w:val="16"/>
              </w:rPr>
            </w:pPr>
            <w:r>
              <w:rPr>
                <w:sz w:val="16"/>
              </w:rPr>
              <w:t>0.3%</w:t>
            </w:r>
          </w:p>
        </w:tc>
        <w:tc>
          <w:tcPr>
            <w:tcW w:w="1338" w:type="dxa"/>
          </w:tcPr>
          <w:p>
            <w:pPr>
              <w:pStyle w:val="TableParagraph"/>
              <w:spacing w:line="164" w:lineRule="exact" w:before="9"/>
              <w:ind w:right="245"/>
              <w:jc w:val="right"/>
              <w:rPr>
                <w:sz w:val="16"/>
              </w:rPr>
            </w:pPr>
            <w:r>
              <w:rPr>
                <w:w w:val="95"/>
                <w:sz w:val="16"/>
              </w:rPr>
              <w:t>400,001</w:t>
            </w:r>
          </w:p>
        </w:tc>
        <w:tc>
          <w:tcPr>
            <w:tcW w:w="1420" w:type="dxa"/>
          </w:tcPr>
          <w:p>
            <w:pPr>
              <w:pStyle w:val="TableParagraph"/>
              <w:spacing w:line="164" w:lineRule="exact" w:before="9"/>
              <w:ind w:right="232"/>
              <w:jc w:val="right"/>
              <w:rPr>
                <w:sz w:val="16"/>
              </w:rPr>
            </w:pPr>
            <w:r>
              <w:rPr>
                <w:w w:val="95"/>
                <w:sz w:val="16"/>
              </w:rPr>
              <w:t>and</w:t>
            </w:r>
          </w:p>
        </w:tc>
        <w:tc>
          <w:tcPr>
            <w:tcW w:w="842" w:type="dxa"/>
          </w:tcPr>
          <w:p>
            <w:pPr>
              <w:pStyle w:val="TableParagraph"/>
              <w:spacing w:line="164" w:lineRule="exact" w:before="9"/>
              <w:ind w:right="32"/>
              <w:jc w:val="right"/>
              <w:rPr>
                <w:sz w:val="16"/>
              </w:rPr>
            </w:pPr>
            <w:r>
              <w:rPr>
                <w:w w:val="95"/>
                <w:sz w:val="16"/>
              </w:rPr>
              <w:t>over</w:t>
            </w:r>
          </w:p>
        </w:tc>
      </w:tr>
    </w:tbl>
    <w:p>
      <w:pPr>
        <w:spacing w:after="0" w:line="164" w:lineRule="exact"/>
        <w:jc w:val="right"/>
        <w:rPr>
          <w:sz w:val="16"/>
        </w:rPr>
        <w:sectPr>
          <w:headerReference w:type="default" r:id="rId1695"/>
          <w:footerReference w:type="default" r:id="rId1696"/>
          <w:pgSz w:w="12240" w:h="15840"/>
          <w:pgMar w:header="402" w:footer="584" w:top="840" w:bottom="780" w:left="40" w:right="40"/>
          <w:pgNumType w:start="1"/>
        </w:sectPr>
      </w:pPr>
    </w:p>
    <w:p>
      <w:pPr>
        <w:pStyle w:val="BodyText"/>
        <w:rPr>
          <w:sz w:val="14"/>
        </w:rPr>
      </w:pPr>
    </w:p>
    <w:p>
      <w:pPr>
        <w:pStyle w:val="BodyText"/>
        <w:rPr>
          <w:sz w:val="14"/>
        </w:rPr>
      </w:pPr>
    </w:p>
    <w:p>
      <w:pPr>
        <w:pStyle w:val="BodyText"/>
        <w:rPr>
          <w:sz w:val="14"/>
        </w:rPr>
      </w:pPr>
    </w:p>
    <w:p>
      <w:pPr>
        <w:pStyle w:val="BodyText"/>
        <w:spacing w:before="86"/>
        <w:ind w:left="2038"/>
      </w:pPr>
      <w:r>
        <w:rPr/>
        <w:pict>
          <v:group style="position:absolute;margin-left:268.320007pt;margin-top:4.036885pt;width:98.2pt;height:9.6pt;mso-position-horizontal-relative:page;mso-position-vertical-relative:paragraph;z-index:252449792" coordorigin="5366,81" coordsize="1964,192">
            <v:shape style="position:absolute;left:5366;top:80;width:1964;height:192" type="#_x0000_t75" stroked="false">
              <v:imagedata r:id="rId1523" o:title=""/>
            </v:shape>
            <v:shape style="position:absolute;left:5366;top:80;width:1964;height:192" type="#_x0000_t202" filled="false" stroked="false">
              <v:textbox inset="0,0,0,0">
                <w:txbxContent>
                  <w:p>
                    <w:pPr>
                      <w:spacing w:before="36"/>
                      <w:ind w:left="811" w:right="811" w:firstLine="0"/>
                      <w:jc w:val="center"/>
                      <w:rPr>
                        <w:sz w:val="13"/>
                      </w:rPr>
                    </w:pPr>
                    <w:r>
                      <w:rPr>
                        <w:sz w:val="13"/>
                      </w:rPr>
                      <w:t>115</w:t>
                    </w:r>
                  </w:p>
                </w:txbxContent>
              </v:textbox>
              <w10:wrap type="none"/>
            </v:shape>
            <w10:wrap type="none"/>
          </v:group>
        </w:pict>
      </w:r>
      <w:r>
        <w:rPr/>
        <w:t>District Estimated P-2 ADA (Form A, Lines A6 and C4):</w:t>
      </w:r>
    </w:p>
    <w:p>
      <w:pPr>
        <w:pStyle w:val="BodyText"/>
        <w:spacing w:before="96"/>
        <w:ind w:left="57" w:right="229"/>
      </w:pPr>
      <w:r>
        <w:rPr/>
        <w:br w:type="column"/>
      </w:r>
      <w:r>
        <w:rPr/>
        <w:t>¹ Percentage levels equate to a rate of deficit spending which would eliminate recommended reserves for economic uncertainties over a three year period.</w:t>
      </w:r>
    </w:p>
    <w:p>
      <w:pPr>
        <w:spacing w:after="0"/>
        <w:sectPr>
          <w:type w:val="continuous"/>
          <w:pgSz w:w="12240" w:h="15840"/>
          <w:pgMar w:top="1500" w:bottom="840" w:left="40" w:right="40"/>
          <w:cols w:num="2" w:equalWidth="0">
            <w:col w:w="5263" w:space="40"/>
            <w:col w:w="6857"/>
          </w:cols>
        </w:sectPr>
      </w:pPr>
    </w:p>
    <w:p>
      <w:pPr>
        <w:pStyle w:val="BodyText"/>
        <w:spacing w:before="4"/>
        <w:rPr>
          <w:sz w:val="22"/>
        </w:rPr>
      </w:pPr>
    </w:p>
    <w:p>
      <w:pPr>
        <w:spacing w:before="98"/>
        <w:ind w:left="2050" w:right="0" w:firstLine="0"/>
        <w:jc w:val="left"/>
        <w:rPr>
          <w:b/>
          <w:sz w:val="13"/>
        </w:rPr>
      </w:pPr>
      <w:r>
        <w:rPr/>
        <w:pict>
          <v:group style="position:absolute;margin-left:268.320007pt;margin-top:-3.403062pt;width:98.2pt;height:16.2pt;mso-position-horizontal-relative:page;mso-position-vertical-relative:paragraph;z-index:252451840" coordorigin="5366,-68" coordsize="1964,324">
            <v:shape style="position:absolute;left:5366;top:-69;width:1964;height:324" type="#_x0000_t75" stroked="false">
              <v:imagedata r:id="rId1524" o:title=""/>
            </v:shape>
            <v:shape style="position:absolute;left:5366;top:-69;width:1964;height:324" type="#_x0000_t202" filled="false" stroked="false">
              <v:textbox inset="0,0,0,0">
                <w:txbxContent>
                  <w:p>
                    <w:pPr>
                      <w:spacing w:line="240" w:lineRule="auto" w:before="5"/>
                      <w:rPr>
                        <w:sz w:val="14"/>
                      </w:rPr>
                    </w:pPr>
                  </w:p>
                  <w:p>
                    <w:pPr>
                      <w:spacing w:before="0"/>
                      <w:ind w:left="815" w:right="811" w:firstLine="0"/>
                      <w:jc w:val="center"/>
                      <w:rPr>
                        <w:b/>
                        <w:sz w:val="13"/>
                      </w:rPr>
                    </w:pPr>
                    <w:r>
                      <w:rPr>
                        <w:b/>
                        <w:sz w:val="13"/>
                      </w:rPr>
                      <w:t>1.7%</w:t>
                    </w:r>
                  </w:p>
                </w:txbxContent>
              </v:textbox>
              <w10:wrap type="none"/>
            </v:shape>
            <w10:wrap type="none"/>
          </v:group>
        </w:pict>
      </w:r>
      <w:r>
        <w:rPr>
          <w:b/>
          <w:sz w:val="13"/>
        </w:rPr>
        <w:t>District's Fund Balance Standard Percentage Level:</w:t>
      </w:r>
    </w:p>
    <w:p>
      <w:pPr>
        <w:pStyle w:val="BodyText"/>
        <w:spacing w:before="1"/>
        <w:rPr>
          <w:b/>
          <w:sz w:val="12"/>
        </w:rPr>
      </w:pPr>
      <w:r>
        <w:rPr/>
        <w:pict>
          <v:group style="position:absolute;margin-left:16.440001pt;margin-top:8.939217pt;width:567.25pt;height:10.95pt;mso-position-horizontal-relative:page;mso-position-vertical-relative:paragraph;z-index:-250871808;mso-wrap-distance-left:0;mso-wrap-distance-right:0" coordorigin="329,179" coordsize="11345,219">
            <v:shape style="position:absolute;left:328;top:178;width:11345;height:22" type="#_x0000_t75" stroked="false">
              <v:imagedata r:id="rId1503" o:title=""/>
            </v:shape>
            <v:line style="position:absolute" from="829,191" to="829,380" stroked="true" strokeweight=".359999pt" strokecolor="#ffffff">
              <v:stroke dashstyle="solid"/>
            </v:line>
            <v:line style="position:absolute" from="2591,191" to="2591,380" stroked="true" strokeweight=".360008pt" strokecolor="#ffffff">
              <v:stroke dashstyle="solid"/>
            </v:line>
            <v:line style="position:absolute" from="3325,191" to="3325,380" stroked="true" strokeweight=".359997pt" strokecolor="#ffffff">
              <v:stroke dashstyle="solid"/>
            </v:line>
            <v:line style="position:absolute" from="4760,191" to="4760,380" stroked="true" strokeweight=".360008pt" strokecolor="#ffffff">
              <v:stroke dashstyle="solid"/>
            </v:line>
            <v:shape style="position:absolute;left:328;top:375;width:7001;height:22" type="#_x0000_t75" stroked="false">
              <v:imagedata r:id="rId1629" o:title=""/>
            </v:shape>
            <v:line style="position:absolute" from="5368,191" to="5368,380" stroked="true" strokeweight=".359986pt" strokecolor="#ffffff">
              <v:stroke dashstyle="solid"/>
            </v:line>
            <v:line style="position:absolute" from="6335,191" to="6335,380" stroked="true" strokeweight=".360008pt" strokecolor="#ffffff">
              <v:stroke dashstyle="solid"/>
            </v:line>
            <v:shape style="position:absolute;left:328;top:178;width:11345;height:22" type="#_x0000_t75" stroked="false">
              <v:imagedata r:id="rId1503" o:title=""/>
            </v:shape>
            <v:shape style="position:absolute;left:7322;top:375;width:4352;height:22" type="#_x0000_t75" stroked="false">
              <v:imagedata r:id="rId1611" o:title=""/>
            </v:shape>
            <v:shape style="position:absolute;left:328;top:178;width:11345;height:219" type="#_x0000_t202" filled="false" stroked="false">
              <v:textbox inset="0,0,0,0">
                <w:txbxContent>
                  <w:p>
                    <w:pPr>
                      <w:spacing w:before="41"/>
                      <w:ind w:left="33" w:right="0" w:firstLine="0"/>
                      <w:jc w:val="left"/>
                      <w:rPr>
                        <w:b/>
                        <w:sz w:val="14"/>
                      </w:rPr>
                    </w:pPr>
                    <w:r>
                      <w:rPr>
                        <w:b/>
                        <w:w w:val="105"/>
                        <w:sz w:val="14"/>
                      </w:rPr>
                      <w:t>9A. Calculating the District's Unrestricted General Fund Beginning Balance Percentages</w:t>
                    </w:r>
                  </w:p>
                </w:txbxContent>
              </v:textbox>
              <w10:wrap type="none"/>
            </v:shape>
            <w10:wrap type="topAndBottom"/>
          </v:group>
        </w:pict>
      </w:r>
    </w:p>
    <w:p>
      <w:pPr>
        <w:pStyle w:val="BodyText"/>
        <w:rPr>
          <w:b/>
          <w:sz w:val="7"/>
        </w:rPr>
      </w:pPr>
    </w:p>
    <w:p>
      <w:pPr>
        <w:pStyle w:val="BodyText"/>
        <w:spacing w:before="97"/>
        <w:ind w:left="322"/>
      </w:pPr>
      <w:r>
        <w:rPr/>
        <w:t>DATA ENTRY: Enter data in the Original Budget column for the First, Second, and Third Prior Years; all other data are extracted or calculated.</w:t>
      </w:r>
    </w:p>
    <w:p>
      <w:pPr>
        <w:pStyle w:val="BodyText"/>
        <w:spacing w:before="2"/>
        <w:rPr>
          <w:sz w:val="19"/>
        </w:rPr>
      </w:pPr>
    </w:p>
    <w:p>
      <w:pPr>
        <w:pStyle w:val="BodyText"/>
        <w:tabs>
          <w:tab w:pos="7779" w:val="left" w:leader="none"/>
          <w:tab w:pos="8062" w:val="left" w:leader="none"/>
        </w:tabs>
        <w:spacing w:line="297" w:lineRule="auto"/>
        <w:ind w:left="4064" w:right="2935" w:hanging="166"/>
      </w:pPr>
      <w:r>
        <w:rPr/>
        <w:pict>
          <v:group style="position:absolute;margin-left:16.440001pt;margin-top:25.896919pt;width:567.25pt;height:28.1pt;mso-position-horizontal-relative:page;mso-position-vertical-relative:paragraph;z-index:-313914368" coordorigin="329,518" coordsize="11345,562">
            <v:shape style="position:absolute;left:328;top:517;width:2268;height:8" type="#_x0000_t75" stroked="false">
              <v:imagedata r:id="rId1604" o:title=""/>
            </v:shape>
            <v:shape style="position:absolute;left:2589;top:517;width:9084;height:188" type="#_x0000_t75" stroked="false">
              <v:imagedata r:id="rId1689" o:title=""/>
            </v:shape>
            <v:shape style="position:absolute;left:3324;top:517;width:8350;height:372" type="#_x0000_t75" stroked="false">
              <v:imagedata r:id="rId1690" o:title=""/>
            </v:shape>
            <v:shape style="position:absolute;left:3324;top:887;width:2050;height:188" type="#_x0000_t75" stroked="false">
              <v:imagedata r:id="rId1691" o:title=""/>
            </v:shape>
            <v:shape style="position:absolute;left:5366;top:702;width:6308;height:377" type="#_x0000_t75" stroked="false">
              <v:imagedata r:id="rId1693" o:title=""/>
            </v:shape>
            <v:shape style="position:absolute;left:9753;top:887;width:1920;height:192" type="#_x0000_t75" stroked="false">
              <v:imagedata r:id="rId1603" o:title=""/>
            </v:shape>
            <w10:wrap type="none"/>
          </v:group>
        </w:pict>
      </w:r>
      <w:r>
        <w:rPr/>
        <w:t>Unrestricted General Fund Beginning</w:t>
      </w:r>
      <w:r>
        <w:rPr>
          <w:spacing w:val="21"/>
        </w:rPr>
        <w:t> </w:t>
      </w:r>
      <w:r>
        <w:rPr/>
        <w:t>Balance</w:t>
      </w:r>
      <w:r>
        <w:rPr>
          <w:spacing w:val="6"/>
        </w:rPr>
        <w:t> </w:t>
      </w:r>
      <w:r>
        <w:rPr/>
        <w:t>²</w:t>
        <w:tab/>
        <w:t>Beginning Fund Balance (Form 01, Line F1e,</w:t>
      </w:r>
      <w:r>
        <w:rPr>
          <w:spacing w:val="19"/>
        </w:rPr>
        <w:t> </w:t>
      </w:r>
      <w:r>
        <w:rPr/>
        <w:t>Unrestricted</w:t>
      </w:r>
      <w:r>
        <w:rPr>
          <w:spacing w:val="4"/>
        </w:rPr>
        <w:t> </w:t>
      </w:r>
      <w:r>
        <w:rPr/>
        <w:t>Column)</w:t>
        <w:tab/>
        <w:tab/>
        <w:t>Variance</w:t>
      </w:r>
      <w:r>
        <w:rPr>
          <w:spacing w:val="1"/>
        </w:rPr>
        <w:t> </w:t>
      </w:r>
      <w:r>
        <w:rPr/>
        <w:t>Level</w:t>
      </w:r>
    </w:p>
    <w:tbl>
      <w:tblPr>
        <w:tblW w:w="0" w:type="auto"/>
        <w:jc w:val="left"/>
        <w:tblInd w:w="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03"/>
        <w:gridCol w:w="2039"/>
        <w:gridCol w:w="1955"/>
        <w:gridCol w:w="2607"/>
        <w:gridCol w:w="999"/>
      </w:tblGrid>
      <w:tr>
        <w:trPr>
          <w:trHeight w:val="165" w:hRule="atLeast"/>
        </w:trPr>
        <w:tc>
          <w:tcPr>
            <w:tcW w:w="3003" w:type="dxa"/>
          </w:tcPr>
          <w:p>
            <w:pPr>
              <w:pStyle w:val="TableParagraph"/>
              <w:spacing w:line="146" w:lineRule="exact"/>
              <w:ind w:left="809"/>
              <w:rPr>
                <w:sz w:val="13"/>
              </w:rPr>
            </w:pPr>
            <w:r>
              <w:rPr>
                <w:sz w:val="13"/>
              </w:rPr>
              <w:t>Fiscal Year</w:t>
            </w:r>
          </w:p>
        </w:tc>
        <w:tc>
          <w:tcPr>
            <w:tcW w:w="2039" w:type="dxa"/>
          </w:tcPr>
          <w:p>
            <w:pPr>
              <w:pStyle w:val="TableParagraph"/>
              <w:spacing w:line="146" w:lineRule="exact"/>
              <w:ind w:left="564"/>
              <w:rPr>
                <w:sz w:val="13"/>
              </w:rPr>
            </w:pPr>
            <w:r>
              <w:rPr>
                <w:sz w:val="13"/>
              </w:rPr>
              <w:t>Original Budget</w:t>
            </w:r>
          </w:p>
        </w:tc>
        <w:tc>
          <w:tcPr>
            <w:tcW w:w="1955" w:type="dxa"/>
          </w:tcPr>
          <w:p>
            <w:pPr>
              <w:pStyle w:val="TableParagraph"/>
              <w:spacing w:line="146" w:lineRule="exact"/>
              <w:ind w:left="128"/>
              <w:rPr>
                <w:sz w:val="13"/>
              </w:rPr>
            </w:pPr>
            <w:r>
              <w:rPr>
                <w:sz w:val="13"/>
              </w:rPr>
              <w:t>Estimated/Unaudited Actuals</w:t>
            </w:r>
          </w:p>
        </w:tc>
        <w:tc>
          <w:tcPr>
            <w:tcW w:w="2607" w:type="dxa"/>
          </w:tcPr>
          <w:p>
            <w:pPr>
              <w:pStyle w:val="TableParagraph"/>
              <w:spacing w:line="146" w:lineRule="exact"/>
              <w:ind w:left="410" w:right="581"/>
              <w:jc w:val="center"/>
              <w:rPr>
                <w:sz w:val="13"/>
              </w:rPr>
            </w:pPr>
            <w:r>
              <w:rPr>
                <w:sz w:val="13"/>
              </w:rPr>
              <w:t>(If overestimated, else N/A)</w:t>
            </w:r>
          </w:p>
        </w:tc>
        <w:tc>
          <w:tcPr>
            <w:tcW w:w="999" w:type="dxa"/>
          </w:tcPr>
          <w:p>
            <w:pPr>
              <w:pStyle w:val="TableParagraph"/>
              <w:spacing w:line="146" w:lineRule="exact"/>
              <w:ind w:right="28"/>
              <w:jc w:val="right"/>
              <w:rPr>
                <w:sz w:val="13"/>
              </w:rPr>
            </w:pPr>
            <w:r>
              <w:rPr>
                <w:sz w:val="13"/>
              </w:rPr>
              <w:t>Status</w:t>
            </w:r>
          </w:p>
        </w:tc>
      </w:tr>
      <w:tr>
        <w:trPr>
          <w:trHeight w:val="184" w:hRule="atLeast"/>
        </w:trPr>
        <w:tc>
          <w:tcPr>
            <w:tcW w:w="3003" w:type="dxa"/>
          </w:tcPr>
          <w:p>
            <w:pPr>
              <w:pStyle w:val="TableParagraph"/>
              <w:spacing w:line="149" w:lineRule="exact" w:before="16"/>
              <w:ind w:left="34"/>
              <w:rPr>
                <w:sz w:val="13"/>
              </w:rPr>
            </w:pPr>
            <w:r>
              <w:rPr>
                <w:sz w:val="13"/>
              </w:rPr>
              <w:t>Third Prior Year (2018-19)</w:t>
            </w:r>
          </w:p>
        </w:tc>
        <w:tc>
          <w:tcPr>
            <w:tcW w:w="2039" w:type="dxa"/>
          </w:tcPr>
          <w:p>
            <w:pPr>
              <w:pStyle w:val="TableParagraph"/>
              <w:spacing w:line="149" w:lineRule="exact" w:before="16"/>
              <w:ind w:right="72"/>
              <w:jc w:val="right"/>
              <w:rPr>
                <w:sz w:val="13"/>
              </w:rPr>
            </w:pPr>
            <w:r>
              <w:rPr>
                <w:sz w:val="13"/>
              </w:rPr>
              <w:t>2,165,921.77</w:t>
            </w:r>
          </w:p>
        </w:tc>
        <w:tc>
          <w:tcPr>
            <w:tcW w:w="1955" w:type="dxa"/>
          </w:tcPr>
          <w:p>
            <w:pPr>
              <w:pStyle w:val="TableParagraph"/>
              <w:spacing w:line="149" w:lineRule="exact" w:before="16"/>
              <w:ind w:right="71"/>
              <w:jc w:val="right"/>
              <w:rPr>
                <w:sz w:val="13"/>
              </w:rPr>
            </w:pPr>
            <w:r>
              <w:rPr>
                <w:sz w:val="13"/>
              </w:rPr>
              <w:t>2,219,137.12</w:t>
            </w:r>
          </w:p>
        </w:tc>
        <w:tc>
          <w:tcPr>
            <w:tcW w:w="2607" w:type="dxa"/>
          </w:tcPr>
          <w:p>
            <w:pPr>
              <w:pStyle w:val="TableParagraph"/>
              <w:spacing w:line="149" w:lineRule="exact" w:before="16"/>
              <w:ind w:left="408" w:right="581"/>
              <w:jc w:val="center"/>
              <w:rPr>
                <w:sz w:val="13"/>
              </w:rPr>
            </w:pPr>
            <w:r>
              <w:rPr>
                <w:sz w:val="13"/>
              </w:rPr>
              <w:t>N/A</w:t>
            </w:r>
          </w:p>
        </w:tc>
        <w:tc>
          <w:tcPr>
            <w:tcW w:w="999" w:type="dxa"/>
          </w:tcPr>
          <w:p>
            <w:pPr>
              <w:pStyle w:val="TableParagraph"/>
              <w:spacing w:line="149" w:lineRule="exact" w:before="16"/>
              <w:ind w:right="105"/>
              <w:jc w:val="right"/>
              <w:rPr>
                <w:sz w:val="13"/>
              </w:rPr>
            </w:pPr>
            <w:r>
              <w:rPr>
                <w:sz w:val="13"/>
              </w:rPr>
              <w:t>Met</w:t>
            </w:r>
          </w:p>
        </w:tc>
      </w:tr>
      <w:tr>
        <w:trPr>
          <w:trHeight w:val="169" w:hRule="atLeast"/>
        </w:trPr>
        <w:tc>
          <w:tcPr>
            <w:tcW w:w="3003" w:type="dxa"/>
          </w:tcPr>
          <w:p>
            <w:pPr>
              <w:pStyle w:val="TableParagraph"/>
              <w:spacing w:line="133" w:lineRule="exact" w:before="16"/>
              <w:ind w:left="34"/>
              <w:rPr>
                <w:sz w:val="13"/>
              </w:rPr>
            </w:pPr>
            <w:r>
              <w:rPr>
                <w:sz w:val="13"/>
              </w:rPr>
              <w:t>Second Prior Year (2019-20)</w:t>
            </w:r>
          </w:p>
        </w:tc>
        <w:tc>
          <w:tcPr>
            <w:tcW w:w="2039" w:type="dxa"/>
          </w:tcPr>
          <w:p>
            <w:pPr>
              <w:pStyle w:val="TableParagraph"/>
              <w:spacing w:line="133" w:lineRule="exact" w:before="16"/>
              <w:ind w:right="72"/>
              <w:jc w:val="right"/>
              <w:rPr>
                <w:sz w:val="13"/>
              </w:rPr>
            </w:pPr>
            <w:r>
              <w:rPr>
                <w:sz w:val="13"/>
              </w:rPr>
              <w:t>2,486,408.12</w:t>
            </w:r>
          </w:p>
        </w:tc>
        <w:tc>
          <w:tcPr>
            <w:tcW w:w="1955" w:type="dxa"/>
          </w:tcPr>
          <w:p>
            <w:pPr>
              <w:pStyle w:val="TableParagraph"/>
              <w:spacing w:line="133" w:lineRule="exact" w:before="16"/>
              <w:ind w:right="71"/>
              <w:jc w:val="right"/>
              <w:rPr>
                <w:sz w:val="13"/>
              </w:rPr>
            </w:pPr>
            <w:r>
              <w:rPr>
                <w:sz w:val="13"/>
              </w:rPr>
              <w:t>2,566,147.09</w:t>
            </w:r>
          </w:p>
        </w:tc>
        <w:tc>
          <w:tcPr>
            <w:tcW w:w="2607" w:type="dxa"/>
          </w:tcPr>
          <w:p>
            <w:pPr>
              <w:pStyle w:val="TableParagraph"/>
              <w:spacing w:line="133" w:lineRule="exact" w:before="16"/>
              <w:ind w:left="408" w:right="581"/>
              <w:jc w:val="center"/>
              <w:rPr>
                <w:sz w:val="13"/>
              </w:rPr>
            </w:pPr>
            <w:r>
              <w:rPr>
                <w:sz w:val="13"/>
              </w:rPr>
              <w:t>N/A</w:t>
            </w:r>
          </w:p>
        </w:tc>
        <w:tc>
          <w:tcPr>
            <w:tcW w:w="999" w:type="dxa"/>
          </w:tcPr>
          <w:p>
            <w:pPr>
              <w:pStyle w:val="TableParagraph"/>
              <w:spacing w:line="133" w:lineRule="exact" w:before="16"/>
              <w:ind w:right="105"/>
              <w:jc w:val="right"/>
              <w:rPr>
                <w:sz w:val="13"/>
              </w:rPr>
            </w:pPr>
            <w:r>
              <w:rPr>
                <w:sz w:val="13"/>
              </w:rPr>
              <w:t>Met</w:t>
            </w:r>
          </w:p>
        </w:tc>
      </w:tr>
      <w:tr>
        <w:trPr>
          <w:trHeight w:val="184" w:hRule="atLeast"/>
        </w:trPr>
        <w:tc>
          <w:tcPr>
            <w:tcW w:w="3003" w:type="dxa"/>
          </w:tcPr>
          <w:p>
            <w:pPr>
              <w:pStyle w:val="TableParagraph"/>
              <w:spacing w:line="133" w:lineRule="exact" w:before="31"/>
              <w:ind w:left="34"/>
              <w:rPr>
                <w:sz w:val="13"/>
              </w:rPr>
            </w:pPr>
            <w:r>
              <w:rPr>
                <w:sz w:val="13"/>
              </w:rPr>
              <w:t>First Prior Year (2020-21)</w:t>
            </w:r>
          </w:p>
        </w:tc>
        <w:tc>
          <w:tcPr>
            <w:tcW w:w="2039" w:type="dxa"/>
          </w:tcPr>
          <w:p>
            <w:pPr>
              <w:pStyle w:val="TableParagraph"/>
              <w:spacing w:line="133" w:lineRule="exact" w:before="31"/>
              <w:ind w:right="72"/>
              <w:jc w:val="right"/>
              <w:rPr>
                <w:sz w:val="13"/>
              </w:rPr>
            </w:pPr>
            <w:r>
              <w:rPr>
                <w:sz w:val="13"/>
              </w:rPr>
              <w:t>2,386,932.36</w:t>
            </w:r>
          </w:p>
        </w:tc>
        <w:tc>
          <w:tcPr>
            <w:tcW w:w="1955" w:type="dxa"/>
          </w:tcPr>
          <w:p>
            <w:pPr>
              <w:pStyle w:val="TableParagraph"/>
              <w:spacing w:line="133" w:lineRule="exact" w:before="31"/>
              <w:ind w:right="71"/>
              <w:jc w:val="right"/>
              <w:rPr>
                <w:sz w:val="13"/>
              </w:rPr>
            </w:pPr>
            <w:r>
              <w:rPr>
                <w:sz w:val="13"/>
              </w:rPr>
              <w:t>2,386,933.00</w:t>
            </w:r>
          </w:p>
        </w:tc>
        <w:tc>
          <w:tcPr>
            <w:tcW w:w="2607" w:type="dxa"/>
          </w:tcPr>
          <w:p>
            <w:pPr>
              <w:pStyle w:val="TableParagraph"/>
              <w:spacing w:line="133" w:lineRule="exact" w:before="31"/>
              <w:ind w:left="408" w:right="581"/>
              <w:jc w:val="center"/>
              <w:rPr>
                <w:sz w:val="13"/>
              </w:rPr>
            </w:pPr>
            <w:r>
              <w:rPr>
                <w:sz w:val="13"/>
              </w:rPr>
              <w:t>N/A</w:t>
            </w:r>
          </w:p>
        </w:tc>
        <w:tc>
          <w:tcPr>
            <w:tcW w:w="999" w:type="dxa"/>
          </w:tcPr>
          <w:p>
            <w:pPr>
              <w:pStyle w:val="TableParagraph"/>
              <w:spacing w:line="133" w:lineRule="exact" w:before="31"/>
              <w:ind w:right="105"/>
              <w:jc w:val="right"/>
              <w:rPr>
                <w:sz w:val="13"/>
              </w:rPr>
            </w:pPr>
            <w:r>
              <w:rPr>
                <w:sz w:val="13"/>
              </w:rPr>
              <w:t>Met</w:t>
            </w:r>
          </w:p>
        </w:tc>
      </w:tr>
      <w:tr>
        <w:trPr>
          <w:trHeight w:val="164" w:hRule="atLeast"/>
        </w:trPr>
        <w:tc>
          <w:tcPr>
            <w:tcW w:w="3003" w:type="dxa"/>
          </w:tcPr>
          <w:p>
            <w:pPr>
              <w:pStyle w:val="TableParagraph"/>
              <w:spacing w:line="130" w:lineRule="exact" w:before="15"/>
              <w:ind w:left="34"/>
              <w:rPr>
                <w:sz w:val="13"/>
              </w:rPr>
            </w:pPr>
            <w:r>
              <w:rPr>
                <w:sz w:val="13"/>
              </w:rPr>
              <w:t>Budget Year (2021-22) (Information only)</w:t>
            </w:r>
          </w:p>
        </w:tc>
        <w:tc>
          <w:tcPr>
            <w:tcW w:w="2039" w:type="dxa"/>
          </w:tcPr>
          <w:p>
            <w:pPr>
              <w:pStyle w:val="TableParagraph"/>
              <w:spacing w:line="130" w:lineRule="exact" w:before="15"/>
              <w:ind w:right="72"/>
              <w:jc w:val="right"/>
              <w:rPr>
                <w:sz w:val="13"/>
              </w:rPr>
            </w:pPr>
            <w:r>
              <w:rPr>
                <w:sz w:val="13"/>
              </w:rPr>
              <w:t>2,500,530.00</w:t>
            </w:r>
          </w:p>
        </w:tc>
        <w:tc>
          <w:tcPr>
            <w:tcW w:w="1955" w:type="dxa"/>
          </w:tcPr>
          <w:p>
            <w:pPr>
              <w:pStyle w:val="TableParagraph"/>
              <w:rPr>
                <w:rFonts w:ascii="Times New Roman"/>
                <w:sz w:val="10"/>
              </w:rPr>
            </w:pPr>
          </w:p>
        </w:tc>
        <w:tc>
          <w:tcPr>
            <w:tcW w:w="2607" w:type="dxa"/>
          </w:tcPr>
          <w:p>
            <w:pPr>
              <w:pStyle w:val="TableParagraph"/>
              <w:rPr>
                <w:rFonts w:ascii="Times New Roman"/>
                <w:sz w:val="10"/>
              </w:rPr>
            </w:pPr>
          </w:p>
        </w:tc>
        <w:tc>
          <w:tcPr>
            <w:tcW w:w="999" w:type="dxa"/>
          </w:tcPr>
          <w:p>
            <w:pPr>
              <w:pStyle w:val="TableParagraph"/>
              <w:rPr>
                <w:rFonts w:ascii="Times New Roman"/>
                <w:sz w:val="10"/>
              </w:rPr>
            </w:pPr>
          </w:p>
        </w:tc>
      </w:tr>
    </w:tbl>
    <w:p>
      <w:pPr>
        <w:pStyle w:val="BodyText"/>
        <w:spacing w:before="63"/>
        <w:ind w:left="7329"/>
      </w:pPr>
      <w:r>
        <w:rPr/>
        <w:pict>
          <v:group style="position:absolute;margin-left:166.199997pt;margin-top:-17.513052pt;width:200.3pt;height:28.35pt;mso-position-horizontal-relative:page;mso-position-vertical-relative:paragraph;z-index:-313912320" coordorigin="3324,-350" coordsize="4006,567">
            <v:shape style="position:absolute;left:5371;top:-351;width:1956;height:185" type="#_x0000_t75" stroked="false">
              <v:imagedata r:id="rId1697" o:title=""/>
            </v:shape>
            <v:shape style="position:absolute;left:3324;top:-171;width:2050;height:176" type="#_x0000_t75" stroked="false">
              <v:imagedata r:id="rId1698" o:title=""/>
            </v:shape>
            <v:shape style="position:absolute;left:5366;top:-171;width:1964;height:173" type="#_x0000_t75" stroked="false">
              <v:imagedata r:id="rId1699" o:title=""/>
            </v:shape>
            <v:shape style="position:absolute;left:5371;top:2;width:1956;height:214" type="#_x0000_t75" stroked="false">
              <v:imagedata r:id="rId1700" o:title=""/>
            </v:shape>
            <v:shape style="position:absolute;left:3324;top:-351;width:4006;height:567" type="#_x0000_t202" filled="false" stroked="false">
              <v:textbox inset="0,0,0,0">
                <w:txbxContent>
                  <w:p>
                    <w:pPr>
                      <w:spacing w:line="240" w:lineRule="auto" w:before="0"/>
                      <w:rPr>
                        <w:sz w:val="14"/>
                      </w:rPr>
                    </w:pPr>
                  </w:p>
                  <w:p>
                    <w:pPr>
                      <w:spacing w:line="240" w:lineRule="auto" w:before="0"/>
                      <w:rPr>
                        <w:sz w:val="14"/>
                      </w:rPr>
                    </w:pPr>
                  </w:p>
                  <w:p>
                    <w:pPr>
                      <w:spacing w:before="91"/>
                      <w:ind w:left="33" w:right="-15" w:firstLine="0"/>
                      <w:jc w:val="left"/>
                      <w:rPr>
                        <w:sz w:val="13"/>
                      </w:rPr>
                    </w:pPr>
                    <w:r>
                      <w:rPr>
                        <w:sz w:val="13"/>
                      </w:rPr>
                      <w:t>² Adjusted beginning balance, including audit adjustments and</w:t>
                    </w:r>
                    <w:r>
                      <w:rPr>
                        <w:spacing w:val="7"/>
                        <w:sz w:val="13"/>
                      </w:rPr>
                      <w:t> </w:t>
                    </w:r>
                    <w:r>
                      <w:rPr>
                        <w:sz w:val="13"/>
                      </w:rPr>
                      <w:t>other</w:t>
                    </w:r>
                  </w:p>
                </w:txbxContent>
              </v:textbox>
              <w10:wrap type="none"/>
            </v:shape>
            <w10:wrap type="none"/>
          </v:group>
        </w:pict>
      </w:r>
      <w:r>
        <w:rPr/>
        <w:t>restatements (objects 9791-9795)</w:t>
      </w:r>
    </w:p>
    <w:p>
      <w:pPr>
        <w:pStyle w:val="BodyText"/>
        <w:rPr>
          <w:sz w:val="12"/>
        </w:rPr>
      </w:pPr>
      <w:r>
        <w:rPr/>
        <w:pict>
          <v:group style="position:absolute;margin-left:16.440001pt;margin-top:8.859657pt;width:567.25pt;height:10.95pt;mso-position-horizontal-relative:page;mso-position-vertical-relative:paragraph;z-index:-250869760;mso-wrap-distance-left:0;mso-wrap-distance-right:0" coordorigin="329,177" coordsize="11345,219">
            <v:shape style="position:absolute;left:2589;top:177;width:4740;height:22" type="#_x0000_t75" stroked="false">
              <v:imagedata r:id="rId1701" o:title=""/>
            </v:shape>
            <v:line style="position:absolute" from="2591,189" to="2591,379" stroked="true" strokeweight=".360008pt" strokecolor="#ffffff">
              <v:stroke dashstyle="solid"/>
            </v:line>
            <v:shape style="position:absolute;left:328;top:177;width:2268;height:22" type="#_x0000_t75" stroked="false">
              <v:imagedata r:id="rId1573" o:title=""/>
            </v:shape>
            <v:line style="position:absolute" from="3325,189" to="3325,379" stroked="true" strokeweight=".359997pt" strokecolor="#ffffff">
              <v:stroke dashstyle="solid"/>
            </v:line>
            <v:shape style="position:absolute;left:328;top:374;width:6012;height:22" type="#_x0000_t75" stroked="false">
              <v:imagedata r:id="rId1680" o:title=""/>
            </v:shape>
            <v:line style="position:absolute" from="4760,189" to="4760,379" stroked="true" strokeweight=".360008pt" strokecolor="#ffffff">
              <v:stroke dashstyle="solid"/>
            </v:line>
            <v:line style="position:absolute" from="5368,189" to="5368,379" stroked="true" strokeweight=".359986pt" strokecolor="#ffffff">
              <v:stroke dashstyle="solid"/>
            </v:line>
            <v:shape style="position:absolute;left:7322;top:177;width:4352;height:22" type="#_x0000_t75" stroked="false">
              <v:imagedata r:id="rId1611" o:title=""/>
            </v:shape>
            <v:shape style="position:absolute;left:6333;top:374;width:5340;height:22" type="#_x0000_t75" stroked="false">
              <v:imagedata r:id="rId1574" o:title=""/>
            </v:shape>
            <v:shape style="position:absolute;left:328;top:177;width:11345;height:219" type="#_x0000_t202" filled="false" stroked="false">
              <v:textbox inset="0,0,0,0">
                <w:txbxContent>
                  <w:p>
                    <w:pPr>
                      <w:spacing w:before="41"/>
                      <w:ind w:left="33" w:right="0" w:firstLine="0"/>
                      <w:jc w:val="left"/>
                      <w:rPr>
                        <w:b/>
                        <w:sz w:val="14"/>
                      </w:rPr>
                    </w:pPr>
                    <w:r>
                      <w:rPr>
                        <w:b/>
                        <w:w w:val="105"/>
                        <w:sz w:val="14"/>
                      </w:rPr>
                      <w:t>9B. Comparison of District Unrestricted Beginning Fund Balance to the Standard</w:t>
                    </w:r>
                  </w:p>
                </w:txbxContent>
              </v:textbox>
              <w10:wrap type="none"/>
            </v:shape>
            <w10:wrap type="topAndBottom"/>
          </v:group>
        </w:pict>
      </w:r>
    </w:p>
    <w:p>
      <w:pPr>
        <w:pStyle w:val="BodyText"/>
        <w:spacing w:before="6"/>
        <w:rPr>
          <w:sz w:val="11"/>
        </w:rPr>
      </w:pPr>
    </w:p>
    <w:p>
      <w:pPr>
        <w:pStyle w:val="BodyText"/>
        <w:spacing w:before="98"/>
        <w:ind w:left="322"/>
      </w:pPr>
      <w:r>
        <w:rPr/>
        <w:t>DATA ENTRY: Enter an explanation if the standard is not met.</w:t>
      </w:r>
    </w:p>
    <w:p>
      <w:pPr>
        <w:pStyle w:val="BodyText"/>
        <w:spacing w:before="5"/>
        <w:rPr>
          <w:sz w:val="16"/>
        </w:rPr>
      </w:pPr>
    </w:p>
    <w:p>
      <w:pPr>
        <w:pStyle w:val="BodyText"/>
        <w:ind w:left="821" w:right="932" w:hanging="370"/>
      </w:pPr>
      <w:r>
        <w:rPr/>
        <w:t>1a. STANDARD MET - Unrestricted general fund beginning fund balance has not been overestimated by more than the standard percentage level for two or more of the previous three years.</w:t>
      </w:r>
    </w:p>
    <w:p>
      <w:pPr>
        <w:pStyle w:val="BodyText"/>
        <w:rPr>
          <w:sz w:val="14"/>
        </w:rPr>
      </w:pPr>
    </w:p>
    <w:p>
      <w:pPr>
        <w:pStyle w:val="BodyText"/>
        <w:rPr>
          <w:sz w:val="14"/>
        </w:rPr>
      </w:pPr>
    </w:p>
    <w:p>
      <w:pPr>
        <w:spacing w:before="84"/>
        <w:ind w:left="0" w:right="8810" w:firstLine="0"/>
        <w:jc w:val="center"/>
        <w:rPr>
          <w:b/>
          <w:sz w:val="13"/>
        </w:rPr>
      </w:pPr>
      <w:r>
        <w:rPr/>
        <w:drawing>
          <wp:anchor distT="0" distB="0" distL="0" distR="0" allowOverlap="1" layoutInCell="1" locked="0" behindDoc="0" simplePos="0" relativeHeight="252455936">
            <wp:simplePos x="0" y="0"/>
            <wp:positionH relativeFrom="page">
              <wp:posOffset>1644395</wp:posOffset>
            </wp:positionH>
            <wp:positionV relativeFrom="paragraph">
              <wp:posOffset>28663</wp:posOffset>
            </wp:positionV>
            <wp:extent cx="5768339" cy="486155"/>
            <wp:effectExtent l="0" t="0" r="0" b="0"/>
            <wp:wrapNone/>
            <wp:docPr id="107" name="image1420.png"/>
            <wp:cNvGraphicFramePr>
              <a:graphicFrameLocks noChangeAspect="1"/>
            </wp:cNvGraphicFramePr>
            <a:graphic>
              <a:graphicData uri="http://schemas.openxmlformats.org/drawingml/2006/picture">
                <pic:pic>
                  <pic:nvPicPr>
                    <pic:cNvPr id="108" name="image1420.png"/>
                    <pic:cNvPicPr/>
                  </pic:nvPicPr>
                  <pic:blipFill>
                    <a:blip r:embed="rId1522" cstate="print"/>
                    <a:stretch>
                      <a:fillRect/>
                    </a:stretch>
                  </pic:blipFill>
                  <pic:spPr>
                    <a:xfrm>
                      <a:off x="0" y="0"/>
                      <a:ext cx="5768339" cy="486155"/>
                    </a:xfrm>
                    <a:prstGeom prst="rect">
                      <a:avLst/>
                    </a:prstGeom>
                  </pic:spPr>
                </pic:pic>
              </a:graphicData>
            </a:graphic>
          </wp:anchor>
        </w:drawing>
      </w:r>
      <w:r>
        <w:rPr>
          <w:b/>
          <w:sz w:val="13"/>
        </w:rPr>
        <w:t>Explanation:</w:t>
      </w:r>
    </w:p>
    <w:p>
      <w:pPr>
        <w:pStyle w:val="BodyText"/>
        <w:spacing w:before="43"/>
        <w:ind w:right="8810"/>
        <w:jc w:val="center"/>
      </w:pPr>
      <w:r>
        <w:rPr/>
        <w:t>(required if NOT met)</w:t>
      </w:r>
    </w:p>
    <w:p>
      <w:pPr>
        <w:spacing w:after="0"/>
        <w:jc w:val="center"/>
        <w:sectPr>
          <w:type w:val="continuous"/>
          <w:pgSz w:w="12240" w:h="15840"/>
          <w:pgMar w:top="1500" w:bottom="840" w:left="40" w:right="40"/>
        </w:sectPr>
      </w:pPr>
    </w:p>
    <w:p>
      <w:pPr>
        <w:pStyle w:val="BodyText"/>
        <w:rPr>
          <w:sz w:val="20"/>
        </w:rPr>
      </w:pPr>
    </w:p>
    <w:p>
      <w:pPr>
        <w:pStyle w:val="BodyText"/>
        <w:rPr>
          <w:sz w:val="20"/>
        </w:rPr>
      </w:pPr>
    </w:p>
    <w:p>
      <w:pPr>
        <w:pStyle w:val="BodyText"/>
        <w:spacing w:before="2"/>
        <w:rPr>
          <w:sz w:val="19"/>
        </w:rPr>
      </w:pPr>
    </w:p>
    <w:p>
      <w:pPr>
        <w:pStyle w:val="Heading4"/>
        <w:numPr>
          <w:ilvl w:val="0"/>
          <w:numId w:val="71"/>
        </w:numPr>
        <w:tabs>
          <w:tab w:pos="822" w:val="left" w:leader="none"/>
        </w:tabs>
        <w:spacing w:line="240" w:lineRule="auto" w:before="0" w:after="0"/>
        <w:ind w:left="821" w:right="0" w:hanging="390"/>
        <w:jc w:val="left"/>
      </w:pPr>
      <w:r>
        <w:rPr/>
        <w:t>CRITERION:</w:t>
      </w:r>
      <w:r>
        <w:rPr>
          <w:spacing w:val="-5"/>
        </w:rPr>
        <w:t> </w:t>
      </w:r>
      <w:r>
        <w:rPr/>
        <w:t>Reserves</w:t>
      </w:r>
    </w:p>
    <w:p>
      <w:pPr>
        <w:pStyle w:val="BodyText"/>
        <w:spacing w:before="11"/>
        <w:rPr>
          <w:b/>
          <w:sz w:val="25"/>
        </w:rPr>
      </w:pPr>
    </w:p>
    <w:p>
      <w:pPr>
        <w:pStyle w:val="Heading5"/>
        <w:spacing w:line="232" w:lineRule="auto"/>
        <w:ind w:right="622"/>
      </w:pPr>
      <w:r>
        <w:rPr/>
        <w:t>STANDARD:</w:t>
      </w:r>
      <w:r>
        <w:rPr>
          <w:spacing w:val="-7"/>
        </w:rPr>
        <w:t> </w:t>
      </w:r>
      <w:r>
        <w:rPr/>
        <w:t>Available</w:t>
      </w:r>
      <w:r>
        <w:rPr>
          <w:spacing w:val="-5"/>
        </w:rPr>
        <w:t> </w:t>
      </w:r>
      <w:r>
        <w:rPr/>
        <w:t>reserves¹</w:t>
      </w:r>
      <w:r>
        <w:rPr>
          <w:spacing w:val="-5"/>
        </w:rPr>
        <w:t> </w:t>
      </w:r>
      <w:r>
        <w:rPr/>
        <w:t>for</w:t>
      </w:r>
      <w:r>
        <w:rPr>
          <w:spacing w:val="-4"/>
        </w:rPr>
        <w:t> </w:t>
      </w:r>
      <w:r>
        <w:rPr/>
        <w:t>any</w:t>
      </w:r>
      <w:r>
        <w:rPr>
          <w:spacing w:val="-10"/>
        </w:rPr>
        <w:t> </w:t>
      </w:r>
      <w:r>
        <w:rPr/>
        <w:t>of</w:t>
      </w:r>
      <w:r>
        <w:rPr>
          <w:spacing w:val="-3"/>
        </w:rPr>
        <w:t> </w:t>
      </w:r>
      <w:r>
        <w:rPr/>
        <w:t>the</w:t>
      </w:r>
      <w:r>
        <w:rPr>
          <w:spacing w:val="-4"/>
        </w:rPr>
        <w:t> </w:t>
      </w:r>
      <w:r>
        <w:rPr/>
        <w:t>budget</w:t>
      </w:r>
      <w:r>
        <w:rPr>
          <w:spacing w:val="-7"/>
        </w:rPr>
        <w:t> </w:t>
      </w:r>
      <w:r>
        <w:rPr/>
        <w:t>year</w:t>
      </w:r>
      <w:r>
        <w:rPr>
          <w:spacing w:val="-5"/>
        </w:rPr>
        <w:t> </w:t>
      </w:r>
      <w:r>
        <w:rPr/>
        <w:t>or</w:t>
      </w:r>
      <w:r>
        <w:rPr>
          <w:spacing w:val="-6"/>
        </w:rPr>
        <w:t> </w:t>
      </w:r>
      <w:r>
        <w:rPr/>
        <w:t>two</w:t>
      </w:r>
      <w:r>
        <w:rPr>
          <w:spacing w:val="-6"/>
        </w:rPr>
        <w:t> </w:t>
      </w:r>
      <w:r>
        <w:rPr/>
        <w:t>subsequent</w:t>
      </w:r>
      <w:r>
        <w:rPr>
          <w:spacing w:val="-6"/>
        </w:rPr>
        <w:t> </w:t>
      </w:r>
      <w:r>
        <w:rPr/>
        <w:t>fiscal</w:t>
      </w:r>
      <w:r>
        <w:rPr>
          <w:spacing w:val="-5"/>
        </w:rPr>
        <w:t> </w:t>
      </w:r>
      <w:r>
        <w:rPr/>
        <w:t>years</w:t>
      </w:r>
      <w:r>
        <w:rPr>
          <w:spacing w:val="-6"/>
        </w:rPr>
        <w:t> </w:t>
      </w:r>
      <w:r>
        <w:rPr/>
        <w:t>are</w:t>
      </w:r>
      <w:r>
        <w:rPr>
          <w:spacing w:val="-5"/>
        </w:rPr>
        <w:t> </w:t>
      </w:r>
      <w:r>
        <w:rPr/>
        <w:t>not</w:t>
      </w:r>
      <w:r>
        <w:rPr>
          <w:spacing w:val="-6"/>
        </w:rPr>
        <w:t> </w:t>
      </w:r>
      <w:r>
        <w:rPr/>
        <w:t>less</w:t>
      </w:r>
      <w:r>
        <w:rPr>
          <w:spacing w:val="-6"/>
        </w:rPr>
        <w:t> </w:t>
      </w:r>
      <w:r>
        <w:rPr/>
        <w:t>than</w:t>
      </w:r>
      <w:r>
        <w:rPr>
          <w:spacing w:val="-3"/>
        </w:rPr>
        <w:t> </w:t>
      </w:r>
      <w:r>
        <w:rPr/>
        <w:t>the</w:t>
      </w:r>
      <w:r>
        <w:rPr>
          <w:spacing w:val="-6"/>
        </w:rPr>
        <w:t> </w:t>
      </w:r>
      <w:r>
        <w:rPr/>
        <w:t>following</w:t>
      </w:r>
      <w:r>
        <w:rPr>
          <w:spacing w:val="-4"/>
        </w:rPr>
        <w:t> </w:t>
      </w:r>
      <w:r>
        <w:rPr/>
        <w:t>percentages</w:t>
      </w:r>
      <w:r>
        <w:rPr>
          <w:spacing w:val="-5"/>
        </w:rPr>
        <w:t> </w:t>
      </w:r>
      <w:r>
        <w:rPr/>
        <w:t>or</w:t>
      </w:r>
      <w:r>
        <w:rPr>
          <w:spacing w:val="-4"/>
        </w:rPr>
        <w:t> </w:t>
      </w:r>
      <w:r>
        <w:rPr/>
        <w:t>amounts²</w:t>
      </w:r>
      <w:r>
        <w:rPr>
          <w:spacing w:val="-5"/>
        </w:rPr>
        <w:t> </w:t>
      </w:r>
      <w:r>
        <w:rPr/>
        <w:t>as applied to total expenditures and other financing</w:t>
      </w:r>
      <w:r>
        <w:rPr>
          <w:spacing w:val="-9"/>
        </w:rPr>
        <w:t> </w:t>
      </w:r>
      <w:r>
        <w:rPr/>
        <w:t>uses³:</w:t>
      </w:r>
    </w:p>
    <w:p>
      <w:pPr>
        <w:spacing w:line="232" w:lineRule="auto" w:before="123"/>
        <w:ind w:left="821" w:right="622" w:firstLine="0"/>
        <w:jc w:val="left"/>
        <w:rPr>
          <w:sz w:val="16"/>
        </w:rPr>
      </w:pPr>
      <w:r>
        <w:rPr/>
        <w:pict>
          <v:group style="position:absolute;margin-left:268.320007pt;margin-top:39.948792pt;width:315.4pt;height:.4pt;mso-position-horizontal-relative:page;mso-position-vertical-relative:paragraph;z-index:-313906176" coordorigin="5366,799" coordsize="6308,8">
            <v:shape style="position:absolute;left:5366;top:798;width:1964;height:8" type="#_x0000_t75" stroked="false">
              <v:imagedata r:id="rId1506" o:title=""/>
            </v:shape>
            <v:shape style="position:absolute;left:5366;top:798;width:6308;height:8" type="#_x0000_t75" stroked="false">
              <v:imagedata r:id="rId1507" o:title=""/>
            </v:shape>
            <w10:wrap type="none"/>
          </v:group>
        </w:pict>
      </w:r>
      <w:r>
        <w:rPr>
          <w:sz w:val="16"/>
        </w:rPr>
        <w:t>DATA</w:t>
      </w:r>
      <w:r>
        <w:rPr>
          <w:spacing w:val="-8"/>
          <w:sz w:val="16"/>
        </w:rPr>
        <w:t> </w:t>
      </w:r>
      <w:r>
        <w:rPr>
          <w:sz w:val="16"/>
        </w:rPr>
        <w:t>ENTRY:</w:t>
      </w:r>
      <w:r>
        <w:rPr>
          <w:spacing w:val="-7"/>
          <w:sz w:val="16"/>
        </w:rPr>
        <w:t> </w:t>
      </w:r>
      <w:r>
        <w:rPr>
          <w:sz w:val="16"/>
        </w:rPr>
        <w:t>Budget</w:t>
      </w:r>
      <w:r>
        <w:rPr>
          <w:spacing w:val="-6"/>
          <w:sz w:val="16"/>
        </w:rPr>
        <w:t> </w:t>
      </w:r>
      <w:r>
        <w:rPr>
          <w:sz w:val="16"/>
        </w:rPr>
        <w:t>Year</w:t>
      </w:r>
      <w:r>
        <w:rPr>
          <w:spacing w:val="-7"/>
          <w:sz w:val="16"/>
        </w:rPr>
        <w:t> </w:t>
      </w:r>
      <w:r>
        <w:rPr>
          <w:sz w:val="16"/>
        </w:rPr>
        <w:t>data</w:t>
      </w:r>
      <w:r>
        <w:rPr>
          <w:spacing w:val="-5"/>
          <w:sz w:val="16"/>
        </w:rPr>
        <w:t> </w:t>
      </w:r>
      <w:r>
        <w:rPr>
          <w:sz w:val="16"/>
        </w:rPr>
        <w:t>are</w:t>
      </w:r>
      <w:r>
        <w:rPr>
          <w:spacing w:val="-7"/>
          <w:sz w:val="16"/>
        </w:rPr>
        <w:t> </w:t>
      </w:r>
      <w:r>
        <w:rPr>
          <w:sz w:val="16"/>
        </w:rPr>
        <w:t>extracted.</w:t>
      </w:r>
      <w:r>
        <w:rPr>
          <w:spacing w:val="-7"/>
          <w:sz w:val="16"/>
        </w:rPr>
        <w:t> </w:t>
      </w:r>
      <w:r>
        <w:rPr>
          <w:sz w:val="16"/>
        </w:rPr>
        <w:t>If</w:t>
      </w:r>
      <w:r>
        <w:rPr>
          <w:spacing w:val="-5"/>
          <w:sz w:val="16"/>
        </w:rPr>
        <w:t> </w:t>
      </w:r>
      <w:r>
        <w:rPr>
          <w:sz w:val="16"/>
        </w:rPr>
        <w:t>Form</w:t>
      </w:r>
      <w:r>
        <w:rPr>
          <w:spacing w:val="-6"/>
          <w:sz w:val="16"/>
        </w:rPr>
        <w:t> </w:t>
      </w:r>
      <w:r>
        <w:rPr>
          <w:sz w:val="16"/>
        </w:rPr>
        <w:t>MYP</w:t>
      </w:r>
      <w:r>
        <w:rPr>
          <w:spacing w:val="-6"/>
          <w:sz w:val="16"/>
        </w:rPr>
        <w:t> </w:t>
      </w:r>
      <w:r>
        <w:rPr>
          <w:sz w:val="16"/>
        </w:rPr>
        <w:t>exists,</w:t>
      </w:r>
      <w:r>
        <w:rPr>
          <w:spacing w:val="-7"/>
          <w:sz w:val="16"/>
        </w:rPr>
        <w:t> </w:t>
      </w:r>
      <w:r>
        <w:rPr>
          <w:sz w:val="16"/>
        </w:rPr>
        <w:t>1st</w:t>
      </w:r>
      <w:r>
        <w:rPr>
          <w:spacing w:val="-7"/>
          <w:sz w:val="16"/>
        </w:rPr>
        <w:t> </w:t>
      </w:r>
      <w:r>
        <w:rPr>
          <w:sz w:val="16"/>
        </w:rPr>
        <w:t>and</w:t>
      </w:r>
      <w:r>
        <w:rPr>
          <w:spacing w:val="-6"/>
          <w:sz w:val="16"/>
        </w:rPr>
        <w:t> </w:t>
      </w:r>
      <w:r>
        <w:rPr>
          <w:sz w:val="16"/>
        </w:rPr>
        <w:t>2nd</w:t>
      </w:r>
      <w:r>
        <w:rPr>
          <w:spacing w:val="-5"/>
          <w:sz w:val="16"/>
        </w:rPr>
        <w:t> </w:t>
      </w:r>
      <w:r>
        <w:rPr>
          <w:sz w:val="16"/>
        </w:rPr>
        <w:t>Subsequent</w:t>
      </w:r>
      <w:r>
        <w:rPr>
          <w:spacing w:val="-7"/>
          <w:sz w:val="16"/>
        </w:rPr>
        <w:t> </w:t>
      </w:r>
      <w:r>
        <w:rPr>
          <w:sz w:val="16"/>
        </w:rPr>
        <w:t>Year</w:t>
      </w:r>
      <w:r>
        <w:rPr>
          <w:spacing w:val="-7"/>
          <w:sz w:val="16"/>
        </w:rPr>
        <w:t> </w:t>
      </w:r>
      <w:r>
        <w:rPr>
          <w:sz w:val="16"/>
        </w:rPr>
        <w:t>data</w:t>
      </w:r>
      <w:r>
        <w:rPr>
          <w:spacing w:val="-6"/>
          <w:sz w:val="16"/>
        </w:rPr>
        <w:t> </w:t>
      </w:r>
      <w:r>
        <w:rPr>
          <w:sz w:val="16"/>
        </w:rPr>
        <w:t>will</w:t>
      </w:r>
      <w:r>
        <w:rPr>
          <w:spacing w:val="-6"/>
          <w:sz w:val="16"/>
        </w:rPr>
        <w:t> </w:t>
      </w:r>
      <w:r>
        <w:rPr>
          <w:sz w:val="16"/>
        </w:rPr>
        <w:t>be</w:t>
      </w:r>
      <w:r>
        <w:rPr>
          <w:spacing w:val="-5"/>
          <w:sz w:val="16"/>
        </w:rPr>
        <w:t> </w:t>
      </w:r>
      <w:r>
        <w:rPr>
          <w:sz w:val="16"/>
        </w:rPr>
        <w:t>extracted.</w:t>
      </w:r>
      <w:r>
        <w:rPr>
          <w:spacing w:val="-7"/>
          <w:sz w:val="16"/>
        </w:rPr>
        <w:t> </w:t>
      </w:r>
      <w:r>
        <w:rPr>
          <w:sz w:val="16"/>
        </w:rPr>
        <w:t>If</w:t>
      </w:r>
      <w:r>
        <w:rPr>
          <w:spacing w:val="-5"/>
          <w:sz w:val="16"/>
        </w:rPr>
        <w:t> </w:t>
      </w:r>
      <w:r>
        <w:rPr>
          <w:sz w:val="16"/>
        </w:rPr>
        <w:t>not,</w:t>
      </w:r>
      <w:r>
        <w:rPr>
          <w:spacing w:val="-6"/>
          <w:sz w:val="16"/>
        </w:rPr>
        <w:t> </w:t>
      </w:r>
      <w:r>
        <w:rPr>
          <w:sz w:val="16"/>
        </w:rPr>
        <w:t>enter</w:t>
      </w:r>
      <w:r>
        <w:rPr>
          <w:spacing w:val="-6"/>
          <w:sz w:val="16"/>
        </w:rPr>
        <w:t> </w:t>
      </w:r>
      <w:r>
        <w:rPr>
          <w:sz w:val="16"/>
        </w:rPr>
        <w:t>district</w:t>
      </w:r>
      <w:r>
        <w:rPr>
          <w:spacing w:val="-8"/>
          <w:sz w:val="16"/>
        </w:rPr>
        <w:t> </w:t>
      </w:r>
      <w:r>
        <w:rPr>
          <w:sz w:val="16"/>
        </w:rPr>
        <w:t>regular</w:t>
      </w:r>
      <w:r>
        <w:rPr>
          <w:spacing w:val="-7"/>
          <w:sz w:val="16"/>
        </w:rPr>
        <w:t> </w:t>
      </w:r>
      <w:r>
        <w:rPr>
          <w:sz w:val="16"/>
        </w:rPr>
        <w:t>ADA and</w:t>
      </w:r>
      <w:r>
        <w:rPr>
          <w:spacing w:val="-4"/>
          <w:sz w:val="16"/>
        </w:rPr>
        <w:t> </w:t>
      </w:r>
      <w:r>
        <w:rPr>
          <w:sz w:val="16"/>
        </w:rPr>
        <w:t>charter</w:t>
      </w:r>
      <w:r>
        <w:rPr>
          <w:spacing w:val="-3"/>
          <w:sz w:val="16"/>
        </w:rPr>
        <w:t> </w:t>
      </w:r>
      <w:r>
        <w:rPr>
          <w:sz w:val="16"/>
        </w:rPr>
        <w:t>school</w:t>
      </w:r>
      <w:r>
        <w:rPr>
          <w:spacing w:val="-2"/>
          <w:sz w:val="16"/>
        </w:rPr>
        <w:t> </w:t>
      </w:r>
      <w:r>
        <w:rPr>
          <w:sz w:val="16"/>
        </w:rPr>
        <w:t>ADA</w:t>
      </w:r>
      <w:r>
        <w:rPr>
          <w:spacing w:val="-3"/>
          <w:sz w:val="16"/>
        </w:rPr>
        <w:t> </w:t>
      </w:r>
      <w:r>
        <w:rPr>
          <w:sz w:val="16"/>
        </w:rPr>
        <w:t>corresponding</w:t>
      </w:r>
      <w:r>
        <w:rPr>
          <w:spacing w:val="-2"/>
          <w:sz w:val="16"/>
        </w:rPr>
        <w:t> </w:t>
      </w:r>
      <w:r>
        <w:rPr>
          <w:sz w:val="16"/>
        </w:rPr>
        <w:t>to</w:t>
      </w:r>
      <w:r>
        <w:rPr>
          <w:spacing w:val="-3"/>
          <w:sz w:val="16"/>
        </w:rPr>
        <w:t> </w:t>
      </w:r>
      <w:r>
        <w:rPr>
          <w:sz w:val="16"/>
        </w:rPr>
        <w:t>financial</w:t>
      </w:r>
      <w:r>
        <w:rPr>
          <w:spacing w:val="-2"/>
          <w:sz w:val="16"/>
        </w:rPr>
        <w:t> </w:t>
      </w:r>
      <w:r>
        <w:rPr>
          <w:sz w:val="16"/>
        </w:rPr>
        <w:t>data</w:t>
      </w:r>
      <w:r>
        <w:rPr>
          <w:spacing w:val="-1"/>
          <w:sz w:val="16"/>
        </w:rPr>
        <w:t> </w:t>
      </w:r>
      <w:r>
        <w:rPr>
          <w:sz w:val="16"/>
        </w:rPr>
        <w:t>reported</w:t>
      </w:r>
      <w:r>
        <w:rPr>
          <w:spacing w:val="-3"/>
          <w:sz w:val="16"/>
        </w:rPr>
        <w:t> </w:t>
      </w:r>
      <w:r>
        <w:rPr>
          <w:sz w:val="16"/>
        </w:rPr>
        <w:t>in</w:t>
      </w:r>
      <w:r>
        <w:rPr>
          <w:spacing w:val="-2"/>
          <w:sz w:val="16"/>
        </w:rPr>
        <w:t> </w:t>
      </w:r>
      <w:r>
        <w:rPr>
          <w:sz w:val="16"/>
        </w:rPr>
        <w:t>the</w:t>
      </w:r>
      <w:r>
        <w:rPr>
          <w:spacing w:val="-1"/>
          <w:sz w:val="16"/>
        </w:rPr>
        <w:t> </w:t>
      </w:r>
      <w:r>
        <w:rPr>
          <w:sz w:val="16"/>
        </w:rPr>
        <w:t>General</w:t>
      </w:r>
      <w:r>
        <w:rPr>
          <w:spacing w:val="-2"/>
          <w:sz w:val="16"/>
        </w:rPr>
        <w:t> </w:t>
      </w:r>
      <w:r>
        <w:rPr>
          <w:sz w:val="16"/>
        </w:rPr>
        <w:t>Fund,</w:t>
      </w:r>
      <w:r>
        <w:rPr>
          <w:spacing w:val="-3"/>
          <w:sz w:val="16"/>
        </w:rPr>
        <w:t> </w:t>
      </w:r>
      <w:r>
        <w:rPr>
          <w:sz w:val="16"/>
        </w:rPr>
        <w:t>only,</w:t>
      </w:r>
      <w:r>
        <w:rPr>
          <w:spacing w:val="-3"/>
          <w:sz w:val="16"/>
        </w:rPr>
        <w:t> </w:t>
      </w:r>
      <w:r>
        <w:rPr>
          <w:sz w:val="16"/>
        </w:rPr>
        <w:t>for</w:t>
      </w:r>
      <w:r>
        <w:rPr>
          <w:spacing w:val="-3"/>
          <w:sz w:val="16"/>
        </w:rPr>
        <w:t> </w:t>
      </w:r>
      <w:r>
        <w:rPr>
          <w:sz w:val="16"/>
        </w:rPr>
        <w:t>the</w:t>
      </w:r>
      <w:r>
        <w:rPr>
          <w:spacing w:val="-2"/>
          <w:sz w:val="16"/>
        </w:rPr>
        <w:t> </w:t>
      </w:r>
      <w:r>
        <w:rPr>
          <w:sz w:val="16"/>
        </w:rPr>
        <w:t>two</w:t>
      </w:r>
      <w:r>
        <w:rPr>
          <w:spacing w:val="-2"/>
          <w:sz w:val="16"/>
        </w:rPr>
        <w:t> </w:t>
      </w:r>
      <w:r>
        <w:rPr>
          <w:sz w:val="16"/>
        </w:rPr>
        <w:t>subsequent</w:t>
      </w:r>
      <w:r>
        <w:rPr>
          <w:spacing w:val="-3"/>
          <w:sz w:val="16"/>
        </w:rPr>
        <w:t> </w:t>
      </w:r>
      <w:r>
        <w:rPr>
          <w:sz w:val="16"/>
        </w:rPr>
        <w:t>years.</w:t>
      </w:r>
    </w:p>
    <w:p>
      <w:pPr>
        <w:pStyle w:val="BodyText"/>
        <w:spacing w:before="7"/>
        <w:rPr>
          <w:sz w:val="12"/>
        </w:rPr>
      </w:pPr>
    </w:p>
    <w:tbl>
      <w:tblPr>
        <w:tblW w:w="0" w:type="auto"/>
        <w:jc w:val="left"/>
        <w:tblInd w:w="54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69"/>
        <w:gridCol w:w="1232"/>
        <w:gridCol w:w="1432"/>
        <w:gridCol w:w="843"/>
      </w:tblGrid>
      <w:tr>
        <w:trPr>
          <w:trHeight w:val="192" w:hRule="atLeast"/>
        </w:trPr>
        <w:tc>
          <w:tcPr>
            <w:tcW w:w="2169" w:type="dxa"/>
          </w:tcPr>
          <w:p>
            <w:pPr>
              <w:pStyle w:val="TableParagraph"/>
              <w:spacing w:line="173" w:lineRule="exact"/>
              <w:ind w:left="6" w:right="394"/>
              <w:jc w:val="center"/>
              <w:rPr>
                <w:sz w:val="16"/>
              </w:rPr>
            </w:pPr>
            <w:r>
              <w:rPr>
                <w:sz w:val="16"/>
              </w:rPr>
              <w:t>Percentage Level</w:t>
            </w:r>
          </w:p>
        </w:tc>
        <w:tc>
          <w:tcPr>
            <w:tcW w:w="1232" w:type="dxa"/>
          </w:tcPr>
          <w:p>
            <w:pPr>
              <w:pStyle w:val="TableParagraph"/>
              <w:rPr>
                <w:rFonts w:ascii="Times New Roman"/>
                <w:sz w:val="12"/>
              </w:rPr>
            </w:pPr>
          </w:p>
        </w:tc>
        <w:tc>
          <w:tcPr>
            <w:tcW w:w="1432" w:type="dxa"/>
          </w:tcPr>
          <w:p>
            <w:pPr>
              <w:pStyle w:val="TableParagraph"/>
              <w:spacing w:line="173" w:lineRule="exact"/>
              <w:ind w:left="235"/>
              <w:rPr>
                <w:sz w:val="16"/>
              </w:rPr>
            </w:pPr>
            <w:r>
              <w:rPr>
                <w:sz w:val="16"/>
              </w:rPr>
              <w:t>District ADA</w:t>
            </w:r>
          </w:p>
        </w:tc>
        <w:tc>
          <w:tcPr>
            <w:tcW w:w="843" w:type="dxa"/>
          </w:tcPr>
          <w:p>
            <w:pPr>
              <w:pStyle w:val="TableParagraph"/>
              <w:rPr>
                <w:rFonts w:ascii="Times New Roman"/>
                <w:sz w:val="12"/>
              </w:rPr>
            </w:pPr>
          </w:p>
        </w:tc>
      </w:tr>
      <w:tr>
        <w:trPr>
          <w:trHeight w:val="208" w:hRule="atLeast"/>
        </w:trPr>
        <w:tc>
          <w:tcPr>
            <w:tcW w:w="2169" w:type="dxa"/>
          </w:tcPr>
          <w:p>
            <w:pPr>
              <w:pStyle w:val="TableParagraph"/>
              <w:spacing w:line="159" w:lineRule="exact" w:before="30"/>
              <w:ind w:left="9" w:right="394"/>
              <w:jc w:val="center"/>
              <w:rPr>
                <w:sz w:val="14"/>
              </w:rPr>
            </w:pPr>
            <w:r>
              <w:rPr>
                <w:w w:val="105"/>
                <w:sz w:val="14"/>
              </w:rPr>
              <w:t>5% or $71,000 (greater of)</w:t>
            </w:r>
          </w:p>
        </w:tc>
        <w:tc>
          <w:tcPr>
            <w:tcW w:w="1232" w:type="dxa"/>
          </w:tcPr>
          <w:p>
            <w:pPr>
              <w:pStyle w:val="TableParagraph"/>
              <w:spacing w:line="180" w:lineRule="exact" w:before="9"/>
              <w:ind w:right="247"/>
              <w:jc w:val="right"/>
              <w:rPr>
                <w:sz w:val="16"/>
              </w:rPr>
            </w:pPr>
            <w:r>
              <w:rPr>
                <w:w w:val="98"/>
                <w:sz w:val="16"/>
              </w:rPr>
              <w:t>0</w:t>
            </w:r>
          </w:p>
        </w:tc>
        <w:tc>
          <w:tcPr>
            <w:tcW w:w="1432" w:type="dxa"/>
          </w:tcPr>
          <w:p>
            <w:pPr>
              <w:pStyle w:val="TableParagraph"/>
              <w:spacing w:line="180" w:lineRule="exact" w:before="9"/>
              <w:ind w:right="283"/>
              <w:jc w:val="right"/>
              <w:rPr>
                <w:sz w:val="16"/>
              </w:rPr>
            </w:pPr>
            <w:r>
              <w:rPr>
                <w:sz w:val="16"/>
              </w:rPr>
              <w:t>to</w:t>
            </w:r>
          </w:p>
        </w:tc>
        <w:tc>
          <w:tcPr>
            <w:tcW w:w="843" w:type="dxa"/>
          </w:tcPr>
          <w:p>
            <w:pPr>
              <w:pStyle w:val="TableParagraph"/>
              <w:spacing w:line="180" w:lineRule="exact" w:before="9"/>
              <w:ind w:right="39"/>
              <w:jc w:val="right"/>
              <w:rPr>
                <w:sz w:val="16"/>
              </w:rPr>
            </w:pPr>
            <w:r>
              <w:rPr>
                <w:w w:val="95"/>
                <w:sz w:val="16"/>
              </w:rPr>
              <w:t>300</w:t>
            </w:r>
          </w:p>
        </w:tc>
      </w:tr>
      <w:tr>
        <w:trPr>
          <w:trHeight w:val="208" w:hRule="atLeast"/>
        </w:trPr>
        <w:tc>
          <w:tcPr>
            <w:tcW w:w="2169" w:type="dxa"/>
          </w:tcPr>
          <w:p>
            <w:pPr>
              <w:pStyle w:val="TableParagraph"/>
              <w:spacing w:line="159" w:lineRule="exact" w:before="30"/>
              <w:ind w:left="9" w:right="394"/>
              <w:jc w:val="center"/>
              <w:rPr>
                <w:sz w:val="14"/>
              </w:rPr>
            </w:pPr>
            <w:r>
              <w:rPr>
                <w:w w:val="105"/>
                <w:sz w:val="14"/>
              </w:rPr>
              <w:t>4% or $71,000 (greater of)</w:t>
            </w:r>
          </w:p>
        </w:tc>
        <w:tc>
          <w:tcPr>
            <w:tcW w:w="1232" w:type="dxa"/>
          </w:tcPr>
          <w:p>
            <w:pPr>
              <w:pStyle w:val="TableParagraph"/>
              <w:spacing w:line="180" w:lineRule="exact" w:before="9"/>
              <w:ind w:right="241"/>
              <w:jc w:val="right"/>
              <w:rPr>
                <w:sz w:val="16"/>
              </w:rPr>
            </w:pPr>
            <w:r>
              <w:rPr>
                <w:w w:val="95"/>
                <w:sz w:val="16"/>
              </w:rPr>
              <w:t>301</w:t>
            </w:r>
          </w:p>
        </w:tc>
        <w:tc>
          <w:tcPr>
            <w:tcW w:w="1432" w:type="dxa"/>
          </w:tcPr>
          <w:p>
            <w:pPr>
              <w:pStyle w:val="TableParagraph"/>
              <w:spacing w:line="180" w:lineRule="exact" w:before="9"/>
              <w:ind w:right="283"/>
              <w:jc w:val="right"/>
              <w:rPr>
                <w:sz w:val="16"/>
              </w:rPr>
            </w:pPr>
            <w:r>
              <w:rPr>
                <w:sz w:val="16"/>
              </w:rPr>
              <w:t>to</w:t>
            </w:r>
          </w:p>
        </w:tc>
        <w:tc>
          <w:tcPr>
            <w:tcW w:w="843" w:type="dxa"/>
          </w:tcPr>
          <w:p>
            <w:pPr>
              <w:pStyle w:val="TableParagraph"/>
              <w:spacing w:line="180" w:lineRule="exact" w:before="9"/>
              <w:ind w:right="39"/>
              <w:jc w:val="right"/>
              <w:rPr>
                <w:sz w:val="16"/>
              </w:rPr>
            </w:pPr>
            <w:r>
              <w:rPr>
                <w:w w:val="95"/>
                <w:sz w:val="16"/>
              </w:rPr>
              <w:t>1,000</w:t>
            </w:r>
          </w:p>
        </w:tc>
      </w:tr>
      <w:tr>
        <w:trPr>
          <w:trHeight w:val="208" w:hRule="atLeast"/>
        </w:trPr>
        <w:tc>
          <w:tcPr>
            <w:tcW w:w="2169" w:type="dxa"/>
          </w:tcPr>
          <w:p>
            <w:pPr>
              <w:pStyle w:val="TableParagraph"/>
              <w:spacing w:line="180" w:lineRule="exact" w:before="9"/>
              <w:ind w:left="8" w:right="394"/>
              <w:jc w:val="center"/>
              <w:rPr>
                <w:sz w:val="16"/>
              </w:rPr>
            </w:pPr>
            <w:r>
              <w:rPr>
                <w:sz w:val="16"/>
              </w:rPr>
              <w:t>3%</w:t>
            </w:r>
          </w:p>
        </w:tc>
        <w:tc>
          <w:tcPr>
            <w:tcW w:w="1232" w:type="dxa"/>
          </w:tcPr>
          <w:p>
            <w:pPr>
              <w:pStyle w:val="TableParagraph"/>
              <w:spacing w:line="180" w:lineRule="exact" w:before="9"/>
              <w:ind w:right="240"/>
              <w:jc w:val="right"/>
              <w:rPr>
                <w:sz w:val="16"/>
              </w:rPr>
            </w:pPr>
            <w:r>
              <w:rPr>
                <w:w w:val="95"/>
                <w:sz w:val="16"/>
              </w:rPr>
              <w:t>1,001</w:t>
            </w:r>
          </w:p>
        </w:tc>
        <w:tc>
          <w:tcPr>
            <w:tcW w:w="1432" w:type="dxa"/>
          </w:tcPr>
          <w:p>
            <w:pPr>
              <w:pStyle w:val="TableParagraph"/>
              <w:spacing w:line="180" w:lineRule="exact" w:before="9"/>
              <w:ind w:right="283"/>
              <w:jc w:val="right"/>
              <w:rPr>
                <w:sz w:val="16"/>
              </w:rPr>
            </w:pPr>
            <w:r>
              <w:rPr>
                <w:sz w:val="16"/>
              </w:rPr>
              <w:t>to</w:t>
            </w:r>
          </w:p>
        </w:tc>
        <w:tc>
          <w:tcPr>
            <w:tcW w:w="843" w:type="dxa"/>
          </w:tcPr>
          <w:p>
            <w:pPr>
              <w:pStyle w:val="TableParagraph"/>
              <w:spacing w:line="180" w:lineRule="exact" w:before="9"/>
              <w:ind w:right="34"/>
              <w:jc w:val="right"/>
              <w:rPr>
                <w:sz w:val="16"/>
              </w:rPr>
            </w:pPr>
            <w:r>
              <w:rPr>
                <w:w w:val="95"/>
                <w:sz w:val="16"/>
              </w:rPr>
              <w:t>30,000</w:t>
            </w:r>
          </w:p>
        </w:tc>
      </w:tr>
      <w:tr>
        <w:trPr>
          <w:trHeight w:val="208" w:hRule="atLeast"/>
        </w:trPr>
        <w:tc>
          <w:tcPr>
            <w:tcW w:w="2169" w:type="dxa"/>
          </w:tcPr>
          <w:p>
            <w:pPr>
              <w:pStyle w:val="TableParagraph"/>
              <w:spacing w:line="180" w:lineRule="exact" w:before="9"/>
              <w:ind w:left="8" w:right="394"/>
              <w:jc w:val="center"/>
              <w:rPr>
                <w:sz w:val="16"/>
              </w:rPr>
            </w:pPr>
            <w:r>
              <w:rPr>
                <w:sz w:val="16"/>
              </w:rPr>
              <w:t>2%</w:t>
            </w:r>
          </w:p>
        </w:tc>
        <w:tc>
          <w:tcPr>
            <w:tcW w:w="1232" w:type="dxa"/>
          </w:tcPr>
          <w:p>
            <w:pPr>
              <w:pStyle w:val="TableParagraph"/>
              <w:spacing w:line="180" w:lineRule="exact" w:before="9"/>
              <w:ind w:right="236"/>
              <w:jc w:val="right"/>
              <w:rPr>
                <w:sz w:val="16"/>
              </w:rPr>
            </w:pPr>
            <w:r>
              <w:rPr>
                <w:w w:val="95"/>
                <w:sz w:val="16"/>
              </w:rPr>
              <w:t>30,001</w:t>
            </w:r>
          </w:p>
        </w:tc>
        <w:tc>
          <w:tcPr>
            <w:tcW w:w="1432" w:type="dxa"/>
          </w:tcPr>
          <w:p>
            <w:pPr>
              <w:pStyle w:val="TableParagraph"/>
              <w:spacing w:line="180" w:lineRule="exact" w:before="9"/>
              <w:ind w:right="283"/>
              <w:jc w:val="right"/>
              <w:rPr>
                <w:sz w:val="16"/>
              </w:rPr>
            </w:pPr>
            <w:r>
              <w:rPr>
                <w:sz w:val="16"/>
              </w:rPr>
              <w:t>to</w:t>
            </w:r>
          </w:p>
        </w:tc>
        <w:tc>
          <w:tcPr>
            <w:tcW w:w="843" w:type="dxa"/>
          </w:tcPr>
          <w:p>
            <w:pPr>
              <w:pStyle w:val="TableParagraph"/>
              <w:spacing w:line="180" w:lineRule="exact" w:before="9"/>
              <w:ind w:right="34"/>
              <w:jc w:val="right"/>
              <w:rPr>
                <w:sz w:val="16"/>
              </w:rPr>
            </w:pPr>
            <w:r>
              <w:rPr>
                <w:w w:val="95"/>
                <w:sz w:val="16"/>
              </w:rPr>
              <w:t>400,000</w:t>
            </w:r>
          </w:p>
        </w:tc>
      </w:tr>
      <w:tr>
        <w:trPr>
          <w:trHeight w:val="192" w:hRule="atLeast"/>
        </w:trPr>
        <w:tc>
          <w:tcPr>
            <w:tcW w:w="2169" w:type="dxa"/>
          </w:tcPr>
          <w:p>
            <w:pPr>
              <w:pStyle w:val="TableParagraph"/>
              <w:spacing w:line="164" w:lineRule="exact" w:before="9"/>
              <w:ind w:left="8" w:right="394"/>
              <w:jc w:val="center"/>
              <w:rPr>
                <w:sz w:val="16"/>
              </w:rPr>
            </w:pPr>
            <w:r>
              <w:rPr>
                <w:sz w:val="16"/>
              </w:rPr>
              <w:t>1%</w:t>
            </w:r>
          </w:p>
        </w:tc>
        <w:tc>
          <w:tcPr>
            <w:tcW w:w="1232" w:type="dxa"/>
          </w:tcPr>
          <w:p>
            <w:pPr>
              <w:pStyle w:val="TableParagraph"/>
              <w:spacing w:line="164" w:lineRule="exact" w:before="9"/>
              <w:ind w:right="235"/>
              <w:jc w:val="right"/>
              <w:rPr>
                <w:sz w:val="16"/>
              </w:rPr>
            </w:pPr>
            <w:r>
              <w:rPr>
                <w:w w:val="95"/>
                <w:sz w:val="16"/>
              </w:rPr>
              <w:t>400,001</w:t>
            </w:r>
          </w:p>
        </w:tc>
        <w:tc>
          <w:tcPr>
            <w:tcW w:w="1432" w:type="dxa"/>
          </w:tcPr>
          <w:p>
            <w:pPr>
              <w:pStyle w:val="TableParagraph"/>
              <w:spacing w:line="164" w:lineRule="exact" w:before="9"/>
              <w:ind w:right="234"/>
              <w:jc w:val="right"/>
              <w:rPr>
                <w:sz w:val="16"/>
              </w:rPr>
            </w:pPr>
            <w:r>
              <w:rPr>
                <w:w w:val="95"/>
                <w:sz w:val="16"/>
              </w:rPr>
              <w:t>and</w:t>
            </w:r>
          </w:p>
        </w:tc>
        <w:tc>
          <w:tcPr>
            <w:tcW w:w="843" w:type="dxa"/>
          </w:tcPr>
          <w:p>
            <w:pPr>
              <w:pStyle w:val="TableParagraph"/>
              <w:spacing w:line="164" w:lineRule="exact" w:before="9"/>
              <w:ind w:right="35"/>
              <w:jc w:val="right"/>
              <w:rPr>
                <w:sz w:val="16"/>
              </w:rPr>
            </w:pPr>
            <w:r>
              <w:rPr>
                <w:w w:val="95"/>
                <w:sz w:val="16"/>
              </w:rPr>
              <w:t>over</w:t>
            </w:r>
          </w:p>
        </w:tc>
      </w:tr>
    </w:tbl>
    <w:p>
      <w:pPr>
        <w:pStyle w:val="BodyText"/>
        <w:spacing w:before="118"/>
        <w:ind w:left="5360" w:right="622"/>
      </w:pPr>
      <w:r>
        <w:rPr/>
        <w:t>¹ Available reserves are the unrestricted amounts in the Stabilization Arrangements, Reserve for Economic Uncertainties, and Unassigned/Unappropriated accounts in the General Fund and the Special Reserve  Fund for Other Than Capital Outlay Projects. Available reserves will be reduced by any negative ending balances in restricted resources in the General</w:t>
      </w:r>
      <w:r>
        <w:rPr>
          <w:spacing w:val="2"/>
        </w:rPr>
        <w:t> </w:t>
      </w:r>
      <w:r>
        <w:rPr/>
        <w:t>Fund.</w:t>
      </w:r>
    </w:p>
    <w:p>
      <w:pPr>
        <w:pStyle w:val="BodyText"/>
        <w:spacing w:before="74"/>
        <w:ind w:left="5360" w:right="556"/>
      </w:pPr>
      <w:r>
        <w:rPr/>
        <w:t>² Dollar amounts to be adjusted annually by the prior year statutory cost-of-living adjustment, as referenced in Education Code Section 42238.02, rounded to the nearest</w:t>
      </w:r>
      <w:r>
        <w:rPr>
          <w:spacing w:val="11"/>
        </w:rPr>
        <w:t> </w:t>
      </w:r>
      <w:r>
        <w:rPr/>
        <w:t>thousand.</w:t>
      </w:r>
    </w:p>
    <w:p>
      <w:pPr>
        <w:pStyle w:val="BodyText"/>
        <w:spacing w:before="99"/>
        <w:ind w:left="5360" w:right="622"/>
      </w:pPr>
      <w:r>
        <w:rPr/>
        <w:drawing>
          <wp:anchor distT="0" distB="0" distL="0" distR="0" allowOverlap="1" layoutInCell="1" locked="0" behindDoc="1" simplePos="0" relativeHeight="189411328">
            <wp:simplePos x="0" y="0"/>
            <wp:positionH relativeFrom="page">
              <wp:posOffset>3407664</wp:posOffset>
            </wp:positionH>
            <wp:positionV relativeFrom="paragraph">
              <wp:posOffset>573112</wp:posOffset>
            </wp:positionV>
            <wp:extent cx="4005072" cy="112775"/>
            <wp:effectExtent l="0" t="0" r="0" b="0"/>
            <wp:wrapNone/>
            <wp:docPr id="109" name="image1596.png"/>
            <wp:cNvGraphicFramePr>
              <a:graphicFrameLocks noChangeAspect="1"/>
            </wp:cNvGraphicFramePr>
            <a:graphic>
              <a:graphicData uri="http://schemas.openxmlformats.org/drawingml/2006/picture">
                <pic:pic>
                  <pic:nvPicPr>
                    <pic:cNvPr id="110" name="image1596.png"/>
                    <pic:cNvPicPr/>
                  </pic:nvPicPr>
                  <pic:blipFill>
                    <a:blip r:embed="rId1702" cstate="print"/>
                    <a:stretch>
                      <a:fillRect/>
                    </a:stretch>
                  </pic:blipFill>
                  <pic:spPr>
                    <a:xfrm>
                      <a:off x="0" y="0"/>
                      <a:ext cx="4005072" cy="112775"/>
                    </a:xfrm>
                    <a:prstGeom prst="rect">
                      <a:avLst/>
                    </a:prstGeom>
                  </pic:spPr>
                </pic:pic>
              </a:graphicData>
            </a:graphic>
          </wp:anchor>
        </w:drawing>
      </w:r>
      <w:r>
        <w:rPr/>
        <w:drawing>
          <wp:anchor distT="0" distB="0" distL="0" distR="0" allowOverlap="1" layoutInCell="1" locked="0" behindDoc="1" simplePos="0" relativeHeight="189412352">
            <wp:simplePos x="0" y="0"/>
            <wp:positionH relativeFrom="page">
              <wp:posOffset>3407664</wp:posOffset>
            </wp:positionH>
            <wp:positionV relativeFrom="paragraph">
              <wp:posOffset>787996</wp:posOffset>
            </wp:positionV>
            <wp:extent cx="4005075" cy="220979"/>
            <wp:effectExtent l="0" t="0" r="0" b="0"/>
            <wp:wrapNone/>
            <wp:docPr id="111" name="image1597.png"/>
            <wp:cNvGraphicFramePr>
              <a:graphicFrameLocks noChangeAspect="1"/>
            </wp:cNvGraphicFramePr>
            <a:graphic>
              <a:graphicData uri="http://schemas.openxmlformats.org/drawingml/2006/picture">
                <pic:pic>
                  <pic:nvPicPr>
                    <pic:cNvPr id="112" name="image1597.png"/>
                    <pic:cNvPicPr/>
                  </pic:nvPicPr>
                  <pic:blipFill>
                    <a:blip r:embed="rId1703" cstate="print"/>
                    <a:stretch>
                      <a:fillRect/>
                    </a:stretch>
                  </pic:blipFill>
                  <pic:spPr>
                    <a:xfrm>
                      <a:off x="0" y="0"/>
                      <a:ext cx="4005075" cy="220979"/>
                    </a:xfrm>
                    <a:prstGeom prst="rect">
                      <a:avLst/>
                    </a:prstGeom>
                  </pic:spPr>
                </pic:pic>
              </a:graphicData>
            </a:graphic>
          </wp:anchor>
        </w:drawing>
      </w:r>
      <w:r>
        <w:rPr/>
        <w:t>³ A school district that is the Administrative Unit (AU) of a Special Education Local Plan Area (SELPA) may exclude from its expenditures the distribution of funds to its participating members.</w:t>
      </w:r>
    </w:p>
    <w:p>
      <w:pPr>
        <w:pStyle w:val="BodyText"/>
        <w:spacing w:before="7"/>
        <w:rPr>
          <w:sz w:val="16"/>
        </w:rPr>
      </w:pPr>
    </w:p>
    <w:tbl>
      <w:tblPr>
        <w:tblW w:w="0" w:type="auto"/>
        <w:jc w:val="left"/>
        <w:tblInd w:w="1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343"/>
        <w:gridCol w:w="1659"/>
        <w:gridCol w:w="2298"/>
        <w:gridCol w:w="1773"/>
      </w:tblGrid>
      <w:tr>
        <w:trPr>
          <w:trHeight w:val="157" w:hRule="atLeast"/>
        </w:trPr>
        <w:tc>
          <w:tcPr>
            <w:tcW w:w="4343" w:type="dxa"/>
            <w:vMerge w:val="restart"/>
          </w:tcPr>
          <w:p>
            <w:pPr>
              <w:pStyle w:val="TableParagraph"/>
              <w:rPr>
                <w:rFonts w:ascii="Times New Roman"/>
                <w:sz w:val="12"/>
              </w:rPr>
            </w:pPr>
          </w:p>
        </w:tc>
        <w:tc>
          <w:tcPr>
            <w:tcW w:w="1659" w:type="dxa"/>
          </w:tcPr>
          <w:p>
            <w:pPr>
              <w:pStyle w:val="TableParagraph"/>
              <w:spacing w:line="138" w:lineRule="exact"/>
              <w:ind w:left="307" w:right="588"/>
              <w:jc w:val="center"/>
              <w:rPr>
                <w:sz w:val="13"/>
              </w:rPr>
            </w:pPr>
            <w:r>
              <w:rPr>
                <w:sz w:val="13"/>
              </w:rPr>
              <w:t>Budget Year</w:t>
            </w:r>
          </w:p>
        </w:tc>
        <w:tc>
          <w:tcPr>
            <w:tcW w:w="2298" w:type="dxa"/>
          </w:tcPr>
          <w:p>
            <w:pPr>
              <w:pStyle w:val="TableParagraph"/>
              <w:spacing w:line="138" w:lineRule="exact"/>
              <w:ind w:left="595" w:right="448"/>
              <w:jc w:val="center"/>
              <w:rPr>
                <w:sz w:val="13"/>
              </w:rPr>
            </w:pPr>
            <w:r>
              <w:rPr>
                <w:sz w:val="13"/>
              </w:rPr>
              <w:t>1st Subsequent Year</w:t>
            </w:r>
          </w:p>
        </w:tc>
        <w:tc>
          <w:tcPr>
            <w:tcW w:w="1773" w:type="dxa"/>
          </w:tcPr>
          <w:p>
            <w:pPr>
              <w:pStyle w:val="TableParagraph"/>
              <w:spacing w:line="138" w:lineRule="exact"/>
              <w:ind w:left="447" w:right="26"/>
              <w:jc w:val="center"/>
              <w:rPr>
                <w:sz w:val="13"/>
              </w:rPr>
            </w:pPr>
            <w:r>
              <w:rPr>
                <w:sz w:val="13"/>
              </w:rPr>
              <w:t>2nd Subsequent Year</w:t>
            </w:r>
          </w:p>
        </w:tc>
      </w:tr>
      <w:tr>
        <w:trPr>
          <w:trHeight w:val="169" w:hRule="atLeast"/>
        </w:trPr>
        <w:tc>
          <w:tcPr>
            <w:tcW w:w="4343" w:type="dxa"/>
            <w:vMerge/>
            <w:tcBorders>
              <w:top w:val="nil"/>
            </w:tcBorders>
          </w:tcPr>
          <w:p>
            <w:pPr>
              <w:rPr>
                <w:sz w:val="2"/>
                <w:szCs w:val="2"/>
              </w:rPr>
            </w:pPr>
          </w:p>
        </w:tc>
        <w:tc>
          <w:tcPr>
            <w:tcW w:w="1659" w:type="dxa"/>
          </w:tcPr>
          <w:p>
            <w:pPr>
              <w:pStyle w:val="TableParagraph"/>
              <w:spacing w:line="141" w:lineRule="exact" w:before="7"/>
              <w:ind w:left="307" w:right="587"/>
              <w:jc w:val="center"/>
              <w:rPr>
                <w:sz w:val="13"/>
              </w:rPr>
            </w:pPr>
            <w:r>
              <w:rPr>
                <w:sz w:val="13"/>
              </w:rPr>
              <w:t>(2021-22)</w:t>
            </w:r>
          </w:p>
        </w:tc>
        <w:tc>
          <w:tcPr>
            <w:tcW w:w="2298" w:type="dxa"/>
          </w:tcPr>
          <w:p>
            <w:pPr>
              <w:pStyle w:val="TableParagraph"/>
              <w:spacing w:line="141" w:lineRule="exact" w:before="7"/>
              <w:ind w:left="595" w:right="448"/>
              <w:jc w:val="center"/>
              <w:rPr>
                <w:sz w:val="13"/>
              </w:rPr>
            </w:pPr>
            <w:r>
              <w:rPr>
                <w:sz w:val="13"/>
              </w:rPr>
              <w:t>(2022-23)</w:t>
            </w:r>
          </w:p>
        </w:tc>
        <w:tc>
          <w:tcPr>
            <w:tcW w:w="1773" w:type="dxa"/>
          </w:tcPr>
          <w:p>
            <w:pPr>
              <w:pStyle w:val="TableParagraph"/>
              <w:spacing w:line="141" w:lineRule="exact" w:before="7"/>
              <w:ind w:left="447" w:right="27"/>
              <w:jc w:val="center"/>
              <w:rPr>
                <w:sz w:val="13"/>
              </w:rPr>
            </w:pPr>
            <w:r>
              <w:rPr>
                <w:sz w:val="13"/>
              </w:rPr>
              <w:t>(2023-24)</w:t>
            </w:r>
          </w:p>
        </w:tc>
      </w:tr>
      <w:tr>
        <w:trPr>
          <w:trHeight w:val="169" w:hRule="atLeast"/>
        </w:trPr>
        <w:tc>
          <w:tcPr>
            <w:tcW w:w="4343" w:type="dxa"/>
          </w:tcPr>
          <w:p>
            <w:pPr>
              <w:pStyle w:val="TableParagraph"/>
              <w:spacing w:line="140" w:lineRule="exact" w:before="9"/>
              <w:ind w:left="34"/>
              <w:rPr>
                <w:sz w:val="13"/>
              </w:rPr>
            </w:pPr>
            <w:r>
              <w:rPr>
                <w:sz w:val="13"/>
              </w:rPr>
              <w:t>District Estimated P-2 ADA (Budget Year, Form A, Lines A4 and C4.</w:t>
            </w:r>
          </w:p>
        </w:tc>
        <w:tc>
          <w:tcPr>
            <w:tcW w:w="1659" w:type="dxa"/>
          </w:tcPr>
          <w:p>
            <w:pPr>
              <w:pStyle w:val="TableParagraph"/>
              <w:spacing w:line="140" w:lineRule="exact" w:before="9"/>
              <w:ind w:left="307" w:right="587"/>
              <w:jc w:val="center"/>
              <w:rPr>
                <w:sz w:val="13"/>
              </w:rPr>
            </w:pPr>
            <w:r>
              <w:rPr>
                <w:sz w:val="13"/>
              </w:rPr>
              <w:t>114</w:t>
            </w:r>
          </w:p>
        </w:tc>
        <w:tc>
          <w:tcPr>
            <w:tcW w:w="2298" w:type="dxa"/>
          </w:tcPr>
          <w:p>
            <w:pPr>
              <w:pStyle w:val="TableParagraph"/>
              <w:spacing w:line="140" w:lineRule="exact" w:before="9"/>
              <w:ind w:left="595" w:right="448"/>
              <w:jc w:val="center"/>
              <w:rPr>
                <w:sz w:val="13"/>
              </w:rPr>
            </w:pPr>
            <w:r>
              <w:rPr>
                <w:sz w:val="13"/>
              </w:rPr>
              <w:t>114</w:t>
            </w:r>
          </w:p>
        </w:tc>
        <w:tc>
          <w:tcPr>
            <w:tcW w:w="1773" w:type="dxa"/>
          </w:tcPr>
          <w:p>
            <w:pPr>
              <w:pStyle w:val="TableParagraph"/>
              <w:spacing w:line="140" w:lineRule="exact" w:before="9"/>
              <w:ind w:left="447" w:right="27"/>
              <w:jc w:val="center"/>
              <w:rPr>
                <w:sz w:val="13"/>
              </w:rPr>
            </w:pPr>
            <w:r>
              <w:rPr>
                <w:sz w:val="13"/>
              </w:rPr>
              <w:t>114</w:t>
            </w:r>
          </w:p>
        </w:tc>
      </w:tr>
      <w:tr>
        <w:trPr>
          <w:trHeight w:val="495" w:hRule="atLeast"/>
        </w:trPr>
        <w:tc>
          <w:tcPr>
            <w:tcW w:w="4343" w:type="dxa"/>
          </w:tcPr>
          <w:p>
            <w:pPr>
              <w:pStyle w:val="TableParagraph"/>
              <w:spacing w:before="7"/>
              <w:ind w:left="946"/>
              <w:rPr>
                <w:sz w:val="13"/>
              </w:rPr>
            </w:pPr>
            <w:r>
              <w:rPr>
                <w:sz w:val="13"/>
              </w:rPr>
              <w:t>Subsequent Years, Form MYP, Line F2, if</w:t>
            </w:r>
            <w:r>
              <w:rPr>
                <w:spacing w:val="25"/>
                <w:sz w:val="13"/>
              </w:rPr>
              <w:t> </w:t>
            </w:r>
            <w:r>
              <w:rPr>
                <w:sz w:val="13"/>
              </w:rPr>
              <w:t>available.)</w:t>
            </w:r>
          </w:p>
          <w:p>
            <w:pPr>
              <w:pStyle w:val="TableParagraph"/>
              <w:spacing w:before="5"/>
              <w:rPr>
                <w:sz w:val="16"/>
              </w:rPr>
            </w:pPr>
          </w:p>
          <w:p>
            <w:pPr>
              <w:pStyle w:val="TableParagraph"/>
              <w:spacing w:line="130" w:lineRule="exact"/>
              <w:ind w:left="1097"/>
              <w:rPr>
                <w:b/>
                <w:sz w:val="13"/>
              </w:rPr>
            </w:pPr>
            <w:r>
              <w:rPr>
                <w:b/>
                <w:sz w:val="13"/>
              </w:rPr>
              <w:t>District's Reserve Standard Percentage</w:t>
            </w:r>
            <w:r>
              <w:rPr>
                <w:b/>
                <w:spacing w:val="30"/>
                <w:sz w:val="13"/>
              </w:rPr>
              <w:t> </w:t>
            </w:r>
            <w:r>
              <w:rPr>
                <w:b/>
                <w:sz w:val="13"/>
              </w:rPr>
              <w:t>Level:</w:t>
            </w:r>
          </w:p>
        </w:tc>
        <w:tc>
          <w:tcPr>
            <w:tcW w:w="1659" w:type="dxa"/>
          </w:tcPr>
          <w:p>
            <w:pPr>
              <w:pStyle w:val="TableParagraph"/>
              <w:rPr>
                <w:sz w:val="14"/>
              </w:rPr>
            </w:pPr>
          </w:p>
          <w:p>
            <w:pPr>
              <w:pStyle w:val="TableParagraph"/>
              <w:spacing w:before="1"/>
              <w:rPr>
                <w:sz w:val="16"/>
              </w:rPr>
            </w:pPr>
          </w:p>
          <w:p>
            <w:pPr>
              <w:pStyle w:val="TableParagraph"/>
              <w:spacing w:line="130" w:lineRule="exact"/>
              <w:ind w:left="307" w:right="584"/>
              <w:jc w:val="center"/>
              <w:rPr>
                <w:b/>
                <w:sz w:val="13"/>
              </w:rPr>
            </w:pPr>
            <w:r>
              <w:rPr>
                <w:b/>
                <w:sz w:val="13"/>
              </w:rPr>
              <w:t>5%</w:t>
            </w:r>
          </w:p>
        </w:tc>
        <w:tc>
          <w:tcPr>
            <w:tcW w:w="2298" w:type="dxa"/>
          </w:tcPr>
          <w:p>
            <w:pPr>
              <w:pStyle w:val="TableParagraph"/>
              <w:rPr>
                <w:sz w:val="14"/>
              </w:rPr>
            </w:pPr>
          </w:p>
          <w:p>
            <w:pPr>
              <w:pStyle w:val="TableParagraph"/>
              <w:spacing w:before="1"/>
              <w:rPr>
                <w:sz w:val="16"/>
              </w:rPr>
            </w:pPr>
          </w:p>
          <w:p>
            <w:pPr>
              <w:pStyle w:val="TableParagraph"/>
              <w:spacing w:line="130" w:lineRule="exact"/>
              <w:ind w:left="595" w:right="445"/>
              <w:jc w:val="center"/>
              <w:rPr>
                <w:b/>
                <w:sz w:val="13"/>
              </w:rPr>
            </w:pPr>
            <w:r>
              <w:rPr>
                <w:b/>
                <w:sz w:val="13"/>
              </w:rPr>
              <w:t>5%</w:t>
            </w:r>
          </w:p>
        </w:tc>
        <w:tc>
          <w:tcPr>
            <w:tcW w:w="1773" w:type="dxa"/>
          </w:tcPr>
          <w:p>
            <w:pPr>
              <w:pStyle w:val="TableParagraph"/>
              <w:rPr>
                <w:sz w:val="14"/>
              </w:rPr>
            </w:pPr>
          </w:p>
          <w:p>
            <w:pPr>
              <w:pStyle w:val="TableParagraph"/>
              <w:spacing w:before="1"/>
              <w:rPr>
                <w:sz w:val="16"/>
              </w:rPr>
            </w:pPr>
          </w:p>
          <w:p>
            <w:pPr>
              <w:pStyle w:val="TableParagraph"/>
              <w:spacing w:line="130" w:lineRule="exact"/>
              <w:ind w:left="447" w:right="24"/>
              <w:jc w:val="center"/>
              <w:rPr>
                <w:b/>
                <w:sz w:val="13"/>
              </w:rPr>
            </w:pPr>
            <w:r>
              <w:rPr>
                <w:b/>
                <w:sz w:val="13"/>
              </w:rPr>
              <w:t>5%</w:t>
            </w:r>
          </w:p>
        </w:tc>
      </w:tr>
    </w:tbl>
    <w:p>
      <w:pPr>
        <w:pStyle w:val="BodyText"/>
        <w:spacing w:before="7"/>
        <w:rPr>
          <w:sz w:val="10"/>
        </w:rPr>
      </w:pPr>
      <w:r>
        <w:rPr/>
        <w:drawing>
          <wp:anchor distT="0" distB="0" distL="0" distR="0" allowOverlap="1" layoutInCell="1" locked="0" behindDoc="0" simplePos="0" relativeHeight="780">
            <wp:simplePos x="0" y="0"/>
            <wp:positionH relativeFrom="page">
              <wp:posOffset>208788</wp:posOffset>
            </wp:positionH>
            <wp:positionV relativeFrom="paragraph">
              <wp:posOffset>102667</wp:posOffset>
            </wp:positionV>
            <wp:extent cx="7204143" cy="13715"/>
            <wp:effectExtent l="0" t="0" r="0" b="0"/>
            <wp:wrapTopAndBottom/>
            <wp:docPr id="113" name="image1401.png"/>
            <wp:cNvGraphicFramePr>
              <a:graphicFrameLocks noChangeAspect="1"/>
            </wp:cNvGraphicFramePr>
            <a:graphic>
              <a:graphicData uri="http://schemas.openxmlformats.org/drawingml/2006/picture">
                <pic:pic>
                  <pic:nvPicPr>
                    <pic:cNvPr id="114" name="image1401.png"/>
                    <pic:cNvPicPr/>
                  </pic:nvPicPr>
                  <pic:blipFill>
                    <a:blip r:embed="rId1503" cstate="print"/>
                    <a:stretch>
                      <a:fillRect/>
                    </a:stretch>
                  </pic:blipFill>
                  <pic:spPr>
                    <a:xfrm>
                      <a:off x="0" y="0"/>
                      <a:ext cx="7204143" cy="13715"/>
                    </a:xfrm>
                    <a:prstGeom prst="rect">
                      <a:avLst/>
                    </a:prstGeom>
                  </pic:spPr>
                </pic:pic>
              </a:graphicData>
            </a:graphic>
          </wp:anchor>
        </w:drawing>
      </w:r>
    </w:p>
    <w:p>
      <w:pPr>
        <w:pStyle w:val="Heading8"/>
        <w:spacing w:before="0"/>
        <w:ind w:left="322"/>
      </w:pPr>
      <w:r>
        <w:rPr>
          <w:w w:val="105"/>
        </w:rPr>
        <w:t>10A. Calculating the District's Special Education Pass-through Exclusions (only for districts that serve as the AU of a SELPA)</w:t>
      </w:r>
    </w:p>
    <w:p>
      <w:pPr>
        <w:pStyle w:val="BodyText"/>
        <w:spacing w:line="21" w:lineRule="exact"/>
        <w:ind w:left="288"/>
        <w:rPr>
          <w:sz w:val="2"/>
        </w:rPr>
      </w:pPr>
      <w:r>
        <w:rPr>
          <w:sz w:val="2"/>
        </w:rPr>
        <w:pict>
          <v:group style="width:567.25pt;height:1.1pt;mso-position-horizontal-relative:char;mso-position-vertical-relative:line" coordorigin="0,0" coordsize="11345,22">
            <v:shape style="position:absolute;left:0;top:0;width:9432;height:22" type="#_x0000_t75" stroked="false">
              <v:imagedata r:id="rId1610" o:title=""/>
            </v:shape>
            <v:shape style="position:absolute;left:9424;top:0;width:1920;height:22" type="#_x0000_t75" stroked="false">
              <v:imagedata r:id="rId1612" o:title=""/>
            </v:shape>
          </v:group>
        </w:pict>
      </w:r>
      <w:r>
        <w:rPr>
          <w:sz w:val="2"/>
        </w:rPr>
      </w:r>
    </w:p>
    <w:p>
      <w:pPr>
        <w:pStyle w:val="BodyText"/>
        <w:spacing w:before="2"/>
        <w:rPr>
          <w:b/>
          <w:sz w:val="12"/>
        </w:rPr>
      </w:pPr>
    </w:p>
    <w:p>
      <w:pPr>
        <w:pStyle w:val="BodyText"/>
        <w:spacing w:line="268" w:lineRule="auto" w:before="98"/>
        <w:ind w:left="322" w:right="2472"/>
      </w:pPr>
      <w:r>
        <w:rPr/>
        <w:t>DATA ENTRY: For SELPA AUs, if Form MYP exists, all data will be extracted including the Yes/No button selection. If not, click the appropriate Yes or No button for item 1 and, if Yes, enter data for item 2a and for the two subsequent years in item 2b; Budget Year data are extracted.</w:t>
      </w:r>
    </w:p>
    <w:p>
      <w:pPr>
        <w:pStyle w:val="BodyText"/>
        <w:spacing w:before="1"/>
        <w:rPr>
          <w:sz w:val="16"/>
        </w:rPr>
      </w:pPr>
    </w:p>
    <w:p>
      <w:pPr>
        <w:pStyle w:val="BodyText"/>
        <w:ind w:left="322"/>
      </w:pPr>
      <w:r>
        <w:rPr/>
        <w:pict>
          <v:group style="position:absolute;margin-left:396.480011pt;margin-top:7.416931pt;width:91.6pt;height:18pt;mso-position-horizontal-relative:page;mso-position-vertical-relative:paragraph;z-index:252465152" coordorigin="7930,148" coordsize="1832,360">
            <v:shape style="position:absolute;left:7929;top:148;width:1832;height:360" type="#_x0000_t75" stroked="false">
              <v:imagedata r:id="rId1704" o:title=""/>
            </v:shape>
            <v:shape style="position:absolute;left:8762;top:355;width:190;height:148" type="#_x0000_t202" filled="false" stroked="false">
              <v:textbox inset="0,0,0,0">
                <w:txbxContent>
                  <w:p>
                    <w:pPr>
                      <w:spacing w:line="147" w:lineRule="exact" w:before="0"/>
                      <w:ind w:left="0" w:right="0" w:firstLine="0"/>
                      <w:jc w:val="left"/>
                      <w:rPr>
                        <w:sz w:val="13"/>
                      </w:rPr>
                    </w:pPr>
                    <w:r>
                      <w:rPr>
                        <w:sz w:val="13"/>
                      </w:rPr>
                      <w:t>No</w:t>
                    </w:r>
                  </w:p>
                </w:txbxContent>
              </v:textbox>
              <w10:wrap type="none"/>
            </v:shape>
            <w10:wrap type="none"/>
          </v:group>
        </w:pict>
      </w:r>
      <w:r>
        <w:rPr/>
        <w:t>For districts that serve as the AU of a SELPA (Form MYP, Lines F1a, F1b1, and F1b2):</w:t>
      </w:r>
    </w:p>
    <w:p>
      <w:pPr>
        <w:pStyle w:val="BodyText"/>
        <w:spacing w:before="3"/>
        <w:rPr>
          <w:sz w:val="9"/>
        </w:rPr>
      </w:pPr>
    </w:p>
    <w:p>
      <w:pPr>
        <w:pStyle w:val="ListParagraph"/>
        <w:numPr>
          <w:ilvl w:val="1"/>
          <w:numId w:val="71"/>
        </w:numPr>
        <w:tabs>
          <w:tab w:pos="821" w:val="left" w:leader="none"/>
          <w:tab w:pos="822" w:val="left" w:leader="none"/>
        </w:tabs>
        <w:spacing w:line="240" w:lineRule="auto" w:before="97" w:after="0"/>
        <w:ind w:left="821" w:right="0" w:hanging="334"/>
        <w:jc w:val="left"/>
        <w:rPr>
          <w:sz w:val="13"/>
        </w:rPr>
      </w:pPr>
      <w:r>
        <w:rPr>
          <w:sz w:val="13"/>
        </w:rPr>
        <w:t>Do you choose to exclude from the reserve calculation the pass-through funds distributed to SELPA</w:t>
      </w:r>
      <w:r>
        <w:rPr>
          <w:spacing w:val="16"/>
          <w:sz w:val="13"/>
        </w:rPr>
        <w:t> </w:t>
      </w:r>
      <w:r>
        <w:rPr>
          <w:sz w:val="13"/>
        </w:rPr>
        <w:t>members?</w:t>
      </w:r>
    </w:p>
    <w:p>
      <w:pPr>
        <w:pStyle w:val="ListParagraph"/>
        <w:numPr>
          <w:ilvl w:val="1"/>
          <w:numId w:val="71"/>
        </w:numPr>
        <w:tabs>
          <w:tab w:pos="821" w:val="left" w:leader="none"/>
          <w:tab w:pos="822" w:val="left" w:leader="none"/>
        </w:tabs>
        <w:spacing w:line="240" w:lineRule="auto" w:before="6" w:after="0"/>
        <w:ind w:left="821" w:right="0" w:hanging="334"/>
        <w:jc w:val="left"/>
        <w:rPr>
          <w:sz w:val="13"/>
        </w:rPr>
      </w:pPr>
      <w:r>
        <w:rPr>
          <w:sz w:val="13"/>
        </w:rPr>
        <w:t>If you are the SELPA AU and are excluding special education pass-through</w:t>
      </w:r>
      <w:r>
        <w:rPr>
          <w:spacing w:val="2"/>
          <w:sz w:val="13"/>
        </w:rPr>
        <w:t> </w:t>
      </w:r>
      <w:r>
        <w:rPr>
          <w:sz w:val="13"/>
        </w:rPr>
        <w:t>funds:</w:t>
      </w:r>
    </w:p>
    <w:p>
      <w:pPr>
        <w:pStyle w:val="ListParagraph"/>
        <w:numPr>
          <w:ilvl w:val="2"/>
          <w:numId w:val="71"/>
        </w:numPr>
        <w:tabs>
          <w:tab w:pos="1040" w:val="left" w:leader="none"/>
        </w:tabs>
        <w:spacing w:line="240" w:lineRule="auto" w:before="35" w:after="0"/>
        <w:ind w:left="1039" w:right="0" w:hanging="219"/>
        <w:jc w:val="left"/>
        <w:rPr>
          <w:sz w:val="13"/>
        </w:rPr>
      </w:pPr>
      <w:r>
        <w:rPr>
          <w:sz w:val="13"/>
        </w:rPr>
        <w:t>Enter the name(s) of the</w:t>
      </w:r>
      <w:r>
        <w:rPr>
          <w:spacing w:val="-1"/>
          <w:sz w:val="13"/>
        </w:rPr>
        <w:t> </w:t>
      </w:r>
      <w:r>
        <w:rPr>
          <w:sz w:val="13"/>
        </w:rPr>
        <w:t>SELPA(s):</w:t>
      </w:r>
    </w:p>
    <w:p>
      <w:pPr>
        <w:pStyle w:val="BodyText"/>
        <w:spacing w:line="20" w:lineRule="exact"/>
        <w:ind w:left="3284"/>
        <w:rPr>
          <w:sz w:val="2"/>
        </w:rPr>
      </w:pPr>
      <w:r>
        <w:rPr>
          <w:sz w:val="2"/>
        </w:rPr>
        <w:drawing>
          <wp:inline distT="0" distB="0" distL="0" distR="0">
            <wp:extent cx="4970817" cy="4286"/>
            <wp:effectExtent l="0" t="0" r="0" b="0"/>
            <wp:docPr id="115" name="image1599.png"/>
            <wp:cNvGraphicFramePr>
              <a:graphicFrameLocks noChangeAspect="1"/>
            </wp:cNvGraphicFramePr>
            <a:graphic>
              <a:graphicData uri="http://schemas.openxmlformats.org/drawingml/2006/picture">
                <pic:pic>
                  <pic:nvPicPr>
                    <pic:cNvPr id="116" name="image1599.png"/>
                    <pic:cNvPicPr/>
                  </pic:nvPicPr>
                  <pic:blipFill>
                    <a:blip r:embed="rId1705" cstate="print"/>
                    <a:stretch>
                      <a:fillRect/>
                    </a:stretch>
                  </pic:blipFill>
                  <pic:spPr>
                    <a:xfrm>
                      <a:off x="0" y="0"/>
                      <a:ext cx="4970817" cy="4286"/>
                    </a:xfrm>
                    <a:prstGeom prst="rect">
                      <a:avLst/>
                    </a:prstGeom>
                  </pic:spPr>
                </pic:pic>
              </a:graphicData>
            </a:graphic>
          </wp:inline>
        </w:drawing>
      </w:r>
      <w:r>
        <w:rPr>
          <w:sz w:val="2"/>
        </w:rPr>
      </w:r>
    </w:p>
    <w:p>
      <w:pPr>
        <w:pStyle w:val="BodyText"/>
        <w:spacing w:before="9"/>
        <w:rPr>
          <w:sz w:val="10"/>
        </w:rPr>
      </w:pPr>
      <w:r>
        <w:rPr/>
        <w:drawing>
          <wp:anchor distT="0" distB="0" distL="0" distR="0" allowOverlap="1" layoutInCell="1" locked="0" behindDoc="0" simplePos="0" relativeHeight="782">
            <wp:simplePos x="0" y="0"/>
            <wp:positionH relativeFrom="page">
              <wp:posOffset>2110739</wp:posOffset>
            </wp:positionH>
            <wp:positionV relativeFrom="paragraph">
              <wp:posOffset>104056</wp:posOffset>
            </wp:positionV>
            <wp:extent cx="5302216" cy="4572"/>
            <wp:effectExtent l="0" t="0" r="0" b="0"/>
            <wp:wrapTopAndBottom/>
            <wp:docPr id="117" name="image1599.png"/>
            <wp:cNvGraphicFramePr>
              <a:graphicFrameLocks noChangeAspect="1"/>
            </wp:cNvGraphicFramePr>
            <a:graphic>
              <a:graphicData uri="http://schemas.openxmlformats.org/drawingml/2006/picture">
                <pic:pic>
                  <pic:nvPicPr>
                    <pic:cNvPr id="118" name="image1599.png"/>
                    <pic:cNvPicPr/>
                  </pic:nvPicPr>
                  <pic:blipFill>
                    <a:blip r:embed="rId1705" cstate="print"/>
                    <a:stretch>
                      <a:fillRect/>
                    </a:stretch>
                  </pic:blipFill>
                  <pic:spPr>
                    <a:xfrm>
                      <a:off x="0" y="0"/>
                      <a:ext cx="5302216" cy="4572"/>
                    </a:xfrm>
                    <a:prstGeom prst="rect">
                      <a:avLst/>
                    </a:prstGeom>
                  </pic:spPr>
                </pic:pic>
              </a:graphicData>
            </a:graphic>
          </wp:anchor>
        </w:drawing>
      </w:r>
    </w:p>
    <w:p>
      <w:pPr>
        <w:pStyle w:val="BodyText"/>
        <w:spacing w:before="8"/>
        <w:rPr>
          <w:sz w:val="20"/>
        </w:rPr>
      </w:pPr>
    </w:p>
    <w:p>
      <w:pPr>
        <w:spacing w:after="0"/>
        <w:rPr>
          <w:sz w:val="20"/>
        </w:rPr>
        <w:sectPr>
          <w:pgSz w:w="12240" w:h="15840"/>
          <w:pgMar w:header="402" w:footer="584" w:top="840" w:bottom="780" w:left="40" w:right="40"/>
        </w:sectPr>
      </w:pPr>
    </w:p>
    <w:p>
      <w:pPr>
        <w:pStyle w:val="BodyText"/>
        <w:rPr>
          <w:sz w:val="14"/>
        </w:rPr>
      </w:pPr>
    </w:p>
    <w:p>
      <w:pPr>
        <w:pStyle w:val="BodyText"/>
        <w:rPr>
          <w:sz w:val="14"/>
        </w:rPr>
      </w:pPr>
    </w:p>
    <w:p>
      <w:pPr>
        <w:pStyle w:val="BodyText"/>
        <w:spacing w:before="2"/>
        <w:rPr>
          <w:sz w:val="11"/>
        </w:rPr>
      </w:pPr>
    </w:p>
    <w:p>
      <w:pPr>
        <w:pStyle w:val="ListParagraph"/>
        <w:numPr>
          <w:ilvl w:val="2"/>
          <w:numId w:val="71"/>
        </w:numPr>
        <w:tabs>
          <w:tab w:pos="1040" w:val="left" w:leader="none"/>
        </w:tabs>
        <w:spacing w:line="240" w:lineRule="auto" w:before="0" w:after="0"/>
        <w:ind w:left="1039" w:right="0" w:hanging="219"/>
        <w:jc w:val="left"/>
        <w:rPr>
          <w:sz w:val="13"/>
        </w:rPr>
      </w:pPr>
      <w:r>
        <w:rPr>
          <w:sz w:val="13"/>
        </w:rPr>
        <w:t>Special Education Pass-through Funds</w:t>
      </w:r>
    </w:p>
    <w:p>
      <w:pPr>
        <w:pStyle w:val="BodyText"/>
        <w:spacing w:before="19"/>
        <w:ind w:left="1037"/>
      </w:pPr>
      <w:r>
        <w:rPr/>
        <w:t>(Fund 10, resources 3300-3499, 6500-6540 and 6546,</w:t>
      </w:r>
    </w:p>
    <w:p>
      <w:pPr>
        <w:pStyle w:val="BodyText"/>
        <w:spacing w:before="18"/>
        <w:ind w:left="1037"/>
      </w:pPr>
      <w:r>
        <w:rPr/>
        <w:t>objects 7211-7213 and 7221-7223)</w:t>
      </w:r>
    </w:p>
    <w:p>
      <w:pPr>
        <w:pStyle w:val="BodyText"/>
        <w:tabs>
          <w:tab w:pos="2763" w:val="left" w:leader="none"/>
          <w:tab w:pos="3094" w:val="left" w:leader="none"/>
          <w:tab w:pos="4913" w:val="left" w:leader="none"/>
          <w:tab w:pos="5266" w:val="left" w:leader="none"/>
        </w:tabs>
        <w:spacing w:line="297" w:lineRule="auto" w:before="98"/>
        <w:ind w:left="900" w:right="842" w:hanging="80"/>
      </w:pPr>
      <w:r>
        <w:rPr/>
        <w:br w:type="column"/>
      </w:r>
      <w:r>
        <w:rPr/>
        <w:t>Budget</w:t>
      </w:r>
      <w:r>
        <w:rPr>
          <w:spacing w:val="4"/>
        </w:rPr>
        <w:t> </w:t>
      </w:r>
      <w:r>
        <w:rPr/>
        <w:t>Year</w:t>
        <w:tab/>
        <w:t>1st</w:t>
      </w:r>
      <w:r>
        <w:rPr>
          <w:spacing w:val="6"/>
        </w:rPr>
        <w:t> </w:t>
      </w:r>
      <w:r>
        <w:rPr/>
        <w:t>Subsequent</w:t>
      </w:r>
      <w:r>
        <w:rPr>
          <w:spacing w:val="7"/>
        </w:rPr>
        <w:t> </w:t>
      </w:r>
      <w:r>
        <w:rPr/>
        <w:t>Year</w:t>
        <w:tab/>
        <w:t>2nd Subsequent </w:t>
      </w:r>
      <w:r>
        <w:rPr>
          <w:spacing w:val="-4"/>
        </w:rPr>
        <w:t>Year </w:t>
      </w:r>
      <w:r>
        <w:rPr/>
        <w:t>(2021-22)</w:t>
        <w:tab/>
        <w:tab/>
        <w:t>(2022-23)</w:t>
        <w:tab/>
        <w:tab/>
        <w:t>(2023-24)</w:t>
      </w:r>
    </w:p>
    <w:p>
      <w:pPr>
        <w:spacing w:after="0" w:line="297" w:lineRule="auto"/>
        <w:sectPr>
          <w:type w:val="continuous"/>
          <w:pgSz w:w="12240" w:h="15840"/>
          <w:pgMar w:top="1500" w:bottom="840" w:left="40" w:right="40"/>
          <w:cols w:num="2" w:equalWidth="0">
            <w:col w:w="4279" w:space="840"/>
            <w:col w:w="7041"/>
          </w:cols>
        </w:sectPr>
      </w:pPr>
    </w:p>
    <w:p>
      <w:pPr>
        <w:pStyle w:val="BodyText"/>
        <w:spacing w:before="4"/>
        <w:rPr>
          <w:sz w:val="15"/>
        </w:rPr>
      </w:pPr>
    </w:p>
    <w:p>
      <w:pPr>
        <w:pStyle w:val="BodyText"/>
        <w:spacing w:line="21" w:lineRule="exact"/>
        <w:ind w:left="288"/>
        <w:rPr>
          <w:sz w:val="2"/>
        </w:rPr>
      </w:pPr>
      <w:r>
        <w:rPr>
          <w:sz w:val="2"/>
        </w:rPr>
        <w:drawing>
          <wp:inline distT="0" distB="0" distL="0" distR="0">
            <wp:extent cx="7203932" cy="13715"/>
            <wp:effectExtent l="0" t="0" r="0" b="0"/>
            <wp:docPr id="119" name="image1401.png"/>
            <wp:cNvGraphicFramePr>
              <a:graphicFrameLocks noChangeAspect="1"/>
            </wp:cNvGraphicFramePr>
            <a:graphic>
              <a:graphicData uri="http://schemas.openxmlformats.org/drawingml/2006/picture">
                <pic:pic>
                  <pic:nvPicPr>
                    <pic:cNvPr id="120" name="image1401.png"/>
                    <pic:cNvPicPr/>
                  </pic:nvPicPr>
                  <pic:blipFill>
                    <a:blip r:embed="rId1503" cstate="print"/>
                    <a:stretch>
                      <a:fillRect/>
                    </a:stretch>
                  </pic:blipFill>
                  <pic:spPr>
                    <a:xfrm>
                      <a:off x="0" y="0"/>
                      <a:ext cx="7203932" cy="13715"/>
                    </a:xfrm>
                    <a:prstGeom prst="rect">
                      <a:avLst/>
                    </a:prstGeom>
                  </pic:spPr>
                </pic:pic>
              </a:graphicData>
            </a:graphic>
          </wp:inline>
        </w:drawing>
      </w:r>
      <w:r>
        <w:rPr>
          <w:sz w:val="2"/>
        </w:rPr>
      </w:r>
    </w:p>
    <w:p>
      <w:pPr>
        <w:pStyle w:val="Heading8"/>
        <w:spacing w:before="20"/>
        <w:ind w:left="322"/>
      </w:pPr>
      <w:r>
        <w:rPr/>
        <w:pict>
          <v:group style="position:absolute;margin-left:268.320007pt;margin-top:-35.154099pt;width:315.4pt;height:25.6pt;mso-position-horizontal-relative:page;mso-position-vertical-relative:paragraph;z-index:-313897984" coordorigin="5366,-703" coordsize="6308,512">
            <v:shape style="position:absolute;left:5366;top:-704;width:1964;height:8" type="#_x0000_t75" stroked="false">
              <v:imagedata r:id="rId1506" o:title=""/>
            </v:shape>
            <v:shape style="position:absolute;left:5366;top:-704;width:6308;height:512" type="#_x0000_t75" stroked="false">
              <v:imagedata r:id="rId1706" o:title=""/>
            </v:shape>
            <v:shape style="position:absolute;left:6993;top:-345;width:279;height:148" type="#_x0000_t202" filled="false" stroked="false">
              <v:textbox inset="0,0,0,0">
                <w:txbxContent>
                  <w:p>
                    <w:pPr>
                      <w:spacing w:line="147" w:lineRule="exact" w:before="0"/>
                      <w:ind w:left="0" w:right="0" w:firstLine="0"/>
                      <w:jc w:val="left"/>
                      <w:rPr>
                        <w:sz w:val="13"/>
                      </w:rPr>
                    </w:pPr>
                    <w:r>
                      <w:rPr>
                        <w:sz w:val="13"/>
                      </w:rPr>
                      <w:t>0.00</w:t>
                    </w:r>
                  </w:p>
                </w:txbxContent>
              </v:textbox>
              <w10:wrap type="none"/>
            </v:shape>
            <v:shape style="position:absolute;left:9424;top:-345;width:279;height:148" type="#_x0000_t202" filled="false" stroked="false">
              <v:textbox inset="0,0,0,0">
                <w:txbxContent>
                  <w:p>
                    <w:pPr>
                      <w:spacing w:line="147" w:lineRule="exact" w:before="0"/>
                      <w:ind w:left="0" w:right="0" w:firstLine="0"/>
                      <w:jc w:val="left"/>
                      <w:rPr>
                        <w:sz w:val="13"/>
                      </w:rPr>
                    </w:pPr>
                    <w:r>
                      <w:rPr>
                        <w:sz w:val="13"/>
                      </w:rPr>
                      <w:t>0.00</w:t>
                    </w:r>
                  </w:p>
                </w:txbxContent>
              </v:textbox>
              <w10:wrap type="none"/>
            </v:shape>
            <v:shape style="position:absolute;left:11337;top:-345;width:279;height:148" type="#_x0000_t202" filled="false" stroked="false">
              <v:textbox inset="0,0,0,0">
                <w:txbxContent>
                  <w:p>
                    <w:pPr>
                      <w:spacing w:line="147" w:lineRule="exact" w:before="0"/>
                      <w:ind w:left="0" w:right="0" w:firstLine="0"/>
                      <w:jc w:val="left"/>
                      <w:rPr>
                        <w:sz w:val="13"/>
                      </w:rPr>
                    </w:pPr>
                    <w:r>
                      <w:rPr>
                        <w:sz w:val="13"/>
                      </w:rPr>
                      <w:t>0.00</w:t>
                    </w:r>
                  </w:p>
                </w:txbxContent>
              </v:textbox>
              <w10:wrap type="none"/>
            </v:shape>
            <w10:wrap type="none"/>
          </v:group>
        </w:pict>
      </w:r>
      <w:r>
        <w:rPr>
          <w:w w:val="105"/>
        </w:rPr>
        <w:t>10B. Calculating the District's Reserve Standard</w:t>
      </w:r>
    </w:p>
    <w:p>
      <w:pPr>
        <w:pStyle w:val="BodyText"/>
        <w:spacing w:line="21" w:lineRule="exact"/>
        <w:ind w:left="288"/>
        <w:rPr>
          <w:sz w:val="2"/>
        </w:rPr>
      </w:pPr>
      <w:r>
        <w:rPr>
          <w:sz w:val="2"/>
        </w:rPr>
        <w:pict>
          <v:group style="width:567.25pt;height:1.1pt;mso-position-horizontal-relative:char;mso-position-vertical-relative:line" coordorigin="0,0" coordsize="11345,22">
            <v:shape style="position:absolute;left:0;top:0;width:4438;height:22" type="#_x0000_t75" stroked="false">
              <v:imagedata r:id="rId1509" o:title=""/>
            </v:shape>
            <v:shape style="position:absolute;left:4430;top:0;width:6915;height:22" type="#_x0000_t75" stroked="false">
              <v:imagedata r:id="rId1510" o:title=""/>
            </v:shape>
          </v:group>
        </w:pict>
      </w:r>
      <w:r>
        <w:rPr>
          <w:sz w:val="2"/>
        </w:rPr>
      </w:r>
    </w:p>
    <w:p>
      <w:pPr>
        <w:pStyle w:val="BodyText"/>
        <w:spacing w:before="2"/>
        <w:rPr>
          <w:b/>
          <w:sz w:val="12"/>
        </w:rPr>
      </w:pPr>
    </w:p>
    <w:p>
      <w:pPr>
        <w:pStyle w:val="BodyText"/>
        <w:spacing w:line="268" w:lineRule="auto" w:before="98"/>
        <w:ind w:left="322" w:right="3040"/>
      </w:pPr>
      <w:r>
        <w:rPr/>
        <w:t>DATA ENTRY: If Form MYP exists, 1st and 2nd Subsequent Year data for lines 1 and 2 will be extracted; if not, enter data for the two subsequent years. All other data are extracted or calculated.</w:t>
      </w:r>
    </w:p>
    <w:p>
      <w:pPr>
        <w:pStyle w:val="BodyText"/>
        <w:spacing w:before="4"/>
        <w:rPr>
          <w:sz w:val="16"/>
        </w:rPr>
      </w:pPr>
    </w:p>
    <w:p>
      <w:pPr>
        <w:pStyle w:val="BodyText"/>
        <w:tabs>
          <w:tab w:pos="7882" w:val="left" w:leader="none"/>
          <w:tab w:pos="8213" w:val="left" w:leader="none"/>
          <w:tab w:pos="10032" w:val="left" w:leader="none"/>
          <w:tab w:pos="10385" w:val="left" w:leader="none"/>
        </w:tabs>
        <w:spacing w:line="297" w:lineRule="auto" w:after="2"/>
        <w:ind w:left="6020" w:right="842" w:hanging="80"/>
      </w:pPr>
      <w:r>
        <w:rPr/>
        <w:pict>
          <v:group style="position:absolute;margin-left:268.320007pt;margin-top:16.656937pt;width:315.4pt;height:118.8pt;mso-position-horizontal-relative:page;mso-position-vertical-relative:paragraph;z-index:-313896960" coordorigin="5366,333" coordsize="6308,2376">
            <v:shape style="position:absolute;left:5366;top:333;width:1964;height:8" type="#_x0000_t75" stroked="false">
              <v:imagedata r:id="rId1506" o:title=""/>
            </v:shape>
            <v:shape style="position:absolute;left:7322;top:333;width:2439;height:8" type="#_x0000_t75" stroked="false">
              <v:imagedata r:id="rId1595" o:title=""/>
            </v:shape>
            <v:shape style="position:absolute;left:5366;top:333;width:6308;height:377" type="#_x0000_t75" stroked="false">
              <v:imagedata r:id="rId1707" o:title=""/>
            </v:shape>
            <v:shape style="position:absolute;left:5366;top:517;width:6308;height:562" type="#_x0000_t75" stroked="false">
              <v:imagedata r:id="rId1708" o:title=""/>
            </v:shape>
            <v:shape style="position:absolute;left:5366;top:887;width:6308;height:562" type="#_x0000_t75" stroked="false">
              <v:imagedata r:id="rId1708" o:title=""/>
            </v:shape>
            <v:shape style="position:absolute;left:5366;top:1257;width:6308;height:377" type="#_x0000_t75" stroked="false">
              <v:imagedata r:id="rId1709" o:title=""/>
            </v:shape>
            <v:shape style="position:absolute;left:5366;top:1441;width:6308;height:562" type="#_x0000_t75" stroked="false">
              <v:imagedata r:id="rId1710" o:title=""/>
            </v:shape>
            <v:shape style="position:absolute;left:9753;top:1811;width:1920;height:557" type="#_x0000_t75" stroked="false">
              <v:imagedata r:id="rId1711" o:title=""/>
            </v:shape>
            <v:shape style="position:absolute;left:5366;top:1996;width:6308;height:713" type="#_x0000_t75" stroked="false">
              <v:imagedata r:id="rId1712" o:title=""/>
            </v:shape>
            <v:shape style="position:absolute;left:7322;top:2533;width:4352;height:176" type="#_x0000_t75" stroked="false">
              <v:imagedata r:id="rId1688" o:title=""/>
            </v:shape>
            <w10:wrap type="none"/>
          </v:group>
        </w:pict>
      </w:r>
      <w:r>
        <w:rPr/>
        <w:t>Budget</w:t>
      </w:r>
      <w:r>
        <w:rPr>
          <w:spacing w:val="4"/>
        </w:rPr>
        <w:t> </w:t>
      </w:r>
      <w:r>
        <w:rPr/>
        <w:t>Year</w:t>
        <w:tab/>
        <w:t>1st</w:t>
      </w:r>
      <w:r>
        <w:rPr>
          <w:spacing w:val="6"/>
        </w:rPr>
        <w:t> </w:t>
      </w:r>
      <w:r>
        <w:rPr/>
        <w:t>Subsequent</w:t>
      </w:r>
      <w:r>
        <w:rPr>
          <w:spacing w:val="7"/>
        </w:rPr>
        <w:t> </w:t>
      </w:r>
      <w:r>
        <w:rPr/>
        <w:t>Year</w:t>
        <w:tab/>
        <w:t>2nd Subsequent </w:t>
      </w:r>
      <w:r>
        <w:rPr>
          <w:spacing w:val="-4"/>
        </w:rPr>
        <w:t>Year </w:t>
      </w:r>
      <w:r>
        <w:rPr/>
        <w:t>(2021-22)</w:t>
        <w:tab/>
        <w:tab/>
        <w:t>(2022-23)</w:t>
        <w:tab/>
        <w:tab/>
        <w:t>(2023-24)</w:t>
      </w:r>
    </w:p>
    <w:tbl>
      <w:tblPr>
        <w:tblW w:w="0" w:type="auto"/>
        <w:jc w:val="left"/>
        <w:tblInd w:w="4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09"/>
        <w:gridCol w:w="1356"/>
        <w:gridCol w:w="1390"/>
        <w:gridCol w:w="922"/>
        <w:gridCol w:w="1379"/>
        <w:gridCol w:w="663"/>
        <w:gridCol w:w="816"/>
      </w:tblGrid>
      <w:tr>
        <w:trPr>
          <w:trHeight w:val="165" w:hRule="atLeast"/>
        </w:trPr>
        <w:tc>
          <w:tcPr>
            <w:tcW w:w="4609" w:type="dxa"/>
          </w:tcPr>
          <w:p>
            <w:pPr>
              <w:pStyle w:val="TableParagraph"/>
              <w:tabs>
                <w:tab w:pos="367" w:val="left" w:leader="none"/>
              </w:tabs>
              <w:spacing w:line="146" w:lineRule="exact"/>
              <w:ind w:left="34"/>
              <w:rPr>
                <w:sz w:val="13"/>
              </w:rPr>
            </w:pPr>
            <w:r>
              <w:rPr>
                <w:sz w:val="13"/>
              </w:rPr>
              <w:t>1.</w:t>
              <w:tab/>
              <w:t>Expenditures and Other Financing</w:t>
            </w:r>
            <w:r>
              <w:rPr>
                <w:spacing w:val="3"/>
                <w:sz w:val="13"/>
              </w:rPr>
              <w:t> </w:t>
            </w:r>
            <w:r>
              <w:rPr>
                <w:sz w:val="13"/>
              </w:rPr>
              <w:t>Uses</w:t>
            </w:r>
          </w:p>
        </w:tc>
        <w:tc>
          <w:tcPr>
            <w:tcW w:w="6526" w:type="dxa"/>
            <w:gridSpan w:val="6"/>
          </w:tcPr>
          <w:p>
            <w:pPr>
              <w:pStyle w:val="TableParagraph"/>
              <w:rPr>
                <w:rFonts w:ascii="Times New Roman"/>
                <w:sz w:val="10"/>
              </w:rPr>
            </w:pPr>
          </w:p>
        </w:tc>
      </w:tr>
      <w:tr>
        <w:trPr>
          <w:trHeight w:val="184" w:hRule="atLeast"/>
        </w:trPr>
        <w:tc>
          <w:tcPr>
            <w:tcW w:w="4609" w:type="dxa"/>
          </w:tcPr>
          <w:p>
            <w:pPr>
              <w:pStyle w:val="TableParagraph"/>
              <w:spacing w:line="149" w:lineRule="exact" w:before="16"/>
              <w:ind w:right="1146"/>
              <w:jc w:val="right"/>
              <w:rPr>
                <w:sz w:val="13"/>
              </w:rPr>
            </w:pPr>
            <w:r>
              <w:rPr>
                <w:sz w:val="13"/>
              </w:rPr>
              <w:t>(Fund 01, objects 1000-7999) (Form MYP, Line B11)</w:t>
            </w:r>
          </w:p>
        </w:tc>
        <w:tc>
          <w:tcPr>
            <w:tcW w:w="1356" w:type="dxa"/>
          </w:tcPr>
          <w:p>
            <w:pPr>
              <w:pStyle w:val="TableParagraph"/>
              <w:rPr>
                <w:rFonts w:ascii="Times New Roman"/>
                <w:sz w:val="12"/>
              </w:rPr>
            </w:pPr>
          </w:p>
        </w:tc>
        <w:tc>
          <w:tcPr>
            <w:tcW w:w="1390" w:type="dxa"/>
          </w:tcPr>
          <w:p>
            <w:pPr>
              <w:pStyle w:val="TableParagraph"/>
              <w:spacing w:line="149" w:lineRule="exact" w:before="16"/>
              <w:ind w:right="595"/>
              <w:jc w:val="right"/>
              <w:rPr>
                <w:sz w:val="13"/>
              </w:rPr>
            </w:pPr>
            <w:r>
              <w:rPr>
                <w:sz w:val="13"/>
              </w:rPr>
              <w:t>2,117,374.00</w:t>
            </w:r>
          </w:p>
        </w:tc>
        <w:tc>
          <w:tcPr>
            <w:tcW w:w="922" w:type="dxa"/>
          </w:tcPr>
          <w:p>
            <w:pPr>
              <w:pStyle w:val="TableParagraph"/>
              <w:rPr>
                <w:rFonts w:ascii="Times New Roman"/>
                <w:sz w:val="12"/>
              </w:rPr>
            </w:pPr>
          </w:p>
        </w:tc>
        <w:tc>
          <w:tcPr>
            <w:tcW w:w="1379" w:type="dxa"/>
          </w:tcPr>
          <w:p>
            <w:pPr>
              <w:pStyle w:val="TableParagraph"/>
              <w:spacing w:line="149" w:lineRule="exact" w:before="16"/>
              <w:ind w:right="465"/>
              <w:jc w:val="right"/>
              <w:rPr>
                <w:sz w:val="13"/>
              </w:rPr>
            </w:pPr>
            <w:r>
              <w:rPr>
                <w:sz w:val="13"/>
              </w:rPr>
              <w:t>1,998,163.00</w:t>
            </w:r>
          </w:p>
        </w:tc>
        <w:tc>
          <w:tcPr>
            <w:tcW w:w="663" w:type="dxa"/>
          </w:tcPr>
          <w:p>
            <w:pPr>
              <w:pStyle w:val="TableParagraph"/>
              <w:rPr>
                <w:rFonts w:ascii="Times New Roman"/>
                <w:sz w:val="12"/>
              </w:rPr>
            </w:pPr>
          </w:p>
        </w:tc>
        <w:tc>
          <w:tcPr>
            <w:tcW w:w="816" w:type="dxa"/>
          </w:tcPr>
          <w:p>
            <w:pPr>
              <w:pStyle w:val="TableParagraph"/>
              <w:spacing w:line="149" w:lineRule="exact" w:before="16"/>
              <w:ind w:right="31"/>
              <w:jc w:val="right"/>
              <w:rPr>
                <w:sz w:val="13"/>
              </w:rPr>
            </w:pPr>
            <w:r>
              <w:rPr>
                <w:sz w:val="13"/>
              </w:rPr>
              <w:t>2,040,087.00</w:t>
            </w:r>
          </w:p>
        </w:tc>
      </w:tr>
      <w:tr>
        <w:trPr>
          <w:trHeight w:val="184" w:hRule="atLeast"/>
        </w:trPr>
        <w:tc>
          <w:tcPr>
            <w:tcW w:w="4609" w:type="dxa"/>
          </w:tcPr>
          <w:p>
            <w:pPr>
              <w:pStyle w:val="TableParagraph"/>
              <w:tabs>
                <w:tab w:pos="367" w:val="left" w:leader="none"/>
              </w:tabs>
              <w:spacing w:line="149" w:lineRule="exact" w:before="16"/>
              <w:ind w:left="34"/>
              <w:rPr>
                <w:sz w:val="13"/>
              </w:rPr>
            </w:pPr>
            <w:r>
              <w:rPr>
                <w:sz w:val="13"/>
              </w:rPr>
              <w:t>2.</w:t>
              <w:tab/>
              <w:t>Plus: Special Education</w:t>
            </w:r>
            <w:r>
              <w:rPr>
                <w:spacing w:val="-3"/>
                <w:sz w:val="13"/>
              </w:rPr>
              <w:t> </w:t>
            </w:r>
            <w:r>
              <w:rPr>
                <w:sz w:val="13"/>
              </w:rPr>
              <w:t>Pass-through</w:t>
            </w:r>
          </w:p>
        </w:tc>
        <w:tc>
          <w:tcPr>
            <w:tcW w:w="1356" w:type="dxa"/>
          </w:tcPr>
          <w:p>
            <w:pPr>
              <w:pStyle w:val="TableParagraph"/>
              <w:rPr>
                <w:rFonts w:ascii="Times New Roman"/>
                <w:sz w:val="12"/>
              </w:rPr>
            </w:pPr>
          </w:p>
        </w:tc>
        <w:tc>
          <w:tcPr>
            <w:tcW w:w="1390" w:type="dxa"/>
          </w:tcPr>
          <w:p>
            <w:pPr>
              <w:pStyle w:val="TableParagraph"/>
              <w:rPr>
                <w:rFonts w:ascii="Times New Roman"/>
                <w:sz w:val="12"/>
              </w:rPr>
            </w:pPr>
          </w:p>
        </w:tc>
        <w:tc>
          <w:tcPr>
            <w:tcW w:w="922" w:type="dxa"/>
          </w:tcPr>
          <w:p>
            <w:pPr>
              <w:pStyle w:val="TableParagraph"/>
              <w:rPr>
                <w:rFonts w:ascii="Times New Roman"/>
                <w:sz w:val="12"/>
              </w:rPr>
            </w:pPr>
          </w:p>
        </w:tc>
        <w:tc>
          <w:tcPr>
            <w:tcW w:w="1379" w:type="dxa"/>
          </w:tcPr>
          <w:p>
            <w:pPr>
              <w:pStyle w:val="TableParagraph"/>
              <w:rPr>
                <w:rFonts w:ascii="Times New Roman"/>
                <w:sz w:val="12"/>
              </w:rPr>
            </w:pPr>
          </w:p>
        </w:tc>
        <w:tc>
          <w:tcPr>
            <w:tcW w:w="663" w:type="dxa"/>
          </w:tcPr>
          <w:p>
            <w:pPr>
              <w:pStyle w:val="TableParagraph"/>
              <w:rPr>
                <w:rFonts w:ascii="Times New Roman"/>
                <w:sz w:val="12"/>
              </w:rPr>
            </w:pPr>
          </w:p>
        </w:tc>
        <w:tc>
          <w:tcPr>
            <w:tcW w:w="816" w:type="dxa"/>
          </w:tcPr>
          <w:p>
            <w:pPr>
              <w:pStyle w:val="TableParagraph"/>
              <w:rPr>
                <w:rFonts w:ascii="Times New Roman"/>
                <w:sz w:val="12"/>
              </w:rPr>
            </w:pPr>
          </w:p>
        </w:tc>
      </w:tr>
      <w:tr>
        <w:trPr>
          <w:trHeight w:val="184" w:hRule="atLeast"/>
        </w:trPr>
        <w:tc>
          <w:tcPr>
            <w:tcW w:w="4609" w:type="dxa"/>
          </w:tcPr>
          <w:p>
            <w:pPr>
              <w:pStyle w:val="TableParagraph"/>
              <w:spacing w:line="149" w:lineRule="exact" w:before="16"/>
              <w:ind w:right="1174"/>
              <w:jc w:val="right"/>
              <w:rPr>
                <w:sz w:val="13"/>
              </w:rPr>
            </w:pPr>
            <w:r>
              <w:rPr>
                <w:sz w:val="13"/>
              </w:rPr>
              <w:t>(Criterion 10A, Line 2b, if Criterion 10A, Line 1 is No)</w:t>
            </w:r>
          </w:p>
        </w:tc>
        <w:tc>
          <w:tcPr>
            <w:tcW w:w="1356" w:type="dxa"/>
          </w:tcPr>
          <w:p>
            <w:pPr>
              <w:pStyle w:val="TableParagraph"/>
              <w:rPr>
                <w:rFonts w:ascii="Times New Roman"/>
                <w:sz w:val="12"/>
              </w:rPr>
            </w:pPr>
          </w:p>
        </w:tc>
        <w:tc>
          <w:tcPr>
            <w:tcW w:w="1390" w:type="dxa"/>
          </w:tcPr>
          <w:p>
            <w:pPr>
              <w:pStyle w:val="TableParagraph"/>
              <w:spacing w:line="149" w:lineRule="exact" w:before="16"/>
              <w:ind w:right="594"/>
              <w:jc w:val="right"/>
              <w:rPr>
                <w:sz w:val="13"/>
              </w:rPr>
            </w:pPr>
            <w:r>
              <w:rPr>
                <w:sz w:val="13"/>
              </w:rPr>
              <w:t>0.00</w:t>
            </w:r>
          </w:p>
        </w:tc>
        <w:tc>
          <w:tcPr>
            <w:tcW w:w="922" w:type="dxa"/>
          </w:tcPr>
          <w:p>
            <w:pPr>
              <w:pStyle w:val="TableParagraph"/>
              <w:rPr>
                <w:rFonts w:ascii="Times New Roman"/>
                <w:sz w:val="12"/>
              </w:rPr>
            </w:pPr>
          </w:p>
        </w:tc>
        <w:tc>
          <w:tcPr>
            <w:tcW w:w="1379" w:type="dxa"/>
          </w:tcPr>
          <w:p>
            <w:pPr>
              <w:pStyle w:val="TableParagraph"/>
              <w:spacing w:line="149" w:lineRule="exact" w:before="16"/>
              <w:ind w:right="464"/>
              <w:jc w:val="right"/>
              <w:rPr>
                <w:sz w:val="13"/>
              </w:rPr>
            </w:pPr>
            <w:r>
              <w:rPr>
                <w:sz w:val="13"/>
              </w:rPr>
              <w:t>0.00</w:t>
            </w:r>
          </w:p>
        </w:tc>
        <w:tc>
          <w:tcPr>
            <w:tcW w:w="663" w:type="dxa"/>
          </w:tcPr>
          <w:p>
            <w:pPr>
              <w:pStyle w:val="TableParagraph"/>
              <w:rPr>
                <w:rFonts w:ascii="Times New Roman"/>
                <w:sz w:val="12"/>
              </w:rPr>
            </w:pPr>
          </w:p>
        </w:tc>
        <w:tc>
          <w:tcPr>
            <w:tcW w:w="816" w:type="dxa"/>
          </w:tcPr>
          <w:p>
            <w:pPr>
              <w:pStyle w:val="TableParagraph"/>
              <w:spacing w:line="149" w:lineRule="exact" w:before="16"/>
              <w:ind w:right="30"/>
              <w:jc w:val="right"/>
              <w:rPr>
                <w:sz w:val="13"/>
              </w:rPr>
            </w:pPr>
            <w:r>
              <w:rPr>
                <w:sz w:val="13"/>
              </w:rPr>
              <w:t>0.00</w:t>
            </w:r>
          </w:p>
        </w:tc>
      </w:tr>
      <w:tr>
        <w:trPr>
          <w:trHeight w:val="184" w:hRule="atLeast"/>
        </w:trPr>
        <w:tc>
          <w:tcPr>
            <w:tcW w:w="4609" w:type="dxa"/>
          </w:tcPr>
          <w:p>
            <w:pPr>
              <w:pStyle w:val="TableParagraph"/>
              <w:tabs>
                <w:tab w:pos="367" w:val="left" w:leader="none"/>
              </w:tabs>
              <w:spacing w:line="149" w:lineRule="exact" w:before="16"/>
              <w:ind w:left="34"/>
              <w:rPr>
                <w:sz w:val="13"/>
              </w:rPr>
            </w:pPr>
            <w:r>
              <w:rPr>
                <w:sz w:val="13"/>
              </w:rPr>
              <w:t>3.</w:t>
              <w:tab/>
              <w:t>Total Expenditures and Other Financing</w:t>
            </w:r>
            <w:r>
              <w:rPr>
                <w:spacing w:val="1"/>
                <w:sz w:val="13"/>
              </w:rPr>
              <w:t> </w:t>
            </w:r>
            <w:r>
              <w:rPr>
                <w:sz w:val="13"/>
              </w:rPr>
              <w:t>Uses</w:t>
            </w:r>
          </w:p>
        </w:tc>
        <w:tc>
          <w:tcPr>
            <w:tcW w:w="1356" w:type="dxa"/>
          </w:tcPr>
          <w:p>
            <w:pPr>
              <w:pStyle w:val="TableParagraph"/>
              <w:rPr>
                <w:rFonts w:ascii="Times New Roman"/>
                <w:sz w:val="12"/>
              </w:rPr>
            </w:pPr>
          </w:p>
        </w:tc>
        <w:tc>
          <w:tcPr>
            <w:tcW w:w="1390" w:type="dxa"/>
          </w:tcPr>
          <w:p>
            <w:pPr>
              <w:pStyle w:val="TableParagraph"/>
              <w:rPr>
                <w:rFonts w:ascii="Times New Roman"/>
                <w:sz w:val="12"/>
              </w:rPr>
            </w:pPr>
          </w:p>
        </w:tc>
        <w:tc>
          <w:tcPr>
            <w:tcW w:w="922" w:type="dxa"/>
          </w:tcPr>
          <w:p>
            <w:pPr>
              <w:pStyle w:val="TableParagraph"/>
              <w:rPr>
                <w:rFonts w:ascii="Times New Roman"/>
                <w:sz w:val="12"/>
              </w:rPr>
            </w:pPr>
          </w:p>
        </w:tc>
        <w:tc>
          <w:tcPr>
            <w:tcW w:w="1379" w:type="dxa"/>
          </w:tcPr>
          <w:p>
            <w:pPr>
              <w:pStyle w:val="TableParagraph"/>
              <w:rPr>
                <w:rFonts w:ascii="Times New Roman"/>
                <w:sz w:val="12"/>
              </w:rPr>
            </w:pPr>
          </w:p>
        </w:tc>
        <w:tc>
          <w:tcPr>
            <w:tcW w:w="663" w:type="dxa"/>
          </w:tcPr>
          <w:p>
            <w:pPr>
              <w:pStyle w:val="TableParagraph"/>
              <w:rPr>
                <w:rFonts w:ascii="Times New Roman"/>
                <w:sz w:val="12"/>
              </w:rPr>
            </w:pPr>
          </w:p>
        </w:tc>
        <w:tc>
          <w:tcPr>
            <w:tcW w:w="816" w:type="dxa"/>
          </w:tcPr>
          <w:p>
            <w:pPr>
              <w:pStyle w:val="TableParagraph"/>
              <w:rPr>
                <w:rFonts w:ascii="Times New Roman"/>
                <w:sz w:val="12"/>
              </w:rPr>
            </w:pPr>
          </w:p>
        </w:tc>
      </w:tr>
      <w:tr>
        <w:trPr>
          <w:trHeight w:val="184" w:hRule="atLeast"/>
        </w:trPr>
        <w:tc>
          <w:tcPr>
            <w:tcW w:w="4609" w:type="dxa"/>
          </w:tcPr>
          <w:p>
            <w:pPr>
              <w:pStyle w:val="TableParagraph"/>
              <w:spacing w:line="149" w:lineRule="exact" w:before="16"/>
              <w:ind w:left="367"/>
              <w:rPr>
                <w:sz w:val="13"/>
              </w:rPr>
            </w:pPr>
            <w:r>
              <w:rPr>
                <w:sz w:val="13"/>
              </w:rPr>
              <w:t>(Line B1 plus Line B2)</w:t>
            </w:r>
          </w:p>
        </w:tc>
        <w:tc>
          <w:tcPr>
            <w:tcW w:w="1356" w:type="dxa"/>
          </w:tcPr>
          <w:p>
            <w:pPr>
              <w:pStyle w:val="TableParagraph"/>
              <w:rPr>
                <w:rFonts w:ascii="Times New Roman"/>
                <w:sz w:val="12"/>
              </w:rPr>
            </w:pPr>
          </w:p>
        </w:tc>
        <w:tc>
          <w:tcPr>
            <w:tcW w:w="1390" w:type="dxa"/>
          </w:tcPr>
          <w:p>
            <w:pPr>
              <w:pStyle w:val="TableParagraph"/>
              <w:spacing w:line="149" w:lineRule="exact" w:before="16"/>
              <w:ind w:right="595"/>
              <w:jc w:val="right"/>
              <w:rPr>
                <w:sz w:val="13"/>
              </w:rPr>
            </w:pPr>
            <w:r>
              <w:rPr>
                <w:sz w:val="13"/>
              </w:rPr>
              <w:t>2,117,374.00</w:t>
            </w:r>
          </w:p>
        </w:tc>
        <w:tc>
          <w:tcPr>
            <w:tcW w:w="922" w:type="dxa"/>
          </w:tcPr>
          <w:p>
            <w:pPr>
              <w:pStyle w:val="TableParagraph"/>
              <w:rPr>
                <w:rFonts w:ascii="Times New Roman"/>
                <w:sz w:val="12"/>
              </w:rPr>
            </w:pPr>
          </w:p>
        </w:tc>
        <w:tc>
          <w:tcPr>
            <w:tcW w:w="1379" w:type="dxa"/>
          </w:tcPr>
          <w:p>
            <w:pPr>
              <w:pStyle w:val="TableParagraph"/>
              <w:spacing w:line="149" w:lineRule="exact" w:before="16"/>
              <w:ind w:right="465"/>
              <w:jc w:val="right"/>
              <w:rPr>
                <w:sz w:val="13"/>
              </w:rPr>
            </w:pPr>
            <w:r>
              <w:rPr>
                <w:sz w:val="13"/>
              </w:rPr>
              <w:t>1,998,163.00</w:t>
            </w:r>
          </w:p>
        </w:tc>
        <w:tc>
          <w:tcPr>
            <w:tcW w:w="663" w:type="dxa"/>
          </w:tcPr>
          <w:p>
            <w:pPr>
              <w:pStyle w:val="TableParagraph"/>
              <w:rPr>
                <w:rFonts w:ascii="Times New Roman"/>
                <w:sz w:val="12"/>
              </w:rPr>
            </w:pPr>
          </w:p>
        </w:tc>
        <w:tc>
          <w:tcPr>
            <w:tcW w:w="816" w:type="dxa"/>
          </w:tcPr>
          <w:p>
            <w:pPr>
              <w:pStyle w:val="TableParagraph"/>
              <w:spacing w:line="149" w:lineRule="exact" w:before="16"/>
              <w:ind w:right="31"/>
              <w:jc w:val="right"/>
              <w:rPr>
                <w:sz w:val="13"/>
              </w:rPr>
            </w:pPr>
            <w:r>
              <w:rPr>
                <w:sz w:val="13"/>
              </w:rPr>
              <w:t>2,040,087.00</w:t>
            </w:r>
          </w:p>
        </w:tc>
      </w:tr>
      <w:tr>
        <w:trPr>
          <w:trHeight w:val="184" w:hRule="atLeast"/>
        </w:trPr>
        <w:tc>
          <w:tcPr>
            <w:tcW w:w="4609" w:type="dxa"/>
          </w:tcPr>
          <w:p>
            <w:pPr>
              <w:pStyle w:val="TableParagraph"/>
              <w:tabs>
                <w:tab w:pos="367" w:val="left" w:leader="none"/>
              </w:tabs>
              <w:spacing w:line="149" w:lineRule="exact" w:before="16"/>
              <w:ind w:left="34"/>
              <w:rPr>
                <w:sz w:val="13"/>
              </w:rPr>
            </w:pPr>
            <w:r>
              <w:rPr>
                <w:sz w:val="13"/>
              </w:rPr>
              <w:t>4.</w:t>
              <w:tab/>
              <w:t>Reserve Standard Percentage</w:t>
            </w:r>
            <w:r>
              <w:rPr>
                <w:spacing w:val="3"/>
                <w:sz w:val="13"/>
              </w:rPr>
              <w:t> </w:t>
            </w:r>
            <w:r>
              <w:rPr>
                <w:sz w:val="13"/>
              </w:rPr>
              <w:t>Level</w:t>
            </w:r>
          </w:p>
        </w:tc>
        <w:tc>
          <w:tcPr>
            <w:tcW w:w="1356" w:type="dxa"/>
          </w:tcPr>
          <w:p>
            <w:pPr>
              <w:pStyle w:val="TableParagraph"/>
              <w:spacing w:line="149" w:lineRule="exact" w:before="16"/>
              <w:ind w:right="14"/>
              <w:jc w:val="right"/>
              <w:rPr>
                <w:sz w:val="13"/>
              </w:rPr>
            </w:pPr>
            <w:r>
              <w:rPr>
                <w:sz w:val="13"/>
              </w:rPr>
              <w:t>5%</w:t>
            </w:r>
          </w:p>
        </w:tc>
        <w:tc>
          <w:tcPr>
            <w:tcW w:w="1390" w:type="dxa"/>
          </w:tcPr>
          <w:p>
            <w:pPr>
              <w:pStyle w:val="TableParagraph"/>
              <w:rPr>
                <w:rFonts w:ascii="Times New Roman"/>
                <w:sz w:val="12"/>
              </w:rPr>
            </w:pPr>
          </w:p>
        </w:tc>
        <w:tc>
          <w:tcPr>
            <w:tcW w:w="922" w:type="dxa"/>
          </w:tcPr>
          <w:p>
            <w:pPr>
              <w:pStyle w:val="TableParagraph"/>
              <w:spacing w:line="149" w:lineRule="exact" w:before="16"/>
              <w:ind w:left="596"/>
              <w:rPr>
                <w:sz w:val="13"/>
              </w:rPr>
            </w:pPr>
            <w:r>
              <w:rPr>
                <w:sz w:val="13"/>
              </w:rPr>
              <w:t>5%</w:t>
            </w:r>
          </w:p>
        </w:tc>
        <w:tc>
          <w:tcPr>
            <w:tcW w:w="1379" w:type="dxa"/>
          </w:tcPr>
          <w:p>
            <w:pPr>
              <w:pStyle w:val="TableParagraph"/>
              <w:rPr>
                <w:rFonts w:ascii="Times New Roman"/>
                <w:sz w:val="12"/>
              </w:rPr>
            </w:pPr>
          </w:p>
        </w:tc>
        <w:tc>
          <w:tcPr>
            <w:tcW w:w="663" w:type="dxa"/>
          </w:tcPr>
          <w:p>
            <w:pPr>
              <w:pStyle w:val="TableParagraph"/>
              <w:spacing w:line="149" w:lineRule="exact" w:before="16"/>
              <w:ind w:right="2"/>
              <w:jc w:val="right"/>
              <w:rPr>
                <w:sz w:val="13"/>
              </w:rPr>
            </w:pPr>
            <w:r>
              <w:rPr>
                <w:sz w:val="13"/>
              </w:rPr>
              <w:t>5%</w:t>
            </w:r>
          </w:p>
        </w:tc>
        <w:tc>
          <w:tcPr>
            <w:tcW w:w="816" w:type="dxa"/>
          </w:tcPr>
          <w:p>
            <w:pPr>
              <w:pStyle w:val="TableParagraph"/>
              <w:rPr>
                <w:rFonts w:ascii="Times New Roman"/>
                <w:sz w:val="12"/>
              </w:rPr>
            </w:pPr>
          </w:p>
        </w:tc>
      </w:tr>
      <w:tr>
        <w:trPr>
          <w:trHeight w:val="184" w:hRule="atLeast"/>
        </w:trPr>
        <w:tc>
          <w:tcPr>
            <w:tcW w:w="4609" w:type="dxa"/>
          </w:tcPr>
          <w:p>
            <w:pPr>
              <w:pStyle w:val="TableParagraph"/>
              <w:tabs>
                <w:tab w:pos="367" w:val="left" w:leader="none"/>
              </w:tabs>
              <w:spacing w:line="149" w:lineRule="exact" w:before="16"/>
              <w:ind w:left="34"/>
              <w:rPr>
                <w:sz w:val="13"/>
              </w:rPr>
            </w:pPr>
            <w:r>
              <w:rPr>
                <w:sz w:val="13"/>
              </w:rPr>
              <w:t>5.</w:t>
              <w:tab/>
              <w:t>Reserve Standard - by</w:t>
            </w:r>
            <w:r>
              <w:rPr>
                <w:spacing w:val="-1"/>
                <w:sz w:val="13"/>
              </w:rPr>
              <w:t> </w:t>
            </w:r>
            <w:r>
              <w:rPr>
                <w:sz w:val="13"/>
              </w:rPr>
              <w:t>Percent</w:t>
            </w:r>
          </w:p>
        </w:tc>
        <w:tc>
          <w:tcPr>
            <w:tcW w:w="1356" w:type="dxa"/>
          </w:tcPr>
          <w:p>
            <w:pPr>
              <w:pStyle w:val="TableParagraph"/>
              <w:rPr>
                <w:rFonts w:ascii="Times New Roman"/>
                <w:sz w:val="12"/>
              </w:rPr>
            </w:pPr>
          </w:p>
        </w:tc>
        <w:tc>
          <w:tcPr>
            <w:tcW w:w="1390" w:type="dxa"/>
          </w:tcPr>
          <w:p>
            <w:pPr>
              <w:pStyle w:val="TableParagraph"/>
              <w:rPr>
                <w:rFonts w:ascii="Times New Roman"/>
                <w:sz w:val="12"/>
              </w:rPr>
            </w:pPr>
          </w:p>
        </w:tc>
        <w:tc>
          <w:tcPr>
            <w:tcW w:w="922" w:type="dxa"/>
          </w:tcPr>
          <w:p>
            <w:pPr>
              <w:pStyle w:val="TableParagraph"/>
              <w:rPr>
                <w:rFonts w:ascii="Times New Roman"/>
                <w:sz w:val="12"/>
              </w:rPr>
            </w:pPr>
          </w:p>
        </w:tc>
        <w:tc>
          <w:tcPr>
            <w:tcW w:w="1379" w:type="dxa"/>
          </w:tcPr>
          <w:p>
            <w:pPr>
              <w:pStyle w:val="TableParagraph"/>
              <w:rPr>
                <w:rFonts w:ascii="Times New Roman"/>
                <w:sz w:val="12"/>
              </w:rPr>
            </w:pPr>
          </w:p>
        </w:tc>
        <w:tc>
          <w:tcPr>
            <w:tcW w:w="663" w:type="dxa"/>
          </w:tcPr>
          <w:p>
            <w:pPr>
              <w:pStyle w:val="TableParagraph"/>
              <w:rPr>
                <w:rFonts w:ascii="Times New Roman"/>
                <w:sz w:val="12"/>
              </w:rPr>
            </w:pPr>
          </w:p>
        </w:tc>
        <w:tc>
          <w:tcPr>
            <w:tcW w:w="816" w:type="dxa"/>
          </w:tcPr>
          <w:p>
            <w:pPr>
              <w:pStyle w:val="TableParagraph"/>
              <w:rPr>
                <w:rFonts w:ascii="Times New Roman"/>
                <w:sz w:val="12"/>
              </w:rPr>
            </w:pPr>
          </w:p>
        </w:tc>
      </w:tr>
      <w:tr>
        <w:trPr>
          <w:trHeight w:val="184" w:hRule="atLeast"/>
        </w:trPr>
        <w:tc>
          <w:tcPr>
            <w:tcW w:w="4609" w:type="dxa"/>
          </w:tcPr>
          <w:p>
            <w:pPr>
              <w:pStyle w:val="TableParagraph"/>
              <w:spacing w:line="149" w:lineRule="exact" w:before="16"/>
              <w:ind w:left="367"/>
              <w:rPr>
                <w:sz w:val="13"/>
              </w:rPr>
            </w:pPr>
            <w:r>
              <w:rPr>
                <w:sz w:val="13"/>
              </w:rPr>
              <w:t>(Line B3 times Line B4)</w:t>
            </w:r>
          </w:p>
        </w:tc>
        <w:tc>
          <w:tcPr>
            <w:tcW w:w="1356" w:type="dxa"/>
          </w:tcPr>
          <w:p>
            <w:pPr>
              <w:pStyle w:val="TableParagraph"/>
              <w:rPr>
                <w:rFonts w:ascii="Times New Roman"/>
                <w:sz w:val="12"/>
              </w:rPr>
            </w:pPr>
          </w:p>
        </w:tc>
        <w:tc>
          <w:tcPr>
            <w:tcW w:w="1390" w:type="dxa"/>
          </w:tcPr>
          <w:p>
            <w:pPr>
              <w:pStyle w:val="TableParagraph"/>
              <w:spacing w:line="149" w:lineRule="exact" w:before="16"/>
              <w:ind w:right="594"/>
              <w:jc w:val="right"/>
              <w:rPr>
                <w:sz w:val="13"/>
              </w:rPr>
            </w:pPr>
            <w:r>
              <w:rPr>
                <w:sz w:val="13"/>
              </w:rPr>
              <w:t>105,868.70</w:t>
            </w:r>
          </w:p>
        </w:tc>
        <w:tc>
          <w:tcPr>
            <w:tcW w:w="922" w:type="dxa"/>
          </w:tcPr>
          <w:p>
            <w:pPr>
              <w:pStyle w:val="TableParagraph"/>
              <w:rPr>
                <w:rFonts w:ascii="Times New Roman"/>
                <w:sz w:val="12"/>
              </w:rPr>
            </w:pPr>
          </w:p>
        </w:tc>
        <w:tc>
          <w:tcPr>
            <w:tcW w:w="1379" w:type="dxa"/>
          </w:tcPr>
          <w:p>
            <w:pPr>
              <w:pStyle w:val="TableParagraph"/>
              <w:spacing w:line="149" w:lineRule="exact" w:before="16"/>
              <w:ind w:right="465"/>
              <w:jc w:val="right"/>
              <w:rPr>
                <w:sz w:val="13"/>
              </w:rPr>
            </w:pPr>
            <w:r>
              <w:rPr>
                <w:sz w:val="13"/>
              </w:rPr>
              <w:t>99,908.15</w:t>
            </w:r>
          </w:p>
        </w:tc>
        <w:tc>
          <w:tcPr>
            <w:tcW w:w="663" w:type="dxa"/>
          </w:tcPr>
          <w:p>
            <w:pPr>
              <w:pStyle w:val="TableParagraph"/>
              <w:rPr>
                <w:rFonts w:ascii="Times New Roman"/>
                <w:sz w:val="12"/>
              </w:rPr>
            </w:pPr>
          </w:p>
        </w:tc>
        <w:tc>
          <w:tcPr>
            <w:tcW w:w="816" w:type="dxa"/>
          </w:tcPr>
          <w:p>
            <w:pPr>
              <w:pStyle w:val="TableParagraph"/>
              <w:spacing w:line="149" w:lineRule="exact" w:before="16"/>
              <w:ind w:right="30"/>
              <w:jc w:val="right"/>
              <w:rPr>
                <w:sz w:val="13"/>
              </w:rPr>
            </w:pPr>
            <w:r>
              <w:rPr>
                <w:sz w:val="13"/>
              </w:rPr>
              <w:t>102,004.35</w:t>
            </w:r>
          </w:p>
        </w:tc>
      </w:tr>
      <w:tr>
        <w:trPr>
          <w:trHeight w:val="184" w:hRule="atLeast"/>
        </w:trPr>
        <w:tc>
          <w:tcPr>
            <w:tcW w:w="4609" w:type="dxa"/>
          </w:tcPr>
          <w:p>
            <w:pPr>
              <w:pStyle w:val="TableParagraph"/>
              <w:tabs>
                <w:tab w:pos="367" w:val="left" w:leader="none"/>
              </w:tabs>
              <w:spacing w:line="149" w:lineRule="exact" w:before="16"/>
              <w:ind w:left="34"/>
              <w:rPr>
                <w:sz w:val="13"/>
              </w:rPr>
            </w:pPr>
            <w:r>
              <w:rPr>
                <w:sz w:val="13"/>
              </w:rPr>
              <w:t>6.</w:t>
              <w:tab/>
              <w:t>Reserve Standard - by</w:t>
            </w:r>
            <w:r>
              <w:rPr>
                <w:spacing w:val="-1"/>
                <w:sz w:val="13"/>
              </w:rPr>
              <w:t> </w:t>
            </w:r>
            <w:r>
              <w:rPr>
                <w:sz w:val="13"/>
              </w:rPr>
              <w:t>Amount</w:t>
            </w:r>
          </w:p>
        </w:tc>
        <w:tc>
          <w:tcPr>
            <w:tcW w:w="1356" w:type="dxa"/>
          </w:tcPr>
          <w:p>
            <w:pPr>
              <w:pStyle w:val="TableParagraph"/>
              <w:rPr>
                <w:rFonts w:ascii="Times New Roman"/>
                <w:sz w:val="12"/>
              </w:rPr>
            </w:pPr>
          </w:p>
        </w:tc>
        <w:tc>
          <w:tcPr>
            <w:tcW w:w="1390" w:type="dxa"/>
          </w:tcPr>
          <w:p>
            <w:pPr>
              <w:pStyle w:val="TableParagraph"/>
              <w:rPr>
                <w:rFonts w:ascii="Times New Roman"/>
                <w:sz w:val="12"/>
              </w:rPr>
            </w:pPr>
          </w:p>
        </w:tc>
        <w:tc>
          <w:tcPr>
            <w:tcW w:w="922" w:type="dxa"/>
          </w:tcPr>
          <w:p>
            <w:pPr>
              <w:pStyle w:val="TableParagraph"/>
              <w:rPr>
                <w:rFonts w:ascii="Times New Roman"/>
                <w:sz w:val="12"/>
              </w:rPr>
            </w:pPr>
          </w:p>
        </w:tc>
        <w:tc>
          <w:tcPr>
            <w:tcW w:w="1379" w:type="dxa"/>
          </w:tcPr>
          <w:p>
            <w:pPr>
              <w:pStyle w:val="TableParagraph"/>
              <w:rPr>
                <w:rFonts w:ascii="Times New Roman"/>
                <w:sz w:val="12"/>
              </w:rPr>
            </w:pPr>
          </w:p>
        </w:tc>
        <w:tc>
          <w:tcPr>
            <w:tcW w:w="663" w:type="dxa"/>
          </w:tcPr>
          <w:p>
            <w:pPr>
              <w:pStyle w:val="TableParagraph"/>
              <w:rPr>
                <w:rFonts w:ascii="Times New Roman"/>
                <w:sz w:val="12"/>
              </w:rPr>
            </w:pPr>
          </w:p>
        </w:tc>
        <w:tc>
          <w:tcPr>
            <w:tcW w:w="816" w:type="dxa"/>
          </w:tcPr>
          <w:p>
            <w:pPr>
              <w:pStyle w:val="TableParagraph"/>
              <w:rPr>
                <w:rFonts w:ascii="Times New Roman"/>
                <w:sz w:val="12"/>
              </w:rPr>
            </w:pPr>
          </w:p>
        </w:tc>
      </w:tr>
      <w:tr>
        <w:trPr>
          <w:trHeight w:val="499" w:hRule="atLeast"/>
        </w:trPr>
        <w:tc>
          <w:tcPr>
            <w:tcW w:w="4609" w:type="dxa"/>
          </w:tcPr>
          <w:p>
            <w:pPr>
              <w:pStyle w:val="TableParagraph"/>
              <w:spacing w:before="16"/>
              <w:ind w:left="367"/>
              <w:rPr>
                <w:sz w:val="13"/>
              </w:rPr>
            </w:pPr>
            <w:r>
              <w:rPr>
                <w:sz w:val="13"/>
              </w:rPr>
              <w:t>($71,000 for districts with 0 to 1,000 ADA, else 0)</w:t>
            </w:r>
          </w:p>
          <w:p>
            <w:pPr>
              <w:pStyle w:val="TableParagraph"/>
              <w:tabs>
                <w:tab w:pos="367" w:val="left" w:leader="none"/>
              </w:tabs>
              <w:spacing w:line="160" w:lineRule="atLeast" w:before="8"/>
              <w:ind w:left="367" w:right="2323" w:hanging="334"/>
              <w:rPr>
                <w:b/>
                <w:sz w:val="13"/>
              </w:rPr>
            </w:pPr>
            <w:r>
              <w:rPr>
                <w:sz w:val="13"/>
              </w:rPr>
              <w:t>7.</w:t>
              <w:tab/>
            </w:r>
            <w:r>
              <w:rPr>
                <w:b/>
                <w:sz w:val="13"/>
              </w:rPr>
              <w:t>District's Reserve Standard (Greater of Line B5 or Line</w:t>
            </w:r>
            <w:r>
              <w:rPr>
                <w:b/>
                <w:spacing w:val="23"/>
                <w:sz w:val="13"/>
              </w:rPr>
              <w:t> </w:t>
            </w:r>
            <w:r>
              <w:rPr>
                <w:b/>
                <w:spacing w:val="-4"/>
                <w:sz w:val="13"/>
              </w:rPr>
              <w:t>B6)</w:t>
            </w:r>
          </w:p>
        </w:tc>
        <w:tc>
          <w:tcPr>
            <w:tcW w:w="1356" w:type="dxa"/>
          </w:tcPr>
          <w:p>
            <w:pPr>
              <w:pStyle w:val="TableParagraph"/>
              <w:rPr>
                <w:rFonts w:ascii="Times New Roman"/>
                <w:sz w:val="12"/>
              </w:rPr>
            </w:pPr>
          </w:p>
        </w:tc>
        <w:tc>
          <w:tcPr>
            <w:tcW w:w="1390" w:type="dxa"/>
          </w:tcPr>
          <w:p>
            <w:pPr>
              <w:pStyle w:val="TableParagraph"/>
              <w:spacing w:before="16"/>
              <w:ind w:left="201"/>
              <w:rPr>
                <w:sz w:val="13"/>
              </w:rPr>
            </w:pPr>
            <w:r>
              <w:rPr>
                <w:sz w:val="13"/>
              </w:rPr>
              <w:t>71,000.00</w:t>
            </w:r>
          </w:p>
          <w:p>
            <w:pPr>
              <w:pStyle w:val="TableParagraph"/>
              <w:rPr>
                <w:sz w:val="16"/>
              </w:rPr>
            </w:pPr>
          </w:p>
          <w:p>
            <w:pPr>
              <w:pStyle w:val="TableParagraph"/>
              <w:spacing w:line="130" w:lineRule="exact"/>
              <w:ind w:left="126"/>
              <w:rPr>
                <w:b/>
                <w:sz w:val="13"/>
              </w:rPr>
            </w:pPr>
            <w:r>
              <w:rPr>
                <w:b/>
                <w:sz w:val="13"/>
              </w:rPr>
              <w:t>105,868.70</w:t>
            </w:r>
          </w:p>
        </w:tc>
        <w:tc>
          <w:tcPr>
            <w:tcW w:w="922" w:type="dxa"/>
          </w:tcPr>
          <w:p>
            <w:pPr>
              <w:pStyle w:val="TableParagraph"/>
              <w:rPr>
                <w:rFonts w:ascii="Times New Roman"/>
                <w:sz w:val="12"/>
              </w:rPr>
            </w:pPr>
          </w:p>
        </w:tc>
        <w:tc>
          <w:tcPr>
            <w:tcW w:w="1379" w:type="dxa"/>
          </w:tcPr>
          <w:p>
            <w:pPr>
              <w:pStyle w:val="TableParagraph"/>
              <w:spacing w:before="16"/>
              <w:ind w:left="320"/>
              <w:rPr>
                <w:sz w:val="13"/>
              </w:rPr>
            </w:pPr>
            <w:r>
              <w:rPr>
                <w:sz w:val="13"/>
              </w:rPr>
              <w:t>71,000.00</w:t>
            </w:r>
          </w:p>
          <w:p>
            <w:pPr>
              <w:pStyle w:val="TableParagraph"/>
              <w:rPr>
                <w:sz w:val="16"/>
              </w:rPr>
            </w:pPr>
          </w:p>
          <w:p>
            <w:pPr>
              <w:pStyle w:val="TableParagraph"/>
              <w:spacing w:line="130" w:lineRule="exact"/>
              <w:ind w:left="320"/>
              <w:rPr>
                <w:b/>
                <w:sz w:val="13"/>
              </w:rPr>
            </w:pPr>
            <w:r>
              <w:rPr>
                <w:b/>
                <w:sz w:val="13"/>
              </w:rPr>
              <w:t>99,908.15</w:t>
            </w:r>
          </w:p>
        </w:tc>
        <w:tc>
          <w:tcPr>
            <w:tcW w:w="663" w:type="dxa"/>
          </w:tcPr>
          <w:p>
            <w:pPr>
              <w:pStyle w:val="TableParagraph"/>
              <w:rPr>
                <w:rFonts w:ascii="Times New Roman"/>
                <w:sz w:val="12"/>
              </w:rPr>
            </w:pPr>
          </w:p>
        </w:tc>
        <w:tc>
          <w:tcPr>
            <w:tcW w:w="816" w:type="dxa"/>
          </w:tcPr>
          <w:p>
            <w:pPr>
              <w:pStyle w:val="TableParagraph"/>
              <w:spacing w:before="16"/>
              <w:ind w:left="191"/>
              <w:rPr>
                <w:sz w:val="13"/>
              </w:rPr>
            </w:pPr>
            <w:r>
              <w:rPr>
                <w:sz w:val="13"/>
              </w:rPr>
              <w:t>71,000.00</w:t>
            </w:r>
          </w:p>
          <w:p>
            <w:pPr>
              <w:pStyle w:val="TableParagraph"/>
              <w:rPr>
                <w:sz w:val="16"/>
              </w:rPr>
            </w:pPr>
          </w:p>
          <w:p>
            <w:pPr>
              <w:pStyle w:val="TableParagraph"/>
              <w:spacing w:line="130" w:lineRule="exact"/>
              <w:ind w:left="116"/>
              <w:rPr>
                <w:b/>
                <w:sz w:val="13"/>
              </w:rPr>
            </w:pPr>
            <w:r>
              <w:rPr>
                <w:b/>
                <w:sz w:val="13"/>
              </w:rPr>
              <w:t>102,004.35</w:t>
            </w:r>
          </w:p>
        </w:tc>
      </w:tr>
    </w:tbl>
    <w:p>
      <w:pPr>
        <w:spacing w:after="0" w:line="130" w:lineRule="exact"/>
        <w:rPr>
          <w:sz w:val="13"/>
        </w:rPr>
        <w:sectPr>
          <w:type w:val="continuous"/>
          <w:pgSz w:w="12240" w:h="15840"/>
          <w:pgMar w:top="1500" w:bottom="840" w:left="40" w:right="40"/>
        </w:sectPr>
      </w:pPr>
    </w:p>
    <w:p>
      <w:pPr>
        <w:pStyle w:val="BodyText"/>
        <w:rPr>
          <w:sz w:val="20"/>
        </w:rPr>
      </w:pPr>
    </w:p>
    <w:p>
      <w:pPr>
        <w:pStyle w:val="BodyText"/>
        <w:rPr>
          <w:sz w:val="20"/>
        </w:rPr>
      </w:pPr>
    </w:p>
    <w:p>
      <w:pPr>
        <w:pStyle w:val="BodyText"/>
        <w:spacing w:before="2"/>
        <w:rPr>
          <w:sz w:val="15"/>
        </w:rPr>
      </w:pPr>
    </w:p>
    <w:p>
      <w:pPr>
        <w:pStyle w:val="BodyText"/>
        <w:spacing w:line="21" w:lineRule="exact"/>
        <w:ind w:left="288"/>
        <w:rPr>
          <w:sz w:val="2"/>
        </w:rPr>
      </w:pPr>
      <w:r>
        <w:rPr>
          <w:sz w:val="2"/>
        </w:rPr>
        <w:drawing>
          <wp:inline distT="0" distB="0" distL="0" distR="0">
            <wp:extent cx="7203952" cy="13716"/>
            <wp:effectExtent l="0" t="0" r="0" b="0"/>
            <wp:docPr id="121" name="image1401.png"/>
            <wp:cNvGraphicFramePr>
              <a:graphicFrameLocks noChangeAspect="1"/>
            </wp:cNvGraphicFramePr>
            <a:graphic>
              <a:graphicData uri="http://schemas.openxmlformats.org/drawingml/2006/picture">
                <pic:pic>
                  <pic:nvPicPr>
                    <pic:cNvPr id="122" name="image1401.png"/>
                    <pic:cNvPicPr/>
                  </pic:nvPicPr>
                  <pic:blipFill>
                    <a:blip r:embed="rId1503" cstate="print"/>
                    <a:stretch>
                      <a:fillRect/>
                    </a:stretch>
                  </pic:blipFill>
                  <pic:spPr>
                    <a:xfrm>
                      <a:off x="0" y="0"/>
                      <a:ext cx="7203952" cy="13716"/>
                    </a:xfrm>
                    <a:prstGeom prst="rect">
                      <a:avLst/>
                    </a:prstGeom>
                  </pic:spPr>
                </pic:pic>
              </a:graphicData>
            </a:graphic>
          </wp:inline>
        </w:drawing>
      </w:r>
      <w:r>
        <w:rPr>
          <w:sz w:val="2"/>
        </w:rPr>
      </w:r>
    </w:p>
    <w:p>
      <w:pPr>
        <w:pStyle w:val="Heading8"/>
        <w:spacing w:before="20"/>
        <w:ind w:left="322"/>
      </w:pPr>
      <w:r>
        <w:rPr>
          <w:w w:val="105"/>
        </w:rPr>
        <w:t>10C. Calculating the District's Budgeted Reserve Amount</w:t>
      </w:r>
    </w:p>
    <w:p>
      <w:pPr>
        <w:pStyle w:val="BodyText"/>
        <w:spacing w:line="21" w:lineRule="exact"/>
        <w:ind w:left="288"/>
        <w:rPr>
          <w:sz w:val="2"/>
        </w:rPr>
      </w:pPr>
      <w:r>
        <w:rPr>
          <w:sz w:val="2"/>
        </w:rPr>
        <w:pict>
          <v:group style="width:567.25pt;height:1.1pt;mso-position-horizontal-relative:char;mso-position-vertical-relative:line" coordorigin="0,0" coordsize="11345,22">
            <v:shape style="position:absolute;left:0;top:0;width:4438;height:22" type="#_x0000_t75" stroked="false">
              <v:imagedata r:id="rId1509" o:title=""/>
            </v:shape>
            <v:shape style="position:absolute;left:4430;top:0;width:6915;height:22" type="#_x0000_t75" stroked="false">
              <v:imagedata r:id="rId1510" o:title=""/>
            </v:shape>
          </v:group>
        </w:pict>
      </w:r>
      <w:r>
        <w:rPr>
          <w:sz w:val="2"/>
        </w:rPr>
      </w:r>
    </w:p>
    <w:p>
      <w:pPr>
        <w:pStyle w:val="BodyText"/>
        <w:spacing w:before="2"/>
        <w:rPr>
          <w:b/>
          <w:sz w:val="12"/>
        </w:rPr>
      </w:pPr>
    </w:p>
    <w:p>
      <w:pPr>
        <w:pStyle w:val="BodyText"/>
        <w:spacing w:line="268" w:lineRule="auto" w:before="98"/>
        <w:ind w:left="322" w:right="2728"/>
      </w:pPr>
      <w:r>
        <w:rPr/>
        <w:t>DATA ENTRY: If Form MYP exists, 1st and 2nd Subsequent Year data for lines 1 through 7 will be extracted; if not, enter data for the two subsequent years. All other data are extracted or calculated.</w:t>
      </w:r>
    </w:p>
    <w:p>
      <w:pPr>
        <w:pStyle w:val="BodyText"/>
        <w:rPr>
          <w:sz w:val="20"/>
        </w:rPr>
      </w:pPr>
    </w:p>
    <w:p>
      <w:pPr>
        <w:pStyle w:val="BodyText"/>
        <w:spacing w:before="10"/>
        <w:rPr>
          <w:sz w:val="17"/>
        </w:rPr>
      </w:pPr>
    </w:p>
    <w:tbl>
      <w:tblPr>
        <w:tblW w:w="0" w:type="auto"/>
        <w:jc w:val="left"/>
        <w:tblInd w:w="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35"/>
        <w:gridCol w:w="915"/>
        <w:gridCol w:w="1012"/>
        <w:gridCol w:w="1338"/>
        <w:gridCol w:w="952"/>
        <w:gridCol w:w="1749"/>
      </w:tblGrid>
      <w:tr>
        <w:trPr>
          <w:trHeight w:val="149" w:hRule="atLeast"/>
        </w:trPr>
        <w:tc>
          <w:tcPr>
            <w:tcW w:w="5335" w:type="dxa"/>
          </w:tcPr>
          <w:p>
            <w:pPr>
              <w:pStyle w:val="TableParagraph"/>
              <w:spacing w:line="129" w:lineRule="exact"/>
              <w:ind w:left="33"/>
              <w:rPr>
                <w:sz w:val="13"/>
              </w:rPr>
            </w:pPr>
            <w:r>
              <w:rPr>
                <w:sz w:val="13"/>
              </w:rPr>
              <w:t>Reserve Amounts</w:t>
            </w:r>
          </w:p>
        </w:tc>
        <w:tc>
          <w:tcPr>
            <w:tcW w:w="1927" w:type="dxa"/>
            <w:gridSpan w:val="2"/>
          </w:tcPr>
          <w:p>
            <w:pPr>
              <w:pStyle w:val="TableParagraph"/>
              <w:spacing w:line="129" w:lineRule="exact"/>
              <w:ind w:left="323"/>
              <w:rPr>
                <w:sz w:val="13"/>
              </w:rPr>
            </w:pPr>
            <w:r>
              <w:rPr>
                <w:sz w:val="13"/>
              </w:rPr>
              <w:t>Budget Year</w:t>
            </w:r>
          </w:p>
        </w:tc>
        <w:tc>
          <w:tcPr>
            <w:tcW w:w="2290" w:type="dxa"/>
            <w:gridSpan w:val="2"/>
          </w:tcPr>
          <w:p>
            <w:pPr>
              <w:pStyle w:val="TableParagraph"/>
              <w:spacing w:line="129" w:lineRule="exact"/>
              <w:ind w:left="338"/>
              <w:rPr>
                <w:sz w:val="13"/>
              </w:rPr>
            </w:pPr>
            <w:r>
              <w:rPr>
                <w:sz w:val="13"/>
              </w:rPr>
              <w:t>1st Subsequent Year</w:t>
            </w:r>
          </w:p>
        </w:tc>
        <w:tc>
          <w:tcPr>
            <w:tcW w:w="1749" w:type="dxa"/>
          </w:tcPr>
          <w:p>
            <w:pPr>
              <w:pStyle w:val="TableParagraph"/>
              <w:spacing w:line="129" w:lineRule="exact"/>
              <w:ind w:left="196"/>
              <w:rPr>
                <w:sz w:val="13"/>
              </w:rPr>
            </w:pPr>
            <w:r>
              <w:rPr>
                <w:sz w:val="13"/>
              </w:rPr>
              <w:t>2nd Subsequent Year</w:t>
            </w:r>
          </w:p>
        </w:tc>
      </w:tr>
      <w:tr>
        <w:trPr>
          <w:trHeight w:val="504" w:hRule="atLeast"/>
        </w:trPr>
        <w:tc>
          <w:tcPr>
            <w:tcW w:w="5335" w:type="dxa"/>
          </w:tcPr>
          <w:p>
            <w:pPr>
              <w:pStyle w:val="TableParagraph"/>
              <w:spacing w:line="149" w:lineRule="exact"/>
              <w:ind w:left="33"/>
              <w:rPr>
                <w:sz w:val="13"/>
              </w:rPr>
            </w:pPr>
            <w:r>
              <w:rPr>
                <w:sz w:val="13"/>
              </w:rPr>
              <w:t>(Unrestricted resources 0000-1999 except Line 4):</w:t>
            </w:r>
          </w:p>
          <w:p>
            <w:pPr>
              <w:pStyle w:val="TableParagraph"/>
              <w:tabs>
                <w:tab w:pos="532" w:val="left" w:leader="none"/>
              </w:tabs>
              <w:spacing w:line="170" w:lineRule="atLeast"/>
              <w:ind w:left="532" w:right="2087" w:hanging="334"/>
              <w:rPr>
                <w:sz w:val="13"/>
              </w:rPr>
            </w:pPr>
            <w:r>
              <w:rPr>
                <w:sz w:val="13"/>
              </w:rPr>
              <w:t>1.</w:t>
              <w:tab/>
              <w:t>General Fund - Stabilization Arrangements (Fund 01, Object 9750) (Form MYP, Line</w:t>
            </w:r>
            <w:r>
              <w:rPr>
                <w:spacing w:val="31"/>
                <w:sz w:val="13"/>
              </w:rPr>
              <w:t> </w:t>
            </w:r>
            <w:r>
              <w:rPr>
                <w:sz w:val="13"/>
              </w:rPr>
              <w:t>E1a)</w:t>
            </w:r>
          </w:p>
        </w:tc>
        <w:tc>
          <w:tcPr>
            <w:tcW w:w="1927" w:type="dxa"/>
            <w:gridSpan w:val="2"/>
          </w:tcPr>
          <w:p>
            <w:pPr>
              <w:pStyle w:val="TableParagraph"/>
              <w:spacing w:line="149" w:lineRule="exact"/>
              <w:ind w:left="402"/>
              <w:rPr>
                <w:sz w:val="13"/>
              </w:rPr>
            </w:pPr>
            <w:r>
              <w:rPr>
                <w:sz w:val="13"/>
              </w:rPr>
              <w:t>(2021-22)</w:t>
            </w:r>
          </w:p>
          <w:p>
            <w:pPr>
              <w:pStyle w:val="TableParagraph"/>
              <w:spacing w:before="2"/>
              <w:rPr>
                <w:sz w:val="16"/>
              </w:rPr>
            </w:pPr>
          </w:p>
          <w:p>
            <w:pPr>
              <w:pStyle w:val="TableParagraph"/>
              <w:spacing w:line="149" w:lineRule="exact"/>
              <w:ind w:right="337"/>
              <w:jc w:val="right"/>
              <w:rPr>
                <w:sz w:val="13"/>
              </w:rPr>
            </w:pPr>
            <w:r>
              <w:rPr>
                <w:sz w:val="13"/>
              </w:rPr>
              <w:t>0.00</w:t>
            </w:r>
          </w:p>
        </w:tc>
        <w:tc>
          <w:tcPr>
            <w:tcW w:w="2290" w:type="dxa"/>
            <w:gridSpan w:val="2"/>
          </w:tcPr>
          <w:p>
            <w:pPr>
              <w:pStyle w:val="TableParagraph"/>
              <w:spacing w:line="149" w:lineRule="exact"/>
              <w:ind w:left="669"/>
              <w:rPr>
                <w:sz w:val="13"/>
              </w:rPr>
            </w:pPr>
            <w:r>
              <w:rPr>
                <w:sz w:val="13"/>
              </w:rPr>
              <w:t>(2022-23)</w:t>
            </w:r>
          </w:p>
        </w:tc>
        <w:tc>
          <w:tcPr>
            <w:tcW w:w="1749" w:type="dxa"/>
          </w:tcPr>
          <w:p>
            <w:pPr>
              <w:pStyle w:val="TableParagraph"/>
              <w:spacing w:line="149" w:lineRule="exact"/>
              <w:ind w:left="551"/>
              <w:rPr>
                <w:sz w:val="13"/>
              </w:rPr>
            </w:pPr>
            <w:r>
              <w:rPr>
                <w:sz w:val="13"/>
              </w:rPr>
              <w:t>(2023-24)</w:t>
            </w:r>
          </w:p>
        </w:tc>
      </w:tr>
      <w:tr>
        <w:trPr>
          <w:trHeight w:val="184" w:hRule="atLeast"/>
        </w:trPr>
        <w:tc>
          <w:tcPr>
            <w:tcW w:w="5335" w:type="dxa"/>
          </w:tcPr>
          <w:p>
            <w:pPr>
              <w:pStyle w:val="TableParagraph"/>
              <w:tabs>
                <w:tab w:pos="532" w:val="left" w:leader="none"/>
              </w:tabs>
              <w:spacing w:line="149" w:lineRule="exact" w:before="16"/>
              <w:ind w:left="198"/>
              <w:rPr>
                <w:sz w:val="13"/>
              </w:rPr>
            </w:pPr>
            <w:r>
              <w:rPr>
                <w:sz w:val="13"/>
              </w:rPr>
              <w:t>2.</w:t>
              <w:tab/>
              <w:t>General Fund - Reserve for Economic</w:t>
            </w:r>
            <w:r>
              <w:rPr>
                <w:spacing w:val="-2"/>
                <w:sz w:val="13"/>
              </w:rPr>
              <w:t> </w:t>
            </w:r>
            <w:r>
              <w:rPr>
                <w:sz w:val="13"/>
              </w:rPr>
              <w:t>Uncertainties</w:t>
            </w:r>
          </w:p>
        </w:tc>
        <w:tc>
          <w:tcPr>
            <w:tcW w:w="1927" w:type="dxa"/>
            <w:gridSpan w:val="2"/>
          </w:tcPr>
          <w:p>
            <w:pPr>
              <w:pStyle w:val="TableParagraph"/>
              <w:rPr>
                <w:rFonts w:ascii="Times New Roman"/>
                <w:sz w:val="12"/>
              </w:rPr>
            </w:pPr>
          </w:p>
        </w:tc>
        <w:tc>
          <w:tcPr>
            <w:tcW w:w="2290" w:type="dxa"/>
            <w:gridSpan w:val="2"/>
          </w:tcPr>
          <w:p>
            <w:pPr>
              <w:pStyle w:val="TableParagraph"/>
              <w:rPr>
                <w:rFonts w:ascii="Times New Roman"/>
                <w:sz w:val="12"/>
              </w:rPr>
            </w:pPr>
          </w:p>
        </w:tc>
        <w:tc>
          <w:tcPr>
            <w:tcW w:w="1749" w:type="dxa"/>
          </w:tcPr>
          <w:p>
            <w:pPr>
              <w:pStyle w:val="TableParagraph"/>
              <w:rPr>
                <w:rFonts w:ascii="Times New Roman"/>
                <w:sz w:val="12"/>
              </w:rPr>
            </w:pPr>
          </w:p>
        </w:tc>
      </w:tr>
      <w:tr>
        <w:trPr>
          <w:trHeight w:val="184" w:hRule="atLeast"/>
        </w:trPr>
        <w:tc>
          <w:tcPr>
            <w:tcW w:w="5335" w:type="dxa"/>
          </w:tcPr>
          <w:p>
            <w:pPr>
              <w:pStyle w:val="TableParagraph"/>
              <w:spacing w:line="149" w:lineRule="exact" w:before="16"/>
              <w:ind w:left="532"/>
              <w:rPr>
                <w:sz w:val="13"/>
              </w:rPr>
            </w:pPr>
            <w:r>
              <w:rPr>
                <w:sz w:val="13"/>
              </w:rPr>
              <w:t>(Fund 01, Object 9789) (Form MYP, Line E1b)</w:t>
            </w:r>
          </w:p>
        </w:tc>
        <w:tc>
          <w:tcPr>
            <w:tcW w:w="1927" w:type="dxa"/>
            <w:gridSpan w:val="2"/>
          </w:tcPr>
          <w:p>
            <w:pPr>
              <w:pStyle w:val="TableParagraph"/>
              <w:spacing w:line="149" w:lineRule="exact" w:before="16"/>
              <w:ind w:left="921"/>
              <w:rPr>
                <w:sz w:val="13"/>
              </w:rPr>
            </w:pPr>
            <w:r>
              <w:rPr>
                <w:sz w:val="13"/>
              </w:rPr>
              <w:t>105,868.70</w:t>
            </w:r>
          </w:p>
        </w:tc>
        <w:tc>
          <w:tcPr>
            <w:tcW w:w="2290" w:type="dxa"/>
            <w:gridSpan w:val="2"/>
          </w:tcPr>
          <w:p>
            <w:pPr>
              <w:pStyle w:val="TableParagraph"/>
              <w:spacing w:line="149" w:lineRule="exact" w:before="16"/>
              <w:ind w:left="1499"/>
              <w:rPr>
                <w:sz w:val="13"/>
              </w:rPr>
            </w:pPr>
            <w:r>
              <w:rPr>
                <w:sz w:val="13"/>
              </w:rPr>
              <w:t>99,908.13</w:t>
            </w:r>
          </w:p>
        </w:tc>
        <w:tc>
          <w:tcPr>
            <w:tcW w:w="1749" w:type="dxa"/>
          </w:tcPr>
          <w:p>
            <w:pPr>
              <w:pStyle w:val="TableParagraph"/>
              <w:spacing w:line="149" w:lineRule="exact" w:before="16"/>
              <w:ind w:right="32"/>
              <w:jc w:val="right"/>
              <w:rPr>
                <w:sz w:val="13"/>
              </w:rPr>
            </w:pPr>
            <w:r>
              <w:rPr>
                <w:sz w:val="13"/>
              </w:rPr>
              <w:t>102,017.65</w:t>
            </w:r>
          </w:p>
        </w:tc>
      </w:tr>
      <w:tr>
        <w:trPr>
          <w:trHeight w:val="184" w:hRule="atLeast"/>
        </w:trPr>
        <w:tc>
          <w:tcPr>
            <w:tcW w:w="5335" w:type="dxa"/>
          </w:tcPr>
          <w:p>
            <w:pPr>
              <w:pStyle w:val="TableParagraph"/>
              <w:tabs>
                <w:tab w:pos="532" w:val="left" w:leader="none"/>
              </w:tabs>
              <w:spacing w:line="149" w:lineRule="exact" w:before="16"/>
              <w:ind w:left="198"/>
              <w:rPr>
                <w:sz w:val="13"/>
              </w:rPr>
            </w:pPr>
            <w:r>
              <w:rPr>
                <w:sz w:val="13"/>
              </w:rPr>
              <w:t>3.</w:t>
              <w:tab/>
              <w:t>General Fund - Unassigned/Unappropriated</w:t>
            </w:r>
            <w:r>
              <w:rPr>
                <w:spacing w:val="-1"/>
                <w:sz w:val="13"/>
              </w:rPr>
              <w:t> </w:t>
            </w:r>
            <w:r>
              <w:rPr>
                <w:sz w:val="13"/>
              </w:rPr>
              <w:t>Amount</w:t>
            </w:r>
          </w:p>
        </w:tc>
        <w:tc>
          <w:tcPr>
            <w:tcW w:w="1927" w:type="dxa"/>
            <w:gridSpan w:val="2"/>
          </w:tcPr>
          <w:p>
            <w:pPr>
              <w:pStyle w:val="TableParagraph"/>
              <w:rPr>
                <w:rFonts w:ascii="Times New Roman"/>
                <w:sz w:val="12"/>
              </w:rPr>
            </w:pPr>
          </w:p>
        </w:tc>
        <w:tc>
          <w:tcPr>
            <w:tcW w:w="2290" w:type="dxa"/>
            <w:gridSpan w:val="2"/>
          </w:tcPr>
          <w:p>
            <w:pPr>
              <w:pStyle w:val="TableParagraph"/>
              <w:rPr>
                <w:rFonts w:ascii="Times New Roman"/>
                <w:sz w:val="12"/>
              </w:rPr>
            </w:pPr>
          </w:p>
        </w:tc>
        <w:tc>
          <w:tcPr>
            <w:tcW w:w="1749" w:type="dxa"/>
          </w:tcPr>
          <w:p>
            <w:pPr>
              <w:pStyle w:val="TableParagraph"/>
              <w:rPr>
                <w:rFonts w:ascii="Times New Roman"/>
                <w:sz w:val="12"/>
              </w:rPr>
            </w:pPr>
          </w:p>
        </w:tc>
      </w:tr>
      <w:tr>
        <w:trPr>
          <w:trHeight w:val="688" w:hRule="atLeast"/>
        </w:trPr>
        <w:tc>
          <w:tcPr>
            <w:tcW w:w="5335" w:type="dxa"/>
          </w:tcPr>
          <w:p>
            <w:pPr>
              <w:pStyle w:val="TableParagraph"/>
              <w:spacing w:before="16"/>
              <w:ind w:left="532"/>
              <w:rPr>
                <w:sz w:val="13"/>
              </w:rPr>
            </w:pPr>
            <w:r>
              <w:rPr>
                <w:sz w:val="13"/>
              </w:rPr>
              <w:t>(Fund 01, Object 9790) (Form MYP, Line E1c)</w:t>
            </w:r>
          </w:p>
          <w:p>
            <w:pPr>
              <w:pStyle w:val="TableParagraph"/>
              <w:tabs>
                <w:tab w:pos="532" w:val="left" w:leader="none"/>
              </w:tabs>
              <w:spacing w:line="160" w:lineRule="atLeast" w:before="8"/>
              <w:ind w:left="532" w:right="759" w:hanging="334"/>
              <w:rPr>
                <w:sz w:val="13"/>
              </w:rPr>
            </w:pPr>
            <w:r>
              <w:rPr>
                <w:sz w:val="13"/>
              </w:rPr>
              <w:t>4.</w:t>
              <w:tab/>
              <w:t>General Fund - Negative Ending Balances in Restricted Resources (Fund 01, Object 979Z, if negative, for each of resources 2000-9999) (Form MYP, Line</w:t>
            </w:r>
            <w:r>
              <w:rPr>
                <w:spacing w:val="4"/>
                <w:sz w:val="13"/>
              </w:rPr>
              <w:t> </w:t>
            </w:r>
            <w:r>
              <w:rPr>
                <w:sz w:val="13"/>
              </w:rPr>
              <w:t>E1d)</w:t>
            </w:r>
          </w:p>
        </w:tc>
        <w:tc>
          <w:tcPr>
            <w:tcW w:w="1927" w:type="dxa"/>
            <w:gridSpan w:val="2"/>
          </w:tcPr>
          <w:p>
            <w:pPr>
              <w:pStyle w:val="TableParagraph"/>
              <w:spacing w:before="16"/>
              <w:ind w:left="810"/>
              <w:rPr>
                <w:sz w:val="13"/>
              </w:rPr>
            </w:pPr>
            <w:r>
              <w:rPr>
                <w:sz w:val="13"/>
              </w:rPr>
              <w:t>1,415,135.30</w:t>
            </w:r>
          </w:p>
          <w:p>
            <w:pPr>
              <w:pStyle w:val="TableParagraph"/>
              <w:rPr>
                <w:sz w:val="14"/>
              </w:rPr>
            </w:pPr>
          </w:p>
          <w:p>
            <w:pPr>
              <w:pStyle w:val="TableParagraph"/>
              <w:spacing w:before="9"/>
              <w:rPr>
                <w:sz w:val="16"/>
              </w:rPr>
            </w:pPr>
          </w:p>
          <w:p>
            <w:pPr>
              <w:pStyle w:val="TableParagraph"/>
              <w:spacing w:line="149" w:lineRule="exact"/>
              <w:ind w:right="337"/>
              <w:jc w:val="right"/>
              <w:rPr>
                <w:sz w:val="13"/>
              </w:rPr>
            </w:pPr>
            <w:r>
              <w:rPr>
                <w:sz w:val="13"/>
              </w:rPr>
              <w:t>0.00</w:t>
            </w:r>
          </w:p>
        </w:tc>
        <w:tc>
          <w:tcPr>
            <w:tcW w:w="2290" w:type="dxa"/>
            <w:gridSpan w:val="2"/>
          </w:tcPr>
          <w:p>
            <w:pPr>
              <w:pStyle w:val="TableParagraph"/>
              <w:spacing w:before="16"/>
              <w:ind w:left="1315"/>
              <w:rPr>
                <w:sz w:val="13"/>
              </w:rPr>
            </w:pPr>
            <w:r>
              <w:rPr>
                <w:sz w:val="13"/>
              </w:rPr>
              <w:t>1,430,046.87</w:t>
            </w:r>
          </w:p>
          <w:p>
            <w:pPr>
              <w:pStyle w:val="TableParagraph"/>
              <w:rPr>
                <w:sz w:val="14"/>
              </w:rPr>
            </w:pPr>
          </w:p>
          <w:p>
            <w:pPr>
              <w:pStyle w:val="TableParagraph"/>
              <w:spacing w:before="9"/>
              <w:rPr>
                <w:sz w:val="16"/>
              </w:rPr>
            </w:pPr>
          </w:p>
          <w:p>
            <w:pPr>
              <w:pStyle w:val="TableParagraph"/>
              <w:spacing w:line="149" w:lineRule="exact"/>
              <w:ind w:right="196"/>
              <w:jc w:val="right"/>
              <w:rPr>
                <w:sz w:val="13"/>
              </w:rPr>
            </w:pPr>
            <w:r>
              <w:rPr>
                <w:sz w:val="13"/>
              </w:rPr>
              <w:t>0.00</w:t>
            </w:r>
          </w:p>
        </w:tc>
        <w:tc>
          <w:tcPr>
            <w:tcW w:w="1749" w:type="dxa"/>
          </w:tcPr>
          <w:p>
            <w:pPr>
              <w:pStyle w:val="TableParagraph"/>
              <w:spacing w:before="16"/>
              <w:ind w:left="937"/>
              <w:rPr>
                <w:sz w:val="13"/>
              </w:rPr>
            </w:pPr>
            <w:r>
              <w:rPr>
                <w:sz w:val="13"/>
              </w:rPr>
              <w:t>2,353,850.98</w:t>
            </w:r>
          </w:p>
          <w:p>
            <w:pPr>
              <w:pStyle w:val="TableParagraph"/>
              <w:rPr>
                <w:sz w:val="14"/>
              </w:rPr>
            </w:pPr>
          </w:p>
          <w:p>
            <w:pPr>
              <w:pStyle w:val="TableParagraph"/>
              <w:spacing w:before="9"/>
              <w:rPr>
                <w:sz w:val="16"/>
              </w:rPr>
            </w:pPr>
          </w:p>
          <w:p>
            <w:pPr>
              <w:pStyle w:val="TableParagraph"/>
              <w:spacing w:line="149" w:lineRule="exact"/>
              <w:ind w:right="32"/>
              <w:jc w:val="right"/>
              <w:rPr>
                <w:sz w:val="13"/>
              </w:rPr>
            </w:pPr>
            <w:r>
              <w:rPr>
                <w:sz w:val="13"/>
              </w:rPr>
              <w:t>0.00</w:t>
            </w:r>
          </w:p>
        </w:tc>
      </w:tr>
      <w:tr>
        <w:trPr>
          <w:trHeight w:val="184" w:hRule="atLeast"/>
        </w:trPr>
        <w:tc>
          <w:tcPr>
            <w:tcW w:w="5335" w:type="dxa"/>
          </w:tcPr>
          <w:p>
            <w:pPr>
              <w:pStyle w:val="TableParagraph"/>
              <w:tabs>
                <w:tab w:pos="532" w:val="left" w:leader="none"/>
              </w:tabs>
              <w:spacing w:line="149" w:lineRule="exact" w:before="16"/>
              <w:ind w:left="198"/>
              <w:rPr>
                <w:sz w:val="13"/>
              </w:rPr>
            </w:pPr>
            <w:r>
              <w:rPr>
                <w:sz w:val="13"/>
              </w:rPr>
              <w:t>5.</w:t>
              <w:tab/>
              <w:t>Special Reserve Fund - Stabilization</w:t>
            </w:r>
            <w:r>
              <w:rPr>
                <w:spacing w:val="1"/>
                <w:sz w:val="13"/>
              </w:rPr>
              <w:t> </w:t>
            </w:r>
            <w:r>
              <w:rPr>
                <w:sz w:val="13"/>
              </w:rPr>
              <w:t>Arrangements</w:t>
            </w:r>
          </w:p>
        </w:tc>
        <w:tc>
          <w:tcPr>
            <w:tcW w:w="1927" w:type="dxa"/>
            <w:gridSpan w:val="2"/>
          </w:tcPr>
          <w:p>
            <w:pPr>
              <w:pStyle w:val="TableParagraph"/>
              <w:rPr>
                <w:rFonts w:ascii="Times New Roman"/>
                <w:sz w:val="12"/>
              </w:rPr>
            </w:pPr>
          </w:p>
        </w:tc>
        <w:tc>
          <w:tcPr>
            <w:tcW w:w="2290" w:type="dxa"/>
            <w:gridSpan w:val="2"/>
          </w:tcPr>
          <w:p>
            <w:pPr>
              <w:pStyle w:val="TableParagraph"/>
              <w:rPr>
                <w:rFonts w:ascii="Times New Roman"/>
                <w:sz w:val="12"/>
              </w:rPr>
            </w:pPr>
          </w:p>
        </w:tc>
        <w:tc>
          <w:tcPr>
            <w:tcW w:w="1749" w:type="dxa"/>
          </w:tcPr>
          <w:p>
            <w:pPr>
              <w:pStyle w:val="TableParagraph"/>
              <w:rPr>
                <w:rFonts w:ascii="Times New Roman"/>
                <w:sz w:val="12"/>
              </w:rPr>
            </w:pPr>
          </w:p>
        </w:tc>
      </w:tr>
      <w:tr>
        <w:trPr>
          <w:trHeight w:val="520" w:hRule="atLeast"/>
        </w:trPr>
        <w:tc>
          <w:tcPr>
            <w:tcW w:w="5335" w:type="dxa"/>
          </w:tcPr>
          <w:p>
            <w:pPr>
              <w:pStyle w:val="TableParagraph"/>
              <w:spacing w:before="16"/>
              <w:ind w:left="532"/>
              <w:rPr>
                <w:sz w:val="13"/>
              </w:rPr>
            </w:pPr>
            <w:r>
              <w:rPr>
                <w:sz w:val="13"/>
              </w:rPr>
              <w:t>(Fund 17, Object 9750) (Form MYP, Line</w:t>
            </w:r>
            <w:r>
              <w:rPr>
                <w:spacing w:val="33"/>
                <w:sz w:val="13"/>
              </w:rPr>
              <w:t> </w:t>
            </w:r>
            <w:r>
              <w:rPr>
                <w:sz w:val="13"/>
              </w:rPr>
              <w:t>E2a)</w:t>
            </w:r>
          </w:p>
          <w:p>
            <w:pPr>
              <w:pStyle w:val="TableParagraph"/>
              <w:tabs>
                <w:tab w:pos="532" w:val="left" w:leader="none"/>
              </w:tabs>
              <w:spacing w:line="170" w:lineRule="atLeast"/>
              <w:ind w:left="532" w:right="1263" w:hanging="334"/>
              <w:rPr>
                <w:sz w:val="13"/>
              </w:rPr>
            </w:pPr>
            <w:r>
              <w:rPr>
                <w:sz w:val="13"/>
              </w:rPr>
              <w:t>6.</w:t>
              <w:tab/>
              <w:t>Special Reserve Fund - Reserve for Economic Uncertainties (Fund 17, Object 9789) (Form MYP, Line</w:t>
            </w:r>
            <w:r>
              <w:rPr>
                <w:spacing w:val="4"/>
                <w:sz w:val="13"/>
              </w:rPr>
              <w:t> </w:t>
            </w:r>
            <w:r>
              <w:rPr>
                <w:sz w:val="13"/>
              </w:rPr>
              <w:t>E2b)</w:t>
            </w:r>
          </w:p>
        </w:tc>
        <w:tc>
          <w:tcPr>
            <w:tcW w:w="1927" w:type="dxa"/>
            <w:gridSpan w:val="2"/>
          </w:tcPr>
          <w:p>
            <w:pPr>
              <w:pStyle w:val="TableParagraph"/>
              <w:spacing w:before="16"/>
              <w:ind w:right="337"/>
              <w:jc w:val="right"/>
              <w:rPr>
                <w:sz w:val="13"/>
              </w:rPr>
            </w:pPr>
            <w:r>
              <w:rPr>
                <w:sz w:val="13"/>
              </w:rPr>
              <w:t>0.00</w:t>
            </w:r>
          </w:p>
          <w:p>
            <w:pPr>
              <w:pStyle w:val="TableParagraph"/>
              <w:spacing w:before="2"/>
              <w:rPr>
                <w:sz w:val="16"/>
              </w:rPr>
            </w:pPr>
          </w:p>
          <w:p>
            <w:pPr>
              <w:pStyle w:val="TableParagraph"/>
              <w:spacing w:line="149" w:lineRule="exact"/>
              <w:ind w:left="921"/>
              <w:rPr>
                <w:sz w:val="13"/>
              </w:rPr>
            </w:pPr>
            <w:r>
              <w:rPr>
                <w:sz w:val="13"/>
              </w:rPr>
              <w:t>410,364.00</w:t>
            </w:r>
          </w:p>
        </w:tc>
        <w:tc>
          <w:tcPr>
            <w:tcW w:w="2290" w:type="dxa"/>
            <w:gridSpan w:val="2"/>
          </w:tcPr>
          <w:p>
            <w:pPr>
              <w:pStyle w:val="TableParagraph"/>
              <w:rPr>
                <w:sz w:val="14"/>
              </w:rPr>
            </w:pPr>
          </w:p>
          <w:p>
            <w:pPr>
              <w:pStyle w:val="TableParagraph"/>
              <w:spacing w:before="7"/>
              <w:rPr>
                <w:sz w:val="16"/>
              </w:rPr>
            </w:pPr>
          </w:p>
          <w:p>
            <w:pPr>
              <w:pStyle w:val="TableParagraph"/>
              <w:spacing w:line="149" w:lineRule="exact"/>
              <w:ind w:left="1425"/>
              <w:rPr>
                <w:sz w:val="13"/>
              </w:rPr>
            </w:pPr>
            <w:r>
              <w:rPr>
                <w:sz w:val="13"/>
              </w:rPr>
              <w:t>410,364.00</w:t>
            </w:r>
          </w:p>
        </w:tc>
        <w:tc>
          <w:tcPr>
            <w:tcW w:w="1749" w:type="dxa"/>
          </w:tcPr>
          <w:p>
            <w:pPr>
              <w:pStyle w:val="TableParagraph"/>
              <w:rPr>
                <w:sz w:val="14"/>
              </w:rPr>
            </w:pPr>
          </w:p>
          <w:p>
            <w:pPr>
              <w:pStyle w:val="TableParagraph"/>
              <w:spacing w:before="7"/>
              <w:rPr>
                <w:sz w:val="16"/>
              </w:rPr>
            </w:pPr>
          </w:p>
          <w:p>
            <w:pPr>
              <w:pStyle w:val="TableParagraph"/>
              <w:spacing w:line="149" w:lineRule="exact"/>
              <w:ind w:right="32"/>
              <w:jc w:val="right"/>
              <w:rPr>
                <w:sz w:val="13"/>
              </w:rPr>
            </w:pPr>
            <w:r>
              <w:rPr>
                <w:sz w:val="13"/>
              </w:rPr>
              <w:t>410,364.00</w:t>
            </w:r>
          </w:p>
        </w:tc>
      </w:tr>
      <w:tr>
        <w:trPr>
          <w:trHeight w:val="184" w:hRule="atLeast"/>
        </w:trPr>
        <w:tc>
          <w:tcPr>
            <w:tcW w:w="5335" w:type="dxa"/>
          </w:tcPr>
          <w:p>
            <w:pPr>
              <w:pStyle w:val="TableParagraph"/>
              <w:tabs>
                <w:tab w:pos="532" w:val="left" w:leader="none"/>
              </w:tabs>
              <w:spacing w:line="149" w:lineRule="exact" w:before="16"/>
              <w:ind w:left="198"/>
              <w:rPr>
                <w:sz w:val="13"/>
              </w:rPr>
            </w:pPr>
            <w:r>
              <w:rPr>
                <w:sz w:val="13"/>
              </w:rPr>
              <w:t>7.</w:t>
              <w:tab/>
              <w:t>Special Reserve Fund - Unassigned/Unappropriated</w:t>
            </w:r>
            <w:r>
              <w:rPr>
                <w:spacing w:val="6"/>
                <w:sz w:val="13"/>
              </w:rPr>
              <w:t> </w:t>
            </w:r>
            <w:r>
              <w:rPr>
                <w:sz w:val="13"/>
              </w:rPr>
              <w:t>Amount</w:t>
            </w:r>
          </w:p>
        </w:tc>
        <w:tc>
          <w:tcPr>
            <w:tcW w:w="1927" w:type="dxa"/>
            <w:gridSpan w:val="2"/>
          </w:tcPr>
          <w:p>
            <w:pPr>
              <w:pStyle w:val="TableParagraph"/>
              <w:rPr>
                <w:rFonts w:ascii="Times New Roman"/>
                <w:sz w:val="12"/>
              </w:rPr>
            </w:pPr>
          </w:p>
        </w:tc>
        <w:tc>
          <w:tcPr>
            <w:tcW w:w="2290" w:type="dxa"/>
            <w:gridSpan w:val="2"/>
          </w:tcPr>
          <w:p>
            <w:pPr>
              <w:pStyle w:val="TableParagraph"/>
              <w:rPr>
                <w:rFonts w:ascii="Times New Roman"/>
                <w:sz w:val="12"/>
              </w:rPr>
            </w:pPr>
          </w:p>
        </w:tc>
        <w:tc>
          <w:tcPr>
            <w:tcW w:w="1749" w:type="dxa"/>
          </w:tcPr>
          <w:p>
            <w:pPr>
              <w:pStyle w:val="TableParagraph"/>
              <w:rPr>
                <w:rFonts w:ascii="Times New Roman"/>
                <w:sz w:val="12"/>
              </w:rPr>
            </w:pPr>
          </w:p>
        </w:tc>
      </w:tr>
      <w:tr>
        <w:trPr>
          <w:trHeight w:val="184" w:hRule="atLeast"/>
        </w:trPr>
        <w:tc>
          <w:tcPr>
            <w:tcW w:w="5335" w:type="dxa"/>
          </w:tcPr>
          <w:p>
            <w:pPr>
              <w:pStyle w:val="TableParagraph"/>
              <w:spacing w:line="149" w:lineRule="exact" w:before="16"/>
              <w:ind w:left="532"/>
              <w:rPr>
                <w:sz w:val="13"/>
              </w:rPr>
            </w:pPr>
            <w:r>
              <w:rPr>
                <w:sz w:val="13"/>
              </w:rPr>
              <w:t>(Fund 17, Object 9790) (Form MYP, Line E2c)</w:t>
            </w:r>
          </w:p>
        </w:tc>
        <w:tc>
          <w:tcPr>
            <w:tcW w:w="1927" w:type="dxa"/>
            <w:gridSpan w:val="2"/>
          </w:tcPr>
          <w:p>
            <w:pPr>
              <w:pStyle w:val="TableParagraph"/>
              <w:spacing w:line="149" w:lineRule="exact" w:before="16"/>
              <w:ind w:right="337"/>
              <w:jc w:val="right"/>
              <w:rPr>
                <w:sz w:val="13"/>
              </w:rPr>
            </w:pPr>
            <w:r>
              <w:rPr>
                <w:sz w:val="13"/>
              </w:rPr>
              <w:t>0.00</w:t>
            </w:r>
          </w:p>
        </w:tc>
        <w:tc>
          <w:tcPr>
            <w:tcW w:w="2290" w:type="dxa"/>
            <w:gridSpan w:val="2"/>
          </w:tcPr>
          <w:p>
            <w:pPr>
              <w:pStyle w:val="TableParagraph"/>
              <w:rPr>
                <w:rFonts w:ascii="Times New Roman"/>
                <w:sz w:val="12"/>
              </w:rPr>
            </w:pPr>
          </w:p>
        </w:tc>
        <w:tc>
          <w:tcPr>
            <w:tcW w:w="1749" w:type="dxa"/>
          </w:tcPr>
          <w:p>
            <w:pPr>
              <w:pStyle w:val="TableParagraph"/>
              <w:rPr>
                <w:rFonts w:ascii="Times New Roman"/>
                <w:sz w:val="12"/>
              </w:rPr>
            </w:pPr>
          </w:p>
        </w:tc>
      </w:tr>
      <w:tr>
        <w:trPr>
          <w:trHeight w:val="184" w:hRule="atLeast"/>
        </w:trPr>
        <w:tc>
          <w:tcPr>
            <w:tcW w:w="5335" w:type="dxa"/>
          </w:tcPr>
          <w:p>
            <w:pPr>
              <w:pStyle w:val="TableParagraph"/>
              <w:tabs>
                <w:tab w:pos="532" w:val="left" w:leader="none"/>
              </w:tabs>
              <w:spacing w:line="149" w:lineRule="exact" w:before="16"/>
              <w:ind w:left="198"/>
              <w:rPr>
                <w:sz w:val="13"/>
              </w:rPr>
            </w:pPr>
            <w:r>
              <w:rPr>
                <w:sz w:val="13"/>
              </w:rPr>
              <w:t>8.</w:t>
              <w:tab/>
              <w:t>District's Budgeted Reserve</w:t>
            </w:r>
            <w:r>
              <w:rPr>
                <w:spacing w:val="2"/>
                <w:sz w:val="13"/>
              </w:rPr>
              <w:t> </w:t>
            </w:r>
            <w:r>
              <w:rPr>
                <w:sz w:val="13"/>
              </w:rPr>
              <w:t>Amount</w:t>
            </w:r>
          </w:p>
        </w:tc>
        <w:tc>
          <w:tcPr>
            <w:tcW w:w="1927" w:type="dxa"/>
            <w:gridSpan w:val="2"/>
          </w:tcPr>
          <w:p>
            <w:pPr>
              <w:pStyle w:val="TableParagraph"/>
              <w:rPr>
                <w:rFonts w:ascii="Times New Roman"/>
                <w:sz w:val="12"/>
              </w:rPr>
            </w:pPr>
          </w:p>
        </w:tc>
        <w:tc>
          <w:tcPr>
            <w:tcW w:w="2290" w:type="dxa"/>
            <w:gridSpan w:val="2"/>
          </w:tcPr>
          <w:p>
            <w:pPr>
              <w:pStyle w:val="TableParagraph"/>
              <w:rPr>
                <w:rFonts w:ascii="Times New Roman"/>
                <w:sz w:val="12"/>
              </w:rPr>
            </w:pPr>
          </w:p>
        </w:tc>
        <w:tc>
          <w:tcPr>
            <w:tcW w:w="1749" w:type="dxa"/>
          </w:tcPr>
          <w:p>
            <w:pPr>
              <w:pStyle w:val="TableParagraph"/>
              <w:rPr>
                <w:rFonts w:ascii="Times New Roman"/>
                <w:sz w:val="12"/>
              </w:rPr>
            </w:pPr>
          </w:p>
        </w:tc>
      </w:tr>
      <w:tr>
        <w:trPr>
          <w:trHeight w:val="333" w:hRule="atLeast"/>
        </w:trPr>
        <w:tc>
          <w:tcPr>
            <w:tcW w:w="5335" w:type="dxa"/>
          </w:tcPr>
          <w:p>
            <w:pPr>
              <w:pStyle w:val="TableParagraph"/>
              <w:spacing w:before="16"/>
              <w:ind w:left="532"/>
              <w:rPr>
                <w:sz w:val="13"/>
              </w:rPr>
            </w:pPr>
            <w:r>
              <w:rPr>
                <w:sz w:val="13"/>
              </w:rPr>
              <w:t>(Lines C1 thru C7)</w:t>
            </w:r>
          </w:p>
          <w:p>
            <w:pPr>
              <w:pStyle w:val="TableParagraph"/>
              <w:tabs>
                <w:tab w:pos="532" w:val="left" w:leader="none"/>
              </w:tabs>
              <w:spacing w:line="130" w:lineRule="exact" w:before="18"/>
              <w:ind w:left="198"/>
              <w:rPr>
                <w:sz w:val="13"/>
              </w:rPr>
            </w:pPr>
            <w:r>
              <w:rPr>
                <w:sz w:val="13"/>
              </w:rPr>
              <w:t>9.</w:t>
              <w:tab/>
              <w:t>District's Budgeted Reserve Percentage (Information</w:t>
            </w:r>
            <w:r>
              <w:rPr>
                <w:spacing w:val="8"/>
                <w:sz w:val="13"/>
              </w:rPr>
              <w:t> </w:t>
            </w:r>
            <w:r>
              <w:rPr>
                <w:sz w:val="13"/>
              </w:rPr>
              <w:t>only)</w:t>
            </w:r>
          </w:p>
        </w:tc>
        <w:tc>
          <w:tcPr>
            <w:tcW w:w="1927" w:type="dxa"/>
            <w:gridSpan w:val="2"/>
          </w:tcPr>
          <w:p>
            <w:pPr>
              <w:pStyle w:val="TableParagraph"/>
              <w:spacing w:before="16"/>
              <w:ind w:left="810"/>
              <w:rPr>
                <w:sz w:val="13"/>
              </w:rPr>
            </w:pPr>
            <w:r>
              <w:rPr>
                <w:sz w:val="13"/>
              </w:rPr>
              <w:t>1,931,368.00</w:t>
            </w:r>
          </w:p>
        </w:tc>
        <w:tc>
          <w:tcPr>
            <w:tcW w:w="2290" w:type="dxa"/>
            <w:gridSpan w:val="2"/>
          </w:tcPr>
          <w:p>
            <w:pPr>
              <w:pStyle w:val="TableParagraph"/>
              <w:spacing w:before="16"/>
              <w:ind w:left="1315"/>
              <w:rPr>
                <w:sz w:val="13"/>
              </w:rPr>
            </w:pPr>
            <w:r>
              <w:rPr>
                <w:sz w:val="13"/>
              </w:rPr>
              <w:t>1,940,319.00</w:t>
            </w:r>
          </w:p>
        </w:tc>
        <w:tc>
          <w:tcPr>
            <w:tcW w:w="1749" w:type="dxa"/>
          </w:tcPr>
          <w:p>
            <w:pPr>
              <w:pStyle w:val="TableParagraph"/>
              <w:spacing w:before="16"/>
              <w:ind w:right="32"/>
              <w:jc w:val="right"/>
              <w:rPr>
                <w:sz w:val="13"/>
              </w:rPr>
            </w:pPr>
            <w:r>
              <w:rPr>
                <w:sz w:val="13"/>
              </w:rPr>
              <w:t>2,866,232.63</w:t>
            </w:r>
          </w:p>
        </w:tc>
      </w:tr>
      <w:tr>
        <w:trPr>
          <w:trHeight w:val="185" w:hRule="atLeast"/>
        </w:trPr>
        <w:tc>
          <w:tcPr>
            <w:tcW w:w="5335" w:type="dxa"/>
          </w:tcPr>
          <w:p>
            <w:pPr>
              <w:pStyle w:val="TableParagraph"/>
              <w:spacing w:line="147" w:lineRule="exact" w:before="18"/>
              <w:ind w:left="532"/>
              <w:rPr>
                <w:sz w:val="13"/>
              </w:rPr>
            </w:pPr>
            <w:r>
              <w:rPr>
                <w:sz w:val="13"/>
              </w:rPr>
              <w:t>(Line 8 divided by Section 10B, Line 3)</w:t>
            </w:r>
          </w:p>
        </w:tc>
        <w:tc>
          <w:tcPr>
            <w:tcW w:w="915" w:type="dxa"/>
          </w:tcPr>
          <w:p>
            <w:pPr>
              <w:pStyle w:val="TableParagraph"/>
              <w:spacing w:line="147" w:lineRule="exact" w:before="18"/>
              <w:ind w:right="4"/>
              <w:jc w:val="right"/>
              <w:rPr>
                <w:sz w:val="13"/>
              </w:rPr>
            </w:pPr>
            <w:r>
              <w:rPr>
                <w:sz w:val="13"/>
              </w:rPr>
              <w:t>91.22%</w:t>
            </w:r>
          </w:p>
        </w:tc>
        <w:tc>
          <w:tcPr>
            <w:tcW w:w="1012" w:type="dxa"/>
          </w:tcPr>
          <w:p>
            <w:pPr>
              <w:pStyle w:val="TableParagraph"/>
              <w:rPr>
                <w:rFonts w:ascii="Times New Roman"/>
                <w:sz w:val="12"/>
              </w:rPr>
            </w:pPr>
          </w:p>
        </w:tc>
        <w:tc>
          <w:tcPr>
            <w:tcW w:w="1338" w:type="dxa"/>
          </w:tcPr>
          <w:p>
            <w:pPr>
              <w:pStyle w:val="TableParagraph"/>
              <w:spacing w:line="147" w:lineRule="exact" w:before="18"/>
              <w:ind w:left="709" w:right="148"/>
              <w:jc w:val="center"/>
              <w:rPr>
                <w:sz w:val="13"/>
              </w:rPr>
            </w:pPr>
            <w:r>
              <w:rPr>
                <w:sz w:val="13"/>
              </w:rPr>
              <w:t>97.11%</w:t>
            </w:r>
          </w:p>
        </w:tc>
        <w:tc>
          <w:tcPr>
            <w:tcW w:w="952" w:type="dxa"/>
          </w:tcPr>
          <w:p>
            <w:pPr>
              <w:pStyle w:val="TableParagraph"/>
              <w:rPr>
                <w:rFonts w:ascii="Times New Roman"/>
                <w:sz w:val="12"/>
              </w:rPr>
            </w:pPr>
          </w:p>
        </w:tc>
        <w:tc>
          <w:tcPr>
            <w:tcW w:w="1749" w:type="dxa"/>
          </w:tcPr>
          <w:p>
            <w:pPr>
              <w:pStyle w:val="TableParagraph"/>
              <w:spacing w:line="147" w:lineRule="exact" w:before="18"/>
              <w:ind w:left="570"/>
              <w:rPr>
                <w:sz w:val="13"/>
              </w:rPr>
            </w:pPr>
            <w:r>
              <w:rPr>
                <w:sz w:val="13"/>
              </w:rPr>
              <w:t>140.50%</w:t>
            </w:r>
          </w:p>
        </w:tc>
      </w:tr>
      <w:tr>
        <w:trPr>
          <w:trHeight w:val="183" w:hRule="atLeast"/>
        </w:trPr>
        <w:tc>
          <w:tcPr>
            <w:tcW w:w="5335" w:type="dxa"/>
          </w:tcPr>
          <w:p>
            <w:pPr>
              <w:pStyle w:val="TableParagraph"/>
              <w:spacing w:line="149" w:lineRule="exact" w:before="15"/>
              <w:ind w:right="360"/>
              <w:jc w:val="right"/>
              <w:rPr>
                <w:b/>
                <w:sz w:val="13"/>
              </w:rPr>
            </w:pPr>
            <w:r>
              <w:rPr>
                <w:b/>
                <w:sz w:val="13"/>
              </w:rPr>
              <w:t>District's Reserve Standard</w:t>
            </w:r>
          </w:p>
        </w:tc>
        <w:tc>
          <w:tcPr>
            <w:tcW w:w="915" w:type="dxa"/>
          </w:tcPr>
          <w:p>
            <w:pPr>
              <w:pStyle w:val="TableParagraph"/>
              <w:rPr>
                <w:rFonts w:ascii="Times New Roman"/>
                <w:sz w:val="12"/>
              </w:rPr>
            </w:pPr>
          </w:p>
        </w:tc>
        <w:tc>
          <w:tcPr>
            <w:tcW w:w="1012" w:type="dxa"/>
          </w:tcPr>
          <w:p>
            <w:pPr>
              <w:pStyle w:val="TableParagraph"/>
              <w:rPr>
                <w:rFonts w:ascii="Times New Roman"/>
                <w:sz w:val="12"/>
              </w:rPr>
            </w:pPr>
          </w:p>
        </w:tc>
        <w:tc>
          <w:tcPr>
            <w:tcW w:w="1338" w:type="dxa"/>
          </w:tcPr>
          <w:p>
            <w:pPr>
              <w:pStyle w:val="TableParagraph"/>
              <w:rPr>
                <w:rFonts w:ascii="Times New Roman"/>
                <w:sz w:val="12"/>
              </w:rPr>
            </w:pPr>
          </w:p>
        </w:tc>
        <w:tc>
          <w:tcPr>
            <w:tcW w:w="952" w:type="dxa"/>
          </w:tcPr>
          <w:p>
            <w:pPr>
              <w:pStyle w:val="TableParagraph"/>
              <w:rPr>
                <w:rFonts w:ascii="Times New Roman"/>
                <w:sz w:val="12"/>
              </w:rPr>
            </w:pPr>
          </w:p>
        </w:tc>
        <w:tc>
          <w:tcPr>
            <w:tcW w:w="1749" w:type="dxa"/>
          </w:tcPr>
          <w:p>
            <w:pPr>
              <w:pStyle w:val="TableParagraph"/>
              <w:rPr>
                <w:rFonts w:ascii="Times New Roman"/>
                <w:sz w:val="12"/>
              </w:rPr>
            </w:pPr>
          </w:p>
        </w:tc>
      </w:tr>
      <w:tr>
        <w:trPr>
          <w:trHeight w:val="278" w:hRule="atLeast"/>
        </w:trPr>
        <w:tc>
          <w:tcPr>
            <w:tcW w:w="5335" w:type="dxa"/>
          </w:tcPr>
          <w:p>
            <w:pPr>
              <w:pStyle w:val="TableParagraph"/>
              <w:spacing w:before="16"/>
              <w:ind w:right="322"/>
              <w:jc w:val="right"/>
              <w:rPr>
                <w:b/>
                <w:sz w:val="13"/>
              </w:rPr>
            </w:pPr>
            <w:r>
              <w:rPr>
                <w:b/>
                <w:sz w:val="13"/>
              </w:rPr>
              <w:t>(Section 10B, Line 7):</w:t>
            </w:r>
          </w:p>
        </w:tc>
        <w:tc>
          <w:tcPr>
            <w:tcW w:w="915" w:type="dxa"/>
          </w:tcPr>
          <w:p>
            <w:pPr>
              <w:pStyle w:val="TableParagraph"/>
              <w:rPr>
                <w:rFonts w:ascii="Times New Roman"/>
                <w:sz w:val="12"/>
              </w:rPr>
            </w:pPr>
          </w:p>
        </w:tc>
        <w:tc>
          <w:tcPr>
            <w:tcW w:w="1012" w:type="dxa"/>
          </w:tcPr>
          <w:p>
            <w:pPr>
              <w:pStyle w:val="TableParagraph"/>
              <w:spacing w:before="16"/>
              <w:ind w:left="6"/>
              <w:rPr>
                <w:b/>
                <w:sz w:val="13"/>
              </w:rPr>
            </w:pPr>
            <w:r>
              <w:rPr>
                <w:b/>
                <w:sz w:val="13"/>
              </w:rPr>
              <w:t>105,868.70</w:t>
            </w:r>
          </w:p>
        </w:tc>
        <w:tc>
          <w:tcPr>
            <w:tcW w:w="1338" w:type="dxa"/>
          </w:tcPr>
          <w:p>
            <w:pPr>
              <w:pStyle w:val="TableParagraph"/>
              <w:rPr>
                <w:rFonts w:ascii="Times New Roman"/>
                <w:sz w:val="12"/>
              </w:rPr>
            </w:pPr>
          </w:p>
        </w:tc>
        <w:tc>
          <w:tcPr>
            <w:tcW w:w="952" w:type="dxa"/>
          </w:tcPr>
          <w:p>
            <w:pPr>
              <w:pStyle w:val="TableParagraph"/>
              <w:spacing w:before="16"/>
              <w:ind w:left="161"/>
              <w:rPr>
                <w:b/>
                <w:sz w:val="13"/>
              </w:rPr>
            </w:pPr>
            <w:r>
              <w:rPr>
                <w:b/>
                <w:sz w:val="13"/>
              </w:rPr>
              <w:t>99,908.15</w:t>
            </w:r>
          </w:p>
        </w:tc>
        <w:tc>
          <w:tcPr>
            <w:tcW w:w="1749" w:type="dxa"/>
          </w:tcPr>
          <w:p>
            <w:pPr>
              <w:pStyle w:val="TableParagraph"/>
              <w:spacing w:before="16"/>
              <w:ind w:right="32"/>
              <w:jc w:val="right"/>
              <w:rPr>
                <w:b/>
                <w:sz w:val="13"/>
              </w:rPr>
            </w:pPr>
            <w:r>
              <w:rPr>
                <w:b/>
                <w:sz w:val="13"/>
              </w:rPr>
              <w:t>102,004.35</w:t>
            </w:r>
          </w:p>
        </w:tc>
      </w:tr>
      <w:tr>
        <w:trPr>
          <w:trHeight w:val="259" w:hRule="atLeast"/>
        </w:trPr>
        <w:tc>
          <w:tcPr>
            <w:tcW w:w="5335" w:type="dxa"/>
          </w:tcPr>
          <w:p>
            <w:pPr>
              <w:pStyle w:val="TableParagraph"/>
              <w:spacing w:line="130" w:lineRule="exact" w:before="109"/>
              <w:ind w:right="321"/>
              <w:jc w:val="right"/>
              <w:rPr>
                <w:sz w:val="13"/>
              </w:rPr>
            </w:pPr>
            <w:r>
              <w:rPr>
                <w:sz w:val="13"/>
              </w:rPr>
              <w:t>Status:</w:t>
            </w:r>
          </w:p>
        </w:tc>
        <w:tc>
          <w:tcPr>
            <w:tcW w:w="915" w:type="dxa"/>
          </w:tcPr>
          <w:p>
            <w:pPr>
              <w:pStyle w:val="TableParagraph"/>
              <w:spacing w:line="130" w:lineRule="exact" w:before="109"/>
              <w:ind w:right="119"/>
              <w:jc w:val="right"/>
              <w:rPr>
                <w:sz w:val="13"/>
              </w:rPr>
            </w:pPr>
            <w:r>
              <w:rPr>
                <w:sz w:val="13"/>
              </w:rPr>
              <w:t>Met</w:t>
            </w:r>
          </w:p>
        </w:tc>
        <w:tc>
          <w:tcPr>
            <w:tcW w:w="1012" w:type="dxa"/>
          </w:tcPr>
          <w:p>
            <w:pPr>
              <w:pStyle w:val="TableParagraph"/>
              <w:rPr>
                <w:rFonts w:ascii="Times New Roman"/>
                <w:sz w:val="12"/>
              </w:rPr>
            </w:pPr>
          </w:p>
        </w:tc>
        <w:tc>
          <w:tcPr>
            <w:tcW w:w="1338" w:type="dxa"/>
          </w:tcPr>
          <w:p>
            <w:pPr>
              <w:pStyle w:val="TableParagraph"/>
              <w:spacing w:line="130" w:lineRule="exact" w:before="109"/>
              <w:ind w:left="709" w:right="145"/>
              <w:jc w:val="center"/>
              <w:rPr>
                <w:sz w:val="13"/>
              </w:rPr>
            </w:pPr>
            <w:r>
              <w:rPr>
                <w:sz w:val="13"/>
              </w:rPr>
              <w:t>Met</w:t>
            </w:r>
          </w:p>
        </w:tc>
        <w:tc>
          <w:tcPr>
            <w:tcW w:w="952" w:type="dxa"/>
          </w:tcPr>
          <w:p>
            <w:pPr>
              <w:pStyle w:val="TableParagraph"/>
              <w:rPr>
                <w:rFonts w:ascii="Times New Roman"/>
                <w:sz w:val="12"/>
              </w:rPr>
            </w:pPr>
          </w:p>
        </w:tc>
        <w:tc>
          <w:tcPr>
            <w:tcW w:w="1749" w:type="dxa"/>
          </w:tcPr>
          <w:p>
            <w:pPr>
              <w:pStyle w:val="TableParagraph"/>
              <w:spacing w:line="130" w:lineRule="exact" w:before="109"/>
              <w:ind w:left="706" w:right="786"/>
              <w:jc w:val="center"/>
              <w:rPr>
                <w:sz w:val="13"/>
              </w:rPr>
            </w:pPr>
            <w:r>
              <w:rPr>
                <w:sz w:val="13"/>
              </w:rPr>
              <w:t>Met</w:t>
            </w:r>
          </w:p>
        </w:tc>
      </w:tr>
    </w:tbl>
    <w:p>
      <w:pPr>
        <w:pStyle w:val="BodyText"/>
        <w:spacing w:before="10"/>
        <w:rPr>
          <w:sz w:val="11"/>
        </w:rPr>
      </w:pPr>
      <w:r>
        <w:rPr/>
        <w:drawing>
          <wp:anchor distT="0" distB="0" distL="0" distR="0" allowOverlap="1" layoutInCell="1" locked="0" behindDoc="0" simplePos="0" relativeHeight="795">
            <wp:simplePos x="0" y="0"/>
            <wp:positionH relativeFrom="page">
              <wp:posOffset>208788</wp:posOffset>
            </wp:positionH>
            <wp:positionV relativeFrom="paragraph">
              <wp:posOffset>111810</wp:posOffset>
            </wp:positionV>
            <wp:extent cx="7203992" cy="13715"/>
            <wp:effectExtent l="0" t="0" r="0" b="0"/>
            <wp:wrapTopAndBottom/>
            <wp:docPr id="123" name="image1401.png"/>
            <wp:cNvGraphicFramePr>
              <a:graphicFrameLocks noChangeAspect="1"/>
            </wp:cNvGraphicFramePr>
            <a:graphic>
              <a:graphicData uri="http://schemas.openxmlformats.org/drawingml/2006/picture">
                <pic:pic>
                  <pic:nvPicPr>
                    <pic:cNvPr id="124" name="image1401.png"/>
                    <pic:cNvPicPr/>
                  </pic:nvPicPr>
                  <pic:blipFill>
                    <a:blip r:embed="rId1503" cstate="print"/>
                    <a:stretch>
                      <a:fillRect/>
                    </a:stretch>
                  </pic:blipFill>
                  <pic:spPr>
                    <a:xfrm>
                      <a:off x="0" y="0"/>
                      <a:ext cx="7203992" cy="13715"/>
                    </a:xfrm>
                    <a:prstGeom prst="rect">
                      <a:avLst/>
                    </a:prstGeom>
                  </pic:spPr>
                </pic:pic>
              </a:graphicData>
            </a:graphic>
          </wp:anchor>
        </w:drawing>
      </w:r>
    </w:p>
    <w:p>
      <w:pPr>
        <w:pStyle w:val="Heading8"/>
        <w:spacing w:line="152" w:lineRule="exact" w:before="0"/>
        <w:ind w:left="322"/>
      </w:pPr>
      <w:r>
        <w:rPr>
          <w:w w:val="105"/>
        </w:rPr>
        <w:t>10D. Comparison of District Reserve Amount to the Standard</w:t>
      </w:r>
    </w:p>
    <w:p>
      <w:pPr>
        <w:pStyle w:val="BodyText"/>
        <w:spacing w:line="21" w:lineRule="exact"/>
        <w:ind w:left="288"/>
        <w:rPr>
          <w:sz w:val="2"/>
        </w:rPr>
      </w:pPr>
      <w:r>
        <w:rPr/>
        <w:pict>
          <v:group style="position:absolute;margin-left:268.320007pt;margin-top:-223.680008pt;width:315.4pt;height:205.35pt;mso-position-horizontal-relative:page;mso-position-vertical-relative:paragraph;z-index:-313892864" coordorigin="5366,-4474" coordsize="6308,4107">
            <v:shape style="position:absolute;left:5366;top:-4474;width:6308;height:713" type="#_x0000_t75" stroked="false">
              <v:imagedata r:id="rId1713" o:title=""/>
            </v:shape>
            <v:shape style="position:absolute;left:5366;top:-3953;width:6308;height:562" type="#_x0000_t75" stroked="false">
              <v:imagedata r:id="rId1708" o:title=""/>
            </v:shape>
            <v:shape style="position:absolute;left:5366;top:-3584;width:6308;height:696" type="#_x0000_t75" stroked="false">
              <v:imagedata r:id="rId1714" o:title=""/>
            </v:shape>
            <v:shape style="position:absolute;left:5366;top:-3063;width:6308;height:881" type="#_x0000_t75" stroked="false">
              <v:imagedata r:id="rId1715" o:title=""/>
            </v:shape>
            <v:shape style="position:absolute;left:5366;top:-2357;width:6308;height:910" type="#_x0000_t75" stroked="false">
              <v:imagedata r:id="rId1716" o:title=""/>
            </v:shape>
            <v:shape style="position:absolute;left:5366;top:-1635;width:6308;height:528" type="#_x0000_t75" stroked="false">
              <v:imagedata r:id="rId1717" o:title=""/>
            </v:shape>
            <v:shape style="position:absolute;left:5366;top:-1282;width:6308;height:545" type="#_x0000_t75" stroked="false">
              <v:imagedata r:id="rId1718" o:title=""/>
            </v:shape>
            <v:shape style="position:absolute;left:5366;top:-929;width:6308;height:562" type="#_x0000_t75" stroked="false">
              <v:imagedata r:id="rId1719" o:title=""/>
            </v:shape>
            <v:shape style="position:absolute;left:7322;top:-560;width:2439;height:192" type="#_x0000_t75" stroked="false">
              <v:imagedata r:id="rId1720" o:title=""/>
            </v:shape>
            <v:shape style="position:absolute;left:9753;top:-560;width:1920;height:192" type="#_x0000_t75" stroked="false">
              <v:imagedata r:id="rId1518" o:title=""/>
            </v:shape>
            <w10:wrap type="none"/>
          </v:group>
        </w:pict>
      </w:r>
      <w:r>
        <w:rPr>
          <w:sz w:val="2"/>
        </w:rPr>
        <w:pict>
          <v:group style="width:567.25pt;height:1.1pt;mso-position-horizontal-relative:char;mso-position-vertical-relative:line" coordorigin="0,0" coordsize="11345,22">
            <v:shape style="position:absolute;left:0;top:0;width:4438;height:22" type="#_x0000_t75" stroked="false">
              <v:imagedata r:id="rId1509" o:title=""/>
            </v:shape>
            <v:shape style="position:absolute;left:4430;top:0;width:6915;height:22" type="#_x0000_t75" stroked="false">
              <v:imagedata r:id="rId1510" o:title=""/>
            </v:shape>
          </v:group>
        </w:pict>
      </w:r>
      <w:r>
        <w:rPr>
          <w:sz w:val="2"/>
        </w:rPr>
      </w:r>
    </w:p>
    <w:p>
      <w:pPr>
        <w:pStyle w:val="BodyText"/>
        <w:spacing w:before="2"/>
        <w:rPr>
          <w:b/>
          <w:sz w:val="12"/>
        </w:rPr>
      </w:pPr>
    </w:p>
    <w:p>
      <w:pPr>
        <w:pStyle w:val="BodyText"/>
        <w:spacing w:before="98"/>
        <w:ind w:left="322"/>
      </w:pPr>
      <w:r>
        <w:rPr/>
        <w:t>DATA ENTRY: Enter an explanation if the standard is not met.</w:t>
      </w:r>
    </w:p>
    <w:p>
      <w:pPr>
        <w:pStyle w:val="BodyText"/>
        <w:spacing w:before="4"/>
        <w:rPr>
          <w:sz w:val="16"/>
        </w:rPr>
      </w:pPr>
    </w:p>
    <w:p>
      <w:pPr>
        <w:pStyle w:val="BodyText"/>
        <w:ind w:left="451"/>
      </w:pPr>
      <w:r>
        <w:rPr/>
        <w:t>1a. STANDARD MET - Projected available reserves have met the standard for the budget and two subsequent fiscal years.</w:t>
      </w:r>
    </w:p>
    <w:p>
      <w:pPr>
        <w:pStyle w:val="BodyText"/>
        <w:rPr>
          <w:sz w:val="14"/>
        </w:rPr>
      </w:pPr>
    </w:p>
    <w:p>
      <w:pPr>
        <w:pStyle w:val="BodyText"/>
        <w:spacing w:before="7"/>
        <w:rPr>
          <w:sz w:val="20"/>
        </w:rPr>
      </w:pPr>
    </w:p>
    <w:p>
      <w:pPr>
        <w:spacing w:before="0"/>
        <w:ind w:left="0" w:right="8810" w:firstLine="0"/>
        <w:jc w:val="center"/>
        <w:rPr>
          <w:b/>
          <w:sz w:val="13"/>
        </w:rPr>
      </w:pPr>
      <w:r>
        <w:rPr/>
        <w:drawing>
          <wp:anchor distT="0" distB="0" distL="0" distR="0" allowOverlap="1" layoutInCell="1" locked="0" behindDoc="0" simplePos="0" relativeHeight="252475392">
            <wp:simplePos x="0" y="0"/>
            <wp:positionH relativeFrom="page">
              <wp:posOffset>1644395</wp:posOffset>
            </wp:positionH>
            <wp:positionV relativeFrom="paragraph">
              <wp:posOffset>-24676</wp:posOffset>
            </wp:positionV>
            <wp:extent cx="5768339" cy="486155"/>
            <wp:effectExtent l="0" t="0" r="0" b="0"/>
            <wp:wrapNone/>
            <wp:docPr id="125" name="image1420.png"/>
            <wp:cNvGraphicFramePr>
              <a:graphicFrameLocks noChangeAspect="1"/>
            </wp:cNvGraphicFramePr>
            <a:graphic>
              <a:graphicData uri="http://schemas.openxmlformats.org/drawingml/2006/picture">
                <pic:pic>
                  <pic:nvPicPr>
                    <pic:cNvPr id="126" name="image1420.png"/>
                    <pic:cNvPicPr/>
                  </pic:nvPicPr>
                  <pic:blipFill>
                    <a:blip r:embed="rId1522" cstate="print"/>
                    <a:stretch>
                      <a:fillRect/>
                    </a:stretch>
                  </pic:blipFill>
                  <pic:spPr>
                    <a:xfrm>
                      <a:off x="0" y="0"/>
                      <a:ext cx="5768339" cy="486155"/>
                    </a:xfrm>
                    <a:prstGeom prst="rect">
                      <a:avLst/>
                    </a:prstGeom>
                  </pic:spPr>
                </pic:pic>
              </a:graphicData>
            </a:graphic>
          </wp:anchor>
        </w:drawing>
      </w:r>
      <w:r>
        <w:rPr>
          <w:b/>
          <w:sz w:val="13"/>
        </w:rPr>
        <w:t>Explanation:</w:t>
      </w:r>
    </w:p>
    <w:p>
      <w:pPr>
        <w:pStyle w:val="BodyText"/>
        <w:spacing w:before="43"/>
        <w:ind w:right="8810"/>
        <w:jc w:val="center"/>
      </w:pPr>
      <w:r>
        <w:rPr/>
        <w:t>(required if NOT met)</w:t>
      </w:r>
    </w:p>
    <w:p>
      <w:pPr>
        <w:spacing w:after="0"/>
        <w:jc w:val="center"/>
        <w:sectPr>
          <w:pgSz w:w="12240" w:h="15840"/>
          <w:pgMar w:header="402" w:footer="584" w:top="840" w:bottom="780" w:left="40" w:right="40"/>
        </w:sectPr>
      </w:pPr>
    </w:p>
    <w:p>
      <w:pPr>
        <w:pStyle w:val="BodyText"/>
        <w:rPr>
          <w:sz w:val="20"/>
        </w:rPr>
      </w:pPr>
    </w:p>
    <w:p>
      <w:pPr>
        <w:pStyle w:val="BodyText"/>
        <w:rPr>
          <w:sz w:val="20"/>
        </w:rPr>
      </w:pPr>
    </w:p>
    <w:p>
      <w:pPr>
        <w:pStyle w:val="BodyText"/>
        <w:spacing w:before="2"/>
        <w:rPr>
          <w:sz w:val="15"/>
        </w:rPr>
      </w:pPr>
    </w:p>
    <w:p>
      <w:pPr>
        <w:pStyle w:val="BodyText"/>
        <w:spacing w:line="21" w:lineRule="exact"/>
        <w:ind w:left="288"/>
        <w:rPr>
          <w:sz w:val="2"/>
        </w:rPr>
      </w:pPr>
      <w:r>
        <w:rPr>
          <w:sz w:val="2"/>
        </w:rPr>
        <w:drawing>
          <wp:inline distT="0" distB="0" distL="0" distR="0">
            <wp:extent cx="7203952" cy="13716"/>
            <wp:effectExtent l="0" t="0" r="0" b="0"/>
            <wp:docPr id="127" name="image1401.png"/>
            <wp:cNvGraphicFramePr>
              <a:graphicFrameLocks noChangeAspect="1"/>
            </wp:cNvGraphicFramePr>
            <a:graphic>
              <a:graphicData uri="http://schemas.openxmlformats.org/drawingml/2006/picture">
                <pic:pic>
                  <pic:nvPicPr>
                    <pic:cNvPr id="128" name="image1401.png"/>
                    <pic:cNvPicPr/>
                  </pic:nvPicPr>
                  <pic:blipFill>
                    <a:blip r:embed="rId1503" cstate="print"/>
                    <a:stretch>
                      <a:fillRect/>
                    </a:stretch>
                  </pic:blipFill>
                  <pic:spPr>
                    <a:xfrm>
                      <a:off x="0" y="0"/>
                      <a:ext cx="7203952" cy="13716"/>
                    </a:xfrm>
                    <a:prstGeom prst="rect">
                      <a:avLst/>
                    </a:prstGeom>
                  </pic:spPr>
                </pic:pic>
              </a:graphicData>
            </a:graphic>
          </wp:inline>
        </w:drawing>
      </w:r>
      <w:r>
        <w:rPr>
          <w:sz w:val="2"/>
        </w:rPr>
      </w:r>
    </w:p>
    <w:p>
      <w:pPr>
        <w:pStyle w:val="Heading2"/>
        <w:spacing w:before="74"/>
      </w:pPr>
      <w:r>
        <w:rPr/>
        <w:t>SUPPLEMENTAL INFORMATION</w:t>
      </w:r>
    </w:p>
    <w:p>
      <w:pPr>
        <w:pStyle w:val="BodyText"/>
        <w:spacing w:line="21" w:lineRule="exact"/>
        <w:ind w:left="288"/>
        <w:rPr>
          <w:sz w:val="2"/>
        </w:rPr>
      </w:pPr>
      <w:r>
        <w:rPr>
          <w:sz w:val="2"/>
        </w:rPr>
        <w:pict>
          <v:group style="width:567.25pt;height:1.1pt;mso-position-horizontal-relative:char;mso-position-vertical-relative:line" coordorigin="0,0" coordsize="11345,22">
            <v:shape style="position:absolute;left:0;top:0;width:3003;height:22" type="#_x0000_t75" stroked="false">
              <v:imagedata r:id="rId1504" o:title=""/>
            </v:shape>
            <v:shape style="position:absolute;left:2995;top:0;width:8350;height:22" type="#_x0000_t75" stroked="false">
              <v:imagedata r:id="rId1505" o:title=""/>
            </v:shape>
          </v:group>
        </w:pict>
      </w:r>
      <w:r>
        <w:rPr>
          <w:sz w:val="2"/>
        </w:rPr>
      </w:r>
    </w:p>
    <w:p>
      <w:pPr>
        <w:pStyle w:val="BodyText"/>
        <w:rPr>
          <w:b/>
          <w:sz w:val="15"/>
        </w:rPr>
      </w:pPr>
    </w:p>
    <w:p>
      <w:pPr>
        <w:pStyle w:val="BodyText"/>
        <w:spacing w:before="97"/>
        <w:ind w:left="322"/>
      </w:pPr>
      <w:r>
        <w:rPr/>
        <w:t>DATA ENTRY: Click the appropriate Yes or No button for items S1 through S4. Enter an explanation for each Yes answer.</w:t>
      </w:r>
    </w:p>
    <w:p>
      <w:pPr>
        <w:pStyle w:val="BodyText"/>
        <w:spacing w:before="6"/>
        <w:rPr>
          <w:sz w:val="16"/>
        </w:rPr>
      </w:pPr>
    </w:p>
    <w:p>
      <w:pPr>
        <w:pStyle w:val="Heading4"/>
        <w:ind w:left="425" w:firstLine="0"/>
      </w:pPr>
      <w:r>
        <w:rPr/>
        <w:t>S1. Contingent Liabilities</w:t>
      </w:r>
    </w:p>
    <w:p>
      <w:pPr>
        <w:pStyle w:val="BodyText"/>
        <w:spacing w:before="6"/>
        <w:rPr>
          <w:b/>
          <w:sz w:val="16"/>
        </w:rPr>
      </w:pPr>
    </w:p>
    <w:p>
      <w:pPr>
        <w:pStyle w:val="BodyText"/>
        <w:spacing w:line="268" w:lineRule="auto"/>
        <w:ind w:left="821" w:right="5624" w:hanging="370"/>
      </w:pPr>
      <w:r>
        <w:rPr/>
        <w:pict>
          <v:group style="position:absolute;margin-left:396.480011pt;margin-top:-.983067pt;width:91.6pt;height:17.2pt;mso-position-horizontal-relative:page;mso-position-vertical-relative:paragraph;z-index:252482560" coordorigin="7930,-20" coordsize="1832,344">
            <v:shape style="position:absolute;left:7929;top:-20;width:1832;height:339" type="#_x0000_t75" stroked="false">
              <v:imagedata r:id="rId1721" o:title=""/>
            </v:shape>
            <v:shape style="position:absolute;left:7929;top:148;width:1832;height:176" type="#_x0000_t75" stroked="false">
              <v:imagedata r:id="rId1722" o:title=""/>
            </v:shape>
            <v:shape style="position:absolute;left:8762;top:170;width:190;height:148" type="#_x0000_t202" filled="false" stroked="false">
              <v:textbox inset="0,0,0,0">
                <w:txbxContent>
                  <w:p>
                    <w:pPr>
                      <w:spacing w:line="147" w:lineRule="exact" w:before="0"/>
                      <w:ind w:left="0" w:right="0" w:firstLine="0"/>
                      <w:jc w:val="left"/>
                      <w:rPr>
                        <w:sz w:val="13"/>
                      </w:rPr>
                    </w:pPr>
                    <w:r>
                      <w:rPr>
                        <w:sz w:val="13"/>
                      </w:rPr>
                      <w:t>No</w:t>
                    </w:r>
                  </w:p>
                </w:txbxContent>
              </v:textbox>
              <w10:wrap type="none"/>
            </v:shape>
            <w10:wrap type="none"/>
          </v:group>
        </w:pict>
      </w:r>
      <w:r>
        <w:rPr/>
        <w:t>1a. Does your district have any known or contingent liabilities (e.g., financial or program audits, litigation, state compliance reviews) that may impact the budget?</w:t>
      </w:r>
    </w:p>
    <w:p>
      <w:pPr>
        <w:pStyle w:val="BodyText"/>
        <w:spacing w:before="8"/>
        <w:rPr>
          <w:sz w:val="14"/>
        </w:rPr>
      </w:pPr>
    </w:p>
    <w:p>
      <w:pPr>
        <w:pStyle w:val="BodyText"/>
        <w:ind w:left="451"/>
      </w:pPr>
      <w:r>
        <w:rPr/>
        <w:t>1b. If Yes, identify the liabilities and how they may impact the budget:</w:t>
      </w:r>
    </w:p>
    <w:p>
      <w:pPr>
        <w:pStyle w:val="BodyText"/>
        <w:spacing w:before="1"/>
        <w:rPr>
          <w:sz w:val="11"/>
        </w:rPr>
      </w:pPr>
      <w:r>
        <w:rPr/>
        <w:drawing>
          <wp:anchor distT="0" distB="0" distL="0" distR="0" allowOverlap="1" layoutInCell="1" locked="0" behindDoc="0" simplePos="0" relativeHeight="800">
            <wp:simplePos x="0" y="0"/>
            <wp:positionH relativeFrom="page">
              <wp:posOffset>1644395</wp:posOffset>
            </wp:positionH>
            <wp:positionV relativeFrom="paragraph">
              <wp:posOffset>106150</wp:posOffset>
            </wp:positionV>
            <wp:extent cx="5768339" cy="653796"/>
            <wp:effectExtent l="0" t="0" r="0" b="0"/>
            <wp:wrapTopAndBottom/>
            <wp:docPr id="129" name="image1617.png"/>
            <wp:cNvGraphicFramePr>
              <a:graphicFrameLocks noChangeAspect="1"/>
            </wp:cNvGraphicFramePr>
            <a:graphic>
              <a:graphicData uri="http://schemas.openxmlformats.org/drawingml/2006/picture">
                <pic:pic>
                  <pic:nvPicPr>
                    <pic:cNvPr id="130" name="image1617.png"/>
                    <pic:cNvPicPr/>
                  </pic:nvPicPr>
                  <pic:blipFill>
                    <a:blip r:embed="rId1723" cstate="print"/>
                    <a:stretch>
                      <a:fillRect/>
                    </a:stretch>
                  </pic:blipFill>
                  <pic:spPr>
                    <a:xfrm>
                      <a:off x="0" y="0"/>
                      <a:ext cx="5768339" cy="653796"/>
                    </a:xfrm>
                    <a:prstGeom prst="rect">
                      <a:avLst/>
                    </a:prstGeom>
                  </pic:spPr>
                </pic:pic>
              </a:graphicData>
            </a:graphic>
          </wp:anchor>
        </w:drawing>
      </w:r>
    </w:p>
    <w:p>
      <w:pPr>
        <w:pStyle w:val="BodyText"/>
        <w:spacing w:before="5"/>
      </w:pPr>
    </w:p>
    <w:p>
      <w:pPr>
        <w:pStyle w:val="Heading4"/>
        <w:ind w:left="425" w:firstLine="0"/>
      </w:pPr>
      <w:r>
        <w:rPr/>
        <w:t>S2. Use of One-time Revenues for Ongoing Expenditures</w:t>
      </w:r>
    </w:p>
    <w:p>
      <w:pPr>
        <w:pStyle w:val="BodyText"/>
        <w:spacing w:before="5"/>
        <w:rPr>
          <w:b/>
          <w:sz w:val="16"/>
        </w:rPr>
      </w:pPr>
    </w:p>
    <w:p>
      <w:pPr>
        <w:pStyle w:val="BodyText"/>
        <w:spacing w:line="268" w:lineRule="auto" w:before="1"/>
        <w:ind w:left="821" w:right="5624" w:hanging="370"/>
      </w:pPr>
      <w:r>
        <w:rPr/>
        <w:pict>
          <v:group style="position:absolute;margin-left:396.480011pt;margin-top:-.933055pt;width:91.6pt;height:17.2pt;mso-position-horizontal-relative:page;mso-position-vertical-relative:paragraph;z-index:252484608" coordorigin="7930,-19" coordsize="1832,344">
            <v:shape style="position:absolute;left:7929;top:-19;width:1832;height:344" type="#_x0000_t75" stroked="false">
              <v:imagedata r:id="rId1724" o:title=""/>
            </v:shape>
            <v:shape style="position:absolute;left:8762;top:171;width:190;height:148" type="#_x0000_t202" filled="false" stroked="false">
              <v:textbox inset="0,0,0,0">
                <w:txbxContent>
                  <w:p>
                    <w:pPr>
                      <w:spacing w:line="147" w:lineRule="exact" w:before="0"/>
                      <w:ind w:left="0" w:right="0" w:firstLine="0"/>
                      <w:jc w:val="left"/>
                      <w:rPr>
                        <w:sz w:val="13"/>
                      </w:rPr>
                    </w:pPr>
                    <w:r>
                      <w:rPr>
                        <w:sz w:val="13"/>
                      </w:rPr>
                      <w:t>No</w:t>
                    </w:r>
                  </w:p>
                </w:txbxContent>
              </v:textbox>
              <w10:wrap type="none"/>
            </v:shape>
            <w10:wrap type="none"/>
          </v:group>
        </w:pict>
      </w:r>
      <w:r>
        <w:rPr/>
        <w:t>1a.  Does your district have ongoing general fund expenditures in the budget in excess of one percent of  the total general fund expenditures that are funded with one-time</w:t>
      </w:r>
      <w:r>
        <w:rPr>
          <w:spacing w:val="5"/>
        </w:rPr>
        <w:t> </w:t>
      </w:r>
      <w:r>
        <w:rPr/>
        <w:t>resources?</w:t>
      </w:r>
    </w:p>
    <w:p>
      <w:pPr>
        <w:pStyle w:val="BodyText"/>
        <w:spacing w:before="5"/>
      </w:pPr>
    </w:p>
    <w:p>
      <w:pPr>
        <w:pStyle w:val="BodyText"/>
        <w:ind w:left="451"/>
      </w:pPr>
      <w:r>
        <w:rPr/>
        <w:drawing>
          <wp:anchor distT="0" distB="0" distL="0" distR="0" allowOverlap="1" layoutInCell="1" locked="0" behindDoc="1" simplePos="0" relativeHeight="189434880">
            <wp:simplePos x="0" y="0"/>
            <wp:positionH relativeFrom="page">
              <wp:posOffset>5035296</wp:posOffset>
            </wp:positionH>
            <wp:positionV relativeFrom="paragraph">
              <wp:posOffset>1215859</wp:posOffset>
            </wp:positionV>
            <wp:extent cx="1162813" cy="245363"/>
            <wp:effectExtent l="0" t="0" r="0" b="0"/>
            <wp:wrapNone/>
            <wp:docPr id="131" name="image1619.png"/>
            <wp:cNvGraphicFramePr>
              <a:graphicFrameLocks noChangeAspect="1"/>
            </wp:cNvGraphicFramePr>
            <a:graphic>
              <a:graphicData uri="http://schemas.openxmlformats.org/drawingml/2006/picture">
                <pic:pic>
                  <pic:nvPicPr>
                    <pic:cNvPr id="132" name="image1619.png"/>
                    <pic:cNvPicPr/>
                  </pic:nvPicPr>
                  <pic:blipFill>
                    <a:blip r:embed="rId1725" cstate="print"/>
                    <a:stretch>
                      <a:fillRect/>
                    </a:stretch>
                  </pic:blipFill>
                  <pic:spPr>
                    <a:xfrm>
                      <a:off x="0" y="0"/>
                      <a:ext cx="1162813" cy="245363"/>
                    </a:xfrm>
                    <a:prstGeom prst="rect">
                      <a:avLst/>
                    </a:prstGeom>
                  </pic:spPr>
                </pic:pic>
              </a:graphicData>
            </a:graphic>
          </wp:anchor>
        </w:drawing>
      </w:r>
      <w:r>
        <w:rPr/>
        <w:t>1b. If Yes, identify the expenditures and explain how the one-time resources will be replaced to continue funding the ongoing expenditures in the following fiscal years:</w:t>
      </w:r>
    </w:p>
    <w:p>
      <w:pPr>
        <w:pStyle w:val="BodyText"/>
        <w:spacing w:before="9"/>
      </w:pPr>
      <w:r>
        <w:rPr/>
        <w:drawing>
          <wp:anchor distT="0" distB="0" distL="0" distR="0" allowOverlap="1" layoutInCell="1" locked="0" behindDoc="0" simplePos="0" relativeHeight="801">
            <wp:simplePos x="0" y="0"/>
            <wp:positionH relativeFrom="page">
              <wp:posOffset>1644395</wp:posOffset>
            </wp:positionH>
            <wp:positionV relativeFrom="paragraph">
              <wp:posOffset>125804</wp:posOffset>
            </wp:positionV>
            <wp:extent cx="5768338" cy="653796"/>
            <wp:effectExtent l="0" t="0" r="0" b="0"/>
            <wp:wrapTopAndBottom/>
            <wp:docPr id="133" name="image1617.png"/>
            <wp:cNvGraphicFramePr>
              <a:graphicFrameLocks noChangeAspect="1"/>
            </wp:cNvGraphicFramePr>
            <a:graphic>
              <a:graphicData uri="http://schemas.openxmlformats.org/drawingml/2006/picture">
                <pic:pic>
                  <pic:nvPicPr>
                    <pic:cNvPr id="134" name="image1617.png"/>
                    <pic:cNvPicPr/>
                  </pic:nvPicPr>
                  <pic:blipFill>
                    <a:blip r:embed="rId1723" cstate="print"/>
                    <a:stretch>
                      <a:fillRect/>
                    </a:stretch>
                  </pic:blipFill>
                  <pic:spPr>
                    <a:xfrm>
                      <a:off x="0" y="0"/>
                      <a:ext cx="5768338" cy="653796"/>
                    </a:xfrm>
                    <a:prstGeom prst="rect">
                      <a:avLst/>
                    </a:prstGeom>
                  </pic:spPr>
                </pic:pic>
              </a:graphicData>
            </a:graphic>
          </wp:anchor>
        </w:drawing>
      </w:r>
    </w:p>
    <w:p>
      <w:pPr>
        <w:pStyle w:val="BodyText"/>
        <w:rPr>
          <w:sz w:val="14"/>
        </w:rPr>
      </w:pPr>
    </w:p>
    <w:tbl>
      <w:tblPr>
        <w:tblW w:w="0" w:type="auto"/>
        <w:jc w:val="left"/>
        <w:tblInd w:w="3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0"/>
        <w:gridCol w:w="6911"/>
        <w:gridCol w:w="1271"/>
      </w:tblGrid>
      <w:tr>
        <w:trPr>
          <w:trHeight w:val="283" w:hRule="atLeast"/>
        </w:trPr>
        <w:tc>
          <w:tcPr>
            <w:tcW w:w="350" w:type="dxa"/>
          </w:tcPr>
          <w:p>
            <w:pPr>
              <w:pStyle w:val="TableParagraph"/>
              <w:spacing w:line="177" w:lineRule="exact"/>
              <w:ind w:left="33"/>
              <w:rPr>
                <w:b/>
                <w:sz w:val="16"/>
              </w:rPr>
            </w:pPr>
            <w:r>
              <w:rPr>
                <w:b/>
                <w:sz w:val="16"/>
              </w:rPr>
              <w:t>S3.</w:t>
            </w:r>
          </w:p>
        </w:tc>
        <w:tc>
          <w:tcPr>
            <w:tcW w:w="6911" w:type="dxa"/>
          </w:tcPr>
          <w:p>
            <w:pPr>
              <w:pStyle w:val="TableParagraph"/>
              <w:spacing w:line="177" w:lineRule="exact"/>
              <w:ind w:left="79"/>
              <w:rPr>
                <w:b/>
                <w:sz w:val="16"/>
              </w:rPr>
            </w:pPr>
            <w:r>
              <w:rPr>
                <w:b/>
                <w:sz w:val="16"/>
              </w:rPr>
              <w:t>Use of Ongoing Revenues for One-time Expenditures</w:t>
            </w:r>
          </w:p>
        </w:tc>
        <w:tc>
          <w:tcPr>
            <w:tcW w:w="1271" w:type="dxa"/>
          </w:tcPr>
          <w:p>
            <w:pPr>
              <w:pStyle w:val="TableParagraph"/>
              <w:rPr>
                <w:rFonts w:ascii="Times New Roman"/>
                <w:sz w:val="12"/>
              </w:rPr>
            </w:pPr>
          </w:p>
        </w:tc>
      </w:tr>
      <w:tr>
        <w:trPr>
          <w:trHeight w:val="538" w:hRule="atLeast"/>
        </w:trPr>
        <w:tc>
          <w:tcPr>
            <w:tcW w:w="350" w:type="dxa"/>
          </w:tcPr>
          <w:p>
            <w:pPr>
              <w:pStyle w:val="TableParagraph"/>
              <w:spacing w:before="104"/>
              <w:ind w:left="60"/>
              <w:rPr>
                <w:sz w:val="13"/>
              </w:rPr>
            </w:pPr>
            <w:r>
              <w:rPr>
                <w:sz w:val="13"/>
              </w:rPr>
              <w:t>1a.</w:t>
            </w:r>
          </w:p>
        </w:tc>
        <w:tc>
          <w:tcPr>
            <w:tcW w:w="6911" w:type="dxa"/>
          </w:tcPr>
          <w:p>
            <w:pPr>
              <w:pStyle w:val="TableParagraph"/>
              <w:spacing w:line="304" w:lineRule="auto" w:before="104"/>
              <w:ind w:left="79" w:right="745"/>
              <w:rPr>
                <w:sz w:val="13"/>
              </w:rPr>
            </w:pPr>
            <w:r>
              <w:rPr>
                <w:sz w:val="13"/>
              </w:rPr>
              <w:t>Does your district have large non-recurring general fund expenditures that are funded with ongoing general fund revenues?</w:t>
            </w:r>
          </w:p>
        </w:tc>
        <w:tc>
          <w:tcPr>
            <w:tcW w:w="1271" w:type="dxa"/>
          </w:tcPr>
          <w:p>
            <w:pPr>
              <w:pStyle w:val="TableParagraph"/>
              <w:rPr>
                <w:sz w:val="14"/>
              </w:rPr>
            </w:pPr>
          </w:p>
          <w:p>
            <w:pPr>
              <w:pStyle w:val="TableParagraph"/>
              <w:spacing w:before="6"/>
              <w:rPr>
                <w:sz w:val="11"/>
              </w:rPr>
            </w:pPr>
          </w:p>
          <w:p>
            <w:pPr>
              <w:pStyle w:val="TableParagraph"/>
              <w:ind w:right="30"/>
              <w:jc w:val="right"/>
              <w:rPr>
                <w:sz w:val="13"/>
              </w:rPr>
            </w:pPr>
            <w:r>
              <w:rPr>
                <w:sz w:val="13"/>
              </w:rPr>
              <w:t>No</w:t>
            </w:r>
          </w:p>
        </w:tc>
      </w:tr>
      <w:tr>
        <w:trPr>
          <w:trHeight w:val="241" w:hRule="atLeast"/>
        </w:trPr>
        <w:tc>
          <w:tcPr>
            <w:tcW w:w="350" w:type="dxa"/>
          </w:tcPr>
          <w:p>
            <w:pPr>
              <w:pStyle w:val="TableParagraph"/>
              <w:spacing w:line="130" w:lineRule="exact" w:before="91"/>
              <w:ind w:left="60"/>
              <w:rPr>
                <w:sz w:val="13"/>
              </w:rPr>
            </w:pPr>
            <w:r>
              <w:rPr>
                <w:sz w:val="13"/>
              </w:rPr>
              <w:t>1b.</w:t>
            </w:r>
          </w:p>
        </w:tc>
        <w:tc>
          <w:tcPr>
            <w:tcW w:w="6911" w:type="dxa"/>
          </w:tcPr>
          <w:p>
            <w:pPr>
              <w:pStyle w:val="TableParagraph"/>
              <w:spacing w:line="130" w:lineRule="exact" w:before="91"/>
              <w:ind w:left="79"/>
              <w:rPr>
                <w:sz w:val="13"/>
              </w:rPr>
            </w:pPr>
            <w:r>
              <w:rPr>
                <w:sz w:val="13"/>
              </w:rPr>
              <w:t>If Yes, identify the expenditures:</w:t>
            </w:r>
          </w:p>
        </w:tc>
        <w:tc>
          <w:tcPr>
            <w:tcW w:w="1271" w:type="dxa"/>
          </w:tcPr>
          <w:p>
            <w:pPr>
              <w:pStyle w:val="TableParagraph"/>
              <w:rPr>
                <w:rFonts w:ascii="Times New Roman"/>
                <w:sz w:val="12"/>
              </w:rPr>
            </w:pPr>
          </w:p>
        </w:tc>
      </w:tr>
    </w:tbl>
    <w:p>
      <w:pPr>
        <w:pStyle w:val="BodyText"/>
        <w:spacing w:before="1"/>
        <w:rPr>
          <w:sz w:val="11"/>
        </w:rPr>
      </w:pPr>
      <w:r>
        <w:rPr/>
        <w:drawing>
          <wp:anchor distT="0" distB="0" distL="0" distR="0" allowOverlap="1" layoutInCell="1" locked="0" behindDoc="0" simplePos="0" relativeHeight="802">
            <wp:simplePos x="0" y="0"/>
            <wp:positionH relativeFrom="page">
              <wp:posOffset>1644395</wp:posOffset>
            </wp:positionH>
            <wp:positionV relativeFrom="paragraph">
              <wp:posOffset>105715</wp:posOffset>
            </wp:positionV>
            <wp:extent cx="5768343" cy="653796"/>
            <wp:effectExtent l="0" t="0" r="0" b="0"/>
            <wp:wrapTopAndBottom/>
            <wp:docPr id="135" name="image1617.png"/>
            <wp:cNvGraphicFramePr>
              <a:graphicFrameLocks noChangeAspect="1"/>
            </wp:cNvGraphicFramePr>
            <a:graphic>
              <a:graphicData uri="http://schemas.openxmlformats.org/drawingml/2006/picture">
                <pic:pic>
                  <pic:nvPicPr>
                    <pic:cNvPr id="136" name="image1617.png"/>
                    <pic:cNvPicPr/>
                  </pic:nvPicPr>
                  <pic:blipFill>
                    <a:blip r:embed="rId1723" cstate="print"/>
                    <a:stretch>
                      <a:fillRect/>
                    </a:stretch>
                  </pic:blipFill>
                  <pic:spPr>
                    <a:xfrm>
                      <a:off x="0" y="0"/>
                      <a:ext cx="5768343" cy="653796"/>
                    </a:xfrm>
                    <a:prstGeom prst="rect">
                      <a:avLst/>
                    </a:prstGeom>
                  </pic:spPr>
                </pic:pic>
              </a:graphicData>
            </a:graphic>
          </wp:anchor>
        </w:drawing>
      </w:r>
    </w:p>
    <w:p>
      <w:pPr>
        <w:pStyle w:val="BodyText"/>
        <w:spacing w:before="5"/>
      </w:pPr>
    </w:p>
    <w:p>
      <w:pPr>
        <w:pStyle w:val="Heading4"/>
        <w:ind w:left="425" w:firstLine="0"/>
      </w:pPr>
      <w:r>
        <w:rPr/>
        <w:t>S4. Contingent Revenues</w:t>
      </w:r>
    </w:p>
    <w:p>
      <w:pPr>
        <w:pStyle w:val="BodyText"/>
        <w:spacing w:before="5"/>
        <w:rPr>
          <w:b/>
          <w:sz w:val="16"/>
        </w:rPr>
      </w:pPr>
    </w:p>
    <w:p>
      <w:pPr>
        <w:pStyle w:val="BodyText"/>
        <w:spacing w:line="268" w:lineRule="auto" w:before="1"/>
        <w:ind w:left="821" w:right="5109" w:hanging="370"/>
      </w:pPr>
      <w:r>
        <w:rPr/>
        <w:pict>
          <v:group style="position:absolute;margin-left:396.480011pt;margin-top:7.466916pt;width:91.6pt;height:17.2pt;mso-position-horizontal-relative:page;mso-position-vertical-relative:paragraph;z-index:252487680" coordorigin="7930,149" coordsize="1832,344">
            <v:shape style="position:absolute;left:7929;top:149;width:1832;height:344" type="#_x0000_t75" stroked="false">
              <v:imagedata r:id="rId1724" o:title=""/>
            </v:shape>
            <v:shape style="position:absolute;left:8762;top:339;width:190;height:148" type="#_x0000_t202" filled="false" stroked="false">
              <v:textbox inset="0,0,0,0">
                <w:txbxContent>
                  <w:p>
                    <w:pPr>
                      <w:spacing w:line="147" w:lineRule="exact" w:before="0"/>
                      <w:ind w:left="0" w:right="0" w:firstLine="0"/>
                      <w:jc w:val="left"/>
                      <w:rPr>
                        <w:sz w:val="13"/>
                      </w:rPr>
                    </w:pPr>
                    <w:r>
                      <w:rPr>
                        <w:sz w:val="13"/>
                      </w:rPr>
                      <w:t>No</w:t>
                    </w:r>
                  </w:p>
                </w:txbxContent>
              </v:textbox>
              <w10:wrap type="none"/>
            </v:shape>
            <w10:wrap type="none"/>
          </v:group>
        </w:pict>
      </w:r>
      <w:r>
        <w:rPr/>
        <w:t>1a. Does your district have projected revenues for the budget year or either of the two subsequent fiscal years contingent on reauthorization by the local government, special legislation, or other definitive act</w:t>
      </w:r>
    </w:p>
    <w:p>
      <w:pPr>
        <w:pStyle w:val="BodyText"/>
        <w:spacing w:before="1"/>
        <w:ind w:left="821"/>
      </w:pPr>
      <w:r>
        <w:rPr/>
        <w:t>(e.g., parcel taxes, forest reserves)?</w:t>
      </w:r>
    </w:p>
    <w:p>
      <w:pPr>
        <w:pStyle w:val="BodyText"/>
        <w:spacing w:before="11"/>
        <w:rPr>
          <w:sz w:val="22"/>
        </w:rPr>
      </w:pPr>
    </w:p>
    <w:p>
      <w:pPr>
        <w:pStyle w:val="BodyText"/>
        <w:spacing w:before="97"/>
        <w:ind w:left="451"/>
      </w:pPr>
      <w:r>
        <w:rPr/>
        <w:t>1b. If Yes, identify any of these revenues that are dedicated for ongoing expenses and explain how the revenues will be replaced or expenditures reduced:</w:t>
      </w:r>
    </w:p>
    <w:p>
      <w:pPr>
        <w:pStyle w:val="BodyText"/>
        <w:spacing w:before="2"/>
        <w:rPr>
          <w:sz w:val="11"/>
        </w:rPr>
      </w:pPr>
      <w:r>
        <w:rPr/>
        <w:drawing>
          <wp:anchor distT="0" distB="0" distL="0" distR="0" allowOverlap="1" layoutInCell="1" locked="0" behindDoc="0" simplePos="0" relativeHeight="803">
            <wp:simplePos x="0" y="0"/>
            <wp:positionH relativeFrom="page">
              <wp:posOffset>1644395</wp:posOffset>
            </wp:positionH>
            <wp:positionV relativeFrom="paragraph">
              <wp:posOffset>106387</wp:posOffset>
            </wp:positionV>
            <wp:extent cx="5768338" cy="653795"/>
            <wp:effectExtent l="0" t="0" r="0" b="0"/>
            <wp:wrapTopAndBottom/>
            <wp:docPr id="137" name="image1617.png"/>
            <wp:cNvGraphicFramePr>
              <a:graphicFrameLocks noChangeAspect="1"/>
            </wp:cNvGraphicFramePr>
            <a:graphic>
              <a:graphicData uri="http://schemas.openxmlformats.org/drawingml/2006/picture">
                <pic:pic>
                  <pic:nvPicPr>
                    <pic:cNvPr id="138" name="image1617.png"/>
                    <pic:cNvPicPr/>
                  </pic:nvPicPr>
                  <pic:blipFill>
                    <a:blip r:embed="rId1723" cstate="print"/>
                    <a:stretch>
                      <a:fillRect/>
                    </a:stretch>
                  </pic:blipFill>
                  <pic:spPr>
                    <a:xfrm>
                      <a:off x="0" y="0"/>
                      <a:ext cx="5768338" cy="653795"/>
                    </a:xfrm>
                    <a:prstGeom prst="rect">
                      <a:avLst/>
                    </a:prstGeom>
                  </pic:spPr>
                </pic:pic>
              </a:graphicData>
            </a:graphic>
          </wp:anchor>
        </w:drawing>
      </w:r>
    </w:p>
    <w:p>
      <w:pPr>
        <w:spacing w:after="0"/>
        <w:rPr>
          <w:sz w:val="11"/>
        </w:rPr>
        <w:sectPr>
          <w:pgSz w:w="12240" w:h="15840"/>
          <w:pgMar w:header="402" w:footer="584" w:top="840" w:bottom="780" w:left="40" w:right="40"/>
        </w:sectPr>
      </w:pPr>
    </w:p>
    <w:p>
      <w:pPr>
        <w:pStyle w:val="BodyText"/>
        <w:rPr>
          <w:sz w:val="20"/>
        </w:rPr>
      </w:pPr>
    </w:p>
    <w:p>
      <w:pPr>
        <w:pStyle w:val="BodyText"/>
        <w:spacing w:before="7"/>
        <w:rPr>
          <w:sz w:val="29"/>
        </w:rPr>
      </w:pPr>
    </w:p>
    <w:p>
      <w:pPr>
        <w:pStyle w:val="Heading4"/>
        <w:spacing w:before="94"/>
        <w:ind w:left="425" w:firstLine="0"/>
      </w:pPr>
      <w:r>
        <w:rPr/>
        <w:t>S5. Contributions</w:t>
      </w:r>
    </w:p>
    <w:p>
      <w:pPr>
        <w:pStyle w:val="BodyText"/>
        <w:spacing w:before="6"/>
        <w:rPr>
          <w:b/>
          <w:sz w:val="18"/>
        </w:rPr>
      </w:pPr>
    </w:p>
    <w:p>
      <w:pPr>
        <w:pStyle w:val="BodyText"/>
        <w:ind w:left="821" w:right="738"/>
      </w:pPr>
      <w:r>
        <w:rPr/>
        <w:t>Identify projected contributions from unrestricted resources in the general fund to restricted resources in the general fund for the budget year and two subsequent fiscal years. Provide   an explanation if contributions have changed from the prior fiscal year amounts by more than $20,000 and more than ten percent. Explanation should include whether contributions are ongoing or one-time in</w:t>
      </w:r>
      <w:r>
        <w:rPr>
          <w:spacing w:val="-2"/>
        </w:rPr>
        <w:t> </w:t>
      </w:r>
      <w:r>
        <w:rPr/>
        <w:t>nature.</w:t>
      </w:r>
    </w:p>
    <w:p>
      <w:pPr>
        <w:pStyle w:val="BodyText"/>
        <w:spacing w:before="7"/>
        <w:rPr>
          <w:sz w:val="18"/>
        </w:rPr>
      </w:pPr>
    </w:p>
    <w:p>
      <w:pPr>
        <w:pStyle w:val="BodyText"/>
        <w:ind w:left="821" w:right="738"/>
      </w:pPr>
      <w:r>
        <w:rPr/>
        <w:t>Identify projected transfers to or from the general fund to cover operating deficits in either the general fund or any other fund for the budget year and two subsequent fiscal years.    Provide an explanation if transfers have changed from the prior fiscal year amounts by more than $20,000 and more than ten percent. Explanation should include whether transfers are ongoing or one-time in</w:t>
      </w:r>
      <w:r>
        <w:rPr>
          <w:spacing w:val="-2"/>
        </w:rPr>
        <w:t> </w:t>
      </w:r>
      <w:r>
        <w:rPr/>
        <w:t>nature.</w:t>
      </w:r>
    </w:p>
    <w:p>
      <w:pPr>
        <w:pStyle w:val="BodyText"/>
        <w:spacing w:before="6"/>
        <w:rPr>
          <w:sz w:val="16"/>
        </w:rPr>
      </w:pPr>
    </w:p>
    <w:p>
      <w:pPr>
        <w:pStyle w:val="BodyText"/>
        <w:ind w:left="821"/>
      </w:pPr>
      <w:r>
        <w:rPr/>
        <w:pict>
          <v:group style="position:absolute;margin-left:366.119995pt;margin-top:15.816936pt;width:121.95pt;height:17.4pt;mso-position-horizontal-relative:page;mso-position-vertical-relative:paragraph;z-index:252494848" coordorigin="7322,316" coordsize="2439,348">
            <v:shape style="position:absolute;left:7322;top:316;width:2439;height:348" type="#_x0000_t75" stroked="false">
              <v:imagedata r:id="rId1726" o:title=""/>
            </v:shape>
            <v:shape style="position:absolute;left:7322;top:316;width:2439;height:348" type="#_x0000_t202" filled="false" stroked="false">
              <v:textbox inset="0,0,0,0">
                <w:txbxContent>
                  <w:p>
                    <w:pPr>
                      <w:spacing w:before="36"/>
                      <w:ind w:left="494" w:right="478" w:firstLine="0"/>
                      <w:jc w:val="center"/>
                      <w:rPr>
                        <w:b/>
                        <w:sz w:val="13"/>
                      </w:rPr>
                    </w:pPr>
                    <w:r>
                      <w:rPr>
                        <w:b/>
                        <w:sz w:val="13"/>
                      </w:rPr>
                      <w:t>-10.0% to +10.0%</w:t>
                    </w:r>
                  </w:p>
                  <w:p>
                    <w:pPr>
                      <w:spacing w:before="4"/>
                      <w:ind w:left="494" w:right="483" w:firstLine="0"/>
                      <w:jc w:val="center"/>
                      <w:rPr>
                        <w:b/>
                        <w:sz w:val="13"/>
                      </w:rPr>
                    </w:pPr>
                    <w:r>
                      <w:rPr>
                        <w:b/>
                        <w:sz w:val="13"/>
                      </w:rPr>
                      <w:t>or -$20,000 to +$20,000</w:t>
                    </w:r>
                  </w:p>
                </w:txbxContent>
              </v:textbox>
              <w10:wrap type="none"/>
            </v:shape>
            <w10:wrap type="none"/>
          </v:group>
        </w:pict>
      </w:r>
      <w:r>
        <w:rPr/>
        <w:t>Estimate the impact of any capital projects on the general fund operational budget.</w:t>
      </w:r>
    </w:p>
    <w:p>
      <w:pPr>
        <w:pStyle w:val="BodyText"/>
        <w:rPr>
          <w:sz w:val="14"/>
        </w:rPr>
      </w:pPr>
    </w:p>
    <w:p>
      <w:pPr>
        <w:pStyle w:val="BodyText"/>
        <w:spacing w:before="1"/>
        <w:rPr>
          <w:sz w:val="17"/>
        </w:rPr>
      </w:pPr>
    </w:p>
    <w:p>
      <w:pPr>
        <w:spacing w:before="0"/>
        <w:ind w:left="0" w:right="682" w:firstLine="0"/>
        <w:jc w:val="center"/>
        <w:rPr>
          <w:b/>
          <w:sz w:val="13"/>
        </w:rPr>
      </w:pPr>
      <w:r>
        <w:rPr>
          <w:b/>
          <w:sz w:val="13"/>
        </w:rPr>
        <w:t>District's Contributions and Transfers Standard:</w:t>
      </w:r>
    </w:p>
    <w:p>
      <w:pPr>
        <w:pStyle w:val="BodyText"/>
        <w:spacing w:before="8"/>
        <w:rPr>
          <w:b/>
          <w:sz w:val="10"/>
        </w:rPr>
      </w:pPr>
      <w:r>
        <w:rPr/>
        <w:drawing>
          <wp:anchor distT="0" distB="0" distL="0" distR="0" allowOverlap="1" layoutInCell="1" locked="0" behindDoc="0" simplePos="0" relativeHeight="811">
            <wp:simplePos x="0" y="0"/>
            <wp:positionH relativeFrom="page">
              <wp:posOffset>208788</wp:posOffset>
            </wp:positionH>
            <wp:positionV relativeFrom="paragraph">
              <wp:posOffset>102950</wp:posOffset>
            </wp:positionV>
            <wp:extent cx="7203992" cy="13716"/>
            <wp:effectExtent l="0" t="0" r="0" b="0"/>
            <wp:wrapTopAndBottom/>
            <wp:docPr id="139" name="image1401.png"/>
            <wp:cNvGraphicFramePr>
              <a:graphicFrameLocks noChangeAspect="1"/>
            </wp:cNvGraphicFramePr>
            <a:graphic>
              <a:graphicData uri="http://schemas.openxmlformats.org/drawingml/2006/picture">
                <pic:pic>
                  <pic:nvPicPr>
                    <pic:cNvPr id="140" name="image1401.png"/>
                    <pic:cNvPicPr/>
                  </pic:nvPicPr>
                  <pic:blipFill>
                    <a:blip r:embed="rId1503" cstate="print"/>
                    <a:stretch>
                      <a:fillRect/>
                    </a:stretch>
                  </pic:blipFill>
                  <pic:spPr>
                    <a:xfrm>
                      <a:off x="0" y="0"/>
                      <a:ext cx="7203992" cy="13716"/>
                    </a:xfrm>
                    <a:prstGeom prst="rect">
                      <a:avLst/>
                    </a:prstGeom>
                  </pic:spPr>
                </pic:pic>
              </a:graphicData>
            </a:graphic>
          </wp:anchor>
        </w:drawing>
      </w:r>
    </w:p>
    <w:p>
      <w:pPr>
        <w:spacing w:before="12"/>
        <w:ind w:left="322" w:right="0" w:firstLine="0"/>
        <w:jc w:val="left"/>
        <w:rPr>
          <w:b/>
          <w:sz w:val="14"/>
        </w:rPr>
      </w:pPr>
      <w:r>
        <w:rPr>
          <w:b/>
          <w:w w:val="105"/>
          <w:sz w:val="14"/>
        </w:rPr>
        <w:t>S5A. Identification of the District's Projected Contributions, Transfers, and Capital Projects that may Impact the General Fund</w:t>
      </w:r>
    </w:p>
    <w:p>
      <w:pPr>
        <w:pStyle w:val="BodyText"/>
        <w:spacing w:line="21" w:lineRule="exact"/>
        <w:ind w:left="288"/>
        <w:rPr>
          <w:sz w:val="2"/>
        </w:rPr>
      </w:pPr>
      <w:r>
        <w:rPr>
          <w:sz w:val="2"/>
        </w:rPr>
        <w:pict>
          <v:group style="width:567.25pt;height:1.1pt;mso-position-horizontal-relative:char;mso-position-vertical-relative:line" coordorigin="0,0" coordsize="11345,22">
            <v:shape style="position:absolute;left:0;top:0;width:9432;height:22" type="#_x0000_t75" stroked="false">
              <v:imagedata r:id="rId1610" o:title=""/>
            </v:shape>
            <v:shape style="position:absolute;left:9424;top:0;width:1920;height:22" type="#_x0000_t75" stroked="false">
              <v:imagedata r:id="rId1612" o:title=""/>
            </v:shape>
          </v:group>
        </w:pict>
      </w:r>
      <w:r>
        <w:rPr>
          <w:sz w:val="2"/>
        </w:rPr>
      </w:r>
    </w:p>
    <w:p>
      <w:pPr>
        <w:pStyle w:val="BodyText"/>
        <w:spacing w:before="10"/>
        <w:rPr>
          <w:b/>
          <w:sz w:val="17"/>
        </w:rPr>
      </w:pPr>
    </w:p>
    <w:p>
      <w:pPr>
        <w:pStyle w:val="BodyText"/>
        <w:spacing w:before="97"/>
        <w:ind w:left="322" w:right="777"/>
        <w:jc w:val="both"/>
      </w:pPr>
      <w:r>
        <w:rPr/>
        <w:t>DATA ENTRY: For Contributions, enter data in the Projection column for the 1st and 2nd Subsequent Years. Contributions for the First Prior Year and Budget Year data will be extracted. For Transfers In and Transfers Out, the First Prior Year and Budget Year data will be extracted. If Form MYP exists, the data will be extracted for the 1st and 2nd Subsequent Years. If Form MYP does not exist, enter data for the 1st and 2nd Subsequent Years. Click the appropriate button for 1d. All other data are extracted or calculated.</w:t>
      </w:r>
    </w:p>
    <w:p>
      <w:pPr>
        <w:pStyle w:val="BodyText"/>
        <w:spacing w:before="6"/>
        <w:rPr>
          <w:sz w:val="16"/>
        </w:rPr>
      </w:pPr>
    </w:p>
    <w:p>
      <w:pPr>
        <w:pStyle w:val="BodyText"/>
        <w:tabs>
          <w:tab w:pos="5215" w:val="left" w:leader="none"/>
          <w:tab w:pos="6540" w:val="left" w:leader="none"/>
          <w:tab w:pos="8326" w:val="left" w:leader="none"/>
          <w:tab w:pos="10486" w:val="left" w:leader="none"/>
        </w:tabs>
        <w:ind w:left="322"/>
      </w:pPr>
      <w:r>
        <w:rPr/>
        <w:t>Description /</w:t>
      </w:r>
      <w:r>
        <w:rPr>
          <w:spacing w:val="3"/>
        </w:rPr>
        <w:t> </w:t>
      </w:r>
      <w:r>
        <w:rPr/>
        <w:t>Fiscal</w:t>
      </w:r>
      <w:r>
        <w:rPr>
          <w:spacing w:val="-1"/>
        </w:rPr>
        <w:t> </w:t>
      </w:r>
      <w:r>
        <w:rPr/>
        <w:t>Year</w:t>
        <w:tab/>
        <w:t>Projection</w:t>
        <w:tab/>
        <w:t>Amount</w:t>
      </w:r>
      <w:r>
        <w:rPr>
          <w:spacing w:val="4"/>
        </w:rPr>
        <w:t> </w:t>
      </w:r>
      <w:r>
        <w:rPr/>
        <w:t>of</w:t>
      </w:r>
      <w:r>
        <w:rPr>
          <w:spacing w:val="4"/>
        </w:rPr>
        <w:t> </w:t>
      </w:r>
      <w:r>
        <w:rPr/>
        <w:t>Change</w:t>
        <w:tab/>
        <w:t>Percent</w:t>
      </w:r>
      <w:r>
        <w:rPr>
          <w:spacing w:val="5"/>
        </w:rPr>
        <w:t> </w:t>
      </w:r>
      <w:r>
        <w:rPr/>
        <w:t>Change</w:t>
        <w:tab/>
        <w:t>Status</w:t>
      </w:r>
    </w:p>
    <w:p>
      <w:pPr>
        <w:pStyle w:val="BodyText"/>
        <w:spacing w:line="20" w:lineRule="exact"/>
        <w:ind w:left="288"/>
        <w:rPr>
          <w:sz w:val="2"/>
        </w:rPr>
      </w:pPr>
      <w:r>
        <w:rPr>
          <w:sz w:val="2"/>
        </w:rPr>
        <w:pict>
          <v:group style="width:567.25pt;height:.4pt;mso-position-horizontal-relative:char;mso-position-vertical-relative:line" coordorigin="0,0" coordsize="11345,8">
            <v:shape style="position:absolute;left:0;top:0;width:2268;height:8" type="#_x0000_t75" stroked="false">
              <v:imagedata r:id="rId1604" o:title=""/>
            </v:shape>
            <v:shape style="position:absolute;left:2260;top:0;width:9084;height:8" type="#_x0000_t75" stroked="false">
              <v:imagedata r:id="rId1668" o:title=""/>
            </v:shape>
          </v:group>
        </w:pict>
      </w:r>
      <w:r>
        <w:rPr>
          <w:sz w:val="2"/>
        </w:rPr>
      </w:r>
    </w:p>
    <w:p>
      <w:pPr>
        <w:pStyle w:val="BodyText"/>
        <w:spacing w:before="6"/>
        <w:rPr>
          <w:sz w:val="14"/>
        </w:rPr>
      </w:pPr>
    </w:p>
    <w:p>
      <w:pPr>
        <w:spacing w:before="0" w:after="21"/>
        <w:ind w:left="451" w:right="0" w:firstLine="0"/>
        <w:jc w:val="left"/>
        <w:rPr>
          <w:b/>
          <w:sz w:val="13"/>
        </w:rPr>
      </w:pPr>
      <w:r>
        <w:rPr/>
        <w:pict>
          <v:group style="position:absolute;margin-left:237.960007pt;margin-top:7.416939pt;width:345.75pt;height:34pt;mso-position-horizontal-relative:page;mso-position-vertical-relative:paragraph;z-index:-313871360" coordorigin="4759,148" coordsize="6915,680">
            <v:shape style="position:absolute;left:4759;top:148;width:6915;height:512" type="#_x0000_t75" stroked="false">
              <v:imagedata r:id="rId1727" o:title=""/>
            </v:shape>
            <v:shape style="position:absolute;left:6333;top:484;width:1604;height:171" type="#_x0000_t75" stroked="false">
              <v:imagedata r:id="rId1728" o:title=""/>
            </v:shape>
            <v:shape style="position:absolute;left:7934;top:489;width:1824;height:168" type="#_x0000_t75" stroked="false">
              <v:imagedata r:id="rId1729" o:title=""/>
            </v:shape>
            <v:shape style="position:absolute;left:4759;top:484;width:6915;height:344" type="#_x0000_t75" stroked="false">
              <v:imagedata r:id="rId1730" o:title=""/>
            </v:shape>
            <v:shape style="position:absolute;left:7929;top:652;width:3744;height:176" type="#_x0000_t75" stroked="false">
              <v:imagedata r:id="rId1731" o:title=""/>
            </v:shape>
            <w10:wrap type="none"/>
          </v:group>
        </w:pict>
      </w:r>
      <w:r>
        <w:rPr/>
        <w:pict>
          <v:group style="position:absolute;margin-left:237.960007pt;margin-top:57.816925pt;width:345.75pt;height:34pt;mso-position-horizontal-relative:page;mso-position-vertical-relative:paragraph;z-index:-313870336" coordorigin="4759,1156" coordsize="6915,680">
            <v:shape style="position:absolute;left:4759;top:1156;width:6915;height:507" type="#_x0000_t75" stroked="false">
              <v:imagedata r:id="rId1732" o:title=""/>
            </v:shape>
            <v:shape style="position:absolute;left:4759;top:1492;width:6915;height:344" type="#_x0000_t75" stroked="false">
              <v:imagedata r:id="rId1733" o:title=""/>
            </v:shape>
            <v:shape style="position:absolute;left:6333;top:1660;width:5340;height:176" type="#_x0000_t75" stroked="false">
              <v:imagedata r:id="rId1734" o:title=""/>
            </v:shape>
            <w10:wrap type="none"/>
          </v:group>
        </w:pict>
      </w:r>
      <w:r>
        <w:rPr>
          <w:sz w:val="13"/>
        </w:rPr>
        <w:t>1a. </w:t>
      </w:r>
      <w:r>
        <w:rPr>
          <w:b/>
          <w:sz w:val="13"/>
        </w:rPr>
        <w:t>Contributions, Unrestricted General Fund (Fund 01, Resources 0000-1999, Object 8980)</w:t>
      </w:r>
    </w:p>
    <w:tbl>
      <w:tblPr>
        <w:tblW w:w="0" w:type="auto"/>
        <w:jc w:val="left"/>
        <w:tblInd w:w="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76"/>
        <w:gridCol w:w="2860"/>
        <w:gridCol w:w="1153"/>
        <w:gridCol w:w="2202"/>
        <w:gridCol w:w="857"/>
      </w:tblGrid>
      <w:tr>
        <w:trPr>
          <w:trHeight w:val="157" w:hRule="atLeast"/>
        </w:trPr>
        <w:tc>
          <w:tcPr>
            <w:tcW w:w="3576" w:type="dxa"/>
          </w:tcPr>
          <w:p>
            <w:pPr>
              <w:pStyle w:val="TableParagraph"/>
              <w:spacing w:line="138" w:lineRule="exact"/>
              <w:ind w:left="33"/>
              <w:rPr>
                <w:sz w:val="13"/>
              </w:rPr>
            </w:pPr>
            <w:r>
              <w:rPr>
                <w:sz w:val="13"/>
              </w:rPr>
              <w:t>First Prior Year (2020-21)</w:t>
            </w:r>
          </w:p>
        </w:tc>
        <w:tc>
          <w:tcPr>
            <w:tcW w:w="2860" w:type="dxa"/>
          </w:tcPr>
          <w:p>
            <w:pPr>
              <w:pStyle w:val="TableParagraph"/>
              <w:spacing w:line="138" w:lineRule="exact"/>
              <w:ind w:right="456"/>
              <w:jc w:val="right"/>
              <w:rPr>
                <w:sz w:val="13"/>
              </w:rPr>
            </w:pPr>
            <w:r>
              <w:rPr>
                <w:sz w:val="13"/>
              </w:rPr>
              <w:t>(241,529.00)</w:t>
            </w:r>
          </w:p>
        </w:tc>
        <w:tc>
          <w:tcPr>
            <w:tcW w:w="4212" w:type="dxa"/>
            <w:gridSpan w:val="3"/>
          </w:tcPr>
          <w:p>
            <w:pPr>
              <w:pStyle w:val="TableParagraph"/>
              <w:rPr>
                <w:rFonts w:ascii="Times New Roman"/>
                <w:sz w:val="10"/>
              </w:rPr>
            </w:pPr>
          </w:p>
        </w:tc>
      </w:tr>
      <w:tr>
        <w:trPr>
          <w:trHeight w:val="167" w:hRule="atLeast"/>
        </w:trPr>
        <w:tc>
          <w:tcPr>
            <w:tcW w:w="3576" w:type="dxa"/>
          </w:tcPr>
          <w:p>
            <w:pPr>
              <w:pStyle w:val="TableParagraph"/>
              <w:spacing w:line="140" w:lineRule="exact" w:before="7"/>
              <w:ind w:left="33"/>
              <w:rPr>
                <w:sz w:val="13"/>
              </w:rPr>
            </w:pPr>
            <w:r>
              <w:rPr>
                <w:sz w:val="13"/>
              </w:rPr>
              <w:t>Budget Year (2021-22)</w:t>
            </w:r>
          </w:p>
        </w:tc>
        <w:tc>
          <w:tcPr>
            <w:tcW w:w="2860" w:type="dxa"/>
          </w:tcPr>
          <w:p>
            <w:pPr>
              <w:pStyle w:val="TableParagraph"/>
              <w:spacing w:line="140" w:lineRule="exact" w:before="7"/>
              <w:ind w:right="456"/>
              <w:jc w:val="right"/>
              <w:rPr>
                <w:sz w:val="13"/>
              </w:rPr>
            </w:pPr>
            <w:r>
              <w:rPr>
                <w:sz w:val="13"/>
              </w:rPr>
              <w:t>(221,691.00)</w:t>
            </w:r>
          </w:p>
        </w:tc>
        <w:tc>
          <w:tcPr>
            <w:tcW w:w="1153" w:type="dxa"/>
          </w:tcPr>
          <w:p>
            <w:pPr>
              <w:pStyle w:val="TableParagraph"/>
              <w:spacing w:line="140" w:lineRule="exact" w:before="7"/>
              <w:ind w:right="13"/>
              <w:jc w:val="right"/>
              <w:rPr>
                <w:sz w:val="13"/>
              </w:rPr>
            </w:pPr>
            <w:r>
              <w:rPr>
                <w:sz w:val="13"/>
              </w:rPr>
              <w:t>(19,838.00)</w:t>
            </w:r>
          </w:p>
        </w:tc>
        <w:tc>
          <w:tcPr>
            <w:tcW w:w="2202" w:type="dxa"/>
          </w:tcPr>
          <w:p>
            <w:pPr>
              <w:pStyle w:val="TableParagraph"/>
              <w:spacing w:line="140" w:lineRule="exact" w:before="7"/>
              <w:ind w:right="344"/>
              <w:jc w:val="center"/>
              <w:rPr>
                <w:sz w:val="13"/>
              </w:rPr>
            </w:pPr>
            <w:r>
              <w:rPr>
                <w:sz w:val="13"/>
              </w:rPr>
              <w:t>-8.2%</w:t>
            </w:r>
          </w:p>
        </w:tc>
        <w:tc>
          <w:tcPr>
            <w:tcW w:w="857" w:type="dxa"/>
          </w:tcPr>
          <w:p>
            <w:pPr>
              <w:pStyle w:val="TableParagraph"/>
              <w:spacing w:line="140" w:lineRule="exact" w:before="7"/>
              <w:ind w:left="345" w:right="14"/>
              <w:jc w:val="center"/>
              <w:rPr>
                <w:sz w:val="13"/>
              </w:rPr>
            </w:pPr>
            <w:r>
              <w:rPr>
                <w:sz w:val="13"/>
              </w:rPr>
              <w:t>Met</w:t>
            </w:r>
          </w:p>
        </w:tc>
      </w:tr>
      <w:tr>
        <w:trPr>
          <w:trHeight w:val="168" w:hRule="atLeast"/>
        </w:trPr>
        <w:tc>
          <w:tcPr>
            <w:tcW w:w="3576" w:type="dxa"/>
          </w:tcPr>
          <w:p>
            <w:pPr>
              <w:pStyle w:val="TableParagraph"/>
              <w:spacing w:line="141" w:lineRule="exact" w:before="7"/>
              <w:ind w:left="33"/>
              <w:rPr>
                <w:sz w:val="13"/>
              </w:rPr>
            </w:pPr>
            <w:r>
              <w:rPr>
                <w:sz w:val="13"/>
              </w:rPr>
              <w:t>1st Subsequent Year (2022-23)</w:t>
            </w:r>
          </w:p>
        </w:tc>
        <w:tc>
          <w:tcPr>
            <w:tcW w:w="2860" w:type="dxa"/>
          </w:tcPr>
          <w:p>
            <w:pPr>
              <w:pStyle w:val="TableParagraph"/>
              <w:spacing w:line="141" w:lineRule="exact" w:before="7"/>
              <w:ind w:right="456"/>
              <w:jc w:val="right"/>
              <w:rPr>
                <w:sz w:val="13"/>
              </w:rPr>
            </w:pPr>
            <w:r>
              <w:rPr>
                <w:sz w:val="13"/>
              </w:rPr>
              <w:t>(255,761.00)</w:t>
            </w:r>
          </w:p>
        </w:tc>
        <w:tc>
          <w:tcPr>
            <w:tcW w:w="1153" w:type="dxa"/>
          </w:tcPr>
          <w:p>
            <w:pPr>
              <w:pStyle w:val="TableParagraph"/>
              <w:spacing w:line="141" w:lineRule="exact" w:before="7"/>
              <w:ind w:right="57"/>
              <w:jc w:val="right"/>
              <w:rPr>
                <w:sz w:val="13"/>
              </w:rPr>
            </w:pPr>
            <w:r>
              <w:rPr>
                <w:sz w:val="13"/>
              </w:rPr>
              <w:t>34,070.00</w:t>
            </w:r>
          </w:p>
        </w:tc>
        <w:tc>
          <w:tcPr>
            <w:tcW w:w="2202" w:type="dxa"/>
          </w:tcPr>
          <w:p>
            <w:pPr>
              <w:pStyle w:val="TableParagraph"/>
              <w:tabs>
                <w:tab w:pos="724" w:val="left" w:leader="none"/>
                <w:tab w:pos="1823" w:val="left" w:leader="none"/>
              </w:tabs>
              <w:spacing w:line="141" w:lineRule="exact" w:before="7"/>
              <w:ind w:right="343"/>
              <w:jc w:val="center"/>
              <w:rPr>
                <w:sz w:val="13"/>
              </w:rPr>
            </w:pPr>
            <w:r>
              <w:rPr>
                <w:rFonts w:ascii="Times New Roman"/>
                <w:w w:val="101"/>
                <w:sz w:val="13"/>
                <w:shd w:fill="FFFFFF" w:color="auto" w:val="clear"/>
              </w:rPr>
              <w:t> </w:t>
            </w:r>
            <w:r>
              <w:rPr>
                <w:rFonts w:ascii="Times New Roman"/>
                <w:sz w:val="13"/>
                <w:shd w:fill="FFFFFF" w:color="auto" w:val="clear"/>
              </w:rPr>
              <w:tab/>
            </w:r>
            <w:r>
              <w:rPr>
                <w:sz w:val="13"/>
                <w:shd w:fill="FFFFFF" w:color="auto" w:val="clear"/>
              </w:rPr>
              <w:t>15.4%</w:t>
              <w:tab/>
            </w:r>
          </w:p>
        </w:tc>
        <w:tc>
          <w:tcPr>
            <w:tcW w:w="857" w:type="dxa"/>
          </w:tcPr>
          <w:p>
            <w:pPr>
              <w:pStyle w:val="TableParagraph"/>
              <w:spacing w:line="141" w:lineRule="exact" w:before="7"/>
              <w:ind w:left="345" w:right="15"/>
              <w:jc w:val="center"/>
              <w:rPr>
                <w:sz w:val="13"/>
              </w:rPr>
            </w:pPr>
            <w:r>
              <w:rPr>
                <w:sz w:val="13"/>
              </w:rPr>
              <w:t>Not Met</w:t>
            </w:r>
          </w:p>
        </w:tc>
      </w:tr>
      <w:tr>
        <w:trPr>
          <w:trHeight w:val="157" w:hRule="atLeast"/>
        </w:trPr>
        <w:tc>
          <w:tcPr>
            <w:tcW w:w="3576" w:type="dxa"/>
          </w:tcPr>
          <w:p>
            <w:pPr>
              <w:pStyle w:val="TableParagraph"/>
              <w:spacing w:line="130" w:lineRule="exact" w:before="7"/>
              <w:ind w:left="33"/>
              <w:rPr>
                <w:sz w:val="13"/>
              </w:rPr>
            </w:pPr>
            <w:r>
              <w:rPr>
                <w:sz w:val="13"/>
              </w:rPr>
              <w:t>2nd Subsequent Year (2023-24)</w:t>
            </w:r>
          </w:p>
        </w:tc>
        <w:tc>
          <w:tcPr>
            <w:tcW w:w="2860" w:type="dxa"/>
          </w:tcPr>
          <w:p>
            <w:pPr>
              <w:pStyle w:val="TableParagraph"/>
              <w:spacing w:line="130" w:lineRule="exact" w:before="7"/>
              <w:ind w:right="456"/>
              <w:jc w:val="right"/>
              <w:rPr>
                <w:sz w:val="13"/>
              </w:rPr>
            </w:pPr>
            <w:r>
              <w:rPr>
                <w:sz w:val="13"/>
              </w:rPr>
              <w:t>(264,212.00)</w:t>
            </w:r>
          </w:p>
        </w:tc>
        <w:tc>
          <w:tcPr>
            <w:tcW w:w="1153" w:type="dxa"/>
          </w:tcPr>
          <w:p>
            <w:pPr>
              <w:pStyle w:val="TableParagraph"/>
              <w:spacing w:line="130" w:lineRule="exact" w:before="7"/>
              <w:ind w:right="57"/>
              <w:jc w:val="right"/>
              <w:rPr>
                <w:sz w:val="13"/>
              </w:rPr>
            </w:pPr>
            <w:r>
              <w:rPr>
                <w:sz w:val="13"/>
              </w:rPr>
              <w:t>8,451.00</w:t>
            </w:r>
          </w:p>
        </w:tc>
        <w:tc>
          <w:tcPr>
            <w:tcW w:w="2202" w:type="dxa"/>
          </w:tcPr>
          <w:p>
            <w:pPr>
              <w:pStyle w:val="TableParagraph"/>
              <w:spacing w:line="130" w:lineRule="exact" w:before="7"/>
              <w:ind w:right="343"/>
              <w:jc w:val="center"/>
              <w:rPr>
                <w:sz w:val="13"/>
              </w:rPr>
            </w:pPr>
            <w:r>
              <w:rPr>
                <w:sz w:val="13"/>
              </w:rPr>
              <w:t>3.3%</w:t>
            </w:r>
          </w:p>
        </w:tc>
        <w:tc>
          <w:tcPr>
            <w:tcW w:w="857" w:type="dxa"/>
          </w:tcPr>
          <w:p>
            <w:pPr>
              <w:pStyle w:val="TableParagraph"/>
              <w:spacing w:line="130" w:lineRule="exact" w:before="7"/>
              <w:ind w:left="345" w:right="14"/>
              <w:jc w:val="center"/>
              <w:rPr>
                <w:sz w:val="13"/>
              </w:rPr>
            </w:pPr>
            <w:r>
              <w:rPr>
                <w:sz w:val="13"/>
              </w:rPr>
              <w:t>Met</w:t>
            </w:r>
          </w:p>
        </w:tc>
      </w:tr>
      <w:tr>
        <w:trPr>
          <w:trHeight w:val="514" w:hRule="atLeast"/>
        </w:trPr>
        <w:tc>
          <w:tcPr>
            <w:tcW w:w="3576" w:type="dxa"/>
          </w:tcPr>
          <w:p>
            <w:pPr>
              <w:pStyle w:val="TableParagraph"/>
              <w:spacing w:before="2"/>
              <w:rPr>
                <w:b/>
                <w:sz w:val="16"/>
              </w:rPr>
            </w:pPr>
          </w:p>
          <w:p>
            <w:pPr>
              <w:pStyle w:val="TableParagraph"/>
              <w:ind w:left="162"/>
              <w:rPr>
                <w:b/>
                <w:sz w:val="13"/>
              </w:rPr>
            </w:pPr>
            <w:r>
              <w:rPr>
                <w:sz w:val="13"/>
              </w:rPr>
              <w:t>1b. </w:t>
            </w:r>
            <w:r>
              <w:rPr>
                <w:b/>
                <w:sz w:val="13"/>
              </w:rPr>
              <w:t>Transfers In, General Fund *</w:t>
            </w:r>
          </w:p>
          <w:p>
            <w:pPr>
              <w:pStyle w:val="TableParagraph"/>
              <w:spacing w:line="140" w:lineRule="exact" w:before="18"/>
              <w:ind w:left="33"/>
              <w:rPr>
                <w:sz w:val="13"/>
              </w:rPr>
            </w:pPr>
            <w:r>
              <w:rPr>
                <w:sz w:val="13"/>
              </w:rPr>
              <w:t>First Prior Year (2020-21)</w:t>
            </w:r>
          </w:p>
        </w:tc>
        <w:tc>
          <w:tcPr>
            <w:tcW w:w="2860" w:type="dxa"/>
          </w:tcPr>
          <w:p>
            <w:pPr>
              <w:pStyle w:val="TableParagraph"/>
              <w:rPr>
                <w:b/>
                <w:sz w:val="14"/>
              </w:rPr>
            </w:pPr>
          </w:p>
          <w:p>
            <w:pPr>
              <w:pStyle w:val="TableParagraph"/>
              <w:spacing w:before="9"/>
              <w:rPr>
                <w:b/>
                <w:sz w:val="16"/>
              </w:rPr>
            </w:pPr>
          </w:p>
          <w:p>
            <w:pPr>
              <w:pStyle w:val="TableParagraph"/>
              <w:spacing w:line="140" w:lineRule="exact"/>
              <w:ind w:right="500"/>
              <w:jc w:val="right"/>
              <w:rPr>
                <w:sz w:val="13"/>
              </w:rPr>
            </w:pPr>
            <w:r>
              <w:rPr>
                <w:sz w:val="13"/>
              </w:rPr>
              <w:t>0.00</w:t>
            </w:r>
          </w:p>
        </w:tc>
        <w:tc>
          <w:tcPr>
            <w:tcW w:w="1153" w:type="dxa"/>
          </w:tcPr>
          <w:p>
            <w:pPr>
              <w:pStyle w:val="TableParagraph"/>
              <w:rPr>
                <w:rFonts w:ascii="Times New Roman"/>
                <w:sz w:val="12"/>
              </w:rPr>
            </w:pPr>
          </w:p>
        </w:tc>
        <w:tc>
          <w:tcPr>
            <w:tcW w:w="2202" w:type="dxa"/>
          </w:tcPr>
          <w:p>
            <w:pPr>
              <w:pStyle w:val="TableParagraph"/>
              <w:rPr>
                <w:rFonts w:ascii="Times New Roman"/>
                <w:sz w:val="12"/>
              </w:rPr>
            </w:pPr>
          </w:p>
        </w:tc>
        <w:tc>
          <w:tcPr>
            <w:tcW w:w="857" w:type="dxa"/>
          </w:tcPr>
          <w:p>
            <w:pPr>
              <w:pStyle w:val="TableParagraph"/>
              <w:rPr>
                <w:rFonts w:ascii="Times New Roman"/>
                <w:sz w:val="12"/>
              </w:rPr>
            </w:pPr>
          </w:p>
        </w:tc>
      </w:tr>
      <w:tr>
        <w:trPr>
          <w:trHeight w:val="168" w:hRule="atLeast"/>
        </w:trPr>
        <w:tc>
          <w:tcPr>
            <w:tcW w:w="3576" w:type="dxa"/>
          </w:tcPr>
          <w:p>
            <w:pPr>
              <w:pStyle w:val="TableParagraph"/>
              <w:spacing w:line="140" w:lineRule="exact" w:before="7"/>
              <w:ind w:left="33"/>
              <w:rPr>
                <w:sz w:val="13"/>
              </w:rPr>
            </w:pPr>
            <w:r>
              <w:rPr>
                <w:sz w:val="13"/>
              </w:rPr>
              <w:t>Budget Year (2021-22)</w:t>
            </w:r>
          </w:p>
        </w:tc>
        <w:tc>
          <w:tcPr>
            <w:tcW w:w="2860" w:type="dxa"/>
          </w:tcPr>
          <w:p>
            <w:pPr>
              <w:pStyle w:val="TableParagraph"/>
              <w:spacing w:line="140" w:lineRule="exact" w:before="7"/>
              <w:ind w:right="500"/>
              <w:jc w:val="right"/>
              <w:rPr>
                <w:sz w:val="13"/>
              </w:rPr>
            </w:pPr>
            <w:r>
              <w:rPr>
                <w:sz w:val="13"/>
              </w:rPr>
              <w:t>0.00</w:t>
            </w:r>
          </w:p>
        </w:tc>
        <w:tc>
          <w:tcPr>
            <w:tcW w:w="1153" w:type="dxa"/>
          </w:tcPr>
          <w:p>
            <w:pPr>
              <w:pStyle w:val="TableParagraph"/>
              <w:spacing w:line="140" w:lineRule="exact" w:before="7"/>
              <w:ind w:right="57"/>
              <w:jc w:val="right"/>
              <w:rPr>
                <w:sz w:val="13"/>
              </w:rPr>
            </w:pPr>
            <w:r>
              <w:rPr>
                <w:sz w:val="13"/>
              </w:rPr>
              <w:t>0.00</w:t>
            </w:r>
          </w:p>
        </w:tc>
        <w:tc>
          <w:tcPr>
            <w:tcW w:w="2202" w:type="dxa"/>
          </w:tcPr>
          <w:p>
            <w:pPr>
              <w:pStyle w:val="TableParagraph"/>
              <w:spacing w:line="140" w:lineRule="exact" w:before="7"/>
              <w:ind w:right="343"/>
              <w:jc w:val="center"/>
              <w:rPr>
                <w:sz w:val="13"/>
              </w:rPr>
            </w:pPr>
            <w:r>
              <w:rPr>
                <w:sz w:val="13"/>
              </w:rPr>
              <w:t>0.0%</w:t>
            </w:r>
          </w:p>
        </w:tc>
        <w:tc>
          <w:tcPr>
            <w:tcW w:w="857" w:type="dxa"/>
          </w:tcPr>
          <w:p>
            <w:pPr>
              <w:pStyle w:val="TableParagraph"/>
              <w:spacing w:line="140" w:lineRule="exact" w:before="7"/>
              <w:ind w:left="345" w:right="14"/>
              <w:jc w:val="center"/>
              <w:rPr>
                <w:sz w:val="13"/>
              </w:rPr>
            </w:pPr>
            <w:r>
              <w:rPr>
                <w:sz w:val="13"/>
              </w:rPr>
              <w:t>Met</w:t>
            </w:r>
          </w:p>
        </w:tc>
      </w:tr>
      <w:tr>
        <w:trPr>
          <w:trHeight w:val="167" w:hRule="atLeast"/>
        </w:trPr>
        <w:tc>
          <w:tcPr>
            <w:tcW w:w="3576" w:type="dxa"/>
          </w:tcPr>
          <w:p>
            <w:pPr>
              <w:pStyle w:val="TableParagraph"/>
              <w:spacing w:line="140" w:lineRule="exact" w:before="7"/>
              <w:ind w:left="33"/>
              <w:rPr>
                <w:sz w:val="13"/>
              </w:rPr>
            </w:pPr>
            <w:r>
              <w:rPr>
                <w:sz w:val="13"/>
              </w:rPr>
              <w:t>1st Subsequent Year (2022-23)</w:t>
            </w:r>
          </w:p>
        </w:tc>
        <w:tc>
          <w:tcPr>
            <w:tcW w:w="2860" w:type="dxa"/>
          </w:tcPr>
          <w:p>
            <w:pPr>
              <w:pStyle w:val="TableParagraph"/>
              <w:spacing w:line="140" w:lineRule="exact" w:before="7"/>
              <w:ind w:right="500"/>
              <w:jc w:val="right"/>
              <w:rPr>
                <w:sz w:val="13"/>
              </w:rPr>
            </w:pPr>
            <w:r>
              <w:rPr>
                <w:sz w:val="13"/>
              </w:rPr>
              <w:t>0.00</w:t>
            </w:r>
          </w:p>
        </w:tc>
        <w:tc>
          <w:tcPr>
            <w:tcW w:w="1153" w:type="dxa"/>
          </w:tcPr>
          <w:p>
            <w:pPr>
              <w:pStyle w:val="TableParagraph"/>
              <w:spacing w:line="140" w:lineRule="exact" w:before="7"/>
              <w:ind w:right="57"/>
              <w:jc w:val="right"/>
              <w:rPr>
                <w:sz w:val="13"/>
              </w:rPr>
            </w:pPr>
            <w:r>
              <w:rPr>
                <w:sz w:val="13"/>
              </w:rPr>
              <w:t>0.00</w:t>
            </w:r>
          </w:p>
        </w:tc>
        <w:tc>
          <w:tcPr>
            <w:tcW w:w="2202" w:type="dxa"/>
          </w:tcPr>
          <w:p>
            <w:pPr>
              <w:pStyle w:val="TableParagraph"/>
              <w:spacing w:line="140" w:lineRule="exact" w:before="7"/>
              <w:ind w:right="343"/>
              <w:jc w:val="center"/>
              <w:rPr>
                <w:sz w:val="13"/>
              </w:rPr>
            </w:pPr>
            <w:r>
              <w:rPr>
                <w:sz w:val="13"/>
              </w:rPr>
              <w:t>0.0%</w:t>
            </w:r>
          </w:p>
        </w:tc>
        <w:tc>
          <w:tcPr>
            <w:tcW w:w="857" w:type="dxa"/>
          </w:tcPr>
          <w:p>
            <w:pPr>
              <w:pStyle w:val="TableParagraph"/>
              <w:spacing w:line="140" w:lineRule="exact" w:before="7"/>
              <w:ind w:left="345" w:right="14"/>
              <w:jc w:val="center"/>
              <w:rPr>
                <w:sz w:val="13"/>
              </w:rPr>
            </w:pPr>
            <w:r>
              <w:rPr>
                <w:sz w:val="13"/>
              </w:rPr>
              <w:t>Met</w:t>
            </w:r>
          </w:p>
        </w:tc>
      </w:tr>
      <w:tr>
        <w:trPr>
          <w:trHeight w:val="157" w:hRule="atLeast"/>
        </w:trPr>
        <w:tc>
          <w:tcPr>
            <w:tcW w:w="3576" w:type="dxa"/>
          </w:tcPr>
          <w:p>
            <w:pPr>
              <w:pStyle w:val="TableParagraph"/>
              <w:spacing w:line="130" w:lineRule="exact" w:before="7"/>
              <w:ind w:left="33"/>
              <w:rPr>
                <w:sz w:val="13"/>
              </w:rPr>
            </w:pPr>
            <w:r>
              <w:rPr>
                <w:sz w:val="13"/>
              </w:rPr>
              <w:t>2nd Subsequent Year (2023-24)</w:t>
            </w:r>
          </w:p>
        </w:tc>
        <w:tc>
          <w:tcPr>
            <w:tcW w:w="2860" w:type="dxa"/>
          </w:tcPr>
          <w:p>
            <w:pPr>
              <w:pStyle w:val="TableParagraph"/>
              <w:spacing w:line="130" w:lineRule="exact" w:before="7"/>
              <w:ind w:right="500"/>
              <w:jc w:val="right"/>
              <w:rPr>
                <w:sz w:val="13"/>
              </w:rPr>
            </w:pPr>
            <w:r>
              <w:rPr>
                <w:sz w:val="13"/>
              </w:rPr>
              <w:t>0.00</w:t>
            </w:r>
          </w:p>
        </w:tc>
        <w:tc>
          <w:tcPr>
            <w:tcW w:w="1153" w:type="dxa"/>
          </w:tcPr>
          <w:p>
            <w:pPr>
              <w:pStyle w:val="TableParagraph"/>
              <w:spacing w:line="130" w:lineRule="exact" w:before="7"/>
              <w:ind w:right="57"/>
              <w:jc w:val="right"/>
              <w:rPr>
                <w:sz w:val="13"/>
              </w:rPr>
            </w:pPr>
            <w:r>
              <w:rPr>
                <w:sz w:val="13"/>
              </w:rPr>
              <w:t>0.00</w:t>
            </w:r>
          </w:p>
        </w:tc>
        <w:tc>
          <w:tcPr>
            <w:tcW w:w="2202" w:type="dxa"/>
          </w:tcPr>
          <w:p>
            <w:pPr>
              <w:pStyle w:val="TableParagraph"/>
              <w:spacing w:line="130" w:lineRule="exact" w:before="7"/>
              <w:ind w:right="343"/>
              <w:jc w:val="center"/>
              <w:rPr>
                <w:sz w:val="13"/>
              </w:rPr>
            </w:pPr>
            <w:r>
              <w:rPr>
                <w:sz w:val="13"/>
              </w:rPr>
              <w:t>0.0%</w:t>
            </w:r>
          </w:p>
        </w:tc>
        <w:tc>
          <w:tcPr>
            <w:tcW w:w="857" w:type="dxa"/>
          </w:tcPr>
          <w:p>
            <w:pPr>
              <w:pStyle w:val="TableParagraph"/>
              <w:spacing w:line="130" w:lineRule="exact" w:before="7"/>
              <w:ind w:left="345" w:right="14"/>
              <w:jc w:val="center"/>
              <w:rPr>
                <w:sz w:val="13"/>
              </w:rPr>
            </w:pPr>
            <w:r>
              <w:rPr>
                <w:sz w:val="13"/>
              </w:rPr>
              <w:t>Met</w:t>
            </w:r>
          </w:p>
        </w:tc>
      </w:tr>
      <w:tr>
        <w:trPr>
          <w:trHeight w:val="514" w:hRule="atLeast"/>
        </w:trPr>
        <w:tc>
          <w:tcPr>
            <w:tcW w:w="3576" w:type="dxa"/>
          </w:tcPr>
          <w:p>
            <w:pPr>
              <w:pStyle w:val="TableParagraph"/>
              <w:spacing w:before="2"/>
              <w:rPr>
                <w:b/>
                <w:sz w:val="16"/>
              </w:rPr>
            </w:pPr>
          </w:p>
          <w:p>
            <w:pPr>
              <w:pStyle w:val="TableParagraph"/>
              <w:ind w:left="165"/>
              <w:rPr>
                <w:b/>
                <w:sz w:val="13"/>
              </w:rPr>
            </w:pPr>
            <w:r>
              <w:rPr>
                <w:sz w:val="13"/>
              </w:rPr>
              <w:t>1c. </w:t>
            </w:r>
            <w:r>
              <w:rPr>
                <w:b/>
                <w:sz w:val="13"/>
              </w:rPr>
              <w:t>Transfers Out, General Fund *</w:t>
            </w:r>
          </w:p>
          <w:p>
            <w:pPr>
              <w:pStyle w:val="TableParagraph"/>
              <w:spacing w:line="140" w:lineRule="exact" w:before="18"/>
              <w:ind w:left="33"/>
              <w:rPr>
                <w:sz w:val="13"/>
              </w:rPr>
            </w:pPr>
            <w:r>
              <w:rPr>
                <w:sz w:val="13"/>
              </w:rPr>
              <w:t>First Prior Year (2020-21)</w:t>
            </w:r>
          </w:p>
        </w:tc>
        <w:tc>
          <w:tcPr>
            <w:tcW w:w="2860" w:type="dxa"/>
          </w:tcPr>
          <w:p>
            <w:pPr>
              <w:pStyle w:val="TableParagraph"/>
              <w:rPr>
                <w:b/>
                <w:sz w:val="14"/>
              </w:rPr>
            </w:pPr>
          </w:p>
          <w:p>
            <w:pPr>
              <w:pStyle w:val="TableParagraph"/>
              <w:spacing w:before="9"/>
              <w:rPr>
                <w:b/>
                <w:sz w:val="16"/>
              </w:rPr>
            </w:pPr>
          </w:p>
          <w:p>
            <w:pPr>
              <w:pStyle w:val="TableParagraph"/>
              <w:spacing w:line="140" w:lineRule="exact"/>
              <w:ind w:right="500"/>
              <w:jc w:val="right"/>
              <w:rPr>
                <w:sz w:val="13"/>
              </w:rPr>
            </w:pPr>
            <w:r>
              <w:rPr>
                <w:sz w:val="13"/>
              </w:rPr>
              <w:t>0.00</w:t>
            </w:r>
          </w:p>
        </w:tc>
        <w:tc>
          <w:tcPr>
            <w:tcW w:w="1153" w:type="dxa"/>
          </w:tcPr>
          <w:p>
            <w:pPr>
              <w:pStyle w:val="TableParagraph"/>
              <w:rPr>
                <w:rFonts w:ascii="Times New Roman"/>
                <w:sz w:val="12"/>
              </w:rPr>
            </w:pPr>
          </w:p>
        </w:tc>
        <w:tc>
          <w:tcPr>
            <w:tcW w:w="2202" w:type="dxa"/>
          </w:tcPr>
          <w:p>
            <w:pPr>
              <w:pStyle w:val="TableParagraph"/>
              <w:rPr>
                <w:rFonts w:ascii="Times New Roman"/>
                <w:sz w:val="12"/>
              </w:rPr>
            </w:pPr>
          </w:p>
        </w:tc>
        <w:tc>
          <w:tcPr>
            <w:tcW w:w="857" w:type="dxa"/>
          </w:tcPr>
          <w:p>
            <w:pPr>
              <w:pStyle w:val="TableParagraph"/>
              <w:rPr>
                <w:rFonts w:ascii="Times New Roman"/>
                <w:sz w:val="12"/>
              </w:rPr>
            </w:pPr>
          </w:p>
        </w:tc>
      </w:tr>
      <w:tr>
        <w:trPr>
          <w:trHeight w:val="168" w:hRule="atLeast"/>
        </w:trPr>
        <w:tc>
          <w:tcPr>
            <w:tcW w:w="3576" w:type="dxa"/>
          </w:tcPr>
          <w:p>
            <w:pPr>
              <w:pStyle w:val="TableParagraph"/>
              <w:spacing w:line="140" w:lineRule="exact" w:before="7"/>
              <w:ind w:left="33"/>
              <w:rPr>
                <w:sz w:val="13"/>
              </w:rPr>
            </w:pPr>
            <w:r>
              <w:rPr>
                <w:sz w:val="13"/>
              </w:rPr>
              <w:t>Budget Year (2021-22)</w:t>
            </w:r>
          </w:p>
        </w:tc>
        <w:tc>
          <w:tcPr>
            <w:tcW w:w="2860" w:type="dxa"/>
          </w:tcPr>
          <w:p>
            <w:pPr>
              <w:pStyle w:val="TableParagraph"/>
              <w:spacing w:line="140" w:lineRule="exact" w:before="7"/>
              <w:ind w:right="500"/>
              <w:jc w:val="right"/>
              <w:rPr>
                <w:sz w:val="13"/>
              </w:rPr>
            </w:pPr>
            <w:r>
              <w:rPr>
                <w:sz w:val="13"/>
              </w:rPr>
              <w:t>0.00</w:t>
            </w:r>
          </w:p>
        </w:tc>
        <w:tc>
          <w:tcPr>
            <w:tcW w:w="1153" w:type="dxa"/>
          </w:tcPr>
          <w:p>
            <w:pPr>
              <w:pStyle w:val="TableParagraph"/>
              <w:spacing w:line="140" w:lineRule="exact" w:before="7"/>
              <w:ind w:right="57"/>
              <w:jc w:val="right"/>
              <w:rPr>
                <w:sz w:val="13"/>
              </w:rPr>
            </w:pPr>
            <w:r>
              <w:rPr>
                <w:sz w:val="13"/>
              </w:rPr>
              <w:t>0.00</w:t>
            </w:r>
          </w:p>
        </w:tc>
        <w:tc>
          <w:tcPr>
            <w:tcW w:w="2202" w:type="dxa"/>
          </w:tcPr>
          <w:p>
            <w:pPr>
              <w:pStyle w:val="TableParagraph"/>
              <w:spacing w:line="140" w:lineRule="exact" w:before="7"/>
              <w:ind w:right="343"/>
              <w:jc w:val="center"/>
              <w:rPr>
                <w:sz w:val="13"/>
              </w:rPr>
            </w:pPr>
            <w:r>
              <w:rPr>
                <w:sz w:val="13"/>
              </w:rPr>
              <w:t>0.0%</w:t>
            </w:r>
          </w:p>
        </w:tc>
        <w:tc>
          <w:tcPr>
            <w:tcW w:w="857" w:type="dxa"/>
          </w:tcPr>
          <w:p>
            <w:pPr>
              <w:pStyle w:val="TableParagraph"/>
              <w:spacing w:line="140" w:lineRule="exact" w:before="7"/>
              <w:ind w:left="345" w:right="14"/>
              <w:jc w:val="center"/>
              <w:rPr>
                <w:sz w:val="13"/>
              </w:rPr>
            </w:pPr>
            <w:r>
              <w:rPr>
                <w:sz w:val="13"/>
              </w:rPr>
              <w:t>Met</w:t>
            </w:r>
          </w:p>
        </w:tc>
      </w:tr>
      <w:tr>
        <w:trPr>
          <w:trHeight w:val="168" w:hRule="atLeast"/>
        </w:trPr>
        <w:tc>
          <w:tcPr>
            <w:tcW w:w="3576" w:type="dxa"/>
          </w:tcPr>
          <w:p>
            <w:pPr>
              <w:pStyle w:val="TableParagraph"/>
              <w:spacing w:line="141" w:lineRule="exact" w:before="7"/>
              <w:ind w:left="33"/>
              <w:rPr>
                <w:sz w:val="13"/>
              </w:rPr>
            </w:pPr>
            <w:r>
              <w:rPr>
                <w:sz w:val="13"/>
              </w:rPr>
              <w:t>1st Subsequent Year (2022-23)</w:t>
            </w:r>
          </w:p>
        </w:tc>
        <w:tc>
          <w:tcPr>
            <w:tcW w:w="2860" w:type="dxa"/>
          </w:tcPr>
          <w:p>
            <w:pPr>
              <w:pStyle w:val="TableParagraph"/>
              <w:spacing w:line="141" w:lineRule="exact" w:before="7"/>
              <w:ind w:right="500"/>
              <w:jc w:val="right"/>
              <w:rPr>
                <w:sz w:val="13"/>
              </w:rPr>
            </w:pPr>
            <w:r>
              <w:rPr>
                <w:sz w:val="13"/>
              </w:rPr>
              <w:t>0.00</w:t>
            </w:r>
          </w:p>
        </w:tc>
        <w:tc>
          <w:tcPr>
            <w:tcW w:w="1153" w:type="dxa"/>
          </w:tcPr>
          <w:p>
            <w:pPr>
              <w:pStyle w:val="TableParagraph"/>
              <w:spacing w:line="141" w:lineRule="exact" w:before="7"/>
              <w:ind w:right="57"/>
              <w:jc w:val="right"/>
              <w:rPr>
                <w:sz w:val="13"/>
              </w:rPr>
            </w:pPr>
            <w:r>
              <w:rPr>
                <w:sz w:val="13"/>
              </w:rPr>
              <w:t>0.00</w:t>
            </w:r>
          </w:p>
        </w:tc>
        <w:tc>
          <w:tcPr>
            <w:tcW w:w="2202" w:type="dxa"/>
          </w:tcPr>
          <w:p>
            <w:pPr>
              <w:pStyle w:val="TableParagraph"/>
              <w:tabs>
                <w:tab w:pos="760" w:val="left" w:leader="none"/>
                <w:tab w:pos="1823" w:val="left" w:leader="none"/>
              </w:tabs>
              <w:spacing w:line="141" w:lineRule="exact" w:before="7"/>
              <w:ind w:right="343"/>
              <w:jc w:val="center"/>
              <w:rPr>
                <w:sz w:val="13"/>
              </w:rPr>
            </w:pPr>
            <w:r>
              <w:rPr>
                <w:rFonts w:ascii="Times New Roman"/>
                <w:w w:val="101"/>
                <w:sz w:val="13"/>
                <w:shd w:fill="FFFFFF" w:color="auto" w:val="clear"/>
              </w:rPr>
              <w:t> </w:t>
            </w:r>
            <w:r>
              <w:rPr>
                <w:rFonts w:ascii="Times New Roman"/>
                <w:sz w:val="13"/>
                <w:shd w:fill="FFFFFF" w:color="auto" w:val="clear"/>
              </w:rPr>
              <w:tab/>
            </w:r>
            <w:r>
              <w:rPr>
                <w:sz w:val="13"/>
                <w:shd w:fill="FFFFFF" w:color="auto" w:val="clear"/>
              </w:rPr>
              <w:t>0.0%</w:t>
              <w:tab/>
            </w:r>
          </w:p>
        </w:tc>
        <w:tc>
          <w:tcPr>
            <w:tcW w:w="857" w:type="dxa"/>
          </w:tcPr>
          <w:p>
            <w:pPr>
              <w:pStyle w:val="TableParagraph"/>
              <w:spacing w:line="141" w:lineRule="exact" w:before="7"/>
              <w:ind w:left="345" w:right="14"/>
              <w:jc w:val="center"/>
              <w:rPr>
                <w:sz w:val="13"/>
              </w:rPr>
            </w:pPr>
            <w:r>
              <w:rPr>
                <w:sz w:val="13"/>
              </w:rPr>
              <w:t>Met</w:t>
            </w:r>
          </w:p>
        </w:tc>
      </w:tr>
      <w:tr>
        <w:trPr>
          <w:trHeight w:val="157" w:hRule="atLeast"/>
        </w:trPr>
        <w:tc>
          <w:tcPr>
            <w:tcW w:w="3576" w:type="dxa"/>
          </w:tcPr>
          <w:p>
            <w:pPr>
              <w:pStyle w:val="TableParagraph"/>
              <w:spacing w:line="130" w:lineRule="exact" w:before="7"/>
              <w:ind w:left="33"/>
              <w:rPr>
                <w:sz w:val="13"/>
              </w:rPr>
            </w:pPr>
            <w:r>
              <w:rPr>
                <w:sz w:val="13"/>
              </w:rPr>
              <w:t>2nd Subsequent Year (2023-24)</w:t>
            </w:r>
          </w:p>
        </w:tc>
        <w:tc>
          <w:tcPr>
            <w:tcW w:w="2860" w:type="dxa"/>
          </w:tcPr>
          <w:p>
            <w:pPr>
              <w:pStyle w:val="TableParagraph"/>
              <w:spacing w:line="130" w:lineRule="exact" w:before="7"/>
              <w:ind w:right="500"/>
              <w:jc w:val="right"/>
              <w:rPr>
                <w:sz w:val="13"/>
              </w:rPr>
            </w:pPr>
            <w:r>
              <w:rPr>
                <w:sz w:val="13"/>
              </w:rPr>
              <w:t>0.00</w:t>
            </w:r>
          </w:p>
        </w:tc>
        <w:tc>
          <w:tcPr>
            <w:tcW w:w="1153" w:type="dxa"/>
          </w:tcPr>
          <w:p>
            <w:pPr>
              <w:pStyle w:val="TableParagraph"/>
              <w:spacing w:line="130" w:lineRule="exact" w:before="7"/>
              <w:ind w:right="57"/>
              <w:jc w:val="right"/>
              <w:rPr>
                <w:sz w:val="13"/>
              </w:rPr>
            </w:pPr>
            <w:r>
              <w:rPr>
                <w:sz w:val="13"/>
              </w:rPr>
              <w:t>0.00</w:t>
            </w:r>
          </w:p>
        </w:tc>
        <w:tc>
          <w:tcPr>
            <w:tcW w:w="2202" w:type="dxa"/>
          </w:tcPr>
          <w:p>
            <w:pPr>
              <w:pStyle w:val="TableParagraph"/>
              <w:spacing w:line="130" w:lineRule="exact" w:before="7"/>
              <w:ind w:right="343"/>
              <w:jc w:val="center"/>
              <w:rPr>
                <w:sz w:val="13"/>
              </w:rPr>
            </w:pPr>
            <w:r>
              <w:rPr>
                <w:sz w:val="13"/>
              </w:rPr>
              <w:t>0.0%</w:t>
            </w:r>
          </w:p>
        </w:tc>
        <w:tc>
          <w:tcPr>
            <w:tcW w:w="857" w:type="dxa"/>
          </w:tcPr>
          <w:p>
            <w:pPr>
              <w:pStyle w:val="TableParagraph"/>
              <w:spacing w:line="130" w:lineRule="exact" w:before="7"/>
              <w:ind w:left="345" w:right="14"/>
              <w:jc w:val="center"/>
              <w:rPr>
                <w:sz w:val="13"/>
              </w:rPr>
            </w:pPr>
            <w:r>
              <w:rPr>
                <w:sz w:val="13"/>
              </w:rPr>
              <w:t>Met</w:t>
            </w:r>
          </w:p>
        </w:tc>
      </w:tr>
    </w:tbl>
    <w:p>
      <w:pPr>
        <w:pStyle w:val="BodyText"/>
        <w:spacing w:before="2"/>
        <w:rPr>
          <w:b/>
          <w:sz w:val="16"/>
        </w:rPr>
      </w:pPr>
    </w:p>
    <w:p>
      <w:pPr>
        <w:spacing w:before="0"/>
        <w:ind w:left="451" w:right="0" w:firstLine="0"/>
        <w:jc w:val="left"/>
        <w:rPr>
          <w:b/>
          <w:sz w:val="13"/>
        </w:rPr>
      </w:pPr>
      <w:r>
        <w:rPr/>
        <w:pict>
          <v:group style="position:absolute;margin-left:237.960007pt;margin-top:-42.983078pt;width:345.75pt;height:34pt;mso-position-horizontal-relative:page;mso-position-vertical-relative:paragraph;z-index:-313869312" coordorigin="4759,-860" coordsize="6915,680">
            <v:shape style="position:absolute;left:4759;top:-860;width:6915;height:507" type="#_x0000_t75" stroked="false">
              <v:imagedata r:id="rId1732" o:title=""/>
            </v:shape>
            <v:shape style="position:absolute;left:6333;top:-524;width:1604;height:171" type="#_x0000_t75" stroked="false">
              <v:imagedata r:id="rId1728" o:title=""/>
            </v:shape>
            <v:shape style="position:absolute;left:7934;top:-519;width:1824;height:168" type="#_x0000_t75" stroked="false">
              <v:imagedata r:id="rId1735" o:title=""/>
            </v:shape>
            <v:shape style="position:absolute;left:4759;top:-524;width:6915;height:344" type="#_x0000_t75" stroked="false">
              <v:imagedata r:id="rId1736" o:title=""/>
            </v:shape>
            <v:shape style="position:absolute;left:7929;top:-356;width:3744;height:176" type="#_x0000_t75" stroked="false">
              <v:imagedata r:id="rId1737" o:title=""/>
            </v:shape>
            <w10:wrap type="none"/>
          </v:group>
        </w:pict>
      </w:r>
      <w:r>
        <w:rPr/>
        <w:pict>
          <v:group style="position:absolute;margin-left:396.480011pt;margin-top:-.983078pt;width:91.6pt;height:17.2pt;mso-position-horizontal-relative:page;mso-position-vertical-relative:paragraph;z-index:252499968" coordorigin="7930,-20" coordsize="1832,344">
            <v:shape style="position:absolute;left:7929;top:-20;width:1832;height:339" type="#_x0000_t75" stroked="false">
              <v:imagedata r:id="rId1721" o:title=""/>
            </v:shape>
            <v:shape style="position:absolute;left:7929;top:148;width:1832;height:176" type="#_x0000_t75" stroked="false">
              <v:imagedata r:id="rId1722" o:title=""/>
            </v:shape>
            <v:shape style="position:absolute;left:8762;top:170;width:190;height:148" type="#_x0000_t202" filled="false" stroked="false">
              <v:textbox inset="0,0,0,0">
                <w:txbxContent>
                  <w:p>
                    <w:pPr>
                      <w:spacing w:line="147" w:lineRule="exact" w:before="0"/>
                      <w:ind w:left="0" w:right="0" w:firstLine="0"/>
                      <w:jc w:val="left"/>
                      <w:rPr>
                        <w:sz w:val="13"/>
                      </w:rPr>
                    </w:pPr>
                    <w:r>
                      <w:rPr>
                        <w:sz w:val="13"/>
                      </w:rPr>
                      <w:t>No</w:t>
                    </w:r>
                  </w:p>
                </w:txbxContent>
              </v:textbox>
              <w10:wrap type="none"/>
            </v:shape>
            <w10:wrap type="none"/>
          </v:group>
        </w:pict>
      </w:r>
      <w:r>
        <w:rPr>
          <w:sz w:val="13"/>
        </w:rPr>
        <w:t>1d. </w:t>
      </w:r>
      <w:r>
        <w:rPr>
          <w:b/>
          <w:sz w:val="13"/>
        </w:rPr>
        <w:t>Impact of Capital Projects</w:t>
      </w:r>
    </w:p>
    <w:p>
      <w:pPr>
        <w:pStyle w:val="BodyText"/>
        <w:spacing w:before="18"/>
        <w:ind w:left="821"/>
      </w:pPr>
      <w:r>
        <w:rPr/>
        <w:t>Do you have any capital projects that may impact the general fund operational budget?</w:t>
      </w:r>
    </w:p>
    <w:p>
      <w:pPr>
        <w:pStyle w:val="BodyText"/>
        <w:spacing w:before="3"/>
        <w:rPr>
          <w:sz w:val="16"/>
        </w:rPr>
      </w:pPr>
    </w:p>
    <w:p>
      <w:pPr>
        <w:pStyle w:val="BodyText"/>
        <w:ind w:left="322"/>
      </w:pPr>
      <w:r>
        <w:rPr/>
        <w:t>* Include transfers used to cover operating deficits in either the general fund or any other fund.</w:t>
      </w:r>
    </w:p>
    <w:p>
      <w:pPr>
        <w:pStyle w:val="BodyText"/>
        <w:spacing w:before="1"/>
        <w:rPr>
          <w:sz w:val="25"/>
        </w:rPr>
      </w:pPr>
      <w:r>
        <w:rPr/>
        <w:pict>
          <v:group style="position:absolute;margin-left:16.440001pt;margin-top:16.392523pt;width:567.25pt;height:12pt;mso-position-horizontal-relative:page;mso-position-vertical-relative:paragraph;z-index:-250823680;mso-wrap-distance-left:0;mso-wrap-distance-right:0" coordorigin="329,328" coordsize="11345,240">
            <v:shape style="position:absolute;left:828;top:327;width:10846;height:22" type="#_x0000_t75" stroked="false">
              <v:imagedata r:id="rId1576" o:title=""/>
            </v:shape>
            <v:line style="position:absolute" from="829,340" to="829,551" stroked="true" strokeweight=".359999pt" strokecolor="#ffffff">
              <v:stroke dashstyle="solid"/>
            </v:line>
            <v:line style="position:absolute" from="2591,340" to="2591,551" stroked="true" strokeweight=".360008pt" strokecolor="#ffffff">
              <v:stroke dashstyle="solid"/>
            </v:line>
            <v:line style="position:absolute" from="3325,340" to="3325,551" stroked="true" strokeweight=".359997pt" strokecolor="#ffffff">
              <v:stroke dashstyle="solid"/>
            </v:line>
            <v:line style="position:absolute" from="4760,340" to="4760,551" stroked="true" strokeweight=".360008pt" strokecolor="#ffffff">
              <v:stroke dashstyle="solid"/>
            </v:line>
            <v:shape style="position:absolute;left:328;top:546;width:6012;height:22" type="#_x0000_t75" stroked="false">
              <v:imagedata r:id="rId1680" o:title=""/>
            </v:shape>
            <v:line style="position:absolute" from="5368,340" to="5368,551" stroked="true" strokeweight=".359986pt" strokecolor="#ffffff">
              <v:stroke dashstyle="solid"/>
            </v:line>
            <v:shape style="position:absolute;left:328;top:327;width:11345;height:22" type="#_x0000_t75" stroked="false">
              <v:imagedata r:id="rId1503" o:title=""/>
            </v:shape>
            <v:shape style="position:absolute;left:6333;top:546;width:5340;height:22" type="#_x0000_t75" stroked="false">
              <v:imagedata r:id="rId1574" o:title=""/>
            </v:shape>
            <v:shape style="position:absolute;left:328;top:327;width:11345;height:240" type="#_x0000_t202" filled="false" stroked="false">
              <v:textbox inset="0,0,0,0">
                <w:txbxContent>
                  <w:p>
                    <w:pPr>
                      <w:spacing w:before="63"/>
                      <w:ind w:left="33" w:right="0" w:firstLine="0"/>
                      <w:jc w:val="left"/>
                      <w:rPr>
                        <w:b/>
                        <w:sz w:val="14"/>
                      </w:rPr>
                    </w:pPr>
                    <w:r>
                      <w:rPr>
                        <w:b/>
                        <w:w w:val="105"/>
                        <w:sz w:val="14"/>
                      </w:rPr>
                      <w:t>S5B. Status of the District's Projected Contributions, Transfers, and Capital Projects</w:t>
                    </w:r>
                  </w:p>
                </w:txbxContent>
              </v:textbox>
              <w10:wrap type="none"/>
            </v:shape>
            <w10:wrap type="topAndBottom"/>
          </v:group>
        </w:pict>
      </w:r>
    </w:p>
    <w:p>
      <w:pPr>
        <w:pStyle w:val="BodyText"/>
        <w:spacing w:before="6"/>
        <w:rPr>
          <w:sz w:val="12"/>
        </w:rPr>
      </w:pPr>
    </w:p>
    <w:p>
      <w:pPr>
        <w:pStyle w:val="BodyText"/>
        <w:ind w:left="322"/>
      </w:pPr>
      <w:r>
        <w:rPr/>
        <w:t>DATA ENTRY: Enter an explanation if Not Met for items 1a-1c or if Yes for item</w:t>
      </w:r>
      <w:r>
        <w:rPr>
          <w:spacing w:val="27"/>
        </w:rPr>
        <w:t> </w:t>
      </w:r>
      <w:r>
        <w:rPr/>
        <w:t>1d.</w:t>
      </w:r>
    </w:p>
    <w:p>
      <w:pPr>
        <w:pStyle w:val="BodyText"/>
        <w:spacing w:before="11"/>
        <w:rPr>
          <w:sz w:val="14"/>
        </w:rPr>
      </w:pPr>
    </w:p>
    <w:p>
      <w:pPr>
        <w:pStyle w:val="BodyText"/>
        <w:ind w:left="821" w:right="842" w:hanging="370"/>
      </w:pPr>
      <w:r>
        <w:rPr/>
        <w:t>1a.     NOT MET - The projected contributions from the unrestricted general fund to restricted general fund programs have changed by more than the standard for one or more of the budget   or subsequent two fiscal years. Identify restricted programs and amount of contribution for each program and whether contributions are ongoing or one-time in nature. Explain the district's plan, with timeframes, for reducing or eliminating the</w:t>
      </w:r>
      <w:r>
        <w:rPr>
          <w:spacing w:val="-3"/>
        </w:rPr>
        <w:t> </w:t>
      </w:r>
      <w:r>
        <w:rPr/>
        <w:t>contribution.</w:t>
      </w:r>
    </w:p>
    <w:p>
      <w:pPr>
        <w:pStyle w:val="BodyText"/>
        <w:spacing w:before="10"/>
        <w:rPr>
          <w:sz w:val="19"/>
        </w:rPr>
      </w:pPr>
    </w:p>
    <w:p>
      <w:pPr>
        <w:spacing w:before="0"/>
        <w:ind w:left="0" w:right="8810" w:firstLine="0"/>
        <w:jc w:val="center"/>
        <w:rPr>
          <w:b/>
          <w:sz w:val="13"/>
        </w:rPr>
      </w:pPr>
      <w:r>
        <w:rPr/>
        <w:pict>
          <v:group style="position:absolute;margin-left:129.479996pt;margin-top:-.983078pt;width:454.2pt;height:34.450pt;mso-position-horizontal-relative:page;mso-position-vertical-relative:paragraph;z-index:252502016" coordorigin="2590,-20" coordsize="9084,689">
            <v:shape style="position:absolute;left:2589;top:-20;width:9084;height:689" type="#_x0000_t75" stroked="false">
              <v:imagedata r:id="rId1738" o:title=""/>
            </v:shape>
            <v:shape style="position:absolute;left:2589;top:-20;width:9084;height:689" type="#_x0000_t202" filled="false" stroked="false">
              <v:textbox inset="0,0,0,0">
                <w:txbxContent>
                  <w:p>
                    <w:pPr>
                      <w:spacing w:before="5"/>
                      <w:ind w:left="33" w:right="0" w:firstLine="0"/>
                      <w:jc w:val="left"/>
                      <w:rPr>
                        <w:sz w:val="13"/>
                      </w:rPr>
                    </w:pPr>
                    <w:r>
                      <w:rPr>
                        <w:sz w:val="13"/>
                      </w:rPr>
                      <w:t>The district does not meet the standard for contributions in 22-23 due to the removal of one-time Covid19 funds, which reduced the contribution in 21-22.</w:t>
                    </w:r>
                  </w:p>
                </w:txbxContent>
              </v:textbox>
              <w10:wrap type="none"/>
            </v:shape>
            <w10:wrap type="none"/>
          </v:group>
        </w:pict>
      </w:r>
      <w:r>
        <w:rPr>
          <w:b/>
          <w:sz w:val="13"/>
        </w:rPr>
        <w:t>Explanation:</w:t>
      </w:r>
    </w:p>
    <w:p>
      <w:pPr>
        <w:pStyle w:val="BodyText"/>
        <w:spacing w:before="23"/>
        <w:ind w:right="8810"/>
        <w:jc w:val="center"/>
      </w:pPr>
      <w:r>
        <w:rPr/>
        <w:t>(required if NOT met)</w:t>
      </w:r>
    </w:p>
    <w:p>
      <w:pPr>
        <w:pStyle w:val="BodyText"/>
        <w:rPr>
          <w:sz w:val="20"/>
        </w:rPr>
      </w:pPr>
    </w:p>
    <w:p>
      <w:pPr>
        <w:pStyle w:val="BodyText"/>
        <w:spacing w:before="2"/>
        <w:rPr>
          <w:sz w:val="16"/>
        </w:rPr>
      </w:pPr>
    </w:p>
    <w:p>
      <w:pPr>
        <w:pStyle w:val="BodyText"/>
        <w:spacing w:before="97"/>
        <w:ind w:left="451"/>
      </w:pPr>
      <w:r>
        <w:rPr/>
        <w:t>1b. MET - Projected transfers in have not changed by more than the standard for the budget and two subsequent fiscal years.</w:t>
      </w:r>
    </w:p>
    <w:p>
      <w:pPr>
        <w:pStyle w:val="BodyText"/>
        <w:rPr>
          <w:sz w:val="14"/>
        </w:rPr>
      </w:pPr>
    </w:p>
    <w:p>
      <w:pPr>
        <w:pStyle w:val="BodyText"/>
        <w:rPr>
          <w:sz w:val="14"/>
        </w:rPr>
      </w:pPr>
    </w:p>
    <w:p>
      <w:pPr>
        <w:pStyle w:val="BodyText"/>
        <w:spacing w:before="4"/>
        <w:rPr>
          <w:sz w:val="19"/>
        </w:rPr>
      </w:pPr>
    </w:p>
    <w:p>
      <w:pPr>
        <w:spacing w:before="0"/>
        <w:ind w:left="0" w:right="8810" w:firstLine="0"/>
        <w:jc w:val="center"/>
        <w:rPr>
          <w:b/>
          <w:sz w:val="13"/>
        </w:rPr>
      </w:pPr>
      <w:r>
        <w:rPr/>
        <w:drawing>
          <wp:anchor distT="0" distB="0" distL="0" distR="0" allowOverlap="1" layoutInCell="1" locked="0" behindDoc="0" simplePos="0" relativeHeight="252503040">
            <wp:simplePos x="0" y="0"/>
            <wp:positionH relativeFrom="page">
              <wp:posOffset>1644395</wp:posOffset>
            </wp:positionH>
            <wp:positionV relativeFrom="paragraph">
              <wp:posOffset>-12485</wp:posOffset>
            </wp:positionV>
            <wp:extent cx="5768339" cy="437387"/>
            <wp:effectExtent l="0" t="0" r="0" b="0"/>
            <wp:wrapNone/>
            <wp:docPr id="141" name="image1632.png"/>
            <wp:cNvGraphicFramePr>
              <a:graphicFrameLocks noChangeAspect="1"/>
            </wp:cNvGraphicFramePr>
            <a:graphic>
              <a:graphicData uri="http://schemas.openxmlformats.org/drawingml/2006/picture">
                <pic:pic>
                  <pic:nvPicPr>
                    <pic:cNvPr id="142" name="image1632.png"/>
                    <pic:cNvPicPr/>
                  </pic:nvPicPr>
                  <pic:blipFill>
                    <a:blip r:embed="rId1738" cstate="print"/>
                    <a:stretch>
                      <a:fillRect/>
                    </a:stretch>
                  </pic:blipFill>
                  <pic:spPr>
                    <a:xfrm>
                      <a:off x="0" y="0"/>
                      <a:ext cx="5768339" cy="437387"/>
                    </a:xfrm>
                    <a:prstGeom prst="rect">
                      <a:avLst/>
                    </a:prstGeom>
                  </pic:spPr>
                </pic:pic>
              </a:graphicData>
            </a:graphic>
          </wp:anchor>
        </w:drawing>
      </w:r>
      <w:r>
        <w:rPr>
          <w:b/>
          <w:sz w:val="13"/>
        </w:rPr>
        <w:t>Explanation:</w:t>
      </w:r>
    </w:p>
    <w:p>
      <w:pPr>
        <w:pStyle w:val="BodyText"/>
        <w:spacing w:before="23"/>
        <w:ind w:right="8810"/>
        <w:jc w:val="center"/>
      </w:pPr>
      <w:r>
        <w:rPr/>
        <w:t>(required if NOT met)</w:t>
      </w:r>
    </w:p>
    <w:p>
      <w:pPr>
        <w:spacing w:after="0"/>
        <w:jc w:val="center"/>
        <w:sectPr>
          <w:pgSz w:w="12240" w:h="15840"/>
          <w:pgMar w:header="402" w:footer="584" w:top="840" w:bottom="780" w:left="40" w:right="40"/>
        </w:sectPr>
      </w:pPr>
    </w:p>
    <w:p>
      <w:pPr>
        <w:pStyle w:val="BodyText"/>
        <w:rPr>
          <w:sz w:val="20"/>
        </w:rPr>
      </w:pPr>
    </w:p>
    <w:p>
      <w:pPr>
        <w:pStyle w:val="BodyText"/>
        <w:spacing w:before="2"/>
        <w:rPr>
          <w:sz w:val="29"/>
        </w:rPr>
      </w:pPr>
    </w:p>
    <w:p>
      <w:pPr>
        <w:pStyle w:val="BodyText"/>
        <w:spacing w:before="98"/>
        <w:ind w:left="454"/>
      </w:pPr>
      <w:r>
        <w:rPr/>
        <w:t>1c. MET - Projected transfers out have not changed by more than the standard for the budget and two subsequent fiscal years.</w:t>
      </w:r>
    </w:p>
    <w:p>
      <w:pPr>
        <w:pStyle w:val="BodyText"/>
        <w:rPr>
          <w:sz w:val="14"/>
        </w:rPr>
      </w:pPr>
    </w:p>
    <w:p>
      <w:pPr>
        <w:pStyle w:val="BodyText"/>
        <w:rPr>
          <w:sz w:val="14"/>
        </w:rPr>
      </w:pPr>
    </w:p>
    <w:p>
      <w:pPr>
        <w:pStyle w:val="BodyText"/>
        <w:spacing w:before="3"/>
        <w:rPr>
          <w:sz w:val="19"/>
        </w:rPr>
      </w:pPr>
    </w:p>
    <w:p>
      <w:pPr>
        <w:spacing w:before="1"/>
        <w:ind w:left="0" w:right="8810" w:firstLine="0"/>
        <w:jc w:val="center"/>
        <w:rPr>
          <w:b/>
          <w:sz w:val="13"/>
        </w:rPr>
      </w:pPr>
      <w:r>
        <w:rPr/>
        <w:drawing>
          <wp:anchor distT="0" distB="0" distL="0" distR="0" allowOverlap="1" layoutInCell="1" locked="0" behindDoc="0" simplePos="0" relativeHeight="252510208">
            <wp:simplePos x="0" y="0"/>
            <wp:positionH relativeFrom="page">
              <wp:posOffset>1644395</wp:posOffset>
            </wp:positionH>
            <wp:positionV relativeFrom="paragraph">
              <wp:posOffset>-11850</wp:posOffset>
            </wp:positionV>
            <wp:extent cx="5768339" cy="437387"/>
            <wp:effectExtent l="0" t="0" r="0" b="0"/>
            <wp:wrapNone/>
            <wp:docPr id="143" name="image1632.png"/>
            <wp:cNvGraphicFramePr>
              <a:graphicFrameLocks noChangeAspect="1"/>
            </wp:cNvGraphicFramePr>
            <a:graphic>
              <a:graphicData uri="http://schemas.openxmlformats.org/drawingml/2006/picture">
                <pic:pic>
                  <pic:nvPicPr>
                    <pic:cNvPr id="144" name="image1632.png"/>
                    <pic:cNvPicPr/>
                  </pic:nvPicPr>
                  <pic:blipFill>
                    <a:blip r:embed="rId1738" cstate="print"/>
                    <a:stretch>
                      <a:fillRect/>
                    </a:stretch>
                  </pic:blipFill>
                  <pic:spPr>
                    <a:xfrm>
                      <a:off x="0" y="0"/>
                      <a:ext cx="5768339" cy="437387"/>
                    </a:xfrm>
                    <a:prstGeom prst="rect">
                      <a:avLst/>
                    </a:prstGeom>
                  </pic:spPr>
                </pic:pic>
              </a:graphicData>
            </a:graphic>
          </wp:anchor>
        </w:drawing>
      </w:r>
      <w:r>
        <w:rPr>
          <w:b/>
          <w:sz w:val="13"/>
        </w:rPr>
        <w:t>Explanation:</w:t>
      </w:r>
    </w:p>
    <w:p>
      <w:pPr>
        <w:pStyle w:val="BodyText"/>
        <w:spacing w:before="23"/>
        <w:ind w:right="8810"/>
        <w:jc w:val="center"/>
      </w:pPr>
      <w:r>
        <w:rPr/>
        <w:t>(required if NOT met)</w:t>
      </w:r>
    </w:p>
    <w:p>
      <w:pPr>
        <w:pStyle w:val="BodyText"/>
        <w:rPr>
          <w:sz w:val="14"/>
        </w:rPr>
      </w:pPr>
    </w:p>
    <w:p>
      <w:pPr>
        <w:pStyle w:val="BodyText"/>
        <w:rPr>
          <w:sz w:val="14"/>
        </w:rPr>
      </w:pPr>
    </w:p>
    <w:p>
      <w:pPr>
        <w:pStyle w:val="BodyText"/>
        <w:spacing w:before="7"/>
        <w:rPr>
          <w:sz w:val="16"/>
        </w:rPr>
      </w:pPr>
    </w:p>
    <w:p>
      <w:pPr>
        <w:pStyle w:val="BodyText"/>
        <w:ind w:left="451"/>
      </w:pPr>
      <w:r>
        <w:rPr/>
        <w:t>1d. NO - There are no capital projects that may impact the general fund operational budget.</w:t>
      </w:r>
    </w:p>
    <w:p>
      <w:pPr>
        <w:pStyle w:val="BodyText"/>
        <w:rPr>
          <w:sz w:val="14"/>
        </w:rPr>
      </w:pPr>
    </w:p>
    <w:p>
      <w:pPr>
        <w:pStyle w:val="BodyText"/>
        <w:rPr>
          <w:sz w:val="14"/>
        </w:rPr>
      </w:pPr>
    </w:p>
    <w:p>
      <w:pPr>
        <w:pStyle w:val="BodyText"/>
        <w:spacing w:before="1"/>
        <w:rPr>
          <w:sz w:val="19"/>
        </w:rPr>
      </w:pPr>
    </w:p>
    <w:p>
      <w:pPr>
        <w:spacing w:before="0"/>
        <w:ind w:left="0" w:right="8808" w:firstLine="0"/>
        <w:jc w:val="center"/>
        <w:rPr>
          <w:b/>
          <w:sz w:val="13"/>
        </w:rPr>
      </w:pPr>
      <w:r>
        <w:rPr>
          <w:b/>
          <w:sz w:val="13"/>
        </w:rPr>
        <w:t>Project Information:</w:t>
      </w:r>
    </w:p>
    <w:p>
      <w:pPr>
        <w:pStyle w:val="BodyText"/>
        <w:spacing w:line="20" w:lineRule="exact"/>
        <w:ind w:left="2549"/>
        <w:rPr>
          <w:sz w:val="2"/>
        </w:rPr>
      </w:pPr>
      <w:r>
        <w:rPr>
          <w:sz w:val="2"/>
        </w:rPr>
        <w:drawing>
          <wp:inline distT="0" distB="0" distL="0" distR="0">
            <wp:extent cx="5768712" cy="4572"/>
            <wp:effectExtent l="0" t="0" r="0" b="0"/>
            <wp:docPr id="145" name="image1566.png"/>
            <wp:cNvGraphicFramePr>
              <a:graphicFrameLocks noChangeAspect="1"/>
            </wp:cNvGraphicFramePr>
            <a:graphic>
              <a:graphicData uri="http://schemas.openxmlformats.org/drawingml/2006/picture">
                <pic:pic>
                  <pic:nvPicPr>
                    <pic:cNvPr id="146" name="image1566.png"/>
                    <pic:cNvPicPr/>
                  </pic:nvPicPr>
                  <pic:blipFill>
                    <a:blip r:embed="rId1668" cstate="print"/>
                    <a:stretch>
                      <a:fillRect/>
                    </a:stretch>
                  </pic:blipFill>
                  <pic:spPr>
                    <a:xfrm>
                      <a:off x="0" y="0"/>
                      <a:ext cx="5768712" cy="4572"/>
                    </a:xfrm>
                    <a:prstGeom prst="rect">
                      <a:avLst/>
                    </a:prstGeom>
                  </pic:spPr>
                </pic:pic>
              </a:graphicData>
            </a:graphic>
          </wp:inline>
        </w:drawing>
      </w:r>
      <w:r>
        <w:rPr>
          <w:sz w:val="2"/>
        </w:rPr>
      </w:r>
    </w:p>
    <w:p>
      <w:pPr>
        <w:pStyle w:val="BodyText"/>
        <w:spacing w:before="16"/>
        <w:ind w:right="8809"/>
        <w:jc w:val="center"/>
      </w:pPr>
      <w:r>
        <w:rPr/>
        <w:t>(required if YES)</w:t>
      </w:r>
    </w:p>
    <w:p>
      <w:pPr>
        <w:pStyle w:val="BodyText"/>
        <w:spacing w:line="20" w:lineRule="exact"/>
        <w:ind w:left="2549"/>
        <w:rPr>
          <w:sz w:val="2"/>
        </w:rPr>
      </w:pPr>
      <w:r>
        <w:rPr>
          <w:sz w:val="2"/>
        </w:rPr>
        <w:drawing>
          <wp:inline distT="0" distB="0" distL="0" distR="0">
            <wp:extent cx="5768339" cy="4572"/>
            <wp:effectExtent l="0" t="0" r="0" b="0"/>
            <wp:docPr id="147" name="image1566.png"/>
            <wp:cNvGraphicFramePr>
              <a:graphicFrameLocks noChangeAspect="1"/>
            </wp:cNvGraphicFramePr>
            <a:graphic>
              <a:graphicData uri="http://schemas.openxmlformats.org/drawingml/2006/picture">
                <pic:pic>
                  <pic:nvPicPr>
                    <pic:cNvPr id="148" name="image1566.png"/>
                    <pic:cNvPicPr/>
                  </pic:nvPicPr>
                  <pic:blipFill>
                    <a:blip r:embed="rId1668" cstate="print"/>
                    <a:stretch>
                      <a:fillRect/>
                    </a:stretch>
                  </pic:blipFill>
                  <pic:spPr>
                    <a:xfrm>
                      <a:off x="0" y="0"/>
                      <a:ext cx="5768339" cy="4572"/>
                    </a:xfrm>
                    <a:prstGeom prst="rect">
                      <a:avLst/>
                    </a:prstGeom>
                  </pic:spPr>
                </pic:pic>
              </a:graphicData>
            </a:graphic>
          </wp:inline>
        </w:drawing>
      </w:r>
      <w:r>
        <w:rPr>
          <w:sz w:val="2"/>
        </w:rPr>
      </w:r>
    </w:p>
    <w:p>
      <w:pPr>
        <w:pStyle w:val="BodyText"/>
        <w:spacing w:before="10"/>
        <w:rPr>
          <w:sz w:val="10"/>
        </w:rPr>
      </w:pPr>
      <w:r>
        <w:rPr/>
        <w:drawing>
          <wp:anchor distT="0" distB="0" distL="0" distR="0" allowOverlap="1" layoutInCell="1" locked="0" behindDoc="0" simplePos="0" relativeHeight="826">
            <wp:simplePos x="0" y="0"/>
            <wp:positionH relativeFrom="page">
              <wp:posOffset>1644395</wp:posOffset>
            </wp:positionH>
            <wp:positionV relativeFrom="paragraph">
              <wp:posOffset>104211</wp:posOffset>
            </wp:positionV>
            <wp:extent cx="5768339" cy="4572"/>
            <wp:effectExtent l="0" t="0" r="0" b="0"/>
            <wp:wrapTopAndBottom/>
            <wp:docPr id="149" name="image1566.png"/>
            <wp:cNvGraphicFramePr>
              <a:graphicFrameLocks noChangeAspect="1"/>
            </wp:cNvGraphicFramePr>
            <a:graphic>
              <a:graphicData uri="http://schemas.openxmlformats.org/drawingml/2006/picture">
                <pic:pic>
                  <pic:nvPicPr>
                    <pic:cNvPr id="150" name="image1566.png"/>
                    <pic:cNvPicPr/>
                  </pic:nvPicPr>
                  <pic:blipFill>
                    <a:blip r:embed="rId1668" cstate="print"/>
                    <a:stretch>
                      <a:fillRect/>
                    </a:stretch>
                  </pic:blipFill>
                  <pic:spPr>
                    <a:xfrm>
                      <a:off x="0" y="0"/>
                      <a:ext cx="5768339" cy="4572"/>
                    </a:xfrm>
                    <a:prstGeom prst="rect">
                      <a:avLst/>
                    </a:prstGeom>
                  </pic:spPr>
                </pic:pic>
              </a:graphicData>
            </a:graphic>
          </wp:anchor>
        </w:drawing>
      </w:r>
      <w:r>
        <w:rPr/>
        <w:drawing>
          <wp:anchor distT="0" distB="0" distL="0" distR="0" allowOverlap="1" layoutInCell="1" locked="0" behindDoc="0" simplePos="0" relativeHeight="827">
            <wp:simplePos x="0" y="0"/>
            <wp:positionH relativeFrom="page">
              <wp:posOffset>1644395</wp:posOffset>
            </wp:positionH>
            <wp:positionV relativeFrom="paragraph">
              <wp:posOffset>221559</wp:posOffset>
            </wp:positionV>
            <wp:extent cx="5768339" cy="4572"/>
            <wp:effectExtent l="0" t="0" r="0" b="0"/>
            <wp:wrapTopAndBottom/>
            <wp:docPr id="151" name="image1566.png"/>
            <wp:cNvGraphicFramePr>
              <a:graphicFrameLocks noChangeAspect="1"/>
            </wp:cNvGraphicFramePr>
            <a:graphic>
              <a:graphicData uri="http://schemas.openxmlformats.org/drawingml/2006/picture">
                <pic:pic>
                  <pic:nvPicPr>
                    <pic:cNvPr id="152" name="image1566.png"/>
                    <pic:cNvPicPr/>
                  </pic:nvPicPr>
                  <pic:blipFill>
                    <a:blip r:embed="rId1668" cstate="print"/>
                    <a:stretch>
                      <a:fillRect/>
                    </a:stretch>
                  </pic:blipFill>
                  <pic:spPr>
                    <a:xfrm>
                      <a:off x="0" y="0"/>
                      <a:ext cx="5768339" cy="4572"/>
                    </a:xfrm>
                    <a:prstGeom prst="rect">
                      <a:avLst/>
                    </a:prstGeom>
                  </pic:spPr>
                </pic:pic>
              </a:graphicData>
            </a:graphic>
          </wp:anchor>
        </w:drawing>
      </w:r>
      <w:r>
        <w:rPr/>
        <w:drawing>
          <wp:anchor distT="0" distB="0" distL="0" distR="0" allowOverlap="1" layoutInCell="1" locked="0" behindDoc="0" simplePos="0" relativeHeight="828">
            <wp:simplePos x="0" y="0"/>
            <wp:positionH relativeFrom="page">
              <wp:posOffset>1644395</wp:posOffset>
            </wp:positionH>
            <wp:positionV relativeFrom="paragraph">
              <wp:posOffset>338907</wp:posOffset>
            </wp:positionV>
            <wp:extent cx="5768700" cy="4572"/>
            <wp:effectExtent l="0" t="0" r="0" b="0"/>
            <wp:wrapTopAndBottom/>
            <wp:docPr id="153" name="image1566.png"/>
            <wp:cNvGraphicFramePr>
              <a:graphicFrameLocks noChangeAspect="1"/>
            </wp:cNvGraphicFramePr>
            <a:graphic>
              <a:graphicData uri="http://schemas.openxmlformats.org/drawingml/2006/picture">
                <pic:pic>
                  <pic:nvPicPr>
                    <pic:cNvPr id="154" name="image1566.png"/>
                    <pic:cNvPicPr/>
                  </pic:nvPicPr>
                  <pic:blipFill>
                    <a:blip r:embed="rId1668" cstate="print"/>
                    <a:stretch>
                      <a:fillRect/>
                    </a:stretch>
                  </pic:blipFill>
                  <pic:spPr>
                    <a:xfrm>
                      <a:off x="0" y="0"/>
                      <a:ext cx="5768700" cy="4572"/>
                    </a:xfrm>
                    <a:prstGeom prst="rect">
                      <a:avLst/>
                    </a:prstGeom>
                  </pic:spPr>
                </pic:pic>
              </a:graphicData>
            </a:graphic>
          </wp:anchor>
        </w:drawing>
      </w:r>
      <w:r>
        <w:rPr/>
        <w:drawing>
          <wp:anchor distT="0" distB="0" distL="0" distR="0" allowOverlap="1" layoutInCell="1" locked="0" behindDoc="0" simplePos="0" relativeHeight="829">
            <wp:simplePos x="0" y="0"/>
            <wp:positionH relativeFrom="page">
              <wp:posOffset>1644395</wp:posOffset>
            </wp:positionH>
            <wp:positionV relativeFrom="paragraph">
              <wp:posOffset>456255</wp:posOffset>
            </wp:positionV>
            <wp:extent cx="5768712" cy="4572"/>
            <wp:effectExtent l="0" t="0" r="0" b="0"/>
            <wp:wrapTopAndBottom/>
            <wp:docPr id="155" name="image1566.png"/>
            <wp:cNvGraphicFramePr>
              <a:graphicFrameLocks noChangeAspect="1"/>
            </wp:cNvGraphicFramePr>
            <a:graphic>
              <a:graphicData uri="http://schemas.openxmlformats.org/drawingml/2006/picture">
                <pic:pic>
                  <pic:nvPicPr>
                    <pic:cNvPr id="156" name="image1566.png"/>
                    <pic:cNvPicPr/>
                  </pic:nvPicPr>
                  <pic:blipFill>
                    <a:blip r:embed="rId1668" cstate="print"/>
                    <a:stretch>
                      <a:fillRect/>
                    </a:stretch>
                  </pic:blipFill>
                  <pic:spPr>
                    <a:xfrm>
                      <a:off x="0" y="0"/>
                      <a:ext cx="5768712" cy="4572"/>
                    </a:xfrm>
                    <a:prstGeom prst="rect">
                      <a:avLst/>
                    </a:prstGeom>
                  </pic:spPr>
                </pic:pic>
              </a:graphicData>
            </a:graphic>
          </wp:anchor>
        </w:drawing>
      </w:r>
      <w:r>
        <w:rPr/>
        <w:drawing>
          <wp:anchor distT="0" distB="0" distL="0" distR="0" allowOverlap="1" layoutInCell="1" locked="0" behindDoc="0" simplePos="0" relativeHeight="830">
            <wp:simplePos x="0" y="0"/>
            <wp:positionH relativeFrom="page">
              <wp:posOffset>1644395</wp:posOffset>
            </wp:positionH>
            <wp:positionV relativeFrom="paragraph">
              <wp:posOffset>573603</wp:posOffset>
            </wp:positionV>
            <wp:extent cx="5768339" cy="4572"/>
            <wp:effectExtent l="0" t="0" r="0" b="0"/>
            <wp:wrapTopAndBottom/>
            <wp:docPr id="157" name="image1566.png"/>
            <wp:cNvGraphicFramePr>
              <a:graphicFrameLocks noChangeAspect="1"/>
            </wp:cNvGraphicFramePr>
            <a:graphic>
              <a:graphicData uri="http://schemas.openxmlformats.org/drawingml/2006/picture">
                <pic:pic>
                  <pic:nvPicPr>
                    <pic:cNvPr id="158" name="image1566.png"/>
                    <pic:cNvPicPr/>
                  </pic:nvPicPr>
                  <pic:blipFill>
                    <a:blip r:embed="rId1668" cstate="print"/>
                    <a:stretch>
                      <a:fillRect/>
                    </a:stretch>
                  </pic:blipFill>
                  <pic:spPr>
                    <a:xfrm>
                      <a:off x="0" y="0"/>
                      <a:ext cx="5768339" cy="4572"/>
                    </a:xfrm>
                    <a:prstGeom prst="rect">
                      <a:avLst/>
                    </a:prstGeom>
                  </pic:spPr>
                </pic:pic>
              </a:graphicData>
            </a:graphic>
          </wp:anchor>
        </w:drawing>
      </w:r>
      <w:r>
        <w:rPr/>
        <w:drawing>
          <wp:anchor distT="0" distB="0" distL="0" distR="0" allowOverlap="1" layoutInCell="1" locked="0" behindDoc="0" simplePos="0" relativeHeight="831">
            <wp:simplePos x="0" y="0"/>
            <wp:positionH relativeFrom="page">
              <wp:posOffset>1644395</wp:posOffset>
            </wp:positionH>
            <wp:positionV relativeFrom="paragraph">
              <wp:posOffset>690951</wp:posOffset>
            </wp:positionV>
            <wp:extent cx="5768339" cy="4572"/>
            <wp:effectExtent l="0" t="0" r="0" b="0"/>
            <wp:wrapTopAndBottom/>
            <wp:docPr id="159" name="image1566.png"/>
            <wp:cNvGraphicFramePr>
              <a:graphicFrameLocks noChangeAspect="1"/>
            </wp:cNvGraphicFramePr>
            <a:graphic>
              <a:graphicData uri="http://schemas.openxmlformats.org/drawingml/2006/picture">
                <pic:pic>
                  <pic:nvPicPr>
                    <pic:cNvPr id="160" name="image1566.png"/>
                    <pic:cNvPicPr/>
                  </pic:nvPicPr>
                  <pic:blipFill>
                    <a:blip r:embed="rId1668" cstate="print"/>
                    <a:stretch>
                      <a:fillRect/>
                    </a:stretch>
                  </pic:blipFill>
                  <pic:spPr>
                    <a:xfrm>
                      <a:off x="0" y="0"/>
                      <a:ext cx="5768339" cy="4572"/>
                    </a:xfrm>
                    <a:prstGeom prst="rect">
                      <a:avLst/>
                    </a:prstGeom>
                  </pic:spPr>
                </pic:pic>
              </a:graphicData>
            </a:graphic>
          </wp:anchor>
        </w:drawing>
      </w:r>
    </w:p>
    <w:p>
      <w:pPr>
        <w:pStyle w:val="BodyText"/>
        <w:spacing w:before="6"/>
        <w:rPr>
          <w:sz w:val="9"/>
        </w:rPr>
      </w:pPr>
    </w:p>
    <w:p>
      <w:pPr>
        <w:pStyle w:val="BodyText"/>
        <w:spacing w:before="6"/>
        <w:rPr>
          <w:sz w:val="9"/>
        </w:rPr>
      </w:pPr>
    </w:p>
    <w:p>
      <w:pPr>
        <w:pStyle w:val="BodyText"/>
        <w:spacing w:before="6"/>
        <w:rPr>
          <w:sz w:val="9"/>
        </w:rPr>
      </w:pPr>
    </w:p>
    <w:p>
      <w:pPr>
        <w:pStyle w:val="BodyText"/>
        <w:spacing w:before="6"/>
        <w:rPr>
          <w:sz w:val="9"/>
        </w:rPr>
      </w:pPr>
    </w:p>
    <w:p>
      <w:pPr>
        <w:pStyle w:val="BodyText"/>
        <w:spacing w:before="6"/>
        <w:rPr>
          <w:sz w:val="9"/>
        </w:rPr>
      </w:pPr>
    </w:p>
    <w:p>
      <w:pPr>
        <w:spacing w:after="0"/>
        <w:rPr>
          <w:sz w:val="9"/>
        </w:rPr>
        <w:sectPr>
          <w:pgSz w:w="12240" w:h="15840"/>
          <w:pgMar w:header="402" w:footer="584" w:top="840" w:bottom="780" w:left="40" w:right="40"/>
        </w:sectPr>
      </w:pPr>
    </w:p>
    <w:p>
      <w:pPr>
        <w:pStyle w:val="BodyText"/>
        <w:rPr>
          <w:sz w:val="20"/>
        </w:rPr>
      </w:pPr>
    </w:p>
    <w:p>
      <w:pPr>
        <w:pStyle w:val="BodyText"/>
        <w:spacing w:before="1"/>
        <w:rPr>
          <w:sz w:val="23"/>
        </w:rPr>
      </w:pPr>
    </w:p>
    <w:p>
      <w:pPr>
        <w:pStyle w:val="Heading4"/>
        <w:spacing w:before="1"/>
        <w:ind w:left="425" w:firstLine="0"/>
      </w:pPr>
      <w:r>
        <w:rPr/>
        <w:t>S6. Long-term Commitments</w:t>
      </w:r>
    </w:p>
    <w:p>
      <w:pPr>
        <w:pStyle w:val="BodyText"/>
        <w:spacing w:before="5"/>
        <w:rPr>
          <w:b/>
          <w:sz w:val="26"/>
        </w:rPr>
      </w:pPr>
    </w:p>
    <w:p>
      <w:pPr>
        <w:pStyle w:val="BodyText"/>
        <w:spacing w:before="1"/>
        <w:ind w:left="821"/>
      </w:pPr>
      <w:r>
        <w:rPr/>
        <w:t>Identify all existing and new multiyear commitments¹ and their annual required payments for the budget year and two subsequent fiscal years.</w:t>
      </w:r>
    </w:p>
    <w:p>
      <w:pPr>
        <w:pStyle w:val="BodyText"/>
        <w:spacing w:before="3"/>
      </w:pPr>
    </w:p>
    <w:p>
      <w:pPr>
        <w:pStyle w:val="BodyText"/>
        <w:spacing w:line="540" w:lineRule="auto"/>
        <w:ind w:left="821" w:right="1793"/>
      </w:pPr>
      <w:r>
        <w:rPr/>
        <w:drawing>
          <wp:anchor distT="0" distB="0" distL="0" distR="0" allowOverlap="1" layoutInCell="1" locked="0" behindDoc="1" simplePos="0" relativeHeight="189479936">
            <wp:simplePos x="0" y="0"/>
            <wp:positionH relativeFrom="page">
              <wp:posOffset>208788</wp:posOffset>
            </wp:positionH>
            <wp:positionV relativeFrom="paragraph">
              <wp:posOffset>409663</wp:posOffset>
            </wp:positionV>
            <wp:extent cx="7203947" cy="13715"/>
            <wp:effectExtent l="0" t="0" r="0" b="0"/>
            <wp:wrapNone/>
            <wp:docPr id="161" name="image1401.png"/>
            <wp:cNvGraphicFramePr>
              <a:graphicFrameLocks noChangeAspect="1"/>
            </wp:cNvGraphicFramePr>
            <a:graphic>
              <a:graphicData uri="http://schemas.openxmlformats.org/drawingml/2006/picture">
                <pic:pic>
                  <pic:nvPicPr>
                    <pic:cNvPr id="162" name="image1401.png"/>
                    <pic:cNvPicPr/>
                  </pic:nvPicPr>
                  <pic:blipFill>
                    <a:blip r:embed="rId1503" cstate="print"/>
                    <a:stretch>
                      <a:fillRect/>
                    </a:stretch>
                  </pic:blipFill>
                  <pic:spPr>
                    <a:xfrm>
                      <a:off x="0" y="0"/>
                      <a:ext cx="7203947" cy="13715"/>
                    </a:xfrm>
                    <a:prstGeom prst="rect">
                      <a:avLst/>
                    </a:prstGeom>
                  </pic:spPr>
                </pic:pic>
              </a:graphicData>
            </a:graphic>
          </wp:anchor>
        </w:drawing>
      </w:r>
      <w:r>
        <w:rPr/>
        <w:t>Explain how any increase in annual payments will be funded. Also explain how any decrease to funding sources used to pay long-term commitments will be replaced.   ¹ Include multiyear commitments, multiyear debt agreements, and new programs or contracts that result in long-term</w:t>
      </w:r>
      <w:r>
        <w:rPr>
          <w:spacing w:val="9"/>
        </w:rPr>
        <w:t> </w:t>
      </w:r>
      <w:r>
        <w:rPr/>
        <w:t>obligations.</w:t>
      </w:r>
    </w:p>
    <w:p>
      <w:pPr>
        <w:pStyle w:val="Heading8"/>
        <w:spacing w:before="36"/>
        <w:ind w:left="322"/>
      </w:pPr>
      <w:r>
        <w:rPr>
          <w:w w:val="105"/>
        </w:rPr>
        <w:t>S6A. Identification of the District's Long-term Commitments</w:t>
      </w:r>
    </w:p>
    <w:p>
      <w:pPr>
        <w:pStyle w:val="BodyText"/>
        <w:spacing w:line="21" w:lineRule="exact"/>
        <w:ind w:left="288"/>
        <w:rPr>
          <w:sz w:val="2"/>
        </w:rPr>
      </w:pPr>
      <w:r>
        <w:rPr>
          <w:sz w:val="2"/>
        </w:rPr>
        <w:pict>
          <v:group style="width:567.25pt;height:1.1pt;mso-position-horizontal-relative:char;mso-position-vertical-relative:line" coordorigin="0,0" coordsize="11345,22">
            <v:shape style="position:absolute;left:0;top:0;width:4438;height:22" type="#_x0000_t75" stroked="false">
              <v:imagedata r:id="rId1509" o:title=""/>
            </v:shape>
            <v:shape style="position:absolute;left:4430;top:0;width:6915;height:22" type="#_x0000_t75" stroked="false">
              <v:imagedata r:id="rId1510" o:title=""/>
            </v:shape>
          </v:group>
        </w:pict>
      </w:r>
      <w:r>
        <w:rPr>
          <w:sz w:val="2"/>
        </w:rPr>
      </w:r>
    </w:p>
    <w:p>
      <w:pPr>
        <w:pStyle w:val="BodyText"/>
        <w:rPr>
          <w:b/>
          <w:sz w:val="9"/>
        </w:rPr>
      </w:pPr>
    </w:p>
    <w:p>
      <w:pPr>
        <w:pStyle w:val="BodyText"/>
        <w:spacing w:before="98"/>
        <w:ind w:left="322"/>
      </w:pPr>
      <w:r>
        <w:rPr/>
        <w:t>DATA ENTRY: Click the appropriate button in item 1 and enter data in all columns of item 2 for applicable long-term commitments; there are no extractions in this section.</w:t>
      </w:r>
    </w:p>
    <w:p>
      <w:pPr>
        <w:pStyle w:val="BodyText"/>
        <w:spacing w:before="2"/>
        <w:rPr>
          <w:sz w:val="16"/>
        </w:rPr>
      </w:pPr>
    </w:p>
    <w:p>
      <w:pPr>
        <w:pStyle w:val="ListParagraph"/>
        <w:numPr>
          <w:ilvl w:val="0"/>
          <w:numId w:val="73"/>
        </w:numPr>
        <w:tabs>
          <w:tab w:pos="821" w:val="left" w:leader="none"/>
          <w:tab w:pos="822" w:val="left" w:leader="none"/>
        </w:tabs>
        <w:spacing w:line="268" w:lineRule="auto" w:before="0" w:after="0"/>
        <w:ind w:left="821" w:right="7838" w:hanging="334"/>
        <w:jc w:val="left"/>
        <w:rPr>
          <w:sz w:val="13"/>
        </w:rPr>
      </w:pPr>
      <w:r>
        <w:rPr/>
        <w:pict>
          <v:group style="position:absolute;margin-left:237.960007pt;margin-top:-.983082pt;width:79.1pt;height:17.2pt;mso-position-horizontal-relative:page;mso-position-vertical-relative:paragraph;z-index:252532736" coordorigin="4759,-20" coordsize="1582,344">
            <v:shape style="position:absolute;left:4759;top:-20;width:1582;height:344" type="#_x0000_t75" stroked="false">
              <v:imagedata r:id="rId1739" o:title=""/>
            </v:shape>
            <v:shape style="position:absolute;left:4759;top:-20;width:1582;height:344" type="#_x0000_t202" filled="false" stroked="false">
              <v:textbox inset="0,0,0,0">
                <w:txbxContent>
                  <w:p>
                    <w:pPr>
                      <w:spacing w:line="240" w:lineRule="auto" w:before="3"/>
                      <w:rPr>
                        <w:sz w:val="16"/>
                      </w:rPr>
                    </w:pPr>
                  </w:p>
                  <w:p>
                    <w:pPr>
                      <w:spacing w:before="0"/>
                      <w:ind w:left="659" w:right="659" w:firstLine="0"/>
                      <w:jc w:val="center"/>
                      <w:rPr>
                        <w:sz w:val="13"/>
                      </w:rPr>
                    </w:pPr>
                    <w:r>
                      <w:rPr>
                        <w:sz w:val="13"/>
                      </w:rPr>
                      <w:t>Yes</w:t>
                    </w:r>
                  </w:p>
                </w:txbxContent>
              </v:textbox>
              <w10:wrap type="none"/>
            </v:shape>
            <w10:wrap type="none"/>
          </v:group>
        </w:pict>
      </w:r>
      <w:r>
        <w:rPr>
          <w:sz w:val="13"/>
        </w:rPr>
        <w:t>Does your district have long-term (multiyear) commitments? (If No, skip item 2 and Sections S6B and</w:t>
      </w:r>
      <w:r>
        <w:rPr>
          <w:spacing w:val="13"/>
          <w:sz w:val="13"/>
        </w:rPr>
        <w:t> </w:t>
      </w:r>
      <w:r>
        <w:rPr>
          <w:sz w:val="13"/>
        </w:rPr>
        <w:t>S6C)</w:t>
      </w:r>
    </w:p>
    <w:p>
      <w:pPr>
        <w:pStyle w:val="BodyText"/>
        <w:spacing w:before="11"/>
        <w:rPr>
          <w:sz w:val="14"/>
        </w:rPr>
      </w:pPr>
    </w:p>
    <w:p>
      <w:pPr>
        <w:pStyle w:val="ListParagraph"/>
        <w:numPr>
          <w:ilvl w:val="0"/>
          <w:numId w:val="73"/>
        </w:numPr>
        <w:tabs>
          <w:tab w:pos="821" w:val="left" w:leader="none"/>
          <w:tab w:pos="822" w:val="left" w:leader="none"/>
        </w:tabs>
        <w:spacing w:line="240" w:lineRule="auto" w:before="0" w:after="0"/>
        <w:ind w:left="821" w:right="758" w:hanging="334"/>
        <w:jc w:val="left"/>
        <w:rPr>
          <w:sz w:val="13"/>
        </w:rPr>
      </w:pPr>
      <w:r>
        <w:rPr/>
        <w:pict>
          <v:group style="position:absolute;margin-left:16.440001pt;margin-top:41.976906pt;width:567.25pt;height:50.8pt;mso-position-horizontal-relative:page;mso-position-vertical-relative:paragraph;z-index:252534784" coordorigin="329,840" coordsize="11345,1016">
            <v:shape style="position:absolute;left:328;top:839;width:11345;height:1016" type="#_x0000_t75" stroked="false">
              <v:imagedata r:id="rId1740" o:title=""/>
            </v:shape>
            <v:shape style="position:absolute;left:328;top:839;width:11345;height:1016" type="#_x0000_t202" filled="false" stroked="false">
              <v:textbox inset="0,0,0,0">
                <w:txbxContent>
                  <w:p>
                    <w:pPr>
                      <w:spacing w:before="5"/>
                      <w:ind w:left="33" w:right="0" w:firstLine="0"/>
                      <w:jc w:val="left"/>
                      <w:rPr>
                        <w:sz w:val="13"/>
                      </w:rPr>
                    </w:pPr>
                    <w:r>
                      <w:rPr>
                        <w:sz w:val="13"/>
                      </w:rPr>
                      <w:t>Leases</w:t>
                    </w:r>
                  </w:p>
                  <w:p>
                    <w:pPr>
                      <w:spacing w:line="268" w:lineRule="auto" w:before="18"/>
                      <w:ind w:left="33" w:right="9745" w:firstLine="0"/>
                      <w:jc w:val="left"/>
                      <w:rPr>
                        <w:sz w:val="13"/>
                      </w:rPr>
                    </w:pPr>
                    <w:r>
                      <w:rPr>
                        <w:sz w:val="13"/>
                      </w:rPr>
                      <w:t>Certificates of Participation General Obligation Bonds</w:t>
                    </w:r>
                  </w:p>
                  <w:p>
                    <w:pPr>
                      <w:spacing w:line="268" w:lineRule="auto" w:before="2"/>
                      <w:ind w:left="33" w:right="9186" w:firstLine="0"/>
                      <w:jc w:val="left"/>
                      <w:rPr>
                        <w:sz w:val="13"/>
                      </w:rPr>
                    </w:pPr>
                    <w:r>
                      <w:rPr>
                        <w:sz w:val="13"/>
                      </w:rPr>
                      <w:t>Supp Early Retirement Program State School Building Loans Compensated Absences</w:t>
                    </w:r>
                  </w:p>
                </w:txbxContent>
              </v:textbox>
              <w10:wrap type="none"/>
            </v:shape>
            <w10:wrap type="none"/>
          </v:group>
        </w:pict>
      </w:r>
      <w:r>
        <w:rPr>
          <w:sz w:val="13"/>
        </w:rPr>
        <w:t>If Yes to item 1, list all new and existing multiyear commitments and required annual debt service amounts. Do not include long-term commitments for postemployment benefits other than pensions (OPEB); OPEB is disclosed in item</w:t>
      </w:r>
      <w:r>
        <w:rPr>
          <w:spacing w:val="5"/>
          <w:sz w:val="13"/>
        </w:rPr>
        <w:t> </w:t>
      </w:r>
      <w:r>
        <w:rPr>
          <w:sz w:val="13"/>
        </w:rPr>
        <w:t>S7A.</w:t>
      </w:r>
    </w:p>
    <w:p>
      <w:pPr>
        <w:pStyle w:val="BodyText"/>
        <w:spacing w:before="5"/>
        <w:rPr>
          <w:sz w:val="18"/>
        </w:rPr>
      </w:pPr>
    </w:p>
    <w:tbl>
      <w:tblPr>
        <w:tblW w:w="0" w:type="auto"/>
        <w:jc w:val="left"/>
        <w:tblInd w:w="7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46"/>
        <w:gridCol w:w="1259"/>
        <w:gridCol w:w="5912"/>
        <w:gridCol w:w="1728"/>
      </w:tblGrid>
      <w:tr>
        <w:trPr>
          <w:trHeight w:val="164" w:hRule="atLeast"/>
        </w:trPr>
        <w:tc>
          <w:tcPr>
            <w:tcW w:w="1546" w:type="dxa"/>
          </w:tcPr>
          <w:p>
            <w:pPr>
              <w:pStyle w:val="TableParagraph"/>
              <w:rPr>
                <w:rFonts w:ascii="Times New Roman"/>
                <w:sz w:val="10"/>
              </w:rPr>
            </w:pPr>
          </w:p>
        </w:tc>
        <w:tc>
          <w:tcPr>
            <w:tcW w:w="1259" w:type="dxa"/>
          </w:tcPr>
          <w:p>
            <w:pPr>
              <w:pStyle w:val="TableParagraph"/>
              <w:spacing w:line="133" w:lineRule="exact" w:before="11"/>
              <w:ind w:left="299"/>
              <w:rPr>
                <w:sz w:val="13"/>
              </w:rPr>
            </w:pPr>
            <w:r>
              <w:rPr>
                <w:sz w:val="13"/>
              </w:rPr>
              <w:t># of Years</w:t>
            </w:r>
          </w:p>
        </w:tc>
        <w:tc>
          <w:tcPr>
            <w:tcW w:w="5912" w:type="dxa"/>
          </w:tcPr>
          <w:p>
            <w:pPr>
              <w:pStyle w:val="TableParagraph"/>
              <w:spacing w:line="145" w:lineRule="exact"/>
              <w:ind w:left="1689"/>
              <w:rPr>
                <w:sz w:val="13"/>
              </w:rPr>
            </w:pPr>
            <w:r>
              <w:rPr>
                <w:sz w:val="13"/>
              </w:rPr>
              <w:t>SACS Fund and Object Codes Used For:</w:t>
            </w:r>
          </w:p>
        </w:tc>
        <w:tc>
          <w:tcPr>
            <w:tcW w:w="1728" w:type="dxa"/>
          </w:tcPr>
          <w:p>
            <w:pPr>
              <w:pStyle w:val="TableParagraph"/>
              <w:spacing w:line="133" w:lineRule="exact" w:before="11"/>
              <w:ind w:right="38"/>
              <w:jc w:val="right"/>
              <w:rPr>
                <w:sz w:val="13"/>
              </w:rPr>
            </w:pPr>
            <w:r>
              <w:rPr>
                <w:sz w:val="13"/>
              </w:rPr>
              <w:t>Principal Balance</w:t>
            </w:r>
          </w:p>
        </w:tc>
      </w:tr>
      <w:tr>
        <w:trPr>
          <w:trHeight w:val="164" w:hRule="atLeast"/>
        </w:trPr>
        <w:tc>
          <w:tcPr>
            <w:tcW w:w="1546" w:type="dxa"/>
          </w:tcPr>
          <w:p>
            <w:pPr>
              <w:pStyle w:val="TableParagraph"/>
              <w:spacing w:line="144" w:lineRule="exact"/>
              <w:ind w:left="33"/>
              <w:rPr>
                <w:sz w:val="13"/>
              </w:rPr>
            </w:pPr>
            <w:r>
              <w:rPr>
                <w:sz w:val="13"/>
              </w:rPr>
              <w:t>Type of Commitment</w:t>
            </w:r>
          </w:p>
        </w:tc>
        <w:tc>
          <w:tcPr>
            <w:tcW w:w="1259" w:type="dxa"/>
          </w:tcPr>
          <w:p>
            <w:pPr>
              <w:pStyle w:val="TableParagraph"/>
              <w:spacing w:line="130" w:lineRule="exact" w:before="15"/>
              <w:ind w:left="282"/>
              <w:rPr>
                <w:sz w:val="13"/>
              </w:rPr>
            </w:pPr>
            <w:r>
              <w:rPr>
                <w:sz w:val="13"/>
              </w:rPr>
              <w:t>Remaining</w:t>
            </w:r>
          </w:p>
        </w:tc>
        <w:tc>
          <w:tcPr>
            <w:tcW w:w="5912" w:type="dxa"/>
          </w:tcPr>
          <w:p>
            <w:pPr>
              <w:pStyle w:val="TableParagraph"/>
              <w:tabs>
                <w:tab w:pos="3597" w:val="left" w:leader="none"/>
              </w:tabs>
              <w:spacing w:line="144" w:lineRule="exact"/>
              <w:ind w:left="345"/>
              <w:rPr>
                <w:sz w:val="13"/>
              </w:rPr>
            </w:pPr>
            <w:r>
              <w:rPr>
                <w:sz w:val="13"/>
              </w:rPr>
              <w:t>Funding</w:t>
            </w:r>
            <w:r>
              <w:rPr>
                <w:spacing w:val="8"/>
                <w:sz w:val="13"/>
              </w:rPr>
              <w:t> </w:t>
            </w:r>
            <w:r>
              <w:rPr>
                <w:sz w:val="13"/>
              </w:rPr>
              <w:t>Sources</w:t>
            </w:r>
            <w:r>
              <w:rPr>
                <w:spacing w:val="8"/>
                <w:sz w:val="13"/>
              </w:rPr>
              <w:t> </w:t>
            </w:r>
            <w:r>
              <w:rPr>
                <w:sz w:val="13"/>
              </w:rPr>
              <w:t>(Revenues)</w:t>
              <w:tab/>
              <w:t>Debt Service</w:t>
            </w:r>
            <w:r>
              <w:rPr>
                <w:spacing w:val="2"/>
                <w:sz w:val="13"/>
              </w:rPr>
              <w:t> </w:t>
            </w:r>
            <w:r>
              <w:rPr>
                <w:sz w:val="13"/>
              </w:rPr>
              <w:t>(Expenditures)</w:t>
            </w:r>
          </w:p>
        </w:tc>
        <w:tc>
          <w:tcPr>
            <w:tcW w:w="1728" w:type="dxa"/>
          </w:tcPr>
          <w:p>
            <w:pPr>
              <w:pStyle w:val="TableParagraph"/>
              <w:spacing w:line="144" w:lineRule="exact"/>
              <w:ind w:right="30"/>
              <w:jc w:val="right"/>
              <w:rPr>
                <w:sz w:val="13"/>
              </w:rPr>
            </w:pPr>
            <w:r>
              <w:rPr>
                <w:sz w:val="13"/>
              </w:rPr>
              <w:t>as of July 1, 2021</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9"/>
        </w:rPr>
      </w:pPr>
      <w:r>
        <w:rPr/>
        <w:pict>
          <v:group style="position:absolute;margin-left:16.440001pt;margin-top:13.124424pt;width:567.25pt;height:68.05pt;mso-position-horizontal-relative:page;mso-position-vertical-relative:paragraph;z-index:-250799104;mso-wrap-distance-left:0;mso-wrap-distance-right:0" coordorigin="329,262" coordsize="11345,1361">
            <v:shape style="position:absolute;left:328;top:422;width:11345;height:1200" type="#_x0000_t75" stroked="false">
              <v:imagedata r:id="rId1741" o:title=""/>
            </v:shape>
            <v:shape style="position:absolute;left:362;top:262;width:3940;height:316" type="#_x0000_t202" filled="false" stroked="false">
              <v:textbox inset="0,0,0,0">
                <w:txbxContent>
                  <w:p>
                    <w:pPr>
                      <w:spacing w:line="147" w:lineRule="exact" w:before="0"/>
                      <w:ind w:left="0" w:right="0" w:firstLine="0"/>
                      <w:jc w:val="left"/>
                      <w:rPr>
                        <w:sz w:val="13"/>
                      </w:rPr>
                    </w:pPr>
                    <w:r>
                      <w:rPr>
                        <w:sz w:val="13"/>
                      </w:rPr>
                      <w:t>Other Long-term Commitments (do not include OPEB):</w:t>
                    </w:r>
                  </w:p>
                  <w:p>
                    <w:pPr>
                      <w:tabs>
                        <w:tab w:pos="3919" w:val="right" w:leader="none"/>
                      </w:tabs>
                      <w:spacing w:before="18"/>
                      <w:ind w:left="0" w:right="0" w:firstLine="0"/>
                      <w:jc w:val="left"/>
                      <w:rPr>
                        <w:sz w:val="13"/>
                      </w:rPr>
                    </w:pPr>
                    <w:r>
                      <w:rPr>
                        <w:sz w:val="13"/>
                      </w:rPr>
                      <w:t>On-going</w:t>
                    </w:r>
                    <w:r>
                      <w:rPr>
                        <w:spacing w:val="4"/>
                        <w:sz w:val="13"/>
                      </w:rPr>
                      <w:t> </w:t>
                    </w:r>
                    <w:r>
                      <w:rPr>
                        <w:sz w:val="13"/>
                      </w:rPr>
                      <w:t>portable</w:t>
                    </w:r>
                    <w:r>
                      <w:rPr>
                        <w:spacing w:val="4"/>
                        <w:sz w:val="13"/>
                      </w:rPr>
                      <w:t> </w:t>
                    </w:r>
                    <w:r>
                      <w:rPr>
                        <w:sz w:val="13"/>
                      </w:rPr>
                      <w:t>lease</w:t>
                      <w:tab/>
                      <w:t>01 0000 0</w:t>
                    </w:r>
                    <w:r>
                      <w:rPr>
                        <w:spacing w:val="18"/>
                        <w:sz w:val="13"/>
                      </w:rPr>
                      <w:t> </w:t>
                    </w:r>
                    <w:r>
                      <w:rPr>
                        <w:sz w:val="13"/>
                      </w:rPr>
                      <w:t>8011</w:t>
                    </w:r>
                  </w:p>
                </w:txbxContent>
              </v:textbox>
              <w10:wrap type="none"/>
            </v:shape>
            <v:shape style="position:absolute;left:6367;top:430;width:945;height:148" type="#_x0000_t202" filled="false" stroked="false">
              <v:textbox inset="0,0,0,0">
                <w:txbxContent>
                  <w:p>
                    <w:pPr>
                      <w:spacing w:line="147" w:lineRule="exact" w:before="0"/>
                      <w:ind w:left="0" w:right="0" w:firstLine="0"/>
                      <w:jc w:val="left"/>
                      <w:rPr>
                        <w:sz w:val="13"/>
                      </w:rPr>
                    </w:pPr>
                    <w:r>
                      <w:rPr>
                        <w:sz w:val="13"/>
                      </w:rPr>
                      <w:t>01 0000 0 5600</w:t>
                    </w:r>
                  </w:p>
                </w:txbxContent>
              </v:textbox>
              <w10:wrap type="none"/>
            </v:shape>
            <v:shape style="position:absolute;left:11263;top:430;width:352;height:148" type="#_x0000_t202" filled="false" stroked="false">
              <v:textbox inset="0,0,0,0">
                <w:txbxContent>
                  <w:p>
                    <w:pPr>
                      <w:spacing w:line="147" w:lineRule="exact" w:before="0"/>
                      <w:ind w:left="0" w:right="0" w:firstLine="0"/>
                      <w:jc w:val="left"/>
                      <w:rPr>
                        <w:sz w:val="13"/>
                      </w:rPr>
                    </w:pPr>
                    <w:r>
                      <w:rPr>
                        <w:sz w:val="13"/>
                      </w:rPr>
                      <w:t>8,000</w:t>
                    </w:r>
                  </w:p>
                </w:txbxContent>
              </v:textbox>
              <w10:wrap type="none"/>
            </v:shape>
            <v:shape style="position:absolute;left:1483;top:1469;width:480;height:148" type="#_x0000_t202" filled="false" stroked="false">
              <v:textbox inset="0,0,0,0">
                <w:txbxContent>
                  <w:p>
                    <w:pPr>
                      <w:spacing w:line="147" w:lineRule="exact" w:before="0"/>
                      <w:ind w:left="0" w:right="0" w:firstLine="0"/>
                      <w:jc w:val="left"/>
                      <w:rPr>
                        <w:sz w:val="13"/>
                      </w:rPr>
                    </w:pPr>
                    <w:r>
                      <w:rPr>
                        <w:sz w:val="13"/>
                      </w:rPr>
                      <w:t>TOTAL:</w:t>
                    </w:r>
                  </w:p>
                </w:txbxContent>
              </v:textbox>
              <w10:wrap type="none"/>
            </v:shape>
            <v:shape style="position:absolute;left:11263;top:1469;width:352;height:148" type="#_x0000_t202" filled="false" stroked="false">
              <v:textbox inset="0,0,0,0">
                <w:txbxContent>
                  <w:p>
                    <w:pPr>
                      <w:spacing w:line="147" w:lineRule="exact" w:before="0"/>
                      <w:ind w:left="0" w:right="0" w:firstLine="0"/>
                      <w:jc w:val="left"/>
                      <w:rPr>
                        <w:sz w:val="13"/>
                      </w:rPr>
                    </w:pPr>
                    <w:r>
                      <w:rPr>
                        <w:sz w:val="13"/>
                      </w:rPr>
                      <w:t>8,000</w:t>
                    </w:r>
                  </w:p>
                </w:txbxContent>
              </v:textbox>
              <w10:wrap type="none"/>
            </v:shape>
            <w10:wrap type="topAndBottom"/>
          </v:group>
        </w:pict>
      </w:r>
    </w:p>
    <w:p>
      <w:pPr>
        <w:pStyle w:val="BodyText"/>
        <w:rPr>
          <w:sz w:val="15"/>
        </w:rPr>
      </w:pPr>
    </w:p>
    <w:p>
      <w:pPr>
        <w:pStyle w:val="BodyText"/>
        <w:tabs>
          <w:tab w:pos="5940" w:val="left" w:leader="none"/>
          <w:tab w:pos="6019" w:val="left" w:leader="none"/>
          <w:tab w:pos="8187" w:val="left" w:leader="none"/>
          <w:tab w:pos="8518" w:val="left" w:leader="none"/>
          <w:tab w:pos="10032" w:val="left" w:leader="none"/>
          <w:tab w:pos="10385" w:val="left" w:leader="none"/>
        </w:tabs>
        <w:spacing w:line="297" w:lineRule="auto"/>
        <w:ind w:left="4020" w:right="842" w:hanging="5"/>
      </w:pPr>
      <w:r>
        <w:rPr/>
        <w:t>Prior</w:t>
      </w:r>
      <w:r>
        <w:rPr>
          <w:spacing w:val="-2"/>
        </w:rPr>
        <w:t> </w:t>
      </w:r>
      <w:r>
        <w:rPr/>
        <w:t>Year</w:t>
        <w:tab/>
        <w:t>Budget</w:t>
      </w:r>
      <w:r>
        <w:rPr>
          <w:spacing w:val="5"/>
        </w:rPr>
        <w:t> </w:t>
      </w:r>
      <w:r>
        <w:rPr/>
        <w:t>Year</w:t>
        <w:tab/>
        <w:t>1st</w:t>
      </w:r>
      <w:r>
        <w:rPr>
          <w:spacing w:val="6"/>
        </w:rPr>
        <w:t> </w:t>
      </w:r>
      <w:r>
        <w:rPr/>
        <w:t>Subsequent</w:t>
      </w:r>
      <w:r>
        <w:rPr>
          <w:spacing w:val="6"/>
        </w:rPr>
        <w:t> </w:t>
      </w:r>
      <w:r>
        <w:rPr/>
        <w:t>Year</w:t>
        <w:tab/>
        <w:t>2nd Subsequent </w:t>
      </w:r>
      <w:r>
        <w:rPr>
          <w:spacing w:val="-4"/>
        </w:rPr>
        <w:t>Year </w:t>
      </w:r>
      <w:r>
        <w:rPr/>
        <w:t>(2020-21)</w:t>
        <w:tab/>
        <w:tab/>
        <w:t>(2021-22)</w:t>
        <w:tab/>
        <w:tab/>
        <w:t>(2022-23)</w:t>
        <w:tab/>
        <w:tab/>
        <w:t>(2023-24)</w:t>
      </w:r>
    </w:p>
    <w:p>
      <w:pPr>
        <w:pStyle w:val="BodyText"/>
        <w:tabs>
          <w:tab w:pos="4123" w:val="left" w:leader="none"/>
          <w:tab w:pos="5820" w:val="left" w:leader="none"/>
          <w:tab w:pos="6123" w:val="left" w:leader="none"/>
          <w:tab w:pos="8319" w:val="left" w:leader="none"/>
          <w:tab w:pos="8621" w:val="left" w:leader="none"/>
          <w:tab w:pos="10186" w:val="left" w:leader="none"/>
          <w:tab w:pos="10488" w:val="left" w:leader="none"/>
        </w:tabs>
        <w:spacing w:line="297" w:lineRule="auto"/>
        <w:ind w:left="459" w:right="997" w:firstLine="3362"/>
      </w:pPr>
      <w:r>
        <w:rPr/>
        <w:drawing>
          <wp:anchor distT="0" distB="0" distL="0" distR="0" allowOverlap="1" layoutInCell="1" locked="0" behindDoc="1" simplePos="0" relativeHeight="189485056">
            <wp:simplePos x="0" y="0"/>
            <wp:positionH relativeFrom="page">
              <wp:posOffset>208788</wp:posOffset>
            </wp:positionH>
            <wp:positionV relativeFrom="paragraph">
              <wp:posOffset>211543</wp:posOffset>
            </wp:positionV>
            <wp:extent cx="7203947" cy="708659"/>
            <wp:effectExtent l="0" t="0" r="0" b="0"/>
            <wp:wrapNone/>
            <wp:docPr id="163" name="image1636.png"/>
            <wp:cNvGraphicFramePr>
              <a:graphicFrameLocks noChangeAspect="1"/>
            </wp:cNvGraphicFramePr>
            <a:graphic>
              <a:graphicData uri="http://schemas.openxmlformats.org/drawingml/2006/picture">
                <pic:pic>
                  <pic:nvPicPr>
                    <pic:cNvPr id="164" name="image1636.png"/>
                    <pic:cNvPicPr/>
                  </pic:nvPicPr>
                  <pic:blipFill>
                    <a:blip r:embed="rId1742" cstate="print"/>
                    <a:stretch>
                      <a:fillRect/>
                    </a:stretch>
                  </pic:blipFill>
                  <pic:spPr>
                    <a:xfrm>
                      <a:off x="0" y="0"/>
                      <a:ext cx="7203947" cy="708659"/>
                    </a:xfrm>
                    <a:prstGeom prst="rect">
                      <a:avLst/>
                    </a:prstGeom>
                  </pic:spPr>
                </pic:pic>
              </a:graphicData>
            </a:graphic>
          </wp:anchor>
        </w:drawing>
      </w:r>
      <w:r>
        <w:rPr/>
        <w:t>Annual</w:t>
      </w:r>
      <w:r>
        <w:rPr>
          <w:spacing w:val="10"/>
        </w:rPr>
        <w:t> </w:t>
      </w:r>
      <w:r>
        <w:rPr/>
        <w:t>Payment</w:t>
        <w:tab/>
        <w:t>Annual</w:t>
      </w:r>
      <w:r>
        <w:rPr>
          <w:spacing w:val="10"/>
        </w:rPr>
        <w:t> </w:t>
      </w:r>
      <w:r>
        <w:rPr/>
        <w:t>Payment</w:t>
        <w:tab/>
        <w:t>Annual</w:t>
      </w:r>
      <w:r>
        <w:rPr>
          <w:spacing w:val="10"/>
        </w:rPr>
        <w:t> </w:t>
      </w:r>
      <w:r>
        <w:rPr/>
        <w:t>Payment</w:t>
        <w:tab/>
        <w:t>Annual Payment Type of</w:t>
      </w:r>
      <w:r>
        <w:rPr>
          <w:spacing w:val="10"/>
        </w:rPr>
        <w:t> </w:t>
      </w:r>
      <w:r>
        <w:rPr/>
        <w:t>Commitment</w:t>
      </w:r>
      <w:r>
        <w:rPr>
          <w:spacing w:val="3"/>
        </w:rPr>
        <w:t> </w:t>
      </w:r>
      <w:r>
        <w:rPr/>
        <w:t>(continued)</w:t>
        <w:tab/>
        <w:t>(P &amp;</w:t>
      </w:r>
      <w:r>
        <w:rPr>
          <w:spacing w:val="1"/>
        </w:rPr>
        <w:t> </w:t>
      </w:r>
      <w:r>
        <w:rPr/>
        <w:t>I)</w:t>
        <w:tab/>
        <w:tab/>
        <w:t>(P &amp;</w:t>
      </w:r>
      <w:r>
        <w:rPr>
          <w:spacing w:val="1"/>
        </w:rPr>
        <w:t> </w:t>
      </w:r>
      <w:r>
        <w:rPr/>
        <w:t>I)</w:t>
        <w:tab/>
        <w:tab/>
        <w:t>(P &amp;</w:t>
      </w:r>
      <w:r>
        <w:rPr>
          <w:spacing w:val="1"/>
        </w:rPr>
        <w:t> </w:t>
      </w:r>
      <w:r>
        <w:rPr/>
        <w:t>I)</w:t>
        <w:tab/>
        <w:tab/>
        <w:t>(P &amp;</w:t>
      </w:r>
      <w:r>
        <w:rPr>
          <w:spacing w:val="1"/>
        </w:rPr>
        <w:t> </w:t>
      </w:r>
      <w:r>
        <w:rPr/>
        <w:t>I)</w:t>
      </w:r>
    </w:p>
    <w:p>
      <w:pPr>
        <w:pStyle w:val="BodyText"/>
        <w:spacing w:line="148" w:lineRule="exact"/>
        <w:ind w:left="322"/>
      </w:pPr>
      <w:r>
        <w:rPr/>
        <w:t>Leases</w:t>
      </w:r>
    </w:p>
    <w:p>
      <w:pPr>
        <w:pStyle w:val="BodyText"/>
        <w:spacing w:line="297" w:lineRule="auto" w:before="34"/>
        <w:ind w:left="322" w:right="10271"/>
      </w:pPr>
      <w:r>
        <w:rPr/>
        <w:t>Certificates of Participation General Obligation Bonds</w:t>
      </w:r>
    </w:p>
    <w:p>
      <w:pPr>
        <w:pStyle w:val="BodyText"/>
        <w:spacing w:line="297" w:lineRule="auto"/>
        <w:ind w:left="322" w:right="9712"/>
      </w:pPr>
      <w:r>
        <w:rPr/>
        <w:pict>
          <v:group style="position:absolute;margin-left:16.440001pt;margin-top:33.973419pt;width:567.25pt;height:76.55pt;mso-position-horizontal-relative:page;mso-position-vertical-relative:paragraph;z-index:-250786816;mso-wrap-distance-left:0;mso-wrap-distance-right:0" coordorigin="329,679" coordsize="11345,1531">
            <v:shape style="position:absolute;left:328;top:1009;width:507;height:8" type="#_x0000_t75" stroked="false">
              <v:imagedata r:id="rId1743" o:title=""/>
            </v:shape>
            <v:shape style="position:absolute;left:3324;top:825;width:8350;height:188" type="#_x0000_t75" stroked="false">
              <v:imagedata r:id="rId1744" o:title=""/>
            </v:shape>
            <v:shape style="position:absolute;left:328;top:825;width:11345;height:1200" type="#_x0000_t75" stroked="false">
              <v:imagedata r:id="rId1745" o:title=""/>
            </v:shape>
            <v:shape style="position:absolute;left:5366;top:1849;width:6308;height:360" type="#_x0000_t75" stroked="false">
              <v:imagedata r:id="rId1746" o:title=""/>
            </v:shape>
            <v:shape style="position:absolute;left:7322;top:2017;width:4352;height:192" type="#_x0000_t75" stroked="false">
              <v:imagedata r:id="rId1747" o:title=""/>
            </v:shape>
            <v:shape style="position:absolute;left:362;top:679;width:2588;height:332" type="#_x0000_t202" filled="false" stroked="false">
              <v:textbox inset="0,0,0,0">
                <w:txbxContent>
                  <w:p>
                    <w:pPr>
                      <w:spacing w:line="147" w:lineRule="exact" w:before="0"/>
                      <w:ind w:left="0" w:right="0" w:firstLine="0"/>
                      <w:jc w:val="left"/>
                      <w:rPr>
                        <w:sz w:val="13"/>
                      </w:rPr>
                    </w:pPr>
                    <w:r>
                      <w:rPr>
                        <w:sz w:val="13"/>
                      </w:rPr>
                      <w:t>Other Long-term Commitments (continued):</w:t>
                    </w:r>
                  </w:p>
                  <w:p>
                    <w:pPr>
                      <w:spacing w:before="35"/>
                      <w:ind w:left="0" w:right="0" w:firstLine="0"/>
                      <w:jc w:val="left"/>
                      <w:rPr>
                        <w:sz w:val="13"/>
                      </w:rPr>
                    </w:pPr>
                    <w:r>
                      <w:rPr>
                        <w:sz w:val="13"/>
                      </w:rPr>
                      <w:t>On-going portable lease</w:t>
                    </w:r>
                  </w:p>
                </w:txbxContent>
              </v:textbox>
              <w10:wrap type="none"/>
            </v:shape>
            <v:shape style="position:absolute;left:4963;top:864;width:352;height:148" type="#_x0000_t202" filled="false" stroked="false">
              <v:textbox inset="0,0,0,0">
                <w:txbxContent>
                  <w:p>
                    <w:pPr>
                      <w:spacing w:line="147" w:lineRule="exact" w:before="0"/>
                      <w:ind w:left="0" w:right="0" w:firstLine="0"/>
                      <w:jc w:val="left"/>
                      <w:rPr>
                        <w:sz w:val="13"/>
                      </w:rPr>
                    </w:pPr>
                    <w:r>
                      <w:rPr>
                        <w:sz w:val="13"/>
                      </w:rPr>
                      <w:t>8,000</w:t>
                    </w:r>
                  </w:p>
                </w:txbxContent>
              </v:textbox>
              <w10:wrap type="none"/>
            </v:shape>
            <v:shape style="position:absolute;left:6919;top:864;width:352;height:148" type="#_x0000_t202" filled="false" stroked="false">
              <v:textbox inset="0,0,0,0">
                <w:txbxContent>
                  <w:p>
                    <w:pPr>
                      <w:spacing w:line="147" w:lineRule="exact" w:before="0"/>
                      <w:ind w:left="0" w:right="0" w:firstLine="0"/>
                      <w:jc w:val="left"/>
                      <w:rPr>
                        <w:sz w:val="13"/>
                      </w:rPr>
                    </w:pPr>
                    <w:r>
                      <w:rPr>
                        <w:sz w:val="13"/>
                      </w:rPr>
                      <w:t>8,000</w:t>
                    </w:r>
                  </w:p>
                </w:txbxContent>
              </v:textbox>
              <w10:wrap type="none"/>
            </v:shape>
            <v:shape style="position:absolute;left:9350;top:864;width:352;height:148" type="#_x0000_t202" filled="false" stroked="false">
              <v:textbox inset="0,0,0,0">
                <w:txbxContent>
                  <w:p>
                    <w:pPr>
                      <w:spacing w:line="147" w:lineRule="exact" w:before="0"/>
                      <w:ind w:left="0" w:right="0" w:firstLine="0"/>
                      <w:jc w:val="left"/>
                      <w:rPr>
                        <w:sz w:val="13"/>
                      </w:rPr>
                    </w:pPr>
                    <w:r>
                      <w:rPr>
                        <w:sz w:val="13"/>
                      </w:rPr>
                      <w:t>8,000</w:t>
                    </w:r>
                  </w:p>
                </w:txbxContent>
              </v:textbox>
              <w10:wrap type="none"/>
            </v:shape>
            <v:shape style="position:absolute;left:11263;top:864;width:352;height:148" type="#_x0000_t202" filled="false" stroked="false">
              <v:textbox inset="0,0,0,0">
                <w:txbxContent>
                  <w:p>
                    <w:pPr>
                      <w:spacing w:line="147" w:lineRule="exact" w:before="0"/>
                      <w:ind w:left="0" w:right="0" w:firstLine="0"/>
                      <w:jc w:val="left"/>
                      <w:rPr>
                        <w:sz w:val="13"/>
                      </w:rPr>
                    </w:pPr>
                    <w:r>
                      <w:rPr>
                        <w:sz w:val="13"/>
                      </w:rPr>
                      <w:t>8,000</w:t>
                    </w:r>
                  </w:p>
                </w:txbxContent>
              </v:textbox>
              <w10:wrap type="none"/>
            </v:shape>
            <v:shape style="position:absolute;left:1857;top:1872;width:1425;height:148" type="#_x0000_t202" filled="false" stroked="false">
              <v:textbox inset="0,0,0,0">
                <w:txbxContent>
                  <w:p>
                    <w:pPr>
                      <w:spacing w:line="147" w:lineRule="exact" w:before="0"/>
                      <w:ind w:left="0" w:right="0" w:firstLine="0"/>
                      <w:jc w:val="left"/>
                      <w:rPr>
                        <w:sz w:val="13"/>
                      </w:rPr>
                    </w:pPr>
                    <w:r>
                      <w:rPr>
                        <w:sz w:val="13"/>
                      </w:rPr>
                      <w:t>Total Annual Payments:</w:t>
                    </w:r>
                  </w:p>
                </w:txbxContent>
              </v:textbox>
              <w10:wrap type="none"/>
            </v:shape>
            <v:shape style="position:absolute;left:4963;top:1872;width:352;height:148" type="#_x0000_t202" filled="false" stroked="false">
              <v:textbox inset="0,0,0,0">
                <w:txbxContent>
                  <w:p>
                    <w:pPr>
                      <w:spacing w:line="147" w:lineRule="exact" w:before="0"/>
                      <w:ind w:left="0" w:right="0" w:firstLine="0"/>
                      <w:jc w:val="left"/>
                      <w:rPr>
                        <w:sz w:val="13"/>
                      </w:rPr>
                    </w:pPr>
                    <w:r>
                      <w:rPr>
                        <w:sz w:val="13"/>
                      </w:rPr>
                      <w:t>8,000</w:t>
                    </w:r>
                  </w:p>
                </w:txbxContent>
              </v:textbox>
              <w10:wrap type="none"/>
            </v:shape>
            <v:shape style="position:absolute;left:6919;top:1872;width:352;height:148" type="#_x0000_t202" filled="false" stroked="false">
              <v:textbox inset="0,0,0,0">
                <w:txbxContent>
                  <w:p>
                    <w:pPr>
                      <w:spacing w:line="147" w:lineRule="exact" w:before="0"/>
                      <w:ind w:left="0" w:right="0" w:firstLine="0"/>
                      <w:jc w:val="left"/>
                      <w:rPr>
                        <w:sz w:val="13"/>
                      </w:rPr>
                    </w:pPr>
                    <w:r>
                      <w:rPr>
                        <w:sz w:val="13"/>
                      </w:rPr>
                      <w:t>8,000</w:t>
                    </w:r>
                  </w:p>
                </w:txbxContent>
              </v:textbox>
              <w10:wrap type="none"/>
            </v:shape>
            <v:shape style="position:absolute;left:9350;top:1872;width:352;height:148" type="#_x0000_t202" filled="false" stroked="false">
              <v:textbox inset="0,0,0,0">
                <w:txbxContent>
                  <w:p>
                    <w:pPr>
                      <w:spacing w:line="147" w:lineRule="exact" w:before="0"/>
                      <w:ind w:left="0" w:right="0" w:firstLine="0"/>
                      <w:jc w:val="left"/>
                      <w:rPr>
                        <w:sz w:val="13"/>
                      </w:rPr>
                    </w:pPr>
                    <w:r>
                      <w:rPr>
                        <w:sz w:val="13"/>
                      </w:rPr>
                      <w:t>8,000</w:t>
                    </w:r>
                  </w:p>
                </w:txbxContent>
              </v:textbox>
              <w10:wrap type="none"/>
            </v:shape>
            <v:shape style="position:absolute;left:11263;top:1872;width:352;height:148" type="#_x0000_t202" filled="false" stroked="false">
              <v:textbox inset="0,0,0,0">
                <w:txbxContent>
                  <w:p>
                    <w:pPr>
                      <w:spacing w:line="147" w:lineRule="exact" w:before="0"/>
                      <w:ind w:left="0" w:right="0" w:firstLine="0"/>
                      <w:jc w:val="left"/>
                      <w:rPr>
                        <w:sz w:val="13"/>
                      </w:rPr>
                    </w:pPr>
                    <w:r>
                      <w:rPr>
                        <w:sz w:val="13"/>
                      </w:rPr>
                      <w:t>8,000</w:t>
                    </w:r>
                  </w:p>
                </w:txbxContent>
              </v:textbox>
              <w10:wrap type="none"/>
            </v:shape>
            <v:shape style="position:absolute;left:1430;top:2054;width:9392;height:148" type="#_x0000_t202" filled="false" stroked="false">
              <v:textbox inset="0,0,0,0">
                <w:txbxContent>
                  <w:p>
                    <w:pPr>
                      <w:tabs>
                        <w:tab w:pos="4828" w:val="left" w:leader="none"/>
                        <w:tab w:pos="7022" w:val="left" w:leader="none"/>
                        <w:tab w:pos="9194" w:val="left" w:leader="none"/>
                      </w:tabs>
                      <w:spacing w:line="147" w:lineRule="exact" w:before="0"/>
                      <w:ind w:left="0" w:right="0" w:firstLine="0"/>
                      <w:jc w:val="left"/>
                      <w:rPr>
                        <w:b/>
                        <w:sz w:val="13"/>
                      </w:rPr>
                    </w:pPr>
                    <w:r>
                      <w:rPr>
                        <w:b/>
                        <w:sz w:val="13"/>
                      </w:rPr>
                      <w:t>Has total annual payment increased over prior</w:t>
                    </w:r>
                    <w:r>
                      <w:rPr>
                        <w:b/>
                        <w:spacing w:val="30"/>
                        <w:sz w:val="13"/>
                      </w:rPr>
                      <w:t> </w:t>
                    </w:r>
                    <w:r>
                      <w:rPr>
                        <w:b/>
                        <w:sz w:val="13"/>
                      </w:rPr>
                      <w:t>year</w:t>
                    </w:r>
                    <w:r>
                      <w:rPr>
                        <w:b/>
                        <w:spacing w:val="3"/>
                        <w:sz w:val="13"/>
                      </w:rPr>
                      <w:t> </w:t>
                    </w:r>
                    <w:r>
                      <w:rPr>
                        <w:b/>
                        <w:sz w:val="13"/>
                      </w:rPr>
                      <w:t>(2020-21)?</w:t>
                      <w:tab/>
                      <w:t>No</w:t>
                      <w:tab/>
                      <w:t>No</w:t>
                      <w:tab/>
                      <w:t>No</w:t>
                    </w:r>
                  </w:p>
                </w:txbxContent>
              </v:textbox>
              <w10:wrap type="none"/>
            </v:shape>
            <w10:wrap type="topAndBottom"/>
          </v:group>
        </w:pict>
      </w:r>
      <w:r>
        <w:rPr/>
        <w:t>Supp Early Retirement Program State School Building Loans Compensated Absences</w:t>
      </w:r>
    </w:p>
    <w:p>
      <w:pPr>
        <w:spacing w:after="0" w:line="297" w:lineRule="auto"/>
        <w:sectPr>
          <w:pgSz w:w="12240" w:h="15840"/>
          <w:pgMar w:header="402" w:footer="584" w:top="840" w:bottom="780" w:left="40" w:right="40"/>
        </w:sectPr>
      </w:pPr>
    </w:p>
    <w:p>
      <w:pPr>
        <w:pStyle w:val="BodyText"/>
        <w:rPr>
          <w:sz w:val="20"/>
        </w:rPr>
      </w:pPr>
    </w:p>
    <w:p>
      <w:pPr>
        <w:pStyle w:val="BodyText"/>
        <w:rPr>
          <w:sz w:val="20"/>
        </w:rPr>
      </w:pPr>
    </w:p>
    <w:p>
      <w:pPr>
        <w:pStyle w:val="BodyText"/>
        <w:rPr>
          <w:sz w:val="20"/>
        </w:rPr>
      </w:pPr>
    </w:p>
    <w:p>
      <w:pPr>
        <w:pStyle w:val="BodyText"/>
        <w:spacing w:before="9" w:after="1"/>
        <w:rPr>
          <w:sz w:val="25"/>
        </w:rPr>
      </w:pPr>
    </w:p>
    <w:p>
      <w:pPr>
        <w:pStyle w:val="BodyText"/>
        <w:ind w:left="288"/>
        <w:rPr>
          <w:sz w:val="20"/>
        </w:rPr>
      </w:pPr>
      <w:r>
        <w:rPr>
          <w:sz w:val="20"/>
        </w:rPr>
        <w:pict>
          <v:group style="width:567.25pt;height:12pt;mso-position-horizontal-relative:char;mso-position-vertical-relative:line" coordorigin="0,0" coordsize="11345,240">
            <v:shape style="position:absolute;left:0;top:0;width:11345;height:22" type="#_x0000_t75" stroked="false">
              <v:imagedata r:id="rId1503" o:title=""/>
            </v:shape>
            <v:line style="position:absolute" from="500,12" to="500,223" stroked="true" strokeweight=".359999pt" strokecolor="#ffffff">
              <v:stroke dashstyle="solid"/>
            </v:line>
            <v:line style="position:absolute" from="2262,12" to="2262,223" stroked="true" strokeweight=".360008pt" strokecolor="#ffffff">
              <v:stroke dashstyle="solid"/>
            </v:line>
            <v:line style="position:absolute" from="2996,12" to="2996,223" stroked="true" strokeweight=".359997pt" strokecolor="#ffffff">
              <v:stroke dashstyle="solid"/>
            </v:line>
            <v:line style="position:absolute" from="4432,12" to="4432,223" stroked="true" strokeweight=".360008pt" strokecolor="#ffffff">
              <v:stroke dashstyle="solid"/>
            </v:line>
            <v:shape style="position:absolute;left:0;top:218;width:6012;height:22" type="#_x0000_t75" stroked="false">
              <v:imagedata r:id="rId1680" o:title=""/>
            </v:shape>
            <v:line style="position:absolute" from="5039,12" to="5039,223" stroked="true" strokeweight=".359986pt" strokecolor="#ffffff">
              <v:stroke dashstyle="solid"/>
            </v:line>
            <v:shape style="position:absolute;left:6004;top:218;width:5340;height:22" type="#_x0000_t75" stroked="false">
              <v:imagedata r:id="rId1574" o:title=""/>
            </v:shape>
            <v:shape style="position:absolute;left:0;top:0;width:11345;height:240" type="#_x0000_t202" filled="false" stroked="false">
              <v:textbox inset="0,0,0,0">
                <w:txbxContent>
                  <w:p>
                    <w:pPr>
                      <w:spacing w:before="63"/>
                      <w:ind w:left="33" w:right="0" w:firstLine="0"/>
                      <w:jc w:val="left"/>
                      <w:rPr>
                        <w:b/>
                        <w:sz w:val="14"/>
                      </w:rPr>
                    </w:pPr>
                    <w:r>
                      <w:rPr>
                        <w:b/>
                        <w:w w:val="105"/>
                        <w:sz w:val="14"/>
                      </w:rPr>
                      <w:t>S6B. Comparison of the District's Annual Payments to Prior Year Annual Payment</w:t>
                    </w:r>
                  </w:p>
                </w:txbxContent>
              </v:textbox>
              <w10:wrap type="none"/>
            </v:shape>
          </v:group>
        </w:pict>
      </w:r>
      <w:r>
        <w:rPr>
          <w:sz w:val="20"/>
        </w:rPr>
      </w:r>
    </w:p>
    <w:p>
      <w:pPr>
        <w:pStyle w:val="BodyText"/>
        <w:spacing w:before="1"/>
        <w:rPr>
          <w:sz w:val="14"/>
        </w:rPr>
      </w:pPr>
    </w:p>
    <w:p>
      <w:pPr>
        <w:pStyle w:val="BodyText"/>
        <w:ind w:left="322"/>
      </w:pPr>
      <w:r>
        <w:rPr/>
        <w:t>DATA ENTRY: Enter an explanation if Yes.</w:t>
      </w:r>
    </w:p>
    <w:p>
      <w:pPr>
        <w:pStyle w:val="BodyText"/>
        <w:rPr>
          <w:sz w:val="14"/>
        </w:rPr>
      </w:pPr>
    </w:p>
    <w:p>
      <w:pPr>
        <w:pStyle w:val="BodyText"/>
        <w:spacing w:before="6"/>
        <w:rPr>
          <w:sz w:val="15"/>
        </w:rPr>
      </w:pPr>
    </w:p>
    <w:p>
      <w:pPr>
        <w:pStyle w:val="BodyText"/>
        <w:spacing w:before="1"/>
        <w:ind w:left="451"/>
      </w:pPr>
      <w:r>
        <w:rPr/>
        <w:t>1a. No - Annual payments for long-term commitments have not increased in one or more of the budget and two subsequent fiscal years.</w:t>
      </w:r>
    </w:p>
    <w:p>
      <w:pPr>
        <w:pStyle w:val="BodyText"/>
        <w:rPr>
          <w:sz w:val="14"/>
        </w:rPr>
      </w:pPr>
    </w:p>
    <w:p>
      <w:pPr>
        <w:pStyle w:val="BodyText"/>
        <w:rPr>
          <w:sz w:val="14"/>
        </w:rPr>
      </w:pPr>
    </w:p>
    <w:p>
      <w:pPr>
        <w:pStyle w:val="BodyText"/>
        <w:rPr>
          <w:sz w:val="12"/>
        </w:rPr>
      </w:pPr>
    </w:p>
    <w:p>
      <w:pPr>
        <w:spacing w:before="0"/>
        <w:ind w:left="1275" w:right="0" w:firstLine="0"/>
        <w:jc w:val="left"/>
        <w:rPr>
          <w:b/>
          <w:sz w:val="13"/>
        </w:rPr>
      </w:pPr>
      <w:r>
        <w:rPr/>
        <w:drawing>
          <wp:anchor distT="0" distB="0" distL="0" distR="0" allowOverlap="1" layoutInCell="1" locked="0" behindDoc="0" simplePos="0" relativeHeight="252542976">
            <wp:simplePos x="0" y="0"/>
            <wp:positionH relativeFrom="page">
              <wp:posOffset>1644395</wp:posOffset>
            </wp:positionH>
            <wp:positionV relativeFrom="paragraph">
              <wp:posOffset>-12484</wp:posOffset>
            </wp:positionV>
            <wp:extent cx="5768339" cy="864108"/>
            <wp:effectExtent l="0" t="0" r="0" b="0"/>
            <wp:wrapNone/>
            <wp:docPr id="165" name="image1642.png"/>
            <wp:cNvGraphicFramePr>
              <a:graphicFrameLocks noChangeAspect="1"/>
            </wp:cNvGraphicFramePr>
            <a:graphic>
              <a:graphicData uri="http://schemas.openxmlformats.org/drawingml/2006/picture">
                <pic:pic>
                  <pic:nvPicPr>
                    <pic:cNvPr id="166" name="image1642.png"/>
                    <pic:cNvPicPr/>
                  </pic:nvPicPr>
                  <pic:blipFill>
                    <a:blip r:embed="rId1748" cstate="print"/>
                    <a:stretch>
                      <a:fillRect/>
                    </a:stretch>
                  </pic:blipFill>
                  <pic:spPr>
                    <a:xfrm>
                      <a:off x="0" y="0"/>
                      <a:ext cx="5768339" cy="864108"/>
                    </a:xfrm>
                    <a:prstGeom prst="rect">
                      <a:avLst/>
                    </a:prstGeom>
                  </pic:spPr>
                </pic:pic>
              </a:graphicData>
            </a:graphic>
          </wp:anchor>
        </w:drawing>
      </w:r>
      <w:r>
        <w:rPr>
          <w:b/>
          <w:sz w:val="13"/>
        </w:rPr>
        <w:t>Explanation:</w:t>
      </w:r>
    </w:p>
    <w:p>
      <w:pPr>
        <w:pStyle w:val="BodyText"/>
        <w:spacing w:line="273" w:lineRule="auto" w:before="23"/>
        <w:ind w:left="1140" w:right="9944" w:firstLine="88"/>
      </w:pPr>
      <w:r>
        <w:rPr/>
        <w:t>(required if Yes to increase in total annual payments)</w:t>
      </w:r>
    </w:p>
    <w:p>
      <w:pPr>
        <w:pStyle w:val="BodyText"/>
        <w:rPr>
          <w:sz w:val="20"/>
        </w:rPr>
      </w:pPr>
    </w:p>
    <w:p>
      <w:pPr>
        <w:pStyle w:val="BodyText"/>
        <w:rPr>
          <w:sz w:val="20"/>
        </w:rPr>
      </w:pPr>
    </w:p>
    <w:p>
      <w:pPr>
        <w:pStyle w:val="BodyText"/>
        <w:rPr>
          <w:sz w:val="20"/>
        </w:rPr>
      </w:pPr>
    </w:p>
    <w:p>
      <w:pPr>
        <w:pStyle w:val="BodyText"/>
        <w:spacing w:before="8"/>
        <w:rPr>
          <w:sz w:val="21"/>
        </w:rPr>
      </w:pPr>
      <w:r>
        <w:rPr/>
        <w:pict>
          <v:group style="position:absolute;margin-left:16.440001pt;margin-top:14.456562pt;width:567.25pt;height:1.1pt;mso-position-horizontal-relative:page;mso-position-vertical-relative:paragraph;z-index:-250777600;mso-wrap-distance-left:0;mso-wrap-distance-right:0" coordorigin="329,289" coordsize="11345,22">
            <v:shape style="position:absolute;left:328;top:289;width:7001;height:22" type="#_x0000_t75" stroked="false">
              <v:imagedata r:id="rId1629" o:title=""/>
            </v:shape>
            <v:shape style="position:absolute;left:7322;top:289;width:4352;height:22" type="#_x0000_t75" stroked="false">
              <v:imagedata r:id="rId1611" o:title=""/>
            </v:shape>
            <w10:wrap type="topAndBottom"/>
          </v:group>
        </w:pict>
      </w:r>
    </w:p>
    <w:p>
      <w:pPr>
        <w:pStyle w:val="Heading8"/>
        <w:spacing w:before="0"/>
        <w:ind w:left="322"/>
      </w:pPr>
      <w:r>
        <w:rPr>
          <w:w w:val="105"/>
        </w:rPr>
        <w:t>S6C. Identification of Decreases to Funding Sources Used to Pay Long-term Commitments</w:t>
      </w:r>
    </w:p>
    <w:p>
      <w:pPr>
        <w:pStyle w:val="BodyText"/>
        <w:spacing w:line="21" w:lineRule="exact"/>
        <w:ind w:left="288"/>
        <w:rPr>
          <w:sz w:val="2"/>
        </w:rPr>
      </w:pPr>
      <w:r>
        <w:rPr>
          <w:sz w:val="2"/>
        </w:rPr>
        <w:pict>
          <v:group style="width:567.25pt;height:1.1pt;mso-position-horizontal-relative:char;mso-position-vertical-relative:line" coordorigin="0,0" coordsize="11345,22">
            <v:shape style="position:absolute;left:0;top:0;width:7001;height:22" type="#_x0000_t75" stroked="false">
              <v:imagedata r:id="rId1629" o:title=""/>
            </v:shape>
            <v:shape style="position:absolute;left:6993;top:0;width:4352;height:22" type="#_x0000_t75" stroked="false">
              <v:imagedata r:id="rId1611" o:title=""/>
            </v:shape>
          </v:group>
        </w:pict>
      </w:r>
      <w:r>
        <w:rPr>
          <w:sz w:val="2"/>
        </w:rPr>
      </w:r>
    </w:p>
    <w:p>
      <w:pPr>
        <w:pStyle w:val="BodyText"/>
        <w:spacing w:before="7"/>
        <w:rPr>
          <w:b/>
          <w:sz w:val="14"/>
        </w:rPr>
      </w:pPr>
    </w:p>
    <w:p>
      <w:pPr>
        <w:pStyle w:val="BodyText"/>
        <w:ind w:left="322"/>
      </w:pPr>
      <w:r>
        <w:rPr/>
        <w:t>DATA ENTRY: Click the appropriate Yes or No button in item 1; if Yes, an explanation is required in item 2.</w:t>
      </w:r>
    </w:p>
    <w:p>
      <w:pPr>
        <w:pStyle w:val="BodyText"/>
        <w:spacing w:before="2"/>
        <w:rPr>
          <w:sz w:val="16"/>
        </w:rPr>
      </w:pPr>
    </w:p>
    <w:p>
      <w:pPr>
        <w:pStyle w:val="BodyText"/>
        <w:tabs>
          <w:tab w:pos="821" w:val="left" w:leader="none"/>
        </w:tabs>
        <w:ind w:left="488"/>
      </w:pPr>
      <w:r>
        <w:rPr/>
        <w:t>1.</w:t>
        <w:tab/>
        <w:t>Will funding sources used to pay long-term commitments decrease or expire prior to the end of the commitment period, or are they one-time</w:t>
      </w:r>
      <w:r>
        <w:rPr>
          <w:spacing w:val="23"/>
        </w:rPr>
        <w:t> </w:t>
      </w:r>
      <w:r>
        <w:rPr/>
        <w:t>sources?</w:t>
      </w:r>
    </w:p>
    <w:p>
      <w:pPr>
        <w:pStyle w:val="BodyText"/>
        <w:spacing w:before="2"/>
        <w:rPr>
          <w:sz w:val="11"/>
        </w:rPr>
      </w:pPr>
      <w:r>
        <w:rPr/>
        <w:pict>
          <v:group style="position:absolute;margin-left:268.320007pt;margin-top:8.379372pt;width:98.2pt;height:17.2pt;mso-position-horizontal-relative:page;mso-position-vertical-relative:paragraph;z-index:-250774528;mso-wrap-distance-left:0;mso-wrap-distance-right:0" coordorigin="5366,168" coordsize="1964,344">
            <v:shape style="position:absolute;left:5366;top:167;width:1964;height:344" type="#_x0000_t75" stroked="false">
              <v:imagedata r:id="rId1749" o:title=""/>
            </v:shape>
            <v:shape style="position:absolute;left:6264;top:357;width:190;height:148" type="#_x0000_t202" filled="false" stroked="false">
              <v:textbox inset="0,0,0,0">
                <w:txbxContent>
                  <w:p>
                    <w:pPr>
                      <w:spacing w:line="147" w:lineRule="exact" w:before="0"/>
                      <w:ind w:left="0" w:right="0" w:firstLine="0"/>
                      <w:jc w:val="left"/>
                      <w:rPr>
                        <w:sz w:val="13"/>
                      </w:rPr>
                    </w:pPr>
                    <w:r>
                      <w:rPr>
                        <w:sz w:val="13"/>
                      </w:rPr>
                      <w:t>No</w:t>
                    </w:r>
                  </w:p>
                </w:txbxContent>
              </v:textbox>
              <w10:wrap type="none"/>
            </v:shape>
            <w10:wrap type="topAndBottom"/>
          </v:group>
        </w:pict>
      </w:r>
    </w:p>
    <w:p>
      <w:pPr>
        <w:pStyle w:val="BodyText"/>
        <w:spacing w:before="10"/>
        <w:rPr>
          <w:sz w:val="11"/>
        </w:rPr>
      </w:pPr>
    </w:p>
    <w:p>
      <w:pPr>
        <w:pStyle w:val="BodyText"/>
        <w:ind w:left="488"/>
      </w:pPr>
      <w:r>
        <w:rPr/>
        <w:t>2.</w:t>
      </w:r>
    </w:p>
    <w:p>
      <w:pPr>
        <w:pStyle w:val="BodyText"/>
        <w:spacing w:before="52"/>
        <w:ind w:left="821"/>
      </w:pPr>
      <w:r>
        <w:rPr/>
        <w:t>No - Funding sources will not decrease or expire prior to the end of the commitment period, and one-time funds are not being used for long-term commitment annual payments.</w:t>
      </w:r>
    </w:p>
    <w:p>
      <w:pPr>
        <w:pStyle w:val="BodyText"/>
        <w:rPr>
          <w:sz w:val="16"/>
        </w:rPr>
      </w:pPr>
    </w:p>
    <w:p>
      <w:pPr>
        <w:spacing w:before="1"/>
        <w:ind w:left="1275" w:right="0" w:firstLine="0"/>
        <w:jc w:val="left"/>
        <w:rPr>
          <w:b/>
          <w:sz w:val="13"/>
        </w:rPr>
      </w:pPr>
      <w:r>
        <w:rPr/>
        <w:drawing>
          <wp:anchor distT="0" distB="0" distL="0" distR="0" allowOverlap="1" layoutInCell="1" locked="0" behindDoc="0" simplePos="0" relativeHeight="252544000">
            <wp:simplePos x="0" y="0"/>
            <wp:positionH relativeFrom="page">
              <wp:posOffset>1644395</wp:posOffset>
            </wp:positionH>
            <wp:positionV relativeFrom="paragraph">
              <wp:posOffset>-10326</wp:posOffset>
            </wp:positionV>
            <wp:extent cx="5768339" cy="537972"/>
            <wp:effectExtent l="0" t="0" r="0" b="0"/>
            <wp:wrapNone/>
            <wp:docPr id="167" name="image1644.png"/>
            <wp:cNvGraphicFramePr>
              <a:graphicFrameLocks noChangeAspect="1"/>
            </wp:cNvGraphicFramePr>
            <a:graphic>
              <a:graphicData uri="http://schemas.openxmlformats.org/drawingml/2006/picture">
                <pic:pic>
                  <pic:nvPicPr>
                    <pic:cNvPr id="168" name="image1644.png"/>
                    <pic:cNvPicPr/>
                  </pic:nvPicPr>
                  <pic:blipFill>
                    <a:blip r:embed="rId1750" cstate="print"/>
                    <a:stretch>
                      <a:fillRect/>
                    </a:stretch>
                  </pic:blipFill>
                  <pic:spPr>
                    <a:xfrm>
                      <a:off x="0" y="0"/>
                      <a:ext cx="5768339" cy="537972"/>
                    </a:xfrm>
                    <a:prstGeom prst="rect">
                      <a:avLst/>
                    </a:prstGeom>
                  </pic:spPr>
                </pic:pic>
              </a:graphicData>
            </a:graphic>
          </wp:anchor>
        </w:drawing>
      </w:r>
      <w:r>
        <w:rPr>
          <w:b/>
          <w:sz w:val="13"/>
        </w:rPr>
        <w:t>Explanation:</w:t>
      </w:r>
    </w:p>
    <w:p>
      <w:pPr>
        <w:pStyle w:val="BodyText"/>
        <w:spacing w:before="20"/>
        <w:ind w:left="1207"/>
      </w:pPr>
      <w:r>
        <w:rPr/>
        <w:t>(required if Yes)</w:t>
      </w:r>
    </w:p>
    <w:p>
      <w:pPr>
        <w:spacing w:after="0"/>
        <w:sectPr>
          <w:pgSz w:w="12240" w:h="15840"/>
          <w:pgMar w:header="402" w:footer="584" w:top="840" w:bottom="780" w:left="40" w:right="40"/>
        </w:sectPr>
      </w:pPr>
    </w:p>
    <w:p>
      <w:pPr>
        <w:pStyle w:val="BodyText"/>
        <w:rPr>
          <w:sz w:val="20"/>
        </w:rPr>
      </w:pPr>
    </w:p>
    <w:p>
      <w:pPr>
        <w:pStyle w:val="BodyText"/>
        <w:spacing w:before="7"/>
        <w:rPr>
          <w:sz w:val="29"/>
        </w:rPr>
      </w:pPr>
    </w:p>
    <w:p>
      <w:pPr>
        <w:pStyle w:val="Heading4"/>
        <w:spacing w:before="94"/>
        <w:ind w:left="425" w:firstLine="0"/>
      </w:pPr>
      <w:r>
        <w:rPr/>
        <w:t>S7. Unfunded Liabilities</w:t>
      </w:r>
    </w:p>
    <w:p>
      <w:pPr>
        <w:pStyle w:val="BodyText"/>
        <w:spacing w:before="149"/>
        <w:ind w:left="821" w:right="622"/>
      </w:pPr>
      <w:r>
        <w:rPr/>
        <w:t>Estimate the unfunded liability for postemployment benefits other than pensions (OPEB) based on an actuarial valuation, if required, or other method; identify or estimate the actuarially determined contribution (if available); and indicate how the obligation is funded (pay-as-you-go, amortized over a specific period, etc.).</w:t>
      </w:r>
    </w:p>
    <w:p>
      <w:pPr>
        <w:pStyle w:val="BodyText"/>
        <w:spacing w:before="2"/>
        <w:rPr>
          <w:sz w:val="17"/>
        </w:rPr>
      </w:pPr>
    </w:p>
    <w:p>
      <w:pPr>
        <w:pStyle w:val="BodyText"/>
        <w:ind w:left="821" w:right="622"/>
      </w:pPr>
      <w:r>
        <w:rPr/>
        <w:t>Estimate the unfunded liability for self-insurance programs such as workers' compensation based on an actuarial valuation, if required, or other method; identify or estimate the required contribution; and indicate how the obligation is funded (level of risk retained, funding approach, etc.).</w:t>
      </w:r>
    </w:p>
    <w:p>
      <w:pPr>
        <w:pStyle w:val="BodyText"/>
        <w:spacing w:before="5"/>
        <w:rPr>
          <w:sz w:val="11"/>
        </w:rPr>
      </w:pPr>
      <w:r>
        <w:rPr/>
        <w:drawing>
          <wp:anchor distT="0" distB="0" distL="0" distR="0" allowOverlap="1" layoutInCell="1" locked="0" behindDoc="0" simplePos="0" relativeHeight="866">
            <wp:simplePos x="0" y="0"/>
            <wp:positionH relativeFrom="page">
              <wp:posOffset>208788</wp:posOffset>
            </wp:positionH>
            <wp:positionV relativeFrom="paragraph">
              <wp:posOffset>108719</wp:posOffset>
            </wp:positionV>
            <wp:extent cx="7203937" cy="13716"/>
            <wp:effectExtent l="0" t="0" r="0" b="0"/>
            <wp:wrapTopAndBottom/>
            <wp:docPr id="169" name="image1401.png"/>
            <wp:cNvGraphicFramePr>
              <a:graphicFrameLocks noChangeAspect="1"/>
            </wp:cNvGraphicFramePr>
            <a:graphic>
              <a:graphicData uri="http://schemas.openxmlformats.org/drawingml/2006/picture">
                <pic:pic>
                  <pic:nvPicPr>
                    <pic:cNvPr id="170" name="image1401.png"/>
                    <pic:cNvPicPr/>
                  </pic:nvPicPr>
                  <pic:blipFill>
                    <a:blip r:embed="rId1503" cstate="print"/>
                    <a:stretch>
                      <a:fillRect/>
                    </a:stretch>
                  </pic:blipFill>
                  <pic:spPr>
                    <a:xfrm>
                      <a:off x="0" y="0"/>
                      <a:ext cx="7203937" cy="13716"/>
                    </a:xfrm>
                    <a:prstGeom prst="rect">
                      <a:avLst/>
                    </a:prstGeom>
                  </pic:spPr>
                </pic:pic>
              </a:graphicData>
            </a:graphic>
          </wp:anchor>
        </w:drawing>
      </w:r>
    </w:p>
    <w:p>
      <w:pPr>
        <w:pStyle w:val="Heading8"/>
        <w:spacing w:before="12"/>
        <w:ind w:left="322"/>
      </w:pPr>
      <w:r>
        <w:rPr>
          <w:w w:val="105"/>
        </w:rPr>
        <w:t>S7A. Identification of the District's Estimated Unfunded Liability for Postemployment Benefits Other than Pensions (OPEB)</w:t>
      </w:r>
    </w:p>
    <w:p>
      <w:pPr>
        <w:pStyle w:val="BodyText"/>
        <w:spacing w:line="21" w:lineRule="exact"/>
        <w:ind w:left="288"/>
        <w:rPr>
          <w:sz w:val="2"/>
        </w:rPr>
      </w:pPr>
      <w:r>
        <w:rPr>
          <w:sz w:val="2"/>
        </w:rPr>
        <w:pict>
          <v:group style="width:567.25pt;height:1.1pt;mso-position-horizontal-relative:char;mso-position-vertical-relative:line" coordorigin="0,0" coordsize="11345,22">
            <v:shape style="position:absolute;left:0;top:0;width:9432;height:22" type="#_x0000_t75" stroked="false">
              <v:imagedata r:id="rId1610" o:title=""/>
            </v:shape>
            <v:shape style="position:absolute;left:9424;top:0;width:1920;height:22" type="#_x0000_t75" stroked="false">
              <v:imagedata r:id="rId1612" o:title=""/>
            </v:shape>
          </v:group>
        </w:pict>
      </w:r>
      <w:r>
        <w:rPr>
          <w:sz w:val="2"/>
        </w:rPr>
      </w:r>
    </w:p>
    <w:p>
      <w:pPr>
        <w:pStyle w:val="BodyText"/>
        <w:spacing w:before="9"/>
        <w:rPr>
          <w:b/>
        </w:rPr>
      </w:pPr>
    </w:p>
    <w:p>
      <w:pPr>
        <w:pStyle w:val="BodyText"/>
        <w:ind w:left="322"/>
      </w:pPr>
      <w:r>
        <w:rPr/>
        <w:t>DATA ENTRY: Click the appropriate button in item 1 and enter data in all other applicable items; there are no extractions in this section except the budget year data on line 5b.</w:t>
      </w:r>
    </w:p>
    <w:p>
      <w:pPr>
        <w:pStyle w:val="BodyText"/>
        <w:spacing w:before="5"/>
        <w:rPr>
          <w:sz w:val="15"/>
        </w:rPr>
      </w:pPr>
    </w:p>
    <w:p>
      <w:pPr>
        <w:pStyle w:val="ListParagraph"/>
        <w:numPr>
          <w:ilvl w:val="0"/>
          <w:numId w:val="74"/>
        </w:numPr>
        <w:tabs>
          <w:tab w:pos="821" w:val="left" w:leader="none"/>
          <w:tab w:pos="822" w:val="left" w:leader="none"/>
        </w:tabs>
        <w:spacing w:line="297" w:lineRule="auto" w:before="0" w:after="0"/>
        <w:ind w:left="821" w:right="7997" w:hanging="334"/>
        <w:jc w:val="left"/>
        <w:rPr>
          <w:sz w:val="13"/>
        </w:rPr>
      </w:pPr>
      <w:r>
        <w:rPr/>
        <w:pict>
          <v:group style="position:absolute;margin-left:268.320007pt;margin-top:-1.823063pt;width:98.2pt;height:18.850pt;mso-position-horizontal-relative:page;mso-position-vertical-relative:paragraph;z-index:252549120" coordorigin="5366,-36" coordsize="1964,377">
            <v:shape style="position:absolute;left:5366;top:-37;width:1964;height:377" type="#_x0000_t75" stroked="false">
              <v:imagedata r:id="rId1751" o:title=""/>
            </v:shape>
            <v:shape style="position:absolute;left:6264;top:187;width:190;height:148" type="#_x0000_t202" filled="false" stroked="false">
              <v:textbox inset="0,0,0,0">
                <w:txbxContent>
                  <w:p>
                    <w:pPr>
                      <w:spacing w:line="147" w:lineRule="exact" w:before="0"/>
                      <w:ind w:left="0" w:right="0" w:firstLine="0"/>
                      <w:jc w:val="left"/>
                      <w:rPr>
                        <w:sz w:val="13"/>
                      </w:rPr>
                    </w:pPr>
                    <w:r>
                      <w:rPr>
                        <w:sz w:val="13"/>
                      </w:rPr>
                      <w:t>No</w:t>
                    </w:r>
                  </w:p>
                </w:txbxContent>
              </v:textbox>
              <w10:wrap type="none"/>
            </v:shape>
            <w10:wrap type="none"/>
          </v:group>
        </w:pict>
      </w:r>
      <w:r>
        <w:rPr>
          <w:sz w:val="13"/>
        </w:rPr>
        <w:t>Does your district provide postemployment benefits other than pensions (OPEB)? (If No, skip items</w:t>
      </w:r>
      <w:r>
        <w:rPr>
          <w:spacing w:val="7"/>
          <w:sz w:val="13"/>
        </w:rPr>
        <w:t> </w:t>
      </w:r>
      <w:r>
        <w:rPr>
          <w:sz w:val="13"/>
        </w:rPr>
        <w:t>2-5)</w:t>
      </w:r>
    </w:p>
    <w:p>
      <w:pPr>
        <w:pStyle w:val="BodyText"/>
        <w:spacing w:before="1"/>
        <w:rPr>
          <w:sz w:val="15"/>
        </w:rPr>
      </w:pPr>
    </w:p>
    <w:p>
      <w:pPr>
        <w:pStyle w:val="ListParagraph"/>
        <w:numPr>
          <w:ilvl w:val="0"/>
          <w:numId w:val="74"/>
        </w:numPr>
        <w:tabs>
          <w:tab w:pos="821" w:val="left" w:leader="none"/>
          <w:tab w:pos="822" w:val="left" w:leader="none"/>
        </w:tabs>
        <w:spacing w:line="240" w:lineRule="auto" w:before="0" w:after="0"/>
        <w:ind w:left="821" w:right="0" w:hanging="334"/>
        <w:jc w:val="left"/>
        <w:rPr>
          <w:sz w:val="13"/>
        </w:rPr>
      </w:pPr>
      <w:r>
        <w:rPr/>
        <w:drawing>
          <wp:anchor distT="0" distB="0" distL="0" distR="0" allowOverlap="1" layoutInCell="1" locked="0" behindDoc="0" simplePos="0" relativeHeight="252550144">
            <wp:simplePos x="0" y="0"/>
            <wp:positionH relativeFrom="page">
              <wp:posOffset>3407664</wp:posOffset>
            </wp:positionH>
            <wp:positionV relativeFrom="paragraph">
              <wp:posOffset>-12484</wp:posOffset>
            </wp:positionV>
            <wp:extent cx="1246631" cy="217932"/>
            <wp:effectExtent l="0" t="0" r="0" b="0"/>
            <wp:wrapNone/>
            <wp:docPr id="171" name="image1643.png"/>
            <wp:cNvGraphicFramePr>
              <a:graphicFrameLocks noChangeAspect="1"/>
            </wp:cNvGraphicFramePr>
            <a:graphic>
              <a:graphicData uri="http://schemas.openxmlformats.org/drawingml/2006/picture">
                <pic:pic>
                  <pic:nvPicPr>
                    <pic:cNvPr id="172" name="image1643.png"/>
                    <pic:cNvPicPr/>
                  </pic:nvPicPr>
                  <pic:blipFill>
                    <a:blip r:embed="rId1749" cstate="print"/>
                    <a:stretch>
                      <a:fillRect/>
                    </a:stretch>
                  </pic:blipFill>
                  <pic:spPr>
                    <a:xfrm>
                      <a:off x="0" y="0"/>
                      <a:ext cx="1246631" cy="217932"/>
                    </a:xfrm>
                    <a:prstGeom prst="rect">
                      <a:avLst/>
                    </a:prstGeom>
                  </pic:spPr>
                </pic:pic>
              </a:graphicData>
            </a:graphic>
          </wp:anchor>
        </w:drawing>
      </w:r>
      <w:r>
        <w:rPr>
          <w:sz w:val="13"/>
        </w:rPr>
        <w:t>For the district's OPEB:</w:t>
      </w:r>
    </w:p>
    <w:p>
      <w:pPr>
        <w:pStyle w:val="ListParagraph"/>
        <w:numPr>
          <w:ilvl w:val="1"/>
          <w:numId w:val="74"/>
        </w:numPr>
        <w:tabs>
          <w:tab w:pos="969" w:val="left" w:leader="none"/>
        </w:tabs>
        <w:spacing w:line="240" w:lineRule="auto" w:before="19" w:after="0"/>
        <w:ind w:left="968" w:right="0" w:hanging="148"/>
        <w:jc w:val="left"/>
        <w:rPr>
          <w:sz w:val="13"/>
        </w:rPr>
      </w:pPr>
      <w:r>
        <w:rPr>
          <w:sz w:val="13"/>
        </w:rPr>
        <w:t>Are they lifetime</w:t>
      </w:r>
      <w:r>
        <w:rPr>
          <w:spacing w:val="-1"/>
          <w:sz w:val="13"/>
        </w:rPr>
        <w:t> </w:t>
      </w:r>
      <w:r>
        <w:rPr>
          <w:sz w:val="13"/>
        </w:rPr>
        <w:t>benefits?</w:t>
      </w:r>
    </w:p>
    <w:p>
      <w:pPr>
        <w:pStyle w:val="BodyText"/>
        <w:spacing w:before="6"/>
        <w:rPr>
          <w:sz w:val="16"/>
        </w:rPr>
      </w:pPr>
    </w:p>
    <w:p>
      <w:pPr>
        <w:pStyle w:val="ListParagraph"/>
        <w:numPr>
          <w:ilvl w:val="1"/>
          <w:numId w:val="74"/>
        </w:numPr>
        <w:tabs>
          <w:tab w:pos="969" w:val="left" w:leader="none"/>
          <w:tab w:pos="5326" w:val="left" w:leader="none"/>
        </w:tabs>
        <w:spacing w:line="240" w:lineRule="auto" w:before="1" w:after="0"/>
        <w:ind w:left="968" w:right="0" w:hanging="148"/>
        <w:jc w:val="left"/>
        <w:rPr>
          <w:sz w:val="13"/>
        </w:rPr>
      </w:pPr>
      <w:r>
        <w:rPr>
          <w:sz w:val="13"/>
        </w:rPr>
        <w:t>Do benefits continue past</w:t>
      </w:r>
      <w:r>
        <w:rPr>
          <w:spacing w:val="20"/>
          <w:sz w:val="13"/>
        </w:rPr>
        <w:t> </w:t>
      </w:r>
      <w:r>
        <w:rPr>
          <w:sz w:val="13"/>
        </w:rPr>
        <w:t>age</w:t>
      </w:r>
      <w:r>
        <w:rPr>
          <w:spacing w:val="7"/>
          <w:sz w:val="13"/>
        </w:rPr>
        <w:t> </w:t>
      </w:r>
      <w:r>
        <w:rPr>
          <w:sz w:val="13"/>
        </w:rPr>
        <w:t>65?</w:t>
        <w:tab/>
      </w:r>
      <w:r>
        <w:rPr>
          <w:position w:val="-2"/>
          <w:sz w:val="13"/>
        </w:rPr>
        <w:drawing>
          <wp:inline distT="0" distB="0" distL="0" distR="0">
            <wp:extent cx="1246631" cy="217932"/>
            <wp:effectExtent l="0" t="0" r="0" b="0"/>
            <wp:docPr id="173" name="image1643.png"/>
            <wp:cNvGraphicFramePr>
              <a:graphicFrameLocks noChangeAspect="1"/>
            </wp:cNvGraphicFramePr>
            <a:graphic>
              <a:graphicData uri="http://schemas.openxmlformats.org/drawingml/2006/picture">
                <pic:pic>
                  <pic:nvPicPr>
                    <pic:cNvPr id="174" name="image1643.png"/>
                    <pic:cNvPicPr/>
                  </pic:nvPicPr>
                  <pic:blipFill>
                    <a:blip r:embed="rId1749" cstate="print"/>
                    <a:stretch>
                      <a:fillRect/>
                    </a:stretch>
                  </pic:blipFill>
                  <pic:spPr>
                    <a:xfrm>
                      <a:off x="0" y="0"/>
                      <a:ext cx="1246631" cy="217932"/>
                    </a:xfrm>
                    <a:prstGeom prst="rect">
                      <a:avLst/>
                    </a:prstGeom>
                  </pic:spPr>
                </pic:pic>
              </a:graphicData>
            </a:graphic>
          </wp:inline>
        </w:drawing>
      </w:r>
      <w:r>
        <w:rPr>
          <w:position w:val="-2"/>
          <w:sz w:val="13"/>
        </w:rPr>
      </w:r>
    </w:p>
    <w:p>
      <w:pPr>
        <w:pStyle w:val="ListParagraph"/>
        <w:numPr>
          <w:ilvl w:val="1"/>
          <w:numId w:val="74"/>
        </w:numPr>
        <w:tabs>
          <w:tab w:pos="961" w:val="left" w:leader="none"/>
        </w:tabs>
        <w:spacing w:line="240" w:lineRule="auto" w:before="139" w:after="0"/>
        <w:ind w:left="964" w:right="1996" w:hanging="144"/>
        <w:jc w:val="left"/>
        <w:rPr>
          <w:sz w:val="13"/>
        </w:rPr>
      </w:pPr>
      <w:r>
        <w:rPr>
          <w:sz w:val="13"/>
        </w:rPr>
        <w:t>Describe any other characteristics of the district's OPEB program including eligibility criteria and amounts, if any, that retirees are required to contribute toward their own</w:t>
      </w:r>
      <w:r>
        <w:rPr>
          <w:spacing w:val="-2"/>
          <w:sz w:val="13"/>
        </w:rPr>
        <w:t> </w:t>
      </w:r>
      <w:r>
        <w:rPr>
          <w:sz w:val="13"/>
        </w:rPr>
        <w:t>benefits:</w:t>
      </w:r>
    </w:p>
    <w:p>
      <w:pPr>
        <w:pStyle w:val="BodyText"/>
        <w:spacing w:before="2"/>
        <w:rPr>
          <w:sz w:val="18"/>
        </w:rPr>
      </w:pPr>
      <w:r>
        <w:rPr/>
        <w:drawing>
          <wp:anchor distT="0" distB="0" distL="0" distR="0" allowOverlap="1" layoutInCell="1" locked="0" behindDoc="0" simplePos="0" relativeHeight="868">
            <wp:simplePos x="0" y="0"/>
            <wp:positionH relativeFrom="page">
              <wp:posOffset>1644395</wp:posOffset>
            </wp:positionH>
            <wp:positionV relativeFrom="paragraph">
              <wp:posOffset>157738</wp:posOffset>
            </wp:positionV>
            <wp:extent cx="5768342" cy="954024"/>
            <wp:effectExtent l="0" t="0" r="0" b="0"/>
            <wp:wrapTopAndBottom/>
            <wp:docPr id="175" name="image1646.png"/>
            <wp:cNvGraphicFramePr>
              <a:graphicFrameLocks noChangeAspect="1"/>
            </wp:cNvGraphicFramePr>
            <a:graphic>
              <a:graphicData uri="http://schemas.openxmlformats.org/drawingml/2006/picture">
                <pic:pic>
                  <pic:nvPicPr>
                    <pic:cNvPr id="176" name="image1646.png"/>
                    <pic:cNvPicPr/>
                  </pic:nvPicPr>
                  <pic:blipFill>
                    <a:blip r:embed="rId1752" cstate="print"/>
                    <a:stretch>
                      <a:fillRect/>
                    </a:stretch>
                  </pic:blipFill>
                  <pic:spPr>
                    <a:xfrm>
                      <a:off x="0" y="0"/>
                      <a:ext cx="5768342" cy="954024"/>
                    </a:xfrm>
                    <a:prstGeom prst="rect">
                      <a:avLst/>
                    </a:prstGeom>
                  </pic:spPr>
                </pic:pic>
              </a:graphicData>
            </a:graphic>
          </wp:anchor>
        </w:drawing>
      </w:r>
    </w:p>
    <w:p>
      <w:pPr>
        <w:pStyle w:val="BodyText"/>
        <w:spacing w:before="7"/>
        <w:rPr>
          <w:sz w:val="11"/>
        </w:rPr>
      </w:pPr>
    </w:p>
    <w:p>
      <w:pPr>
        <w:pStyle w:val="ListParagraph"/>
        <w:numPr>
          <w:ilvl w:val="0"/>
          <w:numId w:val="74"/>
        </w:numPr>
        <w:tabs>
          <w:tab w:pos="821" w:val="left" w:leader="none"/>
          <w:tab w:pos="822" w:val="left" w:leader="none"/>
          <w:tab w:pos="7282" w:val="left" w:leader="none"/>
        </w:tabs>
        <w:spacing w:line="240" w:lineRule="auto" w:before="0" w:after="0"/>
        <w:ind w:left="821" w:right="0" w:hanging="334"/>
        <w:jc w:val="left"/>
        <w:rPr>
          <w:sz w:val="13"/>
        </w:rPr>
      </w:pPr>
      <w:r>
        <w:rPr>
          <w:sz w:val="13"/>
        </w:rPr>
        <w:t>a. Are OPEB financed on a </w:t>
      </w:r>
      <w:r>
        <w:rPr>
          <w:spacing w:val="12"/>
          <w:sz w:val="13"/>
        </w:rPr>
        <w:t> </w:t>
      </w:r>
      <w:r>
        <w:rPr>
          <w:sz w:val="13"/>
        </w:rPr>
        <w:t>pay-as-you-go, actuarial cost, or other</w:t>
      </w:r>
      <w:r>
        <w:rPr>
          <w:spacing w:val="4"/>
          <w:sz w:val="13"/>
        </w:rPr>
        <w:t> </w:t>
      </w:r>
      <w:r>
        <w:rPr>
          <w:sz w:val="13"/>
        </w:rPr>
        <w:t>method?</w:t>
        <w:tab/>
      </w:r>
      <w:r>
        <w:rPr>
          <w:position w:val="-2"/>
          <w:sz w:val="13"/>
        </w:rPr>
        <w:drawing>
          <wp:inline distT="0" distB="0" distL="0" distR="0">
            <wp:extent cx="1548383" cy="239267"/>
            <wp:effectExtent l="0" t="0" r="0" b="0"/>
            <wp:docPr id="177" name="image1647.png"/>
            <wp:cNvGraphicFramePr>
              <a:graphicFrameLocks noChangeAspect="1"/>
            </wp:cNvGraphicFramePr>
            <a:graphic>
              <a:graphicData uri="http://schemas.openxmlformats.org/drawingml/2006/picture">
                <pic:pic>
                  <pic:nvPicPr>
                    <pic:cNvPr id="178" name="image1647.png"/>
                    <pic:cNvPicPr/>
                  </pic:nvPicPr>
                  <pic:blipFill>
                    <a:blip r:embed="rId1753" cstate="print"/>
                    <a:stretch>
                      <a:fillRect/>
                    </a:stretch>
                  </pic:blipFill>
                  <pic:spPr>
                    <a:xfrm>
                      <a:off x="0" y="0"/>
                      <a:ext cx="1548383" cy="239267"/>
                    </a:xfrm>
                    <a:prstGeom prst="rect">
                      <a:avLst/>
                    </a:prstGeom>
                  </pic:spPr>
                </pic:pic>
              </a:graphicData>
            </a:graphic>
          </wp:inline>
        </w:drawing>
      </w:r>
      <w:r>
        <w:rPr>
          <w:position w:val="-2"/>
          <w:sz w:val="13"/>
        </w:rPr>
      </w:r>
    </w:p>
    <w:p>
      <w:pPr>
        <w:pStyle w:val="BodyText"/>
        <w:tabs>
          <w:tab w:pos="7282" w:val="left" w:leader="none"/>
          <w:tab w:pos="7903" w:val="left" w:leader="none"/>
          <w:tab w:pos="10085" w:val="left" w:leader="none"/>
        </w:tabs>
        <w:spacing w:before="154"/>
        <w:ind w:left="964" w:right="524" w:hanging="144"/>
      </w:pPr>
      <w:r>
        <w:rPr/>
        <w:t>b.</w:t>
      </w:r>
      <w:r>
        <w:rPr>
          <w:spacing w:val="5"/>
        </w:rPr>
        <w:t> </w:t>
      </w:r>
      <w:r>
        <w:rPr/>
        <w:t>Indicate</w:t>
      </w:r>
      <w:r>
        <w:rPr>
          <w:spacing w:val="6"/>
        </w:rPr>
        <w:t> </w:t>
      </w:r>
      <w:r>
        <w:rPr/>
        <w:t>any</w:t>
      </w:r>
      <w:r>
        <w:rPr>
          <w:spacing w:val="5"/>
        </w:rPr>
        <w:t> </w:t>
      </w:r>
      <w:r>
        <w:rPr/>
        <w:t>accumulated</w:t>
      </w:r>
      <w:r>
        <w:rPr>
          <w:spacing w:val="6"/>
        </w:rPr>
        <w:t> </w:t>
      </w:r>
      <w:r>
        <w:rPr/>
        <w:t>amounts</w:t>
      </w:r>
      <w:r>
        <w:rPr>
          <w:spacing w:val="6"/>
        </w:rPr>
        <w:t> </w:t>
      </w:r>
      <w:r>
        <w:rPr/>
        <w:t>earmarked</w:t>
      </w:r>
      <w:r>
        <w:rPr>
          <w:spacing w:val="6"/>
        </w:rPr>
        <w:t> </w:t>
      </w:r>
      <w:r>
        <w:rPr/>
        <w:t>for</w:t>
      </w:r>
      <w:r>
        <w:rPr>
          <w:spacing w:val="5"/>
        </w:rPr>
        <w:t> </w:t>
      </w:r>
      <w:r>
        <w:rPr/>
        <w:t>OPEB</w:t>
      </w:r>
      <w:r>
        <w:rPr>
          <w:spacing w:val="5"/>
        </w:rPr>
        <w:t> </w:t>
      </w:r>
      <w:r>
        <w:rPr/>
        <w:t>in</w:t>
      </w:r>
      <w:r>
        <w:rPr>
          <w:spacing w:val="5"/>
        </w:rPr>
        <w:t> </w:t>
      </w:r>
      <w:r>
        <w:rPr/>
        <w:t>a</w:t>
      </w:r>
      <w:r>
        <w:rPr>
          <w:spacing w:val="6"/>
        </w:rPr>
        <w:t> </w:t>
      </w:r>
      <w:r>
        <w:rPr/>
        <w:t>self-insurance</w:t>
      </w:r>
      <w:r>
        <w:rPr>
          <w:spacing w:val="5"/>
        </w:rPr>
        <w:t> </w:t>
      </w:r>
      <w:r>
        <w:rPr/>
        <w:t>or</w:t>
        <w:tab/>
        <w:tab/>
        <w:t>Self-Insurance</w:t>
      </w:r>
      <w:r>
        <w:rPr>
          <w:spacing w:val="6"/>
        </w:rPr>
        <w:t> </w:t>
      </w:r>
      <w:r>
        <w:rPr/>
        <w:t>Fund</w:t>
        <w:tab/>
        <w:t>Governmental Fund governmental</w:t>
      </w:r>
      <w:r>
        <w:rPr>
          <w:spacing w:val="20"/>
        </w:rPr>
        <w:t> </w:t>
      </w:r>
      <w:r>
        <w:rPr/>
        <w:t>fund</w:t>
        <w:tab/>
      </w:r>
      <w:r>
        <w:rPr>
          <w:spacing w:val="-18"/>
          <w:position w:val="-2"/>
        </w:rPr>
        <w:drawing>
          <wp:inline distT="0" distB="0" distL="0" distR="0">
            <wp:extent cx="2763011" cy="111251"/>
            <wp:effectExtent l="0" t="0" r="0" b="0"/>
            <wp:docPr id="179" name="image1569.png"/>
            <wp:cNvGraphicFramePr>
              <a:graphicFrameLocks noChangeAspect="1"/>
            </wp:cNvGraphicFramePr>
            <a:graphic>
              <a:graphicData uri="http://schemas.openxmlformats.org/drawingml/2006/picture">
                <pic:pic>
                  <pic:nvPicPr>
                    <pic:cNvPr id="180" name="image1569.png"/>
                    <pic:cNvPicPr/>
                  </pic:nvPicPr>
                  <pic:blipFill>
                    <a:blip r:embed="rId1671" cstate="print"/>
                    <a:stretch>
                      <a:fillRect/>
                    </a:stretch>
                  </pic:blipFill>
                  <pic:spPr>
                    <a:xfrm>
                      <a:off x="0" y="0"/>
                      <a:ext cx="2763011" cy="111251"/>
                    </a:xfrm>
                    <a:prstGeom prst="rect">
                      <a:avLst/>
                    </a:prstGeom>
                  </pic:spPr>
                </pic:pic>
              </a:graphicData>
            </a:graphic>
          </wp:inline>
        </w:drawing>
      </w:r>
      <w:r>
        <w:rPr>
          <w:spacing w:val="-18"/>
          <w:position w:val="-2"/>
        </w:rPr>
      </w:r>
    </w:p>
    <w:p>
      <w:pPr>
        <w:pStyle w:val="BodyText"/>
        <w:spacing w:before="7"/>
        <w:rPr>
          <w:sz w:val="15"/>
        </w:rPr>
      </w:pPr>
    </w:p>
    <w:p>
      <w:pPr>
        <w:pStyle w:val="ListParagraph"/>
        <w:numPr>
          <w:ilvl w:val="0"/>
          <w:numId w:val="74"/>
        </w:numPr>
        <w:tabs>
          <w:tab w:pos="821" w:val="left" w:leader="none"/>
          <w:tab w:pos="822" w:val="left" w:leader="none"/>
        </w:tabs>
        <w:spacing w:line="240" w:lineRule="auto" w:before="0" w:after="0"/>
        <w:ind w:left="821" w:right="0" w:hanging="334"/>
        <w:jc w:val="left"/>
        <w:rPr>
          <w:sz w:val="13"/>
        </w:rPr>
      </w:pPr>
      <w:r>
        <w:rPr/>
        <w:pict>
          <v:group style="position:absolute;margin-left:316.679993pt;margin-top:7.416931pt;width:80.2pt;height:59.2pt;mso-position-horizontal-relative:page;mso-position-vertical-relative:paragraph;z-index:252552192" coordorigin="6334,148" coordsize="1604,1184">
            <v:shape style="position:absolute;left:6333;top:148;width:1604;height:1184" type="#_x0000_t75" stroked="false">
              <v:imagedata r:id="rId1754" o:title=""/>
            </v:shape>
            <v:shape style="position:absolute;left:7600;top:506;width:279;height:148" type="#_x0000_t202" filled="false" stroked="false">
              <v:textbox inset="0,0,0,0">
                <w:txbxContent>
                  <w:p>
                    <w:pPr>
                      <w:spacing w:line="147" w:lineRule="exact" w:before="0"/>
                      <w:ind w:left="0" w:right="0" w:firstLine="0"/>
                      <w:jc w:val="left"/>
                      <w:rPr>
                        <w:sz w:val="13"/>
                      </w:rPr>
                    </w:pPr>
                    <w:r>
                      <w:rPr>
                        <w:sz w:val="13"/>
                      </w:rPr>
                      <w:t>0.00</w:t>
                    </w:r>
                  </w:p>
                </w:txbxContent>
              </v:textbox>
              <w10:wrap type="none"/>
            </v:shape>
            <w10:wrap type="none"/>
          </v:group>
        </w:pict>
      </w:r>
      <w:r>
        <w:rPr>
          <w:sz w:val="13"/>
        </w:rPr>
        <w:t>OPEB</w:t>
      </w:r>
      <w:r>
        <w:rPr>
          <w:spacing w:val="1"/>
          <w:sz w:val="13"/>
        </w:rPr>
        <w:t> </w:t>
      </w:r>
      <w:r>
        <w:rPr>
          <w:sz w:val="13"/>
        </w:rPr>
        <w:t>Liabilities</w:t>
      </w:r>
    </w:p>
    <w:p>
      <w:pPr>
        <w:pStyle w:val="ListParagraph"/>
        <w:numPr>
          <w:ilvl w:val="1"/>
          <w:numId w:val="74"/>
        </w:numPr>
        <w:tabs>
          <w:tab w:pos="969" w:val="left" w:leader="none"/>
        </w:tabs>
        <w:spacing w:line="240" w:lineRule="auto" w:before="19" w:after="0"/>
        <w:ind w:left="968" w:right="0" w:hanging="148"/>
        <w:jc w:val="left"/>
        <w:rPr>
          <w:sz w:val="13"/>
        </w:rPr>
      </w:pPr>
      <w:r>
        <w:rPr>
          <w:sz w:val="13"/>
        </w:rPr>
        <w:t>Total OPEB</w:t>
      </w:r>
      <w:r>
        <w:rPr>
          <w:spacing w:val="-3"/>
          <w:sz w:val="13"/>
        </w:rPr>
        <w:t> </w:t>
      </w:r>
      <w:r>
        <w:rPr>
          <w:sz w:val="13"/>
        </w:rPr>
        <w:t>liability</w:t>
      </w:r>
    </w:p>
    <w:p>
      <w:pPr>
        <w:pStyle w:val="ListParagraph"/>
        <w:numPr>
          <w:ilvl w:val="1"/>
          <w:numId w:val="74"/>
        </w:numPr>
        <w:tabs>
          <w:tab w:pos="969" w:val="left" w:leader="none"/>
        </w:tabs>
        <w:spacing w:line="240" w:lineRule="auto" w:before="18" w:after="0"/>
        <w:ind w:left="968" w:right="0" w:hanging="148"/>
        <w:jc w:val="left"/>
        <w:rPr>
          <w:sz w:val="13"/>
        </w:rPr>
      </w:pPr>
      <w:r>
        <w:rPr>
          <w:sz w:val="13"/>
        </w:rPr>
        <w:t>OPEB plan(s) fiduciary net position (if</w:t>
      </w:r>
      <w:r>
        <w:rPr>
          <w:spacing w:val="-3"/>
          <w:sz w:val="13"/>
        </w:rPr>
        <w:t> </w:t>
      </w:r>
      <w:r>
        <w:rPr>
          <w:sz w:val="13"/>
        </w:rPr>
        <w:t>applicable)</w:t>
      </w:r>
    </w:p>
    <w:p>
      <w:pPr>
        <w:pStyle w:val="ListParagraph"/>
        <w:numPr>
          <w:ilvl w:val="1"/>
          <w:numId w:val="74"/>
        </w:numPr>
        <w:tabs>
          <w:tab w:pos="961" w:val="left" w:leader="none"/>
        </w:tabs>
        <w:spacing w:line="240" w:lineRule="auto" w:before="19" w:after="0"/>
        <w:ind w:left="960" w:right="0" w:hanging="140"/>
        <w:jc w:val="left"/>
        <w:rPr>
          <w:sz w:val="13"/>
        </w:rPr>
      </w:pPr>
      <w:r>
        <w:rPr>
          <w:sz w:val="13"/>
        </w:rPr>
        <w:t>Total/Net OPEB liability (Line 4a minus Line 4b)</w:t>
      </w:r>
    </w:p>
    <w:p>
      <w:pPr>
        <w:pStyle w:val="ListParagraph"/>
        <w:numPr>
          <w:ilvl w:val="1"/>
          <w:numId w:val="74"/>
        </w:numPr>
        <w:tabs>
          <w:tab w:pos="969" w:val="left" w:leader="none"/>
        </w:tabs>
        <w:spacing w:line="268" w:lineRule="auto" w:before="18" w:after="0"/>
        <w:ind w:left="964" w:right="8133" w:hanging="144"/>
        <w:jc w:val="left"/>
        <w:rPr>
          <w:sz w:val="13"/>
        </w:rPr>
      </w:pPr>
      <w:r>
        <w:rPr>
          <w:sz w:val="13"/>
        </w:rPr>
        <w:t>Is total OPEB liability based on the district's estimate or an actuarial</w:t>
      </w:r>
      <w:r>
        <w:rPr>
          <w:spacing w:val="-3"/>
          <w:sz w:val="13"/>
        </w:rPr>
        <w:t> </w:t>
      </w:r>
      <w:r>
        <w:rPr>
          <w:sz w:val="13"/>
        </w:rPr>
        <w:t>valuation?</w:t>
      </w:r>
    </w:p>
    <w:p>
      <w:pPr>
        <w:pStyle w:val="ListParagraph"/>
        <w:numPr>
          <w:ilvl w:val="1"/>
          <w:numId w:val="74"/>
        </w:numPr>
        <w:tabs>
          <w:tab w:pos="969" w:val="left" w:leader="none"/>
        </w:tabs>
        <w:spacing w:line="268" w:lineRule="auto" w:before="2" w:after="0"/>
        <w:ind w:left="964" w:right="7356" w:hanging="144"/>
        <w:jc w:val="left"/>
        <w:rPr>
          <w:sz w:val="13"/>
        </w:rPr>
      </w:pPr>
      <w:r>
        <w:rPr>
          <w:sz w:val="13"/>
        </w:rPr>
        <w:t>If based on an actuarial valuation, indicate the measurement date of the OPEB valuation</w:t>
      </w:r>
    </w:p>
    <w:p>
      <w:pPr>
        <w:pStyle w:val="BodyText"/>
        <w:spacing w:before="1"/>
        <w:rPr>
          <w:sz w:val="16"/>
        </w:rPr>
      </w:pPr>
    </w:p>
    <w:p>
      <w:pPr>
        <w:pStyle w:val="BodyText"/>
        <w:tabs>
          <w:tab w:pos="7882" w:val="left" w:leader="none"/>
          <w:tab w:pos="10032" w:val="left" w:leader="none"/>
        </w:tabs>
        <w:ind w:left="5940"/>
      </w:pPr>
      <w:r>
        <w:rPr/>
        <w:t>Budget Year</w:t>
        <w:tab/>
        <w:t>1st</w:t>
      </w:r>
      <w:r>
        <w:rPr>
          <w:spacing w:val="3"/>
        </w:rPr>
        <w:t> </w:t>
      </w:r>
      <w:r>
        <w:rPr/>
        <w:t>Subsequent</w:t>
      </w:r>
      <w:r>
        <w:rPr>
          <w:spacing w:val="4"/>
        </w:rPr>
        <w:t> </w:t>
      </w:r>
      <w:r>
        <w:rPr/>
        <w:t>Year</w:t>
        <w:tab/>
        <w:t>2nd Subsequent</w:t>
      </w:r>
      <w:r>
        <w:rPr>
          <w:spacing w:val="3"/>
        </w:rPr>
        <w:t> </w:t>
      </w:r>
      <w:r>
        <w:rPr/>
        <w:t>Year</w:t>
      </w:r>
    </w:p>
    <w:p>
      <w:pPr>
        <w:pStyle w:val="BodyText"/>
        <w:tabs>
          <w:tab w:pos="821" w:val="left" w:leader="none"/>
          <w:tab w:pos="6019" w:val="left" w:leader="none"/>
          <w:tab w:pos="8213" w:val="left" w:leader="none"/>
          <w:tab w:pos="10385" w:val="left" w:leader="none"/>
        </w:tabs>
        <w:spacing w:before="36"/>
        <w:ind w:left="488"/>
      </w:pPr>
      <w:r>
        <w:rPr/>
        <w:pict>
          <v:group style="position:absolute;margin-left:268.320007pt;margin-top:9.216931pt;width:315.4pt;height:61.8pt;mso-position-horizontal-relative:page;mso-position-vertical-relative:paragraph;z-index:252554240" coordorigin="5366,184" coordsize="6308,1236">
            <v:shape style="position:absolute;left:5366;top:184;width:6308;height:879" type="#_x0000_t75" stroked="false">
              <v:imagedata r:id="rId1755" o:title=""/>
            </v:shape>
            <v:shape style="position:absolute;left:5366;top:705;width:6308;height:716" type="#_x0000_t75" stroked="false">
              <v:imagedata r:id="rId1756" o:title=""/>
            </v:shape>
            <v:shape style="position:absolute;left:6993;top:914;width:279;height:148" type="#_x0000_t202" filled="false" stroked="false">
              <v:textbox inset="0,0,0,0">
                <w:txbxContent>
                  <w:p>
                    <w:pPr>
                      <w:spacing w:line="147" w:lineRule="exact" w:before="0"/>
                      <w:ind w:left="0" w:right="0" w:firstLine="0"/>
                      <w:jc w:val="left"/>
                      <w:rPr>
                        <w:sz w:val="13"/>
                      </w:rPr>
                    </w:pPr>
                    <w:r>
                      <w:rPr>
                        <w:sz w:val="13"/>
                      </w:rPr>
                      <w:t>0.00</w:t>
                    </w:r>
                  </w:p>
                </w:txbxContent>
              </v:textbox>
              <w10:wrap type="none"/>
            </v:shape>
            <w10:wrap type="none"/>
          </v:group>
        </w:pict>
      </w:r>
      <w:r>
        <w:rPr/>
        <w:t>5.</w:t>
        <w:tab/>
        <w:t>OPEB</w:t>
      </w:r>
      <w:r>
        <w:rPr>
          <w:spacing w:val="4"/>
        </w:rPr>
        <w:t> </w:t>
      </w:r>
      <w:r>
        <w:rPr/>
        <w:t>Contributions</w:t>
        <w:tab/>
        <w:t>(2021-22)</w:t>
        <w:tab/>
        <w:t>(2022-23)</w:t>
        <w:tab/>
        <w:t>(2023-24)</w:t>
      </w:r>
    </w:p>
    <w:p>
      <w:pPr>
        <w:pStyle w:val="ListParagraph"/>
        <w:numPr>
          <w:ilvl w:val="0"/>
          <w:numId w:val="75"/>
        </w:numPr>
        <w:tabs>
          <w:tab w:pos="969" w:val="left" w:leader="none"/>
        </w:tabs>
        <w:spacing w:line="268" w:lineRule="auto" w:before="35" w:after="0"/>
        <w:ind w:left="964" w:right="7422" w:hanging="144"/>
        <w:jc w:val="left"/>
        <w:rPr>
          <w:sz w:val="13"/>
        </w:rPr>
      </w:pPr>
      <w:r>
        <w:rPr>
          <w:sz w:val="13"/>
        </w:rPr>
        <w:t>OPEB actuarially determined contribution (ADC), if available, per actuarial valuation or Alternative Measurement</w:t>
      </w:r>
    </w:p>
    <w:p>
      <w:pPr>
        <w:pStyle w:val="BodyText"/>
        <w:spacing w:before="1"/>
        <w:ind w:left="964"/>
      </w:pPr>
      <w:r>
        <w:rPr/>
        <w:t>Method</w:t>
      </w:r>
    </w:p>
    <w:p>
      <w:pPr>
        <w:pStyle w:val="ListParagraph"/>
        <w:numPr>
          <w:ilvl w:val="0"/>
          <w:numId w:val="75"/>
        </w:numPr>
        <w:tabs>
          <w:tab w:pos="969" w:val="left" w:leader="none"/>
        </w:tabs>
        <w:spacing w:line="240" w:lineRule="auto" w:before="4" w:after="0"/>
        <w:ind w:left="964" w:right="7492" w:hanging="144"/>
        <w:jc w:val="left"/>
        <w:rPr>
          <w:sz w:val="13"/>
        </w:rPr>
      </w:pPr>
      <w:r>
        <w:rPr>
          <w:sz w:val="13"/>
        </w:rPr>
        <w:t>OPEB amount contributed (for this purpose, include premiums paid to a self-insurance fund) (funds 01-70, objects</w:t>
      </w:r>
      <w:r>
        <w:rPr>
          <w:spacing w:val="7"/>
          <w:sz w:val="13"/>
        </w:rPr>
        <w:t> </w:t>
      </w:r>
      <w:r>
        <w:rPr>
          <w:sz w:val="13"/>
        </w:rPr>
        <w:t>3701-3752)</w:t>
      </w:r>
    </w:p>
    <w:p>
      <w:pPr>
        <w:pStyle w:val="ListParagraph"/>
        <w:numPr>
          <w:ilvl w:val="0"/>
          <w:numId w:val="75"/>
        </w:numPr>
        <w:tabs>
          <w:tab w:pos="961" w:val="left" w:leader="none"/>
        </w:tabs>
        <w:spacing w:line="240" w:lineRule="auto" w:before="71" w:after="0"/>
        <w:ind w:left="960" w:right="0" w:hanging="140"/>
        <w:jc w:val="left"/>
        <w:rPr>
          <w:sz w:val="13"/>
        </w:rPr>
      </w:pPr>
      <w:r>
        <w:rPr>
          <w:sz w:val="13"/>
        </w:rPr>
        <w:t>Cost of OPEB benefits (equivalent of "pay-as-you-go"</w:t>
      </w:r>
      <w:r>
        <w:rPr>
          <w:spacing w:val="-3"/>
          <w:sz w:val="13"/>
        </w:rPr>
        <w:t> </w:t>
      </w:r>
      <w:r>
        <w:rPr>
          <w:sz w:val="13"/>
        </w:rPr>
        <w:t>amount)</w:t>
      </w:r>
    </w:p>
    <w:p>
      <w:pPr>
        <w:pStyle w:val="ListParagraph"/>
        <w:numPr>
          <w:ilvl w:val="0"/>
          <w:numId w:val="75"/>
        </w:numPr>
        <w:tabs>
          <w:tab w:pos="969" w:val="left" w:leader="none"/>
        </w:tabs>
        <w:spacing w:line="240" w:lineRule="auto" w:before="35" w:after="0"/>
        <w:ind w:left="968" w:right="0" w:hanging="148"/>
        <w:jc w:val="left"/>
        <w:rPr>
          <w:sz w:val="13"/>
        </w:rPr>
      </w:pPr>
      <w:r>
        <w:rPr>
          <w:sz w:val="13"/>
        </w:rPr>
        <w:t>Number of retirees receiving OPEB</w:t>
      </w:r>
      <w:r>
        <w:rPr>
          <w:spacing w:val="-2"/>
          <w:sz w:val="13"/>
        </w:rPr>
        <w:t> </w:t>
      </w:r>
      <w:r>
        <w:rPr>
          <w:sz w:val="13"/>
        </w:rPr>
        <w:t>benefits</w:t>
      </w:r>
    </w:p>
    <w:p>
      <w:pPr>
        <w:spacing w:after="0" w:line="240" w:lineRule="auto"/>
        <w:jc w:val="left"/>
        <w:rPr>
          <w:sz w:val="13"/>
        </w:rPr>
        <w:sectPr>
          <w:pgSz w:w="12240" w:h="15840"/>
          <w:pgMar w:header="402" w:footer="584" w:top="840" w:bottom="780" w:left="40" w:right="40"/>
        </w:sectPr>
      </w:pPr>
    </w:p>
    <w:p>
      <w:pPr>
        <w:pStyle w:val="BodyText"/>
        <w:rPr>
          <w:sz w:val="20"/>
        </w:rPr>
      </w:pPr>
    </w:p>
    <w:p>
      <w:pPr>
        <w:pStyle w:val="BodyText"/>
        <w:rPr>
          <w:sz w:val="20"/>
        </w:rPr>
      </w:pPr>
    </w:p>
    <w:p>
      <w:pPr>
        <w:pStyle w:val="BodyText"/>
        <w:spacing w:before="7"/>
        <w:rPr>
          <w:sz w:val="16"/>
        </w:rPr>
      </w:pPr>
    </w:p>
    <w:p>
      <w:pPr>
        <w:pStyle w:val="BodyText"/>
        <w:spacing w:line="21" w:lineRule="exact"/>
        <w:ind w:left="288"/>
        <w:rPr>
          <w:sz w:val="2"/>
        </w:rPr>
      </w:pPr>
      <w:r>
        <w:rPr>
          <w:sz w:val="2"/>
        </w:rPr>
        <w:drawing>
          <wp:inline distT="0" distB="0" distL="0" distR="0">
            <wp:extent cx="7203992" cy="13716"/>
            <wp:effectExtent l="0" t="0" r="0" b="0"/>
            <wp:docPr id="181" name="image1401.png"/>
            <wp:cNvGraphicFramePr>
              <a:graphicFrameLocks noChangeAspect="1"/>
            </wp:cNvGraphicFramePr>
            <a:graphic>
              <a:graphicData uri="http://schemas.openxmlformats.org/drawingml/2006/picture">
                <pic:pic>
                  <pic:nvPicPr>
                    <pic:cNvPr id="182" name="image1401.png"/>
                    <pic:cNvPicPr/>
                  </pic:nvPicPr>
                  <pic:blipFill>
                    <a:blip r:embed="rId1503" cstate="print"/>
                    <a:stretch>
                      <a:fillRect/>
                    </a:stretch>
                  </pic:blipFill>
                  <pic:spPr>
                    <a:xfrm>
                      <a:off x="0" y="0"/>
                      <a:ext cx="7203992" cy="13716"/>
                    </a:xfrm>
                    <a:prstGeom prst="rect">
                      <a:avLst/>
                    </a:prstGeom>
                  </pic:spPr>
                </pic:pic>
              </a:graphicData>
            </a:graphic>
          </wp:inline>
        </w:drawing>
      </w:r>
      <w:r>
        <w:rPr>
          <w:sz w:val="2"/>
        </w:rPr>
      </w:r>
    </w:p>
    <w:p>
      <w:pPr>
        <w:pStyle w:val="Heading8"/>
        <w:spacing w:before="42"/>
        <w:ind w:left="322"/>
      </w:pPr>
      <w:r>
        <w:rPr>
          <w:w w:val="105"/>
        </w:rPr>
        <w:t>S7B. Identification of the District's Unfunded Liability for Self-Insurance Programs</w:t>
      </w:r>
    </w:p>
    <w:p>
      <w:pPr>
        <w:pStyle w:val="BodyText"/>
        <w:spacing w:line="21" w:lineRule="exact"/>
        <w:ind w:left="288"/>
        <w:rPr>
          <w:sz w:val="2"/>
        </w:rPr>
      </w:pPr>
      <w:r>
        <w:rPr>
          <w:sz w:val="2"/>
        </w:rPr>
        <w:pict>
          <v:group style="width:567.25pt;height:1.1pt;mso-position-horizontal-relative:char;mso-position-vertical-relative:line" coordorigin="0,0" coordsize="11345,22">
            <v:shape style="position:absolute;left:0;top:0;width:6012;height:22" type="#_x0000_t75" stroked="false">
              <v:imagedata r:id="rId1680" o:title=""/>
            </v:shape>
            <v:shape style="position:absolute;left:6004;top:0;width:5340;height:22" type="#_x0000_t75" stroked="false">
              <v:imagedata r:id="rId1574" o:title=""/>
            </v:shape>
          </v:group>
        </w:pict>
      </w:r>
      <w:r>
        <w:rPr>
          <w:sz w:val="2"/>
        </w:rPr>
      </w:r>
    </w:p>
    <w:p>
      <w:pPr>
        <w:pStyle w:val="BodyText"/>
        <w:spacing w:before="9"/>
        <w:rPr>
          <w:b/>
        </w:rPr>
      </w:pPr>
    </w:p>
    <w:p>
      <w:pPr>
        <w:pStyle w:val="BodyText"/>
        <w:ind w:left="322"/>
      </w:pPr>
      <w:r>
        <w:rPr/>
        <w:t>DATA ENTRY: Click the appropriate button in item 1 and enter data in all other applicable items; there are no extractions in this section.</w:t>
      </w:r>
    </w:p>
    <w:p>
      <w:pPr>
        <w:pStyle w:val="BodyText"/>
        <w:spacing w:before="7"/>
        <w:rPr>
          <w:sz w:val="12"/>
        </w:rPr>
      </w:pPr>
    </w:p>
    <w:p>
      <w:pPr>
        <w:pStyle w:val="ListParagraph"/>
        <w:numPr>
          <w:ilvl w:val="0"/>
          <w:numId w:val="76"/>
        </w:numPr>
        <w:tabs>
          <w:tab w:pos="821" w:val="left" w:leader="none"/>
          <w:tab w:pos="822" w:val="left" w:leader="none"/>
        </w:tabs>
        <w:spacing w:line="240" w:lineRule="auto" w:before="1" w:after="0"/>
        <w:ind w:left="821" w:right="6201" w:hanging="334"/>
        <w:jc w:val="left"/>
        <w:rPr>
          <w:sz w:val="13"/>
        </w:rPr>
      </w:pPr>
      <w:r>
        <w:rPr/>
        <w:pict>
          <v:group style="position:absolute;margin-left:316.679993pt;margin-top:-.213115pt;width:80.2pt;height:28pt;mso-position-horizontal-relative:page;mso-position-vertical-relative:paragraph;z-index:252558336" coordorigin="6334,-4" coordsize="1604,560">
            <v:shape style="position:absolute;left:6333;top:-5;width:1604;height:560" type="#_x0000_t75" stroked="false">
              <v:imagedata r:id="rId1759" o:title=""/>
            </v:shape>
            <v:shape style="position:absolute;left:7051;top:402;width:190;height:148" type="#_x0000_t202" filled="false" stroked="false">
              <v:textbox inset="0,0,0,0">
                <w:txbxContent>
                  <w:p>
                    <w:pPr>
                      <w:spacing w:line="147" w:lineRule="exact" w:before="0"/>
                      <w:ind w:left="0" w:right="0" w:firstLine="0"/>
                      <w:jc w:val="left"/>
                      <w:rPr>
                        <w:sz w:val="13"/>
                      </w:rPr>
                    </w:pPr>
                    <w:r>
                      <w:rPr>
                        <w:sz w:val="13"/>
                      </w:rPr>
                      <w:t>No</w:t>
                    </w:r>
                  </w:p>
                </w:txbxContent>
              </v:textbox>
              <w10:wrap type="none"/>
            </v:shape>
            <w10:wrap type="none"/>
          </v:group>
        </w:pict>
      </w:r>
      <w:r>
        <w:rPr>
          <w:sz w:val="13"/>
        </w:rPr>
        <w:t>Does your district operate any self-insurance programs such as workers' compensation, employee health and welfare, or property and liability? (Do not include OPEB, which is covered in Section S7A) (If No, skip items</w:t>
      </w:r>
      <w:r>
        <w:rPr>
          <w:spacing w:val="5"/>
          <w:sz w:val="13"/>
        </w:rPr>
        <w:t> </w:t>
      </w:r>
      <w:r>
        <w:rPr>
          <w:sz w:val="13"/>
        </w:rPr>
        <w:t>2-4)</w:t>
      </w:r>
    </w:p>
    <w:p>
      <w:pPr>
        <w:pStyle w:val="BodyText"/>
        <w:spacing w:before="9"/>
        <w:rPr>
          <w:sz w:val="12"/>
        </w:rPr>
      </w:pPr>
    </w:p>
    <w:p>
      <w:pPr>
        <w:pStyle w:val="ListParagraph"/>
        <w:numPr>
          <w:ilvl w:val="0"/>
          <w:numId w:val="76"/>
        </w:numPr>
        <w:tabs>
          <w:tab w:pos="821" w:val="left" w:leader="none"/>
          <w:tab w:pos="822" w:val="left" w:leader="none"/>
        </w:tabs>
        <w:spacing w:line="240" w:lineRule="auto" w:before="98" w:after="0"/>
        <w:ind w:left="821" w:right="1027" w:hanging="334"/>
        <w:jc w:val="left"/>
        <w:rPr>
          <w:sz w:val="13"/>
        </w:rPr>
      </w:pPr>
      <w:r>
        <w:rPr>
          <w:sz w:val="13"/>
        </w:rPr>
        <w:t>Describe each self-insurance program operated by the district, including details for each such as level of risk retained, funding approach, basis for valuation (district's estimate or actuarial), and date of the</w:t>
      </w:r>
      <w:r>
        <w:rPr>
          <w:spacing w:val="-1"/>
          <w:sz w:val="13"/>
        </w:rPr>
        <w:t> </w:t>
      </w:r>
      <w:r>
        <w:rPr>
          <w:sz w:val="13"/>
        </w:rPr>
        <w:t>valuation:</w:t>
      </w:r>
    </w:p>
    <w:p>
      <w:pPr>
        <w:pStyle w:val="BodyText"/>
        <w:spacing w:before="1"/>
        <w:rPr>
          <w:sz w:val="23"/>
        </w:rPr>
      </w:pPr>
      <w:r>
        <w:rPr/>
        <w:drawing>
          <wp:anchor distT="0" distB="0" distL="0" distR="0" allowOverlap="1" layoutInCell="1" locked="0" behindDoc="0" simplePos="0" relativeHeight="877">
            <wp:simplePos x="0" y="0"/>
            <wp:positionH relativeFrom="page">
              <wp:posOffset>1644395</wp:posOffset>
            </wp:positionH>
            <wp:positionV relativeFrom="paragraph">
              <wp:posOffset>193945</wp:posOffset>
            </wp:positionV>
            <wp:extent cx="5768339" cy="864107"/>
            <wp:effectExtent l="0" t="0" r="0" b="0"/>
            <wp:wrapTopAndBottom/>
            <wp:docPr id="183" name="image1642.png"/>
            <wp:cNvGraphicFramePr>
              <a:graphicFrameLocks noChangeAspect="1"/>
            </wp:cNvGraphicFramePr>
            <a:graphic>
              <a:graphicData uri="http://schemas.openxmlformats.org/drawingml/2006/picture">
                <pic:pic>
                  <pic:nvPicPr>
                    <pic:cNvPr id="184" name="image1642.png"/>
                    <pic:cNvPicPr/>
                  </pic:nvPicPr>
                  <pic:blipFill>
                    <a:blip r:embed="rId1748" cstate="print"/>
                    <a:stretch>
                      <a:fillRect/>
                    </a:stretch>
                  </pic:blipFill>
                  <pic:spPr>
                    <a:xfrm>
                      <a:off x="0" y="0"/>
                      <a:ext cx="5768339" cy="864107"/>
                    </a:xfrm>
                    <a:prstGeom prst="rect">
                      <a:avLst/>
                    </a:prstGeom>
                  </pic:spPr>
                </pic:pic>
              </a:graphicData>
            </a:graphic>
          </wp:anchor>
        </w:drawing>
      </w:r>
    </w:p>
    <w:p>
      <w:pPr>
        <w:pStyle w:val="BodyText"/>
        <w:spacing w:before="4"/>
      </w:pPr>
    </w:p>
    <w:p>
      <w:pPr>
        <w:pStyle w:val="ListParagraph"/>
        <w:numPr>
          <w:ilvl w:val="0"/>
          <w:numId w:val="76"/>
        </w:numPr>
        <w:tabs>
          <w:tab w:pos="821" w:val="left" w:leader="none"/>
          <w:tab w:pos="822" w:val="left" w:leader="none"/>
        </w:tabs>
        <w:spacing w:line="240" w:lineRule="auto" w:before="0" w:after="0"/>
        <w:ind w:left="821" w:right="0" w:hanging="334"/>
        <w:jc w:val="left"/>
        <w:rPr>
          <w:sz w:val="13"/>
        </w:rPr>
      </w:pPr>
      <w:r>
        <w:rPr/>
        <w:drawing>
          <wp:anchor distT="0" distB="0" distL="0" distR="0" allowOverlap="1" layoutInCell="1" locked="0" behindDoc="0" simplePos="0" relativeHeight="252559360">
            <wp:simplePos x="0" y="0"/>
            <wp:positionH relativeFrom="page">
              <wp:posOffset>4021835</wp:posOffset>
            </wp:positionH>
            <wp:positionV relativeFrom="paragraph">
              <wp:posOffset>94194</wp:posOffset>
            </wp:positionV>
            <wp:extent cx="1018032" cy="217932"/>
            <wp:effectExtent l="0" t="0" r="0" b="0"/>
            <wp:wrapNone/>
            <wp:docPr id="185" name="image1652.png"/>
            <wp:cNvGraphicFramePr>
              <a:graphicFrameLocks noChangeAspect="1"/>
            </wp:cNvGraphicFramePr>
            <a:graphic>
              <a:graphicData uri="http://schemas.openxmlformats.org/drawingml/2006/picture">
                <pic:pic>
                  <pic:nvPicPr>
                    <pic:cNvPr id="186" name="image1652.png"/>
                    <pic:cNvPicPr/>
                  </pic:nvPicPr>
                  <pic:blipFill>
                    <a:blip r:embed="rId1760" cstate="print"/>
                    <a:stretch>
                      <a:fillRect/>
                    </a:stretch>
                  </pic:blipFill>
                  <pic:spPr>
                    <a:xfrm>
                      <a:off x="0" y="0"/>
                      <a:ext cx="1018032" cy="217932"/>
                    </a:xfrm>
                    <a:prstGeom prst="rect">
                      <a:avLst/>
                    </a:prstGeom>
                  </pic:spPr>
                </pic:pic>
              </a:graphicData>
            </a:graphic>
          </wp:anchor>
        </w:drawing>
      </w:r>
      <w:r>
        <w:rPr>
          <w:sz w:val="13"/>
        </w:rPr>
        <w:t>Self-Insurance</w:t>
      </w:r>
      <w:r>
        <w:rPr>
          <w:spacing w:val="1"/>
          <w:sz w:val="13"/>
        </w:rPr>
        <w:t> </w:t>
      </w:r>
      <w:r>
        <w:rPr>
          <w:sz w:val="13"/>
        </w:rPr>
        <w:t>Liabilities</w:t>
      </w:r>
    </w:p>
    <w:p>
      <w:pPr>
        <w:pStyle w:val="ListParagraph"/>
        <w:numPr>
          <w:ilvl w:val="1"/>
          <w:numId w:val="76"/>
        </w:numPr>
        <w:tabs>
          <w:tab w:pos="969" w:val="left" w:leader="none"/>
        </w:tabs>
        <w:spacing w:line="240" w:lineRule="auto" w:before="19" w:after="0"/>
        <w:ind w:left="968" w:right="0" w:hanging="148"/>
        <w:jc w:val="left"/>
        <w:rPr>
          <w:sz w:val="13"/>
        </w:rPr>
      </w:pPr>
      <w:r>
        <w:rPr>
          <w:sz w:val="13"/>
        </w:rPr>
        <w:t>Accrued liability for self-insurance</w:t>
      </w:r>
      <w:r>
        <w:rPr>
          <w:spacing w:val="-3"/>
          <w:sz w:val="13"/>
        </w:rPr>
        <w:t> </w:t>
      </w:r>
      <w:r>
        <w:rPr>
          <w:sz w:val="13"/>
        </w:rPr>
        <w:t>programs</w:t>
      </w:r>
    </w:p>
    <w:p>
      <w:pPr>
        <w:pStyle w:val="ListParagraph"/>
        <w:numPr>
          <w:ilvl w:val="1"/>
          <w:numId w:val="76"/>
        </w:numPr>
        <w:tabs>
          <w:tab w:pos="969" w:val="left" w:leader="none"/>
        </w:tabs>
        <w:spacing w:line="240" w:lineRule="auto" w:before="18" w:after="0"/>
        <w:ind w:left="968" w:right="0" w:hanging="148"/>
        <w:jc w:val="left"/>
        <w:rPr>
          <w:sz w:val="13"/>
        </w:rPr>
      </w:pPr>
      <w:r>
        <w:rPr>
          <w:sz w:val="13"/>
        </w:rPr>
        <w:t>Unfunded liability for self-insurance programs</w:t>
      </w:r>
    </w:p>
    <w:p>
      <w:pPr>
        <w:pStyle w:val="BodyText"/>
        <w:spacing w:before="8"/>
        <w:rPr>
          <w:sz w:val="17"/>
        </w:rPr>
      </w:pPr>
    </w:p>
    <w:p>
      <w:pPr>
        <w:pStyle w:val="BodyText"/>
        <w:tabs>
          <w:tab w:pos="7882" w:val="left" w:leader="none"/>
          <w:tab w:pos="10032" w:val="left" w:leader="none"/>
        </w:tabs>
        <w:ind w:left="5940"/>
      </w:pPr>
      <w:r>
        <w:rPr/>
        <w:t>Budget Year</w:t>
        <w:tab/>
        <w:t>1st</w:t>
      </w:r>
      <w:r>
        <w:rPr>
          <w:spacing w:val="3"/>
        </w:rPr>
        <w:t> </w:t>
      </w:r>
      <w:r>
        <w:rPr/>
        <w:t>Subsequent</w:t>
      </w:r>
      <w:r>
        <w:rPr>
          <w:spacing w:val="4"/>
        </w:rPr>
        <w:t> </w:t>
      </w:r>
      <w:r>
        <w:rPr/>
        <w:t>Year</w:t>
        <w:tab/>
        <w:t>2nd Subsequent</w:t>
      </w:r>
      <w:r>
        <w:rPr>
          <w:spacing w:val="3"/>
        </w:rPr>
        <w:t> </w:t>
      </w:r>
      <w:r>
        <w:rPr/>
        <w:t>Year</w:t>
      </w:r>
    </w:p>
    <w:p>
      <w:pPr>
        <w:pStyle w:val="BodyText"/>
        <w:tabs>
          <w:tab w:pos="821" w:val="left" w:leader="none"/>
          <w:tab w:pos="6019" w:val="left" w:leader="none"/>
          <w:tab w:pos="8213" w:val="left" w:leader="none"/>
          <w:tab w:pos="10385" w:val="left" w:leader="none"/>
        </w:tabs>
        <w:spacing w:before="35"/>
        <w:ind w:left="471"/>
      </w:pPr>
      <w:r>
        <w:rPr/>
        <w:drawing>
          <wp:anchor distT="0" distB="0" distL="0" distR="0" allowOverlap="1" layoutInCell="1" locked="0" behindDoc="0" simplePos="0" relativeHeight="252560384">
            <wp:simplePos x="0" y="0"/>
            <wp:positionH relativeFrom="page">
              <wp:posOffset>3407664</wp:posOffset>
            </wp:positionH>
            <wp:positionV relativeFrom="paragraph">
              <wp:posOffset>116419</wp:posOffset>
            </wp:positionV>
            <wp:extent cx="4005071" cy="217932"/>
            <wp:effectExtent l="0" t="0" r="0" b="0"/>
            <wp:wrapNone/>
            <wp:docPr id="187" name="image1653.png"/>
            <wp:cNvGraphicFramePr>
              <a:graphicFrameLocks noChangeAspect="1"/>
            </wp:cNvGraphicFramePr>
            <a:graphic>
              <a:graphicData uri="http://schemas.openxmlformats.org/drawingml/2006/picture">
                <pic:pic>
                  <pic:nvPicPr>
                    <pic:cNvPr id="188" name="image1653.png"/>
                    <pic:cNvPicPr/>
                  </pic:nvPicPr>
                  <pic:blipFill>
                    <a:blip r:embed="rId1761" cstate="print"/>
                    <a:stretch>
                      <a:fillRect/>
                    </a:stretch>
                  </pic:blipFill>
                  <pic:spPr>
                    <a:xfrm>
                      <a:off x="0" y="0"/>
                      <a:ext cx="4005071" cy="217932"/>
                    </a:xfrm>
                    <a:prstGeom prst="rect">
                      <a:avLst/>
                    </a:prstGeom>
                  </pic:spPr>
                </pic:pic>
              </a:graphicData>
            </a:graphic>
          </wp:anchor>
        </w:drawing>
      </w:r>
      <w:r>
        <w:rPr/>
        <w:t>4.</w:t>
        <w:tab/>
        <w:t>Self-Insurance</w:t>
      </w:r>
      <w:r>
        <w:rPr>
          <w:spacing w:val="5"/>
        </w:rPr>
        <w:t> </w:t>
      </w:r>
      <w:r>
        <w:rPr/>
        <w:t>Contributions</w:t>
        <w:tab/>
        <w:t>(2021-22)</w:t>
        <w:tab/>
        <w:t>(2022-23)</w:t>
        <w:tab/>
        <w:t>(2023-24)</w:t>
      </w:r>
    </w:p>
    <w:p>
      <w:pPr>
        <w:pStyle w:val="ListParagraph"/>
        <w:numPr>
          <w:ilvl w:val="0"/>
          <w:numId w:val="77"/>
        </w:numPr>
        <w:tabs>
          <w:tab w:pos="969" w:val="left" w:leader="none"/>
        </w:tabs>
        <w:spacing w:line="240" w:lineRule="auto" w:before="19" w:after="0"/>
        <w:ind w:left="968" w:right="0" w:hanging="148"/>
        <w:jc w:val="left"/>
        <w:rPr>
          <w:sz w:val="13"/>
        </w:rPr>
      </w:pPr>
      <w:r>
        <w:rPr>
          <w:sz w:val="13"/>
        </w:rPr>
        <w:t>Required contribution (funding) for self-insurance</w:t>
      </w:r>
      <w:r>
        <w:rPr>
          <w:spacing w:val="1"/>
          <w:sz w:val="13"/>
        </w:rPr>
        <w:t> </w:t>
      </w:r>
      <w:r>
        <w:rPr>
          <w:sz w:val="13"/>
        </w:rPr>
        <w:t>programs</w:t>
      </w:r>
    </w:p>
    <w:p>
      <w:pPr>
        <w:pStyle w:val="ListParagraph"/>
        <w:numPr>
          <w:ilvl w:val="0"/>
          <w:numId w:val="77"/>
        </w:numPr>
        <w:tabs>
          <w:tab w:pos="969" w:val="left" w:leader="none"/>
        </w:tabs>
        <w:spacing w:line="240" w:lineRule="auto" w:before="18" w:after="0"/>
        <w:ind w:left="968" w:right="0" w:hanging="148"/>
        <w:jc w:val="left"/>
        <w:rPr>
          <w:sz w:val="13"/>
        </w:rPr>
      </w:pPr>
      <w:r>
        <w:rPr>
          <w:sz w:val="13"/>
        </w:rPr>
        <w:t>Amount contributed (funded) for self-insurance</w:t>
      </w:r>
      <w:r>
        <w:rPr>
          <w:spacing w:val="-5"/>
          <w:sz w:val="13"/>
        </w:rPr>
        <w:t> </w:t>
      </w:r>
      <w:r>
        <w:rPr>
          <w:sz w:val="13"/>
        </w:rPr>
        <w:t>programs</w:t>
      </w:r>
    </w:p>
    <w:p>
      <w:pPr>
        <w:spacing w:after="0" w:line="240" w:lineRule="auto"/>
        <w:jc w:val="left"/>
        <w:rPr>
          <w:sz w:val="13"/>
        </w:rPr>
        <w:sectPr>
          <w:headerReference w:type="default" r:id="rId1757"/>
          <w:footerReference w:type="default" r:id="rId1758"/>
          <w:pgSz w:w="12240" w:h="15840"/>
          <w:pgMar w:header="402" w:footer="584" w:top="840" w:bottom="780" w:left="40" w:right="40"/>
        </w:sectPr>
      </w:pPr>
    </w:p>
    <w:p>
      <w:pPr>
        <w:pStyle w:val="BodyText"/>
        <w:rPr>
          <w:sz w:val="20"/>
        </w:rPr>
      </w:pPr>
    </w:p>
    <w:p>
      <w:pPr>
        <w:pStyle w:val="BodyText"/>
        <w:spacing w:before="1"/>
        <w:rPr>
          <w:sz w:val="23"/>
        </w:rPr>
      </w:pPr>
    </w:p>
    <w:p>
      <w:pPr>
        <w:pStyle w:val="Heading4"/>
        <w:spacing w:before="1"/>
        <w:ind w:left="425" w:firstLine="0"/>
      </w:pPr>
      <w:r>
        <w:rPr/>
        <w:t>S8. Status of Labor Agreements</w:t>
      </w:r>
    </w:p>
    <w:p>
      <w:pPr>
        <w:pStyle w:val="BodyText"/>
        <w:spacing w:before="144"/>
        <w:ind w:left="821" w:right="738"/>
      </w:pPr>
      <w:r>
        <w:rPr/>
        <w:t>Analyze the status of all employee labor agreements. Identify new labor agreements, as well as new commitments provided as part of previously ratified multiyear agreements; and include all contracts, including all administrator contracts (and including all compensation). For new agreements, indicate the date of the required board meeting. Compare the increase  in new commitments to the projected increase in ongoing revenues, and explain how these commitments will be funded in future fiscal</w:t>
      </w:r>
      <w:r>
        <w:rPr>
          <w:spacing w:val="18"/>
        </w:rPr>
        <w:t> </w:t>
      </w:r>
      <w:r>
        <w:rPr/>
        <w:t>years.</w:t>
      </w:r>
    </w:p>
    <w:p>
      <w:pPr>
        <w:spacing w:before="89"/>
        <w:ind w:left="821" w:right="0" w:firstLine="0"/>
        <w:jc w:val="left"/>
        <w:rPr>
          <w:b/>
          <w:sz w:val="13"/>
        </w:rPr>
      </w:pPr>
      <w:r>
        <w:rPr>
          <w:b/>
          <w:sz w:val="13"/>
        </w:rPr>
        <w:t>If salary and benefit negotiations are not finalized at budget adoption, upon settlement with certificated or classified staff:</w:t>
      </w:r>
    </w:p>
    <w:p>
      <w:pPr>
        <w:pStyle w:val="BodyText"/>
        <w:spacing w:before="28"/>
        <w:ind w:left="821" w:right="622"/>
      </w:pPr>
      <w:r>
        <w:rPr/>
        <w:t>The school district must determine the cost of the settlement, including salaries, benefits, and any other agreements that change costs, and provide the county office of education (COE) with an analysis of the cost of the settlement and its impact on the operating budget.</w:t>
      </w:r>
    </w:p>
    <w:p>
      <w:pPr>
        <w:pStyle w:val="BodyText"/>
        <w:spacing w:before="5"/>
        <w:rPr>
          <w:sz w:val="18"/>
        </w:rPr>
      </w:pPr>
    </w:p>
    <w:p>
      <w:pPr>
        <w:pStyle w:val="BodyText"/>
        <w:ind w:left="821" w:right="932"/>
      </w:pPr>
      <w:r>
        <w:rPr/>
        <w:t>The county superintendent shall review the analysis relative to the criteria and standards, and may provide written comments to the president of the district governing board and superintendent.</w:t>
      </w:r>
    </w:p>
    <w:p>
      <w:pPr>
        <w:pStyle w:val="BodyText"/>
        <w:spacing w:before="1"/>
        <w:rPr>
          <w:sz w:val="12"/>
        </w:rPr>
      </w:pPr>
      <w:r>
        <w:rPr/>
        <w:drawing>
          <wp:anchor distT="0" distB="0" distL="0" distR="0" allowOverlap="1" layoutInCell="1" locked="0" behindDoc="0" simplePos="0" relativeHeight="882">
            <wp:simplePos x="0" y="0"/>
            <wp:positionH relativeFrom="page">
              <wp:posOffset>208788</wp:posOffset>
            </wp:positionH>
            <wp:positionV relativeFrom="paragraph">
              <wp:posOffset>113510</wp:posOffset>
            </wp:positionV>
            <wp:extent cx="7203937" cy="13716"/>
            <wp:effectExtent l="0" t="0" r="0" b="0"/>
            <wp:wrapTopAndBottom/>
            <wp:docPr id="189" name="image1401.png"/>
            <wp:cNvGraphicFramePr>
              <a:graphicFrameLocks noChangeAspect="1"/>
            </wp:cNvGraphicFramePr>
            <a:graphic>
              <a:graphicData uri="http://schemas.openxmlformats.org/drawingml/2006/picture">
                <pic:pic>
                  <pic:nvPicPr>
                    <pic:cNvPr id="190" name="image1401.png"/>
                    <pic:cNvPicPr/>
                  </pic:nvPicPr>
                  <pic:blipFill>
                    <a:blip r:embed="rId1503" cstate="print"/>
                    <a:stretch>
                      <a:fillRect/>
                    </a:stretch>
                  </pic:blipFill>
                  <pic:spPr>
                    <a:xfrm>
                      <a:off x="0" y="0"/>
                      <a:ext cx="7203937" cy="13716"/>
                    </a:xfrm>
                    <a:prstGeom prst="rect">
                      <a:avLst/>
                    </a:prstGeom>
                  </pic:spPr>
                </pic:pic>
              </a:graphicData>
            </a:graphic>
          </wp:anchor>
        </w:drawing>
      </w:r>
    </w:p>
    <w:p>
      <w:pPr>
        <w:spacing w:before="12"/>
        <w:ind w:left="322" w:right="0" w:firstLine="0"/>
        <w:jc w:val="left"/>
        <w:rPr>
          <w:b/>
          <w:sz w:val="14"/>
        </w:rPr>
      </w:pPr>
      <w:r>
        <w:rPr>
          <w:b/>
          <w:w w:val="105"/>
          <w:sz w:val="14"/>
        </w:rPr>
        <w:t>S8A. Cost Analysis of District's Labor Agreements - Certificated (Non-management) Employees</w:t>
      </w:r>
    </w:p>
    <w:p>
      <w:pPr>
        <w:pStyle w:val="BodyText"/>
        <w:spacing w:line="21" w:lineRule="exact"/>
        <w:ind w:left="288"/>
        <w:rPr>
          <w:sz w:val="2"/>
        </w:rPr>
      </w:pPr>
      <w:r>
        <w:rPr>
          <w:sz w:val="2"/>
        </w:rPr>
        <w:pict>
          <v:group style="width:567.25pt;height:1.1pt;mso-position-horizontal-relative:char;mso-position-vertical-relative:line" coordorigin="0,0" coordsize="11345,22">
            <v:shape style="position:absolute;left:0;top:0;width:7001;height:22" type="#_x0000_t75" stroked="false">
              <v:imagedata r:id="rId1629" o:title=""/>
            </v:shape>
            <v:shape style="position:absolute;left:6993;top:0;width:4352;height:22" type="#_x0000_t75" stroked="false">
              <v:imagedata r:id="rId1611" o:title=""/>
            </v:shape>
          </v:group>
        </w:pict>
      </w:r>
      <w:r>
        <w:rPr>
          <w:sz w:val="2"/>
        </w:rPr>
      </w:r>
    </w:p>
    <w:p>
      <w:pPr>
        <w:pStyle w:val="BodyText"/>
        <w:rPr>
          <w:b/>
          <w:sz w:val="12"/>
        </w:rPr>
      </w:pPr>
    </w:p>
    <w:p>
      <w:pPr>
        <w:pStyle w:val="BodyText"/>
        <w:spacing w:before="98"/>
        <w:ind w:left="322"/>
      </w:pPr>
      <w:r>
        <w:rPr/>
        <w:t>DATA ENTRY: Enter all applicable data items; there are no extractions in this section.</w:t>
      </w:r>
    </w:p>
    <w:p>
      <w:pPr>
        <w:pStyle w:val="BodyText"/>
        <w:spacing w:before="2"/>
        <w:rPr>
          <w:sz w:val="9"/>
        </w:rPr>
      </w:pPr>
    </w:p>
    <w:p>
      <w:pPr>
        <w:spacing w:after="0"/>
        <w:rPr>
          <w:sz w:val="9"/>
        </w:rPr>
        <w:sectPr>
          <w:headerReference w:type="default" r:id="rId1762"/>
          <w:footerReference w:type="default" r:id="rId1763"/>
          <w:pgSz w:w="12240" w:h="15840"/>
          <w:pgMar w:header="402" w:footer="584" w:top="840" w:bottom="780" w:left="40" w:right="40"/>
          <w:pgNumType w:start="1"/>
        </w:sectPr>
      </w:pPr>
    </w:p>
    <w:p>
      <w:pPr>
        <w:pStyle w:val="BodyText"/>
        <w:rPr>
          <w:sz w:val="14"/>
        </w:rPr>
      </w:pPr>
    </w:p>
    <w:p>
      <w:pPr>
        <w:pStyle w:val="BodyText"/>
        <w:rPr>
          <w:sz w:val="14"/>
        </w:rPr>
      </w:pPr>
    </w:p>
    <w:p>
      <w:pPr>
        <w:pStyle w:val="BodyText"/>
        <w:spacing w:before="4"/>
        <w:rPr>
          <w:sz w:val="16"/>
        </w:rPr>
      </w:pPr>
    </w:p>
    <w:p>
      <w:pPr>
        <w:pStyle w:val="BodyText"/>
        <w:ind w:left="322" w:right="38"/>
      </w:pPr>
      <w:r>
        <w:rPr/>
        <w:t>Number of certificated (non-management) full-time-equivalent (FTE) positions</w:t>
      </w:r>
    </w:p>
    <w:p>
      <w:pPr>
        <w:pStyle w:val="BodyText"/>
        <w:tabs>
          <w:tab w:pos="2623" w:val="left" w:leader="none"/>
          <w:tab w:pos="2719" w:val="left" w:leader="none"/>
          <w:tab w:pos="4582" w:val="left" w:leader="none"/>
          <w:tab w:pos="4913" w:val="left" w:leader="none"/>
          <w:tab w:pos="6732" w:val="left" w:leader="none"/>
          <w:tab w:pos="7085" w:val="left" w:leader="none"/>
        </w:tabs>
        <w:spacing w:line="297" w:lineRule="auto" w:before="97"/>
        <w:ind w:left="720" w:right="842" w:hanging="399"/>
      </w:pPr>
      <w:r>
        <w:rPr/>
        <w:br w:type="column"/>
      </w:r>
      <w:r>
        <w:rPr/>
        <w:t>Prior Year (2nd</w:t>
      </w:r>
      <w:r>
        <w:rPr>
          <w:spacing w:val="3"/>
        </w:rPr>
        <w:t> </w:t>
      </w:r>
      <w:r>
        <w:rPr/>
        <w:t>Interim)</w:t>
        <w:tab/>
        <w:t>Budget</w:t>
      </w:r>
      <w:r>
        <w:rPr>
          <w:spacing w:val="5"/>
        </w:rPr>
        <w:t> </w:t>
      </w:r>
      <w:r>
        <w:rPr/>
        <w:t>Year</w:t>
        <w:tab/>
        <w:t>1st</w:t>
      </w:r>
      <w:r>
        <w:rPr>
          <w:spacing w:val="6"/>
        </w:rPr>
        <w:t> </w:t>
      </w:r>
      <w:r>
        <w:rPr/>
        <w:t>Subsequent</w:t>
      </w:r>
      <w:r>
        <w:rPr>
          <w:spacing w:val="6"/>
        </w:rPr>
        <w:t> </w:t>
      </w:r>
      <w:r>
        <w:rPr/>
        <w:t>Year</w:t>
        <w:tab/>
        <w:t>2nd Subsequent </w:t>
      </w:r>
      <w:r>
        <w:rPr>
          <w:spacing w:val="-4"/>
        </w:rPr>
        <w:t>Year </w:t>
      </w:r>
      <w:r>
        <w:rPr/>
        <w:t>(2020-21)</w:t>
        <w:tab/>
        <w:tab/>
        <w:t>(2021-22)</w:t>
        <w:tab/>
        <w:tab/>
        <w:t>(2022-23)</w:t>
        <w:tab/>
        <w:tab/>
        <w:t>(2023-24)</w:t>
      </w:r>
    </w:p>
    <w:p>
      <w:pPr>
        <w:spacing w:after="0" w:line="297" w:lineRule="auto"/>
        <w:sectPr>
          <w:type w:val="continuous"/>
          <w:pgSz w:w="12240" w:h="15840"/>
          <w:pgMar w:top="1500" w:bottom="840" w:left="40" w:right="40"/>
          <w:cols w:num="2" w:equalWidth="0">
            <w:col w:w="2826" w:space="474"/>
            <w:col w:w="8860"/>
          </w:cols>
        </w:sectPr>
      </w:pPr>
    </w:p>
    <w:p>
      <w:pPr>
        <w:pStyle w:val="BodyText"/>
        <w:spacing w:before="7"/>
        <w:rPr>
          <w:sz w:val="10"/>
        </w:rPr>
      </w:pPr>
    </w:p>
    <w:p>
      <w:pPr>
        <w:spacing w:before="98"/>
        <w:ind w:left="322" w:right="0" w:firstLine="0"/>
        <w:jc w:val="left"/>
        <w:rPr>
          <w:b/>
          <w:sz w:val="13"/>
        </w:rPr>
      </w:pPr>
      <w:r>
        <w:rPr/>
        <w:pict>
          <v:group style="position:absolute;margin-left:166.199997pt;margin-top:-25.003096pt;width:417.5pt;height:19.350pt;mso-position-horizontal-relative:page;mso-position-vertical-relative:paragraph;z-index:-313796608" coordorigin="3324,-500" coordsize="8350,387">
            <v:shape style="position:absolute;left:3324;top:-501;width:8350;height:387" type="#_x0000_t75" stroked="false">
              <v:imagedata r:id="rId1764" o:title=""/>
            </v:shape>
            <v:shape style="position:absolute;left:5112;top:-267;width:204;height:148" type="#_x0000_t202" filled="false" stroked="false">
              <v:textbox inset="0,0,0,0">
                <w:txbxContent>
                  <w:p>
                    <w:pPr>
                      <w:spacing w:line="147" w:lineRule="exact" w:before="0"/>
                      <w:ind w:left="0" w:right="0" w:firstLine="0"/>
                      <w:jc w:val="left"/>
                      <w:rPr>
                        <w:sz w:val="13"/>
                      </w:rPr>
                    </w:pPr>
                    <w:r>
                      <w:rPr>
                        <w:sz w:val="13"/>
                      </w:rPr>
                      <w:t>7.0</w:t>
                    </w:r>
                  </w:p>
                </w:txbxContent>
              </v:textbox>
              <w10:wrap type="none"/>
            </v:shape>
            <v:shape style="position:absolute;left:7068;top:-267;width:204;height:148" type="#_x0000_t202" filled="false" stroked="false">
              <v:textbox inset="0,0,0,0">
                <w:txbxContent>
                  <w:p>
                    <w:pPr>
                      <w:spacing w:line="147" w:lineRule="exact" w:before="0"/>
                      <w:ind w:left="0" w:right="0" w:firstLine="0"/>
                      <w:jc w:val="left"/>
                      <w:rPr>
                        <w:sz w:val="13"/>
                      </w:rPr>
                    </w:pPr>
                    <w:r>
                      <w:rPr>
                        <w:sz w:val="13"/>
                      </w:rPr>
                      <w:t>8.0</w:t>
                    </w:r>
                  </w:p>
                </w:txbxContent>
              </v:textbox>
              <w10:wrap type="none"/>
            </v:shape>
            <v:shape style="position:absolute;left:9499;top:-267;width:204;height:148" type="#_x0000_t202" filled="false" stroked="false">
              <v:textbox inset="0,0,0,0">
                <w:txbxContent>
                  <w:p>
                    <w:pPr>
                      <w:spacing w:line="147" w:lineRule="exact" w:before="0"/>
                      <w:ind w:left="0" w:right="0" w:firstLine="0"/>
                      <w:jc w:val="left"/>
                      <w:rPr>
                        <w:sz w:val="13"/>
                      </w:rPr>
                    </w:pPr>
                    <w:r>
                      <w:rPr>
                        <w:sz w:val="13"/>
                      </w:rPr>
                      <w:t>8.0</w:t>
                    </w:r>
                  </w:p>
                </w:txbxContent>
              </v:textbox>
              <w10:wrap type="none"/>
            </v:shape>
            <v:shape style="position:absolute;left:11412;top:-267;width:204;height:148" type="#_x0000_t202" filled="false" stroked="false">
              <v:textbox inset="0,0,0,0">
                <w:txbxContent>
                  <w:p>
                    <w:pPr>
                      <w:spacing w:line="147" w:lineRule="exact" w:before="0"/>
                      <w:ind w:left="0" w:right="0" w:firstLine="0"/>
                      <w:jc w:val="left"/>
                      <w:rPr>
                        <w:sz w:val="13"/>
                      </w:rPr>
                    </w:pPr>
                    <w:r>
                      <w:rPr>
                        <w:sz w:val="13"/>
                      </w:rPr>
                      <w:t>8.0</w:t>
                    </w:r>
                  </w:p>
                </w:txbxContent>
              </v:textbox>
              <w10:wrap type="none"/>
            </v:shape>
            <w10:wrap type="none"/>
          </v:group>
        </w:pict>
      </w:r>
      <w:r>
        <w:rPr/>
        <w:pict>
          <v:group style="position:absolute;margin-left:316.679993pt;margin-top:3.196914pt;width:80.2pt;height:18.850pt;mso-position-horizontal-relative:page;mso-position-vertical-relative:paragraph;z-index:252572672" coordorigin="6334,64" coordsize="1604,377">
            <v:shape style="position:absolute;left:6333;top:63;width:1604;height:377" type="#_x0000_t75" stroked="false">
              <v:imagedata r:id="rId1765" o:title=""/>
            </v:shape>
            <v:shape style="position:absolute;left:7051;top:287;width:190;height:148" type="#_x0000_t202" filled="false" stroked="false">
              <v:textbox inset="0,0,0,0">
                <w:txbxContent>
                  <w:p>
                    <w:pPr>
                      <w:spacing w:line="147" w:lineRule="exact" w:before="0"/>
                      <w:ind w:left="0" w:right="0" w:firstLine="0"/>
                      <w:jc w:val="left"/>
                      <w:rPr>
                        <w:sz w:val="13"/>
                      </w:rPr>
                    </w:pPr>
                    <w:r>
                      <w:rPr>
                        <w:sz w:val="13"/>
                      </w:rPr>
                      <w:t>No</w:t>
                    </w:r>
                  </w:p>
                </w:txbxContent>
              </v:textbox>
              <w10:wrap type="none"/>
            </v:shape>
            <w10:wrap type="none"/>
          </v:group>
        </w:pict>
      </w:r>
      <w:r>
        <w:rPr>
          <w:b/>
          <w:sz w:val="13"/>
        </w:rPr>
        <w:t>Certificated (Non-management) Salary and Benefit Negotiations</w:t>
      </w:r>
    </w:p>
    <w:p>
      <w:pPr>
        <w:pStyle w:val="BodyText"/>
        <w:tabs>
          <w:tab w:pos="821" w:val="left" w:leader="none"/>
        </w:tabs>
        <w:spacing w:before="37"/>
        <w:ind w:left="488"/>
      </w:pPr>
      <w:r>
        <w:rPr/>
        <w:t>1.</w:t>
        <w:tab/>
        <w:t>Are salary and benefit negotiations settled for the budget</w:t>
      </w:r>
      <w:r>
        <w:rPr>
          <w:spacing w:val="-1"/>
        </w:rPr>
        <w:t> </w:t>
      </w:r>
      <w:r>
        <w:rPr/>
        <w:t>year?</w:t>
      </w:r>
    </w:p>
    <w:p>
      <w:pPr>
        <w:pStyle w:val="BodyText"/>
        <w:spacing w:before="10"/>
        <w:rPr>
          <w:sz w:val="9"/>
        </w:rPr>
      </w:pPr>
    </w:p>
    <w:p>
      <w:pPr>
        <w:pStyle w:val="BodyText"/>
        <w:spacing w:before="97"/>
        <w:ind w:left="2583" w:right="5979"/>
      </w:pPr>
      <w:r>
        <w:rPr/>
        <w:t>If Yes, and the corresponding public disclosure documents have been filed with the COE, complete questions 2 and </w:t>
      </w:r>
      <w:r>
        <w:rPr>
          <w:spacing w:val="1"/>
        </w:rPr>
        <w:t> </w:t>
      </w:r>
      <w:r>
        <w:rPr/>
        <w:t>3.</w:t>
      </w:r>
    </w:p>
    <w:p>
      <w:pPr>
        <w:pStyle w:val="BodyText"/>
        <w:spacing w:before="8"/>
        <w:rPr>
          <w:sz w:val="19"/>
        </w:rPr>
      </w:pPr>
    </w:p>
    <w:p>
      <w:pPr>
        <w:pStyle w:val="BodyText"/>
        <w:spacing w:before="1"/>
        <w:ind w:left="2583" w:right="5979"/>
      </w:pPr>
      <w:r>
        <w:rPr/>
        <w:t>If Yes, and the corresponding public disclosure documents have not been filed with the COE, complete questions</w:t>
      </w:r>
      <w:r>
        <w:rPr>
          <w:spacing w:val="35"/>
        </w:rPr>
        <w:t> </w:t>
      </w:r>
      <w:r>
        <w:rPr/>
        <w:t>2-5.</w:t>
      </w:r>
    </w:p>
    <w:p>
      <w:pPr>
        <w:pStyle w:val="BodyText"/>
        <w:spacing w:before="3"/>
        <w:rPr>
          <w:sz w:val="19"/>
        </w:rPr>
      </w:pPr>
    </w:p>
    <w:p>
      <w:pPr>
        <w:pStyle w:val="BodyText"/>
        <w:ind w:left="2583"/>
      </w:pPr>
      <w:r>
        <w:rPr/>
        <w:t>If No, identify the unsettled negotiations including any prior year unsettled negotiations and then complete questions 6 and 7.</w:t>
      </w:r>
    </w:p>
    <w:p>
      <w:pPr>
        <w:pStyle w:val="BodyText"/>
        <w:spacing w:before="1"/>
        <w:rPr>
          <w:sz w:val="11"/>
        </w:rPr>
      </w:pPr>
      <w:r>
        <w:rPr/>
        <w:pict>
          <v:group style="position:absolute;margin-left:129.479996pt;margin-top:8.352982pt;width:454.2pt;height:34pt;mso-position-horizontal-relative:page;mso-position-vertical-relative:paragraph;z-index:-250752000;mso-wrap-distance-left:0;mso-wrap-distance-right:0" coordorigin="2590,167" coordsize="9084,680">
            <v:shape style="position:absolute;left:2589;top:167;width:9084;height:680" type="#_x0000_t75" stroked="false">
              <v:imagedata r:id="rId1647" o:title=""/>
            </v:shape>
            <v:shape style="position:absolute;left:2589;top:167;width:9084;height:680" type="#_x0000_t202" filled="false" stroked="false">
              <v:textbox inset="0,0,0,0">
                <w:txbxContent>
                  <w:p>
                    <w:pPr>
                      <w:spacing w:before="5"/>
                      <w:ind w:left="33" w:right="0" w:firstLine="0"/>
                      <w:jc w:val="left"/>
                      <w:rPr>
                        <w:sz w:val="13"/>
                      </w:rPr>
                    </w:pPr>
                    <w:r>
                      <w:rPr>
                        <w:sz w:val="13"/>
                      </w:rPr>
                      <w:t>The district does not have an organized labor union association. The increases in salary and benefits for all teachers are approved by the district's board.</w:t>
                    </w:r>
                  </w:p>
                </w:txbxContent>
              </v:textbox>
              <w10:wrap type="none"/>
            </v:shape>
            <w10:wrap type="topAndBottom"/>
          </v:group>
        </w:pict>
      </w:r>
    </w:p>
    <w:p>
      <w:pPr>
        <w:pStyle w:val="BodyText"/>
        <w:spacing w:before="7"/>
        <w:rPr>
          <w:sz w:val="7"/>
        </w:rPr>
      </w:pPr>
    </w:p>
    <w:p>
      <w:pPr>
        <w:pStyle w:val="BodyText"/>
        <w:spacing w:line="149" w:lineRule="exact" w:before="97"/>
        <w:ind w:left="322"/>
      </w:pPr>
      <w:r>
        <w:rPr>
          <w:spacing w:val="-96"/>
          <w:u w:val="single"/>
        </w:rPr>
        <w:t>N</w:t>
      </w:r>
      <w:r>
        <w:rPr>
          <w:spacing w:val="62"/>
        </w:rPr>
        <w:t> </w:t>
      </w:r>
      <w:r>
        <w:rPr>
          <w:u w:val="single"/>
        </w:rPr>
        <w:t>egotiations Settled</w:t>
      </w:r>
    </w:p>
    <w:p>
      <w:pPr>
        <w:pStyle w:val="BodyText"/>
        <w:tabs>
          <w:tab w:pos="6293" w:val="left" w:leader="none"/>
        </w:tabs>
        <w:spacing w:line="175" w:lineRule="exact"/>
        <w:ind w:left="451"/>
      </w:pPr>
      <w:r>
        <w:rPr/>
        <w:t>2a.      Per Government Code Section 3547.5(a), date of public disclosure</w:t>
      </w:r>
      <w:r>
        <w:rPr>
          <w:spacing w:val="30"/>
        </w:rPr>
        <w:t> </w:t>
      </w:r>
      <w:r>
        <w:rPr/>
        <w:t>board</w:t>
      </w:r>
      <w:r>
        <w:rPr>
          <w:spacing w:val="4"/>
        </w:rPr>
        <w:t> </w:t>
      </w:r>
      <w:r>
        <w:rPr/>
        <w:t>meeting:</w:t>
        <w:tab/>
      </w:r>
      <w:r>
        <w:rPr>
          <w:position w:val="-2"/>
        </w:rPr>
        <w:drawing>
          <wp:inline distT="0" distB="0" distL="0" distR="0">
            <wp:extent cx="1018032" cy="111251"/>
            <wp:effectExtent l="0" t="0" r="0" b="0"/>
            <wp:docPr id="191" name="image1656.png"/>
            <wp:cNvGraphicFramePr>
              <a:graphicFrameLocks noChangeAspect="1"/>
            </wp:cNvGraphicFramePr>
            <a:graphic>
              <a:graphicData uri="http://schemas.openxmlformats.org/drawingml/2006/picture">
                <pic:pic>
                  <pic:nvPicPr>
                    <pic:cNvPr id="192" name="image1656.png"/>
                    <pic:cNvPicPr/>
                  </pic:nvPicPr>
                  <pic:blipFill>
                    <a:blip r:embed="rId1766" cstate="print"/>
                    <a:stretch>
                      <a:fillRect/>
                    </a:stretch>
                  </pic:blipFill>
                  <pic:spPr>
                    <a:xfrm>
                      <a:off x="0" y="0"/>
                      <a:ext cx="1018032" cy="111251"/>
                    </a:xfrm>
                    <a:prstGeom prst="rect">
                      <a:avLst/>
                    </a:prstGeom>
                  </pic:spPr>
                </pic:pic>
              </a:graphicData>
            </a:graphic>
          </wp:inline>
        </w:drawing>
      </w:r>
      <w:r>
        <w:rPr>
          <w:position w:val="-2"/>
        </w:rPr>
      </w:r>
    </w:p>
    <w:p>
      <w:pPr>
        <w:pStyle w:val="BodyText"/>
        <w:spacing w:before="2"/>
        <w:rPr>
          <w:sz w:val="17"/>
        </w:rPr>
      </w:pPr>
    </w:p>
    <w:p>
      <w:pPr>
        <w:pStyle w:val="BodyText"/>
        <w:spacing w:line="297" w:lineRule="auto"/>
        <w:ind w:left="821" w:right="7250" w:hanging="370"/>
      </w:pPr>
      <w:r>
        <w:rPr/>
        <w:drawing>
          <wp:anchor distT="0" distB="0" distL="0" distR="0" allowOverlap="1" layoutInCell="1" locked="0" behindDoc="0" simplePos="0" relativeHeight="252573696">
            <wp:simplePos x="0" y="0"/>
            <wp:positionH relativeFrom="page">
              <wp:posOffset>4021835</wp:posOffset>
            </wp:positionH>
            <wp:positionV relativeFrom="paragraph">
              <wp:posOffset>-23153</wp:posOffset>
            </wp:positionV>
            <wp:extent cx="1018032" cy="356615"/>
            <wp:effectExtent l="0" t="0" r="0" b="0"/>
            <wp:wrapNone/>
            <wp:docPr id="193" name="image1657.png"/>
            <wp:cNvGraphicFramePr>
              <a:graphicFrameLocks noChangeAspect="1"/>
            </wp:cNvGraphicFramePr>
            <a:graphic>
              <a:graphicData uri="http://schemas.openxmlformats.org/drawingml/2006/picture">
                <pic:pic>
                  <pic:nvPicPr>
                    <pic:cNvPr id="194" name="image1657.png"/>
                    <pic:cNvPicPr/>
                  </pic:nvPicPr>
                  <pic:blipFill>
                    <a:blip r:embed="rId1767" cstate="print"/>
                    <a:stretch>
                      <a:fillRect/>
                    </a:stretch>
                  </pic:blipFill>
                  <pic:spPr>
                    <a:xfrm>
                      <a:off x="0" y="0"/>
                      <a:ext cx="1018032" cy="356615"/>
                    </a:xfrm>
                    <a:prstGeom prst="rect">
                      <a:avLst/>
                    </a:prstGeom>
                  </pic:spPr>
                </pic:pic>
              </a:graphicData>
            </a:graphic>
          </wp:anchor>
        </w:drawing>
      </w:r>
      <w:r>
        <w:rPr/>
        <w:t>2b.   Per Government Code Section 3547.5(b), was the agreement certified by the district superintendent and chief business</w:t>
      </w:r>
      <w:r>
        <w:rPr>
          <w:spacing w:val="2"/>
        </w:rPr>
        <w:t> </w:t>
      </w:r>
      <w:r>
        <w:rPr/>
        <w:t>official?</w:t>
      </w:r>
    </w:p>
    <w:p>
      <w:pPr>
        <w:pStyle w:val="BodyText"/>
        <w:spacing w:line="148" w:lineRule="exact"/>
        <w:ind w:left="2583"/>
      </w:pPr>
      <w:r>
        <w:rPr/>
        <w:t>If Yes, date of Superintendent and CBO certification:</w:t>
      </w:r>
    </w:p>
    <w:p>
      <w:pPr>
        <w:pStyle w:val="BodyText"/>
        <w:spacing w:before="1"/>
        <w:rPr>
          <w:sz w:val="19"/>
        </w:rPr>
      </w:pPr>
    </w:p>
    <w:p>
      <w:pPr>
        <w:pStyle w:val="ListParagraph"/>
        <w:numPr>
          <w:ilvl w:val="0"/>
          <w:numId w:val="78"/>
        </w:numPr>
        <w:tabs>
          <w:tab w:pos="821" w:val="left" w:leader="none"/>
          <w:tab w:pos="822" w:val="left" w:leader="none"/>
        </w:tabs>
        <w:spacing w:line="297" w:lineRule="auto" w:before="1" w:after="0"/>
        <w:ind w:left="821" w:right="7059" w:hanging="334"/>
        <w:jc w:val="left"/>
        <w:rPr>
          <w:sz w:val="13"/>
        </w:rPr>
      </w:pPr>
      <w:r>
        <w:rPr/>
        <w:drawing>
          <wp:anchor distT="0" distB="0" distL="0" distR="0" allowOverlap="1" layoutInCell="1" locked="0" behindDoc="0" simplePos="0" relativeHeight="252574720">
            <wp:simplePos x="0" y="0"/>
            <wp:positionH relativeFrom="page">
              <wp:posOffset>4021835</wp:posOffset>
            </wp:positionH>
            <wp:positionV relativeFrom="paragraph">
              <wp:posOffset>-22518</wp:posOffset>
            </wp:positionV>
            <wp:extent cx="1018032" cy="356616"/>
            <wp:effectExtent l="0" t="0" r="0" b="0"/>
            <wp:wrapNone/>
            <wp:docPr id="195" name="image1657.png"/>
            <wp:cNvGraphicFramePr>
              <a:graphicFrameLocks noChangeAspect="1"/>
            </wp:cNvGraphicFramePr>
            <a:graphic>
              <a:graphicData uri="http://schemas.openxmlformats.org/drawingml/2006/picture">
                <pic:pic>
                  <pic:nvPicPr>
                    <pic:cNvPr id="196" name="image1657.png"/>
                    <pic:cNvPicPr/>
                  </pic:nvPicPr>
                  <pic:blipFill>
                    <a:blip r:embed="rId1767" cstate="print"/>
                    <a:stretch>
                      <a:fillRect/>
                    </a:stretch>
                  </pic:blipFill>
                  <pic:spPr>
                    <a:xfrm>
                      <a:off x="0" y="0"/>
                      <a:ext cx="1018032" cy="356616"/>
                    </a:xfrm>
                    <a:prstGeom prst="rect">
                      <a:avLst/>
                    </a:prstGeom>
                  </pic:spPr>
                </pic:pic>
              </a:graphicData>
            </a:graphic>
          </wp:anchor>
        </w:drawing>
      </w:r>
      <w:r>
        <w:rPr>
          <w:sz w:val="13"/>
        </w:rPr>
        <w:t>Per Government Code Section 3547.5(c), was a budget revision adopted to meet the costs of the</w:t>
      </w:r>
      <w:r>
        <w:rPr>
          <w:spacing w:val="1"/>
          <w:sz w:val="13"/>
        </w:rPr>
        <w:t> </w:t>
      </w:r>
      <w:r>
        <w:rPr>
          <w:sz w:val="13"/>
        </w:rPr>
        <w:t>agreement?</w:t>
      </w:r>
    </w:p>
    <w:p>
      <w:pPr>
        <w:pStyle w:val="BodyText"/>
        <w:spacing w:line="148" w:lineRule="exact"/>
        <w:ind w:left="2583"/>
      </w:pPr>
      <w:r>
        <w:rPr/>
        <w:t>If Yes, date of budget revision board adoption:</w:t>
      </w:r>
    </w:p>
    <w:p>
      <w:pPr>
        <w:pStyle w:val="BodyText"/>
        <w:spacing w:before="7"/>
        <w:rPr>
          <w:sz w:val="10"/>
        </w:rPr>
      </w:pPr>
    </w:p>
    <w:p>
      <w:pPr>
        <w:pStyle w:val="ListParagraph"/>
        <w:numPr>
          <w:ilvl w:val="0"/>
          <w:numId w:val="78"/>
        </w:numPr>
        <w:tabs>
          <w:tab w:pos="821" w:val="left" w:leader="none"/>
          <w:tab w:pos="822" w:val="left" w:leader="none"/>
          <w:tab w:pos="3929" w:val="left" w:leader="none"/>
          <w:tab w:pos="7200" w:val="left" w:leader="none"/>
        </w:tabs>
        <w:spacing w:line="240" w:lineRule="auto" w:before="98" w:after="0"/>
        <w:ind w:left="821" w:right="0" w:hanging="334"/>
        <w:jc w:val="left"/>
        <w:rPr>
          <w:sz w:val="13"/>
        </w:rPr>
      </w:pPr>
      <w:r>
        <w:rPr/>
        <w:drawing>
          <wp:anchor distT="0" distB="0" distL="0" distR="0" allowOverlap="1" layoutInCell="1" locked="0" behindDoc="1" simplePos="0" relativeHeight="189524992">
            <wp:simplePos x="0" y="0"/>
            <wp:positionH relativeFrom="page">
              <wp:posOffset>3022092</wp:posOffset>
            </wp:positionH>
            <wp:positionV relativeFrom="paragraph">
              <wp:posOffset>39077</wp:posOffset>
            </wp:positionV>
            <wp:extent cx="1004315" cy="121919"/>
            <wp:effectExtent l="0" t="0" r="0" b="0"/>
            <wp:wrapNone/>
            <wp:docPr id="197" name="image1658.png"/>
            <wp:cNvGraphicFramePr>
              <a:graphicFrameLocks noChangeAspect="1"/>
            </wp:cNvGraphicFramePr>
            <a:graphic>
              <a:graphicData uri="http://schemas.openxmlformats.org/drawingml/2006/picture">
                <pic:pic>
                  <pic:nvPicPr>
                    <pic:cNvPr id="198" name="image1658.png"/>
                    <pic:cNvPicPr/>
                  </pic:nvPicPr>
                  <pic:blipFill>
                    <a:blip r:embed="rId1768" cstate="print"/>
                    <a:stretch>
                      <a:fillRect/>
                    </a:stretch>
                  </pic:blipFill>
                  <pic:spPr>
                    <a:xfrm>
                      <a:off x="0" y="0"/>
                      <a:ext cx="1004315" cy="121919"/>
                    </a:xfrm>
                    <a:prstGeom prst="rect">
                      <a:avLst/>
                    </a:prstGeom>
                  </pic:spPr>
                </pic:pic>
              </a:graphicData>
            </a:graphic>
          </wp:anchor>
        </w:drawing>
      </w:r>
      <w:r>
        <w:rPr/>
        <w:drawing>
          <wp:anchor distT="0" distB="0" distL="0" distR="0" allowOverlap="1" layoutInCell="1" locked="0" behindDoc="0" simplePos="0" relativeHeight="252576768">
            <wp:simplePos x="0" y="0"/>
            <wp:positionH relativeFrom="page">
              <wp:posOffset>5035296</wp:posOffset>
            </wp:positionH>
            <wp:positionV relativeFrom="paragraph">
              <wp:posOffset>39077</wp:posOffset>
            </wp:positionV>
            <wp:extent cx="1162811" cy="121919"/>
            <wp:effectExtent l="0" t="0" r="0" b="0"/>
            <wp:wrapNone/>
            <wp:docPr id="199" name="image1659.png"/>
            <wp:cNvGraphicFramePr>
              <a:graphicFrameLocks noChangeAspect="1"/>
            </wp:cNvGraphicFramePr>
            <a:graphic>
              <a:graphicData uri="http://schemas.openxmlformats.org/drawingml/2006/picture">
                <pic:pic>
                  <pic:nvPicPr>
                    <pic:cNvPr id="200" name="image1659.png"/>
                    <pic:cNvPicPr/>
                  </pic:nvPicPr>
                  <pic:blipFill>
                    <a:blip r:embed="rId1769" cstate="print"/>
                    <a:stretch>
                      <a:fillRect/>
                    </a:stretch>
                  </pic:blipFill>
                  <pic:spPr>
                    <a:xfrm>
                      <a:off x="0" y="0"/>
                      <a:ext cx="1162811" cy="121919"/>
                    </a:xfrm>
                    <a:prstGeom prst="rect">
                      <a:avLst/>
                    </a:prstGeom>
                  </pic:spPr>
                </pic:pic>
              </a:graphicData>
            </a:graphic>
          </wp:anchor>
        </w:drawing>
      </w:r>
      <w:r>
        <w:rPr>
          <w:sz w:val="13"/>
        </w:rPr>
        <w:t>Period covered by</w:t>
      </w:r>
      <w:r>
        <w:rPr>
          <w:spacing w:val="19"/>
          <w:sz w:val="13"/>
        </w:rPr>
        <w:t> </w:t>
      </w:r>
      <w:r>
        <w:rPr>
          <w:sz w:val="13"/>
        </w:rPr>
        <w:t>the</w:t>
      </w:r>
      <w:r>
        <w:rPr>
          <w:spacing w:val="8"/>
          <w:sz w:val="13"/>
        </w:rPr>
        <w:t> </w:t>
      </w:r>
      <w:r>
        <w:rPr>
          <w:sz w:val="13"/>
        </w:rPr>
        <w:t>agreement:</w:t>
        <w:tab/>
        <w:t>Begin</w:t>
      </w:r>
      <w:r>
        <w:rPr>
          <w:spacing w:val="3"/>
          <w:sz w:val="13"/>
        </w:rPr>
        <w:t> </w:t>
      </w:r>
      <w:r>
        <w:rPr>
          <w:sz w:val="13"/>
        </w:rPr>
        <w:t>Date:</w:t>
        <w:tab/>
        <w:t>End</w:t>
      </w:r>
      <w:r>
        <w:rPr>
          <w:spacing w:val="1"/>
          <w:sz w:val="13"/>
        </w:rPr>
        <w:t> </w:t>
      </w:r>
      <w:r>
        <w:rPr>
          <w:sz w:val="13"/>
        </w:rPr>
        <w:t>Date:</w:t>
      </w:r>
    </w:p>
    <w:p>
      <w:pPr>
        <w:pStyle w:val="BodyText"/>
        <w:spacing w:before="7"/>
        <w:rPr>
          <w:sz w:val="10"/>
        </w:rPr>
      </w:pPr>
    </w:p>
    <w:p>
      <w:pPr>
        <w:pStyle w:val="ListParagraph"/>
        <w:numPr>
          <w:ilvl w:val="0"/>
          <w:numId w:val="78"/>
        </w:numPr>
        <w:tabs>
          <w:tab w:pos="821" w:val="left" w:leader="none"/>
          <w:tab w:pos="822" w:val="left" w:leader="none"/>
          <w:tab w:pos="5923" w:val="left" w:leader="none"/>
          <w:tab w:pos="7882" w:val="left" w:leader="none"/>
          <w:tab w:pos="8213" w:val="left" w:leader="none"/>
          <w:tab w:pos="10032" w:val="left" w:leader="none"/>
          <w:tab w:pos="10385" w:val="left" w:leader="none"/>
        </w:tabs>
        <w:spacing w:line="297" w:lineRule="auto" w:before="98" w:after="0"/>
        <w:ind w:left="6020" w:right="842" w:hanging="5532"/>
        <w:jc w:val="left"/>
        <w:rPr>
          <w:sz w:val="13"/>
        </w:rPr>
      </w:pPr>
      <w:r>
        <w:rPr/>
        <w:drawing>
          <wp:anchor distT="0" distB="0" distL="0" distR="0" allowOverlap="1" layoutInCell="1" locked="0" behindDoc="1" simplePos="0" relativeHeight="189527040">
            <wp:simplePos x="0" y="0"/>
            <wp:positionH relativeFrom="page">
              <wp:posOffset>3407664</wp:posOffset>
            </wp:positionH>
            <wp:positionV relativeFrom="paragraph">
              <wp:posOffset>273772</wp:posOffset>
            </wp:positionV>
            <wp:extent cx="4005071" cy="262128"/>
            <wp:effectExtent l="0" t="0" r="0" b="0"/>
            <wp:wrapNone/>
            <wp:docPr id="201" name="image1660.png"/>
            <wp:cNvGraphicFramePr>
              <a:graphicFrameLocks noChangeAspect="1"/>
            </wp:cNvGraphicFramePr>
            <a:graphic>
              <a:graphicData uri="http://schemas.openxmlformats.org/drawingml/2006/picture">
                <pic:pic>
                  <pic:nvPicPr>
                    <pic:cNvPr id="202" name="image1660.png"/>
                    <pic:cNvPicPr/>
                  </pic:nvPicPr>
                  <pic:blipFill>
                    <a:blip r:embed="rId1770" cstate="print"/>
                    <a:stretch>
                      <a:fillRect/>
                    </a:stretch>
                  </pic:blipFill>
                  <pic:spPr>
                    <a:xfrm>
                      <a:off x="0" y="0"/>
                      <a:ext cx="4005071" cy="262128"/>
                    </a:xfrm>
                    <a:prstGeom prst="rect">
                      <a:avLst/>
                    </a:prstGeom>
                  </pic:spPr>
                </pic:pic>
              </a:graphicData>
            </a:graphic>
          </wp:anchor>
        </w:drawing>
      </w:r>
      <w:r>
        <w:rPr>
          <w:sz w:val="13"/>
        </w:rPr>
        <w:t>Salary</w:t>
      </w:r>
      <w:r>
        <w:rPr>
          <w:spacing w:val="7"/>
          <w:sz w:val="13"/>
        </w:rPr>
        <w:t> </w:t>
      </w:r>
      <w:r>
        <w:rPr>
          <w:sz w:val="13"/>
        </w:rPr>
        <w:t>settlement:</w:t>
        <w:tab/>
        <w:t>Budget</w:t>
      </w:r>
      <w:r>
        <w:rPr>
          <w:spacing w:val="4"/>
          <w:sz w:val="13"/>
        </w:rPr>
        <w:t> </w:t>
      </w:r>
      <w:r>
        <w:rPr>
          <w:sz w:val="13"/>
        </w:rPr>
        <w:t>Year</w:t>
        <w:tab/>
        <w:t>1st</w:t>
      </w:r>
      <w:r>
        <w:rPr>
          <w:spacing w:val="6"/>
          <w:sz w:val="13"/>
        </w:rPr>
        <w:t> </w:t>
      </w:r>
      <w:r>
        <w:rPr>
          <w:sz w:val="13"/>
        </w:rPr>
        <w:t>Subsequent</w:t>
      </w:r>
      <w:r>
        <w:rPr>
          <w:spacing w:val="7"/>
          <w:sz w:val="13"/>
        </w:rPr>
        <w:t> </w:t>
      </w:r>
      <w:r>
        <w:rPr>
          <w:sz w:val="13"/>
        </w:rPr>
        <w:t>Year</w:t>
        <w:tab/>
        <w:t>2nd Subsequent </w:t>
      </w:r>
      <w:r>
        <w:rPr>
          <w:spacing w:val="-4"/>
          <w:sz w:val="13"/>
        </w:rPr>
        <w:t>Year </w:t>
      </w:r>
      <w:r>
        <w:rPr>
          <w:sz w:val="13"/>
        </w:rPr>
        <w:t>(2021-22)</w:t>
        <w:tab/>
        <w:tab/>
        <w:t>(2022-23)</w:t>
        <w:tab/>
        <w:tab/>
        <w:t>(2023-24)</w:t>
      </w:r>
    </w:p>
    <w:p>
      <w:pPr>
        <w:pStyle w:val="BodyText"/>
        <w:spacing w:line="268" w:lineRule="auto" w:before="52"/>
        <w:ind w:left="821" w:right="7250"/>
      </w:pPr>
      <w:r>
        <w:rPr/>
        <w:t>Is the cost of salary settlement included in the budget and multiyear projections (MYPs)?</w:t>
      </w:r>
    </w:p>
    <w:p>
      <w:pPr>
        <w:pStyle w:val="BodyText"/>
        <w:spacing w:before="10"/>
        <w:rPr>
          <w:sz w:val="15"/>
        </w:rPr>
      </w:pPr>
    </w:p>
    <w:p>
      <w:pPr>
        <w:spacing w:before="1"/>
        <w:ind w:left="0" w:right="4221" w:firstLine="0"/>
        <w:jc w:val="center"/>
        <w:rPr>
          <w:b/>
          <w:sz w:val="13"/>
        </w:rPr>
      </w:pPr>
      <w:r>
        <w:rPr/>
        <w:drawing>
          <wp:anchor distT="0" distB="0" distL="0" distR="0" allowOverlap="1" layoutInCell="1" locked="0" behindDoc="0" simplePos="0" relativeHeight="252578816">
            <wp:simplePos x="0" y="0"/>
            <wp:positionH relativeFrom="page">
              <wp:posOffset>3407664</wp:posOffset>
            </wp:positionH>
            <wp:positionV relativeFrom="paragraph">
              <wp:posOffset>96353</wp:posOffset>
            </wp:positionV>
            <wp:extent cx="4005071" cy="338328"/>
            <wp:effectExtent l="0" t="0" r="0" b="0"/>
            <wp:wrapNone/>
            <wp:docPr id="203" name="image1661.png"/>
            <wp:cNvGraphicFramePr>
              <a:graphicFrameLocks noChangeAspect="1"/>
            </wp:cNvGraphicFramePr>
            <a:graphic>
              <a:graphicData uri="http://schemas.openxmlformats.org/drawingml/2006/picture">
                <pic:pic>
                  <pic:nvPicPr>
                    <pic:cNvPr id="204" name="image1661.png"/>
                    <pic:cNvPicPr/>
                  </pic:nvPicPr>
                  <pic:blipFill>
                    <a:blip r:embed="rId1771" cstate="print"/>
                    <a:stretch>
                      <a:fillRect/>
                    </a:stretch>
                  </pic:blipFill>
                  <pic:spPr>
                    <a:xfrm>
                      <a:off x="0" y="0"/>
                      <a:ext cx="4005071" cy="338328"/>
                    </a:xfrm>
                    <a:prstGeom prst="rect">
                      <a:avLst/>
                    </a:prstGeom>
                  </pic:spPr>
                </pic:pic>
              </a:graphicData>
            </a:graphic>
          </wp:anchor>
        </w:drawing>
      </w:r>
      <w:r>
        <w:rPr>
          <w:b/>
          <w:sz w:val="13"/>
        </w:rPr>
        <w:t>One Year Agreement</w:t>
      </w:r>
    </w:p>
    <w:p>
      <w:pPr>
        <w:pStyle w:val="BodyText"/>
        <w:spacing w:before="37"/>
        <w:ind w:right="5240"/>
        <w:jc w:val="center"/>
      </w:pPr>
      <w:r>
        <w:rPr/>
        <w:t>Total cost of salary settlement</w:t>
      </w:r>
    </w:p>
    <w:p>
      <w:pPr>
        <w:pStyle w:val="BodyText"/>
        <w:spacing w:before="8"/>
        <w:rPr>
          <w:sz w:val="16"/>
        </w:rPr>
      </w:pPr>
    </w:p>
    <w:p>
      <w:pPr>
        <w:pStyle w:val="BodyText"/>
        <w:ind w:right="4415"/>
        <w:jc w:val="center"/>
      </w:pPr>
      <w:r>
        <w:rPr/>
        <w:t>% change in salary schedule from prior year</w:t>
      </w:r>
    </w:p>
    <w:p>
      <w:pPr>
        <w:pStyle w:val="BodyText"/>
        <w:spacing w:before="35"/>
        <w:ind w:right="4143"/>
        <w:jc w:val="center"/>
      </w:pPr>
      <w:r>
        <w:rPr/>
        <w:t>or</w:t>
      </w:r>
    </w:p>
    <w:p>
      <w:pPr>
        <w:spacing w:before="33"/>
        <w:ind w:left="0" w:right="4227" w:firstLine="0"/>
        <w:jc w:val="center"/>
        <w:rPr>
          <w:b/>
          <w:sz w:val="13"/>
        </w:rPr>
      </w:pPr>
      <w:r>
        <w:rPr/>
        <w:drawing>
          <wp:anchor distT="0" distB="0" distL="0" distR="0" allowOverlap="1" layoutInCell="1" locked="0" behindDoc="0" simplePos="0" relativeHeight="252579840">
            <wp:simplePos x="0" y="0"/>
            <wp:positionH relativeFrom="page">
              <wp:posOffset>3407664</wp:posOffset>
            </wp:positionH>
            <wp:positionV relativeFrom="paragraph">
              <wp:posOffset>116673</wp:posOffset>
            </wp:positionV>
            <wp:extent cx="4005071" cy="454151"/>
            <wp:effectExtent l="0" t="0" r="0" b="0"/>
            <wp:wrapNone/>
            <wp:docPr id="205" name="image1662.png"/>
            <wp:cNvGraphicFramePr>
              <a:graphicFrameLocks noChangeAspect="1"/>
            </wp:cNvGraphicFramePr>
            <a:graphic>
              <a:graphicData uri="http://schemas.openxmlformats.org/drawingml/2006/picture">
                <pic:pic>
                  <pic:nvPicPr>
                    <pic:cNvPr id="206" name="image1662.png"/>
                    <pic:cNvPicPr/>
                  </pic:nvPicPr>
                  <pic:blipFill>
                    <a:blip r:embed="rId1772" cstate="print"/>
                    <a:stretch>
                      <a:fillRect/>
                    </a:stretch>
                  </pic:blipFill>
                  <pic:spPr>
                    <a:xfrm>
                      <a:off x="0" y="0"/>
                      <a:ext cx="4005071" cy="454151"/>
                    </a:xfrm>
                    <a:prstGeom prst="rect">
                      <a:avLst/>
                    </a:prstGeom>
                  </pic:spPr>
                </pic:pic>
              </a:graphicData>
            </a:graphic>
          </wp:anchor>
        </w:drawing>
      </w:r>
      <w:r>
        <w:rPr>
          <w:b/>
          <w:sz w:val="13"/>
        </w:rPr>
        <w:t>Multiyear Agreement</w:t>
      </w:r>
    </w:p>
    <w:p>
      <w:pPr>
        <w:pStyle w:val="BodyText"/>
        <w:spacing w:before="38"/>
        <w:ind w:right="5240"/>
        <w:jc w:val="center"/>
      </w:pPr>
      <w:r>
        <w:rPr/>
        <w:t>Total cost of salary settlement</w:t>
      </w:r>
    </w:p>
    <w:p>
      <w:pPr>
        <w:pStyle w:val="BodyText"/>
        <w:spacing w:before="3"/>
        <w:rPr>
          <w:sz w:val="19"/>
        </w:rPr>
      </w:pPr>
    </w:p>
    <w:p>
      <w:pPr>
        <w:pStyle w:val="BodyText"/>
        <w:spacing w:before="1"/>
        <w:ind w:left="2583" w:right="6771"/>
      </w:pPr>
      <w:r>
        <w:rPr/>
        <w:t>% change in salary schedule from prior year (may enter text, such as "Reopener")</w:t>
      </w:r>
    </w:p>
    <w:p>
      <w:pPr>
        <w:pStyle w:val="BodyText"/>
        <w:spacing w:before="6"/>
        <w:rPr>
          <w:sz w:val="16"/>
        </w:rPr>
      </w:pPr>
    </w:p>
    <w:p>
      <w:pPr>
        <w:pStyle w:val="BodyText"/>
        <w:ind w:left="2583"/>
      </w:pPr>
      <w:r>
        <w:rPr/>
        <w:drawing>
          <wp:anchor distT="0" distB="0" distL="0" distR="0" allowOverlap="1" layoutInCell="1" locked="0" behindDoc="0" simplePos="0" relativeHeight="886">
            <wp:simplePos x="0" y="0"/>
            <wp:positionH relativeFrom="page">
              <wp:posOffset>1644395</wp:posOffset>
            </wp:positionH>
            <wp:positionV relativeFrom="paragraph">
              <wp:posOffset>149059</wp:posOffset>
            </wp:positionV>
            <wp:extent cx="5407820" cy="410051"/>
            <wp:effectExtent l="0" t="0" r="0" b="0"/>
            <wp:wrapTopAndBottom/>
            <wp:docPr id="207" name="image1632.png"/>
            <wp:cNvGraphicFramePr>
              <a:graphicFrameLocks noChangeAspect="1"/>
            </wp:cNvGraphicFramePr>
            <a:graphic>
              <a:graphicData uri="http://schemas.openxmlformats.org/drawingml/2006/picture">
                <pic:pic>
                  <pic:nvPicPr>
                    <pic:cNvPr id="208" name="image1632.png"/>
                    <pic:cNvPicPr/>
                  </pic:nvPicPr>
                  <pic:blipFill>
                    <a:blip r:embed="rId1738" cstate="print"/>
                    <a:stretch>
                      <a:fillRect/>
                    </a:stretch>
                  </pic:blipFill>
                  <pic:spPr>
                    <a:xfrm>
                      <a:off x="0" y="0"/>
                      <a:ext cx="5407820" cy="410051"/>
                    </a:xfrm>
                    <a:prstGeom prst="rect">
                      <a:avLst/>
                    </a:prstGeom>
                  </pic:spPr>
                </pic:pic>
              </a:graphicData>
            </a:graphic>
          </wp:anchor>
        </w:drawing>
      </w:r>
      <w:r>
        <w:rPr/>
        <w:t>Identify the source of funding that will be used to support multiyear salary commitments:</w:t>
      </w:r>
    </w:p>
    <w:p>
      <w:pPr>
        <w:spacing w:after="0"/>
        <w:sectPr>
          <w:type w:val="continuous"/>
          <w:pgSz w:w="12240" w:h="15840"/>
          <w:pgMar w:top="1500" w:bottom="840" w:left="40" w:right="40"/>
        </w:sectPr>
      </w:pPr>
    </w:p>
    <w:p>
      <w:pPr>
        <w:pStyle w:val="BodyText"/>
        <w:rPr>
          <w:sz w:val="20"/>
        </w:rPr>
      </w:pPr>
    </w:p>
    <w:p>
      <w:pPr>
        <w:pStyle w:val="BodyText"/>
        <w:spacing w:before="10"/>
        <w:rPr>
          <w:sz w:val="15"/>
        </w:rPr>
      </w:pPr>
    </w:p>
    <w:p>
      <w:pPr>
        <w:pStyle w:val="BodyText"/>
        <w:spacing w:before="97" w:after="39"/>
        <w:ind w:left="322"/>
      </w:pPr>
      <w:r>
        <w:rPr/>
        <w:drawing>
          <wp:anchor distT="0" distB="0" distL="0" distR="0" allowOverlap="1" layoutInCell="1" locked="0" behindDoc="1" simplePos="0" relativeHeight="189539328">
            <wp:simplePos x="0" y="0"/>
            <wp:positionH relativeFrom="page">
              <wp:posOffset>3407664</wp:posOffset>
            </wp:positionH>
            <wp:positionV relativeFrom="paragraph">
              <wp:posOffset>155790</wp:posOffset>
            </wp:positionV>
            <wp:extent cx="1246631" cy="121920"/>
            <wp:effectExtent l="0" t="0" r="0" b="0"/>
            <wp:wrapNone/>
            <wp:docPr id="209" name="image1421.png"/>
            <wp:cNvGraphicFramePr>
              <a:graphicFrameLocks noChangeAspect="1"/>
            </wp:cNvGraphicFramePr>
            <a:graphic>
              <a:graphicData uri="http://schemas.openxmlformats.org/drawingml/2006/picture">
                <pic:pic>
                  <pic:nvPicPr>
                    <pic:cNvPr id="210" name="image1421.png"/>
                    <pic:cNvPicPr/>
                  </pic:nvPicPr>
                  <pic:blipFill>
                    <a:blip r:embed="rId1523" cstate="print"/>
                    <a:stretch>
                      <a:fillRect/>
                    </a:stretch>
                  </pic:blipFill>
                  <pic:spPr>
                    <a:xfrm>
                      <a:off x="0" y="0"/>
                      <a:ext cx="1246631" cy="121920"/>
                    </a:xfrm>
                    <a:prstGeom prst="rect">
                      <a:avLst/>
                    </a:prstGeom>
                  </pic:spPr>
                </pic:pic>
              </a:graphicData>
            </a:graphic>
          </wp:anchor>
        </w:drawing>
      </w:r>
      <w:r>
        <w:rPr/>
        <w:drawing>
          <wp:anchor distT="0" distB="0" distL="0" distR="0" allowOverlap="1" layoutInCell="1" locked="0" behindDoc="1" simplePos="0" relativeHeight="189540352">
            <wp:simplePos x="0" y="0"/>
            <wp:positionH relativeFrom="page">
              <wp:posOffset>3407664</wp:posOffset>
            </wp:positionH>
            <wp:positionV relativeFrom="paragraph">
              <wp:posOffset>614514</wp:posOffset>
            </wp:positionV>
            <wp:extent cx="4005075" cy="121920"/>
            <wp:effectExtent l="0" t="0" r="0" b="0"/>
            <wp:wrapNone/>
            <wp:docPr id="211" name="image1663.png"/>
            <wp:cNvGraphicFramePr>
              <a:graphicFrameLocks noChangeAspect="1"/>
            </wp:cNvGraphicFramePr>
            <a:graphic>
              <a:graphicData uri="http://schemas.openxmlformats.org/drawingml/2006/picture">
                <pic:pic>
                  <pic:nvPicPr>
                    <pic:cNvPr id="212" name="image1663.png"/>
                    <pic:cNvPicPr/>
                  </pic:nvPicPr>
                  <pic:blipFill>
                    <a:blip r:embed="rId1773" cstate="print"/>
                    <a:stretch>
                      <a:fillRect/>
                    </a:stretch>
                  </pic:blipFill>
                  <pic:spPr>
                    <a:xfrm>
                      <a:off x="0" y="0"/>
                      <a:ext cx="4005075" cy="121920"/>
                    </a:xfrm>
                    <a:prstGeom prst="rect">
                      <a:avLst/>
                    </a:prstGeom>
                  </pic:spPr>
                </pic:pic>
              </a:graphicData>
            </a:graphic>
          </wp:anchor>
        </w:drawing>
      </w:r>
      <w:r>
        <w:rPr>
          <w:spacing w:val="-96"/>
          <w:u w:val="single"/>
        </w:rPr>
        <w:t>N</w:t>
      </w:r>
      <w:r>
        <w:rPr>
          <w:spacing w:val="62"/>
        </w:rPr>
        <w:t> </w:t>
      </w:r>
      <w:r>
        <w:rPr>
          <w:u w:val="single"/>
        </w:rPr>
        <w:t>egotiations Not Settled</w:t>
      </w:r>
    </w:p>
    <w:tbl>
      <w:tblPr>
        <w:tblW w:w="0" w:type="auto"/>
        <w:jc w:val="left"/>
        <w:tblInd w:w="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18"/>
        <w:gridCol w:w="1324"/>
        <w:gridCol w:w="815"/>
        <w:gridCol w:w="1631"/>
        <w:gridCol w:w="659"/>
        <w:gridCol w:w="1750"/>
      </w:tblGrid>
      <w:tr>
        <w:trPr>
          <w:trHeight w:val="518" w:hRule="atLeast"/>
        </w:trPr>
        <w:tc>
          <w:tcPr>
            <w:tcW w:w="5118" w:type="dxa"/>
          </w:tcPr>
          <w:p>
            <w:pPr>
              <w:pStyle w:val="TableParagraph"/>
              <w:tabs>
                <w:tab w:pos="532" w:val="left" w:leader="none"/>
              </w:tabs>
              <w:spacing w:line="147" w:lineRule="exact"/>
              <w:ind w:left="198"/>
              <w:rPr>
                <w:sz w:val="13"/>
              </w:rPr>
            </w:pPr>
            <w:r>
              <w:rPr>
                <w:sz w:val="13"/>
              </w:rPr>
              <w:t>6.</w:t>
              <w:tab/>
              <w:t>Cost of a one percent increase in salary and statutory</w:t>
            </w:r>
            <w:r>
              <w:rPr>
                <w:spacing w:val="7"/>
                <w:sz w:val="13"/>
              </w:rPr>
              <w:t> </w:t>
            </w:r>
            <w:r>
              <w:rPr>
                <w:sz w:val="13"/>
              </w:rPr>
              <w:t>benefits</w:t>
            </w:r>
          </w:p>
        </w:tc>
        <w:tc>
          <w:tcPr>
            <w:tcW w:w="1324" w:type="dxa"/>
          </w:tcPr>
          <w:p>
            <w:pPr>
              <w:pStyle w:val="TableParagraph"/>
              <w:rPr>
                <w:sz w:val="14"/>
              </w:rPr>
            </w:pPr>
          </w:p>
          <w:p>
            <w:pPr>
              <w:pStyle w:val="TableParagraph"/>
              <w:spacing w:before="5"/>
              <w:rPr>
                <w:sz w:val="16"/>
              </w:rPr>
            </w:pPr>
          </w:p>
          <w:p>
            <w:pPr>
              <w:pStyle w:val="TableParagraph"/>
              <w:spacing w:line="149" w:lineRule="exact"/>
              <w:ind w:right="71"/>
              <w:jc w:val="right"/>
              <w:rPr>
                <w:sz w:val="13"/>
              </w:rPr>
            </w:pPr>
            <w:r>
              <w:rPr>
                <w:sz w:val="13"/>
              </w:rPr>
              <w:t>Budget Year</w:t>
            </w:r>
          </w:p>
        </w:tc>
        <w:tc>
          <w:tcPr>
            <w:tcW w:w="815" w:type="dxa"/>
          </w:tcPr>
          <w:p>
            <w:pPr>
              <w:pStyle w:val="TableParagraph"/>
              <w:spacing w:line="147" w:lineRule="exact"/>
              <w:ind w:left="147"/>
              <w:rPr>
                <w:sz w:val="13"/>
              </w:rPr>
            </w:pPr>
            <w:r>
              <w:rPr>
                <w:sz w:val="13"/>
              </w:rPr>
              <w:t>5,666</w:t>
            </w:r>
          </w:p>
        </w:tc>
        <w:tc>
          <w:tcPr>
            <w:tcW w:w="1631" w:type="dxa"/>
          </w:tcPr>
          <w:p>
            <w:pPr>
              <w:pStyle w:val="TableParagraph"/>
              <w:rPr>
                <w:sz w:val="14"/>
              </w:rPr>
            </w:pPr>
          </w:p>
          <w:p>
            <w:pPr>
              <w:pStyle w:val="TableParagraph"/>
              <w:spacing w:before="5"/>
              <w:rPr>
                <w:sz w:val="16"/>
              </w:rPr>
            </w:pPr>
          </w:p>
          <w:p>
            <w:pPr>
              <w:pStyle w:val="TableParagraph"/>
              <w:spacing w:line="149" w:lineRule="exact"/>
              <w:ind w:left="327" w:right="48"/>
              <w:jc w:val="center"/>
              <w:rPr>
                <w:sz w:val="13"/>
              </w:rPr>
            </w:pPr>
            <w:r>
              <w:rPr>
                <w:sz w:val="13"/>
              </w:rPr>
              <w:t>1st Subsequent Year</w:t>
            </w:r>
          </w:p>
        </w:tc>
        <w:tc>
          <w:tcPr>
            <w:tcW w:w="659" w:type="dxa"/>
          </w:tcPr>
          <w:p>
            <w:pPr>
              <w:pStyle w:val="TableParagraph"/>
              <w:rPr>
                <w:rFonts w:ascii="Times New Roman"/>
                <w:sz w:val="12"/>
              </w:rPr>
            </w:pPr>
          </w:p>
        </w:tc>
        <w:tc>
          <w:tcPr>
            <w:tcW w:w="1750" w:type="dxa"/>
          </w:tcPr>
          <w:p>
            <w:pPr>
              <w:pStyle w:val="TableParagraph"/>
              <w:rPr>
                <w:sz w:val="14"/>
              </w:rPr>
            </w:pPr>
          </w:p>
          <w:p>
            <w:pPr>
              <w:pStyle w:val="TableParagraph"/>
              <w:spacing w:before="5"/>
              <w:rPr>
                <w:sz w:val="16"/>
              </w:rPr>
            </w:pPr>
          </w:p>
          <w:p>
            <w:pPr>
              <w:pStyle w:val="TableParagraph"/>
              <w:spacing w:line="149" w:lineRule="exact"/>
              <w:ind w:left="196"/>
              <w:rPr>
                <w:sz w:val="13"/>
              </w:rPr>
            </w:pPr>
            <w:r>
              <w:rPr>
                <w:sz w:val="13"/>
              </w:rPr>
              <w:t>2nd Subsequent Year</w:t>
            </w:r>
          </w:p>
        </w:tc>
      </w:tr>
      <w:tr>
        <w:trPr>
          <w:trHeight w:val="546" w:hRule="atLeast"/>
        </w:trPr>
        <w:tc>
          <w:tcPr>
            <w:tcW w:w="5118" w:type="dxa"/>
          </w:tcPr>
          <w:p>
            <w:pPr>
              <w:pStyle w:val="TableParagraph"/>
              <w:spacing w:before="5"/>
              <w:rPr>
                <w:sz w:val="17"/>
              </w:rPr>
            </w:pPr>
          </w:p>
          <w:p>
            <w:pPr>
              <w:pStyle w:val="TableParagraph"/>
              <w:tabs>
                <w:tab w:pos="532" w:val="left" w:leader="none"/>
              </w:tabs>
              <w:ind w:left="198"/>
              <w:rPr>
                <w:sz w:val="13"/>
              </w:rPr>
            </w:pPr>
            <w:r>
              <w:rPr>
                <w:sz w:val="13"/>
              </w:rPr>
              <w:t>7.</w:t>
              <w:tab/>
              <w:t>Amount included for any tentative salary schedule</w:t>
            </w:r>
            <w:r>
              <w:rPr>
                <w:spacing w:val="5"/>
                <w:sz w:val="13"/>
              </w:rPr>
              <w:t> </w:t>
            </w:r>
            <w:r>
              <w:rPr>
                <w:sz w:val="13"/>
              </w:rPr>
              <w:t>increases</w:t>
            </w:r>
          </w:p>
        </w:tc>
        <w:tc>
          <w:tcPr>
            <w:tcW w:w="1324" w:type="dxa"/>
          </w:tcPr>
          <w:p>
            <w:pPr>
              <w:pStyle w:val="TableParagraph"/>
              <w:spacing w:before="16"/>
              <w:ind w:right="132"/>
              <w:jc w:val="right"/>
              <w:rPr>
                <w:sz w:val="13"/>
              </w:rPr>
            </w:pPr>
            <w:r>
              <w:rPr>
                <w:sz w:val="13"/>
              </w:rPr>
              <w:t>(2021-22)</w:t>
            </w:r>
          </w:p>
        </w:tc>
        <w:tc>
          <w:tcPr>
            <w:tcW w:w="815" w:type="dxa"/>
          </w:tcPr>
          <w:p>
            <w:pPr>
              <w:pStyle w:val="TableParagraph"/>
              <w:rPr>
                <w:rFonts w:ascii="Times New Roman"/>
                <w:sz w:val="12"/>
              </w:rPr>
            </w:pPr>
          </w:p>
        </w:tc>
        <w:tc>
          <w:tcPr>
            <w:tcW w:w="1631" w:type="dxa"/>
          </w:tcPr>
          <w:p>
            <w:pPr>
              <w:pStyle w:val="TableParagraph"/>
              <w:spacing w:before="16"/>
              <w:ind w:left="327" w:right="47"/>
              <w:jc w:val="center"/>
              <w:rPr>
                <w:sz w:val="13"/>
              </w:rPr>
            </w:pPr>
            <w:r>
              <w:rPr>
                <w:sz w:val="13"/>
              </w:rPr>
              <w:t>(2022-23)</w:t>
            </w:r>
          </w:p>
        </w:tc>
        <w:tc>
          <w:tcPr>
            <w:tcW w:w="659" w:type="dxa"/>
          </w:tcPr>
          <w:p>
            <w:pPr>
              <w:pStyle w:val="TableParagraph"/>
              <w:rPr>
                <w:rFonts w:ascii="Times New Roman"/>
                <w:sz w:val="12"/>
              </w:rPr>
            </w:pPr>
          </w:p>
        </w:tc>
        <w:tc>
          <w:tcPr>
            <w:tcW w:w="1750" w:type="dxa"/>
          </w:tcPr>
          <w:p>
            <w:pPr>
              <w:pStyle w:val="TableParagraph"/>
              <w:spacing w:before="16"/>
              <w:ind w:left="549"/>
              <w:rPr>
                <w:sz w:val="13"/>
              </w:rPr>
            </w:pPr>
            <w:r>
              <w:rPr>
                <w:sz w:val="13"/>
              </w:rPr>
              <w:t>(2023-24)</w:t>
            </w:r>
          </w:p>
        </w:tc>
      </w:tr>
      <w:tr>
        <w:trPr>
          <w:trHeight w:val="672" w:hRule="atLeast"/>
        </w:trPr>
        <w:tc>
          <w:tcPr>
            <w:tcW w:w="5118" w:type="dxa"/>
          </w:tcPr>
          <w:p>
            <w:pPr>
              <w:pStyle w:val="TableParagraph"/>
              <w:rPr>
                <w:sz w:val="14"/>
              </w:rPr>
            </w:pPr>
          </w:p>
          <w:p>
            <w:pPr>
              <w:pStyle w:val="TableParagraph"/>
              <w:spacing w:before="6"/>
              <w:rPr>
                <w:sz w:val="18"/>
              </w:rPr>
            </w:pPr>
          </w:p>
          <w:p>
            <w:pPr>
              <w:pStyle w:val="TableParagraph"/>
              <w:spacing w:before="1"/>
              <w:ind w:left="32"/>
              <w:rPr>
                <w:b/>
                <w:sz w:val="13"/>
              </w:rPr>
            </w:pPr>
            <w:r>
              <w:rPr>
                <w:b/>
                <w:sz w:val="13"/>
              </w:rPr>
              <w:t>Certificated (Non-management) Health and Welfare (H&amp;W) Benefits</w:t>
            </w:r>
          </w:p>
        </w:tc>
        <w:tc>
          <w:tcPr>
            <w:tcW w:w="1324" w:type="dxa"/>
          </w:tcPr>
          <w:p>
            <w:pPr>
              <w:pStyle w:val="TableParagraph"/>
              <w:spacing w:before="8"/>
              <w:rPr>
                <w:sz w:val="16"/>
              </w:rPr>
            </w:pPr>
          </w:p>
          <w:p>
            <w:pPr>
              <w:pStyle w:val="TableParagraph"/>
              <w:spacing w:line="297" w:lineRule="auto"/>
              <w:ind w:left="612" w:right="71" w:hanging="96"/>
              <w:rPr>
                <w:sz w:val="13"/>
              </w:rPr>
            </w:pPr>
            <w:r>
              <w:rPr>
                <w:sz w:val="13"/>
              </w:rPr>
              <w:t>Budget Year (2021-22)</w:t>
            </w:r>
          </w:p>
        </w:tc>
        <w:tc>
          <w:tcPr>
            <w:tcW w:w="815" w:type="dxa"/>
          </w:tcPr>
          <w:p>
            <w:pPr>
              <w:pStyle w:val="TableParagraph"/>
              <w:rPr>
                <w:rFonts w:ascii="Times New Roman"/>
                <w:sz w:val="12"/>
              </w:rPr>
            </w:pPr>
          </w:p>
        </w:tc>
        <w:tc>
          <w:tcPr>
            <w:tcW w:w="1631" w:type="dxa"/>
          </w:tcPr>
          <w:p>
            <w:pPr>
              <w:pStyle w:val="TableParagraph"/>
              <w:spacing w:before="8"/>
              <w:rPr>
                <w:sz w:val="16"/>
              </w:rPr>
            </w:pPr>
          </w:p>
          <w:p>
            <w:pPr>
              <w:pStyle w:val="TableParagraph"/>
              <w:spacing w:line="297" w:lineRule="auto"/>
              <w:ind w:left="667" w:right="54" w:hanging="332"/>
              <w:rPr>
                <w:sz w:val="13"/>
              </w:rPr>
            </w:pPr>
            <w:r>
              <w:rPr>
                <w:sz w:val="13"/>
              </w:rPr>
              <w:t>1st Subsequent Year (2022-23)</w:t>
            </w:r>
          </w:p>
        </w:tc>
        <w:tc>
          <w:tcPr>
            <w:tcW w:w="659" w:type="dxa"/>
          </w:tcPr>
          <w:p>
            <w:pPr>
              <w:pStyle w:val="TableParagraph"/>
              <w:rPr>
                <w:rFonts w:ascii="Times New Roman"/>
                <w:sz w:val="12"/>
              </w:rPr>
            </w:pPr>
          </w:p>
        </w:tc>
        <w:tc>
          <w:tcPr>
            <w:tcW w:w="1750" w:type="dxa"/>
          </w:tcPr>
          <w:p>
            <w:pPr>
              <w:pStyle w:val="TableParagraph"/>
              <w:spacing w:before="8"/>
              <w:rPr>
                <w:sz w:val="16"/>
              </w:rPr>
            </w:pPr>
          </w:p>
          <w:p>
            <w:pPr>
              <w:pStyle w:val="TableParagraph"/>
              <w:spacing w:line="297" w:lineRule="auto"/>
              <w:ind w:left="549" w:right="268" w:hanging="353"/>
              <w:rPr>
                <w:sz w:val="13"/>
              </w:rPr>
            </w:pPr>
            <w:r>
              <w:rPr>
                <w:sz w:val="13"/>
              </w:rPr>
              <w:t>2nd Subsequent Year (2023-24)</w:t>
            </w:r>
          </w:p>
        </w:tc>
      </w:tr>
      <w:tr>
        <w:trPr>
          <w:trHeight w:val="346" w:hRule="atLeast"/>
        </w:trPr>
        <w:tc>
          <w:tcPr>
            <w:tcW w:w="5118" w:type="dxa"/>
          </w:tcPr>
          <w:p>
            <w:pPr>
              <w:pStyle w:val="TableParagraph"/>
              <w:spacing w:before="4"/>
              <w:rPr>
                <w:sz w:val="12"/>
              </w:rPr>
            </w:pPr>
          </w:p>
          <w:p>
            <w:pPr>
              <w:pStyle w:val="TableParagraph"/>
              <w:tabs>
                <w:tab w:pos="532" w:val="left" w:leader="none"/>
              </w:tabs>
              <w:ind w:left="198"/>
              <w:rPr>
                <w:sz w:val="13"/>
              </w:rPr>
            </w:pPr>
            <w:r>
              <w:rPr>
                <w:sz w:val="13"/>
              </w:rPr>
              <w:t>1.</w:t>
              <w:tab/>
              <w:t>Are costs of H&amp;W benefit changes included in the budget and</w:t>
            </w:r>
            <w:r>
              <w:rPr>
                <w:spacing w:val="24"/>
                <w:sz w:val="13"/>
              </w:rPr>
              <w:t> </w:t>
            </w:r>
            <w:r>
              <w:rPr>
                <w:sz w:val="13"/>
              </w:rPr>
              <w:t>MYPs?</w:t>
            </w:r>
          </w:p>
        </w:tc>
        <w:tc>
          <w:tcPr>
            <w:tcW w:w="1324" w:type="dxa"/>
          </w:tcPr>
          <w:p>
            <w:pPr>
              <w:pStyle w:val="TableParagraph"/>
              <w:spacing w:before="5"/>
              <w:rPr>
                <w:sz w:val="15"/>
              </w:rPr>
            </w:pPr>
          </w:p>
          <w:p>
            <w:pPr>
              <w:pStyle w:val="TableParagraph"/>
              <w:spacing w:line="149" w:lineRule="exact"/>
              <w:ind w:left="787"/>
              <w:rPr>
                <w:sz w:val="13"/>
              </w:rPr>
            </w:pPr>
            <w:r>
              <w:rPr>
                <w:sz w:val="13"/>
              </w:rPr>
              <w:t>Yes</w:t>
            </w:r>
          </w:p>
        </w:tc>
        <w:tc>
          <w:tcPr>
            <w:tcW w:w="815" w:type="dxa"/>
          </w:tcPr>
          <w:p>
            <w:pPr>
              <w:pStyle w:val="TableParagraph"/>
              <w:rPr>
                <w:rFonts w:ascii="Times New Roman"/>
                <w:sz w:val="12"/>
              </w:rPr>
            </w:pPr>
          </w:p>
        </w:tc>
        <w:tc>
          <w:tcPr>
            <w:tcW w:w="1631" w:type="dxa"/>
          </w:tcPr>
          <w:p>
            <w:pPr>
              <w:pStyle w:val="TableParagraph"/>
              <w:spacing w:before="5"/>
              <w:rPr>
                <w:sz w:val="15"/>
              </w:rPr>
            </w:pPr>
          </w:p>
          <w:p>
            <w:pPr>
              <w:pStyle w:val="TableParagraph"/>
              <w:spacing w:line="149" w:lineRule="exact"/>
              <w:ind w:left="325" w:right="48"/>
              <w:jc w:val="center"/>
              <w:rPr>
                <w:sz w:val="13"/>
              </w:rPr>
            </w:pPr>
            <w:r>
              <w:rPr>
                <w:sz w:val="13"/>
              </w:rPr>
              <w:t>Yes</w:t>
            </w:r>
          </w:p>
        </w:tc>
        <w:tc>
          <w:tcPr>
            <w:tcW w:w="659" w:type="dxa"/>
          </w:tcPr>
          <w:p>
            <w:pPr>
              <w:pStyle w:val="TableParagraph"/>
              <w:rPr>
                <w:rFonts w:ascii="Times New Roman"/>
                <w:sz w:val="12"/>
              </w:rPr>
            </w:pPr>
          </w:p>
        </w:tc>
        <w:tc>
          <w:tcPr>
            <w:tcW w:w="1750" w:type="dxa"/>
          </w:tcPr>
          <w:p>
            <w:pPr>
              <w:pStyle w:val="TableParagraph"/>
              <w:spacing w:before="5"/>
              <w:rPr>
                <w:sz w:val="15"/>
              </w:rPr>
            </w:pPr>
          </w:p>
          <w:p>
            <w:pPr>
              <w:pStyle w:val="TableParagraph"/>
              <w:spacing w:line="149" w:lineRule="exact"/>
              <w:ind w:left="631" w:right="706"/>
              <w:jc w:val="center"/>
              <w:rPr>
                <w:sz w:val="13"/>
              </w:rPr>
            </w:pPr>
            <w:r>
              <w:rPr>
                <w:sz w:val="13"/>
              </w:rPr>
              <w:t>Yes</w:t>
            </w:r>
          </w:p>
        </w:tc>
      </w:tr>
      <w:tr>
        <w:trPr>
          <w:trHeight w:val="184" w:hRule="atLeast"/>
        </w:trPr>
        <w:tc>
          <w:tcPr>
            <w:tcW w:w="5118" w:type="dxa"/>
          </w:tcPr>
          <w:p>
            <w:pPr>
              <w:pStyle w:val="TableParagraph"/>
              <w:tabs>
                <w:tab w:pos="532" w:val="left" w:leader="none"/>
              </w:tabs>
              <w:spacing w:line="149" w:lineRule="exact" w:before="16"/>
              <w:ind w:left="198"/>
              <w:rPr>
                <w:sz w:val="13"/>
              </w:rPr>
            </w:pPr>
            <w:r>
              <w:rPr>
                <w:sz w:val="13"/>
              </w:rPr>
              <w:t>2.</w:t>
              <w:tab/>
              <w:t>Total cost of H&amp;W</w:t>
            </w:r>
            <w:r>
              <w:rPr>
                <w:spacing w:val="-1"/>
                <w:sz w:val="13"/>
              </w:rPr>
              <w:t> </w:t>
            </w:r>
            <w:r>
              <w:rPr>
                <w:sz w:val="13"/>
              </w:rPr>
              <w:t>benefits</w:t>
            </w:r>
          </w:p>
        </w:tc>
        <w:tc>
          <w:tcPr>
            <w:tcW w:w="1324" w:type="dxa"/>
          </w:tcPr>
          <w:p>
            <w:pPr>
              <w:pStyle w:val="TableParagraph"/>
              <w:rPr>
                <w:rFonts w:ascii="Times New Roman"/>
                <w:sz w:val="12"/>
              </w:rPr>
            </w:pPr>
          </w:p>
        </w:tc>
        <w:tc>
          <w:tcPr>
            <w:tcW w:w="815" w:type="dxa"/>
          </w:tcPr>
          <w:p>
            <w:pPr>
              <w:pStyle w:val="TableParagraph"/>
              <w:spacing w:line="149" w:lineRule="exact" w:before="16"/>
              <w:ind w:left="73"/>
              <w:rPr>
                <w:sz w:val="13"/>
              </w:rPr>
            </w:pPr>
            <w:r>
              <w:rPr>
                <w:sz w:val="13"/>
              </w:rPr>
              <w:t>70,283</w:t>
            </w:r>
          </w:p>
        </w:tc>
        <w:tc>
          <w:tcPr>
            <w:tcW w:w="1631" w:type="dxa"/>
          </w:tcPr>
          <w:p>
            <w:pPr>
              <w:pStyle w:val="TableParagraph"/>
              <w:rPr>
                <w:rFonts w:ascii="Times New Roman"/>
                <w:sz w:val="12"/>
              </w:rPr>
            </w:pPr>
          </w:p>
        </w:tc>
        <w:tc>
          <w:tcPr>
            <w:tcW w:w="659" w:type="dxa"/>
          </w:tcPr>
          <w:p>
            <w:pPr>
              <w:pStyle w:val="TableParagraph"/>
              <w:spacing w:line="149" w:lineRule="exact" w:before="16"/>
              <w:ind w:left="58"/>
              <w:rPr>
                <w:sz w:val="13"/>
              </w:rPr>
            </w:pPr>
            <w:r>
              <w:rPr>
                <w:sz w:val="13"/>
              </w:rPr>
              <w:t>70,283</w:t>
            </w:r>
          </w:p>
        </w:tc>
        <w:tc>
          <w:tcPr>
            <w:tcW w:w="1750" w:type="dxa"/>
          </w:tcPr>
          <w:p>
            <w:pPr>
              <w:pStyle w:val="TableParagraph"/>
              <w:spacing w:line="149" w:lineRule="exact" w:before="16"/>
              <w:ind w:right="29"/>
              <w:jc w:val="right"/>
              <w:rPr>
                <w:sz w:val="13"/>
              </w:rPr>
            </w:pPr>
            <w:r>
              <w:rPr>
                <w:sz w:val="13"/>
              </w:rPr>
              <w:t>70,283</w:t>
            </w:r>
          </w:p>
        </w:tc>
      </w:tr>
      <w:tr>
        <w:trPr>
          <w:trHeight w:val="184" w:hRule="atLeast"/>
        </w:trPr>
        <w:tc>
          <w:tcPr>
            <w:tcW w:w="5118" w:type="dxa"/>
          </w:tcPr>
          <w:p>
            <w:pPr>
              <w:pStyle w:val="TableParagraph"/>
              <w:tabs>
                <w:tab w:pos="532" w:val="left" w:leader="none"/>
              </w:tabs>
              <w:spacing w:line="149" w:lineRule="exact" w:before="16"/>
              <w:ind w:left="198"/>
              <w:rPr>
                <w:sz w:val="13"/>
              </w:rPr>
            </w:pPr>
            <w:r>
              <w:rPr>
                <w:sz w:val="13"/>
              </w:rPr>
              <w:t>3.</w:t>
              <w:tab/>
              <w:t>Percent of H&amp;W cost paid by</w:t>
            </w:r>
            <w:r>
              <w:rPr>
                <w:spacing w:val="2"/>
                <w:sz w:val="13"/>
              </w:rPr>
              <w:t> </w:t>
            </w:r>
            <w:r>
              <w:rPr>
                <w:sz w:val="13"/>
              </w:rPr>
              <w:t>employer</w:t>
            </w:r>
          </w:p>
        </w:tc>
        <w:tc>
          <w:tcPr>
            <w:tcW w:w="1324" w:type="dxa"/>
          </w:tcPr>
          <w:p>
            <w:pPr>
              <w:pStyle w:val="TableParagraph"/>
              <w:spacing w:line="149" w:lineRule="exact" w:before="16"/>
              <w:ind w:left="713"/>
              <w:rPr>
                <w:sz w:val="13"/>
              </w:rPr>
            </w:pPr>
            <w:r>
              <w:rPr>
                <w:sz w:val="13"/>
              </w:rPr>
              <w:t>59.0%</w:t>
            </w:r>
          </w:p>
        </w:tc>
        <w:tc>
          <w:tcPr>
            <w:tcW w:w="815" w:type="dxa"/>
          </w:tcPr>
          <w:p>
            <w:pPr>
              <w:pStyle w:val="TableParagraph"/>
              <w:rPr>
                <w:rFonts w:ascii="Times New Roman"/>
                <w:sz w:val="12"/>
              </w:rPr>
            </w:pPr>
          </w:p>
        </w:tc>
        <w:tc>
          <w:tcPr>
            <w:tcW w:w="1631" w:type="dxa"/>
          </w:tcPr>
          <w:p>
            <w:pPr>
              <w:pStyle w:val="TableParagraph"/>
              <w:spacing w:line="149" w:lineRule="exact" w:before="16"/>
              <w:ind w:left="327" w:right="47"/>
              <w:jc w:val="center"/>
              <w:rPr>
                <w:sz w:val="13"/>
              </w:rPr>
            </w:pPr>
            <w:r>
              <w:rPr>
                <w:sz w:val="13"/>
              </w:rPr>
              <w:t>59.0%</w:t>
            </w:r>
          </w:p>
        </w:tc>
        <w:tc>
          <w:tcPr>
            <w:tcW w:w="659" w:type="dxa"/>
          </w:tcPr>
          <w:p>
            <w:pPr>
              <w:pStyle w:val="TableParagraph"/>
              <w:rPr>
                <w:rFonts w:ascii="Times New Roman"/>
                <w:sz w:val="12"/>
              </w:rPr>
            </w:pPr>
          </w:p>
        </w:tc>
        <w:tc>
          <w:tcPr>
            <w:tcW w:w="1750" w:type="dxa"/>
          </w:tcPr>
          <w:p>
            <w:pPr>
              <w:pStyle w:val="TableParagraph"/>
              <w:spacing w:line="149" w:lineRule="exact" w:before="16"/>
              <w:ind w:left="634" w:right="706"/>
              <w:jc w:val="center"/>
              <w:rPr>
                <w:sz w:val="13"/>
              </w:rPr>
            </w:pPr>
            <w:r>
              <w:rPr>
                <w:sz w:val="13"/>
              </w:rPr>
              <w:t>59.0%</w:t>
            </w:r>
          </w:p>
        </w:tc>
      </w:tr>
      <w:tr>
        <w:trPr>
          <w:trHeight w:val="276" w:hRule="atLeast"/>
        </w:trPr>
        <w:tc>
          <w:tcPr>
            <w:tcW w:w="5118" w:type="dxa"/>
          </w:tcPr>
          <w:p>
            <w:pPr>
              <w:pStyle w:val="TableParagraph"/>
              <w:tabs>
                <w:tab w:pos="532" w:val="left" w:leader="none"/>
              </w:tabs>
              <w:spacing w:before="16"/>
              <w:ind w:left="198"/>
              <w:rPr>
                <w:sz w:val="13"/>
              </w:rPr>
            </w:pPr>
            <w:r>
              <w:rPr>
                <w:sz w:val="13"/>
              </w:rPr>
              <w:t>4.</w:t>
              <w:tab/>
              <w:t>Percent projected change in H&amp;W cost over prior</w:t>
            </w:r>
            <w:r>
              <w:rPr>
                <w:spacing w:val="10"/>
                <w:sz w:val="13"/>
              </w:rPr>
              <w:t> </w:t>
            </w:r>
            <w:r>
              <w:rPr>
                <w:sz w:val="13"/>
              </w:rPr>
              <w:t>year</w:t>
            </w:r>
          </w:p>
        </w:tc>
        <w:tc>
          <w:tcPr>
            <w:tcW w:w="1324" w:type="dxa"/>
          </w:tcPr>
          <w:p>
            <w:pPr>
              <w:pStyle w:val="TableParagraph"/>
              <w:rPr>
                <w:rFonts w:ascii="Times New Roman"/>
                <w:sz w:val="12"/>
              </w:rPr>
            </w:pPr>
          </w:p>
        </w:tc>
        <w:tc>
          <w:tcPr>
            <w:tcW w:w="815" w:type="dxa"/>
          </w:tcPr>
          <w:p>
            <w:pPr>
              <w:pStyle w:val="TableParagraph"/>
              <w:rPr>
                <w:rFonts w:ascii="Times New Roman"/>
                <w:sz w:val="12"/>
              </w:rPr>
            </w:pPr>
          </w:p>
        </w:tc>
        <w:tc>
          <w:tcPr>
            <w:tcW w:w="1631" w:type="dxa"/>
          </w:tcPr>
          <w:p>
            <w:pPr>
              <w:pStyle w:val="TableParagraph"/>
              <w:spacing w:before="16"/>
              <w:ind w:left="326" w:right="48"/>
              <w:jc w:val="center"/>
              <w:rPr>
                <w:sz w:val="13"/>
              </w:rPr>
            </w:pPr>
            <w:r>
              <w:rPr>
                <w:sz w:val="13"/>
              </w:rPr>
              <w:t>0.0%</w:t>
            </w:r>
          </w:p>
        </w:tc>
        <w:tc>
          <w:tcPr>
            <w:tcW w:w="659" w:type="dxa"/>
          </w:tcPr>
          <w:p>
            <w:pPr>
              <w:pStyle w:val="TableParagraph"/>
              <w:rPr>
                <w:rFonts w:ascii="Times New Roman"/>
                <w:sz w:val="12"/>
              </w:rPr>
            </w:pPr>
          </w:p>
        </w:tc>
        <w:tc>
          <w:tcPr>
            <w:tcW w:w="1750" w:type="dxa"/>
          </w:tcPr>
          <w:p>
            <w:pPr>
              <w:pStyle w:val="TableParagraph"/>
              <w:spacing w:before="16"/>
              <w:ind w:left="632" w:right="706"/>
              <w:jc w:val="center"/>
              <w:rPr>
                <w:sz w:val="13"/>
              </w:rPr>
            </w:pPr>
            <w:r>
              <w:rPr>
                <w:sz w:val="13"/>
              </w:rPr>
              <w:t>0.0%</w:t>
            </w:r>
          </w:p>
        </w:tc>
      </w:tr>
      <w:tr>
        <w:trPr>
          <w:trHeight w:val="629" w:hRule="atLeast"/>
        </w:trPr>
        <w:tc>
          <w:tcPr>
            <w:tcW w:w="5118" w:type="dxa"/>
          </w:tcPr>
          <w:p>
            <w:pPr>
              <w:pStyle w:val="TableParagraph"/>
              <w:spacing w:before="107"/>
              <w:ind w:left="32"/>
              <w:rPr>
                <w:b/>
                <w:sz w:val="13"/>
              </w:rPr>
            </w:pPr>
            <w:r>
              <w:rPr>
                <w:b/>
                <w:sz w:val="13"/>
              </w:rPr>
              <w:t>Certificated (Non-management) Prior Year Settlements</w:t>
            </w:r>
          </w:p>
          <w:p>
            <w:pPr>
              <w:pStyle w:val="TableParagraph"/>
              <w:spacing w:line="180" w:lineRule="atLeast" w:before="7"/>
              <w:ind w:left="532" w:right="991" w:hanging="500"/>
              <w:rPr>
                <w:sz w:val="13"/>
              </w:rPr>
            </w:pPr>
            <w:r>
              <w:rPr>
                <w:sz w:val="13"/>
              </w:rPr>
              <w:t>Are any new costs from prior year settlements included in the budget? If Yes, amount of new costs included in the budget and MYPs</w:t>
            </w:r>
          </w:p>
        </w:tc>
        <w:tc>
          <w:tcPr>
            <w:tcW w:w="1324" w:type="dxa"/>
          </w:tcPr>
          <w:p>
            <w:pPr>
              <w:pStyle w:val="TableParagraph"/>
              <w:rPr>
                <w:sz w:val="14"/>
              </w:rPr>
            </w:pPr>
          </w:p>
          <w:p>
            <w:pPr>
              <w:pStyle w:val="TableParagraph"/>
              <w:spacing w:before="7"/>
              <w:rPr>
                <w:sz w:val="11"/>
              </w:rPr>
            </w:pPr>
          </w:p>
          <w:p>
            <w:pPr>
              <w:pStyle w:val="TableParagraph"/>
              <w:ind w:left="816"/>
              <w:rPr>
                <w:sz w:val="13"/>
              </w:rPr>
            </w:pPr>
            <w:r>
              <w:rPr>
                <w:sz w:val="13"/>
              </w:rPr>
              <w:t>No</w:t>
            </w:r>
          </w:p>
        </w:tc>
        <w:tc>
          <w:tcPr>
            <w:tcW w:w="815" w:type="dxa"/>
          </w:tcPr>
          <w:p>
            <w:pPr>
              <w:pStyle w:val="TableParagraph"/>
              <w:rPr>
                <w:rFonts w:ascii="Times New Roman"/>
                <w:sz w:val="12"/>
              </w:rPr>
            </w:pPr>
          </w:p>
        </w:tc>
        <w:tc>
          <w:tcPr>
            <w:tcW w:w="1631" w:type="dxa"/>
          </w:tcPr>
          <w:p>
            <w:pPr>
              <w:pStyle w:val="TableParagraph"/>
              <w:rPr>
                <w:rFonts w:ascii="Times New Roman"/>
                <w:sz w:val="12"/>
              </w:rPr>
            </w:pPr>
          </w:p>
        </w:tc>
        <w:tc>
          <w:tcPr>
            <w:tcW w:w="659" w:type="dxa"/>
          </w:tcPr>
          <w:p>
            <w:pPr>
              <w:pStyle w:val="TableParagraph"/>
              <w:rPr>
                <w:rFonts w:ascii="Times New Roman"/>
                <w:sz w:val="12"/>
              </w:rPr>
            </w:pPr>
          </w:p>
        </w:tc>
        <w:tc>
          <w:tcPr>
            <w:tcW w:w="1750" w:type="dxa"/>
          </w:tcPr>
          <w:p>
            <w:pPr>
              <w:pStyle w:val="TableParagraph"/>
              <w:rPr>
                <w:rFonts w:ascii="Times New Roman"/>
                <w:sz w:val="12"/>
              </w:rPr>
            </w:pPr>
          </w:p>
        </w:tc>
      </w:tr>
    </w:tbl>
    <w:p>
      <w:pPr>
        <w:pStyle w:val="BodyText"/>
        <w:spacing w:before="3"/>
        <w:ind w:left="821"/>
      </w:pPr>
      <w:r>
        <w:rPr/>
        <w:pict>
          <v:group style="position:absolute;margin-left:268.320007pt;margin-top:-88.43309pt;width:315.4pt;height:51.75pt;mso-position-horizontal-relative:page;mso-position-vertical-relative:paragraph;z-index:-313775104" coordorigin="5366,-1769" coordsize="6308,1035">
            <v:shape style="position:absolute;left:6333;top:-1769;width:996;height:8" type="#_x0000_t75" stroked="false">
              <v:imagedata r:id="rId1589" o:title=""/>
            </v:shape>
            <v:shape style="position:absolute;left:5366;top:-1769;width:6308;height:480" type="#_x0000_t75" stroked="false">
              <v:imagedata r:id="rId1774" o:title=""/>
            </v:shape>
            <v:shape style="position:absolute;left:7322;top:-1486;width:2439;height:197" type="#_x0000_t75" stroked="false">
              <v:imagedata r:id="rId1775" o:title=""/>
            </v:shape>
            <v:shape style="position:absolute;left:5366;top:-1486;width:6308;height:567" type="#_x0000_t75" stroked="false">
              <v:imagedata r:id="rId1776" o:title=""/>
            </v:shape>
            <v:shape style="position:absolute;left:5366;top:-1112;width:6308;height:377" type="#_x0000_t75" stroked="false">
              <v:imagedata r:id="rId1777" o:title=""/>
            </v:shape>
            <v:shape style="position:absolute;left:9753;top:-927;width:1920;height:192" type="#_x0000_t75" stroked="false">
              <v:imagedata r:id="rId1518" o:title=""/>
            </v:shape>
            <w10:wrap type="none"/>
          </v:group>
        </w:pict>
      </w:r>
      <w:r>
        <w:rPr/>
        <w:pict>
          <v:group style="position:absolute;margin-left:268.320007pt;margin-top:-27.833092pt;width:315.4pt;height:28.1pt;mso-position-horizontal-relative:page;mso-position-vertical-relative:paragraph;z-index:-313774080" coordorigin="5366,-557" coordsize="6308,562">
            <v:shape style="position:absolute;left:5366;top:-557;width:1964;height:377" type="#_x0000_t75" stroked="false">
              <v:imagedata r:id="rId1751" o:title=""/>
            </v:shape>
            <v:shape style="position:absolute;left:5366;top:-188;width:6308;height:192" type="#_x0000_t75" stroked="false">
              <v:imagedata r:id="rId1778" o:title=""/>
            </v:shape>
            <w10:wrap type="none"/>
          </v:group>
        </w:pict>
      </w:r>
      <w:r>
        <w:rPr/>
        <w:t>If Yes, explain the nature of the new costs:</w:t>
      </w:r>
    </w:p>
    <w:p>
      <w:pPr>
        <w:pStyle w:val="BodyText"/>
        <w:spacing w:before="2"/>
        <w:rPr>
          <w:sz w:val="16"/>
        </w:rPr>
      </w:pPr>
      <w:r>
        <w:rPr/>
        <w:drawing>
          <wp:anchor distT="0" distB="0" distL="0" distR="0" allowOverlap="1" layoutInCell="1" locked="0" behindDoc="0" simplePos="0" relativeHeight="901">
            <wp:simplePos x="0" y="0"/>
            <wp:positionH relativeFrom="page">
              <wp:posOffset>1644395</wp:posOffset>
            </wp:positionH>
            <wp:positionV relativeFrom="paragraph">
              <wp:posOffset>142997</wp:posOffset>
            </wp:positionV>
            <wp:extent cx="5768342" cy="437388"/>
            <wp:effectExtent l="0" t="0" r="0" b="0"/>
            <wp:wrapTopAndBottom/>
            <wp:docPr id="213" name="image1632.png"/>
            <wp:cNvGraphicFramePr>
              <a:graphicFrameLocks noChangeAspect="1"/>
            </wp:cNvGraphicFramePr>
            <a:graphic>
              <a:graphicData uri="http://schemas.openxmlformats.org/drawingml/2006/picture">
                <pic:pic>
                  <pic:nvPicPr>
                    <pic:cNvPr id="214" name="image1632.png"/>
                    <pic:cNvPicPr/>
                  </pic:nvPicPr>
                  <pic:blipFill>
                    <a:blip r:embed="rId1738" cstate="print"/>
                    <a:stretch>
                      <a:fillRect/>
                    </a:stretch>
                  </pic:blipFill>
                  <pic:spPr>
                    <a:xfrm>
                      <a:off x="0" y="0"/>
                      <a:ext cx="5768342" cy="437388"/>
                    </a:xfrm>
                    <a:prstGeom prst="rect">
                      <a:avLst/>
                    </a:prstGeom>
                  </pic:spPr>
                </pic:pic>
              </a:graphicData>
            </a:graphic>
          </wp:anchor>
        </w:drawing>
      </w:r>
    </w:p>
    <w:p>
      <w:pPr>
        <w:pStyle w:val="BodyText"/>
        <w:spacing w:before="3"/>
        <w:rPr>
          <w:sz w:val="16"/>
        </w:rPr>
      </w:pPr>
    </w:p>
    <w:tbl>
      <w:tblPr>
        <w:tblW w:w="0" w:type="auto"/>
        <w:jc w:val="left"/>
        <w:tblInd w:w="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794"/>
        <w:gridCol w:w="2187"/>
        <w:gridCol w:w="2307"/>
        <w:gridCol w:w="1772"/>
      </w:tblGrid>
      <w:tr>
        <w:trPr>
          <w:trHeight w:val="164" w:hRule="atLeast"/>
        </w:trPr>
        <w:tc>
          <w:tcPr>
            <w:tcW w:w="4794" w:type="dxa"/>
          </w:tcPr>
          <w:p>
            <w:pPr>
              <w:pStyle w:val="TableParagraph"/>
              <w:rPr>
                <w:rFonts w:ascii="Times New Roman"/>
                <w:sz w:val="10"/>
              </w:rPr>
            </w:pPr>
          </w:p>
        </w:tc>
        <w:tc>
          <w:tcPr>
            <w:tcW w:w="2187" w:type="dxa"/>
          </w:tcPr>
          <w:p>
            <w:pPr>
              <w:pStyle w:val="TableParagraph"/>
              <w:spacing w:line="145" w:lineRule="exact"/>
              <w:ind w:right="610"/>
              <w:jc w:val="right"/>
              <w:rPr>
                <w:sz w:val="13"/>
              </w:rPr>
            </w:pPr>
            <w:r>
              <w:rPr>
                <w:sz w:val="13"/>
              </w:rPr>
              <w:t>Budget Year</w:t>
            </w:r>
          </w:p>
        </w:tc>
        <w:tc>
          <w:tcPr>
            <w:tcW w:w="2307" w:type="dxa"/>
          </w:tcPr>
          <w:p>
            <w:pPr>
              <w:pStyle w:val="TableParagraph"/>
              <w:spacing w:line="145" w:lineRule="exact"/>
              <w:ind w:left="602" w:right="447"/>
              <w:jc w:val="center"/>
              <w:rPr>
                <w:sz w:val="13"/>
              </w:rPr>
            </w:pPr>
            <w:r>
              <w:rPr>
                <w:sz w:val="13"/>
              </w:rPr>
              <w:t>1st Subsequent Year</w:t>
            </w:r>
          </w:p>
        </w:tc>
        <w:tc>
          <w:tcPr>
            <w:tcW w:w="1772" w:type="dxa"/>
          </w:tcPr>
          <w:p>
            <w:pPr>
              <w:pStyle w:val="TableParagraph"/>
              <w:spacing w:line="145" w:lineRule="exact"/>
              <w:ind w:left="446" w:right="25"/>
              <w:jc w:val="center"/>
              <w:rPr>
                <w:sz w:val="13"/>
              </w:rPr>
            </w:pPr>
            <w:r>
              <w:rPr>
                <w:sz w:val="13"/>
              </w:rPr>
              <w:t>2nd Subsequent Year</w:t>
            </w:r>
          </w:p>
        </w:tc>
      </w:tr>
      <w:tr>
        <w:trPr>
          <w:trHeight w:val="167" w:hRule="atLeast"/>
        </w:trPr>
        <w:tc>
          <w:tcPr>
            <w:tcW w:w="4794" w:type="dxa"/>
          </w:tcPr>
          <w:p>
            <w:pPr>
              <w:pStyle w:val="TableParagraph"/>
              <w:spacing w:line="132" w:lineRule="exact" w:before="15"/>
              <w:ind w:left="32"/>
              <w:rPr>
                <w:b/>
                <w:sz w:val="13"/>
              </w:rPr>
            </w:pPr>
            <w:r>
              <w:rPr>
                <w:b/>
                <w:sz w:val="13"/>
              </w:rPr>
              <w:t>Certificated (Non-management) Step and Column Adjustments</w:t>
            </w:r>
          </w:p>
        </w:tc>
        <w:tc>
          <w:tcPr>
            <w:tcW w:w="2187" w:type="dxa"/>
          </w:tcPr>
          <w:p>
            <w:pPr>
              <w:pStyle w:val="TableParagraph"/>
              <w:spacing w:line="130" w:lineRule="exact" w:before="17"/>
              <w:ind w:right="671"/>
              <w:jc w:val="right"/>
              <w:rPr>
                <w:sz w:val="13"/>
              </w:rPr>
            </w:pPr>
            <w:r>
              <w:rPr>
                <w:sz w:val="13"/>
              </w:rPr>
              <w:t>(2021-22)</w:t>
            </w:r>
          </w:p>
        </w:tc>
        <w:tc>
          <w:tcPr>
            <w:tcW w:w="2307" w:type="dxa"/>
          </w:tcPr>
          <w:p>
            <w:pPr>
              <w:pStyle w:val="TableParagraph"/>
              <w:spacing w:line="130" w:lineRule="exact" w:before="17"/>
              <w:ind w:left="602" w:right="446"/>
              <w:jc w:val="center"/>
              <w:rPr>
                <w:sz w:val="13"/>
              </w:rPr>
            </w:pPr>
            <w:r>
              <w:rPr>
                <w:sz w:val="13"/>
              </w:rPr>
              <w:t>(2022-23)</w:t>
            </w:r>
          </w:p>
        </w:tc>
        <w:tc>
          <w:tcPr>
            <w:tcW w:w="1772" w:type="dxa"/>
          </w:tcPr>
          <w:p>
            <w:pPr>
              <w:pStyle w:val="TableParagraph"/>
              <w:spacing w:line="130" w:lineRule="exact" w:before="17"/>
              <w:ind w:left="446" w:right="25"/>
              <w:jc w:val="center"/>
              <w:rPr>
                <w:sz w:val="13"/>
              </w:rPr>
            </w:pPr>
            <w:r>
              <w:rPr>
                <w:sz w:val="13"/>
              </w:rPr>
              <w:t>(2023-24)</w:t>
            </w:r>
          </w:p>
        </w:tc>
      </w:tr>
    </w:tbl>
    <w:p>
      <w:pPr>
        <w:pStyle w:val="BodyText"/>
        <w:rPr>
          <w:sz w:val="14"/>
        </w:rPr>
      </w:pPr>
    </w:p>
    <w:p>
      <w:pPr>
        <w:pStyle w:val="ListParagraph"/>
        <w:numPr>
          <w:ilvl w:val="0"/>
          <w:numId w:val="79"/>
        </w:numPr>
        <w:tabs>
          <w:tab w:pos="821" w:val="left" w:leader="none"/>
          <w:tab w:pos="822" w:val="left" w:leader="none"/>
        </w:tabs>
        <w:spacing w:line="240" w:lineRule="auto" w:before="111" w:after="0"/>
        <w:ind w:left="821" w:right="0" w:hanging="334"/>
        <w:jc w:val="left"/>
        <w:rPr>
          <w:sz w:val="13"/>
        </w:rPr>
      </w:pPr>
      <w:r>
        <w:rPr/>
        <w:pict>
          <v:group style="position:absolute;margin-left:268.320007pt;margin-top:-8.153064pt;width:315.4pt;height:40.1pt;mso-position-horizontal-relative:page;mso-position-vertical-relative:paragraph;z-index:252598272" coordorigin="5366,-163" coordsize="6308,802">
            <v:shape style="position:absolute;left:6333;top:-164;width:996;height:8" type="#_x0000_t75" stroked="false">
              <v:imagedata r:id="rId1589" o:title=""/>
            </v:shape>
            <v:shape style="position:absolute;left:5366;top:-164;width:6308;height:430" type="#_x0000_t75" stroked="false">
              <v:imagedata r:id="rId1779" o:title=""/>
            </v:shape>
            <v:shape style="position:absolute;left:7322;top:21;width:2439;height:245" type="#_x0000_t75" stroked="false">
              <v:imagedata r:id="rId1780" o:title=""/>
            </v:shape>
            <v:shape style="position:absolute;left:9753;top:21;width:1920;height:425" type="#_x0000_t75" stroked="false">
              <v:imagedata r:id="rId1781" o:title=""/>
            </v:shape>
            <v:shape style="position:absolute;left:5366;top:259;width:6308;height:380" type="#_x0000_t75" stroked="false">
              <v:imagedata r:id="rId1782" o:title=""/>
            </v:shape>
            <v:shape style="position:absolute;left:9753;top:444;width:1920;height:195" type="#_x0000_t75" stroked="false">
              <v:imagedata r:id="rId1783" o:title=""/>
            </v:shape>
            <v:shape style="position:absolute;left:6235;top:113;width:244;height:148" type="#_x0000_t202" filled="false" stroked="false">
              <v:textbox inset="0,0,0,0">
                <w:txbxContent>
                  <w:p>
                    <w:pPr>
                      <w:spacing w:line="147" w:lineRule="exact" w:before="0"/>
                      <w:ind w:left="0" w:right="0" w:firstLine="0"/>
                      <w:jc w:val="left"/>
                      <w:rPr>
                        <w:sz w:val="13"/>
                      </w:rPr>
                    </w:pPr>
                    <w:r>
                      <w:rPr>
                        <w:sz w:val="13"/>
                      </w:rPr>
                      <w:t>Yes</w:t>
                    </w:r>
                  </w:p>
                </w:txbxContent>
              </v:textbox>
              <w10:wrap type="none"/>
            </v:shape>
            <v:shape style="position:absolute;left:8428;top:113;width:244;height:148" type="#_x0000_t202" filled="false" stroked="false">
              <v:textbox inset="0,0,0,0">
                <w:txbxContent>
                  <w:p>
                    <w:pPr>
                      <w:spacing w:line="147" w:lineRule="exact" w:before="0"/>
                      <w:ind w:left="0" w:right="0" w:firstLine="0"/>
                      <w:jc w:val="left"/>
                      <w:rPr>
                        <w:sz w:val="13"/>
                      </w:rPr>
                    </w:pPr>
                    <w:r>
                      <w:rPr>
                        <w:sz w:val="13"/>
                      </w:rPr>
                      <w:t>Yes</w:t>
                    </w:r>
                  </w:p>
                </w:txbxContent>
              </v:textbox>
              <w10:wrap type="none"/>
            </v:shape>
            <v:shape style="position:absolute;left:10600;top:113;width:244;height:148" type="#_x0000_t202" filled="false" stroked="false">
              <v:textbox inset="0,0,0,0">
                <w:txbxContent>
                  <w:p>
                    <w:pPr>
                      <w:spacing w:line="147" w:lineRule="exact" w:before="0"/>
                      <w:ind w:left="0" w:right="0" w:firstLine="0"/>
                      <w:jc w:val="left"/>
                      <w:rPr>
                        <w:sz w:val="13"/>
                      </w:rPr>
                    </w:pPr>
                    <w:r>
                      <w:rPr>
                        <w:sz w:val="13"/>
                      </w:rPr>
                      <w:t>Yes</w:t>
                    </w:r>
                  </w:p>
                </w:txbxContent>
              </v:textbox>
              <w10:wrap type="none"/>
            </v:shape>
            <v:shape style="position:absolute;left:6919;top:298;width:4696;height:335" type="#_x0000_t202" filled="false" stroked="false">
              <v:textbox inset="0,0,0,0">
                <w:txbxContent>
                  <w:p>
                    <w:pPr>
                      <w:tabs>
                        <w:tab w:pos="2431" w:val="left" w:leader="none"/>
                        <w:tab w:pos="4343" w:val="left" w:leader="none"/>
                      </w:tabs>
                      <w:spacing w:line="147" w:lineRule="exact" w:before="0"/>
                      <w:ind w:left="0" w:right="0" w:firstLine="0"/>
                      <w:jc w:val="left"/>
                      <w:rPr>
                        <w:sz w:val="13"/>
                      </w:rPr>
                    </w:pPr>
                    <w:r>
                      <w:rPr>
                        <w:sz w:val="13"/>
                      </w:rPr>
                      <w:t>6,501</w:t>
                      <w:tab/>
                      <w:t>9,432</w:t>
                      <w:tab/>
                      <w:t>9,658</w:t>
                    </w:r>
                  </w:p>
                  <w:p>
                    <w:pPr>
                      <w:tabs>
                        <w:tab w:pos="3643" w:val="left" w:leader="none"/>
                      </w:tabs>
                      <w:spacing w:before="37"/>
                      <w:ind w:left="1471" w:right="0" w:firstLine="0"/>
                      <w:jc w:val="left"/>
                      <w:rPr>
                        <w:sz w:val="13"/>
                      </w:rPr>
                    </w:pPr>
                    <w:r>
                      <w:rPr>
                        <w:sz w:val="13"/>
                      </w:rPr>
                      <w:t>2.1%</w:t>
                      <w:tab/>
                      <w:t>2.1%</w:t>
                    </w:r>
                  </w:p>
                </w:txbxContent>
              </v:textbox>
              <w10:wrap type="none"/>
            </v:shape>
            <w10:wrap type="none"/>
          </v:group>
        </w:pict>
      </w:r>
      <w:r>
        <w:rPr>
          <w:sz w:val="13"/>
        </w:rPr>
        <w:t>Are step &amp; column adjustments included in the budget and</w:t>
      </w:r>
      <w:r>
        <w:rPr>
          <w:spacing w:val="6"/>
          <w:sz w:val="13"/>
        </w:rPr>
        <w:t> </w:t>
      </w:r>
      <w:r>
        <w:rPr>
          <w:sz w:val="13"/>
        </w:rPr>
        <w:t>MYPs?</w:t>
      </w:r>
    </w:p>
    <w:p>
      <w:pPr>
        <w:pStyle w:val="ListParagraph"/>
        <w:numPr>
          <w:ilvl w:val="0"/>
          <w:numId w:val="79"/>
        </w:numPr>
        <w:tabs>
          <w:tab w:pos="821" w:val="left" w:leader="none"/>
          <w:tab w:pos="822" w:val="left" w:leader="none"/>
        </w:tabs>
        <w:spacing w:line="240" w:lineRule="auto" w:before="36" w:after="0"/>
        <w:ind w:left="821" w:right="0" w:hanging="334"/>
        <w:jc w:val="left"/>
        <w:rPr>
          <w:sz w:val="13"/>
        </w:rPr>
      </w:pPr>
      <w:r>
        <w:rPr>
          <w:sz w:val="13"/>
        </w:rPr>
        <w:t>Cost of step &amp; column</w:t>
      </w:r>
      <w:r>
        <w:rPr>
          <w:spacing w:val="-1"/>
          <w:sz w:val="13"/>
        </w:rPr>
        <w:t> </w:t>
      </w:r>
      <w:r>
        <w:rPr>
          <w:sz w:val="13"/>
        </w:rPr>
        <w:t>adjustments</w:t>
      </w:r>
    </w:p>
    <w:p>
      <w:pPr>
        <w:pStyle w:val="ListParagraph"/>
        <w:numPr>
          <w:ilvl w:val="0"/>
          <w:numId w:val="79"/>
        </w:numPr>
        <w:tabs>
          <w:tab w:pos="821" w:val="left" w:leader="none"/>
          <w:tab w:pos="822" w:val="left" w:leader="none"/>
        </w:tabs>
        <w:spacing w:line="240" w:lineRule="auto" w:before="37" w:after="0"/>
        <w:ind w:left="821" w:right="0" w:hanging="334"/>
        <w:jc w:val="left"/>
        <w:rPr>
          <w:sz w:val="13"/>
        </w:rPr>
      </w:pPr>
      <w:r>
        <w:rPr/>
        <w:pict>
          <v:group style="position:absolute;margin-left:268.320007pt;margin-top:36.986931pt;width:315.4pt;height:50.65pt;mso-position-horizontal-relative:page;mso-position-vertical-relative:paragraph;z-index:-313764864" coordorigin="5366,740" coordsize="6308,1013">
            <v:shape style="position:absolute;left:6333;top:739;width:996;height:8" type="#_x0000_t75" stroked="false">
              <v:imagedata r:id="rId1589" o:title=""/>
            </v:shape>
            <v:shape style="position:absolute;left:5366;top:739;width:6308;height:425" type="#_x0000_t75" stroked="false">
              <v:imagedata r:id="rId1784" o:title=""/>
            </v:shape>
            <v:shape style="position:absolute;left:5366;top:924;width:6308;height:828" type="#_x0000_t75" stroked="false">
              <v:imagedata r:id="rId1785" o:title=""/>
            </v:shape>
            <v:shape style="position:absolute;left:7322;top:1346;width:2439;height:406" type="#_x0000_t75" stroked="false">
              <v:imagedata r:id="rId1786" o:title=""/>
            </v:shape>
            <v:shape style="position:absolute;left:9753;top:1346;width:1920;height:406" type="#_x0000_t75" stroked="false">
              <v:imagedata r:id="rId1787" o:title=""/>
            </v:shape>
            <v:shape style="position:absolute;left:6264;top:1599;width:190;height:148" type="#_x0000_t202" filled="false" stroked="false">
              <v:textbox inset="0,0,0,0">
                <w:txbxContent>
                  <w:p>
                    <w:pPr>
                      <w:spacing w:line="147" w:lineRule="exact" w:before="0"/>
                      <w:ind w:left="0" w:right="0" w:firstLine="0"/>
                      <w:jc w:val="left"/>
                      <w:rPr>
                        <w:sz w:val="13"/>
                      </w:rPr>
                    </w:pPr>
                    <w:r>
                      <w:rPr>
                        <w:sz w:val="13"/>
                      </w:rPr>
                      <w:t>No</w:t>
                    </w:r>
                  </w:p>
                </w:txbxContent>
              </v:textbox>
              <w10:wrap type="none"/>
            </v:shape>
            <v:shape style="position:absolute;left:8457;top:1599;width:190;height:148" type="#_x0000_t202" filled="false" stroked="false">
              <v:textbox inset="0,0,0,0">
                <w:txbxContent>
                  <w:p>
                    <w:pPr>
                      <w:spacing w:line="147" w:lineRule="exact" w:before="0"/>
                      <w:ind w:left="0" w:right="0" w:firstLine="0"/>
                      <w:jc w:val="left"/>
                      <w:rPr>
                        <w:sz w:val="13"/>
                      </w:rPr>
                    </w:pPr>
                    <w:r>
                      <w:rPr>
                        <w:sz w:val="13"/>
                      </w:rPr>
                      <w:t>No</w:t>
                    </w:r>
                  </w:p>
                </w:txbxContent>
              </v:textbox>
              <w10:wrap type="none"/>
            </v:shape>
            <v:shape style="position:absolute;left:10629;top:1599;width:190;height:148" type="#_x0000_t202" filled="false" stroked="false">
              <v:textbox inset="0,0,0,0">
                <w:txbxContent>
                  <w:p>
                    <w:pPr>
                      <w:spacing w:line="147" w:lineRule="exact" w:before="0"/>
                      <w:ind w:left="0" w:right="0" w:firstLine="0"/>
                      <w:jc w:val="left"/>
                      <w:rPr>
                        <w:sz w:val="13"/>
                      </w:rPr>
                    </w:pPr>
                    <w:r>
                      <w:rPr>
                        <w:sz w:val="13"/>
                      </w:rPr>
                      <w:t>No</w:t>
                    </w:r>
                  </w:p>
                </w:txbxContent>
              </v:textbox>
              <w10:wrap type="none"/>
            </v:shape>
            <w10:wrap type="none"/>
          </v:group>
        </w:pict>
      </w:r>
      <w:r>
        <w:rPr>
          <w:sz w:val="13"/>
        </w:rPr>
        <w:t>Percent change in step &amp; column over prior</w:t>
      </w:r>
      <w:r>
        <w:rPr>
          <w:spacing w:val="-1"/>
          <w:sz w:val="13"/>
        </w:rPr>
        <w:t> </w:t>
      </w:r>
      <w:r>
        <w:rPr>
          <w:sz w:val="13"/>
        </w:rPr>
        <w:t>year</w:t>
      </w:r>
    </w:p>
    <w:p>
      <w:pPr>
        <w:pStyle w:val="BodyText"/>
        <w:spacing w:before="4" w:after="1"/>
        <w:rPr>
          <w:sz w:val="19"/>
        </w:rPr>
      </w:pPr>
    </w:p>
    <w:tbl>
      <w:tblPr>
        <w:tblW w:w="0" w:type="auto"/>
        <w:jc w:val="left"/>
        <w:tblInd w:w="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18"/>
        <w:gridCol w:w="1963"/>
        <w:gridCol w:w="2307"/>
        <w:gridCol w:w="1772"/>
      </w:tblGrid>
      <w:tr>
        <w:trPr>
          <w:trHeight w:val="164" w:hRule="atLeast"/>
        </w:trPr>
        <w:tc>
          <w:tcPr>
            <w:tcW w:w="5018" w:type="dxa"/>
          </w:tcPr>
          <w:p>
            <w:pPr>
              <w:pStyle w:val="TableParagraph"/>
              <w:rPr>
                <w:rFonts w:ascii="Times New Roman"/>
                <w:sz w:val="10"/>
              </w:rPr>
            </w:pPr>
          </w:p>
        </w:tc>
        <w:tc>
          <w:tcPr>
            <w:tcW w:w="1963" w:type="dxa"/>
          </w:tcPr>
          <w:p>
            <w:pPr>
              <w:pStyle w:val="TableParagraph"/>
              <w:spacing w:line="145" w:lineRule="exact"/>
              <w:ind w:left="602" w:right="598"/>
              <w:jc w:val="center"/>
              <w:rPr>
                <w:sz w:val="13"/>
              </w:rPr>
            </w:pPr>
            <w:r>
              <w:rPr>
                <w:sz w:val="13"/>
              </w:rPr>
              <w:t>Budget Year</w:t>
            </w:r>
          </w:p>
        </w:tc>
        <w:tc>
          <w:tcPr>
            <w:tcW w:w="2307" w:type="dxa"/>
          </w:tcPr>
          <w:p>
            <w:pPr>
              <w:pStyle w:val="TableParagraph"/>
              <w:spacing w:line="145" w:lineRule="exact"/>
              <w:ind w:left="602" w:right="447"/>
              <w:jc w:val="center"/>
              <w:rPr>
                <w:sz w:val="13"/>
              </w:rPr>
            </w:pPr>
            <w:r>
              <w:rPr>
                <w:sz w:val="13"/>
              </w:rPr>
              <w:t>1st Subsequent Year</w:t>
            </w:r>
          </w:p>
        </w:tc>
        <w:tc>
          <w:tcPr>
            <w:tcW w:w="1772" w:type="dxa"/>
          </w:tcPr>
          <w:p>
            <w:pPr>
              <w:pStyle w:val="TableParagraph"/>
              <w:spacing w:line="145" w:lineRule="exact"/>
              <w:ind w:left="446" w:right="25"/>
              <w:jc w:val="center"/>
              <w:rPr>
                <w:sz w:val="13"/>
              </w:rPr>
            </w:pPr>
            <w:r>
              <w:rPr>
                <w:sz w:val="13"/>
              </w:rPr>
              <w:t>2nd Subsequent Year</w:t>
            </w:r>
          </w:p>
        </w:tc>
      </w:tr>
      <w:tr>
        <w:trPr>
          <w:trHeight w:val="304" w:hRule="atLeast"/>
        </w:trPr>
        <w:tc>
          <w:tcPr>
            <w:tcW w:w="5018" w:type="dxa"/>
          </w:tcPr>
          <w:p>
            <w:pPr>
              <w:pStyle w:val="TableParagraph"/>
              <w:spacing w:before="15"/>
              <w:ind w:left="32"/>
              <w:rPr>
                <w:b/>
                <w:sz w:val="13"/>
              </w:rPr>
            </w:pPr>
            <w:r>
              <w:rPr>
                <w:b/>
                <w:sz w:val="13"/>
              </w:rPr>
              <w:t>Certificated (Non-management) Attrition (layoffs and retirements)</w:t>
            </w:r>
          </w:p>
        </w:tc>
        <w:tc>
          <w:tcPr>
            <w:tcW w:w="1963" w:type="dxa"/>
          </w:tcPr>
          <w:p>
            <w:pPr>
              <w:pStyle w:val="TableParagraph"/>
              <w:spacing w:before="17"/>
              <w:ind w:left="602" w:right="564"/>
              <w:jc w:val="center"/>
              <w:rPr>
                <w:sz w:val="13"/>
              </w:rPr>
            </w:pPr>
            <w:r>
              <w:rPr>
                <w:sz w:val="13"/>
              </w:rPr>
              <w:t>(2021-22)</w:t>
            </w:r>
          </w:p>
        </w:tc>
        <w:tc>
          <w:tcPr>
            <w:tcW w:w="2307" w:type="dxa"/>
          </w:tcPr>
          <w:p>
            <w:pPr>
              <w:pStyle w:val="TableParagraph"/>
              <w:spacing w:before="17"/>
              <w:ind w:left="602" w:right="446"/>
              <w:jc w:val="center"/>
              <w:rPr>
                <w:sz w:val="13"/>
              </w:rPr>
            </w:pPr>
            <w:r>
              <w:rPr>
                <w:sz w:val="13"/>
              </w:rPr>
              <w:t>(2022-23)</w:t>
            </w:r>
          </w:p>
        </w:tc>
        <w:tc>
          <w:tcPr>
            <w:tcW w:w="1772" w:type="dxa"/>
          </w:tcPr>
          <w:p>
            <w:pPr>
              <w:pStyle w:val="TableParagraph"/>
              <w:spacing w:before="17"/>
              <w:ind w:left="446" w:right="25"/>
              <w:jc w:val="center"/>
              <w:rPr>
                <w:sz w:val="13"/>
              </w:rPr>
            </w:pPr>
            <w:r>
              <w:rPr>
                <w:sz w:val="13"/>
              </w:rPr>
              <w:t>(2023-24)</w:t>
            </w:r>
          </w:p>
        </w:tc>
      </w:tr>
      <w:tr>
        <w:trPr>
          <w:trHeight w:val="623" w:hRule="atLeast"/>
        </w:trPr>
        <w:tc>
          <w:tcPr>
            <w:tcW w:w="5018" w:type="dxa"/>
          </w:tcPr>
          <w:p>
            <w:pPr>
              <w:pStyle w:val="TableParagraph"/>
              <w:spacing w:before="8"/>
              <w:rPr>
                <w:sz w:val="11"/>
              </w:rPr>
            </w:pPr>
          </w:p>
          <w:p>
            <w:pPr>
              <w:pStyle w:val="TableParagraph"/>
              <w:numPr>
                <w:ilvl w:val="0"/>
                <w:numId w:val="80"/>
              </w:numPr>
              <w:tabs>
                <w:tab w:pos="532" w:val="left" w:leader="none"/>
                <w:tab w:pos="533" w:val="left" w:leader="none"/>
              </w:tabs>
              <w:spacing w:line="240" w:lineRule="auto" w:before="0" w:after="0"/>
              <w:ind w:left="532" w:right="0" w:hanging="335"/>
              <w:jc w:val="left"/>
              <w:rPr>
                <w:sz w:val="13"/>
              </w:rPr>
            </w:pPr>
            <w:r>
              <w:rPr>
                <w:sz w:val="13"/>
              </w:rPr>
              <w:t>Are savings from attrition included in the budget and</w:t>
            </w:r>
            <w:r>
              <w:rPr>
                <w:spacing w:val="13"/>
                <w:sz w:val="13"/>
              </w:rPr>
              <w:t> </w:t>
            </w:r>
            <w:r>
              <w:rPr>
                <w:sz w:val="13"/>
              </w:rPr>
              <w:t>MYPs?</w:t>
            </w:r>
          </w:p>
          <w:p>
            <w:pPr>
              <w:pStyle w:val="TableParagraph"/>
              <w:spacing w:before="5"/>
              <w:rPr>
                <w:sz w:val="16"/>
              </w:rPr>
            </w:pPr>
          </w:p>
          <w:p>
            <w:pPr>
              <w:pStyle w:val="TableParagraph"/>
              <w:numPr>
                <w:ilvl w:val="0"/>
                <w:numId w:val="80"/>
              </w:numPr>
              <w:tabs>
                <w:tab w:pos="532" w:val="left" w:leader="none"/>
                <w:tab w:pos="533" w:val="left" w:leader="none"/>
              </w:tabs>
              <w:spacing w:line="130" w:lineRule="exact" w:before="0" w:after="0"/>
              <w:ind w:left="532" w:right="0" w:hanging="335"/>
              <w:jc w:val="left"/>
              <w:rPr>
                <w:sz w:val="13"/>
              </w:rPr>
            </w:pPr>
            <w:r>
              <w:rPr>
                <w:sz w:val="13"/>
              </w:rPr>
              <w:t>Are additional H&amp;W benefits for those laid-off or retired</w:t>
            </w:r>
            <w:r>
              <w:rPr>
                <w:spacing w:val="12"/>
                <w:sz w:val="13"/>
              </w:rPr>
              <w:t> </w:t>
            </w:r>
            <w:r>
              <w:rPr>
                <w:sz w:val="13"/>
              </w:rPr>
              <w:t>employees</w:t>
            </w:r>
          </w:p>
        </w:tc>
        <w:tc>
          <w:tcPr>
            <w:tcW w:w="1963" w:type="dxa"/>
          </w:tcPr>
          <w:p>
            <w:pPr>
              <w:pStyle w:val="TableParagraph"/>
              <w:spacing w:before="8"/>
              <w:rPr>
                <w:sz w:val="11"/>
              </w:rPr>
            </w:pPr>
          </w:p>
          <w:p>
            <w:pPr>
              <w:pStyle w:val="TableParagraph"/>
              <w:ind w:left="602" w:right="567"/>
              <w:jc w:val="center"/>
              <w:rPr>
                <w:sz w:val="13"/>
              </w:rPr>
            </w:pPr>
            <w:r>
              <w:rPr>
                <w:sz w:val="13"/>
              </w:rPr>
              <w:t>Yes</w:t>
            </w:r>
          </w:p>
        </w:tc>
        <w:tc>
          <w:tcPr>
            <w:tcW w:w="2307" w:type="dxa"/>
          </w:tcPr>
          <w:p>
            <w:pPr>
              <w:pStyle w:val="TableParagraph"/>
              <w:spacing w:before="8"/>
              <w:rPr>
                <w:sz w:val="11"/>
              </w:rPr>
            </w:pPr>
          </w:p>
          <w:p>
            <w:pPr>
              <w:pStyle w:val="TableParagraph"/>
              <w:ind w:left="601" w:right="448"/>
              <w:jc w:val="center"/>
              <w:rPr>
                <w:sz w:val="13"/>
              </w:rPr>
            </w:pPr>
            <w:r>
              <w:rPr>
                <w:sz w:val="13"/>
              </w:rPr>
              <w:t>Yes</w:t>
            </w:r>
          </w:p>
        </w:tc>
        <w:tc>
          <w:tcPr>
            <w:tcW w:w="1772" w:type="dxa"/>
          </w:tcPr>
          <w:p>
            <w:pPr>
              <w:pStyle w:val="TableParagraph"/>
              <w:spacing w:before="8"/>
              <w:rPr>
                <w:sz w:val="11"/>
              </w:rPr>
            </w:pPr>
          </w:p>
          <w:p>
            <w:pPr>
              <w:pStyle w:val="TableParagraph"/>
              <w:ind w:left="444" w:right="26"/>
              <w:jc w:val="center"/>
              <w:rPr>
                <w:sz w:val="13"/>
              </w:rPr>
            </w:pPr>
            <w:r>
              <w:rPr>
                <w:sz w:val="13"/>
              </w:rPr>
              <w:t>Yes</w:t>
            </w:r>
          </w:p>
        </w:tc>
      </w:tr>
    </w:tbl>
    <w:p>
      <w:pPr>
        <w:pStyle w:val="BodyText"/>
        <w:spacing w:before="1"/>
        <w:ind w:left="821"/>
      </w:pPr>
      <w:r>
        <w:rPr/>
        <w:t>included in the budget and MYPs?</w:t>
      </w:r>
    </w:p>
    <w:p>
      <w:pPr>
        <w:pStyle w:val="BodyText"/>
        <w:spacing w:before="7"/>
        <w:rPr>
          <w:sz w:val="18"/>
        </w:rPr>
      </w:pPr>
    </w:p>
    <w:p>
      <w:pPr>
        <w:spacing w:before="97"/>
        <w:ind w:left="322" w:right="0" w:firstLine="0"/>
        <w:jc w:val="left"/>
        <w:rPr>
          <w:b/>
          <w:sz w:val="13"/>
        </w:rPr>
      </w:pPr>
      <w:r>
        <w:rPr>
          <w:b/>
          <w:sz w:val="13"/>
        </w:rPr>
        <w:t>Certificated (Non-management) - Other</w:t>
      </w:r>
    </w:p>
    <w:p>
      <w:pPr>
        <w:pStyle w:val="BodyText"/>
        <w:spacing w:before="7"/>
        <w:ind w:left="322"/>
      </w:pPr>
      <w:r>
        <w:rPr/>
        <w:t>List other significant contract changes and the cost impact of each change (i.e., class size, hours of employment, leave of absence, bonuses, etc.):</w:t>
      </w:r>
    </w:p>
    <w:p>
      <w:pPr>
        <w:pStyle w:val="BodyText"/>
        <w:spacing w:before="7"/>
        <w:rPr>
          <w:sz w:val="16"/>
        </w:rPr>
      </w:pPr>
    </w:p>
    <w:p>
      <w:pPr>
        <w:pStyle w:val="BodyText"/>
        <w:ind w:left="2583"/>
      </w:pPr>
      <w:r>
        <w:rPr/>
        <w:drawing>
          <wp:anchor distT="0" distB="0" distL="0" distR="0" allowOverlap="1" layoutInCell="1" locked="0" behindDoc="0" simplePos="0" relativeHeight="902">
            <wp:simplePos x="0" y="0"/>
            <wp:positionH relativeFrom="page">
              <wp:posOffset>1644395</wp:posOffset>
            </wp:positionH>
            <wp:positionV relativeFrom="paragraph">
              <wp:posOffset>117054</wp:posOffset>
            </wp:positionV>
            <wp:extent cx="5768580" cy="4572"/>
            <wp:effectExtent l="0" t="0" r="0" b="0"/>
            <wp:wrapTopAndBottom/>
            <wp:docPr id="215" name="image1566.png"/>
            <wp:cNvGraphicFramePr>
              <a:graphicFrameLocks noChangeAspect="1"/>
            </wp:cNvGraphicFramePr>
            <a:graphic>
              <a:graphicData uri="http://schemas.openxmlformats.org/drawingml/2006/picture">
                <pic:pic>
                  <pic:nvPicPr>
                    <pic:cNvPr id="216" name="image1566.png"/>
                    <pic:cNvPicPr/>
                  </pic:nvPicPr>
                  <pic:blipFill>
                    <a:blip r:embed="rId1668" cstate="print"/>
                    <a:stretch>
                      <a:fillRect/>
                    </a:stretch>
                  </pic:blipFill>
                  <pic:spPr>
                    <a:xfrm>
                      <a:off x="0" y="0"/>
                      <a:ext cx="5768580" cy="4572"/>
                    </a:xfrm>
                    <a:prstGeom prst="rect">
                      <a:avLst/>
                    </a:prstGeom>
                  </pic:spPr>
                </pic:pic>
              </a:graphicData>
            </a:graphic>
          </wp:anchor>
        </w:drawing>
      </w:r>
      <w:r>
        <w:rPr/>
        <w:drawing>
          <wp:anchor distT="0" distB="0" distL="0" distR="0" allowOverlap="1" layoutInCell="1" locked="0" behindDoc="0" simplePos="0" relativeHeight="903">
            <wp:simplePos x="0" y="0"/>
            <wp:positionH relativeFrom="page">
              <wp:posOffset>1644395</wp:posOffset>
            </wp:positionH>
            <wp:positionV relativeFrom="paragraph">
              <wp:posOffset>237450</wp:posOffset>
            </wp:positionV>
            <wp:extent cx="5768568" cy="4572"/>
            <wp:effectExtent l="0" t="0" r="0" b="0"/>
            <wp:wrapTopAndBottom/>
            <wp:docPr id="217" name="image1566.png"/>
            <wp:cNvGraphicFramePr>
              <a:graphicFrameLocks noChangeAspect="1"/>
            </wp:cNvGraphicFramePr>
            <a:graphic>
              <a:graphicData uri="http://schemas.openxmlformats.org/drawingml/2006/picture">
                <pic:pic>
                  <pic:nvPicPr>
                    <pic:cNvPr id="218" name="image1566.png"/>
                    <pic:cNvPicPr/>
                  </pic:nvPicPr>
                  <pic:blipFill>
                    <a:blip r:embed="rId1668" cstate="print"/>
                    <a:stretch>
                      <a:fillRect/>
                    </a:stretch>
                  </pic:blipFill>
                  <pic:spPr>
                    <a:xfrm>
                      <a:off x="0" y="0"/>
                      <a:ext cx="5768568" cy="4572"/>
                    </a:xfrm>
                    <a:prstGeom prst="rect">
                      <a:avLst/>
                    </a:prstGeom>
                  </pic:spPr>
                </pic:pic>
              </a:graphicData>
            </a:graphic>
          </wp:anchor>
        </w:drawing>
      </w:r>
      <w:r>
        <w:rPr/>
        <w:drawing>
          <wp:anchor distT="0" distB="0" distL="0" distR="0" allowOverlap="1" layoutInCell="1" locked="0" behindDoc="0" simplePos="0" relativeHeight="904">
            <wp:simplePos x="0" y="0"/>
            <wp:positionH relativeFrom="page">
              <wp:posOffset>1644395</wp:posOffset>
            </wp:positionH>
            <wp:positionV relativeFrom="paragraph">
              <wp:posOffset>357846</wp:posOffset>
            </wp:positionV>
            <wp:extent cx="5768580" cy="4572"/>
            <wp:effectExtent l="0" t="0" r="0" b="0"/>
            <wp:wrapTopAndBottom/>
            <wp:docPr id="219" name="image1566.png"/>
            <wp:cNvGraphicFramePr>
              <a:graphicFrameLocks noChangeAspect="1"/>
            </wp:cNvGraphicFramePr>
            <a:graphic>
              <a:graphicData uri="http://schemas.openxmlformats.org/drawingml/2006/picture">
                <pic:pic>
                  <pic:nvPicPr>
                    <pic:cNvPr id="220" name="image1566.png"/>
                    <pic:cNvPicPr/>
                  </pic:nvPicPr>
                  <pic:blipFill>
                    <a:blip r:embed="rId1668" cstate="print"/>
                    <a:stretch>
                      <a:fillRect/>
                    </a:stretch>
                  </pic:blipFill>
                  <pic:spPr>
                    <a:xfrm>
                      <a:off x="0" y="0"/>
                      <a:ext cx="5768580" cy="4572"/>
                    </a:xfrm>
                    <a:prstGeom prst="rect">
                      <a:avLst/>
                    </a:prstGeom>
                  </pic:spPr>
                </pic:pic>
              </a:graphicData>
            </a:graphic>
          </wp:anchor>
        </w:drawing>
      </w:r>
      <w:r>
        <w:rPr/>
        <w:drawing>
          <wp:anchor distT="0" distB="0" distL="0" distR="0" allowOverlap="1" layoutInCell="1" locked="0" behindDoc="0" simplePos="0" relativeHeight="905">
            <wp:simplePos x="0" y="0"/>
            <wp:positionH relativeFrom="page">
              <wp:posOffset>1644395</wp:posOffset>
            </wp:positionH>
            <wp:positionV relativeFrom="paragraph">
              <wp:posOffset>478242</wp:posOffset>
            </wp:positionV>
            <wp:extent cx="5768580" cy="4572"/>
            <wp:effectExtent l="0" t="0" r="0" b="0"/>
            <wp:wrapTopAndBottom/>
            <wp:docPr id="221" name="image1566.png"/>
            <wp:cNvGraphicFramePr>
              <a:graphicFrameLocks noChangeAspect="1"/>
            </wp:cNvGraphicFramePr>
            <a:graphic>
              <a:graphicData uri="http://schemas.openxmlformats.org/drawingml/2006/picture">
                <pic:pic>
                  <pic:nvPicPr>
                    <pic:cNvPr id="222" name="image1566.png"/>
                    <pic:cNvPicPr/>
                  </pic:nvPicPr>
                  <pic:blipFill>
                    <a:blip r:embed="rId1668" cstate="print"/>
                    <a:stretch>
                      <a:fillRect/>
                    </a:stretch>
                  </pic:blipFill>
                  <pic:spPr>
                    <a:xfrm>
                      <a:off x="0" y="0"/>
                      <a:ext cx="5768580" cy="4572"/>
                    </a:xfrm>
                    <a:prstGeom prst="rect">
                      <a:avLst/>
                    </a:prstGeom>
                  </pic:spPr>
                </pic:pic>
              </a:graphicData>
            </a:graphic>
          </wp:anchor>
        </w:drawing>
      </w:r>
      <w:r>
        <w:rPr/>
        <w:drawing>
          <wp:anchor distT="0" distB="0" distL="0" distR="0" allowOverlap="1" layoutInCell="1" locked="0" behindDoc="0" simplePos="0" relativeHeight="906">
            <wp:simplePos x="0" y="0"/>
            <wp:positionH relativeFrom="page">
              <wp:posOffset>1644395</wp:posOffset>
            </wp:positionH>
            <wp:positionV relativeFrom="paragraph">
              <wp:posOffset>598638</wp:posOffset>
            </wp:positionV>
            <wp:extent cx="5768568" cy="4572"/>
            <wp:effectExtent l="0" t="0" r="0" b="0"/>
            <wp:wrapTopAndBottom/>
            <wp:docPr id="223" name="image1566.png"/>
            <wp:cNvGraphicFramePr>
              <a:graphicFrameLocks noChangeAspect="1"/>
            </wp:cNvGraphicFramePr>
            <a:graphic>
              <a:graphicData uri="http://schemas.openxmlformats.org/drawingml/2006/picture">
                <pic:pic>
                  <pic:nvPicPr>
                    <pic:cNvPr id="224" name="image1566.png"/>
                    <pic:cNvPicPr/>
                  </pic:nvPicPr>
                  <pic:blipFill>
                    <a:blip r:embed="rId1668" cstate="print"/>
                    <a:stretch>
                      <a:fillRect/>
                    </a:stretch>
                  </pic:blipFill>
                  <pic:spPr>
                    <a:xfrm>
                      <a:off x="0" y="0"/>
                      <a:ext cx="5768568" cy="4572"/>
                    </a:xfrm>
                    <a:prstGeom prst="rect">
                      <a:avLst/>
                    </a:prstGeom>
                  </pic:spPr>
                </pic:pic>
              </a:graphicData>
            </a:graphic>
          </wp:anchor>
        </w:drawing>
      </w:r>
      <w:r>
        <w:rPr/>
        <w:drawing>
          <wp:anchor distT="0" distB="0" distL="0" distR="0" allowOverlap="1" layoutInCell="1" locked="0" behindDoc="0" simplePos="0" relativeHeight="907">
            <wp:simplePos x="0" y="0"/>
            <wp:positionH relativeFrom="page">
              <wp:posOffset>1644395</wp:posOffset>
            </wp:positionH>
            <wp:positionV relativeFrom="paragraph">
              <wp:posOffset>719034</wp:posOffset>
            </wp:positionV>
            <wp:extent cx="5768580" cy="4572"/>
            <wp:effectExtent l="0" t="0" r="0" b="0"/>
            <wp:wrapTopAndBottom/>
            <wp:docPr id="225" name="image1566.png"/>
            <wp:cNvGraphicFramePr>
              <a:graphicFrameLocks noChangeAspect="1"/>
            </wp:cNvGraphicFramePr>
            <a:graphic>
              <a:graphicData uri="http://schemas.openxmlformats.org/drawingml/2006/picture">
                <pic:pic>
                  <pic:nvPicPr>
                    <pic:cNvPr id="226" name="image1566.png"/>
                    <pic:cNvPicPr/>
                  </pic:nvPicPr>
                  <pic:blipFill>
                    <a:blip r:embed="rId1668" cstate="print"/>
                    <a:stretch>
                      <a:fillRect/>
                    </a:stretch>
                  </pic:blipFill>
                  <pic:spPr>
                    <a:xfrm>
                      <a:off x="0" y="0"/>
                      <a:ext cx="5768580" cy="4572"/>
                    </a:xfrm>
                    <a:prstGeom prst="rect">
                      <a:avLst/>
                    </a:prstGeom>
                  </pic:spPr>
                </pic:pic>
              </a:graphicData>
            </a:graphic>
          </wp:anchor>
        </w:drawing>
      </w:r>
      <w:r>
        <w:rPr/>
        <w:drawing>
          <wp:anchor distT="0" distB="0" distL="0" distR="0" allowOverlap="1" layoutInCell="1" locked="0" behindDoc="0" simplePos="0" relativeHeight="908">
            <wp:simplePos x="0" y="0"/>
            <wp:positionH relativeFrom="page">
              <wp:posOffset>1644395</wp:posOffset>
            </wp:positionH>
            <wp:positionV relativeFrom="paragraph">
              <wp:posOffset>839430</wp:posOffset>
            </wp:positionV>
            <wp:extent cx="5768580" cy="4572"/>
            <wp:effectExtent l="0" t="0" r="0" b="0"/>
            <wp:wrapTopAndBottom/>
            <wp:docPr id="227" name="image1566.png"/>
            <wp:cNvGraphicFramePr>
              <a:graphicFrameLocks noChangeAspect="1"/>
            </wp:cNvGraphicFramePr>
            <a:graphic>
              <a:graphicData uri="http://schemas.openxmlformats.org/drawingml/2006/picture">
                <pic:pic>
                  <pic:nvPicPr>
                    <pic:cNvPr id="228" name="image1566.png"/>
                    <pic:cNvPicPr/>
                  </pic:nvPicPr>
                  <pic:blipFill>
                    <a:blip r:embed="rId1668" cstate="print"/>
                    <a:stretch>
                      <a:fillRect/>
                    </a:stretch>
                  </pic:blipFill>
                  <pic:spPr>
                    <a:xfrm>
                      <a:off x="0" y="0"/>
                      <a:ext cx="5768580" cy="4572"/>
                    </a:xfrm>
                    <a:prstGeom prst="rect">
                      <a:avLst/>
                    </a:prstGeom>
                  </pic:spPr>
                </pic:pic>
              </a:graphicData>
            </a:graphic>
          </wp:anchor>
        </w:drawing>
      </w:r>
      <w:r>
        <w:rPr/>
        <w:drawing>
          <wp:anchor distT="0" distB="0" distL="0" distR="0" allowOverlap="1" layoutInCell="1" locked="0" behindDoc="0" simplePos="0" relativeHeight="909">
            <wp:simplePos x="0" y="0"/>
            <wp:positionH relativeFrom="page">
              <wp:posOffset>1644395</wp:posOffset>
            </wp:positionH>
            <wp:positionV relativeFrom="paragraph">
              <wp:posOffset>959826</wp:posOffset>
            </wp:positionV>
            <wp:extent cx="5408032" cy="4286"/>
            <wp:effectExtent l="0" t="0" r="0" b="0"/>
            <wp:wrapTopAndBottom/>
            <wp:docPr id="229" name="image1566.png"/>
            <wp:cNvGraphicFramePr>
              <a:graphicFrameLocks noChangeAspect="1"/>
            </wp:cNvGraphicFramePr>
            <a:graphic>
              <a:graphicData uri="http://schemas.openxmlformats.org/drawingml/2006/picture">
                <pic:pic>
                  <pic:nvPicPr>
                    <pic:cNvPr id="230" name="image1566.png"/>
                    <pic:cNvPicPr/>
                  </pic:nvPicPr>
                  <pic:blipFill>
                    <a:blip r:embed="rId1668" cstate="print"/>
                    <a:stretch>
                      <a:fillRect/>
                    </a:stretch>
                  </pic:blipFill>
                  <pic:spPr>
                    <a:xfrm>
                      <a:off x="0" y="0"/>
                      <a:ext cx="5408032" cy="4286"/>
                    </a:xfrm>
                    <a:prstGeom prst="rect">
                      <a:avLst/>
                    </a:prstGeom>
                  </pic:spPr>
                </pic:pic>
              </a:graphicData>
            </a:graphic>
          </wp:anchor>
        </w:drawing>
      </w:r>
      <w:r>
        <w:rPr/>
        <w:t>The district had a retirement in 20-21 of 1 certificated FTE, but is adding 2 certificated FTE positions in 21-22 for a net gain of 1 certificated FTE.</w:t>
      </w:r>
    </w:p>
    <w:p>
      <w:pPr>
        <w:pStyle w:val="BodyText"/>
        <w:spacing w:before="10"/>
        <w:rPr>
          <w:sz w:val="9"/>
        </w:rPr>
      </w:pPr>
    </w:p>
    <w:p>
      <w:pPr>
        <w:pStyle w:val="BodyText"/>
        <w:spacing w:before="10"/>
        <w:rPr>
          <w:sz w:val="9"/>
        </w:rPr>
      </w:pPr>
    </w:p>
    <w:p>
      <w:pPr>
        <w:pStyle w:val="BodyText"/>
        <w:spacing w:before="10"/>
        <w:rPr>
          <w:sz w:val="9"/>
        </w:rPr>
      </w:pPr>
    </w:p>
    <w:p>
      <w:pPr>
        <w:pStyle w:val="BodyText"/>
        <w:spacing w:before="10"/>
        <w:rPr>
          <w:sz w:val="9"/>
        </w:rPr>
      </w:pPr>
    </w:p>
    <w:p>
      <w:pPr>
        <w:pStyle w:val="BodyText"/>
        <w:spacing w:before="10"/>
        <w:rPr>
          <w:sz w:val="9"/>
        </w:rPr>
      </w:pPr>
    </w:p>
    <w:p>
      <w:pPr>
        <w:pStyle w:val="BodyText"/>
        <w:spacing w:before="10"/>
        <w:rPr>
          <w:sz w:val="9"/>
        </w:rPr>
      </w:pPr>
    </w:p>
    <w:p>
      <w:pPr>
        <w:pStyle w:val="BodyText"/>
        <w:spacing w:before="10"/>
        <w:rPr>
          <w:sz w:val="9"/>
        </w:rPr>
      </w:pPr>
    </w:p>
    <w:p>
      <w:pPr>
        <w:spacing w:after="0"/>
        <w:rPr>
          <w:sz w:val="9"/>
        </w:rPr>
        <w:sectPr>
          <w:pgSz w:w="12240" w:h="15840"/>
          <w:pgMar w:header="402" w:footer="584" w:top="840" w:bottom="780" w:left="40" w:right="40"/>
        </w:sectPr>
      </w:pPr>
    </w:p>
    <w:p>
      <w:pPr>
        <w:pStyle w:val="BodyText"/>
        <w:rPr>
          <w:sz w:val="20"/>
        </w:rPr>
      </w:pPr>
    </w:p>
    <w:p>
      <w:pPr>
        <w:pStyle w:val="BodyText"/>
        <w:spacing w:before="6"/>
        <w:rPr>
          <w:sz w:val="20"/>
        </w:rPr>
      </w:pPr>
    </w:p>
    <w:p>
      <w:pPr>
        <w:pStyle w:val="BodyText"/>
        <w:spacing w:line="21" w:lineRule="exact"/>
        <w:ind w:left="288"/>
        <w:rPr>
          <w:sz w:val="2"/>
        </w:rPr>
      </w:pPr>
      <w:r>
        <w:rPr>
          <w:sz w:val="2"/>
        </w:rPr>
        <w:drawing>
          <wp:inline distT="0" distB="0" distL="0" distR="0">
            <wp:extent cx="7203952" cy="13716"/>
            <wp:effectExtent l="0" t="0" r="0" b="0"/>
            <wp:docPr id="231" name="image1401.png"/>
            <wp:cNvGraphicFramePr>
              <a:graphicFrameLocks noChangeAspect="1"/>
            </wp:cNvGraphicFramePr>
            <a:graphic>
              <a:graphicData uri="http://schemas.openxmlformats.org/drawingml/2006/picture">
                <pic:pic>
                  <pic:nvPicPr>
                    <pic:cNvPr id="232" name="image1401.png"/>
                    <pic:cNvPicPr/>
                  </pic:nvPicPr>
                  <pic:blipFill>
                    <a:blip r:embed="rId1503" cstate="print"/>
                    <a:stretch>
                      <a:fillRect/>
                    </a:stretch>
                  </pic:blipFill>
                  <pic:spPr>
                    <a:xfrm>
                      <a:off x="0" y="0"/>
                      <a:ext cx="7203952" cy="13716"/>
                    </a:xfrm>
                    <a:prstGeom prst="rect">
                      <a:avLst/>
                    </a:prstGeom>
                  </pic:spPr>
                </pic:pic>
              </a:graphicData>
            </a:graphic>
          </wp:inline>
        </w:drawing>
      </w:r>
      <w:r>
        <w:rPr>
          <w:sz w:val="2"/>
        </w:rPr>
      </w:r>
    </w:p>
    <w:p>
      <w:pPr>
        <w:pStyle w:val="Heading8"/>
        <w:spacing w:before="42"/>
        <w:ind w:left="322"/>
      </w:pPr>
      <w:r>
        <w:rPr>
          <w:w w:val="105"/>
        </w:rPr>
        <w:t>S8B. Cost Analysis of District's Labor Agreements - Classified (Non-management) Employees</w:t>
      </w:r>
    </w:p>
    <w:p>
      <w:pPr>
        <w:pStyle w:val="BodyText"/>
        <w:spacing w:line="21" w:lineRule="exact"/>
        <w:ind w:left="288"/>
        <w:rPr>
          <w:sz w:val="2"/>
        </w:rPr>
      </w:pPr>
      <w:r>
        <w:rPr>
          <w:sz w:val="2"/>
        </w:rPr>
        <w:pict>
          <v:group style="width:567.25pt;height:1.1pt;mso-position-horizontal-relative:char;mso-position-vertical-relative:line" coordorigin="0,0" coordsize="11345,22">
            <v:shape style="position:absolute;left:0;top:0;width:7001;height:22" type="#_x0000_t75" stroked="false">
              <v:imagedata r:id="rId1629" o:title=""/>
            </v:shape>
            <v:shape style="position:absolute;left:6993;top:0;width:4352;height:22" type="#_x0000_t75" stroked="false">
              <v:imagedata r:id="rId1611" o:title=""/>
            </v:shape>
          </v:group>
        </w:pict>
      </w:r>
      <w:r>
        <w:rPr>
          <w:sz w:val="2"/>
        </w:rPr>
      </w:r>
    </w:p>
    <w:p>
      <w:pPr>
        <w:pStyle w:val="BodyText"/>
        <w:spacing w:before="1"/>
        <w:rPr>
          <w:b/>
          <w:sz w:val="16"/>
        </w:rPr>
      </w:pPr>
    </w:p>
    <w:p>
      <w:pPr>
        <w:pStyle w:val="BodyText"/>
        <w:ind w:left="322"/>
      </w:pPr>
      <w:r>
        <w:rPr/>
        <w:t>DATA ENTRY: Enter all applicable data items; there are no extractions in this section.</w:t>
      </w:r>
    </w:p>
    <w:p>
      <w:pPr>
        <w:pStyle w:val="BodyText"/>
        <w:spacing w:before="7"/>
        <w:rPr>
          <w:sz w:val="10"/>
        </w:rPr>
      </w:pPr>
    </w:p>
    <w:p>
      <w:pPr>
        <w:spacing w:after="0"/>
        <w:rPr>
          <w:sz w:val="10"/>
        </w:rPr>
        <w:sectPr>
          <w:pgSz w:w="12240" w:h="15840"/>
          <w:pgMar w:header="402" w:footer="584" w:top="840" w:bottom="780" w:left="40" w:right="40"/>
        </w:sectPr>
      </w:pPr>
    </w:p>
    <w:p>
      <w:pPr>
        <w:pStyle w:val="BodyText"/>
        <w:rPr>
          <w:sz w:val="14"/>
        </w:rPr>
      </w:pPr>
    </w:p>
    <w:p>
      <w:pPr>
        <w:pStyle w:val="BodyText"/>
        <w:rPr>
          <w:sz w:val="14"/>
        </w:rPr>
      </w:pPr>
    </w:p>
    <w:p>
      <w:pPr>
        <w:pStyle w:val="BodyText"/>
        <w:spacing w:before="1"/>
        <w:rPr>
          <w:sz w:val="14"/>
        </w:rPr>
      </w:pPr>
    </w:p>
    <w:p>
      <w:pPr>
        <w:pStyle w:val="BodyText"/>
        <w:ind w:left="322"/>
      </w:pPr>
      <w:r>
        <w:rPr/>
        <w:t>Number of classified (non-management) FTE positions</w:t>
      </w:r>
    </w:p>
    <w:p>
      <w:pPr>
        <w:pStyle w:val="BodyText"/>
        <w:tabs>
          <w:tab w:pos="2623" w:val="left" w:leader="none"/>
          <w:tab w:pos="2719" w:val="left" w:leader="none"/>
          <w:tab w:pos="4582" w:val="left" w:leader="none"/>
          <w:tab w:pos="4913" w:val="left" w:leader="none"/>
          <w:tab w:pos="6732" w:val="left" w:leader="none"/>
          <w:tab w:pos="7085" w:val="left" w:leader="none"/>
        </w:tabs>
        <w:spacing w:line="297" w:lineRule="auto" w:before="98"/>
        <w:ind w:left="720" w:right="842" w:hanging="399"/>
      </w:pPr>
      <w:r>
        <w:rPr/>
        <w:br w:type="column"/>
      </w:r>
      <w:r>
        <w:rPr/>
        <w:t>Prior Year (2nd</w:t>
      </w:r>
      <w:r>
        <w:rPr>
          <w:spacing w:val="3"/>
        </w:rPr>
        <w:t> </w:t>
      </w:r>
      <w:r>
        <w:rPr/>
        <w:t>Interim)</w:t>
        <w:tab/>
        <w:t>Budget</w:t>
      </w:r>
      <w:r>
        <w:rPr>
          <w:spacing w:val="5"/>
        </w:rPr>
        <w:t> </w:t>
      </w:r>
      <w:r>
        <w:rPr/>
        <w:t>Year</w:t>
        <w:tab/>
        <w:t>1st</w:t>
      </w:r>
      <w:r>
        <w:rPr>
          <w:spacing w:val="6"/>
        </w:rPr>
        <w:t> </w:t>
      </w:r>
      <w:r>
        <w:rPr/>
        <w:t>Subsequent</w:t>
      </w:r>
      <w:r>
        <w:rPr>
          <w:spacing w:val="6"/>
        </w:rPr>
        <w:t> </w:t>
      </w:r>
      <w:r>
        <w:rPr/>
        <w:t>Year</w:t>
        <w:tab/>
        <w:t>2nd Subsequent </w:t>
      </w:r>
      <w:r>
        <w:rPr>
          <w:spacing w:val="-4"/>
        </w:rPr>
        <w:t>Year </w:t>
      </w:r>
      <w:r>
        <w:rPr/>
        <w:t>(2020-21)</w:t>
        <w:tab/>
        <w:tab/>
        <w:t>(2021-22)</w:t>
        <w:tab/>
        <w:tab/>
        <w:t>(2022-23)</w:t>
        <w:tab/>
        <w:tab/>
        <w:t>(2023-24)</w:t>
      </w:r>
    </w:p>
    <w:p>
      <w:pPr>
        <w:spacing w:after="0" w:line="297" w:lineRule="auto"/>
        <w:sectPr>
          <w:type w:val="continuous"/>
          <w:pgSz w:w="12240" w:h="15840"/>
          <w:pgMar w:top="1500" w:bottom="840" w:left="40" w:right="40"/>
          <w:cols w:num="2" w:equalWidth="0">
            <w:col w:w="2730" w:space="570"/>
            <w:col w:w="8860"/>
          </w:cols>
        </w:sectPr>
      </w:pPr>
    </w:p>
    <w:p>
      <w:pPr>
        <w:pStyle w:val="BodyText"/>
        <w:spacing w:before="7"/>
        <w:rPr>
          <w:sz w:val="10"/>
        </w:rPr>
      </w:pPr>
    </w:p>
    <w:p>
      <w:pPr>
        <w:spacing w:before="98"/>
        <w:ind w:left="322" w:right="0" w:firstLine="0"/>
        <w:jc w:val="left"/>
        <w:rPr>
          <w:b/>
          <w:sz w:val="13"/>
        </w:rPr>
      </w:pPr>
      <w:r>
        <w:rPr/>
        <w:pict>
          <v:group style="position:absolute;margin-left:166.199997pt;margin-top:-23.683088pt;width:417.5pt;height:18pt;mso-position-horizontal-relative:page;mso-position-vertical-relative:paragraph;z-index:-313755648" coordorigin="3324,-474" coordsize="8350,360">
            <v:shape style="position:absolute;left:3324;top:-474;width:8350;height:360" type="#_x0000_t75" stroked="false">
              <v:imagedata r:id="rId1788" o:title=""/>
            </v:shape>
            <v:shape style="position:absolute;left:5037;top:-267;width:279;height:148" type="#_x0000_t202" filled="false" stroked="false">
              <v:textbox inset="0,0,0,0">
                <w:txbxContent>
                  <w:p>
                    <w:pPr>
                      <w:spacing w:line="147" w:lineRule="exact" w:before="0"/>
                      <w:ind w:left="0" w:right="0" w:firstLine="0"/>
                      <w:jc w:val="left"/>
                      <w:rPr>
                        <w:sz w:val="13"/>
                      </w:rPr>
                    </w:pPr>
                    <w:r>
                      <w:rPr>
                        <w:sz w:val="13"/>
                      </w:rPr>
                      <w:t>11.5</w:t>
                    </w:r>
                  </w:p>
                </w:txbxContent>
              </v:textbox>
              <w10:wrap type="none"/>
            </v:shape>
            <v:shape style="position:absolute;left:6993;top:-267;width:279;height:148" type="#_x0000_t202" filled="false" stroked="false">
              <v:textbox inset="0,0,0,0">
                <w:txbxContent>
                  <w:p>
                    <w:pPr>
                      <w:spacing w:line="147" w:lineRule="exact" w:before="0"/>
                      <w:ind w:left="0" w:right="0" w:firstLine="0"/>
                      <w:jc w:val="left"/>
                      <w:rPr>
                        <w:sz w:val="13"/>
                      </w:rPr>
                    </w:pPr>
                    <w:r>
                      <w:rPr>
                        <w:sz w:val="13"/>
                      </w:rPr>
                      <w:t>12.4</w:t>
                    </w:r>
                  </w:p>
                </w:txbxContent>
              </v:textbox>
              <w10:wrap type="none"/>
            </v:shape>
            <v:shape style="position:absolute;left:9424;top:-267;width:279;height:148" type="#_x0000_t202" filled="false" stroked="false">
              <v:textbox inset="0,0,0,0">
                <w:txbxContent>
                  <w:p>
                    <w:pPr>
                      <w:spacing w:line="147" w:lineRule="exact" w:before="0"/>
                      <w:ind w:left="0" w:right="0" w:firstLine="0"/>
                      <w:jc w:val="left"/>
                      <w:rPr>
                        <w:sz w:val="13"/>
                      </w:rPr>
                    </w:pPr>
                    <w:r>
                      <w:rPr>
                        <w:sz w:val="13"/>
                      </w:rPr>
                      <w:t>12.4</w:t>
                    </w:r>
                  </w:p>
                </w:txbxContent>
              </v:textbox>
              <w10:wrap type="none"/>
            </v:shape>
            <v:shape style="position:absolute;left:11337;top:-267;width:279;height:148" type="#_x0000_t202" filled="false" stroked="false">
              <v:textbox inset="0,0,0,0">
                <w:txbxContent>
                  <w:p>
                    <w:pPr>
                      <w:spacing w:line="147" w:lineRule="exact" w:before="0"/>
                      <w:ind w:left="0" w:right="0" w:firstLine="0"/>
                      <w:jc w:val="left"/>
                      <w:rPr>
                        <w:sz w:val="13"/>
                      </w:rPr>
                    </w:pPr>
                    <w:r>
                      <w:rPr>
                        <w:sz w:val="13"/>
                      </w:rPr>
                      <w:t>12.4</w:t>
                    </w:r>
                  </w:p>
                </w:txbxContent>
              </v:textbox>
              <w10:wrap type="none"/>
            </v:shape>
            <w10:wrap type="none"/>
          </v:group>
        </w:pict>
      </w:r>
      <w:r>
        <w:rPr/>
        <w:pict>
          <v:group style="position:absolute;margin-left:316.679993pt;margin-top:3.196909pt;width:80.2pt;height:18.850pt;mso-position-horizontal-relative:page;mso-position-vertical-relative:paragraph;z-index:252613632" coordorigin="6334,64" coordsize="1604,377">
            <v:shape style="position:absolute;left:6333;top:63;width:1604;height:377" type="#_x0000_t75" stroked="false">
              <v:imagedata r:id="rId1765" o:title=""/>
            </v:shape>
            <v:shape style="position:absolute;left:7051;top:287;width:190;height:148" type="#_x0000_t202" filled="false" stroked="false">
              <v:textbox inset="0,0,0,0">
                <w:txbxContent>
                  <w:p>
                    <w:pPr>
                      <w:spacing w:line="147" w:lineRule="exact" w:before="0"/>
                      <w:ind w:left="0" w:right="0" w:firstLine="0"/>
                      <w:jc w:val="left"/>
                      <w:rPr>
                        <w:sz w:val="13"/>
                      </w:rPr>
                    </w:pPr>
                    <w:r>
                      <w:rPr>
                        <w:sz w:val="13"/>
                      </w:rPr>
                      <w:t>No</w:t>
                    </w:r>
                  </w:p>
                </w:txbxContent>
              </v:textbox>
              <w10:wrap type="none"/>
            </v:shape>
            <w10:wrap type="none"/>
          </v:group>
        </w:pict>
      </w:r>
      <w:r>
        <w:rPr>
          <w:b/>
          <w:sz w:val="13"/>
        </w:rPr>
        <w:t>Classified (Non-management) Salary and Benefit Negotiations</w:t>
      </w:r>
    </w:p>
    <w:p>
      <w:pPr>
        <w:pStyle w:val="BodyText"/>
        <w:tabs>
          <w:tab w:pos="821" w:val="left" w:leader="none"/>
        </w:tabs>
        <w:spacing w:before="38"/>
        <w:ind w:left="488"/>
      </w:pPr>
      <w:r>
        <w:rPr/>
        <w:t>1.</w:t>
        <w:tab/>
        <w:t>Are salary and benefit negotiations settled for the budget</w:t>
      </w:r>
      <w:r>
        <w:rPr>
          <w:spacing w:val="-1"/>
        </w:rPr>
        <w:t> </w:t>
      </w:r>
      <w:r>
        <w:rPr/>
        <w:t>year?</w:t>
      </w:r>
    </w:p>
    <w:p>
      <w:pPr>
        <w:pStyle w:val="BodyText"/>
        <w:spacing w:before="4"/>
        <w:ind w:left="2583" w:right="5979"/>
      </w:pPr>
      <w:r>
        <w:rPr/>
        <w:t>If Yes, and the corresponding public disclosure documents have been filed with the COE, complete questions 2 and </w:t>
      </w:r>
      <w:r>
        <w:rPr>
          <w:spacing w:val="1"/>
        </w:rPr>
        <w:t> </w:t>
      </w:r>
      <w:r>
        <w:rPr/>
        <w:t>3.</w:t>
      </w:r>
    </w:p>
    <w:p>
      <w:pPr>
        <w:pStyle w:val="BodyText"/>
        <w:rPr>
          <w:sz w:val="14"/>
        </w:rPr>
      </w:pPr>
    </w:p>
    <w:p>
      <w:pPr>
        <w:pStyle w:val="BodyText"/>
        <w:rPr>
          <w:sz w:val="14"/>
        </w:rPr>
      </w:pPr>
    </w:p>
    <w:p>
      <w:pPr>
        <w:pStyle w:val="BodyText"/>
        <w:spacing w:before="6"/>
        <w:rPr>
          <w:sz w:val="11"/>
        </w:rPr>
      </w:pPr>
    </w:p>
    <w:p>
      <w:pPr>
        <w:pStyle w:val="BodyText"/>
        <w:ind w:left="2583" w:right="5979"/>
      </w:pPr>
      <w:r>
        <w:rPr/>
        <w:t>If Yes, and the corresponding public disclosure documents have not been filed with the COE, complete questions</w:t>
      </w:r>
      <w:r>
        <w:rPr>
          <w:spacing w:val="35"/>
        </w:rPr>
        <w:t> </w:t>
      </w:r>
      <w:r>
        <w:rPr/>
        <w:t>2-5.</w:t>
      </w:r>
    </w:p>
    <w:p>
      <w:pPr>
        <w:pStyle w:val="BodyText"/>
        <w:rPr>
          <w:sz w:val="14"/>
        </w:rPr>
      </w:pPr>
    </w:p>
    <w:p>
      <w:pPr>
        <w:pStyle w:val="BodyText"/>
        <w:rPr>
          <w:sz w:val="14"/>
        </w:rPr>
      </w:pPr>
    </w:p>
    <w:p>
      <w:pPr>
        <w:pStyle w:val="BodyText"/>
        <w:spacing w:before="3"/>
        <w:rPr>
          <w:sz w:val="15"/>
        </w:rPr>
      </w:pPr>
    </w:p>
    <w:p>
      <w:pPr>
        <w:pStyle w:val="BodyText"/>
        <w:ind w:left="2583"/>
      </w:pPr>
      <w:r>
        <w:rPr/>
        <w:t>If No, identify the unsettled negotiations including any prior year unsettled negotiations and then complete questions 6 and 7.</w:t>
      </w:r>
    </w:p>
    <w:p>
      <w:pPr>
        <w:pStyle w:val="BodyText"/>
        <w:spacing w:before="1"/>
        <w:rPr>
          <w:sz w:val="11"/>
        </w:rPr>
      </w:pPr>
      <w:r>
        <w:rPr/>
        <w:pict>
          <v:group style="position:absolute;margin-left:129.479996pt;margin-top:8.364863pt;width:454.2pt;height:34pt;mso-position-horizontal-relative:page;mso-position-vertical-relative:paragraph;z-index:-250711040;mso-wrap-distance-left:0;mso-wrap-distance-right:0" coordorigin="2590,167" coordsize="9084,680">
            <v:shape style="position:absolute;left:2589;top:167;width:9084;height:680" type="#_x0000_t75" stroked="false">
              <v:imagedata r:id="rId1647" o:title=""/>
            </v:shape>
            <v:shape style="position:absolute;left:2589;top:167;width:9084;height:680" type="#_x0000_t202" filled="false" stroked="false">
              <v:textbox inset="0,0,0,0">
                <w:txbxContent>
                  <w:p>
                    <w:pPr>
                      <w:spacing w:before="5"/>
                      <w:ind w:left="33" w:right="139" w:firstLine="0"/>
                      <w:jc w:val="left"/>
                      <w:rPr>
                        <w:sz w:val="13"/>
                      </w:rPr>
                    </w:pPr>
                    <w:r>
                      <w:rPr>
                        <w:sz w:val="13"/>
                      </w:rPr>
                      <w:t>The district does not have an organized labor union association. The increase in salary and benefits for all classified staff are approved by the district's board.</w:t>
                    </w:r>
                  </w:p>
                </w:txbxContent>
              </v:textbox>
              <w10:wrap type="none"/>
            </v:shape>
            <w10:wrap type="topAndBottom"/>
          </v:group>
        </w:pict>
      </w:r>
    </w:p>
    <w:p>
      <w:pPr>
        <w:pStyle w:val="BodyText"/>
        <w:spacing w:before="7"/>
        <w:rPr>
          <w:sz w:val="7"/>
        </w:rPr>
      </w:pPr>
    </w:p>
    <w:p>
      <w:pPr>
        <w:pStyle w:val="BodyText"/>
        <w:spacing w:before="97"/>
        <w:ind w:left="322"/>
      </w:pPr>
      <w:r>
        <w:rPr/>
        <w:drawing>
          <wp:anchor distT="0" distB="0" distL="0" distR="0" allowOverlap="1" layoutInCell="1" locked="0" behindDoc="0" simplePos="0" relativeHeight="252614656">
            <wp:simplePos x="0" y="0"/>
            <wp:positionH relativeFrom="page">
              <wp:posOffset>4021835</wp:posOffset>
            </wp:positionH>
            <wp:positionV relativeFrom="paragraph">
              <wp:posOffset>155789</wp:posOffset>
            </wp:positionV>
            <wp:extent cx="1018032" cy="217932"/>
            <wp:effectExtent l="0" t="0" r="0" b="0"/>
            <wp:wrapNone/>
            <wp:docPr id="233" name="image1679.png"/>
            <wp:cNvGraphicFramePr>
              <a:graphicFrameLocks noChangeAspect="1"/>
            </wp:cNvGraphicFramePr>
            <a:graphic>
              <a:graphicData uri="http://schemas.openxmlformats.org/drawingml/2006/picture">
                <pic:pic>
                  <pic:nvPicPr>
                    <pic:cNvPr id="234" name="image1679.png"/>
                    <pic:cNvPicPr/>
                  </pic:nvPicPr>
                  <pic:blipFill>
                    <a:blip r:embed="rId1789" cstate="print"/>
                    <a:stretch>
                      <a:fillRect/>
                    </a:stretch>
                  </pic:blipFill>
                  <pic:spPr>
                    <a:xfrm>
                      <a:off x="0" y="0"/>
                      <a:ext cx="1018032" cy="217932"/>
                    </a:xfrm>
                    <a:prstGeom prst="rect">
                      <a:avLst/>
                    </a:prstGeom>
                  </pic:spPr>
                </pic:pic>
              </a:graphicData>
            </a:graphic>
          </wp:anchor>
        </w:drawing>
      </w:r>
      <w:r>
        <w:rPr>
          <w:spacing w:val="-96"/>
          <w:u w:val="single"/>
        </w:rPr>
        <w:t>N</w:t>
      </w:r>
      <w:r>
        <w:rPr>
          <w:spacing w:val="62"/>
        </w:rPr>
        <w:t> </w:t>
      </w:r>
      <w:r>
        <w:rPr>
          <w:u w:val="single"/>
        </w:rPr>
        <w:t>egotiations Settled</w:t>
      </w:r>
    </w:p>
    <w:p>
      <w:pPr>
        <w:pStyle w:val="BodyText"/>
        <w:spacing w:line="268" w:lineRule="auto" w:before="19"/>
        <w:ind w:left="821" w:right="7466" w:hanging="370"/>
      </w:pPr>
      <w:r>
        <w:rPr/>
        <w:t>2a. Per Government Code Section 3547.5(a), date of public disclosure board meeting:</w:t>
      </w:r>
    </w:p>
    <w:p>
      <w:pPr>
        <w:pStyle w:val="BodyText"/>
        <w:spacing w:before="2"/>
        <w:rPr>
          <w:sz w:val="16"/>
        </w:rPr>
      </w:pPr>
    </w:p>
    <w:p>
      <w:pPr>
        <w:pStyle w:val="BodyText"/>
        <w:spacing w:line="297" w:lineRule="auto"/>
        <w:ind w:left="821" w:right="7250" w:hanging="370"/>
      </w:pPr>
      <w:r>
        <w:rPr/>
        <w:drawing>
          <wp:anchor distT="0" distB="0" distL="0" distR="0" allowOverlap="1" layoutInCell="1" locked="0" behindDoc="0" simplePos="0" relativeHeight="252615680">
            <wp:simplePos x="0" y="0"/>
            <wp:positionH relativeFrom="page">
              <wp:posOffset>4021835</wp:posOffset>
            </wp:positionH>
            <wp:positionV relativeFrom="paragraph">
              <wp:posOffset>-23152</wp:posOffset>
            </wp:positionV>
            <wp:extent cx="1018032" cy="356615"/>
            <wp:effectExtent l="0" t="0" r="0" b="0"/>
            <wp:wrapNone/>
            <wp:docPr id="235" name="image1657.png"/>
            <wp:cNvGraphicFramePr>
              <a:graphicFrameLocks noChangeAspect="1"/>
            </wp:cNvGraphicFramePr>
            <a:graphic>
              <a:graphicData uri="http://schemas.openxmlformats.org/drawingml/2006/picture">
                <pic:pic>
                  <pic:nvPicPr>
                    <pic:cNvPr id="236" name="image1657.png"/>
                    <pic:cNvPicPr/>
                  </pic:nvPicPr>
                  <pic:blipFill>
                    <a:blip r:embed="rId1767" cstate="print"/>
                    <a:stretch>
                      <a:fillRect/>
                    </a:stretch>
                  </pic:blipFill>
                  <pic:spPr>
                    <a:xfrm>
                      <a:off x="0" y="0"/>
                      <a:ext cx="1018032" cy="356615"/>
                    </a:xfrm>
                    <a:prstGeom prst="rect">
                      <a:avLst/>
                    </a:prstGeom>
                  </pic:spPr>
                </pic:pic>
              </a:graphicData>
            </a:graphic>
          </wp:anchor>
        </w:drawing>
      </w:r>
      <w:r>
        <w:rPr/>
        <w:t>2b.   Per Government Code Section 3547.5(b), was the agreement certified by the district superintendent and chief business</w:t>
      </w:r>
      <w:r>
        <w:rPr>
          <w:spacing w:val="2"/>
        </w:rPr>
        <w:t> </w:t>
      </w:r>
      <w:r>
        <w:rPr/>
        <w:t>official?</w:t>
      </w:r>
    </w:p>
    <w:p>
      <w:pPr>
        <w:pStyle w:val="BodyText"/>
        <w:spacing w:line="148" w:lineRule="exact"/>
        <w:ind w:left="2583"/>
      </w:pPr>
      <w:r>
        <w:rPr/>
        <w:t>If Yes, date of Superintendent and CBO certification:</w:t>
      </w:r>
    </w:p>
    <w:p>
      <w:pPr>
        <w:pStyle w:val="BodyText"/>
        <w:rPr>
          <w:sz w:val="14"/>
        </w:rPr>
      </w:pPr>
    </w:p>
    <w:p>
      <w:pPr>
        <w:pStyle w:val="BodyText"/>
        <w:spacing w:before="8"/>
        <w:rPr>
          <w:sz w:val="19"/>
        </w:rPr>
      </w:pPr>
    </w:p>
    <w:p>
      <w:pPr>
        <w:pStyle w:val="ListParagraph"/>
        <w:numPr>
          <w:ilvl w:val="0"/>
          <w:numId w:val="81"/>
        </w:numPr>
        <w:tabs>
          <w:tab w:pos="821" w:val="left" w:leader="none"/>
          <w:tab w:pos="822" w:val="left" w:leader="none"/>
        </w:tabs>
        <w:spacing w:line="297" w:lineRule="auto" w:before="0" w:after="0"/>
        <w:ind w:left="821" w:right="7059" w:hanging="334"/>
        <w:jc w:val="left"/>
        <w:rPr>
          <w:sz w:val="13"/>
        </w:rPr>
      </w:pPr>
      <w:r>
        <w:rPr/>
        <w:drawing>
          <wp:anchor distT="0" distB="0" distL="0" distR="0" allowOverlap="1" layoutInCell="1" locked="0" behindDoc="0" simplePos="0" relativeHeight="252616704">
            <wp:simplePos x="0" y="0"/>
            <wp:positionH relativeFrom="page">
              <wp:posOffset>4021835</wp:posOffset>
            </wp:positionH>
            <wp:positionV relativeFrom="paragraph">
              <wp:posOffset>-23153</wp:posOffset>
            </wp:positionV>
            <wp:extent cx="1018032" cy="356616"/>
            <wp:effectExtent l="0" t="0" r="0" b="0"/>
            <wp:wrapNone/>
            <wp:docPr id="237" name="image1657.png"/>
            <wp:cNvGraphicFramePr>
              <a:graphicFrameLocks noChangeAspect="1"/>
            </wp:cNvGraphicFramePr>
            <a:graphic>
              <a:graphicData uri="http://schemas.openxmlformats.org/drawingml/2006/picture">
                <pic:pic>
                  <pic:nvPicPr>
                    <pic:cNvPr id="238" name="image1657.png"/>
                    <pic:cNvPicPr/>
                  </pic:nvPicPr>
                  <pic:blipFill>
                    <a:blip r:embed="rId1767" cstate="print"/>
                    <a:stretch>
                      <a:fillRect/>
                    </a:stretch>
                  </pic:blipFill>
                  <pic:spPr>
                    <a:xfrm>
                      <a:off x="0" y="0"/>
                      <a:ext cx="1018032" cy="356616"/>
                    </a:xfrm>
                    <a:prstGeom prst="rect">
                      <a:avLst/>
                    </a:prstGeom>
                  </pic:spPr>
                </pic:pic>
              </a:graphicData>
            </a:graphic>
          </wp:anchor>
        </w:drawing>
      </w:r>
      <w:r>
        <w:rPr>
          <w:sz w:val="13"/>
        </w:rPr>
        <w:t>Per Government Code Section 3547.5(c), was a budget revision adopted to meet the costs of the</w:t>
      </w:r>
      <w:r>
        <w:rPr>
          <w:spacing w:val="1"/>
          <w:sz w:val="13"/>
        </w:rPr>
        <w:t> </w:t>
      </w:r>
      <w:r>
        <w:rPr>
          <w:sz w:val="13"/>
        </w:rPr>
        <w:t>agreement?</w:t>
      </w:r>
    </w:p>
    <w:p>
      <w:pPr>
        <w:pStyle w:val="BodyText"/>
        <w:spacing w:line="148" w:lineRule="exact"/>
        <w:ind w:left="2583"/>
      </w:pPr>
      <w:r>
        <w:rPr/>
        <w:t>If Yes, date of budget revision board adoption:</w:t>
      </w:r>
    </w:p>
    <w:p>
      <w:pPr>
        <w:pStyle w:val="BodyText"/>
        <w:spacing w:before="8"/>
        <w:rPr>
          <w:sz w:val="10"/>
        </w:rPr>
      </w:pPr>
    </w:p>
    <w:p>
      <w:pPr>
        <w:pStyle w:val="ListParagraph"/>
        <w:numPr>
          <w:ilvl w:val="0"/>
          <w:numId w:val="81"/>
        </w:numPr>
        <w:tabs>
          <w:tab w:pos="821" w:val="left" w:leader="none"/>
          <w:tab w:pos="822" w:val="left" w:leader="none"/>
          <w:tab w:pos="3929" w:val="left" w:leader="none"/>
          <w:tab w:pos="7200" w:val="left" w:leader="none"/>
        </w:tabs>
        <w:spacing w:line="240" w:lineRule="auto" w:before="98" w:after="0"/>
        <w:ind w:left="821" w:right="0" w:hanging="334"/>
        <w:jc w:val="left"/>
        <w:rPr>
          <w:sz w:val="13"/>
        </w:rPr>
      </w:pPr>
      <w:r>
        <w:rPr/>
        <w:drawing>
          <wp:anchor distT="0" distB="0" distL="0" distR="0" allowOverlap="1" layoutInCell="1" locked="0" behindDoc="1" simplePos="0" relativeHeight="189566976">
            <wp:simplePos x="0" y="0"/>
            <wp:positionH relativeFrom="page">
              <wp:posOffset>3022092</wp:posOffset>
            </wp:positionH>
            <wp:positionV relativeFrom="paragraph">
              <wp:posOffset>39076</wp:posOffset>
            </wp:positionV>
            <wp:extent cx="1004315" cy="121919"/>
            <wp:effectExtent l="0" t="0" r="0" b="0"/>
            <wp:wrapNone/>
            <wp:docPr id="239" name="image1658.png"/>
            <wp:cNvGraphicFramePr>
              <a:graphicFrameLocks noChangeAspect="1"/>
            </wp:cNvGraphicFramePr>
            <a:graphic>
              <a:graphicData uri="http://schemas.openxmlformats.org/drawingml/2006/picture">
                <pic:pic>
                  <pic:nvPicPr>
                    <pic:cNvPr id="240" name="image1658.png"/>
                    <pic:cNvPicPr/>
                  </pic:nvPicPr>
                  <pic:blipFill>
                    <a:blip r:embed="rId1768" cstate="print"/>
                    <a:stretch>
                      <a:fillRect/>
                    </a:stretch>
                  </pic:blipFill>
                  <pic:spPr>
                    <a:xfrm>
                      <a:off x="0" y="0"/>
                      <a:ext cx="1004315" cy="121919"/>
                    </a:xfrm>
                    <a:prstGeom prst="rect">
                      <a:avLst/>
                    </a:prstGeom>
                  </pic:spPr>
                </pic:pic>
              </a:graphicData>
            </a:graphic>
          </wp:anchor>
        </w:drawing>
      </w:r>
      <w:r>
        <w:rPr/>
        <w:drawing>
          <wp:anchor distT="0" distB="0" distL="0" distR="0" allowOverlap="1" layoutInCell="1" locked="0" behindDoc="0" simplePos="0" relativeHeight="252618752">
            <wp:simplePos x="0" y="0"/>
            <wp:positionH relativeFrom="page">
              <wp:posOffset>5035296</wp:posOffset>
            </wp:positionH>
            <wp:positionV relativeFrom="paragraph">
              <wp:posOffset>39076</wp:posOffset>
            </wp:positionV>
            <wp:extent cx="1162811" cy="121919"/>
            <wp:effectExtent l="0" t="0" r="0" b="0"/>
            <wp:wrapNone/>
            <wp:docPr id="241" name="image1659.png"/>
            <wp:cNvGraphicFramePr>
              <a:graphicFrameLocks noChangeAspect="1"/>
            </wp:cNvGraphicFramePr>
            <a:graphic>
              <a:graphicData uri="http://schemas.openxmlformats.org/drawingml/2006/picture">
                <pic:pic>
                  <pic:nvPicPr>
                    <pic:cNvPr id="242" name="image1659.png"/>
                    <pic:cNvPicPr/>
                  </pic:nvPicPr>
                  <pic:blipFill>
                    <a:blip r:embed="rId1769" cstate="print"/>
                    <a:stretch>
                      <a:fillRect/>
                    </a:stretch>
                  </pic:blipFill>
                  <pic:spPr>
                    <a:xfrm>
                      <a:off x="0" y="0"/>
                      <a:ext cx="1162811" cy="121919"/>
                    </a:xfrm>
                    <a:prstGeom prst="rect">
                      <a:avLst/>
                    </a:prstGeom>
                  </pic:spPr>
                </pic:pic>
              </a:graphicData>
            </a:graphic>
          </wp:anchor>
        </w:drawing>
      </w:r>
      <w:r>
        <w:rPr>
          <w:sz w:val="13"/>
        </w:rPr>
        <w:t>Period covered by</w:t>
      </w:r>
      <w:r>
        <w:rPr>
          <w:spacing w:val="19"/>
          <w:sz w:val="13"/>
        </w:rPr>
        <w:t> </w:t>
      </w:r>
      <w:r>
        <w:rPr>
          <w:sz w:val="13"/>
        </w:rPr>
        <w:t>the</w:t>
      </w:r>
      <w:r>
        <w:rPr>
          <w:spacing w:val="8"/>
          <w:sz w:val="13"/>
        </w:rPr>
        <w:t> </w:t>
      </w:r>
      <w:r>
        <w:rPr>
          <w:sz w:val="13"/>
        </w:rPr>
        <w:t>agreement:</w:t>
        <w:tab/>
        <w:t>Begin</w:t>
      </w:r>
      <w:r>
        <w:rPr>
          <w:spacing w:val="3"/>
          <w:sz w:val="13"/>
        </w:rPr>
        <w:t> </w:t>
      </w:r>
      <w:r>
        <w:rPr>
          <w:sz w:val="13"/>
        </w:rPr>
        <w:t>Date:</w:t>
        <w:tab/>
        <w:t>End</w:t>
      </w:r>
      <w:r>
        <w:rPr>
          <w:spacing w:val="1"/>
          <w:sz w:val="13"/>
        </w:rPr>
        <w:t> </w:t>
      </w:r>
      <w:r>
        <w:rPr>
          <w:sz w:val="13"/>
        </w:rPr>
        <w:t>Date:</w:t>
      </w:r>
    </w:p>
    <w:p>
      <w:pPr>
        <w:pStyle w:val="BodyText"/>
        <w:spacing w:before="7"/>
        <w:rPr>
          <w:sz w:val="10"/>
        </w:rPr>
      </w:pPr>
    </w:p>
    <w:p>
      <w:pPr>
        <w:pStyle w:val="ListParagraph"/>
        <w:numPr>
          <w:ilvl w:val="0"/>
          <w:numId w:val="81"/>
        </w:numPr>
        <w:tabs>
          <w:tab w:pos="821" w:val="left" w:leader="none"/>
          <w:tab w:pos="822" w:val="left" w:leader="none"/>
          <w:tab w:pos="5923" w:val="left" w:leader="none"/>
          <w:tab w:pos="7882" w:val="left" w:leader="none"/>
          <w:tab w:pos="8213" w:val="left" w:leader="none"/>
          <w:tab w:pos="10032" w:val="left" w:leader="none"/>
          <w:tab w:pos="10385" w:val="left" w:leader="none"/>
        </w:tabs>
        <w:spacing w:line="297" w:lineRule="auto" w:before="98" w:after="0"/>
        <w:ind w:left="6020" w:right="842" w:hanging="5532"/>
        <w:jc w:val="left"/>
        <w:rPr>
          <w:sz w:val="13"/>
        </w:rPr>
      </w:pPr>
      <w:r>
        <w:rPr/>
        <w:drawing>
          <wp:anchor distT="0" distB="0" distL="0" distR="0" allowOverlap="1" layoutInCell="1" locked="0" behindDoc="1" simplePos="0" relativeHeight="189569024">
            <wp:simplePos x="0" y="0"/>
            <wp:positionH relativeFrom="page">
              <wp:posOffset>3407664</wp:posOffset>
            </wp:positionH>
            <wp:positionV relativeFrom="paragraph">
              <wp:posOffset>273772</wp:posOffset>
            </wp:positionV>
            <wp:extent cx="4005071" cy="262128"/>
            <wp:effectExtent l="0" t="0" r="0" b="0"/>
            <wp:wrapNone/>
            <wp:docPr id="243" name="image1660.png"/>
            <wp:cNvGraphicFramePr>
              <a:graphicFrameLocks noChangeAspect="1"/>
            </wp:cNvGraphicFramePr>
            <a:graphic>
              <a:graphicData uri="http://schemas.openxmlformats.org/drawingml/2006/picture">
                <pic:pic>
                  <pic:nvPicPr>
                    <pic:cNvPr id="244" name="image1660.png"/>
                    <pic:cNvPicPr/>
                  </pic:nvPicPr>
                  <pic:blipFill>
                    <a:blip r:embed="rId1770" cstate="print"/>
                    <a:stretch>
                      <a:fillRect/>
                    </a:stretch>
                  </pic:blipFill>
                  <pic:spPr>
                    <a:xfrm>
                      <a:off x="0" y="0"/>
                      <a:ext cx="4005071" cy="262128"/>
                    </a:xfrm>
                    <a:prstGeom prst="rect">
                      <a:avLst/>
                    </a:prstGeom>
                  </pic:spPr>
                </pic:pic>
              </a:graphicData>
            </a:graphic>
          </wp:anchor>
        </w:drawing>
      </w:r>
      <w:r>
        <w:rPr>
          <w:sz w:val="13"/>
        </w:rPr>
        <w:t>Salary</w:t>
      </w:r>
      <w:r>
        <w:rPr>
          <w:spacing w:val="7"/>
          <w:sz w:val="13"/>
        </w:rPr>
        <w:t> </w:t>
      </w:r>
      <w:r>
        <w:rPr>
          <w:sz w:val="13"/>
        </w:rPr>
        <w:t>settlement:</w:t>
        <w:tab/>
        <w:t>Budget</w:t>
      </w:r>
      <w:r>
        <w:rPr>
          <w:spacing w:val="4"/>
          <w:sz w:val="13"/>
        </w:rPr>
        <w:t> </w:t>
      </w:r>
      <w:r>
        <w:rPr>
          <w:sz w:val="13"/>
        </w:rPr>
        <w:t>Year</w:t>
        <w:tab/>
        <w:t>1st</w:t>
      </w:r>
      <w:r>
        <w:rPr>
          <w:spacing w:val="6"/>
          <w:sz w:val="13"/>
        </w:rPr>
        <w:t> </w:t>
      </w:r>
      <w:r>
        <w:rPr>
          <w:sz w:val="13"/>
        </w:rPr>
        <w:t>Subsequent</w:t>
      </w:r>
      <w:r>
        <w:rPr>
          <w:spacing w:val="7"/>
          <w:sz w:val="13"/>
        </w:rPr>
        <w:t> </w:t>
      </w:r>
      <w:r>
        <w:rPr>
          <w:sz w:val="13"/>
        </w:rPr>
        <w:t>Year</w:t>
        <w:tab/>
        <w:t>2nd Subsequent </w:t>
      </w:r>
      <w:r>
        <w:rPr>
          <w:spacing w:val="-4"/>
          <w:sz w:val="13"/>
        </w:rPr>
        <w:t>Year </w:t>
      </w:r>
      <w:r>
        <w:rPr>
          <w:sz w:val="13"/>
        </w:rPr>
        <w:t>(2021-22)</w:t>
        <w:tab/>
        <w:tab/>
        <w:t>(2022-23)</w:t>
        <w:tab/>
        <w:tab/>
        <w:t>(2023-24)</w:t>
      </w:r>
    </w:p>
    <w:p>
      <w:pPr>
        <w:pStyle w:val="BodyText"/>
        <w:spacing w:line="268" w:lineRule="auto" w:before="51"/>
        <w:ind w:left="821" w:right="7250"/>
      </w:pPr>
      <w:r>
        <w:rPr/>
        <w:t>Is the cost of salary settlement included in the budget and multiyear projections (MYPs)?</w:t>
      </w:r>
    </w:p>
    <w:p>
      <w:pPr>
        <w:pStyle w:val="BodyText"/>
        <w:rPr>
          <w:sz w:val="16"/>
        </w:rPr>
      </w:pPr>
    </w:p>
    <w:p>
      <w:pPr>
        <w:spacing w:before="0"/>
        <w:ind w:left="0" w:right="4221" w:firstLine="0"/>
        <w:jc w:val="center"/>
        <w:rPr>
          <w:b/>
          <w:sz w:val="13"/>
        </w:rPr>
      </w:pPr>
      <w:r>
        <w:rPr/>
        <w:drawing>
          <wp:anchor distT="0" distB="0" distL="0" distR="0" allowOverlap="1" layoutInCell="1" locked="0" behindDoc="0" simplePos="0" relativeHeight="252620800">
            <wp:simplePos x="0" y="0"/>
            <wp:positionH relativeFrom="page">
              <wp:posOffset>3407664</wp:posOffset>
            </wp:positionH>
            <wp:positionV relativeFrom="paragraph">
              <wp:posOffset>95719</wp:posOffset>
            </wp:positionV>
            <wp:extent cx="4005071" cy="356615"/>
            <wp:effectExtent l="0" t="0" r="0" b="0"/>
            <wp:wrapNone/>
            <wp:docPr id="245" name="image1680.png"/>
            <wp:cNvGraphicFramePr>
              <a:graphicFrameLocks noChangeAspect="1"/>
            </wp:cNvGraphicFramePr>
            <a:graphic>
              <a:graphicData uri="http://schemas.openxmlformats.org/drawingml/2006/picture">
                <pic:pic>
                  <pic:nvPicPr>
                    <pic:cNvPr id="246" name="image1680.png"/>
                    <pic:cNvPicPr/>
                  </pic:nvPicPr>
                  <pic:blipFill>
                    <a:blip r:embed="rId1790" cstate="print"/>
                    <a:stretch>
                      <a:fillRect/>
                    </a:stretch>
                  </pic:blipFill>
                  <pic:spPr>
                    <a:xfrm>
                      <a:off x="0" y="0"/>
                      <a:ext cx="4005071" cy="356615"/>
                    </a:xfrm>
                    <a:prstGeom prst="rect">
                      <a:avLst/>
                    </a:prstGeom>
                  </pic:spPr>
                </pic:pic>
              </a:graphicData>
            </a:graphic>
          </wp:anchor>
        </w:drawing>
      </w:r>
      <w:r>
        <w:rPr>
          <w:b/>
          <w:sz w:val="13"/>
        </w:rPr>
        <w:t>One Year Agreement</w:t>
      </w:r>
    </w:p>
    <w:p>
      <w:pPr>
        <w:pStyle w:val="BodyText"/>
        <w:spacing w:before="38"/>
        <w:ind w:right="5240"/>
        <w:jc w:val="center"/>
      </w:pPr>
      <w:r>
        <w:rPr/>
        <w:t>Total cost of salary settlement</w:t>
      </w:r>
    </w:p>
    <w:p>
      <w:pPr>
        <w:pStyle w:val="BodyText"/>
        <w:spacing w:before="1"/>
        <w:rPr>
          <w:sz w:val="19"/>
        </w:rPr>
      </w:pPr>
    </w:p>
    <w:p>
      <w:pPr>
        <w:pStyle w:val="BodyText"/>
        <w:ind w:right="4415"/>
        <w:jc w:val="center"/>
      </w:pPr>
      <w:r>
        <w:rPr/>
        <w:t>% change in salary schedule from prior year</w:t>
      </w:r>
    </w:p>
    <w:p>
      <w:pPr>
        <w:pStyle w:val="BodyText"/>
        <w:spacing w:before="36"/>
        <w:ind w:right="4143"/>
        <w:jc w:val="center"/>
      </w:pPr>
      <w:r>
        <w:rPr/>
        <w:t>or</w:t>
      </w:r>
    </w:p>
    <w:p>
      <w:pPr>
        <w:spacing w:before="32"/>
        <w:ind w:left="0" w:right="4227" w:firstLine="0"/>
        <w:jc w:val="center"/>
        <w:rPr>
          <w:b/>
          <w:sz w:val="13"/>
        </w:rPr>
      </w:pPr>
      <w:r>
        <w:rPr/>
        <w:drawing>
          <wp:anchor distT="0" distB="0" distL="0" distR="0" allowOverlap="1" layoutInCell="1" locked="0" behindDoc="0" simplePos="0" relativeHeight="252621824">
            <wp:simplePos x="0" y="0"/>
            <wp:positionH relativeFrom="page">
              <wp:posOffset>3407664</wp:posOffset>
            </wp:positionH>
            <wp:positionV relativeFrom="paragraph">
              <wp:posOffset>116038</wp:posOffset>
            </wp:positionV>
            <wp:extent cx="4005071" cy="472439"/>
            <wp:effectExtent l="0" t="0" r="0" b="0"/>
            <wp:wrapNone/>
            <wp:docPr id="247" name="image1681.png"/>
            <wp:cNvGraphicFramePr>
              <a:graphicFrameLocks noChangeAspect="1"/>
            </wp:cNvGraphicFramePr>
            <a:graphic>
              <a:graphicData uri="http://schemas.openxmlformats.org/drawingml/2006/picture">
                <pic:pic>
                  <pic:nvPicPr>
                    <pic:cNvPr id="248" name="image1681.png"/>
                    <pic:cNvPicPr/>
                  </pic:nvPicPr>
                  <pic:blipFill>
                    <a:blip r:embed="rId1791" cstate="print"/>
                    <a:stretch>
                      <a:fillRect/>
                    </a:stretch>
                  </pic:blipFill>
                  <pic:spPr>
                    <a:xfrm>
                      <a:off x="0" y="0"/>
                      <a:ext cx="4005071" cy="472439"/>
                    </a:xfrm>
                    <a:prstGeom prst="rect">
                      <a:avLst/>
                    </a:prstGeom>
                  </pic:spPr>
                </pic:pic>
              </a:graphicData>
            </a:graphic>
          </wp:anchor>
        </w:drawing>
      </w:r>
      <w:r>
        <w:rPr>
          <w:b/>
          <w:sz w:val="13"/>
        </w:rPr>
        <w:t>Multiyear Agreement</w:t>
      </w:r>
    </w:p>
    <w:p>
      <w:pPr>
        <w:pStyle w:val="BodyText"/>
        <w:spacing w:before="38"/>
        <w:ind w:right="5240"/>
        <w:jc w:val="center"/>
      </w:pPr>
      <w:r>
        <w:rPr/>
        <w:t>Total cost of salary settlement</w:t>
      </w:r>
    </w:p>
    <w:p>
      <w:pPr>
        <w:pStyle w:val="BodyText"/>
        <w:rPr>
          <w:sz w:val="14"/>
        </w:rPr>
      </w:pPr>
    </w:p>
    <w:p>
      <w:pPr>
        <w:pStyle w:val="BodyText"/>
        <w:spacing w:before="90"/>
        <w:ind w:left="2583" w:right="6771"/>
      </w:pPr>
      <w:r>
        <w:rPr/>
        <w:t>% change in salary schedule from prior year (may enter text, such as "Reopener")</w:t>
      </w:r>
    </w:p>
    <w:p>
      <w:pPr>
        <w:pStyle w:val="BodyText"/>
        <w:spacing w:before="7"/>
        <w:rPr>
          <w:sz w:val="16"/>
        </w:rPr>
      </w:pPr>
    </w:p>
    <w:p>
      <w:pPr>
        <w:pStyle w:val="BodyText"/>
        <w:ind w:left="2583"/>
      </w:pPr>
      <w:r>
        <w:rPr/>
        <w:t>Identify the source of funding that will be used to support multiyear salary commitments:</w:t>
      </w:r>
    </w:p>
    <w:p>
      <w:pPr>
        <w:pStyle w:val="BodyText"/>
        <w:spacing w:before="6"/>
        <w:rPr>
          <w:sz w:val="16"/>
        </w:rPr>
      </w:pPr>
      <w:r>
        <w:rPr/>
        <w:drawing>
          <wp:anchor distT="0" distB="0" distL="0" distR="0" allowOverlap="1" layoutInCell="1" locked="0" behindDoc="0" simplePos="0" relativeHeight="926">
            <wp:simplePos x="0" y="0"/>
            <wp:positionH relativeFrom="page">
              <wp:posOffset>1644395</wp:posOffset>
            </wp:positionH>
            <wp:positionV relativeFrom="paragraph">
              <wp:posOffset>145840</wp:posOffset>
            </wp:positionV>
            <wp:extent cx="5768342" cy="437388"/>
            <wp:effectExtent l="0" t="0" r="0" b="0"/>
            <wp:wrapTopAndBottom/>
            <wp:docPr id="249" name="image1632.png"/>
            <wp:cNvGraphicFramePr>
              <a:graphicFrameLocks noChangeAspect="1"/>
            </wp:cNvGraphicFramePr>
            <a:graphic>
              <a:graphicData uri="http://schemas.openxmlformats.org/drawingml/2006/picture">
                <pic:pic>
                  <pic:nvPicPr>
                    <pic:cNvPr id="250" name="image1632.png"/>
                    <pic:cNvPicPr/>
                  </pic:nvPicPr>
                  <pic:blipFill>
                    <a:blip r:embed="rId1738" cstate="print"/>
                    <a:stretch>
                      <a:fillRect/>
                    </a:stretch>
                  </pic:blipFill>
                  <pic:spPr>
                    <a:xfrm>
                      <a:off x="0" y="0"/>
                      <a:ext cx="5768342" cy="437388"/>
                    </a:xfrm>
                    <a:prstGeom prst="rect">
                      <a:avLst/>
                    </a:prstGeom>
                  </pic:spPr>
                </pic:pic>
              </a:graphicData>
            </a:graphic>
          </wp:anchor>
        </w:drawing>
      </w:r>
    </w:p>
    <w:p>
      <w:pPr>
        <w:pStyle w:val="BodyText"/>
        <w:spacing w:before="1"/>
        <w:rPr>
          <w:sz w:val="16"/>
        </w:rPr>
      </w:pPr>
    </w:p>
    <w:p>
      <w:pPr>
        <w:pStyle w:val="BodyText"/>
        <w:ind w:left="322"/>
      </w:pPr>
      <w:r>
        <w:rPr/>
        <w:pict>
          <v:group style="position:absolute;margin-left:268.320007pt;margin-top:7.416931pt;width:98.2pt;height:12.25pt;mso-position-horizontal-relative:page;mso-position-vertical-relative:paragraph;z-index:252623872" coordorigin="5366,148" coordsize="1964,245">
            <v:shape style="position:absolute;left:5366;top:148;width:1964;height:245" type="#_x0000_t75" stroked="false">
              <v:imagedata r:id="rId1792" o:title=""/>
            </v:shape>
            <v:shape style="position:absolute;left:5366;top:148;width:1964;height:245" type="#_x0000_t202" filled="false" stroked="false">
              <v:textbox inset="0,0,0,0">
                <w:txbxContent>
                  <w:p>
                    <w:pPr>
                      <w:spacing w:before="89"/>
                      <w:ind w:left="0" w:right="76" w:firstLine="0"/>
                      <w:jc w:val="right"/>
                      <w:rPr>
                        <w:sz w:val="13"/>
                      </w:rPr>
                    </w:pPr>
                    <w:r>
                      <w:rPr>
                        <w:sz w:val="13"/>
                      </w:rPr>
                      <w:t>6,167</w:t>
                    </w:r>
                  </w:p>
                </w:txbxContent>
              </v:textbox>
              <w10:wrap type="none"/>
            </v:shape>
            <w10:wrap type="none"/>
          </v:group>
        </w:pict>
      </w:r>
      <w:r>
        <w:rPr>
          <w:spacing w:val="-96"/>
          <w:u w:val="single"/>
        </w:rPr>
        <w:t>N</w:t>
      </w:r>
      <w:r>
        <w:rPr>
          <w:spacing w:val="62"/>
        </w:rPr>
        <w:t> </w:t>
      </w:r>
      <w:r>
        <w:rPr>
          <w:u w:val="single"/>
        </w:rPr>
        <w:t>egotiations Not Settled</w:t>
      </w:r>
    </w:p>
    <w:p>
      <w:pPr>
        <w:pStyle w:val="ListParagraph"/>
        <w:numPr>
          <w:ilvl w:val="0"/>
          <w:numId w:val="81"/>
        </w:numPr>
        <w:tabs>
          <w:tab w:pos="821" w:val="left" w:leader="none"/>
          <w:tab w:pos="822" w:val="left" w:leader="none"/>
        </w:tabs>
        <w:spacing w:line="240" w:lineRule="auto" w:before="88" w:after="0"/>
        <w:ind w:left="821" w:right="0" w:hanging="334"/>
        <w:jc w:val="left"/>
        <w:rPr>
          <w:sz w:val="13"/>
        </w:rPr>
      </w:pPr>
      <w:r>
        <w:rPr>
          <w:sz w:val="13"/>
        </w:rPr>
        <w:t>Cost of a one percent increase in salary and statutory</w:t>
      </w:r>
      <w:r>
        <w:rPr>
          <w:spacing w:val="-3"/>
          <w:sz w:val="13"/>
        </w:rPr>
        <w:t> </w:t>
      </w:r>
      <w:r>
        <w:rPr>
          <w:sz w:val="13"/>
        </w:rPr>
        <w:t>benefits</w:t>
      </w:r>
    </w:p>
    <w:p>
      <w:pPr>
        <w:pStyle w:val="BodyText"/>
        <w:spacing w:before="2"/>
        <w:rPr>
          <w:sz w:val="9"/>
        </w:rPr>
      </w:pPr>
    </w:p>
    <w:p>
      <w:pPr>
        <w:pStyle w:val="BodyText"/>
        <w:tabs>
          <w:tab w:pos="7882" w:val="left" w:leader="none"/>
          <w:tab w:pos="8213" w:val="left" w:leader="none"/>
          <w:tab w:pos="10032" w:val="left" w:leader="none"/>
          <w:tab w:pos="10385" w:val="left" w:leader="none"/>
        </w:tabs>
        <w:spacing w:line="297" w:lineRule="auto" w:before="98"/>
        <w:ind w:left="6020" w:right="842" w:hanging="96"/>
      </w:pPr>
      <w:r>
        <w:rPr/>
        <w:drawing>
          <wp:anchor distT="0" distB="0" distL="0" distR="0" allowOverlap="1" layoutInCell="1" locked="0" behindDoc="1" simplePos="0" relativeHeight="189574144">
            <wp:simplePos x="0" y="0"/>
            <wp:positionH relativeFrom="page">
              <wp:posOffset>3407664</wp:posOffset>
            </wp:positionH>
            <wp:positionV relativeFrom="paragraph">
              <wp:posOffset>273773</wp:posOffset>
            </wp:positionV>
            <wp:extent cx="4005071" cy="121919"/>
            <wp:effectExtent l="0" t="0" r="0" b="0"/>
            <wp:wrapNone/>
            <wp:docPr id="251" name="image1663.png"/>
            <wp:cNvGraphicFramePr>
              <a:graphicFrameLocks noChangeAspect="1"/>
            </wp:cNvGraphicFramePr>
            <a:graphic>
              <a:graphicData uri="http://schemas.openxmlformats.org/drawingml/2006/picture">
                <pic:pic>
                  <pic:nvPicPr>
                    <pic:cNvPr id="252" name="image1663.png"/>
                    <pic:cNvPicPr/>
                  </pic:nvPicPr>
                  <pic:blipFill>
                    <a:blip r:embed="rId1773" cstate="print"/>
                    <a:stretch>
                      <a:fillRect/>
                    </a:stretch>
                  </pic:blipFill>
                  <pic:spPr>
                    <a:xfrm>
                      <a:off x="0" y="0"/>
                      <a:ext cx="4005071" cy="121919"/>
                    </a:xfrm>
                    <a:prstGeom prst="rect">
                      <a:avLst/>
                    </a:prstGeom>
                  </pic:spPr>
                </pic:pic>
              </a:graphicData>
            </a:graphic>
          </wp:anchor>
        </w:drawing>
      </w:r>
      <w:r>
        <w:rPr/>
        <w:t>Budget</w:t>
      </w:r>
      <w:r>
        <w:rPr>
          <w:spacing w:val="4"/>
        </w:rPr>
        <w:t> </w:t>
      </w:r>
      <w:r>
        <w:rPr/>
        <w:t>Year</w:t>
        <w:tab/>
        <w:t>1st</w:t>
      </w:r>
      <w:r>
        <w:rPr>
          <w:spacing w:val="6"/>
        </w:rPr>
        <w:t> </w:t>
      </w:r>
      <w:r>
        <w:rPr/>
        <w:t>Subsequent</w:t>
      </w:r>
      <w:r>
        <w:rPr>
          <w:spacing w:val="7"/>
        </w:rPr>
        <w:t> </w:t>
      </w:r>
      <w:r>
        <w:rPr/>
        <w:t>Year</w:t>
        <w:tab/>
        <w:t>2nd Subsequent </w:t>
      </w:r>
      <w:r>
        <w:rPr>
          <w:spacing w:val="-4"/>
        </w:rPr>
        <w:t>Year </w:t>
      </w:r>
      <w:r>
        <w:rPr/>
        <w:t>(2021-22)</w:t>
        <w:tab/>
        <w:tab/>
        <w:t>(2022-23)</w:t>
        <w:tab/>
        <w:tab/>
        <w:t>(2023-24)</w:t>
      </w:r>
    </w:p>
    <w:p>
      <w:pPr>
        <w:pStyle w:val="ListParagraph"/>
        <w:numPr>
          <w:ilvl w:val="0"/>
          <w:numId w:val="81"/>
        </w:numPr>
        <w:tabs>
          <w:tab w:pos="821" w:val="left" w:leader="none"/>
          <w:tab w:pos="822" w:val="left" w:leader="none"/>
        </w:tabs>
        <w:spacing w:line="148" w:lineRule="exact" w:before="0" w:after="0"/>
        <w:ind w:left="821" w:right="0" w:hanging="334"/>
        <w:jc w:val="left"/>
        <w:rPr>
          <w:sz w:val="13"/>
        </w:rPr>
      </w:pPr>
      <w:r>
        <w:rPr>
          <w:sz w:val="13"/>
        </w:rPr>
        <w:t>Amount included for any tentative salary schedule</w:t>
      </w:r>
      <w:r>
        <w:rPr>
          <w:spacing w:val="-2"/>
          <w:sz w:val="13"/>
        </w:rPr>
        <w:t> </w:t>
      </w:r>
      <w:r>
        <w:rPr>
          <w:sz w:val="13"/>
        </w:rPr>
        <w:t>increases</w:t>
      </w:r>
    </w:p>
    <w:p>
      <w:pPr>
        <w:spacing w:after="0" w:line="148" w:lineRule="exact"/>
        <w:jc w:val="left"/>
        <w:rPr>
          <w:sz w:val="13"/>
        </w:rPr>
        <w:sectPr>
          <w:type w:val="continuous"/>
          <w:pgSz w:w="12240" w:h="15840"/>
          <w:pgMar w:top="1500" w:bottom="840" w:left="40" w:right="40"/>
        </w:sectPr>
      </w:pPr>
    </w:p>
    <w:p>
      <w:pPr>
        <w:pStyle w:val="BodyText"/>
        <w:rPr>
          <w:sz w:val="20"/>
        </w:rPr>
      </w:pPr>
    </w:p>
    <w:p>
      <w:pPr>
        <w:pStyle w:val="BodyText"/>
        <w:spacing w:before="6" w:after="1"/>
        <w:rPr>
          <w:sz w:val="24"/>
        </w:rPr>
      </w:pPr>
    </w:p>
    <w:tbl>
      <w:tblPr>
        <w:tblW w:w="0" w:type="auto"/>
        <w:jc w:val="left"/>
        <w:tblInd w:w="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18"/>
        <w:gridCol w:w="1324"/>
        <w:gridCol w:w="815"/>
        <w:gridCol w:w="1631"/>
        <w:gridCol w:w="659"/>
        <w:gridCol w:w="1750"/>
      </w:tblGrid>
      <w:tr>
        <w:trPr>
          <w:trHeight w:val="331" w:hRule="atLeast"/>
        </w:trPr>
        <w:tc>
          <w:tcPr>
            <w:tcW w:w="5118" w:type="dxa"/>
          </w:tcPr>
          <w:p>
            <w:pPr>
              <w:pStyle w:val="TableParagraph"/>
              <w:spacing w:before="7"/>
              <w:rPr>
                <w:sz w:val="15"/>
              </w:rPr>
            </w:pPr>
          </w:p>
          <w:p>
            <w:pPr>
              <w:pStyle w:val="TableParagraph"/>
              <w:spacing w:line="132" w:lineRule="exact"/>
              <w:ind w:left="32"/>
              <w:rPr>
                <w:b/>
                <w:sz w:val="13"/>
              </w:rPr>
            </w:pPr>
            <w:r>
              <w:rPr>
                <w:b/>
                <w:sz w:val="13"/>
              </w:rPr>
              <w:t>Classified (Non-management) Health and Welfare (H&amp;W) Benefits</w:t>
            </w:r>
          </w:p>
        </w:tc>
        <w:tc>
          <w:tcPr>
            <w:tcW w:w="1324" w:type="dxa"/>
          </w:tcPr>
          <w:p>
            <w:pPr>
              <w:pStyle w:val="TableParagraph"/>
              <w:spacing w:line="147" w:lineRule="exact"/>
              <w:ind w:left="516"/>
              <w:rPr>
                <w:sz w:val="13"/>
              </w:rPr>
            </w:pPr>
            <w:r>
              <w:rPr>
                <w:sz w:val="13"/>
              </w:rPr>
              <w:t>Budget Year</w:t>
            </w:r>
          </w:p>
          <w:p>
            <w:pPr>
              <w:pStyle w:val="TableParagraph"/>
              <w:spacing w:line="130" w:lineRule="exact" w:before="35"/>
              <w:ind w:left="612"/>
              <w:rPr>
                <w:sz w:val="13"/>
              </w:rPr>
            </w:pPr>
            <w:r>
              <w:rPr>
                <w:sz w:val="13"/>
              </w:rPr>
              <w:t>(2021-22)</w:t>
            </w:r>
          </w:p>
        </w:tc>
        <w:tc>
          <w:tcPr>
            <w:tcW w:w="2446" w:type="dxa"/>
            <w:gridSpan w:val="2"/>
          </w:tcPr>
          <w:p>
            <w:pPr>
              <w:pStyle w:val="TableParagraph"/>
              <w:spacing w:line="147" w:lineRule="exact"/>
              <w:ind w:left="1142" w:right="48"/>
              <w:jc w:val="center"/>
              <w:rPr>
                <w:sz w:val="13"/>
              </w:rPr>
            </w:pPr>
            <w:r>
              <w:rPr>
                <w:sz w:val="13"/>
              </w:rPr>
              <w:t>1st Subsequent Year</w:t>
            </w:r>
          </w:p>
          <w:p>
            <w:pPr>
              <w:pStyle w:val="TableParagraph"/>
              <w:spacing w:line="130" w:lineRule="exact" w:before="35"/>
              <w:ind w:left="1142" w:right="47"/>
              <w:jc w:val="center"/>
              <w:rPr>
                <w:sz w:val="13"/>
              </w:rPr>
            </w:pPr>
            <w:r>
              <w:rPr>
                <w:sz w:val="13"/>
              </w:rPr>
              <w:t>(2022-23)</w:t>
            </w:r>
          </w:p>
        </w:tc>
        <w:tc>
          <w:tcPr>
            <w:tcW w:w="2409" w:type="dxa"/>
            <w:gridSpan w:val="2"/>
          </w:tcPr>
          <w:p>
            <w:pPr>
              <w:pStyle w:val="TableParagraph"/>
              <w:spacing w:line="147" w:lineRule="exact"/>
              <w:ind w:left="847" w:right="263"/>
              <w:jc w:val="center"/>
              <w:rPr>
                <w:sz w:val="13"/>
              </w:rPr>
            </w:pPr>
            <w:r>
              <w:rPr>
                <w:sz w:val="13"/>
              </w:rPr>
              <w:t>2nd Subsequent Year</w:t>
            </w:r>
          </w:p>
          <w:p>
            <w:pPr>
              <w:pStyle w:val="TableParagraph"/>
              <w:spacing w:line="130" w:lineRule="exact" w:before="35"/>
              <w:ind w:left="847" w:right="263"/>
              <w:jc w:val="center"/>
              <w:rPr>
                <w:sz w:val="13"/>
              </w:rPr>
            </w:pPr>
            <w:r>
              <w:rPr>
                <w:sz w:val="13"/>
              </w:rPr>
              <w:t>(2023-24)</w:t>
            </w:r>
          </w:p>
        </w:tc>
      </w:tr>
      <w:tr>
        <w:trPr>
          <w:trHeight w:val="395" w:hRule="atLeast"/>
        </w:trPr>
        <w:tc>
          <w:tcPr>
            <w:tcW w:w="5118" w:type="dxa"/>
          </w:tcPr>
          <w:p>
            <w:pPr>
              <w:pStyle w:val="TableParagraph"/>
              <w:spacing w:before="4"/>
              <w:rPr>
                <w:sz w:val="16"/>
              </w:rPr>
            </w:pPr>
          </w:p>
          <w:p>
            <w:pPr>
              <w:pStyle w:val="TableParagraph"/>
              <w:tabs>
                <w:tab w:pos="532" w:val="left" w:leader="none"/>
              </w:tabs>
              <w:ind w:left="198"/>
              <w:rPr>
                <w:sz w:val="13"/>
              </w:rPr>
            </w:pPr>
            <w:r>
              <w:rPr>
                <w:sz w:val="13"/>
              </w:rPr>
              <w:t>1.</w:t>
              <w:tab/>
              <w:t>Are costs of H&amp;W benefit changes included in the budget and</w:t>
            </w:r>
            <w:r>
              <w:rPr>
                <w:spacing w:val="24"/>
                <w:sz w:val="13"/>
              </w:rPr>
              <w:t> </w:t>
            </w:r>
            <w:r>
              <w:rPr>
                <w:sz w:val="13"/>
              </w:rPr>
              <w:t>MYPs?</w:t>
            </w:r>
          </w:p>
        </w:tc>
        <w:tc>
          <w:tcPr>
            <w:tcW w:w="1324" w:type="dxa"/>
          </w:tcPr>
          <w:p>
            <w:pPr>
              <w:pStyle w:val="TableParagraph"/>
              <w:spacing w:before="6"/>
              <w:rPr>
                <w:sz w:val="19"/>
              </w:rPr>
            </w:pPr>
          </w:p>
          <w:p>
            <w:pPr>
              <w:pStyle w:val="TableParagraph"/>
              <w:ind w:right="310"/>
              <w:jc w:val="right"/>
              <w:rPr>
                <w:sz w:val="13"/>
              </w:rPr>
            </w:pPr>
            <w:r>
              <w:rPr>
                <w:sz w:val="13"/>
              </w:rPr>
              <w:t>Yes</w:t>
            </w:r>
          </w:p>
        </w:tc>
        <w:tc>
          <w:tcPr>
            <w:tcW w:w="815" w:type="dxa"/>
          </w:tcPr>
          <w:p>
            <w:pPr>
              <w:pStyle w:val="TableParagraph"/>
              <w:rPr>
                <w:rFonts w:ascii="Times New Roman"/>
                <w:sz w:val="12"/>
              </w:rPr>
            </w:pPr>
          </w:p>
        </w:tc>
        <w:tc>
          <w:tcPr>
            <w:tcW w:w="1631" w:type="dxa"/>
          </w:tcPr>
          <w:p>
            <w:pPr>
              <w:pStyle w:val="TableParagraph"/>
              <w:spacing w:before="6"/>
              <w:rPr>
                <w:sz w:val="19"/>
              </w:rPr>
            </w:pPr>
          </w:p>
          <w:p>
            <w:pPr>
              <w:pStyle w:val="TableParagraph"/>
              <w:ind w:left="325" w:right="48"/>
              <w:jc w:val="center"/>
              <w:rPr>
                <w:sz w:val="13"/>
              </w:rPr>
            </w:pPr>
            <w:r>
              <w:rPr>
                <w:sz w:val="13"/>
              </w:rPr>
              <w:t>Yes</w:t>
            </w:r>
          </w:p>
        </w:tc>
        <w:tc>
          <w:tcPr>
            <w:tcW w:w="659" w:type="dxa"/>
          </w:tcPr>
          <w:p>
            <w:pPr>
              <w:pStyle w:val="TableParagraph"/>
              <w:rPr>
                <w:rFonts w:ascii="Times New Roman"/>
                <w:sz w:val="12"/>
              </w:rPr>
            </w:pPr>
          </w:p>
        </w:tc>
        <w:tc>
          <w:tcPr>
            <w:tcW w:w="1750" w:type="dxa"/>
          </w:tcPr>
          <w:p>
            <w:pPr>
              <w:pStyle w:val="TableParagraph"/>
              <w:spacing w:before="6"/>
              <w:rPr>
                <w:sz w:val="19"/>
              </w:rPr>
            </w:pPr>
          </w:p>
          <w:p>
            <w:pPr>
              <w:pStyle w:val="TableParagraph"/>
              <w:ind w:left="724"/>
              <w:rPr>
                <w:sz w:val="13"/>
              </w:rPr>
            </w:pPr>
            <w:r>
              <w:rPr>
                <w:sz w:val="13"/>
              </w:rPr>
              <w:t>Yes</w:t>
            </w:r>
          </w:p>
        </w:tc>
      </w:tr>
      <w:tr>
        <w:trPr>
          <w:trHeight w:val="189" w:hRule="atLeast"/>
        </w:trPr>
        <w:tc>
          <w:tcPr>
            <w:tcW w:w="5118" w:type="dxa"/>
          </w:tcPr>
          <w:p>
            <w:pPr>
              <w:pStyle w:val="TableParagraph"/>
              <w:tabs>
                <w:tab w:pos="532" w:val="left" w:leader="none"/>
              </w:tabs>
              <w:spacing w:before="18"/>
              <w:ind w:left="198"/>
              <w:rPr>
                <w:sz w:val="13"/>
              </w:rPr>
            </w:pPr>
            <w:r>
              <w:rPr>
                <w:sz w:val="13"/>
              </w:rPr>
              <w:t>2.</w:t>
              <w:tab/>
              <w:t>Total cost of H&amp;W</w:t>
            </w:r>
            <w:r>
              <w:rPr>
                <w:spacing w:val="-1"/>
                <w:sz w:val="13"/>
              </w:rPr>
              <w:t> </w:t>
            </w:r>
            <w:r>
              <w:rPr>
                <w:sz w:val="13"/>
              </w:rPr>
              <w:t>benefits</w:t>
            </w:r>
          </w:p>
        </w:tc>
        <w:tc>
          <w:tcPr>
            <w:tcW w:w="1324" w:type="dxa"/>
          </w:tcPr>
          <w:p>
            <w:pPr>
              <w:pStyle w:val="TableParagraph"/>
              <w:rPr>
                <w:rFonts w:ascii="Times New Roman"/>
                <w:sz w:val="12"/>
              </w:rPr>
            </w:pPr>
          </w:p>
        </w:tc>
        <w:tc>
          <w:tcPr>
            <w:tcW w:w="815" w:type="dxa"/>
          </w:tcPr>
          <w:p>
            <w:pPr>
              <w:pStyle w:val="TableParagraph"/>
              <w:spacing w:before="18"/>
              <w:ind w:left="73"/>
              <w:rPr>
                <w:sz w:val="13"/>
              </w:rPr>
            </w:pPr>
            <w:r>
              <w:rPr>
                <w:sz w:val="13"/>
              </w:rPr>
              <w:t>40,752</w:t>
            </w:r>
          </w:p>
        </w:tc>
        <w:tc>
          <w:tcPr>
            <w:tcW w:w="1631" w:type="dxa"/>
          </w:tcPr>
          <w:p>
            <w:pPr>
              <w:pStyle w:val="TableParagraph"/>
              <w:rPr>
                <w:rFonts w:ascii="Times New Roman"/>
                <w:sz w:val="12"/>
              </w:rPr>
            </w:pPr>
          </w:p>
        </w:tc>
        <w:tc>
          <w:tcPr>
            <w:tcW w:w="659" w:type="dxa"/>
          </w:tcPr>
          <w:p>
            <w:pPr>
              <w:pStyle w:val="TableParagraph"/>
              <w:spacing w:before="18"/>
              <w:ind w:left="58"/>
              <w:rPr>
                <w:sz w:val="13"/>
              </w:rPr>
            </w:pPr>
            <w:r>
              <w:rPr>
                <w:sz w:val="13"/>
              </w:rPr>
              <w:t>40,752</w:t>
            </w:r>
          </w:p>
        </w:tc>
        <w:tc>
          <w:tcPr>
            <w:tcW w:w="1750" w:type="dxa"/>
          </w:tcPr>
          <w:p>
            <w:pPr>
              <w:pStyle w:val="TableParagraph"/>
              <w:spacing w:before="18"/>
              <w:ind w:right="29"/>
              <w:jc w:val="right"/>
              <w:rPr>
                <w:sz w:val="13"/>
              </w:rPr>
            </w:pPr>
            <w:r>
              <w:rPr>
                <w:sz w:val="13"/>
              </w:rPr>
              <w:t>40,752</w:t>
            </w:r>
          </w:p>
        </w:tc>
      </w:tr>
      <w:tr>
        <w:trPr>
          <w:trHeight w:val="189" w:hRule="atLeast"/>
        </w:trPr>
        <w:tc>
          <w:tcPr>
            <w:tcW w:w="5118" w:type="dxa"/>
          </w:tcPr>
          <w:p>
            <w:pPr>
              <w:pStyle w:val="TableParagraph"/>
              <w:tabs>
                <w:tab w:pos="532" w:val="left" w:leader="none"/>
              </w:tabs>
              <w:spacing w:before="18"/>
              <w:ind w:left="198"/>
              <w:rPr>
                <w:sz w:val="13"/>
              </w:rPr>
            </w:pPr>
            <w:r>
              <w:rPr>
                <w:sz w:val="13"/>
              </w:rPr>
              <w:t>3.</w:t>
              <w:tab/>
              <w:t>Percent of H&amp;W cost paid by</w:t>
            </w:r>
            <w:r>
              <w:rPr>
                <w:spacing w:val="2"/>
                <w:sz w:val="13"/>
              </w:rPr>
              <w:t> </w:t>
            </w:r>
            <w:r>
              <w:rPr>
                <w:sz w:val="13"/>
              </w:rPr>
              <w:t>employer</w:t>
            </w:r>
          </w:p>
        </w:tc>
        <w:tc>
          <w:tcPr>
            <w:tcW w:w="1324" w:type="dxa"/>
          </w:tcPr>
          <w:p>
            <w:pPr>
              <w:pStyle w:val="TableParagraph"/>
              <w:spacing w:before="18"/>
              <w:ind w:right="233"/>
              <w:jc w:val="right"/>
              <w:rPr>
                <w:sz w:val="13"/>
              </w:rPr>
            </w:pPr>
            <w:r>
              <w:rPr>
                <w:sz w:val="13"/>
              </w:rPr>
              <w:t>59.0%</w:t>
            </w:r>
          </w:p>
        </w:tc>
        <w:tc>
          <w:tcPr>
            <w:tcW w:w="815" w:type="dxa"/>
          </w:tcPr>
          <w:p>
            <w:pPr>
              <w:pStyle w:val="TableParagraph"/>
              <w:rPr>
                <w:rFonts w:ascii="Times New Roman"/>
                <w:sz w:val="12"/>
              </w:rPr>
            </w:pPr>
          </w:p>
        </w:tc>
        <w:tc>
          <w:tcPr>
            <w:tcW w:w="1631" w:type="dxa"/>
          </w:tcPr>
          <w:p>
            <w:pPr>
              <w:pStyle w:val="TableParagraph"/>
              <w:spacing w:before="18"/>
              <w:ind w:right="485"/>
              <w:jc w:val="right"/>
              <w:rPr>
                <w:sz w:val="13"/>
              </w:rPr>
            </w:pPr>
            <w:r>
              <w:rPr>
                <w:sz w:val="13"/>
              </w:rPr>
              <w:t>59.0%</w:t>
            </w:r>
          </w:p>
        </w:tc>
        <w:tc>
          <w:tcPr>
            <w:tcW w:w="659" w:type="dxa"/>
          </w:tcPr>
          <w:p>
            <w:pPr>
              <w:pStyle w:val="TableParagraph"/>
              <w:rPr>
                <w:rFonts w:ascii="Times New Roman"/>
                <w:sz w:val="12"/>
              </w:rPr>
            </w:pPr>
          </w:p>
        </w:tc>
        <w:tc>
          <w:tcPr>
            <w:tcW w:w="1750" w:type="dxa"/>
          </w:tcPr>
          <w:p>
            <w:pPr>
              <w:pStyle w:val="TableParagraph"/>
              <w:spacing w:before="18"/>
              <w:ind w:left="649"/>
              <w:rPr>
                <w:sz w:val="13"/>
              </w:rPr>
            </w:pPr>
            <w:r>
              <w:rPr>
                <w:sz w:val="13"/>
              </w:rPr>
              <w:t>59.0%</w:t>
            </w:r>
          </w:p>
        </w:tc>
      </w:tr>
      <w:tr>
        <w:trPr>
          <w:trHeight w:val="168" w:hRule="atLeast"/>
        </w:trPr>
        <w:tc>
          <w:tcPr>
            <w:tcW w:w="5118" w:type="dxa"/>
          </w:tcPr>
          <w:p>
            <w:pPr>
              <w:pStyle w:val="TableParagraph"/>
              <w:tabs>
                <w:tab w:pos="532" w:val="left" w:leader="none"/>
              </w:tabs>
              <w:spacing w:line="130" w:lineRule="exact" w:before="18"/>
              <w:ind w:left="198"/>
              <w:rPr>
                <w:sz w:val="13"/>
              </w:rPr>
            </w:pPr>
            <w:r>
              <w:rPr>
                <w:sz w:val="13"/>
              </w:rPr>
              <w:t>4.</w:t>
              <w:tab/>
              <w:t>Percent projected change in H&amp;W cost over prior</w:t>
            </w:r>
            <w:r>
              <w:rPr>
                <w:spacing w:val="10"/>
                <w:sz w:val="13"/>
              </w:rPr>
              <w:t> </w:t>
            </w:r>
            <w:r>
              <w:rPr>
                <w:sz w:val="13"/>
              </w:rPr>
              <w:t>year</w:t>
            </w:r>
          </w:p>
        </w:tc>
        <w:tc>
          <w:tcPr>
            <w:tcW w:w="1324" w:type="dxa"/>
          </w:tcPr>
          <w:p>
            <w:pPr>
              <w:pStyle w:val="TableParagraph"/>
              <w:rPr>
                <w:rFonts w:ascii="Times New Roman"/>
                <w:sz w:val="10"/>
              </w:rPr>
            </w:pPr>
          </w:p>
        </w:tc>
        <w:tc>
          <w:tcPr>
            <w:tcW w:w="815" w:type="dxa"/>
          </w:tcPr>
          <w:p>
            <w:pPr>
              <w:pStyle w:val="TableParagraph"/>
              <w:rPr>
                <w:rFonts w:ascii="Times New Roman"/>
                <w:sz w:val="10"/>
              </w:rPr>
            </w:pPr>
          </w:p>
        </w:tc>
        <w:tc>
          <w:tcPr>
            <w:tcW w:w="1631" w:type="dxa"/>
          </w:tcPr>
          <w:p>
            <w:pPr>
              <w:pStyle w:val="TableParagraph"/>
              <w:spacing w:line="130" w:lineRule="exact" w:before="18"/>
              <w:ind w:right="522"/>
              <w:jc w:val="right"/>
              <w:rPr>
                <w:sz w:val="13"/>
              </w:rPr>
            </w:pPr>
            <w:r>
              <w:rPr>
                <w:sz w:val="13"/>
              </w:rPr>
              <w:t>0.0%</w:t>
            </w:r>
          </w:p>
        </w:tc>
        <w:tc>
          <w:tcPr>
            <w:tcW w:w="659" w:type="dxa"/>
          </w:tcPr>
          <w:p>
            <w:pPr>
              <w:pStyle w:val="TableParagraph"/>
              <w:rPr>
                <w:rFonts w:ascii="Times New Roman"/>
                <w:sz w:val="10"/>
              </w:rPr>
            </w:pPr>
          </w:p>
        </w:tc>
        <w:tc>
          <w:tcPr>
            <w:tcW w:w="1750" w:type="dxa"/>
          </w:tcPr>
          <w:p>
            <w:pPr>
              <w:pStyle w:val="TableParagraph"/>
              <w:spacing w:line="130" w:lineRule="exact" w:before="18"/>
              <w:ind w:left="685"/>
              <w:rPr>
                <w:sz w:val="13"/>
              </w:rPr>
            </w:pPr>
            <w:r>
              <w:rPr>
                <w:sz w:val="13"/>
              </w:rPr>
              <w:t>0.0%</w:t>
            </w:r>
          </w:p>
        </w:tc>
      </w:tr>
    </w:tbl>
    <w:p>
      <w:pPr>
        <w:pStyle w:val="BodyText"/>
        <w:spacing w:before="5"/>
        <w:rPr>
          <w:sz w:val="10"/>
        </w:rPr>
      </w:pPr>
    </w:p>
    <w:p>
      <w:pPr>
        <w:spacing w:before="97"/>
        <w:ind w:left="322" w:right="0" w:firstLine="0"/>
        <w:jc w:val="left"/>
        <w:rPr>
          <w:b/>
          <w:sz w:val="13"/>
        </w:rPr>
      </w:pPr>
      <w:r>
        <w:rPr/>
        <w:pict>
          <v:group style="position:absolute;margin-left:268.320007pt;margin-top:-53.253059pt;width:315.4pt;height:47.55pt;mso-position-horizontal-relative:page;mso-position-vertical-relative:paragraph;z-index:-313735168" coordorigin="5366,-1065" coordsize="6308,951">
            <v:shape style="position:absolute;left:6333;top:-1066;width:996;height:8" type="#_x0000_t75" stroked="false">
              <v:imagedata r:id="rId1589" o:title=""/>
            </v:shape>
            <v:shape style="position:absolute;left:5366;top:-1066;width:6308;height:382" type="#_x0000_t75" stroked="false">
              <v:imagedata r:id="rId1793" o:title=""/>
            </v:shape>
            <v:shape style="position:absolute;left:7322;top:-881;width:2439;height:197" type="#_x0000_t75" stroked="false">
              <v:imagedata r:id="rId1794" o:title=""/>
            </v:shape>
            <v:shape style="position:absolute;left:5366;top:-881;width:6308;height:576" type="#_x0000_t75" stroked="false">
              <v:imagedata r:id="rId1795" o:title=""/>
            </v:shape>
            <v:shape style="position:absolute;left:9753;top:-502;width:1920;height:382" type="#_x0000_t75" stroked="false">
              <v:imagedata r:id="rId1796" o:title=""/>
            </v:shape>
            <v:shape style="position:absolute;left:5366;top:-312;width:6308;height:197" type="#_x0000_t75" stroked="false">
              <v:imagedata r:id="rId1797" o:title=""/>
            </v:shape>
            <w10:wrap type="none"/>
          </v:group>
        </w:pict>
      </w:r>
      <w:r>
        <w:rPr/>
        <w:drawing>
          <wp:anchor distT="0" distB="0" distL="0" distR="0" allowOverlap="1" layoutInCell="1" locked="0" behindDoc="0" simplePos="0" relativeHeight="252633088">
            <wp:simplePos x="0" y="0"/>
            <wp:positionH relativeFrom="page">
              <wp:posOffset>3407664</wp:posOffset>
            </wp:positionH>
            <wp:positionV relativeFrom="paragraph">
              <wp:posOffset>39966</wp:posOffset>
            </wp:positionV>
            <wp:extent cx="4005071" cy="356615"/>
            <wp:effectExtent l="0" t="0" r="0" b="0"/>
            <wp:wrapNone/>
            <wp:docPr id="253" name="image1688.png"/>
            <wp:cNvGraphicFramePr>
              <a:graphicFrameLocks noChangeAspect="1"/>
            </wp:cNvGraphicFramePr>
            <a:graphic>
              <a:graphicData uri="http://schemas.openxmlformats.org/drawingml/2006/picture">
                <pic:pic>
                  <pic:nvPicPr>
                    <pic:cNvPr id="254" name="image1688.png"/>
                    <pic:cNvPicPr/>
                  </pic:nvPicPr>
                  <pic:blipFill>
                    <a:blip r:embed="rId1798" cstate="print"/>
                    <a:stretch>
                      <a:fillRect/>
                    </a:stretch>
                  </pic:blipFill>
                  <pic:spPr>
                    <a:xfrm>
                      <a:off x="0" y="0"/>
                      <a:ext cx="4005071" cy="356615"/>
                    </a:xfrm>
                    <a:prstGeom prst="rect">
                      <a:avLst/>
                    </a:prstGeom>
                  </pic:spPr>
                </pic:pic>
              </a:graphicData>
            </a:graphic>
          </wp:anchor>
        </w:drawing>
      </w:r>
      <w:r>
        <w:rPr>
          <w:b/>
          <w:sz w:val="13"/>
        </w:rPr>
        <w:t>Classified (Non-management) Prior Year Settlements</w:t>
      </w:r>
    </w:p>
    <w:p>
      <w:pPr>
        <w:pStyle w:val="BodyText"/>
        <w:spacing w:before="38"/>
        <w:ind w:left="821" w:hanging="500"/>
      </w:pPr>
      <w:r>
        <w:rPr/>
        <w:t>Are any new costs from prior year settlements included in the budget?</w:t>
      </w:r>
    </w:p>
    <w:p>
      <w:pPr>
        <w:pStyle w:val="BodyText"/>
        <w:spacing w:line="247" w:lineRule="auto" w:before="35"/>
        <w:ind w:left="821" w:right="7743"/>
      </w:pPr>
      <w:r>
        <w:rPr/>
        <w:t>If Yes, amount of new costs included in the budget and MYPs If Yes, explain the nature of the new costs:</w:t>
      </w:r>
    </w:p>
    <w:p>
      <w:pPr>
        <w:pStyle w:val="BodyText"/>
        <w:spacing w:before="8"/>
        <w:rPr>
          <w:sz w:val="15"/>
        </w:rPr>
      </w:pPr>
      <w:r>
        <w:rPr/>
        <w:drawing>
          <wp:anchor distT="0" distB="0" distL="0" distR="0" allowOverlap="1" layoutInCell="1" locked="0" behindDoc="0" simplePos="0" relativeHeight="945">
            <wp:simplePos x="0" y="0"/>
            <wp:positionH relativeFrom="page">
              <wp:posOffset>1644395</wp:posOffset>
            </wp:positionH>
            <wp:positionV relativeFrom="paragraph">
              <wp:posOffset>139681</wp:posOffset>
            </wp:positionV>
            <wp:extent cx="5768338" cy="437388"/>
            <wp:effectExtent l="0" t="0" r="0" b="0"/>
            <wp:wrapTopAndBottom/>
            <wp:docPr id="255" name="image1632.png"/>
            <wp:cNvGraphicFramePr>
              <a:graphicFrameLocks noChangeAspect="1"/>
            </wp:cNvGraphicFramePr>
            <a:graphic>
              <a:graphicData uri="http://schemas.openxmlformats.org/drawingml/2006/picture">
                <pic:pic>
                  <pic:nvPicPr>
                    <pic:cNvPr id="256" name="image1632.png"/>
                    <pic:cNvPicPr/>
                  </pic:nvPicPr>
                  <pic:blipFill>
                    <a:blip r:embed="rId1738" cstate="print"/>
                    <a:stretch>
                      <a:fillRect/>
                    </a:stretch>
                  </pic:blipFill>
                  <pic:spPr>
                    <a:xfrm>
                      <a:off x="0" y="0"/>
                      <a:ext cx="5768338" cy="437388"/>
                    </a:xfrm>
                    <a:prstGeom prst="rect">
                      <a:avLst/>
                    </a:prstGeom>
                  </pic:spPr>
                </pic:pic>
              </a:graphicData>
            </a:graphic>
          </wp:anchor>
        </w:drawing>
      </w:r>
    </w:p>
    <w:p>
      <w:pPr>
        <w:pStyle w:val="BodyText"/>
        <w:spacing w:before="3"/>
        <w:rPr>
          <w:sz w:val="16"/>
        </w:rPr>
      </w:pPr>
    </w:p>
    <w:tbl>
      <w:tblPr>
        <w:tblW w:w="0" w:type="auto"/>
        <w:jc w:val="left"/>
        <w:tblInd w:w="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744"/>
        <w:gridCol w:w="2238"/>
        <w:gridCol w:w="2307"/>
        <w:gridCol w:w="1772"/>
      </w:tblGrid>
      <w:tr>
        <w:trPr>
          <w:trHeight w:val="164" w:hRule="atLeast"/>
        </w:trPr>
        <w:tc>
          <w:tcPr>
            <w:tcW w:w="4744" w:type="dxa"/>
          </w:tcPr>
          <w:p>
            <w:pPr>
              <w:pStyle w:val="TableParagraph"/>
              <w:rPr>
                <w:rFonts w:ascii="Times New Roman"/>
                <w:sz w:val="10"/>
              </w:rPr>
            </w:pPr>
          </w:p>
        </w:tc>
        <w:tc>
          <w:tcPr>
            <w:tcW w:w="2238" w:type="dxa"/>
          </w:tcPr>
          <w:p>
            <w:pPr>
              <w:pStyle w:val="TableParagraph"/>
              <w:spacing w:line="145" w:lineRule="exact"/>
              <w:ind w:right="611"/>
              <w:jc w:val="right"/>
              <w:rPr>
                <w:sz w:val="13"/>
              </w:rPr>
            </w:pPr>
            <w:r>
              <w:rPr>
                <w:sz w:val="13"/>
              </w:rPr>
              <w:t>Budget Year</w:t>
            </w:r>
          </w:p>
        </w:tc>
        <w:tc>
          <w:tcPr>
            <w:tcW w:w="2307" w:type="dxa"/>
          </w:tcPr>
          <w:p>
            <w:pPr>
              <w:pStyle w:val="TableParagraph"/>
              <w:spacing w:line="145" w:lineRule="exact"/>
              <w:ind w:left="601" w:right="448"/>
              <w:jc w:val="center"/>
              <w:rPr>
                <w:sz w:val="13"/>
              </w:rPr>
            </w:pPr>
            <w:r>
              <w:rPr>
                <w:sz w:val="13"/>
              </w:rPr>
              <w:t>1st Subsequent Year</w:t>
            </w:r>
          </w:p>
        </w:tc>
        <w:tc>
          <w:tcPr>
            <w:tcW w:w="1772" w:type="dxa"/>
          </w:tcPr>
          <w:p>
            <w:pPr>
              <w:pStyle w:val="TableParagraph"/>
              <w:spacing w:line="145" w:lineRule="exact"/>
              <w:ind w:left="445" w:right="26"/>
              <w:jc w:val="center"/>
              <w:rPr>
                <w:sz w:val="13"/>
              </w:rPr>
            </w:pPr>
            <w:r>
              <w:rPr>
                <w:sz w:val="13"/>
              </w:rPr>
              <w:t>2nd Subsequent Year</w:t>
            </w:r>
          </w:p>
        </w:tc>
      </w:tr>
      <w:tr>
        <w:trPr>
          <w:trHeight w:val="167" w:hRule="atLeast"/>
        </w:trPr>
        <w:tc>
          <w:tcPr>
            <w:tcW w:w="4744" w:type="dxa"/>
          </w:tcPr>
          <w:p>
            <w:pPr>
              <w:pStyle w:val="TableParagraph"/>
              <w:spacing w:line="132" w:lineRule="exact" w:before="15"/>
              <w:ind w:left="32"/>
              <w:rPr>
                <w:b/>
                <w:sz w:val="13"/>
              </w:rPr>
            </w:pPr>
            <w:r>
              <w:rPr>
                <w:b/>
                <w:sz w:val="13"/>
              </w:rPr>
              <w:t>Classified (Non-management) Step and Column Adjustments</w:t>
            </w:r>
          </w:p>
        </w:tc>
        <w:tc>
          <w:tcPr>
            <w:tcW w:w="2238" w:type="dxa"/>
          </w:tcPr>
          <w:p>
            <w:pPr>
              <w:pStyle w:val="TableParagraph"/>
              <w:spacing w:line="130" w:lineRule="exact" w:before="17"/>
              <w:ind w:right="672"/>
              <w:jc w:val="right"/>
              <w:rPr>
                <w:sz w:val="13"/>
              </w:rPr>
            </w:pPr>
            <w:r>
              <w:rPr>
                <w:sz w:val="13"/>
              </w:rPr>
              <w:t>(2021-22)</w:t>
            </w:r>
          </w:p>
        </w:tc>
        <w:tc>
          <w:tcPr>
            <w:tcW w:w="2307" w:type="dxa"/>
          </w:tcPr>
          <w:p>
            <w:pPr>
              <w:pStyle w:val="TableParagraph"/>
              <w:spacing w:line="130" w:lineRule="exact" w:before="17"/>
              <w:ind w:left="602" w:right="448"/>
              <w:jc w:val="center"/>
              <w:rPr>
                <w:sz w:val="13"/>
              </w:rPr>
            </w:pPr>
            <w:r>
              <w:rPr>
                <w:sz w:val="13"/>
              </w:rPr>
              <w:t>(2022-23)</w:t>
            </w:r>
          </w:p>
        </w:tc>
        <w:tc>
          <w:tcPr>
            <w:tcW w:w="1772" w:type="dxa"/>
          </w:tcPr>
          <w:p>
            <w:pPr>
              <w:pStyle w:val="TableParagraph"/>
              <w:spacing w:line="130" w:lineRule="exact" w:before="17"/>
              <w:ind w:left="445" w:right="26"/>
              <w:jc w:val="center"/>
              <w:rPr>
                <w:sz w:val="13"/>
              </w:rPr>
            </w:pPr>
            <w:r>
              <w:rPr>
                <w:sz w:val="13"/>
              </w:rPr>
              <w:t>(2023-24)</w:t>
            </w:r>
          </w:p>
        </w:tc>
      </w:tr>
    </w:tbl>
    <w:p>
      <w:pPr>
        <w:pStyle w:val="BodyText"/>
        <w:spacing w:before="2"/>
        <w:rPr>
          <w:sz w:val="15"/>
        </w:rPr>
      </w:pPr>
    </w:p>
    <w:p>
      <w:pPr>
        <w:pStyle w:val="ListParagraph"/>
        <w:numPr>
          <w:ilvl w:val="0"/>
          <w:numId w:val="82"/>
        </w:numPr>
        <w:tabs>
          <w:tab w:pos="821" w:val="left" w:leader="none"/>
          <w:tab w:pos="822" w:val="left" w:leader="none"/>
        </w:tabs>
        <w:spacing w:line="240" w:lineRule="auto" w:before="98" w:after="0"/>
        <w:ind w:left="821" w:right="0" w:hanging="334"/>
        <w:jc w:val="left"/>
        <w:rPr>
          <w:sz w:val="13"/>
        </w:rPr>
      </w:pPr>
      <w:r>
        <w:rPr/>
        <w:pict>
          <v:group style="position:absolute;margin-left:268.320007pt;margin-top:-8.803102pt;width:315.4pt;height:40.1pt;mso-position-horizontal-relative:page;mso-position-vertical-relative:paragraph;z-index:252638208" coordorigin="5366,-176" coordsize="6308,802">
            <v:shape style="position:absolute;left:5366;top:-177;width:6308;height:430" type="#_x0000_t75" stroked="false">
              <v:imagedata r:id="rId1779" o:title=""/>
            </v:shape>
            <v:shape style="position:absolute;left:7322;top:8;width:2439;height:245" type="#_x0000_t75" stroked="false">
              <v:imagedata r:id="rId1780" o:title=""/>
            </v:shape>
            <v:shape style="position:absolute;left:5366;top:8;width:6308;height:617" type="#_x0000_t75" stroked="false">
              <v:imagedata r:id="rId1799" o:title=""/>
            </v:shape>
            <v:shape style="position:absolute;left:9753;top:431;width:1920;height:195" type="#_x0000_t75" stroked="false">
              <v:imagedata r:id="rId1783" o:title=""/>
            </v:shape>
            <v:shape style="position:absolute;left:6235;top:100;width:244;height:148" type="#_x0000_t202" filled="false" stroked="false">
              <v:textbox inset="0,0,0,0">
                <w:txbxContent>
                  <w:p>
                    <w:pPr>
                      <w:spacing w:line="147" w:lineRule="exact" w:before="0"/>
                      <w:ind w:left="0" w:right="0" w:firstLine="0"/>
                      <w:jc w:val="left"/>
                      <w:rPr>
                        <w:sz w:val="13"/>
                      </w:rPr>
                    </w:pPr>
                    <w:r>
                      <w:rPr>
                        <w:sz w:val="13"/>
                      </w:rPr>
                      <w:t>Yes</w:t>
                    </w:r>
                  </w:p>
                </w:txbxContent>
              </v:textbox>
              <w10:wrap type="none"/>
            </v:shape>
            <v:shape style="position:absolute;left:8428;top:100;width:244;height:148" type="#_x0000_t202" filled="false" stroked="false">
              <v:textbox inset="0,0,0,0">
                <w:txbxContent>
                  <w:p>
                    <w:pPr>
                      <w:spacing w:line="147" w:lineRule="exact" w:before="0"/>
                      <w:ind w:left="0" w:right="0" w:firstLine="0"/>
                      <w:jc w:val="left"/>
                      <w:rPr>
                        <w:sz w:val="13"/>
                      </w:rPr>
                    </w:pPr>
                    <w:r>
                      <w:rPr>
                        <w:sz w:val="13"/>
                      </w:rPr>
                      <w:t>Yes</w:t>
                    </w:r>
                  </w:p>
                </w:txbxContent>
              </v:textbox>
              <w10:wrap type="none"/>
            </v:shape>
            <v:shape style="position:absolute;left:10600;top:100;width:244;height:148" type="#_x0000_t202" filled="false" stroked="false">
              <v:textbox inset="0,0,0,0">
                <w:txbxContent>
                  <w:p>
                    <w:pPr>
                      <w:spacing w:line="147" w:lineRule="exact" w:before="0"/>
                      <w:ind w:left="0" w:right="0" w:firstLine="0"/>
                      <w:jc w:val="left"/>
                      <w:rPr>
                        <w:sz w:val="13"/>
                      </w:rPr>
                    </w:pPr>
                    <w:r>
                      <w:rPr>
                        <w:sz w:val="13"/>
                      </w:rPr>
                      <w:t>Yes</w:t>
                    </w:r>
                  </w:p>
                </w:txbxContent>
              </v:textbox>
              <w10:wrap type="none"/>
            </v:shape>
            <v:shape style="position:absolute;left:6196;top:285;width:5419;height:335" type="#_x0000_t202" filled="false" stroked="false">
              <v:textbox inset="0,0,0,0">
                <w:txbxContent>
                  <w:p>
                    <w:pPr>
                      <w:tabs>
                        <w:tab w:pos="3079" w:val="left" w:leader="none"/>
                        <w:tab w:pos="4991" w:val="left" w:leader="none"/>
                      </w:tabs>
                      <w:spacing w:line="147" w:lineRule="exact" w:before="0"/>
                      <w:ind w:left="648" w:right="0" w:firstLine="0"/>
                      <w:jc w:val="left"/>
                      <w:rPr>
                        <w:sz w:val="13"/>
                      </w:rPr>
                    </w:pPr>
                    <w:r>
                      <w:rPr>
                        <w:sz w:val="13"/>
                      </w:rPr>
                      <w:t>12,517</w:t>
                      <w:tab/>
                      <w:t>12,150</w:t>
                      <w:tab/>
                      <w:t>12,923</w:t>
                    </w:r>
                  </w:p>
                  <w:p>
                    <w:pPr>
                      <w:tabs>
                        <w:tab w:pos="2193" w:val="left" w:leader="none"/>
                        <w:tab w:pos="4365" w:val="left" w:leader="none"/>
                      </w:tabs>
                      <w:spacing w:before="37"/>
                      <w:ind w:left="0" w:right="0" w:firstLine="0"/>
                      <w:jc w:val="left"/>
                      <w:rPr>
                        <w:sz w:val="13"/>
                      </w:rPr>
                    </w:pPr>
                    <w:r>
                      <w:rPr>
                        <w:sz w:val="13"/>
                      </w:rPr>
                      <w:t>2.9%</w:t>
                      <w:tab/>
                      <w:t>2.6%</w:t>
                      <w:tab/>
                      <w:t>2.7%</w:t>
                    </w:r>
                  </w:p>
                </w:txbxContent>
              </v:textbox>
              <w10:wrap type="none"/>
            </v:shape>
            <w10:wrap type="none"/>
          </v:group>
        </w:pict>
      </w:r>
      <w:r>
        <w:rPr>
          <w:sz w:val="13"/>
        </w:rPr>
        <w:t>Are step &amp; column adjustments included in the budget and</w:t>
      </w:r>
      <w:r>
        <w:rPr>
          <w:spacing w:val="6"/>
          <w:sz w:val="13"/>
        </w:rPr>
        <w:t> </w:t>
      </w:r>
      <w:r>
        <w:rPr>
          <w:sz w:val="13"/>
        </w:rPr>
        <w:t>MYPs?</w:t>
      </w:r>
    </w:p>
    <w:p>
      <w:pPr>
        <w:pStyle w:val="ListParagraph"/>
        <w:numPr>
          <w:ilvl w:val="0"/>
          <w:numId w:val="82"/>
        </w:numPr>
        <w:tabs>
          <w:tab w:pos="821" w:val="left" w:leader="none"/>
          <w:tab w:pos="822" w:val="left" w:leader="none"/>
        </w:tabs>
        <w:spacing w:line="240" w:lineRule="auto" w:before="35" w:after="0"/>
        <w:ind w:left="821" w:right="0" w:hanging="334"/>
        <w:jc w:val="left"/>
        <w:rPr>
          <w:sz w:val="13"/>
        </w:rPr>
      </w:pPr>
      <w:r>
        <w:rPr>
          <w:sz w:val="13"/>
        </w:rPr>
        <w:t>Cost of step &amp; column</w:t>
      </w:r>
      <w:r>
        <w:rPr>
          <w:spacing w:val="-1"/>
          <w:sz w:val="13"/>
        </w:rPr>
        <w:t> </w:t>
      </w:r>
      <w:r>
        <w:rPr>
          <w:sz w:val="13"/>
        </w:rPr>
        <w:t>adjustments</w:t>
      </w:r>
    </w:p>
    <w:p>
      <w:pPr>
        <w:pStyle w:val="ListParagraph"/>
        <w:numPr>
          <w:ilvl w:val="0"/>
          <w:numId w:val="82"/>
        </w:numPr>
        <w:tabs>
          <w:tab w:pos="821" w:val="left" w:leader="none"/>
          <w:tab w:pos="822" w:val="left" w:leader="none"/>
        </w:tabs>
        <w:spacing w:line="240" w:lineRule="auto" w:before="38" w:after="0"/>
        <w:ind w:left="821" w:right="0" w:hanging="334"/>
        <w:jc w:val="left"/>
        <w:rPr>
          <w:sz w:val="13"/>
        </w:rPr>
      </w:pPr>
      <w:r>
        <w:rPr/>
        <w:drawing>
          <wp:anchor distT="0" distB="0" distL="0" distR="0" allowOverlap="1" layoutInCell="1" locked="0" behindDoc="1" simplePos="0" relativeHeight="189588480">
            <wp:simplePos x="0" y="0"/>
            <wp:positionH relativeFrom="page">
              <wp:posOffset>3407664</wp:posOffset>
            </wp:positionH>
            <wp:positionV relativeFrom="paragraph">
              <wp:posOffset>470368</wp:posOffset>
            </wp:positionV>
            <wp:extent cx="4005071" cy="606551"/>
            <wp:effectExtent l="0" t="0" r="0" b="0"/>
            <wp:wrapNone/>
            <wp:docPr id="257" name="image1690.png"/>
            <wp:cNvGraphicFramePr>
              <a:graphicFrameLocks noChangeAspect="1"/>
            </wp:cNvGraphicFramePr>
            <a:graphic>
              <a:graphicData uri="http://schemas.openxmlformats.org/drawingml/2006/picture">
                <pic:pic>
                  <pic:nvPicPr>
                    <pic:cNvPr id="258" name="image1690.png"/>
                    <pic:cNvPicPr/>
                  </pic:nvPicPr>
                  <pic:blipFill>
                    <a:blip r:embed="rId1800" cstate="print"/>
                    <a:stretch>
                      <a:fillRect/>
                    </a:stretch>
                  </pic:blipFill>
                  <pic:spPr>
                    <a:xfrm>
                      <a:off x="0" y="0"/>
                      <a:ext cx="4005071" cy="606551"/>
                    </a:xfrm>
                    <a:prstGeom prst="rect">
                      <a:avLst/>
                    </a:prstGeom>
                  </pic:spPr>
                </pic:pic>
              </a:graphicData>
            </a:graphic>
          </wp:anchor>
        </w:drawing>
      </w:r>
      <w:r>
        <w:rPr>
          <w:sz w:val="13"/>
        </w:rPr>
        <w:t>Percent change in step &amp; column over prior</w:t>
      </w:r>
      <w:r>
        <w:rPr>
          <w:spacing w:val="-1"/>
          <w:sz w:val="13"/>
        </w:rPr>
        <w:t> </w:t>
      </w:r>
      <w:r>
        <w:rPr>
          <w:sz w:val="13"/>
        </w:rPr>
        <w:t>year</w:t>
      </w:r>
    </w:p>
    <w:p>
      <w:pPr>
        <w:pStyle w:val="BodyText"/>
        <w:spacing w:before="4"/>
        <w:rPr>
          <w:sz w:val="19"/>
        </w:rPr>
      </w:pPr>
    </w:p>
    <w:tbl>
      <w:tblPr>
        <w:tblW w:w="0" w:type="auto"/>
        <w:jc w:val="left"/>
        <w:tblInd w:w="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36"/>
        <w:gridCol w:w="2146"/>
        <w:gridCol w:w="2307"/>
        <w:gridCol w:w="1772"/>
      </w:tblGrid>
      <w:tr>
        <w:trPr>
          <w:trHeight w:val="164" w:hRule="atLeast"/>
        </w:trPr>
        <w:tc>
          <w:tcPr>
            <w:tcW w:w="4836" w:type="dxa"/>
          </w:tcPr>
          <w:p>
            <w:pPr>
              <w:pStyle w:val="TableParagraph"/>
              <w:rPr>
                <w:rFonts w:ascii="Times New Roman"/>
                <w:sz w:val="10"/>
              </w:rPr>
            </w:pPr>
          </w:p>
        </w:tc>
        <w:tc>
          <w:tcPr>
            <w:tcW w:w="2146" w:type="dxa"/>
          </w:tcPr>
          <w:p>
            <w:pPr>
              <w:pStyle w:val="TableParagraph"/>
              <w:spacing w:line="145" w:lineRule="exact"/>
              <w:ind w:left="784" w:right="599"/>
              <w:jc w:val="center"/>
              <w:rPr>
                <w:sz w:val="13"/>
              </w:rPr>
            </w:pPr>
            <w:r>
              <w:rPr>
                <w:sz w:val="13"/>
              </w:rPr>
              <w:t>Budget Year</w:t>
            </w:r>
          </w:p>
        </w:tc>
        <w:tc>
          <w:tcPr>
            <w:tcW w:w="2307" w:type="dxa"/>
          </w:tcPr>
          <w:p>
            <w:pPr>
              <w:pStyle w:val="TableParagraph"/>
              <w:spacing w:line="145" w:lineRule="exact"/>
              <w:ind w:left="601" w:right="448"/>
              <w:jc w:val="center"/>
              <w:rPr>
                <w:sz w:val="13"/>
              </w:rPr>
            </w:pPr>
            <w:r>
              <w:rPr>
                <w:sz w:val="13"/>
              </w:rPr>
              <w:t>1st Subsequent Year</w:t>
            </w:r>
          </w:p>
        </w:tc>
        <w:tc>
          <w:tcPr>
            <w:tcW w:w="1772" w:type="dxa"/>
          </w:tcPr>
          <w:p>
            <w:pPr>
              <w:pStyle w:val="TableParagraph"/>
              <w:spacing w:line="145" w:lineRule="exact"/>
              <w:ind w:left="445" w:right="26"/>
              <w:jc w:val="center"/>
              <w:rPr>
                <w:sz w:val="13"/>
              </w:rPr>
            </w:pPr>
            <w:r>
              <w:rPr>
                <w:sz w:val="13"/>
              </w:rPr>
              <w:t>2nd Subsequent Year</w:t>
            </w:r>
          </w:p>
        </w:tc>
      </w:tr>
      <w:tr>
        <w:trPr>
          <w:trHeight w:val="589" w:hRule="atLeast"/>
        </w:trPr>
        <w:tc>
          <w:tcPr>
            <w:tcW w:w="4836" w:type="dxa"/>
          </w:tcPr>
          <w:p>
            <w:pPr>
              <w:pStyle w:val="TableParagraph"/>
              <w:spacing w:before="15"/>
              <w:ind w:left="32"/>
              <w:rPr>
                <w:b/>
                <w:sz w:val="13"/>
              </w:rPr>
            </w:pPr>
            <w:r>
              <w:rPr>
                <w:b/>
                <w:sz w:val="13"/>
              </w:rPr>
              <w:t>Classified (Non-management) Attrition (layoffs and</w:t>
            </w:r>
            <w:r>
              <w:rPr>
                <w:b/>
                <w:spacing w:val="25"/>
                <w:sz w:val="13"/>
              </w:rPr>
              <w:t> </w:t>
            </w:r>
            <w:r>
              <w:rPr>
                <w:b/>
                <w:sz w:val="13"/>
              </w:rPr>
              <w:t>retirements)</w:t>
            </w:r>
          </w:p>
          <w:p>
            <w:pPr>
              <w:pStyle w:val="TableParagraph"/>
              <w:rPr>
                <w:sz w:val="14"/>
              </w:rPr>
            </w:pPr>
          </w:p>
          <w:p>
            <w:pPr>
              <w:pStyle w:val="TableParagraph"/>
              <w:tabs>
                <w:tab w:pos="532" w:val="left" w:leader="none"/>
              </w:tabs>
              <w:spacing w:line="130" w:lineRule="exact" w:before="114"/>
              <w:ind w:left="198"/>
              <w:rPr>
                <w:sz w:val="13"/>
              </w:rPr>
            </w:pPr>
            <w:r>
              <w:rPr>
                <w:sz w:val="13"/>
              </w:rPr>
              <w:t>1.</w:t>
              <w:tab/>
              <w:t>Are savings from attrition included in the budget and</w:t>
            </w:r>
            <w:r>
              <w:rPr>
                <w:spacing w:val="34"/>
                <w:sz w:val="13"/>
              </w:rPr>
              <w:t> </w:t>
            </w:r>
            <w:r>
              <w:rPr>
                <w:sz w:val="13"/>
              </w:rPr>
              <w:t>MYPs?</w:t>
            </w:r>
          </w:p>
        </w:tc>
        <w:tc>
          <w:tcPr>
            <w:tcW w:w="2146" w:type="dxa"/>
          </w:tcPr>
          <w:p>
            <w:pPr>
              <w:pStyle w:val="TableParagraph"/>
              <w:spacing w:before="17"/>
              <w:ind w:left="784" w:right="565"/>
              <w:jc w:val="center"/>
              <w:rPr>
                <w:sz w:val="13"/>
              </w:rPr>
            </w:pPr>
            <w:r>
              <w:rPr>
                <w:sz w:val="13"/>
              </w:rPr>
              <w:t>(2021-22)</w:t>
            </w:r>
          </w:p>
        </w:tc>
        <w:tc>
          <w:tcPr>
            <w:tcW w:w="2307" w:type="dxa"/>
          </w:tcPr>
          <w:p>
            <w:pPr>
              <w:pStyle w:val="TableParagraph"/>
              <w:spacing w:before="17"/>
              <w:ind w:left="602" w:right="448"/>
              <w:jc w:val="center"/>
              <w:rPr>
                <w:sz w:val="13"/>
              </w:rPr>
            </w:pPr>
            <w:r>
              <w:rPr>
                <w:sz w:val="13"/>
              </w:rPr>
              <w:t>(2022-23)</w:t>
            </w:r>
          </w:p>
        </w:tc>
        <w:tc>
          <w:tcPr>
            <w:tcW w:w="1772" w:type="dxa"/>
          </w:tcPr>
          <w:p>
            <w:pPr>
              <w:pStyle w:val="TableParagraph"/>
              <w:spacing w:before="17"/>
              <w:ind w:left="445" w:right="26"/>
              <w:jc w:val="center"/>
              <w:rPr>
                <w:sz w:val="13"/>
              </w:rPr>
            </w:pPr>
            <w:r>
              <w:rPr>
                <w:sz w:val="13"/>
              </w:rPr>
              <w:t>(2023-24)</w:t>
            </w:r>
          </w:p>
        </w:tc>
      </w:tr>
    </w:tbl>
    <w:p>
      <w:pPr>
        <w:pStyle w:val="BodyText"/>
        <w:spacing w:before="4"/>
        <w:rPr>
          <w:sz w:val="16"/>
        </w:rPr>
      </w:pPr>
    </w:p>
    <w:p>
      <w:pPr>
        <w:pStyle w:val="BodyText"/>
        <w:tabs>
          <w:tab w:pos="821" w:val="left" w:leader="none"/>
        </w:tabs>
        <w:ind w:left="821" w:right="7466" w:hanging="334"/>
      </w:pPr>
      <w:r>
        <w:rPr/>
        <w:t>2.</w:t>
        <w:tab/>
        <w:t>Are additional H&amp;W benefits for those laid-off or retired employees included in the budget and</w:t>
      </w:r>
      <w:r>
        <w:rPr>
          <w:spacing w:val="3"/>
        </w:rPr>
        <w:t> </w:t>
      </w:r>
      <w:r>
        <w:rPr/>
        <w:t>MYPs?</w:t>
      </w:r>
    </w:p>
    <w:p>
      <w:pPr>
        <w:pStyle w:val="BodyText"/>
        <w:rPr>
          <w:sz w:val="14"/>
        </w:rPr>
      </w:pPr>
    </w:p>
    <w:p>
      <w:pPr>
        <w:pStyle w:val="BodyText"/>
        <w:rPr>
          <w:sz w:val="14"/>
        </w:rPr>
      </w:pPr>
    </w:p>
    <w:p>
      <w:pPr>
        <w:spacing w:before="109"/>
        <w:ind w:left="322" w:right="0" w:firstLine="0"/>
        <w:jc w:val="left"/>
        <w:rPr>
          <w:b/>
          <w:sz w:val="13"/>
        </w:rPr>
      </w:pPr>
      <w:r>
        <w:rPr>
          <w:b/>
          <w:sz w:val="13"/>
        </w:rPr>
        <w:t>Classified (Non-management) - Other</w:t>
      </w:r>
    </w:p>
    <w:p>
      <w:pPr>
        <w:pStyle w:val="BodyText"/>
        <w:spacing w:before="6"/>
        <w:ind w:left="322"/>
      </w:pPr>
      <w:r>
        <w:rPr/>
        <w:drawing>
          <wp:anchor distT="0" distB="0" distL="0" distR="0" allowOverlap="1" layoutInCell="1" locked="0" behindDoc="1" simplePos="0" relativeHeight="189589504">
            <wp:simplePos x="0" y="0"/>
            <wp:positionH relativeFrom="page">
              <wp:posOffset>1644395</wp:posOffset>
            </wp:positionH>
            <wp:positionV relativeFrom="paragraph">
              <wp:posOffset>453097</wp:posOffset>
            </wp:positionV>
            <wp:extent cx="5768339" cy="4571"/>
            <wp:effectExtent l="0" t="0" r="0" b="0"/>
            <wp:wrapNone/>
            <wp:docPr id="259" name="image1566.png"/>
            <wp:cNvGraphicFramePr>
              <a:graphicFrameLocks noChangeAspect="1"/>
            </wp:cNvGraphicFramePr>
            <a:graphic>
              <a:graphicData uri="http://schemas.openxmlformats.org/drawingml/2006/picture">
                <pic:pic>
                  <pic:nvPicPr>
                    <pic:cNvPr id="260" name="image1566.png"/>
                    <pic:cNvPicPr/>
                  </pic:nvPicPr>
                  <pic:blipFill>
                    <a:blip r:embed="rId1668" cstate="print"/>
                    <a:stretch>
                      <a:fillRect/>
                    </a:stretch>
                  </pic:blipFill>
                  <pic:spPr>
                    <a:xfrm>
                      <a:off x="0" y="0"/>
                      <a:ext cx="5768339" cy="4571"/>
                    </a:xfrm>
                    <a:prstGeom prst="rect">
                      <a:avLst/>
                    </a:prstGeom>
                  </pic:spPr>
                </pic:pic>
              </a:graphicData>
            </a:graphic>
          </wp:anchor>
        </w:drawing>
      </w:r>
      <w:r>
        <w:rPr/>
        <w:drawing>
          <wp:anchor distT="0" distB="0" distL="0" distR="0" allowOverlap="1" layoutInCell="1" locked="0" behindDoc="1" simplePos="0" relativeHeight="189590528">
            <wp:simplePos x="0" y="0"/>
            <wp:positionH relativeFrom="page">
              <wp:posOffset>1644395</wp:posOffset>
            </wp:positionH>
            <wp:positionV relativeFrom="paragraph">
              <wp:posOffset>573493</wp:posOffset>
            </wp:positionV>
            <wp:extent cx="5768339" cy="4571"/>
            <wp:effectExtent l="0" t="0" r="0" b="0"/>
            <wp:wrapNone/>
            <wp:docPr id="261" name="image1566.png"/>
            <wp:cNvGraphicFramePr>
              <a:graphicFrameLocks noChangeAspect="1"/>
            </wp:cNvGraphicFramePr>
            <a:graphic>
              <a:graphicData uri="http://schemas.openxmlformats.org/drawingml/2006/picture">
                <pic:pic>
                  <pic:nvPicPr>
                    <pic:cNvPr id="262" name="image1566.png"/>
                    <pic:cNvPicPr/>
                  </pic:nvPicPr>
                  <pic:blipFill>
                    <a:blip r:embed="rId1668" cstate="print"/>
                    <a:stretch>
                      <a:fillRect/>
                    </a:stretch>
                  </pic:blipFill>
                  <pic:spPr>
                    <a:xfrm>
                      <a:off x="0" y="0"/>
                      <a:ext cx="5768339" cy="4571"/>
                    </a:xfrm>
                    <a:prstGeom prst="rect">
                      <a:avLst/>
                    </a:prstGeom>
                  </pic:spPr>
                </pic:pic>
              </a:graphicData>
            </a:graphic>
          </wp:anchor>
        </w:drawing>
      </w:r>
      <w:r>
        <w:rPr/>
        <w:t>List other significant contract changes and the cost impact of each change (i.e., hours of employment, leave of absence, bonuses, etc.):</w:t>
      </w:r>
    </w:p>
    <w:p>
      <w:pPr>
        <w:pStyle w:val="BodyText"/>
        <w:spacing w:before="8"/>
        <w:rPr>
          <w:sz w:val="28"/>
        </w:rPr>
      </w:pPr>
      <w:r>
        <w:rPr/>
        <w:drawing>
          <wp:anchor distT="0" distB="0" distL="0" distR="0" allowOverlap="1" layoutInCell="1" locked="0" behindDoc="0" simplePos="0" relativeHeight="946">
            <wp:simplePos x="0" y="0"/>
            <wp:positionH relativeFrom="page">
              <wp:posOffset>1644395</wp:posOffset>
            </wp:positionH>
            <wp:positionV relativeFrom="paragraph">
              <wp:posOffset>234425</wp:posOffset>
            </wp:positionV>
            <wp:extent cx="5768568" cy="4572"/>
            <wp:effectExtent l="0" t="0" r="0" b="0"/>
            <wp:wrapTopAndBottom/>
            <wp:docPr id="263" name="image1566.png"/>
            <wp:cNvGraphicFramePr>
              <a:graphicFrameLocks noChangeAspect="1"/>
            </wp:cNvGraphicFramePr>
            <a:graphic>
              <a:graphicData uri="http://schemas.openxmlformats.org/drawingml/2006/picture">
                <pic:pic>
                  <pic:nvPicPr>
                    <pic:cNvPr id="264" name="image1566.png"/>
                    <pic:cNvPicPr/>
                  </pic:nvPicPr>
                  <pic:blipFill>
                    <a:blip r:embed="rId1668" cstate="print"/>
                    <a:stretch>
                      <a:fillRect/>
                    </a:stretch>
                  </pic:blipFill>
                  <pic:spPr>
                    <a:xfrm>
                      <a:off x="0" y="0"/>
                      <a:ext cx="5768568" cy="4572"/>
                    </a:xfrm>
                    <a:prstGeom prst="rect">
                      <a:avLst/>
                    </a:prstGeom>
                  </pic:spPr>
                </pic:pic>
              </a:graphicData>
            </a:graphic>
          </wp:anchor>
        </w:drawing>
      </w:r>
    </w:p>
    <w:p>
      <w:pPr>
        <w:pStyle w:val="BodyText"/>
        <w:spacing w:line="304" w:lineRule="auto"/>
        <w:ind w:left="2583" w:right="1105"/>
        <w:jc w:val="both"/>
      </w:pPr>
      <w:r>
        <w:rPr/>
        <w:t>The district removed a preschool teacher in 21-22 due to the reduction in preschool students, but gained two classified positions by adding a new instsructional aide and filling the cafeteria/custodian position in 21-22. In addition there was an increase in days for the preschool teacher position (additional days are vacation days).</w:t>
      </w:r>
    </w:p>
    <w:p>
      <w:pPr>
        <w:pStyle w:val="BodyText"/>
        <w:spacing w:line="20" w:lineRule="exact"/>
        <w:ind w:left="2549"/>
        <w:rPr>
          <w:sz w:val="2"/>
        </w:rPr>
      </w:pPr>
      <w:r>
        <w:rPr>
          <w:sz w:val="2"/>
        </w:rPr>
        <w:drawing>
          <wp:inline distT="0" distB="0" distL="0" distR="0">
            <wp:extent cx="5408044" cy="4286"/>
            <wp:effectExtent l="0" t="0" r="0" b="0"/>
            <wp:docPr id="265" name="image1566.png"/>
            <wp:cNvGraphicFramePr>
              <a:graphicFrameLocks noChangeAspect="1"/>
            </wp:cNvGraphicFramePr>
            <a:graphic>
              <a:graphicData uri="http://schemas.openxmlformats.org/drawingml/2006/picture">
                <pic:pic>
                  <pic:nvPicPr>
                    <pic:cNvPr id="266" name="image1566.png"/>
                    <pic:cNvPicPr/>
                  </pic:nvPicPr>
                  <pic:blipFill>
                    <a:blip r:embed="rId1668" cstate="print"/>
                    <a:stretch>
                      <a:fillRect/>
                    </a:stretch>
                  </pic:blipFill>
                  <pic:spPr>
                    <a:xfrm>
                      <a:off x="0" y="0"/>
                      <a:ext cx="5408044" cy="4286"/>
                    </a:xfrm>
                    <a:prstGeom prst="rect">
                      <a:avLst/>
                    </a:prstGeom>
                  </pic:spPr>
                </pic:pic>
              </a:graphicData>
            </a:graphic>
          </wp:inline>
        </w:drawing>
      </w:r>
      <w:r>
        <w:rPr>
          <w:sz w:val="2"/>
        </w:rPr>
      </w:r>
    </w:p>
    <w:p>
      <w:pPr>
        <w:pStyle w:val="BodyText"/>
        <w:spacing w:before="9"/>
        <w:rPr>
          <w:sz w:val="10"/>
        </w:rPr>
      </w:pPr>
      <w:r>
        <w:rPr/>
        <w:drawing>
          <wp:anchor distT="0" distB="0" distL="0" distR="0" allowOverlap="1" layoutInCell="1" locked="0" behindDoc="0" simplePos="0" relativeHeight="947">
            <wp:simplePos x="0" y="0"/>
            <wp:positionH relativeFrom="page">
              <wp:posOffset>1644395</wp:posOffset>
            </wp:positionH>
            <wp:positionV relativeFrom="paragraph">
              <wp:posOffset>103880</wp:posOffset>
            </wp:positionV>
            <wp:extent cx="5768580" cy="4572"/>
            <wp:effectExtent l="0" t="0" r="0" b="0"/>
            <wp:wrapTopAndBottom/>
            <wp:docPr id="267" name="image1566.png"/>
            <wp:cNvGraphicFramePr>
              <a:graphicFrameLocks noChangeAspect="1"/>
            </wp:cNvGraphicFramePr>
            <a:graphic>
              <a:graphicData uri="http://schemas.openxmlformats.org/drawingml/2006/picture">
                <pic:pic>
                  <pic:nvPicPr>
                    <pic:cNvPr id="268" name="image1566.png"/>
                    <pic:cNvPicPr/>
                  </pic:nvPicPr>
                  <pic:blipFill>
                    <a:blip r:embed="rId1668" cstate="print"/>
                    <a:stretch>
                      <a:fillRect/>
                    </a:stretch>
                  </pic:blipFill>
                  <pic:spPr>
                    <a:xfrm>
                      <a:off x="0" y="0"/>
                      <a:ext cx="5768580" cy="4572"/>
                    </a:xfrm>
                    <a:prstGeom prst="rect">
                      <a:avLst/>
                    </a:prstGeom>
                  </pic:spPr>
                </pic:pic>
              </a:graphicData>
            </a:graphic>
          </wp:anchor>
        </w:drawing>
      </w:r>
      <w:r>
        <w:rPr/>
        <w:drawing>
          <wp:anchor distT="0" distB="0" distL="0" distR="0" allowOverlap="1" layoutInCell="1" locked="0" behindDoc="0" simplePos="0" relativeHeight="948">
            <wp:simplePos x="0" y="0"/>
            <wp:positionH relativeFrom="page">
              <wp:posOffset>1644395</wp:posOffset>
            </wp:positionH>
            <wp:positionV relativeFrom="paragraph">
              <wp:posOffset>224277</wp:posOffset>
            </wp:positionV>
            <wp:extent cx="5768568" cy="4572"/>
            <wp:effectExtent l="0" t="0" r="0" b="0"/>
            <wp:wrapTopAndBottom/>
            <wp:docPr id="269" name="image1566.png"/>
            <wp:cNvGraphicFramePr>
              <a:graphicFrameLocks noChangeAspect="1"/>
            </wp:cNvGraphicFramePr>
            <a:graphic>
              <a:graphicData uri="http://schemas.openxmlformats.org/drawingml/2006/picture">
                <pic:pic>
                  <pic:nvPicPr>
                    <pic:cNvPr id="270" name="image1566.png"/>
                    <pic:cNvPicPr/>
                  </pic:nvPicPr>
                  <pic:blipFill>
                    <a:blip r:embed="rId1668" cstate="print"/>
                    <a:stretch>
                      <a:fillRect/>
                    </a:stretch>
                  </pic:blipFill>
                  <pic:spPr>
                    <a:xfrm>
                      <a:off x="0" y="0"/>
                      <a:ext cx="5768568" cy="4572"/>
                    </a:xfrm>
                    <a:prstGeom prst="rect">
                      <a:avLst/>
                    </a:prstGeom>
                  </pic:spPr>
                </pic:pic>
              </a:graphicData>
            </a:graphic>
          </wp:anchor>
        </w:drawing>
      </w:r>
      <w:r>
        <w:rPr/>
        <w:drawing>
          <wp:anchor distT="0" distB="0" distL="0" distR="0" allowOverlap="1" layoutInCell="1" locked="0" behindDoc="0" simplePos="0" relativeHeight="949">
            <wp:simplePos x="0" y="0"/>
            <wp:positionH relativeFrom="page">
              <wp:posOffset>1644395</wp:posOffset>
            </wp:positionH>
            <wp:positionV relativeFrom="paragraph">
              <wp:posOffset>344673</wp:posOffset>
            </wp:positionV>
            <wp:extent cx="5768580" cy="4572"/>
            <wp:effectExtent l="0" t="0" r="0" b="0"/>
            <wp:wrapTopAndBottom/>
            <wp:docPr id="271" name="image1566.png"/>
            <wp:cNvGraphicFramePr>
              <a:graphicFrameLocks noChangeAspect="1"/>
            </wp:cNvGraphicFramePr>
            <a:graphic>
              <a:graphicData uri="http://schemas.openxmlformats.org/drawingml/2006/picture">
                <pic:pic>
                  <pic:nvPicPr>
                    <pic:cNvPr id="272" name="image1566.png"/>
                    <pic:cNvPicPr/>
                  </pic:nvPicPr>
                  <pic:blipFill>
                    <a:blip r:embed="rId1668" cstate="print"/>
                    <a:stretch>
                      <a:fillRect/>
                    </a:stretch>
                  </pic:blipFill>
                  <pic:spPr>
                    <a:xfrm>
                      <a:off x="0" y="0"/>
                      <a:ext cx="5768580" cy="4572"/>
                    </a:xfrm>
                    <a:prstGeom prst="rect">
                      <a:avLst/>
                    </a:prstGeom>
                  </pic:spPr>
                </pic:pic>
              </a:graphicData>
            </a:graphic>
          </wp:anchor>
        </w:drawing>
      </w:r>
      <w:r>
        <w:rPr/>
        <w:drawing>
          <wp:anchor distT="0" distB="0" distL="0" distR="0" allowOverlap="1" layoutInCell="1" locked="0" behindDoc="0" simplePos="0" relativeHeight="950">
            <wp:simplePos x="0" y="0"/>
            <wp:positionH relativeFrom="page">
              <wp:posOffset>1644395</wp:posOffset>
            </wp:positionH>
            <wp:positionV relativeFrom="paragraph">
              <wp:posOffset>465068</wp:posOffset>
            </wp:positionV>
            <wp:extent cx="5408044" cy="4286"/>
            <wp:effectExtent l="0" t="0" r="0" b="0"/>
            <wp:wrapTopAndBottom/>
            <wp:docPr id="273" name="image1566.png"/>
            <wp:cNvGraphicFramePr>
              <a:graphicFrameLocks noChangeAspect="1"/>
            </wp:cNvGraphicFramePr>
            <a:graphic>
              <a:graphicData uri="http://schemas.openxmlformats.org/drawingml/2006/picture">
                <pic:pic>
                  <pic:nvPicPr>
                    <pic:cNvPr id="274" name="image1566.png"/>
                    <pic:cNvPicPr/>
                  </pic:nvPicPr>
                  <pic:blipFill>
                    <a:blip r:embed="rId1668" cstate="print"/>
                    <a:stretch>
                      <a:fillRect/>
                    </a:stretch>
                  </pic:blipFill>
                  <pic:spPr>
                    <a:xfrm>
                      <a:off x="0" y="0"/>
                      <a:ext cx="5408044" cy="4286"/>
                    </a:xfrm>
                    <a:prstGeom prst="rect">
                      <a:avLst/>
                    </a:prstGeom>
                  </pic:spPr>
                </pic:pic>
              </a:graphicData>
            </a:graphic>
          </wp:anchor>
        </w:drawing>
      </w:r>
    </w:p>
    <w:p>
      <w:pPr>
        <w:pStyle w:val="BodyText"/>
        <w:spacing w:before="10"/>
        <w:rPr>
          <w:sz w:val="9"/>
        </w:rPr>
      </w:pPr>
    </w:p>
    <w:p>
      <w:pPr>
        <w:pStyle w:val="BodyText"/>
        <w:spacing w:before="10"/>
        <w:rPr>
          <w:sz w:val="9"/>
        </w:rPr>
      </w:pPr>
    </w:p>
    <w:p>
      <w:pPr>
        <w:pStyle w:val="BodyText"/>
        <w:spacing w:before="10"/>
        <w:rPr>
          <w:sz w:val="9"/>
        </w:rPr>
      </w:pPr>
    </w:p>
    <w:p>
      <w:pPr>
        <w:spacing w:after="0"/>
        <w:rPr>
          <w:sz w:val="9"/>
        </w:rPr>
        <w:sectPr>
          <w:pgSz w:w="12240" w:h="15840"/>
          <w:pgMar w:header="402" w:footer="584" w:top="840" w:bottom="780" w:left="40" w:right="40"/>
        </w:sectPr>
      </w:pPr>
    </w:p>
    <w:p>
      <w:pPr>
        <w:pStyle w:val="BodyText"/>
        <w:rPr>
          <w:sz w:val="20"/>
        </w:rPr>
      </w:pPr>
    </w:p>
    <w:p>
      <w:pPr>
        <w:pStyle w:val="BodyText"/>
        <w:spacing w:before="6"/>
        <w:rPr>
          <w:sz w:val="20"/>
        </w:rPr>
      </w:pPr>
    </w:p>
    <w:p>
      <w:pPr>
        <w:pStyle w:val="BodyText"/>
        <w:spacing w:line="21" w:lineRule="exact"/>
        <w:ind w:left="288"/>
        <w:rPr>
          <w:sz w:val="2"/>
        </w:rPr>
      </w:pPr>
      <w:r>
        <w:rPr>
          <w:sz w:val="2"/>
        </w:rPr>
        <w:drawing>
          <wp:inline distT="0" distB="0" distL="0" distR="0">
            <wp:extent cx="7203952" cy="13716"/>
            <wp:effectExtent l="0" t="0" r="0" b="0"/>
            <wp:docPr id="275" name="image1401.png"/>
            <wp:cNvGraphicFramePr>
              <a:graphicFrameLocks noChangeAspect="1"/>
            </wp:cNvGraphicFramePr>
            <a:graphic>
              <a:graphicData uri="http://schemas.openxmlformats.org/drawingml/2006/picture">
                <pic:pic>
                  <pic:nvPicPr>
                    <pic:cNvPr id="276" name="image1401.png"/>
                    <pic:cNvPicPr/>
                  </pic:nvPicPr>
                  <pic:blipFill>
                    <a:blip r:embed="rId1503" cstate="print"/>
                    <a:stretch>
                      <a:fillRect/>
                    </a:stretch>
                  </pic:blipFill>
                  <pic:spPr>
                    <a:xfrm>
                      <a:off x="0" y="0"/>
                      <a:ext cx="7203952" cy="13716"/>
                    </a:xfrm>
                    <a:prstGeom prst="rect">
                      <a:avLst/>
                    </a:prstGeom>
                  </pic:spPr>
                </pic:pic>
              </a:graphicData>
            </a:graphic>
          </wp:inline>
        </w:drawing>
      </w:r>
      <w:r>
        <w:rPr>
          <w:sz w:val="2"/>
        </w:rPr>
      </w:r>
    </w:p>
    <w:p>
      <w:pPr>
        <w:pStyle w:val="Heading8"/>
        <w:spacing w:before="42"/>
        <w:ind w:left="322"/>
      </w:pPr>
      <w:r>
        <w:rPr>
          <w:w w:val="105"/>
        </w:rPr>
        <w:t>S8C. Cost Analysis of District's Labor Agreements - Management/Supervisor/Confidential Employees</w:t>
      </w:r>
    </w:p>
    <w:p>
      <w:pPr>
        <w:pStyle w:val="BodyText"/>
        <w:spacing w:line="21" w:lineRule="exact"/>
        <w:ind w:left="288"/>
        <w:rPr>
          <w:sz w:val="2"/>
        </w:rPr>
      </w:pPr>
      <w:r>
        <w:rPr>
          <w:sz w:val="2"/>
        </w:rPr>
        <w:pict>
          <v:group style="width:567.25pt;height:1.1pt;mso-position-horizontal-relative:char;mso-position-vertical-relative:line" coordorigin="0,0" coordsize="11345,22">
            <v:shape style="position:absolute;left:0;top:0;width:7608;height:22" type="#_x0000_t75" stroked="false">
              <v:imagedata r:id="rId1672" o:title=""/>
            </v:shape>
            <v:shape style="position:absolute;left:0;top:0;width:11345;height:22" type="#_x0000_t75" stroked="false">
              <v:imagedata r:id="rId1503" o:title=""/>
            </v:shape>
          </v:group>
        </w:pict>
      </w:r>
      <w:r>
        <w:rPr>
          <w:sz w:val="2"/>
        </w:rPr>
      </w:r>
    </w:p>
    <w:p>
      <w:pPr>
        <w:pStyle w:val="BodyText"/>
        <w:spacing w:before="1"/>
        <w:rPr>
          <w:b/>
          <w:sz w:val="9"/>
        </w:rPr>
      </w:pPr>
    </w:p>
    <w:p>
      <w:pPr>
        <w:pStyle w:val="BodyText"/>
        <w:spacing w:before="97"/>
        <w:ind w:left="322"/>
      </w:pPr>
      <w:r>
        <w:rPr/>
        <w:t>DATA ENTRY: Enter all applicable data items; there are no extractions in this section.</w:t>
      </w:r>
    </w:p>
    <w:p>
      <w:pPr>
        <w:pStyle w:val="BodyText"/>
        <w:spacing w:before="8"/>
        <w:rPr>
          <w:sz w:val="10"/>
        </w:rPr>
      </w:pPr>
    </w:p>
    <w:p>
      <w:pPr>
        <w:spacing w:after="0"/>
        <w:rPr>
          <w:sz w:val="10"/>
        </w:rPr>
        <w:sectPr>
          <w:pgSz w:w="12240" w:h="15840"/>
          <w:pgMar w:header="402" w:footer="584" w:top="840" w:bottom="780" w:left="40" w:right="40"/>
        </w:sectPr>
      </w:pPr>
    </w:p>
    <w:p>
      <w:pPr>
        <w:pStyle w:val="BodyText"/>
        <w:rPr>
          <w:sz w:val="14"/>
        </w:rPr>
      </w:pPr>
    </w:p>
    <w:p>
      <w:pPr>
        <w:pStyle w:val="BodyText"/>
        <w:rPr>
          <w:sz w:val="14"/>
        </w:rPr>
      </w:pPr>
    </w:p>
    <w:p>
      <w:pPr>
        <w:pStyle w:val="BodyText"/>
        <w:spacing w:before="9"/>
        <w:rPr>
          <w:sz w:val="11"/>
        </w:rPr>
      </w:pPr>
    </w:p>
    <w:p>
      <w:pPr>
        <w:pStyle w:val="BodyText"/>
        <w:ind w:left="322"/>
      </w:pPr>
      <w:r>
        <w:rPr/>
        <w:t>Number of management, supervisor, and confidential FTE positions</w:t>
      </w:r>
    </w:p>
    <w:p>
      <w:pPr>
        <w:pStyle w:val="BodyText"/>
        <w:tabs>
          <w:tab w:pos="2623" w:val="left" w:leader="none"/>
          <w:tab w:pos="2719" w:val="left" w:leader="none"/>
          <w:tab w:pos="4582" w:val="left" w:leader="none"/>
          <w:tab w:pos="4913" w:val="left" w:leader="none"/>
          <w:tab w:pos="6732" w:val="left" w:leader="none"/>
          <w:tab w:pos="7085" w:val="left" w:leader="none"/>
        </w:tabs>
        <w:spacing w:line="297" w:lineRule="auto" w:before="97"/>
        <w:ind w:left="720" w:right="842" w:hanging="399"/>
      </w:pPr>
      <w:r>
        <w:rPr/>
        <w:br w:type="column"/>
      </w:r>
      <w:r>
        <w:rPr/>
        <w:t>Prior Year (2nd</w:t>
      </w:r>
      <w:r>
        <w:rPr>
          <w:spacing w:val="3"/>
        </w:rPr>
        <w:t> </w:t>
      </w:r>
      <w:r>
        <w:rPr/>
        <w:t>Interim)</w:t>
        <w:tab/>
        <w:t>Budget</w:t>
      </w:r>
      <w:r>
        <w:rPr>
          <w:spacing w:val="5"/>
        </w:rPr>
        <w:t> </w:t>
      </w:r>
      <w:r>
        <w:rPr/>
        <w:t>Year</w:t>
        <w:tab/>
        <w:t>1st</w:t>
      </w:r>
      <w:r>
        <w:rPr>
          <w:spacing w:val="6"/>
        </w:rPr>
        <w:t> </w:t>
      </w:r>
      <w:r>
        <w:rPr/>
        <w:t>Subsequent</w:t>
      </w:r>
      <w:r>
        <w:rPr>
          <w:spacing w:val="6"/>
        </w:rPr>
        <w:t> </w:t>
      </w:r>
      <w:r>
        <w:rPr/>
        <w:t>Year</w:t>
        <w:tab/>
        <w:t>2nd Subsequent </w:t>
      </w:r>
      <w:r>
        <w:rPr>
          <w:spacing w:val="-4"/>
        </w:rPr>
        <w:t>Year </w:t>
      </w:r>
      <w:r>
        <w:rPr/>
        <w:t>(2020-21)</w:t>
        <w:tab/>
        <w:tab/>
        <w:t>(2021-22)</w:t>
        <w:tab/>
        <w:tab/>
        <w:t>(2022-23)</w:t>
        <w:tab/>
        <w:tab/>
        <w:t>(2023-24)</w:t>
      </w:r>
    </w:p>
    <w:p>
      <w:pPr>
        <w:spacing w:after="0" w:line="297" w:lineRule="auto"/>
        <w:sectPr>
          <w:type w:val="continuous"/>
          <w:pgSz w:w="12240" w:h="15840"/>
          <w:pgMar w:top="1500" w:bottom="840" w:left="40" w:right="40"/>
          <w:cols w:num="2" w:equalWidth="0">
            <w:col w:w="2782" w:space="518"/>
            <w:col w:w="8860"/>
          </w:cols>
        </w:sectPr>
      </w:pPr>
    </w:p>
    <w:p>
      <w:pPr>
        <w:pStyle w:val="BodyText"/>
        <w:spacing w:before="7"/>
        <w:rPr>
          <w:sz w:val="10"/>
        </w:rPr>
      </w:pPr>
    </w:p>
    <w:p>
      <w:pPr>
        <w:spacing w:line="297" w:lineRule="auto" w:before="97"/>
        <w:ind w:left="322" w:right="9170" w:firstLine="0"/>
        <w:jc w:val="left"/>
        <w:rPr>
          <w:b/>
          <w:sz w:val="13"/>
        </w:rPr>
      </w:pPr>
      <w:r>
        <w:rPr/>
        <w:pict>
          <v:group style="position:absolute;margin-left:166.199997pt;margin-top:-22.413111pt;width:417.5pt;height:16.7pt;mso-position-horizontal-relative:page;mso-position-vertical-relative:paragraph;z-index:-313718784" coordorigin="3324,-448" coordsize="8350,334">
            <v:shape style="position:absolute;left:3324;top:-449;width:8350;height:334" type="#_x0000_t75" stroked="false">
              <v:imagedata r:id="rId1801" o:title=""/>
            </v:shape>
            <v:shape style="position:absolute;left:5112;top:-268;width:204;height:148" type="#_x0000_t202" filled="false" stroked="false">
              <v:textbox inset="0,0,0,0">
                <w:txbxContent>
                  <w:p>
                    <w:pPr>
                      <w:spacing w:line="147" w:lineRule="exact" w:before="0"/>
                      <w:ind w:left="0" w:right="0" w:firstLine="0"/>
                      <w:jc w:val="left"/>
                      <w:rPr>
                        <w:sz w:val="13"/>
                      </w:rPr>
                    </w:pPr>
                    <w:r>
                      <w:rPr>
                        <w:sz w:val="13"/>
                      </w:rPr>
                      <w:t>1.0</w:t>
                    </w:r>
                  </w:p>
                </w:txbxContent>
              </v:textbox>
              <w10:wrap type="none"/>
            </v:shape>
            <v:shape style="position:absolute;left:7068;top:-268;width:204;height:148" type="#_x0000_t202" filled="false" stroked="false">
              <v:textbox inset="0,0,0,0">
                <w:txbxContent>
                  <w:p>
                    <w:pPr>
                      <w:spacing w:line="147" w:lineRule="exact" w:before="0"/>
                      <w:ind w:left="0" w:right="0" w:firstLine="0"/>
                      <w:jc w:val="left"/>
                      <w:rPr>
                        <w:sz w:val="13"/>
                      </w:rPr>
                    </w:pPr>
                    <w:r>
                      <w:rPr>
                        <w:sz w:val="13"/>
                      </w:rPr>
                      <w:t>1.0</w:t>
                    </w:r>
                  </w:p>
                </w:txbxContent>
              </v:textbox>
              <w10:wrap type="none"/>
            </v:shape>
            <v:shape style="position:absolute;left:9499;top:-268;width:204;height:148" type="#_x0000_t202" filled="false" stroked="false">
              <v:textbox inset="0,0,0,0">
                <w:txbxContent>
                  <w:p>
                    <w:pPr>
                      <w:spacing w:line="147" w:lineRule="exact" w:before="0"/>
                      <w:ind w:left="0" w:right="0" w:firstLine="0"/>
                      <w:jc w:val="left"/>
                      <w:rPr>
                        <w:sz w:val="13"/>
                      </w:rPr>
                    </w:pPr>
                    <w:r>
                      <w:rPr>
                        <w:sz w:val="13"/>
                      </w:rPr>
                      <w:t>1.0</w:t>
                    </w:r>
                  </w:p>
                </w:txbxContent>
              </v:textbox>
              <w10:wrap type="none"/>
            </v:shape>
            <v:shape style="position:absolute;left:11412;top:-268;width:204;height:148" type="#_x0000_t202" filled="false" stroked="false">
              <v:textbox inset="0,0,0,0">
                <w:txbxContent>
                  <w:p>
                    <w:pPr>
                      <w:spacing w:line="147" w:lineRule="exact" w:before="0"/>
                      <w:ind w:left="0" w:right="0" w:firstLine="0"/>
                      <w:jc w:val="left"/>
                      <w:rPr>
                        <w:sz w:val="13"/>
                      </w:rPr>
                    </w:pPr>
                    <w:r>
                      <w:rPr>
                        <w:sz w:val="13"/>
                      </w:rPr>
                      <w:t>1.0</w:t>
                    </w:r>
                  </w:p>
                </w:txbxContent>
              </v:textbox>
              <w10:wrap type="none"/>
            </v:shape>
            <w10:wrap type="none"/>
          </v:group>
        </w:pict>
      </w:r>
      <w:r>
        <w:rPr/>
        <w:pict>
          <v:group style="position:absolute;margin-left:316.679993pt;margin-top:12.386896pt;width:80.2pt;height:18.850pt;mso-position-horizontal-relative:page;mso-position-vertical-relative:paragraph;z-index:252650496" coordorigin="6334,248" coordsize="1604,377">
            <v:shape style="position:absolute;left:6333;top:247;width:1604;height:377" type="#_x0000_t75" stroked="false">
              <v:imagedata r:id="rId1765" o:title=""/>
            </v:shape>
            <v:shape style="position:absolute;left:7044;top:471;width:204;height:148" type="#_x0000_t202" filled="false" stroked="false">
              <v:textbox inset="0,0,0,0">
                <w:txbxContent>
                  <w:p>
                    <w:pPr>
                      <w:spacing w:line="147" w:lineRule="exact" w:before="0"/>
                      <w:ind w:left="0" w:right="0" w:firstLine="0"/>
                      <w:jc w:val="left"/>
                      <w:rPr>
                        <w:sz w:val="13"/>
                      </w:rPr>
                    </w:pPr>
                    <w:r>
                      <w:rPr>
                        <w:sz w:val="13"/>
                      </w:rPr>
                      <w:t>n/a</w:t>
                    </w:r>
                  </w:p>
                </w:txbxContent>
              </v:textbox>
              <w10:wrap type="none"/>
            </v:shape>
            <w10:wrap type="none"/>
          </v:group>
        </w:pict>
      </w:r>
      <w:r>
        <w:rPr>
          <w:b/>
          <w:sz w:val="13"/>
        </w:rPr>
        <w:t>Management/Supervisor/Confidential Salary and Benefit Negotiations</w:t>
      </w:r>
    </w:p>
    <w:p>
      <w:pPr>
        <w:pStyle w:val="ListParagraph"/>
        <w:numPr>
          <w:ilvl w:val="0"/>
          <w:numId w:val="83"/>
        </w:numPr>
        <w:tabs>
          <w:tab w:pos="821" w:val="left" w:leader="none"/>
          <w:tab w:pos="822" w:val="left" w:leader="none"/>
        </w:tabs>
        <w:spacing w:line="240" w:lineRule="auto" w:before="1" w:after="0"/>
        <w:ind w:left="821" w:right="0" w:hanging="334"/>
        <w:jc w:val="left"/>
        <w:rPr>
          <w:sz w:val="13"/>
        </w:rPr>
      </w:pPr>
      <w:r>
        <w:rPr>
          <w:sz w:val="13"/>
        </w:rPr>
        <w:t>Are salary and benefit negotiations settled for the budget</w:t>
      </w:r>
      <w:r>
        <w:rPr>
          <w:spacing w:val="-1"/>
          <w:sz w:val="13"/>
        </w:rPr>
        <w:t> </w:t>
      </w:r>
      <w:r>
        <w:rPr>
          <w:sz w:val="13"/>
        </w:rPr>
        <w:t>year?</w:t>
      </w:r>
    </w:p>
    <w:p>
      <w:pPr>
        <w:pStyle w:val="BodyText"/>
        <w:spacing w:before="79"/>
        <w:ind w:left="2583"/>
      </w:pPr>
      <w:r>
        <w:rPr/>
        <w:t>If Yes, complete question 2.</w:t>
      </w:r>
    </w:p>
    <w:p>
      <w:pPr>
        <w:pStyle w:val="BodyText"/>
        <w:spacing w:before="10"/>
        <w:rPr>
          <w:sz w:val="17"/>
        </w:rPr>
      </w:pPr>
    </w:p>
    <w:p>
      <w:pPr>
        <w:pStyle w:val="BodyText"/>
        <w:ind w:left="2583"/>
      </w:pPr>
      <w:r>
        <w:rPr/>
        <w:t>If No, identify the unsettled negotiations including any prior year unsettled negotiations and then complete questions 3 and 4.</w:t>
      </w:r>
    </w:p>
    <w:p>
      <w:pPr>
        <w:pStyle w:val="BodyText"/>
        <w:spacing w:before="1"/>
        <w:rPr>
          <w:sz w:val="11"/>
        </w:rPr>
      </w:pPr>
      <w:r>
        <w:rPr/>
        <w:drawing>
          <wp:anchor distT="0" distB="0" distL="0" distR="0" allowOverlap="1" layoutInCell="1" locked="0" behindDoc="0" simplePos="0" relativeHeight="962">
            <wp:simplePos x="0" y="0"/>
            <wp:positionH relativeFrom="page">
              <wp:posOffset>1644395</wp:posOffset>
            </wp:positionH>
            <wp:positionV relativeFrom="paragraph">
              <wp:posOffset>106263</wp:posOffset>
            </wp:positionV>
            <wp:extent cx="5768340" cy="431292"/>
            <wp:effectExtent l="0" t="0" r="0" b="0"/>
            <wp:wrapTopAndBottom/>
            <wp:docPr id="277" name="image1545.png"/>
            <wp:cNvGraphicFramePr>
              <a:graphicFrameLocks noChangeAspect="1"/>
            </wp:cNvGraphicFramePr>
            <a:graphic>
              <a:graphicData uri="http://schemas.openxmlformats.org/drawingml/2006/picture">
                <pic:pic>
                  <pic:nvPicPr>
                    <pic:cNvPr id="278" name="image1545.png"/>
                    <pic:cNvPicPr/>
                  </pic:nvPicPr>
                  <pic:blipFill>
                    <a:blip r:embed="rId1647" cstate="print"/>
                    <a:stretch>
                      <a:fillRect/>
                    </a:stretch>
                  </pic:blipFill>
                  <pic:spPr>
                    <a:xfrm>
                      <a:off x="0" y="0"/>
                      <a:ext cx="5768340" cy="431292"/>
                    </a:xfrm>
                    <a:prstGeom prst="rect">
                      <a:avLst/>
                    </a:prstGeom>
                  </pic:spPr>
                </pic:pic>
              </a:graphicData>
            </a:graphic>
          </wp:anchor>
        </w:drawing>
      </w:r>
    </w:p>
    <w:p>
      <w:pPr>
        <w:pStyle w:val="BodyText"/>
        <w:spacing w:before="4"/>
      </w:pPr>
    </w:p>
    <w:p>
      <w:pPr>
        <w:pStyle w:val="BodyText"/>
        <w:ind w:left="2583"/>
      </w:pPr>
      <w:r>
        <w:rPr/>
        <w:t>If n/a, skip the remainder of Section S8C.</w:t>
      </w:r>
    </w:p>
    <w:p>
      <w:pPr>
        <w:pStyle w:val="BodyText"/>
        <w:spacing w:before="35"/>
        <w:ind w:left="322"/>
      </w:pPr>
      <w:r>
        <w:rPr>
          <w:spacing w:val="-96"/>
          <w:u w:val="single"/>
        </w:rPr>
        <w:t>N</w:t>
      </w:r>
      <w:r>
        <w:rPr>
          <w:spacing w:val="62"/>
        </w:rPr>
        <w:t> </w:t>
      </w:r>
      <w:r>
        <w:rPr>
          <w:u w:val="single"/>
        </w:rPr>
        <w:t>egotiations Settled</w:t>
      </w:r>
    </w:p>
    <w:p>
      <w:pPr>
        <w:pStyle w:val="ListParagraph"/>
        <w:numPr>
          <w:ilvl w:val="0"/>
          <w:numId w:val="83"/>
        </w:numPr>
        <w:tabs>
          <w:tab w:pos="821" w:val="left" w:leader="none"/>
          <w:tab w:pos="822" w:val="left" w:leader="none"/>
          <w:tab w:pos="5923" w:val="left" w:leader="none"/>
          <w:tab w:pos="7882" w:val="left" w:leader="none"/>
          <w:tab w:pos="8213" w:val="left" w:leader="none"/>
          <w:tab w:pos="10032" w:val="left" w:leader="none"/>
          <w:tab w:pos="10385" w:val="left" w:leader="none"/>
        </w:tabs>
        <w:spacing w:line="297" w:lineRule="auto" w:before="36" w:after="0"/>
        <w:ind w:left="6020" w:right="842" w:hanging="5532"/>
        <w:jc w:val="left"/>
        <w:rPr>
          <w:sz w:val="13"/>
        </w:rPr>
      </w:pPr>
      <w:r>
        <w:rPr/>
        <w:drawing>
          <wp:anchor distT="0" distB="0" distL="0" distR="0" allowOverlap="1" layoutInCell="1" locked="0" behindDoc="1" simplePos="0" relativeHeight="189600768">
            <wp:simplePos x="0" y="0"/>
            <wp:positionH relativeFrom="page">
              <wp:posOffset>3407664</wp:posOffset>
            </wp:positionH>
            <wp:positionV relativeFrom="paragraph">
              <wp:posOffset>234402</wp:posOffset>
            </wp:positionV>
            <wp:extent cx="4005071" cy="740663"/>
            <wp:effectExtent l="0" t="0" r="0" b="0"/>
            <wp:wrapNone/>
            <wp:docPr id="279" name="image1692.png"/>
            <wp:cNvGraphicFramePr>
              <a:graphicFrameLocks noChangeAspect="1"/>
            </wp:cNvGraphicFramePr>
            <a:graphic>
              <a:graphicData uri="http://schemas.openxmlformats.org/drawingml/2006/picture">
                <pic:pic>
                  <pic:nvPicPr>
                    <pic:cNvPr id="280" name="image1692.png"/>
                    <pic:cNvPicPr/>
                  </pic:nvPicPr>
                  <pic:blipFill>
                    <a:blip r:embed="rId1802" cstate="print"/>
                    <a:stretch>
                      <a:fillRect/>
                    </a:stretch>
                  </pic:blipFill>
                  <pic:spPr>
                    <a:xfrm>
                      <a:off x="0" y="0"/>
                      <a:ext cx="4005071" cy="740663"/>
                    </a:xfrm>
                    <a:prstGeom prst="rect">
                      <a:avLst/>
                    </a:prstGeom>
                  </pic:spPr>
                </pic:pic>
              </a:graphicData>
            </a:graphic>
          </wp:anchor>
        </w:drawing>
      </w:r>
      <w:r>
        <w:rPr>
          <w:sz w:val="13"/>
        </w:rPr>
        <w:t>Salary</w:t>
      </w:r>
      <w:r>
        <w:rPr>
          <w:spacing w:val="7"/>
          <w:sz w:val="13"/>
        </w:rPr>
        <w:t> </w:t>
      </w:r>
      <w:r>
        <w:rPr>
          <w:sz w:val="13"/>
        </w:rPr>
        <w:t>settlement:</w:t>
        <w:tab/>
        <w:t>Budget</w:t>
      </w:r>
      <w:r>
        <w:rPr>
          <w:spacing w:val="4"/>
          <w:sz w:val="13"/>
        </w:rPr>
        <w:t> </w:t>
      </w:r>
      <w:r>
        <w:rPr>
          <w:sz w:val="13"/>
        </w:rPr>
        <w:t>Year</w:t>
        <w:tab/>
        <w:t>1st</w:t>
      </w:r>
      <w:r>
        <w:rPr>
          <w:spacing w:val="6"/>
          <w:sz w:val="13"/>
        </w:rPr>
        <w:t> </w:t>
      </w:r>
      <w:r>
        <w:rPr>
          <w:sz w:val="13"/>
        </w:rPr>
        <w:t>Subsequent</w:t>
      </w:r>
      <w:r>
        <w:rPr>
          <w:spacing w:val="7"/>
          <w:sz w:val="13"/>
        </w:rPr>
        <w:t> </w:t>
      </w:r>
      <w:r>
        <w:rPr>
          <w:sz w:val="13"/>
        </w:rPr>
        <w:t>Year</w:t>
        <w:tab/>
        <w:t>2nd Subsequent </w:t>
      </w:r>
      <w:r>
        <w:rPr>
          <w:spacing w:val="-4"/>
          <w:sz w:val="13"/>
        </w:rPr>
        <w:t>Year </w:t>
      </w:r>
      <w:r>
        <w:rPr>
          <w:sz w:val="13"/>
        </w:rPr>
        <w:t>(2021-22)</w:t>
        <w:tab/>
        <w:tab/>
        <w:t>(2022-23)</w:t>
        <w:tab/>
        <w:tab/>
        <w:t>(2023-24)</w:t>
      </w:r>
    </w:p>
    <w:p>
      <w:pPr>
        <w:pStyle w:val="BodyText"/>
        <w:spacing w:line="268" w:lineRule="auto" w:before="51"/>
        <w:ind w:left="821" w:right="7250"/>
      </w:pPr>
      <w:r>
        <w:rPr/>
        <w:t>Is the cost of salary settlement included in the budget and multiyear projections (MYPs)?</w:t>
      </w:r>
    </w:p>
    <w:p>
      <w:pPr>
        <w:spacing w:after="0" w:line="268" w:lineRule="auto"/>
        <w:sectPr>
          <w:type w:val="continuous"/>
          <w:pgSz w:w="12240" w:h="15840"/>
          <w:pgMar w:top="1500" w:bottom="840" w:left="40" w:right="40"/>
        </w:sect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spacing w:before="2"/>
      </w:pPr>
    </w:p>
    <w:p>
      <w:pPr>
        <w:pStyle w:val="BodyText"/>
        <w:ind w:left="322"/>
      </w:pPr>
      <w:r>
        <w:rPr/>
        <w:drawing>
          <wp:anchor distT="0" distB="0" distL="0" distR="0" allowOverlap="1" layoutInCell="1" locked="0" behindDoc="1" simplePos="0" relativeHeight="189602816">
            <wp:simplePos x="0" y="0"/>
            <wp:positionH relativeFrom="page">
              <wp:posOffset>3407664</wp:posOffset>
            </wp:positionH>
            <wp:positionV relativeFrom="paragraph">
              <wp:posOffset>552918</wp:posOffset>
            </wp:positionV>
            <wp:extent cx="4005075" cy="121920"/>
            <wp:effectExtent l="0" t="0" r="0" b="0"/>
            <wp:wrapNone/>
            <wp:docPr id="281" name="image1663.png"/>
            <wp:cNvGraphicFramePr>
              <a:graphicFrameLocks noChangeAspect="1"/>
            </wp:cNvGraphicFramePr>
            <a:graphic>
              <a:graphicData uri="http://schemas.openxmlformats.org/drawingml/2006/picture">
                <pic:pic>
                  <pic:nvPicPr>
                    <pic:cNvPr id="282" name="image1663.png"/>
                    <pic:cNvPicPr/>
                  </pic:nvPicPr>
                  <pic:blipFill>
                    <a:blip r:embed="rId1773" cstate="print"/>
                    <a:stretch>
                      <a:fillRect/>
                    </a:stretch>
                  </pic:blipFill>
                  <pic:spPr>
                    <a:xfrm>
                      <a:off x="0" y="0"/>
                      <a:ext cx="4005075" cy="121920"/>
                    </a:xfrm>
                    <a:prstGeom prst="rect">
                      <a:avLst/>
                    </a:prstGeom>
                  </pic:spPr>
                </pic:pic>
              </a:graphicData>
            </a:graphic>
          </wp:anchor>
        </w:drawing>
      </w:r>
      <w:r>
        <w:rPr/>
        <w:drawing>
          <wp:anchor distT="0" distB="0" distL="0" distR="0" allowOverlap="1" layoutInCell="1" locked="0" behindDoc="1" simplePos="0" relativeHeight="189603840">
            <wp:simplePos x="0" y="0"/>
            <wp:positionH relativeFrom="page">
              <wp:posOffset>3407664</wp:posOffset>
            </wp:positionH>
            <wp:positionV relativeFrom="paragraph">
              <wp:posOffset>1118322</wp:posOffset>
            </wp:positionV>
            <wp:extent cx="4005070" cy="591312"/>
            <wp:effectExtent l="0" t="0" r="0" b="0"/>
            <wp:wrapNone/>
            <wp:docPr id="283" name="image1693.png"/>
            <wp:cNvGraphicFramePr>
              <a:graphicFrameLocks noChangeAspect="1"/>
            </wp:cNvGraphicFramePr>
            <a:graphic>
              <a:graphicData uri="http://schemas.openxmlformats.org/drawingml/2006/picture">
                <pic:pic>
                  <pic:nvPicPr>
                    <pic:cNvPr id="284" name="image1693.png"/>
                    <pic:cNvPicPr/>
                  </pic:nvPicPr>
                  <pic:blipFill>
                    <a:blip r:embed="rId1803" cstate="print"/>
                    <a:stretch>
                      <a:fillRect/>
                    </a:stretch>
                  </pic:blipFill>
                  <pic:spPr>
                    <a:xfrm>
                      <a:off x="0" y="0"/>
                      <a:ext cx="4005070" cy="591312"/>
                    </a:xfrm>
                    <a:prstGeom prst="rect">
                      <a:avLst/>
                    </a:prstGeom>
                  </pic:spPr>
                </pic:pic>
              </a:graphicData>
            </a:graphic>
          </wp:anchor>
        </w:drawing>
      </w:r>
      <w:r>
        <w:rPr>
          <w:spacing w:val="-96"/>
          <w:u w:val="single"/>
        </w:rPr>
        <w:t>N</w:t>
      </w:r>
      <w:r>
        <w:rPr>
          <w:spacing w:val="68"/>
        </w:rPr>
        <w:t> </w:t>
      </w:r>
      <w:r>
        <w:rPr>
          <w:u w:val="single"/>
        </w:rPr>
        <w:t>egotiations Not Settled</w:t>
      </w:r>
    </w:p>
    <w:p>
      <w:pPr>
        <w:pStyle w:val="BodyText"/>
        <w:spacing w:before="18"/>
        <w:ind w:left="322"/>
      </w:pPr>
      <w:r>
        <w:rPr/>
        <w:br w:type="column"/>
      </w:r>
      <w:r>
        <w:rPr/>
        <w:t>Total cost of salary settlement</w:t>
      </w:r>
    </w:p>
    <w:p>
      <w:pPr>
        <w:pStyle w:val="BodyText"/>
        <w:rPr>
          <w:sz w:val="14"/>
        </w:rPr>
      </w:pPr>
    </w:p>
    <w:p>
      <w:pPr>
        <w:pStyle w:val="BodyText"/>
        <w:spacing w:before="107"/>
        <w:ind w:left="322" w:right="6771"/>
      </w:pPr>
      <w:r>
        <w:rPr/>
        <w:drawing>
          <wp:anchor distT="0" distB="0" distL="0" distR="0" allowOverlap="1" layoutInCell="1" locked="0" behindDoc="1" simplePos="0" relativeHeight="189601792">
            <wp:simplePos x="0" y="0"/>
            <wp:positionH relativeFrom="page">
              <wp:posOffset>3407664</wp:posOffset>
            </wp:positionH>
            <wp:positionV relativeFrom="paragraph">
              <wp:posOffset>492848</wp:posOffset>
            </wp:positionV>
            <wp:extent cx="1246630" cy="121920"/>
            <wp:effectExtent l="0" t="0" r="0" b="0"/>
            <wp:wrapNone/>
            <wp:docPr id="285" name="image1421.png"/>
            <wp:cNvGraphicFramePr>
              <a:graphicFrameLocks noChangeAspect="1"/>
            </wp:cNvGraphicFramePr>
            <a:graphic>
              <a:graphicData uri="http://schemas.openxmlformats.org/drawingml/2006/picture">
                <pic:pic>
                  <pic:nvPicPr>
                    <pic:cNvPr id="286" name="image1421.png"/>
                    <pic:cNvPicPr/>
                  </pic:nvPicPr>
                  <pic:blipFill>
                    <a:blip r:embed="rId1523" cstate="print"/>
                    <a:stretch>
                      <a:fillRect/>
                    </a:stretch>
                  </pic:blipFill>
                  <pic:spPr>
                    <a:xfrm>
                      <a:off x="0" y="0"/>
                      <a:ext cx="1246630" cy="121920"/>
                    </a:xfrm>
                    <a:prstGeom prst="rect">
                      <a:avLst/>
                    </a:prstGeom>
                  </pic:spPr>
                </pic:pic>
              </a:graphicData>
            </a:graphic>
          </wp:anchor>
        </w:drawing>
      </w:r>
      <w:r>
        <w:rPr/>
        <w:t>% change in salary schedule from prior year (may enter text, such as "Reopener")</w:t>
      </w:r>
    </w:p>
    <w:p>
      <w:pPr>
        <w:spacing w:after="0"/>
        <w:sectPr>
          <w:type w:val="continuous"/>
          <w:pgSz w:w="12240" w:h="15840"/>
          <w:pgMar w:top="1500" w:bottom="840" w:left="40" w:right="40"/>
          <w:cols w:num="2" w:equalWidth="0">
            <w:col w:w="1786" w:space="475"/>
            <w:col w:w="9899"/>
          </w:cols>
        </w:sectPr>
      </w:pPr>
    </w:p>
    <w:p>
      <w:pPr>
        <w:pStyle w:val="BodyText"/>
        <w:spacing w:before="4"/>
        <w:rPr>
          <w:sz w:val="3"/>
        </w:rPr>
      </w:pPr>
      <w:r>
        <w:rPr/>
        <w:drawing>
          <wp:anchor distT="0" distB="0" distL="0" distR="0" allowOverlap="1" layoutInCell="1" locked="0" behindDoc="1" simplePos="0" relativeHeight="189604864">
            <wp:simplePos x="0" y="0"/>
            <wp:positionH relativeFrom="page">
              <wp:posOffset>3407664</wp:posOffset>
            </wp:positionH>
            <wp:positionV relativeFrom="page">
              <wp:posOffset>6733032</wp:posOffset>
            </wp:positionV>
            <wp:extent cx="4005074" cy="431292"/>
            <wp:effectExtent l="0" t="0" r="0" b="0"/>
            <wp:wrapNone/>
            <wp:docPr id="287" name="image1694.png"/>
            <wp:cNvGraphicFramePr>
              <a:graphicFrameLocks noChangeAspect="1"/>
            </wp:cNvGraphicFramePr>
            <a:graphic>
              <a:graphicData uri="http://schemas.openxmlformats.org/drawingml/2006/picture">
                <pic:pic>
                  <pic:nvPicPr>
                    <pic:cNvPr id="288" name="image1694.png"/>
                    <pic:cNvPicPr/>
                  </pic:nvPicPr>
                  <pic:blipFill>
                    <a:blip r:embed="rId1804" cstate="print"/>
                    <a:stretch>
                      <a:fillRect/>
                    </a:stretch>
                  </pic:blipFill>
                  <pic:spPr>
                    <a:xfrm>
                      <a:off x="0" y="0"/>
                      <a:ext cx="4005074" cy="431292"/>
                    </a:xfrm>
                    <a:prstGeom prst="rect">
                      <a:avLst/>
                    </a:prstGeom>
                  </pic:spPr>
                </pic:pic>
              </a:graphicData>
            </a:graphic>
          </wp:anchor>
        </w:drawing>
      </w:r>
      <w:r>
        <w:rPr/>
        <w:pict>
          <v:group style="position:absolute;margin-left:268.320007pt;margin-top:599.039978pt;width:315.4pt;height:37.35pt;mso-position-horizontal-relative:page;mso-position-vertical-relative:page;z-index:-313710592" coordorigin="5366,11981" coordsize="6308,747">
            <v:shape style="position:absolute;left:6333;top:11980;width:996;height:8" type="#_x0000_t75" stroked="false">
              <v:imagedata r:id="rId1589" o:title=""/>
            </v:shape>
            <v:shape style="position:absolute;left:5366;top:11980;width:6308;height:747" type="#_x0000_t75" stroked="false">
              <v:imagedata r:id="rId1805" o:title=""/>
            </v:shape>
            <w10:wrap type="none"/>
          </v:group>
        </w:pict>
      </w:r>
    </w:p>
    <w:tbl>
      <w:tblPr>
        <w:tblW w:w="0" w:type="auto"/>
        <w:jc w:val="left"/>
        <w:tblInd w:w="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118"/>
        <w:gridCol w:w="1863"/>
        <w:gridCol w:w="2307"/>
        <w:gridCol w:w="1772"/>
      </w:tblGrid>
      <w:tr>
        <w:trPr>
          <w:trHeight w:val="518" w:hRule="atLeast"/>
        </w:trPr>
        <w:tc>
          <w:tcPr>
            <w:tcW w:w="5118" w:type="dxa"/>
          </w:tcPr>
          <w:p>
            <w:pPr>
              <w:pStyle w:val="TableParagraph"/>
              <w:tabs>
                <w:tab w:pos="532" w:val="left" w:leader="none"/>
              </w:tabs>
              <w:spacing w:line="147" w:lineRule="exact"/>
              <w:ind w:left="198"/>
              <w:rPr>
                <w:sz w:val="13"/>
              </w:rPr>
            </w:pPr>
            <w:r>
              <w:rPr>
                <w:sz w:val="13"/>
              </w:rPr>
              <w:t>3.</w:t>
              <w:tab/>
              <w:t>Cost of a one percent increase in salary and statutory</w:t>
            </w:r>
            <w:r>
              <w:rPr>
                <w:spacing w:val="7"/>
                <w:sz w:val="13"/>
              </w:rPr>
              <w:t> </w:t>
            </w:r>
            <w:r>
              <w:rPr>
                <w:sz w:val="13"/>
              </w:rPr>
              <w:t>benefits</w:t>
            </w:r>
          </w:p>
        </w:tc>
        <w:tc>
          <w:tcPr>
            <w:tcW w:w="1863" w:type="dxa"/>
          </w:tcPr>
          <w:p>
            <w:pPr>
              <w:pStyle w:val="TableParagraph"/>
              <w:rPr>
                <w:sz w:val="14"/>
              </w:rPr>
            </w:pPr>
          </w:p>
          <w:p>
            <w:pPr>
              <w:pStyle w:val="TableParagraph"/>
              <w:spacing w:before="5"/>
              <w:rPr>
                <w:sz w:val="16"/>
              </w:rPr>
            </w:pPr>
          </w:p>
          <w:p>
            <w:pPr>
              <w:pStyle w:val="TableParagraph"/>
              <w:spacing w:line="149" w:lineRule="exact"/>
              <w:ind w:left="503" w:right="596"/>
              <w:jc w:val="center"/>
              <w:rPr>
                <w:sz w:val="13"/>
              </w:rPr>
            </w:pPr>
            <w:r>
              <w:rPr>
                <w:sz w:val="13"/>
              </w:rPr>
              <w:t>Budget Year</w:t>
            </w:r>
          </w:p>
        </w:tc>
        <w:tc>
          <w:tcPr>
            <w:tcW w:w="2307" w:type="dxa"/>
          </w:tcPr>
          <w:p>
            <w:pPr>
              <w:pStyle w:val="TableParagraph"/>
              <w:rPr>
                <w:sz w:val="14"/>
              </w:rPr>
            </w:pPr>
          </w:p>
          <w:p>
            <w:pPr>
              <w:pStyle w:val="TableParagraph"/>
              <w:spacing w:before="5"/>
              <w:rPr>
                <w:sz w:val="16"/>
              </w:rPr>
            </w:pPr>
          </w:p>
          <w:p>
            <w:pPr>
              <w:pStyle w:val="TableParagraph"/>
              <w:spacing w:line="149" w:lineRule="exact"/>
              <w:ind w:left="602" w:right="447"/>
              <w:jc w:val="center"/>
              <w:rPr>
                <w:sz w:val="13"/>
              </w:rPr>
            </w:pPr>
            <w:r>
              <w:rPr>
                <w:sz w:val="13"/>
              </w:rPr>
              <w:t>1st Subsequent Year</w:t>
            </w:r>
          </w:p>
        </w:tc>
        <w:tc>
          <w:tcPr>
            <w:tcW w:w="1772" w:type="dxa"/>
          </w:tcPr>
          <w:p>
            <w:pPr>
              <w:pStyle w:val="TableParagraph"/>
              <w:rPr>
                <w:sz w:val="14"/>
              </w:rPr>
            </w:pPr>
          </w:p>
          <w:p>
            <w:pPr>
              <w:pStyle w:val="TableParagraph"/>
              <w:spacing w:before="5"/>
              <w:rPr>
                <w:sz w:val="16"/>
              </w:rPr>
            </w:pPr>
          </w:p>
          <w:p>
            <w:pPr>
              <w:pStyle w:val="TableParagraph"/>
              <w:spacing w:line="149" w:lineRule="exact"/>
              <w:ind w:left="446" w:right="25"/>
              <w:jc w:val="center"/>
              <w:rPr>
                <w:sz w:val="13"/>
              </w:rPr>
            </w:pPr>
            <w:r>
              <w:rPr>
                <w:sz w:val="13"/>
              </w:rPr>
              <w:t>2nd Subsequent Year</w:t>
            </w:r>
          </w:p>
        </w:tc>
      </w:tr>
      <w:tr>
        <w:trPr>
          <w:trHeight w:val="184" w:hRule="atLeast"/>
        </w:trPr>
        <w:tc>
          <w:tcPr>
            <w:tcW w:w="5118" w:type="dxa"/>
          </w:tcPr>
          <w:p>
            <w:pPr>
              <w:pStyle w:val="TableParagraph"/>
              <w:rPr>
                <w:rFonts w:ascii="Times New Roman"/>
                <w:sz w:val="12"/>
              </w:rPr>
            </w:pPr>
          </w:p>
        </w:tc>
        <w:tc>
          <w:tcPr>
            <w:tcW w:w="1863" w:type="dxa"/>
          </w:tcPr>
          <w:p>
            <w:pPr>
              <w:pStyle w:val="TableParagraph"/>
              <w:spacing w:line="149" w:lineRule="exact" w:before="16"/>
              <w:ind w:left="503" w:right="561"/>
              <w:jc w:val="center"/>
              <w:rPr>
                <w:sz w:val="13"/>
              </w:rPr>
            </w:pPr>
            <w:r>
              <w:rPr>
                <w:sz w:val="13"/>
              </w:rPr>
              <w:t>(2021-22)</w:t>
            </w:r>
          </w:p>
        </w:tc>
        <w:tc>
          <w:tcPr>
            <w:tcW w:w="2307" w:type="dxa"/>
          </w:tcPr>
          <w:p>
            <w:pPr>
              <w:pStyle w:val="TableParagraph"/>
              <w:spacing w:line="149" w:lineRule="exact" w:before="16"/>
              <w:ind w:left="602" w:right="446"/>
              <w:jc w:val="center"/>
              <w:rPr>
                <w:sz w:val="13"/>
              </w:rPr>
            </w:pPr>
            <w:r>
              <w:rPr>
                <w:sz w:val="13"/>
              </w:rPr>
              <w:t>(2022-23)</w:t>
            </w:r>
          </w:p>
        </w:tc>
        <w:tc>
          <w:tcPr>
            <w:tcW w:w="1772" w:type="dxa"/>
          </w:tcPr>
          <w:p>
            <w:pPr>
              <w:pStyle w:val="TableParagraph"/>
              <w:spacing w:line="149" w:lineRule="exact" w:before="16"/>
              <w:ind w:left="446" w:right="25"/>
              <w:jc w:val="center"/>
              <w:rPr>
                <w:sz w:val="13"/>
              </w:rPr>
            </w:pPr>
            <w:r>
              <w:rPr>
                <w:sz w:val="13"/>
              </w:rPr>
              <w:t>(2023-24)</w:t>
            </w:r>
          </w:p>
        </w:tc>
      </w:tr>
      <w:tr>
        <w:trPr>
          <w:trHeight w:val="351" w:hRule="atLeast"/>
        </w:trPr>
        <w:tc>
          <w:tcPr>
            <w:tcW w:w="5118" w:type="dxa"/>
          </w:tcPr>
          <w:p>
            <w:pPr>
              <w:pStyle w:val="TableParagraph"/>
              <w:tabs>
                <w:tab w:pos="532" w:val="left" w:leader="none"/>
              </w:tabs>
              <w:spacing w:before="16"/>
              <w:ind w:left="198"/>
              <w:rPr>
                <w:sz w:val="13"/>
              </w:rPr>
            </w:pPr>
            <w:r>
              <w:rPr>
                <w:sz w:val="13"/>
              </w:rPr>
              <w:t>4.</w:t>
              <w:tab/>
              <w:t>Amount included for any tentative salary schedule</w:t>
            </w:r>
            <w:r>
              <w:rPr>
                <w:spacing w:val="5"/>
                <w:sz w:val="13"/>
              </w:rPr>
              <w:t> </w:t>
            </w:r>
            <w:r>
              <w:rPr>
                <w:sz w:val="13"/>
              </w:rPr>
              <w:t>increases</w:t>
            </w:r>
          </w:p>
        </w:tc>
        <w:tc>
          <w:tcPr>
            <w:tcW w:w="1863" w:type="dxa"/>
          </w:tcPr>
          <w:p>
            <w:pPr>
              <w:pStyle w:val="TableParagraph"/>
              <w:rPr>
                <w:rFonts w:ascii="Times New Roman"/>
                <w:sz w:val="12"/>
              </w:rPr>
            </w:pPr>
          </w:p>
        </w:tc>
        <w:tc>
          <w:tcPr>
            <w:tcW w:w="2307" w:type="dxa"/>
          </w:tcPr>
          <w:p>
            <w:pPr>
              <w:pStyle w:val="TableParagraph"/>
              <w:rPr>
                <w:rFonts w:ascii="Times New Roman"/>
                <w:sz w:val="12"/>
              </w:rPr>
            </w:pPr>
          </w:p>
        </w:tc>
        <w:tc>
          <w:tcPr>
            <w:tcW w:w="1772" w:type="dxa"/>
          </w:tcPr>
          <w:p>
            <w:pPr>
              <w:pStyle w:val="TableParagraph"/>
              <w:rPr>
                <w:rFonts w:ascii="Times New Roman"/>
                <w:sz w:val="12"/>
              </w:rPr>
            </w:pPr>
          </w:p>
        </w:tc>
      </w:tr>
      <w:tr>
        <w:trPr>
          <w:trHeight w:val="352" w:hRule="atLeast"/>
        </w:trPr>
        <w:tc>
          <w:tcPr>
            <w:tcW w:w="5118" w:type="dxa"/>
          </w:tcPr>
          <w:p>
            <w:pPr>
              <w:pStyle w:val="TableParagraph"/>
              <w:spacing w:before="10"/>
              <w:rPr>
                <w:sz w:val="15"/>
              </w:rPr>
            </w:pPr>
          </w:p>
          <w:p>
            <w:pPr>
              <w:pStyle w:val="TableParagraph"/>
              <w:ind w:left="33"/>
              <w:rPr>
                <w:b/>
                <w:sz w:val="13"/>
              </w:rPr>
            </w:pPr>
            <w:r>
              <w:rPr>
                <w:b/>
                <w:sz w:val="13"/>
              </w:rPr>
              <w:t>Management/Supervisor/Confidential</w:t>
            </w:r>
          </w:p>
        </w:tc>
        <w:tc>
          <w:tcPr>
            <w:tcW w:w="1863" w:type="dxa"/>
          </w:tcPr>
          <w:p>
            <w:pPr>
              <w:pStyle w:val="TableParagraph"/>
              <w:spacing w:before="1"/>
              <w:rPr>
                <w:sz w:val="16"/>
              </w:rPr>
            </w:pPr>
          </w:p>
          <w:p>
            <w:pPr>
              <w:pStyle w:val="TableParagraph"/>
              <w:spacing w:line="147" w:lineRule="exact"/>
              <w:ind w:left="503" w:right="596"/>
              <w:jc w:val="center"/>
              <w:rPr>
                <w:sz w:val="13"/>
              </w:rPr>
            </w:pPr>
            <w:r>
              <w:rPr>
                <w:sz w:val="13"/>
              </w:rPr>
              <w:t>Budget Year</w:t>
            </w:r>
          </w:p>
        </w:tc>
        <w:tc>
          <w:tcPr>
            <w:tcW w:w="2307" w:type="dxa"/>
          </w:tcPr>
          <w:p>
            <w:pPr>
              <w:pStyle w:val="TableParagraph"/>
              <w:spacing w:before="1"/>
              <w:rPr>
                <w:sz w:val="16"/>
              </w:rPr>
            </w:pPr>
          </w:p>
          <w:p>
            <w:pPr>
              <w:pStyle w:val="TableParagraph"/>
              <w:spacing w:line="147" w:lineRule="exact"/>
              <w:ind w:left="602" w:right="447"/>
              <w:jc w:val="center"/>
              <w:rPr>
                <w:sz w:val="13"/>
              </w:rPr>
            </w:pPr>
            <w:r>
              <w:rPr>
                <w:sz w:val="13"/>
              </w:rPr>
              <w:t>1st Subsequent Year</w:t>
            </w:r>
          </w:p>
        </w:tc>
        <w:tc>
          <w:tcPr>
            <w:tcW w:w="1772" w:type="dxa"/>
          </w:tcPr>
          <w:p>
            <w:pPr>
              <w:pStyle w:val="TableParagraph"/>
              <w:spacing w:before="1"/>
              <w:rPr>
                <w:sz w:val="16"/>
              </w:rPr>
            </w:pPr>
          </w:p>
          <w:p>
            <w:pPr>
              <w:pStyle w:val="TableParagraph"/>
              <w:spacing w:line="147" w:lineRule="exact"/>
              <w:ind w:left="446" w:right="25"/>
              <w:jc w:val="center"/>
              <w:rPr>
                <w:sz w:val="13"/>
              </w:rPr>
            </w:pPr>
            <w:r>
              <w:rPr>
                <w:sz w:val="13"/>
              </w:rPr>
              <w:t>2nd Subsequent Year</w:t>
            </w:r>
          </w:p>
        </w:tc>
      </w:tr>
      <w:tr>
        <w:trPr>
          <w:trHeight w:val="262" w:hRule="atLeast"/>
        </w:trPr>
        <w:tc>
          <w:tcPr>
            <w:tcW w:w="5118" w:type="dxa"/>
          </w:tcPr>
          <w:p>
            <w:pPr>
              <w:pStyle w:val="TableParagraph"/>
              <w:spacing w:before="15"/>
              <w:ind w:left="33"/>
              <w:rPr>
                <w:b/>
                <w:sz w:val="13"/>
              </w:rPr>
            </w:pPr>
            <w:r>
              <w:rPr>
                <w:b/>
                <w:sz w:val="13"/>
              </w:rPr>
              <w:t>Health and Welfare (H&amp;W) Benefits</w:t>
            </w:r>
          </w:p>
        </w:tc>
        <w:tc>
          <w:tcPr>
            <w:tcW w:w="1863" w:type="dxa"/>
          </w:tcPr>
          <w:p>
            <w:pPr>
              <w:pStyle w:val="TableParagraph"/>
              <w:spacing w:before="17"/>
              <w:ind w:left="503" w:right="561"/>
              <w:jc w:val="center"/>
              <w:rPr>
                <w:sz w:val="13"/>
              </w:rPr>
            </w:pPr>
            <w:r>
              <w:rPr>
                <w:sz w:val="13"/>
              </w:rPr>
              <w:t>(2021-22)</w:t>
            </w:r>
          </w:p>
        </w:tc>
        <w:tc>
          <w:tcPr>
            <w:tcW w:w="2307" w:type="dxa"/>
          </w:tcPr>
          <w:p>
            <w:pPr>
              <w:pStyle w:val="TableParagraph"/>
              <w:spacing w:before="17"/>
              <w:ind w:left="602" w:right="446"/>
              <w:jc w:val="center"/>
              <w:rPr>
                <w:sz w:val="13"/>
              </w:rPr>
            </w:pPr>
            <w:r>
              <w:rPr>
                <w:sz w:val="13"/>
              </w:rPr>
              <w:t>(2022-23)</w:t>
            </w:r>
          </w:p>
        </w:tc>
        <w:tc>
          <w:tcPr>
            <w:tcW w:w="1772" w:type="dxa"/>
          </w:tcPr>
          <w:p>
            <w:pPr>
              <w:pStyle w:val="TableParagraph"/>
              <w:spacing w:before="17"/>
              <w:ind w:left="446" w:right="25"/>
              <w:jc w:val="center"/>
              <w:rPr>
                <w:sz w:val="13"/>
              </w:rPr>
            </w:pPr>
            <w:r>
              <w:rPr>
                <w:sz w:val="13"/>
              </w:rPr>
              <w:t>(2023-24)</w:t>
            </w:r>
          </w:p>
        </w:tc>
      </w:tr>
      <w:tr>
        <w:trPr>
          <w:trHeight w:val="277" w:hRule="atLeast"/>
        </w:trPr>
        <w:tc>
          <w:tcPr>
            <w:tcW w:w="5118" w:type="dxa"/>
          </w:tcPr>
          <w:p>
            <w:pPr>
              <w:pStyle w:val="TableParagraph"/>
              <w:tabs>
                <w:tab w:pos="532" w:val="left" w:leader="none"/>
              </w:tabs>
              <w:spacing w:before="93"/>
              <w:ind w:left="198"/>
              <w:rPr>
                <w:sz w:val="13"/>
              </w:rPr>
            </w:pPr>
            <w:r>
              <w:rPr>
                <w:sz w:val="13"/>
              </w:rPr>
              <w:t>1.</w:t>
              <w:tab/>
              <w:t>Are costs of H&amp;W benefit changes included in the budget and</w:t>
            </w:r>
            <w:r>
              <w:rPr>
                <w:spacing w:val="24"/>
                <w:sz w:val="13"/>
              </w:rPr>
              <w:t> </w:t>
            </w:r>
            <w:r>
              <w:rPr>
                <w:sz w:val="13"/>
              </w:rPr>
              <w:t>MYPs?</w:t>
            </w:r>
          </w:p>
        </w:tc>
        <w:tc>
          <w:tcPr>
            <w:tcW w:w="1863" w:type="dxa"/>
          </w:tcPr>
          <w:p>
            <w:pPr>
              <w:pStyle w:val="TableParagraph"/>
              <w:rPr>
                <w:rFonts w:ascii="Times New Roman"/>
                <w:sz w:val="12"/>
              </w:rPr>
            </w:pPr>
          </w:p>
        </w:tc>
        <w:tc>
          <w:tcPr>
            <w:tcW w:w="2307" w:type="dxa"/>
          </w:tcPr>
          <w:p>
            <w:pPr>
              <w:pStyle w:val="TableParagraph"/>
              <w:rPr>
                <w:rFonts w:ascii="Times New Roman"/>
                <w:sz w:val="12"/>
              </w:rPr>
            </w:pPr>
          </w:p>
        </w:tc>
        <w:tc>
          <w:tcPr>
            <w:tcW w:w="1772" w:type="dxa"/>
          </w:tcPr>
          <w:p>
            <w:pPr>
              <w:pStyle w:val="TableParagraph"/>
              <w:rPr>
                <w:rFonts w:ascii="Times New Roman"/>
                <w:sz w:val="12"/>
              </w:rPr>
            </w:pPr>
          </w:p>
        </w:tc>
      </w:tr>
      <w:tr>
        <w:trPr>
          <w:trHeight w:val="200" w:hRule="atLeast"/>
        </w:trPr>
        <w:tc>
          <w:tcPr>
            <w:tcW w:w="5118" w:type="dxa"/>
          </w:tcPr>
          <w:p>
            <w:pPr>
              <w:pStyle w:val="TableParagraph"/>
              <w:tabs>
                <w:tab w:pos="532" w:val="left" w:leader="none"/>
              </w:tabs>
              <w:spacing w:line="149" w:lineRule="exact" w:before="31"/>
              <w:ind w:left="198"/>
              <w:rPr>
                <w:sz w:val="13"/>
              </w:rPr>
            </w:pPr>
            <w:r>
              <w:rPr>
                <w:sz w:val="13"/>
              </w:rPr>
              <w:t>2.</w:t>
              <w:tab/>
              <w:t>Total cost of H&amp;W</w:t>
            </w:r>
            <w:r>
              <w:rPr>
                <w:spacing w:val="-1"/>
                <w:sz w:val="13"/>
              </w:rPr>
              <w:t> </w:t>
            </w:r>
            <w:r>
              <w:rPr>
                <w:sz w:val="13"/>
              </w:rPr>
              <w:t>benefits</w:t>
            </w:r>
          </w:p>
        </w:tc>
        <w:tc>
          <w:tcPr>
            <w:tcW w:w="1863" w:type="dxa"/>
          </w:tcPr>
          <w:p>
            <w:pPr>
              <w:pStyle w:val="TableParagraph"/>
              <w:rPr>
                <w:rFonts w:ascii="Times New Roman"/>
                <w:sz w:val="12"/>
              </w:rPr>
            </w:pPr>
          </w:p>
        </w:tc>
        <w:tc>
          <w:tcPr>
            <w:tcW w:w="2307" w:type="dxa"/>
          </w:tcPr>
          <w:p>
            <w:pPr>
              <w:pStyle w:val="TableParagraph"/>
              <w:rPr>
                <w:rFonts w:ascii="Times New Roman"/>
                <w:sz w:val="12"/>
              </w:rPr>
            </w:pPr>
          </w:p>
        </w:tc>
        <w:tc>
          <w:tcPr>
            <w:tcW w:w="1772" w:type="dxa"/>
          </w:tcPr>
          <w:p>
            <w:pPr>
              <w:pStyle w:val="TableParagraph"/>
              <w:rPr>
                <w:rFonts w:ascii="Times New Roman"/>
                <w:sz w:val="12"/>
              </w:rPr>
            </w:pPr>
          </w:p>
        </w:tc>
      </w:tr>
      <w:tr>
        <w:trPr>
          <w:trHeight w:val="184" w:hRule="atLeast"/>
        </w:trPr>
        <w:tc>
          <w:tcPr>
            <w:tcW w:w="5118" w:type="dxa"/>
          </w:tcPr>
          <w:p>
            <w:pPr>
              <w:pStyle w:val="TableParagraph"/>
              <w:tabs>
                <w:tab w:pos="532" w:val="left" w:leader="none"/>
              </w:tabs>
              <w:spacing w:line="149" w:lineRule="exact" w:before="16"/>
              <w:ind w:left="198"/>
              <w:rPr>
                <w:sz w:val="13"/>
              </w:rPr>
            </w:pPr>
            <w:r>
              <w:rPr>
                <w:sz w:val="13"/>
              </w:rPr>
              <w:t>3.</w:t>
              <w:tab/>
              <w:t>Percent of H&amp;W cost paid by</w:t>
            </w:r>
            <w:r>
              <w:rPr>
                <w:spacing w:val="2"/>
                <w:sz w:val="13"/>
              </w:rPr>
              <w:t> </w:t>
            </w:r>
            <w:r>
              <w:rPr>
                <w:sz w:val="13"/>
              </w:rPr>
              <w:t>employer</w:t>
            </w:r>
          </w:p>
        </w:tc>
        <w:tc>
          <w:tcPr>
            <w:tcW w:w="1863" w:type="dxa"/>
          </w:tcPr>
          <w:p>
            <w:pPr>
              <w:pStyle w:val="TableParagraph"/>
              <w:rPr>
                <w:rFonts w:ascii="Times New Roman"/>
                <w:sz w:val="12"/>
              </w:rPr>
            </w:pPr>
          </w:p>
        </w:tc>
        <w:tc>
          <w:tcPr>
            <w:tcW w:w="2307" w:type="dxa"/>
          </w:tcPr>
          <w:p>
            <w:pPr>
              <w:pStyle w:val="TableParagraph"/>
              <w:rPr>
                <w:rFonts w:ascii="Times New Roman"/>
                <w:sz w:val="12"/>
              </w:rPr>
            </w:pPr>
          </w:p>
        </w:tc>
        <w:tc>
          <w:tcPr>
            <w:tcW w:w="1772" w:type="dxa"/>
          </w:tcPr>
          <w:p>
            <w:pPr>
              <w:pStyle w:val="TableParagraph"/>
              <w:rPr>
                <w:rFonts w:ascii="Times New Roman"/>
                <w:sz w:val="12"/>
              </w:rPr>
            </w:pPr>
          </w:p>
        </w:tc>
      </w:tr>
      <w:tr>
        <w:trPr>
          <w:trHeight w:val="351" w:hRule="atLeast"/>
        </w:trPr>
        <w:tc>
          <w:tcPr>
            <w:tcW w:w="5118" w:type="dxa"/>
          </w:tcPr>
          <w:p>
            <w:pPr>
              <w:pStyle w:val="TableParagraph"/>
              <w:tabs>
                <w:tab w:pos="532" w:val="left" w:leader="none"/>
              </w:tabs>
              <w:spacing w:before="16"/>
              <w:ind w:left="198"/>
              <w:rPr>
                <w:sz w:val="13"/>
              </w:rPr>
            </w:pPr>
            <w:r>
              <w:rPr>
                <w:sz w:val="13"/>
              </w:rPr>
              <w:t>4.</w:t>
              <w:tab/>
              <w:t>Percent projected change in H&amp;W cost over prior</w:t>
            </w:r>
            <w:r>
              <w:rPr>
                <w:spacing w:val="10"/>
                <w:sz w:val="13"/>
              </w:rPr>
              <w:t> </w:t>
            </w:r>
            <w:r>
              <w:rPr>
                <w:sz w:val="13"/>
              </w:rPr>
              <w:t>year</w:t>
            </w:r>
          </w:p>
        </w:tc>
        <w:tc>
          <w:tcPr>
            <w:tcW w:w="1863" w:type="dxa"/>
          </w:tcPr>
          <w:p>
            <w:pPr>
              <w:pStyle w:val="TableParagraph"/>
              <w:rPr>
                <w:rFonts w:ascii="Times New Roman"/>
                <w:sz w:val="12"/>
              </w:rPr>
            </w:pPr>
          </w:p>
        </w:tc>
        <w:tc>
          <w:tcPr>
            <w:tcW w:w="2307" w:type="dxa"/>
          </w:tcPr>
          <w:p>
            <w:pPr>
              <w:pStyle w:val="TableParagraph"/>
              <w:rPr>
                <w:rFonts w:ascii="Times New Roman"/>
                <w:sz w:val="12"/>
              </w:rPr>
            </w:pPr>
          </w:p>
        </w:tc>
        <w:tc>
          <w:tcPr>
            <w:tcW w:w="1772" w:type="dxa"/>
          </w:tcPr>
          <w:p>
            <w:pPr>
              <w:pStyle w:val="TableParagraph"/>
              <w:rPr>
                <w:rFonts w:ascii="Times New Roman"/>
                <w:sz w:val="12"/>
              </w:rPr>
            </w:pPr>
          </w:p>
        </w:tc>
      </w:tr>
      <w:tr>
        <w:trPr>
          <w:trHeight w:val="344" w:hRule="atLeast"/>
        </w:trPr>
        <w:tc>
          <w:tcPr>
            <w:tcW w:w="5118" w:type="dxa"/>
          </w:tcPr>
          <w:p>
            <w:pPr>
              <w:pStyle w:val="TableParagraph"/>
              <w:spacing w:before="10"/>
              <w:rPr>
                <w:sz w:val="15"/>
              </w:rPr>
            </w:pPr>
          </w:p>
          <w:p>
            <w:pPr>
              <w:pStyle w:val="TableParagraph"/>
              <w:spacing w:line="141" w:lineRule="exact"/>
              <w:ind w:left="33"/>
              <w:rPr>
                <w:b/>
                <w:sz w:val="13"/>
              </w:rPr>
            </w:pPr>
            <w:r>
              <w:rPr>
                <w:b/>
                <w:sz w:val="13"/>
              </w:rPr>
              <w:t>Management/Supervisor/Confidential</w:t>
            </w:r>
          </w:p>
        </w:tc>
        <w:tc>
          <w:tcPr>
            <w:tcW w:w="1863" w:type="dxa"/>
          </w:tcPr>
          <w:p>
            <w:pPr>
              <w:pStyle w:val="TableParagraph"/>
              <w:spacing w:before="1"/>
              <w:rPr>
                <w:sz w:val="16"/>
              </w:rPr>
            </w:pPr>
          </w:p>
          <w:p>
            <w:pPr>
              <w:pStyle w:val="TableParagraph"/>
              <w:spacing w:line="139" w:lineRule="exact"/>
              <w:ind w:left="503" w:right="596"/>
              <w:jc w:val="center"/>
              <w:rPr>
                <w:sz w:val="13"/>
              </w:rPr>
            </w:pPr>
            <w:r>
              <w:rPr>
                <w:sz w:val="13"/>
              </w:rPr>
              <w:t>Budget Year</w:t>
            </w:r>
          </w:p>
        </w:tc>
        <w:tc>
          <w:tcPr>
            <w:tcW w:w="2307" w:type="dxa"/>
          </w:tcPr>
          <w:p>
            <w:pPr>
              <w:pStyle w:val="TableParagraph"/>
              <w:spacing w:before="1"/>
              <w:rPr>
                <w:sz w:val="16"/>
              </w:rPr>
            </w:pPr>
          </w:p>
          <w:p>
            <w:pPr>
              <w:pStyle w:val="TableParagraph"/>
              <w:spacing w:line="139" w:lineRule="exact"/>
              <w:ind w:left="602" w:right="447"/>
              <w:jc w:val="center"/>
              <w:rPr>
                <w:sz w:val="13"/>
              </w:rPr>
            </w:pPr>
            <w:r>
              <w:rPr>
                <w:sz w:val="13"/>
              </w:rPr>
              <w:t>1st Subsequent Year</w:t>
            </w:r>
          </w:p>
        </w:tc>
        <w:tc>
          <w:tcPr>
            <w:tcW w:w="1772" w:type="dxa"/>
          </w:tcPr>
          <w:p>
            <w:pPr>
              <w:pStyle w:val="TableParagraph"/>
              <w:spacing w:before="1"/>
              <w:rPr>
                <w:sz w:val="16"/>
              </w:rPr>
            </w:pPr>
          </w:p>
          <w:p>
            <w:pPr>
              <w:pStyle w:val="TableParagraph"/>
              <w:spacing w:line="139" w:lineRule="exact"/>
              <w:ind w:left="446" w:right="25"/>
              <w:jc w:val="center"/>
              <w:rPr>
                <w:sz w:val="13"/>
              </w:rPr>
            </w:pPr>
            <w:r>
              <w:rPr>
                <w:sz w:val="13"/>
              </w:rPr>
              <w:t>2nd Subsequent Year</w:t>
            </w:r>
          </w:p>
        </w:tc>
      </w:tr>
      <w:tr>
        <w:trPr>
          <w:trHeight w:val="245" w:hRule="atLeast"/>
        </w:trPr>
        <w:tc>
          <w:tcPr>
            <w:tcW w:w="5118" w:type="dxa"/>
          </w:tcPr>
          <w:p>
            <w:pPr>
              <w:pStyle w:val="TableParagraph"/>
              <w:spacing w:before="6"/>
              <w:ind w:left="33"/>
              <w:rPr>
                <w:b/>
                <w:sz w:val="13"/>
              </w:rPr>
            </w:pPr>
            <w:r>
              <w:rPr>
                <w:b/>
                <w:sz w:val="13"/>
              </w:rPr>
              <w:t>Step and Column Adjustments</w:t>
            </w:r>
          </w:p>
        </w:tc>
        <w:tc>
          <w:tcPr>
            <w:tcW w:w="1863" w:type="dxa"/>
          </w:tcPr>
          <w:p>
            <w:pPr>
              <w:pStyle w:val="TableParagraph"/>
              <w:spacing w:before="9"/>
              <w:ind w:left="503" w:right="561"/>
              <w:jc w:val="center"/>
              <w:rPr>
                <w:sz w:val="13"/>
              </w:rPr>
            </w:pPr>
            <w:r>
              <w:rPr>
                <w:sz w:val="13"/>
              </w:rPr>
              <w:t>(2021-22)</w:t>
            </w:r>
          </w:p>
        </w:tc>
        <w:tc>
          <w:tcPr>
            <w:tcW w:w="2307" w:type="dxa"/>
          </w:tcPr>
          <w:p>
            <w:pPr>
              <w:pStyle w:val="TableParagraph"/>
              <w:spacing w:before="9"/>
              <w:ind w:left="602" w:right="446"/>
              <w:jc w:val="center"/>
              <w:rPr>
                <w:sz w:val="13"/>
              </w:rPr>
            </w:pPr>
            <w:r>
              <w:rPr>
                <w:sz w:val="13"/>
              </w:rPr>
              <w:t>(2022-23)</w:t>
            </w:r>
          </w:p>
        </w:tc>
        <w:tc>
          <w:tcPr>
            <w:tcW w:w="1772" w:type="dxa"/>
          </w:tcPr>
          <w:p>
            <w:pPr>
              <w:pStyle w:val="TableParagraph"/>
              <w:spacing w:before="9"/>
              <w:ind w:left="446" w:right="25"/>
              <w:jc w:val="center"/>
              <w:rPr>
                <w:sz w:val="13"/>
              </w:rPr>
            </w:pPr>
            <w:r>
              <w:rPr>
                <w:sz w:val="13"/>
              </w:rPr>
              <w:t>(2023-24)</w:t>
            </w:r>
          </w:p>
        </w:tc>
      </w:tr>
      <w:tr>
        <w:trPr>
          <w:trHeight w:val="770" w:hRule="atLeast"/>
        </w:trPr>
        <w:tc>
          <w:tcPr>
            <w:tcW w:w="5118" w:type="dxa"/>
          </w:tcPr>
          <w:p>
            <w:pPr>
              <w:pStyle w:val="TableParagraph"/>
              <w:numPr>
                <w:ilvl w:val="0"/>
                <w:numId w:val="84"/>
              </w:numPr>
              <w:tabs>
                <w:tab w:pos="532" w:val="left" w:leader="none"/>
                <w:tab w:pos="533" w:val="left" w:leader="none"/>
              </w:tabs>
              <w:spacing w:line="240" w:lineRule="auto" w:before="89" w:after="0"/>
              <w:ind w:left="532" w:right="0" w:hanging="335"/>
              <w:jc w:val="left"/>
              <w:rPr>
                <w:sz w:val="13"/>
              </w:rPr>
            </w:pPr>
            <w:r>
              <w:rPr>
                <w:sz w:val="13"/>
              </w:rPr>
              <w:t>Are step &amp; column adjustments included in the budget and</w:t>
            </w:r>
            <w:r>
              <w:rPr>
                <w:spacing w:val="20"/>
                <w:sz w:val="13"/>
              </w:rPr>
              <w:t> </w:t>
            </w:r>
            <w:r>
              <w:rPr>
                <w:sz w:val="13"/>
              </w:rPr>
              <w:t>MYPs?</w:t>
            </w:r>
          </w:p>
          <w:p>
            <w:pPr>
              <w:pStyle w:val="TableParagraph"/>
              <w:numPr>
                <w:ilvl w:val="0"/>
                <w:numId w:val="84"/>
              </w:numPr>
              <w:tabs>
                <w:tab w:pos="532" w:val="left" w:leader="none"/>
                <w:tab w:pos="533" w:val="left" w:leader="none"/>
              </w:tabs>
              <w:spacing w:line="240" w:lineRule="auto" w:before="18" w:after="0"/>
              <w:ind w:left="532" w:right="0" w:hanging="335"/>
              <w:jc w:val="left"/>
              <w:rPr>
                <w:sz w:val="13"/>
              </w:rPr>
            </w:pPr>
            <w:r>
              <w:rPr>
                <w:sz w:val="13"/>
              </w:rPr>
              <w:t>Cost of step and column</w:t>
            </w:r>
            <w:r>
              <w:rPr>
                <w:spacing w:val="1"/>
                <w:sz w:val="13"/>
              </w:rPr>
              <w:t> </w:t>
            </w:r>
            <w:r>
              <w:rPr>
                <w:sz w:val="13"/>
              </w:rPr>
              <w:t>adjustments</w:t>
            </w:r>
          </w:p>
          <w:p>
            <w:pPr>
              <w:pStyle w:val="TableParagraph"/>
              <w:numPr>
                <w:ilvl w:val="0"/>
                <w:numId w:val="84"/>
              </w:numPr>
              <w:tabs>
                <w:tab w:pos="532" w:val="left" w:leader="none"/>
                <w:tab w:pos="533" w:val="left" w:leader="none"/>
              </w:tabs>
              <w:spacing w:line="240" w:lineRule="auto" w:before="19" w:after="0"/>
              <w:ind w:left="532" w:right="0" w:hanging="335"/>
              <w:jc w:val="left"/>
              <w:rPr>
                <w:sz w:val="13"/>
              </w:rPr>
            </w:pPr>
            <w:r>
              <w:rPr>
                <w:sz w:val="13"/>
              </w:rPr>
              <w:t>Percent change in step &amp; column over prior</w:t>
            </w:r>
            <w:r>
              <w:rPr>
                <w:spacing w:val="3"/>
                <w:sz w:val="13"/>
              </w:rPr>
              <w:t> </w:t>
            </w:r>
            <w:r>
              <w:rPr>
                <w:sz w:val="13"/>
              </w:rPr>
              <w:t>year</w:t>
            </w:r>
          </w:p>
        </w:tc>
        <w:tc>
          <w:tcPr>
            <w:tcW w:w="1863" w:type="dxa"/>
          </w:tcPr>
          <w:p>
            <w:pPr>
              <w:pStyle w:val="TableParagraph"/>
              <w:rPr>
                <w:rFonts w:ascii="Times New Roman"/>
                <w:sz w:val="12"/>
              </w:rPr>
            </w:pPr>
          </w:p>
        </w:tc>
        <w:tc>
          <w:tcPr>
            <w:tcW w:w="2307" w:type="dxa"/>
          </w:tcPr>
          <w:p>
            <w:pPr>
              <w:pStyle w:val="TableParagraph"/>
              <w:rPr>
                <w:rFonts w:ascii="Times New Roman"/>
                <w:sz w:val="12"/>
              </w:rPr>
            </w:pPr>
          </w:p>
        </w:tc>
        <w:tc>
          <w:tcPr>
            <w:tcW w:w="1772" w:type="dxa"/>
          </w:tcPr>
          <w:p>
            <w:pPr>
              <w:pStyle w:val="TableParagraph"/>
              <w:rPr>
                <w:rFonts w:ascii="Times New Roman"/>
                <w:sz w:val="12"/>
              </w:rPr>
            </w:pPr>
          </w:p>
        </w:tc>
      </w:tr>
      <w:tr>
        <w:trPr>
          <w:trHeight w:val="352" w:hRule="atLeast"/>
        </w:trPr>
        <w:tc>
          <w:tcPr>
            <w:tcW w:w="5118" w:type="dxa"/>
          </w:tcPr>
          <w:p>
            <w:pPr>
              <w:pStyle w:val="TableParagraph"/>
              <w:spacing w:before="10"/>
              <w:rPr>
                <w:sz w:val="15"/>
              </w:rPr>
            </w:pPr>
          </w:p>
          <w:p>
            <w:pPr>
              <w:pStyle w:val="TableParagraph"/>
              <w:ind w:left="33"/>
              <w:rPr>
                <w:b/>
                <w:sz w:val="13"/>
              </w:rPr>
            </w:pPr>
            <w:r>
              <w:rPr>
                <w:b/>
                <w:sz w:val="13"/>
              </w:rPr>
              <w:t>Management/Supervisor/Confidential</w:t>
            </w:r>
          </w:p>
        </w:tc>
        <w:tc>
          <w:tcPr>
            <w:tcW w:w="1863" w:type="dxa"/>
          </w:tcPr>
          <w:p>
            <w:pPr>
              <w:pStyle w:val="TableParagraph"/>
              <w:spacing w:before="1"/>
              <w:rPr>
                <w:sz w:val="16"/>
              </w:rPr>
            </w:pPr>
          </w:p>
          <w:p>
            <w:pPr>
              <w:pStyle w:val="TableParagraph"/>
              <w:spacing w:line="147" w:lineRule="exact"/>
              <w:ind w:left="503" w:right="596"/>
              <w:jc w:val="center"/>
              <w:rPr>
                <w:sz w:val="13"/>
              </w:rPr>
            </w:pPr>
            <w:r>
              <w:rPr>
                <w:sz w:val="13"/>
              </w:rPr>
              <w:t>Budget Year</w:t>
            </w:r>
          </w:p>
        </w:tc>
        <w:tc>
          <w:tcPr>
            <w:tcW w:w="2307" w:type="dxa"/>
          </w:tcPr>
          <w:p>
            <w:pPr>
              <w:pStyle w:val="TableParagraph"/>
              <w:spacing w:before="1"/>
              <w:rPr>
                <w:sz w:val="16"/>
              </w:rPr>
            </w:pPr>
          </w:p>
          <w:p>
            <w:pPr>
              <w:pStyle w:val="TableParagraph"/>
              <w:spacing w:line="147" w:lineRule="exact"/>
              <w:ind w:left="602" w:right="447"/>
              <w:jc w:val="center"/>
              <w:rPr>
                <w:sz w:val="13"/>
              </w:rPr>
            </w:pPr>
            <w:r>
              <w:rPr>
                <w:sz w:val="13"/>
              </w:rPr>
              <w:t>1st Subsequent Year</w:t>
            </w:r>
          </w:p>
        </w:tc>
        <w:tc>
          <w:tcPr>
            <w:tcW w:w="1772" w:type="dxa"/>
          </w:tcPr>
          <w:p>
            <w:pPr>
              <w:pStyle w:val="TableParagraph"/>
              <w:spacing w:before="1"/>
              <w:rPr>
                <w:sz w:val="16"/>
              </w:rPr>
            </w:pPr>
          </w:p>
          <w:p>
            <w:pPr>
              <w:pStyle w:val="TableParagraph"/>
              <w:spacing w:line="147" w:lineRule="exact"/>
              <w:ind w:left="446" w:right="25"/>
              <w:jc w:val="center"/>
              <w:rPr>
                <w:sz w:val="13"/>
              </w:rPr>
            </w:pPr>
            <w:r>
              <w:rPr>
                <w:sz w:val="13"/>
              </w:rPr>
              <w:t>2nd Subsequent Year</w:t>
            </w:r>
          </w:p>
        </w:tc>
      </w:tr>
      <w:tr>
        <w:trPr>
          <w:trHeight w:val="278" w:hRule="atLeast"/>
        </w:trPr>
        <w:tc>
          <w:tcPr>
            <w:tcW w:w="5118" w:type="dxa"/>
          </w:tcPr>
          <w:p>
            <w:pPr>
              <w:pStyle w:val="TableParagraph"/>
              <w:spacing w:before="15"/>
              <w:ind w:left="33"/>
              <w:rPr>
                <w:b/>
                <w:sz w:val="13"/>
              </w:rPr>
            </w:pPr>
            <w:r>
              <w:rPr>
                <w:b/>
                <w:sz w:val="13"/>
              </w:rPr>
              <w:t>Other Benefits (mileage, bonuses, etc.)</w:t>
            </w:r>
          </w:p>
        </w:tc>
        <w:tc>
          <w:tcPr>
            <w:tcW w:w="1863" w:type="dxa"/>
          </w:tcPr>
          <w:p>
            <w:pPr>
              <w:pStyle w:val="TableParagraph"/>
              <w:spacing w:before="17"/>
              <w:ind w:left="503" w:right="561"/>
              <w:jc w:val="center"/>
              <w:rPr>
                <w:sz w:val="13"/>
              </w:rPr>
            </w:pPr>
            <w:r>
              <w:rPr>
                <w:sz w:val="13"/>
              </w:rPr>
              <w:t>(2021-22)</w:t>
            </w:r>
          </w:p>
        </w:tc>
        <w:tc>
          <w:tcPr>
            <w:tcW w:w="2307" w:type="dxa"/>
          </w:tcPr>
          <w:p>
            <w:pPr>
              <w:pStyle w:val="TableParagraph"/>
              <w:spacing w:before="17"/>
              <w:ind w:left="602" w:right="446"/>
              <w:jc w:val="center"/>
              <w:rPr>
                <w:sz w:val="13"/>
              </w:rPr>
            </w:pPr>
            <w:r>
              <w:rPr>
                <w:sz w:val="13"/>
              </w:rPr>
              <w:t>(2022-23)</w:t>
            </w:r>
          </w:p>
        </w:tc>
        <w:tc>
          <w:tcPr>
            <w:tcW w:w="1772" w:type="dxa"/>
          </w:tcPr>
          <w:p>
            <w:pPr>
              <w:pStyle w:val="TableParagraph"/>
              <w:spacing w:before="17"/>
              <w:ind w:left="446" w:right="25"/>
              <w:jc w:val="center"/>
              <w:rPr>
                <w:sz w:val="13"/>
              </w:rPr>
            </w:pPr>
            <w:r>
              <w:rPr>
                <w:sz w:val="13"/>
              </w:rPr>
              <w:t>(2023-24)</w:t>
            </w:r>
          </w:p>
        </w:tc>
      </w:tr>
      <w:tr>
        <w:trPr>
          <w:trHeight w:val="277" w:hRule="atLeast"/>
        </w:trPr>
        <w:tc>
          <w:tcPr>
            <w:tcW w:w="5118" w:type="dxa"/>
          </w:tcPr>
          <w:p>
            <w:pPr>
              <w:pStyle w:val="TableParagraph"/>
              <w:tabs>
                <w:tab w:pos="532" w:val="left" w:leader="none"/>
              </w:tabs>
              <w:spacing w:line="149" w:lineRule="exact" w:before="108"/>
              <w:ind w:left="198"/>
              <w:rPr>
                <w:sz w:val="13"/>
              </w:rPr>
            </w:pPr>
            <w:r>
              <w:rPr>
                <w:sz w:val="13"/>
              </w:rPr>
              <w:t>1.</w:t>
              <w:tab/>
              <w:t>Are costs of other benefits included in the budget and</w:t>
            </w:r>
            <w:r>
              <w:rPr>
                <w:spacing w:val="9"/>
                <w:sz w:val="13"/>
              </w:rPr>
              <w:t> </w:t>
            </w:r>
            <w:r>
              <w:rPr>
                <w:sz w:val="13"/>
              </w:rPr>
              <w:t>MYPs?</w:t>
            </w:r>
          </w:p>
        </w:tc>
        <w:tc>
          <w:tcPr>
            <w:tcW w:w="1863" w:type="dxa"/>
          </w:tcPr>
          <w:p>
            <w:pPr>
              <w:pStyle w:val="TableParagraph"/>
              <w:rPr>
                <w:rFonts w:ascii="Times New Roman"/>
                <w:sz w:val="12"/>
              </w:rPr>
            </w:pPr>
          </w:p>
        </w:tc>
        <w:tc>
          <w:tcPr>
            <w:tcW w:w="2307" w:type="dxa"/>
          </w:tcPr>
          <w:p>
            <w:pPr>
              <w:pStyle w:val="TableParagraph"/>
              <w:rPr>
                <w:rFonts w:ascii="Times New Roman"/>
                <w:sz w:val="12"/>
              </w:rPr>
            </w:pPr>
          </w:p>
        </w:tc>
        <w:tc>
          <w:tcPr>
            <w:tcW w:w="1772" w:type="dxa"/>
          </w:tcPr>
          <w:p>
            <w:pPr>
              <w:pStyle w:val="TableParagraph"/>
              <w:rPr>
                <w:rFonts w:ascii="Times New Roman"/>
                <w:sz w:val="12"/>
              </w:rPr>
            </w:pPr>
          </w:p>
        </w:tc>
      </w:tr>
      <w:tr>
        <w:trPr>
          <w:trHeight w:val="184" w:hRule="atLeast"/>
        </w:trPr>
        <w:tc>
          <w:tcPr>
            <w:tcW w:w="5118" w:type="dxa"/>
          </w:tcPr>
          <w:p>
            <w:pPr>
              <w:pStyle w:val="TableParagraph"/>
              <w:tabs>
                <w:tab w:pos="532" w:val="left" w:leader="none"/>
              </w:tabs>
              <w:spacing w:line="149" w:lineRule="exact" w:before="16"/>
              <w:ind w:left="198"/>
              <w:rPr>
                <w:sz w:val="13"/>
              </w:rPr>
            </w:pPr>
            <w:r>
              <w:rPr>
                <w:sz w:val="13"/>
              </w:rPr>
              <w:t>2.</w:t>
              <w:tab/>
              <w:t>Total cost of other</w:t>
            </w:r>
            <w:r>
              <w:rPr>
                <w:spacing w:val="-7"/>
                <w:sz w:val="13"/>
              </w:rPr>
              <w:t> </w:t>
            </w:r>
            <w:r>
              <w:rPr>
                <w:sz w:val="13"/>
              </w:rPr>
              <w:t>benefits</w:t>
            </w:r>
          </w:p>
        </w:tc>
        <w:tc>
          <w:tcPr>
            <w:tcW w:w="1863" w:type="dxa"/>
          </w:tcPr>
          <w:p>
            <w:pPr>
              <w:pStyle w:val="TableParagraph"/>
              <w:rPr>
                <w:rFonts w:ascii="Times New Roman"/>
                <w:sz w:val="12"/>
              </w:rPr>
            </w:pPr>
          </w:p>
        </w:tc>
        <w:tc>
          <w:tcPr>
            <w:tcW w:w="2307" w:type="dxa"/>
          </w:tcPr>
          <w:p>
            <w:pPr>
              <w:pStyle w:val="TableParagraph"/>
              <w:rPr>
                <w:rFonts w:ascii="Times New Roman"/>
                <w:sz w:val="12"/>
              </w:rPr>
            </w:pPr>
          </w:p>
        </w:tc>
        <w:tc>
          <w:tcPr>
            <w:tcW w:w="1772" w:type="dxa"/>
          </w:tcPr>
          <w:p>
            <w:pPr>
              <w:pStyle w:val="TableParagraph"/>
              <w:rPr>
                <w:rFonts w:ascii="Times New Roman"/>
                <w:sz w:val="12"/>
              </w:rPr>
            </w:pPr>
          </w:p>
        </w:tc>
      </w:tr>
      <w:tr>
        <w:trPr>
          <w:trHeight w:val="165" w:hRule="atLeast"/>
        </w:trPr>
        <w:tc>
          <w:tcPr>
            <w:tcW w:w="5118" w:type="dxa"/>
          </w:tcPr>
          <w:p>
            <w:pPr>
              <w:pStyle w:val="TableParagraph"/>
              <w:tabs>
                <w:tab w:pos="532" w:val="left" w:leader="none"/>
              </w:tabs>
              <w:spacing w:line="130" w:lineRule="exact" w:before="16"/>
              <w:ind w:left="198"/>
              <w:rPr>
                <w:sz w:val="13"/>
              </w:rPr>
            </w:pPr>
            <w:r>
              <w:rPr>
                <w:sz w:val="13"/>
              </w:rPr>
              <w:t>3.</w:t>
              <w:tab/>
              <w:t>Percent change in cost of other benefits over prior</w:t>
            </w:r>
            <w:r>
              <w:rPr>
                <w:spacing w:val="1"/>
                <w:sz w:val="13"/>
              </w:rPr>
              <w:t> </w:t>
            </w:r>
            <w:r>
              <w:rPr>
                <w:sz w:val="13"/>
              </w:rPr>
              <w:t>year</w:t>
            </w:r>
          </w:p>
        </w:tc>
        <w:tc>
          <w:tcPr>
            <w:tcW w:w="1863" w:type="dxa"/>
          </w:tcPr>
          <w:p>
            <w:pPr>
              <w:pStyle w:val="TableParagraph"/>
              <w:rPr>
                <w:rFonts w:ascii="Times New Roman"/>
                <w:sz w:val="10"/>
              </w:rPr>
            </w:pPr>
          </w:p>
        </w:tc>
        <w:tc>
          <w:tcPr>
            <w:tcW w:w="2307" w:type="dxa"/>
          </w:tcPr>
          <w:p>
            <w:pPr>
              <w:pStyle w:val="TableParagraph"/>
              <w:rPr>
                <w:rFonts w:ascii="Times New Roman"/>
                <w:sz w:val="10"/>
              </w:rPr>
            </w:pPr>
          </w:p>
        </w:tc>
        <w:tc>
          <w:tcPr>
            <w:tcW w:w="1772" w:type="dxa"/>
          </w:tcPr>
          <w:p>
            <w:pPr>
              <w:pStyle w:val="TableParagraph"/>
              <w:rPr>
                <w:rFonts w:ascii="Times New Roman"/>
                <w:sz w:val="10"/>
              </w:rPr>
            </w:pPr>
          </w:p>
        </w:tc>
      </w:tr>
    </w:tbl>
    <w:p>
      <w:pPr>
        <w:spacing w:after="0"/>
        <w:rPr>
          <w:rFonts w:ascii="Times New Roman"/>
          <w:sz w:val="10"/>
        </w:rPr>
        <w:sectPr>
          <w:type w:val="continuous"/>
          <w:pgSz w:w="12240" w:h="15840"/>
          <w:pgMar w:top="1500" w:bottom="840" w:left="40" w:right="40"/>
        </w:sectPr>
      </w:pPr>
    </w:p>
    <w:p>
      <w:pPr>
        <w:pStyle w:val="BodyText"/>
        <w:rPr>
          <w:sz w:val="20"/>
        </w:rPr>
      </w:pPr>
    </w:p>
    <w:p>
      <w:pPr>
        <w:pStyle w:val="BodyText"/>
        <w:spacing w:before="7"/>
        <w:rPr>
          <w:sz w:val="19"/>
        </w:rPr>
      </w:pPr>
    </w:p>
    <w:p>
      <w:pPr>
        <w:pStyle w:val="Heading4"/>
        <w:ind w:left="425" w:firstLine="0"/>
      </w:pPr>
      <w:r>
        <w:rPr/>
        <w:t>S9. Local Control and Accountability Plan (LCAP)</w:t>
      </w:r>
    </w:p>
    <w:p>
      <w:pPr>
        <w:pStyle w:val="BodyText"/>
        <w:spacing w:before="5"/>
        <w:rPr>
          <w:b/>
          <w:sz w:val="16"/>
        </w:rPr>
      </w:pPr>
    </w:p>
    <w:p>
      <w:pPr>
        <w:pStyle w:val="BodyText"/>
        <w:spacing w:line="540" w:lineRule="auto" w:before="1"/>
        <w:ind w:left="821" w:right="3703"/>
      </w:pPr>
      <w:r>
        <w:rPr/>
        <w:t>Confirm that the school district's governing board has adopted an LCAP or an update to the LCAP effective for the budget year. DATA ENTRY: Click the appropriate Yes or No button in item 1, and enter the date in item 2.</w:t>
      </w:r>
    </w:p>
    <w:p>
      <w:pPr>
        <w:pStyle w:val="BodyText"/>
        <w:spacing w:before="11"/>
        <w:rPr>
          <w:sz w:val="8"/>
        </w:rPr>
      </w:pPr>
    </w:p>
    <w:p>
      <w:pPr>
        <w:pStyle w:val="ListParagraph"/>
        <w:numPr>
          <w:ilvl w:val="1"/>
          <w:numId w:val="83"/>
        </w:numPr>
        <w:tabs>
          <w:tab w:pos="969" w:val="left" w:leader="none"/>
        </w:tabs>
        <w:spacing w:line="240" w:lineRule="auto" w:before="98" w:after="0"/>
        <w:ind w:left="968" w:right="0" w:hanging="148"/>
        <w:jc w:val="left"/>
        <w:rPr>
          <w:sz w:val="13"/>
        </w:rPr>
      </w:pPr>
      <w:r>
        <w:rPr/>
        <w:pict>
          <v:group style="position:absolute;margin-left:487.679993pt;margin-top:-6.163061pt;width:96pt;height:18.850pt;mso-position-horizontal-relative:page;mso-position-vertical-relative:paragraph;z-index:252659712" coordorigin="9754,-123" coordsize="1920,377">
            <v:shape style="position:absolute;left:9753;top:-124;width:1920;height:377" type="#_x0000_t75" stroked="false">
              <v:imagedata r:id="rId1806" o:title=""/>
            </v:shape>
            <v:shape style="position:absolute;left:10600;top:100;width:244;height:148" type="#_x0000_t202" filled="false" stroked="false">
              <v:textbox inset="0,0,0,0">
                <w:txbxContent>
                  <w:p>
                    <w:pPr>
                      <w:spacing w:line="147" w:lineRule="exact" w:before="0"/>
                      <w:ind w:left="0" w:right="0" w:firstLine="0"/>
                      <w:jc w:val="left"/>
                      <w:rPr>
                        <w:sz w:val="13"/>
                      </w:rPr>
                    </w:pPr>
                    <w:r>
                      <w:rPr>
                        <w:sz w:val="13"/>
                      </w:rPr>
                      <w:t>Yes</w:t>
                    </w:r>
                  </w:p>
                </w:txbxContent>
              </v:textbox>
              <w10:wrap type="none"/>
            </v:shape>
            <w10:wrap type="none"/>
          </v:group>
        </w:pict>
      </w:r>
      <w:r>
        <w:rPr>
          <w:sz w:val="13"/>
        </w:rPr>
        <w:t>Did or will the school district's governing board adopt an LCAP or an update to the LCAP effective for the budget</w:t>
      </w:r>
      <w:r>
        <w:rPr>
          <w:spacing w:val="6"/>
          <w:sz w:val="13"/>
        </w:rPr>
        <w:t> </w:t>
      </w:r>
      <w:r>
        <w:rPr>
          <w:sz w:val="13"/>
        </w:rPr>
        <w:t>year?</w:t>
      </w:r>
    </w:p>
    <w:p>
      <w:pPr>
        <w:pStyle w:val="BodyText"/>
        <w:spacing w:before="2"/>
        <w:rPr>
          <w:sz w:val="16"/>
        </w:rPr>
      </w:pPr>
    </w:p>
    <w:p>
      <w:pPr>
        <w:pStyle w:val="ListParagraph"/>
        <w:numPr>
          <w:ilvl w:val="1"/>
          <w:numId w:val="83"/>
        </w:numPr>
        <w:tabs>
          <w:tab w:pos="969" w:val="left" w:leader="none"/>
        </w:tabs>
        <w:spacing w:line="240" w:lineRule="auto" w:before="0" w:after="0"/>
        <w:ind w:left="968" w:right="0" w:hanging="148"/>
        <w:jc w:val="left"/>
        <w:rPr>
          <w:sz w:val="13"/>
        </w:rPr>
      </w:pPr>
      <w:r>
        <w:rPr/>
        <w:pict>
          <v:group style="position:absolute;margin-left:487.679993pt;margin-top:-.983051pt;width:96pt;height:8.8pt;mso-position-horizontal-relative:page;mso-position-vertical-relative:paragraph;z-index:252661760" coordorigin="9754,-20" coordsize="1920,176">
            <v:shape style="position:absolute;left:9753;top:-20;width:1920;height:176" type="#_x0000_t75" stroked="false">
              <v:imagedata r:id="rId1807" o:title=""/>
            </v:shape>
            <v:shape style="position:absolute;left:9753;top:-20;width:1920;height:176" type="#_x0000_t202" filled="false" stroked="false">
              <v:textbox inset="0,0,0,0">
                <w:txbxContent>
                  <w:p>
                    <w:pPr>
                      <w:spacing w:before="19"/>
                      <w:ind w:left="576" w:right="0" w:firstLine="0"/>
                      <w:jc w:val="left"/>
                      <w:rPr>
                        <w:sz w:val="13"/>
                      </w:rPr>
                    </w:pPr>
                    <w:r>
                      <w:rPr>
                        <w:sz w:val="13"/>
                      </w:rPr>
                      <w:t>Jun 16, 2021</w:t>
                    </w:r>
                  </w:p>
                </w:txbxContent>
              </v:textbox>
              <w10:wrap type="none"/>
            </v:shape>
            <w10:wrap type="none"/>
          </v:group>
        </w:pict>
      </w:r>
      <w:r>
        <w:rPr>
          <w:sz w:val="13"/>
        </w:rPr>
        <w:t>Adoption date of the LCAP or an update to the LCAP.</w:t>
      </w:r>
    </w:p>
    <w:p>
      <w:pPr>
        <w:pStyle w:val="BodyText"/>
        <w:spacing w:before="3"/>
        <w:rPr>
          <w:sz w:val="24"/>
        </w:rPr>
      </w:pPr>
    </w:p>
    <w:p>
      <w:pPr>
        <w:pStyle w:val="Heading4"/>
        <w:spacing w:before="93"/>
        <w:ind w:left="380" w:firstLine="0"/>
      </w:pPr>
      <w:r>
        <w:rPr/>
        <w:t>S10. LCAP Expenditures</w:t>
      </w:r>
    </w:p>
    <w:p>
      <w:pPr>
        <w:pStyle w:val="BodyText"/>
        <w:spacing w:before="6"/>
        <w:rPr>
          <w:b/>
          <w:sz w:val="16"/>
        </w:rPr>
      </w:pPr>
    </w:p>
    <w:p>
      <w:pPr>
        <w:pStyle w:val="BodyText"/>
        <w:spacing w:line="540" w:lineRule="auto"/>
        <w:ind w:left="821" w:right="3703"/>
      </w:pPr>
      <w:r>
        <w:rPr/>
        <w:pict>
          <v:group style="position:absolute;margin-left:487.679993pt;margin-top:32.61694pt;width:96pt;height:19.95pt;mso-position-horizontal-relative:page;mso-position-vertical-relative:paragraph;z-index:252663808" coordorigin="9754,652" coordsize="1920,399">
            <v:shape style="position:absolute;left:9753;top:652;width:1920;height:399" type="#_x0000_t75" stroked="false">
              <v:imagedata r:id="rId1808" o:title=""/>
            </v:shape>
            <v:shape style="position:absolute;left:10600;top:897;width:244;height:148" type="#_x0000_t202" filled="false" stroked="false">
              <v:textbox inset="0,0,0,0">
                <w:txbxContent>
                  <w:p>
                    <w:pPr>
                      <w:spacing w:line="147" w:lineRule="exact" w:before="0"/>
                      <w:ind w:left="0" w:right="0" w:firstLine="0"/>
                      <w:jc w:val="left"/>
                      <w:rPr>
                        <w:sz w:val="13"/>
                      </w:rPr>
                    </w:pPr>
                    <w:r>
                      <w:rPr>
                        <w:sz w:val="13"/>
                      </w:rPr>
                      <w:t>Yes</w:t>
                    </w:r>
                  </w:p>
                </w:txbxContent>
              </v:textbox>
              <w10:wrap type="none"/>
            </v:shape>
            <w10:wrap type="none"/>
          </v:group>
        </w:pict>
      </w:r>
      <w:r>
        <w:rPr/>
        <w:t>Confirm that the school district's budget includes the expenditures necessary to implement the LCAP or annual update to the LCAP. DATA ENTRY: Click the appropriate Yes or No button.</w:t>
      </w:r>
    </w:p>
    <w:p>
      <w:pPr>
        <w:pStyle w:val="BodyText"/>
        <w:spacing w:line="268" w:lineRule="auto" w:before="54"/>
        <w:ind w:left="821" w:right="3401"/>
      </w:pPr>
      <w:r>
        <w:rPr/>
        <w:t>Does the school district's budget include the expenditures necessary to implement the LCAP or annual update to the LCAP as described  in the Local Control and Accountability Plan and Annual Update</w:t>
      </w:r>
      <w:r>
        <w:rPr>
          <w:spacing w:val="-4"/>
        </w:rPr>
        <w:t> </w:t>
      </w:r>
      <w:r>
        <w:rPr/>
        <w:t>Template?</w:t>
      </w:r>
    </w:p>
    <w:p>
      <w:pPr>
        <w:pStyle w:val="BodyText"/>
        <w:rPr>
          <w:sz w:val="9"/>
        </w:rPr>
      </w:pPr>
      <w:r>
        <w:rPr/>
        <w:drawing>
          <wp:anchor distT="0" distB="0" distL="0" distR="0" allowOverlap="1" layoutInCell="1" locked="0" behindDoc="0" simplePos="0" relativeHeight="976">
            <wp:simplePos x="0" y="0"/>
            <wp:positionH relativeFrom="page">
              <wp:posOffset>6193535</wp:posOffset>
            </wp:positionH>
            <wp:positionV relativeFrom="paragraph">
              <wp:posOffset>90751</wp:posOffset>
            </wp:positionV>
            <wp:extent cx="1143030" cy="12858"/>
            <wp:effectExtent l="0" t="0" r="0" b="0"/>
            <wp:wrapTopAndBottom/>
            <wp:docPr id="289" name="image1510.png"/>
            <wp:cNvGraphicFramePr>
              <a:graphicFrameLocks noChangeAspect="1"/>
            </wp:cNvGraphicFramePr>
            <a:graphic>
              <a:graphicData uri="http://schemas.openxmlformats.org/drawingml/2006/picture">
                <pic:pic>
                  <pic:nvPicPr>
                    <pic:cNvPr id="290" name="image1510.png"/>
                    <pic:cNvPicPr/>
                  </pic:nvPicPr>
                  <pic:blipFill>
                    <a:blip r:embed="rId1612" cstate="print"/>
                    <a:stretch>
                      <a:fillRect/>
                    </a:stretch>
                  </pic:blipFill>
                  <pic:spPr>
                    <a:xfrm>
                      <a:off x="0" y="0"/>
                      <a:ext cx="1143030" cy="12858"/>
                    </a:xfrm>
                    <a:prstGeom prst="rect">
                      <a:avLst/>
                    </a:prstGeom>
                  </pic:spPr>
                </pic:pic>
              </a:graphicData>
            </a:graphic>
          </wp:anchor>
        </w:drawing>
      </w:r>
    </w:p>
    <w:p>
      <w:pPr>
        <w:spacing w:after="0"/>
        <w:rPr>
          <w:sz w:val="9"/>
        </w:rPr>
        <w:sectPr>
          <w:pgSz w:w="12240" w:h="15840"/>
          <w:pgMar w:header="402" w:footer="584" w:top="840" w:bottom="780" w:left="40" w:right="40"/>
        </w:sectPr>
      </w:pPr>
    </w:p>
    <w:p>
      <w:pPr>
        <w:pStyle w:val="BodyText"/>
        <w:rPr>
          <w:sz w:val="20"/>
        </w:rPr>
      </w:pPr>
    </w:p>
    <w:p>
      <w:pPr>
        <w:pStyle w:val="BodyText"/>
        <w:spacing w:before="6"/>
        <w:rPr>
          <w:sz w:val="20"/>
        </w:rPr>
      </w:pPr>
    </w:p>
    <w:p>
      <w:pPr>
        <w:pStyle w:val="BodyText"/>
        <w:spacing w:line="21" w:lineRule="exact"/>
        <w:ind w:left="288"/>
        <w:rPr>
          <w:sz w:val="2"/>
        </w:rPr>
      </w:pPr>
      <w:r>
        <w:rPr>
          <w:sz w:val="2"/>
        </w:rPr>
        <w:drawing>
          <wp:inline distT="0" distB="0" distL="0" distR="0">
            <wp:extent cx="5989323" cy="13716"/>
            <wp:effectExtent l="0" t="0" r="0" b="0"/>
            <wp:docPr id="291" name="image1508.png"/>
            <wp:cNvGraphicFramePr>
              <a:graphicFrameLocks noChangeAspect="1"/>
            </wp:cNvGraphicFramePr>
            <a:graphic>
              <a:graphicData uri="http://schemas.openxmlformats.org/drawingml/2006/picture">
                <pic:pic>
                  <pic:nvPicPr>
                    <pic:cNvPr id="292" name="image1508.png"/>
                    <pic:cNvPicPr/>
                  </pic:nvPicPr>
                  <pic:blipFill>
                    <a:blip r:embed="rId1610" cstate="print"/>
                    <a:stretch>
                      <a:fillRect/>
                    </a:stretch>
                  </pic:blipFill>
                  <pic:spPr>
                    <a:xfrm>
                      <a:off x="0" y="0"/>
                      <a:ext cx="5989323" cy="13716"/>
                    </a:xfrm>
                    <a:prstGeom prst="rect">
                      <a:avLst/>
                    </a:prstGeom>
                  </pic:spPr>
                </pic:pic>
              </a:graphicData>
            </a:graphic>
          </wp:inline>
        </w:drawing>
      </w:r>
      <w:r>
        <w:rPr>
          <w:sz w:val="2"/>
        </w:rPr>
      </w:r>
    </w:p>
    <w:p>
      <w:pPr>
        <w:pStyle w:val="Heading2"/>
        <w:spacing w:before="16"/>
      </w:pPr>
      <w:r>
        <w:rPr/>
        <w:t>ADDITIONAL FISCAL INDICATORS</w:t>
      </w:r>
    </w:p>
    <w:p>
      <w:pPr>
        <w:pStyle w:val="BodyText"/>
        <w:spacing w:line="21" w:lineRule="exact"/>
        <w:ind w:left="288"/>
        <w:rPr>
          <w:sz w:val="2"/>
        </w:rPr>
      </w:pPr>
      <w:r>
        <w:rPr>
          <w:sz w:val="2"/>
        </w:rPr>
        <w:pict>
          <v:group style="width:567.25pt;height:1.1pt;mso-position-horizontal-relative:char;mso-position-vertical-relative:line" coordorigin="0,0" coordsize="11345,22">
            <v:shape style="position:absolute;left:0;top:0;width:4438;height:22" type="#_x0000_t75" stroked="false">
              <v:imagedata r:id="rId1509" o:title=""/>
            </v:shape>
            <v:shape style="position:absolute;left:4430;top:0;width:6915;height:22" type="#_x0000_t75" stroked="false">
              <v:imagedata r:id="rId1510" o:title=""/>
            </v:shape>
          </v:group>
        </w:pict>
      </w:r>
      <w:r>
        <w:rPr>
          <w:sz w:val="2"/>
        </w:rPr>
      </w:r>
    </w:p>
    <w:p>
      <w:pPr>
        <w:pStyle w:val="BodyText"/>
        <w:rPr>
          <w:b/>
          <w:sz w:val="14"/>
        </w:rPr>
      </w:pPr>
    </w:p>
    <w:p>
      <w:pPr>
        <w:pStyle w:val="BodyText"/>
        <w:spacing w:before="97"/>
        <w:ind w:left="322" w:right="622"/>
      </w:pPr>
      <w:r>
        <w:rPr/>
        <w:t>The following fiscal indicators are designed to provide additional data for reviewing agencies. A "Yes" answer to any single indicator does not necessarily suggest a cause for concern, but may alert the reviewing agency to the need for additional review.</w:t>
      </w:r>
    </w:p>
    <w:p>
      <w:pPr>
        <w:pStyle w:val="BodyText"/>
        <w:spacing w:before="5"/>
      </w:pPr>
    </w:p>
    <w:p>
      <w:pPr>
        <w:pStyle w:val="BodyText"/>
        <w:spacing w:before="1"/>
        <w:ind w:left="322"/>
      </w:pPr>
      <w:r>
        <w:rPr/>
        <w:t>DATA ENTRY: Click the appropriate Yes or No button for items A1 through A9 except item A3, which is automatically completed based on data in Criterion 2.</w:t>
      </w:r>
    </w:p>
    <w:p>
      <w:pPr>
        <w:pStyle w:val="BodyText"/>
        <w:spacing w:before="1"/>
        <w:rPr>
          <w:sz w:val="22"/>
        </w:rPr>
      </w:pPr>
    </w:p>
    <w:p>
      <w:pPr>
        <w:pStyle w:val="BodyText"/>
        <w:spacing w:line="268" w:lineRule="auto" w:before="100"/>
        <w:ind w:left="821" w:right="6771" w:hanging="377"/>
      </w:pPr>
      <w:r>
        <w:rPr/>
        <w:pict>
          <v:group style="position:absolute;margin-left:366.119995pt;margin-top:4.016945pt;width:121.95pt;height:17.2pt;mso-position-horizontal-relative:page;mso-position-vertical-relative:paragraph;z-index:252668928" coordorigin="7322,80" coordsize="2439,344">
            <v:shape style="position:absolute;left:7322;top:80;width:2439;height:344" type="#_x0000_t75" stroked="false">
              <v:imagedata r:id="rId1809" o:title=""/>
            </v:shape>
            <v:shape style="position:absolute;left:8457;top:270;width:190;height:148" type="#_x0000_t202" filled="false" stroked="false">
              <v:textbox inset="0,0,0,0">
                <w:txbxContent>
                  <w:p>
                    <w:pPr>
                      <w:spacing w:line="147" w:lineRule="exact" w:before="0"/>
                      <w:ind w:left="0" w:right="0" w:firstLine="0"/>
                      <w:jc w:val="left"/>
                      <w:rPr>
                        <w:sz w:val="13"/>
                      </w:rPr>
                    </w:pPr>
                    <w:r>
                      <w:rPr>
                        <w:sz w:val="13"/>
                      </w:rPr>
                      <w:t>No</w:t>
                    </w:r>
                  </w:p>
                </w:txbxContent>
              </v:textbox>
              <w10:wrap type="none"/>
            </v:shape>
            <w10:wrap type="none"/>
          </v:group>
        </w:pict>
      </w:r>
      <w:r>
        <w:rPr>
          <w:b/>
        </w:rPr>
        <w:t>A1. </w:t>
      </w:r>
      <w:r>
        <w:rPr/>
        <w:t>Do cash flow projections show that the district will end the budget year with a negative cash balance in the general fund?</w:t>
      </w:r>
    </w:p>
    <w:p>
      <w:pPr>
        <w:pStyle w:val="BodyText"/>
        <w:rPr>
          <w:sz w:val="20"/>
        </w:rPr>
      </w:pPr>
    </w:p>
    <w:p>
      <w:pPr>
        <w:pStyle w:val="BodyText"/>
        <w:rPr>
          <w:sz w:val="14"/>
        </w:rPr>
      </w:pPr>
    </w:p>
    <w:p>
      <w:pPr>
        <w:pStyle w:val="BodyText"/>
        <w:spacing w:before="114"/>
        <w:ind w:left="444"/>
      </w:pPr>
      <w:r>
        <w:rPr/>
        <w:pict>
          <v:group style="position:absolute;margin-left:366.119995pt;margin-top:4.716945pt;width:121.95pt;height:17.2pt;mso-position-horizontal-relative:page;mso-position-vertical-relative:paragraph;z-index:252670976" coordorigin="7322,94" coordsize="2439,344">
            <v:shape style="position:absolute;left:7322;top:94;width:2439;height:344" type="#_x0000_t75" stroked="false">
              <v:imagedata r:id="rId1809" o:title=""/>
            </v:shape>
            <v:shape style="position:absolute;left:8457;top:284;width:190;height:148" type="#_x0000_t202" filled="false" stroked="false">
              <v:textbox inset="0,0,0,0">
                <w:txbxContent>
                  <w:p>
                    <w:pPr>
                      <w:spacing w:line="147" w:lineRule="exact" w:before="0"/>
                      <w:ind w:left="0" w:right="0" w:firstLine="0"/>
                      <w:jc w:val="left"/>
                      <w:rPr>
                        <w:sz w:val="13"/>
                      </w:rPr>
                    </w:pPr>
                    <w:r>
                      <w:rPr>
                        <w:sz w:val="13"/>
                      </w:rPr>
                      <w:t>No</w:t>
                    </w:r>
                  </w:p>
                </w:txbxContent>
              </v:textbox>
              <w10:wrap type="none"/>
            </v:shape>
            <w10:wrap type="none"/>
          </v:group>
        </w:pict>
      </w:r>
      <w:r>
        <w:rPr>
          <w:b/>
        </w:rPr>
        <w:t>A2. </w:t>
      </w:r>
      <w:r>
        <w:rPr/>
        <w:t>Is the system of personnel position control independent from the payroll system?</w:t>
      </w:r>
    </w:p>
    <w:p>
      <w:pPr>
        <w:pStyle w:val="BodyText"/>
        <w:rPr>
          <w:sz w:val="20"/>
        </w:rPr>
      </w:pPr>
    </w:p>
    <w:p>
      <w:pPr>
        <w:pStyle w:val="BodyText"/>
        <w:rPr>
          <w:sz w:val="20"/>
        </w:rPr>
      </w:pPr>
    </w:p>
    <w:p>
      <w:pPr>
        <w:pStyle w:val="BodyText"/>
        <w:spacing w:before="1"/>
        <w:rPr>
          <w:sz w:val="20"/>
        </w:rPr>
      </w:pPr>
    </w:p>
    <w:p>
      <w:pPr>
        <w:pStyle w:val="BodyText"/>
        <w:spacing w:line="268" w:lineRule="auto"/>
        <w:ind w:left="821" w:right="5831" w:hanging="377"/>
      </w:pPr>
      <w:r>
        <w:rPr/>
        <w:pict>
          <v:group style="position:absolute;margin-left:366.119995pt;margin-top:-.983055pt;width:121.95pt;height:17.2pt;mso-position-horizontal-relative:page;mso-position-vertical-relative:paragraph;z-index:252673024" coordorigin="7322,-20" coordsize="2439,344">
            <v:shape style="position:absolute;left:7322;top:-20;width:2439;height:344" type="#_x0000_t75" stroked="false">
              <v:imagedata r:id="rId1809" o:title=""/>
            </v:shape>
            <v:shape style="position:absolute;left:8457;top:170;width:190;height:148" type="#_x0000_t202" filled="false" stroked="false">
              <v:textbox inset="0,0,0,0">
                <w:txbxContent>
                  <w:p>
                    <w:pPr>
                      <w:spacing w:line="147" w:lineRule="exact" w:before="0"/>
                      <w:ind w:left="0" w:right="0" w:firstLine="0"/>
                      <w:jc w:val="left"/>
                      <w:rPr>
                        <w:sz w:val="13"/>
                      </w:rPr>
                    </w:pPr>
                    <w:r>
                      <w:rPr>
                        <w:sz w:val="13"/>
                      </w:rPr>
                      <w:t>No</w:t>
                    </w:r>
                  </w:p>
                </w:txbxContent>
              </v:textbox>
              <w10:wrap type="none"/>
            </v:shape>
            <w10:wrap type="none"/>
          </v:group>
        </w:pict>
      </w:r>
      <w:r>
        <w:rPr>
          <w:b/>
        </w:rPr>
        <w:t>A3.     </w:t>
      </w:r>
      <w:r>
        <w:rPr/>
        <w:t>Is enrollment decreasing in both the prior fiscal year and budget year? (Data from the enrollment</w:t>
      </w:r>
      <w:r>
        <w:rPr>
          <w:spacing w:val="3"/>
        </w:rPr>
        <w:t> </w:t>
      </w:r>
      <w:r>
        <w:rPr/>
        <w:t>budget</w:t>
      </w:r>
      <w:r>
        <w:rPr>
          <w:spacing w:val="3"/>
        </w:rPr>
        <w:t> </w:t>
      </w:r>
      <w:r>
        <w:rPr/>
        <w:t>column</w:t>
      </w:r>
      <w:r>
        <w:rPr>
          <w:spacing w:val="5"/>
        </w:rPr>
        <w:t> </w:t>
      </w:r>
      <w:r>
        <w:rPr/>
        <w:t>and</w:t>
      </w:r>
      <w:r>
        <w:rPr>
          <w:spacing w:val="6"/>
        </w:rPr>
        <w:t> </w:t>
      </w:r>
      <w:r>
        <w:rPr/>
        <w:t>actual</w:t>
      </w:r>
      <w:r>
        <w:rPr>
          <w:spacing w:val="1"/>
        </w:rPr>
        <w:t> </w:t>
      </w:r>
      <w:r>
        <w:rPr/>
        <w:t>column</w:t>
      </w:r>
      <w:r>
        <w:rPr>
          <w:spacing w:val="4"/>
        </w:rPr>
        <w:t> </w:t>
      </w:r>
      <w:r>
        <w:rPr/>
        <w:t>of</w:t>
      </w:r>
      <w:r>
        <w:rPr>
          <w:spacing w:val="3"/>
        </w:rPr>
        <w:t> </w:t>
      </w:r>
      <w:r>
        <w:rPr/>
        <w:t>Criterion</w:t>
      </w:r>
      <w:r>
        <w:rPr>
          <w:spacing w:val="5"/>
        </w:rPr>
        <w:t> </w:t>
      </w:r>
      <w:r>
        <w:rPr/>
        <w:t>2A</w:t>
      </w:r>
      <w:r>
        <w:rPr>
          <w:spacing w:val="4"/>
        </w:rPr>
        <w:t> </w:t>
      </w:r>
      <w:r>
        <w:rPr/>
        <w:t>are</w:t>
      </w:r>
      <w:r>
        <w:rPr>
          <w:spacing w:val="3"/>
        </w:rPr>
        <w:t> </w:t>
      </w:r>
      <w:r>
        <w:rPr/>
        <w:t>used</w:t>
      </w:r>
      <w:r>
        <w:rPr>
          <w:spacing w:val="6"/>
        </w:rPr>
        <w:t> </w:t>
      </w:r>
      <w:r>
        <w:rPr/>
        <w:t>to</w:t>
      </w:r>
      <w:r>
        <w:rPr>
          <w:spacing w:val="5"/>
        </w:rPr>
        <w:t> </w:t>
      </w:r>
      <w:r>
        <w:rPr/>
        <w:t>determine</w:t>
      </w:r>
      <w:r>
        <w:rPr>
          <w:spacing w:val="5"/>
        </w:rPr>
        <w:t> </w:t>
      </w:r>
      <w:r>
        <w:rPr/>
        <w:t>Yes</w:t>
      </w:r>
      <w:r>
        <w:rPr>
          <w:spacing w:val="5"/>
        </w:rPr>
        <w:t> </w:t>
      </w:r>
      <w:r>
        <w:rPr/>
        <w:t>or</w:t>
      </w:r>
      <w:r>
        <w:rPr>
          <w:spacing w:val="3"/>
        </w:rPr>
        <w:t> </w:t>
      </w:r>
      <w:r>
        <w:rPr/>
        <w:t>No)</w:t>
      </w:r>
    </w:p>
    <w:p>
      <w:pPr>
        <w:pStyle w:val="BodyText"/>
        <w:rPr>
          <w:sz w:val="20"/>
        </w:rPr>
      </w:pPr>
    </w:p>
    <w:p>
      <w:pPr>
        <w:pStyle w:val="BodyText"/>
        <w:rPr>
          <w:sz w:val="14"/>
        </w:rPr>
      </w:pPr>
    </w:p>
    <w:p>
      <w:pPr>
        <w:pStyle w:val="BodyText"/>
        <w:spacing w:line="268" w:lineRule="auto" w:before="114"/>
        <w:ind w:left="821" w:right="6771" w:hanging="377"/>
      </w:pPr>
      <w:r>
        <w:rPr/>
        <w:pict>
          <v:group style="position:absolute;margin-left:366.119995pt;margin-top:4.716945pt;width:121.95pt;height:17.2pt;mso-position-horizontal-relative:page;mso-position-vertical-relative:paragraph;z-index:252675072" coordorigin="7322,94" coordsize="2439,344">
            <v:shape style="position:absolute;left:7322;top:94;width:2439;height:344" type="#_x0000_t75" stroked="false">
              <v:imagedata r:id="rId1809" o:title=""/>
            </v:shape>
            <v:shape style="position:absolute;left:8457;top:284;width:190;height:148" type="#_x0000_t202" filled="false" stroked="false">
              <v:textbox inset="0,0,0,0">
                <w:txbxContent>
                  <w:p>
                    <w:pPr>
                      <w:spacing w:line="147" w:lineRule="exact" w:before="0"/>
                      <w:ind w:left="0" w:right="0" w:firstLine="0"/>
                      <w:jc w:val="left"/>
                      <w:rPr>
                        <w:sz w:val="13"/>
                      </w:rPr>
                    </w:pPr>
                    <w:r>
                      <w:rPr>
                        <w:sz w:val="13"/>
                      </w:rPr>
                      <w:t>No</w:t>
                    </w:r>
                  </w:p>
                </w:txbxContent>
              </v:textbox>
              <w10:wrap type="none"/>
            </v:shape>
            <w10:wrap type="none"/>
          </v:group>
        </w:pict>
      </w:r>
      <w:r>
        <w:rPr/>
        <w:drawing>
          <wp:anchor distT="0" distB="0" distL="0" distR="0" allowOverlap="1" layoutInCell="1" locked="0" behindDoc="1" simplePos="0" relativeHeight="189625344">
            <wp:simplePos x="0" y="0"/>
            <wp:positionH relativeFrom="page">
              <wp:posOffset>4649723</wp:posOffset>
            </wp:positionH>
            <wp:positionV relativeFrom="paragraph">
              <wp:posOffset>593305</wp:posOffset>
            </wp:positionV>
            <wp:extent cx="1548383" cy="217932"/>
            <wp:effectExtent l="0" t="0" r="0" b="0"/>
            <wp:wrapNone/>
            <wp:docPr id="293" name="image1699.png"/>
            <wp:cNvGraphicFramePr>
              <a:graphicFrameLocks noChangeAspect="1"/>
            </wp:cNvGraphicFramePr>
            <a:graphic>
              <a:graphicData uri="http://schemas.openxmlformats.org/drawingml/2006/picture">
                <pic:pic>
                  <pic:nvPicPr>
                    <pic:cNvPr id="294" name="image1699.png"/>
                    <pic:cNvPicPr/>
                  </pic:nvPicPr>
                  <pic:blipFill>
                    <a:blip r:embed="rId1809" cstate="print"/>
                    <a:stretch>
                      <a:fillRect/>
                    </a:stretch>
                  </pic:blipFill>
                  <pic:spPr>
                    <a:xfrm>
                      <a:off x="0" y="0"/>
                      <a:ext cx="1548383" cy="217932"/>
                    </a:xfrm>
                    <a:prstGeom prst="rect">
                      <a:avLst/>
                    </a:prstGeom>
                  </pic:spPr>
                </pic:pic>
              </a:graphicData>
            </a:graphic>
          </wp:anchor>
        </w:drawing>
      </w:r>
      <w:r>
        <w:rPr>
          <w:b/>
        </w:rPr>
        <w:t>A4. </w:t>
      </w:r>
      <w:r>
        <w:rPr/>
        <w:t>Are new charter schools operating in district boundaries that impact the district's enrollment, either in the prior fiscal year or budget year?</w:t>
      </w:r>
    </w:p>
    <w:p>
      <w:pPr>
        <w:pStyle w:val="BodyText"/>
        <w:rPr>
          <w:sz w:val="20"/>
        </w:rPr>
      </w:pPr>
    </w:p>
    <w:p>
      <w:pPr>
        <w:pStyle w:val="BodyText"/>
        <w:spacing w:before="11"/>
        <w:rPr>
          <w:sz w:val="23"/>
        </w:rPr>
      </w:pPr>
    </w:p>
    <w:tbl>
      <w:tblPr>
        <w:tblW w:w="0" w:type="auto"/>
        <w:jc w:val="left"/>
        <w:tblInd w:w="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2"/>
        <w:gridCol w:w="6414"/>
        <w:gridCol w:w="1473"/>
      </w:tblGrid>
      <w:tr>
        <w:trPr>
          <w:trHeight w:val="662" w:hRule="atLeast"/>
        </w:trPr>
        <w:tc>
          <w:tcPr>
            <w:tcW w:w="322" w:type="dxa"/>
          </w:tcPr>
          <w:p>
            <w:pPr>
              <w:pStyle w:val="TableParagraph"/>
              <w:spacing w:line="147" w:lineRule="exact"/>
              <w:ind w:left="33"/>
              <w:rPr>
                <w:b/>
                <w:sz w:val="13"/>
              </w:rPr>
            </w:pPr>
            <w:r>
              <w:rPr>
                <w:b/>
                <w:sz w:val="13"/>
              </w:rPr>
              <w:t>A5.</w:t>
            </w:r>
          </w:p>
        </w:tc>
        <w:tc>
          <w:tcPr>
            <w:tcW w:w="6414" w:type="dxa"/>
          </w:tcPr>
          <w:p>
            <w:pPr>
              <w:pStyle w:val="TableParagraph"/>
              <w:spacing w:line="268" w:lineRule="auto"/>
              <w:ind w:left="88" w:right="1831"/>
              <w:rPr>
                <w:sz w:val="13"/>
              </w:rPr>
            </w:pPr>
            <w:r>
              <w:rPr>
                <w:sz w:val="13"/>
              </w:rPr>
              <w:t>Has the district entered into a bargaining agreement where any of the budget or subsequent years of the agreement would result in salary increases that are</w:t>
            </w:r>
            <w:r>
              <w:rPr>
                <w:spacing w:val="5"/>
                <w:sz w:val="13"/>
              </w:rPr>
              <w:t> </w:t>
            </w:r>
            <w:r>
              <w:rPr>
                <w:sz w:val="13"/>
              </w:rPr>
              <w:t>expected</w:t>
            </w:r>
            <w:r>
              <w:rPr>
                <w:spacing w:val="5"/>
                <w:sz w:val="13"/>
              </w:rPr>
              <w:t> </w:t>
            </w:r>
            <w:r>
              <w:rPr>
                <w:sz w:val="13"/>
              </w:rPr>
              <w:t>to</w:t>
            </w:r>
            <w:r>
              <w:rPr>
                <w:spacing w:val="6"/>
                <w:sz w:val="13"/>
              </w:rPr>
              <w:t> </w:t>
            </w:r>
            <w:r>
              <w:rPr>
                <w:sz w:val="13"/>
              </w:rPr>
              <w:t>exceed</w:t>
            </w:r>
            <w:r>
              <w:rPr>
                <w:spacing w:val="7"/>
                <w:sz w:val="13"/>
              </w:rPr>
              <w:t> </w:t>
            </w:r>
            <w:r>
              <w:rPr>
                <w:sz w:val="13"/>
              </w:rPr>
              <w:t>the</w:t>
            </w:r>
            <w:r>
              <w:rPr>
                <w:spacing w:val="5"/>
                <w:sz w:val="13"/>
              </w:rPr>
              <w:t> </w:t>
            </w:r>
            <w:r>
              <w:rPr>
                <w:sz w:val="13"/>
              </w:rPr>
              <w:t>projected</w:t>
            </w:r>
            <w:r>
              <w:rPr>
                <w:spacing w:val="8"/>
                <w:sz w:val="13"/>
              </w:rPr>
              <w:t> </w:t>
            </w:r>
            <w:r>
              <w:rPr>
                <w:sz w:val="13"/>
              </w:rPr>
              <w:t>state</w:t>
            </w:r>
            <w:r>
              <w:rPr>
                <w:spacing w:val="5"/>
                <w:sz w:val="13"/>
              </w:rPr>
              <w:t> </w:t>
            </w:r>
            <w:r>
              <w:rPr>
                <w:sz w:val="13"/>
              </w:rPr>
              <w:t>funded</w:t>
            </w:r>
            <w:r>
              <w:rPr>
                <w:spacing w:val="5"/>
                <w:sz w:val="13"/>
              </w:rPr>
              <w:t> </w:t>
            </w:r>
            <w:r>
              <w:rPr>
                <w:sz w:val="13"/>
              </w:rPr>
              <w:t>cost-of-living</w:t>
            </w:r>
            <w:r>
              <w:rPr>
                <w:spacing w:val="7"/>
                <w:sz w:val="13"/>
              </w:rPr>
              <w:t> </w:t>
            </w:r>
            <w:r>
              <w:rPr>
                <w:sz w:val="13"/>
              </w:rPr>
              <w:t>adjustment?</w:t>
            </w:r>
          </w:p>
        </w:tc>
        <w:tc>
          <w:tcPr>
            <w:tcW w:w="1473" w:type="dxa"/>
          </w:tcPr>
          <w:p>
            <w:pPr>
              <w:pStyle w:val="TableParagraph"/>
              <w:spacing w:before="6"/>
              <w:rPr>
                <w:sz w:val="14"/>
              </w:rPr>
            </w:pPr>
          </w:p>
          <w:p>
            <w:pPr>
              <w:pStyle w:val="TableParagraph"/>
              <w:ind w:right="31"/>
              <w:jc w:val="right"/>
              <w:rPr>
                <w:sz w:val="13"/>
              </w:rPr>
            </w:pPr>
            <w:r>
              <w:rPr>
                <w:sz w:val="13"/>
              </w:rPr>
              <w:t>No</w:t>
            </w:r>
          </w:p>
        </w:tc>
      </w:tr>
      <w:tr>
        <w:trPr>
          <w:trHeight w:val="494" w:hRule="atLeast"/>
        </w:trPr>
        <w:tc>
          <w:tcPr>
            <w:tcW w:w="322" w:type="dxa"/>
          </w:tcPr>
          <w:p>
            <w:pPr>
              <w:pStyle w:val="TableParagraph"/>
              <w:spacing w:before="2"/>
              <w:rPr>
                <w:sz w:val="15"/>
              </w:rPr>
            </w:pPr>
          </w:p>
          <w:p>
            <w:pPr>
              <w:pStyle w:val="TableParagraph"/>
              <w:ind w:left="33"/>
              <w:rPr>
                <w:b/>
                <w:sz w:val="13"/>
              </w:rPr>
            </w:pPr>
            <w:r>
              <w:rPr>
                <w:b/>
                <w:sz w:val="13"/>
              </w:rPr>
              <w:t>A6.</w:t>
            </w:r>
          </w:p>
        </w:tc>
        <w:tc>
          <w:tcPr>
            <w:tcW w:w="6414" w:type="dxa"/>
          </w:tcPr>
          <w:p>
            <w:pPr>
              <w:pStyle w:val="TableParagraph"/>
              <w:spacing w:before="5"/>
              <w:rPr>
                <w:sz w:val="14"/>
              </w:rPr>
            </w:pPr>
          </w:p>
          <w:p>
            <w:pPr>
              <w:pStyle w:val="TableParagraph"/>
              <w:spacing w:line="160" w:lineRule="atLeast"/>
              <w:ind w:left="88" w:right="1005"/>
              <w:rPr>
                <w:sz w:val="13"/>
              </w:rPr>
            </w:pPr>
            <w:r>
              <w:rPr>
                <w:sz w:val="13"/>
              </w:rPr>
              <w:t>Does the district provide uncapped (100% employer paid) health benefits for current or retired employees?</w:t>
            </w:r>
          </w:p>
        </w:tc>
        <w:tc>
          <w:tcPr>
            <w:tcW w:w="1473" w:type="dxa"/>
          </w:tcPr>
          <w:p>
            <w:pPr>
              <w:pStyle w:val="TableParagraph"/>
              <w:rPr>
                <w:sz w:val="14"/>
              </w:rPr>
            </w:pPr>
          </w:p>
          <w:p>
            <w:pPr>
              <w:pStyle w:val="TableParagraph"/>
              <w:spacing w:before="11"/>
              <w:rPr>
                <w:sz w:val="15"/>
              </w:rPr>
            </w:pPr>
          </w:p>
          <w:p>
            <w:pPr>
              <w:pStyle w:val="TableParagraph"/>
              <w:spacing w:line="130" w:lineRule="exact"/>
              <w:ind w:right="31"/>
              <w:jc w:val="right"/>
              <w:rPr>
                <w:sz w:val="13"/>
              </w:rPr>
            </w:pPr>
            <w:r>
              <w:rPr>
                <w:sz w:val="13"/>
              </w:rPr>
              <w:t>No</w:t>
            </w:r>
          </w:p>
        </w:tc>
      </w:tr>
    </w:tbl>
    <w:p>
      <w:pPr>
        <w:pStyle w:val="BodyText"/>
        <w:rPr>
          <w:sz w:val="20"/>
        </w:rPr>
      </w:pPr>
    </w:p>
    <w:p>
      <w:pPr>
        <w:pStyle w:val="BodyText"/>
        <w:spacing w:before="8"/>
        <w:rPr>
          <w:sz w:val="16"/>
        </w:rPr>
      </w:pPr>
    </w:p>
    <w:p>
      <w:pPr>
        <w:pStyle w:val="BodyText"/>
        <w:spacing w:before="100"/>
        <w:ind w:left="444"/>
      </w:pPr>
      <w:r>
        <w:rPr/>
        <w:drawing>
          <wp:anchor distT="0" distB="0" distL="0" distR="0" allowOverlap="1" layoutInCell="1" locked="0" behindDoc="1" simplePos="0" relativeHeight="189626368">
            <wp:simplePos x="0" y="0"/>
            <wp:positionH relativeFrom="page">
              <wp:posOffset>4649723</wp:posOffset>
            </wp:positionH>
            <wp:positionV relativeFrom="paragraph">
              <wp:posOffset>-482384</wp:posOffset>
            </wp:positionV>
            <wp:extent cx="1548383" cy="217932"/>
            <wp:effectExtent l="0" t="0" r="0" b="0"/>
            <wp:wrapNone/>
            <wp:docPr id="295" name="image1699.png"/>
            <wp:cNvGraphicFramePr>
              <a:graphicFrameLocks noChangeAspect="1"/>
            </wp:cNvGraphicFramePr>
            <a:graphic>
              <a:graphicData uri="http://schemas.openxmlformats.org/drawingml/2006/picture">
                <pic:pic>
                  <pic:nvPicPr>
                    <pic:cNvPr id="296" name="image1699.png"/>
                    <pic:cNvPicPr/>
                  </pic:nvPicPr>
                  <pic:blipFill>
                    <a:blip r:embed="rId1809" cstate="print"/>
                    <a:stretch>
                      <a:fillRect/>
                    </a:stretch>
                  </pic:blipFill>
                  <pic:spPr>
                    <a:xfrm>
                      <a:off x="0" y="0"/>
                      <a:ext cx="1548383" cy="217932"/>
                    </a:xfrm>
                    <a:prstGeom prst="rect">
                      <a:avLst/>
                    </a:prstGeom>
                  </pic:spPr>
                </pic:pic>
              </a:graphicData>
            </a:graphic>
          </wp:anchor>
        </w:drawing>
      </w:r>
      <w:r>
        <w:rPr/>
        <w:pict>
          <v:group style="position:absolute;margin-left:366.119995pt;margin-top:4.016968pt;width:121.95pt;height:17.2pt;mso-position-horizontal-relative:page;mso-position-vertical-relative:paragraph;z-index:252679168" coordorigin="7322,80" coordsize="2439,344">
            <v:shape style="position:absolute;left:7322;top:80;width:2439;height:344" type="#_x0000_t75" stroked="false">
              <v:imagedata r:id="rId1809" o:title=""/>
            </v:shape>
            <v:shape style="position:absolute;left:8457;top:270;width:190;height:148" type="#_x0000_t202" filled="false" stroked="false">
              <v:textbox inset="0,0,0,0">
                <w:txbxContent>
                  <w:p>
                    <w:pPr>
                      <w:spacing w:line="147" w:lineRule="exact" w:before="0"/>
                      <w:ind w:left="0" w:right="0" w:firstLine="0"/>
                      <w:jc w:val="left"/>
                      <w:rPr>
                        <w:sz w:val="13"/>
                      </w:rPr>
                    </w:pPr>
                    <w:r>
                      <w:rPr>
                        <w:sz w:val="13"/>
                      </w:rPr>
                      <w:t>No</w:t>
                    </w:r>
                  </w:p>
                </w:txbxContent>
              </v:textbox>
              <w10:wrap type="none"/>
            </v:shape>
            <w10:wrap type="none"/>
          </v:group>
        </w:pict>
      </w:r>
      <w:r>
        <w:rPr>
          <w:b/>
        </w:rPr>
        <w:t>A7. </w:t>
      </w:r>
      <w:r>
        <w:rPr/>
        <w:t>Is the district's financial system independent of the county office system?</w:t>
      </w:r>
    </w:p>
    <w:p>
      <w:pPr>
        <w:pStyle w:val="BodyText"/>
        <w:rPr>
          <w:sz w:val="20"/>
        </w:rPr>
      </w:pPr>
    </w:p>
    <w:p>
      <w:pPr>
        <w:pStyle w:val="BodyText"/>
        <w:rPr>
          <w:sz w:val="20"/>
        </w:rPr>
      </w:pPr>
    </w:p>
    <w:p>
      <w:pPr>
        <w:pStyle w:val="BodyText"/>
        <w:rPr>
          <w:sz w:val="20"/>
        </w:rPr>
      </w:pPr>
    </w:p>
    <w:p>
      <w:pPr>
        <w:pStyle w:val="BodyText"/>
        <w:spacing w:line="268" w:lineRule="auto"/>
        <w:ind w:left="821" w:right="6395" w:hanging="377"/>
      </w:pPr>
      <w:r>
        <w:rPr/>
        <w:pict>
          <v:group style="position:absolute;margin-left:366.119995pt;margin-top:-.983032pt;width:121.95pt;height:17.2pt;mso-position-horizontal-relative:page;mso-position-vertical-relative:paragraph;z-index:252681216" coordorigin="7322,-20" coordsize="2439,344">
            <v:shape style="position:absolute;left:7322;top:-20;width:2439;height:344" type="#_x0000_t75" stroked="false">
              <v:imagedata r:id="rId1809" o:title=""/>
            </v:shape>
            <v:shape style="position:absolute;left:8457;top:170;width:190;height:148" type="#_x0000_t202" filled="false" stroked="false">
              <v:textbox inset="0,0,0,0">
                <w:txbxContent>
                  <w:p>
                    <w:pPr>
                      <w:spacing w:line="147" w:lineRule="exact" w:before="0"/>
                      <w:ind w:left="0" w:right="0" w:firstLine="0"/>
                      <w:jc w:val="left"/>
                      <w:rPr>
                        <w:sz w:val="13"/>
                      </w:rPr>
                    </w:pPr>
                    <w:r>
                      <w:rPr>
                        <w:sz w:val="13"/>
                      </w:rPr>
                      <w:t>No</w:t>
                    </w:r>
                  </w:p>
                </w:txbxContent>
              </v:textbox>
              <w10:wrap type="none"/>
            </v:shape>
            <w10:wrap type="none"/>
          </v:group>
        </w:pict>
      </w:r>
      <w:r>
        <w:rPr>
          <w:b/>
        </w:rPr>
        <w:t>A8. </w:t>
      </w:r>
      <w:r>
        <w:rPr/>
        <w:t>Does the district have any reports that indicate fiscal distress pursuant to Education Code Section 42127.6(a)? (If Yes, provide copies to the county office of education)</w:t>
      </w:r>
    </w:p>
    <w:p>
      <w:pPr>
        <w:pStyle w:val="BodyText"/>
        <w:rPr>
          <w:sz w:val="20"/>
        </w:rPr>
      </w:pPr>
    </w:p>
    <w:p>
      <w:pPr>
        <w:pStyle w:val="BodyText"/>
        <w:rPr>
          <w:sz w:val="14"/>
        </w:rPr>
      </w:pPr>
    </w:p>
    <w:p>
      <w:pPr>
        <w:pStyle w:val="BodyText"/>
        <w:spacing w:line="268" w:lineRule="auto" w:before="115"/>
        <w:ind w:left="821" w:right="6771" w:hanging="377"/>
      </w:pPr>
      <w:r>
        <w:rPr/>
        <w:pict>
          <v:group style="position:absolute;margin-left:366.119995pt;margin-top:4.766968pt;width:121.95pt;height:17.2pt;mso-position-horizontal-relative:page;mso-position-vertical-relative:paragraph;z-index:252683264" coordorigin="7322,95" coordsize="2439,344">
            <v:shape style="position:absolute;left:7322;top:95;width:2439;height:344" type="#_x0000_t75" stroked="false">
              <v:imagedata r:id="rId1809" o:title=""/>
            </v:shape>
            <v:shape style="position:absolute;left:8457;top:285;width:190;height:148" type="#_x0000_t202" filled="false" stroked="false">
              <v:textbox inset="0,0,0,0">
                <w:txbxContent>
                  <w:p>
                    <w:pPr>
                      <w:spacing w:line="147" w:lineRule="exact" w:before="0"/>
                      <w:ind w:left="0" w:right="0" w:firstLine="0"/>
                      <w:jc w:val="left"/>
                      <w:rPr>
                        <w:sz w:val="13"/>
                      </w:rPr>
                    </w:pPr>
                    <w:r>
                      <w:rPr>
                        <w:sz w:val="13"/>
                      </w:rPr>
                      <w:t>No</w:t>
                    </w:r>
                  </w:p>
                </w:txbxContent>
              </v:textbox>
              <w10:wrap type="none"/>
            </v:shape>
            <w10:wrap type="none"/>
          </v:group>
        </w:pict>
      </w:r>
      <w:r>
        <w:rPr>
          <w:b/>
        </w:rPr>
        <w:t>A9. </w:t>
      </w:r>
      <w:r>
        <w:rPr/>
        <w:t>Have there been personnel changes in the superintendent or chief business official positions within the last 12 months?</w:t>
      </w:r>
    </w:p>
    <w:p>
      <w:pPr>
        <w:pStyle w:val="BodyText"/>
        <w:rPr>
          <w:sz w:val="20"/>
        </w:rPr>
      </w:pPr>
    </w:p>
    <w:p>
      <w:pPr>
        <w:pStyle w:val="BodyText"/>
        <w:rPr>
          <w:sz w:val="14"/>
        </w:rPr>
      </w:pPr>
    </w:p>
    <w:p>
      <w:pPr>
        <w:pStyle w:val="BodyText"/>
        <w:spacing w:before="104"/>
        <w:ind w:left="322"/>
      </w:pPr>
      <w:r>
        <w:rPr/>
        <w:t>When providing comments for additional fiscal indicators, please include the item number applicable to each comment.</w:t>
      </w:r>
    </w:p>
    <w:p>
      <w:pPr>
        <w:pStyle w:val="BodyText"/>
        <w:spacing w:before="6"/>
      </w:pPr>
    </w:p>
    <w:p>
      <w:pPr>
        <w:spacing w:before="0"/>
        <w:ind w:left="1311" w:right="0" w:firstLine="0"/>
        <w:jc w:val="left"/>
        <w:rPr>
          <w:b/>
          <w:sz w:val="13"/>
        </w:rPr>
      </w:pPr>
      <w:r>
        <w:rPr/>
        <w:drawing>
          <wp:anchor distT="0" distB="0" distL="0" distR="0" allowOverlap="1" layoutInCell="1" locked="0" behindDoc="0" simplePos="0" relativeHeight="252684288">
            <wp:simplePos x="0" y="0"/>
            <wp:positionH relativeFrom="page">
              <wp:posOffset>1644395</wp:posOffset>
            </wp:positionH>
            <wp:positionV relativeFrom="paragraph">
              <wp:posOffset>-10961</wp:posOffset>
            </wp:positionV>
            <wp:extent cx="5768339" cy="858011"/>
            <wp:effectExtent l="0" t="0" r="0" b="0"/>
            <wp:wrapNone/>
            <wp:docPr id="297" name="image1700.png"/>
            <wp:cNvGraphicFramePr>
              <a:graphicFrameLocks noChangeAspect="1"/>
            </wp:cNvGraphicFramePr>
            <a:graphic>
              <a:graphicData uri="http://schemas.openxmlformats.org/drawingml/2006/picture">
                <pic:pic>
                  <pic:nvPicPr>
                    <pic:cNvPr id="298" name="image1700.png"/>
                    <pic:cNvPicPr/>
                  </pic:nvPicPr>
                  <pic:blipFill>
                    <a:blip r:embed="rId1810" cstate="print"/>
                    <a:stretch>
                      <a:fillRect/>
                    </a:stretch>
                  </pic:blipFill>
                  <pic:spPr>
                    <a:xfrm>
                      <a:off x="0" y="0"/>
                      <a:ext cx="5768339" cy="858011"/>
                    </a:xfrm>
                    <a:prstGeom prst="rect">
                      <a:avLst/>
                    </a:prstGeom>
                  </pic:spPr>
                </pic:pic>
              </a:graphicData>
            </a:graphic>
          </wp:anchor>
        </w:drawing>
      </w:r>
      <w:r>
        <w:rPr>
          <w:b/>
          <w:sz w:val="13"/>
        </w:rPr>
        <w:t>Comments:</w:t>
      </w:r>
    </w:p>
    <w:p>
      <w:pPr>
        <w:pStyle w:val="BodyText"/>
        <w:spacing w:before="21"/>
        <w:ind w:left="1400"/>
      </w:pPr>
      <w:r>
        <w:rPr/>
        <w:t>(optional)</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4"/>
        </w:rPr>
      </w:pPr>
      <w:r>
        <w:rPr/>
        <w:drawing>
          <wp:anchor distT="0" distB="0" distL="0" distR="0" allowOverlap="1" layoutInCell="1" locked="0" behindDoc="0" simplePos="0" relativeHeight="984">
            <wp:simplePos x="0" y="0"/>
            <wp:positionH relativeFrom="page">
              <wp:posOffset>208788</wp:posOffset>
            </wp:positionH>
            <wp:positionV relativeFrom="paragraph">
              <wp:posOffset>128777</wp:posOffset>
            </wp:positionV>
            <wp:extent cx="7204243" cy="13716"/>
            <wp:effectExtent l="0" t="0" r="0" b="0"/>
            <wp:wrapTopAndBottom/>
            <wp:docPr id="299" name="image1401.png"/>
            <wp:cNvGraphicFramePr>
              <a:graphicFrameLocks noChangeAspect="1"/>
            </wp:cNvGraphicFramePr>
            <a:graphic>
              <a:graphicData uri="http://schemas.openxmlformats.org/drawingml/2006/picture">
                <pic:pic>
                  <pic:nvPicPr>
                    <pic:cNvPr id="300" name="image1401.png"/>
                    <pic:cNvPicPr/>
                  </pic:nvPicPr>
                  <pic:blipFill>
                    <a:blip r:embed="rId1503" cstate="print"/>
                    <a:stretch>
                      <a:fillRect/>
                    </a:stretch>
                  </pic:blipFill>
                  <pic:spPr>
                    <a:xfrm>
                      <a:off x="0" y="0"/>
                      <a:ext cx="7204243" cy="13716"/>
                    </a:xfrm>
                    <a:prstGeom prst="rect">
                      <a:avLst/>
                    </a:prstGeom>
                  </pic:spPr>
                </pic:pic>
              </a:graphicData>
            </a:graphic>
          </wp:anchor>
        </w:drawing>
      </w:r>
    </w:p>
    <w:p>
      <w:pPr>
        <w:pStyle w:val="Heading2"/>
        <w:spacing w:before="44"/>
      </w:pPr>
      <w:r>
        <w:rPr/>
        <w:t>End of School District Budget Criteria and Standards Review</w:t>
      </w:r>
    </w:p>
    <w:p>
      <w:pPr>
        <w:pStyle w:val="BodyText"/>
        <w:spacing w:line="21" w:lineRule="exact"/>
        <w:ind w:left="288"/>
        <w:rPr>
          <w:sz w:val="2"/>
        </w:rPr>
      </w:pPr>
      <w:r>
        <w:rPr>
          <w:sz w:val="2"/>
        </w:rPr>
        <w:pict>
          <v:group style="width:567.25pt;height:1.1pt;mso-position-horizontal-relative:char;mso-position-vertical-relative:line" coordorigin="0,0" coordsize="11345,22">
            <v:shape style="position:absolute;left:0;top:0;width:6012;height:22" type="#_x0000_t75" stroked="false">
              <v:imagedata r:id="rId1680" o:title=""/>
            </v:shape>
            <v:shape style="position:absolute;left:6004;top:0;width:5340;height:22" type="#_x0000_t75" stroked="false">
              <v:imagedata r:id="rId1574" o:title=""/>
            </v:shape>
          </v:group>
        </w:pict>
      </w:r>
      <w:r>
        <w:rPr>
          <w:sz w:val="2"/>
        </w:rPr>
      </w:r>
    </w:p>
    <w:p>
      <w:pPr>
        <w:spacing w:after="0" w:line="21" w:lineRule="exact"/>
        <w:rPr>
          <w:sz w:val="2"/>
        </w:rPr>
        <w:sectPr>
          <w:pgSz w:w="12240" w:h="15840"/>
          <w:pgMar w:header="402" w:footer="584" w:top="840" w:bottom="780" w:left="40" w:right="40"/>
        </w:sectPr>
      </w:pPr>
    </w:p>
    <w:p>
      <w:pPr>
        <w:pStyle w:val="BodyText"/>
        <w:spacing w:before="7"/>
        <w:rPr>
          <w:b/>
          <w:sz w:val="10"/>
        </w:rPr>
      </w:pPr>
      <w:r>
        <w:rPr/>
        <w:pict>
          <v:group style="position:absolute;margin-left:17.760pt;margin-top:57.720001pt;width:576.25pt;height:682.2pt;mso-position-horizontal-relative:page;mso-position-vertical-relative:page;z-index:-313681920" coordorigin="355,1154" coordsize="11525,13644">
            <v:shape style="position:absolute;left:355;top:1154;width:11525;height:214" type="#_x0000_t75" stroked="false">
              <v:imagedata r:id="rId1813" o:title=""/>
            </v:shape>
            <v:shape style="position:absolute;left:355;top:1195;width:11525;height:740" type="#_x0000_t75" stroked="false">
              <v:imagedata r:id="rId1814" o:title=""/>
            </v:shape>
            <v:shape style="position:absolute;left:3218;top:1795;width:8662;height:692" type="#_x0000_t75" stroked="false">
              <v:imagedata r:id="rId1815" o:title=""/>
            </v:shape>
            <v:shape style="position:absolute;left:3218;top:2342;width:8662;height:692" type="#_x0000_t75" stroked="false">
              <v:imagedata r:id="rId1816" o:title=""/>
            </v:shape>
            <v:shape style="position:absolute;left:5378;top:2889;width:1095;height:144" type="#_x0000_t75" stroked="false">
              <v:imagedata r:id="rId1817" o:title=""/>
            </v:shape>
            <v:shape style="position:absolute;left:6465;top:2889;width:1095;height:413" type="#_x0000_t75" stroked="false">
              <v:imagedata r:id="rId1818" o:title=""/>
            </v:shape>
            <v:shape style="position:absolute;left:5378;top:3026;width:22;height:140" type="#_x0000_t75" stroked="false">
              <v:imagedata r:id="rId1819" o:title=""/>
            </v:shape>
            <v:shape style="position:absolute;left:5378;top:3026;width:22;height:276" type="#_x0000_t75" stroked="false">
              <v:imagedata r:id="rId1820" o:title=""/>
            </v:shape>
            <v:shape style="position:absolute;left:8625;top:2889;width:1095;height:281" type="#_x0000_t75" stroked="false">
              <v:imagedata r:id="rId1821" o:title=""/>
            </v:shape>
            <v:shape style="position:absolute;left:7538;top:3163;width:1095;height:142" type="#_x0000_t75" stroked="false">
              <v:imagedata r:id="rId1822" o:title=""/>
            </v:shape>
            <v:shape style="position:absolute;left:5378;top:3163;width:22;height:276" type="#_x0000_t75" stroked="false">
              <v:imagedata r:id="rId1820" o:title=""/>
            </v:shape>
            <v:shape style="position:absolute;left:5378;top:3300;width:22;height:276" type="#_x0000_t75" stroked="false">
              <v:imagedata r:id="rId1820" o:title=""/>
            </v:shape>
            <v:shape style="position:absolute;left:8625;top:2889;width:3255;height:960" type="#_x0000_t75" stroked="false">
              <v:imagedata r:id="rId1823" o:title=""/>
            </v:shape>
            <v:shape style="position:absolute;left:8625;top:3300;width:8;height:276" type="#_x0000_t75" stroked="false">
              <v:imagedata r:id="rId1824" o:title=""/>
            </v:shape>
            <v:shape style="position:absolute;left:3218;top:3026;width:4342;height:687" type="#_x0000_t75" stroked="false">
              <v:imagedata r:id="rId1825" o:title=""/>
            </v:shape>
            <v:shape style="position:absolute;left:7538;top:3573;width:1095;height:144" type="#_x0000_t75" stroked="false">
              <v:imagedata r:id="rId1826" o:title=""/>
            </v:shape>
            <v:shape style="position:absolute;left:3218;top:3710;width:8662;height:687" type="#_x0000_t75" stroked="false">
              <v:imagedata r:id="rId1827" o:title=""/>
            </v:shape>
            <v:shape style="position:absolute;left:3218;top:4257;width:8662;height:687" type="#_x0000_t75" stroked="false">
              <v:imagedata r:id="rId1828" o:title=""/>
            </v:shape>
            <v:shape style="position:absolute;left:6465;top:4804;width:5415;height:555" type="#_x0000_t75" stroked="false">
              <v:imagedata r:id="rId1829" o:title=""/>
            </v:shape>
            <v:shape style="position:absolute;left:3218;top:4941;width:2182;height:413" type="#_x0000_t75" stroked="false">
              <v:imagedata r:id="rId1830" o:title=""/>
            </v:shape>
            <v:shape style="position:absolute;left:5378;top:4941;width:1095;height:413" type="#_x0000_t75" stroked="false">
              <v:imagedata r:id="rId1831" o:title=""/>
            </v:shape>
            <v:shape style="position:absolute;left:5390;top:5220;width:2161;height:137" coordorigin="5390,5220" coordsize="2161,137" path="m7550,5220l6470,5220,5390,5220,5390,5357,6470,5357,7550,5357,7550,5220e" filled="true" fillcolor="#bfbfbf" stroked="false">
              <v:path arrowok="t"/>
              <v:fill type="solid"/>
            </v:shape>
            <v:shape style="position:absolute;left:5378;top:5352;width:22;height:140" type="#_x0000_t75" stroked="false">
              <v:imagedata r:id="rId1819" o:title=""/>
            </v:shape>
            <v:shape style="position:absolute;left:5390;top:5356;width:2161;height:137" coordorigin="5390,5357" coordsize="2161,137" path="m7550,5357l6470,5357,5390,5357,5390,5494,6470,5494,7550,5494,7550,5357e" filled="true" fillcolor="#bfbfbf" stroked="false">
              <v:path arrowok="t"/>
              <v:fill type="solid"/>
            </v:shape>
            <v:shape style="position:absolute;left:5378;top:5352;width:22;height:276" type="#_x0000_t75" stroked="false">
              <v:imagedata r:id="rId1820" o:title=""/>
            </v:shape>
            <v:shape style="position:absolute;left:5390;top:5493;width:2161;height:137" coordorigin="5390,5494" coordsize="2161,137" path="m7550,5494l6470,5494,5390,5494,5390,5630,6470,5630,7550,5630,7550,5494e" filled="true" fillcolor="#bfbfbf" stroked="false">
              <v:path arrowok="t"/>
              <v:fill type="solid"/>
            </v:shape>
            <v:shape style="position:absolute;left:3218;top:5352;width:2182;height:418" type="#_x0000_t75" stroked="false">
              <v:imagedata r:id="rId1832" o:title=""/>
            </v:shape>
            <v:shape style="position:absolute;left:7538;top:5352;width:4342;height:555" type="#_x0000_t75" stroked="false">
              <v:imagedata r:id="rId1833" o:title=""/>
            </v:shape>
            <v:shape style="position:absolute;left:5390;top:5630;width:2161;height:137" coordorigin="5390,5630" coordsize="2161,137" path="m7550,5630l6470,5630,5390,5630,5390,5767,6470,5767,7550,5767,7550,5630e" filled="true" fillcolor="#bfbfbf" stroked="false">
              <v:path arrowok="t"/>
              <v:fill type="solid"/>
            </v:shape>
            <v:shape style="position:absolute;left:5378;top:5625;width:22;height:276" type="#_x0000_t75" stroked="false">
              <v:imagedata r:id="rId1820" o:title=""/>
            </v:shape>
            <v:shape style="position:absolute;left:5390;top:5767;width:2161;height:137" coordorigin="5390,5767" coordsize="2161,137" path="m7550,5767l6470,5767,5390,5767,5390,5904,6470,5904,7550,5904,7550,5767e" filled="true" fillcolor="#bfbfbf" stroked="false">
              <v:path arrowok="t"/>
              <v:fill type="solid"/>
            </v:shape>
            <v:shape style="position:absolute;left:5378;top:5762;width:22;height:276" type="#_x0000_t75" stroked="false">
              <v:imagedata r:id="rId1820" o:title=""/>
            </v:shape>
            <v:shape style="position:absolute;left:5390;top:5904;width:2161;height:137" coordorigin="5390,5904" coordsize="2161,137" path="m7550,5904l6470,5904,5390,5904,5390,6041,6470,6041,7550,6041,7550,5904e" filled="true" fillcolor="#bfbfbf" stroked="false">
              <v:path arrowok="t"/>
              <v:fill type="solid"/>
            </v:shape>
            <v:shape style="position:absolute;left:5378;top:5899;width:22;height:276" type="#_x0000_t75" stroked="false">
              <v:imagedata r:id="rId1820" o:title=""/>
            </v:shape>
            <v:shape style="position:absolute;left:5390;top:6040;width:2161;height:137" coordorigin="5390,6041" coordsize="2161,137" path="m7550,6041l6470,6041,5390,6041,5390,6178,6470,6178,7550,6178,7550,6041e" filled="true" fillcolor="#bfbfbf" stroked="false">
              <v:path arrowok="t"/>
              <v:fill type="solid"/>
            </v:shape>
            <v:shape style="position:absolute;left:5378;top:6036;width:22;height:269" type="#_x0000_t75" stroked="false">
              <v:imagedata r:id="rId1834" o:title=""/>
            </v:shape>
            <v:shape style="position:absolute;left:7538;top:5899;width:4342;height:548" type="#_x0000_t75" stroked="false">
              <v:imagedata r:id="rId1835" o:title=""/>
            </v:shape>
            <v:shape style="position:absolute;left:3218;top:5762;width:1095;height:680" type="#_x0000_t75" stroked="false">
              <v:imagedata r:id="rId1836" o:title=""/>
            </v:shape>
            <v:shape style="position:absolute;left:5390;top:6177;width:2161;height:130" coordorigin="5390,6178" coordsize="2161,130" path="m7550,6178l6470,6178,5390,6178,5390,6307,6470,6307,7550,6307,7550,6178e" filled="true" fillcolor="#bfbfbf" stroked="false">
              <v:path arrowok="t"/>
              <v:fill type="solid"/>
            </v:shape>
            <v:shape style="position:absolute;left:4305;top:6172;width:1095;height:269" type="#_x0000_t75" stroked="false">
              <v:imagedata r:id="rId1837" o:title=""/>
            </v:shape>
            <v:shape style="position:absolute;left:6465;top:5352;width:8;height:2048" type="#_x0000_t75" stroked="false">
              <v:imagedata r:id="rId1838" o:title=""/>
            </v:shape>
            <v:shape style="position:absolute;left:5378;top:6302;width:22;height:276" type="#_x0000_t75" stroked="false">
              <v:imagedata r:id="rId1820" o:title=""/>
            </v:shape>
            <v:shape style="position:absolute;left:5378;top:6439;width:22;height:276" type="#_x0000_t75" stroked="false">
              <v:imagedata r:id="rId1820" o:title=""/>
            </v:shape>
            <v:shape style="position:absolute;left:3218;top:6439;width:1095;height:418" type="#_x0000_t75" stroked="false">
              <v:imagedata r:id="rId1839" o:title=""/>
            </v:shape>
            <v:shape style="position:absolute;left:7538;top:6439;width:4342;height:555" type="#_x0000_t75" stroked="false">
              <v:imagedata r:id="rId1833" o:title=""/>
            </v:shape>
            <v:shape style="position:absolute;left:4305;top:6439;width:1095;height:418" type="#_x0000_t75" stroked="false">
              <v:imagedata r:id="rId1840" o:title=""/>
            </v:shape>
            <v:shape style="position:absolute;left:5378;top:6712;width:22;height:276" type="#_x0000_t75" stroked="false">
              <v:imagedata r:id="rId1820" o:title=""/>
            </v:shape>
            <v:shape style="position:absolute;left:5390;top:6854;width:2161;height:137" coordorigin="5390,6854" coordsize="2161,137" path="m7550,6854l6470,6854,5390,6854,5390,6991,6470,6991,7550,6991,7550,6854e" filled="true" fillcolor="#bfbfbf" stroked="false">
              <v:path arrowok="t"/>
              <v:fill type="solid"/>
            </v:shape>
            <v:shape style="position:absolute;left:5378;top:6849;width:22;height:276" type="#_x0000_t75" stroked="false">
              <v:imagedata r:id="rId1820" o:title=""/>
            </v:shape>
            <v:shape style="position:absolute;left:5390;top:6991;width:2161;height:137" coordorigin="5390,6991" coordsize="2161,137" path="m7550,6991l6470,6991,5390,6991,5390,7128,6470,7128,7550,7128,7550,6991e" filled="true" fillcolor="#bfbfbf" stroked="false">
              <v:path arrowok="t"/>
              <v:fill type="solid"/>
            </v:shape>
            <v:shape style="position:absolute;left:5378;top:6986;width:22;height:276" type="#_x0000_t75" stroked="false">
              <v:imagedata r:id="rId1820" o:title=""/>
            </v:shape>
            <v:shape style="position:absolute;left:5390;top:7128;width:2161;height:137" coordorigin="5390,7128" coordsize="2161,137" path="m7550,7128l6470,7128,5390,7128,5390,7265,6470,7265,7550,7265,7550,7128e" filled="true" fillcolor="#bfbfbf" stroked="false">
              <v:path arrowok="t"/>
              <v:fill type="solid"/>
            </v:shape>
            <v:shape style="position:absolute;left:3218;top:6849;width:2182;height:555" type="#_x0000_t75" stroked="false">
              <v:imagedata r:id="rId1841" o:title=""/>
            </v:shape>
            <v:rect style="position:absolute;left:5390;top:7264;width:1080;height:137" filled="true" fillcolor="#bfbfbf" stroked="false">
              <v:fill type="solid"/>
            </v:rect>
            <v:shape style="position:absolute;left:7538;top:6986;width:4342;height:687" type="#_x0000_t75" stroked="false">
              <v:imagedata r:id="rId1842" o:title=""/>
            </v:shape>
            <v:rect style="position:absolute;left:6470;top:7264;width:1080;height:137" filled="true" fillcolor="#bfbfbf" stroked="false">
              <v:fill type="solid"/>
            </v:rect>
            <v:shape style="position:absolute;left:5378;top:6986;width:2182;height:687" type="#_x0000_t75" stroked="false">
              <v:imagedata r:id="rId1843" o:title=""/>
            </v:shape>
            <v:shape style="position:absolute;left:7538;top:7533;width:4342;height:555" type="#_x0000_t75" stroked="false">
              <v:imagedata r:id="rId1844" o:title=""/>
            </v:shape>
            <v:shape style="position:absolute;left:3218;top:7396;width:1095;height:687" type="#_x0000_t75" stroked="false">
              <v:imagedata r:id="rId1845" o:title=""/>
            </v:shape>
            <v:shape style="position:absolute;left:5378;top:7670;width:2175;height:281" type="#_x0000_t75" stroked="false">
              <v:imagedata r:id="rId1846" o:title=""/>
            </v:shape>
            <v:shape style="position:absolute;left:4305;top:7944;width:1095;height:142" type="#_x0000_t75" stroked="false">
              <v:imagedata r:id="rId1847" o:title=""/>
            </v:shape>
            <v:shape style="position:absolute;left:5378;top:7944;width:22;height:276" type="#_x0000_t75" stroked="false">
              <v:imagedata r:id="rId1820" o:title=""/>
            </v:shape>
            <v:shape style="position:absolute;left:5378;top:8080;width:22;height:276" type="#_x0000_t75" stroked="false">
              <v:imagedata r:id="rId1820" o:title=""/>
            </v:shape>
            <v:shape style="position:absolute;left:3218;top:8080;width:1095;height:418" type="#_x0000_t75" stroked="false">
              <v:imagedata r:id="rId1839" o:title=""/>
            </v:shape>
            <v:shape style="position:absolute;left:4305;top:8080;width:1095;height:418" type="#_x0000_t75" stroked="false">
              <v:imagedata r:id="rId1840" o:title=""/>
            </v:shape>
            <v:shape style="position:absolute;left:7538;top:8080;width:4342;height:555" type="#_x0000_t75" stroked="false">
              <v:imagedata r:id="rId1833" o:title=""/>
            </v:shape>
            <v:shape style="position:absolute;left:7538;top:8628;width:4342;height:555" type="#_x0000_t75" stroked="false">
              <v:imagedata r:id="rId1833" o:title=""/>
            </v:shape>
            <v:shape style="position:absolute;left:7538;top:9175;width:4342;height:555" type="#_x0000_t75" stroked="false">
              <v:imagedata r:id="rId1833" o:title=""/>
            </v:shape>
            <v:shape style="position:absolute;left:7538;top:9722;width:4342;height:555" type="#_x0000_t75" stroked="false">
              <v:imagedata r:id="rId1833" o:title=""/>
            </v:shape>
            <v:shape style="position:absolute;left:7538;top:10269;width:4342;height:555" type="#_x0000_t75" stroked="false">
              <v:imagedata r:id="rId1833" o:title=""/>
            </v:shape>
            <v:shape style="position:absolute;left:8625;top:10816;width:3255;height:687" type="#_x0000_t75" stroked="false">
              <v:imagedata r:id="rId1848" o:title=""/>
            </v:shape>
            <v:shape style="position:absolute;left:7538;top:10816;width:1095;height:555" type="#_x0000_t75" stroked="false">
              <v:imagedata r:id="rId1849" o:title=""/>
            </v:shape>
            <v:shape style="position:absolute;left:7538;top:11364;width:4342;height:555" type="#_x0000_t75" stroked="false">
              <v:imagedata r:id="rId1850" o:title=""/>
            </v:shape>
            <v:shape style="position:absolute;left:5378;top:8354;width:22;height:276" type="#_x0000_t75" stroked="false">
              <v:imagedata r:id="rId1820" o:title=""/>
            </v:shape>
            <v:shape style="position:absolute;left:5378;top:8491;width:22;height:276" type="#_x0000_t75" stroked="false">
              <v:imagedata r:id="rId1820" o:title=""/>
            </v:shape>
            <v:shape style="position:absolute;left:5378;top:8628;width:22;height:276" type="#_x0000_t75" stroked="false">
              <v:imagedata r:id="rId1820" o:title=""/>
            </v:shape>
            <v:shape style="position:absolute;left:3218;top:8491;width:2182;height:555" type="#_x0000_t75" stroked="false">
              <v:imagedata r:id="rId1841" o:title=""/>
            </v:shape>
            <v:shape style="position:absolute;left:5378;top:8901;width:22;height:824" type="#_x0000_t75" stroked="false">
              <v:imagedata r:id="rId1851" o:title=""/>
            </v:shape>
            <v:shape style="position:absolute;left:3218;top:9038;width:2175;height:555" type="#_x0000_t75" stroked="false">
              <v:imagedata r:id="rId1852" o:title=""/>
            </v:shape>
            <v:shape style="position:absolute;left:5378;top:9585;width:22;height:413" type="#_x0000_t75" stroked="false">
              <v:imagedata r:id="rId1853" o:title=""/>
            </v:shape>
            <v:shape style="position:absolute;left:3218;top:9585;width:2182;height:555" type="#_x0000_t75" stroked="false">
              <v:imagedata r:id="rId1841" o:title=""/>
            </v:shape>
            <v:shape style="position:absolute;left:5378;top:9996;width:22;height:276" type="#_x0000_t75" stroked="false">
              <v:imagedata r:id="rId1820" o:title=""/>
            </v:shape>
            <v:shape style="position:absolute;left:5378;top:10132;width:22;height:276" type="#_x0000_t75" stroked="false">
              <v:imagedata r:id="rId1820" o:title=""/>
            </v:shape>
            <v:shape style="position:absolute;left:5378;top:10269;width:22;height:276" type="#_x0000_t75" stroked="false">
              <v:imagedata r:id="rId1820" o:title=""/>
            </v:shape>
            <v:shape style="position:absolute;left:3218;top:10132;width:2182;height:555" type="#_x0000_t75" stroked="false">
              <v:imagedata r:id="rId1841" o:title=""/>
            </v:shape>
            <v:shape style="position:absolute;left:5378;top:10543;width:22;height:276" type="#_x0000_t75" stroked="false">
              <v:imagedata r:id="rId1820" o:title=""/>
            </v:shape>
            <v:shape style="position:absolute;left:5378;top:10680;width:22;height:276" type="#_x0000_t75" stroked="false">
              <v:imagedata r:id="rId1820" o:title=""/>
            </v:shape>
            <v:shape style="position:absolute;left:5378;top:10816;width:22;height:276" type="#_x0000_t75" stroked="false">
              <v:imagedata r:id="rId1820" o:title=""/>
            </v:shape>
            <v:shape style="position:absolute;left:5378;top:10953;width:22;height:276" type="#_x0000_t75" stroked="false">
              <v:imagedata r:id="rId1820" o:title=""/>
            </v:shape>
            <v:shape style="position:absolute;left:3218;top:10680;width:2182;height:687" type="#_x0000_t75" stroked="false">
              <v:imagedata r:id="rId1854" o:title=""/>
            </v:shape>
            <v:shape style="position:absolute;left:5378;top:11227;width:22;height:413" type="#_x0000_t75" stroked="false">
              <v:imagedata r:id="rId1853" o:title=""/>
            </v:shape>
            <v:shape style="position:absolute;left:3218;top:11364;width:2182;height:418" type="#_x0000_t75" stroked="false">
              <v:imagedata r:id="rId1832" o:title=""/>
            </v:shape>
            <v:shape style="position:absolute;left:6465;top:7944;width:8;height:1234" type="#_x0000_t75" stroked="false">
              <v:imagedata r:id="rId1855" o:title=""/>
            </v:shape>
            <v:shape style="position:absolute;left:6465;top:9175;width:8;height:140" type="#_x0000_t75" stroked="false">
              <v:imagedata r:id="rId1856" o:title=""/>
            </v:shape>
            <v:shape style="position:absolute;left:6465;top:9312;width:8;height:140" type="#_x0000_t75" stroked="false">
              <v:imagedata r:id="rId1856" o:title=""/>
            </v:shape>
            <v:shape style="position:absolute;left:6465;top:9448;width:8;height:140" type="#_x0000_t75" stroked="false">
              <v:imagedata r:id="rId1857" o:title=""/>
            </v:shape>
            <v:shape style="position:absolute;left:6465;top:9585;width:8;height:276" type="#_x0000_t75" stroked="false">
              <v:imagedata r:id="rId1824" o:title=""/>
            </v:shape>
            <v:shape style="position:absolute;left:355;top:1932;width:11525;height:12867" type="#_x0000_t75" stroked="false">
              <v:imagedata r:id="rId1858" o:title=""/>
            </v:shape>
            <v:shape style="position:absolute;left:7538;top:11911;width:4342;height:555" type="#_x0000_t75" stroked="false">
              <v:imagedata r:id="rId1833" o:title=""/>
            </v:shape>
            <v:shape style="position:absolute;left:7538;top:12458;width:4342;height:555" type="#_x0000_t75" stroked="false">
              <v:imagedata r:id="rId1833" o:title=""/>
            </v:shape>
            <v:shape style="position:absolute;left:4305;top:11637;width:1095;height:276" type="#_x0000_t75" stroked="false">
              <v:imagedata r:id="rId1859" o:title=""/>
            </v:shape>
            <v:shape style="position:absolute;left:3218;top:11774;width:1095;height:142" type="#_x0000_t75" stroked="false">
              <v:imagedata r:id="rId1822" o:title=""/>
            </v:shape>
            <v:shape style="position:absolute;left:5378;top:11774;width:22;height:276" type="#_x0000_t75" stroked="false">
              <v:imagedata r:id="rId1820" o:title=""/>
            </v:shape>
            <v:shape style="position:absolute;left:5378;top:11911;width:22;height:276" type="#_x0000_t75" stroked="false">
              <v:imagedata r:id="rId1820" o:title=""/>
            </v:shape>
            <v:shape style="position:absolute;left:5378;top:12048;width:22;height:276" type="#_x0000_t75" stroked="false">
              <v:imagedata r:id="rId1820" o:title=""/>
            </v:shape>
            <v:shape style="position:absolute;left:5378;top:12184;width:22;height:276" type="#_x0000_t75" stroked="false">
              <v:imagedata r:id="rId1820" o:title=""/>
            </v:shape>
            <v:shape style="position:absolute;left:5378;top:12321;width:22;height:276" type="#_x0000_t75" stroked="false">
              <v:imagedata r:id="rId1820" o:title=""/>
            </v:shape>
            <v:shape style="position:absolute;left:5378;top:12458;width:22;height:276" type="#_x0000_t75" stroked="false">
              <v:imagedata r:id="rId1820" o:title=""/>
            </v:shape>
            <v:shape style="position:absolute;left:5378;top:12595;width:22;height:276" type="#_x0000_t75" stroked="false">
              <v:imagedata r:id="rId1820" o:title=""/>
            </v:shape>
            <v:shape style="position:absolute;left:5378;top:12732;width:22;height:276" type="#_x0000_t75" stroked="false">
              <v:imagedata r:id="rId1820" o:title=""/>
            </v:shape>
            <v:shape style="position:absolute;left:5378;top:12868;width:22;height:276" type="#_x0000_t75" stroked="false">
              <v:imagedata r:id="rId1820" o:title=""/>
            </v:shape>
            <v:shape style="position:absolute;left:5378;top:9859;width:2182;height:4380" type="#_x0000_t75" stroked="false">
              <v:imagedata r:id="rId1860" o:title=""/>
            </v:shape>
            <v:shape style="position:absolute;left:3218;top:11911;width:1095;height:2060" type="#_x0000_t75" stroked="false">
              <v:imagedata r:id="rId1861" o:title=""/>
            </v:shape>
            <v:shape style="position:absolute;left:5378;top:13005;width:22;height:276" type="#_x0000_t75" stroked="false">
              <v:imagedata r:id="rId1820" o:title=""/>
            </v:shape>
            <v:shape style="position:absolute;left:5378;top:13142;width:22;height:276" type="#_x0000_t75" stroked="false">
              <v:imagedata r:id="rId1820" o:title=""/>
            </v:shape>
            <v:shape style="position:absolute;left:7538;top:13005;width:4342;height:555" type="#_x0000_t75" stroked="false">
              <v:imagedata r:id="rId1833" o:title=""/>
            </v:shape>
            <v:shape style="position:absolute;left:8625;top:13552;width:3255;height:555" type="#_x0000_t75" stroked="false">
              <v:imagedata r:id="rId1862" o:title=""/>
            </v:shape>
            <v:shape style="position:absolute;left:9698;top:14647;width:2182;height:152" type="#_x0000_t75" stroked="false">
              <v:imagedata r:id="rId1863" o:title=""/>
            </v:shape>
            <w10:wrap type="none"/>
          </v:group>
        </w:pict>
      </w:r>
      <w:r>
        <w:rPr/>
        <w:pict>
          <v:group style="position:absolute;margin-left:160.919998pt;margin-top:595.560059pt;width:216.75pt;height:130.35pt;mso-position-horizontal-relative:page;mso-position-vertical-relative:page;z-index:-313680896" coordorigin="3218,11911" coordsize="4335,2607">
            <v:shape style="position:absolute;left:4305;top:11911;width:1095;height:2060" type="#_x0000_t75" stroked="false">
              <v:imagedata r:id="rId1864" o:title=""/>
            </v:shape>
            <v:shape style="position:absolute;left:5378;top:13279;width:22;height:276" type="#_x0000_t75" stroked="false">
              <v:imagedata r:id="rId1820" o:title=""/>
            </v:shape>
            <v:shape style="position:absolute;left:5378;top:13416;width:22;height:276" type="#_x0000_t75" stroked="false">
              <v:imagedata r:id="rId1820" o:title=""/>
            </v:shape>
            <v:shape style="position:absolute;left:5378;top:13552;width:22;height:276" type="#_x0000_t75" stroked="false">
              <v:imagedata r:id="rId1820" o:title=""/>
            </v:shape>
            <v:shape style="position:absolute;left:3218;top:13963;width:4335;height:555" type="#_x0000_t75" stroked="false">
              <v:imagedata r:id="rId1865" o:title=""/>
            </v:shape>
            <w10:wrap type="none"/>
          </v:group>
        </w:pict>
      </w:r>
    </w:p>
    <w:p>
      <w:pPr>
        <w:tabs>
          <w:tab w:pos="5791" w:val="left" w:leader="none"/>
          <w:tab w:pos="7819" w:val="left" w:leader="none"/>
          <w:tab w:pos="8899" w:val="left" w:leader="none"/>
          <w:tab w:pos="9960" w:val="left" w:leader="none"/>
          <w:tab w:pos="11107" w:val="left" w:leader="none"/>
        </w:tabs>
        <w:spacing w:before="104" w:after="11"/>
        <w:ind w:left="3587" w:right="0" w:firstLine="0"/>
        <w:jc w:val="left"/>
        <w:rPr>
          <w:b/>
          <w:sz w:val="10"/>
        </w:rPr>
      </w:pPr>
      <w:bookmarkStart w:name="FORM SIAA" w:id="21"/>
      <w:bookmarkEnd w:id="21"/>
      <w:r>
        <w:rPr/>
      </w:r>
      <w:r>
        <w:rPr>
          <w:b/>
          <w:w w:val="110"/>
          <w:sz w:val="10"/>
        </w:rPr>
        <w:t>Direct Costs</w:t>
      </w:r>
      <w:r>
        <w:rPr>
          <w:b/>
          <w:spacing w:val="-13"/>
          <w:w w:val="110"/>
          <w:sz w:val="10"/>
        </w:rPr>
        <w:t> </w:t>
      </w:r>
      <w:r>
        <w:rPr>
          <w:b/>
          <w:w w:val="110"/>
          <w:sz w:val="10"/>
        </w:rPr>
        <w:t>-</w:t>
      </w:r>
      <w:r>
        <w:rPr>
          <w:b/>
          <w:spacing w:val="-7"/>
          <w:w w:val="110"/>
          <w:sz w:val="10"/>
        </w:rPr>
        <w:t> </w:t>
      </w:r>
      <w:r>
        <w:rPr>
          <w:b/>
          <w:w w:val="110"/>
          <w:sz w:val="10"/>
        </w:rPr>
        <w:t>Interfund</w:t>
        <w:tab/>
        <w:t>Indirect Costs</w:t>
      </w:r>
      <w:r>
        <w:rPr>
          <w:b/>
          <w:spacing w:val="-15"/>
          <w:w w:val="110"/>
          <w:sz w:val="10"/>
        </w:rPr>
        <w:t> </w:t>
      </w:r>
      <w:r>
        <w:rPr>
          <w:b/>
          <w:w w:val="110"/>
          <w:sz w:val="10"/>
        </w:rPr>
        <w:t>-</w:t>
      </w:r>
      <w:r>
        <w:rPr>
          <w:b/>
          <w:spacing w:val="-9"/>
          <w:w w:val="110"/>
          <w:sz w:val="10"/>
        </w:rPr>
        <w:t> </w:t>
      </w:r>
      <w:r>
        <w:rPr>
          <w:b/>
          <w:w w:val="110"/>
          <w:sz w:val="10"/>
        </w:rPr>
        <w:t>Interfund</w:t>
        <w:tab/>
        <w:t>Interfund</w:t>
        <w:tab/>
        <w:t>Interfund</w:t>
        <w:tab/>
        <w:t>Due</w:t>
      </w:r>
      <w:r>
        <w:rPr>
          <w:b/>
          <w:spacing w:val="-4"/>
          <w:w w:val="110"/>
          <w:sz w:val="10"/>
        </w:rPr>
        <w:t> </w:t>
      </w:r>
      <w:r>
        <w:rPr>
          <w:b/>
          <w:w w:val="110"/>
          <w:sz w:val="10"/>
        </w:rPr>
        <w:t>From</w:t>
        <w:tab/>
        <w:t>Due</w:t>
      </w:r>
      <w:r>
        <w:rPr>
          <w:b/>
          <w:spacing w:val="-1"/>
          <w:w w:val="110"/>
          <w:sz w:val="10"/>
        </w:rPr>
        <w:t> </w:t>
      </w:r>
      <w:r>
        <w:rPr>
          <w:b/>
          <w:w w:val="110"/>
          <w:sz w:val="10"/>
        </w:rPr>
        <w:t>To</w:t>
      </w:r>
    </w:p>
    <w:tbl>
      <w:tblPr>
        <w:tblW w:w="0" w:type="auto"/>
        <w:jc w:val="left"/>
        <w:tblInd w:w="3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66"/>
        <w:gridCol w:w="1143"/>
        <w:gridCol w:w="1103"/>
        <w:gridCol w:w="1057"/>
        <w:gridCol w:w="1017"/>
        <w:gridCol w:w="1079"/>
        <w:gridCol w:w="1079"/>
        <w:gridCol w:w="1161"/>
        <w:gridCol w:w="962"/>
      </w:tblGrid>
      <w:tr>
        <w:trPr>
          <w:trHeight w:val="123" w:hRule="atLeast"/>
        </w:trPr>
        <w:tc>
          <w:tcPr>
            <w:tcW w:w="2866" w:type="dxa"/>
          </w:tcPr>
          <w:p>
            <w:pPr>
              <w:pStyle w:val="TableParagraph"/>
              <w:rPr>
                <w:rFonts w:ascii="Times New Roman"/>
                <w:sz w:val="6"/>
              </w:rPr>
            </w:pPr>
          </w:p>
        </w:tc>
        <w:tc>
          <w:tcPr>
            <w:tcW w:w="1143" w:type="dxa"/>
          </w:tcPr>
          <w:p>
            <w:pPr>
              <w:pStyle w:val="TableParagraph"/>
              <w:spacing w:line="100" w:lineRule="exact" w:before="3"/>
              <w:ind w:left="232"/>
              <w:rPr>
                <w:b/>
                <w:sz w:val="10"/>
              </w:rPr>
            </w:pPr>
            <w:r>
              <w:rPr>
                <w:b/>
                <w:w w:val="110"/>
                <w:sz w:val="10"/>
              </w:rPr>
              <w:t>Transfers In</w:t>
            </w:r>
          </w:p>
        </w:tc>
        <w:tc>
          <w:tcPr>
            <w:tcW w:w="1103" w:type="dxa"/>
          </w:tcPr>
          <w:p>
            <w:pPr>
              <w:pStyle w:val="TableParagraph"/>
              <w:spacing w:line="100" w:lineRule="exact" w:before="3"/>
              <w:ind w:left="124"/>
              <w:rPr>
                <w:b/>
                <w:sz w:val="10"/>
              </w:rPr>
            </w:pPr>
            <w:r>
              <w:rPr>
                <w:b/>
                <w:w w:val="110"/>
                <w:sz w:val="10"/>
              </w:rPr>
              <w:t>Transfers Out</w:t>
            </w:r>
          </w:p>
        </w:tc>
        <w:tc>
          <w:tcPr>
            <w:tcW w:w="1057" w:type="dxa"/>
          </w:tcPr>
          <w:p>
            <w:pPr>
              <w:pStyle w:val="TableParagraph"/>
              <w:spacing w:line="100" w:lineRule="exact" w:before="3"/>
              <w:ind w:left="146"/>
              <w:rPr>
                <w:b/>
                <w:sz w:val="10"/>
              </w:rPr>
            </w:pPr>
            <w:r>
              <w:rPr>
                <w:b/>
                <w:w w:val="110"/>
                <w:sz w:val="10"/>
              </w:rPr>
              <w:t>Transfers In</w:t>
            </w:r>
          </w:p>
        </w:tc>
        <w:tc>
          <w:tcPr>
            <w:tcW w:w="1017" w:type="dxa"/>
          </w:tcPr>
          <w:p>
            <w:pPr>
              <w:pStyle w:val="TableParagraph"/>
              <w:spacing w:line="100" w:lineRule="exact" w:before="3"/>
              <w:ind w:left="124"/>
              <w:rPr>
                <w:b/>
                <w:sz w:val="10"/>
              </w:rPr>
            </w:pPr>
            <w:r>
              <w:rPr>
                <w:b/>
                <w:w w:val="110"/>
                <w:sz w:val="10"/>
              </w:rPr>
              <w:t>Transfers Out</w:t>
            </w:r>
          </w:p>
        </w:tc>
        <w:tc>
          <w:tcPr>
            <w:tcW w:w="1079" w:type="dxa"/>
          </w:tcPr>
          <w:p>
            <w:pPr>
              <w:pStyle w:val="TableParagraph"/>
              <w:spacing w:line="100" w:lineRule="exact" w:before="3"/>
              <w:ind w:left="232"/>
              <w:rPr>
                <w:b/>
                <w:sz w:val="10"/>
              </w:rPr>
            </w:pPr>
            <w:r>
              <w:rPr>
                <w:b/>
                <w:w w:val="110"/>
                <w:sz w:val="10"/>
              </w:rPr>
              <w:t>Transfers In</w:t>
            </w:r>
          </w:p>
        </w:tc>
        <w:tc>
          <w:tcPr>
            <w:tcW w:w="1079" w:type="dxa"/>
          </w:tcPr>
          <w:p>
            <w:pPr>
              <w:pStyle w:val="TableParagraph"/>
              <w:spacing w:line="100" w:lineRule="exact" w:before="3"/>
              <w:ind w:left="188"/>
              <w:rPr>
                <w:b/>
                <w:sz w:val="10"/>
              </w:rPr>
            </w:pPr>
            <w:r>
              <w:rPr>
                <w:b/>
                <w:w w:val="110"/>
                <w:sz w:val="10"/>
              </w:rPr>
              <w:t>Transfers Out</w:t>
            </w:r>
          </w:p>
        </w:tc>
        <w:tc>
          <w:tcPr>
            <w:tcW w:w="1161" w:type="dxa"/>
          </w:tcPr>
          <w:p>
            <w:pPr>
              <w:pStyle w:val="TableParagraph"/>
              <w:spacing w:line="100" w:lineRule="exact" w:before="3"/>
              <w:ind w:left="227"/>
              <w:rPr>
                <w:b/>
                <w:sz w:val="10"/>
              </w:rPr>
            </w:pPr>
            <w:r>
              <w:rPr>
                <w:b/>
                <w:w w:val="110"/>
                <w:sz w:val="10"/>
              </w:rPr>
              <w:t>Other Funds</w:t>
            </w:r>
          </w:p>
        </w:tc>
        <w:tc>
          <w:tcPr>
            <w:tcW w:w="962" w:type="dxa"/>
          </w:tcPr>
          <w:p>
            <w:pPr>
              <w:pStyle w:val="TableParagraph"/>
              <w:spacing w:line="100" w:lineRule="exact" w:before="3"/>
              <w:ind w:left="146"/>
              <w:rPr>
                <w:b/>
                <w:sz w:val="10"/>
              </w:rPr>
            </w:pPr>
            <w:r>
              <w:rPr>
                <w:b/>
                <w:w w:val="110"/>
                <w:sz w:val="10"/>
              </w:rPr>
              <w:t>Other Funds</w:t>
            </w:r>
          </w:p>
        </w:tc>
      </w:tr>
      <w:tr>
        <w:trPr>
          <w:trHeight w:val="169" w:hRule="atLeast"/>
        </w:trPr>
        <w:tc>
          <w:tcPr>
            <w:tcW w:w="2866" w:type="dxa"/>
          </w:tcPr>
          <w:p>
            <w:pPr>
              <w:pStyle w:val="TableParagraph"/>
              <w:spacing w:line="127" w:lineRule="exact" w:before="22"/>
              <w:ind w:left="26"/>
              <w:rPr>
                <w:b/>
                <w:sz w:val="12"/>
              </w:rPr>
            </w:pPr>
            <w:r>
              <w:rPr>
                <w:b/>
                <w:sz w:val="12"/>
              </w:rPr>
              <w:t>Description</w:t>
            </w:r>
          </w:p>
        </w:tc>
        <w:tc>
          <w:tcPr>
            <w:tcW w:w="1143" w:type="dxa"/>
          </w:tcPr>
          <w:p>
            <w:pPr>
              <w:pStyle w:val="TableParagraph"/>
              <w:spacing w:before="7"/>
              <w:ind w:left="403" w:right="454"/>
              <w:jc w:val="center"/>
              <w:rPr>
                <w:b/>
                <w:sz w:val="10"/>
              </w:rPr>
            </w:pPr>
            <w:r>
              <w:rPr>
                <w:b/>
                <w:w w:val="110"/>
                <w:sz w:val="10"/>
              </w:rPr>
              <w:t>5750</w:t>
            </w:r>
          </w:p>
        </w:tc>
        <w:tc>
          <w:tcPr>
            <w:tcW w:w="1103" w:type="dxa"/>
          </w:tcPr>
          <w:p>
            <w:pPr>
              <w:pStyle w:val="TableParagraph"/>
              <w:spacing w:before="7"/>
              <w:ind w:left="361"/>
              <w:rPr>
                <w:b/>
                <w:sz w:val="10"/>
              </w:rPr>
            </w:pPr>
            <w:r>
              <w:rPr>
                <w:b/>
                <w:w w:val="110"/>
                <w:sz w:val="10"/>
              </w:rPr>
              <w:t>5750</w:t>
            </w:r>
          </w:p>
        </w:tc>
        <w:tc>
          <w:tcPr>
            <w:tcW w:w="1057" w:type="dxa"/>
          </w:tcPr>
          <w:p>
            <w:pPr>
              <w:pStyle w:val="TableParagraph"/>
              <w:spacing w:before="7"/>
              <w:ind w:left="338"/>
              <w:rPr>
                <w:b/>
                <w:sz w:val="10"/>
              </w:rPr>
            </w:pPr>
            <w:r>
              <w:rPr>
                <w:b/>
                <w:w w:val="110"/>
                <w:sz w:val="10"/>
              </w:rPr>
              <w:t>7350</w:t>
            </w:r>
          </w:p>
        </w:tc>
        <w:tc>
          <w:tcPr>
            <w:tcW w:w="1017" w:type="dxa"/>
          </w:tcPr>
          <w:p>
            <w:pPr>
              <w:pStyle w:val="TableParagraph"/>
              <w:spacing w:before="7"/>
              <w:ind w:left="340" w:right="391"/>
              <w:jc w:val="center"/>
              <w:rPr>
                <w:b/>
                <w:sz w:val="10"/>
              </w:rPr>
            </w:pPr>
            <w:r>
              <w:rPr>
                <w:b/>
                <w:w w:val="110"/>
                <w:sz w:val="10"/>
              </w:rPr>
              <w:t>7350</w:t>
            </w:r>
          </w:p>
        </w:tc>
        <w:tc>
          <w:tcPr>
            <w:tcW w:w="1079" w:type="dxa"/>
          </w:tcPr>
          <w:p>
            <w:pPr>
              <w:pStyle w:val="TableParagraph"/>
              <w:spacing w:before="7"/>
              <w:ind w:left="285"/>
              <w:rPr>
                <w:b/>
                <w:sz w:val="10"/>
              </w:rPr>
            </w:pPr>
            <w:r>
              <w:rPr>
                <w:b/>
                <w:w w:val="110"/>
                <w:sz w:val="10"/>
              </w:rPr>
              <w:t>8900-8929</w:t>
            </w:r>
          </w:p>
        </w:tc>
        <w:tc>
          <w:tcPr>
            <w:tcW w:w="1079" w:type="dxa"/>
          </w:tcPr>
          <w:p>
            <w:pPr>
              <w:pStyle w:val="TableParagraph"/>
              <w:spacing w:before="7"/>
              <w:ind w:left="286"/>
              <w:rPr>
                <w:b/>
                <w:sz w:val="10"/>
              </w:rPr>
            </w:pPr>
            <w:r>
              <w:rPr>
                <w:b/>
                <w:w w:val="110"/>
                <w:sz w:val="10"/>
              </w:rPr>
              <w:t>7600-7629</w:t>
            </w:r>
          </w:p>
        </w:tc>
        <w:tc>
          <w:tcPr>
            <w:tcW w:w="1161" w:type="dxa"/>
          </w:tcPr>
          <w:p>
            <w:pPr>
              <w:pStyle w:val="TableParagraph"/>
              <w:spacing w:before="7"/>
              <w:ind w:left="405" w:right="470"/>
              <w:jc w:val="center"/>
              <w:rPr>
                <w:b/>
                <w:sz w:val="10"/>
              </w:rPr>
            </w:pPr>
            <w:r>
              <w:rPr>
                <w:b/>
                <w:w w:val="110"/>
                <w:sz w:val="10"/>
              </w:rPr>
              <w:t>9310</w:t>
            </w:r>
          </w:p>
        </w:tc>
        <w:tc>
          <w:tcPr>
            <w:tcW w:w="962" w:type="dxa"/>
          </w:tcPr>
          <w:p>
            <w:pPr>
              <w:pStyle w:val="TableParagraph"/>
              <w:spacing w:before="7"/>
              <w:ind w:left="324" w:right="352"/>
              <w:jc w:val="center"/>
              <w:rPr>
                <w:b/>
                <w:sz w:val="10"/>
              </w:rPr>
            </w:pPr>
            <w:r>
              <w:rPr>
                <w:b/>
                <w:w w:val="110"/>
                <w:sz w:val="10"/>
              </w:rPr>
              <w:t>9610</w:t>
            </w:r>
          </w:p>
        </w:tc>
      </w:tr>
      <w:tr>
        <w:trPr>
          <w:trHeight w:val="137" w:hRule="atLeast"/>
        </w:trPr>
        <w:tc>
          <w:tcPr>
            <w:tcW w:w="2866" w:type="dxa"/>
          </w:tcPr>
          <w:p>
            <w:pPr>
              <w:pStyle w:val="TableParagraph"/>
              <w:spacing w:line="105" w:lineRule="exact" w:before="13"/>
              <w:ind w:left="26"/>
              <w:rPr>
                <w:sz w:val="10"/>
              </w:rPr>
            </w:pPr>
            <w:r>
              <w:rPr>
                <w:w w:val="110"/>
                <w:sz w:val="10"/>
              </w:rPr>
              <w:t>01 GENERAL FUND</w:t>
            </w:r>
          </w:p>
        </w:tc>
        <w:tc>
          <w:tcPr>
            <w:tcW w:w="1143" w:type="dxa"/>
          </w:tcPr>
          <w:p>
            <w:pPr>
              <w:pStyle w:val="TableParagraph"/>
              <w:rPr>
                <w:rFonts w:ascii="Times New Roman"/>
                <w:sz w:val="8"/>
              </w:rPr>
            </w:pPr>
          </w:p>
        </w:tc>
        <w:tc>
          <w:tcPr>
            <w:tcW w:w="1103" w:type="dxa"/>
          </w:tcPr>
          <w:p>
            <w:pPr>
              <w:pStyle w:val="TableParagraph"/>
              <w:rPr>
                <w:rFonts w:ascii="Times New Roman"/>
                <w:sz w:val="8"/>
              </w:rPr>
            </w:pPr>
          </w:p>
        </w:tc>
        <w:tc>
          <w:tcPr>
            <w:tcW w:w="1057" w:type="dxa"/>
          </w:tcPr>
          <w:p>
            <w:pPr>
              <w:pStyle w:val="TableParagraph"/>
              <w:rPr>
                <w:rFonts w:ascii="Times New Roman"/>
                <w:sz w:val="8"/>
              </w:rPr>
            </w:pPr>
          </w:p>
        </w:tc>
        <w:tc>
          <w:tcPr>
            <w:tcW w:w="1017" w:type="dxa"/>
          </w:tcPr>
          <w:p>
            <w:pPr>
              <w:pStyle w:val="TableParagraph"/>
              <w:rPr>
                <w:rFonts w:ascii="Times New Roman"/>
                <w:sz w:val="8"/>
              </w:rPr>
            </w:pP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36" w:hRule="atLeast"/>
        </w:trPr>
        <w:tc>
          <w:tcPr>
            <w:tcW w:w="2866" w:type="dxa"/>
          </w:tcPr>
          <w:p>
            <w:pPr>
              <w:pStyle w:val="TableParagraph"/>
              <w:spacing w:line="105" w:lineRule="exact" w:before="12"/>
              <w:ind w:left="245"/>
              <w:rPr>
                <w:sz w:val="10"/>
              </w:rPr>
            </w:pPr>
            <w:r>
              <w:rPr>
                <w:w w:val="110"/>
                <w:sz w:val="10"/>
              </w:rPr>
              <w:t>Expenditure Detail</w:t>
            </w:r>
          </w:p>
        </w:tc>
        <w:tc>
          <w:tcPr>
            <w:tcW w:w="1143" w:type="dxa"/>
          </w:tcPr>
          <w:p>
            <w:pPr>
              <w:pStyle w:val="TableParagraph"/>
              <w:spacing w:line="105" w:lineRule="exact" w:before="12"/>
              <w:ind w:right="123"/>
              <w:jc w:val="right"/>
              <w:rPr>
                <w:sz w:val="10"/>
              </w:rPr>
            </w:pPr>
            <w:r>
              <w:rPr>
                <w:w w:val="105"/>
                <w:sz w:val="10"/>
              </w:rPr>
              <w:t>0.00</w:t>
            </w:r>
          </w:p>
        </w:tc>
        <w:tc>
          <w:tcPr>
            <w:tcW w:w="1103" w:type="dxa"/>
          </w:tcPr>
          <w:p>
            <w:pPr>
              <w:pStyle w:val="TableParagraph"/>
              <w:spacing w:line="105" w:lineRule="exact" w:before="12"/>
              <w:ind w:right="146"/>
              <w:jc w:val="right"/>
              <w:rPr>
                <w:sz w:val="10"/>
              </w:rPr>
            </w:pPr>
            <w:r>
              <w:rPr>
                <w:w w:val="105"/>
                <w:sz w:val="10"/>
              </w:rPr>
              <w:t>0.00</w:t>
            </w:r>
          </w:p>
        </w:tc>
        <w:tc>
          <w:tcPr>
            <w:tcW w:w="1057" w:type="dxa"/>
          </w:tcPr>
          <w:p>
            <w:pPr>
              <w:pStyle w:val="TableParagraph"/>
              <w:spacing w:line="105" w:lineRule="exact" w:before="12"/>
              <w:ind w:right="123"/>
              <w:jc w:val="right"/>
              <w:rPr>
                <w:sz w:val="10"/>
              </w:rPr>
            </w:pPr>
            <w:r>
              <w:rPr>
                <w:w w:val="105"/>
                <w:sz w:val="10"/>
              </w:rPr>
              <w:t>0.00</w:t>
            </w:r>
          </w:p>
        </w:tc>
        <w:tc>
          <w:tcPr>
            <w:tcW w:w="1017" w:type="dxa"/>
          </w:tcPr>
          <w:p>
            <w:pPr>
              <w:pStyle w:val="TableParagraph"/>
              <w:spacing w:line="105" w:lineRule="exact" w:before="12"/>
              <w:ind w:right="60"/>
              <w:jc w:val="right"/>
              <w:rPr>
                <w:sz w:val="10"/>
              </w:rPr>
            </w:pPr>
            <w:r>
              <w:rPr>
                <w:w w:val="105"/>
                <w:sz w:val="10"/>
              </w:rPr>
              <w:t>0.00</w:t>
            </w: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36" w:hRule="atLeast"/>
        </w:trPr>
        <w:tc>
          <w:tcPr>
            <w:tcW w:w="2866" w:type="dxa"/>
          </w:tcPr>
          <w:p>
            <w:pPr>
              <w:pStyle w:val="TableParagraph"/>
              <w:spacing w:line="105" w:lineRule="exact" w:before="12"/>
              <w:ind w:left="245"/>
              <w:rPr>
                <w:sz w:val="10"/>
              </w:rPr>
            </w:pPr>
            <w:r>
              <w:rPr>
                <w:w w:val="110"/>
                <w:sz w:val="10"/>
              </w:rPr>
              <w:t>Other Sources/Uses Detail</w:t>
            </w:r>
          </w:p>
        </w:tc>
        <w:tc>
          <w:tcPr>
            <w:tcW w:w="1143" w:type="dxa"/>
          </w:tcPr>
          <w:p>
            <w:pPr>
              <w:pStyle w:val="TableParagraph"/>
              <w:rPr>
                <w:rFonts w:ascii="Times New Roman"/>
                <w:sz w:val="8"/>
              </w:rPr>
            </w:pPr>
          </w:p>
        </w:tc>
        <w:tc>
          <w:tcPr>
            <w:tcW w:w="1103" w:type="dxa"/>
          </w:tcPr>
          <w:p>
            <w:pPr>
              <w:pStyle w:val="TableParagraph"/>
              <w:rPr>
                <w:rFonts w:ascii="Times New Roman"/>
                <w:sz w:val="8"/>
              </w:rPr>
            </w:pPr>
          </w:p>
        </w:tc>
        <w:tc>
          <w:tcPr>
            <w:tcW w:w="1057" w:type="dxa"/>
          </w:tcPr>
          <w:p>
            <w:pPr>
              <w:pStyle w:val="TableParagraph"/>
              <w:rPr>
                <w:rFonts w:ascii="Times New Roman"/>
                <w:sz w:val="8"/>
              </w:rPr>
            </w:pPr>
          </w:p>
        </w:tc>
        <w:tc>
          <w:tcPr>
            <w:tcW w:w="1017" w:type="dxa"/>
          </w:tcPr>
          <w:p>
            <w:pPr>
              <w:pStyle w:val="TableParagraph"/>
              <w:rPr>
                <w:rFonts w:ascii="Times New Roman"/>
                <w:sz w:val="8"/>
              </w:rPr>
            </w:pPr>
          </w:p>
        </w:tc>
        <w:tc>
          <w:tcPr>
            <w:tcW w:w="1079" w:type="dxa"/>
          </w:tcPr>
          <w:p>
            <w:pPr>
              <w:pStyle w:val="TableParagraph"/>
              <w:spacing w:line="105" w:lineRule="exact" w:before="12"/>
              <w:ind w:right="59"/>
              <w:jc w:val="right"/>
              <w:rPr>
                <w:sz w:val="10"/>
              </w:rPr>
            </w:pPr>
            <w:r>
              <w:rPr>
                <w:w w:val="105"/>
                <w:sz w:val="10"/>
              </w:rPr>
              <w:t>0.00</w:t>
            </w:r>
          </w:p>
        </w:tc>
        <w:tc>
          <w:tcPr>
            <w:tcW w:w="1079" w:type="dxa"/>
          </w:tcPr>
          <w:p>
            <w:pPr>
              <w:pStyle w:val="TableParagraph"/>
              <w:spacing w:line="105" w:lineRule="exact" w:before="12"/>
              <w:ind w:right="58"/>
              <w:jc w:val="right"/>
              <w:rPr>
                <w:sz w:val="10"/>
              </w:rPr>
            </w:pPr>
            <w:r>
              <w:rPr>
                <w:w w:val="105"/>
                <w:sz w:val="10"/>
              </w:rPr>
              <w:t>0.00</w:t>
            </w: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36" w:hRule="atLeast"/>
        </w:trPr>
        <w:tc>
          <w:tcPr>
            <w:tcW w:w="2866" w:type="dxa"/>
          </w:tcPr>
          <w:p>
            <w:pPr>
              <w:pStyle w:val="TableParagraph"/>
              <w:spacing w:line="105" w:lineRule="exact" w:before="12"/>
              <w:ind w:left="245"/>
              <w:rPr>
                <w:sz w:val="10"/>
              </w:rPr>
            </w:pPr>
            <w:r>
              <w:rPr>
                <w:w w:val="110"/>
                <w:sz w:val="10"/>
              </w:rPr>
              <w:t>Fund Reconciliation</w:t>
            </w:r>
          </w:p>
        </w:tc>
        <w:tc>
          <w:tcPr>
            <w:tcW w:w="1143" w:type="dxa"/>
          </w:tcPr>
          <w:p>
            <w:pPr>
              <w:pStyle w:val="TableParagraph"/>
              <w:rPr>
                <w:rFonts w:ascii="Times New Roman"/>
                <w:sz w:val="8"/>
              </w:rPr>
            </w:pPr>
          </w:p>
        </w:tc>
        <w:tc>
          <w:tcPr>
            <w:tcW w:w="1103" w:type="dxa"/>
          </w:tcPr>
          <w:p>
            <w:pPr>
              <w:pStyle w:val="TableParagraph"/>
              <w:rPr>
                <w:rFonts w:ascii="Times New Roman"/>
                <w:sz w:val="8"/>
              </w:rPr>
            </w:pPr>
          </w:p>
        </w:tc>
        <w:tc>
          <w:tcPr>
            <w:tcW w:w="1057" w:type="dxa"/>
          </w:tcPr>
          <w:p>
            <w:pPr>
              <w:pStyle w:val="TableParagraph"/>
              <w:rPr>
                <w:rFonts w:ascii="Times New Roman"/>
                <w:sz w:val="8"/>
              </w:rPr>
            </w:pPr>
          </w:p>
        </w:tc>
        <w:tc>
          <w:tcPr>
            <w:tcW w:w="1017" w:type="dxa"/>
          </w:tcPr>
          <w:p>
            <w:pPr>
              <w:pStyle w:val="TableParagraph"/>
              <w:rPr>
                <w:rFonts w:ascii="Times New Roman"/>
                <w:sz w:val="8"/>
              </w:rPr>
            </w:pP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spacing w:line="105" w:lineRule="exact" w:before="12"/>
              <w:ind w:right="139"/>
              <w:jc w:val="right"/>
              <w:rPr>
                <w:sz w:val="10"/>
              </w:rPr>
            </w:pPr>
            <w:r>
              <w:rPr>
                <w:w w:val="105"/>
                <w:sz w:val="10"/>
              </w:rPr>
              <w:t>0.00</w:t>
            </w:r>
          </w:p>
        </w:tc>
        <w:tc>
          <w:tcPr>
            <w:tcW w:w="962" w:type="dxa"/>
          </w:tcPr>
          <w:p>
            <w:pPr>
              <w:pStyle w:val="TableParagraph"/>
              <w:spacing w:line="105" w:lineRule="exact" w:before="12"/>
              <w:ind w:right="21"/>
              <w:jc w:val="right"/>
              <w:rPr>
                <w:sz w:val="10"/>
              </w:rPr>
            </w:pPr>
            <w:r>
              <w:rPr>
                <w:w w:val="105"/>
                <w:sz w:val="10"/>
              </w:rPr>
              <w:t>0.00</w:t>
            </w:r>
          </w:p>
        </w:tc>
      </w:tr>
      <w:tr>
        <w:trPr>
          <w:trHeight w:val="136" w:hRule="atLeast"/>
        </w:trPr>
        <w:tc>
          <w:tcPr>
            <w:tcW w:w="2866" w:type="dxa"/>
          </w:tcPr>
          <w:p>
            <w:pPr>
              <w:pStyle w:val="TableParagraph"/>
              <w:spacing w:line="105" w:lineRule="exact" w:before="12"/>
              <w:ind w:left="26"/>
              <w:rPr>
                <w:sz w:val="10"/>
              </w:rPr>
            </w:pPr>
            <w:r>
              <w:rPr>
                <w:w w:val="110"/>
                <w:sz w:val="10"/>
              </w:rPr>
              <w:t>08 STUDENT ACTIVITY SPECIAL REVENUE FUND</w:t>
            </w:r>
          </w:p>
        </w:tc>
        <w:tc>
          <w:tcPr>
            <w:tcW w:w="1143" w:type="dxa"/>
          </w:tcPr>
          <w:p>
            <w:pPr>
              <w:pStyle w:val="TableParagraph"/>
              <w:rPr>
                <w:rFonts w:ascii="Times New Roman"/>
                <w:sz w:val="8"/>
              </w:rPr>
            </w:pPr>
          </w:p>
        </w:tc>
        <w:tc>
          <w:tcPr>
            <w:tcW w:w="1103" w:type="dxa"/>
          </w:tcPr>
          <w:p>
            <w:pPr>
              <w:pStyle w:val="TableParagraph"/>
              <w:rPr>
                <w:rFonts w:ascii="Times New Roman"/>
                <w:sz w:val="8"/>
              </w:rPr>
            </w:pPr>
          </w:p>
        </w:tc>
        <w:tc>
          <w:tcPr>
            <w:tcW w:w="1057" w:type="dxa"/>
          </w:tcPr>
          <w:p>
            <w:pPr>
              <w:pStyle w:val="TableParagraph"/>
              <w:rPr>
                <w:rFonts w:ascii="Times New Roman"/>
                <w:sz w:val="8"/>
              </w:rPr>
            </w:pPr>
          </w:p>
        </w:tc>
        <w:tc>
          <w:tcPr>
            <w:tcW w:w="1017" w:type="dxa"/>
          </w:tcPr>
          <w:p>
            <w:pPr>
              <w:pStyle w:val="TableParagraph"/>
              <w:rPr>
                <w:rFonts w:ascii="Times New Roman"/>
                <w:sz w:val="8"/>
              </w:rPr>
            </w:pP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36" w:hRule="atLeast"/>
        </w:trPr>
        <w:tc>
          <w:tcPr>
            <w:tcW w:w="2866" w:type="dxa"/>
          </w:tcPr>
          <w:p>
            <w:pPr>
              <w:pStyle w:val="TableParagraph"/>
              <w:spacing w:line="105" w:lineRule="exact" w:before="12"/>
              <w:ind w:left="245"/>
              <w:rPr>
                <w:sz w:val="10"/>
              </w:rPr>
            </w:pPr>
            <w:r>
              <w:rPr>
                <w:w w:val="110"/>
                <w:sz w:val="10"/>
              </w:rPr>
              <w:t>Expenditure Detail</w:t>
            </w:r>
          </w:p>
        </w:tc>
        <w:tc>
          <w:tcPr>
            <w:tcW w:w="1143" w:type="dxa"/>
          </w:tcPr>
          <w:p>
            <w:pPr>
              <w:pStyle w:val="TableParagraph"/>
              <w:spacing w:line="105" w:lineRule="exact" w:before="12"/>
              <w:ind w:right="123"/>
              <w:jc w:val="right"/>
              <w:rPr>
                <w:sz w:val="10"/>
              </w:rPr>
            </w:pPr>
            <w:r>
              <w:rPr>
                <w:w w:val="105"/>
                <w:sz w:val="10"/>
              </w:rPr>
              <w:t>0.00</w:t>
            </w:r>
          </w:p>
        </w:tc>
        <w:tc>
          <w:tcPr>
            <w:tcW w:w="1103" w:type="dxa"/>
          </w:tcPr>
          <w:p>
            <w:pPr>
              <w:pStyle w:val="TableParagraph"/>
              <w:spacing w:line="105" w:lineRule="exact" w:before="12"/>
              <w:ind w:right="146"/>
              <w:jc w:val="right"/>
              <w:rPr>
                <w:sz w:val="10"/>
              </w:rPr>
            </w:pPr>
            <w:r>
              <w:rPr>
                <w:w w:val="105"/>
                <w:sz w:val="10"/>
              </w:rPr>
              <w:t>0.00</w:t>
            </w:r>
          </w:p>
        </w:tc>
        <w:tc>
          <w:tcPr>
            <w:tcW w:w="1057" w:type="dxa"/>
          </w:tcPr>
          <w:p>
            <w:pPr>
              <w:pStyle w:val="TableParagraph"/>
              <w:spacing w:line="105" w:lineRule="exact" w:before="12"/>
              <w:ind w:right="123"/>
              <w:jc w:val="right"/>
              <w:rPr>
                <w:sz w:val="10"/>
              </w:rPr>
            </w:pPr>
            <w:r>
              <w:rPr>
                <w:w w:val="105"/>
                <w:sz w:val="10"/>
              </w:rPr>
              <w:t>0.00</w:t>
            </w:r>
          </w:p>
        </w:tc>
        <w:tc>
          <w:tcPr>
            <w:tcW w:w="1017" w:type="dxa"/>
          </w:tcPr>
          <w:p>
            <w:pPr>
              <w:pStyle w:val="TableParagraph"/>
              <w:spacing w:line="105" w:lineRule="exact" w:before="12"/>
              <w:ind w:right="60"/>
              <w:jc w:val="right"/>
              <w:rPr>
                <w:sz w:val="10"/>
              </w:rPr>
            </w:pPr>
            <w:r>
              <w:rPr>
                <w:w w:val="105"/>
                <w:sz w:val="10"/>
              </w:rPr>
              <w:t>0.00</w:t>
            </w: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36" w:hRule="atLeast"/>
        </w:trPr>
        <w:tc>
          <w:tcPr>
            <w:tcW w:w="2866" w:type="dxa"/>
          </w:tcPr>
          <w:p>
            <w:pPr>
              <w:pStyle w:val="TableParagraph"/>
              <w:spacing w:line="105" w:lineRule="exact" w:before="12"/>
              <w:ind w:left="245"/>
              <w:rPr>
                <w:sz w:val="10"/>
              </w:rPr>
            </w:pPr>
            <w:r>
              <w:rPr>
                <w:w w:val="110"/>
                <w:sz w:val="10"/>
              </w:rPr>
              <w:t>Other Sources/Uses Detail</w:t>
            </w:r>
          </w:p>
        </w:tc>
        <w:tc>
          <w:tcPr>
            <w:tcW w:w="1143" w:type="dxa"/>
          </w:tcPr>
          <w:p>
            <w:pPr>
              <w:pStyle w:val="TableParagraph"/>
              <w:rPr>
                <w:rFonts w:ascii="Times New Roman"/>
                <w:sz w:val="8"/>
              </w:rPr>
            </w:pPr>
          </w:p>
        </w:tc>
        <w:tc>
          <w:tcPr>
            <w:tcW w:w="1103" w:type="dxa"/>
          </w:tcPr>
          <w:p>
            <w:pPr>
              <w:pStyle w:val="TableParagraph"/>
              <w:rPr>
                <w:rFonts w:ascii="Times New Roman"/>
                <w:sz w:val="8"/>
              </w:rPr>
            </w:pPr>
          </w:p>
        </w:tc>
        <w:tc>
          <w:tcPr>
            <w:tcW w:w="1057" w:type="dxa"/>
          </w:tcPr>
          <w:p>
            <w:pPr>
              <w:pStyle w:val="TableParagraph"/>
              <w:rPr>
                <w:rFonts w:ascii="Times New Roman"/>
                <w:sz w:val="8"/>
              </w:rPr>
            </w:pPr>
          </w:p>
        </w:tc>
        <w:tc>
          <w:tcPr>
            <w:tcW w:w="1017" w:type="dxa"/>
          </w:tcPr>
          <w:p>
            <w:pPr>
              <w:pStyle w:val="TableParagraph"/>
              <w:rPr>
                <w:rFonts w:ascii="Times New Roman"/>
                <w:sz w:val="8"/>
              </w:rPr>
            </w:pPr>
          </w:p>
        </w:tc>
        <w:tc>
          <w:tcPr>
            <w:tcW w:w="1079" w:type="dxa"/>
          </w:tcPr>
          <w:p>
            <w:pPr>
              <w:pStyle w:val="TableParagraph"/>
              <w:spacing w:line="105" w:lineRule="exact" w:before="12"/>
              <w:ind w:right="59"/>
              <w:jc w:val="right"/>
              <w:rPr>
                <w:sz w:val="10"/>
              </w:rPr>
            </w:pPr>
            <w:r>
              <w:rPr>
                <w:w w:val="105"/>
                <w:sz w:val="10"/>
              </w:rPr>
              <w:t>0.00</w:t>
            </w:r>
          </w:p>
        </w:tc>
        <w:tc>
          <w:tcPr>
            <w:tcW w:w="1079" w:type="dxa"/>
          </w:tcPr>
          <w:p>
            <w:pPr>
              <w:pStyle w:val="TableParagraph"/>
              <w:spacing w:line="105" w:lineRule="exact" w:before="12"/>
              <w:ind w:right="58"/>
              <w:jc w:val="right"/>
              <w:rPr>
                <w:sz w:val="10"/>
              </w:rPr>
            </w:pPr>
            <w:r>
              <w:rPr>
                <w:w w:val="105"/>
                <w:sz w:val="10"/>
              </w:rPr>
              <w:t>0.00</w:t>
            </w: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36" w:hRule="atLeast"/>
        </w:trPr>
        <w:tc>
          <w:tcPr>
            <w:tcW w:w="2866" w:type="dxa"/>
          </w:tcPr>
          <w:p>
            <w:pPr>
              <w:pStyle w:val="TableParagraph"/>
              <w:spacing w:line="105" w:lineRule="exact" w:before="12"/>
              <w:ind w:left="245"/>
              <w:rPr>
                <w:sz w:val="10"/>
              </w:rPr>
            </w:pPr>
            <w:r>
              <w:rPr>
                <w:w w:val="110"/>
                <w:sz w:val="10"/>
              </w:rPr>
              <w:t>Fund Reconciliation</w:t>
            </w:r>
          </w:p>
        </w:tc>
        <w:tc>
          <w:tcPr>
            <w:tcW w:w="1143" w:type="dxa"/>
          </w:tcPr>
          <w:p>
            <w:pPr>
              <w:pStyle w:val="TableParagraph"/>
              <w:rPr>
                <w:rFonts w:ascii="Times New Roman"/>
                <w:sz w:val="8"/>
              </w:rPr>
            </w:pPr>
          </w:p>
        </w:tc>
        <w:tc>
          <w:tcPr>
            <w:tcW w:w="1103" w:type="dxa"/>
          </w:tcPr>
          <w:p>
            <w:pPr>
              <w:pStyle w:val="TableParagraph"/>
              <w:rPr>
                <w:rFonts w:ascii="Times New Roman"/>
                <w:sz w:val="8"/>
              </w:rPr>
            </w:pPr>
          </w:p>
        </w:tc>
        <w:tc>
          <w:tcPr>
            <w:tcW w:w="1057" w:type="dxa"/>
          </w:tcPr>
          <w:p>
            <w:pPr>
              <w:pStyle w:val="TableParagraph"/>
              <w:rPr>
                <w:rFonts w:ascii="Times New Roman"/>
                <w:sz w:val="8"/>
              </w:rPr>
            </w:pPr>
          </w:p>
        </w:tc>
        <w:tc>
          <w:tcPr>
            <w:tcW w:w="1017" w:type="dxa"/>
          </w:tcPr>
          <w:p>
            <w:pPr>
              <w:pStyle w:val="TableParagraph"/>
              <w:rPr>
                <w:rFonts w:ascii="Times New Roman"/>
                <w:sz w:val="8"/>
              </w:rPr>
            </w:pP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spacing w:line="105" w:lineRule="exact" w:before="12"/>
              <w:ind w:right="139"/>
              <w:jc w:val="right"/>
              <w:rPr>
                <w:sz w:val="10"/>
              </w:rPr>
            </w:pPr>
            <w:r>
              <w:rPr>
                <w:w w:val="105"/>
                <w:sz w:val="10"/>
              </w:rPr>
              <w:t>0.00</w:t>
            </w:r>
          </w:p>
        </w:tc>
        <w:tc>
          <w:tcPr>
            <w:tcW w:w="962" w:type="dxa"/>
          </w:tcPr>
          <w:p>
            <w:pPr>
              <w:pStyle w:val="TableParagraph"/>
              <w:spacing w:line="105" w:lineRule="exact" w:before="12"/>
              <w:ind w:right="21"/>
              <w:jc w:val="right"/>
              <w:rPr>
                <w:sz w:val="10"/>
              </w:rPr>
            </w:pPr>
            <w:r>
              <w:rPr>
                <w:w w:val="105"/>
                <w:sz w:val="10"/>
              </w:rPr>
              <w:t>0.00</w:t>
            </w:r>
          </w:p>
        </w:tc>
      </w:tr>
      <w:tr>
        <w:trPr>
          <w:trHeight w:val="136" w:hRule="atLeast"/>
        </w:trPr>
        <w:tc>
          <w:tcPr>
            <w:tcW w:w="2866" w:type="dxa"/>
          </w:tcPr>
          <w:p>
            <w:pPr>
              <w:pStyle w:val="TableParagraph"/>
              <w:spacing w:line="105" w:lineRule="exact" w:before="12"/>
              <w:ind w:left="26"/>
              <w:rPr>
                <w:sz w:val="10"/>
              </w:rPr>
            </w:pPr>
            <w:r>
              <w:rPr>
                <w:w w:val="110"/>
                <w:sz w:val="10"/>
              </w:rPr>
              <w:t>09 CHARTER SCHOOLS SPECIAL REVENUE FUND</w:t>
            </w:r>
          </w:p>
        </w:tc>
        <w:tc>
          <w:tcPr>
            <w:tcW w:w="1143" w:type="dxa"/>
          </w:tcPr>
          <w:p>
            <w:pPr>
              <w:pStyle w:val="TableParagraph"/>
              <w:rPr>
                <w:rFonts w:ascii="Times New Roman"/>
                <w:sz w:val="8"/>
              </w:rPr>
            </w:pPr>
          </w:p>
        </w:tc>
        <w:tc>
          <w:tcPr>
            <w:tcW w:w="1103" w:type="dxa"/>
          </w:tcPr>
          <w:p>
            <w:pPr>
              <w:pStyle w:val="TableParagraph"/>
              <w:rPr>
                <w:rFonts w:ascii="Times New Roman"/>
                <w:sz w:val="8"/>
              </w:rPr>
            </w:pPr>
          </w:p>
        </w:tc>
        <w:tc>
          <w:tcPr>
            <w:tcW w:w="1057" w:type="dxa"/>
          </w:tcPr>
          <w:p>
            <w:pPr>
              <w:pStyle w:val="TableParagraph"/>
              <w:rPr>
                <w:rFonts w:ascii="Times New Roman"/>
                <w:sz w:val="8"/>
              </w:rPr>
            </w:pPr>
          </w:p>
        </w:tc>
        <w:tc>
          <w:tcPr>
            <w:tcW w:w="1017" w:type="dxa"/>
          </w:tcPr>
          <w:p>
            <w:pPr>
              <w:pStyle w:val="TableParagraph"/>
              <w:rPr>
                <w:rFonts w:ascii="Times New Roman"/>
                <w:sz w:val="8"/>
              </w:rPr>
            </w:pP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32" w:hRule="atLeast"/>
        </w:trPr>
        <w:tc>
          <w:tcPr>
            <w:tcW w:w="2866" w:type="dxa"/>
          </w:tcPr>
          <w:p>
            <w:pPr>
              <w:pStyle w:val="TableParagraph"/>
              <w:spacing w:line="100" w:lineRule="exact" w:before="12"/>
              <w:ind w:left="245"/>
              <w:rPr>
                <w:sz w:val="10"/>
              </w:rPr>
            </w:pPr>
            <w:r>
              <w:rPr>
                <w:w w:val="110"/>
                <w:sz w:val="10"/>
              </w:rPr>
              <w:t>Expenditure Detail</w:t>
            </w:r>
          </w:p>
        </w:tc>
        <w:tc>
          <w:tcPr>
            <w:tcW w:w="1143" w:type="dxa"/>
          </w:tcPr>
          <w:p>
            <w:pPr>
              <w:pStyle w:val="TableParagraph"/>
              <w:spacing w:line="100" w:lineRule="exact" w:before="12"/>
              <w:ind w:right="123"/>
              <w:jc w:val="right"/>
              <w:rPr>
                <w:sz w:val="10"/>
              </w:rPr>
            </w:pPr>
            <w:r>
              <w:rPr>
                <w:w w:val="105"/>
                <w:sz w:val="10"/>
              </w:rPr>
              <w:t>0.00</w:t>
            </w:r>
          </w:p>
        </w:tc>
        <w:tc>
          <w:tcPr>
            <w:tcW w:w="1103" w:type="dxa"/>
          </w:tcPr>
          <w:p>
            <w:pPr>
              <w:pStyle w:val="TableParagraph"/>
              <w:spacing w:line="100" w:lineRule="exact" w:before="12"/>
              <w:ind w:right="146"/>
              <w:jc w:val="right"/>
              <w:rPr>
                <w:sz w:val="10"/>
              </w:rPr>
            </w:pPr>
            <w:r>
              <w:rPr>
                <w:w w:val="105"/>
                <w:sz w:val="10"/>
              </w:rPr>
              <w:t>0.00</w:t>
            </w:r>
          </w:p>
        </w:tc>
        <w:tc>
          <w:tcPr>
            <w:tcW w:w="1057" w:type="dxa"/>
          </w:tcPr>
          <w:p>
            <w:pPr>
              <w:pStyle w:val="TableParagraph"/>
              <w:spacing w:line="100" w:lineRule="exact" w:before="12"/>
              <w:ind w:right="123"/>
              <w:jc w:val="right"/>
              <w:rPr>
                <w:sz w:val="10"/>
              </w:rPr>
            </w:pPr>
            <w:r>
              <w:rPr>
                <w:w w:val="105"/>
                <w:sz w:val="10"/>
              </w:rPr>
              <w:t>0.00</w:t>
            </w:r>
          </w:p>
        </w:tc>
        <w:tc>
          <w:tcPr>
            <w:tcW w:w="1017" w:type="dxa"/>
          </w:tcPr>
          <w:p>
            <w:pPr>
              <w:pStyle w:val="TableParagraph"/>
              <w:spacing w:line="100" w:lineRule="exact" w:before="12"/>
              <w:ind w:right="60"/>
              <w:jc w:val="right"/>
              <w:rPr>
                <w:sz w:val="10"/>
              </w:rPr>
            </w:pPr>
            <w:r>
              <w:rPr>
                <w:w w:val="105"/>
                <w:sz w:val="10"/>
              </w:rPr>
              <w:t>0.00</w:t>
            </w: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41" w:hRule="atLeast"/>
        </w:trPr>
        <w:tc>
          <w:tcPr>
            <w:tcW w:w="2866" w:type="dxa"/>
          </w:tcPr>
          <w:p>
            <w:pPr>
              <w:pStyle w:val="TableParagraph"/>
              <w:spacing w:line="105" w:lineRule="exact" w:before="16"/>
              <w:ind w:left="245"/>
              <w:rPr>
                <w:sz w:val="10"/>
              </w:rPr>
            </w:pPr>
            <w:r>
              <w:rPr>
                <w:w w:val="110"/>
                <w:sz w:val="10"/>
              </w:rPr>
              <w:t>Other Sources/Uses Detail</w:t>
            </w:r>
          </w:p>
        </w:tc>
        <w:tc>
          <w:tcPr>
            <w:tcW w:w="1143" w:type="dxa"/>
            <w:shd w:val="clear" w:color="auto" w:fill="BFBFBF"/>
          </w:tcPr>
          <w:p>
            <w:pPr>
              <w:pStyle w:val="TableParagraph"/>
              <w:rPr>
                <w:rFonts w:ascii="Times New Roman"/>
                <w:sz w:val="8"/>
              </w:rPr>
            </w:pPr>
          </w:p>
        </w:tc>
        <w:tc>
          <w:tcPr>
            <w:tcW w:w="1103" w:type="dxa"/>
            <w:shd w:val="clear" w:color="auto" w:fill="BFBFBF"/>
          </w:tcPr>
          <w:p>
            <w:pPr>
              <w:pStyle w:val="TableParagraph"/>
              <w:rPr>
                <w:rFonts w:ascii="Times New Roman"/>
                <w:sz w:val="8"/>
              </w:rPr>
            </w:pPr>
          </w:p>
        </w:tc>
        <w:tc>
          <w:tcPr>
            <w:tcW w:w="1057" w:type="dxa"/>
            <w:shd w:val="clear" w:color="auto" w:fill="BFBFBF"/>
          </w:tcPr>
          <w:p>
            <w:pPr>
              <w:pStyle w:val="TableParagraph"/>
              <w:rPr>
                <w:rFonts w:ascii="Times New Roman"/>
                <w:sz w:val="8"/>
              </w:rPr>
            </w:pPr>
          </w:p>
        </w:tc>
        <w:tc>
          <w:tcPr>
            <w:tcW w:w="1017" w:type="dxa"/>
            <w:shd w:val="clear" w:color="auto" w:fill="BFBFBF"/>
          </w:tcPr>
          <w:p>
            <w:pPr>
              <w:pStyle w:val="TableParagraph"/>
              <w:rPr>
                <w:rFonts w:ascii="Times New Roman"/>
                <w:sz w:val="8"/>
              </w:rPr>
            </w:pPr>
          </w:p>
        </w:tc>
        <w:tc>
          <w:tcPr>
            <w:tcW w:w="1079" w:type="dxa"/>
          </w:tcPr>
          <w:p>
            <w:pPr>
              <w:pStyle w:val="TableParagraph"/>
              <w:spacing w:line="105" w:lineRule="exact" w:before="16"/>
              <w:ind w:right="59"/>
              <w:jc w:val="right"/>
              <w:rPr>
                <w:sz w:val="10"/>
              </w:rPr>
            </w:pPr>
            <w:r>
              <w:rPr>
                <w:w w:val="105"/>
                <w:sz w:val="10"/>
              </w:rPr>
              <w:t>0.00</w:t>
            </w:r>
          </w:p>
        </w:tc>
        <w:tc>
          <w:tcPr>
            <w:tcW w:w="1079" w:type="dxa"/>
          </w:tcPr>
          <w:p>
            <w:pPr>
              <w:pStyle w:val="TableParagraph"/>
              <w:spacing w:line="105" w:lineRule="exact" w:before="16"/>
              <w:ind w:right="58"/>
              <w:jc w:val="right"/>
              <w:rPr>
                <w:sz w:val="10"/>
              </w:rPr>
            </w:pPr>
            <w:r>
              <w:rPr>
                <w:w w:val="105"/>
                <w:sz w:val="10"/>
              </w:rPr>
              <w:t>0.00</w:t>
            </w: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36" w:hRule="atLeast"/>
        </w:trPr>
        <w:tc>
          <w:tcPr>
            <w:tcW w:w="2866" w:type="dxa"/>
          </w:tcPr>
          <w:p>
            <w:pPr>
              <w:pStyle w:val="TableParagraph"/>
              <w:spacing w:line="105" w:lineRule="exact" w:before="12"/>
              <w:ind w:left="245"/>
              <w:rPr>
                <w:sz w:val="10"/>
              </w:rPr>
            </w:pPr>
            <w:r>
              <w:rPr>
                <w:w w:val="110"/>
                <w:sz w:val="10"/>
              </w:rPr>
              <w:t>Fund Reconciliation</w:t>
            </w:r>
          </w:p>
        </w:tc>
        <w:tc>
          <w:tcPr>
            <w:tcW w:w="1143" w:type="dxa"/>
            <w:shd w:val="clear" w:color="auto" w:fill="BFBFBF"/>
          </w:tcPr>
          <w:p>
            <w:pPr>
              <w:pStyle w:val="TableParagraph"/>
              <w:rPr>
                <w:rFonts w:ascii="Times New Roman"/>
                <w:sz w:val="8"/>
              </w:rPr>
            </w:pPr>
          </w:p>
        </w:tc>
        <w:tc>
          <w:tcPr>
            <w:tcW w:w="1103" w:type="dxa"/>
            <w:shd w:val="clear" w:color="auto" w:fill="BFBFBF"/>
          </w:tcPr>
          <w:p>
            <w:pPr>
              <w:pStyle w:val="TableParagraph"/>
              <w:rPr>
                <w:rFonts w:ascii="Times New Roman"/>
                <w:sz w:val="8"/>
              </w:rPr>
            </w:pPr>
          </w:p>
        </w:tc>
        <w:tc>
          <w:tcPr>
            <w:tcW w:w="1057" w:type="dxa"/>
            <w:shd w:val="clear" w:color="auto" w:fill="BFBFBF"/>
          </w:tcPr>
          <w:p>
            <w:pPr>
              <w:pStyle w:val="TableParagraph"/>
              <w:rPr>
                <w:rFonts w:ascii="Times New Roman"/>
                <w:sz w:val="8"/>
              </w:rPr>
            </w:pPr>
          </w:p>
        </w:tc>
        <w:tc>
          <w:tcPr>
            <w:tcW w:w="1017" w:type="dxa"/>
            <w:shd w:val="clear" w:color="auto" w:fill="BFBFBF"/>
          </w:tcPr>
          <w:p>
            <w:pPr>
              <w:pStyle w:val="TableParagraph"/>
              <w:rPr>
                <w:rFonts w:ascii="Times New Roman"/>
                <w:sz w:val="8"/>
              </w:rPr>
            </w:pPr>
          </w:p>
        </w:tc>
        <w:tc>
          <w:tcPr>
            <w:tcW w:w="1079" w:type="dxa"/>
          </w:tcPr>
          <w:p>
            <w:pPr>
              <w:pStyle w:val="TableParagraph"/>
              <w:rPr>
                <w:rFonts w:ascii="Times New Roman"/>
                <w:sz w:val="8"/>
              </w:rPr>
            </w:pPr>
          </w:p>
        </w:tc>
        <w:tc>
          <w:tcPr>
            <w:tcW w:w="1079" w:type="dxa"/>
            <w:shd w:val="clear" w:color="auto" w:fill="BFBFBF"/>
          </w:tcPr>
          <w:p>
            <w:pPr>
              <w:pStyle w:val="TableParagraph"/>
              <w:rPr>
                <w:rFonts w:ascii="Times New Roman"/>
                <w:sz w:val="8"/>
              </w:rPr>
            </w:pPr>
          </w:p>
        </w:tc>
        <w:tc>
          <w:tcPr>
            <w:tcW w:w="1161" w:type="dxa"/>
          </w:tcPr>
          <w:p>
            <w:pPr>
              <w:pStyle w:val="TableParagraph"/>
              <w:spacing w:line="105" w:lineRule="exact" w:before="12"/>
              <w:ind w:right="139"/>
              <w:jc w:val="right"/>
              <w:rPr>
                <w:sz w:val="10"/>
              </w:rPr>
            </w:pPr>
            <w:r>
              <w:rPr>
                <w:w w:val="105"/>
                <w:sz w:val="10"/>
              </w:rPr>
              <w:t>0.00</w:t>
            </w:r>
          </w:p>
        </w:tc>
        <w:tc>
          <w:tcPr>
            <w:tcW w:w="962" w:type="dxa"/>
          </w:tcPr>
          <w:p>
            <w:pPr>
              <w:pStyle w:val="TableParagraph"/>
              <w:spacing w:line="105" w:lineRule="exact" w:before="12"/>
              <w:ind w:right="21"/>
              <w:jc w:val="right"/>
              <w:rPr>
                <w:sz w:val="10"/>
              </w:rPr>
            </w:pPr>
            <w:r>
              <w:rPr>
                <w:w w:val="105"/>
                <w:sz w:val="10"/>
              </w:rPr>
              <w:t>0.00</w:t>
            </w:r>
          </w:p>
        </w:tc>
      </w:tr>
      <w:tr>
        <w:trPr>
          <w:trHeight w:val="144" w:hRule="atLeast"/>
        </w:trPr>
        <w:tc>
          <w:tcPr>
            <w:tcW w:w="2866" w:type="dxa"/>
          </w:tcPr>
          <w:p>
            <w:pPr>
              <w:pStyle w:val="TableParagraph"/>
              <w:spacing w:line="113" w:lineRule="exact" w:before="12"/>
              <w:ind w:left="26"/>
              <w:rPr>
                <w:sz w:val="10"/>
              </w:rPr>
            </w:pPr>
            <w:r>
              <w:rPr>
                <w:w w:val="110"/>
                <w:sz w:val="10"/>
              </w:rPr>
              <w:t>10 SPECIAL EDUCATION PASS-THROUGH FUND</w:t>
            </w:r>
          </w:p>
        </w:tc>
        <w:tc>
          <w:tcPr>
            <w:tcW w:w="1143" w:type="dxa"/>
            <w:shd w:val="clear" w:color="auto" w:fill="BFBFBF"/>
          </w:tcPr>
          <w:p>
            <w:pPr>
              <w:pStyle w:val="TableParagraph"/>
              <w:rPr>
                <w:rFonts w:ascii="Times New Roman"/>
                <w:sz w:val="8"/>
              </w:rPr>
            </w:pPr>
          </w:p>
        </w:tc>
        <w:tc>
          <w:tcPr>
            <w:tcW w:w="1103" w:type="dxa"/>
            <w:shd w:val="clear" w:color="auto" w:fill="BFBFBF"/>
          </w:tcPr>
          <w:p>
            <w:pPr>
              <w:pStyle w:val="TableParagraph"/>
              <w:rPr>
                <w:rFonts w:ascii="Times New Roman"/>
                <w:sz w:val="8"/>
              </w:rPr>
            </w:pPr>
          </w:p>
        </w:tc>
        <w:tc>
          <w:tcPr>
            <w:tcW w:w="1057" w:type="dxa"/>
            <w:shd w:val="clear" w:color="auto" w:fill="BFBFBF"/>
          </w:tcPr>
          <w:p>
            <w:pPr>
              <w:pStyle w:val="TableParagraph"/>
              <w:rPr>
                <w:rFonts w:ascii="Times New Roman"/>
                <w:sz w:val="8"/>
              </w:rPr>
            </w:pPr>
          </w:p>
        </w:tc>
        <w:tc>
          <w:tcPr>
            <w:tcW w:w="1017" w:type="dxa"/>
            <w:shd w:val="clear" w:color="auto" w:fill="BFBFBF"/>
          </w:tcPr>
          <w:p>
            <w:pPr>
              <w:pStyle w:val="TableParagraph"/>
              <w:rPr>
                <w:rFonts w:ascii="Times New Roman"/>
                <w:sz w:val="8"/>
              </w:rPr>
            </w:pPr>
          </w:p>
        </w:tc>
        <w:tc>
          <w:tcPr>
            <w:tcW w:w="1079" w:type="dxa"/>
            <w:shd w:val="clear" w:color="auto" w:fill="BFBFBF"/>
          </w:tcPr>
          <w:p>
            <w:pPr>
              <w:pStyle w:val="TableParagraph"/>
              <w:rPr>
                <w:rFonts w:ascii="Times New Roman"/>
                <w:sz w:val="8"/>
              </w:rPr>
            </w:pPr>
          </w:p>
        </w:tc>
        <w:tc>
          <w:tcPr>
            <w:tcW w:w="1079" w:type="dxa"/>
            <w:shd w:val="clear" w:color="auto" w:fill="BFBFBF"/>
          </w:tcPr>
          <w:p>
            <w:pPr>
              <w:pStyle w:val="TableParagraph"/>
              <w:rPr>
                <w:rFonts w:ascii="Times New Roman"/>
                <w:sz w:val="8"/>
              </w:rPr>
            </w:pP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28" w:hRule="atLeast"/>
        </w:trPr>
        <w:tc>
          <w:tcPr>
            <w:tcW w:w="2866" w:type="dxa"/>
          </w:tcPr>
          <w:p>
            <w:pPr>
              <w:pStyle w:val="TableParagraph"/>
              <w:spacing w:line="105" w:lineRule="exact" w:before="3"/>
              <w:ind w:left="245"/>
              <w:rPr>
                <w:sz w:val="10"/>
              </w:rPr>
            </w:pPr>
            <w:r>
              <w:rPr>
                <w:w w:val="110"/>
                <w:sz w:val="10"/>
              </w:rPr>
              <w:t>Expenditure Detail</w:t>
            </w:r>
          </w:p>
        </w:tc>
        <w:tc>
          <w:tcPr>
            <w:tcW w:w="1143" w:type="dxa"/>
            <w:shd w:val="clear" w:color="auto" w:fill="BFBFBF"/>
          </w:tcPr>
          <w:p>
            <w:pPr>
              <w:pStyle w:val="TableParagraph"/>
              <w:rPr>
                <w:rFonts w:ascii="Times New Roman"/>
                <w:sz w:val="6"/>
              </w:rPr>
            </w:pPr>
          </w:p>
        </w:tc>
        <w:tc>
          <w:tcPr>
            <w:tcW w:w="1103" w:type="dxa"/>
            <w:shd w:val="clear" w:color="auto" w:fill="BFBFBF"/>
          </w:tcPr>
          <w:p>
            <w:pPr>
              <w:pStyle w:val="TableParagraph"/>
              <w:rPr>
                <w:rFonts w:ascii="Times New Roman"/>
                <w:sz w:val="6"/>
              </w:rPr>
            </w:pPr>
          </w:p>
        </w:tc>
        <w:tc>
          <w:tcPr>
            <w:tcW w:w="1057" w:type="dxa"/>
            <w:shd w:val="clear" w:color="auto" w:fill="BFBFBF"/>
          </w:tcPr>
          <w:p>
            <w:pPr>
              <w:pStyle w:val="TableParagraph"/>
              <w:rPr>
                <w:rFonts w:ascii="Times New Roman"/>
                <w:sz w:val="6"/>
              </w:rPr>
            </w:pPr>
          </w:p>
        </w:tc>
        <w:tc>
          <w:tcPr>
            <w:tcW w:w="1017" w:type="dxa"/>
            <w:shd w:val="clear" w:color="auto" w:fill="BFBFBF"/>
          </w:tcPr>
          <w:p>
            <w:pPr>
              <w:pStyle w:val="TableParagraph"/>
              <w:rPr>
                <w:rFonts w:ascii="Times New Roman"/>
                <w:sz w:val="6"/>
              </w:rPr>
            </w:pPr>
          </w:p>
        </w:tc>
        <w:tc>
          <w:tcPr>
            <w:tcW w:w="1079" w:type="dxa"/>
            <w:shd w:val="clear" w:color="auto" w:fill="BFBFBF"/>
          </w:tcPr>
          <w:p>
            <w:pPr>
              <w:pStyle w:val="TableParagraph"/>
              <w:rPr>
                <w:rFonts w:ascii="Times New Roman"/>
                <w:sz w:val="6"/>
              </w:rPr>
            </w:pPr>
          </w:p>
        </w:tc>
        <w:tc>
          <w:tcPr>
            <w:tcW w:w="1079" w:type="dxa"/>
            <w:shd w:val="clear" w:color="auto" w:fill="BFBFBF"/>
          </w:tcPr>
          <w:p>
            <w:pPr>
              <w:pStyle w:val="TableParagraph"/>
              <w:rPr>
                <w:rFonts w:ascii="Times New Roman"/>
                <w:sz w:val="6"/>
              </w:rPr>
            </w:pPr>
          </w:p>
        </w:tc>
        <w:tc>
          <w:tcPr>
            <w:tcW w:w="1161" w:type="dxa"/>
          </w:tcPr>
          <w:p>
            <w:pPr>
              <w:pStyle w:val="TableParagraph"/>
              <w:rPr>
                <w:rFonts w:ascii="Times New Roman"/>
                <w:sz w:val="6"/>
              </w:rPr>
            </w:pPr>
          </w:p>
        </w:tc>
        <w:tc>
          <w:tcPr>
            <w:tcW w:w="962" w:type="dxa"/>
          </w:tcPr>
          <w:p>
            <w:pPr>
              <w:pStyle w:val="TableParagraph"/>
              <w:rPr>
                <w:rFonts w:ascii="Times New Roman"/>
                <w:sz w:val="6"/>
              </w:rPr>
            </w:pPr>
          </w:p>
        </w:tc>
      </w:tr>
      <w:tr>
        <w:trPr>
          <w:trHeight w:val="132" w:hRule="atLeast"/>
        </w:trPr>
        <w:tc>
          <w:tcPr>
            <w:tcW w:w="2866" w:type="dxa"/>
          </w:tcPr>
          <w:p>
            <w:pPr>
              <w:pStyle w:val="TableParagraph"/>
              <w:spacing w:line="100" w:lineRule="exact" w:before="12"/>
              <w:ind w:left="245"/>
              <w:rPr>
                <w:sz w:val="10"/>
              </w:rPr>
            </w:pPr>
            <w:r>
              <w:rPr>
                <w:w w:val="110"/>
                <w:sz w:val="10"/>
              </w:rPr>
              <w:t>Other Sources/Uses Detail</w:t>
            </w:r>
          </w:p>
        </w:tc>
        <w:tc>
          <w:tcPr>
            <w:tcW w:w="1143" w:type="dxa"/>
          </w:tcPr>
          <w:p>
            <w:pPr>
              <w:pStyle w:val="TableParagraph"/>
              <w:rPr>
                <w:rFonts w:ascii="Times New Roman"/>
                <w:sz w:val="8"/>
              </w:rPr>
            </w:pPr>
          </w:p>
        </w:tc>
        <w:tc>
          <w:tcPr>
            <w:tcW w:w="1103" w:type="dxa"/>
          </w:tcPr>
          <w:p>
            <w:pPr>
              <w:pStyle w:val="TableParagraph"/>
              <w:rPr>
                <w:rFonts w:ascii="Times New Roman"/>
                <w:sz w:val="8"/>
              </w:rPr>
            </w:pPr>
          </w:p>
        </w:tc>
        <w:tc>
          <w:tcPr>
            <w:tcW w:w="1057" w:type="dxa"/>
          </w:tcPr>
          <w:p>
            <w:pPr>
              <w:pStyle w:val="TableParagraph"/>
              <w:rPr>
                <w:rFonts w:ascii="Times New Roman"/>
                <w:sz w:val="8"/>
              </w:rPr>
            </w:pPr>
          </w:p>
        </w:tc>
        <w:tc>
          <w:tcPr>
            <w:tcW w:w="1017" w:type="dxa"/>
          </w:tcPr>
          <w:p>
            <w:pPr>
              <w:pStyle w:val="TableParagraph"/>
              <w:rPr>
                <w:rFonts w:ascii="Times New Roman"/>
                <w:sz w:val="8"/>
              </w:rPr>
            </w:pPr>
          </w:p>
        </w:tc>
        <w:tc>
          <w:tcPr>
            <w:tcW w:w="1079" w:type="dxa"/>
          </w:tcPr>
          <w:p>
            <w:pPr>
              <w:pStyle w:val="TableParagraph"/>
              <w:rPr>
                <w:rFonts w:ascii="Times New Roman"/>
                <w:sz w:val="8"/>
              </w:rPr>
            </w:pPr>
          </w:p>
        </w:tc>
        <w:tc>
          <w:tcPr>
            <w:tcW w:w="1079" w:type="dxa"/>
            <w:shd w:val="clear" w:color="auto" w:fill="BFBFBF"/>
          </w:tcPr>
          <w:p>
            <w:pPr>
              <w:pStyle w:val="TableParagraph"/>
              <w:rPr>
                <w:rFonts w:ascii="Times New Roman"/>
                <w:sz w:val="8"/>
              </w:rPr>
            </w:pP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41" w:hRule="atLeast"/>
        </w:trPr>
        <w:tc>
          <w:tcPr>
            <w:tcW w:w="2866" w:type="dxa"/>
          </w:tcPr>
          <w:p>
            <w:pPr>
              <w:pStyle w:val="TableParagraph"/>
              <w:spacing w:line="105" w:lineRule="exact" w:before="16"/>
              <w:ind w:left="245"/>
              <w:rPr>
                <w:sz w:val="10"/>
              </w:rPr>
            </w:pPr>
            <w:r>
              <w:rPr>
                <w:w w:val="110"/>
                <w:sz w:val="10"/>
              </w:rPr>
              <w:t>Fund Reconciliation</w:t>
            </w:r>
          </w:p>
        </w:tc>
        <w:tc>
          <w:tcPr>
            <w:tcW w:w="1143" w:type="dxa"/>
          </w:tcPr>
          <w:p>
            <w:pPr>
              <w:pStyle w:val="TableParagraph"/>
              <w:rPr>
                <w:rFonts w:ascii="Times New Roman"/>
                <w:sz w:val="8"/>
              </w:rPr>
            </w:pPr>
          </w:p>
        </w:tc>
        <w:tc>
          <w:tcPr>
            <w:tcW w:w="1103" w:type="dxa"/>
          </w:tcPr>
          <w:p>
            <w:pPr>
              <w:pStyle w:val="TableParagraph"/>
              <w:rPr>
                <w:rFonts w:ascii="Times New Roman"/>
                <w:sz w:val="8"/>
              </w:rPr>
            </w:pPr>
          </w:p>
        </w:tc>
        <w:tc>
          <w:tcPr>
            <w:tcW w:w="1057" w:type="dxa"/>
          </w:tcPr>
          <w:p>
            <w:pPr>
              <w:pStyle w:val="TableParagraph"/>
              <w:rPr>
                <w:rFonts w:ascii="Times New Roman"/>
                <w:sz w:val="8"/>
              </w:rPr>
            </w:pPr>
          </w:p>
        </w:tc>
        <w:tc>
          <w:tcPr>
            <w:tcW w:w="1017" w:type="dxa"/>
          </w:tcPr>
          <w:p>
            <w:pPr>
              <w:pStyle w:val="TableParagraph"/>
              <w:rPr>
                <w:rFonts w:ascii="Times New Roman"/>
                <w:sz w:val="8"/>
              </w:rPr>
            </w:pP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spacing w:line="105" w:lineRule="exact" w:before="16"/>
              <w:ind w:right="139"/>
              <w:jc w:val="right"/>
              <w:rPr>
                <w:sz w:val="10"/>
              </w:rPr>
            </w:pPr>
            <w:r>
              <w:rPr>
                <w:w w:val="105"/>
                <w:sz w:val="10"/>
              </w:rPr>
              <w:t>0.00</w:t>
            </w:r>
          </w:p>
        </w:tc>
        <w:tc>
          <w:tcPr>
            <w:tcW w:w="962" w:type="dxa"/>
          </w:tcPr>
          <w:p>
            <w:pPr>
              <w:pStyle w:val="TableParagraph"/>
              <w:spacing w:line="105" w:lineRule="exact" w:before="16"/>
              <w:ind w:right="21"/>
              <w:jc w:val="right"/>
              <w:rPr>
                <w:sz w:val="10"/>
              </w:rPr>
            </w:pPr>
            <w:r>
              <w:rPr>
                <w:w w:val="105"/>
                <w:sz w:val="10"/>
              </w:rPr>
              <w:t>0.00</w:t>
            </w:r>
          </w:p>
        </w:tc>
      </w:tr>
      <w:tr>
        <w:trPr>
          <w:trHeight w:val="136" w:hRule="atLeast"/>
        </w:trPr>
        <w:tc>
          <w:tcPr>
            <w:tcW w:w="2866" w:type="dxa"/>
          </w:tcPr>
          <w:p>
            <w:pPr>
              <w:pStyle w:val="TableParagraph"/>
              <w:spacing w:line="105" w:lineRule="exact" w:before="12"/>
              <w:ind w:left="26"/>
              <w:rPr>
                <w:sz w:val="10"/>
              </w:rPr>
            </w:pPr>
            <w:r>
              <w:rPr>
                <w:w w:val="110"/>
                <w:sz w:val="10"/>
              </w:rPr>
              <w:t>11 ADULT EDUCATION FUND</w:t>
            </w:r>
          </w:p>
        </w:tc>
        <w:tc>
          <w:tcPr>
            <w:tcW w:w="1143" w:type="dxa"/>
          </w:tcPr>
          <w:p>
            <w:pPr>
              <w:pStyle w:val="TableParagraph"/>
              <w:rPr>
                <w:rFonts w:ascii="Times New Roman"/>
                <w:sz w:val="8"/>
              </w:rPr>
            </w:pPr>
          </w:p>
        </w:tc>
        <w:tc>
          <w:tcPr>
            <w:tcW w:w="1103" w:type="dxa"/>
          </w:tcPr>
          <w:p>
            <w:pPr>
              <w:pStyle w:val="TableParagraph"/>
              <w:rPr>
                <w:rFonts w:ascii="Times New Roman"/>
                <w:sz w:val="8"/>
              </w:rPr>
            </w:pPr>
          </w:p>
        </w:tc>
        <w:tc>
          <w:tcPr>
            <w:tcW w:w="1057" w:type="dxa"/>
          </w:tcPr>
          <w:p>
            <w:pPr>
              <w:pStyle w:val="TableParagraph"/>
              <w:rPr>
                <w:rFonts w:ascii="Times New Roman"/>
                <w:sz w:val="8"/>
              </w:rPr>
            </w:pPr>
          </w:p>
        </w:tc>
        <w:tc>
          <w:tcPr>
            <w:tcW w:w="1017" w:type="dxa"/>
          </w:tcPr>
          <w:p>
            <w:pPr>
              <w:pStyle w:val="TableParagraph"/>
              <w:rPr>
                <w:rFonts w:ascii="Times New Roman"/>
                <w:sz w:val="8"/>
              </w:rPr>
            </w:pP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36" w:hRule="atLeast"/>
        </w:trPr>
        <w:tc>
          <w:tcPr>
            <w:tcW w:w="2866" w:type="dxa"/>
          </w:tcPr>
          <w:p>
            <w:pPr>
              <w:pStyle w:val="TableParagraph"/>
              <w:spacing w:line="105" w:lineRule="exact" w:before="12"/>
              <w:ind w:left="245"/>
              <w:rPr>
                <w:sz w:val="10"/>
              </w:rPr>
            </w:pPr>
            <w:r>
              <w:rPr>
                <w:w w:val="110"/>
                <w:sz w:val="10"/>
              </w:rPr>
              <w:t>Expenditure Detail</w:t>
            </w:r>
          </w:p>
        </w:tc>
        <w:tc>
          <w:tcPr>
            <w:tcW w:w="1143" w:type="dxa"/>
          </w:tcPr>
          <w:p>
            <w:pPr>
              <w:pStyle w:val="TableParagraph"/>
              <w:spacing w:line="105" w:lineRule="exact" w:before="12"/>
              <w:ind w:right="123"/>
              <w:jc w:val="right"/>
              <w:rPr>
                <w:sz w:val="10"/>
              </w:rPr>
            </w:pPr>
            <w:r>
              <w:rPr>
                <w:w w:val="105"/>
                <w:sz w:val="10"/>
              </w:rPr>
              <w:t>0.00</w:t>
            </w:r>
          </w:p>
        </w:tc>
        <w:tc>
          <w:tcPr>
            <w:tcW w:w="1103" w:type="dxa"/>
          </w:tcPr>
          <w:p>
            <w:pPr>
              <w:pStyle w:val="TableParagraph"/>
              <w:spacing w:line="105" w:lineRule="exact" w:before="12"/>
              <w:ind w:right="146"/>
              <w:jc w:val="right"/>
              <w:rPr>
                <w:sz w:val="10"/>
              </w:rPr>
            </w:pPr>
            <w:r>
              <w:rPr>
                <w:w w:val="105"/>
                <w:sz w:val="10"/>
              </w:rPr>
              <w:t>0.00</w:t>
            </w:r>
          </w:p>
        </w:tc>
        <w:tc>
          <w:tcPr>
            <w:tcW w:w="1057" w:type="dxa"/>
          </w:tcPr>
          <w:p>
            <w:pPr>
              <w:pStyle w:val="TableParagraph"/>
              <w:spacing w:line="105" w:lineRule="exact" w:before="12"/>
              <w:ind w:right="123"/>
              <w:jc w:val="right"/>
              <w:rPr>
                <w:sz w:val="10"/>
              </w:rPr>
            </w:pPr>
            <w:r>
              <w:rPr>
                <w:w w:val="105"/>
                <w:sz w:val="10"/>
              </w:rPr>
              <w:t>0.00</w:t>
            </w:r>
          </w:p>
        </w:tc>
        <w:tc>
          <w:tcPr>
            <w:tcW w:w="1017" w:type="dxa"/>
          </w:tcPr>
          <w:p>
            <w:pPr>
              <w:pStyle w:val="TableParagraph"/>
              <w:spacing w:line="105" w:lineRule="exact" w:before="12"/>
              <w:ind w:right="60"/>
              <w:jc w:val="right"/>
              <w:rPr>
                <w:sz w:val="10"/>
              </w:rPr>
            </w:pPr>
            <w:r>
              <w:rPr>
                <w:w w:val="105"/>
                <w:sz w:val="10"/>
              </w:rPr>
              <w:t>0.00</w:t>
            </w: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36" w:hRule="atLeast"/>
        </w:trPr>
        <w:tc>
          <w:tcPr>
            <w:tcW w:w="2866" w:type="dxa"/>
          </w:tcPr>
          <w:p>
            <w:pPr>
              <w:pStyle w:val="TableParagraph"/>
              <w:spacing w:line="105" w:lineRule="exact" w:before="12"/>
              <w:ind w:left="245"/>
              <w:rPr>
                <w:sz w:val="10"/>
              </w:rPr>
            </w:pPr>
            <w:r>
              <w:rPr>
                <w:w w:val="110"/>
                <w:sz w:val="10"/>
              </w:rPr>
              <w:t>Other Sources/Uses Detail</w:t>
            </w:r>
          </w:p>
        </w:tc>
        <w:tc>
          <w:tcPr>
            <w:tcW w:w="1143" w:type="dxa"/>
          </w:tcPr>
          <w:p>
            <w:pPr>
              <w:pStyle w:val="TableParagraph"/>
              <w:rPr>
                <w:rFonts w:ascii="Times New Roman"/>
                <w:sz w:val="8"/>
              </w:rPr>
            </w:pPr>
          </w:p>
        </w:tc>
        <w:tc>
          <w:tcPr>
            <w:tcW w:w="1103" w:type="dxa"/>
          </w:tcPr>
          <w:p>
            <w:pPr>
              <w:pStyle w:val="TableParagraph"/>
              <w:rPr>
                <w:rFonts w:ascii="Times New Roman"/>
                <w:sz w:val="8"/>
              </w:rPr>
            </w:pPr>
          </w:p>
        </w:tc>
        <w:tc>
          <w:tcPr>
            <w:tcW w:w="1057" w:type="dxa"/>
          </w:tcPr>
          <w:p>
            <w:pPr>
              <w:pStyle w:val="TableParagraph"/>
              <w:rPr>
                <w:rFonts w:ascii="Times New Roman"/>
                <w:sz w:val="8"/>
              </w:rPr>
            </w:pPr>
          </w:p>
        </w:tc>
        <w:tc>
          <w:tcPr>
            <w:tcW w:w="1017" w:type="dxa"/>
          </w:tcPr>
          <w:p>
            <w:pPr>
              <w:pStyle w:val="TableParagraph"/>
              <w:rPr>
                <w:rFonts w:ascii="Times New Roman"/>
                <w:sz w:val="8"/>
              </w:rPr>
            </w:pPr>
          </w:p>
        </w:tc>
        <w:tc>
          <w:tcPr>
            <w:tcW w:w="1079" w:type="dxa"/>
          </w:tcPr>
          <w:p>
            <w:pPr>
              <w:pStyle w:val="TableParagraph"/>
              <w:spacing w:line="105" w:lineRule="exact" w:before="12"/>
              <w:ind w:right="59"/>
              <w:jc w:val="right"/>
              <w:rPr>
                <w:sz w:val="10"/>
              </w:rPr>
            </w:pPr>
            <w:r>
              <w:rPr>
                <w:w w:val="105"/>
                <w:sz w:val="10"/>
              </w:rPr>
              <w:t>0.00</w:t>
            </w:r>
          </w:p>
        </w:tc>
        <w:tc>
          <w:tcPr>
            <w:tcW w:w="1079" w:type="dxa"/>
          </w:tcPr>
          <w:p>
            <w:pPr>
              <w:pStyle w:val="TableParagraph"/>
              <w:spacing w:line="105" w:lineRule="exact" w:before="12"/>
              <w:ind w:right="58"/>
              <w:jc w:val="right"/>
              <w:rPr>
                <w:sz w:val="10"/>
              </w:rPr>
            </w:pPr>
            <w:r>
              <w:rPr>
                <w:w w:val="105"/>
                <w:sz w:val="10"/>
              </w:rPr>
              <w:t>0.00</w:t>
            </w: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28" w:hRule="atLeast"/>
        </w:trPr>
        <w:tc>
          <w:tcPr>
            <w:tcW w:w="2866" w:type="dxa"/>
          </w:tcPr>
          <w:p>
            <w:pPr>
              <w:pStyle w:val="TableParagraph"/>
              <w:spacing w:line="97" w:lineRule="exact" w:before="12"/>
              <w:ind w:left="245"/>
              <w:rPr>
                <w:sz w:val="10"/>
              </w:rPr>
            </w:pPr>
            <w:r>
              <w:rPr>
                <w:w w:val="110"/>
                <w:sz w:val="10"/>
              </w:rPr>
              <w:t>Fund Reconciliation</w:t>
            </w:r>
          </w:p>
        </w:tc>
        <w:tc>
          <w:tcPr>
            <w:tcW w:w="1143" w:type="dxa"/>
          </w:tcPr>
          <w:p>
            <w:pPr>
              <w:pStyle w:val="TableParagraph"/>
              <w:rPr>
                <w:rFonts w:ascii="Times New Roman"/>
                <w:sz w:val="6"/>
              </w:rPr>
            </w:pPr>
          </w:p>
        </w:tc>
        <w:tc>
          <w:tcPr>
            <w:tcW w:w="1103" w:type="dxa"/>
          </w:tcPr>
          <w:p>
            <w:pPr>
              <w:pStyle w:val="TableParagraph"/>
              <w:rPr>
                <w:rFonts w:ascii="Times New Roman"/>
                <w:sz w:val="6"/>
              </w:rPr>
            </w:pPr>
          </w:p>
        </w:tc>
        <w:tc>
          <w:tcPr>
            <w:tcW w:w="1057" w:type="dxa"/>
          </w:tcPr>
          <w:p>
            <w:pPr>
              <w:pStyle w:val="TableParagraph"/>
              <w:rPr>
                <w:rFonts w:ascii="Times New Roman"/>
                <w:sz w:val="6"/>
              </w:rPr>
            </w:pPr>
          </w:p>
        </w:tc>
        <w:tc>
          <w:tcPr>
            <w:tcW w:w="1017" w:type="dxa"/>
          </w:tcPr>
          <w:p>
            <w:pPr>
              <w:pStyle w:val="TableParagraph"/>
              <w:rPr>
                <w:rFonts w:ascii="Times New Roman"/>
                <w:sz w:val="6"/>
              </w:rPr>
            </w:pPr>
          </w:p>
        </w:tc>
        <w:tc>
          <w:tcPr>
            <w:tcW w:w="1079" w:type="dxa"/>
          </w:tcPr>
          <w:p>
            <w:pPr>
              <w:pStyle w:val="TableParagraph"/>
              <w:rPr>
                <w:rFonts w:ascii="Times New Roman"/>
                <w:sz w:val="6"/>
              </w:rPr>
            </w:pPr>
          </w:p>
        </w:tc>
        <w:tc>
          <w:tcPr>
            <w:tcW w:w="1079" w:type="dxa"/>
          </w:tcPr>
          <w:p>
            <w:pPr>
              <w:pStyle w:val="TableParagraph"/>
              <w:rPr>
                <w:rFonts w:ascii="Times New Roman"/>
                <w:sz w:val="6"/>
              </w:rPr>
            </w:pPr>
          </w:p>
        </w:tc>
        <w:tc>
          <w:tcPr>
            <w:tcW w:w="1161" w:type="dxa"/>
          </w:tcPr>
          <w:p>
            <w:pPr>
              <w:pStyle w:val="TableParagraph"/>
              <w:spacing w:line="97" w:lineRule="exact" w:before="12"/>
              <w:ind w:right="139"/>
              <w:jc w:val="right"/>
              <w:rPr>
                <w:sz w:val="10"/>
              </w:rPr>
            </w:pPr>
            <w:r>
              <w:rPr>
                <w:w w:val="105"/>
                <w:sz w:val="10"/>
              </w:rPr>
              <w:t>0.00</w:t>
            </w:r>
          </w:p>
        </w:tc>
        <w:tc>
          <w:tcPr>
            <w:tcW w:w="962" w:type="dxa"/>
          </w:tcPr>
          <w:p>
            <w:pPr>
              <w:pStyle w:val="TableParagraph"/>
              <w:spacing w:line="97" w:lineRule="exact" w:before="12"/>
              <w:ind w:right="21"/>
              <w:jc w:val="right"/>
              <w:rPr>
                <w:sz w:val="10"/>
              </w:rPr>
            </w:pPr>
            <w:r>
              <w:rPr>
                <w:w w:val="105"/>
                <w:sz w:val="10"/>
              </w:rPr>
              <w:t>0.00</w:t>
            </w:r>
          </w:p>
        </w:tc>
      </w:tr>
      <w:tr>
        <w:trPr>
          <w:trHeight w:val="144" w:hRule="atLeast"/>
        </w:trPr>
        <w:tc>
          <w:tcPr>
            <w:tcW w:w="2866" w:type="dxa"/>
          </w:tcPr>
          <w:p>
            <w:pPr>
              <w:pStyle w:val="TableParagraph"/>
              <w:spacing w:line="105" w:lineRule="exact" w:before="3"/>
              <w:ind w:left="26"/>
              <w:rPr>
                <w:sz w:val="10"/>
              </w:rPr>
            </w:pPr>
            <w:r>
              <w:rPr>
                <w:w w:val="110"/>
                <w:sz w:val="10"/>
              </w:rPr>
              <w:t>12 CHILD DEVELOPMENT FUND</w:t>
            </w:r>
          </w:p>
        </w:tc>
        <w:tc>
          <w:tcPr>
            <w:tcW w:w="1143" w:type="dxa"/>
          </w:tcPr>
          <w:p>
            <w:pPr>
              <w:pStyle w:val="TableParagraph"/>
              <w:rPr>
                <w:rFonts w:ascii="Times New Roman"/>
                <w:sz w:val="6"/>
              </w:rPr>
            </w:pPr>
          </w:p>
        </w:tc>
        <w:tc>
          <w:tcPr>
            <w:tcW w:w="3177" w:type="dxa"/>
            <w:gridSpan w:val="3"/>
          </w:tcPr>
          <w:p>
            <w:pPr>
              <w:pStyle w:val="TableParagraph"/>
              <w:rPr>
                <w:rFonts w:ascii="Times New Roman"/>
                <w:sz w:val="6"/>
              </w:rPr>
            </w:pPr>
          </w:p>
        </w:tc>
        <w:tc>
          <w:tcPr>
            <w:tcW w:w="1079" w:type="dxa"/>
          </w:tcPr>
          <w:p>
            <w:pPr>
              <w:pStyle w:val="TableParagraph"/>
              <w:rPr>
                <w:rFonts w:ascii="Times New Roman"/>
                <w:sz w:val="6"/>
              </w:rPr>
            </w:pPr>
          </w:p>
        </w:tc>
        <w:tc>
          <w:tcPr>
            <w:tcW w:w="1079" w:type="dxa"/>
          </w:tcPr>
          <w:p>
            <w:pPr>
              <w:pStyle w:val="TableParagraph"/>
              <w:rPr>
                <w:rFonts w:ascii="Times New Roman"/>
                <w:sz w:val="6"/>
              </w:rPr>
            </w:pPr>
          </w:p>
        </w:tc>
        <w:tc>
          <w:tcPr>
            <w:tcW w:w="1161" w:type="dxa"/>
          </w:tcPr>
          <w:p>
            <w:pPr>
              <w:pStyle w:val="TableParagraph"/>
              <w:rPr>
                <w:rFonts w:ascii="Times New Roman"/>
                <w:sz w:val="6"/>
              </w:rPr>
            </w:pPr>
          </w:p>
        </w:tc>
        <w:tc>
          <w:tcPr>
            <w:tcW w:w="962" w:type="dxa"/>
          </w:tcPr>
          <w:p>
            <w:pPr>
              <w:pStyle w:val="TableParagraph"/>
              <w:rPr>
                <w:rFonts w:ascii="Times New Roman"/>
                <w:sz w:val="6"/>
              </w:rPr>
            </w:pPr>
          </w:p>
        </w:tc>
      </w:tr>
      <w:tr>
        <w:trPr>
          <w:trHeight w:val="136" w:hRule="atLeast"/>
        </w:trPr>
        <w:tc>
          <w:tcPr>
            <w:tcW w:w="2866" w:type="dxa"/>
          </w:tcPr>
          <w:p>
            <w:pPr>
              <w:pStyle w:val="TableParagraph"/>
              <w:spacing w:line="105" w:lineRule="exact" w:before="12"/>
              <w:ind w:left="245"/>
              <w:rPr>
                <w:sz w:val="10"/>
              </w:rPr>
            </w:pPr>
            <w:r>
              <w:rPr>
                <w:w w:val="110"/>
                <w:sz w:val="10"/>
              </w:rPr>
              <w:t>Expenditure Detail</w:t>
            </w:r>
          </w:p>
        </w:tc>
        <w:tc>
          <w:tcPr>
            <w:tcW w:w="1143" w:type="dxa"/>
          </w:tcPr>
          <w:p>
            <w:pPr>
              <w:pStyle w:val="TableParagraph"/>
              <w:spacing w:line="105" w:lineRule="exact" w:before="12"/>
              <w:ind w:right="123"/>
              <w:jc w:val="right"/>
              <w:rPr>
                <w:sz w:val="10"/>
              </w:rPr>
            </w:pPr>
            <w:r>
              <w:rPr>
                <w:w w:val="105"/>
                <w:sz w:val="10"/>
              </w:rPr>
              <w:t>0.00</w:t>
            </w:r>
          </w:p>
        </w:tc>
        <w:tc>
          <w:tcPr>
            <w:tcW w:w="3177" w:type="dxa"/>
            <w:gridSpan w:val="3"/>
          </w:tcPr>
          <w:p>
            <w:pPr>
              <w:pStyle w:val="TableParagraph"/>
              <w:tabs>
                <w:tab w:pos="1823" w:val="left" w:leader="none"/>
                <w:tab w:pos="2903" w:val="left" w:leader="none"/>
              </w:tabs>
              <w:spacing w:line="105" w:lineRule="exact" w:before="12"/>
              <w:ind w:left="743"/>
              <w:rPr>
                <w:sz w:val="10"/>
              </w:rPr>
            </w:pPr>
            <w:r>
              <w:rPr>
                <w:w w:val="110"/>
                <w:sz w:val="10"/>
              </w:rPr>
              <w:t>0.00</w:t>
              <w:tab/>
              <w:t>0.00</w:t>
              <w:tab/>
              <w:t>0.00</w:t>
            </w: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36" w:hRule="atLeast"/>
        </w:trPr>
        <w:tc>
          <w:tcPr>
            <w:tcW w:w="2866" w:type="dxa"/>
          </w:tcPr>
          <w:p>
            <w:pPr>
              <w:pStyle w:val="TableParagraph"/>
              <w:spacing w:line="105" w:lineRule="exact" w:before="12"/>
              <w:ind w:left="245"/>
              <w:rPr>
                <w:sz w:val="10"/>
              </w:rPr>
            </w:pPr>
            <w:r>
              <w:rPr>
                <w:w w:val="110"/>
                <w:sz w:val="10"/>
              </w:rPr>
              <w:t>Other Sources/Uses Detail</w:t>
            </w:r>
          </w:p>
        </w:tc>
        <w:tc>
          <w:tcPr>
            <w:tcW w:w="1143" w:type="dxa"/>
          </w:tcPr>
          <w:p>
            <w:pPr>
              <w:pStyle w:val="TableParagraph"/>
              <w:rPr>
                <w:rFonts w:ascii="Times New Roman"/>
                <w:sz w:val="8"/>
              </w:rPr>
            </w:pPr>
          </w:p>
        </w:tc>
        <w:tc>
          <w:tcPr>
            <w:tcW w:w="3177" w:type="dxa"/>
            <w:gridSpan w:val="3"/>
          </w:tcPr>
          <w:p>
            <w:pPr>
              <w:pStyle w:val="TableParagraph"/>
              <w:rPr>
                <w:rFonts w:ascii="Times New Roman"/>
                <w:sz w:val="8"/>
              </w:rPr>
            </w:pPr>
          </w:p>
        </w:tc>
        <w:tc>
          <w:tcPr>
            <w:tcW w:w="1079" w:type="dxa"/>
          </w:tcPr>
          <w:p>
            <w:pPr>
              <w:pStyle w:val="TableParagraph"/>
              <w:spacing w:line="105" w:lineRule="exact" w:before="12"/>
              <w:ind w:right="59"/>
              <w:jc w:val="right"/>
              <w:rPr>
                <w:sz w:val="10"/>
              </w:rPr>
            </w:pPr>
            <w:r>
              <w:rPr>
                <w:w w:val="105"/>
                <w:sz w:val="10"/>
              </w:rPr>
              <w:t>0.00</w:t>
            </w:r>
          </w:p>
        </w:tc>
        <w:tc>
          <w:tcPr>
            <w:tcW w:w="1079" w:type="dxa"/>
          </w:tcPr>
          <w:p>
            <w:pPr>
              <w:pStyle w:val="TableParagraph"/>
              <w:spacing w:line="105" w:lineRule="exact" w:before="12"/>
              <w:ind w:right="58"/>
              <w:jc w:val="right"/>
              <w:rPr>
                <w:sz w:val="10"/>
              </w:rPr>
            </w:pPr>
            <w:r>
              <w:rPr>
                <w:w w:val="105"/>
                <w:sz w:val="10"/>
              </w:rPr>
              <w:t>0.00</w:t>
            </w: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36" w:hRule="atLeast"/>
        </w:trPr>
        <w:tc>
          <w:tcPr>
            <w:tcW w:w="2866" w:type="dxa"/>
          </w:tcPr>
          <w:p>
            <w:pPr>
              <w:pStyle w:val="TableParagraph"/>
              <w:spacing w:line="105" w:lineRule="exact" w:before="12"/>
              <w:ind w:left="245"/>
              <w:rPr>
                <w:sz w:val="10"/>
              </w:rPr>
            </w:pPr>
            <w:r>
              <w:rPr>
                <w:w w:val="110"/>
                <w:sz w:val="10"/>
              </w:rPr>
              <w:t>Fund Reconciliation</w:t>
            </w:r>
          </w:p>
        </w:tc>
        <w:tc>
          <w:tcPr>
            <w:tcW w:w="1143" w:type="dxa"/>
          </w:tcPr>
          <w:p>
            <w:pPr>
              <w:pStyle w:val="TableParagraph"/>
              <w:rPr>
                <w:rFonts w:ascii="Times New Roman"/>
                <w:sz w:val="8"/>
              </w:rPr>
            </w:pPr>
          </w:p>
        </w:tc>
        <w:tc>
          <w:tcPr>
            <w:tcW w:w="3177" w:type="dxa"/>
            <w:gridSpan w:val="3"/>
          </w:tcPr>
          <w:p>
            <w:pPr>
              <w:pStyle w:val="TableParagraph"/>
              <w:rPr>
                <w:rFonts w:ascii="Times New Roman"/>
                <w:sz w:val="8"/>
              </w:rPr>
            </w:pP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spacing w:line="105" w:lineRule="exact" w:before="12"/>
              <w:ind w:right="139"/>
              <w:jc w:val="right"/>
              <w:rPr>
                <w:sz w:val="10"/>
              </w:rPr>
            </w:pPr>
            <w:r>
              <w:rPr>
                <w:w w:val="105"/>
                <w:sz w:val="10"/>
              </w:rPr>
              <w:t>0.00</w:t>
            </w:r>
          </w:p>
        </w:tc>
        <w:tc>
          <w:tcPr>
            <w:tcW w:w="962" w:type="dxa"/>
          </w:tcPr>
          <w:p>
            <w:pPr>
              <w:pStyle w:val="TableParagraph"/>
              <w:spacing w:line="105" w:lineRule="exact" w:before="12"/>
              <w:ind w:right="21"/>
              <w:jc w:val="right"/>
              <w:rPr>
                <w:sz w:val="10"/>
              </w:rPr>
            </w:pPr>
            <w:r>
              <w:rPr>
                <w:w w:val="105"/>
                <w:sz w:val="10"/>
              </w:rPr>
              <w:t>0.00</w:t>
            </w:r>
          </w:p>
        </w:tc>
      </w:tr>
      <w:tr>
        <w:trPr>
          <w:trHeight w:val="136" w:hRule="atLeast"/>
        </w:trPr>
        <w:tc>
          <w:tcPr>
            <w:tcW w:w="2866" w:type="dxa"/>
          </w:tcPr>
          <w:p>
            <w:pPr>
              <w:pStyle w:val="TableParagraph"/>
              <w:spacing w:line="105" w:lineRule="exact" w:before="12"/>
              <w:ind w:left="26"/>
              <w:rPr>
                <w:sz w:val="10"/>
              </w:rPr>
            </w:pPr>
            <w:r>
              <w:rPr>
                <w:w w:val="110"/>
                <w:sz w:val="10"/>
              </w:rPr>
              <w:t>13 CAFETERIA SPECIAL REVENUE FUND</w:t>
            </w:r>
          </w:p>
        </w:tc>
        <w:tc>
          <w:tcPr>
            <w:tcW w:w="1143" w:type="dxa"/>
          </w:tcPr>
          <w:p>
            <w:pPr>
              <w:pStyle w:val="TableParagraph"/>
              <w:rPr>
                <w:rFonts w:ascii="Times New Roman"/>
                <w:sz w:val="8"/>
              </w:rPr>
            </w:pPr>
          </w:p>
        </w:tc>
        <w:tc>
          <w:tcPr>
            <w:tcW w:w="3177" w:type="dxa"/>
            <w:gridSpan w:val="3"/>
          </w:tcPr>
          <w:p>
            <w:pPr>
              <w:pStyle w:val="TableParagraph"/>
              <w:rPr>
                <w:rFonts w:ascii="Times New Roman"/>
                <w:sz w:val="8"/>
              </w:rPr>
            </w:pP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32" w:hRule="atLeast"/>
        </w:trPr>
        <w:tc>
          <w:tcPr>
            <w:tcW w:w="2866" w:type="dxa"/>
          </w:tcPr>
          <w:p>
            <w:pPr>
              <w:pStyle w:val="TableParagraph"/>
              <w:spacing w:line="100" w:lineRule="exact" w:before="12"/>
              <w:ind w:left="245"/>
              <w:rPr>
                <w:sz w:val="10"/>
              </w:rPr>
            </w:pPr>
            <w:r>
              <w:rPr>
                <w:w w:val="110"/>
                <w:sz w:val="10"/>
              </w:rPr>
              <w:t>Expenditure Detail</w:t>
            </w:r>
          </w:p>
        </w:tc>
        <w:tc>
          <w:tcPr>
            <w:tcW w:w="1143" w:type="dxa"/>
          </w:tcPr>
          <w:p>
            <w:pPr>
              <w:pStyle w:val="TableParagraph"/>
              <w:spacing w:line="100" w:lineRule="exact" w:before="12"/>
              <w:ind w:right="123"/>
              <w:jc w:val="right"/>
              <w:rPr>
                <w:sz w:val="10"/>
              </w:rPr>
            </w:pPr>
            <w:r>
              <w:rPr>
                <w:w w:val="105"/>
                <w:sz w:val="10"/>
              </w:rPr>
              <w:t>0.00</w:t>
            </w:r>
          </w:p>
        </w:tc>
        <w:tc>
          <w:tcPr>
            <w:tcW w:w="3177" w:type="dxa"/>
            <w:gridSpan w:val="3"/>
          </w:tcPr>
          <w:p>
            <w:pPr>
              <w:pStyle w:val="TableParagraph"/>
              <w:tabs>
                <w:tab w:pos="1823" w:val="left" w:leader="none"/>
                <w:tab w:pos="2903" w:val="left" w:leader="none"/>
              </w:tabs>
              <w:spacing w:line="100" w:lineRule="exact" w:before="12"/>
              <w:ind w:left="743"/>
              <w:rPr>
                <w:sz w:val="10"/>
              </w:rPr>
            </w:pPr>
            <w:r>
              <w:rPr>
                <w:w w:val="110"/>
                <w:sz w:val="10"/>
              </w:rPr>
              <w:t>0.00</w:t>
              <w:tab/>
              <w:t>0.00</w:t>
              <w:tab/>
              <w:t>0.00</w:t>
            </w: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41" w:hRule="atLeast"/>
        </w:trPr>
        <w:tc>
          <w:tcPr>
            <w:tcW w:w="2866" w:type="dxa"/>
          </w:tcPr>
          <w:p>
            <w:pPr>
              <w:pStyle w:val="TableParagraph"/>
              <w:spacing w:line="105" w:lineRule="exact" w:before="16"/>
              <w:ind w:left="245"/>
              <w:rPr>
                <w:sz w:val="10"/>
              </w:rPr>
            </w:pPr>
            <w:r>
              <w:rPr>
                <w:w w:val="110"/>
                <w:sz w:val="10"/>
              </w:rPr>
              <w:t>Other Sources/Uses Detail</w:t>
            </w:r>
          </w:p>
        </w:tc>
        <w:tc>
          <w:tcPr>
            <w:tcW w:w="1143" w:type="dxa"/>
          </w:tcPr>
          <w:p>
            <w:pPr>
              <w:pStyle w:val="TableParagraph"/>
              <w:rPr>
                <w:rFonts w:ascii="Times New Roman"/>
                <w:sz w:val="8"/>
              </w:rPr>
            </w:pPr>
          </w:p>
        </w:tc>
        <w:tc>
          <w:tcPr>
            <w:tcW w:w="3177" w:type="dxa"/>
            <w:gridSpan w:val="3"/>
          </w:tcPr>
          <w:p>
            <w:pPr>
              <w:pStyle w:val="TableParagraph"/>
              <w:rPr>
                <w:rFonts w:ascii="Times New Roman"/>
                <w:sz w:val="8"/>
              </w:rPr>
            </w:pPr>
          </w:p>
        </w:tc>
        <w:tc>
          <w:tcPr>
            <w:tcW w:w="1079" w:type="dxa"/>
          </w:tcPr>
          <w:p>
            <w:pPr>
              <w:pStyle w:val="TableParagraph"/>
              <w:spacing w:line="105" w:lineRule="exact" w:before="16"/>
              <w:ind w:right="59"/>
              <w:jc w:val="right"/>
              <w:rPr>
                <w:sz w:val="10"/>
              </w:rPr>
            </w:pPr>
            <w:r>
              <w:rPr>
                <w:w w:val="105"/>
                <w:sz w:val="10"/>
              </w:rPr>
              <w:t>0.00</w:t>
            </w:r>
          </w:p>
        </w:tc>
        <w:tc>
          <w:tcPr>
            <w:tcW w:w="1079" w:type="dxa"/>
          </w:tcPr>
          <w:p>
            <w:pPr>
              <w:pStyle w:val="TableParagraph"/>
              <w:spacing w:line="105" w:lineRule="exact" w:before="16"/>
              <w:ind w:right="58"/>
              <w:jc w:val="right"/>
              <w:rPr>
                <w:sz w:val="10"/>
              </w:rPr>
            </w:pPr>
            <w:r>
              <w:rPr>
                <w:w w:val="105"/>
                <w:sz w:val="10"/>
              </w:rPr>
              <w:t>0.00</w:t>
            </w: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36" w:hRule="atLeast"/>
        </w:trPr>
        <w:tc>
          <w:tcPr>
            <w:tcW w:w="2866" w:type="dxa"/>
          </w:tcPr>
          <w:p>
            <w:pPr>
              <w:pStyle w:val="TableParagraph"/>
              <w:spacing w:line="105" w:lineRule="exact" w:before="12"/>
              <w:ind w:left="245"/>
              <w:rPr>
                <w:sz w:val="10"/>
              </w:rPr>
            </w:pPr>
            <w:r>
              <w:rPr>
                <w:w w:val="110"/>
                <w:sz w:val="10"/>
              </w:rPr>
              <w:t>Fund Reconciliation</w:t>
            </w:r>
          </w:p>
        </w:tc>
        <w:tc>
          <w:tcPr>
            <w:tcW w:w="1143" w:type="dxa"/>
          </w:tcPr>
          <w:p>
            <w:pPr>
              <w:pStyle w:val="TableParagraph"/>
              <w:rPr>
                <w:rFonts w:ascii="Times New Roman"/>
                <w:sz w:val="8"/>
              </w:rPr>
            </w:pPr>
          </w:p>
        </w:tc>
        <w:tc>
          <w:tcPr>
            <w:tcW w:w="3177" w:type="dxa"/>
            <w:gridSpan w:val="3"/>
          </w:tcPr>
          <w:p>
            <w:pPr>
              <w:pStyle w:val="TableParagraph"/>
              <w:rPr>
                <w:rFonts w:ascii="Times New Roman"/>
                <w:sz w:val="8"/>
              </w:rPr>
            </w:pP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spacing w:line="105" w:lineRule="exact" w:before="12"/>
              <w:ind w:right="139"/>
              <w:jc w:val="right"/>
              <w:rPr>
                <w:sz w:val="10"/>
              </w:rPr>
            </w:pPr>
            <w:r>
              <w:rPr>
                <w:w w:val="105"/>
                <w:sz w:val="10"/>
              </w:rPr>
              <w:t>0.00</w:t>
            </w:r>
          </w:p>
        </w:tc>
        <w:tc>
          <w:tcPr>
            <w:tcW w:w="962" w:type="dxa"/>
          </w:tcPr>
          <w:p>
            <w:pPr>
              <w:pStyle w:val="TableParagraph"/>
              <w:spacing w:line="105" w:lineRule="exact" w:before="12"/>
              <w:ind w:right="21"/>
              <w:jc w:val="right"/>
              <w:rPr>
                <w:sz w:val="10"/>
              </w:rPr>
            </w:pPr>
            <w:r>
              <w:rPr>
                <w:w w:val="105"/>
                <w:sz w:val="10"/>
              </w:rPr>
              <w:t>0.00</w:t>
            </w:r>
          </w:p>
        </w:tc>
      </w:tr>
      <w:tr>
        <w:trPr>
          <w:trHeight w:val="136" w:hRule="atLeast"/>
        </w:trPr>
        <w:tc>
          <w:tcPr>
            <w:tcW w:w="2866" w:type="dxa"/>
          </w:tcPr>
          <w:p>
            <w:pPr>
              <w:pStyle w:val="TableParagraph"/>
              <w:spacing w:line="105" w:lineRule="exact" w:before="12"/>
              <w:ind w:left="26"/>
              <w:rPr>
                <w:sz w:val="10"/>
              </w:rPr>
            </w:pPr>
            <w:r>
              <w:rPr>
                <w:w w:val="110"/>
                <w:sz w:val="10"/>
              </w:rPr>
              <w:t>14 DEFERRED MAINTENANCE FUND</w:t>
            </w:r>
          </w:p>
        </w:tc>
        <w:tc>
          <w:tcPr>
            <w:tcW w:w="1143" w:type="dxa"/>
          </w:tcPr>
          <w:p>
            <w:pPr>
              <w:pStyle w:val="TableParagraph"/>
              <w:rPr>
                <w:rFonts w:ascii="Times New Roman"/>
                <w:sz w:val="8"/>
              </w:rPr>
            </w:pPr>
          </w:p>
        </w:tc>
        <w:tc>
          <w:tcPr>
            <w:tcW w:w="3177" w:type="dxa"/>
            <w:gridSpan w:val="3"/>
          </w:tcPr>
          <w:p>
            <w:pPr>
              <w:pStyle w:val="TableParagraph"/>
              <w:rPr>
                <w:rFonts w:ascii="Times New Roman"/>
                <w:sz w:val="8"/>
              </w:rPr>
            </w:pP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36" w:hRule="atLeast"/>
        </w:trPr>
        <w:tc>
          <w:tcPr>
            <w:tcW w:w="2866" w:type="dxa"/>
          </w:tcPr>
          <w:p>
            <w:pPr>
              <w:pStyle w:val="TableParagraph"/>
              <w:spacing w:line="105" w:lineRule="exact" w:before="12"/>
              <w:ind w:left="245"/>
              <w:rPr>
                <w:sz w:val="10"/>
              </w:rPr>
            </w:pPr>
            <w:r>
              <w:rPr>
                <w:w w:val="110"/>
                <w:sz w:val="10"/>
              </w:rPr>
              <w:t>Expenditure Detail</w:t>
            </w:r>
          </w:p>
        </w:tc>
        <w:tc>
          <w:tcPr>
            <w:tcW w:w="1143" w:type="dxa"/>
          </w:tcPr>
          <w:p>
            <w:pPr>
              <w:pStyle w:val="TableParagraph"/>
              <w:spacing w:line="105" w:lineRule="exact" w:before="12"/>
              <w:ind w:right="123"/>
              <w:jc w:val="right"/>
              <w:rPr>
                <w:sz w:val="10"/>
              </w:rPr>
            </w:pPr>
            <w:r>
              <w:rPr>
                <w:w w:val="105"/>
                <w:sz w:val="10"/>
              </w:rPr>
              <w:t>0.00</w:t>
            </w:r>
          </w:p>
        </w:tc>
        <w:tc>
          <w:tcPr>
            <w:tcW w:w="3177" w:type="dxa"/>
            <w:gridSpan w:val="3"/>
          </w:tcPr>
          <w:p>
            <w:pPr>
              <w:pStyle w:val="TableParagraph"/>
              <w:spacing w:line="105" w:lineRule="exact" w:before="12"/>
              <w:ind w:left="743"/>
              <w:rPr>
                <w:sz w:val="10"/>
              </w:rPr>
            </w:pPr>
            <w:r>
              <w:rPr>
                <w:w w:val="110"/>
                <w:sz w:val="10"/>
              </w:rPr>
              <w:t>0.00</w:t>
            </w: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36" w:hRule="atLeast"/>
        </w:trPr>
        <w:tc>
          <w:tcPr>
            <w:tcW w:w="2866" w:type="dxa"/>
          </w:tcPr>
          <w:p>
            <w:pPr>
              <w:pStyle w:val="TableParagraph"/>
              <w:spacing w:line="105" w:lineRule="exact" w:before="12"/>
              <w:ind w:left="245"/>
              <w:rPr>
                <w:sz w:val="10"/>
              </w:rPr>
            </w:pPr>
            <w:r>
              <w:rPr>
                <w:w w:val="110"/>
                <w:sz w:val="10"/>
              </w:rPr>
              <w:t>Other Sources/Uses Detail</w:t>
            </w:r>
          </w:p>
        </w:tc>
        <w:tc>
          <w:tcPr>
            <w:tcW w:w="1143" w:type="dxa"/>
          </w:tcPr>
          <w:p>
            <w:pPr>
              <w:pStyle w:val="TableParagraph"/>
              <w:rPr>
                <w:rFonts w:ascii="Times New Roman"/>
                <w:sz w:val="8"/>
              </w:rPr>
            </w:pPr>
          </w:p>
        </w:tc>
        <w:tc>
          <w:tcPr>
            <w:tcW w:w="3177" w:type="dxa"/>
            <w:gridSpan w:val="3"/>
          </w:tcPr>
          <w:p>
            <w:pPr>
              <w:pStyle w:val="TableParagraph"/>
              <w:rPr>
                <w:rFonts w:ascii="Times New Roman"/>
                <w:sz w:val="8"/>
              </w:rPr>
            </w:pPr>
          </w:p>
        </w:tc>
        <w:tc>
          <w:tcPr>
            <w:tcW w:w="1079" w:type="dxa"/>
          </w:tcPr>
          <w:p>
            <w:pPr>
              <w:pStyle w:val="TableParagraph"/>
              <w:spacing w:line="105" w:lineRule="exact" w:before="12"/>
              <w:ind w:right="59"/>
              <w:jc w:val="right"/>
              <w:rPr>
                <w:sz w:val="10"/>
              </w:rPr>
            </w:pPr>
            <w:r>
              <w:rPr>
                <w:w w:val="105"/>
                <w:sz w:val="10"/>
              </w:rPr>
              <w:t>0.00</w:t>
            </w:r>
          </w:p>
        </w:tc>
        <w:tc>
          <w:tcPr>
            <w:tcW w:w="1079" w:type="dxa"/>
          </w:tcPr>
          <w:p>
            <w:pPr>
              <w:pStyle w:val="TableParagraph"/>
              <w:spacing w:line="105" w:lineRule="exact" w:before="12"/>
              <w:ind w:right="58"/>
              <w:jc w:val="right"/>
              <w:rPr>
                <w:sz w:val="10"/>
              </w:rPr>
            </w:pPr>
            <w:r>
              <w:rPr>
                <w:w w:val="105"/>
                <w:sz w:val="10"/>
              </w:rPr>
              <w:t>0.00</w:t>
            </w: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36" w:hRule="atLeast"/>
        </w:trPr>
        <w:tc>
          <w:tcPr>
            <w:tcW w:w="2866" w:type="dxa"/>
          </w:tcPr>
          <w:p>
            <w:pPr>
              <w:pStyle w:val="TableParagraph"/>
              <w:spacing w:line="105" w:lineRule="exact" w:before="12"/>
              <w:ind w:left="245"/>
              <w:rPr>
                <w:sz w:val="10"/>
              </w:rPr>
            </w:pPr>
            <w:r>
              <w:rPr>
                <w:w w:val="110"/>
                <w:sz w:val="10"/>
              </w:rPr>
              <w:t>Fund Reconciliation</w:t>
            </w:r>
          </w:p>
        </w:tc>
        <w:tc>
          <w:tcPr>
            <w:tcW w:w="1143" w:type="dxa"/>
          </w:tcPr>
          <w:p>
            <w:pPr>
              <w:pStyle w:val="TableParagraph"/>
              <w:rPr>
                <w:rFonts w:ascii="Times New Roman"/>
                <w:sz w:val="8"/>
              </w:rPr>
            </w:pPr>
          </w:p>
        </w:tc>
        <w:tc>
          <w:tcPr>
            <w:tcW w:w="3177" w:type="dxa"/>
            <w:gridSpan w:val="3"/>
          </w:tcPr>
          <w:p>
            <w:pPr>
              <w:pStyle w:val="TableParagraph"/>
              <w:rPr>
                <w:rFonts w:ascii="Times New Roman"/>
                <w:sz w:val="8"/>
              </w:rPr>
            </w:pP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spacing w:line="105" w:lineRule="exact" w:before="12"/>
              <w:ind w:right="139"/>
              <w:jc w:val="right"/>
              <w:rPr>
                <w:sz w:val="10"/>
              </w:rPr>
            </w:pPr>
            <w:r>
              <w:rPr>
                <w:w w:val="105"/>
                <w:sz w:val="10"/>
              </w:rPr>
              <w:t>0.00</w:t>
            </w:r>
          </w:p>
        </w:tc>
        <w:tc>
          <w:tcPr>
            <w:tcW w:w="962" w:type="dxa"/>
          </w:tcPr>
          <w:p>
            <w:pPr>
              <w:pStyle w:val="TableParagraph"/>
              <w:spacing w:line="105" w:lineRule="exact" w:before="12"/>
              <w:ind w:right="21"/>
              <w:jc w:val="right"/>
              <w:rPr>
                <w:sz w:val="10"/>
              </w:rPr>
            </w:pPr>
            <w:r>
              <w:rPr>
                <w:w w:val="105"/>
                <w:sz w:val="10"/>
              </w:rPr>
              <w:t>0.00</w:t>
            </w:r>
          </w:p>
        </w:tc>
      </w:tr>
      <w:tr>
        <w:trPr>
          <w:trHeight w:val="261" w:hRule="atLeast"/>
        </w:trPr>
        <w:tc>
          <w:tcPr>
            <w:tcW w:w="2866" w:type="dxa"/>
          </w:tcPr>
          <w:p>
            <w:pPr>
              <w:pStyle w:val="TableParagraph"/>
              <w:spacing w:line="130" w:lineRule="exact" w:before="1"/>
              <w:ind w:left="245" w:hanging="219"/>
              <w:rPr>
                <w:sz w:val="10"/>
              </w:rPr>
            </w:pPr>
            <w:r>
              <w:rPr>
                <w:w w:val="110"/>
                <w:sz w:val="10"/>
              </w:rPr>
              <w:t>15 PUPIL TRANSPORTATION EQUIPMENT FUND Expenditure Detail</w:t>
            </w:r>
          </w:p>
        </w:tc>
        <w:tc>
          <w:tcPr>
            <w:tcW w:w="1143" w:type="dxa"/>
          </w:tcPr>
          <w:p>
            <w:pPr>
              <w:pStyle w:val="TableParagraph"/>
              <w:spacing w:before="3"/>
              <w:rPr>
                <w:b/>
                <w:sz w:val="12"/>
              </w:rPr>
            </w:pPr>
          </w:p>
          <w:p>
            <w:pPr>
              <w:pStyle w:val="TableParagraph"/>
              <w:spacing w:line="100" w:lineRule="exact"/>
              <w:ind w:right="123"/>
              <w:jc w:val="right"/>
              <w:rPr>
                <w:sz w:val="10"/>
              </w:rPr>
            </w:pPr>
            <w:r>
              <w:rPr>
                <w:w w:val="105"/>
                <w:sz w:val="10"/>
              </w:rPr>
              <w:t>0.00</w:t>
            </w:r>
          </w:p>
        </w:tc>
        <w:tc>
          <w:tcPr>
            <w:tcW w:w="3177" w:type="dxa"/>
            <w:gridSpan w:val="3"/>
          </w:tcPr>
          <w:p>
            <w:pPr>
              <w:pStyle w:val="TableParagraph"/>
              <w:spacing w:before="3"/>
              <w:rPr>
                <w:b/>
                <w:sz w:val="12"/>
              </w:rPr>
            </w:pPr>
          </w:p>
          <w:p>
            <w:pPr>
              <w:pStyle w:val="TableParagraph"/>
              <w:spacing w:line="100" w:lineRule="exact"/>
              <w:ind w:left="743"/>
              <w:rPr>
                <w:sz w:val="10"/>
              </w:rPr>
            </w:pPr>
            <w:r>
              <w:rPr>
                <w:w w:val="110"/>
                <w:sz w:val="10"/>
              </w:rPr>
              <w:t>0.00</w:t>
            </w:r>
          </w:p>
        </w:tc>
        <w:tc>
          <w:tcPr>
            <w:tcW w:w="1079" w:type="dxa"/>
          </w:tcPr>
          <w:p>
            <w:pPr>
              <w:pStyle w:val="TableParagraph"/>
              <w:rPr>
                <w:rFonts w:ascii="Times New Roman"/>
                <w:sz w:val="10"/>
              </w:rPr>
            </w:pPr>
          </w:p>
        </w:tc>
        <w:tc>
          <w:tcPr>
            <w:tcW w:w="1079" w:type="dxa"/>
          </w:tcPr>
          <w:p>
            <w:pPr>
              <w:pStyle w:val="TableParagraph"/>
              <w:rPr>
                <w:rFonts w:ascii="Times New Roman"/>
                <w:sz w:val="10"/>
              </w:rPr>
            </w:pPr>
          </w:p>
        </w:tc>
        <w:tc>
          <w:tcPr>
            <w:tcW w:w="1161" w:type="dxa"/>
          </w:tcPr>
          <w:p>
            <w:pPr>
              <w:pStyle w:val="TableParagraph"/>
              <w:rPr>
                <w:rFonts w:ascii="Times New Roman"/>
                <w:sz w:val="10"/>
              </w:rPr>
            </w:pPr>
          </w:p>
        </w:tc>
        <w:tc>
          <w:tcPr>
            <w:tcW w:w="962" w:type="dxa"/>
          </w:tcPr>
          <w:p>
            <w:pPr>
              <w:pStyle w:val="TableParagraph"/>
              <w:rPr>
                <w:rFonts w:ascii="Times New Roman"/>
                <w:sz w:val="10"/>
              </w:rPr>
            </w:pPr>
          </w:p>
        </w:tc>
      </w:tr>
      <w:tr>
        <w:trPr>
          <w:trHeight w:val="141" w:hRule="atLeast"/>
        </w:trPr>
        <w:tc>
          <w:tcPr>
            <w:tcW w:w="2866" w:type="dxa"/>
          </w:tcPr>
          <w:p>
            <w:pPr>
              <w:pStyle w:val="TableParagraph"/>
              <w:spacing w:line="105" w:lineRule="exact" w:before="16"/>
              <w:ind w:left="245"/>
              <w:rPr>
                <w:sz w:val="10"/>
              </w:rPr>
            </w:pPr>
            <w:r>
              <w:rPr>
                <w:w w:val="110"/>
                <w:sz w:val="10"/>
              </w:rPr>
              <w:t>Other Sources/Uses Detail</w:t>
            </w:r>
          </w:p>
        </w:tc>
        <w:tc>
          <w:tcPr>
            <w:tcW w:w="1143" w:type="dxa"/>
            <w:shd w:val="clear" w:color="auto" w:fill="BFBFBF"/>
          </w:tcPr>
          <w:p>
            <w:pPr>
              <w:pStyle w:val="TableParagraph"/>
              <w:rPr>
                <w:rFonts w:ascii="Times New Roman"/>
                <w:sz w:val="8"/>
              </w:rPr>
            </w:pPr>
          </w:p>
        </w:tc>
        <w:tc>
          <w:tcPr>
            <w:tcW w:w="3177" w:type="dxa"/>
            <w:gridSpan w:val="3"/>
            <w:shd w:val="clear" w:color="auto" w:fill="BFBFBF"/>
          </w:tcPr>
          <w:p>
            <w:pPr>
              <w:pStyle w:val="TableParagraph"/>
              <w:rPr>
                <w:rFonts w:ascii="Times New Roman"/>
                <w:sz w:val="8"/>
              </w:rPr>
            </w:pPr>
          </w:p>
        </w:tc>
        <w:tc>
          <w:tcPr>
            <w:tcW w:w="1079" w:type="dxa"/>
          </w:tcPr>
          <w:p>
            <w:pPr>
              <w:pStyle w:val="TableParagraph"/>
              <w:spacing w:line="105" w:lineRule="exact" w:before="16"/>
              <w:ind w:right="59"/>
              <w:jc w:val="right"/>
              <w:rPr>
                <w:sz w:val="10"/>
              </w:rPr>
            </w:pPr>
            <w:r>
              <w:rPr>
                <w:w w:val="105"/>
                <w:sz w:val="10"/>
              </w:rPr>
              <w:t>0.00</w:t>
            </w:r>
          </w:p>
        </w:tc>
        <w:tc>
          <w:tcPr>
            <w:tcW w:w="1079" w:type="dxa"/>
          </w:tcPr>
          <w:p>
            <w:pPr>
              <w:pStyle w:val="TableParagraph"/>
              <w:spacing w:line="105" w:lineRule="exact" w:before="16"/>
              <w:ind w:right="58"/>
              <w:jc w:val="right"/>
              <w:rPr>
                <w:sz w:val="10"/>
              </w:rPr>
            </w:pPr>
            <w:r>
              <w:rPr>
                <w:w w:val="105"/>
                <w:sz w:val="10"/>
              </w:rPr>
              <w:t>0.00</w:t>
            </w: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48" w:hRule="atLeast"/>
        </w:trPr>
        <w:tc>
          <w:tcPr>
            <w:tcW w:w="2866" w:type="dxa"/>
          </w:tcPr>
          <w:p>
            <w:pPr>
              <w:pStyle w:val="TableParagraph"/>
              <w:spacing w:before="12"/>
              <w:ind w:left="245"/>
              <w:rPr>
                <w:sz w:val="10"/>
              </w:rPr>
            </w:pPr>
            <w:r>
              <w:rPr>
                <w:w w:val="110"/>
                <w:sz w:val="10"/>
              </w:rPr>
              <w:t>Fund Reconciliation</w:t>
            </w:r>
          </w:p>
        </w:tc>
        <w:tc>
          <w:tcPr>
            <w:tcW w:w="1143" w:type="dxa"/>
            <w:shd w:val="clear" w:color="auto" w:fill="BFBFBF"/>
          </w:tcPr>
          <w:p>
            <w:pPr>
              <w:pStyle w:val="TableParagraph"/>
              <w:rPr>
                <w:rFonts w:ascii="Times New Roman"/>
                <w:sz w:val="8"/>
              </w:rPr>
            </w:pPr>
          </w:p>
        </w:tc>
        <w:tc>
          <w:tcPr>
            <w:tcW w:w="3177" w:type="dxa"/>
            <w:gridSpan w:val="3"/>
            <w:shd w:val="clear" w:color="auto" w:fill="BFBFBF"/>
          </w:tcPr>
          <w:p>
            <w:pPr>
              <w:pStyle w:val="TableParagraph"/>
              <w:rPr>
                <w:rFonts w:ascii="Times New Roman"/>
                <w:sz w:val="8"/>
              </w:rPr>
            </w:pP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spacing w:before="12"/>
              <w:ind w:right="139"/>
              <w:jc w:val="right"/>
              <w:rPr>
                <w:sz w:val="10"/>
              </w:rPr>
            </w:pPr>
            <w:r>
              <w:rPr>
                <w:w w:val="105"/>
                <w:sz w:val="10"/>
              </w:rPr>
              <w:t>0.00</w:t>
            </w:r>
          </w:p>
        </w:tc>
        <w:tc>
          <w:tcPr>
            <w:tcW w:w="962" w:type="dxa"/>
          </w:tcPr>
          <w:p>
            <w:pPr>
              <w:pStyle w:val="TableParagraph"/>
              <w:spacing w:before="12"/>
              <w:ind w:right="21"/>
              <w:jc w:val="right"/>
              <w:rPr>
                <w:sz w:val="10"/>
              </w:rPr>
            </w:pPr>
            <w:r>
              <w:rPr>
                <w:w w:val="105"/>
                <w:sz w:val="10"/>
              </w:rPr>
              <w:t>0.00</w:t>
            </w:r>
          </w:p>
        </w:tc>
      </w:tr>
      <w:tr>
        <w:trPr>
          <w:trHeight w:val="124" w:hRule="atLeast"/>
        </w:trPr>
        <w:tc>
          <w:tcPr>
            <w:tcW w:w="2866" w:type="dxa"/>
          </w:tcPr>
          <w:p>
            <w:pPr>
              <w:pStyle w:val="TableParagraph"/>
              <w:spacing w:line="81" w:lineRule="exact" w:before="23"/>
              <w:ind w:left="26"/>
              <w:rPr>
                <w:sz w:val="8"/>
              </w:rPr>
            </w:pPr>
            <w:r>
              <w:rPr>
                <w:w w:val="110"/>
                <w:sz w:val="8"/>
              </w:rPr>
              <w:t>17 SPECIAL RESERVE FUND FOR OTHER THAN CAPITAL OUTLAY</w:t>
            </w:r>
          </w:p>
        </w:tc>
        <w:tc>
          <w:tcPr>
            <w:tcW w:w="1143" w:type="dxa"/>
            <w:shd w:val="clear" w:color="auto" w:fill="BFBFBF"/>
          </w:tcPr>
          <w:p>
            <w:pPr>
              <w:pStyle w:val="TableParagraph"/>
              <w:rPr>
                <w:rFonts w:ascii="Times New Roman"/>
                <w:sz w:val="6"/>
              </w:rPr>
            </w:pPr>
          </w:p>
        </w:tc>
        <w:tc>
          <w:tcPr>
            <w:tcW w:w="3177" w:type="dxa"/>
            <w:gridSpan w:val="3"/>
            <w:shd w:val="clear" w:color="auto" w:fill="BFBFBF"/>
          </w:tcPr>
          <w:p>
            <w:pPr>
              <w:pStyle w:val="TableParagraph"/>
              <w:rPr>
                <w:rFonts w:ascii="Times New Roman"/>
                <w:sz w:val="6"/>
              </w:rPr>
            </w:pPr>
          </w:p>
        </w:tc>
        <w:tc>
          <w:tcPr>
            <w:tcW w:w="1079" w:type="dxa"/>
          </w:tcPr>
          <w:p>
            <w:pPr>
              <w:pStyle w:val="TableParagraph"/>
              <w:rPr>
                <w:rFonts w:ascii="Times New Roman"/>
                <w:sz w:val="6"/>
              </w:rPr>
            </w:pPr>
          </w:p>
        </w:tc>
        <w:tc>
          <w:tcPr>
            <w:tcW w:w="1079" w:type="dxa"/>
          </w:tcPr>
          <w:p>
            <w:pPr>
              <w:pStyle w:val="TableParagraph"/>
              <w:rPr>
                <w:rFonts w:ascii="Times New Roman"/>
                <w:sz w:val="6"/>
              </w:rPr>
            </w:pPr>
          </w:p>
        </w:tc>
        <w:tc>
          <w:tcPr>
            <w:tcW w:w="1161" w:type="dxa"/>
          </w:tcPr>
          <w:p>
            <w:pPr>
              <w:pStyle w:val="TableParagraph"/>
              <w:rPr>
                <w:rFonts w:ascii="Times New Roman"/>
                <w:sz w:val="6"/>
              </w:rPr>
            </w:pPr>
          </w:p>
        </w:tc>
        <w:tc>
          <w:tcPr>
            <w:tcW w:w="962" w:type="dxa"/>
          </w:tcPr>
          <w:p>
            <w:pPr>
              <w:pStyle w:val="TableParagraph"/>
              <w:rPr>
                <w:rFonts w:ascii="Times New Roman"/>
                <w:sz w:val="6"/>
              </w:rPr>
            </w:pPr>
          </w:p>
        </w:tc>
      </w:tr>
      <w:tr>
        <w:trPr>
          <w:trHeight w:val="132" w:hRule="atLeast"/>
        </w:trPr>
        <w:tc>
          <w:tcPr>
            <w:tcW w:w="2866" w:type="dxa"/>
          </w:tcPr>
          <w:p>
            <w:pPr>
              <w:pStyle w:val="TableParagraph"/>
              <w:spacing w:line="100" w:lineRule="exact" w:before="12"/>
              <w:ind w:left="245"/>
              <w:rPr>
                <w:sz w:val="10"/>
              </w:rPr>
            </w:pPr>
            <w:r>
              <w:rPr>
                <w:w w:val="110"/>
                <w:sz w:val="10"/>
              </w:rPr>
              <w:t>Expenditure Detail</w:t>
            </w:r>
          </w:p>
        </w:tc>
        <w:tc>
          <w:tcPr>
            <w:tcW w:w="1143" w:type="dxa"/>
            <w:shd w:val="clear" w:color="auto" w:fill="BFBFBF"/>
          </w:tcPr>
          <w:p>
            <w:pPr>
              <w:pStyle w:val="TableParagraph"/>
              <w:rPr>
                <w:rFonts w:ascii="Times New Roman"/>
                <w:sz w:val="8"/>
              </w:rPr>
            </w:pPr>
          </w:p>
        </w:tc>
        <w:tc>
          <w:tcPr>
            <w:tcW w:w="3177" w:type="dxa"/>
            <w:gridSpan w:val="3"/>
            <w:shd w:val="clear" w:color="auto" w:fill="BFBFBF"/>
          </w:tcPr>
          <w:p>
            <w:pPr>
              <w:pStyle w:val="TableParagraph"/>
              <w:rPr>
                <w:rFonts w:ascii="Times New Roman"/>
                <w:sz w:val="8"/>
              </w:rPr>
            </w:pP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41" w:hRule="atLeast"/>
        </w:trPr>
        <w:tc>
          <w:tcPr>
            <w:tcW w:w="2866" w:type="dxa"/>
          </w:tcPr>
          <w:p>
            <w:pPr>
              <w:pStyle w:val="TableParagraph"/>
              <w:spacing w:line="105" w:lineRule="exact" w:before="16"/>
              <w:ind w:left="245"/>
              <w:rPr>
                <w:sz w:val="10"/>
              </w:rPr>
            </w:pPr>
            <w:r>
              <w:rPr>
                <w:w w:val="110"/>
                <w:sz w:val="10"/>
              </w:rPr>
              <w:t>Other Sources/Uses Detail</w:t>
            </w:r>
          </w:p>
        </w:tc>
        <w:tc>
          <w:tcPr>
            <w:tcW w:w="1143" w:type="dxa"/>
          </w:tcPr>
          <w:p>
            <w:pPr>
              <w:pStyle w:val="TableParagraph"/>
              <w:rPr>
                <w:rFonts w:ascii="Times New Roman"/>
                <w:sz w:val="8"/>
              </w:rPr>
            </w:pPr>
          </w:p>
        </w:tc>
        <w:tc>
          <w:tcPr>
            <w:tcW w:w="3177" w:type="dxa"/>
            <w:gridSpan w:val="3"/>
          </w:tcPr>
          <w:p>
            <w:pPr>
              <w:pStyle w:val="TableParagraph"/>
              <w:rPr>
                <w:rFonts w:ascii="Times New Roman"/>
                <w:sz w:val="8"/>
              </w:rPr>
            </w:pPr>
          </w:p>
        </w:tc>
        <w:tc>
          <w:tcPr>
            <w:tcW w:w="1079" w:type="dxa"/>
          </w:tcPr>
          <w:p>
            <w:pPr>
              <w:pStyle w:val="TableParagraph"/>
              <w:spacing w:line="105" w:lineRule="exact" w:before="16"/>
              <w:ind w:right="59"/>
              <w:jc w:val="right"/>
              <w:rPr>
                <w:sz w:val="10"/>
              </w:rPr>
            </w:pPr>
            <w:r>
              <w:rPr>
                <w:w w:val="105"/>
                <w:sz w:val="10"/>
              </w:rPr>
              <w:t>0.00</w:t>
            </w:r>
          </w:p>
        </w:tc>
        <w:tc>
          <w:tcPr>
            <w:tcW w:w="1079" w:type="dxa"/>
          </w:tcPr>
          <w:p>
            <w:pPr>
              <w:pStyle w:val="TableParagraph"/>
              <w:spacing w:line="105" w:lineRule="exact" w:before="16"/>
              <w:ind w:right="58"/>
              <w:jc w:val="right"/>
              <w:rPr>
                <w:sz w:val="10"/>
              </w:rPr>
            </w:pPr>
            <w:r>
              <w:rPr>
                <w:w w:val="105"/>
                <w:sz w:val="10"/>
              </w:rPr>
              <w:t>0.00</w:t>
            </w: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36" w:hRule="atLeast"/>
        </w:trPr>
        <w:tc>
          <w:tcPr>
            <w:tcW w:w="2866" w:type="dxa"/>
          </w:tcPr>
          <w:p>
            <w:pPr>
              <w:pStyle w:val="TableParagraph"/>
              <w:spacing w:line="105" w:lineRule="exact" w:before="12"/>
              <w:ind w:left="245"/>
              <w:rPr>
                <w:sz w:val="10"/>
              </w:rPr>
            </w:pPr>
            <w:r>
              <w:rPr>
                <w:w w:val="110"/>
                <w:sz w:val="10"/>
              </w:rPr>
              <w:t>Fund Reconciliation</w:t>
            </w:r>
          </w:p>
        </w:tc>
        <w:tc>
          <w:tcPr>
            <w:tcW w:w="1143" w:type="dxa"/>
          </w:tcPr>
          <w:p>
            <w:pPr>
              <w:pStyle w:val="TableParagraph"/>
              <w:rPr>
                <w:rFonts w:ascii="Times New Roman"/>
                <w:sz w:val="8"/>
              </w:rPr>
            </w:pPr>
          </w:p>
        </w:tc>
        <w:tc>
          <w:tcPr>
            <w:tcW w:w="3177" w:type="dxa"/>
            <w:gridSpan w:val="3"/>
          </w:tcPr>
          <w:p>
            <w:pPr>
              <w:pStyle w:val="TableParagraph"/>
              <w:rPr>
                <w:rFonts w:ascii="Times New Roman"/>
                <w:sz w:val="8"/>
              </w:rPr>
            </w:pP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spacing w:line="105" w:lineRule="exact" w:before="12"/>
              <w:ind w:right="139"/>
              <w:jc w:val="right"/>
              <w:rPr>
                <w:sz w:val="10"/>
              </w:rPr>
            </w:pPr>
            <w:r>
              <w:rPr>
                <w:w w:val="105"/>
                <w:sz w:val="10"/>
              </w:rPr>
              <w:t>0.00</w:t>
            </w:r>
          </w:p>
        </w:tc>
        <w:tc>
          <w:tcPr>
            <w:tcW w:w="962" w:type="dxa"/>
          </w:tcPr>
          <w:p>
            <w:pPr>
              <w:pStyle w:val="TableParagraph"/>
              <w:spacing w:line="105" w:lineRule="exact" w:before="12"/>
              <w:ind w:right="21"/>
              <w:jc w:val="right"/>
              <w:rPr>
                <w:sz w:val="10"/>
              </w:rPr>
            </w:pPr>
            <w:r>
              <w:rPr>
                <w:w w:val="105"/>
                <w:sz w:val="10"/>
              </w:rPr>
              <w:t>0.00</w:t>
            </w:r>
          </w:p>
        </w:tc>
      </w:tr>
      <w:tr>
        <w:trPr>
          <w:trHeight w:val="136" w:hRule="atLeast"/>
        </w:trPr>
        <w:tc>
          <w:tcPr>
            <w:tcW w:w="2866" w:type="dxa"/>
          </w:tcPr>
          <w:p>
            <w:pPr>
              <w:pStyle w:val="TableParagraph"/>
              <w:spacing w:line="105" w:lineRule="exact" w:before="12"/>
              <w:ind w:left="26"/>
              <w:rPr>
                <w:sz w:val="10"/>
              </w:rPr>
            </w:pPr>
            <w:r>
              <w:rPr>
                <w:w w:val="110"/>
                <w:sz w:val="10"/>
              </w:rPr>
              <w:t>18 SCHOOL BUS EMISSIONS REDUCTION FUND</w:t>
            </w:r>
          </w:p>
        </w:tc>
        <w:tc>
          <w:tcPr>
            <w:tcW w:w="1143" w:type="dxa"/>
          </w:tcPr>
          <w:p>
            <w:pPr>
              <w:pStyle w:val="TableParagraph"/>
              <w:rPr>
                <w:rFonts w:ascii="Times New Roman"/>
                <w:sz w:val="8"/>
              </w:rPr>
            </w:pPr>
          </w:p>
        </w:tc>
        <w:tc>
          <w:tcPr>
            <w:tcW w:w="3177" w:type="dxa"/>
            <w:gridSpan w:val="3"/>
          </w:tcPr>
          <w:p>
            <w:pPr>
              <w:pStyle w:val="TableParagraph"/>
              <w:rPr>
                <w:rFonts w:ascii="Times New Roman"/>
                <w:sz w:val="8"/>
              </w:rPr>
            </w:pP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32" w:hRule="atLeast"/>
        </w:trPr>
        <w:tc>
          <w:tcPr>
            <w:tcW w:w="2866" w:type="dxa"/>
          </w:tcPr>
          <w:p>
            <w:pPr>
              <w:pStyle w:val="TableParagraph"/>
              <w:spacing w:line="100" w:lineRule="exact" w:before="12"/>
              <w:ind w:left="245"/>
              <w:rPr>
                <w:sz w:val="10"/>
              </w:rPr>
            </w:pPr>
            <w:r>
              <w:rPr>
                <w:w w:val="110"/>
                <w:sz w:val="10"/>
              </w:rPr>
              <w:t>Expenditure Detail</w:t>
            </w:r>
          </w:p>
        </w:tc>
        <w:tc>
          <w:tcPr>
            <w:tcW w:w="1143" w:type="dxa"/>
          </w:tcPr>
          <w:p>
            <w:pPr>
              <w:pStyle w:val="TableParagraph"/>
              <w:spacing w:line="100" w:lineRule="exact" w:before="12"/>
              <w:ind w:right="123"/>
              <w:jc w:val="right"/>
              <w:rPr>
                <w:sz w:val="10"/>
              </w:rPr>
            </w:pPr>
            <w:r>
              <w:rPr>
                <w:w w:val="105"/>
                <w:sz w:val="10"/>
              </w:rPr>
              <w:t>0.00</w:t>
            </w:r>
          </w:p>
        </w:tc>
        <w:tc>
          <w:tcPr>
            <w:tcW w:w="3177" w:type="dxa"/>
            <w:gridSpan w:val="3"/>
          </w:tcPr>
          <w:p>
            <w:pPr>
              <w:pStyle w:val="TableParagraph"/>
              <w:spacing w:line="100" w:lineRule="exact" w:before="12"/>
              <w:ind w:left="743"/>
              <w:rPr>
                <w:sz w:val="10"/>
              </w:rPr>
            </w:pPr>
            <w:r>
              <w:rPr>
                <w:w w:val="110"/>
                <w:sz w:val="10"/>
              </w:rPr>
              <w:t>0.00</w:t>
            </w: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36" w:hRule="atLeast"/>
        </w:trPr>
        <w:tc>
          <w:tcPr>
            <w:tcW w:w="2866" w:type="dxa"/>
          </w:tcPr>
          <w:p>
            <w:pPr>
              <w:pStyle w:val="TableParagraph"/>
              <w:spacing w:line="100" w:lineRule="exact" w:before="16"/>
              <w:ind w:left="245"/>
              <w:rPr>
                <w:sz w:val="10"/>
              </w:rPr>
            </w:pPr>
            <w:r>
              <w:rPr>
                <w:w w:val="110"/>
                <w:sz w:val="10"/>
              </w:rPr>
              <w:t>Other Sources/Uses Detail</w:t>
            </w:r>
          </w:p>
        </w:tc>
        <w:tc>
          <w:tcPr>
            <w:tcW w:w="1143" w:type="dxa"/>
          </w:tcPr>
          <w:p>
            <w:pPr>
              <w:pStyle w:val="TableParagraph"/>
              <w:rPr>
                <w:rFonts w:ascii="Times New Roman"/>
                <w:sz w:val="8"/>
              </w:rPr>
            </w:pPr>
          </w:p>
        </w:tc>
        <w:tc>
          <w:tcPr>
            <w:tcW w:w="3177" w:type="dxa"/>
            <w:gridSpan w:val="3"/>
          </w:tcPr>
          <w:p>
            <w:pPr>
              <w:pStyle w:val="TableParagraph"/>
              <w:rPr>
                <w:rFonts w:ascii="Times New Roman"/>
                <w:sz w:val="8"/>
              </w:rPr>
            </w:pPr>
          </w:p>
        </w:tc>
        <w:tc>
          <w:tcPr>
            <w:tcW w:w="1079" w:type="dxa"/>
          </w:tcPr>
          <w:p>
            <w:pPr>
              <w:pStyle w:val="TableParagraph"/>
              <w:spacing w:line="100" w:lineRule="exact" w:before="16"/>
              <w:ind w:right="59"/>
              <w:jc w:val="right"/>
              <w:rPr>
                <w:sz w:val="10"/>
              </w:rPr>
            </w:pPr>
            <w:r>
              <w:rPr>
                <w:w w:val="105"/>
                <w:sz w:val="10"/>
              </w:rPr>
              <w:t>0.00</w:t>
            </w:r>
          </w:p>
        </w:tc>
        <w:tc>
          <w:tcPr>
            <w:tcW w:w="1079" w:type="dxa"/>
          </w:tcPr>
          <w:p>
            <w:pPr>
              <w:pStyle w:val="TableParagraph"/>
              <w:spacing w:line="100" w:lineRule="exact" w:before="16"/>
              <w:ind w:right="58"/>
              <w:jc w:val="right"/>
              <w:rPr>
                <w:sz w:val="10"/>
              </w:rPr>
            </w:pPr>
            <w:r>
              <w:rPr>
                <w:w w:val="105"/>
                <w:sz w:val="10"/>
              </w:rPr>
              <w:t>0.00</w:t>
            </w: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41" w:hRule="atLeast"/>
        </w:trPr>
        <w:tc>
          <w:tcPr>
            <w:tcW w:w="2866" w:type="dxa"/>
          </w:tcPr>
          <w:p>
            <w:pPr>
              <w:pStyle w:val="TableParagraph"/>
              <w:spacing w:line="105" w:lineRule="exact" w:before="16"/>
              <w:ind w:left="245"/>
              <w:rPr>
                <w:sz w:val="10"/>
              </w:rPr>
            </w:pPr>
            <w:r>
              <w:rPr>
                <w:w w:val="110"/>
                <w:sz w:val="10"/>
              </w:rPr>
              <w:t>Fund Reconciliation</w:t>
            </w:r>
          </w:p>
        </w:tc>
        <w:tc>
          <w:tcPr>
            <w:tcW w:w="1143" w:type="dxa"/>
          </w:tcPr>
          <w:p>
            <w:pPr>
              <w:pStyle w:val="TableParagraph"/>
              <w:rPr>
                <w:rFonts w:ascii="Times New Roman"/>
                <w:sz w:val="8"/>
              </w:rPr>
            </w:pPr>
          </w:p>
        </w:tc>
        <w:tc>
          <w:tcPr>
            <w:tcW w:w="3177" w:type="dxa"/>
            <w:gridSpan w:val="3"/>
          </w:tcPr>
          <w:p>
            <w:pPr>
              <w:pStyle w:val="TableParagraph"/>
              <w:rPr>
                <w:rFonts w:ascii="Times New Roman"/>
                <w:sz w:val="8"/>
              </w:rPr>
            </w:pPr>
          </w:p>
        </w:tc>
        <w:tc>
          <w:tcPr>
            <w:tcW w:w="1079" w:type="dxa"/>
            <w:shd w:val="clear" w:color="auto" w:fill="BFBFBF"/>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spacing w:line="105" w:lineRule="exact" w:before="16"/>
              <w:ind w:right="139"/>
              <w:jc w:val="right"/>
              <w:rPr>
                <w:sz w:val="10"/>
              </w:rPr>
            </w:pPr>
            <w:r>
              <w:rPr>
                <w:w w:val="105"/>
                <w:sz w:val="10"/>
              </w:rPr>
              <w:t>0.00</w:t>
            </w:r>
          </w:p>
        </w:tc>
        <w:tc>
          <w:tcPr>
            <w:tcW w:w="962" w:type="dxa"/>
          </w:tcPr>
          <w:p>
            <w:pPr>
              <w:pStyle w:val="TableParagraph"/>
              <w:spacing w:line="105" w:lineRule="exact" w:before="16"/>
              <w:ind w:right="21"/>
              <w:jc w:val="right"/>
              <w:rPr>
                <w:sz w:val="10"/>
              </w:rPr>
            </w:pPr>
            <w:r>
              <w:rPr>
                <w:w w:val="105"/>
                <w:sz w:val="10"/>
              </w:rPr>
              <w:t>0.00</w:t>
            </w:r>
          </w:p>
        </w:tc>
      </w:tr>
      <w:tr>
        <w:trPr>
          <w:trHeight w:val="136" w:hRule="atLeast"/>
        </w:trPr>
        <w:tc>
          <w:tcPr>
            <w:tcW w:w="2866" w:type="dxa"/>
          </w:tcPr>
          <w:p>
            <w:pPr>
              <w:pStyle w:val="TableParagraph"/>
              <w:spacing w:line="105" w:lineRule="exact" w:before="12"/>
              <w:ind w:left="26"/>
              <w:rPr>
                <w:sz w:val="10"/>
              </w:rPr>
            </w:pPr>
            <w:r>
              <w:rPr>
                <w:w w:val="110"/>
                <w:sz w:val="10"/>
              </w:rPr>
              <w:t>19 FOUNDATION SPECIAL REVENUE FUND</w:t>
            </w:r>
          </w:p>
        </w:tc>
        <w:tc>
          <w:tcPr>
            <w:tcW w:w="1143" w:type="dxa"/>
          </w:tcPr>
          <w:p>
            <w:pPr>
              <w:pStyle w:val="TableParagraph"/>
              <w:rPr>
                <w:rFonts w:ascii="Times New Roman"/>
                <w:sz w:val="8"/>
              </w:rPr>
            </w:pPr>
          </w:p>
        </w:tc>
        <w:tc>
          <w:tcPr>
            <w:tcW w:w="3177" w:type="dxa"/>
            <w:gridSpan w:val="3"/>
          </w:tcPr>
          <w:p>
            <w:pPr>
              <w:pStyle w:val="TableParagraph"/>
              <w:rPr>
                <w:rFonts w:ascii="Times New Roman"/>
                <w:sz w:val="8"/>
              </w:rPr>
            </w:pPr>
          </w:p>
        </w:tc>
        <w:tc>
          <w:tcPr>
            <w:tcW w:w="1079" w:type="dxa"/>
            <w:shd w:val="clear" w:color="auto" w:fill="BFBFBF"/>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36" w:hRule="atLeast"/>
        </w:trPr>
        <w:tc>
          <w:tcPr>
            <w:tcW w:w="2866" w:type="dxa"/>
          </w:tcPr>
          <w:p>
            <w:pPr>
              <w:pStyle w:val="TableParagraph"/>
              <w:spacing w:line="105" w:lineRule="exact" w:before="12"/>
              <w:ind w:left="245"/>
              <w:rPr>
                <w:sz w:val="10"/>
              </w:rPr>
            </w:pPr>
            <w:r>
              <w:rPr>
                <w:w w:val="110"/>
                <w:sz w:val="10"/>
              </w:rPr>
              <w:t>Expenditure Detail</w:t>
            </w:r>
          </w:p>
        </w:tc>
        <w:tc>
          <w:tcPr>
            <w:tcW w:w="1143" w:type="dxa"/>
          </w:tcPr>
          <w:p>
            <w:pPr>
              <w:pStyle w:val="TableParagraph"/>
              <w:spacing w:line="105" w:lineRule="exact" w:before="12"/>
              <w:ind w:right="123"/>
              <w:jc w:val="right"/>
              <w:rPr>
                <w:sz w:val="10"/>
              </w:rPr>
            </w:pPr>
            <w:r>
              <w:rPr>
                <w:w w:val="105"/>
                <w:sz w:val="10"/>
              </w:rPr>
              <w:t>0.00</w:t>
            </w:r>
          </w:p>
        </w:tc>
        <w:tc>
          <w:tcPr>
            <w:tcW w:w="3177" w:type="dxa"/>
            <w:gridSpan w:val="3"/>
          </w:tcPr>
          <w:p>
            <w:pPr>
              <w:pStyle w:val="TableParagraph"/>
              <w:tabs>
                <w:tab w:pos="1823" w:val="left" w:leader="none"/>
                <w:tab w:pos="2903" w:val="left" w:leader="none"/>
              </w:tabs>
              <w:spacing w:line="105" w:lineRule="exact" w:before="12"/>
              <w:ind w:left="743"/>
              <w:rPr>
                <w:sz w:val="10"/>
              </w:rPr>
            </w:pPr>
            <w:r>
              <w:rPr>
                <w:w w:val="110"/>
                <w:sz w:val="10"/>
              </w:rPr>
              <w:t>0.00</w:t>
              <w:tab/>
              <w:t>0.00</w:t>
              <w:tab/>
              <w:t>0.00</w:t>
            </w:r>
          </w:p>
        </w:tc>
        <w:tc>
          <w:tcPr>
            <w:tcW w:w="1079" w:type="dxa"/>
            <w:shd w:val="clear" w:color="auto" w:fill="BFBFBF"/>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36" w:hRule="atLeast"/>
        </w:trPr>
        <w:tc>
          <w:tcPr>
            <w:tcW w:w="2866" w:type="dxa"/>
          </w:tcPr>
          <w:p>
            <w:pPr>
              <w:pStyle w:val="TableParagraph"/>
              <w:spacing w:line="105" w:lineRule="exact" w:before="12"/>
              <w:ind w:left="245"/>
              <w:rPr>
                <w:sz w:val="10"/>
              </w:rPr>
            </w:pPr>
            <w:r>
              <w:rPr>
                <w:w w:val="110"/>
                <w:sz w:val="10"/>
              </w:rPr>
              <w:t>Other Sources/Uses Detail</w:t>
            </w:r>
          </w:p>
        </w:tc>
        <w:tc>
          <w:tcPr>
            <w:tcW w:w="1143" w:type="dxa"/>
            <w:shd w:val="clear" w:color="auto" w:fill="BFBFBF"/>
          </w:tcPr>
          <w:p>
            <w:pPr>
              <w:pStyle w:val="TableParagraph"/>
              <w:rPr>
                <w:rFonts w:ascii="Times New Roman"/>
                <w:sz w:val="8"/>
              </w:rPr>
            </w:pPr>
          </w:p>
        </w:tc>
        <w:tc>
          <w:tcPr>
            <w:tcW w:w="3177" w:type="dxa"/>
            <w:gridSpan w:val="3"/>
            <w:shd w:val="clear" w:color="auto" w:fill="BFBFBF"/>
          </w:tcPr>
          <w:p>
            <w:pPr>
              <w:pStyle w:val="TableParagraph"/>
              <w:rPr>
                <w:rFonts w:ascii="Times New Roman"/>
                <w:sz w:val="8"/>
              </w:rPr>
            </w:pPr>
          </w:p>
        </w:tc>
        <w:tc>
          <w:tcPr>
            <w:tcW w:w="1079" w:type="dxa"/>
            <w:shd w:val="clear" w:color="auto" w:fill="BFBFBF"/>
          </w:tcPr>
          <w:p>
            <w:pPr>
              <w:pStyle w:val="TableParagraph"/>
              <w:rPr>
                <w:rFonts w:ascii="Times New Roman"/>
                <w:sz w:val="8"/>
              </w:rPr>
            </w:pPr>
          </w:p>
        </w:tc>
        <w:tc>
          <w:tcPr>
            <w:tcW w:w="1079" w:type="dxa"/>
          </w:tcPr>
          <w:p>
            <w:pPr>
              <w:pStyle w:val="TableParagraph"/>
              <w:spacing w:line="105" w:lineRule="exact" w:before="12"/>
              <w:ind w:right="58"/>
              <w:jc w:val="right"/>
              <w:rPr>
                <w:sz w:val="10"/>
              </w:rPr>
            </w:pPr>
            <w:r>
              <w:rPr>
                <w:w w:val="105"/>
                <w:sz w:val="10"/>
              </w:rPr>
              <w:t>0.00</w:t>
            </w: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48" w:hRule="atLeast"/>
        </w:trPr>
        <w:tc>
          <w:tcPr>
            <w:tcW w:w="2866" w:type="dxa"/>
          </w:tcPr>
          <w:p>
            <w:pPr>
              <w:pStyle w:val="TableParagraph"/>
              <w:spacing w:before="12"/>
              <w:ind w:left="245"/>
              <w:rPr>
                <w:sz w:val="10"/>
              </w:rPr>
            </w:pPr>
            <w:r>
              <w:rPr>
                <w:w w:val="110"/>
                <w:sz w:val="10"/>
              </w:rPr>
              <w:t>Fund Reconciliation</w:t>
            </w:r>
          </w:p>
        </w:tc>
        <w:tc>
          <w:tcPr>
            <w:tcW w:w="1143" w:type="dxa"/>
            <w:shd w:val="clear" w:color="auto" w:fill="BFBFBF"/>
          </w:tcPr>
          <w:p>
            <w:pPr>
              <w:pStyle w:val="TableParagraph"/>
              <w:rPr>
                <w:rFonts w:ascii="Times New Roman"/>
                <w:sz w:val="8"/>
              </w:rPr>
            </w:pPr>
          </w:p>
        </w:tc>
        <w:tc>
          <w:tcPr>
            <w:tcW w:w="3177" w:type="dxa"/>
            <w:gridSpan w:val="3"/>
            <w:shd w:val="clear" w:color="auto" w:fill="BFBFBF"/>
          </w:tcPr>
          <w:p>
            <w:pPr>
              <w:pStyle w:val="TableParagraph"/>
              <w:rPr>
                <w:rFonts w:ascii="Times New Roman"/>
                <w:sz w:val="8"/>
              </w:rPr>
            </w:pP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spacing w:before="12"/>
              <w:ind w:right="139"/>
              <w:jc w:val="right"/>
              <w:rPr>
                <w:sz w:val="10"/>
              </w:rPr>
            </w:pPr>
            <w:r>
              <w:rPr>
                <w:w w:val="105"/>
                <w:sz w:val="10"/>
              </w:rPr>
              <w:t>0.00</w:t>
            </w:r>
          </w:p>
        </w:tc>
        <w:tc>
          <w:tcPr>
            <w:tcW w:w="962" w:type="dxa"/>
          </w:tcPr>
          <w:p>
            <w:pPr>
              <w:pStyle w:val="TableParagraph"/>
              <w:spacing w:before="12"/>
              <w:ind w:right="21"/>
              <w:jc w:val="right"/>
              <w:rPr>
                <w:sz w:val="10"/>
              </w:rPr>
            </w:pPr>
            <w:r>
              <w:rPr>
                <w:w w:val="105"/>
                <w:sz w:val="10"/>
              </w:rPr>
              <w:t>0.00</w:t>
            </w:r>
          </w:p>
        </w:tc>
      </w:tr>
      <w:tr>
        <w:trPr>
          <w:trHeight w:val="124" w:hRule="atLeast"/>
        </w:trPr>
        <w:tc>
          <w:tcPr>
            <w:tcW w:w="2866" w:type="dxa"/>
          </w:tcPr>
          <w:p>
            <w:pPr>
              <w:pStyle w:val="TableParagraph"/>
              <w:spacing w:line="81" w:lineRule="exact" w:before="23"/>
              <w:ind w:left="26"/>
              <w:rPr>
                <w:sz w:val="8"/>
              </w:rPr>
            </w:pPr>
            <w:r>
              <w:rPr>
                <w:w w:val="110"/>
                <w:sz w:val="8"/>
              </w:rPr>
              <w:t>20 SPECIAL RESERVE FUND FOR POSTEMPLOYMENT BENEFITS</w:t>
            </w:r>
          </w:p>
        </w:tc>
        <w:tc>
          <w:tcPr>
            <w:tcW w:w="1143" w:type="dxa"/>
            <w:shd w:val="clear" w:color="auto" w:fill="BFBFBF"/>
          </w:tcPr>
          <w:p>
            <w:pPr>
              <w:pStyle w:val="TableParagraph"/>
              <w:rPr>
                <w:rFonts w:ascii="Times New Roman"/>
                <w:sz w:val="6"/>
              </w:rPr>
            </w:pPr>
          </w:p>
        </w:tc>
        <w:tc>
          <w:tcPr>
            <w:tcW w:w="3177" w:type="dxa"/>
            <w:gridSpan w:val="3"/>
            <w:shd w:val="clear" w:color="auto" w:fill="BFBFBF"/>
          </w:tcPr>
          <w:p>
            <w:pPr>
              <w:pStyle w:val="TableParagraph"/>
              <w:rPr>
                <w:rFonts w:ascii="Times New Roman"/>
                <w:sz w:val="6"/>
              </w:rPr>
            </w:pPr>
          </w:p>
        </w:tc>
        <w:tc>
          <w:tcPr>
            <w:tcW w:w="1079" w:type="dxa"/>
          </w:tcPr>
          <w:p>
            <w:pPr>
              <w:pStyle w:val="TableParagraph"/>
              <w:rPr>
                <w:rFonts w:ascii="Times New Roman"/>
                <w:sz w:val="6"/>
              </w:rPr>
            </w:pPr>
          </w:p>
        </w:tc>
        <w:tc>
          <w:tcPr>
            <w:tcW w:w="1079" w:type="dxa"/>
          </w:tcPr>
          <w:p>
            <w:pPr>
              <w:pStyle w:val="TableParagraph"/>
              <w:rPr>
                <w:rFonts w:ascii="Times New Roman"/>
                <w:sz w:val="6"/>
              </w:rPr>
            </w:pPr>
          </w:p>
        </w:tc>
        <w:tc>
          <w:tcPr>
            <w:tcW w:w="1161" w:type="dxa"/>
          </w:tcPr>
          <w:p>
            <w:pPr>
              <w:pStyle w:val="TableParagraph"/>
              <w:rPr>
                <w:rFonts w:ascii="Times New Roman"/>
                <w:sz w:val="6"/>
              </w:rPr>
            </w:pPr>
          </w:p>
        </w:tc>
        <w:tc>
          <w:tcPr>
            <w:tcW w:w="962" w:type="dxa"/>
          </w:tcPr>
          <w:p>
            <w:pPr>
              <w:pStyle w:val="TableParagraph"/>
              <w:rPr>
                <w:rFonts w:ascii="Times New Roman"/>
                <w:sz w:val="6"/>
              </w:rPr>
            </w:pPr>
          </w:p>
        </w:tc>
      </w:tr>
      <w:tr>
        <w:trPr>
          <w:trHeight w:val="136" w:hRule="atLeast"/>
        </w:trPr>
        <w:tc>
          <w:tcPr>
            <w:tcW w:w="2866" w:type="dxa"/>
          </w:tcPr>
          <w:p>
            <w:pPr>
              <w:pStyle w:val="TableParagraph"/>
              <w:spacing w:line="105" w:lineRule="exact" w:before="12"/>
              <w:ind w:left="245"/>
              <w:rPr>
                <w:sz w:val="10"/>
              </w:rPr>
            </w:pPr>
            <w:r>
              <w:rPr>
                <w:w w:val="110"/>
                <w:sz w:val="10"/>
              </w:rPr>
              <w:t>Expenditure Detail</w:t>
            </w:r>
          </w:p>
        </w:tc>
        <w:tc>
          <w:tcPr>
            <w:tcW w:w="1143" w:type="dxa"/>
            <w:shd w:val="clear" w:color="auto" w:fill="BFBFBF"/>
          </w:tcPr>
          <w:p>
            <w:pPr>
              <w:pStyle w:val="TableParagraph"/>
              <w:rPr>
                <w:rFonts w:ascii="Times New Roman"/>
                <w:sz w:val="8"/>
              </w:rPr>
            </w:pPr>
          </w:p>
        </w:tc>
        <w:tc>
          <w:tcPr>
            <w:tcW w:w="3177" w:type="dxa"/>
            <w:gridSpan w:val="3"/>
            <w:shd w:val="clear" w:color="auto" w:fill="BFBFBF"/>
          </w:tcPr>
          <w:p>
            <w:pPr>
              <w:pStyle w:val="TableParagraph"/>
              <w:rPr>
                <w:rFonts w:ascii="Times New Roman"/>
                <w:sz w:val="8"/>
              </w:rPr>
            </w:pP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36" w:hRule="atLeast"/>
        </w:trPr>
        <w:tc>
          <w:tcPr>
            <w:tcW w:w="2866" w:type="dxa"/>
          </w:tcPr>
          <w:p>
            <w:pPr>
              <w:pStyle w:val="TableParagraph"/>
              <w:spacing w:line="105" w:lineRule="exact" w:before="12"/>
              <w:ind w:left="245"/>
              <w:rPr>
                <w:sz w:val="10"/>
              </w:rPr>
            </w:pPr>
            <w:r>
              <w:rPr>
                <w:w w:val="110"/>
                <w:sz w:val="10"/>
              </w:rPr>
              <w:t>Other Sources/Uses Detail</w:t>
            </w:r>
          </w:p>
        </w:tc>
        <w:tc>
          <w:tcPr>
            <w:tcW w:w="1143" w:type="dxa"/>
          </w:tcPr>
          <w:p>
            <w:pPr>
              <w:pStyle w:val="TableParagraph"/>
              <w:rPr>
                <w:rFonts w:ascii="Times New Roman"/>
                <w:sz w:val="8"/>
              </w:rPr>
            </w:pPr>
          </w:p>
        </w:tc>
        <w:tc>
          <w:tcPr>
            <w:tcW w:w="3177" w:type="dxa"/>
            <w:gridSpan w:val="3"/>
            <w:shd w:val="clear" w:color="auto" w:fill="BFBFBF"/>
          </w:tcPr>
          <w:p>
            <w:pPr>
              <w:pStyle w:val="TableParagraph"/>
              <w:rPr>
                <w:rFonts w:ascii="Times New Roman"/>
                <w:sz w:val="8"/>
              </w:rPr>
            </w:pPr>
          </w:p>
        </w:tc>
        <w:tc>
          <w:tcPr>
            <w:tcW w:w="1079" w:type="dxa"/>
          </w:tcPr>
          <w:p>
            <w:pPr>
              <w:pStyle w:val="TableParagraph"/>
              <w:spacing w:line="105" w:lineRule="exact" w:before="12"/>
              <w:ind w:right="59"/>
              <w:jc w:val="right"/>
              <w:rPr>
                <w:sz w:val="10"/>
              </w:rPr>
            </w:pPr>
            <w:r>
              <w:rPr>
                <w:w w:val="105"/>
                <w:sz w:val="10"/>
              </w:rPr>
              <w:t>0.00</w:t>
            </w:r>
          </w:p>
        </w:tc>
        <w:tc>
          <w:tcPr>
            <w:tcW w:w="1079" w:type="dxa"/>
          </w:tcPr>
          <w:p>
            <w:pPr>
              <w:pStyle w:val="TableParagraph"/>
              <w:spacing w:line="105" w:lineRule="exact" w:before="12"/>
              <w:ind w:right="58"/>
              <w:jc w:val="right"/>
              <w:rPr>
                <w:sz w:val="10"/>
              </w:rPr>
            </w:pPr>
            <w:r>
              <w:rPr>
                <w:w w:val="105"/>
                <w:sz w:val="10"/>
              </w:rPr>
              <w:t>0.00</w:t>
            </w: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36" w:hRule="atLeast"/>
        </w:trPr>
        <w:tc>
          <w:tcPr>
            <w:tcW w:w="2866" w:type="dxa"/>
          </w:tcPr>
          <w:p>
            <w:pPr>
              <w:pStyle w:val="TableParagraph"/>
              <w:spacing w:line="105" w:lineRule="exact" w:before="12"/>
              <w:ind w:left="245"/>
              <w:rPr>
                <w:sz w:val="10"/>
              </w:rPr>
            </w:pPr>
            <w:r>
              <w:rPr>
                <w:w w:val="110"/>
                <w:sz w:val="10"/>
              </w:rPr>
              <w:t>Fund Reconciliation</w:t>
            </w:r>
          </w:p>
        </w:tc>
        <w:tc>
          <w:tcPr>
            <w:tcW w:w="1143" w:type="dxa"/>
          </w:tcPr>
          <w:p>
            <w:pPr>
              <w:pStyle w:val="TableParagraph"/>
              <w:rPr>
                <w:rFonts w:ascii="Times New Roman"/>
                <w:sz w:val="8"/>
              </w:rPr>
            </w:pPr>
          </w:p>
        </w:tc>
        <w:tc>
          <w:tcPr>
            <w:tcW w:w="3177" w:type="dxa"/>
            <w:gridSpan w:val="3"/>
            <w:shd w:val="clear" w:color="auto" w:fill="BFBFBF"/>
          </w:tcPr>
          <w:p>
            <w:pPr>
              <w:pStyle w:val="TableParagraph"/>
              <w:rPr>
                <w:rFonts w:ascii="Times New Roman"/>
                <w:sz w:val="8"/>
              </w:rPr>
            </w:pP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spacing w:line="105" w:lineRule="exact" w:before="12"/>
              <w:ind w:right="139"/>
              <w:jc w:val="right"/>
              <w:rPr>
                <w:sz w:val="10"/>
              </w:rPr>
            </w:pPr>
            <w:r>
              <w:rPr>
                <w:w w:val="105"/>
                <w:sz w:val="10"/>
              </w:rPr>
              <w:t>0.00</w:t>
            </w:r>
          </w:p>
        </w:tc>
        <w:tc>
          <w:tcPr>
            <w:tcW w:w="962" w:type="dxa"/>
          </w:tcPr>
          <w:p>
            <w:pPr>
              <w:pStyle w:val="TableParagraph"/>
              <w:spacing w:line="105" w:lineRule="exact" w:before="12"/>
              <w:ind w:right="21"/>
              <w:jc w:val="right"/>
              <w:rPr>
                <w:sz w:val="10"/>
              </w:rPr>
            </w:pPr>
            <w:r>
              <w:rPr>
                <w:w w:val="105"/>
                <w:sz w:val="10"/>
              </w:rPr>
              <w:t>0.00</w:t>
            </w:r>
          </w:p>
        </w:tc>
      </w:tr>
      <w:tr>
        <w:trPr>
          <w:trHeight w:val="136" w:hRule="atLeast"/>
        </w:trPr>
        <w:tc>
          <w:tcPr>
            <w:tcW w:w="2866" w:type="dxa"/>
          </w:tcPr>
          <w:p>
            <w:pPr>
              <w:pStyle w:val="TableParagraph"/>
              <w:spacing w:line="105" w:lineRule="exact" w:before="12"/>
              <w:ind w:left="26"/>
              <w:rPr>
                <w:sz w:val="10"/>
              </w:rPr>
            </w:pPr>
            <w:r>
              <w:rPr>
                <w:w w:val="110"/>
                <w:sz w:val="10"/>
              </w:rPr>
              <w:t>21 BUILDING FUND</w:t>
            </w:r>
          </w:p>
        </w:tc>
        <w:tc>
          <w:tcPr>
            <w:tcW w:w="1143" w:type="dxa"/>
          </w:tcPr>
          <w:p>
            <w:pPr>
              <w:pStyle w:val="TableParagraph"/>
              <w:rPr>
                <w:rFonts w:ascii="Times New Roman"/>
                <w:sz w:val="8"/>
              </w:rPr>
            </w:pPr>
          </w:p>
        </w:tc>
        <w:tc>
          <w:tcPr>
            <w:tcW w:w="3177" w:type="dxa"/>
            <w:gridSpan w:val="3"/>
            <w:shd w:val="clear" w:color="auto" w:fill="BFBFBF"/>
          </w:tcPr>
          <w:p>
            <w:pPr>
              <w:pStyle w:val="TableParagraph"/>
              <w:rPr>
                <w:rFonts w:ascii="Times New Roman"/>
                <w:sz w:val="8"/>
              </w:rPr>
            </w:pP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36" w:hRule="atLeast"/>
        </w:trPr>
        <w:tc>
          <w:tcPr>
            <w:tcW w:w="2866" w:type="dxa"/>
          </w:tcPr>
          <w:p>
            <w:pPr>
              <w:pStyle w:val="TableParagraph"/>
              <w:spacing w:line="105" w:lineRule="exact" w:before="12"/>
              <w:ind w:left="245"/>
              <w:rPr>
                <w:sz w:val="10"/>
              </w:rPr>
            </w:pPr>
            <w:r>
              <w:rPr>
                <w:w w:val="110"/>
                <w:sz w:val="10"/>
              </w:rPr>
              <w:t>Expenditure Detail</w:t>
            </w:r>
          </w:p>
        </w:tc>
        <w:tc>
          <w:tcPr>
            <w:tcW w:w="1143" w:type="dxa"/>
          </w:tcPr>
          <w:p>
            <w:pPr>
              <w:pStyle w:val="TableParagraph"/>
              <w:spacing w:line="105" w:lineRule="exact" w:before="12"/>
              <w:ind w:right="123"/>
              <w:jc w:val="right"/>
              <w:rPr>
                <w:sz w:val="10"/>
              </w:rPr>
            </w:pPr>
            <w:r>
              <w:rPr>
                <w:w w:val="105"/>
                <w:sz w:val="10"/>
              </w:rPr>
              <w:t>0.00</w:t>
            </w:r>
          </w:p>
        </w:tc>
        <w:tc>
          <w:tcPr>
            <w:tcW w:w="3177" w:type="dxa"/>
            <w:gridSpan w:val="3"/>
            <w:shd w:val="clear" w:color="auto" w:fill="BFBFBF"/>
          </w:tcPr>
          <w:p>
            <w:pPr>
              <w:pStyle w:val="TableParagraph"/>
              <w:spacing w:line="105" w:lineRule="exact" w:before="12"/>
              <w:ind w:left="743"/>
              <w:rPr>
                <w:sz w:val="10"/>
              </w:rPr>
            </w:pPr>
            <w:r>
              <w:rPr>
                <w:w w:val="110"/>
                <w:sz w:val="10"/>
              </w:rPr>
              <w:t>0.00</w:t>
            </w: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36" w:hRule="atLeast"/>
        </w:trPr>
        <w:tc>
          <w:tcPr>
            <w:tcW w:w="2866" w:type="dxa"/>
          </w:tcPr>
          <w:p>
            <w:pPr>
              <w:pStyle w:val="TableParagraph"/>
              <w:spacing w:line="105" w:lineRule="exact" w:before="12"/>
              <w:ind w:left="245"/>
              <w:rPr>
                <w:sz w:val="10"/>
              </w:rPr>
            </w:pPr>
            <w:r>
              <w:rPr>
                <w:w w:val="110"/>
                <w:sz w:val="10"/>
              </w:rPr>
              <w:t>Other Sources/Uses Detail</w:t>
            </w:r>
          </w:p>
        </w:tc>
        <w:tc>
          <w:tcPr>
            <w:tcW w:w="1143" w:type="dxa"/>
          </w:tcPr>
          <w:p>
            <w:pPr>
              <w:pStyle w:val="TableParagraph"/>
              <w:rPr>
                <w:rFonts w:ascii="Times New Roman"/>
                <w:sz w:val="8"/>
              </w:rPr>
            </w:pPr>
          </w:p>
        </w:tc>
        <w:tc>
          <w:tcPr>
            <w:tcW w:w="3177" w:type="dxa"/>
            <w:gridSpan w:val="3"/>
            <w:shd w:val="clear" w:color="auto" w:fill="BFBFBF"/>
          </w:tcPr>
          <w:p>
            <w:pPr>
              <w:pStyle w:val="TableParagraph"/>
              <w:rPr>
                <w:rFonts w:ascii="Times New Roman"/>
                <w:sz w:val="8"/>
              </w:rPr>
            </w:pPr>
          </w:p>
        </w:tc>
        <w:tc>
          <w:tcPr>
            <w:tcW w:w="1079" w:type="dxa"/>
          </w:tcPr>
          <w:p>
            <w:pPr>
              <w:pStyle w:val="TableParagraph"/>
              <w:spacing w:line="105" w:lineRule="exact" w:before="12"/>
              <w:ind w:right="59"/>
              <w:jc w:val="right"/>
              <w:rPr>
                <w:sz w:val="10"/>
              </w:rPr>
            </w:pPr>
            <w:r>
              <w:rPr>
                <w:w w:val="105"/>
                <w:sz w:val="10"/>
              </w:rPr>
              <w:t>0.00</w:t>
            </w:r>
          </w:p>
        </w:tc>
        <w:tc>
          <w:tcPr>
            <w:tcW w:w="1079" w:type="dxa"/>
          </w:tcPr>
          <w:p>
            <w:pPr>
              <w:pStyle w:val="TableParagraph"/>
              <w:spacing w:line="105" w:lineRule="exact" w:before="12"/>
              <w:ind w:right="58"/>
              <w:jc w:val="right"/>
              <w:rPr>
                <w:sz w:val="10"/>
              </w:rPr>
            </w:pPr>
            <w:r>
              <w:rPr>
                <w:w w:val="105"/>
                <w:sz w:val="10"/>
              </w:rPr>
              <w:t>0.00</w:t>
            </w: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36" w:hRule="atLeast"/>
        </w:trPr>
        <w:tc>
          <w:tcPr>
            <w:tcW w:w="2866" w:type="dxa"/>
          </w:tcPr>
          <w:p>
            <w:pPr>
              <w:pStyle w:val="TableParagraph"/>
              <w:spacing w:line="105" w:lineRule="exact" w:before="12"/>
              <w:ind w:left="245"/>
              <w:rPr>
                <w:sz w:val="10"/>
              </w:rPr>
            </w:pPr>
            <w:r>
              <w:rPr>
                <w:w w:val="110"/>
                <w:sz w:val="10"/>
              </w:rPr>
              <w:t>Fund Reconciliation</w:t>
            </w:r>
          </w:p>
        </w:tc>
        <w:tc>
          <w:tcPr>
            <w:tcW w:w="1143" w:type="dxa"/>
          </w:tcPr>
          <w:p>
            <w:pPr>
              <w:pStyle w:val="TableParagraph"/>
              <w:rPr>
                <w:rFonts w:ascii="Times New Roman"/>
                <w:sz w:val="8"/>
              </w:rPr>
            </w:pPr>
          </w:p>
        </w:tc>
        <w:tc>
          <w:tcPr>
            <w:tcW w:w="3177" w:type="dxa"/>
            <w:gridSpan w:val="3"/>
            <w:shd w:val="clear" w:color="auto" w:fill="BFBFBF"/>
          </w:tcPr>
          <w:p>
            <w:pPr>
              <w:pStyle w:val="TableParagraph"/>
              <w:rPr>
                <w:rFonts w:ascii="Times New Roman"/>
                <w:sz w:val="8"/>
              </w:rPr>
            </w:pP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spacing w:line="105" w:lineRule="exact" w:before="12"/>
              <w:ind w:right="139"/>
              <w:jc w:val="right"/>
              <w:rPr>
                <w:sz w:val="10"/>
              </w:rPr>
            </w:pPr>
            <w:r>
              <w:rPr>
                <w:w w:val="105"/>
                <w:sz w:val="10"/>
              </w:rPr>
              <w:t>0.00</w:t>
            </w:r>
          </w:p>
        </w:tc>
        <w:tc>
          <w:tcPr>
            <w:tcW w:w="962" w:type="dxa"/>
          </w:tcPr>
          <w:p>
            <w:pPr>
              <w:pStyle w:val="TableParagraph"/>
              <w:spacing w:line="105" w:lineRule="exact" w:before="12"/>
              <w:ind w:right="21"/>
              <w:jc w:val="right"/>
              <w:rPr>
                <w:sz w:val="10"/>
              </w:rPr>
            </w:pPr>
            <w:r>
              <w:rPr>
                <w:w w:val="105"/>
                <w:sz w:val="10"/>
              </w:rPr>
              <w:t>0.00</w:t>
            </w:r>
          </w:p>
        </w:tc>
      </w:tr>
      <w:tr>
        <w:trPr>
          <w:trHeight w:val="136" w:hRule="atLeast"/>
        </w:trPr>
        <w:tc>
          <w:tcPr>
            <w:tcW w:w="2866" w:type="dxa"/>
          </w:tcPr>
          <w:p>
            <w:pPr>
              <w:pStyle w:val="TableParagraph"/>
              <w:spacing w:line="105" w:lineRule="exact" w:before="12"/>
              <w:ind w:left="26"/>
              <w:rPr>
                <w:sz w:val="10"/>
              </w:rPr>
            </w:pPr>
            <w:r>
              <w:rPr>
                <w:w w:val="110"/>
                <w:sz w:val="10"/>
              </w:rPr>
              <w:t>25 CAPITAL FACILITIES FUND</w:t>
            </w:r>
          </w:p>
        </w:tc>
        <w:tc>
          <w:tcPr>
            <w:tcW w:w="1143" w:type="dxa"/>
          </w:tcPr>
          <w:p>
            <w:pPr>
              <w:pStyle w:val="TableParagraph"/>
              <w:rPr>
                <w:rFonts w:ascii="Times New Roman"/>
                <w:sz w:val="8"/>
              </w:rPr>
            </w:pPr>
          </w:p>
        </w:tc>
        <w:tc>
          <w:tcPr>
            <w:tcW w:w="3177" w:type="dxa"/>
            <w:gridSpan w:val="3"/>
            <w:shd w:val="clear" w:color="auto" w:fill="BFBFBF"/>
          </w:tcPr>
          <w:p>
            <w:pPr>
              <w:pStyle w:val="TableParagraph"/>
              <w:rPr>
                <w:rFonts w:ascii="Times New Roman"/>
                <w:sz w:val="8"/>
              </w:rPr>
            </w:pP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36" w:hRule="atLeast"/>
        </w:trPr>
        <w:tc>
          <w:tcPr>
            <w:tcW w:w="2866" w:type="dxa"/>
          </w:tcPr>
          <w:p>
            <w:pPr>
              <w:pStyle w:val="TableParagraph"/>
              <w:spacing w:line="105" w:lineRule="exact" w:before="12"/>
              <w:ind w:left="245"/>
              <w:rPr>
                <w:sz w:val="10"/>
              </w:rPr>
            </w:pPr>
            <w:r>
              <w:rPr>
                <w:w w:val="110"/>
                <w:sz w:val="10"/>
              </w:rPr>
              <w:t>Expenditure Detail</w:t>
            </w:r>
          </w:p>
        </w:tc>
        <w:tc>
          <w:tcPr>
            <w:tcW w:w="1143" w:type="dxa"/>
          </w:tcPr>
          <w:p>
            <w:pPr>
              <w:pStyle w:val="TableParagraph"/>
              <w:spacing w:line="105" w:lineRule="exact" w:before="12"/>
              <w:ind w:right="123"/>
              <w:jc w:val="right"/>
              <w:rPr>
                <w:sz w:val="10"/>
              </w:rPr>
            </w:pPr>
            <w:r>
              <w:rPr>
                <w:w w:val="105"/>
                <w:sz w:val="10"/>
              </w:rPr>
              <w:t>0.00</w:t>
            </w:r>
          </w:p>
        </w:tc>
        <w:tc>
          <w:tcPr>
            <w:tcW w:w="3177" w:type="dxa"/>
            <w:gridSpan w:val="3"/>
            <w:shd w:val="clear" w:color="auto" w:fill="BFBFBF"/>
          </w:tcPr>
          <w:p>
            <w:pPr>
              <w:pStyle w:val="TableParagraph"/>
              <w:spacing w:line="105" w:lineRule="exact" w:before="12"/>
              <w:ind w:left="743"/>
              <w:rPr>
                <w:sz w:val="10"/>
              </w:rPr>
            </w:pPr>
            <w:r>
              <w:rPr>
                <w:w w:val="110"/>
                <w:sz w:val="10"/>
              </w:rPr>
              <w:t>0.00</w:t>
            </w: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36" w:hRule="atLeast"/>
        </w:trPr>
        <w:tc>
          <w:tcPr>
            <w:tcW w:w="2866" w:type="dxa"/>
          </w:tcPr>
          <w:p>
            <w:pPr>
              <w:pStyle w:val="TableParagraph"/>
              <w:spacing w:line="105" w:lineRule="exact" w:before="12"/>
              <w:ind w:left="245"/>
              <w:rPr>
                <w:sz w:val="10"/>
              </w:rPr>
            </w:pPr>
            <w:r>
              <w:rPr>
                <w:w w:val="110"/>
                <w:sz w:val="10"/>
              </w:rPr>
              <w:t>Other Sources/Uses Detail</w:t>
            </w:r>
          </w:p>
        </w:tc>
        <w:tc>
          <w:tcPr>
            <w:tcW w:w="1143" w:type="dxa"/>
          </w:tcPr>
          <w:p>
            <w:pPr>
              <w:pStyle w:val="TableParagraph"/>
              <w:rPr>
                <w:rFonts w:ascii="Times New Roman"/>
                <w:sz w:val="8"/>
              </w:rPr>
            </w:pPr>
          </w:p>
        </w:tc>
        <w:tc>
          <w:tcPr>
            <w:tcW w:w="3177" w:type="dxa"/>
            <w:gridSpan w:val="3"/>
            <w:shd w:val="clear" w:color="auto" w:fill="BFBFBF"/>
          </w:tcPr>
          <w:p>
            <w:pPr>
              <w:pStyle w:val="TableParagraph"/>
              <w:rPr>
                <w:rFonts w:ascii="Times New Roman"/>
                <w:sz w:val="8"/>
              </w:rPr>
            </w:pPr>
          </w:p>
        </w:tc>
        <w:tc>
          <w:tcPr>
            <w:tcW w:w="1079" w:type="dxa"/>
          </w:tcPr>
          <w:p>
            <w:pPr>
              <w:pStyle w:val="TableParagraph"/>
              <w:spacing w:line="105" w:lineRule="exact" w:before="12"/>
              <w:ind w:right="59"/>
              <w:jc w:val="right"/>
              <w:rPr>
                <w:sz w:val="10"/>
              </w:rPr>
            </w:pPr>
            <w:r>
              <w:rPr>
                <w:w w:val="105"/>
                <w:sz w:val="10"/>
              </w:rPr>
              <w:t>0.00</w:t>
            </w:r>
          </w:p>
        </w:tc>
        <w:tc>
          <w:tcPr>
            <w:tcW w:w="1079" w:type="dxa"/>
          </w:tcPr>
          <w:p>
            <w:pPr>
              <w:pStyle w:val="TableParagraph"/>
              <w:spacing w:line="105" w:lineRule="exact" w:before="12"/>
              <w:ind w:right="58"/>
              <w:jc w:val="right"/>
              <w:rPr>
                <w:sz w:val="10"/>
              </w:rPr>
            </w:pPr>
            <w:r>
              <w:rPr>
                <w:w w:val="105"/>
                <w:sz w:val="10"/>
              </w:rPr>
              <w:t>0.00</w:t>
            </w: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42" w:hRule="atLeast"/>
        </w:trPr>
        <w:tc>
          <w:tcPr>
            <w:tcW w:w="2866" w:type="dxa"/>
          </w:tcPr>
          <w:p>
            <w:pPr>
              <w:pStyle w:val="TableParagraph"/>
              <w:spacing w:line="110" w:lineRule="exact" w:before="12"/>
              <w:ind w:left="245"/>
              <w:rPr>
                <w:sz w:val="10"/>
              </w:rPr>
            </w:pPr>
            <w:r>
              <w:rPr>
                <w:w w:val="110"/>
                <w:sz w:val="10"/>
              </w:rPr>
              <w:t>Fund Reconciliation</w:t>
            </w:r>
          </w:p>
        </w:tc>
        <w:tc>
          <w:tcPr>
            <w:tcW w:w="1143" w:type="dxa"/>
          </w:tcPr>
          <w:p>
            <w:pPr>
              <w:pStyle w:val="TableParagraph"/>
              <w:rPr>
                <w:rFonts w:ascii="Times New Roman"/>
                <w:sz w:val="8"/>
              </w:rPr>
            </w:pPr>
          </w:p>
        </w:tc>
        <w:tc>
          <w:tcPr>
            <w:tcW w:w="3177" w:type="dxa"/>
            <w:gridSpan w:val="3"/>
            <w:shd w:val="clear" w:color="auto" w:fill="BFBFBF"/>
          </w:tcPr>
          <w:p>
            <w:pPr>
              <w:pStyle w:val="TableParagraph"/>
              <w:rPr>
                <w:rFonts w:ascii="Times New Roman"/>
                <w:sz w:val="8"/>
              </w:rPr>
            </w:pP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spacing w:line="110" w:lineRule="exact" w:before="12"/>
              <w:ind w:right="139"/>
              <w:jc w:val="right"/>
              <w:rPr>
                <w:sz w:val="10"/>
              </w:rPr>
            </w:pPr>
            <w:r>
              <w:rPr>
                <w:w w:val="105"/>
                <w:sz w:val="10"/>
              </w:rPr>
              <w:t>0.00</w:t>
            </w:r>
          </w:p>
        </w:tc>
        <w:tc>
          <w:tcPr>
            <w:tcW w:w="962" w:type="dxa"/>
          </w:tcPr>
          <w:p>
            <w:pPr>
              <w:pStyle w:val="TableParagraph"/>
              <w:spacing w:line="110" w:lineRule="exact" w:before="12"/>
              <w:ind w:right="21"/>
              <w:jc w:val="right"/>
              <w:rPr>
                <w:sz w:val="10"/>
              </w:rPr>
            </w:pPr>
            <w:r>
              <w:rPr>
                <w:w w:val="105"/>
                <w:sz w:val="10"/>
              </w:rPr>
              <w:t>0.00</w:t>
            </w:r>
          </w:p>
        </w:tc>
      </w:tr>
      <w:tr>
        <w:trPr>
          <w:trHeight w:val="131" w:hRule="atLeast"/>
        </w:trPr>
        <w:tc>
          <w:tcPr>
            <w:tcW w:w="2866" w:type="dxa"/>
          </w:tcPr>
          <w:p>
            <w:pPr>
              <w:pStyle w:val="TableParagraph"/>
              <w:spacing w:line="103" w:lineRule="exact" w:before="9"/>
              <w:ind w:left="26"/>
              <w:rPr>
                <w:sz w:val="10"/>
              </w:rPr>
            </w:pPr>
            <w:r>
              <w:rPr>
                <w:sz w:val="10"/>
              </w:rPr>
              <w:t>30 STATE SCHOOL BUILDING LEASE/PURCHASE FUND</w:t>
            </w:r>
          </w:p>
        </w:tc>
        <w:tc>
          <w:tcPr>
            <w:tcW w:w="1143" w:type="dxa"/>
          </w:tcPr>
          <w:p>
            <w:pPr>
              <w:pStyle w:val="TableParagraph"/>
              <w:rPr>
                <w:rFonts w:ascii="Times New Roman"/>
                <w:sz w:val="6"/>
              </w:rPr>
            </w:pPr>
          </w:p>
        </w:tc>
        <w:tc>
          <w:tcPr>
            <w:tcW w:w="3177" w:type="dxa"/>
            <w:gridSpan w:val="3"/>
            <w:shd w:val="clear" w:color="auto" w:fill="BFBFBF"/>
          </w:tcPr>
          <w:p>
            <w:pPr>
              <w:pStyle w:val="TableParagraph"/>
              <w:rPr>
                <w:rFonts w:ascii="Times New Roman"/>
                <w:sz w:val="6"/>
              </w:rPr>
            </w:pPr>
          </w:p>
        </w:tc>
        <w:tc>
          <w:tcPr>
            <w:tcW w:w="1079" w:type="dxa"/>
          </w:tcPr>
          <w:p>
            <w:pPr>
              <w:pStyle w:val="TableParagraph"/>
              <w:rPr>
                <w:rFonts w:ascii="Times New Roman"/>
                <w:sz w:val="6"/>
              </w:rPr>
            </w:pPr>
          </w:p>
        </w:tc>
        <w:tc>
          <w:tcPr>
            <w:tcW w:w="1079" w:type="dxa"/>
          </w:tcPr>
          <w:p>
            <w:pPr>
              <w:pStyle w:val="TableParagraph"/>
              <w:rPr>
                <w:rFonts w:ascii="Times New Roman"/>
                <w:sz w:val="6"/>
              </w:rPr>
            </w:pPr>
          </w:p>
        </w:tc>
        <w:tc>
          <w:tcPr>
            <w:tcW w:w="1161" w:type="dxa"/>
          </w:tcPr>
          <w:p>
            <w:pPr>
              <w:pStyle w:val="TableParagraph"/>
              <w:rPr>
                <w:rFonts w:ascii="Times New Roman"/>
                <w:sz w:val="6"/>
              </w:rPr>
            </w:pPr>
          </w:p>
        </w:tc>
        <w:tc>
          <w:tcPr>
            <w:tcW w:w="962" w:type="dxa"/>
          </w:tcPr>
          <w:p>
            <w:pPr>
              <w:pStyle w:val="TableParagraph"/>
              <w:rPr>
                <w:rFonts w:ascii="Times New Roman"/>
                <w:sz w:val="6"/>
              </w:rPr>
            </w:pPr>
          </w:p>
        </w:tc>
      </w:tr>
      <w:tr>
        <w:trPr>
          <w:trHeight w:val="136" w:hRule="atLeast"/>
        </w:trPr>
        <w:tc>
          <w:tcPr>
            <w:tcW w:w="2866" w:type="dxa"/>
          </w:tcPr>
          <w:p>
            <w:pPr>
              <w:pStyle w:val="TableParagraph"/>
              <w:spacing w:line="105" w:lineRule="exact" w:before="11"/>
              <w:ind w:left="245"/>
              <w:rPr>
                <w:sz w:val="10"/>
              </w:rPr>
            </w:pPr>
            <w:r>
              <w:rPr>
                <w:w w:val="110"/>
                <w:sz w:val="10"/>
              </w:rPr>
              <w:t>Expenditure Detail</w:t>
            </w:r>
          </w:p>
        </w:tc>
        <w:tc>
          <w:tcPr>
            <w:tcW w:w="1143" w:type="dxa"/>
          </w:tcPr>
          <w:p>
            <w:pPr>
              <w:pStyle w:val="TableParagraph"/>
              <w:spacing w:line="105" w:lineRule="exact" w:before="11"/>
              <w:ind w:right="123"/>
              <w:jc w:val="right"/>
              <w:rPr>
                <w:sz w:val="10"/>
              </w:rPr>
            </w:pPr>
            <w:r>
              <w:rPr>
                <w:w w:val="105"/>
                <w:sz w:val="10"/>
              </w:rPr>
              <w:t>0.00</w:t>
            </w:r>
          </w:p>
        </w:tc>
        <w:tc>
          <w:tcPr>
            <w:tcW w:w="3177" w:type="dxa"/>
            <w:gridSpan w:val="3"/>
            <w:shd w:val="clear" w:color="auto" w:fill="BFBFBF"/>
          </w:tcPr>
          <w:p>
            <w:pPr>
              <w:pStyle w:val="TableParagraph"/>
              <w:spacing w:line="105" w:lineRule="exact" w:before="11"/>
              <w:ind w:left="743"/>
              <w:rPr>
                <w:sz w:val="10"/>
              </w:rPr>
            </w:pPr>
            <w:r>
              <w:rPr>
                <w:w w:val="110"/>
                <w:sz w:val="10"/>
              </w:rPr>
              <w:t>0.00</w:t>
            </w: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36" w:hRule="atLeast"/>
        </w:trPr>
        <w:tc>
          <w:tcPr>
            <w:tcW w:w="2866" w:type="dxa"/>
          </w:tcPr>
          <w:p>
            <w:pPr>
              <w:pStyle w:val="TableParagraph"/>
              <w:spacing w:line="105" w:lineRule="exact" w:before="12"/>
              <w:ind w:left="245"/>
              <w:rPr>
                <w:sz w:val="10"/>
              </w:rPr>
            </w:pPr>
            <w:r>
              <w:rPr>
                <w:w w:val="110"/>
                <w:sz w:val="10"/>
              </w:rPr>
              <w:t>Other Sources/Uses Detail</w:t>
            </w:r>
          </w:p>
        </w:tc>
        <w:tc>
          <w:tcPr>
            <w:tcW w:w="1143" w:type="dxa"/>
          </w:tcPr>
          <w:p>
            <w:pPr>
              <w:pStyle w:val="TableParagraph"/>
              <w:rPr>
                <w:rFonts w:ascii="Times New Roman"/>
                <w:sz w:val="8"/>
              </w:rPr>
            </w:pPr>
          </w:p>
        </w:tc>
        <w:tc>
          <w:tcPr>
            <w:tcW w:w="3177" w:type="dxa"/>
            <w:gridSpan w:val="3"/>
            <w:shd w:val="clear" w:color="auto" w:fill="BFBFBF"/>
          </w:tcPr>
          <w:p>
            <w:pPr>
              <w:pStyle w:val="TableParagraph"/>
              <w:rPr>
                <w:rFonts w:ascii="Times New Roman"/>
                <w:sz w:val="8"/>
              </w:rPr>
            </w:pPr>
          </w:p>
        </w:tc>
        <w:tc>
          <w:tcPr>
            <w:tcW w:w="1079" w:type="dxa"/>
          </w:tcPr>
          <w:p>
            <w:pPr>
              <w:pStyle w:val="TableParagraph"/>
              <w:spacing w:line="105" w:lineRule="exact" w:before="12"/>
              <w:ind w:right="59"/>
              <w:jc w:val="right"/>
              <w:rPr>
                <w:sz w:val="10"/>
              </w:rPr>
            </w:pPr>
            <w:r>
              <w:rPr>
                <w:w w:val="105"/>
                <w:sz w:val="10"/>
              </w:rPr>
              <w:t>0.00</w:t>
            </w:r>
          </w:p>
        </w:tc>
        <w:tc>
          <w:tcPr>
            <w:tcW w:w="1079" w:type="dxa"/>
          </w:tcPr>
          <w:p>
            <w:pPr>
              <w:pStyle w:val="TableParagraph"/>
              <w:spacing w:line="105" w:lineRule="exact" w:before="12"/>
              <w:ind w:right="58"/>
              <w:jc w:val="right"/>
              <w:rPr>
                <w:sz w:val="10"/>
              </w:rPr>
            </w:pPr>
            <w:r>
              <w:rPr>
                <w:w w:val="105"/>
                <w:sz w:val="10"/>
              </w:rPr>
              <w:t>0.00</w:t>
            </w: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36" w:hRule="atLeast"/>
        </w:trPr>
        <w:tc>
          <w:tcPr>
            <w:tcW w:w="2866" w:type="dxa"/>
          </w:tcPr>
          <w:p>
            <w:pPr>
              <w:pStyle w:val="TableParagraph"/>
              <w:spacing w:line="105" w:lineRule="exact" w:before="12"/>
              <w:ind w:left="245"/>
              <w:rPr>
                <w:sz w:val="10"/>
              </w:rPr>
            </w:pPr>
            <w:r>
              <w:rPr>
                <w:w w:val="110"/>
                <w:sz w:val="10"/>
              </w:rPr>
              <w:t>Fund Reconciliation</w:t>
            </w:r>
          </w:p>
        </w:tc>
        <w:tc>
          <w:tcPr>
            <w:tcW w:w="1143" w:type="dxa"/>
          </w:tcPr>
          <w:p>
            <w:pPr>
              <w:pStyle w:val="TableParagraph"/>
              <w:rPr>
                <w:rFonts w:ascii="Times New Roman"/>
                <w:sz w:val="8"/>
              </w:rPr>
            </w:pPr>
          </w:p>
        </w:tc>
        <w:tc>
          <w:tcPr>
            <w:tcW w:w="3177" w:type="dxa"/>
            <w:gridSpan w:val="3"/>
            <w:shd w:val="clear" w:color="auto" w:fill="BFBFBF"/>
          </w:tcPr>
          <w:p>
            <w:pPr>
              <w:pStyle w:val="TableParagraph"/>
              <w:rPr>
                <w:rFonts w:ascii="Times New Roman"/>
                <w:sz w:val="8"/>
              </w:rPr>
            </w:pP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spacing w:line="105" w:lineRule="exact" w:before="12"/>
              <w:ind w:right="139"/>
              <w:jc w:val="right"/>
              <w:rPr>
                <w:sz w:val="10"/>
              </w:rPr>
            </w:pPr>
            <w:r>
              <w:rPr>
                <w:w w:val="105"/>
                <w:sz w:val="10"/>
              </w:rPr>
              <w:t>0.00</w:t>
            </w:r>
          </w:p>
        </w:tc>
        <w:tc>
          <w:tcPr>
            <w:tcW w:w="962" w:type="dxa"/>
          </w:tcPr>
          <w:p>
            <w:pPr>
              <w:pStyle w:val="TableParagraph"/>
              <w:spacing w:line="105" w:lineRule="exact" w:before="12"/>
              <w:ind w:right="21"/>
              <w:jc w:val="right"/>
              <w:rPr>
                <w:sz w:val="10"/>
              </w:rPr>
            </w:pPr>
            <w:r>
              <w:rPr>
                <w:w w:val="105"/>
                <w:sz w:val="10"/>
              </w:rPr>
              <w:t>0.00</w:t>
            </w:r>
          </w:p>
        </w:tc>
      </w:tr>
      <w:tr>
        <w:trPr>
          <w:trHeight w:val="136" w:hRule="atLeast"/>
        </w:trPr>
        <w:tc>
          <w:tcPr>
            <w:tcW w:w="2866" w:type="dxa"/>
          </w:tcPr>
          <w:p>
            <w:pPr>
              <w:pStyle w:val="TableParagraph"/>
              <w:spacing w:line="105" w:lineRule="exact" w:before="12"/>
              <w:ind w:left="26"/>
              <w:rPr>
                <w:sz w:val="10"/>
              </w:rPr>
            </w:pPr>
            <w:r>
              <w:rPr>
                <w:w w:val="110"/>
                <w:sz w:val="10"/>
              </w:rPr>
              <w:t>35 COUNTY SCHOOL FACILITIES FUND</w:t>
            </w:r>
          </w:p>
        </w:tc>
        <w:tc>
          <w:tcPr>
            <w:tcW w:w="1143" w:type="dxa"/>
          </w:tcPr>
          <w:p>
            <w:pPr>
              <w:pStyle w:val="TableParagraph"/>
              <w:rPr>
                <w:rFonts w:ascii="Times New Roman"/>
                <w:sz w:val="8"/>
              </w:rPr>
            </w:pPr>
          </w:p>
        </w:tc>
        <w:tc>
          <w:tcPr>
            <w:tcW w:w="3177" w:type="dxa"/>
            <w:gridSpan w:val="3"/>
            <w:shd w:val="clear" w:color="auto" w:fill="BFBFBF"/>
          </w:tcPr>
          <w:p>
            <w:pPr>
              <w:pStyle w:val="TableParagraph"/>
              <w:rPr>
                <w:rFonts w:ascii="Times New Roman"/>
                <w:sz w:val="8"/>
              </w:rPr>
            </w:pP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36" w:hRule="atLeast"/>
        </w:trPr>
        <w:tc>
          <w:tcPr>
            <w:tcW w:w="2866" w:type="dxa"/>
          </w:tcPr>
          <w:p>
            <w:pPr>
              <w:pStyle w:val="TableParagraph"/>
              <w:spacing w:line="105" w:lineRule="exact" w:before="12"/>
              <w:ind w:left="245"/>
              <w:rPr>
                <w:sz w:val="10"/>
              </w:rPr>
            </w:pPr>
            <w:r>
              <w:rPr>
                <w:w w:val="110"/>
                <w:sz w:val="10"/>
              </w:rPr>
              <w:t>Expenditure Detail</w:t>
            </w:r>
          </w:p>
        </w:tc>
        <w:tc>
          <w:tcPr>
            <w:tcW w:w="1143" w:type="dxa"/>
          </w:tcPr>
          <w:p>
            <w:pPr>
              <w:pStyle w:val="TableParagraph"/>
              <w:spacing w:line="105" w:lineRule="exact" w:before="12"/>
              <w:ind w:right="123"/>
              <w:jc w:val="right"/>
              <w:rPr>
                <w:sz w:val="10"/>
              </w:rPr>
            </w:pPr>
            <w:r>
              <w:rPr>
                <w:w w:val="105"/>
                <w:sz w:val="10"/>
              </w:rPr>
              <w:t>0.00</w:t>
            </w:r>
          </w:p>
        </w:tc>
        <w:tc>
          <w:tcPr>
            <w:tcW w:w="3177" w:type="dxa"/>
            <w:gridSpan w:val="3"/>
            <w:shd w:val="clear" w:color="auto" w:fill="BFBFBF"/>
          </w:tcPr>
          <w:p>
            <w:pPr>
              <w:pStyle w:val="TableParagraph"/>
              <w:spacing w:line="105" w:lineRule="exact" w:before="12"/>
              <w:ind w:left="743"/>
              <w:rPr>
                <w:sz w:val="10"/>
              </w:rPr>
            </w:pPr>
            <w:r>
              <w:rPr>
                <w:w w:val="110"/>
                <w:sz w:val="10"/>
              </w:rPr>
              <w:t>0.00</w:t>
            </w: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36" w:hRule="atLeast"/>
        </w:trPr>
        <w:tc>
          <w:tcPr>
            <w:tcW w:w="2866" w:type="dxa"/>
          </w:tcPr>
          <w:p>
            <w:pPr>
              <w:pStyle w:val="TableParagraph"/>
              <w:spacing w:line="105" w:lineRule="exact" w:before="12"/>
              <w:ind w:left="245"/>
              <w:rPr>
                <w:sz w:val="10"/>
              </w:rPr>
            </w:pPr>
            <w:r>
              <w:rPr>
                <w:w w:val="110"/>
                <w:sz w:val="10"/>
              </w:rPr>
              <w:t>Other Sources/Uses Detail</w:t>
            </w:r>
          </w:p>
        </w:tc>
        <w:tc>
          <w:tcPr>
            <w:tcW w:w="1143" w:type="dxa"/>
          </w:tcPr>
          <w:p>
            <w:pPr>
              <w:pStyle w:val="TableParagraph"/>
              <w:rPr>
                <w:rFonts w:ascii="Times New Roman"/>
                <w:sz w:val="8"/>
              </w:rPr>
            </w:pPr>
          </w:p>
        </w:tc>
        <w:tc>
          <w:tcPr>
            <w:tcW w:w="3177" w:type="dxa"/>
            <w:gridSpan w:val="3"/>
            <w:shd w:val="clear" w:color="auto" w:fill="BFBFBF"/>
          </w:tcPr>
          <w:p>
            <w:pPr>
              <w:pStyle w:val="TableParagraph"/>
              <w:rPr>
                <w:rFonts w:ascii="Times New Roman"/>
                <w:sz w:val="8"/>
              </w:rPr>
            </w:pPr>
          </w:p>
        </w:tc>
        <w:tc>
          <w:tcPr>
            <w:tcW w:w="1079" w:type="dxa"/>
          </w:tcPr>
          <w:p>
            <w:pPr>
              <w:pStyle w:val="TableParagraph"/>
              <w:spacing w:line="105" w:lineRule="exact" w:before="12"/>
              <w:ind w:right="59"/>
              <w:jc w:val="right"/>
              <w:rPr>
                <w:sz w:val="10"/>
              </w:rPr>
            </w:pPr>
            <w:r>
              <w:rPr>
                <w:w w:val="105"/>
                <w:sz w:val="10"/>
              </w:rPr>
              <w:t>0.00</w:t>
            </w:r>
          </w:p>
        </w:tc>
        <w:tc>
          <w:tcPr>
            <w:tcW w:w="1079" w:type="dxa"/>
          </w:tcPr>
          <w:p>
            <w:pPr>
              <w:pStyle w:val="TableParagraph"/>
              <w:spacing w:line="105" w:lineRule="exact" w:before="12"/>
              <w:ind w:right="58"/>
              <w:jc w:val="right"/>
              <w:rPr>
                <w:sz w:val="10"/>
              </w:rPr>
            </w:pPr>
            <w:r>
              <w:rPr>
                <w:w w:val="105"/>
                <w:sz w:val="10"/>
              </w:rPr>
              <w:t>0.00</w:t>
            </w: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48" w:hRule="atLeast"/>
        </w:trPr>
        <w:tc>
          <w:tcPr>
            <w:tcW w:w="2866" w:type="dxa"/>
          </w:tcPr>
          <w:p>
            <w:pPr>
              <w:pStyle w:val="TableParagraph"/>
              <w:spacing w:before="12"/>
              <w:ind w:left="245"/>
              <w:rPr>
                <w:sz w:val="10"/>
              </w:rPr>
            </w:pPr>
            <w:r>
              <w:rPr>
                <w:w w:val="110"/>
                <w:sz w:val="10"/>
              </w:rPr>
              <w:t>Fund Reconciliation</w:t>
            </w:r>
          </w:p>
        </w:tc>
        <w:tc>
          <w:tcPr>
            <w:tcW w:w="1143" w:type="dxa"/>
          </w:tcPr>
          <w:p>
            <w:pPr>
              <w:pStyle w:val="TableParagraph"/>
              <w:rPr>
                <w:rFonts w:ascii="Times New Roman"/>
                <w:sz w:val="8"/>
              </w:rPr>
            </w:pPr>
          </w:p>
        </w:tc>
        <w:tc>
          <w:tcPr>
            <w:tcW w:w="3177" w:type="dxa"/>
            <w:gridSpan w:val="3"/>
            <w:shd w:val="clear" w:color="auto" w:fill="BFBFBF"/>
          </w:tcPr>
          <w:p>
            <w:pPr>
              <w:pStyle w:val="TableParagraph"/>
              <w:rPr>
                <w:rFonts w:ascii="Times New Roman"/>
                <w:sz w:val="8"/>
              </w:rPr>
            </w:pP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spacing w:before="12"/>
              <w:ind w:right="139"/>
              <w:jc w:val="right"/>
              <w:rPr>
                <w:sz w:val="10"/>
              </w:rPr>
            </w:pPr>
            <w:r>
              <w:rPr>
                <w:w w:val="105"/>
                <w:sz w:val="10"/>
              </w:rPr>
              <w:t>0.00</w:t>
            </w:r>
          </w:p>
        </w:tc>
        <w:tc>
          <w:tcPr>
            <w:tcW w:w="962" w:type="dxa"/>
          </w:tcPr>
          <w:p>
            <w:pPr>
              <w:pStyle w:val="TableParagraph"/>
              <w:spacing w:before="12"/>
              <w:ind w:right="21"/>
              <w:jc w:val="right"/>
              <w:rPr>
                <w:sz w:val="10"/>
              </w:rPr>
            </w:pPr>
            <w:r>
              <w:rPr>
                <w:w w:val="105"/>
                <w:sz w:val="10"/>
              </w:rPr>
              <w:t>0.00</w:t>
            </w:r>
          </w:p>
        </w:tc>
      </w:tr>
      <w:tr>
        <w:trPr>
          <w:trHeight w:val="124" w:hRule="atLeast"/>
        </w:trPr>
        <w:tc>
          <w:tcPr>
            <w:tcW w:w="2866" w:type="dxa"/>
          </w:tcPr>
          <w:p>
            <w:pPr>
              <w:pStyle w:val="TableParagraph"/>
              <w:spacing w:line="81" w:lineRule="exact" w:before="23"/>
              <w:ind w:left="26"/>
              <w:rPr>
                <w:sz w:val="8"/>
              </w:rPr>
            </w:pPr>
            <w:r>
              <w:rPr>
                <w:w w:val="110"/>
                <w:sz w:val="8"/>
              </w:rPr>
              <w:t>40 SPECIAL RESERVE FUND FOR CAPITAL OUTLAY PROJECTS</w:t>
            </w:r>
          </w:p>
        </w:tc>
        <w:tc>
          <w:tcPr>
            <w:tcW w:w="1143" w:type="dxa"/>
          </w:tcPr>
          <w:p>
            <w:pPr>
              <w:pStyle w:val="TableParagraph"/>
              <w:rPr>
                <w:rFonts w:ascii="Times New Roman"/>
                <w:sz w:val="6"/>
              </w:rPr>
            </w:pPr>
          </w:p>
        </w:tc>
        <w:tc>
          <w:tcPr>
            <w:tcW w:w="3177" w:type="dxa"/>
            <w:gridSpan w:val="3"/>
            <w:shd w:val="clear" w:color="auto" w:fill="BFBFBF"/>
          </w:tcPr>
          <w:p>
            <w:pPr>
              <w:pStyle w:val="TableParagraph"/>
              <w:rPr>
                <w:rFonts w:ascii="Times New Roman"/>
                <w:sz w:val="6"/>
              </w:rPr>
            </w:pPr>
          </w:p>
        </w:tc>
        <w:tc>
          <w:tcPr>
            <w:tcW w:w="1079" w:type="dxa"/>
          </w:tcPr>
          <w:p>
            <w:pPr>
              <w:pStyle w:val="TableParagraph"/>
              <w:rPr>
                <w:rFonts w:ascii="Times New Roman"/>
                <w:sz w:val="6"/>
              </w:rPr>
            </w:pPr>
          </w:p>
        </w:tc>
        <w:tc>
          <w:tcPr>
            <w:tcW w:w="1079" w:type="dxa"/>
          </w:tcPr>
          <w:p>
            <w:pPr>
              <w:pStyle w:val="TableParagraph"/>
              <w:rPr>
                <w:rFonts w:ascii="Times New Roman"/>
                <w:sz w:val="6"/>
              </w:rPr>
            </w:pPr>
          </w:p>
        </w:tc>
        <w:tc>
          <w:tcPr>
            <w:tcW w:w="1161" w:type="dxa"/>
          </w:tcPr>
          <w:p>
            <w:pPr>
              <w:pStyle w:val="TableParagraph"/>
              <w:rPr>
                <w:rFonts w:ascii="Times New Roman"/>
                <w:sz w:val="6"/>
              </w:rPr>
            </w:pPr>
          </w:p>
        </w:tc>
        <w:tc>
          <w:tcPr>
            <w:tcW w:w="962" w:type="dxa"/>
          </w:tcPr>
          <w:p>
            <w:pPr>
              <w:pStyle w:val="TableParagraph"/>
              <w:rPr>
                <w:rFonts w:ascii="Times New Roman"/>
                <w:sz w:val="6"/>
              </w:rPr>
            </w:pPr>
          </w:p>
        </w:tc>
      </w:tr>
      <w:tr>
        <w:trPr>
          <w:trHeight w:val="136" w:hRule="atLeast"/>
        </w:trPr>
        <w:tc>
          <w:tcPr>
            <w:tcW w:w="2866" w:type="dxa"/>
          </w:tcPr>
          <w:p>
            <w:pPr>
              <w:pStyle w:val="TableParagraph"/>
              <w:spacing w:line="105" w:lineRule="exact" w:before="12"/>
              <w:ind w:left="245"/>
              <w:rPr>
                <w:sz w:val="10"/>
              </w:rPr>
            </w:pPr>
            <w:r>
              <w:rPr>
                <w:w w:val="110"/>
                <w:sz w:val="10"/>
              </w:rPr>
              <w:t>Expenditure Detail</w:t>
            </w:r>
          </w:p>
        </w:tc>
        <w:tc>
          <w:tcPr>
            <w:tcW w:w="1143" w:type="dxa"/>
          </w:tcPr>
          <w:p>
            <w:pPr>
              <w:pStyle w:val="TableParagraph"/>
              <w:spacing w:line="105" w:lineRule="exact" w:before="12"/>
              <w:ind w:right="123"/>
              <w:jc w:val="right"/>
              <w:rPr>
                <w:sz w:val="10"/>
              </w:rPr>
            </w:pPr>
            <w:r>
              <w:rPr>
                <w:w w:val="105"/>
                <w:sz w:val="10"/>
              </w:rPr>
              <w:t>0.00</w:t>
            </w:r>
          </w:p>
        </w:tc>
        <w:tc>
          <w:tcPr>
            <w:tcW w:w="3177" w:type="dxa"/>
            <w:gridSpan w:val="3"/>
            <w:shd w:val="clear" w:color="auto" w:fill="BFBFBF"/>
          </w:tcPr>
          <w:p>
            <w:pPr>
              <w:pStyle w:val="TableParagraph"/>
              <w:spacing w:line="105" w:lineRule="exact" w:before="12"/>
              <w:ind w:left="743"/>
              <w:rPr>
                <w:sz w:val="10"/>
              </w:rPr>
            </w:pPr>
            <w:r>
              <w:rPr>
                <w:w w:val="110"/>
                <w:sz w:val="10"/>
              </w:rPr>
              <w:t>0.00</w:t>
            </w: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36" w:hRule="atLeast"/>
        </w:trPr>
        <w:tc>
          <w:tcPr>
            <w:tcW w:w="2866" w:type="dxa"/>
          </w:tcPr>
          <w:p>
            <w:pPr>
              <w:pStyle w:val="TableParagraph"/>
              <w:spacing w:line="105" w:lineRule="exact" w:before="12"/>
              <w:ind w:left="245"/>
              <w:rPr>
                <w:sz w:val="10"/>
              </w:rPr>
            </w:pPr>
            <w:r>
              <w:rPr>
                <w:w w:val="110"/>
                <w:sz w:val="10"/>
              </w:rPr>
              <w:t>Other Sources/Uses Detail</w:t>
            </w:r>
          </w:p>
        </w:tc>
        <w:tc>
          <w:tcPr>
            <w:tcW w:w="1143" w:type="dxa"/>
          </w:tcPr>
          <w:p>
            <w:pPr>
              <w:pStyle w:val="TableParagraph"/>
              <w:rPr>
                <w:rFonts w:ascii="Times New Roman"/>
                <w:sz w:val="8"/>
              </w:rPr>
            </w:pPr>
          </w:p>
        </w:tc>
        <w:tc>
          <w:tcPr>
            <w:tcW w:w="3177" w:type="dxa"/>
            <w:gridSpan w:val="3"/>
            <w:shd w:val="clear" w:color="auto" w:fill="BFBFBF"/>
          </w:tcPr>
          <w:p>
            <w:pPr>
              <w:pStyle w:val="TableParagraph"/>
              <w:rPr>
                <w:rFonts w:ascii="Times New Roman"/>
                <w:sz w:val="8"/>
              </w:rPr>
            </w:pPr>
          </w:p>
        </w:tc>
        <w:tc>
          <w:tcPr>
            <w:tcW w:w="1079" w:type="dxa"/>
          </w:tcPr>
          <w:p>
            <w:pPr>
              <w:pStyle w:val="TableParagraph"/>
              <w:spacing w:line="105" w:lineRule="exact" w:before="12"/>
              <w:ind w:right="59"/>
              <w:jc w:val="right"/>
              <w:rPr>
                <w:sz w:val="10"/>
              </w:rPr>
            </w:pPr>
            <w:r>
              <w:rPr>
                <w:w w:val="105"/>
                <w:sz w:val="10"/>
              </w:rPr>
              <w:t>0.00</w:t>
            </w:r>
          </w:p>
        </w:tc>
        <w:tc>
          <w:tcPr>
            <w:tcW w:w="1079" w:type="dxa"/>
          </w:tcPr>
          <w:p>
            <w:pPr>
              <w:pStyle w:val="TableParagraph"/>
              <w:spacing w:line="105" w:lineRule="exact" w:before="12"/>
              <w:ind w:right="58"/>
              <w:jc w:val="right"/>
              <w:rPr>
                <w:sz w:val="10"/>
              </w:rPr>
            </w:pPr>
            <w:r>
              <w:rPr>
                <w:w w:val="105"/>
                <w:sz w:val="10"/>
              </w:rPr>
              <w:t>0.00</w:t>
            </w: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42" w:hRule="atLeast"/>
        </w:trPr>
        <w:tc>
          <w:tcPr>
            <w:tcW w:w="2866" w:type="dxa"/>
          </w:tcPr>
          <w:p>
            <w:pPr>
              <w:pStyle w:val="TableParagraph"/>
              <w:spacing w:line="110" w:lineRule="exact" w:before="12"/>
              <w:ind w:left="245"/>
              <w:rPr>
                <w:sz w:val="10"/>
              </w:rPr>
            </w:pPr>
            <w:r>
              <w:rPr>
                <w:w w:val="110"/>
                <w:sz w:val="10"/>
              </w:rPr>
              <w:t>Fund Reconciliation</w:t>
            </w:r>
          </w:p>
        </w:tc>
        <w:tc>
          <w:tcPr>
            <w:tcW w:w="1143" w:type="dxa"/>
          </w:tcPr>
          <w:p>
            <w:pPr>
              <w:pStyle w:val="TableParagraph"/>
              <w:rPr>
                <w:rFonts w:ascii="Times New Roman"/>
                <w:sz w:val="8"/>
              </w:rPr>
            </w:pPr>
          </w:p>
        </w:tc>
        <w:tc>
          <w:tcPr>
            <w:tcW w:w="3177" w:type="dxa"/>
            <w:gridSpan w:val="3"/>
            <w:shd w:val="clear" w:color="auto" w:fill="BFBFBF"/>
          </w:tcPr>
          <w:p>
            <w:pPr>
              <w:pStyle w:val="TableParagraph"/>
              <w:rPr>
                <w:rFonts w:ascii="Times New Roman"/>
                <w:sz w:val="8"/>
              </w:rPr>
            </w:pP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spacing w:line="110" w:lineRule="exact" w:before="12"/>
              <w:ind w:right="139"/>
              <w:jc w:val="right"/>
              <w:rPr>
                <w:sz w:val="10"/>
              </w:rPr>
            </w:pPr>
            <w:r>
              <w:rPr>
                <w:w w:val="105"/>
                <w:sz w:val="10"/>
              </w:rPr>
              <w:t>0.00</w:t>
            </w:r>
          </w:p>
        </w:tc>
        <w:tc>
          <w:tcPr>
            <w:tcW w:w="962" w:type="dxa"/>
          </w:tcPr>
          <w:p>
            <w:pPr>
              <w:pStyle w:val="TableParagraph"/>
              <w:spacing w:line="110" w:lineRule="exact" w:before="12"/>
              <w:ind w:right="21"/>
              <w:jc w:val="right"/>
              <w:rPr>
                <w:sz w:val="10"/>
              </w:rPr>
            </w:pPr>
            <w:r>
              <w:rPr>
                <w:w w:val="105"/>
                <w:sz w:val="10"/>
              </w:rPr>
              <w:t>0.00</w:t>
            </w:r>
          </w:p>
        </w:tc>
      </w:tr>
      <w:tr>
        <w:trPr>
          <w:trHeight w:val="131" w:hRule="atLeast"/>
        </w:trPr>
        <w:tc>
          <w:tcPr>
            <w:tcW w:w="2866" w:type="dxa"/>
          </w:tcPr>
          <w:p>
            <w:pPr>
              <w:pStyle w:val="TableParagraph"/>
              <w:spacing w:line="103" w:lineRule="exact" w:before="9"/>
              <w:ind w:left="26"/>
              <w:rPr>
                <w:sz w:val="10"/>
              </w:rPr>
            </w:pPr>
            <w:r>
              <w:rPr>
                <w:sz w:val="10"/>
              </w:rPr>
              <w:t>49 CAP PROJ FUND FOR BLENDED COMPONENT UNITS</w:t>
            </w:r>
          </w:p>
        </w:tc>
        <w:tc>
          <w:tcPr>
            <w:tcW w:w="1143" w:type="dxa"/>
          </w:tcPr>
          <w:p>
            <w:pPr>
              <w:pStyle w:val="TableParagraph"/>
              <w:rPr>
                <w:rFonts w:ascii="Times New Roman"/>
                <w:sz w:val="6"/>
              </w:rPr>
            </w:pPr>
          </w:p>
        </w:tc>
        <w:tc>
          <w:tcPr>
            <w:tcW w:w="3177" w:type="dxa"/>
            <w:gridSpan w:val="3"/>
            <w:shd w:val="clear" w:color="auto" w:fill="BFBFBF"/>
          </w:tcPr>
          <w:p>
            <w:pPr>
              <w:pStyle w:val="TableParagraph"/>
              <w:rPr>
                <w:rFonts w:ascii="Times New Roman"/>
                <w:sz w:val="6"/>
              </w:rPr>
            </w:pPr>
          </w:p>
        </w:tc>
        <w:tc>
          <w:tcPr>
            <w:tcW w:w="1079" w:type="dxa"/>
          </w:tcPr>
          <w:p>
            <w:pPr>
              <w:pStyle w:val="TableParagraph"/>
              <w:rPr>
                <w:rFonts w:ascii="Times New Roman"/>
                <w:sz w:val="6"/>
              </w:rPr>
            </w:pPr>
          </w:p>
        </w:tc>
        <w:tc>
          <w:tcPr>
            <w:tcW w:w="1079" w:type="dxa"/>
          </w:tcPr>
          <w:p>
            <w:pPr>
              <w:pStyle w:val="TableParagraph"/>
              <w:rPr>
                <w:rFonts w:ascii="Times New Roman"/>
                <w:sz w:val="6"/>
              </w:rPr>
            </w:pPr>
          </w:p>
        </w:tc>
        <w:tc>
          <w:tcPr>
            <w:tcW w:w="1161" w:type="dxa"/>
          </w:tcPr>
          <w:p>
            <w:pPr>
              <w:pStyle w:val="TableParagraph"/>
              <w:rPr>
                <w:rFonts w:ascii="Times New Roman"/>
                <w:sz w:val="6"/>
              </w:rPr>
            </w:pPr>
          </w:p>
        </w:tc>
        <w:tc>
          <w:tcPr>
            <w:tcW w:w="962" w:type="dxa"/>
          </w:tcPr>
          <w:p>
            <w:pPr>
              <w:pStyle w:val="TableParagraph"/>
              <w:rPr>
                <w:rFonts w:ascii="Times New Roman"/>
                <w:sz w:val="6"/>
              </w:rPr>
            </w:pPr>
          </w:p>
        </w:tc>
      </w:tr>
      <w:tr>
        <w:trPr>
          <w:trHeight w:val="136" w:hRule="atLeast"/>
        </w:trPr>
        <w:tc>
          <w:tcPr>
            <w:tcW w:w="2866" w:type="dxa"/>
          </w:tcPr>
          <w:p>
            <w:pPr>
              <w:pStyle w:val="TableParagraph"/>
              <w:spacing w:line="105" w:lineRule="exact" w:before="11"/>
              <w:ind w:left="245"/>
              <w:rPr>
                <w:sz w:val="10"/>
              </w:rPr>
            </w:pPr>
            <w:r>
              <w:rPr>
                <w:w w:val="110"/>
                <w:sz w:val="10"/>
              </w:rPr>
              <w:t>Expenditure Detail</w:t>
            </w:r>
          </w:p>
        </w:tc>
        <w:tc>
          <w:tcPr>
            <w:tcW w:w="1143" w:type="dxa"/>
          </w:tcPr>
          <w:p>
            <w:pPr>
              <w:pStyle w:val="TableParagraph"/>
              <w:spacing w:line="105" w:lineRule="exact" w:before="11"/>
              <w:ind w:right="123"/>
              <w:jc w:val="right"/>
              <w:rPr>
                <w:sz w:val="10"/>
              </w:rPr>
            </w:pPr>
            <w:r>
              <w:rPr>
                <w:w w:val="105"/>
                <w:sz w:val="10"/>
              </w:rPr>
              <w:t>0.00</w:t>
            </w:r>
          </w:p>
        </w:tc>
        <w:tc>
          <w:tcPr>
            <w:tcW w:w="3177" w:type="dxa"/>
            <w:gridSpan w:val="3"/>
            <w:shd w:val="clear" w:color="auto" w:fill="BFBFBF"/>
          </w:tcPr>
          <w:p>
            <w:pPr>
              <w:pStyle w:val="TableParagraph"/>
              <w:spacing w:line="105" w:lineRule="exact" w:before="11"/>
              <w:ind w:left="743"/>
              <w:rPr>
                <w:sz w:val="10"/>
              </w:rPr>
            </w:pPr>
            <w:r>
              <w:rPr>
                <w:w w:val="110"/>
                <w:sz w:val="10"/>
              </w:rPr>
              <w:t>0.00</w:t>
            </w: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36" w:hRule="atLeast"/>
        </w:trPr>
        <w:tc>
          <w:tcPr>
            <w:tcW w:w="2866" w:type="dxa"/>
          </w:tcPr>
          <w:p>
            <w:pPr>
              <w:pStyle w:val="TableParagraph"/>
              <w:spacing w:line="105" w:lineRule="exact" w:before="12"/>
              <w:ind w:left="245"/>
              <w:rPr>
                <w:sz w:val="10"/>
              </w:rPr>
            </w:pPr>
            <w:r>
              <w:rPr>
                <w:w w:val="110"/>
                <w:sz w:val="10"/>
              </w:rPr>
              <w:t>Other Sources/Uses Detail</w:t>
            </w:r>
          </w:p>
        </w:tc>
        <w:tc>
          <w:tcPr>
            <w:tcW w:w="1143" w:type="dxa"/>
          </w:tcPr>
          <w:p>
            <w:pPr>
              <w:pStyle w:val="TableParagraph"/>
              <w:rPr>
                <w:rFonts w:ascii="Times New Roman"/>
                <w:sz w:val="8"/>
              </w:rPr>
            </w:pPr>
          </w:p>
        </w:tc>
        <w:tc>
          <w:tcPr>
            <w:tcW w:w="3177" w:type="dxa"/>
            <w:gridSpan w:val="3"/>
            <w:shd w:val="clear" w:color="auto" w:fill="BFBFBF"/>
          </w:tcPr>
          <w:p>
            <w:pPr>
              <w:pStyle w:val="TableParagraph"/>
              <w:rPr>
                <w:rFonts w:ascii="Times New Roman"/>
                <w:sz w:val="8"/>
              </w:rPr>
            </w:pPr>
          </w:p>
        </w:tc>
        <w:tc>
          <w:tcPr>
            <w:tcW w:w="1079" w:type="dxa"/>
          </w:tcPr>
          <w:p>
            <w:pPr>
              <w:pStyle w:val="TableParagraph"/>
              <w:spacing w:line="105" w:lineRule="exact" w:before="12"/>
              <w:ind w:right="59"/>
              <w:jc w:val="right"/>
              <w:rPr>
                <w:sz w:val="10"/>
              </w:rPr>
            </w:pPr>
            <w:r>
              <w:rPr>
                <w:w w:val="105"/>
                <w:sz w:val="10"/>
              </w:rPr>
              <w:t>0.00</w:t>
            </w:r>
          </w:p>
        </w:tc>
        <w:tc>
          <w:tcPr>
            <w:tcW w:w="1079" w:type="dxa"/>
          </w:tcPr>
          <w:p>
            <w:pPr>
              <w:pStyle w:val="TableParagraph"/>
              <w:spacing w:line="105" w:lineRule="exact" w:before="12"/>
              <w:ind w:right="58"/>
              <w:jc w:val="right"/>
              <w:rPr>
                <w:sz w:val="10"/>
              </w:rPr>
            </w:pPr>
            <w:r>
              <w:rPr>
                <w:w w:val="105"/>
                <w:sz w:val="10"/>
              </w:rPr>
              <w:t>0.00</w:t>
            </w: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36" w:hRule="atLeast"/>
        </w:trPr>
        <w:tc>
          <w:tcPr>
            <w:tcW w:w="2866" w:type="dxa"/>
          </w:tcPr>
          <w:p>
            <w:pPr>
              <w:pStyle w:val="TableParagraph"/>
              <w:spacing w:line="105" w:lineRule="exact" w:before="12"/>
              <w:ind w:left="245"/>
              <w:rPr>
                <w:sz w:val="10"/>
              </w:rPr>
            </w:pPr>
            <w:r>
              <w:rPr>
                <w:w w:val="110"/>
                <w:sz w:val="10"/>
              </w:rPr>
              <w:t>Fund Reconciliation</w:t>
            </w:r>
          </w:p>
        </w:tc>
        <w:tc>
          <w:tcPr>
            <w:tcW w:w="1143" w:type="dxa"/>
            <w:shd w:val="clear" w:color="auto" w:fill="BFBFBF"/>
          </w:tcPr>
          <w:p>
            <w:pPr>
              <w:pStyle w:val="TableParagraph"/>
              <w:rPr>
                <w:rFonts w:ascii="Times New Roman"/>
                <w:sz w:val="8"/>
              </w:rPr>
            </w:pPr>
          </w:p>
        </w:tc>
        <w:tc>
          <w:tcPr>
            <w:tcW w:w="3177" w:type="dxa"/>
            <w:gridSpan w:val="3"/>
            <w:shd w:val="clear" w:color="auto" w:fill="BFBFBF"/>
          </w:tcPr>
          <w:p>
            <w:pPr>
              <w:pStyle w:val="TableParagraph"/>
              <w:rPr>
                <w:rFonts w:ascii="Times New Roman"/>
                <w:sz w:val="8"/>
              </w:rPr>
            </w:pP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spacing w:line="105" w:lineRule="exact" w:before="12"/>
              <w:ind w:right="139"/>
              <w:jc w:val="right"/>
              <w:rPr>
                <w:sz w:val="10"/>
              </w:rPr>
            </w:pPr>
            <w:r>
              <w:rPr>
                <w:w w:val="105"/>
                <w:sz w:val="10"/>
              </w:rPr>
              <w:t>0.00</w:t>
            </w:r>
          </w:p>
        </w:tc>
        <w:tc>
          <w:tcPr>
            <w:tcW w:w="962" w:type="dxa"/>
          </w:tcPr>
          <w:p>
            <w:pPr>
              <w:pStyle w:val="TableParagraph"/>
              <w:spacing w:line="105" w:lineRule="exact" w:before="12"/>
              <w:ind w:right="21"/>
              <w:jc w:val="right"/>
              <w:rPr>
                <w:sz w:val="10"/>
              </w:rPr>
            </w:pPr>
            <w:r>
              <w:rPr>
                <w:w w:val="105"/>
                <w:sz w:val="10"/>
              </w:rPr>
              <w:t>0.00</w:t>
            </w:r>
          </w:p>
        </w:tc>
      </w:tr>
      <w:tr>
        <w:trPr>
          <w:trHeight w:val="136" w:hRule="atLeast"/>
        </w:trPr>
        <w:tc>
          <w:tcPr>
            <w:tcW w:w="2866" w:type="dxa"/>
          </w:tcPr>
          <w:p>
            <w:pPr>
              <w:pStyle w:val="TableParagraph"/>
              <w:spacing w:line="105" w:lineRule="exact" w:before="12"/>
              <w:ind w:left="26"/>
              <w:rPr>
                <w:sz w:val="10"/>
              </w:rPr>
            </w:pPr>
            <w:r>
              <w:rPr>
                <w:w w:val="110"/>
                <w:sz w:val="10"/>
              </w:rPr>
              <w:t>51 BOND INTEREST AND REDEMPTION FUND</w:t>
            </w:r>
          </w:p>
        </w:tc>
        <w:tc>
          <w:tcPr>
            <w:tcW w:w="1143" w:type="dxa"/>
            <w:shd w:val="clear" w:color="auto" w:fill="BFBFBF"/>
          </w:tcPr>
          <w:p>
            <w:pPr>
              <w:pStyle w:val="TableParagraph"/>
              <w:rPr>
                <w:rFonts w:ascii="Times New Roman"/>
                <w:sz w:val="8"/>
              </w:rPr>
            </w:pPr>
          </w:p>
        </w:tc>
        <w:tc>
          <w:tcPr>
            <w:tcW w:w="3177" w:type="dxa"/>
            <w:gridSpan w:val="3"/>
            <w:shd w:val="clear" w:color="auto" w:fill="BFBFBF"/>
          </w:tcPr>
          <w:p>
            <w:pPr>
              <w:pStyle w:val="TableParagraph"/>
              <w:rPr>
                <w:rFonts w:ascii="Times New Roman"/>
                <w:sz w:val="8"/>
              </w:rPr>
            </w:pP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36" w:hRule="atLeast"/>
        </w:trPr>
        <w:tc>
          <w:tcPr>
            <w:tcW w:w="2866" w:type="dxa"/>
          </w:tcPr>
          <w:p>
            <w:pPr>
              <w:pStyle w:val="TableParagraph"/>
              <w:spacing w:line="105" w:lineRule="exact" w:before="12"/>
              <w:ind w:left="245"/>
              <w:rPr>
                <w:sz w:val="10"/>
              </w:rPr>
            </w:pPr>
            <w:r>
              <w:rPr>
                <w:w w:val="110"/>
                <w:sz w:val="10"/>
              </w:rPr>
              <w:t>Expenditure Detail</w:t>
            </w:r>
          </w:p>
        </w:tc>
        <w:tc>
          <w:tcPr>
            <w:tcW w:w="1143" w:type="dxa"/>
            <w:shd w:val="clear" w:color="auto" w:fill="BFBFBF"/>
          </w:tcPr>
          <w:p>
            <w:pPr>
              <w:pStyle w:val="TableParagraph"/>
              <w:rPr>
                <w:rFonts w:ascii="Times New Roman"/>
                <w:sz w:val="8"/>
              </w:rPr>
            </w:pPr>
          </w:p>
        </w:tc>
        <w:tc>
          <w:tcPr>
            <w:tcW w:w="3177" w:type="dxa"/>
            <w:gridSpan w:val="3"/>
            <w:shd w:val="clear" w:color="auto" w:fill="BFBFBF"/>
          </w:tcPr>
          <w:p>
            <w:pPr>
              <w:pStyle w:val="TableParagraph"/>
              <w:rPr>
                <w:rFonts w:ascii="Times New Roman"/>
                <w:sz w:val="8"/>
              </w:rPr>
            </w:pP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36" w:hRule="atLeast"/>
        </w:trPr>
        <w:tc>
          <w:tcPr>
            <w:tcW w:w="2866" w:type="dxa"/>
          </w:tcPr>
          <w:p>
            <w:pPr>
              <w:pStyle w:val="TableParagraph"/>
              <w:spacing w:line="105" w:lineRule="exact" w:before="12"/>
              <w:ind w:left="245"/>
              <w:rPr>
                <w:sz w:val="10"/>
              </w:rPr>
            </w:pPr>
            <w:r>
              <w:rPr>
                <w:w w:val="110"/>
                <w:sz w:val="10"/>
              </w:rPr>
              <w:t>Other Sources/Uses Detail</w:t>
            </w:r>
          </w:p>
        </w:tc>
        <w:tc>
          <w:tcPr>
            <w:tcW w:w="1143" w:type="dxa"/>
            <w:shd w:val="clear" w:color="auto" w:fill="BFBFBF"/>
          </w:tcPr>
          <w:p>
            <w:pPr>
              <w:pStyle w:val="TableParagraph"/>
              <w:rPr>
                <w:rFonts w:ascii="Times New Roman"/>
                <w:sz w:val="8"/>
              </w:rPr>
            </w:pPr>
          </w:p>
        </w:tc>
        <w:tc>
          <w:tcPr>
            <w:tcW w:w="3177" w:type="dxa"/>
            <w:gridSpan w:val="3"/>
            <w:shd w:val="clear" w:color="auto" w:fill="BFBFBF"/>
          </w:tcPr>
          <w:p>
            <w:pPr>
              <w:pStyle w:val="TableParagraph"/>
              <w:rPr>
                <w:rFonts w:ascii="Times New Roman"/>
                <w:sz w:val="8"/>
              </w:rPr>
            </w:pPr>
          </w:p>
        </w:tc>
        <w:tc>
          <w:tcPr>
            <w:tcW w:w="1079" w:type="dxa"/>
          </w:tcPr>
          <w:p>
            <w:pPr>
              <w:pStyle w:val="TableParagraph"/>
              <w:spacing w:line="105" w:lineRule="exact" w:before="12"/>
              <w:ind w:right="59"/>
              <w:jc w:val="right"/>
              <w:rPr>
                <w:sz w:val="10"/>
              </w:rPr>
            </w:pPr>
            <w:r>
              <w:rPr>
                <w:w w:val="105"/>
                <w:sz w:val="10"/>
              </w:rPr>
              <w:t>0.00</w:t>
            </w:r>
          </w:p>
        </w:tc>
        <w:tc>
          <w:tcPr>
            <w:tcW w:w="1079" w:type="dxa"/>
          </w:tcPr>
          <w:p>
            <w:pPr>
              <w:pStyle w:val="TableParagraph"/>
              <w:spacing w:line="105" w:lineRule="exact" w:before="12"/>
              <w:ind w:right="58"/>
              <w:jc w:val="right"/>
              <w:rPr>
                <w:sz w:val="10"/>
              </w:rPr>
            </w:pPr>
            <w:r>
              <w:rPr>
                <w:w w:val="105"/>
                <w:sz w:val="10"/>
              </w:rPr>
              <w:t>0.00</w:t>
            </w: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42" w:hRule="atLeast"/>
        </w:trPr>
        <w:tc>
          <w:tcPr>
            <w:tcW w:w="2866" w:type="dxa"/>
          </w:tcPr>
          <w:p>
            <w:pPr>
              <w:pStyle w:val="TableParagraph"/>
              <w:spacing w:line="110" w:lineRule="exact" w:before="12"/>
              <w:ind w:left="245"/>
              <w:rPr>
                <w:sz w:val="10"/>
              </w:rPr>
            </w:pPr>
            <w:r>
              <w:rPr>
                <w:w w:val="110"/>
                <w:sz w:val="10"/>
              </w:rPr>
              <w:t>Fund Reconciliation</w:t>
            </w:r>
          </w:p>
        </w:tc>
        <w:tc>
          <w:tcPr>
            <w:tcW w:w="1143" w:type="dxa"/>
            <w:shd w:val="clear" w:color="auto" w:fill="BFBFBF"/>
          </w:tcPr>
          <w:p>
            <w:pPr>
              <w:pStyle w:val="TableParagraph"/>
              <w:rPr>
                <w:rFonts w:ascii="Times New Roman"/>
                <w:sz w:val="8"/>
              </w:rPr>
            </w:pPr>
          </w:p>
        </w:tc>
        <w:tc>
          <w:tcPr>
            <w:tcW w:w="3177" w:type="dxa"/>
            <w:gridSpan w:val="3"/>
            <w:shd w:val="clear" w:color="auto" w:fill="BFBFBF"/>
          </w:tcPr>
          <w:p>
            <w:pPr>
              <w:pStyle w:val="TableParagraph"/>
              <w:rPr>
                <w:rFonts w:ascii="Times New Roman"/>
                <w:sz w:val="8"/>
              </w:rPr>
            </w:pP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spacing w:line="110" w:lineRule="exact" w:before="12"/>
              <w:ind w:right="139"/>
              <w:jc w:val="right"/>
              <w:rPr>
                <w:sz w:val="10"/>
              </w:rPr>
            </w:pPr>
            <w:r>
              <w:rPr>
                <w:w w:val="105"/>
                <w:sz w:val="10"/>
              </w:rPr>
              <w:t>0.00</w:t>
            </w:r>
          </w:p>
        </w:tc>
        <w:tc>
          <w:tcPr>
            <w:tcW w:w="962" w:type="dxa"/>
          </w:tcPr>
          <w:p>
            <w:pPr>
              <w:pStyle w:val="TableParagraph"/>
              <w:spacing w:line="110" w:lineRule="exact" w:before="12"/>
              <w:ind w:right="21"/>
              <w:jc w:val="right"/>
              <w:rPr>
                <w:sz w:val="10"/>
              </w:rPr>
            </w:pPr>
            <w:r>
              <w:rPr>
                <w:w w:val="105"/>
                <w:sz w:val="10"/>
              </w:rPr>
              <w:t>0.00</w:t>
            </w:r>
          </w:p>
        </w:tc>
      </w:tr>
      <w:tr>
        <w:trPr>
          <w:trHeight w:val="139" w:hRule="atLeast"/>
        </w:trPr>
        <w:tc>
          <w:tcPr>
            <w:tcW w:w="2866" w:type="dxa"/>
          </w:tcPr>
          <w:p>
            <w:pPr>
              <w:pStyle w:val="TableParagraph"/>
              <w:spacing w:line="111" w:lineRule="exact" w:before="9"/>
              <w:ind w:left="26"/>
              <w:rPr>
                <w:sz w:val="10"/>
              </w:rPr>
            </w:pPr>
            <w:r>
              <w:rPr>
                <w:sz w:val="10"/>
              </w:rPr>
              <w:t>52 DEBT SVC FUND FOR BLENDED COMPONENT UNITS</w:t>
            </w:r>
          </w:p>
        </w:tc>
        <w:tc>
          <w:tcPr>
            <w:tcW w:w="1143" w:type="dxa"/>
            <w:shd w:val="clear" w:color="auto" w:fill="BFBFBF"/>
          </w:tcPr>
          <w:p>
            <w:pPr>
              <w:pStyle w:val="TableParagraph"/>
              <w:rPr>
                <w:rFonts w:ascii="Times New Roman"/>
                <w:sz w:val="8"/>
              </w:rPr>
            </w:pPr>
          </w:p>
        </w:tc>
        <w:tc>
          <w:tcPr>
            <w:tcW w:w="3177" w:type="dxa"/>
            <w:gridSpan w:val="3"/>
            <w:shd w:val="clear" w:color="auto" w:fill="BFBFBF"/>
          </w:tcPr>
          <w:p>
            <w:pPr>
              <w:pStyle w:val="TableParagraph"/>
              <w:rPr>
                <w:rFonts w:ascii="Times New Roman"/>
                <w:sz w:val="8"/>
              </w:rPr>
            </w:pP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28" w:hRule="atLeast"/>
        </w:trPr>
        <w:tc>
          <w:tcPr>
            <w:tcW w:w="2866" w:type="dxa"/>
          </w:tcPr>
          <w:p>
            <w:pPr>
              <w:pStyle w:val="TableParagraph"/>
              <w:spacing w:line="105" w:lineRule="exact" w:before="3"/>
              <w:ind w:left="245"/>
              <w:rPr>
                <w:sz w:val="10"/>
              </w:rPr>
            </w:pPr>
            <w:r>
              <w:rPr>
                <w:w w:val="110"/>
                <w:sz w:val="10"/>
              </w:rPr>
              <w:t>Expenditure Detail</w:t>
            </w:r>
          </w:p>
        </w:tc>
        <w:tc>
          <w:tcPr>
            <w:tcW w:w="1143" w:type="dxa"/>
            <w:shd w:val="clear" w:color="auto" w:fill="BFBFBF"/>
          </w:tcPr>
          <w:p>
            <w:pPr>
              <w:pStyle w:val="TableParagraph"/>
              <w:rPr>
                <w:rFonts w:ascii="Times New Roman"/>
                <w:sz w:val="6"/>
              </w:rPr>
            </w:pPr>
          </w:p>
        </w:tc>
        <w:tc>
          <w:tcPr>
            <w:tcW w:w="1103" w:type="dxa"/>
            <w:shd w:val="clear" w:color="auto" w:fill="BFBFBF"/>
          </w:tcPr>
          <w:p>
            <w:pPr>
              <w:pStyle w:val="TableParagraph"/>
              <w:rPr>
                <w:rFonts w:ascii="Times New Roman"/>
                <w:sz w:val="6"/>
              </w:rPr>
            </w:pPr>
          </w:p>
        </w:tc>
        <w:tc>
          <w:tcPr>
            <w:tcW w:w="1057" w:type="dxa"/>
            <w:shd w:val="clear" w:color="auto" w:fill="BFBFBF"/>
          </w:tcPr>
          <w:p>
            <w:pPr>
              <w:pStyle w:val="TableParagraph"/>
              <w:rPr>
                <w:rFonts w:ascii="Times New Roman"/>
                <w:sz w:val="6"/>
              </w:rPr>
            </w:pPr>
          </w:p>
        </w:tc>
        <w:tc>
          <w:tcPr>
            <w:tcW w:w="1017" w:type="dxa"/>
            <w:shd w:val="clear" w:color="auto" w:fill="BFBFBF"/>
          </w:tcPr>
          <w:p>
            <w:pPr>
              <w:pStyle w:val="TableParagraph"/>
              <w:rPr>
                <w:rFonts w:ascii="Times New Roman"/>
                <w:sz w:val="6"/>
              </w:rPr>
            </w:pPr>
          </w:p>
        </w:tc>
        <w:tc>
          <w:tcPr>
            <w:tcW w:w="1079" w:type="dxa"/>
          </w:tcPr>
          <w:p>
            <w:pPr>
              <w:pStyle w:val="TableParagraph"/>
              <w:rPr>
                <w:rFonts w:ascii="Times New Roman"/>
                <w:sz w:val="6"/>
              </w:rPr>
            </w:pPr>
          </w:p>
        </w:tc>
        <w:tc>
          <w:tcPr>
            <w:tcW w:w="1079" w:type="dxa"/>
          </w:tcPr>
          <w:p>
            <w:pPr>
              <w:pStyle w:val="TableParagraph"/>
              <w:rPr>
                <w:rFonts w:ascii="Times New Roman"/>
                <w:sz w:val="6"/>
              </w:rPr>
            </w:pPr>
          </w:p>
        </w:tc>
        <w:tc>
          <w:tcPr>
            <w:tcW w:w="1161" w:type="dxa"/>
          </w:tcPr>
          <w:p>
            <w:pPr>
              <w:pStyle w:val="TableParagraph"/>
              <w:rPr>
                <w:rFonts w:ascii="Times New Roman"/>
                <w:sz w:val="6"/>
              </w:rPr>
            </w:pPr>
          </w:p>
        </w:tc>
        <w:tc>
          <w:tcPr>
            <w:tcW w:w="962" w:type="dxa"/>
          </w:tcPr>
          <w:p>
            <w:pPr>
              <w:pStyle w:val="TableParagraph"/>
              <w:rPr>
                <w:rFonts w:ascii="Times New Roman"/>
                <w:sz w:val="6"/>
              </w:rPr>
            </w:pPr>
          </w:p>
        </w:tc>
      </w:tr>
      <w:tr>
        <w:trPr>
          <w:trHeight w:val="136" w:hRule="atLeast"/>
        </w:trPr>
        <w:tc>
          <w:tcPr>
            <w:tcW w:w="2866" w:type="dxa"/>
          </w:tcPr>
          <w:p>
            <w:pPr>
              <w:pStyle w:val="TableParagraph"/>
              <w:spacing w:line="105" w:lineRule="exact" w:before="12"/>
              <w:ind w:left="245"/>
              <w:rPr>
                <w:sz w:val="10"/>
              </w:rPr>
            </w:pPr>
            <w:r>
              <w:rPr>
                <w:w w:val="110"/>
                <w:sz w:val="10"/>
              </w:rPr>
              <w:t>Other Sources/Uses Detail</w:t>
            </w:r>
          </w:p>
        </w:tc>
        <w:tc>
          <w:tcPr>
            <w:tcW w:w="1143" w:type="dxa"/>
            <w:shd w:val="clear" w:color="auto" w:fill="BFBFBF"/>
          </w:tcPr>
          <w:p>
            <w:pPr>
              <w:pStyle w:val="TableParagraph"/>
              <w:rPr>
                <w:rFonts w:ascii="Times New Roman"/>
                <w:sz w:val="8"/>
              </w:rPr>
            </w:pPr>
          </w:p>
        </w:tc>
        <w:tc>
          <w:tcPr>
            <w:tcW w:w="1103" w:type="dxa"/>
            <w:shd w:val="clear" w:color="auto" w:fill="BFBFBF"/>
          </w:tcPr>
          <w:p>
            <w:pPr>
              <w:pStyle w:val="TableParagraph"/>
              <w:rPr>
                <w:rFonts w:ascii="Times New Roman"/>
                <w:sz w:val="8"/>
              </w:rPr>
            </w:pPr>
          </w:p>
        </w:tc>
        <w:tc>
          <w:tcPr>
            <w:tcW w:w="1057" w:type="dxa"/>
            <w:shd w:val="clear" w:color="auto" w:fill="BFBFBF"/>
          </w:tcPr>
          <w:p>
            <w:pPr>
              <w:pStyle w:val="TableParagraph"/>
              <w:rPr>
                <w:rFonts w:ascii="Times New Roman"/>
                <w:sz w:val="8"/>
              </w:rPr>
            </w:pPr>
          </w:p>
        </w:tc>
        <w:tc>
          <w:tcPr>
            <w:tcW w:w="1017" w:type="dxa"/>
            <w:shd w:val="clear" w:color="auto" w:fill="BFBFBF"/>
          </w:tcPr>
          <w:p>
            <w:pPr>
              <w:pStyle w:val="TableParagraph"/>
              <w:rPr>
                <w:rFonts w:ascii="Times New Roman"/>
                <w:sz w:val="8"/>
              </w:rPr>
            </w:pPr>
          </w:p>
        </w:tc>
        <w:tc>
          <w:tcPr>
            <w:tcW w:w="1079" w:type="dxa"/>
          </w:tcPr>
          <w:p>
            <w:pPr>
              <w:pStyle w:val="TableParagraph"/>
              <w:spacing w:line="105" w:lineRule="exact" w:before="12"/>
              <w:ind w:right="59"/>
              <w:jc w:val="right"/>
              <w:rPr>
                <w:sz w:val="10"/>
              </w:rPr>
            </w:pPr>
            <w:r>
              <w:rPr>
                <w:w w:val="105"/>
                <w:sz w:val="10"/>
              </w:rPr>
              <w:t>0.00</w:t>
            </w:r>
          </w:p>
        </w:tc>
        <w:tc>
          <w:tcPr>
            <w:tcW w:w="1079" w:type="dxa"/>
          </w:tcPr>
          <w:p>
            <w:pPr>
              <w:pStyle w:val="TableParagraph"/>
              <w:spacing w:line="105" w:lineRule="exact" w:before="12"/>
              <w:ind w:right="58"/>
              <w:jc w:val="right"/>
              <w:rPr>
                <w:sz w:val="10"/>
              </w:rPr>
            </w:pPr>
            <w:r>
              <w:rPr>
                <w:w w:val="105"/>
                <w:sz w:val="10"/>
              </w:rPr>
              <w:t>0.00</w:t>
            </w: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36" w:hRule="atLeast"/>
        </w:trPr>
        <w:tc>
          <w:tcPr>
            <w:tcW w:w="2866" w:type="dxa"/>
          </w:tcPr>
          <w:p>
            <w:pPr>
              <w:pStyle w:val="TableParagraph"/>
              <w:spacing w:line="105" w:lineRule="exact" w:before="12"/>
              <w:ind w:left="245"/>
              <w:rPr>
                <w:sz w:val="10"/>
              </w:rPr>
            </w:pPr>
            <w:r>
              <w:rPr>
                <w:w w:val="110"/>
                <w:sz w:val="10"/>
              </w:rPr>
              <w:t>Fund Reconciliation</w:t>
            </w:r>
          </w:p>
        </w:tc>
        <w:tc>
          <w:tcPr>
            <w:tcW w:w="1143" w:type="dxa"/>
            <w:shd w:val="clear" w:color="auto" w:fill="BFBFBF"/>
          </w:tcPr>
          <w:p>
            <w:pPr>
              <w:pStyle w:val="TableParagraph"/>
              <w:rPr>
                <w:rFonts w:ascii="Times New Roman"/>
                <w:sz w:val="8"/>
              </w:rPr>
            </w:pPr>
          </w:p>
        </w:tc>
        <w:tc>
          <w:tcPr>
            <w:tcW w:w="1103" w:type="dxa"/>
            <w:shd w:val="clear" w:color="auto" w:fill="BFBFBF"/>
          </w:tcPr>
          <w:p>
            <w:pPr>
              <w:pStyle w:val="TableParagraph"/>
              <w:rPr>
                <w:rFonts w:ascii="Times New Roman"/>
                <w:sz w:val="8"/>
              </w:rPr>
            </w:pPr>
          </w:p>
        </w:tc>
        <w:tc>
          <w:tcPr>
            <w:tcW w:w="1057" w:type="dxa"/>
            <w:shd w:val="clear" w:color="auto" w:fill="BFBFBF"/>
          </w:tcPr>
          <w:p>
            <w:pPr>
              <w:pStyle w:val="TableParagraph"/>
              <w:rPr>
                <w:rFonts w:ascii="Times New Roman"/>
                <w:sz w:val="8"/>
              </w:rPr>
            </w:pPr>
          </w:p>
        </w:tc>
        <w:tc>
          <w:tcPr>
            <w:tcW w:w="1017" w:type="dxa"/>
            <w:shd w:val="clear" w:color="auto" w:fill="BFBFBF"/>
          </w:tcPr>
          <w:p>
            <w:pPr>
              <w:pStyle w:val="TableParagraph"/>
              <w:rPr>
                <w:rFonts w:ascii="Times New Roman"/>
                <w:sz w:val="8"/>
              </w:rPr>
            </w:pP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spacing w:line="105" w:lineRule="exact" w:before="12"/>
              <w:ind w:right="139"/>
              <w:jc w:val="right"/>
              <w:rPr>
                <w:sz w:val="10"/>
              </w:rPr>
            </w:pPr>
            <w:r>
              <w:rPr>
                <w:w w:val="105"/>
                <w:sz w:val="10"/>
              </w:rPr>
              <w:t>0.00</w:t>
            </w:r>
          </w:p>
        </w:tc>
        <w:tc>
          <w:tcPr>
            <w:tcW w:w="962" w:type="dxa"/>
          </w:tcPr>
          <w:p>
            <w:pPr>
              <w:pStyle w:val="TableParagraph"/>
              <w:spacing w:line="105" w:lineRule="exact" w:before="12"/>
              <w:ind w:right="21"/>
              <w:jc w:val="right"/>
              <w:rPr>
                <w:sz w:val="10"/>
              </w:rPr>
            </w:pPr>
            <w:r>
              <w:rPr>
                <w:w w:val="105"/>
                <w:sz w:val="10"/>
              </w:rPr>
              <w:t>0.00</w:t>
            </w:r>
          </w:p>
        </w:tc>
      </w:tr>
      <w:tr>
        <w:trPr>
          <w:trHeight w:val="136" w:hRule="atLeast"/>
        </w:trPr>
        <w:tc>
          <w:tcPr>
            <w:tcW w:w="2866" w:type="dxa"/>
          </w:tcPr>
          <w:p>
            <w:pPr>
              <w:pStyle w:val="TableParagraph"/>
              <w:spacing w:line="105" w:lineRule="exact" w:before="12"/>
              <w:ind w:left="26"/>
              <w:rPr>
                <w:sz w:val="10"/>
              </w:rPr>
            </w:pPr>
            <w:r>
              <w:rPr>
                <w:w w:val="110"/>
                <w:sz w:val="10"/>
              </w:rPr>
              <w:t>53 TAX OVERRIDE FUND</w:t>
            </w:r>
          </w:p>
        </w:tc>
        <w:tc>
          <w:tcPr>
            <w:tcW w:w="1143" w:type="dxa"/>
            <w:shd w:val="clear" w:color="auto" w:fill="BFBFBF"/>
          </w:tcPr>
          <w:p>
            <w:pPr>
              <w:pStyle w:val="TableParagraph"/>
              <w:rPr>
                <w:rFonts w:ascii="Times New Roman"/>
                <w:sz w:val="8"/>
              </w:rPr>
            </w:pPr>
          </w:p>
        </w:tc>
        <w:tc>
          <w:tcPr>
            <w:tcW w:w="1103" w:type="dxa"/>
            <w:shd w:val="clear" w:color="auto" w:fill="BFBFBF"/>
          </w:tcPr>
          <w:p>
            <w:pPr>
              <w:pStyle w:val="TableParagraph"/>
              <w:rPr>
                <w:rFonts w:ascii="Times New Roman"/>
                <w:sz w:val="8"/>
              </w:rPr>
            </w:pPr>
          </w:p>
        </w:tc>
        <w:tc>
          <w:tcPr>
            <w:tcW w:w="1057" w:type="dxa"/>
            <w:shd w:val="clear" w:color="auto" w:fill="BFBFBF"/>
          </w:tcPr>
          <w:p>
            <w:pPr>
              <w:pStyle w:val="TableParagraph"/>
              <w:rPr>
                <w:rFonts w:ascii="Times New Roman"/>
                <w:sz w:val="8"/>
              </w:rPr>
            </w:pPr>
          </w:p>
        </w:tc>
        <w:tc>
          <w:tcPr>
            <w:tcW w:w="1017" w:type="dxa"/>
            <w:shd w:val="clear" w:color="auto" w:fill="BFBFBF"/>
          </w:tcPr>
          <w:p>
            <w:pPr>
              <w:pStyle w:val="TableParagraph"/>
              <w:rPr>
                <w:rFonts w:ascii="Times New Roman"/>
                <w:sz w:val="8"/>
              </w:rPr>
            </w:pP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36" w:hRule="atLeast"/>
        </w:trPr>
        <w:tc>
          <w:tcPr>
            <w:tcW w:w="2866" w:type="dxa"/>
          </w:tcPr>
          <w:p>
            <w:pPr>
              <w:pStyle w:val="TableParagraph"/>
              <w:spacing w:line="105" w:lineRule="exact" w:before="12"/>
              <w:ind w:left="245"/>
              <w:rPr>
                <w:sz w:val="10"/>
              </w:rPr>
            </w:pPr>
            <w:r>
              <w:rPr>
                <w:w w:val="110"/>
                <w:sz w:val="10"/>
              </w:rPr>
              <w:t>Expenditure Detail</w:t>
            </w:r>
          </w:p>
        </w:tc>
        <w:tc>
          <w:tcPr>
            <w:tcW w:w="1143" w:type="dxa"/>
            <w:shd w:val="clear" w:color="auto" w:fill="BFBFBF"/>
          </w:tcPr>
          <w:p>
            <w:pPr>
              <w:pStyle w:val="TableParagraph"/>
              <w:rPr>
                <w:rFonts w:ascii="Times New Roman"/>
                <w:sz w:val="8"/>
              </w:rPr>
            </w:pPr>
          </w:p>
        </w:tc>
        <w:tc>
          <w:tcPr>
            <w:tcW w:w="1103" w:type="dxa"/>
            <w:shd w:val="clear" w:color="auto" w:fill="BFBFBF"/>
          </w:tcPr>
          <w:p>
            <w:pPr>
              <w:pStyle w:val="TableParagraph"/>
              <w:rPr>
                <w:rFonts w:ascii="Times New Roman"/>
                <w:sz w:val="8"/>
              </w:rPr>
            </w:pPr>
          </w:p>
        </w:tc>
        <w:tc>
          <w:tcPr>
            <w:tcW w:w="1057" w:type="dxa"/>
            <w:shd w:val="clear" w:color="auto" w:fill="BFBFBF"/>
          </w:tcPr>
          <w:p>
            <w:pPr>
              <w:pStyle w:val="TableParagraph"/>
              <w:rPr>
                <w:rFonts w:ascii="Times New Roman"/>
                <w:sz w:val="8"/>
              </w:rPr>
            </w:pPr>
          </w:p>
        </w:tc>
        <w:tc>
          <w:tcPr>
            <w:tcW w:w="1017" w:type="dxa"/>
            <w:shd w:val="clear" w:color="auto" w:fill="BFBFBF"/>
          </w:tcPr>
          <w:p>
            <w:pPr>
              <w:pStyle w:val="TableParagraph"/>
              <w:rPr>
                <w:rFonts w:ascii="Times New Roman"/>
                <w:sz w:val="8"/>
              </w:rPr>
            </w:pP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36" w:hRule="atLeast"/>
        </w:trPr>
        <w:tc>
          <w:tcPr>
            <w:tcW w:w="2866" w:type="dxa"/>
          </w:tcPr>
          <w:p>
            <w:pPr>
              <w:pStyle w:val="TableParagraph"/>
              <w:spacing w:line="105" w:lineRule="exact" w:before="12"/>
              <w:ind w:left="245"/>
              <w:rPr>
                <w:sz w:val="10"/>
              </w:rPr>
            </w:pPr>
            <w:r>
              <w:rPr>
                <w:w w:val="110"/>
                <w:sz w:val="10"/>
              </w:rPr>
              <w:t>Other Sources/Uses Detail</w:t>
            </w:r>
          </w:p>
        </w:tc>
        <w:tc>
          <w:tcPr>
            <w:tcW w:w="1143" w:type="dxa"/>
            <w:shd w:val="clear" w:color="auto" w:fill="BFBFBF"/>
          </w:tcPr>
          <w:p>
            <w:pPr>
              <w:pStyle w:val="TableParagraph"/>
              <w:rPr>
                <w:rFonts w:ascii="Times New Roman"/>
                <w:sz w:val="8"/>
              </w:rPr>
            </w:pPr>
          </w:p>
        </w:tc>
        <w:tc>
          <w:tcPr>
            <w:tcW w:w="1103" w:type="dxa"/>
            <w:shd w:val="clear" w:color="auto" w:fill="BFBFBF"/>
          </w:tcPr>
          <w:p>
            <w:pPr>
              <w:pStyle w:val="TableParagraph"/>
              <w:rPr>
                <w:rFonts w:ascii="Times New Roman"/>
                <w:sz w:val="8"/>
              </w:rPr>
            </w:pPr>
          </w:p>
        </w:tc>
        <w:tc>
          <w:tcPr>
            <w:tcW w:w="1057" w:type="dxa"/>
            <w:shd w:val="clear" w:color="auto" w:fill="BFBFBF"/>
          </w:tcPr>
          <w:p>
            <w:pPr>
              <w:pStyle w:val="TableParagraph"/>
              <w:rPr>
                <w:rFonts w:ascii="Times New Roman"/>
                <w:sz w:val="8"/>
              </w:rPr>
            </w:pPr>
          </w:p>
        </w:tc>
        <w:tc>
          <w:tcPr>
            <w:tcW w:w="1017" w:type="dxa"/>
            <w:shd w:val="clear" w:color="auto" w:fill="BFBFBF"/>
          </w:tcPr>
          <w:p>
            <w:pPr>
              <w:pStyle w:val="TableParagraph"/>
              <w:rPr>
                <w:rFonts w:ascii="Times New Roman"/>
                <w:sz w:val="8"/>
              </w:rPr>
            </w:pPr>
          </w:p>
        </w:tc>
        <w:tc>
          <w:tcPr>
            <w:tcW w:w="1079" w:type="dxa"/>
          </w:tcPr>
          <w:p>
            <w:pPr>
              <w:pStyle w:val="TableParagraph"/>
              <w:spacing w:line="105" w:lineRule="exact" w:before="12"/>
              <w:ind w:right="59"/>
              <w:jc w:val="right"/>
              <w:rPr>
                <w:sz w:val="10"/>
              </w:rPr>
            </w:pPr>
            <w:r>
              <w:rPr>
                <w:w w:val="105"/>
                <w:sz w:val="10"/>
              </w:rPr>
              <w:t>0.00</w:t>
            </w:r>
          </w:p>
        </w:tc>
        <w:tc>
          <w:tcPr>
            <w:tcW w:w="1079" w:type="dxa"/>
          </w:tcPr>
          <w:p>
            <w:pPr>
              <w:pStyle w:val="TableParagraph"/>
              <w:spacing w:line="105" w:lineRule="exact" w:before="12"/>
              <w:ind w:right="58"/>
              <w:jc w:val="right"/>
              <w:rPr>
                <w:sz w:val="10"/>
              </w:rPr>
            </w:pPr>
            <w:r>
              <w:rPr>
                <w:w w:val="105"/>
                <w:sz w:val="10"/>
              </w:rPr>
              <w:t>0.00</w:t>
            </w: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36" w:hRule="atLeast"/>
        </w:trPr>
        <w:tc>
          <w:tcPr>
            <w:tcW w:w="2866" w:type="dxa"/>
          </w:tcPr>
          <w:p>
            <w:pPr>
              <w:pStyle w:val="TableParagraph"/>
              <w:spacing w:line="105" w:lineRule="exact" w:before="12"/>
              <w:ind w:left="245"/>
              <w:rPr>
                <w:sz w:val="10"/>
              </w:rPr>
            </w:pPr>
            <w:r>
              <w:rPr>
                <w:w w:val="110"/>
                <w:sz w:val="10"/>
              </w:rPr>
              <w:t>Fund Reconciliation</w:t>
            </w:r>
          </w:p>
        </w:tc>
        <w:tc>
          <w:tcPr>
            <w:tcW w:w="1143" w:type="dxa"/>
            <w:shd w:val="clear" w:color="auto" w:fill="BFBFBF"/>
          </w:tcPr>
          <w:p>
            <w:pPr>
              <w:pStyle w:val="TableParagraph"/>
              <w:rPr>
                <w:rFonts w:ascii="Times New Roman"/>
                <w:sz w:val="8"/>
              </w:rPr>
            </w:pPr>
          </w:p>
        </w:tc>
        <w:tc>
          <w:tcPr>
            <w:tcW w:w="1103" w:type="dxa"/>
            <w:shd w:val="clear" w:color="auto" w:fill="BFBFBF"/>
          </w:tcPr>
          <w:p>
            <w:pPr>
              <w:pStyle w:val="TableParagraph"/>
              <w:rPr>
                <w:rFonts w:ascii="Times New Roman"/>
                <w:sz w:val="8"/>
              </w:rPr>
            </w:pPr>
          </w:p>
        </w:tc>
        <w:tc>
          <w:tcPr>
            <w:tcW w:w="1057" w:type="dxa"/>
            <w:shd w:val="clear" w:color="auto" w:fill="BFBFBF"/>
          </w:tcPr>
          <w:p>
            <w:pPr>
              <w:pStyle w:val="TableParagraph"/>
              <w:rPr>
                <w:rFonts w:ascii="Times New Roman"/>
                <w:sz w:val="8"/>
              </w:rPr>
            </w:pPr>
          </w:p>
        </w:tc>
        <w:tc>
          <w:tcPr>
            <w:tcW w:w="1017" w:type="dxa"/>
            <w:shd w:val="clear" w:color="auto" w:fill="BFBFBF"/>
          </w:tcPr>
          <w:p>
            <w:pPr>
              <w:pStyle w:val="TableParagraph"/>
              <w:rPr>
                <w:rFonts w:ascii="Times New Roman"/>
                <w:sz w:val="8"/>
              </w:rPr>
            </w:pP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spacing w:line="105" w:lineRule="exact" w:before="12"/>
              <w:ind w:right="139"/>
              <w:jc w:val="right"/>
              <w:rPr>
                <w:sz w:val="10"/>
              </w:rPr>
            </w:pPr>
            <w:r>
              <w:rPr>
                <w:w w:val="105"/>
                <w:sz w:val="10"/>
              </w:rPr>
              <w:t>0.00</w:t>
            </w:r>
          </w:p>
        </w:tc>
        <w:tc>
          <w:tcPr>
            <w:tcW w:w="962" w:type="dxa"/>
          </w:tcPr>
          <w:p>
            <w:pPr>
              <w:pStyle w:val="TableParagraph"/>
              <w:spacing w:line="105" w:lineRule="exact" w:before="12"/>
              <w:ind w:right="21"/>
              <w:jc w:val="right"/>
              <w:rPr>
                <w:sz w:val="10"/>
              </w:rPr>
            </w:pPr>
            <w:r>
              <w:rPr>
                <w:w w:val="105"/>
                <w:sz w:val="10"/>
              </w:rPr>
              <w:t>0.00</w:t>
            </w:r>
          </w:p>
        </w:tc>
      </w:tr>
      <w:tr>
        <w:trPr>
          <w:trHeight w:val="136" w:hRule="atLeast"/>
        </w:trPr>
        <w:tc>
          <w:tcPr>
            <w:tcW w:w="2866" w:type="dxa"/>
          </w:tcPr>
          <w:p>
            <w:pPr>
              <w:pStyle w:val="TableParagraph"/>
              <w:spacing w:line="105" w:lineRule="exact" w:before="12"/>
              <w:ind w:left="26"/>
              <w:rPr>
                <w:sz w:val="10"/>
              </w:rPr>
            </w:pPr>
            <w:r>
              <w:rPr>
                <w:w w:val="110"/>
                <w:sz w:val="10"/>
              </w:rPr>
              <w:t>56 DEBT SERVICE FUND</w:t>
            </w:r>
          </w:p>
        </w:tc>
        <w:tc>
          <w:tcPr>
            <w:tcW w:w="1143" w:type="dxa"/>
            <w:shd w:val="clear" w:color="auto" w:fill="BFBFBF"/>
          </w:tcPr>
          <w:p>
            <w:pPr>
              <w:pStyle w:val="TableParagraph"/>
              <w:rPr>
                <w:rFonts w:ascii="Times New Roman"/>
                <w:sz w:val="8"/>
              </w:rPr>
            </w:pPr>
          </w:p>
        </w:tc>
        <w:tc>
          <w:tcPr>
            <w:tcW w:w="1103" w:type="dxa"/>
            <w:shd w:val="clear" w:color="auto" w:fill="BFBFBF"/>
          </w:tcPr>
          <w:p>
            <w:pPr>
              <w:pStyle w:val="TableParagraph"/>
              <w:rPr>
                <w:rFonts w:ascii="Times New Roman"/>
                <w:sz w:val="8"/>
              </w:rPr>
            </w:pPr>
          </w:p>
        </w:tc>
        <w:tc>
          <w:tcPr>
            <w:tcW w:w="1057" w:type="dxa"/>
            <w:shd w:val="clear" w:color="auto" w:fill="BFBFBF"/>
          </w:tcPr>
          <w:p>
            <w:pPr>
              <w:pStyle w:val="TableParagraph"/>
              <w:rPr>
                <w:rFonts w:ascii="Times New Roman"/>
                <w:sz w:val="8"/>
              </w:rPr>
            </w:pPr>
          </w:p>
        </w:tc>
        <w:tc>
          <w:tcPr>
            <w:tcW w:w="1017" w:type="dxa"/>
            <w:shd w:val="clear" w:color="auto" w:fill="BFBFBF"/>
          </w:tcPr>
          <w:p>
            <w:pPr>
              <w:pStyle w:val="TableParagraph"/>
              <w:rPr>
                <w:rFonts w:ascii="Times New Roman"/>
                <w:sz w:val="8"/>
              </w:rPr>
            </w:pP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32" w:hRule="atLeast"/>
        </w:trPr>
        <w:tc>
          <w:tcPr>
            <w:tcW w:w="2866" w:type="dxa"/>
          </w:tcPr>
          <w:p>
            <w:pPr>
              <w:pStyle w:val="TableParagraph"/>
              <w:spacing w:line="100" w:lineRule="exact" w:before="12"/>
              <w:ind w:left="245"/>
              <w:rPr>
                <w:sz w:val="10"/>
              </w:rPr>
            </w:pPr>
            <w:r>
              <w:rPr>
                <w:w w:val="110"/>
                <w:sz w:val="10"/>
              </w:rPr>
              <w:t>Expenditure Detail</w:t>
            </w:r>
          </w:p>
        </w:tc>
        <w:tc>
          <w:tcPr>
            <w:tcW w:w="1143" w:type="dxa"/>
            <w:shd w:val="clear" w:color="auto" w:fill="BFBFBF"/>
          </w:tcPr>
          <w:p>
            <w:pPr>
              <w:pStyle w:val="TableParagraph"/>
              <w:rPr>
                <w:rFonts w:ascii="Times New Roman"/>
                <w:sz w:val="8"/>
              </w:rPr>
            </w:pPr>
          </w:p>
        </w:tc>
        <w:tc>
          <w:tcPr>
            <w:tcW w:w="1103" w:type="dxa"/>
            <w:shd w:val="clear" w:color="auto" w:fill="BFBFBF"/>
          </w:tcPr>
          <w:p>
            <w:pPr>
              <w:pStyle w:val="TableParagraph"/>
              <w:rPr>
                <w:rFonts w:ascii="Times New Roman"/>
                <w:sz w:val="8"/>
              </w:rPr>
            </w:pPr>
          </w:p>
        </w:tc>
        <w:tc>
          <w:tcPr>
            <w:tcW w:w="1057" w:type="dxa"/>
            <w:shd w:val="clear" w:color="auto" w:fill="BFBFBF"/>
          </w:tcPr>
          <w:p>
            <w:pPr>
              <w:pStyle w:val="TableParagraph"/>
              <w:rPr>
                <w:rFonts w:ascii="Times New Roman"/>
                <w:sz w:val="8"/>
              </w:rPr>
            </w:pPr>
          </w:p>
        </w:tc>
        <w:tc>
          <w:tcPr>
            <w:tcW w:w="1017" w:type="dxa"/>
            <w:shd w:val="clear" w:color="auto" w:fill="BFBFBF"/>
          </w:tcPr>
          <w:p>
            <w:pPr>
              <w:pStyle w:val="TableParagraph"/>
              <w:rPr>
                <w:rFonts w:ascii="Times New Roman"/>
                <w:sz w:val="8"/>
              </w:rPr>
            </w:pP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36" w:hRule="atLeast"/>
        </w:trPr>
        <w:tc>
          <w:tcPr>
            <w:tcW w:w="2866" w:type="dxa"/>
          </w:tcPr>
          <w:p>
            <w:pPr>
              <w:pStyle w:val="TableParagraph"/>
              <w:spacing w:line="100" w:lineRule="exact" w:before="16"/>
              <w:ind w:left="245"/>
              <w:rPr>
                <w:sz w:val="10"/>
              </w:rPr>
            </w:pPr>
            <w:r>
              <w:rPr>
                <w:w w:val="110"/>
                <w:sz w:val="10"/>
              </w:rPr>
              <w:t>Other Sources/Uses Detail</w:t>
            </w:r>
          </w:p>
        </w:tc>
        <w:tc>
          <w:tcPr>
            <w:tcW w:w="1143" w:type="dxa"/>
          </w:tcPr>
          <w:p>
            <w:pPr>
              <w:pStyle w:val="TableParagraph"/>
              <w:rPr>
                <w:rFonts w:ascii="Times New Roman"/>
                <w:sz w:val="8"/>
              </w:rPr>
            </w:pPr>
          </w:p>
        </w:tc>
        <w:tc>
          <w:tcPr>
            <w:tcW w:w="1103" w:type="dxa"/>
          </w:tcPr>
          <w:p>
            <w:pPr>
              <w:pStyle w:val="TableParagraph"/>
              <w:rPr>
                <w:rFonts w:ascii="Times New Roman"/>
                <w:sz w:val="8"/>
              </w:rPr>
            </w:pPr>
          </w:p>
        </w:tc>
        <w:tc>
          <w:tcPr>
            <w:tcW w:w="1057" w:type="dxa"/>
          </w:tcPr>
          <w:p>
            <w:pPr>
              <w:pStyle w:val="TableParagraph"/>
              <w:rPr>
                <w:rFonts w:ascii="Times New Roman"/>
                <w:sz w:val="8"/>
              </w:rPr>
            </w:pPr>
          </w:p>
        </w:tc>
        <w:tc>
          <w:tcPr>
            <w:tcW w:w="1017" w:type="dxa"/>
          </w:tcPr>
          <w:p>
            <w:pPr>
              <w:pStyle w:val="TableParagraph"/>
              <w:rPr>
                <w:rFonts w:ascii="Times New Roman"/>
                <w:sz w:val="8"/>
              </w:rPr>
            </w:pPr>
          </w:p>
        </w:tc>
        <w:tc>
          <w:tcPr>
            <w:tcW w:w="1079" w:type="dxa"/>
          </w:tcPr>
          <w:p>
            <w:pPr>
              <w:pStyle w:val="TableParagraph"/>
              <w:spacing w:line="100" w:lineRule="exact" w:before="16"/>
              <w:ind w:right="59"/>
              <w:jc w:val="right"/>
              <w:rPr>
                <w:sz w:val="10"/>
              </w:rPr>
            </w:pPr>
            <w:r>
              <w:rPr>
                <w:w w:val="105"/>
                <w:sz w:val="10"/>
              </w:rPr>
              <w:t>0.00</w:t>
            </w:r>
          </w:p>
        </w:tc>
        <w:tc>
          <w:tcPr>
            <w:tcW w:w="1079" w:type="dxa"/>
          </w:tcPr>
          <w:p>
            <w:pPr>
              <w:pStyle w:val="TableParagraph"/>
              <w:spacing w:line="100" w:lineRule="exact" w:before="16"/>
              <w:ind w:right="58"/>
              <w:jc w:val="right"/>
              <w:rPr>
                <w:sz w:val="10"/>
              </w:rPr>
            </w:pPr>
            <w:r>
              <w:rPr>
                <w:w w:val="105"/>
                <w:sz w:val="10"/>
              </w:rPr>
              <w:t>0.00</w:t>
            </w: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41" w:hRule="atLeast"/>
        </w:trPr>
        <w:tc>
          <w:tcPr>
            <w:tcW w:w="2866" w:type="dxa"/>
          </w:tcPr>
          <w:p>
            <w:pPr>
              <w:pStyle w:val="TableParagraph"/>
              <w:spacing w:line="105" w:lineRule="exact" w:before="16"/>
              <w:ind w:left="245"/>
              <w:rPr>
                <w:sz w:val="10"/>
              </w:rPr>
            </w:pPr>
            <w:r>
              <w:rPr>
                <w:w w:val="110"/>
                <w:sz w:val="10"/>
              </w:rPr>
              <w:t>Fund Reconciliation</w:t>
            </w:r>
          </w:p>
        </w:tc>
        <w:tc>
          <w:tcPr>
            <w:tcW w:w="1143" w:type="dxa"/>
          </w:tcPr>
          <w:p>
            <w:pPr>
              <w:pStyle w:val="TableParagraph"/>
              <w:rPr>
                <w:rFonts w:ascii="Times New Roman"/>
                <w:sz w:val="8"/>
              </w:rPr>
            </w:pPr>
          </w:p>
        </w:tc>
        <w:tc>
          <w:tcPr>
            <w:tcW w:w="1103" w:type="dxa"/>
          </w:tcPr>
          <w:p>
            <w:pPr>
              <w:pStyle w:val="TableParagraph"/>
              <w:rPr>
                <w:rFonts w:ascii="Times New Roman"/>
                <w:sz w:val="8"/>
              </w:rPr>
            </w:pPr>
          </w:p>
        </w:tc>
        <w:tc>
          <w:tcPr>
            <w:tcW w:w="1057" w:type="dxa"/>
          </w:tcPr>
          <w:p>
            <w:pPr>
              <w:pStyle w:val="TableParagraph"/>
              <w:rPr>
                <w:rFonts w:ascii="Times New Roman"/>
                <w:sz w:val="8"/>
              </w:rPr>
            </w:pPr>
          </w:p>
        </w:tc>
        <w:tc>
          <w:tcPr>
            <w:tcW w:w="1017" w:type="dxa"/>
          </w:tcPr>
          <w:p>
            <w:pPr>
              <w:pStyle w:val="TableParagraph"/>
              <w:rPr>
                <w:rFonts w:ascii="Times New Roman"/>
                <w:sz w:val="8"/>
              </w:rPr>
            </w:pPr>
          </w:p>
        </w:tc>
        <w:tc>
          <w:tcPr>
            <w:tcW w:w="1079" w:type="dxa"/>
            <w:shd w:val="clear" w:color="auto" w:fill="BFBFBF"/>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spacing w:line="105" w:lineRule="exact" w:before="16"/>
              <w:ind w:right="139"/>
              <w:jc w:val="right"/>
              <w:rPr>
                <w:sz w:val="10"/>
              </w:rPr>
            </w:pPr>
            <w:r>
              <w:rPr>
                <w:w w:val="105"/>
                <w:sz w:val="10"/>
              </w:rPr>
              <w:t>0.00</w:t>
            </w:r>
          </w:p>
        </w:tc>
        <w:tc>
          <w:tcPr>
            <w:tcW w:w="962" w:type="dxa"/>
          </w:tcPr>
          <w:p>
            <w:pPr>
              <w:pStyle w:val="TableParagraph"/>
              <w:spacing w:line="105" w:lineRule="exact" w:before="16"/>
              <w:ind w:right="21"/>
              <w:jc w:val="right"/>
              <w:rPr>
                <w:sz w:val="10"/>
              </w:rPr>
            </w:pPr>
            <w:r>
              <w:rPr>
                <w:w w:val="105"/>
                <w:sz w:val="10"/>
              </w:rPr>
              <w:t>0.00</w:t>
            </w:r>
          </w:p>
        </w:tc>
      </w:tr>
      <w:tr>
        <w:trPr>
          <w:trHeight w:val="136" w:hRule="atLeast"/>
        </w:trPr>
        <w:tc>
          <w:tcPr>
            <w:tcW w:w="2866" w:type="dxa"/>
          </w:tcPr>
          <w:p>
            <w:pPr>
              <w:pStyle w:val="TableParagraph"/>
              <w:spacing w:line="105" w:lineRule="exact" w:before="12"/>
              <w:ind w:left="26"/>
              <w:rPr>
                <w:sz w:val="10"/>
              </w:rPr>
            </w:pPr>
            <w:r>
              <w:rPr>
                <w:w w:val="110"/>
                <w:sz w:val="10"/>
              </w:rPr>
              <w:t>57 FOUNDATION PERMANENT FUND</w:t>
            </w:r>
          </w:p>
        </w:tc>
        <w:tc>
          <w:tcPr>
            <w:tcW w:w="1143" w:type="dxa"/>
          </w:tcPr>
          <w:p>
            <w:pPr>
              <w:pStyle w:val="TableParagraph"/>
              <w:rPr>
                <w:rFonts w:ascii="Times New Roman"/>
                <w:sz w:val="8"/>
              </w:rPr>
            </w:pPr>
          </w:p>
        </w:tc>
        <w:tc>
          <w:tcPr>
            <w:tcW w:w="1103" w:type="dxa"/>
          </w:tcPr>
          <w:p>
            <w:pPr>
              <w:pStyle w:val="TableParagraph"/>
              <w:rPr>
                <w:rFonts w:ascii="Times New Roman"/>
                <w:sz w:val="8"/>
              </w:rPr>
            </w:pPr>
          </w:p>
        </w:tc>
        <w:tc>
          <w:tcPr>
            <w:tcW w:w="1057" w:type="dxa"/>
          </w:tcPr>
          <w:p>
            <w:pPr>
              <w:pStyle w:val="TableParagraph"/>
              <w:rPr>
                <w:rFonts w:ascii="Times New Roman"/>
                <w:sz w:val="8"/>
              </w:rPr>
            </w:pPr>
          </w:p>
        </w:tc>
        <w:tc>
          <w:tcPr>
            <w:tcW w:w="1017" w:type="dxa"/>
          </w:tcPr>
          <w:p>
            <w:pPr>
              <w:pStyle w:val="TableParagraph"/>
              <w:rPr>
                <w:rFonts w:ascii="Times New Roman"/>
                <w:sz w:val="8"/>
              </w:rPr>
            </w:pPr>
          </w:p>
        </w:tc>
        <w:tc>
          <w:tcPr>
            <w:tcW w:w="1079" w:type="dxa"/>
            <w:shd w:val="clear" w:color="auto" w:fill="BFBFBF"/>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36" w:hRule="atLeast"/>
        </w:trPr>
        <w:tc>
          <w:tcPr>
            <w:tcW w:w="2866" w:type="dxa"/>
          </w:tcPr>
          <w:p>
            <w:pPr>
              <w:pStyle w:val="TableParagraph"/>
              <w:spacing w:line="105" w:lineRule="exact" w:before="12"/>
              <w:ind w:left="245"/>
              <w:rPr>
                <w:sz w:val="10"/>
              </w:rPr>
            </w:pPr>
            <w:r>
              <w:rPr>
                <w:w w:val="110"/>
                <w:sz w:val="10"/>
              </w:rPr>
              <w:t>Expenditure Detail</w:t>
            </w:r>
          </w:p>
        </w:tc>
        <w:tc>
          <w:tcPr>
            <w:tcW w:w="1143" w:type="dxa"/>
          </w:tcPr>
          <w:p>
            <w:pPr>
              <w:pStyle w:val="TableParagraph"/>
              <w:spacing w:line="105" w:lineRule="exact" w:before="12"/>
              <w:ind w:right="123"/>
              <w:jc w:val="right"/>
              <w:rPr>
                <w:sz w:val="10"/>
              </w:rPr>
            </w:pPr>
            <w:r>
              <w:rPr>
                <w:w w:val="105"/>
                <w:sz w:val="10"/>
              </w:rPr>
              <w:t>0.00</w:t>
            </w:r>
          </w:p>
        </w:tc>
        <w:tc>
          <w:tcPr>
            <w:tcW w:w="1103" w:type="dxa"/>
          </w:tcPr>
          <w:p>
            <w:pPr>
              <w:pStyle w:val="TableParagraph"/>
              <w:spacing w:line="105" w:lineRule="exact" w:before="12"/>
              <w:ind w:right="146"/>
              <w:jc w:val="right"/>
              <w:rPr>
                <w:sz w:val="10"/>
              </w:rPr>
            </w:pPr>
            <w:r>
              <w:rPr>
                <w:w w:val="105"/>
                <w:sz w:val="10"/>
              </w:rPr>
              <w:t>0.00</w:t>
            </w:r>
          </w:p>
        </w:tc>
        <w:tc>
          <w:tcPr>
            <w:tcW w:w="1057" w:type="dxa"/>
          </w:tcPr>
          <w:p>
            <w:pPr>
              <w:pStyle w:val="TableParagraph"/>
              <w:spacing w:line="105" w:lineRule="exact" w:before="12"/>
              <w:ind w:right="123"/>
              <w:jc w:val="right"/>
              <w:rPr>
                <w:sz w:val="10"/>
              </w:rPr>
            </w:pPr>
            <w:r>
              <w:rPr>
                <w:w w:val="105"/>
                <w:sz w:val="10"/>
              </w:rPr>
              <w:t>0.00</w:t>
            </w:r>
          </w:p>
        </w:tc>
        <w:tc>
          <w:tcPr>
            <w:tcW w:w="1017" w:type="dxa"/>
          </w:tcPr>
          <w:p>
            <w:pPr>
              <w:pStyle w:val="TableParagraph"/>
              <w:spacing w:line="105" w:lineRule="exact" w:before="12"/>
              <w:ind w:right="60"/>
              <w:jc w:val="right"/>
              <w:rPr>
                <w:sz w:val="10"/>
              </w:rPr>
            </w:pPr>
            <w:r>
              <w:rPr>
                <w:w w:val="105"/>
                <w:sz w:val="10"/>
              </w:rPr>
              <w:t>0.00</w:t>
            </w:r>
          </w:p>
        </w:tc>
        <w:tc>
          <w:tcPr>
            <w:tcW w:w="1079" w:type="dxa"/>
            <w:shd w:val="clear" w:color="auto" w:fill="BFBFBF"/>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32" w:hRule="atLeast"/>
        </w:trPr>
        <w:tc>
          <w:tcPr>
            <w:tcW w:w="2866" w:type="dxa"/>
          </w:tcPr>
          <w:p>
            <w:pPr>
              <w:pStyle w:val="TableParagraph"/>
              <w:spacing w:line="100" w:lineRule="exact" w:before="12"/>
              <w:ind w:left="245"/>
              <w:rPr>
                <w:sz w:val="10"/>
              </w:rPr>
            </w:pPr>
            <w:r>
              <w:rPr>
                <w:w w:val="110"/>
                <w:sz w:val="10"/>
              </w:rPr>
              <w:t>Other Sources/Uses Detail</w:t>
            </w:r>
          </w:p>
        </w:tc>
        <w:tc>
          <w:tcPr>
            <w:tcW w:w="1143" w:type="dxa"/>
          </w:tcPr>
          <w:p>
            <w:pPr>
              <w:pStyle w:val="TableParagraph"/>
              <w:rPr>
                <w:rFonts w:ascii="Times New Roman"/>
                <w:sz w:val="8"/>
              </w:rPr>
            </w:pPr>
          </w:p>
        </w:tc>
        <w:tc>
          <w:tcPr>
            <w:tcW w:w="1103" w:type="dxa"/>
          </w:tcPr>
          <w:p>
            <w:pPr>
              <w:pStyle w:val="TableParagraph"/>
              <w:rPr>
                <w:rFonts w:ascii="Times New Roman"/>
                <w:sz w:val="8"/>
              </w:rPr>
            </w:pPr>
          </w:p>
        </w:tc>
        <w:tc>
          <w:tcPr>
            <w:tcW w:w="1057" w:type="dxa"/>
          </w:tcPr>
          <w:p>
            <w:pPr>
              <w:pStyle w:val="TableParagraph"/>
              <w:rPr>
                <w:rFonts w:ascii="Times New Roman"/>
                <w:sz w:val="8"/>
              </w:rPr>
            </w:pPr>
          </w:p>
        </w:tc>
        <w:tc>
          <w:tcPr>
            <w:tcW w:w="1017" w:type="dxa"/>
          </w:tcPr>
          <w:p>
            <w:pPr>
              <w:pStyle w:val="TableParagraph"/>
              <w:rPr>
                <w:rFonts w:ascii="Times New Roman"/>
                <w:sz w:val="8"/>
              </w:rPr>
            </w:pPr>
          </w:p>
        </w:tc>
        <w:tc>
          <w:tcPr>
            <w:tcW w:w="1079" w:type="dxa"/>
            <w:shd w:val="clear" w:color="auto" w:fill="BFBFBF"/>
          </w:tcPr>
          <w:p>
            <w:pPr>
              <w:pStyle w:val="TableParagraph"/>
              <w:rPr>
                <w:rFonts w:ascii="Times New Roman"/>
                <w:sz w:val="8"/>
              </w:rPr>
            </w:pPr>
          </w:p>
        </w:tc>
        <w:tc>
          <w:tcPr>
            <w:tcW w:w="1079" w:type="dxa"/>
          </w:tcPr>
          <w:p>
            <w:pPr>
              <w:pStyle w:val="TableParagraph"/>
              <w:spacing w:line="100" w:lineRule="exact" w:before="12"/>
              <w:ind w:right="58"/>
              <w:jc w:val="right"/>
              <w:rPr>
                <w:sz w:val="10"/>
              </w:rPr>
            </w:pPr>
            <w:r>
              <w:rPr>
                <w:w w:val="105"/>
                <w:sz w:val="10"/>
              </w:rPr>
              <w:t>0.00</w:t>
            </w:r>
          </w:p>
        </w:tc>
        <w:tc>
          <w:tcPr>
            <w:tcW w:w="1161" w:type="dxa"/>
          </w:tcPr>
          <w:p>
            <w:pPr>
              <w:pStyle w:val="TableParagraph"/>
              <w:rPr>
                <w:rFonts w:ascii="Times New Roman"/>
                <w:sz w:val="8"/>
              </w:rPr>
            </w:pPr>
          </w:p>
        </w:tc>
        <w:tc>
          <w:tcPr>
            <w:tcW w:w="962" w:type="dxa"/>
          </w:tcPr>
          <w:p>
            <w:pPr>
              <w:pStyle w:val="TableParagraph"/>
              <w:rPr>
                <w:rFonts w:ascii="Times New Roman"/>
                <w:sz w:val="8"/>
              </w:rPr>
            </w:pPr>
          </w:p>
        </w:tc>
      </w:tr>
      <w:tr>
        <w:trPr>
          <w:trHeight w:val="133" w:hRule="atLeast"/>
        </w:trPr>
        <w:tc>
          <w:tcPr>
            <w:tcW w:w="2866" w:type="dxa"/>
          </w:tcPr>
          <w:p>
            <w:pPr>
              <w:pStyle w:val="TableParagraph"/>
              <w:spacing w:line="97" w:lineRule="exact" w:before="16"/>
              <w:ind w:left="245"/>
              <w:rPr>
                <w:sz w:val="10"/>
              </w:rPr>
            </w:pPr>
            <w:r>
              <w:rPr>
                <w:w w:val="110"/>
                <w:sz w:val="10"/>
              </w:rPr>
              <w:t>Fund Reconciliation</w:t>
            </w:r>
          </w:p>
        </w:tc>
        <w:tc>
          <w:tcPr>
            <w:tcW w:w="1143" w:type="dxa"/>
          </w:tcPr>
          <w:p>
            <w:pPr>
              <w:pStyle w:val="TableParagraph"/>
              <w:rPr>
                <w:rFonts w:ascii="Times New Roman"/>
                <w:sz w:val="8"/>
              </w:rPr>
            </w:pPr>
          </w:p>
        </w:tc>
        <w:tc>
          <w:tcPr>
            <w:tcW w:w="1103" w:type="dxa"/>
          </w:tcPr>
          <w:p>
            <w:pPr>
              <w:pStyle w:val="TableParagraph"/>
              <w:rPr>
                <w:rFonts w:ascii="Times New Roman"/>
                <w:sz w:val="8"/>
              </w:rPr>
            </w:pPr>
          </w:p>
        </w:tc>
        <w:tc>
          <w:tcPr>
            <w:tcW w:w="1057" w:type="dxa"/>
          </w:tcPr>
          <w:p>
            <w:pPr>
              <w:pStyle w:val="TableParagraph"/>
              <w:rPr>
                <w:rFonts w:ascii="Times New Roman"/>
                <w:sz w:val="8"/>
              </w:rPr>
            </w:pPr>
          </w:p>
        </w:tc>
        <w:tc>
          <w:tcPr>
            <w:tcW w:w="1017" w:type="dxa"/>
          </w:tcPr>
          <w:p>
            <w:pPr>
              <w:pStyle w:val="TableParagraph"/>
              <w:rPr>
                <w:rFonts w:ascii="Times New Roman"/>
                <w:sz w:val="8"/>
              </w:rPr>
            </w:pPr>
          </w:p>
        </w:tc>
        <w:tc>
          <w:tcPr>
            <w:tcW w:w="1079" w:type="dxa"/>
          </w:tcPr>
          <w:p>
            <w:pPr>
              <w:pStyle w:val="TableParagraph"/>
              <w:rPr>
                <w:rFonts w:ascii="Times New Roman"/>
                <w:sz w:val="8"/>
              </w:rPr>
            </w:pPr>
          </w:p>
        </w:tc>
        <w:tc>
          <w:tcPr>
            <w:tcW w:w="1079" w:type="dxa"/>
          </w:tcPr>
          <w:p>
            <w:pPr>
              <w:pStyle w:val="TableParagraph"/>
              <w:rPr>
                <w:rFonts w:ascii="Times New Roman"/>
                <w:sz w:val="8"/>
              </w:rPr>
            </w:pPr>
          </w:p>
        </w:tc>
        <w:tc>
          <w:tcPr>
            <w:tcW w:w="1161" w:type="dxa"/>
          </w:tcPr>
          <w:p>
            <w:pPr>
              <w:pStyle w:val="TableParagraph"/>
              <w:spacing w:line="97" w:lineRule="exact" w:before="16"/>
              <w:ind w:right="139"/>
              <w:jc w:val="right"/>
              <w:rPr>
                <w:sz w:val="10"/>
              </w:rPr>
            </w:pPr>
            <w:r>
              <w:rPr>
                <w:w w:val="105"/>
                <w:sz w:val="10"/>
              </w:rPr>
              <w:t>0.00</w:t>
            </w:r>
          </w:p>
        </w:tc>
        <w:tc>
          <w:tcPr>
            <w:tcW w:w="962" w:type="dxa"/>
          </w:tcPr>
          <w:p>
            <w:pPr>
              <w:pStyle w:val="TableParagraph"/>
              <w:spacing w:line="97" w:lineRule="exact" w:before="16"/>
              <w:ind w:right="21"/>
              <w:jc w:val="right"/>
              <w:rPr>
                <w:sz w:val="10"/>
              </w:rPr>
            </w:pPr>
            <w:r>
              <w:rPr>
                <w:w w:val="105"/>
                <w:sz w:val="10"/>
              </w:rPr>
              <w:t>0.00</w:t>
            </w:r>
          </w:p>
        </w:tc>
      </w:tr>
    </w:tbl>
    <w:p>
      <w:pPr>
        <w:spacing w:after="0" w:line="97" w:lineRule="exact"/>
        <w:jc w:val="right"/>
        <w:rPr>
          <w:sz w:val="10"/>
        </w:rPr>
        <w:sectPr>
          <w:headerReference w:type="default" r:id="rId1811"/>
          <w:footerReference w:type="default" r:id="rId1812"/>
          <w:pgSz w:w="12240" w:h="15840"/>
          <w:pgMar w:header="541" w:footer="356" w:top="1020" w:bottom="540" w:left="40" w:right="40"/>
          <w:pgNumType w:start="1"/>
        </w:sectPr>
      </w:pPr>
    </w:p>
    <w:p>
      <w:pPr>
        <w:pStyle w:val="BodyText"/>
        <w:rPr>
          <w:b/>
          <w:sz w:val="20"/>
        </w:rPr>
      </w:pPr>
      <w:r>
        <w:rPr/>
        <w:pict>
          <v:group style="position:absolute;margin-left:17.760pt;margin-top:57.720001pt;width:576.25pt;height:282.850pt;mso-position-horizontal-relative:page;mso-position-vertical-relative:page;z-index:-313673728" coordorigin="355,1154" coordsize="11525,5657">
            <v:shape style="position:absolute;left:355;top:1154;width:11525;height:214" type="#_x0000_t75" stroked="false">
              <v:imagedata r:id="rId1813" o:title=""/>
            </v:shape>
            <v:shape style="position:absolute;left:355;top:1195;width:11525;height:740" type="#_x0000_t75" stroked="false">
              <v:imagedata r:id="rId1814" o:title=""/>
            </v:shape>
            <v:shape style="position:absolute;left:3218;top:1795;width:8662;height:692" type="#_x0000_t75" stroked="false">
              <v:imagedata r:id="rId1815" o:title=""/>
            </v:shape>
            <v:shape style="position:absolute;left:3218;top:2342;width:2182;height:276" type="#_x0000_t75" stroked="false">
              <v:imagedata r:id="rId1866" o:title=""/>
            </v:shape>
            <v:shape style="position:absolute;left:5378;top:2342;width:1095;height:276" type="#_x0000_t75" stroked="false">
              <v:imagedata r:id="rId1867" o:title=""/>
            </v:shape>
            <v:shape style="position:absolute;left:6465;top:2342;width:1095;height:413" type="#_x0000_t75" stroked="false">
              <v:imagedata r:id="rId1818" o:title=""/>
            </v:shape>
            <v:shape style="position:absolute;left:7538;top:2342;width:4342;height:418" type="#_x0000_t75" stroked="false">
              <v:imagedata r:id="rId1868" o:title=""/>
            </v:shape>
            <v:shape style="position:absolute;left:7538;top:2752;width:4342;height:555" type="#_x0000_t75" stroked="false">
              <v:imagedata r:id="rId1869" o:title=""/>
            </v:shape>
            <v:shape style="position:absolute;left:8625;top:3300;width:3255;height:550" type="#_x0000_t75" stroked="false">
              <v:imagedata r:id="rId1870" o:title=""/>
            </v:shape>
            <v:shape style="position:absolute;left:7538;top:3300;width:1095;height:418" type="#_x0000_t75" stroked="false">
              <v:imagedata r:id="rId1871" o:title=""/>
            </v:shape>
            <v:shape style="position:absolute;left:8625;top:3710;width:3255;height:687" type="#_x0000_t75" stroked="false">
              <v:imagedata r:id="rId1872" o:title=""/>
            </v:shape>
            <v:shape style="position:absolute;left:9705;top:4257;width:2175;height:144" type="#_x0000_t75" stroked="false">
              <v:imagedata r:id="rId1873" o:title=""/>
            </v:shape>
            <v:shape style="position:absolute;left:9698;top:4394;width:2182;height:555" type="#_x0000_t75" stroked="false">
              <v:imagedata r:id="rId1874" o:title=""/>
            </v:shape>
            <v:shape style="position:absolute;left:9698;top:4941;width:2182;height:564" type="#_x0000_t75" stroked="false">
              <v:imagedata r:id="rId1875" o:title=""/>
            </v:shape>
            <v:shape style="position:absolute;left:9698;top:5498;width:2182;height:584" type="#_x0000_t75" stroked="false">
              <v:imagedata r:id="rId1876" o:title=""/>
            </v:shape>
            <v:shape style="position:absolute;left:5378;top:2616;width:22;height:276" type="#_x0000_t75" stroked="false">
              <v:imagedata r:id="rId1820" o:title=""/>
            </v:shape>
            <v:shape style="position:absolute;left:3218;top:2616;width:2182;height:418" type="#_x0000_t75" stroked="false">
              <v:imagedata r:id="rId1832" o:title=""/>
            </v:shape>
            <v:shape style="position:absolute;left:5378;top:2889;width:22;height:276" type="#_x0000_t75" stroked="false">
              <v:imagedata r:id="rId1820" o:title=""/>
            </v:shape>
            <v:shape style="position:absolute;left:5378;top:3026;width:22;height:276" type="#_x0000_t75" stroked="false">
              <v:imagedata r:id="rId1820" o:title=""/>
            </v:shape>
            <v:shape style="position:absolute;left:5378;top:3163;width:22;height:276" type="#_x0000_t75" stroked="false">
              <v:imagedata r:id="rId1820" o:title=""/>
            </v:shape>
            <v:shape style="position:absolute;left:3218;top:3026;width:2182;height:555" type="#_x0000_t75" stroked="false">
              <v:imagedata r:id="rId1841" o:title=""/>
            </v:shape>
            <v:shape style="position:absolute;left:5378;top:3436;width:22;height:276" type="#_x0000_t75" stroked="false">
              <v:imagedata r:id="rId1820" o:title=""/>
            </v:shape>
            <v:shape style="position:absolute;left:5378;top:3573;width:22;height:276" type="#_x0000_t75" stroked="false">
              <v:imagedata r:id="rId1820" o:title=""/>
            </v:shape>
            <v:shape style="position:absolute;left:5378;top:3710;width:22;height:276" type="#_x0000_t75" stroked="false">
              <v:imagedata r:id="rId1820" o:title=""/>
            </v:shape>
            <v:shape style="position:absolute;left:3218;top:3573;width:1095;height:687" type="#_x0000_t75" stroked="false">
              <v:imagedata r:id="rId1845" o:title=""/>
            </v:shape>
            <v:shape style="position:absolute;left:5378;top:3847;width:22;height:276" type="#_x0000_t75" stroked="false">
              <v:imagedata r:id="rId1820" o:title=""/>
            </v:shape>
            <v:shape style="position:absolute;left:4305;top:3984;width:1095;height:276" type="#_x0000_t75" stroked="false">
              <v:imagedata r:id="rId1859" o:title=""/>
            </v:shape>
            <v:shape style="position:absolute;left:5378;top:4120;width:22;height:276" type="#_x0000_t75" stroked="false">
              <v:imagedata r:id="rId1820" o:title=""/>
            </v:shape>
            <v:shape style="position:absolute;left:5378;top:4257;width:22;height:276" type="#_x0000_t75" stroked="false">
              <v:imagedata r:id="rId1820" o:title=""/>
            </v:shape>
            <v:shape style="position:absolute;left:3218;top:4257;width:1095;height:418" type="#_x0000_t75" stroked="false">
              <v:imagedata r:id="rId1839" o:title=""/>
            </v:shape>
            <v:shape style="position:absolute;left:4305;top:4257;width:1095;height:418" type="#_x0000_t75" stroked="false">
              <v:imagedata r:id="rId1840" o:title=""/>
            </v:shape>
            <v:shape style="position:absolute;left:3218;top:4531;width:2182;height:276" type="#_x0000_t75" stroked="false">
              <v:imagedata r:id="rId1877" o:title=""/>
            </v:shape>
            <v:shape style="position:absolute;left:3218;top:4804;width:1095;height:560" type="#_x0000_t75" stroked="false">
              <v:imagedata r:id="rId1878" o:title=""/>
            </v:shape>
            <v:shape style="position:absolute;left:4305;top:4668;width:1095;height:696" type="#_x0000_t75" stroked="false">
              <v:imagedata r:id="rId1879" o:title=""/>
            </v:shape>
            <v:shape style="position:absolute;left:5378;top:5215;width:22;height:286" type="#_x0000_t75" stroked="false">
              <v:imagedata r:id="rId1880" o:title=""/>
            </v:shape>
            <v:shape style="position:absolute;left:5378;top:5361;width:22;height:286" type="#_x0000_t75" stroked="false">
              <v:imagedata r:id="rId1880" o:title=""/>
            </v:shape>
            <v:shape style="position:absolute;left:5378;top:5498;width:22;height:296" type="#_x0000_t75" stroked="false">
              <v:imagedata r:id="rId1881" o:title=""/>
            </v:shape>
            <v:shape style="position:absolute;left:5378;top:5644;width:22;height:296" type="#_x0000_t75" stroked="false">
              <v:imagedata r:id="rId1881" o:title=""/>
            </v:shape>
            <v:shape style="position:absolute;left:5378;top:5791;width:22;height:286" type="#_x0000_t75" stroked="false">
              <v:imagedata r:id="rId1880" o:title=""/>
            </v:shape>
            <v:shape style="position:absolute;left:5378;top:5937;width:22;height:286" type="#_x0000_t75" stroked="false">
              <v:imagedata r:id="rId1880" o:title=""/>
            </v:shape>
            <v:shape style="position:absolute;left:5378;top:6074;width:22;height:296" type="#_x0000_t75" stroked="false">
              <v:imagedata r:id="rId1881" o:title=""/>
            </v:shape>
            <v:shape style="position:absolute;left:6465;top:2752;width:8;height:1781" type="#_x0000_t75" stroked="false">
              <v:imagedata r:id="rId1882" o:title=""/>
            </v:shape>
            <v:shape style="position:absolute;left:6465;top:4531;width:8;height:140" type="#_x0000_t75" stroked="false">
              <v:imagedata r:id="rId1856" o:title=""/>
            </v:shape>
            <v:shape style="position:absolute;left:6465;top:4668;width:8;height:140" type="#_x0000_t75" stroked="false">
              <v:imagedata r:id="rId1856" o:title=""/>
            </v:shape>
            <v:shape style="position:absolute;left:6465;top:4804;width:8;height:140" type="#_x0000_t75" stroked="false">
              <v:imagedata r:id="rId1856" o:title=""/>
            </v:shape>
            <v:shape style="position:absolute;left:6465;top:4941;width:8;height:140" type="#_x0000_t75" stroked="false">
              <v:imagedata r:id="rId1856" o:title=""/>
            </v:shape>
            <v:shape style="position:absolute;left:6465;top:5078;width:8;height:140" type="#_x0000_t75" stroked="false">
              <v:imagedata r:id="rId1856" o:title=""/>
            </v:shape>
            <v:shape style="position:absolute;left:7538;top:3710;width:1095;height:555" type="#_x0000_t75" stroked="false">
              <v:imagedata r:id="rId1883" o:title=""/>
            </v:shape>
            <v:shape style="position:absolute;left:7538;top:4257;width:1095;height:555" type="#_x0000_t75" stroked="false">
              <v:imagedata r:id="rId1884" o:title=""/>
            </v:shape>
            <v:shape style="position:absolute;left:7538;top:4804;width:22;height:696" type="#_x0000_t75" stroked="false">
              <v:imagedata r:id="rId1885" o:title=""/>
            </v:shape>
            <v:shape style="position:absolute;left:7538;top:4394;width:1095;height:1107" type="#_x0000_t75" stroked="false">
              <v:imagedata r:id="rId1886" o:title=""/>
            </v:shape>
            <v:shape style="position:absolute;left:7538;top:5498;width:22;height:149" type="#_x0000_t75" stroked="false">
              <v:imagedata r:id="rId1887" o:title=""/>
            </v:shape>
            <v:shape style="position:absolute;left:7538;top:5498;width:22;height:296" type="#_x0000_t75" stroked="false">
              <v:imagedata r:id="rId1881" o:title=""/>
            </v:shape>
            <v:shape style="position:absolute;left:7538;top:5644;width:22;height:296" type="#_x0000_t75" stroked="false">
              <v:imagedata r:id="rId1881" o:title=""/>
            </v:shape>
            <v:shape style="position:absolute;left:7538;top:5791;width:22;height:286" type="#_x0000_t75" stroked="false">
              <v:imagedata r:id="rId1880" o:title=""/>
            </v:shape>
            <v:shape style="position:absolute;left:7538;top:5937;width:22;height:286" type="#_x0000_t75" stroked="false">
              <v:imagedata r:id="rId1880" o:title=""/>
            </v:shape>
            <v:shape style="position:absolute;left:7538;top:6074;width:22;height:296" type="#_x0000_t75" stroked="false">
              <v:imagedata r:id="rId1881" o:title=""/>
            </v:shape>
            <v:shape style="position:absolute;left:355;top:1932;width:11525;height:4880" type="#_x0000_t75" stroked="false">
              <v:imagedata r:id="rId1888" o:title=""/>
            </v:shape>
            <v:shape style="position:absolute;left:3627;top:1244;width:1217;height:121" type="#_x0000_t202" filled="false" stroked="false">
              <v:textbox inset="0,0,0,0">
                <w:txbxContent>
                  <w:p>
                    <w:pPr>
                      <w:spacing w:before="3"/>
                      <w:ind w:left="0" w:right="0" w:firstLine="0"/>
                      <w:jc w:val="left"/>
                      <w:rPr>
                        <w:b/>
                        <w:sz w:val="10"/>
                      </w:rPr>
                    </w:pPr>
                    <w:r>
                      <w:rPr>
                        <w:b/>
                        <w:w w:val="110"/>
                        <w:sz w:val="10"/>
                      </w:rPr>
                      <w:t>Direct</w:t>
                    </w:r>
                    <w:r>
                      <w:rPr>
                        <w:b/>
                        <w:spacing w:val="-8"/>
                        <w:w w:val="110"/>
                        <w:sz w:val="10"/>
                      </w:rPr>
                      <w:t> </w:t>
                    </w:r>
                    <w:r>
                      <w:rPr>
                        <w:b/>
                        <w:w w:val="110"/>
                        <w:sz w:val="10"/>
                      </w:rPr>
                      <w:t>Costs</w:t>
                    </w:r>
                    <w:r>
                      <w:rPr>
                        <w:b/>
                        <w:spacing w:val="-9"/>
                        <w:w w:val="110"/>
                        <w:sz w:val="10"/>
                      </w:rPr>
                      <w:t> </w:t>
                    </w:r>
                    <w:r>
                      <w:rPr>
                        <w:b/>
                        <w:w w:val="110"/>
                        <w:sz w:val="10"/>
                      </w:rPr>
                      <w:t>-</w:t>
                    </w:r>
                    <w:r>
                      <w:rPr>
                        <w:b/>
                        <w:spacing w:val="-8"/>
                        <w:w w:val="110"/>
                        <w:sz w:val="10"/>
                      </w:rPr>
                      <w:t> </w:t>
                    </w:r>
                    <w:r>
                      <w:rPr>
                        <w:b/>
                        <w:w w:val="110"/>
                        <w:sz w:val="10"/>
                      </w:rPr>
                      <w:t>Interfund</w:t>
                    </w:r>
                  </w:p>
                </w:txbxContent>
              </v:textbox>
              <w10:wrap type="none"/>
            </v:shape>
            <v:shape style="position:absolute;left:5832;top:1244;width:1298;height:121" type="#_x0000_t202" filled="false" stroked="false">
              <v:textbox inset="0,0,0,0">
                <w:txbxContent>
                  <w:p>
                    <w:pPr>
                      <w:spacing w:before="3"/>
                      <w:ind w:left="0" w:right="0" w:firstLine="0"/>
                      <w:jc w:val="left"/>
                      <w:rPr>
                        <w:b/>
                        <w:sz w:val="10"/>
                      </w:rPr>
                    </w:pPr>
                    <w:r>
                      <w:rPr>
                        <w:b/>
                        <w:w w:val="110"/>
                        <w:sz w:val="10"/>
                      </w:rPr>
                      <w:t>Indirect</w:t>
                    </w:r>
                    <w:r>
                      <w:rPr>
                        <w:b/>
                        <w:spacing w:val="-10"/>
                        <w:w w:val="110"/>
                        <w:sz w:val="10"/>
                      </w:rPr>
                      <w:t> </w:t>
                    </w:r>
                    <w:r>
                      <w:rPr>
                        <w:b/>
                        <w:w w:val="110"/>
                        <w:sz w:val="10"/>
                      </w:rPr>
                      <w:t>Costs</w:t>
                    </w:r>
                    <w:r>
                      <w:rPr>
                        <w:b/>
                        <w:spacing w:val="-10"/>
                        <w:w w:val="110"/>
                        <w:sz w:val="10"/>
                      </w:rPr>
                      <w:t> </w:t>
                    </w:r>
                    <w:r>
                      <w:rPr>
                        <w:b/>
                        <w:w w:val="110"/>
                        <w:sz w:val="10"/>
                      </w:rPr>
                      <w:t>-</w:t>
                    </w:r>
                    <w:r>
                      <w:rPr>
                        <w:b/>
                        <w:spacing w:val="-10"/>
                        <w:w w:val="110"/>
                        <w:sz w:val="10"/>
                      </w:rPr>
                      <w:t> </w:t>
                    </w:r>
                    <w:r>
                      <w:rPr>
                        <w:b/>
                        <w:w w:val="110"/>
                        <w:sz w:val="10"/>
                      </w:rPr>
                      <w:t>Interfund</w:t>
                    </w:r>
                  </w:p>
                </w:txbxContent>
              </v:textbox>
              <w10:wrap type="none"/>
            </v:shape>
            <v:shape style="position:absolute;left:7860;top:1244;width:484;height:121" type="#_x0000_t202" filled="false" stroked="false">
              <v:textbox inset="0,0,0,0">
                <w:txbxContent>
                  <w:p>
                    <w:pPr>
                      <w:spacing w:before="3"/>
                      <w:ind w:left="0" w:right="0" w:firstLine="0"/>
                      <w:jc w:val="left"/>
                      <w:rPr>
                        <w:b/>
                        <w:sz w:val="10"/>
                      </w:rPr>
                    </w:pPr>
                    <w:r>
                      <w:rPr>
                        <w:b/>
                        <w:w w:val="105"/>
                        <w:sz w:val="10"/>
                      </w:rPr>
                      <w:t>Interfund</w:t>
                    </w:r>
                  </w:p>
                </w:txbxContent>
              </v:textbox>
              <w10:wrap type="none"/>
            </v:shape>
            <v:shape style="position:absolute;left:8940;top:1244;width:484;height:121" type="#_x0000_t202" filled="false" stroked="false">
              <v:textbox inset="0,0,0,0">
                <w:txbxContent>
                  <w:p>
                    <w:pPr>
                      <w:spacing w:before="3"/>
                      <w:ind w:left="0" w:right="0" w:firstLine="0"/>
                      <w:jc w:val="left"/>
                      <w:rPr>
                        <w:b/>
                        <w:sz w:val="10"/>
                      </w:rPr>
                    </w:pPr>
                    <w:r>
                      <w:rPr>
                        <w:b/>
                        <w:w w:val="105"/>
                        <w:sz w:val="10"/>
                      </w:rPr>
                      <w:t>Interfund</w:t>
                    </w:r>
                  </w:p>
                </w:txbxContent>
              </v:textbox>
              <w10:wrap type="none"/>
            </v:shape>
            <v:shape style="position:absolute;left:10000;top:1244;width:522;height:121" type="#_x0000_t202" filled="false" stroked="false">
              <v:textbox inset="0,0,0,0">
                <w:txbxContent>
                  <w:p>
                    <w:pPr>
                      <w:spacing w:before="3"/>
                      <w:ind w:left="0" w:right="0" w:firstLine="0"/>
                      <w:jc w:val="left"/>
                      <w:rPr>
                        <w:b/>
                        <w:sz w:val="10"/>
                      </w:rPr>
                    </w:pPr>
                    <w:r>
                      <w:rPr>
                        <w:b/>
                        <w:w w:val="110"/>
                        <w:sz w:val="10"/>
                      </w:rPr>
                      <w:t>Due From</w:t>
                    </w:r>
                  </w:p>
                </w:txbxContent>
              </v:textbox>
              <w10:wrap type="none"/>
            </v:shape>
            <v:shape style="position:absolute;left:11148;top:1244;width:389;height:121" type="#_x0000_t202" filled="false" stroked="false">
              <v:textbox inset="0,0,0,0">
                <w:txbxContent>
                  <w:p>
                    <w:pPr>
                      <w:spacing w:before="3"/>
                      <w:ind w:left="0" w:right="0" w:firstLine="0"/>
                      <w:jc w:val="left"/>
                      <w:rPr>
                        <w:b/>
                        <w:sz w:val="10"/>
                      </w:rPr>
                    </w:pPr>
                    <w:r>
                      <w:rPr>
                        <w:b/>
                        <w:w w:val="110"/>
                        <w:sz w:val="10"/>
                      </w:rPr>
                      <w:t>Due To</w:t>
                    </w:r>
                  </w:p>
                </w:txbxContent>
              </v:textbox>
              <w10:wrap type="none"/>
            </v:shape>
            <w10:wrap type="none"/>
          </v:group>
        </w:pict>
      </w:r>
      <w:r>
        <w:rPr/>
        <w:pict>
          <v:group style="position:absolute;margin-left:268.920013pt;margin-top:311.040009pt;width:1.1pt;height:22.1pt;mso-position-horizontal-relative:page;mso-position-vertical-relative:page;z-index:-313672704" coordorigin="5378,6221" coordsize="22,442">
            <v:shape style="position:absolute;left:5378;top:6220;width:22;height:296" type="#_x0000_t75" stroked="false">
              <v:imagedata r:id="rId1881" o:title=""/>
            </v:shape>
            <v:shape style="position:absolute;left:5378;top:6367;width:22;height:296" type="#_x0000_t75" stroked="false">
              <v:imagedata r:id="rId1881" o:title=""/>
            </v:shape>
            <w10:wrap type="none"/>
          </v:group>
        </w:pict>
      </w:r>
      <w:r>
        <w:rPr/>
        <w:pict>
          <v:group style="position:absolute;margin-left:376.920013pt;margin-top:311.040009pt;width:1.1pt;height:22.1pt;mso-position-horizontal-relative:page;mso-position-vertical-relative:page;z-index:-313671680" coordorigin="7538,6221" coordsize="22,442">
            <v:shape style="position:absolute;left:7538;top:6220;width:22;height:296" type="#_x0000_t75" stroked="false">
              <v:imagedata r:id="rId1881" o:title=""/>
            </v:shape>
            <v:shape style="position:absolute;left:7538;top:6367;width:22;height:296" type="#_x0000_t75" stroked="false">
              <v:imagedata r:id="rId1881" o:title=""/>
            </v:shape>
            <w10:wrap type="none"/>
          </v:group>
        </w:pict>
      </w:r>
    </w:p>
    <w:p>
      <w:pPr>
        <w:pStyle w:val="BodyText"/>
        <w:spacing w:before="7"/>
        <w:rPr>
          <w:b/>
          <w:sz w:val="10"/>
        </w:rPr>
      </w:pPr>
    </w:p>
    <w:tbl>
      <w:tblPr>
        <w:tblW w:w="0" w:type="auto"/>
        <w:jc w:val="left"/>
        <w:tblInd w:w="3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66"/>
        <w:gridCol w:w="1142"/>
        <w:gridCol w:w="1102"/>
        <w:gridCol w:w="1056"/>
        <w:gridCol w:w="1102"/>
        <w:gridCol w:w="1056"/>
        <w:gridCol w:w="1016"/>
        <w:gridCol w:w="1160"/>
        <w:gridCol w:w="961"/>
      </w:tblGrid>
      <w:tr>
        <w:trPr>
          <w:trHeight w:val="123" w:hRule="atLeast"/>
        </w:trPr>
        <w:tc>
          <w:tcPr>
            <w:tcW w:w="2866" w:type="dxa"/>
          </w:tcPr>
          <w:p>
            <w:pPr>
              <w:pStyle w:val="TableParagraph"/>
              <w:rPr>
                <w:rFonts w:ascii="Times New Roman"/>
                <w:sz w:val="6"/>
              </w:rPr>
            </w:pPr>
          </w:p>
        </w:tc>
        <w:tc>
          <w:tcPr>
            <w:tcW w:w="1142" w:type="dxa"/>
          </w:tcPr>
          <w:p>
            <w:pPr>
              <w:pStyle w:val="TableParagraph"/>
              <w:spacing w:line="100" w:lineRule="exact" w:before="3"/>
              <w:ind w:left="232"/>
              <w:rPr>
                <w:b/>
                <w:sz w:val="10"/>
              </w:rPr>
            </w:pPr>
            <w:r>
              <w:rPr>
                <w:b/>
                <w:w w:val="110"/>
                <w:sz w:val="10"/>
              </w:rPr>
              <w:t>Transfers In</w:t>
            </w:r>
          </w:p>
        </w:tc>
        <w:tc>
          <w:tcPr>
            <w:tcW w:w="1102" w:type="dxa"/>
          </w:tcPr>
          <w:p>
            <w:pPr>
              <w:pStyle w:val="TableParagraph"/>
              <w:spacing w:line="100" w:lineRule="exact" w:before="3"/>
              <w:ind w:left="125"/>
              <w:rPr>
                <w:b/>
                <w:sz w:val="10"/>
              </w:rPr>
            </w:pPr>
            <w:r>
              <w:rPr>
                <w:b/>
                <w:w w:val="110"/>
                <w:sz w:val="10"/>
              </w:rPr>
              <w:t>Transfers Out</w:t>
            </w:r>
          </w:p>
        </w:tc>
        <w:tc>
          <w:tcPr>
            <w:tcW w:w="1056" w:type="dxa"/>
          </w:tcPr>
          <w:p>
            <w:pPr>
              <w:pStyle w:val="TableParagraph"/>
              <w:spacing w:line="100" w:lineRule="exact" w:before="3"/>
              <w:ind w:left="148"/>
              <w:rPr>
                <w:b/>
                <w:sz w:val="10"/>
              </w:rPr>
            </w:pPr>
            <w:r>
              <w:rPr>
                <w:b/>
                <w:w w:val="110"/>
                <w:sz w:val="10"/>
              </w:rPr>
              <w:t>Transfers In</w:t>
            </w:r>
          </w:p>
        </w:tc>
        <w:tc>
          <w:tcPr>
            <w:tcW w:w="1102" w:type="dxa"/>
          </w:tcPr>
          <w:p>
            <w:pPr>
              <w:pStyle w:val="TableParagraph"/>
              <w:spacing w:line="100" w:lineRule="exact" w:before="3"/>
              <w:ind w:left="127"/>
              <w:rPr>
                <w:b/>
                <w:sz w:val="10"/>
              </w:rPr>
            </w:pPr>
            <w:r>
              <w:rPr>
                <w:b/>
                <w:w w:val="110"/>
                <w:sz w:val="10"/>
              </w:rPr>
              <w:t>Transfers Out</w:t>
            </w:r>
          </w:p>
        </w:tc>
        <w:tc>
          <w:tcPr>
            <w:tcW w:w="1056" w:type="dxa"/>
          </w:tcPr>
          <w:p>
            <w:pPr>
              <w:pStyle w:val="TableParagraph"/>
              <w:spacing w:line="100" w:lineRule="exact" w:before="3"/>
              <w:ind w:left="150"/>
              <w:rPr>
                <w:b/>
                <w:sz w:val="10"/>
              </w:rPr>
            </w:pPr>
            <w:r>
              <w:rPr>
                <w:b/>
                <w:w w:val="110"/>
                <w:sz w:val="10"/>
              </w:rPr>
              <w:t>Transfers In</w:t>
            </w:r>
          </w:p>
        </w:tc>
        <w:tc>
          <w:tcPr>
            <w:tcW w:w="1016" w:type="dxa"/>
          </w:tcPr>
          <w:p>
            <w:pPr>
              <w:pStyle w:val="TableParagraph"/>
              <w:spacing w:line="100" w:lineRule="exact" w:before="3"/>
              <w:ind w:left="129"/>
              <w:rPr>
                <w:b/>
                <w:sz w:val="10"/>
              </w:rPr>
            </w:pPr>
            <w:r>
              <w:rPr>
                <w:b/>
                <w:w w:val="110"/>
                <w:sz w:val="10"/>
              </w:rPr>
              <w:t>Transfers Out</w:t>
            </w:r>
          </w:p>
        </w:tc>
        <w:tc>
          <w:tcPr>
            <w:tcW w:w="1160" w:type="dxa"/>
          </w:tcPr>
          <w:p>
            <w:pPr>
              <w:pStyle w:val="TableParagraph"/>
              <w:spacing w:line="100" w:lineRule="exact" w:before="3"/>
              <w:ind w:left="231"/>
              <w:rPr>
                <w:b/>
                <w:sz w:val="10"/>
              </w:rPr>
            </w:pPr>
            <w:r>
              <w:rPr>
                <w:b/>
                <w:w w:val="110"/>
                <w:sz w:val="10"/>
              </w:rPr>
              <w:t>Other Funds</w:t>
            </w:r>
          </w:p>
        </w:tc>
        <w:tc>
          <w:tcPr>
            <w:tcW w:w="961" w:type="dxa"/>
          </w:tcPr>
          <w:p>
            <w:pPr>
              <w:pStyle w:val="TableParagraph"/>
              <w:spacing w:line="100" w:lineRule="exact" w:before="3"/>
              <w:ind w:left="151"/>
              <w:rPr>
                <w:b/>
                <w:sz w:val="10"/>
              </w:rPr>
            </w:pPr>
            <w:r>
              <w:rPr>
                <w:b/>
                <w:w w:val="110"/>
                <w:sz w:val="10"/>
              </w:rPr>
              <w:t>Other Funds</w:t>
            </w:r>
          </w:p>
        </w:tc>
      </w:tr>
      <w:tr>
        <w:trPr>
          <w:trHeight w:val="443" w:hRule="atLeast"/>
        </w:trPr>
        <w:tc>
          <w:tcPr>
            <w:tcW w:w="2866" w:type="dxa"/>
          </w:tcPr>
          <w:p>
            <w:pPr>
              <w:pStyle w:val="TableParagraph"/>
              <w:spacing w:before="22"/>
              <w:ind w:left="26"/>
              <w:rPr>
                <w:b/>
                <w:sz w:val="12"/>
              </w:rPr>
            </w:pPr>
            <w:r>
              <w:rPr>
                <w:b/>
                <w:sz w:val="12"/>
              </w:rPr>
              <w:t>Description</w:t>
            </w:r>
          </w:p>
          <w:p>
            <w:pPr>
              <w:pStyle w:val="TableParagraph"/>
              <w:spacing w:line="130" w:lineRule="atLeast" w:before="7"/>
              <w:ind w:left="245" w:right="433" w:hanging="219"/>
              <w:rPr>
                <w:sz w:val="10"/>
              </w:rPr>
            </w:pPr>
            <w:r>
              <w:rPr>
                <w:w w:val="110"/>
                <w:sz w:val="10"/>
              </w:rPr>
              <w:t>61 CAFETERIA ENTERPRISE FUND Expenditure Detail</w:t>
            </w:r>
          </w:p>
        </w:tc>
        <w:tc>
          <w:tcPr>
            <w:tcW w:w="1142" w:type="dxa"/>
          </w:tcPr>
          <w:p>
            <w:pPr>
              <w:pStyle w:val="TableParagraph"/>
              <w:spacing w:before="7"/>
              <w:ind w:left="403" w:right="453"/>
              <w:jc w:val="center"/>
              <w:rPr>
                <w:b/>
                <w:sz w:val="10"/>
              </w:rPr>
            </w:pPr>
            <w:r>
              <w:rPr>
                <w:b/>
                <w:w w:val="110"/>
                <w:sz w:val="10"/>
              </w:rPr>
              <w:t>5750</w:t>
            </w:r>
          </w:p>
          <w:p>
            <w:pPr>
              <w:pStyle w:val="TableParagraph"/>
              <w:spacing w:before="1"/>
              <w:rPr>
                <w:b/>
                <w:sz w:val="17"/>
              </w:rPr>
            </w:pPr>
          </w:p>
          <w:p>
            <w:pPr>
              <w:pStyle w:val="TableParagraph"/>
              <w:spacing w:line="105" w:lineRule="exact"/>
              <w:ind w:right="122"/>
              <w:jc w:val="right"/>
              <w:rPr>
                <w:sz w:val="10"/>
              </w:rPr>
            </w:pPr>
            <w:r>
              <w:rPr>
                <w:w w:val="105"/>
                <w:sz w:val="10"/>
              </w:rPr>
              <w:t>0.00</w:t>
            </w:r>
          </w:p>
        </w:tc>
        <w:tc>
          <w:tcPr>
            <w:tcW w:w="1102" w:type="dxa"/>
          </w:tcPr>
          <w:p>
            <w:pPr>
              <w:pStyle w:val="TableParagraph"/>
              <w:spacing w:before="7"/>
              <w:ind w:left="362"/>
              <w:rPr>
                <w:b/>
                <w:sz w:val="10"/>
              </w:rPr>
            </w:pPr>
            <w:r>
              <w:rPr>
                <w:b/>
                <w:w w:val="110"/>
                <w:sz w:val="10"/>
              </w:rPr>
              <w:t>5750</w:t>
            </w:r>
          </w:p>
          <w:p>
            <w:pPr>
              <w:pStyle w:val="TableParagraph"/>
              <w:spacing w:before="1"/>
              <w:rPr>
                <w:b/>
                <w:sz w:val="17"/>
              </w:rPr>
            </w:pPr>
          </w:p>
          <w:p>
            <w:pPr>
              <w:pStyle w:val="TableParagraph"/>
              <w:spacing w:line="105" w:lineRule="exact"/>
              <w:ind w:right="144"/>
              <w:jc w:val="right"/>
              <w:rPr>
                <w:sz w:val="10"/>
              </w:rPr>
            </w:pPr>
            <w:r>
              <w:rPr>
                <w:w w:val="105"/>
                <w:sz w:val="10"/>
              </w:rPr>
              <w:t>0.00</w:t>
            </w:r>
          </w:p>
        </w:tc>
        <w:tc>
          <w:tcPr>
            <w:tcW w:w="1056" w:type="dxa"/>
          </w:tcPr>
          <w:p>
            <w:pPr>
              <w:pStyle w:val="TableParagraph"/>
              <w:spacing w:before="7"/>
              <w:ind w:left="340"/>
              <w:rPr>
                <w:b/>
                <w:sz w:val="10"/>
              </w:rPr>
            </w:pPr>
            <w:r>
              <w:rPr>
                <w:b/>
                <w:w w:val="110"/>
                <w:sz w:val="10"/>
              </w:rPr>
              <w:t>7350</w:t>
            </w:r>
          </w:p>
          <w:p>
            <w:pPr>
              <w:pStyle w:val="TableParagraph"/>
              <w:spacing w:before="1"/>
              <w:rPr>
                <w:b/>
                <w:sz w:val="17"/>
              </w:rPr>
            </w:pPr>
          </w:p>
          <w:p>
            <w:pPr>
              <w:pStyle w:val="TableParagraph"/>
              <w:spacing w:line="105" w:lineRule="exact"/>
              <w:ind w:right="120"/>
              <w:jc w:val="right"/>
              <w:rPr>
                <w:sz w:val="10"/>
              </w:rPr>
            </w:pPr>
            <w:r>
              <w:rPr>
                <w:w w:val="105"/>
                <w:sz w:val="10"/>
              </w:rPr>
              <w:t>0.00</w:t>
            </w:r>
          </w:p>
        </w:tc>
        <w:tc>
          <w:tcPr>
            <w:tcW w:w="1102" w:type="dxa"/>
          </w:tcPr>
          <w:p>
            <w:pPr>
              <w:pStyle w:val="TableParagraph"/>
              <w:spacing w:before="7"/>
              <w:ind w:left="364"/>
              <w:rPr>
                <w:b/>
                <w:sz w:val="10"/>
              </w:rPr>
            </w:pPr>
            <w:r>
              <w:rPr>
                <w:b/>
                <w:w w:val="110"/>
                <w:sz w:val="10"/>
              </w:rPr>
              <w:t>7350</w:t>
            </w:r>
          </w:p>
          <w:p>
            <w:pPr>
              <w:pStyle w:val="TableParagraph"/>
              <w:spacing w:before="1"/>
              <w:rPr>
                <w:b/>
                <w:sz w:val="17"/>
              </w:rPr>
            </w:pPr>
          </w:p>
          <w:p>
            <w:pPr>
              <w:pStyle w:val="TableParagraph"/>
              <w:spacing w:line="105" w:lineRule="exact"/>
              <w:ind w:right="142"/>
              <w:jc w:val="right"/>
              <w:rPr>
                <w:sz w:val="10"/>
              </w:rPr>
            </w:pPr>
            <w:r>
              <w:rPr>
                <w:w w:val="105"/>
                <w:sz w:val="10"/>
              </w:rPr>
              <w:t>0.00</w:t>
            </w:r>
          </w:p>
        </w:tc>
        <w:tc>
          <w:tcPr>
            <w:tcW w:w="1056" w:type="dxa"/>
          </w:tcPr>
          <w:p>
            <w:pPr>
              <w:pStyle w:val="TableParagraph"/>
              <w:spacing w:before="7"/>
              <w:ind w:left="203"/>
              <w:rPr>
                <w:b/>
                <w:sz w:val="10"/>
              </w:rPr>
            </w:pPr>
            <w:r>
              <w:rPr>
                <w:b/>
                <w:w w:val="110"/>
                <w:sz w:val="10"/>
              </w:rPr>
              <w:t>8900-8929</w:t>
            </w:r>
          </w:p>
        </w:tc>
        <w:tc>
          <w:tcPr>
            <w:tcW w:w="1016" w:type="dxa"/>
          </w:tcPr>
          <w:p>
            <w:pPr>
              <w:pStyle w:val="TableParagraph"/>
              <w:spacing w:before="7"/>
              <w:ind w:left="227"/>
              <w:rPr>
                <w:b/>
                <w:sz w:val="10"/>
              </w:rPr>
            </w:pPr>
            <w:r>
              <w:rPr>
                <w:b/>
                <w:w w:val="110"/>
                <w:sz w:val="10"/>
              </w:rPr>
              <w:t>7600-7629</w:t>
            </w:r>
          </w:p>
        </w:tc>
        <w:tc>
          <w:tcPr>
            <w:tcW w:w="1160" w:type="dxa"/>
          </w:tcPr>
          <w:p>
            <w:pPr>
              <w:pStyle w:val="TableParagraph"/>
              <w:spacing w:before="7"/>
              <w:ind w:left="409" w:right="465"/>
              <w:jc w:val="center"/>
              <w:rPr>
                <w:b/>
                <w:sz w:val="10"/>
              </w:rPr>
            </w:pPr>
            <w:r>
              <w:rPr>
                <w:b/>
                <w:w w:val="110"/>
                <w:sz w:val="10"/>
              </w:rPr>
              <w:t>9310</w:t>
            </w:r>
          </w:p>
        </w:tc>
        <w:tc>
          <w:tcPr>
            <w:tcW w:w="961" w:type="dxa"/>
          </w:tcPr>
          <w:p>
            <w:pPr>
              <w:pStyle w:val="TableParagraph"/>
              <w:spacing w:before="7"/>
              <w:ind w:left="329" w:right="346"/>
              <w:jc w:val="center"/>
              <w:rPr>
                <w:b/>
                <w:sz w:val="10"/>
              </w:rPr>
            </w:pPr>
            <w:r>
              <w:rPr>
                <w:b/>
                <w:w w:val="110"/>
                <w:sz w:val="10"/>
              </w:rPr>
              <w:t>9610</w:t>
            </w:r>
          </w:p>
        </w:tc>
      </w:tr>
      <w:tr>
        <w:trPr>
          <w:trHeight w:val="542" w:hRule="atLeast"/>
        </w:trPr>
        <w:tc>
          <w:tcPr>
            <w:tcW w:w="2866" w:type="dxa"/>
          </w:tcPr>
          <w:p>
            <w:pPr>
              <w:pStyle w:val="TableParagraph"/>
              <w:spacing w:line="285" w:lineRule="auto" w:before="12"/>
              <w:ind w:left="245" w:right="1088"/>
              <w:rPr>
                <w:sz w:val="10"/>
              </w:rPr>
            </w:pPr>
            <w:r>
              <w:rPr>
                <w:w w:val="110"/>
                <w:sz w:val="10"/>
              </w:rPr>
              <w:t>Other Sources/Uses Detail Fund Reconciliation</w:t>
            </w:r>
          </w:p>
          <w:p>
            <w:pPr>
              <w:pStyle w:val="TableParagraph"/>
              <w:ind w:left="26"/>
              <w:rPr>
                <w:sz w:val="10"/>
              </w:rPr>
            </w:pPr>
            <w:r>
              <w:rPr>
                <w:w w:val="110"/>
                <w:sz w:val="10"/>
              </w:rPr>
              <w:t>62 CHARTER SCHOOLS ENTERPRISE FUND</w:t>
            </w:r>
          </w:p>
          <w:p>
            <w:pPr>
              <w:pStyle w:val="TableParagraph"/>
              <w:spacing w:line="100" w:lineRule="exact" w:before="21"/>
              <w:ind w:left="245"/>
              <w:rPr>
                <w:sz w:val="10"/>
              </w:rPr>
            </w:pPr>
            <w:r>
              <w:rPr>
                <w:w w:val="110"/>
                <w:sz w:val="10"/>
              </w:rPr>
              <w:t>Expenditure Detail</w:t>
            </w:r>
          </w:p>
        </w:tc>
        <w:tc>
          <w:tcPr>
            <w:tcW w:w="1142" w:type="dxa"/>
          </w:tcPr>
          <w:p>
            <w:pPr>
              <w:pStyle w:val="TableParagraph"/>
              <w:rPr>
                <w:b/>
                <w:sz w:val="12"/>
              </w:rPr>
            </w:pPr>
          </w:p>
          <w:p>
            <w:pPr>
              <w:pStyle w:val="TableParagraph"/>
              <w:rPr>
                <w:b/>
                <w:sz w:val="12"/>
              </w:rPr>
            </w:pPr>
          </w:p>
          <w:p>
            <w:pPr>
              <w:pStyle w:val="TableParagraph"/>
              <w:spacing w:before="8"/>
              <w:rPr>
                <w:b/>
                <w:sz w:val="12"/>
              </w:rPr>
            </w:pPr>
          </w:p>
          <w:p>
            <w:pPr>
              <w:pStyle w:val="TableParagraph"/>
              <w:spacing w:line="100" w:lineRule="exact"/>
              <w:ind w:right="122"/>
              <w:jc w:val="right"/>
              <w:rPr>
                <w:sz w:val="10"/>
              </w:rPr>
            </w:pPr>
            <w:r>
              <w:rPr>
                <w:w w:val="105"/>
                <w:sz w:val="10"/>
              </w:rPr>
              <w:t>0.00</w:t>
            </w:r>
          </w:p>
        </w:tc>
        <w:tc>
          <w:tcPr>
            <w:tcW w:w="1102" w:type="dxa"/>
          </w:tcPr>
          <w:p>
            <w:pPr>
              <w:pStyle w:val="TableParagraph"/>
              <w:rPr>
                <w:b/>
                <w:sz w:val="12"/>
              </w:rPr>
            </w:pPr>
          </w:p>
          <w:p>
            <w:pPr>
              <w:pStyle w:val="TableParagraph"/>
              <w:rPr>
                <w:b/>
                <w:sz w:val="12"/>
              </w:rPr>
            </w:pPr>
          </w:p>
          <w:p>
            <w:pPr>
              <w:pStyle w:val="TableParagraph"/>
              <w:spacing w:before="8"/>
              <w:rPr>
                <w:b/>
                <w:sz w:val="12"/>
              </w:rPr>
            </w:pPr>
          </w:p>
          <w:p>
            <w:pPr>
              <w:pStyle w:val="TableParagraph"/>
              <w:spacing w:line="100" w:lineRule="exact"/>
              <w:ind w:right="144"/>
              <w:jc w:val="right"/>
              <w:rPr>
                <w:sz w:val="10"/>
              </w:rPr>
            </w:pPr>
            <w:r>
              <w:rPr>
                <w:w w:val="105"/>
                <w:sz w:val="10"/>
              </w:rPr>
              <w:t>0.00</w:t>
            </w:r>
          </w:p>
        </w:tc>
        <w:tc>
          <w:tcPr>
            <w:tcW w:w="1056" w:type="dxa"/>
          </w:tcPr>
          <w:p>
            <w:pPr>
              <w:pStyle w:val="TableParagraph"/>
              <w:rPr>
                <w:b/>
                <w:sz w:val="12"/>
              </w:rPr>
            </w:pPr>
          </w:p>
          <w:p>
            <w:pPr>
              <w:pStyle w:val="TableParagraph"/>
              <w:rPr>
                <w:b/>
                <w:sz w:val="12"/>
              </w:rPr>
            </w:pPr>
          </w:p>
          <w:p>
            <w:pPr>
              <w:pStyle w:val="TableParagraph"/>
              <w:spacing w:before="8"/>
              <w:rPr>
                <w:b/>
                <w:sz w:val="12"/>
              </w:rPr>
            </w:pPr>
          </w:p>
          <w:p>
            <w:pPr>
              <w:pStyle w:val="TableParagraph"/>
              <w:spacing w:line="100" w:lineRule="exact"/>
              <w:ind w:right="120"/>
              <w:jc w:val="right"/>
              <w:rPr>
                <w:sz w:val="10"/>
              </w:rPr>
            </w:pPr>
            <w:r>
              <w:rPr>
                <w:w w:val="105"/>
                <w:sz w:val="10"/>
              </w:rPr>
              <w:t>0.00</w:t>
            </w:r>
          </w:p>
        </w:tc>
        <w:tc>
          <w:tcPr>
            <w:tcW w:w="1102" w:type="dxa"/>
          </w:tcPr>
          <w:p>
            <w:pPr>
              <w:pStyle w:val="TableParagraph"/>
              <w:rPr>
                <w:b/>
                <w:sz w:val="12"/>
              </w:rPr>
            </w:pPr>
          </w:p>
          <w:p>
            <w:pPr>
              <w:pStyle w:val="TableParagraph"/>
              <w:rPr>
                <w:b/>
                <w:sz w:val="12"/>
              </w:rPr>
            </w:pPr>
          </w:p>
          <w:p>
            <w:pPr>
              <w:pStyle w:val="TableParagraph"/>
              <w:spacing w:before="8"/>
              <w:rPr>
                <w:b/>
                <w:sz w:val="12"/>
              </w:rPr>
            </w:pPr>
          </w:p>
          <w:p>
            <w:pPr>
              <w:pStyle w:val="TableParagraph"/>
              <w:spacing w:line="100" w:lineRule="exact"/>
              <w:ind w:right="142"/>
              <w:jc w:val="right"/>
              <w:rPr>
                <w:sz w:val="10"/>
              </w:rPr>
            </w:pPr>
            <w:r>
              <w:rPr>
                <w:w w:val="105"/>
                <w:sz w:val="10"/>
              </w:rPr>
              <w:t>0.00</w:t>
            </w:r>
          </w:p>
        </w:tc>
        <w:tc>
          <w:tcPr>
            <w:tcW w:w="1056" w:type="dxa"/>
          </w:tcPr>
          <w:p>
            <w:pPr>
              <w:pStyle w:val="TableParagraph"/>
              <w:spacing w:before="12"/>
              <w:ind w:right="118"/>
              <w:jc w:val="right"/>
              <w:rPr>
                <w:sz w:val="10"/>
              </w:rPr>
            </w:pPr>
            <w:r>
              <w:rPr>
                <w:w w:val="105"/>
                <w:sz w:val="10"/>
              </w:rPr>
              <w:t>0.00</w:t>
            </w:r>
          </w:p>
        </w:tc>
        <w:tc>
          <w:tcPr>
            <w:tcW w:w="1016" w:type="dxa"/>
          </w:tcPr>
          <w:p>
            <w:pPr>
              <w:pStyle w:val="TableParagraph"/>
              <w:spacing w:before="12"/>
              <w:ind w:right="54"/>
              <w:jc w:val="right"/>
              <w:rPr>
                <w:sz w:val="10"/>
              </w:rPr>
            </w:pPr>
            <w:r>
              <w:rPr>
                <w:w w:val="105"/>
                <w:sz w:val="10"/>
              </w:rPr>
              <w:t>0.00</w:t>
            </w:r>
          </w:p>
        </w:tc>
        <w:tc>
          <w:tcPr>
            <w:tcW w:w="1160" w:type="dxa"/>
          </w:tcPr>
          <w:p>
            <w:pPr>
              <w:pStyle w:val="TableParagraph"/>
              <w:spacing w:before="10"/>
              <w:rPr>
                <w:b/>
                <w:sz w:val="12"/>
              </w:rPr>
            </w:pPr>
          </w:p>
          <w:p>
            <w:pPr>
              <w:pStyle w:val="TableParagraph"/>
              <w:ind w:right="134"/>
              <w:jc w:val="right"/>
              <w:rPr>
                <w:sz w:val="10"/>
              </w:rPr>
            </w:pPr>
            <w:r>
              <w:rPr>
                <w:w w:val="105"/>
                <w:sz w:val="10"/>
              </w:rPr>
              <w:t>0.00</w:t>
            </w:r>
          </w:p>
        </w:tc>
        <w:tc>
          <w:tcPr>
            <w:tcW w:w="961" w:type="dxa"/>
          </w:tcPr>
          <w:p>
            <w:pPr>
              <w:pStyle w:val="TableParagraph"/>
              <w:spacing w:before="10"/>
              <w:rPr>
                <w:b/>
                <w:sz w:val="12"/>
              </w:rPr>
            </w:pPr>
          </w:p>
          <w:p>
            <w:pPr>
              <w:pStyle w:val="TableParagraph"/>
              <w:ind w:right="15"/>
              <w:jc w:val="right"/>
              <w:rPr>
                <w:sz w:val="10"/>
              </w:rPr>
            </w:pPr>
            <w:r>
              <w:rPr>
                <w:w w:val="105"/>
                <w:sz w:val="10"/>
              </w:rPr>
              <w:t>0.00</w:t>
            </w:r>
          </w:p>
        </w:tc>
      </w:tr>
      <w:tr>
        <w:trPr>
          <w:trHeight w:val="551" w:hRule="atLeast"/>
        </w:trPr>
        <w:tc>
          <w:tcPr>
            <w:tcW w:w="2866" w:type="dxa"/>
          </w:tcPr>
          <w:p>
            <w:pPr>
              <w:pStyle w:val="TableParagraph"/>
              <w:spacing w:line="285" w:lineRule="auto" w:before="16"/>
              <w:ind w:left="245" w:right="1088"/>
              <w:rPr>
                <w:sz w:val="10"/>
              </w:rPr>
            </w:pPr>
            <w:r>
              <w:rPr>
                <w:w w:val="110"/>
                <w:sz w:val="10"/>
              </w:rPr>
              <w:t>Other Sources/Uses Detail Fund Reconciliation</w:t>
            </w:r>
          </w:p>
          <w:p>
            <w:pPr>
              <w:pStyle w:val="TableParagraph"/>
              <w:ind w:left="26"/>
              <w:rPr>
                <w:sz w:val="10"/>
              </w:rPr>
            </w:pPr>
            <w:r>
              <w:rPr>
                <w:w w:val="110"/>
                <w:sz w:val="10"/>
              </w:rPr>
              <w:t>63 OTHER ENTERPRISE FUND</w:t>
            </w:r>
          </w:p>
          <w:p>
            <w:pPr>
              <w:pStyle w:val="TableParagraph"/>
              <w:spacing w:line="105" w:lineRule="exact" w:before="22"/>
              <w:ind w:left="245"/>
              <w:rPr>
                <w:sz w:val="10"/>
              </w:rPr>
            </w:pPr>
            <w:r>
              <w:rPr>
                <w:w w:val="110"/>
                <w:sz w:val="10"/>
              </w:rPr>
              <w:t>Expenditure Detail</w:t>
            </w:r>
          </w:p>
        </w:tc>
        <w:tc>
          <w:tcPr>
            <w:tcW w:w="1142" w:type="dxa"/>
          </w:tcPr>
          <w:p>
            <w:pPr>
              <w:pStyle w:val="TableParagraph"/>
              <w:rPr>
                <w:b/>
                <w:sz w:val="12"/>
              </w:rPr>
            </w:pPr>
          </w:p>
          <w:p>
            <w:pPr>
              <w:pStyle w:val="TableParagraph"/>
              <w:rPr>
                <w:b/>
                <w:sz w:val="12"/>
              </w:rPr>
            </w:pPr>
          </w:p>
          <w:p>
            <w:pPr>
              <w:pStyle w:val="TableParagraph"/>
              <w:spacing w:before="1"/>
              <w:rPr>
                <w:b/>
                <w:sz w:val="13"/>
              </w:rPr>
            </w:pPr>
          </w:p>
          <w:p>
            <w:pPr>
              <w:pStyle w:val="TableParagraph"/>
              <w:spacing w:line="105" w:lineRule="exact"/>
              <w:ind w:right="122"/>
              <w:jc w:val="right"/>
              <w:rPr>
                <w:sz w:val="10"/>
              </w:rPr>
            </w:pPr>
            <w:r>
              <w:rPr>
                <w:w w:val="105"/>
                <w:sz w:val="10"/>
              </w:rPr>
              <w:t>0.00</w:t>
            </w:r>
          </w:p>
        </w:tc>
        <w:tc>
          <w:tcPr>
            <w:tcW w:w="1102" w:type="dxa"/>
          </w:tcPr>
          <w:p>
            <w:pPr>
              <w:pStyle w:val="TableParagraph"/>
              <w:rPr>
                <w:b/>
                <w:sz w:val="12"/>
              </w:rPr>
            </w:pPr>
          </w:p>
          <w:p>
            <w:pPr>
              <w:pStyle w:val="TableParagraph"/>
              <w:rPr>
                <w:b/>
                <w:sz w:val="12"/>
              </w:rPr>
            </w:pPr>
          </w:p>
          <w:p>
            <w:pPr>
              <w:pStyle w:val="TableParagraph"/>
              <w:spacing w:before="1"/>
              <w:rPr>
                <w:b/>
                <w:sz w:val="13"/>
              </w:rPr>
            </w:pPr>
          </w:p>
          <w:p>
            <w:pPr>
              <w:pStyle w:val="TableParagraph"/>
              <w:spacing w:line="105" w:lineRule="exact"/>
              <w:ind w:right="144"/>
              <w:jc w:val="right"/>
              <w:rPr>
                <w:sz w:val="10"/>
              </w:rPr>
            </w:pPr>
            <w:r>
              <w:rPr>
                <w:w w:val="105"/>
                <w:sz w:val="10"/>
              </w:rPr>
              <w:t>0.00</w:t>
            </w:r>
          </w:p>
        </w:tc>
        <w:tc>
          <w:tcPr>
            <w:tcW w:w="1056" w:type="dxa"/>
            <w:shd w:val="clear" w:color="auto" w:fill="BFBFBF"/>
          </w:tcPr>
          <w:p>
            <w:pPr>
              <w:pStyle w:val="TableParagraph"/>
              <w:rPr>
                <w:rFonts w:ascii="Times New Roman"/>
                <w:sz w:val="10"/>
              </w:rPr>
            </w:pPr>
          </w:p>
        </w:tc>
        <w:tc>
          <w:tcPr>
            <w:tcW w:w="1102" w:type="dxa"/>
            <w:shd w:val="clear" w:color="auto" w:fill="BFBFBF"/>
          </w:tcPr>
          <w:p>
            <w:pPr>
              <w:pStyle w:val="TableParagraph"/>
              <w:rPr>
                <w:rFonts w:ascii="Times New Roman"/>
                <w:sz w:val="10"/>
              </w:rPr>
            </w:pPr>
          </w:p>
        </w:tc>
        <w:tc>
          <w:tcPr>
            <w:tcW w:w="1056" w:type="dxa"/>
          </w:tcPr>
          <w:p>
            <w:pPr>
              <w:pStyle w:val="TableParagraph"/>
              <w:spacing w:before="16"/>
              <w:ind w:right="118"/>
              <w:jc w:val="right"/>
              <w:rPr>
                <w:sz w:val="10"/>
              </w:rPr>
            </w:pPr>
            <w:r>
              <w:rPr>
                <w:w w:val="105"/>
                <w:sz w:val="10"/>
              </w:rPr>
              <w:t>0.00</w:t>
            </w:r>
          </w:p>
        </w:tc>
        <w:tc>
          <w:tcPr>
            <w:tcW w:w="1016" w:type="dxa"/>
          </w:tcPr>
          <w:p>
            <w:pPr>
              <w:pStyle w:val="TableParagraph"/>
              <w:spacing w:before="16"/>
              <w:ind w:right="54"/>
              <w:jc w:val="right"/>
              <w:rPr>
                <w:sz w:val="10"/>
              </w:rPr>
            </w:pPr>
            <w:r>
              <w:rPr>
                <w:w w:val="105"/>
                <w:sz w:val="10"/>
              </w:rPr>
              <w:t>0.00</w:t>
            </w:r>
          </w:p>
        </w:tc>
        <w:tc>
          <w:tcPr>
            <w:tcW w:w="1160" w:type="dxa"/>
          </w:tcPr>
          <w:p>
            <w:pPr>
              <w:pStyle w:val="TableParagraph"/>
              <w:spacing w:before="3"/>
              <w:rPr>
                <w:b/>
                <w:sz w:val="13"/>
              </w:rPr>
            </w:pPr>
          </w:p>
          <w:p>
            <w:pPr>
              <w:pStyle w:val="TableParagraph"/>
              <w:spacing w:before="1"/>
              <w:ind w:right="134"/>
              <w:jc w:val="right"/>
              <w:rPr>
                <w:sz w:val="10"/>
              </w:rPr>
            </w:pPr>
            <w:r>
              <w:rPr>
                <w:w w:val="105"/>
                <w:sz w:val="10"/>
              </w:rPr>
              <w:t>0.00</w:t>
            </w:r>
          </w:p>
        </w:tc>
        <w:tc>
          <w:tcPr>
            <w:tcW w:w="961" w:type="dxa"/>
          </w:tcPr>
          <w:p>
            <w:pPr>
              <w:pStyle w:val="TableParagraph"/>
              <w:spacing w:before="3"/>
              <w:rPr>
                <w:b/>
                <w:sz w:val="13"/>
              </w:rPr>
            </w:pPr>
          </w:p>
          <w:p>
            <w:pPr>
              <w:pStyle w:val="TableParagraph"/>
              <w:spacing w:before="1"/>
              <w:ind w:right="15"/>
              <w:jc w:val="right"/>
              <w:rPr>
                <w:sz w:val="10"/>
              </w:rPr>
            </w:pPr>
            <w:r>
              <w:rPr>
                <w:w w:val="105"/>
                <w:sz w:val="10"/>
              </w:rPr>
              <w:t>0.00</w:t>
            </w:r>
          </w:p>
        </w:tc>
      </w:tr>
      <w:tr>
        <w:trPr>
          <w:trHeight w:val="402" w:hRule="atLeast"/>
        </w:trPr>
        <w:tc>
          <w:tcPr>
            <w:tcW w:w="2866" w:type="dxa"/>
          </w:tcPr>
          <w:p>
            <w:pPr>
              <w:pStyle w:val="TableParagraph"/>
              <w:spacing w:line="285" w:lineRule="auto" w:before="12"/>
              <w:ind w:left="245" w:right="1088"/>
              <w:rPr>
                <w:sz w:val="10"/>
              </w:rPr>
            </w:pPr>
            <w:r>
              <w:rPr>
                <w:w w:val="110"/>
                <w:sz w:val="10"/>
              </w:rPr>
              <w:t>Other Sources/Uses Detail Fund Reconciliation</w:t>
            </w:r>
          </w:p>
          <w:p>
            <w:pPr>
              <w:pStyle w:val="TableParagraph"/>
              <w:spacing w:line="97" w:lineRule="exact"/>
              <w:ind w:left="26"/>
              <w:rPr>
                <w:sz w:val="10"/>
              </w:rPr>
            </w:pPr>
            <w:r>
              <w:rPr>
                <w:w w:val="110"/>
                <w:sz w:val="10"/>
              </w:rPr>
              <w:t>66 WAREHOUSE REVOLVING FUND</w:t>
            </w:r>
          </w:p>
        </w:tc>
        <w:tc>
          <w:tcPr>
            <w:tcW w:w="1142" w:type="dxa"/>
          </w:tcPr>
          <w:p>
            <w:pPr>
              <w:pStyle w:val="TableParagraph"/>
              <w:rPr>
                <w:rFonts w:ascii="Times New Roman"/>
                <w:sz w:val="10"/>
              </w:rPr>
            </w:pPr>
          </w:p>
        </w:tc>
        <w:tc>
          <w:tcPr>
            <w:tcW w:w="1102" w:type="dxa"/>
          </w:tcPr>
          <w:p>
            <w:pPr>
              <w:pStyle w:val="TableParagraph"/>
              <w:rPr>
                <w:rFonts w:ascii="Times New Roman"/>
                <w:sz w:val="10"/>
              </w:rPr>
            </w:pPr>
          </w:p>
        </w:tc>
        <w:tc>
          <w:tcPr>
            <w:tcW w:w="1056" w:type="dxa"/>
            <w:shd w:val="clear" w:color="auto" w:fill="BFBFBF"/>
          </w:tcPr>
          <w:p>
            <w:pPr>
              <w:pStyle w:val="TableParagraph"/>
              <w:rPr>
                <w:rFonts w:ascii="Times New Roman"/>
                <w:sz w:val="10"/>
              </w:rPr>
            </w:pPr>
          </w:p>
        </w:tc>
        <w:tc>
          <w:tcPr>
            <w:tcW w:w="1102" w:type="dxa"/>
            <w:shd w:val="clear" w:color="auto" w:fill="BFBFBF"/>
          </w:tcPr>
          <w:p>
            <w:pPr>
              <w:pStyle w:val="TableParagraph"/>
              <w:rPr>
                <w:rFonts w:ascii="Times New Roman"/>
                <w:sz w:val="10"/>
              </w:rPr>
            </w:pPr>
          </w:p>
        </w:tc>
        <w:tc>
          <w:tcPr>
            <w:tcW w:w="1056" w:type="dxa"/>
          </w:tcPr>
          <w:p>
            <w:pPr>
              <w:pStyle w:val="TableParagraph"/>
              <w:spacing w:before="12"/>
              <w:ind w:right="118"/>
              <w:jc w:val="right"/>
              <w:rPr>
                <w:sz w:val="10"/>
              </w:rPr>
            </w:pPr>
            <w:r>
              <w:rPr>
                <w:w w:val="105"/>
                <w:sz w:val="10"/>
              </w:rPr>
              <w:t>0.00</w:t>
            </w:r>
          </w:p>
        </w:tc>
        <w:tc>
          <w:tcPr>
            <w:tcW w:w="1016" w:type="dxa"/>
          </w:tcPr>
          <w:p>
            <w:pPr>
              <w:pStyle w:val="TableParagraph"/>
              <w:spacing w:before="12"/>
              <w:ind w:right="54"/>
              <w:jc w:val="right"/>
              <w:rPr>
                <w:sz w:val="10"/>
              </w:rPr>
            </w:pPr>
            <w:r>
              <w:rPr>
                <w:w w:val="105"/>
                <w:sz w:val="10"/>
              </w:rPr>
              <w:t>0.00</w:t>
            </w:r>
          </w:p>
        </w:tc>
        <w:tc>
          <w:tcPr>
            <w:tcW w:w="1160" w:type="dxa"/>
          </w:tcPr>
          <w:p>
            <w:pPr>
              <w:pStyle w:val="TableParagraph"/>
              <w:spacing w:before="10"/>
              <w:rPr>
                <w:b/>
                <w:sz w:val="12"/>
              </w:rPr>
            </w:pPr>
          </w:p>
          <w:p>
            <w:pPr>
              <w:pStyle w:val="TableParagraph"/>
              <w:ind w:right="134"/>
              <w:jc w:val="right"/>
              <w:rPr>
                <w:sz w:val="10"/>
              </w:rPr>
            </w:pPr>
            <w:r>
              <w:rPr>
                <w:w w:val="105"/>
                <w:sz w:val="10"/>
              </w:rPr>
              <w:t>0.00</w:t>
            </w:r>
          </w:p>
        </w:tc>
        <w:tc>
          <w:tcPr>
            <w:tcW w:w="961" w:type="dxa"/>
          </w:tcPr>
          <w:p>
            <w:pPr>
              <w:pStyle w:val="TableParagraph"/>
              <w:spacing w:before="10"/>
              <w:rPr>
                <w:b/>
                <w:sz w:val="12"/>
              </w:rPr>
            </w:pPr>
          </w:p>
          <w:p>
            <w:pPr>
              <w:pStyle w:val="TableParagraph"/>
              <w:ind w:right="15"/>
              <w:jc w:val="right"/>
              <w:rPr>
                <w:sz w:val="10"/>
              </w:rPr>
            </w:pPr>
            <w:r>
              <w:rPr>
                <w:w w:val="105"/>
                <w:sz w:val="10"/>
              </w:rPr>
              <w:t>0.00</w:t>
            </w:r>
          </w:p>
        </w:tc>
      </w:tr>
      <w:tr>
        <w:trPr>
          <w:trHeight w:val="692" w:hRule="atLeast"/>
        </w:trPr>
        <w:tc>
          <w:tcPr>
            <w:tcW w:w="2866" w:type="dxa"/>
          </w:tcPr>
          <w:p>
            <w:pPr>
              <w:pStyle w:val="TableParagraph"/>
              <w:spacing w:before="3"/>
              <w:ind w:left="245"/>
              <w:rPr>
                <w:sz w:val="10"/>
              </w:rPr>
            </w:pPr>
            <w:r>
              <w:rPr>
                <w:w w:val="110"/>
                <w:sz w:val="10"/>
              </w:rPr>
              <w:t>Expenditure Detail</w:t>
            </w:r>
          </w:p>
          <w:p>
            <w:pPr>
              <w:pStyle w:val="TableParagraph"/>
              <w:spacing w:line="285" w:lineRule="auto" w:before="22"/>
              <w:ind w:left="245" w:right="1088"/>
              <w:rPr>
                <w:sz w:val="10"/>
              </w:rPr>
            </w:pPr>
            <w:r>
              <w:rPr>
                <w:w w:val="110"/>
                <w:sz w:val="10"/>
              </w:rPr>
              <w:t>Other Sources/Uses Detail Fund Reconciliation</w:t>
            </w:r>
          </w:p>
          <w:p>
            <w:pPr>
              <w:pStyle w:val="TableParagraph"/>
              <w:ind w:left="26"/>
              <w:rPr>
                <w:sz w:val="10"/>
              </w:rPr>
            </w:pPr>
            <w:r>
              <w:rPr>
                <w:w w:val="110"/>
                <w:sz w:val="10"/>
              </w:rPr>
              <w:t>67 SELF-INSURANCE FUND</w:t>
            </w:r>
          </w:p>
          <w:p>
            <w:pPr>
              <w:pStyle w:val="TableParagraph"/>
              <w:spacing w:line="105" w:lineRule="exact" w:before="22"/>
              <w:ind w:left="245"/>
              <w:rPr>
                <w:sz w:val="10"/>
              </w:rPr>
            </w:pPr>
            <w:r>
              <w:rPr>
                <w:w w:val="110"/>
                <w:sz w:val="10"/>
              </w:rPr>
              <w:t>Expenditure Detail</w:t>
            </w:r>
          </w:p>
        </w:tc>
        <w:tc>
          <w:tcPr>
            <w:tcW w:w="1142" w:type="dxa"/>
          </w:tcPr>
          <w:p>
            <w:pPr>
              <w:pStyle w:val="TableParagraph"/>
              <w:spacing w:before="3"/>
              <w:ind w:left="806"/>
              <w:rPr>
                <w:sz w:val="10"/>
              </w:rPr>
            </w:pPr>
            <w:r>
              <w:rPr>
                <w:w w:val="110"/>
                <w:sz w:val="10"/>
              </w:rPr>
              <w:t>0.00</w:t>
            </w:r>
          </w:p>
          <w:p>
            <w:pPr>
              <w:pStyle w:val="TableParagraph"/>
              <w:rPr>
                <w:b/>
                <w:sz w:val="12"/>
              </w:rPr>
            </w:pPr>
          </w:p>
          <w:p>
            <w:pPr>
              <w:pStyle w:val="TableParagraph"/>
              <w:rPr>
                <w:b/>
                <w:sz w:val="12"/>
              </w:rPr>
            </w:pPr>
          </w:p>
          <w:p>
            <w:pPr>
              <w:pStyle w:val="TableParagraph"/>
              <w:spacing w:before="7"/>
              <w:rPr>
                <w:b/>
                <w:sz w:val="13"/>
              </w:rPr>
            </w:pPr>
          </w:p>
          <w:p>
            <w:pPr>
              <w:pStyle w:val="TableParagraph"/>
              <w:spacing w:line="105" w:lineRule="exact"/>
              <w:ind w:left="806"/>
              <w:rPr>
                <w:sz w:val="10"/>
              </w:rPr>
            </w:pPr>
            <w:r>
              <w:rPr>
                <w:w w:val="110"/>
                <w:sz w:val="10"/>
              </w:rPr>
              <w:t>0.00</w:t>
            </w:r>
          </w:p>
        </w:tc>
        <w:tc>
          <w:tcPr>
            <w:tcW w:w="1102" w:type="dxa"/>
          </w:tcPr>
          <w:p>
            <w:pPr>
              <w:pStyle w:val="TableParagraph"/>
              <w:spacing w:before="3"/>
              <w:ind w:left="744"/>
              <w:rPr>
                <w:sz w:val="10"/>
              </w:rPr>
            </w:pPr>
            <w:r>
              <w:rPr>
                <w:w w:val="110"/>
                <w:sz w:val="10"/>
              </w:rPr>
              <w:t>0.00</w:t>
            </w:r>
          </w:p>
          <w:p>
            <w:pPr>
              <w:pStyle w:val="TableParagraph"/>
              <w:rPr>
                <w:b/>
                <w:sz w:val="12"/>
              </w:rPr>
            </w:pPr>
          </w:p>
          <w:p>
            <w:pPr>
              <w:pStyle w:val="TableParagraph"/>
              <w:rPr>
                <w:b/>
                <w:sz w:val="12"/>
              </w:rPr>
            </w:pPr>
          </w:p>
          <w:p>
            <w:pPr>
              <w:pStyle w:val="TableParagraph"/>
              <w:spacing w:before="7"/>
              <w:rPr>
                <w:b/>
                <w:sz w:val="13"/>
              </w:rPr>
            </w:pPr>
          </w:p>
          <w:p>
            <w:pPr>
              <w:pStyle w:val="TableParagraph"/>
              <w:spacing w:line="105" w:lineRule="exact"/>
              <w:ind w:left="744"/>
              <w:rPr>
                <w:sz w:val="10"/>
              </w:rPr>
            </w:pPr>
            <w:r>
              <w:rPr>
                <w:w w:val="110"/>
                <w:sz w:val="10"/>
              </w:rPr>
              <w:t>0.00</w:t>
            </w:r>
          </w:p>
        </w:tc>
        <w:tc>
          <w:tcPr>
            <w:tcW w:w="1056" w:type="dxa"/>
            <w:shd w:val="clear" w:color="auto" w:fill="BFBFBF"/>
          </w:tcPr>
          <w:p>
            <w:pPr>
              <w:pStyle w:val="TableParagraph"/>
              <w:rPr>
                <w:rFonts w:ascii="Times New Roman"/>
                <w:sz w:val="10"/>
              </w:rPr>
            </w:pPr>
          </w:p>
        </w:tc>
        <w:tc>
          <w:tcPr>
            <w:tcW w:w="1102" w:type="dxa"/>
            <w:shd w:val="clear" w:color="auto" w:fill="BFBFBF"/>
          </w:tcPr>
          <w:p>
            <w:pPr>
              <w:pStyle w:val="TableParagraph"/>
              <w:rPr>
                <w:rFonts w:ascii="Times New Roman"/>
                <w:sz w:val="10"/>
              </w:rPr>
            </w:pPr>
          </w:p>
        </w:tc>
        <w:tc>
          <w:tcPr>
            <w:tcW w:w="1056" w:type="dxa"/>
          </w:tcPr>
          <w:p>
            <w:pPr>
              <w:pStyle w:val="TableParagraph"/>
              <w:spacing w:before="2"/>
              <w:rPr>
                <w:b/>
                <w:sz w:val="12"/>
              </w:rPr>
            </w:pPr>
          </w:p>
          <w:p>
            <w:pPr>
              <w:pStyle w:val="TableParagraph"/>
              <w:ind w:right="118"/>
              <w:jc w:val="right"/>
              <w:rPr>
                <w:sz w:val="10"/>
              </w:rPr>
            </w:pPr>
            <w:r>
              <w:rPr>
                <w:w w:val="105"/>
                <w:sz w:val="10"/>
              </w:rPr>
              <w:t>0.00</w:t>
            </w:r>
          </w:p>
        </w:tc>
        <w:tc>
          <w:tcPr>
            <w:tcW w:w="1016" w:type="dxa"/>
          </w:tcPr>
          <w:p>
            <w:pPr>
              <w:pStyle w:val="TableParagraph"/>
              <w:spacing w:before="2"/>
              <w:rPr>
                <w:b/>
                <w:sz w:val="12"/>
              </w:rPr>
            </w:pPr>
          </w:p>
          <w:p>
            <w:pPr>
              <w:pStyle w:val="TableParagraph"/>
              <w:ind w:right="54"/>
              <w:jc w:val="right"/>
              <w:rPr>
                <w:sz w:val="10"/>
              </w:rPr>
            </w:pPr>
            <w:r>
              <w:rPr>
                <w:w w:val="105"/>
                <w:sz w:val="10"/>
              </w:rPr>
              <w:t>0.00</w:t>
            </w:r>
          </w:p>
        </w:tc>
        <w:tc>
          <w:tcPr>
            <w:tcW w:w="1160" w:type="dxa"/>
          </w:tcPr>
          <w:p>
            <w:pPr>
              <w:pStyle w:val="TableParagraph"/>
              <w:rPr>
                <w:b/>
                <w:sz w:val="12"/>
              </w:rPr>
            </w:pPr>
          </w:p>
          <w:p>
            <w:pPr>
              <w:pStyle w:val="TableParagraph"/>
              <w:spacing w:before="1"/>
              <w:rPr>
                <w:b/>
                <w:sz w:val="12"/>
              </w:rPr>
            </w:pPr>
          </w:p>
          <w:p>
            <w:pPr>
              <w:pStyle w:val="TableParagraph"/>
              <w:ind w:right="134"/>
              <w:jc w:val="right"/>
              <w:rPr>
                <w:sz w:val="10"/>
              </w:rPr>
            </w:pPr>
            <w:r>
              <w:rPr>
                <w:w w:val="105"/>
                <w:sz w:val="10"/>
              </w:rPr>
              <w:t>0.00</w:t>
            </w:r>
          </w:p>
        </w:tc>
        <w:tc>
          <w:tcPr>
            <w:tcW w:w="961" w:type="dxa"/>
          </w:tcPr>
          <w:p>
            <w:pPr>
              <w:pStyle w:val="TableParagraph"/>
              <w:rPr>
                <w:b/>
                <w:sz w:val="12"/>
              </w:rPr>
            </w:pPr>
          </w:p>
          <w:p>
            <w:pPr>
              <w:pStyle w:val="TableParagraph"/>
              <w:spacing w:before="1"/>
              <w:rPr>
                <w:b/>
                <w:sz w:val="12"/>
              </w:rPr>
            </w:pPr>
          </w:p>
          <w:p>
            <w:pPr>
              <w:pStyle w:val="TableParagraph"/>
              <w:ind w:right="15"/>
              <w:jc w:val="right"/>
              <w:rPr>
                <w:sz w:val="10"/>
              </w:rPr>
            </w:pPr>
            <w:r>
              <w:rPr>
                <w:w w:val="105"/>
                <w:sz w:val="10"/>
              </w:rPr>
              <w:t>0.00</w:t>
            </w:r>
          </w:p>
        </w:tc>
      </w:tr>
      <w:tr>
        <w:trPr>
          <w:trHeight w:val="684" w:hRule="atLeast"/>
        </w:trPr>
        <w:tc>
          <w:tcPr>
            <w:tcW w:w="2866" w:type="dxa"/>
          </w:tcPr>
          <w:p>
            <w:pPr>
              <w:pStyle w:val="TableParagraph"/>
              <w:spacing w:line="285" w:lineRule="auto" w:before="12"/>
              <w:ind w:left="245" w:right="1088"/>
              <w:rPr>
                <w:sz w:val="10"/>
              </w:rPr>
            </w:pPr>
            <w:r>
              <w:rPr>
                <w:w w:val="110"/>
                <w:sz w:val="10"/>
              </w:rPr>
              <w:t>Other Sources/Uses Detail Fund Reconciliation</w:t>
            </w:r>
          </w:p>
          <w:p>
            <w:pPr>
              <w:pStyle w:val="TableParagraph"/>
              <w:spacing w:line="285" w:lineRule="auto"/>
              <w:ind w:left="245" w:right="1359" w:hanging="219"/>
              <w:rPr>
                <w:sz w:val="10"/>
              </w:rPr>
            </w:pPr>
            <w:r>
              <w:rPr>
                <w:w w:val="110"/>
                <w:sz w:val="10"/>
              </w:rPr>
              <w:t>71 RETIREE BENEFIT FUND Expenditure Detail</w:t>
            </w:r>
          </w:p>
          <w:p>
            <w:pPr>
              <w:pStyle w:val="TableParagraph"/>
              <w:spacing w:line="105" w:lineRule="exact"/>
              <w:ind w:left="245"/>
              <w:rPr>
                <w:sz w:val="10"/>
              </w:rPr>
            </w:pPr>
            <w:r>
              <w:rPr>
                <w:w w:val="110"/>
                <w:sz w:val="10"/>
              </w:rPr>
              <w:t>Other Sources/Uses Detail</w:t>
            </w:r>
          </w:p>
        </w:tc>
        <w:tc>
          <w:tcPr>
            <w:tcW w:w="1142" w:type="dxa"/>
            <w:shd w:val="clear" w:color="auto" w:fill="BFBFBF"/>
          </w:tcPr>
          <w:p>
            <w:pPr>
              <w:pStyle w:val="TableParagraph"/>
              <w:rPr>
                <w:rFonts w:ascii="Times New Roman"/>
                <w:sz w:val="10"/>
              </w:rPr>
            </w:pPr>
          </w:p>
        </w:tc>
        <w:tc>
          <w:tcPr>
            <w:tcW w:w="1102" w:type="dxa"/>
            <w:shd w:val="clear" w:color="auto" w:fill="BFBFBF"/>
          </w:tcPr>
          <w:p>
            <w:pPr>
              <w:pStyle w:val="TableParagraph"/>
              <w:rPr>
                <w:rFonts w:ascii="Times New Roman"/>
                <w:sz w:val="10"/>
              </w:rPr>
            </w:pPr>
          </w:p>
        </w:tc>
        <w:tc>
          <w:tcPr>
            <w:tcW w:w="1056" w:type="dxa"/>
            <w:shd w:val="clear" w:color="auto" w:fill="BFBFBF"/>
          </w:tcPr>
          <w:p>
            <w:pPr>
              <w:pStyle w:val="TableParagraph"/>
              <w:rPr>
                <w:rFonts w:ascii="Times New Roman"/>
                <w:sz w:val="10"/>
              </w:rPr>
            </w:pPr>
          </w:p>
        </w:tc>
        <w:tc>
          <w:tcPr>
            <w:tcW w:w="1102" w:type="dxa"/>
            <w:shd w:val="clear" w:color="auto" w:fill="BFBFBF"/>
          </w:tcPr>
          <w:p>
            <w:pPr>
              <w:pStyle w:val="TableParagraph"/>
              <w:rPr>
                <w:rFonts w:ascii="Times New Roman"/>
                <w:sz w:val="10"/>
              </w:rPr>
            </w:pPr>
          </w:p>
        </w:tc>
        <w:tc>
          <w:tcPr>
            <w:tcW w:w="1056" w:type="dxa"/>
          </w:tcPr>
          <w:p>
            <w:pPr>
              <w:pStyle w:val="TableParagraph"/>
              <w:spacing w:before="12"/>
              <w:ind w:left="724"/>
              <w:rPr>
                <w:sz w:val="10"/>
              </w:rPr>
            </w:pPr>
            <w:r>
              <w:rPr>
                <w:w w:val="110"/>
                <w:sz w:val="10"/>
              </w:rPr>
              <w:t>0.00</w:t>
            </w:r>
          </w:p>
          <w:p>
            <w:pPr>
              <w:pStyle w:val="TableParagraph"/>
              <w:rPr>
                <w:b/>
                <w:sz w:val="12"/>
              </w:rPr>
            </w:pPr>
          </w:p>
          <w:p>
            <w:pPr>
              <w:pStyle w:val="TableParagraph"/>
              <w:rPr>
                <w:b/>
                <w:sz w:val="12"/>
              </w:rPr>
            </w:pPr>
          </w:p>
          <w:p>
            <w:pPr>
              <w:pStyle w:val="TableParagraph"/>
              <w:spacing w:before="6"/>
              <w:rPr>
                <w:b/>
                <w:sz w:val="13"/>
              </w:rPr>
            </w:pPr>
          </w:p>
          <w:p>
            <w:pPr>
              <w:pStyle w:val="TableParagraph"/>
              <w:spacing w:line="105" w:lineRule="exact"/>
              <w:ind w:left="724"/>
              <w:rPr>
                <w:sz w:val="10"/>
              </w:rPr>
            </w:pPr>
            <w:r>
              <w:rPr>
                <w:w w:val="110"/>
                <w:sz w:val="10"/>
              </w:rPr>
              <w:t>0.00</w:t>
            </w:r>
          </w:p>
        </w:tc>
        <w:tc>
          <w:tcPr>
            <w:tcW w:w="1016" w:type="dxa"/>
            <w:shd w:val="clear" w:color="auto" w:fill="BFBFBF"/>
          </w:tcPr>
          <w:p>
            <w:pPr>
              <w:pStyle w:val="TableParagraph"/>
              <w:spacing w:before="12"/>
              <w:ind w:right="54"/>
              <w:jc w:val="right"/>
              <w:rPr>
                <w:sz w:val="10"/>
              </w:rPr>
            </w:pPr>
            <w:r>
              <w:rPr>
                <w:w w:val="105"/>
                <w:sz w:val="10"/>
              </w:rPr>
              <w:t>0.00</w:t>
            </w:r>
          </w:p>
        </w:tc>
        <w:tc>
          <w:tcPr>
            <w:tcW w:w="1160" w:type="dxa"/>
          </w:tcPr>
          <w:p>
            <w:pPr>
              <w:pStyle w:val="TableParagraph"/>
              <w:spacing w:before="10"/>
              <w:rPr>
                <w:b/>
                <w:sz w:val="12"/>
              </w:rPr>
            </w:pPr>
          </w:p>
          <w:p>
            <w:pPr>
              <w:pStyle w:val="TableParagraph"/>
              <w:ind w:right="134"/>
              <w:jc w:val="right"/>
              <w:rPr>
                <w:sz w:val="10"/>
              </w:rPr>
            </w:pPr>
            <w:r>
              <w:rPr>
                <w:w w:val="105"/>
                <w:sz w:val="10"/>
              </w:rPr>
              <w:t>0.00</w:t>
            </w:r>
          </w:p>
        </w:tc>
        <w:tc>
          <w:tcPr>
            <w:tcW w:w="961" w:type="dxa"/>
          </w:tcPr>
          <w:p>
            <w:pPr>
              <w:pStyle w:val="TableParagraph"/>
              <w:spacing w:before="10"/>
              <w:rPr>
                <w:b/>
                <w:sz w:val="12"/>
              </w:rPr>
            </w:pPr>
          </w:p>
          <w:p>
            <w:pPr>
              <w:pStyle w:val="TableParagraph"/>
              <w:ind w:right="15"/>
              <w:jc w:val="right"/>
              <w:rPr>
                <w:sz w:val="10"/>
              </w:rPr>
            </w:pPr>
            <w:r>
              <w:rPr>
                <w:w w:val="105"/>
                <w:sz w:val="10"/>
              </w:rPr>
              <w:t>0.00</w:t>
            </w:r>
          </w:p>
        </w:tc>
      </w:tr>
      <w:tr>
        <w:trPr>
          <w:trHeight w:val="415" w:hRule="atLeast"/>
        </w:trPr>
        <w:tc>
          <w:tcPr>
            <w:tcW w:w="2866" w:type="dxa"/>
          </w:tcPr>
          <w:p>
            <w:pPr>
              <w:pStyle w:val="TableParagraph"/>
              <w:spacing w:before="12"/>
              <w:ind w:left="245"/>
              <w:rPr>
                <w:sz w:val="10"/>
              </w:rPr>
            </w:pPr>
            <w:r>
              <w:rPr>
                <w:w w:val="110"/>
                <w:sz w:val="10"/>
              </w:rPr>
              <w:t>Fund Reconciliation</w:t>
            </w:r>
          </w:p>
          <w:p>
            <w:pPr>
              <w:pStyle w:val="TableParagraph"/>
              <w:spacing w:line="130" w:lineRule="atLeast" w:before="6"/>
              <w:ind w:left="245" w:hanging="219"/>
              <w:rPr>
                <w:sz w:val="10"/>
              </w:rPr>
            </w:pPr>
            <w:r>
              <w:rPr>
                <w:w w:val="110"/>
                <w:sz w:val="10"/>
              </w:rPr>
              <w:t>73 FOUNDATION PRIVATE-PURPOSE TRUST FUND Expenditure Detail</w:t>
            </w:r>
          </w:p>
        </w:tc>
        <w:tc>
          <w:tcPr>
            <w:tcW w:w="1142" w:type="dxa"/>
          </w:tcPr>
          <w:p>
            <w:pPr>
              <w:pStyle w:val="TableParagraph"/>
              <w:rPr>
                <w:b/>
                <w:sz w:val="12"/>
              </w:rPr>
            </w:pPr>
          </w:p>
          <w:p>
            <w:pPr>
              <w:pStyle w:val="TableParagraph"/>
              <w:spacing w:before="9"/>
              <w:rPr>
                <w:b/>
                <w:sz w:val="12"/>
              </w:rPr>
            </w:pPr>
          </w:p>
          <w:p>
            <w:pPr>
              <w:pStyle w:val="TableParagraph"/>
              <w:spacing w:line="110" w:lineRule="exact"/>
              <w:ind w:right="122"/>
              <w:jc w:val="right"/>
              <w:rPr>
                <w:sz w:val="10"/>
              </w:rPr>
            </w:pPr>
            <w:r>
              <w:rPr>
                <w:w w:val="105"/>
                <w:sz w:val="10"/>
              </w:rPr>
              <w:t>0.00</w:t>
            </w:r>
          </w:p>
        </w:tc>
        <w:tc>
          <w:tcPr>
            <w:tcW w:w="1102" w:type="dxa"/>
          </w:tcPr>
          <w:p>
            <w:pPr>
              <w:pStyle w:val="TableParagraph"/>
              <w:rPr>
                <w:b/>
                <w:sz w:val="12"/>
              </w:rPr>
            </w:pPr>
          </w:p>
          <w:p>
            <w:pPr>
              <w:pStyle w:val="TableParagraph"/>
              <w:spacing w:before="9"/>
              <w:rPr>
                <w:b/>
                <w:sz w:val="12"/>
              </w:rPr>
            </w:pPr>
          </w:p>
          <w:p>
            <w:pPr>
              <w:pStyle w:val="TableParagraph"/>
              <w:spacing w:line="110" w:lineRule="exact"/>
              <w:ind w:right="144"/>
              <w:jc w:val="right"/>
              <w:rPr>
                <w:sz w:val="10"/>
              </w:rPr>
            </w:pPr>
            <w:r>
              <w:rPr>
                <w:w w:val="105"/>
                <w:sz w:val="10"/>
              </w:rPr>
              <w:t>0.00</w:t>
            </w:r>
          </w:p>
        </w:tc>
        <w:tc>
          <w:tcPr>
            <w:tcW w:w="1056" w:type="dxa"/>
            <w:shd w:val="clear" w:color="auto" w:fill="BFBFBF"/>
          </w:tcPr>
          <w:p>
            <w:pPr>
              <w:pStyle w:val="TableParagraph"/>
              <w:rPr>
                <w:rFonts w:ascii="Times New Roman"/>
                <w:sz w:val="10"/>
              </w:rPr>
            </w:pPr>
          </w:p>
        </w:tc>
        <w:tc>
          <w:tcPr>
            <w:tcW w:w="1102" w:type="dxa"/>
            <w:shd w:val="clear" w:color="auto" w:fill="BFBFBF"/>
          </w:tcPr>
          <w:p>
            <w:pPr>
              <w:pStyle w:val="TableParagraph"/>
              <w:rPr>
                <w:rFonts w:ascii="Times New Roman"/>
                <w:sz w:val="10"/>
              </w:rPr>
            </w:pPr>
          </w:p>
        </w:tc>
        <w:tc>
          <w:tcPr>
            <w:tcW w:w="1056" w:type="dxa"/>
          </w:tcPr>
          <w:p>
            <w:pPr>
              <w:pStyle w:val="TableParagraph"/>
              <w:rPr>
                <w:rFonts w:ascii="Times New Roman"/>
                <w:sz w:val="10"/>
              </w:rPr>
            </w:pPr>
          </w:p>
        </w:tc>
        <w:tc>
          <w:tcPr>
            <w:tcW w:w="1016" w:type="dxa"/>
            <w:shd w:val="clear" w:color="auto" w:fill="BFBFBF"/>
          </w:tcPr>
          <w:p>
            <w:pPr>
              <w:pStyle w:val="TableParagraph"/>
              <w:rPr>
                <w:rFonts w:ascii="Times New Roman"/>
                <w:sz w:val="10"/>
              </w:rPr>
            </w:pPr>
          </w:p>
        </w:tc>
        <w:tc>
          <w:tcPr>
            <w:tcW w:w="1160" w:type="dxa"/>
          </w:tcPr>
          <w:p>
            <w:pPr>
              <w:pStyle w:val="TableParagraph"/>
              <w:spacing w:before="12"/>
              <w:ind w:right="134"/>
              <w:jc w:val="right"/>
              <w:rPr>
                <w:sz w:val="10"/>
              </w:rPr>
            </w:pPr>
            <w:r>
              <w:rPr>
                <w:w w:val="105"/>
                <w:sz w:val="10"/>
              </w:rPr>
              <w:t>0.00</w:t>
            </w:r>
          </w:p>
        </w:tc>
        <w:tc>
          <w:tcPr>
            <w:tcW w:w="961" w:type="dxa"/>
          </w:tcPr>
          <w:p>
            <w:pPr>
              <w:pStyle w:val="TableParagraph"/>
              <w:spacing w:before="12"/>
              <w:ind w:right="15"/>
              <w:jc w:val="right"/>
              <w:rPr>
                <w:sz w:val="10"/>
              </w:rPr>
            </w:pPr>
            <w:r>
              <w:rPr>
                <w:w w:val="105"/>
                <w:sz w:val="10"/>
              </w:rPr>
              <w:t>0.00</w:t>
            </w:r>
          </w:p>
        </w:tc>
      </w:tr>
      <w:tr>
        <w:trPr>
          <w:trHeight w:val="283" w:hRule="atLeast"/>
        </w:trPr>
        <w:tc>
          <w:tcPr>
            <w:tcW w:w="2866" w:type="dxa"/>
          </w:tcPr>
          <w:p>
            <w:pPr>
              <w:pStyle w:val="TableParagraph"/>
              <w:spacing w:line="136" w:lineRule="exact" w:before="1"/>
              <w:ind w:left="245" w:right="1088"/>
              <w:rPr>
                <w:sz w:val="10"/>
              </w:rPr>
            </w:pPr>
            <w:r>
              <w:rPr>
                <w:w w:val="110"/>
                <w:sz w:val="10"/>
              </w:rPr>
              <w:t>Other Sources/Uses Detail Fund Reconciliation</w:t>
            </w:r>
          </w:p>
        </w:tc>
        <w:tc>
          <w:tcPr>
            <w:tcW w:w="1142" w:type="dxa"/>
            <w:shd w:val="clear" w:color="auto" w:fill="BFBFBF"/>
          </w:tcPr>
          <w:p>
            <w:pPr>
              <w:pStyle w:val="TableParagraph"/>
              <w:rPr>
                <w:rFonts w:ascii="Times New Roman"/>
                <w:sz w:val="10"/>
              </w:rPr>
            </w:pPr>
          </w:p>
        </w:tc>
        <w:tc>
          <w:tcPr>
            <w:tcW w:w="1102" w:type="dxa"/>
            <w:shd w:val="clear" w:color="auto" w:fill="BFBFBF"/>
          </w:tcPr>
          <w:p>
            <w:pPr>
              <w:pStyle w:val="TableParagraph"/>
              <w:rPr>
                <w:rFonts w:ascii="Times New Roman"/>
                <w:sz w:val="10"/>
              </w:rPr>
            </w:pPr>
          </w:p>
        </w:tc>
        <w:tc>
          <w:tcPr>
            <w:tcW w:w="1056" w:type="dxa"/>
            <w:shd w:val="clear" w:color="auto" w:fill="BFBFBF"/>
          </w:tcPr>
          <w:p>
            <w:pPr>
              <w:pStyle w:val="TableParagraph"/>
              <w:rPr>
                <w:rFonts w:ascii="Times New Roman"/>
                <w:sz w:val="10"/>
              </w:rPr>
            </w:pPr>
          </w:p>
        </w:tc>
        <w:tc>
          <w:tcPr>
            <w:tcW w:w="1102" w:type="dxa"/>
            <w:shd w:val="clear" w:color="auto" w:fill="BFBFBF"/>
          </w:tcPr>
          <w:p>
            <w:pPr>
              <w:pStyle w:val="TableParagraph"/>
              <w:rPr>
                <w:rFonts w:ascii="Times New Roman"/>
                <w:sz w:val="10"/>
              </w:rPr>
            </w:pPr>
          </w:p>
        </w:tc>
        <w:tc>
          <w:tcPr>
            <w:tcW w:w="1056" w:type="dxa"/>
            <w:shd w:val="clear" w:color="auto" w:fill="BFBFBF"/>
          </w:tcPr>
          <w:p>
            <w:pPr>
              <w:pStyle w:val="TableParagraph"/>
              <w:spacing w:before="16"/>
              <w:ind w:right="118"/>
              <w:jc w:val="right"/>
              <w:rPr>
                <w:sz w:val="10"/>
              </w:rPr>
            </w:pPr>
            <w:r>
              <w:rPr>
                <w:w w:val="105"/>
                <w:sz w:val="10"/>
              </w:rPr>
              <w:t>0.00</w:t>
            </w:r>
          </w:p>
        </w:tc>
        <w:tc>
          <w:tcPr>
            <w:tcW w:w="1016" w:type="dxa"/>
            <w:shd w:val="clear" w:color="auto" w:fill="BFBFBF"/>
          </w:tcPr>
          <w:p>
            <w:pPr>
              <w:pStyle w:val="TableParagraph"/>
              <w:rPr>
                <w:rFonts w:ascii="Times New Roman"/>
                <w:sz w:val="10"/>
              </w:rPr>
            </w:pPr>
          </w:p>
        </w:tc>
        <w:tc>
          <w:tcPr>
            <w:tcW w:w="1160" w:type="dxa"/>
          </w:tcPr>
          <w:p>
            <w:pPr>
              <w:pStyle w:val="TableParagraph"/>
              <w:spacing w:before="4"/>
              <w:rPr>
                <w:b/>
                <w:sz w:val="13"/>
              </w:rPr>
            </w:pPr>
          </w:p>
          <w:p>
            <w:pPr>
              <w:pStyle w:val="TableParagraph"/>
              <w:spacing w:line="110" w:lineRule="exact"/>
              <w:ind w:right="134"/>
              <w:jc w:val="right"/>
              <w:rPr>
                <w:sz w:val="10"/>
              </w:rPr>
            </w:pPr>
            <w:r>
              <w:rPr>
                <w:w w:val="105"/>
                <w:sz w:val="10"/>
              </w:rPr>
              <w:t>0.00</w:t>
            </w:r>
          </w:p>
        </w:tc>
        <w:tc>
          <w:tcPr>
            <w:tcW w:w="961" w:type="dxa"/>
          </w:tcPr>
          <w:p>
            <w:pPr>
              <w:pStyle w:val="TableParagraph"/>
              <w:spacing w:before="4"/>
              <w:rPr>
                <w:b/>
                <w:sz w:val="13"/>
              </w:rPr>
            </w:pPr>
          </w:p>
          <w:p>
            <w:pPr>
              <w:pStyle w:val="TableParagraph"/>
              <w:spacing w:line="110" w:lineRule="exact"/>
              <w:ind w:right="15"/>
              <w:jc w:val="right"/>
              <w:rPr>
                <w:sz w:val="10"/>
              </w:rPr>
            </w:pPr>
            <w:r>
              <w:rPr>
                <w:w w:val="105"/>
                <w:sz w:val="10"/>
              </w:rPr>
              <w:t>0.00</w:t>
            </w:r>
          </w:p>
        </w:tc>
      </w:tr>
      <w:tr>
        <w:trPr>
          <w:trHeight w:val="146" w:hRule="atLeast"/>
        </w:trPr>
        <w:tc>
          <w:tcPr>
            <w:tcW w:w="2866" w:type="dxa"/>
          </w:tcPr>
          <w:p>
            <w:pPr>
              <w:pStyle w:val="TableParagraph"/>
              <w:spacing w:line="110" w:lineRule="exact" w:before="16"/>
              <w:ind w:left="26"/>
              <w:rPr>
                <w:sz w:val="10"/>
              </w:rPr>
            </w:pPr>
            <w:r>
              <w:rPr>
                <w:w w:val="110"/>
                <w:sz w:val="10"/>
              </w:rPr>
              <w:t>76 WARRANT/PASS-THROUGH FUND</w:t>
            </w:r>
          </w:p>
        </w:tc>
        <w:tc>
          <w:tcPr>
            <w:tcW w:w="1142" w:type="dxa"/>
            <w:shd w:val="clear" w:color="auto" w:fill="BFBFBF"/>
          </w:tcPr>
          <w:p>
            <w:pPr>
              <w:pStyle w:val="TableParagraph"/>
              <w:rPr>
                <w:rFonts w:ascii="Times New Roman"/>
                <w:sz w:val="8"/>
              </w:rPr>
            </w:pPr>
          </w:p>
        </w:tc>
        <w:tc>
          <w:tcPr>
            <w:tcW w:w="1102" w:type="dxa"/>
            <w:shd w:val="clear" w:color="auto" w:fill="BFBFBF"/>
          </w:tcPr>
          <w:p>
            <w:pPr>
              <w:pStyle w:val="TableParagraph"/>
              <w:rPr>
                <w:rFonts w:ascii="Times New Roman"/>
                <w:sz w:val="8"/>
              </w:rPr>
            </w:pPr>
          </w:p>
        </w:tc>
        <w:tc>
          <w:tcPr>
            <w:tcW w:w="1056" w:type="dxa"/>
            <w:shd w:val="clear" w:color="auto" w:fill="BFBFBF"/>
          </w:tcPr>
          <w:p>
            <w:pPr>
              <w:pStyle w:val="TableParagraph"/>
              <w:rPr>
                <w:rFonts w:ascii="Times New Roman"/>
                <w:sz w:val="8"/>
              </w:rPr>
            </w:pPr>
          </w:p>
        </w:tc>
        <w:tc>
          <w:tcPr>
            <w:tcW w:w="1102" w:type="dxa"/>
            <w:shd w:val="clear" w:color="auto" w:fill="BFBFBF"/>
          </w:tcPr>
          <w:p>
            <w:pPr>
              <w:pStyle w:val="TableParagraph"/>
              <w:rPr>
                <w:rFonts w:ascii="Times New Roman"/>
                <w:sz w:val="8"/>
              </w:rPr>
            </w:pPr>
          </w:p>
        </w:tc>
        <w:tc>
          <w:tcPr>
            <w:tcW w:w="1056" w:type="dxa"/>
            <w:shd w:val="clear" w:color="auto" w:fill="BFBFBF"/>
          </w:tcPr>
          <w:p>
            <w:pPr>
              <w:pStyle w:val="TableParagraph"/>
              <w:rPr>
                <w:rFonts w:ascii="Times New Roman"/>
                <w:sz w:val="8"/>
              </w:rPr>
            </w:pPr>
          </w:p>
        </w:tc>
        <w:tc>
          <w:tcPr>
            <w:tcW w:w="1016" w:type="dxa"/>
            <w:shd w:val="clear" w:color="auto" w:fill="BFBFBF"/>
          </w:tcPr>
          <w:p>
            <w:pPr>
              <w:pStyle w:val="TableParagraph"/>
              <w:rPr>
                <w:rFonts w:ascii="Times New Roman"/>
                <w:sz w:val="8"/>
              </w:rPr>
            </w:pPr>
          </w:p>
        </w:tc>
        <w:tc>
          <w:tcPr>
            <w:tcW w:w="1160" w:type="dxa"/>
          </w:tcPr>
          <w:p>
            <w:pPr>
              <w:pStyle w:val="TableParagraph"/>
              <w:rPr>
                <w:rFonts w:ascii="Times New Roman"/>
                <w:sz w:val="8"/>
              </w:rPr>
            </w:pPr>
          </w:p>
        </w:tc>
        <w:tc>
          <w:tcPr>
            <w:tcW w:w="961" w:type="dxa"/>
          </w:tcPr>
          <w:p>
            <w:pPr>
              <w:pStyle w:val="TableParagraph"/>
              <w:rPr>
                <w:rFonts w:ascii="Times New Roman"/>
                <w:sz w:val="8"/>
              </w:rPr>
            </w:pPr>
          </w:p>
        </w:tc>
      </w:tr>
      <w:tr>
        <w:trPr>
          <w:trHeight w:val="146" w:hRule="atLeast"/>
        </w:trPr>
        <w:tc>
          <w:tcPr>
            <w:tcW w:w="2866" w:type="dxa"/>
          </w:tcPr>
          <w:p>
            <w:pPr>
              <w:pStyle w:val="TableParagraph"/>
              <w:spacing w:line="110" w:lineRule="exact" w:before="16"/>
              <w:ind w:left="245"/>
              <w:rPr>
                <w:sz w:val="10"/>
              </w:rPr>
            </w:pPr>
            <w:r>
              <w:rPr>
                <w:w w:val="110"/>
                <w:sz w:val="10"/>
              </w:rPr>
              <w:t>Expenditure Detail</w:t>
            </w:r>
          </w:p>
        </w:tc>
        <w:tc>
          <w:tcPr>
            <w:tcW w:w="1142" w:type="dxa"/>
            <w:shd w:val="clear" w:color="auto" w:fill="BFBFBF"/>
          </w:tcPr>
          <w:p>
            <w:pPr>
              <w:pStyle w:val="TableParagraph"/>
              <w:rPr>
                <w:rFonts w:ascii="Times New Roman"/>
                <w:sz w:val="8"/>
              </w:rPr>
            </w:pPr>
          </w:p>
        </w:tc>
        <w:tc>
          <w:tcPr>
            <w:tcW w:w="1102" w:type="dxa"/>
            <w:shd w:val="clear" w:color="auto" w:fill="BFBFBF"/>
          </w:tcPr>
          <w:p>
            <w:pPr>
              <w:pStyle w:val="TableParagraph"/>
              <w:rPr>
                <w:rFonts w:ascii="Times New Roman"/>
                <w:sz w:val="8"/>
              </w:rPr>
            </w:pPr>
          </w:p>
        </w:tc>
        <w:tc>
          <w:tcPr>
            <w:tcW w:w="1056" w:type="dxa"/>
            <w:shd w:val="clear" w:color="auto" w:fill="BFBFBF"/>
          </w:tcPr>
          <w:p>
            <w:pPr>
              <w:pStyle w:val="TableParagraph"/>
              <w:rPr>
                <w:rFonts w:ascii="Times New Roman"/>
                <w:sz w:val="8"/>
              </w:rPr>
            </w:pPr>
          </w:p>
        </w:tc>
        <w:tc>
          <w:tcPr>
            <w:tcW w:w="1102" w:type="dxa"/>
            <w:shd w:val="clear" w:color="auto" w:fill="BFBFBF"/>
          </w:tcPr>
          <w:p>
            <w:pPr>
              <w:pStyle w:val="TableParagraph"/>
              <w:rPr>
                <w:rFonts w:ascii="Times New Roman"/>
                <w:sz w:val="8"/>
              </w:rPr>
            </w:pPr>
          </w:p>
        </w:tc>
        <w:tc>
          <w:tcPr>
            <w:tcW w:w="1056" w:type="dxa"/>
            <w:shd w:val="clear" w:color="auto" w:fill="BFBFBF"/>
          </w:tcPr>
          <w:p>
            <w:pPr>
              <w:pStyle w:val="TableParagraph"/>
              <w:rPr>
                <w:rFonts w:ascii="Times New Roman"/>
                <w:sz w:val="8"/>
              </w:rPr>
            </w:pPr>
          </w:p>
        </w:tc>
        <w:tc>
          <w:tcPr>
            <w:tcW w:w="1016" w:type="dxa"/>
            <w:shd w:val="clear" w:color="auto" w:fill="BFBFBF"/>
          </w:tcPr>
          <w:p>
            <w:pPr>
              <w:pStyle w:val="TableParagraph"/>
              <w:rPr>
                <w:rFonts w:ascii="Times New Roman"/>
                <w:sz w:val="8"/>
              </w:rPr>
            </w:pPr>
          </w:p>
        </w:tc>
        <w:tc>
          <w:tcPr>
            <w:tcW w:w="1160" w:type="dxa"/>
          </w:tcPr>
          <w:p>
            <w:pPr>
              <w:pStyle w:val="TableParagraph"/>
              <w:rPr>
                <w:rFonts w:ascii="Times New Roman"/>
                <w:sz w:val="8"/>
              </w:rPr>
            </w:pPr>
          </w:p>
        </w:tc>
        <w:tc>
          <w:tcPr>
            <w:tcW w:w="961" w:type="dxa"/>
          </w:tcPr>
          <w:p>
            <w:pPr>
              <w:pStyle w:val="TableParagraph"/>
              <w:rPr>
                <w:rFonts w:ascii="Times New Roman"/>
                <w:sz w:val="8"/>
              </w:rPr>
            </w:pPr>
          </w:p>
        </w:tc>
      </w:tr>
      <w:tr>
        <w:trPr>
          <w:trHeight w:val="283" w:hRule="atLeast"/>
        </w:trPr>
        <w:tc>
          <w:tcPr>
            <w:tcW w:w="2866" w:type="dxa"/>
          </w:tcPr>
          <w:p>
            <w:pPr>
              <w:pStyle w:val="TableParagraph"/>
              <w:spacing w:line="136" w:lineRule="exact" w:before="1"/>
              <w:ind w:left="245" w:right="1088"/>
              <w:rPr>
                <w:sz w:val="10"/>
              </w:rPr>
            </w:pPr>
            <w:r>
              <w:rPr>
                <w:w w:val="110"/>
                <w:sz w:val="10"/>
              </w:rPr>
              <w:t>Other Sources/Uses Detail Fund Reconciliation</w:t>
            </w:r>
          </w:p>
        </w:tc>
        <w:tc>
          <w:tcPr>
            <w:tcW w:w="1142" w:type="dxa"/>
            <w:shd w:val="clear" w:color="auto" w:fill="BFBFBF"/>
          </w:tcPr>
          <w:p>
            <w:pPr>
              <w:pStyle w:val="TableParagraph"/>
              <w:rPr>
                <w:rFonts w:ascii="Times New Roman"/>
                <w:sz w:val="10"/>
              </w:rPr>
            </w:pPr>
          </w:p>
        </w:tc>
        <w:tc>
          <w:tcPr>
            <w:tcW w:w="1102" w:type="dxa"/>
            <w:shd w:val="clear" w:color="auto" w:fill="BFBFBF"/>
          </w:tcPr>
          <w:p>
            <w:pPr>
              <w:pStyle w:val="TableParagraph"/>
              <w:rPr>
                <w:rFonts w:ascii="Times New Roman"/>
                <w:sz w:val="10"/>
              </w:rPr>
            </w:pPr>
          </w:p>
        </w:tc>
        <w:tc>
          <w:tcPr>
            <w:tcW w:w="1056" w:type="dxa"/>
            <w:shd w:val="clear" w:color="auto" w:fill="BFBFBF"/>
          </w:tcPr>
          <w:p>
            <w:pPr>
              <w:pStyle w:val="TableParagraph"/>
              <w:rPr>
                <w:rFonts w:ascii="Times New Roman"/>
                <w:sz w:val="10"/>
              </w:rPr>
            </w:pPr>
          </w:p>
        </w:tc>
        <w:tc>
          <w:tcPr>
            <w:tcW w:w="1102" w:type="dxa"/>
            <w:shd w:val="clear" w:color="auto" w:fill="BFBFBF"/>
          </w:tcPr>
          <w:p>
            <w:pPr>
              <w:pStyle w:val="TableParagraph"/>
              <w:rPr>
                <w:rFonts w:ascii="Times New Roman"/>
                <w:sz w:val="10"/>
              </w:rPr>
            </w:pPr>
          </w:p>
        </w:tc>
        <w:tc>
          <w:tcPr>
            <w:tcW w:w="1056" w:type="dxa"/>
            <w:shd w:val="clear" w:color="auto" w:fill="BFBFBF"/>
          </w:tcPr>
          <w:p>
            <w:pPr>
              <w:pStyle w:val="TableParagraph"/>
              <w:rPr>
                <w:rFonts w:ascii="Times New Roman"/>
                <w:sz w:val="10"/>
              </w:rPr>
            </w:pPr>
          </w:p>
        </w:tc>
        <w:tc>
          <w:tcPr>
            <w:tcW w:w="1016" w:type="dxa"/>
            <w:shd w:val="clear" w:color="auto" w:fill="BFBFBF"/>
          </w:tcPr>
          <w:p>
            <w:pPr>
              <w:pStyle w:val="TableParagraph"/>
              <w:rPr>
                <w:rFonts w:ascii="Times New Roman"/>
                <w:sz w:val="10"/>
              </w:rPr>
            </w:pPr>
          </w:p>
        </w:tc>
        <w:tc>
          <w:tcPr>
            <w:tcW w:w="1160" w:type="dxa"/>
          </w:tcPr>
          <w:p>
            <w:pPr>
              <w:pStyle w:val="TableParagraph"/>
              <w:spacing w:before="4"/>
              <w:rPr>
                <w:b/>
                <w:sz w:val="13"/>
              </w:rPr>
            </w:pPr>
          </w:p>
          <w:p>
            <w:pPr>
              <w:pStyle w:val="TableParagraph"/>
              <w:spacing w:line="110" w:lineRule="exact"/>
              <w:ind w:right="134"/>
              <w:jc w:val="right"/>
              <w:rPr>
                <w:sz w:val="10"/>
              </w:rPr>
            </w:pPr>
            <w:r>
              <w:rPr>
                <w:w w:val="105"/>
                <w:sz w:val="10"/>
              </w:rPr>
              <w:t>0.00</w:t>
            </w:r>
          </w:p>
        </w:tc>
        <w:tc>
          <w:tcPr>
            <w:tcW w:w="961" w:type="dxa"/>
          </w:tcPr>
          <w:p>
            <w:pPr>
              <w:pStyle w:val="TableParagraph"/>
              <w:spacing w:before="4"/>
              <w:rPr>
                <w:b/>
                <w:sz w:val="13"/>
              </w:rPr>
            </w:pPr>
          </w:p>
          <w:p>
            <w:pPr>
              <w:pStyle w:val="TableParagraph"/>
              <w:spacing w:line="110" w:lineRule="exact"/>
              <w:ind w:right="15"/>
              <w:jc w:val="right"/>
              <w:rPr>
                <w:sz w:val="10"/>
              </w:rPr>
            </w:pPr>
            <w:r>
              <w:rPr>
                <w:w w:val="105"/>
                <w:sz w:val="10"/>
              </w:rPr>
              <w:t>0.00</w:t>
            </w:r>
          </w:p>
        </w:tc>
      </w:tr>
      <w:tr>
        <w:trPr>
          <w:trHeight w:val="146" w:hRule="atLeast"/>
        </w:trPr>
        <w:tc>
          <w:tcPr>
            <w:tcW w:w="2866" w:type="dxa"/>
          </w:tcPr>
          <w:p>
            <w:pPr>
              <w:pStyle w:val="TableParagraph"/>
              <w:spacing w:line="110" w:lineRule="exact" w:before="16"/>
              <w:ind w:left="26"/>
              <w:rPr>
                <w:sz w:val="10"/>
              </w:rPr>
            </w:pPr>
            <w:r>
              <w:rPr>
                <w:w w:val="110"/>
                <w:sz w:val="10"/>
              </w:rPr>
              <w:t>95 STUDENT BODY FUND</w:t>
            </w:r>
          </w:p>
        </w:tc>
        <w:tc>
          <w:tcPr>
            <w:tcW w:w="1142" w:type="dxa"/>
            <w:shd w:val="clear" w:color="auto" w:fill="BFBFBF"/>
          </w:tcPr>
          <w:p>
            <w:pPr>
              <w:pStyle w:val="TableParagraph"/>
              <w:rPr>
                <w:rFonts w:ascii="Times New Roman"/>
                <w:sz w:val="8"/>
              </w:rPr>
            </w:pPr>
          </w:p>
        </w:tc>
        <w:tc>
          <w:tcPr>
            <w:tcW w:w="1102" w:type="dxa"/>
            <w:shd w:val="clear" w:color="auto" w:fill="BFBFBF"/>
          </w:tcPr>
          <w:p>
            <w:pPr>
              <w:pStyle w:val="TableParagraph"/>
              <w:rPr>
                <w:rFonts w:ascii="Times New Roman"/>
                <w:sz w:val="8"/>
              </w:rPr>
            </w:pPr>
          </w:p>
        </w:tc>
        <w:tc>
          <w:tcPr>
            <w:tcW w:w="1056" w:type="dxa"/>
            <w:shd w:val="clear" w:color="auto" w:fill="BFBFBF"/>
          </w:tcPr>
          <w:p>
            <w:pPr>
              <w:pStyle w:val="TableParagraph"/>
              <w:rPr>
                <w:rFonts w:ascii="Times New Roman"/>
                <w:sz w:val="8"/>
              </w:rPr>
            </w:pPr>
          </w:p>
        </w:tc>
        <w:tc>
          <w:tcPr>
            <w:tcW w:w="1102" w:type="dxa"/>
            <w:shd w:val="clear" w:color="auto" w:fill="BFBFBF"/>
          </w:tcPr>
          <w:p>
            <w:pPr>
              <w:pStyle w:val="TableParagraph"/>
              <w:rPr>
                <w:rFonts w:ascii="Times New Roman"/>
                <w:sz w:val="8"/>
              </w:rPr>
            </w:pPr>
          </w:p>
        </w:tc>
        <w:tc>
          <w:tcPr>
            <w:tcW w:w="1056" w:type="dxa"/>
            <w:shd w:val="clear" w:color="auto" w:fill="BFBFBF"/>
          </w:tcPr>
          <w:p>
            <w:pPr>
              <w:pStyle w:val="TableParagraph"/>
              <w:rPr>
                <w:rFonts w:ascii="Times New Roman"/>
                <w:sz w:val="8"/>
              </w:rPr>
            </w:pPr>
          </w:p>
        </w:tc>
        <w:tc>
          <w:tcPr>
            <w:tcW w:w="1016" w:type="dxa"/>
            <w:shd w:val="clear" w:color="auto" w:fill="BFBFBF"/>
          </w:tcPr>
          <w:p>
            <w:pPr>
              <w:pStyle w:val="TableParagraph"/>
              <w:rPr>
                <w:rFonts w:ascii="Times New Roman"/>
                <w:sz w:val="8"/>
              </w:rPr>
            </w:pPr>
          </w:p>
        </w:tc>
        <w:tc>
          <w:tcPr>
            <w:tcW w:w="1160" w:type="dxa"/>
          </w:tcPr>
          <w:p>
            <w:pPr>
              <w:pStyle w:val="TableParagraph"/>
              <w:rPr>
                <w:rFonts w:ascii="Times New Roman"/>
                <w:sz w:val="8"/>
              </w:rPr>
            </w:pPr>
          </w:p>
        </w:tc>
        <w:tc>
          <w:tcPr>
            <w:tcW w:w="961" w:type="dxa"/>
          </w:tcPr>
          <w:p>
            <w:pPr>
              <w:pStyle w:val="TableParagraph"/>
              <w:rPr>
                <w:rFonts w:ascii="Times New Roman"/>
                <w:sz w:val="8"/>
              </w:rPr>
            </w:pPr>
          </w:p>
        </w:tc>
      </w:tr>
      <w:tr>
        <w:trPr>
          <w:trHeight w:val="146" w:hRule="atLeast"/>
        </w:trPr>
        <w:tc>
          <w:tcPr>
            <w:tcW w:w="2866" w:type="dxa"/>
          </w:tcPr>
          <w:p>
            <w:pPr>
              <w:pStyle w:val="TableParagraph"/>
              <w:spacing w:line="110" w:lineRule="exact" w:before="16"/>
              <w:ind w:left="245"/>
              <w:rPr>
                <w:sz w:val="10"/>
              </w:rPr>
            </w:pPr>
            <w:r>
              <w:rPr>
                <w:w w:val="110"/>
                <w:sz w:val="10"/>
              </w:rPr>
              <w:t>Expenditure Detail</w:t>
            </w:r>
          </w:p>
        </w:tc>
        <w:tc>
          <w:tcPr>
            <w:tcW w:w="1142" w:type="dxa"/>
            <w:shd w:val="clear" w:color="auto" w:fill="BFBFBF"/>
          </w:tcPr>
          <w:p>
            <w:pPr>
              <w:pStyle w:val="TableParagraph"/>
              <w:rPr>
                <w:rFonts w:ascii="Times New Roman"/>
                <w:sz w:val="8"/>
              </w:rPr>
            </w:pPr>
          </w:p>
        </w:tc>
        <w:tc>
          <w:tcPr>
            <w:tcW w:w="1102" w:type="dxa"/>
            <w:shd w:val="clear" w:color="auto" w:fill="BFBFBF"/>
          </w:tcPr>
          <w:p>
            <w:pPr>
              <w:pStyle w:val="TableParagraph"/>
              <w:rPr>
                <w:rFonts w:ascii="Times New Roman"/>
                <w:sz w:val="8"/>
              </w:rPr>
            </w:pPr>
          </w:p>
        </w:tc>
        <w:tc>
          <w:tcPr>
            <w:tcW w:w="1056" w:type="dxa"/>
            <w:shd w:val="clear" w:color="auto" w:fill="BFBFBF"/>
          </w:tcPr>
          <w:p>
            <w:pPr>
              <w:pStyle w:val="TableParagraph"/>
              <w:rPr>
                <w:rFonts w:ascii="Times New Roman"/>
                <w:sz w:val="8"/>
              </w:rPr>
            </w:pPr>
          </w:p>
        </w:tc>
        <w:tc>
          <w:tcPr>
            <w:tcW w:w="1102" w:type="dxa"/>
            <w:shd w:val="clear" w:color="auto" w:fill="BFBFBF"/>
          </w:tcPr>
          <w:p>
            <w:pPr>
              <w:pStyle w:val="TableParagraph"/>
              <w:rPr>
                <w:rFonts w:ascii="Times New Roman"/>
                <w:sz w:val="8"/>
              </w:rPr>
            </w:pPr>
          </w:p>
        </w:tc>
        <w:tc>
          <w:tcPr>
            <w:tcW w:w="1056" w:type="dxa"/>
            <w:shd w:val="clear" w:color="auto" w:fill="BFBFBF"/>
          </w:tcPr>
          <w:p>
            <w:pPr>
              <w:pStyle w:val="TableParagraph"/>
              <w:rPr>
                <w:rFonts w:ascii="Times New Roman"/>
                <w:sz w:val="8"/>
              </w:rPr>
            </w:pPr>
          </w:p>
        </w:tc>
        <w:tc>
          <w:tcPr>
            <w:tcW w:w="1016" w:type="dxa"/>
            <w:shd w:val="clear" w:color="auto" w:fill="BFBFBF"/>
          </w:tcPr>
          <w:p>
            <w:pPr>
              <w:pStyle w:val="TableParagraph"/>
              <w:rPr>
                <w:rFonts w:ascii="Times New Roman"/>
                <w:sz w:val="8"/>
              </w:rPr>
            </w:pPr>
          </w:p>
        </w:tc>
        <w:tc>
          <w:tcPr>
            <w:tcW w:w="1160" w:type="dxa"/>
          </w:tcPr>
          <w:p>
            <w:pPr>
              <w:pStyle w:val="TableParagraph"/>
              <w:rPr>
                <w:rFonts w:ascii="Times New Roman"/>
                <w:sz w:val="8"/>
              </w:rPr>
            </w:pPr>
          </w:p>
        </w:tc>
        <w:tc>
          <w:tcPr>
            <w:tcW w:w="961" w:type="dxa"/>
          </w:tcPr>
          <w:p>
            <w:pPr>
              <w:pStyle w:val="TableParagraph"/>
              <w:rPr>
                <w:rFonts w:ascii="Times New Roman"/>
                <w:sz w:val="8"/>
              </w:rPr>
            </w:pPr>
          </w:p>
        </w:tc>
      </w:tr>
      <w:tr>
        <w:trPr>
          <w:trHeight w:val="146" w:hRule="atLeast"/>
        </w:trPr>
        <w:tc>
          <w:tcPr>
            <w:tcW w:w="2866" w:type="dxa"/>
          </w:tcPr>
          <w:p>
            <w:pPr>
              <w:pStyle w:val="TableParagraph"/>
              <w:spacing w:line="110" w:lineRule="exact" w:before="16"/>
              <w:ind w:left="245"/>
              <w:rPr>
                <w:sz w:val="10"/>
              </w:rPr>
            </w:pPr>
            <w:r>
              <w:rPr>
                <w:w w:val="110"/>
                <w:sz w:val="10"/>
              </w:rPr>
              <w:t>Other Sources/Uses Detail</w:t>
            </w:r>
          </w:p>
        </w:tc>
        <w:tc>
          <w:tcPr>
            <w:tcW w:w="1142" w:type="dxa"/>
            <w:shd w:val="clear" w:color="auto" w:fill="BFBFBF"/>
          </w:tcPr>
          <w:p>
            <w:pPr>
              <w:pStyle w:val="TableParagraph"/>
              <w:rPr>
                <w:rFonts w:ascii="Times New Roman"/>
                <w:sz w:val="8"/>
              </w:rPr>
            </w:pPr>
          </w:p>
        </w:tc>
        <w:tc>
          <w:tcPr>
            <w:tcW w:w="1102" w:type="dxa"/>
            <w:shd w:val="clear" w:color="auto" w:fill="BFBFBF"/>
          </w:tcPr>
          <w:p>
            <w:pPr>
              <w:pStyle w:val="TableParagraph"/>
              <w:rPr>
                <w:rFonts w:ascii="Times New Roman"/>
                <w:sz w:val="8"/>
              </w:rPr>
            </w:pPr>
          </w:p>
        </w:tc>
        <w:tc>
          <w:tcPr>
            <w:tcW w:w="1056" w:type="dxa"/>
            <w:shd w:val="clear" w:color="auto" w:fill="BFBFBF"/>
          </w:tcPr>
          <w:p>
            <w:pPr>
              <w:pStyle w:val="TableParagraph"/>
              <w:rPr>
                <w:rFonts w:ascii="Times New Roman"/>
                <w:sz w:val="8"/>
              </w:rPr>
            </w:pPr>
          </w:p>
        </w:tc>
        <w:tc>
          <w:tcPr>
            <w:tcW w:w="1102" w:type="dxa"/>
            <w:shd w:val="clear" w:color="auto" w:fill="BFBFBF"/>
          </w:tcPr>
          <w:p>
            <w:pPr>
              <w:pStyle w:val="TableParagraph"/>
              <w:rPr>
                <w:rFonts w:ascii="Times New Roman"/>
                <w:sz w:val="8"/>
              </w:rPr>
            </w:pPr>
          </w:p>
        </w:tc>
        <w:tc>
          <w:tcPr>
            <w:tcW w:w="1056" w:type="dxa"/>
            <w:shd w:val="clear" w:color="auto" w:fill="BFBFBF"/>
          </w:tcPr>
          <w:p>
            <w:pPr>
              <w:pStyle w:val="TableParagraph"/>
              <w:rPr>
                <w:rFonts w:ascii="Times New Roman"/>
                <w:sz w:val="8"/>
              </w:rPr>
            </w:pPr>
          </w:p>
        </w:tc>
        <w:tc>
          <w:tcPr>
            <w:tcW w:w="1016" w:type="dxa"/>
            <w:shd w:val="clear" w:color="auto" w:fill="BFBFBF"/>
          </w:tcPr>
          <w:p>
            <w:pPr>
              <w:pStyle w:val="TableParagraph"/>
              <w:rPr>
                <w:rFonts w:ascii="Times New Roman"/>
                <w:sz w:val="8"/>
              </w:rPr>
            </w:pPr>
          </w:p>
        </w:tc>
        <w:tc>
          <w:tcPr>
            <w:tcW w:w="1160" w:type="dxa"/>
          </w:tcPr>
          <w:p>
            <w:pPr>
              <w:pStyle w:val="TableParagraph"/>
              <w:rPr>
                <w:rFonts w:ascii="Times New Roman"/>
                <w:sz w:val="8"/>
              </w:rPr>
            </w:pPr>
          </w:p>
        </w:tc>
        <w:tc>
          <w:tcPr>
            <w:tcW w:w="961" w:type="dxa"/>
          </w:tcPr>
          <w:p>
            <w:pPr>
              <w:pStyle w:val="TableParagraph"/>
              <w:rPr>
                <w:rFonts w:ascii="Times New Roman"/>
                <w:sz w:val="8"/>
              </w:rPr>
            </w:pPr>
          </w:p>
        </w:tc>
      </w:tr>
      <w:tr>
        <w:trPr>
          <w:trHeight w:val="136" w:hRule="atLeast"/>
        </w:trPr>
        <w:tc>
          <w:tcPr>
            <w:tcW w:w="2866" w:type="dxa"/>
          </w:tcPr>
          <w:p>
            <w:pPr>
              <w:pStyle w:val="TableParagraph"/>
              <w:spacing w:line="100" w:lineRule="exact" w:before="16"/>
              <w:ind w:left="245"/>
              <w:rPr>
                <w:sz w:val="10"/>
              </w:rPr>
            </w:pPr>
            <w:r>
              <w:rPr>
                <w:w w:val="110"/>
                <w:sz w:val="10"/>
              </w:rPr>
              <w:t>Fund Reconciliation</w:t>
            </w:r>
          </w:p>
        </w:tc>
        <w:tc>
          <w:tcPr>
            <w:tcW w:w="1142" w:type="dxa"/>
            <w:shd w:val="clear" w:color="auto" w:fill="BFBFBF"/>
          </w:tcPr>
          <w:p>
            <w:pPr>
              <w:pStyle w:val="TableParagraph"/>
              <w:rPr>
                <w:rFonts w:ascii="Times New Roman"/>
                <w:sz w:val="8"/>
              </w:rPr>
            </w:pPr>
          </w:p>
        </w:tc>
        <w:tc>
          <w:tcPr>
            <w:tcW w:w="1102" w:type="dxa"/>
            <w:shd w:val="clear" w:color="auto" w:fill="BFBFBF"/>
          </w:tcPr>
          <w:p>
            <w:pPr>
              <w:pStyle w:val="TableParagraph"/>
              <w:rPr>
                <w:rFonts w:ascii="Times New Roman"/>
                <w:sz w:val="8"/>
              </w:rPr>
            </w:pPr>
          </w:p>
        </w:tc>
        <w:tc>
          <w:tcPr>
            <w:tcW w:w="1056" w:type="dxa"/>
            <w:shd w:val="clear" w:color="auto" w:fill="BFBFBF"/>
          </w:tcPr>
          <w:p>
            <w:pPr>
              <w:pStyle w:val="TableParagraph"/>
              <w:rPr>
                <w:rFonts w:ascii="Times New Roman"/>
                <w:sz w:val="8"/>
              </w:rPr>
            </w:pPr>
          </w:p>
        </w:tc>
        <w:tc>
          <w:tcPr>
            <w:tcW w:w="1102" w:type="dxa"/>
            <w:shd w:val="clear" w:color="auto" w:fill="BFBFBF"/>
          </w:tcPr>
          <w:p>
            <w:pPr>
              <w:pStyle w:val="TableParagraph"/>
              <w:rPr>
                <w:rFonts w:ascii="Times New Roman"/>
                <w:sz w:val="8"/>
              </w:rPr>
            </w:pPr>
          </w:p>
        </w:tc>
        <w:tc>
          <w:tcPr>
            <w:tcW w:w="1056" w:type="dxa"/>
            <w:shd w:val="clear" w:color="auto" w:fill="BFBFBF"/>
          </w:tcPr>
          <w:p>
            <w:pPr>
              <w:pStyle w:val="TableParagraph"/>
              <w:rPr>
                <w:rFonts w:ascii="Times New Roman"/>
                <w:sz w:val="8"/>
              </w:rPr>
            </w:pPr>
          </w:p>
        </w:tc>
        <w:tc>
          <w:tcPr>
            <w:tcW w:w="1016" w:type="dxa"/>
            <w:shd w:val="clear" w:color="auto" w:fill="BFBFBF"/>
          </w:tcPr>
          <w:p>
            <w:pPr>
              <w:pStyle w:val="TableParagraph"/>
              <w:rPr>
                <w:rFonts w:ascii="Times New Roman"/>
                <w:sz w:val="8"/>
              </w:rPr>
            </w:pPr>
          </w:p>
        </w:tc>
        <w:tc>
          <w:tcPr>
            <w:tcW w:w="1160" w:type="dxa"/>
          </w:tcPr>
          <w:p>
            <w:pPr>
              <w:pStyle w:val="TableParagraph"/>
              <w:spacing w:line="100" w:lineRule="exact" w:before="16"/>
              <w:ind w:right="134"/>
              <w:jc w:val="right"/>
              <w:rPr>
                <w:sz w:val="10"/>
              </w:rPr>
            </w:pPr>
            <w:r>
              <w:rPr>
                <w:w w:val="105"/>
                <w:sz w:val="10"/>
              </w:rPr>
              <w:t>0.00</w:t>
            </w:r>
          </w:p>
        </w:tc>
        <w:tc>
          <w:tcPr>
            <w:tcW w:w="961" w:type="dxa"/>
          </w:tcPr>
          <w:p>
            <w:pPr>
              <w:pStyle w:val="TableParagraph"/>
              <w:spacing w:line="100" w:lineRule="exact" w:before="16"/>
              <w:ind w:right="15"/>
              <w:jc w:val="right"/>
              <w:rPr>
                <w:sz w:val="10"/>
              </w:rPr>
            </w:pPr>
            <w:r>
              <w:rPr>
                <w:w w:val="105"/>
                <w:sz w:val="10"/>
              </w:rPr>
              <w:t>0.00</w:t>
            </w:r>
          </w:p>
        </w:tc>
      </w:tr>
      <w:tr>
        <w:trPr>
          <w:trHeight w:val="133" w:hRule="atLeast"/>
        </w:trPr>
        <w:tc>
          <w:tcPr>
            <w:tcW w:w="2866" w:type="dxa"/>
          </w:tcPr>
          <w:p>
            <w:pPr>
              <w:pStyle w:val="TableParagraph"/>
              <w:spacing w:line="97" w:lineRule="exact" w:before="16"/>
              <w:ind w:left="432"/>
              <w:rPr>
                <w:sz w:val="10"/>
              </w:rPr>
            </w:pPr>
            <w:r>
              <w:rPr>
                <w:w w:val="110"/>
                <w:sz w:val="10"/>
              </w:rPr>
              <w:t>TOTALS</w:t>
            </w:r>
          </w:p>
        </w:tc>
        <w:tc>
          <w:tcPr>
            <w:tcW w:w="1142" w:type="dxa"/>
          </w:tcPr>
          <w:p>
            <w:pPr>
              <w:pStyle w:val="TableParagraph"/>
              <w:spacing w:line="97" w:lineRule="exact" w:before="16"/>
              <w:ind w:right="122"/>
              <w:jc w:val="right"/>
              <w:rPr>
                <w:sz w:val="10"/>
              </w:rPr>
            </w:pPr>
            <w:r>
              <w:rPr>
                <w:w w:val="105"/>
                <w:sz w:val="10"/>
              </w:rPr>
              <w:t>0.00</w:t>
            </w:r>
          </w:p>
        </w:tc>
        <w:tc>
          <w:tcPr>
            <w:tcW w:w="1102" w:type="dxa"/>
          </w:tcPr>
          <w:p>
            <w:pPr>
              <w:pStyle w:val="TableParagraph"/>
              <w:spacing w:line="97" w:lineRule="exact" w:before="16"/>
              <w:ind w:right="144"/>
              <w:jc w:val="right"/>
              <w:rPr>
                <w:sz w:val="10"/>
              </w:rPr>
            </w:pPr>
            <w:r>
              <w:rPr>
                <w:w w:val="105"/>
                <w:sz w:val="10"/>
              </w:rPr>
              <w:t>0.00</w:t>
            </w:r>
          </w:p>
        </w:tc>
        <w:tc>
          <w:tcPr>
            <w:tcW w:w="1056" w:type="dxa"/>
          </w:tcPr>
          <w:p>
            <w:pPr>
              <w:pStyle w:val="TableParagraph"/>
              <w:spacing w:line="97" w:lineRule="exact" w:before="16"/>
              <w:ind w:right="120"/>
              <w:jc w:val="right"/>
              <w:rPr>
                <w:sz w:val="10"/>
              </w:rPr>
            </w:pPr>
            <w:r>
              <w:rPr>
                <w:w w:val="105"/>
                <w:sz w:val="10"/>
              </w:rPr>
              <w:t>0.00</w:t>
            </w:r>
          </w:p>
        </w:tc>
        <w:tc>
          <w:tcPr>
            <w:tcW w:w="1102" w:type="dxa"/>
          </w:tcPr>
          <w:p>
            <w:pPr>
              <w:pStyle w:val="TableParagraph"/>
              <w:spacing w:line="97" w:lineRule="exact" w:before="16"/>
              <w:ind w:right="142"/>
              <w:jc w:val="right"/>
              <w:rPr>
                <w:sz w:val="10"/>
              </w:rPr>
            </w:pPr>
            <w:r>
              <w:rPr>
                <w:w w:val="105"/>
                <w:sz w:val="10"/>
              </w:rPr>
              <w:t>0.00</w:t>
            </w:r>
          </w:p>
        </w:tc>
        <w:tc>
          <w:tcPr>
            <w:tcW w:w="1056" w:type="dxa"/>
          </w:tcPr>
          <w:p>
            <w:pPr>
              <w:pStyle w:val="TableParagraph"/>
              <w:spacing w:line="97" w:lineRule="exact" w:before="16"/>
              <w:ind w:right="118"/>
              <w:jc w:val="right"/>
              <w:rPr>
                <w:sz w:val="10"/>
              </w:rPr>
            </w:pPr>
            <w:r>
              <w:rPr>
                <w:w w:val="105"/>
                <w:sz w:val="10"/>
              </w:rPr>
              <w:t>0.00</w:t>
            </w:r>
          </w:p>
        </w:tc>
        <w:tc>
          <w:tcPr>
            <w:tcW w:w="1016" w:type="dxa"/>
          </w:tcPr>
          <w:p>
            <w:pPr>
              <w:pStyle w:val="TableParagraph"/>
              <w:spacing w:line="97" w:lineRule="exact" w:before="16"/>
              <w:ind w:right="54"/>
              <w:jc w:val="right"/>
              <w:rPr>
                <w:sz w:val="10"/>
              </w:rPr>
            </w:pPr>
            <w:r>
              <w:rPr>
                <w:w w:val="105"/>
                <w:sz w:val="10"/>
              </w:rPr>
              <w:t>0.00</w:t>
            </w:r>
          </w:p>
        </w:tc>
        <w:tc>
          <w:tcPr>
            <w:tcW w:w="1160" w:type="dxa"/>
          </w:tcPr>
          <w:p>
            <w:pPr>
              <w:pStyle w:val="TableParagraph"/>
              <w:spacing w:line="97" w:lineRule="exact" w:before="16"/>
              <w:ind w:right="134"/>
              <w:jc w:val="right"/>
              <w:rPr>
                <w:sz w:val="10"/>
              </w:rPr>
            </w:pPr>
            <w:r>
              <w:rPr>
                <w:w w:val="105"/>
                <w:sz w:val="10"/>
              </w:rPr>
              <w:t>0.00</w:t>
            </w:r>
          </w:p>
        </w:tc>
        <w:tc>
          <w:tcPr>
            <w:tcW w:w="961" w:type="dxa"/>
          </w:tcPr>
          <w:p>
            <w:pPr>
              <w:pStyle w:val="TableParagraph"/>
              <w:spacing w:line="97" w:lineRule="exact" w:before="16"/>
              <w:ind w:right="15"/>
              <w:jc w:val="right"/>
              <w:rPr>
                <w:sz w:val="10"/>
              </w:rPr>
            </w:pPr>
            <w:r>
              <w:rPr>
                <w:w w:val="105"/>
                <w:sz w:val="10"/>
              </w:rPr>
              <w:t>0.00</w:t>
            </w:r>
          </w:p>
        </w:tc>
      </w:tr>
    </w:tbl>
    <w:p>
      <w:pPr>
        <w:spacing w:after="0" w:line="97" w:lineRule="exact"/>
        <w:jc w:val="right"/>
        <w:rPr>
          <w:sz w:val="10"/>
        </w:rPr>
        <w:sectPr>
          <w:pgSz w:w="12240" w:h="15840"/>
          <w:pgMar w:header="541" w:footer="356" w:top="1020" w:bottom="540" w:left="40" w:right="40"/>
        </w:sectPr>
      </w:pPr>
    </w:p>
    <w:p>
      <w:pPr>
        <w:spacing w:before="3"/>
        <w:ind w:left="113" w:right="0" w:firstLine="0"/>
        <w:jc w:val="left"/>
        <w:rPr>
          <w:sz w:val="10"/>
        </w:rPr>
      </w:pPr>
      <w:bookmarkStart w:name="FORM SIAB" w:id="22"/>
      <w:bookmarkEnd w:id="22"/>
      <w:r>
        <w:rPr/>
      </w:r>
      <w:r>
        <w:rPr>
          <w:w w:val="110"/>
          <w:sz w:val="10"/>
        </w:rPr>
        <w:t>Sutter County</w:t>
      </w:r>
    </w:p>
    <w:p>
      <w:pPr>
        <w:spacing w:line="249" w:lineRule="auto" w:before="3"/>
        <w:ind w:left="687" w:right="23" w:hanging="574"/>
        <w:jc w:val="left"/>
        <w:rPr>
          <w:sz w:val="10"/>
        </w:rPr>
      </w:pPr>
      <w:r>
        <w:rPr/>
        <w:br w:type="column"/>
      </w:r>
      <w:r>
        <w:rPr>
          <w:w w:val="110"/>
          <w:sz w:val="10"/>
        </w:rPr>
        <w:t>SUMMARY</w:t>
      </w:r>
      <w:r>
        <w:rPr>
          <w:spacing w:val="-18"/>
          <w:w w:val="110"/>
          <w:sz w:val="10"/>
        </w:rPr>
        <w:t> </w:t>
      </w:r>
      <w:r>
        <w:rPr>
          <w:w w:val="110"/>
          <w:sz w:val="10"/>
        </w:rPr>
        <w:t>OF</w:t>
      </w:r>
      <w:r>
        <w:rPr>
          <w:spacing w:val="-18"/>
          <w:w w:val="110"/>
          <w:sz w:val="10"/>
        </w:rPr>
        <w:t> </w:t>
      </w:r>
      <w:r>
        <w:rPr>
          <w:w w:val="110"/>
          <w:sz w:val="10"/>
        </w:rPr>
        <w:t>INTERFUND</w:t>
      </w:r>
      <w:r>
        <w:rPr>
          <w:spacing w:val="-18"/>
          <w:w w:val="110"/>
          <w:sz w:val="10"/>
        </w:rPr>
        <w:t> </w:t>
      </w:r>
      <w:r>
        <w:rPr>
          <w:w w:val="110"/>
          <w:sz w:val="10"/>
        </w:rPr>
        <w:t>ACTIVITIES FOR ALL</w:t>
      </w:r>
      <w:r>
        <w:rPr>
          <w:spacing w:val="-3"/>
          <w:w w:val="110"/>
          <w:sz w:val="10"/>
        </w:rPr>
        <w:t> </w:t>
      </w:r>
      <w:r>
        <w:rPr>
          <w:w w:val="110"/>
          <w:sz w:val="10"/>
        </w:rPr>
        <w:t>FUNDS</w:t>
      </w:r>
    </w:p>
    <w:p>
      <w:pPr>
        <w:spacing w:before="3"/>
        <w:ind w:left="113" w:right="0" w:firstLine="0"/>
        <w:jc w:val="left"/>
        <w:rPr>
          <w:sz w:val="10"/>
        </w:rPr>
      </w:pPr>
      <w:r>
        <w:rPr/>
        <w:br w:type="column"/>
      </w:r>
      <w:r>
        <w:rPr>
          <w:w w:val="110"/>
          <w:sz w:val="10"/>
        </w:rPr>
        <w:t>Form SIAB</w:t>
      </w:r>
    </w:p>
    <w:p>
      <w:pPr>
        <w:spacing w:after="0"/>
        <w:jc w:val="left"/>
        <w:rPr>
          <w:sz w:val="10"/>
        </w:rPr>
        <w:sectPr>
          <w:headerReference w:type="default" r:id="rId1889"/>
          <w:footerReference w:type="default" r:id="rId1890"/>
          <w:pgSz w:w="12240" w:h="15840"/>
          <w:pgMar w:header="541" w:footer="356" w:top="780" w:bottom="540" w:left="40" w:right="40"/>
          <w:pgNumType w:start="1"/>
          <w:cols w:num="3" w:equalWidth="0">
            <w:col w:w="817" w:space="4151"/>
            <w:col w:w="2144" w:space="4290"/>
            <w:col w:w="758"/>
          </w:cols>
        </w:sectPr>
      </w:pPr>
    </w:p>
    <w:p>
      <w:pPr>
        <w:pStyle w:val="BodyText"/>
        <w:spacing w:before="1"/>
        <w:rPr>
          <w:sz w:val="11"/>
        </w:rPr>
      </w:pPr>
    </w:p>
    <w:p>
      <w:pPr>
        <w:tabs>
          <w:tab w:pos="5775" w:val="left" w:leader="none"/>
          <w:tab w:pos="7803" w:val="left" w:leader="none"/>
          <w:tab w:pos="8883" w:val="left" w:leader="none"/>
          <w:tab w:pos="9943" w:val="left" w:leader="none"/>
          <w:tab w:pos="11091" w:val="left" w:leader="none"/>
        </w:tabs>
        <w:spacing w:before="104"/>
        <w:ind w:left="3655" w:right="0" w:firstLine="0"/>
        <w:jc w:val="left"/>
        <w:rPr>
          <w:b/>
          <w:sz w:val="10"/>
        </w:rPr>
      </w:pPr>
      <w:r>
        <w:rPr>
          <w:b/>
          <w:w w:val="110"/>
          <w:sz w:val="10"/>
        </w:rPr>
        <w:t>Direct Costs</w:t>
      </w:r>
      <w:r>
        <w:rPr>
          <w:b/>
          <w:spacing w:val="-15"/>
          <w:w w:val="110"/>
          <w:sz w:val="10"/>
        </w:rPr>
        <w:t> </w:t>
      </w:r>
      <w:r>
        <w:rPr>
          <w:b/>
          <w:w w:val="110"/>
          <w:sz w:val="10"/>
        </w:rPr>
        <w:t>-</w:t>
      </w:r>
      <w:r>
        <w:rPr>
          <w:b/>
          <w:spacing w:val="-7"/>
          <w:w w:val="110"/>
          <w:sz w:val="10"/>
        </w:rPr>
        <w:t> </w:t>
      </w:r>
      <w:r>
        <w:rPr>
          <w:b/>
          <w:w w:val="110"/>
          <w:sz w:val="10"/>
        </w:rPr>
        <w:t>Interfund</w:t>
        <w:tab/>
        <w:t>Indirect Costs</w:t>
      </w:r>
      <w:r>
        <w:rPr>
          <w:b/>
          <w:spacing w:val="-16"/>
          <w:w w:val="110"/>
          <w:sz w:val="10"/>
        </w:rPr>
        <w:t> </w:t>
      </w:r>
      <w:r>
        <w:rPr>
          <w:b/>
          <w:w w:val="110"/>
          <w:sz w:val="10"/>
        </w:rPr>
        <w:t>-</w:t>
      </w:r>
      <w:r>
        <w:rPr>
          <w:b/>
          <w:spacing w:val="-8"/>
          <w:w w:val="110"/>
          <w:sz w:val="10"/>
        </w:rPr>
        <w:t> </w:t>
      </w:r>
      <w:r>
        <w:rPr>
          <w:b/>
          <w:w w:val="110"/>
          <w:sz w:val="10"/>
        </w:rPr>
        <w:t>Interfund</w:t>
        <w:tab/>
        <w:t>Interfund</w:t>
        <w:tab/>
        <w:t>Interfund</w:t>
        <w:tab/>
        <w:t>Due</w:t>
      </w:r>
      <w:r>
        <w:rPr>
          <w:b/>
          <w:spacing w:val="-5"/>
          <w:w w:val="110"/>
          <w:sz w:val="10"/>
        </w:rPr>
        <w:t> </w:t>
      </w:r>
      <w:r>
        <w:rPr>
          <w:b/>
          <w:w w:val="110"/>
          <w:sz w:val="10"/>
        </w:rPr>
        <w:t>From</w:t>
        <w:tab/>
        <w:t>Due To</w:t>
      </w:r>
    </w:p>
    <w:p>
      <w:pPr>
        <w:spacing w:after="0"/>
        <w:jc w:val="left"/>
        <w:rPr>
          <w:sz w:val="10"/>
        </w:rPr>
        <w:sectPr>
          <w:type w:val="continuous"/>
          <w:pgSz w:w="12240" w:h="15840"/>
          <w:pgMar w:top="1500" w:bottom="840" w:left="40" w:right="40"/>
        </w:sectPr>
      </w:pPr>
    </w:p>
    <w:p>
      <w:pPr>
        <w:pStyle w:val="BodyText"/>
        <w:spacing w:before="7"/>
        <w:rPr>
          <w:b/>
        </w:rPr>
      </w:pPr>
    </w:p>
    <w:p>
      <w:pPr>
        <w:spacing w:before="0"/>
        <w:ind w:left="368" w:right="0" w:firstLine="0"/>
        <w:jc w:val="left"/>
        <w:rPr>
          <w:b/>
          <w:sz w:val="12"/>
        </w:rPr>
      </w:pPr>
      <w:r>
        <w:rPr>
          <w:b/>
          <w:sz w:val="12"/>
        </w:rPr>
        <w:t>Description</w:t>
      </w:r>
    </w:p>
    <w:p>
      <w:pPr>
        <w:spacing w:before="23"/>
        <w:ind w:left="368" w:right="0" w:firstLine="0"/>
        <w:jc w:val="left"/>
        <w:rPr>
          <w:sz w:val="10"/>
        </w:rPr>
      </w:pPr>
      <w:r>
        <w:rPr>
          <w:w w:val="110"/>
          <w:sz w:val="10"/>
        </w:rPr>
        <w:t>01 GENERAL FUND</w:t>
      </w:r>
    </w:p>
    <w:p>
      <w:pPr>
        <w:spacing w:line="266" w:lineRule="auto" w:before="15"/>
        <w:ind w:left="560" w:right="-7" w:hanging="192"/>
        <w:jc w:val="left"/>
        <w:rPr>
          <w:b/>
          <w:sz w:val="10"/>
        </w:rPr>
      </w:pPr>
      <w:r>
        <w:rPr/>
        <w:br w:type="column"/>
      </w:r>
      <w:r>
        <w:rPr>
          <w:b/>
          <w:w w:val="110"/>
          <w:sz w:val="10"/>
        </w:rPr>
        <w:t>Transfers </w:t>
      </w:r>
      <w:r>
        <w:rPr>
          <w:b/>
          <w:spacing w:val="-10"/>
          <w:w w:val="110"/>
          <w:sz w:val="10"/>
        </w:rPr>
        <w:t>In </w:t>
      </w:r>
      <w:r>
        <w:rPr>
          <w:b/>
          <w:w w:val="110"/>
          <w:sz w:val="10"/>
        </w:rPr>
        <w:t>5750</w:t>
      </w:r>
    </w:p>
    <w:p>
      <w:pPr>
        <w:spacing w:line="266" w:lineRule="auto" w:before="15"/>
        <w:ind w:left="605" w:right="-11" w:hanging="238"/>
        <w:jc w:val="left"/>
        <w:rPr>
          <w:b/>
          <w:sz w:val="10"/>
        </w:rPr>
      </w:pPr>
      <w:r>
        <w:rPr/>
        <w:br w:type="column"/>
      </w:r>
      <w:r>
        <w:rPr>
          <w:b/>
          <w:w w:val="110"/>
          <w:sz w:val="10"/>
        </w:rPr>
        <w:t>Transfers </w:t>
      </w:r>
      <w:r>
        <w:rPr>
          <w:b/>
          <w:spacing w:val="-6"/>
          <w:w w:val="110"/>
          <w:sz w:val="10"/>
        </w:rPr>
        <w:t>Out </w:t>
      </w:r>
      <w:r>
        <w:rPr>
          <w:b/>
          <w:w w:val="110"/>
          <w:sz w:val="10"/>
        </w:rPr>
        <w:t>5750</w:t>
      </w:r>
    </w:p>
    <w:p>
      <w:pPr>
        <w:spacing w:line="266" w:lineRule="auto" w:before="15"/>
        <w:ind w:left="559" w:right="-8" w:hanging="192"/>
        <w:jc w:val="left"/>
        <w:rPr>
          <w:b/>
          <w:sz w:val="10"/>
        </w:rPr>
      </w:pPr>
      <w:r>
        <w:rPr/>
        <w:br w:type="column"/>
      </w:r>
      <w:r>
        <w:rPr>
          <w:b/>
          <w:w w:val="110"/>
          <w:sz w:val="10"/>
        </w:rPr>
        <w:t>Transfers </w:t>
      </w:r>
      <w:r>
        <w:rPr>
          <w:b/>
          <w:spacing w:val="-9"/>
          <w:w w:val="110"/>
          <w:sz w:val="10"/>
        </w:rPr>
        <w:t>In </w:t>
      </w:r>
      <w:r>
        <w:rPr>
          <w:b/>
          <w:w w:val="110"/>
          <w:sz w:val="10"/>
        </w:rPr>
        <w:t>7350</w:t>
      </w:r>
    </w:p>
    <w:p>
      <w:pPr>
        <w:spacing w:line="266" w:lineRule="auto" w:before="15"/>
        <w:ind w:left="605" w:right="-11" w:hanging="238"/>
        <w:jc w:val="left"/>
        <w:rPr>
          <w:b/>
          <w:sz w:val="10"/>
        </w:rPr>
      </w:pPr>
      <w:r>
        <w:rPr/>
        <w:br w:type="column"/>
      </w:r>
      <w:r>
        <w:rPr>
          <w:b/>
          <w:w w:val="110"/>
          <w:sz w:val="10"/>
        </w:rPr>
        <w:t>Transfers </w:t>
      </w:r>
      <w:r>
        <w:rPr>
          <w:b/>
          <w:spacing w:val="-6"/>
          <w:w w:val="110"/>
          <w:sz w:val="10"/>
        </w:rPr>
        <w:t>Out </w:t>
      </w:r>
      <w:r>
        <w:rPr>
          <w:b/>
          <w:w w:val="110"/>
          <w:sz w:val="10"/>
        </w:rPr>
        <w:t>7350</w:t>
      </w:r>
    </w:p>
    <w:p>
      <w:pPr>
        <w:spacing w:line="266" w:lineRule="auto" w:before="15"/>
        <w:ind w:left="420" w:right="0" w:hanging="53"/>
        <w:jc w:val="left"/>
        <w:rPr>
          <w:b/>
          <w:sz w:val="10"/>
        </w:rPr>
      </w:pPr>
      <w:r>
        <w:rPr/>
        <w:br w:type="column"/>
      </w:r>
      <w:r>
        <w:rPr>
          <w:b/>
          <w:w w:val="110"/>
          <w:sz w:val="10"/>
        </w:rPr>
        <w:t>Transfers </w:t>
      </w:r>
      <w:r>
        <w:rPr>
          <w:b/>
          <w:spacing w:val="-9"/>
          <w:w w:val="110"/>
          <w:sz w:val="10"/>
        </w:rPr>
        <w:t>In </w:t>
      </w:r>
      <w:r>
        <w:rPr>
          <w:b/>
          <w:w w:val="110"/>
          <w:sz w:val="10"/>
        </w:rPr>
        <w:t>8900-8929</w:t>
      </w:r>
    </w:p>
    <w:p>
      <w:pPr>
        <w:spacing w:line="266" w:lineRule="auto" w:before="15"/>
        <w:ind w:left="466" w:right="0" w:hanging="99"/>
        <w:jc w:val="left"/>
        <w:rPr>
          <w:b/>
          <w:sz w:val="10"/>
        </w:rPr>
      </w:pPr>
      <w:r>
        <w:rPr/>
        <w:br w:type="column"/>
      </w:r>
      <w:r>
        <w:rPr>
          <w:b/>
          <w:w w:val="110"/>
          <w:sz w:val="10"/>
        </w:rPr>
        <w:t>Transfers </w:t>
      </w:r>
      <w:r>
        <w:rPr>
          <w:b/>
          <w:spacing w:val="-6"/>
          <w:w w:val="110"/>
          <w:sz w:val="10"/>
        </w:rPr>
        <w:t>Out </w:t>
      </w:r>
      <w:r>
        <w:rPr>
          <w:b/>
          <w:w w:val="110"/>
          <w:sz w:val="10"/>
        </w:rPr>
        <w:t>7600-7629</w:t>
      </w:r>
    </w:p>
    <w:p>
      <w:pPr>
        <w:spacing w:line="266" w:lineRule="auto" w:before="15"/>
        <w:ind w:left="565" w:right="-8" w:hanging="200"/>
        <w:jc w:val="left"/>
        <w:rPr>
          <w:b/>
          <w:sz w:val="10"/>
        </w:rPr>
      </w:pPr>
      <w:r>
        <w:rPr/>
        <w:br w:type="column"/>
      </w:r>
      <w:r>
        <w:rPr>
          <w:b/>
          <w:w w:val="110"/>
          <w:sz w:val="10"/>
        </w:rPr>
        <w:t>Other </w:t>
      </w:r>
      <w:r>
        <w:rPr>
          <w:b/>
          <w:spacing w:val="-5"/>
          <w:w w:val="110"/>
          <w:sz w:val="10"/>
        </w:rPr>
        <w:t>Funds </w:t>
      </w:r>
      <w:r>
        <w:rPr>
          <w:b/>
          <w:w w:val="110"/>
          <w:sz w:val="10"/>
        </w:rPr>
        <w:t>9310</w:t>
      </w:r>
    </w:p>
    <w:p>
      <w:pPr>
        <w:spacing w:line="266" w:lineRule="auto" w:before="15"/>
        <w:ind w:left="344" w:right="536" w:firstLine="0"/>
        <w:jc w:val="center"/>
        <w:rPr>
          <w:b/>
          <w:sz w:val="10"/>
        </w:rPr>
      </w:pPr>
      <w:r>
        <w:rPr/>
        <w:br w:type="column"/>
      </w:r>
      <w:r>
        <w:rPr>
          <w:b/>
          <w:w w:val="110"/>
          <w:sz w:val="10"/>
        </w:rPr>
        <w:t>Other Funds 9610</w:t>
      </w:r>
    </w:p>
    <w:p>
      <w:pPr>
        <w:spacing w:after="0" w:line="266" w:lineRule="auto"/>
        <w:jc w:val="center"/>
        <w:rPr>
          <w:sz w:val="10"/>
        </w:rPr>
        <w:sectPr>
          <w:type w:val="continuous"/>
          <w:pgSz w:w="12240" w:h="15840"/>
          <w:pgMar w:top="1500" w:bottom="840" w:left="40" w:right="40"/>
          <w:cols w:num="9" w:equalWidth="0">
            <w:col w:w="1432" w:space="1607"/>
            <w:col w:w="991" w:space="43"/>
            <w:col w:w="1080" w:space="45"/>
            <w:col w:w="991" w:space="44"/>
            <w:col w:w="1080" w:space="45"/>
            <w:col w:w="991" w:space="44"/>
            <w:col w:w="1080" w:space="39"/>
            <w:col w:w="1006" w:space="74"/>
            <w:col w:w="1568"/>
          </w:cols>
        </w:sectPr>
      </w:pPr>
    </w:p>
    <w:p>
      <w:pPr>
        <w:spacing w:before="22"/>
        <w:ind w:left="586" w:right="0" w:firstLine="0"/>
        <w:jc w:val="left"/>
        <w:rPr>
          <w:sz w:val="10"/>
        </w:rPr>
      </w:pPr>
      <w:r>
        <w:rPr/>
        <w:pict>
          <v:group style="position:absolute;margin-left:18.599998pt;margin-top:57.720001pt;width:574.6pt;height:682.6pt;mso-position-horizontal-relative:page;mso-position-vertical-relative:page;z-index:-313670656" coordorigin="372,1154" coordsize="11492,13652">
            <v:shape style="position:absolute;left:372;top:1154;width:11492;height:221" type="#_x0000_t75" stroked="false">
              <v:imagedata r:id="rId1891" o:title=""/>
            </v:shape>
            <v:shape style="position:absolute;left:372;top:1202;width:11492;height:603" type="#_x0000_t75" stroked="false">
              <v:imagedata r:id="rId1892" o:title=""/>
            </v:shape>
            <v:shape style="position:absolute;left:9693;top:1670;width:2160;height:137" coordorigin="9694,1670" coordsize="2160,137" path="m11854,1670l10774,1670,9694,1670,9694,1807,10774,1807,11854,1807,11854,1670e" filled="true" fillcolor="#bfbfbf" stroked="false">
              <v:path arrowok="t"/>
              <v:fill type="solid"/>
            </v:shape>
            <v:shape style="position:absolute;left:9681;top:1665;width:22;height:276" type="#_x0000_t75" stroked="false">
              <v:imagedata r:id="rId1820" o:title=""/>
            </v:shape>
            <v:shape style="position:absolute;left:10768;top:1665;width:8;height:276" type="#_x0000_t75" stroked="false">
              <v:imagedata r:id="rId1824" o:title=""/>
            </v:shape>
            <v:shape style="position:absolute;left:9693;top:1807;width:2160;height:137" coordorigin="9694,1807" coordsize="2160,137" path="m11854,1807l10774,1807,9694,1807,9694,1944,10774,1944,11854,1944,11854,1807e" filled="true" fillcolor="#bfbfbf" stroked="false">
              <v:path arrowok="t"/>
              <v:fill type="solid"/>
            </v:shape>
            <v:shape style="position:absolute;left:3201;top:1802;width:6502;height:281" type="#_x0000_t75" stroked="false">
              <v:imagedata r:id="rId1893" o:title=""/>
            </v:shape>
            <v:rect style="position:absolute;left:9693;top:1944;width:1080;height:137" filled="true" fillcolor="#bfbfbf" stroked="false">
              <v:fill type="solid"/>
            </v:rect>
            <v:shape style="position:absolute;left:10768;top:1939;width:8;height:140" type="#_x0000_t75" stroked="false">
              <v:imagedata r:id="rId1856" o:title=""/>
            </v:shape>
            <v:rect style="position:absolute;left:10773;top:1944;width:1080;height:137" filled="true" fillcolor="#bfbfbf" stroked="false">
              <v:fill type="solid"/>
            </v:rect>
            <v:shape style="position:absolute;left:9681;top:1939;width:22;height:276" type="#_x0000_t75" stroked="false">
              <v:imagedata r:id="rId1820" o:title=""/>
            </v:shape>
            <v:rect style="position:absolute;left:9693;top:2080;width:1080;height:137" filled="true" fillcolor="#bfbfbf" stroked="false">
              <v:fill type="solid"/>
            </v:rect>
            <v:shape style="position:absolute;left:10768;top:2076;width:8;height:140" type="#_x0000_t75" stroked="false">
              <v:imagedata r:id="rId1857" o:title=""/>
            </v:shape>
            <v:rect style="position:absolute;left:10773;top:2080;width:1080;height:137" filled="true" fillcolor="#bfbfbf" stroked="false">
              <v:fill type="solid"/>
            </v:rect>
            <v:shape style="position:absolute;left:9681;top:2076;width:22;height:276" type="#_x0000_t75" stroked="false">
              <v:imagedata r:id="rId1820" o:title=""/>
            </v:shape>
            <v:rect style="position:absolute;left:9693;top:2217;width:1080;height:137" filled="true" fillcolor="#bfbfbf" stroked="false">
              <v:fill type="solid"/>
            </v:rect>
            <v:shape style="position:absolute;left:10768;top:2212;width:8;height:140" type="#_x0000_t75" stroked="false">
              <v:imagedata r:id="rId1856" o:title=""/>
            </v:shape>
            <v:rect style="position:absolute;left:10773;top:2217;width:1080;height:137" filled="true" fillcolor="#bfbfbf" stroked="false">
              <v:fill type="solid"/>
            </v:rect>
            <v:shape style="position:absolute;left:9681;top:2212;width:22;height:276" type="#_x0000_t75" stroked="false">
              <v:imagedata r:id="rId1820" o:title=""/>
            </v:shape>
            <v:shape style="position:absolute;left:3201;top:2076;width:6502;height:555" type="#_x0000_t75" stroked="false">
              <v:imagedata r:id="rId1894" o:title=""/>
            </v:shape>
            <v:rect style="position:absolute;left:9693;top:2354;width:1080;height:137" filled="true" fillcolor="#bfbfbf" stroked="false">
              <v:fill type="solid"/>
            </v:rect>
            <v:shape style="position:absolute;left:10768;top:2349;width:8;height:140" type="#_x0000_t75" stroked="false">
              <v:imagedata r:id="rId1856" o:title=""/>
            </v:shape>
            <v:shape style="position:absolute;left:9693;top:2354;width:2160;height:274" coordorigin="9694,2354" coordsize="2160,274" path="m10774,2491l9694,2491,9694,2628,10774,2628,10774,2491m11854,2354l10774,2354,10774,2491,11854,2491,11854,2354e" filled="true" fillcolor="#bfbfbf" stroked="false">
              <v:path arrowok="t"/>
              <v:fill type="solid"/>
            </v:shape>
            <v:shape style="position:absolute;left:10768;top:2486;width:8;height:140" type="#_x0000_t75" stroked="false">
              <v:imagedata r:id="rId1856" o:title=""/>
            </v:shape>
            <v:rect style="position:absolute;left:10773;top:2491;width:1080;height:137" filled="true" fillcolor="#bfbfbf" stroked="false">
              <v:fill type="solid"/>
            </v:rect>
            <v:shape style="position:absolute;left:9681;top:2623;width:22;height:140" type="#_x0000_t75" stroked="false">
              <v:imagedata r:id="rId1819" o:title=""/>
            </v:shape>
            <v:rect style="position:absolute;left:9693;top:2628;width:1080;height:137" filled="true" fillcolor="#bfbfbf" stroked="false">
              <v:fill type="solid"/>
            </v:rect>
            <v:shape style="position:absolute;left:10768;top:2623;width:8;height:140" type="#_x0000_t75" stroked="false">
              <v:imagedata r:id="rId1856" o:title=""/>
            </v:shape>
            <v:rect style="position:absolute;left:10773;top:2628;width:1080;height:137" filled="true" fillcolor="#bfbfbf" stroked="false">
              <v:fill type="solid"/>
            </v:rect>
            <v:shape style="position:absolute;left:9681;top:2623;width:22;height:276" type="#_x0000_t75" stroked="false">
              <v:imagedata r:id="rId1820" o:title=""/>
            </v:shape>
            <v:rect style="position:absolute;left:9693;top:2764;width:1080;height:137" filled="true" fillcolor="#bfbfbf" stroked="false">
              <v:fill type="solid"/>
            </v:rect>
            <v:shape style="position:absolute;left:10768;top:2760;width:8;height:140" type="#_x0000_t75" stroked="false">
              <v:imagedata r:id="rId1856" o:title=""/>
            </v:shape>
            <v:rect style="position:absolute;left:10773;top:2764;width:1080;height:137" filled="true" fillcolor="#bfbfbf" stroked="false">
              <v:fill type="solid"/>
            </v:rect>
            <v:shape style="position:absolute;left:9681;top:2760;width:22;height:276" type="#_x0000_t75" stroked="false">
              <v:imagedata r:id="rId1820" o:title=""/>
            </v:shape>
            <v:shape style="position:absolute;left:4288;top:2623;width:1095;height:550" type="#_x0000_t75" stroked="false">
              <v:imagedata r:id="rId1895" o:title=""/>
            </v:shape>
            <v:shape style="position:absolute;left:3201;top:2623;width:1095;height:550" type="#_x0000_t75" stroked="false">
              <v:imagedata r:id="rId1896" o:title=""/>
            </v:shape>
            <v:shape style="position:absolute;left:6448;top:2623;width:1095;height:687" type="#_x0000_t75" stroked="false">
              <v:imagedata r:id="rId1897" o:title=""/>
            </v:shape>
            <v:rect style="position:absolute;left:9693;top:2901;width:1080;height:137" filled="true" fillcolor="#bfbfbf" stroked="false">
              <v:fill type="solid"/>
            </v:rect>
            <v:shape style="position:absolute;left:10768;top:2896;width:8;height:140" type="#_x0000_t75" stroked="false">
              <v:imagedata r:id="rId1856" o:title=""/>
            </v:shape>
            <v:rect style="position:absolute;left:10773;top:2901;width:1080;height:137" filled="true" fillcolor="#bfbfbf" stroked="false">
              <v:fill type="solid"/>
            </v:rect>
            <v:shape style="position:absolute;left:5361;top:2623;width:1095;height:550" type="#_x0000_t75" stroked="false">
              <v:imagedata r:id="rId1898" o:title=""/>
            </v:shape>
            <v:rect style="position:absolute;left:3213;top:3038;width:1080;height:137" filled="true" fillcolor="#bfbfbf" stroked="false">
              <v:fill type="solid"/>
            </v:rect>
            <v:shape style="position:absolute;left:9681;top:2896;width:22;height:276" type="#_x0000_t75" stroked="false">
              <v:imagedata r:id="rId1820" o:title=""/>
            </v:shape>
            <v:shape style="position:absolute;left:4293;top:3038;width:6481;height:137" coordorigin="4294,3038" coordsize="6481,137" path="m7534,3038l6454,3038,5374,3038,4294,3038,4294,3175,5374,3175,6454,3175,7534,3175,7534,3038m10774,3038l9694,3038,9694,3175,10774,3175,10774,3038e" filled="true" fillcolor="#bfbfbf" stroked="false">
              <v:path arrowok="t"/>
              <v:fill type="solid"/>
            </v:shape>
            <v:shape style="position:absolute;left:10768;top:3033;width:8;height:140" type="#_x0000_t75" stroked="false">
              <v:imagedata r:id="rId1856" o:title=""/>
            </v:shape>
            <v:rect style="position:absolute;left:10773;top:3038;width:1080;height:137" filled="true" fillcolor="#bfbfbf" stroked="false">
              <v:fill type="solid"/>
            </v:rect>
            <v:shape style="position:absolute;left:7521;top:2623;width:1095;height:687" type="#_x0000_t75" stroked="false">
              <v:imagedata r:id="rId1899" o:title=""/>
            </v:shape>
            <v:shape style="position:absolute;left:3213;top:3175;width:2160;height:137" coordorigin="3214,3175" coordsize="2160,137" path="m5374,3175l4294,3175,3214,3175,3214,3312,4294,3312,5374,3312,5374,3175e" filled="true" fillcolor="#bfbfbf" stroked="false">
              <v:path arrowok="t"/>
              <v:fill type="solid"/>
            </v:shape>
            <v:shape style="position:absolute;left:5361;top:3170;width:22;height:140" type="#_x0000_t75" stroked="false">
              <v:imagedata r:id="rId1819" o:title=""/>
            </v:shape>
            <v:shape style="position:absolute;left:5373;top:3175;width:2160;height:137" coordorigin="5374,3175" coordsize="2160,137" path="m7534,3175l6454,3175,5374,3175,5374,3312,6454,3312,7534,3312,7534,3175e" filled="true" fillcolor="#bfbfbf" stroked="false">
              <v:path arrowok="t"/>
              <v:fill type="solid"/>
            </v:shape>
            <v:shape style="position:absolute;left:8608;top:3033;width:1095;height:276" type="#_x0000_t75" stroked="false">
              <v:imagedata r:id="rId1900" o:title=""/>
            </v:shape>
            <v:shape style="position:absolute;left:7533;top:3175;width:3240;height:137" coordorigin="7534,3175" coordsize="3240,137" path="m10774,3175l9694,3175,8614,3175,7534,3175,7534,3312,8614,3312,9694,3312,10774,3312,10774,3175e" filled="true" fillcolor="#bfbfbf" stroked="false">
              <v:path arrowok="t"/>
              <v:fill type="solid"/>
            </v:shape>
            <v:shape style="position:absolute;left:10768;top:3170;width:8;height:140" type="#_x0000_t75" stroked="false">
              <v:imagedata r:id="rId1857" o:title=""/>
            </v:shape>
            <v:rect style="position:absolute;left:10773;top:3175;width:1080;height:137" filled="true" fillcolor="#bfbfbf" stroked="false">
              <v:fill type="solid"/>
            </v:rect>
            <v:shape style="position:absolute;left:5361;top:3170;width:22;height:276" type="#_x0000_t75" stroked="false">
              <v:imagedata r:id="rId1820" o:title=""/>
            </v:shape>
            <v:shape style="position:absolute;left:3213;top:3312;width:4320;height:137" coordorigin="3214,3312" coordsize="4320,137" path="m7534,3312l6454,3312,5374,3312,4294,3312,3214,3312,3214,3449,4294,3449,5374,3449,6454,3449,7534,3449,7534,3312e" filled="true" fillcolor="#bfbfbf" stroked="false">
              <v:path arrowok="t"/>
              <v:fill type="solid"/>
            </v:shape>
            <v:shape style="position:absolute;left:7521;top:3307;width:22;height:140" type="#_x0000_t75" stroked="false">
              <v:imagedata r:id="rId1819" o:title=""/>
            </v:shape>
            <v:shape style="position:absolute;left:7533;top:3312;width:3240;height:137" coordorigin="7534,3312" coordsize="3240,137" path="m10774,3312l9694,3312,8614,3312,7534,3312,7534,3449,8614,3449,9694,3449,10774,3449,10774,3312e" filled="true" fillcolor="#bfbfbf" stroked="false">
              <v:path arrowok="t"/>
              <v:fill type="solid"/>
            </v:shape>
            <v:shape style="position:absolute;left:10768;top:3307;width:8;height:140" type="#_x0000_t75" stroked="false">
              <v:imagedata r:id="rId1856" o:title=""/>
            </v:shape>
            <v:rect style="position:absolute;left:10773;top:3312;width:1080;height:137" filled="true" fillcolor="#bfbfbf" stroked="false">
              <v:fill type="solid"/>
            </v:rect>
            <v:shape style="position:absolute;left:5361;top:3307;width:22;height:276" type="#_x0000_t75" stroked="false">
              <v:imagedata r:id="rId1820" o:title=""/>
            </v:shape>
            <v:shape style="position:absolute;left:7521;top:3307;width:22;height:276" type="#_x0000_t75" stroked="false">
              <v:imagedata r:id="rId1820" o:title=""/>
            </v:shape>
            <v:rect style="position:absolute;left:3213;top:3448;width:7560;height:137" filled="true" fillcolor="#bfbfbf" stroked="false">
              <v:fill type="solid"/>
            </v:rect>
            <v:shape style="position:absolute;left:10768;top:3444;width:8;height:140" type="#_x0000_t75" stroked="false">
              <v:imagedata r:id="rId1856" o:title=""/>
            </v:shape>
            <v:rect style="position:absolute;left:10773;top:3448;width:1080;height:137" filled="true" fillcolor="#bfbfbf" stroked="false">
              <v:fill type="solid"/>
            </v:rect>
            <v:shape style="position:absolute;left:3201;top:3170;width:4342;height:550" type="#_x0000_t75" stroked="false">
              <v:imagedata r:id="rId1901" o:title=""/>
            </v:shape>
            <v:shape style="position:absolute;left:8608;top:3170;width:1095;height:687" type="#_x0000_t75" stroked="false">
              <v:imagedata r:id="rId1902" o:title=""/>
            </v:shape>
            <v:shape style="position:absolute;left:7521;top:3307;width:1095;height:418" type="#_x0000_t75" stroked="false">
              <v:imagedata r:id="rId1903" o:title=""/>
            </v:shape>
            <v:shape style="position:absolute;left:7533;top:3585;width:3240;height:137" coordorigin="7534,3586" coordsize="3240,137" path="m10774,3586l8614,3586,7534,3586,7534,3722,8614,3722,10774,3722,10774,3586e" filled="true" fillcolor="#bfbfbf" stroked="false">
              <v:path arrowok="t"/>
              <v:fill type="solid"/>
            </v:shape>
            <v:shape style="position:absolute;left:10768;top:3580;width:8;height:140" type="#_x0000_t75" stroked="false">
              <v:imagedata r:id="rId1856" o:title=""/>
            </v:shape>
            <v:shape style="position:absolute;left:9693;top:3585;width:2160;height:274" coordorigin="9694,3586" coordsize="2160,274" path="m10774,3722l9694,3722,9694,3859,10774,3859,10774,3722m11854,3586l10774,3586,10774,3722,11854,3722,11854,3586e" filled="true" fillcolor="#bfbfbf" stroked="false">
              <v:path arrowok="t"/>
              <v:fill type="solid"/>
            </v:shape>
            <v:shape style="position:absolute;left:10768;top:3717;width:8;height:140" type="#_x0000_t75" stroked="false">
              <v:imagedata r:id="rId1856" o:title=""/>
            </v:shape>
            <v:shape style="position:absolute;left:9693;top:3722;width:2160;height:274" coordorigin="9694,3722" coordsize="2160,274" path="m10774,3859l9694,3859,9694,3996,10774,3996,10774,3859m11854,3722l10774,3722,10774,3859,11854,3859,11854,3722e" filled="true" fillcolor="#bfbfbf" stroked="false">
              <v:path arrowok="t"/>
              <v:fill type="solid"/>
            </v:shape>
            <v:shape style="position:absolute;left:10768;top:3854;width:8;height:140" type="#_x0000_t75" stroked="false">
              <v:imagedata r:id="rId1856" o:title=""/>
            </v:shape>
            <v:rect style="position:absolute;left:10773;top:3859;width:1080;height:137" filled="true" fillcolor="#bfbfbf" stroked="false">
              <v:fill type="solid"/>
            </v:rect>
            <v:shape style="position:absolute;left:9681;top:3717;width:22;height:413" type="#_x0000_t75" stroked="false">
              <v:imagedata r:id="rId1853" o:title=""/>
            </v:shape>
            <v:shape style="position:absolute;left:3201;top:3717;width:6502;height:555" type="#_x0000_t75" stroked="false">
              <v:imagedata r:id="rId1904" o:title=""/>
            </v:shape>
            <v:rect style="position:absolute;left:9693;top:3996;width:1080;height:137" filled="true" fillcolor="#bfbfbf" stroked="false">
              <v:fill type="solid"/>
            </v:rect>
            <v:shape style="position:absolute;left:10768;top:3991;width:8;height:140" type="#_x0000_t75" stroked="false">
              <v:imagedata r:id="rId1856" o:title=""/>
            </v:shape>
            <v:shape style="position:absolute;left:9693;top:3996;width:2160;height:274" coordorigin="9694,3996" coordsize="2160,274" path="m10774,4133l9694,4133,9694,4270,10774,4270,10774,4133m11854,3996l10774,3996,10774,4133,11854,4133,11854,3996e" filled="true" fillcolor="#bfbfbf" stroked="false">
              <v:path arrowok="t"/>
              <v:fill type="solid"/>
            </v:shape>
            <v:shape style="position:absolute;left:10768;top:4128;width:8;height:140" type="#_x0000_t75" stroked="false">
              <v:imagedata r:id="rId1856" o:title=""/>
            </v:shape>
            <v:rect style="position:absolute;left:10773;top:4132;width:1080;height:137" filled="true" fillcolor="#bfbfbf" stroked="false">
              <v:fill type="solid"/>
            </v:rect>
            <v:shape style="position:absolute;left:9681;top:4128;width:22;height:276" type="#_x0000_t75" stroked="false">
              <v:imagedata r:id="rId1820" o:title=""/>
            </v:shape>
            <v:rect style="position:absolute;left:9693;top:4269;width:1080;height:137" filled="true" fillcolor="#bfbfbf" stroked="false">
              <v:fill type="solid"/>
            </v:rect>
            <v:shape style="position:absolute;left:10768;top:4264;width:8;height:140" type="#_x0000_t75" stroked="false">
              <v:imagedata r:id="rId1857" o:title=""/>
            </v:shape>
            <v:rect style="position:absolute;left:10773;top:4269;width:1080;height:137" filled="true" fillcolor="#bfbfbf" stroked="false">
              <v:fill type="solid"/>
            </v:rect>
            <v:shape style="position:absolute;left:9681;top:4264;width:22;height:276" type="#_x0000_t75" stroked="false">
              <v:imagedata r:id="rId1820" o:title=""/>
            </v:shape>
            <v:rect style="position:absolute;left:9693;top:4406;width:1080;height:137" filled="true" fillcolor="#bfbfbf" stroked="false">
              <v:fill type="solid"/>
            </v:rect>
            <v:shape style="position:absolute;left:10768;top:4401;width:8;height:140" type="#_x0000_t75" stroked="false">
              <v:imagedata r:id="rId1856" o:title=""/>
            </v:shape>
            <v:rect style="position:absolute;left:10773;top:4406;width:1080;height:137" filled="true" fillcolor="#bfbfbf" stroked="false">
              <v:fill type="solid"/>
            </v:rect>
            <v:shape style="position:absolute;left:9681;top:4401;width:22;height:276" type="#_x0000_t75" stroked="false">
              <v:imagedata r:id="rId1820" o:title=""/>
            </v:shape>
            <v:shape style="position:absolute;left:3201;top:4264;width:6502;height:555" type="#_x0000_t75" stroked="false">
              <v:imagedata r:id="rId1894" o:title=""/>
            </v:shape>
            <v:rect style="position:absolute;left:9693;top:4543;width:1080;height:137" filled="true" fillcolor="#bfbfbf" stroked="false">
              <v:fill type="solid"/>
            </v:rect>
            <v:shape style="position:absolute;left:10768;top:4538;width:8;height:140" type="#_x0000_t75" stroked="false">
              <v:imagedata r:id="rId1856" o:title=""/>
            </v:shape>
            <v:shape style="position:absolute;left:9693;top:4543;width:2160;height:274" coordorigin="9694,4543" coordsize="2160,274" path="m10774,4680l9694,4680,9694,4817,10774,4817,10774,4680m11854,4543l10774,4543,10774,4680,11854,4680,11854,4543e" filled="true" fillcolor="#bfbfbf" stroked="false">
              <v:path arrowok="t"/>
              <v:fill type="solid"/>
            </v:shape>
            <v:shape style="position:absolute;left:10768;top:4675;width:8;height:140" type="#_x0000_t75" stroked="false">
              <v:imagedata r:id="rId1856" o:title=""/>
            </v:shape>
            <v:rect style="position:absolute;left:10773;top:4680;width:1080;height:137" filled="true" fillcolor="#bfbfbf" stroked="false">
              <v:fill type="solid"/>
            </v:rect>
            <v:shape style="position:absolute;left:9681;top:4675;width:22;height:276" type="#_x0000_t75" stroked="false">
              <v:imagedata r:id="rId1820" o:title=""/>
            </v:shape>
            <v:rect style="position:absolute;left:9693;top:4816;width:1080;height:137" filled="true" fillcolor="#bfbfbf" stroked="false">
              <v:fill type="solid"/>
            </v:rect>
            <v:shape style="position:absolute;left:10768;top:4812;width:8;height:140" type="#_x0000_t75" stroked="false">
              <v:imagedata r:id="rId1856" o:title=""/>
            </v:shape>
            <v:rect style="position:absolute;left:10773;top:4816;width:1080;height:137" filled="true" fillcolor="#bfbfbf" stroked="false">
              <v:fill type="solid"/>
            </v:rect>
            <v:shape style="position:absolute;left:9681;top:4812;width:22;height:276" type="#_x0000_t75" stroked="false">
              <v:imagedata r:id="rId1820" o:title=""/>
            </v:shape>
            <v:rect style="position:absolute;left:9693;top:4953;width:1080;height:137" filled="true" fillcolor="#bfbfbf" stroked="false">
              <v:fill type="solid"/>
            </v:rect>
            <v:shape style="position:absolute;left:10768;top:4948;width:8;height:140" type="#_x0000_t75" stroked="false">
              <v:imagedata r:id="rId1856" o:title=""/>
            </v:shape>
            <v:rect style="position:absolute;left:10773;top:4953;width:1080;height:137" filled="true" fillcolor="#bfbfbf" stroked="false">
              <v:fill type="solid"/>
            </v:rect>
            <v:shape style="position:absolute;left:3201;top:4812;width:2182;height:550" type="#_x0000_t75" stroked="false">
              <v:imagedata r:id="rId1905" o:title=""/>
            </v:shape>
            <v:shape style="position:absolute;left:9681;top:4948;width:22;height:276" type="#_x0000_t75" stroked="false">
              <v:imagedata r:id="rId1820" o:title=""/>
            </v:shape>
            <v:rect style="position:absolute;left:9693;top:5090;width:1080;height:137" filled="true" fillcolor="#bfbfbf" stroked="false">
              <v:fill type="solid"/>
            </v:rect>
            <v:shape style="position:absolute;left:10768;top:5085;width:8;height:140" type="#_x0000_t75" stroked="false">
              <v:imagedata r:id="rId1856" o:title=""/>
            </v:shape>
            <v:rect style="position:absolute;left:10773;top:5090;width:1080;height:137" filled="true" fillcolor="#bfbfbf" stroked="false">
              <v:fill type="solid"/>
            </v:rect>
            <v:shape style="position:absolute;left:5361;top:4812;width:1095;height:550" type="#_x0000_t75" stroked="false">
              <v:imagedata r:id="rId1898" o:title=""/>
            </v:shape>
            <v:shape style="position:absolute;left:6448;top:4812;width:3255;height:555" type="#_x0000_t75" stroked="false">
              <v:imagedata r:id="rId1906" o:title=""/>
            </v:shape>
            <v:shape style="position:absolute;left:5373;top:5227;width:5400;height:137" coordorigin="5374,5227" coordsize="5400,137" path="m7534,5227l6454,5227,5374,5227,5374,5364,6454,5364,7534,5364,7534,5227m10774,5227l9694,5227,9694,5364,10774,5364,10774,5227e" filled="true" fillcolor="#bfbfbf" stroked="false">
              <v:path arrowok="t"/>
              <v:fill type="solid"/>
            </v:shape>
            <v:shape style="position:absolute;left:10768;top:5222;width:8;height:140" type="#_x0000_t75" stroked="false">
              <v:imagedata r:id="rId1857" o:title=""/>
            </v:shape>
            <v:rect style="position:absolute;left:10773;top:5227;width:1080;height:137" filled="true" fillcolor="#bfbfbf" stroked="false">
              <v:fill type="solid"/>
            </v:rect>
            <v:shape style="position:absolute;left:9681;top:5222;width:22;height:276" type="#_x0000_t75" stroked="false">
              <v:imagedata r:id="rId1820" o:title=""/>
            </v:shape>
            <v:shape style="position:absolute;left:5361;top:5359;width:22;height:140" type="#_x0000_t75" stroked="false">
              <v:imagedata r:id="rId1819" o:title=""/>
            </v:shape>
            <v:shape style="position:absolute;left:5373;top:5364;width:5400;height:137" coordorigin="5374,5364" coordsize="5400,137" path="m7534,5364l6454,5364,5374,5364,5374,5501,6454,5501,7534,5501,7534,5364m10774,5364l9694,5364,9694,5501,10774,5501,10774,5364e" filled="true" fillcolor="#bfbfbf" stroked="false">
              <v:path arrowok="t"/>
              <v:fill type="solid"/>
            </v:shape>
            <v:shape style="position:absolute;left:10768;top:5359;width:8;height:140" type="#_x0000_t75" stroked="false">
              <v:imagedata r:id="rId1856" o:title=""/>
            </v:shape>
            <v:rect style="position:absolute;left:10773;top:5364;width:1080;height:137" filled="true" fillcolor="#bfbfbf" stroked="false">
              <v:fill type="solid"/>
            </v:rect>
            <v:shape style="position:absolute;left:5361;top:5359;width:22;height:276" type="#_x0000_t75" stroked="false">
              <v:imagedata r:id="rId1820" o:title=""/>
            </v:shape>
            <v:shape style="position:absolute;left:9681;top:5359;width:22;height:276" type="#_x0000_t75" stroked="false">
              <v:imagedata r:id="rId1820" o:title=""/>
            </v:shape>
            <v:shape style="position:absolute;left:5373;top:5500;width:5400;height:137" coordorigin="5374,5501" coordsize="5400,137" path="m7534,5501l6454,5501,5374,5501,5374,5638,6454,5638,7534,5638,7534,5501m10774,5501l9694,5501,9694,5638,10774,5638,10774,5501e" filled="true" fillcolor="#bfbfbf" stroked="false">
              <v:path arrowok="t"/>
              <v:fill type="solid"/>
            </v:shape>
            <v:shape style="position:absolute;left:10768;top:5496;width:8;height:140" type="#_x0000_t75" stroked="false">
              <v:imagedata r:id="rId1856" o:title=""/>
            </v:shape>
            <v:rect style="position:absolute;left:10773;top:5500;width:1080;height:137" filled="true" fillcolor="#bfbfbf" stroked="false">
              <v:fill type="solid"/>
            </v:rect>
            <v:shape style="position:absolute;left:3201;top:5359;width:2182;height:418" type="#_x0000_t75" stroked="false">
              <v:imagedata r:id="rId1832" o:title=""/>
            </v:shape>
            <v:shape style="position:absolute;left:9681;top:5496;width:22;height:276" type="#_x0000_t75" stroked="false">
              <v:imagedata r:id="rId1820" o:title=""/>
            </v:shape>
            <v:shape style="position:absolute;left:5373;top:5637;width:5400;height:137" coordorigin="5374,5638" coordsize="5400,137" path="m7534,5638l6454,5638,5374,5638,5374,5774,6454,5774,7534,5774,7534,5638m10774,5638l9694,5638,9694,5774,10774,5774,10774,5638e" filled="true" fillcolor="#bfbfbf" stroked="false">
              <v:path arrowok="t"/>
              <v:fill type="solid"/>
            </v:shape>
            <v:shape style="position:absolute;left:10768;top:5632;width:8;height:140" type="#_x0000_t75" stroked="false">
              <v:imagedata r:id="rId1856" o:title=""/>
            </v:shape>
            <v:rect style="position:absolute;left:10773;top:5637;width:1080;height:137" filled="true" fillcolor="#bfbfbf" stroked="false">
              <v:fill type="solid"/>
            </v:rect>
            <v:shape style="position:absolute;left:7521;top:5359;width:2182;height:555" type="#_x0000_t75" stroked="false">
              <v:imagedata r:id="rId1841" o:title=""/>
            </v:shape>
            <v:shape style="position:absolute;left:5361;top:5632;width:22;height:276" type="#_x0000_t75" stroked="false">
              <v:imagedata r:id="rId1820" o:title=""/>
            </v:shape>
            <v:shape style="position:absolute;left:5373;top:5774;width:5400;height:137" coordorigin="5374,5774" coordsize="5400,137" path="m7534,5774l6454,5774,5374,5774,5374,5911,6454,5911,7534,5911,7534,5774m10774,5774l9694,5774,9694,5911,10774,5911,10774,5774e" filled="true" fillcolor="#bfbfbf" stroked="false">
              <v:path arrowok="t"/>
              <v:fill type="solid"/>
            </v:shape>
            <v:shape style="position:absolute;left:10768;top:5769;width:8;height:140" type="#_x0000_t75" stroked="false">
              <v:imagedata r:id="rId1856" o:title=""/>
            </v:shape>
            <v:rect style="position:absolute;left:10773;top:5774;width:1080;height:137" filled="true" fillcolor="#bfbfbf" stroked="false">
              <v:fill type="solid"/>
            </v:rect>
            <v:shape style="position:absolute;left:5361;top:5769;width:22;height:276" type="#_x0000_t75" stroked="false">
              <v:imagedata r:id="rId1820" o:title=""/>
            </v:shape>
            <v:shape style="position:absolute;left:9681;top:5769;width:22;height:276" type="#_x0000_t75" stroked="false">
              <v:imagedata r:id="rId1820" o:title=""/>
            </v:shape>
            <v:shape style="position:absolute;left:5373;top:5911;width:5400;height:137" coordorigin="5374,5911" coordsize="5400,137" path="m7534,5911l6454,5911,5374,5911,5374,6048,6454,6048,7534,6048,7534,5911m10774,5911l9694,5911,9694,6048,10774,6048,10774,5911e" filled="true" fillcolor="#bfbfbf" stroked="false">
              <v:path arrowok="t"/>
              <v:fill type="solid"/>
            </v:shape>
            <v:shape style="position:absolute;left:10768;top:5906;width:8;height:140" type="#_x0000_t75" stroked="false">
              <v:imagedata r:id="rId1856" o:title=""/>
            </v:shape>
            <v:rect style="position:absolute;left:10773;top:5911;width:1080;height:137" filled="true" fillcolor="#bfbfbf" stroked="false">
              <v:fill type="solid"/>
            </v:rect>
            <v:shape style="position:absolute;left:5361;top:5906;width:22;height:276" type="#_x0000_t75" stroked="false">
              <v:imagedata r:id="rId1820" o:title=""/>
            </v:shape>
            <v:shape style="position:absolute;left:9681;top:5906;width:22;height:276" type="#_x0000_t75" stroked="false">
              <v:imagedata r:id="rId1820" o:title=""/>
            </v:shape>
            <v:shape style="position:absolute;left:5373;top:6048;width:5400;height:137" coordorigin="5374,6048" coordsize="5400,137" path="m7534,6048l6454,6048,5374,6048,5374,6185,6454,6185,7534,6185,7534,6048m10774,6048l9694,6048,9694,6185,10774,6185,10774,6048e" filled="true" fillcolor="#bfbfbf" stroked="false">
              <v:path arrowok="t"/>
              <v:fill type="solid"/>
            </v:shape>
            <v:shape style="position:absolute;left:10768;top:6043;width:8;height:140" type="#_x0000_t75" stroked="false">
              <v:imagedata r:id="rId1856" o:title=""/>
            </v:shape>
            <v:rect style="position:absolute;left:10773;top:6048;width:1080;height:137" filled="true" fillcolor="#bfbfbf" stroked="false">
              <v:fill type="solid"/>
            </v:rect>
            <v:shape style="position:absolute;left:5361;top:6043;width:22;height:269" type="#_x0000_t75" stroked="false">
              <v:imagedata r:id="rId1834" o:title=""/>
            </v:shape>
            <v:shape style="position:absolute;left:3201;top:5769;width:1095;height:680" type="#_x0000_t75" stroked="false">
              <v:imagedata r:id="rId1836" o:title=""/>
            </v:shape>
            <v:shape style="position:absolute;left:9681;top:6043;width:22;height:269" type="#_x0000_t75" stroked="false">
              <v:imagedata r:id="rId1834" o:title=""/>
            </v:shape>
            <v:shape style="position:absolute;left:5373;top:6184;width:5400;height:130" coordorigin="5374,6185" coordsize="5400,130" path="m7534,6185l6454,6185,5374,6185,5374,6314,6454,6314,7534,6314,7534,6185m10774,6185l9694,6185,9694,6314,10774,6314,10774,6185e" filled="true" fillcolor="#bfbfbf" stroked="false">
              <v:path arrowok="t"/>
              <v:fill type="solid"/>
            </v:shape>
            <v:shape style="position:absolute;left:10768;top:6180;width:8;height:132" type="#_x0000_t75" stroked="false">
              <v:imagedata r:id="rId1907" o:title=""/>
            </v:shape>
            <v:rect style="position:absolute;left:10773;top:6184;width:1080;height:130" filled="true" fillcolor="#bfbfbf" stroked="false">
              <v:fill type="solid"/>
            </v:rect>
            <v:shape style="position:absolute;left:7521;top:5906;width:2182;height:548" type="#_x0000_t75" stroked="false">
              <v:imagedata r:id="rId1908" o:title=""/>
            </v:shape>
            <v:rect style="position:absolute;left:3213;top:6314;width:1080;height:137" filled="true" fillcolor="#bfbfbf" stroked="false">
              <v:fill type="solid"/>
            </v:rect>
            <v:shape style="position:absolute;left:4288;top:6180;width:1095;height:269" type="#_x0000_t75" stroked="false">
              <v:imagedata r:id="rId1837" o:title=""/>
            </v:shape>
            <v:shape style="position:absolute;left:4293;top:6314;width:6481;height:137" coordorigin="4294,6314" coordsize="6481,137" path="m7534,6314l6454,6314,5374,6314,4294,6314,4294,6451,5374,6451,6454,6451,7534,6451,7534,6314m10774,6314l9694,6314,9694,6451,10774,6451,10774,6314e" filled="true" fillcolor="#bfbfbf" stroked="false">
              <v:path arrowok="t"/>
              <v:fill type="solid"/>
            </v:shape>
            <v:shape style="position:absolute;left:5361;top:6309;width:22;height:276" type="#_x0000_t75" stroked="false">
              <v:imagedata r:id="rId1820" o:title=""/>
            </v:shape>
            <v:shape style="position:absolute;left:10768;top:6309;width:8;height:140" type="#_x0000_t75" stroked="false">
              <v:imagedata r:id="rId1857" o:title=""/>
            </v:shape>
            <v:rect style="position:absolute;left:10773;top:6314;width:1080;height:137" filled="true" fillcolor="#bfbfbf" stroked="false">
              <v:fill type="solid"/>
            </v:rect>
            <v:shape style="position:absolute;left:9681;top:6309;width:22;height:276" type="#_x0000_t75" stroked="false">
              <v:imagedata r:id="rId1820" o:title=""/>
            </v:shape>
            <v:shape style="position:absolute;left:3213;top:6451;width:7560;height:137" coordorigin="3214,6451" coordsize="7560,137" path="m7534,6451l6454,6451,5374,6451,4294,6451,3214,6451,3214,6588,4294,6588,5374,6588,6454,6588,7534,6588,7534,6451m10774,6451l9694,6451,9694,6588,10774,6588,10774,6451e" filled="true" fillcolor="#bfbfbf" stroked="false">
              <v:path arrowok="t"/>
              <v:fill type="solid"/>
            </v:shape>
            <v:shape style="position:absolute;left:10768;top:6446;width:8;height:140" type="#_x0000_t75" stroked="false">
              <v:imagedata r:id="rId1856" o:title=""/>
            </v:shape>
            <v:rect style="position:absolute;left:10773;top:6451;width:1080;height:137" filled="true" fillcolor="#bfbfbf" stroked="false">
              <v:fill type="solid"/>
            </v:rect>
            <v:shape style="position:absolute;left:5361;top:6446;width:22;height:276" type="#_x0000_t75" stroked="false">
              <v:imagedata r:id="rId1820" o:title=""/>
            </v:shape>
            <v:shape style="position:absolute;left:9681;top:6446;width:22;height:276" type="#_x0000_t75" stroked="false">
              <v:imagedata r:id="rId1820" o:title=""/>
            </v:shape>
            <v:shape style="position:absolute;left:3213;top:6588;width:7560;height:137" coordorigin="3214,6588" coordsize="7560,137" path="m7534,6588l6454,6588,5374,6588,4294,6588,3214,6588,3214,6725,4294,6725,5374,6725,6454,6725,7534,6725,7534,6588m10774,6588l9694,6588,9694,6725,10774,6725,10774,6588e" filled="true" fillcolor="#bfbfbf" stroked="false">
              <v:path arrowok="t"/>
              <v:fill type="solid"/>
            </v:shape>
            <v:shape style="position:absolute;left:10768;top:6583;width:8;height:140" type="#_x0000_t75" stroked="false">
              <v:imagedata r:id="rId1856" o:title=""/>
            </v:shape>
            <v:rect style="position:absolute;left:10773;top:6588;width:1080;height:137" filled="true" fillcolor="#bfbfbf" stroked="false">
              <v:fill type="solid"/>
            </v:rect>
            <v:shape style="position:absolute;left:3201;top:6446;width:1095;height:418" type="#_x0000_t75" stroked="false">
              <v:imagedata r:id="rId1839" o:title=""/>
            </v:shape>
            <v:shape style="position:absolute;left:4288;top:6446;width:1095;height:418" type="#_x0000_t75" stroked="false">
              <v:imagedata r:id="rId1840" o:title=""/>
            </v:shape>
            <v:shape style="position:absolute;left:9681;top:6583;width:22;height:276" type="#_x0000_t75" stroked="false">
              <v:imagedata r:id="rId1820" o:title=""/>
            </v:shape>
            <v:shape style="position:absolute;left:3213;top:6724;width:7560;height:137" coordorigin="3214,6725" coordsize="7560,137" path="m7534,6725l6454,6725,5374,6725,4294,6725,3214,6725,3214,6862,4294,6862,5374,6862,6454,6862,7534,6862,7534,6725m10774,6725l9694,6725,9694,6862,10774,6862,10774,6725e" filled="true" fillcolor="#bfbfbf" stroked="false">
              <v:path arrowok="t"/>
              <v:fill type="solid"/>
            </v:shape>
            <v:shape style="position:absolute;left:10768;top:6720;width:8;height:140" type="#_x0000_t75" stroked="false">
              <v:imagedata r:id="rId1856" o:title=""/>
            </v:shape>
            <v:rect style="position:absolute;left:10773;top:6724;width:1080;height:137" filled="true" fillcolor="#bfbfbf" stroked="false">
              <v:fill type="solid"/>
            </v:rect>
            <v:shape style="position:absolute;left:7521;top:6446;width:2182;height:555" type="#_x0000_t75" stroked="false">
              <v:imagedata r:id="rId1841" o:title=""/>
            </v:shape>
            <v:shape style="position:absolute;left:5361;top:6720;width:22;height:276" type="#_x0000_t75" stroked="false">
              <v:imagedata r:id="rId1820" o:title=""/>
            </v:shape>
            <v:shape style="position:absolute;left:5373;top:6861;width:5400;height:137" coordorigin="5374,6862" coordsize="5400,137" path="m7534,6862l6454,6862,5374,6862,5374,6998,6454,6998,7534,6998,7534,6862m10774,6862l9694,6862,9694,6998,10774,6998,10774,6862e" filled="true" fillcolor="#bfbfbf" stroked="false">
              <v:path arrowok="t"/>
              <v:fill type="solid"/>
            </v:shape>
            <v:shape style="position:absolute;left:10768;top:6856;width:8;height:140" type="#_x0000_t75" stroked="false">
              <v:imagedata r:id="rId1856" o:title=""/>
            </v:shape>
            <v:shape style="position:absolute;left:5361;top:6856;width:22;height:276" type="#_x0000_t75" stroked="false">
              <v:imagedata r:id="rId1820" o:title=""/>
            </v:shape>
            <v:rect style="position:absolute;left:10773;top:6861;width:1080;height:137" filled="true" fillcolor="#bfbfbf" stroked="false">
              <v:fill type="solid"/>
            </v:rect>
            <v:shape style="position:absolute;left:9681;top:6856;width:22;height:276" type="#_x0000_t75" stroked="false">
              <v:imagedata r:id="rId1820" o:title=""/>
            </v:shape>
            <v:shape style="position:absolute;left:5373;top:6998;width:5400;height:137" coordorigin="5374,6998" coordsize="5400,137" path="m7534,6998l6454,6998,5374,6998,5374,7135,6454,7135,7534,7135,7534,6998m10774,6998l9694,6998,9694,7135,10774,7135,10774,6998e" filled="true" fillcolor="#bfbfbf" stroked="false">
              <v:path arrowok="t"/>
              <v:fill type="solid"/>
            </v:shape>
            <v:shape style="position:absolute;left:10768;top:6993;width:8;height:140" type="#_x0000_t75" stroked="false">
              <v:imagedata r:id="rId1856" o:title=""/>
            </v:shape>
            <v:rect style="position:absolute;left:10773;top:6998;width:1080;height:137" filled="true" fillcolor="#bfbfbf" stroked="false">
              <v:fill type="solid"/>
            </v:rect>
            <v:shape style="position:absolute;left:5361;top:5359;width:2182;height:2321" type="#_x0000_t75" stroked="false">
              <v:imagedata r:id="rId1909" o:title=""/>
            </v:shape>
            <v:shape style="position:absolute;left:5361;top:6993;width:22;height:276" type="#_x0000_t75" stroked="false">
              <v:imagedata r:id="rId1820" o:title=""/>
            </v:shape>
            <v:shape style="position:absolute;left:9681;top:6993;width:22;height:276" type="#_x0000_t75" stroked="false">
              <v:imagedata r:id="rId1820" o:title=""/>
            </v:shape>
            <v:shape style="position:absolute;left:5373;top:7135;width:5400;height:137" coordorigin="5374,7135" coordsize="5400,137" path="m7534,7135l6454,7135,5374,7135,5374,7272,6454,7272,7534,7272,7534,7135m10774,7135l9694,7135,9694,7272,10774,7272,10774,7135e" filled="true" fillcolor="#bfbfbf" stroked="false">
              <v:path arrowok="t"/>
              <v:fill type="solid"/>
            </v:shape>
            <v:shape style="position:absolute;left:10768;top:7130;width:8;height:140" type="#_x0000_t75" stroked="false">
              <v:imagedata r:id="rId1856" o:title=""/>
            </v:shape>
            <v:rect style="position:absolute;left:10773;top:7135;width:1080;height:137" filled="true" fillcolor="#bfbfbf" stroked="false">
              <v:fill type="solid"/>
            </v:rect>
            <v:shape style="position:absolute;left:3201;top:6856;width:2182;height:555" type="#_x0000_t75" stroked="false">
              <v:imagedata r:id="rId1841" o:title=""/>
            </v:shape>
            <v:shape style="position:absolute;left:9681;top:7130;width:22;height:276" type="#_x0000_t75" stroked="false">
              <v:imagedata r:id="rId1820" o:title=""/>
            </v:shape>
            <v:shape style="position:absolute;left:5373;top:7272;width:5400;height:137" coordorigin="5374,7272" coordsize="5400,137" path="m7534,7272l6454,7272,5374,7272,5374,7409,6454,7409,7534,7409,7534,7272m10774,7272l9694,7272,9694,7409,10774,7409,10774,7272e" filled="true" fillcolor="#bfbfbf" stroked="false">
              <v:path arrowok="t"/>
              <v:fill type="solid"/>
            </v:shape>
            <v:shape style="position:absolute;left:10768;top:7267;width:8;height:140" type="#_x0000_t75" stroked="false">
              <v:imagedata r:id="rId1857" o:title=""/>
            </v:shape>
            <v:rect style="position:absolute;left:10773;top:7272;width:1080;height:137" filled="true" fillcolor="#bfbfbf" stroked="false">
              <v:fill type="solid"/>
            </v:rect>
            <v:shape style="position:absolute;left:9681;top:7267;width:22;height:276" type="#_x0000_t75" stroked="false">
              <v:imagedata r:id="rId1820" o:title=""/>
            </v:shape>
            <v:rect style="position:absolute;left:9693;top:7408;width:1080;height:137" filled="true" fillcolor="#bfbfbf" stroked="false">
              <v:fill type="solid"/>
            </v:rect>
            <v:shape style="position:absolute;left:10768;top:7404;width:8;height:140" type="#_x0000_t75" stroked="false">
              <v:imagedata r:id="rId1856" o:title=""/>
            </v:shape>
            <v:rect style="position:absolute;left:10773;top:7408;width:1080;height:137" filled="true" fillcolor="#bfbfbf" stroked="false">
              <v:fill type="solid"/>
            </v:rect>
            <v:shape style="position:absolute;left:7521;top:6993;width:2182;height:687" type="#_x0000_t75" stroked="false">
              <v:imagedata r:id="rId1910" o:title=""/>
            </v:shape>
            <v:shape style="position:absolute;left:7533;top:7545;width:3240;height:137" coordorigin="7534,7546" coordsize="3240,137" path="m8614,7546l7534,7546,7534,7682,8614,7682,8614,7546m10774,7546l9694,7546,9694,7682,10774,7682,10774,7546e" filled="true" fillcolor="#bfbfbf" stroked="false">
              <v:path arrowok="t"/>
              <v:fill type="solid"/>
            </v:shape>
            <v:shape style="position:absolute;left:10768;top:7540;width:8;height:140" type="#_x0000_t75" stroked="false">
              <v:imagedata r:id="rId1856" o:title=""/>
            </v:shape>
            <v:rect style="position:absolute;left:10773;top:7545;width:1080;height:137" filled="true" fillcolor="#bfbfbf" stroked="false">
              <v:fill type="solid"/>
            </v:rect>
            <v:shape style="position:absolute;left:9681;top:7540;width:22;height:276" type="#_x0000_t75" stroked="false">
              <v:imagedata r:id="rId1820" o:title=""/>
            </v:shape>
            <v:shape style="position:absolute;left:7533;top:7682;width:3240;height:137" coordorigin="7534,7682" coordsize="3240,137" path="m8614,7682l7534,7682,7534,7819,8614,7819,8614,7682m10774,7682l9694,7682,9694,7819,10774,7819,10774,7682e" filled="true" fillcolor="#bfbfbf" stroked="false">
              <v:path arrowok="t"/>
              <v:fill type="solid"/>
            </v:shape>
            <v:shape style="position:absolute;left:10768;top:7677;width:8;height:140" type="#_x0000_t75" stroked="false">
              <v:imagedata r:id="rId1856" o:title=""/>
            </v:shape>
            <v:rect style="position:absolute;left:10773;top:7682;width:1080;height:137" filled="true" fillcolor="#bfbfbf" stroked="false">
              <v:fill type="solid"/>
            </v:rect>
            <v:shape style="position:absolute;left:3201;top:7404;width:1095;height:687" type="#_x0000_t75" stroked="false">
              <v:imagedata r:id="rId1845" o:title=""/>
            </v:shape>
            <v:shape style="position:absolute;left:9681;top:7677;width:22;height:276" type="#_x0000_t75" stroked="false">
              <v:imagedata r:id="rId1820" o:title=""/>
            </v:shape>
            <v:shape style="position:absolute;left:5361;top:7677;width:2175;height:281" type="#_x0000_t75" stroked="false">
              <v:imagedata r:id="rId1846" o:title=""/>
            </v:shape>
            <v:shape style="position:absolute;left:7533;top:7819;width:3240;height:137" coordorigin="7534,7819" coordsize="3240,137" path="m8614,7819l7534,7819,7534,7956,8614,7956,8614,7819m10774,7819l9694,7819,9694,7956,10774,7956,10774,7819e" filled="true" fillcolor="#bfbfbf" stroked="false">
              <v:path arrowok="t"/>
              <v:fill type="solid"/>
            </v:shape>
            <v:shape style="position:absolute;left:10768;top:7814;width:8;height:140" type="#_x0000_t75" stroked="false">
              <v:imagedata r:id="rId1856" o:title=""/>
            </v:shape>
            <v:shape style="position:absolute;left:3213;top:7819;width:8640;height:274" coordorigin="3214,7819" coordsize="8640,274" path="m4294,7956l3214,7956,3214,8093,4294,8093,4294,7956m11854,7819l10774,7819,10774,7956,11854,7956,11854,7819e" filled="true" fillcolor="#bfbfbf" stroked="false">
              <v:path arrowok="t"/>
              <v:fill type="solid"/>
            </v:shape>
            <v:shape style="position:absolute;left:7521;top:7677;width:2182;height:418" type="#_x0000_t75" stroked="false">
              <v:imagedata r:id="rId1832" o:title=""/>
            </v:shape>
            <v:shape style="position:absolute;left:4288;top:7951;width:1095;height:142" type="#_x0000_t75" stroked="false">
              <v:imagedata r:id="rId1847" o:title=""/>
            </v:shape>
            <v:shape style="position:absolute;left:5373;top:7956;width:5400;height:137" coordorigin="5374,7956" coordsize="5400,137" path="m8614,7956l7534,7956,6454,7956,5374,7956,5374,8093,6454,8093,7534,8093,8614,8093,8614,7956m10774,7956l9694,7956,9694,8093,10774,8093,10774,7956e" filled="true" fillcolor="#bfbfbf" stroked="false">
              <v:path arrowok="t"/>
              <v:fill type="solid"/>
            </v:shape>
            <v:shape style="position:absolute;left:10768;top:7951;width:8;height:140" type="#_x0000_t75" stroked="false">
              <v:imagedata r:id="rId1856" o:title=""/>
            </v:shape>
            <v:rect style="position:absolute;left:10773;top:7956;width:1080;height:137" filled="true" fillcolor="#bfbfbf" stroked="false">
              <v:fill type="solid"/>
            </v:rect>
            <v:shape style="position:absolute;left:5361;top:7951;width:22;height:276" type="#_x0000_t75" stroked="false">
              <v:imagedata r:id="rId1820" o:title=""/>
            </v:shape>
            <v:shape style="position:absolute;left:9681;top:7951;width:22;height:276" type="#_x0000_t75" stroked="false">
              <v:imagedata r:id="rId1820" o:title=""/>
            </v:shape>
            <v:shape style="position:absolute;left:3213;top:8092;width:7560;height:137" coordorigin="3214,8093" coordsize="7560,137" path="m7534,8093l6454,8093,5374,8093,4294,8093,3214,8093,3214,8230,4294,8230,5374,8230,6454,8230,7534,8230,7534,8093m10774,8093l9694,8093,9694,8230,10774,8230,10774,8093e" filled="true" fillcolor="#bfbfbf" stroked="false">
              <v:path arrowok="t"/>
              <v:fill type="solid"/>
            </v:shape>
            <v:shape style="position:absolute;left:10768;top:8088;width:8;height:140" type="#_x0000_t75" stroked="false">
              <v:imagedata r:id="rId1856" o:title=""/>
            </v:shape>
            <v:rect style="position:absolute;left:10773;top:8092;width:1080;height:137" filled="true" fillcolor="#bfbfbf" stroked="false">
              <v:fill type="solid"/>
            </v:rect>
            <v:shape style="position:absolute;left:5361;top:8088;width:22;height:276" type="#_x0000_t75" stroked="false">
              <v:imagedata r:id="rId1820" o:title=""/>
            </v:shape>
            <v:shape style="position:absolute;left:9681;top:8088;width:22;height:276" type="#_x0000_t75" stroked="false">
              <v:imagedata r:id="rId1820" o:title=""/>
            </v:shape>
            <v:shape style="position:absolute;left:3213;top:8229;width:7560;height:137" coordorigin="3214,8230" coordsize="7560,137" path="m7534,8230l6454,8230,5374,8230,4294,8230,3214,8230,3214,8366,4294,8366,5374,8366,6454,8366,7534,8366,7534,8230m10774,8230l9694,8230,9694,8366,10774,8366,10774,8230e" filled="true" fillcolor="#bfbfbf" stroked="false">
              <v:path arrowok="t"/>
              <v:fill type="solid"/>
            </v:shape>
            <v:shape style="position:absolute;left:10768;top:8224;width:8;height:140" type="#_x0000_t75" stroked="false">
              <v:imagedata r:id="rId1856" o:title=""/>
            </v:shape>
            <v:rect style="position:absolute;left:10773;top:8229;width:1080;height:137" filled="true" fillcolor="#bfbfbf" stroked="false">
              <v:fill type="solid"/>
            </v:rect>
            <v:shape style="position:absolute;left:3201;top:8088;width:1095;height:418" type="#_x0000_t75" stroked="false">
              <v:imagedata r:id="rId1839" o:title=""/>
            </v:shape>
            <v:shape style="position:absolute;left:4288;top:8088;width:1095;height:418" type="#_x0000_t75" stroked="false">
              <v:imagedata r:id="rId1840" o:title=""/>
            </v:shape>
            <v:rect style="position:absolute;left:3213;top:8366;width:1080;height:137" filled="true" fillcolor="#bfbfbf" stroked="false">
              <v:fill type="solid"/>
            </v:rect>
            <v:shape style="position:absolute;left:9681;top:8224;width:22;height:276" type="#_x0000_t75" stroked="false">
              <v:imagedata r:id="rId1820" o:title=""/>
            </v:shape>
            <v:shape style="position:absolute;left:4293;top:8366;width:6481;height:137" coordorigin="4294,8366" coordsize="6481,137" path="m7534,8366l6454,8366,5374,8366,4294,8366,4294,8503,5374,8503,6454,8503,7534,8503,7534,8366m10774,8366l9694,8366,9694,8503,10774,8503,10774,8366e" filled="true" fillcolor="#bfbfbf" stroked="false">
              <v:path arrowok="t"/>
              <v:fill type="solid"/>
            </v:shape>
            <v:shape style="position:absolute;left:10768;top:8361;width:8;height:140" type="#_x0000_t75" stroked="false">
              <v:imagedata r:id="rId1857" o:title=""/>
            </v:shape>
            <v:shape style="position:absolute;left:7521;top:8088;width:2182;height:555" type="#_x0000_t75" stroked="false">
              <v:imagedata r:id="rId1841" o:title=""/>
            </v:shape>
            <v:rect style="position:absolute;left:10773;top:8366;width:1080;height:137" filled="true" fillcolor="#bfbfbf" stroked="false">
              <v:fill type="solid"/>
            </v:rect>
            <v:shape style="position:absolute;left:5361;top:8361;width:22;height:276" type="#_x0000_t75" stroked="false">
              <v:imagedata r:id="rId1820" o:title=""/>
            </v:shape>
            <v:shape style="position:absolute;left:6448;top:7951;width:8;height:1234" type="#_x0000_t75" stroked="false">
              <v:imagedata r:id="rId1855" o:title=""/>
            </v:shape>
            <v:shape style="position:absolute;left:5373;top:8503;width:5400;height:137" coordorigin="5374,8503" coordsize="5400,137" path="m7534,8503l6454,8503,5374,8503,5374,8640,6454,8640,7534,8640,7534,8503m10774,8503l9694,8503,9694,8640,10774,8640,10774,8503e" filled="true" fillcolor="#bfbfbf" stroked="false">
              <v:path arrowok="t"/>
              <v:fill type="solid"/>
            </v:shape>
            <v:shape style="position:absolute;left:10768;top:8498;width:8;height:140" type="#_x0000_t75" stroked="false">
              <v:imagedata r:id="rId1856" o:title=""/>
            </v:shape>
            <v:shape style="position:absolute;left:5361;top:8498;width:22;height:276" type="#_x0000_t75" stroked="false">
              <v:imagedata r:id="rId1820" o:title=""/>
            </v:shape>
            <v:shape style="position:absolute;left:9681;top:8498;width:22;height:276" type="#_x0000_t75" stroked="false">
              <v:imagedata r:id="rId1820" o:title=""/>
            </v:shape>
            <v:shape style="position:absolute;left:5373;top:8640;width:2160;height:137" coordorigin="5374,8640" coordsize="2160,137" path="m7534,8640l6454,8640,5374,8640,5374,8777,6454,8777,7534,8777,7534,8640e" filled="true" fillcolor="#bfbfbf" stroked="false">
              <v:path arrowok="t"/>
              <v:fill type="solid"/>
            </v:shape>
            <v:shape style="position:absolute;left:10768;top:1665;width:1095;height:13140" type="#_x0000_t75" stroked="false">
              <v:imagedata r:id="rId1911" o:title=""/>
            </v:shape>
            <v:rect style="position:absolute;left:9693;top:8640;width:1080;height:137" filled="true" fillcolor="#bfbfbf" stroked="false">
              <v:fill type="solid"/>
            </v:rect>
            <v:shape style="position:absolute;left:10768;top:8635;width:8;height:140" type="#_x0000_t75" stroked="false">
              <v:imagedata r:id="rId1856" o:title=""/>
            </v:shape>
            <v:rect style="position:absolute;left:10773;top:8640;width:1080;height:137" filled="true" fillcolor="#bfbfbf" stroked="false">
              <v:fill type="solid"/>
            </v:rect>
            <v:shape style="position:absolute;left:5361;top:8635;width:22;height:276" type="#_x0000_t75" stroked="false">
              <v:imagedata r:id="rId1820" o:title=""/>
            </v:shape>
            <v:shape style="position:absolute;left:9681;top:8635;width:22;height:276" type="#_x0000_t75" stroked="false">
              <v:imagedata r:id="rId1820" o:title=""/>
            </v:shape>
            <v:shape style="position:absolute;left:5373;top:8776;width:5400;height:137" coordorigin="5374,8777" coordsize="5400,137" path="m7534,8777l6454,8777,5374,8777,5374,8914,6454,8914,7534,8914,7534,8777m10774,8777l9694,8777,9694,8914,10774,8914,10774,8777e" filled="true" fillcolor="#bfbfbf" stroked="false">
              <v:path arrowok="t"/>
              <v:fill type="solid"/>
            </v:shape>
            <v:shape style="position:absolute;left:10768;top:8772;width:8;height:140" type="#_x0000_t75" stroked="false">
              <v:imagedata r:id="rId1856" o:title=""/>
            </v:shape>
            <v:rect style="position:absolute;left:10773;top:8776;width:1080;height:137" filled="true" fillcolor="#bfbfbf" stroked="false">
              <v:fill type="solid"/>
            </v:rect>
            <v:shape style="position:absolute;left:3201;top:8498;width:2182;height:555" type="#_x0000_t75" stroked="false">
              <v:imagedata r:id="rId1841" o:title=""/>
            </v:shape>
            <v:shape style="position:absolute;left:9681;top:8772;width:22;height:276" type="#_x0000_t75" stroked="false">
              <v:imagedata r:id="rId1820" o:title=""/>
            </v:shape>
            <v:shape style="position:absolute;left:5373;top:8913;width:5400;height:137" coordorigin="5374,8914" coordsize="5400,137" path="m7534,8914l6454,8914,5374,8914,5374,9050,6454,9050,7534,9050,7534,8914m10774,8914l9694,8914,9694,9050,10774,9050,10774,8914e" filled="true" fillcolor="#bfbfbf" stroked="false">
              <v:path arrowok="t"/>
              <v:fill type="solid"/>
            </v:shape>
            <v:shape style="position:absolute;left:10768;top:8908;width:8;height:140" type="#_x0000_t75" stroked="false">
              <v:imagedata r:id="rId1856" o:title=""/>
            </v:shape>
            <v:rect style="position:absolute;left:10773;top:8913;width:1080;height:137" filled="true" fillcolor="#bfbfbf" stroked="false">
              <v:fill type="solid"/>
            </v:rect>
            <v:shape style="position:absolute;left:7521;top:8635;width:2182;height:555" type="#_x0000_t75" stroked="false">
              <v:imagedata r:id="rId1841" o:title=""/>
            </v:shape>
            <v:shape style="position:absolute;left:5373;top:9050;width:5400;height:137" coordorigin="5374,9050" coordsize="5400,137" path="m7534,9050l6454,9050,5374,9050,5374,9187,6454,9187,7534,9187,7534,9050m10774,9050l9694,9050,9694,9187,10774,9187,10774,9050e" filled="true" fillcolor="#bfbfbf" stroked="false">
              <v:path arrowok="t"/>
              <v:fill type="solid"/>
            </v:shape>
            <v:shape style="position:absolute;left:10768;top:9045;width:8;height:140" type="#_x0000_t75" stroked="false">
              <v:imagedata r:id="rId1856" o:title=""/>
            </v:shape>
            <v:rect style="position:absolute;left:10773;top:9050;width:1080;height:137" filled="true" fillcolor="#bfbfbf" stroked="false">
              <v:fill type="solid"/>
            </v:rect>
            <v:shape style="position:absolute;left:9681;top:9045;width:22;height:276" type="#_x0000_t75" stroked="false">
              <v:imagedata r:id="rId1820" o:title=""/>
            </v:shape>
            <v:rect style="position:absolute;left:5373;top:9187;width:1080;height:137" filled="true" fillcolor="#bfbfbf" stroked="false">
              <v:fill type="solid"/>
            </v:rect>
            <v:shape style="position:absolute;left:6448;top:9182;width:8;height:140" type="#_x0000_t75" stroked="false">
              <v:imagedata r:id="rId1856" o:title=""/>
            </v:shape>
            <v:shape style="position:absolute;left:6453;top:9187;width:4320;height:137" coordorigin="6454,9187" coordsize="4320,137" path="m7534,9187l6454,9187,6454,9324,7534,9324,7534,9187m10774,9187l9694,9187,9694,9324,10774,9324,10774,9187e" filled="true" fillcolor="#bfbfbf" stroked="false">
              <v:path arrowok="t"/>
              <v:fill type="solid"/>
            </v:shape>
            <v:shape style="position:absolute;left:10768;top:9182;width:8;height:140" type="#_x0000_t75" stroked="false">
              <v:imagedata r:id="rId1856" o:title=""/>
            </v:shape>
            <v:rect style="position:absolute;left:10773;top:9187;width:1080;height:137" filled="true" fillcolor="#bfbfbf" stroked="false">
              <v:fill type="solid"/>
            </v:rect>
            <v:shape style="position:absolute;left:5361;top:8908;width:22;height:824" type="#_x0000_t75" stroked="false">
              <v:imagedata r:id="rId1851" o:title=""/>
            </v:shape>
            <v:shape style="position:absolute;left:9681;top:9182;width:22;height:276" type="#_x0000_t75" stroked="false">
              <v:imagedata r:id="rId1820" o:title=""/>
            </v:shape>
            <v:rect style="position:absolute;left:5373;top:9324;width:1080;height:137" filled="true" fillcolor="#bfbfbf" stroked="false">
              <v:fill type="solid"/>
            </v:rect>
            <v:shape style="position:absolute;left:6448;top:9319;width:8;height:140" type="#_x0000_t75" stroked="false">
              <v:imagedata r:id="rId1856" o:title=""/>
            </v:shape>
            <v:shape style="position:absolute;left:6453;top:9324;width:4320;height:137" coordorigin="6454,9324" coordsize="4320,137" path="m7534,9324l6454,9324,6454,9461,7534,9461,7534,9324m10774,9324l9694,9324,9694,9461,10774,9461,10774,9324e" filled="true" fillcolor="#bfbfbf" stroked="false">
              <v:path arrowok="t"/>
              <v:fill type="solid"/>
            </v:shape>
            <v:shape style="position:absolute;left:10768;top:9319;width:8;height:140" type="#_x0000_t75" stroked="false">
              <v:imagedata r:id="rId1856" o:title=""/>
            </v:shape>
            <v:rect style="position:absolute;left:10773;top:9324;width:1080;height:137" filled="true" fillcolor="#bfbfbf" stroked="false">
              <v:fill type="solid"/>
            </v:rect>
            <v:shape style="position:absolute;left:3201;top:9045;width:2175;height:555" type="#_x0000_t75" stroked="false">
              <v:imagedata r:id="rId1852" o:title=""/>
            </v:shape>
            <v:shape style="position:absolute;left:9681;top:9319;width:22;height:276" type="#_x0000_t75" stroked="false">
              <v:imagedata r:id="rId1820" o:title=""/>
            </v:shape>
            <v:rect style="position:absolute;left:5373;top:9460;width:1080;height:137" filled="true" fillcolor="#bfbfbf" stroked="false">
              <v:fill type="solid"/>
            </v:rect>
            <v:shape style="position:absolute;left:6448;top:9456;width:8;height:140" type="#_x0000_t75" stroked="false">
              <v:imagedata r:id="rId1857" o:title=""/>
            </v:shape>
            <v:shape style="position:absolute;left:6453;top:9460;width:4320;height:137" coordorigin="6454,9461" coordsize="4320,137" path="m7534,9461l6454,9461,6454,9598,7534,9598,7534,9461m10774,9461l9694,9461,9694,9598,10774,9598,10774,9461e" filled="true" fillcolor="#bfbfbf" stroked="false">
              <v:path arrowok="t"/>
              <v:fill type="solid"/>
            </v:shape>
            <v:shape style="position:absolute;left:10768;top:9456;width:8;height:140" type="#_x0000_t75" stroked="false">
              <v:imagedata r:id="rId1857" o:title=""/>
            </v:shape>
            <v:rect style="position:absolute;left:10773;top:9460;width:1080;height:137" filled="true" fillcolor="#bfbfbf" stroked="false">
              <v:fill type="solid"/>
            </v:rect>
            <v:shape style="position:absolute;left:7521;top:9182;width:2182;height:555" type="#_x0000_t75" stroked="false">
              <v:imagedata r:id="rId1841" o:title=""/>
            </v:shape>
            <v:shape style="position:absolute;left:5373;top:9597;width:5400;height:137" coordorigin="5374,9598" coordsize="5400,137" path="m7534,9598l6454,9598,5374,9598,5374,9734,6454,9734,7534,9734,7534,9598m10774,9598l9694,9598,9694,9734,10774,9734,10774,9598e" filled="true" fillcolor="#bfbfbf" stroked="false">
              <v:path arrowok="t"/>
              <v:fill type="solid"/>
            </v:shape>
            <v:shape style="position:absolute;left:10768;top:9592;width:8;height:140" type="#_x0000_t75" stroked="false">
              <v:imagedata r:id="rId1856" o:title=""/>
            </v:shape>
            <v:shape style="position:absolute;left:5361;top:9592;width:22;height:276" type="#_x0000_t75" stroked="false">
              <v:imagedata r:id="rId1820" o:title=""/>
            </v:shape>
            <v:rect style="position:absolute;left:10773;top:9597;width:1080;height:137" filled="true" fillcolor="#bfbfbf" stroked="false">
              <v:fill type="solid"/>
            </v:rect>
            <v:shape style="position:absolute;left:9681;top:9592;width:22;height:276" type="#_x0000_t75" stroked="false">
              <v:imagedata r:id="rId1820" o:title=""/>
            </v:shape>
            <v:shape style="position:absolute;left:5373;top:9734;width:5400;height:137" coordorigin="5374,9734" coordsize="5400,137" path="m7534,9734l6454,9734,5374,9734,5374,9871,6454,9871,7534,9871,7534,9734m10774,9734l9694,9734,9694,9871,10774,9871,10774,9734e" filled="true" fillcolor="#bfbfbf" stroked="false">
              <v:path arrowok="t"/>
              <v:fill type="solid"/>
            </v:shape>
            <v:shape style="position:absolute;left:10768;top:9729;width:8;height:140" type="#_x0000_t75" stroked="false">
              <v:imagedata r:id="rId1856" o:title=""/>
            </v:shape>
            <v:rect style="position:absolute;left:10773;top:9734;width:1080;height:137" filled="true" fillcolor="#bfbfbf" stroked="false">
              <v:fill type="solid"/>
            </v:rect>
            <v:shape style="position:absolute;left:5361;top:9729;width:22;height:276" type="#_x0000_t75" stroked="false">
              <v:imagedata r:id="rId1820" o:title=""/>
            </v:shape>
            <v:shape style="position:absolute;left:9681;top:9729;width:22;height:276" type="#_x0000_t75" stroked="false">
              <v:imagedata r:id="rId1820" o:title=""/>
            </v:shape>
            <v:shape style="position:absolute;left:5373;top:9871;width:5400;height:137" coordorigin="5374,9871" coordsize="5400,137" path="m7534,9871l6454,9871,5374,9871,5374,10008,6454,10008,7534,10008,7534,9871m10774,9871l9694,9871,9694,10008,10774,10008,10774,9871e" filled="true" fillcolor="#bfbfbf" stroked="false">
              <v:path arrowok="t"/>
              <v:fill type="solid"/>
            </v:shape>
            <v:shape style="position:absolute;left:3201;top:9592;width:2182;height:555" type="#_x0000_t75" stroked="false">
              <v:imagedata r:id="rId1841" o:title=""/>
            </v:shape>
            <v:shape style="position:absolute;left:10768;top:9866;width:8;height:140" type="#_x0000_t75" stroked="false">
              <v:imagedata r:id="rId1856" o:title=""/>
            </v:shape>
            <v:rect style="position:absolute;left:10773;top:9871;width:1080;height:137" filled="true" fillcolor="#bfbfbf" stroked="false">
              <v:fill type="solid"/>
            </v:rect>
            <v:shape style="position:absolute;left:9681;top:9866;width:22;height:276" type="#_x0000_t75" stroked="false">
              <v:imagedata r:id="rId1820" o:title=""/>
            </v:shape>
            <v:shape style="position:absolute;left:5373;top:10008;width:5400;height:137" coordorigin="5374,10008" coordsize="5400,137" path="m7534,10008l6454,10008,5374,10008,5374,10145,6454,10145,7534,10145,7534,10008m10774,10008l9694,10008,9694,10145,10774,10145,10774,10008e" filled="true" fillcolor="#bfbfbf" stroked="false">
              <v:path arrowok="t"/>
              <v:fill type="solid"/>
            </v:shape>
            <v:shape style="position:absolute;left:10768;top:10003;width:8;height:140" type="#_x0000_t75" stroked="false">
              <v:imagedata r:id="rId1856" o:title=""/>
            </v:shape>
            <v:rect style="position:absolute;left:10773;top:10008;width:1080;height:137" filled="true" fillcolor="#bfbfbf" stroked="false">
              <v:fill type="solid"/>
            </v:rect>
            <v:shape style="position:absolute;left:7521;top:9729;width:2182;height:555" type="#_x0000_t75" stroked="false">
              <v:imagedata r:id="rId1841" o:title=""/>
            </v:shape>
            <v:shape style="position:absolute;left:5361;top:10003;width:22;height:276" type="#_x0000_t75" stroked="false">
              <v:imagedata r:id="rId1820" o:title=""/>
            </v:shape>
            <v:shape style="position:absolute;left:5373;top:10144;width:5400;height:137" coordorigin="5374,10145" coordsize="5400,137" path="m7534,10145l6454,10145,5374,10145,5374,10282,6454,10282,7534,10282,7534,10145m10774,10145l9694,10145,9694,10282,10774,10282,10774,10145e" filled="true" fillcolor="#bfbfbf" stroked="false">
              <v:path arrowok="t"/>
              <v:fill type="solid"/>
            </v:shape>
            <v:shape style="position:absolute;left:10768;top:10140;width:8;height:140" type="#_x0000_t75" stroked="false">
              <v:imagedata r:id="rId1856" o:title=""/>
            </v:shape>
            <v:shape style="position:absolute;left:5361;top:10140;width:22;height:276" type="#_x0000_t75" stroked="false">
              <v:imagedata r:id="rId1820" o:title=""/>
            </v:shape>
            <v:rect style="position:absolute;left:10773;top:10144;width:1080;height:137" filled="true" fillcolor="#bfbfbf" stroked="false">
              <v:fill type="solid"/>
            </v:rect>
            <v:shape style="position:absolute;left:9681;top:10140;width:22;height:276" type="#_x0000_t75" stroked="false">
              <v:imagedata r:id="rId1820" o:title=""/>
            </v:shape>
            <v:shape style="position:absolute;left:5373;top:10281;width:5400;height:137" coordorigin="5374,10282" coordsize="5400,137" path="m7534,10282l6454,10282,5374,10282,5374,10418,6454,10418,7534,10418,7534,10282m10774,10282l9694,10282,9694,10418,10774,10418,10774,10282e" filled="true" fillcolor="#bfbfbf" stroked="false">
              <v:path arrowok="t"/>
              <v:fill type="solid"/>
            </v:shape>
            <v:shape style="position:absolute;left:10768;top:10276;width:8;height:140" type="#_x0000_t75" stroked="false">
              <v:imagedata r:id="rId1856" o:title=""/>
            </v:shape>
            <v:rect style="position:absolute;left:10773;top:10281;width:1080;height:137" filled="true" fillcolor="#bfbfbf" stroked="false">
              <v:fill type="solid"/>
            </v:rect>
            <v:shape style="position:absolute;left:5361;top:10276;width:22;height:276" type="#_x0000_t75" stroked="false">
              <v:imagedata r:id="rId1820" o:title=""/>
            </v:shape>
            <v:shape style="position:absolute;left:9681;top:10276;width:22;height:276" type="#_x0000_t75" stroked="false">
              <v:imagedata r:id="rId1820" o:title=""/>
            </v:shape>
            <v:shape style="position:absolute;left:5373;top:10418;width:5400;height:137" coordorigin="5374,10418" coordsize="5400,137" path="m7534,10418l6454,10418,5374,10418,5374,10555,6454,10555,7534,10555,7534,10418m10774,10418l9694,10418,9694,10555,10774,10555,10774,10418e" filled="true" fillcolor="#bfbfbf" stroked="false">
              <v:path arrowok="t"/>
              <v:fill type="solid"/>
            </v:shape>
            <v:shape style="position:absolute;left:3201;top:10140;width:2182;height:555" type="#_x0000_t75" stroked="false">
              <v:imagedata r:id="rId1841" o:title=""/>
            </v:shape>
            <v:shape style="position:absolute;left:10768;top:10413;width:8;height:140" type="#_x0000_t75" stroked="false">
              <v:imagedata r:id="rId1857" o:title=""/>
            </v:shape>
            <v:rect style="position:absolute;left:10773;top:10418;width:1080;height:137" filled="true" fillcolor="#bfbfbf" stroked="false">
              <v:fill type="solid"/>
            </v:rect>
            <v:shape style="position:absolute;left:9681;top:10413;width:22;height:276" type="#_x0000_t75" stroked="false">
              <v:imagedata r:id="rId1820" o:title=""/>
            </v:shape>
            <v:shape style="position:absolute;left:5373;top:10555;width:5400;height:137" coordorigin="5374,10555" coordsize="5400,137" path="m7534,10555l6454,10555,5374,10555,5374,10692,6454,10692,7534,10692,7534,10555m10774,10555l9694,10555,9694,10692,10774,10692,10774,10555e" filled="true" fillcolor="#bfbfbf" stroked="false">
              <v:path arrowok="t"/>
              <v:fill type="solid"/>
            </v:shape>
            <v:shape style="position:absolute;left:10768;top:10550;width:8;height:140" type="#_x0000_t75" stroked="false">
              <v:imagedata r:id="rId1856" o:title=""/>
            </v:shape>
            <v:rect style="position:absolute;left:10773;top:10555;width:1080;height:137" filled="true" fillcolor="#bfbfbf" stroked="false">
              <v:fill type="solid"/>
            </v:rect>
            <v:shape style="position:absolute;left:5361;top:10550;width:22;height:276" type="#_x0000_t75" stroked="false">
              <v:imagedata r:id="rId1820" o:title=""/>
            </v:shape>
            <v:shape style="position:absolute;left:8608;top:10276;width:1095;height:555" type="#_x0000_t75" stroked="false">
              <v:imagedata r:id="rId1912" o:title=""/>
            </v:shape>
            <v:shape style="position:absolute;left:5373;top:10692;width:5400;height:137" coordorigin="5374,10692" coordsize="5400,137" path="m7534,10692l6454,10692,5374,10692,5374,10829,6454,10829,7534,10829,7534,10692m10774,10692l9694,10692,9694,10829,10774,10829,10774,10692e" filled="true" fillcolor="#bfbfbf" stroked="false">
              <v:path arrowok="t"/>
              <v:fill type="solid"/>
            </v:shape>
            <v:shape style="position:absolute;left:10768;top:10687;width:8;height:140" type="#_x0000_t75" stroked="false">
              <v:imagedata r:id="rId1856" o:title=""/>
            </v:shape>
            <v:rect style="position:absolute;left:10773;top:10692;width:1080;height:137" filled="true" fillcolor="#bfbfbf" stroked="false">
              <v:fill type="solid"/>
            </v:rect>
            <v:shape style="position:absolute;left:5361;top:10687;width:22;height:276" type="#_x0000_t75" stroked="false">
              <v:imagedata r:id="rId1820" o:title=""/>
            </v:shape>
            <v:shape style="position:absolute;left:7521;top:10276;width:1095;height:1097" type="#_x0000_t75" stroked="false">
              <v:imagedata r:id="rId1913" o:title=""/>
            </v:shape>
            <v:shape style="position:absolute;left:9681;top:10687;width:22;height:276" type="#_x0000_t75" stroked="false">
              <v:imagedata r:id="rId1820" o:title=""/>
            </v:shape>
            <v:shape style="position:absolute;left:5373;top:10828;width:5400;height:137" coordorigin="5374,10829" coordsize="5400,137" path="m7534,10829l6454,10829,5374,10829,5374,10966,6454,10966,7534,10966,7534,10829m10774,10829l9694,10829,9694,10966,10774,10966,10774,10829e" filled="true" fillcolor="#bfbfbf" stroked="false">
              <v:path arrowok="t"/>
              <v:fill type="solid"/>
            </v:shape>
            <v:shape style="position:absolute;left:10768;top:10824;width:8;height:140" type="#_x0000_t75" stroked="false">
              <v:imagedata r:id="rId1856" o:title=""/>
            </v:shape>
            <v:rect style="position:absolute;left:10773;top:10828;width:1080;height:137" filled="true" fillcolor="#bfbfbf" stroked="false">
              <v:fill type="solid"/>
            </v:rect>
            <v:shape style="position:absolute;left:5361;top:10824;width:22;height:276" type="#_x0000_t75" stroked="false">
              <v:imagedata r:id="rId1820" o:title=""/>
            </v:shape>
            <v:shape style="position:absolute;left:9681;top:10824;width:22;height:276" type="#_x0000_t75" stroked="false">
              <v:imagedata r:id="rId1820" o:title=""/>
            </v:shape>
            <v:shape style="position:absolute;left:5373;top:10965;width:5400;height:137" coordorigin="5374,10966" coordsize="5400,137" path="m7534,10966l6454,10966,5374,10966,5374,11102,6454,11102,7534,11102,7534,10966m10774,10966l9694,10966,9694,11102,10774,11102,10774,10966e" filled="true" fillcolor="#bfbfbf" stroked="false">
              <v:path arrowok="t"/>
              <v:fill type="solid"/>
            </v:shape>
            <v:shape style="position:absolute;left:10768;top:10960;width:8;height:140" type="#_x0000_t75" stroked="false">
              <v:imagedata r:id="rId1856" o:title=""/>
            </v:shape>
            <v:rect style="position:absolute;left:10773;top:10965;width:1080;height:137" filled="true" fillcolor="#bfbfbf" stroked="false">
              <v:fill type="solid"/>
            </v:rect>
            <v:shape style="position:absolute;left:4288;top:10687;width:1095;height:555" type="#_x0000_t75" stroked="false">
              <v:imagedata r:id="rId1912" o:title=""/>
            </v:shape>
            <v:shape style="position:absolute;left:9681;top:10960;width:22;height:276" type="#_x0000_t75" stroked="false">
              <v:imagedata r:id="rId1820" o:title=""/>
            </v:shape>
            <v:shape style="position:absolute;left:5373;top:11102;width:2160;height:137" coordorigin="5374,11102" coordsize="2160,137" path="m7534,11102l6454,11102,5374,11102,5374,11239,6454,11239,7534,11239,7534,11102e" filled="true" fillcolor="#bfbfbf" stroked="false">
              <v:path arrowok="t"/>
              <v:fill type="solid"/>
            </v:shape>
            <v:shape style="position:absolute;left:3201;top:10687;width:2182;height:687" type="#_x0000_t75" stroked="false">
              <v:imagedata r:id="rId1914" o:title=""/>
            </v:shape>
            <v:rect style="position:absolute;left:9693;top:11102;width:1080;height:137" filled="true" fillcolor="#bfbfbf" stroked="false">
              <v:fill type="solid"/>
            </v:rect>
            <v:shape style="position:absolute;left:10768;top:11097;width:8;height:140" type="#_x0000_t75" stroked="false">
              <v:imagedata r:id="rId1856" o:title=""/>
            </v:shape>
            <v:rect style="position:absolute;left:10773;top:11102;width:1080;height:137" filled="true" fillcolor="#bfbfbf" stroked="false">
              <v:fill type="solid"/>
            </v:rect>
            <v:shape style="position:absolute;left:9681;top:11097;width:22;height:276" type="#_x0000_t75" stroked="false">
              <v:imagedata r:id="rId1820" o:title=""/>
            </v:shape>
            <v:shape style="position:absolute;left:5373;top:11239;width:2160;height:137" coordorigin="5374,11239" coordsize="2160,137" path="m7534,11239l6454,11239,5374,11239,5374,11376,6454,11376,7534,11376,7534,11239e" filled="true" fillcolor="#bfbfbf" stroked="false">
              <v:path arrowok="t"/>
              <v:fill type="solid"/>
            </v:shape>
            <v:shape style="position:absolute;left:7528;top:11234;width:1088;height:144" type="#_x0000_t75" stroked="false">
              <v:imagedata r:id="rId1915" o:title=""/>
            </v:shape>
            <v:rect style="position:absolute;left:9693;top:11239;width:1080;height:137" filled="true" fillcolor="#bfbfbf" stroked="false">
              <v:fill type="solid"/>
            </v:rect>
            <v:shape style="position:absolute;left:10768;top:11234;width:8;height:140" type="#_x0000_t75" stroked="false">
              <v:imagedata r:id="rId1856" o:title=""/>
            </v:shape>
            <v:rect style="position:absolute;left:10773;top:11239;width:1080;height:137" filled="true" fillcolor="#bfbfbf" stroked="false">
              <v:fill type="solid"/>
            </v:rect>
            <v:shape style="position:absolute;left:372;top:1802;width:9332;height:13004" type="#_x0000_t75" stroked="false">
              <v:imagedata r:id="rId1916" o:title=""/>
            </v:shape>
            <v:rect style="position:absolute;left:5373;top:11376;width:1080;height:137" filled="true" fillcolor="#bfbfbf" stroked="false">
              <v:fill type="solid"/>
            </v:rect>
            <v:shape style="position:absolute;left:8608;top:11234;width:1095;height:276" type="#_x0000_t75" stroked="false">
              <v:imagedata r:id="rId1900" o:title=""/>
            </v:shape>
            <v:rect style="position:absolute;left:6453;top:11376;width:1080;height:137" filled="true" fillcolor="#bfbfbf" stroked="false">
              <v:fill type="solid"/>
            </v:rect>
            <v:shape style="position:absolute;left:5361;top:11234;width:22;height:413" type="#_x0000_t75" stroked="false">
              <v:imagedata r:id="rId1853" o:title=""/>
            </v:shape>
            <v:rect style="position:absolute;left:9693;top:11376;width:1080;height:137" filled="true" fillcolor="#bfbfbf" stroked="false">
              <v:fill type="solid"/>
            </v:rect>
            <v:shape style="position:absolute;left:10768;top:11371;width:8;height:140" type="#_x0000_t75" stroked="false">
              <v:imagedata r:id="rId1856" o:title=""/>
            </v:shape>
            <v:rect style="position:absolute;left:10773;top:11376;width:1080;height:137" filled="true" fillcolor="#bfbfbf" stroked="false">
              <v:fill type="solid"/>
            </v:rect>
            <v:shape style="position:absolute;left:9681;top:11371;width:22;height:276" type="#_x0000_t75" stroked="false">
              <v:imagedata r:id="rId1820" o:title=""/>
            </v:shape>
            <v:shape style="position:absolute;left:5373;top:11512;width:5400;height:137" coordorigin="5374,11513" coordsize="5400,137" path="m7534,11513l6454,11513,5374,11513,5374,11650,6454,11650,7534,11650,7534,11513m10774,11513l9694,11513,9694,11650,10774,11650,10774,11513e" filled="true" fillcolor="#bfbfbf" stroked="false">
              <v:path arrowok="t"/>
              <v:fill type="solid"/>
            </v:shape>
            <v:shape style="position:absolute;left:10768;top:11508;width:8;height:140" type="#_x0000_t75" stroked="false">
              <v:imagedata r:id="rId1857" o:title=""/>
            </v:shape>
            <v:rect style="position:absolute;left:10773;top:11512;width:1080;height:137" filled="true" fillcolor="#bfbfbf" stroked="false">
              <v:fill type="solid"/>
            </v:rect>
            <v:shape style="position:absolute;left:5361;top:11508;width:22;height:276" type="#_x0000_t75" stroked="false">
              <v:imagedata r:id="rId1820" o:title=""/>
            </v:shape>
            <v:shape style="position:absolute;left:9681;top:11508;width:22;height:276" type="#_x0000_t75" stroked="false">
              <v:imagedata r:id="rId1820" o:title=""/>
            </v:shape>
            <v:shape style="position:absolute;left:3201;top:11371;width:1095;height:550" type="#_x0000_t75" stroked="false">
              <v:imagedata r:id="rId1896" o:title=""/>
            </v:shape>
            <v:shape style="position:absolute;left:5373;top:11649;width:5400;height:137" coordorigin="5374,11650" coordsize="5400,137" path="m7534,11650l6454,11650,5374,11650,5374,11786,6454,11786,7534,11786,7534,11650m10774,11650l9694,11650,9694,11786,10774,11786,10774,11650e" filled="true" fillcolor="#bfbfbf" stroked="false">
              <v:path arrowok="t"/>
              <v:fill type="solid"/>
            </v:shape>
            <v:shape style="position:absolute;left:10768;top:11644;width:8;height:140" type="#_x0000_t75" stroked="false">
              <v:imagedata r:id="rId1856" o:title=""/>
            </v:shape>
            <v:rect style="position:absolute;left:10773;top:11649;width:1080;height:137" filled="true" fillcolor="#bfbfbf" stroked="false">
              <v:fill type="solid"/>
            </v:rect>
            <v:shape style="position:absolute;left:7521;top:11371;width:2182;height:555" type="#_x0000_t75" stroked="false">
              <v:imagedata r:id="rId1917" o:title=""/>
            </v:shape>
            <v:shape style="position:absolute;left:4288;top:11644;width:1095;height:276" type="#_x0000_t75" stroked="false">
              <v:imagedata r:id="rId1918" o:title=""/>
            </v:shape>
            <v:shape style="position:absolute;left:3213;top:11786;width:7560;height:137" coordorigin="3214,11786" coordsize="7560,137" path="m7534,11786l6454,11786,5374,11786,4294,11786,3214,11786,3214,11923,4294,11923,5374,11923,6454,11923,7534,11923,7534,11786m10774,11786l9694,11786,9694,11923,10774,11923,10774,11786e" filled="true" fillcolor="#bfbfbf" stroked="false">
              <v:path arrowok="t"/>
              <v:fill type="solid"/>
            </v:shape>
            <v:shape style="position:absolute;left:10768;top:11781;width:8;height:140" type="#_x0000_t75" stroked="false">
              <v:imagedata r:id="rId1856" o:title=""/>
            </v:shape>
            <v:rect style="position:absolute;left:10773;top:11786;width:1080;height:137" filled="true" fillcolor="#bfbfbf" stroked="false">
              <v:fill type="solid"/>
            </v:rect>
            <v:shape style="position:absolute;left:5361;top:11781;width:22;height:276" type="#_x0000_t75" stroked="false">
              <v:imagedata r:id="rId1820" o:title=""/>
            </v:shape>
            <v:shape style="position:absolute;left:9681;top:11781;width:22;height:276" type="#_x0000_t75" stroked="false">
              <v:imagedata r:id="rId1820" o:title=""/>
            </v:shape>
            <v:shape style="position:absolute;left:3213;top:11923;width:7560;height:137" coordorigin="3214,11923" coordsize="7560,137" path="m7534,11923l6454,11923,5374,11923,4294,11923,3214,11923,3214,12060,4294,12060,5374,12060,6454,12060,7534,12060,7534,11923m10774,11923l9694,11923,9694,12060,10774,12060,10774,11923e" filled="true" fillcolor="#bfbfbf" stroked="false">
              <v:path arrowok="t"/>
              <v:fill type="solid"/>
            </v:shape>
            <v:shape style="position:absolute;left:10768;top:11918;width:8;height:140" type="#_x0000_t75" stroked="false">
              <v:imagedata r:id="rId1856" o:title=""/>
            </v:shape>
            <v:rect style="position:absolute;left:10773;top:11923;width:1080;height:137" filled="true" fillcolor="#bfbfbf" stroked="false">
              <v:fill type="solid"/>
            </v:rect>
            <v:shape style="position:absolute;left:5361;top:11918;width:22;height:276" type="#_x0000_t75" stroked="false">
              <v:imagedata r:id="rId1820" o:title=""/>
            </v:shape>
            <v:shape style="position:absolute;left:3213;top:12060;width:7560;height:137" coordorigin="3214,12060" coordsize="7560,137" path="m7534,12060l6454,12060,5374,12060,4294,12060,3214,12060,3214,12197,4294,12197,5374,12197,6454,12197,7534,12197,7534,12060m10774,12060l9694,12060,9694,12197,10774,12197,10774,12060e" filled="true" fillcolor="#bfbfbf" stroked="false">
              <v:path arrowok="t"/>
              <v:fill type="solid"/>
            </v:shape>
            <v:shape style="position:absolute;left:10768;top:12055;width:8;height:140" type="#_x0000_t75" stroked="false">
              <v:imagedata r:id="rId1856" o:title=""/>
            </v:shape>
            <v:rect style="position:absolute;left:10773;top:12060;width:1080;height:137" filled="true" fillcolor="#bfbfbf" stroked="false">
              <v:fill type="solid"/>
            </v:rect>
            <v:shape style="position:absolute;left:5361;top:12055;width:22;height:276" type="#_x0000_t75" stroked="false">
              <v:imagedata r:id="rId1820" o:title=""/>
            </v:shape>
            <v:shape style="position:absolute;left:3213;top:12196;width:7560;height:137" coordorigin="3214,12197" coordsize="7560,137" path="m7534,12197l6454,12197,5374,12197,4294,12197,3214,12197,3214,12334,4294,12334,5374,12334,6454,12334,7534,12334,7534,12197m10774,12197l9694,12197,9694,12334,10774,12334,10774,12197e" filled="true" fillcolor="#bfbfbf" stroked="false">
              <v:path arrowok="t"/>
              <v:fill type="solid"/>
            </v:shape>
            <v:shape style="position:absolute;left:10768;top:12192;width:8;height:140" type="#_x0000_t75" stroked="false">
              <v:imagedata r:id="rId1856" o:title=""/>
            </v:shape>
            <v:rect style="position:absolute;left:10773;top:12196;width:1080;height:137" filled="true" fillcolor="#bfbfbf" stroked="false">
              <v:fill type="solid"/>
            </v:rect>
            <v:shape style="position:absolute;left:9681;top:11918;width:22;height:687" type="#_x0000_t75" stroked="false">
              <v:imagedata r:id="rId1919" o:title=""/>
            </v:shape>
            <v:shape style="position:absolute;left:7521;top:11918;width:2175;height:555" type="#_x0000_t75" stroked="false">
              <v:imagedata r:id="rId1852" o:title=""/>
            </v:shape>
            <v:shape style="position:absolute;left:5361;top:12192;width:22;height:276" type="#_x0000_t75" stroked="false">
              <v:imagedata r:id="rId1820" o:title=""/>
            </v:shape>
            <v:shape style="position:absolute;left:3213;top:12333;width:7560;height:137" coordorigin="3214,12334" coordsize="7560,137" path="m7534,12334l6454,12334,5374,12334,4294,12334,3214,12334,3214,12470,4294,12470,5374,12470,6454,12470,7534,12470,7534,12334m10774,12334l9694,12334,9694,12470,10774,12470,10774,12334e" filled="true" fillcolor="#bfbfbf" stroked="false">
              <v:path arrowok="t"/>
              <v:fill type="solid"/>
            </v:shape>
            <v:shape style="position:absolute;left:10768;top:12328;width:8;height:140" type="#_x0000_t75" stroked="false">
              <v:imagedata r:id="rId1856" o:title=""/>
            </v:shape>
            <v:rect style="position:absolute;left:10773;top:12333;width:1080;height:137" filled="true" fillcolor="#bfbfbf" stroked="false">
              <v:fill type="solid"/>
            </v:rect>
            <v:shape style="position:absolute;left:5361;top:12328;width:22;height:276" type="#_x0000_t75" stroked="false">
              <v:imagedata r:id="rId1820" o:title=""/>
            </v:shape>
            <v:shape style="position:absolute;left:3213;top:12470;width:7560;height:137" coordorigin="3214,12470" coordsize="7560,137" path="m7534,12470l6454,12470,5374,12470,4294,12470,3214,12470,3214,12607,4294,12607,5374,12607,6454,12607,7534,12607,7534,12470m10774,12470l9694,12470,9694,12607,10774,12607,10774,12470e" filled="true" fillcolor="#bfbfbf" stroked="false">
              <v:path arrowok="t"/>
              <v:fill type="solid"/>
            </v:shape>
            <v:shape style="position:absolute;left:10768;top:12465;width:8;height:140" type="#_x0000_t75" stroked="false">
              <v:imagedata r:id="rId1857" o:title=""/>
            </v:shape>
            <v:rect style="position:absolute;left:10773;top:12470;width:1080;height:137" filled="true" fillcolor="#bfbfbf" stroked="false">
              <v:fill type="solid"/>
            </v:rect>
            <v:shape style="position:absolute;left:5361;top:12465;width:22;height:276" type="#_x0000_t75" stroked="false">
              <v:imagedata r:id="rId1820" o:title=""/>
            </v:shape>
            <v:shape style="position:absolute;left:3213;top:12607;width:7560;height:137" coordorigin="3214,12607" coordsize="7560,137" path="m7534,12607l6454,12607,5374,12607,4294,12607,3214,12607,3214,12744,4294,12744,5374,12744,6454,12744,7534,12744,7534,12607m10774,12607l9694,12607,9694,12744,10774,12744,10774,12607e" filled="true" fillcolor="#bfbfbf" stroked="false">
              <v:path arrowok="t"/>
              <v:fill type="solid"/>
            </v:shape>
            <v:shape style="position:absolute;left:10768;top:12602;width:8;height:140" type="#_x0000_t75" stroked="false">
              <v:imagedata r:id="rId1856" o:title=""/>
            </v:shape>
            <v:rect style="position:absolute;left:10773;top:12607;width:1080;height:137" filled="true" fillcolor="#bfbfbf" stroked="false">
              <v:fill type="solid"/>
            </v:rect>
            <v:shape style="position:absolute;left:5361;top:12602;width:22;height:276" type="#_x0000_t75" stroked="false">
              <v:imagedata r:id="rId1820" o:title=""/>
            </v:shape>
            <v:shape style="position:absolute;left:3213;top:12744;width:7560;height:137" coordorigin="3214,12744" coordsize="7560,137" path="m7534,12744l6454,12744,5374,12744,4294,12744,3214,12744,3214,12881,4294,12881,5374,12881,6454,12881,7534,12881,7534,12744m10774,12744l9694,12744,9694,12881,10774,12881,10774,12744e" filled="true" fillcolor="#bfbfbf" stroked="false">
              <v:path arrowok="t"/>
              <v:fill type="solid"/>
            </v:shape>
            <v:shape style="position:absolute;left:10768;top:12739;width:8;height:140" type="#_x0000_t75" stroked="false">
              <v:imagedata r:id="rId1856" o:title=""/>
            </v:shape>
            <v:shape style="position:absolute;left:9681;top:12465;width:22;height:687" type="#_x0000_t75" stroked="false">
              <v:imagedata r:id="rId1919" o:title=""/>
            </v:shape>
            <v:rect style="position:absolute;left:10773;top:12744;width:1080;height:137" filled="true" fillcolor="#bfbfbf" stroked="false">
              <v:fill type="solid"/>
            </v:rect>
            <v:shape style="position:absolute;left:7521;top:12465;width:2175;height:555" type="#_x0000_t75" stroked="false">
              <v:imagedata r:id="rId1852" o:title=""/>
            </v:shape>
            <v:shape style="position:absolute;left:5361;top:12739;width:22;height:276" type="#_x0000_t75" stroked="false">
              <v:imagedata r:id="rId1820" o:title=""/>
            </v:shape>
            <v:shape style="position:absolute;left:5361;top:9592;width:2182;height:4654" type="#_x0000_t75" stroked="false">
              <v:imagedata r:id="rId1920" o:title=""/>
            </v:shape>
            <v:shape style="position:absolute;left:3213;top:12880;width:7560;height:137" coordorigin="3214,12881" coordsize="7560,137" path="m7534,12881l6454,12881,5374,12881,4294,12881,3214,12881,3214,13018,4294,13018,5374,13018,6454,13018,7534,13018,7534,12881m10774,12881l9694,12881,9694,13018,10774,13018,10774,12881e" filled="true" fillcolor="#bfbfbf" stroked="false">
              <v:path arrowok="t"/>
              <v:fill type="solid"/>
            </v:shape>
            <v:shape style="position:absolute;left:10768;top:12876;width:8;height:140" type="#_x0000_t75" stroked="false">
              <v:imagedata r:id="rId1856" o:title=""/>
            </v:shape>
            <v:rect style="position:absolute;left:10773;top:12880;width:1080;height:137" filled="true" fillcolor="#bfbfbf" stroked="false">
              <v:fill type="solid"/>
            </v:rect>
            <v:shape style="position:absolute;left:5361;top:12876;width:22;height:276" type="#_x0000_t75" stroked="false">
              <v:imagedata r:id="rId1820" o:title=""/>
            </v:shape>
            <v:shape style="position:absolute;left:3213;top:13017;width:4320;height:137" coordorigin="3214,13018" coordsize="4320,137" path="m7534,13018l6454,13018,5374,13018,4294,13018,3214,13018,3214,13154,4294,13154,5374,13154,6454,13154,7534,13154,7534,13018e" filled="true" fillcolor="#bfbfbf" stroked="false">
              <v:path arrowok="t"/>
              <v:fill type="solid"/>
            </v:shape>
            <v:shape style="position:absolute;left:3201;top:11918;width:1095;height:2060" type="#_x0000_t75" stroked="false">
              <v:imagedata r:id="rId1861" o:title=""/>
            </v:shape>
            <v:rect style="position:absolute;left:9693;top:13017;width:1080;height:137" filled="true" fillcolor="#bfbfbf" stroked="false">
              <v:fill type="solid"/>
            </v:rect>
            <v:shape style="position:absolute;left:10768;top:13012;width:8;height:140" type="#_x0000_t75" stroked="false">
              <v:imagedata r:id="rId1856" o:title=""/>
            </v:shape>
            <v:rect style="position:absolute;left:10773;top:13017;width:1080;height:137" filled="true" fillcolor="#bfbfbf" stroked="false">
              <v:fill type="solid"/>
            </v:rect>
            <v:shape style="position:absolute;left:5361;top:13012;width:22;height:276" type="#_x0000_t75" stroked="false">
              <v:imagedata r:id="rId1820" o:title=""/>
            </v:shape>
            <v:shape style="position:absolute;left:9681;top:13012;width:22;height:276" type="#_x0000_t75" stroked="false">
              <v:imagedata r:id="rId1820" o:title=""/>
            </v:shape>
            <v:shape style="position:absolute;left:3213;top:13154;width:7560;height:137" coordorigin="3214,13154" coordsize="7560,137" path="m7534,13154l6454,13154,5374,13154,4294,13154,3214,13154,3214,13291,4294,13291,5374,13291,6454,13291,7534,13291,7534,13154m10774,13154l9694,13154,9694,13291,10774,13291,10774,13154e" filled="true" fillcolor="#bfbfbf" stroked="false">
              <v:path arrowok="t"/>
              <v:fill type="solid"/>
            </v:shape>
            <v:shape style="position:absolute;left:10768;top:13149;width:8;height:140" type="#_x0000_t75" stroked="false">
              <v:imagedata r:id="rId1856" o:title=""/>
            </v:shape>
            <v:rect style="position:absolute;left:10773;top:13154;width:1080;height:137" filled="true" fillcolor="#bfbfbf" stroked="false">
              <v:fill type="solid"/>
            </v:rect>
            <v:shape style="position:absolute;left:5361;top:13149;width:22;height:276" type="#_x0000_t75" stroked="false">
              <v:imagedata r:id="rId1820" o:title=""/>
            </v:shape>
            <v:shape style="position:absolute;left:9681;top:13149;width:22;height:276" type="#_x0000_t75" stroked="false">
              <v:imagedata r:id="rId1820" o:title=""/>
            </v:shape>
            <v:shape style="position:absolute;left:3213;top:13291;width:4320;height:137" coordorigin="3214,13291" coordsize="4320,137" path="m7534,13291l6454,13291,5374,13291,4294,13291,3214,13291,3214,13428,4294,13428,5374,13428,6454,13428,7534,13428,7534,13291e" filled="true" fillcolor="#bfbfbf" stroked="false">
              <v:path arrowok="t"/>
              <v:fill type="solid"/>
            </v:shape>
            <v:shape style="position:absolute;left:4288;top:11918;width:1095;height:2060" type="#_x0000_t75" stroked="false">
              <v:imagedata r:id="rId1864" o:title=""/>
            </v:shape>
            <v:rect style="position:absolute;left:9693;top:13291;width:1080;height:137" filled="true" fillcolor="#bfbfbf" stroked="false">
              <v:fill type="solid"/>
            </v:rect>
            <v:shape style="position:absolute;left:10768;top:13286;width:8;height:140" type="#_x0000_t75" stroked="false">
              <v:imagedata r:id="rId1856" o:title=""/>
            </v:shape>
            <v:rect style="position:absolute;left:10773;top:13291;width:1080;height:137" filled="true" fillcolor="#bfbfbf" stroked="false">
              <v:fill type="solid"/>
            </v:rect>
            <v:shape style="position:absolute;left:5361;top:13286;width:22;height:276" type="#_x0000_t75" stroked="false">
              <v:imagedata r:id="rId1820" o:title=""/>
            </v:shape>
            <v:shape style="position:absolute;left:7521;top:13012;width:2182;height:555" type="#_x0000_t75" stroked="false">
              <v:imagedata r:id="rId1841" o:title=""/>
            </v:shape>
            <v:shape style="position:absolute;left:3213;top:13428;width:7560;height:137" coordorigin="3214,13428" coordsize="7560,137" path="m7534,13428l6454,13428,5374,13428,4294,13428,3214,13428,3214,13565,4294,13565,5374,13565,6454,13565,7534,13565,7534,13428m10774,13428l9694,13428,9694,13565,10774,13565,10774,13428e" filled="true" fillcolor="#bfbfbf" stroked="false">
              <v:path arrowok="t"/>
              <v:fill type="solid"/>
            </v:shape>
            <v:shape style="position:absolute;left:10768;top:13423;width:8;height:140" type="#_x0000_t75" stroked="false">
              <v:imagedata r:id="rId1856" o:title=""/>
            </v:shape>
            <v:rect style="position:absolute;left:10773;top:13428;width:1080;height:137" filled="true" fillcolor="#bfbfbf" stroked="false">
              <v:fill type="solid"/>
            </v:rect>
            <v:shape style="position:absolute;left:5361;top:13423;width:22;height:276" type="#_x0000_t75" stroked="false">
              <v:imagedata r:id="rId1820" o:title=""/>
            </v:shape>
            <v:rect style="position:absolute;left:3213;top:13564;width:1080;height:137" filled="true" fillcolor="#bfbfbf" stroked="false">
              <v:fill type="solid"/>
            </v:rect>
            <v:shape style="position:absolute;left:9681;top:13423;width:22;height:276" type="#_x0000_t75" stroked="false">
              <v:imagedata r:id="rId1820" o:title=""/>
            </v:shape>
            <v:shape style="position:absolute;left:4293;top:13564;width:6481;height:137" coordorigin="4294,13565" coordsize="6481,137" path="m7534,13565l6454,13565,5374,13565,4294,13565,4294,13702,5374,13702,6454,13702,7534,13702,7534,13565m10774,13565l9694,13565,9694,13702,10774,13702,10774,13565e" filled="true" fillcolor="#bfbfbf" stroked="false">
              <v:path arrowok="t"/>
              <v:fill type="solid"/>
            </v:shape>
            <v:shape style="position:absolute;left:10768;top:13560;width:8;height:140" type="#_x0000_t75" stroked="false">
              <v:imagedata r:id="rId1857" o:title=""/>
            </v:shape>
            <v:rect style="position:absolute;left:10773;top:13564;width:1080;height:137" filled="true" fillcolor="#bfbfbf" stroked="false">
              <v:fill type="solid"/>
            </v:rect>
            <v:shape style="position:absolute;left:5361;top:13560;width:22;height:276" type="#_x0000_t75" stroked="false">
              <v:imagedata r:id="rId1820" o:title=""/>
            </v:shape>
            <v:shape style="position:absolute;left:9681;top:13560;width:22;height:276" type="#_x0000_t75" stroked="false">
              <v:imagedata r:id="rId1820" o:title=""/>
            </v:shape>
            <v:shape style="position:absolute;left:3213;top:13701;width:7560;height:137" coordorigin="3214,13702" coordsize="7560,137" path="m7534,13702l6454,13702,5374,13702,4294,13702,3214,13702,3214,13838,4294,13838,5374,13838,6454,13838,7534,13838,7534,13702m10774,13702l9694,13702,9694,13838,10774,13838,10774,13702e" filled="true" fillcolor="#bfbfbf" stroked="false">
              <v:path arrowok="t"/>
              <v:fill type="solid"/>
            </v:shape>
            <v:shape style="position:absolute;left:10768;top:13696;width:8;height:140" type="#_x0000_t75" stroked="false">
              <v:imagedata r:id="rId1856" o:title=""/>
            </v:shape>
            <v:rect style="position:absolute;left:10773;top:13701;width:1080;height:137" filled="true" fillcolor="#bfbfbf" stroked="false">
              <v:fill type="solid"/>
            </v:rect>
            <v:shape style="position:absolute;left:9681;top:13696;width:22;height:276" type="#_x0000_t75" stroked="false">
              <v:imagedata r:id="rId1820" o:title=""/>
            </v:shape>
            <v:shape style="position:absolute;left:3213;top:13838;width:7560;height:137" coordorigin="3214,13838" coordsize="7560,137" path="m7534,13838l6454,13838,5374,13838,4294,13838,3214,13838,3214,13975,4294,13975,5374,13975,6454,13975,7534,13975,7534,13838m10774,13838l9694,13838,9694,13975,10774,13975,10774,13838e" filled="true" fillcolor="#bfbfbf" stroked="false">
              <v:path arrowok="t"/>
              <v:fill type="solid"/>
            </v:shape>
            <v:shape style="position:absolute;left:10768;top:13833;width:8;height:140" type="#_x0000_t75" stroked="false">
              <v:imagedata r:id="rId1856" o:title=""/>
            </v:shape>
            <v:rect style="position:absolute;left:10773;top:13838;width:1080;height:137" filled="true" fillcolor="#bfbfbf" stroked="false">
              <v:fill type="solid"/>
            </v:rect>
            <v:shape style="position:absolute;left:8608;top:13560;width:1095;height:555" type="#_x0000_t75" stroked="false">
              <v:imagedata r:id="rId1912" o:title=""/>
            </v:shape>
            <v:rect style="position:absolute;left:9693;top:13975;width:1080;height:137" filled="true" fillcolor="#bfbfbf" stroked="false">
              <v:fill type="solid"/>
            </v:rect>
            <v:shape style="position:absolute;left:10768;top:13970;width:8;height:140" type="#_x0000_t75" stroked="false">
              <v:imagedata r:id="rId1856" o:title=""/>
            </v:shape>
            <v:rect style="position:absolute;left:10773;top:13975;width:1080;height:137" filled="true" fillcolor="#bfbfbf" stroked="false">
              <v:fill type="solid"/>
            </v:rect>
            <v:shape style="position:absolute;left:9681;top:13970;width:22;height:276" type="#_x0000_t75" stroked="false">
              <v:imagedata r:id="rId1820" o:title=""/>
            </v:shape>
            <v:shape style="position:absolute;left:7533;top:14112;width:3240;height:137" coordorigin="7534,14112" coordsize="3240,137" path="m8614,14112l7534,14112,7534,14249,8614,14249,8614,14112m10774,14112l9694,14112,9694,14249,10774,14249,10774,14112e" filled="true" fillcolor="#bfbfbf" stroked="false">
              <v:path arrowok="t"/>
              <v:fill type="solid"/>
            </v:shape>
            <v:shape style="position:absolute;left:10768;top:14107;width:8;height:140" type="#_x0000_t75" stroked="false">
              <v:imagedata r:id="rId1856" o:title=""/>
            </v:shape>
            <v:rect style="position:absolute;left:10773;top:14112;width:1080;height:137" filled="true" fillcolor="#bfbfbf" stroked="false">
              <v:fill type="solid"/>
            </v:rect>
            <v:shape style="position:absolute;left:9681;top:14107;width:22;height:276" type="#_x0000_t75" stroked="false">
              <v:imagedata r:id="rId1820" o:title=""/>
            </v:shape>
            <v:shape style="position:absolute;left:7533;top:14248;width:3240;height:137" coordorigin="7534,14249" coordsize="3240,137" path="m8614,14249l7534,14249,7534,14386,8614,14386,8614,14249m10774,14249l9694,14249,9694,14386,10774,14386,10774,14249e" filled="true" fillcolor="#bfbfbf" stroked="false">
              <v:path arrowok="t"/>
              <v:fill type="solid"/>
            </v:shape>
            <v:shape style="position:absolute;left:10768;top:14244;width:8;height:140" type="#_x0000_t75" stroked="false">
              <v:imagedata r:id="rId1856" o:title=""/>
            </v:shape>
            <v:rect style="position:absolute;left:10773;top:14248;width:1080;height:137" filled="true" fillcolor="#bfbfbf" stroked="false">
              <v:fill type="solid"/>
            </v:rect>
            <v:shape style="position:absolute;left:3201;top:13970;width:4335;height:555" type="#_x0000_t75" stroked="false">
              <v:imagedata r:id="rId1865" o:title=""/>
            </v:shape>
            <v:shape style="position:absolute;left:9681;top:14244;width:22;height:276" type="#_x0000_t75" stroked="false">
              <v:imagedata r:id="rId1820" o:title=""/>
            </v:shape>
            <v:shape style="position:absolute;left:7533;top:14385;width:3240;height:137" coordorigin="7534,14386" coordsize="3240,137" path="m8614,14386l7534,14386,7534,14522,8614,14522,8614,14386m10774,14386l9694,14386,9694,14522,10774,14522,10774,14386e" filled="true" fillcolor="#bfbfbf" stroked="false">
              <v:path arrowok="t"/>
              <v:fill type="solid"/>
            </v:shape>
            <v:shape style="position:absolute;left:10768;top:14380;width:8;height:140" type="#_x0000_t75" stroked="false">
              <v:imagedata r:id="rId1856" o:title=""/>
            </v:shape>
            <v:rect style="position:absolute;left:10773;top:14385;width:1080;height:137" filled="true" fillcolor="#bfbfbf" stroked="false">
              <v:fill type="solid"/>
            </v:rect>
            <v:shape style="position:absolute;left:9681;top:14380;width:22;height:276" type="#_x0000_t75" stroked="false">
              <v:imagedata r:id="rId1820" o:title=""/>
            </v:shape>
            <v:shape style="position:absolute;left:7533;top:14522;width:3240;height:137" coordorigin="7534,14522" coordsize="3240,137" path="m8614,14522l7534,14522,7534,14659,8614,14659,8614,14522m10774,14522l9694,14522,9694,14659,10774,14659,10774,14522e" filled="true" fillcolor="#bfbfbf" stroked="false">
              <v:path arrowok="t"/>
              <v:fill type="solid"/>
            </v:shape>
            <v:shape style="position:absolute;left:10768;top:14517;width:8;height:140" type="#_x0000_t75" stroked="false">
              <v:imagedata r:id="rId1857" o:title=""/>
            </v:shape>
            <v:rect style="position:absolute;left:10773;top:14522;width:1080;height:137" filled="true" fillcolor="#bfbfbf" stroked="false">
              <v:fill type="solid"/>
            </v:rect>
            <v:shape style="position:absolute;left:9681;top:14654;width:1095;height:152" type="#_x0000_t75" stroked="false">
              <v:imagedata r:id="rId1921" o:title=""/>
            </v:shape>
            <v:rect style="position:absolute;left:10773;top:14659;width:1080;height:137" filled="true" fillcolor="#bfbfbf" stroked="false">
              <v:fill type="solid"/>
            </v:rect>
            <w10:wrap type="none"/>
          </v:group>
        </w:pict>
      </w:r>
      <w:r>
        <w:rPr>
          <w:w w:val="110"/>
          <w:sz w:val="10"/>
        </w:rPr>
        <w:t>Expenditure Detail</w:t>
      </w:r>
    </w:p>
    <w:p>
      <w:pPr>
        <w:spacing w:line="285" w:lineRule="auto" w:before="21"/>
        <w:ind w:left="586" w:right="1015" w:firstLine="0"/>
        <w:jc w:val="left"/>
        <w:rPr>
          <w:sz w:val="10"/>
        </w:rPr>
      </w:pPr>
      <w:r>
        <w:rPr>
          <w:w w:val="110"/>
          <w:sz w:val="10"/>
        </w:rPr>
        <w:t>Other Sources/Uses Detail Fund Reconciliation</w:t>
      </w:r>
    </w:p>
    <w:p>
      <w:pPr>
        <w:pStyle w:val="ListParagraph"/>
        <w:numPr>
          <w:ilvl w:val="0"/>
          <w:numId w:val="85"/>
        </w:numPr>
        <w:tabs>
          <w:tab w:pos="520" w:val="left" w:leader="none"/>
        </w:tabs>
        <w:spacing w:line="240" w:lineRule="auto" w:before="0" w:after="0"/>
        <w:ind w:left="519" w:right="0" w:hanging="152"/>
        <w:jc w:val="left"/>
        <w:rPr>
          <w:sz w:val="10"/>
        </w:rPr>
      </w:pPr>
      <w:r>
        <w:rPr>
          <w:w w:val="110"/>
          <w:sz w:val="10"/>
        </w:rPr>
        <w:t>STUDENT ACTIVITY SPECIAL REVENUE</w:t>
      </w:r>
      <w:r>
        <w:rPr>
          <w:spacing w:val="-21"/>
          <w:w w:val="110"/>
          <w:sz w:val="10"/>
        </w:rPr>
        <w:t> </w:t>
      </w:r>
      <w:r>
        <w:rPr>
          <w:w w:val="110"/>
          <w:sz w:val="10"/>
        </w:rPr>
        <w:t>FUND</w:t>
      </w:r>
    </w:p>
    <w:p>
      <w:pPr>
        <w:spacing w:before="22"/>
        <w:ind w:left="586" w:right="0" w:firstLine="0"/>
        <w:jc w:val="left"/>
        <w:rPr>
          <w:sz w:val="10"/>
        </w:rPr>
      </w:pPr>
      <w:r>
        <w:rPr>
          <w:w w:val="110"/>
          <w:sz w:val="10"/>
        </w:rPr>
        <w:t>Expenditure Detail</w:t>
      </w:r>
    </w:p>
    <w:p>
      <w:pPr>
        <w:spacing w:line="285" w:lineRule="auto" w:before="22"/>
        <w:ind w:left="586" w:right="1015" w:firstLine="0"/>
        <w:jc w:val="left"/>
        <w:rPr>
          <w:sz w:val="10"/>
        </w:rPr>
      </w:pPr>
      <w:r>
        <w:rPr>
          <w:w w:val="110"/>
          <w:sz w:val="10"/>
        </w:rPr>
        <w:t>Other Sources/Uses Detail Fund Reconciliation</w:t>
      </w:r>
    </w:p>
    <w:p>
      <w:pPr>
        <w:pStyle w:val="ListParagraph"/>
        <w:numPr>
          <w:ilvl w:val="0"/>
          <w:numId w:val="85"/>
        </w:numPr>
        <w:tabs>
          <w:tab w:pos="551" w:val="left" w:leader="none"/>
        </w:tabs>
        <w:spacing w:line="240" w:lineRule="auto" w:before="0" w:after="0"/>
        <w:ind w:left="550" w:right="0" w:hanging="183"/>
        <w:jc w:val="left"/>
        <w:rPr>
          <w:sz w:val="10"/>
        </w:rPr>
      </w:pPr>
      <w:r>
        <w:rPr>
          <w:w w:val="110"/>
          <w:sz w:val="10"/>
        </w:rPr>
        <w:t>CHARTER</w:t>
      </w:r>
      <w:r>
        <w:rPr>
          <w:spacing w:val="-8"/>
          <w:w w:val="110"/>
          <w:sz w:val="10"/>
        </w:rPr>
        <w:t> </w:t>
      </w:r>
      <w:r>
        <w:rPr>
          <w:w w:val="110"/>
          <w:sz w:val="10"/>
        </w:rPr>
        <w:t>SCHOOLS</w:t>
      </w:r>
      <w:r>
        <w:rPr>
          <w:spacing w:val="-7"/>
          <w:w w:val="110"/>
          <w:sz w:val="10"/>
        </w:rPr>
        <w:t> </w:t>
      </w:r>
      <w:r>
        <w:rPr>
          <w:w w:val="110"/>
          <w:sz w:val="10"/>
        </w:rPr>
        <w:t>SPECIAL</w:t>
      </w:r>
      <w:r>
        <w:rPr>
          <w:spacing w:val="-8"/>
          <w:w w:val="110"/>
          <w:sz w:val="10"/>
        </w:rPr>
        <w:t> </w:t>
      </w:r>
      <w:r>
        <w:rPr>
          <w:w w:val="110"/>
          <w:sz w:val="10"/>
        </w:rPr>
        <w:t>REVENUE</w:t>
      </w:r>
      <w:r>
        <w:rPr>
          <w:spacing w:val="-7"/>
          <w:w w:val="110"/>
          <w:sz w:val="10"/>
        </w:rPr>
        <w:t> </w:t>
      </w:r>
      <w:r>
        <w:rPr>
          <w:w w:val="110"/>
          <w:sz w:val="10"/>
        </w:rPr>
        <w:t>FUND</w:t>
      </w:r>
    </w:p>
    <w:p>
      <w:pPr>
        <w:spacing w:before="22"/>
        <w:ind w:left="586" w:right="0" w:firstLine="0"/>
        <w:jc w:val="left"/>
        <w:rPr>
          <w:sz w:val="10"/>
        </w:rPr>
      </w:pPr>
      <w:r>
        <w:rPr>
          <w:w w:val="110"/>
          <w:sz w:val="10"/>
        </w:rPr>
        <w:t>Expenditure Detail</w:t>
      </w:r>
    </w:p>
    <w:p>
      <w:pPr>
        <w:spacing w:line="285" w:lineRule="auto" w:before="21"/>
        <w:ind w:left="586" w:right="1015" w:firstLine="0"/>
        <w:jc w:val="left"/>
        <w:rPr>
          <w:sz w:val="10"/>
        </w:rPr>
      </w:pPr>
      <w:r>
        <w:rPr>
          <w:w w:val="110"/>
          <w:sz w:val="10"/>
        </w:rPr>
        <w:t>Other Sources/Uses Detail Fund Reconciliation</w:t>
      </w:r>
    </w:p>
    <w:p>
      <w:pPr>
        <w:pStyle w:val="ListParagraph"/>
        <w:numPr>
          <w:ilvl w:val="0"/>
          <w:numId w:val="86"/>
        </w:numPr>
        <w:tabs>
          <w:tab w:pos="551" w:val="left" w:leader="none"/>
        </w:tabs>
        <w:spacing w:line="285" w:lineRule="auto" w:before="0" w:after="0"/>
        <w:ind w:left="586" w:right="241" w:hanging="219"/>
        <w:jc w:val="left"/>
        <w:rPr>
          <w:sz w:val="10"/>
        </w:rPr>
      </w:pPr>
      <w:r>
        <w:rPr>
          <w:w w:val="110"/>
          <w:sz w:val="10"/>
        </w:rPr>
        <w:t>SPECIAL</w:t>
      </w:r>
      <w:r>
        <w:rPr>
          <w:spacing w:val="-20"/>
          <w:w w:val="110"/>
          <w:sz w:val="10"/>
        </w:rPr>
        <w:t> </w:t>
      </w:r>
      <w:r>
        <w:rPr>
          <w:w w:val="110"/>
          <w:sz w:val="10"/>
        </w:rPr>
        <w:t>EDUCATION</w:t>
      </w:r>
      <w:r>
        <w:rPr>
          <w:spacing w:val="-19"/>
          <w:w w:val="110"/>
          <w:sz w:val="10"/>
        </w:rPr>
        <w:t> </w:t>
      </w:r>
      <w:r>
        <w:rPr>
          <w:w w:val="110"/>
          <w:sz w:val="10"/>
        </w:rPr>
        <w:t>PASS-THROUGH</w:t>
      </w:r>
      <w:r>
        <w:rPr>
          <w:spacing w:val="-19"/>
          <w:w w:val="110"/>
          <w:sz w:val="10"/>
        </w:rPr>
        <w:t> </w:t>
      </w:r>
      <w:r>
        <w:rPr>
          <w:w w:val="110"/>
          <w:sz w:val="10"/>
        </w:rPr>
        <w:t>FUND Expenditure</w:t>
      </w:r>
      <w:r>
        <w:rPr>
          <w:spacing w:val="-1"/>
          <w:w w:val="110"/>
          <w:sz w:val="10"/>
        </w:rPr>
        <w:t> </w:t>
      </w:r>
      <w:r>
        <w:rPr>
          <w:w w:val="110"/>
          <w:sz w:val="10"/>
        </w:rPr>
        <w:t>Detail</w:t>
      </w:r>
    </w:p>
    <w:p>
      <w:pPr>
        <w:spacing w:line="285" w:lineRule="auto" w:before="0"/>
        <w:ind w:left="586" w:right="1015" w:firstLine="0"/>
        <w:jc w:val="left"/>
        <w:rPr>
          <w:sz w:val="10"/>
        </w:rPr>
      </w:pPr>
      <w:r>
        <w:rPr>
          <w:w w:val="110"/>
          <w:sz w:val="10"/>
        </w:rPr>
        <w:t>Other Sources/Uses Detail Fund Reconciliation</w:t>
      </w:r>
    </w:p>
    <w:p>
      <w:pPr>
        <w:pStyle w:val="ListParagraph"/>
        <w:numPr>
          <w:ilvl w:val="0"/>
          <w:numId w:val="86"/>
        </w:numPr>
        <w:tabs>
          <w:tab w:pos="551" w:val="left" w:leader="none"/>
        </w:tabs>
        <w:spacing w:line="285" w:lineRule="auto" w:before="0" w:after="0"/>
        <w:ind w:left="586" w:right="1240" w:hanging="219"/>
        <w:jc w:val="left"/>
        <w:rPr>
          <w:sz w:val="10"/>
        </w:rPr>
      </w:pPr>
      <w:r>
        <w:rPr>
          <w:w w:val="110"/>
          <w:sz w:val="10"/>
        </w:rPr>
        <w:t>ADULT EDUCATION</w:t>
      </w:r>
      <w:r>
        <w:rPr>
          <w:spacing w:val="-24"/>
          <w:w w:val="110"/>
          <w:sz w:val="10"/>
        </w:rPr>
        <w:t> </w:t>
      </w:r>
      <w:r>
        <w:rPr>
          <w:spacing w:val="-5"/>
          <w:w w:val="110"/>
          <w:sz w:val="10"/>
        </w:rPr>
        <w:t>FUND </w:t>
      </w:r>
      <w:r>
        <w:rPr>
          <w:w w:val="110"/>
          <w:sz w:val="10"/>
        </w:rPr>
        <w:t>Expenditure</w:t>
      </w:r>
      <w:r>
        <w:rPr>
          <w:spacing w:val="-2"/>
          <w:w w:val="110"/>
          <w:sz w:val="10"/>
        </w:rPr>
        <w:t> </w:t>
      </w:r>
      <w:r>
        <w:rPr>
          <w:w w:val="110"/>
          <w:sz w:val="10"/>
        </w:rPr>
        <w:t>Detail</w:t>
      </w:r>
    </w:p>
    <w:p>
      <w:pPr>
        <w:spacing w:line="285" w:lineRule="auto" w:before="0"/>
        <w:ind w:left="586" w:right="1015" w:firstLine="0"/>
        <w:jc w:val="left"/>
        <w:rPr>
          <w:sz w:val="10"/>
        </w:rPr>
      </w:pPr>
      <w:r>
        <w:rPr>
          <w:w w:val="110"/>
          <w:sz w:val="10"/>
        </w:rPr>
        <w:t>Other Sources/Uses Detail Fund Reconciliation</w:t>
      </w:r>
    </w:p>
    <w:p>
      <w:pPr>
        <w:pStyle w:val="ListParagraph"/>
        <w:numPr>
          <w:ilvl w:val="0"/>
          <w:numId w:val="86"/>
        </w:numPr>
        <w:tabs>
          <w:tab w:pos="551" w:val="left" w:leader="none"/>
        </w:tabs>
        <w:spacing w:line="285" w:lineRule="auto" w:before="0" w:after="0"/>
        <w:ind w:left="586" w:right="1090" w:hanging="219"/>
        <w:jc w:val="left"/>
        <w:rPr>
          <w:sz w:val="10"/>
        </w:rPr>
      </w:pPr>
      <w:r>
        <w:rPr>
          <w:w w:val="110"/>
          <w:sz w:val="10"/>
        </w:rPr>
        <w:t>CHILD</w:t>
      </w:r>
      <w:r>
        <w:rPr>
          <w:spacing w:val="-15"/>
          <w:w w:val="110"/>
          <w:sz w:val="10"/>
        </w:rPr>
        <w:t> </w:t>
      </w:r>
      <w:r>
        <w:rPr>
          <w:w w:val="110"/>
          <w:sz w:val="10"/>
        </w:rPr>
        <w:t>DEVELOPMENT</w:t>
      </w:r>
      <w:r>
        <w:rPr>
          <w:spacing w:val="-14"/>
          <w:w w:val="110"/>
          <w:sz w:val="10"/>
        </w:rPr>
        <w:t> </w:t>
      </w:r>
      <w:r>
        <w:rPr>
          <w:spacing w:val="-4"/>
          <w:w w:val="110"/>
          <w:sz w:val="10"/>
        </w:rPr>
        <w:t>FUND </w:t>
      </w:r>
      <w:r>
        <w:rPr>
          <w:w w:val="110"/>
          <w:sz w:val="10"/>
        </w:rPr>
        <w:t>Expenditure</w:t>
      </w:r>
      <w:r>
        <w:rPr>
          <w:spacing w:val="-1"/>
          <w:w w:val="110"/>
          <w:sz w:val="10"/>
        </w:rPr>
        <w:t> </w:t>
      </w:r>
      <w:r>
        <w:rPr>
          <w:w w:val="110"/>
          <w:sz w:val="10"/>
        </w:rPr>
        <w:t>Detail</w:t>
      </w:r>
    </w:p>
    <w:p>
      <w:pPr>
        <w:spacing w:line="285" w:lineRule="auto" w:before="0"/>
        <w:ind w:left="586" w:right="1015" w:firstLine="0"/>
        <w:jc w:val="left"/>
        <w:rPr>
          <w:sz w:val="10"/>
        </w:rPr>
      </w:pPr>
      <w:r>
        <w:rPr>
          <w:w w:val="110"/>
          <w:sz w:val="10"/>
        </w:rPr>
        <w:t>Other Sources/Uses Detail Fund Reconciliation</w:t>
      </w:r>
    </w:p>
    <w:p>
      <w:pPr>
        <w:pStyle w:val="ListParagraph"/>
        <w:numPr>
          <w:ilvl w:val="0"/>
          <w:numId w:val="86"/>
        </w:numPr>
        <w:tabs>
          <w:tab w:pos="551" w:val="left" w:leader="none"/>
        </w:tabs>
        <w:spacing w:line="285" w:lineRule="auto" w:before="0" w:after="0"/>
        <w:ind w:left="586" w:right="618" w:hanging="219"/>
        <w:jc w:val="left"/>
        <w:rPr>
          <w:sz w:val="10"/>
        </w:rPr>
      </w:pPr>
      <w:r>
        <w:rPr>
          <w:w w:val="110"/>
          <w:sz w:val="10"/>
        </w:rPr>
        <w:t>CAFETERIA</w:t>
      </w:r>
      <w:r>
        <w:rPr>
          <w:spacing w:val="-17"/>
          <w:w w:val="110"/>
          <w:sz w:val="10"/>
        </w:rPr>
        <w:t> </w:t>
      </w:r>
      <w:r>
        <w:rPr>
          <w:w w:val="110"/>
          <w:sz w:val="10"/>
        </w:rPr>
        <w:t>SPECIAL</w:t>
      </w:r>
      <w:r>
        <w:rPr>
          <w:spacing w:val="-17"/>
          <w:w w:val="110"/>
          <w:sz w:val="10"/>
        </w:rPr>
        <w:t> </w:t>
      </w:r>
      <w:r>
        <w:rPr>
          <w:w w:val="110"/>
          <w:sz w:val="10"/>
        </w:rPr>
        <w:t>REVENUE</w:t>
      </w:r>
      <w:r>
        <w:rPr>
          <w:spacing w:val="-17"/>
          <w:w w:val="110"/>
          <w:sz w:val="10"/>
        </w:rPr>
        <w:t> </w:t>
      </w:r>
      <w:r>
        <w:rPr>
          <w:w w:val="110"/>
          <w:sz w:val="10"/>
        </w:rPr>
        <w:t>FUND Expenditure</w:t>
      </w:r>
      <w:r>
        <w:rPr>
          <w:spacing w:val="-1"/>
          <w:w w:val="110"/>
          <w:sz w:val="10"/>
        </w:rPr>
        <w:t> </w:t>
      </w:r>
      <w:r>
        <w:rPr>
          <w:w w:val="110"/>
          <w:sz w:val="10"/>
        </w:rPr>
        <w:t>Detail</w:t>
      </w:r>
    </w:p>
    <w:p>
      <w:pPr>
        <w:spacing w:line="285" w:lineRule="auto" w:before="0"/>
        <w:ind w:left="586" w:right="1015" w:firstLine="0"/>
        <w:jc w:val="left"/>
        <w:rPr>
          <w:sz w:val="10"/>
        </w:rPr>
      </w:pPr>
      <w:r>
        <w:rPr>
          <w:w w:val="110"/>
          <w:sz w:val="10"/>
        </w:rPr>
        <w:t>Other Sources/Uses Detail Fund Reconciliation</w:t>
      </w:r>
    </w:p>
    <w:p>
      <w:pPr>
        <w:pStyle w:val="ListParagraph"/>
        <w:numPr>
          <w:ilvl w:val="0"/>
          <w:numId w:val="86"/>
        </w:numPr>
        <w:tabs>
          <w:tab w:pos="551" w:val="left" w:leader="none"/>
        </w:tabs>
        <w:spacing w:line="285" w:lineRule="auto" w:before="0" w:after="0"/>
        <w:ind w:left="586" w:right="855" w:hanging="219"/>
        <w:jc w:val="left"/>
        <w:rPr>
          <w:sz w:val="10"/>
        </w:rPr>
      </w:pPr>
      <w:r>
        <w:rPr>
          <w:w w:val="105"/>
          <w:sz w:val="10"/>
        </w:rPr>
        <w:t>DEFERRED MAINTENANCE FUND </w:t>
      </w:r>
      <w:r>
        <w:rPr>
          <w:w w:val="110"/>
          <w:sz w:val="10"/>
        </w:rPr>
        <w:t>Expenditure</w:t>
      </w:r>
      <w:r>
        <w:rPr>
          <w:spacing w:val="-1"/>
          <w:w w:val="110"/>
          <w:sz w:val="10"/>
        </w:rPr>
        <w:t> </w:t>
      </w:r>
      <w:r>
        <w:rPr>
          <w:w w:val="110"/>
          <w:sz w:val="10"/>
        </w:rPr>
        <w:t>Detail</w:t>
      </w:r>
    </w:p>
    <w:p>
      <w:pPr>
        <w:spacing w:line="285" w:lineRule="auto" w:before="0"/>
        <w:ind w:left="586" w:right="1015" w:firstLine="0"/>
        <w:jc w:val="left"/>
        <w:rPr>
          <w:sz w:val="10"/>
        </w:rPr>
      </w:pPr>
      <w:r>
        <w:rPr>
          <w:w w:val="110"/>
          <w:sz w:val="10"/>
        </w:rPr>
        <w:t>Other Sources/Uses Detail Fund Reconciliation</w:t>
      </w:r>
    </w:p>
    <w:p>
      <w:pPr>
        <w:pStyle w:val="ListParagraph"/>
        <w:numPr>
          <w:ilvl w:val="0"/>
          <w:numId w:val="86"/>
        </w:numPr>
        <w:tabs>
          <w:tab w:pos="551" w:val="left" w:leader="none"/>
        </w:tabs>
        <w:spacing w:line="271" w:lineRule="auto" w:before="0" w:after="0"/>
        <w:ind w:left="586" w:right="252" w:hanging="219"/>
        <w:jc w:val="left"/>
        <w:rPr>
          <w:sz w:val="10"/>
        </w:rPr>
      </w:pPr>
      <w:r>
        <w:rPr>
          <w:w w:val="110"/>
          <w:sz w:val="10"/>
        </w:rPr>
        <w:t>PUPIL</w:t>
      </w:r>
      <w:r>
        <w:rPr>
          <w:spacing w:val="-19"/>
          <w:w w:val="110"/>
          <w:sz w:val="10"/>
        </w:rPr>
        <w:t> </w:t>
      </w:r>
      <w:r>
        <w:rPr>
          <w:w w:val="110"/>
          <w:sz w:val="10"/>
        </w:rPr>
        <w:t>TRANSPORTATION</w:t>
      </w:r>
      <w:r>
        <w:rPr>
          <w:spacing w:val="-19"/>
          <w:w w:val="110"/>
          <w:sz w:val="10"/>
        </w:rPr>
        <w:t> </w:t>
      </w:r>
      <w:r>
        <w:rPr>
          <w:w w:val="110"/>
          <w:sz w:val="10"/>
        </w:rPr>
        <w:t>EQUIPMENT</w:t>
      </w:r>
      <w:r>
        <w:rPr>
          <w:spacing w:val="-18"/>
          <w:w w:val="110"/>
          <w:sz w:val="10"/>
        </w:rPr>
        <w:t> </w:t>
      </w:r>
      <w:r>
        <w:rPr>
          <w:w w:val="110"/>
          <w:sz w:val="10"/>
        </w:rPr>
        <w:t>FUND Expenditure</w:t>
      </w:r>
      <w:r>
        <w:rPr>
          <w:spacing w:val="-1"/>
          <w:w w:val="110"/>
          <w:sz w:val="10"/>
        </w:rPr>
        <w:t> </w:t>
      </w:r>
      <w:r>
        <w:rPr>
          <w:w w:val="110"/>
          <w:sz w:val="10"/>
        </w:rPr>
        <w:t>Detail</w:t>
      </w:r>
    </w:p>
    <w:p>
      <w:pPr>
        <w:spacing w:line="285" w:lineRule="auto" w:before="6"/>
        <w:ind w:left="586" w:right="1015" w:firstLine="0"/>
        <w:jc w:val="left"/>
        <w:rPr>
          <w:sz w:val="10"/>
        </w:rPr>
      </w:pPr>
      <w:r>
        <w:rPr>
          <w:w w:val="110"/>
          <w:sz w:val="10"/>
        </w:rPr>
        <w:t>Other Sources/Uses Detail Fund Reconciliation</w:t>
      </w:r>
    </w:p>
    <w:p>
      <w:pPr>
        <w:pStyle w:val="ListParagraph"/>
        <w:numPr>
          <w:ilvl w:val="0"/>
          <w:numId w:val="87"/>
        </w:numPr>
        <w:tabs>
          <w:tab w:pos="512" w:val="left" w:leader="none"/>
        </w:tabs>
        <w:spacing w:line="240" w:lineRule="auto" w:before="24" w:after="0"/>
        <w:ind w:left="511" w:right="0" w:hanging="144"/>
        <w:jc w:val="left"/>
        <w:rPr>
          <w:sz w:val="8"/>
        </w:rPr>
      </w:pPr>
      <w:r>
        <w:rPr>
          <w:w w:val="110"/>
          <w:sz w:val="8"/>
        </w:rPr>
        <w:t>SPECIAL</w:t>
      </w:r>
      <w:r>
        <w:rPr>
          <w:spacing w:val="-11"/>
          <w:w w:val="110"/>
          <w:sz w:val="8"/>
        </w:rPr>
        <w:t> </w:t>
      </w:r>
      <w:r>
        <w:rPr>
          <w:w w:val="110"/>
          <w:sz w:val="8"/>
        </w:rPr>
        <w:t>RESERVE</w:t>
      </w:r>
      <w:r>
        <w:rPr>
          <w:spacing w:val="-10"/>
          <w:w w:val="110"/>
          <w:sz w:val="8"/>
        </w:rPr>
        <w:t> </w:t>
      </w:r>
      <w:r>
        <w:rPr>
          <w:w w:val="110"/>
          <w:sz w:val="8"/>
        </w:rPr>
        <w:t>FUND</w:t>
      </w:r>
      <w:r>
        <w:rPr>
          <w:spacing w:val="-10"/>
          <w:w w:val="110"/>
          <w:sz w:val="8"/>
        </w:rPr>
        <w:t> </w:t>
      </w:r>
      <w:r>
        <w:rPr>
          <w:w w:val="110"/>
          <w:sz w:val="8"/>
        </w:rPr>
        <w:t>FOR</w:t>
      </w:r>
      <w:r>
        <w:rPr>
          <w:spacing w:val="-10"/>
          <w:w w:val="110"/>
          <w:sz w:val="8"/>
        </w:rPr>
        <w:t> </w:t>
      </w:r>
      <w:r>
        <w:rPr>
          <w:w w:val="110"/>
          <w:sz w:val="8"/>
        </w:rPr>
        <w:t>OTHER</w:t>
      </w:r>
      <w:r>
        <w:rPr>
          <w:spacing w:val="-10"/>
          <w:w w:val="110"/>
          <w:sz w:val="8"/>
        </w:rPr>
        <w:t> </w:t>
      </w:r>
      <w:r>
        <w:rPr>
          <w:w w:val="110"/>
          <w:sz w:val="8"/>
        </w:rPr>
        <w:t>THAN</w:t>
      </w:r>
      <w:r>
        <w:rPr>
          <w:spacing w:val="-10"/>
          <w:w w:val="110"/>
          <w:sz w:val="8"/>
        </w:rPr>
        <w:t> </w:t>
      </w:r>
      <w:r>
        <w:rPr>
          <w:w w:val="110"/>
          <w:sz w:val="8"/>
        </w:rPr>
        <w:t>CAPITAL</w:t>
      </w:r>
      <w:r>
        <w:rPr>
          <w:spacing w:val="-10"/>
          <w:w w:val="110"/>
          <w:sz w:val="8"/>
        </w:rPr>
        <w:t> </w:t>
      </w:r>
      <w:r>
        <w:rPr>
          <w:w w:val="110"/>
          <w:sz w:val="8"/>
        </w:rPr>
        <w:t>OUTLAY</w:t>
      </w:r>
    </w:p>
    <w:p>
      <w:pPr>
        <w:spacing w:before="21"/>
        <w:ind w:left="586" w:right="0" w:firstLine="0"/>
        <w:jc w:val="left"/>
        <w:rPr>
          <w:sz w:val="10"/>
        </w:rPr>
      </w:pPr>
      <w:r>
        <w:rPr>
          <w:w w:val="110"/>
          <w:sz w:val="10"/>
        </w:rPr>
        <w:t>Expenditure Detail</w:t>
      </w:r>
    </w:p>
    <w:p>
      <w:pPr>
        <w:spacing w:line="285" w:lineRule="auto" w:before="22"/>
        <w:ind w:left="586" w:right="1015" w:firstLine="0"/>
        <w:jc w:val="left"/>
        <w:rPr>
          <w:sz w:val="10"/>
        </w:rPr>
      </w:pPr>
      <w:r>
        <w:rPr>
          <w:w w:val="110"/>
          <w:sz w:val="10"/>
        </w:rPr>
        <w:t>Other Sources/Uses Detail Fund Reconciliation</w:t>
      </w:r>
    </w:p>
    <w:p>
      <w:pPr>
        <w:pStyle w:val="ListParagraph"/>
        <w:numPr>
          <w:ilvl w:val="0"/>
          <w:numId w:val="87"/>
        </w:numPr>
        <w:tabs>
          <w:tab w:pos="551" w:val="left" w:leader="none"/>
        </w:tabs>
        <w:spacing w:line="285" w:lineRule="auto" w:before="0" w:after="0"/>
        <w:ind w:left="586" w:right="258" w:hanging="219"/>
        <w:jc w:val="left"/>
        <w:rPr>
          <w:sz w:val="10"/>
        </w:rPr>
      </w:pPr>
      <w:r>
        <w:rPr>
          <w:w w:val="110"/>
          <w:sz w:val="10"/>
        </w:rPr>
        <w:t>SCHOOL</w:t>
      </w:r>
      <w:r>
        <w:rPr>
          <w:spacing w:val="-16"/>
          <w:w w:val="110"/>
          <w:sz w:val="10"/>
        </w:rPr>
        <w:t> </w:t>
      </w:r>
      <w:r>
        <w:rPr>
          <w:w w:val="110"/>
          <w:sz w:val="10"/>
        </w:rPr>
        <w:t>BUS</w:t>
      </w:r>
      <w:r>
        <w:rPr>
          <w:spacing w:val="-15"/>
          <w:w w:val="110"/>
          <w:sz w:val="10"/>
        </w:rPr>
        <w:t> </w:t>
      </w:r>
      <w:r>
        <w:rPr>
          <w:w w:val="110"/>
          <w:sz w:val="10"/>
        </w:rPr>
        <w:t>EMISSIONS</w:t>
      </w:r>
      <w:r>
        <w:rPr>
          <w:spacing w:val="-16"/>
          <w:w w:val="110"/>
          <w:sz w:val="10"/>
        </w:rPr>
        <w:t> </w:t>
      </w:r>
      <w:r>
        <w:rPr>
          <w:w w:val="110"/>
          <w:sz w:val="10"/>
        </w:rPr>
        <w:t>REDUCTION</w:t>
      </w:r>
      <w:r>
        <w:rPr>
          <w:spacing w:val="-16"/>
          <w:w w:val="110"/>
          <w:sz w:val="10"/>
        </w:rPr>
        <w:t> </w:t>
      </w:r>
      <w:r>
        <w:rPr>
          <w:w w:val="110"/>
          <w:sz w:val="10"/>
        </w:rPr>
        <w:t>FUND Expenditure</w:t>
      </w:r>
      <w:r>
        <w:rPr>
          <w:spacing w:val="-1"/>
          <w:w w:val="110"/>
          <w:sz w:val="10"/>
        </w:rPr>
        <w:t> </w:t>
      </w:r>
      <w:r>
        <w:rPr>
          <w:w w:val="110"/>
          <w:sz w:val="10"/>
        </w:rPr>
        <w:t>Detail</w:t>
      </w:r>
    </w:p>
    <w:p>
      <w:pPr>
        <w:spacing w:line="285" w:lineRule="auto" w:before="0"/>
        <w:ind w:left="586" w:right="1015" w:firstLine="0"/>
        <w:jc w:val="left"/>
        <w:rPr>
          <w:sz w:val="10"/>
        </w:rPr>
      </w:pPr>
      <w:r>
        <w:rPr>
          <w:w w:val="110"/>
          <w:sz w:val="10"/>
        </w:rPr>
        <w:t>Other Sources/Uses Detail Fund Reconciliation</w:t>
      </w:r>
    </w:p>
    <w:p>
      <w:pPr>
        <w:pStyle w:val="ListParagraph"/>
        <w:numPr>
          <w:ilvl w:val="0"/>
          <w:numId w:val="87"/>
        </w:numPr>
        <w:tabs>
          <w:tab w:pos="551" w:val="left" w:leader="none"/>
        </w:tabs>
        <w:spacing w:line="285" w:lineRule="auto" w:before="0" w:after="0"/>
        <w:ind w:left="586" w:right="512" w:hanging="219"/>
        <w:jc w:val="left"/>
        <w:rPr>
          <w:sz w:val="10"/>
        </w:rPr>
      </w:pPr>
      <w:r>
        <w:rPr>
          <w:w w:val="110"/>
          <w:sz w:val="10"/>
        </w:rPr>
        <w:t>FOUNDATION</w:t>
      </w:r>
      <w:r>
        <w:rPr>
          <w:spacing w:val="-19"/>
          <w:w w:val="110"/>
          <w:sz w:val="10"/>
        </w:rPr>
        <w:t> </w:t>
      </w:r>
      <w:r>
        <w:rPr>
          <w:w w:val="110"/>
          <w:sz w:val="10"/>
        </w:rPr>
        <w:t>SPECIAL</w:t>
      </w:r>
      <w:r>
        <w:rPr>
          <w:spacing w:val="-17"/>
          <w:w w:val="110"/>
          <w:sz w:val="10"/>
        </w:rPr>
        <w:t> </w:t>
      </w:r>
      <w:r>
        <w:rPr>
          <w:w w:val="110"/>
          <w:sz w:val="10"/>
        </w:rPr>
        <w:t>REVENUE</w:t>
      </w:r>
      <w:r>
        <w:rPr>
          <w:spacing w:val="-19"/>
          <w:w w:val="110"/>
          <w:sz w:val="10"/>
        </w:rPr>
        <w:t> </w:t>
      </w:r>
      <w:r>
        <w:rPr>
          <w:w w:val="110"/>
          <w:sz w:val="10"/>
        </w:rPr>
        <w:t>FUND Expenditure</w:t>
      </w:r>
      <w:r>
        <w:rPr>
          <w:spacing w:val="-1"/>
          <w:w w:val="110"/>
          <w:sz w:val="10"/>
        </w:rPr>
        <w:t> </w:t>
      </w:r>
      <w:r>
        <w:rPr>
          <w:w w:val="110"/>
          <w:sz w:val="10"/>
        </w:rPr>
        <w:t>Detail</w:t>
      </w:r>
    </w:p>
    <w:p>
      <w:pPr>
        <w:spacing w:line="285" w:lineRule="auto" w:before="0"/>
        <w:ind w:left="586" w:right="1015" w:firstLine="0"/>
        <w:jc w:val="left"/>
        <w:rPr>
          <w:sz w:val="10"/>
        </w:rPr>
      </w:pPr>
      <w:r>
        <w:rPr>
          <w:w w:val="110"/>
          <w:sz w:val="10"/>
        </w:rPr>
        <w:t>Other Sources/Uses Detail Fund Reconciliation</w:t>
      </w:r>
    </w:p>
    <w:p>
      <w:pPr>
        <w:pStyle w:val="ListParagraph"/>
        <w:numPr>
          <w:ilvl w:val="0"/>
          <w:numId w:val="87"/>
        </w:numPr>
        <w:tabs>
          <w:tab w:pos="512" w:val="left" w:leader="none"/>
        </w:tabs>
        <w:spacing w:line="240" w:lineRule="auto" w:before="23" w:after="0"/>
        <w:ind w:left="511" w:right="0" w:hanging="144"/>
        <w:jc w:val="left"/>
        <w:rPr>
          <w:sz w:val="8"/>
        </w:rPr>
      </w:pPr>
      <w:r>
        <w:rPr>
          <w:w w:val="110"/>
          <w:sz w:val="8"/>
        </w:rPr>
        <w:t>SPECIAL</w:t>
      </w:r>
      <w:r>
        <w:rPr>
          <w:spacing w:val="-11"/>
          <w:w w:val="110"/>
          <w:sz w:val="8"/>
        </w:rPr>
        <w:t> </w:t>
      </w:r>
      <w:r>
        <w:rPr>
          <w:w w:val="110"/>
          <w:sz w:val="8"/>
        </w:rPr>
        <w:t>RESERVE</w:t>
      </w:r>
      <w:r>
        <w:rPr>
          <w:spacing w:val="-10"/>
          <w:w w:val="110"/>
          <w:sz w:val="8"/>
        </w:rPr>
        <w:t> </w:t>
      </w:r>
      <w:r>
        <w:rPr>
          <w:w w:val="110"/>
          <w:sz w:val="8"/>
        </w:rPr>
        <w:t>FUND</w:t>
      </w:r>
      <w:r>
        <w:rPr>
          <w:spacing w:val="-11"/>
          <w:w w:val="110"/>
          <w:sz w:val="8"/>
        </w:rPr>
        <w:t> </w:t>
      </w:r>
      <w:r>
        <w:rPr>
          <w:w w:val="110"/>
          <w:sz w:val="8"/>
        </w:rPr>
        <w:t>FOR</w:t>
      </w:r>
      <w:r>
        <w:rPr>
          <w:spacing w:val="-10"/>
          <w:w w:val="110"/>
          <w:sz w:val="8"/>
        </w:rPr>
        <w:t> </w:t>
      </w:r>
      <w:r>
        <w:rPr>
          <w:w w:val="110"/>
          <w:sz w:val="8"/>
        </w:rPr>
        <w:t>POSTEMPLOYMENT</w:t>
      </w:r>
      <w:r>
        <w:rPr>
          <w:spacing w:val="-11"/>
          <w:w w:val="110"/>
          <w:sz w:val="8"/>
        </w:rPr>
        <w:t> </w:t>
      </w:r>
      <w:r>
        <w:rPr>
          <w:w w:val="110"/>
          <w:sz w:val="8"/>
        </w:rPr>
        <w:t>BENEFITS</w:t>
      </w:r>
    </w:p>
    <w:p>
      <w:pPr>
        <w:spacing w:before="21"/>
        <w:ind w:left="586" w:right="0" w:firstLine="0"/>
        <w:jc w:val="left"/>
        <w:rPr>
          <w:sz w:val="10"/>
        </w:rPr>
      </w:pPr>
      <w:r>
        <w:rPr>
          <w:w w:val="110"/>
          <w:sz w:val="10"/>
        </w:rPr>
        <w:t>Expenditure Detail</w:t>
      </w:r>
    </w:p>
    <w:p>
      <w:pPr>
        <w:spacing w:line="285" w:lineRule="auto" w:before="22"/>
        <w:ind w:left="586" w:right="1015" w:firstLine="0"/>
        <w:jc w:val="left"/>
        <w:rPr>
          <w:sz w:val="10"/>
        </w:rPr>
      </w:pPr>
      <w:r>
        <w:rPr>
          <w:w w:val="110"/>
          <w:sz w:val="10"/>
        </w:rPr>
        <w:t>Other Sources/Uses Detail Fund Reconciliation</w:t>
      </w:r>
    </w:p>
    <w:p>
      <w:pPr>
        <w:pStyle w:val="ListParagraph"/>
        <w:numPr>
          <w:ilvl w:val="0"/>
          <w:numId w:val="87"/>
        </w:numPr>
        <w:tabs>
          <w:tab w:pos="551" w:val="left" w:leader="none"/>
        </w:tabs>
        <w:spacing w:line="285" w:lineRule="auto" w:before="0" w:after="0"/>
        <w:ind w:left="586" w:right="1662" w:hanging="219"/>
        <w:jc w:val="left"/>
        <w:rPr>
          <w:sz w:val="10"/>
        </w:rPr>
      </w:pPr>
      <w:r>
        <w:rPr>
          <w:w w:val="110"/>
          <w:sz w:val="10"/>
        </w:rPr>
        <w:t>BUILDING FUND Expenditure</w:t>
      </w:r>
      <w:r>
        <w:rPr>
          <w:spacing w:val="-6"/>
          <w:w w:val="110"/>
          <w:sz w:val="10"/>
        </w:rPr>
        <w:t> </w:t>
      </w:r>
      <w:r>
        <w:rPr>
          <w:spacing w:val="-4"/>
          <w:w w:val="110"/>
          <w:sz w:val="10"/>
        </w:rPr>
        <w:t>Detail</w:t>
      </w:r>
    </w:p>
    <w:p>
      <w:pPr>
        <w:spacing w:line="285" w:lineRule="auto" w:before="0"/>
        <w:ind w:left="586" w:right="1015" w:firstLine="0"/>
        <w:jc w:val="left"/>
        <w:rPr>
          <w:sz w:val="10"/>
        </w:rPr>
      </w:pPr>
      <w:r>
        <w:rPr>
          <w:w w:val="110"/>
          <w:sz w:val="10"/>
        </w:rPr>
        <w:t>Other Sources/Uses Detail Fund Reconciliation</w:t>
      </w:r>
    </w:p>
    <w:p>
      <w:pPr>
        <w:spacing w:line="285" w:lineRule="auto" w:before="0"/>
        <w:ind w:left="586" w:right="1015" w:hanging="219"/>
        <w:jc w:val="left"/>
        <w:rPr>
          <w:sz w:val="10"/>
        </w:rPr>
      </w:pPr>
      <w:r>
        <w:rPr>
          <w:w w:val="110"/>
          <w:sz w:val="10"/>
        </w:rPr>
        <w:t>25 CAPITAL FACILITIES FUND Expenditure Detail</w:t>
      </w:r>
    </w:p>
    <w:p>
      <w:pPr>
        <w:spacing w:line="285" w:lineRule="auto" w:before="0"/>
        <w:ind w:left="586" w:right="1015" w:firstLine="0"/>
        <w:jc w:val="left"/>
        <w:rPr>
          <w:sz w:val="10"/>
        </w:rPr>
      </w:pPr>
      <w:r>
        <w:rPr>
          <w:w w:val="110"/>
          <w:sz w:val="10"/>
        </w:rPr>
        <w:t>Other Sources/Uses Detail Fund Reconciliation</w:t>
      </w:r>
    </w:p>
    <w:p>
      <w:pPr>
        <w:spacing w:before="2"/>
        <w:ind w:left="368" w:right="0" w:firstLine="0"/>
        <w:jc w:val="left"/>
        <w:rPr>
          <w:sz w:val="10"/>
        </w:rPr>
      </w:pPr>
      <w:r>
        <w:rPr>
          <w:sz w:val="10"/>
        </w:rPr>
        <w:t>30 STATE SCHOOL BUILDING LEASE/PURCHASE FUND</w:t>
      </w:r>
    </w:p>
    <w:p>
      <w:pPr>
        <w:spacing w:before="19"/>
        <w:ind w:left="586" w:right="0" w:firstLine="0"/>
        <w:jc w:val="left"/>
        <w:rPr>
          <w:sz w:val="10"/>
        </w:rPr>
      </w:pPr>
      <w:r>
        <w:rPr>
          <w:w w:val="110"/>
          <w:sz w:val="10"/>
        </w:rPr>
        <w:t>Expenditure Detail</w:t>
      </w:r>
    </w:p>
    <w:p>
      <w:pPr>
        <w:spacing w:line="285" w:lineRule="auto" w:before="22"/>
        <w:ind w:left="586" w:right="1015" w:firstLine="0"/>
        <w:jc w:val="left"/>
        <w:rPr>
          <w:sz w:val="10"/>
        </w:rPr>
      </w:pPr>
      <w:r>
        <w:rPr>
          <w:w w:val="110"/>
          <w:sz w:val="10"/>
        </w:rPr>
        <w:t>Other Sources/Uses Detail Fund Reconciliation</w:t>
      </w:r>
    </w:p>
    <w:p>
      <w:pPr>
        <w:spacing w:before="0"/>
        <w:ind w:left="368" w:right="0" w:firstLine="0"/>
        <w:jc w:val="left"/>
        <w:rPr>
          <w:sz w:val="10"/>
        </w:rPr>
      </w:pPr>
      <w:r>
        <w:rPr>
          <w:w w:val="110"/>
          <w:sz w:val="10"/>
        </w:rPr>
        <w:t>35 COUNTY SCHOOL FACILITIES FUND</w:t>
      </w:r>
    </w:p>
    <w:p>
      <w:pPr>
        <w:spacing w:before="22"/>
        <w:ind w:left="586" w:right="0" w:firstLine="0"/>
        <w:jc w:val="left"/>
        <w:rPr>
          <w:sz w:val="10"/>
        </w:rPr>
      </w:pPr>
      <w:r>
        <w:rPr>
          <w:w w:val="110"/>
          <w:sz w:val="10"/>
        </w:rPr>
        <w:t>Expenditure Detail</w:t>
      </w:r>
    </w:p>
    <w:p>
      <w:pPr>
        <w:spacing w:line="285" w:lineRule="auto" w:before="22"/>
        <w:ind w:left="586" w:right="1015" w:firstLine="0"/>
        <w:jc w:val="left"/>
        <w:rPr>
          <w:sz w:val="10"/>
        </w:rPr>
      </w:pPr>
      <w:r>
        <w:rPr>
          <w:w w:val="110"/>
          <w:sz w:val="10"/>
        </w:rPr>
        <w:t>Other Sources/Uses Detail Fund Reconciliation</w:t>
      </w:r>
    </w:p>
    <w:p>
      <w:pPr>
        <w:spacing w:before="23"/>
        <w:ind w:left="368" w:right="0" w:firstLine="0"/>
        <w:jc w:val="left"/>
        <w:rPr>
          <w:sz w:val="8"/>
        </w:rPr>
      </w:pPr>
      <w:r>
        <w:rPr>
          <w:w w:val="110"/>
          <w:sz w:val="8"/>
        </w:rPr>
        <w:t>40 SPECIAL RESERVE FUND FOR CAPITAL OUTLAY PROJECTS</w:t>
      </w:r>
    </w:p>
    <w:p>
      <w:pPr>
        <w:spacing w:before="21"/>
        <w:ind w:left="586" w:right="0" w:firstLine="0"/>
        <w:jc w:val="left"/>
        <w:rPr>
          <w:sz w:val="10"/>
        </w:rPr>
      </w:pPr>
      <w:r>
        <w:rPr>
          <w:w w:val="110"/>
          <w:sz w:val="10"/>
        </w:rPr>
        <w:t>Expenditure Detail</w:t>
      </w:r>
    </w:p>
    <w:p>
      <w:pPr>
        <w:spacing w:line="285" w:lineRule="auto" w:before="22"/>
        <w:ind w:left="586" w:right="1015" w:firstLine="0"/>
        <w:jc w:val="left"/>
        <w:rPr>
          <w:sz w:val="10"/>
        </w:rPr>
      </w:pPr>
      <w:r>
        <w:rPr>
          <w:w w:val="110"/>
          <w:sz w:val="10"/>
        </w:rPr>
        <w:t>Other Sources/Uses Detail Fund Reconciliation</w:t>
      </w:r>
    </w:p>
    <w:p>
      <w:pPr>
        <w:spacing w:before="3"/>
        <w:ind w:left="368" w:right="0" w:firstLine="0"/>
        <w:jc w:val="left"/>
        <w:rPr>
          <w:sz w:val="10"/>
        </w:rPr>
      </w:pPr>
      <w:r>
        <w:rPr>
          <w:sz w:val="10"/>
        </w:rPr>
        <w:t>49 CAP PROJ FUND FOR BLENDED COMPONENT UNITS</w:t>
      </w:r>
    </w:p>
    <w:p>
      <w:pPr>
        <w:spacing w:before="19"/>
        <w:ind w:left="586" w:right="0" w:firstLine="0"/>
        <w:jc w:val="left"/>
        <w:rPr>
          <w:sz w:val="10"/>
        </w:rPr>
      </w:pPr>
      <w:r>
        <w:rPr>
          <w:w w:val="110"/>
          <w:sz w:val="10"/>
        </w:rPr>
        <w:t>Expenditure Detail</w:t>
      </w:r>
    </w:p>
    <w:p>
      <w:pPr>
        <w:spacing w:line="285" w:lineRule="auto" w:before="22"/>
        <w:ind w:left="586" w:right="1015" w:firstLine="0"/>
        <w:jc w:val="left"/>
        <w:rPr>
          <w:sz w:val="10"/>
        </w:rPr>
      </w:pPr>
      <w:r>
        <w:rPr>
          <w:w w:val="110"/>
          <w:sz w:val="10"/>
        </w:rPr>
        <w:t>Other Sources/Uses Detail Fund Reconciliation</w:t>
      </w:r>
    </w:p>
    <w:p>
      <w:pPr>
        <w:pStyle w:val="ListParagraph"/>
        <w:numPr>
          <w:ilvl w:val="0"/>
          <w:numId w:val="88"/>
        </w:numPr>
        <w:tabs>
          <w:tab w:pos="551" w:val="left" w:leader="none"/>
        </w:tabs>
        <w:spacing w:line="285" w:lineRule="auto" w:before="0" w:after="0"/>
        <w:ind w:left="586" w:right="378" w:hanging="219"/>
        <w:jc w:val="left"/>
        <w:rPr>
          <w:sz w:val="10"/>
        </w:rPr>
      </w:pPr>
      <w:r>
        <w:rPr>
          <w:w w:val="110"/>
          <w:sz w:val="10"/>
        </w:rPr>
        <w:t>BOND</w:t>
      </w:r>
      <w:r>
        <w:rPr>
          <w:spacing w:val="-14"/>
          <w:w w:val="110"/>
          <w:sz w:val="10"/>
        </w:rPr>
        <w:t> </w:t>
      </w:r>
      <w:r>
        <w:rPr>
          <w:w w:val="110"/>
          <w:sz w:val="10"/>
        </w:rPr>
        <w:t>INTEREST</w:t>
      </w:r>
      <w:r>
        <w:rPr>
          <w:spacing w:val="-13"/>
          <w:w w:val="110"/>
          <w:sz w:val="10"/>
        </w:rPr>
        <w:t> </w:t>
      </w:r>
      <w:r>
        <w:rPr>
          <w:w w:val="110"/>
          <w:sz w:val="10"/>
        </w:rPr>
        <w:t>AND</w:t>
      </w:r>
      <w:r>
        <w:rPr>
          <w:spacing w:val="-15"/>
          <w:w w:val="110"/>
          <w:sz w:val="10"/>
        </w:rPr>
        <w:t> </w:t>
      </w:r>
      <w:r>
        <w:rPr>
          <w:w w:val="110"/>
          <w:sz w:val="10"/>
        </w:rPr>
        <w:t>REDEMPTION</w:t>
      </w:r>
      <w:r>
        <w:rPr>
          <w:spacing w:val="-14"/>
          <w:w w:val="110"/>
          <w:sz w:val="10"/>
        </w:rPr>
        <w:t> </w:t>
      </w:r>
      <w:r>
        <w:rPr>
          <w:w w:val="110"/>
          <w:sz w:val="10"/>
        </w:rPr>
        <w:t>FUND Expenditure</w:t>
      </w:r>
      <w:r>
        <w:rPr>
          <w:spacing w:val="-1"/>
          <w:w w:val="110"/>
          <w:sz w:val="10"/>
        </w:rPr>
        <w:t> </w:t>
      </w:r>
      <w:r>
        <w:rPr>
          <w:w w:val="110"/>
          <w:sz w:val="10"/>
        </w:rPr>
        <w:t>Detail</w:t>
      </w:r>
    </w:p>
    <w:p>
      <w:pPr>
        <w:spacing w:line="285" w:lineRule="auto" w:before="0"/>
        <w:ind w:left="586" w:right="1015" w:firstLine="0"/>
        <w:jc w:val="left"/>
        <w:rPr>
          <w:sz w:val="10"/>
        </w:rPr>
      </w:pPr>
      <w:r>
        <w:rPr>
          <w:w w:val="110"/>
          <w:sz w:val="10"/>
        </w:rPr>
        <w:t>Other Sources/Uses Detail Fund Reconciliation</w:t>
      </w:r>
    </w:p>
    <w:p>
      <w:pPr>
        <w:pStyle w:val="ListParagraph"/>
        <w:numPr>
          <w:ilvl w:val="0"/>
          <w:numId w:val="88"/>
        </w:numPr>
        <w:tabs>
          <w:tab w:pos="531" w:val="left" w:leader="none"/>
        </w:tabs>
        <w:spacing w:line="240" w:lineRule="auto" w:before="2" w:after="0"/>
        <w:ind w:left="530" w:right="0" w:hanging="163"/>
        <w:jc w:val="left"/>
        <w:rPr>
          <w:sz w:val="10"/>
        </w:rPr>
      </w:pPr>
      <w:r>
        <w:rPr>
          <w:sz w:val="10"/>
        </w:rPr>
        <w:t>DEBT</w:t>
      </w:r>
      <w:r>
        <w:rPr>
          <w:spacing w:val="-9"/>
          <w:sz w:val="10"/>
        </w:rPr>
        <w:t> </w:t>
      </w:r>
      <w:r>
        <w:rPr>
          <w:sz w:val="10"/>
        </w:rPr>
        <w:t>SVC</w:t>
      </w:r>
      <w:r>
        <w:rPr>
          <w:spacing w:val="-10"/>
          <w:sz w:val="10"/>
        </w:rPr>
        <w:t> </w:t>
      </w:r>
      <w:r>
        <w:rPr>
          <w:sz w:val="10"/>
        </w:rPr>
        <w:t>FUND</w:t>
      </w:r>
      <w:r>
        <w:rPr>
          <w:spacing w:val="-10"/>
          <w:sz w:val="10"/>
        </w:rPr>
        <w:t> </w:t>
      </w:r>
      <w:r>
        <w:rPr>
          <w:sz w:val="10"/>
        </w:rPr>
        <w:t>FOR</w:t>
      </w:r>
      <w:r>
        <w:rPr>
          <w:spacing w:val="-9"/>
          <w:sz w:val="10"/>
        </w:rPr>
        <w:t> </w:t>
      </w:r>
      <w:r>
        <w:rPr>
          <w:sz w:val="10"/>
        </w:rPr>
        <w:t>BLENDED</w:t>
      </w:r>
      <w:r>
        <w:rPr>
          <w:spacing w:val="-10"/>
          <w:sz w:val="10"/>
        </w:rPr>
        <w:t> </w:t>
      </w:r>
      <w:r>
        <w:rPr>
          <w:sz w:val="10"/>
        </w:rPr>
        <w:t>COMPONENT</w:t>
      </w:r>
      <w:r>
        <w:rPr>
          <w:spacing w:val="-8"/>
          <w:sz w:val="10"/>
        </w:rPr>
        <w:t> </w:t>
      </w:r>
      <w:r>
        <w:rPr>
          <w:sz w:val="10"/>
        </w:rPr>
        <w:t>UNITS</w:t>
      </w:r>
    </w:p>
    <w:p>
      <w:pPr>
        <w:spacing w:before="19"/>
        <w:ind w:left="586" w:right="0" w:firstLine="0"/>
        <w:jc w:val="left"/>
        <w:rPr>
          <w:sz w:val="10"/>
        </w:rPr>
      </w:pPr>
      <w:r>
        <w:rPr>
          <w:w w:val="110"/>
          <w:sz w:val="10"/>
        </w:rPr>
        <w:t>Expenditure</w:t>
      </w:r>
      <w:r>
        <w:rPr>
          <w:spacing w:val="-21"/>
          <w:w w:val="110"/>
          <w:sz w:val="10"/>
        </w:rPr>
        <w:t> </w:t>
      </w:r>
      <w:r>
        <w:rPr>
          <w:w w:val="110"/>
          <w:sz w:val="10"/>
        </w:rPr>
        <w:t>Detail</w:t>
      </w:r>
    </w:p>
    <w:p>
      <w:pPr>
        <w:spacing w:line="285" w:lineRule="auto" w:before="22"/>
        <w:ind w:left="586" w:right="1015" w:firstLine="0"/>
        <w:jc w:val="left"/>
        <w:rPr>
          <w:sz w:val="10"/>
        </w:rPr>
      </w:pPr>
      <w:r>
        <w:rPr>
          <w:w w:val="110"/>
          <w:sz w:val="10"/>
        </w:rPr>
        <w:t>Other Sources/Uses Detail Fund Reconciliation</w:t>
      </w:r>
    </w:p>
    <w:p>
      <w:pPr>
        <w:pStyle w:val="ListParagraph"/>
        <w:numPr>
          <w:ilvl w:val="0"/>
          <w:numId w:val="88"/>
        </w:numPr>
        <w:tabs>
          <w:tab w:pos="551" w:val="left" w:leader="none"/>
        </w:tabs>
        <w:spacing w:line="285" w:lineRule="auto" w:before="0" w:after="0"/>
        <w:ind w:left="586" w:right="1456" w:hanging="219"/>
        <w:jc w:val="left"/>
        <w:rPr>
          <w:sz w:val="10"/>
        </w:rPr>
      </w:pPr>
      <w:r>
        <w:rPr>
          <w:w w:val="110"/>
          <w:sz w:val="10"/>
        </w:rPr>
        <w:t>TAX OVERRIDE</w:t>
      </w:r>
      <w:r>
        <w:rPr>
          <w:spacing w:val="-24"/>
          <w:w w:val="110"/>
          <w:sz w:val="10"/>
        </w:rPr>
        <w:t> </w:t>
      </w:r>
      <w:r>
        <w:rPr>
          <w:spacing w:val="-4"/>
          <w:w w:val="110"/>
          <w:sz w:val="10"/>
        </w:rPr>
        <w:t>FUND </w:t>
      </w:r>
      <w:r>
        <w:rPr>
          <w:w w:val="110"/>
          <w:sz w:val="10"/>
        </w:rPr>
        <w:t>Expenditure</w:t>
      </w:r>
      <w:r>
        <w:rPr>
          <w:spacing w:val="-3"/>
          <w:w w:val="110"/>
          <w:sz w:val="10"/>
        </w:rPr>
        <w:t> </w:t>
      </w:r>
      <w:r>
        <w:rPr>
          <w:w w:val="110"/>
          <w:sz w:val="10"/>
        </w:rPr>
        <w:t>Detail</w:t>
      </w:r>
    </w:p>
    <w:p>
      <w:pPr>
        <w:spacing w:line="285" w:lineRule="auto" w:before="0"/>
        <w:ind w:left="586" w:right="1015" w:firstLine="0"/>
        <w:jc w:val="left"/>
        <w:rPr>
          <w:sz w:val="10"/>
        </w:rPr>
      </w:pPr>
      <w:r>
        <w:rPr>
          <w:w w:val="110"/>
          <w:sz w:val="10"/>
        </w:rPr>
        <w:t>Other Sources/Uses Detail Fund Reconciliation</w:t>
      </w:r>
    </w:p>
    <w:p>
      <w:pPr>
        <w:pStyle w:val="ListParagraph"/>
        <w:numPr>
          <w:ilvl w:val="0"/>
          <w:numId w:val="89"/>
        </w:numPr>
        <w:tabs>
          <w:tab w:pos="551" w:val="left" w:leader="none"/>
        </w:tabs>
        <w:spacing w:line="285" w:lineRule="auto" w:before="0" w:after="0"/>
        <w:ind w:left="586" w:right="1464" w:hanging="219"/>
        <w:jc w:val="left"/>
        <w:rPr>
          <w:sz w:val="10"/>
        </w:rPr>
      </w:pPr>
      <w:r>
        <w:rPr>
          <w:w w:val="110"/>
          <w:sz w:val="10"/>
        </w:rPr>
        <w:t>DEBT SERVICE</w:t>
      </w:r>
      <w:r>
        <w:rPr>
          <w:spacing w:val="-20"/>
          <w:w w:val="110"/>
          <w:sz w:val="10"/>
        </w:rPr>
        <w:t> </w:t>
      </w:r>
      <w:r>
        <w:rPr>
          <w:spacing w:val="-4"/>
          <w:w w:val="110"/>
          <w:sz w:val="10"/>
        </w:rPr>
        <w:t>FUND </w:t>
      </w:r>
      <w:r>
        <w:rPr>
          <w:w w:val="110"/>
          <w:sz w:val="10"/>
        </w:rPr>
        <w:t>Expenditure</w:t>
      </w:r>
      <w:r>
        <w:rPr>
          <w:spacing w:val="-3"/>
          <w:w w:val="110"/>
          <w:sz w:val="10"/>
        </w:rPr>
        <w:t> </w:t>
      </w:r>
      <w:r>
        <w:rPr>
          <w:w w:val="110"/>
          <w:sz w:val="10"/>
        </w:rPr>
        <w:t>Detail</w:t>
      </w:r>
    </w:p>
    <w:p>
      <w:pPr>
        <w:spacing w:line="285" w:lineRule="auto" w:before="0"/>
        <w:ind w:left="586" w:right="1015" w:firstLine="0"/>
        <w:jc w:val="left"/>
        <w:rPr>
          <w:sz w:val="10"/>
        </w:rPr>
      </w:pPr>
      <w:r>
        <w:rPr>
          <w:w w:val="110"/>
          <w:sz w:val="10"/>
        </w:rPr>
        <w:t>Other Sources/Uses Detail Fund Reconciliation</w:t>
      </w:r>
    </w:p>
    <w:p>
      <w:pPr>
        <w:pStyle w:val="ListParagraph"/>
        <w:numPr>
          <w:ilvl w:val="0"/>
          <w:numId w:val="89"/>
        </w:numPr>
        <w:tabs>
          <w:tab w:pos="551" w:val="left" w:leader="none"/>
        </w:tabs>
        <w:spacing w:line="285" w:lineRule="auto" w:before="0" w:after="0"/>
        <w:ind w:left="586" w:right="841" w:hanging="219"/>
        <w:jc w:val="left"/>
        <w:rPr>
          <w:sz w:val="10"/>
        </w:rPr>
      </w:pPr>
      <w:r>
        <w:rPr>
          <w:w w:val="105"/>
          <w:sz w:val="10"/>
        </w:rPr>
        <w:t>FOUNDATION PERMANENT FUND </w:t>
      </w:r>
      <w:r>
        <w:rPr>
          <w:w w:val="110"/>
          <w:sz w:val="10"/>
        </w:rPr>
        <w:t>Expenditure</w:t>
      </w:r>
      <w:r>
        <w:rPr>
          <w:spacing w:val="-1"/>
          <w:w w:val="110"/>
          <w:sz w:val="10"/>
        </w:rPr>
        <w:t> </w:t>
      </w:r>
      <w:r>
        <w:rPr>
          <w:w w:val="110"/>
          <w:sz w:val="10"/>
        </w:rPr>
        <w:t>Detail</w:t>
      </w:r>
    </w:p>
    <w:p>
      <w:pPr>
        <w:spacing w:line="285" w:lineRule="auto" w:before="0"/>
        <w:ind w:left="586" w:right="1015" w:firstLine="0"/>
        <w:jc w:val="left"/>
        <w:rPr>
          <w:sz w:val="10"/>
        </w:rPr>
      </w:pPr>
      <w:r>
        <w:rPr>
          <w:w w:val="110"/>
          <w:sz w:val="10"/>
        </w:rPr>
        <w:t>Other Sources/Uses Detail Fund Reconciliation</w:t>
      </w:r>
    </w:p>
    <w:p>
      <w:pPr>
        <w:spacing w:before="22"/>
        <w:ind w:left="368" w:right="0" w:firstLine="0"/>
        <w:jc w:val="left"/>
        <w:rPr>
          <w:sz w:val="10"/>
        </w:rPr>
      </w:pPr>
      <w:r>
        <w:rPr/>
        <w:br w:type="column"/>
      </w:r>
      <w:r>
        <w:rPr>
          <w:w w:val="110"/>
          <w:sz w:val="10"/>
        </w:rPr>
        <w:t>0.00</w:t>
      </w:r>
    </w:p>
    <w:p>
      <w:pPr>
        <w:pStyle w:val="BodyText"/>
        <w:rPr>
          <w:sz w:val="12"/>
        </w:rPr>
      </w:pPr>
    </w:p>
    <w:p>
      <w:pPr>
        <w:pStyle w:val="BodyText"/>
        <w:rPr>
          <w:sz w:val="12"/>
        </w:rPr>
      </w:pPr>
    </w:p>
    <w:p>
      <w:pPr>
        <w:pStyle w:val="BodyText"/>
        <w:spacing w:before="6"/>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7"/>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spacing w:before="2"/>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7"/>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6"/>
      </w:pPr>
    </w:p>
    <w:p>
      <w:pPr>
        <w:spacing w:before="1"/>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6"/>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spacing w:before="2"/>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6"/>
      </w:pPr>
    </w:p>
    <w:p>
      <w:pPr>
        <w:spacing w:before="1"/>
        <w:ind w:left="368" w:right="0" w:firstLine="0"/>
        <w:jc w:val="left"/>
        <w:rPr>
          <w:sz w:val="10"/>
        </w:rPr>
      </w:pPr>
      <w:r>
        <w:rPr>
          <w:w w:val="110"/>
          <w:sz w:val="10"/>
        </w:rPr>
        <w:t>0.00</w:t>
      </w: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spacing w:before="1"/>
      </w:pPr>
    </w:p>
    <w:p>
      <w:pPr>
        <w:spacing w:before="1"/>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6"/>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7"/>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7"/>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6"/>
      </w:pPr>
    </w:p>
    <w:p>
      <w:pPr>
        <w:spacing w:before="1"/>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6"/>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spacing w:before="11"/>
        <w:rPr>
          <w:sz w:val="11"/>
        </w:rPr>
      </w:pPr>
    </w:p>
    <w:p>
      <w:pPr>
        <w:spacing w:before="0"/>
        <w:ind w:left="368" w:right="0" w:firstLine="0"/>
        <w:jc w:val="left"/>
        <w:rPr>
          <w:sz w:val="10"/>
        </w:rPr>
      </w:pPr>
      <w:r>
        <w:rPr>
          <w:w w:val="110"/>
          <w:sz w:val="10"/>
        </w:rPr>
        <w:t>0.00</w:t>
      </w:r>
    </w:p>
    <w:p>
      <w:pPr>
        <w:spacing w:before="22"/>
        <w:ind w:left="368" w:right="0" w:firstLine="0"/>
        <w:jc w:val="left"/>
        <w:rPr>
          <w:sz w:val="10"/>
        </w:rPr>
      </w:pPr>
      <w:r>
        <w:rPr/>
        <w:br w:type="column"/>
      </w:r>
      <w:r>
        <w:rPr>
          <w:w w:val="110"/>
          <w:sz w:val="10"/>
        </w:rPr>
        <w:t>0.00</w:t>
      </w:r>
    </w:p>
    <w:p>
      <w:pPr>
        <w:pStyle w:val="BodyText"/>
        <w:rPr>
          <w:sz w:val="12"/>
        </w:rPr>
      </w:pPr>
    </w:p>
    <w:p>
      <w:pPr>
        <w:pStyle w:val="BodyText"/>
        <w:rPr>
          <w:sz w:val="12"/>
        </w:rPr>
      </w:pPr>
    </w:p>
    <w:p>
      <w:pPr>
        <w:pStyle w:val="BodyText"/>
        <w:spacing w:before="6"/>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7"/>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spacing w:before="2"/>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7"/>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6"/>
      </w:pPr>
    </w:p>
    <w:p>
      <w:pPr>
        <w:spacing w:before="1"/>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6"/>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spacing w:before="2"/>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6"/>
      </w:pPr>
    </w:p>
    <w:p>
      <w:pPr>
        <w:spacing w:before="1"/>
        <w:ind w:left="368" w:right="0" w:firstLine="0"/>
        <w:jc w:val="left"/>
        <w:rPr>
          <w:sz w:val="10"/>
        </w:rPr>
      </w:pPr>
      <w:r>
        <w:rPr>
          <w:w w:val="110"/>
          <w:sz w:val="10"/>
        </w:rPr>
        <w:t>0.00</w:t>
      </w: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spacing w:before="1"/>
      </w:pPr>
    </w:p>
    <w:p>
      <w:pPr>
        <w:spacing w:before="1"/>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6"/>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7"/>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7"/>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6"/>
      </w:pPr>
    </w:p>
    <w:p>
      <w:pPr>
        <w:spacing w:before="1"/>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6"/>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spacing w:before="11"/>
        <w:rPr>
          <w:sz w:val="11"/>
        </w:rPr>
      </w:pPr>
    </w:p>
    <w:p>
      <w:pPr>
        <w:spacing w:before="0"/>
        <w:ind w:left="368" w:right="0" w:firstLine="0"/>
        <w:jc w:val="left"/>
        <w:rPr>
          <w:sz w:val="10"/>
        </w:rPr>
      </w:pPr>
      <w:r>
        <w:rPr>
          <w:w w:val="110"/>
          <w:sz w:val="10"/>
        </w:rPr>
        <w:t>0.00</w:t>
      </w:r>
    </w:p>
    <w:p>
      <w:pPr>
        <w:tabs>
          <w:tab w:pos="1447" w:val="left" w:leader="none"/>
        </w:tabs>
        <w:spacing w:before="22"/>
        <w:ind w:left="368" w:right="0" w:firstLine="0"/>
        <w:jc w:val="left"/>
        <w:rPr>
          <w:sz w:val="10"/>
        </w:rPr>
      </w:pPr>
      <w:r>
        <w:rPr/>
        <w:br w:type="column"/>
      </w:r>
      <w:r>
        <w:rPr>
          <w:w w:val="110"/>
          <w:sz w:val="10"/>
        </w:rPr>
        <w:t>0.00</w:t>
        <w:tab/>
        <w:t>0.00</w:t>
      </w:r>
    </w:p>
    <w:p>
      <w:pPr>
        <w:pStyle w:val="BodyText"/>
        <w:rPr>
          <w:sz w:val="12"/>
        </w:rPr>
      </w:pPr>
    </w:p>
    <w:p>
      <w:pPr>
        <w:pStyle w:val="BodyText"/>
        <w:rPr>
          <w:sz w:val="12"/>
        </w:rPr>
      </w:pPr>
    </w:p>
    <w:p>
      <w:pPr>
        <w:pStyle w:val="BodyText"/>
        <w:spacing w:before="6"/>
      </w:pPr>
    </w:p>
    <w:p>
      <w:pPr>
        <w:tabs>
          <w:tab w:pos="1447" w:val="left" w:leader="none"/>
        </w:tabs>
        <w:spacing w:before="0"/>
        <w:ind w:left="368" w:right="0" w:firstLine="0"/>
        <w:jc w:val="left"/>
        <w:rPr>
          <w:sz w:val="10"/>
        </w:rPr>
      </w:pPr>
      <w:r>
        <w:rPr>
          <w:w w:val="110"/>
          <w:sz w:val="10"/>
        </w:rPr>
        <w:t>0.00</w:t>
        <w:tab/>
        <w:t>0.00</w:t>
      </w:r>
    </w:p>
    <w:p>
      <w:pPr>
        <w:pStyle w:val="BodyText"/>
        <w:rPr>
          <w:sz w:val="12"/>
        </w:rPr>
      </w:pPr>
    </w:p>
    <w:p>
      <w:pPr>
        <w:pStyle w:val="BodyText"/>
        <w:rPr>
          <w:sz w:val="12"/>
        </w:rPr>
      </w:pPr>
    </w:p>
    <w:p>
      <w:pPr>
        <w:pStyle w:val="BodyText"/>
        <w:spacing w:before="7"/>
      </w:pPr>
    </w:p>
    <w:p>
      <w:pPr>
        <w:tabs>
          <w:tab w:pos="1447" w:val="left" w:leader="none"/>
        </w:tabs>
        <w:spacing w:before="0"/>
        <w:ind w:left="368" w:right="0" w:firstLine="0"/>
        <w:jc w:val="left"/>
        <w:rPr>
          <w:sz w:val="10"/>
        </w:rPr>
      </w:pPr>
      <w:r>
        <w:rPr>
          <w:w w:val="110"/>
          <w:sz w:val="10"/>
        </w:rPr>
        <w:t>0.00</w:t>
        <w:tab/>
        <w:t>0.00</w:t>
      </w: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spacing w:before="2"/>
      </w:pPr>
    </w:p>
    <w:p>
      <w:pPr>
        <w:tabs>
          <w:tab w:pos="1447" w:val="left" w:leader="none"/>
        </w:tabs>
        <w:spacing w:before="0"/>
        <w:ind w:left="368" w:right="0" w:firstLine="0"/>
        <w:jc w:val="left"/>
        <w:rPr>
          <w:sz w:val="10"/>
        </w:rPr>
      </w:pPr>
      <w:r>
        <w:rPr>
          <w:w w:val="110"/>
          <w:sz w:val="10"/>
        </w:rPr>
        <w:t>0.00</w:t>
        <w:tab/>
        <w:t>0.00</w:t>
      </w:r>
    </w:p>
    <w:p>
      <w:pPr>
        <w:pStyle w:val="BodyText"/>
        <w:rPr>
          <w:sz w:val="12"/>
        </w:rPr>
      </w:pPr>
    </w:p>
    <w:p>
      <w:pPr>
        <w:pStyle w:val="BodyText"/>
        <w:rPr>
          <w:sz w:val="12"/>
        </w:rPr>
      </w:pPr>
    </w:p>
    <w:p>
      <w:pPr>
        <w:pStyle w:val="BodyText"/>
        <w:spacing w:before="7"/>
      </w:pPr>
    </w:p>
    <w:p>
      <w:pPr>
        <w:tabs>
          <w:tab w:pos="1447" w:val="left" w:leader="none"/>
        </w:tabs>
        <w:spacing w:before="0"/>
        <w:ind w:left="368" w:right="0" w:firstLine="0"/>
        <w:jc w:val="left"/>
        <w:rPr>
          <w:sz w:val="10"/>
        </w:rPr>
      </w:pPr>
      <w:r>
        <w:rPr>
          <w:w w:val="110"/>
          <w:sz w:val="10"/>
        </w:rPr>
        <w:t>0.00</w:t>
        <w:tab/>
        <w:t>0.00</w:t>
      </w:r>
    </w:p>
    <w:p>
      <w:pPr>
        <w:pStyle w:val="BodyText"/>
        <w:rPr>
          <w:sz w:val="12"/>
        </w:rPr>
      </w:pPr>
    </w:p>
    <w:p>
      <w:pPr>
        <w:pStyle w:val="BodyText"/>
        <w:rPr>
          <w:sz w:val="12"/>
        </w:rPr>
      </w:pPr>
    </w:p>
    <w:p>
      <w:pPr>
        <w:pStyle w:val="BodyText"/>
        <w:spacing w:before="6"/>
      </w:pPr>
    </w:p>
    <w:p>
      <w:pPr>
        <w:tabs>
          <w:tab w:pos="1447" w:val="left" w:leader="none"/>
        </w:tabs>
        <w:spacing w:before="1"/>
        <w:ind w:left="368" w:right="0" w:firstLine="0"/>
        <w:jc w:val="left"/>
        <w:rPr>
          <w:sz w:val="10"/>
        </w:rPr>
      </w:pPr>
      <w:r>
        <w:rPr>
          <w:w w:val="110"/>
          <w:sz w:val="10"/>
        </w:rPr>
        <w:t>0.00</w:t>
        <w:tab/>
        <w:t>0.00</w:t>
      </w: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spacing w:before="3"/>
        <w:rPr>
          <w:sz w:val="11"/>
        </w:rPr>
      </w:pPr>
    </w:p>
    <w:p>
      <w:pPr>
        <w:tabs>
          <w:tab w:pos="1447" w:val="left" w:leader="none"/>
        </w:tabs>
        <w:spacing w:before="0"/>
        <w:ind w:left="368" w:right="0" w:firstLine="0"/>
        <w:jc w:val="left"/>
        <w:rPr>
          <w:sz w:val="10"/>
        </w:rPr>
      </w:pPr>
      <w:r>
        <w:rPr>
          <w:w w:val="110"/>
          <w:sz w:val="10"/>
        </w:rPr>
        <w:t>0.00</w:t>
        <w:tab/>
        <w:t>0.00</w:t>
      </w: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tabs>
          <w:tab w:pos="1447" w:val="left" w:leader="none"/>
        </w:tabs>
        <w:spacing w:before="104"/>
        <w:ind w:left="368" w:right="0" w:firstLine="0"/>
        <w:jc w:val="left"/>
        <w:rPr>
          <w:sz w:val="10"/>
        </w:rPr>
      </w:pPr>
      <w:r>
        <w:rPr>
          <w:w w:val="110"/>
          <w:sz w:val="10"/>
        </w:rPr>
        <w:t>0.00</w:t>
        <w:tab/>
        <w:t>0.00</w:t>
      </w:r>
    </w:p>
    <w:p>
      <w:pPr>
        <w:pStyle w:val="BodyText"/>
        <w:spacing w:before="9"/>
      </w:pPr>
      <w:r>
        <w:rPr/>
        <w:br w:type="column"/>
      </w:r>
      <w:r>
        <w:rPr/>
      </w: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6"/>
      </w:pPr>
    </w:p>
    <w:p>
      <w:pPr>
        <w:spacing w:before="1"/>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6"/>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spacing w:before="2"/>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7"/>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7"/>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6"/>
      </w:pPr>
    </w:p>
    <w:p>
      <w:pPr>
        <w:spacing w:before="1"/>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10"/>
        <w:rPr>
          <w:sz w:val="12"/>
        </w:rPr>
      </w:pPr>
    </w:p>
    <w:p>
      <w:pPr>
        <w:spacing w:before="1"/>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6"/>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7"/>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spacing w:before="2"/>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7"/>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6"/>
      </w:pPr>
    </w:p>
    <w:p>
      <w:pPr>
        <w:spacing w:before="1"/>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6"/>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7"/>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7"/>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6"/>
      </w:pPr>
    </w:p>
    <w:p>
      <w:pPr>
        <w:spacing w:before="1"/>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6"/>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7"/>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7"/>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6"/>
      </w:pPr>
    </w:p>
    <w:p>
      <w:pPr>
        <w:spacing w:before="1"/>
        <w:ind w:left="368" w:right="0" w:firstLine="0"/>
        <w:jc w:val="left"/>
        <w:rPr>
          <w:sz w:val="10"/>
        </w:rPr>
      </w:pPr>
      <w:r>
        <w:rPr>
          <w:w w:val="110"/>
          <w:sz w:val="10"/>
        </w:rPr>
        <w:t>0.00</w:t>
      </w:r>
    </w:p>
    <w:p>
      <w:pPr>
        <w:pStyle w:val="BodyText"/>
        <w:spacing w:before="9"/>
      </w:pPr>
      <w:r>
        <w:rPr/>
        <w:br w:type="column"/>
      </w:r>
      <w:r>
        <w:rPr/>
      </w: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6"/>
      </w:pPr>
    </w:p>
    <w:p>
      <w:pPr>
        <w:spacing w:before="1"/>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6"/>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spacing w:before="2"/>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7"/>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7"/>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6"/>
      </w:pPr>
    </w:p>
    <w:p>
      <w:pPr>
        <w:spacing w:before="1"/>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10"/>
        <w:rPr>
          <w:sz w:val="12"/>
        </w:rPr>
      </w:pPr>
    </w:p>
    <w:p>
      <w:pPr>
        <w:spacing w:before="1"/>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6"/>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7"/>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7"/>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6"/>
      </w:pPr>
    </w:p>
    <w:p>
      <w:pPr>
        <w:spacing w:before="1"/>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6"/>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7"/>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7"/>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6"/>
      </w:pPr>
    </w:p>
    <w:p>
      <w:pPr>
        <w:spacing w:before="1"/>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6"/>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7"/>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7"/>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6"/>
      </w:pPr>
    </w:p>
    <w:p>
      <w:pPr>
        <w:spacing w:before="1"/>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6"/>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7"/>
      </w:pPr>
    </w:p>
    <w:p>
      <w:pPr>
        <w:spacing w:before="0"/>
        <w:ind w:left="368" w:right="0" w:firstLine="0"/>
        <w:jc w:val="left"/>
        <w:rPr>
          <w:sz w:val="10"/>
        </w:rPr>
      </w:pPr>
      <w:r>
        <w:rPr>
          <w:w w:val="110"/>
          <w:sz w:val="10"/>
        </w:rPr>
        <w:t>0.00</w:t>
      </w:r>
    </w:p>
    <w:p>
      <w:pPr>
        <w:pStyle w:val="BodyText"/>
        <w:rPr>
          <w:sz w:val="12"/>
        </w:rPr>
      </w:pPr>
    </w:p>
    <w:p>
      <w:pPr>
        <w:pStyle w:val="BodyText"/>
        <w:rPr>
          <w:sz w:val="12"/>
        </w:rPr>
      </w:pPr>
    </w:p>
    <w:p>
      <w:pPr>
        <w:pStyle w:val="BodyText"/>
        <w:spacing w:before="7"/>
      </w:pPr>
    </w:p>
    <w:p>
      <w:pPr>
        <w:spacing w:before="0"/>
        <w:ind w:left="368" w:right="0" w:firstLine="0"/>
        <w:jc w:val="left"/>
        <w:rPr>
          <w:sz w:val="10"/>
        </w:rPr>
      </w:pPr>
      <w:r>
        <w:rPr>
          <w:w w:val="110"/>
          <w:sz w:val="10"/>
        </w:rPr>
        <w:t>0.00</w:t>
      </w:r>
    </w:p>
    <w:p>
      <w:pPr>
        <w:spacing w:after="0"/>
        <w:jc w:val="left"/>
        <w:rPr>
          <w:sz w:val="10"/>
        </w:rPr>
        <w:sectPr>
          <w:type w:val="continuous"/>
          <w:pgSz w:w="12240" w:h="15840"/>
          <w:pgMar w:top="1500" w:bottom="840" w:left="40" w:right="40"/>
          <w:cols w:num="6" w:equalWidth="0">
            <w:col w:w="3134" w:space="478"/>
            <w:col w:w="620" w:space="460"/>
            <w:col w:w="620" w:space="460"/>
            <w:col w:w="1700" w:space="460"/>
            <w:col w:w="620" w:space="460"/>
            <w:col w:w="3148"/>
          </w:cols>
        </w:sectPr>
      </w:pPr>
    </w:p>
    <w:p>
      <w:pPr>
        <w:spacing w:before="3"/>
        <w:ind w:left="113" w:right="0" w:firstLine="0"/>
        <w:jc w:val="left"/>
        <w:rPr>
          <w:sz w:val="10"/>
        </w:rPr>
      </w:pPr>
      <w:r>
        <w:rPr>
          <w:w w:val="110"/>
          <w:sz w:val="10"/>
        </w:rPr>
        <w:t>Sutter County</w:t>
      </w:r>
    </w:p>
    <w:p>
      <w:pPr>
        <w:spacing w:line="249" w:lineRule="auto" w:before="3"/>
        <w:ind w:left="687" w:right="23" w:hanging="574"/>
        <w:jc w:val="left"/>
        <w:rPr>
          <w:sz w:val="10"/>
        </w:rPr>
      </w:pPr>
      <w:r>
        <w:rPr/>
        <w:br w:type="column"/>
      </w:r>
      <w:r>
        <w:rPr>
          <w:w w:val="110"/>
          <w:sz w:val="10"/>
        </w:rPr>
        <w:t>SUMMARY</w:t>
      </w:r>
      <w:r>
        <w:rPr>
          <w:spacing w:val="-18"/>
          <w:w w:val="110"/>
          <w:sz w:val="10"/>
        </w:rPr>
        <w:t> </w:t>
      </w:r>
      <w:r>
        <w:rPr>
          <w:w w:val="110"/>
          <w:sz w:val="10"/>
        </w:rPr>
        <w:t>OF</w:t>
      </w:r>
      <w:r>
        <w:rPr>
          <w:spacing w:val="-18"/>
          <w:w w:val="110"/>
          <w:sz w:val="10"/>
        </w:rPr>
        <w:t> </w:t>
      </w:r>
      <w:r>
        <w:rPr>
          <w:w w:val="110"/>
          <w:sz w:val="10"/>
        </w:rPr>
        <w:t>INTERFUND</w:t>
      </w:r>
      <w:r>
        <w:rPr>
          <w:spacing w:val="-18"/>
          <w:w w:val="110"/>
          <w:sz w:val="10"/>
        </w:rPr>
        <w:t> </w:t>
      </w:r>
      <w:r>
        <w:rPr>
          <w:w w:val="110"/>
          <w:sz w:val="10"/>
        </w:rPr>
        <w:t>ACTIVITIES FOR ALL</w:t>
      </w:r>
      <w:r>
        <w:rPr>
          <w:spacing w:val="-3"/>
          <w:w w:val="110"/>
          <w:sz w:val="10"/>
        </w:rPr>
        <w:t> </w:t>
      </w:r>
      <w:r>
        <w:rPr>
          <w:w w:val="110"/>
          <w:sz w:val="10"/>
        </w:rPr>
        <w:t>FUNDS</w:t>
      </w:r>
    </w:p>
    <w:p>
      <w:pPr>
        <w:spacing w:before="3"/>
        <w:ind w:left="113" w:right="0" w:firstLine="0"/>
        <w:jc w:val="left"/>
        <w:rPr>
          <w:sz w:val="10"/>
        </w:rPr>
      </w:pPr>
      <w:r>
        <w:rPr/>
        <w:br w:type="column"/>
      </w:r>
      <w:r>
        <w:rPr>
          <w:w w:val="110"/>
          <w:sz w:val="10"/>
        </w:rPr>
        <w:t>Form SIAB</w:t>
      </w:r>
    </w:p>
    <w:p>
      <w:pPr>
        <w:spacing w:after="0"/>
        <w:jc w:val="left"/>
        <w:rPr>
          <w:sz w:val="10"/>
        </w:rPr>
        <w:sectPr>
          <w:pgSz w:w="12240" w:h="15840"/>
          <w:pgMar w:header="541" w:footer="356" w:top="780" w:bottom="540" w:left="40" w:right="40"/>
          <w:cols w:num="3" w:equalWidth="0">
            <w:col w:w="817" w:space="4151"/>
            <w:col w:w="2144" w:space="4290"/>
            <w:col w:w="758"/>
          </w:cols>
        </w:sectPr>
      </w:pPr>
    </w:p>
    <w:p>
      <w:pPr>
        <w:pStyle w:val="BodyText"/>
        <w:rPr>
          <w:sz w:val="20"/>
        </w:rPr>
      </w:pPr>
      <w:r>
        <w:rPr/>
        <w:pict>
          <v:group style="position:absolute;margin-left:18.599998pt;margin-top:57.720001pt;width:574.6pt;height:283.2pt;mso-position-horizontal-relative:page;mso-position-vertical-relative:page;z-index:-313652224" coordorigin="372,1154" coordsize="11492,5664">
            <v:shape style="position:absolute;left:372;top:1154;width:11492;height:221" type="#_x0000_t75" stroked="false">
              <v:imagedata r:id="rId1891" o:title=""/>
            </v:shape>
            <v:shape style="position:absolute;left:372;top:1202;width:11492;height:603" type="#_x0000_t75" stroked="false">
              <v:imagedata r:id="rId1922" o:title=""/>
            </v:shape>
            <v:rect style="position:absolute;left:9693;top:1670;width:1080;height:137" filled="true" fillcolor="#bfbfbf" stroked="false">
              <v:fill type="solid"/>
            </v:rect>
            <v:shape style="position:absolute;left:10768;top:1665;width:8;height:140" type="#_x0000_t75" stroked="false">
              <v:imagedata r:id="rId1856" o:title=""/>
            </v:shape>
            <v:rect style="position:absolute;left:10773;top:1670;width:1080;height:137" filled="true" fillcolor="#bfbfbf" stroked="false">
              <v:fill type="solid"/>
            </v:rect>
            <v:shape style="position:absolute;left:9681;top:1665;width:22;height:276" type="#_x0000_t75" stroked="false">
              <v:imagedata r:id="rId1820" o:title=""/>
            </v:shape>
            <v:rect style="position:absolute;left:9693;top:1807;width:1080;height:137" filled="true" fillcolor="#bfbfbf" stroked="false">
              <v:fill type="solid"/>
            </v:rect>
            <v:shape style="position:absolute;left:10768;top:1802;width:8;height:140" type="#_x0000_t75" stroked="false">
              <v:imagedata r:id="rId1856" o:title=""/>
            </v:shape>
            <v:rect style="position:absolute;left:10773;top:1807;width:1080;height:137" filled="true" fillcolor="#bfbfbf" stroked="false">
              <v:fill type="solid"/>
            </v:rect>
            <v:shape style="position:absolute;left:3201;top:1802;width:6502;height:281" type="#_x0000_t75" stroked="false">
              <v:imagedata r:id="rId1893" o:title=""/>
            </v:shape>
            <v:rect style="position:absolute;left:9693;top:1944;width:1080;height:137" filled="true" fillcolor="#bfbfbf" stroked="false">
              <v:fill type="solid"/>
            </v:rect>
            <v:shape style="position:absolute;left:10768;top:1939;width:8;height:140" type="#_x0000_t75" stroked="false">
              <v:imagedata r:id="rId1856" o:title=""/>
            </v:shape>
            <v:rect style="position:absolute;left:10773;top:1944;width:1080;height:137" filled="true" fillcolor="#bfbfbf" stroked="false">
              <v:fill type="solid"/>
            </v:rect>
            <v:shape style="position:absolute;left:9681;top:1939;width:22;height:276" type="#_x0000_t75" stroked="false">
              <v:imagedata r:id="rId1820" o:title=""/>
            </v:shape>
            <v:rect style="position:absolute;left:9693;top:2080;width:1080;height:137" filled="true" fillcolor="#bfbfbf" stroked="false">
              <v:fill type="solid"/>
            </v:rect>
            <v:shape style="position:absolute;left:10768;top:2076;width:8;height:140" type="#_x0000_t75" stroked="false">
              <v:imagedata r:id="rId1857" o:title=""/>
            </v:shape>
            <v:rect style="position:absolute;left:10773;top:2080;width:1080;height:137" filled="true" fillcolor="#bfbfbf" stroked="false">
              <v:fill type="solid"/>
            </v:rect>
            <v:shape style="position:absolute;left:9681;top:2076;width:22;height:276" type="#_x0000_t75" stroked="false">
              <v:imagedata r:id="rId1820" o:title=""/>
            </v:shape>
            <v:rect style="position:absolute;left:9693;top:2217;width:1080;height:137" filled="true" fillcolor="#bfbfbf" stroked="false">
              <v:fill type="solid"/>
            </v:rect>
            <v:shape style="position:absolute;left:10768;top:2212;width:8;height:140" type="#_x0000_t75" stroked="false">
              <v:imagedata r:id="rId1856" o:title=""/>
            </v:shape>
            <v:rect style="position:absolute;left:10773;top:2217;width:1080;height:137" filled="true" fillcolor="#bfbfbf" stroked="false">
              <v:fill type="solid"/>
            </v:rect>
            <v:shape style="position:absolute;left:9681;top:2212;width:22;height:276" type="#_x0000_t75" stroked="false">
              <v:imagedata r:id="rId1820" o:title=""/>
            </v:shape>
            <v:rect style="position:absolute;left:9693;top:2354;width:1080;height:137" filled="true" fillcolor="#bfbfbf" stroked="false">
              <v:fill type="solid"/>
            </v:rect>
            <v:shape style="position:absolute;left:10768;top:2349;width:8;height:140" type="#_x0000_t75" stroked="false">
              <v:imagedata r:id="rId1856" o:title=""/>
            </v:shape>
            <v:rect style="position:absolute;left:10773;top:2354;width:1080;height:137" filled="true" fillcolor="#bfbfbf" stroked="false">
              <v:fill type="solid"/>
            </v:rect>
            <v:shape style="position:absolute;left:3201;top:2076;width:2182;height:550" type="#_x0000_t75" stroked="false">
              <v:imagedata r:id="rId1905" o:title=""/>
            </v:shape>
            <v:shape style="position:absolute;left:5361;top:2076;width:1095;height:550" type="#_x0000_t75" stroked="false">
              <v:imagedata r:id="rId1898" o:title=""/>
            </v:shape>
            <v:shape style="position:absolute;left:9681;top:2349;width:22;height:276" type="#_x0000_t75" stroked="false">
              <v:imagedata r:id="rId1820" o:title=""/>
            </v:shape>
            <v:shape style="position:absolute;left:6448;top:2076;width:3255;height:687" type="#_x0000_t75" stroked="false">
              <v:imagedata r:id="rId1923" o:title=""/>
            </v:shape>
            <v:shape style="position:absolute;left:5373;top:2491;width:5400;height:137" coordorigin="5374,2491" coordsize="5400,137" path="m7534,2491l6454,2491,5374,2491,5374,2628,6454,2628,7534,2628,7534,2491m10774,2491l9694,2491,9694,2628,10774,2628,10774,2491e" filled="true" fillcolor="#bfbfbf" stroked="false">
              <v:path arrowok="t"/>
              <v:fill type="solid"/>
            </v:shape>
            <v:shape style="position:absolute;left:10768;top:2486;width:8;height:140" type="#_x0000_t75" stroked="false">
              <v:imagedata r:id="rId1856" o:title=""/>
            </v:shape>
            <v:shape style="position:absolute;left:9693;top:2491;width:2160;height:274" coordorigin="9694,2491" coordsize="2160,274" path="m10774,2628l9694,2628,9694,2765,10774,2765,10774,2628m11854,2491l10774,2491,10774,2628,11854,2628,11854,2491e" filled="true" fillcolor="#bfbfbf" stroked="false">
              <v:path arrowok="t"/>
              <v:fill type="solid"/>
            </v:shape>
            <v:shape style="position:absolute;left:10768;top:2623;width:8;height:140" type="#_x0000_t75" stroked="false">
              <v:imagedata r:id="rId1856" o:title=""/>
            </v:shape>
            <v:shape style="position:absolute;left:9693;top:2628;width:2160;height:274" coordorigin="9694,2628" coordsize="2160,274" path="m10774,2765l9694,2765,9694,2902,10774,2902,10774,2765m11854,2628l10774,2628,10774,2765,11854,2765,11854,2628e" filled="true" fillcolor="#bfbfbf" stroked="false">
              <v:path arrowok="t"/>
              <v:fill type="solid"/>
            </v:shape>
            <v:shape style="position:absolute;left:10768;top:2760;width:8;height:140" type="#_x0000_t75" stroked="false">
              <v:imagedata r:id="rId1856" o:title=""/>
            </v:shape>
            <v:rect style="position:absolute;left:10773;top:2764;width:1080;height:137" filled="true" fillcolor="#bfbfbf" stroked="false">
              <v:fill type="solid"/>
            </v:rect>
            <v:shape style="position:absolute;left:9681;top:2623;width:22;height:413" type="#_x0000_t75" stroked="false">
              <v:imagedata r:id="rId1853" o:title=""/>
            </v:shape>
            <v:rect style="position:absolute;left:9693;top:2901;width:1080;height:137" filled="true" fillcolor="#bfbfbf" stroked="false">
              <v:fill type="solid"/>
            </v:rect>
            <v:shape style="position:absolute;left:10768;top:2896;width:8;height:140" type="#_x0000_t75" stroked="false">
              <v:imagedata r:id="rId1856" o:title=""/>
            </v:shape>
            <v:rect style="position:absolute;left:10773;top:2901;width:1080;height:137" filled="true" fillcolor="#bfbfbf" stroked="false">
              <v:fill type="solid"/>
            </v:rect>
            <v:shape style="position:absolute;left:9681;top:2896;width:22;height:276" type="#_x0000_t75" stroked="false">
              <v:imagedata r:id="rId1820" o:title=""/>
            </v:shape>
            <v:rect style="position:absolute;left:9693;top:3038;width:1080;height:137" filled="true" fillcolor="#bfbfbf" stroked="false">
              <v:fill type="solid"/>
            </v:rect>
            <v:shape style="position:absolute;left:10768;top:3033;width:8;height:140" type="#_x0000_t75" stroked="false">
              <v:imagedata r:id="rId1856" o:title=""/>
            </v:shape>
            <v:rect style="position:absolute;left:10773;top:3038;width:1080;height:137" filled="true" fillcolor="#bfbfbf" stroked="false">
              <v:fill type="solid"/>
            </v:rect>
            <v:shape style="position:absolute;left:5361;top:2623;width:22;height:140" type="#_x0000_t75" stroked="false">
              <v:imagedata r:id="rId1819" o:title=""/>
            </v:shape>
            <v:shape style="position:absolute;left:5373;top:2628;width:2160;height:274" coordorigin="5374,2628" coordsize="2160,274" path="m7534,2628l5374,2628,5374,2765,5374,2902,6454,2902,7534,2902,7534,2765,7534,2628e" filled="true" fillcolor="#bfbfbf" stroked="false">
              <v:path arrowok="t"/>
              <v:fill type="solid"/>
            </v:shape>
            <v:shape style="position:absolute;left:3201;top:2623;width:2182;height:418" type="#_x0000_t75" stroked="false">
              <v:imagedata r:id="rId1832" o:title=""/>
            </v:shape>
            <v:shape style="position:absolute;left:5373;top:2901;width:2160;height:137" coordorigin="5374,2902" coordsize="2160,137" path="m7534,2902l6454,2902,5374,2902,5374,3038,6454,3038,7534,3038,7534,2902e" filled="true" fillcolor="#bfbfbf" stroked="false">
              <v:path arrowok="t"/>
              <v:fill type="solid"/>
            </v:shape>
            <v:shape style="position:absolute;left:5361;top:2896;width:22;height:276" type="#_x0000_t75" stroked="false">
              <v:imagedata r:id="rId1820" o:title=""/>
            </v:shape>
            <v:shape style="position:absolute;left:5373;top:3038;width:2160;height:137" coordorigin="5374,3038" coordsize="2160,137" path="m7534,3038l6454,3038,5374,3038,5374,3175,6454,3175,7534,3175,7534,3038e" filled="true" fillcolor="#bfbfbf" stroked="false">
              <v:path arrowok="t"/>
              <v:fill type="solid"/>
            </v:shape>
            <v:shape style="position:absolute;left:7521;top:2760;width:2182;height:550" type="#_x0000_t75" stroked="false">
              <v:imagedata r:id="rId1924" o:title=""/>
            </v:shape>
            <v:shape style="position:absolute;left:5373;top:3175;width:5400;height:137" coordorigin="5374,3175" coordsize="5400,137" path="m7534,3175l6454,3175,5374,3175,5374,3312,6454,3312,7534,3312,7534,3175m10774,3175l9694,3175,9694,3312,10774,3312,10774,3175e" filled="true" fillcolor="#bfbfbf" stroked="false">
              <v:path arrowok="t"/>
              <v:fill type="solid"/>
            </v:shape>
            <v:shape style="position:absolute;left:10768;top:3170;width:8;height:140" type="#_x0000_t75" stroked="false">
              <v:imagedata r:id="rId1857" o:title=""/>
            </v:shape>
            <v:shape style="position:absolute;left:9693;top:3175;width:2160;height:274" coordorigin="9694,3175" coordsize="2160,274" path="m10774,3312l9694,3312,9694,3449,10774,3449,10774,3312m11854,3175l10774,3175,10774,3312,11854,3312,11854,3175e" filled="true" fillcolor="#bfbfbf" stroked="false">
              <v:path arrowok="t"/>
              <v:fill type="solid"/>
            </v:shape>
            <v:shape style="position:absolute;left:9681;top:3170;width:22;height:413" type="#_x0000_t75" stroked="false">
              <v:imagedata r:id="rId1853" o:title=""/>
            </v:shape>
            <v:shape style="position:absolute;left:10768;top:3307;width:8;height:140" type="#_x0000_t75" stroked="false">
              <v:imagedata r:id="rId1856" o:title=""/>
            </v:shape>
            <v:shape style="position:absolute;left:9693;top:3312;width:2160;height:274" coordorigin="9694,3312" coordsize="2160,274" path="m10774,3449l9694,3449,9694,3586,10774,3586,10774,3449m11854,3312l10774,3312,10774,3449,11854,3449,11854,3312e" filled="true" fillcolor="#bfbfbf" stroked="false">
              <v:path arrowok="t"/>
              <v:fill type="solid"/>
            </v:shape>
            <v:shape style="position:absolute;left:10768;top:3444;width:8;height:140" type="#_x0000_t75" stroked="false">
              <v:imagedata r:id="rId1856" o:title=""/>
            </v:shape>
            <v:shape style="position:absolute;left:5373;top:3312;width:6480;height:274" coordorigin="5374,3312" coordsize="6480,274" path="m6454,3312l5374,3312,5374,3449,6454,3449,6454,3312m11854,3449l10774,3449,10774,3586,11854,3586,11854,3449e" filled="true" fillcolor="#bfbfbf" stroked="false">
              <v:path arrowok="t"/>
              <v:fill type="solid"/>
            </v:shape>
            <v:shape style="position:absolute;left:3201;top:3033;width:2182;height:555" type="#_x0000_t75" stroked="false">
              <v:imagedata r:id="rId1874" o:title=""/>
            </v:shape>
            <v:shape style="position:absolute;left:5373;top:3312;width:2160;height:274" coordorigin="5374,3312" coordsize="2160,274" path="m7534,3312l6454,3312,6454,3449,5374,3449,5374,3586,6454,3586,7534,3586,7534,3449,7534,3312e" filled="true" fillcolor="#bfbfbf" stroked="false">
              <v:path arrowok="t"/>
              <v:fill type="solid"/>
            </v:shape>
            <v:shape style="position:absolute;left:5361;top:3444;width:22;height:276" type="#_x0000_t75" stroked="false">
              <v:imagedata r:id="rId1820" o:title=""/>
            </v:shape>
            <v:shape style="position:absolute;left:7521;top:3307;width:1095;height:418" type="#_x0000_t75" stroked="false">
              <v:imagedata r:id="rId1871" o:title=""/>
            </v:shape>
            <v:shape style="position:absolute;left:5373;top:3585;width:2160;height:137" coordorigin="5374,3586" coordsize="2160,137" path="m7534,3586l6454,3586,5374,3586,5374,3722,6454,3722,7534,3722,7534,3586e" filled="true" fillcolor="#bfbfbf" stroked="false">
              <v:path arrowok="t"/>
              <v:fill type="solid"/>
            </v:shape>
            <v:shape style="position:absolute;left:6448;top:2760;width:8;height:1781" type="#_x0000_t75" stroked="false">
              <v:imagedata r:id="rId1882" o:title=""/>
            </v:shape>
            <v:shape style="position:absolute;left:9681;top:3444;width:22;height:276" type="#_x0000_t75" stroked="false">
              <v:imagedata r:id="rId1820" o:title=""/>
            </v:shape>
            <v:rect style="position:absolute;left:9693;top:3585;width:1080;height:137" filled="true" fillcolor="#bfbfbf" stroked="false">
              <v:fill type="solid"/>
            </v:rect>
            <v:shape style="position:absolute;left:10768;top:3580;width:8;height:140" type="#_x0000_t75" stroked="false">
              <v:imagedata r:id="rId1856" o:title=""/>
            </v:shape>
            <v:rect style="position:absolute;left:10773;top:3585;width:1080;height:137" filled="true" fillcolor="#bfbfbf" stroked="false">
              <v:fill type="solid"/>
            </v:rect>
            <v:shape style="position:absolute;left:8608;top:3580;width:1095;height:276" type="#_x0000_t75" stroked="false">
              <v:imagedata r:id="rId1918" o:title=""/>
            </v:shape>
            <v:rect style="position:absolute;left:9693;top:3722;width:1080;height:137" filled="true" fillcolor="#bfbfbf" stroked="false">
              <v:fill type="solid"/>
            </v:rect>
            <v:shape style="position:absolute;left:10768;top:3717;width:8;height:140" type="#_x0000_t75" stroked="false">
              <v:imagedata r:id="rId1856" o:title=""/>
            </v:shape>
            <v:rect style="position:absolute;left:10773;top:3722;width:1080;height:137" filled="true" fillcolor="#bfbfbf" stroked="false">
              <v:fill type="solid"/>
            </v:rect>
            <v:shape style="position:absolute;left:9681;top:3717;width:22;height:276" type="#_x0000_t75" stroked="false">
              <v:imagedata r:id="rId1820" o:title=""/>
            </v:shape>
            <v:rect style="position:absolute;left:9693;top:3859;width:1080;height:137" filled="true" fillcolor="#bfbfbf" stroked="false">
              <v:fill type="solid"/>
            </v:rect>
            <v:shape style="position:absolute;left:10768;top:3854;width:8;height:140" type="#_x0000_t75" stroked="false">
              <v:imagedata r:id="rId1856" o:title=""/>
            </v:shape>
            <v:rect style="position:absolute;left:10773;top:3859;width:1080;height:137" filled="true" fillcolor="#bfbfbf" stroked="false">
              <v:fill type="solid"/>
            </v:rect>
            <v:shape style="position:absolute;left:9681;top:3854;width:22;height:276" type="#_x0000_t75" stroked="false">
              <v:imagedata r:id="rId1820" o:title=""/>
            </v:shape>
            <v:rect style="position:absolute;left:9693;top:3996;width:1080;height:137" filled="true" fillcolor="#bfbfbf" stroked="false">
              <v:fill type="solid"/>
            </v:rect>
            <v:shape style="position:absolute;left:10768;top:3991;width:8;height:140" type="#_x0000_t75" stroked="false">
              <v:imagedata r:id="rId1856" o:title=""/>
            </v:shape>
            <v:rect style="position:absolute;left:10773;top:3996;width:1080;height:137" filled="true" fillcolor="#bfbfbf" stroked="false">
              <v:fill type="solid"/>
            </v:rect>
            <v:shape style="position:absolute;left:9681;top:3991;width:22;height:276" type="#_x0000_t75" stroked="false">
              <v:imagedata r:id="rId1820" o:title=""/>
            </v:shape>
            <v:rect style="position:absolute;left:9693;top:4132;width:1080;height:137" filled="true" fillcolor="#bfbfbf" stroked="false">
              <v:fill type="solid"/>
            </v:rect>
            <v:shape style="position:absolute;left:10768;top:4128;width:8;height:140" type="#_x0000_t75" stroked="false">
              <v:imagedata r:id="rId1856" o:title=""/>
            </v:shape>
            <v:rect style="position:absolute;left:10773;top:4132;width:1080;height:137" filled="true" fillcolor="#bfbfbf" stroked="false">
              <v:fill type="solid"/>
            </v:rect>
            <v:shape style="position:absolute;left:5361;top:3580;width:22;height:276" type="#_x0000_t75" stroked="false">
              <v:imagedata r:id="rId1820" o:title=""/>
            </v:shape>
            <v:shape style="position:absolute;left:5373;top:3722;width:2160;height:137" coordorigin="5374,3722" coordsize="2160,137" path="m7534,3722l6454,3722,5374,3722,5374,3859,6454,3859,7534,3859,7534,3722e" filled="true" fillcolor="#bfbfbf" stroked="false">
              <v:path arrowok="t"/>
              <v:fill type="solid"/>
            </v:shape>
            <v:shape style="position:absolute;left:5361;top:3717;width:22;height:276" type="#_x0000_t75" stroked="false">
              <v:imagedata r:id="rId1820" o:title=""/>
            </v:shape>
            <v:shape style="position:absolute;left:5373;top:3859;width:2160;height:137" coordorigin="5374,3859" coordsize="2160,137" path="m7534,3859l6454,3859,5374,3859,5374,3996,6454,3996,7534,3996,7534,3859e" filled="true" fillcolor="#bfbfbf" stroked="false">
              <v:path arrowok="t"/>
              <v:fill type="solid"/>
            </v:shape>
            <v:shape style="position:absolute;left:5361;top:3854;width:22;height:276" type="#_x0000_t75" stroked="false">
              <v:imagedata r:id="rId1820" o:title=""/>
            </v:shape>
            <v:shape style="position:absolute;left:5373;top:3996;width:2160;height:137" coordorigin="5374,3996" coordsize="2160,137" path="m7534,3996l6454,3996,5374,3996,5374,4133,6454,4133,7534,4133,7534,3996e" filled="true" fillcolor="#bfbfbf" stroked="false">
              <v:path arrowok="t"/>
              <v:fill type="solid"/>
            </v:shape>
            <v:shape style="position:absolute;left:7521;top:3717;width:1095;height:555" type="#_x0000_t75" stroked="false">
              <v:imagedata r:id="rId1883" o:title=""/>
            </v:shape>
            <v:shape style="position:absolute;left:3201;top:3580;width:1095;height:687" type="#_x0000_t75" stroked="false">
              <v:imagedata r:id="rId1845" o:title=""/>
            </v:shape>
            <v:shape style="position:absolute;left:4288;top:3991;width:1095;height:276" type="#_x0000_t75" stroked="false">
              <v:imagedata r:id="rId1918" o:title=""/>
            </v:shape>
            <v:shape style="position:absolute;left:3213;top:4132;width:4320;height:137" coordorigin="3214,4133" coordsize="4320,137" path="m7534,4133l6454,4133,5374,4133,4294,4133,3214,4133,3214,4270,4294,4270,5374,4270,6454,4270,7534,4270,7534,4133e" filled="true" fillcolor="#bfbfbf" stroked="false">
              <v:path arrowok="t"/>
              <v:fill type="solid"/>
            </v:shape>
            <v:shape style="position:absolute;left:5361;top:4128;width:22;height:276" type="#_x0000_t75" stroked="false">
              <v:imagedata r:id="rId1820" o:title=""/>
            </v:shape>
            <v:shape style="position:absolute;left:3213;top:4269;width:4320;height:137" coordorigin="3214,4270" coordsize="4320,137" path="m7534,4270l6454,4270,5374,4270,4294,4270,3214,4270,3214,4406,4294,4406,5374,4406,6454,4406,7534,4406,7534,4270e" filled="true" fillcolor="#bfbfbf" stroked="false">
              <v:path arrowok="t"/>
              <v:fill type="solid"/>
            </v:shape>
            <v:shape style="position:absolute;left:8608;top:4128;width:1095;height:276" type="#_x0000_t75" stroked="false">
              <v:imagedata r:id="rId1925" o:title=""/>
            </v:shape>
            <v:shape style="position:absolute;left:8613;top:4269;width:2160;height:137" coordorigin="8614,4270" coordsize="2160,137" path="m10774,4270l9694,4270,8614,4270,8614,4406,9694,4406,10774,4406,10774,4270e" filled="true" fillcolor="#bfbfbf" stroked="false">
              <v:path arrowok="t"/>
              <v:fill type="solid"/>
            </v:shape>
            <v:shape style="position:absolute;left:10768;top:4264;width:8;height:140" type="#_x0000_t75" stroked="false">
              <v:imagedata r:id="rId1857" o:title=""/>
            </v:shape>
            <v:rect style="position:absolute;left:10773;top:4269;width:1080;height:137" filled="true" fillcolor="#bfbfbf" stroked="false">
              <v:fill type="solid"/>
            </v:rect>
            <v:shape style="position:absolute;left:5361;top:4264;width:22;height:276" type="#_x0000_t75" stroked="false">
              <v:imagedata r:id="rId1820" o:title=""/>
            </v:shape>
            <v:shape style="position:absolute;left:3213;top:4406;width:7560;height:137" coordorigin="3214,4406" coordsize="7560,137" path="m7534,4406l6454,4406,5374,4406,4294,4406,3214,4406,3214,4543,4294,4543,5374,4543,6454,4543,7534,4543,7534,4406m10774,4406l9694,4406,8614,4406,8614,4543,9694,4543,10774,4543,10774,4406e" filled="true" fillcolor="#bfbfbf" stroked="false">
              <v:path arrowok="t"/>
              <v:fill type="solid"/>
            </v:shape>
            <v:shape style="position:absolute;left:10768;top:4401;width:8;height:140" type="#_x0000_t75" stroked="false">
              <v:imagedata r:id="rId1856" o:title=""/>
            </v:shape>
            <v:rect style="position:absolute;left:10773;top:4406;width:1080;height:137" filled="true" fillcolor="#bfbfbf" stroked="false">
              <v:fill type="solid"/>
            </v:rect>
            <v:shape style="position:absolute;left:3201;top:4264;width:1095;height:418" type="#_x0000_t75" stroked="false">
              <v:imagedata r:id="rId1839" o:title=""/>
            </v:shape>
            <v:shape style="position:absolute;left:4288;top:4264;width:1095;height:418" type="#_x0000_t75" stroked="false">
              <v:imagedata r:id="rId1840" o:title=""/>
            </v:shape>
            <v:shape style="position:absolute;left:3213;top:4543;width:3240;height:137" coordorigin="3214,4543" coordsize="3240,137" path="m6454,4543l5374,4543,4294,4543,3214,4543,3214,4680,4294,4680,5374,4680,6454,4680,6454,4543e" filled="true" fillcolor="#bfbfbf" stroked="false">
              <v:path arrowok="t"/>
              <v:fill type="solid"/>
            </v:shape>
            <v:shape style="position:absolute;left:6448;top:4538;width:8;height:140" type="#_x0000_t75" stroked="false">
              <v:imagedata r:id="rId1856" o:title=""/>
            </v:shape>
            <v:shape style="position:absolute;left:6453;top:4543;width:3240;height:137" coordorigin="6454,4543" coordsize="3240,137" path="m7534,4543l6454,4543,6454,4680,7534,4680,7534,4543m9694,4543l8614,4543,8614,4680,9694,4680,9694,4543e" filled="true" fillcolor="#bfbfbf" stroked="false">
              <v:path arrowok="t"/>
              <v:fill type="solid"/>
            </v:shape>
            <v:shape style="position:absolute;left:7521;top:4264;width:1095;height:555" type="#_x0000_t75" stroked="false">
              <v:imagedata r:id="rId1884" o:title=""/>
            </v:shape>
            <v:rect style="position:absolute;left:9693;top:4543;width:1080;height:137" filled="true" fillcolor="#bfbfbf" stroked="false">
              <v:fill type="solid"/>
            </v:rect>
            <v:shape style="position:absolute;left:10768;top:4538;width:8;height:140" type="#_x0000_t75" stroked="false">
              <v:imagedata r:id="rId1856" o:title=""/>
            </v:shape>
            <v:rect style="position:absolute;left:10773;top:4543;width:1080;height:137" filled="true" fillcolor="#bfbfbf" stroked="false">
              <v:fill type="solid"/>
            </v:rect>
            <v:shape style="position:absolute;left:3201;top:4538;width:2182;height:276" type="#_x0000_t75" stroked="false">
              <v:imagedata r:id="rId1926" o:title=""/>
            </v:shape>
            <v:rect style="position:absolute;left:5373;top:4680;width:1080;height:137" filled="true" fillcolor="#bfbfbf" stroked="false">
              <v:fill type="solid"/>
            </v:rect>
            <v:shape style="position:absolute;left:6448;top:4675;width:8;height:140" type="#_x0000_t75" stroked="false">
              <v:imagedata r:id="rId1856" o:title=""/>
            </v:shape>
            <v:shape style="position:absolute;left:6453;top:4680;width:4320;height:137" coordorigin="6454,4680" coordsize="4320,137" path="m7534,4680l6454,4680,6454,4817,7534,4817,7534,4680m10774,4680l9694,4680,8614,4680,8614,4817,9694,4817,10774,4817,10774,4680e" filled="true" fillcolor="#bfbfbf" stroked="false">
              <v:path arrowok="t"/>
              <v:fill type="solid"/>
            </v:shape>
            <v:shape style="position:absolute;left:10768;top:4675;width:8;height:140" type="#_x0000_t75" stroked="false">
              <v:imagedata r:id="rId1856" o:title=""/>
            </v:shape>
            <v:rect style="position:absolute;left:10773;top:4680;width:1080;height:137" filled="true" fillcolor="#bfbfbf" stroked="false">
              <v:fill type="solid"/>
            </v:rect>
            <v:shape style="position:absolute;left:5361;top:4675;width:22;height:276" type="#_x0000_t75" stroked="false">
              <v:imagedata r:id="rId1820" o:title=""/>
            </v:shape>
            <v:rect style="position:absolute;left:5373;top:4816;width:1080;height:137" filled="true" fillcolor="#bfbfbf" stroked="false">
              <v:fill type="solid"/>
            </v:rect>
            <v:shape style="position:absolute;left:6448;top:4812;width:8;height:140" type="#_x0000_t75" stroked="false">
              <v:imagedata r:id="rId1856" o:title=""/>
            </v:shape>
            <v:shape style="position:absolute;left:6453;top:4816;width:4320;height:137" coordorigin="6454,4817" coordsize="4320,137" path="m7534,4817l6454,4817,6454,4954,7534,4954,7534,4817m10774,4817l9694,4817,8614,4817,8614,4954,9694,4954,10774,4954,10774,4817e" filled="true" fillcolor="#bfbfbf" stroked="false">
              <v:path arrowok="t"/>
              <v:fill type="solid"/>
            </v:shape>
            <v:shape style="position:absolute;left:10768;top:4812;width:8;height:140" type="#_x0000_t75" stroked="false">
              <v:imagedata r:id="rId1856" o:title=""/>
            </v:shape>
            <v:rect style="position:absolute;left:10773;top:4816;width:1080;height:137" filled="true" fillcolor="#bfbfbf" stroked="false">
              <v:fill type="solid"/>
            </v:rect>
            <v:shape style="position:absolute;left:5361;top:4812;width:22;height:276" type="#_x0000_t75" stroked="false">
              <v:imagedata r:id="rId1820" o:title=""/>
            </v:shape>
            <v:shape style="position:absolute;left:9681;top:4264;width:22;height:1390" type="#_x0000_t75" stroked="false">
              <v:imagedata r:id="rId1927" o:title=""/>
            </v:shape>
            <v:rect style="position:absolute;left:5373;top:4953;width:1080;height:137" filled="true" fillcolor="#bfbfbf" stroked="false">
              <v:fill type="solid"/>
            </v:rect>
            <v:shape style="position:absolute;left:6448;top:4948;width:8;height:140" type="#_x0000_t75" stroked="false">
              <v:imagedata r:id="rId1856" o:title=""/>
            </v:shape>
            <v:shape style="position:absolute;left:6453;top:4953;width:4320;height:137" coordorigin="6454,4954" coordsize="4320,137" path="m7534,4954l6454,4954,6454,5090,7534,5090,7534,4954m10774,4954l9694,4954,8614,4954,8614,5090,9694,5090,10774,5090,10774,4954e" filled="true" fillcolor="#bfbfbf" stroked="false">
              <v:path arrowok="t"/>
              <v:fill type="solid"/>
            </v:shape>
            <v:shape style="position:absolute;left:10768;top:1665;width:1095;height:5153" type="#_x0000_t75" stroked="false">
              <v:imagedata r:id="rId1928" o:title=""/>
            </v:shape>
            <v:shape style="position:absolute;left:10768;top:4948;width:8;height:140" type="#_x0000_t75" stroked="false">
              <v:imagedata r:id="rId1856" o:title=""/>
            </v:shape>
            <v:rect style="position:absolute;left:10773;top:4953;width:1080;height:137" filled="true" fillcolor="#bfbfbf" stroked="false">
              <v:fill type="solid"/>
            </v:rect>
            <v:shape style="position:absolute;left:5361;top:4948;width:22;height:276" type="#_x0000_t75" stroked="false">
              <v:imagedata r:id="rId1820" o:title=""/>
            </v:shape>
            <v:shape style="position:absolute;left:3201;top:4812;width:1095;height:560" type="#_x0000_t75" stroked="false">
              <v:imagedata r:id="rId1878" o:title=""/>
            </v:shape>
            <v:rect style="position:absolute;left:5373;top:5090;width:1080;height:137" filled="true" fillcolor="#bfbfbf" stroked="false">
              <v:fill type="solid"/>
            </v:rect>
            <v:shape style="position:absolute;left:7521;top:4812;width:22;height:696" type="#_x0000_t75" stroked="false">
              <v:imagedata r:id="rId1885" o:title=""/>
            </v:shape>
            <v:shape style="position:absolute;left:6453;top:5090;width:4320;height:137" coordorigin="6454,5090" coordsize="4320,137" path="m7534,5090l6454,5090,6454,5227,7534,5227,7534,5090m10774,5090l9694,5090,8614,5090,8614,5227,9694,5227,10774,5227,10774,5090e" filled="true" fillcolor="#bfbfbf" stroked="false">
              <v:path arrowok="t"/>
              <v:fill type="solid"/>
            </v:shape>
            <v:shape style="position:absolute;left:10768;top:5085;width:8;height:140" type="#_x0000_t75" stroked="false">
              <v:imagedata r:id="rId1856" o:title=""/>
            </v:shape>
            <v:rect style="position:absolute;left:10773;top:5090;width:1080;height:137" filled="true" fillcolor="#bfbfbf" stroked="false">
              <v:fill type="solid"/>
            </v:rect>
            <v:shape style="position:absolute;left:7521;top:4401;width:1095;height:1107" type="#_x0000_t75" stroked="false">
              <v:imagedata r:id="rId1886" o:title=""/>
            </v:shape>
            <v:rect style="position:absolute;left:3213;top:5227;width:1080;height:147" filled="true" fillcolor="#bfbfbf" stroked="false">
              <v:fill type="solid"/>
            </v:rect>
            <v:shape style="position:absolute;left:4288;top:5085;width:1095;height:286" type="#_x0000_t75" stroked="false">
              <v:imagedata r:id="rId1929" o:title=""/>
            </v:shape>
            <v:shape style="position:absolute;left:4293;top:5227;width:6481;height:147" coordorigin="4294,5227" coordsize="6481,147" path="m7534,5227l6454,5227,5374,5227,4294,5227,4294,5374,5374,5374,6454,5374,7534,5374,7534,5227m10774,5227l9694,5227,8614,5227,8614,5374,9694,5374,10774,5374,10774,5227e" filled="true" fillcolor="#bfbfbf" stroked="false">
              <v:path arrowok="t"/>
              <v:fill type="solid"/>
            </v:shape>
            <v:shape style="position:absolute;left:10768;top:5222;width:8;height:149" type="#_x0000_t75" stroked="false">
              <v:imagedata r:id="rId1930" o:title=""/>
            </v:shape>
            <v:rect style="position:absolute;left:10773;top:5227;width:1080;height:147" filled="true" fillcolor="#bfbfbf" stroked="false">
              <v:fill type="solid"/>
            </v:rect>
            <v:shape style="position:absolute;left:5361;top:5222;width:22;height:286" type="#_x0000_t75" stroked="false">
              <v:imagedata r:id="rId1880" o:title=""/>
            </v:shape>
            <v:rect style="position:absolute;left:3213;top:5373;width:7560;height:137" filled="true" fillcolor="#bfbfbf" stroked="false">
              <v:fill type="solid"/>
            </v:rect>
            <v:shape style="position:absolute;left:10768;top:5368;width:8;height:140" type="#_x0000_t75" stroked="false">
              <v:imagedata r:id="rId1856" o:title=""/>
            </v:shape>
            <v:rect style="position:absolute;left:10773;top:5373;width:1080;height:137" filled="true" fillcolor="#bfbfbf" stroked="false">
              <v:fill type="solid"/>
            </v:rect>
            <v:shape style="position:absolute;left:5361;top:5368;width:22;height:286" type="#_x0000_t75" stroked="false">
              <v:imagedata r:id="rId1880" o:title=""/>
            </v:shape>
            <v:shape style="position:absolute;left:3213;top:5510;width:4320;height:147" coordorigin="3214,5510" coordsize="4320,147" path="m7534,5510l6454,5510,5374,5510,4294,5510,3214,5510,3214,5657,4294,5657,5374,5657,6454,5657,7534,5657,7534,5510e" filled="true" fillcolor="#bfbfbf" stroked="false">
              <v:path arrowok="t"/>
              <v:fill type="solid"/>
            </v:shape>
            <v:shape style="position:absolute;left:7521;top:5505;width:22;height:149" type="#_x0000_t75" stroked="false">
              <v:imagedata r:id="rId1887" o:title=""/>
            </v:shape>
            <v:shape style="position:absolute;left:7533;top:5510;width:3240;height:147" coordorigin="7534,5510" coordsize="3240,147" path="m10774,5510l9694,5510,8614,5510,7534,5510,7534,5657,8614,5657,9694,5657,10774,5657,10774,5510e" filled="true" fillcolor="#bfbfbf" stroked="false">
              <v:path arrowok="t"/>
              <v:fill type="solid"/>
            </v:shape>
            <v:shape style="position:absolute;left:10768;top:5505;width:8;height:149" type="#_x0000_t75" stroked="false">
              <v:imagedata r:id="rId1931" o:title=""/>
            </v:shape>
            <v:rect style="position:absolute;left:10773;top:5510;width:1080;height:147" filled="true" fillcolor="#bfbfbf" stroked="false">
              <v:fill type="solid"/>
            </v:rect>
            <v:shape style="position:absolute;left:5361;top:5505;width:22;height:296" type="#_x0000_t75" stroked="false">
              <v:imagedata r:id="rId1881" o:title=""/>
            </v:shape>
            <v:shape style="position:absolute;left:7521;top:5505;width:22;height:296" type="#_x0000_t75" stroked="false">
              <v:imagedata r:id="rId1881" o:title=""/>
            </v:shape>
            <v:shape style="position:absolute;left:9681;top:5505;width:22;height:296" type="#_x0000_t75" stroked="false">
              <v:imagedata r:id="rId1881" o:title=""/>
            </v:shape>
            <v:rect style="position:absolute;left:3213;top:5656;width:7560;height:147" filled="true" fillcolor="#bfbfbf" stroked="false">
              <v:fill type="solid"/>
            </v:rect>
            <v:shape style="position:absolute;left:10768;top:5652;width:8;height:149" type="#_x0000_t75" stroked="false">
              <v:imagedata r:id="rId1931" o:title=""/>
            </v:shape>
            <v:rect style="position:absolute;left:10773;top:5656;width:1080;height:147" filled="true" fillcolor="#bfbfbf" stroked="false">
              <v:fill type="solid"/>
            </v:rect>
            <v:shape style="position:absolute;left:5361;top:5652;width:22;height:296" type="#_x0000_t75" stroked="false">
              <v:imagedata r:id="rId1881" o:title=""/>
            </v:shape>
            <v:shape style="position:absolute;left:7521;top:5652;width:22;height:296" type="#_x0000_t75" stroked="false">
              <v:imagedata r:id="rId1881" o:title=""/>
            </v:shape>
            <v:shape style="position:absolute;left:9681;top:5652;width:22;height:296" type="#_x0000_t75" stroked="false">
              <v:imagedata r:id="rId1881" o:title=""/>
            </v:shape>
            <v:rect style="position:absolute;left:3213;top:5803;width:7560;height:147" filled="true" fillcolor="#bfbfbf" stroked="false">
              <v:fill type="solid"/>
            </v:rect>
            <v:shape style="position:absolute;left:10768;top:5798;width:8;height:149" type="#_x0000_t75" stroked="false">
              <v:imagedata r:id="rId1931" o:title=""/>
            </v:shape>
            <v:rect style="position:absolute;left:10773;top:5803;width:1080;height:147" filled="true" fillcolor="#bfbfbf" stroked="false">
              <v:fill type="solid"/>
            </v:rect>
            <v:shape style="position:absolute;left:5361;top:5798;width:22;height:286" type="#_x0000_t75" stroked="false">
              <v:imagedata r:id="rId1880" o:title=""/>
            </v:shape>
            <v:shape style="position:absolute;left:7521;top:5798;width:22;height:286" type="#_x0000_t75" stroked="false">
              <v:imagedata r:id="rId1880" o:title=""/>
            </v:shape>
            <v:shape style="position:absolute;left:9681;top:5798;width:22;height:286" type="#_x0000_t75" stroked="false">
              <v:imagedata r:id="rId1880" o:title=""/>
            </v:shape>
            <v:rect style="position:absolute;left:3213;top:5949;width:7560;height:137" filled="true" fillcolor="#bfbfbf" stroked="false">
              <v:fill type="solid"/>
            </v:rect>
            <v:shape style="position:absolute;left:10768;top:5944;width:8;height:140" type="#_x0000_t75" stroked="false">
              <v:imagedata r:id="rId1856" o:title=""/>
            </v:shape>
            <v:rect style="position:absolute;left:10773;top:5949;width:1080;height:137" filled="true" fillcolor="#bfbfbf" stroked="false">
              <v:fill type="solid"/>
            </v:rect>
            <v:shape style="position:absolute;left:5361;top:5944;width:22;height:286" type="#_x0000_t75" stroked="false">
              <v:imagedata r:id="rId1880" o:title=""/>
            </v:shape>
            <v:shape style="position:absolute;left:7521;top:5944;width:22;height:286" type="#_x0000_t75" stroked="false">
              <v:imagedata r:id="rId1880" o:title=""/>
            </v:shape>
            <v:shape style="position:absolute;left:9681;top:5944;width:22;height:286" type="#_x0000_t75" stroked="false">
              <v:imagedata r:id="rId1880" o:title=""/>
            </v:shape>
            <v:rect style="position:absolute;left:3213;top:6086;width:7560;height:147" filled="true" fillcolor="#bfbfbf" stroked="false">
              <v:fill type="solid"/>
            </v:rect>
            <v:shape style="position:absolute;left:10768;top:6081;width:8;height:149" type="#_x0000_t75" stroked="false">
              <v:imagedata r:id="rId1931" o:title=""/>
            </v:shape>
            <v:rect style="position:absolute;left:10773;top:6086;width:1080;height:147" filled="true" fillcolor="#bfbfbf" stroked="false">
              <v:fill type="solid"/>
            </v:rect>
            <v:shape style="position:absolute;left:5361;top:6081;width:22;height:296" type="#_x0000_t75" stroked="false">
              <v:imagedata r:id="rId1881" o:title=""/>
            </v:shape>
            <v:shape style="position:absolute;left:7521;top:6081;width:22;height:296" type="#_x0000_t75" stroked="false">
              <v:imagedata r:id="rId1881" o:title=""/>
            </v:shape>
            <v:shape style="position:absolute;left:372;top:1802;width:9332;height:5016" type="#_x0000_t75" stroked="false">
              <v:imagedata r:id="rId1932" o:title=""/>
            </v:shape>
            <v:rect style="position:absolute;left:3213;top:6232;width:1080;height:147" filled="true" fillcolor="#bfbfbf" stroked="false">
              <v:fill type="solid"/>
            </v:rect>
            <v:shape style="position:absolute;left:9681;top:6081;width:22;height:296" type="#_x0000_t75" stroked="false">
              <v:imagedata r:id="rId1881" o:title=""/>
            </v:shape>
            <v:rect style="position:absolute;left:4293;top:6232;width:6481;height:147" filled="true" fillcolor="#bfbfbf" stroked="false">
              <v:fill type="solid"/>
            </v:rect>
            <v:shape style="position:absolute;left:10768;top:6228;width:8;height:149" type="#_x0000_t75" stroked="false">
              <v:imagedata r:id="rId1930" o:title=""/>
            </v:shape>
            <v:rect style="position:absolute;left:10773;top:6232;width:1080;height:147" filled="true" fillcolor="#bfbfbf" stroked="false">
              <v:fill type="solid"/>
            </v:rect>
            <v:shape style="position:absolute;left:5361;top:6228;width:22;height:296" type="#_x0000_t75" stroked="false">
              <v:imagedata r:id="rId1881" o:title=""/>
            </v:shape>
            <v:shape style="position:absolute;left:7521;top:6228;width:22;height:296" type="#_x0000_t75" stroked="false">
              <v:imagedata r:id="rId1881" o:title=""/>
            </v:shape>
            <v:shape style="position:absolute;left:9681;top:6228;width:22;height:296" type="#_x0000_t75" stroked="false">
              <v:imagedata r:id="rId1881" o:title=""/>
            </v:shape>
            <v:rect style="position:absolute;left:3213;top:6379;width:7560;height:147" filled="true" fillcolor="#bfbfbf" stroked="false">
              <v:fill type="solid"/>
            </v:rect>
            <v:shape style="position:absolute;left:10768;top:6374;width:8;height:149" type="#_x0000_t75" stroked="false">
              <v:imagedata r:id="rId1931" o:title=""/>
            </v:shape>
            <v:rect style="position:absolute;left:10773;top:6379;width:1080;height:147" filled="true" fillcolor="#bfbfbf" stroked="false">
              <v:fill type="solid"/>
            </v:rect>
            <v:shape style="position:absolute;left:5361;top:6374;width:22;height:296" type="#_x0000_t75" stroked="false">
              <v:imagedata r:id="rId1881" o:title=""/>
            </v:shape>
            <v:shape style="position:absolute;left:7521;top:6374;width:22;height:296" type="#_x0000_t75" stroked="false">
              <v:imagedata r:id="rId1881" o:title=""/>
            </v:shape>
            <v:shape style="position:absolute;left:9681;top:6374;width:22;height:296" type="#_x0000_t75" stroked="false">
              <v:imagedata r:id="rId1881" o:title=""/>
            </v:shape>
            <v:rect style="position:absolute;left:3213;top:6525;width:7560;height:147" filled="true" fillcolor="#bfbfbf" stroked="false">
              <v:fill type="solid"/>
            </v:rect>
            <v:shape style="position:absolute;left:10768;top:6520;width:8;height:149" type="#_x0000_t75" stroked="false">
              <v:imagedata r:id="rId1931" o:title=""/>
            </v:shape>
            <v:rect style="position:absolute;left:10773;top:6525;width:1080;height:147" filled="true" fillcolor="#bfbfbf" stroked="false">
              <v:fill type="solid"/>
            </v:rect>
            <v:shape style="position:absolute;left:9681;top:6660;width:1095;height:159" type="#_x0000_t75" stroked="false">
              <v:imagedata r:id="rId1933" o:title=""/>
            </v:shape>
            <v:rect style="position:absolute;left:10773;top:6672;width:1080;height:137" filled="true" fillcolor="#bfbfbf" stroked="false">
              <v:fill type="solid"/>
            </v:rect>
            <v:shape style="position:absolute;left:3696;top:1251;width:1217;height:121" type="#_x0000_t202" filled="false" stroked="false">
              <v:textbox inset="0,0,0,0">
                <w:txbxContent>
                  <w:p>
                    <w:pPr>
                      <w:spacing w:before="3"/>
                      <w:ind w:left="0" w:right="0" w:firstLine="0"/>
                      <w:jc w:val="left"/>
                      <w:rPr>
                        <w:b/>
                        <w:sz w:val="10"/>
                      </w:rPr>
                    </w:pPr>
                    <w:r>
                      <w:rPr>
                        <w:b/>
                        <w:w w:val="110"/>
                        <w:sz w:val="10"/>
                      </w:rPr>
                      <w:t>Direct</w:t>
                    </w:r>
                    <w:r>
                      <w:rPr>
                        <w:b/>
                        <w:spacing w:val="-9"/>
                        <w:w w:val="110"/>
                        <w:sz w:val="10"/>
                      </w:rPr>
                      <w:t> </w:t>
                    </w:r>
                    <w:r>
                      <w:rPr>
                        <w:b/>
                        <w:w w:val="110"/>
                        <w:sz w:val="10"/>
                      </w:rPr>
                      <w:t>Costs</w:t>
                    </w:r>
                    <w:r>
                      <w:rPr>
                        <w:b/>
                        <w:spacing w:val="-10"/>
                        <w:w w:val="110"/>
                        <w:sz w:val="10"/>
                      </w:rPr>
                      <w:t> </w:t>
                    </w:r>
                    <w:r>
                      <w:rPr>
                        <w:b/>
                        <w:w w:val="110"/>
                        <w:sz w:val="10"/>
                      </w:rPr>
                      <w:t>-</w:t>
                    </w:r>
                    <w:r>
                      <w:rPr>
                        <w:b/>
                        <w:spacing w:val="-8"/>
                        <w:w w:val="110"/>
                        <w:sz w:val="10"/>
                      </w:rPr>
                      <w:t> </w:t>
                    </w:r>
                    <w:r>
                      <w:rPr>
                        <w:b/>
                        <w:w w:val="110"/>
                        <w:sz w:val="10"/>
                      </w:rPr>
                      <w:t>Interfund</w:t>
                    </w:r>
                  </w:p>
                </w:txbxContent>
              </v:textbox>
              <w10:wrap type="none"/>
            </v:shape>
            <v:shape style="position:absolute;left:5815;top:1251;width:1298;height:121" type="#_x0000_t202" filled="false" stroked="false">
              <v:textbox inset="0,0,0,0">
                <w:txbxContent>
                  <w:p>
                    <w:pPr>
                      <w:spacing w:before="3"/>
                      <w:ind w:left="0" w:right="0" w:firstLine="0"/>
                      <w:jc w:val="left"/>
                      <w:rPr>
                        <w:b/>
                        <w:sz w:val="10"/>
                      </w:rPr>
                    </w:pPr>
                    <w:r>
                      <w:rPr>
                        <w:b/>
                        <w:w w:val="110"/>
                        <w:sz w:val="10"/>
                      </w:rPr>
                      <w:t>Indirect</w:t>
                    </w:r>
                    <w:r>
                      <w:rPr>
                        <w:b/>
                        <w:spacing w:val="-10"/>
                        <w:w w:val="110"/>
                        <w:sz w:val="10"/>
                      </w:rPr>
                      <w:t> </w:t>
                    </w:r>
                    <w:r>
                      <w:rPr>
                        <w:b/>
                        <w:w w:val="110"/>
                        <w:sz w:val="10"/>
                      </w:rPr>
                      <w:t>Costs</w:t>
                    </w:r>
                    <w:r>
                      <w:rPr>
                        <w:b/>
                        <w:spacing w:val="-10"/>
                        <w:w w:val="110"/>
                        <w:sz w:val="10"/>
                      </w:rPr>
                      <w:t> </w:t>
                    </w:r>
                    <w:r>
                      <w:rPr>
                        <w:b/>
                        <w:w w:val="110"/>
                        <w:sz w:val="10"/>
                      </w:rPr>
                      <w:t>-</w:t>
                    </w:r>
                    <w:r>
                      <w:rPr>
                        <w:b/>
                        <w:spacing w:val="-10"/>
                        <w:w w:val="110"/>
                        <w:sz w:val="10"/>
                      </w:rPr>
                      <w:t> </w:t>
                    </w:r>
                    <w:r>
                      <w:rPr>
                        <w:b/>
                        <w:w w:val="110"/>
                        <w:sz w:val="10"/>
                      </w:rPr>
                      <w:t>Interfund</w:t>
                    </w:r>
                  </w:p>
                </w:txbxContent>
              </v:textbox>
              <w10:wrap type="none"/>
            </v:shape>
            <v:shape style="position:absolute;left:7843;top:1251;width:484;height:121" type="#_x0000_t202" filled="false" stroked="false">
              <v:textbox inset="0,0,0,0">
                <w:txbxContent>
                  <w:p>
                    <w:pPr>
                      <w:spacing w:before="3"/>
                      <w:ind w:left="0" w:right="0" w:firstLine="0"/>
                      <w:jc w:val="left"/>
                      <w:rPr>
                        <w:b/>
                        <w:sz w:val="10"/>
                      </w:rPr>
                    </w:pPr>
                    <w:r>
                      <w:rPr>
                        <w:b/>
                        <w:w w:val="105"/>
                        <w:sz w:val="10"/>
                      </w:rPr>
                      <w:t>Interfund</w:t>
                    </w:r>
                  </w:p>
                </w:txbxContent>
              </v:textbox>
              <w10:wrap type="none"/>
            </v:shape>
            <v:shape style="position:absolute;left:8923;top:1251;width:484;height:121" type="#_x0000_t202" filled="false" stroked="false">
              <v:textbox inset="0,0,0,0">
                <w:txbxContent>
                  <w:p>
                    <w:pPr>
                      <w:spacing w:before="3"/>
                      <w:ind w:left="0" w:right="0" w:firstLine="0"/>
                      <w:jc w:val="left"/>
                      <w:rPr>
                        <w:b/>
                        <w:sz w:val="10"/>
                      </w:rPr>
                    </w:pPr>
                    <w:r>
                      <w:rPr>
                        <w:b/>
                        <w:w w:val="105"/>
                        <w:sz w:val="10"/>
                      </w:rPr>
                      <w:t>Interfund</w:t>
                    </w:r>
                  </w:p>
                </w:txbxContent>
              </v:textbox>
              <w10:wrap type="none"/>
            </v:shape>
            <v:shape style="position:absolute;left:9984;top:1251;width:522;height:121" type="#_x0000_t202" filled="false" stroked="false">
              <v:textbox inset="0,0,0,0">
                <w:txbxContent>
                  <w:p>
                    <w:pPr>
                      <w:spacing w:before="3"/>
                      <w:ind w:left="0" w:right="0" w:firstLine="0"/>
                      <w:jc w:val="left"/>
                      <w:rPr>
                        <w:b/>
                        <w:sz w:val="10"/>
                      </w:rPr>
                    </w:pPr>
                    <w:r>
                      <w:rPr>
                        <w:b/>
                        <w:w w:val="110"/>
                        <w:sz w:val="10"/>
                      </w:rPr>
                      <w:t>Due From</w:t>
                    </w:r>
                  </w:p>
                </w:txbxContent>
              </v:textbox>
              <w10:wrap type="none"/>
            </v:shape>
            <v:shape style="position:absolute;left:11131;top:1251;width:389;height:121" type="#_x0000_t202" filled="false" stroked="false">
              <v:textbox inset="0,0,0,0">
                <w:txbxContent>
                  <w:p>
                    <w:pPr>
                      <w:spacing w:before="3"/>
                      <w:ind w:left="0" w:right="0" w:firstLine="0"/>
                      <w:jc w:val="left"/>
                      <w:rPr>
                        <w:b/>
                        <w:sz w:val="10"/>
                      </w:rPr>
                    </w:pPr>
                    <w:r>
                      <w:rPr>
                        <w:b/>
                        <w:w w:val="110"/>
                        <w:sz w:val="10"/>
                      </w:rPr>
                      <w:t>Due To</w:t>
                    </w:r>
                  </w:p>
                </w:txbxContent>
              </v:textbox>
              <w10:wrap type="none"/>
            </v:shape>
            <v:shape style="position:absolute;left:408;top:4419;width:2681;height:2387" type="#_x0000_t202" filled="false" stroked="false">
              <v:textbox inset="0,0,0,0">
                <w:txbxContent>
                  <w:p>
                    <w:pPr>
                      <w:spacing w:line="285" w:lineRule="auto" w:before="3"/>
                      <w:ind w:left="218" w:right="1201" w:hanging="219"/>
                      <w:jc w:val="left"/>
                      <w:rPr>
                        <w:sz w:val="10"/>
                      </w:rPr>
                    </w:pPr>
                    <w:r>
                      <w:rPr>
                        <w:w w:val="110"/>
                        <w:sz w:val="10"/>
                      </w:rPr>
                      <w:t>71 RETIREE BENEFIT FUND Expenditure Detail</w:t>
                    </w:r>
                  </w:p>
                  <w:p>
                    <w:pPr>
                      <w:spacing w:line="285" w:lineRule="auto" w:before="0"/>
                      <w:ind w:left="218" w:right="930" w:firstLine="0"/>
                      <w:jc w:val="left"/>
                      <w:rPr>
                        <w:sz w:val="10"/>
                      </w:rPr>
                    </w:pPr>
                    <w:r>
                      <w:rPr>
                        <w:w w:val="110"/>
                        <w:sz w:val="10"/>
                      </w:rPr>
                      <w:t>Other Sources/Uses Detail Fund Reconciliation</w:t>
                    </w:r>
                  </w:p>
                  <w:p>
                    <w:pPr>
                      <w:spacing w:line="285" w:lineRule="auto" w:before="0"/>
                      <w:ind w:left="218" w:right="6" w:hanging="219"/>
                      <w:jc w:val="left"/>
                      <w:rPr>
                        <w:sz w:val="10"/>
                      </w:rPr>
                    </w:pPr>
                    <w:r>
                      <w:rPr>
                        <w:w w:val="110"/>
                        <w:sz w:val="10"/>
                      </w:rPr>
                      <w:t>73</w:t>
                    </w:r>
                    <w:r>
                      <w:rPr>
                        <w:spacing w:val="4"/>
                        <w:w w:val="110"/>
                        <w:sz w:val="10"/>
                      </w:rPr>
                      <w:t> </w:t>
                    </w:r>
                    <w:r>
                      <w:rPr>
                        <w:w w:val="110"/>
                        <w:sz w:val="10"/>
                      </w:rPr>
                      <w:t>FOUNDATION</w:t>
                    </w:r>
                    <w:r>
                      <w:rPr>
                        <w:spacing w:val="-13"/>
                        <w:w w:val="110"/>
                        <w:sz w:val="10"/>
                      </w:rPr>
                      <w:t> </w:t>
                    </w:r>
                    <w:r>
                      <w:rPr>
                        <w:w w:val="110"/>
                        <w:sz w:val="10"/>
                      </w:rPr>
                      <w:t>PRIVATE-PURPOSE</w:t>
                    </w:r>
                    <w:r>
                      <w:rPr>
                        <w:spacing w:val="-13"/>
                        <w:w w:val="110"/>
                        <w:sz w:val="10"/>
                      </w:rPr>
                      <w:t> </w:t>
                    </w:r>
                    <w:r>
                      <w:rPr>
                        <w:w w:val="110"/>
                        <w:sz w:val="10"/>
                      </w:rPr>
                      <w:t>TRUST</w:t>
                    </w:r>
                    <w:r>
                      <w:rPr>
                        <w:spacing w:val="-12"/>
                        <w:w w:val="110"/>
                        <w:sz w:val="10"/>
                      </w:rPr>
                      <w:t> </w:t>
                    </w:r>
                    <w:r>
                      <w:rPr>
                        <w:w w:val="110"/>
                        <w:sz w:val="10"/>
                      </w:rPr>
                      <w:t>FUND Expenditure</w:t>
                    </w:r>
                    <w:r>
                      <w:rPr>
                        <w:spacing w:val="-1"/>
                        <w:w w:val="110"/>
                        <w:sz w:val="10"/>
                      </w:rPr>
                      <w:t> </w:t>
                    </w:r>
                    <w:r>
                      <w:rPr>
                        <w:w w:val="110"/>
                        <w:sz w:val="10"/>
                      </w:rPr>
                      <w:t>Detail</w:t>
                    </w:r>
                  </w:p>
                  <w:p>
                    <w:pPr>
                      <w:spacing w:line="285" w:lineRule="auto" w:before="10"/>
                      <w:ind w:left="218" w:right="930" w:firstLine="0"/>
                      <w:jc w:val="left"/>
                      <w:rPr>
                        <w:sz w:val="10"/>
                      </w:rPr>
                    </w:pPr>
                    <w:r>
                      <w:rPr>
                        <w:w w:val="110"/>
                        <w:sz w:val="10"/>
                      </w:rPr>
                      <w:t>Other Sources/Uses Detail Fund Reconciliation</w:t>
                    </w:r>
                  </w:p>
                  <w:p>
                    <w:pPr>
                      <w:spacing w:line="304" w:lineRule="auto" w:before="9"/>
                      <w:ind w:left="218" w:right="153" w:hanging="219"/>
                      <w:jc w:val="left"/>
                      <w:rPr>
                        <w:sz w:val="10"/>
                      </w:rPr>
                    </w:pPr>
                    <w:r>
                      <w:rPr>
                        <w:w w:val="110"/>
                        <w:sz w:val="10"/>
                      </w:rPr>
                      <w:t>76 WARRANT/PASS-THROUGH FUND Expenditure Detail</w:t>
                    </w:r>
                  </w:p>
                  <w:p>
                    <w:pPr>
                      <w:spacing w:line="285" w:lineRule="auto" w:before="1"/>
                      <w:ind w:left="218" w:right="930" w:firstLine="0"/>
                      <w:jc w:val="left"/>
                      <w:rPr>
                        <w:sz w:val="10"/>
                      </w:rPr>
                    </w:pPr>
                    <w:r>
                      <w:rPr>
                        <w:w w:val="110"/>
                        <w:sz w:val="10"/>
                      </w:rPr>
                      <w:t>Other Sources/Uses Detail Fund Reconciliation</w:t>
                    </w:r>
                  </w:p>
                  <w:p>
                    <w:pPr>
                      <w:spacing w:line="304" w:lineRule="auto" w:before="10"/>
                      <w:ind w:left="218" w:right="1311" w:hanging="219"/>
                      <w:jc w:val="left"/>
                      <w:rPr>
                        <w:sz w:val="10"/>
                      </w:rPr>
                    </w:pPr>
                    <w:r>
                      <w:rPr>
                        <w:w w:val="110"/>
                        <w:sz w:val="10"/>
                      </w:rPr>
                      <w:t>95 STUDENT BODY FUND Expenditure Detail</w:t>
                    </w:r>
                  </w:p>
                  <w:p>
                    <w:pPr>
                      <w:spacing w:line="304" w:lineRule="auto" w:before="0"/>
                      <w:ind w:left="218" w:right="930" w:firstLine="0"/>
                      <w:jc w:val="left"/>
                      <w:rPr>
                        <w:sz w:val="10"/>
                      </w:rPr>
                    </w:pPr>
                    <w:r>
                      <w:rPr>
                        <w:w w:val="110"/>
                        <w:sz w:val="10"/>
                      </w:rPr>
                      <w:t>Other Sources/Uses Detail Fund Reconciliation</w:t>
                    </w:r>
                  </w:p>
                  <w:p>
                    <w:pPr>
                      <w:spacing w:line="106" w:lineRule="exact" w:before="0"/>
                      <w:ind w:left="405" w:right="0" w:firstLine="0"/>
                      <w:jc w:val="left"/>
                      <w:rPr>
                        <w:sz w:val="10"/>
                      </w:rPr>
                    </w:pPr>
                    <w:r>
                      <w:rPr>
                        <w:w w:val="110"/>
                        <w:sz w:val="10"/>
                      </w:rPr>
                      <w:t>TOTALS</w:t>
                    </w:r>
                  </w:p>
                </w:txbxContent>
              </v:textbox>
              <w10:wrap type="none"/>
            </v:shape>
            <v:shape style="position:absolute;left:8340;top:4692;width:232;height:121" type="#_x0000_t202" filled="false" stroked="false">
              <v:textbox inset="0,0,0,0">
                <w:txbxContent>
                  <w:p>
                    <w:pPr>
                      <w:spacing w:before="3"/>
                      <w:ind w:left="0" w:right="0" w:firstLine="0"/>
                      <w:jc w:val="left"/>
                      <w:rPr>
                        <w:sz w:val="10"/>
                      </w:rPr>
                    </w:pPr>
                    <w:r>
                      <w:rPr>
                        <w:w w:val="110"/>
                        <w:sz w:val="10"/>
                      </w:rPr>
                      <w:t>0.00</w:t>
                    </w:r>
                  </w:p>
                </w:txbxContent>
              </v:textbox>
              <w10:wrap type="none"/>
            </v:shape>
            <v:shape style="position:absolute;left:4020;top:5103;width:232;height:121" type="#_x0000_t202" filled="false" stroked="false">
              <v:textbox inset="0,0,0,0">
                <w:txbxContent>
                  <w:p>
                    <w:pPr>
                      <w:spacing w:before="3"/>
                      <w:ind w:left="0" w:right="0" w:firstLine="0"/>
                      <w:jc w:val="left"/>
                      <w:rPr>
                        <w:sz w:val="10"/>
                      </w:rPr>
                    </w:pPr>
                    <w:r>
                      <w:rPr>
                        <w:w w:val="110"/>
                        <w:sz w:val="10"/>
                      </w:rPr>
                      <w:t>0.00</w:t>
                    </w:r>
                  </w:p>
                </w:txbxContent>
              </v:textbox>
              <w10:wrap type="none"/>
            </v:shape>
            <v:shape style="position:absolute;left:5100;top:5103;width:232;height:121" type="#_x0000_t202" filled="false" stroked="false">
              <v:textbox inset="0,0,0,0">
                <w:txbxContent>
                  <w:p>
                    <w:pPr>
                      <w:spacing w:before="3"/>
                      <w:ind w:left="0" w:right="0" w:firstLine="0"/>
                      <w:jc w:val="left"/>
                      <w:rPr>
                        <w:sz w:val="10"/>
                      </w:rPr>
                    </w:pPr>
                    <w:r>
                      <w:rPr>
                        <w:w w:val="110"/>
                        <w:sz w:val="10"/>
                      </w:rPr>
                      <w:t>0.00</w:t>
                    </w:r>
                  </w:p>
                </w:txbxContent>
              </v:textbox>
              <w10:wrap type="none"/>
            </v:shape>
            <v:shape style="position:absolute;left:8340;top:5249;width:232;height:121" type="#_x0000_t202" filled="false" stroked="false">
              <v:textbox inset="0,0,0,0">
                <w:txbxContent>
                  <w:p>
                    <w:pPr>
                      <w:spacing w:before="3"/>
                      <w:ind w:left="0" w:right="0" w:firstLine="0"/>
                      <w:jc w:val="left"/>
                      <w:rPr>
                        <w:sz w:val="10"/>
                      </w:rPr>
                    </w:pPr>
                    <w:r>
                      <w:rPr>
                        <w:w w:val="110"/>
                        <w:sz w:val="10"/>
                      </w:rPr>
                      <w:t>0.00</w:t>
                    </w:r>
                  </w:p>
                </w:txbxContent>
              </v:textbox>
              <w10:wrap type="none"/>
            </v:shape>
            <v:shape style="position:absolute;left:4020;top:6684;width:232;height:121" type="#_x0000_t202" filled="false" stroked="false">
              <v:textbox inset="0,0,0,0">
                <w:txbxContent>
                  <w:p>
                    <w:pPr>
                      <w:spacing w:before="3"/>
                      <w:ind w:left="0" w:right="0" w:firstLine="0"/>
                      <w:jc w:val="left"/>
                      <w:rPr>
                        <w:sz w:val="10"/>
                      </w:rPr>
                    </w:pPr>
                    <w:r>
                      <w:rPr>
                        <w:w w:val="110"/>
                        <w:sz w:val="10"/>
                      </w:rPr>
                      <w:t>0.00</w:t>
                    </w:r>
                  </w:p>
                </w:txbxContent>
              </v:textbox>
              <w10:wrap type="none"/>
            </v:shape>
            <v:shape style="position:absolute;left:5100;top:6684;width:232;height:121" type="#_x0000_t202" filled="false" stroked="false">
              <v:textbox inset="0,0,0,0">
                <w:txbxContent>
                  <w:p>
                    <w:pPr>
                      <w:spacing w:before="3"/>
                      <w:ind w:left="0" w:right="0" w:firstLine="0"/>
                      <w:jc w:val="left"/>
                      <w:rPr>
                        <w:sz w:val="10"/>
                      </w:rPr>
                    </w:pPr>
                    <w:r>
                      <w:rPr>
                        <w:w w:val="110"/>
                        <w:sz w:val="10"/>
                      </w:rPr>
                      <w:t>0.00</w:t>
                    </w:r>
                  </w:p>
                </w:txbxContent>
              </v:textbox>
              <w10:wrap type="none"/>
            </v:shape>
            <v:shape style="position:absolute;left:6180;top:6684;width:232;height:121" type="#_x0000_t202" filled="false" stroked="false">
              <v:textbox inset="0,0,0,0">
                <w:txbxContent>
                  <w:p>
                    <w:pPr>
                      <w:spacing w:before="3"/>
                      <w:ind w:left="0" w:right="0" w:firstLine="0"/>
                      <w:jc w:val="left"/>
                      <w:rPr>
                        <w:sz w:val="10"/>
                      </w:rPr>
                    </w:pPr>
                    <w:r>
                      <w:rPr>
                        <w:w w:val="110"/>
                        <w:sz w:val="10"/>
                      </w:rPr>
                      <w:t>0.00</w:t>
                    </w:r>
                  </w:p>
                </w:txbxContent>
              </v:textbox>
              <w10:wrap type="none"/>
            </v:shape>
            <v:shape style="position:absolute;left:7260;top:6684;width:232;height:121" type="#_x0000_t202" filled="false" stroked="false">
              <v:textbox inset="0,0,0,0">
                <w:txbxContent>
                  <w:p>
                    <w:pPr>
                      <w:spacing w:before="3"/>
                      <w:ind w:left="0" w:right="0" w:firstLine="0"/>
                      <w:jc w:val="left"/>
                      <w:rPr>
                        <w:sz w:val="10"/>
                      </w:rPr>
                    </w:pPr>
                    <w:r>
                      <w:rPr>
                        <w:w w:val="110"/>
                        <w:sz w:val="10"/>
                      </w:rPr>
                      <w:t>0.00</w:t>
                    </w:r>
                  </w:p>
                </w:txbxContent>
              </v:textbox>
              <w10:wrap type="none"/>
            </v:shape>
            <v:shape style="position:absolute;left:8340;top:6684;width:232;height:121" type="#_x0000_t202" filled="false" stroked="false">
              <v:textbox inset="0,0,0,0">
                <w:txbxContent>
                  <w:p>
                    <w:pPr>
                      <w:spacing w:before="3"/>
                      <w:ind w:left="0" w:right="0" w:firstLine="0"/>
                      <w:jc w:val="left"/>
                      <w:rPr>
                        <w:sz w:val="10"/>
                      </w:rPr>
                    </w:pPr>
                    <w:r>
                      <w:rPr>
                        <w:w w:val="110"/>
                        <w:sz w:val="10"/>
                      </w:rPr>
                      <w:t>0.00</w:t>
                    </w:r>
                  </w:p>
                </w:txbxContent>
              </v:textbox>
              <w10:wrap type="none"/>
            </v:shape>
            <v:shape style="position:absolute;left:9420;top:6684;width:232;height:121" type="#_x0000_t202" filled="false" stroked="false">
              <v:textbox inset="0,0,0,0">
                <w:txbxContent>
                  <w:p>
                    <w:pPr>
                      <w:spacing w:before="3"/>
                      <w:ind w:left="0" w:right="0" w:firstLine="0"/>
                      <w:jc w:val="left"/>
                      <w:rPr>
                        <w:sz w:val="10"/>
                      </w:rPr>
                    </w:pPr>
                    <w:r>
                      <w:rPr>
                        <w:w w:val="110"/>
                        <w:sz w:val="10"/>
                      </w:rPr>
                      <w:t>0.00</w:t>
                    </w:r>
                  </w:p>
                </w:txbxContent>
              </v:textbox>
              <w10:wrap type="none"/>
            </v:shape>
            <w10:wrap type="none"/>
          </v:group>
        </w:pict>
      </w:r>
    </w:p>
    <w:p>
      <w:pPr>
        <w:pStyle w:val="BodyText"/>
        <w:spacing w:before="1"/>
        <w:rPr>
          <w:sz w:val="11"/>
        </w:rPr>
      </w:pPr>
    </w:p>
    <w:tbl>
      <w:tblPr>
        <w:tblW w:w="0" w:type="auto"/>
        <w:jc w:val="left"/>
        <w:tblInd w:w="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33"/>
        <w:gridCol w:w="1143"/>
        <w:gridCol w:w="1103"/>
        <w:gridCol w:w="1057"/>
        <w:gridCol w:w="1103"/>
        <w:gridCol w:w="1057"/>
        <w:gridCol w:w="982"/>
        <w:gridCol w:w="1120"/>
        <w:gridCol w:w="886"/>
      </w:tblGrid>
      <w:tr>
        <w:trPr>
          <w:trHeight w:val="123" w:hRule="atLeast"/>
        </w:trPr>
        <w:tc>
          <w:tcPr>
            <w:tcW w:w="2833" w:type="dxa"/>
          </w:tcPr>
          <w:p>
            <w:pPr>
              <w:pStyle w:val="TableParagraph"/>
              <w:rPr>
                <w:rFonts w:ascii="Times New Roman"/>
                <w:sz w:val="6"/>
              </w:rPr>
            </w:pPr>
          </w:p>
        </w:tc>
        <w:tc>
          <w:tcPr>
            <w:tcW w:w="1143" w:type="dxa"/>
          </w:tcPr>
          <w:p>
            <w:pPr>
              <w:pStyle w:val="TableParagraph"/>
              <w:spacing w:line="100" w:lineRule="exact" w:before="3"/>
              <w:ind w:left="232"/>
              <w:rPr>
                <w:b/>
                <w:sz w:val="10"/>
              </w:rPr>
            </w:pPr>
            <w:r>
              <w:rPr>
                <w:b/>
                <w:w w:val="110"/>
                <w:sz w:val="10"/>
              </w:rPr>
              <w:t>Transfers In</w:t>
            </w:r>
          </w:p>
        </w:tc>
        <w:tc>
          <w:tcPr>
            <w:tcW w:w="1103" w:type="dxa"/>
          </w:tcPr>
          <w:p>
            <w:pPr>
              <w:pStyle w:val="TableParagraph"/>
              <w:spacing w:line="100" w:lineRule="exact" w:before="3"/>
              <w:ind w:left="123"/>
              <w:rPr>
                <w:b/>
                <w:sz w:val="10"/>
              </w:rPr>
            </w:pPr>
            <w:r>
              <w:rPr>
                <w:b/>
                <w:w w:val="110"/>
                <w:sz w:val="10"/>
              </w:rPr>
              <w:t>Transfers Out</w:t>
            </w:r>
          </w:p>
        </w:tc>
        <w:tc>
          <w:tcPr>
            <w:tcW w:w="1057" w:type="dxa"/>
          </w:tcPr>
          <w:p>
            <w:pPr>
              <w:pStyle w:val="TableParagraph"/>
              <w:spacing w:line="100" w:lineRule="exact" w:before="3"/>
              <w:ind w:left="146"/>
              <w:rPr>
                <w:b/>
                <w:sz w:val="10"/>
              </w:rPr>
            </w:pPr>
            <w:r>
              <w:rPr>
                <w:b/>
                <w:w w:val="110"/>
                <w:sz w:val="10"/>
              </w:rPr>
              <w:t>Transfers In</w:t>
            </w:r>
          </w:p>
        </w:tc>
        <w:tc>
          <w:tcPr>
            <w:tcW w:w="1103" w:type="dxa"/>
          </w:tcPr>
          <w:p>
            <w:pPr>
              <w:pStyle w:val="TableParagraph"/>
              <w:spacing w:line="100" w:lineRule="exact" w:before="3"/>
              <w:ind w:left="123"/>
              <w:rPr>
                <w:b/>
                <w:sz w:val="10"/>
              </w:rPr>
            </w:pPr>
            <w:r>
              <w:rPr>
                <w:b/>
                <w:w w:val="110"/>
                <w:sz w:val="10"/>
              </w:rPr>
              <w:t>Transfers Out</w:t>
            </w:r>
          </w:p>
        </w:tc>
        <w:tc>
          <w:tcPr>
            <w:tcW w:w="1057" w:type="dxa"/>
          </w:tcPr>
          <w:p>
            <w:pPr>
              <w:pStyle w:val="TableParagraph"/>
              <w:spacing w:line="100" w:lineRule="exact" w:before="3"/>
              <w:ind w:left="146"/>
              <w:rPr>
                <w:b/>
                <w:sz w:val="10"/>
              </w:rPr>
            </w:pPr>
            <w:r>
              <w:rPr>
                <w:b/>
                <w:w w:val="110"/>
                <w:sz w:val="10"/>
              </w:rPr>
              <w:t>Transfers In</w:t>
            </w:r>
          </w:p>
        </w:tc>
        <w:tc>
          <w:tcPr>
            <w:tcW w:w="982" w:type="dxa"/>
          </w:tcPr>
          <w:p>
            <w:pPr>
              <w:pStyle w:val="TableParagraph"/>
              <w:spacing w:line="100" w:lineRule="exact" w:before="3"/>
              <w:ind w:left="123"/>
              <w:rPr>
                <w:b/>
                <w:sz w:val="10"/>
              </w:rPr>
            </w:pPr>
            <w:r>
              <w:rPr>
                <w:b/>
                <w:w w:val="110"/>
                <w:sz w:val="10"/>
              </w:rPr>
              <w:t>Transfers Out</w:t>
            </w:r>
          </w:p>
        </w:tc>
        <w:tc>
          <w:tcPr>
            <w:tcW w:w="1120" w:type="dxa"/>
          </w:tcPr>
          <w:p>
            <w:pPr>
              <w:pStyle w:val="TableParagraph"/>
              <w:spacing w:line="100" w:lineRule="exact" w:before="3"/>
              <w:ind w:left="232" w:right="194"/>
              <w:jc w:val="center"/>
              <w:rPr>
                <w:b/>
                <w:sz w:val="10"/>
              </w:rPr>
            </w:pPr>
            <w:r>
              <w:rPr>
                <w:b/>
                <w:w w:val="110"/>
                <w:sz w:val="10"/>
              </w:rPr>
              <w:t>Other Funds</w:t>
            </w:r>
          </w:p>
        </w:tc>
        <w:tc>
          <w:tcPr>
            <w:tcW w:w="886" w:type="dxa"/>
          </w:tcPr>
          <w:p>
            <w:pPr>
              <w:pStyle w:val="TableParagraph"/>
              <w:spacing w:line="100" w:lineRule="exact" w:before="3"/>
              <w:ind w:left="192"/>
              <w:jc w:val="center"/>
              <w:rPr>
                <w:b/>
                <w:sz w:val="10"/>
              </w:rPr>
            </w:pPr>
            <w:r>
              <w:rPr>
                <w:b/>
                <w:w w:val="110"/>
                <w:sz w:val="10"/>
              </w:rPr>
              <w:t>Other Funds</w:t>
            </w:r>
          </w:p>
        </w:tc>
      </w:tr>
      <w:tr>
        <w:trPr>
          <w:trHeight w:val="165" w:hRule="atLeast"/>
        </w:trPr>
        <w:tc>
          <w:tcPr>
            <w:tcW w:w="2833" w:type="dxa"/>
          </w:tcPr>
          <w:p>
            <w:pPr>
              <w:pStyle w:val="TableParagraph"/>
              <w:spacing w:line="124" w:lineRule="exact" w:before="22"/>
              <w:ind w:left="26"/>
              <w:rPr>
                <w:b/>
                <w:sz w:val="12"/>
              </w:rPr>
            </w:pPr>
            <w:r>
              <w:rPr>
                <w:b/>
                <w:sz w:val="12"/>
              </w:rPr>
              <w:t>Description</w:t>
            </w:r>
          </w:p>
        </w:tc>
        <w:tc>
          <w:tcPr>
            <w:tcW w:w="1143" w:type="dxa"/>
          </w:tcPr>
          <w:p>
            <w:pPr>
              <w:pStyle w:val="TableParagraph"/>
              <w:spacing w:before="7"/>
              <w:ind w:left="402" w:right="454"/>
              <w:jc w:val="center"/>
              <w:rPr>
                <w:b/>
                <w:sz w:val="10"/>
              </w:rPr>
            </w:pPr>
            <w:r>
              <w:rPr>
                <w:b/>
                <w:w w:val="110"/>
                <w:sz w:val="10"/>
              </w:rPr>
              <w:t>5750</w:t>
            </w:r>
          </w:p>
        </w:tc>
        <w:tc>
          <w:tcPr>
            <w:tcW w:w="1103" w:type="dxa"/>
          </w:tcPr>
          <w:p>
            <w:pPr>
              <w:pStyle w:val="TableParagraph"/>
              <w:spacing w:before="7"/>
              <w:ind w:left="361"/>
              <w:rPr>
                <w:b/>
                <w:sz w:val="10"/>
              </w:rPr>
            </w:pPr>
            <w:r>
              <w:rPr>
                <w:b/>
                <w:w w:val="110"/>
                <w:sz w:val="10"/>
              </w:rPr>
              <w:t>5750</w:t>
            </w:r>
          </w:p>
        </w:tc>
        <w:tc>
          <w:tcPr>
            <w:tcW w:w="1057" w:type="dxa"/>
          </w:tcPr>
          <w:p>
            <w:pPr>
              <w:pStyle w:val="TableParagraph"/>
              <w:spacing w:before="7"/>
              <w:ind w:left="338"/>
              <w:rPr>
                <w:b/>
                <w:sz w:val="10"/>
              </w:rPr>
            </w:pPr>
            <w:r>
              <w:rPr>
                <w:b/>
                <w:w w:val="110"/>
                <w:sz w:val="10"/>
              </w:rPr>
              <w:t>7350</w:t>
            </w:r>
          </w:p>
        </w:tc>
        <w:tc>
          <w:tcPr>
            <w:tcW w:w="1103" w:type="dxa"/>
          </w:tcPr>
          <w:p>
            <w:pPr>
              <w:pStyle w:val="TableParagraph"/>
              <w:spacing w:before="7"/>
              <w:ind w:left="361"/>
              <w:rPr>
                <w:b/>
                <w:sz w:val="10"/>
              </w:rPr>
            </w:pPr>
            <w:r>
              <w:rPr>
                <w:b/>
                <w:w w:val="110"/>
                <w:sz w:val="10"/>
              </w:rPr>
              <w:t>7350</w:t>
            </w:r>
          </w:p>
        </w:tc>
        <w:tc>
          <w:tcPr>
            <w:tcW w:w="1057" w:type="dxa"/>
          </w:tcPr>
          <w:p>
            <w:pPr>
              <w:pStyle w:val="TableParagraph"/>
              <w:spacing w:before="7"/>
              <w:ind w:left="199"/>
              <w:rPr>
                <w:b/>
                <w:sz w:val="10"/>
              </w:rPr>
            </w:pPr>
            <w:r>
              <w:rPr>
                <w:b/>
                <w:w w:val="110"/>
                <w:sz w:val="10"/>
              </w:rPr>
              <w:t>8900-8929</w:t>
            </w:r>
          </w:p>
        </w:tc>
        <w:tc>
          <w:tcPr>
            <w:tcW w:w="982" w:type="dxa"/>
          </w:tcPr>
          <w:p>
            <w:pPr>
              <w:pStyle w:val="TableParagraph"/>
              <w:spacing w:before="7"/>
              <w:ind w:left="222"/>
              <w:rPr>
                <w:b/>
                <w:sz w:val="10"/>
              </w:rPr>
            </w:pPr>
            <w:r>
              <w:rPr>
                <w:b/>
                <w:w w:val="110"/>
                <w:sz w:val="10"/>
              </w:rPr>
              <w:t>7600-7629</w:t>
            </w:r>
          </w:p>
        </w:tc>
        <w:tc>
          <w:tcPr>
            <w:tcW w:w="1120" w:type="dxa"/>
          </w:tcPr>
          <w:p>
            <w:pPr>
              <w:pStyle w:val="TableParagraph"/>
              <w:spacing w:before="7"/>
              <w:ind w:left="232" w:right="194"/>
              <w:jc w:val="center"/>
              <w:rPr>
                <w:b/>
                <w:sz w:val="10"/>
              </w:rPr>
            </w:pPr>
            <w:r>
              <w:rPr>
                <w:b/>
                <w:w w:val="110"/>
                <w:sz w:val="10"/>
              </w:rPr>
              <w:t>9310</w:t>
            </w:r>
          </w:p>
        </w:tc>
        <w:tc>
          <w:tcPr>
            <w:tcW w:w="886" w:type="dxa"/>
          </w:tcPr>
          <w:p>
            <w:pPr>
              <w:pStyle w:val="TableParagraph"/>
              <w:spacing w:before="7"/>
              <w:ind w:left="192"/>
              <w:jc w:val="center"/>
              <w:rPr>
                <w:b/>
                <w:sz w:val="10"/>
              </w:rPr>
            </w:pPr>
            <w:r>
              <w:rPr>
                <w:b/>
                <w:w w:val="110"/>
                <w:sz w:val="10"/>
              </w:rPr>
              <w:t>9610</w:t>
            </w:r>
          </w:p>
        </w:tc>
      </w:tr>
      <w:tr>
        <w:trPr>
          <w:trHeight w:val="278" w:hRule="atLeast"/>
        </w:trPr>
        <w:tc>
          <w:tcPr>
            <w:tcW w:w="2833" w:type="dxa"/>
          </w:tcPr>
          <w:p>
            <w:pPr>
              <w:pStyle w:val="TableParagraph"/>
              <w:spacing w:line="136" w:lineRule="exact" w:before="1"/>
              <w:ind w:left="245" w:right="400" w:hanging="219"/>
              <w:rPr>
                <w:sz w:val="10"/>
              </w:rPr>
            </w:pPr>
            <w:r>
              <w:rPr>
                <w:w w:val="110"/>
                <w:sz w:val="10"/>
              </w:rPr>
              <w:t>61 CAFETERIA ENTERPRISE FUND Expenditure Detail</w:t>
            </w:r>
          </w:p>
        </w:tc>
        <w:tc>
          <w:tcPr>
            <w:tcW w:w="1143" w:type="dxa"/>
          </w:tcPr>
          <w:p>
            <w:pPr>
              <w:pStyle w:val="TableParagraph"/>
              <w:spacing w:before="3"/>
              <w:rPr>
                <w:sz w:val="13"/>
              </w:rPr>
            </w:pPr>
          </w:p>
          <w:p>
            <w:pPr>
              <w:pStyle w:val="TableParagraph"/>
              <w:spacing w:line="105" w:lineRule="exact" w:before="1"/>
              <w:ind w:right="123"/>
              <w:jc w:val="right"/>
              <w:rPr>
                <w:sz w:val="10"/>
              </w:rPr>
            </w:pPr>
            <w:r>
              <w:rPr>
                <w:w w:val="105"/>
                <w:sz w:val="10"/>
              </w:rPr>
              <w:t>0.00</w:t>
            </w:r>
          </w:p>
        </w:tc>
        <w:tc>
          <w:tcPr>
            <w:tcW w:w="1103" w:type="dxa"/>
          </w:tcPr>
          <w:p>
            <w:pPr>
              <w:pStyle w:val="TableParagraph"/>
              <w:spacing w:before="3"/>
              <w:rPr>
                <w:sz w:val="13"/>
              </w:rPr>
            </w:pPr>
          </w:p>
          <w:p>
            <w:pPr>
              <w:pStyle w:val="TableParagraph"/>
              <w:spacing w:line="105" w:lineRule="exact" w:before="1"/>
              <w:ind w:right="146"/>
              <w:jc w:val="right"/>
              <w:rPr>
                <w:sz w:val="10"/>
              </w:rPr>
            </w:pPr>
            <w:r>
              <w:rPr>
                <w:w w:val="105"/>
                <w:sz w:val="10"/>
              </w:rPr>
              <w:t>0.00</w:t>
            </w:r>
          </w:p>
        </w:tc>
        <w:tc>
          <w:tcPr>
            <w:tcW w:w="1057" w:type="dxa"/>
          </w:tcPr>
          <w:p>
            <w:pPr>
              <w:pStyle w:val="TableParagraph"/>
              <w:spacing w:before="3"/>
              <w:rPr>
                <w:sz w:val="13"/>
              </w:rPr>
            </w:pPr>
          </w:p>
          <w:p>
            <w:pPr>
              <w:pStyle w:val="TableParagraph"/>
              <w:spacing w:line="105" w:lineRule="exact" w:before="1"/>
              <w:ind w:right="123"/>
              <w:jc w:val="right"/>
              <w:rPr>
                <w:sz w:val="10"/>
              </w:rPr>
            </w:pPr>
            <w:r>
              <w:rPr>
                <w:w w:val="105"/>
                <w:sz w:val="10"/>
              </w:rPr>
              <w:t>0.00</w:t>
            </w:r>
          </w:p>
        </w:tc>
        <w:tc>
          <w:tcPr>
            <w:tcW w:w="1103" w:type="dxa"/>
          </w:tcPr>
          <w:p>
            <w:pPr>
              <w:pStyle w:val="TableParagraph"/>
              <w:spacing w:before="3"/>
              <w:rPr>
                <w:sz w:val="13"/>
              </w:rPr>
            </w:pPr>
          </w:p>
          <w:p>
            <w:pPr>
              <w:pStyle w:val="TableParagraph"/>
              <w:spacing w:line="105" w:lineRule="exact" w:before="1"/>
              <w:ind w:right="146"/>
              <w:jc w:val="right"/>
              <w:rPr>
                <w:sz w:val="10"/>
              </w:rPr>
            </w:pPr>
            <w:r>
              <w:rPr>
                <w:w w:val="105"/>
                <w:sz w:val="10"/>
              </w:rPr>
              <w:t>0.00</w:t>
            </w:r>
          </w:p>
        </w:tc>
        <w:tc>
          <w:tcPr>
            <w:tcW w:w="1057" w:type="dxa"/>
          </w:tcPr>
          <w:p>
            <w:pPr>
              <w:pStyle w:val="TableParagraph"/>
              <w:rPr>
                <w:rFonts w:ascii="Times New Roman"/>
                <w:sz w:val="10"/>
              </w:rPr>
            </w:pPr>
          </w:p>
        </w:tc>
        <w:tc>
          <w:tcPr>
            <w:tcW w:w="982" w:type="dxa"/>
          </w:tcPr>
          <w:p>
            <w:pPr>
              <w:pStyle w:val="TableParagraph"/>
              <w:rPr>
                <w:rFonts w:ascii="Times New Roman"/>
                <w:sz w:val="10"/>
              </w:rPr>
            </w:pPr>
          </w:p>
        </w:tc>
        <w:tc>
          <w:tcPr>
            <w:tcW w:w="1120" w:type="dxa"/>
            <w:shd w:val="clear" w:color="auto" w:fill="BFBFBF"/>
          </w:tcPr>
          <w:p>
            <w:pPr>
              <w:pStyle w:val="TableParagraph"/>
              <w:rPr>
                <w:rFonts w:ascii="Times New Roman"/>
                <w:sz w:val="10"/>
              </w:rPr>
            </w:pPr>
          </w:p>
        </w:tc>
        <w:tc>
          <w:tcPr>
            <w:tcW w:w="886" w:type="dxa"/>
            <w:shd w:val="clear" w:color="auto" w:fill="BFBFBF"/>
          </w:tcPr>
          <w:p>
            <w:pPr>
              <w:pStyle w:val="TableParagraph"/>
              <w:rPr>
                <w:rFonts w:ascii="Times New Roman"/>
                <w:sz w:val="10"/>
              </w:rPr>
            </w:pPr>
          </w:p>
        </w:tc>
      </w:tr>
      <w:tr>
        <w:trPr>
          <w:trHeight w:val="547" w:hRule="atLeast"/>
        </w:trPr>
        <w:tc>
          <w:tcPr>
            <w:tcW w:w="2833" w:type="dxa"/>
          </w:tcPr>
          <w:p>
            <w:pPr>
              <w:pStyle w:val="TableParagraph"/>
              <w:spacing w:line="285" w:lineRule="auto" w:before="12"/>
              <w:ind w:left="245" w:right="1055"/>
              <w:rPr>
                <w:sz w:val="10"/>
              </w:rPr>
            </w:pPr>
            <w:r>
              <w:rPr>
                <w:w w:val="110"/>
                <w:sz w:val="10"/>
              </w:rPr>
              <w:t>Other Sources/Uses Detail Fund Reconciliation</w:t>
            </w:r>
          </w:p>
          <w:p>
            <w:pPr>
              <w:pStyle w:val="TableParagraph"/>
              <w:ind w:left="26"/>
              <w:rPr>
                <w:sz w:val="10"/>
              </w:rPr>
            </w:pPr>
            <w:r>
              <w:rPr>
                <w:w w:val="110"/>
                <w:sz w:val="10"/>
              </w:rPr>
              <w:t>62 CHARTER SCHOOLS ENTERPRISE FUND</w:t>
            </w:r>
          </w:p>
          <w:p>
            <w:pPr>
              <w:pStyle w:val="TableParagraph"/>
              <w:spacing w:line="105" w:lineRule="exact" w:before="21"/>
              <w:ind w:left="245"/>
              <w:rPr>
                <w:sz w:val="10"/>
              </w:rPr>
            </w:pPr>
            <w:r>
              <w:rPr>
                <w:w w:val="110"/>
                <w:sz w:val="10"/>
              </w:rPr>
              <w:t>Expenditure Detail</w:t>
            </w:r>
          </w:p>
        </w:tc>
        <w:tc>
          <w:tcPr>
            <w:tcW w:w="1143" w:type="dxa"/>
          </w:tcPr>
          <w:p>
            <w:pPr>
              <w:pStyle w:val="TableParagraph"/>
              <w:rPr>
                <w:sz w:val="12"/>
              </w:rPr>
            </w:pPr>
          </w:p>
          <w:p>
            <w:pPr>
              <w:pStyle w:val="TableParagraph"/>
              <w:rPr>
                <w:sz w:val="12"/>
              </w:rPr>
            </w:pPr>
          </w:p>
          <w:p>
            <w:pPr>
              <w:pStyle w:val="TableParagraph"/>
              <w:spacing w:before="8"/>
              <w:rPr>
                <w:sz w:val="12"/>
              </w:rPr>
            </w:pPr>
          </w:p>
          <w:p>
            <w:pPr>
              <w:pStyle w:val="TableParagraph"/>
              <w:spacing w:line="105" w:lineRule="exact"/>
              <w:ind w:right="123"/>
              <w:jc w:val="right"/>
              <w:rPr>
                <w:sz w:val="10"/>
              </w:rPr>
            </w:pPr>
            <w:r>
              <w:rPr>
                <w:w w:val="105"/>
                <w:sz w:val="10"/>
              </w:rPr>
              <w:t>0.00</w:t>
            </w:r>
          </w:p>
        </w:tc>
        <w:tc>
          <w:tcPr>
            <w:tcW w:w="1103" w:type="dxa"/>
          </w:tcPr>
          <w:p>
            <w:pPr>
              <w:pStyle w:val="TableParagraph"/>
              <w:rPr>
                <w:sz w:val="12"/>
              </w:rPr>
            </w:pPr>
          </w:p>
          <w:p>
            <w:pPr>
              <w:pStyle w:val="TableParagraph"/>
              <w:rPr>
                <w:sz w:val="12"/>
              </w:rPr>
            </w:pPr>
          </w:p>
          <w:p>
            <w:pPr>
              <w:pStyle w:val="TableParagraph"/>
              <w:spacing w:before="8"/>
              <w:rPr>
                <w:sz w:val="12"/>
              </w:rPr>
            </w:pPr>
          </w:p>
          <w:p>
            <w:pPr>
              <w:pStyle w:val="TableParagraph"/>
              <w:spacing w:line="105" w:lineRule="exact"/>
              <w:ind w:right="146"/>
              <w:jc w:val="right"/>
              <w:rPr>
                <w:sz w:val="10"/>
              </w:rPr>
            </w:pPr>
            <w:r>
              <w:rPr>
                <w:w w:val="105"/>
                <w:sz w:val="10"/>
              </w:rPr>
              <w:t>0.00</w:t>
            </w:r>
          </w:p>
        </w:tc>
        <w:tc>
          <w:tcPr>
            <w:tcW w:w="1057" w:type="dxa"/>
          </w:tcPr>
          <w:p>
            <w:pPr>
              <w:pStyle w:val="TableParagraph"/>
              <w:rPr>
                <w:sz w:val="12"/>
              </w:rPr>
            </w:pPr>
          </w:p>
          <w:p>
            <w:pPr>
              <w:pStyle w:val="TableParagraph"/>
              <w:rPr>
                <w:sz w:val="12"/>
              </w:rPr>
            </w:pPr>
          </w:p>
          <w:p>
            <w:pPr>
              <w:pStyle w:val="TableParagraph"/>
              <w:spacing w:before="8"/>
              <w:rPr>
                <w:sz w:val="12"/>
              </w:rPr>
            </w:pPr>
          </w:p>
          <w:p>
            <w:pPr>
              <w:pStyle w:val="TableParagraph"/>
              <w:spacing w:line="105" w:lineRule="exact"/>
              <w:ind w:right="123"/>
              <w:jc w:val="right"/>
              <w:rPr>
                <w:sz w:val="10"/>
              </w:rPr>
            </w:pPr>
            <w:r>
              <w:rPr>
                <w:w w:val="105"/>
                <w:sz w:val="10"/>
              </w:rPr>
              <w:t>0.00</w:t>
            </w:r>
          </w:p>
        </w:tc>
        <w:tc>
          <w:tcPr>
            <w:tcW w:w="1103" w:type="dxa"/>
          </w:tcPr>
          <w:p>
            <w:pPr>
              <w:pStyle w:val="TableParagraph"/>
              <w:rPr>
                <w:sz w:val="12"/>
              </w:rPr>
            </w:pPr>
          </w:p>
          <w:p>
            <w:pPr>
              <w:pStyle w:val="TableParagraph"/>
              <w:rPr>
                <w:sz w:val="12"/>
              </w:rPr>
            </w:pPr>
          </w:p>
          <w:p>
            <w:pPr>
              <w:pStyle w:val="TableParagraph"/>
              <w:spacing w:before="8"/>
              <w:rPr>
                <w:sz w:val="12"/>
              </w:rPr>
            </w:pPr>
          </w:p>
          <w:p>
            <w:pPr>
              <w:pStyle w:val="TableParagraph"/>
              <w:spacing w:line="105" w:lineRule="exact"/>
              <w:ind w:right="146"/>
              <w:jc w:val="right"/>
              <w:rPr>
                <w:sz w:val="10"/>
              </w:rPr>
            </w:pPr>
            <w:r>
              <w:rPr>
                <w:w w:val="105"/>
                <w:sz w:val="10"/>
              </w:rPr>
              <w:t>0.00</w:t>
            </w:r>
          </w:p>
        </w:tc>
        <w:tc>
          <w:tcPr>
            <w:tcW w:w="1057" w:type="dxa"/>
          </w:tcPr>
          <w:p>
            <w:pPr>
              <w:pStyle w:val="TableParagraph"/>
              <w:spacing w:before="12"/>
              <w:ind w:right="123"/>
              <w:jc w:val="right"/>
              <w:rPr>
                <w:sz w:val="10"/>
              </w:rPr>
            </w:pPr>
            <w:r>
              <w:rPr>
                <w:w w:val="105"/>
                <w:sz w:val="10"/>
              </w:rPr>
              <w:t>0.00</w:t>
            </w:r>
          </w:p>
        </w:tc>
        <w:tc>
          <w:tcPr>
            <w:tcW w:w="982" w:type="dxa"/>
          </w:tcPr>
          <w:p>
            <w:pPr>
              <w:pStyle w:val="TableParagraph"/>
              <w:spacing w:before="12"/>
              <w:ind w:right="25"/>
              <w:jc w:val="right"/>
              <w:rPr>
                <w:sz w:val="10"/>
              </w:rPr>
            </w:pPr>
            <w:r>
              <w:rPr>
                <w:w w:val="105"/>
                <w:sz w:val="10"/>
              </w:rPr>
              <w:t>0.00</w:t>
            </w:r>
          </w:p>
        </w:tc>
        <w:tc>
          <w:tcPr>
            <w:tcW w:w="1120" w:type="dxa"/>
            <w:shd w:val="clear" w:color="auto" w:fill="BFBFBF"/>
          </w:tcPr>
          <w:p>
            <w:pPr>
              <w:pStyle w:val="TableParagraph"/>
              <w:rPr>
                <w:rFonts w:ascii="Times New Roman"/>
                <w:sz w:val="10"/>
              </w:rPr>
            </w:pPr>
          </w:p>
        </w:tc>
        <w:tc>
          <w:tcPr>
            <w:tcW w:w="886" w:type="dxa"/>
            <w:shd w:val="clear" w:color="auto" w:fill="BFBFBF"/>
          </w:tcPr>
          <w:p>
            <w:pPr>
              <w:pStyle w:val="TableParagraph"/>
              <w:rPr>
                <w:rFonts w:ascii="Times New Roman"/>
                <w:sz w:val="10"/>
              </w:rPr>
            </w:pPr>
          </w:p>
        </w:tc>
      </w:tr>
      <w:tr>
        <w:trPr>
          <w:trHeight w:val="547" w:hRule="atLeast"/>
        </w:trPr>
        <w:tc>
          <w:tcPr>
            <w:tcW w:w="2833" w:type="dxa"/>
          </w:tcPr>
          <w:p>
            <w:pPr>
              <w:pStyle w:val="TableParagraph"/>
              <w:spacing w:line="285" w:lineRule="auto" w:before="12"/>
              <w:ind w:left="245" w:right="1055"/>
              <w:rPr>
                <w:sz w:val="10"/>
              </w:rPr>
            </w:pPr>
            <w:r>
              <w:rPr>
                <w:w w:val="110"/>
                <w:sz w:val="10"/>
              </w:rPr>
              <w:t>Other Sources/Uses Detail Fund Reconciliation</w:t>
            </w:r>
          </w:p>
          <w:p>
            <w:pPr>
              <w:pStyle w:val="TableParagraph"/>
              <w:ind w:left="26"/>
              <w:rPr>
                <w:sz w:val="10"/>
              </w:rPr>
            </w:pPr>
            <w:r>
              <w:rPr>
                <w:w w:val="110"/>
                <w:sz w:val="10"/>
              </w:rPr>
              <w:t>63 OTHER ENTERPRISE FUND</w:t>
            </w:r>
          </w:p>
          <w:p>
            <w:pPr>
              <w:pStyle w:val="TableParagraph"/>
              <w:spacing w:line="105" w:lineRule="exact" w:before="21"/>
              <w:ind w:left="245"/>
              <w:rPr>
                <w:sz w:val="10"/>
              </w:rPr>
            </w:pPr>
            <w:r>
              <w:rPr>
                <w:w w:val="110"/>
                <w:sz w:val="10"/>
              </w:rPr>
              <w:t>Expenditure Detail</w:t>
            </w:r>
          </w:p>
        </w:tc>
        <w:tc>
          <w:tcPr>
            <w:tcW w:w="1143" w:type="dxa"/>
          </w:tcPr>
          <w:p>
            <w:pPr>
              <w:pStyle w:val="TableParagraph"/>
              <w:rPr>
                <w:sz w:val="12"/>
              </w:rPr>
            </w:pPr>
          </w:p>
          <w:p>
            <w:pPr>
              <w:pStyle w:val="TableParagraph"/>
              <w:rPr>
                <w:sz w:val="12"/>
              </w:rPr>
            </w:pPr>
          </w:p>
          <w:p>
            <w:pPr>
              <w:pStyle w:val="TableParagraph"/>
              <w:spacing w:before="8"/>
              <w:rPr>
                <w:sz w:val="12"/>
              </w:rPr>
            </w:pPr>
          </w:p>
          <w:p>
            <w:pPr>
              <w:pStyle w:val="TableParagraph"/>
              <w:spacing w:line="105" w:lineRule="exact"/>
              <w:ind w:right="123"/>
              <w:jc w:val="right"/>
              <w:rPr>
                <w:sz w:val="10"/>
              </w:rPr>
            </w:pPr>
            <w:r>
              <w:rPr>
                <w:w w:val="105"/>
                <w:sz w:val="10"/>
              </w:rPr>
              <w:t>0.00</w:t>
            </w:r>
          </w:p>
        </w:tc>
        <w:tc>
          <w:tcPr>
            <w:tcW w:w="1103" w:type="dxa"/>
          </w:tcPr>
          <w:p>
            <w:pPr>
              <w:pStyle w:val="TableParagraph"/>
              <w:rPr>
                <w:sz w:val="12"/>
              </w:rPr>
            </w:pPr>
          </w:p>
          <w:p>
            <w:pPr>
              <w:pStyle w:val="TableParagraph"/>
              <w:rPr>
                <w:sz w:val="12"/>
              </w:rPr>
            </w:pPr>
          </w:p>
          <w:p>
            <w:pPr>
              <w:pStyle w:val="TableParagraph"/>
              <w:spacing w:before="8"/>
              <w:rPr>
                <w:sz w:val="12"/>
              </w:rPr>
            </w:pPr>
          </w:p>
          <w:p>
            <w:pPr>
              <w:pStyle w:val="TableParagraph"/>
              <w:spacing w:line="105" w:lineRule="exact"/>
              <w:ind w:right="146"/>
              <w:jc w:val="right"/>
              <w:rPr>
                <w:sz w:val="10"/>
              </w:rPr>
            </w:pPr>
            <w:r>
              <w:rPr>
                <w:w w:val="105"/>
                <w:sz w:val="10"/>
              </w:rPr>
              <w:t>0.00</w:t>
            </w:r>
          </w:p>
        </w:tc>
        <w:tc>
          <w:tcPr>
            <w:tcW w:w="1057" w:type="dxa"/>
            <w:shd w:val="clear" w:color="auto" w:fill="BFBFBF"/>
          </w:tcPr>
          <w:p>
            <w:pPr>
              <w:pStyle w:val="TableParagraph"/>
              <w:rPr>
                <w:rFonts w:ascii="Times New Roman"/>
                <w:sz w:val="10"/>
              </w:rPr>
            </w:pPr>
          </w:p>
        </w:tc>
        <w:tc>
          <w:tcPr>
            <w:tcW w:w="1103" w:type="dxa"/>
            <w:shd w:val="clear" w:color="auto" w:fill="BFBFBF"/>
          </w:tcPr>
          <w:p>
            <w:pPr>
              <w:pStyle w:val="TableParagraph"/>
              <w:rPr>
                <w:rFonts w:ascii="Times New Roman"/>
                <w:sz w:val="10"/>
              </w:rPr>
            </w:pPr>
          </w:p>
        </w:tc>
        <w:tc>
          <w:tcPr>
            <w:tcW w:w="1057" w:type="dxa"/>
          </w:tcPr>
          <w:p>
            <w:pPr>
              <w:pStyle w:val="TableParagraph"/>
              <w:spacing w:before="12"/>
              <w:ind w:right="123"/>
              <w:jc w:val="right"/>
              <w:rPr>
                <w:sz w:val="10"/>
              </w:rPr>
            </w:pPr>
            <w:r>
              <w:rPr>
                <w:w w:val="105"/>
                <w:sz w:val="10"/>
              </w:rPr>
              <w:t>0.00</w:t>
            </w:r>
          </w:p>
        </w:tc>
        <w:tc>
          <w:tcPr>
            <w:tcW w:w="982" w:type="dxa"/>
          </w:tcPr>
          <w:p>
            <w:pPr>
              <w:pStyle w:val="TableParagraph"/>
              <w:spacing w:before="12"/>
              <w:ind w:right="25"/>
              <w:jc w:val="right"/>
              <w:rPr>
                <w:sz w:val="10"/>
              </w:rPr>
            </w:pPr>
            <w:r>
              <w:rPr>
                <w:w w:val="105"/>
                <w:sz w:val="10"/>
              </w:rPr>
              <w:t>0.00</w:t>
            </w:r>
          </w:p>
        </w:tc>
        <w:tc>
          <w:tcPr>
            <w:tcW w:w="1120" w:type="dxa"/>
            <w:shd w:val="clear" w:color="auto" w:fill="BFBFBF"/>
          </w:tcPr>
          <w:p>
            <w:pPr>
              <w:pStyle w:val="TableParagraph"/>
              <w:rPr>
                <w:rFonts w:ascii="Times New Roman"/>
                <w:sz w:val="10"/>
              </w:rPr>
            </w:pPr>
          </w:p>
        </w:tc>
        <w:tc>
          <w:tcPr>
            <w:tcW w:w="886" w:type="dxa"/>
            <w:shd w:val="clear" w:color="auto" w:fill="BFBFBF"/>
          </w:tcPr>
          <w:p>
            <w:pPr>
              <w:pStyle w:val="TableParagraph"/>
              <w:rPr>
                <w:rFonts w:ascii="Times New Roman"/>
                <w:sz w:val="10"/>
              </w:rPr>
            </w:pPr>
          </w:p>
        </w:tc>
      </w:tr>
      <w:tr>
        <w:trPr>
          <w:trHeight w:val="402" w:hRule="atLeast"/>
        </w:trPr>
        <w:tc>
          <w:tcPr>
            <w:tcW w:w="2833" w:type="dxa"/>
          </w:tcPr>
          <w:p>
            <w:pPr>
              <w:pStyle w:val="TableParagraph"/>
              <w:spacing w:line="285" w:lineRule="auto" w:before="12"/>
              <w:ind w:left="245" w:right="1055"/>
              <w:rPr>
                <w:sz w:val="10"/>
              </w:rPr>
            </w:pPr>
            <w:r>
              <w:rPr>
                <w:w w:val="110"/>
                <w:sz w:val="10"/>
              </w:rPr>
              <w:t>Other Sources/Uses Detail Fund Reconciliation</w:t>
            </w:r>
          </w:p>
          <w:p>
            <w:pPr>
              <w:pStyle w:val="TableParagraph"/>
              <w:spacing w:line="97" w:lineRule="exact"/>
              <w:ind w:left="26"/>
              <w:rPr>
                <w:sz w:val="10"/>
              </w:rPr>
            </w:pPr>
            <w:r>
              <w:rPr>
                <w:w w:val="110"/>
                <w:sz w:val="10"/>
              </w:rPr>
              <w:t>66 WAREHOUSE REVOLVING FUND</w:t>
            </w:r>
          </w:p>
        </w:tc>
        <w:tc>
          <w:tcPr>
            <w:tcW w:w="1143" w:type="dxa"/>
          </w:tcPr>
          <w:p>
            <w:pPr>
              <w:pStyle w:val="TableParagraph"/>
              <w:rPr>
                <w:rFonts w:ascii="Times New Roman"/>
                <w:sz w:val="10"/>
              </w:rPr>
            </w:pPr>
          </w:p>
        </w:tc>
        <w:tc>
          <w:tcPr>
            <w:tcW w:w="1103" w:type="dxa"/>
          </w:tcPr>
          <w:p>
            <w:pPr>
              <w:pStyle w:val="TableParagraph"/>
              <w:rPr>
                <w:rFonts w:ascii="Times New Roman"/>
                <w:sz w:val="10"/>
              </w:rPr>
            </w:pPr>
          </w:p>
        </w:tc>
        <w:tc>
          <w:tcPr>
            <w:tcW w:w="1057" w:type="dxa"/>
            <w:shd w:val="clear" w:color="auto" w:fill="BFBFBF"/>
          </w:tcPr>
          <w:p>
            <w:pPr>
              <w:pStyle w:val="TableParagraph"/>
              <w:rPr>
                <w:rFonts w:ascii="Times New Roman"/>
                <w:sz w:val="10"/>
              </w:rPr>
            </w:pPr>
          </w:p>
        </w:tc>
        <w:tc>
          <w:tcPr>
            <w:tcW w:w="1103" w:type="dxa"/>
            <w:shd w:val="clear" w:color="auto" w:fill="BFBFBF"/>
          </w:tcPr>
          <w:p>
            <w:pPr>
              <w:pStyle w:val="TableParagraph"/>
              <w:rPr>
                <w:rFonts w:ascii="Times New Roman"/>
                <w:sz w:val="10"/>
              </w:rPr>
            </w:pPr>
          </w:p>
        </w:tc>
        <w:tc>
          <w:tcPr>
            <w:tcW w:w="1057" w:type="dxa"/>
          </w:tcPr>
          <w:p>
            <w:pPr>
              <w:pStyle w:val="TableParagraph"/>
              <w:spacing w:before="12"/>
              <w:ind w:right="123"/>
              <w:jc w:val="right"/>
              <w:rPr>
                <w:sz w:val="10"/>
              </w:rPr>
            </w:pPr>
            <w:r>
              <w:rPr>
                <w:w w:val="105"/>
                <w:sz w:val="10"/>
              </w:rPr>
              <w:t>0.00</w:t>
            </w:r>
          </w:p>
        </w:tc>
        <w:tc>
          <w:tcPr>
            <w:tcW w:w="982" w:type="dxa"/>
          </w:tcPr>
          <w:p>
            <w:pPr>
              <w:pStyle w:val="TableParagraph"/>
              <w:spacing w:before="12"/>
              <w:ind w:right="25"/>
              <w:jc w:val="right"/>
              <w:rPr>
                <w:sz w:val="10"/>
              </w:rPr>
            </w:pPr>
            <w:r>
              <w:rPr>
                <w:w w:val="105"/>
                <w:sz w:val="10"/>
              </w:rPr>
              <w:t>0.00</w:t>
            </w:r>
          </w:p>
        </w:tc>
        <w:tc>
          <w:tcPr>
            <w:tcW w:w="1120" w:type="dxa"/>
            <w:shd w:val="clear" w:color="auto" w:fill="BFBFBF"/>
          </w:tcPr>
          <w:p>
            <w:pPr>
              <w:pStyle w:val="TableParagraph"/>
              <w:rPr>
                <w:rFonts w:ascii="Times New Roman"/>
                <w:sz w:val="10"/>
              </w:rPr>
            </w:pPr>
          </w:p>
        </w:tc>
        <w:tc>
          <w:tcPr>
            <w:tcW w:w="886" w:type="dxa"/>
            <w:shd w:val="clear" w:color="auto" w:fill="BFBFBF"/>
          </w:tcPr>
          <w:p>
            <w:pPr>
              <w:pStyle w:val="TableParagraph"/>
              <w:rPr>
                <w:rFonts w:ascii="Times New Roman"/>
                <w:sz w:val="10"/>
              </w:rPr>
            </w:pPr>
          </w:p>
        </w:tc>
      </w:tr>
      <w:tr>
        <w:trPr>
          <w:trHeight w:val="692" w:hRule="atLeast"/>
        </w:trPr>
        <w:tc>
          <w:tcPr>
            <w:tcW w:w="2833" w:type="dxa"/>
          </w:tcPr>
          <w:p>
            <w:pPr>
              <w:pStyle w:val="TableParagraph"/>
              <w:spacing w:before="3"/>
              <w:ind w:left="245"/>
              <w:rPr>
                <w:sz w:val="10"/>
              </w:rPr>
            </w:pPr>
            <w:r>
              <w:rPr>
                <w:w w:val="110"/>
                <w:sz w:val="10"/>
              </w:rPr>
              <w:t>Expenditure Detail</w:t>
            </w:r>
          </w:p>
          <w:p>
            <w:pPr>
              <w:pStyle w:val="TableParagraph"/>
              <w:spacing w:line="285" w:lineRule="auto" w:before="22"/>
              <w:ind w:left="245" w:right="1055"/>
              <w:rPr>
                <w:sz w:val="10"/>
              </w:rPr>
            </w:pPr>
            <w:r>
              <w:rPr>
                <w:w w:val="110"/>
                <w:sz w:val="10"/>
              </w:rPr>
              <w:t>Other Sources/Uses Detail Fund Reconciliation</w:t>
            </w:r>
          </w:p>
          <w:p>
            <w:pPr>
              <w:pStyle w:val="TableParagraph"/>
              <w:ind w:left="26"/>
              <w:rPr>
                <w:sz w:val="10"/>
              </w:rPr>
            </w:pPr>
            <w:r>
              <w:rPr>
                <w:w w:val="110"/>
                <w:sz w:val="10"/>
              </w:rPr>
              <w:t>67 SELF-INSURANCE FUND</w:t>
            </w:r>
          </w:p>
          <w:p>
            <w:pPr>
              <w:pStyle w:val="TableParagraph"/>
              <w:spacing w:line="105" w:lineRule="exact" w:before="22"/>
              <w:ind w:left="245"/>
              <w:rPr>
                <w:sz w:val="10"/>
              </w:rPr>
            </w:pPr>
            <w:r>
              <w:rPr>
                <w:w w:val="110"/>
                <w:sz w:val="10"/>
              </w:rPr>
              <w:t>Expenditure Detail</w:t>
            </w:r>
          </w:p>
        </w:tc>
        <w:tc>
          <w:tcPr>
            <w:tcW w:w="1143" w:type="dxa"/>
          </w:tcPr>
          <w:p>
            <w:pPr>
              <w:pStyle w:val="TableParagraph"/>
              <w:spacing w:before="3"/>
              <w:ind w:left="805"/>
              <w:rPr>
                <w:sz w:val="10"/>
              </w:rPr>
            </w:pPr>
            <w:r>
              <w:rPr>
                <w:w w:val="110"/>
                <w:sz w:val="10"/>
              </w:rPr>
              <w:t>0.00</w:t>
            </w:r>
          </w:p>
          <w:p>
            <w:pPr>
              <w:pStyle w:val="TableParagraph"/>
              <w:rPr>
                <w:sz w:val="12"/>
              </w:rPr>
            </w:pPr>
          </w:p>
          <w:p>
            <w:pPr>
              <w:pStyle w:val="TableParagraph"/>
              <w:rPr>
                <w:sz w:val="12"/>
              </w:rPr>
            </w:pPr>
          </w:p>
          <w:p>
            <w:pPr>
              <w:pStyle w:val="TableParagraph"/>
              <w:spacing w:before="7"/>
              <w:rPr>
                <w:sz w:val="13"/>
              </w:rPr>
            </w:pPr>
          </w:p>
          <w:p>
            <w:pPr>
              <w:pStyle w:val="TableParagraph"/>
              <w:spacing w:line="105" w:lineRule="exact"/>
              <w:ind w:left="805"/>
              <w:rPr>
                <w:sz w:val="10"/>
              </w:rPr>
            </w:pPr>
            <w:r>
              <w:rPr>
                <w:w w:val="110"/>
                <w:sz w:val="10"/>
              </w:rPr>
              <w:t>0.00</w:t>
            </w:r>
          </w:p>
        </w:tc>
        <w:tc>
          <w:tcPr>
            <w:tcW w:w="1103" w:type="dxa"/>
          </w:tcPr>
          <w:p>
            <w:pPr>
              <w:pStyle w:val="TableParagraph"/>
              <w:spacing w:before="3"/>
              <w:ind w:left="742"/>
              <w:rPr>
                <w:sz w:val="10"/>
              </w:rPr>
            </w:pPr>
            <w:r>
              <w:rPr>
                <w:w w:val="110"/>
                <w:sz w:val="10"/>
              </w:rPr>
              <w:t>0.00</w:t>
            </w:r>
          </w:p>
          <w:p>
            <w:pPr>
              <w:pStyle w:val="TableParagraph"/>
              <w:rPr>
                <w:sz w:val="12"/>
              </w:rPr>
            </w:pPr>
          </w:p>
          <w:p>
            <w:pPr>
              <w:pStyle w:val="TableParagraph"/>
              <w:rPr>
                <w:sz w:val="12"/>
              </w:rPr>
            </w:pPr>
          </w:p>
          <w:p>
            <w:pPr>
              <w:pStyle w:val="TableParagraph"/>
              <w:spacing w:before="7"/>
              <w:rPr>
                <w:sz w:val="13"/>
              </w:rPr>
            </w:pPr>
          </w:p>
          <w:p>
            <w:pPr>
              <w:pStyle w:val="TableParagraph"/>
              <w:spacing w:line="105" w:lineRule="exact"/>
              <w:ind w:left="742"/>
              <w:rPr>
                <w:sz w:val="10"/>
              </w:rPr>
            </w:pPr>
            <w:r>
              <w:rPr>
                <w:w w:val="110"/>
                <w:sz w:val="10"/>
              </w:rPr>
              <w:t>0.00</w:t>
            </w:r>
          </w:p>
        </w:tc>
        <w:tc>
          <w:tcPr>
            <w:tcW w:w="3217" w:type="dxa"/>
            <w:gridSpan w:val="3"/>
          </w:tcPr>
          <w:p>
            <w:pPr>
              <w:pStyle w:val="TableParagraph"/>
              <w:spacing w:before="2"/>
              <w:rPr>
                <w:sz w:val="12"/>
              </w:rPr>
            </w:pPr>
          </w:p>
          <w:p>
            <w:pPr>
              <w:pStyle w:val="TableParagraph"/>
              <w:ind w:right="123"/>
              <w:jc w:val="right"/>
              <w:rPr>
                <w:sz w:val="10"/>
              </w:rPr>
            </w:pPr>
            <w:r>
              <w:rPr>
                <w:w w:val="105"/>
                <w:sz w:val="10"/>
              </w:rPr>
              <w:t>0.00</w:t>
            </w:r>
          </w:p>
        </w:tc>
        <w:tc>
          <w:tcPr>
            <w:tcW w:w="2988" w:type="dxa"/>
            <w:gridSpan w:val="3"/>
          </w:tcPr>
          <w:p>
            <w:pPr>
              <w:pStyle w:val="TableParagraph"/>
              <w:spacing w:before="2"/>
              <w:rPr>
                <w:sz w:val="12"/>
              </w:rPr>
            </w:pPr>
          </w:p>
          <w:p>
            <w:pPr>
              <w:pStyle w:val="TableParagraph"/>
              <w:ind w:left="742"/>
              <w:rPr>
                <w:sz w:val="10"/>
              </w:rPr>
            </w:pPr>
            <w:r>
              <w:rPr>
                <w:w w:val="110"/>
                <w:sz w:val="10"/>
              </w:rPr>
              <w:t>0.00</w:t>
            </w:r>
          </w:p>
        </w:tc>
      </w:tr>
      <w:tr>
        <w:trPr>
          <w:trHeight w:val="265" w:hRule="atLeast"/>
        </w:trPr>
        <w:tc>
          <w:tcPr>
            <w:tcW w:w="2833" w:type="dxa"/>
          </w:tcPr>
          <w:p>
            <w:pPr>
              <w:pStyle w:val="TableParagraph"/>
              <w:spacing w:before="12"/>
              <w:ind w:left="245"/>
              <w:rPr>
                <w:sz w:val="10"/>
              </w:rPr>
            </w:pPr>
            <w:r>
              <w:rPr>
                <w:w w:val="110"/>
                <w:sz w:val="10"/>
              </w:rPr>
              <w:t>Other Sources/Uses Detail</w:t>
            </w:r>
          </w:p>
          <w:p>
            <w:pPr>
              <w:pStyle w:val="TableParagraph"/>
              <w:spacing w:line="97" w:lineRule="exact" w:before="21"/>
              <w:ind w:left="245"/>
              <w:rPr>
                <w:sz w:val="10"/>
              </w:rPr>
            </w:pPr>
            <w:r>
              <w:rPr>
                <w:w w:val="110"/>
                <w:sz w:val="10"/>
              </w:rPr>
              <w:t>Fund Reconciliation</w:t>
            </w:r>
          </w:p>
        </w:tc>
        <w:tc>
          <w:tcPr>
            <w:tcW w:w="1143" w:type="dxa"/>
            <w:shd w:val="clear" w:color="auto" w:fill="BFBFBF"/>
          </w:tcPr>
          <w:p>
            <w:pPr>
              <w:pStyle w:val="TableParagraph"/>
              <w:rPr>
                <w:rFonts w:ascii="Times New Roman"/>
                <w:sz w:val="10"/>
              </w:rPr>
            </w:pPr>
          </w:p>
        </w:tc>
        <w:tc>
          <w:tcPr>
            <w:tcW w:w="1103" w:type="dxa"/>
            <w:shd w:val="clear" w:color="auto" w:fill="BFBFBF"/>
          </w:tcPr>
          <w:p>
            <w:pPr>
              <w:pStyle w:val="TableParagraph"/>
              <w:rPr>
                <w:rFonts w:ascii="Times New Roman"/>
                <w:sz w:val="10"/>
              </w:rPr>
            </w:pPr>
          </w:p>
        </w:tc>
        <w:tc>
          <w:tcPr>
            <w:tcW w:w="3217" w:type="dxa"/>
            <w:gridSpan w:val="3"/>
          </w:tcPr>
          <w:p>
            <w:pPr>
              <w:pStyle w:val="TableParagraph"/>
              <w:spacing w:before="12"/>
              <w:ind w:right="123"/>
              <w:jc w:val="right"/>
              <w:rPr>
                <w:sz w:val="10"/>
              </w:rPr>
            </w:pPr>
            <w:r>
              <w:rPr>
                <w:w w:val="105"/>
                <w:sz w:val="10"/>
              </w:rPr>
              <w:t>0.00</w:t>
            </w:r>
          </w:p>
        </w:tc>
        <w:tc>
          <w:tcPr>
            <w:tcW w:w="2988" w:type="dxa"/>
            <w:gridSpan w:val="3"/>
            <w:shd w:val="clear" w:color="auto" w:fill="BFBFBF"/>
          </w:tcPr>
          <w:p>
            <w:pPr>
              <w:pStyle w:val="TableParagraph"/>
              <w:spacing w:before="12"/>
              <w:ind w:left="742"/>
              <w:rPr>
                <w:sz w:val="10"/>
              </w:rPr>
            </w:pPr>
            <w:r>
              <w:rPr>
                <w:w w:val="110"/>
                <w:sz w:val="10"/>
              </w:rPr>
              <w:t>0.00</w:t>
            </w:r>
          </w:p>
        </w:tc>
      </w:tr>
    </w:tbl>
    <w:p>
      <w:pPr>
        <w:spacing w:after="0"/>
        <w:rPr>
          <w:sz w:val="10"/>
        </w:rPr>
        <w:sectPr>
          <w:type w:val="continuous"/>
          <w:pgSz w:w="12240" w:h="15840"/>
          <w:pgMar w:top="1500" w:bottom="840" w:left="40" w:right="40"/>
        </w:sectPr>
      </w:pPr>
    </w:p>
    <w:p>
      <w:pPr>
        <w:pStyle w:val="Heading1"/>
        <w:spacing w:before="3"/>
        <w:ind w:left="4726" w:right="4730" w:hanging="2"/>
        <w:jc w:val="center"/>
      </w:pPr>
      <w:bookmarkStart w:name="TRC BUDGET" w:id="23"/>
      <w:bookmarkEnd w:id="23"/>
      <w:r>
        <w:rPr>
          <w:b w:val="0"/>
        </w:rPr>
      </w:r>
      <w:r>
        <w:rPr/>
        <w:t>2021-22 Budget Technical Review</w:t>
      </w:r>
      <w:r>
        <w:rPr>
          <w:spacing w:val="-46"/>
        </w:rPr>
        <w:t> </w:t>
      </w:r>
      <w:r>
        <w:rPr/>
        <w:t>Checks</w:t>
      </w:r>
    </w:p>
    <w:p>
      <w:pPr>
        <w:tabs>
          <w:tab w:pos="9070" w:val="left" w:leader="none"/>
        </w:tabs>
        <w:spacing w:before="2"/>
        <w:ind w:left="1400" w:right="0" w:firstLine="0"/>
        <w:jc w:val="left"/>
        <w:rPr>
          <w:rFonts w:ascii="Courier New"/>
          <w:b/>
          <w:sz w:val="19"/>
        </w:rPr>
      </w:pPr>
      <w:r>
        <w:rPr>
          <w:rFonts w:ascii="Courier New"/>
          <w:b/>
          <w:sz w:val="19"/>
        </w:rPr>
        <w:t>Winship-Robbins</w:t>
      </w:r>
      <w:r>
        <w:rPr>
          <w:rFonts w:ascii="Courier New"/>
          <w:b/>
          <w:spacing w:val="42"/>
          <w:sz w:val="19"/>
        </w:rPr>
        <w:t> </w:t>
      </w:r>
      <w:r>
        <w:rPr>
          <w:rFonts w:ascii="Courier New"/>
          <w:b/>
          <w:sz w:val="19"/>
        </w:rPr>
        <w:t>Elementary</w:t>
        <w:tab/>
        <w:t>Sutter</w:t>
      </w:r>
      <w:r>
        <w:rPr>
          <w:rFonts w:ascii="Courier New"/>
          <w:b/>
          <w:spacing w:val="6"/>
          <w:sz w:val="19"/>
        </w:rPr>
        <w:t> </w:t>
      </w:r>
      <w:r>
        <w:rPr>
          <w:rFonts w:ascii="Courier New"/>
          <w:b/>
          <w:sz w:val="19"/>
        </w:rPr>
        <w:t>County</w:t>
      </w:r>
    </w:p>
    <w:p>
      <w:pPr>
        <w:pStyle w:val="BodyText"/>
        <w:spacing w:before="4"/>
        <w:rPr>
          <w:rFonts w:ascii="Courier New"/>
          <w:b/>
          <w:sz w:val="18"/>
        </w:rPr>
      </w:pPr>
    </w:p>
    <w:p>
      <w:pPr>
        <w:spacing w:line="230" w:lineRule="auto" w:before="0"/>
        <w:ind w:left="1400" w:right="1868" w:firstLine="494"/>
        <w:jc w:val="left"/>
        <w:rPr>
          <w:rFonts w:ascii="Courier New"/>
          <w:sz w:val="19"/>
        </w:rPr>
      </w:pPr>
      <w:r>
        <w:rPr>
          <w:rFonts w:ascii="Courier New"/>
          <w:sz w:val="19"/>
        </w:rPr>
        <w:t>Following is a chart of the various types of technical review checks and related requirements:</w:t>
      </w:r>
    </w:p>
    <w:p>
      <w:pPr>
        <w:pStyle w:val="BodyText"/>
        <w:spacing w:before="2"/>
        <w:rPr>
          <w:rFonts w:ascii="Courier New"/>
          <w:sz w:val="18"/>
        </w:rPr>
      </w:pPr>
    </w:p>
    <w:p>
      <w:pPr>
        <w:tabs>
          <w:tab w:pos="2993" w:val="left" w:leader="none"/>
          <w:tab w:pos="3393" w:val="left" w:leader="none"/>
        </w:tabs>
        <w:spacing w:line="230" w:lineRule="auto" w:before="0"/>
        <w:ind w:left="2405" w:right="1689" w:firstLine="0"/>
        <w:jc w:val="left"/>
        <w:rPr>
          <w:rFonts w:ascii="Courier New"/>
          <w:sz w:val="19"/>
        </w:rPr>
      </w:pPr>
      <w:r>
        <w:rPr>
          <w:rFonts w:ascii="Courier New"/>
          <w:sz w:val="19"/>
        </w:rPr>
        <w:t>F</w:t>
        <w:tab/>
        <w:t>-</w:t>
        <w:tab/>
      </w:r>
      <w:r>
        <w:rPr>
          <w:rFonts w:ascii="Courier New"/>
          <w:sz w:val="19"/>
          <w:u w:val="single"/>
        </w:rPr>
        <w:t>F</w:t>
      </w:r>
      <w:r>
        <w:rPr>
          <w:rFonts w:ascii="Courier New"/>
          <w:sz w:val="19"/>
        </w:rPr>
        <w:t>atal (Data must be corrected; an explanation is not allowed) W/WC</w:t>
      </w:r>
      <w:r>
        <w:rPr>
          <w:rFonts w:ascii="Courier New"/>
          <w:spacing w:val="17"/>
          <w:sz w:val="19"/>
        </w:rPr>
        <w:t> </w:t>
      </w:r>
      <w:r>
        <w:rPr>
          <w:rFonts w:ascii="Courier New"/>
          <w:sz w:val="19"/>
        </w:rPr>
        <w:t>-</w:t>
        <w:tab/>
      </w:r>
      <w:r>
        <w:rPr>
          <w:rFonts w:ascii="Courier New"/>
          <w:sz w:val="19"/>
          <w:u w:val="single"/>
        </w:rPr>
        <w:t>W</w:t>
      </w:r>
      <w:r>
        <w:rPr>
          <w:rFonts w:ascii="Courier New"/>
          <w:sz w:val="19"/>
        </w:rPr>
        <w:t>arning/</w:t>
      </w:r>
      <w:r>
        <w:rPr>
          <w:rFonts w:ascii="Courier New"/>
          <w:sz w:val="19"/>
          <w:u w:val="single"/>
        </w:rPr>
        <w:t>W</w:t>
      </w:r>
      <w:r>
        <w:rPr>
          <w:rFonts w:ascii="Courier New"/>
          <w:sz w:val="19"/>
        </w:rPr>
        <w:t>arning with </w:t>
      </w:r>
      <w:r>
        <w:rPr>
          <w:rFonts w:ascii="Courier New"/>
          <w:sz w:val="19"/>
          <w:u w:val="single"/>
        </w:rPr>
        <w:t>C</w:t>
      </w:r>
      <w:r>
        <w:rPr>
          <w:rFonts w:ascii="Courier New"/>
          <w:sz w:val="19"/>
        </w:rPr>
        <w:t>alculation (If data are not</w:t>
      </w:r>
      <w:r>
        <w:rPr>
          <w:rFonts w:ascii="Courier New"/>
          <w:spacing w:val="18"/>
          <w:sz w:val="19"/>
        </w:rPr>
        <w:t> </w:t>
      </w:r>
      <w:r>
        <w:rPr>
          <w:rFonts w:ascii="Courier New"/>
          <w:sz w:val="19"/>
        </w:rPr>
        <w:t>correct,</w:t>
      </w:r>
    </w:p>
    <w:p>
      <w:pPr>
        <w:spacing w:line="230" w:lineRule="auto" w:before="0"/>
        <w:ind w:left="3394" w:right="2728" w:firstLine="0"/>
        <w:jc w:val="left"/>
        <w:rPr>
          <w:rFonts w:ascii="Courier New"/>
          <w:sz w:val="19"/>
        </w:rPr>
      </w:pPr>
      <w:r>
        <w:rPr>
          <w:rFonts w:ascii="Courier New"/>
          <w:sz w:val="19"/>
        </w:rPr>
        <w:t>correct the data; if data are correct an explanation is required)</w:t>
      </w:r>
    </w:p>
    <w:p>
      <w:pPr>
        <w:tabs>
          <w:tab w:pos="2993" w:val="left" w:leader="none"/>
          <w:tab w:pos="3393" w:val="left" w:leader="none"/>
        </w:tabs>
        <w:spacing w:line="230" w:lineRule="auto" w:before="0"/>
        <w:ind w:left="3394" w:right="1868" w:hanging="989"/>
        <w:jc w:val="left"/>
        <w:rPr>
          <w:rFonts w:ascii="Courier New"/>
          <w:sz w:val="19"/>
        </w:rPr>
      </w:pPr>
      <w:r>
        <w:rPr>
          <w:rFonts w:ascii="Courier New"/>
          <w:sz w:val="19"/>
        </w:rPr>
        <w:t>O</w:t>
        <w:tab/>
        <w:t>-</w:t>
        <w:tab/>
        <w:t>Inf</w:t>
      </w:r>
      <w:r>
        <w:rPr>
          <w:rFonts w:ascii="Courier New"/>
          <w:sz w:val="19"/>
          <w:u w:val="single"/>
        </w:rPr>
        <w:t>o</w:t>
      </w:r>
      <w:r>
        <w:rPr>
          <w:rFonts w:ascii="Courier New"/>
          <w:sz w:val="19"/>
        </w:rPr>
        <w:t>rmational (If data are not correct, correct the data; if data are correct an explanation is</w:t>
      </w:r>
      <w:r>
        <w:rPr>
          <w:rFonts w:ascii="Courier New"/>
          <w:spacing w:val="53"/>
          <w:sz w:val="19"/>
        </w:rPr>
        <w:t> </w:t>
      </w:r>
      <w:r>
        <w:rPr>
          <w:rFonts w:ascii="Courier New"/>
          <w:sz w:val="19"/>
        </w:rPr>
        <w:t>optional,</w:t>
      </w:r>
    </w:p>
    <w:p>
      <w:pPr>
        <w:spacing w:line="208" w:lineRule="exact" w:before="0"/>
        <w:ind w:left="3394" w:right="0" w:firstLine="0"/>
        <w:jc w:val="left"/>
        <w:rPr>
          <w:rFonts w:ascii="Courier New"/>
          <w:sz w:val="19"/>
        </w:rPr>
      </w:pPr>
      <w:r>
        <w:rPr>
          <w:rFonts w:ascii="Courier New"/>
          <w:sz w:val="19"/>
        </w:rPr>
        <w:t>but encouraged)</w:t>
      </w:r>
    </w:p>
    <w:p>
      <w:pPr>
        <w:spacing w:line="720" w:lineRule="exact" w:before="43"/>
        <w:ind w:left="1400" w:right="6727" w:firstLine="0"/>
        <w:jc w:val="left"/>
        <w:rPr>
          <w:rFonts w:ascii="Courier New"/>
          <w:b/>
          <w:sz w:val="32"/>
        </w:rPr>
      </w:pPr>
      <w:r>
        <w:rPr>
          <w:rFonts w:ascii="Courier New"/>
          <w:b/>
          <w:sz w:val="32"/>
          <w:u w:val="thick"/>
        </w:rPr>
        <w:t>IMPORT  CHECKS GENERAL LEDGER </w:t>
      </w:r>
      <w:r>
        <w:rPr>
          <w:rFonts w:ascii="Courier New"/>
          <w:b/>
          <w:spacing w:val="-3"/>
          <w:sz w:val="32"/>
          <w:u w:val="thick"/>
        </w:rPr>
        <w:t>CHECKS</w:t>
      </w:r>
      <w:r>
        <w:rPr>
          <w:rFonts w:ascii="Courier New"/>
          <w:b/>
          <w:spacing w:val="-3"/>
          <w:sz w:val="32"/>
        </w:rPr>
        <w:t> </w:t>
      </w:r>
      <w:r>
        <w:rPr>
          <w:rFonts w:ascii="Courier New"/>
          <w:b/>
          <w:sz w:val="32"/>
          <w:u w:val="thick"/>
        </w:rPr>
        <w:t>SUPPLEMENTAL CHECKS</w:t>
      </w:r>
      <w:r>
        <w:rPr>
          <w:rFonts w:ascii="Courier New"/>
          <w:b/>
          <w:sz w:val="32"/>
        </w:rPr>
        <w:t> </w:t>
      </w:r>
      <w:r>
        <w:rPr>
          <w:rFonts w:ascii="Courier New"/>
          <w:b/>
          <w:sz w:val="32"/>
          <w:u w:val="thick"/>
        </w:rPr>
        <w:t>EXPORT CHECKS</w:t>
      </w:r>
    </w:p>
    <w:p>
      <w:pPr>
        <w:spacing w:before="153"/>
        <w:ind w:left="1400" w:right="0" w:firstLine="0"/>
        <w:jc w:val="left"/>
        <w:rPr>
          <w:rFonts w:ascii="Courier New"/>
          <w:sz w:val="20"/>
        </w:rPr>
      </w:pPr>
      <w:r>
        <w:rPr>
          <w:rFonts w:ascii="Courier New"/>
          <w:sz w:val="20"/>
        </w:rPr>
        <w:t>Checks Completed.</w:t>
      </w:r>
    </w:p>
    <w:p>
      <w:pPr>
        <w:spacing w:after="0"/>
        <w:jc w:val="left"/>
        <w:rPr>
          <w:rFonts w:ascii="Courier New"/>
          <w:sz w:val="20"/>
        </w:rPr>
        <w:sectPr>
          <w:headerReference w:type="default" r:id="rId1934"/>
          <w:footerReference w:type="default" r:id="rId1935"/>
          <w:pgSz w:w="12240" w:h="15840"/>
          <w:pgMar w:header="0" w:footer="0" w:top="2080" w:bottom="280" w:left="40" w:right="40"/>
        </w:sectPr>
      </w:pPr>
    </w:p>
    <w:p>
      <w:pPr>
        <w:spacing w:line="232" w:lineRule="auto" w:before="4"/>
        <w:ind w:left="4556" w:right="4564" w:firstLine="0"/>
        <w:jc w:val="center"/>
        <w:rPr>
          <w:rFonts w:ascii="Courier New"/>
          <w:b/>
          <w:sz w:val="20"/>
        </w:rPr>
      </w:pPr>
      <w:bookmarkStart w:name="TRC ESTIMATED ACTUALS" w:id="24"/>
      <w:bookmarkEnd w:id="24"/>
      <w:r>
        <w:rPr/>
      </w:r>
      <w:r>
        <w:rPr>
          <w:rFonts w:ascii="Courier New"/>
          <w:b/>
          <w:sz w:val="20"/>
        </w:rPr>
        <w:t>2020-21 Estimated Actuals Technical Review Checks</w:t>
      </w:r>
    </w:p>
    <w:p>
      <w:pPr>
        <w:tabs>
          <w:tab w:pos="7730" w:val="left" w:leader="none"/>
        </w:tabs>
        <w:spacing w:line="224" w:lineRule="exact" w:before="0"/>
        <w:ind w:left="0" w:right="70" w:firstLine="0"/>
        <w:jc w:val="center"/>
        <w:rPr>
          <w:rFonts w:ascii="Courier New"/>
          <w:b/>
          <w:sz w:val="20"/>
        </w:rPr>
      </w:pPr>
      <w:r>
        <w:rPr>
          <w:rFonts w:ascii="Courier New"/>
          <w:b/>
          <w:sz w:val="20"/>
        </w:rPr>
        <w:t>Winship-Robbins</w:t>
      </w:r>
      <w:r>
        <w:rPr>
          <w:rFonts w:ascii="Courier New"/>
          <w:b/>
          <w:spacing w:val="-7"/>
          <w:sz w:val="20"/>
        </w:rPr>
        <w:t> </w:t>
      </w:r>
      <w:r>
        <w:rPr>
          <w:rFonts w:ascii="Courier New"/>
          <w:b/>
          <w:sz w:val="20"/>
        </w:rPr>
        <w:t>Elementary</w:t>
        <w:tab/>
        <w:t>Sutter</w:t>
      </w:r>
      <w:r>
        <w:rPr>
          <w:rFonts w:ascii="Courier New"/>
          <w:b/>
          <w:spacing w:val="-1"/>
          <w:sz w:val="20"/>
        </w:rPr>
        <w:t> </w:t>
      </w:r>
      <w:r>
        <w:rPr>
          <w:rFonts w:ascii="Courier New"/>
          <w:b/>
          <w:sz w:val="20"/>
        </w:rPr>
        <w:t>County</w:t>
      </w:r>
    </w:p>
    <w:p>
      <w:pPr>
        <w:pStyle w:val="BodyText"/>
        <w:spacing w:before="8"/>
        <w:rPr>
          <w:rFonts w:ascii="Courier New"/>
          <w:b/>
          <w:sz w:val="18"/>
        </w:rPr>
      </w:pPr>
    </w:p>
    <w:p>
      <w:pPr>
        <w:spacing w:line="223" w:lineRule="auto" w:before="0"/>
        <w:ind w:left="1400" w:right="932" w:firstLine="494"/>
        <w:jc w:val="left"/>
        <w:rPr>
          <w:rFonts w:ascii="Courier New"/>
          <w:sz w:val="20"/>
        </w:rPr>
      </w:pPr>
      <w:r>
        <w:rPr>
          <w:rFonts w:ascii="Courier New"/>
          <w:sz w:val="20"/>
        </w:rPr>
        <w:t>Following is a chart of the various types of technical review checks and related requirements:</w:t>
      </w:r>
    </w:p>
    <w:p>
      <w:pPr>
        <w:pStyle w:val="BodyText"/>
        <w:spacing w:before="8"/>
        <w:rPr>
          <w:rFonts w:ascii="Courier New"/>
          <w:sz w:val="18"/>
        </w:rPr>
      </w:pPr>
    </w:p>
    <w:p>
      <w:pPr>
        <w:tabs>
          <w:tab w:pos="3004" w:val="left" w:leader="none"/>
          <w:tab w:pos="3393" w:val="left" w:leader="none"/>
        </w:tabs>
        <w:spacing w:line="223" w:lineRule="auto" w:before="0"/>
        <w:ind w:left="2405" w:right="1453" w:firstLine="0"/>
        <w:jc w:val="left"/>
        <w:rPr>
          <w:rFonts w:ascii="Courier New"/>
          <w:sz w:val="20"/>
        </w:rPr>
      </w:pPr>
      <w:r>
        <w:rPr>
          <w:rFonts w:ascii="Courier New"/>
          <w:sz w:val="20"/>
        </w:rPr>
        <w:t>F</w:t>
        <w:tab/>
        <w:t>-</w:t>
        <w:tab/>
      </w:r>
      <w:r>
        <w:rPr>
          <w:rFonts w:ascii="Courier New"/>
          <w:sz w:val="20"/>
          <w:u w:val="single"/>
        </w:rPr>
        <w:t>F</w:t>
      </w:r>
      <w:r>
        <w:rPr>
          <w:rFonts w:ascii="Courier New"/>
          <w:sz w:val="20"/>
        </w:rPr>
        <w:t>atal (Data must be corrected; an explanation is not</w:t>
      </w:r>
      <w:r>
        <w:rPr>
          <w:rFonts w:ascii="Courier New"/>
          <w:spacing w:val="-23"/>
          <w:sz w:val="20"/>
        </w:rPr>
        <w:t> </w:t>
      </w:r>
      <w:r>
        <w:rPr>
          <w:rFonts w:ascii="Courier New"/>
          <w:sz w:val="20"/>
        </w:rPr>
        <w:t>allowed) W/WC</w:t>
      </w:r>
      <w:r>
        <w:rPr>
          <w:rFonts w:ascii="Courier New"/>
          <w:spacing w:val="-3"/>
          <w:sz w:val="20"/>
        </w:rPr>
        <w:t> </w:t>
      </w:r>
      <w:r>
        <w:rPr>
          <w:rFonts w:ascii="Courier New"/>
          <w:sz w:val="20"/>
        </w:rPr>
        <w:t>-</w:t>
        <w:tab/>
      </w:r>
      <w:r>
        <w:rPr>
          <w:rFonts w:ascii="Courier New"/>
          <w:sz w:val="20"/>
          <w:u w:val="single"/>
        </w:rPr>
        <w:t>W</w:t>
      </w:r>
      <w:r>
        <w:rPr>
          <w:rFonts w:ascii="Courier New"/>
          <w:sz w:val="20"/>
        </w:rPr>
        <w:t>arning/</w:t>
      </w:r>
      <w:r>
        <w:rPr>
          <w:rFonts w:ascii="Courier New"/>
          <w:sz w:val="20"/>
          <w:u w:val="single"/>
        </w:rPr>
        <w:t>W</w:t>
      </w:r>
      <w:r>
        <w:rPr>
          <w:rFonts w:ascii="Courier New"/>
          <w:sz w:val="20"/>
        </w:rPr>
        <w:t>arning with </w:t>
      </w:r>
      <w:r>
        <w:rPr>
          <w:rFonts w:ascii="Courier New"/>
          <w:sz w:val="20"/>
          <w:u w:val="single"/>
        </w:rPr>
        <w:t>C</w:t>
      </w:r>
      <w:r>
        <w:rPr>
          <w:rFonts w:ascii="Courier New"/>
          <w:sz w:val="20"/>
        </w:rPr>
        <w:t>alculation (If data are not</w:t>
      </w:r>
      <w:r>
        <w:rPr>
          <w:rFonts w:ascii="Courier New"/>
          <w:spacing w:val="-16"/>
          <w:sz w:val="20"/>
        </w:rPr>
        <w:t> </w:t>
      </w:r>
      <w:r>
        <w:rPr>
          <w:rFonts w:ascii="Courier New"/>
          <w:sz w:val="20"/>
        </w:rPr>
        <w:t>correct,</w:t>
      </w:r>
    </w:p>
    <w:p>
      <w:pPr>
        <w:spacing w:line="223" w:lineRule="auto" w:before="1"/>
        <w:ind w:left="3394" w:right="2366" w:firstLine="0"/>
        <w:jc w:val="left"/>
        <w:rPr>
          <w:rFonts w:ascii="Courier New"/>
          <w:sz w:val="20"/>
        </w:rPr>
      </w:pPr>
      <w:r>
        <w:rPr>
          <w:rFonts w:ascii="Courier New"/>
          <w:sz w:val="20"/>
        </w:rPr>
        <w:t>correct the data; if data are correct an explanation is required)</w:t>
      </w:r>
    </w:p>
    <w:p>
      <w:pPr>
        <w:tabs>
          <w:tab w:pos="3004" w:val="left" w:leader="none"/>
          <w:tab w:pos="3393" w:val="left" w:leader="none"/>
        </w:tabs>
        <w:spacing w:line="223" w:lineRule="auto" w:before="1"/>
        <w:ind w:left="3394" w:right="1572" w:hanging="989"/>
        <w:jc w:val="left"/>
        <w:rPr>
          <w:rFonts w:ascii="Courier New"/>
          <w:sz w:val="20"/>
        </w:rPr>
      </w:pPr>
      <w:r>
        <w:rPr>
          <w:rFonts w:ascii="Courier New"/>
          <w:sz w:val="20"/>
        </w:rPr>
        <w:t>O</w:t>
        <w:tab/>
        <w:t>-</w:t>
        <w:tab/>
        <w:t>Inf</w:t>
      </w:r>
      <w:r>
        <w:rPr>
          <w:rFonts w:ascii="Courier New"/>
          <w:sz w:val="20"/>
          <w:u w:val="single"/>
        </w:rPr>
        <w:t>o</w:t>
      </w:r>
      <w:r>
        <w:rPr>
          <w:rFonts w:ascii="Courier New"/>
          <w:sz w:val="20"/>
        </w:rPr>
        <w:t>rmational (If data are not correct, correct the data;</w:t>
      </w:r>
      <w:r>
        <w:rPr>
          <w:rFonts w:ascii="Courier New"/>
          <w:spacing w:val="-23"/>
          <w:sz w:val="20"/>
        </w:rPr>
        <w:t> </w:t>
      </w:r>
      <w:r>
        <w:rPr>
          <w:rFonts w:ascii="Courier New"/>
          <w:sz w:val="20"/>
        </w:rPr>
        <w:t>if data are correct an explanation is</w:t>
      </w:r>
      <w:r>
        <w:rPr>
          <w:rFonts w:ascii="Courier New"/>
          <w:spacing w:val="-7"/>
          <w:sz w:val="20"/>
        </w:rPr>
        <w:t> </w:t>
      </w:r>
      <w:r>
        <w:rPr>
          <w:rFonts w:ascii="Courier New"/>
          <w:sz w:val="20"/>
        </w:rPr>
        <w:t>optional,</w:t>
      </w:r>
    </w:p>
    <w:p>
      <w:pPr>
        <w:spacing w:line="216" w:lineRule="exact" w:before="0"/>
        <w:ind w:left="3394" w:right="0" w:firstLine="0"/>
        <w:jc w:val="left"/>
        <w:rPr>
          <w:rFonts w:ascii="Courier New"/>
          <w:sz w:val="20"/>
        </w:rPr>
      </w:pPr>
      <w:r>
        <w:rPr>
          <w:rFonts w:ascii="Courier New"/>
          <w:sz w:val="20"/>
        </w:rPr>
        <w:t>but encouraged)</w:t>
      </w:r>
    </w:p>
    <w:p>
      <w:pPr>
        <w:spacing w:line="720" w:lineRule="exact" w:before="44"/>
        <w:ind w:left="1400" w:right="6727" w:firstLine="0"/>
        <w:jc w:val="left"/>
        <w:rPr>
          <w:rFonts w:ascii="Courier New"/>
          <w:b/>
          <w:sz w:val="32"/>
        </w:rPr>
      </w:pPr>
      <w:r>
        <w:rPr>
          <w:rFonts w:ascii="Courier New"/>
          <w:b/>
          <w:sz w:val="32"/>
          <w:u w:val="thick"/>
        </w:rPr>
        <w:t>IMPORT  CHECKS GENERAL LEDGER </w:t>
      </w:r>
      <w:r>
        <w:rPr>
          <w:rFonts w:ascii="Courier New"/>
          <w:b/>
          <w:spacing w:val="-3"/>
          <w:sz w:val="32"/>
          <w:u w:val="thick"/>
        </w:rPr>
        <w:t>CHECKS</w:t>
      </w:r>
    </w:p>
    <w:p>
      <w:pPr>
        <w:spacing w:line="170" w:lineRule="exact" w:before="0"/>
        <w:ind w:left="1400" w:right="0" w:firstLine="0"/>
        <w:jc w:val="left"/>
        <w:rPr>
          <w:rFonts w:ascii="Courier New"/>
          <w:b/>
          <w:sz w:val="20"/>
        </w:rPr>
      </w:pPr>
      <w:r>
        <w:rPr>
          <w:rFonts w:ascii="Courier New"/>
          <w:b/>
          <w:sz w:val="20"/>
        </w:rPr>
        <w:t>EFB-POSITIVE - (W) - Ending balance (Object 979Z) is negative for the</w:t>
      </w:r>
    </w:p>
    <w:p>
      <w:pPr>
        <w:tabs>
          <w:tab w:pos="9390" w:val="left" w:leader="none"/>
        </w:tabs>
        <w:spacing w:line="232" w:lineRule="auto" w:before="2"/>
        <w:ind w:left="1400" w:right="1689" w:firstLine="0"/>
        <w:jc w:val="left"/>
        <w:rPr>
          <w:rFonts w:ascii="Courier New"/>
          <w:b/>
          <w:sz w:val="20"/>
        </w:rPr>
      </w:pPr>
      <w:r>
        <w:rPr>
          <w:rFonts w:ascii="Courier New"/>
          <w:b/>
          <w:sz w:val="20"/>
        </w:rPr>
        <w:t>following resources. Please explain the cause of the negative balances and your plan to</w:t>
      </w:r>
      <w:r>
        <w:rPr>
          <w:rFonts w:ascii="Courier New"/>
          <w:b/>
          <w:spacing w:val="-6"/>
          <w:sz w:val="20"/>
        </w:rPr>
        <w:t> </w:t>
      </w:r>
      <w:r>
        <w:rPr>
          <w:rFonts w:ascii="Courier New"/>
          <w:b/>
          <w:sz w:val="20"/>
        </w:rPr>
        <w:t>resolve</w:t>
      </w:r>
      <w:r>
        <w:rPr>
          <w:rFonts w:ascii="Courier New"/>
          <w:b/>
          <w:spacing w:val="-2"/>
          <w:sz w:val="20"/>
        </w:rPr>
        <w:t> </w:t>
      </w:r>
      <w:r>
        <w:rPr>
          <w:rFonts w:ascii="Courier New"/>
          <w:b/>
          <w:sz w:val="20"/>
        </w:rPr>
        <w:t>them.</w:t>
        <w:tab/>
      </w:r>
      <w:r>
        <w:rPr>
          <w:rFonts w:ascii="Courier New"/>
          <w:b/>
          <w:w w:val="95"/>
          <w:sz w:val="20"/>
          <w:u w:val="single"/>
        </w:rPr>
        <w:t>EXCEPTION</w:t>
      </w:r>
    </w:p>
    <w:p>
      <w:pPr>
        <w:pStyle w:val="BodyText"/>
        <w:spacing w:before="4"/>
        <w:rPr>
          <w:rFonts w:ascii="Courier New"/>
          <w:b/>
          <w:sz w:val="18"/>
        </w:rPr>
      </w:pPr>
    </w:p>
    <w:p>
      <w:pPr>
        <w:tabs>
          <w:tab w:pos="2839" w:val="left" w:leader="none"/>
          <w:tab w:pos="8718" w:val="left" w:leader="none"/>
        </w:tabs>
        <w:spacing w:line="221" w:lineRule="exact" w:before="0"/>
        <w:ind w:left="1400" w:right="0" w:firstLine="0"/>
        <w:jc w:val="left"/>
        <w:rPr>
          <w:rFonts w:ascii="Courier New"/>
          <w:b/>
          <w:sz w:val="20"/>
        </w:rPr>
      </w:pPr>
      <w:r>
        <w:rPr>
          <w:rFonts w:ascii="Courier New"/>
          <w:b/>
          <w:sz w:val="20"/>
        </w:rPr>
        <w:t>FUND</w:t>
        <w:tab/>
        <w:t>RESOURCE</w:t>
        <w:tab/>
        <w:t>NEG.</w:t>
      </w:r>
      <w:r>
        <w:rPr>
          <w:rFonts w:ascii="Courier New"/>
          <w:b/>
          <w:spacing w:val="-4"/>
          <w:sz w:val="20"/>
        </w:rPr>
        <w:t> </w:t>
      </w:r>
      <w:r>
        <w:rPr>
          <w:rFonts w:ascii="Courier New"/>
          <w:b/>
          <w:sz w:val="20"/>
        </w:rPr>
        <w:t>EFB</w:t>
      </w:r>
    </w:p>
    <w:p>
      <w:pPr>
        <w:pStyle w:val="BodyText"/>
        <w:spacing w:line="20" w:lineRule="exact"/>
        <w:ind w:left="1390"/>
        <w:rPr>
          <w:rFonts w:ascii="Courier New"/>
          <w:sz w:val="2"/>
        </w:rPr>
      </w:pPr>
      <w:r>
        <w:rPr>
          <w:rFonts w:ascii="Courier New"/>
          <w:sz w:val="2"/>
        </w:rPr>
        <w:pict>
          <v:group style="width:414pt;height:1pt;mso-position-horizontal-relative:char;mso-position-vertical-relative:line" coordorigin="0,0" coordsize="8280,20">
            <v:line style="position:absolute" from="0,10" to="1440,10" stroked="true" strokeweight=".959999pt" strokecolor="#000000">
              <v:stroke dashstyle="solid"/>
            </v:line>
            <v:line style="position:absolute" from="1440,10" to="6000,10" stroked="true" strokeweight=".959999pt" strokecolor="#000000">
              <v:stroke dashstyle="solid"/>
            </v:line>
            <v:line style="position:absolute" from="6000,10" to="8280,10" stroked="true" strokeweight=".959999pt" strokecolor="#000000">
              <v:stroke dashstyle="solid"/>
            </v:line>
          </v:group>
        </w:pict>
      </w:r>
      <w:r>
        <w:rPr>
          <w:rFonts w:ascii="Courier New"/>
          <w:sz w:val="2"/>
        </w:rPr>
      </w:r>
    </w:p>
    <w:p>
      <w:pPr>
        <w:tabs>
          <w:tab w:pos="2839" w:val="left" w:leader="none"/>
          <w:tab w:pos="8478" w:val="left" w:leader="none"/>
        </w:tabs>
        <w:spacing w:line="194" w:lineRule="exact" w:before="0"/>
        <w:ind w:left="1400" w:right="0" w:firstLine="0"/>
        <w:jc w:val="left"/>
        <w:rPr>
          <w:rFonts w:ascii="Courier New"/>
          <w:sz w:val="20"/>
        </w:rPr>
      </w:pPr>
      <w:r>
        <w:rPr>
          <w:rFonts w:ascii="Courier New"/>
          <w:sz w:val="20"/>
        </w:rPr>
        <w:t>01</w:t>
        <w:tab/>
        <w:t>3212</w:t>
        <w:tab/>
        <w:t>-35,597.00</w:t>
      </w:r>
    </w:p>
    <w:p>
      <w:pPr>
        <w:spacing w:line="219" w:lineRule="exact" w:before="0"/>
        <w:ind w:left="1400" w:right="0" w:firstLine="0"/>
        <w:jc w:val="left"/>
        <w:rPr>
          <w:rFonts w:ascii="Courier New"/>
          <w:sz w:val="20"/>
        </w:rPr>
      </w:pPr>
      <w:r>
        <w:rPr>
          <w:rFonts w:ascii="Courier New"/>
          <w:sz w:val="20"/>
        </w:rPr>
        <w:t>Explanation:The ESSER II funds will be received in 2021-2022.</w:t>
      </w:r>
    </w:p>
    <w:p>
      <w:pPr>
        <w:tabs>
          <w:tab w:pos="8470" w:val="left" w:leader="none"/>
        </w:tabs>
        <w:spacing w:before="196"/>
        <w:ind w:left="1400" w:right="0" w:firstLine="0"/>
        <w:jc w:val="left"/>
        <w:rPr>
          <w:rFonts w:ascii="Courier New"/>
          <w:sz w:val="20"/>
        </w:rPr>
      </w:pPr>
      <w:r>
        <w:rPr>
          <w:rFonts w:ascii="Courier New"/>
          <w:sz w:val="20"/>
        </w:rPr>
        <w:t>Total of negative resource balances for</w:t>
      </w:r>
      <w:r>
        <w:rPr>
          <w:rFonts w:ascii="Courier New"/>
          <w:spacing w:val="-15"/>
          <w:sz w:val="20"/>
        </w:rPr>
        <w:t> </w:t>
      </w:r>
      <w:r>
        <w:rPr>
          <w:rFonts w:ascii="Courier New"/>
          <w:sz w:val="20"/>
        </w:rPr>
        <w:t>Fund</w:t>
      </w:r>
      <w:r>
        <w:rPr>
          <w:rFonts w:ascii="Courier New"/>
          <w:spacing w:val="-1"/>
          <w:sz w:val="20"/>
        </w:rPr>
        <w:t> </w:t>
      </w:r>
      <w:r>
        <w:rPr>
          <w:rFonts w:ascii="Courier New"/>
          <w:sz w:val="20"/>
        </w:rPr>
        <w:t>01</w:t>
        <w:tab/>
        <w:t>-35,597.00</w:t>
      </w:r>
    </w:p>
    <w:p>
      <w:pPr>
        <w:pStyle w:val="BodyText"/>
        <w:rPr>
          <w:rFonts w:ascii="Courier New"/>
          <w:sz w:val="22"/>
        </w:rPr>
      </w:pPr>
    </w:p>
    <w:p>
      <w:pPr>
        <w:tabs>
          <w:tab w:pos="9390" w:val="left" w:leader="none"/>
        </w:tabs>
        <w:spacing w:line="232" w:lineRule="auto" w:before="167"/>
        <w:ind w:left="1400" w:right="1689" w:firstLine="0"/>
        <w:jc w:val="left"/>
        <w:rPr>
          <w:rFonts w:ascii="Courier New"/>
          <w:b/>
          <w:sz w:val="20"/>
        </w:rPr>
      </w:pPr>
      <w:r>
        <w:rPr>
          <w:rFonts w:ascii="Courier New"/>
          <w:b/>
          <w:sz w:val="20"/>
        </w:rPr>
        <w:t>OBJ-POSITIVE - (W) - The following objects have a negative balance by resource,</w:t>
      </w:r>
      <w:r>
        <w:rPr>
          <w:rFonts w:ascii="Courier New"/>
          <w:b/>
          <w:spacing w:val="-2"/>
          <w:sz w:val="20"/>
        </w:rPr>
        <w:t> </w:t>
      </w:r>
      <w:r>
        <w:rPr>
          <w:rFonts w:ascii="Courier New"/>
          <w:b/>
          <w:sz w:val="20"/>
        </w:rPr>
        <w:t>by</w:t>
      </w:r>
      <w:r>
        <w:rPr>
          <w:rFonts w:ascii="Courier New"/>
          <w:b/>
          <w:spacing w:val="-2"/>
          <w:sz w:val="20"/>
        </w:rPr>
        <w:t> </w:t>
      </w:r>
      <w:r>
        <w:rPr>
          <w:rFonts w:ascii="Courier New"/>
          <w:b/>
          <w:sz w:val="20"/>
        </w:rPr>
        <w:t>fund:</w:t>
        <w:tab/>
      </w:r>
      <w:r>
        <w:rPr>
          <w:rFonts w:ascii="Courier New"/>
          <w:b/>
          <w:w w:val="95"/>
          <w:sz w:val="20"/>
          <w:u w:val="single"/>
        </w:rPr>
        <w:t>EXCEPTION</w:t>
      </w:r>
    </w:p>
    <w:p>
      <w:pPr>
        <w:pStyle w:val="BodyText"/>
        <w:spacing w:before="4"/>
        <w:rPr>
          <w:rFonts w:ascii="Courier New"/>
          <w:b/>
          <w:sz w:val="18"/>
        </w:rPr>
      </w:pPr>
    </w:p>
    <w:p>
      <w:pPr>
        <w:tabs>
          <w:tab w:pos="2839" w:val="left" w:leader="none"/>
          <w:tab w:pos="4279" w:val="left" w:leader="none"/>
          <w:tab w:pos="7083" w:val="left" w:leader="none"/>
        </w:tabs>
        <w:spacing w:line="221" w:lineRule="exact" w:before="1"/>
        <w:ind w:left="1400" w:right="0" w:firstLine="0"/>
        <w:jc w:val="left"/>
        <w:rPr>
          <w:rFonts w:ascii="Courier New"/>
          <w:b/>
          <w:sz w:val="20"/>
        </w:rPr>
      </w:pPr>
      <w:r>
        <w:rPr/>
        <w:pict>
          <v:group style="position:absolute;margin-left:72pt;margin-top:10.655193pt;width:314.3pt;height:1pt;mso-position-horizontal-relative:page;mso-position-vertical-relative:paragraph;z-index:252717056" coordorigin="1440,213" coordsize="6286,20">
            <v:line style="position:absolute" from="1440,223" to="2880,223" stroked="true" strokeweight=".960022pt" strokecolor="#000000">
              <v:stroke dashstyle="solid"/>
            </v:line>
            <v:line style="position:absolute" from="2880,223" to="4320,223" stroked="true" strokeweight=".960022pt" strokecolor="#000000">
              <v:stroke dashstyle="solid"/>
            </v:line>
            <v:line style="position:absolute" from="4320,223" to="5446,223" stroked="true" strokeweight=".960022pt" strokecolor="#000000">
              <v:stroke dashstyle="solid"/>
            </v:line>
            <v:line style="position:absolute" from="5446,223" to="7726,223" stroked="true" strokeweight=".960022pt" strokecolor="#000000">
              <v:stroke dashstyle="solid"/>
            </v:line>
            <w10:wrap type="none"/>
          </v:group>
        </w:pict>
      </w:r>
      <w:r>
        <w:rPr>
          <w:rFonts w:ascii="Courier New"/>
          <w:b/>
          <w:sz w:val="20"/>
        </w:rPr>
        <w:t>FUND</w:t>
        <w:tab/>
        <w:t>RESOURCE</w:t>
        <w:tab/>
        <w:t>OBJECT</w:t>
        <w:tab/>
        <w:t>VALUE</w:t>
      </w:r>
    </w:p>
    <w:p>
      <w:pPr>
        <w:tabs>
          <w:tab w:pos="2839" w:val="left" w:leader="none"/>
          <w:tab w:pos="4278" w:val="left" w:leader="none"/>
          <w:tab w:pos="6482" w:val="left" w:leader="none"/>
        </w:tabs>
        <w:spacing w:line="214" w:lineRule="exact" w:before="0"/>
        <w:ind w:left="1400" w:right="0" w:firstLine="0"/>
        <w:jc w:val="left"/>
        <w:rPr>
          <w:rFonts w:ascii="Courier New"/>
          <w:sz w:val="20"/>
        </w:rPr>
      </w:pPr>
      <w:r>
        <w:rPr>
          <w:rFonts w:ascii="Courier New"/>
          <w:sz w:val="20"/>
        </w:rPr>
        <w:t>01</w:t>
        <w:tab/>
        <w:t>3212</w:t>
        <w:tab/>
        <w:t>9790</w:t>
        <w:tab/>
        <w:t>-35,597.00</w:t>
      </w:r>
    </w:p>
    <w:p>
      <w:pPr>
        <w:spacing w:line="219" w:lineRule="exact" w:before="0"/>
        <w:ind w:left="1400" w:right="0" w:firstLine="0"/>
        <w:jc w:val="left"/>
        <w:rPr>
          <w:rFonts w:ascii="Courier New"/>
          <w:sz w:val="20"/>
        </w:rPr>
      </w:pPr>
      <w:r>
        <w:rPr>
          <w:rFonts w:ascii="Courier New"/>
          <w:sz w:val="20"/>
        </w:rPr>
        <w:t>Explanation:The ESSER II funds will be received in 2021-2022.</w:t>
      </w:r>
    </w:p>
    <w:p>
      <w:pPr>
        <w:pStyle w:val="BodyText"/>
        <w:rPr>
          <w:rFonts w:ascii="Courier New"/>
          <w:sz w:val="22"/>
        </w:rPr>
      </w:pPr>
    </w:p>
    <w:p>
      <w:pPr>
        <w:spacing w:line="720" w:lineRule="atLeast" w:before="168"/>
        <w:ind w:left="1400" w:right="5979" w:firstLine="0"/>
        <w:jc w:val="left"/>
        <w:rPr>
          <w:rFonts w:ascii="Courier New"/>
          <w:b/>
          <w:sz w:val="32"/>
        </w:rPr>
      </w:pPr>
      <w:r>
        <w:rPr>
          <w:rFonts w:ascii="Courier New"/>
          <w:b/>
          <w:sz w:val="32"/>
          <w:u w:val="thick"/>
        </w:rPr>
        <w:t>SUPPLEMENTAL CHECKS</w:t>
      </w:r>
      <w:r>
        <w:rPr>
          <w:rFonts w:ascii="Courier New"/>
          <w:b/>
          <w:sz w:val="32"/>
        </w:rPr>
        <w:t> </w:t>
      </w:r>
      <w:r>
        <w:rPr>
          <w:rFonts w:ascii="Courier New"/>
          <w:b/>
          <w:sz w:val="32"/>
          <w:u w:val="thick"/>
        </w:rPr>
        <w:t>EXPORT CHECKS</w:t>
      </w:r>
    </w:p>
    <w:p>
      <w:pPr>
        <w:spacing w:before="201"/>
        <w:ind w:left="1400" w:right="0" w:firstLine="0"/>
        <w:jc w:val="left"/>
        <w:rPr>
          <w:rFonts w:ascii="Courier New"/>
          <w:sz w:val="20"/>
        </w:rPr>
      </w:pPr>
      <w:r>
        <w:rPr>
          <w:rFonts w:ascii="Courier New"/>
          <w:sz w:val="20"/>
        </w:rPr>
        <w:t>Checks Completed.</w:t>
      </w:r>
    </w:p>
    <w:sectPr>
      <w:headerReference w:type="default" r:id="rId1936"/>
      <w:footerReference w:type="default" r:id="rId1937"/>
      <w:pgSz w:w="12240" w:h="15840"/>
      <w:pgMar w:header="0" w:footer="0" w:top="2080" w:bottom="280" w:left="40" w:right="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2.639999pt;margin-top:748.529114pt;width:157.85pt;height:27.5pt;mso-position-horizontal-relative:page;mso-position-vertical-relative:page;z-index:-314705920" type="#_x0000_t202" filled="false" stroked="false">
          <v:textbox inset="0,0,0,0">
            <w:txbxContent>
              <w:p>
                <w:pPr>
                  <w:spacing w:line="171" w:lineRule="exact" w:before="16"/>
                  <w:ind w:left="20" w:right="0" w:firstLine="0"/>
                  <w:jc w:val="left"/>
                  <w:rPr>
                    <w:sz w:val="15"/>
                  </w:rPr>
                </w:pPr>
                <w:r>
                  <w:rPr>
                    <w:sz w:val="15"/>
                  </w:rPr>
                  <w:t>California Dept of Education</w:t>
                </w:r>
              </w:p>
              <w:p>
                <w:pPr>
                  <w:spacing w:line="237" w:lineRule="auto" w:before="0"/>
                  <w:ind w:left="20" w:right="0" w:firstLine="0"/>
                  <w:jc w:val="left"/>
                  <w:rPr>
                    <w:sz w:val="15"/>
                  </w:rPr>
                </w:pPr>
                <w:r>
                  <w:rPr>
                    <w:sz w:val="15"/>
                  </w:rPr>
                  <w:t>SACS Financial Reporting Software - 2021.1.0 File: cb (Rev 03/26/2020)</w:t>
                </w:r>
              </w:p>
            </w:txbxContent>
          </v:textbox>
          <w10:wrap type="none"/>
        </v:shape>
      </w:pict>
    </w:r>
    <w:r>
      <w:rPr/>
      <w:pict>
        <v:shape style="position:absolute;margin-left:285.397217pt;margin-top:765.569092pt;width:40.8pt;height:10.45pt;mso-position-horizontal-relative:page;mso-position-vertical-relative:page;z-index:-314704896" type="#_x0000_t202" filled="false" stroked="false">
          <v:textbox inset="0,0,0,0">
            <w:txbxContent>
              <w:p>
                <w:pPr>
                  <w:spacing w:before="16"/>
                  <w:ind w:left="20" w:right="0" w:firstLine="0"/>
                  <w:jc w:val="left"/>
                  <w:rPr>
                    <w:sz w:val="15"/>
                  </w:rPr>
                </w:pPr>
                <w:r>
                  <w:rPr>
                    <w:sz w:val="15"/>
                  </w:rPr>
                  <w:t>Page </w:t>
                </w:r>
                <w:r>
                  <w:rPr/>
                  <w:fldChar w:fldCharType="begin"/>
                </w:r>
                <w:r>
                  <w:rPr>
                    <w:sz w:val="15"/>
                  </w:rPr>
                  <w:instrText> PAGE </w:instrText>
                </w:r>
                <w:r>
                  <w:rPr/>
                  <w:fldChar w:fldCharType="separate"/>
                </w:r>
                <w:r>
                  <w:rPr/>
                  <w:t>1</w:t>
                </w:r>
                <w:r>
                  <w:rPr/>
                  <w:fldChar w:fldCharType="end"/>
                </w:r>
                <w:r>
                  <w:rPr>
                    <w:sz w:val="15"/>
                  </w:rPr>
                  <w:t> of 4</w:t>
                </w:r>
              </w:p>
            </w:txbxContent>
          </v:textbox>
          <w10:wrap type="none"/>
        </v:shape>
      </w:pict>
    </w:r>
    <w:r>
      <w:rPr/>
      <w:pict>
        <v:shape style="position:absolute;margin-left:488.092468pt;margin-top:765.569092pt;width:100.9pt;height:10.45pt;mso-position-horizontal-relative:page;mso-position-vertical-relative:page;z-index:-314703872" type="#_x0000_t202" filled="false" stroked="false">
          <v:textbox inset="0,0,0,0">
            <w:txbxContent>
              <w:p>
                <w:pPr>
                  <w:spacing w:before="16"/>
                  <w:ind w:left="20" w:right="0" w:firstLine="0"/>
                  <w:jc w:val="left"/>
                  <w:rPr>
                    <w:sz w:val="15"/>
                  </w:rPr>
                </w:pPr>
                <w:r>
                  <w:rPr>
                    <w:sz w:val="15"/>
                  </w:rPr>
                  <w:t>Printed: 6/4/2021 10:09 AM</w:t>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120001pt;margin-top:758.458679pt;width:126.45pt;height:22.4pt;mso-position-horizontal-relative:page;mso-position-vertical-relative:page;z-index:-314672128" type="#_x0000_t202" filled="false" stroked="false">
          <v:textbox inset="0,0,0,0">
            <w:txbxContent>
              <w:p>
                <w:pPr>
                  <w:spacing w:line="137" w:lineRule="exact" w:before="16"/>
                  <w:ind w:left="20" w:right="0" w:firstLine="0"/>
                  <w:jc w:val="left"/>
                  <w:rPr>
                    <w:sz w:val="12"/>
                  </w:rPr>
                </w:pPr>
                <w:r>
                  <w:rPr>
                    <w:sz w:val="12"/>
                  </w:rPr>
                  <w:t>California Dept of Education</w:t>
                </w:r>
              </w:p>
              <w:p>
                <w:pPr>
                  <w:spacing w:before="0"/>
                  <w:ind w:left="20" w:right="14" w:firstLine="0"/>
                  <w:jc w:val="left"/>
                  <w:rPr>
                    <w:sz w:val="12"/>
                  </w:rPr>
                </w:pPr>
                <w:r>
                  <w:rPr>
                    <w:sz w:val="12"/>
                  </w:rPr>
                  <w:t>SACS Financial Reporting Software - 2021.1.0 File: fund-b (Rev 04/03/2019)</w:t>
                </w:r>
              </w:p>
            </w:txbxContent>
          </v:textbox>
          <w10:wrap type="none"/>
        </v:shape>
      </w:pict>
    </w:r>
    <w:r>
      <w:rPr/>
      <w:pict>
        <v:shape style="position:absolute;margin-left:295.297607pt;margin-top:772.138611pt;width:21.05pt;height:8.7pt;mso-position-horizontal-relative:page;mso-position-vertical-relative:page;z-index:-314671104" type="#_x0000_t202" filled="false" stroked="false">
          <v:textbox inset="0,0,0,0">
            <w:txbxContent>
              <w:p>
                <w:pPr>
                  <w:spacing w:before="16"/>
                  <w:ind w:left="20" w:right="0" w:firstLine="0"/>
                  <w:jc w:val="left"/>
                  <w:rPr>
                    <w:sz w:val="12"/>
                  </w:rPr>
                </w:pPr>
                <w:r>
                  <w:rPr>
                    <w:sz w:val="12"/>
                  </w:rPr>
                  <w:t>Page 1</w:t>
                </w:r>
              </w:p>
            </w:txbxContent>
          </v:textbox>
          <w10:wrap type="none"/>
        </v:shape>
      </w:pict>
    </w:r>
    <w:r>
      <w:rPr/>
      <w:pict>
        <v:shape style="position:absolute;margin-left:509.991089pt;margin-top:772.138611pt;width:78.8pt;height:8.7pt;mso-position-horizontal-relative:page;mso-position-vertical-relative:page;z-index:-314670080" type="#_x0000_t202" filled="false" stroked="false">
          <v:textbox inset="0,0,0,0">
            <w:txbxContent>
              <w:p>
                <w:pPr>
                  <w:spacing w:before="16"/>
                  <w:ind w:left="20" w:right="0" w:firstLine="0"/>
                  <w:jc w:val="left"/>
                  <w:rPr>
                    <w:sz w:val="12"/>
                  </w:rPr>
                </w:pPr>
                <w:r>
                  <w:rPr>
                    <w:sz w:val="12"/>
                  </w:rPr>
                  <w:t>Printed: 6/4/2021 10:06 AM</w:t>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120001pt;margin-top:758.458679pt;width:126.45pt;height:22.4pt;mso-position-horizontal-relative:page;mso-position-vertical-relative:page;z-index:-314668032" type="#_x0000_t202" filled="false" stroked="false">
          <v:textbox inset="0,0,0,0">
            <w:txbxContent>
              <w:p>
                <w:pPr>
                  <w:spacing w:line="137" w:lineRule="exact" w:before="16"/>
                  <w:ind w:left="20" w:right="0" w:firstLine="0"/>
                  <w:jc w:val="left"/>
                  <w:rPr>
                    <w:sz w:val="12"/>
                  </w:rPr>
                </w:pPr>
                <w:r>
                  <w:rPr>
                    <w:sz w:val="12"/>
                  </w:rPr>
                  <w:t>California Dept of Education</w:t>
                </w:r>
              </w:p>
              <w:p>
                <w:pPr>
                  <w:spacing w:before="0"/>
                  <w:ind w:left="20" w:right="14" w:firstLine="0"/>
                  <w:jc w:val="left"/>
                  <w:rPr>
                    <w:sz w:val="12"/>
                  </w:rPr>
                </w:pPr>
                <w:r>
                  <w:rPr>
                    <w:sz w:val="12"/>
                  </w:rPr>
                  <w:t>SACS Financial Reporting Software - 2021.1.0 File: fund-b (Rev 04/03/2019)</w:t>
                </w:r>
              </w:p>
            </w:txbxContent>
          </v:textbox>
          <w10:wrap type="none"/>
        </v:shape>
      </w:pict>
    </w:r>
    <w:r>
      <w:rPr/>
      <w:pict>
        <v:shape style="position:absolute;margin-left:295.297607pt;margin-top:772.138611pt;width:21.05pt;height:8.7pt;mso-position-horizontal-relative:page;mso-position-vertical-relative:page;z-index:-314667008" type="#_x0000_t202" filled="false" stroked="false">
          <v:textbox inset="0,0,0,0">
            <w:txbxContent>
              <w:p>
                <w:pPr>
                  <w:spacing w:before="16"/>
                  <w:ind w:left="20" w:right="0" w:firstLine="0"/>
                  <w:jc w:val="left"/>
                  <w:rPr>
                    <w:sz w:val="12"/>
                  </w:rPr>
                </w:pPr>
                <w:r>
                  <w:rPr>
                    <w:sz w:val="12"/>
                  </w:rPr>
                  <w:t>Page 2</w:t>
                </w:r>
              </w:p>
            </w:txbxContent>
          </v:textbox>
          <w10:wrap type="none"/>
        </v:shape>
      </w:pict>
    </w:r>
    <w:r>
      <w:rPr/>
      <w:pict>
        <v:shape style="position:absolute;margin-left:509.991089pt;margin-top:772.138611pt;width:78.8pt;height:8.7pt;mso-position-horizontal-relative:page;mso-position-vertical-relative:page;z-index:-314665984" type="#_x0000_t202" filled="false" stroked="false">
          <v:textbox inset="0,0,0,0">
            <w:txbxContent>
              <w:p>
                <w:pPr>
                  <w:spacing w:before="16"/>
                  <w:ind w:left="20" w:right="0" w:firstLine="0"/>
                  <w:jc w:val="left"/>
                  <w:rPr>
                    <w:sz w:val="12"/>
                  </w:rPr>
                </w:pPr>
                <w:r>
                  <w:rPr>
                    <w:sz w:val="12"/>
                  </w:rPr>
                  <w:t>Printed: 6/4/2021 10:06 AM</w:t>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2.400002pt;margin-top:759.167114pt;width:122.7pt;height:22pt;mso-position-horizontal-relative:page;mso-position-vertical-relative:page;z-index:-314662912" type="#_x0000_t202" filled="false" stroked="false">
          <v:textbox inset="0,0,0,0">
            <w:txbxContent>
              <w:p>
                <w:pPr>
                  <w:spacing w:before="23"/>
                  <w:ind w:left="20" w:right="0" w:firstLine="0"/>
                  <w:jc w:val="left"/>
                  <w:rPr>
                    <w:sz w:val="11"/>
                  </w:rPr>
                </w:pPr>
                <w:r>
                  <w:rPr>
                    <w:w w:val="105"/>
                    <w:sz w:val="11"/>
                  </w:rPr>
                  <w:t>California Dept of Education</w:t>
                </w:r>
              </w:p>
              <w:p>
                <w:pPr>
                  <w:spacing w:line="254" w:lineRule="auto" w:before="8"/>
                  <w:ind w:left="20" w:right="0" w:firstLine="0"/>
                  <w:jc w:val="left"/>
                  <w:rPr>
                    <w:sz w:val="11"/>
                  </w:rPr>
                </w:pPr>
                <w:r>
                  <w:rPr>
                    <w:w w:val="105"/>
                    <w:sz w:val="11"/>
                  </w:rPr>
                  <w:t>SACS Financial Reporting Software - 2021.1.0 File: fund-b (Rev 02/25/2021)</w:t>
                </w:r>
              </w:p>
            </w:txbxContent>
          </v:textbox>
          <w10:wrap type="none"/>
        </v:shape>
      </w:pict>
    </w:r>
    <w:r>
      <w:rPr/>
      <w:pict>
        <v:shape style="position:absolute;margin-left:295.601288pt;margin-top:772.607117pt;width:22.6pt;height:8.6pt;mso-position-horizontal-relative:page;mso-position-vertical-relative:page;z-index:-314661888" type="#_x0000_t202" filled="false" stroked="false">
          <v:textbox inset="0,0,0,0">
            <w:txbxContent>
              <w:p>
                <w:pPr>
                  <w:spacing w:before="23"/>
                  <w:ind w:left="20" w:right="0" w:firstLine="0"/>
                  <w:jc w:val="left"/>
                  <w:rPr>
                    <w:sz w:val="11"/>
                  </w:rPr>
                </w:pPr>
                <w:r>
                  <w:rPr>
                    <w:w w:val="105"/>
                    <w:sz w:val="11"/>
                  </w:rPr>
                  <w:t>Page </w:t>
                </w:r>
                <w:r>
                  <w:rPr/>
                  <w:fldChar w:fldCharType="begin"/>
                </w:r>
                <w:r>
                  <w:rPr>
                    <w:w w:val="105"/>
                    <w:sz w:val="11"/>
                  </w:rPr>
                  <w:instrText> PAGE </w:instrText>
                </w:r>
                <w:r>
                  <w:rPr/>
                  <w:fldChar w:fldCharType="separate"/>
                </w:r>
                <w:r>
                  <w:rPr/>
                  <w:t>1</w:t>
                </w:r>
                <w:r>
                  <w:rPr/>
                  <w:fldChar w:fldCharType="end"/>
                </w:r>
              </w:p>
            </w:txbxContent>
          </v:textbox>
          <w10:wrap type="none"/>
        </v:shape>
      </w:pict>
    </w:r>
    <w:r>
      <w:rPr/>
      <w:pict>
        <v:shape style="position:absolute;margin-left:512.673645pt;margin-top:772.607117pt;width:76.8pt;height:8.6pt;mso-position-horizontal-relative:page;mso-position-vertical-relative:page;z-index:-314660864" type="#_x0000_t202" filled="false" stroked="false">
          <v:textbox inset="0,0,0,0">
            <w:txbxContent>
              <w:p>
                <w:pPr>
                  <w:spacing w:before="23"/>
                  <w:ind w:left="20" w:right="0" w:firstLine="0"/>
                  <w:jc w:val="left"/>
                  <w:rPr>
                    <w:sz w:val="11"/>
                  </w:rPr>
                </w:pPr>
                <w:r>
                  <w:rPr>
                    <w:w w:val="105"/>
                    <w:sz w:val="11"/>
                  </w:rPr>
                  <w:t>Printed: 6/4/2021 10:06 AM</w:t>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120001pt;margin-top:758.458679pt;width:126.45pt;height:22.4pt;mso-position-horizontal-relative:page;mso-position-vertical-relative:page;z-index:-314658816" type="#_x0000_t202" filled="false" stroked="false">
          <v:textbox inset="0,0,0,0">
            <w:txbxContent>
              <w:p>
                <w:pPr>
                  <w:spacing w:line="137" w:lineRule="exact" w:before="16"/>
                  <w:ind w:left="20" w:right="0" w:firstLine="0"/>
                  <w:jc w:val="left"/>
                  <w:rPr>
                    <w:sz w:val="12"/>
                  </w:rPr>
                </w:pPr>
                <w:r>
                  <w:rPr>
                    <w:sz w:val="12"/>
                  </w:rPr>
                  <w:t>California Dept of Education</w:t>
                </w:r>
              </w:p>
              <w:p>
                <w:pPr>
                  <w:spacing w:before="0"/>
                  <w:ind w:left="20" w:right="14" w:firstLine="0"/>
                  <w:jc w:val="left"/>
                  <w:rPr>
                    <w:sz w:val="12"/>
                  </w:rPr>
                </w:pPr>
                <w:r>
                  <w:rPr>
                    <w:sz w:val="12"/>
                  </w:rPr>
                  <w:t>SACS Financial Reporting Software - 2021.1.0 File: fund-b (Rev 04/03/2019)</w:t>
                </w:r>
              </w:p>
            </w:txbxContent>
          </v:textbox>
          <w10:wrap type="none"/>
        </v:shape>
      </w:pict>
    </w:r>
    <w:r>
      <w:rPr/>
      <w:pict>
        <v:shape style="position:absolute;margin-left:295.297607pt;margin-top:772.138611pt;width:21.05pt;height:8.7pt;mso-position-horizontal-relative:page;mso-position-vertical-relative:page;z-index:-314657792" type="#_x0000_t202" filled="false" stroked="false">
          <v:textbox inset="0,0,0,0">
            <w:txbxContent>
              <w:p>
                <w:pPr>
                  <w:spacing w:before="16"/>
                  <w:ind w:left="20" w:right="0" w:firstLine="0"/>
                  <w:jc w:val="left"/>
                  <w:rPr>
                    <w:sz w:val="12"/>
                  </w:rPr>
                </w:pPr>
                <w:r>
                  <w:rPr>
                    <w:sz w:val="12"/>
                  </w:rPr>
                  <w:t>Page 1</w:t>
                </w:r>
              </w:p>
            </w:txbxContent>
          </v:textbox>
          <w10:wrap type="none"/>
        </v:shape>
      </w:pict>
    </w:r>
    <w:r>
      <w:rPr/>
      <w:pict>
        <v:shape style="position:absolute;margin-left:509.991089pt;margin-top:772.138611pt;width:78.8pt;height:8.7pt;mso-position-horizontal-relative:page;mso-position-vertical-relative:page;z-index:-314656768" type="#_x0000_t202" filled="false" stroked="false">
          <v:textbox inset="0,0,0,0">
            <w:txbxContent>
              <w:p>
                <w:pPr>
                  <w:spacing w:before="16"/>
                  <w:ind w:left="20" w:right="0" w:firstLine="0"/>
                  <w:jc w:val="left"/>
                  <w:rPr>
                    <w:sz w:val="12"/>
                  </w:rPr>
                </w:pPr>
                <w:r>
                  <w:rPr>
                    <w:sz w:val="12"/>
                  </w:rPr>
                  <w:t>Printed: 6/4/2021 10:06 AM</w:t>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120001pt;margin-top:758.458679pt;width:126.45pt;height:22.4pt;mso-position-horizontal-relative:page;mso-position-vertical-relative:page;z-index:-314654720" type="#_x0000_t202" filled="false" stroked="false">
          <v:textbox inset="0,0,0,0">
            <w:txbxContent>
              <w:p>
                <w:pPr>
                  <w:spacing w:line="137" w:lineRule="exact" w:before="16"/>
                  <w:ind w:left="20" w:right="0" w:firstLine="0"/>
                  <w:jc w:val="left"/>
                  <w:rPr>
                    <w:sz w:val="12"/>
                  </w:rPr>
                </w:pPr>
                <w:r>
                  <w:rPr>
                    <w:sz w:val="12"/>
                  </w:rPr>
                  <w:t>California Dept of Education</w:t>
                </w:r>
              </w:p>
              <w:p>
                <w:pPr>
                  <w:spacing w:before="0"/>
                  <w:ind w:left="20" w:right="14" w:firstLine="0"/>
                  <w:jc w:val="left"/>
                  <w:rPr>
                    <w:sz w:val="12"/>
                  </w:rPr>
                </w:pPr>
                <w:r>
                  <w:rPr>
                    <w:sz w:val="12"/>
                  </w:rPr>
                  <w:t>SACS Financial Reporting Software - 2021.1.0 File: fund-b (Rev 04/03/2019)</w:t>
                </w:r>
              </w:p>
            </w:txbxContent>
          </v:textbox>
          <w10:wrap type="none"/>
        </v:shape>
      </w:pict>
    </w:r>
    <w:r>
      <w:rPr/>
      <w:pict>
        <v:shape style="position:absolute;margin-left:295.297607pt;margin-top:772.138611pt;width:21.05pt;height:8.7pt;mso-position-horizontal-relative:page;mso-position-vertical-relative:page;z-index:-314653696" type="#_x0000_t202" filled="false" stroked="false">
          <v:textbox inset="0,0,0,0">
            <w:txbxContent>
              <w:p>
                <w:pPr>
                  <w:spacing w:before="16"/>
                  <w:ind w:left="20" w:right="0" w:firstLine="0"/>
                  <w:jc w:val="left"/>
                  <w:rPr>
                    <w:sz w:val="12"/>
                  </w:rPr>
                </w:pPr>
                <w:r>
                  <w:rPr>
                    <w:sz w:val="12"/>
                  </w:rPr>
                  <w:t>Page 2</w:t>
                </w:r>
              </w:p>
            </w:txbxContent>
          </v:textbox>
          <w10:wrap type="none"/>
        </v:shape>
      </w:pict>
    </w:r>
    <w:r>
      <w:rPr/>
      <w:pict>
        <v:shape style="position:absolute;margin-left:509.991089pt;margin-top:772.138611pt;width:78.8pt;height:8.7pt;mso-position-horizontal-relative:page;mso-position-vertical-relative:page;z-index:-314652672" type="#_x0000_t202" filled="false" stroked="false">
          <v:textbox inset="0,0,0,0">
            <w:txbxContent>
              <w:p>
                <w:pPr>
                  <w:spacing w:before="16"/>
                  <w:ind w:left="20" w:right="0" w:firstLine="0"/>
                  <w:jc w:val="left"/>
                  <w:rPr>
                    <w:sz w:val="12"/>
                  </w:rPr>
                </w:pPr>
                <w:r>
                  <w:rPr>
                    <w:sz w:val="12"/>
                  </w:rPr>
                  <w:t>Printed: 6/4/2021 10:06 AM</w:t>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2.400002pt;margin-top:759.167114pt;width:122.7pt;height:22pt;mso-position-horizontal-relative:page;mso-position-vertical-relative:page;z-index:-314649600" type="#_x0000_t202" filled="false" stroked="false">
          <v:textbox inset="0,0,0,0">
            <w:txbxContent>
              <w:p>
                <w:pPr>
                  <w:spacing w:before="23"/>
                  <w:ind w:left="20" w:right="0" w:firstLine="0"/>
                  <w:jc w:val="left"/>
                  <w:rPr>
                    <w:sz w:val="11"/>
                  </w:rPr>
                </w:pPr>
                <w:r>
                  <w:rPr>
                    <w:w w:val="105"/>
                    <w:sz w:val="11"/>
                  </w:rPr>
                  <w:t>California Dept of Education</w:t>
                </w:r>
              </w:p>
              <w:p>
                <w:pPr>
                  <w:spacing w:line="254" w:lineRule="auto" w:before="8"/>
                  <w:ind w:left="20" w:right="0" w:firstLine="0"/>
                  <w:jc w:val="left"/>
                  <w:rPr>
                    <w:sz w:val="11"/>
                  </w:rPr>
                </w:pPr>
                <w:r>
                  <w:rPr>
                    <w:w w:val="105"/>
                    <w:sz w:val="11"/>
                  </w:rPr>
                  <w:t>SACS Financial Reporting Software - 2021.1.0 File: fund-b (Rev 02/25/2021)</w:t>
                </w:r>
              </w:p>
            </w:txbxContent>
          </v:textbox>
          <w10:wrap type="none"/>
        </v:shape>
      </w:pict>
    </w:r>
    <w:r>
      <w:rPr/>
      <w:pict>
        <v:shape style="position:absolute;margin-left:295.601288pt;margin-top:772.607117pt;width:22.6pt;height:8.6pt;mso-position-horizontal-relative:page;mso-position-vertical-relative:page;z-index:-314648576" type="#_x0000_t202" filled="false" stroked="false">
          <v:textbox inset="0,0,0,0">
            <w:txbxContent>
              <w:p>
                <w:pPr>
                  <w:spacing w:before="23"/>
                  <w:ind w:left="20" w:right="0" w:firstLine="0"/>
                  <w:jc w:val="left"/>
                  <w:rPr>
                    <w:sz w:val="11"/>
                  </w:rPr>
                </w:pPr>
                <w:r>
                  <w:rPr>
                    <w:w w:val="105"/>
                    <w:sz w:val="11"/>
                  </w:rPr>
                  <w:t>Page </w:t>
                </w:r>
                <w:r>
                  <w:rPr/>
                  <w:fldChar w:fldCharType="begin"/>
                </w:r>
                <w:r>
                  <w:rPr>
                    <w:w w:val="105"/>
                    <w:sz w:val="11"/>
                  </w:rPr>
                  <w:instrText> PAGE </w:instrText>
                </w:r>
                <w:r>
                  <w:rPr/>
                  <w:fldChar w:fldCharType="separate"/>
                </w:r>
                <w:r>
                  <w:rPr/>
                  <w:t>1</w:t>
                </w:r>
                <w:r>
                  <w:rPr/>
                  <w:fldChar w:fldCharType="end"/>
                </w:r>
              </w:p>
            </w:txbxContent>
          </v:textbox>
          <w10:wrap type="none"/>
        </v:shape>
      </w:pict>
    </w:r>
    <w:r>
      <w:rPr/>
      <w:pict>
        <v:shape style="position:absolute;margin-left:512.673645pt;margin-top:772.607117pt;width:76.8pt;height:8.6pt;mso-position-horizontal-relative:page;mso-position-vertical-relative:page;z-index:-314647552" type="#_x0000_t202" filled="false" stroked="false">
          <v:textbox inset="0,0,0,0">
            <w:txbxContent>
              <w:p>
                <w:pPr>
                  <w:spacing w:before="23"/>
                  <w:ind w:left="20" w:right="0" w:firstLine="0"/>
                  <w:jc w:val="left"/>
                  <w:rPr>
                    <w:sz w:val="11"/>
                  </w:rPr>
                </w:pPr>
                <w:r>
                  <w:rPr>
                    <w:w w:val="105"/>
                    <w:sz w:val="11"/>
                  </w:rPr>
                  <w:t>Printed: 6/4/2021 10:07 AM</w:t>
                </w:r>
              </w:p>
            </w:txbxContent>
          </v:textbox>
          <w10:wrap type="non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2.400002pt;margin-top:759.167114pt;width:122.7pt;height:22pt;mso-position-horizontal-relative:page;mso-position-vertical-relative:page;z-index:-314643456" type="#_x0000_t202" filled="false" stroked="false">
          <v:textbox inset="0,0,0,0">
            <w:txbxContent>
              <w:p>
                <w:pPr>
                  <w:spacing w:before="23"/>
                  <w:ind w:left="20" w:right="0" w:firstLine="0"/>
                  <w:jc w:val="left"/>
                  <w:rPr>
                    <w:sz w:val="11"/>
                  </w:rPr>
                </w:pPr>
                <w:r>
                  <w:rPr>
                    <w:w w:val="105"/>
                    <w:sz w:val="11"/>
                  </w:rPr>
                  <w:t>California Dept of Education</w:t>
                </w:r>
              </w:p>
              <w:p>
                <w:pPr>
                  <w:spacing w:line="254" w:lineRule="auto" w:before="8"/>
                  <w:ind w:left="20" w:right="0" w:firstLine="0"/>
                  <w:jc w:val="left"/>
                  <w:rPr>
                    <w:sz w:val="11"/>
                  </w:rPr>
                </w:pPr>
                <w:r>
                  <w:rPr>
                    <w:w w:val="105"/>
                    <w:sz w:val="11"/>
                  </w:rPr>
                  <w:t>SACS Financial Reporting Software - 2021.1.0 File: fund-b (Rev 02/25/2021)</w:t>
                </w:r>
              </w:p>
            </w:txbxContent>
          </v:textbox>
          <w10:wrap type="none"/>
        </v:shape>
      </w:pict>
    </w:r>
    <w:r>
      <w:rPr/>
      <w:pict>
        <v:shape style="position:absolute;margin-left:295.601288pt;margin-top:772.607117pt;width:22.6pt;height:8.6pt;mso-position-horizontal-relative:page;mso-position-vertical-relative:page;z-index:-314642432" type="#_x0000_t202" filled="false" stroked="false">
          <v:textbox inset="0,0,0,0">
            <w:txbxContent>
              <w:p>
                <w:pPr>
                  <w:spacing w:before="23"/>
                  <w:ind w:left="20" w:right="0" w:firstLine="0"/>
                  <w:jc w:val="left"/>
                  <w:rPr>
                    <w:sz w:val="11"/>
                  </w:rPr>
                </w:pPr>
                <w:r>
                  <w:rPr>
                    <w:w w:val="105"/>
                    <w:sz w:val="11"/>
                  </w:rPr>
                  <w:t>Page </w:t>
                </w:r>
                <w:r>
                  <w:rPr/>
                  <w:fldChar w:fldCharType="begin"/>
                </w:r>
                <w:r>
                  <w:rPr>
                    <w:w w:val="105"/>
                    <w:sz w:val="11"/>
                  </w:rPr>
                  <w:instrText> PAGE </w:instrText>
                </w:r>
                <w:r>
                  <w:rPr/>
                  <w:fldChar w:fldCharType="separate"/>
                </w:r>
                <w:r>
                  <w:rPr/>
                  <w:t>4</w:t>
                </w:r>
                <w:r>
                  <w:rPr/>
                  <w:fldChar w:fldCharType="end"/>
                </w:r>
              </w:p>
            </w:txbxContent>
          </v:textbox>
          <w10:wrap type="none"/>
        </v:shape>
      </w:pict>
    </w:r>
    <w:r>
      <w:rPr/>
      <w:pict>
        <v:shape style="position:absolute;margin-left:512.673645pt;margin-top:772.607117pt;width:76.8pt;height:8.6pt;mso-position-horizontal-relative:page;mso-position-vertical-relative:page;z-index:-314641408" type="#_x0000_t202" filled="false" stroked="false">
          <v:textbox inset="0,0,0,0">
            <w:txbxContent>
              <w:p>
                <w:pPr>
                  <w:spacing w:before="23"/>
                  <w:ind w:left="20" w:right="0" w:firstLine="0"/>
                  <w:jc w:val="left"/>
                  <w:rPr>
                    <w:sz w:val="11"/>
                  </w:rPr>
                </w:pPr>
                <w:r>
                  <w:rPr>
                    <w:w w:val="105"/>
                    <w:sz w:val="11"/>
                  </w:rPr>
                  <w:t>Printed: 6/4/2021 10:07 AM</w:t>
                </w:r>
              </w:p>
            </w:txbxContent>
          </v:textbox>
          <w10:wrap type="non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120001pt;margin-top:758.458679pt;width:126.45pt;height:22.4pt;mso-position-horizontal-relative:page;mso-position-vertical-relative:page;z-index:-314637312" type="#_x0000_t202" filled="false" stroked="false">
          <v:textbox inset="0,0,0,0">
            <w:txbxContent>
              <w:p>
                <w:pPr>
                  <w:spacing w:line="137" w:lineRule="exact" w:before="16"/>
                  <w:ind w:left="20" w:right="0" w:firstLine="0"/>
                  <w:jc w:val="left"/>
                  <w:rPr>
                    <w:sz w:val="12"/>
                  </w:rPr>
                </w:pPr>
                <w:r>
                  <w:rPr>
                    <w:sz w:val="12"/>
                  </w:rPr>
                  <w:t>California Dept of Education</w:t>
                </w:r>
              </w:p>
              <w:p>
                <w:pPr>
                  <w:spacing w:before="0"/>
                  <w:ind w:left="20" w:right="14" w:firstLine="0"/>
                  <w:jc w:val="left"/>
                  <w:rPr>
                    <w:sz w:val="12"/>
                  </w:rPr>
                </w:pPr>
                <w:r>
                  <w:rPr>
                    <w:sz w:val="12"/>
                  </w:rPr>
                  <w:t>SACS Financial Reporting Software - 2021.1.0 File: fund-b (Rev 04/03/2019)</w:t>
                </w:r>
              </w:p>
            </w:txbxContent>
          </v:textbox>
          <w10:wrap type="none"/>
        </v:shape>
      </w:pict>
    </w:r>
    <w:r>
      <w:rPr/>
      <w:pict>
        <v:shape style="position:absolute;margin-left:295.297607pt;margin-top:772.138611pt;width:21.05pt;height:8.7pt;mso-position-horizontal-relative:page;mso-position-vertical-relative:page;z-index:-314636288" type="#_x0000_t202" filled="false" stroked="false">
          <v:textbox inset="0,0,0,0">
            <w:txbxContent>
              <w:p>
                <w:pPr>
                  <w:spacing w:before="16"/>
                  <w:ind w:left="20" w:right="0" w:firstLine="0"/>
                  <w:jc w:val="left"/>
                  <w:rPr>
                    <w:sz w:val="12"/>
                  </w:rPr>
                </w:pPr>
                <w:r>
                  <w:rPr>
                    <w:sz w:val="12"/>
                  </w:rPr>
                  <w:t>Page 1</w:t>
                </w:r>
              </w:p>
            </w:txbxContent>
          </v:textbox>
          <w10:wrap type="none"/>
        </v:shape>
      </w:pict>
    </w:r>
    <w:r>
      <w:rPr/>
      <w:pict>
        <v:shape style="position:absolute;margin-left:509.991089pt;margin-top:772.138611pt;width:78.8pt;height:8.7pt;mso-position-horizontal-relative:page;mso-position-vertical-relative:page;z-index:-314635264" type="#_x0000_t202" filled="false" stroked="false">
          <v:textbox inset="0,0,0,0">
            <w:txbxContent>
              <w:p>
                <w:pPr>
                  <w:spacing w:before="16"/>
                  <w:ind w:left="20" w:right="0" w:firstLine="0"/>
                  <w:jc w:val="left"/>
                  <w:rPr>
                    <w:sz w:val="12"/>
                  </w:rPr>
                </w:pPr>
                <w:r>
                  <w:rPr>
                    <w:sz w:val="12"/>
                  </w:rPr>
                  <w:t>Printed: 6/4/2021 10:07 AM</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1.040001pt;margin-top:764.976379pt;width:101.1pt;height:11.95pt;mso-position-horizontal-relative:page;mso-position-vertical-relative:page;z-index:-314702848" type="#_x0000_t202" filled="false" stroked="false">
          <v:textbox inset="0,0,0,0">
            <w:txbxContent>
              <w:p>
                <w:pPr>
                  <w:spacing w:before="21"/>
                  <w:ind w:left="20" w:right="0" w:firstLine="0"/>
                  <w:jc w:val="left"/>
                  <w:rPr>
                    <w:sz w:val="17"/>
                  </w:rPr>
                </w:pPr>
                <w:r>
                  <w:rPr>
                    <w:w w:val="105"/>
                    <w:sz w:val="17"/>
                  </w:rPr>
                  <w:t>File: cc (Rev 02/14/2017)</w:t>
                </w:r>
              </w:p>
            </w:txbxContent>
          </v:textbox>
          <w10:wrap type="none"/>
        </v:shape>
      </w:pict>
    </w:r>
    <w:r>
      <w:rPr/>
      <w:pict>
        <v:shape style="position:absolute;margin-left:282.096558pt;margin-top:764.976379pt;width:47.45pt;height:11.95pt;mso-position-horizontal-relative:page;mso-position-vertical-relative:page;z-index:-314701824" type="#_x0000_t202" filled="false" stroked="false">
          <v:textbox inset="0,0,0,0">
            <w:txbxContent>
              <w:p>
                <w:pPr>
                  <w:spacing w:before="21"/>
                  <w:ind w:left="20" w:right="0" w:firstLine="0"/>
                  <w:jc w:val="left"/>
                  <w:rPr>
                    <w:sz w:val="17"/>
                  </w:rPr>
                </w:pPr>
                <w:r>
                  <w:rPr>
                    <w:w w:val="105"/>
                    <w:sz w:val="17"/>
                  </w:rPr>
                  <w:t>Page 1 of 1</w:t>
                </w:r>
              </w:p>
            </w:txbxContent>
          </v:textbox>
          <w10:wrap type="none"/>
        </v:shape>
      </w:pict>
    </w:r>
    <w:r>
      <w:rPr/>
      <w:pict>
        <v:shape style="position:absolute;margin-left:465.654633pt;margin-top:764.976379pt;width:115.15pt;height:11.95pt;mso-position-horizontal-relative:page;mso-position-vertical-relative:page;z-index:-314700800" type="#_x0000_t202" filled="false" stroked="false">
          <v:textbox inset="0,0,0,0">
            <w:txbxContent>
              <w:p>
                <w:pPr>
                  <w:spacing w:before="21"/>
                  <w:ind w:left="20" w:right="0" w:firstLine="0"/>
                  <w:jc w:val="left"/>
                  <w:rPr>
                    <w:sz w:val="17"/>
                  </w:rPr>
                </w:pPr>
                <w:r>
                  <w:rPr>
                    <w:w w:val="105"/>
                    <w:sz w:val="17"/>
                  </w:rPr>
                  <w:t>Printed: 6/4/2021 10:10 AM</w:t>
                </w:r>
              </w:p>
            </w:txbxContent>
          </v:textbox>
          <w10:wrap type="non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120001pt;margin-top:758.458679pt;width:126.45pt;height:22.4pt;mso-position-horizontal-relative:page;mso-position-vertical-relative:page;z-index:-314631168" type="#_x0000_t202" filled="false" stroked="false">
          <v:textbox inset="0,0,0,0">
            <w:txbxContent>
              <w:p>
                <w:pPr>
                  <w:spacing w:line="137" w:lineRule="exact" w:before="16"/>
                  <w:ind w:left="20" w:right="0" w:firstLine="0"/>
                  <w:jc w:val="left"/>
                  <w:rPr>
                    <w:sz w:val="12"/>
                  </w:rPr>
                </w:pPr>
                <w:r>
                  <w:rPr>
                    <w:sz w:val="12"/>
                  </w:rPr>
                  <w:t>California Dept of Education</w:t>
                </w:r>
              </w:p>
              <w:p>
                <w:pPr>
                  <w:spacing w:before="0"/>
                  <w:ind w:left="20" w:right="14" w:firstLine="0"/>
                  <w:jc w:val="left"/>
                  <w:rPr>
                    <w:sz w:val="12"/>
                  </w:rPr>
                </w:pPr>
                <w:r>
                  <w:rPr>
                    <w:sz w:val="12"/>
                  </w:rPr>
                  <w:t>SACS Financial Reporting Software - 2021.1.0 File: fund-b (Rev 04/03/2019)</w:t>
                </w:r>
              </w:p>
            </w:txbxContent>
          </v:textbox>
          <w10:wrap type="none"/>
        </v:shape>
      </w:pict>
    </w:r>
    <w:r>
      <w:rPr/>
      <w:pict>
        <v:shape style="position:absolute;margin-left:295.297607pt;margin-top:772.138611pt;width:21.05pt;height:8.7pt;mso-position-horizontal-relative:page;mso-position-vertical-relative:page;z-index:-314630144" type="#_x0000_t202" filled="false" stroked="false">
          <v:textbox inset="0,0,0,0">
            <w:txbxContent>
              <w:p>
                <w:pPr>
                  <w:spacing w:before="16"/>
                  <w:ind w:left="20" w:right="0" w:firstLine="0"/>
                  <w:jc w:val="left"/>
                  <w:rPr>
                    <w:sz w:val="12"/>
                  </w:rPr>
                </w:pPr>
                <w:r>
                  <w:rPr>
                    <w:sz w:val="12"/>
                  </w:rPr>
                  <w:t>Page 2</w:t>
                </w:r>
              </w:p>
            </w:txbxContent>
          </v:textbox>
          <w10:wrap type="none"/>
        </v:shape>
      </w:pict>
    </w:r>
    <w:r>
      <w:rPr/>
      <w:pict>
        <v:shape style="position:absolute;margin-left:509.991089pt;margin-top:772.138611pt;width:78.8pt;height:8.7pt;mso-position-horizontal-relative:page;mso-position-vertical-relative:page;z-index:-314629120" type="#_x0000_t202" filled="false" stroked="false">
          <v:textbox inset="0,0,0,0">
            <w:txbxContent>
              <w:p>
                <w:pPr>
                  <w:spacing w:before="16"/>
                  <w:ind w:left="20" w:right="0" w:firstLine="0"/>
                  <w:jc w:val="left"/>
                  <w:rPr>
                    <w:sz w:val="12"/>
                  </w:rPr>
                </w:pPr>
                <w:r>
                  <w:rPr>
                    <w:sz w:val="12"/>
                  </w:rPr>
                  <w:t>Printed: 6/4/2021 10:07 AM</w:t>
                </w:r>
              </w:p>
            </w:txbxContent>
          </v:textbox>
          <w10:wrap type="non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2.400002pt;margin-top:759.167114pt;width:122.7pt;height:22pt;mso-position-horizontal-relative:page;mso-position-vertical-relative:page;z-index:-314626048" type="#_x0000_t202" filled="false" stroked="false">
          <v:textbox inset="0,0,0,0">
            <w:txbxContent>
              <w:p>
                <w:pPr>
                  <w:spacing w:before="23"/>
                  <w:ind w:left="20" w:right="0" w:firstLine="0"/>
                  <w:jc w:val="left"/>
                  <w:rPr>
                    <w:sz w:val="11"/>
                  </w:rPr>
                </w:pPr>
                <w:r>
                  <w:rPr>
                    <w:w w:val="105"/>
                    <w:sz w:val="11"/>
                  </w:rPr>
                  <w:t>California Dept of Education</w:t>
                </w:r>
              </w:p>
              <w:p>
                <w:pPr>
                  <w:spacing w:line="254" w:lineRule="auto" w:before="8"/>
                  <w:ind w:left="20" w:right="0" w:firstLine="0"/>
                  <w:jc w:val="left"/>
                  <w:rPr>
                    <w:sz w:val="11"/>
                  </w:rPr>
                </w:pPr>
                <w:r>
                  <w:rPr>
                    <w:w w:val="105"/>
                    <w:sz w:val="11"/>
                  </w:rPr>
                  <w:t>SACS Financial Reporting Software - 2021.1.0 File: fund-d (Rev 04/23/2021)</w:t>
                </w:r>
              </w:p>
            </w:txbxContent>
          </v:textbox>
          <w10:wrap type="none"/>
        </v:shape>
      </w:pict>
    </w:r>
    <w:r>
      <w:rPr/>
      <w:pict>
        <v:shape style="position:absolute;margin-left:295.601288pt;margin-top:772.607117pt;width:22.6pt;height:8.6pt;mso-position-horizontal-relative:page;mso-position-vertical-relative:page;z-index:-314625024" type="#_x0000_t202" filled="false" stroked="false">
          <v:textbox inset="0,0,0,0">
            <w:txbxContent>
              <w:p>
                <w:pPr>
                  <w:spacing w:before="23"/>
                  <w:ind w:left="20" w:right="0" w:firstLine="0"/>
                  <w:jc w:val="left"/>
                  <w:rPr>
                    <w:sz w:val="11"/>
                  </w:rPr>
                </w:pPr>
                <w:r>
                  <w:rPr>
                    <w:w w:val="105"/>
                    <w:sz w:val="11"/>
                  </w:rPr>
                  <w:t>Page </w:t>
                </w:r>
                <w:r>
                  <w:rPr/>
                  <w:fldChar w:fldCharType="begin"/>
                </w:r>
                <w:r>
                  <w:rPr>
                    <w:w w:val="105"/>
                    <w:sz w:val="11"/>
                  </w:rPr>
                  <w:instrText> PAGE </w:instrText>
                </w:r>
                <w:r>
                  <w:rPr/>
                  <w:fldChar w:fldCharType="separate"/>
                </w:r>
                <w:r>
                  <w:rPr/>
                  <w:t>1</w:t>
                </w:r>
                <w:r>
                  <w:rPr/>
                  <w:fldChar w:fldCharType="end"/>
                </w:r>
              </w:p>
            </w:txbxContent>
          </v:textbox>
          <w10:wrap type="none"/>
        </v:shape>
      </w:pict>
    </w:r>
    <w:r>
      <w:rPr/>
      <w:pict>
        <v:shape style="position:absolute;margin-left:512.673645pt;margin-top:772.607117pt;width:76.8pt;height:8.6pt;mso-position-horizontal-relative:page;mso-position-vertical-relative:page;z-index:-314624000" type="#_x0000_t202" filled="false" stroked="false">
          <v:textbox inset="0,0,0,0">
            <w:txbxContent>
              <w:p>
                <w:pPr>
                  <w:spacing w:before="23"/>
                  <w:ind w:left="20" w:right="0" w:firstLine="0"/>
                  <w:jc w:val="left"/>
                  <w:rPr>
                    <w:sz w:val="11"/>
                  </w:rPr>
                </w:pPr>
                <w:r>
                  <w:rPr>
                    <w:w w:val="105"/>
                    <w:sz w:val="11"/>
                  </w:rPr>
                  <w:t>Printed: 6/4/2021 10:07 AM</w:t>
                </w:r>
              </w:p>
            </w:txbxContent>
          </v:textbox>
          <w10:wrap type="non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2.400002pt;margin-top:759.167114pt;width:122.7pt;height:22pt;mso-position-horizontal-relative:page;mso-position-vertical-relative:page;z-index:-314619904" type="#_x0000_t202" filled="false" stroked="false">
          <v:textbox inset="0,0,0,0">
            <w:txbxContent>
              <w:p>
                <w:pPr>
                  <w:spacing w:before="23"/>
                  <w:ind w:left="20" w:right="0" w:firstLine="0"/>
                  <w:jc w:val="left"/>
                  <w:rPr>
                    <w:sz w:val="11"/>
                  </w:rPr>
                </w:pPr>
                <w:r>
                  <w:rPr>
                    <w:w w:val="105"/>
                    <w:sz w:val="11"/>
                  </w:rPr>
                  <w:t>California Dept of Education</w:t>
                </w:r>
              </w:p>
              <w:p>
                <w:pPr>
                  <w:spacing w:line="254" w:lineRule="auto" w:before="8"/>
                  <w:ind w:left="20" w:right="0" w:firstLine="0"/>
                  <w:jc w:val="left"/>
                  <w:rPr>
                    <w:sz w:val="11"/>
                  </w:rPr>
                </w:pPr>
                <w:r>
                  <w:rPr>
                    <w:w w:val="105"/>
                    <w:sz w:val="11"/>
                  </w:rPr>
                  <w:t>SACS Financial Reporting Software - 2021.1.0 File: fund-d (Rev 04/23/2021)</w:t>
                </w:r>
              </w:p>
            </w:txbxContent>
          </v:textbox>
          <w10:wrap type="none"/>
        </v:shape>
      </w:pict>
    </w:r>
    <w:r>
      <w:rPr/>
      <w:pict>
        <v:shape style="position:absolute;margin-left:295.601288pt;margin-top:772.607117pt;width:22.6pt;height:8.6pt;mso-position-horizontal-relative:page;mso-position-vertical-relative:page;z-index:-314618880" type="#_x0000_t202" filled="false" stroked="false">
          <v:textbox inset="0,0,0,0">
            <w:txbxContent>
              <w:p>
                <w:pPr>
                  <w:spacing w:before="23"/>
                  <w:ind w:left="20" w:right="0" w:firstLine="0"/>
                  <w:jc w:val="left"/>
                  <w:rPr>
                    <w:sz w:val="11"/>
                  </w:rPr>
                </w:pPr>
                <w:r>
                  <w:rPr>
                    <w:w w:val="105"/>
                    <w:sz w:val="11"/>
                  </w:rPr>
                  <w:t>Page </w:t>
                </w:r>
                <w:r>
                  <w:rPr/>
                  <w:fldChar w:fldCharType="begin"/>
                </w:r>
                <w:r>
                  <w:rPr>
                    <w:w w:val="105"/>
                    <w:sz w:val="11"/>
                  </w:rPr>
                  <w:instrText> PAGE </w:instrText>
                </w:r>
                <w:r>
                  <w:rPr/>
                  <w:fldChar w:fldCharType="separate"/>
                </w:r>
                <w:r>
                  <w:rPr/>
                  <w:t>4</w:t>
                </w:r>
                <w:r>
                  <w:rPr/>
                  <w:fldChar w:fldCharType="end"/>
                </w:r>
              </w:p>
            </w:txbxContent>
          </v:textbox>
          <w10:wrap type="none"/>
        </v:shape>
      </w:pict>
    </w:r>
    <w:r>
      <w:rPr/>
      <w:pict>
        <v:shape style="position:absolute;margin-left:512.673645pt;margin-top:772.607117pt;width:76.8pt;height:8.6pt;mso-position-horizontal-relative:page;mso-position-vertical-relative:page;z-index:-314617856" type="#_x0000_t202" filled="false" stroked="false">
          <v:textbox inset="0,0,0,0">
            <w:txbxContent>
              <w:p>
                <w:pPr>
                  <w:spacing w:before="23"/>
                  <w:ind w:left="20" w:right="0" w:firstLine="0"/>
                  <w:jc w:val="left"/>
                  <w:rPr>
                    <w:sz w:val="11"/>
                  </w:rPr>
                </w:pPr>
                <w:r>
                  <w:rPr>
                    <w:w w:val="105"/>
                    <w:sz w:val="11"/>
                  </w:rPr>
                  <w:t>Printed: 6/4/2021 10:07 AM</w:t>
                </w:r>
              </w:p>
            </w:txbxContent>
          </v:textbox>
          <w10:wrap type="non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120001pt;margin-top:758.458679pt;width:126.45pt;height:22.4pt;mso-position-horizontal-relative:page;mso-position-vertical-relative:page;z-index:-314613760" type="#_x0000_t202" filled="false" stroked="false">
          <v:textbox inset="0,0,0,0">
            <w:txbxContent>
              <w:p>
                <w:pPr>
                  <w:spacing w:line="137" w:lineRule="exact" w:before="16"/>
                  <w:ind w:left="20" w:right="0" w:firstLine="0"/>
                  <w:jc w:val="left"/>
                  <w:rPr>
                    <w:sz w:val="12"/>
                  </w:rPr>
                </w:pPr>
                <w:r>
                  <w:rPr>
                    <w:sz w:val="12"/>
                  </w:rPr>
                  <w:t>California Dept of Education</w:t>
                </w:r>
              </w:p>
              <w:p>
                <w:pPr>
                  <w:spacing w:before="0"/>
                  <w:ind w:left="20" w:right="14" w:firstLine="0"/>
                  <w:jc w:val="left"/>
                  <w:rPr>
                    <w:sz w:val="12"/>
                  </w:rPr>
                </w:pPr>
                <w:r>
                  <w:rPr>
                    <w:sz w:val="12"/>
                  </w:rPr>
                  <w:t>SACS Financial Reporting Software - 2021.1.0 File: fund-d (Rev 03/27/2018)</w:t>
                </w:r>
              </w:p>
            </w:txbxContent>
          </v:textbox>
          <w10:wrap type="none"/>
        </v:shape>
      </w:pict>
    </w:r>
    <w:r>
      <w:rPr/>
      <w:pict>
        <v:shape style="position:absolute;margin-left:295.297607pt;margin-top:772.138611pt;width:21.05pt;height:8.7pt;mso-position-horizontal-relative:page;mso-position-vertical-relative:page;z-index:-314612736" type="#_x0000_t202" filled="false" stroked="false">
          <v:textbox inset="0,0,0,0">
            <w:txbxContent>
              <w:p>
                <w:pPr>
                  <w:spacing w:before="16"/>
                  <w:ind w:left="20" w:right="0" w:firstLine="0"/>
                  <w:jc w:val="left"/>
                  <w:rPr>
                    <w:sz w:val="12"/>
                  </w:rPr>
                </w:pPr>
                <w:r>
                  <w:rPr>
                    <w:sz w:val="12"/>
                  </w:rPr>
                  <w:t>Page 1</w:t>
                </w:r>
              </w:p>
            </w:txbxContent>
          </v:textbox>
          <w10:wrap type="none"/>
        </v:shape>
      </w:pict>
    </w:r>
    <w:r>
      <w:rPr/>
      <w:pict>
        <v:shape style="position:absolute;margin-left:509.991089pt;margin-top:772.138611pt;width:78.8pt;height:8.7pt;mso-position-horizontal-relative:page;mso-position-vertical-relative:page;z-index:-314611712" type="#_x0000_t202" filled="false" stroked="false">
          <v:textbox inset="0,0,0,0">
            <w:txbxContent>
              <w:p>
                <w:pPr>
                  <w:spacing w:before="16"/>
                  <w:ind w:left="20" w:right="0" w:firstLine="0"/>
                  <w:jc w:val="left"/>
                  <w:rPr>
                    <w:sz w:val="12"/>
                  </w:rPr>
                </w:pPr>
                <w:r>
                  <w:rPr>
                    <w:sz w:val="12"/>
                  </w:rPr>
                  <w:t>Printed: 6/4/2021 10:07 AM</w:t>
                </w:r>
              </w:p>
            </w:txbxContent>
          </v:textbox>
          <w10:wrap type="non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120001pt;margin-top:758.458679pt;width:126.45pt;height:22.4pt;mso-position-horizontal-relative:page;mso-position-vertical-relative:page;z-index:-314607616" type="#_x0000_t202" filled="false" stroked="false">
          <v:textbox inset="0,0,0,0">
            <w:txbxContent>
              <w:p>
                <w:pPr>
                  <w:spacing w:line="137" w:lineRule="exact" w:before="16"/>
                  <w:ind w:left="20" w:right="0" w:firstLine="0"/>
                  <w:jc w:val="left"/>
                  <w:rPr>
                    <w:sz w:val="12"/>
                  </w:rPr>
                </w:pPr>
                <w:r>
                  <w:rPr>
                    <w:sz w:val="12"/>
                  </w:rPr>
                  <w:t>California Dept of Education</w:t>
                </w:r>
              </w:p>
              <w:p>
                <w:pPr>
                  <w:spacing w:before="0"/>
                  <w:ind w:left="20" w:right="14" w:firstLine="0"/>
                  <w:jc w:val="left"/>
                  <w:rPr>
                    <w:sz w:val="12"/>
                  </w:rPr>
                </w:pPr>
                <w:r>
                  <w:rPr>
                    <w:sz w:val="12"/>
                  </w:rPr>
                  <w:t>SACS Financial Reporting Software - 2021.1.0 File: fund-d (Rev 03/27/2018)</w:t>
                </w:r>
              </w:p>
            </w:txbxContent>
          </v:textbox>
          <w10:wrap type="none"/>
        </v:shape>
      </w:pict>
    </w:r>
    <w:r>
      <w:rPr/>
      <w:pict>
        <v:shape style="position:absolute;margin-left:295.297607pt;margin-top:772.138611pt;width:21.05pt;height:8.7pt;mso-position-horizontal-relative:page;mso-position-vertical-relative:page;z-index:-314606592" type="#_x0000_t202" filled="false" stroked="false">
          <v:textbox inset="0,0,0,0">
            <w:txbxContent>
              <w:p>
                <w:pPr>
                  <w:spacing w:before="16"/>
                  <w:ind w:left="20" w:right="0" w:firstLine="0"/>
                  <w:jc w:val="left"/>
                  <w:rPr>
                    <w:sz w:val="12"/>
                  </w:rPr>
                </w:pPr>
                <w:r>
                  <w:rPr>
                    <w:sz w:val="12"/>
                  </w:rPr>
                  <w:t>Page 2</w:t>
                </w:r>
              </w:p>
            </w:txbxContent>
          </v:textbox>
          <w10:wrap type="none"/>
        </v:shape>
      </w:pict>
    </w:r>
    <w:r>
      <w:rPr/>
      <w:pict>
        <v:shape style="position:absolute;margin-left:509.991089pt;margin-top:772.138611pt;width:78.8pt;height:8.7pt;mso-position-horizontal-relative:page;mso-position-vertical-relative:page;z-index:-314605568" type="#_x0000_t202" filled="false" stroked="false">
          <v:textbox inset="0,0,0,0">
            <w:txbxContent>
              <w:p>
                <w:pPr>
                  <w:spacing w:before="16"/>
                  <w:ind w:left="20" w:right="0" w:firstLine="0"/>
                  <w:jc w:val="left"/>
                  <w:rPr>
                    <w:sz w:val="12"/>
                  </w:rPr>
                </w:pPr>
                <w:r>
                  <w:rPr>
                    <w:sz w:val="12"/>
                  </w:rPr>
                  <w:t>Printed: 6/4/2021 10:07 AM</w:t>
                </w:r>
              </w:p>
            </w:txbxContent>
          </v:textbox>
          <w10:wrap type="non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2.400002pt;margin-top:759.167114pt;width:122.7pt;height:22pt;mso-position-horizontal-relative:page;mso-position-vertical-relative:page;z-index:-314602496" type="#_x0000_t202" filled="false" stroked="false">
          <v:textbox inset="0,0,0,0">
            <w:txbxContent>
              <w:p>
                <w:pPr>
                  <w:spacing w:before="23"/>
                  <w:ind w:left="20" w:right="0" w:firstLine="0"/>
                  <w:jc w:val="left"/>
                  <w:rPr>
                    <w:sz w:val="11"/>
                  </w:rPr>
                </w:pPr>
                <w:r>
                  <w:rPr>
                    <w:w w:val="105"/>
                    <w:sz w:val="11"/>
                  </w:rPr>
                  <w:t>California Dept of Education</w:t>
                </w:r>
              </w:p>
              <w:p>
                <w:pPr>
                  <w:spacing w:line="254" w:lineRule="auto" w:before="8"/>
                  <w:ind w:left="20" w:right="0" w:firstLine="0"/>
                  <w:jc w:val="left"/>
                  <w:rPr>
                    <w:sz w:val="11"/>
                  </w:rPr>
                </w:pPr>
                <w:r>
                  <w:rPr>
                    <w:w w:val="105"/>
                    <w:sz w:val="11"/>
                  </w:rPr>
                  <w:t>SACS Financial Reporting Software - 2021.1.0 File: fund-d (Rev 04/23/2021)</w:t>
                </w:r>
              </w:p>
            </w:txbxContent>
          </v:textbox>
          <w10:wrap type="none"/>
        </v:shape>
      </w:pict>
    </w:r>
    <w:r>
      <w:rPr/>
      <w:pict>
        <v:shape style="position:absolute;margin-left:295.601288pt;margin-top:772.607117pt;width:22.6pt;height:8.6pt;mso-position-horizontal-relative:page;mso-position-vertical-relative:page;z-index:-314601472" type="#_x0000_t202" filled="false" stroked="false">
          <v:textbox inset="0,0,0,0">
            <w:txbxContent>
              <w:p>
                <w:pPr>
                  <w:spacing w:before="23"/>
                  <w:ind w:left="20" w:right="0" w:firstLine="0"/>
                  <w:jc w:val="left"/>
                  <w:rPr>
                    <w:sz w:val="11"/>
                  </w:rPr>
                </w:pPr>
                <w:r>
                  <w:rPr>
                    <w:w w:val="105"/>
                    <w:sz w:val="11"/>
                  </w:rPr>
                  <w:t>Page </w:t>
                </w:r>
                <w:r>
                  <w:rPr/>
                  <w:fldChar w:fldCharType="begin"/>
                </w:r>
                <w:r>
                  <w:rPr>
                    <w:w w:val="105"/>
                    <w:sz w:val="11"/>
                  </w:rPr>
                  <w:instrText> PAGE </w:instrText>
                </w:r>
                <w:r>
                  <w:rPr/>
                  <w:fldChar w:fldCharType="separate"/>
                </w:r>
                <w:r>
                  <w:rPr/>
                  <w:t>1</w:t>
                </w:r>
                <w:r>
                  <w:rPr/>
                  <w:fldChar w:fldCharType="end"/>
                </w:r>
              </w:p>
            </w:txbxContent>
          </v:textbox>
          <w10:wrap type="none"/>
        </v:shape>
      </w:pict>
    </w:r>
    <w:r>
      <w:rPr/>
      <w:pict>
        <v:shape style="position:absolute;margin-left:512.673645pt;margin-top:772.607117pt;width:76.8pt;height:8.6pt;mso-position-horizontal-relative:page;mso-position-vertical-relative:page;z-index:-314600448" type="#_x0000_t202" filled="false" stroked="false">
          <v:textbox inset="0,0,0,0">
            <w:txbxContent>
              <w:p>
                <w:pPr>
                  <w:spacing w:before="23"/>
                  <w:ind w:left="20" w:right="0" w:firstLine="0"/>
                  <w:jc w:val="left"/>
                  <w:rPr>
                    <w:sz w:val="11"/>
                  </w:rPr>
                </w:pPr>
                <w:r>
                  <w:rPr>
                    <w:w w:val="105"/>
                    <w:sz w:val="11"/>
                  </w:rPr>
                  <w:t>Printed: 6/4/2021 10:08 AM</w:t>
                </w:r>
              </w:p>
            </w:txbxContent>
          </v:textbox>
          <w10:wrap type="non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2.400002pt;margin-top:759.167114pt;width:122.7pt;height:22pt;mso-position-horizontal-relative:page;mso-position-vertical-relative:page;z-index:-314596352" type="#_x0000_t202" filled="false" stroked="false">
          <v:textbox inset="0,0,0,0">
            <w:txbxContent>
              <w:p>
                <w:pPr>
                  <w:spacing w:before="23"/>
                  <w:ind w:left="20" w:right="0" w:firstLine="0"/>
                  <w:jc w:val="left"/>
                  <w:rPr>
                    <w:sz w:val="11"/>
                  </w:rPr>
                </w:pPr>
                <w:r>
                  <w:rPr>
                    <w:w w:val="105"/>
                    <w:sz w:val="11"/>
                  </w:rPr>
                  <w:t>California Dept of Education</w:t>
                </w:r>
              </w:p>
              <w:p>
                <w:pPr>
                  <w:spacing w:line="254" w:lineRule="auto" w:before="8"/>
                  <w:ind w:left="20" w:right="0" w:firstLine="0"/>
                  <w:jc w:val="left"/>
                  <w:rPr>
                    <w:sz w:val="11"/>
                  </w:rPr>
                </w:pPr>
                <w:r>
                  <w:rPr>
                    <w:w w:val="105"/>
                    <w:sz w:val="11"/>
                  </w:rPr>
                  <w:t>SACS Financial Reporting Software - 2021.1.0 File: fund-d (Rev 04/23/2021)</w:t>
                </w:r>
              </w:p>
            </w:txbxContent>
          </v:textbox>
          <w10:wrap type="none"/>
        </v:shape>
      </w:pict>
    </w:r>
    <w:r>
      <w:rPr/>
      <w:pict>
        <v:shape style="position:absolute;margin-left:295.601288pt;margin-top:772.607117pt;width:22.6pt;height:8.6pt;mso-position-horizontal-relative:page;mso-position-vertical-relative:page;z-index:-314595328" type="#_x0000_t202" filled="false" stroked="false">
          <v:textbox inset="0,0,0,0">
            <w:txbxContent>
              <w:p>
                <w:pPr>
                  <w:spacing w:before="23"/>
                  <w:ind w:left="20" w:right="0" w:firstLine="0"/>
                  <w:jc w:val="left"/>
                  <w:rPr>
                    <w:sz w:val="11"/>
                  </w:rPr>
                </w:pPr>
                <w:r>
                  <w:rPr>
                    <w:w w:val="105"/>
                    <w:sz w:val="11"/>
                  </w:rPr>
                  <w:t>Page </w:t>
                </w:r>
                <w:r>
                  <w:rPr/>
                  <w:fldChar w:fldCharType="begin"/>
                </w:r>
                <w:r>
                  <w:rPr>
                    <w:w w:val="105"/>
                    <w:sz w:val="11"/>
                  </w:rPr>
                  <w:instrText> PAGE </w:instrText>
                </w:r>
                <w:r>
                  <w:rPr/>
                  <w:fldChar w:fldCharType="separate"/>
                </w:r>
                <w:r>
                  <w:rPr/>
                  <w:t>7</w:t>
                </w:r>
                <w:r>
                  <w:rPr/>
                  <w:fldChar w:fldCharType="end"/>
                </w:r>
              </w:p>
            </w:txbxContent>
          </v:textbox>
          <w10:wrap type="none"/>
        </v:shape>
      </w:pict>
    </w:r>
    <w:r>
      <w:rPr/>
      <w:pict>
        <v:shape style="position:absolute;margin-left:512.673645pt;margin-top:772.607117pt;width:76.8pt;height:8.6pt;mso-position-horizontal-relative:page;mso-position-vertical-relative:page;z-index:-314594304" type="#_x0000_t202" filled="false" stroked="false">
          <v:textbox inset="0,0,0,0">
            <w:txbxContent>
              <w:p>
                <w:pPr>
                  <w:spacing w:before="23"/>
                  <w:ind w:left="20" w:right="0" w:firstLine="0"/>
                  <w:jc w:val="left"/>
                  <w:rPr>
                    <w:sz w:val="11"/>
                  </w:rPr>
                </w:pPr>
                <w:r>
                  <w:rPr>
                    <w:w w:val="105"/>
                    <w:sz w:val="11"/>
                  </w:rPr>
                  <w:t>Printed: 6/4/2021 10:08 AM</w:t>
                </w:r>
              </w:p>
            </w:txbxContent>
          </v:textbox>
          <w10:wrap type="non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120001pt;margin-top:758.458679pt;width:126.45pt;height:22.4pt;mso-position-horizontal-relative:page;mso-position-vertical-relative:page;z-index:-314590208" type="#_x0000_t202" filled="false" stroked="false">
          <v:textbox inset="0,0,0,0">
            <w:txbxContent>
              <w:p>
                <w:pPr>
                  <w:spacing w:line="137" w:lineRule="exact" w:before="16"/>
                  <w:ind w:left="20" w:right="0" w:firstLine="0"/>
                  <w:jc w:val="left"/>
                  <w:rPr>
                    <w:sz w:val="12"/>
                  </w:rPr>
                </w:pPr>
                <w:r>
                  <w:rPr>
                    <w:sz w:val="12"/>
                  </w:rPr>
                  <w:t>California Dept of Education</w:t>
                </w:r>
              </w:p>
              <w:p>
                <w:pPr>
                  <w:spacing w:before="0"/>
                  <w:ind w:left="20" w:right="14" w:firstLine="0"/>
                  <w:jc w:val="left"/>
                  <w:rPr>
                    <w:sz w:val="12"/>
                  </w:rPr>
                </w:pPr>
                <w:r>
                  <w:rPr>
                    <w:sz w:val="12"/>
                  </w:rPr>
                  <w:t>SACS Financial Reporting Software - 2021.1.0 File: fund-d (Rev 03/27/2018)</w:t>
                </w:r>
              </w:p>
            </w:txbxContent>
          </v:textbox>
          <w10:wrap type="none"/>
        </v:shape>
      </w:pict>
    </w:r>
    <w:r>
      <w:rPr/>
      <w:pict>
        <v:shape style="position:absolute;margin-left:295.297607pt;margin-top:772.138611pt;width:21.05pt;height:8.7pt;mso-position-horizontal-relative:page;mso-position-vertical-relative:page;z-index:-314589184" type="#_x0000_t202" filled="false" stroked="false">
          <v:textbox inset="0,0,0,0">
            <w:txbxContent>
              <w:p>
                <w:pPr>
                  <w:spacing w:before="16"/>
                  <w:ind w:left="20" w:right="0" w:firstLine="0"/>
                  <w:jc w:val="left"/>
                  <w:rPr>
                    <w:sz w:val="12"/>
                  </w:rPr>
                </w:pPr>
                <w:r>
                  <w:rPr>
                    <w:sz w:val="12"/>
                  </w:rPr>
                  <w:t>Page 1</w:t>
                </w:r>
              </w:p>
            </w:txbxContent>
          </v:textbox>
          <w10:wrap type="none"/>
        </v:shape>
      </w:pict>
    </w:r>
    <w:r>
      <w:rPr/>
      <w:pict>
        <v:shape style="position:absolute;margin-left:509.991089pt;margin-top:772.138611pt;width:78.8pt;height:8.7pt;mso-position-horizontal-relative:page;mso-position-vertical-relative:page;z-index:-314588160" type="#_x0000_t202" filled="false" stroked="false">
          <v:textbox inset="0,0,0,0">
            <w:txbxContent>
              <w:p>
                <w:pPr>
                  <w:spacing w:before="16"/>
                  <w:ind w:left="20" w:right="0" w:firstLine="0"/>
                  <w:jc w:val="left"/>
                  <w:rPr>
                    <w:sz w:val="12"/>
                  </w:rPr>
                </w:pPr>
                <w:r>
                  <w:rPr>
                    <w:sz w:val="12"/>
                  </w:rPr>
                  <w:t>Printed: 6/4/2021 10:08 AM</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3.400001pt;margin-top:768.983887pt;width:117.65pt;height:21.05pt;mso-position-horizontal-relative:page;mso-position-vertical-relative:page;z-index:-314696704" type="#_x0000_t202" filled="false" stroked="false">
          <v:textbox inset="0,0,0,0">
            <w:txbxContent>
              <w:p>
                <w:pPr>
                  <w:spacing w:before="18"/>
                  <w:ind w:left="20" w:right="0" w:firstLine="0"/>
                  <w:jc w:val="left"/>
                  <w:rPr>
                    <w:sz w:val="11"/>
                  </w:rPr>
                </w:pPr>
                <w:r>
                  <w:rPr>
                    <w:sz w:val="11"/>
                  </w:rPr>
                  <w:t>California Dept of Education</w:t>
                </w:r>
              </w:p>
              <w:p>
                <w:pPr>
                  <w:spacing w:before="1"/>
                  <w:ind w:left="20" w:right="0" w:firstLine="0"/>
                  <w:jc w:val="left"/>
                  <w:rPr>
                    <w:sz w:val="11"/>
                  </w:rPr>
                </w:pPr>
                <w:r>
                  <w:rPr>
                    <w:sz w:val="11"/>
                  </w:rPr>
                  <w:t>SACS Financial Reporting Software - 2021.1.0 File: fund-a (Rev 02/23/2021)</w:t>
                </w:r>
              </w:p>
            </w:txbxContent>
          </v:textbox>
          <w10:wrap type="none"/>
        </v:shape>
      </w:pict>
    </w:r>
    <w:r>
      <w:rPr/>
      <w:pict>
        <v:shape style="position:absolute;margin-left:296.036285pt;margin-top:781.703918pt;width:21.8pt;height:8.3pt;mso-position-horizontal-relative:page;mso-position-vertical-relative:page;z-index:-314695680" type="#_x0000_t202" filled="false" stroked="false">
          <v:textbox inset="0,0,0,0">
            <w:txbxContent>
              <w:p>
                <w:pPr>
                  <w:spacing w:before="18"/>
                  <w:ind w:left="20" w:right="0" w:firstLine="0"/>
                  <w:jc w:val="left"/>
                  <w:rPr>
                    <w:sz w:val="11"/>
                  </w:rPr>
                </w:pPr>
                <w:r>
                  <w:rPr>
                    <w:sz w:val="11"/>
                  </w:rPr>
                  <w:t>Page </w:t>
                </w:r>
                <w:r>
                  <w:rPr/>
                  <w:fldChar w:fldCharType="begin"/>
                </w:r>
                <w:r>
                  <w:rPr>
                    <w:sz w:val="11"/>
                  </w:rPr>
                  <w:instrText> PAGE </w:instrText>
                </w:r>
                <w:r>
                  <w:rPr/>
                  <w:fldChar w:fldCharType="separate"/>
                </w:r>
                <w:r>
                  <w:rPr/>
                  <w:t>1</w:t>
                </w:r>
                <w:r>
                  <w:rPr/>
                  <w:fldChar w:fldCharType="end"/>
                </w:r>
              </w:p>
            </w:txbxContent>
          </v:textbox>
          <w10:wrap type="none"/>
        </v:shape>
      </w:pict>
    </w:r>
    <w:r>
      <w:rPr/>
      <w:pict>
        <v:shape style="position:absolute;margin-left:525.150391pt;margin-top:781.703918pt;width:73.350pt;height:8.3pt;mso-position-horizontal-relative:page;mso-position-vertical-relative:page;z-index:-314694656" type="#_x0000_t202" filled="false" stroked="false">
          <v:textbox inset="0,0,0,0">
            <w:txbxContent>
              <w:p>
                <w:pPr>
                  <w:spacing w:before="18"/>
                  <w:ind w:left="20" w:right="0" w:firstLine="0"/>
                  <w:jc w:val="left"/>
                  <w:rPr>
                    <w:sz w:val="11"/>
                  </w:rPr>
                </w:pPr>
                <w:r>
                  <w:rPr>
                    <w:sz w:val="11"/>
                  </w:rPr>
                  <w:t>Printed: 6/4/2021 10:05 AM</w:t>
                </w:r>
              </w:p>
            </w:txbxContent>
          </v:textbox>
          <w10:wrap type="non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120001pt;margin-top:758.458679pt;width:126.45pt;height:22.4pt;mso-position-horizontal-relative:page;mso-position-vertical-relative:page;z-index:-314584064" type="#_x0000_t202" filled="false" stroked="false">
          <v:textbox inset="0,0,0,0">
            <w:txbxContent>
              <w:p>
                <w:pPr>
                  <w:spacing w:line="137" w:lineRule="exact" w:before="16"/>
                  <w:ind w:left="20" w:right="0" w:firstLine="0"/>
                  <w:jc w:val="left"/>
                  <w:rPr>
                    <w:sz w:val="12"/>
                  </w:rPr>
                </w:pPr>
                <w:r>
                  <w:rPr>
                    <w:sz w:val="12"/>
                  </w:rPr>
                  <w:t>California Dept of Education</w:t>
                </w:r>
              </w:p>
              <w:p>
                <w:pPr>
                  <w:spacing w:before="0"/>
                  <w:ind w:left="20" w:right="14" w:firstLine="0"/>
                  <w:jc w:val="left"/>
                  <w:rPr>
                    <w:sz w:val="12"/>
                  </w:rPr>
                </w:pPr>
                <w:r>
                  <w:rPr>
                    <w:sz w:val="12"/>
                  </w:rPr>
                  <w:t>SACS Financial Reporting Software - 2021.1.0 File: fund-d (Rev 03/27/2018)</w:t>
                </w:r>
              </w:p>
            </w:txbxContent>
          </v:textbox>
          <w10:wrap type="none"/>
        </v:shape>
      </w:pict>
    </w:r>
    <w:r>
      <w:rPr/>
      <w:pict>
        <v:shape style="position:absolute;margin-left:295.297607pt;margin-top:772.138611pt;width:21.05pt;height:8.7pt;mso-position-horizontal-relative:page;mso-position-vertical-relative:page;z-index:-314583040" type="#_x0000_t202" filled="false" stroked="false">
          <v:textbox inset="0,0,0,0">
            <w:txbxContent>
              <w:p>
                <w:pPr>
                  <w:spacing w:before="16"/>
                  <w:ind w:left="20" w:right="0" w:firstLine="0"/>
                  <w:jc w:val="left"/>
                  <w:rPr>
                    <w:sz w:val="12"/>
                  </w:rPr>
                </w:pPr>
                <w:r>
                  <w:rPr>
                    <w:sz w:val="12"/>
                  </w:rPr>
                  <w:t>Page 2</w:t>
                </w:r>
              </w:p>
            </w:txbxContent>
          </v:textbox>
          <w10:wrap type="none"/>
        </v:shape>
      </w:pict>
    </w:r>
    <w:r>
      <w:rPr/>
      <w:pict>
        <v:shape style="position:absolute;margin-left:509.991089pt;margin-top:772.138611pt;width:78.8pt;height:8.7pt;mso-position-horizontal-relative:page;mso-position-vertical-relative:page;z-index:-314582016" type="#_x0000_t202" filled="false" stroked="false">
          <v:textbox inset="0,0,0,0">
            <w:txbxContent>
              <w:p>
                <w:pPr>
                  <w:spacing w:before="16"/>
                  <w:ind w:left="20" w:right="0" w:firstLine="0"/>
                  <w:jc w:val="left"/>
                  <w:rPr>
                    <w:sz w:val="12"/>
                  </w:rPr>
                </w:pPr>
                <w:r>
                  <w:rPr>
                    <w:sz w:val="12"/>
                  </w:rPr>
                  <w:t>Printed: 6/4/2021 10:08 AM</w:t>
                </w:r>
              </w:p>
            </w:txbxContent>
          </v:textbox>
          <w10:wrap type="non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9.32pt;margin-top:562.087341pt;width:145pt;height:25.65pt;mso-position-horizontal-relative:page;mso-position-vertical-relative:page;z-index:-314577920" type="#_x0000_t202" filled="false" stroked="false">
          <v:textbox inset="0,0,0,0">
            <w:txbxContent>
              <w:p>
                <w:pPr>
                  <w:spacing w:line="160" w:lineRule="exact" w:before="15"/>
                  <w:ind w:left="20" w:right="0" w:firstLine="0"/>
                  <w:jc w:val="left"/>
                  <w:rPr>
                    <w:sz w:val="14"/>
                  </w:rPr>
                </w:pPr>
                <w:r>
                  <w:rPr>
                    <w:sz w:val="14"/>
                  </w:rPr>
                  <w:t>California Dept of</w:t>
                </w:r>
                <w:r>
                  <w:rPr>
                    <w:spacing w:val="-20"/>
                    <w:sz w:val="14"/>
                  </w:rPr>
                  <w:t> </w:t>
                </w:r>
                <w:r>
                  <w:rPr>
                    <w:sz w:val="14"/>
                  </w:rPr>
                  <w:t>Education</w:t>
                </w:r>
              </w:p>
              <w:p>
                <w:pPr>
                  <w:spacing w:line="235" w:lineRule="auto" w:before="1"/>
                  <w:ind w:left="20" w:right="7" w:firstLine="0"/>
                  <w:jc w:val="left"/>
                  <w:rPr>
                    <w:sz w:val="14"/>
                  </w:rPr>
                </w:pPr>
                <w:r>
                  <w:rPr>
                    <w:sz w:val="14"/>
                  </w:rPr>
                  <w:t>SACS</w:t>
                </w:r>
                <w:r>
                  <w:rPr>
                    <w:spacing w:val="-7"/>
                    <w:sz w:val="14"/>
                  </w:rPr>
                  <w:t> </w:t>
                </w:r>
                <w:r>
                  <w:rPr>
                    <w:sz w:val="14"/>
                  </w:rPr>
                  <w:t>Financial</w:t>
                </w:r>
                <w:r>
                  <w:rPr>
                    <w:spacing w:val="-6"/>
                    <w:sz w:val="14"/>
                  </w:rPr>
                  <w:t> </w:t>
                </w:r>
                <w:r>
                  <w:rPr>
                    <w:sz w:val="14"/>
                  </w:rPr>
                  <w:t>Reporting</w:t>
                </w:r>
                <w:r>
                  <w:rPr>
                    <w:spacing w:val="-7"/>
                    <w:sz w:val="14"/>
                  </w:rPr>
                  <w:t> </w:t>
                </w:r>
                <w:r>
                  <w:rPr>
                    <w:sz w:val="14"/>
                  </w:rPr>
                  <w:t>Software</w:t>
                </w:r>
                <w:r>
                  <w:rPr>
                    <w:spacing w:val="-8"/>
                    <w:sz w:val="14"/>
                  </w:rPr>
                  <w:t> </w:t>
                </w:r>
                <w:r>
                  <w:rPr>
                    <w:sz w:val="14"/>
                  </w:rPr>
                  <w:t>-</w:t>
                </w:r>
                <w:r>
                  <w:rPr>
                    <w:spacing w:val="-7"/>
                    <w:sz w:val="14"/>
                  </w:rPr>
                  <w:t> </w:t>
                </w:r>
                <w:r>
                  <w:rPr>
                    <w:sz w:val="14"/>
                  </w:rPr>
                  <w:t>2021.1.0 File: cashi (Rev</w:t>
                </w:r>
                <w:r>
                  <w:rPr>
                    <w:spacing w:val="-6"/>
                    <w:sz w:val="14"/>
                  </w:rPr>
                  <w:t> </w:t>
                </w:r>
                <w:r>
                  <w:rPr>
                    <w:sz w:val="14"/>
                  </w:rPr>
                  <w:t>06/17/2014)</w:t>
                </w:r>
              </w:p>
            </w:txbxContent>
          </v:textbox>
          <w10:wrap type="none"/>
        </v:shape>
      </w:pict>
    </w:r>
    <w:r>
      <w:rPr/>
      <w:pict>
        <v:shape style="position:absolute;margin-left:377.290405pt;margin-top:577.927368pt;width:37.450pt;height:9.8pt;mso-position-horizontal-relative:page;mso-position-vertical-relative:page;z-index:-314576896" type="#_x0000_t202" filled="false" stroked="false">
          <v:textbox inset="0,0,0,0">
            <w:txbxContent>
              <w:p>
                <w:pPr>
                  <w:spacing w:before="15"/>
                  <w:ind w:left="20" w:right="0" w:firstLine="0"/>
                  <w:jc w:val="left"/>
                  <w:rPr>
                    <w:sz w:val="14"/>
                  </w:rPr>
                </w:pPr>
                <w:r>
                  <w:rPr>
                    <w:sz w:val="14"/>
                  </w:rPr>
                  <w:t>Page </w:t>
                </w:r>
                <w:r>
                  <w:rPr/>
                  <w:fldChar w:fldCharType="begin"/>
                </w:r>
                <w:r>
                  <w:rPr>
                    <w:sz w:val="14"/>
                  </w:rPr>
                  <w:instrText> PAGE </w:instrText>
                </w:r>
                <w:r>
                  <w:rPr/>
                  <w:fldChar w:fldCharType="separate"/>
                </w:r>
                <w:r>
                  <w:rPr/>
                  <w:t>1</w:t>
                </w:r>
                <w:r>
                  <w:rPr/>
                  <w:fldChar w:fldCharType="end"/>
                </w:r>
                <w:r>
                  <w:rPr>
                    <w:sz w:val="14"/>
                  </w:rPr>
                  <w:t> of 2</w:t>
                </w:r>
              </w:p>
            </w:txbxContent>
          </v:textbox>
          <w10:wrap type="none"/>
        </v:shape>
      </w:pict>
    </w:r>
    <w:r>
      <w:rPr/>
      <w:pict>
        <v:shape style="position:absolute;margin-left:664.632874pt;margin-top:577.927368pt;width:88.25pt;height:9.8pt;mso-position-horizontal-relative:page;mso-position-vertical-relative:page;z-index:-314575872" type="#_x0000_t202" filled="false" stroked="false">
          <v:textbox inset="0,0,0,0">
            <w:txbxContent>
              <w:p>
                <w:pPr>
                  <w:spacing w:before="15"/>
                  <w:ind w:left="20" w:right="0" w:firstLine="0"/>
                  <w:jc w:val="left"/>
                  <w:rPr>
                    <w:sz w:val="14"/>
                  </w:rPr>
                </w:pPr>
                <w:r>
                  <w:rPr>
                    <w:sz w:val="14"/>
                  </w:rPr>
                  <w:t>Printed: 6/4/2021 10:09 AM</w:t>
                </w:r>
              </w:p>
            </w:txbxContent>
          </v:textbox>
          <w10:wrap type="none"/>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9.32pt;margin-top:562.087341pt;width:145pt;height:25.65pt;mso-position-horizontal-relative:page;mso-position-vertical-relative:page;z-index:-314571776" type="#_x0000_t202" filled="false" stroked="false">
          <v:textbox inset="0,0,0,0">
            <w:txbxContent>
              <w:p>
                <w:pPr>
                  <w:spacing w:line="160" w:lineRule="exact" w:before="15"/>
                  <w:ind w:left="20" w:right="0" w:firstLine="0"/>
                  <w:jc w:val="left"/>
                  <w:rPr>
                    <w:sz w:val="14"/>
                  </w:rPr>
                </w:pPr>
                <w:r>
                  <w:rPr>
                    <w:sz w:val="14"/>
                  </w:rPr>
                  <w:t>California Dept of</w:t>
                </w:r>
                <w:r>
                  <w:rPr>
                    <w:spacing w:val="-20"/>
                    <w:sz w:val="14"/>
                  </w:rPr>
                  <w:t> </w:t>
                </w:r>
                <w:r>
                  <w:rPr>
                    <w:sz w:val="14"/>
                  </w:rPr>
                  <w:t>Education</w:t>
                </w:r>
              </w:p>
              <w:p>
                <w:pPr>
                  <w:spacing w:line="235" w:lineRule="auto" w:before="1"/>
                  <w:ind w:left="20" w:right="7" w:firstLine="0"/>
                  <w:jc w:val="left"/>
                  <w:rPr>
                    <w:sz w:val="14"/>
                  </w:rPr>
                </w:pPr>
                <w:r>
                  <w:rPr>
                    <w:sz w:val="14"/>
                  </w:rPr>
                  <w:t>SACS</w:t>
                </w:r>
                <w:r>
                  <w:rPr>
                    <w:spacing w:val="-7"/>
                    <w:sz w:val="14"/>
                  </w:rPr>
                  <w:t> </w:t>
                </w:r>
                <w:r>
                  <w:rPr>
                    <w:sz w:val="14"/>
                  </w:rPr>
                  <w:t>Financial</w:t>
                </w:r>
                <w:r>
                  <w:rPr>
                    <w:spacing w:val="-6"/>
                    <w:sz w:val="14"/>
                  </w:rPr>
                  <w:t> </w:t>
                </w:r>
                <w:r>
                  <w:rPr>
                    <w:sz w:val="14"/>
                  </w:rPr>
                  <w:t>Reporting</w:t>
                </w:r>
                <w:r>
                  <w:rPr>
                    <w:spacing w:val="-7"/>
                    <w:sz w:val="14"/>
                  </w:rPr>
                  <w:t> </w:t>
                </w:r>
                <w:r>
                  <w:rPr>
                    <w:sz w:val="14"/>
                  </w:rPr>
                  <w:t>Software</w:t>
                </w:r>
                <w:r>
                  <w:rPr>
                    <w:spacing w:val="-8"/>
                    <w:sz w:val="14"/>
                  </w:rPr>
                  <w:t> </w:t>
                </w:r>
                <w:r>
                  <w:rPr>
                    <w:sz w:val="14"/>
                  </w:rPr>
                  <w:t>-</w:t>
                </w:r>
                <w:r>
                  <w:rPr>
                    <w:spacing w:val="-7"/>
                    <w:sz w:val="14"/>
                  </w:rPr>
                  <w:t> </w:t>
                </w:r>
                <w:r>
                  <w:rPr>
                    <w:sz w:val="14"/>
                  </w:rPr>
                  <w:t>2021.1.0 File: cashi (Rev</w:t>
                </w:r>
                <w:r>
                  <w:rPr>
                    <w:spacing w:val="-6"/>
                    <w:sz w:val="14"/>
                  </w:rPr>
                  <w:t> </w:t>
                </w:r>
                <w:r>
                  <w:rPr>
                    <w:sz w:val="14"/>
                  </w:rPr>
                  <w:t>03/05/2021)</w:t>
                </w:r>
              </w:p>
            </w:txbxContent>
          </v:textbox>
          <w10:wrap type="none"/>
        </v:shape>
      </w:pict>
    </w:r>
    <w:r>
      <w:rPr/>
      <w:pict>
        <v:shape style="position:absolute;margin-left:377.290405pt;margin-top:577.927368pt;width:37.450pt;height:9.8pt;mso-position-horizontal-relative:page;mso-position-vertical-relative:page;z-index:-314570752" type="#_x0000_t202" filled="false" stroked="false">
          <v:textbox inset="0,0,0,0">
            <w:txbxContent>
              <w:p>
                <w:pPr>
                  <w:spacing w:before="15"/>
                  <w:ind w:left="20" w:right="0" w:firstLine="0"/>
                  <w:jc w:val="left"/>
                  <w:rPr>
                    <w:sz w:val="14"/>
                  </w:rPr>
                </w:pPr>
                <w:r>
                  <w:rPr>
                    <w:sz w:val="14"/>
                  </w:rPr>
                  <w:t>Page 1 of 2</w:t>
                </w:r>
              </w:p>
            </w:txbxContent>
          </v:textbox>
          <w10:wrap type="none"/>
        </v:shape>
      </w:pict>
    </w:r>
    <w:r>
      <w:rPr/>
      <w:pict>
        <v:shape style="position:absolute;margin-left:664.632874pt;margin-top:577.927368pt;width:88.25pt;height:9.8pt;mso-position-horizontal-relative:page;mso-position-vertical-relative:page;z-index:-314569728" type="#_x0000_t202" filled="false" stroked="false">
          <v:textbox inset="0,0,0,0">
            <w:txbxContent>
              <w:p>
                <w:pPr>
                  <w:spacing w:before="15"/>
                  <w:ind w:left="20" w:right="0" w:firstLine="0"/>
                  <w:jc w:val="left"/>
                  <w:rPr>
                    <w:sz w:val="14"/>
                  </w:rPr>
                </w:pPr>
                <w:r>
                  <w:rPr>
                    <w:sz w:val="14"/>
                  </w:rPr>
                  <w:t>Printed: 6/4/2021 10:09 AM</w:t>
                </w:r>
              </w:p>
            </w:txbxContent>
          </v:textbox>
          <w10:wrap type="none"/>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9.32pt;margin-top:562.087341pt;width:145pt;height:25.65pt;mso-position-horizontal-relative:page;mso-position-vertical-relative:page;z-index:-314565632" type="#_x0000_t202" filled="false" stroked="false">
          <v:textbox inset="0,0,0,0">
            <w:txbxContent>
              <w:p>
                <w:pPr>
                  <w:spacing w:line="160" w:lineRule="exact" w:before="15"/>
                  <w:ind w:left="20" w:right="0" w:firstLine="0"/>
                  <w:jc w:val="left"/>
                  <w:rPr>
                    <w:sz w:val="14"/>
                  </w:rPr>
                </w:pPr>
                <w:r>
                  <w:rPr>
                    <w:sz w:val="14"/>
                  </w:rPr>
                  <w:t>California Dept of</w:t>
                </w:r>
                <w:r>
                  <w:rPr>
                    <w:spacing w:val="-20"/>
                    <w:sz w:val="14"/>
                  </w:rPr>
                  <w:t> </w:t>
                </w:r>
                <w:r>
                  <w:rPr>
                    <w:sz w:val="14"/>
                  </w:rPr>
                  <w:t>Education</w:t>
                </w:r>
              </w:p>
              <w:p>
                <w:pPr>
                  <w:spacing w:line="235" w:lineRule="auto" w:before="1"/>
                  <w:ind w:left="20" w:right="7" w:firstLine="0"/>
                  <w:jc w:val="left"/>
                  <w:rPr>
                    <w:sz w:val="14"/>
                  </w:rPr>
                </w:pPr>
                <w:r>
                  <w:rPr>
                    <w:sz w:val="14"/>
                  </w:rPr>
                  <w:t>SACS</w:t>
                </w:r>
                <w:r>
                  <w:rPr>
                    <w:spacing w:val="-7"/>
                    <w:sz w:val="14"/>
                  </w:rPr>
                  <w:t> </w:t>
                </w:r>
                <w:r>
                  <w:rPr>
                    <w:sz w:val="14"/>
                  </w:rPr>
                  <w:t>Financial</w:t>
                </w:r>
                <w:r>
                  <w:rPr>
                    <w:spacing w:val="-6"/>
                    <w:sz w:val="14"/>
                  </w:rPr>
                  <w:t> </w:t>
                </w:r>
                <w:r>
                  <w:rPr>
                    <w:sz w:val="14"/>
                  </w:rPr>
                  <w:t>Reporting</w:t>
                </w:r>
                <w:r>
                  <w:rPr>
                    <w:spacing w:val="-7"/>
                    <w:sz w:val="14"/>
                  </w:rPr>
                  <w:t> </w:t>
                </w:r>
                <w:r>
                  <w:rPr>
                    <w:sz w:val="14"/>
                  </w:rPr>
                  <w:t>Software</w:t>
                </w:r>
                <w:r>
                  <w:rPr>
                    <w:spacing w:val="-8"/>
                    <w:sz w:val="14"/>
                  </w:rPr>
                  <w:t> </w:t>
                </w:r>
                <w:r>
                  <w:rPr>
                    <w:sz w:val="14"/>
                  </w:rPr>
                  <w:t>-</w:t>
                </w:r>
                <w:r>
                  <w:rPr>
                    <w:spacing w:val="-7"/>
                    <w:sz w:val="14"/>
                  </w:rPr>
                  <w:t> </w:t>
                </w:r>
                <w:r>
                  <w:rPr>
                    <w:sz w:val="14"/>
                  </w:rPr>
                  <w:t>2021.1.0 File: cashi (Rev</w:t>
                </w:r>
                <w:r>
                  <w:rPr>
                    <w:spacing w:val="-6"/>
                    <w:sz w:val="14"/>
                  </w:rPr>
                  <w:t> </w:t>
                </w:r>
                <w:r>
                  <w:rPr>
                    <w:sz w:val="14"/>
                  </w:rPr>
                  <w:t>03/05/2021)</w:t>
                </w:r>
              </w:p>
            </w:txbxContent>
          </v:textbox>
          <w10:wrap type="none"/>
        </v:shape>
      </w:pict>
    </w:r>
    <w:r>
      <w:rPr/>
      <w:pict>
        <v:shape style="position:absolute;margin-left:377.290405pt;margin-top:577.927368pt;width:37.450pt;height:9.8pt;mso-position-horizontal-relative:page;mso-position-vertical-relative:page;z-index:-314564608" type="#_x0000_t202" filled="false" stroked="false">
          <v:textbox inset="0,0,0,0">
            <w:txbxContent>
              <w:p>
                <w:pPr>
                  <w:spacing w:before="15"/>
                  <w:ind w:left="20" w:right="0" w:firstLine="0"/>
                  <w:jc w:val="left"/>
                  <w:rPr>
                    <w:sz w:val="14"/>
                  </w:rPr>
                </w:pPr>
                <w:r>
                  <w:rPr>
                    <w:sz w:val="14"/>
                  </w:rPr>
                  <w:t>Page 2 of 2</w:t>
                </w:r>
              </w:p>
            </w:txbxContent>
          </v:textbox>
          <w10:wrap type="none"/>
        </v:shape>
      </w:pict>
    </w:r>
    <w:r>
      <w:rPr/>
      <w:pict>
        <v:shape style="position:absolute;margin-left:664.632874pt;margin-top:577.927368pt;width:88.25pt;height:9.8pt;mso-position-horizontal-relative:page;mso-position-vertical-relative:page;z-index:-314563584" type="#_x0000_t202" filled="false" stroked="false">
          <v:textbox inset="0,0,0,0">
            <w:txbxContent>
              <w:p>
                <w:pPr>
                  <w:spacing w:before="15"/>
                  <w:ind w:left="20" w:right="0" w:firstLine="0"/>
                  <w:jc w:val="left"/>
                  <w:rPr>
                    <w:sz w:val="14"/>
                  </w:rPr>
                </w:pPr>
                <w:r>
                  <w:rPr>
                    <w:sz w:val="14"/>
                  </w:rPr>
                  <w:t>Printed: 6/4/2021 10:09 AM</w:t>
                </w:r>
              </w:p>
            </w:txbxContent>
          </v:textbox>
          <w10:wrap type="none"/>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4.48pt;margin-top:746.353271pt;width:179.9pt;height:31.1pt;mso-position-horizontal-relative:page;mso-position-vertical-relative:page;z-index:-314559488" type="#_x0000_t202" filled="false" stroked="false">
          <v:textbox inset="0,0,0,0">
            <w:txbxContent>
              <w:p>
                <w:pPr>
                  <w:spacing w:line="195" w:lineRule="exact" w:before="16"/>
                  <w:ind w:left="20" w:right="0" w:firstLine="0"/>
                  <w:jc w:val="left"/>
                  <w:rPr>
                    <w:sz w:val="17"/>
                  </w:rPr>
                </w:pPr>
                <w:r>
                  <w:rPr>
                    <w:sz w:val="17"/>
                  </w:rPr>
                  <w:t>California Dept of Education</w:t>
                </w:r>
              </w:p>
              <w:p>
                <w:pPr>
                  <w:spacing w:before="0"/>
                  <w:ind w:left="20" w:right="0" w:firstLine="0"/>
                  <w:jc w:val="left"/>
                  <w:rPr>
                    <w:sz w:val="17"/>
                  </w:rPr>
                </w:pPr>
                <w:r>
                  <w:rPr>
                    <w:sz w:val="17"/>
                  </w:rPr>
                  <w:t>SACS Financial Reporting Software - 2021.1.0 File: icr (Rev 06/02/2020)</w:t>
                </w:r>
              </w:p>
            </w:txbxContent>
          </v:textbox>
          <w10:wrap type="none"/>
        </v:shape>
      </w:pict>
    </w:r>
    <w:r>
      <w:rPr/>
      <w:pict>
        <v:shape style="position:absolute;margin-left:282.624146pt;margin-top:765.793274pt;width:46.25pt;height:11.65pt;mso-position-horizontal-relative:page;mso-position-vertical-relative:page;z-index:-314558464" type="#_x0000_t202" filled="false" stroked="false">
          <v:textbox inset="0,0,0,0">
            <w:txbxContent>
              <w:p>
                <w:pPr>
                  <w:spacing w:before="16"/>
                  <w:ind w:left="20" w:right="0" w:firstLine="0"/>
                  <w:jc w:val="left"/>
                  <w:rPr>
                    <w:sz w:val="17"/>
                  </w:rPr>
                </w:pPr>
                <w:r>
                  <w:rPr>
                    <w:sz w:val="17"/>
                  </w:rPr>
                  <w:t>Page </w:t>
                </w:r>
                <w:r>
                  <w:rPr/>
                  <w:fldChar w:fldCharType="begin"/>
                </w:r>
                <w:r>
                  <w:rPr>
                    <w:sz w:val="17"/>
                  </w:rPr>
                  <w:instrText> PAGE </w:instrText>
                </w:r>
                <w:r>
                  <w:rPr/>
                  <w:fldChar w:fldCharType="separate"/>
                </w:r>
                <w:r>
                  <w:rPr/>
                  <w:t>1</w:t>
                </w:r>
                <w:r>
                  <w:rPr/>
                  <w:fldChar w:fldCharType="end"/>
                </w:r>
                <w:r>
                  <w:rPr>
                    <w:sz w:val="17"/>
                  </w:rPr>
                  <w:t> of 3</w:t>
                </w:r>
              </w:p>
            </w:txbxContent>
          </v:textbox>
          <w10:wrap type="none"/>
        </v:shape>
      </w:pict>
    </w:r>
    <w:r>
      <w:rPr/>
      <w:pict>
        <v:shape style="position:absolute;margin-left:485.496368pt;margin-top:765.793274pt;width:111.75pt;height:11.65pt;mso-position-horizontal-relative:page;mso-position-vertical-relative:page;z-index:-314557440" type="#_x0000_t202" filled="false" stroked="false">
          <v:textbox inset="0,0,0,0">
            <w:txbxContent>
              <w:p>
                <w:pPr>
                  <w:spacing w:before="16"/>
                  <w:ind w:left="20" w:right="0" w:firstLine="0"/>
                  <w:jc w:val="left"/>
                  <w:rPr>
                    <w:sz w:val="17"/>
                  </w:rPr>
                </w:pPr>
                <w:r>
                  <w:rPr>
                    <w:sz w:val="17"/>
                  </w:rPr>
                  <w:t>Printed: 6/4/2021 10:11 AM</w:t>
                </w:r>
              </w:p>
            </w:txbxContent>
          </v:textbox>
          <w10:wrap type="none"/>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3.76pt;margin-top:768.395569pt;width:120.45pt;height:21.65pt;mso-position-horizontal-relative:page;mso-position-vertical-relative:page;z-index:-314690560" type="#_x0000_t202" filled="false" stroked="false">
          <v:textbox inset="0,0,0,0">
            <w:txbxContent>
              <w:p>
                <w:pPr>
                  <w:spacing w:before="21"/>
                  <w:ind w:left="20" w:right="0" w:firstLine="0"/>
                  <w:jc w:val="left"/>
                  <w:rPr>
                    <w:sz w:val="11"/>
                  </w:rPr>
                </w:pPr>
                <w:r>
                  <w:rPr>
                    <w:w w:val="105"/>
                    <w:sz w:val="11"/>
                  </w:rPr>
                  <w:t>California Dept of Education</w:t>
                </w:r>
              </w:p>
              <w:p>
                <w:pPr>
                  <w:spacing w:line="249" w:lineRule="auto" w:before="5"/>
                  <w:ind w:left="20" w:right="-13" w:firstLine="0"/>
                  <w:jc w:val="left"/>
                  <w:rPr>
                    <w:sz w:val="11"/>
                  </w:rPr>
                </w:pPr>
                <w:r>
                  <w:rPr>
                    <w:w w:val="105"/>
                    <w:sz w:val="11"/>
                  </w:rPr>
                  <w:t>SACS Financial Reporting Software - 2021.1.0 File: fund-a (Rev 02/2</w:t>
                </w:r>
                <w:r>
                  <w:rPr/>
                  <w:fldChar w:fldCharType="begin"/>
                </w:r>
                <w:r>
                  <w:rPr>
                    <w:w w:val="105"/>
                    <w:sz w:val="11"/>
                  </w:rPr>
                  <w:instrText> PAGE </w:instrText>
                </w:r>
                <w:r>
                  <w:rPr/>
                  <w:fldChar w:fldCharType="separate"/>
                </w:r>
                <w:r>
                  <w:rPr/>
                  <w:t>1</w:t>
                </w:r>
                <w:r>
                  <w:rPr/>
                  <w:fldChar w:fldCharType="end"/>
                </w:r>
                <w:r>
                  <w:rPr>
                    <w:w w:val="105"/>
                    <w:sz w:val="11"/>
                  </w:rPr>
                  <w:t>/2018)</w:t>
                </w:r>
              </w:p>
            </w:txbxContent>
          </v:textbox>
          <w10:wrap type="none"/>
        </v:shape>
      </w:pict>
    </w:r>
    <w:r>
      <w:rPr/>
      <w:pict>
        <v:shape style="position:absolute;margin-left:295.700409pt;margin-top:781.59552pt;width:20.350pt;height:8.450pt;mso-position-horizontal-relative:page;mso-position-vertical-relative:page;z-index:-314689536" type="#_x0000_t202" filled="false" stroked="false">
          <v:textbox inset="0,0,0,0">
            <w:txbxContent>
              <w:p>
                <w:pPr>
                  <w:spacing w:before="21"/>
                  <w:ind w:left="20" w:right="0" w:firstLine="0"/>
                  <w:jc w:val="left"/>
                  <w:rPr>
                    <w:sz w:val="11"/>
                  </w:rPr>
                </w:pPr>
                <w:r>
                  <w:rPr>
                    <w:w w:val="105"/>
                    <w:sz w:val="11"/>
                  </w:rPr>
                  <w:t>Page 1</w:t>
                </w:r>
              </w:p>
            </w:txbxContent>
          </v:textbox>
          <w10:wrap type="none"/>
        </v:shape>
      </w:pict>
    </w:r>
    <w:r>
      <w:rPr/>
      <w:pict>
        <v:shape style="position:absolute;margin-left:522.945374pt;margin-top:781.59552pt;width:75.3pt;height:8.450pt;mso-position-horizontal-relative:page;mso-position-vertical-relative:page;z-index:-314688512" type="#_x0000_t202" filled="false" stroked="false">
          <v:textbox inset="0,0,0,0">
            <w:txbxContent>
              <w:p>
                <w:pPr>
                  <w:spacing w:before="21"/>
                  <w:ind w:left="20" w:right="0" w:firstLine="0"/>
                  <w:jc w:val="left"/>
                  <w:rPr>
                    <w:sz w:val="11"/>
                  </w:rPr>
                </w:pPr>
                <w:r>
                  <w:rPr>
                    <w:w w:val="105"/>
                    <w:sz w:val="11"/>
                  </w:rPr>
                  <w:t>Printed: 6/4/2021 10:05 AM</w:t>
                </w:r>
              </w:p>
            </w:txbxContent>
          </v:textbox>
          <w10:wrap type="none"/>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5.119999pt;margin-top:755.648071pt;width:140.450pt;height:25.1pt;mso-position-horizontal-relative:page;mso-position-vertical-relative:page;z-index:-314553344" type="#_x0000_t202" filled="false" stroked="false">
          <v:textbox inset="0,0,0,0">
            <w:txbxContent>
              <w:p>
                <w:pPr>
                  <w:pStyle w:val="BodyText"/>
                  <w:spacing w:before="19"/>
                  <w:ind w:left="20"/>
                </w:pPr>
                <w:r>
                  <w:rPr>
                    <w:w w:val="105"/>
                  </w:rPr>
                  <w:t>California Dept of Education</w:t>
                </w:r>
              </w:p>
              <w:p>
                <w:pPr>
                  <w:pStyle w:val="BodyText"/>
                  <w:spacing w:line="249" w:lineRule="auto" w:before="7"/>
                  <w:ind w:left="20" w:right="8"/>
                </w:pPr>
                <w:r>
                  <w:rPr>
                    <w:w w:val="105"/>
                  </w:rPr>
                  <w:t>SACS</w:t>
                </w:r>
                <w:r>
                  <w:rPr>
                    <w:spacing w:val="-12"/>
                    <w:w w:val="105"/>
                  </w:rPr>
                  <w:t> </w:t>
                </w:r>
                <w:r>
                  <w:rPr>
                    <w:w w:val="105"/>
                  </w:rPr>
                  <w:t>Financial</w:t>
                </w:r>
                <w:r>
                  <w:rPr>
                    <w:spacing w:val="-12"/>
                    <w:w w:val="105"/>
                  </w:rPr>
                  <w:t> </w:t>
                </w:r>
                <w:r>
                  <w:rPr>
                    <w:w w:val="105"/>
                  </w:rPr>
                  <w:t>Reporting</w:t>
                </w:r>
                <w:r>
                  <w:rPr>
                    <w:spacing w:val="-10"/>
                    <w:w w:val="105"/>
                  </w:rPr>
                  <w:t> </w:t>
                </w:r>
                <w:r>
                  <w:rPr>
                    <w:w w:val="105"/>
                  </w:rPr>
                  <w:t>Software</w:t>
                </w:r>
                <w:r>
                  <w:rPr>
                    <w:spacing w:val="-10"/>
                    <w:w w:val="105"/>
                  </w:rPr>
                  <w:t> </w:t>
                </w:r>
                <w:r>
                  <w:rPr>
                    <w:w w:val="105"/>
                  </w:rPr>
                  <w:t>-</w:t>
                </w:r>
                <w:r>
                  <w:rPr>
                    <w:spacing w:val="-10"/>
                    <w:w w:val="105"/>
                  </w:rPr>
                  <w:t> </w:t>
                </w:r>
                <w:r>
                  <w:rPr>
                    <w:w w:val="105"/>
                  </w:rPr>
                  <w:t>2021.1.0 File: myp (Rev</w:t>
                </w:r>
                <w:r>
                  <w:rPr>
                    <w:spacing w:val="-1"/>
                    <w:w w:val="105"/>
                  </w:rPr>
                  <w:t> </w:t>
                </w:r>
                <w:r>
                  <w:rPr>
                    <w:w w:val="105"/>
                  </w:rPr>
                  <w:t>03/30/2015)</w:t>
                </w:r>
              </w:p>
            </w:txbxContent>
          </v:textbox>
          <w10:wrap type="none"/>
        </v:shape>
      </w:pict>
    </w:r>
    <w:r>
      <w:rPr/>
      <w:pict>
        <v:shape style="position:absolute;margin-left:294.285217pt;margin-top:771.248108pt;width:25.3pt;height:9.5pt;mso-position-horizontal-relative:page;mso-position-vertical-relative:page;z-index:-314552320" type="#_x0000_t202" filled="false" stroked="false">
          <v:textbox inset="0,0,0,0">
            <w:txbxContent>
              <w:p>
                <w:pPr>
                  <w:pStyle w:val="BodyText"/>
                  <w:spacing w:before="19"/>
                  <w:ind w:left="20"/>
                </w:pPr>
                <w:r>
                  <w:rPr>
                    <w:w w:val="105"/>
                  </w:rPr>
                  <w:t>Page </w:t>
                </w:r>
                <w:r>
                  <w:rPr/>
                  <w:fldChar w:fldCharType="begin"/>
                </w:r>
                <w:r>
                  <w:rPr>
                    <w:w w:val="105"/>
                  </w:rPr>
                  <w:instrText> PAGE </w:instrText>
                </w:r>
                <w:r>
                  <w:rPr/>
                  <w:fldChar w:fldCharType="separate"/>
                </w:r>
                <w:r>
                  <w:rPr/>
                  <w:t>1</w:t>
                </w:r>
                <w:r>
                  <w:rPr/>
                  <w:fldChar w:fldCharType="end"/>
                </w:r>
              </w:p>
            </w:txbxContent>
          </v:textbox>
          <w10:wrap type="none"/>
        </v:shape>
      </w:pict>
    </w:r>
    <w:r>
      <w:rPr/>
      <w:pict>
        <v:shape style="position:absolute;margin-left:488.811584pt;margin-top:771.248108pt;width:87.8pt;height:9.5pt;mso-position-horizontal-relative:page;mso-position-vertical-relative:page;z-index:-314551296" type="#_x0000_t202" filled="false" stroked="false">
          <v:textbox inset="0,0,0,0">
            <w:txbxContent>
              <w:p>
                <w:pPr>
                  <w:pStyle w:val="BodyText"/>
                  <w:spacing w:before="19"/>
                  <w:ind w:left="20"/>
                </w:pPr>
                <w:r>
                  <w:rPr>
                    <w:w w:val="105"/>
                  </w:rPr>
                  <w:t>Printed: 6/4/2021 10:12 AM</w:t>
                </w:r>
              </w:p>
            </w:txbxContent>
          </v:textbox>
          <w10:wrap type="none"/>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5.119999pt;margin-top:755.648071pt;width:140.450pt;height:25.1pt;mso-position-horizontal-relative:page;mso-position-vertical-relative:page;z-index:-314547200" type="#_x0000_t202" filled="false" stroked="false">
          <v:textbox inset="0,0,0,0">
            <w:txbxContent>
              <w:p>
                <w:pPr>
                  <w:pStyle w:val="BodyText"/>
                  <w:spacing w:before="19"/>
                  <w:ind w:left="20"/>
                </w:pPr>
                <w:r>
                  <w:rPr>
                    <w:w w:val="105"/>
                  </w:rPr>
                  <w:t>California Dept of Education</w:t>
                </w:r>
              </w:p>
              <w:p>
                <w:pPr>
                  <w:pStyle w:val="BodyText"/>
                  <w:spacing w:line="249" w:lineRule="auto" w:before="7"/>
                  <w:ind w:left="20" w:right="8"/>
                </w:pPr>
                <w:r>
                  <w:rPr>
                    <w:w w:val="105"/>
                  </w:rPr>
                  <w:t>SACS</w:t>
                </w:r>
                <w:r>
                  <w:rPr>
                    <w:spacing w:val="-12"/>
                    <w:w w:val="105"/>
                  </w:rPr>
                  <w:t> </w:t>
                </w:r>
                <w:r>
                  <w:rPr>
                    <w:w w:val="105"/>
                  </w:rPr>
                  <w:t>Financial</w:t>
                </w:r>
                <w:r>
                  <w:rPr>
                    <w:spacing w:val="-12"/>
                    <w:w w:val="105"/>
                  </w:rPr>
                  <w:t> </w:t>
                </w:r>
                <w:r>
                  <w:rPr>
                    <w:w w:val="105"/>
                  </w:rPr>
                  <w:t>Reporting</w:t>
                </w:r>
                <w:r>
                  <w:rPr>
                    <w:spacing w:val="-10"/>
                    <w:w w:val="105"/>
                  </w:rPr>
                  <w:t> </w:t>
                </w:r>
                <w:r>
                  <w:rPr>
                    <w:w w:val="105"/>
                  </w:rPr>
                  <w:t>Software</w:t>
                </w:r>
                <w:r>
                  <w:rPr>
                    <w:spacing w:val="-10"/>
                    <w:w w:val="105"/>
                  </w:rPr>
                  <w:t> </w:t>
                </w:r>
                <w:r>
                  <w:rPr>
                    <w:w w:val="105"/>
                  </w:rPr>
                  <w:t>-</w:t>
                </w:r>
                <w:r>
                  <w:rPr>
                    <w:spacing w:val="-10"/>
                    <w:w w:val="105"/>
                  </w:rPr>
                  <w:t> </w:t>
                </w:r>
                <w:r>
                  <w:rPr>
                    <w:w w:val="105"/>
                  </w:rPr>
                  <w:t>2021.1.0 File: myp (Rev</w:t>
                </w:r>
                <w:r>
                  <w:rPr>
                    <w:spacing w:val="-1"/>
                    <w:w w:val="105"/>
                  </w:rPr>
                  <w:t> </w:t>
                </w:r>
                <w:r>
                  <w:rPr>
                    <w:w w:val="105"/>
                  </w:rPr>
                  <w:t>03/30/2015)</w:t>
                </w:r>
              </w:p>
            </w:txbxContent>
          </v:textbox>
          <w10:wrap type="none"/>
        </v:shape>
      </w:pict>
    </w:r>
    <w:r>
      <w:rPr/>
      <w:pict>
        <v:shape style="position:absolute;margin-left:294.285217pt;margin-top:771.248108pt;width:25.3pt;height:9.5pt;mso-position-horizontal-relative:page;mso-position-vertical-relative:page;z-index:-314546176" type="#_x0000_t202" filled="false" stroked="false">
          <v:textbox inset="0,0,0,0">
            <w:txbxContent>
              <w:p>
                <w:pPr>
                  <w:pStyle w:val="BodyText"/>
                  <w:spacing w:before="19"/>
                  <w:ind w:left="20"/>
                </w:pPr>
                <w:r>
                  <w:rPr>
                    <w:w w:val="105"/>
                  </w:rPr>
                  <w:t>Page </w:t>
                </w:r>
                <w:r>
                  <w:rPr/>
                  <w:fldChar w:fldCharType="begin"/>
                </w:r>
                <w:r>
                  <w:rPr>
                    <w:w w:val="105"/>
                  </w:rPr>
                  <w:instrText> PAGE </w:instrText>
                </w:r>
                <w:r>
                  <w:rPr/>
                  <w:fldChar w:fldCharType="separate"/>
                </w:r>
                <w:r>
                  <w:rPr/>
                  <w:t>1</w:t>
                </w:r>
                <w:r>
                  <w:rPr/>
                  <w:fldChar w:fldCharType="end"/>
                </w:r>
              </w:p>
            </w:txbxContent>
          </v:textbox>
          <w10:wrap type="none"/>
        </v:shape>
      </w:pict>
    </w:r>
    <w:r>
      <w:rPr/>
      <w:pict>
        <v:shape style="position:absolute;margin-left:488.811584pt;margin-top:771.248108pt;width:87.8pt;height:9.5pt;mso-position-horizontal-relative:page;mso-position-vertical-relative:page;z-index:-314545152" type="#_x0000_t202" filled="false" stroked="false">
          <v:textbox inset="0,0,0,0">
            <w:txbxContent>
              <w:p>
                <w:pPr>
                  <w:pStyle w:val="BodyText"/>
                  <w:spacing w:before="19"/>
                  <w:ind w:left="20"/>
                </w:pPr>
                <w:r>
                  <w:rPr>
                    <w:w w:val="105"/>
                  </w:rPr>
                  <w:t>Printed: 6/4/2021 10:12 AM</w:t>
                </w:r>
              </w:p>
            </w:txbxContent>
          </v:textbox>
          <w10:wrap type="none"/>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4.639999pt;margin-top:756.596497pt;width:138.1pt;height:24.5pt;mso-position-horizontal-relative:page;mso-position-vertical-relative:page;z-index:-314541056" type="#_x0000_t202" filled="false" stroked="false">
          <v:textbox inset="0,0,0,0">
            <w:txbxContent>
              <w:p>
                <w:pPr>
                  <w:pStyle w:val="BodyText"/>
                  <w:spacing w:before="17"/>
                  <w:ind w:left="20"/>
                </w:pPr>
                <w:r>
                  <w:rPr/>
                  <w:t>California Dept of Education</w:t>
                </w:r>
              </w:p>
              <w:p>
                <w:pPr>
                  <w:pStyle w:val="BodyText"/>
                  <w:spacing w:before="2"/>
                  <w:ind w:left="20"/>
                </w:pPr>
                <w:r>
                  <w:rPr/>
                  <w:t>SACS Financial Reporting Software - 2021.1.0 File: myp (Rev 03/09/2016)</w:t>
                </w:r>
              </w:p>
            </w:txbxContent>
          </v:textbox>
          <w10:wrap type="none"/>
        </v:shape>
      </w:pict>
    </w:r>
    <w:r>
      <w:rPr/>
      <w:pict>
        <v:shape style="position:absolute;margin-left:294.373444pt;margin-top:771.716492pt;width:23.1pt;height:9.4pt;mso-position-horizontal-relative:page;mso-position-vertical-relative:page;z-index:-314540032" type="#_x0000_t202" filled="false" stroked="false">
          <v:textbox inset="0,0,0,0">
            <w:txbxContent>
              <w:p>
                <w:pPr>
                  <w:pStyle w:val="BodyText"/>
                  <w:spacing w:before="17"/>
                  <w:ind w:left="20"/>
                </w:pPr>
                <w:r>
                  <w:rPr/>
                  <w:t>Page 1</w:t>
                </w:r>
              </w:p>
            </w:txbxContent>
          </v:textbox>
          <w10:wrap type="none"/>
        </v:shape>
      </w:pict>
    </w:r>
    <w:r>
      <w:rPr/>
      <w:pict>
        <v:shape style="position:absolute;margin-left:491.148438pt;margin-top:771.716492pt;width:86.15pt;height:9.4pt;mso-position-horizontal-relative:page;mso-position-vertical-relative:page;z-index:-314539008" type="#_x0000_t202" filled="false" stroked="false">
          <v:textbox inset="0,0,0,0">
            <w:txbxContent>
              <w:p>
                <w:pPr>
                  <w:pStyle w:val="BodyText"/>
                  <w:spacing w:before="17"/>
                  <w:ind w:left="20"/>
                </w:pPr>
                <w:r>
                  <w:rPr/>
                  <w:t>Printed: 6/4/2021 10:12 AM</w:t>
                </w:r>
              </w:p>
            </w:txbxContent>
          </v:textbox>
          <w10:wrap type="none"/>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4.639999pt;margin-top:756.596497pt;width:138.1pt;height:24.5pt;mso-position-horizontal-relative:page;mso-position-vertical-relative:page;z-index:-314534912" type="#_x0000_t202" filled="false" stroked="false">
          <v:textbox inset="0,0,0,0">
            <w:txbxContent>
              <w:p>
                <w:pPr>
                  <w:pStyle w:val="BodyText"/>
                  <w:spacing w:before="17"/>
                  <w:ind w:left="20"/>
                </w:pPr>
                <w:r>
                  <w:rPr/>
                  <w:t>California Dept of Education</w:t>
                </w:r>
              </w:p>
              <w:p>
                <w:pPr>
                  <w:pStyle w:val="BodyText"/>
                  <w:spacing w:before="2"/>
                  <w:ind w:left="20"/>
                </w:pPr>
                <w:r>
                  <w:rPr/>
                  <w:t>SACS Financial Reporting Software - 2021.1.0 File: myp (Rev 03/09/2016)</w:t>
                </w:r>
              </w:p>
            </w:txbxContent>
          </v:textbox>
          <w10:wrap type="none"/>
        </v:shape>
      </w:pict>
    </w:r>
    <w:r>
      <w:rPr/>
      <w:pict>
        <v:shape style="position:absolute;margin-left:294.373444pt;margin-top:771.716492pt;width:23.1pt;height:9.4pt;mso-position-horizontal-relative:page;mso-position-vertical-relative:page;z-index:-314533888" type="#_x0000_t202" filled="false" stroked="false">
          <v:textbox inset="0,0,0,0">
            <w:txbxContent>
              <w:p>
                <w:pPr>
                  <w:pStyle w:val="BodyText"/>
                  <w:spacing w:before="17"/>
                  <w:ind w:left="20"/>
                </w:pPr>
                <w:r>
                  <w:rPr/>
                  <w:t>Page 2</w:t>
                </w:r>
              </w:p>
            </w:txbxContent>
          </v:textbox>
          <w10:wrap type="none"/>
        </v:shape>
      </w:pict>
    </w:r>
    <w:r>
      <w:rPr/>
      <w:pict>
        <v:shape style="position:absolute;margin-left:491.148438pt;margin-top:771.716492pt;width:86.15pt;height:9.4pt;mso-position-horizontal-relative:page;mso-position-vertical-relative:page;z-index:-314532864" type="#_x0000_t202" filled="false" stroked="false">
          <v:textbox inset="0,0,0,0">
            <w:txbxContent>
              <w:p>
                <w:pPr>
                  <w:pStyle w:val="BodyText"/>
                  <w:spacing w:before="17"/>
                  <w:ind w:left="20"/>
                </w:pPr>
                <w:r>
                  <w:rPr/>
                  <w:t>Printed: 6/4/2021 10:12 AM</w:t>
                </w:r>
              </w:p>
            </w:txbxContent>
          </v:textbox>
          <w10:wrap type="none"/>
        </v:shape>
      </w:pic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1.960001pt;margin-top:753.894409pt;width:149.75pt;height:26.15pt;mso-position-horizontal-relative:page;mso-position-vertical-relative:page;z-index:-314527744" type="#_x0000_t202" filled="false" stroked="false">
          <v:textbox inset="0,0,0,0">
            <w:txbxContent>
              <w:p>
                <w:pPr>
                  <w:spacing w:before="18"/>
                  <w:ind w:left="20" w:right="0" w:firstLine="0"/>
                  <w:jc w:val="left"/>
                  <w:rPr>
                    <w:sz w:val="14"/>
                  </w:rPr>
                </w:pPr>
                <w:r>
                  <w:rPr>
                    <w:w w:val="105"/>
                    <w:sz w:val="14"/>
                  </w:rPr>
                  <w:t>California Dept of Education</w:t>
                </w:r>
              </w:p>
              <w:p>
                <w:pPr>
                  <w:spacing w:before="0"/>
                  <w:ind w:left="20" w:right="12" w:firstLine="0"/>
                  <w:jc w:val="left"/>
                  <w:rPr>
                    <w:sz w:val="14"/>
                  </w:rPr>
                </w:pPr>
                <w:r>
                  <w:rPr>
                    <w:w w:val="105"/>
                    <w:sz w:val="14"/>
                  </w:rPr>
                  <w:t>SACS</w:t>
                </w:r>
                <w:r>
                  <w:rPr>
                    <w:spacing w:val="-13"/>
                    <w:w w:val="105"/>
                    <w:sz w:val="14"/>
                  </w:rPr>
                  <w:t> </w:t>
                </w:r>
                <w:r>
                  <w:rPr>
                    <w:w w:val="105"/>
                    <w:sz w:val="14"/>
                  </w:rPr>
                  <w:t>Financial</w:t>
                </w:r>
                <w:r>
                  <w:rPr>
                    <w:spacing w:val="-13"/>
                    <w:w w:val="105"/>
                    <w:sz w:val="14"/>
                  </w:rPr>
                  <w:t> </w:t>
                </w:r>
                <w:r>
                  <w:rPr>
                    <w:w w:val="105"/>
                    <w:sz w:val="14"/>
                  </w:rPr>
                  <w:t>Reporting</w:t>
                </w:r>
                <w:r>
                  <w:rPr>
                    <w:spacing w:val="-14"/>
                    <w:w w:val="105"/>
                    <w:sz w:val="14"/>
                  </w:rPr>
                  <w:t> </w:t>
                </w:r>
                <w:r>
                  <w:rPr>
                    <w:w w:val="105"/>
                    <w:sz w:val="14"/>
                  </w:rPr>
                  <w:t>Software</w:t>
                </w:r>
                <w:r>
                  <w:rPr>
                    <w:spacing w:val="-13"/>
                    <w:w w:val="105"/>
                    <w:sz w:val="14"/>
                  </w:rPr>
                  <w:t> </w:t>
                </w:r>
                <w:r>
                  <w:rPr>
                    <w:w w:val="105"/>
                    <w:sz w:val="14"/>
                  </w:rPr>
                  <w:t>-</w:t>
                </w:r>
                <w:r>
                  <w:rPr>
                    <w:spacing w:val="-12"/>
                    <w:w w:val="105"/>
                    <w:sz w:val="14"/>
                  </w:rPr>
                  <w:t> </w:t>
                </w:r>
                <w:r>
                  <w:rPr>
                    <w:spacing w:val="-3"/>
                    <w:w w:val="105"/>
                    <w:sz w:val="14"/>
                  </w:rPr>
                  <w:t>2021.1.0 </w:t>
                </w:r>
                <w:r>
                  <w:rPr>
                    <w:w w:val="105"/>
                    <w:sz w:val="14"/>
                  </w:rPr>
                  <w:t>File: ceb (Rev</w:t>
                </w:r>
                <w:r>
                  <w:rPr>
                    <w:spacing w:val="-4"/>
                    <w:w w:val="105"/>
                    <w:sz w:val="14"/>
                  </w:rPr>
                  <w:t> </w:t>
                </w:r>
                <w:r>
                  <w:rPr>
                    <w:w w:val="105"/>
                    <w:sz w:val="14"/>
                  </w:rPr>
                  <w:t>03/17/2021)</w:t>
                </w:r>
              </w:p>
            </w:txbxContent>
          </v:textbox>
          <w10:wrap type="none"/>
        </v:shape>
      </w:pict>
    </w:r>
    <w:r>
      <w:rPr/>
      <w:pict>
        <v:shape style="position:absolute;margin-left:286.629883pt;margin-top:769.974365pt;width:38.75pt;height:10.050pt;mso-position-horizontal-relative:page;mso-position-vertical-relative:page;z-index:-314526720" type="#_x0000_t202" filled="false" stroked="false">
          <v:textbox inset="0,0,0,0">
            <w:txbxContent>
              <w:p>
                <w:pPr>
                  <w:spacing w:before="18"/>
                  <w:ind w:left="20" w:right="0" w:firstLine="0"/>
                  <w:jc w:val="left"/>
                  <w:rPr>
                    <w:sz w:val="14"/>
                  </w:rPr>
                </w:pPr>
                <w:r>
                  <w:rPr>
                    <w:w w:val="105"/>
                    <w:sz w:val="14"/>
                  </w:rPr>
                  <w:t>Page 1 of 1</w:t>
                </w:r>
              </w:p>
            </w:txbxContent>
          </v:textbox>
          <w10:wrap type="none"/>
        </v:shape>
      </w:pict>
    </w:r>
    <w:r>
      <w:rPr/>
      <w:pict>
        <v:shape style="position:absolute;margin-left:506.618561pt;margin-top:769.974365pt;width:93.4pt;height:10.050pt;mso-position-horizontal-relative:page;mso-position-vertical-relative:page;z-index:-314525696" type="#_x0000_t202" filled="false" stroked="false">
          <v:textbox inset="0,0,0,0">
            <w:txbxContent>
              <w:p>
                <w:pPr>
                  <w:spacing w:before="18"/>
                  <w:ind w:left="20" w:right="0" w:firstLine="0"/>
                  <w:jc w:val="left"/>
                  <w:rPr>
                    <w:sz w:val="14"/>
                  </w:rPr>
                </w:pPr>
                <w:r>
                  <w:rPr>
                    <w:w w:val="105"/>
                    <w:sz w:val="14"/>
                  </w:rPr>
                  <w:t>Printed: 6/4/2021 10:11 AM</w:t>
                </w:r>
              </w:p>
            </w:txbxContent>
          </v:textbox>
          <w10:wrap type="none"/>
        </v:shape>
      </w:pic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3.039999pt;margin-top:750.712219pt;width:162.2pt;height:28.25pt;mso-position-horizontal-relative:page;mso-position-vertical-relative:page;z-index:-314524672" type="#_x0000_t202" filled="false" stroked="false">
          <v:textbox inset="0,0,0,0">
            <w:txbxContent>
              <w:p>
                <w:pPr>
                  <w:spacing w:before="20"/>
                  <w:ind w:left="20" w:right="0" w:firstLine="0"/>
                  <w:jc w:val="left"/>
                  <w:rPr>
                    <w:sz w:val="15"/>
                  </w:rPr>
                </w:pPr>
                <w:r>
                  <w:rPr>
                    <w:w w:val="105"/>
                    <w:sz w:val="15"/>
                  </w:rPr>
                  <w:t>California Dept of Education</w:t>
                </w:r>
              </w:p>
              <w:p>
                <w:pPr>
                  <w:spacing w:line="244" w:lineRule="auto" w:before="3"/>
                  <w:ind w:left="20" w:right="-20" w:firstLine="0"/>
                  <w:jc w:val="left"/>
                  <w:rPr>
                    <w:sz w:val="15"/>
                  </w:rPr>
                </w:pPr>
                <w:r>
                  <w:rPr>
                    <w:w w:val="105"/>
                    <w:sz w:val="15"/>
                  </w:rPr>
                  <w:t>SACS Financial Reporting Software - </w:t>
                </w:r>
                <w:r>
                  <w:rPr>
                    <w:spacing w:val="-3"/>
                    <w:w w:val="105"/>
                    <w:sz w:val="15"/>
                  </w:rPr>
                  <w:t>2021.1.0 </w:t>
                </w:r>
                <w:r>
                  <w:rPr>
                    <w:w w:val="105"/>
                    <w:sz w:val="15"/>
                  </w:rPr>
                  <w:t>File: lot (Rev 02/24/2016)</w:t>
                </w:r>
              </w:p>
            </w:txbxContent>
          </v:textbox>
          <w10:wrap type="none"/>
        </v:shape>
      </w:pict>
    </w:r>
    <w:r>
      <w:rPr/>
      <w:pict>
        <v:shape style="position:absolute;margin-left:284.982178pt;margin-top:768.2323pt;width:41.7pt;height:10.7pt;mso-position-horizontal-relative:page;mso-position-vertical-relative:page;z-index:-314523648" type="#_x0000_t202" filled="false" stroked="false">
          <v:textbox inset="0,0,0,0">
            <w:txbxContent>
              <w:p>
                <w:pPr>
                  <w:spacing w:before="20"/>
                  <w:ind w:left="20" w:right="0" w:firstLine="0"/>
                  <w:jc w:val="left"/>
                  <w:rPr>
                    <w:sz w:val="15"/>
                  </w:rPr>
                </w:pPr>
                <w:r>
                  <w:rPr>
                    <w:w w:val="105"/>
                    <w:sz w:val="15"/>
                  </w:rPr>
                  <w:t>Page 1 of 1</w:t>
                </w:r>
              </w:p>
            </w:txbxContent>
          </v:textbox>
          <w10:wrap type="none"/>
        </v:shape>
      </w:pict>
    </w:r>
    <w:r>
      <w:rPr/>
      <w:pict>
        <v:shape style="position:absolute;margin-left:498.062103pt;margin-top:768.2323pt;width:100.8pt;height:10.7pt;mso-position-horizontal-relative:page;mso-position-vertical-relative:page;z-index:-314522624" type="#_x0000_t202" filled="false" stroked="false">
          <v:textbox inset="0,0,0,0">
            <w:txbxContent>
              <w:p>
                <w:pPr>
                  <w:spacing w:before="20"/>
                  <w:ind w:left="20" w:right="0" w:firstLine="0"/>
                  <w:jc w:val="left"/>
                  <w:rPr>
                    <w:sz w:val="15"/>
                  </w:rPr>
                </w:pPr>
                <w:r>
                  <w:rPr>
                    <w:w w:val="105"/>
                    <w:sz w:val="15"/>
                  </w:rPr>
                  <w:t>Printed: 6/4/2021 10:12 AM</w:t>
                </w:r>
              </w:p>
            </w:txbxContent>
          </v:textbox>
          <w10:wrap type="none"/>
        </v:shape>
      </w:pict>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2.840pt;margin-top:725.782654pt;width:194.4pt;height:33.35pt;mso-position-horizontal-relative:page;mso-position-vertical-relative:page;z-index:-314518528" type="#_x0000_t202" filled="false" stroked="false">
          <v:textbox inset="0,0,0,0">
            <w:txbxContent>
              <w:p>
                <w:pPr>
                  <w:spacing w:before="20"/>
                  <w:ind w:left="20" w:right="0" w:firstLine="0"/>
                  <w:jc w:val="left"/>
                  <w:rPr>
                    <w:sz w:val="18"/>
                  </w:rPr>
                </w:pPr>
                <w:r>
                  <w:rPr>
                    <w:w w:val="105"/>
                    <w:sz w:val="18"/>
                  </w:rPr>
                  <w:t>California Dept of Education</w:t>
                </w:r>
              </w:p>
              <w:p>
                <w:pPr>
                  <w:spacing w:before="2"/>
                  <w:ind w:left="20" w:right="12" w:firstLine="0"/>
                  <w:jc w:val="left"/>
                  <w:rPr>
                    <w:sz w:val="18"/>
                  </w:rPr>
                </w:pPr>
                <w:r>
                  <w:rPr>
                    <w:w w:val="105"/>
                    <w:sz w:val="18"/>
                  </w:rPr>
                  <w:t>SACS</w:t>
                </w:r>
                <w:r>
                  <w:rPr>
                    <w:spacing w:val="-13"/>
                    <w:w w:val="105"/>
                    <w:sz w:val="18"/>
                  </w:rPr>
                  <w:t> </w:t>
                </w:r>
                <w:r>
                  <w:rPr>
                    <w:w w:val="105"/>
                    <w:sz w:val="18"/>
                  </w:rPr>
                  <w:t>Financial</w:t>
                </w:r>
                <w:r>
                  <w:rPr>
                    <w:spacing w:val="-13"/>
                    <w:w w:val="105"/>
                    <w:sz w:val="18"/>
                  </w:rPr>
                  <w:t> </w:t>
                </w:r>
                <w:r>
                  <w:rPr>
                    <w:w w:val="105"/>
                    <w:sz w:val="18"/>
                  </w:rPr>
                  <w:t>Reporting</w:t>
                </w:r>
                <w:r>
                  <w:rPr>
                    <w:spacing w:val="-12"/>
                    <w:w w:val="105"/>
                    <w:sz w:val="18"/>
                  </w:rPr>
                  <w:t> </w:t>
                </w:r>
                <w:r>
                  <w:rPr>
                    <w:w w:val="105"/>
                    <w:sz w:val="18"/>
                  </w:rPr>
                  <w:t>Software</w:t>
                </w:r>
                <w:r>
                  <w:rPr>
                    <w:spacing w:val="-11"/>
                    <w:w w:val="105"/>
                    <w:sz w:val="18"/>
                  </w:rPr>
                  <w:t> </w:t>
                </w:r>
                <w:r>
                  <w:rPr>
                    <w:w w:val="105"/>
                    <w:sz w:val="18"/>
                  </w:rPr>
                  <w:t>-</w:t>
                </w:r>
                <w:r>
                  <w:rPr>
                    <w:spacing w:val="-13"/>
                    <w:w w:val="105"/>
                    <w:sz w:val="18"/>
                  </w:rPr>
                  <w:t> </w:t>
                </w:r>
                <w:r>
                  <w:rPr>
                    <w:w w:val="105"/>
                    <w:sz w:val="18"/>
                  </w:rPr>
                  <w:t>2021.1.0 File: esmoe (Rev</w:t>
                </w:r>
                <w:r>
                  <w:rPr>
                    <w:spacing w:val="-7"/>
                    <w:w w:val="105"/>
                    <w:sz w:val="18"/>
                  </w:rPr>
                  <w:t> </w:t>
                </w:r>
                <w:r>
                  <w:rPr>
                    <w:w w:val="105"/>
                    <w:sz w:val="18"/>
                  </w:rPr>
                  <w:t>03/01/2018)</w:t>
                </w:r>
              </w:p>
            </w:txbxContent>
          </v:textbox>
          <w10:wrap type="none"/>
        </v:shape>
      </w:pict>
    </w:r>
    <w:r>
      <w:rPr/>
      <w:pict>
        <v:shape style="position:absolute;margin-left:290.109253pt;margin-top:746.662659pt;width:33.65pt;height:12.45pt;mso-position-horizontal-relative:page;mso-position-vertical-relative:page;z-index:-314517504" type="#_x0000_t202" filled="false" stroked="false">
          <v:textbox inset="0,0,0,0">
            <w:txbxContent>
              <w:p>
                <w:pPr>
                  <w:spacing w:before="20"/>
                  <w:ind w:left="20" w:right="0" w:firstLine="0"/>
                  <w:jc w:val="left"/>
                  <w:rPr>
                    <w:sz w:val="18"/>
                  </w:rPr>
                </w:pPr>
                <w:r>
                  <w:rPr>
                    <w:w w:val="105"/>
                    <w:sz w:val="18"/>
                  </w:rPr>
                  <w:t>Page </w:t>
                </w:r>
                <w:r>
                  <w:rPr/>
                  <w:fldChar w:fldCharType="begin"/>
                </w:r>
                <w:r>
                  <w:rPr>
                    <w:w w:val="105"/>
                    <w:sz w:val="18"/>
                  </w:rPr>
                  <w:instrText> PAGE </w:instrText>
                </w:r>
                <w:r>
                  <w:rPr/>
                  <w:fldChar w:fldCharType="separate"/>
                </w:r>
                <w:r>
                  <w:rPr/>
                  <w:t>1</w:t>
                </w:r>
                <w:r>
                  <w:rPr/>
                  <w:fldChar w:fldCharType="end"/>
                </w:r>
              </w:p>
            </w:txbxContent>
          </v:textbox>
          <w10:wrap type="none"/>
        </v:shape>
      </w:pict>
    </w:r>
    <w:r>
      <w:rPr/>
      <w:pict>
        <v:shape style="position:absolute;margin-left:458.11319pt;margin-top:746.662659pt;width:120.8pt;height:12.45pt;mso-position-horizontal-relative:page;mso-position-vertical-relative:page;z-index:-314516480" type="#_x0000_t202" filled="false" stroked="false">
          <v:textbox inset="0,0,0,0">
            <w:txbxContent>
              <w:p>
                <w:pPr>
                  <w:spacing w:before="20"/>
                  <w:ind w:left="20" w:right="0" w:firstLine="0"/>
                  <w:jc w:val="left"/>
                  <w:rPr>
                    <w:sz w:val="18"/>
                  </w:rPr>
                </w:pPr>
                <w:r>
                  <w:rPr>
                    <w:w w:val="105"/>
                    <w:sz w:val="18"/>
                  </w:rPr>
                  <w:t>Printed: 6/4/2021 10:11 AM</w:t>
                </w:r>
              </w:p>
            </w:txbxContent>
          </v:textbox>
          <w10:wrap type="none"/>
        </v:shape>
      </w:pict>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5.56pt;margin-top:751.796509pt;width:138.1pt;height:24.5pt;mso-position-horizontal-relative:page;mso-position-vertical-relative:page;z-index:-314512384" type="#_x0000_t202" filled="false" stroked="false">
          <v:textbox inset="0,0,0,0">
            <w:txbxContent>
              <w:p>
                <w:pPr>
                  <w:pStyle w:val="BodyText"/>
                  <w:spacing w:before="17"/>
                  <w:ind w:left="20"/>
                </w:pPr>
                <w:r>
                  <w:rPr/>
                  <w:t>California Dept of Education</w:t>
                </w:r>
              </w:p>
              <w:p>
                <w:pPr>
                  <w:pStyle w:val="BodyText"/>
                  <w:spacing w:before="2"/>
                  <w:ind w:left="20"/>
                </w:pPr>
                <w:r>
                  <w:rPr/>
                  <w:t>SACS Financial Reporting Software - 2021.1.0 File: cs-a (Rev 02/26/2021)</w:t>
                </w:r>
              </w:p>
            </w:txbxContent>
          </v:textbox>
          <w10:wrap type="none"/>
        </v:shape>
      </w:pict>
    </w:r>
    <w:r>
      <w:rPr/>
      <w:pict>
        <v:shape style="position:absolute;margin-left:285.979492pt;margin-top:766.916504pt;width:39.65pt;height:9.4pt;mso-position-horizontal-relative:page;mso-position-vertical-relative:page;z-index:-314511360" type="#_x0000_t202" filled="false" stroked="false">
          <v:textbox inset="0,0,0,0">
            <w:txbxContent>
              <w:p>
                <w:pPr>
                  <w:pStyle w:val="BodyText"/>
                  <w:spacing w:before="17"/>
                  <w:ind w:left="20"/>
                </w:pPr>
                <w:r>
                  <w:rPr/>
                  <w:t>Page </w:t>
                </w:r>
                <w:r>
                  <w:rPr/>
                  <w:fldChar w:fldCharType="begin"/>
                </w:r>
                <w:r>
                  <w:rPr/>
                  <w:instrText> PAGE </w:instrText>
                </w:r>
                <w:r>
                  <w:rPr/>
                  <w:fldChar w:fldCharType="separate"/>
                </w:r>
                <w:r>
                  <w:rPr/>
                  <w:t>1</w:t>
                </w:r>
                <w:r>
                  <w:rPr/>
                  <w:fldChar w:fldCharType="end"/>
                </w:r>
                <w:r>
                  <w:rPr/>
                  <w:t> of 27</w:t>
                </w:r>
              </w:p>
            </w:txbxContent>
          </v:textbox>
          <w10:wrap type="none"/>
        </v:shape>
      </w:pict>
    </w:r>
    <w:r>
      <w:rPr/>
      <w:pict>
        <v:shape style="position:absolute;margin-left:510.106873pt;margin-top:766.916504pt;width:86.15pt;height:9.4pt;mso-position-horizontal-relative:page;mso-position-vertical-relative:page;z-index:-314510336" type="#_x0000_t202" filled="false" stroked="false">
          <v:textbox inset="0,0,0,0">
            <w:txbxContent>
              <w:p>
                <w:pPr>
                  <w:pStyle w:val="BodyText"/>
                  <w:spacing w:before="17"/>
                  <w:ind w:left="20"/>
                </w:pPr>
                <w:r>
                  <w:rPr/>
                  <w:t>Printed: 6/4/2021 10:13 AM</w:t>
                </w:r>
              </w:p>
            </w:txbxContent>
          </v:textbox>
          <w10:wrap type="none"/>
        </v:shape>
      </w:pict>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5.56pt;margin-top:751.796509pt;width:138.1pt;height:24.5pt;mso-position-horizontal-relative:page;mso-position-vertical-relative:page;z-index:-314506240" type="#_x0000_t202" filled="false" stroked="false">
          <v:textbox inset="0,0,0,0">
            <w:txbxContent>
              <w:p>
                <w:pPr>
                  <w:pStyle w:val="BodyText"/>
                  <w:spacing w:before="17"/>
                  <w:ind w:left="20"/>
                </w:pPr>
                <w:r>
                  <w:rPr/>
                  <w:t>California Dept of Education</w:t>
                </w:r>
              </w:p>
              <w:p>
                <w:pPr>
                  <w:pStyle w:val="BodyText"/>
                  <w:spacing w:before="2"/>
                  <w:ind w:left="20"/>
                </w:pPr>
                <w:r>
                  <w:rPr/>
                  <w:t>SACS Financial Reporting Software - 2021.1.0 File: cs-a (Rev 02/26/2021)</w:t>
                </w:r>
              </w:p>
            </w:txbxContent>
          </v:textbox>
          <w10:wrap type="none"/>
        </v:shape>
      </w:pict>
    </w:r>
    <w:r>
      <w:rPr/>
      <w:pict>
        <v:shape style="position:absolute;margin-left:284.200867pt;margin-top:766.916504pt;width:43.3pt;height:9.4pt;mso-position-horizontal-relative:page;mso-position-vertical-relative:page;z-index:-314505216" type="#_x0000_t202" filled="false" stroked="false">
          <v:textbox inset="0,0,0,0">
            <w:txbxContent>
              <w:p>
                <w:pPr>
                  <w:pStyle w:val="BodyText"/>
                  <w:spacing w:before="17"/>
                  <w:ind w:left="20"/>
                </w:pPr>
                <w:r>
                  <w:rPr/>
                  <w:t>Page 10 of 27</w:t>
                </w:r>
              </w:p>
            </w:txbxContent>
          </v:textbox>
          <w10:wrap type="none"/>
        </v:shape>
      </w:pict>
    </w:r>
    <w:r>
      <w:rPr/>
      <w:pict>
        <v:shape style="position:absolute;margin-left:510.093475pt;margin-top:766.916504pt;width:86.1pt;height:9.4pt;mso-position-horizontal-relative:page;mso-position-vertical-relative:page;z-index:-314504192" type="#_x0000_t202" filled="false" stroked="false">
          <v:textbox inset="0,0,0,0">
            <w:txbxContent>
              <w:p>
                <w:pPr>
                  <w:pStyle w:val="BodyText"/>
                  <w:spacing w:before="17"/>
                  <w:ind w:left="20"/>
                </w:pPr>
                <w:r>
                  <w:rPr/>
                  <w:t>Printed: 6/4/2021 10:13 AM</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5.56pt;margin-top:751.796509pt;width:138.1pt;height:24.5pt;mso-position-horizontal-relative:page;mso-position-vertical-relative:page;z-index:-314500096" type="#_x0000_t202" filled="false" stroked="false">
          <v:textbox inset="0,0,0,0">
            <w:txbxContent>
              <w:p>
                <w:pPr>
                  <w:pStyle w:val="BodyText"/>
                  <w:spacing w:before="17"/>
                  <w:ind w:left="20"/>
                </w:pPr>
                <w:r>
                  <w:rPr/>
                  <w:t>California Dept of Education</w:t>
                </w:r>
              </w:p>
              <w:p>
                <w:pPr>
                  <w:pStyle w:val="BodyText"/>
                  <w:spacing w:before="2"/>
                  <w:ind w:left="20"/>
                </w:pPr>
                <w:r>
                  <w:rPr/>
                  <w:t>SACS Financial Reporting Software - 2021.1.0 File: cs-a (Rev 02/26/2021)</w:t>
                </w:r>
              </w:p>
            </w:txbxContent>
          </v:textbox>
          <w10:wrap type="none"/>
        </v:shape>
      </w:pict>
    </w:r>
    <w:r>
      <w:rPr/>
      <w:pict>
        <v:shape style="position:absolute;margin-left:284.200867pt;margin-top:766.916504pt;width:43.3pt;height:9.4pt;mso-position-horizontal-relative:page;mso-position-vertical-relative:page;z-index:-314499072" type="#_x0000_t202" filled="false" stroked="false">
          <v:textbox inset="0,0,0,0">
            <w:txbxContent>
              <w:p>
                <w:pPr>
                  <w:pStyle w:val="BodyText"/>
                  <w:spacing w:before="17"/>
                  <w:ind w:left="20"/>
                </w:pPr>
                <w:r>
                  <w:rPr/>
                  <w:t>Page 1</w:t>
                </w:r>
                <w:r>
                  <w:rPr/>
                  <w:fldChar w:fldCharType="begin"/>
                </w:r>
                <w:r>
                  <w:rPr/>
                  <w:instrText> PAGE </w:instrText>
                </w:r>
                <w:r>
                  <w:rPr/>
                  <w:fldChar w:fldCharType="separate"/>
                </w:r>
                <w:r>
                  <w:rPr/>
                  <w:t>1</w:t>
                </w:r>
                <w:r>
                  <w:rPr/>
                  <w:fldChar w:fldCharType="end"/>
                </w:r>
                <w:r>
                  <w:rPr/>
                  <w:t> of 27</w:t>
                </w:r>
              </w:p>
            </w:txbxContent>
          </v:textbox>
          <w10:wrap type="none"/>
        </v:shape>
      </w:pict>
    </w:r>
    <w:r>
      <w:rPr/>
      <w:pict>
        <v:shape style="position:absolute;margin-left:510.093475pt;margin-top:766.916504pt;width:86.1pt;height:9.4pt;mso-position-horizontal-relative:page;mso-position-vertical-relative:page;z-index:-314498048" type="#_x0000_t202" filled="false" stroked="false">
          <v:textbox inset="0,0,0,0">
            <w:txbxContent>
              <w:p>
                <w:pPr>
                  <w:pStyle w:val="BodyText"/>
                  <w:spacing w:before="17"/>
                  <w:ind w:left="20"/>
                </w:pPr>
                <w:r>
                  <w:rPr/>
                  <w:t>Printed: 6/4/2021 10:13 AM</w:t>
                </w:r>
              </w:p>
            </w:txbxContent>
          </v:textbox>
          <w10:wrap type="none"/>
        </v:shape>
      </w:pict>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5.56pt;margin-top:751.796509pt;width:138.1pt;height:24.5pt;mso-position-horizontal-relative:page;mso-position-vertical-relative:page;z-index:-314493952" type="#_x0000_t202" filled="false" stroked="false">
          <v:textbox inset="0,0,0,0">
            <w:txbxContent>
              <w:p>
                <w:pPr>
                  <w:pStyle w:val="BodyText"/>
                  <w:spacing w:before="17"/>
                  <w:ind w:left="20"/>
                </w:pPr>
                <w:r>
                  <w:rPr/>
                  <w:t>California Dept of Education</w:t>
                </w:r>
              </w:p>
              <w:p>
                <w:pPr>
                  <w:pStyle w:val="BodyText"/>
                  <w:spacing w:before="2"/>
                  <w:ind w:left="20"/>
                </w:pPr>
                <w:r>
                  <w:rPr/>
                  <w:t>SACS Financial Reporting Software - 2021.1.0 File: cs-a (Rev 02/26/2021)</w:t>
                </w:r>
              </w:p>
            </w:txbxContent>
          </v:textbox>
          <w10:wrap type="none"/>
        </v:shape>
      </w:pict>
    </w:r>
    <w:r>
      <w:rPr/>
      <w:pict>
        <v:shape style="position:absolute;margin-left:284.200867pt;margin-top:766.916504pt;width:43.3pt;height:9.4pt;mso-position-horizontal-relative:page;mso-position-vertical-relative:page;z-index:-314492928" type="#_x0000_t202" filled="false" stroked="false">
          <v:textbox inset="0,0,0,0">
            <w:txbxContent>
              <w:p>
                <w:pPr>
                  <w:pStyle w:val="BodyText"/>
                  <w:spacing w:before="17"/>
                  <w:ind w:left="20"/>
                </w:pPr>
                <w:r>
                  <w:rPr/>
                  <w:t>Page 20 of 27</w:t>
                </w:r>
              </w:p>
            </w:txbxContent>
          </v:textbox>
          <w10:wrap type="none"/>
        </v:shape>
      </w:pict>
    </w:r>
    <w:r>
      <w:rPr/>
      <w:pict>
        <v:shape style="position:absolute;margin-left:510.093475pt;margin-top:766.916504pt;width:86.1pt;height:9.4pt;mso-position-horizontal-relative:page;mso-position-vertical-relative:page;z-index:-314491904" type="#_x0000_t202" filled="false" stroked="false">
          <v:textbox inset="0,0,0,0">
            <w:txbxContent>
              <w:p>
                <w:pPr>
                  <w:pStyle w:val="BodyText"/>
                  <w:spacing w:before="17"/>
                  <w:ind w:left="20"/>
                </w:pPr>
                <w:r>
                  <w:rPr/>
                  <w:t>Printed: 6/4/2021 10:13 AM</w:t>
                </w:r>
              </w:p>
            </w:txbxContent>
          </v:textbox>
          <w10:wrap type="none"/>
        </v:shape>
      </w:pict>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5.56pt;margin-top:751.796509pt;width:138.1pt;height:24.5pt;mso-position-horizontal-relative:page;mso-position-vertical-relative:page;z-index:-314487808" type="#_x0000_t202" filled="false" stroked="false">
          <v:textbox inset="0,0,0,0">
            <w:txbxContent>
              <w:p>
                <w:pPr>
                  <w:pStyle w:val="BodyText"/>
                  <w:spacing w:before="17"/>
                  <w:ind w:left="20"/>
                </w:pPr>
                <w:r>
                  <w:rPr/>
                  <w:t>California Dept of Education</w:t>
                </w:r>
              </w:p>
              <w:p>
                <w:pPr>
                  <w:pStyle w:val="BodyText"/>
                  <w:spacing w:before="2"/>
                  <w:ind w:left="20"/>
                </w:pPr>
                <w:r>
                  <w:rPr/>
                  <w:t>SACS Financial Reporting Software - 2021.1.0 File: cs-a (Rev 02/26/2021)</w:t>
                </w:r>
              </w:p>
            </w:txbxContent>
          </v:textbox>
          <w10:wrap type="none"/>
        </v:shape>
      </w:pict>
    </w:r>
    <w:r>
      <w:rPr/>
      <w:pict>
        <v:shape style="position:absolute;margin-left:284.200867pt;margin-top:766.916504pt;width:43.3pt;height:9.4pt;mso-position-horizontal-relative:page;mso-position-vertical-relative:page;z-index:-314486784" type="#_x0000_t202" filled="false" stroked="false">
          <v:textbox inset="0,0,0,0">
            <w:txbxContent>
              <w:p>
                <w:pPr>
                  <w:pStyle w:val="BodyText"/>
                  <w:spacing w:before="17"/>
                  <w:ind w:left="20"/>
                </w:pPr>
                <w:r>
                  <w:rPr/>
                  <w:t>Page 2</w:t>
                </w:r>
                <w:r>
                  <w:rPr/>
                  <w:fldChar w:fldCharType="begin"/>
                </w:r>
                <w:r>
                  <w:rPr/>
                  <w:instrText> PAGE </w:instrText>
                </w:r>
                <w:r>
                  <w:rPr/>
                  <w:fldChar w:fldCharType="separate"/>
                </w:r>
                <w:r>
                  <w:rPr/>
                  <w:t>1</w:t>
                </w:r>
                <w:r>
                  <w:rPr/>
                  <w:fldChar w:fldCharType="end"/>
                </w:r>
                <w:r>
                  <w:rPr/>
                  <w:t> of 27</w:t>
                </w:r>
              </w:p>
            </w:txbxContent>
          </v:textbox>
          <w10:wrap type="none"/>
        </v:shape>
      </w:pict>
    </w:r>
    <w:r>
      <w:rPr/>
      <w:pict>
        <v:shape style="position:absolute;margin-left:510.093475pt;margin-top:766.916504pt;width:86.1pt;height:9.4pt;mso-position-horizontal-relative:page;mso-position-vertical-relative:page;z-index:-314485760" type="#_x0000_t202" filled="false" stroked="false">
          <v:textbox inset="0,0,0,0">
            <w:txbxContent>
              <w:p>
                <w:pPr>
                  <w:pStyle w:val="BodyText"/>
                  <w:spacing w:before="17"/>
                  <w:ind w:left="20"/>
                </w:pPr>
                <w:r>
                  <w:rPr/>
                  <w:t>Printed: 6/4/2021 10:13 AM</w:t>
                </w:r>
              </w:p>
            </w:txbxContent>
          </v:textbox>
          <w10:wrap type="none"/>
        </v:shape>
      </w:pict>
    </w: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68pt;margin-top:763.200745pt;width:113.75pt;height:20.05pt;mso-position-horizontal-relative:page;mso-position-vertical-relative:page;z-index:-314481664" type="#_x0000_t202" filled="false" stroked="false">
          <v:textbox inset="0,0,0,0">
            <w:txbxContent>
              <w:p>
                <w:pPr>
                  <w:spacing w:before="23"/>
                  <w:ind w:left="20" w:right="0" w:firstLine="0"/>
                  <w:jc w:val="left"/>
                  <w:rPr>
                    <w:sz w:val="10"/>
                  </w:rPr>
                </w:pPr>
                <w:r>
                  <w:rPr>
                    <w:w w:val="110"/>
                    <w:sz w:val="10"/>
                  </w:rPr>
                  <w:t>California Dept of Education</w:t>
                </w:r>
              </w:p>
              <w:p>
                <w:pPr>
                  <w:spacing w:line="249" w:lineRule="auto" w:before="5"/>
                  <w:ind w:left="20" w:right="7" w:firstLine="0"/>
                  <w:jc w:val="left"/>
                  <w:rPr>
                    <w:sz w:val="10"/>
                  </w:rPr>
                </w:pPr>
                <w:r>
                  <w:rPr>
                    <w:w w:val="110"/>
                    <w:sz w:val="10"/>
                  </w:rPr>
                  <w:t>SACS</w:t>
                </w:r>
                <w:r>
                  <w:rPr>
                    <w:spacing w:val="-9"/>
                    <w:w w:val="110"/>
                    <w:sz w:val="10"/>
                  </w:rPr>
                  <w:t> </w:t>
                </w:r>
                <w:r>
                  <w:rPr>
                    <w:w w:val="110"/>
                    <w:sz w:val="10"/>
                  </w:rPr>
                  <w:t>Financial</w:t>
                </w:r>
                <w:r>
                  <w:rPr>
                    <w:spacing w:val="-8"/>
                    <w:w w:val="110"/>
                    <w:sz w:val="10"/>
                  </w:rPr>
                  <w:t> </w:t>
                </w:r>
                <w:r>
                  <w:rPr>
                    <w:w w:val="110"/>
                    <w:sz w:val="10"/>
                  </w:rPr>
                  <w:t>Reporting</w:t>
                </w:r>
                <w:r>
                  <w:rPr>
                    <w:spacing w:val="-8"/>
                    <w:w w:val="110"/>
                    <w:sz w:val="10"/>
                  </w:rPr>
                  <w:t> </w:t>
                </w:r>
                <w:r>
                  <w:rPr>
                    <w:w w:val="110"/>
                    <w:sz w:val="10"/>
                  </w:rPr>
                  <w:t>Software</w:t>
                </w:r>
                <w:r>
                  <w:rPr>
                    <w:spacing w:val="-9"/>
                    <w:w w:val="110"/>
                    <w:sz w:val="10"/>
                  </w:rPr>
                  <w:t> </w:t>
                </w:r>
                <w:r>
                  <w:rPr>
                    <w:w w:val="110"/>
                    <w:sz w:val="10"/>
                  </w:rPr>
                  <w:t>-</w:t>
                </w:r>
                <w:r>
                  <w:rPr>
                    <w:spacing w:val="-7"/>
                    <w:w w:val="110"/>
                    <w:sz w:val="10"/>
                  </w:rPr>
                  <w:t> </w:t>
                </w:r>
                <w:r>
                  <w:rPr>
                    <w:w w:val="110"/>
                    <w:sz w:val="10"/>
                  </w:rPr>
                  <w:t>2021.1.0 File: siaa (Rev 04/06/2020)</w:t>
                </w:r>
              </w:p>
            </w:txbxContent>
          </v:textbox>
          <w10:wrap type="none"/>
        </v:shape>
      </w:pict>
    </w:r>
    <w:r>
      <w:rPr/>
      <w:pict>
        <v:shape style="position:absolute;margin-left:290.867432pt;margin-top:775.200745pt;width:29.85pt;height:8.0500pt;mso-position-horizontal-relative:page;mso-position-vertical-relative:page;z-index:-314480640" type="#_x0000_t202" filled="false" stroked="false">
          <v:textbox inset="0,0,0,0">
            <w:txbxContent>
              <w:p>
                <w:pPr>
                  <w:spacing w:before="23"/>
                  <w:ind w:left="20" w:right="0" w:firstLine="0"/>
                  <w:jc w:val="left"/>
                  <w:rPr>
                    <w:sz w:val="10"/>
                  </w:rPr>
                </w:pPr>
                <w:r>
                  <w:rPr>
                    <w:w w:val="110"/>
                    <w:sz w:val="10"/>
                  </w:rPr>
                  <w:t>Page </w:t>
                </w:r>
                <w:r>
                  <w:rPr/>
                  <w:fldChar w:fldCharType="begin"/>
                </w:r>
                <w:r>
                  <w:rPr>
                    <w:w w:val="110"/>
                    <w:sz w:val="10"/>
                  </w:rPr>
                  <w:instrText> PAGE </w:instrText>
                </w:r>
                <w:r>
                  <w:rPr/>
                  <w:fldChar w:fldCharType="separate"/>
                </w:r>
                <w:r>
                  <w:rPr/>
                  <w:t>1</w:t>
                </w:r>
                <w:r>
                  <w:rPr/>
                  <w:fldChar w:fldCharType="end"/>
                </w:r>
                <w:r>
                  <w:rPr>
                    <w:w w:val="110"/>
                    <w:sz w:val="10"/>
                  </w:rPr>
                  <w:t> of 2</w:t>
                </w:r>
              </w:p>
            </w:txbxContent>
          </v:textbox>
          <w10:wrap type="none"/>
        </v:shape>
      </w:pict>
    </w:r>
    <w:r>
      <w:rPr/>
      <w:pict>
        <v:shape style="position:absolute;margin-left:533.826172pt;margin-top:775.200745pt;width:71.25pt;height:8.0500pt;mso-position-horizontal-relative:page;mso-position-vertical-relative:page;z-index:-314479616" type="#_x0000_t202" filled="false" stroked="false">
          <v:textbox inset="0,0,0,0">
            <w:txbxContent>
              <w:p>
                <w:pPr>
                  <w:spacing w:before="23"/>
                  <w:ind w:left="20" w:right="0" w:firstLine="0"/>
                  <w:jc w:val="left"/>
                  <w:rPr>
                    <w:sz w:val="10"/>
                  </w:rPr>
                </w:pPr>
                <w:r>
                  <w:rPr>
                    <w:w w:val="110"/>
                    <w:sz w:val="10"/>
                  </w:rPr>
                  <w:t>Printed: 6/4/2021 10:12 AM</w:t>
                </w:r>
              </w:p>
            </w:txbxContent>
          </v:textbox>
          <w10:wrap type="none"/>
        </v:shape>
      </w:pict>
    </w: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68pt;margin-top:763.200745pt;width:113.75pt;height:20.05pt;mso-position-horizontal-relative:page;mso-position-vertical-relative:page;z-index:-314475520" type="#_x0000_t202" filled="false" stroked="false">
          <v:textbox inset="0,0,0,0">
            <w:txbxContent>
              <w:p>
                <w:pPr>
                  <w:spacing w:before="23"/>
                  <w:ind w:left="20" w:right="0" w:firstLine="0"/>
                  <w:jc w:val="left"/>
                  <w:rPr>
                    <w:sz w:val="10"/>
                  </w:rPr>
                </w:pPr>
                <w:r>
                  <w:rPr>
                    <w:w w:val="110"/>
                    <w:sz w:val="10"/>
                  </w:rPr>
                  <w:t>California Dept of Education</w:t>
                </w:r>
              </w:p>
              <w:p>
                <w:pPr>
                  <w:spacing w:line="249" w:lineRule="auto" w:before="5"/>
                  <w:ind w:left="20" w:right="7" w:firstLine="0"/>
                  <w:jc w:val="left"/>
                  <w:rPr>
                    <w:sz w:val="10"/>
                  </w:rPr>
                </w:pPr>
                <w:r>
                  <w:rPr>
                    <w:w w:val="110"/>
                    <w:sz w:val="10"/>
                  </w:rPr>
                  <w:t>SACS</w:t>
                </w:r>
                <w:r>
                  <w:rPr>
                    <w:spacing w:val="-9"/>
                    <w:w w:val="110"/>
                    <w:sz w:val="10"/>
                  </w:rPr>
                  <w:t> </w:t>
                </w:r>
                <w:r>
                  <w:rPr>
                    <w:w w:val="110"/>
                    <w:sz w:val="10"/>
                  </w:rPr>
                  <w:t>Financial</w:t>
                </w:r>
                <w:r>
                  <w:rPr>
                    <w:spacing w:val="-8"/>
                    <w:w w:val="110"/>
                    <w:sz w:val="10"/>
                  </w:rPr>
                  <w:t> </w:t>
                </w:r>
                <w:r>
                  <w:rPr>
                    <w:w w:val="110"/>
                    <w:sz w:val="10"/>
                  </w:rPr>
                  <w:t>Reporting</w:t>
                </w:r>
                <w:r>
                  <w:rPr>
                    <w:spacing w:val="-8"/>
                    <w:w w:val="110"/>
                    <w:sz w:val="10"/>
                  </w:rPr>
                  <w:t> </w:t>
                </w:r>
                <w:r>
                  <w:rPr>
                    <w:w w:val="110"/>
                    <w:sz w:val="10"/>
                  </w:rPr>
                  <w:t>Software</w:t>
                </w:r>
                <w:r>
                  <w:rPr>
                    <w:spacing w:val="-9"/>
                    <w:w w:val="110"/>
                    <w:sz w:val="10"/>
                  </w:rPr>
                  <w:t> </w:t>
                </w:r>
                <w:r>
                  <w:rPr>
                    <w:w w:val="110"/>
                    <w:sz w:val="10"/>
                  </w:rPr>
                  <w:t>-</w:t>
                </w:r>
                <w:r>
                  <w:rPr>
                    <w:spacing w:val="-7"/>
                    <w:w w:val="110"/>
                    <w:sz w:val="10"/>
                  </w:rPr>
                  <w:t> </w:t>
                </w:r>
                <w:r>
                  <w:rPr>
                    <w:w w:val="110"/>
                    <w:sz w:val="10"/>
                  </w:rPr>
                  <w:t>2021.1.0 File: siab (Rev 04/06/2020)</w:t>
                </w:r>
              </w:p>
            </w:txbxContent>
          </v:textbox>
          <w10:wrap type="none"/>
        </v:shape>
      </w:pict>
    </w:r>
    <w:r>
      <w:rPr/>
      <w:pict>
        <v:shape style="position:absolute;margin-left:290.867432pt;margin-top:775.200745pt;width:29.85pt;height:8.0500pt;mso-position-horizontal-relative:page;mso-position-vertical-relative:page;z-index:-314474496" type="#_x0000_t202" filled="false" stroked="false">
          <v:textbox inset="0,0,0,0">
            <w:txbxContent>
              <w:p>
                <w:pPr>
                  <w:spacing w:before="23"/>
                  <w:ind w:left="20" w:right="0" w:firstLine="0"/>
                  <w:jc w:val="left"/>
                  <w:rPr>
                    <w:sz w:val="10"/>
                  </w:rPr>
                </w:pPr>
                <w:r>
                  <w:rPr>
                    <w:w w:val="110"/>
                    <w:sz w:val="10"/>
                  </w:rPr>
                  <w:t>Page </w:t>
                </w:r>
                <w:r>
                  <w:rPr/>
                  <w:fldChar w:fldCharType="begin"/>
                </w:r>
                <w:r>
                  <w:rPr>
                    <w:w w:val="110"/>
                    <w:sz w:val="10"/>
                  </w:rPr>
                  <w:instrText> PAGE </w:instrText>
                </w:r>
                <w:r>
                  <w:rPr/>
                  <w:fldChar w:fldCharType="separate"/>
                </w:r>
                <w:r>
                  <w:rPr/>
                  <w:t>1</w:t>
                </w:r>
                <w:r>
                  <w:rPr/>
                  <w:fldChar w:fldCharType="end"/>
                </w:r>
                <w:r>
                  <w:rPr>
                    <w:w w:val="110"/>
                    <w:sz w:val="10"/>
                  </w:rPr>
                  <w:t> of 2</w:t>
                </w:r>
              </w:p>
            </w:txbxContent>
          </v:textbox>
          <w10:wrap type="none"/>
        </v:shape>
      </w:pict>
    </w:r>
    <w:r>
      <w:rPr/>
      <w:pict>
        <v:shape style="position:absolute;margin-left:533.826172pt;margin-top:775.200745pt;width:71.25pt;height:8.0500pt;mso-position-horizontal-relative:page;mso-position-vertical-relative:page;z-index:-314473472" type="#_x0000_t202" filled="false" stroked="false">
          <v:textbox inset="0,0,0,0">
            <w:txbxContent>
              <w:p>
                <w:pPr>
                  <w:spacing w:before="23"/>
                  <w:ind w:left="20" w:right="0" w:firstLine="0"/>
                  <w:jc w:val="left"/>
                  <w:rPr>
                    <w:sz w:val="10"/>
                  </w:rPr>
                </w:pPr>
                <w:r>
                  <w:rPr>
                    <w:w w:val="110"/>
                    <w:sz w:val="10"/>
                  </w:rPr>
                  <w:t>Printed: 6/4/2021 10:13 AM</w:t>
                </w:r>
              </w:p>
            </w:txbxContent>
          </v:textbox>
          <w10:wrap type="none"/>
        </v:shape>
      </w:pict>
    </w: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2.400002pt;margin-top:759.167114pt;width:122.7pt;height:22pt;mso-position-horizontal-relative:page;mso-position-vertical-relative:page;z-index:-314685440" type="#_x0000_t202" filled="false" stroked="false">
          <v:textbox inset="0,0,0,0">
            <w:txbxContent>
              <w:p>
                <w:pPr>
                  <w:spacing w:before="23"/>
                  <w:ind w:left="20" w:right="0" w:firstLine="0"/>
                  <w:jc w:val="left"/>
                  <w:rPr>
                    <w:sz w:val="11"/>
                  </w:rPr>
                </w:pPr>
                <w:r>
                  <w:rPr>
                    <w:w w:val="105"/>
                    <w:sz w:val="11"/>
                  </w:rPr>
                  <w:t>California Dept of</w:t>
                </w:r>
                <w:r>
                  <w:rPr>
                    <w:spacing w:val="9"/>
                    <w:w w:val="105"/>
                    <w:sz w:val="11"/>
                  </w:rPr>
                  <w:t> </w:t>
                </w:r>
                <w:r>
                  <w:rPr>
                    <w:w w:val="105"/>
                    <w:sz w:val="11"/>
                  </w:rPr>
                  <w:t>Education</w:t>
                </w:r>
              </w:p>
              <w:p>
                <w:pPr>
                  <w:spacing w:line="254" w:lineRule="auto" w:before="8"/>
                  <w:ind w:left="20" w:right="0" w:firstLine="0"/>
                  <w:jc w:val="left"/>
                  <w:rPr>
                    <w:sz w:val="11"/>
                  </w:rPr>
                </w:pPr>
                <w:r>
                  <w:rPr>
                    <w:w w:val="105"/>
                    <w:sz w:val="11"/>
                  </w:rPr>
                  <w:t>SACS Financial Reporting Software - 2021.1.0 File: fund-f (Rev</w:t>
                </w:r>
                <w:r>
                  <w:rPr>
                    <w:spacing w:val="6"/>
                    <w:w w:val="105"/>
                    <w:sz w:val="11"/>
                  </w:rPr>
                  <w:t> </w:t>
                </w:r>
                <w:r>
                  <w:rPr>
                    <w:w w:val="105"/>
                    <w:sz w:val="11"/>
                  </w:rPr>
                  <w:t>03/19/2021)</w:t>
                </w:r>
              </w:p>
            </w:txbxContent>
          </v:textbox>
          <w10:wrap type="none"/>
        </v:shape>
      </w:pict>
    </w:r>
    <w:r>
      <w:rPr/>
      <w:pict>
        <v:shape style="position:absolute;margin-left:295.623871pt;margin-top:772.607117pt;width:22.6pt;height:8.6pt;mso-position-horizontal-relative:page;mso-position-vertical-relative:page;z-index:-314684416" type="#_x0000_t202" filled="false" stroked="false">
          <v:textbox inset="0,0,0,0">
            <w:txbxContent>
              <w:p>
                <w:pPr>
                  <w:spacing w:before="23"/>
                  <w:ind w:left="20" w:right="0" w:firstLine="0"/>
                  <w:jc w:val="left"/>
                  <w:rPr>
                    <w:sz w:val="11"/>
                  </w:rPr>
                </w:pPr>
                <w:r>
                  <w:rPr>
                    <w:w w:val="105"/>
                    <w:sz w:val="11"/>
                  </w:rPr>
                  <w:t>Page </w:t>
                </w:r>
                <w:r>
                  <w:rPr/>
                  <w:fldChar w:fldCharType="begin"/>
                </w:r>
                <w:r>
                  <w:rPr>
                    <w:w w:val="105"/>
                    <w:sz w:val="11"/>
                  </w:rPr>
                  <w:instrText> PAGE </w:instrText>
                </w:r>
                <w:r>
                  <w:rPr/>
                  <w:fldChar w:fldCharType="separate"/>
                </w:r>
                <w:r>
                  <w:rPr/>
                  <w:t>1</w:t>
                </w:r>
                <w:r>
                  <w:rPr/>
                  <w:fldChar w:fldCharType="end"/>
                </w:r>
              </w:p>
            </w:txbxContent>
          </v:textbox>
          <w10:wrap type="none"/>
        </v:shape>
      </w:pict>
    </w:r>
    <w:r>
      <w:rPr/>
      <w:pict>
        <v:shape style="position:absolute;margin-left:512.672852pt;margin-top:772.607117pt;width:76.8pt;height:8.6pt;mso-position-horizontal-relative:page;mso-position-vertical-relative:page;z-index:-314683392" type="#_x0000_t202" filled="false" stroked="false">
          <v:textbox inset="0,0,0,0">
            <w:txbxContent>
              <w:p>
                <w:pPr>
                  <w:spacing w:before="23"/>
                  <w:ind w:left="20" w:right="0" w:firstLine="0"/>
                  <w:jc w:val="left"/>
                  <w:rPr>
                    <w:sz w:val="11"/>
                  </w:rPr>
                </w:pPr>
                <w:r>
                  <w:rPr>
                    <w:w w:val="105"/>
                    <w:sz w:val="11"/>
                  </w:rPr>
                  <w:t>Printed: 6/4/2021 10:05 AM</w:t>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120001pt;margin-top:758.458679pt;width:126.45pt;height:22.4pt;mso-position-horizontal-relative:page;mso-position-vertical-relative:page;z-index:-314681344" type="#_x0000_t202" filled="false" stroked="false">
          <v:textbox inset="0,0,0,0">
            <w:txbxContent>
              <w:p>
                <w:pPr>
                  <w:spacing w:line="137" w:lineRule="exact" w:before="16"/>
                  <w:ind w:left="20" w:right="0" w:firstLine="0"/>
                  <w:jc w:val="left"/>
                  <w:rPr>
                    <w:sz w:val="12"/>
                  </w:rPr>
                </w:pPr>
                <w:r>
                  <w:rPr>
                    <w:sz w:val="12"/>
                  </w:rPr>
                  <w:t>California Dept of</w:t>
                </w:r>
                <w:r>
                  <w:rPr>
                    <w:spacing w:val="7"/>
                    <w:sz w:val="12"/>
                  </w:rPr>
                  <w:t> </w:t>
                </w:r>
                <w:r>
                  <w:rPr>
                    <w:sz w:val="12"/>
                  </w:rPr>
                  <w:t>Education</w:t>
                </w:r>
              </w:p>
              <w:p>
                <w:pPr>
                  <w:spacing w:before="0"/>
                  <w:ind w:left="20" w:right="14" w:firstLine="0"/>
                  <w:jc w:val="left"/>
                  <w:rPr>
                    <w:sz w:val="12"/>
                  </w:rPr>
                </w:pPr>
                <w:r>
                  <w:rPr>
                    <w:sz w:val="12"/>
                  </w:rPr>
                  <w:t>SACS Financial Reporting Software - 2021.1.0 File: fund-f (Rev</w:t>
                </w:r>
                <w:r>
                  <w:rPr>
                    <w:spacing w:val="1"/>
                    <w:sz w:val="12"/>
                  </w:rPr>
                  <w:t> </w:t>
                </w:r>
                <w:r>
                  <w:rPr>
                    <w:sz w:val="12"/>
                  </w:rPr>
                  <w:t>03/1</w:t>
                </w:r>
                <w:r>
                  <w:rPr/>
                  <w:fldChar w:fldCharType="begin"/>
                </w:r>
                <w:r>
                  <w:rPr>
                    <w:sz w:val="12"/>
                  </w:rPr>
                  <w:instrText> PAGE </w:instrText>
                </w:r>
                <w:r>
                  <w:rPr/>
                  <w:fldChar w:fldCharType="separate"/>
                </w:r>
                <w:r>
                  <w:rPr/>
                  <w:t>1</w:t>
                </w:r>
                <w:r>
                  <w:rPr/>
                  <w:fldChar w:fldCharType="end"/>
                </w:r>
                <w:r>
                  <w:rPr>
                    <w:sz w:val="12"/>
                  </w:rPr>
                  <w:t>/2020)</w:t>
                </w:r>
              </w:p>
            </w:txbxContent>
          </v:textbox>
          <w10:wrap type="none"/>
        </v:shape>
      </w:pict>
    </w:r>
    <w:r>
      <w:rPr/>
      <w:pict>
        <v:shape style="position:absolute;margin-left:295.330719pt;margin-top:772.138611pt;width:21.05pt;height:8.7pt;mso-position-horizontal-relative:page;mso-position-vertical-relative:page;z-index:-314680320" type="#_x0000_t202" filled="false" stroked="false">
          <v:textbox inset="0,0,0,0">
            <w:txbxContent>
              <w:p>
                <w:pPr>
                  <w:spacing w:before="16"/>
                  <w:ind w:left="20" w:right="0" w:firstLine="0"/>
                  <w:jc w:val="left"/>
                  <w:rPr>
                    <w:sz w:val="12"/>
                  </w:rPr>
                </w:pPr>
                <w:r>
                  <w:rPr>
                    <w:sz w:val="12"/>
                  </w:rPr>
                  <w:t>Page 1</w:t>
                </w:r>
              </w:p>
            </w:txbxContent>
          </v:textbox>
          <w10:wrap type="none"/>
        </v:shape>
      </w:pict>
    </w:r>
    <w:r>
      <w:rPr/>
      <w:pict>
        <v:shape style="position:absolute;margin-left:509.964294pt;margin-top:772.138611pt;width:78.8pt;height:8.7pt;mso-position-horizontal-relative:page;mso-position-vertical-relative:page;z-index:-314679296" type="#_x0000_t202" filled="false" stroked="false">
          <v:textbox inset="0,0,0,0">
            <w:txbxContent>
              <w:p>
                <w:pPr>
                  <w:spacing w:before="16"/>
                  <w:ind w:left="20" w:right="0" w:firstLine="0"/>
                  <w:jc w:val="left"/>
                  <w:rPr>
                    <w:sz w:val="12"/>
                  </w:rPr>
                </w:pPr>
                <w:r>
                  <w:rPr>
                    <w:sz w:val="12"/>
                  </w:rPr>
                  <w:t>Printed: 6/4/2021 10:05 AM</w:t>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2.400002pt;margin-top:759.167114pt;width:122.7pt;height:22pt;mso-position-horizontal-relative:page;mso-position-vertical-relative:page;z-index:-314676224" type="#_x0000_t202" filled="false" stroked="false">
          <v:textbox inset="0,0,0,0">
            <w:txbxContent>
              <w:p>
                <w:pPr>
                  <w:spacing w:before="23"/>
                  <w:ind w:left="20" w:right="0" w:firstLine="0"/>
                  <w:jc w:val="left"/>
                  <w:rPr>
                    <w:sz w:val="11"/>
                  </w:rPr>
                </w:pPr>
                <w:r>
                  <w:rPr>
                    <w:w w:val="105"/>
                    <w:sz w:val="11"/>
                  </w:rPr>
                  <w:t>California Dept of Education</w:t>
                </w:r>
              </w:p>
              <w:p>
                <w:pPr>
                  <w:spacing w:line="254" w:lineRule="auto" w:before="8"/>
                  <w:ind w:left="20" w:right="0" w:firstLine="0"/>
                  <w:jc w:val="left"/>
                  <w:rPr>
                    <w:sz w:val="11"/>
                  </w:rPr>
                </w:pPr>
                <w:r>
                  <w:rPr>
                    <w:w w:val="105"/>
                    <w:sz w:val="11"/>
                  </w:rPr>
                  <w:t>SACS Financial Reporting Software - 2021.1.0 File: fund-b (Rev 02/25/2021)</w:t>
                </w:r>
              </w:p>
            </w:txbxContent>
          </v:textbox>
          <w10:wrap type="none"/>
        </v:shape>
      </w:pict>
    </w:r>
    <w:r>
      <w:rPr/>
      <w:pict>
        <v:shape style="position:absolute;margin-left:295.601288pt;margin-top:772.607117pt;width:22.6pt;height:8.6pt;mso-position-horizontal-relative:page;mso-position-vertical-relative:page;z-index:-314675200" type="#_x0000_t202" filled="false" stroked="false">
          <v:textbox inset="0,0,0,0">
            <w:txbxContent>
              <w:p>
                <w:pPr>
                  <w:spacing w:before="23"/>
                  <w:ind w:left="20" w:right="0" w:firstLine="0"/>
                  <w:jc w:val="left"/>
                  <w:rPr>
                    <w:sz w:val="11"/>
                  </w:rPr>
                </w:pPr>
                <w:r>
                  <w:rPr>
                    <w:w w:val="105"/>
                    <w:sz w:val="11"/>
                  </w:rPr>
                  <w:t>Page </w:t>
                </w:r>
                <w:r>
                  <w:rPr/>
                  <w:fldChar w:fldCharType="begin"/>
                </w:r>
                <w:r>
                  <w:rPr>
                    <w:w w:val="105"/>
                    <w:sz w:val="11"/>
                  </w:rPr>
                  <w:instrText> PAGE </w:instrText>
                </w:r>
                <w:r>
                  <w:rPr/>
                  <w:fldChar w:fldCharType="separate"/>
                </w:r>
                <w:r>
                  <w:rPr/>
                  <w:t>1</w:t>
                </w:r>
                <w:r>
                  <w:rPr/>
                  <w:fldChar w:fldCharType="end"/>
                </w:r>
              </w:p>
            </w:txbxContent>
          </v:textbox>
          <w10:wrap type="none"/>
        </v:shape>
      </w:pict>
    </w:r>
    <w:r>
      <w:rPr/>
      <w:pict>
        <v:shape style="position:absolute;margin-left:512.673645pt;margin-top:772.607117pt;width:76.8pt;height:8.6pt;mso-position-horizontal-relative:page;mso-position-vertical-relative:page;z-index:-314674176" type="#_x0000_t202" filled="false" stroked="false">
          <v:textbox inset="0,0,0,0">
            <w:txbxContent>
              <w:p>
                <w:pPr>
                  <w:spacing w:before="23"/>
                  <w:ind w:left="20" w:right="0" w:firstLine="0"/>
                  <w:jc w:val="left"/>
                  <w:rPr>
                    <w:sz w:val="11"/>
                  </w:rPr>
                </w:pPr>
                <w:r>
                  <w:rPr>
                    <w:w w:val="105"/>
                    <w:sz w:val="11"/>
                  </w:rPr>
                  <w:t>Printed: 6/4/2021 10:06 AM</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22.639999pt;margin-top:32.782665pt;width:122.4pt;height:22.9pt;mso-position-horizontal-relative:page;mso-position-vertical-relative:page;z-index:-314708992" type="#_x0000_t202" filled="false" stroked="false">
          <v:textbox inset="0,0,0,0">
            <w:txbxContent>
              <w:p>
                <w:pPr>
                  <w:spacing w:before="20"/>
                  <w:ind w:left="20" w:right="4" w:firstLine="0"/>
                  <w:jc w:val="left"/>
                  <w:rPr>
                    <w:sz w:val="18"/>
                  </w:rPr>
                </w:pPr>
                <w:r>
                  <w:rPr>
                    <w:w w:val="105"/>
                    <w:sz w:val="18"/>
                  </w:rPr>
                  <w:t>Winship-Robbins</w:t>
                </w:r>
                <w:r>
                  <w:rPr>
                    <w:spacing w:val="-33"/>
                    <w:w w:val="105"/>
                    <w:sz w:val="18"/>
                  </w:rPr>
                  <w:t> </w:t>
                </w:r>
                <w:r>
                  <w:rPr>
                    <w:w w:val="105"/>
                    <w:sz w:val="18"/>
                  </w:rPr>
                  <w:t>Elementary Sutter</w:t>
                </w:r>
                <w:r>
                  <w:rPr>
                    <w:spacing w:val="-1"/>
                    <w:w w:val="105"/>
                    <w:sz w:val="18"/>
                  </w:rPr>
                  <w:t> </w:t>
                </w:r>
                <w:r>
                  <w:rPr>
                    <w:w w:val="105"/>
                    <w:sz w:val="18"/>
                  </w:rPr>
                  <w:t>County</w:t>
                </w:r>
              </w:p>
            </w:txbxContent>
          </v:textbox>
          <w10:wrap type="none"/>
        </v:shape>
      </w:pict>
    </w:r>
    <w:r>
      <w:rPr/>
      <w:pict>
        <v:shape style="position:absolute;margin-left:249.199997pt;margin-top:32.782665pt;width:113.4pt;height:43.8pt;mso-position-horizontal-relative:page;mso-position-vertical-relative:page;z-index:-314707968" type="#_x0000_t202" filled="false" stroked="false">
          <v:textbox inset="0,0,0,0">
            <w:txbxContent>
              <w:p>
                <w:pPr>
                  <w:spacing w:before="20"/>
                  <w:ind w:left="168" w:right="5" w:firstLine="403"/>
                  <w:jc w:val="left"/>
                  <w:rPr>
                    <w:sz w:val="18"/>
                  </w:rPr>
                </w:pPr>
                <w:r>
                  <w:rPr>
                    <w:w w:val="105"/>
                    <w:sz w:val="18"/>
                  </w:rPr>
                  <w:t>July 1 Budget FINANCIAL REPORTS</w:t>
                </w:r>
              </w:p>
              <w:p>
                <w:pPr>
                  <w:spacing w:before="4"/>
                  <w:ind w:left="20" w:right="5" w:firstLine="451"/>
                  <w:jc w:val="left"/>
                  <w:rPr>
                    <w:sz w:val="18"/>
                  </w:rPr>
                </w:pPr>
                <w:r>
                  <w:rPr>
                    <w:w w:val="105"/>
                    <w:sz w:val="18"/>
                  </w:rPr>
                  <w:t>2021-22 Budget School District</w:t>
                </w:r>
                <w:r>
                  <w:rPr>
                    <w:spacing w:val="-36"/>
                    <w:w w:val="105"/>
                    <w:sz w:val="18"/>
                  </w:rPr>
                  <w:t> </w:t>
                </w:r>
                <w:r>
                  <w:rPr>
                    <w:w w:val="105"/>
                    <w:sz w:val="18"/>
                  </w:rPr>
                  <w:t>Certification</w:t>
                </w:r>
              </w:p>
            </w:txbxContent>
          </v:textbox>
          <w10:wrap type="none"/>
        </v:shape>
      </w:pict>
    </w:r>
    <w:r>
      <w:rPr/>
      <w:pict>
        <v:shape style="position:absolute;margin-left:509.720032pt;margin-top:32.782665pt;width:79.55pt;height:22.9pt;mso-position-horizontal-relative:page;mso-position-vertical-relative:page;z-index:-314706944" type="#_x0000_t202" filled="false" stroked="false">
          <v:textbox inset="0,0,0,0">
            <w:txbxContent>
              <w:p>
                <w:pPr>
                  <w:spacing w:before="20"/>
                  <w:ind w:left="20" w:right="0" w:firstLine="0"/>
                  <w:jc w:val="left"/>
                  <w:rPr>
                    <w:sz w:val="18"/>
                  </w:rPr>
                </w:pPr>
                <w:r>
                  <w:rPr>
                    <w:w w:val="105"/>
                    <w:sz w:val="18"/>
                  </w:rPr>
                  <w:t>51 71456</w:t>
                </w:r>
                <w:r>
                  <w:rPr>
                    <w:spacing w:val="-33"/>
                    <w:w w:val="105"/>
                    <w:sz w:val="18"/>
                  </w:rPr>
                  <w:t> </w:t>
                </w:r>
                <w:r>
                  <w:rPr>
                    <w:w w:val="105"/>
                    <w:sz w:val="18"/>
                  </w:rPr>
                  <w:t>0000000</w:t>
                </w:r>
              </w:p>
              <w:p>
                <w:pPr>
                  <w:spacing w:before="2"/>
                  <w:ind w:left="821" w:right="0" w:firstLine="0"/>
                  <w:jc w:val="left"/>
                  <w:rPr>
                    <w:sz w:val="18"/>
                  </w:rPr>
                </w:pPr>
                <w:r>
                  <w:rPr>
                    <w:w w:val="105"/>
                    <w:sz w:val="18"/>
                  </w:rPr>
                  <w:t>Form</w:t>
                </w:r>
                <w:r>
                  <w:rPr>
                    <w:spacing w:val="-11"/>
                    <w:w w:val="105"/>
                    <w:sz w:val="18"/>
                  </w:rPr>
                  <w:t> </w:t>
                </w:r>
                <w:r>
                  <w:rPr>
                    <w:w w:val="105"/>
                    <w:sz w:val="18"/>
                  </w:rPr>
                  <w:t>CB</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6.799988pt;margin-top:32.662663pt;width:58.2pt;height:12.45pt;mso-position-horizontal-relative:page;mso-position-vertical-relative:page;z-index:-314673152" type="#_x0000_t202" filled="false" stroked="false">
          <v:textbox inset="0,0,0,0">
            <w:txbxContent>
              <w:p>
                <w:pPr>
                  <w:spacing w:before="20"/>
                  <w:ind w:left="20" w:right="0" w:firstLine="0"/>
                  <w:jc w:val="left"/>
                  <w:rPr>
                    <w:sz w:val="18"/>
                  </w:rPr>
                </w:pPr>
                <w:r>
                  <w:rPr>
                    <w:w w:val="105"/>
                    <w:sz w:val="18"/>
                  </w:rPr>
                  <w:t>July 1</w:t>
                </w:r>
                <w:r>
                  <w:rPr>
                    <w:spacing w:val="-23"/>
                    <w:w w:val="105"/>
                    <w:sz w:val="18"/>
                  </w:rPr>
                  <w:t> </w:t>
                </w:r>
                <w:r>
                  <w:rPr>
                    <w:w w:val="105"/>
                    <w:sz w:val="18"/>
                  </w:rPr>
                  <w:t>Budget</w:t>
                </w:r>
              </w:p>
            </w:txbxContent>
          </v:textbox>
          <w10:wrap type="non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6.799988pt;margin-top:32.662663pt;width:58.2pt;height:12.45pt;mso-position-horizontal-relative:page;mso-position-vertical-relative:page;z-index:-314669056" type="#_x0000_t202" filled="false" stroked="false">
          <v:textbox inset="0,0,0,0">
            <w:txbxContent>
              <w:p>
                <w:pPr>
                  <w:spacing w:before="20"/>
                  <w:ind w:left="20" w:right="0" w:firstLine="0"/>
                  <w:jc w:val="left"/>
                  <w:rPr>
                    <w:sz w:val="18"/>
                  </w:rPr>
                </w:pPr>
                <w:r>
                  <w:rPr>
                    <w:w w:val="105"/>
                    <w:sz w:val="18"/>
                  </w:rPr>
                  <w:t>July 1</w:t>
                </w:r>
                <w:r>
                  <w:rPr>
                    <w:spacing w:val="-23"/>
                    <w:w w:val="105"/>
                    <w:sz w:val="18"/>
                  </w:rPr>
                  <w:t> </w:t>
                </w:r>
                <w:r>
                  <w:rPr>
                    <w:w w:val="105"/>
                    <w:sz w:val="18"/>
                  </w:rPr>
                  <w:t>Budget</w:t>
                </w:r>
              </w:p>
            </w:txbxContent>
          </v:textbox>
          <w10:wrap type="non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1.959991pt;margin-top:29.2491pt;width:47.85pt;height:10.45pt;mso-position-horizontal-relative:page;mso-position-vertical-relative:page;z-index:-314664960" type="#_x0000_t202" filled="false" stroked="false">
          <v:textbox inset="0,0,0,0">
            <w:txbxContent>
              <w:p>
                <w:pPr>
                  <w:spacing w:before="16"/>
                  <w:ind w:left="20" w:right="0" w:firstLine="0"/>
                  <w:jc w:val="left"/>
                  <w:rPr>
                    <w:sz w:val="15"/>
                  </w:rPr>
                </w:pPr>
                <w:r>
                  <w:rPr>
                    <w:sz w:val="15"/>
                  </w:rPr>
                  <w:t>July 1 Budget</w:t>
                </w:r>
              </w:p>
            </w:txbxContent>
          </v:textbox>
          <w10:wrap type="non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7.519989pt;margin-top:31.559525pt;width:56.9pt;height:12.2pt;mso-position-horizontal-relative:page;mso-position-vertical-relative:page;z-index:-314663936" type="#_x0000_t202" filled="false" stroked="false">
          <v:textbox inset="0,0,0,0">
            <w:txbxContent>
              <w:p>
                <w:pPr>
                  <w:spacing w:before="16"/>
                  <w:ind w:left="20" w:right="0" w:firstLine="0"/>
                  <w:jc w:val="left"/>
                  <w:rPr>
                    <w:sz w:val="18"/>
                  </w:rPr>
                </w:pPr>
                <w:r>
                  <w:rPr>
                    <w:sz w:val="18"/>
                  </w:rPr>
                  <w:t>July 1 Budget</w:t>
                </w:r>
              </w:p>
            </w:txbxContent>
          </v:textbox>
          <w10:wrap type="non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6.799988pt;margin-top:32.662663pt;width:58.2pt;height:12.45pt;mso-position-horizontal-relative:page;mso-position-vertical-relative:page;z-index:-314659840" type="#_x0000_t202" filled="false" stroked="false">
          <v:textbox inset="0,0,0,0">
            <w:txbxContent>
              <w:p>
                <w:pPr>
                  <w:spacing w:before="20"/>
                  <w:ind w:left="20" w:right="0" w:firstLine="0"/>
                  <w:jc w:val="left"/>
                  <w:rPr>
                    <w:sz w:val="18"/>
                  </w:rPr>
                </w:pPr>
                <w:r>
                  <w:rPr>
                    <w:w w:val="105"/>
                    <w:sz w:val="18"/>
                  </w:rPr>
                  <w:t>July 1</w:t>
                </w:r>
                <w:r>
                  <w:rPr>
                    <w:spacing w:val="-23"/>
                    <w:w w:val="105"/>
                    <w:sz w:val="18"/>
                  </w:rPr>
                  <w:t> </w:t>
                </w:r>
                <w:r>
                  <w:rPr>
                    <w:w w:val="105"/>
                    <w:sz w:val="18"/>
                  </w:rPr>
                  <w:t>Budget</w:t>
                </w:r>
              </w:p>
            </w:txbxContent>
          </v:textbox>
          <w10:wrap type="non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6.799988pt;margin-top:32.662663pt;width:58.2pt;height:12.45pt;mso-position-horizontal-relative:page;mso-position-vertical-relative:page;z-index:-314655744" type="#_x0000_t202" filled="false" stroked="false">
          <v:textbox inset="0,0,0,0">
            <w:txbxContent>
              <w:p>
                <w:pPr>
                  <w:spacing w:before="20"/>
                  <w:ind w:left="20" w:right="0" w:firstLine="0"/>
                  <w:jc w:val="left"/>
                  <w:rPr>
                    <w:sz w:val="18"/>
                  </w:rPr>
                </w:pPr>
                <w:r>
                  <w:rPr>
                    <w:w w:val="105"/>
                    <w:sz w:val="18"/>
                  </w:rPr>
                  <w:t>July 1</w:t>
                </w:r>
                <w:r>
                  <w:rPr>
                    <w:spacing w:val="-23"/>
                    <w:w w:val="105"/>
                    <w:sz w:val="18"/>
                  </w:rPr>
                  <w:t> </w:t>
                </w:r>
                <w:r>
                  <w:rPr>
                    <w:w w:val="105"/>
                    <w:sz w:val="18"/>
                  </w:rPr>
                  <w:t>Budget</w:t>
                </w:r>
              </w:p>
            </w:txbxContent>
          </v:textbox>
          <w10:wrap type="non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1.959991pt;margin-top:29.2491pt;width:47.85pt;height:10.45pt;mso-position-horizontal-relative:page;mso-position-vertical-relative:page;z-index:-314651648" type="#_x0000_t202" filled="false" stroked="false">
          <v:textbox inset="0,0,0,0">
            <w:txbxContent>
              <w:p>
                <w:pPr>
                  <w:spacing w:before="16"/>
                  <w:ind w:left="20" w:right="0" w:firstLine="0"/>
                  <w:jc w:val="left"/>
                  <w:rPr>
                    <w:sz w:val="15"/>
                  </w:rPr>
                </w:pPr>
                <w:r>
                  <w:rPr>
                    <w:sz w:val="15"/>
                  </w:rPr>
                  <w:t>July 1 Budget</w:t>
                </w:r>
              </w:p>
            </w:txbxContent>
          </v:textbox>
          <w10:wrap type="non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7.519989pt;margin-top:31.559525pt;width:56.9pt;height:12.2pt;mso-position-horizontal-relative:page;mso-position-vertical-relative:page;z-index:-314650624" type="#_x0000_t202" filled="false" stroked="false">
          <v:textbox inset="0,0,0,0">
            <w:txbxContent>
              <w:p>
                <w:pPr>
                  <w:spacing w:before="16"/>
                  <w:ind w:left="20" w:right="0" w:firstLine="0"/>
                  <w:jc w:val="left"/>
                  <w:rPr>
                    <w:sz w:val="18"/>
                  </w:rPr>
                </w:pPr>
                <w:r>
                  <w:rPr>
                    <w:sz w:val="18"/>
                  </w:rPr>
                  <w:t>July 1 Budget</w:t>
                </w:r>
              </w:p>
            </w:txbxContent>
          </v:textbox>
          <w10:wrap type="non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81.87999pt;margin-top:31.559525pt;width:247.9pt;height:32.35pt;mso-position-horizontal-relative:page;mso-position-vertical-relative:page;z-index:-314646528" type="#_x0000_t202" filled="false" stroked="false">
          <v:textbox inset="0,0,0,0">
            <w:txbxContent>
              <w:p>
                <w:pPr>
                  <w:spacing w:line="204" w:lineRule="exact" w:before="16"/>
                  <w:ind w:left="23" w:right="17" w:firstLine="0"/>
                  <w:jc w:val="center"/>
                  <w:rPr>
                    <w:sz w:val="18"/>
                  </w:rPr>
                </w:pPr>
                <w:r>
                  <w:rPr>
                    <w:sz w:val="18"/>
                  </w:rPr>
                  <w:t>July 1 Budget</w:t>
                </w:r>
              </w:p>
              <w:p>
                <w:pPr>
                  <w:spacing w:line="232" w:lineRule="auto" w:before="2"/>
                  <w:ind w:left="23" w:right="21" w:firstLine="0"/>
                  <w:jc w:val="center"/>
                  <w:rPr>
                    <w:sz w:val="18"/>
                  </w:rPr>
                </w:pPr>
                <w:r>
                  <w:rPr>
                    <w:sz w:val="18"/>
                  </w:rPr>
                  <w:t>Special Reserve Fund for Other Than Capital Outlay Projects Expenditures by Object</w:t>
                </w:r>
              </w:p>
            </w:txbxContent>
          </v:textbox>
          <w10:wrap type="none"/>
        </v:shape>
      </w:pict>
    </w:r>
    <w:r>
      <w:rPr/>
      <w:pict>
        <v:shape style="position:absolute;margin-left:22.400002pt;margin-top:41.639519pt;width:119.5pt;height:22.25pt;mso-position-horizontal-relative:page;mso-position-vertical-relative:page;z-index:-314645504" type="#_x0000_t202" filled="false" stroked="false">
          <v:textbox inset="0,0,0,0">
            <w:txbxContent>
              <w:p>
                <w:pPr>
                  <w:spacing w:line="232" w:lineRule="auto" w:before="21"/>
                  <w:ind w:left="20" w:right="0" w:firstLine="0"/>
                  <w:jc w:val="left"/>
                  <w:rPr>
                    <w:sz w:val="18"/>
                  </w:rPr>
                </w:pPr>
                <w:r>
                  <w:rPr>
                    <w:sz w:val="18"/>
                  </w:rPr>
                  <w:t>Winship-Robbins Elementary Sutter County</w:t>
                </w:r>
              </w:p>
            </w:txbxContent>
          </v:textbox>
          <w10:wrap type="none"/>
        </v:shape>
      </w:pict>
    </w:r>
    <w:r>
      <w:rPr/>
      <w:pict>
        <v:shape style="position:absolute;margin-left:512pt;margin-top:41.639519pt;width:77.650pt;height:22.25pt;mso-position-horizontal-relative:page;mso-position-vertical-relative:page;z-index:-314644480" type="#_x0000_t202" filled="false" stroked="false">
          <v:textbox inset="0,0,0,0">
            <w:txbxContent>
              <w:p>
                <w:pPr>
                  <w:spacing w:line="204" w:lineRule="exact" w:before="16"/>
                  <w:ind w:left="0" w:right="19" w:firstLine="0"/>
                  <w:jc w:val="right"/>
                  <w:rPr>
                    <w:sz w:val="18"/>
                  </w:rPr>
                </w:pPr>
                <w:r>
                  <w:rPr>
                    <w:sz w:val="18"/>
                  </w:rPr>
                  <w:t>51 71456</w:t>
                </w:r>
                <w:r>
                  <w:rPr>
                    <w:spacing w:val="3"/>
                    <w:sz w:val="18"/>
                  </w:rPr>
                  <w:t> </w:t>
                </w:r>
                <w:r>
                  <w:rPr>
                    <w:sz w:val="18"/>
                  </w:rPr>
                  <w:t>0000000</w:t>
                </w:r>
              </w:p>
              <w:p>
                <w:pPr>
                  <w:spacing w:line="204" w:lineRule="exact" w:before="0"/>
                  <w:ind w:left="0" w:right="18" w:firstLine="0"/>
                  <w:jc w:val="right"/>
                  <w:rPr>
                    <w:sz w:val="18"/>
                  </w:rPr>
                </w:pPr>
                <w:r>
                  <w:rPr>
                    <w:sz w:val="18"/>
                  </w:rPr>
                  <w:t>Form </w:t>
                </w:r>
                <w:r>
                  <w:rPr>
                    <w:spacing w:val="3"/>
                    <w:sz w:val="18"/>
                  </w:rPr>
                  <w:t> </w:t>
                </w:r>
                <w:r>
                  <w:rPr>
                    <w:sz w:val="18"/>
                  </w:rPr>
                  <w:t>17</w:t>
                </w:r>
              </w:p>
            </w:txbxContent>
          </v:textbox>
          <w10:wrap type="non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8.759995pt;margin-top:32.662663pt;width:254.2pt;height:33.35pt;mso-position-horizontal-relative:page;mso-position-vertical-relative:page;z-index:-314640384" type="#_x0000_t202" filled="false" stroked="false">
          <v:textbox inset="0,0,0,0">
            <w:txbxContent>
              <w:p>
                <w:pPr>
                  <w:spacing w:before="20"/>
                  <w:ind w:left="19" w:right="18" w:firstLine="0"/>
                  <w:jc w:val="center"/>
                  <w:rPr>
                    <w:sz w:val="18"/>
                  </w:rPr>
                </w:pPr>
                <w:r>
                  <w:rPr>
                    <w:w w:val="105"/>
                    <w:sz w:val="18"/>
                  </w:rPr>
                  <w:t>July 1 Budget</w:t>
                </w:r>
              </w:p>
              <w:p>
                <w:pPr>
                  <w:spacing w:before="2"/>
                  <w:ind w:left="20" w:right="18" w:firstLine="0"/>
                  <w:jc w:val="center"/>
                  <w:rPr>
                    <w:sz w:val="18"/>
                  </w:rPr>
                </w:pPr>
                <w:r>
                  <w:rPr>
                    <w:w w:val="105"/>
                    <w:sz w:val="18"/>
                  </w:rPr>
                  <w:t>Special</w:t>
                </w:r>
                <w:r>
                  <w:rPr>
                    <w:spacing w:val="-12"/>
                    <w:w w:val="105"/>
                    <w:sz w:val="18"/>
                  </w:rPr>
                  <w:t> </w:t>
                </w:r>
                <w:r>
                  <w:rPr>
                    <w:w w:val="105"/>
                    <w:sz w:val="18"/>
                  </w:rPr>
                  <w:t>Reserve</w:t>
                </w:r>
                <w:r>
                  <w:rPr>
                    <w:spacing w:val="-13"/>
                    <w:w w:val="105"/>
                    <w:sz w:val="18"/>
                  </w:rPr>
                  <w:t> </w:t>
                </w:r>
                <w:r>
                  <w:rPr>
                    <w:w w:val="105"/>
                    <w:sz w:val="18"/>
                  </w:rPr>
                  <w:t>Fund</w:t>
                </w:r>
                <w:r>
                  <w:rPr>
                    <w:spacing w:val="-12"/>
                    <w:w w:val="105"/>
                    <w:sz w:val="18"/>
                  </w:rPr>
                  <w:t> </w:t>
                </w:r>
                <w:r>
                  <w:rPr>
                    <w:w w:val="105"/>
                    <w:sz w:val="18"/>
                  </w:rPr>
                  <w:t>for</w:t>
                </w:r>
                <w:r>
                  <w:rPr>
                    <w:spacing w:val="-10"/>
                    <w:w w:val="105"/>
                    <w:sz w:val="18"/>
                  </w:rPr>
                  <w:t> </w:t>
                </w:r>
                <w:r>
                  <w:rPr>
                    <w:w w:val="105"/>
                    <w:sz w:val="18"/>
                  </w:rPr>
                  <w:t>Other</w:t>
                </w:r>
                <w:r>
                  <w:rPr>
                    <w:spacing w:val="-10"/>
                    <w:w w:val="105"/>
                    <w:sz w:val="18"/>
                  </w:rPr>
                  <w:t> </w:t>
                </w:r>
                <w:r>
                  <w:rPr>
                    <w:w w:val="105"/>
                    <w:sz w:val="18"/>
                  </w:rPr>
                  <w:t>Than</w:t>
                </w:r>
                <w:r>
                  <w:rPr>
                    <w:spacing w:val="-10"/>
                    <w:w w:val="105"/>
                    <w:sz w:val="18"/>
                  </w:rPr>
                  <w:t> </w:t>
                </w:r>
                <w:r>
                  <w:rPr>
                    <w:w w:val="105"/>
                    <w:sz w:val="18"/>
                  </w:rPr>
                  <w:t>Capital</w:t>
                </w:r>
                <w:r>
                  <w:rPr>
                    <w:spacing w:val="-12"/>
                    <w:w w:val="105"/>
                    <w:sz w:val="18"/>
                  </w:rPr>
                  <w:t> </w:t>
                </w:r>
                <w:r>
                  <w:rPr>
                    <w:w w:val="105"/>
                    <w:sz w:val="18"/>
                  </w:rPr>
                  <w:t>Outlay</w:t>
                </w:r>
                <w:r>
                  <w:rPr>
                    <w:spacing w:val="-14"/>
                    <w:w w:val="105"/>
                    <w:sz w:val="18"/>
                  </w:rPr>
                  <w:t> </w:t>
                </w:r>
                <w:r>
                  <w:rPr>
                    <w:w w:val="105"/>
                    <w:sz w:val="18"/>
                  </w:rPr>
                  <w:t>Projects Expenditures by</w:t>
                </w:r>
                <w:r>
                  <w:rPr>
                    <w:spacing w:val="-9"/>
                    <w:w w:val="105"/>
                    <w:sz w:val="18"/>
                  </w:rPr>
                  <w:t> </w:t>
                </w:r>
                <w:r>
                  <w:rPr>
                    <w:w w:val="105"/>
                    <w:sz w:val="18"/>
                  </w:rPr>
                  <w:t>Function</w:t>
                </w:r>
              </w:p>
            </w:txbxContent>
          </v:textbox>
          <w10:wrap type="none"/>
        </v:shape>
      </w:pict>
    </w:r>
    <w:r>
      <w:rPr/>
      <w:pict>
        <v:shape style="position:absolute;margin-left:23.120001pt;margin-top:43.102665pt;width:122.4pt;height:22.9pt;mso-position-horizontal-relative:page;mso-position-vertical-relative:page;z-index:-314639360" type="#_x0000_t202" filled="false" stroked="false">
          <v:textbox inset="0,0,0,0">
            <w:txbxContent>
              <w:p>
                <w:pPr>
                  <w:spacing w:before="20"/>
                  <w:ind w:left="20" w:right="4" w:firstLine="0"/>
                  <w:jc w:val="left"/>
                  <w:rPr>
                    <w:sz w:val="18"/>
                  </w:rPr>
                </w:pPr>
                <w:r>
                  <w:rPr>
                    <w:w w:val="105"/>
                    <w:sz w:val="18"/>
                  </w:rPr>
                  <w:t>Winship-Robbins</w:t>
                </w:r>
                <w:r>
                  <w:rPr>
                    <w:spacing w:val="-33"/>
                    <w:w w:val="105"/>
                    <w:sz w:val="18"/>
                  </w:rPr>
                  <w:t> </w:t>
                </w:r>
                <w:r>
                  <w:rPr>
                    <w:w w:val="105"/>
                    <w:sz w:val="18"/>
                  </w:rPr>
                  <w:t>Elementary Sutter</w:t>
                </w:r>
                <w:r>
                  <w:rPr>
                    <w:spacing w:val="-1"/>
                    <w:w w:val="105"/>
                    <w:sz w:val="18"/>
                  </w:rPr>
                  <w:t> </w:t>
                </w:r>
                <w:r>
                  <w:rPr>
                    <w:w w:val="105"/>
                    <w:sz w:val="18"/>
                  </w:rPr>
                  <w:t>County</w:t>
                </w:r>
              </w:p>
            </w:txbxContent>
          </v:textbox>
          <w10:wrap type="none"/>
        </v:shape>
      </w:pict>
    </w:r>
    <w:r>
      <w:rPr/>
      <w:pict>
        <v:shape style="position:absolute;margin-left:509.359985pt;margin-top:43.102665pt;width:79.55pt;height:22.9pt;mso-position-horizontal-relative:page;mso-position-vertical-relative:page;z-index:-314638336" type="#_x0000_t202" filled="false" stroked="false">
          <v:textbox inset="0,0,0,0">
            <w:txbxContent>
              <w:p>
                <w:pPr>
                  <w:spacing w:before="20"/>
                  <w:ind w:left="0" w:right="18" w:firstLine="0"/>
                  <w:jc w:val="right"/>
                  <w:rPr>
                    <w:sz w:val="18"/>
                  </w:rPr>
                </w:pPr>
                <w:r>
                  <w:rPr>
                    <w:w w:val="105"/>
                    <w:sz w:val="18"/>
                  </w:rPr>
                  <w:t>51 71456</w:t>
                </w:r>
                <w:r>
                  <w:rPr>
                    <w:spacing w:val="-33"/>
                    <w:w w:val="105"/>
                    <w:sz w:val="18"/>
                  </w:rPr>
                  <w:t> </w:t>
                </w:r>
                <w:r>
                  <w:rPr>
                    <w:w w:val="105"/>
                    <w:sz w:val="18"/>
                  </w:rPr>
                  <w:t>0000000</w:t>
                </w:r>
              </w:p>
              <w:p>
                <w:pPr>
                  <w:spacing w:before="2"/>
                  <w:ind w:left="0" w:right="18" w:firstLine="0"/>
                  <w:jc w:val="right"/>
                  <w:rPr>
                    <w:sz w:val="18"/>
                  </w:rPr>
                </w:pPr>
                <w:r>
                  <w:rPr>
                    <w:w w:val="105"/>
                    <w:sz w:val="18"/>
                  </w:rPr>
                  <w:t>Form</w:t>
                </w:r>
                <w:r>
                  <w:rPr>
                    <w:spacing w:val="43"/>
                    <w:w w:val="105"/>
                    <w:sz w:val="18"/>
                  </w:rPr>
                  <w:t> </w:t>
                </w:r>
                <w:r>
                  <w:rPr>
                    <w:w w:val="105"/>
                    <w:sz w:val="18"/>
                  </w:rPr>
                  <w:t>17</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8.759995pt;margin-top:32.662663pt;width:254.2pt;height:33.35pt;mso-position-horizontal-relative:page;mso-position-vertical-relative:page;z-index:-314634240" type="#_x0000_t202" filled="false" stroked="false">
          <v:textbox inset="0,0,0,0">
            <w:txbxContent>
              <w:p>
                <w:pPr>
                  <w:spacing w:before="20"/>
                  <w:ind w:left="19" w:right="18" w:firstLine="0"/>
                  <w:jc w:val="center"/>
                  <w:rPr>
                    <w:sz w:val="18"/>
                  </w:rPr>
                </w:pPr>
                <w:r>
                  <w:rPr>
                    <w:w w:val="105"/>
                    <w:sz w:val="18"/>
                  </w:rPr>
                  <w:t>July 1 Budget</w:t>
                </w:r>
              </w:p>
              <w:p>
                <w:pPr>
                  <w:spacing w:before="2"/>
                  <w:ind w:left="20" w:right="18" w:firstLine="0"/>
                  <w:jc w:val="center"/>
                  <w:rPr>
                    <w:sz w:val="18"/>
                  </w:rPr>
                </w:pPr>
                <w:r>
                  <w:rPr>
                    <w:w w:val="105"/>
                    <w:sz w:val="18"/>
                  </w:rPr>
                  <w:t>Special</w:t>
                </w:r>
                <w:r>
                  <w:rPr>
                    <w:spacing w:val="-12"/>
                    <w:w w:val="105"/>
                    <w:sz w:val="18"/>
                  </w:rPr>
                  <w:t> </w:t>
                </w:r>
                <w:r>
                  <w:rPr>
                    <w:w w:val="105"/>
                    <w:sz w:val="18"/>
                  </w:rPr>
                  <w:t>Reserve</w:t>
                </w:r>
                <w:r>
                  <w:rPr>
                    <w:spacing w:val="-13"/>
                    <w:w w:val="105"/>
                    <w:sz w:val="18"/>
                  </w:rPr>
                  <w:t> </w:t>
                </w:r>
                <w:r>
                  <w:rPr>
                    <w:w w:val="105"/>
                    <w:sz w:val="18"/>
                  </w:rPr>
                  <w:t>Fund</w:t>
                </w:r>
                <w:r>
                  <w:rPr>
                    <w:spacing w:val="-12"/>
                    <w:w w:val="105"/>
                    <w:sz w:val="18"/>
                  </w:rPr>
                  <w:t> </w:t>
                </w:r>
                <w:r>
                  <w:rPr>
                    <w:w w:val="105"/>
                    <w:sz w:val="18"/>
                  </w:rPr>
                  <w:t>for</w:t>
                </w:r>
                <w:r>
                  <w:rPr>
                    <w:spacing w:val="-10"/>
                    <w:w w:val="105"/>
                    <w:sz w:val="18"/>
                  </w:rPr>
                  <w:t> </w:t>
                </w:r>
                <w:r>
                  <w:rPr>
                    <w:w w:val="105"/>
                    <w:sz w:val="18"/>
                  </w:rPr>
                  <w:t>Other</w:t>
                </w:r>
                <w:r>
                  <w:rPr>
                    <w:spacing w:val="-10"/>
                    <w:w w:val="105"/>
                    <w:sz w:val="18"/>
                  </w:rPr>
                  <w:t> </w:t>
                </w:r>
                <w:r>
                  <w:rPr>
                    <w:w w:val="105"/>
                    <w:sz w:val="18"/>
                  </w:rPr>
                  <w:t>Than</w:t>
                </w:r>
                <w:r>
                  <w:rPr>
                    <w:spacing w:val="-10"/>
                    <w:w w:val="105"/>
                    <w:sz w:val="18"/>
                  </w:rPr>
                  <w:t> </w:t>
                </w:r>
                <w:r>
                  <w:rPr>
                    <w:w w:val="105"/>
                    <w:sz w:val="18"/>
                  </w:rPr>
                  <w:t>Capital</w:t>
                </w:r>
                <w:r>
                  <w:rPr>
                    <w:spacing w:val="-12"/>
                    <w:w w:val="105"/>
                    <w:sz w:val="18"/>
                  </w:rPr>
                  <w:t> </w:t>
                </w:r>
                <w:r>
                  <w:rPr>
                    <w:w w:val="105"/>
                    <w:sz w:val="18"/>
                  </w:rPr>
                  <w:t>Outlay</w:t>
                </w:r>
                <w:r>
                  <w:rPr>
                    <w:spacing w:val="-14"/>
                    <w:w w:val="105"/>
                    <w:sz w:val="18"/>
                  </w:rPr>
                  <w:t> </w:t>
                </w:r>
                <w:r>
                  <w:rPr>
                    <w:w w:val="105"/>
                    <w:sz w:val="18"/>
                  </w:rPr>
                  <w:t>Projects Expenditures by</w:t>
                </w:r>
                <w:r>
                  <w:rPr>
                    <w:spacing w:val="-9"/>
                    <w:w w:val="105"/>
                    <w:sz w:val="18"/>
                  </w:rPr>
                  <w:t> </w:t>
                </w:r>
                <w:r>
                  <w:rPr>
                    <w:w w:val="105"/>
                    <w:sz w:val="18"/>
                  </w:rPr>
                  <w:t>Function</w:t>
                </w:r>
              </w:p>
            </w:txbxContent>
          </v:textbox>
          <w10:wrap type="none"/>
        </v:shape>
      </w:pict>
    </w:r>
    <w:r>
      <w:rPr/>
      <w:pict>
        <v:shape style="position:absolute;margin-left:23.120001pt;margin-top:43.102665pt;width:122.4pt;height:22.9pt;mso-position-horizontal-relative:page;mso-position-vertical-relative:page;z-index:-314633216" type="#_x0000_t202" filled="false" stroked="false">
          <v:textbox inset="0,0,0,0">
            <w:txbxContent>
              <w:p>
                <w:pPr>
                  <w:spacing w:before="20"/>
                  <w:ind w:left="20" w:right="4" w:firstLine="0"/>
                  <w:jc w:val="left"/>
                  <w:rPr>
                    <w:sz w:val="18"/>
                  </w:rPr>
                </w:pPr>
                <w:r>
                  <w:rPr>
                    <w:w w:val="105"/>
                    <w:sz w:val="18"/>
                  </w:rPr>
                  <w:t>Winship-Robbins</w:t>
                </w:r>
                <w:r>
                  <w:rPr>
                    <w:spacing w:val="-33"/>
                    <w:w w:val="105"/>
                    <w:sz w:val="18"/>
                  </w:rPr>
                  <w:t> </w:t>
                </w:r>
                <w:r>
                  <w:rPr>
                    <w:w w:val="105"/>
                    <w:sz w:val="18"/>
                  </w:rPr>
                  <w:t>Elementary Sutter</w:t>
                </w:r>
                <w:r>
                  <w:rPr>
                    <w:spacing w:val="-1"/>
                    <w:w w:val="105"/>
                    <w:sz w:val="18"/>
                  </w:rPr>
                  <w:t> </w:t>
                </w:r>
                <w:r>
                  <w:rPr>
                    <w:w w:val="105"/>
                    <w:sz w:val="18"/>
                  </w:rPr>
                  <w:t>County</w:t>
                </w:r>
              </w:p>
            </w:txbxContent>
          </v:textbox>
          <w10:wrap type="none"/>
        </v:shape>
      </w:pict>
    </w:r>
    <w:r>
      <w:rPr/>
      <w:pict>
        <v:shape style="position:absolute;margin-left:509.359985pt;margin-top:43.102665pt;width:79.55pt;height:22.9pt;mso-position-horizontal-relative:page;mso-position-vertical-relative:page;z-index:-314632192" type="#_x0000_t202" filled="false" stroked="false">
          <v:textbox inset="0,0,0,0">
            <w:txbxContent>
              <w:p>
                <w:pPr>
                  <w:spacing w:before="20"/>
                  <w:ind w:left="0" w:right="18" w:firstLine="0"/>
                  <w:jc w:val="right"/>
                  <w:rPr>
                    <w:sz w:val="18"/>
                  </w:rPr>
                </w:pPr>
                <w:r>
                  <w:rPr>
                    <w:w w:val="105"/>
                    <w:sz w:val="18"/>
                  </w:rPr>
                  <w:t>51 71456</w:t>
                </w:r>
                <w:r>
                  <w:rPr>
                    <w:spacing w:val="-33"/>
                    <w:w w:val="105"/>
                    <w:sz w:val="18"/>
                  </w:rPr>
                  <w:t> </w:t>
                </w:r>
                <w:r>
                  <w:rPr>
                    <w:w w:val="105"/>
                    <w:sz w:val="18"/>
                  </w:rPr>
                  <w:t>0000000</w:t>
                </w:r>
              </w:p>
              <w:p>
                <w:pPr>
                  <w:spacing w:before="2"/>
                  <w:ind w:left="0" w:right="18" w:firstLine="0"/>
                  <w:jc w:val="right"/>
                  <w:rPr>
                    <w:sz w:val="18"/>
                  </w:rPr>
                </w:pPr>
                <w:r>
                  <w:rPr>
                    <w:w w:val="105"/>
                    <w:sz w:val="18"/>
                  </w:rPr>
                  <w:t>Form</w:t>
                </w:r>
                <w:r>
                  <w:rPr>
                    <w:spacing w:val="43"/>
                    <w:w w:val="105"/>
                    <w:sz w:val="18"/>
                  </w:rPr>
                  <w:t> </w:t>
                </w:r>
                <w:r>
                  <w:rPr>
                    <w:w w:val="105"/>
                    <w:sz w:val="18"/>
                  </w:rPr>
                  <w:t>17</w:t>
                </w:r>
              </w:p>
            </w:txbxContent>
          </v:textbox>
          <w10:wrap type="non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1.959991pt;margin-top:29.2491pt;width:47.85pt;height:10.45pt;mso-position-horizontal-relative:page;mso-position-vertical-relative:page;z-index:-314628096" type="#_x0000_t202" filled="false" stroked="false">
          <v:textbox inset="0,0,0,0">
            <w:txbxContent>
              <w:p>
                <w:pPr>
                  <w:spacing w:before="16"/>
                  <w:ind w:left="20" w:right="0" w:firstLine="0"/>
                  <w:jc w:val="left"/>
                  <w:rPr>
                    <w:sz w:val="15"/>
                  </w:rPr>
                </w:pPr>
                <w:r>
                  <w:rPr>
                    <w:sz w:val="15"/>
                  </w:rPr>
                  <w:t>July 1 Budget</w:t>
                </w:r>
              </w:p>
            </w:txbxContent>
          </v:textbox>
          <w10:wrap type="non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7.519989pt;margin-top:31.559525pt;width:56.9pt;height:12.2pt;mso-position-horizontal-relative:page;mso-position-vertical-relative:page;z-index:-314627072" type="#_x0000_t202" filled="false" stroked="false">
          <v:textbox inset="0,0,0,0">
            <w:txbxContent>
              <w:p>
                <w:pPr>
                  <w:spacing w:before="16"/>
                  <w:ind w:left="20" w:right="0" w:firstLine="0"/>
                  <w:jc w:val="left"/>
                  <w:rPr>
                    <w:sz w:val="18"/>
                  </w:rPr>
                </w:pPr>
                <w:r>
                  <w:rPr>
                    <w:sz w:val="18"/>
                  </w:rPr>
                  <w:t>July 1 Budget</w:t>
                </w:r>
              </w:p>
            </w:txbxContent>
          </v:textbox>
          <w10:wrap type="non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58.079987pt;margin-top:31.559525pt;width:95.7pt;height:32.35pt;mso-position-horizontal-relative:page;mso-position-vertical-relative:page;z-index:-314622976" type="#_x0000_t202" filled="false" stroked="false">
          <v:textbox inset="0,0,0,0">
            <w:txbxContent>
              <w:p>
                <w:pPr>
                  <w:spacing w:line="232" w:lineRule="auto" w:before="21"/>
                  <w:ind w:left="20" w:right="13" w:firstLine="388"/>
                  <w:jc w:val="left"/>
                  <w:rPr>
                    <w:sz w:val="18"/>
                  </w:rPr>
                </w:pPr>
                <w:r>
                  <w:rPr>
                    <w:sz w:val="18"/>
                  </w:rPr>
                  <w:t>July 1 Budget Capital Facilities Fund Expenditures by Object</w:t>
                </w:r>
              </w:p>
            </w:txbxContent>
          </v:textbox>
          <w10:wrap type="none"/>
        </v:shape>
      </w:pict>
    </w:r>
    <w:r>
      <w:rPr/>
      <w:pict>
        <v:shape style="position:absolute;margin-left:22.400002pt;margin-top:41.639519pt;width:119.5pt;height:22.25pt;mso-position-horizontal-relative:page;mso-position-vertical-relative:page;z-index:-314621952" type="#_x0000_t202" filled="false" stroked="false">
          <v:textbox inset="0,0,0,0">
            <w:txbxContent>
              <w:p>
                <w:pPr>
                  <w:spacing w:line="232" w:lineRule="auto" w:before="21"/>
                  <w:ind w:left="20" w:right="0" w:firstLine="0"/>
                  <w:jc w:val="left"/>
                  <w:rPr>
                    <w:sz w:val="18"/>
                  </w:rPr>
                </w:pPr>
                <w:r>
                  <w:rPr>
                    <w:sz w:val="18"/>
                  </w:rPr>
                  <w:t>Winship-Robbins Elementary Sutter County</w:t>
                </w:r>
              </w:p>
            </w:txbxContent>
          </v:textbox>
          <w10:wrap type="none"/>
        </v:shape>
      </w:pict>
    </w:r>
    <w:r>
      <w:rPr/>
      <w:pict>
        <v:shape style="position:absolute;margin-left:512pt;margin-top:41.639519pt;width:77.650pt;height:22.25pt;mso-position-horizontal-relative:page;mso-position-vertical-relative:page;z-index:-314620928" type="#_x0000_t202" filled="false" stroked="false">
          <v:textbox inset="0,0,0,0">
            <w:txbxContent>
              <w:p>
                <w:pPr>
                  <w:spacing w:line="204" w:lineRule="exact" w:before="16"/>
                  <w:ind w:left="0" w:right="19" w:firstLine="0"/>
                  <w:jc w:val="right"/>
                  <w:rPr>
                    <w:sz w:val="18"/>
                  </w:rPr>
                </w:pPr>
                <w:r>
                  <w:rPr>
                    <w:sz w:val="18"/>
                  </w:rPr>
                  <w:t>51 71456</w:t>
                </w:r>
                <w:r>
                  <w:rPr>
                    <w:spacing w:val="3"/>
                    <w:sz w:val="18"/>
                  </w:rPr>
                  <w:t> </w:t>
                </w:r>
                <w:r>
                  <w:rPr>
                    <w:sz w:val="18"/>
                  </w:rPr>
                  <w:t>0000000</w:t>
                </w:r>
              </w:p>
              <w:p>
                <w:pPr>
                  <w:spacing w:line="204" w:lineRule="exact" w:before="0"/>
                  <w:ind w:left="0" w:right="18" w:firstLine="0"/>
                  <w:jc w:val="right"/>
                  <w:rPr>
                    <w:sz w:val="18"/>
                  </w:rPr>
                </w:pPr>
                <w:r>
                  <w:rPr>
                    <w:sz w:val="18"/>
                  </w:rPr>
                  <w:t>Form </w:t>
                </w:r>
                <w:r>
                  <w:rPr>
                    <w:spacing w:val="3"/>
                    <w:sz w:val="18"/>
                  </w:rPr>
                  <w:t> </w:t>
                </w:r>
                <w:r>
                  <w:rPr>
                    <w:sz w:val="18"/>
                  </w:rPr>
                  <w:t>25</w:t>
                </w:r>
              </w:p>
            </w:txbxContent>
          </v:textbox>
          <w10:wrap type="non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52.440002pt;margin-top:32.662663pt;width:106.95pt;height:33.35pt;mso-position-horizontal-relative:page;mso-position-vertical-relative:page;z-index:-314616832" type="#_x0000_t202" filled="false" stroked="false">
          <v:textbox inset="0,0,0,0">
            <w:txbxContent>
              <w:p>
                <w:pPr>
                  <w:spacing w:before="20"/>
                  <w:ind w:left="154" w:right="0" w:firstLine="352"/>
                  <w:jc w:val="left"/>
                  <w:rPr>
                    <w:sz w:val="18"/>
                  </w:rPr>
                </w:pPr>
                <w:r>
                  <w:rPr>
                    <w:w w:val="105"/>
                    <w:sz w:val="18"/>
                  </w:rPr>
                  <w:t>July 1 Budget Capital Facilities Fund</w:t>
                </w:r>
              </w:p>
              <w:p>
                <w:pPr>
                  <w:spacing w:before="4"/>
                  <w:ind w:left="20" w:right="0" w:firstLine="0"/>
                  <w:jc w:val="left"/>
                  <w:rPr>
                    <w:sz w:val="18"/>
                  </w:rPr>
                </w:pPr>
                <w:r>
                  <w:rPr>
                    <w:w w:val="105"/>
                    <w:sz w:val="18"/>
                  </w:rPr>
                  <w:t>Expenditures by</w:t>
                </w:r>
                <w:r>
                  <w:rPr>
                    <w:spacing w:val="-35"/>
                    <w:w w:val="105"/>
                    <w:sz w:val="18"/>
                  </w:rPr>
                  <w:t> </w:t>
                </w:r>
                <w:r>
                  <w:rPr>
                    <w:w w:val="105"/>
                    <w:sz w:val="18"/>
                  </w:rPr>
                  <w:t>Function</w:t>
                </w:r>
              </w:p>
            </w:txbxContent>
          </v:textbox>
          <w10:wrap type="none"/>
        </v:shape>
      </w:pict>
    </w:r>
    <w:r>
      <w:rPr/>
      <w:pict>
        <v:shape style="position:absolute;margin-left:23.120001pt;margin-top:43.102665pt;width:122.4pt;height:22.9pt;mso-position-horizontal-relative:page;mso-position-vertical-relative:page;z-index:-314615808" type="#_x0000_t202" filled="false" stroked="false">
          <v:textbox inset="0,0,0,0">
            <w:txbxContent>
              <w:p>
                <w:pPr>
                  <w:spacing w:before="20"/>
                  <w:ind w:left="20" w:right="4" w:firstLine="0"/>
                  <w:jc w:val="left"/>
                  <w:rPr>
                    <w:sz w:val="18"/>
                  </w:rPr>
                </w:pPr>
                <w:r>
                  <w:rPr>
                    <w:w w:val="105"/>
                    <w:sz w:val="18"/>
                  </w:rPr>
                  <w:t>Winship-Robbins</w:t>
                </w:r>
                <w:r>
                  <w:rPr>
                    <w:spacing w:val="-33"/>
                    <w:w w:val="105"/>
                    <w:sz w:val="18"/>
                  </w:rPr>
                  <w:t> </w:t>
                </w:r>
                <w:r>
                  <w:rPr>
                    <w:w w:val="105"/>
                    <w:sz w:val="18"/>
                  </w:rPr>
                  <w:t>Elementary Sutter</w:t>
                </w:r>
                <w:r>
                  <w:rPr>
                    <w:spacing w:val="-1"/>
                    <w:w w:val="105"/>
                    <w:sz w:val="18"/>
                  </w:rPr>
                  <w:t> </w:t>
                </w:r>
                <w:r>
                  <w:rPr>
                    <w:w w:val="105"/>
                    <w:sz w:val="18"/>
                  </w:rPr>
                  <w:t>County</w:t>
                </w:r>
              </w:p>
            </w:txbxContent>
          </v:textbox>
          <w10:wrap type="none"/>
        </v:shape>
      </w:pict>
    </w:r>
    <w:r>
      <w:rPr/>
      <w:pict>
        <v:shape style="position:absolute;margin-left:509.359985pt;margin-top:43.102665pt;width:79.55pt;height:22.9pt;mso-position-horizontal-relative:page;mso-position-vertical-relative:page;z-index:-314614784" type="#_x0000_t202" filled="false" stroked="false">
          <v:textbox inset="0,0,0,0">
            <w:txbxContent>
              <w:p>
                <w:pPr>
                  <w:spacing w:before="20"/>
                  <w:ind w:left="0" w:right="18" w:firstLine="0"/>
                  <w:jc w:val="right"/>
                  <w:rPr>
                    <w:sz w:val="18"/>
                  </w:rPr>
                </w:pPr>
                <w:r>
                  <w:rPr>
                    <w:w w:val="105"/>
                    <w:sz w:val="18"/>
                  </w:rPr>
                  <w:t>51 71456</w:t>
                </w:r>
                <w:r>
                  <w:rPr>
                    <w:spacing w:val="-33"/>
                    <w:w w:val="105"/>
                    <w:sz w:val="18"/>
                  </w:rPr>
                  <w:t> </w:t>
                </w:r>
                <w:r>
                  <w:rPr>
                    <w:w w:val="105"/>
                    <w:sz w:val="18"/>
                  </w:rPr>
                  <w:t>0000000</w:t>
                </w:r>
              </w:p>
              <w:p>
                <w:pPr>
                  <w:spacing w:before="2"/>
                  <w:ind w:left="0" w:right="18" w:firstLine="0"/>
                  <w:jc w:val="right"/>
                  <w:rPr>
                    <w:sz w:val="18"/>
                  </w:rPr>
                </w:pPr>
                <w:r>
                  <w:rPr>
                    <w:w w:val="105"/>
                    <w:sz w:val="18"/>
                  </w:rPr>
                  <w:t>Form</w:t>
                </w:r>
                <w:r>
                  <w:rPr>
                    <w:spacing w:val="43"/>
                    <w:w w:val="105"/>
                    <w:sz w:val="18"/>
                  </w:rPr>
                  <w:t> </w:t>
                </w:r>
                <w:r>
                  <w:rPr>
                    <w:w w:val="105"/>
                    <w:sz w:val="18"/>
                  </w:rPr>
                  <w:t>25</w:t>
                </w:r>
              </w:p>
            </w:txbxContent>
          </v:textbox>
          <w10:wrap type="non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52.440002pt;margin-top:32.662663pt;width:106.95pt;height:33.35pt;mso-position-horizontal-relative:page;mso-position-vertical-relative:page;z-index:-314610688" type="#_x0000_t202" filled="false" stroked="false">
          <v:textbox inset="0,0,0,0">
            <w:txbxContent>
              <w:p>
                <w:pPr>
                  <w:spacing w:before="20"/>
                  <w:ind w:left="154" w:right="0" w:firstLine="352"/>
                  <w:jc w:val="left"/>
                  <w:rPr>
                    <w:sz w:val="18"/>
                  </w:rPr>
                </w:pPr>
                <w:r>
                  <w:rPr>
                    <w:w w:val="105"/>
                    <w:sz w:val="18"/>
                  </w:rPr>
                  <w:t>July 1 Budget Capital Facilities Fund</w:t>
                </w:r>
              </w:p>
              <w:p>
                <w:pPr>
                  <w:spacing w:before="4"/>
                  <w:ind w:left="20" w:right="0" w:firstLine="0"/>
                  <w:jc w:val="left"/>
                  <w:rPr>
                    <w:sz w:val="18"/>
                  </w:rPr>
                </w:pPr>
                <w:r>
                  <w:rPr>
                    <w:w w:val="105"/>
                    <w:sz w:val="18"/>
                  </w:rPr>
                  <w:t>Expenditures by</w:t>
                </w:r>
                <w:r>
                  <w:rPr>
                    <w:spacing w:val="-35"/>
                    <w:w w:val="105"/>
                    <w:sz w:val="18"/>
                  </w:rPr>
                  <w:t> </w:t>
                </w:r>
                <w:r>
                  <w:rPr>
                    <w:w w:val="105"/>
                    <w:sz w:val="18"/>
                  </w:rPr>
                  <w:t>Function</w:t>
                </w:r>
              </w:p>
            </w:txbxContent>
          </v:textbox>
          <w10:wrap type="none"/>
        </v:shape>
      </w:pict>
    </w:r>
    <w:r>
      <w:rPr/>
      <w:pict>
        <v:shape style="position:absolute;margin-left:23.120001pt;margin-top:43.102665pt;width:122.4pt;height:22.9pt;mso-position-horizontal-relative:page;mso-position-vertical-relative:page;z-index:-314609664" type="#_x0000_t202" filled="false" stroked="false">
          <v:textbox inset="0,0,0,0">
            <w:txbxContent>
              <w:p>
                <w:pPr>
                  <w:spacing w:before="20"/>
                  <w:ind w:left="20" w:right="4" w:firstLine="0"/>
                  <w:jc w:val="left"/>
                  <w:rPr>
                    <w:sz w:val="18"/>
                  </w:rPr>
                </w:pPr>
                <w:r>
                  <w:rPr>
                    <w:w w:val="105"/>
                    <w:sz w:val="18"/>
                  </w:rPr>
                  <w:t>Winship-Robbins</w:t>
                </w:r>
                <w:r>
                  <w:rPr>
                    <w:spacing w:val="-33"/>
                    <w:w w:val="105"/>
                    <w:sz w:val="18"/>
                  </w:rPr>
                  <w:t> </w:t>
                </w:r>
                <w:r>
                  <w:rPr>
                    <w:w w:val="105"/>
                    <w:sz w:val="18"/>
                  </w:rPr>
                  <w:t>Elementary Sutter</w:t>
                </w:r>
                <w:r>
                  <w:rPr>
                    <w:spacing w:val="-1"/>
                    <w:w w:val="105"/>
                    <w:sz w:val="18"/>
                  </w:rPr>
                  <w:t> </w:t>
                </w:r>
                <w:r>
                  <w:rPr>
                    <w:w w:val="105"/>
                    <w:sz w:val="18"/>
                  </w:rPr>
                  <w:t>County</w:t>
                </w:r>
              </w:p>
            </w:txbxContent>
          </v:textbox>
          <w10:wrap type="none"/>
        </v:shape>
      </w:pict>
    </w:r>
    <w:r>
      <w:rPr/>
      <w:pict>
        <v:shape style="position:absolute;margin-left:509.359985pt;margin-top:43.102665pt;width:79.55pt;height:22.9pt;mso-position-horizontal-relative:page;mso-position-vertical-relative:page;z-index:-314608640" type="#_x0000_t202" filled="false" stroked="false">
          <v:textbox inset="0,0,0,0">
            <w:txbxContent>
              <w:p>
                <w:pPr>
                  <w:spacing w:before="20"/>
                  <w:ind w:left="0" w:right="18" w:firstLine="0"/>
                  <w:jc w:val="right"/>
                  <w:rPr>
                    <w:sz w:val="18"/>
                  </w:rPr>
                </w:pPr>
                <w:r>
                  <w:rPr>
                    <w:w w:val="105"/>
                    <w:sz w:val="18"/>
                  </w:rPr>
                  <w:t>51 71456</w:t>
                </w:r>
                <w:r>
                  <w:rPr>
                    <w:spacing w:val="-33"/>
                    <w:w w:val="105"/>
                    <w:sz w:val="18"/>
                  </w:rPr>
                  <w:t> </w:t>
                </w:r>
                <w:r>
                  <w:rPr>
                    <w:w w:val="105"/>
                    <w:sz w:val="18"/>
                  </w:rPr>
                  <w:t>0000000</w:t>
                </w:r>
              </w:p>
              <w:p>
                <w:pPr>
                  <w:spacing w:before="2"/>
                  <w:ind w:left="0" w:right="18" w:firstLine="0"/>
                  <w:jc w:val="right"/>
                  <w:rPr>
                    <w:sz w:val="18"/>
                  </w:rPr>
                </w:pPr>
                <w:r>
                  <w:rPr>
                    <w:w w:val="105"/>
                    <w:sz w:val="18"/>
                  </w:rPr>
                  <w:t>Form</w:t>
                </w:r>
                <w:r>
                  <w:rPr>
                    <w:spacing w:val="43"/>
                    <w:w w:val="105"/>
                    <w:sz w:val="18"/>
                  </w:rPr>
                  <w:t> </w:t>
                </w:r>
                <w:r>
                  <w:rPr>
                    <w:w w:val="105"/>
                    <w:sz w:val="18"/>
                  </w:rPr>
                  <w:t>25</w:t>
                </w:r>
              </w:p>
            </w:txbxContent>
          </v:textbox>
          <w10:wrap type="non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2.679993pt;margin-top:28.877522pt;width:46.45pt;height:10.3pt;mso-position-horizontal-relative:page;mso-position-vertical-relative:page;z-index:-314604544" type="#_x0000_t202" filled="false" stroked="false">
          <v:textbox inset="0,0,0,0">
            <w:txbxContent>
              <w:p>
                <w:pPr>
                  <w:spacing w:before="13"/>
                  <w:ind w:left="20" w:right="0" w:firstLine="0"/>
                  <w:jc w:val="left"/>
                  <w:rPr>
                    <w:sz w:val="15"/>
                  </w:rPr>
                </w:pPr>
                <w:r>
                  <w:rPr>
                    <w:sz w:val="15"/>
                  </w:rPr>
                  <w:t>July 1 Budget</w:t>
                </w:r>
              </w:p>
            </w:txbxContent>
          </v:textbox>
          <w10:wrap type="non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7.519989pt;margin-top:31.559525pt;width:56.9pt;height:12.2pt;mso-position-horizontal-relative:page;mso-position-vertical-relative:page;z-index:-314603520" type="#_x0000_t202" filled="false" stroked="false">
          <v:textbox inset="0,0,0,0">
            <w:txbxContent>
              <w:p>
                <w:pPr>
                  <w:spacing w:before="16"/>
                  <w:ind w:left="20" w:right="0" w:firstLine="0"/>
                  <w:jc w:val="left"/>
                  <w:rPr>
                    <w:sz w:val="18"/>
                  </w:rPr>
                </w:pPr>
                <w:r>
                  <w:rPr>
                    <w:sz w:val="18"/>
                  </w:rPr>
                  <w:t>July 1 Budget</w:t>
                </w:r>
              </w:p>
            </w:txbxContent>
          </v:textbox>
          <w10:wrap type="non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44.87999pt;margin-top:31.559525pt;width:122.05pt;height:32.35pt;mso-position-horizontal-relative:page;mso-position-vertical-relative:page;z-index:-314599424" type="#_x0000_t202" filled="false" stroked="false">
          <v:textbox inset="0,0,0,0">
            <w:txbxContent>
              <w:p>
                <w:pPr>
                  <w:spacing w:line="204" w:lineRule="exact" w:before="16"/>
                  <w:ind w:left="20" w:right="18" w:firstLine="0"/>
                  <w:jc w:val="center"/>
                  <w:rPr>
                    <w:sz w:val="18"/>
                  </w:rPr>
                </w:pPr>
                <w:r>
                  <w:rPr>
                    <w:sz w:val="18"/>
                  </w:rPr>
                  <w:t>July 1 Budget</w:t>
                </w:r>
              </w:p>
              <w:p>
                <w:pPr>
                  <w:spacing w:line="232" w:lineRule="auto" w:before="2"/>
                  <w:ind w:left="20" w:right="18" w:firstLine="0"/>
                  <w:jc w:val="center"/>
                  <w:rPr>
                    <w:sz w:val="18"/>
                  </w:rPr>
                </w:pPr>
                <w:r>
                  <w:rPr>
                    <w:sz w:val="18"/>
                  </w:rPr>
                  <w:t>County School Facilities Fund Expenditures by Object</w:t>
                </w:r>
              </w:p>
            </w:txbxContent>
          </v:textbox>
          <w10:wrap type="none"/>
        </v:shape>
      </w:pict>
    </w:r>
    <w:r>
      <w:rPr/>
      <w:pict>
        <v:shape style="position:absolute;margin-left:22.400002pt;margin-top:41.639519pt;width:119.5pt;height:22.25pt;mso-position-horizontal-relative:page;mso-position-vertical-relative:page;z-index:-314598400" type="#_x0000_t202" filled="false" stroked="false">
          <v:textbox inset="0,0,0,0">
            <w:txbxContent>
              <w:p>
                <w:pPr>
                  <w:spacing w:line="232" w:lineRule="auto" w:before="21"/>
                  <w:ind w:left="20" w:right="0" w:firstLine="0"/>
                  <w:jc w:val="left"/>
                  <w:rPr>
                    <w:sz w:val="18"/>
                  </w:rPr>
                </w:pPr>
                <w:r>
                  <w:rPr>
                    <w:sz w:val="18"/>
                  </w:rPr>
                  <w:t>Winship-Robbins Elementary Sutter County</w:t>
                </w:r>
              </w:p>
            </w:txbxContent>
          </v:textbox>
          <w10:wrap type="none"/>
        </v:shape>
      </w:pict>
    </w:r>
    <w:r>
      <w:rPr/>
      <w:pict>
        <v:shape style="position:absolute;margin-left:512pt;margin-top:41.639519pt;width:77.650pt;height:22.25pt;mso-position-horizontal-relative:page;mso-position-vertical-relative:page;z-index:-314597376" type="#_x0000_t202" filled="false" stroked="false">
          <v:textbox inset="0,0,0,0">
            <w:txbxContent>
              <w:p>
                <w:pPr>
                  <w:spacing w:line="204" w:lineRule="exact" w:before="16"/>
                  <w:ind w:left="0" w:right="19" w:firstLine="0"/>
                  <w:jc w:val="right"/>
                  <w:rPr>
                    <w:sz w:val="18"/>
                  </w:rPr>
                </w:pPr>
                <w:r>
                  <w:rPr>
                    <w:sz w:val="18"/>
                  </w:rPr>
                  <w:t>51 71456</w:t>
                </w:r>
                <w:r>
                  <w:rPr>
                    <w:spacing w:val="3"/>
                    <w:sz w:val="18"/>
                  </w:rPr>
                  <w:t> </w:t>
                </w:r>
                <w:r>
                  <w:rPr>
                    <w:sz w:val="18"/>
                  </w:rPr>
                  <w:t>0000000</w:t>
                </w:r>
              </w:p>
              <w:p>
                <w:pPr>
                  <w:spacing w:line="204" w:lineRule="exact" w:before="0"/>
                  <w:ind w:left="0" w:right="18" w:firstLine="0"/>
                  <w:jc w:val="right"/>
                  <w:rPr>
                    <w:sz w:val="18"/>
                  </w:rPr>
                </w:pPr>
                <w:r>
                  <w:rPr>
                    <w:sz w:val="18"/>
                  </w:rPr>
                  <w:t>Form </w:t>
                </w:r>
                <w:r>
                  <w:rPr>
                    <w:spacing w:val="3"/>
                    <w:sz w:val="18"/>
                  </w:rPr>
                  <w:t> </w:t>
                </w:r>
                <w:r>
                  <w:rPr>
                    <w:sz w:val="18"/>
                  </w:rPr>
                  <w:t>35</w:t>
                </w:r>
              </w:p>
            </w:txbxContent>
          </v:textbox>
          <w10:wrap type="non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43.440002pt;margin-top:32.662663pt;width:125.1pt;height:33.35pt;mso-position-horizontal-relative:page;mso-position-vertical-relative:page;z-index:-314593280" type="#_x0000_t202" filled="false" stroked="false">
          <v:textbox inset="0,0,0,0">
            <w:txbxContent>
              <w:p>
                <w:pPr>
                  <w:spacing w:before="20"/>
                  <w:ind w:left="1" w:right="3" w:firstLine="0"/>
                  <w:jc w:val="center"/>
                  <w:rPr>
                    <w:sz w:val="18"/>
                  </w:rPr>
                </w:pPr>
                <w:r>
                  <w:rPr>
                    <w:w w:val="105"/>
                    <w:sz w:val="18"/>
                  </w:rPr>
                  <w:t>July 1 Budget</w:t>
                </w:r>
              </w:p>
              <w:p>
                <w:pPr>
                  <w:spacing w:before="2"/>
                  <w:ind w:left="1" w:right="0" w:firstLine="0"/>
                  <w:jc w:val="center"/>
                  <w:rPr>
                    <w:sz w:val="18"/>
                  </w:rPr>
                </w:pPr>
                <w:r>
                  <w:rPr>
                    <w:w w:val="105"/>
                    <w:sz w:val="18"/>
                  </w:rPr>
                  <w:t>County School Facilities Fund Expenditures by Function</w:t>
                </w:r>
              </w:p>
            </w:txbxContent>
          </v:textbox>
          <w10:wrap type="none"/>
        </v:shape>
      </w:pict>
    </w:r>
    <w:r>
      <w:rPr/>
      <w:pict>
        <v:shape style="position:absolute;margin-left:23.120001pt;margin-top:43.102665pt;width:122.4pt;height:22.9pt;mso-position-horizontal-relative:page;mso-position-vertical-relative:page;z-index:-314592256" type="#_x0000_t202" filled="false" stroked="false">
          <v:textbox inset="0,0,0,0">
            <w:txbxContent>
              <w:p>
                <w:pPr>
                  <w:spacing w:before="20"/>
                  <w:ind w:left="20" w:right="4" w:firstLine="0"/>
                  <w:jc w:val="left"/>
                  <w:rPr>
                    <w:sz w:val="18"/>
                  </w:rPr>
                </w:pPr>
                <w:r>
                  <w:rPr>
                    <w:w w:val="105"/>
                    <w:sz w:val="18"/>
                  </w:rPr>
                  <w:t>Winship-Robbins</w:t>
                </w:r>
                <w:r>
                  <w:rPr>
                    <w:spacing w:val="-33"/>
                    <w:w w:val="105"/>
                    <w:sz w:val="18"/>
                  </w:rPr>
                  <w:t> </w:t>
                </w:r>
                <w:r>
                  <w:rPr>
                    <w:w w:val="105"/>
                    <w:sz w:val="18"/>
                  </w:rPr>
                  <w:t>Elementary Sutter</w:t>
                </w:r>
                <w:r>
                  <w:rPr>
                    <w:spacing w:val="-1"/>
                    <w:w w:val="105"/>
                    <w:sz w:val="18"/>
                  </w:rPr>
                  <w:t> </w:t>
                </w:r>
                <w:r>
                  <w:rPr>
                    <w:w w:val="105"/>
                    <w:sz w:val="18"/>
                  </w:rPr>
                  <w:t>County</w:t>
                </w:r>
              </w:p>
            </w:txbxContent>
          </v:textbox>
          <w10:wrap type="none"/>
        </v:shape>
      </w:pict>
    </w:r>
    <w:r>
      <w:rPr/>
      <w:pict>
        <v:shape style="position:absolute;margin-left:509.359985pt;margin-top:43.102665pt;width:79.55pt;height:22.9pt;mso-position-horizontal-relative:page;mso-position-vertical-relative:page;z-index:-314591232" type="#_x0000_t202" filled="false" stroked="false">
          <v:textbox inset="0,0,0,0">
            <w:txbxContent>
              <w:p>
                <w:pPr>
                  <w:spacing w:before="20"/>
                  <w:ind w:left="0" w:right="18" w:firstLine="0"/>
                  <w:jc w:val="right"/>
                  <w:rPr>
                    <w:sz w:val="18"/>
                  </w:rPr>
                </w:pPr>
                <w:r>
                  <w:rPr>
                    <w:w w:val="105"/>
                    <w:sz w:val="18"/>
                  </w:rPr>
                  <w:t>51 71456</w:t>
                </w:r>
                <w:r>
                  <w:rPr>
                    <w:spacing w:val="-33"/>
                    <w:w w:val="105"/>
                    <w:sz w:val="18"/>
                  </w:rPr>
                  <w:t> </w:t>
                </w:r>
                <w:r>
                  <w:rPr>
                    <w:w w:val="105"/>
                    <w:sz w:val="18"/>
                  </w:rPr>
                  <w:t>0000000</w:t>
                </w:r>
              </w:p>
              <w:p>
                <w:pPr>
                  <w:spacing w:before="2"/>
                  <w:ind w:left="0" w:right="18" w:firstLine="0"/>
                  <w:jc w:val="right"/>
                  <w:rPr>
                    <w:sz w:val="18"/>
                  </w:rPr>
                </w:pPr>
                <w:r>
                  <w:rPr>
                    <w:w w:val="105"/>
                    <w:sz w:val="18"/>
                  </w:rPr>
                  <w:t>Form</w:t>
                </w:r>
                <w:r>
                  <w:rPr>
                    <w:spacing w:val="43"/>
                    <w:w w:val="105"/>
                    <w:sz w:val="18"/>
                  </w:rPr>
                  <w:t> </w:t>
                </w:r>
                <w:r>
                  <w:rPr>
                    <w:w w:val="105"/>
                    <w:sz w:val="18"/>
                  </w:rPr>
                  <w:t>35</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0.799988pt;margin-top:1.943926pt;width:70.350pt;height:27.4pt;mso-position-horizontal-relative:page;mso-position-vertical-relative:page;z-index:-314699776" type="#_x0000_t202" filled="false" stroked="false">
          <v:textbox inset="0,0,0,0">
            <w:txbxContent>
              <w:p>
                <w:pPr>
                  <w:spacing w:before="18"/>
                  <w:ind w:left="358" w:right="357" w:hanging="1"/>
                  <w:jc w:val="center"/>
                  <w:rPr>
                    <w:sz w:val="11"/>
                  </w:rPr>
                </w:pPr>
                <w:r>
                  <w:rPr>
                    <w:sz w:val="11"/>
                  </w:rPr>
                  <w:t>July 1 Budget General Fund</w:t>
                </w:r>
              </w:p>
              <w:p>
                <w:pPr>
                  <w:spacing w:before="2"/>
                  <w:ind w:left="20" w:right="18" w:firstLine="0"/>
                  <w:jc w:val="center"/>
                  <w:rPr>
                    <w:sz w:val="11"/>
                  </w:rPr>
                </w:pPr>
                <w:r>
                  <w:rPr>
                    <w:sz w:val="11"/>
                  </w:rPr>
                  <w:t>Unrestricted and Restricted Expenditures by Object</w:t>
                </w:r>
              </w:p>
            </w:txbxContent>
          </v:textbox>
          <w10:wrap type="none"/>
        </v:shape>
      </w:pict>
    </w:r>
    <w:r>
      <w:rPr/>
      <w:pict>
        <v:shape style="position:absolute;margin-left:13.400001pt;margin-top:8.303926pt;width:74.5pt;height:14.65pt;mso-position-horizontal-relative:page;mso-position-vertical-relative:page;z-index:-314698752" type="#_x0000_t202" filled="false" stroked="false">
          <v:textbox inset="0,0,0,0">
            <w:txbxContent>
              <w:p>
                <w:pPr>
                  <w:spacing w:before="18"/>
                  <w:ind w:left="20" w:right="0" w:firstLine="0"/>
                  <w:jc w:val="left"/>
                  <w:rPr>
                    <w:sz w:val="11"/>
                  </w:rPr>
                </w:pPr>
                <w:r>
                  <w:rPr>
                    <w:sz w:val="11"/>
                  </w:rPr>
                  <w:t>Winship-Robbins Elementary Sutter County</w:t>
                </w:r>
              </w:p>
            </w:txbxContent>
          </v:textbox>
          <w10:wrap type="none"/>
        </v:shape>
      </w:pict>
    </w:r>
    <w:r>
      <w:rPr/>
      <w:pict>
        <v:shape style="position:absolute;margin-left:549.799988pt;margin-top:8.303926pt;width:48.85pt;height:14.65pt;mso-position-horizontal-relative:page;mso-position-vertical-relative:page;z-index:-314697728" type="#_x0000_t202" filled="false" stroked="false">
          <v:textbox inset="0,0,0,0">
            <w:txbxContent>
              <w:p>
                <w:pPr>
                  <w:spacing w:before="18"/>
                  <w:ind w:left="0" w:right="19" w:firstLine="0"/>
                  <w:jc w:val="right"/>
                  <w:rPr>
                    <w:sz w:val="11"/>
                  </w:rPr>
                </w:pPr>
                <w:r>
                  <w:rPr>
                    <w:sz w:val="11"/>
                  </w:rPr>
                  <w:t>51 71456</w:t>
                </w:r>
                <w:r>
                  <w:rPr>
                    <w:spacing w:val="14"/>
                    <w:sz w:val="11"/>
                  </w:rPr>
                  <w:t> </w:t>
                </w:r>
                <w:r>
                  <w:rPr>
                    <w:sz w:val="11"/>
                  </w:rPr>
                  <w:t>0000000</w:t>
                </w:r>
              </w:p>
              <w:p>
                <w:pPr>
                  <w:spacing w:before="1"/>
                  <w:ind w:left="0" w:right="18" w:firstLine="0"/>
                  <w:jc w:val="right"/>
                  <w:rPr>
                    <w:sz w:val="11"/>
                  </w:rPr>
                </w:pPr>
                <w:r>
                  <w:rPr>
                    <w:sz w:val="11"/>
                  </w:rPr>
                  <w:t>Form</w:t>
                </w:r>
                <w:r>
                  <w:rPr>
                    <w:spacing w:val="6"/>
                    <w:sz w:val="11"/>
                  </w:rPr>
                  <w:t> </w:t>
                </w:r>
                <w:r>
                  <w:rPr>
                    <w:sz w:val="11"/>
                  </w:rPr>
                  <w:t>01</w:t>
                </w:r>
              </w:p>
            </w:txbxContent>
          </v:textbox>
          <w10:wrap type="non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43.440002pt;margin-top:32.662663pt;width:125.1pt;height:33.35pt;mso-position-horizontal-relative:page;mso-position-vertical-relative:page;z-index:-314587136" type="#_x0000_t202" filled="false" stroked="false">
          <v:textbox inset="0,0,0,0">
            <w:txbxContent>
              <w:p>
                <w:pPr>
                  <w:spacing w:before="20"/>
                  <w:ind w:left="1" w:right="3" w:firstLine="0"/>
                  <w:jc w:val="center"/>
                  <w:rPr>
                    <w:sz w:val="18"/>
                  </w:rPr>
                </w:pPr>
                <w:r>
                  <w:rPr>
                    <w:w w:val="105"/>
                    <w:sz w:val="18"/>
                  </w:rPr>
                  <w:t>July 1 Budget</w:t>
                </w:r>
              </w:p>
              <w:p>
                <w:pPr>
                  <w:spacing w:before="2"/>
                  <w:ind w:left="1" w:right="0" w:firstLine="0"/>
                  <w:jc w:val="center"/>
                  <w:rPr>
                    <w:sz w:val="18"/>
                  </w:rPr>
                </w:pPr>
                <w:r>
                  <w:rPr>
                    <w:w w:val="105"/>
                    <w:sz w:val="18"/>
                  </w:rPr>
                  <w:t>County School Facilities Fund Expenditures by Function</w:t>
                </w:r>
              </w:p>
            </w:txbxContent>
          </v:textbox>
          <w10:wrap type="none"/>
        </v:shape>
      </w:pict>
    </w:r>
    <w:r>
      <w:rPr/>
      <w:pict>
        <v:shape style="position:absolute;margin-left:23.120001pt;margin-top:43.102665pt;width:122.4pt;height:22.9pt;mso-position-horizontal-relative:page;mso-position-vertical-relative:page;z-index:-314586112" type="#_x0000_t202" filled="false" stroked="false">
          <v:textbox inset="0,0,0,0">
            <w:txbxContent>
              <w:p>
                <w:pPr>
                  <w:spacing w:before="20"/>
                  <w:ind w:left="20" w:right="4" w:firstLine="0"/>
                  <w:jc w:val="left"/>
                  <w:rPr>
                    <w:sz w:val="18"/>
                  </w:rPr>
                </w:pPr>
                <w:r>
                  <w:rPr>
                    <w:w w:val="105"/>
                    <w:sz w:val="18"/>
                  </w:rPr>
                  <w:t>Winship-Robbins</w:t>
                </w:r>
                <w:r>
                  <w:rPr>
                    <w:spacing w:val="-33"/>
                    <w:w w:val="105"/>
                    <w:sz w:val="18"/>
                  </w:rPr>
                  <w:t> </w:t>
                </w:r>
                <w:r>
                  <w:rPr>
                    <w:w w:val="105"/>
                    <w:sz w:val="18"/>
                  </w:rPr>
                  <w:t>Elementary Sutter</w:t>
                </w:r>
                <w:r>
                  <w:rPr>
                    <w:spacing w:val="-1"/>
                    <w:w w:val="105"/>
                    <w:sz w:val="18"/>
                  </w:rPr>
                  <w:t> </w:t>
                </w:r>
                <w:r>
                  <w:rPr>
                    <w:w w:val="105"/>
                    <w:sz w:val="18"/>
                  </w:rPr>
                  <w:t>County</w:t>
                </w:r>
              </w:p>
            </w:txbxContent>
          </v:textbox>
          <w10:wrap type="none"/>
        </v:shape>
      </w:pict>
    </w:r>
    <w:r>
      <w:rPr/>
      <w:pict>
        <v:shape style="position:absolute;margin-left:509.359985pt;margin-top:43.102665pt;width:79.55pt;height:22.9pt;mso-position-horizontal-relative:page;mso-position-vertical-relative:page;z-index:-314585088" type="#_x0000_t202" filled="false" stroked="false">
          <v:textbox inset="0,0,0,0">
            <w:txbxContent>
              <w:p>
                <w:pPr>
                  <w:spacing w:before="20"/>
                  <w:ind w:left="0" w:right="18" w:firstLine="0"/>
                  <w:jc w:val="right"/>
                  <w:rPr>
                    <w:sz w:val="18"/>
                  </w:rPr>
                </w:pPr>
                <w:r>
                  <w:rPr>
                    <w:w w:val="105"/>
                    <w:sz w:val="18"/>
                  </w:rPr>
                  <w:t>51 71456</w:t>
                </w:r>
                <w:r>
                  <w:rPr>
                    <w:spacing w:val="-33"/>
                    <w:w w:val="105"/>
                    <w:sz w:val="18"/>
                  </w:rPr>
                  <w:t> </w:t>
                </w:r>
                <w:r>
                  <w:rPr>
                    <w:w w:val="105"/>
                    <w:sz w:val="18"/>
                  </w:rPr>
                  <w:t>0000000</w:t>
                </w:r>
              </w:p>
              <w:p>
                <w:pPr>
                  <w:spacing w:before="2"/>
                  <w:ind w:left="0" w:right="18" w:firstLine="0"/>
                  <w:jc w:val="right"/>
                  <w:rPr>
                    <w:sz w:val="18"/>
                  </w:rPr>
                </w:pPr>
                <w:r>
                  <w:rPr>
                    <w:w w:val="105"/>
                    <w:sz w:val="18"/>
                  </w:rPr>
                  <w:t>Form</w:t>
                </w:r>
                <w:r>
                  <w:rPr>
                    <w:spacing w:val="43"/>
                    <w:w w:val="105"/>
                    <w:sz w:val="18"/>
                  </w:rPr>
                  <w:t> </w:t>
                </w:r>
                <w:r>
                  <w:rPr>
                    <w:w w:val="105"/>
                    <w:sz w:val="18"/>
                  </w:rPr>
                  <w:t>35</w:t>
                </w:r>
              </w:p>
            </w:txbxContent>
          </v:textbox>
          <w10:wrap type="non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35.480011pt;margin-top:24.247341pt;width:120.95pt;height:25.65pt;mso-position-horizontal-relative:page;mso-position-vertical-relative:page;z-index:-314580992" type="#_x0000_t202" filled="false" stroked="false">
          <v:textbox inset="0,0,0,0">
            <w:txbxContent>
              <w:p>
                <w:pPr>
                  <w:spacing w:line="160" w:lineRule="exact" w:before="15"/>
                  <w:ind w:left="0" w:right="0" w:firstLine="0"/>
                  <w:jc w:val="center"/>
                  <w:rPr>
                    <w:sz w:val="14"/>
                  </w:rPr>
                </w:pPr>
                <w:r>
                  <w:rPr>
                    <w:sz w:val="14"/>
                  </w:rPr>
                  <w:t>July 1 Budget</w:t>
                </w:r>
              </w:p>
              <w:p>
                <w:pPr>
                  <w:spacing w:line="158" w:lineRule="exact" w:before="0"/>
                  <w:ind w:left="0" w:right="1" w:firstLine="0"/>
                  <w:jc w:val="center"/>
                  <w:rPr>
                    <w:sz w:val="14"/>
                  </w:rPr>
                </w:pPr>
                <w:r>
                  <w:rPr>
                    <w:sz w:val="14"/>
                  </w:rPr>
                  <w:t>2021-22 Budget</w:t>
                </w:r>
              </w:p>
              <w:p>
                <w:pPr>
                  <w:spacing w:line="160" w:lineRule="exact" w:before="0"/>
                  <w:ind w:left="0" w:right="0" w:firstLine="0"/>
                  <w:jc w:val="center"/>
                  <w:rPr>
                    <w:sz w:val="14"/>
                  </w:rPr>
                </w:pPr>
                <w:r>
                  <w:rPr>
                    <w:sz w:val="14"/>
                  </w:rPr>
                  <w:t>Cashflow Worksheet - Budget Year (1)</w:t>
                </w:r>
              </w:p>
            </w:txbxContent>
          </v:textbox>
          <w10:wrap type="none"/>
        </v:shape>
      </w:pict>
    </w:r>
    <w:r>
      <w:rPr/>
      <w:pict>
        <v:shape style="position:absolute;margin-left:39.32pt;margin-top:32.167339pt;width:92pt;height:17.75pt;mso-position-horizontal-relative:page;mso-position-vertical-relative:page;z-index:-314579968" type="#_x0000_t202" filled="false" stroked="false">
          <v:textbox inset="0,0,0,0">
            <w:txbxContent>
              <w:p>
                <w:pPr>
                  <w:spacing w:line="235" w:lineRule="auto" w:before="17"/>
                  <w:ind w:left="20" w:right="-6" w:firstLine="0"/>
                  <w:jc w:val="left"/>
                  <w:rPr>
                    <w:sz w:val="14"/>
                  </w:rPr>
                </w:pPr>
                <w:r>
                  <w:rPr>
                    <w:sz w:val="14"/>
                  </w:rPr>
                  <w:t>Winship-Robbins Elementary Sutter County</w:t>
                </w:r>
              </w:p>
            </w:txbxContent>
          </v:textbox>
          <w10:wrap type="none"/>
        </v:shape>
      </w:pict>
    </w:r>
    <w:r>
      <w:rPr/>
      <w:pict>
        <v:shape style="position:absolute;margin-left:692.960022pt;margin-top:32.167339pt;width:59.65pt;height:17.75pt;mso-position-horizontal-relative:page;mso-position-vertical-relative:page;z-index:-314578944" type="#_x0000_t202" filled="false" stroked="false">
          <v:textbox inset="0,0,0,0">
            <w:txbxContent>
              <w:p>
                <w:pPr>
                  <w:spacing w:line="160" w:lineRule="exact" w:before="15"/>
                  <w:ind w:left="20" w:right="0" w:firstLine="0"/>
                  <w:jc w:val="left"/>
                  <w:rPr>
                    <w:sz w:val="14"/>
                  </w:rPr>
                </w:pPr>
                <w:r>
                  <w:rPr>
                    <w:sz w:val="14"/>
                  </w:rPr>
                  <w:t>51 71456</w:t>
                </w:r>
                <w:r>
                  <w:rPr>
                    <w:spacing w:val="-18"/>
                    <w:sz w:val="14"/>
                  </w:rPr>
                  <w:t> </w:t>
                </w:r>
                <w:r>
                  <w:rPr>
                    <w:sz w:val="14"/>
                  </w:rPr>
                  <w:t>0000000</w:t>
                </w:r>
              </w:p>
              <w:p>
                <w:pPr>
                  <w:spacing w:line="160" w:lineRule="exact" w:before="0"/>
                  <w:ind w:left="420" w:right="0" w:firstLine="0"/>
                  <w:jc w:val="left"/>
                  <w:rPr>
                    <w:sz w:val="14"/>
                  </w:rPr>
                </w:pPr>
                <w:r>
                  <w:rPr>
                    <w:sz w:val="14"/>
                  </w:rPr>
                  <w:t>Form</w:t>
                </w:r>
                <w:r>
                  <w:rPr>
                    <w:spacing w:val="-5"/>
                    <w:sz w:val="14"/>
                  </w:rPr>
                  <w:t> </w:t>
                </w:r>
                <w:r>
                  <w:rPr>
                    <w:sz w:val="14"/>
                  </w:rPr>
                  <w:t>CASH</w:t>
                </w:r>
              </w:p>
            </w:txbxContent>
          </v:textbox>
          <w10:wrap type="non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35.480011pt;margin-top:24.247341pt;width:120.95pt;height:25.65pt;mso-position-horizontal-relative:page;mso-position-vertical-relative:page;z-index:-314574848" type="#_x0000_t202" filled="false" stroked="false">
          <v:textbox inset="0,0,0,0">
            <w:txbxContent>
              <w:p>
                <w:pPr>
                  <w:spacing w:line="160" w:lineRule="exact" w:before="15"/>
                  <w:ind w:left="0" w:right="0" w:firstLine="0"/>
                  <w:jc w:val="center"/>
                  <w:rPr>
                    <w:sz w:val="14"/>
                  </w:rPr>
                </w:pPr>
                <w:r>
                  <w:rPr>
                    <w:sz w:val="14"/>
                  </w:rPr>
                  <w:t>July 1 Budget</w:t>
                </w:r>
              </w:p>
              <w:p>
                <w:pPr>
                  <w:spacing w:line="158" w:lineRule="exact" w:before="0"/>
                  <w:ind w:left="0" w:right="1" w:firstLine="0"/>
                  <w:jc w:val="center"/>
                  <w:rPr>
                    <w:sz w:val="14"/>
                  </w:rPr>
                </w:pPr>
                <w:r>
                  <w:rPr>
                    <w:sz w:val="14"/>
                  </w:rPr>
                  <w:t>2021-22 Budget</w:t>
                </w:r>
              </w:p>
              <w:p>
                <w:pPr>
                  <w:spacing w:line="160" w:lineRule="exact" w:before="0"/>
                  <w:ind w:left="0" w:right="0" w:firstLine="0"/>
                  <w:jc w:val="center"/>
                  <w:rPr>
                    <w:sz w:val="14"/>
                  </w:rPr>
                </w:pPr>
                <w:r>
                  <w:rPr>
                    <w:sz w:val="14"/>
                  </w:rPr>
                  <w:t>Cashflow Worksheet - Budget Year (2)</w:t>
                </w:r>
              </w:p>
            </w:txbxContent>
          </v:textbox>
          <w10:wrap type="none"/>
        </v:shape>
      </w:pict>
    </w:r>
    <w:r>
      <w:rPr/>
      <w:pict>
        <v:shape style="position:absolute;margin-left:39.32pt;margin-top:32.167339pt;width:92pt;height:17.75pt;mso-position-horizontal-relative:page;mso-position-vertical-relative:page;z-index:-314573824" type="#_x0000_t202" filled="false" stroked="false">
          <v:textbox inset="0,0,0,0">
            <w:txbxContent>
              <w:p>
                <w:pPr>
                  <w:spacing w:line="235" w:lineRule="auto" w:before="17"/>
                  <w:ind w:left="20" w:right="-6" w:firstLine="0"/>
                  <w:jc w:val="left"/>
                  <w:rPr>
                    <w:sz w:val="14"/>
                  </w:rPr>
                </w:pPr>
                <w:r>
                  <w:rPr>
                    <w:sz w:val="14"/>
                  </w:rPr>
                  <w:t>Winship-Robbins Elementary Sutter County</w:t>
                </w:r>
              </w:p>
            </w:txbxContent>
          </v:textbox>
          <w10:wrap type="none"/>
        </v:shape>
      </w:pict>
    </w:r>
    <w:r>
      <w:rPr/>
      <w:pict>
        <v:shape style="position:absolute;margin-left:692.960022pt;margin-top:32.167339pt;width:59.65pt;height:17.75pt;mso-position-horizontal-relative:page;mso-position-vertical-relative:page;z-index:-314572800" type="#_x0000_t202" filled="false" stroked="false">
          <v:textbox inset="0,0,0,0">
            <w:txbxContent>
              <w:p>
                <w:pPr>
                  <w:spacing w:line="160" w:lineRule="exact" w:before="15"/>
                  <w:ind w:left="20" w:right="0" w:firstLine="0"/>
                  <w:jc w:val="left"/>
                  <w:rPr>
                    <w:sz w:val="14"/>
                  </w:rPr>
                </w:pPr>
                <w:r>
                  <w:rPr>
                    <w:sz w:val="14"/>
                  </w:rPr>
                  <w:t>51 71456</w:t>
                </w:r>
                <w:r>
                  <w:rPr>
                    <w:spacing w:val="-18"/>
                    <w:sz w:val="14"/>
                  </w:rPr>
                  <w:t> </w:t>
                </w:r>
                <w:r>
                  <w:rPr>
                    <w:sz w:val="14"/>
                  </w:rPr>
                  <w:t>0000000</w:t>
                </w:r>
              </w:p>
              <w:p>
                <w:pPr>
                  <w:spacing w:line="160" w:lineRule="exact" w:before="0"/>
                  <w:ind w:left="420" w:right="0" w:firstLine="0"/>
                  <w:jc w:val="left"/>
                  <w:rPr>
                    <w:sz w:val="14"/>
                  </w:rPr>
                </w:pPr>
                <w:r>
                  <w:rPr>
                    <w:sz w:val="14"/>
                  </w:rPr>
                  <w:t>Form</w:t>
                </w:r>
                <w:r>
                  <w:rPr>
                    <w:spacing w:val="-5"/>
                    <w:sz w:val="14"/>
                  </w:rPr>
                  <w:t> </w:t>
                </w:r>
                <w:r>
                  <w:rPr>
                    <w:sz w:val="14"/>
                  </w:rPr>
                  <w:t>CASH</w:t>
                </w:r>
              </w:p>
            </w:txbxContent>
          </v:textbox>
          <w10:wrap type="non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35.480011pt;margin-top:24.247341pt;width:120.95pt;height:25.65pt;mso-position-horizontal-relative:page;mso-position-vertical-relative:page;z-index:-314568704" type="#_x0000_t202" filled="false" stroked="false">
          <v:textbox inset="0,0,0,0">
            <w:txbxContent>
              <w:p>
                <w:pPr>
                  <w:spacing w:line="160" w:lineRule="exact" w:before="15"/>
                  <w:ind w:left="0" w:right="0" w:firstLine="0"/>
                  <w:jc w:val="center"/>
                  <w:rPr>
                    <w:sz w:val="14"/>
                  </w:rPr>
                </w:pPr>
                <w:r>
                  <w:rPr>
                    <w:sz w:val="14"/>
                  </w:rPr>
                  <w:t>July 1 Budget</w:t>
                </w:r>
              </w:p>
              <w:p>
                <w:pPr>
                  <w:spacing w:line="158" w:lineRule="exact" w:before="0"/>
                  <w:ind w:left="0" w:right="1" w:firstLine="0"/>
                  <w:jc w:val="center"/>
                  <w:rPr>
                    <w:sz w:val="14"/>
                  </w:rPr>
                </w:pPr>
                <w:r>
                  <w:rPr>
                    <w:sz w:val="14"/>
                  </w:rPr>
                  <w:t>2021-22 Budget</w:t>
                </w:r>
              </w:p>
              <w:p>
                <w:pPr>
                  <w:spacing w:line="160" w:lineRule="exact" w:before="0"/>
                  <w:ind w:left="0" w:right="0" w:firstLine="0"/>
                  <w:jc w:val="center"/>
                  <w:rPr>
                    <w:sz w:val="14"/>
                  </w:rPr>
                </w:pPr>
                <w:r>
                  <w:rPr>
                    <w:sz w:val="14"/>
                  </w:rPr>
                  <w:t>Cashflow Worksheet - Budget Year (2)</w:t>
                </w:r>
              </w:p>
            </w:txbxContent>
          </v:textbox>
          <w10:wrap type="none"/>
        </v:shape>
      </w:pict>
    </w:r>
    <w:r>
      <w:rPr/>
      <w:pict>
        <v:shape style="position:absolute;margin-left:39.32pt;margin-top:32.167339pt;width:92pt;height:17.75pt;mso-position-horizontal-relative:page;mso-position-vertical-relative:page;z-index:-314567680" type="#_x0000_t202" filled="false" stroked="false">
          <v:textbox inset="0,0,0,0">
            <w:txbxContent>
              <w:p>
                <w:pPr>
                  <w:spacing w:line="235" w:lineRule="auto" w:before="17"/>
                  <w:ind w:left="20" w:right="-6" w:firstLine="0"/>
                  <w:jc w:val="left"/>
                  <w:rPr>
                    <w:sz w:val="14"/>
                  </w:rPr>
                </w:pPr>
                <w:r>
                  <w:rPr>
                    <w:sz w:val="14"/>
                  </w:rPr>
                  <w:t>Winship-Robbins Elementary Sutter County</w:t>
                </w:r>
              </w:p>
            </w:txbxContent>
          </v:textbox>
          <w10:wrap type="none"/>
        </v:shape>
      </w:pict>
    </w:r>
    <w:r>
      <w:rPr/>
      <w:pict>
        <v:shape style="position:absolute;margin-left:692.960022pt;margin-top:32.167339pt;width:59.65pt;height:17.75pt;mso-position-horizontal-relative:page;mso-position-vertical-relative:page;z-index:-314566656" type="#_x0000_t202" filled="false" stroked="false">
          <v:textbox inset="0,0,0,0">
            <w:txbxContent>
              <w:p>
                <w:pPr>
                  <w:spacing w:line="160" w:lineRule="exact" w:before="15"/>
                  <w:ind w:left="20" w:right="0" w:firstLine="0"/>
                  <w:jc w:val="left"/>
                  <w:rPr>
                    <w:sz w:val="14"/>
                  </w:rPr>
                </w:pPr>
                <w:r>
                  <w:rPr>
                    <w:sz w:val="14"/>
                  </w:rPr>
                  <w:t>51 71456</w:t>
                </w:r>
                <w:r>
                  <w:rPr>
                    <w:spacing w:val="-18"/>
                    <w:sz w:val="14"/>
                  </w:rPr>
                  <w:t> </w:t>
                </w:r>
                <w:r>
                  <w:rPr>
                    <w:sz w:val="14"/>
                  </w:rPr>
                  <w:t>0000000</w:t>
                </w:r>
              </w:p>
              <w:p>
                <w:pPr>
                  <w:spacing w:line="160" w:lineRule="exact" w:before="0"/>
                  <w:ind w:left="420" w:right="0" w:firstLine="0"/>
                  <w:jc w:val="left"/>
                  <w:rPr>
                    <w:sz w:val="14"/>
                  </w:rPr>
                </w:pPr>
                <w:r>
                  <w:rPr>
                    <w:sz w:val="14"/>
                  </w:rPr>
                  <w:t>Form</w:t>
                </w:r>
                <w:r>
                  <w:rPr>
                    <w:spacing w:val="-5"/>
                    <w:sz w:val="14"/>
                  </w:rPr>
                  <w:t> </w:t>
                </w:r>
                <w:r>
                  <w:rPr>
                    <w:sz w:val="14"/>
                  </w:rPr>
                  <w:t>CASH</w:t>
                </w:r>
              </w:p>
            </w:txbxContent>
          </v:textbox>
          <w10:wrap type="non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48.360016pt;margin-top:14.47324pt;width:115.15pt;height:31.1pt;mso-position-horizontal-relative:page;mso-position-vertical-relative:page;z-index:-314562560" type="#_x0000_t202" filled="false" stroked="false">
          <v:textbox inset="0,0,0,0">
            <w:txbxContent>
              <w:p>
                <w:pPr>
                  <w:spacing w:line="195" w:lineRule="exact" w:before="16"/>
                  <w:ind w:left="616" w:right="616" w:firstLine="0"/>
                  <w:jc w:val="center"/>
                  <w:rPr>
                    <w:sz w:val="17"/>
                  </w:rPr>
                </w:pPr>
                <w:r>
                  <w:rPr>
                    <w:sz w:val="17"/>
                  </w:rPr>
                  <w:t>July 1 Budget</w:t>
                </w:r>
              </w:p>
              <w:p>
                <w:pPr>
                  <w:spacing w:before="0"/>
                  <w:ind w:left="19" w:right="18" w:hanging="2"/>
                  <w:jc w:val="center"/>
                  <w:rPr>
                    <w:sz w:val="17"/>
                  </w:rPr>
                </w:pPr>
                <w:r>
                  <w:rPr>
                    <w:sz w:val="17"/>
                  </w:rPr>
                  <w:t>2020-21 Estimated Actuals Indirect Cost Rate Worksheet</w:t>
                </w:r>
              </w:p>
            </w:txbxContent>
          </v:textbox>
          <w10:wrap type="none"/>
        </v:shape>
      </w:pict>
    </w:r>
    <w:r>
      <w:rPr/>
      <w:pict>
        <v:shape style="position:absolute;margin-left:14.48pt;margin-top:24.193239pt;width:113.6pt;height:21.4pt;mso-position-horizontal-relative:page;mso-position-vertical-relative:page;z-index:-314561536" type="#_x0000_t202" filled="false" stroked="false">
          <v:textbox inset="0,0,0,0">
            <w:txbxContent>
              <w:p>
                <w:pPr>
                  <w:spacing w:before="16"/>
                  <w:ind w:left="20" w:right="0" w:firstLine="0"/>
                  <w:jc w:val="left"/>
                  <w:rPr>
                    <w:sz w:val="17"/>
                  </w:rPr>
                </w:pPr>
                <w:r>
                  <w:rPr>
                    <w:sz w:val="17"/>
                  </w:rPr>
                  <w:t>Winship-Robbins Elementary Sutter County</w:t>
                </w:r>
              </w:p>
            </w:txbxContent>
          </v:textbox>
          <w10:wrap type="none"/>
        </v:shape>
      </w:pict>
    </w:r>
    <w:r>
      <w:rPr/>
      <w:pict>
        <v:shape style="position:absolute;margin-left:523.519958pt;margin-top:24.193239pt;width:73.95pt;height:21.4pt;mso-position-horizontal-relative:page;mso-position-vertical-relative:page;z-index:-314560512" type="#_x0000_t202" filled="false" stroked="false">
          <v:textbox inset="0,0,0,0">
            <w:txbxContent>
              <w:p>
                <w:pPr>
                  <w:spacing w:line="195" w:lineRule="exact" w:before="16"/>
                  <w:ind w:left="20" w:right="0" w:firstLine="0"/>
                  <w:jc w:val="left"/>
                  <w:rPr>
                    <w:sz w:val="17"/>
                  </w:rPr>
                </w:pPr>
                <w:r>
                  <w:rPr>
                    <w:sz w:val="17"/>
                  </w:rPr>
                  <w:t>51 71456</w:t>
                </w:r>
                <w:r>
                  <w:rPr>
                    <w:spacing w:val="17"/>
                    <w:sz w:val="17"/>
                  </w:rPr>
                  <w:t> </w:t>
                </w:r>
                <w:r>
                  <w:rPr>
                    <w:sz w:val="17"/>
                  </w:rPr>
                  <w:t>0000000</w:t>
                </w:r>
              </w:p>
              <w:p>
                <w:pPr>
                  <w:spacing w:line="195" w:lineRule="exact" w:before="0"/>
                  <w:ind w:left="713" w:right="0" w:firstLine="0"/>
                  <w:jc w:val="left"/>
                  <w:rPr>
                    <w:sz w:val="17"/>
                  </w:rPr>
                </w:pPr>
                <w:r>
                  <w:rPr>
                    <w:sz w:val="17"/>
                  </w:rPr>
                  <w:t>Form</w:t>
                </w:r>
                <w:r>
                  <w:rPr>
                    <w:spacing w:val="8"/>
                    <w:sz w:val="17"/>
                  </w:rPr>
                  <w:t> </w:t>
                </w:r>
                <w:r>
                  <w:rPr>
                    <w:sz w:val="17"/>
                  </w:rPr>
                  <w:t>ICR</w:t>
                </w:r>
              </w:p>
            </w:txbxContent>
          </v:textbox>
          <w10:wrap type="non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0.079987pt;margin-top:2.075504pt;width:71.7pt;height:28.25pt;mso-position-horizontal-relative:page;mso-position-vertical-relative:page;z-index:-314693632" type="#_x0000_t202" filled="false" stroked="false">
          <v:textbox inset="0,0,0,0">
            <w:txbxContent>
              <w:p>
                <w:pPr>
                  <w:spacing w:line="249" w:lineRule="auto" w:before="21"/>
                  <w:ind w:left="365" w:right="361" w:firstLine="1"/>
                  <w:jc w:val="center"/>
                  <w:rPr>
                    <w:sz w:val="11"/>
                  </w:rPr>
                </w:pPr>
                <w:r>
                  <w:rPr>
                    <w:w w:val="105"/>
                    <w:sz w:val="11"/>
                  </w:rPr>
                  <w:t>July 1 Budget General Fund</w:t>
                </w:r>
              </w:p>
              <w:p>
                <w:pPr>
                  <w:spacing w:line="249" w:lineRule="auto" w:before="1"/>
                  <w:ind w:left="10" w:right="8" w:firstLine="0"/>
                  <w:jc w:val="center"/>
                  <w:rPr>
                    <w:sz w:val="11"/>
                  </w:rPr>
                </w:pPr>
                <w:r>
                  <w:rPr>
                    <w:w w:val="105"/>
                    <w:sz w:val="11"/>
                  </w:rPr>
                  <w:t>Unrestricted and Restricted Expenditures by Function</w:t>
                </w:r>
              </w:p>
            </w:txbxContent>
          </v:textbox>
          <w10:wrap type="none"/>
        </v:shape>
      </w:pict>
    </w:r>
    <w:r>
      <w:rPr/>
      <w:pict>
        <v:shape style="position:absolute;margin-left:13.76pt;margin-top:8.675504pt;width:76.6pt;height:15.05pt;mso-position-horizontal-relative:page;mso-position-vertical-relative:page;z-index:-314692608" type="#_x0000_t202" filled="false" stroked="false">
          <v:textbox inset="0,0,0,0">
            <w:txbxContent>
              <w:p>
                <w:pPr>
                  <w:spacing w:line="249" w:lineRule="auto" w:before="21"/>
                  <w:ind w:left="20" w:right="2" w:firstLine="0"/>
                  <w:jc w:val="left"/>
                  <w:rPr>
                    <w:sz w:val="11"/>
                  </w:rPr>
                </w:pPr>
                <w:r>
                  <w:rPr>
                    <w:w w:val="105"/>
                    <w:sz w:val="11"/>
                  </w:rPr>
                  <w:t>Winship-Robbins Elementary Sutter County</w:t>
                </w:r>
              </w:p>
            </w:txbxContent>
          </v:textbox>
          <w10:wrap type="none"/>
        </v:shape>
      </w:pict>
    </w:r>
    <w:r>
      <w:rPr/>
      <w:pict>
        <v:shape style="position:absolute;margin-left:547.76001pt;margin-top:8.675504pt;width:50.45pt;height:15.05pt;mso-position-horizontal-relative:page;mso-position-vertical-relative:page;z-index:-314691584" type="#_x0000_t202" filled="false" stroked="false">
          <v:textbox inset="0,0,0,0">
            <w:txbxContent>
              <w:p>
                <w:pPr>
                  <w:spacing w:before="21"/>
                  <w:ind w:left="0" w:right="18" w:firstLine="0"/>
                  <w:jc w:val="right"/>
                  <w:rPr>
                    <w:sz w:val="11"/>
                  </w:rPr>
                </w:pPr>
                <w:r>
                  <w:rPr>
                    <w:w w:val="105"/>
                    <w:sz w:val="11"/>
                  </w:rPr>
                  <w:t>51 71456 0000000</w:t>
                </w:r>
              </w:p>
              <w:p>
                <w:pPr>
                  <w:spacing w:before="5"/>
                  <w:ind w:left="0" w:right="18" w:firstLine="0"/>
                  <w:jc w:val="right"/>
                  <w:rPr>
                    <w:sz w:val="11"/>
                  </w:rPr>
                </w:pPr>
                <w:r>
                  <w:rPr>
                    <w:w w:val="105"/>
                    <w:sz w:val="11"/>
                  </w:rPr>
                  <w:t>Form</w:t>
                </w:r>
                <w:r>
                  <w:rPr>
                    <w:spacing w:val="-3"/>
                    <w:w w:val="105"/>
                    <w:sz w:val="11"/>
                  </w:rPr>
                  <w:t> </w:t>
                </w:r>
                <w:r>
                  <w:rPr>
                    <w:w w:val="105"/>
                    <w:sz w:val="11"/>
                  </w:rPr>
                  <w:t>01</w:t>
                </w:r>
              </w:p>
            </w:txbxContent>
          </v:textbox>
          <w10:wrap type="non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3.679993pt;margin-top:11.168084pt;width:64.4pt;height:32.9pt;mso-position-horizontal-relative:page;mso-position-vertical-relative:page;z-index:-314556416" type="#_x0000_t202" filled="false" stroked="false">
          <v:textbox inset="0,0,0,0">
            <w:txbxContent>
              <w:p>
                <w:pPr>
                  <w:pStyle w:val="BodyText"/>
                  <w:spacing w:line="249" w:lineRule="auto" w:before="19"/>
                  <w:ind w:left="20" w:right="18" w:firstLine="40"/>
                  <w:jc w:val="center"/>
                </w:pPr>
                <w:r>
                  <w:rPr>
                    <w:w w:val="105"/>
                  </w:rPr>
                  <w:t>July 1 Budget General Fund </w:t>
                </w:r>
                <w:r>
                  <w:rPr/>
                  <w:t>Multiyear Projections </w:t>
                </w:r>
                <w:r>
                  <w:rPr>
                    <w:w w:val="105"/>
                  </w:rPr>
                  <w:t>Unrestricted</w:t>
                </w:r>
              </w:p>
            </w:txbxContent>
          </v:textbox>
          <w10:wrap type="none"/>
        </v:shape>
      </w:pict>
    </w:r>
    <w:r>
      <w:rPr/>
      <w:pict>
        <v:shape style="position:absolute;margin-left:35.119999pt;margin-top:18.968084pt;width:88.95pt;height:17.3pt;mso-position-horizontal-relative:page;mso-position-vertical-relative:page;z-index:-314555392" type="#_x0000_t202" filled="false" stroked="false">
          <v:textbox inset="0,0,0,0">
            <w:txbxContent>
              <w:p>
                <w:pPr>
                  <w:pStyle w:val="BodyText"/>
                  <w:spacing w:line="249" w:lineRule="auto" w:before="19"/>
                  <w:ind w:left="20" w:right="8"/>
                </w:pPr>
                <w:r>
                  <w:rPr>
                    <w:w w:val="105"/>
                  </w:rPr>
                  <w:t>Winship-Robbins </w:t>
                </w:r>
                <w:r>
                  <w:rPr>
                    <w:spacing w:val="-3"/>
                    <w:w w:val="105"/>
                  </w:rPr>
                  <w:t>Elementary </w:t>
                </w:r>
                <w:r>
                  <w:rPr>
                    <w:w w:val="105"/>
                  </w:rPr>
                  <w:t>Sutter County</w:t>
                </w:r>
              </w:p>
            </w:txbxContent>
          </v:textbox>
          <w10:wrap type="none"/>
        </v:shape>
      </w:pict>
    </w:r>
    <w:r>
      <w:rPr/>
      <w:pict>
        <v:shape style="position:absolute;margin-left:518.839966pt;margin-top:18.968084pt;width:57.95pt;height:17.3pt;mso-position-horizontal-relative:page;mso-position-vertical-relative:page;z-index:-314554368" type="#_x0000_t202" filled="false" stroked="false">
          <v:textbox inset="0,0,0,0">
            <w:txbxContent>
              <w:p>
                <w:pPr>
                  <w:pStyle w:val="BodyText"/>
                  <w:spacing w:before="19"/>
                  <w:ind w:left="20"/>
                </w:pPr>
                <w:r>
                  <w:rPr>
                    <w:w w:val="105"/>
                  </w:rPr>
                  <w:t>51 71456</w:t>
                </w:r>
                <w:r>
                  <w:rPr>
                    <w:spacing w:val="-24"/>
                    <w:w w:val="105"/>
                  </w:rPr>
                  <w:t> </w:t>
                </w:r>
                <w:r>
                  <w:rPr>
                    <w:w w:val="105"/>
                  </w:rPr>
                  <w:t>0000000</w:t>
                </w:r>
              </w:p>
              <w:p>
                <w:pPr>
                  <w:pStyle w:val="BodyText"/>
                  <w:spacing w:before="7"/>
                  <w:ind w:left="495"/>
                </w:pPr>
                <w:r>
                  <w:rPr>
                    <w:w w:val="105"/>
                  </w:rPr>
                  <w:t>Form</w:t>
                </w:r>
                <w:r>
                  <w:rPr>
                    <w:spacing w:val="-12"/>
                    <w:w w:val="105"/>
                  </w:rPr>
                  <w:t> </w:t>
                </w:r>
                <w:r>
                  <w:rPr>
                    <w:w w:val="105"/>
                  </w:rPr>
                  <w:t>MYP</w:t>
                </w:r>
              </w:p>
            </w:txbxContent>
          </v:textbox>
          <w10:wrap type="non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3.679993pt;margin-top:11.168084pt;width:64.4pt;height:32.9pt;mso-position-horizontal-relative:page;mso-position-vertical-relative:page;z-index:-314550272" type="#_x0000_t202" filled="false" stroked="false">
          <v:textbox inset="0,0,0,0">
            <w:txbxContent>
              <w:p>
                <w:pPr>
                  <w:pStyle w:val="BodyText"/>
                  <w:spacing w:line="249" w:lineRule="auto" w:before="19"/>
                  <w:ind w:left="20" w:right="18" w:firstLine="40"/>
                  <w:jc w:val="center"/>
                </w:pPr>
                <w:r>
                  <w:rPr>
                    <w:w w:val="105"/>
                  </w:rPr>
                  <w:t>July 1 Budget General Fund </w:t>
                </w:r>
                <w:r>
                  <w:rPr/>
                  <w:t>Multiyear Projections </w:t>
                </w:r>
                <w:r>
                  <w:rPr>
                    <w:w w:val="105"/>
                  </w:rPr>
                  <w:t>Restricted</w:t>
                </w:r>
              </w:p>
            </w:txbxContent>
          </v:textbox>
          <w10:wrap type="none"/>
        </v:shape>
      </w:pict>
    </w:r>
    <w:r>
      <w:rPr/>
      <w:pict>
        <v:shape style="position:absolute;margin-left:35.119999pt;margin-top:18.968084pt;width:88.95pt;height:17.3pt;mso-position-horizontal-relative:page;mso-position-vertical-relative:page;z-index:-314549248" type="#_x0000_t202" filled="false" stroked="false">
          <v:textbox inset="0,0,0,0">
            <w:txbxContent>
              <w:p>
                <w:pPr>
                  <w:pStyle w:val="BodyText"/>
                  <w:spacing w:line="249" w:lineRule="auto" w:before="19"/>
                  <w:ind w:left="20" w:right="8"/>
                </w:pPr>
                <w:r>
                  <w:rPr>
                    <w:w w:val="105"/>
                  </w:rPr>
                  <w:t>Winship-Robbins </w:t>
                </w:r>
                <w:r>
                  <w:rPr>
                    <w:spacing w:val="-3"/>
                    <w:w w:val="105"/>
                  </w:rPr>
                  <w:t>Elementary </w:t>
                </w:r>
                <w:r>
                  <w:rPr>
                    <w:w w:val="105"/>
                  </w:rPr>
                  <w:t>Sutter County</w:t>
                </w:r>
              </w:p>
            </w:txbxContent>
          </v:textbox>
          <w10:wrap type="none"/>
        </v:shape>
      </w:pict>
    </w:r>
    <w:r>
      <w:rPr/>
      <w:pict>
        <v:shape style="position:absolute;margin-left:518.839966pt;margin-top:18.968084pt;width:57.95pt;height:17.3pt;mso-position-horizontal-relative:page;mso-position-vertical-relative:page;z-index:-314548224" type="#_x0000_t202" filled="false" stroked="false">
          <v:textbox inset="0,0,0,0">
            <w:txbxContent>
              <w:p>
                <w:pPr>
                  <w:pStyle w:val="BodyText"/>
                  <w:spacing w:before="19"/>
                  <w:ind w:left="20"/>
                </w:pPr>
                <w:r>
                  <w:rPr>
                    <w:w w:val="105"/>
                  </w:rPr>
                  <w:t>51 71456</w:t>
                </w:r>
                <w:r>
                  <w:rPr>
                    <w:spacing w:val="-24"/>
                    <w:w w:val="105"/>
                  </w:rPr>
                  <w:t> </w:t>
                </w:r>
                <w:r>
                  <w:rPr>
                    <w:w w:val="105"/>
                  </w:rPr>
                  <w:t>0000000</w:t>
                </w:r>
              </w:p>
              <w:p>
                <w:pPr>
                  <w:pStyle w:val="BodyText"/>
                  <w:spacing w:before="7"/>
                  <w:ind w:left="495"/>
                </w:pPr>
                <w:r>
                  <w:rPr>
                    <w:w w:val="105"/>
                  </w:rPr>
                  <w:t>Form</w:t>
                </w:r>
                <w:r>
                  <w:rPr>
                    <w:spacing w:val="-12"/>
                    <w:w w:val="105"/>
                  </w:rPr>
                  <w:t> </w:t>
                </w:r>
                <w:r>
                  <w:rPr>
                    <w:w w:val="105"/>
                  </w:rPr>
                  <w:t>MYP</w:t>
                </w:r>
              </w:p>
            </w:txbxContent>
          </v:textbox>
          <w10:wrap type="non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1.399994pt;margin-top:11.036513pt;width:69.1pt;height:32.0500pt;mso-position-horizontal-relative:page;mso-position-vertical-relative:page;z-index:-314544128" type="#_x0000_t202" filled="false" stroked="false">
          <v:textbox inset="0,0,0,0">
            <w:txbxContent>
              <w:p>
                <w:pPr>
                  <w:pStyle w:val="BodyText"/>
                  <w:spacing w:before="17"/>
                  <w:ind w:left="20" w:right="18" w:firstLine="36"/>
                  <w:jc w:val="center"/>
                </w:pPr>
                <w:r>
                  <w:rPr/>
                  <w:t>July 1 Budget   General Fund Multiyear Projections </w:t>
                </w:r>
                <w:r>
                  <w:rPr>
                    <w:spacing w:val="-1"/>
                  </w:rPr>
                  <w:t>Unrestricted/Restricted</w:t>
                </w:r>
              </w:p>
            </w:txbxContent>
          </v:textbox>
          <w10:wrap type="none"/>
        </v:shape>
      </w:pict>
    </w:r>
    <w:r>
      <w:rPr/>
      <w:pict>
        <v:shape style="position:absolute;margin-left:34.639999pt;margin-top:18.596516pt;width:87.5pt;height:16.95pt;mso-position-horizontal-relative:page;mso-position-vertical-relative:page;z-index:-314543104" type="#_x0000_t202" filled="false" stroked="false">
          <v:textbox inset="0,0,0,0">
            <w:txbxContent>
              <w:p>
                <w:pPr>
                  <w:pStyle w:val="BodyText"/>
                  <w:spacing w:before="17"/>
                  <w:ind w:left="20"/>
                </w:pPr>
                <w:r>
                  <w:rPr/>
                  <w:t>Winship-Robbins Elementary Sutter County</w:t>
                </w:r>
              </w:p>
            </w:txbxContent>
          </v:textbox>
          <w10:wrap type="none"/>
        </v:shape>
      </w:pict>
    </w:r>
    <w:r>
      <w:rPr/>
      <w:pict>
        <v:shape style="position:absolute;margin-left:519.679993pt;margin-top:18.596516pt;width:57.65pt;height:16.95pt;mso-position-horizontal-relative:page;mso-position-vertical-relative:page;z-index:-314542080" type="#_x0000_t202" filled="false" stroked="false">
          <v:textbox inset="0,0,0,0">
            <w:txbxContent>
              <w:p>
                <w:pPr>
                  <w:pStyle w:val="BodyText"/>
                  <w:spacing w:before="17"/>
                  <w:ind w:left="20"/>
                </w:pPr>
                <w:r>
                  <w:rPr/>
                  <w:t>51  71456</w:t>
                </w:r>
                <w:r>
                  <w:rPr>
                    <w:spacing w:val="-15"/>
                  </w:rPr>
                  <w:t> </w:t>
                </w:r>
                <w:r>
                  <w:rPr/>
                  <w:t>0000000</w:t>
                </w:r>
              </w:p>
              <w:p>
                <w:pPr>
                  <w:pStyle w:val="BodyText"/>
                  <w:spacing w:before="2"/>
                  <w:ind w:left="504"/>
                </w:pPr>
                <w:r>
                  <w:rPr/>
                  <w:t>Form</w:t>
                </w:r>
                <w:r>
                  <w:rPr>
                    <w:spacing w:val="11"/>
                  </w:rPr>
                  <w:t> </w:t>
                </w:r>
                <w:r>
                  <w:rPr>
                    <w:spacing w:val="-2"/>
                  </w:rPr>
                  <w:t>MYP</w:t>
                </w:r>
              </w:p>
            </w:txbxContent>
          </v:textbox>
          <w10:wrap type="non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1.399994pt;margin-top:11.036513pt;width:69.1pt;height:32.0500pt;mso-position-horizontal-relative:page;mso-position-vertical-relative:page;z-index:-314537984" type="#_x0000_t202" filled="false" stroked="false">
          <v:textbox inset="0,0,0,0">
            <w:txbxContent>
              <w:p>
                <w:pPr>
                  <w:pStyle w:val="BodyText"/>
                  <w:spacing w:before="17"/>
                  <w:ind w:left="20" w:right="18" w:firstLine="36"/>
                  <w:jc w:val="center"/>
                </w:pPr>
                <w:r>
                  <w:rPr/>
                  <w:t>July 1 Budget   General Fund Multiyear Projections </w:t>
                </w:r>
                <w:r>
                  <w:rPr>
                    <w:spacing w:val="-1"/>
                  </w:rPr>
                  <w:t>Unrestricted/Restricted</w:t>
                </w:r>
              </w:p>
            </w:txbxContent>
          </v:textbox>
          <w10:wrap type="none"/>
        </v:shape>
      </w:pict>
    </w:r>
    <w:r>
      <w:rPr/>
      <w:pict>
        <v:shape style="position:absolute;margin-left:34.639999pt;margin-top:18.596516pt;width:87.5pt;height:16.95pt;mso-position-horizontal-relative:page;mso-position-vertical-relative:page;z-index:-314536960" type="#_x0000_t202" filled="false" stroked="false">
          <v:textbox inset="0,0,0,0">
            <w:txbxContent>
              <w:p>
                <w:pPr>
                  <w:pStyle w:val="BodyText"/>
                  <w:spacing w:before="17"/>
                  <w:ind w:left="20"/>
                </w:pPr>
                <w:r>
                  <w:rPr/>
                  <w:t>Winship-Robbins Elementary Sutter County</w:t>
                </w:r>
              </w:p>
            </w:txbxContent>
          </v:textbox>
          <w10:wrap type="none"/>
        </v:shape>
      </w:pict>
    </w:r>
    <w:r>
      <w:rPr/>
      <w:pict>
        <v:shape style="position:absolute;margin-left:519.679993pt;margin-top:18.596516pt;width:57.65pt;height:16.95pt;mso-position-horizontal-relative:page;mso-position-vertical-relative:page;z-index:-314535936" type="#_x0000_t202" filled="false" stroked="false">
          <v:textbox inset="0,0,0,0">
            <w:txbxContent>
              <w:p>
                <w:pPr>
                  <w:pStyle w:val="BodyText"/>
                  <w:spacing w:before="17"/>
                  <w:ind w:left="20"/>
                </w:pPr>
                <w:r>
                  <w:rPr/>
                  <w:t>51  71456</w:t>
                </w:r>
                <w:r>
                  <w:rPr>
                    <w:spacing w:val="-15"/>
                  </w:rPr>
                  <w:t> </w:t>
                </w:r>
                <w:r>
                  <w:rPr/>
                  <w:t>0000000</w:t>
                </w:r>
              </w:p>
              <w:p>
                <w:pPr>
                  <w:pStyle w:val="BodyText"/>
                  <w:spacing w:before="2"/>
                  <w:ind w:left="504"/>
                </w:pPr>
                <w:r>
                  <w:rPr/>
                  <w:t>Form</w:t>
                </w:r>
                <w:r>
                  <w:rPr>
                    <w:spacing w:val="11"/>
                  </w:rPr>
                  <w:t> </w:t>
                </w:r>
                <w:r>
                  <w:rPr>
                    <w:spacing w:val="-2"/>
                  </w:rPr>
                  <w:t>MYP</w:t>
                </w:r>
              </w:p>
            </w:txbxContent>
          </v:textbox>
          <w10:wrap type="non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3.279999pt;margin-top:9.294374pt;width:45.25pt;height:10.050pt;mso-position-horizontal-relative:page;mso-position-vertical-relative:page;z-index:-314531840" type="#_x0000_t202" filled="false" stroked="false">
          <v:textbox inset="0,0,0,0">
            <w:txbxContent>
              <w:p>
                <w:pPr>
                  <w:spacing w:before="18"/>
                  <w:ind w:left="20" w:right="0" w:firstLine="0"/>
                  <w:jc w:val="left"/>
                  <w:rPr>
                    <w:sz w:val="14"/>
                  </w:rPr>
                </w:pPr>
                <w:r>
                  <w:rPr>
                    <w:w w:val="105"/>
                    <w:sz w:val="14"/>
                  </w:rPr>
                  <w:t>July 1</w:t>
                </w:r>
                <w:r>
                  <w:rPr>
                    <w:spacing w:val="-23"/>
                    <w:w w:val="105"/>
                    <w:sz w:val="14"/>
                  </w:rPr>
                  <w:t> </w:t>
                </w:r>
                <w:r>
                  <w:rPr>
                    <w:w w:val="105"/>
                    <w:sz w:val="14"/>
                  </w:rPr>
                  <w:t>Budget</w:t>
                </w:r>
              </w:p>
            </w:txbxContent>
          </v:textbox>
          <w10:wrap type="none"/>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9.559998pt;margin-top:9.294374pt;width:52.8pt;height:18.1pt;mso-position-horizontal-relative:page;mso-position-vertical-relative:page;z-index:-314530816" type="#_x0000_t202" filled="false" stroked="false">
          <v:textbox inset="0,0,0,0">
            <w:txbxContent>
              <w:p>
                <w:pPr>
                  <w:spacing w:before="18"/>
                  <w:ind w:left="94" w:right="0" w:firstLine="0"/>
                  <w:jc w:val="left"/>
                  <w:rPr>
                    <w:sz w:val="14"/>
                  </w:rPr>
                </w:pPr>
                <w:r>
                  <w:rPr>
                    <w:w w:val="105"/>
                    <w:sz w:val="14"/>
                  </w:rPr>
                  <w:t>July 1 Budget</w:t>
                </w:r>
              </w:p>
              <w:p>
                <w:pPr>
                  <w:spacing w:before="0"/>
                  <w:ind w:left="20" w:right="0" w:firstLine="0"/>
                  <w:jc w:val="left"/>
                  <w:rPr>
                    <w:sz w:val="14"/>
                  </w:rPr>
                </w:pPr>
                <w:r>
                  <w:rPr>
                    <w:w w:val="105"/>
                    <w:sz w:val="14"/>
                  </w:rPr>
                  <w:t>2021-22</w:t>
                </w:r>
                <w:r>
                  <w:rPr>
                    <w:spacing w:val="-21"/>
                    <w:w w:val="105"/>
                    <w:sz w:val="14"/>
                  </w:rPr>
                  <w:t> </w:t>
                </w:r>
                <w:r>
                  <w:rPr>
                    <w:w w:val="105"/>
                    <w:sz w:val="14"/>
                  </w:rPr>
                  <w:t>Budget</w:t>
                </w:r>
              </w:p>
            </w:txbxContent>
          </v:textbox>
          <w10:wrap type="none"/>
        </v:shape>
      </w:pict>
    </w:r>
    <w:r>
      <w:rPr/>
      <w:pict>
        <v:shape style="position:absolute;margin-left:11.960001pt;margin-top:17.334373pt;width:94.5pt;height:10.050pt;mso-position-horizontal-relative:page;mso-position-vertical-relative:page;z-index:-314529792" type="#_x0000_t202" filled="false" stroked="false">
          <v:textbox inset="0,0,0,0">
            <w:txbxContent>
              <w:p>
                <w:pPr>
                  <w:spacing w:before="18"/>
                  <w:ind w:left="20" w:right="0" w:firstLine="0"/>
                  <w:jc w:val="left"/>
                  <w:rPr>
                    <w:sz w:val="14"/>
                  </w:rPr>
                </w:pPr>
                <w:r>
                  <w:rPr>
                    <w:sz w:val="14"/>
                  </w:rPr>
                  <w:t>Winship-Robbins Elementary</w:t>
                </w:r>
              </w:p>
            </w:txbxContent>
          </v:textbox>
          <w10:wrap type="none"/>
        </v:shape>
      </w:pict>
    </w:r>
    <w:r>
      <w:rPr/>
      <w:pict>
        <v:shape style="position:absolute;margin-left:538.519958pt;margin-top:17.334373pt;width:61.55pt;height:10.050pt;mso-position-horizontal-relative:page;mso-position-vertical-relative:page;z-index:-314528768" type="#_x0000_t202" filled="false" stroked="false">
          <v:textbox inset="0,0,0,0">
            <w:txbxContent>
              <w:p>
                <w:pPr>
                  <w:spacing w:before="18"/>
                  <w:ind w:left="20" w:right="0" w:firstLine="0"/>
                  <w:jc w:val="left"/>
                  <w:rPr>
                    <w:sz w:val="14"/>
                  </w:rPr>
                </w:pPr>
                <w:r>
                  <w:rPr>
                    <w:w w:val="105"/>
                    <w:sz w:val="14"/>
                  </w:rPr>
                  <w:t>51 71456</w:t>
                </w:r>
                <w:r>
                  <w:rPr>
                    <w:spacing w:val="-31"/>
                    <w:w w:val="105"/>
                    <w:sz w:val="14"/>
                  </w:rPr>
                  <w:t> </w:t>
                </w:r>
                <w:r>
                  <w:rPr>
                    <w:w w:val="105"/>
                    <w:sz w:val="14"/>
                  </w:rPr>
                  <w:t>0000000</w:t>
                </w:r>
              </w:p>
            </w:txbxContent>
          </v:textbox>
          <w10:wrap type="none"/>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1.680008pt;margin-top:46.222664pt;width:268.4pt;height:33.35pt;mso-position-horizontal-relative:page;mso-position-vertical-relative:page;z-index:-314521600" type="#_x0000_t202" filled="false" stroked="false">
          <v:textbox inset="0,0,0,0">
            <w:txbxContent>
              <w:p>
                <w:pPr>
                  <w:spacing w:before="20"/>
                  <w:ind w:left="7" w:right="7" w:firstLine="0"/>
                  <w:jc w:val="center"/>
                  <w:rPr>
                    <w:sz w:val="18"/>
                  </w:rPr>
                </w:pPr>
                <w:r>
                  <w:rPr>
                    <w:w w:val="105"/>
                    <w:sz w:val="18"/>
                  </w:rPr>
                  <w:t>July 1 Budget</w:t>
                </w:r>
              </w:p>
              <w:p>
                <w:pPr>
                  <w:spacing w:before="2"/>
                  <w:ind w:left="7" w:right="6" w:firstLine="0"/>
                  <w:jc w:val="center"/>
                  <w:rPr>
                    <w:sz w:val="18"/>
                  </w:rPr>
                </w:pPr>
                <w:r>
                  <w:rPr>
                    <w:w w:val="105"/>
                    <w:sz w:val="18"/>
                  </w:rPr>
                  <w:t>2020-21 Estimated Actuals</w:t>
                </w:r>
              </w:p>
              <w:p>
                <w:pPr>
                  <w:spacing w:before="2"/>
                  <w:ind w:left="7" w:right="7" w:firstLine="0"/>
                  <w:jc w:val="center"/>
                  <w:rPr>
                    <w:sz w:val="18"/>
                  </w:rPr>
                </w:pPr>
                <w:r>
                  <w:rPr>
                    <w:w w:val="105"/>
                    <w:sz w:val="18"/>
                  </w:rPr>
                  <w:t>Every</w:t>
                </w:r>
                <w:r>
                  <w:rPr>
                    <w:spacing w:val="-17"/>
                    <w:w w:val="105"/>
                    <w:sz w:val="18"/>
                  </w:rPr>
                  <w:t> </w:t>
                </w:r>
                <w:r>
                  <w:rPr>
                    <w:w w:val="105"/>
                    <w:sz w:val="18"/>
                  </w:rPr>
                  <w:t>Student</w:t>
                </w:r>
                <w:r>
                  <w:rPr>
                    <w:spacing w:val="-11"/>
                    <w:w w:val="105"/>
                    <w:sz w:val="18"/>
                  </w:rPr>
                  <w:t> </w:t>
                </w:r>
                <w:r>
                  <w:rPr>
                    <w:w w:val="105"/>
                    <w:sz w:val="18"/>
                  </w:rPr>
                  <w:t>Succeeds</w:t>
                </w:r>
                <w:r>
                  <w:rPr>
                    <w:spacing w:val="-13"/>
                    <w:w w:val="105"/>
                    <w:sz w:val="18"/>
                  </w:rPr>
                  <w:t> </w:t>
                </w:r>
                <w:r>
                  <w:rPr>
                    <w:w w:val="105"/>
                    <w:sz w:val="18"/>
                  </w:rPr>
                  <w:t>Act</w:t>
                </w:r>
                <w:r>
                  <w:rPr>
                    <w:spacing w:val="-11"/>
                    <w:w w:val="105"/>
                    <w:sz w:val="18"/>
                  </w:rPr>
                  <w:t> </w:t>
                </w:r>
                <w:r>
                  <w:rPr>
                    <w:w w:val="105"/>
                    <w:sz w:val="18"/>
                  </w:rPr>
                  <w:t>Maintenance</w:t>
                </w:r>
                <w:r>
                  <w:rPr>
                    <w:spacing w:val="-12"/>
                    <w:w w:val="105"/>
                    <w:sz w:val="18"/>
                  </w:rPr>
                  <w:t> </w:t>
                </w:r>
                <w:r>
                  <w:rPr>
                    <w:w w:val="105"/>
                    <w:sz w:val="18"/>
                  </w:rPr>
                  <w:t>of</w:t>
                </w:r>
                <w:r>
                  <w:rPr>
                    <w:spacing w:val="-10"/>
                    <w:w w:val="105"/>
                    <w:sz w:val="18"/>
                  </w:rPr>
                  <w:t> </w:t>
                </w:r>
                <w:r>
                  <w:rPr>
                    <w:w w:val="105"/>
                    <w:sz w:val="18"/>
                  </w:rPr>
                  <w:t>Effort</w:t>
                </w:r>
                <w:r>
                  <w:rPr>
                    <w:spacing w:val="-13"/>
                    <w:w w:val="105"/>
                    <w:sz w:val="18"/>
                  </w:rPr>
                  <w:t> </w:t>
                </w:r>
                <w:r>
                  <w:rPr>
                    <w:w w:val="105"/>
                    <w:sz w:val="18"/>
                  </w:rPr>
                  <w:t>Expenditures</w:t>
                </w:r>
              </w:p>
            </w:txbxContent>
          </v:textbox>
          <w10:wrap type="none"/>
        </v:shape>
      </w:pict>
    </w:r>
    <w:r>
      <w:rPr/>
      <w:pict>
        <v:shape style="position:absolute;margin-left:32.840pt;margin-top:56.662666pt;width:122.4pt;height:22.9pt;mso-position-horizontal-relative:page;mso-position-vertical-relative:page;z-index:-314520576" type="#_x0000_t202" filled="false" stroked="false">
          <v:textbox inset="0,0,0,0">
            <w:txbxContent>
              <w:p>
                <w:pPr>
                  <w:spacing w:before="20"/>
                  <w:ind w:left="20" w:right="4" w:firstLine="0"/>
                  <w:jc w:val="left"/>
                  <w:rPr>
                    <w:sz w:val="18"/>
                  </w:rPr>
                </w:pPr>
                <w:r>
                  <w:rPr>
                    <w:w w:val="105"/>
                    <w:sz w:val="18"/>
                  </w:rPr>
                  <w:t>Winship-Robbins</w:t>
                </w:r>
                <w:r>
                  <w:rPr>
                    <w:spacing w:val="-33"/>
                    <w:w w:val="105"/>
                    <w:sz w:val="18"/>
                  </w:rPr>
                  <w:t> </w:t>
                </w:r>
                <w:r>
                  <w:rPr>
                    <w:w w:val="105"/>
                    <w:sz w:val="18"/>
                  </w:rPr>
                  <w:t>Elementary Sutter</w:t>
                </w:r>
                <w:r>
                  <w:rPr>
                    <w:spacing w:val="-1"/>
                    <w:w w:val="105"/>
                    <w:sz w:val="18"/>
                  </w:rPr>
                  <w:t> </w:t>
                </w:r>
                <w:r>
                  <w:rPr>
                    <w:w w:val="105"/>
                    <w:sz w:val="18"/>
                  </w:rPr>
                  <w:t>County</w:t>
                </w:r>
              </w:p>
            </w:txbxContent>
          </v:textbox>
          <w10:wrap type="none"/>
        </v:shape>
      </w:pict>
    </w:r>
    <w:r>
      <w:rPr/>
      <w:pict>
        <v:shape style="position:absolute;margin-left:499.640015pt;margin-top:56.662666pt;width:79.55pt;height:22.9pt;mso-position-horizontal-relative:page;mso-position-vertical-relative:page;z-index:-314519552" type="#_x0000_t202" filled="false" stroked="false">
          <v:textbox inset="0,0,0,0">
            <w:txbxContent>
              <w:p>
                <w:pPr>
                  <w:spacing w:before="20"/>
                  <w:ind w:left="20" w:right="0" w:firstLine="0"/>
                  <w:jc w:val="left"/>
                  <w:rPr>
                    <w:sz w:val="18"/>
                  </w:rPr>
                </w:pPr>
                <w:r>
                  <w:rPr>
                    <w:w w:val="105"/>
                    <w:sz w:val="18"/>
                  </w:rPr>
                  <w:t>51 71456</w:t>
                </w:r>
                <w:r>
                  <w:rPr>
                    <w:spacing w:val="-33"/>
                    <w:w w:val="105"/>
                    <w:sz w:val="18"/>
                  </w:rPr>
                  <w:t> </w:t>
                </w:r>
                <w:r>
                  <w:rPr>
                    <w:w w:val="105"/>
                    <w:sz w:val="18"/>
                  </w:rPr>
                  <w:t>0000000</w:t>
                </w:r>
              </w:p>
              <w:p>
                <w:pPr>
                  <w:spacing w:before="2"/>
                  <w:ind w:left="403" w:right="0" w:firstLine="0"/>
                  <w:jc w:val="left"/>
                  <w:rPr>
                    <w:sz w:val="18"/>
                  </w:rPr>
                </w:pPr>
                <w:r>
                  <w:rPr>
                    <w:w w:val="105"/>
                    <w:sz w:val="18"/>
                  </w:rPr>
                  <w:t>Form</w:t>
                </w:r>
                <w:r>
                  <w:rPr>
                    <w:spacing w:val="-15"/>
                    <w:w w:val="105"/>
                    <w:sz w:val="18"/>
                  </w:rPr>
                  <w:t> </w:t>
                </w:r>
                <w:r>
                  <w:rPr>
                    <w:w w:val="105"/>
                    <w:sz w:val="18"/>
                  </w:rPr>
                  <w:t>ESMOE</w:t>
                </w:r>
              </w:p>
            </w:txbxContent>
          </v:textbox>
          <w10:wrap type="none"/>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8.160004pt;margin-top:19.076513pt;width:135.450pt;height:24.5pt;mso-position-horizontal-relative:page;mso-position-vertical-relative:page;z-index:-314515456" type="#_x0000_t202" filled="false" stroked="false">
          <v:textbox inset="0,0,0,0">
            <w:txbxContent>
              <w:p>
                <w:pPr>
                  <w:pStyle w:val="BodyText"/>
                  <w:spacing w:before="17"/>
                  <w:ind w:left="691" w:right="687"/>
                  <w:jc w:val="center"/>
                </w:pPr>
                <w:r>
                  <w:rPr/>
                  <w:t>2021-22 July 1 Budget General Fund</w:t>
                </w:r>
              </w:p>
              <w:p>
                <w:pPr>
                  <w:pStyle w:val="BodyText"/>
                  <w:spacing w:before="3"/>
                  <w:ind w:left="19" w:right="19"/>
                  <w:jc w:val="center"/>
                </w:pPr>
                <w:r>
                  <w:rPr/>
                  <w:t>School District Criteria and Standards Review</w:t>
                </w:r>
              </w:p>
            </w:txbxContent>
          </v:textbox>
          <w10:wrap type="none"/>
        </v:shape>
      </w:pict>
    </w:r>
    <w:r>
      <w:rPr/>
      <w:pict>
        <v:shape style="position:absolute;margin-left:15.56pt;margin-top:26.636513pt;width:87.5pt;height:16.95pt;mso-position-horizontal-relative:page;mso-position-vertical-relative:page;z-index:-314514432" type="#_x0000_t202" filled="false" stroked="false">
          <v:textbox inset="0,0,0,0">
            <w:txbxContent>
              <w:p>
                <w:pPr>
                  <w:pStyle w:val="BodyText"/>
                  <w:spacing w:before="17"/>
                  <w:ind w:left="20"/>
                </w:pPr>
                <w:r>
                  <w:rPr/>
                  <w:t>Winship-Robbins Elementary Sutter County</w:t>
                </w:r>
              </w:p>
            </w:txbxContent>
          </v:textbox>
          <w10:wrap type="none"/>
        </v:shape>
      </w:pict>
    </w:r>
    <w:r>
      <w:rPr/>
      <w:pict>
        <v:shape style="position:absolute;margin-left:538.640015pt;margin-top:26.636513pt;width:57.65pt;height:16.95pt;mso-position-horizontal-relative:page;mso-position-vertical-relative:page;z-index:-314513408" type="#_x0000_t202" filled="false" stroked="false">
          <v:textbox inset="0,0,0,0">
            <w:txbxContent>
              <w:p>
                <w:pPr>
                  <w:pStyle w:val="BodyText"/>
                  <w:spacing w:before="17"/>
                  <w:ind w:left="20"/>
                </w:pPr>
                <w:r>
                  <w:rPr/>
                  <w:t>51  71456</w:t>
                </w:r>
                <w:r>
                  <w:rPr>
                    <w:spacing w:val="-15"/>
                  </w:rPr>
                  <w:t> </w:t>
                </w:r>
                <w:r>
                  <w:rPr/>
                  <w:t>0000000</w:t>
                </w:r>
              </w:p>
              <w:p>
                <w:pPr>
                  <w:pStyle w:val="BodyText"/>
                  <w:spacing w:before="2"/>
                  <w:ind w:left="451"/>
                </w:pPr>
                <w:r>
                  <w:rPr/>
                  <w:t>Form</w:t>
                </w:r>
                <w:r>
                  <w:rPr>
                    <w:spacing w:val="14"/>
                  </w:rPr>
                  <w:t> </w:t>
                </w:r>
                <w:r>
                  <w:rPr/>
                  <w:t>01CS</w:t>
                </w:r>
              </w:p>
            </w:txbxContent>
          </v:textbox>
          <w10:wrap type="none"/>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8.160004pt;margin-top:19.076513pt;width:135.450pt;height:24.5pt;mso-position-horizontal-relative:page;mso-position-vertical-relative:page;z-index:-314509312" type="#_x0000_t202" filled="false" stroked="false">
          <v:textbox inset="0,0,0,0">
            <w:txbxContent>
              <w:p>
                <w:pPr>
                  <w:pStyle w:val="BodyText"/>
                  <w:spacing w:before="17"/>
                  <w:ind w:left="691" w:right="687"/>
                  <w:jc w:val="center"/>
                </w:pPr>
                <w:r>
                  <w:rPr/>
                  <w:t>2021-22 July 1 Budget General Fund</w:t>
                </w:r>
              </w:p>
              <w:p>
                <w:pPr>
                  <w:pStyle w:val="BodyText"/>
                  <w:spacing w:before="3"/>
                  <w:ind w:left="19" w:right="19"/>
                  <w:jc w:val="center"/>
                </w:pPr>
                <w:r>
                  <w:rPr/>
                  <w:t>School District Criteria and Standards Review</w:t>
                </w:r>
              </w:p>
            </w:txbxContent>
          </v:textbox>
          <w10:wrap type="none"/>
        </v:shape>
      </w:pict>
    </w:r>
    <w:r>
      <w:rPr/>
      <w:pict>
        <v:shape style="position:absolute;margin-left:15.56pt;margin-top:26.636513pt;width:87.5pt;height:16.95pt;mso-position-horizontal-relative:page;mso-position-vertical-relative:page;z-index:-314508288" type="#_x0000_t202" filled="false" stroked="false">
          <v:textbox inset="0,0,0,0">
            <w:txbxContent>
              <w:p>
                <w:pPr>
                  <w:pStyle w:val="BodyText"/>
                  <w:spacing w:before="17"/>
                  <w:ind w:left="20"/>
                </w:pPr>
                <w:r>
                  <w:rPr/>
                  <w:t>Winship-Robbins Elementary Sutter County</w:t>
                </w:r>
              </w:p>
            </w:txbxContent>
          </v:textbox>
          <w10:wrap type="none"/>
        </v:shape>
      </w:pict>
    </w:r>
    <w:r>
      <w:rPr/>
      <w:pict>
        <v:shape style="position:absolute;margin-left:538.640015pt;margin-top:26.636513pt;width:57.65pt;height:16.95pt;mso-position-horizontal-relative:page;mso-position-vertical-relative:page;z-index:-314507264" type="#_x0000_t202" filled="false" stroked="false">
          <v:textbox inset="0,0,0,0">
            <w:txbxContent>
              <w:p>
                <w:pPr>
                  <w:pStyle w:val="BodyText"/>
                  <w:spacing w:before="17"/>
                  <w:ind w:left="20"/>
                </w:pPr>
                <w:r>
                  <w:rPr/>
                  <w:t>51  71456</w:t>
                </w:r>
                <w:r>
                  <w:rPr>
                    <w:spacing w:val="-15"/>
                  </w:rPr>
                  <w:t> </w:t>
                </w:r>
                <w:r>
                  <w:rPr/>
                  <w:t>0000000</w:t>
                </w:r>
              </w:p>
              <w:p>
                <w:pPr>
                  <w:pStyle w:val="BodyText"/>
                  <w:spacing w:before="2"/>
                  <w:ind w:left="451"/>
                </w:pPr>
                <w:r>
                  <w:rPr/>
                  <w:t>Form</w:t>
                </w:r>
                <w:r>
                  <w:rPr>
                    <w:spacing w:val="14"/>
                  </w:rPr>
                  <w:t> </w:t>
                </w:r>
                <w:r>
                  <w:rPr/>
                  <w:t>01CS</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9.200012pt;margin-top:26.701668pt;width:53.35pt;height:11.5pt;mso-position-horizontal-relative:page;mso-position-vertical-relative:page;z-index:-314687488" type="#_x0000_t202" filled="false" stroked="false">
          <v:textbox inset="0,0,0,0">
            <w:txbxContent>
              <w:p>
                <w:pPr>
                  <w:spacing w:before="14"/>
                  <w:ind w:left="20" w:right="0" w:firstLine="0"/>
                  <w:jc w:val="left"/>
                  <w:rPr>
                    <w:sz w:val="17"/>
                  </w:rPr>
                </w:pPr>
                <w:r>
                  <w:rPr>
                    <w:sz w:val="17"/>
                  </w:rPr>
                  <w:t>July 1 Budget</w:t>
                </w:r>
              </w:p>
            </w:txbxContent>
          </v:textbox>
          <w10:wrap type="none"/>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8.160004pt;margin-top:19.076513pt;width:135.450pt;height:24.5pt;mso-position-horizontal-relative:page;mso-position-vertical-relative:page;z-index:-314503168" type="#_x0000_t202" filled="false" stroked="false">
          <v:textbox inset="0,0,0,0">
            <w:txbxContent>
              <w:p>
                <w:pPr>
                  <w:pStyle w:val="BodyText"/>
                  <w:spacing w:before="17"/>
                  <w:ind w:left="691" w:right="687"/>
                  <w:jc w:val="center"/>
                </w:pPr>
                <w:r>
                  <w:rPr/>
                  <w:t>2021-22 July 1 Budget General Fund</w:t>
                </w:r>
              </w:p>
              <w:p>
                <w:pPr>
                  <w:pStyle w:val="BodyText"/>
                  <w:spacing w:before="3"/>
                  <w:ind w:left="19" w:right="19"/>
                  <w:jc w:val="center"/>
                </w:pPr>
                <w:r>
                  <w:rPr/>
                  <w:t>School District Criteria and Standards Review</w:t>
                </w:r>
              </w:p>
            </w:txbxContent>
          </v:textbox>
          <w10:wrap type="none"/>
        </v:shape>
      </w:pict>
    </w:r>
    <w:r>
      <w:rPr/>
      <w:pict>
        <v:shape style="position:absolute;margin-left:15.56pt;margin-top:26.636513pt;width:87.5pt;height:16.95pt;mso-position-horizontal-relative:page;mso-position-vertical-relative:page;z-index:-314502144" type="#_x0000_t202" filled="false" stroked="false">
          <v:textbox inset="0,0,0,0">
            <w:txbxContent>
              <w:p>
                <w:pPr>
                  <w:pStyle w:val="BodyText"/>
                  <w:spacing w:before="17"/>
                  <w:ind w:left="20"/>
                </w:pPr>
                <w:r>
                  <w:rPr/>
                  <w:t>Winship-Robbins Elementary Sutter County</w:t>
                </w:r>
              </w:p>
            </w:txbxContent>
          </v:textbox>
          <w10:wrap type="none"/>
        </v:shape>
      </w:pict>
    </w:r>
    <w:r>
      <w:rPr/>
      <w:pict>
        <v:shape style="position:absolute;margin-left:538.640015pt;margin-top:26.636513pt;width:57.65pt;height:16.95pt;mso-position-horizontal-relative:page;mso-position-vertical-relative:page;z-index:-314501120" type="#_x0000_t202" filled="false" stroked="false">
          <v:textbox inset="0,0,0,0">
            <w:txbxContent>
              <w:p>
                <w:pPr>
                  <w:pStyle w:val="BodyText"/>
                  <w:spacing w:before="17"/>
                  <w:ind w:left="20"/>
                </w:pPr>
                <w:r>
                  <w:rPr/>
                  <w:t>51  71456</w:t>
                </w:r>
                <w:r>
                  <w:rPr>
                    <w:spacing w:val="-15"/>
                  </w:rPr>
                  <w:t> </w:t>
                </w:r>
                <w:r>
                  <w:rPr/>
                  <w:t>0000000</w:t>
                </w:r>
              </w:p>
              <w:p>
                <w:pPr>
                  <w:pStyle w:val="BodyText"/>
                  <w:spacing w:before="2"/>
                  <w:ind w:left="451"/>
                </w:pPr>
                <w:r>
                  <w:rPr/>
                  <w:t>Form</w:t>
                </w:r>
                <w:r>
                  <w:rPr>
                    <w:spacing w:val="14"/>
                  </w:rPr>
                  <w:t> </w:t>
                </w:r>
                <w:r>
                  <w:rPr/>
                  <w:t>01CS</w:t>
                </w:r>
              </w:p>
            </w:txbxContent>
          </v:textbox>
          <w10:wrap type="none"/>
        </v:shape>
      </w:pic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8.160004pt;margin-top:19.076513pt;width:135.450pt;height:24.5pt;mso-position-horizontal-relative:page;mso-position-vertical-relative:page;z-index:-314497024" type="#_x0000_t202" filled="false" stroked="false">
          <v:textbox inset="0,0,0,0">
            <w:txbxContent>
              <w:p>
                <w:pPr>
                  <w:pStyle w:val="BodyText"/>
                  <w:spacing w:before="17"/>
                  <w:ind w:left="691" w:right="687"/>
                  <w:jc w:val="center"/>
                </w:pPr>
                <w:r>
                  <w:rPr/>
                  <w:t>2021-22 July 1 Budget General Fund</w:t>
                </w:r>
              </w:p>
              <w:p>
                <w:pPr>
                  <w:pStyle w:val="BodyText"/>
                  <w:spacing w:before="3"/>
                  <w:ind w:left="19" w:right="19"/>
                  <w:jc w:val="center"/>
                </w:pPr>
                <w:r>
                  <w:rPr/>
                  <w:t>School District Criteria and Standards Review</w:t>
                </w:r>
              </w:p>
            </w:txbxContent>
          </v:textbox>
          <w10:wrap type="none"/>
        </v:shape>
      </w:pict>
    </w:r>
    <w:r>
      <w:rPr/>
      <w:pict>
        <v:shape style="position:absolute;margin-left:15.56pt;margin-top:26.636513pt;width:87.5pt;height:16.95pt;mso-position-horizontal-relative:page;mso-position-vertical-relative:page;z-index:-314496000" type="#_x0000_t202" filled="false" stroked="false">
          <v:textbox inset="0,0,0,0">
            <w:txbxContent>
              <w:p>
                <w:pPr>
                  <w:pStyle w:val="BodyText"/>
                  <w:spacing w:before="17"/>
                  <w:ind w:left="20"/>
                </w:pPr>
                <w:r>
                  <w:rPr/>
                  <w:t>Winship-Robbins Elementary Sutter County</w:t>
                </w:r>
              </w:p>
            </w:txbxContent>
          </v:textbox>
          <w10:wrap type="none"/>
        </v:shape>
      </w:pict>
    </w:r>
    <w:r>
      <w:rPr/>
      <w:pict>
        <v:shape style="position:absolute;margin-left:538.640015pt;margin-top:26.636513pt;width:57.65pt;height:16.95pt;mso-position-horizontal-relative:page;mso-position-vertical-relative:page;z-index:-314494976" type="#_x0000_t202" filled="false" stroked="false">
          <v:textbox inset="0,0,0,0">
            <w:txbxContent>
              <w:p>
                <w:pPr>
                  <w:pStyle w:val="BodyText"/>
                  <w:spacing w:before="17"/>
                  <w:ind w:left="20"/>
                </w:pPr>
                <w:r>
                  <w:rPr/>
                  <w:t>51  71456</w:t>
                </w:r>
                <w:r>
                  <w:rPr>
                    <w:spacing w:val="-15"/>
                  </w:rPr>
                  <w:t> </w:t>
                </w:r>
                <w:r>
                  <w:rPr/>
                  <w:t>0000000</w:t>
                </w:r>
              </w:p>
              <w:p>
                <w:pPr>
                  <w:pStyle w:val="BodyText"/>
                  <w:spacing w:before="2"/>
                  <w:ind w:left="451"/>
                </w:pPr>
                <w:r>
                  <w:rPr/>
                  <w:t>Form</w:t>
                </w:r>
                <w:r>
                  <w:rPr>
                    <w:spacing w:val="14"/>
                  </w:rPr>
                  <w:t> </w:t>
                </w:r>
                <w:r>
                  <w:rPr/>
                  <w:t>01CS</w:t>
                </w:r>
              </w:p>
            </w:txbxContent>
          </v:textbox>
          <w10:wrap type="none"/>
        </v:shape>
      </w:pic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8.160004pt;margin-top:19.076513pt;width:135.450pt;height:24.5pt;mso-position-horizontal-relative:page;mso-position-vertical-relative:page;z-index:-314490880" type="#_x0000_t202" filled="false" stroked="false">
          <v:textbox inset="0,0,0,0">
            <w:txbxContent>
              <w:p>
                <w:pPr>
                  <w:pStyle w:val="BodyText"/>
                  <w:spacing w:before="17"/>
                  <w:ind w:left="691" w:right="687"/>
                  <w:jc w:val="center"/>
                </w:pPr>
                <w:r>
                  <w:rPr/>
                  <w:t>2021-22 July 1 Budget General Fund</w:t>
                </w:r>
              </w:p>
              <w:p>
                <w:pPr>
                  <w:pStyle w:val="BodyText"/>
                  <w:spacing w:before="3"/>
                  <w:ind w:left="19" w:right="19"/>
                  <w:jc w:val="center"/>
                </w:pPr>
                <w:r>
                  <w:rPr/>
                  <w:t>School District Criteria and Standards Review</w:t>
                </w:r>
              </w:p>
            </w:txbxContent>
          </v:textbox>
          <w10:wrap type="none"/>
        </v:shape>
      </w:pict>
    </w:r>
    <w:r>
      <w:rPr/>
      <w:pict>
        <v:shape style="position:absolute;margin-left:15.56pt;margin-top:26.636513pt;width:87.5pt;height:16.95pt;mso-position-horizontal-relative:page;mso-position-vertical-relative:page;z-index:-314489856" type="#_x0000_t202" filled="false" stroked="false">
          <v:textbox inset="0,0,0,0">
            <w:txbxContent>
              <w:p>
                <w:pPr>
                  <w:pStyle w:val="BodyText"/>
                  <w:spacing w:before="17"/>
                  <w:ind w:left="20"/>
                </w:pPr>
                <w:r>
                  <w:rPr/>
                  <w:t>Winship-Robbins Elementary Sutter County</w:t>
                </w:r>
              </w:p>
            </w:txbxContent>
          </v:textbox>
          <w10:wrap type="none"/>
        </v:shape>
      </w:pict>
    </w:r>
    <w:r>
      <w:rPr/>
      <w:pict>
        <v:shape style="position:absolute;margin-left:538.640015pt;margin-top:26.636513pt;width:57.65pt;height:16.95pt;mso-position-horizontal-relative:page;mso-position-vertical-relative:page;z-index:-314488832" type="#_x0000_t202" filled="false" stroked="false">
          <v:textbox inset="0,0,0,0">
            <w:txbxContent>
              <w:p>
                <w:pPr>
                  <w:pStyle w:val="BodyText"/>
                  <w:spacing w:before="17"/>
                  <w:ind w:left="20"/>
                </w:pPr>
                <w:r>
                  <w:rPr/>
                  <w:t>51  71456</w:t>
                </w:r>
                <w:r>
                  <w:rPr>
                    <w:spacing w:val="-15"/>
                  </w:rPr>
                  <w:t> </w:t>
                </w:r>
                <w:r>
                  <w:rPr/>
                  <w:t>0000000</w:t>
                </w:r>
              </w:p>
              <w:p>
                <w:pPr>
                  <w:pStyle w:val="BodyText"/>
                  <w:spacing w:before="2"/>
                  <w:ind w:left="451"/>
                </w:pPr>
                <w:r>
                  <w:rPr/>
                  <w:t>Form</w:t>
                </w:r>
                <w:r>
                  <w:rPr>
                    <w:spacing w:val="14"/>
                  </w:rPr>
                  <w:t> </w:t>
                </w:r>
                <w:r>
                  <w:rPr/>
                  <w:t>01CS</w:t>
                </w:r>
              </w:p>
            </w:txbxContent>
          </v:textbox>
          <w10:wrap type="none"/>
        </v:shape>
      </w:pic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55.080002pt;margin-top:26.040785pt;width:101.55pt;height:26.05pt;mso-position-horizontal-relative:page;mso-position-vertical-relative:page;z-index:-314484736" type="#_x0000_t202" filled="false" stroked="false">
          <v:textbox inset="0,0,0,0">
            <w:txbxContent>
              <w:p>
                <w:pPr>
                  <w:spacing w:before="23"/>
                  <w:ind w:left="689" w:right="0" w:firstLine="0"/>
                  <w:jc w:val="left"/>
                  <w:rPr>
                    <w:sz w:val="10"/>
                  </w:rPr>
                </w:pPr>
                <w:r>
                  <w:rPr>
                    <w:w w:val="110"/>
                    <w:sz w:val="10"/>
                  </w:rPr>
                  <w:t>July 1 Budget</w:t>
                </w:r>
              </w:p>
              <w:p>
                <w:pPr>
                  <w:spacing w:line="249" w:lineRule="auto" w:before="5"/>
                  <w:ind w:left="20" w:right="3" w:firstLine="345"/>
                  <w:jc w:val="left"/>
                  <w:rPr>
                    <w:sz w:val="10"/>
                  </w:rPr>
                </w:pPr>
                <w:r>
                  <w:rPr>
                    <w:w w:val="110"/>
                    <w:sz w:val="10"/>
                  </w:rPr>
                  <w:t>2020-21 Estimated Actuals SUMMARY</w:t>
                </w:r>
                <w:r>
                  <w:rPr>
                    <w:spacing w:val="-18"/>
                    <w:w w:val="110"/>
                    <w:sz w:val="10"/>
                  </w:rPr>
                  <w:t> </w:t>
                </w:r>
                <w:r>
                  <w:rPr>
                    <w:w w:val="110"/>
                    <w:sz w:val="10"/>
                  </w:rPr>
                  <w:t>OF</w:t>
                </w:r>
                <w:r>
                  <w:rPr>
                    <w:spacing w:val="-18"/>
                    <w:w w:val="110"/>
                    <w:sz w:val="10"/>
                  </w:rPr>
                  <w:t> </w:t>
                </w:r>
                <w:r>
                  <w:rPr>
                    <w:w w:val="110"/>
                    <w:sz w:val="10"/>
                  </w:rPr>
                  <w:t>INTERFUND</w:t>
                </w:r>
                <w:r>
                  <w:rPr>
                    <w:spacing w:val="-18"/>
                    <w:w w:val="110"/>
                    <w:sz w:val="10"/>
                  </w:rPr>
                  <w:t> </w:t>
                </w:r>
                <w:r>
                  <w:rPr>
                    <w:w w:val="110"/>
                    <w:sz w:val="10"/>
                  </w:rPr>
                  <w:t>ACTIVITIES</w:t>
                </w:r>
              </w:p>
              <w:p>
                <w:pPr>
                  <w:spacing w:before="1"/>
                  <w:ind w:left="593" w:right="0" w:firstLine="0"/>
                  <w:jc w:val="left"/>
                  <w:rPr>
                    <w:sz w:val="10"/>
                  </w:rPr>
                </w:pPr>
                <w:r>
                  <w:rPr>
                    <w:w w:val="110"/>
                    <w:sz w:val="10"/>
                  </w:rPr>
                  <w:t>FOR ALL FUNDS</w:t>
                </w:r>
              </w:p>
            </w:txbxContent>
          </v:textbox>
          <w10:wrap type="none"/>
        </v:shape>
      </w:pict>
    </w:r>
    <w:r>
      <w:rPr/>
      <w:pict>
        <v:shape style="position:absolute;margin-left:6.68pt;margin-top:32.040787pt;width:72pt;height:14.05pt;mso-position-horizontal-relative:page;mso-position-vertical-relative:page;z-index:-314483712" type="#_x0000_t202" filled="false" stroked="false">
          <v:textbox inset="0,0,0,0">
            <w:txbxContent>
              <w:p>
                <w:pPr>
                  <w:spacing w:line="249" w:lineRule="auto" w:before="23"/>
                  <w:ind w:left="20" w:right="0" w:firstLine="0"/>
                  <w:jc w:val="left"/>
                  <w:rPr>
                    <w:sz w:val="10"/>
                  </w:rPr>
                </w:pPr>
                <w:r>
                  <w:rPr>
                    <w:w w:val="105"/>
                    <w:sz w:val="10"/>
                  </w:rPr>
                  <w:t>Winship-Robbins Elementary </w:t>
                </w:r>
                <w:r>
                  <w:rPr>
                    <w:w w:val="110"/>
                    <w:sz w:val="10"/>
                  </w:rPr>
                  <w:t>Sutter County</w:t>
                </w:r>
              </w:p>
            </w:txbxContent>
          </v:textbox>
          <w10:wrap type="none"/>
        </v:shape>
      </w:pict>
    </w:r>
    <w:r>
      <w:rPr/>
      <w:pict>
        <v:shape style="position:absolute;margin-left:558.080017pt;margin-top:32.040787pt;width:47.1pt;height:14.05pt;mso-position-horizontal-relative:page;mso-position-vertical-relative:page;z-index:-314482688" type="#_x0000_t202" filled="false" stroked="false">
          <v:textbox inset="0,0,0,0">
            <w:txbxContent>
              <w:p>
                <w:pPr>
                  <w:spacing w:before="23"/>
                  <w:ind w:left="20" w:right="0" w:firstLine="0"/>
                  <w:jc w:val="left"/>
                  <w:rPr>
                    <w:sz w:val="10"/>
                  </w:rPr>
                </w:pPr>
                <w:r>
                  <w:rPr>
                    <w:w w:val="110"/>
                    <w:sz w:val="10"/>
                  </w:rPr>
                  <w:t>51 71456</w:t>
                </w:r>
                <w:r>
                  <w:rPr>
                    <w:spacing w:val="-18"/>
                    <w:w w:val="110"/>
                    <w:sz w:val="10"/>
                  </w:rPr>
                  <w:t> </w:t>
                </w:r>
                <w:r>
                  <w:rPr>
                    <w:w w:val="110"/>
                    <w:sz w:val="10"/>
                  </w:rPr>
                  <w:t>0000000</w:t>
                </w:r>
              </w:p>
              <w:p>
                <w:pPr>
                  <w:spacing w:before="5"/>
                  <w:ind w:left="394" w:right="0" w:firstLine="0"/>
                  <w:jc w:val="left"/>
                  <w:rPr>
                    <w:sz w:val="10"/>
                  </w:rPr>
                </w:pPr>
                <w:r>
                  <w:rPr>
                    <w:w w:val="110"/>
                    <w:sz w:val="10"/>
                  </w:rPr>
                  <w:t>Form</w:t>
                </w:r>
                <w:r>
                  <w:rPr>
                    <w:spacing w:val="-12"/>
                    <w:w w:val="110"/>
                    <w:sz w:val="10"/>
                  </w:rPr>
                  <w:t> </w:t>
                </w:r>
                <w:r>
                  <w:rPr>
                    <w:w w:val="110"/>
                    <w:sz w:val="10"/>
                  </w:rPr>
                  <w:t>SIAA</w:t>
                </w:r>
              </w:p>
            </w:txbxContent>
          </v:textbox>
          <w10:wrap type="none"/>
        </v:shape>
      </w:pic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5.679993pt;margin-top:26.040785pt;width:40.4pt;height:14.05pt;mso-position-horizontal-relative:page;mso-position-vertical-relative:page;z-index:-314478592" type="#_x0000_t202" filled="false" stroked="false">
          <v:textbox inset="0,0,0,0">
            <w:txbxContent>
              <w:p>
                <w:pPr>
                  <w:spacing w:before="23"/>
                  <w:ind w:left="77" w:right="0" w:firstLine="0"/>
                  <w:jc w:val="left"/>
                  <w:rPr>
                    <w:sz w:val="10"/>
                  </w:rPr>
                </w:pPr>
                <w:r>
                  <w:rPr>
                    <w:w w:val="110"/>
                    <w:sz w:val="10"/>
                  </w:rPr>
                  <w:t>July 1 Budget</w:t>
                </w:r>
              </w:p>
              <w:p>
                <w:pPr>
                  <w:spacing w:before="5"/>
                  <w:ind w:left="20" w:right="0" w:firstLine="0"/>
                  <w:jc w:val="left"/>
                  <w:rPr>
                    <w:sz w:val="10"/>
                  </w:rPr>
                </w:pPr>
                <w:r>
                  <w:rPr>
                    <w:w w:val="110"/>
                    <w:sz w:val="10"/>
                  </w:rPr>
                  <w:t>2021-22 Budget</w:t>
                </w:r>
              </w:p>
            </w:txbxContent>
          </v:textbox>
          <w10:wrap type="none"/>
        </v:shape>
      </w:pict>
    </w:r>
    <w:r>
      <w:rPr/>
      <w:pict>
        <v:shape style="position:absolute;margin-left:6.68pt;margin-top:32.040787pt;width:72pt;height:8.0500pt;mso-position-horizontal-relative:page;mso-position-vertical-relative:page;z-index:-314477568" type="#_x0000_t202" filled="false" stroked="false">
          <v:textbox inset="0,0,0,0">
            <w:txbxContent>
              <w:p>
                <w:pPr>
                  <w:spacing w:before="23"/>
                  <w:ind w:left="20" w:right="0" w:firstLine="0"/>
                  <w:jc w:val="left"/>
                  <w:rPr>
                    <w:sz w:val="10"/>
                  </w:rPr>
                </w:pPr>
                <w:r>
                  <w:rPr>
                    <w:w w:val="110"/>
                    <w:sz w:val="10"/>
                  </w:rPr>
                  <w:t>Winship-Robbins Elementary</w:t>
                </w:r>
              </w:p>
            </w:txbxContent>
          </v:textbox>
          <w10:wrap type="none"/>
        </v:shape>
      </w:pict>
    </w:r>
    <w:r>
      <w:rPr/>
      <w:pict>
        <v:shape style="position:absolute;margin-left:558.080017pt;margin-top:32.040787pt;width:47.1pt;height:8.0500pt;mso-position-horizontal-relative:page;mso-position-vertical-relative:page;z-index:-314476544" type="#_x0000_t202" filled="false" stroked="false">
          <v:textbox inset="0,0,0,0">
            <w:txbxContent>
              <w:p>
                <w:pPr>
                  <w:spacing w:before="23"/>
                  <w:ind w:left="20" w:right="0" w:firstLine="0"/>
                  <w:jc w:val="left"/>
                  <w:rPr>
                    <w:sz w:val="10"/>
                  </w:rPr>
                </w:pPr>
                <w:r>
                  <w:rPr>
                    <w:w w:val="110"/>
                    <w:sz w:val="10"/>
                  </w:rPr>
                  <w:t>51 71456 0000000</w:t>
                </w:r>
              </w:p>
            </w:txbxContent>
          </v:textbox>
          <w10:wrap type="none"/>
        </v:shape>
      </w:pict>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31pt;margin-top:-1.041474pt;width:28.05pt;height:11.25pt;mso-position-horizontal-relative:page;mso-position-vertical-relative:page;z-index:-314472448" type="#_x0000_t202" filled="false" stroked="false">
          <v:textbox inset="0,0,0,0">
            <w:txbxContent>
              <w:p>
                <w:pPr>
                  <w:spacing w:before="19"/>
                  <w:ind w:left="20" w:right="0" w:firstLine="0"/>
                  <w:jc w:val="left"/>
                  <w:rPr>
                    <w:sz w:val="16"/>
                  </w:rPr>
                </w:pPr>
                <w:r>
                  <w:rPr>
                    <w:w w:val="105"/>
                    <w:sz w:val="16"/>
                  </w:rPr>
                  <w:t>Page 1</w:t>
                </w:r>
              </w:p>
            </w:txbxContent>
          </v:textbox>
          <w10:wrap type="none"/>
        </v:shape>
      </w:pict>
    </w:r>
    <w:r>
      <w:rPr/>
      <w:pict>
        <v:shape style="position:absolute;margin-left:71pt;margin-top:70.843208pt;width:283.95pt;height:34.6pt;mso-position-horizontal-relative:page;mso-position-vertical-relative:page;z-index:-314471424" type="#_x0000_t202" filled="false" stroked="false">
          <v:textbox inset="0,0,0,0">
            <w:txbxContent>
              <w:p>
                <w:pPr>
                  <w:spacing w:before="23"/>
                  <w:ind w:left="103" w:right="0" w:hanging="84"/>
                  <w:jc w:val="left"/>
                  <w:rPr>
                    <w:rFonts w:ascii="Courier New"/>
                    <w:b/>
                    <w:sz w:val="19"/>
                  </w:rPr>
                </w:pPr>
                <w:r>
                  <w:rPr>
                    <w:rFonts w:ascii="Courier New"/>
                    <w:b/>
                    <w:sz w:val="19"/>
                  </w:rPr>
                  <w:t>SACS2021 Financial Reporting Software - 2021.1.0 6/4/2021 10:14:05 AM</w:t>
                </w:r>
              </w:p>
              <w:p>
                <w:pPr>
                  <w:spacing w:before="2"/>
                  <w:ind w:left="3934" w:right="0" w:firstLine="0"/>
                  <w:jc w:val="left"/>
                  <w:rPr>
                    <w:rFonts w:ascii="Courier New"/>
                    <w:b/>
                    <w:sz w:val="19"/>
                  </w:rPr>
                </w:pPr>
                <w:r>
                  <w:rPr>
                    <w:rFonts w:ascii="Courier New"/>
                    <w:b/>
                    <w:sz w:val="19"/>
                  </w:rPr>
                  <w:t>July 1 Budget</w:t>
                </w:r>
              </w:p>
            </w:txbxContent>
          </v:textbox>
          <w10:wrap type="none"/>
        </v:shape>
      </w:pict>
    </w:r>
    <w:r>
      <w:rPr/>
      <w:pict>
        <v:shape style="position:absolute;margin-left:440.37674pt;margin-top:81.643204pt;width:96.05pt;height:13pt;mso-position-horizontal-relative:page;mso-position-vertical-relative:page;z-index:-314470400" type="#_x0000_t202" filled="false" stroked="false">
          <v:textbox inset="0,0,0,0">
            <w:txbxContent>
              <w:p>
                <w:pPr>
                  <w:spacing w:before="23"/>
                  <w:ind w:left="20" w:right="0" w:firstLine="0"/>
                  <w:jc w:val="left"/>
                  <w:rPr>
                    <w:rFonts w:ascii="Courier New"/>
                    <w:b/>
                    <w:sz w:val="19"/>
                  </w:rPr>
                </w:pPr>
                <w:r>
                  <w:rPr>
                    <w:rFonts w:ascii="Courier New"/>
                    <w:b/>
                    <w:sz w:val="19"/>
                  </w:rPr>
                  <w:t>51-71456-0000000</w:t>
                </w:r>
              </w:p>
            </w:txbxContent>
          </v:textbox>
          <w10:wrap type="none"/>
        </v:shape>
      </w:pic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31pt;margin-top:-1.041474pt;width:28.05pt;height:11.25pt;mso-position-horizontal-relative:page;mso-position-vertical-relative:page;z-index:-314469376" type="#_x0000_t202" filled="false" stroked="false">
          <v:textbox inset="0,0,0,0">
            <w:txbxContent>
              <w:p>
                <w:pPr>
                  <w:spacing w:before="19"/>
                  <w:ind w:left="20" w:right="0" w:firstLine="0"/>
                  <w:jc w:val="left"/>
                  <w:rPr>
                    <w:sz w:val="16"/>
                  </w:rPr>
                </w:pPr>
                <w:r>
                  <w:rPr>
                    <w:w w:val="105"/>
                    <w:sz w:val="16"/>
                  </w:rPr>
                  <w:t>Page 1</w:t>
                </w:r>
              </w:p>
            </w:txbxContent>
          </v:textbox>
          <w10:wrap type="none"/>
        </v:shape>
      </w:pict>
    </w:r>
    <w:r>
      <w:rPr/>
      <w:pict>
        <v:shape style="position:absolute;margin-left:71pt;margin-top:70.76384pt;width:289.55pt;height:35.35pt;mso-position-horizontal-relative:page;mso-position-vertical-relative:page;z-index:-314468352" type="#_x0000_t202" filled="false" stroked="false">
          <v:textbox inset="0,0,0,0">
            <w:txbxContent>
              <w:p>
                <w:pPr>
                  <w:spacing w:line="232" w:lineRule="auto" w:before="24"/>
                  <w:ind w:left="84" w:right="-9" w:hanging="65"/>
                  <w:jc w:val="left"/>
                  <w:rPr>
                    <w:rFonts w:ascii="Courier New"/>
                    <w:b/>
                    <w:sz w:val="20"/>
                  </w:rPr>
                </w:pPr>
                <w:r>
                  <w:rPr>
                    <w:rFonts w:ascii="Courier New"/>
                    <w:b/>
                    <w:sz w:val="20"/>
                  </w:rPr>
                  <w:t>SACS2021 Financial Reporting Software - 2021.1.0 6/4/2021 10:14:25 AM</w:t>
                </w:r>
              </w:p>
              <w:p>
                <w:pPr>
                  <w:spacing w:line="224" w:lineRule="exact" w:before="0"/>
                  <w:ind w:left="3917" w:right="0" w:firstLine="0"/>
                  <w:jc w:val="left"/>
                  <w:rPr>
                    <w:rFonts w:ascii="Courier New"/>
                    <w:b/>
                    <w:sz w:val="20"/>
                  </w:rPr>
                </w:pPr>
                <w:r>
                  <w:rPr>
                    <w:rFonts w:ascii="Courier New"/>
                    <w:b/>
                    <w:sz w:val="20"/>
                  </w:rPr>
                  <w:t>July 1 Budget</w:t>
                </w:r>
              </w:p>
            </w:txbxContent>
          </v:textbox>
          <w10:wrap type="none"/>
        </v:shape>
      </w:pict>
    </w:r>
    <w:r>
      <w:rPr/>
      <w:pict>
        <v:shape style="position:absolute;margin-left:439.390198pt;margin-top:81.803841pt;width:97.85pt;height:13.3pt;mso-position-horizontal-relative:page;mso-position-vertical-relative:page;z-index:-314467328" type="#_x0000_t202" filled="false" stroked="false">
          <v:textbox inset="0,0,0,0">
            <w:txbxContent>
              <w:p>
                <w:pPr>
                  <w:spacing w:before="19"/>
                  <w:ind w:left="20" w:right="0" w:firstLine="0"/>
                  <w:jc w:val="left"/>
                  <w:rPr>
                    <w:rFonts w:ascii="Courier New"/>
                    <w:b/>
                    <w:sz w:val="20"/>
                  </w:rPr>
                </w:pPr>
                <w:r>
                  <w:rPr>
                    <w:rFonts w:ascii="Courier New"/>
                    <w:b/>
                    <w:sz w:val="20"/>
                  </w:rPr>
                  <w:t>51-71456-0000000</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7.519989pt;margin-top:31.559525pt;width:56.9pt;height:12.2pt;mso-position-horizontal-relative:page;mso-position-vertical-relative:page;z-index:-314686464" type="#_x0000_t202" filled="false" stroked="false">
          <v:textbox inset="0,0,0,0">
            <w:txbxContent>
              <w:p>
                <w:pPr>
                  <w:spacing w:before="16"/>
                  <w:ind w:left="20" w:right="0" w:firstLine="0"/>
                  <w:jc w:val="left"/>
                  <w:rPr>
                    <w:sz w:val="18"/>
                  </w:rPr>
                </w:pPr>
                <w:r>
                  <w:rPr>
                    <w:sz w:val="18"/>
                  </w:rPr>
                  <w:t>July 1 Budget</w:t>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6.799988pt;margin-top:32.662663pt;width:58.2pt;height:12.45pt;mso-position-horizontal-relative:page;mso-position-vertical-relative:page;z-index:-314682368" type="#_x0000_t202" filled="false" stroked="false">
          <v:textbox inset="0,0,0,0">
            <w:txbxContent>
              <w:p>
                <w:pPr>
                  <w:spacing w:before="20"/>
                  <w:ind w:left="20" w:right="0" w:firstLine="0"/>
                  <w:jc w:val="left"/>
                  <w:rPr>
                    <w:sz w:val="18"/>
                  </w:rPr>
                </w:pPr>
                <w:r>
                  <w:rPr>
                    <w:w w:val="105"/>
                    <w:sz w:val="18"/>
                  </w:rPr>
                  <w:t>July 1</w:t>
                </w:r>
                <w:r>
                  <w:rPr>
                    <w:spacing w:val="-23"/>
                    <w:w w:val="105"/>
                    <w:sz w:val="18"/>
                  </w:rPr>
                  <w:t> </w:t>
                </w:r>
                <w:r>
                  <w:rPr>
                    <w:w w:val="105"/>
                    <w:sz w:val="18"/>
                  </w:rPr>
                  <w:t>Budget</w:t>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1.959991pt;margin-top:29.2491pt;width:47.85pt;height:10.45pt;mso-position-horizontal-relative:page;mso-position-vertical-relative:page;z-index:-314678272" type="#_x0000_t202" filled="false" stroked="false">
          <v:textbox inset="0,0,0,0">
            <w:txbxContent>
              <w:p>
                <w:pPr>
                  <w:spacing w:before="16"/>
                  <w:ind w:left="20" w:right="0" w:firstLine="0"/>
                  <w:jc w:val="left"/>
                  <w:rPr>
                    <w:sz w:val="15"/>
                  </w:rPr>
                </w:pPr>
                <w:r>
                  <w:rPr>
                    <w:sz w:val="15"/>
                  </w:rPr>
                  <w:t>July 1 Budget</w:t>
                </w:r>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77.519989pt;margin-top:31.559525pt;width:56.9pt;height:12.2pt;mso-position-horizontal-relative:page;mso-position-vertical-relative:page;z-index:-314677248" type="#_x0000_t202" filled="false" stroked="false">
          <v:textbox inset="0,0,0,0">
            <w:txbxContent>
              <w:p>
                <w:pPr>
                  <w:spacing w:before="16"/>
                  <w:ind w:left="20" w:right="0" w:firstLine="0"/>
                  <w:jc w:val="left"/>
                  <w:rPr>
                    <w:sz w:val="18"/>
                  </w:rPr>
                </w:pPr>
                <w:r>
                  <w:rPr>
                    <w:sz w:val="18"/>
                  </w:rPr>
                  <w:t>July 1 Budget</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2"/>
      <w:numFmt w:val="decimal"/>
      <w:lvlText w:val="%1"/>
      <w:lvlJc w:val="left"/>
      <w:pPr>
        <w:ind w:left="1625" w:hanging="665"/>
        <w:jc w:val="left"/>
      </w:pPr>
      <w:rPr>
        <w:rFonts w:hint="default" w:ascii="Arial" w:hAnsi="Arial" w:eastAsia="Arial" w:cs="Arial"/>
        <w:w w:val="103"/>
        <w:sz w:val="18"/>
        <w:szCs w:val="18"/>
      </w:rPr>
    </w:lvl>
    <w:lvl w:ilvl="1">
      <w:start w:val="0"/>
      <w:numFmt w:val="bullet"/>
      <w:lvlText w:val="•"/>
      <w:lvlJc w:val="left"/>
      <w:pPr>
        <w:ind w:left="2524" w:hanging="665"/>
      </w:pPr>
      <w:rPr>
        <w:rFonts w:hint="default"/>
      </w:rPr>
    </w:lvl>
    <w:lvl w:ilvl="2">
      <w:start w:val="0"/>
      <w:numFmt w:val="bullet"/>
      <w:lvlText w:val="•"/>
      <w:lvlJc w:val="left"/>
      <w:pPr>
        <w:ind w:left="3428" w:hanging="665"/>
      </w:pPr>
      <w:rPr>
        <w:rFonts w:hint="default"/>
      </w:rPr>
    </w:lvl>
    <w:lvl w:ilvl="3">
      <w:start w:val="0"/>
      <w:numFmt w:val="bullet"/>
      <w:lvlText w:val="•"/>
      <w:lvlJc w:val="left"/>
      <w:pPr>
        <w:ind w:left="4332" w:hanging="665"/>
      </w:pPr>
      <w:rPr>
        <w:rFonts w:hint="default"/>
      </w:rPr>
    </w:lvl>
    <w:lvl w:ilvl="4">
      <w:start w:val="0"/>
      <w:numFmt w:val="bullet"/>
      <w:lvlText w:val="•"/>
      <w:lvlJc w:val="left"/>
      <w:pPr>
        <w:ind w:left="5236" w:hanging="665"/>
      </w:pPr>
      <w:rPr>
        <w:rFonts w:hint="default"/>
      </w:rPr>
    </w:lvl>
    <w:lvl w:ilvl="5">
      <w:start w:val="0"/>
      <w:numFmt w:val="bullet"/>
      <w:lvlText w:val="•"/>
      <w:lvlJc w:val="left"/>
      <w:pPr>
        <w:ind w:left="6140" w:hanging="665"/>
      </w:pPr>
      <w:rPr>
        <w:rFonts w:hint="default"/>
      </w:rPr>
    </w:lvl>
    <w:lvl w:ilvl="6">
      <w:start w:val="0"/>
      <w:numFmt w:val="bullet"/>
      <w:lvlText w:val="•"/>
      <w:lvlJc w:val="left"/>
      <w:pPr>
        <w:ind w:left="7044" w:hanging="665"/>
      </w:pPr>
      <w:rPr>
        <w:rFonts w:hint="default"/>
      </w:rPr>
    </w:lvl>
    <w:lvl w:ilvl="7">
      <w:start w:val="0"/>
      <w:numFmt w:val="bullet"/>
      <w:lvlText w:val="•"/>
      <w:lvlJc w:val="left"/>
      <w:pPr>
        <w:ind w:left="7948" w:hanging="665"/>
      </w:pPr>
      <w:rPr>
        <w:rFonts w:hint="default"/>
      </w:rPr>
    </w:lvl>
    <w:lvl w:ilvl="8">
      <w:start w:val="0"/>
      <w:numFmt w:val="bullet"/>
      <w:lvlText w:val="•"/>
      <w:lvlJc w:val="left"/>
      <w:pPr>
        <w:ind w:left="8852" w:hanging="665"/>
      </w:pPr>
      <w:rPr>
        <w:rFonts w:hint="default"/>
      </w:rPr>
    </w:lvl>
  </w:abstractNum>
  <w:abstractNum w:abstractNumId="88">
    <w:multiLevelType w:val="hybridMultilevel"/>
    <w:lvl w:ilvl="0">
      <w:start w:val="56"/>
      <w:numFmt w:val="decimal"/>
      <w:lvlText w:val="%1"/>
      <w:lvlJc w:val="left"/>
      <w:pPr>
        <w:ind w:left="586" w:hanging="183"/>
        <w:jc w:val="left"/>
      </w:pPr>
      <w:rPr>
        <w:rFonts w:hint="default" w:ascii="Arial" w:hAnsi="Arial" w:eastAsia="Arial" w:cs="Arial"/>
        <w:w w:val="107"/>
        <w:sz w:val="10"/>
        <w:szCs w:val="10"/>
      </w:rPr>
    </w:lvl>
    <w:lvl w:ilvl="1">
      <w:start w:val="0"/>
      <w:numFmt w:val="bullet"/>
      <w:lvlText w:val="•"/>
      <w:lvlJc w:val="left"/>
      <w:pPr>
        <w:ind w:left="2400" w:hanging="183"/>
      </w:pPr>
      <w:rPr>
        <w:rFonts w:hint="default"/>
      </w:rPr>
    </w:lvl>
    <w:lvl w:ilvl="2">
      <w:start w:val="0"/>
      <w:numFmt w:val="bullet"/>
      <w:lvlText w:val="•"/>
      <w:lvlJc w:val="left"/>
      <w:pPr>
        <w:ind w:left="2481" w:hanging="183"/>
      </w:pPr>
      <w:rPr>
        <w:rFonts w:hint="default"/>
      </w:rPr>
    </w:lvl>
    <w:lvl w:ilvl="3">
      <w:start w:val="0"/>
      <w:numFmt w:val="bullet"/>
      <w:lvlText w:val="•"/>
      <w:lvlJc w:val="left"/>
      <w:pPr>
        <w:ind w:left="2562" w:hanging="183"/>
      </w:pPr>
      <w:rPr>
        <w:rFonts w:hint="default"/>
      </w:rPr>
    </w:lvl>
    <w:lvl w:ilvl="4">
      <w:start w:val="0"/>
      <w:numFmt w:val="bullet"/>
      <w:lvlText w:val="•"/>
      <w:lvlJc w:val="left"/>
      <w:pPr>
        <w:ind w:left="2644" w:hanging="183"/>
      </w:pPr>
      <w:rPr>
        <w:rFonts w:hint="default"/>
      </w:rPr>
    </w:lvl>
    <w:lvl w:ilvl="5">
      <w:start w:val="0"/>
      <w:numFmt w:val="bullet"/>
      <w:lvlText w:val="•"/>
      <w:lvlJc w:val="left"/>
      <w:pPr>
        <w:ind w:left="2725" w:hanging="183"/>
      </w:pPr>
      <w:rPr>
        <w:rFonts w:hint="default"/>
      </w:rPr>
    </w:lvl>
    <w:lvl w:ilvl="6">
      <w:start w:val="0"/>
      <w:numFmt w:val="bullet"/>
      <w:lvlText w:val="•"/>
      <w:lvlJc w:val="left"/>
      <w:pPr>
        <w:ind w:left="2807" w:hanging="183"/>
      </w:pPr>
      <w:rPr>
        <w:rFonts w:hint="default"/>
      </w:rPr>
    </w:lvl>
    <w:lvl w:ilvl="7">
      <w:start w:val="0"/>
      <w:numFmt w:val="bullet"/>
      <w:lvlText w:val="•"/>
      <w:lvlJc w:val="left"/>
      <w:pPr>
        <w:ind w:left="2888" w:hanging="183"/>
      </w:pPr>
      <w:rPr>
        <w:rFonts w:hint="default"/>
      </w:rPr>
    </w:lvl>
    <w:lvl w:ilvl="8">
      <w:start w:val="0"/>
      <w:numFmt w:val="bullet"/>
      <w:lvlText w:val="•"/>
      <w:lvlJc w:val="left"/>
      <w:pPr>
        <w:ind w:left="2970" w:hanging="183"/>
      </w:pPr>
      <w:rPr>
        <w:rFonts w:hint="default"/>
      </w:rPr>
    </w:lvl>
  </w:abstractNum>
  <w:abstractNum w:abstractNumId="87">
    <w:multiLevelType w:val="hybridMultilevel"/>
    <w:lvl w:ilvl="0">
      <w:start w:val="51"/>
      <w:numFmt w:val="decimal"/>
      <w:lvlText w:val="%1"/>
      <w:lvlJc w:val="left"/>
      <w:pPr>
        <w:ind w:left="586" w:hanging="183"/>
        <w:jc w:val="left"/>
      </w:pPr>
      <w:rPr>
        <w:rFonts w:hint="default" w:ascii="Arial" w:hAnsi="Arial" w:eastAsia="Arial" w:cs="Arial"/>
        <w:w w:val="107"/>
        <w:sz w:val="10"/>
        <w:szCs w:val="10"/>
      </w:rPr>
    </w:lvl>
    <w:lvl w:ilvl="1">
      <w:start w:val="0"/>
      <w:numFmt w:val="bullet"/>
      <w:lvlText w:val="•"/>
      <w:lvlJc w:val="left"/>
      <w:pPr>
        <w:ind w:left="835" w:hanging="183"/>
      </w:pPr>
      <w:rPr>
        <w:rFonts w:hint="default"/>
      </w:rPr>
    </w:lvl>
    <w:lvl w:ilvl="2">
      <w:start w:val="0"/>
      <w:numFmt w:val="bullet"/>
      <w:lvlText w:val="•"/>
      <w:lvlJc w:val="left"/>
      <w:pPr>
        <w:ind w:left="1090" w:hanging="183"/>
      </w:pPr>
      <w:rPr>
        <w:rFonts w:hint="default"/>
      </w:rPr>
    </w:lvl>
    <w:lvl w:ilvl="3">
      <w:start w:val="0"/>
      <w:numFmt w:val="bullet"/>
      <w:lvlText w:val="•"/>
      <w:lvlJc w:val="left"/>
      <w:pPr>
        <w:ind w:left="1346" w:hanging="183"/>
      </w:pPr>
      <w:rPr>
        <w:rFonts w:hint="default"/>
      </w:rPr>
    </w:lvl>
    <w:lvl w:ilvl="4">
      <w:start w:val="0"/>
      <w:numFmt w:val="bullet"/>
      <w:lvlText w:val="•"/>
      <w:lvlJc w:val="left"/>
      <w:pPr>
        <w:ind w:left="1601" w:hanging="183"/>
      </w:pPr>
      <w:rPr>
        <w:rFonts w:hint="default"/>
      </w:rPr>
    </w:lvl>
    <w:lvl w:ilvl="5">
      <w:start w:val="0"/>
      <w:numFmt w:val="bullet"/>
      <w:lvlText w:val="•"/>
      <w:lvlJc w:val="left"/>
      <w:pPr>
        <w:ind w:left="1856" w:hanging="183"/>
      </w:pPr>
      <w:rPr>
        <w:rFonts w:hint="default"/>
      </w:rPr>
    </w:lvl>
    <w:lvl w:ilvl="6">
      <w:start w:val="0"/>
      <w:numFmt w:val="bullet"/>
      <w:lvlText w:val="•"/>
      <w:lvlJc w:val="left"/>
      <w:pPr>
        <w:ind w:left="2112" w:hanging="183"/>
      </w:pPr>
      <w:rPr>
        <w:rFonts w:hint="default"/>
      </w:rPr>
    </w:lvl>
    <w:lvl w:ilvl="7">
      <w:start w:val="0"/>
      <w:numFmt w:val="bullet"/>
      <w:lvlText w:val="•"/>
      <w:lvlJc w:val="left"/>
      <w:pPr>
        <w:ind w:left="2367" w:hanging="183"/>
      </w:pPr>
      <w:rPr>
        <w:rFonts w:hint="default"/>
      </w:rPr>
    </w:lvl>
    <w:lvl w:ilvl="8">
      <w:start w:val="0"/>
      <w:numFmt w:val="bullet"/>
      <w:lvlText w:val="•"/>
      <w:lvlJc w:val="left"/>
      <w:pPr>
        <w:ind w:left="2622" w:hanging="183"/>
      </w:pPr>
      <w:rPr>
        <w:rFonts w:hint="default"/>
      </w:rPr>
    </w:lvl>
  </w:abstractNum>
  <w:abstractNum w:abstractNumId="86">
    <w:multiLevelType w:val="hybridMultilevel"/>
    <w:lvl w:ilvl="0">
      <w:start w:val="17"/>
      <w:numFmt w:val="decimal"/>
      <w:lvlText w:val="%1"/>
      <w:lvlJc w:val="left"/>
      <w:pPr>
        <w:ind w:left="511" w:hanging="144"/>
        <w:jc w:val="left"/>
      </w:pPr>
      <w:rPr>
        <w:rFonts w:hint="default"/>
        <w:w w:val="107"/>
      </w:rPr>
    </w:lvl>
    <w:lvl w:ilvl="1">
      <w:start w:val="0"/>
      <w:numFmt w:val="bullet"/>
      <w:lvlText w:val="•"/>
      <w:lvlJc w:val="left"/>
      <w:pPr>
        <w:ind w:left="781" w:hanging="144"/>
      </w:pPr>
      <w:rPr>
        <w:rFonts w:hint="default"/>
      </w:rPr>
    </w:lvl>
    <w:lvl w:ilvl="2">
      <w:start w:val="0"/>
      <w:numFmt w:val="bullet"/>
      <w:lvlText w:val="•"/>
      <w:lvlJc w:val="left"/>
      <w:pPr>
        <w:ind w:left="1042" w:hanging="144"/>
      </w:pPr>
      <w:rPr>
        <w:rFonts w:hint="default"/>
      </w:rPr>
    </w:lvl>
    <w:lvl w:ilvl="3">
      <w:start w:val="0"/>
      <w:numFmt w:val="bullet"/>
      <w:lvlText w:val="•"/>
      <w:lvlJc w:val="left"/>
      <w:pPr>
        <w:ind w:left="1304" w:hanging="144"/>
      </w:pPr>
      <w:rPr>
        <w:rFonts w:hint="default"/>
      </w:rPr>
    </w:lvl>
    <w:lvl w:ilvl="4">
      <w:start w:val="0"/>
      <w:numFmt w:val="bullet"/>
      <w:lvlText w:val="•"/>
      <w:lvlJc w:val="left"/>
      <w:pPr>
        <w:ind w:left="1565" w:hanging="144"/>
      </w:pPr>
      <w:rPr>
        <w:rFonts w:hint="default"/>
      </w:rPr>
    </w:lvl>
    <w:lvl w:ilvl="5">
      <w:start w:val="0"/>
      <w:numFmt w:val="bullet"/>
      <w:lvlText w:val="•"/>
      <w:lvlJc w:val="left"/>
      <w:pPr>
        <w:ind w:left="1826" w:hanging="144"/>
      </w:pPr>
      <w:rPr>
        <w:rFonts w:hint="default"/>
      </w:rPr>
    </w:lvl>
    <w:lvl w:ilvl="6">
      <w:start w:val="0"/>
      <w:numFmt w:val="bullet"/>
      <w:lvlText w:val="•"/>
      <w:lvlJc w:val="left"/>
      <w:pPr>
        <w:ind w:left="2088" w:hanging="144"/>
      </w:pPr>
      <w:rPr>
        <w:rFonts w:hint="default"/>
      </w:rPr>
    </w:lvl>
    <w:lvl w:ilvl="7">
      <w:start w:val="0"/>
      <w:numFmt w:val="bullet"/>
      <w:lvlText w:val="•"/>
      <w:lvlJc w:val="left"/>
      <w:pPr>
        <w:ind w:left="2349" w:hanging="144"/>
      </w:pPr>
      <w:rPr>
        <w:rFonts w:hint="default"/>
      </w:rPr>
    </w:lvl>
    <w:lvl w:ilvl="8">
      <w:start w:val="0"/>
      <w:numFmt w:val="bullet"/>
      <w:lvlText w:val="•"/>
      <w:lvlJc w:val="left"/>
      <w:pPr>
        <w:ind w:left="2610" w:hanging="144"/>
      </w:pPr>
      <w:rPr>
        <w:rFonts w:hint="default"/>
      </w:rPr>
    </w:lvl>
  </w:abstractNum>
  <w:abstractNum w:abstractNumId="85">
    <w:multiLevelType w:val="hybridMultilevel"/>
    <w:lvl w:ilvl="0">
      <w:start w:val="10"/>
      <w:numFmt w:val="decimal"/>
      <w:lvlText w:val="%1"/>
      <w:lvlJc w:val="left"/>
      <w:pPr>
        <w:ind w:left="586" w:hanging="183"/>
        <w:jc w:val="left"/>
      </w:pPr>
      <w:rPr>
        <w:rFonts w:hint="default" w:ascii="Arial" w:hAnsi="Arial" w:eastAsia="Arial" w:cs="Arial"/>
        <w:w w:val="107"/>
        <w:sz w:val="10"/>
        <w:szCs w:val="10"/>
      </w:rPr>
    </w:lvl>
    <w:lvl w:ilvl="1">
      <w:start w:val="0"/>
      <w:numFmt w:val="bullet"/>
      <w:lvlText w:val="•"/>
      <w:lvlJc w:val="left"/>
      <w:pPr>
        <w:ind w:left="835" w:hanging="183"/>
      </w:pPr>
      <w:rPr>
        <w:rFonts w:hint="default"/>
      </w:rPr>
    </w:lvl>
    <w:lvl w:ilvl="2">
      <w:start w:val="0"/>
      <w:numFmt w:val="bullet"/>
      <w:lvlText w:val="•"/>
      <w:lvlJc w:val="left"/>
      <w:pPr>
        <w:ind w:left="1090" w:hanging="183"/>
      </w:pPr>
      <w:rPr>
        <w:rFonts w:hint="default"/>
      </w:rPr>
    </w:lvl>
    <w:lvl w:ilvl="3">
      <w:start w:val="0"/>
      <w:numFmt w:val="bullet"/>
      <w:lvlText w:val="•"/>
      <w:lvlJc w:val="left"/>
      <w:pPr>
        <w:ind w:left="1346" w:hanging="183"/>
      </w:pPr>
      <w:rPr>
        <w:rFonts w:hint="default"/>
      </w:rPr>
    </w:lvl>
    <w:lvl w:ilvl="4">
      <w:start w:val="0"/>
      <w:numFmt w:val="bullet"/>
      <w:lvlText w:val="•"/>
      <w:lvlJc w:val="left"/>
      <w:pPr>
        <w:ind w:left="1601" w:hanging="183"/>
      </w:pPr>
      <w:rPr>
        <w:rFonts w:hint="default"/>
      </w:rPr>
    </w:lvl>
    <w:lvl w:ilvl="5">
      <w:start w:val="0"/>
      <w:numFmt w:val="bullet"/>
      <w:lvlText w:val="•"/>
      <w:lvlJc w:val="left"/>
      <w:pPr>
        <w:ind w:left="1856" w:hanging="183"/>
      </w:pPr>
      <w:rPr>
        <w:rFonts w:hint="default"/>
      </w:rPr>
    </w:lvl>
    <w:lvl w:ilvl="6">
      <w:start w:val="0"/>
      <w:numFmt w:val="bullet"/>
      <w:lvlText w:val="•"/>
      <w:lvlJc w:val="left"/>
      <w:pPr>
        <w:ind w:left="2112" w:hanging="183"/>
      </w:pPr>
      <w:rPr>
        <w:rFonts w:hint="default"/>
      </w:rPr>
    </w:lvl>
    <w:lvl w:ilvl="7">
      <w:start w:val="0"/>
      <w:numFmt w:val="bullet"/>
      <w:lvlText w:val="•"/>
      <w:lvlJc w:val="left"/>
      <w:pPr>
        <w:ind w:left="2367" w:hanging="183"/>
      </w:pPr>
      <w:rPr>
        <w:rFonts w:hint="default"/>
      </w:rPr>
    </w:lvl>
    <w:lvl w:ilvl="8">
      <w:start w:val="0"/>
      <w:numFmt w:val="bullet"/>
      <w:lvlText w:val="•"/>
      <w:lvlJc w:val="left"/>
      <w:pPr>
        <w:ind w:left="2622" w:hanging="183"/>
      </w:pPr>
      <w:rPr>
        <w:rFonts w:hint="default"/>
      </w:rPr>
    </w:lvl>
  </w:abstractNum>
  <w:abstractNum w:abstractNumId="84">
    <w:multiLevelType w:val="hybridMultilevel"/>
    <w:lvl w:ilvl="0">
      <w:start w:val="8"/>
      <w:numFmt w:val="decimalZero"/>
      <w:lvlText w:val="%1"/>
      <w:lvlJc w:val="left"/>
      <w:pPr>
        <w:ind w:left="519" w:hanging="152"/>
        <w:jc w:val="left"/>
      </w:pPr>
      <w:rPr>
        <w:rFonts w:hint="default" w:ascii="Arial" w:hAnsi="Arial" w:eastAsia="Arial" w:cs="Arial"/>
        <w:w w:val="107"/>
        <w:sz w:val="10"/>
        <w:szCs w:val="10"/>
      </w:rPr>
    </w:lvl>
    <w:lvl w:ilvl="1">
      <w:start w:val="0"/>
      <w:numFmt w:val="bullet"/>
      <w:lvlText w:val="•"/>
      <w:lvlJc w:val="left"/>
      <w:pPr>
        <w:ind w:left="781" w:hanging="152"/>
      </w:pPr>
      <w:rPr>
        <w:rFonts w:hint="default"/>
      </w:rPr>
    </w:lvl>
    <w:lvl w:ilvl="2">
      <w:start w:val="0"/>
      <w:numFmt w:val="bullet"/>
      <w:lvlText w:val="•"/>
      <w:lvlJc w:val="left"/>
      <w:pPr>
        <w:ind w:left="1042" w:hanging="152"/>
      </w:pPr>
      <w:rPr>
        <w:rFonts w:hint="default"/>
      </w:rPr>
    </w:lvl>
    <w:lvl w:ilvl="3">
      <w:start w:val="0"/>
      <w:numFmt w:val="bullet"/>
      <w:lvlText w:val="•"/>
      <w:lvlJc w:val="left"/>
      <w:pPr>
        <w:ind w:left="1304" w:hanging="152"/>
      </w:pPr>
      <w:rPr>
        <w:rFonts w:hint="default"/>
      </w:rPr>
    </w:lvl>
    <w:lvl w:ilvl="4">
      <w:start w:val="0"/>
      <w:numFmt w:val="bullet"/>
      <w:lvlText w:val="•"/>
      <w:lvlJc w:val="left"/>
      <w:pPr>
        <w:ind w:left="1565" w:hanging="152"/>
      </w:pPr>
      <w:rPr>
        <w:rFonts w:hint="default"/>
      </w:rPr>
    </w:lvl>
    <w:lvl w:ilvl="5">
      <w:start w:val="0"/>
      <w:numFmt w:val="bullet"/>
      <w:lvlText w:val="•"/>
      <w:lvlJc w:val="left"/>
      <w:pPr>
        <w:ind w:left="1826" w:hanging="152"/>
      </w:pPr>
      <w:rPr>
        <w:rFonts w:hint="default"/>
      </w:rPr>
    </w:lvl>
    <w:lvl w:ilvl="6">
      <w:start w:val="0"/>
      <w:numFmt w:val="bullet"/>
      <w:lvlText w:val="•"/>
      <w:lvlJc w:val="left"/>
      <w:pPr>
        <w:ind w:left="2088" w:hanging="152"/>
      </w:pPr>
      <w:rPr>
        <w:rFonts w:hint="default"/>
      </w:rPr>
    </w:lvl>
    <w:lvl w:ilvl="7">
      <w:start w:val="0"/>
      <w:numFmt w:val="bullet"/>
      <w:lvlText w:val="•"/>
      <w:lvlJc w:val="left"/>
      <w:pPr>
        <w:ind w:left="2349" w:hanging="152"/>
      </w:pPr>
      <w:rPr>
        <w:rFonts w:hint="default"/>
      </w:rPr>
    </w:lvl>
    <w:lvl w:ilvl="8">
      <w:start w:val="0"/>
      <w:numFmt w:val="bullet"/>
      <w:lvlText w:val="•"/>
      <w:lvlJc w:val="left"/>
      <w:pPr>
        <w:ind w:left="2610" w:hanging="152"/>
      </w:pPr>
      <w:rPr>
        <w:rFonts w:hint="default"/>
      </w:rPr>
    </w:lvl>
  </w:abstractNum>
  <w:abstractNum w:abstractNumId="83">
    <w:multiLevelType w:val="hybridMultilevel"/>
    <w:lvl w:ilvl="0">
      <w:start w:val="1"/>
      <w:numFmt w:val="decimal"/>
      <w:lvlText w:val="%1."/>
      <w:lvlJc w:val="left"/>
      <w:pPr>
        <w:ind w:left="532" w:hanging="334"/>
        <w:jc w:val="left"/>
      </w:pPr>
      <w:rPr>
        <w:rFonts w:hint="default" w:ascii="Arial" w:hAnsi="Arial" w:eastAsia="Arial" w:cs="Arial"/>
        <w:w w:val="101"/>
        <w:position w:val="1"/>
        <w:sz w:val="13"/>
        <w:szCs w:val="13"/>
      </w:rPr>
    </w:lvl>
    <w:lvl w:ilvl="1">
      <w:start w:val="0"/>
      <w:numFmt w:val="bullet"/>
      <w:lvlText w:val="•"/>
      <w:lvlJc w:val="left"/>
      <w:pPr>
        <w:ind w:left="997" w:hanging="334"/>
      </w:pPr>
      <w:rPr>
        <w:rFonts w:hint="default"/>
      </w:rPr>
    </w:lvl>
    <w:lvl w:ilvl="2">
      <w:start w:val="0"/>
      <w:numFmt w:val="bullet"/>
      <w:lvlText w:val="•"/>
      <w:lvlJc w:val="left"/>
      <w:pPr>
        <w:ind w:left="1455" w:hanging="334"/>
      </w:pPr>
      <w:rPr>
        <w:rFonts w:hint="default"/>
      </w:rPr>
    </w:lvl>
    <w:lvl w:ilvl="3">
      <w:start w:val="0"/>
      <w:numFmt w:val="bullet"/>
      <w:lvlText w:val="•"/>
      <w:lvlJc w:val="left"/>
      <w:pPr>
        <w:ind w:left="1913" w:hanging="334"/>
      </w:pPr>
      <w:rPr>
        <w:rFonts w:hint="default"/>
      </w:rPr>
    </w:lvl>
    <w:lvl w:ilvl="4">
      <w:start w:val="0"/>
      <w:numFmt w:val="bullet"/>
      <w:lvlText w:val="•"/>
      <w:lvlJc w:val="left"/>
      <w:pPr>
        <w:ind w:left="2371" w:hanging="334"/>
      </w:pPr>
      <w:rPr>
        <w:rFonts w:hint="default"/>
      </w:rPr>
    </w:lvl>
    <w:lvl w:ilvl="5">
      <w:start w:val="0"/>
      <w:numFmt w:val="bullet"/>
      <w:lvlText w:val="•"/>
      <w:lvlJc w:val="left"/>
      <w:pPr>
        <w:ind w:left="2829" w:hanging="334"/>
      </w:pPr>
      <w:rPr>
        <w:rFonts w:hint="default"/>
      </w:rPr>
    </w:lvl>
    <w:lvl w:ilvl="6">
      <w:start w:val="0"/>
      <w:numFmt w:val="bullet"/>
      <w:lvlText w:val="•"/>
      <w:lvlJc w:val="left"/>
      <w:pPr>
        <w:ind w:left="3286" w:hanging="334"/>
      </w:pPr>
      <w:rPr>
        <w:rFonts w:hint="default"/>
      </w:rPr>
    </w:lvl>
    <w:lvl w:ilvl="7">
      <w:start w:val="0"/>
      <w:numFmt w:val="bullet"/>
      <w:lvlText w:val="•"/>
      <w:lvlJc w:val="left"/>
      <w:pPr>
        <w:ind w:left="3744" w:hanging="334"/>
      </w:pPr>
      <w:rPr>
        <w:rFonts w:hint="default"/>
      </w:rPr>
    </w:lvl>
    <w:lvl w:ilvl="8">
      <w:start w:val="0"/>
      <w:numFmt w:val="bullet"/>
      <w:lvlText w:val="•"/>
      <w:lvlJc w:val="left"/>
      <w:pPr>
        <w:ind w:left="4202" w:hanging="334"/>
      </w:pPr>
      <w:rPr>
        <w:rFonts w:hint="default"/>
      </w:rPr>
    </w:lvl>
  </w:abstractNum>
  <w:abstractNum w:abstractNumId="82">
    <w:multiLevelType w:val="hybridMultilevel"/>
    <w:lvl w:ilvl="0">
      <w:start w:val="1"/>
      <w:numFmt w:val="decimal"/>
      <w:lvlText w:val="%1."/>
      <w:lvlJc w:val="left"/>
      <w:pPr>
        <w:ind w:left="821" w:hanging="334"/>
        <w:jc w:val="left"/>
      </w:pPr>
      <w:rPr>
        <w:rFonts w:hint="default" w:ascii="Arial" w:hAnsi="Arial" w:eastAsia="Arial" w:cs="Arial"/>
        <w:w w:val="101"/>
        <w:sz w:val="13"/>
        <w:szCs w:val="13"/>
      </w:rPr>
    </w:lvl>
    <w:lvl w:ilvl="1">
      <w:start w:val="1"/>
      <w:numFmt w:val="decimal"/>
      <w:lvlText w:val="%2."/>
      <w:lvlJc w:val="left"/>
      <w:pPr>
        <w:ind w:left="968" w:hanging="147"/>
        <w:jc w:val="left"/>
      </w:pPr>
      <w:rPr>
        <w:rFonts w:hint="default" w:ascii="Arial" w:hAnsi="Arial" w:eastAsia="Arial" w:cs="Arial"/>
        <w:w w:val="101"/>
        <w:sz w:val="13"/>
        <w:szCs w:val="13"/>
      </w:rPr>
    </w:lvl>
    <w:lvl w:ilvl="2">
      <w:start w:val="0"/>
      <w:numFmt w:val="bullet"/>
      <w:lvlText w:val="•"/>
      <w:lvlJc w:val="left"/>
      <w:pPr>
        <w:ind w:left="2204" w:hanging="147"/>
      </w:pPr>
      <w:rPr>
        <w:rFonts w:hint="default"/>
      </w:rPr>
    </w:lvl>
    <w:lvl w:ilvl="3">
      <w:start w:val="0"/>
      <w:numFmt w:val="bullet"/>
      <w:lvlText w:val="•"/>
      <w:lvlJc w:val="left"/>
      <w:pPr>
        <w:ind w:left="3448" w:hanging="147"/>
      </w:pPr>
      <w:rPr>
        <w:rFonts w:hint="default"/>
      </w:rPr>
    </w:lvl>
    <w:lvl w:ilvl="4">
      <w:start w:val="0"/>
      <w:numFmt w:val="bullet"/>
      <w:lvlText w:val="•"/>
      <w:lvlJc w:val="left"/>
      <w:pPr>
        <w:ind w:left="4693" w:hanging="147"/>
      </w:pPr>
      <w:rPr>
        <w:rFonts w:hint="default"/>
      </w:rPr>
    </w:lvl>
    <w:lvl w:ilvl="5">
      <w:start w:val="0"/>
      <w:numFmt w:val="bullet"/>
      <w:lvlText w:val="•"/>
      <w:lvlJc w:val="left"/>
      <w:pPr>
        <w:ind w:left="5937" w:hanging="147"/>
      </w:pPr>
      <w:rPr>
        <w:rFonts w:hint="default"/>
      </w:rPr>
    </w:lvl>
    <w:lvl w:ilvl="6">
      <w:start w:val="0"/>
      <w:numFmt w:val="bullet"/>
      <w:lvlText w:val="•"/>
      <w:lvlJc w:val="left"/>
      <w:pPr>
        <w:ind w:left="7182" w:hanging="147"/>
      </w:pPr>
      <w:rPr>
        <w:rFonts w:hint="default"/>
      </w:rPr>
    </w:lvl>
    <w:lvl w:ilvl="7">
      <w:start w:val="0"/>
      <w:numFmt w:val="bullet"/>
      <w:lvlText w:val="•"/>
      <w:lvlJc w:val="left"/>
      <w:pPr>
        <w:ind w:left="8426" w:hanging="147"/>
      </w:pPr>
      <w:rPr>
        <w:rFonts w:hint="default"/>
      </w:rPr>
    </w:lvl>
    <w:lvl w:ilvl="8">
      <w:start w:val="0"/>
      <w:numFmt w:val="bullet"/>
      <w:lvlText w:val="•"/>
      <w:lvlJc w:val="left"/>
      <w:pPr>
        <w:ind w:left="9671" w:hanging="147"/>
      </w:pPr>
      <w:rPr>
        <w:rFonts w:hint="default"/>
      </w:rPr>
    </w:lvl>
  </w:abstractNum>
  <w:abstractNum w:abstractNumId="81">
    <w:multiLevelType w:val="hybridMultilevel"/>
    <w:lvl w:ilvl="0">
      <w:start w:val="1"/>
      <w:numFmt w:val="decimal"/>
      <w:lvlText w:val="%1."/>
      <w:lvlJc w:val="left"/>
      <w:pPr>
        <w:ind w:left="821" w:hanging="334"/>
        <w:jc w:val="left"/>
      </w:pPr>
      <w:rPr>
        <w:rFonts w:hint="default" w:ascii="Arial" w:hAnsi="Arial" w:eastAsia="Arial" w:cs="Arial"/>
        <w:w w:val="101"/>
        <w:sz w:val="13"/>
        <w:szCs w:val="13"/>
      </w:rPr>
    </w:lvl>
    <w:lvl w:ilvl="1">
      <w:start w:val="0"/>
      <w:numFmt w:val="bullet"/>
      <w:lvlText w:val="•"/>
      <w:lvlJc w:val="left"/>
      <w:pPr>
        <w:ind w:left="1954" w:hanging="334"/>
      </w:pPr>
      <w:rPr>
        <w:rFonts w:hint="default"/>
      </w:rPr>
    </w:lvl>
    <w:lvl w:ilvl="2">
      <w:start w:val="0"/>
      <w:numFmt w:val="bullet"/>
      <w:lvlText w:val="•"/>
      <w:lvlJc w:val="left"/>
      <w:pPr>
        <w:ind w:left="3088" w:hanging="334"/>
      </w:pPr>
      <w:rPr>
        <w:rFonts w:hint="default"/>
      </w:rPr>
    </w:lvl>
    <w:lvl w:ilvl="3">
      <w:start w:val="0"/>
      <w:numFmt w:val="bullet"/>
      <w:lvlText w:val="•"/>
      <w:lvlJc w:val="left"/>
      <w:pPr>
        <w:ind w:left="4222" w:hanging="334"/>
      </w:pPr>
      <w:rPr>
        <w:rFonts w:hint="default"/>
      </w:rPr>
    </w:lvl>
    <w:lvl w:ilvl="4">
      <w:start w:val="0"/>
      <w:numFmt w:val="bullet"/>
      <w:lvlText w:val="•"/>
      <w:lvlJc w:val="left"/>
      <w:pPr>
        <w:ind w:left="5356" w:hanging="334"/>
      </w:pPr>
      <w:rPr>
        <w:rFonts w:hint="default"/>
      </w:rPr>
    </w:lvl>
    <w:lvl w:ilvl="5">
      <w:start w:val="0"/>
      <w:numFmt w:val="bullet"/>
      <w:lvlText w:val="•"/>
      <w:lvlJc w:val="left"/>
      <w:pPr>
        <w:ind w:left="6490" w:hanging="334"/>
      </w:pPr>
      <w:rPr>
        <w:rFonts w:hint="default"/>
      </w:rPr>
    </w:lvl>
    <w:lvl w:ilvl="6">
      <w:start w:val="0"/>
      <w:numFmt w:val="bullet"/>
      <w:lvlText w:val="•"/>
      <w:lvlJc w:val="left"/>
      <w:pPr>
        <w:ind w:left="7624" w:hanging="334"/>
      </w:pPr>
      <w:rPr>
        <w:rFonts w:hint="default"/>
      </w:rPr>
    </w:lvl>
    <w:lvl w:ilvl="7">
      <w:start w:val="0"/>
      <w:numFmt w:val="bullet"/>
      <w:lvlText w:val="•"/>
      <w:lvlJc w:val="left"/>
      <w:pPr>
        <w:ind w:left="8758" w:hanging="334"/>
      </w:pPr>
      <w:rPr>
        <w:rFonts w:hint="default"/>
      </w:rPr>
    </w:lvl>
    <w:lvl w:ilvl="8">
      <w:start w:val="0"/>
      <w:numFmt w:val="bullet"/>
      <w:lvlText w:val="•"/>
      <w:lvlJc w:val="left"/>
      <w:pPr>
        <w:ind w:left="9892" w:hanging="334"/>
      </w:pPr>
      <w:rPr>
        <w:rFonts w:hint="default"/>
      </w:rPr>
    </w:lvl>
  </w:abstractNum>
  <w:abstractNum w:abstractNumId="80">
    <w:multiLevelType w:val="hybridMultilevel"/>
    <w:lvl w:ilvl="0">
      <w:start w:val="3"/>
      <w:numFmt w:val="decimal"/>
      <w:lvlText w:val="%1."/>
      <w:lvlJc w:val="left"/>
      <w:pPr>
        <w:ind w:left="821" w:hanging="334"/>
        <w:jc w:val="left"/>
      </w:pPr>
      <w:rPr>
        <w:rFonts w:hint="default" w:ascii="Arial" w:hAnsi="Arial" w:eastAsia="Arial" w:cs="Arial"/>
        <w:w w:val="101"/>
        <w:sz w:val="13"/>
        <w:szCs w:val="13"/>
      </w:rPr>
    </w:lvl>
    <w:lvl w:ilvl="1">
      <w:start w:val="0"/>
      <w:numFmt w:val="bullet"/>
      <w:lvlText w:val="•"/>
      <w:lvlJc w:val="left"/>
      <w:pPr>
        <w:ind w:left="1954" w:hanging="334"/>
      </w:pPr>
      <w:rPr>
        <w:rFonts w:hint="default"/>
      </w:rPr>
    </w:lvl>
    <w:lvl w:ilvl="2">
      <w:start w:val="0"/>
      <w:numFmt w:val="bullet"/>
      <w:lvlText w:val="•"/>
      <w:lvlJc w:val="left"/>
      <w:pPr>
        <w:ind w:left="3088" w:hanging="334"/>
      </w:pPr>
      <w:rPr>
        <w:rFonts w:hint="default"/>
      </w:rPr>
    </w:lvl>
    <w:lvl w:ilvl="3">
      <w:start w:val="0"/>
      <w:numFmt w:val="bullet"/>
      <w:lvlText w:val="•"/>
      <w:lvlJc w:val="left"/>
      <w:pPr>
        <w:ind w:left="4222" w:hanging="334"/>
      </w:pPr>
      <w:rPr>
        <w:rFonts w:hint="default"/>
      </w:rPr>
    </w:lvl>
    <w:lvl w:ilvl="4">
      <w:start w:val="0"/>
      <w:numFmt w:val="bullet"/>
      <w:lvlText w:val="•"/>
      <w:lvlJc w:val="left"/>
      <w:pPr>
        <w:ind w:left="5356" w:hanging="334"/>
      </w:pPr>
      <w:rPr>
        <w:rFonts w:hint="default"/>
      </w:rPr>
    </w:lvl>
    <w:lvl w:ilvl="5">
      <w:start w:val="0"/>
      <w:numFmt w:val="bullet"/>
      <w:lvlText w:val="•"/>
      <w:lvlJc w:val="left"/>
      <w:pPr>
        <w:ind w:left="6490" w:hanging="334"/>
      </w:pPr>
      <w:rPr>
        <w:rFonts w:hint="default"/>
      </w:rPr>
    </w:lvl>
    <w:lvl w:ilvl="6">
      <w:start w:val="0"/>
      <w:numFmt w:val="bullet"/>
      <w:lvlText w:val="•"/>
      <w:lvlJc w:val="left"/>
      <w:pPr>
        <w:ind w:left="7624" w:hanging="334"/>
      </w:pPr>
      <w:rPr>
        <w:rFonts w:hint="default"/>
      </w:rPr>
    </w:lvl>
    <w:lvl w:ilvl="7">
      <w:start w:val="0"/>
      <w:numFmt w:val="bullet"/>
      <w:lvlText w:val="•"/>
      <w:lvlJc w:val="left"/>
      <w:pPr>
        <w:ind w:left="8758" w:hanging="334"/>
      </w:pPr>
      <w:rPr>
        <w:rFonts w:hint="default"/>
      </w:rPr>
    </w:lvl>
    <w:lvl w:ilvl="8">
      <w:start w:val="0"/>
      <w:numFmt w:val="bullet"/>
      <w:lvlText w:val="•"/>
      <w:lvlJc w:val="left"/>
      <w:pPr>
        <w:ind w:left="9892" w:hanging="334"/>
      </w:pPr>
      <w:rPr>
        <w:rFonts w:hint="default"/>
      </w:rPr>
    </w:lvl>
  </w:abstractNum>
  <w:abstractNum w:abstractNumId="79">
    <w:multiLevelType w:val="hybridMultilevel"/>
    <w:lvl w:ilvl="0">
      <w:start w:val="1"/>
      <w:numFmt w:val="decimal"/>
      <w:lvlText w:val="%1."/>
      <w:lvlJc w:val="left"/>
      <w:pPr>
        <w:ind w:left="532" w:hanging="334"/>
        <w:jc w:val="left"/>
      </w:pPr>
      <w:rPr>
        <w:rFonts w:hint="default" w:ascii="Arial" w:hAnsi="Arial" w:eastAsia="Arial" w:cs="Arial"/>
        <w:w w:val="101"/>
        <w:sz w:val="13"/>
        <w:szCs w:val="13"/>
      </w:rPr>
    </w:lvl>
    <w:lvl w:ilvl="1">
      <w:start w:val="0"/>
      <w:numFmt w:val="bullet"/>
      <w:lvlText w:val="•"/>
      <w:lvlJc w:val="left"/>
      <w:pPr>
        <w:ind w:left="987" w:hanging="334"/>
      </w:pPr>
      <w:rPr>
        <w:rFonts w:hint="default"/>
      </w:rPr>
    </w:lvl>
    <w:lvl w:ilvl="2">
      <w:start w:val="0"/>
      <w:numFmt w:val="bullet"/>
      <w:lvlText w:val="•"/>
      <w:lvlJc w:val="left"/>
      <w:pPr>
        <w:ind w:left="1435" w:hanging="334"/>
      </w:pPr>
      <w:rPr>
        <w:rFonts w:hint="default"/>
      </w:rPr>
    </w:lvl>
    <w:lvl w:ilvl="3">
      <w:start w:val="0"/>
      <w:numFmt w:val="bullet"/>
      <w:lvlText w:val="•"/>
      <w:lvlJc w:val="left"/>
      <w:pPr>
        <w:ind w:left="1883" w:hanging="334"/>
      </w:pPr>
      <w:rPr>
        <w:rFonts w:hint="default"/>
      </w:rPr>
    </w:lvl>
    <w:lvl w:ilvl="4">
      <w:start w:val="0"/>
      <w:numFmt w:val="bullet"/>
      <w:lvlText w:val="•"/>
      <w:lvlJc w:val="left"/>
      <w:pPr>
        <w:ind w:left="2331" w:hanging="334"/>
      </w:pPr>
      <w:rPr>
        <w:rFonts w:hint="default"/>
      </w:rPr>
    </w:lvl>
    <w:lvl w:ilvl="5">
      <w:start w:val="0"/>
      <w:numFmt w:val="bullet"/>
      <w:lvlText w:val="•"/>
      <w:lvlJc w:val="left"/>
      <w:pPr>
        <w:ind w:left="2779" w:hanging="334"/>
      </w:pPr>
      <w:rPr>
        <w:rFonts w:hint="default"/>
      </w:rPr>
    </w:lvl>
    <w:lvl w:ilvl="6">
      <w:start w:val="0"/>
      <w:numFmt w:val="bullet"/>
      <w:lvlText w:val="•"/>
      <w:lvlJc w:val="left"/>
      <w:pPr>
        <w:ind w:left="3226" w:hanging="334"/>
      </w:pPr>
      <w:rPr>
        <w:rFonts w:hint="default"/>
      </w:rPr>
    </w:lvl>
    <w:lvl w:ilvl="7">
      <w:start w:val="0"/>
      <w:numFmt w:val="bullet"/>
      <w:lvlText w:val="•"/>
      <w:lvlJc w:val="left"/>
      <w:pPr>
        <w:ind w:left="3674" w:hanging="334"/>
      </w:pPr>
      <w:rPr>
        <w:rFonts w:hint="default"/>
      </w:rPr>
    </w:lvl>
    <w:lvl w:ilvl="8">
      <w:start w:val="0"/>
      <w:numFmt w:val="bullet"/>
      <w:lvlText w:val="•"/>
      <w:lvlJc w:val="left"/>
      <w:pPr>
        <w:ind w:left="4122" w:hanging="334"/>
      </w:pPr>
      <w:rPr>
        <w:rFonts w:hint="default"/>
      </w:rPr>
    </w:lvl>
  </w:abstractNum>
  <w:abstractNum w:abstractNumId="78">
    <w:multiLevelType w:val="hybridMultilevel"/>
    <w:lvl w:ilvl="0">
      <w:start w:val="1"/>
      <w:numFmt w:val="decimal"/>
      <w:lvlText w:val="%1."/>
      <w:lvlJc w:val="left"/>
      <w:pPr>
        <w:ind w:left="821" w:hanging="334"/>
        <w:jc w:val="left"/>
      </w:pPr>
      <w:rPr>
        <w:rFonts w:hint="default" w:ascii="Arial" w:hAnsi="Arial" w:eastAsia="Arial" w:cs="Arial"/>
        <w:w w:val="101"/>
        <w:sz w:val="13"/>
        <w:szCs w:val="13"/>
      </w:rPr>
    </w:lvl>
    <w:lvl w:ilvl="1">
      <w:start w:val="0"/>
      <w:numFmt w:val="bullet"/>
      <w:lvlText w:val="•"/>
      <w:lvlJc w:val="left"/>
      <w:pPr>
        <w:ind w:left="1954" w:hanging="334"/>
      </w:pPr>
      <w:rPr>
        <w:rFonts w:hint="default"/>
      </w:rPr>
    </w:lvl>
    <w:lvl w:ilvl="2">
      <w:start w:val="0"/>
      <w:numFmt w:val="bullet"/>
      <w:lvlText w:val="•"/>
      <w:lvlJc w:val="left"/>
      <w:pPr>
        <w:ind w:left="3088" w:hanging="334"/>
      </w:pPr>
      <w:rPr>
        <w:rFonts w:hint="default"/>
      </w:rPr>
    </w:lvl>
    <w:lvl w:ilvl="3">
      <w:start w:val="0"/>
      <w:numFmt w:val="bullet"/>
      <w:lvlText w:val="•"/>
      <w:lvlJc w:val="left"/>
      <w:pPr>
        <w:ind w:left="4222" w:hanging="334"/>
      </w:pPr>
      <w:rPr>
        <w:rFonts w:hint="default"/>
      </w:rPr>
    </w:lvl>
    <w:lvl w:ilvl="4">
      <w:start w:val="0"/>
      <w:numFmt w:val="bullet"/>
      <w:lvlText w:val="•"/>
      <w:lvlJc w:val="left"/>
      <w:pPr>
        <w:ind w:left="5356" w:hanging="334"/>
      </w:pPr>
      <w:rPr>
        <w:rFonts w:hint="default"/>
      </w:rPr>
    </w:lvl>
    <w:lvl w:ilvl="5">
      <w:start w:val="0"/>
      <w:numFmt w:val="bullet"/>
      <w:lvlText w:val="•"/>
      <w:lvlJc w:val="left"/>
      <w:pPr>
        <w:ind w:left="6490" w:hanging="334"/>
      </w:pPr>
      <w:rPr>
        <w:rFonts w:hint="default"/>
      </w:rPr>
    </w:lvl>
    <w:lvl w:ilvl="6">
      <w:start w:val="0"/>
      <w:numFmt w:val="bullet"/>
      <w:lvlText w:val="•"/>
      <w:lvlJc w:val="left"/>
      <w:pPr>
        <w:ind w:left="7624" w:hanging="334"/>
      </w:pPr>
      <w:rPr>
        <w:rFonts w:hint="default"/>
      </w:rPr>
    </w:lvl>
    <w:lvl w:ilvl="7">
      <w:start w:val="0"/>
      <w:numFmt w:val="bullet"/>
      <w:lvlText w:val="•"/>
      <w:lvlJc w:val="left"/>
      <w:pPr>
        <w:ind w:left="8758" w:hanging="334"/>
      </w:pPr>
      <w:rPr>
        <w:rFonts w:hint="default"/>
      </w:rPr>
    </w:lvl>
    <w:lvl w:ilvl="8">
      <w:start w:val="0"/>
      <w:numFmt w:val="bullet"/>
      <w:lvlText w:val="•"/>
      <w:lvlJc w:val="left"/>
      <w:pPr>
        <w:ind w:left="9892" w:hanging="334"/>
      </w:pPr>
      <w:rPr>
        <w:rFonts w:hint="default"/>
      </w:rPr>
    </w:lvl>
  </w:abstractNum>
  <w:abstractNum w:abstractNumId="77">
    <w:multiLevelType w:val="hybridMultilevel"/>
    <w:lvl w:ilvl="0">
      <w:start w:val="3"/>
      <w:numFmt w:val="decimal"/>
      <w:lvlText w:val="%1."/>
      <w:lvlJc w:val="left"/>
      <w:pPr>
        <w:ind w:left="821" w:hanging="334"/>
        <w:jc w:val="left"/>
      </w:pPr>
      <w:rPr>
        <w:rFonts w:hint="default" w:ascii="Arial" w:hAnsi="Arial" w:eastAsia="Arial" w:cs="Arial"/>
        <w:w w:val="101"/>
        <w:sz w:val="13"/>
        <w:szCs w:val="13"/>
      </w:rPr>
    </w:lvl>
    <w:lvl w:ilvl="1">
      <w:start w:val="0"/>
      <w:numFmt w:val="bullet"/>
      <w:lvlText w:val="•"/>
      <w:lvlJc w:val="left"/>
      <w:pPr>
        <w:ind w:left="1954" w:hanging="334"/>
      </w:pPr>
      <w:rPr>
        <w:rFonts w:hint="default"/>
      </w:rPr>
    </w:lvl>
    <w:lvl w:ilvl="2">
      <w:start w:val="0"/>
      <w:numFmt w:val="bullet"/>
      <w:lvlText w:val="•"/>
      <w:lvlJc w:val="left"/>
      <w:pPr>
        <w:ind w:left="3088" w:hanging="334"/>
      </w:pPr>
      <w:rPr>
        <w:rFonts w:hint="default"/>
      </w:rPr>
    </w:lvl>
    <w:lvl w:ilvl="3">
      <w:start w:val="0"/>
      <w:numFmt w:val="bullet"/>
      <w:lvlText w:val="•"/>
      <w:lvlJc w:val="left"/>
      <w:pPr>
        <w:ind w:left="4222" w:hanging="334"/>
      </w:pPr>
      <w:rPr>
        <w:rFonts w:hint="default"/>
      </w:rPr>
    </w:lvl>
    <w:lvl w:ilvl="4">
      <w:start w:val="0"/>
      <w:numFmt w:val="bullet"/>
      <w:lvlText w:val="•"/>
      <w:lvlJc w:val="left"/>
      <w:pPr>
        <w:ind w:left="5356" w:hanging="334"/>
      </w:pPr>
      <w:rPr>
        <w:rFonts w:hint="default"/>
      </w:rPr>
    </w:lvl>
    <w:lvl w:ilvl="5">
      <w:start w:val="0"/>
      <w:numFmt w:val="bullet"/>
      <w:lvlText w:val="•"/>
      <w:lvlJc w:val="left"/>
      <w:pPr>
        <w:ind w:left="6490" w:hanging="334"/>
      </w:pPr>
      <w:rPr>
        <w:rFonts w:hint="default"/>
      </w:rPr>
    </w:lvl>
    <w:lvl w:ilvl="6">
      <w:start w:val="0"/>
      <w:numFmt w:val="bullet"/>
      <w:lvlText w:val="•"/>
      <w:lvlJc w:val="left"/>
      <w:pPr>
        <w:ind w:left="7624" w:hanging="334"/>
      </w:pPr>
      <w:rPr>
        <w:rFonts w:hint="default"/>
      </w:rPr>
    </w:lvl>
    <w:lvl w:ilvl="7">
      <w:start w:val="0"/>
      <w:numFmt w:val="bullet"/>
      <w:lvlText w:val="•"/>
      <w:lvlJc w:val="left"/>
      <w:pPr>
        <w:ind w:left="8758" w:hanging="334"/>
      </w:pPr>
      <w:rPr>
        <w:rFonts w:hint="default"/>
      </w:rPr>
    </w:lvl>
    <w:lvl w:ilvl="8">
      <w:start w:val="0"/>
      <w:numFmt w:val="bullet"/>
      <w:lvlText w:val="•"/>
      <w:lvlJc w:val="left"/>
      <w:pPr>
        <w:ind w:left="9892" w:hanging="334"/>
      </w:pPr>
      <w:rPr>
        <w:rFonts w:hint="default"/>
      </w:rPr>
    </w:lvl>
  </w:abstractNum>
  <w:abstractNum w:abstractNumId="76">
    <w:multiLevelType w:val="hybridMultilevel"/>
    <w:lvl w:ilvl="0">
      <w:start w:val="1"/>
      <w:numFmt w:val="lowerLetter"/>
      <w:lvlText w:val="%1."/>
      <w:lvlJc w:val="left"/>
      <w:pPr>
        <w:ind w:left="968" w:hanging="147"/>
        <w:jc w:val="left"/>
      </w:pPr>
      <w:rPr>
        <w:rFonts w:hint="default" w:ascii="Arial" w:hAnsi="Arial" w:eastAsia="Arial" w:cs="Arial"/>
        <w:w w:val="101"/>
        <w:sz w:val="13"/>
        <w:szCs w:val="13"/>
      </w:rPr>
    </w:lvl>
    <w:lvl w:ilvl="1">
      <w:start w:val="0"/>
      <w:numFmt w:val="bullet"/>
      <w:lvlText w:val="•"/>
      <w:lvlJc w:val="left"/>
      <w:pPr>
        <w:ind w:left="2080" w:hanging="147"/>
      </w:pPr>
      <w:rPr>
        <w:rFonts w:hint="default"/>
      </w:rPr>
    </w:lvl>
    <w:lvl w:ilvl="2">
      <w:start w:val="0"/>
      <w:numFmt w:val="bullet"/>
      <w:lvlText w:val="•"/>
      <w:lvlJc w:val="left"/>
      <w:pPr>
        <w:ind w:left="3200" w:hanging="147"/>
      </w:pPr>
      <w:rPr>
        <w:rFonts w:hint="default"/>
      </w:rPr>
    </w:lvl>
    <w:lvl w:ilvl="3">
      <w:start w:val="0"/>
      <w:numFmt w:val="bullet"/>
      <w:lvlText w:val="•"/>
      <w:lvlJc w:val="left"/>
      <w:pPr>
        <w:ind w:left="4320" w:hanging="147"/>
      </w:pPr>
      <w:rPr>
        <w:rFonts w:hint="default"/>
      </w:rPr>
    </w:lvl>
    <w:lvl w:ilvl="4">
      <w:start w:val="0"/>
      <w:numFmt w:val="bullet"/>
      <w:lvlText w:val="•"/>
      <w:lvlJc w:val="left"/>
      <w:pPr>
        <w:ind w:left="5440" w:hanging="147"/>
      </w:pPr>
      <w:rPr>
        <w:rFonts w:hint="default"/>
      </w:rPr>
    </w:lvl>
    <w:lvl w:ilvl="5">
      <w:start w:val="0"/>
      <w:numFmt w:val="bullet"/>
      <w:lvlText w:val="•"/>
      <w:lvlJc w:val="left"/>
      <w:pPr>
        <w:ind w:left="6560" w:hanging="147"/>
      </w:pPr>
      <w:rPr>
        <w:rFonts w:hint="default"/>
      </w:rPr>
    </w:lvl>
    <w:lvl w:ilvl="6">
      <w:start w:val="0"/>
      <w:numFmt w:val="bullet"/>
      <w:lvlText w:val="•"/>
      <w:lvlJc w:val="left"/>
      <w:pPr>
        <w:ind w:left="7680" w:hanging="147"/>
      </w:pPr>
      <w:rPr>
        <w:rFonts w:hint="default"/>
      </w:rPr>
    </w:lvl>
    <w:lvl w:ilvl="7">
      <w:start w:val="0"/>
      <w:numFmt w:val="bullet"/>
      <w:lvlText w:val="•"/>
      <w:lvlJc w:val="left"/>
      <w:pPr>
        <w:ind w:left="8800" w:hanging="147"/>
      </w:pPr>
      <w:rPr>
        <w:rFonts w:hint="default"/>
      </w:rPr>
    </w:lvl>
    <w:lvl w:ilvl="8">
      <w:start w:val="0"/>
      <w:numFmt w:val="bullet"/>
      <w:lvlText w:val="•"/>
      <w:lvlJc w:val="left"/>
      <w:pPr>
        <w:ind w:left="9920" w:hanging="147"/>
      </w:pPr>
      <w:rPr>
        <w:rFonts w:hint="default"/>
      </w:rPr>
    </w:lvl>
  </w:abstractNum>
  <w:abstractNum w:abstractNumId="75">
    <w:multiLevelType w:val="hybridMultilevel"/>
    <w:lvl w:ilvl="0">
      <w:start w:val="1"/>
      <w:numFmt w:val="decimal"/>
      <w:lvlText w:val="%1."/>
      <w:lvlJc w:val="left"/>
      <w:pPr>
        <w:ind w:left="821" w:hanging="334"/>
        <w:jc w:val="left"/>
      </w:pPr>
      <w:rPr>
        <w:rFonts w:hint="default" w:ascii="Arial" w:hAnsi="Arial" w:eastAsia="Arial" w:cs="Arial"/>
        <w:w w:val="101"/>
        <w:sz w:val="13"/>
        <w:szCs w:val="13"/>
      </w:rPr>
    </w:lvl>
    <w:lvl w:ilvl="1">
      <w:start w:val="1"/>
      <w:numFmt w:val="lowerLetter"/>
      <w:lvlText w:val="%2."/>
      <w:lvlJc w:val="left"/>
      <w:pPr>
        <w:ind w:left="968" w:hanging="147"/>
        <w:jc w:val="left"/>
      </w:pPr>
      <w:rPr>
        <w:rFonts w:hint="default" w:ascii="Arial" w:hAnsi="Arial" w:eastAsia="Arial" w:cs="Arial"/>
        <w:w w:val="101"/>
        <w:sz w:val="13"/>
        <w:szCs w:val="13"/>
      </w:rPr>
    </w:lvl>
    <w:lvl w:ilvl="2">
      <w:start w:val="0"/>
      <w:numFmt w:val="bullet"/>
      <w:lvlText w:val="•"/>
      <w:lvlJc w:val="left"/>
      <w:pPr>
        <w:ind w:left="2204" w:hanging="147"/>
      </w:pPr>
      <w:rPr>
        <w:rFonts w:hint="default"/>
      </w:rPr>
    </w:lvl>
    <w:lvl w:ilvl="3">
      <w:start w:val="0"/>
      <w:numFmt w:val="bullet"/>
      <w:lvlText w:val="•"/>
      <w:lvlJc w:val="left"/>
      <w:pPr>
        <w:ind w:left="3448" w:hanging="147"/>
      </w:pPr>
      <w:rPr>
        <w:rFonts w:hint="default"/>
      </w:rPr>
    </w:lvl>
    <w:lvl w:ilvl="4">
      <w:start w:val="0"/>
      <w:numFmt w:val="bullet"/>
      <w:lvlText w:val="•"/>
      <w:lvlJc w:val="left"/>
      <w:pPr>
        <w:ind w:left="4693" w:hanging="147"/>
      </w:pPr>
      <w:rPr>
        <w:rFonts w:hint="default"/>
      </w:rPr>
    </w:lvl>
    <w:lvl w:ilvl="5">
      <w:start w:val="0"/>
      <w:numFmt w:val="bullet"/>
      <w:lvlText w:val="•"/>
      <w:lvlJc w:val="left"/>
      <w:pPr>
        <w:ind w:left="5937" w:hanging="147"/>
      </w:pPr>
      <w:rPr>
        <w:rFonts w:hint="default"/>
      </w:rPr>
    </w:lvl>
    <w:lvl w:ilvl="6">
      <w:start w:val="0"/>
      <w:numFmt w:val="bullet"/>
      <w:lvlText w:val="•"/>
      <w:lvlJc w:val="left"/>
      <w:pPr>
        <w:ind w:left="7182" w:hanging="147"/>
      </w:pPr>
      <w:rPr>
        <w:rFonts w:hint="default"/>
      </w:rPr>
    </w:lvl>
    <w:lvl w:ilvl="7">
      <w:start w:val="0"/>
      <w:numFmt w:val="bullet"/>
      <w:lvlText w:val="•"/>
      <w:lvlJc w:val="left"/>
      <w:pPr>
        <w:ind w:left="8426" w:hanging="147"/>
      </w:pPr>
      <w:rPr>
        <w:rFonts w:hint="default"/>
      </w:rPr>
    </w:lvl>
    <w:lvl w:ilvl="8">
      <w:start w:val="0"/>
      <w:numFmt w:val="bullet"/>
      <w:lvlText w:val="•"/>
      <w:lvlJc w:val="left"/>
      <w:pPr>
        <w:ind w:left="9671" w:hanging="147"/>
      </w:pPr>
      <w:rPr>
        <w:rFonts w:hint="default"/>
      </w:rPr>
    </w:lvl>
  </w:abstractNum>
  <w:abstractNum w:abstractNumId="74">
    <w:multiLevelType w:val="hybridMultilevel"/>
    <w:lvl w:ilvl="0">
      <w:start w:val="1"/>
      <w:numFmt w:val="lowerLetter"/>
      <w:lvlText w:val="%1."/>
      <w:lvlJc w:val="left"/>
      <w:pPr>
        <w:ind w:left="964" w:hanging="147"/>
        <w:jc w:val="left"/>
      </w:pPr>
      <w:rPr>
        <w:rFonts w:hint="default" w:ascii="Arial" w:hAnsi="Arial" w:eastAsia="Arial" w:cs="Arial"/>
        <w:w w:val="101"/>
        <w:sz w:val="13"/>
        <w:szCs w:val="13"/>
      </w:rPr>
    </w:lvl>
    <w:lvl w:ilvl="1">
      <w:start w:val="0"/>
      <w:numFmt w:val="bullet"/>
      <w:lvlText w:val="•"/>
      <w:lvlJc w:val="left"/>
      <w:pPr>
        <w:ind w:left="2080" w:hanging="147"/>
      </w:pPr>
      <w:rPr>
        <w:rFonts w:hint="default"/>
      </w:rPr>
    </w:lvl>
    <w:lvl w:ilvl="2">
      <w:start w:val="0"/>
      <w:numFmt w:val="bullet"/>
      <w:lvlText w:val="•"/>
      <w:lvlJc w:val="left"/>
      <w:pPr>
        <w:ind w:left="3200" w:hanging="147"/>
      </w:pPr>
      <w:rPr>
        <w:rFonts w:hint="default"/>
      </w:rPr>
    </w:lvl>
    <w:lvl w:ilvl="3">
      <w:start w:val="0"/>
      <w:numFmt w:val="bullet"/>
      <w:lvlText w:val="•"/>
      <w:lvlJc w:val="left"/>
      <w:pPr>
        <w:ind w:left="4320" w:hanging="147"/>
      </w:pPr>
      <w:rPr>
        <w:rFonts w:hint="default"/>
      </w:rPr>
    </w:lvl>
    <w:lvl w:ilvl="4">
      <w:start w:val="0"/>
      <w:numFmt w:val="bullet"/>
      <w:lvlText w:val="•"/>
      <w:lvlJc w:val="left"/>
      <w:pPr>
        <w:ind w:left="5440" w:hanging="147"/>
      </w:pPr>
      <w:rPr>
        <w:rFonts w:hint="default"/>
      </w:rPr>
    </w:lvl>
    <w:lvl w:ilvl="5">
      <w:start w:val="0"/>
      <w:numFmt w:val="bullet"/>
      <w:lvlText w:val="•"/>
      <w:lvlJc w:val="left"/>
      <w:pPr>
        <w:ind w:left="6560" w:hanging="147"/>
      </w:pPr>
      <w:rPr>
        <w:rFonts w:hint="default"/>
      </w:rPr>
    </w:lvl>
    <w:lvl w:ilvl="6">
      <w:start w:val="0"/>
      <w:numFmt w:val="bullet"/>
      <w:lvlText w:val="•"/>
      <w:lvlJc w:val="left"/>
      <w:pPr>
        <w:ind w:left="7680" w:hanging="147"/>
      </w:pPr>
      <w:rPr>
        <w:rFonts w:hint="default"/>
      </w:rPr>
    </w:lvl>
    <w:lvl w:ilvl="7">
      <w:start w:val="0"/>
      <w:numFmt w:val="bullet"/>
      <w:lvlText w:val="•"/>
      <w:lvlJc w:val="left"/>
      <w:pPr>
        <w:ind w:left="8800" w:hanging="147"/>
      </w:pPr>
      <w:rPr>
        <w:rFonts w:hint="default"/>
      </w:rPr>
    </w:lvl>
    <w:lvl w:ilvl="8">
      <w:start w:val="0"/>
      <w:numFmt w:val="bullet"/>
      <w:lvlText w:val="•"/>
      <w:lvlJc w:val="left"/>
      <w:pPr>
        <w:ind w:left="9920" w:hanging="147"/>
      </w:pPr>
      <w:rPr>
        <w:rFonts w:hint="default"/>
      </w:rPr>
    </w:lvl>
  </w:abstractNum>
  <w:abstractNum w:abstractNumId="73">
    <w:multiLevelType w:val="hybridMultilevel"/>
    <w:lvl w:ilvl="0">
      <w:start w:val="1"/>
      <w:numFmt w:val="decimal"/>
      <w:lvlText w:val="%1."/>
      <w:lvlJc w:val="left"/>
      <w:pPr>
        <w:ind w:left="821" w:hanging="334"/>
        <w:jc w:val="left"/>
      </w:pPr>
      <w:rPr>
        <w:rFonts w:hint="default" w:ascii="Arial" w:hAnsi="Arial" w:eastAsia="Arial" w:cs="Arial"/>
        <w:w w:val="101"/>
        <w:sz w:val="13"/>
        <w:szCs w:val="13"/>
      </w:rPr>
    </w:lvl>
    <w:lvl w:ilvl="1">
      <w:start w:val="1"/>
      <w:numFmt w:val="lowerLetter"/>
      <w:lvlText w:val="%2."/>
      <w:lvlJc w:val="left"/>
      <w:pPr>
        <w:ind w:left="968" w:hanging="147"/>
        <w:jc w:val="left"/>
      </w:pPr>
      <w:rPr>
        <w:rFonts w:hint="default" w:ascii="Arial" w:hAnsi="Arial" w:eastAsia="Arial" w:cs="Arial"/>
        <w:w w:val="101"/>
        <w:sz w:val="13"/>
        <w:szCs w:val="13"/>
      </w:rPr>
    </w:lvl>
    <w:lvl w:ilvl="2">
      <w:start w:val="0"/>
      <w:numFmt w:val="bullet"/>
      <w:lvlText w:val="•"/>
      <w:lvlJc w:val="left"/>
      <w:pPr>
        <w:ind w:left="2204" w:hanging="147"/>
      </w:pPr>
      <w:rPr>
        <w:rFonts w:hint="default"/>
      </w:rPr>
    </w:lvl>
    <w:lvl w:ilvl="3">
      <w:start w:val="0"/>
      <w:numFmt w:val="bullet"/>
      <w:lvlText w:val="•"/>
      <w:lvlJc w:val="left"/>
      <w:pPr>
        <w:ind w:left="3448" w:hanging="147"/>
      </w:pPr>
      <w:rPr>
        <w:rFonts w:hint="default"/>
      </w:rPr>
    </w:lvl>
    <w:lvl w:ilvl="4">
      <w:start w:val="0"/>
      <w:numFmt w:val="bullet"/>
      <w:lvlText w:val="•"/>
      <w:lvlJc w:val="left"/>
      <w:pPr>
        <w:ind w:left="4693" w:hanging="147"/>
      </w:pPr>
      <w:rPr>
        <w:rFonts w:hint="default"/>
      </w:rPr>
    </w:lvl>
    <w:lvl w:ilvl="5">
      <w:start w:val="0"/>
      <w:numFmt w:val="bullet"/>
      <w:lvlText w:val="•"/>
      <w:lvlJc w:val="left"/>
      <w:pPr>
        <w:ind w:left="5937" w:hanging="147"/>
      </w:pPr>
      <w:rPr>
        <w:rFonts w:hint="default"/>
      </w:rPr>
    </w:lvl>
    <w:lvl w:ilvl="6">
      <w:start w:val="0"/>
      <w:numFmt w:val="bullet"/>
      <w:lvlText w:val="•"/>
      <w:lvlJc w:val="left"/>
      <w:pPr>
        <w:ind w:left="7182" w:hanging="147"/>
      </w:pPr>
      <w:rPr>
        <w:rFonts w:hint="default"/>
      </w:rPr>
    </w:lvl>
    <w:lvl w:ilvl="7">
      <w:start w:val="0"/>
      <w:numFmt w:val="bullet"/>
      <w:lvlText w:val="•"/>
      <w:lvlJc w:val="left"/>
      <w:pPr>
        <w:ind w:left="8426" w:hanging="147"/>
      </w:pPr>
      <w:rPr>
        <w:rFonts w:hint="default"/>
      </w:rPr>
    </w:lvl>
    <w:lvl w:ilvl="8">
      <w:start w:val="0"/>
      <w:numFmt w:val="bullet"/>
      <w:lvlText w:val="•"/>
      <w:lvlJc w:val="left"/>
      <w:pPr>
        <w:ind w:left="9671" w:hanging="147"/>
      </w:pPr>
      <w:rPr>
        <w:rFonts w:hint="default"/>
      </w:rPr>
    </w:lvl>
  </w:abstractNum>
  <w:abstractNum w:abstractNumId="72">
    <w:multiLevelType w:val="hybridMultilevel"/>
    <w:lvl w:ilvl="0">
      <w:start w:val="1"/>
      <w:numFmt w:val="decimal"/>
      <w:lvlText w:val="%1."/>
      <w:lvlJc w:val="left"/>
      <w:pPr>
        <w:ind w:left="821" w:hanging="334"/>
        <w:jc w:val="left"/>
      </w:pPr>
      <w:rPr>
        <w:rFonts w:hint="default" w:ascii="Arial" w:hAnsi="Arial" w:eastAsia="Arial" w:cs="Arial"/>
        <w:w w:val="101"/>
        <w:sz w:val="13"/>
        <w:szCs w:val="13"/>
      </w:rPr>
    </w:lvl>
    <w:lvl w:ilvl="1">
      <w:start w:val="0"/>
      <w:numFmt w:val="bullet"/>
      <w:lvlText w:val="•"/>
      <w:lvlJc w:val="left"/>
      <w:pPr>
        <w:ind w:left="1954" w:hanging="334"/>
      </w:pPr>
      <w:rPr>
        <w:rFonts w:hint="default"/>
      </w:rPr>
    </w:lvl>
    <w:lvl w:ilvl="2">
      <w:start w:val="0"/>
      <w:numFmt w:val="bullet"/>
      <w:lvlText w:val="•"/>
      <w:lvlJc w:val="left"/>
      <w:pPr>
        <w:ind w:left="3088" w:hanging="334"/>
      </w:pPr>
      <w:rPr>
        <w:rFonts w:hint="default"/>
      </w:rPr>
    </w:lvl>
    <w:lvl w:ilvl="3">
      <w:start w:val="0"/>
      <w:numFmt w:val="bullet"/>
      <w:lvlText w:val="•"/>
      <w:lvlJc w:val="left"/>
      <w:pPr>
        <w:ind w:left="4222" w:hanging="334"/>
      </w:pPr>
      <w:rPr>
        <w:rFonts w:hint="default"/>
      </w:rPr>
    </w:lvl>
    <w:lvl w:ilvl="4">
      <w:start w:val="0"/>
      <w:numFmt w:val="bullet"/>
      <w:lvlText w:val="•"/>
      <w:lvlJc w:val="left"/>
      <w:pPr>
        <w:ind w:left="5356" w:hanging="334"/>
      </w:pPr>
      <w:rPr>
        <w:rFonts w:hint="default"/>
      </w:rPr>
    </w:lvl>
    <w:lvl w:ilvl="5">
      <w:start w:val="0"/>
      <w:numFmt w:val="bullet"/>
      <w:lvlText w:val="•"/>
      <w:lvlJc w:val="left"/>
      <w:pPr>
        <w:ind w:left="6490" w:hanging="334"/>
      </w:pPr>
      <w:rPr>
        <w:rFonts w:hint="default"/>
      </w:rPr>
    </w:lvl>
    <w:lvl w:ilvl="6">
      <w:start w:val="0"/>
      <w:numFmt w:val="bullet"/>
      <w:lvlText w:val="•"/>
      <w:lvlJc w:val="left"/>
      <w:pPr>
        <w:ind w:left="7624" w:hanging="334"/>
      </w:pPr>
      <w:rPr>
        <w:rFonts w:hint="default"/>
      </w:rPr>
    </w:lvl>
    <w:lvl w:ilvl="7">
      <w:start w:val="0"/>
      <w:numFmt w:val="bullet"/>
      <w:lvlText w:val="•"/>
      <w:lvlJc w:val="left"/>
      <w:pPr>
        <w:ind w:left="8758" w:hanging="334"/>
      </w:pPr>
      <w:rPr>
        <w:rFonts w:hint="default"/>
      </w:rPr>
    </w:lvl>
    <w:lvl w:ilvl="8">
      <w:start w:val="0"/>
      <w:numFmt w:val="bullet"/>
      <w:lvlText w:val="•"/>
      <w:lvlJc w:val="left"/>
      <w:pPr>
        <w:ind w:left="9892" w:hanging="334"/>
      </w:pPr>
      <w:rPr>
        <w:rFonts w:hint="default"/>
      </w:rPr>
    </w:lvl>
  </w:abstractNum>
  <w:abstractNum w:abstractNumId="71">
    <w:multiLevelType w:val="hybridMultilevel"/>
    <w:lvl w:ilvl="0">
      <w:start w:val="2"/>
      <w:numFmt w:val="decimal"/>
      <w:lvlText w:val="%1."/>
      <w:lvlJc w:val="left"/>
      <w:pPr>
        <w:ind w:left="533" w:hanging="334"/>
        <w:jc w:val="left"/>
      </w:pPr>
      <w:rPr>
        <w:rFonts w:hint="default" w:ascii="Arial" w:hAnsi="Arial" w:eastAsia="Arial" w:cs="Arial"/>
        <w:w w:val="101"/>
        <w:sz w:val="13"/>
        <w:szCs w:val="13"/>
      </w:rPr>
    </w:lvl>
    <w:lvl w:ilvl="1">
      <w:start w:val="0"/>
      <w:numFmt w:val="bullet"/>
      <w:lvlText w:val="•"/>
      <w:lvlJc w:val="left"/>
      <w:pPr>
        <w:ind w:left="680" w:hanging="334"/>
      </w:pPr>
      <w:rPr>
        <w:rFonts w:hint="default"/>
      </w:rPr>
    </w:lvl>
    <w:lvl w:ilvl="2">
      <w:start w:val="0"/>
      <w:numFmt w:val="bullet"/>
      <w:lvlText w:val="•"/>
      <w:lvlJc w:val="left"/>
      <w:pPr>
        <w:ind w:left="1201" w:hanging="334"/>
      </w:pPr>
      <w:rPr>
        <w:rFonts w:hint="default"/>
      </w:rPr>
    </w:lvl>
    <w:lvl w:ilvl="3">
      <w:start w:val="0"/>
      <w:numFmt w:val="bullet"/>
      <w:lvlText w:val="•"/>
      <w:lvlJc w:val="left"/>
      <w:pPr>
        <w:ind w:left="1722" w:hanging="334"/>
      </w:pPr>
      <w:rPr>
        <w:rFonts w:hint="default"/>
      </w:rPr>
    </w:lvl>
    <w:lvl w:ilvl="4">
      <w:start w:val="0"/>
      <w:numFmt w:val="bullet"/>
      <w:lvlText w:val="•"/>
      <w:lvlJc w:val="left"/>
      <w:pPr>
        <w:ind w:left="2244" w:hanging="334"/>
      </w:pPr>
      <w:rPr>
        <w:rFonts w:hint="default"/>
      </w:rPr>
    </w:lvl>
    <w:lvl w:ilvl="5">
      <w:start w:val="0"/>
      <w:numFmt w:val="bullet"/>
      <w:lvlText w:val="•"/>
      <w:lvlJc w:val="left"/>
      <w:pPr>
        <w:ind w:left="2765" w:hanging="334"/>
      </w:pPr>
      <w:rPr>
        <w:rFonts w:hint="default"/>
      </w:rPr>
    </w:lvl>
    <w:lvl w:ilvl="6">
      <w:start w:val="0"/>
      <w:numFmt w:val="bullet"/>
      <w:lvlText w:val="•"/>
      <w:lvlJc w:val="left"/>
      <w:pPr>
        <w:ind w:left="3287" w:hanging="334"/>
      </w:pPr>
      <w:rPr>
        <w:rFonts w:hint="default"/>
      </w:rPr>
    </w:lvl>
    <w:lvl w:ilvl="7">
      <w:start w:val="0"/>
      <w:numFmt w:val="bullet"/>
      <w:lvlText w:val="•"/>
      <w:lvlJc w:val="left"/>
      <w:pPr>
        <w:ind w:left="3808" w:hanging="334"/>
      </w:pPr>
      <w:rPr>
        <w:rFonts w:hint="default"/>
      </w:rPr>
    </w:lvl>
    <w:lvl w:ilvl="8">
      <w:start w:val="0"/>
      <w:numFmt w:val="bullet"/>
      <w:lvlText w:val="•"/>
      <w:lvlJc w:val="left"/>
      <w:pPr>
        <w:ind w:left="4330" w:hanging="334"/>
      </w:pPr>
      <w:rPr>
        <w:rFonts w:hint="default"/>
      </w:rPr>
    </w:lvl>
  </w:abstractNum>
  <w:abstractNum w:abstractNumId="70">
    <w:multiLevelType w:val="hybridMultilevel"/>
    <w:lvl w:ilvl="0">
      <w:start w:val="8"/>
      <w:numFmt w:val="decimal"/>
      <w:lvlText w:val="%1."/>
      <w:lvlJc w:val="left"/>
      <w:pPr>
        <w:ind w:left="821" w:hanging="344"/>
        <w:jc w:val="left"/>
      </w:pPr>
      <w:rPr>
        <w:rFonts w:hint="default" w:ascii="Arial" w:hAnsi="Arial" w:eastAsia="Arial" w:cs="Arial"/>
        <w:b/>
        <w:bCs/>
        <w:w w:val="98"/>
        <w:sz w:val="16"/>
        <w:szCs w:val="16"/>
      </w:rPr>
    </w:lvl>
    <w:lvl w:ilvl="1">
      <w:start w:val="1"/>
      <w:numFmt w:val="decimal"/>
      <w:lvlText w:val="%2."/>
      <w:lvlJc w:val="left"/>
      <w:pPr>
        <w:ind w:left="821" w:hanging="334"/>
        <w:jc w:val="left"/>
      </w:pPr>
      <w:rPr>
        <w:rFonts w:hint="default" w:ascii="Arial" w:hAnsi="Arial" w:eastAsia="Arial" w:cs="Arial"/>
        <w:w w:val="101"/>
        <w:sz w:val="13"/>
        <w:szCs w:val="13"/>
      </w:rPr>
    </w:lvl>
    <w:lvl w:ilvl="2">
      <w:start w:val="1"/>
      <w:numFmt w:val="lowerLetter"/>
      <w:lvlText w:val="%3."/>
      <w:lvlJc w:val="left"/>
      <w:pPr>
        <w:ind w:left="1039" w:hanging="218"/>
        <w:jc w:val="left"/>
      </w:pPr>
      <w:rPr>
        <w:rFonts w:hint="default" w:ascii="Arial" w:hAnsi="Arial" w:eastAsia="Arial" w:cs="Arial"/>
        <w:w w:val="101"/>
        <w:sz w:val="13"/>
        <w:szCs w:val="13"/>
      </w:rPr>
    </w:lvl>
    <w:lvl w:ilvl="3">
      <w:start w:val="0"/>
      <w:numFmt w:val="bullet"/>
      <w:lvlText w:val="•"/>
      <w:lvlJc w:val="left"/>
      <w:pPr>
        <w:ind w:left="3511" w:hanging="218"/>
      </w:pPr>
      <w:rPr>
        <w:rFonts w:hint="default"/>
      </w:rPr>
    </w:lvl>
    <w:lvl w:ilvl="4">
      <w:start w:val="0"/>
      <w:numFmt w:val="bullet"/>
      <w:lvlText w:val="•"/>
      <w:lvlJc w:val="left"/>
      <w:pPr>
        <w:ind w:left="4746" w:hanging="218"/>
      </w:pPr>
      <w:rPr>
        <w:rFonts w:hint="default"/>
      </w:rPr>
    </w:lvl>
    <w:lvl w:ilvl="5">
      <w:start w:val="0"/>
      <w:numFmt w:val="bullet"/>
      <w:lvlText w:val="•"/>
      <w:lvlJc w:val="left"/>
      <w:pPr>
        <w:ind w:left="5982" w:hanging="218"/>
      </w:pPr>
      <w:rPr>
        <w:rFonts w:hint="default"/>
      </w:rPr>
    </w:lvl>
    <w:lvl w:ilvl="6">
      <w:start w:val="0"/>
      <w:numFmt w:val="bullet"/>
      <w:lvlText w:val="•"/>
      <w:lvlJc w:val="left"/>
      <w:pPr>
        <w:ind w:left="7217" w:hanging="218"/>
      </w:pPr>
      <w:rPr>
        <w:rFonts w:hint="default"/>
      </w:rPr>
    </w:lvl>
    <w:lvl w:ilvl="7">
      <w:start w:val="0"/>
      <w:numFmt w:val="bullet"/>
      <w:lvlText w:val="•"/>
      <w:lvlJc w:val="left"/>
      <w:pPr>
        <w:ind w:left="8453" w:hanging="218"/>
      </w:pPr>
      <w:rPr>
        <w:rFonts w:hint="default"/>
      </w:rPr>
    </w:lvl>
    <w:lvl w:ilvl="8">
      <w:start w:val="0"/>
      <w:numFmt w:val="bullet"/>
      <w:lvlText w:val="•"/>
      <w:lvlJc w:val="left"/>
      <w:pPr>
        <w:ind w:left="9688" w:hanging="218"/>
      </w:pPr>
      <w:rPr>
        <w:rFonts w:hint="default"/>
      </w:rPr>
    </w:lvl>
  </w:abstractNum>
  <w:abstractNum w:abstractNumId="69">
    <w:multiLevelType w:val="hybridMultilevel"/>
    <w:lvl w:ilvl="0">
      <w:start w:val="1"/>
      <w:numFmt w:val="decimal"/>
      <w:lvlText w:val="%1."/>
      <w:lvlJc w:val="left"/>
      <w:pPr>
        <w:ind w:left="964" w:hanging="334"/>
        <w:jc w:val="left"/>
      </w:pPr>
      <w:rPr>
        <w:rFonts w:hint="default" w:ascii="Arial" w:hAnsi="Arial" w:eastAsia="Arial" w:cs="Arial"/>
        <w:w w:val="101"/>
        <w:sz w:val="13"/>
        <w:szCs w:val="13"/>
      </w:rPr>
    </w:lvl>
    <w:lvl w:ilvl="1">
      <w:start w:val="0"/>
      <w:numFmt w:val="bullet"/>
      <w:lvlText w:val="•"/>
      <w:lvlJc w:val="left"/>
      <w:pPr>
        <w:ind w:left="2080" w:hanging="334"/>
      </w:pPr>
      <w:rPr>
        <w:rFonts w:hint="default"/>
      </w:rPr>
    </w:lvl>
    <w:lvl w:ilvl="2">
      <w:start w:val="0"/>
      <w:numFmt w:val="bullet"/>
      <w:lvlText w:val="•"/>
      <w:lvlJc w:val="left"/>
      <w:pPr>
        <w:ind w:left="3200" w:hanging="334"/>
      </w:pPr>
      <w:rPr>
        <w:rFonts w:hint="default"/>
      </w:rPr>
    </w:lvl>
    <w:lvl w:ilvl="3">
      <w:start w:val="0"/>
      <w:numFmt w:val="bullet"/>
      <w:lvlText w:val="•"/>
      <w:lvlJc w:val="left"/>
      <w:pPr>
        <w:ind w:left="4320" w:hanging="334"/>
      </w:pPr>
      <w:rPr>
        <w:rFonts w:hint="default"/>
      </w:rPr>
    </w:lvl>
    <w:lvl w:ilvl="4">
      <w:start w:val="0"/>
      <w:numFmt w:val="bullet"/>
      <w:lvlText w:val="•"/>
      <w:lvlJc w:val="left"/>
      <w:pPr>
        <w:ind w:left="5440" w:hanging="334"/>
      </w:pPr>
      <w:rPr>
        <w:rFonts w:hint="default"/>
      </w:rPr>
    </w:lvl>
    <w:lvl w:ilvl="5">
      <w:start w:val="0"/>
      <w:numFmt w:val="bullet"/>
      <w:lvlText w:val="•"/>
      <w:lvlJc w:val="left"/>
      <w:pPr>
        <w:ind w:left="6560" w:hanging="334"/>
      </w:pPr>
      <w:rPr>
        <w:rFonts w:hint="default"/>
      </w:rPr>
    </w:lvl>
    <w:lvl w:ilvl="6">
      <w:start w:val="0"/>
      <w:numFmt w:val="bullet"/>
      <w:lvlText w:val="•"/>
      <w:lvlJc w:val="left"/>
      <w:pPr>
        <w:ind w:left="7680" w:hanging="334"/>
      </w:pPr>
      <w:rPr>
        <w:rFonts w:hint="default"/>
      </w:rPr>
    </w:lvl>
    <w:lvl w:ilvl="7">
      <w:start w:val="0"/>
      <w:numFmt w:val="bullet"/>
      <w:lvlText w:val="•"/>
      <w:lvlJc w:val="left"/>
      <w:pPr>
        <w:ind w:left="8800" w:hanging="334"/>
      </w:pPr>
      <w:rPr>
        <w:rFonts w:hint="default"/>
      </w:rPr>
    </w:lvl>
    <w:lvl w:ilvl="8">
      <w:start w:val="0"/>
      <w:numFmt w:val="bullet"/>
      <w:lvlText w:val="•"/>
      <w:lvlJc w:val="left"/>
      <w:pPr>
        <w:ind w:left="9920" w:hanging="334"/>
      </w:pPr>
      <w:rPr>
        <w:rFonts w:hint="default"/>
      </w:rPr>
    </w:lvl>
  </w:abstractNum>
  <w:abstractNum w:abstractNumId="68">
    <w:multiLevelType w:val="hybridMultilevel"/>
    <w:lvl w:ilvl="0">
      <w:start w:val="1"/>
      <w:numFmt w:val="decimal"/>
      <w:lvlText w:val="%1."/>
      <w:lvlJc w:val="left"/>
      <w:pPr>
        <w:ind w:left="821" w:hanging="344"/>
        <w:jc w:val="left"/>
      </w:pPr>
      <w:rPr>
        <w:rFonts w:hint="default" w:ascii="Arial" w:hAnsi="Arial" w:eastAsia="Arial" w:cs="Arial"/>
        <w:b/>
        <w:bCs/>
        <w:w w:val="98"/>
        <w:sz w:val="16"/>
        <w:szCs w:val="16"/>
      </w:rPr>
    </w:lvl>
    <w:lvl w:ilvl="1">
      <w:start w:val="0"/>
      <w:numFmt w:val="bullet"/>
      <w:lvlText w:val="•"/>
      <w:lvlJc w:val="left"/>
      <w:pPr>
        <w:ind w:left="1954" w:hanging="344"/>
      </w:pPr>
      <w:rPr>
        <w:rFonts w:hint="default"/>
      </w:rPr>
    </w:lvl>
    <w:lvl w:ilvl="2">
      <w:start w:val="0"/>
      <w:numFmt w:val="bullet"/>
      <w:lvlText w:val="•"/>
      <w:lvlJc w:val="left"/>
      <w:pPr>
        <w:ind w:left="3088" w:hanging="344"/>
      </w:pPr>
      <w:rPr>
        <w:rFonts w:hint="default"/>
      </w:rPr>
    </w:lvl>
    <w:lvl w:ilvl="3">
      <w:start w:val="0"/>
      <w:numFmt w:val="bullet"/>
      <w:lvlText w:val="•"/>
      <w:lvlJc w:val="left"/>
      <w:pPr>
        <w:ind w:left="4222" w:hanging="344"/>
      </w:pPr>
      <w:rPr>
        <w:rFonts w:hint="default"/>
      </w:rPr>
    </w:lvl>
    <w:lvl w:ilvl="4">
      <w:start w:val="0"/>
      <w:numFmt w:val="bullet"/>
      <w:lvlText w:val="•"/>
      <w:lvlJc w:val="left"/>
      <w:pPr>
        <w:ind w:left="5356" w:hanging="344"/>
      </w:pPr>
      <w:rPr>
        <w:rFonts w:hint="default"/>
      </w:rPr>
    </w:lvl>
    <w:lvl w:ilvl="5">
      <w:start w:val="0"/>
      <w:numFmt w:val="bullet"/>
      <w:lvlText w:val="•"/>
      <w:lvlJc w:val="left"/>
      <w:pPr>
        <w:ind w:left="6490" w:hanging="344"/>
      </w:pPr>
      <w:rPr>
        <w:rFonts w:hint="default"/>
      </w:rPr>
    </w:lvl>
    <w:lvl w:ilvl="6">
      <w:start w:val="0"/>
      <w:numFmt w:val="bullet"/>
      <w:lvlText w:val="•"/>
      <w:lvlJc w:val="left"/>
      <w:pPr>
        <w:ind w:left="7624" w:hanging="344"/>
      </w:pPr>
      <w:rPr>
        <w:rFonts w:hint="default"/>
      </w:rPr>
    </w:lvl>
    <w:lvl w:ilvl="7">
      <w:start w:val="0"/>
      <w:numFmt w:val="bullet"/>
      <w:lvlText w:val="•"/>
      <w:lvlJc w:val="left"/>
      <w:pPr>
        <w:ind w:left="8758" w:hanging="344"/>
      </w:pPr>
      <w:rPr>
        <w:rFonts w:hint="default"/>
      </w:rPr>
    </w:lvl>
    <w:lvl w:ilvl="8">
      <w:start w:val="0"/>
      <w:numFmt w:val="bullet"/>
      <w:lvlText w:val="•"/>
      <w:lvlJc w:val="left"/>
      <w:pPr>
        <w:ind w:left="9892" w:hanging="344"/>
      </w:pPr>
      <w:rPr>
        <w:rFonts w:hint="default"/>
      </w:rPr>
    </w:lvl>
  </w:abstractNum>
  <w:abstractNum w:abstractNumId="67">
    <w:multiLevelType w:val="hybridMultilevel"/>
    <w:lvl w:ilvl="0">
      <w:start w:val="3"/>
      <w:numFmt w:val="upperLetter"/>
      <w:lvlText w:val="%1."/>
      <w:lvlJc w:val="left"/>
      <w:pPr>
        <w:ind w:left="1068" w:hanging="267"/>
        <w:jc w:val="left"/>
      </w:pPr>
      <w:rPr>
        <w:rFonts w:hint="default" w:ascii="Arial" w:hAnsi="Arial" w:eastAsia="Arial" w:cs="Arial"/>
        <w:w w:val="103"/>
        <w:sz w:val="18"/>
        <w:szCs w:val="18"/>
      </w:rPr>
    </w:lvl>
    <w:lvl w:ilvl="1">
      <w:start w:val="0"/>
      <w:numFmt w:val="bullet"/>
      <w:lvlText w:val="•"/>
      <w:lvlJc w:val="left"/>
      <w:pPr>
        <w:ind w:left="2170" w:hanging="267"/>
      </w:pPr>
      <w:rPr>
        <w:rFonts w:hint="default"/>
      </w:rPr>
    </w:lvl>
    <w:lvl w:ilvl="2">
      <w:start w:val="0"/>
      <w:numFmt w:val="bullet"/>
      <w:lvlText w:val="•"/>
      <w:lvlJc w:val="left"/>
      <w:pPr>
        <w:ind w:left="3280" w:hanging="267"/>
      </w:pPr>
      <w:rPr>
        <w:rFonts w:hint="default"/>
      </w:rPr>
    </w:lvl>
    <w:lvl w:ilvl="3">
      <w:start w:val="0"/>
      <w:numFmt w:val="bullet"/>
      <w:lvlText w:val="•"/>
      <w:lvlJc w:val="left"/>
      <w:pPr>
        <w:ind w:left="4390" w:hanging="267"/>
      </w:pPr>
      <w:rPr>
        <w:rFonts w:hint="default"/>
      </w:rPr>
    </w:lvl>
    <w:lvl w:ilvl="4">
      <w:start w:val="0"/>
      <w:numFmt w:val="bullet"/>
      <w:lvlText w:val="•"/>
      <w:lvlJc w:val="left"/>
      <w:pPr>
        <w:ind w:left="5500" w:hanging="267"/>
      </w:pPr>
      <w:rPr>
        <w:rFonts w:hint="default"/>
      </w:rPr>
    </w:lvl>
    <w:lvl w:ilvl="5">
      <w:start w:val="0"/>
      <w:numFmt w:val="bullet"/>
      <w:lvlText w:val="•"/>
      <w:lvlJc w:val="left"/>
      <w:pPr>
        <w:ind w:left="6610" w:hanging="267"/>
      </w:pPr>
      <w:rPr>
        <w:rFonts w:hint="default"/>
      </w:rPr>
    </w:lvl>
    <w:lvl w:ilvl="6">
      <w:start w:val="0"/>
      <w:numFmt w:val="bullet"/>
      <w:lvlText w:val="•"/>
      <w:lvlJc w:val="left"/>
      <w:pPr>
        <w:ind w:left="7720" w:hanging="267"/>
      </w:pPr>
      <w:rPr>
        <w:rFonts w:hint="default"/>
      </w:rPr>
    </w:lvl>
    <w:lvl w:ilvl="7">
      <w:start w:val="0"/>
      <w:numFmt w:val="bullet"/>
      <w:lvlText w:val="•"/>
      <w:lvlJc w:val="left"/>
      <w:pPr>
        <w:ind w:left="8830" w:hanging="267"/>
      </w:pPr>
      <w:rPr>
        <w:rFonts w:hint="default"/>
      </w:rPr>
    </w:lvl>
    <w:lvl w:ilvl="8">
      <w:start w:val="0"/>
      <w:numFmt w:val="bullet"/>
      <w:lvlText w:val="•"/>
      <w:lvlJc w:val="left"/>
      <w:pPr>
        <w:ind w:left="9940" w:hanging="267"/>
      </w:pPr>
      <w:rPr>
        <w:rFonts w:hint="default"/>
      </w:rPr>
    </w:lvl>
  </w:abstractNum>
  <w:abstractNum w:abstractNumId="66">
    <w:multiLevelType w:val="hybridMultilevel"/>
    <w:lvl w:ilvl="0">
      <w:start w:val="1"/>
      <w:numFmt w:val="decimal"/>
      <w:lvlText w:val="%1."/>
      <w:lvlJc w:val="left"/>
      <w:pPr>
        <w:ind w:left="1421" w:hanging="353"/>
        <w:jc w:val="left"/>
      </w:pPr>
      <w:rPr>
        <w:rFonts w:hint="default" w:ascii="Arial" w:hAnsi="Arial" w:eastAsia="Arial" w:cs="Arial"/>
        <w:spacing w:val="-2"/>
        <w:w w:val="103"/>
        <w:sz w:val="18"/>
        <w:szCs w:val="18"/>
      </w:rPr>
    </w:lvl>
    <w:lvl w:ilvl="1">
      <w:start w:val="0"/>
      <w:numFmt w:val="bullet"/>
      <w:lvlText w:val="•"/>
      <w:lvlJc w:val="left"/>
      <w:pPr>
        <w:ind w:left="1420" w:hanging="353"/>
      </w:pPr>
      <w:rPr>
        <w:rFonts w:hint="default"/>
      </w:rPr>
    </w:lvl>
    <w:lvl w:ilvl="2">
      <w:start w:val="0"/>
      <w:numFmt w:val="bullet"/>
      <w:lvlText w:val="•"/>
      <w:lvlJc w:val="left"/>
      <w:pPr>
        <w:ind w:left="2613" w:hanging="353"/>
      </w:pPr>
      <w:rPr>
        <w:rFonts w:hint="default"/>
      </w:rPr>
    </w:lvl>
    <w:lvl w:ilvl="3">
      <w:start w:val="0"/>
      <w:numFmt w:val="bullet"/>
      <w:lvlText w:val="•"/>
      <w:lvlJc w:val="left"/>
      <w:pPr>
        <w:ind w:left="3806" w:hanging="353"/>
      </w:pPr>
      <w:rPr>
        <w:rFonts w:hint="default"/>
      </w:rPr>
    </w:lvl>
    <w:lvl w:ilvl="4">
      <w:start w:val="0"/>
      <w:numFmt w:val="bullet"/>
      <w:lvlText w:val="•"/>
      <w:lvlJc w:val="left"/>
      <w:pPr>
        <w:ind w:left="5000" w:hanging="353"/>
      </w:pPr>
      <w:rPr>
        <w:rFonts w:hint="default"/>
      </w:rPr>
    </w:lvl>
    <w:lvl w:ilvl="5">
      <w:start w:val="0"/>
      <w:numFmt w:val="bullet"/>
      <w:lvlText w:val="•"/>
      <w:lvlJc w:val="left"/>
      <w:pPr>
        <w:ind w:left="6193" w:hanging="353"/>
      </w:pPr>
      <w:rPr>
        <w:rFonts w:hint="default"/>
      </w:rPr>
    </w:lvl>
    <w:lvl w:ilvl="6">
      <w:start w:val="0"/>
      <w:numFmt w:val="bullet"/>
      <w:lvlText w:val="•"/>
      <w:lvlJc w:val="left"/>
      <w:pPr>
        <w:ind w:left="7386" w:hanging="353"/>
      </w:pPr>
      <w:rPr>
        <w:rFonts w:hint="default"/>
      </w:rPr>
    </w:lvl>
    <w:lvl w:ilvl="7">
      <w:start w:val="0"/>
      <w:numFmt w:val="bullet"/>
      <w:lvlText w:val="•"/>
      <w:lvlJc w:val="left"/>
      <w:pPr>
        <w:ind w:left="8580" w:hanging="353"/>
      </w:pPr>
      <w:rPr>
        <w:rFonts w:hint="default"/>
      </w:rPr>
    </w:lvl>
    <w:lvl w:ilvl="8">
      <w:start w:val="0"/>
      <w:numFmt w:val="bullet"/>
      <w:lvlText w:val="•"/>
      <w:lvlJc w:val="left"/>
      <w:pPr>
        <w:ind w:left="9773" w:hanging="353"/>
      </w:pPr>
      <w:rPr>
        <w:rFonts w:hint="default"/>
      </w:rPr>
    </w:lvl>
  </w:abstractNum>
  <w:abstractNum w:abstractNumId="65">
    <w:multiLevelType w:val="hybridMultilevel"/>
    <w:lvl w:ilvl="0">
      <w:start w:val="1"/>
      <w:numFmt w:val="upperLetter"/>
      <w:lvlText w:val="%1."/>
      <w:lvlJc w:val="left"/>
      <w:pPr>
        <w:ind w:left="1068" w:hanging="267"/>
        <w:jc w:val="left"/>
      </w:pPr>
      <w:rPr>
        <w:rFonts w:hint="default" w:ascii="Arial" w:hAnsi="Arial" w:eastAsia="Arial" w:cs="Arial"/>
        <w:w w:val="103"/>
        <w:sz w:val="18"/>
        <w:szCs w:val="18"/>
      </w:rPr>
    </w:lvl>
    <w:lvl w:ilvl="1">
      <w:start w:val="0"/>
      <w:numFmt w:val="bullet"/>
      <w:lvlText w:val="•"/>
      <w:lvlJc w:val="left"/>
      <w:pPr>
        <w:ind w:left="1519" w:hanging="267"/>
      </w:pPr>
      <w:rPr>
        <w:rFonts w:hint="default"/>
      </w:rPr>
    </w:lvl>
    <w:lvl w:ilvl="2">
      <w:start w:val="0"/>
      <w:numFmt w:val="bullet"/>
      <w:lvlText w:val="•"/>
      <w:lvlJc w:val="left"/>
      <w:pPr>
        <w:ind w:left="1978" w:hanging="267"/>
      </w:pPr>
      <w:rPr>
        <w:rFonts w:hint="default"/>
      </w:rPr>
    </w:lvl>
    <w:lvl w:ilvl="3">
      <w:start w:val="0"/>
      <w:numFmt w:val="bullet"/>
      <w:lvlText w:val="•"/>
      <w:lvlJc w:val="left"/>
      <w:pPr>
        <w:ind w:left="2437" w:hanging="267"/>
      </w:pPr>
      <w:rPr>
        <w:rFonts w:hint="default"/>
      </w:rPr>
    </w:lvl>
    <w:lvl w:ilvl="4">
      <w:start w:val="0"/>
      <w:numFmt w:val="bullet"/>
      <w:lvlText w:val="•"/>
      <w:lvlJc w:val="left"/>
      <w:pPr>
        <w:ind w:left="2896" w:hanging="267"/>
      </w:pPr>
      <w:rPr>
        <w:rFonts w:hint="default"/>
      </w:rPr>
    </w:lvl>
    <w:lvl w:ilvl="5">
      <w:start w:val="0"/>
      <w:numFmt w:val="bullet"/>
      <w:lvlText w:val="•"/>
      <w:lvlJc w:val="left"/>
      <w:pPr>
        <w:ind w:left="3355" w:hanging="267"/>
      </w:pPr>
      <w:rPr>
        <w:rFonts w:hint="default"/>
      </w:rPr>
    </w:lvl>
    <w:lvl w:ilvl="6">
      <w:start w:val="0"/>
      <w:numFmt w:val="bullet"/>
      <w:lvlText w:val="•"/>
      <w:lvlJc w:val="left"/>
      <w:pPr>
        <w:ind w:left="3814" w:hanging="267"/>
      </w:pPr>
      <w:rPr>
        <w:rFonts w:hint="default"/>
      </w:rPr>
    </w:lvl>
    <w:lvl w:ilvl="7">
      <w:start w:val="0"/>
      <w:numFmt w:val="bullet"/>
      <w:lvlText w:val="•"/>
      <w:lvlJc w:val="left"/>
      <w:pPr>
        <w:ind w:left="4273" w:hanging="267"/>
      </w:pPr>
      <w:rPr>
        <w:rFonts w:hint="default"/>
      </w:rPr>
    </w:lvl>
    <w:lvl w:ilvl="8">
      <w:start w:val="0"/>
      <w:numFmt w:val="bullet"/>
      <w:lvlText w:val="•"/>
      <w:lvlJc w:val="left"/>
      <w:pPr>
        <w:ind w:left="4732" w:hanging="267"/>
      </w:pPr>
      <w:rPr>
        <w:rFonts w:hint="default"/>
      </w:rPr>
    </w:lvl>
  </w:abstractNum>
  <w:abstractNum w:abstractNumId="64">
    <w:multiLevelType w:val="hybridMultilevel"/>
    <w:lvl w:ilvl="0">
      <w:start w:val="3"/>
      <w:numFmt w:val="upperLetter"/>
      <w:lvlText w:val="%1."/>
      <w:lvlJc w:val="left"/>
      <w:pPr>
        <w:ind w:left="619" w:hanging="317"/>
        <w:jc w:val="left"/>
      </w:pPr>
      <w:rPr>
        <w:rFonts w:hint="default" w:ascii="Arial" w:hAnsi="Arial" w:eastAsia="Arial" w:cs="Arial"/>
        <w:b/>
        <w:bCs/>
        <w:w w:val="101"/>
        <w:sz w:val="17"/>
        <w:szCs w:val="17"/>
      </w:rPr>
    </w:lvl>
    <w:lvl w:ilvl="1">
      <w:start w:val="1"/>
      <w:numFmt w:val="upperLetter"/>
      <w:lvlText w:val="%2."/>
      <w:lvlJc w:val="left"/>
      <w:pPr>
        <w:ind w:left="1068" w:hanging="267"/>
        <w:jc w:val="left"/>
      </w:pPr>
      <w:rPr>
        <w:rFonts w:hint="default" w:ascii="Arial" w:hAnsi="Arial" w:eastAsia="Arial" w:cs="Arial"/>
        <w:w w:val="103"/>
        <w:position w:val="1"/>
        <w:sz w:val="18"/>
        <w:szCs w:val="18"/>
      </w:rPr>
    </w:lvl>
    <w:lvl w:ilvl="2">
      <w:start w:val="1"/>
      <w:numFmt w:val="decimal"/>
      <w:lvlText w:val="%3."/>
      <w:lvlJc w:val="left"/>
      <w:pPr>
        <w:ind w:left="1421" w:hanging="354"/>
        <w:jc w:val="left"/>
      </w:pPr>
      <w:rPr>
        <w:rFonts w:hint="default" w:ascii="Arial" w:hAnsi="Arial" w:eastAsia="Arial" w:cs="Arial"/>
        <w:spacing w:val="-2"/>
        <w:w w:val="103"/>
        <w:sz w:val="18"/>
        <w:szCs w:val="18"/>
      </w:rPr>
    </w:lvl>
    <w:lvl w:ilvl="3">
      <w:start w:val="0"/>
      <w:numFmt w:val="bullet"/>
      <w:lvlText w:val="•"/>
      <w:lvlJc w:val="left"/>
      <w:pPr>
        <w:ind w:left="1907" w:hanging="354"/>
      </w:pPr>
      <w:rPr>
        <w:rFonts w:hint="default"/>
      </w:rPr>
    </w:lvl>
    <w:lvl w:ilvl="4">
      <w:start w:val="0"/>
      <w:numFmt w:val="bullet"/>
      <w:lvlText w:val="•"/>
      <w:lvlJc w:val="left"/>
      <w:pPr>
        <w:ind w:left="2394" w:hanging="354"/>
      </w:pPr>
      <w:rPr>
        <w:rFonts w:hint="default"/>
      </w:rPr>
    </w:lvl>
    <w:lvl w:ilvl="5">
      <w:start w:val="0"/>
      <w:numFmt w:val="bullet"/>
      <w:lvlText w:val="•"/>
      <w:lvlJc w:val="left"/>
      <w:pPr>
        <w:ind w:left="2882" w:hanging="354"/>
      </w:pPr>
      <w:rPr>
        <w:rFonts w:hint="default"/>
      </w:rPr>
    </w:lvl>
    <w:lvl w:ilvl="6">
      <w:start w:val="0"/>
      <w:numFmt w:val="bullet"/>
      <w:lvlText w:val="•"/>
      <w:lvlJc w:val="left"/>
      <w:pPr>
        <w:ind w:left="3369" w:hanging="354"/>
      </w:pPr>
      <w:rPr>
        <w:rFonts w:hint="default"/>
      </w:rPr>
    </w:lvl>
    <w:lvl w:ilvl="7">
      <w:start w:val="0"/>
      <w:numFmt w:val="bullet"/>
      <w:lvlText w:val="•"/>
      <w:lvlJc w:val="left"/>
      <w:pPr>
        <w:ind w:left="3857" w:hanging="354"/>
      </w:pPr>
      <w:rPr>
        <w:rFonts w:hint="default"/>
      </w:rPr>
    </w:lvl>
    <w:lvl w:ilvl="8">
      <w:start w:val="0"/>
      <w:numFmt w:val="bullet"/>
      <w:lvlText w:val="•"/>
      <w:lvlJc w:val="left"/>
      <w:pPr>
        <w:ind w:left="4344" w:hanging="354"/>
      </w:pPr>
      <w:rPr>
        <w:rFonts w:hint="default"/>
      </w:rPr>
    </w:lvl>
  </w:abstractNum>
  <w:abstractNum w:abstractNumId="63">
    <w:multiLevelType w:val="hybridMultilevel"/>
    <w:lvl w:ilvl="0">
      <w:start w:val="15"/>
      <w:numFmt w:val="decimal"/>
      <w:lvlText w:val="%1."/>
      <w:lvlJc w:val="left"/>
      <w:pPr>
        <w:ind w:left="366" w:hanging="322"/>
        <w:jc w:val="left"/>
      </w:pPr>
      <w:rPr>
        <w:rFonts w:hint="default" w:ascii="Arial" w:hAnsi="Arial" w:eastAsia="Arial" w:cs="Arial"/>
        <w:spacing w:val="-1"/>
        <w:w w:val="102"/>
        <w:sz w:val="14"/>
        <w:szCs w:val="14"/>
      </w:rPr>
    </w:lvl>
    <w:lvl w:ilvl="1">
      <w:start w:val="0"/>
      <w:numFmt w:val="bullet"/>
      <w:lvlText w:val="•"/>
      <w:lvlJc w:val="left"/>
      <w:pPr>
        <w:ind w:left="1323" w:hanging="322"/>
      </w:pPr>
      <w:rPr>
        <w:rFonts w:hint="default"/>
      </w:rPr>
    </w:lvl>
    <w:lvl w:ilvl="2">
      <w:start w:val="0"/>
      <w:numFmt w:val="bullet"/>
      <w:lvlText w:val="•"/>
      <w:lvlJc w:val="left"/>
      <w:pPr>
        <w:ind w:left="2286" w:hanging="322"/>
      </w:pPr>
      <w:rPr>
        <w:rFonts w:hint="default"/>
      </w:rPr>
    </w:lvl>
    <w:lvl w:ilvl="3">
      <w:start w:val="0"/>
      <w:numFmt w:val="bullet"/>
      <w:lvlText w:val="•"/>
      <w:lvlJc w:val="left"/>
      <w:pPr>
        <w:ind w:left="3249" w:hanging="322"/>
      </w:pPr>
      <w:rPr>
        <w:rFonts w:hint="default"/>
      </w:rPr>
    </w:lvl>
    <w:lvl w:ilvl="4">
      <w:start w:val="0"/>
      <w:numFmt w:val="bullet"/>
      <w:lvlText w:val="•"/>
      <w:lvlJc w:val="left"/>
      <w:pPr>
        <w:ind w:left="4212" w:hanging="322"/>
      </w:pPr>
      <w:rPr>
        <w:rFonts w:hint="default"/>
      </w:rPr>
    </w:lvl>
    <w:lvl w:ilvl="5">
      <w:start w:val="0"/>
      <w:numFmt w:val="bullet"/>
      <w:lvlText w:val="•"/>
      <w:lvlJc w:val="left"/>
      <w:pPr>
        <w:ind w:left="5176" w:hanging="322"/>
      </w:pPr>
      <w:rPr>
        <w:rFonts w:hint="default"/>
      </w:rPr>
    </w:lvl>
    <w:lvl w:ilvl="6">
      <w:start w:val="0"/>
      <w:numFmt w:val="bullet"/>
      <w:lvlText w:val="•"/>
      <w:lvlJc w:val="left"/>
      <w:pPr>
        <w:ind w:left="6139" w:hanging="322"/>
      </w:pPr>
      <w:rPr>
        <w:rFonts w:hint="default"/>
      </w:rPr>
    </w:lvl>
    <w:lvl w:ilvl="7">
      <w:start w:val="0"/>
      <w:numFmt w:val="bullet"/>
      <w:lvlText w:val="•"/>
      <w:lvlJc w:val="left"/>
      <w:pPr>
        <w:ind w:left="7102" w:hanging="322"/>
      </w:pPr>
      <w:rPr>
        <w:rFonts w:hint="default"/>
      </w:rPr>
    </w:lvl>
    <w:lvl w:ilvl="8">
      <w:start w:val="0"/>
      <w:numFmt w:val="bullet"/>
      <w:lvlText w:val="•"/>
      <w:lvlJc w:val="left"/>
      <w:pPr>
        <w:ind w:left="8065" w:hanging="322"/>
      </w:pPr>
      <w:rPr>
        <w:rFonts w:hint="default"/>
      </w:rPr>
    </w:lvl>
  </w:abstractNum>
  <w:abstractNum w:abstractNumId="62">
    <w:multiLevelType w:val="hybridMultilevel"/>
    <w:lvl w:ilvl="0">
      <w:start w:val="15"/>
      <w:numFmt w:val="decimal"/>
      <w:lvlText w:val="%1."/>
      <w:lvlJc w:val="left"/>
      <w:pPr>
        <w:ind w:left="366" w:hanging="322"/>
        <w:jc w:val="left"/>
      </w:pPr>
      <w:rPr>
        <w:rFonts w:hint="default" w:ascii="Arial" w:hAnsi="Arial" w:eastAsia="Arial" w:cs="Arial"/>
        <w:spacing w:val="-1"/>
        <w:w w:val="102"/>
        <w:sz w:val="14"/>
        <w:szCs w:val="14"/>
      </w:rPr>
    </w:lvl>
    <w:lvl w:ilvl="1">
      <w:start w:val="0"/>
      <w:numFmt w:val="bullet"/>
      <w:lvlText w:val="•"/>
      <w:lvlJc w:val="left"/>
      <w:pPr>
        <w:ind w:left="1323" w:hanging="322"/>
      </w:pPr>
      <w:rPr>
        <w:rFonts w:hint="default"/>
      </w:rPr>
    </w:lvl>
    <w:lvl w:ilvl="2">
      <w:start w:val="0"/>
      <w:numFmt w:val="bullet"/>
      <w:lvlText w:val="•"/>
      <w:lvlJc w:val="left"/>
      <w:pPr>
        <w:ind w:left="2286" w:hanging="322"/>
      </w:pPr>
      <w:rPr>
        <w:rFonts w:hint="default"/>
      </w:rPr>
    </w:lvl>
    <w:lvl w:ilvl="3">
      <w:start w:val="0"/>
      <w:numFmt w:val="bullet"/>
      <w:lvlText w:val="•"/>
      <w:lvlJc w:val="left"/>
      <w:pPr>
        <w:ind w:left="3249" w:hanging="322"/>
      </w:pPr>
      <w:rPr>
        <w:rFonts w:hint="default"/>
      </w:rPr>
    </w:lvl>
    <w:lvl w:ilvl="4">
      <w:start w:val="0"/>
      <w:numFmt w:val="bullet"/>
      <w:lvlText w:val="•"/>
      <w:lvlJc w:val="left"/>
      <w:pPr>
        <w:ind w:left="4212" w:hanging="322"/>
      </w:pPr>
      <w:rPr>
        <w:rFonts w:hint="default"/>
      </w:rPr>
    </w:lvl>
    <w:lvl w:ilvl="5">
      <w:start w:val="0"/>
      <w:numFmt w:val="bullet"/>
      <w:lvlText w:val="•"/>
      <w:lvlJc w:val="left"/>
      <w:pPr>
        <w:ind w:left="5176" w:hanging="322"/>
      </w:pPr>
      <w:rPr>
        <w:rFonts w:hint="default"/>
      </w:rPr>
    </w:lvl>
    <w:lvl w:ilvl="6">
      <w:start w:val="0"/>
      <w:numFmt w:val="bullet"/>
      <w:lvlText w:val="•"/>
      <w:lvlJc w:val="left"/>
      <w:pPr>
        <w:ind w:left="6139" w:hanging="322"/>
      </w:pPr>
      <w:rPr>
        <w:rFonts w:hint="default"/>
      </w:rPr>
    </w:lvl>
    <w:lvl w:ilvl="7">
      <w:start w:val="0"/>
      <w:numFmt w:val="bullet"/>
      <w:lvlText w:val="•"/>
      <w:lvlJc w:val="left"/>
      <w:pPr>
        <w:ind w:left="7102" w:hanging="322"/>
      </w:pPr>
      <w:rPr>
        <w:rFonts w:hint="default"/>
      </w:rPr>
    </w:lvl>
    <w:lvl w:ilvl="8">
      <w:start w:val="0"/>
      <w:numFmt w:val="bullet"/>
      <w:lvlText w:val="•"/>
      <w:lvlJc w:val="left"/>
      <w:pPr>
        <w:ind w:left="8065" w:hanging="322"/>
      </w:pPr>
      <w:rPr>
        <w:rFonts w:hint="default"/>
      </w:rPr>
    </w:lvl>
  </w:abstractNum>
  <w:abstractNum w:abstractNumId="61">
    <w:multiLevelType w:val="hybridMultilevel"/>
    <w:lvl w:ilvl="0">
      <w:start w:val="2"/>
      <w:numFmt w:val="decimal"/>
      <w:lvlText w:val="%1."/>
      <w:lvlJc w:val="left"/>
      <w:pPr>
        <w:ind w:left="234" w:hanging="135"/>
        <w:jc w:val="left"/>
      </w:pPr>
      <w:rPr>
        <w:rFonts w:hint="default" w:ascii="Times New Roman" w:hAnsi="Times New Roman" w:eastAsia="Times New Roman" w:cs="Times New Roman"/>
        <w:spacing w:val="0"/>
        <w:w w:val="101"/>
        <w:sz w:val="13"/>
        <w:szCs w:val="13"/>
      </w:rPr>
    </w:lvl>
    <w:lvl w:ilvl="1">
      <w:start w:val="0"/>
      <w:numFmt w:val="bullet"/>
      <w:lvlText w:val="•"/>
      <w:lvlJc w:val="left"/>
      <w:pPr>
        <w:ind w:left="736" w:hanging="135"/>
      </w:pPr>
      <w:rPr>
        <w:rFonts w:hint="default"/>
      </w:rPr>
    </w:lvl>
    <w:lvl w:ilvl="2">
      <w:start w:val="0"/>
      <w:numFmt w:val="bullet"/>
      <w:lvlText w:val="•"/>
      <w:lvlJc w:val="left"/>
      <w:pPr>
        <w:ind w:left="1232" w:hanging="135"/>
      </w:pPr>
      <w:rPr>
        <w:rFonts w:hint="default"/>
      </w:rPr>
    </w:lvl>
    <w:lvl w:ilvl="3">
      <w:start w:val="0"/>
      <w:numFmt w:val="bullet"/>
      <w:lvlText w:val="•"/>
      <w:lvlJc w:val="left"/>
      <w:pPr>
        <w:ind w:left="1728" w:hanging="135"/>
      </w:pPr>
      <w:rPr>
        <w:rFonts w:hint="default"/>
      </w:rPr>
    </w:lvl>
    <w:lvl w:ilvl="4">
      <w:start w:val="0"/>
      <w:numFmt w:val="bullet"/>
      <w:lvlText w:val="•"/>
      <w:lvlJc w:val="left"/>
      <w:pPr>
        <w:ind w:left="2225" w:hanging="135"/>
      </w:pPr>
      <w:rPr>
        <w:rFonts w:hint="default"/>
      </w:rPr>
    </w:lvl>
    <w:lvl w:ilvl="5">
      <w:start w:val="0"/>
      <w:numFmt w:val="bullet"/>
      <w:lvlText w:val="•"/>
      <w:lvlJc w:val="left"/>
      <w:pPr>
        <w:ind w:left="2721" w:hanging="135"/>
      </w:pPr>
      <w:rPr>
        <w:rFonts w:hint="default"/>
      </w:rPr>
    </w:lvl>
    <w:lvl w:ilvl="6">
      <w:start w:val="0"/>
      <w:numFmt w:val="bullet"/>
      <w:lvlText w:val="•"/>
      <w:lvlJc w:val="left"/>
      <w:pPr>
        <w:ind w:left="3217" w:hanging="135"/>
      </w:pPr>
      <w:rPr>
        <w:rFonts w:hint="default"/>
      </w:rPr>
    </w:lvl>
    <w:lvl w:ilvl="7">
      <w:start w:val="0"/>
      <w:numFmt w:val="bullet"/>
      <w:lvlText w:val="•"/>
      <w:lvlJc w:val="left"/>
      <w:pPr>
        <w:ind w:left="3714" w:hanging="135"/>
      </w:pPr>
      <w:rPr>
        <w:rFonts w:hint="default"/>
      </w:rPr>
    </w:lvl>
    <w:lvl w:ilvl="8">
      <w:start w:val="0"/>
      <w:numFmt w:val="bullet"/>
      <w:lvlText w:val="•"/>
      <w:lvlJc w:val="left"/>
      <w:pPr>
        <w:ind w:left="4210" w:hanging="135"/>
      </w:pPr>
      <w:rPr>
        <w:rFonts w:hint="default"/>
      </w:rPr>
    </w:lvl>
  </w:abstractNum>
  <w:abstractNum w:abstractNumId="60">
    <w:multiLevelType w:val="hybridMultilevel"/>
    <w:lvl w:ilvl="0">
      <w:start w:val="1"/>
      <w:numFmt w:val="lowerLetter"/>
      <w:lvlText w:val="%1."/>
      <w:lvlJc w:val="left"/>
      <w:pPr>
        <w:ind w:left="358" w:hanging="125"/>
        <w:jc w:val="left"/>
      </w:pPr>
      <w:rPr>
        <w:rFonts w:hint="default" w:ascii="Times New Roman" w:hAnsi="Times New Roman" w:eastAsia="Times New Roman" w:cs="Times New Roman"/>
        <w:w w:val="101"/>
        <w:sz w:val="13"/>
        <w:szCs w:val="13"/>
      </w:rPr>
    </w:lvl>
    <w:lvl w:ilvl="1">
      <w:start w:val="1"/>
      <w:numFmt w:val="decimal"/>
      <w:lvlText w:val="%2."/>
      <w:lvlJc w:val="left"/>
      <w:pPr>
        <w:ind w:left="503" w:hanging="135"/>
        <w:jc w:val="left"/>
      </w:pPr>
      <w:rPr>
        <w:rFonts w:hint="default" w:ascii="Times New Roman" w:hAnsi="Times New Roman" w:eastAsia="Times New Roman" w:cs="Times New Roman"/>
        <w:spacing w:val="0"/>
        <w:w w:val="101"/>
        <w:sz w:val="13"/>
        <w:szCs w:val="13"/>
      </w:rPr>
    </w:lvl>
    <w:lvl w:ilvl="2">
      <w:start w:val="0"/>
      <w:numFmt w:val="bullet"/>
      <w:lvlText w:val="•"/>
      <w:lvlJc w:val="left"/>
      <w:pPr>
        <w:ind w:left="1022" w:hanging="135"/>
      </w:pPr>
      <w:rPr>
        <w:rFonts w:hint="default"/>
      </w:rPr>
    </w:lvl>
    <w:lvl w:ilvl="3">
      <w:start w:val="0"/>
      <w:numFmt w:val="bullet"/>
      <w:lvlText w:val="•"/>
      <w:lvlJc w:val="left"/>
      <w:pPr>
        <w:ind w:left="1545" w:hanging="135"/>
      </w:pPr>
      <w:rPr>
        <w:rFonts w:hint="default"/>
      </w:rPr>
    </w:lvl>
    <w:lvl w:ilvl="4">
      <w:start w:val="0"/>
      <w:numFmt w:val="bullet"/>
      <w:lvlText w:val="•"/>
      <w:lvlJc w:val="left"/>
      <w:pPr>
        <w:ind w:left="2067" w:hanging="135"/>
      </w:pPr>
      <w:rPr>
        <w:rFonts w:hint="default"/>
      </w:rPr>
    </w:lvl>
    <w:lvl w:ilvl="5">
      <w:start w:val="0"/>
      <w:numFmt w:val="bullet"/>
      <w:lvlText w:val="•"/>
      <w:lvlJc w:val="left"/>
      <w:pPr>
        <w:ind w:left="2590" w:hanging="135"/>
      </w:pPr>
      <w:rPr>
        <w:rFonts w:hint="default"/>
      </w:rPr>
    </w:lvl>
    <w:lvl w:ilvl="6">
      <w:start w:val="0"/>
      <w:numFmt w:val="bullet"/>
      <w:lvlText w:val="•"/>
      <w:lvlJc w:val="left"/>
      <w:pPr>
        <w:ind w:left="3112" w:hanging="135"/>
      </w:pPr>
      <w:rPr>
        <w:rFonts w:hint="default"/>
      </w:rPr>
    </w:lvl>
    <w:lvl w:ilvl="7">
      <w:start w:val="0"/>
      <w:numFmt w:val="bullet"/>
      <w:lvlText w:val="•"/>
      <w:lvlJc w:val="left"/>
      <w:pPr>
        <w:ind w:left="3635" w:hanging="135"/>
      </w:pPr>
      <w:rPr>
        <w:rFonts w:hint="default"/>
      </w:rPr>
    </w:lvl>
    <w:lvl w:ilvl="8">
      <w:start w:val="0"/>
      <w:numFmt w:val="bullet"/>
      <w:lvlText w:val="•"/>
      <w:lvlJc w:val="left"/>
      <w:pPr>
        <w:ind w:left="4157" w:hanging="135"/>
      </w:pPr>
      <w:rPr>
        <w:rFonts w:hint="default"/>
      </w:rPr>
    </w:lvl>
  </w:abstractNum>
  <w:abstractNum w:abstractNumId="59">
    <w:multiLevelType w:val="hybridMultilevel"/>
    <w:lvl w:ilvl="0">
      <w:start w:val="1"/>
      <w:numFmt w:val="decimal"/>
      <w:lvlText w:val="%1."/>
      <w:lvlJc w:val="left"/>
      <w:pPr>
        <w:ind w:left="503" w:hanging="135"/>
        <w:jc w:val="left"/>
      </w:pPr>
      <w:rPr>
        <w:rFonts w:hint="default" w:ascii="Times New Roman" w:hAnsi="Times New Roman" w:eastAsia="Times New Roman" w:cs="Times New Roman"/>
        <w:spacing w:val="0"/>
        <w:w w:val="101"/>
        <w:sz w:val="13"/>
        <w:szCs w:val="13"/>
      </w:rPr>
    </w:lvl>
    <w:lvl w:ilvl="1">
      <w:start w:val="0"/>
      <w:numFmt w:val="bullet"/>
      <w:lvlText w:val="•"/>
      <w:lvlJc w:val="left"/>
      <w:pPr>
        <w:ind w:left="500" w:hanging="135"/>
      </w:pPr>
      <w:rPr>
        <w:rFonts w:hint="default"/>
      </w:rPr>
    </w:lvl>
    <w:lvl w:ilvl="2">
      <w:start w:val="0"/>
      <w:numFmt w:val="bullet"/>
      <w:lvlText w:val="•"/>
      <w:lvlJc w:val="left"/>
      <w:pPr>
        <w:ind w:left="864" w:hanging="135"/>
      </w:pPr>
      <w:rPr>
        <w:rFonts w:hint="default"/>
      </w:rPr>
    </w:lvl>
    <w:lvl w:ilvl="3">
      <w:start w:val="0"/>
      <w:numFmt w:val="bullet"/>
      <w:lvlText w:val="•"/>
      <w:lvlJc w:val="left"/>
      <w:pPr>
        <w:ind w:left="1229" w:hanging="135"/>
      </w:pPr>
      <w:rPr>
        <w:rFonts w:hint="default"/>
      </w:rPr>
    </w:lvl>
    <w:lvl w:ilvl="4">
      <w:start w:val="0"/>
      <w:numFmt w:val="bullet"/>
      <w:lvlText w:val="•"/>
      <w:lvlJc w:val="left"/>
      <w:pPr>
        <w:ind w:left="1594" w:hanging="135"/>
      </w:pPr>
      <w:rPr>
        <w:rFonts w:hint="default"/>
      </w:rPr>
    </w:lvl>
    <w:lvl w:ilvl="5">
      <w:start w:val="0"/>
      <w:numFmt w:val="bullet"/>
      <w:lvlText w:val="•"/>
      <w:lvlJc w:val="left"/>
      <w:pPr>
        <w:ind w:left="1959" w:hanging="135"/>
      </w:pPr>
      <w:rPr>
        <w:rFonts w:hint="default"/>
      </w:rPr>
    </w:lvl>
    <w:lvl w:ilvl="6">
      <w:start w:val="0"/>
      <w:numFmt w:val="bullet"/>
      <w:lvlText w:val="•"/>
      <w:lvlJc w:val="left"/>
      <w:pPr>
        <w:ind w:left="2324" w:hanging="135"/>
      </w:pPr>
      <w:rPr>
        <w:rFonts w:hint="default"/>
      </w:rPr>
    </w:lvl>
    <w:lvl w:ilvl="7">
      <w:start w:val="0"/>
      <w:numFmt w:val="bullet"/>
      <w:lvlText w:val="•"/>
      <w:lvlJc w:val="left"/>
      <w:pPr>
        <w:ind w:left="2689" w:hanging="135"/>
      </w:pPr>
      <w:rPr>
        <w:rFonts w:hint="default"/>
      </w:rPr>
    </w:lvl>
    <w:lvl w:ilvl="8">
      <w:start w:val="0"/>
      <w:numFmt w:val="bullet"/>
      <w:lvlText w:val="•"/>
      <w:lvlJc w:val="left"/>
      <w:pPr>
        <w:ind w:left="3054" w:hanging="135"/>
      </w:pPr>
      <w:rPr>
        <w:rFonts w:hint="default"/>
      </w:rPr>
    </w:lvl>
  </w:abstractNum>
  <w:abstractNum w:abstractNumId="58">
    <w:multiLevelType w:val="hybridMultilevel"/>
    <w:lvl w:ilvl="0">
      <w:start w:val="2"/>
      <w:numFmt w:val="lowerLetter"/>
      <w:lvlText w:val="%1."/>
      <w:lvlJc w:val="left"/>
      <w:pPr>
        <w:ind w:left="368" w:hanging="135"/>
        <w:jc w:val="left"/>
      </w:pPr>
      <w:rPr>
        <w:rFonts w:hint="default" w:ascii="Times New Roman" w:hAnsi="Times New Roman" w:eastAsia="Times New Roman" w:cs="Times New Roman"/>
        <w:spacing w:val="0"/>
        <w:w w:val="101"/>
        <w:sz w:val="13"/>
        <w:szCs w:val="13"/>
      </w:rPr>
    </w:lvl>
    <w:lvl w:ilvl="1">
      <w:start w:val="1"/>
      <w:numFmt w:val="decimal"/>
      <w:lvlText w:val="%2."/>
      <w:lvlJc w:val="left"/>
      <w:pPr>
        <w:ind w:left="503" w:hanging="135"/>
        <w:jc w:val="left"/>
      </w:pPr>
      <w:rPr>
        <w:rFonts w:hint="default" w:ascii="Times New Roman" w:hAnsi="Times New Roman" w:eastAsia="Times New Roman" w:cs="Times New Roman"/>
        <w:spacing w:val="0"/>
        <w:w w:val="101"/>
        <w:sz w:val="13"/>
        <w:szCs w:val="13"/>
      </w:rPr>
    </w:lvl>
    <w:lvl w:ilvl="2">
      <w:start w:val="0"/>
      <w:numFmt w:val="bullet"/>
      <w:lvlText w:val="•"/>
      <w:lvlJc w:val="left"/>
      <w:pPr>
        <w:ind w:left="864" w:hanging="135"/>
      </w:pPr>
      <w:rPr>
        <w:rFonts w:hint="default"/>
      </w:rPr>
    </w:lvl>
    <w:lvl w:ilvl="3">
      <w:start w:val="0"/>
      <w:numFmt w:val="bullet"/>
      <w:lvlText w:val="•"/>
      <w:lvlJc w:val="left"/>
      <w:pPr>
        <w:ind w:left="1229" w:hanging="135"/>
      </w:pPr>
      <w:rPr>
        <w:rFonts w:hint="default"/>
      </w:rPr>
    </w:lvl>
    <w:lvl w:ilvl="4">
      <w:start w:val="0"/>
      <w:numFmt w:val="bullet"/>
      <w:lvlText w:val="•"/>
      <w:lvlJc w:val="left"/>
      <w:pPr>
        <w:ind w:left="1594" w:hanging="135"/>
      </w:pPr>
      <w:rPr>
        <w:rFonts w:hint="default"/>
      </w:rPr>
    </w:lvl>
    <w:lvl w:ilvl="5">
      <w:start w:val="0"/>
      <w:numFmt w:val="bullet"/>
      <w:lvlText w:val="•"/>
      <w:lvlJc w:val="left"/>
      <w:pPr>
        <w:ind w:left="1959" w:hanging="135"/>
      </w:pPr>
      <w:rPr>
        <w:rFonts w:hint="default"/>
      </w:rPr>
    </w:lvl>
    <w:lvl w:ilvl="6">
      <w:start w:val="0"/>
      <w:numFmt w:val="bullet"/>
      <w:lvlText w:val="•"/>
      <w:lvlJc w:val="left"/>
      <w:pPr>
        <w:ind w:left="2324" w:hanging="135"/>
      </w:pPr>
      <w:rPr>
        <w:rFonts w:hint="default"/>
      </w:rPr>
    </w:lvl>
    <w:lvl w:ilvl="7">
      <w:start w:val="0"/>
      <w:numFmt w:val="bullet"/>
      <w:lvlText w:val="•"/>
      <w:lvlJc w:val="left"/>
      <w:pPr>
        <w:ind w:left="2689" w:hanging="135"/>
      </w:pPr>
      <w:rPr>
        <w:rFonts w:hint="default"/>
      </w:rPr>
    </w:lvl>
    <w:lvl w:ilvl="8">
      <w:start w:val="0"/>
      <w:numFmt w:val="bullet"/>
      <w:lvlText w:val="•"/>
      <w:lvlJc w:val="left"/>
      <w:pPr>
        <w:ind w:left="3054" w:hanging="135"/>
      </w:pPr>
      <w:rPr>
        <w:rFonts w:hint="default"/>
      </w:rPr>
    </w:lvl>
  </w:abstractNum>
  <w:abstractNum w:abstractNumId="57">
    <w:multiLevelType w:val="hybridMultilevel"/>
    <w:lvl w:ilvl="0">
      <w:start w:val="2"/>
      <w:numFmt w:val="decimal"/>
      <w:lvlText w:val="%1."/>
      <w:lvlJc w:val="left"/>
      <w:pPr>
        <w:ind w:left="267" w:hanging="168"/>
        <w:jc w:val="left"/>
      </w:pPr>
      <w:rPr>
        <w:rFonts w:hint="default" w:ascii="Times New Roman" w:hAnsi="Times New Roman" w:eastAsia="Times New Roman" w:cs="Times New Roman"/>
        <w:spacing w:val="0"/>
        <w:w w:val="101"/>
        <w:sz w:val="13"/>
        <w:szCs w:val="13"/>
      </w:rPr>
    </w:lvl>
    <w:lvl w:ilvl="1">
      <w:start w:val="0"/>
      <w:numFmt w:val="bullet"/>
      <w:lvlText w:val="•"/>
      <w:lvlJc w:val="left"/>
      <w:pPr>
        <w:ind w:left="612" w:hanging="168"/>
      </w:pPr>
      <w:rPr>
        <w:rFonts w:hint="default"/>
      </w:rPr>
    </w:lvl>
    <w:lvl w:ilvl="2">
      <w:start w:val="0"/>
      <w:numFmt w:val="bullet"/>
      <w:lvlText w:val="•"/>
      <w:lvlJc w:val="left"/>
      <w:pPr>
        <w:ind w:left="964" w:hanging="168"/>
      </w:pPr>
      <w:rPr>
        <w:rFonts w:hint="default"/>
      </w:rPr>
    </w:lvl>
    <w:lvl w:ilvl="3">
      <w:start w:val="0"/>
      <w:numFmt w:val="bullet"/>
      <w:lvlText w:val="•"/>
      <w:lvlJc w:val="left"/>
      <w:pPr>
        <w:ind w:left="1317" w:hanging="168"/>
      </w:pPr>
      <w:rPr>
        <w:rFonts w:hint="default"/>
      </w:rPr>
    </w:lvl>
    <w:lvl w:ilvl="4">
      <w:start w:val="0"/>
      <w:numFmt w:val="bullet"/>
      <w:lvlText w:val="•"/>
      <w:lvlJc w:val="left"/>
      <w:pPr>
        <w:ind w:left="1669" w:hanging="168"/>
      </w:pPr>
      <w:rPr>
        <w:rFonts w:hint="default"/>
      </w:rPr>
    </w:lvl>
    <w:lvl w:ilvl="5">
      <w:start w:val="0"/>
      <w:numFmt w:val="bullet"/>
      <w:lvlText w:val="•"/>
      <w:lvlJc w:val="left"/>
      <w:pPr>
        <w:ind w:left="2022" w:hanging="168"/>
      </w:pPr>
      <w:rPr>
        <w:rFonts w:hint="default"/>
      </w:rPr>
    </w:lvl>
    <w:lvl w:ilvl="6">
      <w:start w:val="0"/>
      <w:numFmt w:val="bullet"/>
      <w:lvlText w:val="•"/>
      <w:lvlJc w:val="left"/>
      <w:pPr>
        <w:ind w:left="2374" w:hanging="168"/>
      </w:pPr>
      <w:rPr>
        <w:rFonts w:hint="default"/>
      </w:rPr>
    </w:lvl>
    <w:lvl w:ilvl="7">
      <w:start w:val="0"/>
      <w:numFmt w:val="bullet"/>
      <w:lvlText w:val="•"/>
      <w:lvlJc w:val="left"/>
      <w:pPr>
        <w:ind w:left="2726" w:hanging="168"/>
      </w:pPr>
      <w:rPr>
        <w:rFonts w:hint="default"/>
      </w:rPr>
    </w:lvl>
    <w:lvl w:ilvl="8">
      <w:start w:val="0"/>
      <w:numFmt w:val="bullet"/>
      <w:lvlText w:val="•"/>
      <w:lvlJc w:val="left"/>
      <w:pPr>
        <w:ind w:left="3079" w:hanging="168"/>
      </w:pPr>
      <w:rPr>
        <w:rFonts w:hint="default"/>
      </w:rPr>
    </w:lvl>
  </w:abstractNum>
  <w:abstractNum w:abstractNumId="56">
    <w:multiLevelType w:val="hybridMultilevel"/>
    <w:lvl w:ilvl="0">
      <w:start w:val="9"/>
      <w:numFmt w:val="decimal"/>
      <w:lvlText w:val="%1."/>
      <w:lvlJc w:val="left"/>
      <w:pPr>
        <w:ind w:left="267" w:hanging="168"/>
        <w:jc w:val="left"/>
      </w:pPr>
      <w:rPr>
        <w:rFonts w:hint="default" w:ascii="Times New Roman" w:hAnsi="Times New Roman" w:eastAsia="Times New Roman" w:cs="Times New Roman"/>
        <w:spacing w:val="0"/>
        <w:w w:val="101"/>
        <w:sz w:val="13"/>
        <w:szCs w:val="13"/>
      </w:rPr>
    </w:lvl>
    <w:lvl w:ilvl="1">
      <w:start w:val="1"/>
      <w:numFmt w:val="lowerLetter"/>
      <w:lvlText w:val="%2."/>
      <w:lvlJc w:val="left"/>
      <w:pPr>
        <w:ind w:left="358" w:hanging="159"/>
        <w:jc w:val="left"/>
      </w:pPr>
      <w:rPr>
        <w:rFonts w:hint="default" w:ascii="Times New Roman" w:hAnsi="Times New Roman" w:eastAsia="Times New Roman" w:cs="Times New Roman"/>
        <w:w w:val="101"/>
        <w:sz w:val="13"/>
        <w:szCs w:val="13"/>
      </w:rPr>
    </w:lvl>
    <w:lvl w:ilvl="2">
      <w:start w:val="0"/>
      <w:numFmt w:val="bullet"/>
      <w:lvlText w:val="•"/>
      <w:lvlJc w:val="left"/>
      <w:pPr>
        <w:ind w:left="740" w:hanging="159"/>
      </w:pPr>
      <w:rPr>
        <w:rFonts w:hint="default"/>
      </w:rPr>
    </w:lvl>
    <w:lvl w:ilvl="3">
      <w:start w:val="0"/>
      <w:numFmt w:val="bullet"/>
      <w:lvlText w:val="•"/>
      <w:lvlJc w:val="left"/>
      <w:pPr>
        <w:ind w:left="1120" w:hanging="159"/>
      </w:pPr>
      <w:rPr>
        <w:rFonts w:hint="default"/>
      </w:rPr>
    </w:lvl>
    <w:lvl w:ilvl="4">
      <w:start w:val="0"/>
      <w:numFmt w:val="bullet"/>
      <w:lvlText w:val="•"/>
      <w:lvlJc w:val="left"/>
      <w:pPr>
        <w:ind w:left="1501" w:hanging="159"/>
      </w:pPr>
      <w:rPr>
        <w:rFonts w:hint="default"/>
      </w:rPr>
    </w:lvl>
    <w:lvl w:ilvl="5">
      <w:start w:val="0"/>
      <w:numFmt w:val="bullet"/>
      <w:lvlText w:val="•"/>
      <w:lvlJc w:val="left"/>
      <w:pPr>
        <w:ind w:left="1881" w:hanging="159"/>
      </w:pPr>
      <w:rPr>
        <w:rFonts w:hint="default"/>
      </w:rPr>
    </w:lvl>
    <w:lvl w:ilvl="6">
      <w:start w:val="0"/>
      <w:numFmt w:val="bullet"/>
      <w:lvlText w:val="•"/>
      <w:lvlJc w:val="left"/>
      <w:pPr>
        <w:ind w:left="2262" w:hanging="159"/>
      </w:pPr>
      <w:rPr>
        <w:rFonts w:hint="default"/>
      </w:rPr>
    </w:lvl>
    <w:lvl w:ilvl="7">
      <w:start w:val="0"/>
      <w:numFmt w:val="bullet"/>
      <w:lvlText w:val="•"/>
      <w:lvlJc w:val="left"/>
      <w:pPr>
        <w:ind w:left="2642" w:hanging="159"/>
      </w:pPr>
      <w:rPr>
        <w:rFonts w:hint="default"/>
      </w:rPr>
    </w:lvl>
    <w:lvl w:ilvl="8">
      <w:start w:val="0"/>
      <w:numFmt w:val="bullet"/>
      <w:lvlText w:val="•"/>
      <w:lvlJc w:val="left"/>
      <w:pPr>
        <w:ind w:left="3023" w:hanging="159"/>
      </w:pPr>
      <w:rPr>
        <w:rFonts w:hint="default"/>
      </w:rPr>
    </w:lvl>
  </w:abstractNum>
  <w:abstractNum w:abstractNumId="55">
    <w:multiLevelType w:val="hybridMultilevel"/>
    <w:lvl w:ilvl="0">
      <w:start w:val="5"/>
      <w:numFmt w:val="decimal"/>
      <w:lvlText w:val="%1."/>
      <w:lvlJc w:val="left"/>
      <w:pPr>
        <w:ind w:left="267" w:hanging="168"/>
        <w:jc w:val="left"/>
      </w:pPr>
      <w:rPr>
        <w:rFonts w:hint="default" w:ascii="Times New Roman" w:hAnsi="Times New Roman" w:eastAsia="Times New Roman" w:cs="Times New Roman"/>
        <w:spacing w:val="0"/>
        <w:w w:val="101"/>
        <w:sz w:val="13"/>
        <w:szCs w:val="13"/>
      </w:rPr>
    </w:lvl>
    <w:lvl w:ilvl="1">
      <w:start w:val="1"/>
      <w:numFmt w:val="lowerLetter"/>
      <w:lvlText w:val="%2."/>
      <w:lvlJc w:val="left"/>
      <w:pPr>
        <w:ind w:left="358" w:hanging="159"/>
        <w:jc w:val="left"/>
      </w:pPr>
      <w:rPr>
        <w:rFonts w:hint="default" w:ascii="Times New Roman" w:hAnsi="Times New Roman" w:eastAsia="Times New Roman" w:cs="Times New Roman"/>
        <w:w w:val="101"/>
        <w:sz w:val="13"/>
        <w:szCs w:val="13"/>
      </w:rPr>
    </w:lvl>
    <w:lvl w:ilvl="2">
      <w:start w:val="0"/>
      <w:numFmt w:val="bullet"/>
      <w:lvlText w:val="•"/>
      <w:lvlJc w:val="left"/>
      <w:pPr>
        <w:ind w:left="740" w:hanging="159"/>
      </w:pPr>
      <w:rPr>
        <w:rFonts w:hint="default"/>
      </w:rPr>
    </w:lvl>
    <w:lvl w:ilvl="3">
      <w:start w:val="0"/>
      <w:numFmt w:val="bullet"/>
      <w:lvlText w:val="•"/>
      <w:lvlJc w:val="left"/>
      <w:pPr>
        <w:ind w:left="1120" w:hanging="159"/>
      </w:pPr>
      <w:rPr>
        <w:rFonts w:hint="default"/>
      </w:rPr>
    </w:lvl>
    <w:lvl w:ilvl="4">
      <w:start w:val="0"/>
      <w:numFmt w:val="bullet"/>
      <w:lvlText w:val="•"/>
      <w:lvlJc w:val="left"/>
      <w:pPr>
        <w:ind w:left="1501" w:hanging="159"/>
      </w:pPr>
      <w:rPr>
        <w:rFonts w:hint="default"/>
      </w:rPr>
    </w:lvl>
    <w:lvl w:ilvl="5">
      <w:start w:val="0"/>
      <w:numFmt w:val="bullet"/>
      <w:lvlText w:val="•"/>
      <w:lvlJc w:val="left"/>
      <w:pPr>
        <w:ind w:left="1881" w:hanging="159"/>
      </w:pPr>
      <w:rPr>
        <w:rFonts w:hint="default"/>
      </w:rPr>
    </w:lvl>
    <w:lvl w:ilvl="6">
      <w:start w:val="0"/>
      <w:numFmt w:val="bullet"/>
      <w:lvlText w:val="•"/>
      <w:lvlJc w:val="left"/>
      <w:pPr>
        <w:ind w:left="2262" w:hanging="159"/>
      </w:pPr>
      <w:rPr>
        <w:rFonts w:hint="default"/>
      </w:rPr>
    </w:lvl>
    <w:lvl w:ilvl="7">
      <w:start w:val="0"/>
      <w:numFmt w:val="bullet"/>
      <w:lvlText w:val="•"/>
      <w:lvlJc w:val="left"/>
      <w:pPr>
        <w:ind w:left="2642" w:hanging="159"/>
      </w:pPr>
      <w:rPr>
        <w:rFonts w:hint="default"/>
      </w:rPr>
    </w:lvl>
    <w:lvl w:ilvl="8">
      <w:start w:val="0"/>
      <w:numFmt w:val="bullet"/>
      <w:lvlText w:val="•"/>
      <w:lvlJc w:val="left"/>
      <w:pPr>
        <w:ind w:left="3023" w:hanging="159"/>
      </w:pPr>
      <w:rPr>
        <w:rFonts w:hint="default"/>
      </w:rPr>
    </w:lvl>
  </w:abstractNum>
  <w:abstractNum w:abstractNumId="54">
    <w:multiLevelType w:val="hybridMultilevel"/>
    <w:lvl w:ilvl="0">
      <w:start w:val="1"/>
      <w:numFmt w:val="decimal"/>
      <w:lvlText w:val="%1."/>
      <w:lvlJc w:val="left"/>
      <w:pPr>
        <w:ind w:left="234" w:hanging="135"/>
        <w:jc w:val="left"/>
      </w:pPr>
      <w:rPr>
        <w:rFonts w:hint="default" w:ascii="Times New Roman" w:hAnsi="Times New Roman" w:eastAsia="Times New Roman" w:cs="Times New Roman"/>
        <w:spacing w:val="0"/>
        <w:w w:val="101"/>
        <w:sz w:val="13"/>
        <w:szCs w:val="13"/>
      </w:rPr>
    </w:lvl>
    <w:lvl w:ilvl="1">
      <w:start w:val="0"/>
      <w:numFmt w:val="bullet"/>
      <w:lvlText w:val="•"/>
      <w:lvlJc w:val="left"/>
      <w:pPr>
        <w:ind w:left="240" w:hanging="135"/>
      </w:pPr>
      <w:rPr>
        <w:rFonts w:hint="default"/>
      </w:rPr>
    </w:lvl>
    <w:lvl w:ilvl="2">
      <w:start w:val="0"/>
      <w:numFmt w:val="bullet"/>
      <w:lvlText w:val="•"/>
      <w:lvlJc w:val="left"/>
      <w:pPr>
        <w:ind w:left="633" w:hanging="135"/>
      </w:pPr>
      <w:rPr>
        <w:rFonts w:hint="default"/>
      </w:rPr>
    </w:lvl>
    <w:lvl w:ilvl="3">
      <w:start w:val="0"/>
      <w:numFmt w:val="bullet"/>
      <w:lvlText w:val="•"/>
      <w:lvlJc w:val="left"/>
      <w:pPr>
        <w:ind w:left="1027" w:hanging="135"/>
      </w:pPr>
      <w:rPr>
        <w:rFonts w:hint="default"/>
      </w:rPr>
    </w:lvl>
    <w:lvl w:ilvl="4">
      <w:start w:val="0"/>
      <w:numFmt w:val="bullet"/>
      <w:lvlText w:val="•"/>
      <w:lvlJc w:val="left"/>
      <w:pPr>
        <w:ind w:left="1421" w:hanging="135"/>
      </w:pPr>
      <w:rPr>
        <w:rFonts w:hint="default"/>
      </w:rPr>
    </w:lvl>
    <w:lvl w:ilvl="5">
      <w:start w:val="0"/>
      <w:numFmt w:val="bullet"/>
      <w:lvlText w:val="•"/>
      <w:lvlJc w:val="left"/>
      <w:pPr>
        <w:ind w:left="1815" w:hanging="135"/>
      </w:pPr>
      <w:rPr>
        <w:rFonts w:hint="default"/>
      </w:rPr>
    </w:lvl>
    <w:lvl w:ilvl="6">
      <w:start w:val="0"/>
      <w:numFmt w:val="bullet"/>
      <w:lvlText w:val="•"/>
      <w:lvlJc w:val="left"/>
      <w:pPr>
        <w:ind w:left="2208" w:hanging="135"/>
      </w:pPr>
      <w:rPr>
        <w:rFonts w:hint="default"/>
      </w:rPr>
    </w:lvl>
    <w:lvl w:ilvl="7">
      <w:start w:val="0"/>
      <w:numFmt w:val="bullet"/>
      <w:lvlText w:val="•"/>
      <w:lvlJc w:val="left"/>
      <w:pPr>
        <w:ind w:left="2602" w:hanging="135"/>
      </w:pPr>
      <w:rPr>
        <w:rFonts w:hint="default"/>
      </w:rPr>
    </w:lvl>
    <w:lvl w:ilvl="8">
      <w:start w:val="0"/>
      <w:numFmt w:val="bullet"/>
      <w:lvlText w:val="•"/>
      <w:lvlJc w:val="left"/>
      <w:pPr>
        <w:ind w:left="2996" w:hanging="135"/>
      </w:pPr>
      <w:rPr>
        <w:rFonts w:hint="default"/>
      </w:rPr>
    </w:lvl>
  </w:abstractNum>
  <w:abstractNum w:abstractNumId="53">
    <w:multiLevelType w:val="hybridMultilevel"/>
    <w:lvl w:ilvl="0">
      <w:start w:val="5"/>
      <w:numFmt w:val="upperLetter"/>
      <w:lvlText w:val="%1."/>
      <w:lvlJc w:val="left"/>
      <w:pPr>
        <w:ind w:left="149" w:hanging="150"/>
        <w:jc w:val="left"/>
      </w:pPr>
      <w:rPr>
        <w:rFonts w:hint="default" w:ascii="Times New Roman" w:hAnsi="Times New Roman" w:eastAsia="Times New Roman" w:cs="Times New Roman"/>
        <w:w w:val="103"/>
        <w:sz w:val="13"/>
        <w:szCs w:val="13"/>
      </w:rPr>
    </w:lvl>
    <w:lvl w:ilvl="1">
      <w:start w:val="1"/>
      <w:numFmt w:val="decimal"/>
      <w:lvlText w:val="%2."/>
      <w:lvlJc w:val="left"/>
      <w:pPr>
        <w:ind w:left="201" w:hanging="135"/>
        <w:jc w:val="left"/>
      </w:pPr>
      <w:rPr>
        <w:rFonts w:hint="default" w:ascii="Times New Roman" w:hAnsi="Times New Roman" w:eastAsia="Times New Roman" w:cs="Times New Roman"/>
        <w:w w:val="103"/>
        <w:sz w:val="13"/>
        <w:szCs w:val="13"/>
      </w:rPr>
    </w:lvl>
    <w:lvl w:ilvl="2">
      <w:start w:val="1"/>
      <w:numFmt w:val="lowerLetter"/>
      <w:lvlText w:val="%3."/>
      <w:lvlJc w:val="left"/>
      <w:pPr>
        <w:ind w:left="328" w:hanging="128"/>
        <w:jc w:val="left"/>
      </w:pPr>
      <w:rPr>
        <w:rFonts w:hint="default" w:ascii="Times New Roman" w:hAnsi="Times New Roman" w:eastAsia="Times New Roman" w:cs="Times New Roman"/>
        <w:w w:val="103"/>
        <w:sz w:val="13"/>
        <w:szCs w:val="13"/>
      </w:rPr>
    </w:lvl>
    <w:lvl w:ilvl="3">
      <w:start w:val="0"/>
      <w:numFmt w:val="bullet"/>
      <w:lvlText w:val="•"/>
      <w:lvlJc w:val="left"/>
      <w:pPr>
        <w:ind w:left="700" w:hanging="128"/>
      </w:pPr>
      <w:rPr>
        <w:rFonts w:hint="default"/>
      </w:rPr>
    </w:lvl>
    <w:lvl w:ilvl="4">
      <w:start w:val="0"/>
      <w:numFmt w:val="bullet"/>
      <w:lvlText w:val="•"/>
      <w:lvlJc w:val="left"/>
      <w:pPr>
        <w:ind w:left="1080" w:hanging="128"/>
      </w:pPr>
      <w:rPr>
        <w:rFonts w:hint="default"/>
      </w:rPr>
    </w:lvl>
    <w:lvl w:ilvl="5">
      <w:start w:val="0"/>
      <w:numFmt w:val="bullet"/>
      <w:lvlText w:val="•"/>
      <w:lvlJc w:val="left"/>
      <w:pPr>
        <w:ind w:left="1461" w:hanging="128"/>
      </w:pPr>
      <w:rPr>
        <w:rFonts w:hint="default"/>
      </w:rPr>
    </w:lvl>
    <w:lvl w:ilvl="6">
      <w:start w:val="0"/>
      <w:numFmt w:val="bullet"/>
      <w:lvlText w:val="•"/>
      <w:lvlJc w:val="left"/>
      <w:pPr>
        <w:ind w:left="1841" w:hanging="128"/>
      </w:pPr>
      <w:rPr>
        <w:rFonts w:hint="default"/>
      </w:rPr>
    </w:lvl>
    <w:lvl w:ilvl="7">
      <w:start w:val="0"/>
      <w:numFmt w:val="bullet"/>
      <w:lvlText w:val="•"/>
      <w:lvlJc w:val="left"/>
      <w:pPr>
        <w:ind w:left="2222" w:hanging="128"/>
      </w:pPr>
      <w:rPr>
        <w:rFonts w:hint="default"/>
      </w:rPr>
    </w:lvl>
    <w:lvl w:ilvl="8">
      <w:start w:val="0"/>
      <w:numFmt w:val="bullet"/>
      <w:lvlText w:val="•"/>
      <w:lvlJc w:val="left"/>
      <w:pPr>
        <w:ind w:left="2602" w:hanging="128"/>
      </w:pPr>
      <w:rPr>
        <w:rFonts w:hint="default"/>
      </w:rPr>
    </w:lvl>
  </w:abstractNum>
  <w:abstractNum w:abstractNumId="52">
    <w:multiLevelType w:val="hybridMultilevel"/>
    <w:lvl w:ilvl="0">
      <w:start w:val="5"/>
      <w:numFmt w:val="decimal"/>
      <w:lvlText w:val="%1."/>
      <w:lvlJc w:val="left"/>
      <w:pPr>
        <w:ind w:left="996" w:hanging="168"/>
        <w:jc w:val="left"/>
      </w:pPr>
      <w:rPr>
        <w:rFonts w:hint="default" w:ascii="Times New Roman" w:hAnsi="Times New Roman" w:eastAsia="Times New Roman" w:cs="Times New Roman"/>
        <w:w w:val="103"/>
        <w:sz w:val="13"/>
        <w:szCs w:val="13"/>
      </w:rPr>
    </w:lvl>
    <w:lvl w:ilvl="1">
      <w:start w:val="9"/>
      <w:numFmt w:val="decimal"/>
      <w:lvlText w:val="%2."/>
      <w:lvlJc w:val="left"/>
      <w:pPr>
        <w:ind w:left="1421" w:hanging="354"/>
        <w:jc w:val="left"/>
      </w:pPr>
      <w:rPr>
        <w:rFonts w:hint="default" w:ascii="Arial" w:hAnsi="Arial" w:eastAsia="Arial" w:cs="Arial"/>
        <w:spacing w:val="-2"/>
        <w:w w:val="103"/>
        <w:sz w:val="18"/>
        <w:szCs w:val="18"/>
      </w:rPr>
    </w:lvl>
    <w:lvl w:ilvl="2">
      <w:start w:val="0"/>
      <w:numFmt w:val="bullet"/>
      <w:lvlText w:val="•"/>
      <w:lvlJc w:val="left"/>
      <w:pPr>
        <w:ind w:left="1870" w:hanging="354"/>
      </w:pPr>
      <w:rPr>
        <w:rFonts w:hint="default"/>
      </w:rPr>
    </w:lvl>
    <w:lvl w:ilvl="3">
      <w:start w:val="0"/>
      <w:numFmt w:val="bullet"/>
      <w:lvlText w:val="•"/>
      <w:lvlJc w:val="left"/>
      <w:pPr>
        <w:ind w:left="2320" w:hanging="354"/>
      </w:pPr>
      <w:rPr>
        <w:rFonts w:hint="default"/>
      </w:rPr>
    </w:lvl>
    <w:lvl w:ilvl="4">
      <w:start w:val="0"/>
      <w:numFmt w:val="bullet"/>
      <w:lvlText w:val="•"/>
      <w:lvlJc w:val="left"/>
      <w:pPr>
        <w:ind w:left="2771" w:hanging="354"/>
      </w:pPr>
      <w:rPr>
        <w:rFonts w:hint="default"/>
      </w:rPr>
    </w:lvl>
    <w:lvl w:ilvl="5">
      <w:start w:val="0"/>
      <w:numFmt w:val="bullet"/>
      <w:lvlText w:val="•"/>
      <w:lvlJc w:val="left"/>
      <w:pPr>
        <w:ind w:left="3221" w:hanging="354"/>
      </w:pPr>
      <w:rPr>
        <w:rFonts w:hint="default"/>
      </w:rPr>
    </w:lvl>
    <w:lvl w:ilvl="6">
      <w:start w:val="0"/>
      <w:numFmt w:val="bullet"/>
      <w:lvlText w:val="•"/>
      <w:lvlJc w:val="left"/>
      <w:pPr>
        <w:ind w:left="3671" w:hanging="354"/>
      </w:pPr>
      <w:rPr>
        <w:rFonts w:hint="default"/>
      </w:rPr>
    </w:lvl>
    <w:lvl w:ilvl="7">
      <w:start w:val="0"/>
      <w:numFmt w:val="bullet"/>
      <w:lvlText w:val="•"/>
      <w:lvlJc w:val="left"/>
      <w:pPr>
        <w:ind w:left="4122" w:hanging="354"/>
      </w:pPr>
      <w:rPr>
        <w:rFonts w:hint="default"/>
      </w:rPr>
    </w:lvl>
    <w:lvl w:ilvl="8">
      <w:start w:val="0"/>
      <w:numFmt w:val="bullet"/>
      <w:lvlText w:val="•"/>
      <w:lvlJc w:val="left"/>
      <w:pPr>
        <w:ind w:left="4572" w:hanging="354"/>
      </w:pPr>
      <w:rPr>
        <w:rFonts w:hint="default"/>
      </w:rPr>
    </w:lvl>
  </w:abstractNum>
  <w:abstractNum w:abstractNumId="51">
    <w:multiLevelType w:val="hybridMultilevel"/>
    <w:lvl w:ilvl="0">
      <w:start w:val="5"/>
      <w:numFmt w:val="upperLetter"/>
      <w:lvlText w:val="%1."/>
      <w:lvlJc w:val="left"/>
      <w:pPr>
        <w:ind w:left="149" w:hanging="150"/>
        <w:jc w:val="left"/>
      </w:pPr>
      <w:rPr>
        <w:rFonts w:hint="default" w:ascii="Times New Roman" w:hAnsi="Times New Roman" w:eastAsia="Times New Roman" w:cs="Times New Roman"/>
        <w:w w:val="103"/>
        <w:sz w:val="13"/>
        <w:szCs w:val="13"/>
      </w:rPr>
    </w:lvl>
    <w:lvl w:ilvl="1">
      <w:start w:val="1"/>
      <w:numFmt w:val="decimal"/>
      <w:lvlText w:val="%2."/>
      <w:lvlJc w:val="left"/>
      <w:pPr>
        <w:ind w:left="201" w:hanging="135"/>
        <w:jc w:val="left"/>
      </w:pPr>
      <w:rPr>
        <w:rFonts w:hint="default" w:ascii="Times New Roman" w:hAnsi="Times New Roman" w:eastAsia="Times New Roman" w:cs="Times New Roman"/>
        <w:w w:val="103"/>
        <w:sz w:val="13"/>
        <w:szCs w:val="13"/>
      </w:rPr>
    </w:lvl>
    <w:lvl w:ilvl="2">
      <w:start w:val="1"/>
      <w:numFmt w:val="lowerLetter"/>
      <w:lvlText w:val="%3."/>
      <w:lvlJc w:val="left"/>
      <w:pPr>
        <w:ind w:left="328" w:hanging="128"/>
        <w:jc w:val="left"/>
      </w:pPr>
      <w:rPr>
        <w:rFonts w:hint="default" w:ascii="Times New Roman" w:hAnsi="Times New Roman" w:eastAsia="Times New Roman" w:cs="Times New Roman"/>
        <w:w w:val="103"/>
        <w:sz w:val="13"/>
        <w:szCs w:val="13"/>
      </w:rPr>
    </w:lvl>
    <w:lvl w:ilvl="3">
      <w:start w:val="0"/>
      <w:numFmt w:val="bullet"/>
      <w:lvlText w:val="•"/>
      <w:lvlJc w:val="left"/>
      <w:pPr>
        <w:ind w:left="704" w:hanging="128"/>
      </w:pPr>
      <w:rPr>
        <w:rFonts w:hint="default"/>
      </w:rPr>
    </w:lvl>
    <w:lvl w:ilvl="4">
      <w:start w:val="0"/>
      <w:numFmt w:val="bullet"/>
      <w:lvlText w:val="•"/>
      <w:lvlJc w:val="left"/>
      <w:pPr>
        <w:ind w:left="1089" w:hanging="128"/>
      </w:pPr>
      <w:rPr>
        <w:rFonts w:hint="default"/>
      </w:rPr>
    </w:lvl>
    <w:lvl w:ilvl="5">
      <w:start w:val="0"/>
      <w:numFmt w:val="bullet"/>
      <w:lvlText w:val="•"/>
      <w:lvlJc w:val="left"/>
      <w:pPr>
        <w:ind w:left="1474" w:hanging="128"/>
      </w:pPr>
      <w:rPr>
        <w:rFonts w:hint="default"/>
      </w:rPr>
    </w:lvl>
    <w:lvl w:ilvl="6">
      <w:start w:val="0"/>
      <w:numFmt w:val="bullet"/>
      <w:lvlText w:val="•"/>
      <w:lvlJc w:val="left"/>
      <w:pPr>
        <w:ind w:left="1858" w:hanging="128"/>
      </w:pPr>
      <w:rPr>
        <w:rFonts w:hint="default"/>
      </w:rPr>
    </w:lvl>
    <w:lvl w:ilvl="7">
      <w:start w:val="0"/>
      <w:numFmt w:val="bullet"/>
      <w:lvlText w:val="•"/>
      <w:lvlJc w:val="left"/>
      <w:pPr>
        <w:ind w:left="2243" w:hanging="128"/>
      </w:pPr>
      <w:rPr>
        <w:rFonts w:hint="default"/>
      </w:rPr>
    </w:lvl>
    <w:lvl w:ilvl="8">
      <w:start w:val="0"/>
      <w:numFmt w:val="bullet"/>
      <w:lvlText w:val="•"/>
      <w:lvlJc w:val="left"/>
      <w:pPr>
        <w:ind w:left="2628" w:hanging="128"/>
      </w:pPr>
      <w:rPr>
        <w:rFonts w:hint="default"/>
      </w:rPr>
    </w:lvl>
  </w:abstractNum>
  <w:abstractNum w:abstractNumId="50">
    <w:multiLevelType w:val="hybridMultilevel"/>
    <w:lvl w:ilvl="0">
      <w:start w:val="1"/>
      <w:numFmt w:val="upperLetter"/>
      <w:lvlText w:val="%1."/>
      <w:lvlJc w:val="left"/>
      <w:pPr>
        <w:ind w:left="995" w:hanging="405"/>
        <w:jc w:val="left"/>
      </w:pPr>
      <w:rPr>
        <w:rFonts w:hint="default" w:ascii="Arial" w:hAnsi="Arial" w:eastAsia="Arial" w:cs="Arial"/>
        <w:b/>
        <w:bCs/>
        <w:spacing w:val="-8"/>
        <w:w w:val="101"/>
        <w:sz w:val="17"/>
        <w:szCs w:val="17"/>
      </w:rPr>
    </w:lvl>
    <w:lvl w:ilvl="1">
      <w:start w:val="1"/>
      <w:numFmt w:val="decimal"/>
      <w:lvlText w:val="%2."/>
      <w:lvlJc w:val="left"/>
      <w:pPr>
        <w:ind w:left="1357" w:hanging="336"/>
        <w:jc w:val="left"/>
      </w:pPr>
      <w:rPr>
        <w:rFonts w:hint="default" w:ascii="Arial" w:hAnsi="Arial" w:eastAsia="Arial" w:cs="Arial"/>
        <w:w w:val="101"/>
        <w:sz w:val="17"/>
        <w:szCs w:val="17"/>
      </w:rPr>
    </w:lvl>
    <w:lvl w:ilvl="2">
      <w:start w:val="0"/>
      <w:numFmt w:val="bullet"/>
      <w:lvlText w:val="•"/>
      <w:lvlJc w:val="left"/>
      <w:pPr>
        <w:ind w:left="2560" w:hanging="336"/>
      </w:pPr>
      <w:rPr>
        <w:rFonts w:hint="default"/>
      </w:rPr>
    </w:lvl>
    <w:lvl w:ilvl="3">
      <w:start w:val="0"/>
      <w:numFmt w:val="bullet"/>
      <w:lvlText w:val="•"/>
      <w:lvlJc w:val="left"/>
      <w:pPr>
        <w:ind w:left="3760" w:hanging="336"/>
      </w:pPr>
      <w:rPr>
        <w:rFonts w:hint="default"/>
      </w:rPr>
    </w:lvl>
    <w:lvl w:ilvl="4">
      <w:start w:val="0"/>
      <w:numFmt w:val="bullet"/>
      <w:lvlText w:val="•"/>
      <w:lvlJc w:val="left"/>
      <w:pPr>
        <w:ind w:left="4960" w:hanging="336"/>
      </w:pPr>
      <w:rPr>
        <w:rFonts w:hint="default"/>
      </w:rPr>
    </w:lvl>
    <w:lvl w:ilvl="5">
      <w:start w:val="0"/>
      <w:numFmt w:val="bullet"/>
      <w:lvlText w:val="•"/>
      <w:lvlJc w:val="left"/>
      <w:pPr>
        <w:ind w:left="6160" w:hanging="336"/>
      </w:pPr>
      <w:rPr>
        <w:rFonts w:hint="default"/>
      </w:rPr>
    </w:lvl>
    <w:lvl w:ilvl="6">
      <w:start w:val="0"/>
      <w:numFmt w:val="bullet"/>
      <w:lvlText w:val="•"/>
      <w:lvlJc w:val="left"/>
      <w:pPr>
        <w:ind w:left="7360" w:hanging="336"/>
      </w:pPr>
      <w:rPr>
        <w:rFonts w:hint="default"/>
      </w:rPr>
    </w:lvl>
    <w:lvl w:ilvl="7">
      <w:start w:val="0"/>
      <w:numFmt w:val="bullet"/>
      <w:lvlText w:val="•"/>
      <w:lvlJc w:val="left"/>
      <w:pPr>
        <w:ind w:left="8560" w:hanging="336"/>
      </w:pPr>
      <w:rPr>
        <w:rFonts w:hint="default"/>
      </w:rPr>
    </w:lvl>
    <w:lvl w:ilvl="8">
      <w:start w:val="0"/>
      <w:numFmt w:val="bullet"/>
      <w:lvlText w:val="•"/>
      <w:lvlJc w:val="left"/>
      <w:pPr>
        <w:ind w:left="9760" w:hanging="336"/>
      </w:pPr>
      <w:rPr>
        <w:rFonts w:hint="default"/>
      </w:rPr>
    </w:lvl>
  </w:abstractNum>
  <w:abstractNum w:abstractNumId="49">
    <w:multiLevelType w:val="hybridMultilevel"/>
    <w:lvl w:ilvl="0">
      <w:start w:val="2"/>
      <w:numFmt w:val="decimal"/>
      <w:lvlText w:val="%1."/>
      <w:lvlJc w:val="left"/>
      <w:pPr>
        <w:ind w:left="1357" w:hanging="336"/>
        <w:jc w:val="right"/>
      </w:pPr>
      <w:rPr>
        <w:rFonts w:hint="default" w:ascii="Arial" w:hAnsi="Arial" w:eastAsia="Arial" w:cs="Arial"/>
        <w:w w:val="101"/>
        <w:sz w:val="17"/>
        <w:szCs w:val="17"/>
      </w:rPr>
    </w:lvl>
    <w:lvl w:ilvl="1">
      <w:start w:val="1"/>
      <w:numFmt w:val="lowerLetter"/>
      <w:lvlText w:val="%2."/>
      <w:lvlJc w:val="left"/>
      <w:pPr>
        <w:ind w:left="1645" w:hanging="288"/>
        <w:jc w:val="left"/>
      </w:pPr>
      <w:rPr>
        <w:rFonts w:hint="default" w:ascii="Arial" w:hAnsi="Arial" w:eastAsia="Arial" w:cs="Arial"/>
        <w:w w:val="101"/>
        <w:sz w:val="17"/>
        <w:szCs w:val="17"/>
      </w:rPr>
    </w:lvl>
    <w:lvl w:ilvl="2">
      <w:start w:val="0"/>
      <w:numFmt w:val="bullet"/>
      <w:lvlText w:val="•"/>
      <w:lvlJc w:val="left"/>
      <w:pPr>
        <w:ind w:left="2808" w:hanging="288"/>
      </w:pPr>
      <w:rPr>
        <w:rFonts w:hint="default"/>
      </w:rPr>
    </w:lvl>
    <w:lvl w:ilvl="3">
      <w:start w:val="0"/>
      <w:numFmt w:val="bullet"/>
      <w:lvlText w:val="•"/>
      <w:lvlJc w:val="left"/>
      <w:pPr>
        <w:ind w:left="3977" w:hanging="288"/>
      </w:pPr>
      <w:rPr>
        <w:rFonts w:hint="default"/>
      </w:rPr>
    </w:lvl>
    <w:lvl w:ilvl="4">
      <w:start w:val="0"/>
      <w:numFmt w:val="bullet"/>
      <w:lvlText w:val="•"/>
      <w:lvlJc w:val="left"/>
      <w:pPr>
        <w:ind w:left="5146" w:hanging="288"/>
      </w:pPr>
      <w:rPr>
        <w:rFonts w:hint="default"/>
      </w:rPr>
    </w:lvl>
    <w:lvl w:ilvl="5">
      <w:start w:val="0"/>
      <w:numFmt w:val="bullet"/>
      <w:lvlText w:val="•"/>
      <w:lvlJc w:val="left"/>
      <w:pPr>
        <w:ind w:left="6315" w:hanging="288"/>
      </w:pPr>
      <w:rPr>
        <w:rFonts w:hint="default"/>
      </w:rPr>
    </w:lvl>
    <w:lvl w:ilvl="6">
      <w:start w:val="0"/>
      <w:numFmt w:val="bullet"/>
      <w:lvlText w:val="•"/>
      <w:lvlJc w:val="left"/>
      <w:pPr>
        <w:ind w:left="7484" w:hanging="288"/>
      </w:pPr>
      <w:rPr>
        <w:rFonts w:hint="default"/>
      </w:rPr>
    </w:lvl>
    <w:lvl w:ilvl="7">
      <w:start w:val="0"/>
      <w:numFmt w:val="bullet"/>
      <w:lvlText w:val="•"/>
      <w:lvlJc w:val="left"/>
      <w:pPr>
        <w:ind w:left="8653" w:hanging="288"/>
      </w:pPr>
      <w:rPr>
        <w:rFonts w:hint="default"/>
      </w:rPr>
    </w:lvl>
    <w:lvl w:ilvl="8">
      <w:start w:val="0"/>
      <w:numFmt w:val="bullet"/>
      <w:lvlText w:val="•"/>
      <w:lvlJc w:val="left"/>
      <w:pPr>
        <w:ind w:left="9822" w:hanging="288"/>
      </w:pPr>
      <w:rPr>
        <w:rFonts w:hint="default"/>
      </w:rPr>
    </w:lvl>
  </w:abstractNum>
  <w:abstractNum w:abstractNumId="48">
    <w:multiLevelType w:val="hybridMultilevel"/>
    <w:lvl w:ilvl="0">
      <w:start w:val="1"/>
      <w:numFmt w:val="upperLetter"/>
      <w:lvlText w:val="%1."/>
      <w:lvlJc w:val="left"/>
      <w:pPr>
        <w:ind w:left="995" w:hanging="405"/>
        <w:jc w:val="left"/>
      </w:pPr>
      <w:rPr>
        <w:rFonts w:hint="default" w:ascii="Arial" w:hAnsi="Arial" w:eastAsia="Arial" w:cs="Arial"/>
        <w:b/>
        <w:bCs/>
        <w:spacing w:val="-8"/>
        <w:w w:val="101"/>
        <w:sz w:val="17"/>
        <w:szCs w:val="17"/>
      </w:rPr>
    </w:lvl>
    <w:lvl w:ilvl="1">
      <w:start w:val="1"/>
      <w:numFmt w:val="decimal"/>
      <w:lvlText w:val="%2."/>
      <w:lvlJc w:val="left"/>
      <w:pPr>
        <w:ind w:left="1357" w:hanging="336"/>
        <w:jc w:val="right"/>
      </w:pPr>
      <w:rPr>
        <w:rFonts w:hint="default" w:ascii="Arial" w:hAnsi="Arial" w:eastAsia="Arial" w:cs="Arial"/>
        <w:w w:val="101"/>
        <w:sz w:val="17"/>
        <w:szCs w:val="17"/>
      </w:rPr>
    </w:lvl>
    <w:lvl w:ilvl="2">
      <w:start w:val="1"/>
      <w:numFmt w:val="lowerLetter"/>
      <w:lvlText w:val="%3."/>
      <w:lvlJc w:val="left"/>
      <w:pPr>
        <w:ind w:left="1645" w:hanging="288"/>
        <w:jc w:val="left"/>
      </w:pPr>
      <w:rPr>
        <w:rFonts w:hint="default" w:ascii="Arial" w:hAnsi="Arial" w:eastAsia="Arial" w:cs="Arial"/>
        <w:w w:val="101"/>
        <w:sz w:val="17"/>
        <w:szCs w:val="17"/>
      </w:rPr>
    </w:lvl>
    <w:lvl w:ilvl="3">
      <w:start w:val="0"/>
      <w:numFmt w:val="bullet"/>
      <w:lvlText w:val="•"/>
      <w:lvlJc w:val="left"/>
      <w:pPr>
        <w:ind w:left="2955" w:hanging="288"/>
      </w:pPr>
      <w:rPr>
        <w:rFonts w:hint="default"/>
      </w:rPr>
    </w:lvl>
    <w:lvl w:ilvl="4">
      <w:start w:val="0"/>
      <w:numFmt w:val="bullet"/>
      <w:lvlText w:val="•"/>
      <w:lvlJc w:val="left"/>
      <w:pPr>
        <w:ind w:left="4270" w:hanging="288"/>
      </w:pPr>
      <w:rPr>
        <w:rFonts w:hint="default"/>
      </w:rPr>
    </w:lvl>
    <w:lvl w:ilvl="5">
      <w:start w:val="0"/>
      <w:numFmt w:val="bullet"/>
      <w:lvlText w:val="•"/>
      <w:lvlJc w:val="left"/>
      <w:pPr>
        <w:ind w:left="5585" w:hanging="288"/>
      </w:pPr>
      <w:rPr>
        <w:rFonts w:hint="default"/>
      </w:rPr>
    </w:lvl>
    <w:lvl w:ilvl="6">
      <w:start w:val="0"/>
      <w:numFmt w:val="bullet"/>
      <w:lvlText w:val="•"/>
      <w:lvlJc w:val="left"/>
      <w:pPr>
        <w:ind w:left="6900" w:hanging="288"/>
      </w:pPr>
      <w:rPr>
        <w:rFonts w:hint="default"/>
      </w:rPr>
    </w:lvl>
    <w:lvl w:ilvl="7">
      <w:start w:val="0"/>
      <w:numFmt w:val="bullet"/>
      <w:lvlText w:val="•"/>
      <w:lvlJc w:val="left"/>
      <w:pPr>
        <w:ind w:left="8215" w:hanging="288"/>
      </w:pPr>
      <w:rPr>
        <w:rFonts w:hint="default"/>
      </w:rPr>
    </w:lvl>
    <w:lvl w:ilvl="8">
      <w:start w:val="0"/>
      <w:numFmt w:val="bullet"/>
      <w:lvlText w:val="•"/>
      <w:lvlJc w:val="left"/>
      <w:pPr>
        <w:ind w:left="9530" w:hanging="288"/>
      </w:pPr>
      <w:rPr>
        <w:rFonts w:hint="default"/>
      </w:rPr>
    </w:lvl>
  </w:abstractNum>
  <w:abstractNum w:abstractNumId="47">
    <w:multiLevelType w:val="hybridMultilevel"/>
    <w:lvl w:ilvl="0">
      <w:start w:val="1"/>
      <w:numFmt w:val="upperLetter"/>
      <w:lvlText w:val="%1."/>
      <w:lvlJc w:val="left"/>
      <w:pPr>
        <w:ind w:left="995" w:hanging="405"/>
        <w:jc w:val="left"/>
      </w:pPr>
      <w:rPr>
        <w:rFonts w:hint="default" w:ascii="Arial" w:hAnsi="Arial" w:eastAsia="Arial" w:cs="Arial"/>
        <w:b/>
        <w:bCs/>
        <w:spacing w:val="-8"/>
        <w:w w:val="101"/>
        <w:sz w:val="17"/>
        <w:szCs w:val="17"/>
      </w:rPr>
    </w:lvl>
    <w:lvl w:ilvl="1">
      <w:start w:val="0"/>
      <w:numFmt w:val="bullet"/>
      <w:lvlText w:val="•"/>
      <w:lvlJc w:val="left"/>
      <w:pPr>
        <w:ind w:left="2116" w:hanging="405"/>
      </w:pPr>
      <w:rPr>
        <w:rFonts w:hint="default"/>
      </w:rPr>
    </w:lvl>
    <w:lvl w:ilvl="2">
      <w:start w:val="0"/>
      <w:numFmt w:val="bullet"/>
      <w:lvlText w:val="•"/>
      <w:lvlJc w:val="left"/>
      <w:pPr>
        <w:ind w:left="3232" w:hanging="405"/>
      </w:pPr>
      <w:rPr>
        <w:rFonts w:hint="default"/>
      </w:rPr>
    </w:lvl>
    <w:lvl w:ilvl="3">
      <w:start w:val="0"/>
      <w:numFmt w:val="bullet"/>
      <w:lvlText w:val="•"/>
      <w:lvlJc w:val="left"/>
      <w:pPr>
        <w:ind w:left="4348" w:hanging="405"/>
      </w:pPr>
      <w:rPr>
        <w:rFonts w:hint="default"/>
      </w:rPr>
    </w:lvl>
    <w:lvl w:ilvl="4">
      <w:start w:val="0"/>
      <w:numFmt w:val="bullet"/>
      <w:lvlText w:val="•"/>
      <w:lvlJc w:val="left"/>
      <w:pPr>
        <w:ind w:left="5464" w:hanging="405"/>
      </w:pPr>
      <w:rPr>
        <w:rFonts w:hint="default"/>
      </w:rPr>
    </w:lvl>
    <w:lvl w:ilvl="5">
      <w:start w:val="0"/>
      <w:numFmt w:val="bullet"/>
      <w:lvlText w:val="•"/>
      <w:lvlJc w:val="left"/>
      <w:pPr>
        <w:ind w:left="6580" w:hanging="405"/>
      </w:pPr>
      <w:rPr>
        <w:rFonts w:hint="default"/>
      </w:rPr>
    </w:lvl>
    <w:lvl w:ilvl="6">
      <w:start w:val="0"/>
      <w:numFmt w:val="bullet"/>
      <w:lvlText w:val="•"/>
      <w:lvlJc w:val="left"/>
      <w:pPr>
        <w:ind w:left="7696" w:hanging="405"/>
      </w:pPr>
      <w:rPr>
        <w:rFonts w:hint="default"/>
      </w:rPr>
    </w:lvl>
    <w:lvl w:ilvl="7">
      <w:start w:val="0"/>
      <w:numFmt w:val="bullet"/>
      <w:lvlText w:val="•"/>
      <w:lvlJc w:val="left"/>
      <w:pPr>
        <w:ind w:left="8812" w:hanging="405"/>
      </w:pPr>
      <w:rPr>
        <w:rFonts w:hint="default"/>
      </w:rPr>
    </w:lvl>
    <w:lvl w:ilvl="8">
      <w:start w:val="0"/>
      <w:numFmt w:val="bullet"/>
      <w:lvlText w:val="•"/>
      <w:lvlJc w:val="left"/>
      <w:pPr>
        <w:ind w:left="9928" w:hanging="405"/>
      </w:pPr>
      <w:rPr>
        <w:rFonts w:hint="default"/>
      </w:rPr>
    </w:lvl>
  </w:abstractNum>
  <w:abstractNum w:abstractNumId="46">
    <w:multiLevelType w:val="hybridMultilevel"/>
    <w:lvl w:ilvl="0">
      <w:start w:val="1"/>
      <w:numFmt w:val="upperLetter"/>
      <w:lvlText w:val="%1."/>
      <w:lvlJc w:val="left"/>
      <w:pPr>
        <w:ind w:left="995" w:hanging="405"/>
        <w:jc w:val="left"/>
      </w:pPr>
      <w:rPr>
        <w:rFonts w:hint="default" w:ascii="Arial" w:hAnsi="Arial" w:eastAsia="Arial" w:cs="Arial"/>
        <w:b/>
        <w:bCs/>
        <w:spacing w:val="-8"/>
        <w:w w:val="101"/>
        <w:sz w:val="17"/>
        <w:szCs w:val="17"/>
      </w:rPr>
    </w:lvl>
    <w:lvl w:ilvl="1">
      <w:start w:val="1"/>
      <w:numFmt w:val="decimal"/>
      <w:lvlText w:val="%2."/>
      <w:lvlJc w:val="left"/>
      <w:pPr>
        <w:ind w:left="1309" w:hanging="288"/>
        <w:jc w:val="left"/>
      </w:pPr>
      <w:rPr>
        <w:rFonts w:hint="default" w:ascii="Arial" w:hAnsi="Arial" w:eastAsia="Arial" w:cs="Arial"/>
        <w:w w:val="101"/>
        <w:sz w:val="17"/>
        <w:szCs w:val="17"/>
      </w:rPr>
    </w:lvl>
    <w:lvl w:ilvl="2">
      <w:start w:val="1"/>
      <w:numFmt w:val="lowerLetter"/>
      <w:lvlText w:val="%3."/>
      <w:lvlJc w:val="left"/>
      <w:pPr>
        <w:ind w:left="1597" w:hanging="288"/>
        <w:jc w:val="left"/>
      </w:pPr>
      <w:rPr>
        <w:rFonts w:hint="default" w:ascii="Arial" w:hAnsi="Arial" w:eastAsia="Arial" w:cs="Arial"/>
        <w:w w:val="101"/>
        <w:sz w:val="17"/>
        <w:szCs w:val="17"/>
      </w:rPr>
    </w:lvl>
    <w:lvl w:ilvl="3">
      <w:start w:val="0"/>
      <w:numFmt w:val="bullet"/>
      <w:lvlText w:val="•"/>
      <w:lvlJc w:val="left"/>
      <w:pPr>
        <w:ind w:left="2920" w:hanging="288"/>
      </w:pPr>
      <w:rPr>
        <w:rFonts w:hint="default"/>
      </w:rPr>
    </w:lvl>
    <w:lvl w:ilvl="4">
      <w:start w:val="0"/>
      <w:numFmt w:val="bullet"/>
      <w:lvlText w:val="•"/>
      <w:lvlJc w:val="left"/>
      <w:pPr>
        <w:ind w:left="4240" w:hanging="288"/>
      </w:pPr>
      <w:rPr>
        <w:rFonts w:hint="default"/>
      </w:rPr>
    </w:lvl>
    <w:lvl w:ilvl="5">
      <w:start w:val="0"/>
      <w:numFmt w:val="bullet"/>
      <w:lvlText w:val="•"/>
      <w:lvlJc w:val="left"/>
      <w:pPr>
        <w:ind w:left="5560" w:hanging="288"/>
      </w:pPr>
      <w:rPr>
        <w:rFonts w:hint="default"/>
      </w:rPr>
    </w:lvl>
    <w:lvl w:ilvl="6">
      <w:start w:val="0"/>
      <w:numFmt w:val="bullet"/>
      <w:lvlText w:val="•"/>
      <w:lvlJc w:val="left"/>
      <w:pPr>
        <w:ind w:left="6880" w:hanging="288"/>
      </w:pPr>
      <w:rPr>
        <w:rFonts w:hint="default"/>
      </w:rPr>
    </w:lvl>
    <w:lvl w:ilvl="7">
      <w:start w:val="0"/>
      <w:numFmt w:val="bullet"/>
      <w:lvlText w:val="•"/>
      <w:lvlJc w:val="left"/>
      <w:pPr>
        <w:ind w:left="8200" w:hanging="288"/>
      </w:pPr>
      <w:rPr>
        <w:rFonts w:hint="default"/>
      </w:rPr>
    </w:lvl>
    <w:lvl w:ilvl="8">
      <w:start w:val="0"/>
      <w:numFmt w:val="bullet"/>
      <w:lvlText w:val="•"/>
      <w:lvlJc w:val="left"/>
      <w:pPr>
        <w:ind w:left="9520" w:hanging="288"/>
      </w:pPr>
      <w:rPr>
        <w:rFonts w:hint="default"/>
      </w:rPr>
    </w:lvl>
  </w:abstractNum>
  <w:abstractNum w:abstractNumId="45">
    <w:multiLevelType w:val="hybridMultilevel"/>
    <w:lvl w:ilvl="0">
      <w:start w:val="1"/>
      <w:numFmt w:val="upperLetter"/>
      <w:lvlText w:val="%1."/>
      <w:lvlJc w:val="left"/>
      <w:pPr>
        <w:ind w:left="896" w:hanging="171"/>
        <w:jc w:val="left"/>
      </w:pPr>
      <w:rPr>
        <w:rFonts w:hint="default" w:ascii="Arial" w:hAnsi="Arial" w:eastAsia="Arial" w:cs="Arial"/>
        <w:w w:val="99"/>
        <w:sz w:val="14"/>
        <w:szCs w:val="14"/>
      </w:rPr>
    </w:lvl>
    <w:lvl w:ilvl="1">
      <w:start w:val="0"/>
      <w:numFmt w:val="bullet"/>
      <w:lvlText w:val="•"/>
      <w:lvlJc w:val="left"/>
      <w:pPr>
        <w:ind w:left="1080" w:hanging="171"/>
      </w:pPr>
      <w:rPr>
        <w:rFonts w:hint="default"/>
      </w:rPr>
    </w:lvl>
    <w:lvl w:ilvl="2">
      <w:start w:val="0"/>
      <w:numFmt w:val="bullet"/>
      <w:lvlText w:val="•"/>
      <w:lvlJc w:val="left"/>
      <w:pPr>
        <w:ind w:left="1260" w:hanging="171"/>
      </w:pPr>
      <w:rPr>
        <w:rFonts w:hint="default"/>
      </w:rPr>
    </w:lvl>
    <w:lvl w:ilvl="3">
      <w:start w:val="0"/>
      <w:numFmt w:val="bullet"/>
      <w:lvlText w:val="•"/>
      <w:lvlJc w:val="left"/>
      <w:pPr>
        <w:ind w:left="1440" w:hanging="171"/>
      </w:pPr>
      <w:rPr>
        <w:rFonts w:hint="default"/>
      </w:rPr>
    </w:lvl>
    <w:lvl w:ilvl="4">
      <w:start w:val="0"/>
      <w:numFmt w:val="bullet"/>
      <w:lvlText w:val="•"/>
      <w:lvlJc w:val="left"/>
      <w:pPr>
        <w:ind w:left="1620" w:hanging="171"/>
      </w:pPr>
      <w:rPr>
        <w:rFonts w:hint="default"/>
      </w:rPr>
    </w:lvl>
    <w:lvl w:ilvl="5">
      <w:start w:val="0"/>
      <w:numFmt w:val="bullet"/>
      <w:lvlText w:val="•"/>
      <w:lvlJc w:val="left"/>
      <w:pPr>
        <w:ind w:left="1800" w:hanging="171"/>
      </w:pPr>
      <w:rPr>
        <w:rFonts w:hint="default"/>
      </w:rPr>
    </w:lvl>
    <w:lvl w:ilvl="6">
      <w:start w:val="0"/>
      <w:numFmt w:val="bullet"/>
      <w:lvlText w:val="•"/>
      <w:lvlJc w:val="left"/>
      <w:pPr>
        <w:ind w:left="1980" w:hanging="171"/>
      </w:pPr>
      <w:rPr>
        <w:rFonts w:hint="default"/>
      </w:rPr>
    </w:lvl>
    <w:lvl w:ilvl="7">
      <w:start w:val="0"/>
      <w:numFmt w:val="bullet"/>
      <w:lvlText w:val="•"/>
      <w:lvlJc w:val="left"/>
      <w:pPr>
        <w:ind w:left="2160" w:hanging="171"/>
      </w:pPr>
      <w:rPr>
        <w:rFonts w:hint="default"/>
      </w:rPr>
    </w:lvl>
    <w:lvl w:ilvl="8">
      <w:start w:val="0"/>
      <w:numFmt w:val="bullet"/>
      <w:lvlText w:val="•"/>
      <w:lvlJc w:val="left"/>
      <w:pPr>
        <w:ind w:left="2340" w:hanging="171"/>
      </w:pPr>
      <w:rPr>
        <w:rFonts w:hint="default"/>
      </w:rPr>
    </w:lvl>
  </w:abstractNum>
  <w:abstractNum w:abstractNumId="44">
    <w:multiLevelType w:val="hybridMultilevel"/>
    <w:lvl w:ilvl="0">
      <w:start w:val="1"/>
      <w:numFmt w:val="upperLetter"/>
      <w:lvlText w:val="%1."/>
      <w:lvlJc w:val="left"/>
      <w:pPr>
        <w:ind w:left="896" w:hanging="171"/>
        <w:jc w:val="left"/>
      </w:pPr>
      <w:rPr>
        <w:rFonts w:hint="default" w:ascii="Arial" w:hAnsi="Arial" w:eastAsia="Arial" w:cs="Arial"/>
        <w:w w:val="99"/>
        <w:sz w:val="14"/>
        <w:szCs w:val="14"/>
      </w:rPr>
    </w:lvl>
    <w:lvl w:ilvl="1">
      <w:start w:val="0"/>
      <w:numFmt w:val="bullet"/>
      <w:lvlText w:val="•"/>
      <w:lvlJc w:val="left"/>
      <w:pPr>
        <w:ind w:left="1080" w:hanging="171"/>
      </w:pPr>
      <w:rPr>
        <w:rFonts w:hint="default"/>
      </w:rPr>
    </w:lvl>
    <w:lvl w:ilvl="2">
      <w:start w:val="0"/>
      <w:numFmt w:val="bullet"/>
      <w:lvlText w:val="•"/>
      <w:lvlJc w:val="left"/>
      <w:pPr>
        <w:ind w:left="1260" w:hanging="171"/>
      </w:pPr>
      <w:rPr>
        <w:rFonts w:hint="default"/>
      </w:rPr>
    </w:lvl>
    <w:lvl w:ilvl="3">
      <w:start w:val="0"/>
      <w:numFmt w:val="bullet"/>
      <w:lvlText w:val="•"/>
      <w:lvlJc w:val="left"/>
      <w:pPr>
        <w:ind w:left="1440" w:hanging="171"/>
      </w:pPr>
      <w:rPr>
        <w:rFonts w:hint="default"/>
      </w:rPr>
    </w:lvl>
    <w:lvl w:ilvl="4">
      <w:start w:val="0"/>
      <w:numFmt w:val="bullet"/>
      <w:lvlText w:val="•"/>
      <w:lvlJc w:val="left"/>
      <w:pPr>
        <w:ind w:left="1620" w:hanging="171"/>
      </w:pPr>
      <w:rPr>
        <w:rFonts w:hint="default"/>
      </w:rPr>
    </w:lvl>
    <w:lvl w:ilvl="5">
      <w:start w:val="0"/>
      <w:numFmt w:val="bullet"/>
      <w:lvlText w:val="•"/>
      <w:lvlJc w:val="left"/>
      <w:pPr>
        <w:ind w:left="1800" w:hanging="171"/>
      </w:pPr>
      <w:rPr>
        <w:rFonts w:hint="default"/>
      </w:rPr>
    </w:lvl>
    <w:lvl w:ilvl="6">
      <w:start w:val="0"/>
      <w:numFmt w:val="bullet"/>
      <w:lvlText w:val="•"/>
      <w:lvlJc w:val="left"/>
      <w:pPr>
        <w:ind w:left="1980" w:hanging="171"/>
      </w:pPr>
      <w:rPr>
        <w:rFonts w:hint="default"/>
      </w:rPr>
    </w:lvl>
    <w:lvl w:ilvl="7">
      <w:start w:val="0"/>
      <w:numFmt w:val="bullet"/>
      <w:lvlText w:val="•"/>
      <w:lvlJc w:val="left"/>
      <w:pPr>
        <w:ind w:left="2160" w:hanging="171"/>
      </w:pPr>
      <w:rPr>
        <w:rFonts w:hint="default"/>
      </w:rPr>
    </w:lvl>
    <w:lvl w:ilvl="8">
      <w:start w:val="0"/>
      <w:numFmt w:val="bullet"/>
      <w:lvlText w:val="•"/>
      <w:lvlJc w:val="left"/>
      <w:pPr>
        <w:ind w:left="2340" w:hanging="171"/>
      </w:pPr>
      <w:rPr>
        <w:rFonts w:hint="default"/>
      </w:rPr>
    </w:lvl>
  </w:abstractNum>
  <w:abstractNum w:abstractNumId="43">
    <w:multiLevelType w:val="hybridMultilevel"/>
    <w:lvl w:ilvl="0">
      <w:start w:val="1"/>
      <w:numFmt w:val="decimal"/>
      <w:lvlText w:val="%1."/>
      <w:lvlJc w:val="left"/>
      <w:pPr>
        <w:ind w:left="972" w:hanging="205"/>
        <w:jc w:val="left"/>
      </w:pPr>
      <w:rPr>
        <w:rFonts w:hint="default" w:ascii="Arial" w:hAnsi="Arial" w:eastAsia="Arial" w:cs="Arial"/>
        <w:b/>
        <w:bCs/>
        <w:spacing w:val="-1"/>
        <w:w w:val="99"/>
        <w:sz w:val="15"/>
        <w:szCs w:val="15"/>
      </w:rPr>
    </w:lvl>
    <w:lvl w:ilvl="1">
      <w:start w:val="1"/>
      <w:numFmt w:val="lowerLetter"/>
      <w:lvlText w:val="%2."/>
      <w:lvlJc w:val="left"/>
      <w:pPr>
        <w:ind w:left="1176" w:hanging="205"/>
        <w:jc w:val="left"/>
      </w:pPr>
      <w:rPr>
        <w:rFonts w:hint="default"/>
        <w:spacing w:val="-1"/>
        <w:w w:val="99"/>
      </w:rPr>
    </w:lvl>
    <w:lvl w:ilvl="2">
      <w:start w:val="0"/>
      <w:numFmt w:val="bullet"/>
      <w:lvlText w:val="•"/>
      <w:lvlJc w:val="left"/>
      <w:pPr>
        <w:ind w:left="1140" w:hanging="205"/>
      </w:pPr>
      <w:rPr>
        <w:rFonts w:hint="default"/>
      </w:rPr>
    </w:lvl>
    <w:lvl w:ilvl="3">
      <w:start w:val="0"/>
      <w:numFmt w:val="bullet"/>
      <w:lvlText w:val="•"/>
      <w:lvlJc w:val="left"/>
      <w:pPr>
        <w:ind w:left="1180" w:hanging="205"/>
      </w:pPr>
      <w:rPr>
        <w:rFonts w:hint="default"/>
      </w:rPr>
    </w:lvl>
    <w:lvl w:ilvl="4">
      <w:start w:val="0"/>
      <w:numFmt w:val="bullet"/>
      <w:lvlText w:val="•"/>
      <w:lvlJc w:val="left"/>
      <w:pPr>
        <w:ind w:left="2131" w:hanging="205"/>
      </w:pPr>
      <w:rPr>
        <w:rFonts w:hint="default"/>
      </w:rPr>
    </w:lvl>
    <w:lvl w:ilvl="5">
      <w:start w:val="0"/>
      <w:numFmt w:val="bullet"/>
      <w:lvlText w:val="•"/>
      <w:lvlJc w:val="left"/>
      <w:pPr>
        <w:ind w:left="3082" w:hanging="205"/>
      </w:pPr>
      <w:rPr>
        <w:rFonts w:hint="default"/>
      </w:rPr>
    </w:lvl>
    <w:lvl w:ilvl="6">
      <w:start w:val="0"/>
      <w:numFmt w:val="bullet"/>
      <w:lvlText w:val="•"/>
      <w:lvlJc w:val="left"/>
      <w:pPr>
        <w:ind w:left="4033" w:hanging="205"/>
      </w:pPr>
      <w:rPr>
        <w:rFonts w:hint="default"/>
      </w:rPr>
    </w:lvl>
    <w:lvl w:ilvl="7">
      <w:start w:val="0"/>
      <w:numFmt w:val="bullet"/>
      <w:lvlText w:val="•"/>
      <w:lvlJc w:val="left"/>
      <w:pPr>
        <w:ind w:left="4984" w:hanging="205"/>
      </w:pPr>
      <w:rPr>
        <w:rFonts w:hint="default"/>
      </w:rPr>
    </w:lvl>
    <w:lvl w:ilvl="8">
      <w:start w:val="0"/>
      <w:numFmt w:val="bullet"/>
      <w:lvlText w:val="•"/>
      <w:lvlJc w:val="left"/>
      <w:pPr>
        <w:ind w:left="5935" w:hanging="205"/>
      </w:pPr>
      <w:rPr>
        <w:rFonts w:hint="default"/>
      </w:rPr>
    </w:lvl>
  </w:abstractNum>
  <w:abstractNum w:abstractNumId="42">
    <w:multiLevelType w:val="hybridMultilevel"/>
    <w:lvl w:ilvl="0">
      <w:start w:val="1"/>
      <w:numFmt w:val="decimal"/>
      <w:lvlText w:val="%1."/>
      <w:lvlJc w:val="left"/>
      <w:pPr>
        <w:ind w:left="273" w:hanging="227"/>
        <w:jc w:val="left"/>
      </w:pPr>
      <w:rPr>
        <w:rFonts w:hint="default" w:ascii="Arial" w:hAnsi="Arial" w:eastAsia="Arial" w:cs="Arial"/>
        <w:b/>
        <w:bCs/>
        <w:w w:val="100"/>
        <w:sz w:val="16"/>
        <w:szCs w:val="16"/>
      </w:rPr>
    </w:lvl>
    <w:lvl w:ilvl="1">
      <w:start w:val="1"/>
      <w:numFmt w:val="lowerLetter"/>
      <w:lvlText w:val="%2."/>
      <w:lvlJc w:val="left"/>
      <w:pPr>
        <w:ind w:left="499" w:hanging="226"/>
        <w:jc w:val="left"/>
      </w:pPr>
      <w:rPr>
        <w:rFonts w:hint="default"/>
        <w:spacing w:val="-1"/>
        <w:w w:val="100"/>
      </w:rPr>
    </w:lvl>
    <w:lvl w:ilvl="2">
      <w:start w:val="0"/>
      <w:numFmt w:val="bullet"/>
      <w:lvlText w:val="•"/>
      <w:lvlJc w:val="left"/>
      <w:pPr>
        <w:ind w:left="500" w:hanging="226"/>
      </w:pPr>
      <w:rPr>
        <w:rFonts w:hint="default"/>
      </w:rPr>
    </w:lvl>
    <w:lvl w:ilvl="3">
      <w:start w:val="0"/>
      <w:numFmt w:val="bullet"/>
      <w:lvlText w:val="•"/>
      <w:lvlJc w:val="left"/>
      <w:pPr>
        <w:ind w:left="942" w:hanging="226"/>
      </w:pPr>
      <w:rPr>
        <w:rFonts w:hint="default"/>
      </w:rPr>
    </w:lvl>
    <w:lvl w:ilvl="4">
      <w:start w:val="0"/>
      <w:numFmt w:val="bullet"/>
      <w:lvlText w:val="•"/>
      <w:lvlJc w:val="left"/>
      <w:pPr>
        <w:ind w:left="1385" w:hanging="226"/>
      </w:pPr>
      <w:rPr>
        <w:rFonts w:hint="default"/>
      </w:rPr>
    </w:lvl>
    <w:lvl w:ilvl="5">
      <w:start w:val="0"/>
      <w:numFmt w:val="bullet"/>
      <w:lvlText w:val="•"/>
      <w:lvlJc w:val="left"/>
      <w:pPr>
        <w:ind w:left="1828" w:hanging="226"/>
      </w:pPr>
      <w:rPr>
        <w:rFonts w:hint="default"/>
      </w:rPr>
    </w:lvl>
    <w:lvl w:ilvl="6">
      <w:start w:val="0"/>
      <w:numFmt w:val="bullet"/>
      <w:lvlText w:val="•"/>
      <w:lvlJc w:val="left"/>
      <w:pPr>
        <w:ind w:left="2271" w:hanging="226"/>
      </w:pPr>
      <w:rPr>
        <w:rFonts w:hint="default"/>
      </w:rPr>
    </w:lvl>
    <w:lvl w:ilvl="7">
      <w:start w:val="0"/>
      <w:numFmt w:val="bullet"/>
      <w:lvlText w:val="•"/>
      <w:lvlJc w:val="left"/>
      <w:pPr>
        <w:ind w:left="2714" w:hanging="226"/>
      </w:pPr>
      <w:rPr>
        <w:rFonts w:hint="default"/>
      </w:rPr>
    </w:lvl>
    <w:lvl w:ilvl="8">
      <w:start w:val="0"/>
      <w:numFmt w:val="bullet"/>
      <w:lvlText w:val="•"/>
      <w:lvlJc w:val="left"/>
      <w:pPr>
        <w:ind w:left="3157" w:hanging="226"/>
      </w:pPr>
      <w:rPr>
        <w:rFonts w:hint="default"/>
      </w:rPr>
    </w:lvl>
  </w:abstractNum>
  <w:abstractNum w:abstractNumId="41">
    <w:multiLevelType w:val="hybridMultilevel"/>
    <w:lvl w:ilvl="0">
      <w:start w:val="4"/>
      <w:numFmt w:val="lowerLetter"/>
      <w:lvlText w:val="%1."/>
      <w:lvlJc w:val="left"/>
      <w:pPr>
        <w:ind w:left="1260" w:hanging="205"/>
        <w:jc w:val="left"/>
      </w:pPr>
      <w:rPr>
        <w:rFonts w:hint="default"/>
        <w:spacing w:val="-1"/>
        <w:w w:val="99"/>
      </w:rPr>
    </w:lvl>
    <w:lvl w:ilvl="1">
      <w:start w:val="0"/>
      <w:numFmt w:val="bullet"/>
      <w:lvlText w:val="•"/>
      <w:lvlJc w:val="left"/>
      <w:pPr>
        <w:ind w:left="2324" w:hanging="205"/>
      </w:pPr>
      <w:rPr>
        <w:rFonts w:hint="default"/>
      </w:rPr>
    </w:lvl>
    <w:lvl w:ilvl="2">
      <w:start w:val="0"/>
      <w:numFmt w:val="bullet"/>
      <w:lvlText w:val="•"/>
      <w:lvlJc w:val="left"/>
      <w:pPr>
        <w:ind w:left="3388" w:hanging="205"/>
      </w:pPr>
      <w:rPr>
        <w:rFonts w:hint="default"/>
      </w:rPr>
    </w:lvl>
    <w:lvl w:ilvl="3">
      <w:start w:val="0"/>
      <w:numFmt w:val="bullet"/>
      <w:lvlText w:val="•"/>
      <w:lvlJc w:val="left"/>
      <w:pPr>
        <w:ind w:left="4452" w:hanging="205"/>
      </w:pPr>
      <w:rPr>
        <w:rFonts w:hint="default"/>
      </w:rPr>
    </w:lvl>
    <w:lvl w:ilvl="4">
      <w:start w:val="0"/>
      <w:numFmt w:val="bullet"/>
      <w:lvlText w:val="•"/>
      <w:lvlJc w:val="left"/>
      <w:pPr>
        <w:ind w:left="5516" w:hanging="205"/>
      </w:pPr>
      <w:rPr>
        <w:rFonts w:hint="default"/>
      </w:rPr>
    </w:lvl>
    <w:lvl w:ilvl="5">
      <w:start w:val="0"/>
      <w:numFmt w:val="bullet"/>
      <w:lvlText w:val="•"/>
      <w:lvlJc w:val="left"/>
      <w:pPr>
        <w:ind w:left="6580" w:hanging="205"/>
      </w:pPr>
      <w:rPr>
        <w:rFonts w:hint="default"/>
      </w:rPr>
    </w:lvl>
    <w:lvl w:ilvl="6">
      <w:start w:val="0"/>
      <w:numFmt w:val="bullet"/>
      <w:lvlText w:val="•"/>
      <w:lvlJc w:val="left"/>
      <w:pPr>
        <w:ind w:left="7644" w:hanging="205"/>
      </w:pPr>
      <w:rPr>
        <w:rFonts w:hint="default"/>
      </w:rPr>
    </w:lvl>
    <w:lvl w:ilvl="7">
      <w:start w:val="0"/>
      <w:numFmt w:val="bullet"/>
      <w:lvlText w:val="•"/>
      <w:lvlJc w:val="left"/>
      <w:pPr>
        <w:ind w:left="8708" w:hanging="205"/>
      </w:pPr>
      <w:rPr>
        <w:rFonts w:hint="default"/>
      </w:rPr>
    </w:lvl>
    <w:lvl w:ilvl="8">
      <w:start w:val="0"/>
      <w:numFmt w:val="bullet"/>
      <w:lvlText w:val="•"/>
      <w:lvlJc w:val="left"/>
      <w:pPr>
        <w:ind w:left="9772" w:hanging="205"/>
      </w:pPr>
      <w:rPr>
        <w:rFonts w:hint="default"/>
      </w:rPr>
    </w:lvl>
  </w:abstractNum>
  <w:abstractNum w:abstractNumId="40">
    <w:multiLevelType w:val="hybridMultilevel"/>
    <w:lvl w:ilvl="0">
      <w:start w:val="2"/>
      <w:numFmt w:val="decimal"/>
      <w:lvlText w:val="%1)"/>
      <w:lvlJc w:val="left"/>
      <w:pPr>
        <w:ind w:left="214" w:hanging="171"/>
        <w:jc w:val="left"/>
      </w:pPr>
      <w:rPr>
        <w:rFonts w:hint="default" w:ascii="Arial" w:hAnsi="Arial" w:eastAsia="Arial" w:cs="Arial"/>
        <w:w w:val="104"/>
        <w:sz w:val="14"/>
        <w:szCs w:val="14"/>
      </w:rPr>
    </w:lvl>
    <w:lvl w:ilvl="1">
      <w:start w:val="1"/>
      <w:numFmt w:val="lowerLetter"/>
      <w:lvlText w:val="%2)"/>
      <w:lvlJc w:val="left"/>
      <w:pPr>
        <w:ind w:left="383" w:hanging="170"/>
        <w:jc w:val="left"/>
      </w:pPr>
      <w:rPr>
        <w:rFonts w:hint="default" w:ascii="Arial" w:hAnsi="Arial" w:eastAsia="Arial" w:cs="Arial"/>
        <w:spacing w:val="-1"/>
        <w:w w:val="104"/>
        <w:sz w:val="14"/>
        <w:szCs w:val="14"/>
      </w:rPr>
    </w:lvl>
    <w:lvl w:ilvl="2">
      <w:start w:val="0"/>
      <w:numFmt w:val="bullet"/>
      <w:lvlText w:val="•"/>
      <w:lvlJc w:val="left"/>
      <w:pPr>
        <w:ind w:left="951" w:hanging="170"/>
      </w:pPr>
      <w:rPr>
        <w:rFonts w:hint="default"/>
      </w:rPr>
    </w:lvl>
    <w:lvl w:ilvl="3">
      <w:start w:val="0"/>
      <w:numFmt w:val="bullet"/>
      <w:lvlText w:val="•"/>
      <w:lvlJc w:val="left"/>
      <w:pPr>
        <w:ind w:left="1522" w:hanging="170"/>
      </w:pPr>
      <w:rPr>
        <w:rFonts w:hint="default"/>
      </w:rPr>
    </w:lvl>
    <w:lvl w:ilvl="4">
      <w:start w:val="0"/>
      <w:numFmt w:val="bullet"/>
      <w:lvlText w:val="•"/>
      <w:lvlJc w:val="left"/>
      <w:pPr>
        <w:ind w:left="2094" w:hanging="170"/>
      </w:pPr>
      <w:rPr>
        <w:rFonts w:hint="default"/>
      </w:rPr>
    </w:lvl>
    <w:lvl w:ilvl="5">
      <w:start w:val="0"/>
      <w:numFmt w:val="bullet"/>
      <w:lvlText w:val="•"/>
      <w:lvlJc w:val="left"/>
      <w:pPr>
        <w:ind w:left="2665" w:hanging="170"/>
      </w:pPr>
      <w:rPr>
        <w:rFonts w:hint="default"/>
      </w:rPr>
    </w:lvl>
    <w:lvl w:ilvl="6">
      <w:start w:val="0"/>
      <w:numFmt w:val="bullet"/>
      <w:lvlText w:val="•"/>
      <w:lvlJc w:val="left"/>
      <w:pPr>
        <w:ind w:left="3237" w:hanging="170"/>
      </w:pPr>
      <w:rPr>
        <w:rFonts w:hint="default"/>
      </w:rPr>
    </w:lvl>
    <w:lvl w:ilvl="7">
      <w:start w:val="0"/>
      <w:numFmt w:val="bullet"/>
      <w:lvlText w:val="•"/>
      <w:lvlJc w:val="left"/>
      <w:pPr>
        <w:ind w:left="3808" w:hanging="170"/>
      </w:pPr>
      <w:rPr>
        <w:rFonts w:hint="default"/>
      </w:rPr>
    </w:lvl>
    <w:lvl w:ilvl="8">
      <w:start w:val="0"/>
      <w:numFmt w:val="bullet"/>
      <w:lvlText w:val="•"/>
      <w:lvlJc w:val="left"/>
      <w:pPr>
        <w:ind w:left="4380" w:hanging="170"/>
      </w:pPr>
      <w:rPr>
        <w:rFonts w:hint="default"/>
      </w:rPr>
    </w:lvl>
  </w:abstractNum>
  <w:abstractNum w:abstractNumId="39">
    <w:multiLevelType w:val="hybridMultilevel"/>
    <w:lvl w:ilvl="0">
      <w:start w:val="5"/>
      <w:numFmt w:val="lowerLetter"/>
      <w:lvlText w:val="(%1)"/>
      <w:lvlJc w:val="left"/>
      <w:pPr>
        <w:ind w:left="666" w:hanging="215"/>
        <w:jc w:val="left"/>
      </w:pPr>
      <w:rPr>
        <w:rFonts w:hint="default" w:ascii="Arial" w:hAnsi="Arial" w:eastAsia="Arial" w:cs="Arial"/>
        <w:spacing w:val="-1"/>
        <w:w w:val="102"/>
        <w:sz w:val="14"/>
        <w:szCs w:val="14"/>
      </w:rPr>
    </w:lvl>
    <w:lvl w:ilvl="1">
      <w:start w:val="1"/>
      <w:numFmt w:val="decimal"/>
      <w:lvlText w:val="%2."/>
      <w:lvlJc w:val="left"/>
      <w:pPr>
        <w:ind w:left="1056" w:hanging="205"/>
        <w:jc w:val="left"/>
      </w:pPr>
      <w:rPr>
        <w:rFonts w:hint="default" w:ascii="Arial" w:hAnsi="Arial" w:eastAsia="Arial" w:cs="Arial"/>
        <w:b/>
        <w:bCs/>
        <w:spacing w:val="-1"/>
        <w:w w:val="99"/>
        <w:sz w:val="15"/>
        <w:szCs w:val="15"/>
      </w:rPr>
    </w:lvl>
    <w:lvl w:ilvl="2">
      <w:start w:val="0"/>
      <w:numFmt w:val="bullet"/>
      <w:lvlText w:val="•"/>
      <w:lvlJc w:val="left"/>
      <w:pPr>
        <w:ind w:left="1060" w:hanging="205"/>
      </w:pPr>
      <w:rPr>
        <w:rFonts w:hint="default"/>
      </w:rPr>
    </w:lvl>
    <w:lvl w:ilvl="3">
      <w:start w:val="0"/>
      <w:numFmt w:val="bullet"/>
      <w:lvlText w:val="•"/>
      <w:lvlJc w:val="left"/>
      <w:pPr>
        <w:ind w:left="1260" w:hanging="205"/>
      </w:pPr>
      <w:rPr>
        <w:rFonts w:hint="default"/>
      </w:rPr>
    </w:lvl>
    <w:lvl w:ilvl="4">
      <w:start w:val="0"/>
      <w:numFmt w:val="bullet"/>
      <w:lvlText w:val="•"/>
      <w:lvlJc w:val="left"/>
      <w:pPr>
        <w:ind w:left="2780" w:hanging="205"/>
      </w:pPr>
      <w:rPr>
        <w:rFonts w:hint="default"/>
      </w:rPr>
    </w:lvl>
    <w:lvl w:ilvl="5">
      <w:start w:val="0"/>
      <w:numFmt w:val="bullet"/>
      <w:lvlText w:val="•"/>
      <w:lvlJc w:val="left"/>
      <w:pPr>
        <w:ind w:left="4300" w:hanging="205"/>
      </w:pPr>
      <w:rPr>
        <w:rFonts w:hint="default"/>
      </w:rPr>
    </w:lvl>
    <w:lvl w:ilvl="6">
      <w:start w:val="0"/>
      <w:numFmt w:val="bullet"/>
      <w:lvlText w:val="•"/>
      <w:lvlJc w:val="left"/>
      <w:pPr>
        <w:ind w:left="5820" w:hanging="205"/>
      </w:pPr>
      <w:rPr>
        <w:rFonts w:hint="default"/>
      </w:rPr>
    </w:lvl>
    <w:lvl w:ilvl="7">
      <w:start w:val="0"/>
      <w:numFmt w:val="bullet"/>
      <w:lvlText w:val="•"/>
      <w:lvlJc w:val="left"/>
      <w:pPr>
        <w:ind w:left="7340" w:hanging="205"/>
      </w:pPr>
      <w:rPr>
        <w:rFonts w:hint="default"/>
      </w:rPr>
    </w:lvl>
    <w:lvl w:ilvl="8">
      <w:start w:val="0"/>
      <w:numFmt w:val="bullet"/>
      <w:lvlText w:val="•"/>
      <w:lvlJc w:val="left"/>
      <w:pPr>
        <w:ind w:left="8860" w:hanging="205"/>
      </w:pPr>
      <w:rPr>
        <w:rFonts w:hint="default"/>
      </w:rPr>
    </w:lvl>
  </w:abstractNum>
  <w:abstractNum w:abstractNumId="38">
    <w:multiLevelType w:val="hybridMultilevel"/>
    <w:lvl w:ilvl="0">
      <w:start w:val="1"/>
      <w:numFmt w:val="decimal"/>
      <w:lvlText w:val="%1)"/>
      <w:lvlJc w:val="left"/>
      <w:pPr>
        <w:ind w:left="380" w:hanging="167"/>
        <w:jc w:val="left"/>
      </w:pPr>
      <w:rPr>
        <w:rFonts w:hint="default" w:ascii="Arial" w:hAnsi="Arial" w:eastAsia="Arial" w:cs="Arial"/>
        <w:spacing w:val="-1"/>
        <w:w w:val="102"/>
        <w:sz w:val="14"/>
        <w:szCs w:val="14"/>
      </w:rPr>
    </w:lvl>
    <w:lvl w:ilvl="1">
      <w:start w:val="1"/>
      <w:numFmt w:val="lowerLetter"/>
      <w:lvlText w:val="%2)"/>
      <w:lvlJc w:val="left"/>
      <w:pPr>
        <w:ind w:left="543" w:hanging="167"/>
        <w:jc w:val="left"/>
      </w:pPr>
      <w:rPr>
        <w:rFonts w:hint="default" w:ascii="Arial" w:hAnsi="Arial" w:eastAsia="Arial" w:cs="Arial"/>
        <w:spacing w:val="-1"/>
        <w:w w:val="102"/>
        <w:sz w:val="14"/>
        <w:szCs w:val="14"/>
      </w:rPr>
    </w:lvl>
    <w:lvl w:ilvl="2">
      <w:start w:val="0"/>
      <w:numFmt w:val="bullet"/>
      <w:lvlText w:val="•"/>
      <w:lvlJc w:val="left"/>
      <w:pPr>
        <w:ind w:left="540" w:hanging="167"/>
      </w:pPr>
      <w:rPr>
        <w:rFonts w:hint="default"/>
      </w:rPr>
    </w:lvl>
    <w:lvl w:ilvl="3">
      <w:start w:val="0"/>
      <w:numFmt w:val="bullet"/>
      <w:lvlText w:val="•"/>
      <w:lvlJc w:val="left"/>
      <w:pPr>
        <w:ind w:left="956" w:hanging="167"/>
      </w:pPr>
      <w:rPr>
        <w:rFonts w:hint="default"/>
      </w:rPr>
    </w:lvl>
    <w:lvl w:ilvl="4">
      <w:start w:val="0"/>
      <w:numFmt w:val="bullet"/>
      <w:lvlText w:val="•"/>
      <w:lvlJc w:val="left"/>
      <w:pPr>
        <w:ind w:left="1372" w:hanging="167"/>
      </w:pPr>
      <w:rPr>
        <w:rFonts w:hint="default"/>
      </w:rPr>
    </w:lvl>
    <w:lvl w:ilvl="5">
      <w:start w:val="0"/>
      <w:numFmt w:val="bullet"/>
      <w:lvlText w:val="•"/>
      <w:lvlJc w:val="left"/>
      <w:pPr>
        <w:ind w:left="1788" w:hanging="167"/>
      </w:pPr>
      <w:rPr>
        <w:rFonts w:hint="default"/>
      </w:rPr>
    </w:lvl>
    <w:lvl w:ilvl="6">
      <w:start w:val="0"/>
      <w:numFmt w:val="bullet"/>
      <w:lvlText w:val="•"/>
      <w:lvlJc w:val="left"/>
      <w:pPr>
        <w:ind w:left="2205" w:hanging="167"/>
      </w:pPr>
      <w:rPr>
        <w:rFonts w:hint="default"/>
      </w:rPr>
    </w:lvl>
    <w:lvl w:ilvl="7">
      <w:start w:val="0"/>
      <w:numFmt w:val="bullet"/>
      <w:lvlText w:val="•"/>
      <w:lvlJc w:val="left"/>
      <w:pPr>
        <w:ind w:left="2621" w:hanging="167"/>
      </w:pPr>
      <w:rPr>
        <w:rFonts w:hint="default"/>
      </w:rPr>
    </w:lvl>
    <w:lvl w:ilvl="8">
      <w:start w:val="0"/>
      <w:numFmt w:val="bullet"/>
      <w:lvlText w:val="•"/>
      <w:lvlJc w:val="left"/>
      <w:pPr>
        <w:ind w:left="3037" w:hanging="167"/>
      </w:pPr>
      <w:rPr>
        <w:rFonts w:hint="default"/>
      </w:rPr>
    </w:lvl>
  </w:abstractNum>
  <w:abstractNum w:abstractNumId="37">
    <w:multiLevelType w:val="hybridMultilevel"/>
    <w:lvl w:ilvl="0">
      <w:start w:val="2"/>
      <w:numFmt w:val="decimal"/>
      <w:lvlText w:val="%1)"/>
      <w:lvlJc w:val="left"/>
      <w:pPr>
        <w:ind w:left="213" w:hanging="167"/>
        <w:jc w:val="left"/>
      </w:pPr>
      <w:rPr>
        <w:rFonts w:hint="default" w:ascii="Arial" w:hAnsi="Arial" w:eastAsia="Arial" w:cs="Arial"/>
        <w:spacing w:val="-1"/>
        <w:w w:val="102"/>
        <w:sz w:val="14"/>
        <w:szCs w:val="14"/>
      </w:rPr>
    </w:lvl>
    <w:lvl w:ilvl="1">
      <w:start w:val="1"/>
      <w:numFmt w:val="lowerLetter"/>
      <w:lvlText w:val="%2)"/>
      <w:lvlJc w:val="left"/>
      <w:pPr>
        <w:ind w:left="380" w:hanging="167"/>
        <w:jc w:val="left"/>
      </w:pPr>
      <w:rPr>
        <w:rFonts w:hint="default" w:ascii="Arial" w:hAnsi="Arial" w:eastAsia="Arial" w:cs="Arial"/>
        <w:spacing w:val="-1"/>
        <w:w w:val="102"/>
        <w:sz w:val="14"/>
        <w:szCs w:val="14"/>
      </w:rPr>
    </w:lvl>
    <w:lvl w:ilvl="2">
      <w:start w:val="0"/>
      <w:numFmt w:val="bullet"/>
      <w:lvlText w:val="•"/>
      <w:lvlJc w:val="left"/>
      <w:pPr>
        <w:ind w:left="931" w:hanging="167"/>
      </w:pPr>
      <w:rPr>
        <w:rFonts w:hint="default"/>
      </w:rPr>
    </w:lvl>
    <w:lvl w:ilvl="3">
      <w:start w:val="0"/>
      <w:numFmt w:val="bullet"/>
      <w:lvlText w:val="•"/>
      <w:lvlJc w:val="left"/>
      <w:pPr>
        <w:ind w:left="1482" w:hanging="167"/>
      </w:pPr>
      <w:rPr>
        <w:rFonts w:hint="default"/>
      </w:rPr>
    </w:lvl>
    <w:lvl w:ilvl="4">
      <w:start w:val="0"/>
      <w:numFmt w:val="bullet"/>
      <w:lvlText w:val="•"/>
      <w:lvlJc w:val="left"/>
      <w:pPr>
        <w:ind w:left="2034" w:hanging="167"/>
      </w:pPr>
      <w:rPr>
        <w:rFonts w:hint="default"/>
      </w:rPr>
    </w:lvl>
    <w:lvl w:ilvl="5">
      <w:start w:val="0"/>
      <w:numFmt w:val="bullet"/>
      <w:lvlText w:val="•"/>
      <w:lvlJc w:val="left"/>
      <w:pPr>
        <w:ind w:left="2585" w:hanging="167"/>
      </w:pPr>
      <w:rPr>
        <w:rFonts w:hint="default"/>
      </w:rPr>
    </w:lvl>
    <w:lvl w:ilvl="6">
      <w:start w:val="0"/>
      <w:numFmt w:val="bullet"/>
      <w:lvlText w:val="•"/>
      <w:lvlJc w:val="left"/>
      <w:pPr>
        <w:ind w:left="3136" w:hanging="167"/>
      </w:pPr>
      <w:rPr>
        <w:rFonts w:hint="default"/>
      </w:rPr>
    </w:lvl>
    <w:lvl w:ilvl="7">
      <w:start w:val="0"/>
      <w:numFmt w:val="bullet"/>
      <w:lvlText w:val="•"/>
      <w:lvlJc w:val="left"/>
      <w:pPr>
        <w:ind w:left="3688" w:hanging="167"/>
      </w:pPr>
      <w:rPr>
        <w:rFonts w:hint="default"/>
      </w:rPr>
    </w:lvl>
    <w:lvl w:ilvl="8">
      <w:start w:val="0"/>
      <w:numFmt w:val="bullet"/>
      <w:lvlText w:val="•"/>
      <w:lvlJc w:val="left"/>
      <w:pPr>
        <w:ind w:left="4239" w:hanging="167"/>
      </w:pPr>
      <w:rPr>
        <w:rFonts w:hint="default"/>
      </w:rPr>
    </w:lvl>
  </w:abstractNum>
  <w:abstractNum w:abstractNumId="36">
    <w:multiLevelType w:val="hybridMultilevel"/>
    <w:lvl w:ilvl="0">
      <w:start w:val="2"/>
      <w:numFmt w:val="decimal"/>
      <w:lvlText w:val="%1)"/>
      <w:lvlJc w:val="left"/>
      <w:pPr>
        <w:ind w:left="216" w:hanging="167"/>
        <w:jc w:val="left"/>
      </w:pPr>
      <w:rPr>
        <w:rFonts w:hint="default" w:ascii="Arial" w:hAnsi="Arial" w:eastAsia="Arial" w:cs="Arial"/>
        <w:spacing w:val="-1"/>
        <w:w w:val="102"/>
        <w:sz w:val="14"/>
        <w:szCs w:val="14"/>
      </w:rPr>
    </w:lvl>
    <w:lvl w:ilvl="1">
      <w:start w:val="1"/>
      <w:numFmt w:val="lowerLetter"/>
      <w:lvlText w:val="%2)"/>
      <w:lvlJc w:val="left"/>
      <w:pPr>
        <w:ind w:left="380" w:hanging="167"/>
        <w:jc w:val="left"/>
      </w:pPr>
      <w:rPr>
        <w:rFonts w:hint="default" w:ascii="Arial" w:hAnsi="Arial" w:eastAsia="Arial" w:cs="Arial"/>
        <w:spacing w:val="-1"/>
        <w:w w:val="102"/>
        <w:sz w:val="14"/>
        <w:szCs w:val="14"/>
      </w:rPr>
    </w:lvl>
    <w:lvl w:ilvl="2">
      <w:start w:val="0"/>
      <w:numFmt w:val="bullet"/>
      <w:lvlText w:val="•"/>
      <w:lvlJc w:val="left"/>
      <w:pPr>
        <w:ind w:left="809" w:hanging="167"/>
      </w:pPr>
      <w:rPr>
        <w:rFonts w:hint="default"/>
      </w:rPr>
    </w:lvl>
    <w:lvl w:ilvl="3">
      <w:start w:val="0"/>
      <w:numFmt w:val="bullet"/>
      <w:lvlText w:val="•"/>
      <w:lvlJc w:val="left"/>
      <w:pPr>
        <w:ind w:left="1239" w:hanging="167"/>
      </w:pPr>
      <w:rPr>
        <w:rFonts w:hint="default"/>
      </w:rPr>
    </w:lvl>
    <w:lvl w:ilvl="4">
      <w:start w:val="0"/>
      <w:numFmt w:val="bullet"/>
      <w:lvlText w:val="•"/>
      <w:lvlJc w:val="left"/>
      <w:pPr>
        <w:ind w:left="1669" w:hanging="167"/>
      </w:pPr>
      <w:rPr>
        <w:rFonts w:hint="default"/>
      </w:rPr>
    </w:lvl>
    <w:lvl w:ilvl="5">
      <w:start w:val="0"/>
      <w:numFmt w:val="bullet"/>
      <w:lvlText w:val="•"/>
      <w:lvlJc w:val="left"/>
      <w:pPr>
        <w:ind w:left="2098" w:hanging="167"/>
      </w:pPr>
      <w:rPr>
        <w:rFonts w:hint="default"/>
      </w:rPr>
    </w:lvl>
    <w:lvl w:ilvl="6">
      <w:start w:val="0"/>
      <w:numFmt w:val="bullet"/>
      <w:lvlText w:val="•"/>
      <w:lvlJc w:val="left"/>
      <w:pPr>
        <w:ind w:left="2528" w:hanging="167"/>
      </w:pPr>
      <w:rPr>
        <w:rFonts w:hint="default"/>
      </w:rPr>
    </w:lvl>
    <w:lvl w:ilvl="7">
      <w:start w:val="0"/>
      <w:numFmt w:val="bullet"/>
      <w:lvlText w:val="•"/>
      <w:lvlJc w:val="left"/>
      <w:pPr>
        <w:ind w:left="2958" w:hanging="167"/>
      </w:pPr>
      <w:rPr>
        <w:rFonts w:hint="default"/>
      </w:rPr>
    </w:lvl>
    <w:lvl w:ilvl="8">
      <w:start w:val="0"/>
      <w:numFmt w:val="bullet"/>
      <w:lvlText w:val="•"/>
      <w:lvlJc w:val="left"/>
      <w:pPr>
        <w:ind w:left="3387" w:hanging="167"/>
      </w:pPr>
      <w:rPr>
        <w:rFonts w:hint="default"/>
      </w:rPr>
    </w:lvl>
  </w:abstractNum>
  <w:abstractNum w:abstractNumId="35">
    <w:multiLevelType w:val="hybridMultilevel"/>
    <w:lvl w:ilvl="0">
      <w:start w:val="1"/>
      <w:numFmt w:val="decimal"/>
      <w:lvlText w:val="%1)"/>
      <w:lvlJc w:val="left"/>
      <w:pPr>
        <w:ind w:left="216" w:hanging="167"/>
        <w:jc w:val="left"/>
      </w:pPr>
      <w:rPr>
        <w:rFonts w:hint="default" w:ascii="Arial" w:hAnsi="Arial" w:eastAsia="Arial" w:cs="Arial"/>
        <w:spacing w:val="-1"/>
        <w:w w:val="102"/>
        <w:sz w:val="14"/>
        <w:szCs w:val="14"/>
      </w:rPr>
    </w:lvl>
    <w:lvl w:ilvl="1">
      <w:start w:val="1"/>
      <w:numFmt w:val="lowerLetter"/>
      <w:lvlText w:val="%2)"/>
      <w:lvlJc w:val="left"/>
      <w:pPr>
        <w:ind w:left="380" w:hanging="167"/>
        <w:jc w:val="left"/>
      </w:pPr>
      <w:rPr>
        <w:rFonts w:hint="default" w:ascii="Arial" w:hAnsi="Arial" w:eastAsia="Arial" w:cs="Arial"/>
        <w:spacing w:val="-1"/>
        <w:w w:val="102"/>
        <w:sz w:val="14"/>
        <w:szCs w:val="14"/>
      </w:rPr>
    </w:lvl>
    <w:lvl w:ilvl="2">
      <w:start w:val="0"/>
      <w:numFmt w:val="bullet"/>
      <w:lvlText w:val="•"/>
      <w:lvlJc w:val="left"/>
      <w:pPr>
        <w:ind w:left="809" w:hanging="167"/>
      </w:pPr>
      <w:rPr>
        <w:rFonts w:hint="default"/>
      </w:rPr>
    </w:lvl>
    <w:lvl w:ilvl="3">
      <w:start w:val="0"/>
      <w:numFmt w:val="bullet"/>
      <w:lvlText w:val="•"/>
      <w:lvlJc w:val="left"/>
      <w:pPr>
        <w:ind w:left="1239" w:hanging="167"/>
      </w:pPr>
      <w:rPr>
        <w:rFonts w:hint="default"/>
      </w:rPr>
    </w:lvl>
    <w:lvl w:ilvl="4">
      <w:start w:val="0"/>
      <w:numFmt w:val="bullet"/>
      <w:lvlText w:val="•"/>
      <w:lvlJc w:val="left"/>
      <w:pPr>
        <w:ind w:left="1669" w:hanging="167"/>
      </w:pPr>
      <w:rPr>
        <w:rFonts w:hint="default"/>
      </w:rPr>
    </w:lvl>
    <w:lvl w:ilvl="5">
      <w:start w:val="0"/>
      <w:numFmt w:val="bullet"/>
      <w:lvlText w:val="•"/>
      <w:lvlJc w:val="left"/>
      <w:pPr>
        <w:ind w:left="2098" w:hanging="167"/>
      </w:pPr>
      <w:rPr>
        <w:rFonts w:hint="default"/>
      </w:rPr>
    </w:lvl>
    <w:lvl w:ilvl="6">
      <w:start w:val="0"/>
      <w:numFmt w:val="bullet"/>
      <w:lvlText w:val="•"/>
      <w:lvlJc w:val="left"/>
      <w:pPr>
        <w:ind w:left="2528" w:hanging="167"/>
      </w:pPr>
      <w:rPr>
        <w:rFonts w:hint="default"/>
      </w:rPr>
    </w:lvl>
    <w:lvl w:ilvl="7">
      <w:start w:val="0"/>
      <w:numFmt w:val="bullet"/>
      <w:lvlText w:val="•"/>
      <w:lvlJc w:val="left"/>
      <w:pPr>
        <w:ind w:left="2958" w:hanging="167"/>
      </w:pPr>
      <w:rPr>
        <w:rFonts w:hint="default"/>
      </w:rPr>
    </w:lvl>
    <w:lvl w:ilvl="8">
      <w:start w:val="0"/>
      <w:numFmt w:val="bullet"/>
      <w:lvlText w:val="•"/>
      <w:lvlJc w:val="left"/>
      <w:pPr>
        <w:ind w:left="3387" w:hanging="167"/>
      </w:pPr>
      <w:rPr>
        <w:rFonts w:hint="default"/>
      </w:rPr>
    </w:lvl>
  </w:abstractNum>
  <w:abstractNum w:abstractNumId="34">
    <w:multiLevelType w:val="hybridMultilevel"/>
    <w:lvl w:ilvl="0">
      <w:start w:val="2"/>
      <w:numFmt w:val="decimal"/>
      <w:lvlText w:val="%1)"/>
      <w:lvlJc w:val="left"/>
      <w:pPr>
        <w:ind w:left="214" w:hanging="171"/>
        <w:jc w:val="left"/>
      </w:pPr>
      <w:rPr>
        <w:rFonts w:hint="default" w:ascii="Arial" w:hAnsi="Arial" w:eastAsia="Arial" w:cs="Arial"/>
        <w:w w:val="104"/>
        <w:sz w:val="14"/>
        <w:szCs w:val="14"/>
      </w:rPr>
    </w:lvl>
    <w:lvl w:ilvl="1">
      <w:start w:val="1"/>
      <w:numFmt w:val="lowerLetter"/>
      <w:lvlText w:val="%2)"/>
      <w:lvlJc w:val="left"/>
      <w:pPr>
        <w:ind w:left="383" w:hanging="170"/>
        <w:jc w:val="left"/>
      </w:pPr>
      <w:rPr>
        <w:rFonts w:hint="default" w:ascii="Arial" w:hAnsi="Arial" w:eastAsia="Arial" w:cs="Arial"/>
        <w:spacing w:val="-1"/>
        <w:w w:val="104"/>
        <w:sz w:val="14"/>
        <w:szCs w:val="14"/>
      </w:rPr>
    </w:lvl>
    <w:lvl w:ilvl="2">
      <w:start w:val="0"/>
      <w:numFmt w:val="bullet"/>
      <w:lvlText w:val="•"/>
      <w:lvlJc w:val="left"/>
      <w:pPr>
        <w:ind w:left="951" w:hanging="170"/>
      </w:pPr>
      <w:rPr>
        <w:rFonts w:hint="default"/>
      </w:rPr>
    </w:lvl>
    <w:lvl w:ilvl="3">
      <w:start w:val="0"/>
      <w:numFmt w:val="bullet"/>
      <w:lvlText w:val="•"/>
      <w:lvlJc w:val="left"/>
      <w:pPr>
        <w:ind w:left="1522" w:hanging="170"/>
      </w:pPr>
      <w:rPr>
        <w:rFonts w:hint="default"/>
      </w:rPr>
    </w:lvl>
    <w:lvl w:ilvl="4">
      <w:start w:val="0"/>
      <w:numFmt w:val="bullet"/>
      <w:lvlText w:val="•"/>
      <w:lvlJc w:val="left"/>
      <w:pPr>
        <w:ind w:left="2094" w:hanging="170"/>
      </w:pPr>
      <w:rPr>
        <w:rFonts w:hint="default"/>
      </w:rPr>
    </w:lvl>
    <w:lvl w:ilvl="5">
      <w:start w:val="0"/>
      <w:numFmt w:val="bullet"/>
      <w:lvlText w:val="•"/>
      <w:lvlJc w:val="left"/>
      <w:pPr>
        <w:ind w:left="2665" w:hanging="170"/>
      </w:pPr>
      <w:rPr>
        <w:rFonts w:hint="default"/>
      </w:rPr>
    </w:lvl>
    <w:lvl w:ilvl="6">
      <w:start w:val="0"/>
      <w:numFmt w:val="bullet"/>
      <w:lvlText w:val="•"/>
      <w:lvlJc w:val="left"/>
      <w:pPr>
        <w:ind w:left="3237" w:hanging="170"/>
      </w:pPr>
      <w:rPr>
        <w:rFonts w:hint="default"/>
      </w:rPr>
    </w:lvl>
    <w:lvl w:ilvl="7">
      <w:start w:val="0"/>
      <w:numFmt w:val="bullet"/>
      <w:lvlText w:val="•"/>
      <w:lvlJc w:val="left"/>
      <w:pPr>
        <w:ind w:left="3808" w:hanging="170"/>
      </w:pPr>
      <w:rPr>
        <w:rFonts w:hint="default"/>
      </w:rPr>
    </w:lvl>
    <w:lvl w:ilvl="8">
      <w:start w:val="0"/>
      <w:numFmt w:val="bullet"/>
      <w:lvlText w:val="•"/>
      <w:lvlJc w:val="left"/>
      <w:pPr>
        <w:ind w:left="4380" w:hanging="170"/>
      </w:pPr>
      <w:rPr>
        <w:rFonts w:hint="default"/>
      </w:rPr>
    </w:lvl>
  </w:abstractNum>
  <w:abstractNum w:abstractNumId="33">
    <w:multiLevelType w:val="hybridMultilevel"/>
    <w:lvl w:ilvl="0">
      <w:start w:val="1"/>
      <w:numFmt w:val="decimal"/>
      <w:lvlText w:val="%1)"/>
      <w:lvlJc w:val="left"/>
      <w:pPr>
        <w:ind w:left="380" w:hanging="167"/>
        <w:jc w:val="left"/>
      </w:pPr>
      <w:rPr>
        <w:rFonts w:hint="default" w:ascii="Arial" w:hAnsi="Arial" w:eastAsia="Arial" w:cs="Arial"/>
        <w:spacing w:val="-1"/>
        <w:w w:val="102"/>
        <w:sz w:val="14"/>
        <w:szCs w:val="14"/>
      </w:rPr>
    </w:lvl>
    <w:lvl w:ilvl="1">
      <w:start w:val="1"/>
      <w:numFmt w:val="lowerLetter"/>
      <w:lvlText w:val="%2)"/>
      <w:lvlJc w:val="left"/>
      <w:pPr>
        <w:ind w:left="543" w:hanging="167"/>
        <w:jc w:val="left"/>
      </w:pPr>
      <w:rPr>
        <w:rFonts w:hint="default" w:ascii="Arial" w:hAnsi="Arial" w:eastAsia="Arial" w:cs="Arial"/>
        <w:spacing w:val="-1"/>
        <w:w w:val="102"/>
        <w:sz w:val="14"/>
        <w:szCs w:val="14"/>
      </w:rPr>
    </w:lvl>
    <w:lvl w:ilvl="2">
      <w:start w:val="0"/>
      <w:numFmt w:val="bullet"/>
      <w:lvlText w:val="•"/>
      <w:lvlJc w:val="left"/>
      <w:pPr>
        <w:ind w:left="540" w:hanging="167"/>
      </w:pPr>
      <w:rPr>
        <w:rFonts w:hint="default"/>
      </w:rPr>
    </w:lvl>
    <w:lvl w:ilvl="3">
      <w:start w:val="0"/>
      <w:numFmt w:val="bullet"/>
      <w:lvlText w:val="•"/>
      <w:lvlJc w:val="left"/>
      <w:pPr>
        <w:ind w:left="956" w:hanging="167"/>
      </w:pPr>
      <w:rPr>
        <w:rFonts w:hint="default"/>
      </w:rPr>
    </w:lvl>
    <w:lvl w:ilvl="4">
      <w:start w:val="0"/>
      <w:numFmt w:val="bullet"/>
      <w:lvlText w:val="•"/>
      <w:lvlJc w:val="left"/>
      <w:pPr>
        <w:ind w:left="1372" w:hanging="167"/>
      </w:pPr>
      <w:rPr>
        <w:rFonts w:hint="default"/>
      </w:rPr>
    </w:lvl>
    <w:lvl w:ilvl="5">
      <w:start w:val="0"/>
      <w:numFmt w:val="bullet"/>
      <w:lvlText w:val="•"/>
      <w:lvlJc w:val="left"/>
      <w:pPr>
        <w:ind w:left="1788" w:hanging="167"/>
      </w:pPr>
      <w:rPr>
        <w:rFonts w:hint="default"/>
      </w:rPr>
    </w:lvl>
    <w:lvl w:ilvl="6">
      <w:start w:val="0"/>
      <w:numFmt w:val="bullet"/>
      <w:lvlText w:val="•"/>
      <w:lvlJc w:val="left"/>
      <w:pPr>
        <w:ind w:left="2205" w:hanging="167"/>
      </w:pPr>
      <w:rPr>
        <w:rFonts w:hint="default"/>
      </w:rPr>
    </w:lvl>
    <w:lvl w:ilvl="7">
      <w:start w:val="0"/>
      <w:numFmt w:val="bullet"/>
      <w:lvlText w:val="•"/>
      <w:lvlJc w:val="left"/>
      <w:pPr>
        <w:ind w:left="2621" w:hanging="167"/>
      </w:pPr>
      <w:rPr>
        <w:rFonts w:hint="default"/>
      </w:rPr>
    </w:lvl>
    <w:lvl w:ilvl="8">
      <w:start w:val="0"/>
      <w:numFmt w:val="bullet"/>
      <w:lvlText w:val="•"/>
      <w:lvlJc w:val="left"/>
      <w:pPr>
        <w:ind w:left="3037" w:hanging="167"/>
      </w:pPr>
      <w:rPr>
        <w:rFonts w:hint="default"/>
      </w:rPr>
    </w:lvl>
  </w:abstractNum>
  <w:abstractNum w:abstractNumId="32">
    <w:multiLevelType w:val="hybridMultilevel"/>
    <w:lvl w:ilvl="0">
      <w:start w:val="2"/>
      <w:numFmt w:val="decimal"/>
      <w:lvlText w:val="%1)"/>
      <w:lvlJc w:val="left"/>
      <w:pPr>
        <w:ind w:left="213" w:hanging="167"/>
        <w:jc w:val="left"/>
      </w:pPr>
      <w:rPr>
        <w:rFonts w:hint="default" w:ascii="Arial" w:hAnsi="Arial" w:eastAsia="Arial" w:cs="Arial"/>
        <w:spacing w:val="-1"/>
        <w:w w:val="102"/>
        <w:sz w:val="14"/>
        <w:szCs w:val="14"/>
      </w:rPr>
    </w:lvl>
    <w:lvl w:ilvl="1">
      <w:start w:val="1"/>
      <w:numFmt w:val="lowerLetter"/>
      <w:lvlText w:val="%2)"/>
      <w:lvlJc w:val="left"/>
      <w:pPr>
        <w:ind w:left="380" w:hanging="167"/>
        <w:jc w:val="left"/>
      </w:pPr>
      <w:rPr>
        <w:rFonts w:hint="default" w:ascii="Arial" w:hAnsi="Arial" w:eastAsia="Arial" w:cs="Arial"/>
        <w:spacing w:val="-1"/>
        <w:w w:val="102"/>
        <w:sz w:val="14"/>
        <w:szCs w:val="14"/>
      </w:rPr>
    </w:lvl>
    <w:lvl w:ilvl="2">
      <w:start w:val="0"/>
      <w:numFmt w:val="bullet"/>
      <w:lvlText w:val="•"/>
      <w:lvlJc w:val="left"/>
      <w:pPr>
        <w:ind w:left="931" w:hanging="167"/>
      </w:pPr>
      <w:rPr>
        <w:rFonts w:hint="default"/>
      </w:rPr>
    </w:lvl>
    <w:lvl w:ilvl="3">
      <w:start w:val="0"/>
      <w:numFmt w:val="bullet"/>
      <w:lvlText w:val="•"/>
      <w:lvlJc w:val="left"/>
      <w:pPr>
        <w:ind w:left="1482" w:hanging="167"/>
      </w:pPr>
      <w:rPr>
        <w:rFonts w:hint="default"/>
      </w:rPr>
    </w:lvl>
    <w:lvl w:ilvl="4">
      <w:start w:val="0"/>
      <w:numFmt w:val="bullet"/>
      <w:lvlText w:val="•"/>
      <w:lvlJc w:val="left"/>
      <w:pPr>
        <w:ind w:left="2034" w:hanging="167"/>
      </w:pPr>
      <w:rPr>
        <w:rFonts w:hint="default"/>
      </w:rPr>
    </w:lvl>
    <w:lvl w:ilvl="5">
      <w:start w:val="0"/>
      <w:numFmt w:val="bullet"/>
      <w:lvlText w:val="•"/>
      <w:lvlJc w:val="left"/>
      <w:pPr>
        <w:ind w:left="2585" w:hanging="167"/>
      </w:pPr>
      <w:rPr>
        <w:rFonts w:hint="default"/>
      </w:rPr>
    </w:lvl>
    <w:lvl w:ilvl="6">
      <w:start w:val="0"/>
      <w:numFmt w:val="bullet"/>
      <w:lvlText w:val="•"/>
      <w:lvlJc w:val="left"/>
      <w:pPr>
        <w:ind w:left="3136" w:hanging="167"/>
      </w:pPr>
      <w:rPr>
        <w:rFonts w:hint="default"/>
      </w:rPr>
    </w:lvl>
    <w:lvl w:ilvl="7">
      <w:start w:val="0"/>
      <w:numFmt w:val="bullet"/>
      <w:lvlText w:val="•"/>
      <w:lvlJc w:val="left"/>
      <w:pPr>
        <w:ind w:left="3688" w:hanging="167"/>
      </w:pPr>
      <w:rPr>
        <w:rFonts w:hint="default"/>
      </w:rPr>
    </w:lvl>
    <w:lvl w:ilvl="8">
      <w:start w:val="0"/>
      <w:numFmt w:val="bullet"/>
      <w:lvlText w:val="•"/>
      <w:lvlJc w:val="left"/>
      <w:pPr>
        <w:ind w:left="4239" w:hanging="167"/>
      </w:pPr>
      <w:rPr>
        <w:rFonts w:hint="default"/>
      </w:rPr>
    </w:lvl>
  </w:abstractNum>
  <w:abstractNum w:abstractNumId="31">
    <w:multiLevelType w:val="hybridMultilevel"/>
    <w:lvl w:ilvl="0">
      <w:start w:val="2"/>
      <w:numFmt w:val="decimal"/>
      <w:lvlText w:val="%1)"/>
      <w:lvlJc w:val="left"/>
      <w:pPr>
        <w:ind w:left="216" w:hanging="167"/>
        <w:jc w:val="left"/>
      </w:pPr>
      <w:rPr>
        <w:rFonts w:hint="default" w:ascii="Arial" w:hAnsi="Arial" w:eastAsia="Arial" w:cs="Arial"/>
        <w:spacing w:val="-1"/>
        <w:w w:val="102"/>
        <w:sz w:val="14"/>
        <w:szCs w:val="14"/>
      </w:rPr>
    </w:lvl>
    <w:lvl w:ilvl="1">
      <w:start w:val="1"/>
      <w:numFmt w:val="lowerLetter"/>
      <w:lvlText w:val="%2)"/>
      <w:lvlJc w:val="left"/>
      <w:pPr>
        <w:ind w:left="380" w:hanging="167"/>
        <w:jc w:val="left"/>
      </w:pPr>
      <w:rPr>
        <w:rFonts w:hint="default" w:ascii="Arial" w:hAnsi="Arial" w:eastAsia="Arial" w:cs="Arial"/>
        <w:spacing w:val="-1"/>
        <w:w w:val="102"/>
        <w:sz w:val="14"/>
        <w:szCs w:val="14"/>
      </w:rPr>
    </w:lvl>
    <w:lvl w:ilvl="2">
      <w:start w:val="0"/>
      <w:numFmt w:val="bullet"/>
      <w:lvlText w:val="•"/>
      <w:lvlJc w:val="left"/>
      <w:pPr>
        <w:ind w:left="809" w:hanging="167"/>
      </w:pPr>
      <w:rPr>
        <w:rFonts w:hint="default"/>
      </w:rPr>
    </w:lvl>
    <w:lvl w:ilvl="3">
      <w:start w:val="0"/>
      <w:numFmt w:val="bullet"/>
      <w:lvlText w:val="•"/>
      <w:lvlJc w:val="left"/>
      <w:pPr>
        <w:ind w:left="1239" w:hanging="167"/>
      </w:pPr>
      <w:rPr>
        <w:rFonts w:hint="default"/>
      </w:rPr>
    </w:lvl>
    <w:lvl w:ilvl="4">
      <w:start w:val="0"/>
      <w:numFmt w:val="bullet"/>
      <w:lvlText w:val="•"/>
      <w:lvlJc w:val="left"/>
      <w:pPr>
        <w:ind w:left="1669" w:hanging="167"/>
      </w:pPr>
      <w:rPr>
        <w:rFonts w:hint="default"/>
      </w:rPr>
    </w:lvl>
    <w:lvl w:ilvl="5">
      <w:start w:val="0"/>
      <w:numFmt w:val="bullet"/>
      <w:lvlText w:val="•"/>
      <w:lvlJc w:val="left"/>
      <w:pPr>
        <w:ind w:left="2098" w:hanging="167"/>
      </w:pPr>
      <w:rPr>
        <w:rFonts w:hint="default"/>
      </w:rPr>
    </w:lvl>
    <w:lvl w:ilvl="6">
      <w:start w:val="0"/>
      <w:numFmt w:val="bullet"/>
      <w:lvlText w:val="•"/>
      <w:lvlJc w:val="left"/>
      <w:pPr>
        <w:ind w:left="2528" w:hanging="167"/>
      </w:pPr>
      <w:rPr>
        <w:rFonts w:hint="default"/>
      </w:rPr>
    </w:lvl>
    <w:lvl w:ilvl="7">
      <w:start w:val="0"/>
      <w:numFmt w:val="bullet"/>
      <w:lvlText w:val="•"/>
      <w:lvlJc w:val="left"/>
      <w:pPr>
        <w:ind w:left="2958" w:hanging="167"/>
      </w:pPr>
      <w:rPr>
        <w:rFonts w:hint="default"/>
      </w:rPr>
    </w:lvl>
    <w:lvl w:ilvl="8">
      <w:start w:val="0"/>
      <w:numFmt w:val="bullet"/>
      <w:lvlText w:val="•"/>
      <w:lvlJc w:val="left"/>
      <w:pPr>
        <w:ind w:left="3387" w:hanging="167"/>
      </w:pPr>
      <w:rPr>
        <w:rFonts w:hint="default"/>
      </w:rPr>
    </w:lvl>
  </w:abstractNum>
  <w:abstractNum w:abstractNumId="30">
    <w:multiLevelType w:val="hybridMultilevel"/>
    <w:lvl w:ilvl="0">
      <w:start w:val="1"/>
      <w:numFmt w:val="decimal"/>
      <w:lvlText w:val="%1)"/>
      <w:lvlJc w:val="left"/>
      <w:pPr>
        <w:ind w:left="216" w:hanging="167"/>
        <w:jc w:val="left"/>
      </w:pPr>
      <w:rPr>
        <w:rFonts w:hint="default" w:ascii="Arial" w:hAnsi="Arial" w:eastAsia="Arial" w:cs="Arial"/>
        <w:spacing w:val="-1"/>
        <w:w w:val="102"/>
        <w:sz w:val="14"/>
        <w:szCs w:val="14"/>
      </w:rPr>
    </w:lvl>
    <w:lvl w:ilvl="1">
      <w:start w:val="1"/>
      <w:numFmt w:val="lowerLetter"/>
      <w:lvlText w:val="%2)"/>
      <w:lvlJc w:val="left"/>
      <w:pPr>
        <w:ind w:left="380" w:hanging="167"/>
        <w:jc w:val="left"/>
      </w:pPr>
      <w:rPr>
        <w:rFonts w:hint="default" w:ascii="Arial" w:hAnsi="Arial" w:eastAsia="Arial" w:cs="Arial"/>
        <w:spacing w:val="-1"/>
        <w:w w:val="102"/>
        <w:sz w:val="14"/>
        <w:szCs w:val="14"/>
      </w:rPr>
    </w:lvl>
    <w:lvl w:ilvl="2">
      <w:start w:val="0"/>
      <w:numFmt w:val="bullet"/>
      <w:lvlText w:val="•"/>
      <w:lvlJc w:val="left"/>
      <w:pPr>
        <w:ind w:left="809" w:hanging="167"/>
      </w:pPr>
      <w:rPr>
        <w:rFonts w:hint="default"/>
      </w:rPr>
    </w:lvl>
    <w:lvl w:ilvl="3">
      <w:start w:val="0"/>
      <w:numFmt w:val="bullet"/>
      <w:lvlText w:val="•"/>
      <w:lvlJc w:val="left"/>
      <w:pPr>
        <w:ind w:left="1239" w:hanging="167"/>
      </w:pPr>
      <w:rPr>
        <w:rFonts w:hint="default"/>
      </w:rPr>
    </w:lvl>
    <w:lvl w:ilvl="4">
      <w:start w:val="0"/>
      <w:numFmt w:val="bullet"/>
      <w:lvlText w:val="•"/>
      <w:lvlJc w:val="left"/>
      <w:pPr>
        <w:ind w:left="1669" w:hanging="167"/>
      </w:pPr>
      <w:rPr>
        <w:rFonts w:hint="default"/>
      </w:rPr>
    </w:lvl>
    <w:lvl w:ilvl="5">
      <w:start w:val="0"/>
      <w:numFmt w:val="bullet"/>
      <w:lvlText w:val="•"/>
      <w:lvlJc w:val="left"/>
      <w:pPr>
        <w:ind w:left="2098" w:hanging="167"/>
      </w:pPr>
      <w:rPr>
        <w:rFonts w:hint="default"/>
      </w:rPr>
    </w:lvl>
    <w:lvl w:ilvl="6">
      <w:start w:val="0"/>
      <w:numFmt w:val="bullet"/>
      <w:lvlText w:val="•"/>
      <w:lvlJc w:val="left"/>
      <w:pPr>
        <w:ind w:left="2528" w:hanging="167"/>
      </w:pPr>
      <w:rPr>
        <w:rFonts w:hint="default"/>
      </w:rPr>
    </w:lvl>
    <w:lvl w:ilvl="7">
      <w:start w:val="0"/>
      <w:numFmt w:val="bullet"/>
      <w:lvlText w:val="•"/>
      <w:lvlJc w:val="left"/>
      <w:pPr>
        <w:ind w:left="2958" w:hanging="167"/>
      </w:pPr>
      <w:rPr>
        <w:rFonts w:hint="default"/>
      </w:rPr>
    </w:lvl>
    <w:lvl w:ilvl="8">
      <w:start w:val="0"/>
      <w:numFmt w:val="bullet"/>
      <w:lvlText w:val="•"/>
      <w:lvlJc w:val="left"/>
      <w:pPr>
        <w:ind w:left="3387" w:hanging="167"/>
      </w:pPr>
      <w:rPr>
        <w:rFonts w:hint="default"/>
      </w:rPr>
    </w:lvl>
  </w:abstractNum>
  <w:abstractNum w:abstractNumId="29">
    <w:multiLevelType w:val="hybridMultilevel"/>
    <w:lvl w:ilvl="0">
      <w:start w:val="5"/>
      <w:numFmt w:val="upperLetter"/>
      <w:lvlText w:val="%1."/>
      <w:lvlJc w:val="left"/>
      <w:pPr>
        <w:ind w:left="603" w:hanging="181"/>
        <w:jc w:val="left"/>
      </w:pPr>
      <w:rPr>
        <w:rFonts w:hint="default" w:ascii="Arial" w:hAnsi="Arial" w:eastAsia="Arial" w:cs="Arial"/>
        <w:b/>
        <w:bCs/>
        <w:w w:val="104"/>
        <w:sz w:val="14"/>
        <w:szCs w:val="14"/>
      </w:rPr>
    </w:lvl>
    <w:lvl w:ilvl="1">
      <w:start w:val="1"/>
      <w:numFmt w:val="decimal"/>
      <w:lvlText w:val="%2)"/>
      <w:lvlJc w:val="left"/>
      <w:pPr>
        <w:ind w:left="756" w:hanging="171"/>
        <w:jc w:val="left"/>
      </w:pPr>
      <w:rPr>
        <w:rFonts w:hint="default" w:ascii="Arial" w:hAnsi="Arial" w:eastAsia="Arial" w:cs="Arial"/>
        <w:w w:val="104"/>
        <w:sz w:val="14"/>
        <w:szCs w:val="14"/>
      </w:rPr>
    </w:lvl>
    <w:lvl w:ilvl="2">
      <w:start w:val="0"/>
      <w:numFmt w:val="bullet"/>
      <w:lvlText w:val="•"/>
      <w:lvlJc w:val="left"/>
      <w:pPr>
        <w:ind w:left="1997" w:hanging="171"/>
      </w:pPr>
      <w:rPr>
        <w:rFonts w:hint="default"/>
      </w:rPr>
    </w:lvl>
    <w:lvl w:ilvl="3">
      <w:start w:val="0"/>
      <w:numFmt w:val="bullet"/>
      <w:lvlText w:val="•"/>
      <w:lvlJc w:val="left"/>
      <w:pPr>
        <w:ind w:left="3235" w:hanging="171"/>
      </w:pPr>
      <w:rPr>
        <w:rFonts w:hint="default"/>
      </w:rPr>
    </w:lvl>
    <w:lvl w:ilvl="4">
      <w:start w:val="0"/>
      <w:numFmt w:val="bullet"/>
      <w:lvlText w:val="•"/>
      <w:lvlJc w:val="left"/>
      <w:pPr>
        <w:ind w:left="4473" w:hanging="171"/>
      </w:pPr>
      <w:rPr>
        <w:rFonts w:hint="default"/>
      </w:rPr>
    </w:lvl>
    <w:lvl w:ilvl="5">
      <w:start w:val="0"/>
      <w:numFmt w:val="bullet"/>
      <w:lvlText w:val="•"/>
      <w:lvlJc w:val="left"/>
      <w:pPr>
        <w:ind w:left="5711" w:hanging="171"/>
      </w:pPr>
      <w:rPr>
        <w:rFonts w:hint="default"/>
      </w:rPr>
    </w:lvl>
    <w:lvl w:ilvl="6">
      <w:start w:val="0"/>
      <w:numFmt w:val="bullet"/>
      <w:lvlText w:val="•"/>
      <w:lvlJc w:val="left"/>
      <w:pPr>
        <w:ind w:left="6948" w:hanging="171"/>
      </w:pPr>
      <w:rPr>
        <w:rFonts w:hint="default"/>
      </w:rPr>
    </w:lvl>
    <w:lvl w:ilvl="7">
      <w:start w:val="0"/>
      <w:numFmt w:val="bullet"/>
      <w:lvlText w:val="•"/>
      <w:lvlJc w:val="left"/>
      <w:pPr>
        <w:ind w:left="8186" w:hanging="171"/>
      </w:pPr>
      <w:rPr>
        <w:rFonts w:hint="default"/>
      </w:rPr>
    </w:lvl>
    <w:lvl w:ilvl="8">
      <w:start w:val="0"/>
      <w:numFmt w:val="bullet"/>
      <w:lvlText w:val="•"/>
      <w:lvlJc w:val="left"/>
      <w:pPr>
        <w:ind w:left="9424" w:hanging="171"/>
      </w:pPr>
      <w:rPr>
        <w:rFonts w:hint="default"/>
      </w:rPr>
    </w:lvl>
  </w:abstractNum>
  <w:abstractNum w:abstractNumId="28">
    <w:multiLevelType w:val="hybridMultilevel"/>
    <w:lvl w:ilvl="0">
      <w:start w:val="7"/>
      <w:numFmt w:val="decimal"/>
      <w:lvlText w:val="%1)"/>
      <w:lvlJc w:val="left"/>
      <w:pPr>
        <w:ind w:left="808" w:hanging="167"/>
        <w:jc w:val="left"/>
      </w:pPr>
      <w:rPr>
        <w:rFonts w:hint="default" w:ascii="Arial" w:hAnsi="Arial" w:eastAsia="Arial" w:cs="Arial"/>
        <w:spacing w:val="-1"/>
        <w:w w:val="102"/>
        <w:sz w:val="14"/>
        <w:szCs w:val="14"/>
      </w:rPr>
    </w:lvl>
    <w:lvl w:ilvl="1">
      <w:start w:val="0"/>
      <w:numFmt w:val="bullet"/>
      <w:lvlText w:val="•"/>
      <w:lvlJc w:val="left"/>
      <w:pPr>
        <w:ind w:left="1910" w:hanging="167"/>
      </w:pPr>
      <w:rPr>
        <w:rFonts w:hint="default"/>
      </w:rPr>
    </w:lvl>
    <w:lvl w:ilvl="2">
      <w:start w:val="0"/>
      <w:numFmt w:val="bullet"/>
      <w:lvlText w:val="•"/>
      <w:lvlJc w:val="left"/>
      <w:pPr>
        <w:ind w:left="3020" w:hanging="167"/>
      </w:pPr>
      <w:rPr>
        <w:rFonts w:hint="default"/>
      </w:rPr>
    </w:lvl>
    <w:lvl w:ilvl="3">
      <w:start w:val="0"/>
      <w:numFmt w:val="bullet"/>
      <w:lvlText w:val="•"/>
      <w:lvlJc w:val="left"/>
      <w:pPr>
        <w:ind w:left="4130" w:hanging="167"/>
      </w:pPr>
      <w:rPr>
        <w:rFonts w:hint="default"/>
      </w:rPr>
    </w:lvl>
    <w:lvl w:ilvl="4">
      <w:start w:val="0"/>
      <w:numFmt w:val="bullet"/>
      <w:lvlText w:val="•"/>
      <w:lvlJc w:val="left"/>
      <w:pPr>
        <w:ind w:left="5240" w:hanging="167"/>
      </w:pPr>
      <w:rPr>
        <w:rFonts w:hint="default"/>
      </w:rPr>
    </w:lvl>
    <w:lvl w:ilvl="5">
      <w:start w:val="0"/>
      <w:numFmt w:val="bullet"/>
      <w:lvlText w:val="•"/>
      <w:lvlJc w:val="left"/>
      <w:pPr>
        <w:ind w:left="6350" w:hanging="167"/>
      </w:pPr>
      <w:rPr>
        <w:rFonts w:hint="default"/>
      </w:rPr>
    </w:lvl>
    <w:lvl w:ilvl="6">
      <w:start w:val="0"/>
      <w:numFmt w:val="bullet"/>
      <w:lvlText w:val="•"/>
      <w:lvlJc w:val="left"/>
      <w:pPr>
        <w:ind w:left="7460" w:hanging="167"/>
      </w:pPr>
      <w:rPr>
        <w:rFonts w:hint="default"/>
      </w:rPr>
    </w:lvl>
    <w:lvl w:ilvl="7">
      <w:start w:val="0"/>
      <w:numFmt w:val="bullet"/>
      <w:lvlText w:val="•"/>
      <w:lvlJc w:val="left"/>
      <w:pPr>
        <w:ind w:left="8570" w:hanging="167"/>
      </w:pPr>
      <w:rPr>
        <w:rFonts w:hint="default"/>
      </w:rPr>
    </w:lvl>
    <w:lvl w:ilvl="8">
      <w:start w:val="0"/>
      <w:numFmt w:val="bullet"/>
      <w:lvlText w:val="•"/>
      <w:lvlJc w:val="left"/>
      <w:pPr>
        <w:ind w:left="9680" w:hanging="167"/>
      </w:pPr>
      <w:rPr>
        <w:rFonts w:hint="default"/>
      </w:rPr>
    </w:lvl>
  </w:abstractNum>
  <w:abstractNum w:abstractNumId="27">
    <w:multiLevelType w:val="hybridMultilevel"/>
    <w:lvl w:ilvl="0">
      <w:start w:val="2"/>
      <w:numFmt w:val="decimal"/>
      <w:lvlText w:val="%1)"/>
      <w:lvlJc w:val="left"/>
      <w:pPr>
        <w:ind w:left="380" w:hanging="167"/>
        <w:jc w:val="left"/>
      </w:pPr>
      <w:rPr>
        <w:rFonts w:hint="default" w:ascii="Arial" w:hAnsi="Arial" w:eastAsia="Arial" w:cs="Arial"/>
        <w:spacing w:val="-1"/>
        <w:w w:val="102"/>
        <w:sz w:val="14"/>
        <w:szCs w:val="14"/>
      </w:rPr>
    </w:lvl>
    <w:lvl w:ilvl="1">
      <w:start w:val="1"/>
      <w:numFmt w:val="lowerLetter"/>
      <w:lvlText w:val="%2)"/>
      <w:lvlJc w:val="left"/>
      <w:pPr>
        <w:ind w:left="543" w:hanging="167"/>
        <w:jc w:val="left"/>
      </w:pPr>
      <w:rPr>
        <w:rFonts w:hint="default" w:ascii="Arial" w:hAnsi="Arial" w:eastAsia="Arial" w:cs="Arial"/>
        <w:spacing w:val="-1"/>
        <w:w w:val="102"/>
        <w:sz w:val="14"/>
        <w:szCs w:val="14"/>
      </w:rPr>
    </w:lvl>
    <w:lvl w:ilvl="2">
      <w:start w:val="0"/>
      <w:numFmt w:val="bullet"/>
      <w:lvlText w:val="•"/>
      <w:lvlJc w:val="left"/>
      <w:pPr>
        <w:ind w:left="887" w:hanging="167"/>
      </w:pPr>
      <w:rPr>
        <w:rFonts w:hint="default"/>
      </w:rPr>
    </w:lvl>
    <w:lvl w:ilvl="3">
      <w:start w:val="0"/>
      <w:numFmt w:val="bullet"/>
      <w:lvlText w:val="•"/>
      <w:lvlJc w:val="left"/>
      <w:pPr>
        <w:ind w:left="1234" w:hanging="167"/>
      </w:pPr>
      <w:rPr>
        <w:rFonts w:hint="default"/>
      </w:rPr>
    </w:lvl>
    <w:lvl w:ilvl="4">
      <w:start w:val="0"/>
      <w:numFmt w:val="bullet"/>
      <w:lvlText w:val="•"/>
      <w:lvlJc w:val="left"/>
      <w:pPr>
        <w:ind w:left="1581" w:hanging="167"/>
      </w:pPr>
      <w:rPr>
        <w:rFonts w:hint="default"/>
      </w:rPr>
    </w:lvl>
    <w:lvl w:ilvl="5">
      <w:start w:val="0"/>
      <w:numFmt w:val="bullet"/>
      <w:lvlText w:val="•"/>
      <w:lvlJc w:val="left"/>
      <w:pPr>
        <w:ind w:left="1928" w:hanging="167"/>
      </w:pPr>
      <w:rPr>
        <w:rFonts w:hint="default"/>
      </w:rPr>
    </w:lvl>
    <w:lvl w:ilvl="6">
      <w:start w:val="0"/>
      <w:numFmt w:val="bullet"/>
      <w:lvlText w:val="•"/>
      <w:lvlJc w:val="left"/>
      <w:pPr>
        <w:ind w:left="2275" w:hanging="167"/>
      </w:pPr>
      <w:rPr>
        <w:rFonts w:hint="default"/>
      </w:rPr>
    </w:lvl>
    <w:lvl w:ilvl="7">
      <w:start w:val="0"/>
      <w:numFmt w:val="bullet"/>
      <w:lvlText w:val="•"/>
      <w:lvlJc w:val="left"/>
      <w:pPr>
        <w:ind w:left="2622" w:hanging="167"/>
      </w:pPr>
      <w:rPr>
        <w:rFonts w:hint="default"/>
      </w:rPr>
    </w:lvl>
    <w:lvl w:ilvl="8">
      <w:start w:val="0"/>
      <w:numFmt w:val="bullet"/>
      <w:lvlText w:val="•"/>
      <w:lvlJc w:val="left"/>
      <w:pPr>
        <w:ind w:left="2969" w:hanging="167"/>
      </w:pPr>
      <w:rPr>
        <w:rFonts w:hint="default"/>
      </w:rPr>
    </w:lvl>
  </w:abstractNum>
  <w:abstractNum w:abstractNumId="26">
    <w:multiLevelType w:val="hybridMultilevel"/>
    <w:lvl w:ilvl="0">
      <w:start w:val="1"/>
      <w:numFmt w:val="decimal"/>
      <w:lvlText w:val="%1)"/>
      <w:lvlJc w:val="left"/>
      <w:pPr>
        <w:ind w:left="380" w:hanging="167"/>
        <w:jc w:val="left"/>
      </w:pPr>
      <w:rPr>
        <w:rFonts w:hint="default" w:ascii="Arial" w:hAnsi="Arial" w:eastAsia="Arial" w:cs="Arial"/>
        <w:spacing w:val="-1"/>
        <w:w w:val="102"/>
        <w:sz w:val="14"/>
        <w:szCs w:val="14"/>
      </w:rPr>
    </w:lvl>
    <w:lvl w:ilvl="1">
      <w:start w:val="1"/>
      <w:numFmt w:val="lowerLetter"/>
      <w:lvlText w:val="%2)"/>
      <w:lvlJc w:val="left"/>
      <w:pPr>
        <w:ind w:left="543" w:hanging="167"/>
        <w:jc w:val="left"/>
      </w:pPr>
      <w:rPr>
        <w:rFonts w:hint="default" w:ascii="Arial" w:hAnsi="Arial" w:eastAsia="Arial" w:cs="Arial"/>
        <w:spacing w:val="-1"/>
        <w:w w:val="102"/>
        <w:sz w:val="14"/>
        <w:szCs w:val="14"/>
      </w:rPr>
    </w:lvl>
    <w:lvl w:ilvl="2">
      <w:start w:val="0"/>
      <w:numFmt w:val="bullet"/>
      <w:lvlText w:val="•"/>
      <w:lvlJc w:val="left"/>
      <w:pPr>
        <w:ind w:left="887" w:hanging="167"/>
      </w:pPr>
      <w:rPr>
        <w:rFonts w:hint="default"/>
      </w:rPr>
    </w:lvl>
    <w:lvl w:ilvl="3">
      <w:start w:val="0"/>
      <w:numFmt w:val="bullet"/>
      <w:lvlText w:val="•"/>
      <w:lvlJc w:val="left"/>
      <w:pPr>
        <w:ind w:left="1234" w:hanging="167"/>
      </w:pPr>
      <w:rPr>
        <w:rFonts w:hint="default"/>
      </w:rPr>
    </w:lvl>
    <w:lvl w:ilvl="4">
      <w:start w:val="0"/>
      <w:numFmt w:val="bullet"/>
      <w:lvlText w:val="•"/>
      <w:lvlJc w:val="left"/>
      <w:pPr>
        <w:ind w:left="1581" w:hanging="167"/>
      </w:pPr>
      <w:rPr>
        <w:rFonts w:hint="default"/>
      </w:rPr>
    </w:lvl>
    <w:lvl w:ilvl="5">
      <w:start w:val="0"/>
      <w:numFmt w:val="bullet"/>
      <w:lvlText w:val="•"/>
      <w:lvlJc w:val="left"/>
      <w:pPr>
        <w:ind w:left="1928" w:hanging="167"/>
      </w:pPr>
      <w:rPr>
        <w:rFonts w:hint="default"/>
      </w:rPr>
    </w:lvl>
    <w:lvl w:ilvl="6">
      <w:start w:val="0"/>
      <w:numFmt w:val="bullet"/>
      <w:lvlText w:val="•"/>
      <w:lvlJc w:val="left"/>
      <w:pPr>
        <w:ind w:left="2275" w:hanging="167"/>
      </w:pPr>
      <w:rPr>
        <w:rFonts w:hint="default"/>
      </w:rPr>
    </w:lvl>
    <w:lvl w:ilvl="7">
      <w:start w:val="0"/>
      <w:numFmt w:val="bullet"/>
      <w:lvlText w:val="•"/>
      <w:lvlJc w:val="left"/>
      <w:pPr>
        <w:ind w:left="2622" w:hanging="167"/>
      </w:pPr>
      <w:rPr>
        <w:rFonts w:hint="default"/>
      </w:rPr>
    </w:lvl>
    <w:lvl w:ilvl="8">
      <w:start w:val="0"/>
      <w:numFmt w:val="bullet"/>
      <w:lvlText w:val="•"/>
      <w:lvlJc w:val="left"/>
      <w:pPr>
        <w:ind w:left="2969" w:hanging="167"/>
      </w:pPr>
      <w:rPr>
        <w:rFonts w:hint="default"/>
      </w:rPr>
    </w:lvl>
  </w:abstractNum>
  <w:abstractNum w:abstractNumId="25">
    <w:multiLevelType w:val="hybridMultilevel"/>
    <w:lvl w:ilvl="0">
      <w:start w:val="5"/>
      <w:numFmt w:val="upperLetter"/>
      <w:lvlText w:val="%1."/>
      <w:lvlJc w:val="left"/>
      <w:pPr>
        <w:ind w:left="603" w:hanging="181"/>
        <w:jc w:val="left"/>
      </w:pPr>
      <w:rPr>
        <w:rFonts w:hint="default" w:ascii="Arial" w:hAnsi="Arial" w:eastAsia="Arial" w:cs="Arial"/>
        <w:b/>
        <w:bCs/>
        <w:w w:val="104"/>
        <w:sz w:val="14"/>
        <w:szCs w:val="14"/>
      </w:rPr>
    </w:lvl>
    <w:lvl w:ilvl="1">
      <w:start w:val="1"/>
      <w:numFmt w:val="decimal"/>
      <w:lvlText w:val="%2)"/>
      <w:lvlJc w:val="left"/>
      <w:pPr>
        <w:ind w:left="808" w:hanging="167"/>
        <w:jc w:val="left"/>
      </w:pPr>
      <w:rPr>
        <w:rFonts w:hint="default" w:ascii="Arial" w:hAnsi="Arial" w:eastAsia="Arial" w:cs="Arial"/>
        <w:spacing w:val="-1"/>
        <w:w w:val="102"/>
        <w:sz w:val="14"/>
        <w:szCs w:val="14"/>
      </w:rPr>
    </w:lvl>
    <w:lvl w:ilvl="2">
      <w:start w:val="1"/>
      <w:numFmt w:val="lowerLetter"/>
      <w:lvlText w:val="%3)"/>
      <w:lvlJc w:val="left"/>
      <w:pPr>
        <w:ind w:left="971" w:hanging="167"/>
        <w:jc w:val="left"/>
      </w:pPr>
      <w:rPr>
        <w:rFonts w:hint="default" w:ascii="Arial" w:hAnsi="Arial" w:eastAsia="Arial" w:cs="Arial"/>
        <w:spacing w:val="-1"/>
        <w:w w:val="102"/>
        <w:sz w:val="14"/>
        <w:szCs w:val="14"/>
      </w:rPr>
    </w:lvl>
    <w:lvl w:ilvl="3">
      <w:start w:val="1"/>
      <w:numFmt w:val="decimal"/>
      <w:lvlText w:val="%4)"/>
      <w:lvlJc w:val="left"/>
      <w:pPr>
        <w:ind w:left="1094" w:hanging="168"/>
        <w:jc w:val="left"/>
      </w:pPr>
      <w:rPr>
        <w:rFonts w:hint="default" w:ascii="Arial" w:hAnsi="Arial" w:eastAsia="Arial" w:cs="Arial"/>
        <w:spacing w:val="-1"/>
        <w:w w:val="102"/>
        <w:sz w:val="14"/>
        <w:szCs w:val="14"/>
      </w:rPr>
    </w:lvl>
    <w:lvl w:ilvl="4">
      <w:start w:val="0"/>
      <w:numFmt w:val="bullet"/>
      <w:lvlText w:val="•"/>
      <w:lvlJc w:val="left"/>
      <w:pPr>
        <w:ind w:left="2642" w:hanging="168"/>
      </w:pPr>
      <w:rPr>
        <w:rFonts w:hint="default"/>
      </w:rPr>
    </w:lvl>
    <w:lvl w:ilvl="5">
      <w:start w:val="0"/>
      <w:numFmt w:val="bullet"/>
      <w:lvlText w:val="•"/>
      <w:lvlJc w:val="left"/>
      <w:pPr>
        <w:ind w:left="4185" w:hanging="168"/>
      </w:pPr>
      <w:rPr>
        <w:rFonts w:hint="default"/>
      </w:rPr>
    </w:lvl>
    <w:lvl w:ilvl="6">
      <w:start w:val="0"/>
      <w:numFmt w:val="bullet"/>
      <w:lvlText w:val="•"/>
      <w:lvlJc w:val="left"/>
      <w:pPr>
        <w:ind w:left="5728" w:hanging="168"/>
      </w:pPr>
      <w:rPr>
        <w:rFonts w:hint="default"/>
      </w:rPr>
    </w:lvl>
    <w:lvl w:ilvl="7">
      <w:start w:val="0"/>
      <w:numFmt w:val="bullet"/>
      <w:lvlText w:val="•"/>
      <w:lvlJc w:val="left"/>
      <w:pPr>
        <w:ind w:left="7271" w:hanging="168"/>
      </w:pPr>
      <w:rPr>
        <w:rFonts w:hint="default"/>
      </w:rPr>
    </w:lvl>
    <w:lvl w:ilvl="8">
      <w:start w:val="0"/>
      <w:numFmt w:val="bullet"/>
      <w:lvlText w:val="•"/>
      <w:lvlJc w:val="left"/>
      <w:pPr>
        <w:ind w:left="8814" w:hanging="168"/>
      </w:pPr>
      <w:rPr>
        <w:rFonts w:hint="default"/>
      </w:rPr>
    </w:lvl>
  </w:abstractNum>
  <w:abstractNum w:abstractNumId="24">
    <w:multiLevelType w:val="hybridMultilevel"/>
    <w:lvl w:ilvl="0">
      <w:start w:val="9"/>
      <w:numFmt w:val="upperLetter"/>
      <w:lvlText w:val="%1."/>
      <w:lvlJc w:val="left"/>
      <w:pPr>
        <w:ind w:left="599" w:hanging="122"/>
        <w:jc w:val="left"/>
      </w:pPr>
      <w:rPr>
        <w:rFonts w:hint="default" w:ascii="Arial" w:hAnsi="Arial" w:eastAsia="Arial" w:cs="Arial"/>
        <w:b/>
        <w:bCs/>
        <w:w w:val="102"/>
        <w:sz w:val="14"/>
        <w:szCs w:val="14"/>
      </w:rPr>
    </w:lvl>
    <w:lvl w:ilvl="1">
      <w:start w:val="1"/>
      <w:numFmt w:val="decimal"/>
      <w:lvlText w:val="%2)"/>
      <w:lvlJc w:val="left"/>
      <w:pPr>
        <w:ind w:left="808" w:hanging="167"/>
        <w:jc w:val="left"/>
      </w:pPr>
      <w:rPr>
        <w:rFonts w:hint="default" w:ascii="Arial" w:hAnsi="Arial" w:eastAsia="Arial" w:cs="Arial"/>
        <w:spacing w:val="-1"/>
        <w:w w:val="102"/>
        <w:sz w:val="14"/>
        <w:szCs w:val="14"/>
      </w:rPr>
    </w:lvl>
    <w:lvl w:ilvl="2">
      <w:start w:val="0"/>
      <w:numFmt w:val="bullet"/>
      <w:lvlText w:val="•"/>
      <w:lvlJc w:val="left"/>
      <w:pPr>
        <w:ind w:left="2033" w:hanging="167"/>
      </w:pPr>
      <w:rPr>
        <w:rFonts w:hint="default"/>
      </w:rPr>
    </w:lvl>
    <w:lvl w:ilvl="3">
      <w:start w:val="0"/>
      <w:numFmt w:val="bullet"/>
      <w:lvlText w:val="•"/>
      <w:lvlJc w:val="left"/>
      <w:pPr>
        <w:ind w:left="3266" w:hanging="167"/>
      </w:pPr>
      <w:rPr>
        <w:rFonts w:hint="default"/>
      </w:rPr>
    </w:lvl>
    <w:lvl w:ilvl="4">
      <w:start w:val="0"/>
      <w:numFmt w:val="bullet"/>
      <w:lvlText w:val="•"/>
      <w:lvlJc w:val="left"/>
      <w:pPr>
        <w:ind w:left="4500" w:hanging="167"/>
      </w:pPr>
      <w:rPr>
        <w:rFonts w:hint="default"/>
      </w:rPr>
    </w:lvl>
    <w:lvl w:ilvl="5">
      <w:start w:val="0"/>
      <w:numFmt w:val="bullet"/>
      <w:lvlText w:val="•"/>
      <w:lvlJc w:val="left"/>
      <w:pPr>
        <w:ind w:left="5733" w:hanging="167"/>
      </w:pPr>
      <w:rPr>
        <w:rFonts w:hint="default"/>
      </w:rPr>
    </w:lvl>
    <w:lvl w:ilvl="6">
      <w:start w:val="0"/>
      <w:numFmt w:val="bullet"/>
      <w:lvlText w:val="•"/>
      <w:lvlJc w:val="left"/>
      <w:pPr>
        <w:ind w:left="6966" w:hanging="167"/>
      </w:pPr>
      <w:rPr>
        <w:rFonts w:hint="default"/>
      </w:rPr>
    </w:lvl>
    <w:lvl w:ilvl="7">
      <w:start w:val="0"/>
      <w:numFmt w:val="bullet"/>
      <w:lvlText w:val="•"/>
      <w:lvlJc w:val="left"/>
      <w:pPr>
        <w:ind w:left="8200" w:hanging="167"/>
      </w:pPr>
      <w:rPr>
        <w:rFonts w:hint="default"/>
      </w:rPr>
    </w:lvl>
    <w:lvl w:ilvl="8">
      <w:start w:val="0"/>
      <w:numFmt w:val="bullet"/>
      <w:lvlText w:val="•"/>
      <w:lvlJc w:val="left"/>
      <w:pPr>
        <w:ind w:left="9433" w:hanging="167"/>
      </w:pPr>
      <w:rPr>
        <w:rFonts w:hint="default"/>
      </w:rPr>
    </w:lvl>
  </w:abstractNum>
  <w:abstractNum w:abstractNumId="23">
    <w:multiLevelType w:val="hybridMultilevel"/>
    <w:lvl w:ilvl="0">
      <w:start w:val="1"/>
      <w:numFmt w:val="decimal"/>
      <w:lvlText w:val="%1)"/>
      <w:lvlJc w:val="left"/>
      <w:pPr>
        <w:ind w:left="380" w:hanging="167"/>
        <w:jc w:val="left"/>
      </w:pPr>
      <w:rPr>
        <w:rFonts w:hint="default" w:ascii="Arial" w:hAnsi="Arial" w:eastAsia="Arial" w:cs="Arial"/>
        <w:spacing w:val="-1"/>
        <w:w w:val="102"/>
        <w:sz w:val="14"/>
        <w:szCs w:val="14"/>
      </w:rPr>
    </w:lvl>
    <w:lvl w:ilvl="1">
      <w:start w:val="1"/>
      <w:numFmt w:val="lowerLetter"/>
      <w:lvlText w:val="%2)"/>
      <w:lvlJc w:val="left"/>
      <w:pPr>
        <w:ind w:left="543" w:hanging="167"/>
        <w:jc w:val="left"/>
      </w:pPr>
      <w:rPr>
        <w:rFonts w:hint="default" w:ascii="Arial" w:hAnsi="Arial" w:eastAsia="Arial" w:cs="Arial"/>
        <w:spacing w:val="-1"/>
        <w:w w:val="102"/>
        <w:sz w:val="14"/>
        <w:szCs w:val="14"/>
      </w:rPr>
    </w:lvl>
    <w:lvl w:ilvl="2">
      <w:start w:val="0"/>
      <w:numFmt w:val="bullet"/>
      <w:lvlText w:val="•"/>
      <w:lvlJc w:val="left"/>
      <w:pPr>
        <w:ind w:left="540" w:hanging="167"/>
      </w:pPr>
      <w:rPr>
        <w:rFonts w:hint="default"/>
      </w:rPr>
    </w:lvl>
    <w:lvl w:ilvl="3">
      <w:start w:val="0"/>
      <w:numFmt w:val="bullet"/>
      <w:lvlText w:val="•"/>
      <w:lvlJc w:val="left"/>
      <w:pPr>
        <w:ind w:left="956" w:hanging="167"/>
      </w:pPr>
      <w:rPr>
        <w:rFonts w:hint="default"/>
      </w:rPr>
    </w:lvl>
    <w:lvl w:ilvl="4">
      <w:start w:val="0"/>
      <w:numFmt w:val="bullet"/>
      <w:lvlText w:val="•"/>
      <w:lvlJc w:val="left"/>
      <w:pPr>
        <w:ind w:left="1372" w:hanging="167"/>
      </w:pPr>
      <w:rPr>
        <w:rFonts w:hint="default"/>
      </w:rPr>
    </w:lvl>
    <w:lvl w:ilvl="5">
      <w:start w:val="0"/>
      <w:numFmt w:val="bullet"/>
      <w:lvlText w:val="•"/>
      <w:lvlJc w:val="left"/>
      <w:pPr>
        <w:ind w:left="1788" w:hanging="167"/>
      </w:pPr>
      <w:rPr>
        <w:rFonts w:hint="default"/>
      </w:rPr>
    </w:lvl>
    <w:lvl w:ilvl="6">
      <w:start w:val="0"/>
      <w:numFmt w:val="bullet"/>
      <w:lvlText w:val="•"/>
      <w:lvlJc w:val="left"/>
      <w:pPr>
        <w:ind w:left="2205" w:hanging="167"/>
      </w:pPr>
      <w:rPr>
        <w:rFonts w:hint="default"/>
      </w:rPr>
    </w:lvl>
    <w:lvl w:ilvl="7">
      <w:start w:val="0"/>
      <w:numFmt w:val="bullet"/>
      <w:lvlText w:val="•"/>
      <w:lvlJc w:val="left"/>
      <w:pPr>
        <w:ind w:left="2621" w:hanging="167"/>
      </w:pPr>
      <w:rPr>
        <w:rFonts w:hint="default"/>
      </w:rPr>
    </w:lvl>
    <w:lvl w:ilvl="8">
      <w:start w:val="0"/>
      <w:numFmt w:val="bullet"/>
      <w:lvlText w:val="•"/>
      <w:lvlJc w:val="left"/>
      <w:pPr>
        <w:ind w:left="3037" w:hanging="167"/>
      </w:pPr>
      <w:rPr>
        <w:rFonts w:hint="default"/>
      </w:rPr>
    </w:lvl>
  </w:abstractNum>
  <w:abstractNum w:abstractNumId="22">
    <w:multiLevelType w:val="hybridMultilevel"/>
    <w:lvl w:ilvl="0">
      <w:start w:val="2"/>
      <w:numFmt w:val="decimal"/>
      <w:lvlText w:val="%1)"/>
      <w:lvlJc w:val="left"/>
      <w:pPr>
        <w:ind w:left="213" w:hanging="167"/>
        <w:jc w:val="left"/>
      </w:pPr>
      <w:rPr>
        <w:rFonts w:hint="default" w:ascii="Arial" w:hAnsi="Arial" w:eastAsia="Arial" w:cs="Arial"/>
        <w:spacing w:val="-1"/>
        <w:w w:val="102"/>
        <w:sz w:val="14"/>
        <w:szCs w:val="14"/>
      </w:rPr>
    </w:lvl>
    <w:lvl w:ilvl="1">
      <w:start w:val="1"/>
      <w:numFmt w:val="lowerLetter"/>
      <w:lvlText w:val="%2)"/>
      <w:lvlJc w:val="left"/>
      <w:pPr>
        <w:ind w:left="380" w:hanging="167"/>
        <w:jc w:val="left"/>
      </w:pPr>
      <w:rPr>
        <w:rFonts w:hint="default" w:ascii="Arial" w:hAnsi="Arial" w:eastAsia="Arial" w:cs="Arial"/>
        <w:spacing w:val="-1"/>
        <w:w w:val="102"/>
        <w:sz w:val="14"/>
        <w:szCs w:val="14"/>
      </w:rPr>
    </w:lvl>
    <w:lvl w:ilvl="2">
      <w:start w:val="0"/>
      <w:numFmt w:val="bullet"/>
      <w:lvlText w:val="•"/>
      <w:lvlJc w:val="left"/>
      <w:pPr>
        <w:ind w:left="931" w:hanging="167"/>
      </w:pPr>
      <w:rPr>
        <w:rFonts w:hint="default"/>
      </w:rPr>
    </w:lvl>
    <w:lvl w:ilvl="3">
      <w:start w:val="0"/>
      <w:numFmt w:val="bullet"/>
      <w:lvlText w:val="•"/>
      <w:lvlJc w:val="left"/>
      <w:pPr>
        <w:ind w:left="1482" w:hanging="167"/>
      </w:pPr>
      <w:rPr>
        <w:rFonts w:hint="default"/>
      </w:rPr>
    </w:lvl>
    <w:lvl w:ilvl="4">
      <w:start w:val="0"/>
      <w:numFmt w:val="bullet"/>
      <w:lvlText w:val="•"/>
      <w:lvlJc w:val="left"/>
      <w:pPr>
        <w:ind w:left="2034" w:hanging="167"/>
      </w:pPr>
      <w:rPr>
        <w:rFonts w:hint="default"/>
      </w:rPr>
    </w:lvl>
    <w:lvl w:ilvl="5">
      <w:start w:val="0"/>
      <w:numFmt w:val="bullet"/>
      <w:lvlText w:val="•"/>
      <w:lvlJc w:val="left"/>
      <w:pPr>
        <w:ind w:left="2585" w:hanging="167"/>
      </w:pPr>
      <w:rPr>
        <w:rFonts w:hint="default"/>
      </w:rPr>
    </w:lvl>
    <w:lvl w:ilvl="6">
      <w:start w:val="0"/>
      <w:numFmt w:val="bullet"/>
      <w:lvlText w:val="•"/>
      <w:lvlJc w:val="left"/>
      <w:pPr>
        <w:ind w:left="3136" w:hanging="167"/>
      </w:pPr>
      <w:rPr>
        <w:rFonts w:hint="default"/>
      </w:rPr>
    </w:lvl>
    <w:lvl w:ilvl="7">
      <w:start w:val="0"/>
      <w:numFmt w:val="bullet"/>
      <w:lvlText w:val="•"/>
      <w:lvlJc w:val="left"/>
      <w:pPr>
        <w:ind w:left="3688" w:hanging="167"/>
      </w:pPr>
      <w:rPr>
        <w:rFonts w:hint="default"/>
      </w:rPr>
    </w:lvl>
    <w:lvl w:ilvl="8">
      <w:start w:val="0"/>
      <w:numFmt w:val="bullet"/>
      <w:lvlText w:val="•"/>
      <w:lvlJc w:val="left"/>
      <w:pPr>
        <w:ind w:left="4239" w:hanging="167"/>
      </w:pPr>
      <w:rPr>
        <w:rFonts w:hint="default"/>
      </w:rPr>
    </w:lvl>
  </w:abstractNum>
  <w:abstractNum w:abstractNumId="21">
    <w:multiLevelType w:val="hybridMultilevel"/>
    <w:lvl w:ilvl="0">
      <w:start w:val="2"/>
      <w:numFmt w:val="decimal"/>
      <w:lvlText w:val="%1)"/>
      <w:lvlJc w:val="left"/>
      <w:pPr>
        <w:ind w:left="380" w:hanging="167"/>
        <w:jc w:val="left"/>
      </w:pPr>
      <w:rPr>
        <w:rFonts w:hint="default" w:ascii="Arial" w:hAnsi="Arial" w:eastAsia="Arial" w:cs="Arial"/>
        <w:spacing w:val="-1"/>
        <w:w w:val="102"/>
        <w:sz w:val="14"/>
        <w:szCs w:val="14"/>
      </w:rPr>
    </w:lvl>
    <w:lvl w:ilvl="1">
      <w:start w:val="1"/>
      <w:numFmt w:val="lowerLetter"/>
      <w:lvlText w:val="%2)"/>
      <w:lvlJc w:val="left"/>
      <w:pPr>
        <w:ind w:left="543" w:hanging="167"/>
        <w:jc w:val="left"/>
      </w:pPr>
      <w:rPr>
        <w:rFonts w:hint="default" w:ascii="Arial" w:hAnsi="Arial" w:eastAsia="Arial" w:cs="Arial"/>
        <w:spacing w:val="-1"/>
        <w:w w:val="102"/>
        <w:sz w:val="14"/>
        <w:szCs w:val="14"/>
      </w:rPr>
    </w:lvl>
    <w:lvl w:ilvl="2">
      <w:start w:val="0"/>
      <w:numFmt w:val="bullet"/>
      <w:lvlText w:val="•"/>
      <w:lvlJc w:val="left"/>
      <w:pPr>
        <w:ind w:left="887" w:hanging="167"/>
      </w:pPr>
      <w:rPr>
        <w:rFonts w:hint="default"/>
      </w:rPr>
    </w:lvl>
    <w:lvl w:ilvl="3">
      <w:start w:val="0"/>
      <w:numFmt w:val="bullet"/>
      <w:lvlText w:val="•"/>
      <w:lvlJc w:val="left"/>
      <w:pPr>
        <w:ind w:left="1234" w:hanging="167"/>
      </w:pPr>
      <w:rPr>
        <w:rFonts w:hint="default"/>
      </w:rPr>
    </w:lvl>
    <w:lvl w:ilvl="4">
      <w:start w:val="0"/>
      <w:numFmt w:val="bullet"/>
      <w:lvlText w:val="•"/>
      <w:lvlJc w:val="left"/>
      <w:pPr>
        <w:ind w:left="1581" w:hanging="167"/>
      </w:pPr>
      <w:rPr>
        <w:rFonts w:hint="default"/>
      </w:rPr>
    </w:lvl>
    <w:lvl w:ilvl="5">
      <w:start w:val="0"/>
      <w:numFmt w:val="bullet"/>
      <w:lvlText w:val="•"/>
      <w:lvlJc w:val="left"/>
      <w:pPr>
        <w:ind w:left="1928" w:hanging="167"/>
      </w:pPr>
      <w:rPr>
        <w:rFonts w:hint="default"/>
      </w:rPr>
    </w:lvl>
    <w:lvl w:ilvl="6">
      <w:start w:val="0"/>
      <w:numFmt w:val="bullet"/>
      <w:lvlText w:val="•"/>
      <w:lvlJc w:val="left"/>
      <w:pPr>
        <w:ind w:left="2275" w:hanging="167"/>
      </w:pPr>
      <w:rPr>
        <w:rFonts w:hint="default"/>
      </w:rPr>
    </w:lvl>
    <w:lvl w:ilvl="7">
      <w:start w:val="0"/>
      <w:numFmt w:val="bullet"/>
      <w:lvlText w:val="•"/>
      <w:lvlJc w:val="left"/>
      <w:pPr>
        <w:ind w:left="2622" w:hanging="167"/>
      </w:pPr>
      <w:rPr>
        <w:rFonts w:hint="default"/>
      </w:rPr>
    </w:lvl>
    <w:lvl w:ilvl="8">
      <w:start w:val="0"/>
      <w:numFmt w:val="bullet"/>
      <w:lvlText w:val="•"/>
      <w:lvlJc w:val="left"/>
      <w:pPr>
        <w:ind w:left="2969" w:hanging="167"/>
      </w:pPr>
      <w:rPr>
        <w:rFonts w:hint="default"/>
      </w:rPr>
    </w:lvl>
  </w:abstractNum>
  <w:abstractNum w:abstractNumId="20">
    <w:multiLevelType w:val="hybridMultilevel"/>
    <w:lvl w:ilvl="0">
      <w:start w:val="1"/>
      <w:numFmt w:val="decimal"/>
      <w:lvlText w:val="%1)"/>
      <w:lvlJc w:val="left"/>
      <w:pPr>
        <w:ind w:left="380" w:hanging="167"/>
        <w:jc w:val="left"/>
      </w:pPr>
      <w:rPr>
        <w:rFonts w:hint="default" w:ascii="Arial" w:hAnsi="Arial" w:eastAsia="Arial" w:cs="Arial"/>
        <w:spacing w:val="-1"/>
        <w:w w:val="102"/>
        <w:sz w:val="14"/>
        <w:szCs w:val="14"/>
      </w:rPr>
    </w:lvl>
    <w:lvl w:ilvl="1">
      <w:start w:val="1"/>
      <w:numFmt w:val="lowerLetter"/>
      <w:lvlText w:val="%2)"/>
      <w:lvlJc w:val="left"/>
      <w:pPr>
        <w:ind w:left="543" w:hanging="167"/>
        <w:jc w:val="left"/>
      </w:pPr>
      <w:rPr>
        <w:rFonts w:hint="default" w:ascii="Arial" w:hAnsi="Arial" w:eastAsia="Arial" w:cs="Arial"/>
        <w:spacing w:val="-1"/>
        <w:w w:val="102"/>
        <w:sz w:val="14"/>
        <w:szCs w:val="14"/>
      </w:rPr>
    </w:lvl>
    <w:lvl w:ilvl="2">
      <w:start w:val="0"/>
      <w:numFmt w:val="bullet"/>
      <w:lvlText w:val="•"/>
      <w:lvlJc w:val="left"/>
      <w:pPr>
        <w:ind w:left="887" w:hanging="167"/>
      </w:pPr>
      <w:rPr>
        <w:rFonts w:hint="default"/>
      </w:rPr>
    </w:lvl>
    <w:lvl w:ilvl="3">
      <w:start w:val="0"/>
      <w:numFmt w:val="bullet"/>
      <w:lvlText w:val="•"/>
      <w:lvlJc w:val="left"/>
      <w:pPr>
        <w:ind w:left="1234" w:hanging="167"/>
      </w:pPr>
      <w:rPr>
        <w:rFonts w:hint="default"/>
      </w:rPr>
    </w:lvl>
    <w:lvl w:ilvl="4">
      <w:start w:val="0"/>
      <w:numFmt w:val="bullet"/>
      <w:lvlText w:val="•"/>
      <w:lvlJc w:val="left"/>
      <w:pPr>
        <w:ind w:left="1581" w:hanging="167"/>
      </w:pPr>
      <w:rPr>
        <w:rFonts w:hint="default"/>
      </w:rPr>
    </w:lvl>
    <w:lvl w:ilvl="5">
      <w:start w:val="0"/>
      <w:numFmt w:val="bullet"/>
      <w:lvlText w:val="•"/>
      <w:lvlJc w:val="left"/>
      <w:pPr>
        <w:ind w:left="1928" w:hanging="167"/>
      </w:pPr>
      <w:rPr>
        <w:rFonts w:hint="default"/>
      </w:rPr>
    </w:lvl>
    <w:lvl w:ilvl="6">
      <w:start w:val="0"/>
      <w:numFmt w:val="bullet"/>
      <w:lvlText w:val="•"/>
      <w:lvlJc w:val="left"/>
      <w:pPr>
        <w:ind w:left="2275" w:hanging="167"/>
      </w:pPr>
      <w:rPr>
        <w:rFonts w:hint="default"/>
      </w:rPr>
    </w:lvl>
    <w:lvl w:ilvl="7">
      <w:start w:val="0"/>
      <w:numFmt w:val="bullet"/>
      <w:lvlText w:val="•"/>
      <w:lvlJc w:val="left"/>
      <w:pPr>
        <w:ind w:left="2622" w:hanging="167"/>
      </w:pPr>
      <w:rPr>
        <w:rFonts w:hint="default"/>
      </w:rPr>
    </w:lvl>
    <w:lvl w:ilvl="8">
      <w:start w:val="0"/>
      <w:numFmt w:val="bullet"/>
      <w:lvlText w:val="•"/>
      <w:lvlJc w:val="left"/>
      <w:pPr>
        <w:ind w:left="2969" w:hanging="167"/>
      </w:pPr>
      <w:rPr>
        <w:rFonts w:hint="default"/>
      </w:rPr>
    </w:lvl>
  </w:abstractNum>
  <w:abstractNum w:abstractNumId="19">
    <w:multiLevelType w:val="hybridMultilevel"/>
    <w:lvl w:ilvl="0">
      <w:start w:val="5"/>
      <w:numFmt w:val="upperLetter"/>
      <w:lvlText w:val="%1."/>
      <w:lvlJc w:val="left"/>
      <w:pPr>
        <w:ind w:left="603" w:hanging="181"/>
        <w:jc w:val="left"/>
      </w:pPr>
      <w:rPr>
        <w:rFonts w:hint="default" w:ascii="Arial" w:hAnsi="Arial" w:eastAsia="Arial" w:cs="Arial"/>
        <w:b/>
        <w:bCs/>
        <w:w w:val="104"/>
        <w:sz w:val="14"/>
        <w:szCs w:val="14"/>
      </w:rPr>
    </w:lvl>
    <w:lvl w:ilvl="1">
      <w:start w:val="0"/>
      <w:numFmt w:val="bullet"/>
      <w:lvlText w:val="•"/>
      <w:lvlJc w:val="left"/>
      <w:pPr>
        <w:ind w:left="1730" w:hanging="181"/>
      </w:pPr>
      <w:rPr>
        <w:rFonts w:hint="default"/>
      </w:rPr>
    </w:lvl>
    <w:lvl w:ilvl="2">
      <w:start w:val="0"/>
      <w:numFmt w:val="bullet"/>
      <w:lvlText w:val="•"/>
      <w:lvlJc w:val="left"/>
      <w:pPr>
        <w:ind w:left="2860" w:hanging="181"/>
      </w:pPr>
      <w:rPr>
        <w:rFonts w:hint="default"/>
      </w:rPr>
    </w:lvl>
    <w:lvl w:ilvl="3">
      <w:start w:val="0"/>
      <w:numFmt w:val="bullet"/>
      <w:lvlText w:val="•"/>
      <w:lvlJc w:val="left"/>
      <w:pPr>
        <w:ind w:left="3990" w:hanging="181"/>
      </w:pPr>
      <w:rPr>
        <w:rFonts w:hint="default"/>
      </w:rPr>
    </w:lvl>
    <w:lvl w:ilvl="4">
      <w:start w:val="0"/>
      <w:numFmt w:val="bullet"/>
      <w:lvlText w:val="•"/>
      <w:lvlJc w:val="left"/>
      <w:pPr>
        <w:ind w:left="5120" w:hanging="181"/>
      </w:pPr>
      <w:rPr>
        <w:rFonts w:hint="default"/>
      </w:rPr>
    </w:lvl>
    <w:lvl w:ilvl="5">
      <w:start w:val="0"/>
      <w:numFmt w:val="bullet"/>
      <w:lvlText w:val="•"/>
      <w:lvlJc w:val="left"/>
      <w:pPr>
        <w:ind w:left="6250" w:hanging="181"/>
      </w:pPr>
      <w:rPr>
        <w:rFonts w:hint="default"/>
      </w:rPr>
    </w:lvl>
    <w:lvl w:ilvl="6">
      <w:start w:val="0"/>
      <w:numFmt w:val="bullet"/>
      <w:lvlText w:val="•"/>
      <w:lvlJc w:val="left"/>
      <w:pPr>
        <w:ind w:left="7380" w:hanging="181"/>
      </w:pPr>
      <w:rPr>
        <w:rFonts w:hint="default"/>
      </w:rPr>
    </w:lvl>
    <w:lvl w:ilvl="7">
      <w:start w:val="0"/>
      <w:numFmt w:val="bullet"/>
      <w:lvlText w:val="•"/>
      <w:lvlJc w:val="left"/>
      <w:pPr>
        <w:ind w:left="8510" w:hanging="181"/>
      </w:pPr>
      <w:rPr>
        <w:rFonts w:hint="default"/>
      </w:rPr>
    </w:lvl>
    <w:lvl w:ilvl="8">
      <w:start w:val="0"/>
      <w:numFmt w:val="bullet"/>
      <w:lvlText w:val="•"/>
      <w:lvlJc w:val="left"/>
      <w:pPr>
        <w:ind w:left="9640" w:hanging="181"/>
      </w:pPr>
      <w:rPr>
        <w:rFonts w:hint="default"/>
      </w:rPr>
    </w:lvl>
  </w:abstractNum>
  <w:abstractNum w:abstractNumId="18">
    <w:multiLevelType w:val="hybridMultilevel"/>
    <w:lvl w:ilvl="0">
      <w:start w:val="9"/>
      <w:numFmt w:val="upperLetter"/>
      <w:lvlText w:val="%1."/>
      <w:lvlJc w:val="left"/>
      <w:pPr>
        <w:ind w:left="599" w:hanging="122"/>
        <w:jc w:val="left"/>
      </w:pPr>
      <w:rPr>
        <w:rFonts w:hint="default" w:ascii="Arial" w:hAnsi="Arial" w:eastAsia="Arial" w:cs="Arial"/>
        <w:b/>
        <w:bCs/>
        <w:w w:val="102"/>
        <w:sz w:val="14"/>
        <w:szCs w:val="14"/>
      </w:rPr>
    </w:lvl>
    <w:lvl w:ilvl="1">
      <w:start w:val="1"/>
      <w:numFmt w:val="decimal"/>
      <w:lvlText w:val="%2)"/>
      <w:lvlJc w:val="left"/>
      <w:pPr>
        <w:ind w:left="808" w:hanging="167"/>
        <w:jc w:val="left"/>
      </w:pPr>
      <w:rPr>
        <w:rFonts w:hint="default" w:ascii="Arial" w:hAnsi="Arial" w:eastAsia="Arial" w:cs="Arial"/>
        <w:spacing w:val="-1"/>
        <w:w w:val="102"/>
        <w:sz w:val="14"/>
        <w:szCs w:val="14"/>
      </w:rPr>
    </w:lvl>
    <w:lvl w:ilvl="2">
      <w:start w:val="0"/>
      <w:numFmt w:val="bullet"/>
      <w:lvlText w:val="•"/>
      <w:lvlJc w:val="left"/>
      <w:pPr>
        <w:ind w:left="2033" w:hanging="167"/>
      </w:pPr>
      <w:rPr>
        <w:rFonts w:hint="default"/>
      </w:rPr>
    </w:lvl>
    <w:lvl w:ilvl="3">
      <w:start w:val="0"/>
      <w:numFmt w:val="bullet"/>
      <w:lvlText w:val="•"/>
      <w:lvlJc w:val="left"/>
      <w:pPr>
        <w:ind w:left="3266" w:hanging="167"/>
      </w:pPr>
      <w:rPr>
        <w:rFonts w:hint="default"/>
      </w:rPr>
    </w:lvl>
    <w:lvl w:ilvl="4">
      <w:start w:val="0"/>
      <w:numFmt w:val="bullet"/>
      <w:lvlText w:val="•"/>
      <w:lvlJc w:val="left"/>
      <w:pPr>
        <w:ind w:left="4500" w:hanging="167"/>
      </w:pPr>
      <w:rPr>
        <w:rFonts w:hint="default"/>
      </w:rPr>
    </w:lvl>
    <w:lvl w:ilvl="5">
      <w:start w:val="0"/>
      <w:numFmt w:val="bullet"/>
      <w:lvlText w:val="•"/>
      <w:lvlJc w:val="left"/>
      <w:pPr>
        <w:ind w:left="5733" w:hanging="167"/>
      </w:pPr>
      <w:rPr>
        <w:rFonts w:hint="default"/>
      </w:rPr>
    </w:lvl>
    <w:lvl w:ilvl="6">
      <w:start w:val="0"/>
      <w:numFmt w:val="bullet"/>
      <w:lvlText w:val="•"/>
      <w:lvlJc w:val="left"/>
      <w:pPr>
        <w:ind w:left="6966" w:hanging="167"/>
      </w:pPr>
      <w:rPr>
        <w:rFonts w:hint="default"/>
      </w:rPr>
    </w:lvl>
    <w:lvl w:ilvl="7">
      <w:start w:val="0"/>
      <w:numFmt w:val="bullet"/>
      <w:lvlText w:val="•"/>
      <w:lvlJc w:val="left"/>
      <w:pPr>
        <w:ind w:left="8200" w:hanging="167"/>
      </w:pPr>
      <w:rPr>
        <w:rFonts w:hint="default"/>
      </w:rPr>
    </w:lvl>
    <w:lvl w:ilvl="8">
      <w:start w:val="0"/>
      <w:numFmt w:val="bullet"/>
      <w:lvlText w:val="•"/>
      <w:lvlJc w:val="left"/>
      <w:pPr>
        <w:ind w:left="9433" w:hanging="167"/>
      </w:pPr>
      <w:rPr>
        <w:rFonts w:hint="default"/>
      </w:rPr>
    </w:lvl>
  </w:abstractNum>
  <w:abstractNum w:abstractNumId="17">
    <w:multiLevelType w:val="hybridMultilevel"/>
    <w:lvl w:ilvl="0">
      <w:start w:val="1"/>
      <w:numFmt w:val="decimal"/>
      <w:lvlText w:val="%1)"/>
      <w:lvlJc w:val="left"/>
      <w:pPr>
        <w:ind w:left="380" w:hanging="167"/>
        <w:jc w:val="left"/>
      </w:pPr>
      <w:rPr>
        <w:rFonts w:hint="default" w:ascii="Arial" w:hAnsi="Arial" w:eastAsia="Arial" w:cs="Arial"/>
        <w:spacing w:val="-1"/>
        <w:w w:val="102"/>
        <w:sz w:val="14"/>
        <w:szCs w:val="14"/>
      </w:rPr>
    </w:lvl>
    <w:lvl w:ilvl="1">
      <w:start w:val="1"/>
      <w:numFmt w:val="lowerLetter"/>
      <w:lvlText w:val="%2)"/>
      <w:lvlJc w:val="left"/>
      <w:pPr>
        <w:ind w:left="543" w:hanging="167"/>
        <w:jc w:val="left"/>
      </w:pPr>
      <w:rPr>
        <w:rFonts w:hint="default" w:ascii="Arial" w:hAnsi="Arial" w:eastAsia="Arial" w:cs="Arial"/>
        <w:spacing w:val="-1"/>
        <w:w w:val="102"/>
        <w:sz w:val="14"/>
        <w:szCs w:val="14"/>
      </w:rPr>
    </w:lvl>
    <w:lvl w:ilvl="2">
      <w:start w:val="0"/>
      <w:numFmt w:val="bullet"/>
      <w:lvlText w:val="•"/>
      <w:lvlJc w:val="left"/>
      <w:pPr>
        <w:ind w:left="540" w:hanging="167"/>
      </w:pPr>
      <w:rPr>
        <w:rFonts w:hint="default"/>
      </w:rPr>
    </w:lvl>
    <w:lvl w:ilvl="3">
      <w:start w:val="0"/>
      <w:numFmt w:val="bullet"/>
      <w:lvlText w:val="•"/>
      <w:lvlJc w:val="left"/>
      <w:pPr>
        <w:ind w:left="956" w:hanging="167"/>
      </w:pPr>
      <w:rPr>
        <w:rFonts w:hint="default"/>
      </w:rPr>
    </w:lvl>
    <w:lvl w:ilvl="4">
      <w:start w:val="0"/>
      <w:numFmt w:val="bullet"/>
      <w:lvlText w:val="•"/>
      <w:lvlJc w:val="left"/>
      <w:pPr>
        <w:ind w:left="1372" w:hanging="167"/>
      </w:pPr>
      <w:rPr>
        <w:rFonts w:hint="default"/>
      </w:rPr>
    </w:lvl>
    <w:lvl w:ilvl="5">
      <w:start w:val="0"/>
      <w:numFmt w:val="bullet"/>
      <w:lvlText w:val="•"/>
      <w:lvlJc w:val="left"/>
      <w:pPr>
        <w:ind w:left="1788" w:hanging="167"/>
      </w:pPr>
      <w:rPr>
        <w:rFonts w:hint="default"/>
      </w:rPr>
    </w:lvl>
    <w:lvl w:ilvl="6">
      <w:start w:val="0"/>
      <w:numFmt w:val="bullet"/>
      <w:lvlText w:val="•"/>
      <w:lvlJc w:val="left"/>
      <w:pPr>
        <w:ind w:left="2205" w:hanging="167"/>
      </w:pPr>
      <w:rPr>
        <w:rFonts w:hint="default"/>
      </w:rPr>
    </w:lvl>
    <w:lvl w:ilvl="7">
      <w:start w:val="0"/>
      <w:numFmt w:val="bullet"/>
      <w:lvlText w:val="•"/>
      <w:lvlJc w:val="left"/>
      <w:pPr>
        <w:ind w:left="2621" w:hanging="167"/>
      </w:pPr>
      <w:rPr>
        <w:rFonts w:hint="default"/>
      </w:rPr>
    </w:lvl>
    <w:lvl w:ilvl="8">
      <w:start w:val="0"/>
      <w:numFmt w:val="bullet"/>
      <w:lvlText w:val="•"/>
      <w:lvlJc w:val="left"/>
      <w:pPr>
        <w:ind w:left="3037" w:hanging="167"/>
      </w:pPr>
      <w:rPr>
        <w:rFonts w:hint="default"/>
      </w:rPr>
    </w:lvl>
  </w:abstractNum>
  <w:abstractNum w:abstractNumId="16">
    <w:multiLevelType w:val="hybridMultilevel"/>
    <w:lvl w:ilvl="0">
      <w:start w:val="2"/>
      <w:numFmt w:val="decimal"/>
      <w:lvlText w:val="%1)"/>
      <w:lvlJc w:val="left"/>
      <w:pPr>
        <w:ind w:left="213" w:hanging="167"/>
        <w:jc w:val="left"/>
      </w:pPr>
      <w:rPr>
        <w:rFonts w:hint="default" w:ascii="Arial" w:hAnsi="Arial" w:eastAsia="Arial" w:cs="Arial"/>
        <w:spacing w:val="-1"/>
        <w:w w:val="102"/>
        <w:sz w:val="14"/>
        <w:szCs w:val="14"/>
      </w:rPr>
    </w:lvl>
    <w:lvl w:ilvl="1">
      <w:start w:val="1"/>
      <w:numFmt w:val="lowerLetter"/>
      <w:lvlText w:val="%2)"/>
      <w:lvlJc w:val="left"/>
      <w:pPr>
        <w:ind w:left="380" w:hanging="167"/>
        <w:jc w:val="left"/>
      </w:pPr>
      <w:rPr>
        <w:rFonts w:hint="default" w:ascii="Arial" w:hAnsi="Arial" w:eastAsia="Arial" w:cs="Arial"/>
        <w:spacing w:val="-1"/>
        <w:w w:val="102"/>
        <w:sz w:val="14"/>
        <w:szCs w:val="14"/>
      </w:rPr>
    </w:lvl>
    <w:lvl w:ilvl="2">
      <w:start w:val="0"/>
      <w:numFmt w:val="bullet"/>
      <w:lvlText w:val="•"/>
      <w:lvlJc w:val="left"/>
      <w:pPr>
        <w:ind w:left="931" w:hanging="167"/>
      </w:pPr>
      <w:rPr>
        <w:rFonts w:hint="default"/>
      </w:rPr>
    </w:lvl>
    <w:lvl w:ilvl="3">
      <w:start w:val="0"/>
      <w:numFmt w:val="bullet"/>
      <w:lvlText w:val="•"/>
      <w:lvlJc w:val="left"/>
      <w:pPr>
        <w:ind w:left="1482" w:hanging="167"/>
      </w:pPr>
      <w:rPr>
        <w:rFonts w:hint="default"/>
      </w:rPr>
    </w:lvl>
    <w:lvl w:ilvl="4">
      <w:start w:val="0"/>
      <w:numFmt w:val="bullet"/>
      <w:lvlText w:val="•"/>
      <w:lvlJc w:val="left"/>
      <w:pPr>
        <w:ind w:left="2034" w:hanging="167"/>
      </w:pPr>
      <w:rPr>
        <w:rFonts w:hint="default"/>
      </w:rPr>
    </w:lvl>
    <w:lvl w:ilvl="5">
      <w:start w:val="0"/>
      <w:numFmt w:val="bullet"/>
      <w:lvlText w:val="•"/>
      <w:lvlJc w:val="left"/>
      <w:pPr>
        <w:ind w:left="2585" w:hanging="167"/>
      </w:pPr>
      <w:rPr>
        <w:rFonts w:hint="default"/>
      </w:rPr>
    </w:lvl>
    <w:lvl w:ilvl="6">
      <w:start w:val="0"/>
      <w:numFmt w:val="bullet"/>
      <w:lvlText w:val="•"/>
      <w:lvlJc w:val="left"/>
      <w:pPr>
        <w:ind w:left="3136" w:hanging="167"/>
      </w:pPr>
      <w:rPr>
        <w:rFonts w:hint="default"/>
      </w:rPr>
    </w:lvl>
    <w:lvl w:ilvl="7">
      <w:start w:val="0"/>
      <w:numFmt w:val="bullet"/>
      <w:lvlText w:val="•"/>
      <w:lvlJc w:val="left"/>
      <w:pPr>
        <w:ind w:left="3688" w:hanging="167"/>
      </w:pPr>
      <w:rPr>
        <w:rFonts w:hint="default"/>
      </w:rPr>
    </w:lvl>
    <w:lvl w:ilvl="8">
      <w:start w:val="0"/>
      <w:numFmt w:val="bullet"/>
      <w:lvlText w:val="•"/>
      <w:lvlJc w:val="left"/>
      <w:pPr>
        <w:ind w:left="4239" w:hanging="167"/>
      </w:pPr>
      <w:rPr>
        <w:rFonts w:hint="default"/>
      </w:rPr>
    </w:lvl>
  </w:abstractNum>
  <w:abstractNum w:abstractNumId="15">
    <w:multiLevelType w:val="hybridMultilevel"/>
    <w:lvl w:ilvl="0">
      <w:start w:val="2"/>
      <w:numFmt w:val="decimal"/>
      <w:lvlText w:val="%1)"/>
      <w:lvlJc w:val="left"/>
      <w:pPr>
        <w:ind w:left="380" w:hanging="167"/>
        <w:jc w:val="left"/>
      </w:pPr>
      <w:rPr>
        <w:rFonts w:hint="default" w:ascii="Arial" w:hAnsi="Arial" w:eastAsia="Arial" w:cs="Arial"/>
        <w:spacing w:val="-1"/>
        <w:w w:val="102"/>
        <w:sz w:val="14"/>
        <w:szCs w:val="14"/>
      </w:rPr>
    </w:lvl>
    <w:lvl w:ilvl="1">
      <w:start w:val="1"/>
      <w:numFmt w:val="lowerLetter"/>
      <w:lvlText w:val="%2)"/>
      <w:lvlJc w:val="left"/>
      <w:pPr>
        <w:ind w:left="543" w:hanging="167"/>
        <w:jc w:val="left"/>
      </w:pPr>
      <w:rPr>
        <w:rFonts w:hint="default" w:ascii="Arial" w:hAnsi="Arial" w:eastAsia="Arial" w:cs="Arial"/>
        <w:spacing w:val="-1"/>
        <w:w w:val="102"/>
        <w:sz w:val="14"/>
        <w:szCs w:val="14"/>
      </w:rPr>
    </w:lvl>
    <w:lvl w:ilvl="2">
      <w:start w:val="0"/>
      <w:numFmt w:val="bullet"/>
      <w:lvlText w:val="•"/>
      <w:lvlJc w:val="left"/>
      <w:pPr>
        <w:ind w:left="887" w:hanging="167"/>
      </w:pPr>
      <w:rPr>
        <w:rFonts w:hint="default"/>
      </w:rPr>
    </w:lvl>
    <w:lvl w:ilvl="3">
      <w:start w:val="0"/>
      <w:numFmt w:val="bullet"/>
      <w:lvlText w:val="•"/>
      <w:lvlJc w:val="left"/>
      <w:pPr>
        <w:ind w:left="1234" w:hanging="167"/>
      </w:pPr>
      <w:rPr>
        <w:rFonts w:hint="default"/>
      </w:rPr>
    </w:lvl>
    <w:lvl w:ilvl="4">
      <w:start w:val="0"/>
      <w:numFmt w:val="bullet"/>
      <w:lvlText w:val="•"/>
      <w:lvlJc w:val="left"/>
      <w:pPr>
        <w:ind w:left="1581" w:hanging="167"/>
      </w:pPr>
      <w:rPr>
        <w:rFonts w:hint="default"/>
      </w:rPr>
    </w:lvl>
    <w:lvl w:ilvl="5">
      <w:start w:val="0"/>
      <w:numFmt w:val="bullet"/>
      <w:lvlText w:val="•"/>
      <w:lvlJc w:val="left"/>
      <w:pPr>
        <w:ind w:left="1928" w:hanging="167"/>
      </w:pPr>
      <w:rPr>
        <w:rFonts w:hint="default"/>
      </w:rPr>
    </w:lvl>
    <w:lvl w:ilvl="6">
      <w:start w:val="0"/>
      <w:numFmt w:val="bullet"/>
      <w:lvlText w:val="•"/>
      <w:lvlJc w:val="left"/>
      <w:pPr>
        <w:ind w:left="2275" w:hanging="167"/>
      </w:pPr>
      <w:rPr>
        <w:rFonts w:hint="default"/>
      </w:rPr>
    </w:lvl>
    <w:lvl w:ilvl="7">
      <w:start w:val="0"/>
      <w:numFmt w:val="bullet"/>
      <w:lvlText w:val="•"/>
      <w:lvlJc w:val="left"/>
      <w:pPr>
        <w:ind w:left="2622" w:hanging="167"/>
      </w:pPr>
      <w:rPr>
        <w:rFonts w:hint="default"/>
      </w:rPr>
    </w:lvl>
    <w:lvl w:ilvl="8">
      <w:start w:val="0"/>
      <w:numFmt w:val="bullet"/>
      <w:lvlText w:val="•"/>
      <w:lvlJc w:val="left"/>
      <w:pPr>
        <w:ind w:left="2969" w:hanging="167"/>
      </w:pPr>
      <w:rPr>
        <w:rFonts w:hint="default"/>
      </w:rPr>
    </w:lvl>
  </w:abstractNum>
  <w:abstractNum w:abstractNumId="14">
    <w:multiLevelType w:val="hybridMultilevel"/>
    <w:lvl w:ilvl="0">
      <w:start w:val="1"/>
      <w:numFmt w:val="decimal"/>
      <w:lvlText w:val="%1)"/>
      <w:lvlJc w:val="left"/>
      <w:pPr>
        <w:ind w:left="380" w:hanging="167"/>
        <w:jc w:val="left"/>
      </w:pPr>
      <w:rPr>
        <w:rFonts w:hint="default" w:ascii="Arial" w:hAnsi="Arial" w:eastAsia="Arial" w:cs="Arial"/>
        <w:spacing w:val="-1"/>
        <w:w w:val="102"/>
        <w:sz w:val="14"/>
        <w:szCs w:val="14"/>
      </w:rPr>
    </w:lvl>
    <w:lvl w:ilvl="1">
      <w:start w:val="1"/>
      <w:numFmt w:val="lowerLetter"/>
      <w:lvlText w:val="%2)"/>
      <w:lvlJc w:val="left"/>
      <w:pPr>
        <w:ind w:left="543" w:hanging="167"/>
        <w:jc w:val="left"/>
      </w:pPr>
      <w:rPr>
        <w:rFonts w:hint="default" w:ascii="Arial" w:hAnsi="Arial" w:eastAsia="Arial" w:cs="Arial"/>
        <w:spacing w:val="-1"/>
        <w:w w:val="102"/>
        <w:sz w:val="14"/>
        <w:szCs w:val="14"/>
      </w:rPr>
    </w:lvl>
    <w:lvl w:ilvl="2">
      <w:start w:val="0"/>
      <w:numFmt w:val="bullet"/>
      <w:lvlText w:val="•"/>
      <w:lvlJc w:val="left"/>
      <w:pPr>
        <w:ind w:left="887" w:hanging="167"/>
      </w:pPr>
      <w:rPr>
        <w:rFonts w:hint="default"/>
      </w:rPr>
    </w:lvl>
    <w:lvl w:ilvl="3">
      <w:start w:val="0"/>
      <w:numFmt w:val="bullet"/>
      <w:lvlText w:val="•"/>
      <w:lvlJc w:val="left"/>
      <w:pPr>
        <w:ind w:left="1234" w:hanging="167"/>
      </w:pPr>
      <w:rPr>
        <w:rFonts w:hint="default"/>
      </w:rPr>
    </w:lvl>
    <w:lvl w:ilvl="4">
      <w:start w:val="0"/>
      <w:numFmt w:val="bullet"/>
      <w:lvlText w:val="•"/>
      <w:lvlJc w:val="left"/>
      <w:pPr>
        <w:ind w:left="1581" w:hanging="167"/>
      </w:pPr>
      <w:rPr>
        <w:rFonts w:hint="default"/>
      </w:rPr>
    </w:lvl>
    <w:lvl w:ilvl="5">
      <w:start w:val="0"/>
      <w:numFmt w:val="bullet"/>
      <w:lvlText w:val="•"/>
      <w:lvlJc w:val="left"/>
      <w:pPr>
        <w:ind w:left="1928" w:hanging="167"/>
      </w:pPr>
      <w:rPr>
        <w:rFonts w:hint="default"/>
      </w:rPr>
    </w:lvl>
    <w:lvl w:ilvl="6">
      <w:start w:val="0"/>
      <w:numFmt w:val="bullet"/>
      <w:lvlText w:val="•"/>
      <w:lvlJc w:val="left"/>
      <w:pPr>
        <w:ind w:left="2275" w:hanging="167"/>
      </w:pPr>
      <w:rPr>
        <w:rFonts w:hint="default"/>
      </w:rPr>
    </w:lvl>
    <w:lvl w:ilvl="7">
      <w:start w:val="0"/>
      <w:numFmt w:val="bullet"/>
      <w:lvlText w:val="•"/>
      <w:lvlJc w:val="left"/>
      <w:pPr>
        <w:ind w:left="2622" w:hanging="167"/>
      </w:pPr>
      <w:rPr>
        <w:rFonts w:hint="default"/>
      </w:rPr>
    </w:lvl>
    <w:lvl w:ilvl="8">
      <w:start w:val="0"/>
      <w:numFmt w:val="bullet"/>
      <w:lvlText w:val="•"/>
      <w:lvlJc w:val="left"/>
      <w:pPr>
        <w:ind w:left="2969" w:hanging="167"/>
      </w:pPr>
      <w:rPr>
        <w:rFonts w:hint="default"/>
      </w:rPr>
    </w:lvl>
  </w:abstractNum>
  <w:abstractNum w:abstractNumId="13">
    <w:multiLevelType w:val="hybridMultilevel"/>
    <w:lvl w:ilvl="0">
      <w:start w:val="5"/>
      <w:numFmt w:val="upperLetter"/>
      <w:lvlText w:val="%1."/>
      <w:lvlJc w:val="left"/>
      <w:pPr>
        <w:ind w:left="603" w:hanging="181"/>
        <w:jc w:val="left"/>
      </w:pPr>
      <w:rPr>
        <w:rFonts w:hint="default" w:ascii="Arial" w:hAnsi="Arial" w:eastAsia="Arial" w:cs="Arial"/>
        <w:b/>
        <w:bCs/>
        <w:w w:val="104"/>
        <w:sz w:val="14"/>
        <w:szCs w:val="14"/>
      </w:rPr>
    </w:lvl>
    <w:lvl w:ilvl="1">
      <w:start w:val="0"/>
      <w:numFmt w:val="bullet"/>
      <w:lvlText w:val="•"/>
      <w:lvlJc w:val="left"/>
      <w:pPr>
        <w:ind w:left="1730" w:hanging="181"/>
      </w:pPr>
      <w:rPr>
        <w:rFonts w:hint="default"/>
      </w:rPr>
    </w:lvl>
    <w:lvl w:ilvl="2">
      <w:start w:val="0"/>
      <w:numFmt w:val="bullet"/>
      <w:lvlText w:val="•"/>
      <w:lvlJc w:val="left"/>
      <w:pPr>
        <w:ind w:left="2860" w:hanging="181"/>
      </w:pPr>
      <w:rPr>
        <w:rFonts w:hint="default"/>
      </w:rPr>
    </w:lvl>
    <w:lvl w:ilvl="3">
      <w:start w:val="0"/>
      <w:numFmt w:val="bullet"/>
      <w:lvlText w:val="•"/>
      <w:lvlJc w:val="left"/>
      <w:pPr>
        <w:ind w:left="3990" w:hanging="181"/>
      </w:pPr>
      <w:rPr>
        <w:rFonts w:hint="default"/>
      </w:rPr>
    </w:lvl>
    <w:lvl w:ilvl="4">
      <w:start w:val="0"/>
      <w:numFmt w:val="bullet"/>
      <w:lvlText w:val="•"/>
      <w:lvlJc w:val="left"/>
      <w:pPr>
        <w:ind w:left="5120" w:hanging="181"/>
      </w:pPr>
      <w:rPr>
        <w:rFonts w:hint="default"/>
      </w:rPr>
    </w:lvl>
    <w:lvl w:ilvl="5">
      <w:start w:val="0"/>
      <w:numFmt w:val="bullet"/>
      <w:lvlText w:val="•"/>
      <w:lvlJc w:val="left"/>
      <w:pPr>
        <w:ind w:left="6250" w:hanging="181"/>
      </w:pPr>
      <w:rPr>
        <w:rFonts w:hint="default"/>
      </w:rPr>
    </w:lvl>
    <w:lvl w:ilvl="6">
      <w:start w:val="0"/>
      <w:numFmt w:val="bullet"/>
      <w:lvlText w:val="•"/>
      <w:lvlJc w:val="left"/>
      <w:pPr>
        <w:ind w:left="7380" w:hanging="181"/>
      </w:pPr>
      <w:rPr>
        <w:rFonts w:hint="default"/>
      </w:rPr>
    </w:lvl>
    <w:lvl w:ilvl="7">
      <w:start w:val="0"/>
      <w:numFmt w:val="bullet"/>
      <w:lvlText w:val="•"/>
      <w:lvlJc w:val="left"/>
      <w:pPr>
        <w:ind w:left="8510" w:hanging="181"/>
      </w:pPr>
      <w:rPr>
        <w:rFonts w:hint="default"/>
      </w:rPr>
    </w:lvl>
    <w:lvl w:ilvl="8">
      <w:start w:val="0"/>
      <w:numFmt w:val="bullet"/>
      <w:lvlText w:val="•"/>
      <w:lvlJc w:val="left"/>
      <w:pPr>
        <w:ind w:left="9640" w:hanging="181"/>
      </w:pPr>
      <w:rPr>
        <w:rFonts w:hint="default"/>
      </w:rPr>
    </w:lvl>
  </w:abstractNum>
  <w:abstractNum w:abstractNumId="12">
    <w:multiLevelType w:val="hybridMultilevel"/>
    <w:lvl w:ilvl="0">
      <w:start w:val="9"/>
      <w:numFmt w:val="upperLetter"/>
      <w:lvlText w:val="%1."/>
      <w:lvlJc w:val="left"/>
      <w:pPr>
        <w:ind w:left="599" w:hanging="122"/>
        <w:jc w:val="left"/>
      </w:pPr>
      <w:rPr>
        <w:rFonts w:hint="default" w:ascii="Arial" w:hAnsi="Arial" w:eastAsia="Arial" w:cs="Arial"/>
        <w:b/>
        <w:bCs/>
        <w:w w:val="102"/>
        <w:sz w:val="14"/>
        <w:szCs w:val="14"/>
      </w:rPr>
    </w:lvl>
    <w:lvl w:ilvl="1">
      <w:start w:val="1"/>
      <w:numFmt w:val="decimal"/>
      <w:lvlText w:val="%2)"/>
      <w:lvlJc w:val="left"/>
      <w:pPr>
        <w:ind w:left="808" w:hanging="167"/>
        <w:jc w:val="left"/>
      </w:pPr>
      <w:rPr>
        <w:rFonts w:hint="default" w:ascii="Arial" w:hAnsi="Arial" w:eastAsia="Arial" w:cs="Arial"/>
        <w:spacing w:val="-1"/>
        <w:w w:val="102"/>
        <w:sz w:val="14"/>
        <w:szCs w:val="14"/>
      </w:rPr>
    </w:lvl>
    <w:lvl w:ilvl="2">
      <w:start w:val="0"/>
      <w:numFmt w:val="bullet"/>
      <w:lvlText w:val="•"/>
      <w:lvlJc w:val="left"/>
      <w:pPr>
        <w:ind w:left="2033" w:hanging="167"/>
      </w:pPr>
      <w:rPr>
        <w:rFonts w:hint="default"/>
      </w:rPr>
    </w:lvl>
    <w:lvl w:ilvl="3">
      <w:start w:val="0"/>
      <w:numFmt w:val="bullet"/>
      <w:lvlText w:val="•"/>
      <w:lvlJc w:val="left"/>
      <w:pPr>
        <w:ind w:left="3266" w:hanging="167"/>
      </w:pPr>
      <w:rPr>
        <w:rFonts w:hint="default"/>
      </w:rPr>
    </w:lvl>
    <w:lvl w:ilvl="4">
      <w:start w:val="0"/>
      <w:numFmt w:val="bullet"/>
      <w:lvlText w:val="•"/>
      <w:lvlJc w:val="left"/>
      <w:pPr>
        <w:ind w:left="4500" w:hanging="167"/>
      </w:pPr>
      <w:rPr>
        <w:rFonts w:hint="default"/>
      </w:rPr>
    </w:lvl>
    <w:lvl w:ilvl="5">
      <w:start w:val="0"/>
      <w:numFmt w:val="bullet"/>
      <w:lvlText w:val="•"/>
      <w:lvlJc w:val="left"/>
      <w:pPr>
        <w:ind w:left="5733" w:hanging="167"/>
      </w:pPr>
      <w:rPr>
        <w:rFonts w:hint="default"/>
      </w:rPr>
    </w:lvl>
    <w:lvl w:ilvl="6">
      <w:start w:val="0"/>
      <w:numFmt w:val="bullet"/>
      <w:lvlText w:val="•"/>
      <w:lvlJc w:val="left"/>
      <w:pPr>
        <w:ind w:left="6966" w:hanging="167"/>
      </w:pPr>
      <w:rPr>
        <w:rFonts w:hint="default"/>
      </w:rPr>
    </w:lvl>
    <w:lvl w:ilvl="7">
      <w:start w:val="0"/>
      <w:numFmt w:val="bullet"/>
      <w:lvlText w:val="•"/>
      <w:lvlJc w:val="left"/>
      <w:pPr>
        <w:ind w:left="8200" w:hanging="167"/>
      </w:pPr>
      <w:rPr>
        <w:rFonts w:hint="default"/>
      </w:rPr>
    </w:lvl>
    <w:lvl w:ilvl="8">
      <w:start w:val="0"/>
      <w:numFmt w:val="bullet"/>
      <w:lvlText w:val="•"/>
      <w:lvlJc w:val="left"/>
      <w:pPr>
        <w:ind w:left="9433" w:hanging="167"/>
      </w:pPr>
      <w:rPr>
        <w:rFonts w:hint="default"/>
      </w:rPr>
    </w:lvl>
  </w:abstractNum>
  <w:abstractNum w:abstractNumId="11">
    <w:multiLevelType w:val="hybridMultilevel"/>
    <w:lvl w:ilvl="0">
      <w:start w:val="1"/>
      <w:numFmt w:val="decimal"/>
      <w:lvlText w:val="%1)"/>
      <w:lvlJc w:val="left"/>
      <w:pPr>
        <w:ind w:left="380" w:hanging="167"/>
        <w:jc w:val="left"/>
      </w:pPr>
      <w:rPr>
        <w:rFonts w:hint="default" w:ascii="Arial" w:hAnsi="Arial" w:eastAsia="Arial" w:cs="Arial"/>
        <w:spacing w:val="-1"/>
        <w:w w:val="102"/>
        <w:sz w:val="14"/>
        <w:szCs w:val="14"/>
      </w:rPr>
    </w:lvl>
    <w:lvl w:ilvl="1">
      <w:start w:val="1"/>
      <w:numFmt w:val="lowerLetter"/>
      <w:lvlText w:val="%2)"/>
      <w:lvlJc w:val="left"/>
      <w:pPr>
        <w:ind w:left="543" w:hanging="167"/>
        <w:jc w:val="left"/>
      </w:pPr>
      <w:rPr>
        <w:rFonts w:hint="default" w:ascii="Arial" w:hAnsi="Arial" w:eastAsia="Arial" w:cs="Arial"/>
        <w:spacing w:val="-1"/>
        <w:w w:val="102"/>
        <w:sz w:val="14"/>
        <w:szCs w:val="14"/>
      </w:rPr>
    </w:lvl>
    <w:lvl w:ilvl="2">
      <w:start w:val="0"/>
      <w:numFmt w:val="bullet"/>
      <w:lvlText w:val="•"/>
      <w:lvlJc w:val="left"/>
      <w:pPr>
        <w:ind w:left="540" w:hanging="167"/>
      </w:pPr>
      <w:rPr>
        <w:rFonts w:hint="default"/>
      </w:rPr>
    </w:lvl>
    <w:lvl w:ilvl="3">
      <w:start w:val="0"/>
      <w:numFmt w:val="bullet"/>
      <w:lvlText w:val="•"/>
      <w:lvlJc w:val="left"/>
      <w:pPr>
        <w:ind w:left="956" w:hanging="167"/>
      </w:pPr>
      <w:rPr>
        <w:rFonts w:hint="default"/>
      </w:rPr>
    </w:lvl>
    <w:lvl w:ilvl="4">
      <w:start w:val="0"/>
      <w:numFmt w:val="bullet"/>
      <w:lvlText w:val="•"/>
      <w:lvlJc w:val="left"/>
      <w:pPr>
        <w:ind w:left="1372" w:hanging="167"/>
      </w:pPr>
      <w:rPr>
        <w:rFonts w:hint="default"/>
      </w:rPr>
    </w:lvl>
    <w:lvl w:ilvl="5">
      <w:start w:val="0"/>
      <w:numFmt w:val="bullet"/>
      <w:lvlText w:val="•"/>
      <w:lvlJc w:val="left"/>
      <w:pPr>
        <w:ind w:left="1788" w:hanging="167"/>
      </w:pPr>
      <w:rPr>
        <w:rFonts w:hint="default"/>
      </w:rPr>
    </w:lvl>
    <w:lvl w:ilvl="6">
      <w:start w:val="0"/>
      <w:numFmt w:val="bullet"/>
      <w:lvlText w:val="•"/>
      <w:lvlJc w:val="left"/>
      <w:pPr>
        <w:ind w:left="2205" w:hanging="167"/>
      </w:pPr>
      <w:rPr>
        <w:rFonts w:hint="default"/>
      </w:rPr>
    </w:lvl>
    <w:lvl w:ilvl="7">
      <w:start w:val="0"/>
      <w:numFmt w:val="bullet"/>
      <w:lvlText w:val="•"/>
      <w:lvlJc w:val="left"/>
      <w:pPr>
        <w:ind w:left="2621" w:hanging="167"/>
      </w:pPr>
      <w:rPr>
        <w:rFonts w:hint="default"/>
      </w:rPr>
    </w:lvl>
    <w:lvl w:ilvl="8">
      <w:start w:val="0"/>
      <w:numFmt w:val="bullet"/>
      <w:lvlText w:val="•"/>
      <w:lvlJc w:val="left"/>
      <w:pPr>
        <w:ind w:left="3037" w:hanging="167"/>
      </w:pPr>
      <w:rPr>
        <w:rFonts w:hint="default"/>
      </w:rPr>
    </w:lvl>
  </w:abstractNum>
  <w:abstractNum w:abstractNumId="10">
    <w:multiLevelType w:val="hybridMultilevel"/>
    <w:lvl w:ilvl="0">
      <w:start w:val="2"/>
      <w:numFmt w:val="decimal"/>
      <w:lvlText w:val="%1)"/>
      <w:lvlJc w:val="left"/>
      <w:pPr>
        <w:ind w:left="213" w:hanging="167"/>
        <w:jc w:val="left"/>
      </w:pPr>
      <w:rPr>
        <w:rFonts w:hint="default" w:ascii="Arial" w:hAnsi="Arial" w:eastAsia="Arial" w:cs="Arial"/>
        <w:spacing w:val="-1"/>
        <w:w w:val="102"/>
        <w:sz w:val="14"/>
        <w:szCs w:val="14"/>
      </w:rPr>
    </w:lvl>
    <w:lvl w:ilvl="1">
      <w:start w:val="1"/>
      <w:numFmt w:val="lowerLetter"/>
      <w:lvlText w:val="%2)"/>
      <w:lvlJc w:val="left"/>
      <w:pPr>
        <w:ind w:left="380" w:hanging="167"/>
        <w:jc w:val="left"/>
      </w:pPr>
      <w:rPr>
        <w:rFonts w:hint="default" w:ascii="Arial" w:hAnsi="Arial" w:eastAsia="Arial" w:cs="Arial"/>
        <w:spacing w:val="-1"/>
        <w:w w:val="102"/>
        <w:sz w:val="14"/>
        <w:szCs w:val="14"/>
      </w:rPr>
    </w:lvl>
    <w:lvl w:ilvl="2">
      <w:start w:val="0"/>
      <w:numFmt w:val="bullet"/>
      <w:lvlText w:val="•"/>
      <w:lvlJc w:val="left"/>
      <w:pPr>
        <w:ind w:left="931" w:hanging="167"/>
      </w:pPr>
      <w:rPr>
        <w:rFonts w:hint="default"/>
      </w:rPr>
    </w:lvl>
    <w:lvl w:ilvl="3">
      <w:start w:val="0"/>
      <w:numFmt w:val="bullet"/>
      <w:lvlText w:val="•"/>
      <w:lvlJc w:val="left"/>
      <w:pPr>
        <w:ind w:left="1482" w:hanging="167"/>
      </w:pPr>
      <w:rPr>
        <w:rFonts w:hint="default"/>
      </w:rPr>
    </w:lvl>
    <w:lvl w:ilvl="4">
      <w:start w:val="0"/>
      <w:numFmt w:val="bullet"/>
      <w:lvlText w:val="•"/>
      <w:lvlJc w:val="left"/>
      <w:pPr>
        <w:ind w:left="2034" w:hanging="167"/>
      </w:pPr>
      <w:rPr>
        <w:rFonts w:hint="default"/>
      </w:rPr>
    </w:lvl>
    <w:lvl w:ilvl="5">
      <w:start w:val="0"/>
      <w:numFmt w:val="bullet"/>
      <w:lvlText w:val="•"/>
      <w:lvlJc w:val="left"/>
      <w:pPr>
        <w:ind w:left="2585" w:hanging="167"/>
      </w:pPr>
      <w:rPr>
        <w:rFonts w:hint="default"/>
      </w:rPr>
    </w:lvl>
    <w:lvl w:ilvl="6">
      <w:start w:val="0"/>
      <w:numFmt w:val="bullet"/>
      <w:lvlText w:val="•"/>
      <w:lvlJc w:val="left"/>
      <w:pPr>
        <w:ind w:left="3136" w:hanging="167"/>
      </w:pPr>
      <w:rPr>
        <w:rFonts w:hint="default"/>
      </w:rPr>
    </w:lvl>
    <w:lvl w:ilvl="7">
      <w:start w:val="0"/>
      <w:numFmt w:val="bullet"/>
      <w:lvlText w:val="•"/>
      <w:lvlJc w:val="left"/>
      <w:pPr>
        <w:ind w:left="3688" w:hanging="167"/>
      </w:pPr>
      <w:rPr>
        <w:rFonts w:hint="default"/>
      </w:rPr>
    </w:lvl>
    <w:lvl w:ilvl="8">
      <w:start w:val="0"/>
      <w:numFmt w:val="bullet"/>
      <w:lvlText w:val="•"/>
      <w:lvlJc w:val="left"/>
      <w:pPr>
        <w:ind w:left="4239" w:hanging="167"/>
      </w:pPr>
      <w:rPr>
        <w:rFonts w:hint="default"/>
      </w:rPr>
    </w:lvl>
  </w:abstractNum>
  <w:abstractNum w:abstractNumId="9">
    <w:multiLevelType w:val="hybridMultilevel"/>
    <w:lvl w:ilvl="0">
      <w:start w:val="2"/>
      <w:numFmt w:val="decimal"/>
      <w:lvlText w:val="%1)"/>
      <w:lvlJc w:val="left"/>
      <w:pPr>
        <w:ind w:left="380" w:hanging="167"/>
        <w:jc w:val="left"/>
      </w:pPr>
      <w:rPr>
        <w:rFonts w:hint="default" w:ascii="Arial" w:hAnsi="Arial" w:eastAsia="Arial" w:cs="Arial"/>
        <w:spacing w:val="-1"/>
        <w:w w:val="102"/>
        <w:sz w:val="14"/>
        <w:szCs w:val="14"/>
      </w:rPr>
    </w:lvl>
    <w:lvl w:ilvl="1">
      <w:start w:val="1"/>
      <w:numFmt w:val="lowerLetter"/>
      <w:lvlText w:val="%2)"/>
      <w:lvlJc w:val="left"/>
      <w:pPr>
        <w:ind w:left="543" w:hanging="167"/>
        <w:jc w:val="left"/>
      </w:pPr>
      <w:rPr>
        <w:rFonts w:hint="default" w:ascii="Arial" w:hAnsi="Arial" w:eastAsia="Arial" w:cs="Arial"/>
        <w:spacing w:val="-1"/>
        <w:w w:val="102"/>
        <w:sz w:val="14"/>
        <w:szCs w:val="14"/>
      </w:rPr>
    </w:lvl>
    <w:lvl w:ilvl="2">
      <w:start w:val="0"/>
      <w:numFmt w:val="bullet"/>
      <w:lvlText w:val="•"/>
      <w:lvlJc w:val="left"/>
      <w:pPr>
        <w:ind w:left="887" w:hanging="167"/>
      </w:pPr>
      <w:rPr>
        <w:rFonts w:hint="default"/>
      </w:rPr>
    </w:lvl>
    <w:lvl w:ilvl="3">
      <w:start w:val="0"/>
      <w:numFmt w:val="bullet"/>
      <w:lvlText w:val="•"/>
      <w:lvlJc w:val="left"/>
      <w:pPr>
        <w:ind w:left="1234" w:hanging="167"/>
      </w:pPr>
      <w:rPr>
        <w:rFonts w:hint="default"/>
      </w:rPr>
    </w:lvl>
    <w:lvl w:ilvl="4">
      <w:start w:val="0"/>
      <w:numFmt w:val="bullet"/>
      <w:lvlText w:val="•"/>
      <w:lvlJc w:val="left"/>
      <w:pPr>
        <w:ind w:left="1581" w:hanging="167"/>
      </w:pPr>
      <w:rPr>
        <w:rFonts w:hint="default"/>
      </w:rPr>
    </w:lvl>
    <w:lvl w:ilvl="5">
      <w:start w:val="0"/>
      <w:numFmt w:val="bullet"/>
      <w:lvlText w:val="•"/>
      <w:lvlJc w:val="left"/>
      <w:pPr>
        <w:ind w:left="1928" w:hanging="167"/>
      </w:pPr>
      <w:rPr>
        <w:rFonts w:hint="default"/>
      </w:rPr>
    </w:lvl>
    <w:lvl w:ilvl="6">
      <w:start w:val="0"/>
      <w:numFmt w:val="bullet"/>
      <w:lvlText w:val="•"/>
      <w:lvlJc w:val="left"/>
      <w:pPr>
        <w:ind w:left="2275" w:hanging="167"/>
      </w:pPr>
      <w:rPr>
        <w:rFonts w:hint="default"/>
      </w:rPr>
    </w:lvl>
    <w:lvl w:ilvl="7">
      <w:start w:val="0"/>
      <w:numFmt w:val="bullet"/>
      <w:lvlText w:val="•"/>
      <w:lvlJc w:val="left"/>
      <w:pPr>
        <w:ind w:left="2622" w:hanging="167"/>
      </w:pPr>
      <w:rPr>
        <w:rFonts w:hint="default"/>
      </w:rPr>
    </w:lvl>
    <w:lvl w:ilvl="8">
      <w:start w:val="0"/>
      <w:numFmt w:val="bullet"/>
      <w:lvlText w:val="•"/>
      <w:lvlJc w:val="left"/>
      <w:pPr>
        <w:ind w:left="2969" w:hanging="167"/>
      </w:pPr>
      <w:rPr>
        <w:rFonts w:hint="default"/>
      </w:rPr>
    </w:lvl>
  </w:abstractNum>
  <w:abstractNum w:abstractNumId="8">
    <w:multiLevelType w:val="hybridMultilevel"/>
    <w:lvl w:ilvl="0">
      <w:start w:val="1"/>
      <w:numFmt w:val="decimal"/>
      <w:lvlText w:val="%1)"/>
      <w:lvlJc w:val="left"/>
      <w:pPr>
        <w:ind w:left="380" w:hanging="167"/>
        <w:jc w:val="left"/>
      </w:pPr>
      <w:rPr>
        <w:rFonts w:hint="default" w:ascii="Arial" w:hAnsi="Arial" w:eastAsia="Arial" w:cs="Arial"/>
        <w:spacing w:val="-1"/>
        <w:w w:val="102"/>
        <w:sz w:val="14"/>
        <w:szCs w:val="14"/>
      </w:rPr>
    </w:lvl>
    <w:lvl w:ilvl="1">
      <w:start w:val="1"/>
      <w:numFmt w:val="lowerLetter"/>
      <w:lvlText w:val="%2)"/>
      <w:lvlJc w:val="left"/>
      <w:pPr>
        <w:ind w:left="543" w:hanging="167"/>
        <w:jc w:val="left"/>
      </w:pPr>
      <w:rPr>
        <w:rFonts w:hint="default" w:ascii="Arial" w:hAnsi="Arial" w:eastAsia="Arial" w:cs="Arial"/>
        <w:spacing w:val="-1"/>
        <w:w w:val="102"/>
        <w:sz w:val="14"/>
        <w:szCs w:val="14"/>
      </w:rPr>
    </w:lvl>
    <w:lvl w:ilvl="2">
      <w:start w:val="0"/>
      <w:numFmt w:val="bullet"/>
      <w:lvlText w:val="•"/>
      <w:lvlJc w:val="left"/>
      <w:pPr>
        <w:ind w:left="887" w:hanging="167"/>
      </w:pPr>
      <w:rPr>
        <w:rFonts w:hint="default"/>
      </w:rPr>
    </w:lvl>
    <w:lvl w:ilvl="3">
      <w:start w:val="0"/>
      <w:numFmt w:val="bullet"/>
      <w:lvlText w:val="•"/>
      <w:lvlJc w:val="left"/>
      <w:pPr>
        <w:ind w:left="1234" w:hanging="167"/>
      </w:pPr>
      <w:rPr>
        <w:rFonts w:hint="default"/>
      </w:rPr>
    </w:lvl>
    <w:lvl w:ilvl="4">
      <w:start w:val="0"/>
      <w:numFmt w:val="bullet"/>
      <w:lvlText w:val="•"/>
      <w:lvlJc w:val="left"/>
      <w:pPr>
        <w:ind w:left="1581" w:hanging="167"/>
      </w:pPr>
      <w:rPr>
        <w:rFonts w:hint="default"/>
      </w:rPr>
    </w:lvl>
    <w:lvl w:ilvl="5">
      <w:start w:val="0"/>
      <w:numFmt w:val="bullet"/>
      <w:lvlText w:val="•"/>
      <w:lvlJc w:val="left"/>
      <w:pPr>
        <w:ind w:left="1928" w:hanging="167"/>
      </w:pPr>
      <w:rPr>
        <w:rFonts w:hint="default"/>
      </w:rPr>
    </w:lvl>
    <w:lvl w:ilvl="6">
      <w:start w:val="0"/>
      <w:numFmt w:val="bullet"/>
      <w:lvlText w:val="•"/>
      <w:lvlJc w:val="left"/>
      <w:pPr>
        <w:ind w:left="2275" w:hanging="167"/>
      </w:pPr>
      <w:rPr>
        <w:rFonts w:hint="default"/>
      </w:rPr>
    </w:lvl>
    <w:lvl w:ilvl="7">
      <w:start w:val="0"/>
      <w:numFmt w:val="bullet"/>
      <w:lvlText w:val="•"/>
      <w:lvlJc w:val="left"/>
      <w:pPr>
        <w:ind w:left="2622" w:hanging="167"/>
      </w:pPr>
      <w:rPr>
        <w:rFonts w:hint="default"/>
      </w:rPr>
    </w:lvl>
    <w:lvl w:ilvl="8">
      <w:start w:val="0"/>
      <w:numFmt w:val="bullet"/>
      <w:lvlText w:val="•"/>
      <w:lvlJc w:val="left"/>
      <w:pPr>
        <w:ind w:left="2969" w:hanging="167"/>
      </w:pPr>
      <w:rPr>
        <w:rFonts w:hint="default"/>
      </w:rPr>
    </w:lvl>
  </w:abstractNum>
  <w:abstractNum w:abstractNumId="7">
    <w:multiLevelType w:val="hybridMultilevel"/>
    <w:lvl w:ilvl="0">
      <w:start w:val="5"/>
      <w:numFmt w:val="upperLetter"/>
      <w:lvlText w:val="%1."/>
      <w:lvlJc w:val="left"/>
      <w:pPr>
        <w:ind w:left="125" w:hanging="139"/>
        <w:jc w:val="left"/>
      </w:pPr>
      <w:rPr>
        <w:rFonts w:hint="default" w:ascii="Arial" w:hAnsi="Arial" w:eastAsia="Arial" w:cs="Arial"/>
        <w:b/>
        <w:bCs/>
        <w:w w:val="104"/>
        <w:sz w:val="11"/>
        <w:szCs w:val="11"/>
      </w:rPr>
    </w:lvl>
    <w:lvl w:ilvl="1">
      <w:start w:val="0"/>
      <w:numFmt w:val="bullet"/>
      <w:lvlText w:val="•"/>
      <w:lvlJc w:val="left"/>
      <w:pPr>
        <w:ind w:left="333" w:hanging="139"/>
      </w:pPr>
      <w:rPr>
        <w:rFonts w:hint="default"/>
      </w:rPr>
    </w:lvl>
    <w:lvl w:ilvl="2">
      <w:start w:val="0"/>
      <w:numFmt w:val="bullet"/>
      <w:lvlText w:val="•"/>
      <w:lvlJc w:val="left"/>
      <w:pPr>
        <w:ind w:left="547" w:hanging="139"/>
      </w:pPr>
      <w:rPr>
        <w:rFonts w:hint="default"/>
      </w:rPr>
    </w:lvl>
    <w:lvl w:ilvl="3">
      <w:start w:val="0"/>
      <w:numFmt w:val="bullet"/>
      <w:lvlText w:val="•"/>
      <w:lvlJc w:val="left"/>
      <w:pPr>
        <w:ind w:left="761" w:hanging="139"/>
      </w:pPr>
      <w:rPr>
        <w:rFonts w:hint="default"/>
      </w:rPr>
    </w:lvl>
    <w:lvl w:ilvl="4">
      <w:start w:val="0"/>
      <w:numFmt w:val="bullet"/>
      <w:lvlText w:val="•"/>
      <w:lvlJc w:val="left"/>
      <w:pPr>
        <w:ind w:left="975" w:hanging="139"/>
      </w:pPr>
      <w:rPr>
        <w:rFonts w:hint="default"/>
      </w:rPr>
    </w:lvl>
    <w:lvl w:ilvl="5">
      <w:start w:val="0"/>
      <w:numFmt w:val="bullet"/>
      <w:lvlText w:val="•"/>
      <w:lvlJc w:val="left"/>
      <w:pPr>
        <w:ind w:left="1189" w:hanging="139"/>
      </w:pPr>
      <w:rPr>
        <w:rFonts w:hint="default"/>
      </w:rPr>
    </w:lvl>
    <w:lvl w:ilvl="6">
      <w:start w:val="0"/>
      <w:numFmt w:val="bullet"/>
      <w:lvlText w:val="•"/>
      <w:lvlJc w:val="left"/>
      <w:pPr>
        <w:ind w:left="1403" w:hanging="139"/>
      </w:pPr>
      <w:rPr>
        <w:rFonts w:hint="default"/>
      </w:rPr>
    </w:lvl>
    <w:lvl w:ilvl="7">
      <w:start w:val="0"/>
      <w:numFmt w:val="bullet"/>
      <w:lvlText w:val="•"/>
      <w:lvlJc w:val="left"/>
      <w:pPr>
        <w:ind w:left="1617" w:hanging="139"/>
      </w:pPr>
      <w:rPr>
        <w:rFonts w:hint="default"/>
      </w:rPr>
    </w:lvl>
    <w:lvl w:ilvl="8">
      <w:start w:val="0"/>
      <w:numFmt w:val="bullet"/>
      <w:lvlText w:val="•"/>
      <w:lvlJc w:val="left"/>
      <w:pPr>
        <w:ind w:left="1831" w:hanging="139"/>
      </w:pPr>
      <w:rPr>
        <w:rFonts w:hint="default"/>
      </w:rPr>
    </w:lvl>
  </w:abstractNum>
  <w:abstractNum w:abstractNumId="6">
    <w:multiLevelType w:val="hybridMultilevel"/>
    <w:lvl w:ilvl="0">
      <w:start w:val="1"/>
      <w:numFmt w:val="decimal"/>
      <w:lvlText w:val="%1)"/>
      <w:lvlJc w:val="left"/>
      <w:pPr>
        <w:ind w:left="256" w:hanging="133"/>
        <w:jc w:val="left"/>
      </w:pPr>
      <w:rPr>
        <w:rFonts w:hint="default" w:ascii="Arial" w:hAnsi="Arial" w:eastAsia="Arial" w:cs="Arial"/>
        <w:w w:val="102"/>
        <w:sz w:val="11"/>
        <w:szCs w:val="11"/>
      </w:rPr>
    </w:lvl>
    <w:lvl w:ilvl="1">
      <w:start w:val="0"/>
      <w:numFmt w:val="bullet"/>
      <w:lvlText w:val="•"/>
      <w:lvlJc w:val="left"/>
      <w:pPr>
        <w:ind w:left="260" w:hanging="133"/>
      </w:pPr>
      <w:rPr>
        <w:rFonts w:hint="default"/>
      </w:rPr>
    </w:lvl>
    <w:lvl w:ilvl="2">
      <w:start w:val="0"/>
      <w:numFmt w:val="bullet"/>
      <w:lvlText w:val="•"/>
      <w:lvlJc w:val="left"/>
      <w:pPr>
        <w:ind w:left="421" w:hanging="133"/>
      </w:pPr>
      <w:rPr>
        <w:rFonts w:hint="default"/>
      </w:rPr>
    </w:lvl>
    <w:lvl w:ilvl="3">
      <w:start w:val="0"/>
      <w:numFmt w:val="bullet"/>
      <w:lvlText w:val="•"/>
      <w:lvlJc w:val="left"/>
      <w:pPr>
        <w:ind w:left="582" w:hanging="133"/>
      </w:pPr>
      <w:rPr>
        <w:rFonts w:hint="default"/>
      </w:rPr>
    </w:lvl>
    <w:lvl w:ilvl="4">
      <w:start w:val="0"/>
      <w:numFmt w:val="bullet"/>
      <w:lvlText w:val="•"/>
      <w:lvlJc w:val="left"/>
      <w:pPr>
        <w:ind w:left="743" w:hanging="133"/>
      </w:pPr>
      <w:rPr>
        <w:rFonts w:hint="default"/>
      </w:rPr>
    </w:lvl>
    <w:lvl w:ilvl="5">
      <w:start w:val="0"/>
      <w:numFmt w:val="bullet"/>
      <w:lvlText w:val="•"/>
      <w:lvlJc w:val="left"/>
      <w:pPr>
        <w:ind w:left="904" w:hanging="133"/>
      </w:pPr>
      <w:rPr>
        <w:rFonts w:hint="default"/>
      </w:rPr>
    </w:lvl>
    <w:lvl w:ilvl="6">
      <w:start w:val="0"/>
      <w:numFmt w:val="bullet"/>
      <w:lvlText w:val="•"/>
      <w:lvlJc w:val="left"/>
      <w:pPr>
        <w:ind w:left="1065" w:hanging="133"/>
      </w:pPr>
      <w:rPr>
        <w:rFonts w:hint="default"/>
      </w:rPr>
    </w:lvl>
    <w:lvl w:ilvl="7">
      <w:start w:val="0"/>
      <w:numFmt w:val="bullet"/>
      <w:lvlText w:val="•"/>
      <w:lvlJc w:val="left"/>
      <w:pPr>
        <w:ind w:left="1226" w:hanging="133"/>
      </w:pPr>
      <w:rPr>
        <w:rFonts w:hint="default"/>
      </w:rPr>
    </w:lvl>
    <w:lvl w:ilvl="8">
      <w:start w:val="0"/>
      <w:numFmt w:val="bullet"/>
      <w:lvlText w:val="•"/>
      <w:lvlJc w:val="left"/>
      <w:pPr>
        <w:ind w:left="1387" w:hanging="133"/>
      </w:pPr>
      <w:rPr>
        <w:rFonts w:hint="default"/>
      </w:rPr>
    </w:lvl>
  </w:abstractNum>
  <w:abstractNum w:abstractNumId="5">
    <w:multiLevelType w:val="hybridMultilevel"/>
    <w:lvl w:ilvl="0">
      <w:start w:val="2"/>
      <w:numFmt w:val="decimal"/>
      <w:lvlText w:val="%1)"/>
      <w:lvlJc w:val="left"/>
      <w:pPr>
        <w:ind w:left="160" w:hanging="133"/>
        <w:jc w:val="left"/>
      </w:pPr>
      <w:rPr>
        <w:rFonts w:hint="default" w:ascii="Arial" w:hAnsi="Arial" w:eastAsia="Arial" w:cs="Arial"/>
        <w:w w:val="102"/>
        <w:sz w:val="11"/>
        <w:szCs w:val="11"/>
      </w:rPr>
    </w:lvl>
    <w:lvl w:ilvl="1">
      <w:start w:val="1"/>
      <w:numFmt w:val="lowerLetter"/>
      <w:lvlText w:val="%2)"/>
      <w:lvlJc w:val="left"/>
      <w:pPr>
        <w:ind w:left="284" w:hanging="132"/>
        <w:jc w:val="left"/>
      </w:pPr>
      <w:rPr>
        <w:rFonts w:hint="default" w:ascii="Arial" w:hAnsi="Arial" w:eastAsia="Arial" w:cs="Arial"/>
        <w:spacing w:val="-1"/>
        <w:w w:val="102"/>
        <w:sz w:val="11"/>
        <w:szCs w:val="11"/>
      </w:rPr>
    </w:lvl>
    <w:lvl w:ilvl="2">
      <w:start w:val="0"/>
      <w:numFmt w:val="bullet"/>
      <w:lvlText w:val="•"/>
      <w:lvlJc w:val="left"/>
      <w:pPr>
        <w:ind w:left="591" w:hanging="132"/>
      </w:pPr>
      <w:rPr>
        <w:rFonts w:hint="default"/>
      </w:rPr>
    </w:lvl>
    <w:lvl w:ilvl="3">
      <w:start w:val="0"/>
      <w:numFmt w:val="bullet"/>
      <w:lvlText w:val="•"/>
      <w:lvlJc w:val="left"/>
      <w:pPr>
        <w:ind w:left="902" w:hanging="132"/>
      </w:pPr>
      <w:rPr>
        <w:rFonts w:hint="default"/>
      </w:rPr>
    </w:lvl>
    <w:lvl w:ilvl="4">
      <w:start w:val="0"/>
      <w:numFmt w:val="bullet"/>
      <w:lvlText w:val="•"/>
      <w:lvlJc w:val="left"/>
      <w:pPr>
        <w:ind w:left="1214" w:hanging="132"/>
      </w:pPr>
      <w:rPr>
        <w:rFonts w:hint="default"/>
      </w:rPr>
    </w:lvl>
    <w:lvl w:ilvl="5">
      <w:start w:val="0"/>
      <w:numFmt w:val="bullet"/>
      <w:lvlText w:val="•"/>
      <w:lvlJc w:val="left"/>
      <w:pPr>
        <w:ind w:left="1525" w:hanging="132"/>
      </w:pPr>
      <w:rPr>
        <w:rFonts w:hint="default"/>
      </w:rPr>
    </w:lvl>
    <w:lvl w:ilvl="6">
      <w:start w:val="0"/>
      <w:numFmt w:val="bullet"/>
      <w:lvlText w:val="•"/>
      <w:lvlJc w:val="left"/>
      <w:pPr>
        <w:ind w:left="1837" w:hanging="132"/>
      </w:pPr>
      <w:rPr>
        <w:rFonts w:hint="default"/>
      </w:rPr>
    </w:lvl>
    <w:lvl w:ilvl="7">
      <w:start w:val="0"/>
      <w:numFmt w:val="bullet"/>
      <w:lvlText w:val="•"/>
      <w:lvlJc w:val="left"/>
      <w:pPr>
        <w:ind w:left="2148" w:hanging="132"/>
      </w:pPr>
      <w:rPr>
        <w:rFonts w:hint="default"/>
      </w:rPr>
    </w:lvl>
    <w:lvl w:ilvl="8">
      <w:start w:val="0"/>
      <w:numFmt w:val="bullet"/>
      <w:lvlText w:val="•"/>
      <w:lvlJc w:val="left"/>
      <w:pPr>
        <w:ind w:left="2460" w:hanging="132"/>
      </w:pPr>
      <w:rPr>
        <w:rFonts w:hint="default"/>
      </w:rPr>
    </w:lvl>
  </w:abstractNum>
  <w:abstractNum w:abstractNumId="4">
    <w:multiLevelType w:val="hybridMultilevel"/>
    <w:lvl w:ilvl="0">
      <w:start w:val="1"/>
      <w:numFmt w:val="decimal"/>
      <w:lvlText w:val="%1)"/>
      <w:lvlJc w:val="left"/>
      <w:pPr>
        <w:ind w:left="160" w:hanging="133"/>
        <w:jc w:val="left"/>
      </w:pPr>
      <w:rPr>
        <w:rFonts w:hint="default" w:ascii="Arial" w:hAnsi="Arial" w:eastAsia="Arial" w:cs="Arial"/>
        <w:w w:val="102"/>
        <w:sz w:val="11"/>
        <w:szCs w:val="11"/>
      </w:rPr>
    </w:lvl>
    <w:lvl w:ilvl="1">
      <w:start w:val="1"/>
      <w:numFmt w:val="lowerLetter"/>
      <w:lvlText w:val="%2)"/>
      <w:lvlJc w:val="left"/>
      <w:pPr>
        <w:ind w:left="284" w:hanging="132"/>
        <w:jc w:val="left"/>
      </w:pPr>
      <w:rPr>
        <w:rFonts w:hint="default" w:ascii="Arial" w:hAnsi="Arial" w:eastAsia="Arial" w:cs="Arial"/>
        <w:spacing w:val="-1"/>
        <w:w w:val="102"/>
        <w:sz w:val="11"/>
        <w:szCs w:val="11"/>
      </w:rPr>
    </w:lvl>
    <w:lvl w:ilvl="2">
      <w:start w:val="0"/>
      <w:numFmt w:val="bullet"/>
      <w:lvlText w:val="•"/>
      <w:lvlJc w:val="left"/>
      <w:pPr>
        <w:ind w:left="591" w:hanging="132"/>
      </w:pPr>
      <w:rPr>
        <w:rFonts w:hint="default"/>
      </w:rPr>
    </w:lvl>
    <w:lvl w:ilvl="3">
      <w:start w:val="0"/>
      <w:numFmt w:val="bullet"/>
      <w:lvlText w:val="•"/>
      <w:lvlJc w:val="left"/>
      <w:pPr>
        <w:ind w:left="902" w:hanging="132"/>
      </w:pPr>
      <w:rPr>
        <w:rFonts w:hint="default"/>
      </w:rPr>
    </w:lvl>
    <w:lvl w:ilvl="4">
      <w:start w:val="0"/>
      <w:numFmt w:val="bullet"/>
      <w:lvlText w:val="•"/>
      <w:lvlJc w:val="left"/>
      <w:pPr>
        <w:ind w:left="1214" w:hanging="132"/>
      </w:pPr>
      <w:rPr>
        <w:rFonts w:hint="default"/>
      </w:rPr>
    </w:lvl>
    <w:lvl w:ilvl="5">
      <w:start w:val="0"/>
      <w:numFmt w:val="bullet"/>
      <w:lvlText w:val="•"/>
      <w:lvlJc w:val="left"/>
      <w:pPr>
        <w:ind w:left="1525" w:hanging="132"/>
      </w:pPr>
      <w:rPr>
        <w:rFonts w:hint="default"/>
      </w:rPr>
    </w:lvl>
    <w:lvl w:ilvl="6">
      <w:start w:val="0"/>
      <w:numFmt w:val="bullet"/>
      <w:lvlText w:val="•"/>
      <w:lvlJc w:val="left"/>
      <w:pPr>
        <w:ind w:left="1837" w:hanging="132"/>
      </w:pPr>
      <w:rPr>
        <w:rFonts w:hint="default"/>
      </w:rPr>
    </w:lvl>
    <w:lvl w:ilvl="7">
      <w:start w:val="0"/>
      <w:numFmt w:val="bullet"/>
      <w:lvlText w:val="•"/>
      <w:lvlJc w:val="left"/>
      <w:pPr>
        <w:ind w:left="2148" w:hanging="132"/>
      </w:pPr>
      <w:rPr>
        <w:rFonts w:hint="default"/>
      </w:rPr>
    </w:lvl>
    <w:lvl w:ilvl="8">
      <w:start w:val="0"/>
      <w:numFmt w:val="bullet"/>
      <w:lvlText w:val="•"/>
      <w:lvlJc w:val="left"/>
      <w:pPr>
        <w:ind w:left="2460" w:hanging="132"/>
      </w:pPr>
      <w:rPr>
        <w:rFonts w:hint="default"/>
      </w:rPr>
    </w:lvl>
  </w:abstractNum>
  <w:abstractNum w:abstractNumId="3">
    <w:multiLevelType w:val="hybridMultilevel"/>
    <w:lvl w:ilvl="0">
      <w:start w:val="0"/>
      <w:numFmt w:val="bullet"/>
      <w:lvlText w:val="•"/>
      <w:lvlJc w:val="left"/>
      <w:pPr>
        <w:ind w:left="603" w:hanging="281"/>
      </w:pPr>
      <w:rPr>
        <w:rFonts w:hint="default" w:ascii="Arial" w:hAnsi="Arial" w:eastAsia="Arial" w:cs="Arial"/>
        <w:w w:val="103"/>
        <w:sz w:val="18"/>
        <w:szCs w:val="18"/>
      </w:rPr>
    </w:lvl>
    <w:lvl w:ilvl="1">
      <w:start w:val="0"/>
      <w:numFmt w:val="bullet"/>
      <w:lvlText w:val="•"/>
      <w:lvlJc w:val="left"/>
      <w:pPr>
        <w:ind w:left="4500" w:hanging="281"/>
      </w:pPr>
      <w:rPr>
        <w:rFonts w:hint="default" w:ascii="Arial" w:hAnsi="Arial" w:eastAsia="Arial" w:cs="Arial"/>
        <w:w w:val="103"/>
        <w:sz w:val="18"/>
        <w:szCs w:val="18"/>
      </w:rPr>
    </w:lvl>
    <w:lvl w:ilvl="2">
      <w:start w:val="0"/>
      <w:numFmt w:val="bullet"/>
      <w:lvlText w:val="•"/>
      <w:lvlJc w:val="left"/>
      <w:pPr>
        <w:ind w:left="4889" w:hanging="281"/>
      </w:pPr>
      <w:rPr>
        <w:rFonts w:hint="default"/>
      </w:rPr>
    </w:lvl>
    <w:lvl w:ilvl="3">
      <w:start w:val="0"/>
      <w:numFmt w:val="bullet"/>
      <w:lvlText w:val="•"/>
      <w:lvlJc w:val="left"/>
      <w:pPr>
        <w:ind w:left="5278" w:hanging="281"/>
      </w:pPr>
      <w:rPr>
        <w:rFonts w:hint="default"/>
      </w:rPr>
    </w:lvl>
    <w:lvl w:ilvl="4">
      <w:start w:val="0"/>
      <w:numFmt w:val="bullet"/>
      <w:lvlText w:val="•"/>
      <w:lvlJc w:val="left"/>
      <w:pPr>
        <w:ind w:left="5667" w:hanging="281"/>
      </w:pPr>
      <w:rPr>
        <w:rFonts w:hint="default"/>
      </w:rPr>
    </w:lvl>
    <w:lvl w:ilvl="5">
      <w:start w:val="0"/>
      <w:numFmt w:val="bullet"/>
      <w:lvlText w:val="•"/>
      <w:lvlJc w:val="left"/>
      <w:pPr>
        <w:ind w:left="6056" w:hanging="281"/>
      </w:pPr>
      <w:rPr>
        <w:rFonts w:hint="default"/>
      </w:rPr>
    </w:lvl>
    <w:lvl w:ilvl="6">
      <w:start w:val="0"/>
      <w:numFmt w:val="bullet"/>
      <w:lvlText w:val="•"/>
      <w:lvlJc w:val="left"/>
      <w:pPr>
        <w:ind w:left="6446" w:hanging="281"/>
      </w:pPr>
      <w:rPr>
        <w:rFonts w:hint="default"/>
      </w:rPr>
    </w:lvl>
    <w:lvl w:ilvl="7">
      <w:start w:val="0"/>
      <w:numFmt w:val="bullet"/>
      <w:lvlText w:val="•"/>
      <w:lvlJc w:val="left"/>
      <w:pPr>
        <w:ind w:left="6835" w:hanging="281"/>
      </w:pPr>
      <w:rPr>
        <w:rFonts w:hint="default"/>
      </w:rPr>
    </w:lvl>
    <w:lvl w:ilvl="8">
      <w:start w:val="0"/>
      <w:numFmt w:val="bullet"/>
      <w:lvlText w:val="•"/>
      <w:lvlJc w:val="left"/>
      <w:pPr>
        <w:ind w:left="7224" w:hanging="281"/>
      </w:pPr>
      <w:rPr>
        <w:rFonts w:hint="default"/>
      </w:rPr>
    </w:lvl>
  </w:abstractNum>
  <w:abstractNum w:abstractNumId="2">
    <w:multiLevelType w:val="hybridMultilevel"/>
    <w:lvl w:ilvl="0">
      <w:start w:val="0"/>
      <w:numFmt w:val="bullet"/>
      <w:lvlText w:val="•"/>
      <w:lvlJc w:val="left"/>
      <w:pPr>
        <w:ind w:left="724" w:hanging="281"/>
      </w:pPr>
      <w:rPr>
        <w:rFonts w:hint="default" w:ascii="Arial" w:hAnsi="Arial" w:eastAsia="Arial" w:cs="Arial"/>
        <w:w w:val="103"/>
        <w:sz w:val="18"/>
        <w:szCs w:val="18"/>
      </w:rPr>
    </w:lvl>
    <w:lvl w:ilvl="1">
      <w:start w:val="0"/>
      <w:numFmt w:val="bullet"/>
      <w:lvlText w:val="•"/>
      <w:lvlJc w:val="left"/>
      <w:pPr>
        <w:ind w:left="4500" w:hanging="281"/>
      </w:pPr>
      <w:rPr>
        <w:rFonts w:hint="default" w:ascii="Arial" w:hAnsi="Arial" w:eastAsia="Arial" w:cs="Arial"/>
        <w:w w:val="103"/>
        <w:position w:val="2"/>
        <w:sz w:val="18"/>
        <w:szCs w:val="18"/>
      </w:rPr>
    </w:lvl>
    <w:lvl w:ilvl="2">
      <w:start w:val="0"/>
      <w:numFmt w:val="bullet"/>
      <w:lvlText w:val="•"/>
      <w:lvlJc w:val="left"/>
      <w:pPr>
        <w:ind w:left="4902" w:hanging="281"/>
      </w:pPr>
      <w:rPr>
        <w:rFonts w:hint="default"/>
      </w:rPr>
    </w:lvl>
    <w:lvl w:ilvl="3">
      <w:start w:val="0"/>
      <w:numFmt w:val="bullet"/>
      <w:lvlText w:val="•"/>
      <w:lvlJc w:val="left"/>
      <w:pPr>
        <w:ind w:left="5305" w:hanging="281"/>
      </w:pPr>
      <w:rPr>
        <w:rFonts w:hint="default"/>
      </w:rPr>
    </w:lvl>
    <w:lvl w:ilvl="4">
      <w:start w:val="0"/>
      <w:numFmt w:val="bullet"/>
      <w:lvlText w:val="•"/>
      <w:lvlJc w:val="left"/>
      <w:pPr>
        <w:ind w:left="5707" w:hanging="281"/>
      </w:pPr>
      <w:rPr>
        <w:rFonts w:hint="default"/>
      </w:rPr>
    </w:lvl>
    <w:lvl w:ilvl="5">
      <w:start w:val="0"/>
      <w:numFmt w:val="bullet"/>
      <w:lvlText w:val="•"/>
      <w:lvlJc w:val="left"/>
      <w:pPr>
        <w:ind w:left="6110" w:hanging="281"/>
      </w:pPr>
      <w:rPr>
        <w:rFonts w:hint="default"/>
      </w:rPr>
    </w:lvl>
    <w:lvl w:ilvl="6">
      <w:start w:val="0"/>
      <w:numFmt w:val="bullet"/>
      <w:lvlText w:val="•"/>
      <w:lvlJc w:val="left"/>
      <w:pPr>
        <w:ind w:left="6513" w:hanging="281"/>
      </w:pPr>
      <w:rPr>
        <w:rFonts w:hint="default"/>
      </w:rPr>
    </w:lvl>
    <w:lvl w:ilvl="7">
      <w:start w:val="0"/>
      <w:numFmt w:val="bullet"/>
      <w:lvlText w:val="•"/>
      <w:lvlJc w:val="left"/>
      <w:pPr>
        <w:ind w:left="6915" w:hanging="281"/>
      </w:pPr>
      <w:rPr>
        <w:rFonts w:hint="default"/>
      </w:rPr>
    </w:lvl>
    <w:lvl w:ilvl="8">
      <w:start w:val="0"/>
      <w:numFmt w:val="bullet"/>
      <w:lvlText w:val="•"/>
      <w:lvlJc w:val="left"/>
      <w:pPr>
        <w:ind w:left="7318" w:hanging="281"/>
      </w:pPr>
      <w:rPr>
        <w:rFonts w:hint="default"/>
      </w:rPr>
    </w:lvl>
  </w:abstractNum>
  <w:abstractNum w:abstractNumId="1">
    <w:multiLevelType w:val="hybridMultilevel"/>
    <w:lvl w:ilvl="0">
      <w:start w:val="7"/>
      <w:numFmt w:val="decimal"/>
      <w:lvlText w:val="%1"/>
      <w:lvlJc w:val="left"/>
      <w:pPr>
        <w:ind w:left="1625" w:hanging="665"/>
        <w:jc w:val="left"/>
      </w:pPr>
      <w:rPr>
        <w:rFonts w:hint="default" w:ascii="Arial" w:hAnsi="Arial" w:eastAsia="Arial" w:cs="Arial"/>
        <w:w w:val="103"/>
        <w:sz w:val="18"/>
        <w:szCs w:val="18"/>
      </w:rPr>
    </w:lvl>
    <w:lvl w:ilvl="1">
      <w:start w:val="0"/>
      <w:numFmt w:val="bullet"/>
      <w:lvlText w:val="•"/>
      <w:lvlJc w:val="left"/>
      <w:pPr>
        <w:ind w:left="4500" w:hanging="281"/>
      </w:pPr>
      <w:rPr>
        <w:rFonts w:hint="default" w:ascii="Arial" w:hAnsi="Arial" w:eastAsia="Arial" w:cs="Arial"/>
        <w:w w:val="103"/>
        <w:sz w:val="18"/>
        <w:szCs w:val="18"/>
      </w:rPr>
    </w:lvl>
    <w:lvl w:ilvl="2">
      <w:start w:val="0"/>
      <w:numFmt w:val="bullet"/>
      <w:lvlText w:val="•"/>
      <w:lvlJc w:val="left"/>
      <w:pPr>
        <w:ind w:left="4379" w:hanging="281"/>
      </w:pPr>
      <w:rPr>
        <w:rFonts w:hint="default"/>
      </w:rPr>
    </w:lvl>
    <w:lvl w:ilvl="3">
      <w:start w:val="0"/>
      <w:numFmt w:val="bullet"/>
      <w:lvlText w:val="•"/>
      <w:lvlJc w:val="left"/>
      <w:pPr>
        <w:ind w:left="4258" w:hanging="281"/>
      </w:pPr>
      <w:rPr>
        <w:rFonts w:hint="default"/>
      </w:rPr>
    </w:lvl>
    <w:lvl w:ilvl="4">
      <w:start w:val="0"/>
      <w:numFmt w:val="bullet"/>
      <w:lvlText w:val="•"/>
      <w:lvlJc w:val="left"/>
      <w:pPr>
        <w:ind w:left="4138" w:hanging="281"/>
      </w:pPr>
      <w:rPr>
        <w:rFonts w:hint="default"/>
      </w:rPr>
    </w:lvl>
    <w:lvl w:ilvl="5">
      <w:start w:val="0"/>
      <w:numFmt w:val="bullet"/>
      <w:lvlText w:val="•"/>
      <w:lvlJc w:val="left"/>
      <w:pPr>
        <w:ind w:left="4017" w:hanging="281"/>
      </w:pPr>
      <w:rPr>
        <w:rFonts w:hint="default"/>
      </w:rPr>
    </w:lvl>
    <w:lvl w:ilvl="6">
      <w:start w:val="0"/>
      <w:numFmt w:val="bullet"/>
      <w:lvlText w:val="•"/>
      <w:lvlJc w:val="left"/>
      <w:pPr>
        <w:ind w:left="3897" w:hanging="281"/>
      </w:pPr>
      <w:rPr>
        <w:rFonts w:hint="default"/>
      </w:rPr>
    </w:lvl>
    <w:lvl w:ilvl="7">
      <w:start w:val="0"/>
      <w:numFmt w:val="bullet"/>
      <w:lvlText w:val="•"/>
      <w:lvlJc w:val="left"/>
      <w:pPr>
        <w:ind w:left="3776" w:hanging="281"/>
      </w:pPr>
      <w:rPr>
        <w:rFonts w:hint="default"/>
      </w:rPr>
    </w:lvl>
    <w:lvl w:ilvl="8">
      <w:start w:val="0"/>
      <w:numFmt w:val="bullet"/>
      <w:lvlText w:val="•"/>
      <w:lvlJc w:val="left"/>
      <w:pPr>
        <w:ind w:left="3656" w:hanging="281"/>
      </w:pPr>
      <w:rPr>
        <w:rFonts w:hint="default"/>
      </w:rPr>
    </w:lvl>
  </w:abstractNum>
  <w:num w:numId="1">
    <w:abstractNumId w:val="0"/>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TOC1" w:type="paragraph">
    <w:name w:val="TOC 1"/>
    <w:basedOn w:val="Normal"/>
    <w:uiPriority w:val="1"/>
    <w:qFormat/>
    <w:pPr>
      <w:spacing w:before="99"/>
      <w:ind w:left="491"/>
    </w:pPr>
    <w:rPr>
      <w:rFonts w:ascii="Arial" w:hAnsi="Arial" w:eastAsia="Arial" w:cs="Arial"/>
      <w:sz w:val="14"/>
      <w:szCs w:val="14"/>
    </w:rPr>
  </w:style>
  <w:style w:styleId="BodyText" w:type="paragraph">
    <w:name w:val="Body Text"/>
    <w:basedOn w:val="Normal"/>
    <w:uiPriority w:val="1"/>
    <w:qFormat/>
    <w:pPr/>
    <w:rPr>
      <w:rFonts w:ascii="Arial" w:hAnsi="Arial" w:eastAsia="Arial" w:cs="Arial"/>
      <w:sz w:val="13"/>
      <w:szCs w:val="13"/>
    </w:rPr>
  </w:style>
  <w:style w:styleId="Heading1" w:type="paragraph">
    <w:name w:val="Heading 1"/>
    <w:basedOn w:val="Normal"/>
    <w:uiPriority w:val="1"/>
    <w:qFormat/>
    <w:pPr>
      <w:spacing w:before="2"/>
      <w:outlineLvl w:val="1"/>
    </w:pPr>
    <w:rPr>
      <w:rFonts w:ascii="Courier New" w:hAnsi="Courier New" w:eastAsia="Courier New" w:cs="Courier New"/>
      <w:b/>
      <w:bCs/>
      <w:sz w:val="19"/>
      <w:szCs w:val="19"/>
    </w:rPr>
  </w:style>
  <w:style w:styleId="Heading2" w:type="paragraph">
    <w:name w:val="Heading 2"/>
    <w:basedOn w:val="Normal"/>
    <w:uiPriority w:val="1"/>
    <w:qFormat/>
    <w:pPr>
      <w:spacing w:before="101"/>
      <w:ind w:left="322"/>
      <w:outlineLvl w:val="2"/>
    </w:pPr>
    <w:rPr>
      <w:rFonts w:ascii="Arial" w:hAnsi="Arial" w:eastAsia="Arial" w:cs="Arial"/>
      <w:b/>
      <w:bCs/>
      <w:sz w:val="18"/>
      <w:szCs w:val="18"/>
    </w:rPr>
  </w:style>
  <w:style w:styleId="Heading3" w:type="paragraph">
    <w:name w:val="Heading 3"/>
    <w:basedOn w:val="Normal"/>
    <w:uiPriority w:val="1"/>
    <w:qFormat/>
    <w:pPr>
      <w:outlineLvl w:val="3"/>
    </w:pPr>
    <w:rPr>
      <w:rFonts w:ascii="Arial" w:hAnsi="Arial" w:eastAsia="Arial" w:cs="Arial"/>
      <w:sz w:val="18"/>
      <w:szCs w:val="18"/>
    </w:rPr>
  </w:style>
  <w:style w:styleId="Heading4" w:type="paragraph">
    <w:name w:val="Heading 4"/>
    <w:basedOn w:val="Normal"/>
    <w:uiPriority w:val="1"/>
    <w:qFormat/>
    <w:pPr>
      <w:ind w:left="821" w:hanging="344"/>
      <w:outlineLvl w:val="4"/>
    </w:pPr>
    <w:rPr>
      <w:rFonts w:ascii="Arial" w:hAnsi="Arial" w:eastAsia="Arial" w:cs="Arial"/>
      <w:b/>
      <w:bCs/>
      <w:sz w:val="16"/>
      <w:szCs w:val="16"/>
    </w:rPr>
  </w:style>
  <w:style w:styleId="Heading5" w:type="paragraph">
    <w:name w:val="Heading 5"/>
    <w:basedOn w:val="Normal"/>
    <w:uiPriority w:val="1"/>
    <w:qFormat/>
    <w:pPr>
      <w:ind w:left="821"/>
      <w:outlineLvl w:val="5"/>
    </w:pPr>
    <w:rPr>
      <w:rFonts w:ascii="Arial" w:hAnsi="Arial" w:eastAsia="Arial" w:cs="Arial"/>
      <w:sz w:val="16"/>
      <w:szCs w:val="16"/>
    </w:rPr>
  </w:style>
  <w:style w:styleId="Heading6" w:type="paragraph">
    <w:name w:val="Heading 6"/>
    <w:basedOn w:val="Normal"/>
    <w:uiPriority w:val="1"/>
    <w:qFormat/>
    <w:pPr>
      <w:ind w:left="972" w:hanging="205"/>
      <w:outlineLvl w:val="6"/>
    </w:pPr>
    <w:rPr>
      <w:rFonts w:ascii="Arial" w:hAnsi="Arial" w:eastAsia="Arial" w:cs="Arial"/>
      <w:b/>
      <w:bCs/>
      <w:sz w:val="15"/>
      <w:szCs w:val="15"/>
    </w:rPr>
  </w:style>
  <w:style w:styleId="Heading7" w:type="paragraph">
    <w:name w:val="Heading 7"/>
    <w:basedOn w:val="Normal"/>
    <w:uiPriority w:val="1"/>
    <w:qFormat/>
    <w:pPr>
      <w:ind w:left="747"/>
      <w:outlineLvl w:val="7"/>
    </w:pPr>
    <w:rPr>
      <w:rFonts w:ascii="Arial" w:hAnsi="Arial" w:eastAsia="Arial" w:cs="Arial"/>
      <w:sz w:val="15"/>
      <w:szCs w:val="15"/>
    </w:rPr>
  </w:style>
  <w:style w:styleId="Heading8" w:type="paragraph">
    <w:name w:val="Heading 8"/>
    <w:basedOn w:val="Normal"/>
    <w:uiPriority w:val="1"/>
    <w:qFormat/>
    <w:pPr>
      <w:spacing w:before="99"/>
      <w:ind w:left="370"/>
      <w:outlineLvl w:val="8"/>
    </w:pPr>
    <w:rPr>
      <w:rFonts w:ascii="Arial" w:hAnsi="Arial" w:eastAsia="Arial" w:cs="Arial"/>
      <w:b/>
      <w:bCs/>
      <w:sz w:val="14"/>
      <w:szCs w:val="14"/>
    </w:rPr>
  </w:style>
  <w:style w:styleId="Heading9" w:type="paragraph">
    <w:name w:val="Heading 9"/>
    <w:basedOn w:val="Normal"/>
    <w:uiPriority w:val="1"/>
    <w:qFormat/>
    <w:pPr>
      <w:spacing w:before="99"/>
      <w:ind w:left="20"/>
      <w:outlineLvl w:val="9"/>
    </w:pPr>
    <w:rPr>
      <w:rFonts w:ascii="Arial" w:hAnsi="Arial" w:eastAsia="Arial" w:cs="Arial"/>
      <w:sz w:val="14"/>
      <w:szCs w:val="14"/>
    </w:rPr>
  </w:style>
  <w:style w:styleId="ListParagraph" w:type="paragraph">
    <w:name w:val="List Paragraph"/>
    <w:basedOn w:val="Normal"/>
    <w:uiPriority w:val="1"/>
    <w:qFormat/>
    <w:pPr>
      <w:ind w:left="821" w:hanging="334"/>
    </w:pPr>
    <w:rPr>
      <w:rFonts w:ascii="Arial" w:hAnsi="Arial" w:eastAsia="Arial" w:cs="Arial"/>
    </w:rPr>
  </w:style>
  <w:style w:styleId="TableParagraph" w:type="paragraph">
    <w:name w:val="Table Paragraph"/>
    <w:basedOn w:val="Normal"/>
    <w:uiPriority w:val="1"/>
    <w:qFormat/>
    <w:pPr/>
    <w:rPr>
      <w:rFonts w:ascii="Arial" w:hAnsi="Arial" w:eastAsia="Arial" w:cs="Arial"/>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hyperlink" Target="mailto:dawnc@sutter.k12.ca.us" TargetMode="External"/><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image" Target="media/image11.png"/><Relationship Id="rId19" Type="http://schemas.openxmlformats.org/officeDocument/2006/relationships/image" Target="media/image12.png"/><Relationship Id="rId20" Type="http://schemas.openxmlformats.org/officeDocument/2006/relationships/image" Target="media/image13.png"/><Relationship Id="rId21" Type="http://schemas.openxmlformats.org/officeDocument/2006/relationships/image" Target="media/image14.png"/><Relationship Id="rId22" Type="http://schemas.openxmlformats.org/officeDocument/2006/relationships/image" Target="media/image15.png"/><Relationship Id="rId23" Type="http://schemas.openxmlformats.org/officeDocument/2006/relationships/image" Target="media/image16.png"/><Relationship Id="rId24" Type="http://schemas.openxmlformats.org/officeDocument/2006/relationships/image" Target="media/image17.png"/><Relationship Id="rId25" Type="http://schemas.openxmlformats.org/officeDocument/2006/relationships/image" Target="media/image18.png"/><Relationship Id="rId26" Type="http://schemas.openxmlformats.org/officeDocument/2006/relationships/image" Target="media/image19.png"/><Relationship Id="rId27" Type="http://schemas.openxmlformats.org/officeDocument/2006/relationships/image" Target="media/image20.png"/><Relationship Id="rId28" Type="http://schemas.openxmlformats.org/officeDocument/2006/relationships/image" Target="media/image21.png"/><Relationship Id="rId29" Type="http://schemas.openxmlformats.org/officeDocument/2006/relationships/image" Target="media/image22.png"/><Relationship Id="rId30" Type="http://schemas.openxmlformats.org/officeDocument/2006/relationships/image" Target="media/image23.png"/><Relationship Id="rId31" Type="http://schemas.openxmlformats.org/officeDocument/2006/relationships/image" Target="media/image24.png"/><Relationship Id="rId32" Type="http://schemas.openxmlformats.org/officeDocument/2006/relationships/image" Target="media/image25.png"/><Relationship Id="rId33" Type="http://schemas.openxmlformats.org/officeDocument/2006/relationships/image" Target="media/image26.png"/><Relationship Id="rId34" Type="http://schemas.openxmlformats.org/officeDocument/2006/relationships/image" Target="media/image27.png"/><Relationship Id="rId35" Type="http://schemas.openxmlformats.org/officeDocument/2006/relationships/image" Target="media/image28.png"/><Relationship Id="rId36" Type="http://schemas.openxmlformats.org/officeDocument/2006/relationships/image" Target="media/image29.png"/><Relationship Id="rId37" Type="http://schemas.openxmlformats.org/officeDocument/2006/relationships/image" Target="media/image30.png"/><Relationship Id="rId38" Type="http://schemas.openxmlformats.org/officeDocument/2006/relationships/image" Target="media/image31.png"/><Relationship Id="rId39" Type="http://schemas.openxmlformats.org/officeDocument/2006/relationships/image" Target="media/image32.png"/><Relationship Id="rId40" Type="http://schemas.openxmlformats.org/officeDocument/2006/relationships/image" Target="media/image33.png"/><Relationship Id="rId41" Type="http://schemas.openxmlformats.org/officeDocument/2006/relationships/image" Target="media/image34.png"/><Relationship Id="rId42" Type="http://schemas.openxmlformats.org/officeDocument/2006/relationships/image" Target="media/image35.png"/><Relationship Id="rId43" Type="http://schemas.openxmlformats.org/officeDocument/2006/relationships/image" Target="media/image36.png"/><Relationship Id="rId44" Type="http://schemas.openxmlformats.org/officeDocument/2006/relationships/image" Target="media/image37.png"/><Relationship Id="rId45" Type="http://schemas.openxmlformats.org/officeDocument/2006/relationships/image" Target="media/image38.png"/><Relationship Id="rId46" Type="http://schemas.openxmlformats.org/officeDocument/2006/relationships/image" Target="media/image39.png"/><Relationship Id="rId47" Type="http://schemas.openxmlformats.org/officeDocument/2006/relationships/image" Target="media/image40.png"/><Relationship Id="rId48" Type="http://schemas.openxmlformats.org/officeDocument/2006/relationships/image" Target="media/image41.png"/><Relationship Id="rId49" Type="http://schemas.openxmlformats.org/officeDocument/2006/relationships/image" Target="media/image42.png"/><Relationship Id="rId50" Type="http://schemas.openxmlformats.org/officeDocument/2006/relationships/image" Target="media/image43.png"/><Relationship Id="rId51" Type="http://schemas.openxmlformats.org/officeDocument/2006/relationships/image" Target="media/image44.png"/><Relationship Id="rId52" Type="http://schemas.openxmlformats.org/officeDocument/2006/relationships/image" Target="media/image45.png"/><Relationship Id="rId53" Type="http://schemas.openxmlformats.org/officeDocument/2006/relationships/image" Target="media/image46.png"/><Relationship Id="rId54" Type="http://schemas.openxmlformats.org/officeDocument/2006/relationships/image" Target="media/image47.png"/><Relationship Id="rId55" Type="http://schemas.openxmlformats.org/officeDocument/2006/relationships/image" Target="media/image48.png"/><Relationship Id="rId56" Type="http://schemas.openxmlformats.org/officeDocument/2006/relationships/image" Target="media/image49.png"/><Relationship Id="rId57" Type="http://schemas.openxmlformats.org/officeDocument/2006/relationships/image" Target="media/image50.png"/><Relationship Id="rId58" Type="http://schemas.openxmlformats.org/officeDocument/2006/relationships/image" Target="media/image51.png"/><Relationship Id="rId59" Type="http://schemas.openxmlformats.org/officeDocument/2006/relationships/image" Target="media/image52.png"/><Relationship Id="rId60" Type="http://schemas.openxmlformats.org/officeDocument/2006/relationships/image" Target="media/image53.png"/><Relationship Id="rId61" Type="http://schemas.openxmlformats.org/officeDocument/2006/relationships/image" Target="media/image54.png"/><Relationship Id="rId62" Type="http://schemas.openxmlformats.org/officeDocument/2006/relationships/image" Target="media/image55.png"/><Relationship Id="rId63" Type="http://schemas.openxmlformats.org/officeDocument/2006/relationships/image" Target="media/image56.png"/><Relationship Id="rId64" Type="http://schemas.openxmlformats.org/officeDocument/2006/relationships/image" Target="media/image57.png"/><Relationship Id="rId65" Type="http://schemas.openxmlformats.org/officeDocument/2006/relationships/image" Target="media/image58.png"/><Relationship Id="rId66" Type="http://schemas.openxmlformats.org/officeDocument/2006/relationships/image" Target="media/image59.png"/><Relationship Id="rId67" Type="http://schemas.openxmlformats.org/officeDocument/2006/relationships/image" Target="media/image60.png"/><Relationship Id="rId68" Type="http://schemas.openxmlformats.org/officeDocument/2006/relationships/image" Target="media/image61.png"/><Relationship Id="rId69" Type="http://schemas.openxmlformats.org/officeDocument/2006/relationships/image" Target="media/image62.png"/><Relationship Id="rId70" Type="http://schemas.openxmlformats.org/officeDocument/2006/relationships/image" Target="media/image63.png"/><Relationship Id="rId71" Type="http://schemas.openxmlformats.org/officeDocument/2006/relationships/image" Target="media/image64.png"/><Relationship Id="rId72" Type="http://schemas.openxmlformats.org/officeDocument/2006/relationships/header" Target="header2.xml"/><Relationship Id="rId73" Type="http://schemas.openxmlformats.org/officeDocument/2006/relationships/footer" Target="footer2.xml"/><Relationship Id="rId74" Type="http://schemas.openxmlformats.org/officeDocument/2006/relationships/image" Target="media/image65.png"/><Relationship Id="rId75" Type="http://schemas.openxmlformats.org/officeDocument/2006/relationships/image" Target="media/image66.png"/><Relationship Id="rId76" Type="http://schemas.openxmlformats.org/officeDocument/2006/relationships/image" Target="media/image67.png"/><Relationship Id="rId77" Type="http://schemas.openxmlformats.org/officeDocument/2006/relationships/image" Target="media/image68.png"/><Relationship Id="rId78" Type="http://schemas.openxmlformats.org/officeDocument/2006/relationships/image" Target="media/image69.png"/><Relationship Id="rId79" Type="http://schemas.openxmlformats.org/officeDocument/2006/relationships/image" Target="media/image70.png"/><Relationship Id="rId80" Type="http://schemas.openxmlformats.org/officeDocument/2006/relationships/image" Target="media/image71.png"/><Relationship Id="rId81" Type="http://schemas.openxmlformats.org/officeDocument/2006/relationships/header" Target="header3.xml"/><Relationship Id="rId82" Type="http://schemas.openxmlformats.org/officeDocument/2006/relationships/footer" Target="footer3.xml"/><Relationship Id="rId83" Type="http://schemas.openxmlformats.org/officeDocument/2006/relationships/image" Target="media/image72.png"/><Relationship Id="rId84" Type="http://schemas.openxmlformats.org/officeDocument/2006/relationships/image" Target="media/image73.png"/><Relationship Id="rId85" Type="http://schemas.openxmlformats.org/officeDocument/2006/relationships/image" Target="media/image74.png"/><Relationship Id="rId86" Type="http://schemas.openxmlformats.org/officeDocument/2006/relationships/image" Target="media/image75.png"/><Relationship Id="rId87" Type="http://schemas.openxmlformats.org/officeDocument/2006/relationships/image" Target="media/image76.png"/><Relationship Id="rId88" Type="http://schemas.openxmlformats.org/officeDocument/2006/relationships/image" Target="media/image77.png"/><Relationship Id="rId89" Type="http://schemas.openxmlformats.org/officeDocument/2006/relationships/image" Target="media/image78.png"/><Relationship Id="rId90" Type="http://schemas.openxmlformats.org/officeDocument/2006/relationships/image" Target="media/image79.png"/><Relationship Id="rId91" Type="http://schemas.openxmlformats.org/officeDocument/2006/relationships/image" Target="media/image80.png"/><Relationship Id="rId92" Type="http://schemas.openxmlformats.org/officeDocument/2006/relationships/image" Target="media/image81.png"/><Relationship Id="rId93" Type="http://schemas.openxmlformats.org/officeDocument/2006/relationships/image" Target="media/image82.png"/><Relationship Id="rId94" Type="http://schemas.openxmlformats.org/officeDocument/2006/relationships/image" Target="media/image83.png"/><Relationship Id="rId95" Type="http://schemas.openxmlformats.org/officeDocument/2006/relationships/image" Target="media/image84.png"/><Relationship Id="rId96" Type="http://schemas.openxmlformats.org/officeDocument/2006/relationships/image" Target="media/image85.png"/><Relationship Id="rId97" Type="http://schemas.openxmlformats.org/officeDocument/2006/relationships/image" Target="media/image86.png"/><Relationship Id="rId98" Type="http://schemas.openxmlformats.org/officeDocument/2006/relationships/image" Target="media/image87.png"/><Relationship Id="rId99" Type="http://schemas.openxmlformats.org/officeDocument/2006/relationships/image" Target="media/image88.png"/><Relationship Id="rId100" Type="http://schemas.openxmlformats.org/officeDocument/2006/relationships/image" Target="media/image89.png"/><Relationship Id="rId101" Type="http://schemas.openxmlformats.org/officeDocument/2006/relationships/image" Target="media/image90.png"/><Relationship Id="rId102" Type="http://schemas.openxmlformats.org/officeDocument/2006/relationships/image" Target="media/image91.png"/><Relationship Id="rId103" Type="http://schemas.openxmlformats.org/officeDocument/2006/relationships/image" Target="media/image92.png"/><Relationship Id="rId104" Type="http://schemas.openxmlformats.org/officeDocument/2006/relationships/image" Target="media/image93.png"/><Relationship Id="rId105" Type="http://schemas.openxmlformats.org/officeDocument/2006/relationships/image" Target="media/image94.png"/><Relationship Id="rId106" Type="http://schemas.openxmlformats.org/officeDocument/2006/relationships/image" Target="media/image95.png"/><Relationship Id="rId107" Type="http://schemas.openxmlformats.org/officeDocument/2006/relationships/image" Target="media/image96.png"/><Relationship Id="rId108" Type="http://schemas.openxmlformats.org/officeDocument/2006/relationships/image" Target="media/image97.png"/><Relationship Id="rId109" Type="http://schemas.openxmlformats.org/officeDocument/2006/relationships/image" Target="media/image98.png"/><Relationship Id="rId110" Type="http://schemas.openxmlformats.org/officeDocument/2006/relationships/image" Target="media/image99.png"/><Relationship Id="rId111" Type="http://schemas.openxmlformats.org/officeDocument/2006/relationships/image" Target="media/image100.png"/><Relationship Id="rId112" Type="http://schemas.openxmlformats.org/officeDocument/2006/relationships/image" Target="media/image101.png"/><Relationship Id="rId113" Type="http://schemas.openxmlformats.org/officeDocument/2006/relationships/image" Target="media/image102.png"/><Relationship Id="rId114" Type="http://schemas.openxmlformats.org/officeDocument/2006/relationships/image" Target="media/image103.png"/><Relationship Id="rId115" Type="http://schemas.openxmlformats.org/officeDocument/2006/relationships/image" Target="media/image104.png"/><Relationship Id="rId116" Type="http://schemas.openxmlformats.org/officeDocument/2006/relationships/image" Target="media/image105.png"/><Relationship Id="rId117" Type="http://schemas.openxmlformats.org/officeDocument/2006/relationships/image" Target="media/image106.png"/><Relationship Id="rId118" Type="http://schemas.openxmlformats.org/officeDocument/2006/relationships/image" Target="media/image107.png"/><Relationship Id="rId119" Type="http://schemas.openxmlformats.org/officeDocument/2006/relationships/image" Target="media/image108.png"/><Relationship Id="rId120" Type="http://schemas.openxmlformats.org/officeDocument/2006/relationships/image" Target="media/image109.png"/><Relationship Id="rId121" Type="http://schemas.openxmlformats.org/officeDocument/2006/relationships/image" Target="media/image110.png"/><Relationship Id="rId122" Type="http://schemas.openxmlformats.org/officeDocument/2006/relationships/image" Target="media/image111.png"/><Relationship Id="rId123" Type="http://schemas.openxmlformats.org/officeDocument/2006/relationships/image" Target="media/image112.png"/><Relationship Id="rId124" Type="http://schemas.openxmlformats.org/officeDocument/2006/relationships/image" Target="media/image113.png"/><Relationship Id="rId125" Type="http://schemas.openxmlformats.org/officeDocument/2006/relationships/image" Target="media/image114.png"/><Relationship Id="rId126" Type="http://schemas.openxmlformats.org/officeDocument/2006/relationships/image" Target="media/image115.png"/><Relationship Id="rId127" Type="http://schemas.openxmlformats.org/officeDocument/2006/relationships/image" Target="media/image116.png"/><Relationship Id="rId128" Type="http://schemas.openxmlformats.org/officeDocument/2006/relationships/image" Target="media/image117.png"/><Relationship Id="rId129" Type="http://schemas.openxmlformats.org/officeDocument/2006/relationships/image" Target="media/image118.png"/><Relationship Id="rId130" Type="http://schemas.openxmlformats.org/officeDocument/2006/relationships/image" Target="media/image119.png"/><Relationship Id="rId131" Type="http://schemas.openxmlformats.org/officeDocument/2006/relationships/image" Target="media/image120.png"/><Relationship Id="rId132" Type="http://schemas.openxmlformats.org/officeDocument/2006/relationships/image" Target="media/image121.png"/><Relationship Id="rId133" Type="http://schemas.openxmlformats.org/officeDocument/2006/relationships/image" Target="media/image122.png"/><Relationship Id="rId134" Type="http://schemas.openxmlformats.org/officeDocument/2006/relationships/image" Target="media/image123.png"/><Relationship Id="rId135" Type="http://schemas.openxmlformats.org/officeDocument/2006/relationships/image" Target="media/image124.png"/><Relationship Id="rId136" Type="http://schemas.openxmlformats.org/officeDocument/2006/relationships/image" Target="media/image125.png"/><Relationship Id="rId137" Type="http://schemas.openxmlformats.org/officeDocument/2006/relationships/image" Target="media/image126.png"/><Relationship Id="rId138" Type="http://schemas.openxmlformats.org/officeDocument/2006/relationships/image" Target="media/image127.png"/><Relationship Id="rId139" Type="http://schemas.openxmlformats.org/officeDocument/2006/relationships/image" Target="media/image128.png"/><Relationship Id="rId140" Type="http://schemas.openxmlformats.org/officeDocument/2006/relationships/image" Target="media/image129.png"/><Relationship Id="rId141" Type="http://schemas.openxmlformats.org/officeDocument/2006/relationships/image" Target="media/image130.png"/><Relationship Id="rId142" Type="http://schemas.openxmlformats.org/officeDocument/2006/relationships/image" Target="media/image131.png"/><Relationship Id="rId143" Type="http://schemas.openxmlformats.org/officeDocument/2006/relationships/image" Target="media/image132.png"/><Relationship Id="rId144" Type="http://schemas.openxmlformats.org/officeDocument/2006/relationships/image" Target="media/image133.png"/><Relationship Id="rId145" Type="http://schemas.openxmlformats.org/officeDocument/2006/relationships/image" Target="media/image134.png"/><Relationship Id="rId146" Type="http://schemas.openxmlformats.org/officeDocument/2006/relationships/image" Target="media/image135.png"/><Relationship Id="rId147" Type="http://schemas.openxmlformats.org/officeDocument/2006/relationships/image" Target="media/image136.png"/><Relationship Id="rId148" Type="http://schemas.openxmlformats.org/officeDocument/2006/relationships/image" Target="media/image137.png"/><Relationship Id="rId149" Type="http://schemas.openxmlformats.org/officeDocument/2006/relationships/image" Target="media/image138.png"/><Relationship Id="rId150" Type="http://schemas.openxmlformats.org/officeDocument/2006/relationships/image" Target="media/image139.png"/><Relationship Id="rId151" Type="http://schemas.openxmlformats.org/officeDocument/2006/relationships/image" Target="media/image140.png"/><Relationship Id="rId152" Type="http://schemas.openxmlformats.org/officeDocument/2006/relationships/image" Target="media/image141.png"/><Relationship Id="rId153" Type="http://schemas.openxmlformats.org/officeDocument/2006/relationships/image" Target="media/image142.png"/><Relationship Id="rId154" Type="http://schemas.openxmlformats.org/officeDocument/2006/relationships/image" Target="media/image143.png"/><Relationship Id="rId155" Type="http://schemas.openxmlformats.org/officeDocument/2006/relationships/image" Target="media/image144.png"/><Relationship Id="rId156" Type="http://schemas.openxmlformats.org/officeDocument/2006/relationships/image" Target="media/image145.png"/><Relationship Id="rId157" Type="http://schemas.openxmlformats.org/officeDocument/2006/relationships/image" Target="media/image146.png"/><Relationship Id="rId158" Type="http://schemas.openxmlformats.org/officeDocument/2006/relationships/image" Target="media/image147.png"/><Relationship Id="rId159" Type="http://schemas.openxmlformats.org/officeDocument/2006/relationships/image" Target="media/image148.png"/><Relationship Id="rId160" Type="http://schemas.openxmlformats.org/officeDocument/2006/relationships/image" Target="media/image149.png"/><Relationship Id="rId161" Type="http://schemas.openxmlformats.org/officeDocument/2006/relationships/image" Target="media/image150.png"/><Relationship Id="rId162" Type="http://schemas.openxmlformats.org/officeDocument/2006/relationships/image" Target="media/image151.png"/><Relationship Id="rId163" Type="http://schemas.openxmlformats.org/officeDocument/2006/relationships/image" Target="media/image152.png"/><Relationship Id="rId164" Type="http://schemas.openxmlformats.org/officeDocument/2006/relationships/image" Target="media/image153.png"/><Relationship Id="rId165" Type="http://schemas.openxmlformats.org/officeDocument/2006/relationships/image" Target="media/image154.png"/><Relationship Id="rId166" Type="http://schemas.openxmlformats.org/officeDocument/2006/relationships/image" Target="media/image155.png"/><Relationship Id="rId167" Type="http://schemas.openxmlformats.org/officeDocument/2006/relationships/image" Target="media/image156.png"/><Relationship Id="rId168" Type="http://schemas.openxmlformats.org/officeDocument/2006/relationships/image" Target="media/image157.png"/><Relationship Id="rId169" Type="http://schemas.openxmlformats.org/officeDocument/2006/relationships/image" Target="media/image158.png"/><Relationship Id="rId170" Type="http://schemas.openxmlformats.org/officeDocument/2006/relationships/image" Target="media/image159.png"/><Relationship Id="rId171" Type="http://schemas.openxmlformats.org/officeDocument/2006/relationships/image" Target="media/image160.png"/><Relationship Id="rId172" Type="http://schemas.openxmlformats.org/officeDocument/2006/relationships/image" Target="media/image161.png"/><Relationship Id="rId173" Type="http://schemas.openxmlformats.org/officeDocument/2006/relationships/image" Target="media/image162.png"/><Relationship Id="rId174" Type="http://schemas.openxmlformats.org/officeDocument/2006/relationships/image" Target="media/image163.png"/><Relationship Id="rId175" Type="http://schemas.openxmlformats.org/officeDocument/2006/relationships/image" Target="media/image164.png"/><Relationship Id="rId176" Type="http://schemas.openxmlformats.org/officeDocument/2006/relationships/image" Target="media/image165.png"/><Relationship Id="rId177" Type="http://schemas.openxmlformats.org/officeDocument/2006/relationships/image" Target="media/image166.png"/><Relationship Id="rId178" Type="http://schemas.openxmlformats.org/officeDocument/2006/relationships/image" Target="media/image167.png"/><Relationship Id="rId179" Type="http://schemas.openxmlformats.org/officeDocument/2006/relationships/image" Target="media/image168.png"/><Relationship Id="rId180" Type="http://schemas.openxmlformats.org/officeDocument/2006/relationships/image" Target="media/image169.png"/><Relationship Id="rId181" Type="http://schemas.openxmlformats.org/officeDocument/2006/relationships/image" Target="media/image170.png"/><Relationship Id="rId182" Type="http://schemas.openxmlformats.org/officeDocument/2006/relationships/image" Target="media/image171.png"/><Relationship Id="rId183" Type="http://schemas.openxmlformats.org/officeDocument/2006/relationships/image" Target="media/image172.png"/><Relationship Id="rId184" Type="http://schemas.openxmlformats.org/officeDocument/2006/relationships/image" Target="media/image173.png"/><Relationship Id="rId185" Type="http://schemas.openxmlformats.org/officeDocument/2006/relationships/image" Target="media/image174.png"/><Relationship Id="rId186" Type="http://schemas.openxmlformats.org/officeDocument/2006/relationships/image" Target="media/image175.png"/><Relationship Id="rId187" Type="http://schemas.openxmlformats.org/officeDocument/2006/relationships/image" Target="media/image176.png"/><Relationship Id="rId188" Type="http://schemas.openxmlformats.org/officeDocument/2006/relationships/image" Target="media/image177.png"/><Relationship Id="rId189" Type="http://schemas.openxmlformats.org/officeDocument/2006/relationships/image" Target="media/image178.png"/><Relationship Id="rId190" Type="http://schemas.openxmlformats.org/officeDocument/2006/relationships/image" Target="media/image179.png"/><Relationship Id="rId191" Type="http://schemas.openxmlformats.org/officeDocument/2006/relationships/image" Target="media/image180.png"/><Relationship Id="rId192" Type="http://schemas.openxmlformats.org/officeDocument/2006/relationships/image" Target="media/image181.png"/><Relationship Id="rId193" Type="http://schemas.openxmlformats.org/officeDocument/2006/relationships/image" Target="media/image182.png"/><Relationship Id="rId194" Type="http://schemas.openxmlformats.org/officeDocument/2006/relationships/image" Target="media/image183.png"/><Relationship Id="rId195" Type="http://schemas.openxmlformats.org/officeDocument/2006/relationships/image" Target="media/image184.png"/><Relationship Id="rId196" Type="http://schemas.openxmlformats.org/officeDocument/2006/relationships/image" Target="media/image185.png"/><Relationship Id="rId197" Type="http://schemas.openxmlformats.org/officeDocument/2006/relationships/image" Target="media/image186.png"/><Relationship Id="rId198" Type="http://schemas.openxmlformats.org/officeDocument/2006/relationships/image" Target="media/image187.png"/><Relationship Id="rId199" Type="http://schemas.openxmlformats.org/officeDocument/2006/relationships/image" Target="media/image188.png"/><Relationship Id="rId200" Type="http://schemas.openxmlformats.org/officeDocument/2006/relationships/image" Target="media/image189.png"/><Relationship Id="rId201" Type="http://schemas.openxmlformats.org/officeDocument/2006/relationships/image" Target="media/image190.png"/><Relationship Id="rId202" Type="http://schemas.openxmlformats.org/officeDocument/2006/relationships/image" Target="media/image191.png"/><Relationship Id="rId203" Type="http://schemas.openxmlformats.org/officeDocument/2006/relationships/image" Target="media/image192.png"/><Relationship Id="rId204" Type="http://schemas.openxmlformats.org/officeDocument/2006/relationships/image" Target="media/image193.png"/><Relationship Id="rId205" Type="http://schemas.openxmlformats.org/officeDocument/2006/relationships/image" Target="media/image194.png"/><Relationship Id="rId206" Type="http://schemas.openxmlformats.org/officeDocument/2006/relationships/image" Target="media/image195.png"/><Relationship Id="rId207" Type="http://schemas.openxmlformats.org/officeDocument/2006/relationships/image" Target="media/image196.png"/><Relationship Id="rId208" Type="http://schemas.openxmlformats.org/officeDocument/2006/relationships/image" Target="media/image197.png"/><Relationship Id="rId209" Type="http://schemas.openxmlformats.org/officeDocument/2006/relationships/image" Target="media/image198.png"/><Relationship Id="rId210" Type="http://schemas.openxmlformats.org/officeDocument/2006/relationships/image" Target="media/image199.png"/><Relationship Id="rId211" Type="http://schemas.openxmlformats.org/officeDocument/2006/relationships/image" Target="media/image200.png"/><Relationship Id="rId212" Type="http://schemas.openxmlformats.org/officeDocument/2006/relationships/image" Target="media/image201.png"/><Relationship Id="rId213" Type="http://schemas.openxmlformats.org/officeDocument/2006/relationships/image" Target="media/image202.png"/><Relationship Id="rId214" Type="http://schemas.openxmlformats.org/officeDocument/2006/relationships/image" Target="media/image203.png"/><Relationship Id="rId215" Type="http://schemas.openxmlformats.org/officeDocument/2006/relationships/image" Target="media/image204.png"/><Relationship Id="rId216" Type="http://schemas.openxmlformats.org/officeDocument/2006/relationships/image" Target="media/image205.png"/><Relationship Id="rId217" Type="http://schemas.openxmlformats.org/officeDocument/2006/relationships/image" Target="media/image206.png"/><Relationship Id="rId218" Type="http://schemas.openxmlformats.org/officeDocument/2006/relationships/image" Target="media/image207.png"/><Relationship Id="rId219" Type="http://schemas.openxmlformats.org/officeDocument/2006/relationships/image" Target="media/image208.png"/><Relationship Id="rId220" Type="http://schemas.openxmlformats.org/officeDocument/2006/relationships/image" Target="media/image209.png"/><Relationship Id="rId221" Type="http://schemas.openxmlformats.org/officeDocument/2006/relationships/image" Target="media/image210.png"/><Relationship Id="rId222" Type="http://schemas.openxmlformats.org/officeDocument/2006/relationships/image" Target="media/image211.png"/><Relationship Id="rId223" Type="http://schemas.openxmlformats.org/officeDocument/2006/relationships/image" Target="media/image212.png"/><Relationship Id="rId224" Type="http://schemas.openxmlformats.org/officeDocument/2006/relationships/image" Target="media/image213.png"/><Relationship Id="rId225" Type="http://schemas.openxmlformats.org/officeDocument/2006/relationships/image" Target="media/image214.png"/><Relationship Id="rId226" Type="http://schemas.openxmlformats.org/officeDocument/2006/relationships/image" Target="media/image215.png"/><Relationship Id="rId227" Type="http://schemas.openxmlformats.org/officeDocument/2006/relationships/image" Target="media/image216.png"/><Relationship Id="rId228" Type="http://schemas.openxmlformats.org/officeDocument/2006/relationships/image" Target="media/image217.png"/><Relationship Id="rId229" Type="http://schemas.openxmlformats.org/officeDocument/2006/relationships/image" Target="media/image218.png"/><Relationship Id="rId230" Type="http://schemas.openxmlformats.org/officeDocument/2006/relationships/image" Target="media/image219.png"/><Relationship Id="rId231" Type="http://schemas.openxmlformats.org/officeDocument/2006/relationships/image" Target="media/image220.png"/><Relationship Id="rId232" Type="http://schemas.openxmlformats.org/officeDocument/2006/relationships/image" Target="media/image221.png"/><Relationship Id="rId233" Type="http://schemas.openxmlformats.org/officeDocument/2006/relationships/image" Target="media/image222.png"/><Relationship Id="rId234" Type="http://schemas.openxmlformats.org/officeDocument/2006/relationships/image" Target="media/image223.png"/><Relationship Id="rId235" Type="http://schemas.openxmlformats.org/officeDocument/2006/relationships/image" Target="media/image224.png"/><Relationship Id="rId236" Type="http://schemas.openxmlformats.org/officeDocument/2006/relationships/image" Target="media/image225.png"/><Relationship Id="rId237" Type="http://schemas.openxmlformats.org/officeDocument/2006/relationships/image" Target="media/image226.png"/><Relationship Id="rId238" Type="http://schemas.openxmlformats.org/officeDocument/2006/relationships/image" Target="media/image227.png"/><Relationship Id="rId239" Type="http://schemas.openxmlformats.org/officeDocument/2006/relationships/image" Target="media/image228.png"/><Relationship Id="rId240" Type="http://schemas.openxmlformats.org/officeDocument/2006/relationships/image" Target="media/image229.png"/><Relationship Id="rId241" Type="http://schemas.openxmlformats.org/officeDocument/2006/relationships/image" Target="media/image230.png"/><Relationship Id="rId242" Type="http://schemas.openxmlformats.org/officeDocument/2006/relationships/image" Target="media/image231.png"/><Relationship Id="rId243" Type="http://schemas.openxmlformats.org/officeDocument/2006/relationships/image" Target="media/image232.png"/><Relationship Id="rId244" Type="http://schemas.openxmlformats.org/officeDocument/2006/relationships/image" Target="media/image233.png"/><Relationship Id="rId245" Type="http://schemas.openxmlformats.org/officeDocument/2006/relationships/image" Target="media/image234.png"/><Relationship Id="rId246" Type="http://schemas.openxmlformats.org/officeDocument/2006/relationships/image" Target="media/image235.png"/><Relationship Id="rId247" Type="http://schemas.openxmlformats.org/officeDocument/2006/relationships/image" Target="media/image236.png"/><Relationship Id="rId248" Type="http://schemas.openxmlformats.org/officeDocument/2006/relationships/image" Target="media/image237.png"/><Relationship Id="rId249" Type="http://schemas.openxmlformats.org/officeDocument/2006/relationships/image" Target="media/image238.png"/><Relationship Id="rId250" Type="http://schemas.openxmlformats.org/officeDocument/2006/relationships/image" Target="media/image239.png"/><Relationship Id="rId251" Type="http://schemas.openxmlformats.org/officeDocument/2006/relationships/image" Target="media/image240.png"/><Relationship Id="rId252" Type="http://schemas.openxmlformats.org/officeDocument/2006/relationships/image" Target="media/image241.png"/><Relationship Id="rId253" Type="http://schemas.openxmlformats.org/officeDocument/2006/relationships/image" Target="media/image242.png"/><Relationship Id="rId254" Type="http://schemas.openxmlformats.org/officeDocument/2006/relationships/image" Target="media/image243.png"/><Relationship Id="rId255" Type="http://schemas.openxmlformats.org/officeDocument/2006/relationships/image" Target="media/image244.png"/><Relationship Id="rId256" Type="http://schemas.openxmlformats.org/officeDocument/2006/relationships/image" Target="media/image245.png"/><Relationship Id="rId257" Type="http://schemas.openxmlformats.org/officeDocument/2006/relationships/image" Target="media/image246.png"/><Relationship Id="rId258" Type="http://schemas.openxmlformats.org/officeDocument/2006/relationships/image" Target="media/image247.png"/><Relationship Id="rId259" Type="http://schemas.openxmlformats.org/officeDocument/2006/relationships/image" Target="media/image248.png"/><Relationship Id="rId260" Type="http://schemas.openxmlformats.org/officeDocument/2006/relationships/image" Target="media/image249.png"/><Relationship Id="rId261" Type="http://schemas.openxmlformats.org/officeDocument/2006/relationships/image" Target="media/image250.png"/><Relationship Id="rId262" Type="http://schemas.openxmlformats.org/officeDocument/2006/relationships/image" Target="media/image251.png"/><Relationship Id="rId263" Type="http://schemas.openxmlformats.org/officeDocument/2006/relationships/image" Target="media/image252.png"/><Relationship Id="rId264" Type="http://schemas.openxmlformats.org/officeDocument/2006/relationships/image" Target="media/image253.png"/><Relationship Id="rId265" Type="http://schemas.openxmlformats.org/officeDocument/2006/relationships/image" Target="media/image254.png"/><Relationship Id="rId266" Type="http://schemas.openxmlformats.org/officeDocument/2006/relationships/image" Target="media/image255.png"/><Relationship Id="rId267" Type="http://schemas.openxmlformats.org/officeDocument/2006/relationships/image" Target="media/image256.png"/><Relationship Id="rId268" Type="http://schemas.openxmlformats.org/officeDocument/2006/relationships/image" Target="media/image257.png"/><Relationship Id="rId269" Type="http://schemas.openxmlformats.org/officeDocument/2006/relationships/image" Target="media/image258.png"/><Relationship Id="rId270" Type="http://schemas.openxmlformats.org/officeDocument/2006/relationships/image" Target="media/image259.png"/><Relationship Id="rId271" Type="http://schemas.openxmlformats.org/officeDocument/2006/relationships/image" Target="media/image260.png"/><Relationship Id="rId272" Type="http://schemas.openxmlformats.org/officeDocument/2006/relationships/image" Target="media/image261.png"/><Relationship Id="rId273" Type="http://schemas.openxmlformats.org/officeDocument/2006/relationships/image" Target="media/image262.png"/><Relationship Id="rId274" Type="http://schemas.openxmlformats.org/officeDocument/2006/relationships/image" Target="media/image263.png"/><Relationship Id="rId275" Type="http://schemas.openxmlformats.org/officeDocument/2006/relationships/image" Target="media/image264.png"/><Relationship Id="rId276" Type="http://schemas.openxmlformats.org/officeDocument/2006/relationships/image" Target="media/image265.png"/><Relationship Id="rId277" Type="http://schemas.openxmlformats.org/officeDocument/2006/relationships/image" Target="media/image266.png"/><Relationship Id="rId278" Type="http://schemas.openxmlformats.org/officeDocument/2006/relationships/image" Target="media/image267.png"/><Relationship Id="rId279" Type="http://schemas.openxmlformats.org/officeDocument/2006/relationships/image" Target="media/image268.png"/><Relationship Id="rId280" Type="http://schemas.openxmlformats.org/officeDocument/2006/relationships/image" Target="media/image269.png"/><Relationship Id="rId281" Type="http://schemas.openxmlformats.org/officeDocument/2006/relationships/image" Target="media/image270.png"/><Relationship Id="rId282" Type="http://schemas.openxmlformats.org/officeDocument/2006/relationships/image" Target="media/image271.png"/><Relationship Id="rId283" Type="http://schemas.openxmlformats.org/officeDocument/2006/relationships/image" Target="media/image272.png"/><Relationship Id="rId284" Type="http://schemas.openxmlformats.org/officeDocument/2006/relationships/image" Target="media/image273.png"/><Relationship Id="rId285" Type="http://schemas.openxmlformats.org/officeDocument/2006/relationships/image" Target="media/image274.png"/><Relationship Id="rId286" Type="http://schemas.openxmlformats.org/officeDocument/2006/relationships/image" Target="media/image275.png"/><Relationship Id="rId287" Type="http://schemas.openxmlformats.org/officeDocument/2006/relationships/image" Target="media/image276.png"/><Relationship Id="rId288" Type="http://schemas.openxmlformats.org/officeDocument/2006/relationships/image" Target="media/image277.png"/><Relationship Id="rId289" Type="http://schemas.openxmlformats.org/officeDocument/2006/relationships/image" Target="media/image278.png"/><Relationship Id="rId290" Type="http://schemas.openxmlformats.org/officeDocument/2006/relationships/image" Target="media/image279.png"/><Relationship Id="rId291" Type="http://schemas.openxmlformats.org/officeDocument/2006/relationships/image" Target="media/image280.png"/><Relationship Id="rId292" Type="http://schemas.openxmlformats.org/officeDocument/2006/relationships/image" Target="media/image281.png"/><Relationship Id="rId293" Type="http://schemas.openxmlformats.org/officeDocument/2006/relationships/image" Target="media/image282.png"/><Relationship Id="rId294" Type="http://schemas.openxmlformats.org/officeDocument/2006/relationships/image" Target="media/image283.png"/><Relationship Id="rId295" Type="http://schemas.openxmlformats.org/officeDocument/2006/relationships/image" Target="media/image284.png"/><Relationship Id="rId296" Type="http://schemas.openxmlformats.org/officeDocument/2006/relationships/image" Target="media/image285.png"/><Relationship Id="rId297" Type="http://schemas.openxmlformats.org/officeDocument/2006/relationships/image" Target="media/image286.png"/><Relationship Id="rId298" Type="http://schemas.openxmlformats.org/officeDocument/2006/relationships/image" Target="media/image287.png"/><Relationship Id="rId299" Type="http://schemas.openxmlformats.org/officeDocument/2006/relationships/image" Target="media/image288.png"/><Relationship Id="rId300" Type="http://schemas.openxmlformats.org/officeDocument/2006/relationships/image" Target="media/image289.png"/><Relationship Id="rId301" Type="http://schemas.openxmlformats.org/officeDocument/2006/relationships/image" Target="media/image290.png"/><Relationship Id="rId302" Type="http://schemas.openxmlformats.org/officeDocument/2006/relationships/image" Target="media/image291.png"/><Relationship Id="rId303" Type="http://schemas.openxmlformats.org/officeDocument/2006/relationships/image" Target="media/image292.png"/><Relationship Id="rId304" Type="http://schemas.openxmlformats.org/officeDocument/2006/relationships/image" Target="media/image293.png"/><Relationship Id="rId305" Type="http://schemas.openxmlformats.org/officeDocument/2006/relationships/image" Target="media/image294.png"/><Relationship Id="rId306" Type="http://schemas.openxmlformats.org/officeDocument/2006/relationships/image" Target="media/image295.png"/><Relationship Id="rId307" Type="http://schemas.openxmlformats.org/officeDocument/2006/relationships/image" Target="media/image296.png"/><Relationship Id="rId308" Type="http://schemas.openxmlformats.org/officeDocument/2006/relationships/image" Target="media/image297.png"/><Relationship Id="rId309" Type="http://schemas.openxmlformats.org/officeDocument/2006/relationships/image" Target="media/image298.png"/><Relationship Id="rId310" Type="http://schemas.openxmlformats.org/officeDocument/2006/relationships/image" Target="media/image299.png"/><Relationship Id="rId311" Type="http://schemas.openxmlformats.org/officeDocument/2006/relationships/image" Target="media/image300.png"/><Relationship Id="rId312" Type="http://schemas.openxmlformats.org/officeDocument/2006/relationships/image" Target="media/image301.png"/><Relationship Id="rId313" Type="http://schemas.openxmlformats.org/officeDocument/2006/relationships/image" Target="media/image302.png"/><Relationship Id="rId314" Type="http://schemas.openxmlformats.org/officeDocument/2006/relationships/image" Target="media/image303.png"/><Relationship Id="rId315" Type="http://schemas.openxmlformats.org/officeDocument/2006/relationships/image" Target="media/image304.png"/><Relationship Id="rId316" Type="http://schemas.openxmlformats.org/officeDocument/2006/relationships/image" Target="media/image305.png"/><Relationship Id="rId317" Type="http://schemas.openxmlformats.org/officeDocument/2006/relationships/image" Target="media/image306.png"/><Relationship Id="rId318" Type="http://schemas.openxmlformats.org/officeDocument/2006/relationships/image" Target="media/image307.png"/><Relationship Id="rId319" Type="http://schemas.openxmlformats.org/officeDocument/2006/relationships/image" Target="media/image308.png"/><Relationship Id="rId320" Type="http://schemas.openxmlformats.org/officeDocument/2006/relationships/image" Target="media/image309.png"/><Relationship Id="rId321" Type="http://schemas.openxmlformats.org/officeDocument/2006/relationships/image" Target="media/image310.png"/><Relationship Id="rId322" Type="http://schemas.openxmlformats.org/officeDocument/2006/relationships/image" Target="media/image311.png"/><Relationship Id="rId323" Type="http://schemas.openxmlformats.org/officeDocument/2006/relationships/image" Target="media/image312.png"/><Relationship Id="rId324" Type="http://schemas.openxmlformats.org/officeDocument/2006/relationships/image" Target="media/image313.png"/><Relationship Id="rId325" Type="http://schemas.openxmlformats.org/officeDocument/2006/relationships/image" Target="media/image314.png"/><Relationship Id="rId326" Type="http://schemas.openxmlformats.org/officeDocument/2006/relationships/image" Target="media/image315.png"/><Relationship Id="rId327" Type="http://schemas.openxmlformats.org/officeDocument/2006/relationships/image" Target="media/image316.png"/><Relationship Id="rId328" Type="http://schemas.openxmlformats.org/officeDocument/2006/relationships/image" Target="media/image317.png"/><Relationship Id="rId329" Type="http://schemas.openxmlformats.org/officeDocument/2006/relationships/image" Target="media/image318.png"/><Relationship Id="rId330" Type="http://schemas.openxmlformats.org/officeDocument/2006/relationships/image" Target="media/image319.png"/><Relationship Id="rId331" Type="http://schemas.openxmlformats.org/officeDocument/2006/relationships/image" Target="media/image320.png"/><Relationship Id="rId332" Type="http://schemas.openxmlformats.org/officeDocument/2006/relationships/image" Target="media/image321.png"/><Relationship Id="rId333" Type="http://schemas.openxmlformats.org/officeDocument/2006/relationships/image" Target="media/image322.png"/><Relationship Id="rId334" Type="http://schemas.openxmlformats.org/officeDocument/2006/relationships/image" Target="media/image323.png"/><Relationship Id="rId335" Type="http://schemas.openxmlformats.org/officeDocument/2006/relationships/image" Target="media/image324.png"/><Relationship Id="rId336" Type="http://schemas.openxmlformats.org/officeDocument/2006/relationships/image" Target="media/image325.png"/><Relationship Id="rId337" Type="http://schemas.openxmlformats.org/officeDocument/2006/relationships/image" Target="media/image326.png"/><Relationship Id="rId338" Type="http://schemas.openxmlformats.org/officeDocument/2006/relationships/image" Target="media/image327.png"/><Relationship Id="rId339" Type="http://schemas.openxmlformats.org/officeDocument/2006/relationships/image" Target="media/image328.png"/><Relationship Id="rId340" Type="http://schemas.openxmlformats.org/officeDocument/2006/relationships/image" Target="media/image329.png"/><Relationship Id="rId341" Type="http://schemas.openxmlformats.org/officeDocument/2006/relationships/header" Target="header4.xml"/><Relationship Id="rId342" Type="http://schemas.openxmlformats.org/officeDocument/2006/relationships/footer" Target="footer4.xml"/><Relationship Id="rId343" Type="http://schemas.openxmlformats.org/officeDocument/2006/relationships/image" Target="media/image330.png"/><Relationship Id="rId344" Type="http://schemas.openxmlformats.org/officeDocument/2006/relationships/image" Target="media/image331.png"/><Relationship Id="rId345" Type="http://schemas.openxmlformats.org/officeDocument/2006/relationships/image" Target="media/image332.png"/><Relationship Id="rId346" Type="http://schemas.openxmlformats.org/officeDocument/2006/relationships/image" Target="media/image333.png"/><Relationship Id="rId347" Type="http://schemas.openxmlformats.org/officeDocument/2006/relationships/image" Target="media/image334.png"/><Relationship Id="rId348" Type="http://schemas.openxmlformats.org/officeDocument/2006/relationships/image" Target="media/image335.png"/><Relationship Id="rId349" Type="http://schemas.openxmlformats.org/officeDocument/2006/relationships/image" Target="media/image336.png"/><Relationship Id="rId350" Type="http://schemas.openxmlformats.org/officeDocument/2006/relationships/image" Target="media/image337.png"/><Relationship Id="rId351" Type="http://schemas.openxmlformats.org/officeDocument/2006/relationships/image" Target="media/image338.png"/><Relationship Id="rId352" Type="http://schemas.openxmlformats.org/officeDocument/2006/relationships/image" Target="media/image339.png"/><Relationship Id="rId353" Type="http://schemas.openxmlformats.org/officeDocument/2006/relationships/image" Target="media/image340.png"/><Relationship Id="rId354" Type="http://schemas.openxmlformats.org/officeDocument/2006/relationships/image" Target="media/image341.png"/><Relationship Id="rId355" Type="http://schemas.openxmlformats.org/officeDocument/2006/relationships/image" Target="media/image342.png"/><Relationship Id="rId356" Type="http://schemas.openxmlformats.org/officeDocument/2006/relationships/image" Target="media/image343.png"/><Relationship Id="rId357" Type="http://schemas.openxmlformats.org/officeDocument/2006/relationships/image" Target="media/image344.png"/><Relationship Id="rId358" Type="http://schemas.openxmlformats.org/officeDocument/2006/relationships/image" Target="media/image345.png"/><Relationship Id="rId359" Type="http://schemas.openxmlformats.org/officeDocument/2006/relationships/image" Target="media/image346.png"/><Relationship Id="rId360" Type="http://schemas.openxmlformats.org/officeDocument/2006/relationships/image" Target="media/image347.png"/><Relationship Id="rId361" Type="http://schemas.openxmlformats.org/officeDocument/2006/relationships/image" Target="media/image348.png"/><Relationship Id="rId362" Type="http://schemas.openxmlformats.org/officeDocument/2006/relationships/image" Target="media/image349.png"/><Relationship Id="rId363" Type="http://schemas.openxmlformats.org/officeDocument/2006/relationships/image" Target="media/image350.png"/><Relationship Id="rId364" Type="http://schemas.openxmlformats.org/officeDocument/2006/relationships/image" Target="media/image351.png"/><Relationship Id="rId365" Type="http://schemas.openxmlformats.org/officeDocument/2006/relationships/image" Target="media/image352.png"/><Relationship Id="rId366" Type="http://schemas.openxmlformats.org/officeDocument/2006/relationships/image" Target="media/image353.png"/><Relationship Id="rId367" Type="http://schemas.openxmlformats.org/officeDocument/2006/relationships/image" Target="media/image354.png"/><Relationship Id="rId368" Type="http://schemas.openxmlformats.org/officeDocument/2006/relationships/image" Target="media/image355.png"/><Relationship Id="rId369" Type="http://schemas.openxmlformats.org/officeDocument/2006/relationships/image" Target="media/image356.png"/><Relationship Id="rId370" Type="http://schemas.openxmlformats.org/officeDocument/2006/relationships/image" Target="media/image357.png"/><Relationship Id="rId371" Type="http://schemas.openxmlformats.org/officeDocument/2006/relationships/image" Target="media/image358.png"/><Relationship Id="rId372" Type="http://schemas.openxmlformats.org/officeDocument/2006/relationships/image" Target="media/image359.png"/><Relationship Id="rId373" Type="http://schemas.openxmlformats.org/officeDocument/2006/relationships/image" Target="media/image360.png"/><Relationship Id="rId374" Type="http://schemas.openxmlformats.org/officeDocument/2006/relationships/image" Target="media/image361.png"/><Relationship Id="rId375" Type="http://schemas.openxmlformats.org/officeDocument/2006/relationships/image" Target="media/image362.png"/><Relationship Id="rId376" Type="http://schemas.openxmlformats.org/officeDocument/2006/relationships/image" Target="media/image363.png"/><Relationship Id="rId377" Type="http://schemas.openxmlformats.org/officeDocument/2006/relationships/image" Target="media/image364.png"/><Relationship Id="rId378" Type="http://schemas.openxmlformats.org/officeDocument/2006/relationships/image" Target="media/image365.png"/><Relationship Id="rId379" Type="http://schemas.openxmlformats.org/officeDocument/2006/relationships/image" Target="media/image366.png"/><Relationship Id="rId380" Type="http://schemas.openxmlformats.org/officeDocument/2006/relationships/image" Target="media/image367.png"/><Relationship Id="rId381" Type="http://schemas.openxmlformats.org/officeDocument/2006/relationships/image" Target="media/image368.png"/><Relationship Id="rId382" Type="http://schemas.openxmlformats.org/officeDocument/2006/relationships/image" Target="media/image369.png"/><Relationship Id="rId383" Type="http://schemas.openxmlformats.org/officeDocument/2006/relationships/image" Target="media/image370.png"/><Relationship Id="rId384" Type="http://schemas.openxmlformats.org/officeDocument/2006/relationships/image" Target="media/image371.png"/><Relationship Id="rId385" Type="http://schemas.openxmlformats.org/officeDocument/2006/relationships/image" Target="media/image372.png"/><Relationship Id="rId386" Type="http://schemas.openxmlformats.org/officeDocument/2006/relationships/image" Target="media/image373.png"/><Relationship Id="rId387" Type="http://schemas.openxmlformats.org/officeDocument/2006/relationships/image" Target="media/image374.png"/><Relationship Id="rId388" Type="http://schemas.openxmlformats.org/officeDocument/2006/relationships/image" Target="media/image375.png"/><Relationship Id="rId389" Type="http://schemas.openxmlformats.org/officeDocument/2006/relationships/image" Target="media/image376.png"/><Relationship Id="rId390" Type="http://schemas.openxmlformats.org/officeDocument/2006/relationships/image" Target="media/image377.png"/><Relationship Id="rId391" Type="http://schemas.openxmlformats.org/officeDocument/2006/relationships/image" Target="media/image378.png"/><Relationship Id="rId392" Type="http://schemas.openxmlformats.org/officeDocument/2006/relationships/image" Target="media/image379.png"/><Relationship Id="rId393" Type="http://schemas.openxmlformats.org/officeDocument/2006/relationships/image" Target="media/image380.png"/><Relationship Id="rId394" Type="http://schemas.openxmlformats.org/officeDocument/2006/relationships/image" Target="media/image381.png"/><Relationship Id="rId395" Type="http://schemas.openxmlformats.org/officeDocument/2006/relationships/image" Target="media/image382.png"/><Relationship Id="rId396" Type="http://schemas.openxmlformats.org/officeDocument/2006/relationships/image" Target="media/image383.png"/><Relationship Id="rId397" Type="http://schemas.openxmlformats.org/officeDocument/2006/relationships/image" Target="media/image384.png"/><Relationship Id="rId398" Type="http://schemas.openxmlformats.org/officeDocument/2006/relationships/image" Target="media/image385.png"/><Relationship Id="rId399" Type="http://schemas.openxmlformats.org/officeDocument/2006/relationships/image" Target="media/image386.png"/><Relationship Id="rId400" Type="http://schemas.openxmlformats.org/officeDocument/2006/relationships/header" Target="header5.xml"/><Relationship Id="rId401" Type="http://schemas.openxmlformats.org/officeDocument/2006/relationships/footer" Target="footer5.xml"/><Relationship Id="rId402" Type="http://schemas.openxmlformats.org/officeDocument/2006/relationships/image" Target="media/image387.png"/><Relationship Id="rId403" Type="http://schemas.openxmlformats.org/officeDocument/2006/relationships/image" Target="media/image388.png"/><Relationship Id="rId404" Type="http://schemas.openxmlformats.org/officeDocument/2006/relationships/header" Target="header6.xml"/><Relationship Id="rId405" Type="http://schemas.openxmlformats.org/officeDocument/2006/relationships/footer" Target="footer6.xml"/><Relationship Id="rId406" Type="http://schemas.openxmlformats.org/officeDocument/2006/relationships/image" Target="media/image389.png"/><Relationship Id="rId407" Type="http://schemas.openxmlformats.org/officeDocument/2006/relationships/image" Target="media/image390.png"/><Relationship Id="rId408" Type="http://schemas.openxmlformats.org/officeDocument/2006/relationships/image" Target="media/image391.png"/><Relationship Id="rId409" Type="http://schemas.openxmlformats.org/officeDocument/2006/relationships/image" Target="media/image392.png"/><Relationship Id="rId410" Type="http://schemas.openxmlformats.org/officeDocument/2006/relationships/image" Target="media/image393.png"/><Relationship Id="rId411" Type="http://schemas.openxmlformats.org/officeDocument/2006/relationships/image" Target="media/image394.png"/><Relationship Id="rId412" Type="http://schemas.openxmlformats.org/officeDocument/2006/relationships/image" Target="media/image395.png"/><Relationship Id="rId413" Type="http://schemas.openxmlformats.org/officeDocument/2006/relationships/image" Target="media/image396.png"/><Relationship Id="rId414" Type="http://schemas.openxmlformats.org/officeDocument/2006/relationships/image" Target="media/image397.png"/><Relationship Id="rId415" Type="http://schemas.openxmlformats.org/officeDocument/2006/relationships/image" Target="media/image398.png"/><Relationship Id="rId416" Type="http://schemas.openxmlformats.org/officeDocument/2006/relationships/image" Target="media/image399.png"/><Relationship Id="rId417" Type="http://schemas.openxmlformats.org/officeDocument/2006/relationships/image" Target="media/image400.png"/><Relationship Id="rId418" Type="http://schemas.openxmlformats.org/officeDocument/2006/relationships/image" Target="media/image401.png"/><Relationship Id="rId419" Type="http://schemas.openxmlformats.org/officeDocument/2006/relationships/image" Target="media/image402.png"/><Relationship Id="rId420" Type="http://schemas.openxmlformats.org/officeDocument/2006/relationships/image" Target="media/image403.png"/><Relationship Id="rId421" Type="http://schemas.openxmlformats.org/officeDocument/2006/relationships/image" Target="media/image404.png"/><Relationship Id="rId422" Type="http://schemas.openxmlformats.org/officeDocument/2006/relationships/image" Target="media/image405.png"/><Relationship Id="rId423" Type="http://schemas.openxmlformats.org/officeDocument/2006/relationships/image" Target="media/image406.png"/><Relationship Id="rId424" Type="http://schemas.openxmlformats.org/officeDocument/2006/relationships/image" Target="media/image407.png"/><Relationship Id="rId425" Type="http://schemas.openxmlformats.org/officeDocument/2006/relationships/image" Target="media/image408.png"/><Relationship Id="rId426" Type="http://schemas.openxmlformats.org/officeDocument/2006/relationships/image" Target="media/image409.png"/><Relationship Id="rId427" Type="http://schemas.openxmlformats.org/officeDocument/2006/relationships/image" Target="media/image410.png"/><Relationship Id="rId428" Type="http://schemas.openxmlformats.org/officeDocument/2006/relationships/image" Target="media/image411.png"/><Relationship Id="rId429" Type="http://schemas.openxmlformats.org/officeDocument/2006/relationships/image" Target="media/image412.png"/><Relationship Id="rId430" Type="http://schemas.openxmlformats.org/officeDocument/2006/relationships/image" Target="media/image413.png"/><Relationship Id="rId431" Type="http://schemas.openxmlformats.org/officeDocument/2006/relationships/image" Target="media/image414.png"/><Relationship Id="rId432" Type="http://schemas.openxmlformats.org/officeDocument/2006/relationships/image" Target="media/image415.png"/><Relationship Id="rId433" Type="http://schemas.openxmlformats.org/officeDocument/2006/relationships/image" Target="media/image416.png"/><Relationship Id="rId434" Type="http://schemas.openxmlformats.org/officeDocument/2006/relationships/image" Target="media/image417.png"/><Relationship Id="rId435" Type="http://schemas.openxmlformats.org/officeDocument/2006/relationships/image" Target="media/image418.png"/><Relationship Id="rId436" Type="http://schemas.openxmlformats.org/officeDocument/2006/relationships/image" Target="media/image419.png"/><Relationship Id="rId437" Type="http://schemas.openxmlformats.org/officeDocument/2006/relationships/image" Target="media/image420.png"/><Relationship Id="rId438" Type="http://schemas.openxmlformats.org/officeDocument/2006/relationships/image" Target="media/image421.png"/><Relationship Id="rId439" Type="http://schemas.openxmlformats.org/officeDocument/2006/relationships/image" Target="media/image422.png"/><Relationship Id="rId440" Type="http://schemas.openxmlformats.org/officeDocument/2006/relationships/image" Target="media/image423.png"/><Relationship Id="rId441" Type="http://schemas.openxmlformats.org/officeDocument/2006/relationships/image" Target="media/image424.png"/><Relationship Id="rId442" Type="http://schemas.openxmlformats.org/officeDocument/2006/relationships/image" Target="media/image425.png"/><Relationship Id="rId443" Type="http://schemas.openxmlformats.org/officeDocument/2006/relationships/image" Target="media/image426.png"/><Relationship Id="rId444" Type="http://schemas.openxmlformats.org/officeDocument/2006/relationships/image" Target="media/image427.png"/><Relationship Id="rId445" Type="http://schemas.openxmlformats.org/officeDocument/2006/relationships/image" Target="media/image428.png"/><Relationship Id="rId446" Type="http://schemas.openxmlformats.org/officeDocument/2006/relationships/image" Target="media/image429.png"/><Relationship Id="rId447" Type="http://schemas.openxmlformats.org/officeDocument/2006/relationships/image" Target="media/image430.png"/><Relationship Id="rId448" Type="http://schemas.openxmlformats.org/officeDocument/2006/relationships/image" Target="media/image431.png"/><Relationship Id="rId449" Type="http://schemas.openxmlformats.org/officeDocument/2006/relationships/image" Target="media/image432.png"/><Relationship Id="rId450" Type="http://schemas.openxmlformats.org/officeDocument/2006/relationships/image" Target="media/image433.png"/><Relationship Id="rId451" Type="http://schemas.openxmlformats.org/officeDocument/2006/relationships/image" Target="media/image434.png"/><Relationship Id="rId452" Type="http://schemas.openxmlformats.org/officeDocument/2006/relationships/image" Target="media/image435.png"/><Relationship Id="rId453" Type="http://schemas.openxmlformats.org/officeDocument/2006/relationships/image" Target="media/image436.png"/><Relationship Id="rId454" Type="http://schemas.openxmlformats.org/officeDocument/2006/relationships/image" Target="media/image437.png"/><Relationship Id="rId455" Type="http://schemas.openxmlformats.org/officeDocument/2006/relationships/image" Target="media/image438.png"/><Relationship Id="rId456" Type="http://schemas.openxmlformats.org/officeDocument/2006/relationships/image" Target="media/image439.png"/><Relationship Id="rId457" Type="http://schemas.openxmlformats.org/officeDocument/2006/relationships/image" Target="media/image440.png"/><Relationship Id="rId458" Type="http://schemas.openxmlformats.org/officeDocument/2006/relationships/image" Target="media/image441.png"/><Relationship Id="rId459" Type="http://schemas.openxmlformats.org/officeDocument/2006/relationships/image" Target="media/image442.png"/><Relationship Id="rId460" Type="http://schemas.openxmlformats.org/officeDocument/2006/relationships/image" Target="media/image443.png"/><Relationship Id="rId461" Type="http://schemas.openxmlformats.org/officeDocument/2006/relationships/image" Target="media/image444.png"/><Relationship Id="rId462" Type="http://schemas.openxmlformats.org/officeDocument/2006/relationships/image" Target="media/image445.png"/><Relationship Id="rId463" Type="http://schemas.openxmlformats.org/officeDocument/2006/relationships/image" Target="media/image446.png"/><Relationship Id="rId464" Type="http://schemas.openxmlformats.org/officeDocument/2006/relationships/image" Target="media/image447.png"/><Relationship Id="rId465" Type="http://schemas.openxmlformats.org/officeDocument/2006/relationships/image" Target="media/image448.png"/><Relationship Id="rId466" Type="http://schemas.openxmlformats.org/officeDocument/2006/relationships/image" Target="media/image449.png"/><Relationship Id="rId467" Type="http://schemas.openxmlformats.org/officeDocument/2006/relationships/image" Target="media/image450.png"/><Relationship Id="rId468" Type="http://schemas.openxmlformats.org/officeDocument/2006/relationships/image" Target="media/image451.png"/><Relationship Id="rId469" Type="http://schemas.openxmlformats.org/officeDocument/2006/relationships/image" Target="media/image452.png"/><Relationship Id="rId470" Type="http://schemas.openxmlformats.org/officeDocument/2006/relationships/image" Target="media/image453.png"/><Relationship Id="rId471" Type="http://schemas.openxmlformats.org/officeDocument/2006/relationships/image" Target="media/image454.png"/><Relationship Id="rId472" Type="http://schemas.openxmlformats.org/officeDocument/2006/relationships/image" Target="media/image455.png"/><Relationship Id="rId473" Type="http://schemas.openxmlformats.org/officeDocument/2006/relationships/image" Target="media/image456.png"/><Relationship Id="rId474" Type="http://schemas.openxmlformats.org/officeDocument/2006/relationships/image" Target="media/image457.png"/><Relationship Id="rId475" Type="http://schemas.openxmlformats.org/officeDocument/2006/relationships/image" Target="media/image458.png"/><Relationship Id="rId476" Type="http://schemas.openxmlformats.org/officeDocument/2006/relationships/image" Target="media/image459.png"/><Relationship Id="rId477" Type="http://schemas.openxmlformats.org/officeDocument/2006/relationships/image" Target="media/image460.png"/><Relationship Id="rId478" Type="http://schemas.openxmlformats.org/officeDocument/2006/relationships/image" Target="media/image461.png"/><Relationship Id="rId479" Type="http://schemas.openxmlformats.org/officeDocument/2006/relationships/image" Target="media/image462.png"/><Relationship Id="rId480" Type="http://schemas.openxmlformats.org/officeDocument/2006/relationships/image" Target="media/image463.png"/><Relationship Id="rId481" Type="http://schemas.openxmlformats.org/officeDocument/2006/relationships/image" Target="media/image464.png"/><Relationship Id="rId482" Type="http://schemas.openxmlformats.org/officeDocument/2006/relationships/image" Target="media/image465.png"/><Relationship Id="rId483" Type="http://schemas.openxmlformats.org/officeDocument/2006/relationships/image" Target="media/image466.png"/><Relationship Id="rId484" Type="http://schemas.openxmlformats.org/officeDocument/2006/relationships/image" Target="media/image467.png"/><Relationship Id="rId485" Type="http://schemas.openxmlformats.org/officeDocument/2006/relationships/image" Target="media/image468.png"/><Relationship Id="rId486" Type="http://schemas.openxmlformats.org/officeDocument/2006/relationships/image" Target="media/image469.png"/><Relationship Id="rId487" Type="http://schemas.openxmlformats.org/officeDocument/2006/relationships/image" Target="media/image470.png"/><Relationship Id="rId488" Type="http://schemas.openxmlformats.org/officeDocument/2006/relationships/image" Target="media/image471.png"/><Relationship Id="rId489" Type="http://schemas.openxmlformats.org/officeDocument/2006/relationships/image" Target="media/image472.png"/><Relationship Id="rId490" Type="http://schemas.openxmlformats.org/officeDocument/2006/relationships/image" Target="media/image473.png"/><Relationship Id="rId491" Type="http://schemas.openxmlformats.org/officeDocument/2006/relationships/image" Target="media/image474.png"/><Relationship Id="rId492" Type="http://schemas.openxmlformats.org/officeDocument/2006/relationships/image" Target="media/image475.png"/><Relationship Id="rId493" Type="http://schemas.openxmlformats.org/officeDocument/2006/relationships/image" Target="media/image476.png"/><Relationship Id="rId494" Type="http://schemas.openxmlformats.org/officeDocument/2006/relationships/image" Target="media/image477.png"/><Relationship Id="rId495" Type="http://schemas.openxmlformats.org/officeDocument/2006/relationships/image" Target="media/image478.png"/><Relationship Id="rId496" Type="http://schemas.openxmlformats.org/officeDocument/2006/relationships/image" Target="media/image479.png"/><Relationship Id="rId497" Type="http://schemas.openxmlformats.org/officeDocument/2006/relationships/image" Target="media/image480.png"/><Relationship Id="rId498" Type="http://schemas.openxmlformats.org/officeDocument/2006/relationships/image" Target="media/image481.png"/><Relationship Id="rId499" Type="http://schemas.openxmlformats.org/officeDocument/2006/relationships/image" Target="media/image482.png"/><Relationship Id="rId500" Type="http://schemas.openxmlformats.org/officeDocument/2006/relationships/image" Target="media/image483.png"/><Relationship Id="rId501" Type="http://schemas.openxmlformats.org/officeDocument/2006/relationships/image" Target="media/image484.png"/><Relationship Id="rId502" Type="http://schemas.openxmlformats.org/officeDocument/2006/relationships/image" Target="media/image485.png"/><Relationship Id="rId503" Type="http://schemas.openxmlformats.org/officeDocument/2006/relationships/image" Target="media/image486.png"/><Relationship Id="rId504" Type="http://schemas.openxmlformats.org/officeDocument/2006/relationships/image" Target="media/image487.png"/><Relationship Id="rId505" Type="http://schemas.openxmlformats.org/officeDocument/2006/relationships/image" Target="media/image488.png"/><Relationship Id="rId506" Type="http://schemas.openxmlformats.org/officeDocument/2006/relationships/image" Target="media/image489.png"/><Relationship Id="rId507" Type="http://schemas.openxmlformats.org/officeDocument/2006/relationships/image" Target="media/image490.png"/><Relationship Id="rId508" Type="http://schemas.openxmlformats.org/officeDocument/2006/relationships/image" Target="media/image491.png"/><Relationship Id="rId509" Type="http://schemas.openxmlformats.org/officeDocument/2006/relationships/image" Target="media/image492.png"/><Relationship Id="rId510" Type="http://schemas.openxmlformats.org/officeDocument/2006/relationships/image" Target="media/image493.png"/><Relationship Id="rId511" Type="http://schemas.openxmlformats.org/officeDocument/2006/relationships/image" Target="media/image494.png"/><Relationship Id="rId512" Type="http://schemas.openxmlformats.org/officeDocument/2006/relationships/image" Target="media/image495.png"/><Relationship Id="rId513" Type="http://schemas.openxmlformats.org/officeDocument/2006/relationships/image" Target="media/image496.png"/><Relationship Id="rId514" Type="http://schemas.openxmlformats.org/officeDocument/2006/relationships/image" Target="media/image497.png"/><Relationship Id="rId515" Type="http://schemas.openxmlformats.org/officeDocument/2006/relationships/image" Target="media/image498.png"/><Relationship Id="rId516" Type="http://schemas.openxmlformats.org/officeDocument/2006/relationships/image" Target="media/image499.png"/><Relationship Id="rId517" Type="http://schemas.openxmlformats.org/officeDocument/2006/relationships/image" Target="media/image500.png"/><Relationship Id="rId518" Type="http://schemas.openxmlformats.org/officeDocument/2006/relationships/image" Target="media/image501.png"/><Relationship Id="rId519" Type="http://schemas.openxmlformats.org/officeDocument/2006/relationships/image" Target="media/image502.png"/><Relationship Id="rId520" Type="http://schemas.openxmlformats.org/officeDocument/2006/relationships/header" Target="header7.xml"/><Relationship Id="rId521" Type="http://schemas.openxmlformats.org/officeDocument/2006/relationships/footer" Target="footer7.xml"/><Relationship Id="rId522" Type="http://schemas.openxmlformats.org/officeDocument/2006/relationships/image" Target="media/image503.png"/><Relationship Id="rId523" Type="http://schemas.openxmlformats.org/officeDocument/2006/relationships/image" Target="media/image504.png"/><Relationship Id="rId524" Type="http://schemas.openxmlformats.org/officeDocument/2006/relationships/image" Target="media/image505.png"/><Relationship Id="rId525" Type="http://schemas.openxmlformats.org/officeDocument/2006/relationships/image" Target="media/image506.png"/><Relationship Id="rId526" Type="http://schemas.openxmlformats.org/officeDocument/2006/relationships/image" Target="media/image507.png"/><Relationship Id="rId527" Type="http://schemas.openxmlformats.org/officeDocument/2006/relationships/image" Target="media/image508.png"/><Relationship Id="rId528" Type="http://schemas.openxmlformats.org/officeDocument/2006/relationships/image" Target="media/image509.png"/><Relationship Id="rId529" Type="http://schemas.openxmlformats.org/officeDocument/2006/relationships/image" Target="media/image510.png"/><Relationship Id="rId530" Type="http://schemas.openxmlformats.org/officeDocument/2006/relationships/image" Target="media/image511.png"/><Relationship Id="rId531" Type="http://schemas.openxmlformats.org/officeDocument/2006/relationships/image" Target="media/image512.png"/><Relationship Id="rId532" Type="http://schemas.openxmlformats.org/officeDocument/2006/relationships/image" Target="media/image513.png"/><Relationship Id="rId533" Type="http://schemas.openxmlformats.org/officeDocument/2006/relationships/image" Target="media/image514.png"/><Relationship Id="rId534" Type="http://schemas.openxmlformats.org/officeDocument/2006/relationships/image" Target="media/image515.png"/><Relationship Id="rId535" Type="http://schemas.openxmlformats.org/officeDocument/2006/relationships/image" Target="media/image516.png"/><Relationship Id="rId536" Type="http://schemas.openxmlformats.org/officeDocument/2006/relationships/image" Target="media/image517.png"/><Relationship Id="rId537" Type="http://schemas.openxmlformats.org/officeDocument/2006/relationships/image" Target="media/image518.png"/><Relationship Id="rId538" Type="http://schemas.openxmlformats.org/officeDocument/2006/relationships/image" Target="media/image519.png"/><Relationship Id="rId539" Type="http://schemas.openxmlformats.org/officeDocument/2006/relationships/image" Target="media/image520.png"/><Relationship Id="rId540" Type="http://schemas.openxmlformats.org/officeDocument/2006/relationships/image" Target="media/image521.png"/><Relationship Id="rId541" Type="http://schemas.openxmlformats.org/officeDocument/2006/relationships/image" Target="media/image522.png"/><Relationship Id="rId542" Type="http://schemas.openxmlformats.org/officeDocument/2006/relationships/image" Target="media/image523.png"/><Relationship Id="rId543" Type="http://schemas.openxmlformats.org/officeDocument/2006/relationships/image" Target="media/image524.png"/><Relationship Id="rId544" Type="http://schemas.openxmlformats.org/officeDocument/2006/relationships/image" Target="media/image525.png"/><Relationship Id="rId545" Type="http://schemas.openxmlformats.org/officeDocument/2006/relationships/image" Target="media/image526.png"/><Relationship Id="rId546" Type="http://schemas.openxmlformats.org/officeDocument/2006/relationships/image" Target="media/image527.png"/><Relationship Id="rId547" Type="http://schemas.openxmlformats.org/officeDocument/2006/relationships/image" Target="media/image528.png"/><Relationship Id="rId548" Type="http://schemas.openxmlformats.org/officeDocument/2006/relationships/image" Target="media/image529.png"/><Relationship Id="rId549" Type="http://schemas.openxmlformats.org/officeDocument/2006/relationships/image" Target="media/image530.png"/><Relationship Id="rId550" Type="http://schemas.openxmlformats.org/officeDocument/2006/relationships/image" Target="media/image531.png"/><Relationship Id="rId551" Type="http://schemas.openxmlformats.org/officeDocument/2006/relationships/image" Target="media/image532.png"/><Relationship Id="rId552" Type="http://schemas.openxmlformats.org/officeDocument/2006/relationships/image" Target="media/image533.png"/><Relationship Id="rId553" Type="http://schemas.openxmlformats.org/officeDocument/2006/relationships/image" Target="media/image534.png"/><Relationship Id="rId554" Type="http://schemas.openxmlformats.org/officeDocument/2006/relationships/image" Target="media/image535.png"/><Relationship Id="rId555" Type="http://schemas.openxmlformats.org/officeDocument/2006/relationships/image" Target="media/image536.png"/><Relationship Id="rId556" Type="http://schemas.openxmlformats.org/officeDocument/2006/relationships/image" Target="media/image537.png"/><Relationship Id="rId557" Type="http://schemas.openxmlformats.org/officeDocument/2006/relationships/image" Target="media/image538.png"/><Relationship Id="rId558" Type="http://schemas.openxmlformats.org/officeDocument/2006/relationships/image" Target="media/image539.png"/><Relationship Id="rId559" Type="http://schemas.openxmlformats.org/officeDocument/2006/relationships/image" Target="media/image540.png"/><Relationship Id="rId560" Type="http://schemas.openxmlformats.org/officeDocument/2006/relationships/image" Target="media/image541.png"/><Relationship Id="rId561" Type="http://schemas.openxmlformats.org/officeDocument/2006/relationships/image" Target="media/image542.png"/><Relationship Id="rId562" Type="http://schemas.openxmlformats.org/officeDocument/2006/relationships/image" Target="media/image543.png"/><Relationship Id="rId563" Type="http://schemas.openxmlformats.org/officeDocument/2006/relationships/image" Target="media/image544.png"/><Relationship Id="rId564" Type="http://schemas.openxmlformats.org/officeDocument/2006/relationships/image" Target="media/image545.png"/><Relationship Id="rId565" Type="http://schemas.openxmlformats.org/officeDocument/2006/relationships/image" Target="media/image546.png"/><Relationship Id="rId566" Type="http://schemas.openxmlformats.org/officeDocument/2006/relationships/image" Target="media/image547.png"/><Relationship Id="rId567" Type="http://schemas.openxmlformats.org/officeDocument/2006/relationships/image" Target="media/image548.png"/><Relationship Id="rId568" Type="http://schemas.openxmlformats.org/officeDocument/2006/relationships/image" Target="media/image549.png"/><Relationship Id="rId569" Type="http://schemas.openxmlformats.org/officeDocument/2006/relationships/image" Target="media/image550.png"/><Relationship Id="rId570" Type="http://schemas.openxmlformats.org/officeDocument/2006/relationships/header" Target="header8.xml"/><Relationship Id="rId571" Type="http://schemas.openxmlformats.org/officeDocument/2006/relationships/footer" Target="footer8.xml"/><Relationship Id="rId572" Type="http://schemas.openxmlformats.org/officeDocument/2006/relationships/image" Target="media/image551.png"/><Relationship Id="rId573" Type="http://schemas.openxmlformats.org/officeDocument/2006/relationships/image" Target="media/image552.png"/><Relationship Id="rId574" Type="http://schemas.openxmlformats.org/officeDocument/2006/relationships/header" Target="header9.xml"/><Relationship Id="rId575" Type="http://schemas.openxmlformats.org/officeDocument/2006/relationships/footer" Target="footer9.xml"/><Relationship Id="rId576" Type="http://schemas.openxmlformats.org/officeDocument/2006/relationships/image" Target="media/image553.png"/><Relationship Id="rId577" Type="http://schemas.openxmlformats.org/officeDocument/2006/relationships/image" Target="media/image554.png"/><Relationship Id="rId578" Type="http://schemas.openxmlformats.org/officeDocument/2006/relationships/image" Target="media/image555.png"/><Relationship Id="rId579" Type="http://schemas.openxmlformats.org/officeDocument/2006/relationships/image" Target="media/image556.png"/><Relationship Id="rId580" Type="http://schemas.openxmlformats.org/officeDocument/2006/relationships/image" Target="media/image557.png"/><Relationship Id="rId581" Type="http://schemas.openxmlformats.org/officeDocument/2006/relationships/image" Target="media/image558.png"/><Relationship Id="rId582" Type="http://schemas.openxmlformats.org/officeDocument/2006/relationships/image" Target="media/image559.png"/><Relationship Id="rId583" Type="http://schemas.openxmlformats.org/officeDocument/2006/relationships/image" Target="media/image560.png"/><Relationship Id="rId584" Type="http://schemas.openxmlformats.org/officeDocument/2006/relationships/image" Target="media/image561.png"/><Relationship Id="rId585" Type="http://schemas.openxmlformats.org/officeDocument/2006/relationships/image" Target="media/image562.png"/><Relationship Id="rId586" Type="http://schemas.openxmlformats.org/officeDocument/2006/relationships/image" Target="media/image563.png"/><Relationship Id="rId587" Type="http://schemas.openxmlformats.org/officeDocument/2006/relationships/image" Target="media/image564.png"/><Relationship Id="rId588" Type="http://schemas.openxmlformats.org/officeDocument/2006/relationships/image" Target="media/image565.png"/><Relationship Id="rId589" Type="http://schemas.openxmlformats.org/officeDocument/2006/relationships/image" Target="media/image566.png"/><Relationship Id="rId590" Type="http://schemas.openxmlformats.org/officeDocument/2006/relationships/image" Target="media/image567.png"/><Relationship Id="rId591" Type="http://schemas.openxmlformats.org/officeDocument/2006/relationships/image" Target="media/image568.png"/><Relationship Id="rId592" Type="http://schemas.openxmlformats.org/officeDocument/2006/relationships/image" Target="media/image569.png"/><Relationship Id="rId593" Type="http://schemas.openxmlformats.org/officeDocument/2006/relationships/image" Target="media/image570.png"/><Relationship Id="rId594" Type="http://schemas.openxmlformats.org/officeDocument/2006/relationships/image" Target="media/image571.png"/><Relationship Id="rId595" Type="http://schemas.openxmlformats.org/officeDocument/2006/relationships/image" Target="media/image572.png"/><Relationship Id="rId596" Type="http://schemas.openxmlformats.org/officeDocument/2006/relationships/image" Target="media/image573.png"/><Relationship Id="rId597" Type="http://schemas.openxmlformats.org/officeDocument/2006/relationships/image" Target="media/image574.png"/><Relationship Id="rId598" Type="http://schemas.openxmlformats.org/officeDocument/2006/relationships/image" Target="media/image575.png"/><Relationship Id="rId599" Type="http://schemas.openxmlformats.org/officeDocument/2006/relationships/image" Target="media/image576.png"/><Relationship Id="rId600" Type="http://schemas.openxmlformats.org/officeDocument/2006/relationships/image" Target="media/image577.png"/><Relationship Id="rId601" Type="http://schemas.openxmlformats.org/officeDocument/2006/relationships/image" Target="media/image578.png"/><Relationship Id="rId602" Type="http://schemas.openxmlformats.org/officeDocument/2006/relationships/image" Target="media/image579.png"/><Relationship Id="rId603" Type="http://schemas.openxmlformats.org/officeDocument/2006/relationships/image" Target="media/image580.png"/><Relationship Id="rId604" Type="http://schemas.openxmlformats.org/officeDocument/2006/relationships/image" Target="media/image581.png"/><Relationship Id="rId605" Type="http://schemas.openxmlformats.org/officeDocument/2006/relationships/image" Target="media/image582.png"/><Relationship Id="rId606" Type="http://schemas.openxmlformats.org/officeDocument/2006/relationships/image" Target="media/image583.png"/><Relationship Id="rId607" Type="http://schemas.openxmlformats.org/officeDocument/2006/relationships/image" Target="media/image584.png"/><Relationship Id="rId608" Type="http://schemas.openxmlformats.org/officeDocument/2006/relationships/image" Target="media/image585.png"/><Relationship Id="rId609" Type="http://schemas.openxmlformats.org/officeDocument/2006/relationships/image" Target="media/image586.png"/><Relationship Id="rId610" Type="http://schemas.openxmlformats.org/officeDocument/2006/relationships/image" Target="media/image587.png"/><Relationship Id="rId611" Type="http://schemas.openxmlformats.org/officeDocument/2006/relationships/image" Target="media/image588.png"/><Relationship Id="rId612" Type="http://schemas.openxmlformats.org/officeDocument/2006/relationships/image" Target="media/image589.png"/><Relationship Id="rId613" Type="http://schemas.openxmlformats.org/officeDocument/2006/relationships/image" Target="media/image590.png"/><Relationship Id="rId614" Type="http://schemas.openxmlformats.org/officeDocument/2006/relationships/image" Target="media/image591.png"/><Relationship Id="rId615" Type="http://schemas.openxmlformats.org/officeDocument/2006/relationships/image" Target="media/image592.png"/><Relationship Id="rId616" Type="http://schemas.openxmlformats.org/officeDocument/2006/relationships/image" Target="media/image593.png"/><Relationship Id="rId617" Type="http://schemas.openxmlformats.org/officeDocument/2006/relationships/image" Target="media/image594.png"/><Relationship Id="rId618" Type="http://schemas.openxmlformats.org/officeDocument/2006/relationships/image" Target="media/image595.png"/><Relationship Id="rId619" Type="http://schemas.openxmlformats.org/officeDocument/2006/relationships/image" Target="media/image596.png"/><Relationship Id="rId620" Type="http://schemas.openxmlformats.org/officeDocument/2006/relationships/image" Target="media/image597.png"/><Relationship Id="rId621" Type="http://schemas.openxmlformats.org/officeDocument/2006/relationships/image" Target="media/image598.png"/><Relationship Id="rId622" Type="http://schemas.openxmlformats.org/officeDocument/2006/relationships/image" Target="media/image599.png"/><Relationship Id="rId623" Type="http://schemas.openxmlformats.org/officeDocument/2006/relationships/image" Target="media/image600.png"/><Relationship Id="rId624" Type="http://schemas.openxmlformats.org/officeDocument/2006/relationships/image" Target="media/image601.png"/><Relationship Id="rId625" Type="http://schemas.openxmlformats.org/officeDocument/2006/relationships/image" Target="media/image602.png"/><Relationship Id="rId626" Type="http://schemas.openxmlformats.org/officeDocument/2006/relationships/image" Target="media/image603.png"/><Relationship Id="rId627" Type="http://schemas.openxmlformats.org/officeDocument/2006/relationships/image" Target="media/image604.png"/><Relationship Id="rId628" Type="http://schemas.openxmlformats.org/officeDocument/2006/relationships/image" Target="media/image605.png"/><Relationship Id="rId629" Type="http://schemas.openxmlformats.org/officeDocument/2006/relationships/image" Target="media/image606.png"/><Relationship Id="rId630" Type="http://schemas.openxmlformats.org/officeDocument/2006/relationships/image" Target="media/image607.png"/><Relationship Id="rId631" Type="http://schemas.openxmlformats.org/officeDocument/2006/relationships/image" Target="media/image608.png"/><Relationship Id="rId632" Type="http://schemas.openxmlformats.org/officeDocument/2006/relationships/image" Target="media/image609.png"/><Relationship Id="rId633" Type="http://schemas.openxmlformats.org/officeDocument/2006/relationships/image" Target="media/image610.png"/><Relationship Id="rId634" Type="http://schemas.openxmlformats.org/officeDocument/2006/relationships/image" Target="media/image611.png"/><Relationship Id="rId635" Type="http://schemas.openxmlformats.org/officeDocument/2006/relationships/image" Target="media/image612.png"/><Relationship Id="rId636" Type="http://schemas.openxmlformats.org/officeDocument/2006/relationships/image" Target="media/image613.png"/><Relationship Id="rId637" Type="http://schemas.openxmlformats.org/officeDocument/2006/relationships/image" Target="media/image614.png"/><Relationship Id="rId638" Type="http://schemas.openxmlformats.org/officeDocument/2006/relationships/image" Target="media/image615.png"/><Relationship Id="rId639" Type="http://schemas.openxmlformats.org/officeDocument/2006/relationships/image" Target="media/image616.png"/><Relationship Id="rId640" Type="http://schemas.openxmlformats.org/officeDocument/2006/relationships/image" Target="media/image617.png"/><Relationship Id="rId641" Type="http://schemas.openxmlformats.org/officeDocument/2006/relationships/image" Target="media/image618.png"/><Relationship Id="rId642" Type="http://schemas.openxmlformats.org/officeDocument/2006/relationships/image" Target="media/image619.png"/><Relationship Id="rId643" Type="http://schemas.openxmlformats.org/officeDocument/2006/relationships/image" Target="media/image620.png"/><Relationship Id="rId644" Type="http://schemas.openxmlformats.org/officeDocument/2006/relationships/image" Target="media/image621.png"/><Relationship Id="rId645" Type="http://schemas.openxmlformats.org/officeDocument/2006/relationships/image" Target="media/image622.png"/><Relationship Id="rId646" Type="http://schemas.openxmlformats.org/officeDocument/2006/relationships/image" Target="media/image623.png"/><Relationship Id="rId647" Type="http://schemas.openxmlformats.org/officeDocument/2006/relationships/image" Target="media/image624.png"/><Relationship Id="rId648" Type="http://schemas.openxmlformats.org/officeDocument/2006/relationships/image" Target="media/image625.png"/><Relationship Id="rId649" Type="http://schemas.openxmlformats.org/officeDocument/2006/relationships/image" Target="media/image626.png"/><Relationship Id="rId650" Type="http://schemas.openxmlformats.org/officeDocument/2006/relationships/image" Target="media/image627.png"/><Relationship Id="rId651" Type="http://schemas.openxmlformats.org/officeDocument/2006/relationships/image" Target="media/image628.png"/><Relationship Id="rId652" Type="http://schemas.openxmlformats.org/officeDocument/2006/relationships/image" Target="media/image629.png"/><Relationship Id="rId653" Type="http://schemas.openxmlformats.org/officeDocument/2006/relationships/image" Target="media/image630.png"/><Relationship Id="rId654" Type="http://schemas.openxmlformats.org/officeDocument/2006/relationships/image" Target="media/image631.png"/><Relationship Id="rId655" Type="http://schemas.openxmlformats.org/officeDocument/2006/relationships/image" Target="media/image632.png"/><Relationship Id="rId656" Type="http://schemas.openxmlformats.org/officeDocument/2006/relationships/image" Target="media/image633.png"/><Relationship Id="rId657" Type="http://schemas.openxmlformats.org/officeDocument/2006/relationships/image" Target="media/image634.png"/><Relationship Id="rId658" Type="http://schemas.openxmlformats.org/officeDocument/2006/relationships/image" Target="media/image635.png"/><Relationship Id="rId659" Type="http://schemas.openxmlformats.org/officeDocument/2006/relationships/image" Target="media/image636.png"/><Relationship Id="rId660" Type="http://schemas.openxmlformats.org/officeDocument/2006/relationships/image" Target="media/image637.png"/><Relationship Id="rId661" Type="http://schemas.openxmlformats.org/officeDocument/2006/relationships/image" Target="media/image638.png"/><Relationship Id="rId662" Type="http://schemas.openxmlformats.org/officeDocument/2006/relationships/image" Target="media/image639.png"/><Relationship Id="rId663" Type="http://schemas.openxmlformats.org/officeDocument/2006/relationships/image" Target="media/image640.png"/><Relationship Id="rId664" Type="http://schemas.openxmlformats.org/officeDocument/2006/relationships/image" Target="media/image641.png"/><Relationship Id="rId665" Type="http://schemas.openxmlformats.org/officeDocument/2006/relationships/image" Target="media/image642.png"/><Relationship Id="rId666" Type="http://schemas.openxmlformats.org/officeDocument/2006/relationships/image" Target="media/image643.png"/><Relationship Id="rId667" Type="http://schemas.openxmlformats.org/officeDocument/2006/relationships/image" Target="media/image644.png"/><Relationship Id="rId668" Type="http://schemas.openxmlformats.org/officeDocument/2006/relationships/image" Target="media/image645.png"/><Relationship Id="rId669" Type="http://schemas.openxmlformats.org/officeDocument/2006/relationships/header" Target="header10.xml"/><Relationship Id="rId670" Type="http://schemas.openxmlformats.org/officeDocument/2006/relationships/footer" Target="footer10.xml"/><Relationship Id="rId671" Type="http://schemas.openxmlformats.org/officeDocument/2006/relationships/image" Target="media/image646.png"/><Relationship Id="rId672" Type="http://schemas.openxmlformats.org/officeDocument/2006/relationships/image" Target="media/image647.png"/><Relationship Id="rId673" Type="http://schemas.openxmlformats.org/officeDocument/2006/relationships/image" Target="media/image648.png"/><Relationship Id="rId674" Type="http://schemas.openxmlformats.org/officeDocument/2006/relationships/image" Target="media/image649.png"/><Relationship Id="rId675" Type="http://schemas.openxmlformats.org/officeDocument/2006/relationships/image" Target="media/image650.png"/><Relationship Id="rId676" Type="http://schemas.openxmlformats.org/officeDocument/2006/relationships/image" Target="media/image651.png"/><Relationship Id="rId677" Type="http://schemas.openxmlformats.org/officeDocument/2006/relationships/image" Target="media/image652.png"/><Relationship Id="rId678" Type="http://schemas.openxmlformats.org/officeDocument/2006/relationships/image" Target="media/image653.png"/><Relationship Id="rId679" Type="http://schemas.openxmlformats.org/officeDocument/2006/relationships/image" Target="media/image654.png"/><Relationship Id="rId680" Type="http://schemas.openxmlformats.org/officeDocument/2006/relationships/image" Target="media/image655.png"/><Relationship Id="rId681" Type="http://schemas.openxmlformats.org/officeDocument/2006/relationships/image" Target="media/image656.png"/><Relationship Id="rId682" Type="http://schemas.openxmlformats.org/officeDocument/2006/relationships/image" Target="media/image657.png"/><Relationship Id="rId683" Type="http://schemas.openxmlformats.org/officeDocument/2006/relationships/image" Target="media/image658.png"/><Relationship Id="rId684" Type="http://schemas.openxmlformats.org/officeDocument/2006/relationships/image" Target="media/image659.png"/><Relationship Id="rId685" Type="http://schemas.openxmlformats.org/officeDocument/2006/relationships/image" Target="media/image660.png"/><Relationship Id="rId686" Type="http://schemas.openxmlformats.org/officeDocument/2006/relationships/image" Target="media/image661.png"/><Relationship Id="rId687" Type="http://schemas.openxmlformats.org/officeDocument/2006/relationships/header" Target="header11.xml"/><Relationship Id="rId688" Type="http://schemas.openxmlformats.org/officeDocument/2006/relationships/footer" Target="footer11.xml"/><Relationship Id="rId689" Type="http://schemas.openxmlformats.org/officeDocument/2006/relationships/image" Target="media/image662.png"/><Relationship Id="rId690" Type="http://schemas.openxmlformats.org/officeDocument/2006/relationships/image" Target="media/image663.png"/><Relationship Id="rId691" Type="http://schemas.openxmlformats.org/officeDocument/2006/relationships/image" Target="media/image664.png"/><Relationship Id="rId692" Type="http://schemas.openxmlformats.org/officeDocument/2006/relationships/image" Target="media/image665.png"/><Relationship Id="rId693" Type="http://schemas.openxmlformats.org/officeDocument/2006/relationships/image" Target="media/image666.png"/><Relationship Id="rId694" Type="http://schemas.openxmlformats.org/officeDocument/2006/relationships/image" Target="media/image667.png"/><Relationship Id="rId695" Type="http://schemas.openxmlformats.org/officeDocument/2006/relationships/image" Target="media/image668.png"/><Relationship Id="rId696" Type="http://schemas.openxmlformats.org/officeDocument/2006/relationships/image" Target="media/image669.png"/><Relationship Id="rId697" Type="http://schemas.openxmlformats.org/officeDocument/2006/relationships/header" Target="header12.xml"/><Relationship Id="rId698" Type="http://schemas.openxmlformats.org/officeDocument/2006/relationships/footer" Target="footer12.xml"/><Relationship Id="rId699" Type="http://schemas.openxmlformats.org/officeDocument/2006/relationships/header" Target="header13.xml"/><Relationship Id="rId700" Type="http://schemas.openxmlformats.org/officeDocument/2006/relationships/footer" Target="footer13.xml"/><Relationship Id="rId701" Type="http://schemas.openxmlformats.org/officeDocument/2006/relationships/image" Target="media/image670.png"/><Relationship Id="rId702" Type="http://schemas.openxmlformats.org/officeDocument/2006/relationships/image" Target="media/image671.png"/><Relationship Id="rId703" Type="http://schemas.openxmlformats.org/officeDocument/2006/relationships/image" Target="media/image672.png"/><Relationship Id="rId704" Type="http://schemas.openxmlformats.org/officeDocument/2006/relationships/image" Target="media/image673.png"/><Relationship Id="rId705" Type="http://schemas.openxmlformats.org/officeDocument/2006/relationships/image" Target="media/image674.png"/><Relationship Id="rId706" Type="http://schemas.openxmlformats.org/officeDocument/2006/relationships/image" Target="media/image675.png"/><Relationship Id="rId707" Type="http://schemas.openxmlformats.org/officeDocument/2006/relationships/image" Target="media/image676.png"/><Relationship Id="rId708" Type="http://schemas.openxmlformats.org/officeDocument/2006/relationships/image" Target="media/image677.png"/><Relationship Id="rId709" Type="http://schemas.openxmlformats.org/officeDocument/2006/relationships/image" Target="media/image678.png"/><Relationship Id="rId710" Type="http://schemas.openxmlformats.org/officeDocument/2006/relationships/image" Target="media/image679.png"/><Relationship Id="rId711" Type="http://schemas.openxmlformats.org/officeDocument/2006/relationships/image" Target="media/image680.png"/><Relationship Id="rId712" Type="http://schemas.openxmlformats.org/officeDocument/2006/relationships/image" Target="media/image681.png"/><Relationship Id="rId713" Type="http://schemas.openxmlformats.org/officeDocument/2006/relationships/image" Target="media/image682.png"/><Relationship Id="rId714" Type="http://schemas.openxmlformats.org/officeDocument/2006/relationships/image" Target="media/image683.png"/><Relationship Id="rId715" Type="http://schemas.openxmlformats.org/officeDocument/2006/relationships/image" Target="media/image684.png"/><Relationship Id="rId716" Type="http://schemas.openxmlformats.org/officeDocument/2006/relationships/image" Target="media/image685.png"/><Relationship Id="rId717" Type="http://schemas.openxmlformats.org/officeDocument/2006/relationships/image" Target="media/image686.png"/><Relationship Id="rId718" Type="http://schemas.openxmlformats.org/officeDocument/2006/relationships/image" Target="media/image687.png"/><Relationship Id="rId719" Type="http://schemas.openxmlformats.org/officeDocument/2006/relationships/image" Target="media/image688.png"/><Relationship Id="rId720" Type="http://schemas.openxmlformats.org/officeDocument/2006/relationships/image" Target="media/image689.png"/><Relationship Id="rId721" Type="http://schemas.openxmlformats.org/officeDocument/2006/relationships/image" Target="media/image690.png"/><Relationship Id="rId722" Type="http://schemas.openxmlformats.org/officeDocument/2006/relationships/image" Target="media/image691.png"/><Relationship Id="rId723" Type="http://schemas.openxmlformats.org/officeDocument/2006/relationships/image" Target="media/image692.png"/><Relationship Id="rId724" Type="http://schemas.openxmlformats.org/officeDocument/2006/relationships/image" Target="media/image693.png"/><Relationship Id="rId725" Type="http://schemas.openxmlformats.org/officeDocument/2006/relationships/image" Target="media/image694.png"/><Relationship Id="rId726" Type="http://schemas.openxmlformats.org/officeDocument/2006/relationships/image" Target="media/image695.png"/><Relationship Id="rId727" Type="http://schemas.openxmlformats.org/officeDocument/2006/relationships/image" Target="media/image696.png"/><Relationship Id="rId728" Type="http://schemas.openxmlformats.org/officeDocument/2006/relationships/image" Target="media/image697.png"/><Relationship Id="rId729" Type="http://schemas.openxmlformats.org/officeDocument/2006/relationships/image" Target="media/image698.png"/><Relationship Id="rId730" Type="http://schemas.openxmlformats.org/officeDocument/2006/relationships/image" Target="media/image699.png"/><Relationship Id="rId731" Type="http://schemas.openxmlformats.org/officeDocument/2006/relationships/image" Target="media/image700.png"/><Relationship Id="rId732" Type="http://schemas.openxmlformats.org/officeDocument/2006/relationships/image" Target="media/image701.png"/><Relationship Id="rId733" Type="http://schemas.openxmlformats.org/officeDocument/2006/relationships/image" Target="media/image702.png"/><Relationship Id="rId734" Type="http://schemas.openxmlformats.org/officeDocument/2006/relationships/image" Target="media/image703.png"/><Relationship Id="rId735" Type="http://schemas.openxmlformats.org/officeDocument/2006/relationships/image" Target="media/image704.png"/><Relationship Id="rId736" Type="http://schemas.openxmlformats.org/officeDocument/2006/relationships/image" Target="media/image705.png"/><Relationship Id="rId737" Type="http://schemas.openxmlformats.org/officeDocument/2006/relationships/image" Target="media/image706.png"/><Relationship Id="rId738" Type="http://schemas.openxmlformats.org/officeDocument/2006/relationships/image" Target="media/image707.png"/><Relationship Id="rId739" Type="http://schemas.openxmlformats.org/officeDocument/2006/relationships/image" Target="media/image708.png"/><Relationship Id="rId740" Type="http://schemas.openxmlformats.org/officeDocument/2006/relationships/image" Target="media/image709.png"/><Relationship Id="rId741" Type="http://schemas.openxmlformats.org/officeDocument/2006/relationships/image" Target="media/image710.png"/><Relationship Id="rId742" Type="http://schemas.openxmlformats.org/officeDocument/2006/relationships/image" Target="media/image711.png"/><Relationship Id="rId743" Type="http://schemas.openxmlformats.org/officeDocument/2006/relationships/image" Target="media/image712.png"/><Relationship Id="rId744" Type="http://schemas.openxmlformats.org/officeDocument/2006/relationships/image" Target="media/image713.png"/><Relationship Id="rId745" Type="http://schemas.openxmlformats.org/officeDocument/2006/relationships/image" Target="media/image714.png"/><Relationship Id="rId746" Type="http://schemas.openxmlformats.org/officeDocument/2006/relationships/image" Target="media/image715.png"/><Relationship Id="rId747" Type="http://schemas.openxmlformats.org/officeDocument/2006/relationships/image" Target="media/image716.png"/><Relationship Id="rId748" Type="http://schemas.openxmlformats.org/officeDocument/2006/relationships/image" Target="media/image717.png"/><Relationship Id="rId749" Type="http://schemas.openxmlformats.org/officeDocument/2006/relationships/image" Target="media/image718.png"/><Relationship Id="rId750" Type="http://schemas.openxmlformats.org/officeDocument/2006/relationships/image" Target="media/image719.png"/><Relationship Id="rId751" Type="http://schemas.openxmlformats.org/officeDocument/2006/relationships/header" Target="header14.xml"/><Relationship Id="rId752" Type="http://schemas.openxmlformats.org/officeDocument/2006/relationships/footer" Target="footer14.xml"/><Relationship Id="rId753" Type="http://schemas.openxmlformats.org/officeDocument/2006/relationships/image" Target="media/image720.png"/><Relationship Id="rId754" Type="http://schemas.openxmlformats.org/officeDocument/2006/relationships/image" Target="media/image721.png"/><Relationship Id="rId755" Type="http://schemas.openxmlformats.org/officeDocument/2006/relationships/image" Target="media/image722.png"/><Relationship Id="rId756" Type="http://schemas.openxmlformats.org/officeDocument/2006/relationships/image" Target="media/image723.png"/><Relationship Id="rId757" Type="http://schemas.openxmlformats.org/officeDocument/2006/relationships/image" Target="media/image724.png"/><Relationship Id="rId758" Type="http://schemas.openxmlformats.org/officeDocument/2006/relationships/image" Target="media/image725.png"/><Relationship Id="rId759" Type="http://schemas.openxmlformats.org/officeDocument/2006/relationships/image" Target="media/image726.png"/><Relationship Id="rId760" Type="http://schemas.openxmlformats.org/officeDocument/2006/relationships/header" Target="header15.xml"/><Relationship Id="rId761" Type="http://schemas.openxmlformats.org/officeDocument/2006/relationships/footer" Target="footer15.xml"/><Relationship Id="rId762" Type="http://schemas.openxmlformats.org/officeDocument/2006/relationships/image" Target="media/image727.png"/><Relationship Id="rId763" Type="http://schemas.openxmlformats.org/officeDocument/2006/relationships/image" Target="media/image728.png"/><Relationship Id="rId764" Type="http://schemas.openxmlformats.org/officeDocument/2006/relationships/image" Target="media/image729.png"/><Relationship Id="rId765" Type="http://schemas.openxmlformats.org/officeDocument/2006/relationships/image" Target="media/image730.png"/><Relationship Id="rId766" Type="http://schemas.openxmlformats.org/officeDocument/2006/relationships/image" Target="media/image731.png"/><Relationship Id="rId767" Type="http://schemas.openxmlformats.org/officeDocument/2006/relationships/image" Target="media/image732.png"/><Relationship Id="rId768" Type="http://schemas.openxmlformats.org/officeDocument/2006/relationships/header" Target="header16.xml"/><Relationship Id="rId769" Type="http://schemas.openxmlformats.org/officeDocument/2006/relationships/footer" Target="footer16.xml"/><Relationship Id="rId770" Type="http://schemas.openxmlformats.org/officeDocument/2006/relationships/header" Target="header17.xml"/><Relationship Id="rId771" Type="http://schemas.openxmlformats.org/officeDocument/2006/relationships/footer" Target="footer17.xml"/><Relationship Id="rId772" Type="http://schemas.openxmlformats.org/officeDocument/2006/relationships/image" Target="media/image733.png"/><Relationship Id="rId773" Type="http://schemas.openxmlformats.org/officeDocument/2006/relationships/image" Target="media/image734.png"/><Relationship Id="rId774" Type="http://schemas.openxmlformats.org/officeDocument/2006/relationships/image" Target="media/image735.png"/><Relationship Id="rId775" Type="http://schemas.openxmlformats.org/officeDocument/2006/relationships/image" Target="media/image736.png"/><Relationship Id="rId776" Type="http://schemas.openxmlformats.org/officeDocument/2006/relationships/image" Target="media/image737.png"/><Relationship Id="rId777" Type="http://schemas.openxmlformats.org/officeDocument/2006/relationships/image" Target="media/image738.png"/><Relationship Id="rId778" Type="http://schemas.openxmlformats.org/officeDocument/2006/relationships/image" Target="media/image739.png"/><Relationship Id="rId779" Type="http://schemas.openxmlformats.org/officeDocument/2006/relationships/image" Target="media/image740.png"/><Relationship Id="rId780" Type="http://schemas.openxmlformats.org/officeDocument/2006/relationships/image" Target="media/image741.png"/><Relationship Id="rId781" Type="http://schemas.openxmlformats.org/officeDocument/2006/relationships/image" Target="media/image742.png"/><Relationship Id="rId782" Type="http://schemas.openxmlformats.org/officeDocument/2006/relationships/image" Target="media/image743.png"/><Relationship Id="rId783" Type="http://schemas.openxmlformats.org/officeDocument/2006/relationships/image" Target="media/image744.png"/><Relationship Id="rId784" Type="http://schemas.openxmlformats.org/officeDocument/2006/relationships/image" Target="media/image745.png"/><Relationship Id="rId785" Type="http://schemas.openxmlformats.org/officeDocument/2006/relationships/image" Target="media/image746.png"/><Relationship Id="rId786" Type="http://schemas.openxmlformats.org/officeDocument/2006/relationships/image" Target="media/image747.png"/><Relationship Id="rId787" Type="http://schemas.openxmlformats.org/officeDocument/2006/relationships/image" Target="media/image748.png"/><Relationship Id="rId788" Type="http://schemas.openxmlformats.org/officeDocument/2006/relationships/image" Target="media/image749.png"/><Relationship Id="rId789" Type="http://schemas.openxmlformats.org/officeDocument/2006/relationships/image" Target="media/image750.png"/><Relationship Id="rId790" Type="http://schemas.openxmlformats.org/officeDocument/2006/relationships/image" Target="media/image751.png"/><Relationship Id="rId791" Type="http://schemas.openxmlformats.org/officeDocument/2006/relationships/image" Target="media/image752.png"/><Relationship Id="rId792" Type="http://schemas.openxmlformats.org/officeDocument/2006/relationships/header" Target="header18.xml"/><Relationship Id="rId793" Type="http://schemas.openxmlformats.org/officeDocument/2006/relationships/footer" Target="footer18.xml"/><Relationship Id="rId794" Type="http://schemas.openxmlformats.org/officeDocument/2006/relationships/image" Target="media/image753.png"/><Relationship Id="rId795" Type="http://schemas.openxmlformats.org/officeDocument/2006/relationships/image" Target="media/image754.png"/><Relationship Id="rId796" Type="http://schemas.openxmlformats.org/officeDocument/2006/relationships/image" Target="media/image755.png"/><Relationship Id="rId797" Type="http://schemas.openxmlformats.org/officeDocument/2006/relationships/image" Target="media/image756.png"/><Relationship Id="rId798" Type="http://schemas.openxmlformats.org/officeDocument/2006/relationships/image" Target="media/image757.png"/><Relationship Id="rId799" Type="http://schemas.openxmlformats.org/officeDocument/2006/relationships/image" Target="media/image758.png"/><Relationship Id="rId800" Type="http://schemas.openxmlformats.org/officeDocument/2006/relationships/image" Target="media/image759.png"/><Relationship Id="rId801" Type="http://schemas.openxmlformats.org/officeDocument/2006/relationships/image" Target="media/image760.png"/><Relationship Id="rId802" Type="http://schemas.openxmlformats.org/officeDocument/2006/relationships/image" Target="media/image761.png"/><Relationship Id="rId803" Type="http://schemas.openxmlformats.org/officeDocument/2006/relationships/image" Target="media/image762.png"/><Relationship Id="rId804" Type="http://schemas.openxmlformats.org/officeDocument/2006/relationships/image" Target="media/image763.png"/><Relationship Id="rId805" Type="http://schemas.openxmlformats.org/officeDocument/2006/relationships/image" Target="media/image764.png"/><Relationship Id="rId806" Type="http://schemas.openxmlformats.org/officeDocument/2006/relationships/image" Target="media/image765.png"/><Relationship Id="rId807" Type="http://schemas.openxmlformats.org/officeDocument/2006/relationships/image" Target="media/image766.png"/><Relationship Id="rId808" Type="http://schemas.openxmlformats.org/officeDocument/2006/relationships/image" Target="media/image767.png"/><Relationship Id="rId809" Type="http://schemas.openxmlformats.org/officeDocument/2006/relationships/image" Target="media/image768.png"/><Relationship Id="rId810" Type="http://schemas.openxmlformats.org/officeDocument/2006/relationships/image" Target="media/image769.png"/><Relationship Id="rId811" Type="http://schemas.openxmlformats.org/officeDocument/2006/relationships/image" Target="media/image770.png"/><Relationship Id="rId812" Type="http://schemas.openxmlformats.org/officeDocument/2006/relationships/image" Target="media/image771.png"/><Relationship Id="rId813" Type="http://schemas.openxmlformats.org/officeDocument/2006/relationships/image" Target="media/image772.png"/><Relationship Id="rId814" Type="http://schemas.openxmlformats.org/officeDocument/2006/relationships/image" Target="media/image773.png"/><Relationship Id="rId815" Type="http://schemas.openxmlformats.org/officeDocument/2006/relationships/header" Target="header19.xml"/><Relationship Id="rId816" Type="http://schemas.openxmlformats.org/officeDocument/2006/relationships/footer" Target="footer19.xml"/><Relationship Id="rId817" Type="http://schemas.openxmlformats.org/officeDocument/2006/relationships/image" Target="media/image774.png"/><Relationship Id="rId818" Type="http://schemas.openxmlformats.org/officeDocument/2006/relationships/image" Target="media/image775.png"/><Relationship Id="rId819" Type="http://schemas.openxmlformats.org/officeDocument/2006/relationships/image" Target="media/image776.png"/><Relationship Id="rId820" Type="http://schemas.openxmlformats.org/officeDocument/2006/relationships/image" Target="media/image777.png"/><Relationship Id="rId821" Type="http://schemas.openxmlformats.org/officeDocument/2006/relationships/image" Target="media/image778.png"/><Relationship Id="rId822" Type="http://schemas.openxmlformats.org/officeDocument/2006/relationships/header" Target="header20.xml"/><Relationship Id="rId823" Type="http://schemas.openxmlformats.org/officeDocument/2006/relationships/footer" Target="footer20.xml"/><Relationship Id="rId824" Type="http://schemas.openxmlformats.org/officeDocument/2006/relationships/image" Target="media/image779.png"/><Relationship Id="rId825" Type="http://schemas.openxmlformats.org/officeDocument/2006/relationships/image" Target="media/image780.png"/><Relationship Id="rId826" Type="http://schemas.openxmlformats.org/officeDocument/2006/relationships/image" Target="media/image781.png"/><Relationship Id="rId827" Type="http://schemas.openxmlformats.org/officeDocument/2006/relationships/image" Target="media/image782.png"/><Relationship Id="rId828" Type="http://schemas.openxmlformats.org/officeDocument/2006/relationships/image" Target="media/image783.png"/><Relationship Id="rId829" Type="http://schemas.openxmlformats.org/officeDocument/2006/relationships/image" Target="media/image784.png"/><Relationship Id="rId830" Type="http://schemas.openxmlformats.org/officeDocument/2006/relationships/image" Target="media/image785.png"/><Relationship Id="rId831" Type="http://schemas.openxmlformats.org/officeDocument/2006/relationships/image" Target="media/image786.png"/><Relationship Id="rId832" Type="http://schemas.openxmlformats.org/officeDocument/2006/relationships/image" Target="media/image787.png"/><Relationship Id="rId833" Type="http://schemas.openxmlformats.org/officeDocument/2006/relationships/header" Target="header21.xml"/><Relationship Id="rId834" Type="http://schemas.openxmlformats.org/officeDocument/2006/relationships/footer" Target="footer21.xml"/><Relationship Id="rId835" Type="http://schemas.openxmlformats.org/officeDocument/2006/relationships/header" Target="header22.xml"/><Relationship Id="rId836" Type="http://schemas.openxmlformats.org/officeDocument/2006/relationships/footer" Target="footer22.xml"/><Relationship Id="rId837" Type="http://schemas.openxmlformats.org/officeDocument/2006/relationships/image" Target="media/image788.png"/><Relationship Id="rId838" Type="http://schemas.openxmlformats.org/officeDocument/2006/relationships/image" Target="media/image789.png"/><Relationship Id="rId839" Type="http://schemas.openxmlformats.org/officeDocument/2006/relationships/image" Target="media/image790.png"/><Relationship Id="rId840" Type="http://schemas.openxmlformats.org/officeDocument/2006/relationships/image" Target="media/image791.png"/><Relationship Id="rId841" Type="http://schemas.openxmlformats.org/officeDocument/2006/relationships/image" Target="media/image792.png"/><Relationship Id="rId842" Type="http://schemas.openxmlformats.org/officeDocument/2006/relationships/image" Target="media/image793.png"/><Relationship Id="rId843" Type="http://schemas.openxmlformats.org/officeDocument/2006/relationships/image" Target="media/image794.png"/><Relationship Id="rId844" Type="http://schemas.openxmlformats.org/officeDocument/2006/relationships/image" Target="media/image795.png"/><Relationship Id="rId845" Type="http://schemas.openxmlformats.org/officeDocument/2006/relationships/image" Target="media/image796.png"/><Relationship Id="rId846" Type="http://schemas.openxmlformats.org/officeDocument/2006/relationships/image" Target="media/image797.png"/><Relationship Id="rId847" Type="http://schemas.openxmlformats.org/officeDocument/2006/relationships/image" Target="media/image798.png"/><Relationship Id="rId848" Type="http://schemas.openxmlformats.org/officeDocument/2006/relationships/image" Target="media/image799.png"/><Relationship Id="rId849" Type="http://schemas.openxmlformats.org/officeDocument/2006/relationships/image" Target="media/image800.png"/><Relationship Id="rId850" Type="http://schemas.openxmlformats.org/officeDocument/2006/relationships/image" Target="media/image801.png"/><Relationship Id="rId851" Type="http://schemas.openxmlformats.org/officeDocument/2006/relationships/image" Target="media/image802.png"/><Relationship Id="rId852" Type="http://schemas.openxmlformats.org/officeDocument/2006/relationships/image" Target="media/image803.png"/><Relationship Id="rId853" Type="http://schemas.openxmlformats.org/officeDocument/2006/relationships/image" Target="media/image804.png"/><Relationship Id="rId854" Type="http://schemas.openxmlformats.org/officeDocument/2006/relationships/image" Target="media/image805.png"/><Relationship Id="rId855" Type="http://schemas.openxmlformats.org/officeDocument/2006/relationships/image" Target="media/image806.png"/><Relationship Id="rId856" Type="http://schemas.openxmlformats.org/officeDocument/2006/relationships/header" Target="header23.xml"/><Relationship Id="rId857" Type="http://schemas.openxmlformats.org/officeDocument/2006/relationships/footer" Target="footer23.xml"/><Relationship Id="rId858" Type="http://schemas.openxmlformats.org/officeDocument/2006/relationships/image" Target="media/image807.png"/><Relationship Id="rId859" Type="http://schemas.openxmlformats.org/officeDocument/2006/relationships/image" Target="media/image808.png"/><Relationship Id="rId860" Type="http://schemas.openxmlformats.org/officeDocument/2006/relationships/image" Target="media/image809.png"/><Relationship Id="rId861" Type="http://schemas.openxmlformats.org/officeDocument/2006/relationships/image" Target="media/image810.png"/><Relationship Id="rId862" Type="http://schemas.openxmlformats.org/officeDocument/2006/relationships/image" Target="media/image811.png"/><Relationship Id="rId863" Type="http://schemas.openxmlformats.org/officeDocument/2006/relationships/image" Target="media/image812.png"/><Relationship Id="rId864" Type="http://schemas.openxmlformats.org/officeDocument/2006/relationships/image" Target="media/image813.png"/><Relationship Id="rId865" Type="http://schemas.openxmlformats.org/officeDocument/2006/relationships/image" Target="media/image814.png"/><Relationship Id="rId866" Type="http://schemas.openxmlformats.org/officeDocument/2006/relationships/image" Target="media/image815.png"/><Relationship Id="rId867" Type="http://schemas.openxmlformats.org/officeDocument/2006/relationships/image" Target="media/image816.png"/><Relationship Id="rId868" Type="http://schemas.openxmlformats.org/officeDocument/2006/relationships/image" Target="media/image817.png"/><Relationship Id="rId869" Type="http://schemas.openxmlformats.org/officeDocument/2006/relationships/image" Target="media/image818.png"/><Relationship Id="rId870" Type="http://schemas.openxmlformats.org/officeDocument/2006/relationships/image" Target="media/image819.png"/><Relationship Id="rId871" Type="http://schemas.openxmlformats.org/officeDocument/2006/relationships/image" Target="media/image820.png"/><Relationship Id="rId872" Type="http://schemas.openxmlformats.org/officeDocument/2006/relationships/image" Target="media/image821.png"/><Relationship Id="rId873" Type="http://schemas.openxmlformats.org/officeDocument/2006/relationships/image" Target="media/image822.png"/><Relationship Id="rId874" Type="http://schemas.openxmlformats.org/officeDocument/2006/relationships/image" Target="media/image823.png"/><Relationship Id="rId875" Type="http://schemas.openxmlformats.org/officeDocument/2006/relationships/image" Target="media/image824.png"/><Relationship Id="rId876" Type="http://schemas.openxmlformats.org/officeDocument/2006/relationships/image" Target="media/image825.png"/><Relationship Id="rId877" Type="http://schemas.openxmlformats.org/officeDocument/2006/relationships/image" Target="media/image826.png"/><Relationship Id="rId878" Type="http://schemas.openxmlformats.org/officeDocument/2006/relationships/image" Target="media/image827.png"/><Relationship Id="rId879" Type="http://schemas.openxmlformats.org/officeDocument/2006/relationships/image" Target="media/image828.png"/><Relationship Id="rId880" Type="http://schemas.openxmlformats.org/officeDocument/2006/relationships/image" Target="media/image829.png"/><Relationship Id="rId881" Type="http://schemas.openxmlformats.org/officeDocument/2006/relationships/image" Target="media/image830.png"/><Relationship Id="rId882" Type="http://schemas.openxmlformats.org/officeDocument/2006/relationships/image" Target="media/image831.png"/><Relationship Id="rId883" Type="http://schemas.openxmlformats.org/officeDocument/2006/relationships/image" Target="media/image832.png"/><Relationship Id="rId884" Type="http://schemas.openxmlformats.org/officeDocument/2006/relationships/image" Target="media/image833.png"/><Relationship Id="rId885" Type="http://schemas.openxmlformats.org/officeDocument/2006/relationships/image" Target="media/image834.png"/><Relationship Id="rId886" Type="http://schemas.openxmlformats.org/officeDocument/2006/relationships/image" Target="media/image835.png"/><Relationship Id="rId887" Type="http://schemas.openxmlformats.org/officeDocument/2006/relationships/image" Target="media/image836.png"/><Relationship Id="rId888" Type="http://schemas.openxmlformats.org/officeDocument/2006/relationships/image" Target="media/image837.png"/><Relationship Id="rId889" Type="http://schemas.openxmlformats.org/officeDocument/2006/relationships/image" Target="media/image838.png"/><Relationship Id="rId890" Type="http://schemas.openxmlformats.org/officeDocument/2006/relationships/image" Target="media/image839.png"/><Relationship Id="rId891" Type="http://schemas.openxmlformats.org/officeDocument/2006/relationships/image" Target="media/image840.png"/><Relationship Id="rId892" Type="http://schemas.openxmlformats.org/officeDocument/2006/relationships/image" Target="media/image841.png"/><Relationship Id="rId893" Type="http://schemas.openxmlformats.org/officeDocument/2006/relationships/image" Target="media/image842.png"/><Relationship Id="rId894" Type="http://schemas.openxmlformats.org/officeDocument/2006/relationships/image" Target="media/image843.png"/><Relationship Id="rId895" Type="http://schemas.openxmlformats.org/officeDocument/2006/relationships/image" Target="media/image844.png"/><Relationship Id="rId896" Type="http://schemas.openxmlformats.org/officeDocument/2006/relationships/image" Target="media/image845.png"/><Relationship Id="rId897" Type="http://schemas.openxmlformats.org/officeDocument/2006/relationships/image" Target="media/image846.png"/><Relationship Id="rId898" Type="http://schemas.openxmlformats.org/officeDocument/2006/relationships/image" Target="media/image847.png"/><Relationship Id="rId899" Type="http://schemas.openxmlformats.org/officeDocument/2006/relationships/image" Target="media/image848.png"/><Relationship Id="rId900" Type="http://schemas.openxmlformats.org/officeDocument/2006/relationships/image" Target="media/image849.png"/><Relationship Id="rId901" Type="http://schemas.openxmlformats.org/officeDocument/2006/relationships/image" Target="media/image850.png"/><Relationship Id="rId902" Type="http://schemas.openxmlformats.org/officeDocument/2006/relationships/image" Target="media/image851.png"/><Relationship Id="rId903" Type="http://schemas.openxmlformats.org/officeDocument/2006/relationships/header" Target="header24.xml"/><Relationship Id="rId904" Type="http://schemas.openxmlformats.org/officeDocument/2006/relationships/footer" Target="footer24.xml"/><Relationship Id="rId905" Type="http://schemas.openxmlformats.org/officeDocument/2006/relationships/image" Target="media/image852.png"/><Relationship Id="rId906" Type="http://schemas.openxmlformats.org/officeDocument/2006/relationships/image" Target="media/image853.png"/><Relationship Id="rId907" Type="http://schemas.openxmlformats.org/officeDocument/2006/relationships/header" Target="header25.xml"/><Relationship Id="rId908" Type="http://schemas.openxmlformats.org/officeDocument/2006/relationships/footer" Target="footer25.xml"/><Relationship Id="rId909" Type="http://schemas.openxmlformats.org/officeDocument/2006/relationships/image" Target="media/image854.png"/><Relationship Id="rId910" Type="http://schemas.openxmlformats.org/officeDocument/2006/relationships/image" Target="media/image855.png"/><Relationship Id="rId911" Type="http://schemas.openxmlformats.org/officeDocument/2006/relationships/image" Target="media/image856.png"/><Relationship Id="rId912" Type="http://schemas.openxmlformats.org/officeDocument/2006/relationships/image" Target="media/image857.png"/><Relationship Id="rId913" Type="http://schemas.openxmlformats.org/officeDocument/2006/relationships/image" Target="media/image858.png"/><Relationship Id="rId914" Type="http://schemas.openxmlformats.org/officeDocument/2006/relationships/image" Target="media/image859.png"/><Relationship Id="rId915" Type="http://schemas.openxmlformats.org/officeDocument/2006/relationships/image" Target="media/image860.png"/><Relationship Id="rId916" Type="http://schemas.openxmlformats.org/officeDocument/2006/relationships/image" Target="media/image861.png"/><Relationship Id="rId917" Type="http://schemas.openxmlformats.org/officeDocument/2006/relationships/image" Target="media/image862.png"/><Relationship Id="rId918" Type="http://schemas.openxmlformats.org/officeDocument/2006/relationships/image" Target="media/image863.png"/><Relationship Id="rId919" Type="http://schemas.openxmlformats.org/officeDocument/2006/relationships/image" Target="media/image864.png"/><Relationship Id="rId920" Type="http://schemas.openxmlformats.org/officeDocument/2006/relationships/header" Target="header26.xml"/><Relationship Id="rId921" Type="http://schemas.openxmlformats.org/officeDocument/2006/relationships/footer" Target="footer26.xml"/><Relationship Id="rId922" Type="http://schemas.openxmlformats.org/officeDocument/2006/relationships/image" Target="media/image865.png"/><Relationship Id="rId923" Type="http://schemas.openxmlformats.org/officeDocument/2006/relationships/image" Target="media/image866.png"/><Relationship Id="rId924" Type="http://schemas.openxmlformats.org/officeDocument/2006/relationships/header" Target="header27.xml"/><Relationship Id="rId925" Type="http://schemas.openxmlformats.org/officeDocument/2006/relationships/footer" Target="footer27.xml"/><Relationship Id="rId926" Type="http://schemas.openxmlformats.org/officeDocument/2006/relationships/image" Target="media/image867.png"/><Relationship Id="rId927" Type="http://schemas.openxmlformats.org/officeDocument/2006/relationships/image" Target="media/image868.png"/><Relationship Id="rId928" Type="http://schemas.openxmlformats.org/officeDocument/2006/relationships/image" Target="media/image869.png"/><Relationship Id="rId929" Type="http://schemas.openxmlformats.org/officeDocument/2006/relationships/image" Target="media/image870.png"/><Relationship Id="rId930" Type="http://schemas.openxmlformats.org/officeDocument/2006/relationships/image" Target="media/image871.png"/><Relationship Id="rId931" Type="http://schemas.openxmlformats.org/officeDocument/2006/relationships/image" Target="media/image872.png"/><Relationship Id="rId932" Type="http://schemas.openxmlformats.org/officeDocument/2006/relationships/image" Target="media/image873.png"/><Relationship Id="rId933" Type="http://schemas.openxmlformats.org/officeDocument/2006/relationships/image" Target="media/image874.png"/><Relationship Id="rId934" Type="http://schemas.openxmlformats.org/officeDocument/2006/relationships/image" Target="media/image875.png"/><Relationship Id="rId935" Type="http://schemas.openxmlformats.org/officeDocument/2006/relationships/image" Target="media/image876.png"/><Relationship Id="rId936" Type="http://schemas.openxmlformats.org/officeDocument/2006/relationships/image" Target="media/image877.png"/><Relationship Id="rId937" Type="http://schemas.openxmlformats.org/officeDocument/2006/relationships/image" Target="media/image878.png"/><Relationship Id="rId938" Type="http://schemas.openxmlformats.org/officeDocument/2006/relationships/image" Target="media/image879.png"/><Relationship Id="rId939" Type="http://schemas.openxmlformats.org/officeDocument/2006/relationships/image" Target="media/image880.png"/><Relationship Id="rId940" Type="http://schemas.openxmlformats.org/officeDocument/2006/relationships/header" Target="header28.xml"/><Relationship Id="rId941" Type="http://schemas.openxmlformats.org/officeDocument/2006/relationships/footer" Target="footer28.xml"/><Relationship Id="rId942" Type="http://schemas.openxmlformats.org/officeDocument/2006/relationships/image" Target="media/image881.png"/><Relationship Id="rId943" Type="http://schemas.openxmlformats.org/officeDocument/2006/relationships/image" Target="media/image882.png"/><Relationship Id="rId944" Type="http://schemas.openxmlformats.org/officeDocument/2006/relationships/image" Target="media/image883.png"/><Relationship Id="rId945" Type="http://schemas.openxmlformats.org/officeDocument/2006/relationships/image" Target="media/image884.png"/><Relationship Id="rId946" Type="http://schemas.openxmlformats.org/officeDocument/2006/relationships/image" Target="media/image885.png"/><Relationship Id="rId947" Type="http://schemas.openxmlformats.org/officeDocument/2006/relationships/image" Target="media/image886.png"/><Relationship Id="rId948" Type="http://schemas.openxmlformats.org/officeDocument/2006/relationships/image" Target="media/image887.png"/><Relationship Id="rId949" Type="http://schemas.openxmlformats.org/officeDocument/2006/relationships/header" Target="header29.xml"/><Relationship Id="rId950" Type="http://schemas.openxmlformats.org/officeDocument/2006/relationships/footer" Target="footer29.xml"/><Relationship Id="rId951" Type="http://schemas.openxmlformats.org/officeDocument/2006/relationships/header" Target="header30.xml"/><Relationship Id="rId952" Type="http://schemas.openxmlformats.org/officeDocument/2006/relationships/footer" Target="footer30.xml"/><Relationship Id="rId953" Type="http://schemas.openxmlformats.org/officeDocument/2006/relationships/header" Target="header31.xml"/><Relationship Id="rId954" Type="http://schemas.openxmlformats.org/officeDocument/2006/relationships/footer" Target="footer31.xml"/><Relationship Id="rId955" Type="http://schemas.openxmlformats.org/officeDocument/2006/relationships/header" Target="header32.xml"/><Relationship Id="rId956" Type="http://schemas.openxmlformats.org/officeDocument/2006/relationships/footer" Target="footer32.xml"/><Relationship Id="rId957" Type="http://schemas.openxmlformats.org/officeDocument/2006/relationships/image" Target="media/image888.png"/><Relationship Id="rId958" Type="http://schemas.openxmlformats.org/officeDocument/2006/relationships/image" Target="media/image889.png"/><Relationship Id="rId959" Type="http://schemas.openxmlformats.org/officeDocument/2006/relationships/image" Target="media/image890.png"/><Relationship Id="rId960" Type="http://schemas.openxmlformats.org/officeDocument/2006/relationships/image" Target="media/image891.png"/><Relationship Id="rId961" Type="http://schemas.openxmlformats.org/officeDocument/2006/relationships/image" Target="media/image892.png"/><Relationship Id="rId962" Type="http://schemas.openxmlformats.org/officeDocument/2006/relationships/image" Target="media/image893.png"/><Relationship Id="rId963" Type="http://schemas.openxmlformats.org/officeDocument/2006/relationships/image" Target="media/image894.png"/><Relationship Id="rId964" Type="http://schemas.openxmlformats.org/officeDocument/2006/relationships/image" Target="media/image895.png"/><Relationship Id="rId965" Type="http://schemas.openxmlformats.org/officeDocument/2006/relationships/image" Target="media/image896.png"/><Relationship Id="rId966" Type="http://schemas.openxmlformats.org/officeDocument/2006/relationships/image" Target="media/image897.png"/><Relationship Id="rId967" Type="http://schemas.openxmlformats.org/officeDocument/2006/relationships/image" Target="media/image898.png"/><Relationship Id="rId968" Type="http://schemas.openxmlformats.org/officeDocument/2006/relationships/image" Target="media/image899.png"/><Relationship Id="rId969" Type="http://schemas.openxmlformats.org/officeDocument/2006/relationships/image" Target="media/image900.png"/><Relationship Id="rId970" Type="http://schemas.openxmlformats.org/officeDocument/2006/relationships/image" Target="media/image901.png"/><Relationship Id="rId971" Type="http://schemas.openxmlformats.org/officeDocument/2006/relationships/image" Target="media/image902.png"/><Relationship Id="rId972" Type="http://schemas.openxmlformats.org/officeDocument/2006/relationships/image" Target="media/image903.png"/><Relationship Id="rId973" Type="http://schemas.openxmlformats.org/officeDocument/2006/relationships/image" Target="media/image904.png"/><Relationship Id="rId974" Type="http://schemas.openxmlformats.org/officeDocument/2006/relationships/image" Target="media/image905.png"/><Relationship Id="rId975" Type="http://schemas.openxmlformats.org/officeDocument/2006/relationships/image" Target="media/image906.png"/><Relationship Id="rId976" Type="http://schemas.openxmlformats.org/officeDocument/2006/relationships/image" Target="media/image907.png"/><Relationship Id="rId977" Type="http://schemas.openxmlformats.org/officeDocument/2006/relationships/image" Target="media/image908.png"/><Relationship Id="rId978" Type="http://schemas.openxmlformats.org/officeDocument/2006/relationships/image" Target="media/image909.png"/><Relationship Id="rId979" Type="http://schemas.openxmlformats.org/officeDocument/2006/relationships/image" Target="media/image910.png"/><Relationship Id="rId980" Type="http://schemas.openxmlformats.org/officeDocument/2006/relationships/header" Target="header33.xml"/><Relationship Id="rId981" Type="http://schemas.openxmlformats.org/officeDocument/2006/relationships/footer" Target="footer33.xml"/><Relationship Id="rId982" Type="http://schemas.openxmlformats.org/officeDocument/2006/relationships/image" Target="media/image911.png"/><Relationship Id="rId983" Type="http://schemas.openxmlformats.org/officeDocument/2006/relationships/image" Target="media/image912.png"/><Relationship Id="rId984" Type="http://schemas.openxmlformats.org/officeDocument/2006/relationships/image" Target="media/image913.png"/><Relationship Id="rId985" Type="http://schemas.openxmlformats.org/officeDocument/2006/relationships/image" Target="media/image914.png"/><Relationship Id="rId986" Type="http://schemas.openxmlformats.org/officeDocument/2006/relationships/image" Target="media/image915.png"/><Relationship Id="rId987" Type="http://schemas.openxmlformats.org/officeDocument/2006/relationships/image" Target="media/image916.png"/><Relationship Id="rId988" Type="http://schemas.openxmlformats.org/officeDocument/2006/relationships/image" Target="media/image917.png"/><Relationship Id="rId989" Type="http://schemas.openxmlformats.org/officeDocument/2006/relationships/image" Target="media/image918.png"/><Relationship Id="rId990" Type="http://schemas.openxmlformats.org/officeDocument/2006/relationships/image" Target="media/image919.png"/><Relationship Id="rId991" Type="http://schemas.openxmlformats.org/officeDocument/2006/relationships/image" Target="media/image920.png"/><Relationship Id="rId992" Type="http://schemas.openxmlformats.org/officeDocument/2006/relationships/image" Target="media/image921.png"/><Relationship Id="rId993" Type="http://schemas.openxmlformats.org/officeDocument/2006/relationships/image" Target="media/image922.png"/><Relationship Id="rId994" Type="http://schemas.openxmlformats.org/officeDocument/2006/relationships/image" Target="media/image923.png"/><Relationship Id="rId995" Type="http://schemas.openxmlformats.org/officeDocument/2006/relationships/image" Target="media/image924.png"/><Relationship Id="rId996" Type="http://schemas.openxmlformats.org/officeDocument/2006/relationships/image" Target="media/image925.png"/><Relationship Id="rId997" Type="http://schemas.openxmlformats.org/officeDocument/2006/relationships/image" Target="media/image926.png"/><Relationship Id="rId998" Type="http://schemas.openxmlformats.org/officeDocument/2006/relationships/image" Target="media/image927.png"/><Relationship Id="rId999" Type="http://schemas.openxmlformats.org/officeDocument/2006/relationships/image" Target="media/image928.png"/><Relationship Id="rId1000" Type="http://schemas.openxmlformats.org/officeDocument/2006/relationships/header" Target="header34.xml"/><Relationship Id="rId1001" Type="http://schemas.openxmlformats.org/officeDocument/2006/relationships/footer" Target="footer34.xml"/><Relationship Id="rId1002" Type="http://schemas.openxmlformats.org/officeDocument/2006/relationships/image" Target="media/image929.png"/><Relationship Id="rId1003" Type="http://schemas.openxmlformats.org/officeDocument/2006/relationships/image" Target="media/image930.png"/><Relationship Id="rId1004" Type="http://schemas.openxmlformats.org/officeDocument/2006/relationships/image" Target="media/image931.png"/><Relationship Id="rId1005" Type="http://schemas.openxmlformats.org/officeDocument/2006/relationships/image" Target="media/image932.png"/><Relationship Id="rId1006" Type="http://schemas.openxmlformats.org/officeDocument/2006/relationships/image" Target="media/image933.png"/><Relationship Id="rId1007" Type="http://schemas.openxmlformats.org/officeDocument/2006/relationships/image" Target="media/image934.png"/><Relationship Id="rId1008" Type="http://schemas.openxmlformats.org/officeDocument/2006/relationships/image" Target="media/image935.png"/><Relationship Id="rId1009" Type="http://schemas.openxmlformats.org/officeDocument/2006/relationships/image" Target="media/image936.png"/><Relationship Id="rId1010" Type="http://schemas.openxmlformats.org/officeDocument/2006/relationships/image" Target="media/image937.png"/><Relationship Id="rId1011" Type="http://schemas.openxmlformats.org/officeDocument/2006/relationships/image" Target="media/image938.png"/><Relationship Id="rId1012" Type="http://schemas.openxmlformats.org/officeDocument/2006/relationships/image" Target="media/image939.png"/><Relationship Id="rId1013" Type="http://schemas.openxmlformats.org/officeDocument/2006/relationships/image" Target="media/image940.png"/><Relationship Id="rId1014" Type="http://schemas.openxmlformats.org/officeDocument/2006/relationships/image" Target="media/image941.png"/><Relationship Id="rId1015" Type="http://schemas.openxmlformats.org/officeDocument/2006/relationships/image" Target="media/image942.png"/><Relationship Id="rId1016" Type="http://schemas.openxmlformats.org/officeDocument/2006/relationships/header" Target="header35.xml"/><Relationship Id="rId1017" Type="http://schemas.openxmlformats.org/officeDocument/2006/relationships/footer" Target="footer35.xml"/><Relationship Id="rId1018" Type="http://schemas.openxmlformats.org/officeDocument/2006/relationships/image" Target="media/image943.png"/><Relationship Id="rId1019" Type="http://schemas.openxmlformats.org/officeDocument/2006/relationships/image" Target="media/image944.png"/><Relationship Id="rId1020" Type="http://schemas.openxmlformats.org/officeDocument/2006/relationships/image" Target="media/image945.png"/><Relationship Id="rId1021" Type="http://schemas.openxmlformats.org/officeDocument/2006/relationships/image" Target="media/image946.png"/><Relationship Id="rId1022" Type="http://schemas.openxmlformats.org/officeDocument/2006/relationships/image" Target="media/image947.png"/><Relationship Id="rId1023" Type="http://schemas.openxmlformats.org/officeDocument/2006/relationships/image" Target="media/image948.png"/><Relationship Id="rId1024" Type="http://schemas.openxmlformats.org/officeDocument/2006/relationships/image" Target="media/image949.png"/><Relationship Id="rId1025" Type="http://schemas.openxmlformats.org/officeDocument/2006/relationships/image" Target="media/image950.png"/><Relationship Id="rId1026" Type="http://schemas.openxmlformats.org/officeDocument/2006/relationships/image" Target="media/image951.png"/><Relationship Id="rId1027" Type="http://schemas.openxmlformats.org/officeDocument/2006/relationships/image" Target="media/image952.png"/><Relationship Id="rId1028" Type="http://schemas.openxmlformats.org/officeDocument/2006/relationships/image" Target="media/image953.png"/><Relationship Id="rId1029" Type="http://schemas.openxmlformats.org/officeDocument/2006/relationships/image" Target="media/image954.png"/><Relationship Id="rId1030" Type="http://schemas.openxmlformats.org/officeDocument/2006/relationships/image" Target="media/image955.png"/><Relationship Id="rId1031" Type="http://schemas.openxmlformats.org/officeDocument/2006/relationships/image" Target="media/image956.png"/><Relationship Id="rId1032" Type="http://schemas.openxmlformats.org/officeDocument/2006/relationships/image" Target="media/image957.png"/><Relationship Id="rId1033" Type="http://schemas.openxmlformats.org/officeDocument/2006/relationships/image" Target="media/image958.png"/><Relationship Id="rId1034" Type="http://schemas.openxmlformats.org/officeDocument/2006/relationships/image" Target="media/image959.png"/><Relationship Id="rId1035" Type="http://schemas.openxmlformats.org/officeDocument/2006/relationships/image" Target="media/image960.png"/><Relationship Id="rId1036" Type="http://schemas.openxmlformats.org/officeDocument/2006/relationships/image" Target="media/image961.png"/><Relationship Id="rId1037" Type="http://schemas.openxmlformats.org/officeDocument/2006/relationships/image" Target="media/image962.png"/><Relationship Id="rId1038" Type="http://schemas.openxmlformats.org/officeDocument/2006/relationships/image" Target="media/image963.png"/><Relationship Id="rId1039" Type="http://schemas.openxmlformats.org/officeDocument/2006/relationships/image" Target="media/image964.png"/><Relationship Id="rId1040" Type="http://schemas.openxmlformats.org/officeDocument/2006/relationships/image" Target="media/image965.png"/><Relationship Id="rId1041" Type="http://schemas.openxmlformats.org/officeDocument/2006/relationships/image" Target="media/image966.png"/><Relationship Id="rId1042" Type="http://schemas.openxmlformats.org/officeDocument/2006/relationships/image" Target="media/image967.png"/><Relationship Id="rId1043" Type="http://schemas.openxmlformats.org/officeDocument/2006/relationships/image" Target="media/image968.png"/><Relationship Id="rId1044" Type="http://schemas.openxmlformats.org/officeDocument/2006/relationships/image" Target="media/image969.png"/><Relationship Id="rId1045" Type="http://schemas.openxmlformats.org/officeDocument/2006/relationships/image" Target="media/image970.png"/><Relationship Id="rId1046" Type="http://schemas.openxmlformats.org/officeDocument/2006/relationships/image" Target="media/image971.png"/><Relationship Id="rId1047" Type="http://schemas.openxmlformats.org/officeDocument/2006/relationships/image" Target="media/image972.png"/><Relationship Id="rId1048" Type="http://schemas.openxmlformats.org/officeDocument/2006/relationships/image" Target="media/image973.png"/><Relationship Id="rId1049" Type="http://schemas.openxmlformats.org/officeDocument/2006/relationships/image" Target="media/image974.png"/><Relationship Id="rId1050" Type="http://schemas.openxmlformats.org/officeDocument/2006/relationships/image" Target="media/image975.png"/><Relationship Id="rId1051" Type="http://schemas.openxmlformats.org/officeDocument/2006/relationships/image" Target="media/image976.png"/><Relationship Id="rId1052" Type="http://schemas.openxmlformats.org/officeDocument/2006/relationships/image" Target="media/image977.png"/><Relationship Id="rId1053" Type="http://schemas.openxmlformats.org/officeDocument/2006/relationships/image" Target="media/image978.png"/><Relationship Id="rId1054" Type="http://schemas.openxmlformats.org/officeDocument/2006/relationships/image" Target="media/image979.png"/><Relationship Id="rId1055" Type="http://schemas.openxmlformats.org/officeDocument/2006/relationships/image" Target="media/image980.png"/><Relationship Id="rId1056" Type="http://schemas.openxmlformats.org/officeDocument/2006/relationships/image" Target="media/image981.png"/><Relationship Id="rId1057" Type="http://schemas.openxmlformats.org/officeDocument/2006/relationships/image" Target="media/image982.png"/><Relationship Id="rId1058" Type="http://schemas.openxmlformats.org/officeDocument/2006/relationships/image" Target="media/image983.png"/><Relationship Id="rId1059" Type="http://schemas.openxmlformats.org/officeDocument/2006/relationships/image" Target="media/image984.png"/><Relationship Id="rId1060" Type="http://schemas.openxmlformats.org/officeDocument/2006/relationships/image" Target="media/image985.png"/><Relationship Id="rId1061" Type="http://schemas.openxmlformats.org/officeDocument/2006/relationships/image" Target="media/image986.png"/><Relationship Id="rId1062" Type="http://schemas.openxmlformats.org/officeDocument/2006/relationships/image" Target="media/image987.png"/><Relationship Id="rId1063" Type="http://schemas.openxmlformats.org/officeDocument/2006/relationships/image" Target="media/image988.png"/><Relationship Id="rId1064" Type="http://schemas.openxmlformats.org/officeDocument/2006/relationships/image" Target="media/image989.png"/><Relationship Id="rId1065" Type="http://schemas.openxmlformats.org/officeDocument/2006/relationships/image" Target="media/image990.png"/><Relationship Id="rId1066" Type="http://schemas.openxmlformats.org/officeDocument/2006/relationships/image" Target="media/image991.png"/><Relationship Id="rId1067" Type="http://schemas.openxmlformats.org/officeDocument/2006/relationships/image" Target="media/image992.png"/><Relationship Id="rId1068" Type="http://schemas.openxmlformats.org/officeDocument/2006/relationships/image" Target="media/image993.png"/><Relationship Id="rId1069" Type="http://schemas.openxmlformats.org/officeDocument/2006/relationships/image" Target="media/image994.png"/><Relationship Id="rId1070" Type="http://schemas.openxmlformats.org/officeDocument/2006/relationships/image" Target="media/image995.png"/><Relationship Id="rId1071" Type="http://schemas.openxmlformats.org/officeDocument/2006/relationships/image" Target="media/image996.png"/><Relationship Id="rId1072" Type="http://schemas.openxmlformats.org/officeDocument/2006/relationships/image" Target="media/image997.png"/><Relationship Id="rId1073" Type="http://schemas.openxmlformats.org/officeDocument/2006/relationships/image" Target="media/image998.png"/><Relationship Id="rId1074" Type="http://schemas.openxmlformats.org/officeDocument/2006/relationships/image" Target="media/image999.png"/><Relationship Id="rId1075" Type="http://schemas.openxmlformats.org/officeDocument/2006/relationships/image" Target="media/image1000.png"/><Relationship Id="rId1076" Type="http://schemas.openxmlformats.org/officeDocument/2006/relationships/image" Target="media/image1001.png"/><Relationship Id="rId1077" Type="http://schemas.openxmlformats.org/officeDocument/2006/relationships/image" Target="media/image1002.png"/><Relationship Id="rId1078" Type="http://schemas.openxmlformats.org/officeDocument/2006/relationships/image" Target="media/image1003.png"/><Relationship Id="rId1079" Type="http://schemas.openxmlformats.org/officeDocument/2006/relationships/image" Target="media/image1004.png"/><Relationship Id="rId1080" Type="http://schemas.openxmlformats.org/officeDocument/2006/relationships/image" Target="media/image1005.png"/><Relationship Id="rId1081" Type="http://schemas.openxmlformats.org/officeDocument/2006/relationships/image" Target="media/image1006.png"/><Relationship Id="rId1082" Type="http://schemas.openxmlformats.org/officeDocument/2006/relationships/image" Target="media/image1007.png"/><Relationship Id="rId1083" Type="http://schemas.openxmlformats.org/officeDocument/2006/relationships/image" Target="media/image1008.png"/><Relationship Id="rId1084" Type="http://schemas.openxmlformats.org/officeDocument/2006/relationships/image" Target="media/image1009.png"/><Relationship Id="rId1085" Type="http://schemas.openxmlformats.org/officeDocument/2006/relationships/image" Target="media/image1010.png"/><Relationship Id="rId1086" Type="http://schemas.openxmlformats.org/officeDocument/2006/relationships/image" Target="media/image1011.png"/><Relationship Id="rId1087" Type="http://schemas.openxmlformats.org/officeDocument/2006/relationships/image" Target="media/image1012.png"/><Relationship Id="rId1088" Type="http://schemas.openxmlformats.org/officeDocument/2006/relationships/image" Target="media/image1013.png"/><Relationship Id="rId1089" Type="http://schemas.openxmlformats.org/officeDocument/2006/relationships/image" Target="media/image1014.png"/><Relationship Id="rId1090" Type="http://schemas.openxmlformats.org/officeDocument/2006/relationships/image" Target="media/image1015.png"/><Relationship Id="rId1091" Type="http://schemas.openxmlformats.org/officeDocument/2006/relationships/image" Target="media/image1016.png"/><Relationship Id="rId1092" Type="http://schemas.openxmlformats.org/officeDocument/2006/relationships/image" Target="media/image1017.png"/><Relationship Id="rId1093" Type="http://schemas.openxmlformats.org/officeDocument/2006/relationships/image" Target="media/image1018.png"/><Relationship Id="rId1094" Type="http://schemas.openxmlformats.org/officeDocument/2006/relationships/image" Target="media/image1019.png"/><Relationship Id="rId1095" Type="http://schemas.openxmlformats.org/officeDocument/2006/relationships/image" Target="media/image1020.png"/><Relationship Id="rId1096" Type="http://schemas.openxmlformats.org/officeDocument/2006/relationships/header" Target="header36.xml"/><Relationship Id="rId1097" Type="http://schemas.openxmlformats.org/officeDocument/2006/relationships/footer" Target="footer36.xml"/><Relationship Id="rId1098" Type="http://schemas.openxmlformats.org/officeDocument/2006/relationships/image" Target="media/image1021.png"/><Relationship Id="rId1099" Type="http://schemas.openxmlformats.org/officeDocument/2006/relationships/image" Target="media/image1022.png"/><Relationship Id="rId1100" Type="http://schemas.openxmlformats.org/officeDocument/2006/relationships/image" Target="media/image1023.png"/><Relationship Id="rId1101" Type="http://schemas.openxmlformats.org/officeDocument/2006/relationships/image" Target="media/image1024.png"/><Relationship Id="rId1102" Type="http://schemas.openxmlformats.org/officeDocument/2006/relationships/image" Target="media/image1025.png"/><Relationship Id="rId1103" Type="http://schemas.openxmlformats.org/officeDocument/2006/relationships/image" Target="media/image1026.png"/><Relationship Id="rId1104" Type="http://schemas.openxmlformats.org/officeDocument/2006/relationships/image" Target="media/image1027.png"/><Relationship Id="rId1105" Type="http://schemas.openxmlformats.org/officeDocument/2006/relationships/image" Target="media/image1028.png"/><Relationship Id="rId1106" Type="http://schemas.openxmlformats.org/officeDocument/2006/relationships/image" Target="media/image1029.png"/><Relationship Id="rId1107" Type="http://schemas.openxmlformats.org/officeDocument/2006/relationships/image" Target="media/image1030.png"/><Relationship Id="rId1108" Type="http://schemas.openxmlformats.org/officeDocument/2006/relationships/image" Target="media/image1031.png"/><Relationship Id="rId1109" Type="http://schemas.openxmlformats.org/officeDocument/2006/relationships/header" Target="header37.xml"/><Relationship Id="rId1110" Type="http://schemas.openxmlformats.org/officeDocument/2006/relationships/footer" Target="footer37.xml"/><Relationship Id="rId1111" Type="http://schemas.openxmlformats.org/officeDocument/2006/relationships/image" Target="media/image1032.png"/><Relationship Id="rId1112" Type="http://schemas.openxmlformats.org/officeDocument/2006/relationships/image" Target="media/image1033.png"/><Relationship Id="rId1113" Type="http://schemas.openxmlformats.org/officeDocument/2006/relationships/image" Target="media/image1034.png"/><Relationship Id="rId1114" Type="http://schemas.openxmlformats.org/officeDocument/2006/relationships/image" Target="media/image1035.png"/><Relationship Id="rId1115" Type="http://schemas.openxmlformats.org/officeDocument/2006/relationships/image" Target="media/image1036.png"/><Relationship Id="rId1116" Type="http://schemas.openxmlformats.org/officeDocument/2006/relationships/image" Target="media/image1037.png"/><Relationship Id="rId1117" Type="http://schemas.openxmlformats.org/officeDocument/2006/relationships/image" Target="media/image1038.png"/><Relationship Id="rId1118" Type="http://schemas.openxmlformats.org/officeDocument/2006/relationships/image" Target="media/image1039.png"/><Relationship Id="rId1119" Type="http://schemas.openxmlformats.org/officeDocument/2006/relationships/image" Target="media/image1040.png"/><Relationship Id="rId1120" Type="http://schemas.openxmlformats.org/officeDocument/2006/relationships/header" Target="header38.xml"/><Relationship Id="rId1121" Type="http://schemas.openxmlformats.org/officeDocument/2006/relationships/footer" Target="footer38.xml"/><Relationship Id="rId1122" Type="http://schemas.openxmlformats.org/officeDocument/2006/relationships/image" Target="media/image1041.png"/><Relationship Id="rId1123" Type="http://schemas.openxmlformats.org/officeDocument/2006/relationships/image" Target="media/image1042.png"/><Relationship Id="rId1124" Type="http://schemas.openxmlformats.org/officeDocument/2006/relationships/image" Target="media/image1043.png"/><Relationship Id="rId1125" Type="http://schemas.openxmlformats.org/officeDocument/2006/relationships/image" Target="media/image1044.png"/><Relationship Id="rId1126" Type="http://schemas.openxmlformats.org/officeDocument/2006/relationships/image" Target="media/image1045.png"/><Relationship Id="rId1127" Type="http://schemas.openxmlformats.org/officeDocument/2006/relationships/image" Target="media/image1046.png"/><Relationship Id="rId1128" Type="http://schemas.openxmlformats.org/officeDocument/2006/relationships/image" Target="media/image1047.png"/><Relationship Id="rId1129" Type="http://schemas.openxmlformats.org/officeDocument/2006/relationships/image" Target="media/image1048.png"/><Relationship Id="rId1130" Type="http://schemas.openxmlformats.org/officeDocument/2006/relationships/hyperlink" Target="http://www.cde.ca.gov/fg/ac/ic)" TargetMode="External"/><Relationship Id="rId1131" Type="http://schemas.openxmlformats.org/officeDocument/2006/relationships/image" Target="media/image1049.png"/><Relationship Id="rId1132" Type="http://schemas.openxmlformats.org/officeDocument/2006/relationships/image" Target="media/image1050.png"/><Relationship Id="rId1133" Type="http://schemas.openxmlformats.org/officeDocument/2006/relationships/header" Target="header39.xml"/><Relationship Id="rId1134" Type="http://schemas.openxmlformats.org/officeDocument/2006/relationships/footer" Target="footer39.xml"/><Relationship Id="rId1135" Type="http://schemas.openxmlformats.org/officeDocument/2006/relationships/image" Target="media/image1051.png"/><Relationship Id="rId1136" Type="http://schemas.openxmlformats.org/officeDocument/2006/relationships/image" Target="media/image1052.png"/><Relationship Id="rId1137" Type="http://schemas.openxmlformats.org/officeDocument/2006/relationships/header" Target="header40.xml"/><Relationship Id="rId1138" Type="http://schemas.openxmlformats.org/officeDocument/2006/relationships/footer" Target="footer40.xml"/><Relationship Id="rId1139" Type="http://schemas.openxmlformats.org/officeDocument/2006/relationships/image" Target="media/image1053.png"/><Relationship Id="rId1140" Type="http://schemas.openxmlformats.org/officeDocument/2006/relationships/image" Target="media/image1054.png"/><Relationship Id="rId1141" Type="http://schemas.openxmlformats.org/officeDocument/2006/relationships/image" Target="media/image1055.png"/><Relationship Id="rId1142" Type="http://schemas.openxmlformats.org/officeDocument/2006/relationships/image" Target="media/image1056.png"/><Relationship Id="rId1143" Type="http://schemas.openxmlformats.org/officeDocument/2006/relationships/image" Target="media/image1057.png"/><Relationship Id="rId1144" Type="http://schemas.openxmlformats.org/officeDocument/2006/relationships/image" Target="media/image1058.png"/><Relationship Id="rId1145" Type="http://schemas.openxmlformats.org/officeDocument/2006/relationships/image" Target="media/image1059.png"/><Relationship Id="rId1146" Type="http://schemas.openxmlformats.org/officeDocument/2006/relationships/image" Target="media/image1060.png"/><Relationship Id="rId1147" Type="http://schemas.openxmlformats.org/officeDocument/2006/relationships/image" Target="media/image1061.png"/><Relationship Id="rId1148" Type="http://schemas.openxmlformats.org/officeDocument/2006/relationships/image" Target="media/image1062.png"/><Relationship Id="rId1149" Type="http://schemas.openxmlformats.org/officeDocument/2006/relationships/image" Target="media/image1063.png"/><Relationship Id="rId1150" Type="http://schemas.openxmlformats.org/officeDocument/2006/relationships/image" Target="media/image1064.png"/><Relationship Id="rId1151" Type="http://schemas.openxmlformats.org/officeDocument/2006/relationships/image" Target="media/image1065.png"/><Relationship Id="rId1152" Type="http://schemas.openxmlformats.org/officeDocument/2006/relationships/image" Target="media/image1066.png"/><Relationship Id="rId1153" Type="http://schemas.openxmlformats.org/officeDocument/2006/relationships/image" Target="media/image1067.png"/><Relationship Id="rId1154" Type="http://schemas.openxmlformats.org/officeDocument/2006/relationships/image" Target="media/image1068.png"/><Relationship Id="rId1155" Type="http://schemas.openxmlformats.org/officeDocument/2006/relationships/image" Target="media/image1069.png"/><Relationship Id="rId1156" Type="http://schemas.openxmlformats.org/officeDocument/2006/relationships/image" Target="media/image1070.png"/><Relationship Id="rId1157" Type="http://schemas.openxmlformats.org/officeDocument/2006/relationships/image" Target="media/image1071.png"/><Relationship Id="rId1158" Type="http://schemas.openxmlformats.org/officeDocument/2006/relationships/image" Target="media/image1072.png"/><Relationship Id="rId1159" Type="http://schemas.openxmlformats.org/officeDocument/2006/relationships/image" Target="media/image1073.png"/><Relationship Id="rId1160" Type="http://schemas.openxmlformats.org/officeDocument/2006/relationships/image" Target="media/image1074.png"/><Relationship Id="rId1161" Type="http://schemas.openxmlformats.org/officeDocument/2006/relationships/image" Target="media/image1075.png"/><Relationship Id="rId1162" Type="http://schemas.openxmlformats.org/officeDocument/2006/relationships/image" Target="media/image1076.png"/><Relationship Id="rId1163" Type="http://schemas.openxmlformats.org/officeDocument/2006/relationships/image" Target="media/image1077.png"/><Relationship Id="rId1164" Type="http://schemas.openxmlformats.org/officeDocument/2006/relationships/image" Target="media/image1078.png"/><Relationship Id="rId1165" Type="http://schemas.openxmlformats.org/officeDocument/2006/relationships/image" Target="media/image1079.png"/><Relationship Id="rId1166" Type="http://schemas.openxmlformats.org/officeDocument/2006/relationships/image" Target="media/image1080.png"/><Relationship Id="rId1167" Type="http://schemas.openxmlformats.org/officeDocument/2006/relationships/image" Target="media/image1081.png"/><Relationship Id="rId1168" Type="http://schemas.openxmlformats.org/officeDocument/2006/relationships/image" Target="media/image1082.png"/><Relationship Id="rId1169" Type="http://schemas.openxmlformats.org/officeDocument/2006/relationships/image" Target="media/image1083.png"/><Relationship Id="rId1170" Type="http://schemas.openxmlformats.org/officeDocument/2006/relationships/image" Target="media/image1084.png"/><Relationship Id="rId1171" Type="http://schemas.openxmlformats.org/officeDocument/2006/relationships/image" Target="media/image1085.png"/><Relationship Id="rId1172" Type="http://schemas.openxmlformats.org/officeDocument/2006/relationships/image" Target="media/image1086.png"/><Relationship Id="rId1173" Type="http://schemas.openxmlformats.org/officeDocument/2006/relationships/image" Target="media/image1087.png"/><Relationship Id="rId1174" Type="http://schemas.openxmlformats.org/officeDocument/2006/relationships/image" Target="media/image1088.png"/><Relationship Id="rId1175" Type="http://schemas.openxmlformats.org/officeDocument/2006/relationships/image" Target="media/image1089.png"/><Relationship Id="rId1176" Type="http://schemas.openxmlformats.org/officeDocument/2006/relationships/image" Target="media/image1090.png"/><Relationship Id="rId1177" Type="http://schemas.openxmlformats.org/officeDocument/2006/relationships/image" Target="media/image1091.png"/><Relationship Id="rId1178" Type="http://schemas.openxmlformats.org/officeDocument/2006/relationships/image" Target="media/image1092.png"/><Relationship Id="rId1179" Type="http://schemas.openxmlformats.org/officeDocument/2006/relationships/image" Target="media/image1093.png"/><Relationship Id="rId1180" Type="http://schemas.openxmlformats.org/officeDocument/2006/relationships/image" Target="media/image1094.png"/><Relationship Id="rId1181" Type="http://schemas.openxmlformats.org/officeDocument/2006/relationships/image" Target="media/image1095.png"/><Relationship Id="rId1182" Type="http://schemas.openxmlformats.org/officeDocument/2006/relationships/image" Target="media/image1096.png"/><Relationship Id="rId1183" Type="http://schemas.openxmlformats.org/officeDocument/2006/relationships/image" Target="media/image1097.png"/><Relationship Id="rId1184" Type="http://schemas.openxmlformats.org/officeDocument/2006/relationships/image" Target="media/image1098.png"/><Relationship Id="rId1185" Type="http://schemas.openxmlformats.org/officeDocument/2006/relationships/image" Target="media/image1099.png"/><Relationship Id="rId1186" Type="http://schemas.openxmlformats.org/officeDocument/2006/relationships/image" Target="media/image1100.png"/><Relationship Id="rId1187" Type="http://schemas.openxmlformats.org/officeDocument/2006/relationships/image" Target="media/image1101.png"/><Relationship Id="rId1188" Type="http://schemas.openxmlformats.org/officeDocument/2006/relationships/image" Target="media/image1102.png"/><Relationship Id="rId1189" Type="http://schemas.openxmlformats.org/officeDocument/2006/relationships/image" Target="media/image1103.png"/><Relationship Id="rId1190" Type="http://schemas.openxmlformats.org/officeDocument/2006/relationships/image" Target="media/image1104.png"/><Relationship Id="rId1191" Type="http://schemas.openxmlformats.org/officeDocument/2006/relationships/image" Target="media/image1105.png"/><Relationship Id="rId1192" Type="http://schemas.openxmlformats.org/officeDocument/2006/relationships/image" Target="media/image1106.png"/><Relationship Id="rId1193" Type="http://schemas.openxmlformats.org/officeDocument/2006/relationships/image" Target="media/image1107.png"/><Relationship Id="rId1194" Type="http://schemas.openxmlformats.org/officeDocument/2006/relationships/image" Target="media/image1108.png"/><Relationship Id="rId1195" Type="http://schemas.openxmlformats.org/officeDocument/2006/relationships/image" Target="media/image1109.png"/><Relationship Id="rId1196" Type="http://schemas.openxmlformats.org/officeDocument/2006/relationships/image" Target="media/image1110.png"/><Relationship Id="rId1197" Type="http://schemas.openxmlformats.org/officeDocument/2006/relationships/image" Target="media/image1111.png"/><Relationship Id="rId1198" Type="http://schemas.openxmlformats.org/officeDocument/2006/relationships/image" Target="media/image1112.png"/><Relationship Id="rId1199" Type="http://schemas.openxmlformats.org/officeDocument/2006/relationships/image" Target="media/image1113.png"/><Relationship Id="rId1200" Type="http://schemas.openxmlformats.org/officeDocument/2006/relationships/image" Target="media/image1114.png"/><Relationship Id="rId1201" Type="http://schemas.openxmlformats.org/officeDocument/2006/relationships/image" Target="media/image1115.png"/><Relationship Id="rId1202" Type="http://schemas.openxmlformats.org/officeDocument/2006/relationships/image" Target="media/image1116.png"/><Relationship Id="rId1203" Type="http://schemas.openxmlformats.org/officeDocument/2006/relationships/image" Target="media/image1117.png"/><Relationship Id="rId1204" Type="http://schemas.openxmlformats.org/officeDocument/2006/relationships/image" Target="media/image1118.png"/><Relationship Id="rId1205" Type="http://schemas.openxmlformats.org/officeDocument/2006/relationships/image" Target="media/image1119.png"/><Relationship Id="rId1206" Type="http://schemas.openxmlformats.org/officeDocument/2006/relationships/image" Target="media/image1120.png"/><Relationship Id="rId1207" Type="http://schemas.openxmlformats.org/officeDocument/2006/relationships/image" Target="media/image1121.png"/><Relationship Id="rId1208" Type="http://schemas.openxmlformats.org/officeDocument/2006/relationships/image" Target="media/image1122.png"/><Relationship Id="rId1209" Type="http://schemas.openxmlformats.org/officeDocument/2006/relationships/image" Target="media/image1123.png"/><Relationship Id="rId1210" Type="http://schemas.openxmlformats.org/officeDocument/2006/relationships/image" Target="media/image1124.png"/><Relationship Id="rId1211" Type="http://schemas.openxmlformats.org/officeDocument/2006/relationships/image" Target="media/image1125.png"/><Relationship Id="rId1212" Type="http://schemas.openxmlformats.org/officeDocument/2006/relationships/image" Target="media/image1126.png"/><Relationship Id="rId1213" Type="http://schemas.openxmlformats.org/officeDocument/2006/relationships/image" Target="media/image1127.png"/><Relationship Id="rId1214" Type="http://schemas.openxmlformats.org/officeDocument/2006/relationships/image" Target="media/image1128.png"/><Relationship Id="rId1215" Type="http://schemas.openxmlformats.org/officeDocument/2006/relationships/image" Target="media/image1129.png"/><Relationship Id="rId1216" Type="http://schemas.openxmlformats.org/officeDocument/2006/relationships/image" Target="media/image1130.png"/><Relationship Id="rId1217" Type="http://schemas.openxmlformats.org/officeDocument/2006/relationships/image" Target="media/image1131.png"/><Relationship Id="rId1218" Type="http://schemas.openxmlformats.org/officeDocument/2006/relationships/image" Target="media/image1132.png"/><Relationship Id="rId1219" Type="http://schemas.openxmlformats.org/officeDocument/2006/relationships/image" Target="media/image1133.png"/><Relationship Id="rId1220" Type="http://schemas.openxmlformats.org/officeDocument/2006/relationships/image" Target="media/image1134.png"/><Relationship Id="rId1221" Type="http://schemas.openxmlformats.org/officeDocument/2006/relationships/image" Target="media/image1135.png"/><Relationship Id="rId1222" Type="http://schemas.openxmlformats.org/officeDocument/2006/relationships/header" Target="header41.xml"/><Relationship Id="rId1223" Type="http://schemas.openxmlformats.org/officeDocument/2006/relationships/footer" Target="footer41.xml"/><Relationship Id="rId1224" Type="http://schemas.openxmlformats.org/officeDocument/2006/relationships/image" Target="media/image1136.png"/><Relationship Id="rId1225" Type="http://schemas.openxmlformats.org/officeDocument/2006/relationships/image" Target="media/image1137.png"/><Relationship Id="rId1226" Type="http://schemas.openxmlformats.org/officeDocument/2006/relationships/image" Target="media/image1138.png"/><Relationship Id="rId1227" Type="http://schemas.openxmlformats.org/officeDocument/2006/relationships/image" Target="media/image1139.png"/><Relationship Id="rId1228" Type="http://schemas.openxmlformats.org/officeDocument/2006/relationships/image" Target="media/image1140.png"/><Relationship Id="rId1229" Type="http://schemas.openxmlformats.org/officeDocument/2006/relationships/image" Target="media/image1141.png"/><Relationship Id="rId1230" Type="http://schemas.openxmlformats.org/officeDocument/2006/relationships/image" Target="media/image1142.png"/><Relationship Id="rId1231" Type="http://schemas.openxmlformats.org/officeDocument/2006/relationships/image" Target="media/image1143.png"/><Relationship Id="rId1232" Type="http://schemas.openxmlformats.org/officeDocument/2006/relationships/image" Target="media/image1144.png"/><Relationship Id="rId1233" Type="http://schemas.openxmlformats.org/officeDocument/2006/relationships/image" Target="media/image1145.png"/><Relationship Id="rId1234" Type="http://schemas.openxmlformats.org/officeDocument/2006/relationships/image" Target="media/image1146.png"/><Relationship Id="rId1235" Type="http://schemas.openxmlformats.org/officeDocument/2006/relationships/image" Target="media/image1147.png"/><Relationship Id="rId1236" Type="http://schemas.openxmlformats.org/officeDocument/2006/relationships/image" Target="media/image1148.png"/><Relationship Id="rId1237" Type="http://schemas.openxmlformats.org/officeDocument/2006/relationships/image" Target="media/image1149.png"/><Relationship Id="rId1238" Type="http://schemas.openxmlformats.org/officeDocument/2006/relationships/image" Target="media/image1150.png"/><Relationship Id="rId1239" Type="http://schemas.openxmlformats.org/officeDocument/2006/relationships/image" Target="media/image1151.png"/><Relationship Id="rId1240" Type="http://schemas.openxmlformats.org/officeDocument/2006/relationships/image" Target="media/image1152.png"/><Relationship Id="rId1241" Type="http://schemas.openxmlformats.org/officeDocument/2006/relationships/image" Target="media/image1153.png"/><Relationship Id="rId1242" Type="http://schemas.openxmlformats.org/officeDocument/2006/relationships/image" Target="media/image1154.png"/><Relationship Id="rId1243" Type="http://schemas.openxmlformats.org/officeDocument/2006/relationships/image" Target="media/image1155.png"/><Relationship Id="rId1244" Type="http://schemas.openxmlformats.org/officeDocument/2006/relationships/image" Target="media/image1156.png"/><Relationship Id="rId1245" Type="http://schemas.openxmlformats.org/officeDocument/2006/relationships/image" Target="media/image1157.png"/><Relationship Id="rId1246" Type="http://schemas.openxmlformats.org/officeDocument/2006/relationships/image" Target="media/image1158.png"/><Relationship Id="rId1247" Type="http://schemas.openxmlformats.org/officeDocument/2006/relationships/image" Target="media/image1159.png"/><Relationship Id="rId1248" Type="http://schemas.openxmlformats.org/officeDocument/2006/relationships/image" Target="media/image1160.png"/><Relationship Id="rId1249" Type="http://schemas.openxmlformats.org/officeDocument/2006/relationships/image" Target="media/image1161.png"/><Relationship Id="rId1250" Type="http://schemas.openxmlformats.org/officeDocument/2006/relationships/image" Target="media/image1162.png"/><Relationship Id="rId1251" Type="http://schemas.openxmlformats.org/officeDocument/2006/relationships/image" Target="media/image1163.png"/><Relationship Id="rId1252" Type="http://schemas.openxmlformats.org/officeDocument/2006/relationships/image" Target="media/image1164.png"/><Relationship Id="rId1253" Type="http://schemas.openxmlformats.org/officeDocument/2006/relationships/image" Target="media/image1165.png"/><Relationship Id="rId1254" Type="http://schemas.openxmlformats.org/officeDocument/2006/relationships/image" Target="media/image1166.png"/><Relationship Id="rId1255" Type="http://schemas.openxmlformats.org/officeDocument/2006/relationships/image" Target="media/image1167.png"/><Relationship Id="rId1256" Type="http://schemas.openxmlformats.org/officeDocument/2006/relationships/image" Target="media/image1168.png"/><Relationship Id="rId1257" Type="http://schemas.openxmlformats.org/officeDocument/2006/relationships/image" Target="media/image1169.png"/><Relationship Id="rId1258" Type="http://schemas.openxmlformats.org/officeDocument/2006/relationships/image" Target="media/image1170.png"/><Relationship Id="rId1259" Type="http://schemas.openxmlformats.org/officeDocument/2006/relationships/image" Target="media/image1171.png"/><Relationship Id="rId1260" Type="http://schemas.openxmlformats.org/officeDocument/2006/relationships/image" Target="media/image1172.png"/><Relationship Id="rId1261" Type="http://schemas.openxmlformats.org/officeDocument/2006/relationships/image" Target="media/image1173.png"/><Relationship Id="rId1262" Type="http://schemas.openxmlformats.org/officeDocument/2006/relationships/image" Target="media/image1174.png"/><Relationship Id="rId1263" Type="http://schemas.openxmlformats.org/officeDocument/2006/relationships/image" Target="media/image1175.png"/><Relationship Id="rId1264" Type="http://schemas.openxmlformats.org/officeDocument/2006/relationships/image" Target="media/image1176.png"/><Relationship Id="rId1265" Type="http://schemas.openxmlformats.org/officeDocument/2006/relationships/image" Target="media/image1177.png"/><Relationship Id="rId1266" Type="http://schemas.openxmlformats.org/officeDocument/2006/relationships/image" Target="media/image1178.png"/><Relationship Id="rId1267" Type="http://schemas.openxmlformats.org/officeDocument/2006/relationships/image" Target="media/image1179.png"/><Relationship Id="rId1268" Type="http://schemas.openxmlformats.org/officeDocument/2006/relationships/image" Target="media/image1180.png"/><Relationship Id="rId1269" Type="http://schemas.openxmlformats.org/officeDocument/2006/relationships/image" Target="media/image1181.png"/><Relationship Id="rId1270" Type="http://schemas.openxmlformats.org/officeDocument/2006/relationships/image" Target="media/image1182.png"/><Relationship Id="rId1271" Type="http://schemas.openxmlformats.org/officeDocument/2006/relationships/image" Target="media/image1183.png"/><Relationship Id="rId1272" Type="http://schemas.openxmlformats.org/officeDocument/2006/relationships/image" Target="media/image1184.png"/><Relationship Id="rId1273" Type="http://schemas.openxmlformats.org/officeDocument/2006/relationships/image" Target="media/image1185.png"/><Relationship Id="rId1274" Type="http://schemas.openxmlformats.org/officeDocument/2006/relationships/image" Target="media/image1186.png"/><Relationship Id="rId1275" Type="http://schemas.openxmlformats.org/officeDocument/2006/relationships/image" Target="media/image1187.png"/><Relationship Id="rId1276" Type="http://schemas.openxmlformats.org/officeDocument/2006/relationships/header" Target="header42.xml"/><Relationship Id="rId1277" Type="http://schemas.openxmlformats.org/officeDocument/2006/relationships/footer" Target="footer42.xml"/><Relationship Id="rId1278" Type="http://schemas.openxmlformats.org/officeDocument/2006/relationships/image" Target="media/image1188.png"/><Relationship Id="rId1279" Type="http://schemas.openxmlformats.org/officeDocument/2006/relationships/image" Target="media/image1189.png"/><Relationship Id="rId1280" Type="http://schemas.openxmlformats.org/officeDocument/2006/relationships/image" Target="media/image1190.png"/><Relationship Id="rId1281" Type="http://schemas.openxmlformats.org/officeDocument/2006/relationships/image" Target="media/image1191.png"/><Relationship Id="rId1282" Type="http://schemas.openxmlformats.org/officeDocument/2006/relationships/image" Target="media/image1192.png"/><Relationship Id="rId1283" Type="http://schemas.openxmlformats.org/officeDocument/2006/relationships/image" Target="media/image1193.png"/><Relationship Id="rId1284" Type="http://schemas.openxmlformats.org/officeDocument/2006/relationships/image" Target="media/image1194.png"/><Relationship Id="rId1285" Type="http://schemas.openxmlformats.org/officeDocument/2006/relationships/image" Target="media/image1195.png"/><Relationship Id="rId1286" Type="http://schemas.openxmlformats.org/officeDocument/2006/relationships/image" Target="media/image1196.png"/><Relationship Id="rId1287" Type="http://schemas.openxmlformats.org/officeDocument/2006/relationships/image" Target="media/image1197.png"/><Relationship Id="rId1288" Type="http://schemas.openxmlformats.org/officeDocument/2006/relationships/image" Target="media/image1198.png"/><Relationship Id="rId1289" Type="http://schemas.openxmlformats.org/officeDocument/2006/relationships/image" Target="media/image1199.png"/><Relationship Id="rId1290" Type="http://schemas.openxmlformats.org/officeDocument/2006/relationships/image" Target="media/image1200.png"/><Relationship Id="rId1291" Type="http://schemas.openxmlformats.org/officeDocument/2006/relationships/image" Target="media/image1201.png"/><Relationship Id="rId1292" Type="http://schemas.openxmlformats.org/officeDocument/2006/relationships/image" Target="media/image1202.png"/><Relationship Id="rId1293" Type="http://schemas.openxmlformats.org/officeDocument/2006/relationships/image" Target="media/image1203.png"/><Relationship Id="rId1294" Type="http://schemas.openxmlformats.org/officeDocument/2006/relationships/image" Target="media/image1204.png"/><Relationship Id="rId1295" Type="http://schemas.openxmlformats.org/officeDocument/2006/relationships/image" Target="media/image1205.png"/><Relationship Id="rId1296" Type="http://schemas.openxmlformats.org/officeDocument/2006/relationships/image" Target="media/image1206.png"/><Relationship Id="rId1297" Type="http://schemas.openxmlformats.org/officeDocument/2006/relationships/image" Target="media/image1207.png"/><Relationship Id="rId1298" Type="http://schemas.openxmlformats.org/officeDocument/2006/relationships/image" Target="media/image1208.png"/><Relationship Id="rId1299" Type="http://schemas.openxmlformats.org/officeDocument/2006/relationships/image" Target="media/image1209.png"/><Relationship Id="rId1300" Type="http://schemas.openxmlformats.org/officeDocument/2006/relationships/image" Target="media/image1210.png"/><Relationship Id="rId1301" Type="http://schemas.openxmlformats.org/officeDocument/2006/relationships/image" Target="media/image1211.png"/><Relationship Id="rId1302" Type="http://schemas.openxmlformats.org/officeDocument/2006/relationships/image" Target="media/image1212.png"/><Relationship Id="rId1303" Type="http://schemas.openxmlformats.org/officeDocument/2006/relationships/image" Target="media/image1213.png"/><Relationship Id="rId1304" Type="http://schemas.openxmlformats.org/officeDocument/2006/relationships/image" Target="media/image1214.png"/><Relationship Id="rId1305" Type="http://schemas.openxmlformats.org/officeDocument/2006/relationships/image" Target="media/image1215.png"/><Relationship Id="rId1306" Type="http://schemas.openxmlformats.org/officeDocument/2006/relationships/image" Target="media/image1216.png"/><Relationship Id="rId1307" Type="http://schemas.openxmlformats.org/officeDocument/2006/relationships/image" Target="media/image1217.png"/><Relationship Id="rId1308" Type="http://schemas.openxmlformats.org/officeDocument/2006/relationships/image" Target="media/image1218.png"/><Relationship Id="rId1309" Type="http://schemas.openxmlformats.org/officeDocument/2006/relationships/image" Target="media/image1219.png"/><Relationship Id="rId1310" Type="http://schemas.openxmlformats.org/officeDocument/2006/relationships/image" Target="media/image1220.png"/><Relationship Id="rId1311" Type="http://schemas.openxmlformats.org/officeDocument/2006/relationships/image" Target="media/image1221.png"/><Relationship Id="rId1312" Type="http://schemas.openxmlformats.org/officeDocument/2006/relationships/image" Target="media/image1222.png"/><Relationship Id="rId1313" Type="http://schemas.openxmlformats.org/officeDocument/2006/relationships/image" Target="media/image1223.png"/><Relationship Id="rId1314" Type="http://schemas.openxmlformats.org/officeDocument/2006/relationships/image" Target="media/image1224.png"/><Relationship Id="rId1315" Type="http://schemas.openxmlformats.org/officeDocument/2006/relationships/image" Target="media/image1225.png"/><Relationship Id="rId1316" Type="http://schemas.openxmlformats.org/officeDocument/2006/relationships/image" Target="media/image1226.png"/><Relationship Id="rId1317" Type="http://schemas.openxmlformats.org/officeDocument/2006/relationships/image" Target="media/image1227.png"/><Relationship Id="rId1318" Type="http://schemas.openxmlformats.org/officeDocument/2006/relationships/image" Target="media/image1228.png"/><Relationship Id="rId1319" Type="http://schemas.openxmlformats.org/officeDocument/2006/relationships/image" Target="media/image1229.png"/><Relationship Id="rId1320" Type="http://schemas.openxmlformats.org/officeDocument/2006/relationships/image" Target="media/image1230.png"/><Relationship Id="rId1321" Type="http://schemas.openxmlformats.org/officeDocument/2006/relationships/image" Target="media/image1231.png"/><Relationship Id="rId1322" Type="http://schemas.openxmlformats.org/officeDocument/2006/relationships/image" Target="media/image1232.png"/><Relationship Id="rId1323" Type="http://schemas.openxmlformats.org/officeDocument/2006/relationships/image" Target="media/image1233.png"/><Relationship Id="rId1324" Type="http://schemas.openxmlformats.org/officeDocument/2006/relationships/image" Target="media/image1234.png"/><Relationship Id="rId1325" Type="http://schemas.openxmlformats.org/officeDocument/2006/relationships/image" Target="media/image1235.png"/><Relationship Id="rId1326" Type="http://schemas.openxmlformats.org/officeDocument/2006/relationships/image" Target="media/image1236.png"/><Relationship Id="rId1327" Type="http://schemas.openxmlformats.org/officeDocument/2006/relationships/image" Target="media/image1237.png"/><Relationship Id="rId1328" Type="http://schemas.openxmlformats.org/officeDocument/2006/relationships/image" Target="media/image1238.png"/><Relationship Id="rId1329" Type="http://schemas.openxmlformats.org/officeDocument/2006/relationships/image" Target="media/image1239.png"/><Relationship Id="rId1330" Type="http://schemas.openxmlformats.org/officeDocument/2006/relationships/image" Target="media/image1240.png"/><Relationship Id="rId1331" Type="http://schemas.openxmlformats.org/officeDocument/2006/relationships/image" Target="media/image1241.png"/><Relationship Id="rId1332" Type="http://schemas.openxmlformats.org/officeDocument/2006/relationships/image" Target="media/image1242.png"/><Relationship Id="rId1333" Type="http://schemas.openxmlformats.org/officeDocument/2006/relationships/image" Target="media/image1243.png"/><Relationship Id="rId1334" Type="http://schemas.openxmlformats.org/officeDocument/2006/relationships/image" Target="media/image1244.png"/><Relationship Id="rId1335" Type="http://schemas.openxmlformats.org/officeDocument/2006/relationships/image" Target="media/image1245.png"/><Relationship Id="rId1336" Type="http://schemas.openxmlformats.org/officeDocument/2006/relationships/image" Target="media/image1246.png"/><Relationship Id="rId1337" Type="http://schemas.openxmlformats.org/officeDocument/2006/relationships/image" Target="media/image1247.png"/><Relationship Id="rId1338" Type="http://schemas.openxmlformats.org/officeDocument/2006/relationships/image" Target="media/image1248.png"/><Relationship Id="rId1339" Type="http://schemas.openxmlformats.org/officeDocument/2006/relationships/image" Target="media/image1249.png"/><Relationship Id="rId1340" Type="http://schemas.openxmlformats.org/officeDocument/2006/relationships/image" Target="media/image1250.png"/><Relationship Id="rId1341" Type="http://schemas.openxmlformats.org/officeDocument/2006/relationships/header" Target="header43.xml"/><Relationship Id="rId1342" Type="http://schemas.openxmlformats.org/officeDocument/2006/relationships/footer" Target="footer43.xml"/><Relationship Id="rId1343" Type="http://schemas.openxmlformats.org/officeDocument/2006/relationships/image" Target="media/image1251.png"/><Relationship Id="rId1344" Type="http://schemas.openxmlformats.org/officeDocument/2006/relationships/image" Target="media/image1252.png"/><Relationship Id="rId1345" Type="http://schemas.openxmlformats.org/officeDocument/2006/relationships/image" Target="media/image1253.png"/><Relationship Id="rId1346" Type="http://schemas.openxmlformats.org/officeDocument/2006/relationships/image" Target="media/image1254.png"/><Relationship Id="rId1347" Type="http://schemas.openxmlformats.org/officeDocument/2006/relationships/image" Target="media/image1255.png"/><Relationship Id="rId1348" Type="http://schemas.openxmlformats.org/officeDocument/2006/relationships/image" Target="media/image1256.png"/><Relationship Id="rId1349" Type="http://schemas.openxmlformats.org/officeDocument/2006/relationships/image" Target="media/image1257.png"/><Relationship Id="rId1350" Type="http://schemas.openxmlformats.org/officeDocument/2006/relationships/image" Target="media/image1258.png"/><Relationship Id="rId1351" Type="http://schemas.openxmlformats.org/officeDocument/2006/relationships/image" Target="media/image1259.png"/><Relationship Id="rId1352" Type="http://schemas.openxmlformats.org/officeDocument/2006/relationships/image" Target="media/image1260.png"/><Relationship Id="rId1353" Type="http://schemas.openxmlformats.org/officeDocument/2006/relationships/image" Target="media/image1261.png"/><Relationship Id="rId1354" Type="http://schemas.openxmlformats.org/officeDocument/2006/relationships/image" Target="media/image1262.png"/><Relationship Id="rId1355" Type="http://schemas.openxmlformats.org/officeDocument/2006/relationships/image" Target="media/image1263.png"/><Relationship Id="rId1356" Type="http://schemas.openxmlformats.org/officeDocument/2006/relationships/image" Target="media/image1264.png"/><Relationship Id="rId1357" Type="http://schemas.openxmlformats.org/officeDocument/2006/relationships/image" Target="media/image1265.png"/><Relationship Id="rId1358" Type="http://schemas.openxmlformats.org/officeDocument/2006/relationships/image" Target="media/image1266.png"/><Relationship Id="rId1359" Type="http://schemas.openxmlformats.org/officeDocument/2006/relationships/image" Target="media/image1267.png"/><Relationship Id="rId1360" Type="http://schemas.openxmlformats.org/officeDocument/2006/relationships/image" Target="media/image1268.png"/><Relationship Id="rId1361" Type="http://schemas.openxmlformats.org/officeDocument/2006/relationships/image" Target="media/image1269.png"/><Relationship Id="rId1362" Type="http://schemas.openxmlformats.org/officeDocument/2006/relationships/image" Target="media/image1270.png"/><Relationship Id="rId1363" Type="http://schemas.openxmlformats.org/officeDocument/2006/relationships/image" Target="media/image1271.png"/><Relationship Id="rId1364" Type="http://schemas.openxmlformats.org/officeDocument/2006/relationships/image" Target="media/image1272.png"/><Relationship Id="rId1365" Type="http://schemas.openxmlformats.org/officeDocument/2006/relationships/image" Target="media/image1273.png"/><Relationship Id="rId1366" Type="http://schemas.openxmlformats.org/officeDocument/2006/relationships/image" Target="media/image1274.png"/><Relationship Id="rId1367" Type="http://schemas.openxmlformats.org/officeDocument/2006/relationships/image" Target="media/image1275.png"/><Relationship Id="rId1368" Type="http://schemas.openxmlformats.org/officeDocument/2006/relationships/image" Target="media/image1276.png"/><Relationship Id="rId1369" Type="http://schemas.openxmlformats.org/officeDocument/2006/relationships/image" Target="media/image1277.png"/><Relationship Id="rId1370" Type="http://schemas.openxmlformats.org/officeDocument/2006/relationships/image" Target="media/image1278.png"/><Relationship Id="rId1371" Type="http://schemas.openxmlformats.org/officeDocument/2006/relationships/image" Target="media/image1279.png"/><Relationship Id="rId1372" Type="http://schemas.openxmlformats.org/officeDocument/2006/relationships/image" Target="media/image1280.png"/><Relationship Id="rId1373" Type="http://schemas.openxmlformats.org/officeDocument/2006/relationships/image" Target="media/image1281.png"/><Relationship Id="rId1374" Type="http://schemas.openxmlformats.org/officeDocument/2006/relationships/image" Target="media/image1282.png"/><Relationship Id="rId1375" Type="http://schemas.openxmlformats.org/officeDocument/2006/relationships/image" Target="media/image1283.png"/><Relationship Id="rId1376" Type="http://schemas.openxmlformats.org/officeDocument/2006/relationships/image" Target="media/image1284.png"/><Relationship Id="rId1377" Type="http://schemas.openxmlformats.org/officeDocument/2006/relationships/image" Target="media/image1285.png"/><Relationship Id="rId1378" Type="http://schemas.openxmlformats.org/officeDocument/2006/relationships/image" Target="media/image1286.png"/><Relationship Id="rId1379" Type="http://schemas.openxmlformats.org/officeDocument/2006/relationships/image" Target="media/image1287.png"/><Relationship Id="rId1380" Type="http://schemas.openxmlformats.org/officeDocument/2006/relationships/image" Target="media/image1288.png"/><Relationship Id="rId1381" Type="http://schemas.openxmlformats.org/officeDocument/2006/relationships/image" Target="media/image1289.png"/><Relationship Id="rId1382" Type="http://schemas.openxmlformats.org/officeDocument/2006/relationships/image" Target="media/image1290.png"/><Relationship Id="rId1383" Type="http://schemas.openxmlformats.org/officeDocument/2006/relationships/image" Target="media/image1291.png"/><Relationship Id="rId1384" Type="http://schemas.openxmlformats.org/officeDocument/2006/relationships/image" Target="media/image1292.png"/><Relationship Id="rId1385" Type="http://schemas.openxmlformats.org/officeDocument/2006/relationships/image" Target="media/image1293.png"/><Relationship Id="rId1386" Type="http://schemas.openxmlformats.org/officeDocument/2006/relationships/image" Target="media/image1294.png"/><Relationship Id="rId1387" Type="http://schemas.openxmlformats.org/officeDocument/2006/relationships/image" Target="media/image1295.png"/><Relationship Id="rId1388" Type="http://schemas.openxmlformats.org/officeDocument/2006/relationships/image" Target="media/image1296.png"/><Relationship Id="rId1389" Type="http://schemas.openxmlformats.org/officeDocument/2006/relationships/image" Target="media/image1297.png"/><Relationship Id="rId1390" Type="http://schemas.openxmlformats.org/officeDocument/2006/relationships/image" Target="media/image1298.png"/><Relationship Id="rId1391" Type="http://schemas.openxmlformats.org/officeDocument/2006/relationships/image" Target="media/image1299.png"/><Relationship Id="rId1392" Type="http://schemas.openxmlformats.org/officeDocument/2006/relationships/image" Target="media/image1300.png"/><Relationship Id="rId1393" Type="http://schemas.openxmlformats.org/officeDocument/2006/relationships/image" Target="media/image1301.png"/><Relationship Id="rId1394" Type="http://schemas.openxmlformats.org/officeDocument/2006/relationships/image" Target="media/image1302.png"/><Relationship Id="rId1395" Type="http://schemas.openxmlformats.org/officeDocument/2006/relationships/image" Target="media/image1303.png"/><Relationship Id="rId1396" Type="http://schemas.openxmlformats.org/officeDocument/2006/relationships/header" Target="header44.xml"/><Relationship Id="rId1397" Type="http://schemas.openxmlformats.org/officeDocument/2006/relationships/footer" Target="footer44.xml"/><Relationship Id="rId1398" Type="http://schemas.openxmlformats.org/officeDocument/2006/relationships/image" Target="media/image1304.png"/><Relationship Id="rId1399" Type="http://schemas.openxmlformats.org/officeDocument/2006/relationships/image" Target="media/image1305.png"/><Relationship Id="rId1400" Type="http://schemas.openxmlformats.org/officeDocument/2006/relationships/image" Target="media/image1306.png"/><Relationship Id="rId1401" Type="http://schemas.openxmlformats.org/officeDocument/2006/relationships/image" Target="media/image1307.png"/><Relationship Id="rId1402" Type="http://schemas.openxmlformats.org/officeDocument/2006/relationships/image" Target="media/image1308.png"/><Relationship Id="rId1403" Type="http://schemas.openxmlformats.org/officeDocument/2006/relationships/image" Target="media/image1309.png"/><Relationship Id="rId1404" Type="http://schemas.openxmlformats.org/officeDocument/2006/relationships/image" Target="media/image1310.png"/><Relationship Id="rId1405" Type="http://schemas.openxmlformats.org/officeDocument/2006/relationships/image" Target="media/image1311.png"/><Relationship Id="rId1406" Type="http://schemas.openxmlformats.org/officeDocument/2006/relationships/image" Target="media/image1312.png"/><Relationship Id="rId1407" Type="http://schemas.openxmlformats.org/officeDocument/2006/relationships/image" Target="media/image1313.png"/><Relationship Id="rId1408" Type="http://schemas.openxmlformats.org/officeDocument/2006/relationships/image" Target="media/image1314.png"/><Relationship Id="rId1409" Type="http://schemas.openxmlformats.org/officeDocument/2006/relationships/image" Target="media/image1315.png"/><Relationship Id="rId1410" Type="http://schemas.openxmlformats.org/officeDocument/2006/relationships/image" Target="media/image1316.png"/><Relationship Id="rId1411" Type="http://schemas.openxmlformats.org/officeDocument/2006/relationships/image" Target="media/image1317.png"/><Relationship Id="rId1412" Type="http://schemas.openxmlformats.org/officeDocument/2006/relationships/image" Target="media/image1318.png"/><Relationship Id="rId1413" Type="http://schemas.openxmlformats.org/officeDocument/2006/relationships/image" Target="media/image1319.png"/><Relationship Id="rId1414" Type="http://schemas.openxmlformats.org/officeDocument/2006/relationships/image" Target="media/image1320.png"/><Relationship Id="rId1415" Type="http://schemas.openxmlformats.org/officeDocument/2006/relationships/image" Target="media/image1321.png"/><Relationship Id="rId1416" Type="http://schemas.openxmlformats.org/officeDocument/2006/relationships/image" Target="media/image1322.png"/><Relationship Id="rId1417" Type="http://schemas.openxmlformats.org/officeDocument/2006/relationships/image" Target="media/image1323.png"/><Relationship Id="rId1418" Type="http://schemas.openxmlformats.org/officeDocument/2006/relationships/image" Target="media/image1324.png"/><Relationship Id="rId1419" Type="http://schemas.openxmlformats.org/officeDocument/2006/relationships/header" Target="header45.xml"/><Relationship Id="rId1420" Type="http://schemas.openxmlformats.org/officeDocument/2006/relationships/footer" Target="footer45.xml"/><Relationship Id="rId1421" Type="http://schemas.openxmlformats.org/officeDocument/2006/relationships/header" Target="header46.xml"/><Relationship Id="rId1422" Type="http://schemas.openxmlformats.org/officeDocument/2006/relationships/footer" Target="footer46.xml"/><Relationship Id="rId1423" Type="http://schemas.openxmlformats.org/officeDocument/2006/relationships/image" Target="media/image1325.png"/><Relationship Id="rId1424" Type="http://schemas.openxmlformats.org/officeDocument/2006/relationships/image" Target="media/image1326.png"/><Relationship Id="rId1425" Type="http://schemas.openxmlformats.org/officeDocument/2006/relationships/image" Target="media/image1327.png"/><Relationship Id="rId1426" Type="http://schemas.openxmlformats.org/officeDocument/2006/relationships/image" Target="media/image1328.png"/><Relationship Id="rId1427" Type="http://schemas.openxmlformats.org/officeDocument/2006/relationships/image" Target="media/image1329.png"/><Relationship Id="rId1428" Type="http://schemas.openxmlformats.org/officeDocument/2006/relationships/image" Target="media/image1330.png"/><Relationship Id="rId1429" Type="http://schemas.openxmlformats.org/officeDocument/2006/relationships/image" Target="media/image1331.png"/><Relationship Id="rId1430" Type="http://schemas.openxmlformats.org/officeDocument/2006/relationships/image" Target="media/image1332.png"/><Relationship Id="rId1431" Type="http://schemas.openxmlformats.org/officeDocument/2006/relationships/image" Target="media/image1333.png"/><Relationship Id="rId1432" Type="http://schemas.openxmlformats.org/officeDocument/2006/relationships/image" Target="media/image1334.png"/><Relationship Id="rId1433" Type="http://schemas.openxmlformats.org/officeDocument/2006/relationships/image" Target="media/image1335.png"/><Relationship Id="rId1434" Type="http://schemas.openxmlformats.org/officeDocument/2006/relationships/image" Target="media/image1336.png"/><Relationship Id="rId1435" Type="http://schemas.openxmlformats.org/officeDocument/2006/relationships/image" Target="media/image1337.png"/><Relationship Id="rId1436" Type="http://schemas.openxmlformats.org/officeDocument/2006/relationships/image" Target="media/image1338.png"/><Relationship Id="rId1437" Type="http://schemas.openxmlformats.org/officeDocument/2006/relationships/image" Target="media/image1339.png"/><Relationship Id="rId1438" Type="http://schemas.openxmlformats.org/officeDocument/2006/relationships/image" Target="media/image1340.png"/><Relationship Id="rId1439" Type="http://schemas.openxmlformats.org/officeDocument/2006/relationships/image" Target="media/image1341.png"/><Relationship Id="rId1440" Type="http://schemas.openxmlformats.org/officeDocument/2006/relationships/image" Target="media/image1342.png"/><Relationship Id="rId1441" Type="http://schemas.openxmlformats.org/officeDocument/2006/relationships/image" Target="media/image1343.png"/><Relationship Id="rId1442" Type="http://schemas.openxmlformats.org/officeDocument/2006/relationships/image" Target="media/image1344.png"/><Relationship Id="rId1443" Type="http://schemas.openxmlformats.org/officeDocument/2006/relationships/image" Target="media/image1345.png"/><Relationship Id="rId1444" Type="http://schemas.openxmlformats.org/officeDocument/2006/relationships/image" Target="media/image1346.png"/><Relationship Id="rId1445" Type="http://schemas.openxmlformats.org/officeDocument/2006/relationships/image" Target="media/image1347.png"/><Relationship Id="rId1446" Type="http://schemas.openxmlformats.org/officeDocument/2006/relationships/image" Target="media/image1348.png"/><Relationship Id="rId1447" Type="http://schemas.openxmlformats.org/officeDocument/2006/relationships/image" Target="media/image1349.png"/><Relationship Id="rId1448" Type="http://schemas.openxmlformats.org/officeDocument/2006/relationships/image" Target="media/image1350.png"/><Relationship Id="rId1449" Type="http://schemas.openxmlformats.org/officeDocument/2006/relationships/image" Target="media/image1351.png"/><Relationship Id="rId1450" Type="http://schemas.openxmlformats.org/officeDocument/2006/relationships/image" Target="media/image1352.png"/><Relationship Id="rId1451" Type="http://schemas.openxmlformats.org/officeDocument/2006/relationships/image" Target="media/image1353.png"/><Relationship Id="rId1452" Type="http://schemas.openxmlformats.org/officeDocument/2006/relationships/header" Target="header47.xml"/><Relationship Id="rId1453" Type="http://schemas.openxmlformats.org/officeDocument/2006/relationships/footer" Target="footer47.xml"/><Relationship Id="rId1454" Type="http://schemas.openxmlformats.org/officeDocument/2006/relationships/image" Target="media/image1354.png"/><Relationship Id="rId1455" Type="http://schemas.openxmlformats.org/officeDocument/2006/relationships/image" Target="media/image1355.png"/><Relationship Id="rId1456" Type="http://schemas.openxmlformats.org/officeDocument/2006/relationships/image" Target="media/image1356.png"/><Relationship Id="rId1457" Type="http://schemas.openxmlformats.org/officeDocument/2006/relationships/image" Target="media/image1357.png"/><Relationship Id="rId1458" Type="http://schemas.openxmlformats.org/officeDocument/2006/relationships/image" Target="media/image1358.png"/><Relationship Id="rId1459" Type="http://schemas.openxmlformats.org/officeDocument/2006/relationships/image" Target="media/image1359.png"/><Relationship Id="rId1460" Type="http://schemas.openxmlformats.org/officeDocument/2006/relationships/image" Target="media/image1360.png"/><Relationship Id="rId1461" Type="http://schemas.openxmlformats.org/officeDocument/2006/relationships/image" Target="media/image1361.png"/><Relationship Id="rId1462" Type="http://schemas.openxmlformats.org/officeDocument/2006/relationships/image" Target="media/image1362.png"/><Relationship Id="rId1463" Type="http://schemas.openxmlformats.org/officeDocument/2006/relationships/image" Target="media/image1363.png"/><Relationship Id="rId1464" Type="http://schemas.openxmlformats.org/officeDocument/2006/relationships/image" Target="media/image1364.png"/><Relationship Id="rId1465" Type="http://schemas.openxmlformats.org/officeDocument/2006/relationships/image" Target="media/image1365.png"/><Relationship Id="rId1466" Type="http://schemas.openxmlformats.org/officeDocument/2006/relationships/image" Target="media/image1366.png"/><Relationship Id="rId1467" Type="http://schemas.openxmlformats.org/officeDocument/2006/relationships/image" Target="media/image1367.png"/><Relationship Id="rId1468" Type="http://schemas.openxmlformats.org/officeDocument/2006/relationships/image" Target="media/image1368.png"/><Relationship Id="rId1469" Type="http://schemas.openxmlformats.org/officeDocument/2006/relationships/image" Target="media/image1369.png"/><Relationship Id="rId1470" Type="http://schemas.openxmlformats.org/officeDocument/2006/relationships/image" Target="media/image1370.png"/><Relationship Id="rId1471" Type="http://schemas.openxmlformats.org/officeDocument/2006/relationships/image" Target="media/image1371.png"/><Relationship Id="rId1472" Type="http://schemas.openxmlformats.org/officeDocument/2006/relationships/image" Target="media/image1372.png"/><Relationship Id="rId1473" Type="http://schemas.openxmlformats.org/officeDocument/2006/relationships/image" Target="media/image1373.png"/><Relationship Id="rId1474" Type="http://schemas.openxmlformats.org/officeDocument/2006/relationships/image" Target="media/image1374.png"/><Relationship Id="rId1475" Type="http://schemas.openxmlformats.org/officeDocument/2006/relationships/image" Target="media/image1375.png"/><Relationship Id="rId1476" Type="http://schemas.openxmlformats.org/officeDocument/2006/relationships/image" Target="media/image1376.png"/><Relationship Id="rId1477" Type="http://schemas.openxmlformats.org/officeDocument/2006/relationships/image" Target="media/image1377.png"/><Relationship Id="rId1478" Type="http://schemas.openxmlformats.org/officeDocument/2006/relationships/image" Target="media/image1378.png"/><Relationship Id="rId1479" Type="http://schemas.openxmlformats.org/officeDocument/2006/relationships/image" Target="media/image1379.png"/><Relationship Id="rId1480" Type="http://schemas.openxmlformats.org/officeDocument/2006/relationships/image" Target="media/image1380.png"/><Relationship Id="rId1481" Type="http://schemas.openxmlformats.org/officeDocument/2006/relationships/image" Target="media/image1381.png"/><Relationship Id="rId1482" Type="http://schemas.openxmlformats.org/officeDocument/2006/relationships/image" Target="media/image1382.png"/><Relationship Id="rId1483" Type="http://schemas.openxmlformats.org/officeDocument/2006/relationships/image" Target="media/image1383.png"/><Relationship Id="rId1484" Type="http://schemas.openxmlformats.org/officeDocument/2006/relationships/image" Target="media/image1384.png"/><Relationship Id="rId1485" Type="http://schemas.openxmlformats.org/officeDocument/2006/relationships/image" Target="media/image1385.png"/><Relationship Id="rId1486" Type="http://schemas.openxmlformats.org/officeDocument/2006/relationships/image" Target="media/image1386.png"/><Relationship Id="rId1487" Type="http://schemas.openxmlformats.org/officeDocument/2006/relationships/image" Target="media/image1387.png"/><Relationship Id="rId1488" Type="http://schemas.openxmlformats.org/officeDocument/2006/relationships/image" Target="media/image1388.png"/><Relationship Id="rId1489" Type="http://schemas.openxmlformats.org/officeDocument/2006/relationships/image" Target="media/image1389.png"/><Relationship Id="rId1490" Type="http://schemas.openxmlformats.org/officeDocument/2006/relationships/image" Target="media/image1390.png"/><Relationship Id="rId1491" Type="http://schemas.openxmlformats.org/officeDocument/2006/relationships/image" Target="media/image1391.png"/><Relationship Id="rId1492" Type="http://schemas.openxmlformats.org/officeDocument/2006/relationships/image" Target="media/image1392.png"/><Relationship Id="rId1493" Type="http://schemas.openxmlformats.org/officeDocument/2006/relationships/image" Target="media/image1393.png"/><Relationship Id="rId1494" Type="http://schemas.openxmlformats.org/officeDocument/2006/relationships/image" Target="media/image1394.png"/><Relationship Id="rId1495" Type="http://schemas.openxmlformats.org/officeDocument/2006/relationships/image" Target="media/image1395.png"/><Relationship Id="rId1496" Type="http://schemas.openxmlformats.org/officeDocument/2006/relationships/image" Target="media/image1396.png"/><Relationship Id="rId1497" Type="http://schemas.openxmlformats.org/officeDocument/2006/relationships/image" Target="media/image1397.png"/><Relationship Id="rId1498" Type="http://schemas.openxmlformats.org/officeDocument/2006/relationships/image" Target="media/image1398.png"/><Relationship Id="rId1499" Type="http://schemas.openxmlformats.org/officeDocument/2006/relationships/image" Target="media/image1399.png"/><Relationship Id="rId1500" Type="http://schemas.openxmlformats.org/officeDocument/2006/relationships/image" Target="media/image1400.png"/><Relationship Id="rId1501" Type="http://schemas.openxmlformats.org/officeDocument/2006/relationships/header" Target="header48.xml"/><Relationship Id="rId1502" Type="http://schemas.openxmlformats.org/officeDocument/2006/relationships/footer" Target="footer48.xml"/><Relationship Id="rId1503" Type="http://schemas.openxmlformats.org/officeDocument/2006/relationships/image" Target="media/image1401.png"/><Relationship Id="rId1504" Type="http://schemas.openxmlformats.org/officeDocument/2006/relationships/image" Target="media/image1402.png"/><Relationship Id="rId1505" Type="http://schemas.openxmlformats.org/officeDocument/2006/relationships/image" Target="media/image1403.png"/><Relationship Id="rId1506" Type="http://schemas.openxmlformats.org/officeDocument/2006/relationships/image" Target="media/image1404.png"/><Relationship Id="rId1507" Type="http://schemas.openxmlformats.org/officeDocument/2006/relationships/image" Target="media/image1405.png"/><Relationship Id="rId1508" Type="http://schemas.openxmlformats.org/officeDocument/2006/relationships/image" Target="media/image1406.png"/><Relationship Id="rId1509" Type="http://schemas.openxmlformats.org/officeDocument/2006/relationships/image" Target="media/image1407.png"/><Relationship Id="rId1510" Type="http://schemas.openxmlformats.org/officeDocument/2006/relationships/image" Target="media/image1408.png"/><Relationship Id="rId1511" Type="http://schemas.openxmlformats.org/officeDocument/2006/relationships/image" Target="media/image1409.png"/><Relationship Id="rId1512" Type="http://schemas.openxmlformats.org/officeDocument/2006/relationships/image" Target="media/image1410.png"/><Relationship Id="rId1513" Type="http://schemas.openxmlformats.org/officeDocument/2006/relationships/image" Target="media/image1411.png"/><Relationship Id="rId1514" Type="http://schemas.openxmlformats.org/officeDocument/2006/relationships/image" Target="media/image1412.png"/><Relationship Id="rId1515" Type="http://schemas.openxmlformats.org/officeDocument/2006/relationships/image" Target="media/image1413.png"/><Relationship Id="rId1516" Type="http://schemas.openxmlformats.org/officeDocument/2006/relationships/image" Target="media/image1414.png"/><Relationship Id="rId1517" Type="http://schemas.openxmlformats.org/officeDocument/2006/relationships/image" Target="media/image1415.png"/><Relationship Id="rId1518" Type="http://schemas.openxmlformats.org/officeDocument/2006/relationships/image" Target="media/image1416.png"/><Relationship Id="rId1519" Type="http://schemas.openxmlformats.org/officeDocument/2006/relationships/image" Target="media/image1417.png"/><Relationship Id="rId1520" Type="http://schemas.openxmlformats.org/officeDocument/2006/relationships/image" Target="media/image1418.png"/><Relationship Id="rId1521" Type="http://schemas.openxmlformats.org/officeDocument/2006/relationships/image" Target="media/image1419.png"/><Relationship Id="rId1522" Type="http://schemas.openxmlformats.org/officeDocument/2006/relationships/image" Target="media/image1420.png"/><Relationship Id="rId1523" Type="http://schemas.openxmlformats.org/officeDocument/2006/relationships/image" Target="media/image1421.png"/><Relationship Id="rId1524" Type="http://schemas.openxmlformats.org/officeDocument/2006/relationships/image" Target="media/image1422.png"/><Relationship Id="rId1525" Type="http://schemas.openxmlformats.org/officeDocument/2006/relationships/image" Target="media/image1423.png"/><Relationship Id="rId1526" Type="http://schemas.openxmlformats.org/officeDocument/2006/relationships/image" Target="media/image1424.png"/><Relationship Id="rId1527" Type="http://schemas.openxmlformats.org/officeDocument/2006/relationships/image" Target="media/image1425.png"/><Relationship Id="rId1528" Type="http://schemas.openxmlformats.org/officeDocument/2006/relationships/image" Target="media/image1426.png"/><Relationship Id="rId1529" Type="http://schemas.openxmlformats.org/officeDocument/2006/relationships/image" Target="media/image1427.png"/><Relationship Id="rId1530" Type="http://schemas.openxmlformats.org/officeDocument/2006/relationships/image" Target="media/image1428.png"/><Relationship Id="rId1531" Type="http://schemas.openxmlformats.org/officeDocument/2006/relationships/image" Target="media/image1429.png"/><Relationship Id="rId1532" Type="http://schemas.openxmlformats.org/officeDocument/2006/relationships/image" Target="media/image1430.png"/><Relationship Id="rId1533" Type="http://schemas.openxmlformats.org/officeDocument/2006/relationships/image" Target="media/image1431.png"/><Relationship Id="rId1534" Type="http://schemas.openxmlformats.org/officeDocument/2006/relationships/image" Target="media/image1432.png"/><Relationship Id="rId1535" Type="http://schemas.openxmlformats.org/officeDocument/2006/relationships/image" Target="media/image1433.png"/><Relationship Id="rId1536" Type="http://schemas.openxmlformats.org/officeDocument/2006/relationships/image" Target="media/image1434.png"/><Relationship Id="rId1537" Type="http://schemas.openxmlformats.org/officeDocument/2006/relationships/image" Target="media/image1435.png"/><Relationship Id="rId1538" Type="http://schemas.openxmlformats.org/officeDocument/2006/relationships/image" Target="media/image1436.png"/><Relationship Id="rId1539" Type="http://schemas.openxmlformats.org/officeDocument/2006/relationships/image" Target="media/image1437.png"/><Relationship Id="rId1540" Type="http://schemas.openxmlformats.org/officeDocument/2006/relationships/image" Target="media/image1438.png"/><Relationship Id="rId1541" Type="http://schemas.openxmlformats.org/officeDocument/2006/relationships/image" Target="media/image1439.png"/><Relationship Id="rId1542" Type="http://schemas.openxmlformats.org/officeDocument/2006/relationships/image" Target="media/image1440.png"/><Relationship Id="rId1543" Type="http://schemas.openxmlformats.org/officeDocument/2006/relationships/image" Target="media/image1441.png"/><Relationship Id="rId1544" Type="http://schemas.openxmlformats.org/officeDocument/2006/relationships/image" Target="media/image1442.png"/><Relationship Id="rId1545" Type="http://schemas.openxmlformats.org/officeDocument/2006/relationships/image" Target="media/image1443.png"/><Relationship Id="rId1546" Type="http://schemas.openxmlformats.org/officeDocument/2006/relationships/image" Target="media/image1444.png"/><Relationship Id="rId1547" Type="http://schemas.openxmlformats.org/officeDocument/2006/relationships/image" Target="media/image1445.png"/><Relationship Id="rId1548" Type="http://schemas.openxmlformats.org/officeDocument/2006/relationships/image" Target="media/image1446.png"/><Relationship Id="rId1549" Type="http://schemas.openxmlformats.org/officeDocument/2006/relationships/image" Target="media/image1447.png"/><Relationship Id="rId1550" Type="http://schemas.openxmlformats.org/officeDocument/2006/relationships/image" Target="media/image1448.png"/><Relationship Id="rId1551" Type="http://schemas.openxmlformats.org/officeDocument/2006/relationships/image" Target="media/image1449.png"/><Relationship Id="rId1552" Type="http://schemas.openxmlformats.org/officeDocument/2006/relationships/image" Target="media/image1450.png"/><Relationship Id="rId1553" Type="http://schemas.openxmlformats.org/officeDocument/2006/relationships/image" Target="media/image1451.png"/><Relationship Id="rId1554" Type="http://schemas.openxmlformats.org/officeDocument/2006/relationships/image" Target="media/image1452.png"/><Relationship Id="rId1555" Type="http://schemas.openxmlformats.org/officeDocument/2006/relationships/image" Target="media/image1453.png"/><Relationship Id="rId1556" Type="http://schemas.openxmlformats.org/officeDocument/2006/relationships/image" Target="media/image1454.png"/><Relationship Id="rId1557" Type="http://schemas.openxmlformats.org/officeDocument/2006/relationships/image" Target="media/image1455.png"/><Relationship Id="rId1558" Type="http://schemas.openxmlformats.org/officeDocument/2006/relationships/image" Target="media/image1456.png"/><Relationship Id="rId1559" Type="http://schemas.openxmlformats.org/officeDocument/2006/relationships/image" Target="media/image1457.png"/><Relationship Id="rId1560" Type="http://schemas.openxmlformats.org/officeDocument/2006/relationships/image" Target="media/image1458.png"/><Relationship Id="rId1561" Type="http://schemas.openxmlformats.org/officeDocument/2006/relationships/image" Target="media/image1459.png"/><Relationship Id="rId1562" Type="http://schemas.openxmlformats.org/officeDocument/2006/relationships/image" Target="media/image1460.png"/><Relationship Id="rId1563" Type="http://schemas.openxmlformats.org/officeDocument/2006/relationships/image" Target="media/image1461.png"/><Relationship Id="rId1564" Type="http://schemas.openxmlformats.org/officeDocument/2006/relationships/image" Target="media/image1462.png"/><Relationship Id="rId1565" Type="http://schemas.openxmlformats.org/officeDocument/2006/relationships/image" Target="media/image1463.png"/><Relationship Id="rId1566" Type="http://schemas.openxmlformats.org/officeDocument/2006/relationships/image" Target="media/image1464.png"/><Relationship Id="rId1567" Type="http://schemas.openxmlformats.org/officeDocument/2006/relationships/image" Target="media/image1465.png"/><Relationship Id="rId1568" Type="http://schemas.openxmlformats.org/officeDocument/2006/relationships/image" Target="media/image1466.png"/><Relationship Id="rId1569" Type="http://schemas.openxmlformats.org/officeDocument/2006/relationships/image" Target="media/image1467.png"/><Relationship Id="rId1570" Type="http://schemas.openxmlformats.org/officeDocument/2006/relationships/image" Target="media/image1468.png"/><Relationship Id="rId1571" Type="http://schemas.openxmlformats.org/officeDocument/2006/relationships/image" Target="media/image1469.png"/><Relationship Id="rId1572" Type="http://schemas.openxmlformats.org/officeDocument/2006/relationships/image" Target="media/image1470.png"/><Relationship Id="rId1573" Type="http://schemas.openxmlformats.org/officeDocument/2006/relationships/image" Target="media/image1471.png"/><Relationship Id="rId1574" Type="http://schemas.openxmlformats.org/officeDocument/2006/relationships/image" Target="media/image1472.png"/><Relationship Id="rId1575" Type="http://schemas.openxmlformats.org/officeDocument/2006/relationships/image" Target="media/image1473.png"/><Relationship Id="rId1576" Type="http://schemas.openxmlformats.org/officeDocument/2006/relationships/image" Target="media/image1474.png"/><Relationship Id="rId1577" Type="http://schemas.openxmlformats.org/officeDocument/2006/relationships/image" Target="media/image1475.png"/><Relationship Id="rId1578" Type="http://schemas.openxmlformats.org/officeDocument/2006/relationships/image" Target="media/image1476.png"/><Relationship Id="rId1579" Type="http://schemas.openxmlformats.org/officeDocument/2006/relationships/image" Target="media/image1477.png"/><Relationship Id="rId1580" Type="http://schemas.openxmlformats.org/officeDocument/2006/relationships/image" Target="media/image1478.png"/><Relationship Id="rId1581" Type="http://schemas.openxmlformats.org/officeDocument/2006/relationships/image" Target="media/image1479.png"/><Relationship Id="rId1582" Type="http://schemas.openxmlformats.org/officeDocument/2006/relationships/image" Target="media/image1480.png"/><Relationship Id="rId1583" Type="http://schemas.openxmlformats.org/officeDocument/2006/relationships/image" Target="media/image1481.png"/><Relationship Id="rId1584" Type="http://schemas.openxmlformats.org/officeDocument/2006/relationships/image" Target="media/image1482.png"/><Relationship Id="rId1585" Type="http://schemas.openxmlformats.org/officeDocument/2006/relationships/image" Target="media/image1483.png"/><Relationship Id="rId1586" Type="http://schemas.openxmlformats.org/officeDocument/2006/relationships/image" Target="media/image1484.png"/><Relationship Id="rId1587" Type="http://schemas.openxmlformats.org/officeDocument/2006/relationships/image" Target="media/image1485.png"/><Relationship Id="rId1588" Type="http://schemas.openxmlformats.org/officeDocument/2006/relationships/image" Target="media/image1486.png"/><Relationship Id="rId1589" Type="http://schemas.openxmlformats.org/officeDocument/2006/relationships/image" Target="media/image1487.png"/><Relationship Id="rId1590" Type="http://schemas.openxmlformats.org/officeDocument/2006/relationships/image" Target="media/image1488.png"/><Relationship Id="rId1591" Type="http://schemas.openxmlformats.org/officeDocument/2006/relationships/image" Target="media/image1489.png"/><Relationship Id="rId1592" Type="http://schemas.openxmlformats.org/officeDocument/2006/relationships/image" Target="media/image1490.png"/><Relationship Id="rId1593" Type="http://schemas.openxmlformats.org/officeDocument/2006/relationships/image" Target="media/image1491.png"/><Relationship Id="rId1594" Type="http://schemas.openxmlformats.org/officeDocument/2006/relationships/image" Target="media/image1492.png"/><Relationship Id="rId1595" Type="http://schemas.openxmlformats.org/officeDocument/2006/relationships/image" Target="media/image1493.png"/><Relationship Id="rId1596" Type="http://schemas.openxmlformats.org/officeDocument/2006/relationships/image" Target="media/image1494.png"/><Relationship Id="rId1597" Type="http://schemas.openxmlformats.org/officeDocument/2006/relationships/image" Target="media/image1495.png"/><Relationship Id="rId1598" Type="http://schemas.openxmlformats.org/officeDocument/2006/relationships/image" Target="media/image1496.png"/><Relationship Id="rId1599" Type="http://schemas.openxmlformats.org/officeDocument/2006/relationships/image" Target="media/image1497.png"/><Relationship Id="rId1600" Type="http://schemas.openxmlformats.org/officeDocument/2006/relationships/image" Target="media/image1498.png"/><Relationship Id="rId1601" Type="http://schemas.openxmlformats.org/officeDocument/2006/relationships/image" Target="media/image1499.png"/><Relationship Id="rId1602" Type="http://schemas.openxmlformats.org/officeDocument/2006/relationships/image" Target="media/image1500.png"/><Relationship Id="rId1603" Type="http://schemas.openxmlformats.org/officeDocument/2006/relationships/image" Target="media/image1501.png"/><Relationship Id="rId1604" Type="http://schemas.openxmlformats.org/officeDocument/2006/relationships/image" Target="media/image1502.png"/><Relationship Id="rId1605" Type="http://schemas.openxmlformats.org/officeDocument/2006/relationships/image" Target="media/image1503.png"/><Relationship Id="rId1606" Type="http://schemas.openxmlformats.org/officeDocument/2006/relationships/image" Target="media/image1504.png"/><Relationship Id="rId1607" Type="http://schemas.openxmlformats.org/officeDocument/2006/relationships/image" Target="media/image1505.png"/><Relationship Id="rId1608" Type="http://schemas.openxmlformats.org/officeDocument/2006/relationships/image" Target="media/image1506.png"/><Relationship Id="rId1609" Type="http://schemas.openxmlformats.org/officeDocument/2006/relationships/image" Target="media/image1507.png"/><Relationship Id="rId1610" Type="http://schemas.openxmlformats.org/officeDocument/2006/relationships/image" Target="media/image1508.png"/><Relationship Id="rId1611" Type="http://schemas.openxmlformats.org/officeDocument/2006/relationships/image" Target="media/image1509.png"/><Relationship Id="rId1612" Type="http://schemas.openxmlformats.org/officeDocument/2006/relationships/image" Target="media/image1510.png"/><Relationship Id="rId1613" Type="http://schemas.openxmlformats.org/officeDocument/2006/relationships/image" Target="media/image1511.png"/><Relationship Id="rId1614" Type="http://schemas.openxmlformats.org/officeDocument/2006/relationships/image" Target="media/image1512.png"/><Relationship Id="rId1615" Type="http://schemas.openxmlformats.org/officeDocument/2006/relationships/image" Target="media/image1513.png"/><Relationship Id="rId1616" Type="http://schemas.openxmlformats.org/officeDocument/2006/relationships/image" Target="media/image1514.png"/><Relationship Id="rId1617" Type="http://schemas.openxmlformats.org/officeDocument/2006/relationships/image" Target="media/image1515.png"/><Relationship Id="rId1618" Type="http://schemas.openxmlformats.org/officeDocument/2006/relationships/image" Target="media/image1516.png"/><Relationship Id="rId1619" Type="http://schemas.openxmlformats.org/officeDocument/2006/relationships/image" Target="media/image1517.png"/><Relationship Id="rId1620" Type="http://schemas.openxmlformats.org/officeDocument/2006/relationships/image" Target="media/image1518.png"/><Relationship Id="rId1621" Type="http://schemas.openxmlformats.org/officeDocument/2006/relationships/image" Target="media/image1519.png"/><Relationship Id="rId1622" Type="http://schemas.openxmlformats.org/officeDocument/2006/relationships/image" Target="media/image1520.png"/><Relationship Id="rId1623" Type="http://schemas.openxmlformats.org/officeDocument/2006/relationships/image" Target="media/image1521.png"/><Relationship Id="rId1624" Type="http://schemas.openxmlformats.org/officeDocument/2006/relationships/image" Target="media/image1522.png"/><Relationship Id="rId1625" Type="http://schemas.openxmlformats.org/officeDocument/2006/relationships/image" Target="media/image1523.png"/><Relationship Id="rId1626" Type="http://schemas.openxmlformats.org/officeDocument/2006/relationships/image" Target="media/image1524.png"/><Relationship Id="rId1627" Type="http://schemas.openxmlformats.org/officeDocument/2006/relationships/image" Target="media/image1525.png"/><Relationship Id="rId1628" Type="http://schemas.openxmlformats.org/officeDocument/2006/relationships/image" Target="media/image1526.png"/><Relationship Id="rId1629" Type="http://schemas.openxmlformats.org/officeDocument/2006/relationships/image" Target="media/image1527.png"/><Relationship Id="rId1630" Type="http://schemas.openxmlformats.org/officeDocument/2006/relationships/image" Target="media/image1528.png"/><Relationship Id="rId1631" Type="http://schemas.openxmlformats.org/officeDocument/2006/relationships/image" Target="media/image1529.png"/><Relationship Id="rId1632" Type="http://schemas.openxmlformats.org/officeDocument/2006/relationships/image" Target="media/image1530.png"/><Relationship Id="rId1633" Type="http://schemas.openxmlformats.org/officeDocument/2006/relationships/image" Target="media/image1531.png"/><Relationship Id="rId1634" Type="http://schemas.openxmlformats.org/officeDocument/2006/relationships/image" Target="media/image1532.png"/><Relationship Id="rId1635" Type="http://schemas.openxmlformats.org/officeDocument/2006/relationships/image" Target="media/image1533.png"/><Relationship Id="rId1636" Type="http://schemas.openxmlformats.org/officeDocument/2006/relationships/image" Target="media/image1534.png"/><Relationship Id="rId1637" Type="http://schemas.openxmlformats.org/officeDocument/2006/relationships/image" Target="media/image1535.png"/><Relationship Id="rId1638" Type="http://schemas.openxmlformats.org/officeDocument/2006/relationships/image" Target="media/image1536.png"/><Relationship Id="rId1639" Type="http://schemas.openxmlformats.org/officeDocument/2006/relationships/image" Target="media/image1537.png"/><Relationship Id="rId1640" Type="http://schemas.openxmlformats.org/officeDocument/2006/relationships/image" Target="media/image1538.png"/><Relationship Id="rId1641" Type="http://schemas.openxmlformats.org/officeDocument/2006/relationships/image" Target="media/image1539.png"/><Relationship Id="rId1642" Type="http://schemas.openxmlformats.org/officeDocument/2006/relationships/image" Target="media/image1540.png"/><Relationship Id="rId1643" Type="http://schemas.openxmlformats.org/officeDocument/2006/relationships/image" Target="media/image1541.png"/><Relationship Id="rId1644" Type="http://schemas.openxmlformats.org/officeDocument/2006/relationships/image" Target="media/image1542.png"/><Relationship Id="rId1645" Type="http://schemas.openxmlformats.org/officeDocument/2006/relationships/image" Target="media/image1543.png"/><Relationship Id="rId1646" Type="http://schemas.openxmlformats.org/officeDocument/2006/relationships/image" Target="media/image1544.png"/><Relationship Id="rId1647" Type="http://schemas.openxmlformats.org/officeDocument/2006/relationships/image" Target="media/image1545.png"/><Relationship Id="rId1648" Type="http://schemas.openxmlformats.org/officeDocument/2006/relationships/image" Target="media/image1546.png"/><Relationship Id="rId1649" Type="http://schemas.openxmlformats.org/officeDocument/2006/relationships/image" Target="media/image1547.png"/><Relationship Id="rId1650" Type="http://schemas.openxmlformats.org/officeDocument/2006/relationships/image" Target="media/image1548.png"/><Relationship Id="rId1651" Type="http://schemas.openxmlformats.org/officeDocument/2006/relationships/image" Target="media/image1549.png"/><Relationship Id="rId1652" Type="http://schemas.openxmlformats.org/officeDocument/2006/relationships/image" Target="media/image1550.png"/><Relationship Id="rId1653" Type="http://schemas.openxmlformats.org/officeDocument/2006/relationships/image" Target="media/image1551.png"/><Relationship Id="rId1654" Type="http://schemas.openxmlformats.org/officeDocument/2006/relationships/image" Target="media/image1552.png"/><Relationship Id="rId1655" Type="http://schemas.openxmlformats.org/officeDocument/2006/relationships/image" Target="media/image1553.png"/><Relationship Id="rId1656" Type="http://schemas.openxmlformats.org/officeDocument/2006/relationships/image" Target="media/image1554.png"/><Relationship Id="rId1657" Type="http://schemas.openxmlformats.org/officeDocument/2006/relationships/image" Target="media/image1555.png"/><Relationship Id="rId1658" Type="http://schemas.openxmlformats.org/officeDocument/2006/relationships/image" Target="media/image1556.png"/><Relationship Id="rId1659" Type="http://schemas.openxmlformats.org/officeDocument/2006/relationships/image" Target="media/image1557.png"/><Relationship Id="rId1660" Type="http://schemas.openxmlformats.org/officeDocument/2006/relationships/image" Target="media/image1558.png"/><Relationship Id="rId1661" Type="http://schemas.openxmlformats.org/officeDocument/2006/relationships/image" Target="media/image1559.png"/><Relationship Id="rId1662" Type="http://schemas.openxmlformats.org/officeDocument/2006/relationships/image" Target="media/image1560.png"/><Relationship Id="rId1663" Type="http://schemas.openxmlformats.org/officeDocument/2006/relationships/image" Target="media/image1561.png"/><Relationship Id="rId1664" Type="http://schemas.openxmlformats.org/officeDocument/2006/relationships/image" Target="media/image1562.png"/><Relationship Id="rId1665" Type="http://schemas.openxmlformats.org/officeDocument/2006/relationships/image" Target="media/image1563.png"/><Relationship Id="rId1666" Type="http://schemas.openxmlformats.org/officeDocument/2006/relationships/image" Target="media/image1564.png"/><Relationship Id="rId1667" Type="http://schemas.openxmlformats.org/officeDocument/2006/relationships/image" Target="media/image1565.png"/><Relationship Id="rId1668" Type="http://schemas.openxmlformats.org/officeDocument/2006/relationships/image" Target="media/image1566.png"/><Relationship Id="rId1669" Type="http://schemas.openxmlformats.org/officeDocument/2006/relationships/image" Target="media/image1567.png"/><Relationship Id="rId1670" Type="http://schemas.openxmlformats.org/officeDocument/2006/relationships/image" Target="media/image1568.png"/><Relationship Id="rId1671" Type="http://schemas.openxmlformats.org/officeDocument/2006/relationships/image" Target="media/image1569.png"/><Relationship Id="rId1672" Type="http://schemas.openxmlformats.org/officeDocument/2006/relationships/image" Target="media/image1570.png"/><Relationship Id="rId1673" Type="http://schemas.openxmlformats.org/officeDocument/2006/relationships/image" Target="media/image1571.png"/><Relationship Id="rId1674" Type="http://schemas.openxmlformats.org/officeDocument/2006/relationships/image" Target="media/image1572.png"/><Relationship Id="rId1675" Type="http://schemas.openxmlformats.org/officeDocument/2006/relationships/image" Target="media/image1573.png"/><Relationship Id="rId1676" Type="http://schemas.openxmlformats.org/officeDocument/2006/relationships/image" Target="media/image1574.png"/><Relationship Id="rId1677" Type="http://schemas.openxmlformats.org/officeDocument/2006/relationships/image" Target="media/image1575.png"/><Relationship Id="rId1678" Type="http://schemas.openxmlformats.org/officeDocument/2006/relationships/header" Target="header49.xml"/><Relationship Id="rId1679" Type="http://schemas.openxmlformats.org/officeDocument/2006/relationships/footer" Target="footer49.xml"/><Relationship Id="rId1680" Type="http://schemas.openxmlformats.org/officeDocument/2006/relationships/image" Target="media/image1576.png"/><Relationship Id="rId1681" Type="http://schemas.openxmlformats.org/officeDocument/2006/relationships/image" Target="media/image1577.png"/><Relationship Id="rId1682" Type="http://schemas.openxmlformats.org/officeDocument/2006/relationships/image" Target="media/image1578.png"/><Relationship Id="rId1683" Type="http://schemas.openxmlformats.org/officeDocument/2006/relationships/image" Target="media/image1579.png"/><Relationship Id="rId1684" Type="http://schemas.openxmlformats.org/officeDocument/2006/relationships/image" Target="media/image1580.png"/><Relationship Id="rId1685" Type="http://schemas.openxmlformats.org/officeDocument/2006/relationships/image" Target="media/image1581.png"/><Relationship Id="rId1686" Type="http://schemas.openxmlformats.org/officeDocument/2006/relationships/image" Target="media/image1582.png"/><Relationship Id="rId1687" Type="http://schemas.openxmlformats.org/officeDocument/2006/relationships/image" Target="media/image1583.png"/><Relationship Id="rId1688" Type="http://schemas.openxmlformats.org/officeDocument/2006/relationships/image" Target="media/image1584.png"/><Relationship Id="rId1689" Type="http://schemas.openxmlformats.org/officeDocument/2006/relationships/image" Target="media/image1585.png"/><Relationship Id="rId1690" Type="http://schemas.openxmlformats.org/officeDocument/2006/relationships/image" Target="media/image1586.png"/><Relationship Id="rId1691" Type="http://schemas.openxmlformats.org/officeDocument/2006/relationships/image" Target="media/image1587.png"/><Relationship Id="rId1692" Type="http://schemas.openxmlformats.org/officeDocument/2006/relationships/image" Target="media/image1588.png"/><Relationship Id="rId1693" Type="http://schemas.openxmlformats.org/officeDocument/2006/relationships/image" Target="media/image1589.png"/><Relationship Id="rId1694" Type="http://schemas.openxmlformats.org/officeDocument/2006/relationships/image" Target="media/image1590.png"/><Relationship Id="rId1695" Type="http://schemas.openxmlformats.org/officeDocument/2006/relationships/header" Target="header50.xml"/><Relationship Id="rId1696" Type="http://schemas.openxmlformats.org/officeDocument/2006/relationships/footer" Target="footer50.xml"/><Relationship Id="rId1697" Type="http://schemas.openxmlformats.org/officeDocument/2006/relationships/image" Target="media/image1591.png"/><Relationship Id="rId1698" Type="http://schemas.openxmlformats.org/officeDocument/2006/relationships/image" Target="media/image1592.png"/><Relationship Id="rId1699" Type="http://schemas.openxmlformats.org/officeDocument/2006/relationships/image" Target="media/image1593.png"/><Relationship Id="rId1700" Type="http://schemas.openxmlformats.org/officeDocument/2006/relationships/image" Target="media/image1594.png"/><Relationship Id="rId1701" Type="http://schemas.openxmlformats.org/officeDocument/2006/relationships/image" Target="media/image1595.png"/><Relationship Id="rId1702" Type="http://schemas.openxmlformats.org/officeDocument/2006/relationships/image" Target="media/image1596.png"/><Relationship Id="rId1703" Type="http://schemas.openxmlformats.org/officeDocument/2006/relationships/image" Target="media/image1597.png"/><Relationship Id="rId1704" Type="http://schemas.openxmlformats.org/officeDocument/2006/relationships/image" Target="media/image1598.png"/><Relationship Id="rId1705" Type="http://schemas.openxmlformats.org/officeDocument/2006/relationships/image" Target="media/image1599.png"/><Relationship Id="rId1706" Type="http://schemas.openxmlformats.org/officeDocument/2006/relationships/image" Target="media/image1600.png"/><Relationship Id="rId1707" Type="http://schemas.openxmlformats.org/officeDocument/2006/relationships/image" Target="media/image1601.png"/><Relationship Id="rId1708" Type="http://schemas.openxmlformats.org/officeDocument/2006/relationships/image" Target="media/image1602.png"/><Relationship Id="rId1709" Type="http://schemas.openxmlformats.org/officeDocument/2006/relationships/image" Target="media/image1603.png"/><Relationship Id="rId1710" Type="http://schemas.openxmlformats.org/officeDocument/2006/relationships/image" Target="media/image1604.png"/><Relationship Id="rId1711" Type="http://schemas.openxmlformats.org/officeDocument/2006/relationships/image" Target="media/image1605.png"/><Relationship Id="rId1712" Type="http://schemas.openxmlformats.org/officeDocument/2006/relationships/image" Target="media/image1606.png"/><Relationship Id="rId1713" Type="http://schemas.openxmlformats.org/officeDocument/2006/relationships/image" Target="media/image1607.png"/><Relationship Id="rId1714" Type="http://schemas.openxmlformats.org/officeDocument/2006/relationships/image" Target="media/image1608.png"/><Relationship Id="rId1715" Type="http://schemas.openxmlformats.org/officeDocument/2006/relationships/image" Target="media/image1609.png"/><Relationship Id="rId1716" Type="http://schemas.openxmlformats.org/officeDocument/2006/relationships/image" Target="media/image1610.png"/><Relationship Id="rId1717" Type="http://schemas.openxmlformats.org/officeDocument/2006/relationships/image" Target="media/image1611.png"/><Relationship Id="rId1718" Type="http://schemas.openxmlformats.org/officeDocument/2006/relationships/image" Target="media/image1612.png"/><Relationship Id="rId1719" Type="http://schemas.openxmlformats.org/officeDocument/2006/relationships/image" Target="media/image1613.png"/><Relationship Id="rId1720" Type="http://schemas.openxmlformats.org/officeDocument/2006/relationships/image" Target="media/image1614.png"/><Relationship Id="rId1721" Type="http://schemas.openxmlformats.org/officeDocument/2006/relationships/image" Target="media/image1615.png"/><Relationship Id="rId1722" Type="http://schemas.openxmlformats.org/officeDocument/2006/relationships/image" Target="media/image1616.png"/><Relationship Id="rId1723" Type="http://schemas.openxmlformats.org/officeDocument/2006/relationships/image" Target="media/image1617.png"/><Relationship Id="rId1724" Type="http://schemas.openxmlformats.org/officeDocument/2006/relationships/image" Target="media/image1618.png"/><Relationship Id="rId1725" Type="http://schemas.openxmlformats.org/officeDocument/2006/relationships/image" Target="media/image1619.png"/><Relationship Id="rId1726" Type="http://schemas.openxmlformats.org/officeDocument/2006/relationships/image" Target="media/image1620.png"/><Relationship Id="rId1727" Type="http://schemas.openxmlformats.org/officeDocument/2006/relationships/image" Target="media/image1621.png"/><Relationship Id="rId1728" Type="http://schemas.openxmlformats.org/officeDocument/2006/relationships/image" Target="media/image1622.png"/><Relationship Id="rId1729" Type="http://schemas.openxmlformats.org/officeDocument/2006/relationships/image" Target="media/image1623.png"/><Relationship Id="rId1730" Type="http://schemas.openxmlformats.org/officeDocument/2006/relationships/image" Target="media/image1624.png"/><Relationship Id="rId1731" Type="http://schemas.openxmlformats.org/officeDocument/2006/relationships/image" Target="media/image1625.png"/><Relationship Id="rId1732" Type="http://schemas.openxmlformats.org/officeDocument/2006/relationships/image" Target="media/image1626.png"/><Relationship Id="rId1733" Type="http://schemas.openxmlformats.org/officeDocument/2006/relationships/image" Target="media/image1627.png"/><Relationship Id="rId1734" Type="http://schemas.openxmlformats.org/officeDocument/2006/relationships/image" Target="media/image1628.png"/><Relationship Id="rId1735" Type="http://schemas.openxmlformats.org/officeDocument/2006/relationships/image" Target="media/image1629.png"/><Relationship Id="rId1736" Type="http://schemas.openxmlformats.org/officeDocument/2006/relationships/image" Target="media/image1630.png"/><Relationship Id="rId1737" Type="http://schemas.openxmlformats.org/officeDocument/2006/relationships/image" Target="media/image1631.png"/><Relationship Id="rId1738" Type="http://schemas.openxmlformats.org/officeDocument/2006/relationships/image" Target="media/image1632.png"/><Relationship Id="rId1739" Type="http://schemas.openxmlformats.org/officeDocument/2006/relationships/image" Target="media/image1633.png"/><Relationship Id="rId1740" Type="http://schemas.openxmlformats.org/officeDocument/2006/relationships/image" Target="media/image1634.png"/><Relationship Id="rId1741" Type="http://schemas.openxmlformats.org/officeDocument/2006/relationships/image" Target="media/image1635.png"/><Relationship Id="rId1742" Type="http://schemas.openxmlformats.org/officeDocument/2006/relationships/image" Target="media/image1636.png"/><Relationship Id="rId1743" Type="http://schemas.openxmlformats.org/officeDocument/2006/relationships/image" Target="media/image1637.png"/><Relationship Id="rId1744" Type="http://schemas.openxmlformats.org/officeDocument/2006/relationships/image" Target="media/image1638.png"/><Relationship Id="rId1745" Type="http://schemas.openxmlformats.org/officeDocument/2006/relationships/image" Target="media/image1639.png"/><Relationship Id="rId1746" Type="http://schemas.openxmlformats.org/officeDocument/2006/relationships/image" Target="media/image1640.png"/><Relationship Id="rId1747" Type="http://schemas.openxmlformats.org/officeDocument/2006/relationships/image" Target="media/image1641.png"/><Relationship Id="rId1748" Type="http://schemas.openxmlformats.org/officeDocument/2006/relationships/image" Target="media/image1642.png"/><Relationship Id="rId1749" Type="http://schemas.openxmlformats.org/officeDocument/2006/relationships/image" Target="media/image1643.png"/><Relationship Id="rId1750" Type="http://schemas.openxmlformats.org/officeDocument/2006/relationships/image" Target="media/image1644.png"/><Relationship Id="rId1751" Type="http://schemas.openxmlformats.org/officeDocument/2006/relationships/image" Target="media/image1645.png"/><Relationship Id="rId1752" Type="http://schemas.openxmlformats.org/officeDocument/2006/relationships/image" Target="media/image1646.png"/><Relationship Id="rId1753" Type="http://schemas.openxmlformats.org/officeDocument/2006/relationships/image" Target="media/image1647.png"/><Relationship Id="rId1754" Type="http://schemas.openxmlformats.org/officeDocument/2006/relationships/image" Target="media/image1648.png"/><Relationship Id="rId1755" Type="http://schemas.openxmlformats.org/officeDocument/2006/relationships/image" Target="media/image1649.png"/><Relationship Id="rId1756" Type="http://schemas.openxmlformats.org/officeDocument/2006/relationships/image" Target="media/image1650.png"/><Relationship Id="rId1757" Type="http://schemas.openxmlformats.org/officeDocument/2006/relationships/header" Target="header51.xml"/><Relationship Id="rId1758" Type="http://schemas.openxmlformats.org/officeDocument/2006/relationships/footer" Target="footer51.xml"/><Relationship Id="rId1759" Type="http://schemas.openxmlformats.org/officeDocument/2006/relationships/image" Target="media/image1651.png"/><Relationship Id="rId1760" Type="http://schemas.openxmlformats.org/officeDocument/2006/relationships/image" Target="media/image1652.png"/><Relationship Id="rId1761" Type="http://schemas.openxmlformats.org/officeDocument/2006/relationships/image" Target="media/image1653.png"/><Relationship Id="rId1762" Type="http://schemas.openxmlformats.org/officeDocument/2006/relationships/header" Target="header52.xml"/><Relationship Id="rId1763" Type="http://schemas.openxmlformats.org/officeDocument/2006/relationships/footer" Target="footer52.xml"/><Relationship Id="rId1764" Type="http://schemas.openxmlformats.org/officeDocument/2006/relationships/image" Target="media/image1654.png"/><Relationship Id="rId1765" Type="http://schemas.openxmlformats.org/officeDocument/2006/relationships/image" Target="media/image1655.png"/><Relationship Id="rId1766" Type="http://schemas.openxmlformats.org/officeDocument/2006/relationships/image" Target="media/image1656.png"/><Relationship Id="rId1767" Type="http://schemas.openxmlformats.org/officeDocument/2006/relationships/image" Target="media/image1657.png"/><Relationship Id="rId1768" Type="http://schemas.openxmlformats.org/officeDocument/2006/relationships/image" Target="media/image1658.png"/><Relationship Id="rId1769" Type="http://schemas.openxmlformats.org/officeDocument/2006/relationships/image" Target="media/image1659.png"/><Relationship Id="rId1770" Type="http://schemas.openxmlformats.org/officeDocument/2006/relationships/image" Target="media/image1660.png"/><Relationship Id="rId1771" Type="http://schemas.openxmlformats.org/officeDocument/2006/relationships/image" Target="media/image1661.png"/><Relationship Id="rId1772" Type="http://schemas.openxmlformats.org/officeDocument/2006/relationships/image" Target="media/image1662.png"/><Relationship Id="rId1773" Type="http://schemas.openxmlformats.org/officeDocument/2006/relationships/image" Target="media/image1663.png"/><Relationship Id="rId1774" Type="http://schemas.openxmlformats.org/officeDocument/2006/relationships/image" Target="media/image1664.png"/><Relationship Id="rId1775" Type="http://schemas.openxmlformats.org/officeDocument/2006/relationships/image" Target="media/image1665.png"/><Relationship Id="rId1776" Type="http://schemas.openxmlformats.org/officeDocument/2006/relationships/image" Target="media/image1666.png"/><Relationship Id="rId1777" Type="http://schemas.openxmlformats.org/officeDocument/2006/relationships/image" Target="media/image1667.png"/><Relationship Id="rId1778" Type="http://schemas.openxmlformats.org/officeDocument/2006/relationships/image" Target="media/image1668.png"/><Relationship Id="rId1779" Type="http://schemas.openxmlformats.org/officeDocument/2006/relationships/image" Target="media/image1669.png"/><Relationship Id="rId1780" Type="http://schemas.openxmlformats.org/officeDocument/2006/relationships/image" Target="media/image1670.png"/><Relationship Id="rId1781" Type="http://schemas.openxmlformats.org/officeDocument/2006/relationships/image" Target="media/image1671.png"/><Relationship Id="rId1782" Type="http://schemas.openxmlformats.org/officeDocument/2006/relationships/image" Target="media/image1672.png"/><Relationship Id="rId1783" Type="http://schemas.openxmlformats.org/officeDocument/2006/relationships/image" Target="media/image1673.png"/><Relationship Id="rId1784" Type="http://schemas.openxmlformats.org/officeDocument/2006/relationships/image" Target="media/image1674.png"/><Relationship Id="rId1785" Type="http://schemas.openxmlformats.org/officeDocument/2006/relationships/image" Target="media/image1675.png"/><Relationship Id="rId1786" Type="http://schemas.openxmlformats.org/officeDocument/2006/relationships/image" Target="media/image1676.png"/><Relationship Id="rId1787" Type="http://schemas.openxmlformats.org/officeDocument/2006/relationships/image" Target="media/image1677.png"/><Relationship Id="rId1788" Type="http://schemas.openxmlformats.org/officeDocument/2006/relationships/image" Target="media/image1678.png"/><Relationship Id="rId1789" Type="http://schemas.openxmlformats.org/officeDocument/2006/relationships/image" Target="media/image1679.png"/><Relationship Id="rId1790" Type="http://schemas.openxmlformats.org/officeDocument/2006/relationships/image" Target="media/image1680.png"/><Relationship Id="rId1791" Type="http://schemas.openxmlformats.org/officeDocument/2006/relationships/image" Target="media/image1681.png"/><Relationship Id="rId1792" Type="http://schemas.openxmlformats.org/officeDocument/2006/relationships/image" Target="media/image1682.png"/><Relationship Id="rId1793" Type="http://schemas.openxmlformats.org/officeDocument/2006/relationships/image" Target="media/image1683.png"/><Relationship Id="rId1794" Type="http://schemas.openxmlformats.org/officeDocument/2006/relationships/image" Target="media/image1684.png"/><Relationship Id="rId1795" Type="http://schemas.openxmlformats.org/officeDocument/2006/relationships/image" Target="media/image1685.png"/><Relationship Id="rId1796" Type="http://schemas.openxmlformats.org/officeDocument/2006/relationships/image" Target="media/image1686.png"/><Relationship Id="rId1797" Type="http://schemas.openxmlformats.org/officeDocument/2006/relationships/image" Target="media/image1687.png"/><Relationship Id="rId1798" Type="http://schemas.openxmlformats.org/officeDocument/2006/relationships/image" Target="media/image1688.png"/><Relationship Id="rId1799" Type="http://schemas.openxmlformats.org/officeDocument/2006/relationships/image" Target="media/image1689.png"/><Relationship Id="rId1800" Type="http://schemas.openxmlformats.org/officeDocument/2006/relationships/image" Target="media/image1690.png"/><Relationship Id="rId1801" Type="http://schemas.openxmlformats.org/officeDocument/2006/relationships/image" Target="media/image1691.png"/><Relationship Id="rId1802" Type="http://schemas.openxmlformats.org/officeDocument/2006/relationships/image" Target="media/image1692.png"/><Relationship Id="rId1803" Type="http://schemas.openxmlformats.org/officeDocument/2006/relationships/image" Target="media/image1693.png"/><Relationship Id="rId1804" Type="http://schemas.openxmlformats.org/officeDocument/2006/relationships/image" Target="media/image1694.png"/><Relationship Id="rId1805" Type="http://schemas.openxmlformats.org/officeDocument/2006/relationships/image" Target="media/image1695.png"/><Relationship Id="rId1806" Type="http://schemas.openxmlformats.org/officeDocument/2006/relationships/image" Target="media/image1696.png"/><Relationship Id="rId1807" Type="http://schemas.openxmlformats.org/officeDocument/2006/relationships/image" Target="media/image1697.png"/><Relationship Id="rId1808" Type="http://schemas.openxmlformats.org/officeDocument/2006/relationships/image" Target="media/image1698.png"/><Relationship Id="rId1809" Type="http://schemas.openxmlformats.org/officeDocument/2006/relationships/image" Target="media/image1699.png"/><Relationship Id="rId1810" Type="http://schemas.openxmlformats.org/officeDocument/2006/relationships/image" Target="media/image1700.png"/><Relationship Id="rId1811" Type="http://schemas.openxmlformats.org/officeDocument/2006/relationships/header" Target="header53.xml"/><Relationship Id="rId1812" Type="http://schemas.openxmlformats.org/officeDocument/2006/relationships/footer" Target="footer53.xml"/><Relationship Id="rId1813" Type="http://schemas.openxmlformats.org/officeDocument/2006/relationships/image" Target="media/image1701.png"/><Relationship Id="rId1814" Type="http://schemas.openxmlformats.org/officeDocument/2006/relationships/image" Target="media/image1702.png"/><Relationship Id="rId1815" Type="http://schemas.openxmlformats.org/officeDocument/2006/relationships/image" Target="media/image1703.png"/><Relationship Id="rId1816" Type="http://schemas.openxmlformats.org/officeDocument/2006/relationships/image" Target="media/image1704.png"/><Relationship Id="rId1817" Type="http://schemas.openxmlformats.org/officeDocument/2006/relationships/image" Target="media/image1705.png"/><Relationship Id="rId1818" Type="http://schemas.openxmlformats.org/officeDocument/2006/relationships/image" Target="media/image1706.png"/><Relationship Id="rId1819" Type="http://schemas.openxmlformats.org/officeDocument/2006/relationships/image" Target="media/image1707.png"/><Relationship Id="rId1820" Type="http://schemas.openxmlformats.org/officeDocument/2006/relationships/image" Target="media/image1708.png"/><Relationship Id="rId1821" Type="http://schemas.openxmlformats.org/officeDocument/2006/relationships/image" Target="media/image1709.png"/><Relationship Id="rId1822" Type="http://schemas.openxmlformats.org/officeDocument/2006/relationships/image" Target="media/image1710.png"/><Relationship Id="rId1823" Type="http://schemas.openxmlformats.org/officeDocument/2006/relationships/image" Target="media/image1711.png"/><Relationship Id="rId1824" Type="http://schemas.openxmlformats.org/officeDocument/2006/relationships/image" Target="media/image1712.png"/><Relationship Id="rId1825" Type="http://schemas.openxmlformats.org/officeDocument/2006/relationships/image" Target="media/image1713.png"/><Relationship Id="rId1826" Type="http://schemas.openxmlformats.org/officeDocument/2006/relationships/image" Target="media/image1714.png"/><Relationship Id="rId1827" Type="http://schemas.openxmlformats.org/officeDocument/2006/relationships/image" Target="media/image1715.png"/><Relationship Id="rId1828" Type="http://schemas.openxmlformats.org/officeDocument/2006/relationships/image" Target="media/image1716.png"/><Relationship Id="rId1829" Type="http://schemas.openxmlformats.org/officeDocument/2006/relationships/image" Target="media/image1717.png"/><Relationship Id="rId1830" Type="http://schemas.openxmlformats.org/officeDocument/2006/relationships/image" Target="media/image1718.png"/><Relationship Id="rId1831" Type="http://schemas.openxmlformats.org/officeDocument/2006/relationships/image" Target="media/image1719.png"/><Relationship Id="rId1832" Type="http://schemas.openxmlformats.org/officeDocument/2006/relationships/image" Target="media/image1720.png"/><Relationship Id="rId1833" Type="http://schemas.openxmlformats.org/officeDocument/2006/relationships/image" Target="media/image1721.png"/><Relationship Id="rId1834" Type="http://schemas.openxmlformats.org/officeDocument/2006/relationships/image" Target="media/image1722.png"/><Relationship Id="rId1835" Type="http://schemas.openxmlformats.org/officeDocument/2006/relationships/image" Target="media/image1723.png"/><Relationship Id="rId1836" Type="http://schemas.openxmlformats.org/officeDocument/2006/relationships/image" Target="media/image1724.png"/><Relationship Id="rId1837" Type="http://schemas.openxmlformats.org/officeDocument/2006/relationships/image" Target="media/image1725.png"/><Relationship Id="rId1838" Type="http://schemas.openxmlformats.org/officeDocument/2006/relationships/image" Target="media/image1726.png"/><Relationship Id="rId1839" Type="http://schemas.openxmlformats.org/officeDocument/2006/relationships/image" Target="media/image1727.png"/><Relationship Id="rId1840" Type="http://schemas.openxmlformats.org/officeDocument/2006/relationships/image" Target="media/image1728.png"/><Relationship Id="rId1841" Type="http://schemas.openxmlformats.org/officeDocument/2006/relationships/image" Target="media/image1729.png"/><Relationship Id="rId1842" Type="http://schemas.openxmlformats.org/officeDocument/2006/relationships/image" Target="media/image1730.png"/><Relationship Id="rId1843" Type="http://schemas.openxmlformats.org/officeDocument/2006/relationships/image" Target="media/image1731.png"/><Relationship Id="rId1844" Type="http://schemas.openxmlformats.org/officeDocument/2006/relationships/image" Target="media/image1732.png"/><Relationship Id="rId1845" Type="http://schemas.openxmlformats.org/officeDocument/2006/relationships/image" Target="media/image1733.png"/><Relationship Id="rId1846" Type="http://schemas.openxmlformats.org/officeDocument/2006/relationships/image" Target="media/image1734.png"/><Relationship Id="rId1847" Type="http://schemas.openxmlformats.org/officeDocument/2006/relationships/image" Target="media/image1735.png"/><Relationship Id="rId1848" Type="http://schemas.openxmlformats.org/officeDocument/2006/relationships/image" Target="media/image1736.png"/><Relationship Id="rId1849" Type="http://schemas.openxmlformats.org/officeDocument/2006/relationships/image" Target="media/image1737.png"/><Relationship Id="rId1850" Type="http://schemas.openxmlformats.org/officeDocument/2006/relationships/image" Target="media/image1738.png"/><Relationship Id="rId1851" Type="http://schemas.openxmlformats.org/officeDocument/2006/relationships/image" Target="media/image1739.png"/><Relationship Id="rId1852" Type="http://schemas.openxmlformats.org/officeDocument/2006/relationships/image" Target="media/image1740.png"/><Relationship Id="rId1853" Type="http://schemas.openxmlformats.org/officeDocument/2006/relationships/image" Target="media/image1741.png"/><Relationship Id="rId1854" Type="http://schemas.openxmlformats.org/officeDocument/2006/relationships/image" Target="media/image1742.png"/><Relationship Id="rId1855" Type="http://schemas.openxmlformats.org/officeDocument/2006/relationships/image" Target="media/image1743.png"/><Relationship Id="rId1856" Type="http://schemas.openxmlformats.org/officeDocument/2006/relationships/image" Target="media/image1744.png"/><Relationship Id="rId1857" Type="http://schemas.openxmlformats.org/officeDocument/2006/relationships/image" Target="media/image1745.png"/><Relationship Id="rId1858" Type="http://schemas.openxmlformats.org/officeDocument/2006/relationships/image" Target="media/image1746.png"/><Relationship Id="rId1859" Type="http://schemas.openxmlformats.org/officeDocument/2006/relationships/image" Target="media/image1747.png"/><Relationship Id="rId1860" Type="http://schemas.openxmlformats.org/officeDocument/2006/relationships/image" Target="media/image1748.png"/><Relationship Id="rId1861" Type="http://schemas.openxmlformats.org/officeDocument/2006/relationships/image" Target="media/image1749.png"/><Relationship Id="rId1862" Type="http://schemas.openxmlformats.org/officeDocument/2006/relationships/image" Target="media/image1750.png"/><Relationship Id="rId1863" Type="http://schemas.openxmlformats.org/officeDocument/2006/relationships/image" Target="media/image1751.png"/><Relationship Id="rId1864" Type="http://schemas.openxmlformats.org/officeDocument/2006/relationships/image" Target="media/image1752.png"/><Relationship Id="rId1865" Type="http://schemas.openxmlformats.org/officeDocument/2006/relationships/image" Target="media/image1753.png"/><Relationship Id="rId1866" Type="http://schemas.openxmlformats.org/officeDocument/2006/relationships/image" Target="media/image1754.png"/><Relationship Id="rId1867" Type="http://schemas.openxmlformats.org/officeDocument/2006/relationships/image" Target="media/image1755.png"/><Relationship Id="rId1868" Type="http://schemas.openxmlformats.org/officeDocument/2006/relationships/image" Target="media/image1756.png"/><Relationship Id="rId1869" Type="http://schemas.openxmlformats.org/officeDocument/2006/relationships/image" Target="media/image1757.png"/><Relationship Id="rId1870" Type="http://schemas.openxmlformats.org/officeDocument/2006/relationships/image" Target="media/image1758.png"/><Relationship Id="rId1871" Type="http://schemas.openxmlformats.org/officeDocument/2006/relationships/image" Target="media/image1759.png"/><Relationship Id="rId1872" Type="http://schemas.openxmlformats.org/officeDocument/2006/relationships/image" Target="media/image1760.png"/><Relationship Id="rId1873" Type="http://schemas.openxmlformats.org/officeDocument/2006/relationships/image" Target="media/image1761.png"/><Relationship Id="rId1874" Type="http://schemas.openxmlformats.org/officeDocument/2006/relationships/image" Target="media/image1762.png"/><Relationship Id="rId1875" Type="http://schemas.openxmlformats.org/officeDocument/2006/relationships/image" Target="media/image1763.png"/><Relationship Id="rId1876" Type="http://schemas.openxmlformats.org/officeDocument/2006/relationships/image" Target="media/image1764.png"/><Relationship Id="rId1877" Type="http://schemas.openxmlformats.org/officeDocument/2006/relationships/image" Target="media/image1765.png"/><Relationship Id="rId1878" Type="http://schemas.openxmlformats.org/officeDocument/2006/relationships/image" Target="media/image1766.png"/><Relationship Id="rId1879" Type="http://schemas.openxmlformats.org/officeDocument/2006/relationships/image" Target="media/image1767.png"/><Relationship Id="rId1880" Type="http://schemas.openxmlformats.org/officeDocument/2006/relationships/image" Target="media/image1768.png"/><Relationship Id="rId1881" Type="http://schemas.openxmlformats.org/officeDocument/2006/relationships/image" Target="media/image1769.png"/><Relationship Id="rId1882" Type="http://schemas.openxmlformats.org/officeDocument/2006/relationships/image" Target="media/image1770.png"/><Relationship Id="rId1883" Type="http://schemas.openxmlformats.org/officeDocument/2006/relationships/image" Target="media/image1771.png"/><Relationship Id="rId1884" Type="http://schemas.openxmlformats.org/officeDocument/2006/relationships/image" Target="media/image1772.png"/><Relationship Id="rId1885" Type="http://schemas.openxmlformats.org/officeDocument/2006/relationships/image" Target="media/image1773.png"/><Relationship Id="rId1886" Type="http://schemas.openxmlformats.org/officeDocument/2006/relationships/image" Target="media/image1774.png"/><Relationship Id="rId1887" Type="http://schemas.openxmlformats.org/officeDocument/2006/relationships/image" Target="media/image1775.png"/><Relationship Id="rId1888" Type="http://schemas.openxmlformats.org/officeDocument/2006/relationships/image" Target="media/image1776.png"/><Relationship Id="rId1889" Type="http://schemas.openxmlformats.org/officeDocument/2006/relationships/header" Target="header54.xml"/><Relationship Id="rId1890" Type="http://schemas.openxmlformats.org/officeDocument/2006/relationships/footer" Target="footer54.xml"/><Relationship Id="rId1891" Type="http://schemas.openxmlformats.org/officeDocument/2006/relationships/image" Target="media/image1777.png"/><Relationship Id="rId1892" Type="http://schemas.openxmlformats.org/officeDocument/2006/relationships/image" Target="media/image1778.png"/><Relationship Id="rId1893" Type="http://schemas.openxmlformats.org/officeDocument/2006/relationships/image" Target="media/image1779.png"/><Relationship Id="rId1894" Type="http://schemas.openxmlformats.org/officeDocument/2006/relationships/image" Target="media/image1780.png"/><Relationship Id="rId1895" Type="http://schemas.openxmlformats.org/officeDocument/2006/relationships/image" Target="media/image1781.png"/><Relationship Id="rId1896" Type="http://schemas.openxmlformats.org/officeDocument/2006/relationships/image" Target="media/image1782.png"/><Relationship Id="rId1897" Type="http://schemas.openxmlformats.org/officeDocument/2006/relationships/image" Target="media/image1783.png"/><Relationship Id="rId1898" Type="http://schemas.openxmlformats.org/officeDocument/2006/relationships/image" Target="media/image1784.png"/><Relationship Id="rId1899" Type="http://schemas.openxmlformats.org/officeDocument/2006/relationships/image" Target="media/image1785.png"/><Relationship Id="rId1900" Type="http://schemas.openxmlformats.org/officeDocument/2006/relationships/image" Target="media/image1786.png"/><Relationship Id="rId1901" Type="http://schemas.openxmlformats.org/officeDocument/2006/relationships/image" Target="media/image1787.png"/><Relationship Id="rId1902" Type="http://schemas.openxmlformats.org/officeDocument/2006/relationships/image" Target="media/image1788.png"/><Relationship Id="rId1903" Type="http://schemas.openxmlformats.org/officeDocument/2006/relationships/image" Target="media/image1789.png"/><Relationship Id="rId1904" Type="http://schemas.openxmlformats.org/officeDocument/2006/relationships/image" Target="media/image1790.png"/><Relationship Id="rId1905" Type="http://schemas.openxmlformats.org/officeDocument/2006/relationships/image" Target="media/image1791.png"/><Relationship Id="rId1906" Type="http://schemas.openxmlformats.org/officeDocument/2006/relationships/image" Target="media/image1792.png"/><Relationship Id="rId1907" Type="http://schemas.openxmlformats.org/officeDocument/2006/relationships/image" Target="media/image1793.png"/><Relationship Id="rId1908" Type="http://schemas.openxmlformats.org/officeDocument/2006/relationships/image" Target="media/image1794.png"/><Relationship Id="rId1909" Type="http://schemas.openxmlformats.org/officeDocument/2006/relationships/image" Target="media/image1795.png"/><Relationship Id="rId1910" Type="http://schemas.openxmlformats.org/officeDocument/2006/relationships/image" Target="media/image1796.png"/><Relationship Id="rId1911" Type="http://schemas.openxmlformats.org/officeDocument/2006/relationships/image" Target="media/image1797.png"/><Relationship Id="rId1912" Type="http://schemas.openxmlformats.org/officeDocument/2006/relationships/image" Target="media/image1798.png"/><Relationship Id="rId1913" Type="http://schemas.openxmlformats.org/officeDocument/2006/relationships/image" Target="media/image1799.png"/><Relationship Id="rId1914" Type="http://schemas.openxmlformats.org/officeDocument/2006/relationships/image" Target="media/image1800.png"/><Relationship Id="rId1915" Type="http://schemas.openxmlformats.org/officeDocument/2006/relationships/image" Target="media/image1801.png"/><Relationship Id="rId1916" Type="http://schemas.openxmlformats.org/officeDocument/2006/relationships/image" Target="media/image1802.png"/><Relationship Id="rId1917" Type="http://schemas.openxmlformats.org/officeDocument/2006/relationships/image" Target="media/image1803.png"/><Relationship Id="rId1918" Type="http://schemas.openxmlformats.org/officeDocument/2006/relationships/image" Target="media/image1804.png"/><Relationship Id="rId1919" Type="http://schemas.openxmlformats.org/officeDocument/2006/relationships/image" Target="media/image1805.png"/><Relationship Id="rId1920" Type="http://schemas.openxmlformats.org/officeDocument/2006/relationships/image" Target="media/image1806.png"/><Relationship Id="rId1921" Type="http://schemas.openxmlformats.org/officeDocument/2006/relationships/image" Target="media/image1807.png"/><Relationship Id="rId1922" Type="http://schemas.openxmlformats.org/officeDocument/2006/relationships/image" Target="media/image1808.png"/><Relationship Id="rId1923" Type="http://schemas.openxmlformats.org/officeDocument/2006/relationships/image" Target="media/image1809.png"/><Relationship Id="rId1924" Type="http://schemas.openxmlformats.org/officeDocument/2006/relationships/image" Target="media/image1810.png"/><Relationship Id="rId1925" Type="http://schemas.openxmlformats.org/officeDocument/2006/relationships/image" Target="media/image1811.png"/><Relationship Id="rId1926" Type="http://schemas.openxmlformats.org/officeDocument/2006/relationships/image" Target="media/image1812.png"/><Relationship Id="rId1927" Type="http://schemas.openxmlformats.org/officeDocument/2006/relationships/image" Target="media/image1813.png"/><Relationship Id="rId1928" Type="http://schemas.openxmlformats.org/officeDocument/2006/relationships/image" Target="media/image1814.png"/><Relationship Id="rId1929" Type="http://schemas.openxmlformats.org/officeDocument/2006/relationships/image" Target="media/image1815.png"/><Relationship Id="rId1930" Type="http://schemas.openxmlformats.org/officeDocument/2006/relationships/image" Target="media/image1816.png"/><Relationship Id="rId1931" Type="http://schemas.openxmlformats.org/officeDocument/2006/relationships/image" Target="media/image1817.png"/><Relationship Id="rId1932" Type="http://schemas.openxmlformats.org/officeDocument/2006/relationships/image" Target="media/image1818.png"/><Relationship Id="rId1933" Type="http://schemas.openxmlformats.org/officeDocument/2006/relationships/image" Target="media/image1819.png"/><Relationship Id="rId1934" Type="http://schemas.openxmlformats.org/officeDocument/2006/relationships/header" Target="header55.xml"/><Relationship Id="rId1935" Type="http://schemas.openxmlformats.org/officeDocument/2006/relationships/footer" Target="footer55.xml"/><Relationship Id="rId1936" Type="http://schemas.openxmlformats.org/officeDocument/2006/relationships/header" Target="header56.xml"/><Relationship Id="rId1937" Type="http://schemas.openxmlformats.org/officeDocument/2006/relationships/footer" Target="footer56.xml"/><Relationship Id="rId193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MariannaL</dc:creator>
  <dcterms:created xsi:type="dcterms:W3CDTF">2021-12-07T17:58:47Z</dcterms:created>
  <dcterms:modified xsi:type="dcterms:W3CDTF">2021-12-07T17:58:47Z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2021-06-04T00:00:00Z</vt:filetime>
  </property>
  <property fmtid="{D5CDD505-2E9C-101B-9397-08002B2CF9AE}" pid="3" name="Creator">
    <vt:lpwstr>Adobe Acrobat Pro 2017 17.11.30196</vt:lpwstr>
  </property>
  <property fmtid="{D5CDD505-2E9C-101B-9397-08002B2CF9AE}" pid="4" name="LastSaved">
    <vt:filetime>2021-12-07T00:00:00Z</vt:filetime>
  </property>
</Properties>
</file>